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g"/>
  <Default Extension="png" ContentType="image/png"/>
  <Default Extension="bmp" ContentType="image/bmp"/>
  <Default Extension="gif" ContentType="image/gif"/>
  <Default Extension="tif" ContentType="image/tif"/>
  <Default Extension="pdf" ContentType="application/pdf"/>
  <Default Extension="mov" ContentType="application/movie"/>
  <Default Extension="vml" ContentType="application/vnd.openxmlformats-officedocument.vmlDrawing"/>
  <Default Extension="xlsx" ContentType="application/vnd.openxmlformats-officedocument.spreadsheetml.sheet"/>
  <Override PartName="/docProps/core.xml" ContentType="application/vnd.openxmlformats-package.core-properties+xml"/>
  <Override PartName="/docProps/app.xml" ContentType="application/vnd.openxmlformats-officedocument.extended-properties+xml"/>
  <Override PartName="/word/document.xml" ContentType="application/vnd.openxmlformats-officedocument.wordprocessingml.document.main+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media/image1.jpeg" ContentType="image/jpeg"/>
  <Override PartName="/word/media/image2.jpeg" ContentType="image/jpeg"/>
  <Override PartName="/word/media/image3.jpeg" ContentType="image/jpeg"/>
  <Override PartName="/word/media/image4.jpeg" ContentType="image/jpeg"/>
  <Override PartName="/word/media/image5.jpeg" ContentType="image/jpeg"/>
  <Override PartName="/word/media/image6.jpeg" ContentType="image/jpeg"/>
  <Override PartName="/word/media/image7.jpeg" ContentType="image/jpeg"/>
  <Override PartName="/word/media/image8.jpeg" ContentType="image/jpeg"/>
  <Override PartName="/word/media/image9.jpeg" ContentType="image/jpeg"/>
  <Override PartName="/word/media/image10.jpeg" ContentType="image/jpeg"/>
  <Override PartName="/word/media/image11.jpeg" ContentType="image/jpeg"/>
  <Override PartName="/word/media/image12.jpeg" ContentType="image/jpeg"/>
  <Override PartName="/word/media/image13.jpeg" ContentType="image/jpeg"/>
  <Override PartName="/word/media/image14.jpeg" ContentType="image/jpeg"/>
  <Override PartName="/word/media/image15.jpeg" ContentType="image/jpeg"/>
  <Override PartName="/word/media/image16.jpeg" ContentType="image/jpeg"/>
  <Override PartName="/word/header3.xml" ContentType="application/vnd.openxmlformats-officedocument.wordprocessingml.header+xml"/>
  <Override PartName="/word/footer3.xml" ContentType="application/vnd.openxmlformats-officedocument.wordprocessingml.footer+xml"/>
  <Override PartName="/word/footnotes.xml" ContentType="application/vnd.openxmlformats-officedocument.wordprocessingml.footnotes+xml"/>
  <Override PartName="/word/numbering.xml" ContentType="application/vnd.openxmlformats-officedocument.wordprocessingml.numbering+xml"/>
  <Override PartName="/word/theme/theme1.xml" ContentType="application/vnd.openxmlformats-officedocument.theme+xml"/>
</Types>
</file>

<file path=_rels/.rels><?xml version="1.0" encoding="UTF-8" standalone="yes"?><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Relationships>

</file>

<file path=word/document.xml><?xml version="1.0" encoding="utf-8"?>
<w:document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mc:Ignorable="w14">
  <w:body>
    <w:tbl>
      <w:tblPr>
        <w:tblW w:w="9147" w:type="dxa"/>
        <w:jc w:val="left"/>
        <w:tblInd w:w="675" w:type="dxa"/>
        <w:tblBorders>
          <w:top w:val="single" w:color="000000" w:sz="2" w:space="0" w:shadow="0" w:frame="0"/>
          <w:left w:val="single" w:color="000000" w:sz="2" w:space="0" w:shadow="0" w:frame="0"/>
          <w:bottom w:val="single" w:color="000000" w:sz="2" w:space="0" w:shadow="0" w:frame="0"/>
          <w:right w:val="single" w:color="000000" w:sz="2" w:space="0" w:shadow="0" w:frame="0"/>
          <w:insideH w:val="single" w:color="000000" w:sz="2" w:space="0" w:shadow="0" w:frame="0"/>
          <w:insideV w:val="single" w:color="000000" w:sz="2" w:space="0" w:shadow="0" w:frame="0"/>
        </w:tblBorders>
        <w:shd w:val="clear" w:color="auto" w:fill="auto"/>
        <w:tblLayout w:type="fixed"/>
      </w:tblPr>
      <w:tblGrid>
        <w:gridCol w:w="4555"/>
        <w:gridCol w:w="4592"/>
      </w:tblGrid>
      <w:tr>
        <w:tblPrEx>
          <w:shd w:val="clear" w:color="auto" w:fill="auto"/>
        </w:tblPrEx>
        <w:trPr>
          <w:trHeight w:val="290" w:hRule="atLeast"/>
        </w:trPr>
        <w:tc>
          <w:tcPr>
            <w:tcW w:type="dxa" w:w="4555"/>
            <w:tcBorders>
              <w:top w:val="nil"/>
              <w:left w:val="nil"/>
              <w:bottom w:val="nil"/>
              <w:right w:val="nil"/>
            </w:tcBorders>
            <w:shd w:val="clear" w:color="auto" w:fill="auto"/>
            <w:tcMar>
              <w:top w:type="dxa" w:w="80"/>
              <w:left w:type="dxa" w:w="80"/>
              <w:bottom w:type="dxa" w:w="80"/>
              <w:right w:type="dxa" w:w="647"/>
            </w:tcMar>
            <w:vAlign w:val="top"/>
          </w:tcPr>
          <w:p>
            <w:pPr>
              <w:pStyle w:val="Normal"/>
              <w:tabs>
                <w:tab w:val="left" w:pos="4997"/>
              </w:tabs>
              <w:ind w:right="567"/>
              <w:jc w:val="center"/>
            </w:pPr>
            <w:r>
              <w:rPr>
                <w:caps w:val="1"/>
                <w:strike w:val="0"/>
                <w:dstrike w:val="0"/>
                <w:outline w:val="0"/>
                <w:color w:val="000000"/>
                <w:spacing w:val="0"/>
                <w:kern w:val="0"/>
                <w:position w:val="0"/>
                <w:sz w:val="24"/>
                <w:szCs w:val="24"/>
                <w:u w:val="none" w:color="000000"/>
                <w:vertAlign w:val="baseline"/>
                <w:rtl w:val="0"/>
                <w:lang w:val="it-IT"/>
              </w:rPr>
              <w:t>Camera dei deputati</w:t>
            </w:r>
          </w:p>
        </w:tc>
        <w:tc>
          <w:tcPr>
            <w:tcW w:type="dxa" w:w="4592"/>
            <w:tcBorders>
              <w:top w:val="nil"/>
              <w:left w:val="nil"/>
              <w:bottom w:val="nil"/>
              <w:right w:val="nil"/>
            </w:tcBorders>
            <w:shd w:val="clear" w:color="auto" w:fill="auto"/>
            <w:tcMar>
              <w:top w:type="dxa" w:w="80"/>
              <w:left w:type="dxa" w:w="80"/>
              <w:bottom w:type="dxa" w:w="80"/>
              <w:right w:type="dxa" w:w="647"/>
            </w:tcMar>
            <w:vAlign w:val="top"/>
          </w:tcPr>
          <w:p>
            <w:pPr>
              <w:pStyle w:val="Normal"/>
              <w:tabs>
                <w:tab w:val="left" w:pos="4997"/>
              </w:tabs>
              <w:ind w:right="567"/>
              <w:jc w:val="center"/>
            </w:pPr>
            <w:r>
              <w:rPr>
                <w:caps w:val="1"/>
                <w:strike w:val="0"/>
                <w:dstrike w:val="0"/>
                <w:outline w:val="0"/>
                <w:color w:val="000000"/>
                <w:spacing w:val="0"/>
                <w:kern w:val="0"/>
                <w:position w:val="0"/>
                <w:sz w:val="24"/>
                <w:szCs w:val="24"/>
                <w:u w:val="none" w:color="000000"/>
                <w:vertAlign w:val="baseline"/>
                <w:rtl w:val="0"/>
                <w:lang w:val="it-IT"/>
              </w:rPr>
              <w:t>senato della repubblica</w:t>
            </w:r>
          </w:p>
        </w:tc>
      </w:tr>
    </w:tbl>
    <w:p>
      <w:pPr>
        <w:pStyle w:val="Corp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567" w:hanging="567"/>
      </w:pPr>
    </w:p>
    <w:p>
      <w:pPr>
        <w:pStyle w:val="Normal"/>
        <w:tabs>
          <w:tab w:val="left" w:pos="4997"/>
        </w:tabs>
        <w:ind w:left="567" w:right="567" w:firstLine="0"/>
        <w:jc w:val="center"/>
        <w:rPr>
          <w:rFonts w:ascii="Times New Roman Bold" w:cs="Times New Roman Bold" w:hAnsi="Times New Roman Bold" w:eastAsia="Times New Roman Bold"/>
          <w:caps w:val="1"/>
        </w:rPr>
      </w:pPr>
    </w:p>
    <w:p>
      <w:pPr>
        <w:pStyle w:val="Normal"/>
        <w:jc w:val="center"/>
        <w:rPr>
          <w:rFonts w:ascii="Times New Roman Bold" w:cs="Times New Roman Bold" w:hAnsi="Times New Roman Bold" w:eastAsia="Times New Roman Bold"/>
          <w:caps w:val="1"/>
          <w:rtl w:val="0"/>
        </w:rPr>
      </w:pPr>
      <w:r>
        <w:rPr>
          <w:rFonts w:ascii="Times New Roman Bold"/>
          <w:caps w:val="1"/>
          <w:rtl w:val="0"/>
          <w:lang w:val="it-IT"/>
        </w:rPr>
        <w:t>______________________</w:t>
      </w:r>
    </w:p>
    <w:p>
      <w:pPr>
        <w:pStyle w:val="Normal"/>
        <w:tabs>
          <w:tab w:val="left" w:pos="4997"/>
        </w:tabs>
        <w:ind w:left="567" w:right="567" w:firstLine="0"/>
        <w:jc w:val="center"/>
        <w:rPr>
          <w:rFonts w:ascii="Times New Roman Bold" w:cs="Times New Roman Bold" w:hAnsi="Times New Roman Bold" w:eastAsia="Times New Roman Bold"/>
          <w:caps w:val="1"/>
        </w:rPr>
      </w:pPr>
      <w:r>
        <w:rPr>
          <w:rFonts w:ascii="Times New Roman Bold"/>
          <w:caps w:val="1"/>
          <w:rtl w:val="0"/>
          <w:lang w:val="it-IT"/>
        </w:rPr>
        <w:t>XVII LEGISLATURA</w:t>
      </w:r>
    </w:p>
    <w:p>
      <w:pPr>
        <w:pStyle w:val="Normal"/>
        <w:tabs>
          <w:tab w:val="left" w:pos="4997"/>
        </w:tabs>
        <w:ind w:left="567" w:right="567" w:firstLine="0"/>
        <w:jc w:val="center"/>
        <w:rPr>
          <w:rFonts w:ascii="Times New Roman Bold" w:cs="Times New Roman Bold" w:hAnsi="Times New Roman Bold" w:eastAsia="Times New Roman Bold"/>
          <w:caps w:val="1"/>
        </w:rPr>
      </w:pPr>
      <w:r>
        <w:rPr>
          <w:rFonts w:ascii="Times New Roman Bold"/>
          <w:caps w:val="1"/>
          <w:rtl w:val="0"/>
          <w:lang w:val="it-IT"/>
        </w:rPr>
        <w:t>______________________</w:t>
      </w:r>
    </w:p>
    <w:p>
      <w:pPr>
        <w:pStyle w:val="Normal"/>
        <w:rPr>
          <w:caps w:val="1"/>
        </w:rPr>
      </w:pPr>
    </w:p>
    <w:p>
      <w:pPr>
        <w:pStyle w:val="Normal"/>
        <w:ind w:left="567" w:right="567" w:firstLine="0"/>
        <w:rPr>
          <w:rFonts w:ascii="Times New Roman Bold" w:cs="Times New Roman Bold" w:hAnsi="Times New Roman Bold" w:eastAsia="Times New Roman Bold"/>
        </w:rPr>
      </w:pPr>
      <w:r>
        <w:rPr>
          <w:caps w:val="1"/>
          <w:rtl w:val="0"/>
        </w:rPr>
        <w:tab/>
        <w:tab/>
        <w:tab/>
        <w:tab/>
        <w:tab/>
        <w:tab/>
        <w:tab/>
        <w:tab/>
        <w:tab/>
        <w:tab/>
      </w:r>
      <w:r>
        <w:rPr>
          <w:rtl w:val="0"/>
          <w:lang w:val="it-IT"/>
        </w:rPr>
        <w:t xml:space="preserve">Doc. </w:t>
      </w:r>
      <w:r>
        <w:rPr>
          <w:rFonts w:ascii="Times New Roman Bold"/>
          <w:rtl w:val="0"/>
          <w:lang w:val="it-IT"/>
        </w:rPr>
        <w:t>XXIII</w:t>
      </w:r>
    </w:p>
    <w:p>
      <w:pPr>
        <w:pStyle w:val="Normal"/>
        <w:ind w:left="567" w:right="567" w:firstLine="0"/>
        <w:rPr>
          <w:caps w:val="1"/>
        </w:rPr>
      </w:pPr>
      <w:r>
        <w:rPr>
          <w:rFonts w:ascii="Times New Roman Bold" w:cs="Times New Roman Bold" w:hAnsi="Times New Roman Bold" w:eastAsia="Times New Roman Bold"/>
          <w:rtl w:val="0"/>
        </w:rPr>
        <w:tab/>
        <w:tab/>
        <w:tab/>
        <w:tab/>
        <w:tab/>
        <w:tab/>
        <w:tab/>
        <w:tab/>
        <w:tab/>
        <w:tab/>
        <w:t>N. 32</w:t>
      </w:r>
    </w:p>
    <w:p>
      <w:pPr>
        <w:pStyle w:val="Normal"/>
        <w:ind w:left="567" w:right="567" w:firstLine="0"/>
        <w:jc w:val="center"/>
        <w:rPr>
          <w:rFonts w:ascii="Times New Roman Bold" w:cs="Times New Roman Bold" w:hAnsi="Times New Roman Bold" w:eastAsia="Times New Roman Bold"/>
        </w:rPr>
      </w:pPr>
    </w:p>
    <w:p>
      <w:pPr>
        <w:pStyle w:val="Normal"/>
        <w:ind w:left="567" w:right="567" w:firstLine="0"/>
        <w:jc w:val="center"/>
        <w:rPr>
          <w:rFonts w:ascii="Times New Roman Bold" w:cs="Times New Roman Bold" w:hAnsi="Times New Roman Bold" w:eastAsia="Times New Roman Bold"/>
        </w:rPr>
      </w:pPr>
      <w:r>
        <w:rPr>
          <w:rFonts w:ascii="Times New Roman Bold"/>
          <w:rtl w:val="0"/>
          <w:lang w:val="it-IT"/>
        </w:rPr>
        <w:t>COMMISSIONE PARLAMENTARE DI INCHIESTA SULLE ATTIVIT</w:t>
      </w:r>
      <w:r>
        <w:rPr>
          <w:rFonts w:hAnsi="Times New Roman Bold" w:hint="default"/>
          <w:rtl w:val="0"/>
          <w:lang w:val="it-IT"/>
        </w:rPr>
        <w:t xml:space="preserve">À </w:t>
      </w:r>
      <w:r>
        <w:rPr>
          <w:rFonts w:ascii="Times New Roman Bold"/>
          <w:rtl w:val="0"/>
          <w:lang w:val="it-IT"/>
        </w:rPr>
        <w:t>ILLECITE CONNESSE AL CICLO DEI RIFIUTI</w:t>
      </w:r>
      <w:r>
        <w:rPr>
          <w:rFonts w:ascii="Times New Roman Bold" w:cs="Times New Roman Bold" w:hAnsi="Times New Roman Bold" w:eastAsia="Times New Roman Bold"/>
          <w:rtl w:val="0"/>
        </w:rPr>
        <w:br w:type="textWrapping"/>
        <w:t xml:space="preserve"> </w:t>
      </w:r>
      <w:r>
        <w:rPr>
          <w:rFonts w:ascii="Times New Roman Bold"/>
          <w:rtl w:val="0"/>
          <w:lang w:val="it-IT"/>
        </w:rPr>
        <w:t>E SU ILLECITI AMBIENTALI AD ESSE CORRELATI</w:t>
      </w:r>
    </w:p>
    <w:p>
      <w:pPr>
        <w:pStyle w:val="Normal"/>
        <w:ind w:left="567" w:right="567" w:firstLine="0"/>
        <w:jc w:val="center"/>
        <w:rPr>
          <w:rFonts w:ascii="Times New Roman Bold" w:cs="Times New Roman Bold" w:hAnsi="Times New Roman Bold" w:eastAsia="Times New Roman Bold"/>
        </w:rPr>
      </w:pPr>
    </w:p>
    <w:p>
      <w:pPr>
        <w:pStyle w:val="Normal"/>
        <w:ind w:left="567" w:right="567" w:firstLine="0"/>
        <w:jc w:val="center"/>
        <w:rPr>
          <w:caps w:val="1"/>
        </w:rPr>
      </w:pPr>
      <w:r>
        <w:rPr>
          <w:rtl w:val="0"/>
          <w:lang w:val="it-IT"/>
        </w:rPr>
        <w:t>(istituita con legge 7 gennaio 2014, n. 1)</w:t>
      </w:r>
    </w:p>
    <w:p>
      <w:pPr>
        <w:pStyle w:val="Normal"/>
        <w:rPr>
          <w:rFonts w:ascii="Times New Roman Bold" w:cs="Times New Roman Bold" w:hAnsi="Times New Roman Bold" w:eastAsia="Times New Roman Bold"/>
          <w:caps w:val="1"/>
        </w:rPr>
      </w:pPr>
    </w:p>
    <w:p>
      <w:pPr>
        <w:pStyle w:val="Normal"/>
        <w:rPr>
          <w:rFonts w:ascii="Times New Roman Bold" w:cs="Times New Roman Bold" w:hAnsi="Times New Roman Bold" w:eastAsia="Times New Roman Bold"/>
          <w:caps w:val="1"/>
        </w:rPr>
      </w:pPr>
    </w:p>
    <w:p>
      <w:pPr>
        <w:pStyle w:val="Normal"/>
        <w:rPr>
          <w:rFonts w:ascii="Times New Roman Bold" w:cs="Times New Roman Bold" w:hAnsi="Times New Roman Bold" w:eastAsia="Times New Roman Bold"/>
          <w:caps w:val="1"/>
        </w:rPr>
      </w:pPr>
    </w:p>
    <w:p>
      <w:pPr>
        <w:pStyle w:val="Normal"/>
        <w:rPr>
          <w:rFonts w:ascii="Times New Roman Bold" w:cs="Times New Roman Bold" w:hAnsi="Times New Roman Bold" w:eastAsia="Times New Roman Bold"/>
          <w:caps w:val="1"/>
        </w:rPr>
      </w:pPr>
    </w:p>
    <w:p>
      <w:pPr>
        <w:pStyle w:val="Normal"/>
        <w:rPr>
          <w:rFonts w:ascii="Times New Roman Bold" w:cs="Times New Roman Bold" w:hAnsi="Times New Roman Bold" w:eastAsia="Times New Roman Bold"/>
          <w:caps w:val="1"/>
        </w:rPr>
      </w:pPr>
    </w:p>
    <w:p>
      <w:pPr>
        <w:pStyle w:val="Normal"/>
        <w:rPr>
          <w:rFonts w:ascii="Times New Roman Bold" w:cs="Times New Roman Bold" w:hAnsi="Times New Roman Bold" w:eastAsia="Times New Roman Bold"/>
          <w:caps w:val="1"/>
        </w:rPr>
      </w:pPr>
    </w:p>
    <w:p>
      <w:pPr>
        <w:pStyle w:val="Normal"/>
        <w:rPr>
          <w:rFonts w:ascii="Times New Roman Bold" w:cs="Times New Roman Bold" w:hAnsi="Times New Roman Bold" w:eastAsia="Times New Roman Bold"/>
          <w:caps w:val="1"/>
        </w:rPr>
      </w:pPr>
    </w:p>
    <w:p>
      <w:pPr>
        <w:pStyle w:val="Normal"/>
        <w:jc w:val="both"/>
        <w:rPr>
          <w:rtl w:val="0"/>
        </w:rPr>
      </w:pPr>
      <w:r>
        <w:rPr>
          <w:caps w:val="1"/>
          <w:rtl w:val="0"/>
          <w:lang w:val="it-IT"/>
        </w:rPr>
        <w:t>(</w:t>
      </w:r>
      <w:r>
        <w:rPr>
          <w:rtl w:val="0"/>
          <w:lang w:val="it-IT"/>
        </w:rPr>
        <w:t xml:space="preserve">composta dai deputati: </w:t>
      </w:r>
      <w:r>
        <w:rPr>
          <w:i w:val="1"/>
          <w:iCs w:val="1"/>
          <w:rtl w:val="0"/>
          <w:lang w:val="it-IT"/>
        </w:rPr>
        <w:t>Braga</w:t>
      </w:r>
      <w:r>
        <w:rPr>
          <w:rtl w:val="0"/>
          <w:lang w:val="it-IT"/>
        </w:rPr>
        <w:t xml:space="preserve">, Presidente; </w:t>
      </w:r>
      <w:r>
        <w:rPr>
          <w:i w:val="1"/>
          <w:iCs w:val="1"/>
          <w:rtl w:val="0"/>
          <w:lang w:val="it-IT"/>
        </w:rPr>
        <w:t>Bianchi Dorina, Bianchi Stella, Carrescia, Castiello, Cominelli, D</w:t>
      </w:r>
      <w:r>
        <w:rPr>
          <w:rFonts w:hAnsi="Times New Roman" w:hint="default"/>
          <w:i w:val="1"/>
          <w:iCs w:val="1"/>
          <w:rtl w:val="0"/>
          <w:lang w:val="it-IT"/>
        </w:rPr>
        <w:t>’</w:t>
      </w:r>
      <w:r>
        <w:rPr>
          <w:i w:val="1"/>
          <w:iCs w:val="1"/>
          <w:rtl w:val="0"/>
          <w:lang w:val="it-IT"/>
        </w:rPr>
        <w:t>Agostino, De Mita, Narduolo, Palma, Polverini, Taglialatela, Vignaroli</w:t>
      </w:r>
      <w:r>
        <w:rPr>
          <w:rtl w:val="0"/>
          <w:lang w:val="it-IT"/>
        </w:rPr>
        <w:t xml:space="preserve">, Vicepresidente, </w:t>
      </w:r>
      <w:r>
        <w:rPr>
          <w:i w:val="1"/>
          <w:iCs w:val="1"/>
          <w:rtl w:val="0"/>
          <w:lang w:val="it-IT"/>
        </w:rPr>
        <w:t>Zaratti</w:t>
      </w:r>
      <w:r>
        <w:rPr>
          <w:rtl w:val="0"/>
          <w:lang w:val="it-IT"/>
        </w:rPr>
        <w:t xml:space="preserve">, Segretario, </w:t>
      </w:r>
      <w:r>
        <w:rPr>
          <w:i w:val="1"/>
          <w:iCs w:val="1"/>
          <w:rtl w:val="0"/>
          <w:lang w:val="it-IT"/>
        </w:rPr>
        <w:t>Zolezzi</w:t>
      </w:r>
      <w:r>
        <w:rPr>
          <w:rtl w:val="0"/>
          <w:lang w:val="it-IT"/>
        </w:rPr>
        <w:t xml:space="preserve">; e dai senatori: </w:t>
      </w:r>
      <w:r>
        <w:rPr>
          <w:i w:val="1"/>
          <w:iCs w:val="1"/>
          <w:rtl w:val="0"/>
          <w:lang w:val="it-IT"/>
        </w:rPr>
        <w:t>Arrigoni, Augello</w:t>
      </w:r>
      <w:r>
        <w:rPr>
          <w:rtl w:val="0"/>
          <w:lang w:val="it-IT"/>
        </w:rPr>
        <w:t xml:space="preserve">, Vicepresidente, </w:t>
      </w:r>
      <w:r>
        <w:rPr>
          <w:i w:val="1"/>
          <w:iCs w:val="1"/>
          <w:rtl w:val="0"/>
          <w:lang w:val="it-IT"/>
        </w:rPr>
        <w:t>Cervellini, Compagnone, Iurlaro, Martelli, Morgoni, Nugnes, Orellana, Orru</w:t>
      </w:r>
      <w:r>
        <w:rPr>
          <w:rFonts w:hAnsi="Times New Roman" w:hint="default"/>
          <w:i w:val="1"/>
          <w:iCs w:val="1"/>
          <w:rtl w:val="0"/>
          <w:lang w:val="it-IT"/>
        </w:rPr>
        <w:t>’</w:t>
      </w:r>
      <w:r>
        <w:rPr>
          <w:i w:val="1"/>
          <w:iCs w:val="1"/>
          <w:rtl w:val="0"/>
          <w:lang w:val="it-IT"/>
        </w:rPr>
        <w:t>, Pagnoncelli, Pepe, Puppato, Scalia</w:t>
      </w:r>
      <w:r>
        <w:rPr>
          <w:rtl w:val="0"/>
          <w:lang w:val="it-IT"/>
        </w:rPr>
        <w:t xml:space="preserve">, Segretario, </w:t>
      </w:r>
      <w:r>
        <w:rPr>
          <w:i w:val="1"/>
          <w:iCs w:val="1"/>
          <w:rtl w:val="0"/>
          <w:lang w:val="it-IT"/>
        </w:rPr>
        <w:t>Sollo</w:t>
      </w:r>
      <w:r>
        <w:rPr>
          <w:rtl w:val="0"/>
          <w:lang w:val="it-IT"/>
        </w:rPr>
        <w:t>)</w:t>
      </w:r>
    </w:p>
    <w:p>
      <w:pPr>
        <w:pStyle w:val="Normal"/>
        <w:jc w:val="both"/>
        <w:rPr>
          <w:rtl w:val="0"/>
        </w:rPr>
      </w:pPr>
    </w:p>
    <w:p>
      <w:pPr>
        <w:pStyle w:val="Normal"/>
        <w:rPr>
          <w:caps w:val="1"/>
        </w:rPr>
      </w:pPr>
    </w:p>
    <w:p>
      <w:pPr>
        <w:pStyle w:val="Normal"/>
        <w:rPr>
          <w:caps w:val="1"/>
        </w:rPr>
      </w:pPr>
    </w:p>
    <w:p>
      <w:pPr>
        <w:pStyle w:val="Normal"/>
        <w:rPr>
          <w:caps w:val="1"/>
        </w:rPr>
      </w:pPr>
    </w:p>
    <w:p>
      <w:pPr>
        <w:pStyle w:val="Normal"/>
        <w:rPr>
          <w:caps w:val="1"/>
        </w:rPr>
      </w:pPr>
    </w:p>
    <w:p>
      <w:pPr>
        <w:pStyle w:val="Normal"/>
        <w:rPr>
          <w:caps w:val="1"/>
        </w:rPr>
      </w:pPr>
    </w:p>
    <w:p>
      <w:pPr>
        <w:pStyle w:val="Normal"/>
        <w:rPr>
          <w:caps w:val="1"/>
        </w:rPr>
      </w:pPr>
    </w:p>
    <w:p>
      <w:pPr>
        <w:pStyle w:val="Normal"/>
        <w:rPr>
          <w:caps w:val="1"/>
        </w:rPr>
      </w:pPr>
    </w:p>
    <w:p>
      <w:pPr>
        <w:pStyle w:val="Normal"/>
        <w:spacing w:line="360" w:lineRule="auto"/>
        <w:ind w:firstLine="454"/>
        <w:jc w:val="center"/>
        <w:rPr>
          <w:rFonts w:ascii="Times New Roman Bold" w:cs="Times New Roman Bold" w:hAnsi="Times New Roman Bold" w:eastAsia="Times New Roman Bold"/>
        </w:rPr>
      </w:pPr>
      <w:r>
        <w:rPr>
          <w:rFonts w:ascii="Times New Roman Bold"/>
          <w:rtl w:val="0"/>
          <w:lang w:val="it-IT"/>
        </w:rPr>
        <w:t xml:space="preserve">Relazione sul ciclo dei rifiuti di Roma Capitale e fenomeni illeciti nel territorio del Lazio </w:t>
      </w:r>
    </w:p>
    <w:p>
      <w:pPr>
        <w:pStyle w:val="Normal"/>
        <w:spacing w:line="360" w:lineRule="auto"/>
        <w:ind w:firstLine="454"/>
        <w:jc w:val="center"/>
        <w:rPr>
          <w:rFonts w:ascii="Times New Roman Bold" w:cs="Times New Roman Bold" w:hAnsi="Times New Roman Bold" w:eastAsia="Times New Roman Bold"/>
        </w:rPr>
      </w:pPr>
      <w:r>
        <w:rPr>
          <w:rFonts w:ascii="Times New Roman Bold"/>
          <w:rtl w:val="0"/>
          <w:lang w:val="it-IT"/>
        </w:rPr>
        <w:t>(Relatrici: Sen. Paola Nugnes, Sen. Laura Puppato)</w:t>
      </w:r>
    </w:p>
    <w:p>
      <w:pPr>
        <w:pStyle w:val="Normal"/>
        <w:ind w:left="567" w:right="567" w:firstLine="0"/>
        <w:jc w:val="center"/>
        <w:rPr>
          <w:i w:val="1"/>
          <w:iCs w:val="1"/>
        </w:rPr>
      </w:pPr>
    </w:p>
    <w:p>
      <w:pPr>
        <w:pStyle w:val="Normal"/>
        <w:ind w:left="567" w:right="567" w:firstLine="0"/>
        <w:jc w:val="center"/>
        <w:rPr>
          <w:i w:val="1"/>
          <w:iCs w:val="1"/>
        </w:rPr>
      </w:pPr>
    </w:p>
    <w:p>
      <w:pPr>
        <w:pStyle w:val="Normal"/>
        <w:ind w:left="567" w:right="567" w:firstLine="0"/>
        <w:jc w:val="center"/>
        <w:rPr>
          <w:i w:val="1"/>
          <w:iCs w:val="1"/>
        </w:rPr>
      </w:pPr>
    </w:p>
    <w:p>
      <w:pPr>
        <w:pStyle w:val="Normal"/>
        <w:ind w:left="567" w:right="567" w:firstLine="0"/>
        <w:jc w:val="center"/>
        <w:rPr>
          <w:i w:val="1"/>
          <w:iCs w:val="1"/>
        </w:rPr>
      </w:pPr>
    </w:p>
    <w:p>
      <w:pPr>
        <w:pStyle w:val="Normal"/>
        <w:ind w:left="567" w:right="567" w:firstLine="0"/>
        <w:jc w:val="center"/>
        <w:rPr>
          <w:i w:val="1"/>
          <w:iCs w:val="1"/>
        </w:rPr>
      </w:pPr>
    </w:p>
    <w:p>
      <w:pPr>
        <w:pStyle w:val="Normal"/>
        <w:ind w:left="567" w:right="567" w:firstLine="0"/>
        <w:jc w:val="center"/>
        <w:rPr>
          <w:i w:val="1"/>
          <w:iCs w:val="1"/>
        </w:rPr>
      </w:pPr>
    </w:p>
    <w:p>
      <w:pPr>
        <w:pStyle w:val="Normal"/>
        <w:ind w:left="567" w:right="567" w:firstLine="0"/>
        <w:jc w:val="center"/>
        <w:rPr>
          <w:i w:val="1"/>
          <w:iCs w:val="1"/>
        </w:rPr>
      </w:pPr>
      <w:r>
        <w:rPr>
          <w:i w:val="1"/>
          <w:iCs w:val="1"/>
          <w:rtl w:val="0"/>
          <w:lang w:val="it-IT"/>
        </w:rPr>
        <w:t>Approvata dalla Commissione nella seduta del 20 dicembre 2017</w:t>
      </w:r>
    </w:p>
    <w:p>
      <w:pPr>
        <w:pStyle w:val="Normal"/>
        <w:ind w:left="567" w:right="567" w:firstLine="0"/>
        <w:jc w:val="center"/>
        <w:rPr>
          <w:i w:val="1"/>
          <w:iCs w:val="1"/>
        </w:rPr>
      </w:pPr>
    </w:p>
    <w:p>
      <w:pPr>
        <w:pStyle w:val="Normal"/>
        <w:ind w:left="567" w:right="567" w:firstLine="0"/>
        <w:jc w:val="center"/>
        <w:rPr>
          <w:i w:val="1"/>
          <w:iCs w:val="1"/>
        </w:rPr>
      </w:pPr>
      <w:r>
        <w:rPr>
          <w:i w:val="1"/>
          <w:iCs w:val="1"/>
          <w:rtl w:val="0"/>
          <w:lang w:val="it-IT"/>
        </w:rPr>
        <w:t>_______________</w:t>
      </w:r>
    </w:p>
    <w:p>
      <w:pPr>
        <w:pStyle w:val="Normal"/>
        <w:ind w:left="567" w:right="567" w:firstLine="0"/>
        <w:jc w:val="center"/>
        <w:rPr>
          <w:i w:val="1"/>
          <w:iCs w:val="1"/>
        </w:rPr>
      </w:pPr>
    </w:p>
    <w:p>
      <w:pPr>
        <w:pStyle w:val="Normal"/>
        <w:ind w:left="567" w:right="567" w:firstLine="0"/>
        <w:jc w:val="center"/>
        <w:rPr>
          <w:i w:val="1"/>
          <w:iCs w:val="1"/>
        </w:rPr>
      </w:pPr>
      <w:r>
        <w:rPr>
          <w:i w:val="1"/>
          <w:iCs w:val="1"/>
          <w:rtl w:val="0"/>
          <w:lang w:val="it-IT"/>
        </w:rPr>
        <w:t>Comunicata alle Presidenze il 20 dicembre 2017</w:t>
      </w:r>
    </w:p>
    <w:p>
      <w:pPr>
        <w:pStyle w:val="Normal"/>
        <w:ind w:left="567" w:right="567" w:firstLine="0"/>
        <w:jc w:val="center"/>
        <w:rPr>
          <w:i w:val="1"/>
          <w:iCs w:val="1"/>
        </w:rPr>
      </w:pPr>
      <w:r>
        <w:rPr>
          <w:i w:val="1"/>
          <w:iCs w:val="1"/>
          <w:rtl w:val="0"/>
          <w:lang w:val="it-IT"/>
        </w:rPr>
        <w:t>ai sensi dell</w:t>
      </w:r>
      <w:r>
        <w:rPr>
          <w:rFonts w:hAnsi="Times New Roman" w:hint="default"/>
          <w:i w:val="1"/>
          <w:iCs w:val="1"/>
          <w:rtl w:val="0"/>
          <w:lang w:val="it-IT"/>
        </w:rPr>
        <w:t>’</w:t>
      </w:r>
      <w:r>
        <w:rPr>
          <w:i w:val="1"/>
          <w:iCs w:val="1"/>
          <w:rtl w:val="0"/>
          <w:lang w:val="it-IT"/>
        </w:rPr>
        <w:t>articolo 1, comma 2, della legge 7 gennaio 2014, n. 1</w:t>
      </w:r>
    </w:p>
    <w:p>
      <w:pPr>
        <w:pStyle w:val="Normal"/>
      </w:pPr>
      <w:r>
        <w:rPr>
          <w:rFonts w:ascii="Book Antiqua" w:cs="Book Antiqua" w:hAnsi="Book Antiqua" w:eastAsia="Book Antiqua"/>
          <w:sz w:val="36"/>
          <w:szCs w:val="36"/>
          <w:rtl w:val="0"/>
        </w:rPr>
        <w:br w:type="page"/>
      </w:r>
    </w:p>
    <w:p>
      <w:pPr>
        <w:pStyle w:val="Normal"/>
        <w:rPr>
          <w:rFonts w:ascii="Book Antiqua" w:cs="Book Antiqua" w:hAnsi="Book Antiqua" w:eastAsia="Book Antiqua"/>
          <w:sz w:val="36"/>
          <w:szCs w:val="36"/>
        </w:rPr>
      </w:pPr>
    </w:p>
    <w:p>
      <w:pPr>
        <w:pStyle w:val="Normal"/>
      </w:pPr>
      <w:r>
        <w:rPr>
          <w:rFonts w:ascii="Book Antiqua" w:cs="Book Antiqua" w:hAnsi="Book Antiqua" w:eastAsia="Book Antiqua"/>
          <w:sz w:val="36"/>
          <w:szCs w:val="36"/>
          <w:rtl w:val="0"/>
        </w:rPr>
        <w:br w:type="page"/>
      </w:r>
    </w:p>
    <w:p>
      <w:pPr>
        <w:pStyle w:val="Normal"/>
        <w:rPr>
          <w:rFonts w:ascii="Book Antiqua" w:cs="Book Antiqua" w:hAnsi="Book Antiqua" w:eastAsia="Book Antiqua"/>
          <w:sz w:val="36"/>
          <w:szCs w:val="36"/>
        </w:rPr>
      </w:pPr>
    </w:p>
    <w:p>
      <w:pPr>
        <w:pStyle w:val="Normal"/>
        <w:ind w:left="567" w:right="567" w:firstLine="0"/>
        <w:jc w:val="center"/>
        <w:rPr>
          <w:rFonts w:ascii="Book Antiqua" w:cs="Book Antiqua" w:hAnsi="Book Antiqua" w:eastAsia="Book Antiqua"/>
          <w:sz w:val="36"/>
          <w:szCs w:val="36"/>
        </w:rPr>
      </w:pPr>
      <w:r>
        <w:rPr>
          <w:rFonts w:ascii="Book Antiqua"/>
          <w:sz w:val="36"/>
          <w:szCs w:val="36"/>
          <w:rtl w:val="0"/>
          <w:lang w:val="it-IT"/>
        </w:rPr>
        <w:t>INDICE</w:t>
      </w:r>
    </w:p>
    <w:p>
      <w:pPr>
        <w:pStyle w:val="Normal"/>
        <w:ind w:left="567" w:right="567" w:firstLine="0"/>
        <w:jc w:val="both"/>
        <w:rPr>
          <w:rFonts w:ascii="Book Antiqua" w:cs="Book Antiqua" w:hAnsi="Book Antiqua" w:eastAsia="Book Antiqua"/>
          <w:sz w:val="32"/>
          <w:szCs w:val="32"/>
        </w:rPr>
      </w:pP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rPr>
      </w:pPr>
    </w:p>
    <w:p>
      <w:pPr>
        <w:pStyle w:val="Normal"/>
        <w:numPr>
          <w:ilvl w:val="0"/>
          <w:numId w:val="3"/>
        </w:numPr>
        <w:tabs>
          <w:tab w:val="num" w:pos="604"/>
          <w:tab w:val="clear" w:pos="705"/>
        </w:tabs>
        <w:bidi w:val="0"/>
        <w:ind w:left="604" w:right="567" w:hanging="604"/>
        <w:jc w:val="both"/>
        <w:rPr>
          <w:rFonts w:ascii="Book Antiqua" w:cs="Book Antiqua" w:hAnsi="Book Antiqua" w:eastAsia="Book Antiqua"/>
          <w:position w:val="0"/>
          <w:sz w:val="28"/>
          <w:szCs w:val="28"/>
          <w:rtl w:val="0"/>
        </w:rPr>
      </w:pPr>
      <w:r>
        <w:rPr>
          <w:rFonts w:ascii="Book Antiqua"/>
          <w:sz w:val="28"/>
          <w:szCs w:val="28"/>
          <w:rtl w:val="0"/>
          <w:lang w:val="it-IT"/>
        </w:rPr>
        <w:t>Le attivit</w:t>
      </w:r>
      <w:r>
        <w:rPr>
          <w:rFonts w:hAnsi="Book Antiqua" w:hint="default"/>
          <w:sz w:val="28"/>
          <w:szCs w:val="28"/>
          <w:rtl w:val="0"/>
          <w:lang w:val="it-IT"/>
        </w:rPr>
        <w:t xml:space="preserve">à </w:t>
      </w:r>
      <w:r>
        <w:rPr>
          <w:rFonts w:ascii="Book Antiqua"/>
          <w:sz w:val="28"/>
          <w:szCs w:val="28"/>
          <w:rtl w:val="0"/>
          <w:lang w:val="it-IT"/>
        </w:rPr>
        <w:t>conoscitive della Commissione</w:t>
      </w:r>
    </w:p>
    <w:p>
      <w:pPr>
        <w:pStyle w:val="Normal"/>
        <w:numPr>
          <w:ilvl w:val="1"/>
          <w:numId w:val="5"/>
        </w:numPr>
        <w:tabs>
          <w:tab w:val="num" w:pos="1287"/>
          <w:tab w:val="clear" w:pos="0"/>
        </w:tabs>
        <w:bidi w:val="0"/>
        <w:ind w:left="1287" w:right="567" w:hanging="720"/>
        <w:jc w:val="both"/>
        <w:rPr>
          <w:rFonts w:ascii="Book Antiqua" w:cs="Book Antiqua" w:hAnsi="Book Antiqua" w:eastAsia="Book Antiqua"/>
          <w:position w:val="0"/>
          <w:rtl w:val="0"/>
        </w:rPr>
      </w:pPr>
      <w:r>
        <w:rPr>
          <w:rFonts w:ascii="Book Antiqua"/>
          <w:rtl w:val="0"/>
          <w:lang w:val="it-IT"/>
        </w:rPr>
        <w:t>I temi della Relazione</w:t>
      </w:r>
    </w:p>
    <w:p>
      <w:pPr>
        <w:pStyle w:val="Normal"/>
        <w:numPr>
          <w:ilvl w:val="1"/>
          <w:numId w:val="5"/>
        </w:numPr>
        <w:tabs>
          <w:tab w:val="num" w:pos="1287"/>
          <w:tab w:val="clear" w:pos="0"/>
        </w:tabs>
        <w:bidi w:val="0"/>
        <w:ind w:left="1287" w:right="567" w:hanging="720"/>
        <w:jc w:val="both"/>
        <w:rPr>
          <w:rFonts w:ascii="Book Antiqua" w:cs="Book Antiqua" w:hAnsi="Book Antiqua" w:eastAsia="Book Antiqua"/>
          <w:position w:val="0"/>
          <w:rtl w:val="0"/>
        </w:rPr>
      </w:pPr>
      <w:r>
        <w:rPr>
          <w:rFonts w:ascii="Book Antiqua"/>
          <w:rtl w:val="0"/>
          <w:lang w:val="it-IT"/>
        </w:rPr>
        <w:t>Il quadro emerso dalle prime audizioni</w:t>
      </w:r>
    </w:p>
    <w:p>
      <w:pPr>
        <w:pStyle w:val="Normal"/>
        <w:numPr>
          <w:ilvl w:val="1"/>
          <w:numId w:val="5"/>
        </w:numPr>
        <w:tabs>
          <w:tab w:val="num" w:pos="1287"/>
          <w:tab w:val="clear" w:pos="0"/>
        </w:tabs>
        <w:bidi w:val="0"/>
        <w:ind w:left="1287" w:right="567" w:hanging="720"/>
        <w:jc w:val="both"/>
        <w:rPr>
          <w:rFonts w:ascii="Book Antiqua" w:cs="Book Antiqua" w:hAnsi="Book Antiqua" w:eastAsia="Book Antiqua"/>
          <w:position w:val="0"/>
          <w:rtl w:val="0"/>
        </w:rPr>
      </w:pPr>
      <w:r>
        <w:rPr>
          <w:rFonts w:ascii="Book Antiqua"/>
          <w:rtl w:val="0"/>
          <w:lang w:val="it-IT"/>
        </w:rPr>
        <w:t>Lo sviluppo successivo delle attivit</w:t>
      </w:r>
      <w:r>
        <w:rPr>
          <w:rFonts w:hAnsi="Book Antiqua" w:hint="default"/>
          <w:rtl w:val="0"/>
          <w:lang w:val="it-IT"/>
        </w:rPr>
        <w:t xml:space="preserve">à </w:t>
      </w:r>
      <w:r>
        <w:rPr>
          <w:rFonts w:ascii="Book Antiqua"/>
          <w:rtl w:val="0"/>
          <w:lang w:val="it-IT"/>
        </w:rPr>
        <w:t>della Commissione</w:t>
      </w:r>
    </w:p>
    <w:p>
      <w:pPr>
        <w:pStyle w:val="Normal"/>
        <w:ind w:left="1287" w:right="567" w:firstLine="0"/>
        <w:jc w:val="both"/>
        <w:rPr>
          <w:rFonts w:ascii="Book Antiqua" w:cs="Book Antiqua" w:hAnsi="Book Antiqua" w:eastAsia="Book Antiqua"/>
        </w:rPr>
      </w:pPr>
    </w:p>
    <w:p>
      <w:pPr>
        <w:pStyle w:val="Normal"/>
        <w:ind w:left="567" w:right="567" w:hanging="567"/>
        <w:jc w:val="both"/>
        <w:rPr>
          <w:rFonts w:ascii="Book Antiqua" w:cs="Book Antiqua" w:hAnsi="Book Antiqua" w:eastAsia="Book Antiqua"/>
          <w:sz w:val="28"/>
          <w:szCs w:val="28"/>
        </w:rPr>
      </w:pPr>
      <w:r>
        <w:rPr>
          <w:rFonts w:ascii="Book Antiqua"/>
          <w:sz w:val="28"/>
          <w:szCs w:val="28"/>
          <w:rtl w:val="0"/>
          <w:lang w:val="it-IT"/>
        </w:rPr>
        <w:t>2.</w:t>
        <w:tab/>
        <w:t xml:space="preserve">Il sistema attuale del ciclo dei rifiuti </w:t>
      </w:r>
    </w:p>
    <w:p>
      <w:pPr>
        <w:pStyle w:val="Normal"/>
        <w:ind w:left="2124" w:right="567" w:hanging="708"/>
        <w:jc w:val="both"/>
        <w:rPr>
          <w:rFonts w:ascii="Book Antiqua" w:cs="Book Antiqua" w:hAnsi="Book Antiqua" w:eastAsia="Book Antiqua"/>
        </w:rPr>
      </w:pPr>
      <w:r>
        <w:rPr>
          <w:rFonts w:ascii="Book Antiqua"/>
          <w:rtl w:val="0"/>
          <w:lang w:val="it-IT"/>
        </w:rPr>
        <w:t>2.1</w:t>
        <w:tab/>
        <w:t xml:space="preserve">Le conclusioni delle relazioni della XVI Legislatura: la situazione impiantistica </w:t>
      </w:r>
    </w:p>
    <w:p>
      <w:pPr>
        <w:pStyle w:val="Normal"/>
        <w:ind w:left="1266" w:right="567" w:firstLine="141"/>
        <w:jc w:val="both"/>
        <w:rPr>
          <w:rFonts w:ascii="Book Antiqua" w:cs="Book Antiqua" w:hAnsi="Book Antiqua" w:eastAsia="Book Antiqua"/>
        </w:rPr>
      </w:pPr>
      <w:r>
        <w:rPr>
          <w:rFonts w:ascii="Book Antiqua"/>
          <w:rtl w:val="0"/>
          <w:lang w:val="it-IT"/>
        </w:rPr>
        <w:t>2.2</w:t>
        <w:tab/>
        <w:t xml:space="preserve">La chiusura di Malagrotta e le alternative assenti </w:t>
      </w:r>
    </w:p>
    <w:p>
      <w:pPr>
        <w:pStyle w:val="Normal"/>
        <w:ind w:left="1416" w:firstLine="708"/>
        <w:rPr>
          <w:rFonts w:ascii="Book Antiqua" w:cs="Book Antiqua" w:hAnsi="Book Antiqua" w:eastAsia="Book Antiqua"/>
        </w:rPr>
      </w:pPr>
      <w:r>
        <w:rPr>
          <w:rFonts w:ascii="Book Antiqua"/>
          <w:rtl w:val="0"/>
          <w:lang w:val="it-IT"/>
        </w:rPr>
        <w:t>2.2.1 La chiusura di Malagrotta</w:t>
      </w:r>
    </w:p>
    <w:p>
      <w:pPr>
        <w:pStyle w:val="Normal"/>
        <w:ind w:left="1416" w:firstLine="708"/>
        <w:rPr>
          <w:rFonts w:ascii="Book Antiqua" w:cs="Book Antiqua" w:hAnsi="Book Antiqua" w:eastAsia="Book Antiqua"/>
        </w:rPr>
      </w:pPr>
      <w:r>
        <w:rPr>
          <w:rFonts w:ascii="Book Antiqua"/>
          <w:rtl w:val="0"/>
          <w:lang w:val="it-IT"/>
        </w:rPr>
        <w:t xml:space="preserve">2.2.2 La gestione dei rifiuti a Roma </w:t>
      </w:r>
    </w:p>
    <w:p>
      <w:pPr>
        <w:pStyle w:val="Normal"/>
        <w:ind w:left="2832" w:right="567" w:firstLine="0"/>
        <w:jc w:val="both"/>
        <w:rPr>
          <w:rFonts w:ascii="Book Antiqua" w:cs="Book Antiqua" w:hAnsi="Book Antiqua" w:eastAsia="Book Antiqua"/>
        </w:rPr>
      </w:pPr>
      <w:r>
        <w:rPr>
          <w:rFonts w:ascii="Book Antiqua"/>
          <w:rtl w:val="0"/>
          <w:lang w:val="it-IT"/>
        </w:rPr>
        <w:t>2.2.2.1 La produzione dei rifiuti e la raccolta differenziata</w:t>
      </w:r>
    </w:p>
    <w:p>
      <w:pPr>
        <w:pStyle w:val="Normal"/>
        <w:ind w:left="2691" w:right="567" w:firstLine="141"/>
        <w:jc w:val="both"/>
        <w:rPr>
          <w:rFonts w:ascii="Book Antiqua" w:cs="Book Antiqua" w:hAnsi="Book Antiqua" w:eastAsia="Book Antiqua"/>
        </w:rPr>
      </w:pPr>
      <w:r>
        <w:rPr>
          <w:rFonts w:ascii="Book Antiqua"/>
          <w:rtl w:val="0"/>
          <w:lang w:val="it-IT"/>
        </w:rPr>
        <w:t>2.2.2.2 I modelli di raccolta differenziata a Roma</w:t>
      </w:r>
    </w:p>
    <w:p>
      <w:pPr>
        <w:pStyle w:val="Normal"/>
        <w:ind w:left="2832" w:right="567" w:firstLine="0"/>
        <w:jc w:val="both"/>
        <w:rPr>
          <w:rFonts w:ascii="Book Antiqua" w:cs="Book Antiqua" w:hAnsi="Book Antiqua" w:eastAsia="Book Antiqua"/>
        </w:rPr>
      </w:pPr>
      <w:r>
        <w:rPr>
          <w:rFonts w:ascii="Book Antiqua"/>
          <w:rtl w:val="0"/>
          <w:lang w:val="it-IT"/>
        </w:rPr>
        <w:t>2.2.2.3 Un sistema rigido e precario: le criticit</w:t>
      </w:r>
      <w:r>
        <w:rPr>
          <w:rFonts w:hAnsi="Book Antiqua" w:hint="default"/>
          <w:rtl w:val="0"/>
          <w:lang w:val="it-IT"/>
        </w:rPr>
        <w:t xml:space="preserve">à </w:t>
      </w:r>
      <w:r>
        <w:rPr>
          <w:rFonts w:ascii="Book Antiqua"/>
          <w:rtl w:val="0"/>
          <w:lang w:val="it-IT"/>
        </w:rPr>
        <w:t>dopo la chiusura di Malagrotta</w:t>
      </w:r>
    </w:p>
    <w:p>
      <w:pPr>
        <w:pStyle w:val="Normal"/>
        <w:ind w:left="2691" w:right="567" w:firstLine="141"/>
        <w:jc w:val="both"/>
        <w:rPr>
          <w:rFonts w:ascii="Book Antiqua" w:cs="Book Antiqua" w:hAnsi="Book Antiqua" w:eastAsia="Book Antiqua"/>
          <w:color w:val="000000"/>
          <w:u w:color="000000"/>
        </w:rPr>
      </w:pPr>
      <w:r>
        <w:rPr>
          <w:rFonts w:ascii="Book Antiqua"/>
          <w:color w:val="000000"/>
          <w:u w:color="000000"/>
          <w:rtl w:val="0"/>
          <w:lang w:val="it-IT"/>
        </w:rPr>
        <w:t>2.2.2.4 La gestione dei rifiuti urbani indifferenziati</w:t>
      </w:r>
    </w:p>
    <w:p>
      <w:pPr>
        <w:pStyle w:val="Normal"/>
        <w:ind w:left="2832" w:right="567" w:firstLine="0"/>
        <w:jc w:val="both"/>
        <w:rPr>
          <w:rFonts w:ascii="Book Antiqua" w:cs="Book Antiqua" w:hAnsi="Book Antiqua" w:eastAsia="Book Antiqua"/>
          <w:color w:val="000000"/>
          <w:u w:color="000000"/>
        </w:rPr>
      </w:pPr>
      <w:r>
        <w:rPr>
          <w:rFonts w:ascii="Book Antiqua"/>
          <w:color w:val="000000"/>
          <w:u w:color="000000"/>
          <w:rtl w:val="0"/>
          <w:lang w:val="it-IT"/>
        </w:rPr>
        <w:t xml:space="preserve">2.2.2.5 La raccolta differenziata della frazione organica (umido e verde) </w:t>
      </w:r>
    </w:p>
    <w:p>
      <w:pPr>
        <w:pStyle w:val="Normal"/>
        <w:ind w:left="2832" w:right="567" w:firstLine="0"/>
        <w:jc w:val="both"/>
        <w:rPr>
          <w:rFonts w:ascii="Book Antiqua" w:cs="Book Antiqua" w:hAnsi="Book Antiqua" w:eastAsia="Book Antiqua"/>
        </w:rPr>
      </w:pPr>
      <w:r>
        <w:rPr>
          <w:rFonts w:ascii="Book Antiqua"/>
          <w:rtl w:val="0"/>
          <w:lang w:val="it-IT"/>
        </w:rPr>
        <w:t>2.2.2.6 L</w:t>
      </w:r>
      <w:r>
        <w:rPr>
          <w:rFonts w:hAnsi="Book Antiqua" w:hint="default"/>
          <w:rtl w:val="0"/>
          <w:lang w:val="it-IT"/>
        </w:rPr>
        <w:t>’</w:t>
      </w:r>
      <w:r>
        <w:rPr>
          <w:rFonts w:ascii="Book Antiqua"/>
          <w:rtl w:val="0"/>
          <w:lang w:val="it-IT"/>
        </w:rPr>
        <w:t>impiantistica</w:t>
      </w:r>
    </w:p>
    <w:p>
      <w:pPr>
        <w:pStyle w:val="Normal"/>
        <w:ind w:left="2832" w:right="567" w:firstLine="0"/>
        <w:jc w:val="both"/>
        <w:rPr>
          <w:rFonts w:ascii="Book Antiqua" w:cs="Book Antiqua" w:hAnsi="Book Antiqua" w:eastAsia="Book Antiqua"/>
        </w:rPr>
      </w:pPr>
      <w:r>
        <w:rPr>
          <w:rFonts w:ascii="Book Antiqua"/>
          <w:rtl w:val="0"/>
          <w:lang w:val="it-IT"/>
        </w:rPr>
        <w:t>2.2.2.7 In particolare: gli impianti per il trattamento dei rifiuti indifferenziati</w:t>
      </w:r>
    </w:p>
    <w:p>
      <w:pPr>
        <w:pStyle w:val="Normal"/>
        <w:ind w:left="2124" w:firstLine="708"/>
        <w:jc w:val="both"/>
        <w:rPr>
          <w:rFonts w:ascii="Book Antiqua" w:cs="Book Antiqua" w:hAnsi="Book Antiqua" w:eastAsia="Book Antiqua"/>
        </w:rPr>
      </w:pPr>
      <w:r>
        <w:rPr>
          <w:rFonts w:ascii="Book Antiqua"/>
          <w:rtl w:val="0"/>
          <w:lang w:val="it-IT"/>
        </w:rPr>
        <w:t>2.2.2.8 I controlli sui TMB</w:t>
      </w:r>
    </w:p>
    <w:p>
      <w:pPr>
        <w:pStyle w:val="Normal"/>
        <w:ind w:left="2691" w:right="567" w:firstLine="141"/>
        <w:jc w:val="both"/>
        <w:rPr>
          <w:rFonts w:ascii="Book Antiqua" w:cs="Book Antiqua" w:hAnsi="Book Antiqua" w:eastAsia="Book Antiqua"/>
        </w:rPr>
      </w:pPr>
      <w:r>
        <w:rPr>
          <w:rFonts w:ascii="Book Antiqua"/>
          <w:rtl w:val="0"/>
          <w:lang w:val="it-IT"/>
        </w:rPr>
        <w:t>2.2.2.9 Il tritovagliatore di Rocca Cencia</w:t>
      </w:r>
    </w:p>
    <w:p>
      <w:pPr>
        <w:pStyle w:val="Elenco a colori - Colore 11"/>
        <w:spacing w:after="0" w:line="240" w:lineRule="auto"/>
        <w:ind w:left="2550" w:right="567" w:firstLine="282"/>
        <w:jc w:val="both"/>
        <w:rPr>
          <w:rFonts w:ascii="Book Antiqua" w:cs="Book Antiqua" w:hAnsi="Book Antiqua" w:eastAsia="Book Antiqua"/>
          <w:sz w:val="24"/>
          <w:szCs w:val="24"/>
        </w:rPr>
      </w:pPr>
      <w:r>
        <w:rPr>
          <w:rFonts w:ascii="Book Antiqua"/>
          <w:sz w:val="24"/>
          <w:szCs w:val="24"/>
          <w:rtl w:val="0"/>
          <w:lang w:val="it-IT"/>
        </w:rPr>
        <w:t>2.2.2.10 Le controversie</w:t>
      </w:r>
    </w:p>
    <w:p>
      <w:pPr>
        <w:pStyle w:val="Elenco a colori - Colore 11"/>
        <w:spacing w:after="0" w:line="240" w:lineRule="auto"/>
        <w:ind w:left="2832" w:right="567" w:firstLine="0"/>
        <w:jc w:val="both"/>
        <w:rPr>
          <w:rFonts w:ascii="Book Antiqua" w:cs="Book Antiqua" w:hAnsi="Book Antiqua" w:eastAsia="Book Antiqua"/>
          <w:sz w:val="24"/>
          <w:szCs w:val="24"/>
        </w:rPr>
      </w:pPr>
      <w:r>
        <w:rPr>
          <w:rFonts w:ascii="Book Antiqua"/>
          <w:sz w:val="24"/>
          <w:szCs w:val="24"/>
          <w:rtl w:val="0"/>
          <w:lang w:val="it-IT"/>
        </w:rPr>
        <w:t>2.2.2.11 La crisi dell</w:t>
      </w:r>
      <w:r>
        <w:rPr>
          <w:rFonts w:hAnsi="Book Antiqua" w:hint="default"/>
          <w:sz w:val="24"/>
          <w:szCs w:val="24"/>
          <w:rtl w:val="0"/>
          <w:lang w:val="it-IT"/>
        </w:rPr>
        <w:t>’</w:t>
      </w:r>
      <w:r>
        <w:rPr>
          <w:rFonts w:ascii="Book Antiqua"/>
          <w:sz w:val="24"/>
          <w:szCs w:val="24"/>
          <w:rtl w:val="0"/>
          <w:lang w:val="it-IT"/>
        </w:rPr>
        <w:t>estate 2016 e le nuove acquisizioni della Commissione</w:t>
      </w:r>
    </w:p>
    <w:p>
      <w:pPr>
        <w:pStyle w:val="Normal"/>
        <w:ind w:left="2124" w:right="567" w:hanging="717"/>
        <w:jc w:val="both"/>
        <w:rPr>
          <w:rFonts w:ascii="Book Antiqua" w:cs="Book Antiqua" w:hAnsi="Book Antiqua" w:eastAsia="Book Antiqua"/>
        </w:rPr>
      </w:pPr>
      <w:r>
        <w:rPr>
          <w:rFonts w:ascii="Book Antiqua"/>
          <w:rtl w:val="0"/>
          <w:lang w:val="it-IT"/>
        </w:rPr>
        <w:t>2.3</w:t>
        <w:tab/>
        <w:t>Storia recente di AMA e programmi di Roma Capitale</w:t>
      </w:r>
    </w:p>
    <w:p>
      <w:pPr>
        <w:pStyle w:val="Normal"/>
        <w:ind w:left="567" w:right="567" w:firstLine="282"/>
        <w:jc w:val="both"/>
        <w:rPr>
          <w:rFonts w:ascii="Book Antiqua" w:cs="Book Antiqua" w:hAnsi="Book Antiqua" w:eastAsia="Book Antiqua"/>
        </w:rPr>
      </w:pPr>
      <w:r>
        <w:rPr>
          <w:rFonts w:ascii="Book Antiqua" w:cs="Book Antiqua" w:hAnsi="Book Antiqua" w:eastAsia="Book Antiqua"/>
          <w:rtl w:val="0"/>
        </w:rPr>
        <w:tab/>
        <w:tab/>
        <w:t>2.3.1 La societ</w:t>
      </w:r>
      <w:r>
        <w:rPr>
          <w:rFonts w:hAnsi="Book Antiqua" w:hint="default"/>
          <w:rtl w:val="0"/>
          <w:lang w:val="it-IT"/>
        </w:rPr>
        <w:t xml:space="preserve">à </w:t>
      </w:r>
      <w:r>
        <w:rPr>
          <w:rFonts w:ascii="Book Antiqua"/>
          <w:rtl w:val="0"/>
          <w:lang w:val="it-IT"/>
        </w:rPr>
        <w:t>e il nuovo affidamento</w:t>
      </w:r>
    </w:p>
    <w:p>
      <w:pPr>
        <w:pStyle w:val="Normal"/>
        <w:ind w:left="2124" w:right="567" w:firstLine="0"/>
        <w:jc w:val="both"/>
        <w:rPr>
          <w:rFonts w:ascii="Book Antiqua" w:cs="Book Antiqua" w:hAnsi="Book Antiqua" w:eastAsia="Book Antiqua"/>
        </w:rPr>
      </w:pPr>
      <w:r>
        <w:rPr>
          <w:rFonts w:ascii="Book Antiqua"/>
          <w:rtl w:val="0"/>
          <w:lang w:val="it-IT"/>
        </w:rPr>
        <w:t xml:space="preserve">2.3.2 Aspetti finanziari e organizzativi; il nuovo contratto di servizio </w:t>
      </w:r>
    </w:p>
    <w:p>
      <w:pPr>
        <w:pStyle w:val="Normal"/>
        <w:ind w:left="1842" w:right="567" w:firstLine="282"/>
        <w:jc w:val="both"/>
        <w:rPr>
          <w:rFonts w:ascii="Book Antiqua" w:cs="Book Antiqua" w:hAnsi="Book Antiqua" w:eastAsia="Book Antiqua"/>
        </w:rPr>
      </w:pPr>
      <w:r>
        <w:rPr>
          <w:rFonts w:ascii="Book Antiqua"/>
          <w:rtl w:val="0"/>
          <w:lang w:val="it-IT"/>
        </w:rPr>
        <w:t xml:space="preserve">2.3.3 Il progetto degli ecodistretti </w:t>
      </w:r>
    </w:p>
    <w:p>
      <w:pPr>
        <w:pStyle w:val="Normal"/>
        <w:ind w:left="2124" w:right="567" w:firstLine="0"/>
        <w:jc w:val="both"/>
        <w:rPr>
          <w:rFonts w:ascii="Book Antiqua" w:cs="Book Antiqua" w:hAnsi="Book Antiqua" w:eastAsia="Book Antiqua"/>
        </w:rPr>
      </w:pPr>
      <w:r>
        <w:rPr>
          <w:rFonts w:ascii="Book Antiqua"/>
          <w:rtl w:val="0"/>
          <w:lang w:val="it-IT"/>
        </w:rPr>
        <w:t>2.3.4 I programmi della giunta di Roma Capitale</w:t>
      </w:r>
    </w:p>
    <w:p>
      <w:pPr>
        <w:pStyle w:val="Normal"/>
        <w:ind w:left="1842" w:right="567" w:firstLine="282"/>
        <w:jc w:val="both"/>
        <w:rPr>
          <w:rFonts w:ascii="Book Antiqua" w:cs="Book Antiqua" w:hAnsi="Book Antiqua" w:eastAsia="Book Antiqua"/>
        </w:rPr>
      </w:pPr>
      <w:r>
        <w:rPr>
          <w:rFonts w:ascii="Book Antiqua"/>
          <w:rtl w:val="0"/>
          <w:lang w:val="it-IT"/>
        </w:rPr>
        <w:t>2.3.5 L</w:t>
      </w:r>
      <w:r>
        <w:rPr>
          <w:rFonts w:hAnsi="Book Antiqua" w:hint="default"/>
          <w:rtl w:val="0"/>
          <w:lang w:val="it-IT"/>
        </w:rPr>
        <w:t>’</w:t>
      </w:r>
      <w:r>
        <w:rPr>
          <w:rFonts w:ascii="Book Antiqua"/>
          <w:rtl w:val="0"/>
          <w:lang w:val="it-IT"/>
        </w:rPr>
        <w:t>eredit</w:t>
      </w:r>
      <w:r>
        <w:rPr>
          <w:rFonts w:hAnsi="Book Antiqua" w:hint="default"/>
          <w:rtl w:val="0"/>
          <w:lang w:val="it-IT"/>
        </w:rPr>
        <w:t xml:space="preserve">à </w:t>
      </w:r>
      <w:r>
        <w:rPr>
          <w:rFonts w:ascii="Book Antiqua"/>
          <w:rtl w:val="0"/>
          <w:lang w:val="it-IT"/>
        </w:rPr>
        <w:t>contenziosa</w:t>
      </w:r>
    </w:p>
    <w:p>
      <w:pPr>
        <w:pStyle w:val="Normal"/>
        <w:ind w:left="2550" w:right="567" w:firstLine="282"/>
        <w:jc w:val="both"/>
        <w:rPr>
          <w:rFonts w:ascii="Book Antiqua" w:cs="Book Antiqua" w:hAnsi="Book Antiqua" w:eastAsia="Book Antiqua"/>
        </w:rPr>
      </w:pPr>
      <w:r>
        <w:rPr>
          <w:rFonts w:ascii="Book Antiqua"/>
          <w:rtl w:val="0"/>
          <w:lang w:val="it-IT"/>
        </w:rPr>
        <w:t>2.3.5.1 Il contenzioso AMA-Co.La.Ri</w:t>
      </w:r>
    </w:p>
    <w:p>
      <w:pPr>
        <w:pStyle w:val="Normal"/>
        <w:ind w:left="2550" w:right="567" w:firstLine="282"/>
        <w:jc w:val="both"/>
        <w:rPr>
          <w:rFonts w:ascii="Book Antiqua" w:cs="Book Antiqua" w:hAnsi="Book Antiqua" w:eastAsia="Book Antiqua"/>
        </w:rPr>
      </w:pPr>
      <w:r>
        <w:rPr>
          <w:rFonts w:ascii="Book Antiqua"/>
          <w:rtl w:val="0"/>
          <w:lang w:val="it-IT"/>
        </w:rPr>
        <w:t>2.3.5.2 La determinazione delle tariffe</w:t>
      </w:r>
    </w:p>
    <w:p>
      <w:pPr>
        <w:pStyle w:val="Normal"/>
        <w:ind w:left="2550" w:right="567" w:firstLine="282"/>
        <w:jc w:val="both"/>
        <w:rPr>
          <w:rFonts w:ascii="Book Antiqua" w:cs="Book Antiqua" w:hAnsi="Book Antiqua" w:eastAsia="Book Antiqua"/>
        </w:rPr>
      </w:pPr>
      <w:r>
        <w:rPr>
          <w:rFonts w:ascii="Book Antiqua"/>
          <w:rtl w:val="0"/>
          <w:lang w:val="it-IT"/>
        </w:rPr>
        <w:t>2.3.5.3 Il contratto ponte</w:t>
      </w:r>
    </w:p>
    <w:p>
      <w:pPr>
        <w:pStyle w:val="Normal"/>
        <w:ind w:left="2124" w:right="567" w:firstLine="0"/>
        <w:jc w:val="both"/>
        <w:rPr>
          <w:rFonts w:ascii="Book Antiqua" w:cs="Book Antiqua" w:hAnsi="Book Antiqua" w:eastAsia="Book Antiqua"/>
        </w:rPr>
      </w:pPr>
      <w:r>
        <w:rPr>
          <w:rFonts w:ascii="Book Antiqua"/>
          <w:rtl w:val="0"/>
          <w:lang w:val="it-IT"/>
        </w:rPr>
        <w:t>2.3.6 La situazione delle societ</w:t>
      </w:r>
      <w:r>
        <w:rPr>
          <w:rFonts w:hAnsi="Book Antiqua" w:hint="default"/>
          <w:rtl w:val="0"/>
          <w:lang w:val="it-IT"/>
        </w:rPr>
        <w:t xml:space="preserve">à </w:t>
      </w:r>
      <w:r>
        <w:rPr>
          <w:rFonts w:ascii="Book Antiqua"/>
          <w:rtl w:val="0"/>
          <w:lang w:val="it-IT"/>
        </w:rPr>
        <w:t>partecipate</w:t>
      </w:r>
    </w:p>
    <w:p>
      <w:pPr>
        <w:pStyle w:val="Normal"/>
        <w:ind w:left="2124" w:right="567" w:firstLine="0"/>
        <w:jc w:val="both"/>
        <w:rPr>
          <w:rFonts w:ascii="Book Antiqua" w:cs="Book Antiqua" w:hAnsi="Book Antiqua" w:eastAsia="Book Antiqua"/>
        </w:rPr>
      </w:pPr>
      <w:r>
        <w:rPr>
          <w:rFonts w:ascii="Book Antiqua"/>
          <w:rtl w:val="0"/>
          <w:lang w:val="it-IT"/>
        </w:rPr>
        <w:t>2.3.7 I programmi della regione Lazio e l</w:t>
      </w:r>
      <w:r>
        <w:rPr>
          <w:rFonts w:hAnsi="Book Antiqua" w:hint="default"/>
          <w:rtl w:val="0"/>
          <w:lang w:val="it-IT"/>
        </w:rPr>
        <w:t>’</w:t>
      </w:r>
      <w:r>
        <w:rPr>
          <w:rFonts w:ascii="Book Antiqua"/>
          <w:rtl w:val="0"/>
          <w:lang w:val="it-IT"/>
        </w:rPr>
        <w:t>attuale uscita di rifiuti da Roma Capitale</w:t>
      </w:r>
    </w:p>
    <w:p>
      <w:pPr>
        <w:pStyle w:val="Normal"/>
        <w:ind w:left="2124" w:right="567" w:firstLine="0"/>
        <w:jc w:val="both"/>
        <w:rPr>
          <w:rFonts w:ascii="Book Antiqua" w:cs="Book Antiqua" w:hAnsi="Book Antiqua" w:eastAsia="Book Antiqua"/>
        </w:rPr>
      </w:pPr>
    </w:p>
    <w:p>
      <w:pPr>
        <w:pStyle w:val="Normal"/>
        <w:ind w:right="567"/>
        <w:jc w:val="both"/>
        <w:rPr>
          <w:rFonts w:ascii="Book Antiqua" w:cs="Book Antiqua" w:hAnsi="Book Antiqua" w:eastAsia="Book Antiqua"/>
          <w:sz w:val="28"/>
          <w:szCs w:val="28"/>
        </w:rPr>
      </w:pPr>
      <w:r>
        <w:rPr>
          <w:rFonts w:ascii="Book Antiqua"/>
          <w:sz w:val="28"/>
          <w:szCs w:val="28"/>
          <w:rtl w:val="0"/>
          <w:lang w:val="it-IT"/>
        </w:rPr>
        <w:t>3.</w:t>
        <w:tab/>
        <w:t>Le criticit</w:t>
      </w:r>
      <w:r>
        <w:rPr>
          <w:rFonts w:hAnsi="Book Antiqua" w:hint="default"/>
          <w:sz w:val="28"/>
          <w:szCs w:val="28"/>
          <w:rtl w:val="0"/>
          <w:lang w:val="it-IT"/>
        </w:rPr>
        <w:t xml:space="preserve">à </w:t>
      </w:r>
      <w:r>
        <w:rPr>
          <w:rFonts w:ascii="Book Antiqua"/>
          <w:sz w:val="28"/>
          <w:szCs w:val="28"/>
          <w:rtl w:val="0"/>
          <w:lang w:val="it-IT"/>
        </w:rPr>
        <w:t xml:space="preserve">emergenti da vicende giudiziarie </w:t>
      </w:r>
    </w:p>
    <w:p>
      <w:pPr>
        <w:pStyle w:val="Normal"/>
        <w:ind w:left="708" w:right="567" w:firstLine="708"/>
        <w:jc w:val="both"/>
        <w:rPr>
          <w:rFonts w:ascii="Book Antiqua" w:cs="Book Antiqua" w:hAnsi="Book Antiqua" w:eastAsia="Book Antiqua"/>
        </w:rPr>
      </w:pPr>
      <w:r>
        <w:rPr>
          <w:rFonts w:ascii="Book Antiqua"/>
          <w:rtl w:val="0"/>
          <w:lang w:val="it-IT"/>
        </w:rPr>
        <w:t xml:space="preserve">3.1 </w:t>
        <w:tab/>
        <w:t>Considerazioni generali</w:t>
      </w:r>
    </w:p>
    <w:p>
      <w:pPr>
        <w:pStyle w:val="Normal"/>
        <w:ind w:left="708" w:right="567" w:firstLine="708"/>
        <w:jc w:val="both"/>
        <w:rPr>
          <w:rFonts w:ascii="Book Antiqua" w:cs="Book Antiqua" w:hAnsi="Book Antiqua" w:eastAsia="Book Antiqua"/>
          <w:i w:val="1"/>
          <w:iCs w:val="1"/>
          <w:sz w:val="22"/>
          <w:szCs w:val="22"/>
        </w:rPr>
      </w:pPr>
      <w:r>
        <w:rPr>
          <w:rFonts w:ascii="Book Antiqua" w:cs="Book Antiqua" w:hAnsi="Book Antiqua" w:eastAsia="Book Antiqua"/>
          <w:i w:val="1"/>
          <w:iCs w:val="1"/>
          <w:sz w:val="22"/>
          <w:szCs w:val="22"/>
          <w:rtl w:val="0"/>
        </w:rPr>
        <w:tab/>
        <w:t>Illegalit</w:t>
      </w:r>
      <w:r>
        <w:rPr>
          <w:rFonts w:hAnsi="Book Antiqua" w:hint="default"/>
          <w:i w:val="1"/>
          <w:iCs w:val="1"/>
          <w:sz w:val="22"/>
          <w:szCs w:val="22"/>
          <w:rtl w:val="0"/>
          <w:lang w:val="it-IT"/>
        </w:rPr>
        <w:t xml:space="preserve">à </w:t>
      </w:r>
      <w:r>
        <w:rPr>
          <w:rFonts w:ascii="Book Antiqua"/>
          <w:i w:val="1"/>
          <w:iCs w:val="1"/>
          <w:sz w:val="22"/>
          <w:szCs w:val="22"/>
          <w:rtl w:val="0"/>
          <w:lang w:val="it-IT"/>
        </w:rPr>
        <w:t>diffusa e degrado</w:t>
      </w:r>
    </w:p>
    <w:p>
      <w:pPr>
        <w:pStyle w:val="Normal"/>
        <w:ind w:left="708" w:right="567" w:firstLine="708"/>
        <w:jc w:val="both"/>
        <w:rPr>
          <w:rFonts w:ascii="Book Antiqua" w:cs="Book Antiqua" w:hAnsi="Book Antiqua" w:eastAsia="Book Antiqua"/>
          <w:i w:val="1"/>
          <w:iCs w:val="1"/>
          <w:sz w:val="22"/>
          <w:szCs w:val="22"/>
        </w:rPr>
      </w:pPr>
      <w:r>
        <w:rPr>
          <w:rFonts w:ascii="Book Antiqua" w:cs="Book Antiqua" w:hAnsi="Book Antiqua" w:eastAsia="Book Antiqua"/>
          <w:i w:val="1"/>
          <w:iCs w:val="1"/>
          <w:sz w:val="22"/>
          <w:szCs w:val="22"/>
          <w:rtl w:val="0"/>
        </w:rPr>
        <w:tab/>
        <w:t>Autodemolitori</w:t>
      </w:r>
    </w:p>
    <w:p>
      <w:pPr>
        <w:pStyle w:val="Normal"/>
        <w:ind w:left="708" w:right="567" w:firstLine="708"/>
        <w:jc w:val="both"/>
        <w:rPr>
          <w:rFonts w:ascii="Book Antiqua" w:cs="Book Antiqua" w:hAnsi="Book Antiqua" w:eastAsia="Book Antiqua"/>
          <w:i w:val="1"/>
          <w:iCs w:val="1"/>
          <w:sz w:val="22"/>
          <w:szCs w:val="22"/>
        </w:rPr>
      </w:pPr>
      <w:r>
        <w:rPr>
          <w:rFonts w:ascii="Book Antiqua" w:cs="Book Antiqua" w:hAnsi="Book Antiqua" w:eastAsia="Book Antiqua"/>
          <w:i w:val="1"/>
          <w:iCs w:val="1"/>
          <w:sz w:val="22"/>
          <w:szCs w:val="22"/>
          <w:rtl w:val="0"/>
        </w:rPr>
        <w:tab/>
        <w:t>Campi nomadi: rinvio</w:t>
      </w:r>
    </w:p>
    <w:p>
      <w:pPr>
        <w:pStyle w:val="Normal"/>
        <w:ind w:left="708" w:right="567" w:firstLine="708"/>
        <w:jc w:val="both"/>
        <w:rPr>
          <w:rFonts w:ascii="Book Antiqua" w:cs="Book Antiqua" w:hAnsi="Book Antiqua" w:eastAsia="Book Antiqua"/>
        </w:rPr>
      </w:pPr>
      <w:r>
        <w:rPr>
          <w:rFonts w:ascii="Book Antiqua"/>
          <w:rtl w:val="0"/>
          <w:lang w:val="it-IT"/>
        </w:rPr>
        <w:t>3.2</w:t>
        <w:tab/>
        <w:t>Mondo di Mezzo</w:t>
      </w:r>
    </w:p>
    <w:p>
      <w:pPr>
        <w:pStyle w:val="Normal"/>
        <w:ind w:left="708" w:right="567" w:firstLine="708"/>
        <w:jc w:val="both"/>
        <w:rPr>
          <w:rFonts w:ascii="Book Antiqua" w:cs="Book Antiqua" w:hAnsi="Book Antiqua" w:eastAsia="Book Antiqua"/>
        </w:rPr>
      </w:pPr>
      <w:r>
        <w:rPr>
          <w:rFonts w:ascii="Book Antiqua"/>
          <w:rtl w:val="0"/>
          <w:lang w:val="it-IT"/>
        </w:rPr>
        <w:t xml:space="preserve">3.3 </w:t>
        <w:tab/>
        <w:t xml:space="preserve">La discarica di Malagrotta e il </w:t>
      </w:r>
      <w:r>
        <w:rPr>
          <w:rFonts w:hAnsi="Book Antiqua" w:hint="default"/>
          <w:rtl w:val="0"/>
          <w:lang w:val="it-IT"/>
        </w:rPr>
        <w:t>“</w:t>
      </w:r>
      <w:r>
        <w:rPr>
          <w:rFonts w:ascii="Book Antiqua"/>
          <w:rtl w:val="0"/>
          <w:lang w:val="it-IT"/>
        </w:rPr>
        <w:t>sistema</w:t>
      </w:r>
      <w:r>
        <w:rPr>
          <w:rFonts w:hAnsi="Book Antiqua" w:hint="default"/>
          <w:rtl w:val="0"/>
          <w:lang w:val="it-IT"/>
        </w:rPr>
        <w:t>”</w:t>
      </w:r>
    </w:p>
    <w:p>
      <w:pPr>
        <w:pStyle w:val="Normal"/>
        <w:ind w:left="567" w:right="567" w:firstLine="0"/>
        <w:rPr>
          <w:rFonts w:ascii="Book Antiqua" w:cs="Book Antiqua" w:hAnsi="Book Antiqua" w:eastAsia="Book Antiqua"/>
        </w:rPr>
      </w:pPr>
      <w:r>
        <w:rPr>
          <w:rFonts w:ascii="Book Antiqua" w:cs="Book Antiqua" w:hAnsi="Book Antiqua" w:eastAsia="Book Antiqua"/>
          <w:rtl w:val="0"/>
        </w:rPr>
        <w:tab/>
        <w:tab/>
        <w:tab/>
        <w:t>3.3.1 Cenni di storia della discarica di Malagrotta</w:t>
      </w:r>
    </w:p>
    <w:p>
      <w:pPr>
        <w:pStyle w:val="Normal"/>
        <w:ind w:left="2124" w:right="567" w:firstLine="0"/>
        <w:jc w:val="both"/>
        <w:rPr>
          <w:rFonts w:ascii="Book Antiqua" w:cs="Book Antiqua" w:hAnsi="Book Antiqua" w:eastAsia="Book Antiqua"/>
        </w:rPr>
      </w:pPr>
      <w:r>
        <w:rPr>
          <w:rFonts w:ascii="Book Antiqua"/>
          <w:rtl w:val="0"/>
          <w:lang w:val="it-IT"/>
        </w:rPr>
        <w:t>3.3.2 Le vicende giurisdizionali amministrative e la verificazione disposta dal Consiglio di Stato</w:t>
      </w:r>
    </w:p>
    <w:p>
      <w:pPr>
        <w:pStyle w:val="Normal"/>
        <w:ind w:left="2124" w:right="567" w:firstLine="0"/>
        <w:jc w:val="both"/>
        <w:rPr>
          <w:rFonts w:ascii="Book Antiqua" w:cs="Book Antiqua" w:hAnsi="Book Antiqua" w:eastAsia="Book Antiqua"/>
        </w:rPr>
      </w:pPr>
      <w:r>
        <w:rPr>
          <w:rFonts w:ascii="Book Antiqua"/>
          <w:rtl w:val="0"/>
          <w:lang w:val="it-IT"/>
        </w:rPr>
        <w:t xml:space="preserve">3.3.3 Ipotesi di reati ambientali e problemi attuali </w:t>
      </w:r>
    </w:p>
    <w:p>
      <w:pPr>
        <w:pStyle w:val="Normal"/>
        <w:ind w:left="1416" w:right="567" w:firstLine="708"/>
        <w:jc w:val="both"/>
        <w:rPr>
          <w:rFonts w:ascii="Book Antiqua" w:cs="Book Antiqua" w:hAnsi="Book Antiqua" w:eastAsia="Book Antiqua"/>
        </w:rPr>
      </w:pPr>
      <w:r>
        <w:rPr>
          <w:rFonts w:ascii="Book Antiqua"/>
          <w:rtl w:val="0"/>
          <w:lang w:val="it-IT"/>
        </w:rPr>
        <w:t xml:space="preserve">3.3.4 Il passaggio al </w:t>
      </w:r>
      <w:r>
        <w:rPr>
          <w:rFonts w:hAnsi="Book Antiqua" w:hint="default"/>
          <w:rtl w:val="0"/>
          <w:lang w:val="it-IT"/>
        </w:rPr>
        <w:t>“</w:t>
      </w:r>
      <w:r>
        <w:rPr>
          <w:rFonts w:ascii="Book Antiqua"/>
          <w:rtl w:val="0"/>
          <w:lang w:val="it-IT"/>
        </w:rPr>
        <w:t>sistema</w:t>
      </w:r>
      <w:r>
        <w:rPr>
          <w:rFonts w:hAnsi="Book Antiqua" w:hint="default"/>
          <w:rtl w:val="0"/>
          <w:lang w:val="it-IT"/>
        </w:rPr>
        <w:t>”</w:t>
      </w:r>
    </w:p>
    <w:p>
      <w:pPr>
        <w:pStyle w:val="Normal"/>
        <w:ind w:left="1416" w:right="567" w:firstLine="708"/>
        <w:jc w:val="both"/>
        <w:rPr>
          <w:rFonts w:ascii="Book Antiqua" w:cs="Book Antiqua" w:hAnsi="Book Antiqua" w:eastAsia="Book Antiqua"/>
        </w:rPr>
      </w:pPr>
    </w:p>
    <w:p>
      <w:pPr>
        <w:pStyle w:val="Normal"/>
        <w:ind w:right="567"/>
        <w:jc w:val="both"/>
        <w:rPr>
          <w:rFonts w:ascii="Book Antiqua" w:cs="Book Antiqua" w:hAnsi="Book Antiqua" w:eastAsia="Book Antiqua"/>
          <w:sz w:val="28"/>
          <w:szCs w:val="28"/>
        </w:rPr>
      </w:pPr>
      <w:r>
        <w:rPr>
          <w:rFonts w:ascii="Book Antiqua"/>
          <w:sz w:val="28"/>
          <w:szCs w:val="28"/>
          <w:rtl w:val="0"/>
          <w:lang w:val="it-IT"/>
        </w:rPr>
        <w:t>4.</w:t>
        <w:tab/>
        <w:t>Societ</w:t>
      </w:r>
      <w:r>
        <w:rPr>
          <w:rFonts w:hAnsi="Book Antiqua" w:hint="default"/>
          <w:sz w:val="28"/>
          <w:szCs w:val="28"/>
          <w:rtl w:val="0"/>
          <w:lang w:val="it-IT"/>
        </w:rPr>
        <w:t xml:space="preserve">à </w:t>
      </w:r>
      <w:r>
        <w:rPr>
          <w:rFonts w:ascii="Book Antiqua"/>
          <w:sz w:val="28"/>
          <w:szCs w:val="28"/>
          <w:rtl w:val="0"/>
          <w:lang w:val="it-IT"/>
        </w:rPr>
        <w:t>e finanza ambientale</w:t>
      </w:r>
    </w:p>
    <w:p>
      <w:pPr>
        <w:pStyle w:val="Normal"/>
        <w:ind w:left="708" w:right="567" w:firstLine="708"/>
        <w:jc w:val="both"/>
        <w:rPr>
          <w:rFonts w:ascii="Book Antiqua" w:cs="Book Antiqua" w:hAnsi="Book Antiqua" w:eastAsia="Book Antiqua"/>
        </w:rPr>
      </w:pPr>
      <w:r>
        <w:rPr>
          <w:rFonts w:ascii="Book Antiqua"/>
          <w:rtl w:val="0"/>
          <w:lang w:val="it-IT"/>
        </w:rPr>
        <w:t xml:space="preserve">4.1 </w:t>
        <w:tab/>
        <w:t>Note metodologiche</w:t>
      </w:r>
    </w:p>
    <w:p>
      <w:pPr>
        <w:pStyle w:val="Normal"/>
        <w:ind w:left="1134" w:right="567" w:firstLine="282"/>
        <w:jc w:val="both"/>
        <w:rPr>
          <w:rFonts w:ascii="Book Antiqua" w:cs="Book Antiqua" w:hAnsi="Book Antiqua" w:eastAsia="Book Antiqua"/>
        </w:rPr>
      </w:pPr>
      <w:r>
        <w:rPr>
          <w:rFonts w:ascii="Book Antiqua"/>
          <w:rtl w:val="0"/>
          <w:lang w:val="it-IT"/>
        </w:rPr>
        <w:t xml:space="preserve">4.2 </w:t>
        <w:tab/>
        <w:t xml:space="preserve">I soggetti coinvolti </w:t>
      </w:r>
    </w:p>
    <w:p>
      <w:pPr>
        <w:pStyle w:val="Normal"/>
        <w:ind w:left="1134" w:right="567" w:firstLine="282"/>
        <w:jc w:val="both"/>
        <w:rPr>
          <w:rFonts w:ascii="Book Antiqua" w:cs="Book Antiqua" w:hAnsi="Book Antiqua" w:eastAsia="Book Antiqua"/>
        </w:rPr>
      </w:pPr>
      <w:r>
        <w:rPr>
          <w:rFonts w:ascii="Book Antiqua"/>
          <w:rtl w:val="0"/>
          <w:lang w:val="it-IT"/>
        </w:rPr>
        <w:t xml:space="preserve">4.3 </w:t>
        <w:tab/>
        <w:t xml:space="preserve">La </w:t>
      </w:r>
      <w:r>
        <w:rPr>
          <w:rFonts w:hAnsi="Book Antiqua" w:hint="default"/>
          <w:rtl w:val="0"/>
          <w:lang w:val="it-IT"/>
        </w:rPr>
        <w:t>“</w:t>
      </w:r>
      <w:r>
        <w:rPr>
          <w:rFonts w:ascii="Book Antiqua"/>
          <w:rtl w:val="0"/>
          <w:lang w:val="it-IT"/>
        </w:rPr>
        <w:t>galassia Cerroni</w:t>
      </w:r>
      <w:r>
        <w:rPr>
          <w:rFonts w:hAnsi="Book Antiqua" w:hint="default"/>
          <w:rtl w:val="0"/>
          <w:lang w:val="it-IT"/>
        </w:rPr>
        <w:t>”</w:t>
      </w:r>
    </w:p>
    <w:p>
      <w:pPr>
        <w:pStyle w:val="Normal"/>
        <w:ind w:left="1134" w:right="567" w:firstLine="282"/>
        <w:jc w:val="both"/>
        <w:rPr>
          <w:rFonts w:ascii="Book Antiqua" w:cs="Book Antiqua" w:hAnsi="Book Antiqua" w:eastAsia="Book Antiqua"/>
          <w:sz w:val="28"/>
          <w:szCs w:val="28"/>
        </w:rPr>
      </w:pPr>
    </w:p>
    <w:p>
      <w:pPr>
        <w:pStyle w:val="Normal"/>
        <w:ind w:right="567"/>
        <w:jc w:val="both"/>
        <w:rPr>
          <w:rFonts w:ascii="Book Antiqua" w:cs="Book Antiqua" w:hAnsi="Book Antiqua" w:eastAsia="Book Antiqua"/>
          <w:sz w:val="28"/>
          <w:szCs w:val="28"/>
        </w:rPr>
      </w:pPr>
      <w:r>
        <w:rPr>
          <w:rFonts w:ascii="Book Antiqua"/>
          <w:sz w:val="28"/>
          <w:szCs w:val="28"/>
          <w:rtl w:val="0"/>
          <w:lang w:val="it-IT"/>
        </w:rPr>
        <w:t>5. La posizione di comitati e associazioni ambientaliste</w:t>
      </w:r>
    </w:p>
    <w:p>
      <w:pPr>
        <w:pStyle w:val="Normal"/>
        <w:ind w:right="567"/>
        <w:jc w:val="both"/>
        <w:rPr>
          <w:rFonts w:ascii="Book Antiqua" w:cs="Book Antiqua" w:hAnsi="Book Antiqua" w:eastAsia="Book Antiqua"/>
          <w:sz w:val="28"/>
          <w:szCs w:val="28"/>
        </w:rPr>
      </w:pPr>
    </w:p>
    <w:p>
      <w:pPr>
        <w:pStyle w:val="Normal"/>
        <w:ind w:right="567"/>
        <w:jc w:val="both"/>
        <w:rPr>
          <w:rFonts w:ascii="Book Antiqua" w:cs="Book Antiqua" w:hAnsi="Book Antiqua" w:eastAsia="Book Antiqua"/>
          <w:sz w:val="28"/>
          <w:szCs w:val="28"/>
        </w:rPr>
      </w:pPr>
      <w:r>
        <w:rPr>
          <w:rFonts w:ascii="Book Antiqua"/>
          <w:sz w:val="28"/>
          <w:szCs w:val="28"/>
          <w:rtl w:val="0"/>
          <w:lang w:val="it-IT"/>
        </w:rPr>
        <w:t>6. Significativi fenomeni illeciti e situazioni critiche nel Lazio</w:t>
      </w:r>
    </w:p>
    <w:p>
      <w:pPr>
        <w:pStyle w:val="Normal"/>
        <w:numPr>
          <w:ilvl w:val="1"/>
          <w:numId w:val="8"/>
        </w:numPr>
        <w:tabs>
          <w:tab w:val="num" w:pos="1134"/>
          <w:tab w:val="clear" w:pos="0"/>
        </w:tabs>
        <w:bidi w:val="0"/>
        <w:ind w:left="1134" w:right="567" w:hanging="720"/>
        <w:jc w:val="both"/>
        <w:rPr>
          <w:rFonts w:ascii="Book Antiqua" w:cs="Book Antiqua" w:hAnsi="Book Antiqua" w:eastAsia="Book Antiqua"/>
          <w:position w:val="0"/>
          <w:rtl w:val="0"/>
        </w:rPr>
      </w:pPr>
      <w:r>
        <w:rPr>
          <w:rFonts w:ascii="Book Antiqua"/>
          <w:rtl w:val="0"/>
          <w:lang w:val="it-IT"/>
        </w:rPr>
        <w:t xml:space="preserve"> La situazione delle province del Lazio: sintesi</w:t>
      </w:r>
    </w:p>
    <w:p>
      <w:pPr>
        <w:pStyle w:val="Normal"/>
        <w:ind w:left="1701" w:right="567" w:firstLine="0"/>
        <w:jc w:val="both"/>
        <w:rPr>
          <w:rFonts w:ascii="Book Antiqua" w:cs="Book Antiqua" w:hAnsi="Book Antiqua" w:eastAsia="Book Antiqua"/>
          <w:i w:val="1"/>
          <w:iCs w:val="1"/>
          <w:sz w:val="22"/>
          <w:szCs w:val="22"/>
        </w:rPr>
      </w:pPr>
      <w:r>
        <w:rPr>
          <w:rFonts w:ascii="Book Antiqua"/>
          <w:i w:val="1"/>
          <w:iCs w:val="1"/>
          <w:sz w:val="22"/>
          <w:szCs w:val="22"/>
          <w:rtl w:val="0"/>
          <w:lang w:val="it-IT"/>
        </w:rPr>
        <w:t>Rieti</w:t>
      </w:r>
    </w:p>
    <w:p>
      <w:pPr>
        <w:pStyle w:val="Normal"/>
        <w:ind w:left="1701" w:right="567" w:firstLine="0"/>
        <w:jc w:val="both"/>
        <w:rPr>
          <w:rFonts w:ascii="Book Antiqua" w:cs="Book Antiqua" w:hAnsi="Book Antiqua" w:eastAsia="Book Antiqua"/>
          <w:i w:val="1"/>
          <w:iCs w:val="1"/>
          <w:sz w:val="22"/>
          <w:szCs w:val="22"/>
        </w:rPr>
      </w:pPr>
      <w:r>
        <w:rPr>
          <w:rFonts w:ascii="Book Antiqua"/>
          <w:i w:val="1"/>
          <w:iCs w:val="1"/>
          <w:sz w:val="22"/>
          <w:szCs w:val="22"/>
          <w:rtl w:val="0"/>
          <w:lang w:val="it-IT"/>
        </w:rPr>
        <w:t>Viterbo</w:t>
      </w:r>
    </w:p>
    <w:p>
      <w:pPr>
        <w:pStyle w:val="Normal"/>
        <w:ind w:left="1701" w:right="567" w:firstLine="0"/>
        <w:jc w:val="both"/>
        <w:rPr>
          <w:rFonts w:ascii="Book Antiqua" w:cs="Book Antiqua" w:hAnsi="Book Antiqua" w:eastAsia="Book Antiqua"/>
          <w:i w:val="1"/>
          <w:iCs w:val="1"/>
          <w:sz w:val="22"/>
          <w:szCs w:val="22"/>
        </w:rPr>
      </w:pPr>
      <w:r>
        <w:rPr>
          <w:rFonts w:ascii="Book Antiqua"/>
          <w:i w:val="1"/>
          <w:iCs w:val="1"/>
          <w:sz w:val="22"/>
          <w:szCs w:val="22"/>
          <w:rtl w:val="0"/>
          <w:lang w:val="it-IT"/>
        </w:rPr>
        <w:t>Frosinone</w:t>
      </w:r>
    </w:p>
    <w:p>
      <w:pPr>
        <w:pStyle w:val="Normal"/>
        <w:ind w:left="1701" w:right="567" w:firstLine="0"/>
        <w:jc w:val="both"/>
        <w:rPr>
          <w:rFonts w:ascii="Book Antiqua" w:cs="Book Antiqua" w:hAnsi="Book Antiqua" w:eastAsia="Book Antiqua"/>
          <w:i w:val="1"/>
          <w:iCs w:val="1"/>
          <w:sz w:val="22"/>
          <w:szCs w:val="22"/>
        </w:rPr>
      </w:pPr>
      <w:r>
        <w:rPr>
          <w:rFonts w:ascii="Book Antiqua"/>
          <w:i w:val="1"/>
          <w:iCs w:val="1"/>
          <w:sz w:val="22"/>
          <w:szCs w:val="22"/>
          <w:rtl w:val="0"/>
          <w:lang w:val="it-IT"/>
        </w:rPr>
        <w:t>Latina</w:t>
      </w:r>
    </w:p>
    <w:p>
      <w:pPr>
        <w:pStyle w:val="Normal"/>
        <w:numPr>
          <w:ilvl w:val="2"/>
          <w:numId w:val="10"/>
        </w:numPr>
        <w:tabs>
          <w:tab w:val="num" w:pos="2421"/>
          <w:tab w:val="clear" w:pos="0"/>
        </w:tabs>
        <w:bidi w:val="0"/>
        <w:ind w:left="2421" w:right="567" w:hanging="720"/>
        <w:jc w:val="both"/>
        <w:rPr>
          <w:rFonts w:ascii="Book Antiqua" w:cs="Book Antiqua" w:hAnsi="Book Antiqua" w:eastAsia="Book Antiqua"/>
          <w:position w:val="0"/>
          <w:rtl w:val="0"/>
        </w:rPr>
      </w:pPr>
      <w:r>
        <w:rPr>
          <w:rFonts w:ascii="Book Antiqua"/>
          <w:rtl w:val="0"/>
          <w:lang w:val="it-IT"/>
        </w:rPr>
        <w:t>Alcune indagini su traffici illeciti di rifiuti</w:t>
      </w:r>
    </w:p>
    <w:p>
      <w:pPr>
        <w:pStyle w:val="Normal"/>
        <w:numPr>
          <w:ilvl w:val="2"/>
          <w:numId w:val="10"/>
        </w:numPr>
        <w:tabs>
          <w:tab w:val="num" w:pos="2421"/>
          <w:tab w:val="clear" w:pos="0"/>
        </w:tabs>
        <w:bidi w:val="0"/>
        <w:ind w:left="2421" w:right="567" w:hanging="720"/>
        <w:jc w:val="both"/>
        <w:rPr>
          <w:rFonts w:ascii="Book Antiqua" w:cs="Book Antiqua" w:hAnsi="Book Antiqua" w:eastAsia="Book Antiqua"/>
          <w:position w:val="0"/>
          <w:rtl w:val="0"/>
        </w:rPr>
      </w:pPr>
      <w:r>
        <w:rPr>
          <w:rFonts w:ascii="Book Antiqua"/>
          <w:rtl w:val="0"/>
          <w:lang w:val="it-IT"/>
        </w:rPr>
        <w:t>La problematica dei rifiuti con codici a specchio</w:t>
      </w:r>
    </w:p>
    <w:p>
      <w:pPr>
        <w:pStyle w:val="Normal"/>
        <w:numPr>
          <w:ilvl w:val="1"/>
          <w:numId w:val="8"/>
        </w:numPr>
        <w:tabs>
          <w:tab w:val="num" w:pos="1134"/>
          <w:tab w:val="clear" w:pos="0"/>
        </w:tabs>
        <w:bidi w:val="0"/>
        <w:ind w:left="1134" w:right="567" w:hanging="720"/>
        <w:jc w:val="both"/>
        <w:rPr>
          <w:rFonts w:ascii="Book Antiqua" w:cs="Book Antiqua" w:hAnsi="Book Antiqua" w:eastAsia="Book Antiqua"/>
          <w:position w:val="0"/>
          <w:rtl w:val="0"/>
        </w:rPr>
      </w:pPr>
      <w:r>
        <w:rPr>
          <w:rFonts w:ascii="Book Antiqua"/>
          <w:rtl w:val="0"/>
          <w:lang w:val="it-IT"/>
        </w:rPr>
        <w:t>Fenomeni illeciti diffusi</w:t>
      </w:r>
    </w:p>
    <w:p>
      <w:pPr>
        <w:pStyle w:val="Normal"/>
        <w:ind w:left="2124" w:right="567" w:hanging="423"/>
        <w:jc w:val="both"/>
        <w:rPr>
          <w:rFonts w:ascii="Book Antiqua" w:cs="Book Antiqua" w:hAnsi="Book Antiqua" w:eastAsia="Book Antiqua"/>
          <w:i w:val="1"/>
          <w:iCs w:val="1"/>
          <w:sz w:val="22"/>
          <w:szCs w:val="22"/>
        </w:rPr>
      </w:pPr>
      <w:r>
        <w:rPr>
          <w:rFonts w:ascii="Book Antiqua"/>
          <w:i w:val="1"/>
          <w:iCs w:val="1"/>
          <w:sz w:val="22"/>
          <w:szCs w:val="22"/>
          <w:rtl w:val="0"/>
          <w:lang w:val="it-IT"/>
        </w:rPr>
        <w:t>Incendi di rifiuti</w:t>
      </w:r>
    </w:p>
    <w:p>
      <w:pPr>
        <w:pStyle w:val="Normal"/>
        <w:ind w:left="2124" w:right="567" w:hanging="423"/>
        <w:jc w:val="both"/>
        <w:rPr>
          <w:rFonts w:ascii="Book Antiqua" w:cs="Book Antiqua" w:hAnsi="Book Antiqua" w:eastAsia="Book Antiqua"/>
          <w:i w:val="1"/>
          <w:iCs w:val="1"/>
          <w:sz w:val="22"/>
          <w:szCs w:val="22"/>
        </w:rPr>
      </w:pPr>
      <w:r>
        <w:rPr>
          <w:rFonts w:ascii="Book Antiqua"/>
          <w:i w:val="1"/>
          <w:iCs w:val="1"/>
          <w:sz w:val="22"/>
          <w:szCs w:val="22"/>
          <w:rtl w:val="0"/>
          <w:lang w:val="it-IT"/>
        </w:rPr>
        <w:t>Isole ecologiche</w:t>
      </w:r>
    </w:p>
    <w:p>
      <w:pPr>
        <w:pStyle w:val="Normal"/>
        <w:numPr>
          <w:ilvl w:val="1"/>
          <w:numId w:val="8"/>
        </w:numPr>
        <w:tabs>
          <w:tab w:val="num" w:pos="1134"/>
          <w:tab w:val="clear" w:pos="0"/>
        </w:tabs>
        <w:bidi w:val="0"/>
        <w:ind w:left="1134" w:right="567" w:hanging="720"/>
        <w:jc w:val="both"/>
        <w:rPr>
          <w:rFonts w:ascii="Book Antiqua" w:cs="Book Antiqua" w:hAnsi="Book Antiqua" w:eastAsia="Book Antiqua"/>
          <w:position w:val="0"/>
          <w:rtl w:val="0"/>
        </w:rPr>
      </w:pPr>
      <w:r>
        <w:rPr>
          <w:rFonts w:ascii="Book Antiqua"/>
          <w:rtl w:val="0"/>
          <w:lang w:val="it-IT"/>
        </w:rPr>
        <w:t>Gli incendi presso impianti di trattamento e smaltimento dei rifiuti. In particolare: l</w:t>
      </w:r>
      <w:r>
        <w:rPr>
          <w:rFonts w:hAnsi="Book Antiqua" w:hint="default"/>
          <w:rtl w:val="0"/>
          <w:lang w:val="it-IT"/>
        </w:rPr>
        <w:t>’</w:t>
      </w:r>
      <w:r>
        <w:rPr>
          <w:rFonts w:ascii="Book Antiqua"/>
          <w:rtl w:val="0"/>
          <w:lang w:val="it-IT"/>
        </w:rPr>
        <w:t xml:space="preserve">incendio della Eco X di Pomezia </w:t>
      </w:r>
    </w:p>
    <w:p>
      <w:pPr>
        <w:pStyle w:val="Normal"/>
        <w:numPr>
          <w:ilvl w:val="1"/>
          <w:numId w:val="8"/>
        </w:numPr>
        <w:tabs>
          <w:tab w:val="num" w:pos="1134"/>
          <w:tab w:val="clear" w:pos="0"/>
        </w:tabs>
        <w:bidi w:val="0"/>
        <w:ind w:left="1134" w:right="567" w:hanging="720"/>
        <w:jc w:val="both"/>
        <w:rPr>
          <w:rFonts w:ascii="Book Antiqua" w:cs="Book Antiqua" w:hAnsi="Book Antiqua" w:eastAsia="Book Antiqua"/>
          <w:position w:val="0"/>
          <w:rtl w:val="0"/>
        </w:rPr>
      </w:pPr>
      <w:r>
        <w:rPr>
          <w:rFonts w:ascii="Book Antiqua"/>
          <w:rtl w:val="0"/>
          <w:lang w:val="it-IT"/>
        </w:rPr>
        <w:t>Il sito di Valle Galeria</w:t>
      </w:r>
    </w:p>
    <w:p>
      <w:pPr>
        <w:pStyle w:val="Normal"/>
        <w:ind w:left="1134" w:right="567" w:firstLine="0"/>
        <w:jc w:val="both"/>
        <w:rPr>
          <w:rFonts w:ascii="Book Antiqua" w:cs="Book Antiqua" w:hAnsi="Book Antiqua" w:eastAsia="Book Antiqua"/>
        </w:rPr>
      </w:pPr>
    </w:p>
    <w:p>
      <w:pPr>
        <w:pStyle w:val="List Paragraph"/>
        <w:numPr>
          <w:ilvl w:val="0"/>
          <w:numId w:val="12"/>
        </w:numPr>
        <w:tabs>
          <w:tab w:val="num" w:pos="321"/>
          <w:tab w:val="clear" w:pos="375"/>
        </w:tabs>
        <w:bidi w:val="0"/>
        <w:ind w:left="321" w:right="567" w:hanging="321"/>
        <w:jc w:val="both"/>
        <w:rPr>
          <w:rFonts w:ascii="Book Antiqua" w:cs="Book Antiqua" w:hAnsi="Book Antiqua" w:eastAsia="Book Antiqua"/>
          <w:position w:val="0"/>
          <w:sz w:val="28"/>
          <w:szCs w:val="28"/>
          <w:rtl w:val="0"/>
        </w:rPr>
      </w:pPr>
      <w:r>
        <w:rPr>
          <w:rFonts w:ascii="Book Antiqua"/>
          <w:sz w:val="28"/>
          <w:szCs w:val="28"/>
          <w:rtl w:val="0"/>
          <w:lang w:val="it-IT"/>
        </w:rPr>
        <w:t>La questione degli illeciti ambientali nel Basso Lazio</w:t>
      </w:r>
    </w:p>
    <w:p>
      <w:pPr>
        <w:pStyle w:val="Normal"/>
        <w:ind w:left="567" w:right="567" w:firstLine="0"/>
        <w:rPr>
          <w:rFonts w:ascii="Book Antiqua" w:cs="Book Antiqua" w:hAnsi="Book Antiqua" w:eastAsia="Book Antiqua"/>
        </w:rPr>
      </w:pPr>
      <w:r>
        <w:rPr>
          <w:rFonts w:ascii="Book Antiqua"/>
          <w:rtl w:val="0"/>
          <w:lang w:val="it-IT"/>
        </w:rPr>
        <w:t xml:space="preserve">7.1 La discarica di Borgo Montello </w:t>
      </w:r>
    </w:p>
    <w:p>
      <w:pPr>
        <w:pStyle w:val="Normal"/>
        <w:ind w:left="567" w:right="567" w:firstLine="0"/>
        <w:rPr>
          <w:rFonts w:ascii="Book Antiqua" w:cs="Book Antiqua" w:hAnsi="Book Antiqua" w:eastAsia="Book Antiqua"/>
        </w:rPr>
      </w:pPr>
      <w:r>
        <w:rPr>
          <w:rFonts w:ascii="Book Antiqua"/>
          <w:rtl w:val="0"/>
          <w:lang w:val="it-IT"/>
        </w:rPr>
        <w:t>7.2 Presenze della criminalit</w:t>
      </w:r>
      <w:r>
        <w:rPr>
          <w:rFonts w:hAnsi="Book Antiqua" w:hint="default"/>
          <w:rtl w:val="0"/>
          <w:lang w:val="it-IT"/>
        </w:rPr>
        <w:t xml:space="preserve">à </w:t>
      </w:r>
      <w:r>
        <w:rPr>
          <w:rFonts w:ascii="Book Antiqua"/>
          <w:rtl w:val="0"/>
          <w:lang w:val="it-IT"/>
        </w:rPr>
        <w:t>ambientale</w:t>
      </w:r>
    </w:p>
    <w:p>
      <w:pPr>
        <w:pStyle w:val="Normal"/>
        <w:ind w:left="567" w:right="567" w:firstLine="0"/>
        <w:rPr>
          <w:rFonts w:ascii="Book Antiqua" w:cs="Book Antiqua" w:hAnsi="Book Antiqua" w:eastAsia="Book Antiqua"/>
        </w:rPr>
      </w:pPr>
      <w:r>
        <w:rPr>
          <w:rFonts w:ascii="Book Antiqua"/>
          <w:rtl w:val="0"/>
          <w:lang w:val="it-IT"/>
        </w:rPr>
        <w:t>7.3 I rifiuti di origine industriale nella discarica di Borgo Montello</w:t>
      </w:r>
    </w:p>
    <w:p>
      <w:pPr>
        <w:pStyle w:val="Normal"/>
        <w:ind w:left="567" w:right="567" w:firstLine="0"/>
        <w:rPr>
          <w:rFonts w:ascii="Book Antiqua" w:cs="Book Antiqua" w:hAnsi="Book Antiqua" w:eastAsia="Book Antiqua"/>
        </w:rPr>
      </w:pPr>
      <w:r>
        <w:rPr>
          <w:rFonts w:ascii="Book Antiqua"/>
          <w:rtl w:val="0"/>
          <w:lang w:val="it-IT"/>
        </w:rPr>
        <w:t>7.3.1 I primi studi, l</w:t>
      </w:r>
      <w:r>
        <w:rPr>
          <w:rFonts w:hAnsi="Book Antiqua" w:hint="default"/>
          <w:rtl w:val="0"/>
          <w:lang w:val="it-IT"/>
        </w:rPr>
        <w:t>’</w:t>
      </w:r>
      <w:r>
        <w:rPr>
          <w:rFonts w:ascii="Book Antiqua"/>
          <w:rtl w:val="0"/>
          <w:lang w:val="it-IT"/>
        </w:rPr>
        <w:t>attivit</w:t>
      </w:r>
      <w:r>
        <w:rPr>
          <w:rFonts w:hAnsi="Book Antiqua" w:hint="default"/>
          <w:rtl w:val="0"/>
          <w:lang w:val="it-IT"/>
        </w:rPr>
        <w:t xml:space="preserve">à </w:t>
      </w:r>
      <w:r>
        <w:rPr>
          <w:rFonts w:ascii="Book Antiqua"/>
          <w:rtl w:val="0"/>
          <w:lang w:val="it-IT"/>
        </w:rPr>
        <w:t>degli enti pubblici, la perizia nel processo per avvelenamento di acque</w:t>
      </w:r>
    </w:p>
    <w:p>
      <w:pPr>
        <w:pStyle w:val="Normal"/>
        <w:ind w:left="567" w:right="567" w:firstLine="0"/>
        <w:rPr>
          <w:rFonts w:ascii="Book Antiqua" w:cs="Book Antiqua" w:hAnsi="Book Antiqua" w:eastAsia="Book Antiqua"/>
        </w:rPr>
      </w:pPr>
      <w:r>
        <w:rPr>
          <w:rFonts w:ascii="Book Antiqua"/>
          <w:rtl w:val="0"/>
          <w:lang w:val="it-IT"/>
        </w:rPr>
        <w:t>7.3.2 L</w:t>
      </w:r>
      <w:r>
        <w:rPr>
          <w:rFonts w:hAnsi="Book Antiqua" w:hint="default"/>
          <w:rtl w:val="0"/>
          <w:lang w:val="it-IT"/>
        </w:rPr>
        <w:t>’</w:t>
      </w:r>
      <w:r>
        <w:rPr>
          <w:rFonts w:ascii="Book Antiqua"/>
          <w:rtl w:val="0"/>
          <w:lang w:val="it-IT"/>
        </w:rPr>
        <w:t>indagine della Squadra mobile di Latina (2013-2014)</w:t>
      </w:r>
    </w:p>
    <w:p>
      <w:pPr>
        <w:pStyle w:val="Normal"/>
        <w:ind w:left="567" w:right="567" w:firstLine="0"/>
        <w:rPr>
          <w:rFonts w:ascii="Book Antiqua" w:cs="Book Antiqua" w:hAnsi="Book Antiqua" w:eastAsia="Book Antiqua"/>
        </w:rPr>
      </w:pPr>
      <w:r>
        <w:rPr>
          <w:rFonts w:ascii="Book Antiqua"/>
          <w:rtl w:val="0"/>
          <w:lang w:val="it-IT"/>
        </w:rPr>
        <w:t>7.4 L</w:t>
      </w:r>
      <w:r>
        <w:rPr>
          <w:rFonts w:hAnsi="Book Antiqua" w:hint="default"/>
          <w:rtl w:val="0"/>
          <w:lang w:val="it-IT"/>
        </w:rPr>
        <w:t>’</w:t>
      </w:r>
      <w:r>
        <w:rPr>
          <w:rFonts w:ascii="Book Antiqua"/>
          <w:rtl w:val="0"/>
          <w:lang w:val="it-IT"/>
        </w:rPr>
        <w:t>attivit</w:t>
      </w:r>
      <w:r>
        <w:rPr>
          <w:rFonts w:hAnsi="Book Antiqua" w:hint="default"/>
          <w:rtl w:val="0"/>
          <w:lang w:val="it-IT"/>
        </w:rPr>
        <w:t xml:space="preserve">à </w:t>
      </w:r>
      <w:r>
        <w:rPr>
          <w:rFonts w:ascii="Book Antiqua"/>
          <w:rtl w:val="0"/>
          <w:lang w:val="it-IT"/>
        </w:rPr>
        <w:t>d</w:t>
      </w:r>
      <w:r>
        <w:rPr>
          <w:rFonts w:hAnsi="Book Antiqua" w:hint="default"/>
          <w:rtl w:val="0"/>
          <w:lang w:val="it-IT"/>
        </w:rPr>
        <w:t>’</w:t>
      </w:r>
      <w:r>
        <w:rPr>
          <w:rFonts w:ascii="Book Antiqua"/>
          <w:rtl w:val="0"/>
          <w:lang w:val="it-IT"/>
        </w:rPr>
        <w:t>indagine svolta dalla Commissione</w:t>
      </w:r>
    </w:p>
    <w:p>
      <w:pPr>
        <w:pStyle w:val="Normal"/>
        <w:ind w:left="567" w:right="567" w:firstLine="0"/>
        <w:rPr>
          <w:rFonts w:ascii="Book Antiqua" w:cs="Book Antiqua" w:hAnsi="Book Antiqua" w:eastAsia="Book Antiqua"/>
        </w:rPr>
      </w:pPr>
      <w:r>
        <w:rPr>
          <w:rFonts w:ascii="Book Antiqua"/>
          <w:rtl w:val="0"/>
          <w:lang w:val="it-IT"/>
        </w:rPr>
        <w:t>7.5 Le indagini storiche sui referenti politici</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7.6 La presenza attuale della criminalit</w:t>
      </w:r>
      <w:r>
        <w:rPr>
          <w:rFonts w:hAnsi="Book Antiqua" w:hint="default"/>
          <w:sz w:val="24"/>
          <w:szCs w:val="24"/>
          <w:rtl w:val="0"/>
          <w:lang w:val="it-IT"/>
        </w:rPr>
        <w:t xml:space="preserve">à </w:t>
      </w:r>
      <w:r>
        <w:rPr>
          <w:rFonts w:ascii="Book Antiqua"/>
          <w:sz w:val="24"/>
          <w:szCs w:val="24"/>
          <w:rtl w:val="0"/>
          <w:lang w:val="it-IT"/>
        </w:rPr>
        <w:t>organizzata</w:t>
      </w:r>
    </w:p>
    <w:p>
      <w:pPr>
        <w:pStyle w:val="Corpo A"/>
        <w:ind w:left="567" w:right="567" w:firstLine="0"/>
        <w:jc w:val="both"/>
        <w:rPr>
          <w:rFonts w:ascii="Book Antiqua" w:cs="Book Antiqua" w:hAnsi="Book Antiqua" w:eastAsia="Book Antiqua"/>
          <w:sz w:val="24"/>
          <w:szCs w:val="24"/>
          <w:lang w:val="it-IT"/>
        </w:rPr>
      </w:pPr>
    </w:p>
    <w:p>
      <w:pPr>
        <w:pStyle w:val="List Paragraph"/>
        <w:numPr>
          <w:ilvl w:val="0"/>
          <w:numId w:val="12"/>
        </w:numPr>
        <w:tabs>
          <w:tab w:val="num" w:pos="321"/>
          <w:tab w:val="clear" w:pos="375"/>
        </w:tabs>
        <w:bidi w:val="0"/>
        <w:ind w:left="321" w:right="567" w:hanging="321"/>
        <w:jc w:val="both"/>
        <w:rPr>
          <w:rFonts w:ascii="Book Antiqua" w:cs="Book Antiqua" w:hAnsi="Book Antiqua" w:eastAsia="Book Antiqua"/>
          <w:position w:val="0"/>
          <w:sz w:val="28"/>
          <w:szCs w:val="28"/>
          <w:rtl w:val="0"/>
        </w:rPr>
      </w:pPr>
      <w:r>
        <w:rPr>
          <w:rFonts w:ascii="Book Antiqua"/>
          <w:sz w:val="28"/>
          <w:szCs w:val="28"/>
          <w:rtl w:val="0"/>
          <w:lang w:val="it-IT"/>
        </w:rPr>
        <w:t>Proposizioni conclusive</w:t>
      </w:r>
    </w:p>
    <w:p>
      <w:pPr>
        <w:pStyle w:val="Normal"/>
        <w:ind w:left="567" w:right="567" w:firstLine="0"/>
        <w:rPr>
          <w:rFonts w:ascii="Book Antiqua" w:cs="Book Antiqua" w:hAnsi="Book Antiqua" w:eastAsia="Book Antiqua"/>
        </w:rPr>
      </w:pPr>
    </w:p>
    <w:p>
      <w:pPr>
        <w:pStyle w:val="Normal"/>
        <w:ind w:right="567"/>
        <w:rPr>
          <w:rFonts w:ascii="Book Antiqua" w:cs="Book Antiqua" w:hAnsi="Book Antiqua" w:eastAsia="Book Antiqua"/>
        </w:rPr>
      </w:pPr>
      <w:r>
        <w:rPr>
          <w:rFonts w:ascii="Book Antiqua"/>
          <w:rtl w:val="0"/>
          <w:lang w:val="it-IT"/>
        </w:rPr>
        <w:t>APPENDICE I</w:t>
      </w:r>
    </w:p>
    <w:p>
      <w:pPr>
        <w:pStyle w:val="Normal"/>
        <w:ind w:right="567"/>
        <w:rPr>
          <w:rFonts w:ascii="Book Antiqua" w:cs="Book Antiqua" w:hAnsi="Book Antiqua" w:eastAsia="Book Antiqua"/>
        </w:rPr>
      </w:pPr>
      <w:r>
        <w:rPr>
          <w:rFonts w:ascii="Book Antiqua"/>
          <w:rtl w:val="0"/>
          <w:lang w:val="it-IT"/>
        </w:rPr>
        <w:t>Elenco delle audizioni e missioni svolte dalla Commissione</w:t>
      </w:r>
    </w:p>
    <w:p>
      <w:pPr>
        <w:pStyle w:val="Normal"/>
        <w:ind w:right="567"/>
        <w:rPr>
          <w:rFonts w:ascii="Book Antiqua" w:cs="Book Antiqua" w:hAnsi="Book Antiqua" w:eastAsia="Book Antiqua"/>
        </w:rPr>
      </w:pPr>
      <w:r>
        <w:rPr>
          <w:rFonts w:ascii="Book Antiqua"/>
          <w:rtl w:val="0"/>
          <w:lang w:val="it-IT"/>
        </w:rPr>
        <w:t>APPENDICE II</w:t>
      </w:r>
    </w:p>
    <w:p>
      <w:pPr>
        <w:pStyle w:val="Normal"/>
        <w:ind w:right="567"/>
        <w:rPr>
          <w:rFonts w:ascii="Book Antiqua" w:cs="Book Antiqua" w:hAnsi="Book Antiqua" w:eastAsia="Book Antiqua"/>
        </w:rPr>
      </w:pPr>
      <w:r>
        <w:rPr>
          <w:rFonts w:ascii="Book Antiqua"/>
          <w:rtl w:val="0"/>
          <w:lang w:val="it-IT"/>
        </w:rPr>
        <w:t>Stralci del contenuto dell</w:t>
      </w:r>
      <w:r>
        <w:rPr>
          <w:rFonts w:hAnsi="Book Antiqua" w:hint="default"/>
          <w:rtl w:val="0"/>
          <w:lang w:val="it-IT"/>
        </w:rPr>
        <w:t>’</w:t>
      </w:r>
      <w:r>
        <w:rPr>
          <w:rFonts w:ascii="Book Antiqua"/>
          <w:rtl w:val="0"/>
          <w:lang w:val="it-IT"/>
        </w:rPr>
        <w:t>ordinanza cautelare emessa nel procedimento penale n. 30546/10 RGNR della procura della Repubblica di Roma (Mondo di Mezzo) relativi a materie di interesse della Commissione.</w:t>
      </w:r>
    </w:p>
    <w:p>
      <w:pPr>
        <w:pStyle w:val="Normal"/>
        <w:ind w:right="567"/>
        <w:rPr>
          <w:rFonts w:ascii="Book Antiqua" w:cs="Book Antiqua" w:hAnsi="Book Antiqua" w:eastAsia="Book Antiqua"/>
        </w:rPr>
      </w:pPr>
      <w:r>
        <w:rPr>
          <w:rFonts w:ascii="Book Antiqua"/>
          <w:rtl w:val="0"/>
          <w:lang w:val="it-IT"/>
        </w:rPr>
        <w:t>ALLEGATO 1</w:t>
      </w:r>
    </w:p>
    <w:p>
      <w:pPr>
        <w:pStyle w:val="Normal"/>
        <w:ind w:right="567"/>
        <w:rPr>
          <w:rFonts w:ascii="Book Antiqua" w:cs="Book Antiqua" w:hAnsi="Book Antiqua" w:eastAsia="Book Antiqua"/>
        </w:rPr>
      </w:pPr>
      <w:r>
        <w:rPr>
          <w:rFonts w:ascii="Book Antiqua"/>
          <w:rtl w:val="0"/>
          <w:lang w:val="it-IT"/>
        </w:rPr>
        <w:t>Nota dell</w:t>
      </w:r>
      <w:r>
        <w:rPr>
          <w:rFonts w:hAnsi="Book Antiqua" w:hint="default"/>
          <w:rtl w:val="0"/>
          <w:lang w:val="it-IT"/>
        </w:rPr>
        <w:t>’</w:t>
      </w:r>
      <w:r>
        <w:rPr>
          <w:rFonts w:ascii="Book Antiqua"/>
          <w:rtl w:val="0"/>
          <w:lang w:val="it-IT"/>
        </w:rPr>
        <w:t>ARPA Lazio sui controlli degli insediamenti nel territorio di Valle Galeria (Doc. 2042/2)</w:t>
      </w:r>
    </w:p>
    <w:p>
      <w:pPr>
        <w:pStyle w:val="Normal"/>
        <w:ind w:right="567"/>
        <w:rPr>
          <w:rFonts w:ascii="Book Antiqua" w:cs="Book Antiqua" w:hAnsi="Book Antiqua" w:eastAsia="Book Antiqua"/>
        </w:rPr>
      </w:pPr>
      <w:r>
        <w:rPr>
          <w:rFonts w:ascii="Book Antiqua"/>
          <w:rtl w:val="0"/>
          <w:lang w:val="it-IT"/>
        </w:rPr>
        <w:t>ALLEGATO 2</w:t>
      </w:r>
    </w:p>
    <w:p>
      <w:pPr>
        <w:pStyle w:val="Normal"/>
        <w:ind w:right="567"/>
        <w:rPr>
          <w:rFonts w:ascii="Book Antiqua" w:cs="Book Antiqua" w:hAnsi="Book Antiqua" w:eastAsia="Book Antiqua"/>
        </w:rPr>
      </w:pPr>
      <w:r>
        <w:rPr>
          <w:rFonts w:ascii="Book Antiqua"/>
          <w:rtl w:val="0"/>
          <w:lang w:val="it-IT"/>
        </w:rPr>
        <w:t xml:space="preserve">Infografica sulla </w:t>
      </w:r>
      <w:r>
        <w:rPr>
          <w:rFonts w:hAnsi="Book Antiqua" w:hint="default"/>
          <w:rtl w:val="0"/>
          <w:lang w:val="it-IT"/>
        </w:rPr>
        <w:t>“</w:t>
      </w:r>
      <w:r>
        <w:rPr>
          <w:rFonts w:ascii="Book Antiqua"/>
          <w:rtl w:val="0"/>
          <w:lang w:val="it-IT"/>
        </w:rPr>
        <w:t>galassia Cerroni</w:t>
      </w:r>
      <w:r>
        <w:rPr>
          <w:rFonts w:hAnsi="Book Antiqua" w:hint="default"/>
          <w:rtl w:val="0"/>
          <w:lang w:val="it-IT"/>
        </w:rPr>
        <w:t>”</w:t>
      </w:r>
    </w:p>
    <w:p>
      <w:pPr>
        <w:pStyle w:val="Normal"/>
      </w:pPr>
      <w:r>
        <w:rPr>
          <w:rFonts w:ascii="Book Antiqua" w:cs="Book Antiqua" w:hAnsi="Book Antiqua" w:eastAsia="Book Antiqua"/>
          <w:sz w:val="28"/>
          <w:szCs w:val="28"/>
          <w:rtl w:val="0"/>
        </w:rPr>
        <w:br w:type="page"/>
      </w:r>
    </w:p>
    <w:p>
      <w:pPr>
        <w:pStyle w:val="Normal"/>
        <w:rPr>
          <w:rFonts w:ascii="Book Antiqua" w:cs="Book Antiqua" w:hAnsi="Book Antiqua" w:eastAsia="Book Antiqua"/>
          <w:sz w:val="28"/>
          <w:szCs w:val="28"/>
        </w:rPr>
      </w:pPr>
    </w:p>
    <w:p>
      <w:pPr>
        <w:pStyle w:val="Normal"/>
        <w:ind w:left="786" w:right="567" w:firstLine="630"/>
        <w:jc w:val="both"/>
        <w:rPr>
          <w:rFonts w:ascii="Book Antiqua" w:cs="Book Antiqua" w:hAnsi="Book Antiqua" w:eastAsia="Book Antiqua"/>
          <w:sz w:val="28"/>
          <w:szCs w:val="28"/>
        </w:rPr>
      </w:pPr>
    </w:p>
    <w:p>
      <w:pPr>
        <w:pStyle w:val="Normal"/>
        <w:ind w:left="786" w:right="567" w:firstLine="630"/>
        <w:jc w:val="both"/>
        <w:rPr>
          <w:rFonts w:ascii="Book Antiqua" w:cs="Book Antiqua" w:hAnsi="Book Antiqua" w:eastAsia="Book Antiqua"/>
          <w:sz w:val="28"/>
          <w:szCs w:val="28"/>
        </w:rPr>
      </w:pPr>
    </w:p>
    <w:p>
      <w:pPr>
        <w:pStyle w:val="Normal"/>
        <w:numPr>
          <w:ilvl w:val="0"/>
          <w:numId w:val="15"/>
        </w:numPr>
        <w:tabs>
          <w:tab w:val="num" w:pos="834"/>
          <w:tab w:val="clear" w:pos="924"/>
        </w:tabs>
        <w:bidi w:val="0"/>
        <w:ind w:left="834" w:right="567" w:hanging="270"/>
        <w:jc w:val="both"/>
        <w:rPr>
          <w:rFonts w:ascii="Book Antiqua" w:cs="Book Antiqua" w:hAnsi="Book Antiqua" w:eastAsia="Book Antiqua"/>
          <w:position w:val="0"/>
          <w:sz w:val="32"/>
          <w:szCs w:val="32"/>
          <w:rtl w:val="0"/>
        </w:rPr>
      </w:pPr>
      <w:r>
        <w:rPr>
          <w:rFonts w:ascii="Book Antiqua"/>
          <w:sz w:val="32"/>
          <w:szCs w:val="32"/>
          <w:rtl w:val="0"/>
          <w:lang w:val="it-IT"/>
        </w:rPr>
        <w:t>Le attivit</w:t>
      </w:r>
      <w:r>
        <w:rPr>
          <w:rFonts w:hAnsi="Book Antiqua" w:hint="default"/>
          <w:sz w:val="32"/>
          <w:szCs w:val="32"/>
          <w:rtl w:val="0"/>
          <w:lang w:val="it-IT"/>
        </w:rPr>
        <w:t xml:space="preserve">à </w:t>
      </w:r>
      <w:r>
        <w:rPr>
          <w:rFonts w:ascii="Book Antiqua"/>
          <w:sz w:val="32"/>
          <w:szCs w:val="32"/>
          <w:rtl w:val="0"/>
          <w:lang w:val="it-IT"/>
        </w:rPr>
        <w:t>conoscitive della Commissione</w:t>
      </w: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rPr>
      </w:pPr>
    </w:p>
    <w:p>
      <w:pPr>
        <w:pStyle w:val="Normal"/>
        <w:numPr>
          <w:ilvl w:val="1"/>
          <w:numId w:val="18"/>
        </w:numPr>
        <w:tabs>
          <w:tab w:val="num" w:pos="1184"/>
          <w:tab w:val="clear" w:pos="1287"/>
        </w:tabs>
        <w:bidi w:val="0"/>
        <w:ind w:left="1184" w:right="567" w:hanging="617"/>
        <w:jc w:val="both"/>
        <w:rPr>
          <w:rFonts w:ascii="Book Antiqua" w:cs="Book Antiqua" w:hAnsi="Book Antiqua" w:eastAsia="Book Antiqua"/>
          <w:position w:val="0"/>
          <w:sz w:val="28"/>
          <w:szCs w:val="28"/>
          <w:rtl w:val="0"/>
        </w:rPr>
      </w:pPr>
      <w:r>
        <w:rPr>
          <w:rFonts w:ascii="Book Antiqua"/>
          <w:sz w:val="28"/>
          <w:szCs w:val="28"/>
          <w:rtl w:val="0"/>
          <w:lang w:val="it-IT"/>
        </w:rPr>
        <w:t>I temi della Relazione</w:t>
      </w:r>
    </w:p>
    <w:p>
      <w:pPr>
        <w:pStyle w:val="Normal"/>
        <w:ind w:left="128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rPr>
      </w:pPr>
      <w:r>
        <w:rPr>
          <w:rFonts w:ascii="Book Antiqua"/>
          <w:rtl w:val="0"/>
          <w:lang w:val="it-IT"/>
        </w:rPr>
        <w:t>La complessit</w:t>
      </w:r>
      <w:r>
        <w:rPr>
          <w:rFonts w:hAnsi="Book Antiqua" w:hint="default"/>
          <w:rtl w:val="0"/>
          <w:lang w:val="it-IT"/>
        </w:rPr>
        <w:t>à</w:t>
      </w:r>
      <w:r>
        <w:rPr>
          <w:rFonts w:ascii="Book Antiqua"/>
          <w:rtl w:val="0"/>
          <w:lang w:val="it-IT"/>
        </w:rPr>
        <w:t xml:space="preserve"> della situazione riguardante il ciclo dei rifiuti nella regione Lazio e a Roma si associa a vicende politico-amministrative e giudiziarie recenti che hanno portato alla luce criticit</w:t>
      </w:r>
      <w:r>
        <w:rPr>
          <w:rFonts w:hAnsi="Book Antiqua" w:hint="default"/>
          <w:rtl w:val="0"/>
          <w:lang w:val="it-IT"/>
        </w:rPr>
        <w:t xml:space="preserve">à </w:t>
      </w:r>
      <w:r>
        <w:rPr>
          <w:rFonts w:ascii="Book Antiqua"/>
          <w:rtl w:val="0"/>
          <w:lang w:val="it-IT"/>
        </w:rPr>
        <w:t xml:space="preserve">derivanti da scelte compiute </w:t>
      </w:r>
      <w:r>
        <w:rPr>
          <w:rFonts w:hAnsi="Book Antiqua" w:hint="default"/>
          <w:rtl w:val="0"/>
          <w:lang w:val="it-IT"/>
        </w:rPr>
        <w:t xml:space="preserve">– </w:t>
      </w:r>
      <w:r>
        <w:rPr>
          <w:rFonts w:ascii="Book Antiqua"/>
          <w:rtl w:val="0"/>
          <w:lang w:val="it-IT"/>
        </w:rPr>
        <w:t>o omesse -    per diversi lustri e riguardanti soprattutto la Capitale.</w:t>
      </w:r>
    </w:p>
    <w:p>
      <w:pPr>
        <w:pStyle w:val="Normal"/>
        <w:ind w:left="567" w:right="567" w:firstLine="0"/>
        <w:jc w:val="both"/>
        <w:rPr>
          <w:rFonts w:ascii="Book Antiqua" w:cs="Book Antiqua" w:hAnsi="Book Antiqua" w:eastAsia="Book Antiqua"/>
        </w:rPr>
      </w:pPr>
      <w:r>
        <w:rPr>
          <w:rFonts w:ascii="Book Antiqua"/>
          <w:rtl w:val="0"/>
          <w:lang w:val="it-IT"/>
        </w:rPr>
        <w:t>La scelta della Commissione, quindi,</w:t>
      </w:r>
      <w:r>
        <w:rPr>
          <w:rFonts w:hAnsi="Book Antiqua" w:hint="default"/>
          <w:rtl w:val="0"/>
          <w:lang w:val="it-IT"/>
        </w:rPr>
        <w:t xml:space="preserve"> è </w:t>
      </w:r>
      <w:r>
        <w:rPr>
          <w:rFonts w:ascii="Book Antiqua"/>
          <w:rtl w:val="0"/>
          <w:lang w:val="it-IT"/>
        </w:rPr>
        <w:t>quella di portare all</w:t>
      </w:r>
      <w:r>
        <w:rPr>
          <w:rFonts w:hAnsi="Book Antiqua" w:hint="default"/>
          <w:rtl w:val="0"/>
          <w:lang w:val="it-IT"/>
        </w:rPr>
        <w:t>’</w:t>
      </w:r>
      <w:r>
        <w:rPr>
          <w:rFonts w:ascii="Book Antiqua"/>
          <w:rtl w:val="0"/>
          <w:lang w:val="it-IT"/>
        </w:rPr>
        <w:t>attenzione del Parlamento, dei cittadini, dei soggetti pubblici e privati coinvolti, un quadro di sintesi, oggetto di questa relazione, che assume quale tema centrale la criticit</w:t>
      </w:r>
      <w:r>
        <w:rPr>
          <w:rFonts w:hAnsi="Book Antiqua" w:hint="default"/>
          <w:rtl w:val="0"/>
          <w:lang w:val="it-IT"/>
        </w:rPr>
        <w:t xml:space="preserve">à </w:t>
      </w:r>
      <w:r>
        <w:rPr>
          <w:rFonts w:ascii="Book Antiqua"/>
          <w:rtl w:val="0"/>
          <w:lang w:val="it-IT"/>
        </w:rPr>
        <w:t>del ciclo dei rifiuti di Roma.</w:t>
      </w:r>
    </w:p>
    <w:p>
      <w:pPr>
        <w:pStyle w:val="Normal"/>
        <w:ind w:left="567" w:right="567" w:firstLine="0"/>
        <w:jc w:val="both"/>
        <w:rPr>
          <w:rFonts w:ascii="Book Antiqua" w:cs="Book Antiqua" w:hAnsi="Book Antiqua" w:eastAsia="Book Antiqua"/>
        </w:rPr>
      </w:pPr>
      <w:r>
        <w:rPr>
          <w:rFonts w:ascii="Book Antiqua"/>
          <w:rtl w:val="0"/>
          <w:lang w:val="it-IT"/>
        </w:rPr>
        <w:t xml:space="preserve">Si </w:t>
      </w:r>
      <w:r>
        <w:rPr>
          <w:rFonts w:hAnsi="Book Antiqua" w:hint="default"/>
          <w:rtl w:val="0"/>
          <w:lang w:val="it-IT"/>
        </w:rPr>
        <w:t xml:space="preserve">è </w:t>
      </w:r>
      <w:r>
        <w:rPr>
          <w:rFonts w:ascii="Book Antiqua"/>
          <w:rtl w:val="0"/>
          <w:lang w:val="it-IT"/>
        </w:rPr>
        <w:t>ritenuto necessario richiamare le conclusioni delle relazioni della XVI legislatura, giacch</w:t>
      </w:r>
      <w:r>
        <w:rPr>
          <w:rFonts w:hAnsi="Book Antiqua" w:hint="default"/>
          <w:rtl w:val="0"/>
          <w:lang w:val="it-IT"/>
        </w:rPr>
        <w:t xml:space="preserve">é </w:t>
      </w:r>
      <w:r>
        <w:rPr>
          <w:rFonts w:ascii="Book Antiqua"/>
          <w:rtl w:val="0"/>
          <w:lang w:val="it-IT"/>
        </w:rPr>
        <w:t>rimane tuttora dirimente la questione impiantistica, aggravata dall</w:t>
      </w:r>
      <w:r>
        <w:rPr>
          <w:rFonts w:hAnsi="Book Antiqua" w:hint="default"/>
          <w:rtl w:val="0"/>
          <w:lang w:val="it-IT"/>
        </w:rPr>
        <w:t>’</w:t>
      </w:r>
      <w:r>
        <w:rPr>
          <w:rFonts w:ascii="Book Antiqua"/>
          <w:rtl w:val="0"/>
          <w:lang w:val="it-IT"/>
        </w:rPr>
        <w:t>assenza, in concreto, di alternative alla discarica di Malagrotta, che alla data del 30 settembre 2013 ha cessato di operare.</w:t>
      </w:r>
    </w:p>
    <w:p>
      <w:pPr>
        <w:pStyle w:val="Normal"/>
        <w:ind w:left="567" w:right="567" w:firstLine="0"/>
        <w:jc w:val="both"/>
        <w:rPr>
          <w:rFonts w:ascii="Book Antiqua" w:cs="Book Antiqua" w:hAnsi="Book Antiqua" w:eastAsia="Book Antiqua"/>
        </w:rPr>
      </w:pPr>
      <w:r>
        <w:rPr>
          <w:rFonts w:ascii="Book Antiqua"/>
          <w:rtl w:val="0"/>
          <w:lang w:val="it-IT"/>
        </w:rPr>
        <w:t>La storia recente di AMA e l</w:t>
      </w:r>
      <w:r>
        <w:rPr>
          <w:rFonts w:hAnsi="Book Antiqua" w:hint="default"/>
          <w:rtl w:val="0"/>
          <w:lang w:val="it-IT"/>
        </w:rPr>
        <w:t>’</w:t>
      </w:r>
      <w:r>
        <w:rPr>
          <w:rFonts w:ascii="Book Antiqua"/>
          <w:rtl w:val="0"/>
          <w:lang w:val="it-IT"/>
        </w:rPr>
        <w:t>attuale destinazione itinerante dei rifiuti di Roma Capitale segnalano la mancata chiusura del ciclo dei rifiuti, che genera un saldo ambientale negativo e costituisce il presupposto per un rischio di condotte illecite. Proprio per questo la Commissione ha scelto, tra le altre cose, di dare consistente spazio alle posizioni delle associazioni ambientaliste e dei comitati che hanno raccolto l</w:t>
      </w:r>
      <w:r>
        <w:rPr>
          <w:rFonts w:hAnsi="Book Antiqua" w:hint="default"/>
          <w:rtl w:val="0"/>
          <w:lang w:val="it-IT"/>
        </w:rPr>
        <w:t>’</w:t>
      </w:r>
      <w:r>
        <w:rPr>
          <w:rFonts w:ascii="Book Antiqua"/>
          <w:rtl w:val="0"/>
          <w:lang w:val="it-IT"/>
        </w:rPr>
        <w:t xml:space="preserve">adesione di cittadini preoccupati delle conseguenze  di un sistema tanto fragile quanto inadeguato. </w:t>
      </w:r>
    </w:p>
    <w:p>
      <w:pPr>
        <w:pStyle w:val="Normal"/>
        <w:ind w:left="567" w:right="567" w:firstLine="0"/>
        <w:jc w:val="both"/>
        <w:rPr>
          <w:rFonts w:ascii="Book Antiqua" w:cs="Book Antiqua" w:hAnsi="Book Antiqua" w:eastAsia="Book Antiqua"/>
        </w:rPr>
      </w:pPr>
      <w:r>
        <w:rPr>
          <w:rFonts w:ascii="Book Antiqua"/>
          <w:rtl w:val="0"/>
          <w:lang w:val="it-IT"/>
        </w:rPr>
        <w:t xml:space="preserve">Le vicende giudiziarie cui si </w:t>
      </w:r>
      <w:r>
        <w:rPr>
          <w:rFonts w:hAnsi="Book Antiqua" w:hint="default"/>
          <w:rtl w:val="0"/>
          <w:lang w:val="it-IT"/>
        </w:rPr>
        <w:t xml:space="preserve">è </w:t>
      </w:r>
      <w:r>
        <w:rPr>
          <w:rFonts w:ascii="Book Antiqua"/>
          <w:rtl w:val="0"/>
          <w:lang w:val="it-IT"/>
        </w:rPr>
        <w:t>fatto cenno vengono analizzate sotto il profilo del manifestato interesse di organizzazioni criminali per la gestione di alcuni segmenti del ciclo dei rifiuti a Roma e nel Lazio; della rilevanza di illeciti ambientali che trovano il loro centro nella gestione della discarica di Malagrotta e nella ramificazione di strutture e interessi societari che nella presente relazione vengono descritti. A una matrice narrativa e di sintesi, la Commissione ha ritenuto infatti utile associare un</w:t>
      </w:r>
      <w:r>
        <w:rPr>
          <w:rFonts w:hAnsi="Book Antiqua" w:hint="default"/>
          <w:rtl w:val="0"/>
          <w:lang w:val="it-IT"/>
        </w:rPr>
        <w:t>’</w:t>
      </w:r>
      <w:r>
        <w:rPr>
          <w:rFonts w:ascii="Book Antiqua"/>
          <w:rtl w:val="0"/>
          <w:lang w:val="it-IT"/>
        </w:rPr>
        <w:t>avanzata analisi societaria, con attivit</w:t>
      </w:r>
      <w:r>
        <w:rPr>
          <w:rFonts w:hAnsi="Book Antiqua" w:hint="default"/>
          <w:rtl w:val="0"/>
          <w:lang w:val="it-IT"/>
        </w:rPr>
        <w:t xml:space="preserve">à </w:t>
      </w:r>
      <w:r>
        <w:rPr>
          <w:rFonts w:ascii="Book Antiqua"/>
          <w:rtl w:val="0"/>
          <w:lang w:val="it-IT"/>
        </w:rPr>
        <w:t xml:space="preserve">di indagine sulla </w:t>
      </w:r>
      <w:r>
        <w:rPr>
          <w:rFonts w:hAnsi="Book Antiqua" w:hint="default"/>
          <w:rtl w:val="0"/>
          <w:lang w:val="it-IT"/>
        </w:rPr>
        <w:t>“</w:t>
      </w:r>
      <w:r>
        <w:rPr>
          <w:rFonts w:ascii="Book Antiqua"/>
          <w:rtl w:val="0"/>
          <w:lang w:val="it-IT"/>
        </w:rPr>
        <w:t>galassia</w:t>
      </w:r>
      <w:r>
        <w:rPr>
          <w:rFonts w:hAnsi="Book Antiqua" w:hint="default"/>
          <w:rtl w:val="0"/>
          <w:lang w:val="it-IT"/>
        </w:rPr>
        <w:t xml:space="preserve">” </w:t>
      </w:r>
      <w:r>
        <w:rPr>
          <w:rFonts w:ascii="Book Antiqua"/>
          <w:rtl w:val="0"/>
          <w:lang w:val="it-IT"/>
        </w:rPr>
        <w:t>che coinvolge il Lazio per estendersi in ambito nazionale.</w:t>
      </w:r>
    </w:p>
    <w:p>
      <w:pPr>
        <w:pStyle w:val="Normal"/>
        <w:ind w:left="567" w:right="567" w:firstLine="0"/>
        <w:jc w:val="both"/>
        <w:rPr>
          <w:rFonts w:ascii="Book Antiqua" w:cs="Book Antiqua" w:hAnsi="Book Antiqua" w:eastAsia="Book Antiqua"/>
        </w:rPr>
      </w:pPr>
      <w:r>
        <w:rPr>
          <w:rFonts w:ascii="Book Antiqua"/>
          <w:rtl w:val="0"/>
          <w:lang w:val="it-IT"/>
        </w:rPr>
        <w:t>Sono stati poi analizzati alcuni significativi fenomeni di illegalit</w:t>
      </w:r>
      <w:r>
        <w:rPr>
          <w:rFonts w:hAnsi="Book Antiqua" w:hint="default"/>
          <w:rtl w:val="0"/>
          <w:lang w:val="it-IT"/>
        </w:rPr>
        <w:t>à</w:t>
      </w:r>
      <w:r>
        <w:rPr>
          <w:rFonts w:ascii="Book Antiqua"/>
          <w:rtl w:val="0"/>
          <w:lang w:val="it-IT"/>
        </w:rPr>
        <w:t xml:space="preserve"> e situazioni critiche nel Lazio, a partire da fatti illeciti e fenomeni diffusi, con attenzione al rischio di presenze criminali nella parte meridionale della regione, territorio particolarmente sensibile.</w:t>
      </w: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sz w:val="28"/>
          <w:szCs w:val="28"/>
        </w:rPr>
      </w:pPr>
      <w:r>
        <w:rPr>
          <w:rFonts w:ascii="Book Antiqua"/>
          <w:sz w:val="28"/>
          <w:szCs w:val="28"/>
          <w:rtl w:val="0"/>
          <w:lang w:val="it-IT"/>
        </w:rPr>
        <w:t>1.2 Il quadro emerso dalle prime audizioni della Commissione</w:t>
      </w: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rPr>
      </w:pPr>
      <w:r>
        <w:rPr>
          <w:rFonts w:ascii="Book Antiqua"/>
          <w:rtl w:val="0"/>
          <w:lang w:val="it-IT"/>
        </w:rPr>
        <w:t>La Commissione ha compiuto la scelta di avviare, il 13 luglio 2015, le attivit</w:t>
      </w:r>
      <w:r>
        <w:rPr>
          <w:rFonts w:hAnsi="Book Antiqua" w:hint="default"/>
          <w:rtl w:val="0"/>
          <w:lang w:val="it-IT"/>
        </w:rPr>
        <w:t xml:space="preserve">à </w:t>
      </w:r>
      <w:r>
        <w:rPr>
          <w:rFonts w:ascii="Book Antiqua"/>
          <w:rtl w:val="0"/>
          <w:lang w:val="it-IT"/>
        </w:rPr>
        <w:t xml:space="preserve">conoscitive sulla regione Lazio con audizioni di associazioni e comitati di cittadini, (del cui contenuto </w:t>
      </w:r>
      <w:r>
        <w:rPr>
          <w:rFonts w:hAnsi="Book Antiqua" w:hint="default"/>
          <w:rtl w:val="0"/>
          <w:lang w:val="it-IT"/>
        </w:rPr>
        <w:t xml:space="preserve">– </w:t>
      </w:r>
      <w:r>
        <w:rPr>
          <w:rFonts w:ascii="Book Antiqua"/>
          <w:rtl w:val="0"/>
          <w:lang w:val="it-IT"/>
        </w:rPr>
        <w:t>ed attualit</w:t>
      </w:r>
      <w:r>
        <w:rPr>
          <w:rFonts w:hAnsi="Book Antiqua" w:hint="default"/>
          <w:rtl w:val="0"/>
          <w:lang w:val="it-IT"/>
        </w:rPr>
        <w:t xml:space="preserve">à </w:t>
      </w:r>
      <w:r>
        <w:rPr>
          <w:rFonts w:ascii="Book Antiqua"/>
          <w:rtl w:val="0"/>
          <w:lang w:val="it-IT"/>
        </w:rPr>
        <w:t>- si dar</w:t>
      </w:r>
      <w:r>
        <w:rPr>
          <w:rFonts w:hAnsi="Book Antiqua" w:hint="default"/>
          <w:rtl w:val="0"/>
          <w:lang w:val="it-IT"/>
        </w:rPr>
        <w:t xml:space="preserve">à </w:t>
      </w:r>
      <w:r>
        <w:rPr>
          <w:rFonts w:ascii="Book Antiqua"/>
          <w:rtl w:val="0"/>
          <w:lang w:val="it-IT"/>
        </w:rPr>
        <w:t xml:space="preserve">conto nel successivo </w:t>
      </w:r>
      <w:r>
        <w:rPr>
          <w:rFonts w:hAnsi="Book Antiqua" w:hint="default"/>
          <w:rtl w:val="0"/>
          <w:lang w:val="it-IT"/>
        </w:rPr>
        <w:t xml:space="preserve">§ </w:t>
      </w:r>
      <w:r>
        <w:rPr>
          <w:rFonts w:ascii="Book Antiqua"/>
          <w:rtl w:val="0"/>
          <w:lang w:val="it-IT"/>
        </w:rPr>
        <w:t>5).</w:t>
      </w:r>
    </w:p>
    <w:p>
      <w:pPr>
        <w:pStyle w:val="Normal"/>
        <w:ind w:left="567" w:right="567" w:firstLine="0"/>
        <w:jc w:val="both"/>
        <w:rPr>
          <w:rFonts w:ascii="Book Antiqua" w:cs="Book Antiqua" w:hAnsi="Book Antiqua" w:eastAsia="Book Antiqua"/>
        </w:rPr>
      </w:pPr>
      <w:r>
        <w:rPr>
          <w:rFonts w:ascii="Book Antiqua"/>
          <w:rtl w:val="0"/>
          <w:lang w:val="it-IT"/>
        </w:rPr>
        <w:t>Successivamente, il 22 luglio 2015, in forma di missione, la Commissione ha proceduto ad ascoltare, in Roma, i rappresentanti delle istituzioni (comune di Roma, regione Lazio, prefetto di Roma, comandante del NOE di Roma, Corpo forestale dello Stato di Roma, Guardia di finanza, procuratore della Repubblica di Roma), nonch</w:t>
      </w:r>
      <w:r>
        <w:rPr>
          <w:rFonts w:hAnsi="Book Antiqua" w:hint="default"/>
          <w:rtl w:val="0"/>
          <w:lang w:val="it-IT"/>
        </w:rPr>
        <w:t xml:space="preserve">é </w:t>
      </w:r>
      <w:r>
        <w:rPr>
          <w:rFonts w:ascii="Book Antiqua"/>
          <w:rtl w:val="0"/>
          <w:lang w:val="it-IT"/>
        </w:rPr>
        <w:t xml:space="preserve">il presidente di AMA S.p.A. . </w:t>
      </w:r>
    </w:p>
    <w:p>
      <w:pPr>
        <w:pStyle w:val="Normal"/>
        <w:ind w:left="567" w:right="567" w:firstLine="0"/>
        <w:jc w:val="both"/>
        <w:rPr>
          <w:rFonts w:ascii="Book Antiqua" w:cs="Book Antiqua" w:hAnsi="Book Antiqua" w:eastAsia="Book Antiqua"/>
        </w:rPr>
      </w:pPr>
      <w:r>
        <w:rPr>
          <w:rFonts w:ascii="Book Antiqua"/>
          <w:rtl w:val="0"/>
          <w:lang w:val="it-IT"/>
        </w:rPr>
        <w:t xml:space="preserve">Come primo approccio conoscitivo le audizioni hanno dichiaratamente avuto per oggetto particolare la situazione di Roma, sia per quanto riguarda la gestione del ciclo dei rifiuti in generale, sia per quanto riguarda le emergenze giudiziarie. </w:t>
      </w:r>
    </w:p>
    <w:p>
      <w:pPr>
        <w:pStyle w:val="Normal"/>
        <w:ind w:left="567" w:right="567" w:firstLine="0"/>
        <w:jc w:val="both"/>
        <w:rPr>
          <w:rFonts w:ascii="Book Antiqua" w:cs="Book Antiqua" w:hAnsi="Book Antiqua" w:eastAsia="Book Antiqua"/>
        </w:rPr>
      </w:pPr>
      <w:r>
        <w:rPr>
          <w:rFonts w:ascii="Book Antiqua"/>
          <w:rtl w:val="0"/>
          <w:lang w:val="it-IT"/>
        </w:rPr>
        <w:t>Tuttavia le audizioni svolte hanno portato l</w:t>
      </w:r>
      <w:r>
        <w:rPr>
          <w:rFonts w:hAnsi="Book Antiqua" w:hint="default"/>
          <w:rtl w:val="0"/>
          <w:lang w:val="it-IT"/>
        </w:rPr>
        <w:t>’</w:t>
      </w:r>
      <w:r>
        <w:rPr>
          <w:rFonts w:ascii="Book Antiqua"/>
          <w:rtl w:val="0"/>
          <w:lang w:val="it-IT"/>
        </w:rPr>
        <w:t>attenzione  anche  su problemi pi</w:t>
      </w:r>
      <w:r>
        <w:rPr>
          <w:rFonts w:hAnsi="Book Antiqua" w:hint="default"/>
          <w:rtl w:val="0"/>
          <w:lang w:val="it-IT"/>
        </w:rPr>
        <w:t xml:space="preserve">ù </w:t>
      </w:r>
      <w:r>
        <w:rPr>
          <w:rFonts w:ascii="Book Antiqua"/>
          <w:rtl w:val="0"/>
          <w:lang w:val="it-IT"/>
        </w:rPr>
        <w:t xml:space="preserve">generali riguardanti la regione Lazio (programmazione, impiantistica e controlli) che, per diversi motivi, riguardano direttamente la Capitale. </w:t>
      </w:r>
    </w:p>
    <w:p>
      <w:pPr>
        <w:pStyle w:val="Normal"/>
        <w:ind w:left="567" w:right="567" w:firstLine="0"/>
        <w:jc w:val="both"/>
        <w:rPr>
          <w:rFonts w:ascii="Book Antiqua" w:cs="Book Antiqua" w:hAnsi="Book Antiqua" w:eastAsia="Book Antiqua"/>
        </w:rPr>
      </w:pPr>
      <w:r>
        <w:rPr>
          <w:rFonts w:ascii="Book Antiqua"/>
          <w:rtl w:val="0"/>
          <w:lang w:val="it-IT"/>
        </w:rPr>
        <w:t xml:space="preserve">Nella relazione  prodotta dal comune di Roma </w:t>
      </w:r>
      <w:r>
        <w:rPr>
          <w:rFonts w:hAnsi="Book Antiqua" w:hint="default"/>
          <w:rtl w:val="0"/>
          <w:lang w:val="it-IT"/>
        </w:rPr>
        <w:t xml:space="preserve">– </w:t>
      </w:r>
      <w:r>
        <w:rPr>
          <w:rFonts w:ascii="Book Antiqua"/>
          <w:rtl w:val="0"/>
          <w:lang w:val="it-IT"/>
        </w:rPr>
        <w:t>di cui era allora sindaco Ignazio Marino - si affrontavano, quali temi gestionali pi</w:t>
      </w:r>
      <w:r>
        <w:rPr>
          <w:rFonts w:hAnsi="Book Antiqua" w:hint="default"/>
          <w:rtl w:val="0"/>
          <w:lang w:val="it-IT"/>
        </w:rPr>
        <w:t xml:space="preserve">ù </w:t>
      </w:r>
      <w:r>
        <w:rPr>
          <w:rFonts w:ascii="Book Antiqua"/>
          <w:rtl w:val="0"/>
          <w:lang w:val="it-IT"/>
        </w:rPr>
        <w:t>significativi:</w:t>
      </w:r>
    </w:p>
    <w:p>
      <w:pPr>
        <w:pStyle w:val="Normal"/>
        <w:ind w:left="567" w:right="567" w:firstLine="0"/>
        <w:jc w:val="both"/>
        <w:rPr>
          <w:rFonts w:ascii="Book Antiqua" w:cs="Book Antiqua" w:hAnsi="Book Antiqua" w:eastAsia="Book Antiqua"/>
        </w:rPr>
      </w:pPr>
      <w:r>
        <w:rPr>
          <w:rFonts w:ascii="Book Antiqua"/>
          <w:rtl w:val="0"/>
          <w:lang w:val="it-IT"/>
        </w:rPr>
        <w:t>il modello di raccolta a cinque frazioni (frazione umida: frazione secca riciclabile ovvero multimateriale leggero, costituito dagli imballaggi in plastica e metalli; frazione cellulosica; vetro monomateriale e secco residuo), con servizio porta a porta e servizio di raccolta stradale e suddivisione della citt</w:t>
      </w:r>
      <w:r>
        <w:rPr>
          <w:rFonts w:hAnsi="Book Antiqua" w:hint="default"/>
          <w:rtl w:val="0"/>
          <w:lang w:val="it-IT"/>
        </w:rPr>
        <w:t xml:space="preserve">à </w:t>
      </w:r>
      <w:r>
        <w:rPr>
          <w:rFonts w:ascii="Book Antiqua"/>
          <w:rtl w:val="0"/>
          <w:lang w:val="it-IT"/>
        </w:rPr>
        <w:t>in 155 zone territoriali ottimali;</w:t>
      </w:r>
    </w:p>
    <w:p>
      <w:pPr>
        <w:pStyle w:val="Normal"/>
        <w:ind w:left="567" w:right="567" w:firstLine="0"/>
        <w:jc w:val="both"/>
        <w:rPr>
          <w:rFonts w:ascii="Book Antiqua" w:cs="Book Antiqua" w:hAnsi="Book Antiqua" w:eastAsia="Book Antiqua"/>
        </w:rPr>
      </w:pPr>
      <w:r>
        <w:rPr>
          <w:rFonts w:ascii="Book Antiqua"/>
          <w:rtl w:val="0"/>
          <w:lang w:val="it-IT"/>
        </w:rPr>
        <w:t xml:space="preserve">il </w:t>
      </w:r>
      <w:r>
        <w:rPr>
          <w:rFonts w:hAnsi="Book Antiqua" w:hint="default"/>
          <w:rtl w:val="0"/>
          <w:lang w:val="it-IT"/>
        </w:rPr>
        <w:t>“</w:t>
      </w:r>
      <w:r>
        <w:rPr>
          <w:rFonts w:ascii="Book Antiqua"/>
          <w:rtl w:val="0"/>
          <w:lang w:val="it-IT"/>
        </w:rPr>
        <w:t>Patto per Roma</w:t>
      </w:r>
      <w:r>
        <w:rPr>
          <w:rFonts w:hAnsi="Book Antiqua" w:hint="default"/>
          <w:rtl w:val="0"/>
          <w:lang w:val="it-IT"/>
        </w:rPr>
        <w:t>”</w:t>
      </w:r>
      <w:r>
        <w:rPr>
          <w:rFonts w:ascii="Book Antiqua"/>
          <w:rtl w:val="0"/>
          <w:lang w:val="it-IT"/>
        </w:rPr>
        <w:t>, siglato il 4 agosto 2012, tra Ministero dell</w:t>
      </w:r>
      <w:r>
        <w:rPr>
          <w:rFonts w:hAnsi="Book Antiqua" w:hint="default"/>
          <w:rtl w:val="0"/>
          <w:lang w:val="it-IT"/>
        </w:rPr>
        <w:t>’</w:t>
      </w:r>
      <w:r>
        <w:rPr>
          <w:rFonts w:ascii="Book Antiqua"/>
          <w:rtl w:val="0"/>
          <w:lang w:val="it-IT"/>
        </w:rPr>
        <w:t>ambiente, Commissario delegato per il superamento dell</w:t>
      </w:r>
      <w:r>
        <w:rPr>
          <w:rFonts w:hAnsi="Book Antiqua" w:hint="default"/>
          <w:rtl w:val="0"/>
          <w:lang w:val="it-IT"/>
        </w:rPr>
        <w:t>’</w:t>
      </w:r>
      <w:r>
        <w:rPr>
          <w:rFonts w:ascii="Book Antiqua"/>
          <w:rtl w:val="0"/>
          <w:lang w:val="it-IT"/>
        </w:rPr>
        <w:t>emergenza ambientale nel territorio della provincia di Roma, regione Lazio, provincia di Roma e comune di Roma Capitale, con obiettivi di raccolta differenziata al 30 per cento dei rifiuti urbani entro la fine del 2012, 40 per cento entro il 2013, 50 per cento entro il 2014, 60 per cento entro il 2015 e 65 per cento entro il 2016; nella relazione si dichiarava allora conseguita la percentuale del 43 per cento, con una popolazione raggiunta dal servizio porta a porta di 730.000 abitanti e quella raggiunta dal servizio stradale di oltre 1.100.000 abitanti;</w:t>
      </w:r>
    </w:p>
    <w:p>
      <w:pPr>
        <w:pStyle w:val="Normal"/>
        <w:ind w:left="567" w:right="567" w:firstLine="0"/>
        <w:jc w:val="both"/>
        <w:rPr>
          <w:rFonts w:ascii="Book Antiqua" w:cs="Book Antiqua" w:hAnsi="Book Antiqua" w:eastAsia="Book Antiqua"/>
        </w:rPr>
      </w:pPr>
      <w:r>
        <w:rPr>
          <w:rFonts w:ascii="Book Antiqua"/>
          <w:rtl w:val="0"/>
          <w:lang w:val="it-IT"/>
        </w:rPr>
        <w:t xml:space="preserve">il conferimento nella discarica di Malagrotta del rifiuto urbano indifferenziato "tal quale" sino all'11 aprile 2013, il successivo conferimento sino al 30 settembre 2013 di rifiuto urbano residuo derivante da TMB; la chiusura della discarica; le iniziative di AMA S.p.A. per la gestione successiva (che la relazione del sindaco definiva caratterizzata da </w:t>
      </w:r>
      <w:r>
        <w:rPr>
          <w:rFonts w:hAnsi="Book Antiqua" w:hint="default"/>
          <w:rtl w:val="0"/>
          <w:lang w:val="it-IT"/>
        </w:rPr>
        <w:t>“</w:t>
      </w:r>
      <w:r>
        <w:rPr>
          <w:rFonts w:ascii="Book Antiqua"/>
          <w:rtl w:val="0"/>
          <w:lang w:val="it-IT"/>
        </w:rPr>
        <w:t>situazioni di emergenziali connesse alla fragilit</w:t>
      </w:r>
      <w:r>
        <w:rPr>
          <w:rFonts w:hAnsi="Book Antiqua" w:hint="default"/>
          <w:rtl w:val="0"/>
          <w:lang w:val="it-IT"/>
        </w:rPr>
        <w:t xml:space="preserve">à </w:t>
      </w:r>
      <w:r>
        <w:rPr>
          <w:rFonts w:ascii="Book Antiqua"/>
          <w:rtl w:val="0"/>
          <w:lang w:val="it-IT"/>
        </w:rPr>
        <w:t>impiantistica connessa al trattamento dei rifiuti indifferenziati e secchi residuali</w:t>
      </w:r>
      <w:r>
        <w:rPr>
          <w:rFonts w:hAnsi="Book Antiqua" w:hint="default"/>
          <w:rtl w:val="0"/>
          <w:lang w:val="it-IT"/>
        </w:rPr>
        <w:t>”</w:t>
      </w:r>
      <w:r>
        <w:rPr>
          <w:rFonts w:ascii="Book Antiqua"/>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 xml:space="preserve">Nella relazione della regione Lazio sullo stato di esecuzione delle politiche di competenza regionale in materia di rifiuti urbani venivano affrontati i temi: </w:t>
      </w:r>
    </w:p>
    <w:p>
      <w:pPr>
        <w:pStyle w:val="Normal"/>
        <w:ind w:left="567" w:right="567" w:firstLine="0"/>
        <w:jc w:val="both"/>
        <w:rPr>
          <w:rFonts w:ascii="Book Antiqua" w:cs="Book Antiqua" w:hAnsi="Book Antiqua" w:eastAsia="Book Antiqua"/>
        </w:rPr>
      </w:pPr>
      <w:r>
        <w:rPr>
          <w:rFonts w:ascii="Book Antiqua"/>
          <w:rtl w:val="0"/>
          <w:lang w:val="it-IT"/>
        </w:rPr>
        <w:t>del piano di gestione dei rifiuti del Lazio (deliberazione consiliare n. 14 del 18 gennaio 2012); della suddivisione negli ATO di Frosinone, Latina, Roma, Rieti, Viterbo (le cui specifiche autorit</w:t>
      </w:r>
      <w:r>
        <w:rPr>
          <w:rFonts w:hAnsi="Book Antiqua" w:hint="default"/>
          <w:rtl w:val="0"/>
          <w:lang w:val="it-IT"/>
        </w:rPr>
        <w:t xml:space="preserve">à </w:t>
      </w:r>
      <w:r>
        <w:rPr>
          <w:rFonts w:ascii="Book Antiqua"/>
          <w:rtl w:val="0"/>
          <w:lang w:val="it-IT"/>
        </w:rPr>
        <w:t xml:space="preserve">non erano peraltro mai state costituite); </w:t>
      </w:r>
    </w:p>
    <w:p>
      <w:pPr>
        <w:pStyle w:val="Normal"/>
        <w:ind w:left="567" w:right="567" w:firstLine="0"/>
        <w:jc w:val="both"/>
        <w:rPr>
          <w:rFonts w:ascii="Book Antiqua" w:cs="Book Antiqua" w:hAnsi="Book Antiqua" w:eastAsia="Book Antiqua"/>
        </w:rPr>
      </w:pPr>
      <w:r>
        <w:rPr>
          <w:rFonts w:ascii="Book Antiqua"/>
          <w:rtl w:val="0"/>
          <w:lang w:val="it-IT"/>
        </w:rPr>
        <w:t xml:space="preserve">della situazione degli impianti (di discarica, di TMB, di termovalorizzazione); </w:t>
      </w:r>
    </w:p>
    <w:p>
      <w:pPr>
        <w:pStyle w:val="Normal"/>
        <w:ind w:left="567" w:right="567" w:firstLine="0"/>
        <w:jc w:val="both"/>
        <w:rPr>
          <w:rFonts w:ascii="Book Antiqua" w:cs="Book Antiqua" w:hAnsi="Book Antiqua" w:eastAsia="Book Antiqua"/>
        </w:rPr>
      </w:pPr>
      <w:r>
        <w:rPr>
          <w:rFonts w:ascii="Book Antiqua"/>
          <w:rtl w:val="0"/>
          <w:lang w:val="it-IT"/>
        </w:rPr>
        <w:t>delle iniziative conseguenti alla sentenza di condanna da parte della Corte di giustizia europea C323/13.</w:t>
      </w:r>
    </w:p>
    <w:p>
      <w:pPr>
        <w:pStyle w:val="Normal"/>
        <w:ind w:left="567" w:right="567" w:firstLine="0"/>
        <w:jc w:val="both"/>
        <w:rPr>
          <w:rFonts w:ascii="Book Antiqua" w:cs="Book Antiqua" w:hAnsi="Book Antiqua" w:eastAsia="Book Antiqua"/>
        </w:rPr>
      </w:pPr>
      <w:r>
        <w:rPr>
          <w:rFonts w:ascii="Book Antiqua"/>
          <w:rtl w:val="0"/>
          <w:lang w:val="it-IT"/>
        </w:rPr>
        <w:t>L</w:t>
      </w:r>
      <w:r>
        <w:rPr>
          <w:rFonts w:hAnsi="Book Antiqua" w:hint="default"/>
          <w:rtl w:val="0"/>
          <w:lang w:val="it-IT"/>
        </w:rPr>
        <w:t>’</w:t>
      </w:r>
      <w:r>
        <w:rPr>
          <w:rFonts w:ascii="Book Antiqua"/>
          <w:rtl w:val="0"/>
          <w:lang w:val="it-IT"/>
        </w:rPr>
        <w:t xml:space="preserve">audizione del 22 luglio 2015 del prefetto di Roma si </w:t>
      </w:r>
      <w:r>
        <w:rPr>
          <w:rFonts w:hAnsi="Book Antiqua" w:hint="default"/>
          <w:rtl w:val="0"/>
          <w:lang w:val="it-IT"/>
        </w:rPr>
        <w:t xml:space="preserve">è </w:t>
      </w:r>
      <w:r>
        <w:rPr>
          <w:rFonts w:ascii="Book Antiqua"/>
          <w:rtl w:val="0"/>
          <w:lang w:val="it-IT"/>
        </w:rPr>
        <w:t>svolta mentre era in corso il procedimento, ai sensi dell</w:t>
      </w:r>
      <w:r>
        <w:rPr>
          <w:rFonts w:hAnsi="Book Antiqua" w:hint="default"/>
          <w:rtl w:val="0"/>
          <w:lang w:val="it-IT"/>
        </w:rPr>
        <w:t>’</w:t>
      </w:r>
      <w:r>
        <w:rPr>
          <w:rFonts w:ascii="Book Antiqua"/>
          <w:rtl w:val="0"/>
          <w:lang w:val="it-IT"/>
        </w:rPr>
        <w:t>articolo 143 del decreto legislativo 18 agosto 2000, n. 267, per l</w:t>
      </w:r>
      <w:r>
        <w:rPr>
          <w:rFonts w:hAnsi="Book Antiqua" w:hint="default"/>
          <w:rtl w:val="0"/>
          <w:lang w:val="it-IT"/>
        </w:rPr>
        <w:t>’</w:t>
      </w:r>
      <w:r>
        <w:rPr>
          <w:rFonts w:ascii="Book Antiqua"/>
          <w:rtl w:val="0"/>
          <w:lang w:val="it-IT"/>
        </w:rPr>
        <w:t>eventuale scioglimento del consiglio comunale di Roma conseguente a fenomeni di infiltrazione e condizionamento di tipo mafioso.</w:t>
      </w:r>
    </w:p>
    <w:p>
      <w:pPr>
        <w:pStyle w:val="Normal"/>
        <w:ind w:left="567" w:right="567" w:firstLine="0"/>
        <w:jc w:val="both"/>
        <w:rPr>
          <w:rFonts w:ascii="Book Antiqua" w:cs="Book Antiqua" w:hAnsi="Book Antiqua" w:eastAsia="Book Antiqua"/>
        </w:rPr>
      </w:pPr>
      <w:r>
        <w:rPr>
          <w:rFonts w:ascii="Book Antiqua"/>
          <w:rtl w:val="0"/>
          <w:lang w:val="it-IT"/>
        </w:rPr>
        <w:t>Il prefetto ha dato atto che il contenuto della relazione trasmessa al Ministro dell</w:t>
      </w:r>
      <w:r>
        <w:rPr>
          <w:rFonts w:hAnsi="Book Antiqua" w:hint="default"/>
          <w:rtl w:val="0"/>
          <w:lang w:val="it-IT"/>
        </w:rPr>
        <w:t>’</w:t>
      </w:r>
      <w:r>
        <w:rPr>
          <w:rFonts w:ascii="Book Antiqua"/>
          <w:rtl w:val="0"/>
          <w:lang w:val="it-IT"/>
        </w:rPr>
        <w:t>Interno per l</w:t>
      </w:r>
      <w:r>
        <w:rPr>
          <w:rFonts w:hAnsi="Book Antiqua" w:hint="default"/>
          <w:rtl w:val="0"/>
          <w:lang w:val="it-IT"/>
        </w:rPr>
        <w:t>’</w:t>
      </w:r>
      <w:r>
        <w:rPr>
          <w:rFonts w:ascii="Book Antiqua"/>
          <w:rtl w:val="0"/>
          <w:lang w:val="it-IT"/>
        </w:rPr>
        <w:t xml:space="preserve">eventuale scioglimento era costituita da materiali di origine giudiziaria, della vicenda cosiddetta </w:t>
      </w:r>
      <w:r>
        <w:rPr>
          <w:rFonts w:hAnsi="Book Antiqua" w:hint="default"/>
          <w:rtl w:val="0"/>
          <w:lang w:val="it-IT"/>
        </w:rPr>
        <w:t>“</w:t>
      </w:r>
      <w:r>
        <w:rPr>
          <w:rFonts w:ascii="Book Antiqua"/>
          <w:rtl w:val="0"/>
          <w:lang w:val="it-IT"/>
        </w:rPr>
        <w:t>Mondo di Mezzo</w:t>
      </w:r>
      <w:r>
        <w:rPr>
          <w:rFonts w:ascii="Book Antiqua" w:cs="Book Antiqua" w:hAnsi="Book Antiqua" w:eastAsia="Book Antiqua"/>
          <w:vertAlign w:val="superscript"/>
          <w:rtl w:val="0"/>
        </w:rPr>
        <w:footnoteReference w:id="1"/>
      </w:r>
      <w:r>
        <w:rPr>
          <w:rFonts w:ascii="Book Antiqua"/>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Nello specifico delle questioni poste dalla Commissione</w:t>
      </w:r>
      <w:r>
        <w:rPr>
          <w:rFonts w:ascii="Book Antiqua"/>
          <w:color w:val="ff0000"/>
          <w:u w:color="ff0000"/>
          <w:rtl w:val="0"/>
          <w:lang w:val="it-IT"/>
        </w:rPr>
        <w:t xml:space="preserve"> </w:t>
      </w:r>
      <w:r>
        <w:rPr>
          <w:rFonts w:ascii="Book Antiqua"/>
          <w:rtl w:val="0"/>
          <w:lang w:val="it-IT"/>
        </w:rPr>
        <w:t>riguardanti il ciclo di gestione dei rifiuti, il prefetto ha definito il sistema impiantistico del Lazio fragile, rigido e precario soprattutto per quanto riguarda Roma, poich</w:t>
      </w:r>
      <w:r>
        <w:rPr>
          <w:rFonts w:hAnsi="Book Antiqua" w:hint="default"/>
          <w:rtl w:val="0"/>
          <w:lang w:val="it-IT"/>
        </w:rPr>
        <w:t xml:space="preserve">é </w:t>
      </w:r>
      <w:r>
        <w:rPr>
          <w:rFonts w:ascii="Book Antiqua"/>
          <w:rtl w:val="0"/>
          <w:lang w:val="it-IT"/>
        </w:rPr>
        <w:t xml:space="preserve">per decenni la parte redditizia del ciclo </w:t>
      </w:r>
      <w:r>
        <w:rPr>
          <w:rFonts w:hAnsi="Book Antiqua" w:hint="default"/>
          <w:rtl w:val="0"/>
          <w:lang w:val="it-IT"/>
        </w:rPr>
        <w:t xml:space="preserve">è </w:t>
      </w:r>
      <w:r>
        <w:rPr>
          <w:rFonts w:ascii="Book Antiqua"/>
          <w:rtl w:val="0"/>
          <w:lang w:val="it-IT"/>
        </w:rPr>
        <w:t>stata affidata  ad un monopolista che ne ha fortemente condizionato le possibilit</w:t>
      </w:r>
      <w:r>
        <w:rPr>
          <w:rFonts w:hAnsi="Book Antiqua" w:hint="default"/>
          <w:rtl w:val="0"/>
          <w:lang w:val="it-IT"/>
        </w:rPr>
        <w:t xml:space="preserve">à </w:t>
      </w:r>
      <w:r>
        <w:rPr>
          <w:rFonts w:ascii="Book Antiqua"/>
          <w:rtl w:val="0"/>
          <w:lang w:val="it-IT"/>
        </w:rPr>
        <w:t>di sviluppo. Un intreccio di interessi politici ed economici, che, anche a prescindere da valenze illegali o criminali, faceva convergere da una parte chi offriva disponibilit</w:t>
      </w:r>
      <w:r>
        <w:rPr>
          <w:rFonts w:hAnsi="Book Antiqua" w:hint="default"/>
          <w:rtl w:val="0"/>
          <w:lang w:val="it-IT"/>
        </w:rPr>
        <w:t xml:space="preserve">à </w:t>
      </w:r>
      <w:r>
        <w:rPr>
          <w:rFonts w:ascii="Book Antiqua"/>
          <w:rtl w:val="0"/>
          <w:lang w:val="it-IT"/>
        </w:rPr>
        <w:t>a tariffe di smaltimento molto basse  e dall</w:t>
      </w:r>
      <w:r>
        <w:rPr>
          <w:rFonts w:hAnsi="Book Antiqua" w:hint="default"/>
          <w:rtl w:val="0"/>
          <w:lang w:val="it-IT"/>
        </w:rPr>
        <w:t>’</w:t>
      </w:r>
      <w:r>
        <w:rPr>
          <w:rFonts w:ascii="Book Antiqua"/>
          <w:rtl w:val="0"/>
          <w:lang w:val="it-IT"/>
        </w:rPr>
        <w:t xml:space="preserve">altra  chi pur di risparmiare lavorava per il mantenimento dello </w:t>
      </w:r>
      <w:r>
        <w:rPr>
          <w:rFonts w:ascii="Book Antiqua"/>
          <w:i w:val="1"/>
          <w:iCs w:val="1"/>
          <w:rtl w:val="0"/>
          <w:lang w:val="it-IT"/>
        </w:rPr>
        <w:t>status quo</w:t>
      </w:r>
      <w:r>
        <w:rPr>
          <w:rFonts w:ascii="Book Antiqua"/>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Il quadro incisivamente reso dal prefetto evidenziava una situazione di forte dipendenza dall</w:t>
      </w:r>
      <w:r>
        <w:rPr>
          <w:rFonts w:hAnsi="Book Antiqua" w:hint="default"/>
          <w:rtl w:val="0"/>
          <w:lang w:val="it-IT"/>
        </w:rPr>
        <w:t>’</w:t>
      </w:r>
      <w:r>
        <w:rPr>
          <w:rFonts w:ascii="Book Antiqua"/>
          <w:rtl w:val="0"/>
          <w:lang w:val="it-IT"/>
        </w:rPr>
        <w:t>impiantistica extraregionale che consentiva di raggiungere solo un precario equilibrio fra la raccolta dei rifiuti urbani e la loro gestione. A fronte di questi limiti strutturali e dell</w:t>
      </w:r>
      <w:r>
        <w:rPr>
          <w:rFonts w:hAnsi="Book Antiqua" w:hint="default"/>
          <w:rtl w:val="0"/>
          <w:lang w:val="it-IT"/>
        </w:rPr>
        <w:t>’</w:t>
      </w:r>
      <w:r>
        <w:rPr>
          <w:rFonts w:ascii="Book Antiqua"/>
          <w:rtl w:val="0"/>
          <w:lang w:val="it-IT"/>
        </w:rPr>
        <w:t>incapacit</w:t>
      </w:r>
      <w:r>
        <w:rPr>
          <w:rFonts w:hAnsi="Book Antiqua" w:hint="default"/>
          <w:rtl w:val="0"/>
          <w:lang w:val="it-IT"/>
        </w:rPr>
        <w:t xml:space="preserve">à </w:t>
      </w:r>
      <w:r>
        <w:rPr>
          <w:rFonts w:ascii="Book Antiqua"/>
          <w:rtl w:val="0"/>
          <w:lang w:val="it-IT"/>
        </w:rPr>
        <w:t>di darsi un progetto dopo la chiusura di Malagrotta, l</w:t>
      </w:r>
      <w:r>
        <w:rPr>
          <w:rFonts w:hAnsi="Book Antiqua" w:hint="default"/>
          <w:rtl w:val="0"/>
          <w:lang w:val="it-IT"/>
        </w:rPr>
        <w:t>’</w:t>
      </w:r>
      <w:r>
        <w:rPr>
          <w:rFonts w:ascii="Book Antiqua"/>
          <w:rtl w:val="0"/>
          <w:lang w:val="it-IT"/>
        </w:rPr>
        <w:t>intero territorio regionale e in particolare la citt</w:t>
      </w:r>
      <w:r>
        <w:rPr>
          <w:rFonts w:hAnsi="Book Antiqua" w:hint="default"/>
          <w:rtl w:val="0"/>
          <w:lang w:val="it-IT"/>
        </w:rPr>
        <w:t xml:space="preserve">à </w:t>
      </w:r>
      <w:r>
        <w:rPr>
          <w:rFonts w:ascii="Book Antiqua"/>
          <w:rtl w:val="0"/>
          <w:lang w:val="it-IT"/>
        </w:rPr>
        <w:t>di Roma, risultano condizionati da eventi assolutamente prevedibili, che tuttavia diventano subito emergenziali.</w:t>
      </w:r>
    </w:p>
    <w:p>
      <w:pPr>
        <w:pStyle w:val="Normal"/>
        <w:ind w:left="567" w:right="567" w:firstLine="0"/>
        <w:jc w:val="both"/>
        <w:rPr>
          <w:rFonts w:ascii="Book Antiqua" w:cs="Book Antiqua" w:hAnsi="Book Antiqua" w:eastAsia="Book Antiqua"/>
        </w:rPr>
      </w:pPr>
      <w:r>
        <w:rPr>
          <w:rFonts w:ascii="Book Antiqua"/>
          <w:rtl w:val="0"/>
          <w:lang w:val="it-IT"/>
        </w:rPr>
        <w:t>Secondo il prefetto il tema del ciclo dei rifiuti si inserisce, con alcune tipicit</w:t>
      </w:r>
      <w:r>
        <w:rPr>
          <w:rFonts w:hAnsi="Book Antiqua" w:hint="default"/>
          <w:rtl w:val="0"/>
          <w:lang w:val="it-IT"/>
        </w:rPr>
        <w:t>à</w:t>
      </w:r>
      <w:r>
        <w:rPr>
          <w:rFonts w:ascii="Book Antiqua"/>
          <w:rtl w:val="0"/>
          <w:lang w:val="it-IT"/>
        </w:rPr>
        <w:t>, in quello del degrado urbano: la mancanza di un</w:t>
      </w:r>
      <w:r>
        <w:rPr>
          <w:rFonts w:hAnsi="Book Antiqua" w:hint="default"/>
          <w:rtl w:val="0"/>
          <w:lang w:val="it-IT"/>
        </w:rPr>
        <w:t>’</w:t>
      </w:r>
      <w:r>
        <w:rPr>
          <w:rFonts w:ascii="Book Antiqua"/>
          <w:rtl w:val="0"/>
          <w:lang w:val="it-IT"/>
        </w:rPr>
        <w:t>adeguata raccolta dei rifiuti, il mancato sfalcio dell</w:t>
      </w:r>
      <w:r>
        <w:rPr>
          <w:rFonts w:hAnsi="Book Antiqua" w:hint="default"/>
          <w:rtl w:val="0"/>
          <w:lang w:val="it-IT"/>
        </w:rPr>
        <w:t>’</w:t>
      </w:r>
      <w:r>
        <w:rPr>
          <w:rFonts w:ascii="Book Antiqua"/>
          <w:rtl w:val="0"/>
          <w:lang w:val="it-IT"/>
        </w:rPr>
        <w:t>erba, il rovistaggio dei rom si sommano tra loro e direttamente - aumentando l</w:t>
      </w:r>
      <w:r>
        <w:rPr>
          <w:rFonts w:hAnsi="Book Antiqua" w:hint="default"/>
          <w:rtl w:val="0"/>
          <w:lang w:val="it-IT"/>
        </w:rPr>
        <w:t>’</w:t>
      </w:r>
      <w:r>
        <w:rPr>
          <w:rFonts w:ascii="Book Antiqua"/>
          <w:rtl w:val="0"/>
          <w:lang w:val="it-IT"/>
        </w:rPr>
        <w:t>insofferenza dei cittadini -  alla microcriminalit</w:t>
      </w:r>
      <w:r>
        <w:rPr>
          <w:rFonts w:hAnsi="Book Antiqua" w:hint="default"/>
          <w:rtl w:val="0"/>
          <w:lang w:val="it-IT"/>
        </w:rPr>
        <w:t>à</w:t>
      </w:r>
      <w:r>
        <w:rPr>
          <w:rFonts w:ascii="Book Antiqua"/>
          <w:rtl w:val="0"/>
          <w:lang w:val="it-IT"/>
        </w:rPr>
        <w:t>, allo spaccio di sostanze stupefacenti.</w:t>
      </w:r>
    </w:p>
    <w:p>
      <w:pPr>
        <w:pStyle w:val="Normal"/>
        <w:ind w:left="567" w:right="567" w:firstLine="0"/>
        <w:jc w:val="both"/>
        <w:rPr>
          <w:rFonts w:ascii="Book Antiqua" w:cs="Book Antiqua" w:hAnsi="Book Antiqua" w:eastAsia="Book Antiqua"/>
        </w:rPr>
      </w:pPr>
      <w:r>
        <w:rPr>
          <w:rFonts w:ascii="Book Antiqua"/>
          <w:rtl w:val="0"/>
          <w:lang w:val="it-IT"/>
        </w:rPr>
        <w:t>Ci sono, secondo il prefetto di Roma, alcuni temi che coinvolgono il comportamento dei rom e che ormai non hanno pi</w:t>
      </w:r>
      <w:r>
        <w:rPr>
          <w:rFonts w:hAnsi="Book Antiqua" w:hint="default"/>
          <w:rtl w:val="0"/>
          <w:lang w:val="it-IT"/>
        </w:rPr>
        <w:t xml:space="preserve">ù </w:t>
      </w:r>
      <w:r>
        <w:rPr>
          <w:rFonts w:ascii="Book Antiqua"/>
          <w:rtl w:val="0"/>
          <w:lang w:val="it-IT"/>
        </w:rPr>
        <w:t>differenziazione in tutti i municipi della capitale: il rovistaggio, che amplifica a dismisura la criticit</w:t>
      </w:r>
      <w:r>
        <w:rPr>
          <w:rFonts w:hAnsi="Book Antiqua" w:hint="default"/>
          <w:rtl w:val="0"/>
          <w:lang w:val="it-IT"/>
        </w:rPr>
        <w:t xml:space="preserve">à </w:t>
      </w:r>
      <w:r>
        <w:rPr>
          <w:rFonts w:ascii="Book Antiqua"/>
          <w:rtl w:val="0"/>
          <w:lang w:val="it-IT"/>
        </w:rPr>
        <w:t>del sistema di raccolta, il tema dei roghi, su cui peraltro si stavano svolgendo attivit</w:t>
      </w:r>
      <w:r>
        <w:rPr>
          <w:rFonts w:hAnsi="Book Antiqua" w:hint="default"/>
          <w:rtl w:val="0"/>
          <w:lang w:val="it-IT"/>
        </w:rPr>
        <w:t xml:space="preserve">à </w:t>
      </w:r>
      <w:r>
        <w:rPr>
          <w:rFonts w:ascii="Book Antiqua"/>
          <w:rtl w:val="0"/>
          <w:lang w:val="it-IT"/>
        </w:rPr>
        <w:t>di indagine del CFS; la gestione dei rifiuti di apparecchiature elettriche ed elettroniche (RAEE) sui quali il prefetto rilevava grandi responsabilit</w:t>
      </w:r>
      <w:r>
        <w:rPr>
          <w:rFonts w:hAnsi="Book Antiqua" w:hint="default"/>
          <w:rtl w:val="0"/>
          <w:lang w:val="it-IT"/>
        </w:rPr>
        <w:t xml:space="preserve">à </w:t>
      </w:r>
      <w:r>
        <w:rPr>
          <w:rFonts w:ascii="Book Antiqua"/>
          <w:rtl w:val="0"/>
          <w:lang w:val="it-IT"/>
        </w:rPr>
        <w:t>delle catene di distribuzione degli elettrodomestici</w:t>
      </w:r>
      <w:r>
        <w:rPr>
          <w:rFonts w:ascii="Book Antiqua" w:cs="Book Antiqua" w:hAnsi="Book Antiqua" w:eastAsia="Book Antiqua"/>
          <w:vertAlign w:val="superscript"/>
          <w:rtl w:val="0"/>
        </w:rPr>
        <w:footnoteReference w:id="2"/>
      </w:r>
      <w:r>
        <w:rPr>
          <w:rFonts w:ascii="Book Antiqua"/>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Nell</w:t>
      </w:r>
      <w:r>
        <w:rPr>
          <w:rFonts w:hAnsi="Book Antiqua" w:hint="default"/>
          <w:rtl w:val="0"/>
          <w:lang w:val="it-IT"/>
        </w:rPr>
        <w:t>’</w:t>
      </w:r>
      <w:r>
        <w:rPr>
          <w:rFonts w:ascii="Book Antiqua"/>
          <w:rtl w:val="0"/>
          <w:lang w:val="it-IT"/>
        </w:rPr>
        <w:t>attivit</w:t>
      </w:r>
      <w:r>
        <w:rPr>
          <w:rFonts w:hAnsi="Book Antiqua" w:hint="default"/>
          <w:rtl w:val="0"/>
          <w:lang w:val="it-IT"/>
        </w:rPr>
        <w:t xml:space="preserve">à </w:t>
      </w:r>
      <w:r>
        <w:rPr>
          <w:rFonts w:ascii="Book Antiqua"/>
          <w:rtl w:val="0"/>
          <w:lang w:val="it-IT"/>
        </w:rPr>
        <w:t>ispettiva condotta nella verifica degli estremi dell</w:t>
      </w:r>
      <w:r>
        <w:rPr>
          <w:rFonts w:hAnsi="Book Antiqua" w:hint="default"/>
          <w:rtl w:val="0"/>
          <w:lang w:val="it-IT"/>
        </w:rPr>
        <w:t>’</w:t>
      </w:r>
      <w:r>
        <w:rPr>
          <w:rFonts w:ascii="Book Antiqua"/>
          <w:rtl w:val="0"/>
          <w:lang w:val="it-IT"/>
        </w:rPr>
        <w:t>articolo 143 del Testo unico degli Enti locali, per l</w:t>
      </w:r>
      <w:r>
        <w:rPr>
          <w:rFonts w:hAnsi="Book Antiqua" w:hint="default"/>
          <w:rtl w:val="0"/>
          <w:lang w:val="it-IT"/>
        </w:rPr>
        <w:t>’</w:t>
      </w:r>
      <w:r>
        <w:rPr>
          <w:rFonts w:ascii="Book Antiqua"/>
          <w:rtl w:val="0"/>
          <w:lang w:val="it-IT"/>
        </w:rPr>
        <w:t>eventuale scioglimento del comune, il prefetto registrava positivamente il fatto che ci fosse stato in AMA, a partire dall</w:t>
      </w:r>
      <w:r>
        <w:rPr>
          <w:rFonts w:hAnsi="Book Antiqua" w:hint="default"/>
          <w:rtl w:val="0"/>
          <w:lang w:val="it-IT"/>
        </w:rPr>
        <w:t>’</w:t>
      </w:r>
      <w:r>
        <w:rPr>
          <w:rFonts w:ascii="Book Antiqua"/>
          <w:rtl w:val="0"/>
          <w:lang w:val="it-IT"/>
        </w:rPr>
        <w:t>inizio del 2014, un cambio di passo, anche in termini di gestione dell</w:t>
      </w:r>
      <w:r>
        <w:rPr>
          <w:rFonts w:hAnsi="Book Antiqua" w:hint="default"/>
          <w:rtl w:val="0"/>
          <w:lang w:val="it-IT"/>
        </w:rPr>
        <w:t>’</w:t>
      </w:r>
      <w:r>
        <w:rPr>
          <w:rFonts w:ascii="Book Antiqua"/>
          <w:rtl w:val="0"/>
          <w:lang w:val="it-IT"/>
        </w:rPr>
        <w:t>azienda</w:t>
      </w:r>
      <w:r>
        <w:rPr>
          <w:rFonts w:ascii="Book Antiqua" w:cs="Book Antiqua" w:hAnsi="Book Antiqua" w:eastAsia="Book Antiqua"/>
          <w:vertAlign w:val="superscript"/>
          <w:rtl w:val="0"/>
        </w:rPr>
        <w:footnoteReference w:id="3"/>
      </w:r>
      <w:r>
        <w:rPr>
          <w:rFonts w:ascii="Book Antiqua"/>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Rilevava poi che Roma nel 2015 era la metropoli europea che aveva fatto registrare il tasso maggiore di raccolta differenziata, superiore a Berlino; l</w:t>
      </w:r>
      <w:r>
        <w:rPr>
          <w:rFonts w:hAnsi="Book Antiqua" w:hint="default"/>
          <w:rtl w:val="0"/>
          <w:lang w:val="it-IT"/>
        </w:rPr>
        <w:t>’</w:t>
      </w:r>
      <w:r>
        <w:rPr>
          <w:rFonts w:ascii="Book Antiqua"/>
          <w:rtl w:val="0"/>
          <w:lang w:val="it-IT"/>
        </w:rPr>
        <w:t xml:space="preserve">obiettivo per il 2016 era quello di superare il 50 per cento. Il prefetto ha chiaramente affermato che AMA </w:t>
      </w:r>
      <w:r>
        <w:rPr>
          <w:rFonts w:hAnsi="Book Antiqua" w:hint="default"/>
          <w:rtl w:val="0"/>
          <w:lang w:val="it-IT"/>
        </w:rPr>
        <w:t xml:space="preserve">è </w:t>
      </w:r>
      <w:r>
        <w:rPr>
          <w:rFonts w:ascii="Book Antiqua"/>
          <w:rtl w:val="0"/>
          <w:lang w:val="it-IT"/>
        </w:rPr>
        <w:t>stata nel tempo terra di conquista, soprattutto nel periodo di gestione dell</w:t>
      </w:r>
      <w:r>
        <w:rPr>
          <w:rFonts w:hAnsi="Book Antiqua" w:hint="default"/>
          <w:rtl w:val="0"/>
          <w:lang w:val="it-IT"/>
        </w:rPr>
        <w:t>’</w:t>
      </w:r>
      <w:r>
        <w:rPr>
          <w:rFonts w:ascii="Book Antiqua"/>
          <w:rtl w:val="0"/>
          <w:lang w:val="it-IT"/>
        </w:rPr>
        <w:t>amministratore delegato Panzironi.</w:t>
      </w:r>
    </w:p>
    <w:p>
      <w:pPr>
        <w:pStyle w:val="Normal"/>
        <w:ind w:left="567" w:right="567" w:firstLine="0"/>
        <w:jc w:val="both"/>
        <w:rPr>
          <w:rFonts w:ascii="Book Antiqua" w:cs="Book Antiqua" w:hAnsi="Book Antiqua" w:eastAsia="Book Antiqua"/>
        </w:rPr>
      </w:pPr>
      <w:r>
        <w:rPr>
          <w:rFonts w:ascii="Book Antiqua"/>
          <w:rtl w:val="0"/>
          <w:lang w:val="it-IT"/>
        </w:rPr>
        <w:t xml:space="preserve">Di interesse, quale considerazione di ordine generale proveniente dal prefetto di Roma, </w:t>
      </w:r>
      <w:r>
        <w:rPr>
          <w:rFonts w:hAnsi="Book Antiqua" w:hint="default"/>
          <w:rtl w:val="0"/>
          <w:lang w:val="it-IT"/>
        </w:rPr>
        <w:t xml:space="preserve"> è </w:t>
      </w:r>
      <w:r>
        <w:rPr>
          <w:rFonts w:ascii="Book Antiqua"/>
          <w:rtl w:val="0"/>
          <w:lang w:val="it-IT"/>
        </w:rPr>
        <w:t>il tema del controllo, almeno di legittimit</w:t>
      </w:r>
      <w:r>
        <w:rPr>
          <w:rFonts w:hAnsi="Book Antiqua" w:hint="default"/>
          <w:rtl w:val="0"/>
          <w:lang w:val="it-IT"/>
        </w:rPr>
        <w:t>à</w:t>
      </w:r>
      <w:r>
        <w:rPr>
          <w:rFonts w:ascii="Book Antiqua"/>
          <w:rtl w:val="0"/>
          <w:lang w:val="it-IT"/>
        </w:rPr>
        <w:t xml:space="preserve">, che un tempo veniva esercitato sugli atti degli enti locali. La vicenda </w:t>
      </w:r>
      <w:r>
        <w:rPr>
          <w:rFonts w:hAnsi="Book Antiqua" w:hint="default"/>
          <w:rtl w:val="0"/>
          <w:lang w:val="it-IT"/>
        </w:rPr>
        <w:t>“</w:t>
      </w:r>
      <w:r>
        <w:rPr>
          <w:rFonts w:ascii="Book Antiqua"/>
          <w:rtl w:val="0"/>
          <w:lang w:val="it-IT"/>
        </w:rPr>
        <w:t>Mondo di mezzo</w:t>
      </w:r>
      <w:r>
        <w:rPr>
          <w:rFonts w:hAnsi="Book Antiqua" w:hint="default"/>
          <w:rtl w:val="0"/>
          <w:lang w:val="it-IT"/>
        </w:rPr>
        <w:t>”</w:t>
      </w:r>
      <w:r>
        <w:rPr>
          <w:rFonts w:ascii="Book Antiqua"/>
          <w:rtl w:val="0"/>
          <w:lang w:val="it-IT"/>
        </w:rPr>
        <w:t xml:space="preserve">,  purtroppo, evidenzia come ad un certo punto si sia perso proprio la funzione concernente il  monitoraggio degli atti tanto </w:t>
      </w:r>
      <w:r>
        <w:rPr>
          <w:rFonts w:hAnsi="Book Antiqua" w:hint="default"/>
          <w:rtl w:val="0"/>
          <w:lang w:val="it-IT"/>
        </w:rPr>
        <w:t xml:space="preserve">è </w:t>
      </w:r>
      <w:r>
        <w:rPr>
          <w:rFonts w:ascii="Book Antiqua"/>
          <w:rtl w:val="0"/>
          <w:lang w:val="it-IT"/>
        </w:rPr>
        <w:t>vero che il procedimento penale, basato sulla responsabilit</w:t>
      </w:r>
      <w:r>
        <w:rPr>
          <w:rFonts w:hAnsi="Book Antiqua" w:hint="default"/>
          <w:rtl w:val="0"/>
          <w:lang w:val="it-IT"/>
        </w:rPr>
        <w:t xml:space="preserve">à </w:t>
      </w:r>
      <w:r>
        <w:rPr>
          <w:rFonts w:ascii="Book Antiqua"/>
          <w:rtl w:val="0"/>
          <w:lang w:val="it-IT"/>
        </w:rPr>
        <w:t>personale,</w:t>
      </w:r>
      <w:r>
        <w:rPr>
          <w:rFonts w:hAnsi="Book Antiqua" w:hint="default"/>
          <w:rtl w:val="0"/>
          <w:lang w:val="it-IT"/>
        </w:rPr>
        <w:t xml:space="preserve"> è </w:t>
      </w:r>
      <w:r>
        <w:rPr>
          <w:rFonts w:ascii="Book Antiqua"/>
          <w:rtl w:val="0"/>
          <w:lang w:val="it-IT"/>
        </w:rPr>
        <w:t>paradossalmente diventato l</w:t>
      </w:r>
      <w:r>
        <w:rPr>
          <w:rFonts w:hAnsi="Book Antiqua" w:hint="default"/>
          <w:rtl w:val="0"/>
          <w:lang w:val="it-IT"/>
        </w:rPr>
        <w:t>’</w:t>
      </w:r>
      <w:r>
        <w:rPr>
          <w:rFonts w:ascii="Book Antiqua"/>
          <w:rtl w:val="0"/>
          <w:lang w:val="it-IT"/>
        </w:rPr>
        <w:t>unica  forma di controllo.  Infatti gran parte degli effetti negativi che si sono prodotti e che sono poi stati portati all</w:t>
      </w:r>
      <w:r>
        <w:rPr>
          <w:rFonts w:hAnsi="Book Antiqua" w:hint="default"/>
          <w:rtl w:val="0"/>
          <w:lang w:val="it-IT"/>
        </w:rPr>
        <w:t>’</w:t>
      </w:r>
      <w:r>
        <w:rPr>
          <w:rFonts w:ascii="Book Antiqua"/>
          <w:rtl w:val="0"/>
          <w:lang w:val="it-IT"/>
        </w:rPr>
        <w:t>attenzione attraverso le inchieste, avrebbero potuto essere limitati, se ci fosse stato un controllo (esterno e preventivo) sulla legittimit</w:t>
      </w:r>
      <w:r>
        <w:rPr>
          <w:rFonts w:hAnsi="Book Antiqua" w:hint="default"/>
          <w:rtl w:val="0"/>
          <w:lang w:val="it-IT"/>
        </w:rPr>
        <w:t xml:space="preserve">à </w:t>
      </w:r>
      <w:r>
        <w:rPr>
          <w:rFonts w:ascii="Book Antiqua"/>
          <w:rtl w:val="0"/>
          <w:lang w:val="it-IT"/>
        </w:rPr>
        <w:t>degli atti e delle procedure amministrative.</w:t>
      </w:r>
    </w:p>
    <w:p>
      <w:pPr>
        <w:pStyle w:val="Normal"/>
        <w:ind w:left="567" w:right="567" w:firstLine="0"/>
        <w:jc w:val="both"/>
        <w:rPr>
          <w:rFonts w:ascii="Book Antiqua" w:cs="Book Antiqua" w:hAnsi="Book Antiqua" w:eastAsia="Book Antiqua"/>
        </w:rPr>
      </w:pPr>
      <w:r>
        <w:rPr>
          <w:rFonts w:ascii="Book Antiqua"/>
          <w:rtl w:val="0"/>
          <w:lang w:val="it-IT"/>
        </w:rPr>
        <w:t>Il sistema amministrativo di Roma ha agito di fatto in assenza di regole, a causa del sistematico utilizzo della negoziazione in deroga, della frammentazione degli appalti,  per portarne il valore sotto soglia e della proroga dei contratti. Per di pi</w:t>
      </w:r>
      <w:r>
        <w:rPr>
          <w:rFonts w:hAnsi="Book Antiqua" w:hint="default"/>
          <w:rtl w:val="0"/>
          <w:lang w:val="it-IT"/>
        </w:rPr>
        <w:t xml:space="preserve">ù </w:t>
      </w:r>
      <w:r>
        <w:rPr>
          <w:rFonts w:ascii="Book Antiqua"/>
          <w:rtl w:val="0"/>
          <w:lang w:val="it-IT"/>
        </w:rPr>
        <w:t>la relazione ex articolo 143 del Testo unico degli Enti locali  proponeva, con riferimento alla vicenda di AMA, la revoca del contratto di servizio esistente, in atto dal 2003 e sempre in proroga,  giacch</w:t>
      </w:r>
      <w:r>
        <w:rPr>
          <w:rFonts w:hAnsi="Book Antiqua" w:hint="default"/>
          <w:rtl w:val="0"/>
          <w:lang w:val="it-IT"/>
        </w:rPr>
        <w:t>é</w:t>
      </w:r>
      <w:r>
        <w:rPr>
          <w:rFonts w:ascii="Book Antiqua"/>
          <w:rtl w:val="0"/>
          <w:lang w:val="it-IT"/>
        </w:rPr>
        <w:t xml:space="preserve"> tale affidamento non aveva mai seguito i principi di trasparenza e di concorrenza</w:t>
      </w:r>
      <w:r>
        <w:rPr>
          <w:rFonts w:ascii="Book Antiqua" w:cs="Book Antiqua" w:hAnsi="Book Antiqua" w:eastAsia="Book Antiqua"/>
          <w:vertAlign w:val="superscript"/>
          <w:rtl w:val="0"/>
        </w:rPr>
        <w:footnoteReference w:id="4"/>
      </w:r>
      <w:r>
        <w:rPr>
          <w:rFonts w:ascii="Book Antiqua"/>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A Roma il sistema delle proroghe aveva due facce, la proroga propriamente detta e i debiti fuori bilancio; mancava ogni tipo di controllo, finch</w:t>
      </w:r>
      <w:r>
        <w:rPr>
          <w:rFonts w:hAnsi="Book Antiqua" w:hint="default"/>
          <w:rtl w:val="0"/>
          <w:lang w:val="it-IT"/>
        </w:rPr>
        <w:t>é</w:t>
      </w:r>
      <w:r>
        <w:rPr>
          <w:rFonts w:ascii="Book Antiqua"/>
          <w:rtl w:val="0"/>
          <w:lang w:val="it-IT"/>
        </w:rPr>
        <w:t>, a un certo punto, si ritenne che sul controllo esterno dovesse far premio il controllo interno: ma poi il controllo interno, ad esempio da parte del Segretariato generale, riguardava soltanto controlli a campione su gare superiori ai 200.000 euro.</w:t>
      </w:r>
    </w:p>
    <w:p>
      <w:pPr>
        <w:pStyle w:val="Normal"/>
        <w:ind w:left="567" w:right="567" w:firstLine="0"/>
        <w:jc w:val="both"/>
        <w:rPr>
          <w:rFonts w:ascii="Book Antiqua" w:cs="Book Antiqua" w:hAnsi="Book Antiqua" w:eastAsia="Book Antiqua"/>
        </w:rPr>
      </w:pPr>
      <w:r>
        <w:rPr>
          <w:rFonts w:ascii="Book Antiqua"/>
          <w:rtl w:val="0"/>
          <w:lang w:val="it-IT"/>
        </w:rPr>
        <w:t>Su altre questioni specificamente poste, il prefetto ha riferito che: l</w:t>
      </w:r>
      <w:r>
        <w:rPr>
          <w:rFonts w:hAnsi="Book Antiqua" w:hint="default"/>
          <w:rtl w:val="0"/>
          <w:lang w:val="it-IT"/>
        </w:rPr>
        <w:t>’</w:t>
      </w:r>
      <w:r>
        <w:rPr>
          <w:rFonts w:ascii="Book Antiqua"/>
          <w:rtl w:val="0"/>
          <w:lang w:val="it-IT"/>
        </w:rPr>
        <w:t>interpretazione data dalla regione Lazio in merito alla sentenza del Consiglio di Stato per quanto riguarda la frazione organica stabilizzata (FOS), che viene portata fuori regione per il 70 per cento non aveva trovato risposta univoca da parte del Ministero dell</w:t>
      </w:r>
      <w:r>
        <w:rPr>
          <w:rFonts w:hAnsi="Book Antiqua" w:hint="default"/>
          <w:rtl w:val="0"/>
          <w:lang w:val="it-IT"/>
        </w:rPr>
        <w:t>’</w:t>
      </w:r>
      <w:r>
        <w:rPr>
          <w:rFonts w:ascii="Book Antiqua"/>
          <w:rtl w:val="0"/>
          <w:lang w:val="it-IT"/>
        </w:rPr>
        <w:t xml:space="preserve">ambiente; non sono risultate evidenze di collegamenti tra il sistema imprenditoriale di Manlio Cerroni e la vicenda </w:t>
      </w:r>
      <w:r>
        <w:rPr>
          <w:rFonts w:hAnsi="Book Antiqua" w:hint="default"/>
          <w:rtl w:val="0"/>
          <w:lang w:val="it-IT"/>
        </w:rPr>
        <w:t>“</w:t>
      </w:r>
      <w:r>
        <w:rPr>
          <w:rFonts w:ascii="Book Antiqua"/>
          <w:rtl w:val="0"/>
          <w:lang w:val="it-IT"/>
        </w:rPr>
        <w:t>Mondo di mezzo</w:t>
      </w:r>
      <w:r>
        <w:rPr>
          <w:rFonts w:hAnsi="Book Antiqua" w:hint="default"/>
          <w:rtl w:val="0"/>
          <w:lang w:val="it-IT"/>
        </w:rPr>
        <w:t>”</w:t>
      </w:r>
      <w:r>
        <w:rPr>
          <w:rFonts w:ascii="Book Antiqua"/>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Il comandante del NOE di Roma, in audizione, ha confermato l</w:t>
      </w:r>
      <w:r>
        <w:rPr>
          <w:rFonts w:hAnsi="Book Antiqua" w:hint="default"/>
          <w:rtl w:val="0"/>
          <w:lang w:val="it-IT"/>
        </w:rPr>
        <w:t>’</w:t>
      </w:r>
      <w:r>
        <w:rPr>
          <w:rFonts w:ascii="Book Antiqua"/>
          <w:rtl w:val="0"/>
          <w:lang w:val="it-IT"/>
        </w:rPr>
        <w:t>inesistenza di riscontri  riguardanti collegamenti o infiltrazioni della criminalit</w:t>
      </w:r>
      <w:r>
        <w:rPr>
          <w:rFonts w:hAnsi="Book Antiqua" w:hint="default"/>
          <w:rtl w:val="0"/>
          <w:lang w:val="it-IT"/>
        </w:rPr>
        <w:t xml:space="preserve">à </w:t>
      </w:r>
      <w:r>
        <w:rPr>
          <w:rFonts w:ascii="Book Antiqua"/>
          <w:rtl w:val="0"/>
          <w:lang w:val="it-IT"/>
        </w:rPr>
        <w:t>organizzata nel ciclo dei rifiuti della Capitale.</w:t>
      </w:r>
    </w:p>
    <w:p>
      <w:pPr>
        <w:pStyle w:val="Normal"/>
        <w:ind w:left="567" w:right="567" w:firstLine="0"/>
        <w:jc w:val="both"/>
        <w:rPr>
          <w:rFonts w:ascii="Book Antiqua" w:cs="Book Antiqua" w:hAnsi="Book Antiqua" w:eastAsia="Book Antiqua"/>
        </w:rPr>
      </w:pPr>
      <w:r>
        <w:rPr>
          <w:rFonts w:ascii="Book Antiqua"/>
          <w:rtl w:val="0"/>
          <w:lang w:val="it-IT"/>
        </w:rPr>
        <w:t>Il comandante del Corpo forestale dello Stato di Roma, in audizione, ha osservato che esiste il problema, rilevato dal Corpo, di abbandoni diffusi di rifiuti, anche se non di grande entit</w:t>
      </w:r>
      <w:r>
        <w:rPr>
          <w:rFonts w:hAnsi="Book Antiqua" w:hint="default"/>
          <w:rtl w:val="0"/>
          <w:lang w:val="it-IT"/>
        </w:rPr>
        <w:t>à</w:t>
      </w:r>
      <w:r>
        <w:rPr>
          <w:rFonts w:ascii="Book Antiqua"/>
          <w:rtl w:val="0"/>
          <w:lang w:val="it-IT"/>
        </w:rPr>
        <w:t>; si tratta in particolare di rifiuti edili, provenienti da attivit</w:t>
      </w:r>
      <w:r>
        <w:rPr>
          <w:rFonts w:hAnsi="Book Antiqua" w:hint="default"/>
          <w:rtl w:val="0"/>
          <w:lang w:val="it-IT"/>
        </w:rPr>
        <w:t xml:space="preserve">à </w:t>
      </w:r>
      <w:r>
        <w:rPr>
          <w:rFonts w:ascii="Book Antiqua"/>
          <w:rtl w:val="0"/>
          <w:lang w:val="it-IT"/>
        </w:rPr>
        <w:t>di demolizione e ristrutturazione, pneumatici, rifiuti di apparecchiature elettriche ed elettroniche (RAEE).</w:t>
      </w:r>
    </w:p>
    <w:p>
      <w:pPr>
        <w:pStyle w:val="Normal"/>
        <w:ind w:left="567" w:right="567" w:firstLine="0"/>
        <w:jc w:val="both"/>
        <w:rPr>
          <w:rFonts w:ascii="Book Antiqua" w:cs="Book Antiqua" w:hAnsi="Book Antiqua" w:eastAsia="Book Antiqua"/>
        </w:rPr>
      </w:pPr>
      <w:r>
        <w:rPr>
          <w:rFonts w:ascii="Book Antiqua"/>
          <w:rtl w:val="0"/>
          <w:lang w:val="it-IT"/>
        </w:rPr>
        <w:t>Secondo l</w:t>
      </w:r>
      <w:r>
        <w:rPr>
          <w:rFonts w:hAnsi="Book Antiqua" w:hint="default"/>
          <w:rtl w:val="0"/>
          <w:lang w:val="it-IT"/>
        </w:rPr>
        <w:t>’</w:t>
      </w:r>
      <w:r>
        <w:rPr>
          <w:rFonts w:ascii="Book Antiqua"/>
          <w:rtl w:val="0"/>
          <w:lang w:val="it-IT"/>
        </w:rPr>
        <w:t>audito l</w:t>
      </w:r>
      <w:r>
        <w:rPr>
          <w:rFonts w:hAnsi="Book Antiqua" w:hint="default"/>
          <w:rtl w:val="0"/>
          <w:lang w:val="it-IT"/>
        </w:rPr>
        <w:t>’</w:t>
      </w:r>
      <w:r>
        <w:rPr>
          <w:rFonts w:ascii="Book Antiqua"/>
          <w:rtl w:val="0"/>
          <w:lang w:val="it-IT"/>
        </w:rPr>
        <w:t>attivit</w:t>
      </w:r>
      <w:r>
        <w:rPr>
          <w:rFonts w:hAnsi="Book Antiqua" w:hint="default"/>
          <w:rtl w:val="0"/>
          <w:lang w:val="it-IT"/>
        </w:rPr>
        <w:t xml:space="preserve">à </w:t>
      </w:r>
      <w:r>
        <w:rPr>
          <w:rFonts w:ascii="Book Antiqua"/>
          <w:rtl w:val="0"/>
          <w:lang w:val="it-IT"/>
        </w:rPr>
        <w:t>di controllo dovrebbe riguardare le filiere, per cercare di comprendere questi fenomeni e, se possibile, prevenirli, piuttosto che contrastare gli episodi di abbandono puntuale; in particolare per i RAEE si verifica il dirottamento verso una filiera parallela illecita, associata a elevate percentuali di irregolare tenuta dei registri.</w:t>
      </w:r>
    </w:p>
    <w:p>
      <w:pPr>
        <w:pStyle w:val="Normal"/>
        <w:ind w:left="567" w:right="567" w:firstLine="0"/>
        <w:jc w:val="both"/>
        <w:rPr>
          <w:rFonts w:ascii="Book Antiqua" w:cs="Book Antiqua" w:hAnsi="Book Antiqua" w:eastAsia="Book Antiqua"/>
        </w:rPr>
      </w:pPr>
      <w:r>
        <w:rPr>
          <w:rFonts w:ascii="Book Antiqua"/>
          <w:rtl w:val="0"/>
          <w:lang w:val="it-IT"/>
        </w:rPr>
        <w:t xml:space="preserve">Quanto ai rifiuti di origine edilizia il fenomeno </w:t>
      </w:r>
      <w:r>
        <w:rPr>
          <w:rFonts w:hAnsi="Book Antiqua" w:hint="default"/>
          <w:rtl w:val="0"/>
          <w:lang w:val="it-IT"/>
        </w:rPr>
        <w:t xml:space="preserve">è </w:t>
      </w:r>
      <w:r>
        <w:rPr>
          <w:rFonts w:ascii="Book Antiqua"/>
          <w:rtl w:val="0"/>
          <w:lang w:val="it-IT"/>
        </w:rPr>
        <w:t>alimentato dall</w:t>
      </w:r>
      <w:r>
        <w:rPr>
          <w:rFonts w:hAnsi="Book Antiqua" w:hint="default"/>
          <w:rtl w:val="0"/>
          <w:lang w:val="it-IT"/>
        </w:rPr>
        <w:t>’</w:t>
      </w:r>
      <w:r>
        <w:rPr>
          <w:rFonts w:ascii="Book Antiqua"/>
          <w:rtl w:val="0"/>
          <w:lang w:val="it-IT"/>
        </w:rPr>
        <w:t>attivit</w:t>
      </w:r>
      <w:r>
        <w:rPr>
          <w:rFonts w:hAnsi="Book Antiqua" w:hint="default"/>
          <w:rtl w:val="0"/>
          <w:lang w:val="it-IT"/>
        </w:rPr>
        <w:t xml:space="preserve">à </w:t>
      </w:r>
      <w:r>
        <w:rPr>
          <w:rFonts w:ascii="Book Antiqua"/>
          <w:rtl w:val="0"/>
          <w:lang w:val="it-IT"/>
        </w:rPr>
        <w:t>di piccole aziende che lavorano del tutto in nero (esiste anche in questo caso un tema di necessit</w:t>
      </w:r>
      <w:r>
        <w:rPr>
          <w:rFonts w:hAnsi="Book Antiqua" w:hint="default"/>
          <w:rtl w:val="0"/>
          <w:lang w:val="it-IT"/>
        </w:rPr>
        <w:t xml:space="preserve">à </w:t>
      </w:r>
      <w:r>
        <w:rPr>
          <w:rFonts w:ascii="Book Antiqua"/>
          <w:rtl w:val="0"/>
          <w:lang w:val="it-IT"/>
        </w:rPr>
        <w:t>di controlli amministrativi cittadini sull</w:t>
      </w:r>
      <w:r>
        <w:rPr>
          <w:rFonts w:hAnsi="Book Antiqua" w:hint="default"/>
          <w:rtl w:val="0"/>
          <w:lang w:val="it-IT"/>
        </w:rPr>
        <w:t>’</w:t>
      </w:r>
      <w:r>
        <w:rPr>
          <w:rFonts w:ascii="Book Antiqua"/>
          <w:rtl w:val="0"/>
          <w:lang w:val="it-IT"/>
        </w:rPr>
        <w:t>edilizia).</w:t>
      </w:r>
    </w:p>
    <w:p>
      <w:pPr>
        <w:pStyle w:val="Camera"/>
        <w:spacing w:line="240" w:lineRule="auto"/>
        <w:ind w:left="567" w:right="567" w:firstLine="0"/>
        <w:rPr>
          <w:rFonts w:ascii="Book Antiqua" w:cs="Book Antiqua" w:hAnsi="Book Antiqua" w:eastAsia="Book Antiqua"/>
        </w:rPr>
      </w:pPr>
      <w:r>
        <w:rPr>
          <w:rFonts w:ascii="Book Antiqua"/>
          <w:rtl w:val="0"/>
          <w:lang w:val="it-IT"/>
        </w:rPr>
        <w:t>Con la prefettura erano stati aperti tavoli tematici riferiti ad alcune attivit</w:t>
      </w:r>
      <w:r>
        <w:rPr>
          <w:rFonts w:hAnsi="Book Antiqua" w:hint="default"/>
          <w:rtl w:val="0"/>
          <w:lang w:val="it-IT"/>
        </w:rPr>
        <w:t xml:space="preserve">à </w:t>
      </w:r>
      <w:r>
        <w:rPr>
          <w:rFonts w:ascii="Book Antiqua"/>
          <w:rtl w:val="0"/>
          <w:lang w:val="it-IT"/>
        </w:rPr>
        <w:t>nel contesto urbano della Capitale; due di questi erano collegati ai fenomeni di degrado urbano e alla presenza di numerosi insediamenti rom nell</w:t>
      </w:r>
      <w:r>
        <w:rPr>
          <w:rFonts w:hAnsi="Book Antiqua" w:hint="default"/>
          <w:rtl w:val="0"/>
          <w:lang w:val="it-IT"/>
        </w:rPr>
        <w:t>’</w:t>
      </w:r>
      <w:r>
        <w:rPr>
          <w:rFonts w:ascii="Book Antiqua"/>
          <w:rtl w:val="0"/>
          <w:lang w:val="it-IT"/>
        </w:rPr>
        <w:t>area di Roma; molte aree della Capitale, soprattutto quelle pi</w:t>
      </w:r>
      <w:r>
        <w:rPr>
          <w:rFonts w:hAnsi="Book Antiqua" w:hint="default"/>
          <w:rtl w:val="0"/>
          <w:lang w:val="it-IT"/>
        </w:rPr>
        <w:t xml:space="preserve">ù </w:t>
      </w:r>
      <w:r>
        <w:rPr>
          <w:rFonts w:ascii="Book Antiqua"/>
          <w:rtl w:val="0"/>
          <w:lang w:val="it-IT"/>
        </w:rPr>
        <w:t>periferiche e quelle che insistono nei dintorni dei campi nomadi, sono oggetto delle problematiche pi</w:t>
      </w:r>
      <w:r>
        <w:rPr>
          <w:rFonts w:hAnsi="Book Antiqua" w:hint="default"/>
          <w:rtl w:val="0"/>
          <w:lang w:val="it-IT"/>
        </w:rPr>
        <w:t xml:space="preserve">ù </w:t>
      </w:r>
      <w:r>
        <w:rPr>
          <w:rFonts w:ascii="Book Antiqua"/>
          <w:rtl w:val="0"/>
          <w:lang w:val="it-IT"/>
        </w:rPr>
        <w:t xml:space="preserve">diverse, legate a sistematici  abbandoni di rifiuti  e allo svilupparsi di roghi tossici; la situazione del campo nomadi La Barbuta </w:t>
      </w:r>
      <w:r>
        <w:rPr>
          <w:rFonts w:hAnsi="Book Antiqua" w:hint="default"/>
          <w:rtl w:val="0"/>
          <w:lang w:val="it-IT"/>
        </w:rPr>
        <w:t xml:space="preserve">è </w:t>
      </w:r>
      <w:r>
        <w:rPr>
          <w:rFonts w:ascii="Book Antiqua"/>
          <w:rtl w:val="0"/>
          <w:lang w:val="it-IT"/>
        </w:rPr>
        <w:t>sovrapponibile a quella che si verifica nei pressi e all</w:t>
      </w:r>
      <w:r>
        <w:rPr>
          <w:rFonts w:hAnsi="Book Antiqua" w:hint="default"/>
          <w:rtl w:val="0"/>
          <w:lang w:val="it-IT"/>
        </w:rPr>
        <w:t>’</w:t>
      </w:r>
      <w:r>
        <w:rPr>
          <w:rFonts w:ascii="Book Antiqua"/>
          <w:rtl w:val="0"/>
          <w:lang w:val="it-IT"/>
        </w:rPr>
        <w:t>interno dei maggiori campi nomadi di Roma: sulla Pontina, a Castel Romano, in via Salviati, via di Salone</w:t>
      </w:r>
      <w:r>
        <w:rPr>
          <w:rFonts w:ascii="Book Antiqua" w:cs="Book Antiqua" w:hAnsi="Book Antiqua" w:eastAsia="Book Antiqua"/>
          <w:vertAlign w:val="superscript"/>
          <w:rtl w:val="0"/>
        </w:rPr>
        <w:footnoteReference w:id="5"/>
      </w:r>
      <w:r>
        <w:rPr>
          <w:rFonts w:ascii="Book Antiqua"/>
          <w:rtl w:val="0"/>
          <w:lang w:val="it-IT"/>
        </w:rPr>
        <w:t xml:space="preserve">, via Candoni, che sono quelli di maggiore dimensione. Negli anni si </w:t>
      </w:r>
      <w:r>
        <w:rPr>
          <w:rFonts w:hAnsi="Book Antiqua" w:hint="default"/>
          <w:rtl w:val="0"/>
          <w:lang w:val="it-IT"/>
        </w:rPr>
        <w:t xml:space="preserve">è </w:t>
      </w:r>
      <w:r>
        <w:rPr>
          <w:rFonts w:ascii="Book Antiqua"/>
          <w:rtl w:val="0"/>
          <w:lang w:val="it-IT"/>
        </w:rPr>
        <w:t xml:space="preserve">sviluppata una vera e propria filiera dei rifiuti, che </w:t>
      </w:r>
      <w:r>
        <w:rPr>
          <w:rFonts w:hAnsi="Book Antiqua" w:hint="default"/>
          <w:rtl w:val="0"/>
          <w:lang w:val="it-IT"/>
        </w:rPr>
        <w:t xml:space="preserve">è </w:t>
      </w:r>
      <w:r>
        <w:rPr>
          <w:rFonts w:ascii="Book Antiqua"/>
          <w:rtl w:val="0"/>
          <w:lang w:val="it-IT"/>
        </w:rPr>
        <w:t>gestita da questi soggetti di etnia rom, i quali ne ricavano dei redditi consistenti. La polizia di Roma Capitale, in collaborazione con la polizia della citt</w:t>
      </w:r>
      <w:r>
        <w:rPr>
          <w:rFonts w:hAnsi="Book Antiqua" w:hint="default"/>
          <w:rtl w:val="0"/>
          <w:lang w:val="it-IT"/>
        </w:rPr>
        <w:t xml:space="preserve">à </w:t>
      </w:r>
      <w:r>
        <w:rPr>
          <w:rFonts w:ascii="Book Antiqua"/>
          <w:rtl w:val="0"/>
          <w:lang w:val="it-IT"/>
        </w:rPr>
        <w:t>metropolitana, con la Polizia di Stato, con la Guardia di finanza e l</w:t>
      </w:r>
      <w:r>
        <w:rPr>
          <w:rFonts w:hAnsi="Book Antiqua" w:hint="default"/>
          <w:rtl w:val="0"/>
          <w:lang w:val="it-IT"/>
        </w:rPr>
        <w:t>’</w:t>
      </w:r>
      <w:r>
        <w:rPr>
          <w:rFonts w:ascii="Book Antiqua"/>
          <w:rtl w:val="0"/>
          <w:lang w:val="it-IT"/>
        </w:rPr>
        <w:t>Arma dei carabinieri, aveva all</w:t>
      </w:r>
      <w:r>
        <w:rPr>
          <w:rFonts w:hAnsi="Book Antiqua" w:hint="default"/>
          <w:rtl w:val="0"/>
          <w:lang w:val="it-IT"/>
        </w:rPr>
        <w:t>’</w:t>
      </w:r>
      <w:r>
        <w:rPr>
          <w:rFonts w:ascii="Book Antiqua"/>
          <w:rtl w:val="0"/>
          <w:lang w:val="it-IT"/>
        </w:rPr>
        <w:t>epoca avviato un</w:t>
      </w:r>
      <w:r>
        <w:rPr>
          <w:rFonts w:hAnsi="Book Antiqua" w:hint="default"/>
          <w:rtl w:val="0"/>
          <w:lang w:val="it-IT"/>
        </w:rPr>
        <w:t>’</w:t>
      </w:r>
      <w:r>
        <w:rPr>
          <w:rFonts w:ascii="Book Antiqua"/>
          <w:rtl w:val="0"/>
          <w:lang w:val="it-IT"/>
        </w:rPr>
        <w:t>attivit</w:t>
      </w:r>
      <w:r>
        <w:rPr>
          <w:rFonts w:hAnsi="Book Antiqua" w:hint="default"/>
          <w:rtl w:val="0"/>
          <w:lang w:val="it-IT"/>
        </w:rPr>
        <w:t xml:space="preserve">à </w:t>
      </w:r>
      <w:r>
        <w:rPr>
          <w:rFonts w:ascii="Book Antiqua"/>
          <w:rtl w:val="0"/>
          <w:lang w:val="it-IT"/>
        </w:rPr>
        <w:t>sistematica di controllo dei trasporti su strada, che riguardano soprattutto materiali metallici, che poi vengono portati ai rottamatori o agli autodemolitori che insistono nell</w:t>
      </w:r>
      <w:r>
        <w:rPr>
          <w:rFonts w:hAnsi="Book Antiqua" w:hint="default"/>
          <w:rtl w:val="0"/>
          <w:lang w:val="it-IT"/>
        </w:rPr>
        <w:t>’</w:t>
      </w:r>
      <w:r>
        <w:rPr>
          <w:rFonts w:ascii="Book Antiqua"/>
          <w:rtl w:val="0"/>
          <w:lang w:val="it-IT"/>
        </w:rPr>
        <w:t>area della Capitale; alla fine della filiera (che in alcuni casi ha alla sua base una serie di reati di natura predatoria) ci sono i rottamatori</w:t>
      </w:r>
      <w:r>
        <w:rPr>
          <w:rFonts w:ascii="Book Antiqua" w:cs="Book Antiqua" w:hAnsi="Book Antiqua" w:eastAsia="Book Antiqua"/>
          <w:vertAlign w:val="superscript"/>
          <w:rtl w:val="0"/>
        </w:rPr>
        <w:footnoteReference w:id="6"/>
      </w:r>
      <w:r>
        <w:rPr>
          <w:rFonts w:ascii="Book Antiqua"/>
          <w:rtl w:val="0"/>
          <w:lang w:val="it-IT"/>
        </w:rPr>
        <w:t>.</w:t>
      </w:r>
    </w:p>
    <w:p>
      <w:pPr>
        <w:pStyle w:val="Camera"/>
        <w:spacing w:line="240" w:lineRule="auto"/>
        <w:ind w:left="567" w:right="567" w:firstLine="0"/>
        <w:rPr>
          <w:rFonts w:ascii="Book Antiqua" w:cs="Book Antiqua" w:hAnsi="Book Antiqua" w:eastAsia="Book Antiqua"/>
        </w:rPr>
      </w:pPr>
      <w:r>
        <w:rPr>
          <w:rFonts w:ascii="Book Antiqua"/>
          <w:rtl w:val="0"/>
          <w:lang w:val="it-IT"/>
        </w:rPr>
        <w:t>Il tema dell</w:t>
      </w:r>
      <w:r>
        <w:rPr>
          <w:rFonts w:hAnsi="Book Antiqua" w:hint="default"/>
          <w:rtl w:val="0"/>
          <w:lang w:val="it-IT"/>
        </w:rPr>
        <w:t>’</w:t>
      </w:r>
      <w:r>
        <w:rPr>
          <w:rFonts w:ascii="Book Antiqua"/>
          <w:rtl w:val="0"/>
          <w:lang w:val="it-IT"/>
        </w:rPr>
        <w:t>inclusione sociale e lavorativa dei soggetti rom dediti a questi traffici non pu</w:t>
      </w:r>
      <w:r>
        <w:rPr>
          <w:rFonts w:hAnsi="Book Antiqua" w:hint="default"/>
          <w:rtl w:val="0"/>
          <w:lang w:val="it-IT"/>
        </w:rPr>
        <w:t xml:space="preserve">ò </w:t>
      </w:r>
      <w:r>
        <w:rPr>
          <w:rFonts w:ascii="Book Antiqua"/>
          <w:rtl w:val="0"/>
          <w:lang w:val="it-IT"/>
        </w:rPr>
        <w:t>che essere subordinata all</w:t>
      </w:r>
      <w:r>
        <w:rPr>
          <w:rFonts w:hAnsi="Book Antiqua" w:hint="default"/>
          <w:rtl w:val="0"/>
          <w:lang w:val="it-IT"/>
        </w:rPr>
        <w:t>’</w:t>
      </w:r>
      <w:r>
        <w:rPr>
          <w:rFonts w:ascii="Book Antiqua"/>
          <w:rtl w:val="0"/>
          <w:lang w:val="it-IT"/>
        </w:rPr>
        <w:t>agire in piena legalit</w:t>
      </w:r>
      <w:r>
        <w:rPr>
          <w:rFonts w:hAnsi="Book Antiqua" w:hint="default"/>
          <w:rtl w:val="0"/>
          <w:lang w:val="it-IT"/>
        </w:rPr>
        <w:t>à</w:t>
      </w:r>
      <w:r>
        <w:rPr>
          <w:rFonts w:ascii="Book Antiqua"/>
          <w:rtl w:val="0"/>
          <w:lang w:val="it-IT"/>
        </w:rPr>
        <w:t xml:space="preserve">; </w:t>
      </w:r>
      <w:r>
        <w:rPr>
          <w:rFonts w:hAnsi="Book Antiqua" w:hint="default"/>
          <w:rtl w:val="0"/>
          <w:lang w:val="it-IT"/>
        </w:rPr>
        <w:t xml:space="preserve">è </w:t>
      </w:r>
      <w:r>
        <w:rPr>
          <w:rFonts w:ascii="Book Antiqua"/>
          <w:rtl w:val="0"/>
          <w:lang w:val="it-IT"/>
        </w:rPr>
        <w:t>un problema che l</w:t>
      </w:r>
      <w:r>
        <w:rPr>
          <w:rFonts w:hAnsi="Book Antiqua" w:hint="default"/>
          <w:rtl w:val="0"/>
          <w:lang w:val="it-IT"/>
        </w:rPr>
        <w:t>’</w:t>
      </w:r>
      <w:r>
        <w:rPr>
          <w:rFonts w:ascii="Book Antiqua"/>
          <w:rtl w:val="0"/>
          <w:lang w:val="it-IT"/>
        </w:rPr>
        <w:t>assessorato alle politiche sociali del comune di Roma all</w:t>
      </w:r>
      <w:r>
        <w:rPr>
          <w:rFonts w:hAnsi="Book Antiqua" w:hint="default"/>
          <w:rtl w:val="0"/>
          <w:lang w:val="it-IT"/>
        </w:rPr>
        <w:t>’</w:t>
      </w:r>
      <w:r>
        <w:rPr>
          <w:rFonts w:ascii="Book Antiqua"/>
          <w:rtl w:val="0"/>
          <w:lang w:val="it-IT"/>
        </w:rPr>
        <w:t>epoca stava valutando, come avevano riferito il sindaco Ignazio Marino e l</w:t>
      </w:r>
      <w:r>
        <w:rPr>
          <w:rFonts w:hAnsi="Book Antiqua" w:hint="default"/>
          <w:rtl w:val="0"/>
          <w:lang w:val="it-IT"/>
        </w:rPr>
        <w:t>’</w:t>
      </w:r>
      <w:r>
        <w:rPr>
          <w:rFonts w:ascii="Book Antiqua"/>
          <w:rtl w:val="0"/>
          <w:lang w:val="it-IT"/>
        </w:rPr>
        <w:t>assessora all</w:t>
      </w:r>
      <w:r>
        <w:rPr>
          <w:rFonts w:hAnsi="Book Antiqua" w:hint="default"/>
          <w:rtl w:val="0"/>
          <w:lang w:val="it-IT"/>
        </w:rPr>
        <w:t>’</w:t>
      </w:r>
      <w:r>
        <w:rPr>
          <w:rFonts w:ascii="Book Antiqua"/>
          <w:rtl w:val="0"/>
          <w:lang w:val="it-IT"/>
        </w:rPr>
        <w:t>ambiente Estella Marino.</w:t>
      </w:r>
    </w:p>
    <w:p>
      <w:pPr>
        <w:pStyle w:val="Normal"/>
        <w:ind w:left="567" w:right="567" w:firstLine="0"/>
        <w:jc w:val="both"/>
        <w:rPr>
          <w:rFonts w:ascii="Book Antiqua" w:cs="Book Antiqua" w:hAnsi="Book Antiqua" w:eastAsia="Book Antiqua"/>
        </w:rPr>
      </w:pPr>
      <w:r>
        <w:rPr>
          <w:rFonts w:ascii="Book Antiqua"/>
          <w:rtl w:val="0"/>
          <w:lang w:val="it-IT"/>
        </w:rPr>
        <w:t>Il comandante provinciale della Guardia di finanza di Roma, in audizione, ha successivamente riferito ampiamente della vicenda del sequestro, ai sensi della normativa antimafia, a carico di Arcangelo Spagnoli ed eredi; lo Spagnoli, in grado di movimentare milioni di euro in contanti, assumeva degli atteggiamenti violenti d</w:t>
      </w:r>
      <w:r>
        <w:rPr>
          <w:rFonts w:hAnsi="Book Antiqua" w:hint="default"/>
          <w:rtl w:val="0"/>
          <w:lang w:val="it-IT"/>
        </w:rPr>
        <w:t>’</w:t>
      </w:r>
      <w:r>
        <w:rPr>
          <w:rFonts w:ascii="Book Antiqua"/>
          <w:rtl w:val="0"/>
          <w:lang w:val="it-IT"/>
        </w:rPr>
        <w:t xml:space="preserve">intimidazione, classici delle consorterie criminali, ben oltre il sistema dei crimini da </w:t>
      </w:r>
      <w:r>
        <w:rPr>
          <w:rFonts w:hAnsi="Book Antiqua" w:hint="default"/>
          <w:rtl w:val="0"/>
          <w:lang w:val="it-IT"/>
        </w:rPr>
        <w:t>“</w:t>
      </w:r>
      <w:r>
        <w:rPr>
          <w:rFonts w:ascii="Book Antiqua"/>
          <w:rtl w:val="0"/>
          <w:lang w:val="it-IT"/>
        </w:rPr>
        <w:t>colletti bianchi</w:t>
      </w:r>
      <w:r>
        <w:rPr>
          <w:rFonts w:hAnsi="Book Antiqua" w:hint="default"/>
          <w:rtl w:val="0"/>
          <w:lang w:val="it-IT"/>
        </w:rPr>
        <w:t>”</w:t>
      </w:r>
      <w:r>
        <w:rPr>
          <w:rFonts w:ascii="Book Antiqua"/>
          <w:rtl w:val="0"/>
          <w:lang w:val="it-IT"/>
        </w:rPr>
        <w:t>; approfittava dunque della sua funzione per generare percorsi amministrativi farraginosi di accesso alle evidenze pubbliche che connotano le attribuzioni d</w:t>
      </w:r>
      <w:r>
        <w:rPr>
          <w:rFonts w:hAnsi="Book Antiqua" w:hint="default"/>
          <w:rtl w:val="0"/>
          <w:lang w:val="it-IT"/>
        </w:rPr>
        <w:t>’</w:t>
      </w:r>
      <w:r>
        <w:rPr>
          <w:rFonts w:ascii="Book Antiqua"/>
          <w:rtl w:val="0"/>
          <w:lang w:val="it-IT"/>
        </w:rPr>
        <w:t>incarico da parte della regione Lazio; e secondo l</w:t>
      </w:r>
      <w:r>
        <w:rPr>
          <w:rFonts w:hAnsi="Book Antiqua" w:hint="default"/>
          <w:rtl w:val="0"/>
          <w:lang w:val="it-IT"/>
        </w:rPr>
        <w:t>’</w:t>
      </w:r>
      <w:r>
        <w:rPr>
          <w:rFonts w:ascii="Book Antiqua"/>
          <w:rtl w:val="0"/>
          <w:lang w:val="it-IT"/>
        </w:rPr>
        <w:t>audito sfruttava la propria posizione di responsabile unico del procedimento in seno all</w:t>
      </w:r>
      <w:r>
        <w:rPr>
          <w:rFonts w:hAnsi="Book Antiqua" w:hint="default"/>
          <w:rtl w:val="0"/>
          <w:lang w:val="it-IT"/>
        </w:rPr>
        <w:t>’</w:t>
      </w:r>
      <w:r>
        <w:rPr>
          <w:rFonts w:ascii="Book Antiqua"/>
          <w:rtl w:val="0"/>
          <w:lang w:val="it-IT"/>
        </w:rPr>
        <w:t>ufficio del commissario delegato al fine di favorire Manlio Cerroni.</w:t>
      </w:r>
    </w:p>
    <w:p>
      <w:pPr>
        <w:pStyle w:val="Normal"/>
        <w:ind w:left="567" w:right="567" w:firstLine="0"/>
        <w:jc w:val="both"/>
        <w:rPr>
          <w:rFonts w:ascii="Book Antiqua" w:cs="Book Antiqua" w:hAnsi="Book Antiqua" w:eastAsia="Book Antiqua"/>
        </w:rPr>
      </w:pPr>
      <w:r>
        <w:rPr>
          <w:rFonts w:ascii="Book Antiqua"/>
          <w:rtl w:val="0"/>
          <w:lang w:val="it-IT"/>
        </w:rPr>
        <w:t>I capi d</w:t>
      </w:r>
      <w:r>
        <w:rPr>
          <w:rFonts w:hAnsi="Book Antiqua" w:hint="default"/>
          <w:rtl w:val="0"/>
          <w:lang w:val="it-IT"/>
        </w:rPr>
        <w:t>’</w:t>
      </w:r>
      <w:r>
        <w:rPr>
          <w:rFonts w:ascii="Book Antiqua"/>
          <w:rtl w:val="0"/>
          <w:lang w:val="it-IT"/>
        </w:rPr>
        <w:t>imputazione elevati a suo carico nel procedimento penale le cui indagini sono state svolte dalla Guardia di finanza</w:t>
      </w:r>
      <w:r>
        <w:rPr>
          <w:rFonts w:hAnsi="Book Antiqua" w:hint="default"/>
          <w:rtl w:val="0"/>
          <w:lang w:val="it-IT"/>
        </w:rPr>
        <w:t xml:space="preserve"> – </w:t>
      </w:r>
      <w:r>
        <w:rPr>
          <w:rFonts w:ascii="Book Antiqua"/>
          <w:rtl w:val="0"/>
          <w:lang w:val="it-IT"/>
        </w:rPr>
        <w:t xml:space="preserve">per fatti poi non perseguiti essendo i reati estinti per morte del reo </w:t>
      </w:r>
      <w:r>
        <w:rPr>
          <w:rFonts w:hAnsi="Book Antiqua" w:hint="default"/>
          <w:rtl w:val="0"/>
          <w:lang w:val="it-IT"/>
        </w:rPr>
        <w:t xml:space="preserve">– </w:t>
      </w:r>
      <w:r>
        <w:rPr>
          <w:rFonts w:ascii="Book Antiqua"/>
          <w:rtl w:val="0"/>
          <w:lang w:val="it-IT"/>
        </w:rPr>
        <w:t>riguardavano il delitto di associazione a delinquere finalizzata al traffico illecito di rifiuti, la frode in pubbliche forniture, la truffa e il falso ideologico. Altre figure che si muovevano sulla scena con Spagnoli vengono individuate in Mario Di Carlo, anch</w:t>
      </w:r>
      <w:r>
        <w:rPr>
          <w:rFonts w:hAnsi="Book Antiqua" w:hint="default"/>
          <w:rtl w:val="0"/>
          <w:lang w:val="it-IT"/>
        </w:rPr>
        <w:t>’</w:t>
      </w:r>
      <w:r>
        <w:rPr>
          <w:rFonts w:ascii="Book Antiqua"/>
          <w:rtl w:val="0"/>
          <w:lang w:val="it-IT"/>
        </w:rPr>
        <w:t>egli deceduto, Fabio Ermolli, gi</w:t>
      </w:r>
      <w:r>
        <w:rPr>
          <w:rFonts w:hAnsi="Book Antiqua" w:hint="default"/>
          <w:rtl w:val="0"/>
          <w:lang w:val="it-IT"/>
        </w:rPr>
        <w:t xml:space="preserve">à </w:t>
      </w:r>
      <w:r>
        <w:rPr>
          <w:rFonts w:ascii="Book Antiqua"/>
          <w:rtl w:val="0"/>
          <w:lang w:val="it-IT"/>
        </w:rPr>
        <w:t>direttore tecnico di una discarica in provincia di Brescia, che viene nominato responsabile del settore rifiuti dell</w:t>
      </w:r>
      <w:r>
        <w:rPr>
          <w:rFonts w:hAnsi="Book Antiqua" w:hint="default"/>
          <w:rtl w:val="0"/>
          <w:lang w:val="it-IT"/>
        </w:rPr>
        <w:t>’</w:t>
      </w:r>
      <w:r>
        <w:rPr>
          <w:rFonts w:ascii="Book Antiqua"/>
          <w:rtl w:val="0"/>
          <w:lang w:val="it-IT"/>
        </w:rPr>
        <w:t>ARPA Lazio e  Luca Fegatelli, dirigente regionale. Quest</w:t>
      </w:r>
      <w:r>
        <w:rPr>
          <w:rFonts w:hAnsi="Book Antiqua" w:hint="default"/>
          <w:rtl w:val="0"/>
          <w:lang w:val="it-IT"/>
        </w:rPr>
        <w:t>’</w:t>
      </w:r>
      <w:r>
        <w:rPr>
          <w:rFonts w:ascii="Book Antiqua"/>
          <w:rtl w:val="0"/>
          <w:lang w:val="it-IT"/>
        </w:rPr>
        <w:t>ultimo, alla chiusura del commissariamento, il 30 giugno 2008, e deceduto il Di Carlo, secondo le risultanze d</w:t>
      </w:r>
      <w:r>
        <w:rPr>
          <w:rFonts w:hAnsi="Book Antiqua" w:hint="default"/>
          <w:rtl w:val="0"/>
          <w:lang w:val="it-IT"/>
        </w:rPr>
        <w:t>’</w:t>
      </w:r>
      <w:r>
        <w:rPr>
          <w:rFonts w:ascii="Book Antiqua"/>
          <w:rtl w:val="0"/>
          <w:lang w:val="it-IT"/>
        </w:rPr>
        <w:t>indagine riferite dall</w:t>
      </w:r>
      <w:r>
        <w:rPr>
          <w:rFonts w:hAnsi="Book Antiqua" w:hint="default"/>
          <w:rtl w:val="0"/>
          <w:lang w:val="it-IT"/>
        </w:rPr>
        <w:t>’</w:t>
      </w:r>
      <w:r>
        <w:rPr>
          <w:rFonts w:ascii="Book Antiqua"/>
          <w:rtl w:val="0"/>
          <w:lang w:val="it-IT"/>
        </w:rPr>
        <w:t>audito assumer</w:t>
      </w:r>
      <w:r>
        <w:rPr>
          <w:rFonts w:hAnsi="Book Antiqua" w:hint="default"/>
          <w:rtl w:val="0"/>
          <w:lang w:val="it-IT"/>
        </w:rPr>
        <w:t xml:space="preserve">à </w:t>
      </w:r>
      <w:r>
        <w:rPr>
          <w:rFonts w:ascii="Book Antiqua"/>
          <w:rtl w:val="0"/>
          <w:lang w:val="it-IT"/>
        </w:rPr>
        <w:t>un ruolo fondamentale all</w:t>
      </w:r>
      <w:r>
        <w:rPr>
          <w:rFonts w:hAnsi="Book Antiqua" w:hint="default"/>
          <w:rtl w:val="0"/>
          <w:lang w:val="it-IT"/>
        </w:rPr>
        <w:t>’</w:t>
      </w:r>
      <w:r>
        <w:rPr>
          <w:rFonts w:ascii="Book Antiqua"/>
          <w:rtl w:val="0"/>
          <w:lang w:val="it-IT"/>
        </w:rPr>
        <w:t>interno della regione, non solo per agevolare l</w:t>
      </w:r>
      <w:r>
        <w:rPr>
          <w:rFonts w:hAnsi="Book Antiqua" w:hint="default"/>
          <w:rtl w:val="0"/>
          <w:lang w:val="it-IT"/>
        </w:rPr>
        <w:t>’</w:t>
      </w:r>
      <w:r>
        <w:rPr>
          <w:rFonts w:ascii="Book Antiqua"/>
          <w:rtl w:val="0"/>
          <w:lang w:val="it-IT"/>
        </w:rPr>
        <w:t>iter amministrativo delle autorizzazioni relative agli impianti Cerroni, ma anche per la gestione delle tariffe e della tenuta del regime del monopolio di Cerroni nel Lazio</w:t>
      </w:r>
      <w:r>
        <w:rPr>
          <w:rFonts w:ascii="Book Antiqua" w:cs="Book Antiqua" w:hAnsi="Book Antiqua" w:eastAsia="Book Antiqua"/>
          <w:vertAlign w:val="superscript"/>
          <w:rtl w:val="0"/>
        </w:rPr>
        <w:footnoteReference w:id="7"/>
      </w:r>
      <w:r>
        <w:rPr>
          <w:rFonts w:ascii="Book Antiqua"/>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Il procuratore della Repubblica di Roma, in audizione, ha affermato che non sono emersi elementi significativi, concreti e specifici per ritenere un</w:t>
      </w:r>
      <w:r>
        <w:rPr>
          <w:rFonts w:hAnsi="Book Antiqua" w:hint="default"/>
          <w:rtl w:val="0"/>
          <w:lang w:val="it-IT"/>
        </w:rPr>
        <w:t>’</w:t>
      </w:r>
      <w:r>
        <w:rPr>
          <w:rFonts w:ascii="Book Antiqua"/>
          <w:rtl w:val="0"/>
          <w:lang w:val="it-IT"/>
        </w:rPr>
        <w:t xml:space="preserve">ingerenza diretta, significativa e attuale delle organizzazioni mafiose tradizionali (cosa nostra, </w:t>
      </w:r>
      <w:r>
        <w:rPr>
          <w:rFonts w:hAnsi="Book Antiqua" w:hint="default"/>
          <w:rtl w:val="0"/>
          <w:lang w:val="it-IT"/>
        </w:rPr>
        <w:t>‘</w:t>
      </w:r>
      <w:r>
        <w:rPr>
          <w:rFonts w:ascii="Book Antiqua"/>
          <w:i w:val="1"/>
          <w:iCs w:val="1"/>
          <w:rtl w:val="0"/>
          <w:lang w:val="it-IT"/>
        </w:rPr>
        <w:t>ndrangheta</w:t>
      </w:r>
      <w:r>
        <w:rPr>
          <w:rFonts w:ascii="Book Antiqua"/>
          <w:rtl w:val="0"/>
          <w:lang w:val="it-IT"/>
        </w:rPr>
        <w:t xml:space="preserve"> e camorra) nella gestione del ciclo dei rifiuti nella regione Lazio.</w:t>
      </w:r>
    </w:p>
    <w:p>
      <w:pPr>
        <w:pStyle w:val="Plain Text"/>
        <w:widowControl w:val="0"/>
        <w:ind w:left="567" w:right="567" w:firstLine="0"/>
        <w:jc w:val="both"/>
        <w:rPr>
          <w:rFonts w:ascii="Book Antiqua" w:cs="Book Antiqua" w:hAnsi="Book Antiqua" w:eastAsia="Book Antiqua"/>
        </w:rPr>
      </w:pPr>
      <w:r>
        <w:rPr>
          <w:rFonts w:ascii="Book Antiqua"/>
          <w:rtl w:val="0"/>
          <w:lang w:val="it-IT"/>
        </w:rPr>
        <w:t>Poco prima dell</w:t>
      </w:r>
      <w:r>
        <w:rPr>
          <w:rFonts w:hAnsi="Book Antiqua" w:hint="default"/>
          <w:rtl w:val="0"/>
          <w:lang w:val="it-IT"/>
        </w:rPr>
        <w:t>’</w:t>
      </w:r>
      <w:r>
        <w:rPr>
          <w:rFonts w:ascii="Book Antiqua"/>
          <w:rtl w:val="0"/>
          <w:lang w:val="it-IT"/>
        </w:rPr>
        <w:t>audizione era avvenuto un incendio nell</w:t>
      </w:r>
      <w:r>
        <w:rPr>
          <w:rFonts w:hAnsi="Book Antiqua" w:hint="default"/>
          <w:rtl w:val="0"/>
          <w:lang w:val="it-IT"/>
        </w:rPr>
        <w:t>’</w:t>
      </w:r>
      <w:r>
        <w:rPr>
          <w:rFonts w:ascii="Book Antiqua"/>
          <w:rtl w:val="0"/>
          <w:lang w:val="it-IT"/>
        </w:rPr>
        <w:t>impianto AMA di via Salaria: il procuratore aveva allora riferito che erano ancora in corso accertamenti e indagini (non vi sono stati aggiornamenti o esiti riferiti sul fatto).</w:t>
      </w:r>
    </w:p>
    <w:p>
      <w:pPr>
        <w:pStyle w:val="Plain Text"/>
        <w:widowControl w:val="0"/>
        <w:ind w:left="567" w:right="567" w:firstLine="0"/>
        <w:jc w:val="both"/>
        <w:rPr>
          <w:rFonts w:ascii="Book Antiqua" w:cs="Book Antiqua" w:hAnsi="Book Antiqua" w:eastAsia="Book Antiqua"/>
        </w:rPr>
      </w:pPr>
      <w:r>
        <w:rPr>
          <w:rFonts w:ascii="Book Antiqua"/>
          <w:rtl w:val="0"/>
          <w:lang w:val="it-IT"/>
        </w:rPr>
        <w:t>Le pi</w:t>
      </w:r>
      <w:r>
        <w:rPr>
          <w:rFonts w:hAnsi="Book Antiqua" w:hint="default"/>
          <w:rtl w:val="0"/>
          <w:lang w:val="it-IT"/>
        </w:rPr>
        <w:t xml:space="preserve">ù </w:t>
      </w:r>
      <w:r>
        <w:rPr>
          <w:rFonts w:ascii="Book Antiqua"/>
          <w:rtl w:val="0"/>
          <w:lang w:val="it-IT"/>
        </w:rPr>
        <w:t>numerose notizie di reato iscritte dalla procura di Roma per articolo 256 del decreto legislativo n. 152 del 2006 sono relative a materiali ferrosi destinati alla vendita da parte di nomadi e rifiuti provenienti da demolizioni o ristrutturazioni edilizie; rispetto a queste violazioni, secondo il procuratore, va visto con favore il sistema delle prescrizioni di cui alla legge 22 maggio 2015 n. 68.</w:t>
      </w:r>
    </w:p>
    <w:p>
      <w:pPr>
        <w:pStyle w:val="Plain Text"/>
        <w:widowControl w:val="0"/>
        <w:ind w:left="567" w:right="567" w:firstLine="0"/>
        <w:jc w:val="both"/>
        <w:rPr>
          <w:rFonts w:ascii="Book Antiqua" w:cs="Book Antiqua" w:hAnsi="Book Antiqua" w:eastAsia="Book Antiqua"/>
        </w:rPr>
      </w:pPr>
      <w:r>
        <w:rPr>
          <w:rFonts w:ascii="Book Antiqua"/>
          <w:rtl w:val="0"/>
          <w:lang w:val="it-IT"/>
        </w:rPr>
        <w:t>L</w:t>
      </w:r>
      <w:r>
        <w:rPr>
          <w:rFonts w:hAnsi="Book Antiqua" w:hint="default"/>
          <w:rtl w:val="0"/>
          <w:lang w:val="it-IT"/>
        </w:rPr>
        <w:t>’</w:t>
      </w:r>
      <w:r>
        <w:rPr>
          <w:rFonts w:ascii="Book Antiqua"/>
          <w:rtl w:val="0"/>
          <w:lang w:val="it-IT"/>
        </w:rPr>
        <w:t>articolo 3 della legge 6 febbraio 2014, n. 6, il delitto introdotto come articolo 256-bis decreto legislativo n. 152 del 2006, ossia la combustione illecita di rifiuti,</w:t>
      </w:r>
      <w:r>
        <w:rPr>
          <w:rFonts w:hAnsi="Book Antiqua" w:hint="default"/>
          <w:rtl w:val="0"/>
          <w:lang w:val="it-IT"/>
        </w:rPr>
        <w:t xml:space="preserve"> è </w:t>
      </w:r>
      <w:r>
        <w:rPr>
          <w:rFonts w:ascii="Book Antiqua"/>
          <w:rtl w:val="0"/>
          <w:lang w:val="it-IT"/>
        </w:rPr>
        <w:t>iscritto in fascicoli quasi tutti contro ignoti, in quanto a Roma le violazioni per le quali si procede si verificano prevalentemente dentro o in prossimit</w:t>
      </w:r>
      <w:r>
        <w:rPr>
          <w:rFonts w:hAnsi="Book Antiqua" w:hint="default"/>
          <w:rtl w:val="0"/>
          <w:lang w:val="it-IT"/>
        </w:rPr>
        <w:t xml:space="preserve">à </w:t>
      </w:r>
      <w:r>
        <w:rPr>
          <w:rFonts w:ascii="Book Antiqua"/>
          <w:rtl w:val="0"/>
          <w:lang w:val="it-IT"/>
        </w:rPr>
        <w:t>di campi nomadi allo scopo di reperire il rame, previa distruzione delle guaine in plastica dei cavi elettrici.</w:t>
      </w:r>
    </w:p>
    <w:p>
      <w:pPr>
        <w:pStyle w:val="Plain Text"/>
        <w:widowControl w:val="0"/>
        <w:ind w:left="567" w:right="567" w:firstLine="0"/>
        <w:jc w:val="both"/>
        <w:rPr>
          <w:rFonts w:ascii="Book Antiqua" w:cs="Book Antiqua" w:hAnsi="Book Antiqua" w:eastAsia="Book Antiqua"/>
        </w:rPr>
      </w:pPr>
      <w:r>
        <w:rPr>
          <w:rFonts w:ascii="Book Antiqua"/>
          <w:rtl w:val="0"/>
          <w:lang w:val="it-IT"/>
        </w:rPr>
        <w:t>Quanto a Malagrotta, la procura della Repubblica ritiene  l</w:t>
      </w:r>
      <w:r>
        <w:rPr>
          <w:rFonts w:hAnsi="Book Antiqua" w:hint="default"/>
          <w:rtl w:val="0"/>
          <w:lang w:val="it-IT"/>
        </w:rPr>
        <w:t>’</w:t>
      </w:r>
      <w:r>
        <w:rPr>
          <w:rFonts w:ascii="Book Antiqua"/>
          <w:rtl w:val="0"/>
          <w:lang w:val="it-IT"/>
        </w:rPr>
        <w:t>inquinamento della Valle Galeria riconducibile alla societ</w:t>
      </w:r>
      <w:r>
        <w:rPr>
          <w:rFonts w:hAnsi="Book Antiqua" w:hint="default"/>
          <w:rtl w:val="0"/>
          <w:lang w:val="it-IT"/>
        </w:rPr>
        <w:t xml:space="preserve">à </w:t>
      </w:r>
      <w:r>
        <w:rPr>
          <w:rFonts w:ascii="Book Antiqua"/>
          <w:rtl w:val="0"/>
          <w:lang w:val="it-IT"/>
        </w:rPr>
        <w:t xml:space="preserve">che gestiva la discarica e che ne deve gestire anche la gestione </w:t>
      </w:r>
      <w:r>
        <w:rPr>
          <w:rFonts w:ascii="Book Antiqua"/>
          <w:i w:val="1"/>
          <w:iCs w:val="1"/>
          <w:rtl w:val="0"/>
          <w:lang w:val="it-IT"/>
        </w:rPr>
        <w:t>post-mortem</w:t>
      </w:r>
      <w:r>
        <w:rPr>
          <w:rFonts w:ascii="Book Antiqua"/>
          <w:rtl w:val="0"/>
          <w:lang w:val="it-IT"/>
        </w:rPr>
        <w:t xml:space="preserve"> per trent</w:t>
      </w:r>
      <w:r>
        <w:rPr>
          <w:rFonts w:hAnsi="Book Antiqua" w:hint="default"/>
          <w:rtl w:val="0"/>
          <w:lang w:val="it-IT"/>
        </w:rPr>
        <w:t>’</w:t>
      </w:r>
      <w:r>
        <w:rPr>
          <w:rFonts w:ascii="Book Antiqua"/>
          <w:rtl w:val="0"/>
          <w:lang w:val="it-IT"/>
        </w:rPr>
        <w:t>anni. Era stato all</w:t>
      </w:r>
      <w:r>
        <w:rPr>
          <w:rFonts w:hAnsi="Book Antiqua" w:hint="default"/>
          <w:rtl w:val="0"/>
          <w:lang w:val="it-IT"/>
        </w:rPr>
        <w:t>’</w:t>
      </w:r>
      <w:r>
        <w:rPr>
          <w:rFonts w:ascii="Book Antiqua"/>
          <w:rtl w:val="0"/>
          <w:lang w:val="it-IT"/>
        </w:rPr>
        <w:t>epoca dell</w:t>
      </w:r>
      <w:r>
        <w:rPr>
          <w:rFonts w:hAnsi="Book Antiqua" w:hint="default"/>
          <w:rtl w:val="0"/>
          <w:lang w:val="it-IT"/>
        </w:rPr>
        <w:t>’</w:t>
      </w:r>
      <w:r>
        <w:rPr>
          <w:rFonts w:ascii="Book Antiqua"/>
          <w:rtl w:val="0"/>
          <w:lang w:val="it-IT"/>
        </w:rPr>
        <w:t xml:space="preserve">audizione emesso un avviso di conclusione delle indagini (ed in seguito </w:t>
      </w:r>
      <w:r>
        <w:rPr>
          <w:rFonts w:hAnsi="Book Antiqua" w:hint="default"/>
          <w:rtl w:val="0"/>
          <w:lang w:val="it-IT"/>
        </w:rPr>
        <w:t xml:space="preserve">è </w:t>
      </w:r>
      <w:r>
        <w:rPr>
          <w:rFonts w:ascii="Book Antiqua"/>
          <w:rtl w:val="0"/>
          <w:lang w:val="it-IT"/>
        </w:rPr>
        <w:t>stata esercitata l</w:t>
      </w:r>
      <w:r>
        <w:rPr>
          <w:rFonts w:hAnsi="Book Antiqua" w:hint="default"/>
          <w:rtl w:val="0"/>
          <w:lang w:val="it-IT"/>
        </w:rPr>
        <w:t>’</w:t>
      </w:r>
      <w:r>
        <w:rPr>
          <w:rFonts w:ascii="Book Antiqua"/>
          <w:rtl w:val="0"/>
          <w:lang w:val="it-IT"/>
        </w:rPr>
        <w:t>azione penale) in cui veniva contestato anche il nuovo articolo 452-quater del codice penale;  l</w:t>
      </w:r>
      <w:r>
        <w:rPr>
          <w:rFonts w:hAnsi="Book Antiqua" w:hint="default"/>
          <w:rtl w:val="0"/>
          <w:lang w:val="it-IT"/>
        </w:rPr>
        <w:t>’</w:t>
      </w:r>
      <w:r>
        <w:rPr>
          <w:rFonts w:ascii="Book Antiqua"/>
          <w:rtl w:val="0"/>
          <w:lang w:val="it-IT"/>
        </w:rPr>
        <w:t xml:space="preserve">ipotesi </w:t>
      </w:r>
      <w:r>
        <w:rPr>
          <w:rFonts w:hAnsi="Book Antiqua" w:hint="default"/>
          <w:rtl w:val="0"/>
          <w:lang w:val="it-IT"/>
        </w:rPr>
        <w:t xml:space="preserve">è </w:t>
      </w:r>
      <w:r>
        <w:rPr>
          <w:rFonts w:ascii="Book Antiqua"/>
          <w:rtl w:val="0"/>
          <w:lang w:val="it-IT"/>
        </w:rPr>
        <w:t>quella di avvelenamento colposo delle acque e disastro innominato fino alla data del novembre 2011, sostanzialmente riconoscendo un mero profilo colposo almeno fino al momento in cui il comune non ha ingiunto la bonifica; dolo eventuale per l</w:t>
      </w:r>
      <w:r>
        <w:rPr>
          <w:rFonts w:hAnsi="Book Antiqua" w:hint="default"/>
          <w:rtl w:val="0"/>
          <w:lang w:val="it-IT"/>
        </w:rPr>
        <w:t>’</w:t>
      </w:r>
      <w:r>
        <w:rPr>
          <w:rFonts w:ascii="Book Antiqua"/>
          <w:rtl w:val="0"/>
          <w:lang w:val="it-IT"/>
        </w:rPr>
        <w:t xml:space="preserve">avvelenamento e il disastro innominato fino a che non </w:t>
      </w:r>
      <w:r>
        <w:rPr>
          <w:rFonts w:hAnsi="Book Antiqua" w:hint="default"/>
          <w:rtl w:val="0"/>
          <w:lang w:val="it-IT"/>
        </w:rPr>
        <w:t xml:space="preserve">è </w:t>
      </w:r>
      <w:r>
        <w:rPr>
          <w:rFonts w:ascii="Book Antiqua"/>
          <w:rtl w:val="0"/>
          <w:lang w:val="it-IT"/>
        </w:rPr>
        <w:t xml:space="preserve">entrata in vigore la nuova legge; disastro ambientale dal momento in cui </w:t>
      </w:r>
      <w:r>
        <w:rPr>
          <w:rFonts w:hAnsi="Book Antiqua" w:hint="default"/>
          <w:rtl w:val="0"/>
          <w:lang w:val="it-IT"/>
        </w:rPr>
        <w:t xml:space="preserve">è </w:t>
      </w:r>
      <w:r>
        <w:rPr>
          <w:rFonts w:ascii="Book Antiqua"/>
          <w:rtl w:val="0"/>
          <w:lang w:val="it-IT"/>
        </w:rPr>
        <w:t>entrata in vigore la nuova legge in poi; infatti da quel momento in poi vi era la piena consapevolezza sia dello stato di inquinamento, sia della riconducibilit</w:t>
      </w:r>
      <w:r>
        <w:rPr>
          <w:rFonts w:hAnsi="Book Antiqua" w:hint="default"/>
          <w:rtl w:val="0"/>
          <w:lang w:val="it-IT"/>
        </w:rPr>
        <w:t xml:space="preserve">à </w:t>
      </w:r>
      <w:r>
        <w:rPr>
          <w:rFonts w:ascii="Book Antiqua"/>
          <w:rtl w:val="0"/>
          <w:lang w:val="it-IT"/>
        </w:rPr>
        <w:t>dell</w:t>
      </w:r>
      <w:r>
        <w:rPr>
          <w:rFonts w:hAnsi="Book Antiqua" w:hint="default"/>
          <w:rtl w:val="0"/>
          <w:lang w:val="it-IT"/>
        </w:rPr>
        <w:t>’</w:t>
      </w:r>
      <w:r>
        <w:rPr>
          <w:rFonts w:ascii="Book Antiqua"/>
          <w:rtl w:val="0"/>
          <w:lang w:val="it-IT"/>
        </w:rPr>
        <w:t>inquinamento all</w:t>
      </w:r>
      <w:r>
        <w:rPr>
          <w:rFonts w:hAnsi="Book Antiqua" w:hint="default"/>
          <w:rtl w:val="0"/>
          <w:lang w:val="it-IT"/>
        </w:rPr>
        <w:t>’</w:t>
      </w:r>
      <w:r>
        <w:rPr>
          <w:rFonts w:ascii="Book Antiqua"/>
          <w:rtl w:val="0"/>
          <w:lang w:val="it-IT"/>
        </w:rPr>
        <w:t>attivit</w:t>
      </w:r>
      <w:r>
        <w:rPr>
          <w:rFonts w:hAnsi="Book Antiqua" w:hint="default"/>
          <w:rtl w:val="0"/>
          <w:lang w:val="it-IT"/>
        </w:rPr>
        <w:t xml:space="preserve">à </w:t>
      </w:r>
      <w:r>
        <w:rPr>
          <w:rFonts w:ascii="Book Antiqua"/>
          <w:rtl w:val="0"/>
          <w:lang w:val="it-IT"/>
        </w:rPr>
        <w:t>che l</w:t>
      </w:r>
      <w:r>
        <w:rPr>
          <w:rFonts w:hAnsi="Book Antiqua" w:hint="default"/>
          <w:rtl w:val="0"/>
          <w:lang w:val="it-IT"/>
        </w:rPr>
        <w:t xml:space="preserve">ì </w:t>
      </w:r>
      <w:r>
        <w:rPr>
          <w:rFonts w:ascii="Book Antiqua"/>
          <w:rtl w:val="0"/>
          <w:lang w:val="it-IT"/>
        </w:rPr>
        <w:t xml:space="preserve">veniva svolta. </w:t>
      </w:r>
    </w:p>
    <w:p>
      <w:pPr>
        <w:pStyle w:val="Plain Text"/>
        <w:widowControl w:val="0"/>
        <w:ind w:left="567" w:right="567" w:firstLine="0"/>
        <w:jc w:val="both"/>
        <w:rPr>
          <w:rFonts w:ascii="Book Antiqua" w:cs="Book Antiqua" w:hAnsi="Book Antiqua" w:eastAsia="Book Antiqua"/>
        </w:rPr>
      </w:pPr>
      <w:r>
        <w:rPr>
          <w:rFonts w:ascii="Book Antiqua"/>
          <w:rtl w:val="0"/>
          <w:lang w:val="it-IT"/>
        </w:rPr>
        <w:t xml:space="preserve">Sono oggetto di procedimenti in cui </w:t>
      </w:r>
      <w:r>
        <w:rPr>
          <w:rFonts w:hAnsi="Book Antiqua" w:hint="default"/>
          <w:rtl w:val="0"/>
          <w:lang w:val="it-IT"/>
        </w:rPr>
        <w:t xml:space="preserve">è </w:t>
      </w:r>
      <w:r>
        <w:rPr>
          <w:rFonts w:ascii="Book Antiqua"/>
          <w:rtl w:val="0"/>
          <w:lang w:val="it-IT"/>
        </w:rPr>
        <w:t>stata esercitata l</w:t>
      </w:r>
      <w:r>
        <w:rPr>
          <w:rFonts w:hAnsi="Book Antiqua" w:hint="default"/>
          <w:rtl w:val="0"/>
          <w:lang w:val="it-IT"/>
        </w:rPr>
        <w:t>’</w:t>
      </w:r>
      <w:r>
        <w:rPr>
          <w:rFonts w:ascii="Book Antiqua"/>
          <w:rtl w:val="0"/>
          <w:lang w:val="it-IT"/>
        </w:rPr>
        <w:t>azione penale le vicende relative ai siti di Testa di Cane e di Monti dell</w:t>
      </w:r>
      <w:r>
        <w:rPr>
          <w:rFonts w:hAnsi="Book Antiqua" w:hint="default"/>
          <w:rtl w:val="0"/>
          <w:lang w:val="it-IT"/>
        </w:rPr>
        <w:t>’</w:t>
      </w:r>
      <w:r>
        <w:rPr>
          <w:rFonts w:ascii="Book Antiqua"/>
          <w:rtl w:val="0"/>
          <w:lang w:val="it-IT"/>
        </w:rPr>
        <w:t>Ortaccio (qui la regione Lazio una volta cessata l</w:t>
      </w:r>
      <w:r>
        <w:rPr>
          <w:rFonts w:hAnsi="Book Antiqua" w:hint="default"/>
          <w:rtl w:val="0"/>
          <w:lang w:val="it-IT"/>
        </w:rPr>
        <w:t>’</w:t>
      </w:r>
      <w:r>
        <w:rPr>
          <w:rFonts w:ascii="Book Antiqua"/>
          <w:rtl w:val="0"/>
          <w:lang w:val="it-IT"/>
        </w:rPr>
        <w:t>emergenza commissariale, ha proceduto alla revoca dell</w:t>
      </w:r>
      <w:r>
        <w:rPr>
          <w:rFonts w:hAnsi="Book Antiqua" w:hint="default"/>
          <w:rtl w:val="0"/>
          <w:lang w:val="it-IT"/>
        </w:rPr>
        <w:t>’</w:t>
      </w:r>
      <w:r>
        <w:rPr>
          <w:rFonts w:ascii="Book Antiqua"/>
          <w:rtl w:val="0"/>
          <w:lang w:val="it-IT"/>
        </w:rPr>
        <w:t>autorizzazione per un duplice profilo, sia per la mancanza della presentazione delle garanzie fideiussorie, sia per un</w:t>
      </w:r>
      <w:r>
        <w:rPr>
          <w:rFonts w:hAnsi="Book Antiqua" w:hint="default"/>
          <w:rtl w:val="0"/>
          <w:lang w:val="it-IT"/>
        </w:rPr>
        <w:t>’</w:t>
      </w:r>
      <w:r>
        <w:rPr>
          <w:rFonts w:ascii="Book Antiqua"/>
          <w:rtl w:val="0"/>
          <w:lang w:val="it-IT"/>
        </w:rPr>
        <w:t>incompatibilit</w:t>
      </w:r>
      <w:r>
        <w:rPr>
          <w:rFonts w:hAnsi="Book Antiqua" w:hint="default"/>
          <w:rtl w:val="0"/>
          <w:lang w:val="it-IT"/>
        </w:rPr>
        <w:t xml:space="preserve">à </w:t>
      </w:r>
      <w:r>
        <w:rPr>
          <w:rFonts w:ascii="Book Antiqua"/>
          <w:rtl w:val="0"/>
          <w:lang w:val="it-IT"/>
        </w:rPr>
        <w:t>con i profili ambientali);</w:t>
      </w:r>
    </w:p>
    <w:p>
      <w:pPr>
        <w:pStyle w:val="Plain Text"/>
        <w:widowControl w:val="0"/>
        <w:ind w:left="567" w:right="567" w:firstLine="0"/>
        <w:jc w:val="both"/>
        <w:rPr>
          <w:rFonts w:ascii="Book Antiqua" w:cs="Book Antiqua" w:hAnsi="Book Antiqua" w:eastAsia="Book Antiqua"/>
        </w:rPr>
      </w:pPr>
      <w:r>
        <w:rPr>
          <w:rFonts w:ascii="Book Antiqua"/>
          <w:rtl w:val="0"/>
          <w:lang w:val="it-IT"/>
        </w:rPr>
        <w:t>Per quanto concerne gli impianti di Malagrotta, TMB 1, TMB 2 e gassificatore, i due arbitrati AMA-Co.La.Ri., e questioni relative alle fideiussioni, irregolarit</w:t>
      </w:r>
      <w:r>
        <w:rPr>
          <w:rFonts w:hAnsi="Book Antiqua" w:hint="default"/>
          <w:rtl w:val="0"/>
          <w:lang w:val="it-IT"/>
        </w:rPr>
        <w:t xml:space="preserve">à </w:t>
      </w:r>
      <w:r>
        <w:rPr>
          <w:rFonts w:ascii="Book Antiqua"/>
          <w:rtl w:val="0"/>
          <w:lang w:val="it-IT"/>
        </w:rPr>
        <w:t>nel ciclo di produzione del CDR e, in generale, nel ciclo di trattamento dei rifiuti con riflessi sulla tariffa, erano all</w:t>
      </w:r>
      <w:r>
        <w:rPr>
          <w:rFonts w:hAnsi="Book Antiqua" w:hint="default"/>
          <w:rtl w:val="0"/>
          <w:lang w:val="it-IT"/>
        </w:rPr>
        <w:t>’</w:t>
      </w:r>
      <w:r>
        <w:rPr>
          <w:rFonts w:ascii="Book Antiqua"/>
          <w:rtl w:val="0"/>
          <w:lang w:val="it-IT"/>
        </w:rPr>
        <w:t>epoca in corso indagini. Per quanto riguarda il gassificatore l</w:t>
      </w:r>
      <w:r>
        <w:rPr>
          <w:rFonts w:hAnsi="Book Antiqua" w:hint="default"/>
          <w:rtl w:val="0"/>
          <w:lang w:val="it-IT"/>
        </w:rPr>
        <w:t>’</w:t>
      </w:r>
      <w:r>
        <w:rPr>
          <w:rFonts w:ascii="Book Antiqua"/>
          <w:rtl w:val="0"/>
          <w:lang w:val="it-IT"/>
        </w:rPr>
        <w:t>esame affidato dalla procura a consulenti riguarda la correttezza sotto il profilo amministrativo della localizzazione del gassificatore, della sua necessit</w:t>
      </w:r>
      <w:r>
        <w:rPr>
          <w:rFonts w:hAnsi="Book Antiqua" w:hint="default"/>
          <w:rtl w:val="0"/>
          <w:lang w:val="it-IT"/>
        </w:rPr>
        <w:t xml:space="preserve">à </w:t>
      </w:r>
      <w:r>
        <w:rPr>
          <w:rFonts w:ascii="Book Antiqua"/>
          <w:rtl w:val="0"/>
          <w:lang w:val="it-IT"/>
        </w:rPr>
        <w:t>o meno di essere incluso nell</w:t>
      </w:r>
      <w:r>
        <w:rPr>
          <w:rFonts w:hAnsi="Book Antiqua" w:hint="default"/>
          <w:rtl w:val="0"/>
          <w:lang w:val="it-IT"/>
        </w:rPr>
        <w:t>’</w:t>
      </w:r>
      <w:r>
        <w:rPr>
          <w:rFonts w:ascii="Book Antiqua"/>
          <w:rtl w:val="0"/>
          <w:lang w:val="it-IT"/>
        </w:rPr>
        <w:t>ambito di una zona a rischio di incidente rilevante; Cerroni e Rando, hanno subito una condanna per un falso prodotto alla regione da parte della Co.La.Ri. nell</w:t>
      </w:r>
      <w:r>
        <w:rPr>
          <w:rFonts w:hAnsi="Book Antiqua" w:hint="default"/>
          <w:rtl w:val="0"/>
          <w:lang w:val="it-IT"/>
        </w:rPr>
        <w:t>’</w:t>
      </w:r>
      <w:r>
        <w:rPr>
          <w:rFonts w:ascii="Book Antiqua"/>
          <w:rtl w:val="0"/>
          <w:lang w:val="it-IT"/>
        </w:rPr>
        <w:t>ambito del procedimento amministrativo.</w:t>
      </w:r>
    </w:p>
    <w:p>
      <w:pPr>
        <w:pStyle w:val="Plain Text"/>
        <w:widowControl w:val="0"/>
        <w:ind w:left="567" w:right="567" w:firstLine="0"/>
        <w:jc w:val="both"/>
        <w:rPr>
          <w:rFonts w:ascii="Book Antiqua" w:cs="Book Antiqua" w:hAnsi="Book Antiqua" w:eastAsia="Book Antiqua"/>
        </w:rPr>
      </w:pPr>
      <w:r>
        <w:rPr>
          <w:rFonts w:ascii="Book Antiqua"/>
          <w:rtl w:val="0"/>
          <w:lang w:val="it-IT"/>
        </w:rPr>
        <w:t>Su queste vicende giudiziarie la Commissione ha chiesto aggiornamenti all</w:t>
      </w:r>
      <w:r>
        <w:rPr>
          <w:rFonts w:hAnsi="Book Antiqua" w:hint="default"/>
          <w:rtl w:val="0"/>
          <w:lang w:val="it-IT"/>
        </w:rPr>
        <w:t>’</w:t>
      </w:r>
      <w:r>
        <w:rPr>
          <w:rFonts w:ascii="Book Antiqua"/>
          <w:rtl w:val="0"/>
          <w:lang w:val="it-IT"/>
        </w:rPr>
        <w:t>autorit</w:t>
      </w:r>
      <w:r>
        <w:rPr>
          <w:rFonts w:hAnsi="Book Antiqua" w:hint="default"/>
          <w:rtl w:val="0"/>
          <w:lang w:val="it-IT"/>
        </w:rPr>
        <w:t xml:space="preserve">à </w:t>
      </w:r>
      <w:r>
        <w:rPr>
          <w:rFonts w:ascii="Book Antiqua"/>
          <w:rtl w:val="0"/>
          <w:lang w:val="it-IT"/>
        </w:rPr>
        <w:t xml:space="preserve">inquirente: il procuratore della Repubblica di Roma </w:t>
      </w:r>
      <w:r>
        <w:rPr>
          <w:rFonts w:hAnsi="Book Antiqua" w:hint="default"/>
          <w:rtl w:val="0"/>
          <w:lang w:val="it-IT"/>
        </w:rPr>
        <w:t xml:space="preserve">è </w:t>
      </w:r>
      <w:r>
        <w:rPr>
          <w:rFonts w:ascii="Book Antiqua"/>
          <w:rtl w:val="0"/>
          <w:lang w:val="it-IT"/>
        </w:rPr>
        <w:t xml:space="preserve">stato nuovamente audito, insieme a magistrati del suo ufficio, il 30 maggio 2017; in questa occasione ha depositato atti giudiziari che consentono di valutare il quadro attuale delle vicende nelle quali vi </w:t>
      </w:r>
      <w:r>
        <w:rPr>
          <w:rFonts w:hAnsi="Book Antiqua" w:hint="default"/>
          <w:rtl w:val="0"/>
          <w:lang w:val="it-IT"/>
        </w:rPr>
        <w:t xml:space="preserve">è </w:t>
      </w:r>
      <w:r>
        <w:rPr>
          <w:rFonts w:ascii="Book Antiqua"/>
          <w:rtl w:val="0"/>
          <w:lang w:val="it-IT"/>
        </w:rPr>
        <w:t>stata quantomeno chiusura delle indagini ovvero esercizio dell</w:t>
      </w:r>
      <w:r>
        <w:rPr>
          <w:rFonts w:hAnsi="Book Antiqua" w:hint="default"/>
          <w:rtl w:val="0"/>
          <w:lang w:val="it-IT"/>
        </w:rPr>
        <w:t>’</w:t>
      </w:r>
      <w:r>
        <w:rPr>
          <w:rFonts w:ascii="Book Antiqua"/>
          <w:rtl w:val="0"/>
          <w:lang w:val="it-IT"/>
        </w:rPr>
        <w:t>azione penale: se ne dar</w:t>
      </w:r>
      <w:r>
        <w:rPr>
          <w:rFonts w:hAnsi="Book Antiqua" w:hint="default"/>
          <w:rtl w:val="0"/>
          <w:lang w:val="it-IT"/>
        </w:rPr>
        <w:t xml:space="preserve">à </w:t>
      </w:r>
      <w:r>
        <w:rPr>
          <w:rFonts w:ascii="Book Antiqua"/>
          <w:rtl w:val="0"/>
          <w:lang w:val="it-IT"/>
        </w:rPr>
        <w:t xml:space="preserve">ulteriore conto nel </w:t>
      </w:r>
      <w:r>
        <w:rPr>
          <w:rFonts w:hAnsi="Book Antiqua" w:hint="default"/>
          <w:rtl w:val="0"/>
          <w:lang w:val="it-IT"/>
        </w:rPr>
        <w:t xml:space="preserve">§ </w:t>
      </w:r>
      <w:r>
        <w:rPr>
          <w:rFonts w:ascii="Book Antiqua"/>
          <w:rtl w:val="0"/>
          <w:lang w:val="it-IT"/>
        </w:rPr>
        <w:t>3.</w:t>
      </w:r>
    </w:p>
    <w:p>
      <w:pPr>
        <w:pStyle w:val="Normal"/>
        <w:ind w:left="567" w:right="567" w:firstLine="0"/>
        <w:jc w:val="both"/>
        <w:rPr>
          <w:rFonts w:ascii="Book Antiqua" w:cs="Book Antiqua" w:hAnsi="Book Antiqua" w:eastAsia="Book Antiqua"/>
        </w:rPr>
      </w:pPr>
      <w:r>
        <w:rPr>
          <w:rFonts w:ascii="Book Antiqua"/>
          <w:rtl w:val="0"/>
          <w:lang w:val="it-IT"/>
        </w:rPr>
        <w:t>La relazione presentata dal presidente di AMA S.p.A. Daniele Fortini in occasione dell</w:t>
      </w:r>
      <w:r>
        <w:rPr>
          <w:rFonts w:hAnsi="Book Antiqua" w:hint="default"/>
          <w:rtl w:val="0"/>
          <w:lang w:val="it-IT"/>
        </w:rPr>
        <w:t>’</w:t>
      </w:r>
      <w:r>
        <w:rPr>
          <w:rFonts w:ascii="Book Antiqua"/>
          <w:rtl w:val="0"/>
          <w:lang w:val="it-IT"/>
        </w:rPr>
        <w:t>audizione del 22 luglio 2015, dopo una descrizione della situazione del ciclo dei rifiuti e dell</w:t>
      </w:r>
      <w:r>
        <w:rPr>
          <w:rFonts w:hAnsi="Book Antiqua" w:hint="default"/>
          <w:rtl w:val="0"/>
          <w:lang w:val="it-IT"/>
        </w:rPr>
        <w:t>’</w:t>
      </w:r>
      <w:r>
        <w:rPr>
          <w:rFonts w:ascii="Book Antiqua"/>
          <w:rtl w:val="0"/>
          <w:lang w:val="it-IT"/>
        </w:rPr>
        <w:t xml:space="preserve">impiantistica contiene osservazioni dirette su </w:t>
      </w:r>
      <w:r>
        <w:rPr>
          <w:rFonts w:hAnsi="Book Antiqua" w:hint="default"/>
          <w:rtl w:val="0"/>
          <w:lang w:val="it-IT"/>
        </w:rPr>
        <w:t>“</w:t>
      </w:r>
      <w:r>
        <w:rPr>
          <w:rFonts w:ascii="Book Antiqua"/>
          <w:rtl w:val="0"/>
          <w:lang w:val="it-IT"/>
        </w:rPr>
        <w:t>fragilit</w:t>
      </w:r>
      <w:r>
        <w:rPr>
          <w:rFonts w:hAnsi="Book Antiqua" w:hint="default"/>
          <w:rtl w:val="0"/>
          <w:lang w:val="it-IT"/>
        </w:rPr>
        <w:t>à</w:t>
      </w:r>
      <w:r>
        <w:rPr>
          <w:rFonts w:ascii="Book Antiqua"/>
          <w:rtl w:val="0"/>
          <w:lang w:val="it-IT"/>
        </w:rPr>
        <w:t>, rigidit</w:t>
      </w:r>
      <w:r>
        <w:rPr>
          <w:rFonts w:hAnsi="Book Antiqua" w:hint="default"/>
          <w:rtl w:val="0"/>
          <w:lang w:val="it-IT"/>
        </w:rPr>
        <w:t xml:space="preserve">à </w:t>
      </w:r>
      <w:r>
        <w:rPr>
          <w:rFonts w:ascii="Book Antiqua"/>
          <w:rtl w:val="0"/>
          <w:lang w:val="it-IT"/>
        </w:rPr>
        <w:t>e precariet</w:t>
      </w:r>
      <w:r>
        <w:rPr>
          <w:rFonts w:hAnsi="Book Antiqua" w:hint="default"/>
          <w:rtl w:val="0"/>
          <w:lang w:val="it-IT"/>
        </w:rPr>
        <w:t xml:space="preserve">à” </w:t>
      </w:r>
      <w:r>
        <w:rPr>
          <w:rFonts w:ascii="Book Antiqua"/>
          <w:rtl w:val="0"/>
          <w:lang w:val="it-IT"/>
        </w:rPr>
        <w:t xml:space="preserve">del sistema impiantistico </w:t>
      </w:r>
      <w:r>
        <w:rPr>
          <w:rFonts w:hAnsi="Book Antiqua" w:hint="default"/>
          <w:rtl w:val="0"/>
          <w:lang w:val="it-IT"/>
        </w:rPr>
        <w:t>“</w:t>
      </w:r>
      <w:r>
        <w:rPr>
          <w:rFonts w:ascii="Book Antiqua"/>
          <w:rtl w:val="0"/>
          <w:lang w:val="it-IT"/>
        </w:rPr>
        <w:t>che danno luogo a frequenti interruzioni di servizio e lasciano incombenti minacce di crisi nel ciclo di trattamento e smaltimento</w:t>
      </w:r>
      <w:r>
        <w:rPr>
          <w:rFonts w:hAnsi="Book Antiqua" w:hint="default"/>
          <w:rtl w:val="0"/>
          <w:lang w:val="it-IT"/>
        </w:rPr>
        <w:t>”</w:t>
      </w:r>
      <w:r>
        <w:rPr>
          <w:rFonts w:ascii="Book Antiqua" w:cs="Book Antiqua" w:hAnsi="Book Antiqua" w:eastAsia="Book Antiqua"/>
          <w:vertAlign w:val="superscript"/>
          <w:rtl w:val="0"/>
        </w:rPr>
        <w:footnoteReference w:id="8"/>
      </w:r>
      <w:r>
        <w:rPr>
          <w:rFonts w:ascii="Book Antiqua"/>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Su questo argomento anche l</w:t>
      </w:r>
      <w:r>
        <w:rPr>
          <w:rFonts w:hAnsi="Book Antiqua" w:hint="default"/>
          <w:rtl w:val="0"/>
          <w:lang w:val="it-IT"/>
        </w:rPr>
        <w:t>’</w:t>
      </w:r>
      <w:r>
        <w:rPr>
          <w:rFonts w:ascii="Book Antiqua"/>
          <w:rtl w:val="0"/>
          <w:lang w:val="it-IT"/>
        </w:rPr>
        <w:t xml:space="preserve">allora sindaco Ignazio Marino aveva rilevato che </w:t>
      </w:r>
      <w:r>
        <w:rPr>
          <w:rFonts w:hAnsi="Book Antiqua" w:hint="default"/>
          <w:rtl w:val="0"/>
          <w:lang w:val="it-IT"/>
        </w:rPr>
        <w:t>“</w:t>
      </w:r>
      <w:r>
        <w:rPr>
          <w:rFonts w:ascii="Book Antiqua"/>
          <w:rtl w:val="0"/>
          <w:lang w:val="it-IT"/>
        </w:rPr>
        <w:t>i</w:t>
      </w:r>
      <w:r>
        <w:rPr>
          <w:rFonts w:ascii="Book Antiqua"/>
          <w:color w:val="262626"/>
          <w:u w:color="262626"/>
          <w:rtl w:val="0"/>
          <w:lang w:val="it-IT"/>
        </w:rPr>
        <w:t xml:space="preserve">l sistema </w:t>
      </w:r>
      <w:r>
        <w:rPr>
          <w:rFonts w:hAnsi="Book Antiqua" w:hint="default"/>
          <w:color w:val="262626"/>
          <w:u w:color="262626"/>
          <w:rtl w:val="0"/>
          <w:lang w:val="it-IT"/>
        </w:rPr>
        <w:t xml:space="preserve">è </w:t>
      </w:r>
      <w:r>
        <w:rPr>
          <w:rFonts w:ascii="Book Antiqua"/>
          <w:color w:val="262626"/>
          <w:u w:color="262626"/>
          <w:rtl w:val="0"/>
          <w:lang w:val="it-IT"/>
        </w:rPr>
        <w:t>fragile poich</w:t>
      </w:r>
      <w:r>
        <w:rPr>
          <w:rFonts w:hAnsi="Book Antiqua" w:hint="default"/>
          <w:color w:val="262626"/>
          <w:u w:color="262626"/>
          <w:rtl w:val="0"/>
          <w:lang w:val="it-IT"/>
        </w:rPr>
        <w:t xml:space="preserve">é </w:t>
      </w:r>
      <w:r>
        <w:rPr>
          <w:rFonts w:ascii="Book Antiqua"/>
          <w:color w:val="262626"/>
          <w:u w:color="262626"/>
          <w:rtl w:val="0"/>
          <w:lang w:val="it-IT"/>
        </w:rPr>
        <w:t>non presenta elementi suppletivi dimensionali o tecnici, cos</w:t>
      </w:r>
      <w:r>
        <w:rPr>
          <w:rFonts w:hAnsi="Book Antiqua" w:hint="default"/>
          <w:color w:val="262626"/>
          <w:u w:color="262626"/>
          <w:rtl w:val="0"/>
          <w:lang w:val="it-IT"/>
        </w:rPr>
        <w:t xml:space="preserve">ì </w:t>
      </w:r>
      <w:r>
        <w:rPr>
          <w:rFonts w:ascii="Book Antiqua"/>
          <w:color w:val="262626"/>
          <w:u w:color="262626"/>
          <w:rtl w:val="0"/>
          <w:lang w:val="it-IT"/>
        </w:rPr>
        <w:t>che il ciclo dei rifiuti di Roma si trova a collassare nel caso di momentanee indisponibilit</w:t>
      </w:r>
      <w:r>
        <w:rPr>
          <w:rFonts w:hAnsi="Book Antiqua" w:hint="default"/>
          <w:color w:val="262626"/>
          <w:u w:color="262626"/>
          <w:rtl w:val="0"/>
          <w:lang w:val="it-IT"/>
        </w:rPr>
        <w:t xml:space="preserve">à </w:t>
      </w:r>
      <w:r>
        <w:rPr>
          <w:rFonts w:ascii="Book Antiqua"/>
          <w:color w:val="262626"/>
          <w:u w:color="262626"/>
          <w:rtl w:val="0"/>
          <w:lang w:val="it-IT"/>
        </w:rPr>
        <w:t>di una sola linea di trattamento meccanico-biologico o di termotrattamento</w:t>
      </w:r>
      <w:r>
        <w:rPr>
          <w:rFonts w:hAnsi="Book Antiqua" w:hint="default"/>
          <w:rtl w:val="0"/>
          <w:lang w:val="it-IT"/>
        </w:rPr>
        <w:t>”</w:t>
      </w:r>
      <w:r>
        <w:rPr>
          <w:rFonts w:ascii="Book Antiqua"/>
          <w:rtl w:val="0"/>
          <w:lang w:val="it-IT"/>
        </w:rPr>
        <w:t xml:space="preserve">. </w:t>
      </w:r>
    </w:p>
    <w:p>
      <w:pPr>
        <w:pStyle w:val="Normal"/>
        <w:ind w:left="567" w:right="567" w:firstLine="0"/>
        <w:jc w:val="both"/>
        <w:rPr>
          <w:rFonts w:ascii="Book Antiqua" w:cs="Book Antiqua" w:hAnsi="Book Antiqua" w:eastAsia="Book Antiqua"/>
        </w:rPr>
      </w:pPr>
      <w:r>
        <w:rPr>
          <w:rFonts w:ascii="Book Antiqua"/>
          <w:rtl w:val="0"/>
          <w:lang w:val="it-IT"/>
        </w:rPr>
        <w:t>Per altro verso evidenziava la precariet</w:t>
      </w:r>
      <w:r>
        <w:rPr>
          <w:rFonts w:hAnsi="Book Antiqua" w:hint="default"/>
          <w:rtl w:val="0"/>
          <w:lang w:val="it-IT"/>
        </w:rPr>
        <w:t xml:space="preserve">à </w:t>
      </w:r>
      <w:r>
        <w:rPr>
          <w:rFonts w:ascii="Book Antiqua"/>
          <w:rtl w:val="0"/>
          <w:lang w:val="it-IT"/>
        </w:rPr>
        <w:t xml:space="preserve">del sistema </w:t>
      </w:r>
      <w:r>
        <w:rPr>
          <w:rFonts w:hAnsi="Book Antiqua" w:hint="default"/>
          <w:rtl w:val="0"/>
          <w:lang w:val="it-IT"/>
        </w:rPr>
        <w:t>“</w:t>
      </w:r>
      <w:r>
        <w:rPr>
          <w:rFonts w:ascii="Book Antiqua"/>
          <w:rtl w:val="0"/>
          <w:lang w:val="it-IT"/>
        </w:rPr>
        <w:t>dovuta al fatto che l'assetto attuale, tutto orientato a generare rifiuti da rifiuti (dai TMB) per alimentare discariche ed inceneritori, appare arcaico rispetto alle pi</w:t>
      </w:r>
      <w:r>
        <w:rPr>
          <w:rFonts w:hAnsi="Book Antiqua" w:hint="default"/>
          <w:rtl w:val="0"/>
          <w:lang w:val="it-IT"/>
        </w:rPr>
        <w:t xml:space="preserve">ù </w:t>
      </w:r>
      <w:r>
        <w:rPr>
          <w:rFonts w:ascii="Book Antiqua"/>
          <w:rtl w:val="0"/>
          <w:lang w:val="it-IT"/>
        </w:rPr>
        <w:t>recenti intenzioni dell'Unione europea ed anche a quanto viene affermandosi nella concreta esperienza anche nella Capitale nella quale, entro il prossimo triennio, sar</w:t>
      </w:r>
      <w:r>
        <w:rPr>
          <w:rFonts w:hAnsi="Book Antiqua" w:hint="default"/>
          <w:rtl w:val="0"/>
          <w:lang w:val="it-IT"/>
        </w:rPr>
        <w:t xml:space="preserve">à </w:t>
      </w:r>
      <w:r>
        <w:rPr>
          <w:rFonts w:ascii="Book Antiqua"/>
          <w:rtl w:val="0"/>
          <w:lang w:val="it-IT"/>
        </w:rPr>
        <w:t>vicina al 60 per cento la raccolta differenziata ed i RUR da trattare (nei TMB attuali?) saranno poco pi</w:t>
      </w:r>
      <w:r>
        <w:rPr>
          <w:rFonts w:hAnsi="Book Antiqua" w:hint="default"/>
          <w:rtl w:val="0"/>
          <w:lang w:val="it-IT"/>
        </w:rPr>
        <w:t xml:space="preserve">ù </w:t>
      </w:r>
      <w:r>
        <w:rPr>
          <w:rFonts w:ascii="Book Antiqua"/>
          <w:rtl w:val="0"/>
          <w:lang w:val="it-IT"/>
        </w:rPr>
        <w:t>di 600.000 tonnellate/anno  rispetto alla capacit</w:t>
      </w:r>
      <w:r>
        <w:rPr>
          <w:rFonts w:hAnsi="Book Antiqua" w:hint="default"/>
          <w:rtl w:val="0"/>
          <w:lang w:val="it-IT"/>
        </w:rPr>
        <w:t xml:space="preserve">à </w:t>
      </w:r>
      <w:r>
        <w:rPr>
          <w:rFonts w:ascii="Book Antiqua"/>
          <w:rtl w:val="0"/>
          <w:lang w:val="it-IT"/>
        </w:rPr>
        <w:t>installata attuale di oltre un milione di tonnellate all</w:t>
      </w:r>
      <w:r>
        <w:rPr>
          <w:rFonts w:hAnsi="Book Antiqua" w:hint="default"/>
          <w:rtl w:val="0"/>
          <w:lang w:val="it-IT"/>
        </w:rPr>
        <w:t>’</w:t>
      </w:r>
      <w:r>
        <w:rPr>
          <w:rFonts w:ascii="Book Antiqua"/>
          <w:rtl w:val="0"/>
          <w:lang w:val="it-IT"/>
        </w:rPr>
        <w:t>anno</w:t>
      </w:r>
      <w:r>
        <w:rPr>
          <w:rFonts w:hAnsi="Book Antiqua" w:hint="default"/>
          <w:rtl w:val="0"/>
          <w:lang w:val="it-IT"/>
        </w:rPr>
        <w:t>”</w:t>
      </w:r>
      <w:r>
        <w:rPr>
          <w:rFonts w:ascii="Book Antiqua"/>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Alla descrizione di massima delle prospettive di AMA S.p.A. si associava poi l</w:t>
      </w:r>
      <w:r>
        <w:rPr>
          <w:rFonts w:hAnsi="Book Antiqua" w:hint="default"/>
          <w:rtl w:val="0"/>
          <w:lang w:val="it-IT"/>
        </w:rPr>
        <w:t>’</w:t>
      </w:r>
      <w:r>
        <w:rPr>
          <w:rFonts w:ascii="Book Antiqua"/>
          <w:rtl w:val="0"/>
          <w:lang w:val="it-IT"/>
        </w:rPr>
        <w:t xml:space="preserve">osservazione che </w:t>
      </w:r>
      <w:r>
        <w:rPr>
          <w:rFonts w:hAnsi="Book Antiqua" w:hint="default"/>
          <w:rtl w:val="0"/>
          <w:lang w:val="it-IT"/>
        </w:rPr>
        <w:t>“</w:t>
      </w:r>
      <w:r>
        <w:rPr>
          <w:rFonts w:ascii="Book Antiqua"/>
          <w:rtl w:val="0"/>
          <w:lang w:val="it-IT"/>
        </w:rPr>
        <w:t>le resistenze al cambiamento di prospettiva, nella citt</w:t>
      </w:r>
      <w:r>
        <w:rPr>
          <w:rFonts w:hAnsi="Book Antiqua" w:hint="default"/>
          <w:rtl w:val="0"/>
          <w:lang w:val="it-IT"/>
        </w:rPr>
        <w:t xml:space="preserve">à </w:t>
      </w:r>
      <w:r>
        <w:rPr>
          <w:rFonts w:ascii="Book Antiqua"/>
          <w:rtl w:val="0"/>
          <w:lang w:val="it-IT"/>
        </w:rPr>
        <w:t>di Roma, sono assai robuste e tenaci</w:t>
      </w:r>
      <w:r>
        <w:rPr>
          <w:rFonts w:hAnsi="Book Antiqua" w:hint="default"/>
          <w:rtl w:val="0"/>
          <w:lang w:val="it-IT"/>
        </w:rPr>
        <w:t>”</w:t>
      </w:r>
      <w:r>
        <w:rPr>
          <w:rFonts w:ascii="Book Antiqua"/>
          <w:rtl w:val="0"/>
          <w:lang w:val="it-IT"/>
        </w:rPr>
        <w:t xml:space="preserve">. In diretta e chiara contrapposizione al gruppo privato, si affermava che </w:t>
      </w:r>
      <w:r>
        <w:rPr>
          <w:rFonts w:hAnsi="Book Antiqua" w:hint="default"/>
          <w:rtl w:val="0"/>
          <w:lang w:val="it-IT"/>
        </w:rPr>
        <w:t>“</w:t>
      </w:r>
      <w:r>
        <w:rPr>
          <w:rFonts w:ascii="Book Antiqua"/>
          <w:rtl w:val="0"/>
          <w:lang w:val="it-IT"/>
        </w:rPr>
        <w:t xml:space="preserve">la quarantennale supremazia del gruppo industriale Co.La.Ri., nel trattamento e smaltimento di RUR della Capitale, non </w:t>
      </w:r>
      <w:r>
        <w:rPr>
          <w:rFonts w:hAnsi="Book Antiqua" w:hint="default"/>
          <w:rtl w:val="0"/>
          <w:lang w:val="it-IT"/>
        </w:rPr>
        <w:t xml:space="preserve">è </w:t>
      </w:r>
      <w:r>
        <w:rPr>
          <w:rFonts w:ascii="Book Antiqua"/>
          <w:rtl w:val="0"/>
          <w:lang w:val="it-IT"/>
        </w:rPr>
        <w:t xml:space="preserve">mai stata conquistata con procedure di evidenza pubblica, gare competitive o selezioni trasparenti, ma </w:t>
      </w:r>
      <w:r>
        <w:rPr>
          <w:rFonts w:hAnsi="Book Antiqua" w:hint="default"/>
          <w:rtl w:val="0"/>
          <w:lang w:val="it-IT"/>
        </w:rPr>
        <w:t xml:space="preserve">è </w:t>
      </w:r>
      <w:r>
        <w:rPr>
          <w:rFonts w:ascii="Book Antiqua"/>
          <w:rtl w:val="0"/>
          <w:lang w:val="it-IT"/>
        </w:rPr>
        <w:t>venuta accrescendosi per causa di superfetazioni generate ora dalle emergenze, ora da bizzarre interpretazioni degli strumenti pubblici di pianificazione e programmazione</w:t>
      </w:r>
      <w:r>
        <w:rPr>
          <w:rFonts w:hAnsi="Book Antiqua" w:hint="default"/>
          <w:rtl w:val="0"/>
          <w:lang w:val="it-IT"/>
        </w:rPr>
        <w:t>”</w:t>
      </w:r>
      <w:r>
        <w:rPr>
          <w:rFonts w:ascii="Book Antiqua"/>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Nel corso della sua audizione il sindaco ha fornito ulteriori indicazioni:</w:t>
      </w:r>
    </w:p>
    <w:p>
      <w:pPr>
        <w:pStyle w:val="Normal"/>
        <w:ind w:left="567" w:right="567" w:firstLine="0"/>
        <w:jc w:val="both"/>
        <w:rPr>
          <w:rFonts w:ascii="Book Antiqua" w:cs="Book Antiqua" w:hAnsi="Book Antiqua" w:eastAsia="Book Antiqua"/>
        </w:rPr>
      </w:pPr>
      <w:r>
        <w:rPr>
          <w:rFonts w:ascii="Book Antiqua"/>
          <w:rtl w:val="0"/>
          <w:lang w:val="it-IT"/>
        </w:rPr>
        <w:t>ha ricordato come AMA S.p.A. sia una societ</w:t>
      </w:r>
      <w:r>
        <w:rPr>
          <w:rFonts w:hAnsi="Book Antiqua" w:hint="default"/>
          <w:rtl w:val="0"/>
          <w:lang w:val="it-IT"/>
        </w:rPr>
        <w:t xml:space="preserve">à </w:t>
      </w:r>
      <w:r>
        <w:rPr>
          <w:rFonts w:ascii="Book Antiqua"/>
          <w:rtl w:val="0"/>
          <w:lang w:val="it-IT"/>
        </w:rPr>
        <w:t>partecipata al 100 per cento dal comune di Roma che ha ricevuto nell</w:t>
      </w:r>
      <w:r>
        <w:rPr>
          <w:rFonts w:hAnsi="Book Antiqua" w:hint="default"/>
          <w:rtl w:val="0"/>
          <w:lang w:val="it-IT"/>
        </w:rPr>
        <w:t>’</w:t>
      </w:r>
      <w:r>
        <w:rPr>
          <w:rFonts w:ascii="Book Antiqua"/>
          <w:rtl w:val="0"/>
          <w:lang w:val="it-IT"/>
        </w:rPr>
        <w:t xml:space="preserve">anno 2000 per affidamento diretto </w:t>
      </w:r>
      <w:r>
        <w:rPr>
          <w:rFonts w:ascii="Book Antiqua"/>
          <w:i w:val="1"/>
          <w:iCs w:val="1"/>
          <w:rtl w:val="0"/>
          <w:lang w:val="it-IT"/>
        </w:rPr>
        <w:t>in-house providing</w:t>
      </w:r>
      <w:r>
        <w:rPr>
          <w:rFonts w:ascii="Book Antiqua"/>
          <w:rtl w:val="0"/>
          <w:lang w:val="it-IT"/>
        </w:rPr>
        <w:t xml:space="preserve"> la gestione del ciclo integrato dei rifiuti; il contratto di affidamento diretto, in scadenza il 21 settembre 2015 avrebbe potuto essere rinnovato insieme ai contratti di servizio tra la societ</w:t>
      </w:r>
      <w:r>
        <w:rPr>
          <w:rFonts w:hAnsi="Book Antiqua" w:hint="default"/>
          <w:rtl w:val="0"/>
          <w:lang w:val="it-IT"/>
        </w:rPr>
        <w:t xml:space="preserve">à </w:t>
      </w:r>
      <w:r>
        <w:rPr>
          <w:rFonts w:ascii="Book Antiqua"/>
          <w:rtl w:val="0"/>
          <w:lang w:val="it-IT"/>
        </w:rPr>
        <w:t>e Roma Capitale</w:t>
      </w:r>
      <w:r>
        <w:rPr>
          <w:rFonts w:ascii="Book Antiqua" w:cs="Book Antiqua" w:hAnsi="Book Antiqua" w:eastAsia="Book Antiqua"/>
          <w:vertAlign w:val="superscript"/>
          <w:rtl w:val="0"/>
        </w:rPr>
        <w:footnoteReference w:id="9"/>
      </w:r>
      <w:r>
        <w:rPr>
          <w:rFonts w:ascii="Book Antiqua"/>
          <w:rtl w:val="0"/>
          <w:lang w:val="it-IT"/>
        </w:rPr>
        <w:t xml:space="preserve">; </w:t>
      </w:r>
    </w:p>
    <w:p>
      <w:pPr>
        <w:pStyle w:val="Normal"/>
        <w:ind w:left="567" w:right="567" w:firstLine="0"/>
        <w:jc w:val="both"/>
        <w:rPr>
          <w:rFonts w:ascii="Book Antiqua" w:cs="Book Antiqua" w:hAnsi="Book Antiqua" w:eastAsia="Book Antiqua"/>
        </w:rPr>
      </w:pPr>
      <w:r>
        <w:rPr>
          <w:rFonts w:ascii="Book Antiqua"/>
          <w:rtl w:val="0"/>
          <w:lang w:val="it-IT"/>
        </w:rPr>
        <w:t>AMA gestisce le attivit</w:t>
      </w:r>
      <w:r>
        <w:rPr>
          <w:rFonts w:hAnsi="Book Antiqua" w:hint="default"/>
          <w:rtl w:val="0"/>
          <w:lang w:val="it-IT"/>
        </w:rPr>
        <w:t xml:space="preserve">à </w:t>
      </w:r>
      <w:r>
        <w:rPr>
          <w:rFonts w:ascii="Book Antiqua"/>
          <w:rtl w:val="0"/>
          <w:lang w:val="it-IT"/>
        </w:rPr>
        <w:t>di spazzamento, igiene urbana, raccolta dei rifiuti, trasporto e trattamento ma non ha impianti terminali di smaltimento di propriet</w:t>
      </w:r>
      <w:r>
        <w:rPr>
          <w:rFonts w:hAnsi="Book Antiqua" w:hint="default"/>
          <w:rtl w:val="0"/>
          <w:lang w:val="it-IT"/>
        </w:rPr>
        <w:t>à</w:t>
      </w:r>
      <w:r>
        <w:rPr>
          <w:rFonts w:ascii="Book Antiqua"/>
          <w:rtl w:val="0"/>
          <w:lang w:val="it-IT"/>
        </w:rPr>
        <w:t xml:space="preserve">; di fatto fino a oggi </w:t>
      </w:r>
      <w:r>
        <w:rPr>
          <w:rFonts w:hAnsi="Book Antiqua" w:hint="default"/>
          <w:rtl w:val="0"/>
          <w:lang w:val="it-IT"/>
        </w:rPr>
        <w:t xml:space="preserve">è </w:t>
      </w:r>
      <w:r>
        <w:rPr>
          <w:rFonts w:ascii="Book Antiqua"/>
          <w:rtl w:val="0"/>
          <w:lang w:val="it-IT"/>
        </w:rPr>
        <w:t>stata costretta a utilizzare un soggetto privato esclusivo, che ha guadagnato una posizione dominante nel ciclo di trattamento dei rifiuti di Roma Capitale senza mai aver vinto una gara ovvero aver partecipato a procedure concorsuali.</w:t>
      </w:r>
    </w:p>
    <w:p>
      <w:pPr>
        <w:pStyle w:val="Normal"/>
        <w:ind w:left="567" w:right="567" w:firstLine="0"/>
        <w:jc w:val="both"/>
        <w:rPr>
          <w:rFonts w:ascii="Book Antiqua" w:cs="Book Antiqua" w:hAnsi="Book Antiqua" w:eastAsia="Book Antiqua"/>
        </w:rPr>
      </w:pPr>
      <w:r>
        <w:rPr>
          <w:rFonts w:ascii="Book Antiqua"/>
          <w:rtl w:val="0"/>
          <w:lang w:val="it-IT"/>
        </w:rPr>
        <w:t>La citt</w:t>
      </w:r>
      <w:r>
        <w:rPr>
          <w:rFonts w:hAnsi="Book Antiqua" w:hint="default"/>
          <w:rtl w:val="0"/>
          <w:lang w:val="it-IT"/>
        </w:rPr>
        <w:t xml:space="preserve">à </w:t>
      </w:r>
      <w:r>
        <w:rPr>
          <w:rFonts w:ascii="Book Antiqua"/>
          <w:rtl w:val="0"/>
          <w:lang w:val="it-IT"/>
        </w:rPr>
        <w:t>di Roma nell</w:t>
      </w:r>
      <w:r>
        <w:rPr>
          <w:rFonts w:hAnsi="Book Antiqua" w:hint="default"/>
          <w:rtl w:val="0"/>
          <w:lang w:val="it-IT"/>
        </w:rPr>
        <w:t>’</w:t>
      </w:r>
      <w:r>
        <w:rPr>
          <w:rFonts w:ascii="Book Antiqua"/>
          <w:rtl w:val="0"/>
          <w:lang w:val="it-IT"/>
        </w:rPr>
        <w:t>anno 2014 ha prodotto 1.724.000 tonnellate di rifiuti urbani. La percentuale di raccolta differenziata raggiunta alla fine di quell</w:t>
      </w:r>
      <w:r>
        <w:rPr>
          <w:rFonts w:hAnsi="Book Antiqua" w:hint="default"/>
          <w:rtl w:val="0"/>
          <w:lang w:val="it-IT"/>
        </w:rPr>
        <w:t>’</w:t>
      </w:r>
      <w:r>
        <w:rPr>
          <w:rFonts w:ascii="Book Antiqua"/>
          <w:rtl w:val="0"/>
          <w:lang w:val="it-IT"/>
        </w:rPr>
        <w:t>anno anno era stata del 43 per cento; AMA confidava di poter raggiungere alla fine del mese di dicembre 2015 una percentuale del 50 per cento di raccolta differenziata; al 2020 l</w:t>
      </w:r>
      <w:r>
        <w:rPr>
          <w:rFonts w:hAnsi="Book Antiqua" w:hint="default"/>
          <w:rtl w:val="0"/>
          <w:lang w:val="it-IT"/>
        </w:rPr>
        <w:t>’</w:t>
      </w:r>
      <w:r>
        <w:rPr>
          <w:rFonts w:ascii="Book Antiqua"/>
          <w:rtl w:val="0"/>
          <w:lang w:val="it-IT"/>
        </w:rPr>
        <w:t>obiettivo sarebbe stato di consegnare al ciclo dello smaltimento soltanto il 15 per cento dei rifiuti.</w:t>
      </w:r>
    </w:p>
    <w:p>
      <w:pPr>
        <w:pStyle w:val="Normal"/>
        <w:ind w:left="567" w:right="567" w:firstLine="0"/>
        <w:jc w:val="both"/>
        <w:rPr>
          <w:rFonts w:ascii="Book Antiqua" w:cs="Book Antiqua" w:hAnsi="Book Antiqua" w:eastAsia="Book Antiqua"/>
        </w:rPr>
      </w:pPr>
      <w:r>
        <w:rPr>
          <w:rFonts w:ascii="Book Antiqua"/>
          <w:rtl w:val="0"/>
          <w:lang w:val="it-IT"/>
        </w:rPr>
        <w:t xml:space="preserve">Secondo il presidente Fortini quello esistente </w:t>
      </w:r>
      <w:r>
        <w:rPr>
          <w:rFonts w:hAnsi="Book Antiqua" w:hint="default"/>
          <w:rtl w:val="0"/>
          <w:lang w:val="it-IT"/>
        </w:rPr>
        <w:t>è “</w:t>
      </w:r>
      <w:r>
        <w:rPr>
          <w:rFonts w:ascii="Book Antiqua"/>
          <w:rtl w:val="0"/>
          <w:lang w:val="it-IT"/>
        </w:rPr>
        <w:t xml:space="preserve">un sistema di gestione del ciclo di trattamento e smaltimento dei rifiuti arcaico. Si tratta di un sistema tutto improntato sulla generazione di rifiuti da rifiuti. I rifiuti di Roma vengono trattati in impianti di trattamento meccanico-biologico. Alla fine del ciclo di trattamento meccanico-biologico si </w:t>
      </w:r>
      <w:r>
        <w:rPr>
          <w:rFonts w:hAnsi="Book Antiqua" w:hint="default"/>
          <w:rtl w:val="0"/>
          <w:lang w:val="it-IT"/>
        </w:rPr>
        <w:t xml:space="preserve">è </w:t>
      </w:r>
      <w:r>
        <w:rPr>
          <w:rFonts w:ascii="Book Antiqua"/>
          <w:rtl w:val="0"/>
          <w:lang w:val="it-IT"/>
        </w:rPr>
        <w:t>certamente ottenuta la minimizzazione della carica potenzialmente inquinante di quei rifiuti, perch</w:t>
      </w:r>
      <w:r>
        <w:rPr>
          <w:rFonts w:hAnsi="Book Antiqua" w:hint="default"/>
          <w:rtl w:val="0"/>
          <w:lang w:val="it-IT"/>
        </w:rPr>
        <w:t xml:space="preserve">é </w:t>
      </w:r>
      <w:r>
        <w:rPr>
          <w:rFonts w:ascii="Book Antiqua"/>
          <w:rtl w:val="0"/>
          <w:lang w:val="it-IT"/>
        </w:rPr>
        <w:t xml:space="preserve">attraverso il processo di stabilizzazione della frazione organica ovvero di raffinazione della frazione combustibile la carica potenziale inquinante </w:t>
      </w:r>
      <w:r>
        <w:rPr>
          <w:rFonts w:hAnsi="Book Antiqua" w:hint="default"/>
          <w:rtl w:val="0"/>
          <w:lang w:val="it-IT"/>
        </w:rPr>
        <w:t xml:space="preserve">è </w:t>
      </w:r>
      <w:r>
        <w:rPr>
          <w:rFonts w:ascii="Book Antiqua"/>
          <w:rtl w:val="0"/>
          <w:lang w:val="it-IT"/>
        </w:rPr>
        <w:t>certamente diminuita, ma quello che resta sono comunque rifiuti da smaltire.</w:t>
      </w:r>
      <w:r>
        <w:rPr>
          <w:rFonts w:hAnsi="Book Antiqua" w:hint="default"/>
          <w:rtl w:val="0"/>
          <w:lang w:val="it-IT"/>
        </w:rPr>
        <w:t>”</w:t>
      </w:r>
      <w:r>
        <w:rPr>
          <w:rFonts w:ascii="Book Antiqua"/>
          <w:rtl w:val="0"/>
          <w:lang w:val="it-IT"/>
        </w:rPr>
        <w:t xml:space="preserve"> </w:t>
      </w:r>
    </w:p>
    <w:p>
      <w:pPr>
        <w:pStyle w:val="Normal"/>
        <w:ind w:left="567" w:right="567" w:firstLine="0"/>
        <w:jc w:val="both"/>
        <w:rPr>
          <w:rFonts w:ascii="Book Antiqua" w:cs="Book Antiqua" w:hAnsi="Book Antiqua" w:eastAsia="Book Antiqua"/>
        </w:rPr>
      </w:pPr>
      <w:r>
        <w:rPr>
          <w:rFonts w:ascii="Book Antiqua"/>
          <w:rtl w:val="0"/>
          <w:lang w:val="it-IT"/>
        </w:rPr>
        <w:t>L</w:t>
      </w:r>
      <w:r>
        <w:rPr>
          <w:rFonts w:hAnsi="Book Antiqua" w:hint="default"/>
          <w:rtl w:val="0"/>
          <w:lang w:val="it-IT"/>
        </w:rPr>
        <w:t>’</w:t>
      </w:r>
      <w:r>
        <w:rPr>
          <w:rFonts w:ascii="Book Antiqua"/>
          <w:rtl w:val="0"/>
          <w:lang w:val="it-IT"/>
        </w:rPr>
        <w:t>apparato esistente, sia di AMA, sia dell</w:t>
      </w:r>
      <w:r>
        <w:rPr>
          <w:rFonts w:hAnsi="Book Antiqua" w:hint="default"/>
          <w:rtl w:val="0"/>
          <w:lang w:val="it-IT"/>
        </w:rPr>
        <w:t>’</w:t>
      </w:r>
      <w:r>
        <w:rPr>
          <w:rFonts w:ascii="Book Antiqua"/>
          <w:rtl w:val="0"/>
          <w:lang w:val="it-IT"/>
        </w:rPr>
        <w:t>operatore privato, serve soltanto a produrre rifiuti da rifiuti e, quindi, a legittimare la necessit</w:t>
      </w:r>
      <w:r>
        <w:rPr>
          <w:rFonts w:hAnsi="Book Antiqua" w:hint="default"/>
          <w:rtl w:val="0"/>
          <w:lang w:val="it-IT"/>
        </w:rPr>
        <w:t xml:space="preserve">à </w:t>
      </w:r>
      <w:r>
        <w:rPr>
          <w:rFonts w:ascii="Book Antiqua"/>
          <w:rtl w:val="0"/>
          <w:lang w:val="it-IT"/>
        </w:rPr>
        <w:t>di discariche e di inceneritori; l</w:t>
      </w:r>
      <w:r>
        <w:rPr>
          <w:rFonts w:hAnsi="Book Antiqua" w:hint="default"/>
          <w:rtl w:val="0"/>
          <w:lang w:val="it-IT"/>
        </w:rPr>
        <w:t>’</w:t>
      </w:r>
      <w:r>
        <w:rPr>
          <w:rFonts w:ascii="Book Antiqua"/>
          <w:rtl w:val="0"/>
          <w:lang w:val="it-IT"/>
        </w:rPr>
        <w:t xml:space="preserve">inversione </w:t>
      </w:r>
      <w:r>
        <w:rPr>
          <w:rFonts w:hAnsi="Book Antiqua" w:hint="default"/>
          <w:rtl w:val="0"/>
          <w:lang w:val="it-IT"/>
        </w:rPr>
        <w:t xml:space="preserve">– </w:t>
      </w:r>
      <w:r>
        <w:rPr>
          <w:rFonts w:ascii="Book Antiqua"/>
          <w:rtl w:val="0"/>
          <w:lang w:val="it-IT"/>
        </w:rPr>
        <w:t xml:space="preserve">osteggiata </w:t>
      </w:r>
      <w:r>
        <w:rPr>
          <w:rFonts w:hAnsi="Book Antiqua" w:hint="default"/>
          <w:rtl w:val="0"/>
          <w:lang w:val="it-IT"/>
        </w:rPr>
        <w:t xml:space="preserve">– </w:t>
      </w:r>
      <w:r>
        <w:rPr>
          <w:rFonts w:ascii="Book Antiqua"/>
          <w:rtl w:val="0"/>
          <w:lang w:val="it-IT"/>
        </w:rPr>
        <w:t>si deve basare sullo sviluppo della raccolta differenziata e una dotazione impiantistica necessaria a recuperare materia da rifiuti in modo da evitare il pi</w:t>
      </w:r>
      <w:r>
        <w:rPr>
          <w:rFonts w:hAnsi="Book Antiqua" w:hint="default"/>
          <w:rtl w:val="0"/>
          <w:lang w:val="it-IT"/>
        </w:rPr>
        <w:t xml:space="preserve">ù </w:t>
      </w:r>
      <w:r>
        <w:rPr>
          <w:rFonts w:ascii="Book Antiqua"/>
          <w:rtl w:val="0"/>
          <w:lang w:val="it-IT"/>
        </w:rPr>
        <w:t>possibile il ricorso alle forme di smaltimento; nel piano industriale di AMA, illustrato in audizione dall</w:t>
      </w:r>
      <w:r>
        <w:rPr>
          <w:rFonts w:hAnsi="Book Antiqua" w:hint="default"/>
          <w:rtl w:val="0"/>
          <w:lang w:val="it-IT"/>
        </w:rPr>
        <w:t>’</w:t>
      </w:r>
      <w:r>
        <w:rPr>
          <w:rFonts w:ascii="Book Antiqua"/>
          <w:rtl w:val="0"/>
          <w:lang w:val="it-IT"/>
        </w:rPr>
        <w:t xml:space="preserve">allora presidente, erano previsti, attraverso gli ecodistretti, dei </w:t>
      </w:r>
      <w:r>
        <w:rPr>
          <w:rFonts w:ascii="Book Antiqua"/>
          <w:i w:val="1"/>
          <w:iCs w:val="1"/>
          <w:rtl w:val="0"/>
          <w:lang w:val="it-IT"/>
        </w:rPr>
        <w:t>compound</w:t>
      </w:r>
      <w:r>
        <w:rPr>
          <w:rFonts w:ascii="Book Antiqua"/>
          <w:rtl w:val="0"/>
          <w:lang w:val="it-IT"/>
        </w:rPr>
        <w:t xml:space="preserve"> di stabilimenti in cui arrivano rifiuti sia differenziati, sia indifferenziati per essere trattati ai fini dei processi </w:t>
      </w:r>
      <w:r>
        <w:rPr>
          <w:rFonts w:ascii="Book Antiqua"/>
          <w:i w:val="1"/>
          <w:iCs w:val="1"/>
          <w:rtl w:val="0"/>
          <w:lang w:val="it-IT"/>
        </w:rPr>
        <w:t>end of waste</w:t>
      </w:r>
      <w:r>
        <w:rPr>
          <w:rFonts w:ascii="Book Antiqua"/>
          <w:rtl w:val="0"/>
          <w:lang w:val="it-IT"/>
        </w:rPr>
        <w:t xml:space="preserve"> raccomandati dall</w:t>
      </w:r>
      <w:r>
        <w:rPr>
          <w:rFonts w:hAnsi="Book Antiqua" w:hint="default"/>
          <w:rtl w:val="0"/>
          <w:lang w:val="it-IT"/>
        </w:rPr>
        <w:t>’</w:t>
      </w:r>
      <w:r>
        <w:rPr>
          <w:rFonts w:ascii="Book Antiqua"/>
          <w:rtl w:val="0"/>
          <w:lang w:val="it-IT"/>
        </w:rPr>
        <w:t>Unione europea, per fare in modo che il trattamento di quei rifiuti non sia finalizzato alla generazione di nuovi rifiuti, bens</w:t>
      </w:r>
      <w:r>
        <w:rPr>
          <w:rFonts w:hAnsi="Book Antiqua" w:hint="default"/>
          <w:rtl w:val="0"/>
          <w:lang w:val="it-IT"/>
        </w:rPr>
        <w:t xml:space="preserve">ì </w:t>
      </w:r>
      <w:r>
        <w:rPr>
          <w:rFonts w:ascii="Book Antiqua"/>
          <w:rtl w:val="0"/>
          <w:lang w:val="it-IT"/>
        </w:rPr>
        <w:t>di prodotti ovvero di materie che possano essere reimpiegati sul mercato.</w:t>
      </w:r>
    </w:p>
    <w:p>
      <w:pPr>
        <w:pStyle w:val="Normal"/>
        <w:ind w:left="567" w:right="567" w:firstLine="0"/>
        <w:jc w:val="both"/>
        <w:rPr>
          <w:rFonts w:ascii="Book Antiqua" w:cs="Book Antiqua" w:hAnsi="Book Antiqua" w:eastAsia="Book Antiqua"/>
        </w:rPr>
      </w:pPr>
      <w:r>
        <w:rPr>
          <w:rFonts w:ascii="Book Antiqua"/>
          <w:rtl w:val="0"/>
          <w:lang w:val="it-IT"/>
        </w:rPr>
        <w:t>Nelle prospettive di quella gestione di AMA, il primo impianto avrebbe dovuto sorgere a Rocca Cencia; le procedure autorizzative erano in corso (il 3 aprile 2015 AMA ha presentato la valutazione di impatto ambientale alla regione Lazio e il 15 maggio 2015 ha presentato l</w:t>
      </w:r>
      <w:r>
        <w:rPr>
          <w:rFonts w:hAnsi="Book Antiqua" w:hint="default"/>
          <w:rtl w:val="0"/>
          <w:lang w:val="it-IT"/>
        </w:rPr>
        <w:t>’</w:t>
      </w:r>
      <w:r>
        <w:rPr>
          <w:rFonts w:ascii="Book Antiqua"/>
          <w:rtl w:val="0"/>
          <w:lang w:val="it-IT"/>
        </w:rPr>
        <w:t>autorizzazione integrata ambientale) ed era stata comunque bandita la gara (condizionata alle autorizzazioni) per la realizzazione del primo impianto di compostaggio da 50.000 tonnellate nella citt</w:t>
      </w:r>
      <w:r>
        <w:rPr>
          <w:rFonts w:hAnsi="Book Antiqua" w:hint="default"/>
          <w:rtl w:val="0"/>
          <w:lang w:val="it-IT"/>
        </w:rPr>
        <w:t xml:space="preserve">à </w:t>
      </w:r>
      <w:r>
        <w:rPr>
          <w:rFonts w:ascii="Book Antiqua"/>
          <w:rtl w:val="0"/>
          <w:lang w:val="it-IT"/>
        </w:rPr>
        <w:t>di Roma; AMA si attendeva che entro settembre si concludesse l</w:t>
      </w:r>
      <w:r>
        <w:rPr>
          <w:rFonts w:hAnsi="Book Antiqua" w:hint="default"/>
          <w:rtl w:val="0"/>
          <w:lang w:val="it-IT"/>
        </w:rPr>
        <w:t>’</w:t>
      </w:r>
      <w:r>
        <w:rPr>
          <w:rFonts w:ascii="Book Antiqua"/>
          <w:rtl w:val="0"/>
          <w:lang w:val="it-IT"/>
        </w:rPr>
        <w:t>iter autorizzativo da parte della regione Lazio e che nel mese di ottobre si potesse posare la prima pietra, con conclusione dei lavori nei 9-12 mesi successivi. L</w:t>
      </w:r>
      <w:r>
        <w:rPr>
          <w:rFonts w:hAnsi="Book Antiqua" w:hint="default"/>
          <w:rtl w:val="0"/>
          <w:lang w:val="it-IT"/>
        </w:rPr>
        <w:t>’</w:t>
      </w:r>
      <w:r>
        <w:rPr>
          <w:rFonts w:ascii="Book Antiqua"/>
          <w:rtl w:val="0"/>
          <w:lang w:val="it-IT"/>
        </w:rPr>
        <w:t>impianto doveva essere destinato ad affiancare quello di Maccarese, dove vengono trattate circa 30.000 tonnellate, tra rifiuti urbani biodegradabili e frazioni verdi; secondo la prospettiva dell</w:t>
      </w:r>
      <w:r>
        <w:rPr>
          <w:rFonts w:hAnsi="Book Antiqua" w:hint="default"/>
          <w:rtl w:val="0"/>
          <w:lang w:val="it-IT"/>
        </w:rPr>
        <w:t>’</w:t>
      </w:r>
      <w:r>
        <w:rPr>
          <w:rFonts w:ascii="Book Antiqua"/>
          <w:rtl w:val="0"/>
          <w:lang w:val="it-IT"/>
        </w:rPr>
        <w:t>allora presidente di AMA, altri impianti avrebbero dovuto essere realizzati, perch</w:t>
      </w:r>
      <w:r>
        <w:rPr>
          <w:rFonts w:hAnsi="Book Antiqua" w:hint="default"/>
          <w:rtl w:val="0"/>
          <w:lang w:val="it-IT"/>
        </w:rPr>
        <w:t xml:space="preserve">é </w:t>
      </w:r>
      <w:r>
        <w:rPr>
          <w:rFonts w:ascii="Book Antiqua"/>
          <w:rtl w:val="0"/>
          <w:lang w:val="it-IT"/>
        </w:rPr>
        <w:t xml:space="preserve">la produzione potenziale di rifiuti organici (umido + verde) di Roma </w:t>
      </w:r>
      <w:r>
        <w:rPr>
          <w:rFonts w:hAnsi="Book Antiqua" w:hint="default"/>
          <w:rtl w:val="0"/>
          <w:lang w:val="it-IT"/>
        </w:rPr>
        <w:t>è</w:t>
      </w:r>
      <w:r>
        <w:rPr>
          <w:rFonts w:ascii="Book Antiqua"/>
          <w:rtl w:val="0"/>
          <w:lang w:val="it-IT"/>
        </w:rPr>
        <w:t xml:space="preserve"> di 500.000 tonnellate all</w:t>
      </w:r>
      <w:r>
        <w:rPr>
          <w:rFonts w:hAnsi="Book Antiqua" w:hint="default"/>
          <w:rtl w:val="0"/>
          <w:lang w:val="it-IT"/>
        </w:rPr>
        <w:t>’</w:t>
      </w:r>
      <w:r>
        <w:rPr>
          <w:rFonts w:ascii="Book Antiqua"/>
          <w:rtl w:val="0"/>
          <w:lang w:val="it-IT"/>
        </w:rPr>
        <w:t>anno di rifiuti urbani biodegradabili; per quanto riguarda, invece, le materie secche, vale a dire tutti gli imballaggi riciclabili, la dotazione impiantistica di Roma Capitale era ritenuta autosufficiente e tale da consentire di collocare tutti questi materiali senza ricorso all</w:t>
      </w:r>
      <w:r>
        <w:rPr>
          <w:rFonts w:hAnsi="Book Antiqua" w:hint="default"/>
          <w:rtl w:val="0"/>
          <w:lang w:val="it-IT"/>
        </w:rPr>
        <w:t>’</w:t>
      </w:r>
      <w:r>
        <w:rPr>
          <w:rFonts w:ascii="Book Antiqua"/>
          <w:rtl w:val="0"/>
          <w:lang w:val="it-IT"/>
        </w:rPr>
        <w:t>extraregione; tuttavia, al crescere della raccolta differenziata gli ecodistretti avrebbero dovuto garantire la chiusura del ciclo</w:t>
      </w:r>
      <w:r>
        <w:rPr>
          <w:rFonts w:ascii="Book Antiqua" w:cs="Book Antiqua" w:hAnsi="Book Antiqua" w:eastAsia="Book Antiqua"/>
          <w:vertAlign w:val="superscript"/>
          <w:rtl w:val="0"/>
        </w:rPr>
        <w:footnoteReference w:id="10"/>
      </w:r>
      <w:r>
        <w:rPr>
          <w:rFonts w:ascii="Book Antiqua"/>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 xml:space="preserve">Questione indipendente </w:t>
      </w:r>
      <w:r>
        <w:rPr>
          <w:rFonts w:hAnsi="Book Antiqua" w:hint="default"/>
          <w:rtl w:val="0"/>
          <w:lang w:val="it-IT"/>
        </w:rPr>
        <w:t xml:space="preserve">è </w:t>
      </w:r>
      <w:r>
        <w:rPr>
          <w:rFonts w:ascii="Book Antiqua"/>
          <w:rtl w:val="0"/>
          <w:lang w:val="it-IT"/>
        </w:rPr>
        <w:t>quella dell</w:t>
      </w:r>
      <w:r>
        <w:rPr>
          <w:rFonts w:hAnsi="Book Antiqua" w:hint="default"/>
          <w:rtl w:val="0"/>
          <w:lang w:val="it-IT"/>
        </w:rPr>
        <w:t>’</w:t>
      </w:r>
      <w:r>
        <w:rPr>
          <w:rFonts w:ascii="Book Antiqua"/>
          <w:rtl w:val="0"/>
          <w:lang w:val="it-IT"/>
        </w:rPr>
        <w:t>impianto di termotrattamento dei rifiuti sanitari di Ponte Malnome, che ha una potenzialit</w:t>
      </w:r>
      <w:r>
        <w:rPr>
          <w:rFonts w:hAnsi="Book Antiqua" w:hint="default"/>
          <w:rtl w:val="0"/>
          <w:lang w:val="it-IT"/>
        </w:rPr>
        <w:t xml:space="preserve">à </w:t>
      </w:r>
      <w:r>
        <w:rPr>
          <w:rFonts w:ascii="Book Antiqua"/>
          <w:rtl w:val="0"/>
          <w:lang w:val="it-IT"/>
        </w:rPr>
        <w:t xml:space="preserve">adeguata a fronteggiare il fabbisogno della regione Lazio, ma </w:t>
      </w:r>
      <w:r>
        <w:rPr>
          <w:rFonts w:hAnsi="Book Antiqua" w:hint="default"/>
          <w:rtl w:val="0"/>
          <w:lang w:val="it-IT"/>
        </w:rPr>
        <w:t xml:space="preserve">è </w:t>
      </w:r>
      <w:r>
        <w:rPr>
          <w:rFonts w:ascii="Book Antiqua"/>
          <w:rtl w:val="0"/>
          <w:lang w:val="it-IT"/>
        </w:rPr>
        <w:t>un impianto vetusto, che ha necessit</w:t>
      </w:r>
      <w:r>
        <w:rPr>
          <w:rFonts w:hAnsi="Book Antiqua" w:hint="default"/>
          <w:rtl w:val="0"/>
          <w:lang w:val="it-IT"/>
        </w:rPr>
        <w:t xml:space="preserve">à </w:t>
      </w:r>
      <w:r>
        <w:rPr>
          <w:rFonts w:ascii="Book Antiqua"/>
          <w:rtl w:val="0"/>
          <w:lang w:val="it-IT"/>
        </w:rPr>
        <w:t xml:space="preserve">di un importante </w:t>
      </w:r>
      <w:r>
        <w:rPr>
          <w:rFonts w:ascii="Book Antiqua"/>
          <w:i w:val="1"/>
          <w:iCs w:val="1"/>
          <w:rtl w:val="0"/>
          <w:lang w:val="it-IT"/>
        </w:rPr>
        <w:t>revamping</w:t>
      </w:r>
      <w:r>
        <w:rPr>
          <w:rFonts w:ascii="Book Antiqua"/>
          <w:rtl w:val="0"/>
          <w:lang w:val="it-IT"/>
        </w:rPr>
        <w:t xml:space="preserve"> per potersi portare a una condizione di efficienza; la questione </w:t>
      </w:r>
      <w:r>
        <w:rPr>
          <w:rFonts w:hAnsi="Book Antiqua" w:hint="default"/>
          <w:rtl w:val="0"/>
          <w:lang w:val="it-IT"/>
        </w:rPr>
        <w:t xml:space="preserve">è </w:t>
      </w:r>
      <w:r>
        <w:rPr>
          <w:rFonts w:ascii="Book Antiqua"/>
          <w:rtl w:val="0"/>
          <w:lang w:val="it-IT"/>
        </w:rPr>
        <w:t>stata posta da AMA alla regione Lazio.</w:t>
      </w:r>
    </w:p>
    <w:p>
      <w:pPr>
        <w:pStyle w:val="Normal"/>
        <w:ind w:left="567" w:right="567" w:firstLine="0"/>
        <w:jc w:val="both"/>
        <w:rPr>
          <w:rFonts w:ascii="Book Antiqua" w:cs="Book Antiqua" w:hAnsi="Book Antiqua" w:eastAsia="Book Antiqua"/>
        </w:rPr>
      </w:pPr>
      <w:r>
        <w:rPr>
          <w:rFonts w:ascii="Book Antiqua"/>
          <w:rtl w:val="0"/>
          <w:lang w:val="it-IT"/>
        </w:rPr>
        <w:t>AMA veniva descritta dal presidente Fortini come un</w:t>
      </w:r>
      <w:r>
        <w:rPr>
          <w:rFonts w:hAnsi="Book Antiqua" w:hint="default"/>
          <w:rtl w:val="0"/>
          <w:lang w:val="it-IT"/>
        </w:rPr>
        <w:t>’</w:t>
      </w:r>
      <w:r>
        <w:rPr>
          <w:rFonts w:ascii="Book Antiqua"/>
          <w:rtl w:val="0"/>
          <w:lang w:val="it-IT"/>
        </w:rPr>
        <w:t xml:space="preserve">azienda in passato data in appalto al malaffare, in cui un risanamento interno poderoso </w:t>
      </w:r>
      <w:r>
        <w:rPr>
          <w:rFonts w:hAnsi="Book Antiqua" w:hint="default"/>
          <w:rtl w:val="0"/>
          <w:lang w:val="it-IT"/>
        </w:rPr>
        <w:t xml:space="preserve">è </w:t>
      </w:r>
      <w:r>
        <w:rPr>
          <w:rFonts w:ascii="Book Antiqua"/>
          <w:rtl w:val="0"/>
          <w:lang w:val="it-IT"/>
        </w:rPr>
        <w:t xml:space="preserve">osteggiato dal precedente </w:t>
      </w:r>
      <w:r>
        <w:rPr>
          <w:rFonts w:ascii="Book Antiqua"/>
          <w:i w:val="1"/>
          <w:iCs w:val="1"/>
          <w:rtl w:val="0"/>
          <w:lang w:val="it-IT"/>
        </w:rPr>
        <w:t>status quo</w:t>
      </w:r>
      <w:r>
        <w:rPr>
          <w:rFonts w:ascii="Book Antiqua"/>
          <w:rtl w:val="0"/>
          <w:lang w:val="it-IT"/>
        </w:rPr>
        <w:t xml:space="preserve">; con il rischio incombente che </w:t>
      </w:r>
      <w:r>
        <w:rPr>
          <w:rFonts w:hAnsi="Book Antiqua" w:hint="default"/>
          <w:rtl w:val="0"/>
          <w:lang w:val="it-IT"/>
        </w:rPr>
        <w:t xml:space="preserve">– </w:t>
      </w:r>
      <w:r>
        <w:rPr>
          <w:rFonts w:ascii="Book Antiqua"/>
          <w:rtl w:val="0"/>
          <w:lang w:val="it-IT"/>
        </w:rPr>
        <w:t>come strumento di questa attivit</w:t>
      </w:r>
      <w:r>
        <w:rPr>
          <w:rFonts w:hAnsi="Book Antiqua" w:hint="default"/>
          <w:rtl w:val="0"/>
          <w:lang w:val="it-IT"/>
        </w:rPr>
        <w:t xml:space="preserve">à </w:t>
      </w:r>
      <w:r>
        <w:rPr>
          <w:rFonts w:ascii="Book Antiqua"/>
          <w:rtl w:val="0"/>
          <w:lang w:val="it-IT"/>
        </w:rPr>
        <w:t>ostativa - venga procurata artificiosamente a Roma una nuova emergenza. Infatti, la destinazione fuori citt</w:t>
      </w:r>
      <w:r>
        <w:rPr>
          <w:rFonts w:hAnsi="Book Antiqua" w:hint="default"/>
          <w:rtl w:val="0"/>
          <w:lang w:val="it-IT"/>
        </w:rPr>
        <w:t xml:space="preserve">à </w:t>
      </w:r>
      <w:r>
        <w:rPr>
          <w:rFonts w:ascii="Book Antiqua"/>
          <w:rtl w:val="0"/>
          <w:lang w:val="it-IT"/>
        </w:rPr>
        <w:t>di 163 TIR al giorno verso 8 regioni e 55 siti differenti, contribuisce a rendere vulnerabile l</w:t>
      </w:r>
      <w:r>
        <w:rPr>
          <w:rFonts w:hAnsi="Book Antiqua" w:hint="default"/>
          <w:rtl w:val="0"/>
          <w:lang w:val="it-IT"/>
        </w:rPr>
        <w:t>’</w:t>
      </w:r>
      <w:r>
        <w:rPr>
          <w:rFonts w:ascii="Book Antiqua"/>
          <w:rtl w:val="0"/>
          <w:lang w:val="it-IT"/>
        </w:rPr>
        <w:t>intero sistema (la situazione persiste in attualit</w:t>
      </w:r>
      <w:r>
        <w:rPr>
          <w:rFonts w:hAnsi="Book Antiqua" w:hint="default"/>
          <w:rtl w:val="0"/>
          <w:lang w:val="it-IT"/>
        </w:rPr>
        <w:t>à</w:t>
      </w:r>
      <w:r>
        <w:rPr>
          <w:rFonts w:ascii="Book Antiqua"/>
          <w:rtl w:val="0"/>
          <w:lang w:val="it-IT"/>
        </w:rPr>
        <w:t>).</w:t>
      </w:r>
    </w:p>
    <w:p>
      <w:pPr>
        <w:pStyle w:val="Plain Text"/>
        <w:ind w:left="567" w:right="567" w:firstLine="0"/>
        <w:jc w:val="both"/>
        <w:rPr>
          <w:rFonts w:ascii="Book Antiqua" w:cs="Book Antiqua" w:hAnsi="Book Antiqua" w:eastAsia="Book Antiqua"/>
        </w:rPr>
      </w:pPr>
      <w:r>
        <w:rPr>
          <w:rFonts w:ascii="Book Antiqua"/>
          <w:rtl w:val="0"/>
          <w:lang w:val="it-IT"/>
        </w:rPr>
        <w:t xml:space="preserve">Il piano regionale dei rifiuti </w:t>
      </w:r>
      <w:r>
        <w:rPr>
          <w:rFonts w:hAnsi="Book Antiqua" w:hint="default"/>
          <w:rtl w:val="0"/>
          <w:lang w:val="it-IT"/>
        </w:rPr>
        <w:t xml:space="preserve">è </w:t>
      </w:r>
      <w:r>
        <w:rPr>
          <w:rFonts w:ascii="Book Antiqua"/>
          <w:rtl w:val="0"/>
          <w:lang w:val="it-IT"/>
        </w:rPr>
        <w:t>stato rappresentato ai vertici di AMA pi</w:t>
      </w:r>
      <w:r>
        <w:rPr>
          <w:rFonts w:hAnsi="Book Antiqua" w:hint="default"/>
          <w:rtl w:val="0"/>
          <w:lang w:val="it-IT"/>
        </w:rPr>
        <w:t xml:space="preserve">ù </w:t>
      </w:r>
      <w:r>
        <w:rPr>
          <w:rFonts w:ascii="Book Antiqua"/>
          <w:rtl w:val="0"/>
          <w:lang w:val="it-IT"/>
        </w:rPr>
        <w:t>volte essere in aggiornamento da parte degli organi competenti della regione Lazio; l</w:t>
      </w:r>
      <w:r>
        <w:rPr>
          <w:rFonts w:hAnsi="Book Antiqua" w:hint="default"/>
          <w:rtl w:val="0"/>
          <w:lang w:val="it-IT"/>
        </w:rPr>
        <w:t>’</w:t>
      </w:r>
      <w:r>
        <w:rPr>
          <w:rFonts w:ascii="Book Antiqua"/>
          <w:rtl w:val="0"/>
          <w:lang w:val="it-IT"/>
        </w:rPr>
        <w:t>allora presidente di AMA auspicava che venisse varato il prima possibile, al fine di agevolare l</w:t>
      </w:r>
      <w:r>
        <w:rPr>
          <w:rFonts w:hAnsi="Book Antiqua" w:hint="default"/>
          <w:rtl w:val="0"/>
          <w:lang w:val="it-IT"/>
        </w:rPr>
        <w:t>’</w:t>
      </w:r>
      <w:r>
        <w:rPr>
          <w:rFonts w:ascii="Book Antiqua"/>
          <w:rtl w:val="0"/>
          <w:lang w:val="it-IT"/>
        </w:rPr>
        <w:t>evoluzione del sistema.</w:t>
      </w:r>
    </w:p>
    <w:p>
      <w:pPr>
        <w:pStyle w:val="Plain Text"/>
        <w:ind w:left="567" w:right="567" w:firstLine="0"/>
        <w:jc w:val="both"/>
        <w:rPr>
          <w:rFonts w:ascii="Book Antiqua" w:cs="Book Antiqua" w:hAnsi="Book Antiqua" w:eastAsia="Book Antiqua"/>
        </w:rPr>
      </w:pPr>
      <w:r>
        <w:rPr>
          <w:rFonts w:ascii="Book Antiqua"/>
          <w:rtl w:val="0"/>
          <w:lang w:val="it-IT"/>
        </w:rPr>
        <w:t xml:space="preserve">Il presidente Fortini, durante la sua audizione, ha parlato anche dei due contenziosi aperti da Co.La.Ri nei confronti di AMA. </w:t>
      </w:r>
    </w:p>
    <w:p>
      <w:pPr>
        <w:pStyle w:val="Plain Text"/>
        <w:ind w:left="567" w:right="567" w:firstLine="0"/>
        <w:jc w:val="both"/>
        <w:rPr>
          <w:rFonts w:ascii="Book Antiqua" w:cs="Book Antiqua" w:hAnsi="Book Antiqua" w:eastAsia="Book Antiqua"/>
        </w:rPr>
      </w:pPr>
      <w:r>
        <w:rPr>
          <w:rFonts w:ascii="Book Antiqua"/>
          <w:rtl w:val="0"/>
          <w:lang w:val="it-IT"/>
        </w:rPr>
        <w:t>Ne riportiamo in sintesi le domande:</w:t>
      </w:r>
    </w:p>
    <w:p>
      <w:pPr>
        <w:pStyle w:val="Plain Text"/>
        <w:ind w:left="567" w:right="567" w:firstLine="0"/>
        <w:jc w:val="both"/>
        <w:rPr>
          <w:rFonts w:ascii="Book Antiqua" w:cs="Book Antiqua" w:hAnsi="Book Antiqua" w:eastAsia="Book Antiqua"/>
        </w:rPr>
      </w:pPr>
    </w:p>
    <w:p>
      <w:pPr>
        <w:pStyle w:val="Plain Text"/>
        <w:ind w:left="567" w:right="567" w:firstLine="0"/>
        <w:jc w:val="both"/>
        <w:rPr>
          <w:rFonts w:ascii="Book Antiqua Bold" w:cs="Book Antiqua Bold" w:hAnsi="Book Antiqua Bold" w:eastAsia="Book Antiqua Bold"/>
          <w:b w:val="1"/>
          <w:bCs w:val="1"/>
          <w:sz w:val="22"/>
          <w:szCs w:val="22"/>
        </w:rPr>
      </w:pPr>
      <w:r>
        <w:rPr>
          <w:rFonts w:ascii="Book Antiqua Bold"/>
          <w:b w:val="1"/>
          <w:bCs w:val="1"/>
          <w:sz w:val="22"/>
          <w:szCs w:val="22"/>
          <w:rtl w:val="0"/>
          <w:lang w:val="it-IT"/>
        </w:rPr>
        <w:t>I</w:t>
      </w:r>
    </w:p>
    <w:p>
      <w:pPr>
        <w:pStyle w:val="Plain Text"/>
        <w:ind w:left="567" w:right="567" w:firstLine="0"/>
        <w:jc w:val="both"/>
        <w:rPr>
          <w:rFonts w:ascii="Book Antiqua" w:cs="Book Antiqua" w:hAnsi="Book Antiqua" w:eastAsia="Book Antiqua"/>
          <w:sz w:val="22"/>
          <w:szCs w:val="22"/>
        </w:rPr>
      </w:pPr>
      <w:r>
        <w:rPr>
          <w:rFonts w:ascii="Book Antiqua"/>
          <w:sz w:val="22"/>
          <w:szCs w:val="22"/>
          <w:rtl w:val="0"/>
          <w:lang w:val="it-IT"/>
        </w:rPr>
        <w:t>Con domanda di arbitrato e nomina di arbitro notificata in data 11 maggio 2001, e successive integrazioni, il COLARI ha predisposto un arbitrato contro AMA, formulando le seguenti domande:</w:t>
      </w:r>
    </w:p>
    <w:p>
      <w:pPr>
        <w:pStyle w:val="List Paragraph"/>
        <w:numPr>
          <w:ilvl w:val="0"/>
          <w:numId w:val="21"/>
        </w:numPr>
        <w:tabs>
          <w:tab w:val="num" w:pos="721"/>
          <w:tab w:val="clear" w:pos="567"/>
        </w:tabs>
        <w:bidi w:val="0"/>
        <w:ind w:left="580" w:right="567" w:hanging="13"/>
        <w:jc w:val="both"/>
        <w:rPr>
          <w:rFonts w:ascii="Book Antiqua" w:cs="Book Antiqua" w:hAnsi="Book Antiqua" w:eastAsia="Book Antiqua"/>
          <w:position w:val="0"/>
          <w:sz w:val="22"/>
          <w:szCs w:val="22"/>
          <w:rtl w:val="0"/>
        </w:rPr>
      </w:pPr>
      <w:r>
        <w:rPr>
          <w:rFonts w:ascii="Book Antiqua"/>
          <w:sz w:val="22"/>
          <w:szCs w:val="22"/>
          <w:rtl w:val="0"/>
          <w:lang w:val="it-IT"/>
        </w:rPr>
        <w:t>condanna di AMA al pagamento dei maggiori costi, riferiti al periodo 1996-settembre 2002, sopportati in conseguenza dell</w:t>
      </w:r>
      <w:r>
        <w:rPr>
          <w:rFonts w:hAnsi="Book Antiqua" w:hint="default"/>
          <w:sz w:val="22"/>
          <w:szCs w:val="22"/>
          <w:rtl w:val="0"/>
          <w:lang w:val="it-IT"/>
        </w:rPr>
        <w:t>’</w:t>
      </w:r>
      <w:r>
        <w:rPr>
          <w:rFonts w:ascii="Book Antiqua"/>
          <w:sz w:val="22"/>
          <w:szCs w:val="22"/>
          <w:rtl w:val="0"/>
          <w:lang w:val="it-IT"/>
        </w:rPr>
        <w:t>imprevisto incremento dei prezzi di alcuni dei fattori di produzione sul presupposto di maggiori e imprevisti oneri sofferti in dipendenza dell</w:t>
      </w:r>
      <w:r>
        <w:rPr>
          <w:rFonts w:hAnsi="Book Antiqua" w:hint="default"/>
          <w:sz w:val="22"/>
          <w:szCs w:val="22"/>
          <w:rtl w:val="0"/>
          <w:lang w:val="it-IT"/>
        </w:rPr>
        <w:t>’</w:t>
      </w:r>
      <w:r>
        <w:rPr>
          <w:rFonts w:ascii="Book Antiqua"/>
          <w:sz w:val="22"/>
          <w:szCs w:val="22"/>
          <w:rtl w:val="0"/>
          <w:lang w:val="it-IT"/>
        </w:rPr>
        <w:t>incremento dei costi di esecuzione del servizio.</w:t>
      </w:r>
    </w:p>
    <w:p>
      <w:pPr>
        <w:pStyle w:val="List Paragraph"/>
        <w:numPr>
          <w:ilvl w:val="0"/>
          <w:numId w:val="21"/>
        </w:numPr>
        <w:tabs>
          <w:tab w:val="num" w:pos="721"/>
          <w:tab w:val="clear" w:pos="567"/>
        </w:tabs>
        <w:bidi w:val="0"/>
        <w:ind w:left="580" w:right="567" w:hanging="13"/>
        <w:jc w:val="both"/>
        <w:rPr>
          <w:rFonts w:ascii="Book Antiqua" w:cs="Book Antiqua" w:hAnsi="Book Antiqua" w:eastAsia="Book Antiqua"/>
          <w:position w:val="0"/>
          <w:sz w:val="22"/>
          <w:szCs w:val="22"/>
          <w:rtl w:val="0"/>
        </w:rPr>
      </w:pPr>
      <w:r>
        <w:rPr>
          <w:rFonts w:ascii="Book Antiqua"/>
          <w:sz w:val="22"/>
          <w:szCs w:val="22"/>
          <w:rtl w:val="0"/>
          <w:lang w:val="it-IT"/>
        </w:rPr>
        <w:t>condanna di AMA al pagamento dei maggiori costi sopportati in conseguenza delle limitazioni temporali poste dall</w:t>
      </w:r>
      <w:r>
        <w:rPr>
          <w:rFonts w:hAnsi="Book Antiqua" w:hint="default"/>
          <w:sz w:val="22"/>
          <w:szCs w:val="22"/>
          <w:rtl w:val="0"/>
          <w:lang w:val="it-IT"/>
        </w:rPr>
        <w:t>’</w:t>
      </w:r>
      <w:r>
        <w:rPr>
          <w:rFonts w:ascii="Book Antiqua"/>
          <w:sz w:val="22"/>
          <w:szCs w:val="22"/>
          <w:rtl w:val="0"/>
          <w:lang w:val="it-IT"/>
        </w:rPr>
        <w:t>ordinanza sindacale n. 64 del 2 marzo 1999, con la quale, a dire dell</w:t>
      </w:r>
      <w:r>
        <w:rPr>
          <w:rFonts w:hAnsi="Book Antiqua" w:hint="default"/>
          <w:sz w:val="22"/>
          <w:szCs w:val="22"/>
          <w:rtl w:val="0"/>
          <w:lang w:val="it-IT"/>
        </w:rPr>
        <w:t>’</w:t>
      </w:r>
      <w:r>
        <w:rPr>
          <w:rFonts w:ascii="Book Antiqua"/>
          <w:sz w:val="22"/>
          <w:szCs w:val="22"/>
          <w:rtl w:val="0"/>
          <w:lang w:val="it-IT"/>
        </w:rPr>
        <w:t xml:space="preserve">attrice, il consorzio </w:t>
      </w:r>
      <w:r>
        <w:rPr>
          <w:rFonts w:hAnsi="Book Antiqua" w:hint="default"/>
          <w:sz w:val="22"/>
          <w:szCs w:val="22"/>
          <w:rtl w:val="0"/>
          <w:lang w:val="it-IT"/>
        </w:rPr>
        <w:t xml:space="preserve">è </w:t>
      </w:r>
      <w:r>
        <w:rPr>
          <w:rFonts w:ascii="Book Antiqua"/>
          <w:sz w:val="22"/>
          <w:szCs w:val="22"/>
          <w:rtl w:val="0"/>
          <w:lang w:val="it-IT"/>
        </w:rPr>
        <w:t>stato costretto ad istituire turni completi di lavoro nei giorni festivi.</w:t>
      </w:r>
    </w:p>
    <w:p>
      <w:pPr>
        <w:pStyle w:val="List Paragraph"/>
        <w:numPr>
          <w:ilvl w:val="0"/>
          <w:numId w:val="21"/>
        </w:numPr>
        <w:tabs>
          <w:tab w:val="num" w:pos="721"/>
          <w:tab w:val="clear" w:pos="567"/>
        </w:tabs>
        <w:bidi w:val="0"/>
        <w:ind w:left="580" w:right="567" w:hanging="13"/>
        <w:jc w:val="both"/>
        <w:rPr>
          <w:rFonts w:ascii="Book Antiqua" w:cs="Book Antiqua" w:hAnsi="Book Antiqua" w:eastAsia="Book Antiqua"/>
          <w:i w:val="1"/>
          <w:iCs w:val="1"/>
          <w:position w:val="0"/>
          <w:sz w:val="22"/>
          <w:szCs w:val="22"/>
          <w:rtl w:val="0"/>
        </w:rPr>
      </w:pPr>
      <w:r>
        <w:rPr>
          <w:rFonts w:ascii="Book Antiqua"/>
          <w:i w:val="0"/>
          <w:iCs w:val="0"/>
          <w:sz w:val="22"/>
          <w:szCs w:val="22"/>
          <w:rtl w:val="0"/>
          <w:lang w:val="it-IT"/>
        </w:rPr>
        <w:t xml:space="preserve">condanna di AMA al pagamento dei maggiori oneri sostenendi per la gestione </w:t>
      </w:r>
      <w:r>
        <w:rPr>
          <w:rFonts w:ascii="Book Antiqua"/>
          <w:i w:val="1"/>
          <w:iCs w:val="1"/>
          <w:sz w:val="22"/>
          <w:szCs w:val="22"/>
          <w:rtl w:val="0"/>
          <w:lang w:val="it-IT"/>
        </w:rPr>
        <w:t xml:space="preserve">post mortem </w:t>
      </w:r>
      <w:r>
        <w:rPr>
          <w:rFonts w:ascii="Book Antiqua"/>
          <w:i w:val="0"/>
          <w:iCs w:val="0"/>
          <w:sz w:val="22"/>
          <w:szCs w:val="22"/>
          <w:rtl w:val="0"/>
          <w:lang w:val="it-IT"/>
        </w:rPr>
        <w:t>della discarica, a seguito del prolungamento da 10 a 30 anni del periodo post gestione in base alla normativa comunitaria, implementata in Italia.</w:t>
      </w:r>
    </w:p>
    <w:p>
      <w:pPr>
        <w:pStyle w:val="List Paragraph"/>
        <w:numPr>
          <w:ilvl w:val="0"/>
          <w:numId w:val="21"/>
        </w:numPr>
        <w:tabs>
          <w:tab w:val="num" w:pos="721"/>
          <w:tab w:val="clear" w:pos="567"/>
        </w:tabs>
        <w:bidi w:val="0"/>
        <w:ind w:left="580" w:right="567" w:hanging="13"/>
        <w:jc w:val="both"/>
        <w:rPr>
          <w:rFonts w:ascii="Book Antiqua" w:cs="Book Antiqua" w:hAnsi="Book Antiqua" w:eastAsia="Book Antiqua"/>
          <w:i w:val="1"/>
          <w:iCs w:val="1"/>
          <w:position w:val="0"/>
          <w:sz w:val="22"/>
          <w:szCs w:val="22"/>
          <w:rtl w:val="0"/>
        </w:rPr>
      </w:pPr>
      <w:r>
        <w:rPr>
          <w:rFonts w:ascii="Book Antiqua"/>
          <w:i w:val="0"/>
          <w:iCs w:val="0"/>
          <w:sz w:val="22"/>
          <w:szCs w:val="22"/>
          <w:rtl w:val="0"/>
          <w:lang w:val="it-IT"/>
        </w:rPr>
        <w:t>richiesta del COLARI di applicazione della revisione dei prezzi contrattuali a far data dal mese di ottobre 2002.</w:t>
      </w:r>
    </w:p>
    <w:p>
      <w:pPr>
        <w:pStyle w:val="List Paragraph"/>
        <w:numPr>
          <w:ilvl w:val="0"/>
          <w:numId w:val="21"/>
        </w:numPr>
        <w:tabs>
          <w:tab w:val="num" w:pos="721"/>
          <w:tab w:val="clear" w:pos="567"/>
        </w:tabs>
        <w:bidi w:val="0"/>
        <w:ind w:left="580" w:right="567" w:hanging="13"/>
        <w:jc w:val="both"/>
        <w:rPr>
          <w:rFonts w:ascii="Book Antiqua" w:cs="Book Antiqua" w:hAnsi="Book Antiqua" w:eastAsia="Book Antiqua"/>
          <w:position w:val="0"/>
          <w:sz w:val="22"/>
          <w:szCs w:val="22"/>
          <w:rtl w:val="0"/>
        </w:rPr>
      </w:pPr>
      <w:r>
        <w:rPr>
          <w:rFonts w:ascii="Book Antiqua"/>
          <w:sz w:val="22"/>
          <w:szCs w:val="22"/>
          <w:rtl w:val="0"/>
          <w:lang w:val="it-IT"/>
        </w:rPr>
        <w:t>condanna di AMA al pagamento dei maggiori costi sopportati in conseguenza dei conferimenti notturni conseguenti all</w:t>
      </w:r>
      <w:r>
        <w:rPr>
          <w:rFonts w:hAnsi="Book Antiqua" w:hint="default"/>
          <w:sz w:val="22"/>
          <w:szCs w:val="22"/>
          <w:rtl w:val="0"/>
          <w:lang w:val="it-IT"/>
        </w:rPr>
        <w:t>’</w:t>
      </w:r>
      <w:r>
        <w:rPr>
          <w:rFonts w:ascii="Book Antiqua"/>
          <w:sz w:val="22"/>
          <w:szCs w:val="22"/>
          <w:rtl w:val="0"/>
          <w:lang w:val="it-IT"/>
        </w:rPr>
        <w:t>obbligata istituzione del turno lavorativo notturno.</w:t>
      </w:r>
    </w:p>
    <w:p>
      <w:pPr>
        <w:pStyle w:val="Normal"/>
        <w:ind w:left="567" w:right="567" w:firstLine="0"/>
        <w:jc w:val="both"/>
        <w:rPr>
          <w:rFonts w:ascii="Book Antiqua" w:cs="Book Antiqua" w:hAnsi="Book Antiqua" w:eastAsia="Book Antiqua"/>
          <w:sz w:val="22"/>
          <w:szCs w:val="22"/>
        </w:rPr>
      </w:pPr>
    </w:p>
    <w:p>
      <w:pPr>
        <w:pStyle w:val="Normal"/>
        <w:ind w:left="567" w:right="567" w:firstLine="0"/>
        <w:jc w:val="both"/>
        <w:rPr>
          <w:rFonts w:ascii="Book Antiqua" w:cs="Book Antiqua" w:hAnsi="Book Antiqua" w:eastAsia="Book Antiqua"/>
          <w:sz w:val="22"/>
          <w:szCs w:val="22"/>
        </w:rPr>
      </w:pPr>
    </w:p>
    <w:p>
      <w:pPr>
        <w:pStyle w:val="List Paragraph"/>
        <w:ind w:left="567" w:right="567" w:firstLine="0"/>
        <w:jc w:val="both"/>
        <w:rPr>
          <w:rFonts w:ascii="Book Antiqua Bold" w:cs="Book Antiqua Bold" w:hAnsi="Book Antiqua Bold" w:eastAsia="Book Antiqua Bold"/>
          <w:b w:val="1"/>
          <w:bCs w:val="1"/>
          <w:sz w:val="22"/>
          <w:szCs w:val="22"/>
        </w:rPr>
      </w:pPr>
      <w:r>
        <w:rPr>
          <w:rFonts w:ascii="Book Antiqua Bold"/>
          <w:b w:val="1"/>
          <w:bCs w:val="1"/>
          <w:sz w:val="22"/>
          <w:szCs w:val="22"/>
          <w:rtl w:val="0"/>
          <w:lang w:val="it-IT"/>
        </w:rPr>
        <w:t>II</w:t>
      </w:r>
    </w:p>
    <w:p>
      <w:pPr>
        <w:pStyle w:val="List Paragraph"/>
        <w:ind w:left="567" w:right="567" w:firstLine="0"/>
        <w:jc w:val="both"/>
        <w:rPr>
          <w:rFonts w:ascii="Book Antiqua" w:cs="Book Antiqua" w:hAnsi="Book Antiqua" w:eastAsia="Book Antiqua"/>
          <w:sz w:val="22"/>
          <w:szCs w:val="22"/>
        </w:rPr>
      </w:pPr>
      <w:r>
        <w:rPr>
          <w:rFonts w:ascii="Book Antiqua"/>
          <w:sz w:val="22"/>
          <w:szCs w:val="22"/>
          <w:rtl w:val="0"/>
          <w:lang w:val="it-IT"/>
        </w:rPr>
        <w:t>Con domanda di arbitrato e nomina di arbitro, notificata in data 19 novembre 2012, COLARI ha promosso un giudizio arbitrale,</w:t>
      </w:r>
      <w:r>
        <w:rPr>
          <w:rFonts w:ascii="Book Antiqua Bold"/>
          <w:b w:val="1"/>
          <w:bCs w:val="1"/>
          <w:sz w:val="22"/>
          <w:szCs w:val="22"/>
          <w:rtl w:val="0"/>
          <w:lang w:val="it-IT"/>
        </w:rPr>
        <w:t xml:space="preserve"> </w:t>
      </w:r>
      <w:r>
        <w:rPr>
          <w:rFonts w:ascii="Book Antiqua"/>
          <w:sz w:val="22"/>
          <w:szCs w:val="22"/>
          <w:rtl w:val="0"/>
          <w:lang w:val="it-IT"/>
        </w:rPr>
        <w:t>ai sensi dell</w:t>
      </w:r>
      <w:r>
        <w:rPr>
          <w:rFonts w:hAnsi="Book Antiqua" w:hint="default"/>
          <w:sz w:val="22"/>
          <w:szCs w:val="22"/>
          <w:rtl w:val="0"/>
          <w:lang w:val="it-IT"/>
        </w:rPr>
        <w:t>’</w:t>
      </w:r>
      <w:r>
        <w:rPr>
          <w:rFonts w:ascii="Book Antiqua"/>
          <w:sz w:val="22"/>
          <w:szCs w:val="22"/>
          <w:rtl w:val="0"/>
          <w:lang w:val="it-IT"/>
        </w:rPr>
        <w:t xml:space="preserve">articolo 6 del contratto stipulato tra AMA e la medesima COLARI in data 30 giugno 2009, sottoponendo al vaglio del costituendo collegio la questione relativa alla stipula ed ai contenuti di un nuovo contratto avente ad oggetto il conferimento ed il trattamento dei rifiuti urbani indifferenziati prodotti nel territorio di Roma Capitale presso gli impianti di trattamento meccanico biologico denominati Malagrotta 1 e Malagrotta 2. </w:t>
      </w:r>
    </w:p>
    <w:p>
      <w:pPr>
        <w:pStyle w:val="List Paragraph"/>
        <w:ind w:left="567" w:right="567" w:firstLine="0"/>
        <w:jc w:val="both"/>
        <w:rPr>
          <w:rFonts w:ascii="Book Antiqua" w:cs="Book Antiqua" w:hAnsi="Book Antiqua" w:eastAsia="Book Antiqua"/>
          <w:sz w:val="22"/>
          <w:szCs w:val="22"/>
        </w:rPr>
      </w:pPr>
      <w:r>
        <w:rPr>
          <w:rFonts w:ascii="Book Antiqua"/>
          <w:sz w:val="22"/>
          <w:szCs w:val="22"/>
          <w:rtl w:val="0"/>
          <w:lang w:val="it-IT"/>
        </w:rPr>
        <w:t xml:space="preserve">In particolare, sono stati sottoposti al costituendo collegio arbitrale i seguenti quesiti: </w:t>
      </w:r>
    </w:p>
    <w:p>
      <w:pPr>
        <w:pStyle w:val="List Paragraph"/>
        <w:numPr>
          <w:ilvl w:val="0"/>
          <w:numId w:val="24"/>
        </w:numPr>
        <w:tabs>
          <w:tab w:val="num" w:pos="721"/>
          <w:tab w:val="clear" w:pos="567"/>
        </w:tabs>
        <w:bidi w:val="0"/>
        <w:ind w:left="580" w:right="567" w:hanging="13"/>
        <w:jc w:val="both"/>
        <w:rPr>
          <w:rFonts w:ascii="Book Antiqua" w:cs="Book Antiqua" w:hAnsi="Book Antiqua" w:eastAsia="Book Antiqua"/>
          <w:position w:val="0"/>
          <w:sz w:val="22"/>
          <w:szCs w:val="22"/>
          <w:rtl w:val="0"/>
        </w:rPr>
      </w:pPr>
      <w:r>
        <w:rPr>
          <w:rFonts w:ascii="Book Antiqua"/>
          <w:sz w:val="22"/>
          <w:szCs w:val="22"/>
          <w:rtl w:val="0"/>
          <w:lang w:val="it-IT"/>
        </w:rPr>
        <w:t>accertamento dell</w:t>
      </w:r>
      <w:r>
        <w:rPr>
          <w:rFonts w:hAnsi="Book Antiqua" w:hint="default"/>
          <w:sz w:val="22"/>
          <w:szCs w:val="22"/>
          <w:rtl w:val="0"/>
          <w:lang w:val="it-IT"/>
        </w:rPr>
        <w:t>’</w:t>
      </w:r>
      <w:r>
        <w:rPr>
          <w:rFonts w:ascii="Book Antiqua"/>
          <w:sz w:val="22"/>
          <w:szCs w:val="22"/>
          <w:rtl w:val="0"/>
          <w:lang w:val="it-IT"/>
        </w:rPr>
        <w:t xml:space="preserve">obbligo delle parti di stabilire un nuovo </w:t>
      </w:r>
      <w:r>
        <w:rPr>
          <w:rFonts w:hAnsi="Book Antiqua" w:hint="default"/>
          <w:sz w:val="22"/>
          <w:szCs w:val="22"/>
          <w:rtl w:val="0"/>
          <w:lang w:val="it-IT"/>
        </w:rPr>
        <w:t>“</w:t>
      </w:r>
      <w:r>
        <w:rPr>
          <w:rFonts w:ascii="Book Antiqua"/>
          <w:sz w:val="22"/>
          <w:szCs w:val="22"/>
          <w:rtl w:val="0"/>
          <w:lang w:val="it-IT"/>
        </w:rPr>
        <w:t>oggetto</w:t>
      </w:r>
      <w:r>
        <w:rPr>
          <w:rFonts w:hAnsi="Book Antiqua" w:hint="default"/>
          <w:sz w:val="22"/>
          <w:szCs w:val="22"/>
          <w:rtl w:val="0"/>
          <w:lang w:val="it-IT"/>
        </w:rPr>
        <w:t xml:space="preserve">” </w:t>
      </w:r>
      <w:r>
        <w:rPr>
          <w:rFonts w:ascii="Book Antiqua"/>
          <w:sz w:val="22"/>
          <w:szCs w:val="22"/>
          <w:rtl w:val="0"/>
          <w:lang w:val="it-IT"/>
        </w:rPr>
        <w:t>(articolo 2) ed una nuova durata (articolo 4) del contratto in conformit</w:t>
      </w:r>
      <w:r>
        <w:rPr>
          <w:rFonts w:hAnsi="Book Antiqua" w:hint="default"/>
          <w:sz w:val="22"/>
          <w:szCs w:val="22"/>
          <w:rtl w:val="0"/>
          <w:lang w:val="it-IT"/>
        </w:rPr>
        <w:t xml:space="preserve">à </w:t>
      </w:r>
      <w:r>
        <w:rPr>
          <w:rFonts w:ascii="Book Antiqua"/>
          <w:sz w:val="22"/>
          <w:szCs w:val="22"/>
          <w:rtl w:val="0"/>
          <w:lang w:val="it-IT"/>
        </w:rPr>
        <w:t>alle disposizioni vigenti (e quindi con un minimo di 1.500 tonnellate di rifiuti giornalieri, quanto all</w:t>
      </w:r>
      <w:r>
        <w:rPr>
          <w:rFonts w:hAnsi="Book Antiqua" w:hint="default"/>
          <w:sz w:val="22"/>
          <w:szCs w:val="22"/>
          <w:rtl w:val="0"/>
          <w:lang w:val="it-IT"/>
        </w:rPr>
        <w:t>’</w:t>
      </w:r>
      <w:r>
        <w:rPr>
          <w:rFonts w:ascii="Book Antiqua"/>
          <w:sz w:val="22"/>
          <w:szCs w:val="22"/>
          <w:rtl w:val="0"/>
          <w:lang w:val="it-IT"/>
        </w:rPr>
        <w:t>oggetto, e da almeno dieci anni del raggiungimento del nuovo accordo, quanto alla durata).</w:t>
      </w:r>
    </w:p>
    <w:p>
      <w:pPr>
        <w:pStyle w:val="List Paragraph"/>
        <w:numPr>
          <w:ilvl w:val="0"/>
          <w:numId w:val="24"/>
        </w:numPr>
        <w:tabs>
          <w:tab w:val="num" w:pos="721"/>
          <w:tab w:val="clear" w:pos="567"/>
        </w:tabs>
        <w:bidi w:val="0"/>
        <w:ind w:left="580" w:right="567" w:hanging="13"/>
        <w:jc w:val="both"/>
        <w:rPr>
          <w:rFonts w:ascii="Book Antiqua" w:cs="Book Antiqua" w:hAnsi="Book Antiqua" w:eastAsia="Book Antiqua"/>
          <w:position w:val="0"/>
          <w:sz w:val="22"/>
          <w:szCs w:val="22"/>
          <w:rtl w:val="0"/>
        </w:rPr>
      </w:pPr>
      <w:r>
        <w:rPr>
          <w:rFonts w:ascii="Book Antiqua"/>
          <w:sz w:val="22"/>
          <w:szCs w:val="22"/>
          <w:rtl w:val="0"/>
          <w:lang w:val="it-IT"/>
        </w:rPr>
        <w:t>in alternativa, accertamento della nullit</w:t>
      </w:r>
      <w:r>
        <w:rPr>
          <w:rFonts w:hAnsi="Book Antiqua" w:hint="default"/>
          <w:sz w:val="22"/>
          <w:szCs w:val="22"/>
          <w:rtl w:val="0"/>
          <w:lang w:val="it-IT"/>
        </w:rPr>
        <w:t xml:space="preserve">à </w:t>
      </w:r>
      <w:r>
        <w:rPr>
          <w:rFonts w:ascii="Book Antiqua"/>
          <w:sz w:val="22"/>
          <w:szCs w:val="22"/>
          <w:rtl w:val="0"/>
          <w:lang w:val="it-IT"/>
        </w:rPr>
        <w:t>delle clausole di cui agli articoli 2 (oggetto) e 4 (durata) del contratto e l</w:t>
      </w:r>
      <w:r>
        <w:rPr>
          <w:rFonts w:hAnsi="Book Antiqua" w:hint="default"/>
          <w:sz w:val="22"/>
          <w:szCs w:val="22"/>
          <w:rtl w:val="0"/>
          <w:lang w:val="it-IT"/>
        </w:rPr>
        <w:t>’</w:t>
      </w:r>
      <w:r>
        <w:rPr>
          <w:rFonts w:ascii="Book Antiqua"/>
          <w:sz w:val="22"/>
          <w:szCs w:val="22"/>
          <w:rtl w:val="0"/>
          <w:lang w:val="it-IT"/>
        </w:rPr>
        <w:t>integrazione delle stesse con clausole conformi alle disposizioni vigenti.</w:t>
      </w:r>
    </w:p>
    <w:p>
      <w:pPr>
        <w:pStyle w:val="List Paragraph"/>
        <w:numPr>
          <w:ilvl w:val="0"/>
          <w:numId w:val="24"/>
        </w:numPr>
        <w:tabs>
          <w:tab w:val="num" w:pos="721"/>
          <w:tab w:val="clear" w:pos="567"/>
        </w:tabs>
        <w:bidi w:val="0"/>
        <w:ind w:left="580" w:right="567" w:hanging="13"/>
        <w:jc w:val="both"/>
        <w:rPr>
          <w:rFonts w:ascii="Book Antiqua" w:cs="Book Antiqua" w:hAnsi="Book Antiqua" w:eastAsia="Book Antiqua"/>
          <w:position w:val="0"/>
          <w:sz w:val="22"/>
          <w:szCs w:val="22"/>
          <w:rtl w:val="0"/>
        </w:rPr>
      </w:pPr>
      <w:r>
        <w:rPr>
          <w:rFonts w:ascii="Book Antiqua"/>
          <w:sz w:val="22"/>
          <w:szCs w:val="22"/>
          <w:rtl w:val="0"/>
          <w:lang w:val="it-IT"/>
        </w:rPr>
        <w:t>accertamento degli ulteriori profili di inadempimento e/o responsabilit</w:t>
      </w:r>
      <w:r>
        <w:rPr>
          <w:rFonts w:hAnsi="Book Antiqua" w:hint="default"/>
          <w:sz w:val="22"/>
          <w:szCs w:val="22"/>
          <w:rtl w:val="0"/>
          <w:lang w:val="it-IT"/>
        </w:rPr>
        <w:t xml:space="preserve">à </w:t>
      </w:r>
      <w:r>
        <w:rPr>
          <w:rFonts w:ascii="Book Antiqua"/>
          <w:sz w:val="22"/>
          <w:szCs w:val="22"/>
          <w:rtl w:val="0"/>
          <w:lang w:val="it-IT"/>
        </w:rPr>
        <w:t>dell</w:t>
      </w:r>
      <w:r>
        <w:rPr>
          <w:rFonts w:hAnsi="Book Antiqua" w:hint="default"/>
          <w:sz w:val="22"/>
          <w:szCs w:val="22"/>
          <w:rtl w:val="0"/>
          <w:lang w:val="it-IT"/>
        </w:rPr>
        <w:t>’</w:t>
      </w:r>
      <w:r>
        <w:rPr>
          <w:rFonts w:ascii="Book Antiqua"/>
          <w:sz w:val="22"/>
          <w:szCs w:val="22"/>
          <w:rtl w:val="0"/>
          <w:lang w:val="it-IT"/>
        </w:rPr>
        <w:t>AMA nei confronti di Co.La.Ri, come verranno precisati nel corso del giudizio e che si indicano, salva integrazione nell</w:t>
      </w:r>
      <w:r>
        <w:rPr>
          <w:rFonts w:hAnsi="Book Antiqua" w:hint="default"/>
          <w:sz w:val="22"/>
          <w:szCs w:val="22"/>
          <w:rtl w:val="0"/>
          <w:lang w:val="it-IT"/>
        </w:rPr>
        <w:t>’</w:t>
      </w:r>
      <w:r>
        <w:rPr>
          <w:rFonts w:ascii="Book Antiqua"/>
          <w:sz w:val="22"/>
          <w:szCs w:val="22"/>
          <w:rtl w:val="0"/>
          <w:lang w:val="it-IT"/>
        </w:rPr>
        <w:t>abuso di dipendenza economica, nell</w:t>
      </w:r>
      <w:r>
        <w:rPr>
          <w:rFonts w:hAnsi="Book Antiqua" w:hint="default"/>
          <w:sz w:val="22"/>
          <w:szCs w:val="22"/>
          <w:rtl w:val="0"/>
          <w:lang w:val="it-IT"/>
        </w:rPr>
        <w:t>’</w:t>
      </w:r>
      <w:r>
        <w:rPr>
          <w:rFonts w:ascii="Book Antiqua"/>
          <w:sz w:val="22"/>
          <w:szCs w:val="22"/>
          <w:rtl w:val="0"/>
          <w:lang w:val="it-IT"/>
        </w:rPr>
        <w:t>abuso di posizione dominante, nella violazione dell</w:t>
      </w:r>
      <w:r>
        <w:rPr>
          <w:rFonts w:hAnsi="Book Antiqua" w:hint="default"/>
          <w:sz w:val="22"/>
          <w:szCs w:val="22"/>
          <w:rtl w:val="0"/>
          <w:lang w:val="it-IT"/>
        </w:rPr>
        <w:t>’</w:t>
      </w:r>
      <w:r>
        <w:rPr>
          <w:rFonts w:ascii="Book Antiqua"/>
          <w:sz w:val="22"/>
          <w:szCs w:val="22"/>
          <w:rtl w:val="0"/>
          <w:lang w:val="it-IT"/>
        </w:rPr>
        <w:t>obbligo di buona fede, nella interpretazione e nella esecuzione del contratto, nella violazione dei doveri di correttezza nella concorrenza, nella violazione dell</w:t>
      </w:r>
      <w:r>
        <w:rPr>
          <w:rFonts w:hAnsi="Book Antiqua" w:hint="default"/>
          <w:sz w:val="22"/>
          <w:szCs w:val="22"/>
          <w:rtl w:val="0"/>
          <w:lang w:val="it-IT"/>
        </w:rPr>
        <w:t>’</w:t>
      </w:r>
      <w:r>
        <w:rPr>
          <w:rFonts w:ascii="Book Antiqua"/>
          <w:sz w:val="22"/>
          <w:szCs w:val="22"/>
          <w:rtl w:val="0"/>
          <w:lang w:val="it-IT"/>
        </w:rPr>
        <w:t>obbligo di rinegoziazione.</w:t>
      </w:r>
    </w:p>
    <w:p>
      <w:pPr>
        <w:pStyle w:val="List Paragraph"/>
        <w:numPr>
          <w:ilvl w:val="0"/>
          <w:numId w:val="24"/>
        </w:numPr>
        <w:tabs>
          <w:tab w:val="num" w:pos="721"/>
          <w:tab w:val="clear" w:pos="567"/>
        </w:tabs>
        <w:bidi w:val="0"/>
        <w:ind w:left="580" w:right="567" w:hanging="13"/>
        <w:jc w:val="both"/>
        <w:rPr>
          <w:rFonts w:ascii="Book Antiqua" w:cs="Book Antiqua" w:hAnsi="Book Antiqua" w:eastAsia="Book Antiqua"/>
          <w:position w:val="0"/>
          <w:sz w:val="22"/>
          <w:szCs w:val="22"/>
          <w:rtl w:val="0"/>
        </w:rPr>
      </w:pPr>
      <w:r>
        <w:rPr>
          <w:rFonts w:ascii="Book Antiqua"/>
          <w:sz w:val="22"/>
          <w:szCs w:val="22"/>
          <w:rtl w:val="0"/>
          <w:lang w:val="it-IT"/>
        </w:rPr>
        <w:t xml:space="preserve">condanna di AMA a rifondere a Co.La.Ri tutti i costi e le spese del procedimento ivi inclusi i compensi degli arbitri e gli oneri sostenuti dalla difesa. </w:t>
      </w:r>
    </w:p>
    <w:p>
      <w:pPr>
        <w:pStyle w:val="List Paragraph"/>
        <w:ind w:left="567" w:right="567" w:firstLine="0"/>
        <w:jc w:val="both"/>
        <w:rPr>
          <w:rFonts w:ascii="Book Antiqua" w:cs="Book Antiqua" w:hAnsi="Book Antiqua" w:eastAsia="Book Antiqua"/>
          <w:sz w:val="22"/>
          <w:szCs w:val="22"/>
        </w:rPr>
      </w:pPr>
    </w:p>
    <w:p>
      <w:pPr>
        <w:pStyle w:val="Plain Text"/>
        <w:ind w:left="567" w:right="567" w:firstLine="0"/>
        <w:jc w:val="both"/>
        <w:rPr>
          <w:rFonts w:ascii="Book Antiqua" w:cs="Book Antiqua" w:hAnsi="Book Antiqua" w:eastAsia="Book Antiqua"/>
        </w:rPr>
      </w:pPr>
      <w:r>
        <w:rPr>
          <w:rFonts w:ascii="Book Antiqua"/>
          <w:rtl w:val="0"/>
          <w:lang w:val="it-IT"/>
        </w:rPr>
        <w:t xml:space="preserve">Per quanto riguarda il contenzioso con il gruppo Co.La.Ri., il </w:t>
      </w:r>
      <w:r>
        <w:rPr>
          <w:rFonts w:hAnsi="Book Antiqua" w:hint="default"/>
          <w:rtl w:val="0"/>
          <w:lang w:val="it-IT"/>
        </w:rPr>
        <w:t>“</w:t>
      </w:r>
      <w:r>
        <w:rPr>
          <w:rFonts w:ascii="Book Antiqua"/>
          <w:rtl w:val="0"/>
          <w:lang w:val="it-IT"/>
        </w:rPr>
        <w:t>lodo 1</w:t>
      </w:r>
      <w:r>
        <w:rPr>
          <w:rFonts w:hAnsi="Book Antiqua" w:hint="default"/>
          <w:rtl w:val="0"/>
          <w:lang w:val="it-IT"/>
        </w:rPr>
        <w:t xml:space="preserve">” </w:t>
      </w:r>
      <w:r>
        <w:rPr>
          <w:rFonts w:ascii="Book Antiqua"/>
          <w:rtl w:val="0"/>
          <w:lang w:val="it-IT"/>
        </w:rPr>
        <w:t xml:space="preserve">si </w:t>
      </w:r>
      <w:r>
        <w:rPr>
          <w:rFonts w:hAnsi="Book Antiqua" w:hint="default"/>
          <w:rtl w:val="0"/>
          <w:lang w:val="it-IT"/>
        </w:rPr>
        <w:t xml:space="preserve">è </w:t>
      </w:r>
      <w:r>
        <w:rPr>
          <w:rFonts w:ascii="Book Antiqua"/>
          <w:rtl w:val="0"/>
          <w:lang w:val="it-IT"/>
        </w:rPr>
        <w:t xml:space="preserve">concluso, in appello, con la condanna di AMA e Roma Capitale al pagamento di 89 milioni di euro al gruppo Co.La.Ri.; </w:t>
      </w:r>
      <w:r>
        <w:rPr>
          <w:rFonts w:hAnsi="Book Antiqua" w:hint="default"/>
          <w:rtl w:val="0"/>
          <w:lang w:val="it-IT"/>
        </w:rPr>
        <w:t xml:space="preserve">è </w:t>
      </w:r>
      <w:r>
        <w:rPr>
          <w:rFonts w:ascii="Book Antiqua"/>
          <w:rtl w:val="0"/>
          <w:lang w:val="it-IT"/>
        </w:rPr>
        <w:t xml:space="preserve">stato proposto ricorso in Cassazione; la somma con gli interessi, pari a circa 98 milioni di euro, </w:t>
      </w:r>
      <w:r>
        <w:rPr>
          <w:rFonts w:hAnsi="Book Antiqua" w:hint="default"/>
          <w:rtl w:val="0"/>
          <w:lang w:val="it-IT"/>
        </w:rPr>
        <w:t xml:space="preserve">è </w:t>
      </w:r>
      <w:r>
        <w:rPr>
          <w:rFonts w:ascii="Book Antiqua"/>
          <w:rtl w:val="0"/>
          <w:lang w:val="it-IT"/>
        </w:rPr>
        <w:t>stata inserita nel bilancio del comune di Roma Capitale dell</w:t>
      </w:r>
      <w:r>
        <w:rPr>
          <w:rFonts w:hAnsi="Book Antiqua" w:hint="default"/>
          <w:rtl w:val="0"/>
          <w:lang w:val="it-IT"/>
        </w:rPr>
        <w:t>’</w:t>
      </w:r>
      <w:r>
        <w:rPr>
          <w:rFonts w:ascii="Book Antiqua"/>
          <w:rtl w:val="0"/>
          <w:lang w:val="it-IT"/>
        </w:rPr>
        <w:t>anno 2014, in quanto Co.La.Ri. potrebbe esigere le somme da AMA, ma AMA le recupererebbe poi da Roma Capitale; si tratta peraltro di un</w:t>
      </w:r>
      <w:r>
        <w:rPr>
          <w:rFonts w:hAnsi="Book Antiqua" w:hint="default"/>
          <w:rtl w:val="0"/>
          <w:lang w:val="it-IT"/>
        </w:rPr>
        <w:t>’</w:t>
      </w:r>
      <w:r>
        <w:rPr>
          <w:rFonts w:ascii="Book Antiqua"/>
          <w:rtl w:val="0"/>
          <w:lang w:val="it-IT"/>
        </w:rPr>
        <w:t>evenienza che viene a prodursi in ragione della gestione commissariale, perch</w:t>
      </w:r>
      <w:r>
        <w:rPr>
          <w:rFonts w:hAnsi="Book Antiqua" w:hint="default"/>
          <w:rtl w:val="0"/>
          <w:lang w:val="it-IT"/>
        </w:rPr>
        <w:t xml:space="preserve">é </w:t>
      </w:r>
      <w:r>
        <w:rPr>
          <w:rFonts w:ascii="Book Antiqua"/>
          <w:rtl w:val="0"/>
          <w:lang w:val="it-IT"/>
        </w:rPr>
        <w:t>i fatti lamentati nel lodo risalgono all</w:t>
      </w:r>
      <w:r>
        <w:rPr>
          <w:rFonts w:hAnsi="Book Antiqua" w:hint="default"/>
          <w:rtl w:val="0"/>
          <w:lang w:val="it-IT"/>
        </w:rPr>
        <w:t>’</w:t>
      </w:r>
      <w:r>
        <w:rPr>
          <w:rFonts w:ascii="Book Antiqua"/>
          <w:rtl w:val="0"/>
          <w:lang w:val="it-IT"/>
        </w:rPr>
        <w:t xml:space="preserve">anno 2008, ossia alla gestione commissariale; il comune di Roma li ha inseriti nel proprio bilancio. </w:t>
      </w:r>
    </w:p>
    <w:p>
      <w:pPr>
        <w:pStyle w:val="Plain Text"/>
        <w:ind w:left="567" w:right="567" w:firstLine="0"/>
        <w:jc w:val="both"/>
        <w:rPr>
          <w:rFonts w:ascii="Book Antiqua" w:cs="Book Antiqua" w:hAnsi="Book Antiqua" w:eastAsia="Book Antiqua"/>
        </w:rPr>
      </w:pPr>
      <w:r>
        <w:rPr>
          <w:rFonts w:ascii="Book Antiqua"/>
          <w:rtl w:val="0"/>
          <w:lang w:val="it-IT"/>
        </w:rPr>
        <w:t xml:space="preserve">Per quanto riguarda il </w:t>
      </w:r>
      <w:r>
        <w:rPr>
          <w:rFonts w:hAnsi="Book Antiqua" w:hint="default"/>
          <w:rtl w:val="0"/>
          <w:lang w:val="it-IT"/>
        </w:rPr>
        <w:t>“</w:t>
      </w:r>
      <w:r>
        <w:rPr>
          <w:rFonts w:ascii="Book Antiqua"/>
          <w:rtl w:val="0"/>
          <w:lang w:val="it-IT"/>
        </w:rPr>
        <w:t>lodo 2</w:t>
      </w:r>
      <w:r>
        <w:rPr>
          <w:rFonts w:hAnsi="Book Antiqua" w:hint="default"/>
          <w:rtl w:val="0"/>
          <w:lang w:val="it-IT"/>
        </w:rPr>
        <w:t xml:space="preserve">” </w:t>
      </w:r>
      <w:r>
        <w:rPr>
          <w:rFonts w:ascii="Book Antiqua"/>
          <w:rtl w:val="0"/>
          <w:lang w:val="it-IT"/>
        </w:rPr>
        <w:t>AMA ha vinto il primo arbitrato e confida in una conferma anche in sede di appello</w:t>
      </w:r>
      <w:r>
        <w:rPr>
          <w:rFonts w:ascii="Book Antiqua" w:cs="Book Antiqua" w:hAnsi="Book Antiqua" w:eastAsia="Book Antiqua"/>
          <w:vertAlign w:val="superscript"/>
          <w:rtl w:val="0"/>
        </w:rPr>
        <w:footnoteReference w:id="11"/>
      </w:r>
      <w:r>
        <w:rPr>
          <w:rFonts w:ascii="Book Antiqua"/>
          <w:rtl w:val="0"/>
          <w:lang w:val="it-IT"/>
        </w:rPr>
        <w:t>.</w:t>
      </w:r>
    </w:p>
    <w:p>
      <w:pPr>
        <w:pStyle w:val="Plain Text"/>
        <w:ind w:left="567" w:right="567" w:firstLine="0"/>
        <w:jc w:val="both"/>
        <w:rPr>
          <w:rFonts w:ascii="Book Antiqua" w:cs="Book Antiqua" w:hAnsi="Book Antiqua" w:eastAsia="Book Antiqua"/>
        </w:rPr>
      </w:pPr>
      <w:r>
        <w:rPr>
          <w:rFonts w:ascii="Book Antiqua"/>
          <w:rtl w:val="0"/>
          <w:lang w:val="it-IT"/>
        </w:rPr>
        <w:t>AMA ha avuto in dotazione da Roma Capitale, per l</w:t>
      </w:r>
      <w:r>
        <w:rPr>
          <w:rFonts w:hAnsi="Book Antiqua" w:hint="default"/>
          <w:rtl w:val="0"/>
          <w:lang w:val="it-IT"/>
        </w:rPr>
        <w:t>’</w:t>
      </w:r>
      <w:r>
        <w:rPr>
          <w:rFonts w:ascii="Book Antiqua"/>
          <w:rtl w:val="0"/>
          <w:lang w:val="it-IT"/>
        </w:rPr>
        <w:t>anno 2014, 704 milioni di euro a copertura di tutti i servizi ricompresi nelle attivit</w:t>
      </w:r>
      <w:r>
        <w:rPr>
          <w:rFonts w:hAnsi="Book Antiqua" w:hint="default"/>
          <w:rtl w:val="0"/>
          <w:lang w:val="it-IT"/>
        </w:rPr>
        <w:t xml:space="preserve">à </w:t>
      </w:r>
      <w:r>
        <w:rPr>
          <w:rFonts w:ascii="Book Antiqua"/>
          <w:rtl w:val="0"/>
          <w:lang w:val="it-IT"/>
        </w:rPr>
        <w:t>TARI; era di 715 milioni nel 2013; era sufficiente, ad avviso di AMA, a garantire lo sviluppo della raccolta differenziata, il finanziamento dell</w:t>
      </w:r>
      <w:r>
        <w:rPr>
          <w:rFonts w:hAnsi="Book Antiqua" w:hint="default"/>
          <w:rtl w:val="0"/>
          <w:lang w:val="it-IT"/>
        </w:rPr>
        <w:t>’</w:t>
      </w:r>
      <w:r>
        <w:rPr>
          <w:rFonts w:ascii="Book Antiqua"/>
          <w:rtl w:val="0"/>
          <w:lang w:val="it-IT"/>
        </w:rPr>
        <w:t>impiantistica e anche l</w:t>
      </w:r>
      <w:r>
        <w:rPr>
          <w:rFonts w:hAnsi="Book Antiqua" w:hint="default"/>
          <w:rtl w:val="0"/>
          <w:lang w:val="it-IT"/>
        </w:rPr>
        <w:t>’</w:t>
      </w:r>
      <w:r>
        <w:rPr>
          <w:rFonts w:ascii="Book Antiqua"/>
          <w:rtl w:val="0"/>
          <w:lang w:val="it-IT"/>
        </w:rPr>
        <w:t>operativit</w:t>
      </w:r>
      <w:r>
        <w:rPr>
          <w:rFonts w:hAnsi="Book Antiqua" w:hint="default"/>
          <w:rtl w:val="0"/>
          <w:lang w:val="it-IT"/>
        </w:rPr>
        <w:t xml:space="preserve">à </w:t>
      </w:r>
      <w:r>
        <w:rPr>
          <w:rFonts w:ascii="Book Antiqua"/>
          <w:rtl w:val="0"/>
          <w:lang w:val="it-IT"/>
        </w:rPr>
        <w:t>dei servizi. Il Patto per Roma, siglato il 6 agosto 2012 da Ministero dell</w:t>
      </w:r>
      <w:r>
        <w:rPr>
          <w:rFonts w:hAnsi="Book Antiqua" w:hint="default"/>
          <w:rtl w:val="0"/>
          <w:lang w:val="it-IT"/>
        </w:rPr>
        <w:t>’</w:t>
      </w:r>
      <w:r>
        <w:rPr>
          <w:rFonts w:ascii="Book Antiqua"/>
          <w:rtl w:val="0"/>
          <w:lang w:val="it-IT"/>
        </w:rPr>
        <w:t>ambiente, regione Lazio, comune di Roma e il CONAI, con lo scopo di allineare la capitale agli obiettivi di raccolta differenziata e di recupero dei rifiuti, stabiliti dalle leggi nazionali e dalle direttive europee, nonch</w:t>
      </w:r>
      <w:r>
        <w:rPr>
          <w:rFonts w:hAnsi="Book Antiqua" w:hint="default"/>
          <w:rtl w:val="0"/>
          <w:lang w:val="it-IT"/>
        </w:rPr>
        <w:t xml:space="preserve">é </w:t>
      </w:r>
      <w:r>
        <w:rPr>
          <w:rFonts w:ascii="Book Antiqua"/>
          <w:rtl w:val="0"/>
          <w:lang w:val="it-IT"/>
        </w:rPr>
        <w:t>di dotare Roma di un sistema di gestione affidabile e sostenibile, prevedeva la corresponsione ad AMA di 10 milioni di euro da parte della regione e altrettanti dal Ministero dell</w:t>
      </w:r>
      <w:r>
        <w:rPr>
          <w:rFonts w:hAnsi="Book Antiqua" w:hint="default"/>
          <w:rtl w:val="0"/>
          <w:lang w:val="it-IT"/>
        </w:rPr>
        <w:t>’</w:t>
      </w:r>
      <w:r>
        <w:rPr>
          <w:rFonts w:ascii="Book Antiqua"/>
          <w:rtl w:val="0"/>
          <w:lang w:val="it-IT"/>
        </w:rPr>
        <w:t>ambiente; al momento dell</w:t>
      </w:r>
      <w:r>
        <w:rPr>
          <w:rFonts w:hAnsi="Book Antiqua" w:hint="default"/>
          <w:rtl w:val="0"/>
          <w:lang w:val="it-IT"/>
        </w:rPr>
        <w:t>’</w:t>
      </w:r>
      <w:r>
        <w:rPr>
          <w:rFonts w:ascii="Book Antiqua"/>
          <w:rtl w:val="0"/>
          <w:lang w:val="it-IT"/>
        </w:rPr>
        <w:t>audizione AMA aveva ricevuto solo 6,3 milioni di euro dalla regione e 6,7 milioni dal Ministero dell</w:t>
      </w:r>
      <w:r>
        <w:rPr>
          <w:rFonts w:hAnsi="Book Antiqua" w:hint="default"/>
          <w:rtl w:val="0"/>
          <w:lang w:val="it-IT"/>
        </w:rPr>
        <w:t>’</w:t>
      </w:r>
      <w:r>
        <w:rPr>
          <w:rFonts w:ascii="Book Antiqua"/>
          <w:rtl w:val="0"/>
          <w:lang w:val="it-IT"/>
        </w:rPr>
        <w:t>ambiente.</w:t>
      </w:r>
    </w:p>
    <w:p>
      <w:pPr>
        <w:pStyle w:val="Plain Text"/>
        <w:ind w:left="567" w:right="567" w:firstLine="0"/>
        <w:jc w:val="both"/>
        <w:rPr>
          <w:rFonts w:ascii="Book Antiqua" w:cs="Book Antiqua" w:hAnsi="Book Antiqua" w:eastAsia="Book Antiqua"/>
        </w:rPr>
      </w:pPr>
      <w:r>
        <w:rPr>
          <w:rFonts w:ascii="Book Antiqua"/>
          <w:rtl w:val="0"/>
          <w:lang w:val="it-IT"/>
        </w:rPr>
        <w:t xml:space="preserve">Il rilevante tema delle fideiussioni e delle risorse per le gestioni </w:t>
      </w:r>
      <w:r>
        <w:rPr>
          <w:rFonts w:ascii="Book Antiqua"/>
          <w:i w:val="1"/>
          <w:iCs w:val="1"/>
          <w:rtl w:val="0"/>
          <w:lang w:val="it-IT"/>
        </w:rPr>
        <w:t>post mortem</w:t>
      </w:r>
      <w:r>
        <w:rPr>
          <w:rFonts w:hAnsi="Book Antiqua" w:hint="default"/>
          <w:rtl w:val="0"/>
          <w:lang w:val="it-IT"/>
        </w:rPr>
        <w:t xml:space="preserve"> è </w:t>
      </w:r>
      <w:r>
        <w:rPr>
          <w:rFonts w:ascii="Book Antiqua"/>
          <w:rtl w:val="0"/>
          <w:lang w:val="it-IT"/>
        </w:rPr>
        <w:t>stato oggetto di richieste di AMA alla regione Lazio, che, secondo quanto dichiarato alla Commissione dal presidente di AMA ha dato esplicite rassicurazioni all</w:t>
      </w:r>
      <w:r>
        <w:rPr>
          <w:rFonts w:hAnsi="Book Antiqua" w:hint="default"/>
          <w:rtl w:val="0"/>
          <w:lang w:val="it-IT"/>
        </w:rPr>
        <w:t>’</w:t>
      </w:r>
      <w:r>
        <w:rPr>
          <w:rFonts w:ascii="Book Antiqua"/>
          <w:rtl w:val="0"/>
          <w:lang w:val="it-IT"/>
        </w:rPr>
        <w:t>azienda (senza tuttavia fornire alcuna documentazione).</w:t>
      </w:r>
    </w:p>
    <w:p>
      <w:pPr>
        <w:pStyle w:val="Normal"/>
        <w:ind w:left="567" w:right="567" w:firstLine="0"/>
        <w:jc w:val="both"/>
        <w:rPr>
          <w:rFonts w:ascii="Book Antiqua" w:cs="Book Antiqua" w:hAnsi="Book Antiqua" w:eastAsia="Book Antiqua"/>
        </w:rPr>
      </w:pPr>
      <w:r>
        <w:rPr>
          <w:rFonts w:ascii="Book Antiqua"/>
          <w:rtl w:val="0"/>
          <w:lang w:val="it-IT"/>
        </w:rPr>
        <w:t>A completamento di questa prima fase sono state previste per l</w:t>
      </w:r>
      <w:r>
        <w:rPr>
          <w:rFonts w:hAnsi="Book Antiqua" w:hint="default"/>
          <w:rtl w:val="0"/>
          <w:lang w:val="it-IT"/>
        </w:rPr>
        <w:t>’</w:t>
      </w:r>
      <w:r>
        <w:rPr>
          <w:rFonts w:ascii="Book Antiqua"/>
          <w:rtl w:val="0"/>
          <w:lang w:val="it-IT"/>
        </w:rPr>
        <w:t>8 settembre 2015 le audizioni del presidente della regione e dell</w:t>
      </w:r>
      <w:r>
        <w:rPr>
          <w:rFonts w:hAnsi="Book Antiqua" w:hint="default"/>
          <w:rtl w:val="0"/>
          <w:lang w:val="it-IT"/>
        </w:rPr>
        <w:t>’</w:t>
      </w:r>
      <w:r>
        <w:rPr>
          <w:rFonts w:ascii="Book Antiqua"/>
          <w:rtl w:val="0"/>
          <w:lang w:val="it-IT"/>
        </w:rPr>
        <w:t>allora sindaco di Roma, che la Commissione era in grado di svolgere con consapevolezza di una serie di problemi gi</w:t>
      </w:r>
      <w:r>
        <w:rPr>
          <w:rFonts w:hAnsi="Book Antiqua" w:hint="default"/>
          <w:rtl w:val="0"/>
          <w:lang w:val="it-IT"/>
        </w:rPr>
        <w:t xml:space="preserve">à </w:t>
      </w:r>
      <w:r>
        <w:rPr>
          <w:rFonts w:ascii="Book Antiqua"/>
          <w:rtl w:val="0"/>
          <w:lang w:val="it-IT"/>
        </w:rPr>
        <w:t>emersi.</w:t>
      </w:r>
    </w:p>
    <w:p>
      <w:pPr>
        <w:pStyle w:val="Normal"/>
        <w:ind w:left="567" w:right="567" w:firstLine="0"/>
        <w:jc w:val="both"/>
        <w:rPr>
          <w:rFonts w:ascii="Book Antiqua" w:cs="Book Antiqua" w:hAnsi="Book Antiqua" w:eastAsia="Book Antiqua"/>
        </w:rPr>
      </w:pPr>
      <w:r>
        <w:rPr>
          <w:rFonts w:ascii="Book Antiqua"/>
          <w:rtl w:val="0"/>
          <w:lang w:val="it-IT"/>
        </w:rPr>
        <w:t>Per quanto riguarda l</w:t>
      </w:r>
      <w:r>
        <w:rPr>
          <w:rFonts w:hAnsi="Book Antiqua" w:hint="default"/>
          <w:rtl w:val="0"/>
          <w:lang w:val="it-IT"/>
        </w:rPr>
        <w:t>’</w:t>
      </w:r>
      <w:r>
        <w:rPr>
          <w:rFonts w:ascii="Book Antiqua"/>
          <w:rtl w:val="0"/>
          <w:lang w:val="it-IT"/>
        </w:rPr>
        <w:t>audizione del presidente della regione, Nicola Zingaretti, accompagnato dall</w:t>
      </w:r>
      <w:r>
        <w:rPr>
          <w:rFonts w:hAnsi="Book Antiqua" w:hint="default"/>
          <w:rtl w:val="0"/>
          <w:lang w:val="it-IT"/>
        </w:rPr>
        <w:t>’</w:t>
      </w:r>
      <w:r>
        <w:rPr>
          <w:rFonts w:ascii="Book Antiqua"/>
          <w:rtl w:val="0"/>
          <w:lang w:val="it-IT"/>
        </w:rPr>
        <w:t>allora assessore all</w:t>
      </w:r>
      <w:r>
        <w:rPr>
          <w:rFonts w:hAnsi="Book Antiqua" w:hint="default"/>
          <w:rtl w:val="0"/>
          <w:lang w:val="it-IT"/>
        </w:rPr>
        <w:t>’</w:t>
      </w:r>
      <w:r>
        <w:rPr>
          <w:rFonts w:ascii="Book Antiqua"/>
          <w:rtl w:val="0"/>
          <w:lang w:val="it-IT"/>
        </w:rPr>
        <w:t xml:space="preserve">ambiente, Michele Civita, la Commissione aveva ipotizzato di procedere a un vero e proprio </w:t>
      </w:r>
      <w:r>
        <w:rPr>
          <w:rFonts w:hAnsi="Book Antiqua" w:hint="default"/>
          <w:rtl w:val="0"/>
          <w:lang w:val="it-IT"/>
        </w:rPr>
        <w:t>“</w:t>
      </w:r>
      <w:r>
        <w:rPr>
          <w:rFonts w:ascii="Book Antiqua"/>
          <w:rtl w:val="0"/>
          <w:lang w:val="it-IT"/>
        </w:rPr>
        <w:t>esame</w:t>
      </w:r>
      <w:r>
        <w:rPr>
          <w:rFonts w:hAnsi="Book Antiqua" w:hint="default"/>
          <w:rtl w:val="0"/>
          <w:lang w:val="it-IT"/>
        </w:rPr>
        <w:t>”</w:t>
      </w:r>
      <w:r>
        <w:rPr>
          <w:rFonts w:ascii="Book Antiqua"/>
          <w:rtl w:val="0"/>
          <w:lang w:val="it-IT"/>
        </w:rPr>
        <w:t xml:space="preserve">, senza delle lunghe </w:t>
      </w:r>
      <w:r>
        <w:rPr>
          <w:rFonts w:hAnsi="Book Antiqua" w:hint="default"/>
          <w:rtl w:val="0"/>
          <w:lang w:val="it-IT"/>
        </w:rPr>
        <w:t>“</w:t>
      </w:r>
      <w:r>
        <w:rPr>
          <w:rFonts w:ascii="Book Antiqua"/>
          <w:rtl w:val="0"/>
          <w:lang w:val="it-IT"/>
        </w:rPr>
        <w:t>spontanee dichiarazioni</w:t>
      </w:r>
      <w:r>
        <w:rPr>
          <w:rFonts w:hAnsi="Book Antiqua" w:hint="default"/>
          <w:rtl w:val="0"/>
          <w:lang w:val="it-IT"/>
        </w:rPr>
        <w:t>”</w:t>
      </w:r>
      <w:r>
        <w:rPr>
          <w:rFonts w:ascii="Book Antiqua"/>
          <w:rtl w:val="0"/>
          <w:lang w:val="it-IT"/>
        </w:rPr>
        <w:t>, riproduttive o non dei testi scritti inviati alla Commissione in vista dell</w:t>
      </w:r>
      <w:r>
        <w:rPr>
          <w:rFonts w:hAnsi="Book Antiqua" w:hint="default"/>
          <w:rtl w:val="0"/>
          <w:lang w:val="it-IT"/>
        </w:rPr>
        <w:t>’</w:t>
      </w:r>
      <w:r>
        <w:rPr>
          <w:rFonts w:ascii="Book Antiqua"/>
          <w:rtl w:val="0"/>
          <w:lang w:val="it-IT"/>
        </w:rPr>
        <w:t>audizione bens</w:t>
      </w:r>
      <w:r>
        <w:rPr>
          <w:rFonts w:hAnsi="Book Antiqua" w:hint="default"/>
          <w:rtl w:val="0"/>
          <w:lang w:val="it-IT"/>
        </w:rPr>
        <w:t xml:space="preserve">ì </w:t>
      </w:r>
      <w:r>
        <w:rPr>
          <w:rFonts w:ascii="Book Antiqua"/>
          <w:rtl w:val="0"/>
          <w:lang w:val="it-IT"/>
        </w:rPr>
        <w:t>domande specifiche a risposta immediata, elaborate dalla Commissione in relazione a una altrettanto preventiva pianificazione dei propri obiettivi conoscitivi.</w:t>
      </w:r>
    </w:p>
    <w:p>
      <w:pPr>
        <w:pStyle w:val="Normal"/>
        <w:ind w:left="567" w:right="567" w:firstLine="0"/>
        <w:jc w:val="both"/>
        <w:rPr>
          <w:rFonts w:ascii="Book Antiqua" w:cs="Book Antiqua" w:hAnsi="Book Antiqua" w:eastAsia="Book Antiqua"/>
        </w:rPr>
      </w:pPr>
      <w:r>
        <w:rPr>
          <w:rFonts w:ascii="Book Antiqua"/>
          <w:rtl w:val="0"/>
          <w:lang w:val="it-IT"/>
        </w:rPr>
        <w:t>L</w:t>
      </w:r>
      <w:r>
        <w:rPr>
          <w:rFonts w:hAnsi="Book Antiqua" w:hint="default"/>
          <w:rtl w:val="0"/>
          <w:lang w:val="it-IT"/>
        </w:rPr>
        <w:t>’</w:t>
      </w:r>
      <w:r>
        <w:rPr>
          <w:rFonts w:ascii="Book Antiqua"/>
          <w:rtl w:val="0"/>
          <w:lang w:val="it-IT"/>
        </w:rPr>
        <w:t xml:space="preserve">audizione si </w:t>
      </w:r>
      <w:r>
        <w:rPr>
          <w:rFonts w:hAnsi="Book Antiqua" w:hint="default"/>
          <w:rtl w:val="0"/>
          <w:lang w:val="it-IT"/>
        </w:rPr>
        <w:t xml:space="preserve">è </w:t>
      </w:r>
      <w:r>
        <w:rPr>
          <w:rFonts w:ascii="Book Antiqua"/>
          <w:rtl w:val="0"/>
          <w:lang w:val="it-IT"/>
        </w:rPr>
        <w:t xml:space="preserve">svolta in forma </w:t>
      </w:r>
      <w:r>
        <w:rPr>
          <w:rFonts w:hAnsi="Book Antiqua" w:hint="default"/>
          <w:rtl w:val="0"/>
          <w:lang w:val="it-IT"/>
        </w:rPr>
        <w:t>“</w:t>
      </w:r>
      <w:r>
        <w:rPr>
          <w:rFonts w:ascii="Book Antiqua"/>
          <w:rtl w:val="0"/>
          <w:lang w:val="it-IT"/>
        </w:rPr>
        <w:t>mista</w:t>
      </w:r>
      <w:r>
        <w:rPr>
          <w:rFonts w:hAnsi="Book Antiqua" w:hint="default"/>
          <w:rtl w:val="0"/>
          <w:lang w:val="it-IT"/>
        </w:rPr>
        <w:t>”</w:t>
      </w:r>
      <w:r>
        <w:rPr>
          <w:rFonts w:ascii="Book Antiqua"/>
          <w:rtl w:val="0"/>
          <w:lang w:val="it-IT"/>
        </w:rPr>
        <w:t>, poich</w:t>
      </w:r>
      <w:r>
        <w:rPr>
          <w:rFonts w:hAnsi="Book Antiqua" w:hint="default"/>
          <w:rtl w:val="0"/>
          <w:lang w:val="it-IT"/>
        </w:rPr>
        <w:t xml:space="preserve">é </w:t>
      </w:r>
      <w:r>
        <w:rPr>
          <w:rFonts w:ascii="Book Antiqua"/>
          <w:rtl w:val="0"/>
          <w:lang w:val="it-IT"/>
        </w:rPr>
        <w:t xml:space="preserve">dopo le dichiarazioni dei due auditi i parlamentari hanno ad essi rivolto una serie di circostanziate domande a cui non </w:t>
      </w:r>
      <w:r>
        <w:rPr>
          <w:rFonts w:hAnsi="Book Antiqua" w:hint="default"/>
          <w:rtl w:val="0"/>
          <w:lang w:val="it-IT"/>
        </w:rPr>
        <w:t xml:space="preserve">è </w:t>
      </w:r>
      <w:r>
        <w:rPr>
          <w:rFonts w:ascii="Book Antiqua"/>
          <w:rtl w:val="0"/>
          <w:lang w:val="it-IT"/>
        </w:rPr>
        <w:t>seguita immediata risposta.</w:t>
      </w:r>
    </w:p>
    <w:p>
      <w:pPr>
        <w:pStyle w:val="Normal"/>
        <w:ind w:left="567" w:right="567" w:firstLine="0"/>
        <w:jc w:val="both"/>
        <w:rPr>
          <w:rFonts w:ascii="Book Antiqua" w:cs="Book Antiqua" w:hAnsi="Book Antiqua" w:eastAsia="Book Antiqua"/>
        </w:rPr>
      </w:pPr>
      <w:r>
        <w:rPr>
          <w:rFonts w:ascii="Book Antiqua"/>
          <w:rtl w:val="0"/>
          <w:lang w:val="it-IT"/>
        </w:rPr>
        <w:t>E</w:t>
      </w:r>
      <w:r>
        <w:rPr>
          <w:rFonts w:hAnsi="Book Antiqua" w:hint="default"/>
          <w:rtl w:val="0"/>
          <w:lang w:val="it-IT"/>
        </w:rPr>
        <w:t xml:space="preserve">’ </w:t>
      </w:r>
      <w:r>
        <w:rPr>
          <w:rFonts w:ascii="Book Antiqua"/>
          <w:rtl w:val="0"/>
          <w:lang w:val="it-IT"/>
        </w:rPr>
        <w:t>certamente possibile che ad alcune domande gli auditi/esaminati non siano stati in grado di rispondere al momento; ma a questo proposito si pu</w:t>
      </w:r>
      <w:r>
        <w:rPr>
          <w:rFonts w:hAnsi="Book Antiqua" w:hint="default"/>
          <w:rtl w:val="0"/>
          <w:lang w:val="it-IT"/>
        </w:rPr>
        <w:t xml:space="preserve">ò </w:t>
      </w:r>
      <w:r>
        <w:rPr>
          <w:rFonts w:ascii="Book Antiqua"/>
          <w:rtl w:val="0"/>
          <w:lang w:val="it-IT"/>
        </w:rPr>
        <w:t>osservare che il grado di preparazione dell</w:t>
      </w:r>
      <w:r>
        <w:rPr>
          <w:rFonts w:hAnsi="Book Antiqua" w:hint="default"/>
          <w:rtl w:val="0"/>
          <w:lang w:val="it-IT"/>
        </w:rPr>
        <w:t>’</w:t>
      </w:r>
      <w:r>
        <w:rPr>
          <w:rFonts w:ascii="Book Antiqua"/>
          <w:rtl w:val="0"/>
          <w:lang w:val="it-IT"/>
        </w:rPr>
        <w:t>esaminato dovrebbe essere tendenzialmente adeguato e tale da ridurre al minimo le domande senza risposta: si tratta di soggetti per tempo avvisati della convocazione da parte di una Commissione parlamentare d</w:t>
      </w:r>
      <w:r>
        <w:rPr>
          <w:rFonts w:hAnsi="Book Antiqua" w:hint="default"/>
          <w:rtl w:val="0"/>
          <w:lang w:val="it-IT"/>
        </w:rPr>
        <w:t>’</w:t>
      </w:r>
      <w:r>
        <w:rPr>
          <w:rFonts w:ascii="Book Antiqua"/>
          <w:rtl w:val="0"/>
          <w:lang w:val="it-IT"/>
        </w:rPr>
        <w:t>inchiesta il cui oggetto, individuato nella legge istitutiva 7 gennaio 2014 n. 1, all</w:t>
      </w:r>
      <w:r>
        <w:rPr>
          <w:rFonts w:hAnsi="Book Antiqua" w:hint="default"/>
          <w:rtl w:val="0"/>
          <w:lang w:val="it-IT"/>
        </w:rPr>
        <w:t>’</w:t>
      </w:r>
      <w:r>
        <w:rPr>
          <w:rFonts w:ascii="Book Antiqua"/>
          <w:rtl w:val="0"/>
          <w:lang w:val="it-IT"/>
        </w:rPr>
        <w:t xml:space="preserve">articolo 1, </w:t>
      </w:r>
      <w:r>
        <w:rPr>
          <w:rFonts w:hAnsi="Book Antiqua" w:hint="default"/>
          <w:rtl w:val="0"/>
          <w:lang w:val="it-IT"/>
        </w:rPr>
        <w:t xml:space="preserve">è </w:t>
      </w:r>
      <w:r>
        <w:rPr>
          <w:rFonts w:ascii="Book Antiqua"/>
          <w:rtl w:val="0"/>
          <w:lang w:val="it-IT"/>
        </w:rPr>
        <w:t>estremamente chiaro; ed essi hanno la possibilit</w:t>
      </w:r>
      <w:r>
        <w:rPr>
          <w:rFonts w:hAnsi="Book Antiqua" w:hint="default"/>
          <w:rtl w:val="0"/>
          <w:lang w:val="it-IT"/>
        </w:rPr>
        <w:t xml:space="preserve">à </w:t>
      </w:r>
      <w:r>
        <w:rPr>
          <w:rFonts w:ascii="Book Antiqua"/>
          <w:rtl w:val="0"/>
          <w:lang w:val="it-IT"/>
        </w:rPr>
        <w:t>(ampiamente esercitata in concreto nell</w:t>
      </w:r>
      <w:r>
        <w:rPr>
          <w:rFonts w:hAnsi="Book Antiqua" w:hint="default"/>
          <w:rtl w:val="0"/>
          <w:lang w:val="it-IT"/>
        </w:rPr>
        <w:t>’</w:t>
      </w:r>
      <w:r>
        <w:rPr>
          <w:rFonts w:ascii="Book Antiqua"/>
          <w:rtl w:val="0"/>
          <w:lang w:val="it-IT"/>
        </w:rPr>
        <w:t>esperienza di attivit</w:t>
      </w:r>
      <w:r>
        <w:rPr>
          <w:rFonts w:hAnsi="Book Antiqua" w:hint="default"/>
          <w:rtl w:val="0"/>
          <w:lang w:val="it-IT"/>
        </w:rPr>
        <w:t xml:space="preserve">à </w:t>
      </w:r>
      <w:r>
        <w:rPr>
          <w:rFonts w:ascii="Book Antiqua"/>
          <w:rtl w:val="0"/>
          <w:lang w:val="it-IT"/>
        </w:rPr>
        <w:t>della Commissione) di farsi accompagnare ed assistere da tecnici della materia.</w:t>
      </w:r>
    </w:p>
    <w:p>
      <w:pPr>
        <w:pStyle w:val="Normal"/>
        <w:ind w:left="567" w:right="567" w:firstLine="0"/>
        <w:jc w:val="both"/>
        <w:rPr>
          <w:rFonts w:ascii="Book Antiqua" w:cs="Book Antiqua" w:hAnsi="Book Antiqua" w:eastAsia="Book Antiqua"/>
          <w:color w:val="262626"/>
          <w:u w:color="262626"/>
        </w:rPr>
      </w:pPr>
      <w:r>
        <w:rPr>
          <w:rFonts w:ascii="Book Antiqua"/>
          <w:rtl w:val="0"/>
          <w:lang w:val="it-IT"/>
        </w:rPr>
        <w:t>Invero  la situazione all</w:t>
      </w:r>
      <w:r>
        <w:rPr>
          <w:rFonts w:hAnsi="Book Antiqua" w:hint="default"/>
          <w:rtl w:val="0"/>
          <w:lang w:val="it-IT"/>
        </w:rPr>
        <w:t>’</w:t>
      </w:r>
      <w:r>
        <w:rPr>
          <w:rFonts w:ascii="Book Antiqua"/>
          <w:rtl w:val="0"/>
          <w:lang w:val="it-IT"/>
        </w:rPr>
        <w:t>epoca di quella audizione era per l</w:t>
      </w:r>
      <w:r>
        <w:rPr>
          <w:rFonts w:hAnsi="Book Antiqua" w:hint="default"/>
          <w:rtl w:val="0"/>
          <w:lang w:val="it-IT"/>
        </w:rPr>
        <w:t>’</w:t>
      </w:r>
      <w:r>
        <w:rPr>
          <w:rFonts w:ascii="Book Antiqua"/>
          <w:rtl w:val="0"/>
          <w:lang w:val="it-IT"/>
        </w:rPr>
        <w:t xml:space="preserve">istituzione regionale concentrata su due obiettivi di larga massima, enunciati dal presidente: </w:t>
      </w:r>
      <w:r>
        <w:rPr>
          <w:rFonts w:hAnsi="Book Antiqua" w:hint="default"/>
          <w:color w:val="262626"/>
          <w:u w:color="262626"/>
          <w:rtl w:val="0"/>
          <w:lang w:val="it-IT"/>
        </w:rPr>
        <w:t>“</w:t>
      </w:r>
      <w:r>
        <w:rPr>
          <w:rFonts w:ascii="Book Antiqua"/>
          <w:color w:val="262626"/>
          <w:u w:color="262626"/>
          <w:rtl w:val="0"/>
          <w:lang w:val="it-IT"/>
        </w:rPr>
        <w:t xml:space="preserve">in primo luogo continuare a lavorare per far rientrare la nostra regione nel pieno rispetto delle normative italiane ed europee; in secondo luogo all'impegno, anche alla luce delle situazioni critiche riscontrate, per inaugurare un nuovo ciclo nella gestione dei rifiuti, portando la regione </w:t>
      </w:r>
      <w:r>
        <w:rPr>
          <w:rFonts w:hAnsi="Book Antiqua" w:hint="default"/>
          <w:color w:val="262626"/>
          <w:u w:color="262626"/>
          <w:rtl w:val="0"/>
          <w:lang w:val="it-IT"/>
        </w:rPr>
        <w:t xml:space="preserve">– </w:t>
      </w:r>
      <w:r>
        <w:rPr>
          <w:rFonts w:ascii="Book Antiqua"/>
          <w:color w:val="262626"/>
          <w:u w:color="262626"/>
          <w:rtl w:val="0"/>
          <w:lang w:val="it-IT"/>
        </w:rPr>
        <w:t>e in particolare la citt</w:t>
      </w:r>
      <w:r>
        <w:rPr>
          <w:rFonts w:hAnsi="Book Antiqua" w:hint="default"/>
          <w:color w:val="262626"/>
          <w:u w:color="262626"/>
          <w:rtl w:val="0"/>
          <w:lang w:val="it-IT"/>
        </w:rPr>
        <w:t xml:space="preserve">à </w:t>
      </w:r>
      <w:r>
        <w:rPr>
          <w:rFonts w:ascii="Book Antiqua"/>
          <w:color w:val="262626"/>
          <w:u w:color="262626"/>
          <w:rtl w:val="0"/>
          <w:lang w:val="it-IT"/>
        </w:rPr>
        <w:t xml:space="preserve">di Roma </w:t>
      </w:r>
      <w:r>
        <w:rPr>
          <w:rFonts w:hAnsi="Book Antiqua" w:hint="default"/>
          <w:color w:val="262626"/>
          <w:u w:color="262626"/>
          <w:rtl w:val="0"/>
          <w:lang w:val="it-IT"/>
        </w:rPr>
        <w:t xml:space="preserve">– </w:t>
      </w:r>
      <w:r>
        <w:rPr>
          <w:rFonts w:ascii="Book Antiqua"/>
          <w:color w:val="262626"/>
          <w:u w:color="262626"/>
          <w:rtl w:val="0"/>
          <w:lang w:val="it-IT"/>
        </w:rPr>
        <w:t xml:space="preserve">fuori da quella che </w:t>
      </w:r>
      <w:r>
        <w:rPr>
          <w:rFonts w:hAnsi="Book Antiqua" w:hint="default"/>
          <w:color w:val="262626"/>
          <w:u w:color="262626"/>
          <w:rtl w:val="0"/>
          <w:lang w:val="it-IT"/>
        </w:rPr>
        <w:t xml:space="preserve">è </w:t>
      </w:r>
      <w:r>
        <w:rPr>
          <w:rFonts w:ascii="Book Antiqua"/>
          <w:color w:val="262626"/>
          <w:u w:color="262626"/>
          <w:rtl w:val="0"/>
          <w:lang w:val="it-IT"/>
        </w:rPr>
        <w:t xml:space="preserve">stata definita </w:t>
      </w:r>
      <w:r>
        <w:rPr>
          <w:rFonts w:hAnsi="Book Antiqua" w:hint="default"/>
          <w:color w:val="262626"/>
          <w:u w:color="262626"/>
          <w:rtl w:val="0"/>
          <w:lang w:val="it-IT"/>
        </w:rPr>
        <w:t>«</w:t>
      </w:r>
      <w:r>
        <w:rPr>
          <w:rFonts w:ascii="Book Antiqua"/>
          <w:color w:val="262626"/>
          <w:u w:color="262626"/>
          <w:rtl w:val="0"/>
          <w:lang w:val="it-IT"/>
        </w:rPr>
        <w:t>emergenza</w:t>
      </w:r>
      <w:r>
        <w:rPr>
          <w:rFonts w:hAnsi="Book Antiqua" w:hint="default"/>
          <w:color w:val="262626"/>
          <w:u w:color="262626"/>
          <w:rtl w:val="0"/>
          <w:lang w:val="it-IT"/>
        </w:rPr>
        <w:t xml:space="preserve">» </w:t>
      </w:r>
      <w:r>
        <w:rPr>
          <w:rFonts w:ascii="Book Antiqua"/>
          <w:color w:val="262626"/>
          <w:u w:color="262626"/>
          <w:rtl w:val="0"/>
          <w:lang w:val="it-IT"/>
        </w:rPr>
        <w:t xml:space="preserve">o </w:t>
      </w:r>
      <w:r>
        <w:rPr>
          <w:rFonts w:hAnsi="Book Antiqua" w:hint="default"/>
          <w:color w:val="262626"/>
          <w:u w:color="262626"/>
          <w:rtl w:val="0"/>
          <w:lang w:val="it-IT"/>
        </w:rPr>
        <w:t>«</w:t>
      </w:r>
      <w:r>
        <w:rPr>
          <w:rFonts w:ascii="Book Antiqua"/>
          <w:color w:val="262626"/>
          <w:u w:color="262626"/>
          <w:rtl w:val="0"/>
          <w:lang w:val="it-IT"/>
        </w:rPr>
        <w:t>rischio di emergenza</w:t>
      </w:r>
      <w:r>
        <w:rPr>
          <w:rFonts w:hAnsi="Book Antiqua" w:hint="default"/>
          <w:color w:val="262626"/>
          <w:u w:color="262626"/>
          <w:rtl w:val="0"/>
          <w:lang w:val="it-IT"/>
        </w:rPr>
        <w:t>»</w:t>
      </w:r>
      <w:r>
        <w:rPr>
          <w:rFonts w:ascii="Book Antiqua"/>
          <w:color w:val="262626"/>
          <w:u w:color="262626"/>
          <w:rtl w:val="0"/>
          <w:lang w:val="it-IT"/>
        </w:rPr>
        <w:t>, proseguendo con un'azione coordinata per il raggiungimento degli obiettivi strategici della prevenzione, della promozione del riutilizzo, al fine di un aumento deciso della raccolta differenziata e per una forte riduzione del conferimento in discarica</w:t>
      </w:r>
      <w:r>
        <w:rPr>
          <w:rFonts w:hAnsi="Book Antiqua" w:hint="default"/>
          <w:color w:val="262626"/>
          <w:u w:color="262626"/>
          <w:rtl w:val="0"/>
          <w:lang w:val="it-IT"/>
        </w:rPr>
        <w:t>”</w:t>
      </w:r>
      <w:r>
        <w:rPr>
          <w:rFonts w:ascii="Book Antiqua"/>
          <w:color w:val="262626"/>
          <w:u w:color="262626"/>
          <w:rtl w:val="0"/>
          <w:lang w:val="it-IT"/>
        </w:rPr>
        <w:t>.</w:t>
      </w:r>
    </w:p>
    <w:p>
      <w:pPr>
        <w:pStyle w:val="Normal"/>
        <w:ind w:left="567" w:right="567" w:firstLine="0"/>
        <w:jc w:val="both"/>
        <w:rPr>
          <w:rFonts w:ascii="Book Antiqua" w:cs="Book Antiqua" w:hAnsi="Book Antiqua" w:eastAsia="Book Antiqua"/>
          <w:color w:val="262626"/>
          <w:u w:color="262626"/>
        </w:rPr>
      </w:pPr>
      <w:r>
        <w:rPr>
          <w:rFonts w:ascii="Book Antiqua"/>
          <w:color w:val="262626"/>
          <w:u w:color="262626"/>
          <w:rtl w:val="0"/>
          <w:lang w:val="it-IT"/>
        </w:rPr>
        <w:t>La situazione conseguente alla chiusura di Malagrotta, nel periodo precedente all</w:t>
      </w:r>
      <w:r>
        <w:rPr>
          <w:rFonts w:hAnsi="Book Antiqua" w:hint="default"/>
          <w:color w:val="262626"/>
          <w:u w:color="262626"/>
          <w:rtl w:val="0"/>
          <w:lang w:val="it-IT"/>
        </w:rPr>
        <w:t>’</w:t>
      </w:r>
      <w:r>
        <w:rPr>
          <w:rFonts w:ascii="Book Antiqua"/>
          <w:color w:val="262626"/>
          <w:u w:color="262626"/>
          <w:rtl w:val="0"/>
          <w:lang w:val="it-IT"/>
        </w:rPr>
        <w:t>avvio delle attivit</w:t>
      </w:r>
      <w:r>
        <w:rPr>
          <w:rFonts w:hAnsi="Book Antiqua" w:hint="default"/>
          <w:color w:val="262626"/>
          <w:u w:color="262626"/>
          <w:rtl w:val="0"/>
          <w:lang w:val="it-IT"/>
        </w:rPr>
        <w:t xml:space="preserve">à </w:t>
      </w:r>
      <w:r>
        <w:rPr>
          <w:rFonts w:ascii="Book Antiqua"/>
          <w:color w:val="262626"/>
          <w:u w:color="262626"/>
          <w:rtl w:val="0"/>
          <w:lang w:val="it-IT"/>
        </w:rPr>
        <w:t>istruttorie della Commissione viene dunque descritta come in evoluzione tendenzialmente positiva e conforme a norma:</w:t>
      </w:r>
    </w:p>
    <w:p>
      <w:pPr>
        <w:pStyle w:val="Normal"/>
        <w:widowControl w:val="0"/>
        <w:ind w:left="567" w:right="567" w:firstLine="0"/>
        <w:jc w:val="both"/>
        <w:rPr>
          <w:rFonts w:ascii="Book Antiqua" w:cs="Book Antiqua" w:hAnsi="Book Antiqua" w:eastAsia="Book Antiqua"/>
          <w:color w:val="262626"/>
          <w:u w:color="262626"/>
        </w:rPr>
      </w:pPr>
      <w:r>
        <w:rPr>
          <w:rFonts w:hAnsi="Book Antiqua" w:hint="default"/>
          <w:color w:val="262626"/>
          <w:u w:color="262626"/>
          <w:rtl w:val="0"/>
          <w:lang w:val="it-IT"/>
        </w:rPr>
        <w:t>“</w:t>
      </w:r>
      <w:r>
        <w:rPr>
          <w:rFonts w:ascii="Book Antiqua"/>
          <w:color w:val="262626"/>
          <w:u w:color="262626"/>
          <w:rtl w:val="0"/>
          <w:lang w:val="it-IT"/>
        </w:rPr>
        <w:t>la discarica di Malagrotta ha ricevuto solo rifiuti trattati dagli impianti. Per conseguire e aiutare questo risultato la citt</w:t>
      </w:r>
      <w:r>
        <w:rPr>
          <w:rFonts w:hAnsi="Book Antiqua" w:hint="default"/>
          <w:color w:val="262626"/>
          <w:u w:color="262626"/>
          <w:rtl w:val="0"/>
          <w:lang w:val="it-IT"/>
        </w:rPr>
        <w:t xml:space="preserve">à </w:t>
      </w:r>
      <w:r>
        <w:rPr>
          <w:rFonts w:ascii="Book Antiqua"/>
          <w:color w:val="262626"/>
          <w:u w:color="262626"/>
          <w:rtl w:val="0"/>
          <w:lang w:val="it-IT"/>
        </w:rPr>
        <w:t>di Roma ha utilizzato altri impianti del Lazio: quello di Viterbo, di Colfelice in provincia di Frosinone e di Albano Laziale; contemporaneamente, attraverso due accordi interregionali sottoscritti dalla regione, quote residue sono state trasferite in Toscana e in Abruzzo. Tra dicembre 2013 e gennaio 2014 Roma ha consolidato questo processo, utilizzando appieno i suoi impianti, rilanciando la strategia della raccolta differenziata; questa azione di consolidamento e in parte di autonomia del territorio romano ha aiutato la regione Lazio ad affrontare con determinazione, ma anche con formali diffide ai gestori del ciclo e ai comuni, problemi relativi al corretto smaltimento dei rifiuti nel resto del territorio. Queste diffide, rese possibili da una liberazione del tema dei siti di Roma e degli altri siti regionali avvenuta dopo la chiusura definitiva di Malagrotta, ci hanno permesso di avviare una trasformazione profonda. Dal 31 gennaio 2014 sono terminati i conferimenti nella discarica di Bracciano, a Cupinoro; sempre dal 31 gennaio 2014 nella discarica di Civitavecchia, in localit</w:t>
      </w:r>
      <w:r>
        <w:rPr>
          <w:rFonts w:hAnsi="Book Antiqua" w:hint="default"/>
          <w:color w:val="262626"/>
          <w:u w:color="262626"/>
          <w:rtl w:val="0"/>
          <w:lang w:val="it-IT"/>
        </w:rPr>
        <w:t xml:space="preserve">à </w:t>
      </w:r>
      <w:r>
        <w:rPr>
          <w:rFonts w:ascii="Book Antiqua"/>
          <w:color w:val="262626"/>
          <w:u w:color="262626"/>
          <w:rtl w:val="0"/>
          <w:lang w:val="it-IT"/>
        </w:rPr>
        <w:t xml:space="preserve">Crepacuore, avviene il conferimento nel pieno rispetto delle normative europee di materiali trattati. Il 12 febbraio 2014 sono terminati i conferimenti presso la discarica dell'Inviolata a Guidonia e, dal 27 febbraio 2014, per sei mesi, presso la discarica di Colle Fagiolata, nel comune di Colleferro, </w:t>
      </w:r>
      <w:r>
        <w:rPr>
          <w:rFonts w:hAnsi="Book Antiqua" w:hint="default"/>
          <w:color w:val="262626"/>
          <w:u w:color="262626"/>
          <w:rtl w:val="0"/>
          <w:lang w:val="it-IT"/>
        </w:rPr>
        <w:t xml:space="preserve">è </w:t>
      </w:r>
      <w:r>
        <w:rPr>
          <w:rFonts w:ascii="Book Antiqua"/>
          <w:color w:val="262626"/>
          <w:u w:color="262626"/>
          <w:rtl w:val="0"/>
          <w:lang w:val="it-IT"/>
        </w:rPr>
        <w:t xml:space="preserve">stato installato un trituratore mobile atto a separare le frazioni secca e umida del rifiuto urbano indifferenziato, con invio della frazione secca tritovagliata in discarica e della frazione umida tritovagliata presso ulteriore impianto terzo ai fini del preventivo e corretto trattamento. Si </w:t>
      </w:r>
      <w:r>
        <w:rPr>
          <w:rFonts w:hAnsi="Book Antiqua" w:hint="default"/>
          <w:color w:val="262626"/>
          <w:u w:color="262626"/>
          <w:rtl w:val="0"/>
          <w:lang w:val="it-IT"/>
        </w:rPr>
        <w:t xml:space="preserve">è </w:t>
      </w:r>
      <w:r>
        <w:rPr>
          <w:rFonts w:ascii="Book Antiqua"/>
          <w:color w:val="262626"/>
          <w:u w:color="262626"/>
          <w:rtl w:val="0"/>
          <w:lang w:val="it-IT"/>
        </w:rPr>
        <w:t>quindi pervenuti a un accordo con gli impianti dell'ATO limitrofo e al trattamento preventivo dei rifiuti per proseguire il corretto smaltimento. Il susseguirsi di queste azioni ci permette di dire che, da febbraio 2014, tutte le discariche operano nel pieno rispetto delle norme europee e italiane per il trattamento dei rifiuti; siamo stati in grado di svolgere questo lavoro, come l'intera azione di utilizzo di diffide formali nei comuni, con procedure ordinarie, senza alcun potere straordinario o commissariamento, nel frattempo scaduti, chiudendo dunque una lunghissima stagione commissariale nella gestione, che inizi</w:t>
      </w:r>
      <w:r>
        <w:rPr>
          <w:rFonts w:hAnsi="Book Antiqua" w:hint="default"/>
          <w:color w:val="262626"/>
          <w:u w:color="262626"/>
          <w:rtl w:val="0"/>
          <w:lang w:val="it-IT"/>
        </w:rPr>
        <w:t xml:space="preserve">ò </w:t>
      </w:r>
      <w:r>
        <w:rPr>
          <w:rFonts w:ascii="Book Antiqua"/>
          <w:color w:val="262626"/>
          <w:u w:color="262626"/>
          <w:rtl w:val="0"/>
          <w:lang w:val="it-IT"/>
        </w:rPr>
        <w:t xml:space="preserve">nel 1999 fino al 30 giugno 2008 e, dal 2010, come </w:t>
      </w:r>
      <w:r>
        <w:rPr>
          <w:rFonts w:hAnsi="Book Antiqua" w:hint="default"/>
          <w:color w:val="262626"/>
          <w:u w:color="262626"/>
          <w:rtl w:val="0"/>
          <w:lang w:val="it-IT"/>
        </w:rPr>
        <w:t xml:space="preserve">è </w:t>
      </w:r>
      <w:r>
        <w:rPr>
          <w:rFonts w:ascii="Book Antiqua"/>
          <w:color w:val="262626"/>
          <w:u w:color="262626"/>
          <w:rtl w:val="0"/>
          <w:lang w:val="it-IT"/>
        </w:rPr>
        <w:t>noto, per il territorio esclusivo di Roma Capitale e della provincia</w:t>
      </w:r>
      <w:r>
        <w:rPr>
          <w:rFonts w:hAnsi="Book Antiqua" w:hint="default"/>
          <w:color w:val="262626"/>
          <w:u w:color="262626"/>
          <w:rtl w:val="0"/>
          <w:lang w:val="it-IT"/>
        </w:rPr>
        <w:t>”</w:t>
      </w:r>
      <w:r>
        <w:rPr>
          <w:rFonts w:ascii="Book Antiqua"/>
          <w:color w:val="262626"/>
          <w:u w:color="262626"/>
          <w:rtl w:val="0"/>
          <w:lang w:val="it-IT"/>
        </w:rPr>
        <w:t>.</w:t>
      </w:r>
    </w:p>
    <w:p>
      <w:pPr>
        <w:pStyle w:val="Normal"/>
        <w:ind w:left="567" w:right="567" w:firstLine="0"/>
        <w:jc w:val="both"/>
        <w:rPr>
          <w:rFonts w:ascii="Book Antiqua" w:cs="Book Antiqua" w:hAnsi="Book Antiqua" w:eastAsia="Book Antiqua"/>
          <w:color w:val="262626"/>
          <w:u w:color="262626"/>
        </w:rPr>
      </w:pPr>
      <w:r>
        <w:rPr>
          <w:rFonts w:ascii="Book Antiqua"/>
          <w:color w:val="262626"/>
          <w:u w:color="262626"/>
          <w:rtl w:val="0"/>
          <w:lang w:val="it-IT"/>
        </w:rPr>
        <w:t xml:space="preserve">Se dunque da un lato </w:t>
      </w:r>
      <w:r>
        <w:rPr>
          <w:rFonts w:hAnsi="Book Antiqua" w:hint="default"/>
          <w:color w:val="262626"/>
          <w:u w:color="262626"/>
          <w:rtl w:val="0"/>
          <w:lang w:val="it-IT"/>
        </w:rPr>
        <w:t xml:space="preserve">è </w:t>
      </w:r>
      <w:r>
        <w:rPr>
          <w:rFonts w:ascii="Book Antiqua"/>
          <w:color w:val="262626"/>
          <w:u w:color="262626"/>
          <w:rtl w:val="0"/>
          <w:lang w:val="it-IT"/>
        </w:rPr>
        <w:t>data per superata la situazione emergenziale, dall</w:t>
      </w:r>
      <w:r>
        <w:rPr>
          <w:rFonts w:hAnsi="Book Antiqua" w:hint="default"/>
          <w:color w:val="262626"/>
          <w:u w:color="262626"/>
          <w:rtl w:val="0"/>
          <w:lang w:val="it-IT"/>
        </w:rPr>
        <w:t>’</w:t>
      </w:r>
      <w:r>
        <w:rPr>
          <w:rFonts w:ascii="Book Antiqua"/>
          <w:color w:val="262626"/>
          <w:u w:color="262626"/>
          <w:rtl w:val="0"/>
          <w:lang w:val="it-IT"/>
        </w:rPr>
        <w:t>altro la centralit</w:t>
      </w:r>
      <w:r>
        <w:rPr>
          <w:rFonts w:hAnsi="Book Antiqua" w:hint="default"/>
          <w:color w:val="262626"/>
          <w:u w:color="262626"/>
          <w:rtl w:val="0"/>
          <w:lang w:val="it-IT"/>
        </w:rPr>
        <w:t xml:space="preserve">à </w:t>
      </w:r>
      <w:r>
        <w:rPr>
          <w:rFonts w:ascii="Book Antiqua"/>
          <w:color w:val="262626"/>
          <w:u w:color="262626"/>
          <w:rtl w:val="0"/>
          <w:lang w:val="it-IT"/>
        </w:rPr>
        <w:t>della pianificazione impiantistica di Roma Capitale risulta evidente: e la modalit</w:t>
      </w:r>
      <w:r>
        <w:rPr>
          <w:rFonts w:hAnsi="Book Antiqua" w:hint="default"/>
          <w:color w:val="262626"/>
          <w:u w:color="262626"/>
          <w:rtl w:val="0"/>
          <w:lang w:val="it-IT"/>
        </w:rPr>
        <w:t xml:space="preserve">à </w:t>
      </w:r>
      <w:r>
        <w:rPr>
          <w:rFonts w:ascii="Book Antiqua"/>
          <w:color w:val="262626"/>
          <w:u w:color="262626"/>
          <w:rtl w:val="0"/>
          <w:lang w:val="it-IT"/>
        </w:rPr>
        <w:t>di chiusura (del tutto apparente) del ciclo dei rifiuti mediante il trasferimento fuori regione non sostenibile nel medio-lungo periodo.</w:t>
      </w:r>
    </w:p>
    <w:p>
      <w:pPr>
        <w:pStyle w:val="Normal"/>
        <w:ind w:left="567" w:right="567" w:firstLine="0"/>
        <w:jc w:val="both"/>
        <w:rPr>
          <w:rFonts w:ascii="Book Antiqua" w:cs="Book Antiqua" w:hAnsi="Book Antiqua" w:eastAsia="Book Antiqua"/>
        </w:rPr>
      </w:pPr>
      <w:r>
        <w:rPr>
          <w:rFonts w:ascii="Book Antiqua"/>
          <w:rtl w:val="0"/>
          <w:lang w:val="it-IT"/>
        </w:rPr>
        <w:t>A fronte di questa situazione, e considerata comunque la centralit</w:t>
      </w:r>
      <w:r>
        <w:rPr>
          <w:rFonts w:hAnsi="Book Antiqua" w:hint="default"/>
          <w:rtl w:val="0"/>
          <w:lang w:val="it-IT"/>
        </w:rPr>
        <w:t xml:space="preserve">à </w:t>
      </w:r>
      <w:r>
        <w:rPr>
          <w:rFonts w:ascii="Book Antiqua"/>
          <w:rtl w:val="0"/>
          <w:lang w:val="it-IT"/>
        </w:rPr>
        <w:t>delle informazioni provenienti (o che avrebbero dovuto provenire) dai rappresentanti istituzionali della regione Lazio, l</w:t>
      </w:r>
      <w:r>
        <w:rPr>
          <w:rFonts w:hAnsi="Book Antiqua" w:hint="default"/>
          <w:rtl w:val="0"/>
          <w:lang w:val="it-IT"/>
        </w:rPr>
        <w:t>’</w:t>
      </w:r>
      <w:r>
        <w:rPr>
          <w:rFonts w:ascii="Book Antiqua"/>
          <w:rtl w:val="0"/>
          <w:lang w:val="it-IT"/>
        </w:rPr>
        <w:t>indicazione data dalla Commissione e da essi recepita era nel senso di fornire documentazione integrativa e una relazione di risposta alle domande rimaste inevase nonch</w:t>
      </w:r>
      <w:r>
        <w:rPr>
          <w:rFonts w:hAnsi="Book Antiqua" w:hint="default"/>
          <w:rtl w:val="0"/>
          <w:lang w:val="it-IT"/>
        </w:rPr>
        <w:t xml:space="preserve">é </w:t>
      </w:r>
      <w:r>
        <w:rPr>
          <w:rFonts w:ascii="Book Antiqua"/>
          <w:rtl w:val="0"/>
          <w:lang w:val="it-IT"/>
        </w:rPr>
        <w:t>alle questioni emerse dall</w:t>
      </w:r>
      <w:r>
        <w:rPr>
          <w:rFonts w:hAnsi="Book Antiqua" w:hint="default"/>
          <w:rtl w:val="0"/>
          <w:lang w:val="it-IT"/>
        </w:rPr>
        <w:t>’</w:t>
      </w:r>
      <w:r>
        <w:rPr>
          <w:rFonts w:ascii="Book Antiqua"/>
          <w:rtl w:val="0"/>
          <w:lang w:val="it-IT"/>
        </w:rPr>
        <w:t>audizione anche in relazione ad altre acquisizioni della Commissione.</w:t>
      </w:r>
    </w:p>
    <w:p>
      <w:pPr>
        <w:pStyle w:val="Normal"/>
        <w:ind w:left="567" w:right="567" w:firstLine="0"/>
        <w:jc w:val="both"/>
        <w:rPr>
          <w:rFonts w:ascii="Book Antiqua" w:cs="Book Antiqua" w:hAnsi="Book Antiqua" w:eastAsia="Book Antiqua"/>
        </w:rPr>
      </w:pPr>
      <w:r>
        <w:rPr>
          <w:rFonts w:ascii="Book Antiqua"/>
          <w:rtl w:val="0"/>
          <w:lang w:val="it-IT"/>
        </w:rPr>
        <w:t>La Commissione ha inoltre provveduto a inviare al presidente della regione Lazio una richiesta articolata di risposta alle domande di cui sopra e di documentazione integrativa.</w:t>
      </w:r>
    </w:p>
    <w:p>
      <w:pPr>
        <w:pStyle w:val="Normal"/>
        <w:ind w:left="567" w:right="567" w:firstLine="0"/>
        <w:jc w:val="both"/>
        <w:rPr>
          <w:rFonts w:ascii="Book Antiqua" w:cs="Book Antiqua" w:hAnsi="Book Antiqua" w:eastAsia="Book Antiqua"/>
        </w:rPr>
      </w:pPr>
      <w:r>
        <w:rPr>
          <w:rFonts w:ascii="Book Antiqua"/>
          <w:rtl w:val="0"/>
          <w:lang w:val="it-IT"/>
        </w:rPr>
        <w:t>Le richieste sono rimaste inizialmente inevase</w:t>
      </w:r>
      <w:r>
        <w:rPr>
          <w:rFonts w:ascii="Book Antiqua" w:cs="Book Antiqua" w:hAnsi="Book Antiqua" w:eastAsia="Book Antiqua"/>
          <w:vertAlign w:val="superscript"/>
          <w:rtl w:val="0"/>
        </w:rPr>
        <w:footnoteReference w:id="12"/>
      </w:r>
      <w:r>
        <w:rPr>
          <w:rFonts w:ascii="Book Antiqua"/>
          <w:rtl w:val="0"/>
          <w:lang w:val="it-IT"/>
        </w:rPr>
        <w:t>, e solo in epoca pi</w:t>
      </w:r>
      <w:r>
        <w:rPr>
          <w:rFonts w:hAnsi="Book Antiqua" w:hint="default"/>
          <w:rtl w:val="0"/>
          <w:lang w:val="it-IT"/>
        </w:rPr>
        <w:t xml:space="preserve">ù </w:t>
      </w:r>
      <w:r>
        <w:rPr>
          <w:rFonts w:ascii="Book Antiqua"/>
          <w:rtl w:val="0"/>
          <w:lang w:val="it-IT"/>
        </w:rPr>
        <w:t>recente il nuovo assessore all</w:t>
      </w:r>
      <w:r>
        <w:rPr>
          <w:rFonts w:hAnsi="Book Antiqua" w:hint="default"/>
          <w:rtl w:val="0"/>
          <w:lang w:val="it-IT"/>
        </w:rPr>
        <w:t>’</w:t>
      </w:r>
      <w:r>
        <w:rPr>
          <w:rFonts w:ascii="Book Antiqua"/>
          <w:rtl w:val="0"/>
          <w:lang w:val="it-IT"/>
        </w:rPr>
        <w:t>ambiente ha interloquito sulle questioni poste</w:t>
      </w:r>
      <w:r>
        <w:rPr>
          <w:rFonts w:ascii="Book Antiqua Bold"/>
          <w:b w:val="1"/>
          <w:bCs w:val="1"/>
          <w:i w:val="1"/>
          <w:iCs w:val="1"/>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L</w:t>
      </w:r>
      <w:r>
        <w:rPr>
          <w:rFonts w:hAnsi="Book Antiqua" w:hint="default"/>
          <w:rtl w:val="0"/>
          <w:lang w:val="it-IT"/>
        </w:rPr>
        <w:t>’</w:t>
      </w:r>
      <w:r>
        <w:rPr>
          <w:rFonts w:ascii="Book Antiqua"/>
          <w:rtl w:val="0"/>
          <w:lang w:val="it-IT"/>
        </w:rPr>
        <w:t>interlocuzione con la regione Lazio ha infatti trovato un diverso sviluppo attraverso le successive audizioni della dirigente Flaminia Tosini e del nuovo assessore all</w:t>
      </w:r>
      <w:r>
        <w:rPr>
          <w:rFonts w:hAnsi="Book Antiqua" w:hint="default"/>
          <w:rtl w:val="0"/>
          <w:lang w:val="it-IT"/>
        </w:rPr>
        <w:t>’</w:t>
      </w:r>
      <w:r>
        <w:rPr>
          <w:rFonts w:ascii="Book Antiqua"/>
          <w:rtl w:val="0"/>
          <w:lang w:val="it-IT"/>
        </w:rPr>
        <w:t xml:space="preserve">ambiente Mauro Buschini, che, anche a seguito della produzione di documentazione, hanno corrisposto ai temi di interesse della Commissione. </w:t>
      </w:r>
    </w:p>
    <w:p>
      <w:pPr>
        <w:pStyle w:val="Normal"/>
        <w:ind w:left="567" w:right="567" w:firstLine="0"/>
        <w:jc w:val="both"/>
        <w:rPr>
          <w:rFonts w:ascii="Book Antiqua" w:cs="Book Antiqua" w:hAnsi="Book Antiqua" w:eastAsia="Book Antiqua"/>
        </w:rPr>
      </w:pPr>
      <w:r>
        <w:rPr>
          <w:rFonts w:ascii="Book Antiqua"/>
          <w:rtl w:val="0"/>
          <w:lang w:val="it-IT"/>
        </w:rPr>
        <w:t>Di ci</w:t>
      </w:r>
      <w:r>
        <w:rPr>
          <w:rFonts w:hAnsi="Book Antiqua" w:hint="default"/>
          <w:rtl w:val="0"/>
          <w:lang w:val="it-IT"/>
        </w:rPr>
        <w:t xml:space="preserve">ò </w:t>
      </w:r>
      <w:r>
        <w:rPr>
          <w:rFonts w:ascii="Book Antiqua"/>
          <w:rtl w:val="0"/>
          <w:lang w:val="it-IT"/>
        </w:rPr>
        <w:t>si dar</w:t>
      </w:r>
      <w:r>
        <w:rPr>
          <w:rFonts w:hAnsi="Book Antiqua" w:hint="default"/>
          <w:rtl w:val="0"/>
          <w:lang w:val="it-IT"/>
        </w:rPr>
        <w:t xml:space="preserve">à </w:t>
      </w:r>
      <w:r>
        <w:rPr>
          <w:rFonts w:ascii="Book Antiqua"/>
          <w:rtl w:val="0"/>
          <w:lang w:val="it-IT"/>
        </w:rPr>
        <w:t xml:space="preserve">conto nel successivo </w:t>
      </w:r>
      <w:r>
        <w:rPr>
          <w:rFonts w:hAnsi="Book Antiqua" w:hint="default"/>
          <w:rtl w:val="0"/>
          <w:lang w:val="it-IT"/>
        </w:rPr>
        <w:t xml:space="preserve">§ </w:t>
      </w:r>
      <w:r>
        <w:rPr>
          <w:rFonts w:ascii="Book Antiqua"/>
          <w:rtl w:val="0"/>
          <w:lang w:val="it-IT"/>
        </w:rPr>
        <w:t>2.3.7 .</w:t>
      </w:r>
    </w:p>
    <w:p>
      <w:pPr>
        <w:pStyle w:val="Normal"/>
        <w:ind w:left="567" w:right="567" w:firstLine="0"/>
        <w:jc w:val="both"/>
        <w:rPr>
          <w:rFonts w:ascii="Book Antiqua" w:cs="Book Antiqua" w:hAnsi="Book Antiqua" w:eastAsia="Book Antiqua"/>
        </w:rPr>
      </w:pPr>
      <w:r>
        <w:rPr>
          <w:rFonts w:ascii="Book Antiqua"/>
          <w:rtl w:val="0"/>
          <w:lang w:val="it-IT"/>
        </w:rPr>
        <w:t xml:space="preserve">Come si </w:t>
      </w:r>
      <w:r>
        <w:rPr>
          <w:rFonts w:hAnsi="Book Antiqua" w:hint="default"/>
          <w:rtl w:val="0"/>
          <w:lang w:val="it-IT"/>
        </w:rPr>
        <w:t xml:space="preserve">è </w:t>
      </w:r>
      <w:r>
        <w:rPr>
          <w:rFonts w:ascii="Book Antiqua"/>
          <w:rtl w:val="0"/>
          <w:lang w:val="it-IT"/>
        </w:rPr>
        <w:t>in parte anticipato, il sindaco pro tempore Ignazio Marino nell</w:t>
      </w:r>
      <w:r>
        <w:rPr>
          <w:rFonts w:hAnsi="Book Antiqua" w:hint="default"/>
          <w:rtl w:val="0"/>
          <w:lang w:val="it-IT"/>
        </w:rPr>
        <w:t>’</w:t>
      </w:r>
      <w:r>
        <w:rPr>
          <w:rFonts w:ascii="Book Antiqua"/>
          <w:rtl w:val="0"/>
          <w:lang w:val="it-IT"/>
        </w:rPr>
        <w:t>audizione dell</w:t>
      </w:r>
      <w:r>
        <w:rPr>
          <w:rFonts w:hAnsi="Book Antiqua" w:hint="default"/>
          <w:rtl w:val="0"/>
          <w:lang w:val="it-IT"/>
        </w:rPr>
        <w:t>’</w:t>
      </w:r>
      <w:r>
        <w:rPr>
          <w:rFonts w:ascii="Book Antiqua"/>
          <w:rtl w:val="0"/>
          <w:lang w:val="it-IT"/>
        </w:rPr>
        <w:t xml:space="preserve">8 settembre 2015 ha descritto, facendo riferimento alla situazione impiantistica della Capitale, un sistema </w:t>
      </w:r>
      <w:r>
        <w:rPr>
          <w:rFonts w:hAnsi="Book Antiqua" w:hint="default"/>
          <w:rtl w:val="0"/>
          <w:lang w:val="it-IT"/>
        </w:rPr>
        <w:t>“</w:t>
      </w:r>
      <w:r>
        <w:rPr>
          <w:rFonts w:ascii="Book Antiqua"/>
          <w:rtl w:val="0"/>
          <w:lang w:val="it-IT"/>
        </w:rPr>
        <w:t>fragile poich</w:t>
      </w:r>
      <w:r>
        <w:rPr>
          <w:rFonts w:hAnsi="Book Antiqua" w:hint="default"/>
          <w:rtl w:val="0"/>
          <w:lang w:val="it-IT"/>
        </w:rPr>
        <w:t xml:space="preserve">é </w:t>
      </w:r>
      <w:r>
        <w:rPr>
          <w:rFonts w:ascii="Book Antiqua"/>
          <w:rtl w:val="0"/>
          <w:lang w:val="it-IT"/>
        </w:rPr>
        <w:t>non presenta elementi suppletivi dimensionali o tecnici, cos</w:t>
      </w:r>
      <w:r>
        <w:rPr>
          <w:rFonts w:hAnsi="Book Antiqua" w:hint="default"/>
          <w:rtl w:val="0"/>
          <w:lang w:val="it-IT"/>
        </w:rPr>
        <w:t xml:space="preserve">ì </w:t>
      </w:r>
      <w:r>
        <w:rPr>
          <w:rFonts w:ascii="Book Antiqua"/>
          <w:rtl w:val="0"/>
          <w:lang w:val="it-IT"/>
        </w:rPr>
        <w:t>che il ciclo dei rifiuti di Roma si trova a collassare nel caso di momentanee indisponibilit</w:t>
      </w:r>
      <w:r>
        <w:rPr>
          <w:rFonts w:hAnsi="Book Antiqua" w:hint="default"/>
          <w:rtl w:val="0"/>
          <w:lang w:val="it-IT"/>
        </w:rPr>
        <w:t xml:space="preserve">à </w:t>
      </w:r>
      <w:r>
        <w:rPr>
          <w:rFonts w:ascii="Book Antiqua"/>
          <w:rtl w:val="0"/>
          <w:lang w:val="it-IT"/>
        </w:rPr>
        <w:t>di una sola linea di trattamento meccanico-biologico o di termotrattamento</w:t>
      </w:r>
      <w:r>
        <w:rPr>
          <w:rFonts w:hAnsi="Book Antiqua" w:hint="default"/>
          <w:rtl w:val="0"/>
          <w:lang w:val="it-IT"/>
        </w:rPr>
        <w:t>”</w:t>
      </w:r>
      <w:r>
        <w:rPr>
          <w:rFonts w:ascii="Book Antiqua"/>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 xml:space="preserve">Sempre il sindaco Marino evidenzia che la </w:t>
      </w:r>
      <w:r>
        <w:rPr>
          <w:rFonts w:hAnsi="Book Antiqua" w:hint="default"/>
          <w:rtl w:val="0"/>
          <w:lang w:val="it-IT"/>
        </w:rPr>
        <w:t>“</w:t>
      </w:r>
      <w:r>
        <w:rPr>
          <w:rFonts w:ascii="Book Antiqua"/>
          <w:rtl w:val="0"/>
          <w:lang w:val="it-IT"/>
        </w:rPr>
        <w:t>rigidit</w:t>
      </w:r>
      <w:r>
        <w:rPr>
          <w:rFonts w:hAnsi="Book Antiqua" w:hint="default"/>
          <w:rtl w:val="0"/>
          <w:lang w:val="it-IT"/>
        </w:rPr>
        <w:t xml:space="preserve">à </w:t>
      </w:r>
      <w:r>
        <w:rPr>
          <w:rFonts w:ascii="Book Antiqua"/>
          <w:rtl w:val="0"/>
          <w:lang w:val="it-IT"/>
        </w:rPr>
        <w:t xml:space="preserve">del sistema </w:t>
      </w:r>
      <w:r>
        <w:rPr>
          <w:rFonts w:hAnsi="Book Antiqua" w:hint="default"/>
          <w:rtl w:val="0"/>
          <w:lang w:val="it-IT"/>
        </w:rPr>
        <w:t xml:space="preserve">è </w:t>
      </w:r>
      <w:r>
        <w:rPr>
          <w:rFonts w:ascii="Book Antiqua"/>
          <w:rtl w:val="0"/>
          <w:lang w:val="it-IT"/>
        </w:rPr>
        <w:t>testimoniata dal fatto che gli impianti di trattamento meccanico-biologico sono tutti utilizzati al massimo della loro capienza, salvo episodici rallentamenti dovuti a rotture, manutenzioni o problematiche extraregionali.</w:t>
      </w:r>
      <w:r>
        <w:rPr>
          <w:rFonts w:hAnsi="Book Antiqua" w:hint="default"/>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Per altro verso viene evidenziata la precariet</w:t>
      </w:r>
      <w:r>
        <w:rPr>
          <w:rFonts w:hAnsi="Book Antiqua" w:hint="default"/>
          <w:rtl w:val="0"/>
          <w:lang w:val="it-IT"/>
        </w:rPr>
        <w:t xml:space="preserve">à </w:t>
      </w:r>
      <w:r>
        <w:rPr>
          <w:rFonts w:ascii="Book Antiqua"/>
          <w:rtl w:val="0"/>
          <w:lang w:val="it-IT"/>
        </w:rPr>
        <w:t xml:space="preserve">del sistema </w:t>
      </w:r>
      <w:r>
        <w:rPr>
          <w:rFonts w:hAnsi="Book Antiqua" w:hint="default"/>
          <w:rtl w:val="0"/>
          <w:lang w:val="it-IT"/>
        </w:rPr>
        <w:t>“</w:t>
      </w:r>
      <w:r>
        <w:rPr>
          <w:rFonts w:ascii="Book Antiqua"/>
          <w:rtl w:val="0"/>
          <w:lang w:val="it-IT"/>
        </w:rPr>
        <w:t xml:space="preserve">dovuta al fatto che l'assetto attuale </w:t>
      </w:r>
      <w:r>
        <w:rPr>
          <w:rFonts w:hAnsi="Book Antiqua" w:hint="default"/>
          <w:rtl w:val="0"/>
          <w:lang w:val="it-IT"/>
        </w:rPr>
        <w:t xml:space="preserve">è </w:t>
      </w:r>
      <w:r>
        <w:rPr>
          <w:rFonts w:ascii="Book Antiqua"/>
          <w:rtl w:val="0"/>
          <w:lang w:val="it-IT"/>
        </w:rPr>
        <w:t>tutto orientato a generare rifiuti da rifiuti dal trattamento meccanico-biologico per alimentare discariche e inceneritori, appare arcaico rispetto alle pi</w:t>
      </w:r>
      <w:r>
        <w:rPr>
          <w:rFonts w:hAnsi="Book Antiqua" w:hint="default"/>
          <w:rtl w:val="0"/>
          <w:lang w:val="it-IT"/>
        </w:rPr>
        <w:t xml:space="preserve">ù </w:t>
      </w:r>
      <w:r>
        <w:rPr>
          <w:rFonts w:ascii="Book Antiqua"/>
          <w:rtl w:val="0"/>
          <w:lang w:val="it-IT"/>
        </w:rPr>
        <w:t>recenti intenzioni dell'Unione europea e appare arcaico anche rispetto a quanto viene affermandosi nella concreta esperienza della citt</w:t>
      </w:r>
      <w:r>
        <w:rPr>
          <w:rFonts w:hAnsi="Book Antiqua" w:hint="default"/>
          <w:rtl w:val="0"/>
          <w:lang w:val="it-IT"/>
        </w:rPr>
        <w:t xml:space="preserve">à </w:t>
      </w:r>
      <w:r>
        <w:rPr>
          <w:rFonts w:ascii="Book Antiqua"/>
          <w:rtl w:val="0"/>
          <w:lang w:val="it-IT"/>
        </w:rPr>
        <w:t>di Roma, nella quale, entro il prossimo triennio, saremo vicini al 60 per cento di raccolta differenziata e i rifiuti urbani residui da trattare saranno poco pi</w:t>
      </w:r>
      <w:r>
        <w:rPr>
          <w:rFonts w:hAnsi="Book Antiqua" w:hint="default"/>
          <w:rtl w:val="0"/>
          <w:lang w:val="it-IT"/>
        </w:rPr>
        <w:t xml:space="preserve">ù </w:t>
      </w:r>
      <w:r>
        <w:rPr>
          <w:rFonts w:ascii="Book Antiqua"/>
          <w:rtl w:val="0"/>
          <w:lang w:val="it-IT"/>
        </w:rPr>
        <w:t>di 600.000 tonnellate all'anno</w:t>
      </w:r>
      <w:r>
        <w:rPr>
          <w:rFonts w:hAnsi="Book Antiqua" w:hint="default"/>
          <w:rtl w:val="0"/>
          <w:lang w:val="it-IT"/>
        </w:rPr>
        <w:t>”</w:t>
      </w:r>
      <w:r>
        <w:rPr>
          <w:rFonts w:ascii="Book Antiqua"/>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Sempre il sindaco riferendo alla Commissione sulla situazione di AMA S.p.A. come percepita dall</w:t>
      </w:r>
      <w:r>
        <w:rPr>
          <w:rFonts w:hAnsi="Book Antiqua" w:hint="default"/>
          <w:rtl w:val="0"/>
          <w:lang w:val="it-IT"/>
        </w:rPr>
        <w:t>’</w:t>
      </w:r>
      <w:r>
        <w:rPr>
          <w:rFonts w:ascii="Book Antiqua"/>
          <w:rtl w:val="0"/>
          <w:lang w:val="it-IT"/>
        </w:rPr>
        <w:t xml:space="preserve">azionista unico, collega la presenza pubblica nel ciclo dei rifiuti in antitesi alla presenza </w:t>
      </w:r>
      <w:r>
        <w:rPr>
          <w:rFonts w:hAnsi="Book Antiqua" w:hint="default"/>
          <w:rtl w:val="0"/>
          <w:lang w:val="it-IT"/>
        </w:rPr>
        <w:t>“</w:t>
      </w:r>
      <w:r>
        <w:rPr>
          <w:rFonts w:ascii="Book Antiqua"/>
          <w:rtl w:val="0"/>
          <w:lang w:val="it-IT"/>
        </w:rPr>
        <w:t>storica</w:t>
      </w:r>
      <w:r>
        <w:rPr>
          <w:rFonts w:hAnsi="Book Antiqua" w:hint="default"/>
          <w:rtl w:val="0"/>
          <w:lang w:val="it-IT"/>
        </w:rPr>
        <w:t xml:space="preserve">” </w:t>
      </w:r>
      <w:r>
        <w:rPr>
          <w:rFonts w:ascii="Book Antiqua"/>
          <w:rtl w:val="0"/>
          <w:lang w:val="it-IT"/>
        </w:rPr>
        <w:t>del privato e rileva come l</w:t>
      </w:r>
      <w:r>
        <w:rPr>
          <w:rFonts w:hAnsi="Book Antiqua" w:hint="default"/>
          <w:rtl w:val="0"/>
          <w:lang w:val="it-IT"/>
        </w:rPr>
        <w:t>’</w:t>
      </w:r>
      <w:r>
        <w:rPr>
          <w:rFonts w:ascii="Book Antiqua"/>
          <w:rtl w:val="0"/>
          <w:lang w:val="it-IT"/>
        </w:rPr>
        <w:t>incremento di efficienza e di presenza avanzata di AMA nel ciclo dei rifiuti possa essere una garanzia di legalit</w:t>
      </w:r>
      <w:r>
        <w:rPr>
          <w:rFonts w:hAnsi="Book Antiqua" w:hint="default"/>
          <w:rtl w:val="0"/>
          <w:lang w:val="it-IT"/>
        </w:rPr>
        <w:t>à</w:t>
      </w:r>
      <w:r>
        <w:rPr>
          <w:rFonts w:ascii="Book Antiqua"/>
          <w:rtl w:val="0"/>
          <w:lang w:val="it-IT"/>
        </w:rPr>
        <w:t>, a condizione di una gestione trasparente ed efficiente:</w:t>
      </w:r>
    </w:p>
    <w:p>
      <w:pPr>
        <w:pStyle w:val="Normal"/>
        <w:widowControl w:val="0"/>
        <w:ind w:left="567" w:right="567" w:firstLine="0"/>
        <w:jc w:val="both"/>
        <w:rPr>
          <w:rFonts w:ascii="Book Antiqua Bold" w:cs="Book Antiqua Bold" w:hAnsi="Book Antiqua Bold" w:eastAsia="Book Antiqua Bold"/>
          <w:b w:val="1"/>
          <w:bCs w:val="1"/>
          <w:color w:val="262626"/>
          <w:u w:color="262626"/>
        </w:rPr>
      </w:pPr>
      <w:r>
        <w:rPr>
          <w:rFonts w:hAnsi="Book Antiqua" w:hint="default"/>
          <w:rtl w:val="0"/>
          <w:lang w:val="it-IT"/>
        </w:rPr>
        <w:t>“</w:t>
      </w:r>
      <w:r>
        <w:rPr>
          <w:rFonts w:ascii="Book Antiqua"/>
          <w:color w:val="262626"/>
          <w:u w:color="262626"/>
          <w:rtl w:val="0"/>
          <w:lang w:val="it-IT"/>
        </w:rPr>
        <w:t xml:space="preserve">La gestione dei rifiuti </w:t>
      </w:r>
      <w:r>
        <w:rPr>
          <w:rFonts w:hAnsi="Book Antiqua" w:hint="default"/>
          <w:color w:val="262626"/>
          <w:u w:color="262626"/>
          <w:rtl w:val="0"/>
          <w:lang w:val="it-IT"/>
        </w:rPr>
        <w:t xml:space="preserve">è </w:t>
      </w:r>
      <w:r>
        <w:rPr>
          <w:rFonts w:ascii="Book Antiqua"/>
          <w:color w:val="262626"/>
          <w:u w:color="262626"/>
          <w:rtl w:val="0"/>
          <w:lang w:val="it-IT"/>
        </w:rPr>
        <w:t xml:space="preserve">un ambito in cui sono reali le minacce di potenziali infiltrazioni di associazioni criminali. Il presidio di un soggetto pubblico </w:t>
      </w:r>
      <w:r>
        <w:rPr>
          <w:rFonts w:hAnsi="Book Antiqua" w:hint="default"/>
          <w:color w:val="262626"/>
          <w:u w:color="262626"/>
          <w:rtl w:val="0"/>
          <w:lang w:val="it-IT"/>
        </w:rPr>
        <w:t xml:space="preserve">è </w:t>
      </w:r>
      <w:r>
        <w:rPr>
          <w:rFonts w:ascii="Book Antiqua"/>
          <w:color w:val="262626"/>
          <w:u w:color="262626"/>
          <w:rtl w:val="0"/>
          <w:lang w:val="it-IT"/>
        </w:rPr>
        <w:t>condizione necessaria perch</w:t>
      </w:r>
      <w:r>
        <w:rPr>
          <w:rFonts w:hAnsi="Book Antiqua" w:hint="default"/>
          <w:color w:val="262626"/>
          <w:u w:color="262626"/>
          <w:rtl w:val="0"/>
          <w:lang w:val="it-IT"/>
        </w:rPr>
        <w:t xml:space="preserve">é </w:t>
      </w:r>
      <w:r>
        <w:rPr>
          <w:rFonts w:ascii="Book Antiqua"/>
          <w:color w:val="262626"/>
          <w:u w:color="262626"/>
          <w:rtl w:val="0"/>
          <w:lang w:val="it-IT"/>
        </w:rPr>
        <w:t xml:space="preserve">tali infiltrazioni non possano prodursi nei loro effetti e, tuttavia, non </w:t>
      </w:r>
      <w:r>
        <w:rPr>
          <w:rFonts w:hAnsi="Book Antiqua" w:hint="default"/>
          <w:color w:val="262626"/>
          <w:u w:color="262626"/>
          <w:rtl w:val="0"/>
          <w:lang w:val="it-IT"/>
        </w:rPr>
        <w:t xml:space="preserve">è </w:t>
      </w:r>
      <w:r>
        <w:rPr>
          <w:rFonts w:ascii="Book Antiqua"/>
          <w:color w:val="262626"/>
          <w:u w:color="262626"/>
          <w:rtl w:val="0"/>
          <w:lang w:val="it-IT"/>
        </w:rPr>
        <w:t xml:space="preserve">sufficiente. </w:t>
      </w:r>
      <w:r>
        <w:rPr>
          <w:rFonts w:hAnsi="Book Antiqua" w:hint="default"/>
          <w:color w:val="262626"/>
          <w:u w:color="262626"/>
          <w:rtl w:val="0"/>
          <w:lang w:val="it-IT"/>
        </w:rPr>
        <w:t>È</w:t>
      </w:r>
      <w:r>
        <w:rPr>
          <w:rFonts w:ascii="Book Antiqua"/>
          <w:color w:val="262626"/>
          <w:u w:color="262626"/>
          <w:rtl w:val="0"/>
          <w:lang w:val="it-IT"/>
        </w:rPr>
        <w:t>, infatti, richiesta un'attenta gestione dei processi sensibili al fine di monitorare e ridurre le criticit</w:t>
      </w:r>
      <w:r>
        <w:rPr>
          <w:rFonts w:hAnsi="Book Antiqua" w:hint="default"/>
          <w:color w:val="262626"/>
          <w:u w:color="262626"/>
          <w:rtl w:val="0"/>
          <w:lang w:val="it-IT"/>
        </w:rPr>
        <w:t xml:space="preserve">à </w:t>
      </w:r>
      <w:r>
        <w:rPr>
          <w:rFonts w:ascii="Book Antiqua"/>
          <w:color w:val="262626"/>
          <w:u w:color="262626"/>
          <w:rtl w:val="0"/>
          <w:lang w:val="it-IT"/>
        </w:rPr>
        <w:t xml:space="preserve">sul fronte della corruzione della gestione anomala. AMA si </w:t>
      </w:r>
      <w:r>
        <w:rPr>
          <w:rFonts w:hAnsi="Book Antiqua" w:hint="default"/>
          <w:color w:val="262626"/>
          <w:u w:color="262626"/>
          <w:rtl w:val="0"/>
          <w:lang w:val="it-IT"/>
        </w:rPr>
        <w:t xml:space="preserve">è </w:t>
      </w:r>
      <w:r>
        <w:rPr>
          <w:rFonts w:ascii="Book Antiqua"/>
          <w:color w:val="262626"/>
          <w:u w:color="262626"/>
          <w:rtl w:val="0"/>
          <w:lang w:val="it-IT"/>
        </w:rPr>
        <w:t>impegnata e ha perseguito negli ultimi mesi un deciso e profondo processo di rinnovamento, avviando un'analisi di tutta la procedura acquisti e restituendo trasparenza e regole alla competizione di mercato. Sono state riviste significativamente le procedure di approvvigionamento, in una logica di massima trasparenza e apertura al mercato. Oggi oltre l'80 per cento degli acquisti aziendali viene svolto con procedure di gara ad evidenza pubblica. Sono stati incontrati tutti i principali fornitori aziendali per rinegoziare le condizioni contrattuali, con riferimento sia al pregresso, sia alle prestazioni future, determinando risparmi di costo su prestazioni pregresse per circa 3 milioni di euro</w:t>
      </w:r>
      <w:r>
        <w:rPr>
          <w:rFonts w:ascii="Book Antiqua Bold"/>
          <w:b w:val="1"/>
          <w:bCs w:val="1"/>
          <w:color w:val="262626"/>
          <w:u w:color="262626"/>
          <w:rtl w:val="0"/>
          <w:lang w:val="it-IT"/>
        </w:rPr>
        <w:t xml:space="preserve"> </w:t>
      </w:r>
      <w:r>
        <w:rPr>
          <w:rFonts w:ascii="Book Antiqua"/>
          <w:color w:val="262626"/>
          <w:u w:color="262626"/>
          <w:rtl w:val="0"/>
          <w:lang w:val="it-IT"/>
        </w:rPr>
        <w:t>e sconti sulle prestazioni future di contratti in essere fino al 25 per cento. Il processo di efficientamento dell'azienda ha interessato anche l'organizzazione del personale, con l'uscita tra il 2014 e il 2015 di 7 dirigenti del vecchio corso e la nomina, a seguito di un concorso con selezione interna su base meritocratica e nella massima trasparenza, di due nuovi dirigenti, entrambi laureati, con et</w:t>
      </w:r>
      <w:r>
        <w:rPr>
          <w:rFonts w:hAnsi="Book Antiqua" w:hint="default"/>
          <w:color w:val="262626"/>
          <w:u w:color="262626"/>
          <w:rtl w:val="0"/>
          <w:lang w:val="it-IT"/>
        </w:rPr>
        <w:t xml:space="preserve">à </w:t>
      </w:r>
      <w:r>
        <w:rPr>
          <w:rFonts w:ascii="Book Antiqua"/>
          <w:color w:val="262626"/>
          <w:u w:color="262626"/>
          <w:rtl w:val="0"/>
          <w:lang w:val="it-IT"/>
        </w:rPr>
        <w:t>media di 39 anni, su posizioni organizzative chiave, governo del ciclo integrato degli approvvigionamenti e gestione delle attivit</w:t>
      </w:r>
      <w:r>
        <w:rPr>
          <w:rFonts w:hAnsi="Book Antiqua" w:hint="default"/>
          <w:color w:val="262626"/>
          <w:u w:color="262626"/>
          <w:rtl w:val="0"/>
          <w:lang w:val="it-IT"/>
        </w:rPr>
        <w:t xml:space="preserve">à </w:t>
      </w:r>
      <w:r>
        <w:rPr>
          <w:rFonts w:ascii="Book Antiqua"/>
          <w:color w:val="262626"/>
          <w:u w:color="262626"/>
          <w:rtl w:val="0"/>
          <w:lang w:val="it-IT"/>
        </w:rPr>
        <w:t xml:space="preserve">operative territoriali. Si </w:t>
      </w:r>
      <w:r>
        <w:rPr>
          <w:rFonts w:hAnsi="Book Antiqua" w:hint="default"/>
          <w:color w:val="262626"/>
          <w:u w:color="262626"/>
          <w:rtl w:val="0"/>
          <w:lang w:val="it-IT"/>
        </w:rPr>
        <w:t xml:space="preserve">è </w:t>
      </w:r>
      <w:r>
        <w:rPr>
          <w:rFonts w:ascii="Book Antiqua"/>
          <w:color w:val="262626"/>
          <w:u w:color="262626"/>
          <w:rtl w:val="0"/>
          <w:lang w:val="it-IT"/>
        </w:rPr>
        <w:t xml:space="preserve">rafforzato il presidio delle postazioni organizzative chiave con l'identificazione attraverso concorso dei nuovi responsabili e l'introduzione del principio della </w:t>
      </w:r>
      <w:r>
        <w:rPr>
          <w:rFonts w:ascii="Book Antiqua"/>
          <w:i w:val="1"/>
          <w:iCs w:val="1"/>
          <w:color w:val="262626"/>
          <w:u w:color="262626"/>
          <w:rtl w:val="0"/>
          <w:lang w:val="it-IT"/>
        </w:rPr>
        <w:t>job rotation</w:t>
      </w:r>
      <w:r>
        <w:rPr>
          <w:rFonts w:ascii="Book Antiqua"/>
          <w:color w:val="262626"/>
          <w:u w:color="262626"/>
          <w:rtl w:val="0"/>
          <w:lang w:val="it-IT"/>
        </w:rPr>
        <w:t xml:space="preserve">, applicato a seguito di accordo sindacale su tutti i responsabili delle 50 sedi operative aziendali. Le resistenze al cambiamento sono state robuste e tenaci. Giova ricordare che la quarantennale supremazia del gruppo industriale privato Co.La.Ri nel trattamento e smaltimento di rifiuti urbani e residui della capitale non </w:t>
      </w:r>
      <w:r>
        <w:rPr>
          <w:rFonts w:hAnsi="Book Antiqua" w:hint="default"/>
          <w:color w:val="262626"/>
          <w:u w:color="262626"/>
          <w:rtl w:val="0"/>
          <w:lang w:val="it-IT"/>
        </w:rPr>
        <w:t xml:space="preserve">è </w:t>
      </w:r>
      <w:r>
        <w:rPr>
          <w:rFonts w:ascii="Book Antiqua"/>
          <w:color w:val="262626"/>
          <w:u w:color="262626"/>
          <w:rtl w:val="0"/>
          <w:lang w:val="it-IT"/>
        </w:rPr>
        <w:t xml:space="preserve">mai stata conquistata con procedure di evidenza pubblica, gare competitive o selezioni trasparenti </w:t>
      </w:r>
      <w:r>
        <w:rPr>
          <w:rFonts w:hAnsi="Book Antiqua" w:hint="default"/>
          <w:color w:val="262626"/>
          <w:u w:color="262626"/>
          <w:rtl w:val="0"/>
          <w:lang w:val="it-IT"/>
        </w:rPr>
        <w:t xml:space="preserve">– </w:t>
      </w:r>
      <w:r>
        <w:rPr>
          <w:rFonts w:ascii="Book Antiqua"/>
          <w:color w:val="262626"/>
          <w:u w:color="262626"/>
          <w:rtl w:val="0"/>
          <w:lang w:val="it-IT"/>
        </w:rPr>
        <w:t>parliamo di un periodo che va dal 1963 al momento del mio insediamento nel 2013, cio</w:t>
      </w:r>
      <w:r>
        <w:rPr>
          <w:rFonts w:hAnsi="Book Antiqua" w:hint="default"/>
          <w:color w:val="262626"/>
          <w:u w:color="262626"/>
          <w:rtl w:val="0"/>
          <w:lang w:val="it-IT"/>
        </w:rPr>
        <w:t xml:space="preserve">è </w:t>
      </w:r>
      <w:r>
        <w:rPr>
          <w:rFonts w:ascii="Book Antiqua"/>
          <w:color w:val="262626"/>
          <w:u w:color="262626"/>
          <w:rtl w:val="0"/>
          <w:lang w:val="it-IT"/>
        </w:rPr>
        <w:t xml:space="preserve">un periodo di mezzo secolo </w:t>
      </w:r>
      <w:r>
        <w:rPr>
          <w:rFonts w:hAnsi="Book Antiqua" w:hint="default"/>
          <w:color w:val="262626"/>
          <w:u w:color="262626"/>
          <w:rtl w:val="0"/>
          <w:lang w:val="it-IT"/>
        </w:rPr>
        <w:t xml:space="preserve">– </w:t>
      </w:r>
      <w:r>
        <w:rPr>
          <w:rFonts w:ascii="Book Antiqua"/>
          <w:color w:val="262626"/>
          <w:u w:color="262626"/>
          <w:rtl w:val="0"/>
          <w:lang w:val="it-IT"/>
        </w:rPr>
        <w:t xml:space="preserve">ma </w:t>
      </w:r>
      <w:r>
        <w:rPr>
          <w:rFonts w:hAnsi="Book Antiqua" w:hint="default"/>
          <w:color w:val="262626"/>
          <w:u w:color="262626"/>
          <w:rtl w:val="0"/>
          <w:lang w:val="it-IT"/>
        </w:rPr>
        <w:t xml:space="preserve">è </w:t>
      </w:r>
      <w:r>
        <w:rPr>
          <w:rFonts w:ascii="Book Antiqua"/>
          <w:color w:val="262626"/>
          <w:u w:color="262626"/>
          <w:rtl w:val="0"/>
          <w:lang w:val="it-IT"/>
        </w:rPr>
        <w:t>venuta accrescendosi per causa di superfetazioni generate ora dalle emergenze, ora da bizzarre interpretazioni degli strumenti pubblici di pianificazione e programmazione. Con lo stesso approccio il trattamento e la valorizzazione dei rifiuti secchi riciclabili sono stati esclusiva attivit</w:t>
      </w:r>
      <w:r>
        <w:rPr>
          <w:rFonts w:hAnsi="Book Antiqua" w:hint="default"/>
          <w:color w:val="262626"/>
          <w:u w:color="262626"/>
          <w:rtl w:val="0"/>
          <w:lang w:val="it-IT"/>
        </w:rPr>
        <w:t xml:space="preserve">à </w:t>
      </w:r>
      <w:r>
        <w:rPr>
          <w:rFonts w:ascii="Book Antiqua"/>
          <w:color w:val="262626"/>
          <w:u w:color="262626"/>
          <w:rtl w:val="0"/>
          <w:lang w:val="it-IT"/>
        </w:rPr>
        <w:t>di soggetti privati chiamiamoli storici, datando a mezzo secolo, che mai hanno acquisito tale prerogativa per effetto di gare o selezioni, bens</w:t>
      </w:r>
      <w:r>
        <w:rPr>
          <w:rFonts w:hAnsi="Book Antiqua" w:hint="default"/>
          <w:color w:val="262626"/>
          <w:u w:color="262626"/>
          <w:rtl w:val="0"/>
          <w:lang w:val="it-IT"/>
        </w:rPr>
        <w:t xml:space="preserve">ì </w:t>
      </w:r>
      <w:r>
        <w:rPr>
          <w:rFonts w:ascii="Book Antiqua"/>
          <w:color w:val="262626"/>
          <w:u w:color="262626"/>
          <w:rtl w:val="0"/>
          <w:lang w:val="it-IT"/>
        </w:rPr>
        <w:t>in virt</w:t>
      </w:r>
      <w:r>
        <w:rPr>
          <w:rFonts w:hAnsi="Book Antiqua" w:hint="default"/>
          <w:color w:val="262626"/>
          <w:u w:color="262626"/>
          <w:rtl w:val="0"/>
          <w:lang w:val="it-IT"/>
        </w:rPr>
        <w:t xml:space="preserve">ù </w:t>
      </w:r>
      <w:r>
        <w:rPr>
          <w:rFonts w:ascii="Book Antiqua"/>
          <w:color w:val="262626"/>
          <w:u w:color="262626"/>
          <w:rtl w:val="0"/>
          <w:lang w:val="it-IT"/>
        </w:rPr>
        <w:t>di una distorta interpretazione della normativa, ovvero in ragione del loro storico insediamento</w:t>
      </w:r>
      <w:r>
        <w:rPr>
          <w:rFonts w:hAnsi="Book Antiqua" w:hint="default"/>
          <w:rtl w:val="0"/>
          <w:lang w:val="it-IT"/>
        </w:rPr>
        <w:t>”</w:t>
      </w:r>
      <w:r>
        <w:rPr>
          <w:rFonts w:ascii="Book Antiqua"/>
          <w:rtl w:val="0"/>
          <w:lang w:val="it-IT"/>
        </w:rPr>
        <w:t>.</w:t>
      </w: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sz w:val="28"/>
          <w:szCs w:val="28"/>
        </w:rPr>
      </w:pPr>
      <w:r>
        <w:rPr>
          <w:rFonts w:ascii="Book Antiqua"/>
          <w:sz w:val="28"/>
          <w:szCs w:val="28"/>
          <w:rtl w:val="0"/>
          <w:lang w:val="it-IT"/>
        </w:rPr>
        <w:t>1.3 Lo sviluppo successivo delle attivit</w:t>
      </w:r>
      <w:r>
        <w:rPr>
          <w:rFonts w:hAnsi="Book Antiqua" w:hint="default"/>
          <w:sz w:val="28"/>
          <w:szCs w:val="28"/>
          <w:rtl w:val="0"/>
          <w:lang w:val="it-IT"/>
        </w:rPr>
        <w:t xml:space="preserve">à </w:t>
      </w:r>
      <w:r>
        <w:rPr>
          <w:rFonts w:ascii="Book Antiqua"/>
          <w:sz w:val="28"/>
          <w:szCs w:val="28"/>
          <w:rtl w:val="0"/>
          <w:lang w:val="it-IT"/>
        </w:rPr>
        <w:t>della Commissione</w:t>
      </w:r>
    </w:p>
    <w:p>
      <w:pPr>
        <w:pStyle w:val="Normal"/>
        <w:ind w:left="567" w:right="567" w:firstLine="0"/>
        <w:jc w:val="both"/>
        <w:rPr>
          <w:rFonts w:ascii="Book Antiqua" w:cs="Book Antiqua" w:hAnsi="Book Antiqua" w:eastAsia="Book Antiqua"/>
          <w:sz w:val="28"/>
          <w:szCs w:val="28"/>
        </w:rPr>
      </w:pPr>
    </w:p>
    <w:p>
      <w:pPr>
        <w:pStyle w:val="Normal"/>
        <w:ind w:left="567" w:right="567" w:firstLine="0"/>
        <w:jc w:val="both"/>
        <w:rPr>
          <w:rFonts w:ascii="Book Antiqua" w:cs="Book Antiqua" w:hAnsi="Book Antiqua" w:eastAsia="Book Antiqua"/>
        </w:rPr>
      </w:pPr>
      <w:r>
        <w:rPr>
          <w:rFonts w:ascii="Book Antiqua"/>
          <w:rtl w:val="0"/>
          <w:lang w:val="it-IT"/>
        </w:rPr>
        <w:t>Sulla pianificazione delle attivit</w:t>
      </w:r>
      <w:r>
        <w:rPr>
          <w:rFonts w:hAnsi="Book Antiqua" w:hint="default"/>
          <w:rtl w:val="0"/>
          <w:lang w:val="it-IT"/>
        </w:rPr>
        <w:t xml:space="preserve">à </w:t>
      </w:r>
      <w:r>
        <w:rPr>
          <w:rFonts w:ascii="Book Antiqua"/>
          <w:rtl w:val="0"/>
          <w:lang w:val="it-IT"/>
        </w:rPr>
        <w:t>della Commissione ha in seguito influito la volont</w:t>
      </w:r>
      <w:r>
        <w:rPr>
          <w:rFonts w:hAnsi="Book Antiqua" w:hint="default"/>
          <w:rtl w:val="0"/>
          <w:lang w:val="it-IT"/>
        </w:rPr>
        <w:t xml:space="preserve">à </w:t>
      </w:r>
      <w:r>
        <w:rPr>
          <w:rFonts w:ascii="Book Antiqua"/>
          <w:rtl w:val="0"/>
          <w:lang w:val="it-IT"/>
        </w:rPr>
        <w:t>di dare voce ai soggetti istituzionali interessati dalla forte tensione generatasi subito dopo l</w:t>
      </w:r>
      <w:r>
        <w:rPr>
          <w:rFonts w:hAnsi="Book Antiqua" w:hint="default"/>
          <w:rtl w:val="0"/>
          <w:lang w:val="it-IT"/>
        </w:rPr>
        <w:t>’</w:t>
      </w:r>
      <w:r>
        <w:rPr>
          <w:rFonts w:ascii="Book Antiqua"/>
          <w:rtl w:val="0"/>
          <w:lang w:val="it-IT"/>
        </w:rPr>
        <w:t>insediamento della nuova Giunta di Roma Capitale nel giugno 2016.</w:t>
      </w:r>
    </w:p>
    <w:p>
      <w:pPr>
        <w:pStyle w:val="Normal"/>
        <w:ind w:left="567" w:right="567" w:firstLine="0"/>
        <w:jc w:val="both"/>
        <w:rPr>
          <w:rFonts w:ascii="Book Antiqua" w:cs="Book Antiqua" w:hAnsi="Book Antiqua" w:eastAsia="Book Antiqua"/>
        </w:rPr>
      </w:pPr>
      <w:r>
        <w:rPr>
          <w:rFonts w:ascii="Book Antiqua"/>
          <w:rtl w:val="0"/>
          <w:lang w:val="it-IT"/>
        </w:rPr>
        <w:t xml:space="preserve">Come il Presidente della Commissione ha ricordato in apertura della seduta del 5 settembre 2016, </w:t>
      </w:r>
      <w:r>
        <w:rPr>
          <w:rFonts w:hAnsi="Book Antiqua" w:hint="default"/>
          <w:rtl w:val="0"/>
          <w:lang w:val="it-IT"/>
        </w:rPr>
        <w:t>“</w:t>
      </w:r>
      <w:r>
        <w:rPr>
          <w:rFonts w:ascii="Book Antiqua"/>
          <w:rtl w:val="0"/>
          <w:lang w:val="it-IT"/>
        </w:rPr>
        <w:t>nel corso della riunione dell'Ufficio di presidenza integrato dai rappresentanti dei Gruppi dello scorso 28 luglio [2016] su espressa richiesta di un gruppo parlamentare era stato unanimemente deciso di dare corso, gi</w:t>
      </w:r>
      <w:r>
        <w:rPr>
          <w:rFonts w:hAnsi="Book Antiqua" w:hint="default"/>
          <w:rtl w:val="0"/>
          <w:lang w:val="it-IT"/>
        </w:rPr>
        <w:t xml:space="preserve">à </w:t>
      </w:r>
      <w:r>
        <w:rPr>
          <w:rFonts w:ascii="Book Antiqua"/>
          <w:rtl w:val="0"/>
          <w:lang w:val="it-IT"/>
        </w:rPr>
        <w:t>in quei giorni, alla predetta audizione del presidente del CdA di AMA, Daniele Fortini. Era stato inoltre unanimemente deciso nella stessa riunione che, alla ripresa dei lavori, dopo la pausa estiva, sarebbe stata audita la sindaca di Roma Capitale, avvocato Virginia Raggi. Nella serata del 1</w:t>
      </w:r>
      <w:r>
        <w:rPr>
          <w:rFonts w:hAnsi="Book Antiqua" w:hint="default"/>
          <w:rtl w:val="0"/>
          <w:lang w:val="it-IT"/>
        </w:rPr>
        <w:t>°</w:t>
      </w:r>
      <w:r>
        <w:rPr>
          <w:rFonts w:ascii="Book Antiqua"/>
          <w:rtl w:val="0"/>
          <w:lang w:val="it-IT"/>
        </w:rPr>
        <w:t xml:space="preserve"> agosto era pervenuta alla presidenza della Commissione una lettera da parte dell'assessora alla sostenibilit</w:t>
      </w:r>
      <w:r>
        <w:rPr>
          <w:rFonts w:hAnsi="Book Antiqua" w:hint="default"/>
          <w:rtl w:val="0"/>
          <w:lang w:val="it-IT"/>
        </w:rPr>
        <w:t xml:space="preserve">à </w:t>
      </w:r>
      <w:r>
        <w:rPr>
          <w:rFonts w:ascii="Book Antiqua"/>
          <w:rtl w:val="0"/>
          <w:lang w:val="it-IT"/>
        </w:rPr>
        <w:t>ambientale di Roma Capitale, dottoressa Paola Muraro, con la quale la stessa chiedeva di essere audita in tempi brevi per fornire le necessarie informazioni sulla questione del ciclo dei rifiuti. Essendosi nuovamente riunito il 3 agosto l'Ufficio di presidenza integrato dai rappresentanti dei Gruppi, veniva confermata la precedente decisione di svolgere l'audizione della sindaca di Roma Capitale e dell'assessora all'ambiente alla ripresa dei lavori, dopo la pausa estiva</w:t>
      </w:r>
      <w:r>
        <w:rPr>
          <w:rFonts w:hAnsi="Book Antiqua" w:hint="default"/>
          <w:rtl w:val="0"/>
          <w:lang w:val="it-IT"/>
        </w:rPr>
        <w:t>”</w:t>
      </w:r>
      <w:r>
        <w:rPr>
          <w:rFonts w:ascii="Book Antiqua"/>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L</w:t>
      </w:r>
      <w:r>
        <w:rPr>
          <w:rFonts w:hAnsi="Book Antiqua" w:hint="default"/>
          <w:rtl w:val="0"/>
          <w:lang w:val="it-IT"/>
        </w:rPr>
        <w:t>’</w:t>
      </w:r>
      <w:r>
        <w:rPr>
          <w:rFonts w:ascii="Book Antiqua"/>
          <w:rtl w:val="0"/>
          <w:lang w:val="it-IT"/>
        </w:rPr>
        <w:t>audizione dell</w:t>
      </w:r>
      <w:r>
        <w:rPr>
          <w:rFonts w:hAnsi="Book Antiqua" w:hint="default"/>
          <w:rtl w:val="0"/>
          <w:lang w:val="it-IT"/>
        </w:rPr>
        <w:t>’</w:t>
      </w:r>
      <w:r>
        <w:rPr>
          <w:rFonts w:ascii="Book Antiqua"/>
          <w:rtl w:val="0"/>
          <w:lang w:val="it-IT"/>
        </w:rPr>
        <w:t xml:space="preserve">allora presidente di AMA, Daniele Fortini, si </w:t>
      </w:r>
      <w:r>
        <w:rPr>
          <w:rFonts w:hAnsi="Book Antiqua" w:hint="default"/>
          <w:rtl w:val="0"/>
          <w:lang w:val="it-IT"/>
        </w:rPr>
        <w:t xml:space="preserve">è </w:t>
      </w:r>
      <w:r>
        <w:rPr>
          <w:rFonts w:ascii="Book Antiqua"/>
          <w:rtl w:val="0"/>
          <w:lang w:val="it-IT"/>
        </w:rPr>
        <w:t>svolta il 2 agosto 2016; quella del sindaco di Roma, Virginia Raggi e dell</w:t>
      </w:r>
      <w:r>
        <w:rPr>
          <w:rFonts w:hAnsi="Book Antiqua" w:hint="default"/>
          <w:rtl w:val="0"/>
          <w:lang w:val="it-IT"/>
        </w:rPr>
        <w:t>’</w:t>
      </w:r>
      <w:r>
        <w:rPr>
          <w:rFonts w:ascii="Book Antiqua"/>
          <w:rtl w:val="0"/>
          <w:lang w:val="it-IT"/>
        </w:rPr>
        <w:t>allora assessora alla sostenibilit</w:t>
      </w:r>
      <w:r>
        <w:rPr>
          <w:rFonts w:hAnsi="Book Antiqua" w:hint="default"/>
          <w:rtl w:val="0"/>
          <w:lang w:val="it-IT"/>
        </w:rPr>
        <w:t xml:space="preserve">à </w:t>
      </w:r>
      <w:r>
        <w:rPr>
          <w:rFonts w:ascii="Book Antiqua"/>
          <w:rtl w:val="0"/>
          <w:lang w:val="it-IT"/>
        </w:rPr>
        <w:t>ambientale, Paola Muraro, il 5 settembre 2016.</w:t>
      </w:r>
    </w:p>
    <w:p>
      <w:pPr>
        <w:pStyle w:val="Normal"/>
        <w:ind w:left="567" w:right="567" w:firstLine="0"/>
        <w:jc w:val="both"/>
        <w:rPr>
          <w:rFonts w:ascii="Book Antiqua" w:cs="Book Antiqua" w:hAnsi="Book Antiqua" w:eastAsia="Book Antiqua"/>
        </w:rPr>
      </w:pPr>
      <w:r>
        <w:rPr>
          <w:rFonts w:ascii="Book Antiqua"/>
          <w:rtl w:val="0"/>
          <w:lang w:val="it-IT"/>
        </w:rPr>
        <w:t>Le prospettive dell</w:t>
      </w:r>
      <w:r>
        <w:rPr>
          <w:rFonts w:hAnsi="Book Antiqua" w:hint="default"/>
          <w:rtl w:val="0"/>
          <w:lang w:val="it-IT"/>
        </w:rPr>
        <w:t>’</w:t>
      </w:r>
      <w:r>
        <w:rPr>
          <w:rFonts w:ascii="Book Antiqua"/>
          <w:rtl w:val="0"/>
          <w:lang w:val="it-IT"/>
        </w:rPr>
        <w:t xml:space="preserve">amministrazione di Roma Capitale sono riportate nel </w:t>
      </w:r>
      <w:r>
        <w:rPr>
          <w:rFonts w:hAnsi="Book Antiqua" w:hint="default"/>
          <w:rtl w:val="0"/>
          <w:lang w:val="it-IT"/>
        </w:rPr>
        <w:t xml:space="preserve">§ </w:t>
      </w:r>
      <w:r>
        <w:rPr>
          <w:rFonts w:ascii="Book Antiqua"/>
          <w:rtl w:val="0"/>
          <w:lang w:val="it-IT"/>
        </w:rPr>
        <w:t>2.3.4 e sono state da ultimo ribadite nella nota 24 novembre 2017 dell</w:t>
      </w:r>
      <w:r>
        <w:rPr>
          <w:rFonts w:hAnsi="Book Antiqua" w:hint="default"/>
          <w:rtl w:val="0"/>
          <w:lang w:val="it-IT"/>
        </w:rPr>
        <w:t>’</w:t>
      </w:r>
      <w:r>
        <w:rPr>
          <w:rFonts w:ascii="Book Antiqua"/>
          <w:rtl w:val="0"/>
          <w:lang w:val="it-IT"/>
        </w:rPr>
        <w:t xml:space="preserve">assessora Giuseppina Montanari: </w:t>
      </w:r>
      <w:r>
        <w:rPr>
          <w:rFonts w:hAnsi="Book Antiqua" w:hint="default"/>
          <w:rtl w:val="0"/>
          <w:lang w:val="it-IT"/>
        </w:rPr>
        <w:t>“</w:t>
      </w:r>
      <w:r>
        <w:rPr>
          <w:rFonts w:ascii="Book Antiqua"/>
          <w:rtl w:val="0"/>
          <w:lang w:val="it-IT"/>
        </w:rPr>
        <w:t>l</w:t>
      </w:r>
      <w:r>
        <w:rPr>
          <w:rFonts w:hAnsi="Book Antiqua" w:hint="default"/>
          <w:rtl w:val="0"/>
          <w:lang w:val="it-IT"/>
        </w:rPr>
        <w:t>’</w:t>
      </w:r>
      <w:r>
        <w:rPr>
          <w:rFonts w:ascii="Book Antiqua"/>
          <w:rtl w:val="0"/>
          <w:lang w:val="it-IT"/>
        </w:rPr>
        <w:t xml:space="preserve">amministrazione di Roma Capitale </w:t>
      </w:r>
      <w:r>
        <w:rPr>
          <w:rFonts w:hAnsi="Book Antiqua" w:hint="default"/>
          <w:rtl w:val="0"/>
          <w:lang w:val="it-IT"/>
        </w:rPr>
        <w:t xml:space="preserve">è </w:t>
      </w:r>
      <w:r>
        <w:rPr>
          <w:rFonts w:ascii="Book Antiqua"/>
          <w:rtl w:val="0"/>
          <w:lang w:val="it-IT"/>
        </w:rPr>
        <w:t>in seguito intervenuta sul ciclo dei rifiuti, in particolare con l</w:t>
      </w:r>
      <w:r>
        <w:rPr>
          <w:rFonts w:hAnsi="Book Antiqua" w:hint="default"/>
          <w:rtl w:val="0"/>
          <w:lang w:val="it-IT"/>
        </w:rPr>
        <w:t>’</w:t>
      </w:r>
      <w:r>
        <w:rPr>
          <w:rFonts w:ascii="Book Antiqua"/>
          <w:rtl w:val="0"/>
          <w:lang w:val="it-IT"/>
        </w:rPr>
        <w:t>approvazione del Piano per la gestione dei materiali post-consumo 2017-2021 del comune di Roma con deliberazione di Giunta n. 47 del 30 marzo 2017 [</w:t>
      </w:r>
      <w:r>
        <w:rPr>
          <w:rFonts w:hAnsi="Book Antiqua" w:hint="default"/>
          <w:rtl w:val="0"/>
          <w:lang w:val="it-IT"/>
        </w:rPr>
        <w:t>…</w:t>
      </w:r>
      <w:r>
        <w:rPr>
          <w:rFonts w:ascii="Book Antiqua"/>
          <w:rtl w:val="0"/>
          <w:lang w:val="it-IT"/>
        </w:rPr>
        <w:t>] e con l</w:t>
      </w:r>
      <w:r>
        <w:rPr>
          <w:rFonts w:hAnsi="Book Antiqua" w:hint="default"/>
          <w:rtl w:val="0"/>
          <w:lang w:val="it-IT"/>
        </w:rPr>
        <w:t>’</w:t>
      </w:r>
      <w:r>
        <w:rPr>
          <w:rFonts w:ascii="Book Antiqua"/>
          <w:rtl w:val="0"/>
          <w:lang w:val="it-IT"/>
        </w:rPr>
        <w:t>approvazione del nuovo piano industriale AMA</w:t>
      </w:r>
      <w:r>
        <w:rPr>
          <w:rFonts w:hAnsi="Book Antiqua" w:hint="default"/>
          <w:rtl w:val="0"/>
          <w:lang w:val="it-IT"/>
        </w:rPr>
        <w:t>”</w:t>
      </w:r>
      <w:r>
        <w:rPr>
          <w:rFonts w:ascii="Book Antiqua"/>
          <w:vertAlign w:val="superscript"/>
          <w:rtl w:val="0"/>
          <w:lang w:val="it-IT"/>
        </w:rPr>
        <w:t xml:space="preserve"> </w:t>
      </w:r>
      <w:r>
        <w:rPr>
          <w:rFonts w:ascii="Book Antiqua" w:cs="Book Antiqua" w:hAnsi="Book Antiqua" w:eastAsia="Book Antiqua"/>
          <w:vertAlign w:val="superscript"/>
          <w:rtl w:val="0"/>
        </w:rPr>
        <w:footnoteReference w:id="13"/>
      </w:r>
      <w:r>
        <w:rPr>
          <w:rFonts w:ascii="Book Antiqua"/>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 xml:space="preserve">La Commissione ha inoltre disposto ispezioni formali eseguite presso gli impianti TMB di Roma nel giugno del 2015 e nel maggio 2017. </w:t>
      </w:r>
    </w:p>
    <w:p>
      <w:pPr>
        <w:pStyle w:val="Normal"/>
        <w:ind w:left="567" w:right="567" w:firstLine="0"/>
        <w:jc w:val="both"/>
        <w:rPr>
          <w:rFonts w:ascii="Book Antiqua" w:cs="Book Antiqua" w:hAnsi="Book Antiqua" w:eastAsia="Book Antiqua"/>
        </w:rPr>
      </w:pPr>
      <w:r>
        <w:rPr>
          <w:rFonts w:ascii="Book Antiqua"/>
          <w:rtl w:val="0"/>
          <w:lang w:val="it-IT"/>
        </w:rPr>
        <w:t xml:space="preserve">Ha avuto luogo una missione nella provincia di Frosinone, dove una delegazione della Commissione si </w:t>
      </w:r>
      <w:r>
        <w:rPr>
          <w:rFonts w:hAnsi="Book Antiqua" w:hint="default"/>
          <w:rtl w:val="0"/>
          <w:lang w:val="it-IT"/>
        </w:rPr>
        <w:t xml:space="preserve">è </w:t>
      </w:r>
      <w:r>
        <w:rPr>
          <w:rFonts w:ascii="Book Antiqua"/>
          <w:rtl w:val="0"/>
          <w:lang w:val="it-IT"/>
        </w:rPr>
        <w:t>recata il 16 luglio 2015 svolgendo audizioni e sopralluoghi, preceduta da uno specifico sopralluogo presso la discarica di Borgo Montello.</w:t>
      </w:r>
    </w:p>
    <w:p>
      <w:pPr>
        <w:pStyle w:val="Normal"/>
        <w:ind w:left="567" w:right="567" w:firstLine="0"/>
        <w:jc w:val="both"/>
        <w:rPr>
          <w:rFonts w:ascii="Book Antiqua" w:cs="Book Antiqua" w:hAnsi="Book Antiqua" w:eastAsia="Book Antiqua"/>
        </w:rPr>
      </w:pPr>
      <w:r>
        <w:rPr>
          <w:rFonts w:ascii="Book Antiqua"/>
          <w:rtl w:val="0"/>
          <w:lang w:val="it-IT"/>
        </w:rPr>
        <w:t>Sopralluoghi sono stati dedicati agli impianti TMB di Malagrotta, di via Salaria e di Rocca Cencia, nonch</w:t>
      </w:r>
      <w:r>
        <w:rPr>
          <w:rFonts w:hAnsi="Book Antiqua" w:hint="default"/>
          <w:rtl w:val="0"/>
          <w:lang w:val="it-IT"/>
        </w:rPr>
        <w:t xml:space="preserve">é </w:t>
      </w:r>
      <w:r>
        <w:rPr>
          <w:rFonts w:ascii="Book Antiqua"/>
          <w:rtl w:val="0"/>
          <w:lang w:val="it-IT"/>
        </w:rPr>
        <w:t>al sito di Valle Galeria.</w:t>
      </w:r>
    </w:p>
    <w:p>
      <w:pPr>
        <w:pStyle w:val="Normal"/>
        <w:ind w:left="567" w:right="567" w:firstLine="0"/>
        <w:jc w:val="both"/>
        <w:rPr>
          <w:rFonts w:ascii="Book Antiqua" w:cs="Book Antiqua" w:hAnsi="Book Antiqua" w:eastAsia="Book Antiqua"/>
        </w:rPr>
      </w:pPr>
      <w:r>
        <w:rPr>
          <w:rFonts w:ascii="Book Antiqua"/>
          <w:rtl w:val="0"/>
          <w:lang w:val="it-IT"/>
        </w:rPr>
        <w:t xml:space="preserve">Un elenco completo delle audizioni svolte in sede </w:t>
      </w:r>
      <w:r>
        <w:rPr>
          <w:rFonts w:hAnsi="Book Antiqua" w:hint="default"/>
          <w:rtl w:val="0"/>
          <w:lang w:val="it-IT"/>
        </w:rPr>
        <w:t xml:space="preserve">– </w:t>
      </w:r>
      <w:r>
        <w:rPr>
          <w:rFonts w:ascii="Book Antiqua"/>
          <w:rtl w:val="0"/>
          <w:lang w:val="it-IT"/>
        </w:rPr>
        <w:t>comunque riferibili a Roma e al Lazio - e delle missioni, che consente di accedere ai resoconti attraverso il link alla pagina Web della Commissione (</w:t>
      </w:r>
      <w:hyperlink r:id="rId4" w:history="1">
        <w:r>
          <w:rPr>
            <w:rStyle w:val="Hyperlink.0"/>
            <w:rFonts w:ascii="Book Antiqua"/>
            <w:rtl w:val="0"/>
            <w:lang w:val="it-IT"/>
          </w:rPr>
          <w:t>http://parlamento17.camera.it/159</w:t>
        </w:r>
      </w:hyperlink>
      <w:r>
        <w:rPr>
          <w:rFonts w:ascii="Book Antiqua"/>
          <w:rtl w:val="0"/>
          <w:lang w:val="it-IT"/>
        </w:rPr>
        <w:t xml:space="preserve">) </w:t>
      </w:r>
      <w:r>
        <w:rPr>
          <w:rFonts w:hAnsi="Book Antiqua" w:hint="default"/>
          <w:rtl w:val="0"/>
          <w:lang w:val="it-IT"/>
        </w:rPr>
        <w:t xml:space="preserve">è </w:t>
      </w:r>
      <w:r>
        <w:rPr>
          <w:rFonts w:ascii="Book Antiqua"/>
          <w:rtl w:val="0"/>
          <w:lang w:val="it-IT"/>
        </w:rPr>
        <w:t>riportato in appendice</w:t>
      </w: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sz w:val="32"/>
          <w:szCs w:val="32"/>
        </w:rPr>
      </w:pPr>
      <w:r>
        <w:rPr>
          <w:rFonts w:ascii="Book Antiqua"/>
          <w:sz w:val="32"/>
          <w:szCs w:val="32"/>
          <w:rtl w:val="0"/>
          <w:lang w:val="it-IT"/>
        </w:rPr>
        <w:t>2. Il sistema attuale del ciclo dei rifiuti</w:t>
      </w: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rPr>
      </w:pPr>
    </w:p>
    <w:p>
      <w:pPr>
        <w:pStyle w:val="Normal"/>
        <w:tabs>
          <w:tab w:val="left" w:pos="9132"/>
        </w:tabs>
        <w:ind w:left="567" w:right="567" w:firstLine="0"/>
        <w:jc w:val="both"/>
        <w:rPr>
          <w:rFonts w:ascii="Book Antiqua" w:cs="Book Antiqua" w:hAnsi="Book Antiqua" w:eastAsia="Book Antiqua"/>
          <w:sz w:val="28"/>
          <w:szCs w:val="28"/>
        </w:rPr>
      </w:pPr>
      <w:r>
        <w:rPr>
          <w:rFonts w:ascii="Book Antiqua"/>
          <w:sz w:val="28"/>
          <w:szCs w:val="28"/>
          <w:rtl w:val="0"/>
          <w:lang w:val="it-IT"/>
        </w:rPr>
        <w:t>2.1 Le conclusioni delle relazioni della XVI Legislatura: la situazione impiantistica</w:t>
      </w:r>
    </w:p>
    <w:p>
      <w:pPr>
        <w:pStyle w:val="Normal"/>
        <w:tabs>
          <w:tab w:val="left" w:pos="9132"/>
        </w:tabs>
        <w:ind w:left="567" w:right="567" w:firstLine="0"/>
        <w:jc w:val="both"/>
        <w:rPr>
          <w:rFonts w:ascii="Book Antiqua" w:cs="Book Antiqua" w:hAnsi="Book Antiqua" w:eastAsia="Book Antiqua"/>
        </w:rPr>
      </w:pPr>
    </w:p>
    <w:p>
      <w:pPr>
        <w:pStyle w:val="Normal"/>
        <w:tabs>
          <w:tab w:val="left" w:pos="9132"/>
        </w:tabs>
        <w:ind w:left="567" w:right="567" w:firstLine="0"/>
        <w:jc w:val="both"/>
        <w:rPr>
          <w:rFonts w:ascii="Book Antiqua" w:cs="Book Antiqua" w:hAnsi="Book Antiqua" w:eastAsia="Book Antiqua"/>
        </w:rPr>
      </w:pPr>
      <w:r>
        <w:rPr>
          <w:rFonts w:ascii="Book Antiqua"/>
          <w:rtl w:val="0"/>
          <w:lang w:val="it-IT"/>
        </w:rPr>
        <w:t>Si richiamano di seguito alcuni passaggi delle conclusioni delle relazioni di approfondimento sul Lazio, elaborate dalla Commissione nella XVI legislatura</w:t>
      </w:r>
      <w:r>
        <w:rPr>
          <w:rFonts w:ascii="Book Antiqua" w:cs="Book Antiqua" w:hAnsi="Book Antiqua" w:eastAsia="Book Antiqua"/>
          <w:vertAlign w:val="superscript"/>
          <w:rtl w:val="0"/>
        </w:rPr>
        <w:footnoteReference w:id="14"/>
      </w:r>
      <w:r>
        <w:rPr>
          <w:rFonts w:ascii="Book Antiqua"/>
          <w:rtl w:val="0"/>
          <w:lang w:val="it-IT"/>
        </w:rPr>
        <w:t>, utili allo sviluppo attuale dell</w:t>
      </w:r>
      <w:r>
        <w:rPr>
          <w:rFonts w:hAnsi="Book Antiqua" w:hint="default"/>
          <w:rtl w:val="0"/>
          <w:lang w:val="it-IT"/>
        </w:rPr>
        <w:t>’</w:t>
      </w:r>
      <w:r>
        <w:rPr>
          <w:rFonts w:ascii="Book Antiqua"/>
          <w:rtl w:val="0"/>
          <w:lang w:val="it-IT"/>
        </w:rPr>
        <w:t>analisi, considerata la sostanziale permanenza di criticit</w:t>
      </w:r>
      <w:r>
        <w:rPr>
          <w:rFonts w:hAnsi="Book Antiqua" w:hint="default"/>
          <w:rtl w:val="0"/>
          <w:lang w:val="it-IT"/>
        </w:rPr>
        <w:t xml:space="preserve">à </w:t>
      </w:r>
      <w:r>
        <w:rPr>
          <w:rFonts w:ascii="Book Antiqua"/>
          <w:rtl w:val="0"/>
          <w:lang w:val="it-IT"/>
        </w:rPr>
        <w:t>allora segnalate o previste.</w:t>
      </w:r>
    </w:p>
    <w:p>
      <w:pPr>
        <w:pStyle w:val="Normal"/>
        <w:tabs>
          <w:tab w:val="left" w:pos="9132"/>
        </w:tabs>
        <w:ind w:left="567" w:right="567" w:firstLine="0"/>
        <w:jc w:val="both"/>
        <w:rPr>
          <w:rFonts w:ascii="Book Antiqua" w:cs="Book Antiqua" w:hAnsi="Book Antiqua" w:eastAsia="Book Antiqua"/>
        </w:rPr>
      </w:pPr>
      <w:r>
        <w:rPr>
          <w:rFonts w:ascii="Book Antiqua"/>
          <w:rtl w:val="0"/>
          <w:lang w:val="it-IT"/>
        </w:rPr>
        <w:t xml:space="preserve">Una prima relazione </w:t>
      </w:r>
      <w:r>
        <w:rPr>
          <w:rFonts w:hAnsi="Book Antiqua" w:hint="default"/>
          <w:rtl w:val="0"/>
          <w:lang w:val="it-IT"/>
        </w:rPr>
        <w:t xml:space="preserve">è </w:t>
      </w:r>
      <w:r>
        <w:rPr>
          <w:rFonts w:ascii="Book Antiqua"/>
          <w:rtl w:val="0"/>
          <w:lang w:val="it-IT"/>
        </w:rPr>
        <w:t>stata approvata il 2 marzo 2011.</w:t>
      </w:r>
    </w:p>
    <w:p>
      <w:pPr>
        <w:pStyle w:val="Normal"/>
        <w:tabs>
          <w:tab w:val="left" w:pos="9132"/>
        </w:tabs>
        <w:ind w:left="567" w:right="567" w:firstLine="0"/>
        <w:jc w:val="both"/>
        <w:rPr>
          <w:rFonts w:ascii="Book Antiqua Bold" w:cs="Book Antiqua Bold" w:hAnsi="Book Antiqua Bold" w:eastAsia="Book Antiqua Bold"/>
          <w:b w:val="1"/>
          <w:bCs w:val="1"/>
        </w:rPr>
      </w:pPr>
      <w:r>
        <w:rPr>
          <w:rFonts w:ascii="Book Antiqua"/>
          <w:rtl w:val="0"/>
          <w:lang w:val="it-IT"/>
        </w:rPr>
        <w:t xml:space="preserve">Essa interviene dopo che </w:t>
      </w:r>
      <w:r>
        <w:rPr>
          <w:rFonts w:hAnsi="Book Antiqua" w:hint="default"/>
          <w:rtl w:val="0"/>
          <w:lang w:val="it-IT"/>
        </w:rPr>
        <w:t xml:space="preserve">è </w:t>
      </w:r>
      <w:r>
        <w:rPr>
          <w:rFonts w:ascii="Book Antiqua"/>
          <w:rtl w:val="0"/>
          <w:lang w:val="it-IT"/>
        </w:rPr>
        <w:t>cessata la gestione emergenziale e i poteri sono tornati alle autorit</w:t>
      </w:r>
      <w:r>
        <w:rPr>
          <w:rFonts w:hAnsi="Book Antiqua" w:hint="default"/>
          <w:rtl w:val="0"/>
          <w:lang w:val="it-IT"/>
        </w:rPr>
        <w:t xml:space="preserve">à </w:t>
      </w:r>
      <w:r>
        <w:rPr>
          <w:rFonts w:ascii="Book Antiqua"/>
          <w:rtl w:val="0"/>
          <w:lang w:val="it-IT"/>
        </w:rPr>
        <w:t>e amministrazioni ordinarie.</w:t>
      </w:r>
    </w:p>
    <w:p>
      <w:pPr>
        <w:pStyle w:val="Normal"/>
        <w:tabs>
          <w:tab w:val="left" w:pos="9132"/>
        </w:tabs>
        <w:ind w:left="567" w:right="567" w:firstLine="0"/>
        <w:jc w:val="both"/>
        <w:rPr>
          <w:rFonts w:ascii="Book Antiqua" w:cs="Book Antiqua" w:hAnsi="Book Antiqua" w:eastAsia="Book Antiqua"/>
        </w:rPr>
      </w:pPr>
      <w:r>
        <w:rPr>
          <w:rFonts w:ascii="Book Antiqua"/>
          <w:rtl w:val="0"/>
          <w:lang w:val="it-IT"/>
        </w:rPr>
        <w:t>Tuttavia, la Commissione, gi</w:t>
      </w:r>
      <w:r>
        <w:rPr>
          <w:rFonts w:hAnsi="Book Antiqua" w:hint="default"/>
          <w:rtl w:val="0"/>
          <w:lang w:val="it-IT"/>
        </w:rPr>
        <w:t xml:space="preserve">à </w:t>
      </w:r>
      <w:r>
        <w:rPr>
          <w:rFonts w:ascii="Book Antiqua"/>
          <w:rtl w:val="0"/>
          <w:lang w:val="it-IT"/>
        </w:rPr>
        <w:t>in quel momento, rileva che la formale cessazione dell</w:t>
      </w:r>
      <w:r>
        <w:rPr>
          <w:rFonts w:hAnsi="Book Antiqua" w:hint="default"/>
          <w:rtl w:val="0"/>
          <w:lang w:val="it-IT"/>
        </w:rPr>
        <w:t>’</w:t>
      </w:r>
      <w:r>
        <w:rPr>
          <w:rFonts w:ascii="Book Antiqua"/>
          <w:rtl w:val="0"/>
          <w:lang w:val="it-IT"/>
        </w:rPr>
        <w:t xml:space="preserve">emergenza rifiuti nel Lazio </w:t>
      </w:r>
      <w:r>
        <w:rPr>
          <w:rFonts w:hAnsi="Book Antiqua" w:hint="default"/>
          <w:rtl w:val="0"/>
          <w:lang w:val="it-IT"/>
        </w:rPr>
        <w:t>“</w:t>
      </w:r>
      <w:r>
        <w:rPr>
          <w:rFonts w:ascii="Book Antiqua"/>
          <w:rtl w:val="0"/>
          <w:lang w:val="it-IT"/>
        </w:rPr>
        <w:t>sembra rispondere pi</w:t>
      </w:r>
      <w:r>
        <w:rPr>
          <w:rFonts w:hAnsi="Book Antiqua" w:hint="default"/>
          <w:rtl w:val="0"/>
          <w:lang w:val="it-IT"/>
        </w:rPr>
        <w:t xml:space="preserve">ù </w:t>
      </w:r>
      <w:r>
        <w:rPr>
          <w:rFonts w:ascii="Book Antiqua"/>
          <w:rtl w:val="0"/>
          <w:lang w:val="it-IT"/>
        </w:rPr>
        <w:t>a motivazioni politiche che al superamento delle criticit</w:t>
      </w:r>
      <w:r>
        <w:rPr>
          <w:rFonts w:hAnsi="Book Antiqua" w:hint="default"/>
          <w:rtl w:val="0"/>
          <w:lang w:val="it-IT"/>
        </w:rPr>
        <w:t xml:space="preserve">à </w:t>
      </w:r>
      <w:r>
        <w:rPr>
          <w:rFonts w:ascii="Book Antiqua"/>
          <w:rtl w:val="0"/>
          <w:lang w:val="it-IT"/>
        </w:rPr>
        <w:t>nella gestione del ciclo, che sono essenzialmente rappresentate dallo scarso sviluppo della raccolta differenziata, dalla lavorazione di bassa qualit</w:t>
      </w:r>
      <w:r>
        <w:rPr>
          <w:rFonts w:hAnsi="Book Antiqua" w:hint="default"/>
          <w:rtl w:val="0"/>
          <w:lang w:val="it-IT"/>
        </w:rPr>
        <w:t xml:space="preserve">à </w:t>
      </w:r>
      <w:r>
        <w:rPr>
          <w:rFonts w:ascii="Book Antiqua"/>
          <w:rtl w:val="0"/>
          <w:lang w:val="it-IT"/>
        </w:rPr>
        <w:t>dei rifiuti, dalla commistione tra parte politica e parte gestionale</w:t>
      </w:r>
      <w:r>
        <w:rPr>
          <w:rFonts w:hAnsi="Book Antiqua" w:hint="default"/>
          <w:rtl w:val="0"/>
          <w:lang w:val="it-IT"/>
        </w:rPr>
        <w:t>”</w:t>
      </w:r>
      <w:r>
        <w:rPr>
          <w:rFonts w:ascii="Book Antiqua"/>
          <w:rtl w:val="0"/>
          <w:lang w:val="it-IT"/>
        </w:rPr>
        <w:t>.</w:t>
      </w:r>
    </w:p>
    <w:p>
      <w:pPr>
        <w:pStyle w:val="Normal"/>
        <w:tabs>
          <w:tab w:val="left" w:pos="9132"/>
        </w:tabs>
        <w:ind w:left="567" w:right="567" w:firstLine="0"/>
        <w:jc w:val="both"/>
        <w:rPr>
          <w:rFonts w:ascii="Book Antiqua" w:cs="Book Antiqua" w:hAnsi="Book Antiqua" w:eastAsia="Book Antiqua"/>
        </w:rPr>
      </w:pPr>
    </w:p>
    <w:p>
      <w:pPr>
        <w:pStyle w:val="Normal"/>
        <w:tabs>
          <w:tab w:val="left" w:pos="9132"/>
        </w:tabs>
        <w:ind w:left="567" w:right="567" w:firstLine="0"/>
        <w:jc w:val="both"/>
        <w:rPr>
          <w:rFonts w:ascii="Book Antiqua" w:cs="Book Antiqua" w:hAnsi="Book Antiqua" w:eastAsia="Book Antiqua"/>
          <w:sz w:val="22"/>
          <w:szCs w:val="22"/>
        </w:rPr>
      </w:pPr>
      <w:r>
        <w:rPr>
          <w:rFonts w:hAnsi="Book Antiqua" w:hint="default"/>
          <w:sz w:val="22"/>
          <w:szCs w:val="22"/>
          <w:rtl w:val="0"/>
          <w:lang w:val="it-IT"/>
        </w:rPr>
        <w:t>“</w:t>
      </w:r>
      <w:r>
        <w:rPr>
          <w:rFonts w:ascii="Book Antiqua"/>
          <w:sz w:val="22"/>
          <w:szCs w:val="22"/>
          <w:rtl w:val="0"/>
          <w:lang w:val="it-IT"/>
        </w:rPr>
        <w:t xml:space="preserve">La gestione dei rifiuti nella regione Lazio, contrariamente agli orientamenti, alle scelte, alle strategie dettate dalle direttive comunitarie in materia di rifiuti e dalle norme nazionali, </w:t>
      </w:r>
      <w:r>
        <w:rPr>
          <w:rFonts w:hAnsi="Book Antiqua" w:hint="default"/>
          <w:sz w:val="22"/>
          <w:szCs w:val="22"/>
          <w:rtl w:val="0"/>
          <w:lang w:val="it-IT"/>
        </w:rPr>
        <w:t xml:space="preserve">è </w:t>
      </w:r>
      <w:r>
        <w:rPr>
          <w:rFonts w:ascii="Book Antiqua"/>
          <w:sz w:val="22"/>
          <w:szCs w:val="22"/>
          <w:rtl w:val="0"/>
          <w:lang w:val="it-IT"/>
        </w:rPr>
        <w:t xml:space="preserve">andata nel verso opposto a quello della gestione integrata. </w:t>
      </w:r>
    </w:p>
    <w:p>
      <w:pPr>
        <w:pStyle w:val="Normal"/>
        <w:tabs>
          <w:tab w:val="left" w:pos="9132"/>
        </w:tabs>
        <w:ind w:left="567" w:right="567" w:firstLine="0"/>
        <w:jc w:val="both"/>
        <w:rPr>
          <w:rFonts w:ascii="Book Antiqua" w:cs="Book Antiqua" w:hAnsi="Book Antiqua" w:eastAsia="Book Antiqua"/>
          <w:sz w:val="22"/>
          <w:szCs w:val="22"/>
        </w:rPr>
      </w:pPr>
      <w:r>
        <w:rPr>
          <w:rFonts w:ascii="Book Antiqua"/>
          <w:sz w:val="22"/>
          <w:szCs w:val="22"/>
          <w:rtl w:val="0"/>
          <w:lang w:val="it-IT"/>
        </w:rPr>
        <w:t xml:space="preserve">Nella regione sin dal 1999 </w:t>
      </w:r>
      <w:r>
        <w:rPr>
          <w:rFonts w:hAnsi="Book Antiqua" w:hint="default"/>
          <w:sz w:val="22"/>
          <w:szCs w:val="22"/>
          <w:rtl w:val="0"/>
          <w:lang w:val="it-IT"/>
        </w:rPr>
        <w:t xml:space="preserve">è </w:t>
      </w:r>
      <w:r>
        <w:rPr>
          <w:rFonts w:ascii="Book Antiqua"/>
          <w:sz w:val="22"/>
          <w:szCs w:val="22"/>
          <w:rtl w:val="0"/>
          <w:lang w:val="it-IT"/>
        </w:rPr>
        <w:t>stata decretata l</w:t>
      </w:r>
      <w:r>
        <w:rPr>
          <w:rFonts w:hAnsi="Book Antiqua" w:hint="default"/>
          <w:sz w:val="22"/>
          <w:szCs w:val="22"/>
          <w:rtl w:val="0"/>
          <w:lang w:val="it-IT"/>
        </w:rPr>
        <w:t>’</w:t>
      </w:r>
      <w:r>
        <w:rPr>
          <w:rFonts w:ascii="Book Antiqua"/>
          <w:sz w:val="22"/>
          <w:szCs w:val="22"/>
          <w:rtl w:val="0"/>
          <w:lang w:val="it-IT"/>
        </w:rPr>
        <w:t>urgenza e la gestione commissariale. La pi</w:t>
      </w:r>
      <w:r>
        <w:rPr>
          <w:rFonts w:hAnsi="Book Antiqua" w:hint="default"/>
          <w:sz w:val="22"/>
          <w:szCs w:val="22"/>
          <w:rtl w:val="0"/>
          <w:lang w:val="it-IT"/>
        </w:rPr>
        <w:t xml:space="preserve">ù </w:t>
      </w:r>
      <w:r>
        <w:rPr>
          <w:rFonts w:ascii="Book Antiqua"/>
          <w:sz w:val="22"/>
          <w:szCs w:val="22"/>
          <w:rtl w:val="0"/>
          <w:lang w:val="it-IT"/>
        </w:rPr>
        <w:t>che decennale durata dell</w:t>
      </w:r>
      <w:r>
        <w:rPr>
          <w:rFonts w:hAnsi="Book Antiqua" w:hint="default"/>
          <w:sz w:val="22"/>
          <w:szCs w:val="22"/>
          <w:rtl w:val="0"/>
          <w:lang w:val="it-IT"/>
        </w:rPr>
        <w:t>’</w:t>
      </w:r>
      <w:r>
        <w:rPr>
          <w:rFonts w:ascii="Book Antiqua"/>
          <w:sz w:val="22"/>
          <w:szCs w:val="22"/>
          <w:rtl w:val="0"/>
          <w:lang w:val="it-IT"/>
        </w:rPr>
        <w:t>emergenza rifiuti ha dimostrato sia il fallimento dei poteri d</w:t>
      </w:r>
      <w:r>
        <w:rPr>
          <w:rFonts w:hAnsi="Book Antiqua" w:hint="default"/>
          <w:sz w:val="22"/>
          <w:szCs w:val="22"/>
          <w:rtl w:val="0"/>
          <w:lang w:val="it-IT"/>
        </w:rPr>
        <w:t>’</w:t>
      </w:r>
      <w:r>
        <w:rPr>
          <w:rFonts w:ascii="Book Antiqua"/>
          <w:sz w:val="22"/>
          <w:szCs w:val="22"/>
          <w:rtl w:val="0"/>
          <w:lang w:val="it-IT"/>
        </w:rPr>
        <w:t>urgenza, sia la difficolt</w:t>
      </w:r>
      <w:r>
        <w:rPr>
          <w:rFonts w:hAnsi="Book Antiqua" w:hint="default"/>
          <w:sz w:val="22"/>
          <w:szCs w:val="22"/>
          <w:rtl w:val="0"/>
          <w:lang w:val="it-IT"/>
        </w:rPr>
        <w:t xml:space="preserve">à </w:t>
      </w:r>
      <w:r>
        <w:rPr>
          <w:rFonts w:ascii="Book Antiqua"/>
          <w:sz w:val="22"/>
          <w:szCs w:val="22"/>
          <w:rtl w:val="0"/>
          <w:lang w:val="it-IT"/>
        </w:rPr>
        <w:t>di riportare a una gestione ordinaria la raccolta, il trattamento e lo smaltimento dei rifiuti prodotti.</w:t>
      </w:r>
    </w:p>
    <w:p>
      <w:pPr>
        <w:pStyle w:val="Normal"/>
        <w:tabs>
          <w:tab w:val="left" w:pos="9132"/>
        </w:tabs>
        <w:ind w:left="567" w:right="567" w:firstLine="0"/>
        <w:jc w:val="both"/>
        <w:rPr>
          <w:rFonts w:ascii="Book Antiqua" w:cs="Book Antiqua" w:hAnsi="Book Antiqua" w:eastAsia="Book Antiqua"/>
          <w:sz w:val="22"/>
          <w:szCs w:val="22"/>
        </w:rPr>
      </w:pPr>
      <w:r>
        <w:rPr>
          <w:rFonts w:hAnsi="Book Antiqua" w:hint="default"/>
          <w:sz w:val="22"/>
          <w:szCs w:val="22"/>
          <w:rtl w:val="0"/>
          <w:lang w:val="it-IT"/>
        </w:rPr>
        <w:t xml:space="preserve">È </w:t>
      </w:r>
      <w:r>
        <w:rPr>
          <w:rFonts w:ascii="Book Antiqua"/>
          <w:sz w:val="22"/>
          <w:szCs w:val="22"/>
          <w:rtl w:val="0"/>
          <w:lang w:val="it-IT"/>
        </w:rPr>
        <w:t xml:space="preserve">stato privilegiato il ricorso allo smaltimento in discarica (con richieste di ampliamenti, deroghe e nuove installazioni) e non il ricorso al </w:t>
      </w:r>
      <w:r>
        <w:rPr>
          <w:rFonts w:ascii="Book Antiqua"/>
          <w:i w:val="1"/>
          <w:iCs w:val="1"/>
          <w:sz w:val="22"/>
          <w:szCs w:val="22"/>
          <w:rtl w:val="0"/>
          <w:lang w:val="it-IT"/>
        </w:rPr>
        <w:t>revamping</w:t>
      </w:r>
      <w:r>
        <w:rPr>
          <w:rFonts w:ascii="Book Antiqua"/>
          <w:sz w:val="22"/>
          <w:szCs w:val="22"/>
          <w:rtl w:val="0"/>
          <w:lang w:val="it-IT"/>
        </w:rPr>
        <w:t>, all</w:t>
      </w:r>
      <w:r>
        <w:rPr>
          <w:rFonts w:hAnsi="Book Antiqua" w:hint="default"/>
          <w:sz w:val="22"/>
          <w:szCs w:val="22"/>
          <w:rtl w:val="0"/>
          <w:lang w:val="it-IT"/>
        </w:rPr>
        <w:t>’</w:t>
      </w:r>
      <w:r>
        <w:rPr>
          <w:rFonts w:ascii="Book Antiqua"/>
          <w:sz w:val="22"/>
          <w:szCs w:val="22"/>
          <w:rtl w:val="0"/>
          <w:lang w:val="it-IT"/>
        </w:rPr>
        <w:t xml:space="preserve">ammodernamento e potenziamento delle strutture di trattamento esistenti, in parte obsolete, per la separazione secco-umido del rifiuto </w:t>
      </w:r>
      <w:r>
        <w:rPr>
          <w:rFonts w:ascii="Book Antiqua"/>
          <w:i w:val="1"/>
          <w:iCs w:val="1"/>
          <w:sz w:val="22"/>
          <w:szCs w:val="22"/>
          <w:rtl w:val="0"/>
          <w:lang w:val="it-IT"/>
        </w:rPr>
        <w:t>tal quale</w:t>
      </w:r>
      <w:r>
        <w:rPr>
          <w:rFonts w:ascii="Book Antiqua"/>
          <w:sz w:val="22"/>
          <w:szCs w:val="22"/>
          <w:rtl w:val="0"/>
          <w:lang w:val="it-IT"/>
        </w:rPr>
        <w:t>, alla stabilizzazione della frazione umida con produzione di FOS da destinare alla ricopertura delle discariche e/o al ripristino delle cave esaurite, al TMB (trattamento meccanico biologico).</w:t>
      </w:r>
    </w:p>
    <w:p>
      <w:pPr>
        <w:pStyle w:val="Normal"/>
        <w:tabs>
          <w:tab w:val="left" w:pos="9132"/>
        </w:tabs>
        <w:ind w:left="567" w:right="567" w:firstLine="0"/>
        <w:jc w:val="both"/>
        <w:rPr>
          <w:rFonts w:ascii="Book Antiqua" w:cs="Book Antiqua" w:hAnsi="Book Antiqua" w:eastAsia="Book Antiqua"/>
          <w:sz w:val="22"/>
          <w:szCs w:val="22"/>
        </w:rPr>
      </w:pPr>
      <w:r>
        <w:rPr>
          <w:rFonts w:ascii="Book Antiqua"/>
          <w:sz w:val="22"/>
          <w:szCs w:val="22"/>
          <w:rtl w:val="0"/>
          <w:lang w:val="it-IT"/>
        </w:rPr>
        <w:t>Gli interventi effettuati in questi anni sono stati mirati pi</w:t>
      </w:r>
      <w:r>
        <w:rPr>
          <w:rFonts w:hAnsi="Book Antiqua" w:hint="default"/>
          <w:sz w:val="22"/>
          <w:szCs w:val="22"/>
          <w:rtl w:val="0"/>
          <w:lang w:val="it-IT"/>
        </w:rPr>
        <w:t xml:space="preserve">ù </w:t>
      </w:r>
      <w:r>
        <w:rPr>
          <w:rFonts w:ascii="Book Antiqua"/>
          <w:sz w:val="22"/>
          <w:szCs w:val="22"/>
          <w:rtl w:val="0"/>
          <w:lang w:val="it-IT"/>
        </w:rPr>
        <w:t>al superamento della contingenza, con la realizzazione di discariche, impianti di CDR e di inceneritori, che sulla necessit</w:t>
      </w:r>
      <w:r>
        <w:rPr>
          <w:rFonts w:hAnsi="Book Antiqua" w:hint="default"/>
          <w:sz w:val="22"/>
          <w:szCs w:val="22"/>
          <w:rtl w:val="0"/>
          <w:lang w:val="it-IT"/>
        </w:rPr>
        <w:t xml:space="preserve">à </w:t>
      </w:r>
      <w:r>
        <w:rPr>
          <w:rFonts w:ascii="Book Antiqua"/>
          <w:sz w:val="22"/>
          <w:szCs w:val="22"/>
          <w:rtl w:val="0"/>
          <w:lang w:val="it-IT"/>
        </w:rPr>
        <w:t>di una efficace programmazione della raccolta differenziata che si attesta su valori del 12-13 per cento fino al 2010, con il fallimento di tutti gli obiettivi fissati dal decreto legislativo n. 22 del 1997 e dalla stessa programmazione regionale.</w:t>
      </w:r>
    </w:p>
    <w:p>
      <w:pPr>
        <w:pStyle w:val="Normal"/>
        <w:tabs>
          <w:tab w:val="left" w:pos="9132"/>
        </w:tabs>
        <w:ind w:left="567" w:right="567" w:firstLine="0"/>
        <w:jc w:val="both"/>
        <w:rPr>
          <w:rFonts w:ascii="Book Antiqua" w:cs="Book Antiqua" w:hAnsi="Book Antiqua" w:eastAsia="Book Antiqua"/>
          <w:sz w:val="22"/>
          <w:szCs w:val="22"/>
        </w:rPr>
      </w:pPr>
      <w:r>
        <w:rPr>
          <w:rFonts w:ascii="Book Antiqua"/>
          <w:sz w:val="22"/>
          <w:szCs w:val="22"/>
          <w:rtl w:val="0"/>
          <w:lang w:val="it-IT"/>
        </w:rPr>
        <w:t>I vari impianti per la produzione di CDR forniscono per lo pi</w:t>
      </w:r>
      <w:r>
        <w:rPr>
          <w:rFonts w:hAnsi="Book Antiqua" w:hint="default"/>
          <w:sz w:val="22"/>
          <w:szCs w:val="22"/>
          <w:rtl w:val="0"/>
          <w:lang w:val="it-IT"/>
        </w:rPr>
        <w:t>ù ’</w:t>
      </w:r>
      <w:r>
        <w:rPr>
          <w:rFonts w:ascii="Book Antiqua"/>
          <w:sz w:val="22"/>
          <w:szCs w:val="22"/>
          <w:rtl w:val="0"/>
          <w:lang w:val="it-IT"/>
        </w:rPr>
        <w:t>ecoballe</w:t>
      </w:r>
      <w:r>
        <w:rPr>
          <w:rFonts w:hAnsi="Book Antiqua" w:hint="default"/>
          <w:sz w:val="22"/>
          <w:szCs w:val="22"/>
          <w:rtl w:val="0"/>
          <w:lang w:val="it-IT"/>
        </w:rPr>
        <w:t>’</w:t>
      </w:r>
      <w:r>
        <w:rPr>
          <w:rFonts w:ascii="Book Antiqua"/>
          <w:sz w:val="22"/>
          <w:szCs w:val="22"/>
          <w:rtl w:val="0"/>
          <w:lang w:val="it-IT"/>
        </w:rPr>
        <w:t>, che finiscono prevalentemente in discarica, in quanto di scarsa qualit</w:t>
      </w:r>
      <w:r>
        <w:rPr>
          <w:rFonts w:hAnsi="Book Antiqua" w:hint="default"/>
          <w:sz w:val="22"/>
          <w:szCs w:val="22"/>
          <w:rtl w:val="0"/>
          <w:lang w:val="it-IT"/>
        </w:rPr>
        <w:t xml:space="preserve">à </w:t>
      </w:r>
      <w:r>
        <w:rPr>
          <w:rFonts w:ascii="Book Antiqua"/>
          <w:sz w:val="22"/>
          <w:szCs w:val="22"/>
          <w:rtl w:val="0"/>
          <w:lang w:val="it-IT"/>
        </w:rPr>
        <w:t>e non idonee per la termovalorizzazione. Nonostante ci</w:t>
      </w:r>
      <w:r>
        <w:rPr>
          <w:rFonts w:hAnsi="Book Antiqua" w:hint="default"/>
          <w:sz w:val="22"/>
          <w:szCs w:val="22"/>
          <w:rtl w:val="0"/>
          <w:lang w:val="it-IT"/>
        </w:rPr>
        <w:t>ò</w:t>
      </w:r>
      <w:r>
        <w:rPr>
          <w:rFonts w:ascii="Book Antiqua"/>
          <w:sz w:val="22"/>
          <w:szCs w:val="22"/>
          <w:rtl w:val="0"/>
          <w:lang w:val="it-IT"/>
        </w:rPr>
        <w:t>, per la gestione integrata del ciclo, si continua, anche con il piano della nuova giunta regionale, a scommettere troppo sugli impianti di termovalorizzazione che sembrano sovradimensionati e che lo saranno ancora di pi</w:t>
      </w:r>
      <w:r>
        <w:rPr>
          <w:rFonts w:hAnsi="Book Antiqua" w:hint="default"/>
          <w:sz w:val="22"/>
          <w:szCs w:val="22"/>
          <w:rtl w:val="0"/>
          <w:lang w:val="it-IT"/>
        </w:rPr>
        <w:t xml:space="preserve">ù </w:t>
      </w:r>
      <w:r>
        <w:rPr>
          <w:rFonts w:ascii="Book Antiqua"/>
          <w:sz w:val="22"/>
          <w:szCs w:val="22"/>
          <w:rtl w:val="0"/>
          <w:lang w:val="it-IT"/>
        </w:rPr>
        <w:t>col raggiungimento di obiettivi accettabili di raccolta differenziata.</w:t>
      </w:r>
    </w:p>
    <w:p>
      <w:pPr>
        <w:pStyle w:val="Normal"/>
        <w:tabs>
          <w:tab w:val="left" w:pos="9132"/>
        </w:tabs>
        <w:ind w:left="567" w:right="567" w:firstLine="0"/>
        <w:jc w:val="both"/>
        <w:rPr>
          <w:rFonts w:ascii="Book Antiqua" w:cs="Book Antiqua" w:hAnsi="Book Antiqua" w:eastAsia="Book Antiqua"/>
          <w:sz w:val="22"/>
          <w:szCs w:val="22"/>
        </w:rPr>
      </w:pPr>
      <w:r>
        <w:rPr>
          <w:rFonts w:ascii="Book Antiqua"/>
          <w:sz w:val="22"/>
          <w:szCs w:val="22"/>
          <w:rtl w:val="0"/>
          <w:lang w:val="it-IT"/>
        </w:rPr>
        <w:t>Il TAR Lazio ha annullato le procedure per la costruzione dell</w:t>
      </w:r>
      <w:r>
        <w:rPr>
          <w:rFonts w:hAnsi="Book Antiqua" w:hint="default"/>
          <w:sz w:val="22"/>
          <w:szCs w:val="22"/>
          <w:rtl w:val="0"/>
          <w:lang w:val="it-IT"/>
        </w:rPr>
        <w:t>’</w:t>
      </w:r>
      <w:r>
        <w:rPr>
          <w:rFonts w:ascii="Book Antiqua"/>
          <w:sz w:val="22"/>
          <w:szCs w:val="22"/>
          <w:rtl w:val="0"/>
          <w:lang w:val="it-IT"/>
        </w:rPr>
        <w:t>impianto di gassificazione di Albano. Il TAR, esprimendosi su pi</w:t>
      </w:r>
      <w:r>
        <w:rPr>
          <w:rFonts w:hAnsi="Book Antiqua" w:hint="default"/>
          <w:sz w:val="22"/>
          <w:szCs w:val="22"/>
          <w:rtl w:val="0"/>
          <w:lang w:val="it-IT"/>
        </w:rPr>
        <w:t xml:space="preserve">ù </w:t>
      </w:r>
      <w:r>
        <w:rPr>
          <w:rFonts w:ascii="Book Antiqua"/>
          <w:sz w:val="22"/>
          <w:szCs w:val="22"/>
          <w:rtl w:val="0"/>
          <w:lang w:val="it-IT"/>
        </w:rPr>
        <w:t xml:space="preserve">ricorsi, proposti da otto sindaci e da numerose associazioni di cittadini, </w:t>
      </w:r>
      <w:r>
        <w:rPr>
          <w:rFonts w:hAnsi="Book Antiqua" w:hint="default"/>
          <w:sz w:val="22"/>
          <w:szCs w:val="22"/>
          <w:rtl w:val="0"/>
          <w:lang w:val="it-IT"/>
        </w:rPr>
        <w:t xml:space="preserve">è </w:t>
      </w:r>
      <w:r>
        <w:rPr>
          <w:rFonts w:ascii="Book Antiqua"/>
          <w:sz w:val="22"/>
          <w:szCs w:val="22"/>
          <w:rtl w:val="0"/>
          <w:lang w:val="it-IT"/>
        </w:rPr>
        <w:t>intervenuto nel merito, ritenendo illegittime le procedure per il rilascio della VIA, insufficienti le misure previste per tutelare la salute pubblica con l</w:t>
      </w:r>
      <w:r>
        <w:rPr>
          <w:rFonts w:hAnsi="Book Antiqua" w:hint="default"/>
          <w:sz w:val="22"/>
          <w:szCs w:val="22"/>
          <w:rtl w:val="0"/>
          <w:lang w:val="it-IT"/>
        </w:rPr>
        <w:t>’</w:t>
      </w:r>
      <w:r>
        <w:rPr>
          <w:rFonts w:ascii="Book Antiqua"/>
          <w:sz w:val="22"/>
          <w:szCs w:val="22"/>
          <w:rtl w:val="0"/>
          <w:lang w:val="it-IT"/>
        </w:rPr>
        <w:t>abbattimento delle polveri sottili e per preservare le risorse idriche, in un contesto di particolare problematicit</w:t>
      </w:r>
      <w:r>
        <w:rPr>
          <w:rFonts w:hAnsi="Book Antiqua" w:hint="default"/>
          <w:sz w:val="22"/>
          <w:szCs w:val="22"/>
          <w:rtl w:val="0"/>
          <w:lang w:val="it-IT"/>
        </w:rPr>
        <w:t>à</w:t>
      </w:r>
      <w:r>
        <w:rPr>
          <w:rFonts w:ascii="Book Antiqua"/>
          <w:sz w:val="22"/>
          <w:szCs w:val="22"/>
          <w:rtl w:val="0"/>
          <w:lang w:val="it-IT"/>
        </w:rPr>
        <w:t>.</w:t>
      </w:r>
    </w:p>
    <w:p>
      <w:pPr>
        <w:pStyle w:val="Normal"/>
        <w:tabs>
          <w:tab w:val="left" w:pos="9132"/>
        </w:tabs>
        <w:ind w:left="567" w:right="567" w:firstLine="0"/>
        <w:jc w:val="both"/>
        <w:rPr>
          <w:rFonts w:ascii="Book Antiqua" w:cs="Book Antiqua" w:hAnsi="Book Antiqua" w:eastAsia="Book Antiqua"/>
          <w:sz w:val="22"/>
          <w:szCs w:val="22"/>
        </w:rPr>
      </w:pPr>
      <w:r>
        <w:rPr>
          <w:rFonts w:ascii="Book Antiqua"/>
          <w:sz w:val="22"/>
          <w:szCs w:val="22"/>
          <w:rtl w:val="0"/>
          <w:lang w:val="it-IT"/>
        </w:rPr>
        <w:t>Le inadempienze del governo regionale hanno comportato, da parte della Unione europea, l</w:t>
      </w:r>
      <w:r>
        <w:rPr>
          <w:rFonts w:hAnsi="Book Antiqua" w:hint="default"/>
          <w:sz w:val="22"/>
          <w:szCs w:val="22"/>
          <w:rtl w:val="0"/>
          <w:lang w:val="it-IT"/>
        </w:rPr>
        <w:t>’</w:t>
      </w:r>
      <w:r>
        <w:rPr>
          <w:rFonts w:ascii="Book Antiqua"/>
          <w:sz w:val="22"/>
          <w:szCs w:val="22"/>
          <w:rtl w:val="0"/>
          <w:lang w:val="it-IT"/>
        </w:rPr>
        <w:t>attivazione di una procedura d</w:t>
      </w:r>
      <w:r>
        <w:rPr>
          <w:rFonts w:hAnsi="Book Antiqua" w:hint="default"/>
          <w:sz w:val="22"/>
          <w:szCs w:val="22"/>
          <w:rtl w:val="0"/>
          <w:lang w:val="it-IT"/>
        </w:rPr>
        <w:t>’</w:t>
      </w:r>
      <w:r>
        <w:rPr>
          <w:rFonts w:ascii="Book Antiqua"/>
          <w:sz w:val="22"/>
          <w:szCs w:val="22"/>
          <w:rtl w:val="0"/>
          <w:lang w:val="it-IT"/>
        </w:rPr>
        <w:t>infrazione cui la nuova giunta regionale ha cercato di porre rimedio con l</w:t>
      </w:r>
      <w:r>
        <w:rPr>
          <w:rFonts w:hAnsi="Book Antiqua" w:hint="default"/>
          <w:sz w:val="22"/>
          <w:szCs w:val="22"/>
          <w:rtl w:val="0"/>
          <w:lang w:val="it-IT"/>
        </w:rPr>
        <w:t>’</w:t>
      </w:r>
      <w:r>
        <w:rPr>
          <w:rFonts w:ascii="Book Antiqua"/>
          <w:sz w:val="22"/>
          <w:szCs w:val="22"/>
          <w:rtl w:val="0"/>
          <w:lang w:val="it-IT"/>
        </w:rPr>
        <w:t>emanazione del nuovo piano di gestione dei rifiuti avvenuta il 19 novembre 2010, e con la presentazione ed illustrazione dello stesso alla Commissione europea avvenuta nell</w:t>
      </w:r>
      <w:r>
        <w:rPr>
          <w:rFonts w:hAnsi="Book Antiqua" w:hint="default"/>
          <w:sz w:val="22"/>
          <w:szCs w:val="22"/>
          <w:rtl w:val="0"/>
          <w:lang w:val="it-IT"/>
        </w:rPr>
        <w:t>’</w:t>
      </w:r>
      <w:r>
        <w:rPr>
          <w:rFonts w:ascii="Book Antiqua"/>
          <w:sz w:val="22"/>
          <w:szCs w:val="22"/>
          <w:rtl w:val="0"/>
          <w:lang w:val="it-IT"/>
        </w:rPr>
        <w:t>ultima settimana di gennaio 2011.</w:t>
      </w:r>
    </w:p>
    <w:p>
      <w:pPr>
        <w:pStyle w:val="Normal"/>
        <w:tabs>
          <w:tab w:val="left" w:pos="9132"/>
        </w:tabs>
        <w:ind w:left="567" w:right="567" w:firstLine="0"/>
        <w:jc w:val="both"/>
        <w:rPr>
          <w:rFonts w:ascii="Book Antiqua" w:cs="Book Antiqua" w:hAnsi="Book Antiqua" w:eastAsia="Book Antiqua"/>
          <w:sz w:val="22"/>
          <w:szCs w:val="22"/>
        </w:rPr>
      </w:pPr>
      <w:r>
        <w:rPr>
          <w:rFonts w:ascii="Book Antiqua"/>
          <w:sz w:val="22"/>
          <w:szCs w:val="22"/>
          <w:rtl w:val="0"/>
          <w:lang w:val="it-IT"/>
        </w:rPr>
        <w:t>Il nuovo piano regionale persegue essenzialmente l</w:t>
      </w:r>
      <w:r>
        <w:rPr>
          <w:rFonts w:hAnsi="Book Antiqua" w:hint="default"/>
          <w:sz w:val="22"/>
          <w:szCs w:val="22"/>
          <w:rtl w:val="0"/>
          <w:lang w:val="it-IT"/>
        </w:rPr>
        <w:t>’</w:t>
      </w:r>
      <w:r>
        <w:rPr>
          <w:rFonts w:ascii="Book Antiqua"/>
          <w:sz w:val="22"/>
          <w:szCs w:val="22"/>
          <w:rtl w:val="0"/>
          <w:lang w:val="it-IT"/>
        </w:rPr>
        <w:t>obiettivo di autosufficienza del sistema attraverso l</w:t>
      </w:r>
      <w:r>
        <w:rPr>
          <w:rFonts w:hAnsi="Book Antiqua" w:hint="default"/>
          <w:sz w:val="22"/>
          <w:szCs w:val="22"/>
          <w:rtl w:val="0"/>
          <w:lang w:val="it-IT"/>
        </w:rPr>
        <w:t>’</w:t>
      </w:r>
      <w:r>
        <w:rPr>
          <w:rFonts w:ascii="Book Antiqua"/>
          <w:sz w:val="22"/>
          <w:szCs w:val="22"/>
          <w:rtl w:val="0"/>
          <w:lang w:val="it-IT"/>
        </w:rPr>
        <w:t xml:space="preserve">organizzazione di un ATO regionale e cinque sub-ATO provinciali, della chiusura del ciclo secondo i criteri della gestione integrata attraverso i quali, a fronte di un potenziamento della raccolta differenziata, del trattamento di separazione del rifiuto </w:t>
      </w:r>
      <w:r>
        <w:rPr>
          <w:rFonts w:ascii="Book Antiqua"/>
          <w:i w:val="1"/>
          <w:iCs w:val="1"/>
          <w:sz w:val="22"/>
          <w:szCs w:val="22"/>
          <w:rtl w:val="0"/>
          <w:lang w:val="it-IT"/>
        </w:rPr>
        <w:t>tal quale</w:t>
      </w:r>
      <w:r>
        <w:rPr>
          <w:rFonts w:ascii="Book Antiqua"/>
          <w:sz w:val="22"/>
          <w:szCs w:val="22"/>
          <w:rtl w:val="0"/>
          <w:lang w:val="it-IT"/>
        </w:rPr>
        <w:t>, della termovalorizzazione della frazione secca raffinata (CDR), la discarica dovr</w:t>
      </w:r>
      <w:r>
        <w:rPr>
          <w:rFonts w:hAnsi="Book Antiqua" w:hint="default"/>
          <w:sz w:val="22"/>
          <w:szCs w:val="22"/>
          <w:rtl w:val="0"/>
          <w:lang w:val="it-IT"/>
        </w:rPr>
        <w:t xml:space="preserve">à </w:t>
      </w:r>
      <w:r>
        <w:rPr>
          <w:rFonts w:ascii="Book Antiqua"/>
          <w:sz w:val="22"/>
          <w:szCs w:val="22"/>
          <w:rtl w:val="0"/>
          <w:lang w:val="it-IT"/>
        </w:rPr>
        <w:t>avere nel tempo un ruolo decisamente residuale.</w:t>
      </w:r>
    </w:p>
    <w:p>
      <w:pPr>
        <w:pStyle w:val="Normal"/>
        <w:tabs>
          <w:tab w:val="left" w:pos="9132"/>
        </w:tabs>
        <w:ind w:left="567" w:right="567" w:firstLine="0"/>
        <w:jc w:val="both"/>
        <w:rPr>
          <w:rFonts w:ascii="Book Antiqua" w:cs="Book Antiqua" w:hAnsi="Book Antiqua" w:eastAsia="Book Antiqua"/>
          <w:sz w:val="22"/>
          <w:szCs w:val="22"/>
        </w:rPr>
      </w:pPr>
      <w:r>
        <w:rPr>
          <w:rFonts w:ascii="Book Antiqua"/>
          <w:sz w:val="22"/>
          <w:szCs w:val="22"/>
          <w:rtl w:val="0"/>
          <w:lang w:val="it-IT"/>
        </w:rPr>
        <w:t xml:space="preserve">Il piano ha posto quindi come obiettivo centrale e prioritario da raggiungere entro il 2011 il 60 per cento di raccolta differenziata sul territorio regionale. Vi </w:t>
      </w:r>
      <w:r>
        <w:rPr>
          <w:rFonts w:hAnsi="Book Antiqua" w:hint="default"/>
          <w:sz w:val="22"/>
          <w:szCs w:val="22"/>
          <w:rtl w:val="0"/>
          <w:lang w:val="it-IT"/>
        </w:rPr>
        <w:t xml:space="preserve">è </w:t>
      </w:r>
      <w:r>
        <w:rPr>
          <w:rFonts w:ascii="Book Antiqua"/>
          <w:sz w:val="22"/>
          <w:szCs w:val="22"/>
          <w:rtl w:val="0"/>
          <w:lang w:val="it-IT"/>
        </w:rPr>
        <w:t xml:space="preserve">tuttavia da considerare che essendo stato assai basso negli ultimi anni il </w:t>
      </w:r>
      <w:r>
        <w:rPr>
          <w:rFonts w:ascii="Book Antiqua"/>
          <w:i w:val="1"/>
          <w:iCs w:val="1"/>
          <w:sz w:val="22"/>
          <w:szCs w:val="22"/>
          <w:rtl w:val="0"/>
          <w:lang w:val="it-IT"/>
        </w:rPr>
        <w:t xml:space="preserve">trend </w:t>
      </w:r>
      <w:r>
        <w:rPr>
          <w:rFonts w:ascii="Book Antiqua"/>
          <w:sz w:val="22"/>
          <w:szCs w:val="22"/>
          <w:rtl w:val="0"/>
          <w:lang w:val="it-IT"/>
        </w:rPr>
        <w:t>di crescita della differenziata, il traguardo appare irraggiungibile nei tempi previsti.</w:t>
      </w:r>
    </w:p>
    <w:p>
      <w:pPr>
        <w:pStyle w:val="Normal"/>
        <w:tabs>
          <w:tab w:val="left" w:pos="9132"/>
        </w:tabs>
        <w:ind w:left="567" w:right="567" w:firstLine="0"/>
        <w:jc w:val="both"/>
        <w:rPr>
          <w:rFonts w:ascii="Book Antiqua" w:cs="Book Antiqua" w:hAnsi="Book Antiqua" w:eastAsia="Book Antiqua"/>
          <w:sz w:val="22"/>
          <w:szCs w:val="22"/>
        </w:rPr>
      </w:pPr>
      <w:r>
        <w:rPr>
          <w:rFonts w:ascii="Book Antiqua"/>
          <w:sz w:val="22"/>
          <w:szCs w:val="22"/>
          <w:rtl w:val="0"/>
          <w:lang w:val="it-IT"/>
        </w:rPr>
        <w:t>Si aggiunga che la realizzazione della nuova impiantistica prevista o l</w:t>
      </w:r>
      <w:r>
        <w:rPr>
          <w:rFonts w:hAnsi="Book Antiqua" w:hint="default"/>
          <w:sz w:val="22"/>
          <w:szCs w:val="22"/>
          <w:rtl w:val="0"/>
          <w:lang w:val="it-IT"/>
        </w:rPr>
        <w:t>’</w:t>
      </w:r>
      <w:r>
        <w:rPr>
          <w:rFonts w:ascii="Book Antiqua"/>
          <w:sz w:val="22"/>
          <w:szCs w:val="22"/>
          <w:rtl w:val="0"/>
          <w:lang w:val="it-IT"/>
        </w:rPr>
        <w:t>attivazione di quella gi</w:t>
      </w:r>
      <w:r>
        <w:rPr>
          <w:rFonts w:hAnsi="Book Antiqua" w:hint="default"/>
          <w:sz w:val="22"/>
          <w:szCs w:val="22"/>
          <w:rtl w:val="0"/>
          <w:lang w:val="it-IT"/>
        </w:rPr>
        <w:t xml:space="preserve">à </w:t>
      </w:r>
      <w:r>
        <w:rPr>
          <w:rFonts w:ascii="Book Antiqua"/>
          <w:sz w:val="22"/>
          <w:szCs w:val="22"/>
          <w:rtl w:val="0"/>
          <w:lang w:val="it-IT"/>
        </w:rPr>
        <w:t>autorizzata non potr</w:t>
      </w:r>
      <w:r>
        <w:rPr>
          <w:rFonts w:hAnsi="Book Antiqua" w:hint="default"/>
          <w:sz w:val="22"/>
          <w:szCs w:val="22"/>
          <w:rtl w:val="0"/>
          <w:lang w:val="it-IT"/>
        </w:rPr>
        <w:t xml:space="preserve">à </w:t>
      </w:r>
      <w:r>
        <w:rPr>
          <w:rFonts w:ascii="Book Antiqua"/>
          <w:sz w:val="22"/>
          <w:szCs w:val="22"/>
          <w:rtl w:val="0"/>
          <w:lang w:val="it-IT"/>
        </w:rPr>
        <w:t>compiersi prima di tre anni per alcuni impianti (trattamento TMB, compostaggio) o di quattro (realizzazione di una nuova linea di termovalorizzazione o la messa a completo regime di quelle esistenti).</w:t>
      </w:r>
    </w:p>
    <w:p>
      <w:pPr>
        <w:pStyle w:val="Normal"/>
        <w:tabs>
          <w:tab w:val="left" w:pos="9132"/>
        </w:tabs>
        <w:ind w:left="567" w:right="567" w:firstLine="0"/>
        <w:jc w:val="both"/>
        <w:rPr>
          <w:rFonts w:ascii="Book Antiqua" w:cs="Book Antiqua" w:hAnsi="Book Antiqua" w:eastAsia="Book Antiqua"/>
          <w:sz w:val="22"/>
          <w:szCs w:val="22"/>
        </w:rPr>
      </w:pPr>
      <w:r>
        <w:rPr>
          <w:rFonts w:ascii="Book Antiqua"/>
          <w:sz w:val="22"/>
          <w:szCs w:val="22"/>
          <w:rtl w:val="0"/>
          <w:lang w:val="it-IT"/>
        </w:rPr>
        <w:t>Conseguentemente tutte le iniziative legate al raggiungimento dell</w:t>
      </w:r>
      <w:r>
        <w:rPr>
          <w:rFonts w:hAnsi="Book Antiqua" w:hint="default"/>
          <w:sz w:val="22"/>
          <w:szCs w:val="22"/>
          <w:rtl w:val="0"/>
          <w:lang w:val="it-IT"/>
        </w:rPr>
        <w:t>’</w:t>
      </w:r>
      <w:r>
        <w:rPr>
          <w:rFonts w:ascii="Book Antiqua"/>
          <w:sz w:val="22"/>
          <w:szCs w:val="22"/>
          <w:rtl w:val="0"/>
          <w:lang w:val="it-IT"/>
        </w:rPr>
        <w:t>obiettivo appaiono ipotetiche e anche il ricorso al conferimento in discarica, che rappresenta il fallimento della gestione virtuosa del ciclo, diventa problematico per l</w:t>
      </w:r>
      <w:r>
        <w:rPr>
          <w:rFonts w:hAnsi="Book Antiqua" w:hint="default"/>
          <w:sz w:val="22"/>
          <w:szCs w:val="22"/>
          <w:rtl w:val="0"/>
          <w:lang w:val="it-IT"/>
        </w:rPr>
        <w:t>’</w:t>
      </w:r>
      <w:r>
        <w:rPr>
          <w:rFonts w:ascii="Book Antiqua"/>
          <w:sz w:val="22"/>
          <w:szCs w:val="22"/>
          <w:rtl w:val="0"/>
          <w:lang w:val="it-IT"/>
        </w:rPr>
        <w:t>esaurirsi della capacit</w:t>
      </w:r>
      <w:r>
        <w:rPr>
          <w:rFonts w:hAnsi="Book Antiqua" w:hint="default"/>
          <w:sz w:val="22"/>
          <w:szCs w:val="22"/>
          <w:rtl w:val="0"/>
          <w:lang w:val="it-IT"/>
        </w:rPr>
        <w:t xml:space="preserve">à </w:t>
      </w:r>
      <w:r>
        <w:rPr>
          <w:rFonts w:ascii="Book Antiqua"/>
          <w:sz w:val="22"/>
          <w:szCs w:val="22"/>
          <w:rtl w:val="0"/>
          <w:lang w:val="it-IT"/>
        </w:rPr>
        <w:t xml:space="preserve">di Malagrotta e delle altre discariche del Lazio. </w:t>
      </w:r>
    </w:p>
    <w:p>
      <w:pPr>
        <w:pStyle w:val="Normal"/>
        <w:tabs>
          <w:tab w:val="left" w:pos="9132"/>
        </w:tabs>
        <w:ind w:left="567" w:right="567" w:firstLine="0"/>
        <w:jc w:val="both"/>
        <w:rPr>
          <w:rFonts w:ascii="Book Antiqua" w:cs="Book Antiqua" w:hAnsi="Book Antiqua" w:eastAsia="Book Antiqua"/>
          <w:sz w:val="22"/>
          <w:szCs w:val="22"/>
        </w:rPr>
      </w:pPr>
      <w:r>
        <w:rPr>
          <w:rFonts w:ascii="Book Antiqua"/>
          <w:sz w:val="22"/>
          <w:szCs w:val="22"/>
          <w:rtl w:val="0"/>
          <w:lang w:val="it-IT"/>
        </w:rPr>
        <w:t>E</w:t>
      </w:r>
      <w:r>
        <w:rPr>
          <w:rFonts w:hAnsi="Book Antiqua" w:hint="default"/>
          <w:sz w:val="22"/>
          <w:szCs w:val="22"/>
          <w:rtl w:val="0"/>
          <w:lang w:val="it-IT"/>
        </w:rPr>
        <w:t xml:space="preserve">’ </w:t>
      </w:r>
      <w:r>
        <w:rPr>
          <w:rFonts w:ascii="Book Antiqua"/>
          <w:sz w:val="22"/>
          <w:szCs w:val="22"/>
          <w:rtl w:val="0"/>
          <w:lang w:val="it-IT"/>
        </w:rPr>
        <w:t>necessaria una convinta e coerente azione per determinare l</w:t>
      </w:r>
      <w:r>
        <w:rPr>
          <w:rFonts w:hAnsi="Book Antiqua" w:hint="default"/>
          <w:sz w:val="22"/>
          <w:szCs w:val="22"/>
          <w:rtl w:val="0"/>
          <w:lang w:val="it-IT"/>
        </w:rPr>
        <w:t>’</w:t>
      </w:r>
      <w:r>
        <w:rPr>
          <w:rFonts w:ascii="Book Antiqua"/>
          <w:sz w:val="22"/>
          <w:szCs w:val="22"/>
          <w:rtl w:val="0"/>
          <w:lang w:val="it-IT"/>
        </w:rPr>
        <w:t>aumento della raccolta differenziata. I positivi risultati raggiunti in molti comuni della provincia di Roma dimostrano che tale risultato si pu</w:t>
      </w:r>
      <w:r>
        <w:rPr>
          <w:rFonts w:hAnsi="Book Antiqua" w:hint="default"/>
          <w:sz w:val="22"/>
          <w:szCs w:val="22"/>
          <w:rtl w:val="0"/>
          <w:lang w:val="it-IT"/>
        </w:rPr>
        <w:t xml:space="preserve">ò </w:t>
      </w:r>
      <w:r>
        <w:rPr>
          <w:rFonts w:ascii="Book Antiqua"/>
          <w:sz w:val="22"/>
          <w:szCs w:val="22"/>
          <w:rtl w:val="0"/>
          <w:lang w:val="it-IT"/>
        </w:rPr>
        <w:t>ottenere con il concorso e il finanziamento di programmi sostenuti dai comuni, dalla provincia e dalla regione.</w:t>
      </w:r>
    </w:p>
    <w:p>
      <w:pPr>
        <w:pStyle w:val="Normal"/>
        <w:tabs>
          <w:tab w:val="left" w:pos="9132"/>
        </w:tabs>
        <w:ind w:left="567" w:right="567" w:firstLine="0"/>
        <w:jc w:val="both"/>
        <w:rPr>
          <w:rFonts w:ascii="Book Antiqua" w:cs="Book Antiqua" w:hAnsi="Book Antiqua" w:eastAsia="Book Antiqua"/>
          <w:sz w:val="22"/>
          <w:szCs w:val="22"/>
        </w:rPr>
      </w:pPr>
      <w:r>
        <w:rPr>
          <w:rFonts w:ascii="Book Antiqua"/>
          <w:sz w:val="22"/>
          <w:szCs w:val="22"/>
          <w:rtl w:val="0"/>
          <w:lang w:val="it-IT"/>
        </w:rPr>
        <w:t xml:space="preserve">In materia di gestione dei rifiuti speciali la situazione attuale </w:t>
      </w:r>
      <w:r>
        <w:rPr>
          <w:rFonts w:hAnsi="Book Antiqua" w:hint="default"/>
          <w:sz w:val="22"/>
          <w:szCs w:val="22"/>
          <w:rtl w:val="0"/>
          <w:lang w:val="it-IT"/>
        </w:rPr>
        <w:t xml:space="preserve">è </w:t>
      </w:r>
      <w:r>
        <w:rPr>
          <w:rFonts w:ascii="Book Antiqua"/>
          <w:sz w:val="22"/>
          <w:szCs w:val="22"/>
          <w:rtl w:val="0"/>
          <w:lang w:val="it-IT"/>
        </w:rPr>
        <w:t xml:space="preserve">stagnante con evidenti carenze impiantistiche. Vi </w:t>
      </w:r>
      <w:r>
        <w:rPr>
          <w:rFonts w:hAnsi="Book Antiqua" w:hint="default"/>
          <w:sz w:val="22"/>
          <w:szCs w:val="22"/>
          <w:rtl w:val="0"/>
          <w:lang w:val="it-IT"/>
        </w:rPr>
        <w:t xml:space="preserve">è </w:t>
      </w:r>
      <w:r>
        <w:rPr>
          <w:rFonts w:ascii="Book Antiqua"/>
          <w:sz w:val="22"/>
          <w:szCs w:val="22"/>
          <w:rtl w:val="0"/>
          <w:lang w:val="it-IT"/>
        </w:rPr>
        <w:t>la necessit</w:t>
      </w:r>
      <w:r>
        <w:rPr>
          <w:rFonts w:hAnsi="Book Antiqua" w:hint="default"/>
          <w:sz w:val="22"/>
          <w:szCs w:val="22"/>
          <w:rtl w:val="0"/>
          <w:lang w:val="it-IT"/>
        </w:rPr>
        <w:t xml:space="preserve">à </w:t>
      </w:r>
      <w:r>
        <w:rPr>
          <w:rFonts w:ascii="Book Antiqua"/>
          <w:sz w:val="22"/>
          <w:szCs w:val="22"/>
          <w:rtl w:val="0"/>
          <w:lang w:val="it-IT"/>
        </w:rPr>
        <w:t>di riavviare un piano credibile di bonifica delle aree contaminate pur considerando che le risorse economiche da mettere in campo non sono trascurabili.</w:t>
      </w:r>
    </w:p>
    <w:p>
      <w:pPr>
        <w:pStyle w:val="Normal"/>
        <w:tabs>
          <w:tab w:val="left" w:pos="9132"/>
        </w:tabs>
        <w:ind w:left="567" w:right="567" w:firstLine="0"/>
        <w:jc w:val="both"/>
        <w:rPr>
          <w:rFonts w:ascii="Book Antiqua" w:cs="Book Antiqua" w:hAnsi="Book Antiqua" w:eastAsia="Book Antiqua"/>
          <w:sz w:val="22"/>
          <w:szCs w:val="22"/>
        </w:rPr>
      </w:pPr>
      <w:r>
        <w:rPr>
          <w:rFonts w:ascii="Book Antiqua"/>
          <w:sz w:val="22"/>
          <w:szCs w:val="22"/>
          <w:rtl w:val="0"/>
          <w:lang w:val="it-IT"/>
        </w:rPr>
        <w:t>Le considerazioni sui problemi strutturali e organizzativi del ciclo dei rifiuti nella regione Lazio, ai fini dell</w:t>
      </w:r>
      <w:r>
        <w:rPr>
          <w:rFonts w:hAnsi="Book Antiqua" w:hint="default"/>
          <w:sz w:val="22"/>
          <w:szCs w:val="22"/>
          <w:rtl w:val="0"/>
          <w:lang w:val="it-IT"/>
        </w:rPr>
        <w:t>’</w:t>
      </w:r>
      <w:r>
        <w:rPr>
          <w:rFonts w:ascii="Book Antiqua"/>
          <w:sz w:val="22"/>
          <w:szCs w:val="22"/>
          <w:rtl w:val="0"/>
          <w:lang w:val="it-IT"/>
        </w:rPr>
        <w:t>indagine che rientra nei compiti istituzionali della Commissione, segnalano che le occasioni di infiltrazione della criminalit</w:t>
      </w:r>
      <w:r>
        <w:rPr>
          <w:rFonts w:hAnsi="Book Antiqua" w:hint="default"/>
          <w:sz w:val="22"/>
          <w:szCs w:val="22"/>
          <w:rtl w:val="0"/>
          <w:lang w:val="it-IT"/>
        </w:rPr>
        <w:t xml:space="preserve">à </w:t>
      </w:r>
      <w:r>
        <w:rPr>
          <w:rFonts w:ascii="Book Antiqua"/>
          <w:sz w:val="22"/>
          <w:szCs w:val="22"/>
          <w:rtl w:val="0"/>
          <w:lang w:val="it-IT"/>
        </w:rPr>
        <w:t>si creano e aumentano quando gli impianti e i servizi sono carenti, le istituzioni e gli organi preposti ai controlli non funzionano ovvero quando le strutture e l</w:t>
      </w:r>
      <w:r>
        <w:rPr>
          <w:rFonts w:hAnsi="Book Antiqua" w:hint="default"/>
          <w:sz w:val="22"/>
          <w:szCs w:val="22"/>
          <w:rtl w:val="0"/>
          <w:lang w:val="it-IT"/>
        </w:rPr>
        <w:t>’</w:t>
      </w:r>
      <w:r>
        <w:rPr>
          <w:rFonts w:ascii="Book Antiqua"/>
          <w:sz w:val="22"/>
          <w:szCs w:val="22"/>
          <w:rtl w:val="0"/>
          <w:lang w:val="it-IT"/>
        </w:rPr>
        <w:t>organizzazione sul territorio soffrono di difficolt</w:t>
      </w:r>
      <w:r>
        <w:rPr>
          <w:rFonts w:hAnsi="Book Antiqua" w:hint="default"/>
          <w:sz w:val="22"/>
          <w:szCs w:val="22"/>
          <w:rtl w:val="0"/>
          <w:lang w:val="it-IT"/>
        </w:rPr>
        <w:t xml:space="preserve">à </w:t>
      </w:r>
      <w:r>
        <w:rPr>
          <w:rFonts w:ascii="Book Antiqua"/>
          <w:sz w:val="22"/>
          <w:szCs w:val="22"/>
          <w:rtl w:val="0"/>
          <w:lang w:val="it-IT"/>
        </w:rPr>
        <w:t>finanziarie.</w:t>
      </w:r>
    </w:p>
    <w:p>
      <w:pPr>
        <w:pStyle w:val="Normal"/>
        <w:tabs>
          <w:tab w:val="left" w:pos="9132"/>
        </w:tabs>
        <w:ind w:left="567" w:right="567" w:firstLine="0"/>
        <w:jc w:val="both"/>
        <w:rPr>
          <w:rFonts w:ascii="Book Antiqua" w:cs="Book Antiqua" w:hAnsi="Book Antiqua" w:eastAsia="Book Antiqua"/>
          <w:sz w:val="22"/>
          <w:szCs w:val="22"/>
        </w:rPr>
      </w:pPr>
      <w:r>
        <w:rPr>
          <w:rFonts w:ascii="Book Antiqua"/>
          <w:sz w:val="22"/>
          <w:szCs w:val="22"/>
          <w:rtl w:val="0"/>
          <w:lang w:val="it-IT"/>
        </w:rPr>
        <w:t>La relazione in tal senso segnala che le criticit</w:t>
      </w:r>
      <w:r>
        <w:rPr>
          <w:rFonts w:hAnsi="Book Antiqua" w:hint="default"/>
          <w:sz w:val="22"/>
          <w:szCs w:val="22"/>
          <w:rtl w:val="0"/>
          <w:lang w:val="it-IT"/>
        </w:rPr>
        <w:t xml:space="preserve">à </w:t>
      </w:r>
      <w:r>
        <w:rPr>
          <w:rFonts w:ascii="Book Antiqua"/>
          <w:sz w:val="22"/>
          <w:szCs w:val="22"/>
          <w:rtl w:val="0"/>
          <w:lang w:val="it-IT"/>
        </w:rPr>
        <w:t>riscontrate nella gestione dell</w:t>
      </w:r>
      <w:r>
        <w:rPr>
          <w:rFonts w:hAnsi="Book Antiqua" w:hint="default"/>
          <w:sz w:val="22"/>
          <w:szCs w:val="22"/>
          <w:rtl w:val="0"/>
          <w:lang w:val="it-IT"/>
        </w:rPr>
        <w:t>’</w:t>
      </w:r>
      <w:r>
        <w:rPr>
          <w:rFonts w:ascii="Book Antiqua"/>
          <w:sz w:val="22"/>
          <w:szCs w:val="22"/>
          <w:rtl w:val="0"/>
          <w:lang w:val="it-IT"/>
        </w:rPr>
        <w:t>impianto di termovalorizzazione di Colleferro, dove gli illeciti accertati sono stati favoriti dalla carenza nel sistema dei controlli da parte del comune, della regione e della provincia, dovuta anche al fatto che l</w:t>
      </w:r>
      <w:r>
        <w:rPr>
          <w:rFonts w:hAnsi="Book Antiqua" w:hint="default"/>
          <w:sz w:val="22"/>
          <w:szCs w:val="22"/>
          <w:rtl w:val="0"/>
          <w:lang w:val="it-IT"/>
        </w:rPr>
        <w:t>’</w:t>
      </w:r>
      <w:r>
        <w:rPr>
          <w:rFonts w:ascii="Book Antiqua"/>
          <w:sz w:val="22"/>
          <w:szCs w:val="22"/>
          <w:rtl w:val="0"/>
          <w:lang w:val="it-IT"/>
        </w:rPr>
        <w:t xml:space="preserve">impianto per lungo tempo aveva operato con la procedura semplificata prevista dagli articoli 31 e 33 del decreto legislativo n. 22 del 1997. Con riferimento allo stesso impianto di Colleferro </w:t>
      </w:r>
      <w:r>
        <w:rPr>
          <w:rFonts w:hAnsi="Book Antiqua" w:hint="default"/>
          <w:sz w:val="22"/>
          <w:szCs w:val="22"/>
          <w:rtl w:val="0"/>
          <w:lang w:val="it-IT"/>
        </w:rPr>
        <w:t xml:space="preserve">è </w:t>
      </w:r>
      <w:r>
        <w:rPr>
          <w:rFonts w:ascii="Book Antiqua"/>
          <w:sz w:val="22"/>
          <w:szCs w:val="22"/>
          <w:rtl w:val="0"/>
          <w:lang w:val="it-IT"/>
        </w:rPr>
        <w:t>emblematico che un</w:t>
      </w:r>
      <w:r>
        <w:rPr>
          <w:rFonts w:hAnsi="Book Antiqua" w:hint="default"/>
          <w:sz w:val="22"/>
          <w:szCs w:val="22"/>
          <w:rtl w:val="0"/>
          <w:lang w:val="it-IT"/>
        </w:rPr>
        <w:t>’</w:t>
      </w:r>
      <w:r>
        <w:rPr>
          <w:rFonts w:ascii="Book Antiqua"/>
          <w:sz w:val="22"/>
          <w:szCs w:val="22"/>
          <w:rtl w:val="0"/>
          <w:lang w:val="it-IT"/>
        </w:rPr>
        <w:t>altra indagine della procura della Repubblica di Velletri abbia evidenziato una serie di illeciti che coinvolgevano la pubblica amministrazione, riguardanti la gestione e le difficolt</w:t>
      </w:r>
      <w:r>
        <w:rPr>
          <w:rFonts w:hAnsi="Book Antiqua" w:hint="default"/>
          <w:sz w:val="22"/>
          <w:szCs w:val="22"/>
          <w:rtl w:val="0"/>
          <w:lang w:val="it-IT"/>
        </w:rPr>
        <w:t xml:space="preserve">à </w:t>
      </w:r>
      <w:r>
        <w:rPr>
          <w:rFonts w:ascii="Book Antiqua"/>
          <w:sz w:val="22"/>
          <w:szCs w:val="22"/>
          <w:rtl w:val="0"/>
          <w:lang w:val="it-IT"/>
        </w:rPr>
        <w:t>finanziarie della societ</w:t>
      </w:r>
      <w:r>
        <w:rPr>
          <w:rFonts w:hAnsi="Book Antiqua" w:hint="default"/>
          <w:sz w:val="22"/>
          <w:szCs w:val="22"/>
          <w:rtl w:val="0"/>
          <w:lang w:val="it-IT"/>
        </w:rPr>
        <w:t>à</w:t>
      </w:r>
      <w:r>
        <w:rPr>
          <w:rFonts w:ascii="Book Antiqua"/>
          <w:sz w:val="22"/>
          <w:szCs w:val="22"/>
          <w:rtl w:val="0"/>
          <w:lang w:val="it-IT"/>
        </w:rPr>
        <w:t xml:space="preserve"> Gaia S.p.A., poi commissariata.</w:t>
      </w:r>
      <w:r>
        <w:rPr>
          <w:rFonts w:hAnsi="Book Antiqua" w:hint="default"/>
          <w:sz w:val="22"/>
          <w:szCs w:val="22"/>
          <w:rtl w:val="0"/>
          <w:lang w:val="it-IT"/>
        </w:rPr>
        <w:t>”</w:t>
      </w:r>
    </w:p>
    <w:p>
      <w:pPr>
        <w:pStyle w:val="Normal"/>
        <w:tabs>
          <w:tab w:val="left" w:pos="9132"/>
        </w:tabs>
        <w:ind w:left="567" w:right="567" w:firstLine="0"/>
        <w:jc w:val="both"/>
        <w:rPr>
          <w:rFonts w:ascii="Book Antiqua" w:cs="Book Antiqua" w:hAnsi="Book Antiqua" w:eastAsia="Book Antiqua"/>
          <w:sz w:val="22"/>
          <w:szCs w:val="22"/>
        </w:rPr>
      </w:pPr>
    </w:p>
    <w:p>
      <w:pPr>
        <w:pStyle w:val="Normal"/>
        <w:tabs>
          <w:tab w:val="left" w:pos="9132"/>
        </w:tabs>
        <w:ind w:left="567" w:right="567" w:firstLine="0"/>
        <w:jc w:val="both"/>
        <w:rPr>
          <w:rFonts w:ascii="Book Antiqua" w:cs="Book Antiqua" w:hAnsi="Book Antiqua" w:eastAsia="Book Antiqua"/>
        </w:rPr>
      </w:pPr>
      <w:r>
        <w:rPr>
          <w:rFonts w:ascii="Book Antiqua"/>
          <w:rtl w:val="0"/>
          <w:lang w:val="it-IT"/>
        </w:rPr>
        <w:t xml:space="preserve">La prima relazione perviene alla conclusione che </w:t>
      </w:r>
      <w:r>
        <w:rPr>
          <w:rFonts w:hAnsi="Book Antiqua" w:hint="default"/>
          <w:rtl w:val="0"/>
          <w:lang w:val="it-IT"/>
        </w:rPr>
        <w:t>“</w:t>
      </w:r>
      <w:r>
        <w:rPr>
          <w:rFonts w:ascii="Book Antiqua"/>
          <w:rtl w:val="0"/>
          <w:lang w:val="it-IT"/>
        </w:rPr>
        <w:t>la gestione del ciclo dei rifiuti nel Lazio presenta gravi criticit</w:t>
      </w:r>
      <w:r>
        <w:rPr>
          <w:rFonts w:hAnsi="Book Antiqua" w:hint="default"/>
          <w:rtl w:val="0"/>
          <w:lang w:val="it-IT"/>
        </w:rPr>
        <w:t xml:space="preserve">à </w:t>
      </w:r>
      <w:r>
        <w:rPr>
          <w:rFonts w:ascii="Book Antiqua"/>
          <w:rtl w:val="0"/>
          <w:lang w:val="it-IT"/>
        </w:rPr>
        <w:t>che non potranno essere superate senza precise assunzioni di responsabilit</w:t>
      </w:r>
      <w:r>
        <w:rPr>
          <w:rFonts w:hAnsi="Book Antiqua" w:hint="default"/>
          <w:rtl w:val="0"/>
          <w:lang w:val="it-IT"/>
        </w:rPr>
        <w:t xml:space="preserve">à </w:t>
      </w:r>
      <w:r>
        <w:rPr>
          <w:rFonts w:ascii="Book Antiqua"/>
          <w:rtl w:val="0"/>
          <w:lang w:val="it-IT"/>
        </w:rPr>
        <w:t>nel rispetto delle competenze di ciascuno</w:t>
      </w:r>
      <w:r>
        <w:rPr>
          <w:rFonts w:hAnsi="Book Antiqua" w:hint="default"/>
          <w:rtl w:val="0"/>
          <w:lang w:val="it-IT"/>
        </w:rPr>
        <w:t>”</w:t>
      </w:r>
      <w:r>
        <w:rPr>
          <w:rFonts w:ascii="Book Antiqua"/>
          <w:rtl w:val="0"/>
          <w:lang w:val="it-IT"/>
        </w:rPr>
        <w:t>.</w:t>
      </w:r>
    </w:p>
    <w:p>
      <w:pPr>
        <w:pStyle w:val="Normal"/>
        <w:tabs>
          <w:tab w:val="left" w:pos="9132"/>
        </w:tabs>
        <w:ind w:left="567" w:right="567" w:firstLine="0"/>
        <w:jc w:val="both"/>
        <w:rPr>
          <w:rFonts w:ascii="Book Antiqua" w:cs="Book Antiqua" w:hAnsi="Book Antiqua" w:eastAsia="Book Antiqua"/>
        </w:rPr>
      </w:pPr>
      <w:r>
        <w:rPr>
          <w:rFonts w:ascii="Book Antiqua"/>
          <w:rtl w:val="0"/>
          <w:lang w:val="it-IT"/>
        </w:rPr>
        <w:t>La Commissione approva una seconda relazione il 3 luglio 2012.</w:t>
      </w:r>
    </w:p>
    <w:p>
      <w:pPr>
        <w:pStyle w:val="Normal"/>
        <w:tabs>
          <w:tab w:val="left" w:pos="9132"/>
        </w:tabs>
        <w:ind w:left="567" w:right="567" w:firstLine="0"/>
        <w:jc w:val="both"/>
        <w:rPr>
          <w:rFonts w:ascii="Book Antiqua" w:cs="Book Antiqua" w:hAnsi="Book Antiqua" w:eastAsia="Book Antiqua"/>
        </w:rPr>
      </w:pPr>
      <w:r>
        <w:rPr>
          <w:rFonts w:ascii="Book Antiqua"/>
          <w:rtl w:val="0"/>
          <w:lang w:val="it-IT"/>
        </w:rPr>
        <w:t>L</w:t>
      </w:r>
      <w:r>
        <w:rPr>
          <w:rFonts w:hAnsi="Book Antiqua" w:hint="default"/>
          <w:rtl w:val="0"/>
          <w:lang w:val="it-IT"/>
        </w:rPr>
        <w:t>’</w:t>
      </w:r>
      <w:r>
        <w:rPr>
          <w:rFonts w:ascii="Book Antiqua"/>
          <w:rtl w:val="0"/>
          <w:lang w:val="it-IT"/>
        </w:rPr>
        <w:t xml:space="preserve">ulteriore intervento della Commissione </w:t>
      </w:r>
      <w:r>
        <w:rPr>
          <w:rFonts w:hAnsi="Book Antiqua" w:hint="default"/>
          <w:rtl w:val="0"/>
          <w:lang w:val="it-IT"/>
        </w:rPr>
        <w:t xml:space="preserve">è </w:t>
      </w:r>
      <w:r>
        <w:rPr>
          <w:rFonts w:ascii="Book Antiqua"/>
          <w:rtl w:val="0"/>
          <w:lang w:val="it-IT"/>
        </w:rPr>
        <w:t>determinato dal nuovo stato di emergenza dichiarato nella provincia di Roma.</w:t>
      </w:r>
    </w:p>
    <w:p>
      <w:pPr>
        <w:pStyle w:val="Normal"/>
        <w:tabs>
          <w:tab w:val="left" w:pos="9132"/>
        </w:tabs>
        <w:ind w:left="567" w:right="567" w:firstLine="0"/>
        <w:jc w:val="both"/>
        <w:rPr>
          <w:rFonts w:ascii="Book Antiqua" w:cs="Book Antiqua" w:hAnsi="Book Antiqua" w:eastAsia="Book Antiqua"/>
        </w:rPr>
      </w:pPr>
      <w:r>
        <w:rPr>
          <w:rFonts w:ascii="Book Antiqua"/>
          <w:rtl w:val="0"/>
          <w:lang w:val="it-IT"/>
        </w:rPr>
        <w:t>Dopo quasi dieci anni di commissariamento per la gestione dei rifiuti, la regione Lazio nel giugno 2008, come detto, era tornata alla gestione ordinaria, con le funzioni di programmazione, attuazione e controllo assunte di nuovo dagli enti istituzionalmente competenti (regione, province e comuni).</w:t>
      </w:r>
    </w:p>
    <w:p>
      <w:pPr>
        <w:pStyle w:val="Normal"/>
        <w:tabs>
          <w:tab w:val="left" w:pos="9132"/>
        </w:tabs>
        <w:ind w:left="567" w:right="567" w:firstLine="0"/>
        <w:jc w:val="both"/>
        <w:rPr>
          <w:rFonts w:ascii="Book Antiqua" w:cs="Book Antiqua" w:hAnsi="Book Antiqua" w:eastAsia="Book Antiqua"/>
        </w:rPr>
      </w:pPr>
      <w:r>
        <w:rPr>
          <w:rFonts w:ascii="Book Antiqua"/>
          <w:rtl w:val="0"/>
          <w:lang w:val="it-IT"/>
        </w:rPr>
        <w:t>Nell</w:t>
      </w:r>
      <w:r>
        <w:rPr>
          <w:rFonts w:hAnsi="Book Antiqua" w:hint="default"/>
          <w:rtl w:val="0"/>
          <w:lang w:val="it-IT"/>
        </w:rPr>
        <w:t>’</w:t>
      </w:r>
      <w:r>
        <w:rPr>
          <w:rFonts w:ascii="Book Antiqua"/>
          <w:rtl w:val="0"/>
          <w:lang w:val="it-IT"/>
        </w:rPr>
        <w:t>estate del 2011 a seguito alla procedura d</w:t>
      </w:r>
      <w:r>
        <w:rPr>
          <w:rFonts w:hAnsi="Book Antiqua" w:hint="default"/>
          <w:rtl w:val="0"/>
          <w:lang w:val="it-IT"/>
        </w:rPr>
        <w:t>’</w:t>
      </w:r>
      <w:r>
        <w:rPr>
          <w:rFonts w:ascii="Book Antiqua"/>
          <w:rtl w:val="0"/>
          <w:lang w:val="it-IT"/>
        </w:rPr>
        <w:t>infrazione del 17 giugno 2011 n. 2011/4021, avviata dalla Commissione europea nei confronti dell</w:t>
      </w:r>
      <w:r>
        <w:rPr>
          <w:rFonts w:hAnsi="Book Antiqua" w:hint="default"/>
          <w:rtl w:val="0"/>
          <w:lang w:val="it-IT"/>
        </w:rPr>
        <w:t>’</w:t>
      </w:r>
      <w:r>
        <w:rPr>
          <w:rFonts w:ascii="Book Antiqua"/>
          <w:rtl w:val="0"/>
          <w:lang w:val="it-IT"/>
        </w:rPr>
        <w:t>Italia anche per la non conformit</w:t>
      </w:r>
      <w:r>
        <w:rPr>
          <w:rFonts w:hAnsi="Book Antiqua" w:hint="default"/>
          <w:rtl w:val="0"/>
          <w:lang w:val="it-IT"/>
        </w:rPr>
        <w:t xml:space="preserve">à </w:t>
      </w:r>
      <w:r>
        <w:rPr>
          <w:rFonts w:ascii="Book Antiqua"/>
          <w:rtl w:val="0"/>
          <w:lang w:val="it-IT"/>
        </w:rPr>
        <w:t>della discarica di Malagrotta alla direttiva sulle discariche (1999/31/CE), veniva nuovamente dichiarato lo stato di emergenza nella provincia di Roma.</w:t>
      </w:r>
    </w:p>
    <w:p>
      <w:pPr>
        <w:pStyle w:val="Normal"/>
        <w:tabs>
          <w:tab w:val="left" w:pos="9132"/>
        </w:tabs>
        <w:ind w:left="567" w:right="567" w:firstLine="0"/>
        <w:jc w:val="both"/>
        <w:rPr>
          <w:rFonts w:ascii="Book Antiqua" w:cs="Book Antiqua" w:hAnsi="Book Antiqua" w:eastAsia="Book Antiqua"/>
        </w:rPr>
      </w:pPr>
      <w:r>
        <w:rPr>
          <w:rFonts w:ascii="Book Antiqua"/>
          <w:rtl w:val="0"/>
          <w:lang w:val="it-IT"/>
        </w:rPr>
        <w:t>La Commissione rilevava all</w:t>
      </w:r>
      <w:r>
        <w:rPr>
          <w:rFonts w:hAnsi="Book Antiqua" w:hint="default"/>
          <w:rtl w:val="0"/>
          <w:lang w:val="it-IT"/>
        </w:rPr>
        <w:t>’</w:t>
      </w:r>
      <w:r>
        <w:rPr>
          <w:rFonts w:ascii="Book Antiqua"/>
          <w:rtl w:val="0"/>
          <w:lang w:val="it-IT"/>
        </w:rPr>
        <w:t>epoca come nella propria precedente relazione gi</w:t>
      </w:r>
      <w:r>
        <w:rPr>
          <w:rFonts w:hAnsi="Book Antiqua" w:hint="default"/>
          <w:rtl w:val="0"/>
          <w:lang w:val="it-IT"/>
        </w:rPr>
        <w:t xml:space="preserve">à </w:t>
      </w:r>
      <w:r>
        <w:rPr>
          <w:rFonts w:ascii="Book Antiqua"/>
          <w:rtl w:val="0"/>
          <w:lang w:val="it-IT"/>
        </w:rPr>
        <w:t>si parlasse della prevista saturazione della discarica di Malagrotta, tenuto conto del fatto che il ciclo dei rifiuti nella regione Lazio sostanzialmente si esauriva nel conferimento in discarica, a fronte di bassi livelli di raccolta differenziata; e sottolineava l</w:t>
      </w:r>
      <w:r>
        <w:rPr>
          <w:rFonts w:hAnsi="Book Antiqua" w:hint="default"/>
          <w:rtl w:val="0"/>
          <w:lang w:val="it-IT"/>
        </w:rPr>
        <w:t>’</w:t>
      </w:r>
      <w:r>
        <w:rPr>
          <w:rFonts w:ascii="Book Antiqua"/>
          <w:rtl w:val="0"/>
          <w:lang w:val="it-IT"/>
        </w:rPr>
        <w:t>inopportunit</w:t>
      </w:r>
      <w:r>
        <w:rPr>
          <w:rFonts w:hAnsi="Book Antiqua" w:hint="default"/>
          <w:rtl w:val="0"/>
          <w:lang w:val="it-IT"/>
        </w:rPr>
        <w:t xml:space="preserve">à </w:t>
      </w:r>
      <w:r>
        <w:rPr>
          <w:rFonts w:ascii="Book Antiqua"/>
          <w:rtl w:val="0"/>
          <w:lang w:val="it-IT"/>
        </w:rPr>
        <w:t>di ricorrere ancora una volta alla creazione di strutture emergenziali, risultate inefficienti in tutta Italia, che avevano storicamente consentito agli enti locali di sottrarsi a decisioni politiche non delegabili; soprattutto quando, come nel caso del Lazio, la situazione emergenziale nasceva proprio dalla mancata programmazione e attuazione di un ciclo virtuoso dei rifiuti.</w:t>
      </w:r>
    </w:p>
    <w:p>
      <w:pPr>
        <w:pStyle w:val="Normal"/>
        <w:tabs>
          <w:tab w:val="left" w:pos="9132"/>
        </w:tabs>
        <w:ind w:left="567" w:right="567" w:firstLine="0"/>
        <w:jc w:val="both"/>
        <w:rPr>
          <w:rFonts w:ascii="Book Antiqua" w:cs="Book Antiqua" w:hAnsi="Book Antiqua" w:eastAsia="Book Antiqua"/>
          <w:sz w:val="22"/>
          <w:szCs w:val="22"/>
        </w:rPr>
      </w:pPr>
    </w:p>
    <w:p>
      <w:pPr>
        <w:pStyle w:val="Normal"/>
        <w:tabs>
          <w:tab w:val="left" w:pos="9132"/>
        </w:tabs>
        <w:ind w:left="567" w:right="567" w:firstLine="0"/>
        <w:jc w:val="both"/>
        <w:rPr>
          <w:rFonts w:ascii="Book Antiqua" w:cs="Book Antiqua" w:hAnsi="Book Antiqua" w:eastAsia="Book Antiqua"/>
          <w:sz w:val="22"/>
          <w:szCs w:val="22"/>
        </w:rPr>
      </w:pPr>
      <w:r>
        <w:rPr>
          <w:rFonts w:hAnsi="Book Antiqua" w:hint="default"/>
          <w:sz w:val="22"/>
          <w:szCs w:val="22"/>
          <w:rtl w:val="0"/>
          <w:lang w:val="it-IT"/>
        </w:rPr>
        <w:t>“</w:t>
      </w:r>
      <w:r>
        <w:rPr>
          <w:rFonts w:ascii="Book Antiqua"/>
          <w:sz w:val="22"/>
          <w:szCs w:val="22"/>
          <w:rtl w:val="0"/>
          <w:lang w:val="it-IT"/>
        </w:rPr>
        <w:t>Le diverse amministrazioni succedutesi negli anni sul territorio non hanno affrontato la politica sul ciclo dei rifiuti in modo compiuto, per cui l</w:t>
      </w:r>
      <w:r>
        <w:rPr>
          <w:rFonts w:hAnsi="Book Antiqua" w:hint="default"/>
          <w:sz w:val="22"/>
          <w:szCs w:val="22"/>
          <w:rtl w:val="0"/>
          <w:lang w:val="it-IT"/>
        </w:rPr>
        <w:t>’</w:t>
      </w:r>
      <w:r>
        <w:rPr>
          <w:rFonts w:ascii="Book Antiqua"/>
          <w:sz w:val="22"/>
          <w:szCs w:val="22"/>
          <w:rtl w:val="0"/>
          <w:lang w:val="it-IT"/>
        </w:rPr>
        <w:t>attuale situazione di crisi pu</w:t>
      </w:r>
      <w:r>
        <w:rPr>
          <w:rFonts w:hAnsi="Book Antiqua" w:hint="default"/>
          <w:sz w:val="22"/>
          <w:szCs w:val="22"/>
          <w:rtl w:val="0"/>
          <w:lang w:val="it-IT"/>
        </w:rPr>
        <w:t xml:space="preserve">ò </w:t>
      </w:r>
      <w:r>
        <w:rPr>
          <w:rFonts w:ascii="Book Antiqua"/>
          <w:sz w:val="22"/>
          <w:szCs w:val="22"/>
          <w:rtl w:val="0"/>
          <w:lang w:val="it-IT"/>
        </w:rPr>
        <w:t xml:space="preserve">dirsi essere la naturale conseguenza di una carente programmazione e attuazione di un ciclo integrato dei rifiuti conforme alla normativa ambientale. </w:t>
      </w:r>
      <w:r>
        <w:rPr>
          <w:rFonts w:hAnsi="Book Antiqua" w:hint="default"/>
          <w:sz w:val="22"/>
          <w:szCs w:val="22"/>
          <w:rtl w:val="0"/>
          <w:lang w:val="it-IT"/>
        </w:rPr>
        <w:t xml:space="preserve">È </w:t>
      </w:r>
      <w:r>
        <w:rPr>
          <w:rFonts w:ascii="Book Antiqua"/>
          <w:sz w:val="22"/>
          <w:szCs w:val="22"/>
          <w:rtl w:val="0"/>
          <w:lang w:val="it-IT"/>
        </w:rPr>
        <w:t>sufficiente esaminare la situazione emergenziale che attanaglia ormai da quasi un anno la citt</w:t>
      </w:r>
      <w:r>
        <w:rPr>
          <w:rFonts w:hAnsi="Book Antiqua" w:hint="default"/>
          <w:sz w:val="22"/>
          <w:szCs w:val="22"/>
          <w:rtl w:val="0"/>
          <w:lang w:val="it-IT"/>
        </w:rPr>
        <w:t xml:space="preserve">à </w:t>
      </w:r>
      <w:r>
        <w:rPr>
          <w:rFonts w:ascii="Book Antiqua"/>
          <w:sz w:val="22"/>
          <w:szCs w:val="22"/>
          <w:rtl w:val="0"/>
          <w:lang w:val="it-IT"/>
        </w:rPr>
        <w:t xml:space="preserve">di Roma e la provincia, per percepire nitidamente il pregiudizio di fondo che sta alla base del sistema di smaltimento: questo si </w:t>
      </w:r>
      <w:r>
        <w:rPr>
          <w:rFonts w:hAnsi="Book Antiqua" w:hint="default"/>
          <w:sz w:val="22"/>
          <w:szCs w:val="22"/>
          <w:rtl w:val="0"/>
          <w:lang w:val="it-IT"/>
        </w:rPr>
        <w:t xml:space="preserve">è </w:t>
      </w:r>
      <w:r>
        <w:rPr>
          <w:rFonts w:ascii="Book Antiqua"/>
          <w:sz w:val="22"/>
          <w:szCs w:val="22"/>
          <w:rtl w:val="0"/>
          <w:lang w:val="it-IT"/>
        </w:rPr>
        <w:t xml:space="preserve">semplicemente trasformato, per taluni, in un </w:t>
      </w:r>
      <w:r>
        <w:rPr>
          <w:rFonts w:ascii="Book Antiqua"/>
          <w:i w:val="1"/>
          <w:iCs w:val="1"/>
          <w:sz w:val="22"/>
          <w:szCs w:val="22"/>
          <w:rtl w:val="0"/>
          <w:lang w:val="it-IT"/>
        </w:rPr>
        <w:t xml:space="preserve">business </w:t>
      </w:r>
      <w:r>
        <w:rPr>
          <w:rFonts w:ascii="Book Antiqua"/>
          <w:sz w:val="22"/>
          <w:szCs w:val="22"/>
          <w:rtl w:val="0"/>
          <w:lang w:val="it-IT"/>
        </w:rPr>
        <w:t>tanto pi</w:t>
      </w:r>
      <w:r>
        <w:rPr>
          <w:rFonts w:hAnsi="Book Antiqua" w:hint="default"/>
          <w:sz w:val="22"/>
          <w:szCs w:val="22"/>
          <w:rtl w:val="0"/>
          <w:lang w:val="it-IT"/>
        </w:rPr>
        <w:t xml:space="preserve">ù </w:t>
      </w:r>
      <w:r>
        <w:rPr>
          <w:rFonts w:ascii="Book Antiqua"/>
          <w:sz w:val="22"/>
          <w:szCs w:val="22"/>
          <w:rtl w:val="0"/>
          <w:lang w:val="it-IT"/>
        </w:rPr>
        <w:t>conveniente quanto pi</w:t>
      </w:r>
      <w:r>
        <w:rPr>
          <w:rFonts w:hAnsi="Book Antiqua" w:hint="default"/>
          <w:sz w:val="22"/>
          <w:szCs w:val="22"/>
          <w:rtl w:val="0"/>
          <w:lang w:val="it-IT"/>
        </w:rPr>
        <w:t xml:space="preserve">ù </w:t>
      </w:r>
      <w:r>
        <w:rPr>
          <w:rFonts w:ascii="Book Antiqua"/>
          <w:sz w:val="22"/>
          <w:szCs w:val="22"/>
          <w:rtl w:val="0"/>
          <w:lang w:val="it-IT"/>
        </w:rPr>
        <w:t>gli enti preposti non hanno realizzato un ciclo integrato dei rifiuti finalizzato al loro smaltimento nel rispetto dell</w:t>
      </w:r>
      <w:r>
        <w:rPr>
          <w:rFonts w:hAnsi="Book Antiqua" w:hint="default"/>
          <w:sz w:val="22"/>
          <w:szCs w:val="22"/>
          <w:rtl w:val="0"/>
          <w:lang w:val="it-IT"/>
        </w:rPr>
        <w:t>’</w:t>
      </w:r>
      <w:r>
        <w:rPr>
          <w:rFonts w:ascii="Book Antiqua"/>
          <w:sz w:val="22"/>
          <w:szCs w:val="22"/>
          <w:rtl w:val="0"/>
          <w:lang w:val="it-IT"/>
        </w:rPr>
        <w:t xml:space="preserve">ambiente. </w:t>
      </w:r>
    </w:p>
    <w:p>
      <w:pPr>
        <w:pStyle w:val="Normal"/>
        <w:tabs>
          <w:tab w:val="left" w:pos="9132"/>
        </w:tabs>
        <w:ind w:left="567" w:right="567" w:firstLine="0"/>
        <w:jc w:val="both"/>
        <w:rPr>
          <w:rFonts w:ascii="Book Antiqua" w:cs="Book Antiqua" w:hAnsi="Book Antiqua" w:eastAsia="Book Antiqua"/>
          <w:sz w:val="21"/>
          <w:szCs w:val="21"/>
        </w:rPr>
      </w:pPr>
      <w:r>
        <w:rPr>
          <w:rFonts w:ascii="Book Antiqua"/>
          <w:sz w:val="22"/>
          <w:szCs w:val="22"/>
          <w:rtl w:val="0"/>
          <w:lang w:val="it-IT"/>
        </w:rPr>
        <w:t xml:space="preserve">Il termine </w:t>
      </w:r>
      <w:r>
        <w:rPr>
          <w:rFonts w:hAnsi="Book Antiqua" w:hint="default"/>
          <w:sz w:val="22"/>
          <w:szCs w:val="22"/>
          <w:rtl w:val="0"/>
          <w:lang w:val="it-IT"/>
        </w:rPr>
        <w:t>«</w:t>
      </w:r>
      <w:r>
        <w:rPr>
          <w:rFonts w:ascii="Book Antiqua"/>
          <w:sz w:val="22"/>
          <w:szCs w:val="22"/>
          <w:rtl w:val="0"/>
          <w:lang w:val="it-IT"/>
        </w:rPr>
        <w:t>emergenza</w:t>
      </w:r>
      <w:r>
        <w:rPr>
          <w:rFonts w:hAnsi="Book Antiqua" w:hint="default"/>
          <w:sz w:val="22"/>
          <w:szCs w:val="22"/>
          <w:rtl w:val="0"/>
          <w:lang w:val="it-IT"/>
        </w:rPr>
        <w:t>»</w:t>
      </w:r>
      <w:r>
        <w:rPr>
          <w:rFonts w:ascii="Book Antiqua"/>
          <w:sz w:val="22"/>
          <w:szCs w:val="22"/>
          <w:rtl w:val="0"/>
          <w:lang w:val="it-IT"/>
        </w:rPr>
        <w:t>, com</w:t>
      </w:r>
      <w:r>
        <w:rPr>
          <w:rFonts w:hAnsi="Book Antiqua" w:hint="default"/>
          <w:sz w:val="22"/>
          <w:szCs w:val="22"/>
          <w:rtl w:val="0"/>
          <w:lang w:val="it-IT"/>
        </w:rPr>
        <w:t xml:space="preserve">’è </w:t>
      </w:r>
      <w:r>
        <w:rPr>
          <w:rFonts w:ascii="Book Antiqua"/>
          <w:sz w:val="22"/>
          <w:szCs w:val="22"/>
          <w:rtl w:val="0"/>
          <w:lang w:val="it-IT"/>
        </w:rPr>
        <w:t>noto, evoca l</w:t>
      </w:r>
      <w:r>
        <w:rPr>
          <w:rFonts w:hAnsi="Book Antiqua" w:hint="default"/>
          <w:sz w:val="22"/>
          <w:szCs w:val="22"/>
          <w:rtl w:val="0"/>
          <w:lang w:val="it-IT"/>
        </w:rPr>
        <w:t>’</w:t>
      </w:r>
      <w:r>
        <w:rPr>
          <w:rFonts w:ascii="Book Antiqua"/>
          <w:sz w:val="22"/>
          <w:szCs w:val="22"/>
          <w:rtl w:val="0"/>
          <w:lang w:val="it-IT"/>
        </w:rPr>
        <w:t>idea di circostanze e difficolt</w:t>
      </w:r>
      <w:r>
        <w:rPr>
          <w:rFonts w:hAnsi="Book Antiqua" w:hint="default"/>
          <w:sz w:val="22"/>
          <w:szCs w:val="22"/>
          <w:rtl w:val="0"/>
          <w:lang w:val="it-IT"/>
        </w:rPr>
        <w:t xml:space="preserve">à </w:t>
      </w:r>
      <w:r>
        <w:rPr>
          <w:rFonts w:ascii="Book Antiqua"/>
          <w:sz w:val="22"/>
          <w:szCs w:val="22"/>
          <w:rtl w:val="0"/>
          <w:lang w:val="it-IT"/>
        </w:rPr>
        <w:t>impreviste; il che vuol dire, conseguentemente, che l</w:t>
      </w:r>
      <w:r>
        <w:rPr>
          <w:rFonts w:hAnsi="Book Antiqua" w:hint="default"/>
          <w:sz w:val="22"/>
          <w:szCs w:val="22"/>
          <w:rtl w:val="0"/>
          <w:lang w:val="it-IT"/>
        </w:rPr>
        <w:t>’</w:t>
      </w:r>
      <w:r>
        <w:rPr>
          <w:rFonts w:ascii="Book Antiqua"/>
          <w:sz w:val="22"/>
          <w:szCs w:val="22"/>
          <w:rtl w:val="0"/>
          <w:lang w:val="it-IT"/>
        </w:rPr>
        <w:t>emergenza rifiuti nella provincia [dovrebbe essere] stato un evento inaspettato che ha determinato una difficolt</w:t>
      </w:r>
      <w:r>
        <w:rPr>
          <w:rFonts w:hAnsi="Book Antiqua" w:hint="default"/>
          <w:sz w:val="22"/>
          <w:szCs w:val="22"/>
          <w:rtl w:val="0"/>
          <w:lang w:val="it-IT"/>
        </w:rPr>
        <w:t xml:space="preserve">à </w:t>
      </w:r>
      <w:r>
        <w:rPr>
          <w:rFonts w:ascii="Book Antiqua"/>
          <w:sz w:val="22"/>
          <w:szCs w:val="22"/>
          <w:rtl w:val="0"/>
          <w:lang w:val="it-IT"/>
        </w:rPr>
        <w:t>improvvisa nella gestione del settore con conseguente necessit</w:t>
      </w:r>
      <w:r>
        <w:rPr>
          <w:rFonts w:hAnsi="Book Antiqua" w:hint="default"/>
          <w:sz w:val="22"/>
          <w:szCs w:val="22"/>
          <w:rtl w:val="0"/>
          <w:lang w:val="it-IT"/>
        </w:rPr>
        <w:t xml:space="preserve">à </w:t>
      </w:r>
      <w:r>
        <w:rPr>
          <w:rFonts w:ascii="Book Antiqua"/>
          <w:sz w:val="22"/>
          <w:szCs w:val="22"/>
          <w:rtl w:val="0"/>
          <w:lang w:val="it-IT"/>
        </w:rPr>
        <w:t>di nomina di un commissario con poteri straordinari da esercitare nel contesto di una normativa in deroga</w:t>
      </w:r>
      <w:r>
        <w:rPr>
          <w:rFonts w:ascii="Book Antiqua"/>
          <w:sz w:val="21"/>
          <w:szCs w:val="21"/>
          <w:rtl w:val="0"/>
          <w:lang w:val="it-IT"/>
        </w:rPr>
        <w:t>.</w:t>
      </w:r>
      <w:r>
        <w:rPr>
          <w:rFonts w:hAnsi="Book Antiqua" w:hint="default"/>
          <w:sz w:val="21"/>
          <w:szCs w:val="21"/>
          <w:rtl w:val="0"/>
          <w:lang w:val="it-IT"/>
        </w:rPr>
        <w:t>”</w:t>
      </w:r>
    </w:p>
    <w:p>
      <w:pPr>
        <w:pStyle w:val="Normal"/>
        <w:tabs>
          <w:tab w:val="left" w:pos="9132"/>
        </w:tabs>
        <w:ind w:left="567" w:right="567" w:firstLine="0"/>
        <w:jc w:val="both"/>
        <w:rPr>
          <w:rFonts w:ascii="Book Antiqua" w:cs="Book Antiqua" w:hAnsi="Book Antiqua" w:eastAsia="Book Antiqua"/>
          <w:sz w:val="21"/>
          <w:szCs w:val="21"/>
        </w:rPr>
      </w:pPr>
    </w:p>
    <w:p>
      <w:pPr>
        <w:pStyle w:val="Normal"/>
        <w:tabs>
          <w:tab w:val="left" w:pos="9132"/>
        </w:tabs>
        <w:ind w:left="567" w:right="567" w:firstLine="0"/>
        <w:jc w:val="both"/>
        <w:rPr>
          <w:rFonts w:ascii="Book Antiqua" w:cs="Book Antiqua" w:hAnsi="Book Antiqua" w:eastAsia="Book Antiqua"/>
        </w:rPr>
      </w:pPr>
      <w:r>
        <w:rPr>
          <w:rFonts w:ascii="Book Antiqua"/>
          <w:rtl w:val="0"/>
          <w:lang w:val="it-IT"/>
        </w:rPr>
        <w:t xml:space="preserve">La Commissione richiama testualmente le conclusioni della relazione del marzo 2011 </w:t>
      </w:r>
      <w:r>
        <w:rPr>
          <w:rFonts w:hAnsi="Book Antiqua" w:hint="default"/>
          <w:rtl w:val="0"/>
          <w:lang w:val="it-IT"/>
        </w:rPr>
        <w:t xml:space="preserve">– </w:t>
      </w:r>
      <w:r>
        <w:rPr>
          <w:rFonts w:ascii="Book Antiqua"/>
          <w:rtl w:val="0"/>
          <w:lang w:val="it-IT"/>
        </w:rPr>
        <w:t xml:space="preserve">sopra riportate </w:t>
      </w:r>
      <w:r>
        <w:rPr>
          <w:rFonts w:hAnsi="Book Antiqua" w:hint="default"/>
          <w:rtl w:val="0"/>
          <w:lang w:val="it-IT"/>
        </w:rPr>
        <w:t xml:space="preserve">– </w:t>
      </w:r>
      <w:r>
        <w:rPr>
          <w:rFonts w:ascii="Book Antiqua"/>
          <w:rtl w:val="0"/>
          <w:lang w:val="it-IT"/>
        </w:rPr>
        <w:t>per sottolineare l</w:t>
      </w:r>
      <w:r>
        <w:rPr>
          <w:rFonts w:hAnsi="Book Antiqua" w:hint="default"/>
          <w:rtl w:val="0"/>
          <w:lang w:val="it-IT"/>
        </w:rPr>
        <w:t>’</w:t>
      </w:r>
      <w:r>
        <w:rPr>
          <w:rFonts w:ascii="Book Antiqua"/>
          <w:rtl w:val="0"/>
          <w:lang w:val="it-IT"/>
        </w:rPr>
        <w:t xml:space="preserve">incongruenza del termine </w:t>
      </w:r>
      <w:r>
        <w:rPr>
          <w:rFonts w:hAnsi="Book Antiqua" w:hint="default"/>
          <w:rtl w:val="0"/>
          <w:lang w:val="it-IT"/>
        </w:rPr>
        <w:t>“</w:t>
      </w:r>
      <w:r>
        <w:rPr>
          <w:rFonts w:ascii="Book Antiqua"/>
          <w:rtl w:val="0"/>
          <w:lang w:val="it-IT"/>
        </w:rPr>
        <w:t>emergenza</w:t>
      </w:r>
      <w:r>
        <w:rPr>
          <w:rFonts w:hAnsi="Book Antiqua" w:hint="default"/>
          <w:rtl w:val="0"/>
          <w:lang w:val="it-IT"/>
        </w:rPr>
        <w:t xml:space="preserve">” </w:t>
      </w:r>
      <w:r>
        <w:rPr>
          <w:rFonts w:ascii="Book Antiqua"/>
          <w:rtl w:val="0"/>
          <w:lang w:val="it-IT"/>
        </w:rPr>
        <w:t>per definire una situazione invece largamente prevedibile</w:t>
      </w:r>
    </w:p>
    <w:p>
      <w:pPr>
        <w:pStyle w:val="Normal"/>
        <w:tabs>
          <w:tab w:val="left" w:pos="9132"/>
        </w:tabs>
        <w:ind w:left="567" w:right="567" w:firstLine="0"/>
        <w:jc w:val="both"/>
        <w:rPr>
          <w:rFonts w:ascii="Book Antiqua" w:cs="Book Antiqua" w:hAnsi="Book Antiqua" w:eastAsia="Book Antiqua"/>
          <w:sz w:val="21"/>
          <w:szCs w:val="21"/>
        </w:rPr>
      </w:pPr>
    </w:p>
    <w:p>
      <w:pPr>
        <w:pStyle w:val="Normal"/>
        <w:tabs>
          <w:tab w:val="left" w:pos="9132"/>
        </w:tabs>
        <w:ind w:left="567" w:right="567" w:firstLine="0"/>
        <w:jc w:val="both"/>
        <w:rPr>
          <w:rFonts w:ascii="Book Antiqua" w:cs="Book Antiqua" w:hAnsi="Book Antiqua" w:eastAsia="Book Antiqua"/>
          <w:sz w:val="22"/>
          <w:szCs w:val="22"/>
        </w:rPr>
      </w:pPr>
      <w:r>
        <w:rPr>
          <w:rFonts w:hAnsi="Book Antiqua" w:hint="default"/>
          <w:sz w:val="22"/>
          <w:szCs w:val="22"/>
          <w:rtl w:val="0"/>
          <w:lang w:val="it-IT"/>
        </w:rPr>
        <w:t>“</w:t>
      </w:r>
      <w:r>
        <w:rPr>
          <w:rFonts w:ascii="Book Antiqua"/>
          <w:sz w:val="22"/>
          <w:szCs w:val="22"/>
          <w:rtl w:val="0"/>
          <w:lang w:val="it-IT"/>
        </w:rPr>
        <w:t>La situazione attuale, dunque, testimonia gli scarsi risultati raggiunti non solo dagli enti preposti alla gestione ordinaria del ciclo dei rifiuti, ma anche delle strutture commissariali che non sono state in grado di individuare per tempo un sito di discarica alternativo a Malagrotta.</w:t>
      </w:r>
    </w:p>
    <w:p>
      <w:pPr>
        <w:pStyle w:val="Normal"/>
        <w:tabs>
          <w:tab w:val="left" w:pos="9132"/>
        </w:tabs>
        <w:ind w:left="567" w:right="567" w:firstLine="0"/>
        <w:jc w:val="both"/>
        <w:rPr>
          <w:rFonts w:ascii="Book Antiqua" w:cs="Book Antiqua" w:hAnsi="Book Antiqua" w:eastAsia="Book Antiqua"/>
          <w:sz w:val="22"/>
          <w:szCs w:val="22"/>
        </w:rPr>
      </w:pPr>
      <w:r>
        <w:rPr>
          <w:rFonts w:ascii="Book Antiqua"/>
          <w:sz w:val="22"/>
          <w:szCs w:val="22"/>
          <w:rtl w:val="0"/>
          <w:lang w:val="it-IT"/>
        </w:rPr>
        <w:t>Occorre necessariamente partire dall</w:t>
      </w:r>
      <w:r>
        <w:rPr>
          <w:rFonts w:hAnsi="Book Antiqua" w:hint="default"/>
          <w:sz w:val="22"/>
          <w:szCs w:val="22"/>
          <w:rtl w:val="0"/>
          <w:lang w:val="it-IT"/>
        </w:rPr>
        <w:t>’</w:t>
      </w:r>
      <w:r>
        <w:rPr>
          <w:rFonts w:ascii="Book Antiqua"/>
          <w:sz w:val="22"/>
          <w:szCs w:val="22"/>
          <w:rtl w:val="0"/>
          <w:lang w:val="it-IT"/>
        </w:rPr>
        <w:t xml:space="preserve">ordinanza di nomina del commissario straordinario al quale </w:t>
      </w:r>
      <w:r>
        <w:rPr>
          <w:rFonts w:hAnsi="Book Antiqua" w:hint="default"/>
          <w:sz w:val="22"/>
          <w:szCs w:val="22"/>
          <w:rtl w:val="0"/>
          <w:lang w:val="it-IT"/>
        </w:rPr>
        <w:t xml:space="preserve">è </w:t>
      </w:r>
      <w:r>
        <w:rPr>
          <w:rFonts w:ascii="Book Antiqua"/>
          <w:sz w:val="22"/>
          <w:szCs w:val="22"/>
          <w:rtl w:val="0"/>
          <w:lang w:val="it-IT"/>
        </w:rPr>
        <w:t xml:space="preserve">stato attribuito il compito di </w:t>
      </w:r>
      <w:r>
        <w:rPr>
          <w:rFonts w:hAnsi="Book Antiqua" w:hint="default"/>
          <w:sz w:val="22"/>
          <w:szCs w:val="22"/>
          <w:rtl w:val="0"/>
          <w:lang w:val="it-IT"/>
        </w:rPr>
        <w:t>«</w:t>
      </w:r>
      <w:r>
        <w:rPr>
          <w:rFonts w:ascii="Book Antiqua"/>
          <w:sz w:val="22"/>
          <w:szCs w:val="22"/>
          <w:rtl w:val="0"/>
          <w:lang w:val="it-IT"/>
        </w:rPr>
        <w:t>garantire l</w:t>
      </w:r>
      <w:r>
        <w:rPr>
          <w:rFonts w:hAnsi="Book Antiqua" w:hint="default"/>
          <w:sz w:val="22"/>
          <w:szCs w:val="22"/>
          <w:rtl w:val="0"/>
          <w:lang w:val="it-IT"/>
        </w:rPr>
        <w:t>’</w:t>
      </w:r>
      <w:r>
        <w:rPr>
          <w:rFonts w:ascii="Book Antiqua"/>
          <w:sz w:val="22"/>
          <w:szCs w:val="22"/>
          <w:rtl w:val="0"/>
          <w:lang w:val="it-IT"/>
        </w:rPr>
        <w:t>individuazione, la progettazione e la successiva realizzazione, mediante l</w:t>
      </w:r>
      <w:r>
        <w:rPr>
          <w:rFonts w:hAnsi="Book Antiqua" w:hint="default"/>
          <w:sz w:val="22"/>
          <w:szCs w:val="22"/>
          <w:rtl w:val="0"/>
          <w:lang w:val="it-IT"/>
        </w:rPr>
        <w:t>’</w:t>
      </w:r>
      <w:r>
        <w:rPr>
          <w:rFonts w:ascii="Book Antiqua"/>
          <w:sz w:val="22"/>
          <w:szCs w:val="22"/>
          <w:rtl w:val="0"/>
          <w:lang w:val="it-IT"/>
        </w:rPr>
        <w:t>utilizzo di poteri straordinari e derogatori, di una o pi</w:t>
      </w:r>
      <w:r>
        <w:rPr>
          <w:rFonts w:hAnsi="Book Antiqua" w:hint="default"/>
          <w:sz w:val="22"/>
          <w:szCs w:val="22"/>
          <w:rtl w:val="0"/>
          <w:lang w:val="it-IT"/>
        </w:rPr>
        <w:t xml:space="preserve">ù </w:t>
      </w:r>
      <w:r>
        <w:rPr>
          <w:rFonts w:ascii="Book Antiqua"/>
          <w:sz w:val="22"/>
          <w:szCs w:val="22"/>
          <w:rtl w:val="0"/>
          <w:lang w:val="it-IT"/>
        </w:rPr>
        <w:t>discariche e/o l</w:t>
      </w:r>
      <w:r>
        <w:rPr>
          <w:rFonts w:hAnsi="Book Antiqua" w:hint="default"/>
          <w:sz w:val="22"/>
          <w:szCs w:val="22"/>
          <w:rtl w:val="0"/>
          <w:lang w:val="it-IT"/>
        </w:rPr>
        <w:t>’</w:t>
      </w:r>
      <w:r>
        <w:rPr>
          <w:rFonts w:ascii="Book Antiqua"/>
          <w:sz w:val="22"/>
          <w:szCs w:val="22"/>
          <w:rtl w:val="0"/>
          <w:lang w:val="it-IT"/>
        </w:rPr>
        <w:t>ampliamento di discariche esistenti indicate dalla regione, nonch</w:t>
      </w:r>
      <w:r>
        <w:rPr>
          <w:rFonts w:hAnsi="Book Antiqua" w:hint="default"/>
          <w:sz w:val="22"/>
          <w:szCs w:val="22"/>
          <w:rtl w:val="0"/>
          <w:lang w:val="it-IT"/>
        </w:rPr>
        <w:t xml:space="preserve">é </w:t>
      </w:r>
      <w:r>
        <w:rPr>
          <w:rFonts w:ascii="Book Antiqua"/>
          <w:sz w:val="22"/>
          <w:szCs w:val="22"/>
          <w:rtl w:val="0"/>
          <w:lang w:val="it-IT"/>
        </w:rPr>
        <w:t>di un impianto di trattamento meccanico</w:t>
      </w:r>
      <w:r>
        <w:rPr>
          <w:rFonts w:hAnsi="Book Antiqua" w:hint="default"/>
          <w:sz w:val="22"/>
          <w:szCs w:val="22"/>
          <w:rtl w:val="0"/>
          <w:lang w:val="it-IT"/>
        </w:rPr>
        <w:t>–</w:t>
      </w:r>
      <w:r>
        <w:rPr>
          <w:rFonts w:ascii="Book Antiqua"/>
          <w:sz w:val="22"/>
          <w:szCs w:val="22"/>
          <w:rtl w:val="0"/>
          <w:lang w:val="it-IT"/>
        </w:rPr>
        <w:t>biologico dei rifiuti urbani necessarie a garantire la piena copertura del fabbisogno dell</w:t>
      </w:r>
      <w:r>
        <w:rPr>
          <w:rFonts w:hAnsi="Book Antiqua" w:hint="default"/>
          <w:sz w:val="22"/>
          <w:szCs w:val="22"/>
          <w:rtl w:val="0"/>
          <w:lang w:val="it-IT"/>
        </w:rPr>
        <w:t>’</w:t>
      </w:r>
      <w:r>
        <w:rPr>
          <w:rFonts w:ascii="Book Antiqua"/>
          <w:sz w:val="22"/>
          <w:szCs w:val="22"/>
          <w:rtl w:val="0"/>
          <w:lang w:val="it-IT"/>
        </w:rPr>
        <w:t>area interessata dallo stato di emergenza, di cui alla citata ordinanza, per il tempo necessario all</w:t>
      </w:r>
      <w:r>
        <w:rPr>
          <w:rFonts w:hAnsi="Book Antiqua" w:hint="default"/>
          <w:sz w:val="22"/>
          <w:szCs w:val="22"/>
          <w:rtl w:val="0"/>
          <w:lang w:val="it-IT"/>
        </w:rPr>
        <w:t>’</w:t>
      </w:r>
      <w:r>
        <w:rPr>
          <w:rFonts w:ascii="Book Antiqua"/>
          <w:sz w:val="22"/>
          <w:szCs w:val="22"/>
          <w:rtl w:val="0"/>
          <w:lang w:val="it-IT"/>
        </w:rPr>
        <w:t>avvio degli impianti di smaltimento e trattamento definitivi da parte dei soggetti competenti e nelle more della messa in esercizio, del sistema impiantistico previsto dal piano regionale di smaltimento dei rifiuti</w:t>
      </w:r>
      <w:r>
        <w:rPr>
          <w:rFonts w:hAnsi="Book Antiqua" w:hint="default"/>
          <w:sz w:val="22"/>
          <w:szCs w:val="22"/>
          <w:rtl w:val="0"/>
          <w:lang w:val="it-IT"/>
        </w:rPr>
        <w:t>»</w:t>
      </w:r>
      <w:r>
        <w:rPr>
          <w:rFonts w:ascii="Book Antiqua"/>
          <w:sz w:val="22"/>
          <w:szCs w:val="22"/>
          <w:rtl w:val="0"/>
          <w:lang w:val="it-IT"/>
        </w:rPr>
        <w:t>.</w:t>
      </w:r>
    </w:p>
    <w:p>
      <w:pPr>
        <w:pStyle w:val="Normal"/>
        <w:tabs>
          <w:tab w:val="left" w:pos="9132"/>
        </w:tabs>
        <w:ind w:left="567" w:right="567" w:firstLine="0"/>
        <w:jc w:val="both"/>
        <w:rPr>
          <w:rFonts w:ascii="Book Antiqua" w:cs="Book Antiqua" w:hAnsi="Book Antiqua" w:eastAsia="Book Antiqua"/>
          <w:sz w:val="22"/>
          <w:szCs w:val="22"/>
        </w:rPr>
      </w:pPr>
      <w:r>
        <w:rPr>
          <w:rFonts w:ascii="Book Antiqua"/>
          <w:sz w:val="22"/>
          <w:szCs w:val="22"/>
          <w:rtl w:val="0"/>
          <w:lang w:val="it-IT"/>
        </w:rPr>
        <w:t xml:space="preserve">Nel provvedimento </w:t>
      </w:r>
      <w:r>
        <w:rPr>
          <w:rFonts w:hAnsi="Book Antiqua" w:hint="default"/>
          <w:sz w:val="22"/>
          <w:szCs w:val="22"/>
          <w:rtl w:val="0"/>
          <w:lang w:val="it-IT"/>
        </w:rPr>
        <w:t xml:space="preserve">è </w:t>
      </w:r>
      <w:r>
        <w:rPr>
          <w:rFonts w:ascii="Book Antiqua"/>
          <w:sz w:val="22"/>
          <w:szCs w:val="22"/>
          <w:rtl w:val="0"/>
          <w:lang w:val="it-IT"/>
        </w:rPr>
        <w:t>specificato che l</w:t>
      </w:r>
      <w:r>
        <w:rPr>
          <w:rFonts w:hAnsi="Book Antiqua" w:hint="default"/>
          <w:sz w:val="22"/>
          <w:szCs w:val="22"/>
          <w:rtl w:val="0"/>
          <w:lang w:val="it-IT"/>
        </w:rPr>
        <w:t>’</w:t>
      </w:r>
      <w:r>
        <w:rPr>
          <w:rFonts w:ascii="Book Antiqua"/>
          <w:sz w:val="22"/>
          <w:szCs w:val="22"/>
          <w:rtl w:val="0"/>
          <w:lang w:val="it-IT"/>
        </w:rPr>
        <w:t>individuazione di uno o pi</w:t>
      </w:r>
      <w:r>
        <w:rPr>
          <w:rFonts w:hAnsi="Book Antiqua" w:hint="default"/>
          <w:sz w:val="22"/>
          <w:szCs w:val="22"/>
          <w:rtl w:val="0"/>
          <w:lang w:val="it-IT"/>
        </w:rPr>
        <w:t xml:space="preserve">ù </w:t>
      </w:r>
      <w:r>
        <w:rPr>
          <w:rFonts w:ascii="Book Antiqua"/>
          <w:sz w:val="22"/>
          <w:szCs w:val="22"/>
          <w:rtl w:val="0"/>
          <w:lang w:val="it-IT"/>
        </w:rPr>
        <w:t>siti di discarica dovr</w:t>
      </w:r>
      <w:r>
        <w:rPr>
          <w:rFonts w:hAnsi="Book Antiqua" w:hint="default"/>
          <w:sz w:val="22"/>
          <w:szCs w:val="22"/>
          <w:rtl w:val="0"/>
          <w:lang w:val="it-IT"/>
        </w:rPr>
        <w:t xml:space="preserve">à </w:t>
      </w:r>
      <w:r>
        <w:rPr>
          <w:rFonts w:ascii="Book Antiqua"/>
          <w:sz w:val="22"/>
          <w:szCs w:val="22"/>
          <w:rtl w:val="0"/>
          <w:lang w:val="it-IT"/>
        </w:rPr>
        <w:t xml:space="preserve">avvenire </w:t>
      </w:r>
      <w:r>
        <w:rPr>
          <w:rFonts w:hAnsi="Book Antiqua" w:hint="default"/>
          <w:sz w:val="22"/>
          <w:szCs w:val="22"/>
          <w:rtl w:val="0"/>
          <w:lang w:val="it-IT"/>
        </w:rPr>
        <w:t>«</w:t>
      </w:r>
      <w:r>
        <w:rPr>
          <w:rFonts w:ascii="Book Antiqua"/>
          <w:sz w:val="22"/>
          <w:szCs w:val="22"/>
          <w:rtl w:val="0"/>
          <w:lang w:val="it-IT"/>
        </w:rPr>
        <w:t>in via prioritaria, nell</w:t>
      </w:r>
      <w:r>
        <w:rPr>
          <w:rFonts w:hAnsi="Book Antiqua" w:hint="default"/>
          <w:sz w:val="22"/>
          <w:szCs w:val="22"/>
          <w:rtl w:val="0"/>
          <w:lang w:val="it-IT"/>
        </w:rPr>
        <w:t>’</w:t>
      </w:r>
      <w:r>
        <w:rPr>
          <w:rFonts w:ascii="Book Antiqua"/>
          <w:sz w:val="22"/>
          <w:szCs w:val="22"/>
          <w:rtl w:val="0"/>
          <w:lang w:val="it-IT"/>
        </w:rPr>
        <w:t xml:space="preserve">ambito dei siti indicati nel documento </w:t>
      </w:r>
      <w:r>
        <w:rPr>
          <w:rFonts w:hAnsi="Book Antiqua" w:hint="default"/>
          <w:sz w:val="22"/>
          <w:szCs w:val="22"/>
          <w:rtl w:val="0"/>
          <w:lang w:val="it-IT"/>
        </w:rPr>
        <w:t>‘</w:t>
      </w:r>
      <w:r>
        <w:rPr>
          <w:rFonts w:ascii="Book Antiqua"/>
          <w:sz w:val="22"/>
          <w:szCs w:val="22"/>
          <w:rtl w:val="0"/>
          <w:lang w:val="it-IT"/>
        </w:rPr>
        <w:t>Analisi preliminare di individuazione di aree idonee alla localizzazione di discariche per rifiuti non pericolosi</w:t>
      </w:r>
      <w:r>
        <w:rPr>
          <w:rFonts w:hAnsi="Book Antiqua" w:hint="default"/>
          <w:sz w:val="22"/>
          <w:szCs w:val="22"/>
          <w:rtl w:val="0"/>
          <w:lang w:val="it-IT"/>
        </w:rPr>
        <w:t>’</w:t>
      </w:r>
      <w:r>
        <w:rPr>
          <w:rFonts w:ascii="Book Antiqua"/>
          <w:sz w:val="22"/>
          <w:szCs w:val="22"/>
          <w:rtl w:val="0"/>
          <w:lang w:val="it-IT"/>
        </w:rPr>
        <w:t xml:space="preserve"> redatto dalla regione Lazio</w:t>
      </w:r>
      <w:r>
        <w:rPr>
          <w:rFonts w:hAnsi="Book Antiqua" w:hint="default"/>
          <w:sz w:val="22"/>
          <w:szCs w:val="22"/>
          <w:rtl w:val="0"/>
          <w:lang w:val="it-IT"/>
        </w:rPr>
        <w:t>»</w:t>
      </w:r>
      <w:r>
        <w:rPr>
          <w:rFonts w:ascii="Book Antiqua"/>
          <w:sz w:val="22"/>
          <w:szCs w:val="22"/>
          <w:rtl w:val="0"/>
          <w:lang w:val="it-IT"/>
        </w:rPr>
        <w:t>.</w:t>
      </w:r>
    </w:p>
    <w:p>
      <w:pPr>
        <w:pStyle w:val="Normal"/>
        <w:tabs>
          <w:tab w:val="left" w:pos="9132"/>
        </w:tabs>
        <w:ind w:left="567" w:right="567" w:firstLine="0"/>
        <w:jc w:val="both"/>
        <w:rPr>
          <w:rFonts w:ascii="Book Antiqua" w:cs="Book Antiqua" w:hAnsi="Book Antiqua" w:eastAsia="Book Antiqua"/>
          <w:sz w:val="22"/>
          <w:szCs w:val="22"/>
        </w:rPr>
      </w:pPr>
      <w:r>
        <w:rPr>
          <w:rFonts w:ascii="Book Antiqua"/>
          <w:sz w:val="22"/>
          <w:szCs w:val="22"/>
          <w:rtl w:val="0"/>
          <w:lang w:val="it-IT"/>
        </w:rPr>
        <w:t>La necessit</w:t>
      </w:r>
      <w:r>
        <w:rPr>
          <w:rFonts w:hAnsi="Book Antiqua" w:hint="default"/>
          <w:sz w:val="22"/>
          <w:szCs w:val="22"/>
          <w:rtl w:val="0"/>
          <w:lang w:val="it-IT"/>
        </w:rPr>
        <w:t xml:space="preserve">à </w:t>
      </w:r>
      <w:r>
        <w:rPr>
          <w:rFonts w:ascii="Book Antiqua"/>
          <w:sz w:val="22"/>
          <w:szCs w:val="22"/>
          <w:rtl w:val="0"/>
          <w:lang w:val="it-IT"/>
        </w:rPr>
        <w:t>di individuare un sito idoneo in tempi molto ristretti giustificherebbe, astrattamente, la previsione per cui la scelta del commissario debba essere effettuata in via prioritaria tra i sette siti indicati dalla regione Lazio nel documento summenzionato.</w:t>
      </w:r>
    </w:p>
    <w:p>
      <w:pPr>
        <w:pStyle w:val="Normal"/>
        <w:tabs>
          <w:tab w:val="left" w:pos="9132"/>
        </w:tabs>
        <w:ind w:left="567" w:right="567" w:firstLine="0"/>
        <w:jc w:val="both"/>
        <w:rPr>
          <w:rFonts w:ascii="Book Antiqua" w:cs="Book Antiqua" w:hAnsi="Book Antiqua" w:eastAsia="Book Antiqua"/>
          <w:sz w:val="22"/>
          <w:szCs w:val="22"/>
        </w:rPr>
      </w:pPr>
      <w:r>
        <w:rPr>
          <w:rFonts w:ascii="Book Antiqua"/>
          <w:sz w:val="22"/>
          <w:szCs w:val="22"/>
          <w:rtl w:val="0"/>
          <w:lang w:val="it-IT"/>
        </w:rPr>
        <w:t>In sostanza, la logica posta alla base della previsione contenuta nell</w:t>
      </w:r>
      <w:r>
        <w:rPr>
          <w:rFonts w:hAnsi="Book Antiqua" w:hint="default"/>
          <w:sz w:val="22"/>
          <w:szCs w:val="22"/>
          <w:rtl w:val="0"/>
          <w:lang w:val="it-IT"/>
        </w:rPr>
        <w:t>’</w:t>
      </w:r>
      <w:r>
        <w:rPr>
          <w:rFonts w:ascii="Book Antiqua"/>
          <w:sz w:val="22"/>
          <w:szCs w:val="22"/>
          <w:rtl w:val="0"/>
          <w:lang w:val="it-IT"/>
        </w:rPr>
        <w:t>ordinanza dovrebbe essere quella di facilitare e, quindi, accelerare il compito del commissario.</w:t>
      </w:r>
    </w:p>
    <w:p>
      <w:pPr>
        <w:pStyle w:val="Normal"/>
        <w:tabs>
          <w:tab w:val="left" w:pos="9132"/>
        </w:tabs>
        <w:ind w:left="567" w:right="567" w:firstLine="0"/>
        <w:jc w:val="both"/>
        <w:rPr>
          <w:rFonts w:ascii="Book Antiqua" w:cs="Book Antiqua" w:hAnsi="Book Antiqua" w:eastAsia="Book Antiqua"/>
          <w:sz w:val="22"/>
          <w:szCs w:val="22"/>
        </w:rPr>
      </w:pPr>
      <w:r>
        <w:rPr>
          <w:rFonts w:ascii="Book Antiqua"/>
          <w:sz w:val="22"/>
          <w:szCs w:val="22"/>
          <w:rtl w:val="0"/>
          <w:lang w:val="it-IT"/>
        </w:rPr>
        <w:t>Tale finalit</w:t>
      </w:r>
      <w:r>
        <w:rPr>
          <w:rFonts w:hAnsi="Book Antiqua" w:hint="default"/>
          <w:sz w:val="22"/>
          <w:szCs w:val="22"/>
          <w:rtl w:val="0"/>
          <w:lang w:val="it-IT"/>
        </w:rPr>
        <w:t xml:space="preserve">à </w:t>
      </w:r>
      <w:r>
        <w:rPr>
          <w:rFonts w:ascii="Book Antiqua"/>
          <w:sz w:val="22"/>
          <w:szCs w:val="22"/>
          <w:rtl w:val="0"/>
          <w:lang w:val="it-IT"/>
        </w:rPr>
        <w:t>sarebbe stata realizzata laddove il documento di analisi preliminare avesse individuato siti astrattamente idonei o con criticit</w:t>
      </w:r>
      <w:r>
        <w:rPr>
          <w:rFonts w:hAnsi="Book Antiqua" w:hint="default"/>
          <w:sz w:val="22"/>
          <w:szCs w:val="22"/>
          <w:rtl w:val="0"/>
          <w:lang w:val="it-IT"/>
        </w:rPr>
        <w:t xml:space="preserve">à </w:t>
      </w:r>
      <w:r>
        <w:rPr>
          <w:rFonts w:ascii="Book Antiqua"/>
          <w:sz w:val="22"/>
          <w:szCs w:val="22"/>
          <w:rtl w:val="0"/>
          <w:lang w:val="it-IT"/>
        </w:rPr>
        <w:t>superabili e fosse stato il frutto di un</w:t>
      </w:r>
      <w:r>
        <w:rPr>
          <w:rFonts w:hAnsi="Book Antiqua" w:hint="default"/>
          <w:sz w:val="22"/>
          <w:szCs w:val="22"/>
          <w:rtl w:val="0"/>
          <w:lang w:val="it-IT"/>
        </w:rPr>
        <w:t>’</w:t>
      </w:r>
      <w:r>
        <w:rPr>
          <w:rFonts w:ascii="Book Antiqua"/>
          <w:sz w:val="22"/>
          <w:szCs w:val="22"/>
          <w:rtl w:val="0"/>
          <w:lang w:val="it-IT"/>
        </w:rPr>
        <w:t>attivit</w:t>
      </w:r>
      <w:r>
        <w:rPr>
          <w:rFonts w:hAnsi="Book Antiqua" w:hint="default"/>
          <w:sz w:val="22"/>
          <w:szCs w:val="22"/>
          <w:rtl w:val="0"/>
          <w:lang w:val="it-IT"/>
        </w:rPr>
        <w:t xml:space="preserve">à </w:t>
      </w:r>
      <w:r>
        <w:rPr>
          <w:rFonts w:ascii="Book Antiqua"/>
          <w:sz w:val="22"/>
          <w:szCs w:val="22"/>
          <w:rtl w:val="0"/>
          <w:lang w:val="it-IT"/>
        </w:rPr>
        <w:t>istruttoria attuale caratterizzata da verifiche di carattere scientifico e da sopralluoghi sul campo.</w:t>
      </w:r>
    </w:p>
    <w:p>
      <w:pPr>
        <w:pStyle w:val="Normal"/>
        <w:tabs>
          <w:tab w:val="left" w:pos="9132"/>
        </w:tabs>
        <w:ind w:left="567" w:right="567" w:firstLine="0"/>
        <w:jc w:val="both"/>
        <w:rPr>
          <w:rFonts w:ascii="Book Antiqua" w:cs="Book Antiqua" w:hAnsi="Book Antiqua" w:eastAsia="Book Antiqua"/>
          <w:sz w:val="22"/>
          <w:szCs w:val="22"/>
        </w:rPr>
      </w:pPr>
      <w:r>
        <w:rPr>
          <w:rFonts w:ascii="Book Antiqua"/>
          <w:sz w:val="22"/>
          <w:szCs w:val="22"/>
          <w:rtl w:val="0"/>
          <w:lang w:val="it-IT"/>
        </w:rPr>
        <w:t>Nulla di tutto ci</w:t>
      </w:r>
      <w:r>
        <w:rPr>
          <w:rFonts w:hAnsi="Book Antiqua" w:hint="default"/>
          <w:sz w:val="22"/>
          <w:szCs w:val="22"/>
          <w:rtl w:val="0"/>
          <w:lang w:val="it-IT"/>
        </w:rPr>
        <w:t xml:space="preserve">ò è </w:t>
      </w:r>
      <w:r>
        <w:rPr>
          <w:rFonts w:ascii="Book Antiqua"/>
          <w:sz w:val="22"/>
          <w:szCs w:val="22"/>
          <w:rtl w:val="0"/>
          <w:lang w:val="it-IT"/>
        </w:rPr>
        <w:t>avvenuto.</w:t>
      </w:r>
    </w:p>
    <w:p>
      <w:pPr>
        <w:pStyle w:val="Normal"/>
        <w:tabs>
          <w:tab w:val="left" w:pos="9132"/>
        </w:tabs>
        <w:ind w:left="567" w:right="567" w:firstLine="0"/>
        <w:jc w:val="both"/>
        <w:rPr>
          <w:rFonts w:ascii="Book Antiqua" w:cs="Book Antiqua" w:hAnsi="Book Antiqua" w:eastAsia="Book Antiqua"/>
          <w:sz w:val="22"/>
          <w:szCs w:val="22"/>
        </w:rPr>
      </w:pPr>
      <w:r>
        <w:rPr>
          <w:rFonts w:ascii="Book Antiqua"/>
          <w:sz w:val="22"/>
          <w:szCs w:val="22"/>
          <w:rtl w:val="0"/>
          <w:lang w:val="it-IT"/>
        </w:rPr>
        <w:t xml:space="preserve">Nella parte iniziale del documento si legge: </w:t>
      </w:r>
      <w:r>
        <w:rPr>
          <w:rFonts w:hAnsi="Book Antiqua" w:hint="default"/>
          <w:sz w:val="22"/>
          <w:szCs w:val="22"/>
          <w:rtl w:val="0"/>
          <w:lang w:val="it-IT"/>
        </w:rPr>
        <w:t>«</w:t>
      </w:r>
      <w:r>
        <w:rPr>
          <w:rFonts w:ascii="Book Antiqua"/>
          <w:sz w:val="22"/>
          <w:szCs w:val="22"/>
          <w:rtl w:val="0"/>
          <w:lang w:val="it-IT"/>
        </w:rPr>
        <w:t>Il presente documento ha lo scopo di perimetrare, dal punto di vista della compatibilit</w:t>
      </w:r>
      <w:r>
        <w:rPr>
          <w:rFonts w:hAnsi="Book Antiqua" w:hint="default"/>
          <w:sz w:val="22"/>
          <w:szCs w:val="22"/>
          <w:rtl w:val="0"/>
          <w:lang w:val="it-IT"/>
        </w:rPr>
        <w:t xml:space="preserve">à </w:t>
      </w:r>
      <w:r>
        <w:rPr>
          <w:rFonts w:ascii="Book Antiqua"/>
          <w:sz w:val="22"/>
          <w:szCs w:val="22"/>
          <w:rtl w:val="0"/>
          <w:lang w:val="it-IT"/>
        </w:rPr>
        <w:t>tecnico-amministrativa, alcune aree, meglio dettagliate in seguito, individuate in via preliminare quali potenziali insediamenti del nuovo sito di discarica, di propriet</w:t>
      </w:r>
      <w:r>
        <w:rPr>
          <w:rFonts w:hAnsi="Book Antiqua" w:hint="default"/>
          <w:sz w:val="22"/>
          <w:szCs w:val="22"/>
          <w:rtl w:val="0"/>
          <w:lang w:val="it-IT"/>
        </w:rPr>
        <w:t xml:space="preserve">à </w:t>
      </w:r>
      <w:r>
        <w:rPr>
          <w:rFonts w:ascii="Book Antiqua"/>
          <w:sz w:val="22"/>
          <w:szCs w:val="22"/>
          <w:rtl w:val="0"/>
          <w:lang w:val="it-IT"/>
        </w:rPr>
        <w:t>pubblica [</w:t>
      </w:r>
      <w:r>
        <w:rPr>
          <w:rFonts w:hAnsi="Book Antiqua" w:hint="default"/>
          <w:sz w:val="22"/>
          <w:szCs w:val="22"/>
          <w:rtl w:val="0"/>
          <w:lang w:val="it-IT"/>
        </w:rPr>
        <w:t>…</w:t>
      </w:r>
      <w:r>
        <w:rPr>
          <w:rFonts w:ascii="Book Antiqua"/>
          <w:sz w:val="22"/>
          <w:szCs w:val="22"/>
          <w:rtl w:val="0"/>
          <w:lang w:val="it-IT"/>
        </w:rPr>
        <w:t>] la compatibilit</w:t>
      </w:r>
      <w:r>
        <w:rPr>
          <w:rFonts w:hAnsi="Book Antiqua" w:hint="default"/>
          <w:sz w:val="22"/>
          <w:szCs w:val="22"/>
          <w:rtl w:val="0"/>
          <w:lang w:val="it-IT"/>
        </w:rPr>
        <w:t xml:space="preserve">à </w:t>
      </w:r>
      <w:r>
        <w:rPr>
          <w:rFonts w:ascii="Book Antiqua"/>
          <w:sz w:val="22"/>
          <w:szCs w:val="22"/>
          <w:rtl w:val="0"/>
          <w:lang w:val="it-IT"/>
        </w:rPr>
        <w:t>accertata ha carattere esclusivamente preliminare, basandosi su considerazioni di carattere documentale, avendo essa il solo scopo di illustrazione dei siti. Ad essa far</w:t>
      </w:r>
      <w:r>
        <w:rPr>
          <w:rFonts w:hAnsi="Book Antiqua" w:hint="default"/>
          <w:sz w:val="22"/>
          <w:szCs w:val="22"/>
          <w:rtl w:val="0"/>
          <w:lang w:val="it-IT"/>
        </w:rPr>
        <w:t xml:space="preserve">à </w:t>
      </w:r>
      <w:r>
        <w:rPr>
          <w:rFonts w:ascii="Book Antiqua"/>
          <w:sz w:val="22"/>
          <w:szCs w:val="22"/>
          <w:rtl w:val="0"/>
          <w:lang w:val="it-IT"/>
        </w:rPr>
        <w:t>seguito ogni campagna di indagine e ogni iter procedurale necessario, cos</w:t>
      </w:r>
      <w:r>
        <w:rPr>
          <w:rFonts w:hAnsi="Book Antiqua" w:hint="default"/>
          <w:sz w:val="22"/>
          <w:szCs w:val="22"/>
          <w:rtl w:val="0"/>
          <w:lang w:val="it-IT"/>
        </w:rPr>
        <w:t xml:space="preserve">ì </w:t>
      </w:r>
      <w:r>
        <w:rPr>
          <w:rFonts w:ascii="Book Antiqua"/>
          <w:sz w:val="22"/>
          <w:szCs w:val="22"/>
          <w:rtl w:val="0"/>
          <w:lang w:val="it-IT"/>
        </w:rPr>
        <w:t>come previsti dalla normativa di settore e dalla tecnica progettuale e realizzativa</w:t>
      </w:r>
      <w:r>
        <w:rPr>
          <w:rFonts w:hAnsi="Book Antiqua" w:hint="default"/>
          <w:sz w:val="22"/>
          <w:szCs w:val="22"/>
          <w:rtl w:val="0"/>
          <w:lang w:val="it-IT"/>
        </w:rPr>
        <w:t>»</w:t>
      </w:r>
      <w:r>
        <w:rPr>
          <w:rFonts w:ascii="Book Antiqua"/>
          <w:sz w:val="22"/>
          <w:szCs w:val="22"/>
          <w:rtl w:val="0"/>
          <w:lang w:val="it-IT"/>
        </w:rPr>
        <w:t xml:space="preserve">. La dizione </w:t>
      </w:r>
      <w:r>
        <w:rPr>
          <w:rFonts w:hAnsi="Book Antiqua" w:hint="default"/>
          <w:sz w:val="22"/>
          <w:szCs w:val="22"/>
          <w:rtl w:val="0"/>
          <w:lang w:val="it-IT"/>
        </w:rPr>
        <w:t>«</w:t>
      </w:r>
      <w:r>
        <w:rPr>
          <w:rFonts w:ascii="Book Antiqua"/>
          <w:sz w:val="22"/>
          <w:szCs w:val="22"/>
          <w:rtl w:val="0"/>
          <w:lang w:val="it-IT"/>
        </w:rPr>
        <w:t>compatibilit</w:t>
      </w:r>
      <w:r>
        <w:rPr>
          <w:rFonts w:hAnsi="Book Antiqua" w:hint="default"/>
          <w:sz w:val="22"/>
          <w:szCs w:val="22"/>
          <w:rtl w:val="0"/>
          <w:lang w:val="it-IT"/>
        </w:rPr>
        <w:t xml:space="preserve">à </w:t>
      </w:r>
      <w:r>
        <w:rPr>
          <w:rFonts w:ascii="Book Antiqua"/>
          <w:sz w:val="22"/>
          <w:szCs w:val="22"/>
          <w:rtl w:val="0"/>
          <w:lang w:val="it-IT"/>
        </w:rPr>
        <w:t>tecnico-amministrativa</w:t>
      </w:r>
      <w:r>
        <w:rPr>
          <w:rFonts w:hAnsi="Book Antiqua" w:hint="default"/>
          <w:sz w:val="22"/>
          <w:szCs w:val="22"/>
          <w:rtl w:val="0"/>
          <w:lang w:val="it-IT"/>
        </w:rPr>
        <w:t xml:space="preserve">» </w:t>
      </w:r>
      <w:r>
        <w:rPr>
          <w:rFonts w:ascii="Book Antiqua"/>
          <w:sz w:val="22"/>
          <w:szCs w:val="22"/>
          <w:rtl w:val="0"/>
          <w:lang w:val="it-IT"/>
        </w:rPr>
        <w:t>sembrerebbe, secondo i comuni criteri interpretativi, far riferimento a una compatibilit</w:t>
      </w:r>
      <w:r>
        <w:rPr>
          <w:rFonts w:hAnsi="Book Antiqua" w:hint="default"/>
          <w:sz w:val="22"/>
          <w:szCs w:val="22"/>
          <w:rtl w:val="0"/>
          <w:lang w:val="it-IT"/>
        </w:rPr>
        <w:t xml:space="preserve">à </w:t>
      </w:r>
      <w:r>
        <w:rPr>
          <w:rFonts w:ascii="Book Antiqua"/>
          <w:sz w:val="22"/>
          <w:szCs w:val="22"/>
          <w:rtl w:val="0"/>
          <w:lang w:val="it-IT"/>
        </w:rPr>
        <w:t>sia dal punto di vista amministrativo, nel senso che non dovrebbero sussistere vincoli giuridici insuperabili (nonostante la normativa emergenziale), sia dal punto di vista tecnico, ossia i siti dovrebbero essere compatibili, sotto il profilo delle caratteristiche geologiche e idrogeologiche, con una loro potenziale destinazione a discarica.</w:t>
      </w:r>
    </w:p>
    <w:p>
      <w:pPr>
        <w:pStyle w:val="Normal"/>
        <w:tabs>
          <w:tab w:val="left" w:pos="9132"/>
        </w:tabs>
        <w:ind w:left="567" w:right="567" w:firstLine="0"/>
        <w:jc w:val="both"/>
        <w:rPr>
          <w:rFonts w:ascii="Book Antiqua" w:cs="Book Antiqua" w:hAnsi="Book Antiqua" w:eastAsia="Book Antiqua"/>
          <w:sz w:val="22"/>
          <w:szCs w:val="22"/>
        </w:rPr>
      </w:pPr>
      <w:r>
        <w:rPr>
          <w:rFonts w:ascii="Book Antiqua"/>
          <w:sz w:val="22"/>
          <w:szCs w:val="22"/>
          <w:rtl w:val="0"/>
          <w:lang w:val="it-IT"/>
        </w:rPr>
        <w:t>Al contrario, come detto nello stesso documento, le verifiche necessarie non sono state effettuate, rinviandole a un momento successivo sicch</w:t>
      </w:r>
      <w:r>
        <w:rPr>
          <w:rFonts w:hAnsi="Book Antiqua" w:hint="default"/>
          <w:sz w:val="22"/>
          <w:szCs w:val="22"/>
          <w:rtl w:val="0"/>
          <w:lang w:val="it-IT"/>
        </w:rPr>
        <w:t xml:space="preserve">é </w:t>
      </w:r>
      <w:r>
        <w:rPr>
          <w:rFonts w:ascii="Book Antiqua"/>
          <w:sz w:val="22"/>
          <w:szCs w:val="22"/>
          <w:rtl w:val="0"/>
          <w:lang w:val="it-IT"/>
        </w:rPr>
        <w:t>il documento di analisi preliminare della regione, richiamato nell</w:t>
      </w:r>
      <w:r>
        <w:rPr>
          <w:rFonts w:hAnsi="Book Antiqua" w:hint="default"/>
          <w:sz w:val="22"/>
          <w:szCs w:val="22"/>
          <w:rtl w:val="0"/>
          <w:lang w:val="it-IT"/>
        </w:rPr>
        <w:t>’</w:t>
      </w:r>
      <w:r>
        <w:rPr>
          <w:rFonts w:ascii="Book Antiqua"/>
          <w:sz w:val="22"/>
          <w:szCs w:val="22"/>
          <w:rtl w:val="0"/>
          <w:lang w:val="it-IT"/>
        </w:rPr>
        <w:t>ordinanza di nomina del commissario straordinario, risulta essere del tutto inadeguato al diverso scopo conferitogli dall</w:t>
      </w:r>
      <w:r>
        <w:rPr>
          <w:rFonts w:hAnsi="Book Antiqua" w:hint="default"/>
          <w:sz w:val="22"/>
          <w:szCs w:val="22"/>
          <w:rtl w:val="0"/>
          <w:lang w:val="it-IT"/>
        </w:rPr>
        <w:t>’</w:t>
      </w:r>
      <w:r>
        <w:rPr>
          <w:rFonts w:ascii="Book Antiqua"/>
          <w:sz w:val="22"/>
          <w:szCs w:val="22"/>
          <w:rtl w:val="0"/>
          <w:lang w:val="it-IT"/>
        </w:rPr>
        <w:t>ordinanza stessa, sia dal punto di vista tecnico che dal punto di vista giuridico.</w:t>
      </w:r>
    </w:p>
    <w:p>
      <w:pPr>
        <w:pStyle w:val="Normal"/>
        <w:tabs>
          <w:tab w:val="left" w:pos="9132"/>
        </w:tabs>
        <w:ind w:left="567" w:right="567" w:firstLine="0"/>
        <w:jc w:val="both"/>
        <w:rPr>
          <w:rFonts w:ascii="Book Antiqua" w:cs="Book Antiqua" w:hAnsi="Book Antiqua" w:eastAsia="Book Antiqua"/>
          <w:sz w:val="22"/>
          <w:szCs w:val="22"/>
        </w:rPr>
      </w:pPr>
      <w:r>
        <w:rPr>
          <w:rFonts w:ascii="Book Antiqua"/>
          <w:sz w:val="22"/>
          <w:szCs w:val="22"/>
          <w:rtl w:val="0"/>
          <w:lang w:val="it-IT"/>
        </w:rPr>
        <w:t>La Commissione non pu</w:t>
      </w:r>
      <w:r>
        <w:rPr>
          <w:rFonts w:hAnsi="Book Antiqua" w:hint="default"/>
          <w:sz w:val="22"/>
          <w:szCs w:val="22"/>
          <w:rtl w:val="0"/>
          <w:lang w:val="it-IT"/>
        </w:rPr>
        <w:t xml:space="preserve">ò </w:t>
      </w:r>
      <w:r>
        <w:rPr>
          <w:rFonts w:ascii="Book Antiqua"/>
          <w:sz w:val="22"/>
          <w:szCs w:val="22"/>
          <w:rtl w:val="0"/>
          <w:lang w:val="it-IT"/>
        </w:rPr>
        <w:t>che evidenziare che tale documento preliminare, ripreso nell</w:t>
      </w:r>
      <w:r>
        <w:rPr>
          <w:rFonts w:hAnsi="Book Antiqua" w:hint="default"/>
          <w:sz w:val="22"/>
          <w:szCs w:val="22"/>
          <w:rtl w:val="0"/>
          <w:lang w:val="it-IT"/>
        </w:rPr>
        <w:t>’</w:t>
      </w:r>
      <w:r>
        <w:rPr>
          <w:rFonts w:ascii="Book Antiqua"/>
          <w:sz w:val="22"/>
          <w:szCs w:val="22"/>
          <w:rtl w:val="0"/>
          <w:lang w:val="it-IT"/>
        </w:rPr>
        <w:t>ordinanza del Presidente del Consiglio dei ministri, ha poi condizionato le successive fasi della procedura, non avendo le strutture commissariali proceduto all</w:t>
      </w:r>
      <w:r>
        <w:rPr>
          <w:rFonts w:hAnsi="Book Antiqua" w:hint="default"/>
          <w:sz w:val="22"/>
          <w:szCs w:val="22"/>
          <w:rtl w:val="0"/>
          <w:lang w:val="it-IT"/>
        </w:rPr>
        <w:t>’</w:t>
      </w:r>
      <w:r>
        <w:rPr>
          <w:rFonts w:ascii="Book Antiqua"/>
          <w:sz w:val="22"/>
          <w:szCs w:val="22"/>
          <w:rtl w:val="0"/>
          <w:lang w:val="it-IT"/>
        </w:rPr>
        <w:t>analisi di altri siti rispetto a quelli ivi indicati.</w:t>
      </w:r>
      <w:r>
        <w:rPr>
          <w:rFonts w:hAnsi="Book Antiqua" w:hint="default"/>
          <w:sz w:val="22"/>
          <w:szCs w:val="22"/>
          <w:rtl w:val="0"/>
          <w:lang w:val="it-IT"/>
        </w:rPr>
        <w:t>”</w:t>
      </w:r>
    </w:p>
    <w:p>
      <w:pPr>
        <w:pStyle w:val="Normal"/>
        <w:tabs>
          <w:tab w:val="left" w:pos="9132"/>
        </w:tabs>
        <w:ind w:left="567" w:right="567" w:firstLine="0"/>
        <w:jc w:val="both"/>
        <w:rPr>
          <w:rFonts w:ascii="Book Antiqua" w:cs="Book Antiqua" w:hAnsi="Book Antiqua" w:eastAsia="Book Antiqua"/>
          <w:sz w:val="21"/>
          <w:szCs w:val="21"/>
        </w:rPr>
      </w:pPr>
    </w:p>
    <w:p>
      <w:pPr>
        <w:pStyle w:val="Normal"/>
        <w:tabs>
          <w:tab w:val="left" w:pos="9132"/>
        </w:tabs>
        <w:ind w:left="567" w:right="567" w:firstLine="0"/>
        <w:jc w:val="both"/>
        <w:rPr>
          <w:rFonts w:ascii="Book Antiqua" w:cs="Book Antiqua" w:hAnsi="Book Antiqua" w:eastAsia="Book Antiqua"/>
        </w:rPr>
      </w:pPr>
      <w:r>
        <w:rPr>
          <w:rFonts w:ascii="Book Antiqua"/>
          <w:rtl w:val="0"/>
          <w:lang w:val="it-IT"/>
        </w:rPr>
        <w:t>La Commissione rilevava come l</w:t>
      </w:r>
      <w:r>
        <w:rPr>
          <w:rFonts w:hAnsi="Book Antiqua" w:hint="default"/>
          <w:rtl w:val="0"/>
          <w:lang w:val="it-IT"/>
        </w:rPr>
        <w:t>’</w:t>
      </w:r>
      <w:r>
        <w:rPr>
          <w:rFonts w:ascii="Book Antiqua"/>
          <w:rtl w:val="0"/>
          <w:lang w:val="it-IT"/>
        </w:rPr>
        <w:t>analisi preliminare dei siti fosse avvenuta senza riscontri sul campo e senza verifiche di carattere tecnico e ricordava che sul punto era in corso un</w:t>
      </w:r>
      <w:r>
        <w:rPr>
          <w:rFonts w:hAnsi="Book Antiqua" w:hint="default"/>
          <w:rtl w:val="0"/>
          <w:lang w:val="it-IT"/>
        </w:rPr>
        <w:t>’</w:t>
      </w:r>
      <w:r>
        <w:rPr>
          <w:rFonts w:ascii="Book Antiqua"/>
          <w:rtl w:val="0"/>
          <w:lang w:val="it-IT"/>
        </w:rPr>
        <w:t>indagine presso la procura della Repubblica di Roma.</w:t>
      </w:r>
    </w:p>
    <w:p>
      <w:pPr>
        <w:pStyle w:val="Normal"/>
        <w:tabs>
          <w:tab w:val="left" w:pos="9132"/>
        </w:tabs>
        <w:ind w:left="567" w:right="567" w:firstLine="0"/>
        <w:jc w:val="both"/>
        <w:rPr>
          <w:rFonts w:ascii="Book Antiqua" w:cs="Book Antiqua" w:hAnsi="Book Antiqua" w:eastAsia="Book Antiqua"/>
          <w:sz w:val="21"/>
          <w:szCs w:val="21"/>
        </w:rPr>
      </w:pPr>
    </w:p>
    <w:p>
      <w:pPr>
        <w:pStyle w:val="Normal"/>
        <w:tabs>
          <w:tab w:val="left" w:pos="9132"/>
        </w:tabs>
        <w:ind w:left="567" w:right="567" w:firstLine="0"/>
        <w:jc w:val="both"/>
        <w:rPr>
          <w:rFonts w:ascii="Book Antiqua" w:cs="Book Antiqua" w:hAnsi="Book Antiqua" w:eastAsia="Book Antiqua"/>
          <w:sz w:val="22"/>
          <w:szCs w:val="22"/>
        </w:rPr>
      </w:pPr>
      <w:r>
        <w:rPr>
          <w:rFonts w:hAnsi="Book Antiqua" w:hint="default"/>
          <w:sz w:val="22"/>
          <w:szCs w:val="22"/>
          <w:rtl w:val="0"/>
          <w:lang w:val="it-IT"/>
        </w:rPr>
        <w:t>“</w:t>
      </w:r>
      <w:r>
        <w:rPr>
          <w:rFonts w:ascii="Book Antiqua"/>
          <w:sz w:val="22"/>
          <w:szCs w:val="22"/>
          <w:rtl w:val="0"/>
          <w:lang w:val="it-IT"/>
        </w:rPr>
        <w:t>Nonostante ci</w:t>
      </w:r>
      <w:r>
        <w:rPr>
          <w:rFonts w:hAnsi="Book Antiqua" w:hint="default"/>
          <w:sz w:val="22"/>
          <w:szCs w:val="22"/>
          <w:rtl w:val="0"/>
          <w:lang w:val="it-IT"/>
        </w:rPr>
        <w:t xml:space="preserve">ò </w:t>
      </w:r>
      <w:r>
        <w:rPr>
          <w:rFonts w:ascii="Book Antiqua"/>
          <w:sz w:val="22"/>
          <w:szCs w:val="22"/>
          <w:rtl w:val="0"/>
          <w:lang w:val="it-IT"/>
        </w:rPr>
        <w:t xml:space="preserve">il documento </w:t>
      </w:r>
      <w:r>
        <w:rPr>
          <w:rFonts w:hAnsi="Book Antiqua" w:hint="default"/>
          <w:sz w:val="22"/>
          <w:szCs w:val="22"/>
          <w:rtl w:val="0"/>
          <w:lang w:val="it-IT"/>
        </w:rPr>
        <w:t xml:space="preserve">è </w:t>
      </w:r>
      <w:r>
        <w:rPr>
          <w:rFonts w:ascii="Book Antiqua"/>
          <w:sz w:val="22"/>
          <w:szCs w:val="22"/>
          <w:rtl w:val="0"/>
          <w:lang w:val="it-IT"/>
        </w:rPr>
        <w:t>stato determinante in quanto ha orientato la scelta dei tecnici nominati dal commissario, i quali si sono concentrati ad analizzare solo questi sette siti, senza valutare la possibilit</w:t>
      </w:r>
      <w:r>
        <w:rPr>
          <w:rFonts w:hAnsi="Book Antiqua" w:hint="default"/>
          <w:sz w:val="22"/>
          <w:szCs w:val="22"/>
          <w:rtl w:val="0"/>
          <w:lang w:val="it-IT"/>
        </w:rPr>
        <w:t xml:space="preserve">à </w:t>
      </w:r>
      <w:r>
        <w:rPr>
          <w:rFonts w:ascii="Book Antiqua"/>
          <w:sz w:val="22"/>
          <w:szCs w:val="22"/>
          <w:rtl w:val="0"/>
          <w:lang w:val="it-IT"/>
        </w:rPr>
        <w:t>di individuare una soluzione al di fuori di essi.</w:t>
      </w:r>
    </w:p>
    <w:p>
      <w:pPr>
        <w:pStyle w:val="Normal"/>
        <w:tabs>
          <w:tab w:val="left" w:pos="9132"/>
        </w:tabs>
        <w:ind w:left="567" w:right="567" w:firstLine="0"/>
        <w:jc w:val="both"/>
        <w:rPr>
          <w:rFonts w:ascii="Book Antiqua" w:cs="Book Antiqua" w:hAnsi="Book Antiqua" w:eastAsia="Book Antiqua"/>
          <w:sz w:val="22"/>
          <w:szCs w:val="22"/>
        </w:rPr>
      </w:pPr>
      <w:r>
        <w:rPr>
          <w:rFonts w:ascii="Book Antiqua"/>
          <w:sz w:val="22"/>
          <w:szCs w:val="22"/>
          <w:rtl w:val="0"/>
          <w:lang w:val="it-IT"/>
        </w:rPr>
        <w:t>D</w:t>
      </w:r>
      <w:r>
        <w:rPr>
          <w:rFonts w:hAnsi="Book Antiqua" w:hint="default"/>
          <w:sz w:val="22"/>
          <w:szCs w:val="22"/>
          <w:rtl w:val="0"/>
          <w:lang w:val="it-IT"/>
        </w:rPr>
        <w:t>’</w:t>
      </w:r>
      <w:r>
        <w:rPr>
          <w:rFonts w:ascii="Book Antiqua"/>
          <w:sz w:val="22"/>
          <w:szCs w:val="22"/>
          <w:rtl w:val="0"/>
          <w:lang w:val="it-IT"/>
        </w:rPr>
        <w:t>altra parte, ben avrebbe potuto la struttura commissariale, verificata la non idoneit</w:t>
      </w:r>
      <w:r>
        <w:rPr>
          <w:rFonts w:hAnsi="Book Antiqua" w:hint="default"/>
          <w:sz w:val="22"/>
          <w:szCs w:val="22"/>
          <w:rtl w:val="0"/>
          <w:lang w:val="it-IT"/>
        </w:rPr>
        <w:t xml:space="preserve">à </w:t>
      </w:r>
      <w:r>
        <w:rPr>
          <w:rFonts w:ascii="Book Antiqua"/>
          <w:sz w:val="22"/>
          <w:szCs w:val="22"/>
          <w:rtl w:val="0"/>
          <w:lang w:val="it-IT"/>
        </w:rPr>
        <w:t>dei siti indicati nel documento regionale, individuare altre localit</w:t>
      </w:r>
      <w:r>
        <w:rPr>
          <w:rFonts w:hAnsi="Book Antiqua" w:hint="default"/>
          <w:sz w:val="22"/>
          <w:szCs w:val="22"/>
          <w:rtl w:val="0"/>
          <w:lang w:val="it-IT"/>
        </w:rPr>
        <w:t xml:space="preserve">à </w:t>
      </w:r>
      <w:r>
        <w:rPr>
          <w:rFonts w:ascii="Book Antiqua"/>
          <w:sz w:val="22"/>
          <w:szCs w:val="22"/>
          <w:rtl w:val="0"/>
          <w:lang w:val="it-IT"/>
        </w:rPr>
        <w:t>con caratteristiche compatibili con la realizzazione di una discarica. La prescrizione contenuta nell</w:t>
      </w:r>
      <w:r>
        <w:rPr>
          <w:rFonts w:hAnsi="Book Antiqua" w:hint="default"/>
          <w:sz w:val="22"/>
          <w:szCs w:val="22"/>
          <w:rtl w:val="0"/>
          <w:lang w:val="it-IT"/>
        </w:rPr>
        <w:t>’</w:t>
      </w:r>
      <w:r>
        <w:rPr>
          <w:rFonts w:ascii="Book Antiqua"/>
          <w:sz w:val="22"/>
          <w:szCs w:val="22"/>
          <w:rtl w:val="0"/>
          <w:lang w:val="it-IT"/>
        </w:rPr>
        <w:t>ordinanza di nomina del commissario per l</w:t>
      </w:r>
      <w:r>
        <w:rPr>
          <w:rFonts w:hAnsi="Book Antiqua" w:hint="default"/>
          <w:sz w:val="22"/>
          <w:szCs w:val="22"/>
          <w:rtl w:val="0"/>
          <w:lang w:val="it-IT"/>
        </w:rPr>
        <w:t>’</w:t>
      </w:r>
      <w:r>
        <w:rPr>
          <w:rFonts w:ascii="Book Antiqua"/>
          <w:sz w:val="22"/>
          <w:szCs w:val="22"/>
          <w:rtl w:val="0"/>
          <w:lang w:val="it-IT"/>
        </w:rPr>
        <w:t>emergenza rifiuti, infatti, lascia[va] spazio, evidentemente, anche ad una scelta diversa, seppur certamente motivata.</w:t>
      </w:r>
    </w:p>
    <w:p>
      <w:pPr>
        <w:pStyle w:val="Normal"/>
        <w:tabs>
          <w:tab w:val="left" w:pos="9132"/>
        </w:tabs>
        <w:ind w:left="567" w:right="567" w:firstLine="0"/>
        <w:jc w:val="both"/>
        <w:rPr>
          <w:rFonts w:ascii="Book Antiqua" w:cs="Book Antiqua" w:hAnsi="Book Antiqua" w:eastAsia="Book Antiqua"/>
          <w:sz w:val="22"/>
          <w:szCs w:val="22"/>
        </w:rPr>
      </w:pPr>
      <w:r>
        <w:rPr>
          <w:rFonts w:ascii="Book Antiqua"/>
          <w:sz w:val="22"/>
          <w:szCs w:val="22"/>
          <w:rtl w:val="0"/>
          <w:lang w:val="it-IT"/>
        </w:rPr>
        <w:t>Un altro rilievo riguarda la metodologia seguita dalla struttura commissariale per l</w:t>
      </w:r>
      <w:r>
        <w:rPr>
          <w:rFonts w:hAnsi="Book Antiqua" w:hint="default"/>
          <w:sz w:val="22"/>
          <w:szCs w:val="22"/>
          <w:rtl w:val="0"/>
          <w:lang w:val="it-IT"/>
        </w:rPr>
        <w:t>’</w:t>
      </w:r>
      <w:r>
        <w:rPr>
          <w:rFonts w:ascii="Book Antiqua"/>
          <w:sz w:val="22"/>
          <w:szCs w:val="22"/>
          <w:rtl w:val="0"/>
          <w:lang w:val="it-IT"/>
        </w:rPr>
        <w:t>individuazione dei siti, metodologia che non pu</w:t>
      </w:r>
      <w:r>
        <w:rPr>
          <w:rFonts w:hAnsi="Book Antiqua" w:hint="default"/>
          <w:sz w:val="22"/>
          <w:szCs w:val="22"/>
          <w:rtl w:val="0"/>
          <w:lang w:val="it-IT"/>
        </w:rPr>
        <w:t xml:space="preserve">ò </w:t>
      </w:r>
      <w:r>
        <w:rPr>
          <w:rFonts w:ascii="Book Antiqua"/>
          <w:sz w:val="22"/>
          <w:szCs w:val="22"/>
          <w:rtl w:val="0"/>
          <w:lang w:val="it-IT"/>
        </w:rPr>
        <w:t>essere condivisa perch</w:t>
      </w:r>
      <w:r>
        <w:rPr>
          <w:rFonts w:hAnsi="Book Antiqua" w:hint="default"/>
          <w:sz w:val="22"/>
          <w:szCs w:val="22"/>
          <w:rtl w:val="0"/>
          <w:lang w:val="it-IT"/>
        </w:rPr>
        <w:t xml:space="preserve">é </w:t>
      </w:r>
      <w:r>
        <w:rPr>
          <w:rFonts w:ascii="Book Antiqua"/>
          <w:sz w:val="22"/>
          <w:szCs w:val="22"/>
          <w:rtl w:val="0"/>
          <w:lang w:val="it-IT"/>
        </w:rPr>
        <w:t xml:space="preserve">prima sono stati individuati i siti e poi </w:t>
      </w:r>
      <w:r>
        <w:rPr>
          <w:rFonts w:hAnsi="Book Antiqua" w:hint="default"/>
          <w:sz w:val="22"/>
          <w:szCs w:val="22"/>
          <w:rtl w:val="0"/>
          <w:lang w:val="it-IT"/>
        </w:rPr>
        <w:t xml:space="preserve">è </w:t>
      </w:r>
      <w:r>
        <w:rPr>
          <w:rFonts w:ascii="Book Antiqua"/>
          <w:sz w:val="22"/>
          <w:szCs w:val="22"/>
          <w:rtl w:val="0"/>
          <w:lang w:val="it-IT"/>
        </w:rPr>
        <w:t>stata approfondita la loro utilizzabilit</w:t>
      </w:r>
      <w:r>
        <w:rPr>
          <w:rFonts w:hAnsi="Book Antiqua" w:hint="default"/>
          <w:sz w:val="22"/>
          <w:szCs w:val="22"/>
          <w:rtl w:val="0"/>
          <w:lang w:val="it-IT"/>
        </w:rPr>
        <w:t xml:space="preserve">à </w:t>
      </w:r>
      <w:r>
        <w:rPr>
          <w:rFonts w:ascii="Book Antiqua"/>
          <w:sz w:val="22"/>
          <w:szCs w:val="22"/>
          <w:rtl w:val="0"/>
          <w:lang w:val="it-IT"/>
        </w:rPr>
        <w:t>quali discariche.</w:t>
      </w:r>
    </w:p>
    <w:p>
      <w:pPr>
        <w:pStyle w:val="Normal"/>
        <w:tabs>
          <w:tab w:val="left" w:pos="9132"/>
        </w:tabs>
        <w:ind w:left="567" w:right="567" w:firstLine="0"/>
        <w:jc w:val="both"/>
        <w:rPr>
          <w:rFonts w:ascii="Book Antiqua" w:cs="Book Antiqua" w:hAnsi="Book Antiqua" w:eastAsia="Book Antiqua"/>
          <w:sz w:val="22"/>
          <w:szCs w:val="22"/>
        </w:rPr>
      </w:pPr>
      <w:r>
        <w:rPr>
          <w:rFonts w:ascii="Book Antiqua"/>
          <w:sz w:val="22"/>
          <w:szCs w:val="22"/>
          <w:rtl w:val="0"/>
          <w:lang w:val="it-IT"/>
        </w:rPr>
        <w:t>In una fase emergenziale, caratterizzata dalla necessit</w:t>
      </w:r>
      <w:r>
        <w:rPr>
          <w:rFonts w:hAnsi="Book Antiqua" w:hint="default"/>
          <w:sz w:val="22"/>
          <w:szCs w:val="22"/>
          <w:rtl w:val="0"/>
          <w:lang w:val="it-IT"/>
        </w:rPr>
        <w:t xml:space="preserve">à </w:t>
      </w:r>
      <w:r>
        <w:rPr>
          <w:rFonts w:ascii="Book Antiqua"/>
          <w:sz w:val="22"/>
          <w:szCs w:val="22"/>
          <w:rtl w:val="0"/>
          <w:lang w:val="it-IT"/>
        </w:rPr>
        <w:t>di intervenire in tempi molto ristretti, non vi era motivo di posticipare la verifica dell</w:t>
      </w:r>
      <w:r>
        <w:rPr>
          <w:rFonts w:hAnsi="Book Antiqua" w:hint="default"/>
          <w:sz w:val="22"/>
          <w:szCs w:val="22"/>
          <w:rtl w:val="0"/>
          <w:lang w:val="it-IT"/>
        </w:rPr>
        <w:t>’</w:t>
      </w:r>
      <w:r>
        <w:rPr>
          <w:rFonts w:ascii="Book Antiqua"/>
          <w:sz w:val="22"/>
          <w:szCs w:val="22"/>
          <w:rtl w:val="0"/>
          <w:lang w:val="it-IT"/>
        </w:rPr>
        <w:t>idoneit</w:t>
      </w:r>
      <w:r>
        <w:rPr>
          <w:rFonts w:hAnsi="Book Antiqua" w:hint="default"/>
          <w:sz w:val="22"/>
          <w:szCs w:val="22"/>
          <w:rtl w:val="0"/>
          <w:lang w:val="it-IT"/>
        </w:rPr>
        <w:t xml:space="preserve">à </w:t>
      </w:r>
      <w:r>
        <w:rPr>
          <w:rFonts w:ascii="Book Antiqua"/>
          <w:sz w:val="22"/>
          <w:szCs w:val="22"/>
          <w:rtl w:val="0"/>
          <w:lang w:val="it-IT"/>
        </w:rPr>
        <w:t>effettiva dei siti preventivamente individuati. Tutto ci</w:t>
      </w:r>
      <w:r>
        <w:rPr>
          <w:rFonts w:hAnsi="Book Antiqua" w:hint="default"/>
          <w:sz w:val="22"/>
          <w:szCs w:val="22"/>
          <w:rtl w:val="0"/>
          <w:lang w:val="it-IT"/>
        </w:rPr>
        <w:t xml:space="preserve">ò </w:t>
      </w:r>
      <w:r>
        <w:rPr>
          <w:rFonts w:ascii="Book Antiqua"/>
          <w:sz w:val="22"/>
          <w:szCs w:val="22"/>
          <w:rtl w:val="0"/>
          <w:lang w:val="it-IT"/>
        </w:rPr>
        <w:t>ha comportato una ulteriore perdita di tempo.</w:t>
      </w:r>
    </w:p>
    <w:p>
      <w:pPr>
        <w:pStyle w:val="Normal"/>
        <w:tabs>
          <w:tab w:val="left" w:pos="9132"/>
        </w:tabs>
        <w:ind w:left="567" w:right="567" w:firstLine="0"/>
        <w:jc w:val="both"/>
        <w:rPr>
          <w:rFonts w:ascii="Book Antiqua" w:cs="Book Antiqua" w:hAnsi="Book Antiqua" w:eastAsia="Book Antiqua"/>
          <w:sz w:val="22"/>
          <w:szCs w:val="22"/>
        </w:rPr>
      </w:pPr>
      <w:r>
        <w:rPr>
          <w:rFonts w:hAnsi="Book Antiqua" w:hint="default"/>
          <w:sz w:val="22"/>
          <w:szCs w:val="22"/>
          <w:rtl w:val="0"/>
          <w:lang w:val="it-IT"/>
        </w:rPr>
        <w:t xml:space="preserve">È </w:t>
      </w:r>
      <w:r>
        <w:rPr>
          <w:rFonts w:ascii="Book Antiqua"/>
          <w:sz w:val="22"/>
          <w:szCs w:val="22"/>
          <w:rtl w:val="0"/>
          <w:lang w:val="it-IT"/>
        </w:rPr>
        <w:t>cos</w:t>
      </w:r>
      <w:r>
        <w:rPr>
          <w:rFonts w:hAnsi="Book Antiqua" w:hint="default"/>
          <w:sz w:val="22"/>
          <w:szCs w:val="22"/>
          <w:rtl w:val="0"/>
          <w:lang w:val="it-IT"/>
        </w:rPr>
        <w:t xml:space="preserve">ì </w:t>
      </w:r>
      <w:r>
        <w:rPr>
          <w:rFonts w:ascii="Book Antiqua"/>
          <w:sz w:val="22"/>
          <w:szCs w:val="22"/>
          <w:rtl w:val="0"/>
          <w:lang w:val="it-IT"/>
        </w:rPr>
        <w:t xml:space="preserve">accaduto che la struttura commissariale, nata al fine di risolvere con estrema urgenza una situazione al collasso, non ha ottenuto alcun risultato dopo diversi mesi di lavoro comportanti, come </w:t>
      </w:r>
      <w:r>
        <w:rPr>
          <w:rFonts w:hAnsi="Book Antiqua" w:hint="default"/>
          <w:sz w:val="22"/>
          <w:szCs w:val="22"/>
          <w:rtl w:val="0"/>
          <w:lang w:val="it-IT"/>
        </w:rPr>
        <w:t xml:space="preserve">è </w:t>
      </w:r>
      <w:r>
        <w:rPr>
          <w:rFonts w:ascii="Book Antiqua"/>
          <w:sz w:val="22"/>
          <w:szCs w:val="22"/>
          <w:rtl w:val="0"/>
          <w:lang w:val="it-IT"/>
        </w:rPr>
        <w:t>evidente, spese per la collettivit</w:t>
      </w:r>
      <w:r>
        <w:rPr>
          <w:rFonts w:hAnsi="Book Antiqua" w:hint="default"/>
          <w:sz w:val="22"/>
          <w:szCs w:val="22"/>
          <w:rtl w:val="0"/>
          <w:lang w:val="it-IT"/>
        </w:rPr>
        <w:t>à</w:t>
      </w:r>
      <w:r>
        <w:rPr>
          <w:rFonts w:ascii="Book Antiqua"/>
          <w:sz w:val="22"/>
          <w:szCs w:val="22"/>
          <w:rtl w:val="0"/>
          <w:lang w:val="it-IT"/>
        </w:rPr>
        <w:t>.</w:t>
      </w:r>
    </w:p>
    <w:p>
      <w:pPr>
        <w:pStyle w:val="Normal"/>
        <w:tabs>
          <w:tab w:val="left" w:pos="9132"/>
        </w:tabs>
        <w:ind w:left="567" w:right="567" w:firstLine="0"/>
        <w:jc w:val="both"/>
        <w:rPr>
          <w:rFonts w:ascii="Book Antiqua" w:cs="Book Antiqua" w:hAnsi="Book Antiqua" w:eastAsia="Book Antiqua"/>
          <w:sz w:val="22"/>
          <w:szCs w:val="22"/>
        </w:rPr>
      </w:pPr>
      <w:r>
        <w:rPr>
          <w:rFonts w:ascii="Book Antiqua"/>
          <w:sz w:val="22"/>
          <w:szCs w:val="22"/>
          <w:rtl w:val="0"/>
          <w:lang w:val="it-IT"/>
        </w:rPr>
        <w:t>Sarebbe stato certamente preferibile impiegare maggior tempo, all</w:t>
      </w:r>
      <w:r>
        <w:rPr>
          <w:rFonts w:hAnsi="Book Antiqua" w:hint="default"/>
          <w:sz w:val="22"/>
          <w:szCs w:val="22"/>
          <w:rtl w:val="0"/>
          <w:lang w:val="it-IT"/>
        </w:rPr>
        <w:t>’</w:t>
      </w:r>
      <w:r>
        <w:rPr>
          <w:rFonts w:ascii="Book Antiqua"/>
          <w:sz w:val="22"/>
          <w:szCs w:val="22"/>
          <w:rtl w:val="0"/>
          <w:lang w:val="it-IT"/>
        </w:rPr>
        <w:t>inizio, in attivit</w:t>
      </w:r>
      <w:r>
        <w:rPr>
          <w:rFonts w:hAnsi="Book Antiqua" w:hint="default"/>
          <w:sz w:val="22"/>
          <w:szCs w:val="22"/>
          <w:rtl w:val="0"/>
          <w:lang w:val="it-IT"/>
        </w:rPr>
        <w:t xml:space="preserve">à </w:t>
      </w:r>
      <w:r>
        <w:rPr>
          <w:rFonts w:ascii="Book Antiqua"/>
          <w:sz w:val="22"/>
          <w:szCs w:val="22"/>
          <w:rtl w:val="0"/>
          <w:lang w:val="it-IT"/>
        </w:rPr>
        <w:t>tese a verificare effettivamente lo stato dei luoghi e la possibilit</w:t>
      </w:r>
      <w:r>
        <w:rPr>
          <w:rFonts w:hAnsi="Book Antiqua" w:hint="default"/>
          <w:sz w:val="22"/>
          <w:szCs w:val="22"/>
          <w:rtl w:val="0"/>
          <w:lang w:val="it-IT"/>
        </w:rPr>
        <w:t xml:space="preserve">à </w:t>
      </w:r>
      <w:r>
        <w:rPr>
          <w:rFonts w:ascii="Book Antiqua"/>
          <w:sz w:val="22"/>
          <w:szCs w:val="22"/>
          <w:rtl w:val="0"/>
          <w:lang w:val="it-IT"/>
        </w:rPr>
        <w:t>di trovare un sito al di fuori di quelli elencati dalla regione per poi procedere a una scelta che, verosimilmente, non avrebbe lasciato spazio a cos</w:t>
      </w:r>
      <w:r>
        <w:rPr>
          <w:rFonts w:hAnsi="Book Antiqua" w:hint="default"/>
          <w:sz w:val="22"/>
          <w:szCs w:val="22"/>
          <w:rtl w:val="0"/>
          <w:lang w:val="it-IT"/>
        </w:rPr>
        <w:t xml:space="preserve">ì </w:t>
      </w:r>
      <w:r>
        <w:rPr>
          <w:rFonts w:ascii="Book Antiqua"/>
          <w:sz w:val="22"/>
          <w:szCs w:val="22"/>
          <w:rtl w:val="0"/>
          <w:lang w:val="it-IT"/>
        </w:rPr>
        <w:t>tante critiche e non avrebbe costretto la struttura commissariale a rivedere continuamente le sue decisioni.</w:t>
      </w:r>
    </w:p>
    <w:p>
      <w:pPr>
        <w:pStyle w:val="Normal"/>
        <w:tabs>
          <w:tab w:val="left" w:pos="9132"/>
        </w:tabs>
        <w:ind w:left="567" w:right="567" w:firstLine="0"/>
        <w:jc w:val="both"/>
        <w:rPr>
          <w:rFonts w:ascii="Book Antiqua" w:cs="Book Antiqua" w:hAnsi="Book Antiqua" w:eastAsia="Book Antiqua"/>
          <w:sz w:val="22"/>
          <w:szCs w:val="22"/>
        </w:rPr>
      </w:pPr>
      <w:r>
        <w:rPr>
          <w:rFonts w:ascii="Book Antiqua"/>
          <w:sz w:val="22"/>
          <w:szCs w:val="22"/>
          <w:rtl w:val="0"/>
          <w:lang w:val="it-IT"/>
        </w:rPr>
        <w:t>[</w:t>
      </w:r>
      <w:r>
        <w:rPr>
          <w:rFonts w:hAnsi="Book Antiqua" w:hint="default"/>
          <w:sz w:val="22"/>
          <w:szCs w:val="22"/>
          <w:rtl w:val="0"/>
          <w:lang w:val="it-IT"/>
        </w:rPr>
        <w:t>…</w:t>
      </w:r>
      <w:r>
        <w:rPr>
          <w:rFonts w:ascii="Book Antiqua"/>
          <w:sz w:val="22"/>
          <w:szCs w:val="22"/>
          <w:rtl w:val="0"/>
          <w:lang w:val="it-IT"/>
        </w:rPr>
        <w:t>]</w:t>
      </w:r>
    </w:p>
    <w:p>
      <w:pPr>
        <w:pStyle w:val="Normal"/>
        <w:tabs>
          <w:tab w:val="left" w:pos="9132"/>
        </w:tabs>
        <w:ind w:left="567" w:right="567" w:firstLine="0"/>
        <w:jc w:val="both"/>
        <w:rPr>
          <w:rFonts w:ascii="Book Antiqua" w:cs="Book Antiqua" w:hAnsi="Book Antiqua" w:eastAsia="Book Antiqua"/>
          <w:sz w:val="22"/>
          <w:szCs w:val="22"/>
        </w:rPr>
      </w:pPr>
      <w:r>
        <w:rPr>
          <w:rFonts w:ascii="Book Antiqua"/>
          <w:sz w:val="22"/>
          <w:szCs w:val="22"/>
          <w:rtl w:val="0"/>
          <w:lang w:val="it-IT"/>
        </w:rPr>
        <w:t>Ad oggi, l</w:t>
      </w:r>
      <w:r>
        <w:rPr>
          <w:rFonts w:hAnsi="Book Antiqua" w:hint="default"/>
          <w:sz w:val="22"/>
          <w:szCs w:val="22"/>
          <w:rtl w:val="0"/>
          <w:lang w:val="it-IT"/>
        </w:rPr>
        <w:t>’</w:t>
      </w:r>
      <w:r>
        <w:rPr>
          <w:rFonts w:ascii="Book Antiqua"/>
          <w:sz w:val="22"/>
          <w:szCs w:val="22"/>
          <w:rtl w:val="0"/>
          <w:lang w:val="it-IT"/>
        </w:rPr>
        <w:t xml:space="preserve">unico risultato che si </w:t>
      </w:r>
      <w:r>
        <w:rPr>
          <w:rFonts w:hAnsi="Book Antiqua" w:hint="default"/>
          <w:sz w:val="22"/>
          <w:szCs w:val="22"/>
          <w:rtl w:val="0"/>
          <w:lang w:val="it-IT"/>
        </w:rPr>
        <w:t xml:space="preserve">è </w:t>
      </w:r>
      <w:r>
        <w:rPr>
          <w:rFonts w:ascii="Book Antiqua"/>
          <w:sz w:val="22"/>
          <w:szCs w:val="22"/>
          <w:rtl w:val="0"/>
          <w:lang w:val="it-IT"/>
        </w:rPr>
        <w:t>raggiunto, se cos</w:t>
      </w:r>
      <w:r>
        <w:rPr>
          <w:rFonts w:hAnsi="Book Antiqua" w:hint="default"/>
          <w:sz w:val="22"/>
          <w:szCs w:val="22"/>
          <w:rtl w:val="0"/>
          <w:lang w:val="it-IT"/>
        </w:rPr>
        <w:t xml:space="preserve">ì </w:t>
      </w:r>
      <w:r>
        <w:rPr>
          <w:rFonts w:ascii="Book Antiqua"/>
          <w:sz w:val="22"/>
          <w:szCs w:val="22"/>
          <w:rtl w:val="0"/>
          <w:lang w:val="it-IT"/>
        </w:rPr>
        <w:t>pu</w:t>
      </w:r>
      <w:r>
        <w:rPr>
          <w:rFonts w:hAnsi="Book Antiqua" w:hint="default"/>
          <w:sz w:val="22"/>
          <w:szCs w:val="22"/>
          <w:rtl w:val="0"/>
          <w:lang w:val="it-IT"/>
        </w:rPr>
        <w:t xml:space="preserve">ò </w:t>
      </w:r>
      <w:r>
        <w:rPr>
          <w:rFonts w:ascii="Book Antiqua"/>
          <w:sz w:val="22"/>
          <w:szCs w:val="22"/>
          <w:rtl w:val="0"/>
          <w:lang w:val="it-IT"/>
        </w:rPr>
        <w:t xml:space="preserve">essere definito, </w:t>
      </w:r>
      <w:r>
        <w:rPr>
          <w:rFonts w:hAnsi="Book Antiqua" w:hint="default"/>
          <w:sz w:val="22"/>
          <w:szCs w:val="22"/>
          <w:rtl w:val="0"/>
          <w:lang w:val="it-IT"/>
        </w:rPr>
        <w:t xml:space="preserve">è </w:t>
      </w:r>
      <w:r>
        <w:rPr>
          <w:rFonts w:ascii="Book Antiqua"/>
          <w:sz w:val="22"/>
          <w:szCs w:val="22"/>
          <w:rtl w:val="0"/>
          <w:lang w:val="it-IT"/>
        </w:rPr>
        <w:t>costituito dal susseguirsi di proroghe del funzionamento della discarica di Malagrotta, nonostante la procedura di infrazione europea e nonostante la struttura commissariale operi, ormai, da quasi un anno. Le continue proroghe della discarica di Malagrotta sono il segno della mancanza di una efficiente programmazione da parte degli enti a ci</w:t>
      </w:r>
      <w:r>
        <w:rPr>
          <w:rFonts w:hAnsi="Book Antiqua" w:hint="default"/>
          <w:sz w:val="22"/>
          <w:szCs w:val="22"/>
          <w:rtl w:val="0"/>
          <w:lang w:val="it-IT"/>
        </w:rPr>
        <w:t xml:space="preserve">ò </w:t>
      </w:r>
      <w:r>
        <w:rPr>
          <w:rFonts w:ascii="Book Antiqua"/>
          <w:sz w:val="22"/>
          <w:szCs w:val="22"/>
          <w:rtl w:val="0"/>
          <w:lang w:val="it-IT"/>
        </w:rPr>
        <w:t xml:space="preserve">preposti, secondo la normativa in vigore: </w:t>
      </w:r>
      <w:r>
        <w:rPr>
          <w:rFonts w:hAnsi="Book Antiqua" w:hint="default"/>
          <w:sz w:val="22"/>
          <w:szCs w:val="22"/>
          <w:rtl w:val="0"/>
          <w:lang w:val="it-IT"/>
        </w:rPr>
        <w:t xml:space="preserve">è </w:t>
      </w:r>
      <w:r>
        <w:rPr>
          <w:rFonts w:ascii="Book Antiqua"/>
          <w:sz w:val="22"/>
          <w:szCs w:val="22"/>
          <w:rtl w:val="0"/>
          <w:lang w:val="it-IT"/>
        </w:rPr>
        <w:t>mancata, infatti, una politica ambientale di ampio raggio proiettata non solo alla soluzione delle problematiche contingenti, ma alla realizzazione di un ciclo integrato dei rifiuti. Tuttavia, la recente approvazione del piano rifiuti della regione Lazio rappresenta il primo passo di un percorso che non si esaurisce di certo nella redazione di un documento, ma che deve necessariamente essere seguito da una attuazione concreta. Anche per il Lazio, come per altre regioni d</w:t>
      </w:r>
      <w:r>
        <w:rPr>
          <w:rFonts w:hAnsi="Book Antiqua" w:hint="default"/>
          <w:sz w:val="22"/>
          <w:szCs w:val="22"/>
          <w:rtl w:val="0"/>
          <w:lang w:val="it-IT"/>
        </w:rPr>
        <w:t>’</w:t>
      </w:r>
      <w:r>
        <w:rPr>
          <w:rFonts w:ascii="Book Antiqua"/>
          <w:sz w:val="22"/>
          <w:szCs w:val="22"/>
          <w:rtl w:val="0"/>
          <w:lang w:val="it-IT"/>
        </w:rPr>
        <w:t xml:space="preserve">Italia, si </w:t>
      </w:r>
      <w:r>
        <w:rPr>
          <w:rFonts w:hAnsi="Book Antiqua" w:hint="default"/>
          <w:sz w:val="22"/>
          <w:szCs w:val="22"/>
          <w:rtl w:val="0"/>
          <w:lang w:val="it-IT"/>
        </w:rPr>
        <w:t xml:space="preserve">è </w:t>
      </w:r>
      <w:r>
        <w:rPr>
          <w:rFonts w:ascii="Book Antiqua"/>
          <w:sz w:val="22"/>
          <w:szCs w:val="22"/>
          <w:rtl w:val="0"/>
          <w:lang w:val="it-IT"/>
        </w:rPr>
        <w:t>accertata la inadeguatezza di un regime in deroga a realizzare lo scopo finale di uno smaltimento dei rifiuti in sintonia con la salvaguardia di quegli interessi che la legge intende tutelare in materia ambientale.</w:t>
      </w:r>
      <w:r>
        <w:rPr>
          <w:rFonts w:hAnsi="Book Antiqua" w:hint="default"/>
          <w:sz w:val="22"/>
          <w:szCs w:val="22"/>
          <w:rtl w:val="0"/>
          <w:lang w:val="it-IT"/>
        </w:rPr>
        <w:t>”</w:t>
      </w:r>
    </w:p>
    <w:p>
      <w:pPr>
        <w:pStyle w:val="Normal"/>
        <w:tabs>
          <w:tab w:val="left" w:pos="9132"/>
        </w:tabs>
        <w:ind w:left="567" w:right="567" w:firstLine="0"/>
        <w:jc w:val="both"/>
        <w:rPr>
          <w:rFonts w:ascii="Book Antiqua" w:cs="Book Antiqua" w:hAnsi="Book Antiqua" w:eastAsia="Book Antiqua"/>
          <w:sz w:val="21"/>
          <w:szCs w:val="21"/>
        </w:rPr>
      </w:pPr>
    </w:p>
    <w:p>
      <w:pPr>
        <w:pStyle w:val="Normal"/>
        <w:tabs>
          <w:tab w:val="left" w:pos="9132"/>
        </w:tabs>
        <w:ind w:left="567" w:right="567" w:firstLine="0"/>
        <w:jc w:val="both"/>
        <w:rPr>
          <w:rFonts w:ascii="Book Antiqua" w:cs="Book Antiqua" w:hAnsi="Book Antiqua" w:eastAsia="Book Antiqua"/>
        </w:rPr>
      </w:pPr>
      <w:r>
        <w:rPr>
          <w:rFonts w:ascii="Book Antiqua"/>
          <w:rtl w:val="0"/>
          <w:lang w:val="it-IT"/>
        </w:rPr>
        <w:t>La Commissione richiamava poi la necessit</w:t>
      </w:r>
      <w:r>
        <w:rPr>
          <w:rFonts w:hAnsi="Book Antiqua" w:hint="default"/>
          <w:rtl w:val="0"/>
          <w:lang w:val="it-IT"/>
        </w:rPr>
        <w:t xml:space="preserve">à </w:t>
      </w:r>
      <w:r>
        <w:rPr>
          <w:rFonts w:ascii="Book Antiqua"/>
          <w:rtl w:val="0"/>
          <w:lang w:val="it-IT"/>
        </w:rPr>
        <w:t>di concentrarsi su raccolta differenziata e realizzazione dell</w:t>
      </w:r>
      <w:r>
        <w:rPr>
          <w:rFonts w:hAnsi="Book Antiqua" w:hint="default"/>
          <w:rtl w:val="0"/>
          <w:lang w:val="it-IT"/>
        </w:rPr>
        <w:t>’</w:t>
      </w:r>
      <w:r>
        <w:rPr>
          <w:rFonts w:ascii="Book Antiqua"/>
          <w:rtl w:val="0"/>
          <w:lang w:val="it-IT"/>
        </w:rPr>
        <w:t>impiantistica, concludendo che</w:t>
      </w:r>
    </w:p>
    <w:p>
      <w:pPr>
        <w:pStyle w:val="Normal"/>
        <w:tabs>
          <w:tab w:val="left" w:pos="9132"/>
        </w:tabs>
        <w:ind w:left="567" w:right="567" w:firstLine="0"/>
        <w:jc w:val="both"/>
        <w:rPr>
          <w:rFonts w:ascii="Book Antiqua" w:cs="Book Antiqua" w:hAnsi="Book Antiqua" w:eastAsia="Book Antiqua"/>
          <w:sz w:val="21"/>
          <w:szCs w:val="21"/>
        </w:rPr>
      </w:pPr>
    </w:p>
    <w:p>
      <w:pPr>
        <w:pStyle w:val="Normal"/>
        <w:tabs>
          <w:tab w:val="left" w:pos="9132"/>
        </w:tabs>
        <w:ind w:left="567" w:right="567" w:firstLine="0"/>
        <w:jc w:val="both"/>
        <w:rPr>
          <w:rFonts w:ascii="Book Antiqua" w:cs="Book Antiqua" w:hAnsi="Book Antiqua" w:eastAsia="Book Antiqua"/>
          <w:sz w:val="22"/>
          <w:szCs w:val="22"/>
        </w:rPr>
      </w:pPr>
      <w:r>
        <w:rPr>
          <w:rFonts w:hAnsi="Book Antiqua" w:hint="default"/>
          <w:sz w:val="22"/>
          <w:szCs w:val="22"/>
          <w:rtl w:val="0"/>
          <w:lang w:val="it-IT"/>
        </w:rPr>
        <w:t>“</w:t>
      </w:r>
      <w:r>
        <w:rPr>
          <w:rFonts w:ascii="Book Antiqua"/>
          <w:sz w:val="22"/>
          <w:szCs w:val="22"/>
          <w:rtl w:val="0"/>
          <w:lang w:val="it-IT"/>
        </w:rPr>
        <w:t>Il problema dello smaltimento dei rifiuti non pu</w:t>
      </w:r>
      <w:r>
        <w:rPr>
          <w:rFonts w:hAnsi="Book Antiqua" w:hint="default"/>
          <w:sz w:val="22"/>
          <w:szCs w:val="22"/>
          <w:rtl w:val="0"/>
          <w:lang w:val="it-IT"/>
        </w:rPr>
        <w:t>ò</w:t>
      </w:r>
      <w:r>
        <w:rPr>
          <w:rFonts w:ascii="Book Antiqua"/>
          <w:sz w:val="22"/>
          <w:szCs w:val="22"/>
          <w:rtl w:val="0"/>
          <w:lang w:val="it-IT"/>
        </w:rPr>
        <w:t>, invero, considerarsi risolto per il solo fatto che per gli stessi vengano trovati luoghi ove concentrarli, perch</w:t>
      </w:r>
      <w:r>
        <w:rPr>
          <w:rFonts w:hAnsi="Book Antiqua" w:hint="default"/>
          <w:sz w:val="22"/>
          <w:szCs w:val="22"/>
          <w:rtl w:val="0"/>
          <w:lang w:val="it-IT"/>
        </w:rPr>
        <w:t xml:space="preserve">é </w:t>
      </w:r>
      <w:r>
        <w:rPr>
          <w:rFonts w:ascii="Book Antiqua"/>
          <w:sz w:val="22"/>
          <w:szCs w:val="22"/>
          <w:rtl w:val="0"/>
          <w:lang w:val="it-IT"/>
        </w:rPr>
        <w:t xml:space="preserve">la questione non </w:t>
      </w:r>
      <w:r>
        <w:rPr>
          <w:rFonts w:hAnsi="Book Antiqua" w:hint="default"/>
          <w:sz w:val="22"/>
          <w:szCs w:val="22"/>
          <w:rtl w:val="0"/>
          <w:lang w:val="it-IT"/>
        </w:rPr>
        <w:t xml:space="preserve">è </w:t>
      </w:r>
      <w:r>
        <w:rPr>
          <w:rFonts w:ascii="Book Antiqua"/>
          <w:sz w:val="22"/>
          <w:szCs w:val="22"/>
          <w:rtl w:val="0"/>
          <w:lang w:val="it-IT"/>
        </w:rPr>
        <w:t>di spostare i rifiuti da un luogo ad un altro, ma di smaltirli senza danno per l</w:t>
      </w:r>
      <w:r>
        <w:rPr>
          <w:rFonts w:hAnsi="Book Antiqua" w:hint="default"/>
          <w:sz w:val="22"/>
          <w:szCs w:val="22"/>
          <w:rtl w:val="0"/>
          <w:lang w:val="it-IT"/>
        </w:rPr>
        <w:t>’</w:t>
      </w:r>
      <w:r>
        <w:rPr>
          <w:rFonts w:ascii="Book Antiqua"/>
          <w:sz w:val="22"/>
          <w:szCs w:val="22"/>
          <w:rtl w:val="0"/>
          <w:lang w:val="it-IT"/>
        </w:rPr>
        <w:t>ambiente.</w:t>
      </w:r>
      <w:r>
        <w:rPr>
          <w:rFonts w:hAnsi="Book Antiqua" w:hint="default"/>
          <w:sz w:val="22"/>
          <w:szCs w:val="22"/>
          <w:rtl w:val="0"/>
          <w:lang w:val="it-IT"/>
        </w:rPr>
        <w:t>”</w:t>
      </w: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rPr>
      </w:pPr>
      <w:r>
        <w:rPr>
          <w:rFonts w:ascii="Book Antiqua"/>
          <w:rtl w:val="0"/>
          <w:lang w:val="it-IT"/>
        </w:rPr>
        <w:t>La persistenza dei medesimi problemi bene si coglie nelle dichiarazioni rese in sede di audizione, il 1</w:t>
      </w:r>
      <w:r>
        <w:rPr>
          <w:rFonts w:hAnsi="Book Antiqua" w:hint="default"/>
          <w:rtl w:val="0"/>
          <w:lang w:val="it-IT"/>
        </w:rPr>
        <w:t xml:space="preserve">° </w:t>
      </w:r>
      <w:r>
        <w:rPr>
          <w:rFonts w:ascii="Book Antiqua"/>
          <w:rtl w:val="0"/>
          <w:lang w:val="it-IT"/>
        </w:rPr>
        <w:t xml:space="preserve">febbraio 2017 </w:t>
      </w:r>
      <w:r>
        <w:rPr>
          <w:rFonts w:hAnsi="Book Antiqua" w:hint="default"/>
          <w:rtl w:val="0"/>
          <w:lang w:val="it-IT"/>
        </w:rPr>
        <w:t xml:space="preserve">– </w:t>
      </w:r>
      <w:r>
        <w:rPr>
          <w:rFonts w:ascii="Book Antiqua"/>
          <w:rtl w:val="0"/>
          <w:lang w:val="it-IT"/>
        </w:rPr>
        <w:t>dall</w:t>
      </w:r>
      <w:r>
        <w:rPr>
          <w:rFonts w:hAnsi="Book Antiqua" w:hint="default"/>
          <w:rtl w:val="0"/>
          <w:lang w:val="it-IT"/>
        </w:rPr>
        <w:t>’</w:t>
      </w:r>
      <w:r>
        <w:rPr>
          <w:rFonts w:ascii="Book Antiqua"/>
          <w:rtl w:val="0"/>
          <w:lang w:val="it-IT"/>
        </w:rPr>
        <w:t>assessore all</w:t>
      </w:r>
      <w:r>
        <w:rPr>
          <w:rFonts w:hAnsi="Book Antiqua" w:hint="default"/>
          <w:rtl w:val="0"/>
          <w:lang w:val="it-IT"/>
        </w:rPr>
        <w:t>’</w:t>
      </w:r>
      <w:r>
        <w:rPr>
          <w:rFonts w:ascii="Book Antiqua"/>
          <w:rtl w:val="0"/>
          <w:lang w:val="it-IT"/>
        </w:rPr>
        <w:t>ambiente della regione Lazio</w:t>
      </w:r>
      <w:r>
        <w:rPr>
          <w:rFonts w:ascii="Book Antiqua" w:cs="Book Antiqua" w:hAnsi="Book Antiqua" w:eastAsia="Book Antiqua"/>
          <w:vertAlign w:val="superscript"/>
          <w:rtl w:val="0"/>
        </w:rPr>
        <w:footnoteReference w:id="15"/>
      </w:r>
      <w:r>
        <w:rPr>
          <w:rFonts w:ascii="Book Antiqua"/>
          <w:rtl w:val="0"/>
          <w:lang w:val="it-IT"/>
        </w:rPr>
        <w:t>:</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u w:color="000000"/>
        </w:rPr>
      </w:pPr>
      <w:r>
        <w:rPr>
          <w:rFonts w:hAnsi="Book Antiqua" w:hint="default"/>
          <w:rtl w:val="0"/>
          <w:lang w:val="it-IT"/>
        </w:rPr>
        <w:t>“</w:t>
      </w:r>
      <w:r>
        <w:rPr>
          <w:rFonts w:ascii="Book Antiqua"/>
          <w:color w:val="000000"/>
          <w:u w:color="000000"/>
          <w:rtl w:val="0"/>
          <w:lang w:val="it-IT"/>
        </w:rPr>
        <w:t>la gestione dei rifiuti nel Lazio e nella Capitale, presenta numerosi aspetti di criticit</w:t>
      </w:r>
      <w:r>
        <w:rPr>
          <w:rFonts w:hAnsi="Book Antiqua" w:hint="default"/>
          <w:color w:val="000000"/>
          <w:u w:color="000000"/>
          <w:rtl w:val="0"/>
          <w:lang w:val="it-IT"/>
        </w:rPr>
        <w:t xml:space="preserve">à </w:t>
      </w:r>
      <w:r>
        <w:rPr>
          <w:rFonts w:ascii="Book Antiqua"/>
          <w:color w:val="000000"/>
          <w:u w:color="000000"/>
          <w:rtl w:val="0"/>
          <w:lang w:val="it-IT"/>
        </w:rPr>
        <w:t>e l'eredit</w:t>
      </w:r>
      <w:r>
        <w:rPr>
          <w:rFonts w:hAnsi="Book Antiqua" w:hint="default"/>
          <w:color w:val="000000"/>
          <w:u w:color="000000"/>
          <w:rtl w:val="0"/>
          <w:lang w:val="it-IT"/>
        </w:rPr>
        <w:t xml:space="preserve">à </w:t>
      </w:r>
      <w:r>
        <w:rPr>
          <w:rFonts w:ascii="Book Antiqua"/>
          <w:color w:val="000000"/>
          <w:u w:color="000000"/>
          <w:rtl w:val="0"/>
          <w:lang w:val="it-IT"/>
        </w:rPr>
        <w:t>del passato genera preoccupazioni e talora allarmi, che ogni giorno sollecitano un nostro costante impegno. Da una parte, si deve lavorare per mettere in sicurezza il territorio e la salute dei cittadini, fronteggiando situazioni pregresse e problematiche, dall</w:t>
      </w:r>
      <w:r>
        <w:rPr>
          <w:rFonts w:hAnsi="Book Antiqua" w:hint="default"/>
          <w:color w:val="000000"/>
          <w:u w:color="000000"/>
          <w:rtl w:val="0"/>
          <w:lang w:val="it-IT"/>
        </w:rPr>
        <w:t>’</w:t>
      </w:r>
      <w:r>
        <w:rPr>
          <w:rFonts w:ascii="Book Antiqua"/>
          <w:color w:val="000000"/>
          <w:u w:color="000000"/>
          <w:rtl w:val="0"/>
          <w:lang w:val="it-IT"/>
        </w:rPr>
        <w:t xml:space="preserve">altra si deve prospettare uno scenario pianificatorio che realizzi ed assicuri, nel rigoroso rispetto delle leggi, una gestione dei rifiuti improntata verso l'economia circolare e dunque, verso la prevenzione, il riuso, il riciclo e il recupero dei rifiuti come risorsa. Veniamo da un trascorso di tempo nel quale il dominio del ciclo di trattamento e smaltimento dei rifiuti era delle discariche e non possiamo dimenticare che, fino al 2011, in esse era consentito sversare anche rifiuti </w:t>
      </w:r>
      <w:r>
        <w:rPr>
          <w:rFonts w:hAnsi="Book Antiqua" w:hint="default"/>
          <w:color w:val="000000"/>
          <w:u w:color="000000"/>
          <w:rtl w:val="0"/>
          <w:lang w:val="it-IT"/>
        </w:rPr>
        <w:t>“</w:t>
      </w:r>
      <w:r>
        <w:rPr>
          <w:rFonts w:ascii="Book Antiqua"/>
          <w:color w:val="000000"/>
          <w:u w:color="000000"/>
          <w:rtl w:val="0"/>
          <w:lang w:val="it-IT"/>
        </w:rPr>
        <w:t>tal quali</w:t>
      </w:r>
      <w:r>
        <w:rPr>
          <w:rFonts w:hAnsi="Book Antiqua" w:hint="default"/>
          <w:color w:val="000000"/>
          <w:u w:color="000000"/>
          <w:rtl w:val="0"/>
          <w:lang w:val="it-IT"/>
        </w:rPr>
        <w:t>”</w:t>
      </w:r>
      <w:r>
        <w:rPr>
          <w:rFonts w:ascii="Book Antiqua"/>
          <w:color w:val="000000"/>
          <w:u w:color="000000"/>
          <w:rtl w:val="0"/>
          <w:lang w:val="it-IT"/>
        </w:rPr>
        <w:t>. Sulla permanenza delle discariche, sulla loro presunta insostituibilit</w:t>
      </w:r>
      <w:r>
        <w:rPr>
          <w:rFonts w:hAnsi="Book Antiqua" w:hint="default"/>
          <w:color w:val="000000"/>
          <w:u w:color="000000"/>
          <w:rtl w:val="0"/>
          <w:lang w:val="it-IT"/>
        </w:rPr>
        <w:t>à</w:t>
      </w:r>
      <w:r>
        <w:rPr>
          <w:rFonts w:ascii="Book Antiqua"/>
          <w:color w:val="000000"/>
          <w:u w:color="000000"/>
          <w:rtl w:val="0"/>
          <w:lang w:val="it-IT"/>
        </w:rPr>
        <w:t xml:space="preserve">, si </w:t>
      </w:r>
      <w:r>
        <w:rPr>
          <w:rFonts w:hAnsi="Book Antiqua" w:hint="default"/>
          <w:color w:val="000000"/>
          <w:u w:color="000000"/>
          <w:rtl w:val="0"/>
          <w:lang w:val="it-IT"/>
        </w:rPr>
        <w:t xml:space="preserve">è </w:t>
      </w:r>
      <w:r>
        <w:rPr>
          <w:rFonts w:ascii="Book Antiqua"/>
          <w:color w:val="000000"/>
          <w:u w:color="000000"/>
          <w:rtl w:val="0"/>
          <w:lang w:val="it-IT"/>
        </w:rPr>
        <w:t xml:space="preserve">innestato un apparato industriale che ha compresso e mortificato le raccolte differenziate, evitato la costruzione di stabilimenti per il riciclo, originato </w:t>
      </w:r>
      <w:r>
        <w:rPr>
          <w:rFonts w:hAnsi="Book Antiqua" w:hint="default"/>
          <w:color w:val="000000"/>
          <w:u w:color="000000"/>
          <w:rtl w:val="0"/>
          <w:lang w:val="it-IT"/>
        </w:rPr>
        <w:t>‘</w:t>
      </w:r>
      <w:r>
        <w:rPr>
          <w:rFonts w:ascii="Book Antiqua"/>
          <w:color w:val="000000"/>
          <w:u w:color="000000"/>
          <w:rtl w:val="0"/>
          <w:lang w:val="it-IT"/>
        </w:rPr>
        <w:t>fabbriche</w:t>
      </w:r>
      <w:r>
        <w:rPr>
          <w:rFonts w:hAnsi="Book Antiqua" w:hint="default"/>
          <w:color w:val="000000"/>
          <w:u w:color="000000"/>
          <w:rtl w:val="0"/>
          <w:lang w:val="it-IT"/>
        </w:rPr>
        <w:t>’</w:t>
      </w:r>
      <w:r>
        <w:rPr>
          <w:rFonts w:ascii="Book Antiqua"/>
          <w:color w:val="000000"/>
          <w:u w:color="000000"/>
          <w:rtl w:val="0"/>
          <w:lang w:val="it-IT"/>
        </w:rPr>
        <w:t xml:space="preserve"> che producono rifiuti da rifiuti mentre le discariche venivano creando enormi problemi ambientali</w:t>
      </w:r>
      <w:r>
        <w:rPr>
          <w:rFonts w:hAnsi="Book Antiqua" w:hint="default"/>
          <w:color w:val="000000"/>
          <w:u w:color="000000"/>
          <w:rtl w:val="0"/>
          <w:lang w:val="it-IT"/>
        </w:rPr>
        <w:t>”</w:t>
      </w:r>
      <w:r>
        <w:rPr>
          <w:rFonts w:ascii="Book Antiqua"/>
          <w:color w:val="000000"/>
          <w:u w:color="000000"/>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La questione di una corretta chiusura del ciclo dei rifiuti nella regione Lazio, con particolare riguardo all</w:t>
      </w:r>
      <w:r>
        <w:rPr>
          <w:rFonts w:hAnsi="Book Antiqua" w:hint="default"/>
          <w:rtl w:val="0"/>
          <w:lang w:val="it-IT"/>
        </w:rPr>
        <w:t>’</w:t>
      </w:r>
      <w:r>
        <w:rPr>
          <w:rFonts w:ascii="Book Antiqua"/>
          <w:rtl w:val="0"/>
          <w:lang w:val="it-IT"/>
        </w:rPr>
        <w:t xml:space="preserve">impatto della produzione di rifiuti a Roma Capitale rimane tuttora centrale, ponendosi la carenza progettuale e la mancata realizzazione di impianti </w:t>
      </w:r>
      <w:r>
        <w:rPr>
          <w:rFonts w:hAnsi="Book Antiqua" w:hint="default"/>
          <w:rtl w:val="0"/>
          <w:lang w:val="it-IT"/>
        </w:rPr>
        <w:t xml:space="preserve">– </w:t>
      </w:r>
      <w:r>
        <w:rPr>
          <w:rFonts w:ascii="Book Antiqua"/>
          <w:rtl w:val="0"/>
          <w:lang w:val="it-IT"/>
        </w:rPr>
        <w:t xml:space="preserve">nuovi e diversi rispetto alle discariche, in primo luogo Malagrotta </w:t>
      </w:r>
      <w:r>
        <w:rPr>
          <w:rFonts w:hAnsi="Book Antiqua" w:hint="default"/>
          <w:rtl w:val="0"/>
          <w:lang w:val="it-IT"/>
        </w:rPr>
        <w:t xml:space="preserve">– </w:t>
      </w:r>
      <w:r>
        <w:rPr>
          <w:rFonts w:ascii="Book Antiqua"/>
          <w:rtl w:val="0"/>
          <w:lang w:val="it-IT"/>
        </w:rPr>
        <w:t>come precondizione per vicende illecite ma anche per condizionamenti delle politiche pubbliche da parte di soggetti privati.</w:t>
      </w: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rPr>
      </w:pPr>
    </w:p>
    <w:p>
      <w:pPr>
        <w:pStyle w:val="Normal"/>
        <w:ind w:right="567" w:firstLine="567"/>
        <w:jc w:val="both"/>
        <w:rPr>
          <w:rFonts w:ascii="Book Antiqua" w:cs="Book Antiqua" w:hAnsi="Book Antiqua" w:eastAsia="Book Antiqua"/>
          <w:sz w:val="28"/>
          <w:szCs w:val="28"/>
        </w:rPr>
      </w:pPr>
      <w:r>
        <w:rPr>
          <w:rFonts w:ascii="Book Antiqua"/>
          <w:sz w:val="28"/>
          <w:szCs w:val="28"/>
          <w:rtl w:val="0"/>
          <w:lang w:val="it-IT"/>
        </w:rPr>
        <w:t>2.2</w:t>
        <w:tab/>
        <w:t>La chiusura di Malagrotta e le alternative assenti</w:t>
      </w: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sz w:val="28"/>
          <w:szCs w:val="28"/>
          <w:u w:val="single"/>
        </w:rPr>
      </w:pPr>
      <w:r>
        <w:rPr>
          <w:rFonts w:ascii="Book Antiqua"/>
          <w:sz w:val="28"/>
          <w:szCs w:val="28"/>
          <w:rtl w:val="0"/>
          <w:lang w:val="it-IT"/>
        </w:rPr>
        <w:t>2.2.1 La chiusura di Malagrotta</w:t>
      </w: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rPr>
      </w:pPr>
      <w:r>
        <w:rPr>
          <w:rFonts w:ascii="Book Antiqua"/>
          <w:rtl w:val="0"/>
          <w:lang w:val="it-IT"/>
        </w:rPr>
        <w:t>Nonostante un sito alternativo alla discarica di Malagrotta non sia mai stato trovato, dal 1</w:t>
      </w:r>
      <w:r>
        <w:rPr>
          <w:rFonts w:hAnsi="Book Antiqua" w:hint="default"/>
          <w:rtl w:val="0"/>
          <w:lang w:val="it-IT"/>
        </w:rPr>
        <w:t xml:space="preserve">° </w:t>
      </w:r>
      <w:r>
        <w:rPr>
          <w:rFonts w:ascii="Book Antiqua"/>
          <w:rtl w:val="0"/>
          <w:lang w:val="it-IT"/>
        </w:rPr>
        <w:t>ottobre 2013 l</w:t>
      </w:r>
      <w:r>
        <w:rPr>
          <w:rFonts w:hAnsi="Book Antiqua" w:hint="default"/>
          <w:rtl w:val="0"/>
          <w:lang w:val="it-IT"/>
        </w:rPr>
        <w:t>’</w:t>
      </w:r>
      <w:r>
        <w:rPr>
          <w:rFonts w:ascii="Book Antiqua"/>
          <w:rtl w:val="0"/>
          <w:lang w:val="it-IT"/>
        </w:rPr>
        <w:t>invaso non ha smaltito pi</w:t>
      </w:r>
      <w:r>
        <w:rPr>
          <w:rFonts w:hAnsi="Book Antiqua" w:hint="default"/>
          <w:rtl w:val="0"/>
          <w:lang w:val="it-IT"/>
        </w:rPr>
        <w:t xml:space="preserve">ù </w:t>
      </w:r>
      <w:r>
        <w:rPr>
          <w:rFonts w:ascii="Book Antiqua"/>
          <w:rtl w:val="0"/>
          <w:lang w:val="it-IT"/>
        </w:rPr>
        <w:t xml:space="preserve">rifiuti. </w:t>
      </w:r>
    </w:p>
    <w:p>
      <w:pPr>
        <w:pStyle w:val="Normal"/>
        <w:ind w:left="567" w:right="567" w:firstLine="0"/>
        <w:jc w:val="both"/>
        <w:rPr>
          <w:rFonts w:ascii="Book Antiqua" w:cs="Book Antiqua" w:hAnsi="Book Antiqua" w:eastAsia="Book Antiqua"/>
        </w:rPr>
      </w:pPr>
      <w:r>
        <w:rPr>
          <w:rFonts w:ascii="Book Antiqua"/>
          <w:rtl w:val="0"/>
          <w:lang w:val="it-IT"/>
        </w:rPr>
        <w:t>E</w:t>
      </w:r>
      <w:r>
        <w:rPr>
          <w:rFonts w:hAnsi="Book Antiqua" w:hint="default"/>
          <w:rtl w:val="0"/>
          <w:lang w:val="it-IT"/>
        </w:rPr>
        <w:t xml:space="preserve">’ </w:t>
      </w:r>
      <w:r>
        <w:rPr>
          <w:rFonts w:ascii="Book Antiqua"/>
          <w:rtl w:val="0"/>
          <w:lang w:val="it-IT"/>
        </w:rPr>
        <w:t>stata l</w:t>
      </w:r>
      <w:r>
        <w:rPr>
          <w:rFonts w:hAnsi="Book Antiqua" w:hint="default"/>
          <w:rtl w:val="0"/>
          <w:lang w:val="it-IT"/>
        </w:rPr>
        <w:t>’</w:t>
      </w:r>
      <w:r>
        <w:rPr>
          <w:rFonts w:ascii="Book Antiqua"/>
          <w:rtl w:val="0"/>
          <w:lang w:val="it-IT"/>
        </w:rPr>
        <w:t>amministrazione Marino a chiudere definitivamente i cancelli, affrontando non poche difficolt</w:t>
      </w:r>
      <w:r>
        <w:rPr>
          <w:rFonts w:hAnsi="Book Antiqua" w:hint="default"/>
          <w:rtl w:val="0"/>
          <w:lang w:val="it-IT"/>
        </w:rPr>
        <w:t>à</w:t>
      </w:r>
      <w:r>
        <w:rPr>
          <w:rFonts w:ascii="Book Antiqua"/>
          <w:rtl w:val="0"/>
          <w:lang w:val="it-IT"/>
        </w:rPr>
        <w:t>, e comunque nell</w:t>
      </w:r>
      <w:r>
        <w:rPr>
          <w:rFonts w:hAnsi="Book Antiqua" w:hint="default"/>
          <w:rtl w:val="0"/>
          <w:lang w:val="it-IT"/>
        </w:rPr>
        <w:t>’</w:t>
      </w:r>
      <w:r>
        <w:rPr>
          <w:rFonts w:ascii="Book Antiqua"/>
          <w:rtl w:val="0"/>
          <w:lang w:val="it-IT"/>
        </w:rPr>
        <w:t>incombenza di procedura di infrazione europea i cui esiti avrebbero potuto essere molto pesanti dal punto di vista delle sanzioni pecuniarie, commisurate alla gravit</w:t>
      </w:r>
      <w:r>
        <w:rPr>
          <w:rFonts w:hAnsi="Book Antiqua" w:hint="default"/>
          <w:rtl w:val="0"/>
          <w:lang w:val="it-IT"/>
        </w:rPr>
        <w:t xml:space="preserve">à </w:t>
      </w:r>
      <w:r>
        <w:rPr>
          <w:rFonts w:ascii="Book Antiqua"/>
          <w:rtl w:val="0"/>
          <w:lang w:val="it-IT"/>
        </w:rPr>
        <w:t>e persistenza dell</w:t>
      </w:r>
      <w:r>
        <w:rPr>
          <w:rFonts w:hAnsi="Book Antiqua" w:hint="default"/>
          <w:rtl w:val="0"/>
          <w:lang w:val="it-IT"/>
        </w:rPr>
        <w:t>’</w:t>
      </w:r>
      <w:r>
        <w:rPr>
          <w:rFonts w:ascii="Book Antiqua"/>
          <w:rtl w:val="0"/>
          <w:lang w:val="it-IT"/>
        </w:rPr>
        <w:t>inadempimento. Problematiche sottolineate proprio dall</w:t>
      </w:r>
      <w:r>
        <w:rPr>
          <w:rFonts w:hAnsi="Book Antiqua" w:hint="default"/>
          <w:rtl w:val="0"/>
          <w:lang w:val="it-IT"/>
        </w:rPr>
        <w:t>’</w:t>
      </w:r>
      <w:r>
        <w:rPr>
          <w:rFonts w:ascii="Book Antiqua"/>
          <w:rtl w:val="0"/>
          <w:lang w:val="it-IT"/>
        </w:rPr>
        <w:t>allora sindaco Ignazio Marino che, l</w:t>
      </w:r>
      <w:r>
        <w:rPr>
          <w:rFonts w:hAnsi="Book Antiqua" w:hint="default"/>
          <w:rtl w:val="0"/>
          <w:lang w:val="it-IT"/>
        </w:rPr>
        <w:t>’</w:t>
      </w:r>
      <w:r>
        <w:rPr>
          <w:rFonts w:ascii="Book Antiqua"/>
          <w:rtl w:val="0"/>
          <w:lang w:val="it-IT"/>
        </w:rPr>
        <w:t xml:space="preserve">8 settembre 2015, dinanzi alla Commissione dichiarava: </w:t>
      </w:r>
    </w:p>
    <w:p>
      <w:pPr>
        <w:pStyle w:val="Normal"/>
        <w:ind w:left="567" w:right="567" w:firstLine="0"/>
        <w:jc w:val="both"/>
        <w:rPr>
          <w:rFonts w:ascii="Book Antiqua" w:cs="Book Antiqua" w:hAnsi="Book Antiqua" w:eastAsia="Book Antiqua"/>
        </w:rPr>
      </w:pPr>
      <w:r>
        <w:rPr>
          <w:rFonts w:ascii="Book Antiqua"/>
          <w:rtl w:val="0"/>
          <w:lang w:val="it-IT"/>
        </w:rPr>
        <w:t xml:space="preserve"> </w:t>
      </w:r>
      <w:r>
        <w:rPr>
          <w:rFonts w:hAnsi="Book Antiqua" w:hint="default"/>
          <w:rtl w:val="0"/>
          <w:lang w:val="it-IT"/>
        </w:rPr>
        <w:t>“</w:t>
      </w:r>
      <w:r>
        <w:rPr>
          <w:rFonts w:ascii="Book Antiqua"/>
          <w:rtl w:val="0"/>
          <w:lang w:val="it-IT"/>
        </w:rPr>
        <w:t xml:space="preserve">Tuttavia, le chiedo anche </w:t>
      </w:r>
      <w:r>
        <w:rPr>
          <w:rFonts w:hAnsi="Book Antiqua" w:hint="default"/>
          <w:rtl w:val="0"/>
          <w:lang w:val="it-IT"/>
        </w:rPr>
        <w:t xml:space="preserve">– </w:t>
      </w:r>
      <w:r>
        <w:rPr>
          <w:rFonts w:ascii="Book Antiqua"/>
          <w:rtl w:val="0"/>
          <w:lang w:val="it-IT"/>
        </w:rPr>
        <w:t>le chiedo ci</w:t>
      </w:r>
      <w:r>
        <w:rPr>
          <w:rFonts w:hAnsi="Book Antiqua" w:hint="default"/>
          <w:rtl w:val="0"/>
          <w:lang w:val="it-IT"/>
        </w:rPr>
        <w:t xml:space="preserve">ò </w:t>
      </w:r>
      <w:r>
        <w:rPr>
          <w:rFonts w:ascii="Book Antiqua"/>
          <w:rtl w:val="0"/>
          <w:lang w:val="it-IT"/>
        </w:rPr>
        <w:t xml:space="preserve">retoricamente e lei non mi deve certamente rispondere </w:t>
      </w:r>
      <w:r>
        <w:rPr>
          <w:rFonts w:hAnsi="Book Antiqua" w:hint="default"/>
          <w:rtl w:val="0"/>
          <w:lang w:val="it-IT"/>
        </w:rPr>
        <w:t xml:space="preserve">– </w:t>
      </w:r>
      <w:r>
        <w:rPr>
          <w:rFonts w:ascii="Book Antiqua"/>
          <w:rtl w:val="0"/>
          <w:lang w:val="it-IT"/>
        </w:rPr>
        <w:t>come si fa se si arriva in un luogo in cui, per cinquant</w:t>
      </w:r>
      <w:r>
        <w:rPr>
          <w:rFonts w:hAnsi="Book Antiqua" w:hint="default"/>
          <w:rtl w:val="0"/>
          <w:lang w:val="it-IT"/>
        </w:rPr>
        <w:t>’</w:t>
      </w:r>
      <w:r>
        <w:rPr>
          <w:rFonts w:ascii="Book Antiqua"/>
          <w:rtl w:val="0"/>
          <w:lang w:val="it-IT"/>
        </w:rPr>
        <w:t>anni, non c</w:t>
      </w:r>
      <w:r>
        <w:rPr>
          <w:rFonts w:hAnsi="Book Antiqua" w:hint="default"/>
          <w:rtl w:val="0"/>
          <w:lang w:val="it-IT"/>
        </w:rPr>
        <w:t xml:space="preserve">’è </w:t>
      </w:r>
      <w:r>
        <w:rPr>
          <w:rFonts w:ascii="Book Antiqua"/>
          <w:rtl w:val="0"/>
          <w:lang w:val="it-IT"/>
        </w:rPr>
        <w:t xml:space="preserve">stato alcun cambiamento e tutto il sistema dei rifiuti, un sistema che voi conoscete molto bene, molto complesso e articolato, che oggi prevede tecnologie anche molto sofisticate, si </w:t>
      </w:r>
      <w:r>
        <w:rPr>
          <w:rFonts w:hAnsi="Book Antiqua" w:hint="default"/>
          <w:rtl w:val="0"/>
          <w:lang w:val="it-IT"/>
        </w:rPr>
        <w:t xml:space="preserve">è </w:t>
      </w:r>
      <w:r>
        <w:rPr>
          <w:rFonts w:ascii="Book Antiqua"/>
          <w:rtl w:val="0"/>
          <w:lang w:val="it-IT"/>
        </w:rPr>
        <w:t>concentrato su una grandissima discarica, una discarica di 240 ettari [</w:t>
      </w:r>
      <w:r>
        <w:rPr>
          <w:rFonts w:hAnsi="Book Antiqua" w:hint="default"/>
          <w:rtl w:val="0"/>
          <w:lang w:val="it-IT"/>
        </w:rPr>
        <w:t>…</w:t>
      </w:r>
      <w:r>
        <w:rPr>
          <w:rFonts w:ascii="Book Antiqua"/>
          <w:rtl w:val="0"/>
          <w:lang w:val="it-IT"/>
        </w:rPr>
        <w:t>], dal 1963 al 2013. Negli anni 2000 l</w:t>
      </w:r>
      <w:r>
        <w:rPr>
          <w:rFonts w:hAnsi="Book Antiqua" w:hint="default"/>
          <w:rtl w:val="0"/>
          <w:lang w:val="it-IT"/>
        </w:rPr>
        <w:t>’</w:t>
      </w:r>
      <w:r>
        <w:rPr>
          <w:rFonts w:ascii="Book Antiqua"/>
          <w:rtl w:val="0"/>
          <w:lang w:val="it-IT"/>
        </w:rPr>
        <w:t>Unione europea stabilisce che non si pu</w:t>
      </w:r>
      <w:r>
        <w:rPr>
          <w:rFonts w:hAnsi="Book Antiqua" w:hint="default"/>
          <w:rtl w:val="0"/>
          <w:lang w:val="it-IT"/>
        </w:rPr>
        <w:t xml:space="preserve">ò </w:t>
      </w:r>
      <w:r>
        <w:rPr>
          <w:rFonts w:ascii="Book Antiqua"/>
          <w:rtl w:val="0"/>
          <w:lang w:val="it-IT"/>
        </w:rPr>
        <w:t>pi</w:t>
      </w:r>
      <w:r>
        <w:rPr>
          <w:rFonts w:hAnsi="Book Antiqua" w:hint="default"/>
          <w:rtl w:val="0"/>
          <w:lang w:val="it-IT"/>
        </w:rPr>
        <w:t xml:space="preserve">ù </w:t>
      </w:r>
      <w:r>
        <w:rPr>
          <w:rFonts w:ascii="Book Antiqua"/>
          <w:rtl w:val="0"/>
          <w:lang w:val="it-IT"/>
        </w:rPr>
        <w:t>fare cos</w:t>
      </w:r>
      <w:r>
        <w:rPr>
          <w:rFonts w:hAnsi="Book Antiqua" w:hint="default"/>
          <w:rtl w:val="0"/>
          <w:lang w:val="it-IT"/>
        </w:rPr>
        <w:t xml:space="preserve">ì </w:t>
      </w:r>
      <w:r>
        <w:rPr>
          <w:rFonts w:ascii="Book Antiqua"/>
          <w:rtl w:val="0"/>
          <w:lang w:val="it-IT"/>
        </w:rPr>
        <w:t>e che entro il 31 dicembre 2007 si deve chiudere Malagrotta, salvo entrare in infrazione delle direttive europee: cosa fa la citt</w:t>
      </w:r>
      <w:r>
        <w:rPr>
          <w:rFonts w:hAnsi="Book Antiqua" w:hint="default"/>
          <w:rtl w:val="0"/>
          <w:lang w:val="it-IT"/>
        </w:rPr>
        <w:t xml:space="preserve">à </w:t>
      </w:r>
      <w:r>
        <w:rPr>
          <w:rFonts w:ascii="Book Antiqua"/>
          <w:rtl w:val="0"/>
          <w:lang w:val="it-IT"/>
        </w:rPr>
        <w:t>di Roma? Ignora questa indicazione dell</w:t>
      </w:r>
      <w:r>
        <w:rPr>
          <w:rFonts w:hAnsi="Book Antiqua" w:hint="default"/>
          <w:rtl w:val="0"/>
          <w:lang w:val="it-IT"/>
        </w:rPr>
        <w:t>’</w:t>
      </w:r>
      <w:r>
        <w:rPr>
          <w:rFonts w:ascii="Book Antiqua"/>
          <w:rtl w:val="0"/>
          <w:lang w:val="it-IT"/>
        </w:rPr>
        <w:t>Unione europea e continua dal 2007 al 2013 a utilizzare la discarica! Le assicuro che, quando ho incontrato l</w:t>
      </w:r>
      <w:r>
        <w:rPr>
          <w:rFonts w:hAnsi="Book Antiqua" w:hint="default"/>
          <w:rtl w:val="0"/>
          <w:lang w:val="it-IT"/>
        </w:rPr>
        <w:t>’</w:t>
      </w:r>
      <w:r>
        <w:rPr>
          <w:rFonts w:ascii="Book Antiqua"/>
          <w:rtl w:val="0"/>
          <w:lang w:val="it-IT"/>
        </w:rPr>
        <w:t>avvocato Cerroni, cui ho spiegato la mia ferma intenzione di chiudere al massimo entro 90 giorni dal mio insediamento la discarica di Malagrotta, l</w:t>
      </w:r>
      <w:r>
        <w:rPr>
          <w:rFonts w:hAnsi="Book Antiqua" w:hint="default"/>
          <w:rtl w:val="0"/>
          <w:lang w:val="it-IT"/>
        </w:rPr>
        <w:t>’</w:t>
      </w:r>
      <w:r>
        <w:rPr>
          <w:rFonts w:ascii="Book Antiqua"/>
          <w:rtl w:val="0"/>
          <w:lang w:val="it-IT"/>
        </w:rPr>
        <w:t xml:space="preserve">avvocato Cerroni mi ha amabilmente spiegato che egli aveva incontrato tutti i sindaci, dai tempi degli anni Sessanta sino ad oggi, avendo sempre detto loro: </w:t>
      </w:r>
      <w:r>
        <w:rPr>
          <w:rFonts w:hAnsi="Book Antiqua" w:hint="default"/>
          <w:rtl w:val="0"/>
          <w:lang w:val="it-IT"/>
        </w:rPr>
        <w:t>«</w:t>
      </w:r>
      <w:r>
        <w:rPr>
          <w:rFonts w:ascii="Book Antiqua"/>
          <w:rtl w:val="0"/>
          <w:lang w:val="it-IT"/>
        </w:rPr>
        <w:t>Lei, signor sindaco, ha tanti problemi. Se lascia la discarica aperta e la gestisco io, le assicuro che di questo problema per i suoi cinque anni non se ne dovr</w:t>
      </w:r>
      <w:r>
        <w:rPr>
          <w:rFonts w:hAnsi="Book Antiqua" w:hint="default"/>
          <w:rtl w:val="0"/>
          <w:lang w:val="it-IT"/>
        </w:rPr>
        <w:t xml:space="preserve">à </w:t>
      </w:r>
      <w:r>
        <w:rPr>
          <w:rFonts w:ascii="Book Antiqua"/>
          <w:rtl w:val="0"/>
          <w:lang w:val="it-IT"/>
        </w:rPr>
        <w:t>occupare</w:t>
      </w:r>
      <w:r>
        <w:rPr>
          <w:rFonts w:hAnsi="Book Antiqua" w:hint="default"/>
          <w:rtl w:val="0"/>
          <w:lang w:val="it-IT"/>
        </w:rPr>
        <w:t>»</w:t>
      </w:r>
      <w:r>
        <w:rPr>
          <w:rFonts w:ascii="Book Antiqua"/>
          <w:rtl w:val="0"/>
          <w:lang w:val="it-IT"/>
        </w:rPr>
        <w:t xml:space="preserve">. Io ho insistito </w:t>
      </w:r>
      <w:r>
        <w:rPr>
          <w:rFonts w:hAnsi="Book Antiqua" w:hint="default"/>
          <w:rtl w:val="0"/>
          <w:lang w:val="it-IT"/>
        </w:rPr>
        <w:t xml:space="preserve">– </w:t>
      </w:r>
      <w:r>
        <w:rPr>
          <w:rFonts w:ascii="Book Antiqua"/>
          <w:rtl w:val="0"/>
          <w:lang w:val="it-IT"/>
        </w:rPr>
        <w:t>era presente a quel colloquio anche l</w:t>
      </w:r>
      <w:r>
        <w:rPr>
          <w:rFonts w:hAnsi="Book Antiqua" w:hint="default"/>
          <w:rtl w:val="0"/>
          <w:lang w:val="it-IT"/>
        </w:rPr>
        <w:t>’</w:t>
      </w:r>
      <w:r>
        <w:rPr>
          <w:rFonts w:ascii="Book Antiqua"/>
          <w:rtl w:val="0"/>
          <w:lang w:val="it-IT"/>
        </w:rPr>
        <w:t xml:space="preserve">assessore [Estella] Marino </w:t>
      </w:r>
      <w:r>
        <w:rPr>
          <w:rFonts w:hAnsi="Book Antiqua" w:hint="default"/>
          <w:rtl w:val="0"/>
          <w:lang w:val="it-IT"/>
        </w:rPr>
        <w:t xml:space="preserve">– </w:t>
      </w:r>
      <w:r>
        <w:rPr>
          <w:rFonts w:ascii="Book Antiqua"/>
          <w:rtl w:val="0"/>
          <w:lang w:val="it-IT"/>
        </w:rPr>
        <w:t>e ho invece detto che noi volevamo arrivare alla chiusura, che infatti abbiamo realizzato il 30 settembre. Le assicuro, per</w:t>
      </w:r>
      <w:r>
        <w:rPr>
          <w:rFonts w:hAnsi="Book Antiqua" w:hint="default"/>
          <w:rtl w:val="0"/>
          <w:lang w:val="it-IT"/>
        </w:rPr>
        <w:t>ò</w:t>
      </w:r>
      <w:r>
        <w:rPr>
          <w:rFonts w:ascii="Book Antiqua"/>
          <w:rtl w:val="0"/>
          <w:lang w:val="it-IT"/>
        </w:rPr>
        <w:t xml:space="preserve">, che chiudere in 90 giorni qualcosa che non </w:t>
      </w:r>
      <w:r>
        <w:rPr>
          <w:rFonts w:hAnsi="Book Antiqua" w:hint="default"/>
          <w:rtl w:val="0"/>
          <w:lang w:val="it-IT"/>
        </w:rPr>
        <w:t xml:space="preserve">è </w:t>
      </w:r>
      <w:r>
        <w:rPr>
          <w:rFonts w:ascii="Book Antiqua"/>
          <w:rtl w:val="0"/>
          <w:lang w:val="it-IT"/>
        </w:rPr>
        <w:t>stato chiuso in cinquant</w:t>
      </w:r>
      <w:r>
        <w:rPr>
          <w:rFonts w:hAnsi="Book Antiqua" w:hint="default"/>
          <w:rtl w:val="0"/>
          <w:lang w:val="it-IT"/>
        </w:rPr>
        <w:t>’</w:t>
      </w:r>
      <w:r>
        <w:rPr>
          <w:rFonts w:ascii="Book Antiqua"/>
          <w:rtl w:val="0"/>
          <w:lang w:val="it-IT"/>
        </w:rPr>
        <w:t>anni, a me, cio</w:t>
      </w:r>
      <w:r>
        <w:rPr>
          <w:rFonts w:hAnsi="Book Antiqua" w:hint="default"/>
          <w:rtl w:val="0"/>
          <w:lang w:val="it-IT"/>
        </w:rPr>
        <w:t xml:space="preserve">è </w:t>
      </w:r>
      <w:r>
        <w:rPr>
          <w:rFonts w:ascii="Book Antiqua"/>
          <w:rtl w:val="0"/>
          <w:lang w:val="it-IT"/>
        </w:rPr>
        <w:t xml:space="preserve">dal mio punto di vista, sembra piuttosto significativo. Invertire un sistema che per mezzo secolo si </w:t>
      </w:r>
      <w:r>
        <w:rPr>
          <w:rFonts w:hAnsi="Book Antiqua" w:hint="default"/>
          <w:rtl w:val="0"/>
          <w:lang w:val="it-IT"/>
        </w:rPr>
        <w:t xml:space="preserve">è </w:t>
      </w:r>
      <w:r>
        <w:rPr>
          <w:rFonts w:ascii="Book Antiqua"/>
          <w:rtl w:val="0"/>
          <w:lang w:val="it-IT"/>
        </w:rPr>
        <w:t>basato solo sul conferimento in discarica e su tutt</w:t>
      </w:r>
      <w:r>
        <w:rPr>
          <w:rFonts w:hAnsi="Book Antiqua" w:hint="default"/>
          <w:rtl w:val="0"/>
          <w:lang w:val="it-IT"/>
        </w:rPr>
        <w:t>’</w:t>
      </w:r>
      <w:r>
        <w:rPr>
          <w:rFonts w:ascii="Book Antiqua"/>
          <w:rtl w:val="0"/>
          <w:lang w:val="it-IT"/>
        </w:rPr>
        <w:t xml:space="preserve">altro, </w:t>
      </w:r>
      <w:r>
        <w:rPr>
          <w:rFonts w:hAnsi="Book Antiqua" w:hint="default"/>
          <w:rtl w:val="0"/>
          <w:lang w:val="it-IT"/>
        </w:rPr>
        <w:t xml:space="preserve">è </w:t>
      </w:r>
      <w:r>
        <w:rPr>
          <w:rFonts w:ascii="Book Antiqua"/>
          <w:rtl w:val="0"/>
          <w:lang w:val="it-IT"/>
        </w:rPr>
        <w:t>qualcosa che richiede, almeno dal mio punto di vista, del tempo.</w:t>
      </w:r>
      <w:r>
        <w:rPr>
          <w:rFonts w:hAnsi="Book Antiqua" w:hint="default"/>
          <w:rtl w:val="0"/>
          <w:lang w:val="it-IT"/>
        </w:rPr>
        <w:t xml:space="preserve">” </w:t>
      </w:r>
    </w:p>
    <w:p>
      <w:pPr>
        <w:pStyle w:val="Normal"/>
        <w:ind w:left="567" w:right="567" w:firstLine="0"/>
        <w:jc w:val="both"/>
        <w:rPr>
          <w:rFonts w:ascii="Book Antiqua" w:cs="Book Antiqua" w:hAnsi="Book Antiqua" w:eastAsia="Book Antiqua"/>
        </w:rPr>
      </w:pPr>
      <w:r>
        <w:rPr>
          <w:rFonts w:ascii="Book Antiqua"/>
          <w:rtl w:val="0"/>
          <w:lang w:val="it-IT"/>
        </w:rPr>
        <w:t>Le responsabilit</w:t>
      </w:r>
      <w:r>
        <w:rPr>
          <w:rFonts w:hAnsi="Book Antiqua" w:hint="default"/>
          <w:rtl w:val="0"/>
          <w:lang w:val="it-IT"/>
        </w:rPr>
        <w:t xml:space="preserve">à </w:t>
      </w:r>
      <w:r>
        <w:rPr>
          <w:rFonts w:ascii="Book Antiqua"/>
          <w:rtl w:val="0"/>
          <w:lang w:val="it-IT"/>
        </w:rPr>
        <w:t>politiche di coloro che, negli anni, avrebbero dovuto garantire alla Capitale un ciclo dei rifiuti diverso da quello discaricocentrico, sono venute ancora pi</w:t>
      </w:r>
      <w:r>
        <w:rPr>
          <w:rFonts w:hAnsi="Book Antiqua" w:hint="default"/>
          <w:rtl w:val="0"/>
          <w:lang w:val="it-IT"/>
        </w:rPr>
        <w:t xml:space="preserve">ù </w:t>
      </w:r>
      <w:r>
        <w:rPr>
          <w:rFonts w:ascii="Book Antiqua"/>
          <w:rtl w:val="0"/>
          <w:lang w:val="it-IT"/>
        </w:rPr>
        <w:t>alla luce dopo la chiusura della discarica di Malagrotta. Danni anche economici, giacch</w:t>
      </w:r>
      <w:r>
        <w:rPr>
          <w:rFonts w:hAnsi="Book Antiqua" w:hint="default"/>
          <w:rtl w:val="0"/>
          <w:lang w:val="it-IT"/>
        </w:rPr>
        <w:t xml:space="preserve">é </w:t>
      </w:r>
      <w:r>
        <w:rPr>
          <w:rFonts w:ascii="Book Antiqua"/>
          <w:rtl w:val="0"/>
          <w:lang w:val="it-IT"/>
        </w:rPr>
        <w:t>la mancata programmazione e l</w:t>
      </w:r>
      <w:r>
        <w:rPr>
          <w:rFonts w:hAnsi="Book Antiqua" w:hint="default"/>
          <w:rtl w:val="0"/>
          <w:lang w:val="it-IT"/>
        </w:rPr>
        <w:t>’</w:t>
      </w:r>
      <w:r>
        <w:rPr>
          <w:rFonts w:ascii="Book Antiqua"/>
          <w:rtl w:val="0"/>
          <w:lang w:val="it-IT"/>
        </w:rPr>
        <w:t>effettiva attuazione di quanto riportato dalle norme ha fatto lievitare i costi di gestione dei rifiuti. Maggiori spese conseguenti al trattamento di una quantit</w:t>
      </w:r>
      <w:r>
        <w:rPr>
          <w:rFonts w:hAnsi="Book Antiqua" w:hint="default"/>
          <w:rtl w:val="0"/>
          <w:lang w:val="it-IT"/>
        </w:rPr>
        <w:t xml:space="preserve">à </w:t>
      </w:r>
      <w:r>
        <w:rPr>
          <w:rFonts w:ascii="Book Antiqua"/>
          <w:rtl w:val="0"/>
          <w:lang w:val="it-IT"/>
        </w:rPr>
        <w:t>considerevole di rifiuti indifferenziati, allo smaltimento fuori regione dei rifiuti prodotti dagli impianti TMB nonch</w:t>
      </w:r>
      <w:r>
        <w:rPr>
          <w:rFonts w:hAnsi="Book Antiqua" w:hint="default"/>
          <w:rtl w:val="0"/>
          <w:lang w:val="it-IT"/>
        </w:rPr>
        <w:t>é</w:t>
      </w:r>
      <w:r>
        <w:rPr>
          <w:rFonts w:ascii="Book Antiqua"/>
          <w:rtl w:val="0"/>
          <w:lang w:val="it-IT"/>
        </w:rPr>
        <w:t xml:space="preserve"> alla destinazione ad impianti di compostaggio extraregionali della frazione organica proveniente da raccolta differenziata. A ci</w:t>
      </w:r>
      <w:r>
        <w:rPr>
          <w:rFonts w:hAnsi="Book Antiqua" w:hint="default"/>
          <w:rtl w:val="0"/>
          <w:lang w:val="it-IT"/>
        </w:rPr>
        <w:t xml:space="preserve">ò </w:t>
      </w:r>
      <w:r>
        <w:rPr>
          <w:rFonts w:ascii="Book Antiqua"/>
          <w:rtl w:val="0"/>
          <w:lang w:val="it-IT"/>
        </w:rPr>
        <w:t xml:space="preserve">si aggiungano i due contenziosi tra AMA e Co.La.Ri. che, laddove dovessero terminare con la parte privata vincente, comporterebbero un elevato esborso di risorse economiche da parte di Roma Capitale ossia da parte di tutti i cittadini romani.  </w:t>
      </w:r>
    </w:p>
    <w:p>
      <w:pPr>
        <w:pStyle w:val="Normal"/>
        <w:ind w:left="567" w:right="567" w:firstLine="0"/>
        <w:jc w:val="both"/>
        <w:rPr>
          <w:rFonts w:ascii="Book Antiqua" w:cs="Book Antiqua" w:hAnsi="Book Antiqua" w:eastAsia="Book Antiqua"/>
        </w:rPr>
      </w:pPr>
      <w:r>
        <w:rPr>
          <w:rFonts w:ascii="Book Antiqua"/>
          <w:rtl w:val="0"/>
          <w:lang w:val="it-IT"/>
        </w:rPr>
        <w:t xml:space="preserve">Lo stesso sindaco pro tempore ne aveva parlato durante la sua audizione in Commissione: </w:t>
      </w:r>
    </w:p>
    <w:p>
      <w:pPr>
        <w:pStyle w:val="Normal"/>
        <w:ind w:left="567" w:right="567" w:firstLine="0"/>
        <w:jc w:val="both"/>
        <w:rPr>
          <w:rFonts w:ascii="Book Antiqua" w:cs="Book Antiqua" w:hAnsi="Book Antiqua" w:eastAsia="Book Antiqua"/>
        </w:rPr>
      </w:pPr>
      <w:r>
        <w:rPr>
          <w:rFonts w:ascii="Book Antiqua"/>
          <w:rtl w:val="0"/>
          <w:lang w:val="it-IT"/>
        </w:rPr>
        <w:t xml:space="preserve"> </w:t>
      </w:r>
      <w:r>
        <w:rPr>
          <w:rFonts w:hAnsi="Book Antiqua" w:hint="default"/>
          <w:rtl w:val="0"/>
          <w:lang w:val="it-IT"/>
        </w:rPr>
        <w:t>“</w:t>
      </w:r>
      <w:r>
        <w:rPr>
          <w:rFonts w:ascii="Book Antiqua"/>
          <w:rtl w:val="0"/>
          <w:lang w:val="it-IT"/>
        </w:rPr>
        <w:t xml:space="preserve">Le resistenze al cambiamento sono state robuste e tenaci. Giova ricordare che la quarantennale supremazia del gruppo industriale privato Co.La.Ri. nel trattamento e smaltimento di rifiuti urbani e residui della capitale non </w:t>
      </w:r>
      <w:r>
        <w:rPr>
          <w:rFonts w:hAnsi="Book Antiqua" w:hint="default"/>
          <w:rtl w:val="0"/>
          <w:lang w:val="it-IT"/>
        </w:rPr>
        <w:t xml:space="preserve">è </w:t>
      </w:r>
      <w:r>
        <w:rPr>
          <w:rFonts w:ascii="Book Antiqua"/>
          <w:rtl w:val="0"/>
          <w:lang w:val="it-IT"/>
        </w:rPr>
        <w:t xml:space="preserve">mai stata conquistata con procedure di evidenza pubblica, gare competitive o selezioni trasparenti </w:t>
      </w:r>
      <w:r>
        <w:rPr>
          <w:rFonts w:hAnsi="Book Antiqua" w:hint="default"/>
          <w:rtl w:val="0"/>
          <w:lang w:val="it-IT"/>
        </w:rPr>
        <w:t xml:space="preserve">– </w:t>
      </w:r>
      <w:r>
        <w:rPr>
          <w:rFonts w:ascii="Book Antiqua"/>
          <w:rtl w:val="0"/>
          <w:lang w:val="it-IT"/>
        </w:rPr>
        <w:t>parliamo di un periodo che va dal 1963 al momento del mio insediamento nel 2013, cio</w:t>
      </w:r>
      <w:r>
        <w:rPr>
          <w:rFonts w:hAnsi="Book Antiqua" w:hint="default"/>
          <w:rtl w:val="0"/>
          <w:lang w:val="it-IT"/>
        </w:rPr>
        <w:t xml:space="preserve">è </w:t>
      </w:r>
      <w:r>
        <w:rPr>
          <w:rFonts w:ascii="Book Antiqua"/>
          <w:rtl w:val="0"/>
          <w:lang w:val="it-IT"/>
        </w:rPr>
        <w:t xml:space="preserve">un periodo di mezzo secolo </w:t>
      </w:r>
      <w:r>
        <w:rPr>
          <w:rFonts w:hAnsi="Book Antiqua" w:hint="default"/>
          <w:rtl w:val="0"/>
          <w:lang w:val="it-IT"/>
        </w:rPr>
        <w:t xml:space="preserve">– </w:t>
      </w:r>
      <w:r>
        <w:rPr>
          <w:rFonts w:ascii="Book Antiqua"/>
          <w:rtl w:val="0"/>
          <w:lang w:val="it-IT"/>
        </w:rPr>
        <w:t xml:space="preserve">ma </w:t>
      </w:r>
      <w:r>
        <w:rPr>
          <w:rFonts w:hAnsi="Book Antiqua" w:hint="default"/>
          <w:rtl w:val="0"/>
          <w:lang w:val="it-IT"/>
        </w:rPr>
        <w:t xml:space="preserve">è </w:t>
      </w:r>
      <w:r>
        <w:rPr>
          <w:rFonts w:ascii="Book Antiqua"/>
          <w:rtl w:val="0"/>
          <w:lang w:val="it-IT"/>
        </w:rPr>
        <w:t>venuta accrescendosi per causa di superfetazioni generate ora dalle emergenze, ora da bizzarre interpretazioni degli strumenti pubblici di pianificazione e programmazione. Con lo stesso approccio il trattamento e la valorizzazione dei rifiuti secchi riciclabili sono stati esclusiva attivit</w:t>
      </w:r>
      <w:r>
        <w:rPr>
          <w:rFonts w:hAnsi="Book Antiqua" w:hint="default"/>
          <w:rtl w:val="0"/>
          <w:lang w:val="it-IT"/>
        </w:rPr>
        <w:t xml:space="preserve">à </w:t>
      </w:r>
      <w:r>
        <w:rPr>
          <w:rFonts w:ascii="Book Antiqua"/>
          <w:rtl w:val="0"/>
          <w:lang w:val="it-IT"/>
        </w:rPr>
        <w:t>di soggetti privati chiamiamoli storici, datando a mezzo secolo, che mai hanno acquisito tale prerogativa per effetto di gare o selezioni, bens</w:t>
      </w:r>
      <w:r>
        <w:rPr>
          <w:rFonts w:hAnsi="Book Antiqua" w:hint="default"/>
          <w:rtl w:val="0"/>
          <w:lang w:val="it-IT"/>
        </w:rPr>
        <w:t xml:space="preserve">ì </w:t>
      </w:r>
      <w:r>
        <w:rPr>
          <w:rFonts w:ascii="Book Antiqua"/>
          <w:rtl w:val="0"/>
          <w:lang w:val="it-IT"/>
        </w:rPr>
        <w:t>in virt</w:t>
      </w:r>
      <w:r>
        <w:rPr>
          <w:rFonts w:hAnsi="Book Antiqua" w:hint="default"/>
          <w:rtl w:val="0"/>
          <w:lang w:val="it-IT"/>
        </w:rPr>
        <w:t xml:space="preserve">ù </w:t>
      </w:r>
      <w:r>
        <w:rPr>
          <w:rFonts w:ascii="Book Antiqua"/>
          <w:rtl w:val="0"/>
          <w:lang w:val="it-IT"/>
        </w:rPr>
        <w:t>di una distorta interpretazione della normativa, ovvero in ragione del loro storico insediamento. Peraltro, l</w:t>
      </w:r>
      <w:r>
        <w:rPr>
          <w:rFonts w:hAnsi="Book Antiqua" w:hint="default"/>
          <w:rtl w:val="0"/>
          <w:lang w:val="it-IT"/>
        </w:rPr>
        <w:t>’</w:t>
      </w:r>
      <w:r>
        <w:rPr>
          <w:rFonts w:ascii="Book Antiqua"/>
          <w:rtl w:val="0"/>
          <w:lang w:val="it-IT"/>
        </w:rPr>
        <w:t xml:space="preserve">inchiesta </w:t>
      </w:r>
      <w:r>
        <w:rPr>
          <w:rFonts w:hAnsi="Book Antiqua" w:hint="default"/>
          <w:rtl w:val="0"/>
          <w:lang w:val="it-IT"/>
        </w:rPr>
        <w:t>‘</w:t>
      </w:r>
      <w:r>
        <w:rPr>
          <w:rFonts w:ascii="Book Antiqua"/>
          <w:rtl w:val="0"/>
          <w:lang w:val="it-IT"/>
        </w:rPr>
        <w:t>Mondo di mezzo</w:t>
      </w:r>
      <w:r>
        <w:rPr>
          <w:rFonts w:hAnsi="Book Antiqua" w:hint="default"/>
          <w:rtl w:val="0"/>
          <w:lang w:val="it-IT"/>
        </w:rPr>
        <w:t>’</w:t>
      </w:r>
      <w:r>
        <w:rPr>
          <w:rFonts w:ascii="Book Antiqua"/>
          <w:rtl w:val="0"/>
          <w:lang w:val="it-IT"/>
        </w:rPr>
        <w:t xml:space="preserve"> ha rivelato che anche lo svolgimento di gare di per s</w:t>
      </w:r>
      <w:r>
        <w:rPr>
          <w:rFonts w:hAnsi="Book Antiqua" w:hint="default"/>
          <w:rtl w:val="0"/>
          <w:lang w:val="it-IT"/>
        </w:rPr>
        <w:t xml:space="preserve">é </w:t>
      </w:r>
      <w:r>
        <w:rPr>
          <w:rFonts w:ascii="Book Antiqua"/>
          <w:rtl w:val="0"/>
          <w:lang w:val="it-IT"/>
        </w:rPr>
        <w:t>non sempre ha posto la pubblica amministrazione al riparo da pratiche illecite e illegali nella gestione di segmenti del ciclo dei rifiuti. Dal 7 aprile 2014 AMA, denunciando alla procura della Repubblica il  tentativo di sottrarle circa 900 milioni di euro per tramite di un arbitrato intentato dal gruppo privato Co.La.Ri. e collaborando con la stessa procura e con l</w:t>
      </w:r>
      <w:r>
        <w:rPr>
          <w:rFonts w:hAnsi="Book Antiqua" w:hint="default"/>
          <w:rtl w:val="0"/>
          <w:lang w:val="it-IT"/>
        </w:rPr>
        <w:t>’</w:t>
      </w:r>
      <w:r>
        <w:rPr>
          <w:rFonts w:ascii="Book Antiqua"/>
          <w:rtl w:val="0"/>
          <w:lang w:val="it-IT"/>
        </w:rPr>
        <w:t>ANAC al disvelamento di pratiche assai discutibili, sia nella gestione del ciclo dei rifiuti, sia negli approvvigionamenti e acquisti di servizi e forniture, ha intessuto un rapporto collaborativo permanente con l</w:t>
      </w:r>
      <w:r>
        <w:rPr>
          <w:rFonts w:hAnsi="Book Antiqua" w:hint="default"/>
          <w:rtl w:val="0"/>
          <w:lang w:val="it-IT"/>
        </w:rPr>
        <w:t>’</w:t>
      </w:r>
      <w:r>
        <w:rPr>
          <w:rFonts w:ascii="Book Antiqua"/>
          <w:rtl w:val="0"/>
          <w:lang w:val="it-IT"/>
        </w:rPr>
        <w:t>Autorit</w:t>
      </w:r>
      <w:r>
        <w:rPr>
          <w:rFonts w:hAnsi="Book Antiqua" w:hint="default"/>
          <w:rtl w:val="0"/>
          <w:lang w:val="it-IT"/>
        </w:rPr>
        <w:t xml:space="preserve">à </w:t>
      </w:r>
      <w:r>
        <w:rPr>
          <w:rFonts w:ascii="Book Antiqua"/>
          <w:rtl w:val="0"/>
          <w:lang w:val="it-IT"/>
        </w:rPr>
        <w:t>di vigilanza e con la magistratura, adottando nel contempo tutta la dotazione di pres</w:t>
      </w:r>
      <w:r>
        <w:rPr>
          <w:rFonts w:hAnsi="Book Antiqua" w:hint="default"/>
          <w:rtl w:val="0"/>
          <w:lang w:val="it-IT"/>
        </w:rPr>
        <w:t>ì</w:t>
      </w:r>
      <w:r>
        <w:rPr>
          <w:rFonts w:ascii="Book Antiqua"/>
          <w:rtl w:val="0"/>
          <w:lang w:val="it-IT"/>
        </w:rPr>
        <w:t>di anticorruzione disposta dalle norme, difendendo e perseguendo le finalit</w:t>
      </w:r>
      <w:r>
        <w:rPr>
          <w:rFonts w:hAnsi="Book Antiqua" w:hint="default"/>
          <w:rtl w:val="0"/>
          <w:lang w:val="it-IT"/>
        </w:rPr>
        <w:t xml:space="preserve">à </w:t>
      </w:r>
      <w:r>
        <w:rPr>
          <w:rFonts w:ascii="Book Antiqua"/>
          <w:rtl w:val="0"/>
          <w:lang w:val="it-IT"/>
        </w:rPr>
        <w:t>dell</w:t>
      </w:r>
      <w:r>
        <w:rPr>
          <w:rFonts w:hAnsi="Book Antiqua" w:hint="default"/>
          <w:rtl w:val="0"/>
          <w:lang w:val="it-IT"/>
        </w:rPr>
        <w:t>’</w:t>
      </w:r>
      <w:r>
        <w:rPr>
          <w:rFonts w:ascii="Book Antiqua"/>
          <w:rtl w:val="0"/>
          <w:lang w:val="it-IT"/>
        </w:rPr>
        <w:t>interesse pubblico.</w:t>
      </w:r>
      <w:r>
        <w:rPr>
          <w:rFonts w:hAnsi="Book Antiqua" w:hint="default"/>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Quindi nonostante la chiusura di Malagrotta, quell</w:t>
      </w:r>
      <w:r>
        <w:rPr>
          <w:rFonts w:hAnsi="Book Antiqua" w:hint="default"/>
          <w:rtl w:val="0"/>
          <w:lang w:val="it-IT"/>
        </w:rPr>
        <w:t>’</w:t>
      </w:r>
      <w:r>
        <w:rPr>
          <w:rFonts w:ascii="Book Antiqua"/>
          <w:rtl w:val="0"/>
          <w:lang w:val="it-IT"/>
        </w:rPr>
        <w:t xml:space="preserve">inversione di cui faceva riferimento il sindaco pro tempore Ignazio Marino appare ancora lontana. </w:t>
      </w:r>
    </w:p>
    <w:p>
      <w:pPr>
        <w:pStyle w:val="Normal"/>
        <w:ind w:left="567" w:right="567" w:firstLine="0"/>
        <w:jc w:val="both"/>
        <w:rPr>
          <w:rFonts w:ascii="Book Antiqua" w:cs="Book Antiqua" w:hAnsi="Book Antiqua" w:eastAsia="Book Antiqua"/>
        </w:rPr>
      </w:pPr>
      <w:r>
        <w:rPr>
          <w:rFonts w:ascii="Book Antiqua"/>
          <w:rtl w:val="0"/>
          <w:lang w:val="it-IT"/>
        </w:rPr>
        <w:t xml:space="preserve">Tanto </w:t>
      </w:r>
      <w:r>
        <w:rPr>
          <w:rFonts w:hAnsi="Book Antiqua" w:hint="default"/>
          <w:rtl w:val="0"/>
          <w:lang w:val="it-IT"/>
        </w:rPr>
        <w:t xml:space="preserve">è </w:t>
      </w:r>
      <w:r>
        <w:rPr>
          <w:rFonts w:ascii="Book Antiqua"/>
          <w:rtl w:val="0"/>
          <w:lang w:val="it-IT"/>
        </w:rPr>
        <w:t xml:space="preserve">vero che, a distanza di quasi tre anni dalla fine dello smaltimento presso la discarica di Roma, il presidente pro tempore del consiglio di amministrazione di AMA S.p.A., Daniele Fortini, in audizione presso la Commissione il 2 agosto 2016, ha dichiarato: </w:t>
      </w:r>
    </w:p>
    <w:p>
      <w:pPr>
        <w:pStyle w:val="Normal"/>
        <w:ind w:left="567" w:right="567" w:firstLine="0"/>
        <w:jc w:val="both"/>
        <w:rPr>
          <w:rFonts w:ascii="Book Antiqua" w:cs="Book Antiqua" w:hAnsi="Book Antiqua" w:eastAsia="Book Antiqua"/>
        </w:rPr>
      </w:pPr>
      <w:r>
        <w:rPr>
          <w:rFonts w:ascii="Book Antiqua"/>
          <w:rtl w:val="0"/>
          <w:lang w:val="it-IT"/>
        </w:rPr>
        <w:t xml:space="preserve"> </w:t>
      </w:r>
      <w:r>
        <w:rPr>
          <w:rFonts w:hAnsi="Book Antiqua" w:hint="default"/>
          <w:rtl w:val="0"/>
          <w:lang w:val="it-IT"/>
        </w:rPr>
        <w:t>“</w:t>
      </w:r>
      <w:r>
        <w:rPr>
          <w:rFonts w:ascii="Book Antiqua"/>
          <w:rtl w:val="0"/>
          <w:lang w:val="it-IT"/>
        </w:rPr>
        <w:t>il ciclo integrato dei rifiuti urbani di Roma Capitale: non c</w:t>
      </w:r>
      <w:r>
        <w:rPr>
          <w:rFonts w:hAnsi="Book Antiqua" w:hint="default"/>
          <w:rtl w:val="0"/>
          <w:lang w:val="it-IT"/>
        </w:rPr>
        <w:t>’è</w:t>
      </w:r>
      <w:r>
        <w:rPr>
          <w:rFonts w:ascii="Book Antiqua"/>
          <w:rtl w:val="0"/>
          <w:lang w:val="it-IT"/>
        </w:rPr>
        <w:t xml:space="preserve">, non esiste, non </w:t>
      </w:r>
      <w:r>
        <w:rPr>
          <w:rFonts w:hAnsi="Book Antiqua" w:hint="default"/>
          <w:rtl w:val="0"/>
          <w:lang w:val="it-IT"/>
        </w:rPr>
        <w:t xml:space="preserve">è </w:t>
      </w:r>
      <w:r>
        <w:rPr>
          <w:rFonts w:ascii="Book Antiqua"/>
          <w:rtl w:val="0"/>
          <w:lang w:val="it-IT"/>
        </w:rPr>
        <w:t xml:space="preserve">un ciclo e meno che mai </w:t>
      </w:r>
      <w:r>
        <w:rPr>
          <w:rFonts w:hAnsi="Book Antiqua" w:hint="default"/>
          <w:rtl w:val="0"/>
          <w:lang w:val="it-IT"/>
        </w:rPr>
        <w:t xml:space="preserve">è </w:t>
      </w:r>
      <w:r>
        <w:rPr>
          <w:rFonts w:ascii="Book Antiqua"/>
          <w:rtl w:val="0"/>
          <w:lang w:val="it-IT"/>
        </w:rPr>
        <w:t xml:space="preserve">integrato. Rispetto alle previsioni delle norme, dobbiamo dire che questo </w:t>
      </w:r>
      <w:r>
        <w:rPr>
          <w:rFonts w:hAnsi="Book Antiqua" w:hint="default"/>
          <w:rtl w:val="0"/>
          <w:lang w:val="it-IT"/>
        </w:rPr>
        <w:t xml:space="preserve">è </w:t>
      </w:r>
      <w:r>
        <w:rPr>
          <w:rFonts w:ascii="Book Antiqua"/>
          <w:rtl w:val="0"/>
          <w:lang w:val="it-IT"/>
        </w:rPr>
        <w:t>un punto di vulnerabilit</w:t>
      </w:r>
      <w:r>
        <w:rPr>
          <w:rFonts w:hAnsi="Book Antiqua" w:hint="default"/>
          <w:rtl w:val="0"/>
          <w:lang w:val="it-IT"/>
        </w:rPr>
        <w:t xml:space="preserve">à </w:t>
      </w:r>
      <w:r>
        <w:rPr>
          <w:rFonts w:ascii="Book Antiqua"/>
          <w:rtl w:val="0"/>
          <w:lang w:val="it-IT"/>
        </w:rPr>
        <w:t>molto forte rispetto alla possibilit</w:t>
      </w:r>
      <w:r>
        <w:rPr>
          <w:rFonts w:hAnsi="Book Antiqua" w:hint="default"/>
          <w:rtl w:val="0"/>
          <w:lang w:val="it-IT"/>
        </w:rPr>
        <w:t xml:space="preserve">à </w:t>
      </w:r>
      <w:r>
        <w:rPr>
          <w:rFonts w:ascii="Book Antiqua"/>
          <w:rtl w:val="0"/>
          <w:lang w:val="it-IT"/>
        </w:rPr>
        <w:t>di garantire la messa in sicurezza igienica, sanitaria e, nella gestione di un comparto cos</w:t>
      </w:r>
      <w:r>
        <w:rPr>
          <w:rFonts w:hAnsi="Book Antiqua" w:hint="default"/>
          <w:rtl w:val="0"/>
          <w:lang w:val="it-IT"/>
        </w:rPr>
        <w:t xml:space="preserve">ì </w:t>
      </w:r>
      <w:r>
        <w:rPr>
          <w:rFonts w:ascii="Book Antiqua"/>
          <w:rtl w:val="0"/>
          <w:lang w:val="it-IT"/>
        </w:rPr>
        <w:t>importante come quello dei rifiuti, della Capitale del nostro Paese [</w:t>
      </w:r>
      <w:r>
        <w:rPr>
          <w:rFonts w:hAnsi="Book Antiqua" w:hint="default"/>
          <w:rtl w:val="0"/>
          <w:lang w:val="it-IT"/>
        </w:rPr>
        <w:t>…</w:t>
      </w:r>
      <w:r>
        <w:rPr>
          <w:rFonts w:ascii="Book Antiqua"/>
          <w:rtl w:val="0"/>
          <w:lang w:val="it-IT"/>
        </w:rPr>
        <w:t>] Le capitali europee garantiscono, mediamente, nel perimetro della citt</w:t>
      </w:r>
      <w:r>
        <w:rPr>
          <w:rFonts w:hAnsi="Book Antiqua" w:hint="default"/>
          <w:rtl w:val="0"/>
          <w:lang w:val="it-IT"/>
        </w:rPr>
        <w:t xml:space="preserve">à </w:t>
      </w:r>
      <w:r>
        <w:rPr>
          <w:rFonts w:ascii="Book Antiqua"/>
          <w:rtl w:val="0"/>
          <w:lang w:val="it-IT"/>
        </w:rPr>
        <w:t>metropolitana, tutto il ciclo integrato dei rifiuti, ovvero accoglimento, trattamento e smaltimento, al 98 per cento. La citt</w:t>
      </w:r>
      <w:r>
        <w:rPr>
          <w:rFonts w:hAnsi="Book Antiqua" w:hint="default"/>
          <w:rtl w:val="0"/>
          <w:lang w:val="it-IT"/>
        </w:rPr>
        <w:t xml:space="preserve">à </w:t>
      </w:r>
      <w:r>
        <w:rPr>
          <w:rFonts w:ascii="Book Antiqua"/>
          <w:rtl w:val="0"/>
          <w:lang w:val="it-IT"/>
        </w:rPr>
        <w:t xml:space="preserve">di Roma, invece, </w:t>
      </w:r>
      <w:r>
        <w:rPr>
          <w:rFonts w:hAnsi="Book Antiqua" w:hint="default"/>
          <w:rtl w:val="0"/>
          <w:lang w:val="it-IT"/>
        </w:rPr>
        <w:t xml:space="preserve">è </w:t>
      </w:r>
      <w:r>
        <w:rPr>
          <w:rFonts w:ascii="Book Antiqua"/>
          <w:rtl w:val="0"/>
          <w:lang w:val="it-IT"/>
        </w:rPr>
        <w:t>soltanto al 36 per cento. Per il restante 64 per cento dipende da 62 impianti, 10 regioni e 3 Paesi stranieri. Ecco: nel futuro della nostra Capitale dovremmo cominciare a evitare questo.</w:t>
      </w:r>
      <w:r>
        <w:rPr>
          <w:rFonts w:hAnsi="Book Antiqua" w:hint="default"/>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Al fine di comprendere le quantit</w:t>
      </w:r>
      <w:r>
        <w:rPr>
          <w:rFonts w:hAnsi="Book Antiqua" w:hint="default"/>
          <w:rtl w:val="0"/>
          <w:lang w:val="it-IT"/>
        </w:rPr>
        <w:t xml:space="preserve">à </w:t>
      </w:r>
      <w:r>
        <w:rPr>
          <w:rFonts w:ascii="Book Antiqua"/>
          <w:rtl w:val="0"/>
          <w:lang w:val="it-IT"/>
        </w:rPr>
        <w:t>in gioco, si riportano le tonnellate di rifiuti smaltiti presso la discarica di Malagrotta nei cinque anni precedenti alla chiusura</w:t>
      </w:r>
      <w:r>
        <w:rPr>
          <w:rFonts w:ascii="Book Antiqua" w:cs="Book Antiqua" w:hAnsi="Book Antiqua" w:eastAsia="Book Antiqua"/>
          <w:vertAlign w:val="superscript"/>
          <w:rtl w:val="0"/>
        </w:rPr>
        <w:footnoteReference w:id="16"/>
      </w:r>
      <w:r>
        <w:rPr>
          <w:rFonts w:ascii="Book Antiqua"/>
          <w:rtl w:val="0"/>
          <w:lang w:val="it-IT"/>
        </w:rPr>
        <w:t xml:space="preserve">  </w:t>
      </w:r>
    </w:p>
    <w:p>
      <w:pPr>
        <w:pStyle w:val="Normal"/>
        <w:jc w:val="both"/>
        <w:rPr>
          <w:rFonts w:ascii="Book Antiqua" w:cs="Book Antiqua" w:hAnsi="Book Antiqua" w:eastAsia="Book Antiqua"/>
        </w:rPr>
      </w:pPr>
    </w:p>
    <w:tbl>
      <w:tblPr>
        <w:tblW w:w="8647" w:type="dxa"/>
        <w:jc w:val="left"/>
        <w:tblInd w:w="783" w:type="dxa"/>
        <w:tblBorders>
          <w:top w:val="single" w:color="000000" w:sz="2" w:space="0" w:shadow="0" w:frame="0"/>
          <w:left w:val="single" w:color="000000" w:sz="2" w:space="0" w:shadow="0" w:frame="0"/>
          <w:bottom w:val="single" w:color="000000" w:sz="2" w:space="0" w:shadow="0" w:frame="0"/>
          <w:right w:val="single" w:color="000000" w:sz="2" w:space="0" w:shadow="0" w:frame="0"/>
          <w:insideH w:val="single" w:color="000000" w:sz="2" w:space="0" w:shadow="0" w:frame="0"/>
          <w:insideV w:val="single" w:color="000000" w:sz="2" w:space="0" w:shadow="0" w:frame="0"/>
        </w:tblBorders>
        <w:shd w:val="clear" w:color="auto" w:fill="auto"/>
        <w:tblLayout w:type="fixed"/>
      </w:tblPr>
      <w:tblGrid>
        <w:gridCol w:w="2335"/>
        <w:gridCol w:w="3344"/>
        <w:gridCol w:w="2968"/>
      </w:tblGrid>
      <w:tr>
        <w:tblPrEx>
          <w:shd w:val="clear" w:color="auto" w:fill="auto"/>
        </w:tblPrEx>
        <w:trPr>
          <w:trHeight w:val="790" w:hRule="atLeast"/>
        </w:trPr>
        <w:tc>
          <w:tcPr>
            <w:tcW w:type="dxa" w:w="233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
              <w:jc w:val="center"/>
            </w:pPr>
            <w:r>
              <w:rPr>
                <w:rFonts w:ascii="Book Antiqua"/>
                <w:caps w:val="0"/>
                <w:smallCaps w:val="0"/>
                <w:strike w:val="0"/>
                <w:dstrike w:val="0"/>
                <w:outline w:val="0"/>
                <w:color w:val="000000"/>
                <w:spacing w:val="0"/>
                <w:kern w:val="0"/>
                <w:position w:val="0"/>
                <w:sz w:val="22"/>
                <w:szCs w:val="22"/>
                <w:u w:val="none" w:color="000000"/>
                <w:vertAlign w:val="baseline"/>
                <w:rtl w:val="0"/>
                <w:lang w:val="it-IT"/>
              </w:rPr>
              <w:t>Anno</w:t>
            </w:r>
          </w:p>
        </w:tc>
        <w:tc>
          <w:tcPr>
            <w:tcW w:type="dxa" w:w="334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
              <w:jc w:val="center"/>
            </w:pPr>
            <w:r>
              <w:rPr>
                <w:rFonts w:ascii="Book Antiqua"/>
                <w:caps w:val="0"/>
                <w:smallCaps w:val="0"/>
                <w:strike w:val="0"/>
                <w:dstrike w:val="0"/>
                <w:outline w:val="0"/>
                <w:color w:val="000000"/>
                <w:spacing w:val="0"/>
                <w:kern w:val="0"/>
                <w:position w:val="0"/>
                <w:sz w:val="22"/>
                <w:szCs w:val="22"/>
                <w:u w:val="none" w:color="000000"/>
                <w:vertAlign w:val="baseline"/>
                <w:rtl w:val="0"/>
                <w:lang w:val="it-IT"/>
              </w:rPr>
              <w:t xml:space="preserve">Rifiuti c.d </w:t>
            </w:r>
            <w:r>
              <w:rPr>
                <w:rFonts w:ascii="Book Antiqua"/>
                <w:i w:val="1"/>
                <w:iCs w:val="1"/>
                <w:caps w:val="0"/>
                <w:smallCaps w:val="0"/>
                <w:strike w:val="0"/>
                <w:dstrike w:val="0"/>
                <w:outline w:val="0"/>
                <w:color w:val="000000"/>
                <w:spacing w:val="0"/>
                <w:kern w:val="0"/>
                <w:position w:val="0"/>
                <w:sz w:val="22"/>
                <w:szCs w:val="22"/>
                <w:u w:val="none" w:color="000000"/>
                <w:vertAlign w:val="baseline"/>
                <w:rtl w:val="0"/>
                <w:lang w:val="it-IT"/>
              </w:rPr>
              <w:t>tal quali</w:t>
            </w:r>
            <w:r>
              <w:rPr>
                <w:rFonts w:ascii="Book Antiqua"/>
                <w:caps w:val="0"/>
                <w:smallCaps w:val="0"/>
                <w:strike w:val="0"/>
                <w:dstrike w:val="0"/>
                <w:outline w:val="0"/>
                <w:color w:val="000000"/>
                <w:spacing w:val="0"/>
                <w:kern w:val="0"/>
                <w:position w:val="0"/>
                <w:sz w:val="22"/>
                <w:szCs w:val="22"/>
                <w:u w:val="none" w:color="000000"/>
                <w:vertAlign w:val="baseline"/>
                <w:rtl w:val="0"/>
                <w:lang w:val="it-IT"/>
              </w:rPr>
              <w:t xml:space="preserve"> smaltiti a Malagrotta (t)</w:t>
            </w:r>
          </w:p>
        </w:tc>
        <w:tc>
          <w:tcPr>
            <w:tcW w:type="dxa" w:w="296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
              <w:jc w:val="center"/>
            </w:pPr>
            <w:r>
              <w:rPr>
                <w:rFonts w:ascii="Book Antiqua"/>
                <w:caps w:val="0"/>
                <w:smallCaps w:val="0"/>
                <w:strike w:val="0"/>
                <w:dstrike w:val="0"/>
                <w:outline w:val="0"/>
                <w:color w:val="000000"/>
                <w:spacing w:val="0"/>
                <w:kern w:val="0"/>
                <w:position w:val="0"/>
                <w:sz w:val="22"/>
                <w:szCs w:val="22"/>
                <w:u w:val="none" w:color="000000"/>
                <w:vertAlign w:val="baseline"/>
                <w:rtl w:val="0"/>
                <w:lang w:val="it-IT"/>
              </w:rPr>
              <w:t>Rifiuti trattati in impianti Tmb per poi essere in parte smaltiti a Malagrotta (t)</w:t>
            </w:r>
          </w:p>
        </w:tc>
      </w:tr>
      <w:tr>
        <w:tblPrEx>
          <w:shd w:val="clear" w:color="auto" w:fill="auto"/>
        </w:tblPrEx>
        <w:trPr>
          <w:trHeight w:val="290" w:hRule="atLeast"/>
        </w:trPr>
        <w:tc>
          <w:tcPr>
            <w:tcW w:type="dxa" w:w="233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
              <w:jc w:val="center"/>
            </w:pPr>
            <w:r>
              <w:rPr>
                <w:rFonts w:ascii="Book Antiqua"/>
                <w:caps w:val="0"/>
                <w:smallCaps w:val="0"/>
                <w:strike w:val="0"/>
                <w:dstrike w:val="0"/>
                <w:outline w:val="0"/>
                <w:color w:val="000000"/>
                <w:spacing w:val="0"/>
                <w:kern w:val="0"/>
                <w:position w:val="0"/>
                <w:sz w:val="24"/>
                <w:szCs w:val="24"/>
                <w:u w:val="none" w:color="000000"/>
                <w:vertAlign w:val="baseline"/>
                <w:rtl w:val="0"/>
                <w:lang w:val="it-IT"/>
              </w:rPr>
              <w:t>2008</w:t>
            </w:r>
          </w:p>
        </w:tc>
        <w:tc>
          <w:tcPr>
            <w:tcW w:type="dxa" w:w="334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
              <w:jc w:val="center"/>
            </w:pPr>
            <w:r>
              <w:rPr>
                <w:rFonts w:ascii="Book Antiqua"/>
                <w:caps w:val="0"/>
                <w:smallCaps w:val="0"/>
                <w:strike w:val="0"/>
                <w:dstrike w:val="0"/>
                <w:outline w:val="0"/>
                <w:color w:val="000000"/>
                <w:spacing w:val="0"/>
                <w:kern w:val="0"/>
                <w:position w:val="0"/>
                <w:sz w:val="24"/>
                <w:szCs w:val="24"/>
                <w:u w:val="none" w:color="000000"/>
                <w:vertAlign w:val="baseline"/>
                <w:rtl w:val="0"/>
                <w:lang w:val="it-IT"/>
              </w:rPr>
              <w:t>1.221.129</w:t>
            </w:r>
          </w:p>
        </w:tc>
        <w:tc>
          <w:tcPr>
            <w:tcW w:type="dxa" w:w="296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
              <w:jc w:val="center"/>
            </w:pPr>
            <w:r>
              <w:rPr>
                <w:rFonts w:ascii="Book Antiqua"/>
                <w:caps w:val="0"/>
                <w:smallCaps w:val="0"/>
                <w:strike w:val="0"/>
                <w:dstrike w:val="0"/>
                <w:outline w:val="0"/>
                <w:color w:val="000000"/>
                <w:spacing w:val="0"/>
                <w:kern w:val="0"/>
                <w:position w:val="0"/>
                <w:sz w:val="24"/>
                <w:szCs w:val="24"/>
                <w:u w:val="none" w:color="000000"/>
                <w:vertAlign w:val="baseline"/>
                <w:rtl w:val="0"/>
                <w:lang w:val="it-IT"/>
              </w:rPr>
              <w:t>203.997</w:t>
            </w:r>
          </w:p>
        </w:tc>
      </w:tr>
      <w:tr>
        <w:tblPrEx>
          <w:shd w:val="clear" w:color="auto" w:fill="auto"/>
        </w:tblPrEx>
        <w:trPr>
          <w:trHeight w:val="290" w:hRule="atLeast"/>
        </w:trPr>
        <w:tc>
          <w:tcPr>
            <w:tcW w:type="dxa" w:w="233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
              <w:jc w:val="center"/>
            </w:pPr>
            <w:r>
              <w:rPr>
                <w:rFonts w:ascii="Book Antiqua"/>
                <w:caps w:val="0"/>
                <w:smallCaps w:val="0"/>
                <w:strike w:val="0"/>
                <w:dstrike w:val="0"/>
                <w:outline w:val="0"/>
                <w:color w:val="000000"/>
                <w:spacing w:val="0"/>
                <w:kern w:val="0"/>
                <w:position w:val="0"/>
                <w:sz w:val="24"/>
                <w:szCs w:val="24"/>
                <w:u w:val="none" w:color="000000"/>
                <w:vertAlign w:val="baseline"/>
                <w:rtl w:val="0"/>
                <w:lang w:val="it-IT"/>
              </w:rPr>
              <w:t>2009</w:t>
            </w:r>
          </w:p>
        </w:tc>
        <w:tc>
          <w:tcPr>
            <w:tcW w:type="dxa" w:w="334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
              <w:jc w:val="center"/>
            </w:pPr>
            <w:r>
              <w:rPr>
                <w:rFonts w:ascii="Book Antiqua"/>
                <w:caps w:val="0"/>
                <w:smallCaps w:val="0"/>
                <w:strike w:val="0"/>
                <w:dstrike w:val="0"/>
                <w:outline w:val="0"/>
                <w:color w:val="000000"/>
                <w:spacing w:val="0"/>
                <w:kern w:val="0"/>
                <w:position w:val="0"/>
                <w:sz w:val="24"/>
                <w:szCs w:val="24"/>
                <w:u w:val="none" w:color="000000"/>
                <w:vertAlign w:val="baseline"/>
                <w:rtl w:val="0"/>
                <w:lang w:val="it-IT"/>
              </w:rPr>
              <w:t>1.290.726</w:t>
            </w:r>
          </w:p>
        </w:tc>
        <w:tc>
          <w:tcPr>
            <w:tcW w:type="dxa" w:w="296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
              <w:jc w:val="center"/>
            </w:pPr>
            <w:r>
              <w:rPr>
                <w:rFonts w:ascii="Book Antiqua"/>
                <w:caps w:val="0"/>
                <w:smallCaps w:val="0"/>
                <w:strike w:val="0"/>
                <w:dstrike w:val="0"/>
                <w:outline w:val="0"/>
                <w:color w:val="000000"/>
                <w:spacing w:val="0"/>
                <w:kern w:val="0"/>
                <w:position w:val="0"/>
                <w:sz w:val="24"/>
                <w:szCs w:val="24"/>
                <w:u w:val="none" w:color="000000"/>
                <w:vertAlign w:val="baseline"/>
                <w:rtl w:val="0"/>
                <w:lang w:val="it-IT"/>
              </w:rPr>
              <w:t>129.471</w:t>
            </w:r>
          </w:p>
        </w:tc>
      </w:tr>
      <w:tr>
        <w:tblPrEx>
          <w:shd w:val="clear" w:color="auto" w:fill="auto"/>
        </w:tblPrEx>
        <w:trPr>
          <w:trHeight w:val="290" w:hRule="atLeast"/>
        </w:trPr>
        <w:tc>
          <w:tcPr>
            <w:tcW w:type="dxa" w:w="233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
              <w:jc w:val="center"/>
            </w:pPr>
            <w:r>
              <w:rPr>
                <w:rFonts w:ascii="Book Antiqua"/>
                <w:caps w:val="0"/>
                <w:smallCaps w:val="0"/>
                <w:strike w:val="0"/>
                <w:dstrike w:val="0"/>
                <w:outline w:val="0"/>
                <w:color w:val="000000"/>
                <w:spacing w:val="0"/>
                <w:kern w:val="0"/>
                <w:position w:val="0"/>
                <w:sz w:val="24"/>
                <w:szCs w:val="24"/>
                <w:u w:val="none" w:color="000000"/>
                <w:vertAlign w:val="baseline"/>
                <w:rtl w:val="0"/>
                <w:lang w:val="it-IT"/>
              </w:rPr>
              <w:t>2010</w:t>
            </w:r>
          </w:p>
        </w:tc>
        <w:tc>
          <w:tcPr>
            <w:tcW w:type="dxa" w:w="334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
              <w:jc w:val="center"/>
            </w:pPr>
            <w:r>
              <w:rPr>
                <w:rFonts w:ascii="Book Antiqua"/>
                <w:caps w:val="0"/>
                <w:smallCaps w:val="0"/>
                <w:strike w:val="0"/>
                <w:dstrike w:val="0"/>
                <w:outline w:val="0"/>
                <w:color w:val="000000"/>
                <w:spacing w:val="0"/>
                <w:kern w:val="0"/>
                <w:position w:val="0"/>
                <w:sz w:val="24"/>
                <w:szCs w:val="24"/>
                <w:u w:val="none" w:color="000000"/>
                <w:vertAlign w:val="baseline"/>
                <w:rtl w:val="0"/>
                <w:lang w:val="it-IT"/>
              </w:rPr>
              <w:t>1.131.984</w:t>
            </w:r>
          </w:p>
        </w:tc>
        <w:tc>
          <w:tcPr>
            <w:tcW w:type="dxa" w:w="296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
              <w:jc w:val="center"/>
            </w:pPr>
            <w:r>
              <w:rPr>
                <w:rFonts w:ascii="Book Antiqua"/>
                <w:caps w:val="0"/>
                <w:smallCaps w:val="0"/>
                <w:strike w:val="0"/>
                <w:dstrike w:val="0"/>
                <w:outline w:val="0"/>
                <w:color w:val="000000"/>
                <w:spacing w:val="0"/>
                <w:kern w:val="0"/>
                <w:position w:val="0"/>
                <w:sz w:val="24"/>
                <w:szCs w:val="24"/>
                <w:u w:val="none" w:color="000000"/>
                <w:vertAlign w:val="baseline"/>
                <w:rtl w:val="0"/>
                <w:lang w:val="it-IT"/>
              </w:rPr>
              <w:t>298.696</w:t>
            </w:r>
          </w:p>
        </w:tc>
      </w:tr>
      <w:tr>
        <w:tblPrEx>
          <w:shd w:val="clear" w:color="auto" w:fill="auto"/>
        </w:tblPrEx>
        <w:trPr>
          <w:trHeight w:val="290" w:hRule="atLeast"/>
        </w:trPr>
        <w:tc>
          <w:tcPr>
            <w:tcW w:type="dxa" w:w="233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647"/>
            </w:tcMar>
            <w:vAlign w:val="top"/>
          </w:tcPr>
          <w:p>
            <w:pPr>
              <w:pStyle w:val="Normal"/>
              <w:ind w:left="567" w:right="567"/>
              <w:jc w:val="center"/>
            </w:pPr>
            <w:r>
              <w:rPr>
                <w:rFonts w:ascii="Book Antiqua"/>
                <w:caps w:val="0"/>
                <w:smallCaps w:val="0"/>
                <w:strike w:val="0"/>
                <w:dstrike w:val="0"/>
                <w:outline w:val="0"/>
                <w:color w:val="000000"/>
                <w:spacing w:val="0"/>
                <w:kern w:val="0"/>
                <w:position w:val="0"/>
                <w:sz w:val="24"/>
                <w:szCs w:val="24"/>
                <w:u w:val="none" w:color="000000"/>
                <w:vertAlign w:val="baseline"/>
                <w:rtl w:val="0"/>
                <w:lang w:val="it-IT"/>
              </w:rPr>
              <w:t>2011</w:t>
            </w:r>
          </w:p>
        </w:tc>
        <w:tc>
          <w:tcPr>
            <w:tcW w:type="dxa" w:w="334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647"/>
            </w:tcMar>
            <w:vAlign w:val="top"/>
          </w:tcPr>
          <w:p>
            <w:pPr>
              <w:pStyle w:val="Normal"/>
              <w:ind w:left="567" w:right="567"/>
              <w:jc w:val="center"/>
            </w:pPr>
            <w:r>
              <w:rPr>
                <w:rFonts w:ascii="Book Antiqua"/>
                <w:caps w:val="0"/>
                <w:smallCaps w:val="0"/>
                <w:strike w:val="0"/>
                <w:dstrike w:val="0"/>
                <w:outline w:val="0"/>
                <w:color w:val="000000"/>
                <w:spacing w:val="0"/>
                <w:kern w:val="0"/>
                <w:position w:val="0"/>
                <w:sz w:val="24"/>
                <w:szCs w:val="24"/>
                <w:u w:val="none" w:color="000000"/>
                <w:vertAlign w:val="baseline"/>
                <w:rtl w:val="0"/>
                <w:lang w:val="it-IT"/>
              </w:rPr>
              <w:t>965.875</w:t>
            </w:r>
          </w:p>
        </w:tc>
        <w:tc>
          <w:tcPr>
            <w:tcW w:type="dxa" w:w="296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647"/>
            </w:tcMar>
            <w:vAlign w:val="top"/>
          </w:tcPr>
          <w:p>
            <w:pPr>
              <w:pStyle w:val="Normal"/>
              <w:ind w:left="567" w:right="567"/>
              <w:jc w:val="center"/>
            </w:pPr>
            <w:r>
              <w:rPr>
                <w:rFonts w:ascii="Book Antiqua"/>
                <w:caps w:val="0"/>
                <w:smallCaps w:val="0"/>
                <w:strike w:val="0"/>
                <w:dstrike w:val="0"/>
                <w:outline w:val="0"/>
                <w:color w:val="000000"/>
                <w:spacing w:val="0"/>
                <w:kern w:val="0"/>
                <w:position w:val="0"/>
                <w:sz w:val="24"/>
                <w:szCs w:val="24"/>
                <w:u w:val="none" w:color="000000"/>
                <w:vertAlign w:val="baseline"/>
                <w:rtl w:val="0"/>
                <w:lang w:val="it-IT"/>
              </w:rPr>
              <w:t>388.405</w:t>
            </w:r>
          </w:p>
        </w:tc>
      </w:tr>
      <w:tr>
        <w:tblPrEx>
          <w:shd w:val="clear" w:color="auto" w:fill="auto"/>
        </w:tblPrEx>
        <w:trPr>
          <w:trHeight w:val="290" w:hRule="atLeast"/>
        </w:trPr>
        <w:tc>
          <w:tcPr>
            <w:tcW w:type="dxa" w:w="233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647"/>
            </w:tcMar>
            <w:vAlign w:val="top"/>
          </w:tcPr>
          <w:p>
            <w:pPr>
              <w:pStyle w:val="Normal"/>
              <w:ind w:left="567" w:right="567"/>
              <w:jc w:val="center"/>
            </w:pPr>
            <w:r>
              <w:rPr>
                <w:rFonts w:ascii="Book Antiqua"/>
                <w:caps w:val="0"/>
                <w:smallCaps w:val="0"/>
                <w:strike w:val="0"/>
                <w:dstrike w:val="0"/>
                <w:outline w:val="0"/>
                <w:color w:val="000000"/>
                <w:spacing w:val="0"/>
                <w:kern w:val="0"/>
                <w:position w:val="0"/>
                <w:sz w:val="24"/>
                <w:szCs w:val="24"/>
                <w:u w:val="none" w:color="000000"/>
                <w:vertAlign w:val="baseline"/>
                <w:rtl w:val="0"/>
                <w:lang w:val="it-IT"/>
              </w:rPr>
              <w:t>2012</w:t>
            </w:r>
          </w:p>
        </w:tc>
        <w:tc>
          <w:tcPr>
            <w:tcW w:type="dxa" w:w="334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647"/>
            </w:tcMar>
            <w:vAlign w:val="top"/>
          </w:tcPr>
          <w:p>
            <w:pPr>
              <w:pStyle w:val="Normal"/>
              <w:ind w:left="567" w:right="567"/>
              <w:jc w:val="center"/>
            </w:pPr>
            <w:r>
              <w:rPr>
                <w:rFonts w:ascii="Book Antiqua"/>
                <w:caps w:val="0"/>
                <w:smallCaps w:val="0"/>
                <w:strike w:val="0"/>
                <w:dstrike w:val="0"/>
                <w:outline w:val="0"/>
                <w:color w:val="000000"/>
                <w:spacing w:val="0"/>
                <w:kern w:val="0"/>
                <w:position w:val="0"/>
                <w:sz w:val="24"/>
                <w:szCs w:val="24"/>
                <w:u w:val="none" w:color="000000"/>
                <w:vertAlign w:val="baseline"/>
                <w:rtl w:val="0"/>
                <w:lang w:val="it-IT"/>
              </w:rPr>
              <w:t>786.077</w:t>
            </w:r>
          </w:p>
        </w:tc>
        <w:tc>
          <w:tcPr>
            <w:tcW w:type="dxa" w:w="296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647"/>
            </w:tcMar>
            <w:vAlign w:val="top"/>
          </w:tcPr>
          <w:p>
            <w:pPr>
              <w:pStyle w:val="Normal"/>
              <w:ind w:left="567" w:right="567"/>
              <w:jc w:val="center"/>
            </w:pPr>
            <w:r>
              <w:rPr>
                <w:rFonts w:ascii="Book Antiqua"/>
                <w:caps w:val="0"/>
                <w:smallCaps w:val="0"/>
                <w:strike w:val="0"/>
                <w:dstrike w:val="0"/>
                <w:outline w:val="0"/>
                <w:color w:val="000000"/>
                <w:spacing w:val="0"/>
                <w:kern w:val="0"/>
                <w:position w:val="0"/>
                <w:sz w:val="24"/>
                <w:szCs w:val="24"/>
                <w:u w:val="none" w:color="000000"/>
                <w:vertAlign w:val="baseline"/>
                <w:rtl w:val="0"/>
                <w:lang w:val="it-IT"/>
              </w:rPr>
              <w:t>517.471</w:t>
            </w:r>
          </w:p>
        </w:tc>
      </w:tr>
    </w:tbl>
    <w:p>
      <w:pPr>
        <w:pStyle w:val="Normal"/>
        <w:ind w:left="675" w:hanging="675"/>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sz w:val="20"/>
          <w:szCs w:val="20"/>
        </w:rPr>
      </w:pPr>
      <w:r>
        <w:rPr>
          <w:rFonts w:ascii="Book Antiqua"/>
          <w:sz w:val="20"/>
          <w:szCs w:val="20"/>
          <w:rtl w:val="0"/>
          <w:lang w:val="it-IT"/>
        </w:rPr>
        <w:t>Fonte: AMA</w:t>
      </w: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rPr>
      </w:pPr>
      <w:r>
        <w:rPr>
          <w:rFonts w:ascii="Book Antiqua"/>
          <w:rtl w:val="0"/>
          <w:lang w:val="it-IT"/>
        </w:rPr>
        <w:t xml:space="preserve">Altrettanto significativo </w:t>
      </w:r>
      <w:r>
        <w:rPr>
          <w:rFonts w:hAnsi="Book Antiqua" w:hint="default"/>
          <w:rtl w:val="0"/>
          <w:lang w:val="it-IT"/>
        </w:rPr>
        <w:t xml:space="preserve">è </w:t>
      </w:r>
      <w:r>
        <w:rPr>
          <w:rFonts w:ascii="Book Antiqua"/>
          <w:rtl w:val="0"/>
          <w:lang w:val="it-IT"/>
        </w:rPr>
        <w:t>il dato del 2013, anno in cui, al 30 settembre, sono cessati i conferimenti</w:t>
      </w:r>
    </w:p>
    <w:p>
      <w:pPr>
        <w:pStyle w:val="Normal"/>
        <w:ind w:left="567" w:right="567" w:firstLine="0"/>
        <w:jc w:val="both"/>
        <w:rPr>
          <w:rFonts w:ascii="Book Antiqua Bold" w:cs="Book Antiqua Bold" w:hAnsi="Book Antiqua Bold" w:eastAsia="Book Antiqua Bold"/>
          <w:b w:val="1"/>
          <w:bCs w:val="1"/>
          <w:i w:val="1"/>
          <w:iCs w:val="1"/>
        </w:rPr>
      </w:pPr>
    </w:p>
    <w:tbl>
      <w:tblPr>
        <w:tblW w:w="9492" w:type="dxa"/>
        <w:jc w:val="left"/>
        <w:tblInd w:w="745" w:type="dxa"/>
        <w:tblBorders>
          <w:top w:val="single" w:color="000000" w:sz="2" w:space="0" w:shadow="0" w:frame="0"/>
          <w:left w:val="single" w:color="000000" w:sz="2" w:space="0" w:shadow="0" w:frame="0"/>
          <w:bottom w:val="single" w:color="000000" w:sz="2" w:space="0" w:shadow="0" w:frame="0"/>
          <w:right w:val="single" w:color="000000" w:sz="2" w:space="0" w:shadow="0" w:frame="0"/>
          <w:insideH w:val="single" w:color="000000" w:sz="2" w:space="0" w:shadow="0" w:frame="0"/>
          <w:insideV w:val="single" w:color="000000" w:sz="2" w:space="0" w:shadow="0" w:frame="0"/>
        </w:tblBorders>
        <w:shd w:val="clear" w:color="auto" w:fill="auto"/>
        <w:tblLayout w:type="fixed"/>
      </w:tblPr>
      <w:tblGrid>
        <w:gridCol w:w="2531"/>
        <w:gridCol w:w="2214"/>
        <w:gridCol w:w="2373"/>
        <w:gridCol w:w="2374"/>
      </w:tblGrid>
      <w:tr>
        <w:tblPrEx>
          <w:shd w:val="clear" w:color="auto" w:fill="auto"/>
        </w:tblPrEx>
        <w:trPr>
          <w:trHeight w:val="260" w:hRule="atLeast"/>
        </w:trPr>
        <w:tc>
          <w:tcPr>
            <w:tcW w:type="dxa" w:w="2531"/>
            <w:vMerge w:val="restart"/>
            <w:tcBorders>
              <w:top w:val="single" w:color="000000" w:sz="8" w:space="0" w:shadow="0" w:frame="0"/>
              <w:left w:val="nil"/>
              <w:bottom w:val="single" w:color="000000" w:sz="8" w:space="0" w:shadow="0" w:frame="0"/>
              <w:right w:val="single" w:color="000000" w:sz="8" w:space="0" w:shadow="0" w:frame="0"/>
            </w:tcBorders>
            <w:shd w:val="clear" w:color="auto" w:fill="ffffff"/>
            <w:tcMar>
              <w:top w:type="dxa" w:w="80"/>
              <w:left w:type="dxa" w:w="80"/>
              <w:bottom w:type="dxa" w:w="80"/>
              <w:right w:type="dxa" w:w="647"/>
            </w:tcMar>
            <w:vAlign w:val="bottom"/>
          </w:tcPr>
          <w:p>
            <w:pPr>
              <w:pStyle w:val="Normal"/>
              <w:ind w:left="567" w:right="567"/>
              <w:jc w:val="center"/>
            </w:pPr>
            <w:r>
              <w:rPr>
                <w:rFonts w:ascii="Times New Roman Bold"/>
                <w:caps w:val="0"/>
                <w:smallCaps w:val="0"/>
                <w:strike w:val="0"/>
                <w:dstrike w:val="0"/>
                <w:outline w:val="0"/>
                <w:color w:val="000000"/>
                <w:spacing w:val="0"/>
                <w:kern w:val="0"/>
                <w:position w:val="0"/>
                <w:sz w:val="20"/>
                <w:szCs w:val="20"/>
                <w:u w:val="none" w:color="000000"/>
                <w:vertAlign w:val="baseline"/>
                <w:rtl w:val="0"/>
                <w:lang w:val="it-IT"/>
              </w:rPr>
              <w:t>Ragione Sociale</w:t>
            </w:r>
          </w:p>
        </w:tc>
        <w:tc>
          <w:tcPr>
            <w:tcW w:type="dxa" w:w="6960"/>
            <w:gridSpan w:val="3"/>
            <w:tcBorders>
              <w:top w:val="single" w:color="000000" w:sz="8" w:space="0" w:shadow="0" w:frame="0"/>
              <w:left w:val="single" w:color="000000" w:sz="8" w:space="0" w:shadow="0" w:frame="0"/>
              <w:bottom w:val="single" w:color="000000" w:sz="8" w:space="0" w:shadow="0" w:frame="0"/>
              <w:right w:val="single" w:color="000000" w:sz="8" w:space="0" w:shadow="0" w:frame="0"/>
            </w:tcBorders>
            <w:shd w:val="clear" w:color="auto" w:fill="ffffff"/>
            <w:tcMar>
              <w:top w:type="dxa" w:w="80"/>
              <w:left w:type="dxa" w:w="80"/>
              <w:bottom w:type="dxa" w:w="80"/>
              <w:right w:type="dxa" w:w="647"/>
            </w:tcMar>
            <w:vAlign w:val="bottom"/>
          </w:tcPr>
          <w:p>
            <w:pPr>
              <w:pStyle w:val="Normal"/>
              <w:ind w:left="567" w:right="567"/>
              <w:jc w:val="center"/>
            </w:pPr>
            <w:r>
              <w:rPr>
                <w:rFonts w:ascii="Times New Roman Bold"/>
                <w:caps w:val="0"/>
                <w:smallCaps w:val="0"/>
                <w:strike w:val="0"/>
                <w:dstrike w:val="0"/>
                <w:outline w:val="0"/>
                <w:color w:val="000000"/>
                <w:spacing w:val="0"/>
                <w:kern w:val="0"/>
                <w:position w:val="0"/>
                <w:sz w:val="20"/>
                <w:szCs w:val="20"/>
                <w:u w:val="none" w:color="000000"/>
                <w:vertAlign w:val="baseline"/>
                <w:rtl w:val="0"/>
                <w:lang w:val="it-IT"/>
              </w:rPr>
              <w:t>R.U. smaltiti (t/a)</w:t>
            </w:r>
          </w:p>
        </w:tc>
      </w:tr>
      <w:tr>
        <w:tblPrEx>
          <w:shd w:val="clear" w:color="auto" w:fill="auto"/>
        </w:tblPrEx>
        <w:trPr>
          <w:trHeight w:val="452" w:hRule="atLeast"/>
        </w:trPr>
        <w:tc>
          <w:tcPr>
            <w:tcW w:type="dxa" w:w="2531"/>
            <w:vMerge w:val="continue"/>
            <w:tcBorders>
              <w:top w:val="single" w:color="000000" w:sz="8" w:space="0" w:shadow="0" w:frame="0"/>
              <w:left w:val="nil"/>
              <w:bottom w:val="single" w:color="000000" w:sz="8" w:space="0" w:shadow="0" w:frame="0"/>
              <w:right w:val="single" w:color="000000" w:sz="8" w:space="0" w:shadow="0" w:frame="0"/>
            </w:tcBorders>
            <w:shd w:val="clear" w:color="auto" w:fill="ffffff"/>
          </w:tcPr>
          <w:p/>
        </w:tc>
        <w:tc>
          <w:tcPr>
            <w:tcW w:type="dxa" w:w="2214"/>
            <w:tcBorders>
              <w:top w:val="single" w:color="000000" w:sz="8" w:space="0" w:shadow="0" w:frame="0"/>
              <w:left w:val="single" w:color="000000" w:sz="8" w:space="0" w:shadow="0" w:frame="0"/>
              <w:bottom w:val="single" w:color="000000" w:sz="8" w:space="0" w:shadow="0" w:frame="0"/>
              <w:right w:val="single" w:color="000000" w:sz="8" w:space="0" w:shadow="0" w:frame="0"/>
            </w:tcBorders>
            <w:shd w:val="clear" w:color="auto" w:fill="ffffff"/>
            <w:tcMar>
              <w:top w:type="dxa" w:w="80"/>
              <w:left w:type="dxa" w:w="80"/>
              <w:bottom w:type="dxa" w:w="80"/>
              <w:right w:type="dxa" w:w="647"/>
            </w:tcMar>
            <w:vAlign w:val="bottom"/>
          </w:tcPr>
          <w:p>
            <w:pPr>
              <w:pStyle w:val="Normal"/>
              <w:ind w:left="567" w:right="567"/>
              <w:jc w:val="center"/>
            </w:pPr>
            <w:r>
              <w:rPr>
                <w:rFonts w:ascii="Times New Roman Bold"/>
                <w:caps w:val="0"/>
                <w:smallCaps w:val="0"/>
                <w:strike w:val="0"/>
                <w:dstrike w:val="0"/>
                <w:outline w:val="0"/>
                <w:color w:val="000000"/>
                <w:spacing w:val="0"/>
                <w:kern w:val="0"/>
                <w:position w:val="0"/>
                <w:sz w:val="20"/>
                <w:szCs w:val="20"/>
                <w:u w:val="none" w:color="000000"/>
                <w:vertAlign w:val="baseline"/>
                <w:rtl w:val="0"/>
                <w:lang w:val="it-IT"/>
              </w:rPr>
              <w:t>Totale</w:t>
            </w:r>
          </w:p>
        </w:tc>
        <w:tc>
          <w:tcPr>
            <w:tcW w:type="dxa" w:w="2372"/>
            <w:tcBorders>
              <w:top w:val="single" w:color="000000" w:sz="8" w:space="0" w:shadow="0" w:frame="0"/>
              <w:left w:val="single" w:color="000000" w:sz="8" w:space="0" w:shadow="0" w:frame="0"/>
              <w:bottom w:val="single" w:color="000000" w:sz="8" w:space="0" w:shadow="0" w:frame="0"/>
              <w:right w:val="single" w:color="000000" w:sz="8" w:space="0" w:shadow="0" w:frame="0"/>
            </w:tcBorders>
            <w:shd w:val="clear" w:color="auto" w:fill="ffffff"/>
            <w:tcMar>
              <w:top w:type="dxa" w:w="80"/>
              <w:left w:type="dxa" w:w="80"/>
              <w:bottom w:type="dxa" w:w="80"/>
              <w:right w:type="dxa" w:w="647"/>
            </w:tcMar>
            <w:vAlign w:val="bottom"/>
          </w:tcPr>
          <w:p>
            <w:pPr>
              <w:pStyle w:val="Normal"/>
              <w:ind w:left="567" w:right="567"/>
              <w:jc w:val="center"/>
            </w:pPr>
            <w:r>
              <w:rPr>
                <w:caps w:val="0"/>
                <w:smallCaps w:val="0"/>
                <w:strike w:val="0"/>
                <w:dstrike w:val="0"/>
                <w:outline w:val="0"/>
                <w:color w:val="000000"/>
                <w:spacing w:val="0"/>
                <w:kern w:val="0"/>
                <w:position w:val="0"/>
                <w:sz w:val="20"/>
                <w:szCs w:val="20"/>
                <w:u w:val="none" w:color="000000"/>
                <w:vertAlign w:val="baseline"/>
                <w:rtl w:val="0"/>
                <w:lang w:val="it-IT"/>
              </w:rPr>
              <w:t>Tal quale</w:t>
            </w:r>
          </w:p>
        </w:tc>
        <w:tc>
          <w:tcPr>
            <w:tcW w:type="dxa" w:w="2373"/>
            <w:tcBorders>
              <w:top w:val="single" w:color="000000" w:sz="8" w:space="0" w:shadow="0" w:frame="0"/>
              <w:left w:val="single" w:color="000000" w:sz="8" w:space="0" w:shadow="0" w:frame="0"/>
              <w:bottom w:val="single" w:color="000000" w:sz="8" w:space="0" w:shadow="0" w:frame="0"/>
              <w:right w:val="single" w:color="000000" w:sz="8" w:space="0" w:shadow="0" w:frame="0"/>
            </w:tcBorders>
            <w:shd w:val="clear" w:color="auto" w:fill="ffffff"/>
            <w:tcMar>
              <w:top w:type="dxa" w:w="80"/>
              <w:left w:type="dxa" w:w="80"/>
              <w:bottom w:type="dxa" w:w="80"/>
              <w:right w:type="dxa" w:w="647"/>
            </w:tcMar>
            <w:vAlign w:val="bottom"/>
          </w:tcPr>
          <w:p>
            <w:pPr>
              <w:pStyle w:val="Normal"/>
              <w:ind w:left="567" w:right="567"/>
              <w:jc w:val="center"/>
            </w:pPr>
            <w:r>
              <w:rPr>
                <w:caps w:val="0"/>
                <w:smallCaps w:val="0"/>
                <w:strike w:val="0"/>
                <w:dstrike w:val="0"/>
                <w:outline w:val="0"/>
                <w:color w:val="000000"/>
                <w:spacing w:val="0"/>
                <w:kern w:val="0"/>
                <w:position w:val="0"/>
                <w:sz w:val="20"/>
                <w:szCs w:val="20"/>
                <w:u w:val="none" w:color="000000"/>
                <w:vertAlign w:val="baseline"/>
                <w:rtl w:val="0"/>
                <w:lang w:val="it-IT"/>
              </w:rPr>
              <w:t>Pretrattato</w:t>
            </w:r>
          </w:p>
        </w:tc>
      </w:tr>
      <w:tr>
        <w:tblPrEx>
          <w:shd w:val="clear" w:color="auto" w:fill="auto"/>
        </w:tblPrEx>
        <w:trPr>
          <w:trHeight w:val="452" w:hRule="atLeast"/>
        </w:trPr>
        <w:tc>
          <w:tcPr>
            <w:tcW w:type="dxa" w:w="2531"/>
            <w:tcBorders>
              <w:top w:val="single" w:color="000000" w:sz="8" w:space="0" w:shadow="0" w:frame="0"/>
              <w:left w:val="nil"/>
              <w:bottom w:val="single" w:color="000000" w:sz="8" w:space="0" w:shadow="0" w:frame="0"/>
              <w:right w:val="single" w:color="000000" w:sz="8" w:space="0" w:shadow="0" w:frame="0"/>
            </w:tcBorders>
            <w:shd w:val="clear" w:color="auto" w:fill="ffffff"/>
            <w:tcMar>
              <w:top w:type="dxa" w:w="80"/>
              <w:left w:type="dxa" w:w="80"/>
              <w:bottom w:type="dxa" w:w="80"/>
              <w:right w:type="dxa" w:w="647"/>
            </w:tcMar>
            <w:vAlign w:val="bottom"/>
          </w:tcPr>
          <w:p>
            <w:pPr>
              <w:pStyle w:val="Normal"/>
              <w:ind w:left="567" w:right="567"/>
            </w:pPr>
            <w:r>
              <w:rPr>
                <w:caps w:val="0"/>
                <w:smallCaps w:val="0"/>
                <w:strike w:val="0"/>
                <w:dstrike w:val="0"/>
                <w:outline w:val="0"/>
                <w:color w:val="000000"/>
                <w:spacing w:val="0"/>
                <w:kern w:val="0"/>
                <w:position w:val="0"/>
                <w:sz w:val="20"/>
                <w:szCs w:val="20"/>
                <w:u w:val="none" w:color="000000"/>
                <w:vertAlign w:val="baseline"/>
                <w:rtl w:val="0"/>
                <w:lang w:val="it-IT"/>
              </w:rPr>
              <w:t>E.Giovi S.r.l.</w:t>
            </w:r>
          </w:p>
        </w:tc>
        <w:tc>
          <w:tcPr>
            <w:tcW w:type="dxa" w:w="2214"/>
            <w:tcBorders>
              <w:top w:val="single" w:color="000000" w:sz="8" w:space="0" w:shadow="0" w:frame="0"/>
              <w:left w:val="single" w:color="000000" w:sz="8" w:space="0" w:shadow="0" w:frame="0"/>
              <w:bottom w:val="single" w:color="000000" w:sz="8" w:space="0" w:shadow="0" w:frame="0"/>
              <w:right w:val="single" w:color="000000" w:sz="8" w:space="0" w:shadow="0" w:frame="0"/>
            </w:tcBorders>
            <w:shd w:val="clear" w:color="auto" w:fill="ffffff"/>
            <w:tcMar>
              <w:top w:type="dxa" w:w="80"/>
              <w:left w:type="dxa" w:w="80"/>
              <w:bottom w:type="dxa" w:w="80"/>
              <w:right w:type="dxa" w:w="647"/>
            </w:tcMar>
            <w:vAlign w:val="bottom"/>
          </w:tcPr>
          <w:p>
            <w:pPr>
              <w:pStyle w:val="Normal"/>
              <w:ind w:left="567" w:right="567"/>
              <w:jc w:val="right"/>
            </w:pPr>
            <w:r>
              <w:rPr>
                <w:caps w:val="0"/>
                <w:smallCaps w:val="0"/>
                <w:strike w:val="0"/>
                <w:dstrike w:val="0"/>
                <w:outline w:val="0"/>
                <w:color w:val="000000"/>
                <w:spacing w:val="0"/>
                <w:kern w:val="0"/>
                <w:position w:val="0"/>
                <w:sz w:val="20"/>
                <w:szCs w:val="20"/>
                <w:u w:val="none" w:color="000000"/>
                <w:vertAlign w:val="baseline"/>
                <w:rtl w:val="0"/>
                <w:lang w:val="it-IT"/>
              </w:rPr>
              <w:t>563.068</w:t>
            </w:r>
          </w:p>
        </w:tc>
        <w:tc>
          <w:tcPr>
            <w:tcW w:type="dxa" w:w="2372"/>
            <w:tcBorders>
              <w:top w:val="single" w:color="000000" w:sz="8" w:space="0" w:shadow="0" w:frame="0"/>
              <w:left w:val="single" w:color="000000" w:sz="8" w:space="0" w:shadow="0" w:frame="0"/>
              <w:bottom w:val="single" w:color="000000" w:sz="8" w:space="0" w:shadow="0" w:frame="0"/>
              <w:right w:val="single" w:color="000000" w:sz="8" w:space="0" w:shadow="0" w:frame="0"/>
            </w:tcBorders>
            <w:shd w:val="clear" w:color="auto" w:fill="ffffff"/>
            <w:tcMar>
              <w:top w:type="dxa" w:w="80"/>
              <w:left w:type="dxa" w:w="80"/>
              <w:bottom w:type="dxa" w:w="80"/>
              <w:right w:type="dxa" w:w="647"/>
            </w:tcMar>
            <w:vAlign w:val="bottom"/>
          </w:tcPr>
          <w:p>
            <w:pPr>
              <w:pStyle w:val="Normal"/>
              <w:ind w:left="567" w:right="567"/>
              <w:jc w:val="right"/>
            </w:pPr>
            <w:r>
              <w:rPr>
                <w:caps w:val="0"/>
                <w:smallCaps w:val="0"/>
                <w:strike w:val="0"/>
                <w:dstrike w:val="0"/>
                <w:outline w:val="0"/>
                <w:color w:val="000000"/>
                <w:spacing w:val="0"/>
                <w:kern w:val="0"/>
                <w:position w:val="0"/>
                <w:sz w:val="20"/>
                <w:szCs w:val="20"/>
                <w:u w:val="none" w:color="000000"/>
                <w:vertAlign w:val="baseline"/>
                <w:rtl w:val="0"/>
                <w:lang w:val="it-IT"/>
              </w:rPr>
              <w:t>103.571</w:t>
            </w:r>
          </w:p>
        </w:tc>
        <w:tc>
          <w:tcPr>
            <w:tcW w:type="dxa" w:w="2373"/>
            <w:tcBorders>
              <w:top w:val="single" w:color="000000" w:sz="8" w:space="0" w:shadow="0" w:frame="0"/>
              <w:left w:val="single" w:color="000000" w:sz="8" w:space="0" w:shadow="0" w:frame="0"/>
              <w:bottom w:val="single" w:color="000000" w:sz="8" w:space="0" w:shadow="0" w:frame="0"/>
              <w:right w:val="single" w:color="000000" w:sz="8" w:space="0" w:shadow="0" w:frame="0"/>
            </w:tcBorders>
            <w:shd w:val="clear" w:color="auto" w:fill="ffffff"/>
            <w:tcMar>
              <w:top w:type="dxa" w:w="80"/>
              <w:left w:type="dxa" w:w="80"/>
              <w:bottom w:type="dxa" w:w="80"/>
              <w:right w:type="dxa" w:w="647"/>
            </w:tcMar>
            <w:vAlign w:val="bottom"/>
          </w:tcPr>
          <w:p>
            <w:pPr>
              <w:pStyle w:val="Normal"/>
              <w:ind w:left="567" w:right="567"/>
              <w:jc w:val="right"/>
            </w:pPr>
            <w:r>
              <w:rPr>
                <w:caps w:val="0"/>
                <w:smallCaps w:val="0"/>
                <w:strike w:val="0"/>
                <w:dstrike w:val="0"/>
                <w:outline w:val="0"/>
                <w:color w:val="000000"/>
                <w:spacing w:val="0"/>
                <w:kern w:val="0"/>
                <w:position w:val="0"/>
                <w:sz w:val="20"/>
                <w:szCs w:val="20"/>
                <w:u w:val="none" w:color="000000"/>
                <w:vertAlign w:val="baseline"/>
                <w:rtl w:val="0"/>
                <w:lang w:val="it-IT"/>
              </w:rPr>
              <w:t>459.497</w:t>
            </w:r>
          </w:p>
        </w:tc>
      </w:tr>
    </w:tbl>
    <w:p>
      <w:pPr>
        <w:pStyle w:val="Normal"/>
        <w:ind w:left="637" w:right="567" w:hanging="70"/>
        <w:jc w:val="both"/>
        <w:rPr>
          <w:rFonts w:ascii="Book Antiqua Bold" w:cs="Book Antiqua Bold" w:hAnsi="Book Antiqua Bold" w:eastAsia="Book Antiqua Bold"/>
          <w:b w:val="1"/>
          <w:bCs w:val="1"/>
          <w:i w:val="1"/>
          <w:iCs w:val="1"/>
        </w:rPr>
      </w:pPr>
    </w:p>
    <w:p>
      <w:pPr>
        <w:pStyle w:val="Normal"/>
        <w:ind w:left="567" w:right="567" w:firstLine="0"/>
        <w:jc w:val="both"/>
        <w:rPr>
          <w:rFonts w:ascii="Book Antiqua" w:cs="Book Antiqua" w:hAnsi="Book Antiqua" w:eastAsia="Book Antiqua"/>
          <w:sz w:val="20"/>
          <w:szCs w:val="20"/>
        </w:rPr>
      </w:pPr>
      <w:r>
        <w:rPr>
          <w:rFonts w:ascii="Book Antiqua"/>
          <w:sz w:val="20"/>
          <w:szCs w:val="20"/>
          <w:rtl w:val="0"/>
          <w:lang w:val="it-IT"/>
        </w:rPr>
        <w:t>Fonte ISPRA</w:t>
      </w: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rPr>
      </w:pPr>
      <w:r>
        <w:rPr>
          <w:rFonts w:ascii="Book Antiqua"/>
          <w:rtl w:val="0"/>
          <w:lang w:val="it-IT"/>
        </w:rPr>
        <w:t>Infine v</w:t>
      </w:r>
      <w:r>
        <w:rPr>
          <w:rFonts w:hAnsi="Book Antiqua" w:hint="default"/>
          <w:rtl w:val="0"/>
          <w:lang w:val="it-IT"/>
        </w:rPr>
        <w:t xml:space="preserve">’è </w:t>
      </w:r>
      <w:r>
        <w:rPr>
          <w:rFonts w:ascii="Book Antiqua"/>
          <w:rtl w:val="0"/>
          <w:lang w:val="it-IT"/>
        </w:rPr>
        <w:t>da sottolineare come una delle maggiori criticit</w:t>
      </w:r>
      <w:r>
        <w:rPr>
          <w:rFonts w:hAnsi="Book Antiqua" w:hint="default"/>
          <w:rtl w:val="0"/>
          <w:lang w:val="it-IT"/>
        </w:rPr>
        <w:t xml:space="preserve">à </w:t>
      </w:r>
      <w:r>
        <w:rPr>
          <w:rFonts w:ascii="Book Antiqua"/>
          <w:rtl w:val="0"/>
          <w:lang w:val="it-IT"/>
        </w:rPr>
        <w:t>relative all</w:t>
      </w:r>
      <w:r>
        <w:rPr>
          <w:rFonts w:hAnsi="Book Antiqua" w:hint="default"/>
          <w:rtl w:val="0"/>
          <w:lang w:val="it-IT"/>
        </w:rPr>
        <w:t>’</w:t>
      </w:r>
      <w:r>
        <w:rPr>
          <w:rFonts w:ascii="Book Antiqua"/>
          <w:rtl w:val="0"/>
          <w:lang w:val="it-IT"/>
        </w:rPr>
        <w:t>invaso di Roma riguardava proprio il mancato ovvero non idoneo trattamento dei rifiuti in essa collocati. Problema che interessava diverse discariche del Lazio cos</w:t>
      </w:r>
      <w:r>
        <w:rPr>
          <w:rFonts w:hAnsi="Book Antiqua" w:hint="default"/>
          <w:rtl w:val="0"/>
          <w:lang w:val="it-IT"/>
        </w:rPr>
        <w:t xml:space="preserve">ì </w:t>
      </w:r>
      <w:r>
        <w:rPr>
          <w:rFonts w:ascii="Book Antiqua"/>
          <w:rtl w:val="0"/>
          <w:lang w:val="it-IT"/>
        </w:rPr>
        <w:t>come stabilito dalla sentenza della Corte di giustizia dell</w:t>
      </w:r>
      <w:r>
        <w:rPr>
          <w:rFonts w:hAnsi="Book Antiqua" w:hint="default"/>
          <w:rtl w:val="0"/>
          <w:lang w:val="it-IT"/>
        </w:rPr>
        <w:t>’</w:t>
      </w:r>
      <w:r>
        <w:rPr>
          <w:rFonts w:ascii="Book Antiqua"/>
          <w:rtl w:val="0"/>
          <w:lang w:val="it-IT"/>
        </w:rPr>
        <w:t xml:space="preserve">Unione europea (CGUE) del 14 ottobre 2014. </w:t>
      </w:r>
    </w:p>
    <w:p>
      <w:pPr>
        <w:pStyle w:val="Normal"/>
        <w:ind w:left="567" w:right="567" w:firstLine="0"/>
        <w:jc w:val="both"/>
        <w:rPr>
          <w:rFonts w:ascii="Book Antiqua" w:cs="Book Antiqua" w:hAnsi="Book Antiqua" w:eastAsia="Book Antiqua"/>
        </w:rPr>
      </w:pPr>
      <w:r>
        <w:rPr>
          <w:rFonts w:ascii="Book Antiqua"/>
          <w:rtl w:val="0"/>
          <w:lang w:val="it-IT"/>
        </w:rPr>
        <w:t>In particolare, la CGUE ha riconosciuto che l</w:t>
      </w:r>
      <w:r>
        <w:rPr>
          <w:rFonts w:hAnsi="Book Antiqua" w:hint="default"/>
          <w:rtl w:val="0"/>
          <w:lang w:val="it-IT"/>
        </w:rPr>
        <w:t>’</w:t>
      </w:r>
      <w:r>
        <w:rPr>
          <w:rFonts w:ascii="Book Antiqua"/>
          <w:rtl w:val="0"/>
          <w:lang w:val="it-IT"/>
        </w:rPr>
        <w:t xml:space="preserve">Italia ha violato le norme in materia di rifiuti relativamente al loro conferimento in sette discariche del Lazio: cinque di Roma (Malagrotta, Colle Fagiolara, Cupinoro, Montecelio-Inviolata e Fosso Crepacuore) e due di Latina situate a Borgo Montello. </w:t>
      </w:r>
    </w:p>
    <w:p>
      <w:pPr>
        <w:pStyle w:val="Normal"/>
        <w:shd w:val="clear" w:color="auto" w:fill="ffffff"/>
        <w:ind w:left="567" w:right="567" w:firstLine="0"/>
        <w:jc w:val="both"/>
        <w:rPr>
          <w:rFonts w:ascii="Book Antiqua" w:cs="Book Antiqua" w:hAnsi="Book Antiqua" w:eastAsia="Book Antiqua"/>
        </w:rPr>
      </w:pPr>
      <w:r>
        <w:rPr>
          <w:rFonts w:ascii="Book Antiqua"/>
          <w:rtl w:val="0"/>
          <w:lang w:val="it-IT"/>
        </w:rPr>
        <w:t>L</w:t>
      </w:r>
      <w:r>
        <w:rPr>
          <w:rFonts w:hAnsi="Book Antiqua" w:hint="default"/>
          <w:rtl w:val="0"/>
          <w:lang w:val="it-IT"/>
        </w:rPr>
        <w:t>’</w:t>
      </w:r>
      <w:r>
        <w:rPr>
          <w:rFonts w:ascii="Book Antiqua"/>
          <w:rtl w:val="0"/>
          <w:lang w:val="it-IT"/>
        </w:rPr>
        <w:t>Italia, ad avviso della Corte,</w:t>
      </w:r>
      <w:r>
        <w:rPr>
          <w:rFonts w:hAnsi="Book Antiqua" w:hint="default"/>
          <w:rtl w:val="0"/>
          <w:lang w:val="it-IT"/>
        </w:rPr>
        <w:t> </w:t>
      </w:r>
      <w:r>
        <w:rPr>
          <w:rFonts w:ascii="Book Antiqua"/>
          <w:rtl w:val="0"/>
          <w:lang w:val="it-IT"/>
        </w:rPr>
        <w:t>non ha adottato tutte le misure necessarie</w:t>
      </w:r>
      <w:r>
        <w:rPr>
          <w:rFonts w:hAnsi="Book Antiqua" w:hint="default"/>
          <w:rtl w:val="0"/>
          <w:lang w:val="it-IT"/>
        </w:rPr>
        <w:t> </w:t>
      </w:r>
      <w:r>
        <w:rPr>
          <w:rFonts w:ascii="Book Antiqua"/>
          <w:rtl w:val="0"/>
          <w:lang w:val="it-IT"/>
        </w:rPr>
        <w:t>per evitare che i</w:t>
      </w:r>
      <w:r>
        <w:rPr>
          <w:rFonts w:hAnsi="Book Antiqua" w:hint="default"/>
          <w:rtl w:val="0"/>
          <w:lang w:val="it-IT"/>
        </w:rPr>
        <w:t> </w:t>
      </w:r>
      <w:r>
        <w:rPr>
          <w:rFonts w:ascii="Book Antiqua"/>
          <w:rtl w:val="0"/>
          <w:lang w:val="it-IT"/>
        </w:rPr>
        <w:t>rifiuti urbani</w:t>
      </w:r>
      <w:r>
        <w:rPr>
          <w:rFonts w:hAnsi="Book Antiqua" w:hint="default"/>
          <w:rtl w:val="0"/>
          <w:lang w:val="it-IT"/>
        </w:rPr>
        <w:t> </w:t>
      </w:r>
      <w:r>
        <w:rPr>
          <w:rFonts w:ascii="Book Antiqua"/>
          <w:rtl w:val="0"/>
          <w:lang w:val="it-IT"/>
        </w:rPr>
        <w:t>fossero conferiti</w:t>
      </w:r>
      <w:r>
        <w:rPr>
          <w:rFonts w:hAnsi="Book Antiqua" w:hint="default"/>
          <w:rtl w:val="0"/>
          <w:lang w:val="it-IT"/>
        </w:rPr>
        <w:t> </w:t>
      </w:r>
      <w:r>
        <w:rPr>
          <w:rFonts w:ascii="Book Antiqua"/>
          <w:rtl w:val="0"/>
          <w:lang w:val="it-IT"/>
        </w:rPr>
        <w:t>nelle discariche</w:t>
      </w:r>
      <w:r>
        <w:rPr>
          <w:rFonts w:hAnsi="Book Antiqua" w:hint="default"/>
          <w:rtl w:val="0"/>
          <w:lang w:val="it-IT"/>
        </w:rPr>
        <w:t> </w:t>
      </w:r>
      <w:r>
        <w:rPr>
          <w:rFonts w:ascii="Book Antiqua"/>
          <w:rtl w:val="0"/>
          <w:lang w:val="it-IT"/>
        </w:rPr>
        <w:t>dei  sette siti in questione</w:t>
      </w:r>
      <w:r>
        <w:rPr>
          <w:rFonts w:hAnsi="Book Antiqua" w:hint="default"/>
          <w:rtl w:val="0"/>
          <w:lang w:val="it-IT"/>
        </w:rPr>
        <w:t> </w:t>
      </w:r>
      <w:r>
        <w:rPr>
          <w:rFonts w:ascii="Book Antiqua"/>
          <w:rtl w:val="0"/>
          <w:lang w:val="it-IT"/>
        </w:rPr>
        <w:t>senza</w:t>
      </w:r>
      <w:r>
        <w:rPr>
          <w:rFonts w:hAnsi="Book Antiqua" w:hint="default"/>
          <w:rtl w:val="0"/>
          <w:lang w:val="it-IT"/>
        </w:rPr>
        <w:t> </w:t>
      </w:r>
      <w:r>
        <w:rPr>
          <w:rFonts w:ascii="Book Antiqua"/>
          <w:rtl w:val="0"/>
          <w:lang w:val="it-IT"/>
        </w:rPr>
        <w:t>subire un</w:t>
      </w:r>
      <w:r>
        <w:rPr>
          <w:rFonts w:hAnsi="Book Antiqua" w:hint="default"/>
          <w:rtl w:val="0"/>
          <w:lang w:val="it-IT"/>
        </w:rPr>
        <w:t> </w:t>
      </w:r>
      <w:r>
        <w:rPr>
          <w:rFonts w:ascii="Book Antiqua"/>
          <w:rtl w:val="0"/>
          <w:lang w:val="it-IT"/>
        </w:rPr>
        <w:t>trattamento adeguato, attraverso la selezione delle diverse frazioni merceologiche e la stabilizzazione della frazione organica. Inoltre secondo la Corte, un</w:t>
      </w:r>
      <w:r>
        <w:rPr>
          <w:rFonts w:hAnsi="Book Antiqua" w:hint="default"/>
          <w:rtl w:val="0"/>
          <w:lang w:val="it-IT"/>
        </w:rPr>
        <w:t>’</w:t>
      </w:r>
      <w:r>
        <w:rPr>
          <w:rFonts w:ascii="Book Antiqua"/>
          <w:rtl w:val="0"/>
          <w:lang w:val="it-IT"/>
        </w:rPr>
        <w:t>ulteriore violazione da parte dell</w:t>
      </w:r>
      <w:r>
        <w:rPr>
          <w:rFonts w:hAnsi="Book Antiqua" w:hint="default"/>
          <w:rtl w:val="0"/>
          <w:lang w:val="it-IT"/>
        </w:rPr>
        <w:t>’</w:t>
      </w:r>
      <w:r>
        <w:rPr>
          <w:rFonts w:ascii="Book Antiqua"/>
          <w:rtl w:val="0"/>
          <w:lang w:val="it-IT"/>
        </w:rPr>
        <w:t>Italia sta nella</w:t>
      </w:r>
      <w:r>
        <w:rPr>
          <w:rFonts w:hAnsi="Book Antiqua" w:hint="default"/>
          <w:rtl w:val="0"/>
          <w:lang w:val="it-IT"/>
        </w:rPr>
        <w:t> </w:t>
      </w:r>
      <w:r>
        <w:rPr>
          <w:rFonts w:ascii="Book Antiqua"/>
          <w:rtl w:val="0"/>
          <w:lang w:val="it-IT"/>
        </w:rPr>
        <w:t>mancata creazione, nella regione Lazio,</w:t>
      </w:r>
      <w:r>
        <w:rPr>
          <w:rFonts w:hAnsi="Book Antiqua" w:hint="default"/>
          <w:rtl w:val="0"/>
          <w:lang w:val="it-IT"/>
        </w:rPr>
        <w:t> </w:t>
      </w:r>
      <w:r>
        <w:rPr>
          <w:rFonts w:ascii="Book Antiqua"/>
          <w:rtl w:val="0"/>
          <w:lang w:val="it-IT"/>
        </w:rPr>
        <w:t>di una rete integrata ed adeguata di impianti di gestione dei rifiuti, tenendo conto delle migliori tecniche disponibili. Infine, la Corte chiarisce che</w:t>
      </w:r>
      <w:r>
        <w:rPr>
          <w:rFonts w:hAnsi="Book Antiqua" w:hint="default"/>
          <w:rtl w:val="0"/>
          <w:lang w:val="it-IT"/>
        </w:rPr>
        <w:t> </w:t>
      </w:r>
      <w:r>
        <w:rPr>
          <w:rFonts w:ascii="Book Antiqua"/>
          <w:rtl w:val="0"/>
          <w:lang w:val="it-IT"/>
        </w:rPr>
        <w:t>gli Stati membri devono prendere le misure necessarie</w:t>
      </w:r>
      <w:r>
        <w:rPr>
          <w:rFonts w:hAnsi="Book Antiqua" w:hint="default"/>
          <w:rtl w:val="0"/>
          <w:lang w:val="it-IT"/>
        </w:rPr>
        <w:t> </w:t>
      </w:r>
      <w:r>
        <w:rPr>
          <w:rFonts w:ascii="Book Antiqua"/>
          <w:rtl w:val="0"/>
          <w:lang w:val="it-IT"/>
        </w:rPr>
        <w:t>affinch</w:t>
      </w:r>
      <w:r>
        <w:rPr>
          <w:rFonts w:hAnsi="Book Antiqua" w:hint="default"/>
          <w:rtl w:val="0"/>
          <w:lang w:val="it-IT"/>
        </w:rPr>
        <w:t>é </w:t>
      </w:r>
      <w:r>
        <w:rPr>
          <w:rFonts w:ascii="Book Antiqua"/>
          <w:rtl w:val="0"/>
          <w:lang w:val="it-IT"/>
        </w:rPr>
        <w:t>solo i rifiuti gi</w:t>
      </w:r>
      <w:r>
        <w:rPr>
          <w:rFonts w:hAnsi="Book Antiqua" w:hint="default"/>
          <w:rtl w:val="0"/>
          <w:lang w:val="it-IT"/>
        </w:rPr>
        <w:t xml:space="preserve">à </w:t>
      </w:r>
      <w:r>
        <w:rPr>
          <w:rFonts w:ascii="Book Antiqua"/>
          <w:rtl w:val="0"/>
          <w:lang w:val="it-IT"/>
        </w:rPr>
        <w:t>trattati</w:t>
      </w:r>
      <w:r>
        <w:rPr>
          <w:rFonts w:hAnsi="Book Antiqua" w:hint="default"/>
          <w:rtl w:val="0"/>
          <w:lang w:val="it-IT"/>
        </w:rPr>
        <w:t> </w:t>
      </w:r>
      <w:r>
        <w:rPr>
          <w:rFonts w:ascii="Book Antiqua"/>
          <w:rtl w:val="0"/>
          <w:lang w:val="it-IT"/>
        </w:rPr>
        <w:t>vengano collocati</w:t>
      </w:r>
      <w:r>
        <w:rPr>
          <w:rFonts w:hAnsi="Book Antiqua" w:hint="default"/>
          <w:rtl w:val="0"/>
          <w:lang w:val="it-IT"/>
        </w:rPr>
        <w:t> </w:t>
      </w:r>
      <w:r>
        <w:rPr>
          <w:rFonts w:ascii="Book Antiqua"/>
          <w:rtl w:val="0"/>
          <w:lang w:val="it-IT"/>
        </w:rPr>
        <w:t>in discarica, sottolineando che</w:t>
      </w:r>
      <w:r>
        <w:rPr>
          <w:rFonts w:hAnsi="Book Antiqua" w:hint="default"/>
          <w:rtl w:val="0"/>
          <w:lang w:val="it-IT"/>
        </w:rPr>
        <w:t> </w:t>
      </w:r>
      <w:r>
        <w:rPr>
          <w:rFonts w:ascii="Book Antiqua"/>
          <w:rtl w:val="0"/>
          <w:lang w:val="it-IT"/>
        </w:rPr>
        <w:t>la definizione di "trattamento",</w:t>
      </w:r>
      <w:r>
        <w:rPr>
          <w:rFonts w:hAnsi="Book Antiqua" w:hint="default"/>
          <w:rtl w:val="0"/>
          <w:lang w:val="it-IT"/>
        </w:rPr>
        <w:t> </w:t>
      </w:r>
      <w:r>
        <w:rPr>
          <w:rFonts w:ascii="Book Antiqua"/>
          <w:rtl w:val="0"/>
          <w:lang w:val="it-IT"/>
        </w:rPr>
        <w:t>ai sensi dell</w:t>
      </w:r>
      <w:r>
        <w:rPr>
          <w:rFonts w:hAnsi="Book Antiqua" w:hint="default"/>
          <w:rtl w:val="0"/>
          <w:lang w:val="it-IT"/>
        </w:rPr>
        <w:t>’</w:t>
      </w:r>
      <w:r>
        <w:rPr>
          <w:rFonts w:ascii="Book Antiqua"/>
          <w:rtl w:val="0"/>
          <w:lang w:val="it-IT"/>
        </w:rPr>
        <w:t>articolo 2 della direttiva 99/31/CE sulle discariche di rifiuti,</w:t>
      </w:r>
      <w:r>
        <w:rPr>
          <w:rFonts w:ascii="Book Antiqua"/>
          <w:color w:val="ff0000"/>
          <w:u w:color="ff0000"/>
          <w:rtl w:val="0"/>
          <w:lang w:val="it-IT"/>
        </w:rPr>
        <w:t xml:space="preserve"> </w:t>
      </w:r>
      <w:r>
        <w:rPr>
          <w:rFonts w:ascii="Book Antiqua"/>
          <w:rtl w:val="0"/>
          <w:lang w:val="it-IT"/>
        </w:rPr>
        <w:t>comprende i</w:t>
      </w:r>
      <w:r>
        <w:rPr>
          <w:rFonts w:hAnsi="Book Antiqua" w:hint="default"/>
          <w:rtl w:val="0"/>
          <w:lang w:val="it-IT"/>
        </w:rPr>
        <w:t> </w:t>
      </w:r>
      <w:r>
        <w:rPr>
          <w:rFonts w:ascii="Book Antiqua"/>
          <w:rtl w:val="0"/>
          <w:lang w:val="it-IT"/>
        </w:rPr>
        <w:t>processi fisici, termici, chimici o biologici (inclusa la cernita), che modificano le caratteristiche dei rifiuti</w:t>
      </w:r>
      <w:r>
        <w:rPr>
          <w:rFonts w:hAnsi="Book Antiqua" w:hint="default"/>
          <w:rtl w:val="0"/>
          <w:lang w:val="it-IT"/>
        </w:rPr>
        <w:t> </w:t>
      </w:r>
      <w:r>
        <w:rPr>
          <w:rFonts w:ascii="Book Antiqua"/>
          <w:rtl w:val="0"/>
          <w:lang w:val="it-IT"/>
        </w:rPr>
        <w:t>allo scopo di ridurne il volume o la natura pericolosa, di facilitarne il trasporto o favorirne il recupero; la direttiva UE prevede, inoltre, che il trattamento sia costantemente adeguato al progresso scientifico e tecnico.</w:t>
      </w:r>
    </w:p>
    <w:p>
      <w:pPr>
        <w:pStyle w:val="Normal"/>
        <w:shd w:val="clear" w:color="auto" w:fill="ffffff"/>
        <w:ind w:left="567" w:right="567" w:firstLine="0"/>
        <w:jc w:val="both"/>
        <w:rPr>
          <w:rFonts w:ascii="Book Antiqua" w:cs="Book Antiqua" w:hAnsi="Book Antiqua" w:eastAsia="Book Antiqua"/>
        </w:rPr>
      </w:pPr>
      <w:r>
        <w:rPr>
          <w:rFonts w:ascii="Book Antiqua"/>
          <w:rtl w:val="0"/>
          <w:lang w:val="it-IT"/>
        </w:rPr>
        <w:t xml:space="preserve">In merito a questa sentenza si devono sottolineare due aspetti. Il primo </w:t>
      </w:r>
      <w:r>
        <w:rPr>
          <w:rFonts w:hAnsi="Book Antiqua" w:hint="default"/>
          <w:rtl w:val="0"/>
          <w:lang w:val="it-IT"/>
        </w:rPr>
        <w:t xml:space="preserve">è </w:t>
      </w:r>
      <w:r>
        <w:rPr>
          <w:rFonts w:ascii="Book Antiqua"/>
          <w:rtl w:val="0"/>
          <w:lang w:val="it-IT"/>
        </w:rPr>
        <w:t xml:space="preserve">relativo al mancato ovvero adeguato trattamento dei rifiuti indifferenziati: orbene, appare evidente come questo </w:t>
      </w:r>
      <w:r>
        <w:rPr>
          <w:rFonts w:ascii="Book Antiqua"/>
          <w:i w:val="1"/>
          <w:iCs w:val="1"/>
          <w:rtl w:val="0"/>
          <w:lang w:val="it-IT"/>
        </w:rPr>
        <w:t>modus operandi</w:t>
      </w:r>
      <w:r>
        <w:rPr>
          <w:rFonts w:ascii="Book Antiqua"/>
          <w:rtl w:val="0"/>
          <w:lang w:val="it-IT"/>
        </w:rPr>
        <w:t xml:space="preserve"> inadempiente alle direttive comunitarie non abbia avuto vita nel solo Lazio ma in gran parte del Paese, tuttavia la procedura di infrazione </w:t>
      </w:r>
      <w:r>
        <w:rPr>
          <w:rFonts w:hAnsi="Book Antiqua" w:hint="default"/>
          <w:rtl w:val="0"/>
          <w:lang w:val="it-IT"/>
        </w:rPr>
        <w:t xml:space="preserve">è </w:t>
      </w:r>
      <w:r>
        <w:rPr>
          <w:rFonts w:ascii="Book Antiqua"/>
          <w:rtl w:val="0"/>
          <w:lang w:val="it-IT"/>
        </w:rPr>
        <w:t>stata aperta solo per  le citate discariche. Il secondo punto riguarda la conferibilit</w:t>
      </w:r>
      <w:r>
        <w:rPr>
          <w:rFonts w:hAnsi="Book Antiqua" w:hint="default"/>
          <w:rtl w:val="0"/>
          <w:lang w:val="it-IT"/>
        </w:rPr>
        <w:t xml:space="preserve">à </w:t>
      </w:r>
      <w:r>
        <w:rPr>
          <w:rFonts w:ascii="Book Antiqua"/>
          <w:rtl w:val="0"/>
          <w:lang w:val="it-IT"/>
        </w:rPr>
        <w:t xml:space="preserve">di un rifiuto in discarica: la Commissione europea - che a dicembre del 2016 ha chiuso la procedura riguardante il Lazio </w:t>
      </w:r>
      <w:r>
        <w:rPr>
          <w:rFonts w:hAnsi="Book Antiqua" w:hint="default"/>
          <w:rtl w:val="0"/>
          <w:lang w:val="it-IT"/>
        </w:rPr>
        <w:t xml:space="preserve">– </w:t>
      </w:r>
      <w:r>
        <w:rPr>
          <w:rFonts w:ascii="Book Antiqua"/>
          <w:rtl w:val="0"/>
          <w:lang w:val="it-IT"/>
        </w:rPr>
        <w:t>ha chiesto ed ottenuto  la modifica delle autorizzazioni per lo smaltimento in discarica ossia l</w:t>
      </w:r>
      <w:r>
        <w:rPr>
          <w:rFonts w:hAnsi="Book Antiqua" w:hint="default"/>
          <w:rtl w:val="0"/>
          <w:lang w:val="it-IT"/>
        </w:rPr>
        <w:t>’</w:t>
      </w:r>
      <w:r>
        <w:rPr>
          <w:rFonts w:ascii="Book Antiqua"/>
          <w:rtl w:val="0"/>
          <w:lang w:val="it-IT"/>
        </w:rPr>
        <w:t>eliminazione della possibilit</w:t>
      </w:r>
      <w:r>
        <w:rPr>
          <w:rFonts w:hAnsi="Book Antiqua" w:hint="default"/>
          <w:rtl w:val="0"/>
          <w:lang w:val="it-IT"/>
        </w:rPr>
        <w:t xml:space="preserve">à </w:t>
      </w:r>
      <w:r>
        <w:rPr>
          <w:rFonts w:ascii="Book Antiqua"/>
          <w:rtl w:val="0"/>
          <w:lang w:val="it-IT"/>
        </w:rPr>
        <w:t xml:space="preserve">di conferire presso gli invasi i rifiuti con codice CER 200301 (cosiddetto tal quale). </w:t>
      </w:r>
    </w:p>
    <w:p>
      <w:pPr>
        <w:pStyle w:val="Normal"/>
        <w:shd w:val="clear" w:color="auto" w:fill="ffffff"/>
        <w:ind w:left="567" w:right="567" w:firstLine="0"/>
        <w:jc w:val="both"/>
        <w:rPr>
          <w:rFonts w:ascii="Book Antiqua" w:cs="Book Antiqua" w:hAnsi="Book Antiqua" w:eastAsia="Book Antiqua"/>
        </w:rPr>
      </w:pPr>
      <w:r>
        <w:rPr>
          <w:rFonts w:ascii="Book Antiqua"/>
          <w:rtl w:val="0"/>
          <w:lang w:val="it-IT"/>
        </w:rPr>
        <w:t>Rimane tuttavia fermo quanto dichiarato dal Direttore generale di ARPA Lazio, Marco Lupo, nell</w:t>
      </w:r>
      <w:r>
        <w:rPr>
          <w:rFonts w:hAnsi="Book Antiqua" w:hint="default"/>
          <w:rtl w:val="0"/>
          <w:lang w:val="it-IT"/>
        </w:rPr>
        <w:t>’</w:t>
      </w:r>
      <w:r>
        <w:rPr>
          <w:rFonts w:ascii="Book Antiqua"/>
          <w:rtl w:val="0"/>
          <w:lang w:val="it-IT"/>
        </w:rPr>
        <w:t>audizione del 13 ottobre 2016:</w:t>
      </w:r>
      <w:r>
        <w:rPr>
          <w:rFonts w:ascii="Book Antiqua Bold"/>
          <w:b w:val="1"/>
          <w:bCs w:val="1"/>
          <w:i w:val="1"/>
          <w:iCs w:val="1"/>
          <w:rtl w:val="0"/>
          <w:lang w:val="it-IT"/>
        </w:rPr>
        <w:t xml:space="preserve"> </w:t>
      </w:r>
    </w:p>
    <w:p>
      <w:pPr>
        <w:pStyle w:val="Normal"/>
        <w:shd w:val="clear" w:color="auto" w:fill="ffffff"/>
        <w:ind w:left="567" w:right="567" w:firstLine="0"/>
        <w:jc w:val="both"/>
        <w:rPr>
          <w:rFonts w:ascii="Book Antiqua" w:cs="Book Antiqua" w:hAnsi="Book Antiqua" w:eastAsia="Book Antiqua"/>
        </w:rPr>
      </w:pPr>
      <w:r>
        <w:rPr>
          <w:rFonts w:hAnsi="Book Antiqua Bold" w:hint="default"/>
          <w:b w:val="1"/>
          <w:bCs w:val="1"/>
          <w:rtl w:val="0"/>
          <w:lang w:val="it-IT"/>
        </w:rPr>
        <w:t>“</w:t>
      </w:r>
      <w:r>
        <w:rPr>
          <w:rFonts w:ascii="Book Antiqua"/>
          <w:rtl w:val="0"/>
          <w:lang w:val="it-IT"/>
        </w:rPr>
        <w:t>Con riferimento a questa ultima categoria di controlli straordinari richiesti dalla regione Lazio, a partire dai primi del mese di agosto abbiamo effettuato due tipologie di controllo straordinario. Una prima [</w:t>
      </w:r>
      <w:r>
        <w:rPr>
          <w:rFonts w:hAnsi="Book Antiqua" w:hint="default"/>
          <w:rtl w:val="0"/>
          <w:lang w:val="it-IT"/>
        </w:rPr>
        <w:t>…</w:t>
      </w:r>
      <w:r>
        <w:rPr>
          <w:rFonts w:ascii="Book Antiqua"/>
          <w:rtl w:val="0"/>
          <w:lang w:val="it-IT"/>
        </w:rPr>
        <w:t xml:space="preserve">] </w:t>
      </w:r>
      <w:r>
        <w:rPr>
          <w:rFonts w:hAnsi="Book Antiqua" w:hint="default"/>
          <w:rtl w:val="0"/>
          <w:lang w:val="it-IT"/>
        </w:rPr>
        <w:t xml:space="preserve">è </w:t>
      </w:r>
      <w:r>
        <w:rPr>
          <w:rFonts w:ascii="Book Antiqua"/>
          <w:rtl w:val="0"/>
          <w:lang w:val="it-IT"/>
        </w:rPr>
        <w:t>volta a verificare la tipologia di rifiuti conferiti per lo smaltimento nelle discariche laziali, e questo in relazione alla procedura di infrazione 4021 del 2011 e alla sentenza dalla Corte di giustizia del 2014. Abbiamo gi</w:t>
      </w:r>
      <w:r>
        <w:rPr>
          <w:rFonts w:hAnsi="Book Antiqua" w:hint="default"/>
          <w:rtl w:val="0"/>
          <w:lang w:val="it-IT"/>
        </w:rPr>
        <w:t xml:space="preserve">à </w:t>
      </w:r>
      <w:r>
        <w:rPr>
          <w:rFonts w:ascii="Book Antiqua"/>
          <w:rtl w:val="0"/>
          <w:lang w:val="it-IT"/>
        </w:rPr>
        <w:t>concluso questa verifica e constatato che da giugno 2014 non sono stati ammessi a smaltimento presso discariche laziali i rifiuti con codice 20 non trattati. Di questa circostanza abbiamo dato comunicazione alla regione Lazio con una nota del 2 settembre. Una seconda tipologia di controllo straordinario che abbiamo avviato, sempre su richiesta della regione Lazio, dai primi del mese di agosto, riguarda invece la funzionalit</w:t>
      </w:r>
      <w:r>
        <w:rPr>
          <w:rFonts w:hAnsi="Book Antiqua" w:hint="default"/>
          <w:rtl w:val="0"/>
          <w:lang w:val="it-IT"/>
        </w:rPr>
        <w:t xml:space="preserve">à </w:t>
      </w:r>
      <w:r>
        <w:rPr>
          <w:rFonts w:ascii="Book Antiqua"/>
          <w:rtl w:val="0"/>
          <w:lang w:val="it-IT"/>
        </w:rPr>
        <w:t>e l</w:t>
      </w:r>
      <w:r>
        <w:rPr>
          <w:rFonts w:hAnsi="Book Antiqua" w:hint="default"/>
          <w:rtl w:val="0"/>
          <w:lang w:val="it-IT"/>
        </w:rPr>
        <w:t>’</w:t>
      </w:r>
      <w:r>
        <w:rPr>
          <w:rFonts w:ascii="Book Antiqua"/>
          <w:rtl w:val="0"/>
          <w:lang w:val="it-IT"/>
        </w:rPr>
        <w:t xml:space="preserve">efficacia dei trattamenti attuati dagli impianti di trattamento meccanico biologico di tutta la regione. In una prima fase la verifica </w:t>
      </w:r>
      <w:r>
        <w:rPr>
          <w:rFonts w:hAnsi="Book Antiqua" w:hint="default"/>
          <w:rtl w:val="0"/>
          <w:lang w:val="it-IT"/>
        </w:rPr>
        <w:t xml:space="preserve">è </w:t>
      </w:r>
      <w:r>
        <w:rPr>
          <w:rFonts w:ascii="Book Antiqua"/>
          <w:rtl w:val="0"/>
          <w:lang w:val="it-IT"/>
        </w:rPr>
        <w:t>stata indirizzata alla ricostruzione dei flussi di rifiuti in entrata e in uscita da diversi impianti, nonch</w:t>
      </w:r>
      <w:r>
        <w:rPr>
          <w:rFonts w:hAnsi="Book Antiqua" w:hint="default"/>
          <w:rtl w:val="0"/>
          <w:lang w:val="it-IT"/>
        </w:rPr>
        <w:t xml:space="preserve">é </w:t>
      </w:r>
      <w:r>
        <w:rPr>
          <w:rFonts w:ascii="Book Antiqua"/>
          <w:rtl w:val="0"/>
          <w:lang w:val="it-IT"/>
        </w:rPr>
        <w:t xml:space="preserve">alla raccolta di informazioni sulla loro destinazione finale. Questa fase </w:t>
      </w:r>
      <w:r>
        <w:rPr>
          <w:rFonts w:hAnsi="Book Antiqua" w:hint="default"/>
          <w:rtl w:val="0"/>
          <w:lang w:val="it-IT"/>
        </w:rPr>
        <w:t xml:space="preserve">è </w:t>
      </w:r>
      <w:r>
        <w:rPr>
          <w:rFonts w:ascii="Book Antiqua"/>
          <w:rtl w:val="0"/>
          <w:lang w:val="it-IT"/>
        </w:rPr>
        <w:t xml:space="preserve">terminata e abbiamo iniziato la seconda fase, volta a verificare i trattamenti effettuati, ossia le caratteristiche dei flussi di materiali in uscita dagli impianti. </w:t>
      </w:r>
      <w:r>
        <w:rPr>
          <w:rFonts w:hAnsi="Book Antiqua" w:hint="default"/>
          <w:rtl w:val="0"/>
          <w:lang w:val="it-IT"/>
        </w:rPr>
        <w:t xml:space="preserve">È </w:t>
      </w:r>
      <w:r>
        <w:rPr>
          <w:rFonts w:ascii="Book Antiqua"/>
          <w:rtl w:val="0"/>
          <w:lang w:val="it-IT"/>
        </w:rPr>
        <w:t xml:space="preserve">chiaro che questa </w:t>
      </w:r>
      <w:r>
        <w:rPr>
          <w:rFonts w:hAnsi="Book Antiqua" w:hint="default"/>
          <w:rtl w:val="0"/>
          <w:lang w:val="it-IT"/>
        </w:rPr>
        <w:t xml:space="preserve">è </w:t>
      </w:r>
      <w:r>
        <w:rPr>
          <w:rFonts w:ascii="Book Antiqua"/>
          <w:rtl w:val="0"/>
          <w:lang w:val="it-IT"/>
        </w:rPr>
        <w:t>una verifica pi</w:t>
      </w:r>
      <w:r>
        <w:rPr>
          <w:rFonts w:hAnsi="Book Antiqua" w:hint="default"/>
          <w:rtl w:val="0"/>
          <w:lang w:val="it-IT"/>
        </w:rPr>
        <w:t xml:space="preserve">ù </w:t>
      </w:r>
      <w:r>
        <w:rPr>
          <w:rFonts w:ascii="Book Antiqua"/>
          <w:rtl w:val="0"/>
          <w:lang w:val="it-IT"/>
        </w:rPr>
        <w:t>complessa, perch</w:t>
      </w:r>
      <w:r>
        <w:rPr>
          <w:rFonts w:hAnsi="Book Antiqua" w:hint="default"/>
          <w:rtl w:val="0"/>
          <w:lang w:val="it-IT"/>
        </w:rPr>
        <w:t xml:space="preserve">é </w:t>
      </w:r>
      <w:r>
        <w:rPr>
          <w:rFonts w:ascii="Book Antiqua"/>
          <w:rtl w:val="0"/>
          <w:lang w:val="it-IT"/>
        </w:rPr>
        <w:t>necessita non solo di sopralluoghi e verifiche documentali, ma anche di verifiche analitiche e laboratoristiche, quindi richieder</w:t>
      </w:r>
      <w:r>
        <w:rPr>
          <w:rFonts w:hAnsi="Book Antiqua" w:hint="default"/>
          <w:rtl w:val="0"/>
          <w:lang w:val="it-IT"/>
        </w:rPr>
        <w:t xml:space="preserve">à </w:t>
      </w:r>
      <w:r>
        <w:rPr>
          <w:rFonts w:ascii="Book Antiqua"/>
          <w:rtl w:val="0"/>
          <w:lang w:val="it-IT"/>
        </w:rPr>
        <w:t>tempi pi</w:t>
      </w:r>
      <w:r>
        <w:rPr>
          <w:rFonts w:hAnsi="Book Antiqua" w:hint="default"/>
          <w:rtl w:val="0"/>
          <w:lang w:val="it-IT"/>
        </w:rPr>
        <w:t xml:space="preserve">ù </w:t>
      </w:r>
      <w:r>
        <w:rPr>
          <w:rFonts w:ascii="Book Antiqua"/>
          <w:rtl w:val="0"/>
          <w:lang w:val="it-IT"/>
        </w:rPr>
        <w:t>lunghi, per</w:t>
      </w:r>
      <w:r>
        <w:rPr>
          <w:rFonts w:hAnsi="Book Antiqua" w:hint="default"/>
          <w:rtl w:val="0"/>
          <w:lang w:val="it-IT"/>
        </w:rPr>
        <w:t xml:space="preserve">ò </w:t>
      </w:r>
      <w:r>
        <w:rPr>
          <w:rFonts w:ascii="Book Antiqua"/>
          <w:rtl w:val="0"/>
          <w:lang w:val="it-IT"/>
        </w:rPr>
        <w:t>posso anticiparvi che laddove abbiamo effettuato controlli anche parziali sono state riscontrate criticit</w:t>
      </w:r>
      <w:r>
        <w:rPr>
          <w:rFonts w:hAnsi="Book Antiqua" w:hint="default"/>
          <w:rtl w:val="0"/>
          <w:lang w:val="it-IT"/>
        </w:rPr>
        <w:t xml:space="preserve">à </w:t>
      </w:r>
      <w:r>
        <w:rPr>
          <w:rFonts w:ascii="Book Antiqua"/>
          <w:rtl w:val="0"/>
          <w:lang w:val="it-IT"/>
        </w:rPr>
        <w:t>relative all</w:t>
      </w:r>
      <w:r>
        <w:rPr>
          <w:rFonts w:hAnsi="Book Antiqua" w:hint="default"/>
          <w:rtl w:val="0"/>
          <w:lang w:val="it-IT"/>
        </w:rPr>
        <w:t>’</w:t>
      </w:r>
      <w:r>
        <w:rPr>
          <w:rFonts w:ascii="Book Antiqua"/>
          <w:rtl w:val="0"/>
          <w:lang w:val="it-IT"/>
        </w:rPr>
        <w:t>indice respirometrico dinamico potenziale raggiunto dal trattamento, che non rispetta quello della normativa per l</w:t>
      </w:r>
      <w:r>
        <w:rPr>
          <w:rFonts w:hAnsi="Book Antiqua" w:hint="default"/>
          <w:rtl w:val="0"/>
          <w:lang w:val="it-IT"/>
        </w:rPr>
        <w:t>’</w:t>
      </w:r>
      <w:r>
        <w:rPr>
          <w:rFonts w:ascii="Book Antiqua"/>
          <w:rtl w:val="0"/>
          <w:lang w:val="it-IT"/>
        </w:rPr>
        <w:t>ammissibilit</w:t>
      </w:r>
      <w:r>
        <w:rPr>
          <w:rFonts w:hAnsi="Book Antiqua" w:hint="default"/>
          <w:rtl w:val="0"/>
          <w:lang w:val="it-IT"/>
        </w:rPr>
        <w:t xml:space="preserve">à </w:t>
      </w:r>
      <w:r>
        <w:rPr>
          <w:rFonts w:ascii="Book Antiqua"/>
          <w:rtl w:val="0"/>
          <w:lang w:val="it-IT"/>
        </w:rPr>
        <w:t>dei rifiuti in discarica. Sapete che l</w:t>
      </w:r>
      <w:r>
        <w:rPr>
          <w:rFonts w:hAnsi="Book Antiqua" w:hint="default"/>
          <w:rtl w:val="0"/>
          <w:lang w:val="it-IT"/>
        </w:rPr>
        <w:t>’</w:t>
      </w:r>
      <w:r>
        <w:rPr>
          <w:rFonts w:ascii="Book Antiqua"/>
          <w:rtl w:val="0"/>
          <w:lang w:val="it-IT"/>
        </w:rPr>
        <w:t>indice respirometrico dovrebbe essere al di sotto di 1.000, mentre noi abbiamo rilevato valori anche superiori a 4.000 [...] In alcuni casi l</w:t>
      </w:r>
      <w:r>
        <w:rPr>
          <w:rFonts w:hAnsi="Book Antiqua" w:hint="default"/>
          <w:rtl w:val="0"/>
          <w:lang w:val="it-IT"/>
        </w:rPr>
        <w:t>’</w:t>
      </w:r>
      <w:r>
        <w:rPr>
          <w:rFonts w:ascii="Book Antiqua"/>
          <w:rtl w:val="0"/>
          <w:lang w:val="it-IT"/>
        </w:rPr>
        <w:t>indice respirometrico dinamico che abbiamo misurato (lo stiamo facendo su tutti, ma l</w:t>
      </w:r>
      <w:r>
        <w:rPr>
          <w:rFonts w:hAnsi="Book Antiqua" w:hint="default"/>
          <w:rtl w:val="0"/>
          <w:lang w:val="it-IT"/>
        </w:rPr>
        <w:t>’</w:t>
      </w:r>
      <w:r>
        <w:rPr>
          <w:rFonts w:ascii="Book Antiqua"/>
          <w:rtl w:val="0"/>
          <w:lang w:val="it-IT"/>
        </w:rPr>
        <w:t>abbiamo gi</w:t>
      </w:r>
      <w:r>
        <w:rPr>
          <w:rFonts w:hAnsi="Book Antiqua" w:hint="default"/>
          <w:rtl w:val="0"/>
          <w:lang w:val="it-IT"/>
        </w:rPr>
        <w:t xml:space="preserve">à </w:t>
      </w:r>
      <w:r>
        <w:rPr>
          <w:rFonts w:ascii="Book Antiqua"/>
          <w:rtl w:val="0"/>
          <w:lang w:val="it-IT"/>
        </w:rPr>
        <w:t>fatto su Salaria, Rocca Cencia e SAF) non rispetta il livello previsto dalla normativa per l</w:t>
      </w:r>
      <w:r>
        <w:rPr>
          <w:rFonts w:hAnsi="Book Antiqua" w:hint="default"/>
          <w:rtl w:val="0"/>
          <w:lang w:val="it-IT"/>
        </w:rPr>
        <w:t>’</w:t>
      </w:r>
      <w:r>
        <w:rPr>
          <w:rFonts w:ascii="Book Antiqua"/>
          <w:rtl w:val="0"/>
          <w:lang w:val="it-IT"/>
        </w:rPr>
        <w:t>ammissibilit</w:t>
      </w:r>
      <w:r>
        <w:rPr>
          <w:rFonts w:hAnsi="Book Antiqua" w:hint="default"/>
          <w:rtl w:val="0"/>
          <w:lang w:val="it-IT"/>
        </w:rPr>
        <w:t xml:space="preserve">à </w:t>
      </w:r>
      <w:r>
        <w:rPr>
          <w:rFonts w:ascii="Book Antiqua"/>
          <w:rtl w:val="0"/>
          <w:lang w:val="it-IT"/>
        </w:rPr>
        <w:t>dei rifiuti in discarica</w:t>
      </w:r>
      <w:r>
        <w:rPr>
          <w:rFonts w:ascii="Book Antiqua" w:cs="Book Antiqua" w:hAnsi="Book Antiqua" w:eastAsia="Book Antiqua"/>
          <w:vertAlign w:val="superscript"/>
          <w:rtl w:val="0"/>
        </w:rPr>
        <w:footnoteReference w:id="17"/>
      </w:r>
      <w:r>
        <w:rPr>
          <w:rFonts w:ascii="Book Antiqua"/>
          <w:rtl w:val="0"/>
          <w:lang w:val="it-IT"/>
        </w:rPr>
        <w:t>.</w:t>
      </w:r>
      <w:r>
        <w:rPr>
          <w:rFonts w:hAnsi="Book Antiqua" w:hint="default"/>
          <w:rtl w:val="0"/>
          <w:lang w:val="it-IT"/>
        </w:rPr>
        <w:t>”</w:t>
      </w:r>
    </w:p>
    <w:p>
      <w:pPr>
        <w:pStyle w:val="Normal"/>
        <w:shd w:val="clear" w:color="auto" w:fill="ffffff"/>
        <w:ind w:left="567" w:right="567" w:firstLine="0"/>
        <w:jc w:val="both"/>
        <w:rPr>
          <w:rFonts w:ascii="Book Antiqua" w:cs="Book Antiqua" w:hAnsi="Book Antiqua" w:eastAsia="Book Antiqua"/>
        </w:rPr>
      </w:pPr>
      <w:r>
        <w:rPr>
          <w:rFonts w:ascii="Book Antiqua"/>
          <w:rtl w:val="0"/>
          <w:lang w:val="it-IT"/>
        </w:rPr>
        <w:t xml:space="preserve">Nonostante la Commissione europea </w:t>
      </w:r>
      <w:r>
        <w:rPr>
          <w:rFonts w:hAnsi="Book Antiqua" w:hint="default"/>
          <w:rtl w:val="0"/>
          <w:lang w:val="it-IT"/>
        </w:rPr>
        <w:t xml:space="preserve">– </w:t>
      </w:r>
      <w:r>
        <w:rPr>
          <w:rFonts w:ascii="Book Antiqua"/>
          <w:rtl w:val="0"/>
          <w:lang w:val="it-IT"/>
        </w:rPr>
        <w:t>con decisione dell</w:t>
      </w:r>
      <w:r>
        <w:rPr>
          <w:rFonts w:hAnsi="Book Antiqua" w:hint="default"/>
          <w:rtl w:val="0"/>
          <w:lang w:val="it-IT"/>
        </w:rPr>
        <w:t>’</w:t>
      </w:r>
      <w:r>
        <w:rPr>
          <w:rFonts w:ascii="Book Antiqua"/>
          <w:rtl w:val="0"/>
          <w:lang w:val="it-IT"/>
        </w:rPr>
        <w:t xml:space="preserve">8 dicembre 2016 - abbia chiuso la procedura di infrazione, i problemi attinenti al corretto trattamento e smaltimento dei rifiuti rimangono attuali.  </w:t>
      </w:r>
    </w:p>
    <w:p>
      <w:pPr>
        <w:pStyle w:val="Normal"/>
        <w:shd w:val="clear" w:color="auto" w:fill="ffffff"/>
        <w:ind w:left="567" w:right="567" w:firstLine="0"/>
        <w:jc w:val="both"/>
        <w:rPr>
          <w:rFonts w:ascii="Book Antiqua" w:cs="Book Antiqua" w:hAnsi="Book Antiqua" w:eastAsia="Book Antiqua"/>
        </w:rPr>
      </w:pPr>
    </w:p>
    <w:p>
      <w:pPr>
        <w:pStyle w:val="Normal"/>
        <w:shd w:val="clear" w:color="auto" w:fill="ffffff"/>
        <w:ind w:left="567" w:right="567" w:firstLine="0"/>
        <w:jc w:val="both"/>
        <w:rPr>
          <w:rFonts w:ascii="Book Antiqua" w:cs="Book Antiqua" w:hAnsi="Book Antiqua" w:eastAsia="Book Antiqua"/>
        </w:rPr>
      </w:pPr>
    </w:p>
    <w:p>
      <w:pPr>
        <w:pStyle w:val="Normal"/>
        <w:shd w:val="clear" w:color="auto" w:fill="ffffff"/>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sz w:val="28"/>
          <w:szCs w:val="28"/>
        </w:rPr>
      </w:pPr>
      <w:r>
        <w:rPr>
          <w:rFonts w:ascii="Book Antiqua"/>
          <w:sz w:val="28"/>
          <w:szCs w:val="28"/>
          <w:rtl w:val="0"/>
          <w:lang w:val="it-IT"/>
        </w:rPr>
        <w:t xml:space="preserve">2.2.2 La gestione dei rifiuti a Roma </w:t>
      </w:r>
    </w:p>
    <w:p>
      <w:pPr>
        <w:pStyle w:val="Normal"/>
        <w:ind w:left="567" w:right="567" w:firstLine="0"/>
        <w:jc w:val="both"/>
        <w:rPr>
          <w:rFonts w:ascii="Book Antiqua" w:cs="Book Antiqua" w:hAnsi="Book Antiqua" w:eastAsia="Book Antiqua"/>
        </w:rPr>
      </w:pPr>
      <w:r>
        <w:rPr>
          <w:rFonts w:ascii="Book Antiqua"/>
          <w:rtl w:val="0"/>
          <w:lang w:val="it-IT"/>
        </w:rPr>
        <w:t xml:space="preserve"> </w:t>
      </w: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sz w:val="28"/>
          <w:szCs w:val="28"/>
        </w:rPr>
      </w:pPr>
      <w:r>
        <w:rPr>
          <w:rFonts w:ascii="Book Antiqua"/>
          <w:sz w:val="28"/>
          <w:szCs w:val="28"/>
          <w:rtl w:val="0"/>
          <w:lang w:val="it-IT"/>
        </w:rPr>
        <w:t>2.2.2.1 La produzione dei rifiuti e la raccolta differenziata</w:t>
      </w:r>
    </w:p>
    <w:p>
      <w:pPr>
        <w:pStyle w:val="Normal"/>
        <w:ind w:left="567" w:right="567" w:firstLine="0"/>
        <w:jc w:val="both"/>
        <w:rPr>
          <w:rFonts w:ascii="Book Antiqua Bold" w:cs="Book Antiqua Bold" w:hAnsi="Book Antiqua Bold" w:eastAsia="Book Antiqua Bold"/>
          <w:b w:val="1"/>
          <w:bCs w:val="1"/>
        </w:rPr>
      </w:pPr>
    </w:p>
    <w:p>
      <w:pPr>
        <w:pStyle w:val="Normal"/>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I dati elaborati dall</w:t>
      </w:r>
      <w:r>
        <w:rPr>
          <w:rFonts w:hAnsi="Book Antiqua" w:hint="default"/>
          <w:color w:val="000000"/>
          <w:u w:color="000000"/>
          <w:rtl w:val="0"/>
          <w:lang w:val="it-IT"/>
        </w:rPr>
        <w:t>’</w:t>
      </w:r>
      <w:r>
        <w:rPr>
          <w:rFonts w:ascii="Book Antiqua"/>
          <w:color w:val="000000"/>
          <w:u w:color="000000"/>
          <w:rtl w:val="0"/>
          <w:lang w:val="it-IT"/>
        </w:rPr>
        <w:t>ISPRA</w:t>
      </w:r>
      <w:r>
        <w:rPr>
          <w:rFonts w:ascii="Book Antiqua" w:cs="Book Antiqua" w:hAnsi="Book Antiqua" w:eastAsia="Book Antiqua"/>
          <w:color w:val="000000"/>
          <w:u w:color="000000"/>
          <w:vertAlign w:val="superscript"/>
          <w:rtl w:val="0"/>
        </w:rPr>
        <w:footnoteReference w:id="18"/>
      </w:r>
      <w:r>
        <w:rPr>
          <w:rFonts w:ascii="Book Antiqua"/>
          <w:color w:val="000000"/>
          <w:u w:color="000000"/>
          <w:rtl w:val="0"/>
          <w:lang w:val="it-IT"/>
        </w:rPr>
        <w:t xml:space="preserve"> (tabella 1) evidenziano che i rifiuti urbani prodotti nel comune di Roma nel 2015 ammontano a quasi 1,7 milioni di tonnellate, circa 40 mila tonnellate in meno (-2 per cento) rispetto alla precedente indagine di ISPRA relativa all</w:t>
      </w:r>
      <w:r>
        <w:rPr>
          <w:rFonts w:hAnsi="Book Antiqua" w:hint="default"/>
          <w:color w:val="000000"/>
          <w:u w:color="000000"/>
          <w:rtl w:val="0"/>
          <w:lang w:val="it-IT"/>
        </w:rPr>
        <w:t>’</w:t>
      </w:r>
      <w:r>
        <w:rPr>
          <w:rFonts w:ascii="Book Antiqua"/>
          <w:color w:val="000000"/>
          <w:u w:color="000000"/>
          <w:rtl w:val="0"/>
          <w:lang w:val="it-IT"/>
        </w:rPr>
        <w:t>anno 2014. I rifiuti urbani prodotti nel comune costituiscono oltre la met</w:t>
      </w:r>
      <w:r>
        <w:rPr>
          <w:rFonts w:hAnsi="Book Antiqua" w:hint="default"/>
          <w:color w:val="000000"/>
          <w:u w:color="000000"/>
          <w:rtl w:val="0"/>
          <w:lang w:val="it-IT"/>
        </w:rPr>
        <w:t xml:space="preserve">à </w:t>
      </w:r>
      <w:r>
        <w:rPr>
          <w:rFonts w:ascii="Book Antiqua"/>
          <w:color w:val="000000"/>
          <w:u w:color="000000"/>
          <w:rtl w:val="0"/>
          <w:lang w:val="it-IT"/>
        </w:rPr>
        <w:t>(56 per cento) di quelli prodotti nell</w:t>
      </w:r>
      <w:r>
        <w:rPr>
          <w:rFonts w:hAnsi="Book Antiqua" w:hint="default"/>
          <w:color w:val="000000"/>
          <w:u w:color="000000"/>
          <w:rtl w:val="0"/>
          <w:lang w:val="it-IT"/>
        </w:rPr>
        <w:t>’</w:t>
      </w:r>
      <w:r>
        <w:rPr>
          <w:rFonts w:ascii="Book Antiqua"/>
          <w:color w:val="000000"/>
          <w:u w:color="000000"/>
          <w:rtl w:val="0"/>
          <w:lang w:val="it-IT"/>
        </w:rPr>
        <w:t>intero territorio regionale.</w:t>
      </w:r>
    </w:p>
    <w:p>
      <w:pPr>
        <w:pStyle w:val="Normal"/>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 xml:space="preserve">La raccolta differenziata tra il 2010 ed il 2015 </w:t>
      </w:r>
      <w:r>
        <w:rPr>
          <w:rFonts w:hAnsi="Book Antiqua" w:hint="default"/>
          <w:color w:val="000000"/>
          <w:u w:color="000000"/>
          <w:rtl w:val="0"/>
          <w:lang w:val="it-IT"/>
        </w:rPr>
        <w:t xml:space="preserve">è </w:t>
      </w:r>
      <w:r>
        <w:rPr>
          <w:rFonts w:ascii="Book Antiqua"/>
          <w:color w:val="000000"/>
          <w:u w:color="000000"/>
          <w:rtl w:val="0"/>
          <w:lang w:val="it-IT"/>
        </w:rPr>
        <w:t>incrementata di 18 punti percentuali passando dal 21 per cento del 2010 al 39 per cento registrato nel 2015. Nello stesso periodo, in termini quantitativi, i rifiuti oggetto di raccolta differenziata sono passati da poco pi</w:t>
      </w:r>
      <w:r>
        <w:rPr>
          <w:rFonts w:hAnsi="Book Antiqua" w:hint="default"/>
          <w:color w:val="000000"/>
          <w:u w:color="000000"/>
          <w:rtl w:val="0"/>
          <w:lang w:val="it-IT"/>
        </w:rPr>
        <w:t xml:space="preserve">ù </w:t>
      </w:r>
      <w:r>
        <w:rPr>
          <w:rFonts w:ascii="Book Antiqua"/>
          <w:color w:val="000000"/>
          <w:u w:color="000000"/>
          <w:rtl w:val="0"/>
          <w:lang w:val="it-IT"/>
        </w:rPr>
        <w:t xml:space="preserve">di 385 mila tonnellate a quasi 653 mila (+ 69 per cento). </w:t>
      </w:r>
    </w:p>
    <w:p>
      <w:pPr>
        <w:pStyle w:val="Normal"/>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 xml:space="preserve">Tra il 2010 ed il 2015 si </w:t>
      </w:r>
      <w:r>
        <w:rPr>
          <w:rFonts w:hAnsi="Book Antiqua" w:hint="default"/>
          <w:color w:val="000000"/>
          <w:u w:color="000000"/>
          <w:rtl w:val="0"/>
          <w:lang w:val="it-IT"/>
        </w:rPr>
        <w:t xml:space="preserve">è </w:t>
      </w:r>
      <w:r>
        <w:rPr>
          <w:rFonts w:ascii="Book Antiqua"/>
          <w:color w:val="000000"/>
          <w:u w:color="000000"/>
          <w:rtl w:val="0"/>
          <w:lang w:val="it-IT"/>
        </w:rPr>
        <w:t xml:space="preserve">assistito, per il comune di Roma, ad una riduzione del pro capite di produzione di circa 74 kg per abitante. Tale andamento </w:t>
      </w:r>
      <w:r>
        <w:rPr>
          <w:rFonts w:hAnsi="Book Antiqua" w:hint="default"/>
          <w:color w:val="000000"/>
          <w:u w:color="000000"/>
          <w:rtl w:val="0"/>
          <w:lang w:val="it-IT"/>
        </w:rPr>
        <w:t xml:space="preserve">è </w:t>
      </w:r>
      <w:r>
        <w:rPr>
          <w:rFonts w:ascii="Book Antiqua"/>
          <w:color w:val="000000"/>
          <w:u w:color="000000"/>
          <w:rtl w:val="0"/>
          <w:lang w:val="it-IT"/>
        </w:rPr>
        <w:t>in linea con quello riscontrato a livello nazionale ed ascrivibile alla crisi economica che ha ridotto negli anni esaminati i consumi delle famiglie. Inoltre, nell</w:t>
      </w:r>
      <w:r>
        <w:rPr>
          <w:rFonts w:hAnsi="Book Antiqua" w:hint="default"/>
          <w:color w:val="000000"/>
          <w:u w:color="000000"/>
          <w:rtl w:val="0"/>
          <w:lang w:val="it-IT"/>
        </w:rPr>
        <w:t>’</w:t>
      </w:r>
      <w:r>
        <w:rPr>
          <w:rFonts w:ascii="Book Antiqua"/>
          <w:color w:val="000000"/>
          <w:u w:color="000000"/>
          <w:rtl w:val="0"/>
          <w:lang w:val="it-IT"/>
        </w:rPr>
        <w:t>analisi dei dati che l</w:t>
      </w:r>
      <w:r>
        <w:rPr>
          <w:rFonts w:hAnsi="Book Antiqua" w:hint="default"/>
          <w:color w:val="000000"/>
          <w:u w:color="000000"/>
          <w:rtl w:val="0"/>
          <w:lang w:val="it-IT"/>
        </w:rPr>
        <w:t>’</w:t>
      </w:r>
      <w:r>
        <w:rPr>
          <w:rFonts w:ascii="Book Antiqua"/>
          <w:color w:val="000000"/>
          <w:u w:color="000000"/>
          <w:rtl w:val="0"/>
          <w:lang w:val="it-IT"/>
        </w:rPr>
        <w:t xml:space="preserve">Istituto effettua annualmente, si </w:t>
      </w:r>
      <w:r>
        <w:rPr>
          <w:rFonts w:hAnsi="Book Antiqua" w:hint="default"/>
          <w:color w:val="000000"/>
          <w:u w:color="000000"/>
          <w:rtl w:val="0"/>
          <w:lang w:val="it-IT"/>
        </w:rPr>
        <w:t xml:space="preserve">è </w:t>
      </w:r>
      <w:r>
        <w:rPr>
          <w:rFonts w:ascii="Book Antiqua"/>
          <w:color w:val="000000"/>
          <w:u w:color="000000"/>
          <w:rtl w:val="0"/>
          <w:lang w:val="it-IT"/>
        </w:rPr>
        <w:t xml:space="preserve">potuto riscontrare che la crescita della raccolta differenziata </w:t>
      </w:r>
      <w:r>
        <w:rPr>
          <w:rFonts w:hAnsi="Book Antiqua" w:hint="default"/>
          <w:color w:val="000000"/>
          <w:u w:color="000000"/>
          <w:rtl w:val="0"/>
          <w:lang w:val="it-IT"/>
        </w:rPr>
        <w:t xml:space="preserve">è </w:t>
      </w:r>
      <w:r>
        <w:rPr>
          <w:rFonts w:ascii="Book Antiqua"/>
          <w:color w:val="000000"/>
          <w:u w:color="000000"/>
          <w:rtl w:val="0"/>
          <w:lang w:val="it-IT"/>
        </w:rPr>
        <w:t>spesso accompagnata da un effetto positivo sulla produzione pro capite dei rifiuti incidendo, probabilmente, sulle abitudini delle famiglie.</w:t>
      </w:r>
    </w:p>
    <w:p>
      <w:pPr>
        <w:pStyle w:val="Normal"/>
        <w:ind w:right="567"/>
        <w:jc w:val="both"/>
        <w:rPr>
          <w:color w:val="000000"/>
          <w:u w:color="000000"/>
        </w:rPr>
      </w:pPr>
    </w:p>
    <w:p>
      <w:pPr>
        <w:pStyle w:val="Normal"/>
        <w:ind w:right="567"/>
        <w:jc w:val="both"/>
        <w:rPr>
          <w:color w:val="000000"/>
          <w:u w:color="000000"/>
        </w:rPr>
      </w:pPr>
    </w:p>
    <w:p>
      <w:pPr>
        <w:pStyle w:val="Normal"/>
        <w:ind w:right="567"/>
        <w:jc w:val="both"/>
        <w:rPr>
          <w:color w:val="000000"/>
          <w:u w:color="000000"/>
        </w:rPr>
      </w:pPr>
    </w:p>
    <w:tbl>
      <w:tblPr>
        <w:tblW w:w="7894" w:type="dxa"/>
        <w:jc w:val="center"/>
        <w:tblInd w:w="108" w:type="dxa"/>
        <w:tblBorders>
          <w:top w:val="single" w:color="000000" w:sz="2" w:space="0" w:shadow="0" w:frame="0"/>
          <w:left w:val="single" w:color="000000" w:sz="2" w:space="0" w:shadow="0" w:frame="0"/>
          <w:bottom w:val="single" w:color="000000" w:sz="2" w:space="0" w:shadow="0" w:frame="0"/>
          <w:right w:val="single" w:color="000000" w:sz="2" w:space="0" w:shadow="0" w:frame="0"/>
          <w:insideH w:val="single" w:color="000000" w:sz="2" w:space="0" w:shadow="0" w:frame="0"/>
          <w:insideV w:val="single" w:color="000000" w:sz="2" w:space="0" w:shadow="0" w:frame="0"/>
        </w:tblBorders>
        <w:shd w:val="clear" w:color="auto" w:fill="auto"/>
        <w:tblLayout w:type="fixed"/>
      </w:tblPr>
      <w:tblGrid>
        <w:gridCol w:w="1124"/>
        <w:gridCol w:w="1184"/>
        <w:gridCol w:w="982"/>
        <w:gridCol w:w="1536"/>
        <w:gridCol w:w="1115"/>
        <w:gridCol w:w="774"/>
        <w:gridCol w:w="1179"/>
      </w:tblGrid>
      <w:tr>
        <w:tblPrEx>
          <w:shd w:val="clear" w:color="auto" w:fill="auto"/>
        </w:tblPrEx>
        <w:trPr>
          <w:trHeight w:val="838" w:hRule="atLeast"/>
        </w:trPr>
        <w:tc>
          <w:tcPr>
            <w:tcW w:type="dxa" w:w="112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c0c0c0"/>
            <w:tcMar>
              <w:top w:type="dxa" w:w="80"/>
              <w:left w:type="dxa" w:w="80"/>
              <w:bottom w:type="dxa" w:w="80"/>
              <w:right w:type="dxa" w:w="80"/>
            </w:tcMar>
            <w:vAlign w:val="center"/>
          </w:tcPr>
          <w:p>
            <w:pPr>
              <w:pStyle w:val="Normal"/>
              <w:jc w:val="center"/>
            </w:pPr>
            <w:r>
              <w:rPr>
                <w:rFonts w:ascii="Book Antiqua"/>
                <w:caps w:val="0"/>
                <w:smallCaps w:val="0"/>
                <w:strike w:val="0"/>
                <w:dstrike w:val="0"/>
                <w:outline w:val="0"/>
                <w:color w:val="000000"/>
                <w:spacing w:val="0"/>
                <w:kern w:val="0"/>
                <w:position w:val="0"/>
                <w:sz w:val="16"/>
                <w:szCs w:val="16"/>
                <w:u w:val="none" w:color="000000"/>
                <w:vertAlign w:val="baseline"/>
                <w:rtl w:val="0"/>
                <w:lang w:val="it-IT"/>
              </w:rPr>
              <w:t>Anno</w:t>
            </w:r>
          </w:p>
        </w:tc>
        <w:tc>
          <w:tcPr>
            <w:tcW w:type="dxa" w:w="118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c0c0c0"/>
            <w:tcMar>
              <w:top w:type="dxa" w:w="80"/>
              <w:left w:type="dxa" w:w="80"/>
              <w:bottom w:type="dxa" w:w="80"/>
              <w:right w:type="dxa" w:w="80"/>
            </w:tcMar>
            <w:vAlign w:val="center"/>
          </w:tcPr>
          <w:p>
            <w:pPr>
              <w:pStyle w:val="Normal"/>
              <w:jc w:val="center"/>
            </w:pPr>
            <w:r>
              <w:rPr>
                <w:rFonts w:ascii="Book Antiqua"/>
                <w:caps w:val="0"/>
                <w:smallCaps w:val="0"/>
                <w:strike w:val="0"/>
                <w:dstrike w:val="0"/>
                <w:outline w:val="0"/>
                <w:color w:val="000000"/>
                <w:spacing w:val="0"/>
                <w:kern w:val="0"/>
                <w:position w:val="0"/>
                <w:sz w:val="16"/>
                <w:szCs w:val="16"/>
                <w:u w:val="none" w:color="000000"/>
                <w:vertAlign w:val="baseline"/>
                <w:rtl w:val="0"/>
                <w:lang w:val="it-IT"/>
              </w:rPr>
              <w:t>popolazione</w:t>
            </w:r>
          </w:p>
        </w:tc>
        <w:tc>
          <w:tcPr>
            <w:tcW w:type="dxa" w:w="98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c0c0c0"/>
            <w:tcMar>
              <w:top w:type="dxa" w:w="80"/>
              <w:left w:type="dxa" w:w="80"/>
              <w:bottom w:type="dxa" w:w="80"/>
              <w:right w:type="dxa" w:w="80"/>
            </w:tcMar>
            <w:vAlign w:val="center"/>
          </w:tcPr>
          <w:p>
            <w:pPr>
              <w:pStyle w:val="Normal"/>
              <w:jc w:val="center"/>
            </w:pPr>
            <w:r>
              <w:rPr>
                <w:rFonts w:ascii="Book Antiqua"/>
                <w:caps w:val="0"/>
                <w:smallCaps w:val="0"/>
                <w:strike w:val="0"/>
                <w:dstrike w:val="0"/>
                <w:outline w:val="0"/>
                <w:color w:val="000000"/>
                <w:spacing w:val="0"/>
                <w:kern w:val="0"/>
                <w:position w:val="0"/>
                <w:sz w:val="16"/>
                <w:szCs w:val="16"/>
                <w:u w:val="none" w:color="000000"/>
                <w:vertAlign w:val="baseline"/>
                <w:rtl w:val="0"/>
                <w:lang w:val="it-IT"/>
              </w:rPr>
              <w:t>RD (t)</w:t>
            </w:r>
          </w:p>
        </w:tc>
        <w:tc>
          <w:tcPr>
            <w:tcW w:type="dxa" w:w="153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c0c0c0"/>
            <w:tcMar>
              <w:top w:type="dxa" w:w="80"/>
              <w:left w:type="dxa" w:w="80"/>
              <w:bottom w:type="dxa" w:w="80"/>
              <w:right w:type="dxa" w:w="80"/>
            </w:tcMar>
            <w:vAlign w:val="center"/>
          </w:tcPr>
          <w:p>
            <w:pPr>
              <w:pStyle w:val="Normal"/>
              <w:jc w:val="center"/>
              <w:rPr>
                <w:rFonts w:ascii="Book Antiqua" w:cs="Book Antiqua" w:hAnsi="Book Antiqua" w:eastAsia="Book Antiqua"/>
                <w:caps w:val="0"/>
                <w:smallCaps w:val="0"/>
                <w:strike w:val="0"/>
                <w:dstrike w:val="0"/>
                <w:outline w:val="0"/>
                <w:color w:val="000000"/>
                <w:spacing w:val="0"/>
                <w:kern w:val="0"/>
                <w:position w:val="0"/>
                <w:sz w:val="16"/>
                <w:szCs w:val="16"/>
                <w:u w:val="none" w:color="000000"/>
                <w:vertAlign w:val="baseline"/>
                <w:rtl w:val="0"/>
                <w:lang w:val="it-IT"/>
              </w:rPr>
            </w:pPr>
            <w:r>
              <w:rPr>
                <w:rFonts w:ascii="Book Antiqua"/>
                <w:caps w:val="0"/>
                <w:smallCaps w:val="0"/>
                <w:strike w:val="0"/>
                <w:dstrike w:val="0"/>
                <w:outline w:val="0"/>
                <w:color w:val="000000"/>
                <w:spacing w:val="0"/>
                <w:kern w:val="0"/>
                <w:position w:val="0"/>
                <w:sz w:val="16"/>
                <w:szCs w:val="16"/>
                <w:u w:val="none" w:color="000000"/>
                <w:vertAlign w:val="baseline"/>
                <w:rtl w:val="0"/>
                <w:lang w:val="it-IT"/>
              </w:rPr>
              <w:t>RU</w:t>
            </w:r>
          </w:p>
          <w:p>
            <w:pPr>
              <w:pStyle w:val="Normal"/>
              <w:jc w:val="center"/>
            </w:pPr>
            <w:r>
              <w:rPr>
                <w:rFonts w:ascii="Book Antiqua"/>
                <w:caps w:val="0"/>
                <w:smallCaps w:val="0"/>
                <w:strike w:val="0"/>
                <w:dstrike w:val="0"/>
                <w:outline w:val="0"/>
                <w:color w:val="000000"/>
                <w:spacing w:val="0"/>
                <w:kern w:val="0"/>
                <w:position w:val="0"/>
                <w:sz w:val="16"/>
                <w:szCs w:val="16"/>
                <w:u w:val="none" w:color="000000"/>
                <w:vertAlign w:val="baseline"/>
                <w:rtl w:val="0"/>
                <w:lang w:val="it-IT"/>
              </w:rPr>
              <w:t>indifferenziati* (t)</w:t>
            </w:r>
          </w:p>
        </w:tc>
        <w:tc>
          <w:tcPr>
            <w:tcW w:type="dxa" w:w="111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c0c0c0"/>
            <w:tcMar>
              <w:top w:type="dxa" w:w="80"/>
              <w:left w:type="dxa" w:w="80"/>
              <w:bottom w:type="dxa" w:w="80"/>
              <w:right w:type="dxa" w:w="80"/>
            </w:tcMar>
            <w:vAlign w:val="center"/>
          </w:tcPr>
          <w:p>
            <w:pPr>
              <w:pStyle w:val="Normal"/>
              <w:jc w:val="center"/>
            </w:pPr>
            <w:r>
              <w:rPr>
                <w:rFonts w:ascii="Book Antiqua"/>
                <w:caps w:val="0"/>
                <w:smallCaps w:val="0"/>
                <w:strike w:val="0"/>
                <w:dstrike w:val="0"/>
                <w:outline w:val="0"/>
                <w:color w:val="000000"/>
                <w:spacing w:val="0"/>
                <w:kern w:val="0"/>
                <w:position w:val="0"/>
                <w:sz w:val="16"/>
                <w:szCs w:val="16"/>
                <w:u w:val="none" w:color="000000"/>
                <w:vertAlign w:val="baseline"/>
                <w:rtl w:val="0"/>
                <w:lang w:val="it-IT"/>
              </w:rPr>
              <w:t>RU totali (t)</w:t>
            </w:r>
          </w:p>
        </w:tc>
        <w:tc>
          <w:tcPr>
            <w:tcW w:type="dxa" w:w="77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c0c0c0"/>
            <w:tcMar>
              <w:top w:type="dxa" w:w="80"/>
              <w:left w:type="dxa" w:w="80"/>
              <w:bottom w:type="dxa" w:w="80"/>
              <w:right w:type="dxa" w:w="80"/>
            </w:tcMar>
            <w:vAlign w:val="center"/>
          </w:tcPr>
          <w:p>
            <w:pPr>
              <w:pStyle w:val="Normal"/>
              <w:jc w:val="center"/>
            </w:pPr>
            <w:r>
              <w:rPr>
                <w:rFonts w:ascii="Book Antiqua"/>
                <w:caps w:val="0"/>
                <w:smallCaps w:val="0"/>
                <w:strike w:val="0"/>
                <w:dstrike w:val="0"/>
                <w:outline w:val="0"/>
                <w:color w:val="000000"/>
                <w:spacing w:val="0"/>
                <w:kern w:val="0"/>
                <w:position w:val="0"/>
                <w:sz w:val="16"/>
                <w:szCs w:val="16"/>
                <w:u w:val="none" w:color="000000"/>
                <w:vertAlign w:val="baseline"/>
                <w:rtl w:val="0"/>
                <w:lang w:val="it-IT"/>
              </w:rPr>
              <w:t>RD (%)</w:t>
            </w:r>
          </w:p>
        </w:tc>
        <w:tc>
          <w:tcPr>
            <w:tcW w:type="dxa" w:w="117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c0c0c0"/>
            <w:tcMar>
              <w:top w:type="dxa" w:w="80"/>
              <w:left w:type="dxa" w:w="80"/>
              <w:bottom w:type="dxa" w:w="80"/>
              <w:right w:type="dxa" w:w="80"/>
            </w:tcMar>
            <w:vAlign w:val="center"/>
          </w:tcPr>
          <w:p>
            <w:pPr>
              <w:pStyle w:val="Normal"/>
              <w:jc w:val="center"/>
            </w:pPr>
            <w:r>
              <w:rPr>
                <w:rFonts w:ascii="Book Antiqua"/>
                <w:caps w:val="0"/>
                <w:smallCaps w:val="0"/>
                <w:strike w:val="0"/>
                <w:dstrike w:val="0"/>
                <w:outline w:val="0"/>
                <w:color w:val="000000"/>
                <w:spacing w:val="0"/>
                <w:kern w:val="0"/>
                <w:position w:val="0"/>
                <w:sz w:val="16"/>
                <w:szCs w:val="16"/>
                <w:u w:val="none" w:color="000000"/>
                <w:vertAlign w:val="baseline"/>
                <w:rtl w:val="0"/>
                <w:lang w:val="it-IT"/>
              </w:rPr>
              <w:t>pro capite RU (kg/abitante)</w:t>
            </w:r>
          </w:p>
        </w:tc>
      </w:tr>
      <w:tr>
        <w:tblPrEx>
          <w:shd w:val="clear" w:color="auto" w:fill="auto"/>
        </w:tblPrEx>
        <w:trPr>
          <w:trHeight w:val="230" w:hRule="atLeast"/>
        </w:trPr>
        <w:tc>
          <w:tcPr>
            <w:tcW w:type="dxa" w:w="112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rFonts w:ascii="Book Antiqua"/>
                <w:caps w:val="0"/>
                <w:smallCaps w:val="0"/>
                <w:strike w:val="0"/>
                <w:dstrike w:val="0"/>
                <w:outline w:val="0"/>
                <w:color w:val="000000"/>
                <w:spacing w:val="0"/>
                <w:kern w:val="0"/>
                <w:position w:val="0"/>
                <w:sz w:val="18"/>
                <w:szCs w:val="18"/>
                <w:u w:val="none" w:color="000000"/>
                <w:vertAlign w:val="baseline"/>
                <w:rtl w:val="0"/>
                <w:lang w:val="it-IT"/>
              </w:rPr>
              <w:t>2010</w:t>
            </w:r>
          </w:p>
        </w:tc>
        <w:tc>
          <w:tcPr>
            <w:tcW w:type="dxa" w:w="118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pPr>
            <w:r>
              <w:rPr>
                <w:rFonts w:ascii="Book Antiqua"/>
                <w:caps w:val="0"/>
                <w:smallCaps w:val="0"/>
                <w:strike w:val="0"/>
                <w:dstrike w:val="0"/>
                <w:outline w:val="0"/>
                <w:color w:val="000000"/>
                <w:spacing w:val="0"/>
                <w:kern w:val="0"/>
                <w:position w:val="0"/>
                <w:sz w:val="18"/>
                <w:szCs w:val="18"/>
                <w:u w:val="none" w:color="000000"/>
                <w:vertAlign w:val="baseline"/>
                <w:rtl w:val="0"/>
                <w:lang w:val="it-IT"/>
              </w:rPr>
              <w:t>2.761.477</w:t>
            </w:r>
          </w:p>
        </w:tc>
        <w:tc>
          <w:tcPr>
            <w:tcW w:type="dxa" w:w="98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pPr>
            <w:r>
              <w:rPr>
                <w:rFonts w:ascii="Book Antiqua"/>
                <w:caps w:val="0"/>
                <w:smallCaps w:val="0"/>
                <w:strike w:val="0"/>
                <w:dstrike w:val="0"/>
                <w:outline w:val="0"/>
                <w:color w:val="000000"/>
                <w:spacing w:val="0"/>
                <w:kern w:val="0"/>
                <w:position w:val="0"/>
                <w:sz w:val="18"/>
                <w:szCs w:val="18"/>
                <w:u w:val="none" w:color="000000"/>
                <w:vertAlign w:val="baseline"/>
                <w:rtl w:val="0"/>
                <w:lang w:val="it-IT"/>
              </w:rPr>
              <w:t>385.471</w:t>
            </w:r>
          </w:p>
        </w:tc>
        <w:tc>
          <w:tcPr>
            <w:tcW w:type="dxa" w:w="153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pPr>
            <w:r>
              <w:rPr>
                <w:rFonts w:ascii="Book Antiqua"/>
                <w:caps w:val="0"/>
                <w:smallCaps w:val="0"/>
                <w:strike w:val="0"/>
                <w:dstrike w:val="0"/>
                <w:outline w:val="0"/>
                <w:color w:val="000000"/>
                <w:spacing w:val="0"/>
                <w:kern w:val="0"/>
                <w:position w:val="0"/>
                <w:sz w:val="18"/>
                <w:szCs w:val="18"/>
                <w:u w:val="none" w:color="000000"/>
                <w:vertAlign w:val="baseline"/>
                <w:rtl w:val="0"/>
                <w:lang w:val="it-IT"/>
              </w:rPr>
              <w:t>1.440.568</w:t>
            </w:r>
          </w:p>
        </w:tc>
        <w:tc>
          <w:tcPr>
            <w:tcW w:type="dxa" w:w="111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pPr>
            <w:r>
              <w:rPr>
                <w:rFonts w:ascii="Book Antiqua"/>
                <w:caps w:val="0"/>
                <w:smallCaps w:val="0"/>
                <w:strike w:val="0"/>
                <w:dstrike w:val="0"/>
                <w:outline w:val="0"/>
                <w:color w:val="000000"/>
                <w:spacing w:val="0"/>
                <w:kern w:val="0"/>
                <w:position w:val="0"/>
                <w:sz w:val="18"/>
                <w:szCs w:val="18"/>
                <w:u w:val="none" w:color="000000"/>
                <w:vertAlign w:val="baseline"/>
                <w:rtl w:val="0"/>
                <w:lang w:val="it-IT"/>
              </w:rPr>
              <w:t>1.826.039</w:t>
            </w:r>
          </w:p>
        </w:tc>
        <w:tc>
          <w:tcPr>
            <w:tcW w:type="dxa" w:w="77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pPr>
            <w:r>
              <w:rPr>
                <w:rFonts w:ascii="Book Antiqua"/>
                <w:caps w:val="0"/>
                <w:smallCaps w:val="0"/>
                <w:strike w:val="0"/>
                <w:dstrike w:val="0"/>
                <w:outline w:val="0"/>
                <w:color w:val="000000"/>
                <w:spacing w:val="0"/>
                <w:kern w:val="0"/>
                <w:position w:val="0"/>
                <w:sz w:val="18"/>
                <w:szCs w:val="18"/>
                <w:u w:val="none" w:color="000000"/>
                <w:vertAlign w:val="baseline"/>
                <w:rtl w:val="0"/>
                <w:lang w:val="it-IT"/>
              </w:rPr>
              <w:t>21</w:t>
            </w:r>
          </w:p>
        </w:tc>
        <w:tc>
          <w:tcPr>
            <w:tcW w:type="dxa" w:w="117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pPr>
            <w:r>
              <w:rPr>
                <w:rFonts w:ascii="Book Antiqua"/>
                <w:caps w:val="0"/>
                <w:smallCaps w:val="0"/>
                <w:strike w:val="0"/>
                <w:dstrike w:val="0"/>
                <w:outline w:val="0"/>
                <w:color w:val="000000"/>
                <w:spacing w:val="0"/>
                <w:kern w:val="0"/>
                <w:position w:val="0"/>
                <w:sz w:val="18"/>
                <w:szCs w:val="18"/>
                <w:u w:val="none" w:color="000000"/>
                <w:vertAlign w:val="baseline"/>
                <w:rtl w:val="0"/>
                <w:lang w:val="it-IT"/>
              </w:rPr>
              <w:t>661,3</w:t>
            </w:r>
          </w:p>
        </w:tc>
      </w:tr>
      <w:tr>
        <w:tblPrEx>
          <w:shd w:val="clear" w:color="auto" w:fill="auto"/>
        </w:tblPrEx>
        <w:trPr>
          <w:trHeight w:val="230" w:hRule="atLeast"/>
        </w:trPr>
        <w:tc>
          <w:tcPr>
            <w:tcW w:type="dxa" w:w="112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rFonts w:ascii="Book Antiqua"/>
                <w:caps w:val="0"/>
                <w:smallCaps w:val="0"/>
                <w:strike w:val="0"/>
                <w:dstrike w:val="0"/>
                <w:outline w:val="0"/>
                <w:color w:val="000000"/>
                <w:spacing w:val="0"/>
                <w:kern w:val="0"/>
                <w:position w:val="0"/>
                <w:sz w:val="18"/>
                <w:szCs w:val="18"/>
                <w:u w:val="none" w:color="000000"/>
                <w:vertAlign w:val="baseline"/>
                <w:rtl w:val="0"/>
                <w:lang w:val="it-IT"/>
              </w:rPr>
              <w:t>2011</w:t>
            </w:r>
          </w:p>
        </w:tc>
        <w:tc>
          <w:tcPr>
            <w:tcW w:type="dxa" w:w="118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pPr>
            <w:r>
              <w:rPr>
                <w:rFonts w:ascii="Book Antiqua"/>
                <w:caps w:val="0"/>
                <w:smallCaps w:val="0"/>
                <w:strike w:val="0"/>
                <w:dstrike w:val="0"/>
                <w:outline w:val="0"/>
                <w:color w:val="000000"/>
                <w:spacing w:val="0"/>
                <w:kern w:val="0"/>
                <w:position w:val="0"/>
                <w:sz w:val="18"/>
                <w:szCs w:val="18"/>
                <w:u w:val="none" w:color="000000"/>
                <w:vertAlign w:val="baseline"/>
                <w:rtl w:val="0"/>
                <w:lang w:val="it-IT"/>
              </w:rPr>
              <w:t>2.617.175</w:t>
            </w:r>
          </w:p>
        </w:tc>
        <w:tc>
          <w:tcPr>
            <w:tcW w:type="dxa" w:w="98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pPr>
            <w:r>
              <w:rPr>
                <w:rFonts w:ascii="Book Antiqua"/>
                <w:caps w:val="0"/>
                <w:smallCaps w:val="0"/>
                <w:strike w:val="0"/>
                <w:dstrike w:val="0"/>
                <w:outline w:val="0"/>
                <w:color w:val="000000"/>
                <w:spacing w:val="0"/>
                <w:kern w:val="0"/>
                <w:position w:val="0"/>
                <w:sz w:val="18"/>
                <w:szCs w:val="18"/>
                <w:u w:val="none" w:color="000000"/>
                <w:vertAlign w:val="baseline"/>
                <w:rtl w:val="0"/>
                <w:lang w:val="it-IT"/>
              </w:rPr>
              <w:t>431.373</w:t>
            </w:r>
          </w:p>
        </w:tc>
        <w:tc>
          <w:tcPr>
            <w:tcW w:type="dxa" w:w="153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pPr>
            <w:r>
              <w:rPr>
                <w:rFonts w:ascii="Book Antiqua"/>
                <w:caps w:val="0"/>
                <w:smallCaps w:val="0"/>
                <w:strike w:val="0"/>
                <w:dstrike w:val="0"/>
                <w:outline w:val="0"/>
                <w:color w:val="000000"/>
                <w:spacing w:val="0"/>
                <w:kern w:val="0"/>
                <w:position w:val="0"/>
                <w:sz w:val="18"/>
                <w:szCs w:val="18"/>
                <w:u w:val="none" w:color="000000"/>
                <w:vertAlign w:val="baseline"/>
                <w:rtl w:val="0"/>
                <w:lang w:val="it-IT"/>
              </w:rPr>
              <w:t>1.354.280</w:t>
            </w:r>
          </w:p>
        </w:tc>
        <w:tc>
          <w:tcPr>
            <w:tcW w:type="dxa" w:w="111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pPr>
            <w:r>
              <w:rPr>
                <w:rFonts w:ascii="Book Antiqua"/>
                <w:caps w:val="0"/>
                <w:smallCaps w:val="0"/>
                <w:strike w:val="0"/>
                <w:dstrike w:val="0"/>
                <w:outline w:val="0"/>
                <w:color w:val="000000"/>
                <w:spacing w:val="0"/>
                <w:kern w:val="0"/>
                <w:position w:val="0"/>
                <w:sz w:val="18"/>
                <w:szCs w:val="18"/>
                <w:u w:val="none" w:color="000000"/>
                <w:vertAlign w:val="baseline"/>
                <w:rtl w:val="0"/>
                <w:lang w:val="it-IT"/>
              </w:rPr>
              <w:t>1.785.653</w:t>
            </w:r>
          </w:p>
        </w:tc>
        <w:tc>
          <w:tcPr>
            <w:tcW w:type="dxa" w:w="77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pPr>
            <w:r>
              <w:rPr>
                <w:rFonts w:ascii="Book Antiqua"/>
                <w:caps w:val="0"/>
                <w:smallCaps w:val="0"/>
                <w:strike w:val="0"/>
                <w:dstrike w:val="0"/>
                <w:outline w:val="0"/>
                <w:color w:val="000000"/>
                <w:spacing w:val="0"/>
                <w:kern w:val="0"/>
                <w:position w:val="0"/>
                <w:sz w:val="18"/>
                <w:szCs w:val="18"/>
                <w:u w:val="none" w:color="000000"/>
                <w:vertAlign w:val="baseline"/>
                <w:rtl w:val="0"/>
                <w:lang w:val="it-IT"/>
              </w:rPr>
              <w:t>24</w:t>
            </w:r>
          </w:p>
        </w:tc>
        <w:tc>
          <w:tcPr>
            <w:tcW w:type="dxa" w:w="117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pPr>
            <w:r>
              <w:rPr>
                <w:rFonts w:ascii="Book Antiqua"/>
                <w:caps w:val="0"/>
                <w:smallCaps w:val="0"/>
                <w:strike w:val="0"/>
                <w:dstrike w:val="0"/>
                <w:outline w:val="0"/>
                <w:color w:val="000000"/>
                <w:spacing w:val="0"/>
                <w:kern w:val="0"/>
                <w:position w:val="0"/>
                <w:sz w:val="18"/>
                <w:szCs w:val="18"/>
                <w:u w:val="none" w:color="000000"/>
                <w:vertAlign w:val="baseline"/>
                <w:rtl w:val="0"/>
                <w:lang w:val="it-IT"/>
              </w:rPr>
              <w:t>682,3</w:t>
            </w:r>
          </w:p>
        </w:tc>
      </w:tr>
      <w:tr>
        <w:tblPrEx>
          <w:shd w:val="clear" w:color="auto" w:fill="auto"/>
        </w:tblPrEx>
        <w:trPr>
          <w:trHeight w:val="230" w:hRule="atLeast"/>
        </w:trPr>
        <w:tc>
          <w:tcPr>
            <w:tcW w:type="dxa" w:w="112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rFonts w:ascii="Book Antiqua"/>
                <w:caps w:val="0"/>
                <w:smallCaps w:val="0"/>
                <w:strike w:val="0"/>
                <w:dstrike w:val="0"/>
                <w:outline w:val="0"/>
                <w:color w:val="000000"/>
                <w:spacing w:val="0"/>
                <w:kern w:val="0"/>
                <w:position w:val="0"/>
                <w:sz w:val="18"/>
                <w:szCs w:val="18"/>
                <w:u w:val="none" w:color="000000"/>
                <w:vertAlign w:val="baseline"/>
                <w:rtl w:val="0"/>
                <w:lang w:val="it-IT"/>
              </w:rPr>
              <w:t>2012</w:t>
            </w:r>
          </w:p>
        </w:tc>
        <w:tc>
          <w:tcPr>
            <w:tcW w:type="dxa" w:w="118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pPr>
            <w:r>
              <w:rPr>
                <w:rFonts w:ascii="Book Antiqua"/>
                <w:caps w:val="0"/>
                <w:smallCaps w:val="0"/>
                <w:strike w:val="0"/>
                <w:dstrike w:val="0"/>
                <w:outline w:val="0"/>
                <w:color w:val="000000"/>
                <w:spacing w:val="0"/>
                <w:kern w:val="0"/>
                <w:position w:val="0"/>
                <w:sz w:val="18"/>
                <w:szCs w:val="18"/>
                <w:u w:val="none" w:color="000000"/>
                <w:vertAlign w:val="baseline"/>
                <w:rtl w:val="0"/>
                <w:lang w:val="it-IT"/>
              </w:rPr>
              <w:t>2.614.263</w:t>
            </w:r>
          </w:p>
        </w:tc>
        <w:tc>
          <w:tcPr>
            <w:tcW w:type="dxa" w:w="98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pPr>
            <w:r>
              <w:rPr>
                <w:rFonts w:ascii="Book Antiqua"/>
                <w:caps w:val="0"/>
                <w:smallCaps w:val="0"/>
                <w:strike w:val="0"/>
                <w:dstrike w:val="0"/>
                <w:outline w:val="0"/>
                <w:color w:val="000000"/>
                <w:spacing w:val="0"/>
                <w:kern w:val="0"/>
                <w:position w:val="0"/>
                <w:sz w:val="18"/>
                <w:szCs w:val="18"/>
                <w:u w:val="none" w:color="000000"/>
                <w:vertAlign w:val="baseline"/>
                <w:rtl w:val="0"/>
                <w:lang w:val="it-IT"/>
              </w:rPr>
              <w:t>427.251</w:t>
            </w:r>
          </w:p>
        </w:tc>
        <w:tc>
          <w:tcPr>
            <w:tcW w:type="dxa" w:w="153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pPr>
            <w:r>
              <w:rPr>
                <w:rFonts w:ascii="Book Antiqua"/>
                <w:caps w:val="0"/>
                <w:smallCaps w:val="0"/>
                <w:strike w:val="0"/>
                <w:dstrike w:val="0"/>
                <w:outline w:val="0"/>
                <w:color w:val="000000"/>
                <w:spacing w:val="0"/>
                <w:kern w:val="0"/>
                <w:position w:val="0"/>
                <w:sz w:val="18"/>
                <w:szCs w:val="18"/>
                <w:u w:val="none" w:color="000000"/>
                <w:vertAlign w:val="baseline"/>
                <w:rtl w:val="0"/>
                <w:lang w:val="it-IT"/>
              </w:rPr>
              <w:t>1.312.157</w:t>
            </w:r>
          </w:p>
        </w:tc>
        <w:tc>
          <w:tcPr>
            <w:tcW w:type="dxa" w:w="111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pPr>
            <w:r>
              <w:rPr>
                <w:rFonts w:ascii="Book Antiqua"/>
                <w:caps w:val="0"/>
                <w:smallCaps w:val="0"/>
                <w:strike w:val="0"/>
                <w:dstrike w:val="0"/>
                <w:outline w:val="0"/>
                <w:color w:val="000000"/>
                <w:spacing w:val="0"/>
                <w:kern w:val="0"/>
                <w:position w:val="0"/>
                <w:sz w:val="18"/>
                <w:szCs w:val="18"/>
                <w:u w:val="none" w:color="000000"/>
                <w:vertAlign w:val="baseline"/>
                <w:rtl w:val="0"/>
                <w:lang w:val="it-IT"/>
              </w:rPr>
              <w:t>1.739.407</w:t>
            </w:r>
          </w:p>
        </w:tc>
        <w:tc>
          <w:tcPr>
            <w:tcW w:type="dxa" w:w="77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pPr>
            <w:r>
              <w:rPr>
                <w:rFonts w:ascii="Book Antiqua"/>
                <w:caps w:val="0"/>
                <w:smallCaps w:val="0"/>
                <w:strike w:val="0"/>
                <w:dstrike w:val="0"/>
                <w:outline w:val="0"/>
                <w:color w:val="000000"/>
                <w:spacing w:val="0"/>
                <w:kern w:val="0"/>
                <w:position w:val="0"/>
                <w:sz w:val="18"/>
                <w:szCs w:val="18"/>
                <w:u w:val="none" w:color="000000"/>
                <w:vertAlign w:val="baseline"/>
                <w:rtl w:val="0"/>
                <w:lang w:val="it-IT"/>
              </w:rPr>
              <w:t>25</w:t>
            </w:r>
          </w:p>
        </w:tc>
        <w:tc>
          <w:tcPr>
            <w:tcW w:type="dxa" w:w="117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pPr>
            <w:r>
              <w:rPr>
                <w:rFonts w:ascii="Book Antiqua"/>
                <w:caps w:val="0"/>
                <w:smallCaps w:val="0"/>
                <w:strike w:val="0"/>
                <w:dstrike w:val="0"/>
                <w:outline w:val="0"/>
                <w:color w:val="000000"/>
                <w:spacing w:val="0"/>
                <w:kern w:val="0"/>
                <w:position w:val="0"/>
                <w:sz w:val="18"/>
                <w:szCs w:val="18"/>
                <w:u w:val="none" w:color="000000"/>
                <w:vertAlign w:val="baseline"/>
                <w:rtl w:val="0"/>
                <w:lang w:val="it-IT"/>
              </w:rPr>
              <w:t>665,4</w:t>
            </w:r>
          </w:p>
        </w:tc>
      </w:tr>
      <w:tr>
        <w:tblPrEx>
          <w:shd w:val="clear" w:color="auto" w:fill="auto"/>
        </w:tblPrEx>
        <w:trPr>
          <w:trHeight w:val="230" w:hRule="atLeast"/>
        </w:trPr>
        <w:tc>
          <w:tcPr>
            <w:tcW w:type="dxa" w:w="112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rFonts w:ascii="Book Antiqua"/>
                <w:caps w:val="0"/>
                <w:smallCaps w:val="0"/>
                <w:strike w:val="0"/>
                <w:dstrike w:val="0"/>
                <w:outline w:val="0"/>
                <w:color w:val="000000"/>
                <w:spacing w:val="0"/>
                <w:kern w:val="0"/>
                <w:position w:val="0"/>
                <w:sz w:val="18"/>
                <w:szCs w:val="18"/>
                <w:u w:val="none" w:color="000000"/>
                <w:vertAlign w:val="baseline"/>
                <w:rtl w:val="0"/>
                <w:lang w:val="it-IT"/>
              </w:rPr>
              <w:t>2013</w:t>
            </w:r>
          </w:p>
        </w:tc>
        <w:tc>
          <w:tcPr>
            <w:tcW w:type="dxa" w:w="118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pPr>
            <w:r>
              <w:rPr>
                <w:rFonts w:ascii="Book Antiqua"/>
                <w:caps w:val="0"/>
                <w:smallCaps w:val="0"/>
                <w:strike w:val="0"/>
                <w:dstrike w:val="0"/>
                <w:outline w:val="0"/>
                <w:color w:val="000000"/>
                <w:spacing w:val="0"/>
                <w:kern w:val="0"/>
                <w:position w:val="0"/>
                <w:sz w:val="18"/>
                <w:szCs w:val="18"/>
                <w:u w:val="none" w:color="000000"/>
                <w:vertAlign w:val="baseline"/>
                <w:rtl w:val="0"/>
                <w:lang w:val="it-IT"/>
              </w:rPr>
              <w:t>2.863.322</w:t>
            </w:r>
          </w:p>
        </w:tc>
        <w:tc>
          <w:tcPr>
            <w:tcW w:type="dxa" w:w="98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pPr>
            <w:r>
              <w:rPr>
                <w:rFonts w:ascii="Book Antiqua"/>
                <w:caps w:val="0"/>
                <w:smallCaps w:val="0"/>
                <w:strike w:val="0"/>
                <w:dstrike w:val="0"/>
                <w:outline w:val="0"/>
                <w:color w:val="000000"/>
                <w:spacing w:val="0"/>
                <w:kern w:val="0"/>
                <w:position w:val="0"/>
                <w:sz w:val="18"/>
                <w:szCs w:val="18"/>
                <w:u w:val="none" w:color="000000"/>
                <w:vertAlign w:val="baseline"/>
                <w:rtl w:val="0"/>
                <w:lang w:val="it-IT"/>
              </w:rPr>
              <w:t>521.023</w:t>
            </w:r>
          </w:p>
        </w:tc>
        <w:tc>
          <w:tcPr>
            <w:tcW w:type="dxa" w:w="153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pPr>
            <w:r>
              <w:rPr>
                <w:rFonts w:ascii="Book Antiqua"/>
                <w:caps w:val="0"/>
                <w:smallCaps w:val="0"/>
                <w:strike w:val="0"/>
                <w:dstrike w:val="0"/>
                <w:outline w:val="0"/>
                <w:color w:val="000000"/>
                <w:spacing w:val="0"/>
                <w:kern w:val="0"/>
                <w:position w:val="0"/>
                <w:sz w:val="18"/>
                <w:szCs w:val="18"/>
                <w:u w:val="none" w:color="000000"/>
                <w:vertAlign w:val="baseline"/>
                <w:rtl w:val="0"/>
                <w:lang w:val="it-IT"/>
              </w:rPr>
              <w:t>1.233.800</w:t>
            </w:r>
          </w:p>
        </w:tc>
        <w:tc>
          <w:tcPr>
            <w:tcW w:type="dxa" w:w="111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pPr>
            <w:r>
              <w:rPr>
                <w:rFonts w:ascii="Book Antiqua"/>
                <w:caps w:val="0"/>
                <w:smallCaps w:val="0"/>
                <w:strike w:val="0"/>
                <w:dstrike w:val="0"/>
                <w:outline w:val="0"/>
                <w:color w:val="000000"/>
                <w:spacing w:val="0"/>
                <w:kern w:val="0"/>
                <w:position w:val="0"/>
                <w:sz w:val="18"/>
                <w:szCs w:val="18"/>
                <w:u w:val="none" w:color="000000"/>
                <w:vertAlign w:val="baseline"/>
                <w:rtl w:val="0"/>
                <w:lang w:val="it-IT"/>
              </w:rPr>
              <w:t>1.754.823</w:t>
            </w:r>
          </w:p>
        </w:tc>
        <w:tc>
          <w:tcPr>
            <w:tcW w:type="dxa" w:w="77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pPr>
            <w:r>
              <w:rPr>
                <w:rFonts w:ascii="Book Antiqua"/>
                <w:caps w:val="0"/>
                <w:smallCaps w:val="0"/>
                <w:strike w:val="0"/>
                <w:dstrike w:val="0"/>
                <w:outline w:val="0"/>
                <w:color w:val="000000"/>
                <w:spacing w:val="0"/>
                <w:kern w:val="0"/>
                <w:position w:val="0"/>
                <w:sz w:val="18"/>
                <w:szCs w:val="18"/>
                <w:u w:val="none" w:color="000000"/>
                <w:vertAlign w:val="baseline"/>
                <w:rtl w:val="0"/>
                <w:lang w:val="it-IT"/>
              </w:rPr>
              <w:t>30</w:t>
            </w:r>
          </w:p>
        </w:tc>
        <w:tc>
          <w:tcPr>
            <w:tcW w:type="dxa" w:w="117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pPr>
            <w:r>
              <w:rPr>
                <w:rFonts w:ascii="Book Antiqua"/>
                <w:caps w:val="0"/>
                <w:smallCaps w:val="0"/>
                <w:strike w:val="0"/>
                <w:dstrike w:val="0"/>
                <w:outline w:val="0"/>
                <w:color w:val="000000"/>
                <w:spacing w:val="0"/>
                <w:kern w:val="0"/>
                <w:position w:val="0"/>
                <w:sz w:val="18"/>
                <w:szCs w:val="18"/>
                <w:u w:val="none" w:color="000000"/>
                <w:vertAlign w:val="baseline"/>
                <w:rtl w:val="0"/>
                <w:lang w:val="it-IT"/>
              </w:rPr>
              <w:t>612,9</w:t>
            </w:r>
          </w:p>
        </w:tc>
      </w:tr>
      <w:tr>
        <w:tblPrEx>
          <w:shd w:val="clear" w:color="auto" w:fill="auto"/>
        </w:tblPrEx>
        <w:trPr>
          <w:trHeight w:val="230" w:hRule="atLeast"/>
        </w:trPr>
        <w:tc>
          <w:tcPr>
            <w:tcW w:type="dxa" w:w="112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rFonts w:ascii="Book Antiqua"/>
                <w:caps w:val="0"/>
                <w:smallCaps w:val="0"/>
                <w:strike w:val="0"/>
                <w:dstrike w:val="0"/>
                <w:outline w:val="0"/>
                <w:color w:val="000000"/>
                <w:spacing w:val="0"/>
                <w:kern w:val="0"/>
                <w:position w:val="0"/>
                <w:sz w:val="18"/>
                <w:szCs w:val="18"/>
                <w:u w:val="none" w:color="000000"/>
                <w:vertAlign w:val="baseline"/>
                <w:rtl w:val="0"/>
                <w:lang w:val="it-IT"/>
              </w:rPr>
              <w:t>2014</w:t>
            </w:r>
          </w:p>
        </w:tc>
        <w:tc>
          <w:tcPr>
            <w:tcW w:type="dxa" w:w="118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pPr>
            <w:r>
              <w:rPr>
                <w:rFonts w:ascii="Book Antiqua"/>
                <w:caps w:val="0"/>
                <w:smallCaps w:val="0"/>
                <w:strike w:val="0"/>
                <w:dstrike w:val="0"/>
                <w:outline w:val="0"/>
                <w:color w:val="000000"/>
                <w:spacing w:val="0"/>
                <w:kern w:val="0"/>
                <w:position w:val="0"/>
                <w:sz w:val="18"/>
                <w:szCs w:val="18"/>
                <w:u w:val="none" w:color="000000"/>
                <w:vertAlign w:val="baseline"/>
                <w:rtl w:val="0"/>
                <w:lang w:val="it-IT"/>
              </w:rPr>
              <w:t>2.872.021</w:t>
            </w:r>
          </w:p>
        </w:tc>
        <w:tc>
          <w:tcPr>
            <w:tcW w:type="dxa" w:w="98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pPr>
            <w:r>
              <w:rPr>
                <w:rFonts w:ascii="Book Antiqua"/>
                <w:caps w:val="0"/>
                <w:smallCaps w:val="0"/>
                <w:strike w:val="0"/>
                <w:dstrike w:val="0"/>
                <w:outline w:val="0"/>
                <w:color w:val="000000"/>
                <w:spacing w:val="0"/>
                <w:kern w:val="0"/>
                <w:position w:val="0"/>
                <w:sz w:val="18"/>
                <w:szCs w:val="18"/>
                <w:u w:val="none" w:color="000000"/>
                <w:vertAlign w:val="baseline"/>
                <w:rtl w:val="0"/>
                <w:lang w:val="it-IT"/>
              </w:rPr>
              <w:t>605.111</w:t>
            </w:r>
          </w:p>
        </w:tc>
        <w:tc>
          <w:tcPr>
            <w:tcW w:type="dxa" w:w="153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pPr>
            <w:r>
              <w:rPr>
                <w:rFonts w:ascii="Book Antiqua"/>
                <w:caps w:val="0"/>
                <w:smallCaps w:val="0"/>
                <w:strike w:val="0"/>
                <w:dstrike w:val="0"/>
                <w:outline w:val="0"/>
                <w:color w:val="000000"/>
                <w:spacing w:val="0"/>
                <w:kern w:val="0"/>
                <w:position w:val="0"/>
                <w:sz w:val="18"/>
                <w:szCs w:val="18"/>
                <w:u w:val="none" w:color="000000"/>
                <w:vertAlign w:val="baseline"/>
                <w:rtl w:val="0"/>
                <w:lang w:val="it-IT"/>
              </w:rPr>
              <w:t>1.114.738</w:t>
            </w:r>
          </w:p>
        </w:tc>
        <w:tc>
          <w:tcPr>
            <w:tcW w:type="dxa" w:w="111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pPr>
            <w:r>
              <w:rPr>
                <w:rFonts w:ascii="Book Antiqua"/>
                <w:caps w:val="0"/>
                <w:smallCaps w:val="0"/>
                <w:strike w:val="0"/>
                <w:dstrike w:val="0"/>
                <w:outline w:val="0"/>
                <w:color w:val="000000"/>
                <w:spacing w:val="0"/>
                <w:kern w:val="0"/>
                <w:position w:val="0"/>
                <w:sz w:val="18"/>
                <w:szCs w:val="18"/>
                <w:u w:val="none" w:color="000000"/>
                <w:vertAlign w:val="baseline"/>
                <w:rtl w:val="0"/>
                <w:lang w:val="it-IT"/>
              </w:rPr>
              <w:t>1.719.848</w:t>
            </w:r>
          </w:p>
        </w:tc>
        <w:tc>
          <w:tcPr>
            <w:tcW w:type="dxa" w:w="77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pPr>
            <w:r>
              <w:rPr>
                <w:rFonts w:ascii="Book Antiqua"/>
                <w:caps w:val="0"/>
                <w:smallCaps w:val="0"/>
                <w:strike w:val="0"/>
                <w:dstrike w:val="0"/>
                <w:outline w:val="0"/>
                <w:color w:val="000000"/>
                <w:spacing w:val="0"/>
                <w:kern w:val="0"/>
                <w:position w:val="0"/>
                <w:sz w:val="18"/>
                <w:szCs w:val="18"/>
                <w:u w:val="none" w:color="000000"/>
                <w:vertAlign w:val="baseline"/>
                <w:rtl w:val="0"/>
                <w:lang w:val="it-IT"/>
              </w:rPr>
              <w:t>35</w:t>
            </w:r>
          </w:p>
        </w:tc>
        <w:tc>
          <w:tcPr>
            <w:tcW w:type="dxa" w:w="117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pPr>
            <w:r>
              <w:rPr>
                <w:rFonts w:ascii="Book Antiqua"/>
                <w:caps w:val="0"/>
                <w:smallCaps w:val="0"/>
                <w:strike w:val="0"/>
                <w:dstrike w:val="0"/>
                <w:outline w:val="0"/>
                <w:color w:val="000000"/>
                <w:spacing w:val="0"/>
                <w:kern w:val="0"/>
                <w:position w:val="0"/>
                <w:sz w:val="18"/>
                <w:szCs w:val="18"/>
                <w:u w:val="none" w:color="000000"/>
                <w:vertAlign w:val="baseline"/>
                <w:rtl w:val="0"/>
                <w:lang w:val="it-IT"/>
              </w:rPr>
              <w:t>598,8</w:t>
            </w:r>
          </w:p>
        </w:tc>
      </w:tr>
      <w:tr>
        <w:tblPrEx>
          <w:shd w:val="clear" w:color="auto" w:fill="auto"/>
        </w:tblPrEx>
        <w:trPr>
          <w:trHeight w:val="230" w:hRule="atLeast"/>
        </w:trPr>
        <w:tc>
          <w:tcPr>
            <w:tcW w:type="dxa" w:w="112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rFonts w:ascii="Book Antiqua"/>
                <w:caps w:val="0"/>
                <w:smallCaps w:val="0"/>
                <w:strike w:val="0"/>
                <w:dstrike w:val="0"/>
                <w:outline w:val="0"/>
                <w:color w:val="000000"/>
                <w:spacing w:val="0"/>
                <w:kern w:val="0"/>
                <w:position w:val="0"/>
                <w:sz w:val="18"/>
                <w:szCs w:val="18"/>
                <w:u w:val="none" w:color="000000"/>
                <w:vertAlign w:val="baseline"/>
                <w:rtl w:val="0"/>
                <w:lang w:val="it-IT"/>
              </w:rPr>
              <w:t>2015</w:t>
            </w:r>
          </w:p>
        </w:tc>
        <w:tc>
          <w:tcPr>
            <w:tcW w:type="dxa" w:w="118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pPr>
            <w:r>
              <w:rPr>
                <w:rFonts w:ascii="Book Antiqua"/>
                <w:caps w:val="0"/>
                <w:smallCaps w:val="0"/>
                <w:strike w:val="0"/>
                <w:dstrike w:val="0"/>
                <w:outline w:val="0"/>
                <w:color w:val="000000"/>
                <w:spacing w:val="0"/>
                <w:kern w:val="0"/>
                <w:position w:val="0"/>
                <w:sz w:val="18"/>
                <w:szCs w:val="18"/>
                <w:u w:val="none" w:color="000000"/>
                <w:vertAlign w:val="baseline"/>
                <w:rtl w:val="0"/>
                <w:lang w:val="it-IT"/>
              </w:rPr>
              <w:t>2.864.731</w:t>
            </w:r>
          </w:p>
        </w:tc>
        <w:tc>
          <w:tcPr>
            <w:tcW w:type="dxa" w:w="98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pPr>
            <w:r>
              <w:rPr>
                <w:rFonts w:ascii="Book Antiqua"/>
                <w:caps w:val="0"/>
                <w:smallCaps w:val="0"/>
                <w:strike w:val="0"/>
                <w:dstrike w:val="0"/>
                <w:outline w:val="0"/>
                <w:color w:val="000000"/>
                <w:spacing w:val="0"/>
                <w:kern w:val="0"/>
                <w:position w:val="0"/>
                <w:sz w:val="18"/>
                <w:szCs w:val="18"/>
                <w:u w:val="none" w:color="000000"/>
                <w:vertAlign w:val="baseline"/>
                <w:rtl w:val="0"/>
                <w:lang w:val="it-IT"/>
              </w:rPr>
              <w:t>652.751</w:t>
            </w:r>
          </w:p>
        </w:tc>
        <w:tc>
          <w:tcPr>
            <w:tcW w:type="dxa" w:w="153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pPr>
            <w:r>
              <w:rPr>
                <w:rFonts w:ascii="Book Antiqua"/>
                <w:caps w:val="0"/>
                <w:smallCaps w:val="0"/>
                <w:strike w:val="0"/>
                <w:dstrike w:val="0"/>
                <w:outline w:val="0"/>
                <w:color w:val="000000"/>
                <w:spacing w:val="0"/>
                <w:kern w:val="0"/>
                <w:position w:val="0"/>
                <w:sz w:val="18"/>
                <w:szCs w:val="18"/>
                <w:u w:val="none" w:color="000000"/>
                <w:vertAlign w:val="baseline"/>
                <w:rtl w:val="0"/>
                <w:lang w:val="it-IT"/>
              </w:rPr>
              <w:t>1.028.494</w:t>
            </w:r>
          </w:p>
        </w:tc>
        <w:tc>
          <w:tcPr>
            <w:tcW w:type="dxa" w:w="111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pPr>
            <w:r>
              <w:rPr>
                <w:rFonts w:ascii="Book Antiqua"/>
                <w:caps w:val="0"/>
                <w:smallCaps w:val="0"/>
                <w:strike w:val="0"/>
                <w:dstrike w:val="0"/>
                <w:outline w:val="0"/>
                <w:color w:val="000000"/>
                <w:spacing w:val="0"/>
                <w:kern w:val="0"/>
                <w:position w:val="0"/>
                <w:sz w:val="18"/>
                <w:szCs w:val="18"/>
                <w:u w:val="none" w:color="000000"/>
                <w:vertAlign w:val="baseline"/>
                <w:rtl w:val="0"/>
                <w:lang w:val="it-IT"/>
              </w:rPr>
              <w:t>1.681.245</w:t>
            </w:r>
          </w:p>
        </w:tc>
        <w:tc>
          <w:tcPr>
            <w:tcW w:type="dxa" w:w="77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pPr>
            <w:r>
              <w:rPr>
                <w:rFonts w:ascii="Book Antiqua"/>
                <w:caps w:val="0"/>
                <w:smallCaps w:val="0"/>
                <w:strike w:val="0"/>
                <w:dstrike w:val="0"/>
                <w:outline w:val="0"/>
                <w:color w:val="000000"/>
                <w:spacing w:val="0"/>
                <w:kern w:val="0"/>
                <w:position w:val="0"/>
                <w:sz w:val="18"/>
                <w:szCs w:val="18"/>
                <w:u w:val="none" w:color="000000"/>
                <w:vertAlign w:val="baseline"/>
                <w:rtl w:val="0"/>
                <w:lang w:val="it-IT"/>
              </w:rPr>
              <w:t>39</w:t>
            </w:r>
          </w:p>
        </w:tc>
        <w:tc>
          <w:tcPr>
            <w:tcW w:type="dxa" w:w="117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pPr>
            <w:r>
              <w:rPr>
                <w:rFonts w:ascii="Book Antiqua"/>
                <w:caps w:val="0"/>
                <w:smallCaps w:val="0"/>
                <w:strike w:val="0"/>
                <w:dstrike w:val="0"/>
                <w:outline w:val="0"/>
                <w:color w:val="000000"/>
                <w:spacing w:val="0"/>
                <w:kern w:val="0"/>
                <w:position w:val="0"/>
                <w:sz w:val="18"/>
                <w:szCs w:val="18"/>
                <w:u w:val="none" w:color="000000"/>
                <w:vertAlign w:val="baseline"/>
                <w:rtl w:val="0"/>
                <w:lang w:val="it-IT"/>
              </w:rPr>
              <w:t>586,9</w:t>
            </w:r>
          </w:p>
        </w:tc>
      </w:tr>
    </w:tbl>
    <w:p>
      <w:pPr>
        <w:pStyle w:val="Normal"/>
        <w:ind w:right="567"/>
        <w:jc w:val="center"/>
        <w:rPr>
          <w:color w:val="000000"/>
          <w:u w:color="000000"/>
        </w:rPr>
      </w:pPr>
    </w:p>
    <w:p>
      <w:pPr>
        <w:pStyle w:val="Normal"/>
        <w:ind w:left="567" w:right="567" w:firstLine="0"/>
        <w:jc w:val="both"/>
        <w:rPr>
          <w:rFonts w:ascii="Book Antiqua Bold" w:cs="Book Antiqua Bold" w:hAnsi="Book Antiqua Bold" w:eastAsia="Book Antiqua Bold"/>
          <w:b w:val="1"/>
          <w:bCs w:val="1"/>
          <w:color w:val="000000"/>
          <w:sz w:val="20"/>
          <w:szCs w:val="20"/>
          <w:u w:color="000000"/>
        </w:rPr>
      </w:pPr>
      <w:r>
        <w:rPr>
          <w:rFonts w:ascii="Book Antiqua Bold"/>
          <w:b w:val="1"/>
          <w:bCs w:val="1"/>
          <w:color w:val="000000"/>
          <w:sz w:val="20"/>
          <w:szCs w:val="20"/>
          <w:u w:color="000000"/>
          <w:rtl w:val="0"/>
          <w:lang w:val="it-IT"/>
        </w:rPr>
        <w:t>Tabella 1 - Rifiuti urbani prodotti e raccolta differenziata del comune di Roma per anno</w:t>
      </w:r>
    </w:p>
    <w:p>
      <w:pPr>
        <w:pStyle w:val="Normal"/>
        <w:ind w:left="567" w:right="567" w:firstLine="0"/>
        <w:jc w:val="both"/>
        <w:rPr>
          <w:rFonts w:ascii="Book Antiqua" w:cs="Book Antiqua" w:hAnsi="Book Antiqua" w:eastAsia="Book Antiqua"/>
          <w:i w:val="1"/>
          <w:iCs w:val="1"/>
          <w:color w:val="000000"/>
          <w:sz w:val="20"/>
          <w:szCs w:val="20"/>
          <w:u w:color="000000"/>
        </w:rPr>
      </w:pPr>
      <w:r>
        <w:rPr>
          <w:rFonts w:ascii="Book Antiqua"/>
          <w:i w:val="1"/>
          <w:iCs w:val="1"/>
          <w:color w:val="000000"/>
          <w:sz w:val="20"/>
          <w:szCs w:val="20"/>
          <w:u w:color="000000"/>
          <w:rtl w:val="0"/>
          <w:lang w:val="it-IT"/>
        </w:rPr>
        <w:t>Fonte: ISPRA * codici dell</w:t>
      </w:r>
      <w:r>
        <w:rPr>
          <w:rFonts w:hAnsi="Book Antiqua" w:hint="default"/>
          <w:i w:val="1"/>
          <w:iCs w:val="1"/>
          <w:color w:val="000000"/>
          <w:sz w:val="20"/>
          <w:szCs w:val="20"/>
          <w:u w:color="000000"/>
          <w:rtl w:val="0"/>
          <w:lang w:val="it-IT"/>
        </w:rPr>
        <w:t>’</w:t>
      </w:r>
      <w:r>
        <w:rPr>
          <w:rFonts w:ascii="Book Antiqua"/>
          <w:i w:val="1"/>
          <w:iCs w:val="1"/>
          <w:color w:val="000000"/>
          <w:sz w:val="20"/>
          <w:szCs w:val="20"/>
          <w:u w:color="000000"/>
          <w:rtl w:val="0"/>
          <w:lang w:val="it-IT"/>
        </w:rPr>
        <w:t xml:space="preserve">elenco europeo dei rifiuti 200301, 200303, 200307, 200399. Il 97% </w:t>
      </w:r>
      <w:r>
        <w:rPr>
          <w:rFonts w:hAnsi="Book Antiqua" w:hint="default"/>
          <w:i w:val="1"/>
          <w:iCs w:val="1"/>
          <w:color w:val="000000"/>
          <w:sz w:val="20"/>
          <w:szCs w:val="20"/>
          <w:u w:color="000000"/>
          <w:rtl w:val="0"/>
          <w:lang w:val="it-IT"/>
        </w:rPr>
        <w:t xml:space="preserve">è </w:t>
      </w:r>
      <w:r>
        <w:rPr>
          <w:rFonts w:ascii="Book Antiqua"/>
          <w:i w:val="1"/>
          <w:iCs w:val="1"/>
          <w:color w:val="000000"/>
          <w:sz w:val="20"/>
          <w:szCs w:val="20"/>
          <w:u w:color="000000"/>
          <w:rtl w:val="0"/>
          <w:lang w:val="it-IT"/>
        </w:rPr>
        <w:t>costituito da 200301.</w:t>
      </w:r>
    </w:p>
    <w:p>
      <w:pPr>
        <w:pStyle w:val="Elenco a colori - Colore 11"/>
        <w:spacing w:after="0" w:line="240" w:lineRule="auto"/>
        <w:ind w:left="567" w:right="567" w:firstLine="0"/>
        <w:jc w:val="both"/>
        <w:rPr>
          <w:rFonts w:ascii="Calibri" w:cs="Calibri" w:hAnsi="Calibri" w:eastAsia="Calibri"/>
          <w:i w:val="1"/>
          <w:iCs w:val="1"/>
          <w:color w:val="000000"/>
          <w:sz w:val="20"/>
          <w:szCs w:val="20"/>
          <w:u w:color="000000"/>
        </w:rPr>
      </w:pPr>
    </w:p>
    <w:p>
      <w:pPr>
        <w:pStyle w:val="Normal"/>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Le diverse frazioni raccolte in maniera differenziata nel corso del 2015, nel comune, sono riportate nella tabella 2 con le relative quantit</w:t>
      </w:r>
      <w:r>
        <w:rPr>
          <w:rFonts w:hAnsi="Book Antiqua" w:hint="default"/>
          <w:color w:val="000000"/>
          <w:u w:color="000000"/>
          <w:rtl w:val="0"/>
          <w:lang w:val="it-IT"/>
        </w:rPr>
        <w:t>à</w:t>
      </w:r>
      <w:r>
        <w:rPr>
          <w:rFonts w:ascii="Book Antiqua"/>
          <w:color w:val="000000"/>
          <w:u w:color="000000"/>
          <w:rtl w:val="0"/>
          <w:lang w:val="it-IT"/>
        </w:rPr>
        <w:t xml:space="preserve">. La frazione cellulosica (carta e cartone) rappresenta quella maggiormente intercettata costituendo circa il 38 per cento della raccolta differenziata totale. </w:t>
      </w:r>
    </w:p>
    <w:p>
      <w:pPr>
        <w:pStyle w:val="Normal"/>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Umido e verde rappresentano quote rilevanti rispettivamente con il 22 per cento ed il 13 per cento del totale della raccolta.</w:t>
      </w:r>
    </w:p>
    <w:p>
      <w:pPr>
        <w:pStyle w:val="Normal"/>
        <w:ind w:left="567" w:right="567" w:firstLine="0"/>
        <w:jc w:val="both"/>
        <w:rPr>
          <w:rFonts w:ascii="Book Antiqua Bold" w:cs="Book Antiqua Bold" w:hAnsi="Book Antiqua Bold" w:eastAsia="Book Antiqua Bold"/>
          <w:b w:val="1"/>
          <w:bCs w:val="1"/>
          <w:color w:val="000000"/>
          <w:u w:color="000000"/>
        </w:rPr>
      </w:pPr>
    </w:p>
    <w:p>
      <w:pPr>
        <w:pStyle w:val="Normal"/>
        <w:ind w:left="567" w:right="567" w:firstLine="0"/>
        <w:jc w:val="both"/>
        <w:rPr>
          <w:rFonts w:ascii="Book Antiqua Bold" w:cs="Book Antiqua Bold" w:hAnsi="Book Antiqua Bold" w:eastAsia="Book Antiqua Bold"/>
          <w:b w:val="1"/>
          <w:bCs w:val="1"/>
          <w:color w:val="000000"/>
          <w:sz w:val="20"/>
          <w:szCs w:val="20"/>
          <w:u w:color="000000"/>
        </w:rPr>
      </w:pPr>
      <w:r>
        <w:rPr>
          <w:rFonts w:ascii="Book Antiqua Bold"/>
          <w:b w:val="1"/>
          <w:bCs w:val="1"/>
          <w:color w:val="000000"/>
          <w:sz w:val="20"/>
          <w:szCs w:val="20"/>
          <w:u w:color="000000"/>
          <w:rtl w:val="0"/>
          <w:lang w:val="it-IT"/>
        </w:rPr>
        <w:t xml:space="preserve">Tabella 2 </w:t>
      </w:r>
      <w:r>
        <w:rPr>
          <w:rFonts w:hAnsi="Book Antiqua Bold" w:hint="default"/>
          <w:b w:val="1"/>
          <w:bCs w:val="1"/>
          <w:color w:val="000000"/>
          <w:sz w:val="20"/>
          <w:szCs w:val="20"/>
          <w:u w:color="000000"/>
          <w:rtl w:val="0"/>
          <w:lang w:val="it-IT"/>
        </w:rPr>
        <w:t xml:space="preserve">– </w:t>
      </w:r>
      <w:r>
        <w:rPr>
          <w:rFonts w:ascii="Book Antiqua Bold"/>
          <w:b w:val="1"/>
          <w:bCs w:val="1"/>
          <w:color w:val="000000"/>
          <w:sz w:val="20"/>
          <w:szCs w:val="20"/>
          <w:u w:color="000000"/>
          <w:rtl w:val="0"/>
          <w:lang w:val="it-IT"/>
        </w:rPr>
        <w:t>Frazioni merceologiche della raccolta differenziata del comune di Roma, 2015</w:t>
      </w:r>
    </w:p>
    <w:p>
      <w:pPr>
        <w:pStyle w:val="Normal"/>
        <w:ind w:left="567" w:right="567" w:firstLine="0"/>
        <w:jc w:val="both"/>
        <w:rPr>
          <w:rFonts w:ascii="Book Antiqua" w:cs="Book Antiqua" w:hAnsi="Book Antiqua" w:eastAsia="Book Antiqua"/>
          <w:color w:val="000000"/>
          <w:sz w:val="22"/>
          <w:szCs w:val="22"/>
          <w:u w:color="000000"/>
        </w:rPr>
      </w:pPr>
    </w:p>
    <w:tbl>
      <w:tblPr>
        <w:tblW w:w="6427" w:type="dxa"/>
        <w:jc w:val="center"/>
        <w:tblInd w:w="108" w:type="dxa"/>
        <w:tblBorders>
          <w:top w:val="single" w:color="000000" w:sz="2" w:space="0" w:shadow="0" w:frame="0"/>
          <w:left w:val="single" w:color="000000" w:sz="2" w:space="0" w:shadow="0" w:frame="0"/>
          <w:bottom w:val="single" w:color="000000" w:sz="2" w:space="0" w:shadow="0" w:frame="0"/>
          <w:right w:val="single" w:color="000000" w:sz="2" w:space="0" w:shadow="0" w:frame="0"/>
          <w:insideH w:val="single" w:color="000000" w:sz="2" w:space="0" w:shadow="0" w:frame="0"/>
          <w:insideV w:val="single" w:color="000000" w:sz="2" w:space="0" w:shadow="0" w:frame="0"/>
        </w:tblBorders>
        <w:shd w:val="clear" w:color="auto" w:fill="auto"/>
        <w:tblLayout w:type="fixed"/>
      </w:tblPr>
      <w:tblGrid>
        <w:gridCol w:w="3352"/>
        <w:gridCol w:w="3075"/>
      </w:tblGrid>
      <w:tr>
        <w:tblPrEx>
          <w:shd w:val="clear" w:color="auto" w:fill="bdc0bf"/>
        </w:tblPrEx>
        <w:trPr>
          <w:trHeight w:val="600" w:hRule="atLeast"/>
          <w:tblHeader/>
        </w:trPr>
        <w:tc>
          <w:tcPr>
            <w:tcW w:type="dxa" w:w="33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c0c0c0"/>
            <w:tcMar>
              <w:top w:type="dxa" w:w="80"/>
              <w:left w:type="dxa" w:w="80"/>
              <w:bottom w:type="dxa" w:w="80"/>
              <w:right w:type="dxa" w:w="647"/>
            </w:tcMar>
            <w:vAlign w:val="center"/>
          </w:tcPr>
          <w:p>
            <w:pPr>
              <w:pStyle w:val="Normal"/>
              <w:ind w:left="567" w:right="567"/>
              <w:jc w:val="center"/>
            </w:pPr>
            <w:r>
              <w:rPr>
                <w:rFonts w:ascii="Times New Roman Bold"/>
                <w:caps w:val="0"/>
                <w:smallCaps w:val="0"/>
                <w:strike w:val="0"/>
                <w:dstrike w:val="0"/>
                <w:outline w:val="0"/>
                <w:color w:val="000000"/>
                <w:spacing w:val="0"/>
                <w:kern w:val="0"/>
                <w:position w:val="0"/>
                <w:sz w:val="24"/>
                <w:szCs w:val="24"/>
                <w:u w:val="none" w:color="000000"/>
                <w:vertAlign w:val="baseline"/>
                <w:rtl w:val="0"/>
                <w:lang w:val="it-IT"/>
              </w:rPr>
              <w:t>frazione merceologica di RD</w:t>
            </w:r>
          </w:p>
        </w:tc>
        <w:tc>
          <w:tcPr>
            <w:tcW w:type="dxa" w:w="307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c0c0c0"/>
            <w:tcMar>
              <w:top w:type="dxa" w:w="80"/>
              <w:left w:type="dxa" w:w="80"/>
              <w:bottom w:type="dxa" w:w="80"/>
              <w:right w:type="dxa" w:w="647"/>
            </w:tcMar>
            <w:vAlign w:val="center"/>
          </w:tcPr>
          <w:p>
            <w:pPr>
              <w:pStyle w:val="Normal"/>
              <w:ind w:left="567" w:right="567"/>
              <w:jc w:val="center"/>
            </w:pPr>
            <w:r>
              <w:rPr>
                <w:rFonts w:ascii="Times New Roman Bold"/>
                <w:caps w:val="0"/>
                <w:smallCaps w:val="0"/>
                <w:strike w:val="0"/>
                <w:dstrike w:val="0"/>
                <w:outline w:val="0"/>
                <w:color w:val="000000"/>
                <w:spacing w:val="0"/>
                <w:kern w:val="0"/>
                <w:position w:val="0"/>
                <w:sz w:val="24"/>
                <w:szCs w:val="24"/>
                <w:u w:val="none" w:color="000000"/>
                <w:vertAlign w:val="baseline"/>
                <w:rtl w:val="0"/>
                <w:lang w:val="it-IT"/>
              </w:rPr>
              <w:t>quantit</w:t>
            </w:r>
            <w:r>
              <w:rPr>
                <w:rFonts w:hAnsi="Times New Roman Bold" w:hint="default"/>
                <w:caps w:val="0"/>
                <w:smallCaps w:val="0"/>
                <w:strike w:val="0"/>
                <w:dstrike w:val="0"/>
                <w:outline w:val="0"/>
                <w:color w:val="000000"/>
                <w:spacing w:val="0"/>
                <w:kern w:val="0"/>
                <w:position w:val="0"/>
                <w:sz w:val="24"/>
                <w:szCs w:val="24"/>
                <w:u w:val="none" w:color="000000"/>
                <w:vertAlign w:val="baseline"/>
                <w:rtl w:val="0"/>
                <w:lang w:val="it-IT"/>
              </w:rPr>
              <w:t xml:space="preserve">à </w:t>
            </w:r>
            <w:r>
              <w:rPr>
                <w:rFonts w:ascii="Times New Roman Bold"/>
                <w:caps w:val="0"/>
                <w:smallCaps w:val="0"/>
                <w:strike w:val="0"/>
                <w:dstrike w:val="0"/>
                <w:outline w:val="0"/>
                <w:color w:val="000000"/>
                <w:spacing w:val="0"/>
                <w:kern w:val="0"/>
                <w:position w:val="0"/>
                <w:sz w:val="24"/>
                <w:szCs w:val="24"/>
                <w:u w:val="none" w:color="000000"/>
                <w:vertAlign w:val="baseline"/>
                <w:rtl w:val="0"/>
                <w:lang w:val="it-IT"/>
              </w:rPr>
              <w:t xml:space="preserve">(t) </w:t>
            </w:r>
          </w:p>
        </w:tc>
      </w:tr>
      <w:tr>
        <w:tblPrEx>
          <w:shd w:val="clear" w:color="auto" w:fill="auto"/>
        </w:tblPrEx>
        <w:trPr>
          <w:trHeight w:val="300" w:hRule="atLeast"/>
        </w:trPr>
        <w:tc>
          <w:tcPr>
            <w:tcW w:type="dxa" w:w="33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c0c0c0"/>
            <w:tcMar>
              <w:top w:type="dxa" w:w="80"/>
              <w:left w:type="dxa" w:w="80"/>
              <w:bottom w:type="dxa" w:w="80"/>
              <w:right w:type="dxa" w:w="647"/>
            </w:tcMar>
            <w:vAlign w:val="center"/>
          </w:tcPr>
          <w:p>
            <w:pPr>
              <w:pStyle w:val="Normal"/>
              <w:ind w:left="567" w:right="567"/>
            </w:pPr>
            <w:r>
              <w:rPr>
                <w:caps w:val="0"/>
                <w:smallCaps w:val="0"/>
                <w:strike w:val="0"/>
                <w:dstrike w:val="0"/>
                <w:outline w:val="0"/>
                <w:color w:val="000000"/>
                <w:spacing w:val="0"/>
                <w:kern w:val="0"/>
                <w:position w:val="0"/>
                <w:sz w:val="24"/>
                <w:szCs w:val="24"/>
                <w:u w:val="none" w:color="000000"/>
                <w:vertAlign w:val="baseline"/>
                <w:rtl w:val="0"/>
                <w:lang w:val="it-IT"/>
              </w:rPr>
              <w:t>carta e cartone</w:t>
            </w:r>
          </w:p>
        </w:tc>
        <w:tc>
          <w:tcPr>
            <w:tcW w:type="dxa" w:w="307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647"/>
            </w:tcMar>
            <w:vAlign w:val="bottom"/>
          </w:tcPr>
          <w:p>
            <w:pPr>
              <w:pStyle w:val="Normal"/>
              <w:ind w:left="567" w:right="567"/>
              <w:jc w:val="right"/>
            </w:pPr>
            <w:r>
              <w:rPr>
                <w:caps w:val="0"/>
                <w:smallCaps w:val="0"/>
                <w:strike w:val="0"/>
                <w:dstrike w:val="0"/>
                <w:outline w:val="0"/>
                <w:color w:val="000000"/>
                <w:spacing w:val="0"/>
                <w:kern w:val="0"/>
                <w:position w:val="0"/>
                <w:sz w:val="24"/>
                <w:szCs w:val="24"/>
                <w:u w:val="none" w:color="000000"/>
                <w:vertAlign w:val="baseline"/>
                <w:rtl w:val="0"/>
                <w:lang w:val="it-IT"/>
              </w:rPr>
              <w:t>246.512</w:t>
            </w:r>
          </w:p>
        </w:tc>
      </w:tr>
      <w:tr>
        <w:tblPrEx>
          <w:shd w:val="clear" w:color="auto" w:fill="auto"/>
        </w:tblPrEx>
        <w:trPr>
          <w:trHeight w:val="300" w:hRule="atLeast"/>
        </w:trPr>
        <w:tc>
          <w:tcPr>
            <w:tcW w:type="dxa" w:w="33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c0c0c0"/>
            <w:tcMar>
              <w:top w:type="dxa" w:w="80"/>
              <w:left w:type="dxa" w:w="80"/>
              <w:bottom w:type="dxa" w:w="80"/>
              <w:right w:type="dxa" w:w="647"/>
            </w:tcMar>
            <w:vAlign w:val="center"/>
          </w:tcPr>
          <w:p>
            <w:pPr>
              <w:pStyle w:val="Normal"/>
              <w:ind w:left="567" w:right="567"/>
            </w:pPr>
            <w:r>
              <w:rPr>
                <w:caps w:val="0"/>
                <w:smallCaps w:val="0"/>
                <w:strike w:val="0"/>
                <w:dstrike w:val="0"/>
                <w:outline w:val="0"/>
                <w:color w:val="000000"/>
                <w:spacing w:val="0"/>
                <w:kern w:val="0"/>
                <w:position w:val="0"/>
                <w:sz w:val="24"/>
                <w:szCs w:val="24"/>
                <w:u w:val="none" w:color="000000"/>
                <w:vertAlign w:val="baseline"/>
                <w:rtl w:val="0"/>
                <w:lang w:val="it-IT"/>
              </w:rPr>
              <w:t>frazione umida</w:t>
            </w:r>
          </w:p>
        </w:tc>
        <w:tc>
          <w:tcPr>
            <w:tcW w:type="dxa" w:w="307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647"/>
            </w:tcMar>
            <w:vAlign w:val="bottom"/>
          </w:tcPr>
          <w:p>
            <w:pPr>
              <w:pStyle w:val="Normal"/>
              <w:ind w:left="567" w:right="567"/>
              <w:jc w:val="right"/>
            </w:pPr>
            <w:r>
              <w:rPr>
                <w:caps w:val="0"/>
                <w:smallCaps w:val="0"/>
                <w:strike w:val="0"/>
                <w:dstrike w:val="0"/>
                <w:outline w:val="0"/>
                <w:color w:val="000000"/>
                <w:spacing w:val="0"/>
                <w:kern w:val="0"/>
                <w:position w:val="0"/>
                <w:sz w:val="24"/>
                <w:szCs w:val="24"/>
                <w:u w:val="none" w:color="000000"/>
                <w:vertAlign w:val="baseline"/>
                <w:rtl w:val="0"/>
                <w:lang w:val="it-IT"/>
              </w:rPr>
              <w:t>145.997</w:t>
            </w:r>
          </w:p>
        </w:tc>
      </w:tr>
      <w:tr>
        <w:tblPrEx>
          <w:shd w:val="clear" w:color="auto" w:fill="auto"/>
        </w:tblPrEx>
        <w:trPr>
          <w:trHeight w:val="300" w:hRule="atLeast"/>
        </w:trPr>
        <w:tc>
          <w:tcPr>
            <w:tcW w:type="dxa" w:w="33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c0c0c0"/>
            <w:tcMar>
              <w:top w:type="dxa" w:w="80"/>
              <w:left w:type="dxa" w:w="80"/>
              <w:bottom w:type="dxa" w:w="80"/>
              <w:right w:type="dxa" w:w="647"/>
            </w:tcMar>
            <w:vAlign w:val="center"/>
          </w:tcPr>
          <w:p>
            <w:pPr>
              <w:pStyle w:val="Normal"/>
              <w:ind w:left="567" w:right="567"/>
            </w:pPr>
            <w:r>
              <w:rPr>
                <w:caps w:val="0"/>
                <w:smallCaps w:val="0"/>
                <w:strike w:val="0"/>
                <w:dstrike w:val="0"/>
                <w:outline w:val="0"/>
                <w:color w:val="000000"/>
                <w:spacing w:val="0"/>
                <w:kern w:val="0"/>
                <w:position w:val="0"/>
                <w:sz w:val="24"/>
                <w:szCs w:val="24"/>
                <w:u w:val="none" w:color="000000"/>
                <w:vertAlign w:val="baseline"/>
                <w:rtl w:val="0"/>
                <w:lang w:val="it-IT"/>
              </w:rPr>
              <w:t>verde</w:t>
            </w:r>
          </w:p>
        </w:tc>
        <w:tc>
          <w:tcPr>
            <w:tcW w:type="dxa" w:w="307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647"/>
            </w:tcMar>
            <w:vAlign w:val="bottom"/>
          </w:tcPr>
          <w:p>
            <w:pPr>
              <w:pStyle w:val="Normal"/>
              <w:ind w:left="567" w:right="567"/>
              <w:jc w:val="right"/>
            </w:pPr>
            <w:r>
              <w:rPr>
                <w:caps w:val="0"/>
                <w:smallCaps w:val="0"/>
                <w:strike w:val="0"/>
                <w:dstrike w:val="0"/>
                <w:outline w:val="0"/>
                <w:color w:val="000000"/>
                <w:spacing w:val="0"/>
                <w:kern w:val="0"/>
                <w:position w:val="0"/>
                <w:sz w:val="24"/>
                <w:szCs w:val="24"/>
                <w:u w:val="none" w:color="000000"/>
                <w:vertAlign w:val="baseline"/>
                <w:rtl w:val="0"/>
                <w:lang w:val="it-IT"/>
              </w:rPr>
              <w:t>81.999</w:t>
            </w:r>
          </w:p>
        </w:tc>
      </w:tr>
      <w:tr>
        <w:tblPrEx>
          <w:shd w:val="clear" w:color="auto" w:fill="auto"/>
        </w:tblPrEx>
        <w:trPr>
          <w:trHeight w:val="300" w:hRule="atLeast"/>
        </w:trPr>
        <w:tc>
          <w:tcPr>
            <w:tcW w:type="dxa" w:w="33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c0c0c0"/>
            <w:tcMar>
              <w:top w:type="dxa" w:w="80"/>
              <w:left w:type="dxa" w:w="80"/>
              <w:bottom w:type="dxa" w:w="80"/>
              <w:right w:type="dxa" w:w="647"/>
            </w:tcMar>
            <w:vAlign w:val="center"/>
          </w:tcPr>
          <w:p>
            <w:pPr>
              <w:pStyle w:val="Normal"/>
              <w:ind w:left="567" w:right="567"/>
            </w:pPr>
            <w:r>
              <w:rPr>
                <w:caps w:val="0"/>
                <w:smallCaps w:val="0"/>
                <w:strike w:val="0"/>
                <w:dstrike w:val="0"/>
                <w:outline w:val="0"/>
                <w:color w:val="000000"/>
                <w:spacing w:val="0"/>
                <w:kern w:val="0"/>
                <w:position w:val="0"/>
                <w:sz w:val="24"/>
                <w:szCs w:val="24"/>
                <w:u w:val="none" w:color="000000"/>
                <w:vertAlign w:val="baseline"/>
                <w:rtl w:val="0"/>
                <w:lang w:val="it-IT"/>
              </w:rPr>
              <w:t>legno</w:t>
            </w:r>
          </w:p>
        </w:tc>
        <w:tc>
          <w:tcPr>
            <w:tcW w:type="dxa" w:w="307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647"/>
            </w:tcMar>
            <w:vAlign w:val="bottom"/>
          </w:tcPr>
          <w:p>
            <w:pPr>
              <w:pStyle w:val="Normal"/>
              <w:ind w:left="567" w:right="567"/>
              <w:jc w:val="right"/>
            </w:pPr>
            <w:r>
              <w:rPr>
                <w:caps w:val="0"/>
                <w:smallCaps w:val="0"/>
                <w:strike w:val="0"/>
                <w:dstrike w:val="0"/>
                <w:outline w:val="0"/>
                <w:color w:val="000000"/>
                <w:spacing w:val="0"/>
                <w:kern w:val="0"/>
                <w:position w:val="0"/>
                <w:sz w:val="24"/>
                <w:szCs w:val="24"/>
                <w:u w:val="none" w:color="000000"/>
                <w:vertAlign w:val="baseline"/>
                <w:rtl w:val="0"/>
                <w:lang w:val="it-IT"/>
              </w:rPr>
              <w:t>15.061</w:t>
            </w:r>
          </w:p>
        </w:tc>
      </w:tr>
      <w:tr>
        <w:tblPrEx>
          <w:shd w:val="clear" w:color="auto" w:fill="auto"/>
        </w:tblPrEx>
        <w:trPr>
          <w:trHeight w:val="300" w:hRule="atLeast"/>
        </w:trPr>
        <w:tc>
          <w:tcPr>
            <w:tcW w:type="dxa" w:w="33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c0c0c0"/>
            <w:tcMar>
              <w:top w:type="dxa" w:w="80"/>
              <w:left w:type="dxa" w:w="80"/>
              <w:bottom w:type="dxa" w:w="80"/>
              <w:right w:type="dxa" w:w="647"/>
            </w:tcMar>
            <w:vAlign w:val="center"/>
          </w:tcPr>
          <w:p>
            <w:pPr>
              <w:pStyle w:val="Normal"/>
              <w:ind w:left="567" w:right="567"/>
            </w:pPr>
            <w:r>
              <w:rPr>
                <w:caps w:val="0"/>
                <w:smallCaps w:val="0"/>
                <w:strike w:val="0"/>
                <w:dstrike w:val="0"/>
                <w:outline w:val="0"/>
                <w:color w:val="000000"/>
                <w:spacing w:val="0"/>
                <w:kern w:val="0"/>
                <w:position w:val="0"/>
                <w:sz w:val="24"/>
                <w:szCs w:val="24"/>
                <w:u w:val="none" w:color="000000"/>
                <w:vertAlign w:val="baseline"/>
                <w:rtl w:val="0"/>
                <w:lang w:val="it-IT"/>
              </w:rPr>
              <w:t>metallo</w:t>
            </w:r>
          </w:p>
        </w:tc>
        <w:tc>
          <w:tcPr>
            <w:tcW w:type="dxa" w:w="307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647"/>
            </w:tcMar>
            <w:vAlign w:val="bottom"/>
          </w:tcPr>
          <w:p>
            <w:pPr>
              <w:pStyle w:val="Normal"/>
              <w:ind w:left="567" w:right="567"/>
              <w:jc w:val="right"/>
            </w:pPr>
            <w:r>
              <w:rPr>
                <w:caps w:val="0"/>
                <w:smallCaps w:val="0"/>
                <w:strike w:val="0"/>
                <w:dstrike w:val="0"/>
                <w:outline w:val="0"/>
                <w:color w:val="000000"/>
                <w:spacing w:val="0"/>
                <w:kern w:val="0"/>
                <w:position w:val="0"/>
                <w:sz w:val="24"/>
                <w:szCs w:val="24"/>
                <w:u w:val="none" w:color="000000"/>
                <w:vertAlign w:val="baseline"/>
                <w:rtl w:val="0"/>
                <w:lang w:val="it-IT"/>
              </w:rPr>
              <w:t>8.904</w:t>
            </w:r>
          </w:p>
        </w:tc>
      </w:tr>
      <w:tr>
        <w:tblPrEx>
          <w:shd w:val="clear" w:color="auto" w:fill="auto"/>
        </w:tblPrEx>
        <w:trPr>
          <w:trHeight w:val="300" w:hRule="atLeast"/>
        </w:trPr>
        <w:tc>
          <w:tcPr>
            <w:tcW w:type="dxa" w:w="33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c0c0c0"/>
            <w:tcMar>
              <w:top w:type="dxa" w:w="80"/>
              <w:left w:type="dxa" w:w="80"/>
              <w:bottom w:type="dxa" w:w="80"/>
              <w:right w:type="dxa" w:w="647"/>
            </w:tcMar>
            <w:vAlign w:val="center"/>
          </w:tcPr>
          <w:p>
            <w:pPr>
              <w:pStyle w:val="Normal"/>
              <w:ind w:left="567" w:right="567"/>
            </w:pPr>
            <w:r>
              <w:rPr>
                <w:caps w:val="0"/>
                <w:smallCaps w:val="0"/>
                <w:strike w:val="0"/>
                <w:dstrike w:val="0"/>
                <w:outline w:val="0"/>
                <w:color w:val="000000"/>
                <w:spacing w:val="0"/>
                <w:kern w:val="0"/>
                <w:position w:val="0"/>
                <w:sz w:val="24"/>
                <w:szCs w:val="24"/>
                <w:u w:val="none" w:color="000000"/>
                <w:vertAlign w:val="baseline"/>
                <w:rtl w:val="0"/>
                <w:lang w:val="it-IT"/>
              </w:rPr>
              <w:t>plastica</w:t>
            </w:r>
          </w:p>
        </w:tc>
        <w:tc>
          <w:tcPr>
            <w:tcW w:type="dxa" w:w="307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647"/>
            </w:tcMar>
            <w:vAlign w:val="bottom"/>
          </w:tcPr>
          <w:p>
            <w:pPr>
              <w:pStyle w:val="Normal"/>
              <w:ind w:left="567" w:right="567"/>
              <w:jc w:val="right"/>
            </w:pPr>
            <w:r>
              <w:rPr>
                <w:caps w:val="0"/>
                <w:smallCaps w:val="0"/>
                <w:strike w:val="0"/>
                <w:dstrike w:val="0"/>
                <w:outline w:val="0"/>
                <w:color w:val="000000"/>
                <w:spacing w:val="0"/>
                <w:kern w:val="0"/>
                <w:position w:val="0"/>
                <w:sz w:val="24"/>
                <w:szCs w:val="24"/>
                <w:u w:val="none" w:color="000000"/>
                <w:vertAlign w:val="baseline"/>
                <w:rtl w:val="0"/>
                <w:lang w:val="it-IT"/>
              </w:rPr>
              <w:t>28.258</w:t>
            </w:r>
          </w:p>
        </w:tc>
      </w:tr>
      <w:tr>
        <w:tblPrEx>
          <w:shd w:val="clear" w:color="auto" w:fill="auto"/>
        </w:tblPrEx>
        <w:trPr>
          <w:trHeight w:val="300" w:hRule="atLeast"/>
        </w:trPr>
        <w:tc>
          <w:tcPr>
            <w:tcW w:type="dxa" w:w="33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c0c0c0"/>
            <w:tcMar>
              <w:top w:type="dxa" w:w="80"/>
              <w:left w:type="dxa" w:w="80"/>
              <w:bottom w:type="dxa" w:w="80"/>
              <w:right w:type="dxa" w:w="647"/>
            </w:tcMar>
            <w:vAlign w:val="center"/>
          </w:tcPr>
          <w:p>
            <w:pPr>
              <w:pStyle w:val="Normal"/>
              <w:ind w:left="567" w:right="567"/>
            </w:pPr>
            <w:r>
              <w:rPr>
                <w:caps w:val="0"/>
                <w:smallCaps w:val="0"/>
                <w:strike w:val="0"/>
                <w:dstrike w:val="0"/>
                <w:outline w:val="0"/>
                <w:color w:val="000000"/>
                <w:spacing w:val="0"/>
                <w:kern w:val="0"/>
                <w:position w:val="0"/>
                <w:sz w:val="24"/>
                <w:szCs w:val="24"/>
                <w:u w:val="none" w:color="000000"/>
                <w:vertAlign w:val="baseline"/>
                <w:rtl w:val="0"/>
                <w:lang w:val="it-IT"/>
              </w:rPr>
              <w:t>RAEE</w:t>
            </w:r>
          </w:p>
        </w:tc>
        <w:tc>
          <w:tcPr>
            <w:tcW w:type="dxa" w:w="307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647"/>
            </w:tcMar>
            <w:vAlign w:val="bottom"/>
          </w:tcPr>
          <w:p>
            <w:pPr>
              <w:pStyle w:val="Normal"/>
              <w:ind w:left="567" w:right="567"/>
              <w:jc w:val="right"/>
            </w:pPr>
            <w:r>
              <w:rPr>
                <w:caps w:val="0"/>
                <w:smallCaps w:val="0"/>
                <w:strike w:val="0"/>
                <w:dstrike w:val="0"/>
                <w:outline w:val="0"/>
                <w:color w:val="000000"/>
                <w:spacing w:val="0"/>
                <w:kern w:val="0"/>
                <w:position w:val="0"/>
                <w:sz w:val="24"/>
                <w:szCs w:val="24"/>
                <w:u w:val="none" w:color="000000"/>
                <w:vertAlign w:val="baseline"/>
                <w:rtl w:val="0"/>
                <w:lang w:val="it-IT"/>
              </w:rPr>
              <w:t>12.012</w:t>
            </w:r>
          </w:p>
        </w:tc>
      </w:tr>
      <w:tr>
        <w:tblPrEx>
          <w:shd w:val="clear" w:color="auto" w:fill="auto"/>
        </w:tblPrEx>
        <w:trPr>
          <w:trHeight w:val="300" w:hRule="atLeast"/>
        </w:trPr>
        <w:tc>
          <w:tcPr>
            <w:tcW w:type="dxa" w:w="33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c0c0c0"/>
            <w:tcMar>
              <w:top w:type="dxa" w:w="80"/>
              <w:left w:type="dxa" w:w="80"/>
              <w:bottom w:type="dxa" w:w="80"/>
              <w:right w:type="dxa" w:w="647"/>
            </w:tcMar>
            <w:vAlign w:val="center"/>
          </w:tcPr>
          <w:p>
            <w:pPr>
              <w:pStyle w:val="Normal"/>
              <w:ind w:left="567" w:right="567"/>
            </w:pPr>
            <w:r>
              <w:rPr>
                <w:caps w:val="0"/>
                <w:smallCaps w:val="0"/>
                <w:strike w:val="0"/>
                <w:dstrike w:val="0"/>
                <w:outline w:val="0"/>
                <w:color w:val="000000"/>
                <w:spacing w:val="0"/>
                <w:kern w:val="0"/>
                <w:position w:val="0"/>
                <w:sz w:val="24"/>
                <w:szCs w:val="24"/>
                <w:u w:val="none" w:color="000000"/>
                <w:vertAlign w:val="baseline"/>
                <w:rtl w:val="0"/>
                <w:lang w:val="it-IT"/>
              </w:rPr>
              <w:t>selettiva</w:t>
            </w:r>
          </w:p>
        </w:tc>
        <w:tc>
          <w:tcPr>
            <w:tcW w:type="dxa" w:w="307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647"/>
            </w:tcMar>
            <w:vAlign w:val="bottom"/>
          </w:tcPr>
          <w:p>
            <w:pPr>
              <w:pStyle w:val="Normal"/>
              <w:ind w:left="567" w:right="567"/>
              <w:jc w:val="right"/>
            </w:pPr>
            <w:r>
              <w:rPr>
                <w:caps w:val="0"/>
                <w:smallCaps w:val="0"/>
                <w:strike w:val="0"/>
                <w:dstrike w:val="0"/>
                <w:outline w:val="0"/>
                <w:color w:val="000000"/>
                <w:spacing w:val="0"/>
                <w:kern w:val="0"/>
                <w:position w:val="0"/>
                <w:sz w:val="24"/>
                <w:szCs w:val="24"/>
                <w:u w:val="none" w:color="000000"/>
                <w:vertAlign w:val="baseline"/>
                <w:rtl w:val="0"/>
                <w:lang w:val="it-IT"/>
              </w:rPr>
              <w:t>919</w:t>
            </w:r>
          </w:p>
        </w:tc>
      </w:tr>
      <w:tr>
        <w:tblPrEx>
          <w:shd w:val="clear" w:color="auto" w:fill="auto"/>
        </w:tblPrEx>
        <w:trPr>
          <w:trHeight w:val="300" w:hRule="atLeast"/>
        </w:trPr>
        <w:tc>
          <w:tcPr>
            <w:tcW w:type="dxa" w:w="33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c0c0c0"/>
            <w:tcMar>
              <w:top w:type="dxa" w:w="80"/>
              <w:left w:type="dxa" w:w="80"/>
              <w:bottom w:type="dxa" w:w="80"/>
              <w:right w:type="dxa" w:w="647"/>
            </w:tcMar>
            <w:vAlign w:val="center"/>
          </w:tcPr>
          <w:p>
            <w:pPr>
              <w:pStyle w:val="Normal"/>
              <w:ind w:left="567" w:right="567"/>
            </w:pPr>
            <w:r>
              <w:rPr>
                <w:caps w:val="0"/>
                <w:smallCaps w:val="0"/>
                <w:strike w:val="0"/>
                <w:dstrike w:val="0"/>
                <w:outline w:val="0"/>
                <w:color w:val="000000"/>
                <w:spacing w:val="0"/>
                <w:kern w:val="0"/>
                <w:position w:val="0"/>
                <w:sz w:val="24"/>
                <w:szCs w:val="24"/>
                <w:u w:val="none" w:color="000000"/>
                <w:vertAlign w:val="baseline"/>
                <w:rtl w:val="0"/>
                <w:lang w:val="it-IT"/>
              </w:rPr>
              <w:t>tessili</w:t>
            </w:r>
          </w:p>
        </w:tc>
        <w:tc>
          <w:tcPr>
            <w:tcW w:type="dxa" w:w="307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647"/>
            </w:tcMar>
            <w:vAlign w:val="bottom"/>
          </w:tcPr>
          <w:p>
            <w:pPr>
              <w:pStyle w:val="Normal"/>
              <w:ind w:left="567" w:right="567"/>
              <w:jc w:val="right"/>
            </w:pPr>
            <w:r>
              <w:rPr>
                <w:caps w:val="0"/>
                <w:smallCaps w:val="0"/>
                <w:strike w:val="0"/>
                <w:dstrike w:val="0"/>
                <w:outline w:val="0"/>
                <w:color w:val="000000"/>
                <w:spacing w:val="0"/>
                <w:kern w:val="0"/>
                <w:position w:val="0"/>
                <w:sz w:val="24"/>
                <w:szCs w:val="24"/>
                <w:u w:val="none" w:color="000000"/>
                <w:vertAlign w:val="baseline"/>
                <w:rtl w:val="0"/>
                <w:lang w:val="it-IT"/>
              </w:rPr>
              <w:t>9.561</w:t>
            </w:r>
          </w:p>
        </w:tc>
      </w:tr>
      <w:tr>
        <w:tblPrEx>
          <w:shd w:val="clear" w:color="auto" w:fill="auto"/>
        </w:tblPrEx>
        <w:trPr>
          <w:trHeight w:val="300" w:hRule="atLeast"/>
        </w:trPr>
        <w:tc>
          <w:tcPr>
            <w:tcW w:type="dxa" w:w="33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c0c0c0"/>
            <w:tcMar>
              <w:top w:type="dxa" w:w="80"/>
              <w:left w:type="dxa" w:w="80"/>
              <w:bottom w:type="dxa" w:w="80"/>
              <w:right w:type="dxa" w:w="647"/>
            </w:tcMar>
            <w:vAlign w:val="center"/>
          </w:tcPr>
          <w:p>
            <w:pPr>
              <w:pStyle w:val="Normal"/>
              <w:ind w:left="567" w:right="567"/>
            </w:pPr>
            <w:r>
              <w:rPr>
                <w:caps w:val="0"/>
                <w:smallCaps w:val="0"/>
                <w:strike w:val="0"/>
                <w:dstrike w:val="0"/>
                <w:outline w:val="0"/>
                <w:color w:val="000000"/>
                <w:spacing w:val="0"/>
                <w:kern w:val="0"/>
                <w:position w:val="0"/>
                <w:sz w:val="24"/>
                <w:szCs w:val="24"/>
                <w:u w:val="none" w:color="000000"/>
                <w:vertAlign w:val="baseline"/>
                <w:rtl w:val="0"/>
                <w:lang w:val="it-IT"/>
              </w:rPr>
              <w:t>vetro</w:t>
            </w:r>
          </w:p>
        </w:tc>
        <w:tc>
          <w:tcPr>
            <w:tcW w:type="dxa" w:w="307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647"/>
            </w:tcMar>
            <w:vAlign w:val="bottom"/>
          </w:tcPr>
          <w:p>
            <w:pPr>
              <w:pStyle w:val="Normal"/>
              <w:ind w:left="567" w:right="567"/>
              <w:jc w:val="right"/>
            </w:pPr>
            <w:r>
              <w:rPr>
                <w:caps w:val="0"/>
                <w:smallCaps w:val="0"/>
                <w:strike w:val="0"/>
                <w:dstrike w:val="0"/>
                <w:outline w:val="0"/>
                <w:color w:val="000000"/>
                <w:spacing w:val="0"/>
                <w:kern w:val="0"/>
                <w:position w:val="0"/>
                <w:sz w:val="24"/>
                <w:szCs w:val="24"/>
                <w:u w:val="none" w:color="000000"/>
                <w:vertAlign w:val="baseline"/>
                <w:rtl w:val="0"/>
                <w:lang w:val="it-IT"/>
              </w:rPr>
              <w:t>85.931</w:t>
            </w:r>
          </w:p>
        </w:tc>
      </w:tr>
      <w:tr>
        <w:tblPrEx>
          <w:shd w:val="clear" w:color="auto" w:fill="auto"/>
        </w:tblPrEx>
        <w:trPr>
          <w:trHeight w:val="300" w:hRule="atLeast"/>
        </w:trPr>
        <w:tc>
          <w:tcPr>
            <w:tcW w:type="dxa" w:w="33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c0c0c0"/>
            <w:tcMar>
              <w:top w:type="dxa" w:w="80"/>
              <w:left w:type="dxa" w:w="80"/>
              <w:bottom w:type="dxa" w:w="80"/>
              <w:right w:type="dxa" w:w="647"/>
            </w:tcMar>
            <w:vAlign w:val="center"/>
          </w:tcPr>
          <w:p>
            <w:pPr>
              <w:pStyle w:val="Normal"/>
              <w:ind w:left="567" w:right="567"/>
            </w:pPr>
            <w:r>
              <w:rPr>
                <w:caps w:val="0"/>
                <w:smallCaps w:val="0"/>
                <w:strike w:val="0"/>
                <w:dstrike w:val="0"/>
                <w:outline w:val="0"/>
                <w:color w:val="000000"/>
                <w:spacing w:val="0"/>
                <w:kern w:val="0"/>
                <w:position w:val="0"/>
                <w:sz w:val="24"/>
                <w:szCs w:val="24"/>
                <w:u w:val="none" w:color="000000"/>
                <w:vertAlign w:val="baseline"/>
                <w:rtl w:val="0"/>
                <w:lang w:val="it-IT"/>
              </w:rPr>
              <w:t>altri imballaggi</w:t>
            </w:r>
          </w:p>
        </w:tc>
        <w:tc>
          <w:tcPr>
            <w:tcW w:type="dxa" w:w="307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647"/>
            </w:tcMar>
            <w:vAlign w:val="bottom"/>
          </w:tcPr>
          <w:p>
            <w:pPr>
              <w:pStyle w:val="Normal"/>
              <w:ind w:left="567" w:right="567"/>
              <w:jc w:val="right"/>
            </w:pPr>
            <w:r>
              <w:rPr>
                <w:caps w:val="0"/>
                <w:smallCaps w:val="0"/>
                <w:strike w:val="0"/>
                <w:dstrike w:val="0"/>
                <w:outline w:val="0"/>
                <w:color w:val="000000"/>
                <w:spacing w:val="0"/>
                <w:kern w:val="0"/>
                <w:position w:val="0"/>
                <w:sz w:val="24"/>
                <w:szCs w:val="24"/>
                <w:u w:val="none" w:color="000000"/>
                <w:vertAlign w:val="baseline"/>
                <w:rtl w:val="0"/>
                <w:lang w:val="it-IT"/>
              </w:rPr>
              <w:t>248</w:t>
            </w:r>
          </w:p>
        </w:tc>
      </w:tr>
      <w:tr>
        <w:tblPrEx>
          <w:shd w:val="clear" w:color="auto" w:fill="auto"/>
        </w:tblPrEx>
        <w:trPr>
          <w:trHeight w:val="300" w:hRule="atLeast"/>
        </w:trPr>
        <w:tc>
          <w:tcPr>
            <w:tcW w:type="dxa" w:w="33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c0c0c0"/>
            <w:tcMar>
              <w:top w:type="dxa" w:w="80"/>
              <w:left w:type="dxa" w:w="80"/>
              <w:bottom w:type="dxa" w:w="80"/>
              <w:right w:type="dxa" w:w="647"/>
            </w:tcMar>
            <w:vAlign w:val="center"/>
          </w:tcPr>
          <w:p>
            <w:pPr>
              <w:pStyle w:val="Normal"/>
              <w:ind w:left="567" w:right="567"/>
            </w:pPr>
            <w:r>
              <w:rPr>
                <w:caps w:val="0"/>
                <w:smallCaps w:val="0"/>
                <w:strike w:val="0"/>
                <w:dstrike w:val="0"/>
                <w:outline w:val="0"/>
                <w:color w:val="000000"/>
                <w:spacing w:val="0"/>
                <w:kern w:val="0"/>
                <w:position w:val="0"/>
                <w:sz w:val="24"/>
                <w:szCs w:val="24"/>
                <w:u w:val="none" w:color="000000"/>
                <w:vertAlign w:val="baseline"/>
                <w:rtl w:val="0"/>
                <w:lang w:val="it-IT"/>
              </w:rPr>
              <w:t>altri ingomb. a rec.</w:t>
            </w:r>
          </w:p>
        </w:tc>
        <w:tc>
          <w:tcPr>
            <w:tcW w:type="dxa" w:w="307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647"/>
            </w:tcMar>
            <w:vAlign w:val="bottom"/>
          </w:tcPr>
          <w:p>
            <w:pPr>
              <w:pStyle w:val="Normal"/>
              <w:ind w:left="567" w:right="567"/>
              <w:jc w:val="right"/>
            </w:pPr>
            <w:r>
              <w:rPr>
                <w:caps w:val="0"/>
                <w:smallCaps w:val="0"/>
                <w:strike w:val="0"/>
                <w:dstrike w:val="0"/>
                <w:outline w:val="0"/>
                <w:color w:val="000000"/>
                <w:spacing w:val="0"/>
                <w:kern w:val="0"/>
                <w:position w:val="0"/>
                <w:sz w:val="24"/>
                <w:szCs w:val="24"/>
                <w:u w:val="none" w:color="000000"/>
                <w:vertAlign w:val="baseline"/>
                <w:rtl w:val="0"/>
                <w:lang w:val="it-IT"/>
              </w:rPr>
              <w:t>17.234</w:t>
            </w:r>
          </w:p>
        </w:tc>
      </w:tr>
      <w:tr>
        <w:tblPrEx>
          <w:shd w:val="clear" w:color="auto" w:fill="auto"/>
        </w:tblPrEx>
        <w:trPr>
          <w:trHeight w:val="300" w:hRule="atLeast"/>
        </w:trPr>
        <w:tc>
          <w:tcPr>
            <w:tcW w:type="dxa" w:w="33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c0c0c0"/>
            <w:tcMar>
              <w:top w:type="dxa" w:w="80"/>
              <w:left w:type="dxa" w:w="80"/>
              <w:bottom w:type="dxa" w:w="80"/>
              <w:right w:type="dxa" w:w="647"/>
            </w:tcMar>
            <w:vAlign w:val="center"/>
          </w:tcPr>
          <w:p>
            <w:pPr>
              <w:pStyle w:val="Normal"/>
              <w:ind w:left="567" w:right="567"/>
            </w:pPr>
            <w:r>
              <w:rPr>
                <w:caps w:val="0"/>
                <w:smallCaps w:val="0"/>
                <w:strike w:val="0"/>
                <w:dstrike w:val="0"/>
                <w:outline w:val="0"/>
                <w:color w:val="000000"/>
                <w:spacing w:val="0"/>
                <w:kern w:val="0"/>
                <w:position w:val="0"/>
                <w:sz w:val="24"/>
                <w:szCs w:val="24"/>
                <w:u w:val="none" w:color="000000"/>
                <w:vertAlign w:val="baseline"/>
                <w:rtl w:val="0"/>
                <w:lang w:val="it-IT"/>
              </w:rPr>
              <w:t>altro RD</w:t>
            </w:r>
          </w:p>
        </w:tc>
        <w:tc>
          <w:tcPr>
            <w:tcW w:type="dxa" w:w="307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647"/>
            </w:tcMar>
            <w:vAlign w:val="bottom"/>
          </w:tcPr>
          <w:p>
            <w:pPr>
              <w:pStyle w:val="Normal"/>
              <w:ind w:left="567" w:right="567"/>
              <w:jc w:val="right"/>
            </w:pPr>
            <w:r>
              <w:rPr>
                <w:caps w:val="0"/>
                <w:smallCaps w:val="0"/>
                <w:strike w:val="0"/>
                <w:dstrike w:val="0"/>
                <w:outline w:val="0"/>
                <w:color w:val="000000"/>
                <w:spacing w:val="0"/>
                <w:kern w:val="0"/>
                <w:position w:val="0"/>
                <w:sz w:val="24"/>
                <w:szCs w:val="24"/>
                <w:u w:val="none" w:color="000000"/>
                <w:vertAlign w:val="baseline"/>
                <w:rtl w:val="0"/>
                <w:lang w:val="it-IT"/>
              </w:rPr>
              <w:t>114</w:t>
            </w:r>
          </w:p>
        </w:tc>
      </w:tr>
      <w:tr>
        <w:tblPrEx>
          <w:shd w:val="clear" w:color="auto" w:fill="auto"/>
        </w:tblPrEx>
        <w:trPr>
          <w:trHeight w:val="300" w:hRule="atLeast"/>
        </w:trPr>
        <w:tc>
          <w:tcPr>
            <w:tcW w:type="dxa" w:w="33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c0c0c0"/>
            <w:tcMar>
              <w:top w:type="dxa" w:w="80"/>
              <w:left w:type="dxa" w:w="80"/>
              <w:bottom w:type="dxa" w:w="80"/>
              <w:right w:type="dxa" w:w="647"/>
            </w:tcMar>
            <w:vAlign w:val="center"/>
          </w:tcPr>
          <w:p>
            <w:pPr>
              <w:pStyle w:val="Normal"/>
              <w:ind w:left="567" w:right="567"/>
            </w:pPr>
            <w:r>
              <w:rPr>
                <w:rFonts w:ascii="Times New Roman Bold"/>
                <w:caps w:val="0"/>
                <w:smallCaps w:val="0"/>
                <w:strike w:val="0"/>
                <w:dstrike w:val="0"/>
                <w:outline w:val="0"/>
                <w:color w:val="000000"/>
                <w:spacing w:val="0"/>
                <w:kern w:val="0"/>
                <w:position w:val="0"/>
                <w:sz w:val="24"/>
                <w:szCs w:val="24"/>
                <w:u w:val="none" w:color="000000"/>
                <w:vertAlign w:val="baseline"/>
                <w:rtl w:val="0"/>
                <w:lang w:val="it-IT"/>
              </w:rPr>
              <w:t xml:space="preserve">totale </w:t>
            </w:r>
          </w:p>
        </w:tc>
        <w:tc>
          <w:tcPr>
            <w:tcW w:type="dxa" w:w="307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647"/>
            </w:tcMar>
            <w:vAlign w:val="bottom"/>
          </w:tcPr>
          <w:p>
            <w:pPr>
              <w:pStyle w:val="Normal"/>
              <w:ind w:left="567" w:right="567"/>
              <w:jc w:val="right"/>
            </w:pPr>
            <w:r>
              <w:rPr>
                <w:caps w:val="0"/>
                <w:smallCaps w:val="0"/>
                <w:strike w:val="0"/>
                <w:dstrike w:val="0"/>
                <w:outline w:val="0"/>
                <w:color w:val="000000"/>
                <w:spacing w:val="0"/>
                <w:kern w:val="0"/>
                <w:position w:val="0"/>
                <w:sz w:val="24"/>
                <w:szCs w:val="24"/>
                <w:u w:val="none" w:color="000000"/>
                <w:vertAlign w:val="baseline"/>
                <w:rtl w:val="0"/>
                <w:lang w:val="it-IT"/>
              </w:rPr>
              <w:t>652.751</w:t>
            </w:r>
          </w:p>
        </w:tc>
      </w:tr>
    </w:tbl>
    <w:p>
      <w:pPr>
        <w:pStyle w:val="Normal"/>
        <w:ind w:right="567" w:firstLine="567"/>
        <w:jc w:val="center"/>
        <w:rPr>
          <w:rFonts w:ascii="Book Antiqua" w:cs="Book Antiqua" w:hAnsi="Book Antiqua" w:eastAsia="Book Antiqua"/>
          <w:color w:val="000000"/>
          <w:sz w:val="22"/>
          <w:szCs w:val="22"/>
          <w:u w:color="000000"/>
        </w:rPr>
      </w:pPr>
    </w:p>
    <w:p>
      <w:pPr>
        <w:pStyle w:val="Normal"/>
        <w:ind w:left="567" w:right="567" w:firstLine="0"/>
        <w:jc w:val="both"/>
        <w:rPr>
          <w:i w:val="1"/>
          <w:iCs w:val="1"/>
          <w:color w:val="000000"/>
          <w:sz w:val="20"/>
          <w:szCs w:val="20"/>
          <w:u w:color="000000"/>
        </w:rPr>
      </w:pPr>
      <w:r>
        <w:rPr>
          <w:i w:val="1"/>
          <w:iCs w:val="1"/>
          <w:color w:val="000000"/>
          <w:sz w:val="20"/>
          <w:szCs w:val="20"/>
          <w:u w:color="000000"/>
          <w:rtl w:val="0"/>
          <w:lang w:val="it-IT"/>
        </w:rPr>
        <w:t xml:space="preserve">Fonte: ISPRA </w:t>
      </w:r>
    </w:p>
    <w:p>
      <w:pPr>
        <w:pStyle w:val="Normal"/>
        <w:ind w:left="567" w:right="567" w:firstLine="0"/>
        <w:jc w:val="both"/>
        <w:rPr>
          <w:color w:val="000000"/>
          <w:u w:color="000000"/>
        </w:rPr>
      </w:pPr>
    </w:p>
    <w:p>
      <w:pPr>
        <w:pStyle w:val="Normal"/>
        <w:ind w:left="567" w:right="567" w:firstLine="0"/>
        <w:jc w:val="both"/>
        <w:rPr>
          <w:rFonts w:ascii="Book Antiqua Bold" w:cs="Book Antiqua Bold" w:hAnsi="Book Antiqua Bold" w:eastAsia="Book Antiqua Bold"/>
          <w:b w:val="1"/>
          <w:bCs w:val="1"/>
          <w:color w:val="000000"/>
          <w:sz w:val="20"/>
          <w:szCs w:val="20"/>
          <w:u w:color="000000"/>
        </w:rPr>
      </w:pPr>
    </w:p>
    <w:p>
      <w:pPr>
        <w:pStyle w:val="Normal"/>
        <w:ind w:left="567" w:right="567" w:firstLine="0"/>
        <w:jc w:val="both"/>
        <w:rPr>
          <w:rFonts w:ascii="Book Antiqua Bold" w:cs="Book Antiqua Bold" w:hAnsi="Book Antiqua Bold" w:eastAsia="Book Antiqua Bold"/>
          <w:b w:val="1"/>
          <w:bCs w:val="1"/>
          <w:color w:val="000000"/>
          <w:sz w:val="20"/>
          <w:szCs w:val="20"/>
          <w:u w:color="000000"/>
        </w:rPr>
      </w:pPr>
    </w:p>
    <w:p>
      <w:pPr>
        <w:pStyle w:val="Normal"/>
        <w:ind w:left="567" w:right="567" w:firstLine="0"/>
        <w:jc w:val="both"/>
        <w:rPr>
          <w:rFonts w:ascii="Book Antiqua Bold" w:cs="Book Antiqua Bold" w:hAnsi="Book Antiqua Bold" w:eastAsia="Book Antiqua Bold"/>
          <w:b w:val="1"/>
          <w:bCs w:val="1"/>
          <w:color w:val="000000"/>
          <w:sz w:val="20"/>
          <w:szCs w:val="20"/>
          <w:u w:color="000000"/>
        </w:rPr>
      </w:pPr>
    </w:p>
    <w:p>
      <w:pPr>
        <w:pStyle w:val="Normal"/>
        <w:ind w:left="567" w:right="567" w:firstLine="0"/>
        <w:jc w:val="both"/>
        <w:rPr>
          <w:rFonts w:ascii="Book Antiqua Bold" w:cs="Book Antiqua Bold" w:hAnsi="Book Antiqua Bold" w:eastAsia="Book Antiqua Bold"/>
          <w:b w:val="1"/>
          <w:bCs w:val="1"/>
          <w:color w:val="000000"/>
          <w:sz w:val="20"/>
          <w:szCs w:val="20"/>
          <w:u w:color="000000"/>
        </w:rPr>
      </w:pPr>
    </w:p>
    <w:p>
      <w:pPr>
        <w:pStyle w:val="Normal"/>
        <w:ind w:left="567" w:right="567" w:firstLine="0"/>
        <w:jc w:val="both"/>
        <w:rPr>
          <w:rFonts w:ascii="Book Antiqua Bold" w:cs="Book Antiqua Bold" w:hAnsi="Book Antiqua Bold" w:eastAsia="Book Antiqua Bold"/>
          <w:b w:val="1"/>
          <w:bCs w:val="1"/>
          <w:color w:val="000000"/>
          <w:sz w:val="20"/>
          <w:szCs w:val="20"/>
          <w:u w:color="000000"/>
        </w:rPr>
      </w:pPr>
    </w:p>
    <w:p>
      <w:pPr>
        <w:pStyle w:val="Normal"/>
        <w:ind w:left="567" w:right="567" w:firstLine="0"/>
        <w:jc w:val="both"/>
        <w:rPr>
          <w:rFonts w:ascii="Book Antiqua Bold" w:cs="Book Antiqua Bold" w:hAnsi="Book Antiqua Bold" w:eastAsia="Book Antiqua Bold"/>
          <w:b w:val="1"/>
          <w:bCs w:val="1"/>
          <w:color w:val="000000"/>
          <w:sz w:val="20"/>
          <w:szCs w:val="20"/>
          <w:u w:color="000000"/>
        </w:rPr>
      </w:pPr>
    </w:p>
    <w:p>
      <w:pPr>
        <w:pStyle w:val="Normal"/>
        <w:ind w:left="567" w:right="567" w:firstLine="0"/>
        <w:jc w:val="both"/>
        <w:rPr>
          <w:rFonts w:ascii="Book Antiqua Bold" w:cs="Book Antiqua Bold" w:hAnsi="Book Antiqua Bold" w:eastAsia="Book Antiqua Bold"/>
          <w:b w:val="1"/>
          <w:bCs w:val="1"/>
          <w:color w:val="000000"/>
          <w:sz w:val="20"/>
          <w:szCs w:val="20"/>
          <w:u w:color="000000"/>
        </w:rPr>
      </w:pPr>
    </w:p>
    <w:p>
      <w:pPr>
        <w:pStyle w:val="Normal"/>
        <w:ind w:left="567" w:right="567" w:firstLine="0"/>
        <w:jc w:val="both"/>
        <w:rPr>
          <w:rFonts w:ascii="Book Antiqua Bold" w:cs="Book Antiqua Bold" w:hAnsi="Book Antiqua Bold" w:eastAsia="Book Antiqua Bold"/>
          <w:b w:val="1"/>
          <w:bCs w:val="1"/>
          <w:color w:val="000000"/>
          <w:sz w:val="20"/>
          <w:szCs w:val="20"/>
          <w:u w:color="000000"/>
        </w:rPr>
      </w:pPr>
    </w:p>
    <w:p>
      <w:pPr>
        <w:pStyle w:val="Normal"/>
        <w:ind w:left="567" w:right="567" w:firstLine="0"/>
        <w:jc w:val="both"/>
        <w:rPr>
          <w:rFonts w:ascii="Book Antiqua Bold" w:cs="Book Antiqua Bold" w:hAnsi="Book Antiqua Bold" w:eastAsia="Book Antiqua Bold"/>
          <w:b w:val="1"/>
          <w:bCs w:val="1"/>
          <w:color w:val="000000"/>
          <w:sz w:val="20"/>
          <w:szCs w:val="20"/>
          <w:u w:color="000000"/>
        </w:rPr>
      </w:pPr>
      <w:r>
        <w:rPr>
          <w:rFonts w:ascii="Book Antiqua Bold"/>
          <w:b w:val="1"/>
          <w:bCs w:val="1"/>
          <w:color w:val="000000"/>
          <w:sz w:val="20"/>
          <w:szCs w:val="20"/>
          <w:u w:color="000000"/>
          <w:rtl w:val="0"/>
          <w:lang w:val="it-IT"/>
        </w:rPr>
        <w:t>Ripartizione percentuale della raccolta differenziata del comune di Roma, anno 2015</w:t>
      </w:r>
    </w:p>
    <w:p>
      <w:pPr>
        <w:pStyle w:val="Normal"/>
        <w:ind w:left="567" w:right="567" w:firstLine="0"/>
        <w:jc w:val="both"/>
        <w:rPr>
          <w:rFonts w:ascii="Book Antiqua Bold" w:cs="Book Antiqua Bold" w:hAnsi="Book Antiqua Bold" w:eastAsia="Book Antiqua Bold"/>
          <w:b w:val="1"/>
          <w:bCs w:val="1"/>
          <w:color w:val="000000"/>
          <w:sz w:val="20"/>
          <w:szCs w:val="20"/>
          <w:u w:color="000000"/>
        </w:rPr>
      </w:pPr>
    </w:p>
    <w:p>
      <w:pPr>
        <w:pStyle w:val="Normal"/>
        <w:ind w:left="567" w:right="567" w:firstLine="0"/>
        <w:jc w:val="both"/>
        <w:rPr>
          <w:color w:val="000000"/>
          <w:u w:color="000000"/>
        </w:rPr>
      </w:pPr>
      <w:r>
        <w:rPr>
          <w:rFonts w:ascii="Times New Roman Bold"/>
          <w:color w:val="000000"/>
          <w:u w:color="000000"/>
          <w:rtl w:val="0"/>
          <w:lang w:val="it-IT"/>
        </w:rPr>
        <w:t xml:space="preserve"> </w:t>
      </w:r>
      <w:r>
        <w:rPr>
          <w:rtl w:val="0"/>
        </w:rPr>
        <w:drawing>
          <wp:inline distT="0" distB="0" distL="0" distR="0">
            <wp:extent cx="4741834" cy="3111266"/>
            <wp:effectExtent l="0" t="0" r="0" b="0"/>
            <wp:docPr id="1073741825" name="officeArt object"/>
            <wp:cNvGraphicFramePr/>
            <a:graphic xmlns:a="http://schemas.openxmlformats.org/drawingml/2006/main">
              <a:graphicData uri="http://schemas.openxmlformats.org/drawingml/2006/picture">
                <pic:pic xmlns:pic="http://schemas.openxmlformats.org/drawingml/2006/picture">
                  <pic:nvPicPr>
                    <pic:cNvPr id="1073741825" name="image1.pdf"/>
                    <pic:cNvPicPr/>
                  </pic:nvPicPr>
                  <pic:blipFill>
                    <a:blip r:embed="rId5">
                      <a:extLst/>
                    </a:blip>
                    <a:stretch>
                      <a:fillRect/>
                    </a:stretch>
                  </pic:blipFill>
                  <pic:spPr>
                    <a:xfrm>
                      <a:off x="0" y="0"/>
                      <a:ext cx="4741834" cy="3111266"/>
                    </a:xfrm>
                    <a:prstGeom prst="rect">
                      <a:avLst/>
                    </a:prstGeom>
                    <a:ln w="12700" cap="flat">
                      <a:noFill/>
                      <a:miter lim="400000"/>
                    </a:ln>
                    <a:effectLst/>
                  </pic:spPr>
                </pic:pic>
              </a:graphicData>
            </a:graphic>
          </wp:inline>
        </w:drawing>
      </w:r>
    </w:p>
    <w:p>
      <w:pPr>
        <w:pStyle w:val="Normal"/>
        <w:tabs>
          <w:tab w:val="left" w:pos="9072"/>
        </w:tabs>
        <w:ind w:left="567" w:right="567" w:firstLine="0"/>
        <w:jc w:val="both"/>
        <w:rPr>
          <w:i w:val="1"/>
          <w:iCs w:val="1"/>
          <w:color w:val="000000"/>
          <w:sz w:val="20"/>
          <w:szCs w:val="20"/>
          <w:u w:color="000000"/>
        </w:rPr>
      </w:pPr>
      <w:r>
        <w:rPr>
          <w:i w:val="1"/>
          <w:iCs w:val="1"/>
          <w:color w:val="000000"/>
          <w:sz w:val="20"/>
          <w:szCs w:val="20"/>
          <w:u w:color="000000"/>
          <w:rtl w:val="0"/>
          <w:lang w:val="it-IT"/>
        </w:rPr>
        <w:t xml:space="preserve">Fonte: ISPRA </w:t>
      </w:r>
    </w:p>
    <w:p>
      <w:pPr>
        <w:pStyle w:val="Normal"/>
        <w:tabs>
          <w:tab w:val="left" w:pos="9072"/>
        </w:tabs>
        <w:ind w:left="567" w:firstLine="0"/>
        <w:rPr>
          <w:rFonts w:ascii="Times New Roman Bold" w:cs="Times New Roman Bold" w:hAnsi="Times New Roman Bold" w:eastAsia="Times New Roman Bold"/>
        </w:rPr>
      </w:pPr>
    </w:p>
    <w:p>
      <w:pPr>
        <w:pStyle w:val="Normal"/>
        <w:tabs>
          <w:tab w:val="left" w:pos="9072"/>
        </w:tabs>
        <w:ind w:left="567" w:firstLine="0"/>
        <w:rPr>
          <w:rFonts w:ascii="Times New Roman Bold" w:cs="Times New Roman Bold" w:hAnsi="Times New Roman Bold" w:eastAsia="Times New Roman Bold"/>
        </w:rPr>
      </w:pPr>
    </w:p>
    <w:p>
      <w:pPr>
        <w:pStyle w:val="Normal"/>
        <w:tabs>
          <w:tab w:val="left" w:pos="9072"/>
        </w:tabs>
        <w:ind w:left="567" w:right="567" w:firstLine="0"/>
        <w:jc w:val="both"/>
        <w:rPr>
          <w:rFonts w:ascii="Book Antiqua" w:cs="Book Antiqua" w:hAnsi="Book Antiqua" w:eastAsia="Book Antiqua"/>
          <w:sz w:val="28"/>
          <w:szCs w:val="28"/>
        </w:rPr>
      </w:pPr>
      <w:r>
        <w:rPr>
          <w:rFonts w:ascii="Book Antiqua"/>
          <w:sz w:val="28"/>
          <w:szCs w:val="28"/>
          <w:rtl w:val="0"/>
          <w:lang w:val="it-IT"/>
        </w:rPr>
        <w:t>2.2.2.2 I modelli di raccolta differenziata a Roma</w:t>
      </w:r>
    </w:p>
    <w:p>
      <w:pPr>
        <w:pStyle w:val="Normal"/>
        <w:tabs>
          <w:tab w:val="left" w:pos="9072"/>
        </w:tabs>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rPr>
      </w:pPr>
      <w:r>
        <w:rPr>
          <w:rFonts w:ascii="Book Antiqua"/>
          <w:rtl w:val="0"/>
          <w:lang w:val="it-IT"/>
        </w:rPr>
        <w:t>Dopo il lungo periodo di proroga del precedente contratto di servizio 2003/2005 - nel corso del quale la</w:t>
      </w:r>
      <w:r>
        <w:rPr>
          <w:rFonts w:hAnsi="Book Antiqua" w:hint="default"/>
          <w:rtl w:val="0"/>
          <w:lang w:val="it-IT"/>
        </w:rPr>
        <w:t> </w:t>
      </w:r>
      <w:r>
        <w:rPr>
          <w:rFonts w:ascii="Book Antiqua"/>
          <w:rtl w:val="0"/>
          <w:lang w:val="it-IT"/>
        </w:rPr>
        <w:t xml:space="preserve">raccolta differenziata a Roma </w:t>
      </w:r>
      <w:r>
        <w:rPr>
          <w:rFonts w:hAnsi="Book Antiqua" w:hint="default"/>
          <w:rtl w:val="0"/>
          <w:lang w:val="it-IT"/>
        </w:rPr>
        <w:t xml:space="preserve">è </w:t>
      </w:r>
      <w:r>
        <w:rPr>
          <w:rFonts w:ascii="Book Antiqua"/>
          <w:rtl w:val="0"/>
          <w:lang w:val="it-IT"/>
        </w:rPr>
        <w:t xml:space="preserve">stata oggetto di varie sperimentazioni - a partire dalla fine del 2012 </w:t>
      </w:r>
      <w:r>
        <w:rPr>
          <w:rFonts w:hAnsi="Book Antiqua" w:hint="default"/>
          <w:rtl w:val="0"/>
          <w:lang w:val="it-IT"/>
        </w:rPr>
        <w:t xml:space="preserve">è </w:t>
      </w:r>
      <w:r>
        <w:rPr>
          <w:rFonts w:ascii="Book Antiqua"/>
          <w:rtl w:val="0"/>
          <w:lang w:val="it-IT"/>
        </w:rPr>
        <w:t>stato progressivamente attuato un progetto organico di estensione di una nuova raccolta a cinque frazioni</w:t>
      </w:r>
      <w:r>
        <w:rPr>
          <w:rFonts w:ascii="Book Antiqua" w:cs="Book Antiqua" w:hAnsi="Book Antiqua" w:eastAsia="Book Antiqua"/>
          <w:vertAlign w:val="superscript"/>
          <w:rtl w:val="0"/>
        </w:rPr>
        <w:footnoteReference w:id="19"/>
      </w:r>
      <w:r>
        <w:rPr>
          <w:rFonts w:ascii="Book Antiqua"/>
          <w:rtl w:val="0"/>
          <w:lang w:val="it-IT"/>
        </w:rPr>
        <w:t>:</w:t>
      </w:r>
    </w:p>
    <w:p>
      <w:pPr>
        <w:pStyle w:val="Elenco a colori - Colore 11"/>
        <w:spacing w:after="0" w:line="240" w:lineRule="auto"/>
        <w:ind w:left="567" w:right="567" w:firstLine="0"/>
        <w:jc w:val="both"/>
        <w:rPr>
          <w:rFonts w:ascii="Book Antiqua" w:cs="Book Antiqua" w:hAnsi="Book Antiqua" w:eastAsia="Book Antiqua"/>
          <w:sz w:val="24"/>
          <w:szCs w:val="24"/>
        </w:rPr>
      </w:pPr>
      <w:r>
        <w:rPr>
          <w:rFonts w:ascii="Book Antiqua"/>
          <w:sz w:val="24"/>
          <w:szCs w:val="24"/>
          <w:rtl w:val="0"/>
          <w:lang w:val="it-IT"/>
        </w:rPr>
        <w:t xml:space="preserve">organico (cassonetti marroni); </w:t>
      </w:r>
    </w:p>
    <w:p>
      <w:pPr>
        <w:pStyle w:val="Elenco a colori - Colore 11"/>
        <w:spacing w:after="0" w:line="240" w:lineRule="auto"/>
        <w:ind w:left="567" w:right="567" w:firstLine="0"/>
        <w:jc w:val="both"/>
        <w:rPr>
          <w:rFonts w:ascii="Book Antiqua" w:cs="Book Antiqua" w:hAnsi="Book Antiqua" w:eastAsia="Book Antiqua"/>
          <w:sz w:val="24"/>
          <w:szCs w:val="24"/>
        </w:rPr>
      </w:pPr>
      <w:r>
        <w:rPr>
          <w:rFonts w:ascii="Book Antiqua"/>
          <w:sz w:val="24"/>
          <w:szCs w:val="24"/>
          <w:rtl w:val="0"/>
          <w:lang w:val="it-IT"/>
        </w:rPr>
        <w:t xml:space="preserve">carta/cartone (bianchi); </w:t>
      </w:r>
    </w:p>
    <w:p>
      <w:pPr>
        <w:pStyle w:val="Elenco a colori - Colore 11"/>
        <w:spacing w:after="0" w:line="240" w:lineRule="auto"/>
        <w:ind w:left="567" w:right="567" w:firstLine="0"/>
        <w:jc w:val="both"/>
        <w:rPr>
          <w:rFonts w:ascii="Book Antiqua" w:cs="Book Antiqua" w:hAnsi="Book Antiqua" w:eastAsia="Book Antiqua"/>
          <w:sz w:val="24"/>
          <w:szCs w:val="24"/>
        </w:rPr>
      </w:pPr>
      <w:r>
        <w:rPr>
          <w:rFonts w:ascii="Book Antiqua"/>
          <w:sz w:val="24"/>
          <w:szCs w:val="24"/>
          <w:rtl w:val="0"/>
          <w:lang w:val="it-IT"/>
        </w:rPr>
        <w:t>multimateriale leggero (plastica e lattine, cassonetti blu);</w:t>
      </w:r>
    </w:p>
    <w:p>
      <w:pPr>
        <w:pStyle w:val="Elenco a colori - Colore 11"/>
        <w:spacing w:after="0" w:line="240" w:lineRule="auto"/>
        <w:ind w:left="567" w:right="567" w:firstLine="0"/>
        <w:jc w:val="both"/>
        <w:rPr>
          <w:rFonts w:ascii="Book Antiqua" w:cs="Book Antiqua" w:hAnsi="Book Antiqua" w:eastAsia="Book Antiqua"/>
          <w:sz w:val="24"/>
          <w:szCs w:val="24"/>
        </w:rPr>
      </w:pPr>
      <w:r>
        <w:rPr>
          <w:rFonts w:ascii="Book Antiqua"/>
          <w:sz w:val="24"/>
          <w:szCs w:val="24"/>
          <w:rtl w:val="0"/>
          <w:lang w:val="it-IT"/>
        </w:rPr>
        <w:t xml:space="preserve">vetro monomateriale (campane verdi); </w:t>
      </w:r>
    </w:p>
    <w:p>
      <w:pPr>
        <w:pStyle w:val="Elenco a colori - Colore 11"/>
        <w:spacing w:after="0" w:line="240" w:lineRule="auto"/>
        <w:ind w:left="567" w:right="567" w:firstLine="0"/>
        <w:jc w:val="both"/>
        <w:rPr>
          <w:rFonts w:ascii="Book Antiqua" w:cs="Book Antiqua" w:hAnsi="Book Antiqua" w:eastAsia="Book Antiqua"/>
          <w:sz w:val="24"/>
          <w:szCs w:val="24"/>
        </w:rPr>
      </w:pPr>
      <w:r>
        <w:rPr>
          <w:rFonts w:ascii="Book Antiqua"/>
          <w:sz w:val="24"/>
          <w:szCs w:val="24"/>
          <w:rtl w:val="0"/>
          <w:lang w:val="it-IT"/>
        </w:rPr>
        <w:t>indifferenziato (cassonetti neri).</w:t>
      </w:r>
    </w:p>
    <w:p>
      <w:pPr>
        <w:pStyle w:val="Elenco a colori - Colore 11"/>
        <w:spacing w:after="0" w:line="240" w:lineRule="auto"/>
        <w:ind w:left="567" w:right="567" w:firstLine="0"/>
        <w:jc w:val="both"/>
        <w:rPr>
          <w:rFonts w:ascii="Book Antiqua" w:cs="Book Antiqua" w:hAnsi="Book Antiqua" w:eastAsia="Book Antiqua"/>
          <w:sz w:val="24"/>
          <w:szCs w:val="24"/>
        </w:rPr>
      </w:pPr>
    </w:p>
    <w:p>
      <w:pPr>
        <w:pStyle w:val="Normal"/>
        <w:ind w:left="567" w:right="567" w:firstLine="0"/>
        <w:jc w:val="both"/>
        <w:rPr>
          <w:rFonts w:ascii="Book Antiqua" w:cs="Book Antiqua" w:hAnsi="Book Antiqua" w:eastAsia="Book Antiqua"/>
        </w:rPr>
      </w:pPr>
      <w:r>
        <w:rPr>
          <w:rFonts w:ascii="Book Antiqua"/>
          <w:rtl w:val="0"/>
          <w:lang w:val="it-IT"/>
        </w:rPr>
        <w:t xml:space="preserve">L'estensione del progetto </w:t>
      </w:r>
      <w:r>
        <w:rPr>
          <w:rFonts w:hAnsi="Book Antiqua" w:hint="default"/>
          <w:rtl w:val="0"/>
          <w:lang w:val="it-IT"/>
        </w:rPr>
        <w:t xml:space="preserve">è </w:t>
      </w:r>
      <w:r>
        <w:rPr>
          <w:rFonts w:ascii="Book Antiqua"/>
          <w:rtl w:val="0"/>
          <w:lang w:val="it-IT"/>
        </w:rPr>
        <w:t>stata attuata in tre fasi, che hanno coinvolto tre gruppi di cinque municipi:</w:t>
      </w:r>
      <w:r>
        <w:rPr>
          <w:rFonts w:hAnsi="Book Antiqua" w:hint="default"/>
          <w:rtl w:val="0"/>
          <w:lang w:val="it-IT"/>
        </w:rPr>
        <w:t> </w:t>
      </w:r>
    </w:p>
    <w:p>
      <w:pPr>
        <w:pStyle w:val="Elenco a colori - Colore 11"/>
        <w:spacing w:after="0" w:line="240" w:lineRule="auto"/>
        <w:ind w:left="567" w:right="567" w:firstLine="0"/>
        <w:jc w:val="both"/>
        <w:rPr>
          <w:rFonts w:ascii="Book Antiqua" w:cs="Book Antiqua" w:hAnsi="Book Antiqua" w:eastAsia="Book Antiqua"/>
          <w:sz w:val="24"/>
          <w:szCs w:val="24"/>
        </w:rPr>
      </w:pPr>
      <w:r>
        <w:rPr>
          <w:rFonts w:ascii="Book Antiqua"/>
          <w:sz w:val="24"/>
          <w:szCs w:val="24"/>
          <w:rtl w:val="0"/>
          <w:lang w:val="it-IT"/>
        </w:rPr>
        <w:t xml:space="preserve">2012/2013 - primo gruppo (municipi III, VI, IX, XI, XIII); </w:t>
      </w:r>
    </w:p>
    <w:p>
      <w:pPr>
        <w:pStyle w:val="Elenco a colori - Colore 11"/>
        <w:spacing w:after="0" w:line="240" w:lineRule="auto"/>
        <w:ind w:left="567" w:right="567" w:firstLine="0"/>
        <w:jc w:val="both"/>
        <w:rPr>
          <w:rFonts w:ascii="Book Antiqua" w:cs="Book Antiqua" w:hAnsi="Book Antiqua" w:eastAsia="Book Antiqua"/>
          <w:sz w:val="24"/>
          <w:szCs w:val="24"/>
        </w:rPr>
      </w:pPr>
      <w:r>
        <w:rPr>
          <w:rFonts w:ascii="Book Antiqua"/>
          <w:sz w:val="24"/>
          <w:szCs w:val="24"/>
          <w:rtl w:val="0"/>
          <w:lang w:val="it-IT"/>
        </w:rPr>
        <w:t>2014 - secondo gruppo (municipi IV, VIII, X, XII,</w:t>
      </w:r>
      <w:r>
        <w:rPr>
          <w:rFonts w:hAnsi="Book Antiqua" w:hint="default"/>
          <w:sz w:val="24"/>
          <w:szCs w:val="24"/>
          <w:rtl w:val="0"/>
          <w:lang w:val="it-IT"/>
        </w:rPr>
        <w:t> </w:t>
      </w:r>
      <w:r>
        <w:rPr>
          <w:rFonts w:ascii="Book Antiqua"/>
          <w:sz w:val="24"/>
          <w:szCs w:val="24"/>
          <w:rtl w:val="0"/>
          <w:lang w:val="it-IT"/>
        </w:rPr>
        <w:t xml:space="preserve">XIV); </w:t>
      </w:r>
    </w:p>
    <w:p>
      <w:pPr>
        <w:pStyle w:val="Elenco a colori - Colore 11"/>
        <w:spacing w:after="0" w:line="240" w:lineRule="auto"/>
        <w:ind w:left="567" w:right="567" w:firstLine="0"/>
        <w:jc w:val="both"/>
        <w:rPr>
          <w:rFonts w:ascii="Book Antiqua" w:cs="Book Antiqua" w:hAnsi="Book Antiqua" w:eastAsia="Book Antiqua"/>
          <w:sz w:val="24"/>
          <w:szCs w:val="24"/>
        </w:rPr>
      </w:pPr>
      <w:r>
        <w:rPr>
          <w:rFonts w:ascii="Book Antiqua"/>
          <w:sz w:val="24"/>
          <w:szCs w:val="24"/>
          <w:rtl w:val="0"/>
          <w:lang w:val="it-IT"/>
        </w:rPr>
        <w:t>2015/2016 - terzo gruppo (municipi I, II, V, VII, XV)</w:t>
      </w:r>
    </w:p>
    <w:p>
      <w:pPr>
        <w:pStyle w:val="Normal"/>
        <w:ind w:left="567" w:right="567" w:firstLine="0"/>
        <w:jc w:val="both"/>
        <w:rPr>
          <w:rFonts w:ascii="Book Antiqua" w:cs="Book Antiqua" w:hAnsi="Book Antiqua" w:eastAsia="Book Antiqua"/>
        </w:rPr>
      </w:pPr>
      <w:r>
        <w:rPr>
          <w:rFonts w:ascii="Book Antiqua"/>
          <w:rtl w:val="0"/>
          <w:lang w:val="it-IT"/>
        </w:rPr>
        <w:t>La raccolta a cinque frazioni era destinata ad aumentare la raccolta differenziata, in accordo con obiettivi e</w:t>
      </w:r>
      <w:r>
        <w:rPr>
          <w:rFonts w:hAnsi="Book Antiqua" w:hint="default"/>
          <w:rtl w:val="0"/>
          <w:lang w:val="it-IT"/>
        </w:rPr>
        <w:t> </w:t>
      </w:r>
      <w:r>
        <w:rPr>
          <w:rFonts w:ascii="Book Antiqua"/>
          <w:rtl w:val="0"/>
          <w:lang w:val="it-IT"/>
        </w:rPr>
        <w:t>intese che vedono coinvolti il CONAI, il Ministero dell</w:t>
      </w:r>
      <w:r>
        <w:rPr>
          <w:rFonts w:hAnsi="Book Antiqua" w:hint="default"/>
          <w:rtl w:val="0"/>
          <w:lang w:val="it-IT"/>
        </w:rPr>
        <w:t>’</w:t>
      </w:r>
      <w:r>
        <w:rPr>
          <w:rFonts w:ascii="Book Antiqua"/>
          <w:rtl w:val="0"/>
          <w:lang w:val="it-IT"/>
        </w:rPr>
        <w:t>ambiente, la regione e la provincia.</w:t>
      </w:r>
      <w:r>
        <w:rPr>
          <w:rFonts w:hAnsi="Book Antiqua" w:hint="default"/>
          <w:rtl w:val="0"/>
          <w:lang w:val="it-IT"/>
        </w:rPr>
        <w:t> </w:t>
      </w:r>
    </w:p>
    <w:p>
      <w:pPr>
        <w:pStyle w:val="Normal"/>
        <w:ind w:left="567" w:right="567" w:firstLine="0"/>
        <w:jc w:val="both"/>
        <w:rPr>
          <w:rFonts w:ascii="Book Antiqua" w:cs="Book Antiqua" w:hAnsi="Book Antiqua" w:eastAsia="Book Antiqua"/>
        </w:rPr>
      </w:pPr>
      <w:r>
        <w:rPr>
          <w:rFonts w:ascii="Book Antiqua"/>
          <w:rtl w:val="0"/>
          <w:lang w:val="it-IT"/>
        </w:rPr>
        <w:t xml:space="preserve">Con il nuovo modello, queste raccolte riguardano sia le zone servite con cassonetti stradali, sia quelli dove </w:t>
      </w:r>
      <w:r>
        <w:rPr>
          <w:rFonts w:hAnsi="Book Antiqua" w:hint="default"/>
          <w:rtl w:val="0"/>
          <w:lang w:val="it-IT"/>
        </w:rPr>
        <w:t xml:space="preserve">è </w:t>
      </w:r>
      <w:r>
        <w:rPr>
          <w:rFonts w:ascii="Book Antiqua"/>
          <w:rtl w:val="0"/>
          <w:lang w:val="it-IT"/>
        </w:rPr>
        <w:t>stata applicata la raccolta porta a porta. La scelta fra modalit</w:t>
      </w:r>
      <w:r>
        <w:rPr>
          <w:rFonts w:hAnsi="Book Antiqua" w:hint="default"/>
          <w:rtl w:val="0"/>
          <w:lang w:val="it-IT"/>
        </w:rPr>
        <w:t xml:space="preserve">à </w:t>
      </w:r>
      <w:r>
        <w:rPr>
          <w:rFonts w:ascii="Book Antiqua"/>
          <w:rtl w:val="0"/>
          <w:lang w:val="it-IT"/>
        </w:rPr>
        <w:t>di raccolta porta a porta e modalit</w:t>
      </w:r>
      <w:r>
        <w:rPr>
          <w:rFonts w:hAnsi="Book Antiqua" w:hint="default"/>
          <w:rtl w:val="0"/>
          <w:lang w:val="it-IT"/>
        </w:rPr>
        <w:t xml:space="preserve">à </w:t>
      </w:r>
      <w:r>
        <w:rPr>
          <w:rFonts w:ascii="Book Antiqua"/>
          <w:rtl w:val="0"/>
          <w:lang w:val="it-IT"/>
        </w:rPr>
        <w:t>stradale con cassonetti dipende dalla configurazione urbanistica dei quartieri e dalla tipologia degli edifici, cos</w:t>
      </w:r>
      <w:r>
        <w:rPr>
          <w:rFonts w:hAnsi="Book Antiqua" w:hint="default"/>
          <w:rtl w:val="0"/>
          <w:lang w:val="it-IT"/>
        </w:rPr>
        <w:t xml:space="preserve">ì </w:t>
      </w:r>
      <w:r>
        <w:rPr>
          <w:rFonts w:ascii="Book Antiqua"/>
          <w:rtl w:val="0"/>
          <w:lang w:val="it-IT"/>
        </w:rPr>
        <w:t>che a regime le due modalit</w:t>
      </w:r>
      <w:r>
        <w:rPr>
          <w:rFonts w:hAnsi="Book Antiqua" w:hint="default"/>
          <w:rtl w:val="0"/>
          <w:lang w:val="it-IT"/>
        </w:rPr>
        <w:t xml:space="preserve">à </w:t>
      </w:r>
      <w:r>
        <w:rPr>
          <w:rFonts w:ascii="Book Antiqua"/>
          <w:rtl w:val="0"/>
          <w:lang w:val="it-IT"/>
        </w:rPr>
        <w:t>potrebbero continuare a coesistere nei vari municipi, ma tutti i cittadini differenzieranno le cinque frazioni. Il contratto di servizio</w:t>
      </w:r>
      <w:r>
        <w:rPr>
          <w:rFonts w:hAnsi="Book Antiqua" w:hint="default"/>
          <w:rtl w:val="0"/>
          <w:lang w:val="it-IT"/>
        </w:rPr>
        <w:t> </w:t>
      </w:r>
      <w:r>
        <w:rPr>
          <w:rFonts w:ascii="Book Antiqua"/>
          <w:rtl w:val="0"/>
          <w:lang w:val="it-IT"/>
        </w:rPr>
        <w:t>prevede l'attuazione - non ancora operativa a tutto il 2016 - del</w:t>
      </w:r>
      <w:r>
        <w:rPr>
          <w:rFonts w:hAnsi="Book Antiqua" w:hint="default"/>
          <w:rtl w:val="0"/>
          <w:lang w:val="it-IT"/>
        </w:rPr>
        <w:t> </w:t>
      </w:r>
      <w:r>
        <w:rPr>
          <w:rFonts w:ascii="Book Antiqua"/>
          <w:rtl w:val="0"/>
          <w:lang w:val="it-IT"/>
        </w:rPr>
        <w:t xml:space="preserve">monitoraggio dei cassonetti stradali per tutte le frazioni, ma gli indirizzi approvati in sede contrattuale non danno indicazioni per i monitoraggi della raccolta nelle zone servite porta a porta. Questo aspetto andrebbe decisamente affrontato nel contratto, sia per quanto riguarda l'efficacia della raccolta, sia per la dotazione di cestini. Il tema del decoro nelle zone servite porta a porta non </w:t>
      </w:r>
      <w:r>
        <w:rPr>
          <w:rFonts w:hAnsi="Book Antiqua" w:hint="default"/>
          <w:rtl w:val="0"/>
          <w:lang w:val="it-IT"/>
        </w:rPr>
        <w:t xml:space="preserve">è </w:t>
      </w:r>
      <w:r>
        <w:rPr>
          <w:rFonts w:ascii="Book Antiqua"/>
          <w:rtl w:val="0"/>
          <w:lang w:val="it-IT"/>
        </w:rPr>
        <w:t>infatti da sottovalutare, perch</w:t>
      </w:r>
      <w:r>
        <w:rPr>
          <w:rFonts w:hAnsi="Book Antiqua" w:hint="default"/>
          <w:rtl w:val="0"/>
          <w:lang w:val="it-IT"/>
        </w:rPr>
        <w:t xml:space="preserve">é </w:t>
      </w:r>
      <w:r>
        <w:rPr>
          <w:rFonts w:ascii="Book Antiqua"/>
          <w:rtl w:val="0"/>
          <w:lang w:val="it-IT"/>
        </w:rPr>
        <w:t xml:space="preserve">l'eliminazione dei cassonetti dalle strade se non </w:t>
      </w:r>
      <w:r>
        <w:rPr>
          <w:rFonts w:hAnsi="Book Antiqua" w:hint="default"/>
          <w:rtl w:val="0"/>
          <w:lang w:val="it-IT"/>
        </w:rPr>
        <w:t xml:space="preserve">è </w:t>
      </w:r>
      <w:r>
        <w:rPr>
          <w:rFonts w:ascii="Book Antiqua"/>
          <w:rtl w:val="0"/>
          <w:lang w:val="it-IT"/>
        </w:rPr>
        <w:t>accompagnata da un incremento del numero di</w:t>
      </w:r>
      <w:r>
        <w:rPr>
          <w:rFonts w:hAnsi="Book Antiqua" w:hint="default"/>
          <w:rtl w:val="0"/>
          <w:lang w:val="it-IT"/>
        </w:rPr>
        <w:t> </w:t>
      </w:r>
      <w:r>
        <w:rPr>
          <w:rFonts w:ascii="Book Antiqua"/>
          <w:rtl w:val="0"/>
          <w:lang w:val="it-IT"/>
        </w:rPr>
        <w:t>cestini comporta maggiori difficolt</w:t>
      </w:r>
      <w:r>
        <w:rPr>
          <w:rFonts w:hAnsi="Book Antiqua" w:hint="default"/>
          <w:rtl w:val="0"/>
          <w:lang w:val="it-IT"/>
        </w:rPr>
        <w:t xml:space="preserve">à </w:t>
      </w:r>
      <w:r>
        <w:rPr>
          <w:rFonts w:ascii="Book Antiqua"/>
          <w:rtl w:val="0"/>
          <w:lang w:val="it-IT"/>
        </w:rPr>
        <w:t xml:space="preserve">per i passanti che devono gettare piccoli rifiuti e spesso finisce per peggiorare lo stato di pulizia delle strade. </w:t>
      </w:r>
    </w:p>
    <w:p>
      <w:pPr>
        <w:pStyle w:val="Normal"/>
        <w:ind w:left="567" w:right="567" w:firstLine="0"/>
        <w:jc w:val="both"/>
        <w:rPr>
          <w:rFonts w:ascii="Book Antiqua" w:cs="Book Antiqua" w:hAnsi="Book Antiqua" w:eastAsia="Book Antiqua"/>
        </w:rPr>
      </w:pPr>
      <w:r>
        <w:rPr>
          <w:rFonts w:ascii="Book Antiqua"/>
          <w:rtl w:val="0"/>
          <w:lang w:val="it-IT"/>
        </w:rPr>
        <w:t>La tabella che segue mostra l'evoluzione della raccolta a Roma negli ultimi dieci</w:t>
      </w:r>
      <w:r>
        <w:rPr>
          <w:rFonts w:hAnsi="Book Antiqua" w:hint="default"/>
          <w:rtl w:val="0"/>
          <w:lang w:val="it-IT"/>
        </w:rPr>
        <w:t> </w:t>
      </w:r>
      <w:r>
        <w:rPr>
          <w:rFonts w:ascii="Book Antiqua"/>
          <w:rtl w:val="0"/>
          <w:lang w:val="it-IT"/>
        </w:rPr>
        <w:t>anni, mettendola in relazione con i monitoraggi della fruibilit</w:t>
      </w:r>
      <w:r>
        <w:rPr>
          <w:rFonts w:hAnsi="Book Antiqua" w:hint="default"/>
          <w:rtl w:val="0"/>
          <w:lang w:val="it-IT"/>
        </w:rPr>
        <w:t xml:space="preserve">à </w:t>
      </w:r>
      <w:r>
        <w:rPr>
          <w:rFonts w:ascii="Book Antiqua"/>
          <w:rtl w:val="0"/>
          <w:lang w:val="it-IT"/>
        </w:rPr>
        <w:t>dei cestini stradali e del livello di pulizia delle strade</w:t>
      </w:r>
    </w:p>
    <w:p>
      <w:pPr>
        <w:pStyle w:val="Normal"/>
        <w:ind w:left="567" w:right="567" w:firstLine="0"/>
        <w:jc w:val="both"/>
        <w:rPr>
          <w:rFonts w:ascii="Book Antiqua" w:cs="Book Antiqua" w:hAnsi="Book Antiqua" w:eastAsia="Book Antiqua"/>
        </w:rPr>
      </w:pPr>
    </w:p>
    <w:p>
      <w:pPr>
        <w:pStyle w:val="Normal"/>
        <w:jc w:val="both"/>
        <w:rPr>
          <w:rtl w:val="0"/>
        </w:rPr>
      </w:pPr>
      <w:r>
        <w:rPr>
          <w:rtl w:val="0"/>
        </w:rPr>
        <w:drawing>
          <wp:inline distT="0" distB="0" distL="0" distR="0">
            <wp:extent cx="6155267" cy="3105573"/>
            <wp:effectExtent l="0" t="0" r="0" b="0"/>
            <wp:docPr id="1073741826" name="officeArt object" descr="pap_e_pulizia.png"/>
            <wp:cNvGraphicFramePr/>
            <a:graphic xmlns:a="http://schemas.openxmlformats.org/drawingml/2006/main">
              <a:graphicData uri="http://schemas.openxmlformats.org/drawingml/2006/picture">
                <pic:pic xmlns:pic="http://schemas.openxmlformats.org/drawingml/2006/picture">
                  <pic:nvPicPr>
                    <pic:cNvPr id="1073741826" name="image2.png" descr="pap_e_pulizia.png"/>
                    <pic:cNvPicPr/>
                  </pic:nvPicPr>
                  <pic:blipFill>
                    <a:blip r:embed="rId6">
                      <a:extLst/>
                    </a:blip>
                    <a:stretch>
                      <a:fillRect/>
                    </a:stretch>
                  </pic:blipFill>
                  <pic:spPr>
                    <a:xfrm>
                      <a:off x="0" y="0"/>
                      <a:ext cx="6155267" cy="3105573"/>
                    </a:xfrm>
                    <a:prstGeom prst="rect">
                      <a:avLst/>
                    </a:prstGeom>
                    <a:ln w="12700" cap="flat">
                      <a:noFill/>
                      <a:miter lim="400000"/>
                    </a:ln>
                    <a:effectLst/>
                  </pic:spPr>
                </pic:pic>
              </a:graphicData>
            </a:graphic>
          </wp:inline>
        </w:drawing>
      </w:r>
    </w:p>
    <w:p>
      <w:pPr>
        <w:pStyle w:val="Normal"/>
        <w:jc w:val="both"/>
        <w:rPr>
          <w:rtl w:val="0"/>
        </w:rPr>
      </w:pP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rPr>
      </w:pPr>
      <w:r>
        <w:rPr>
          <w:rFonts w:ascii="Book Antiqua"/>
          <w:rtl w:val="0"/>
          <w:lang w:val="it-IT"/>
        </w:rPr>
        <w:t>Durante le audizioni la Commissione ha formulato dubbi sia sulle quantit</w:t>
      </w:r>
      <w:r>
        <w:rPr>
          <w:rFonts w:hAnsi="Book Antiqua" w:hint="default"/>
          <w:rtl w:val="0"/>
          <w:lang w:val="it-IT"/>
        </w:rPr>
        <w:t xml:space="preserve">à </w:t>
      </w:r>
      <w:r>
        <w:rPr>
          <w:rFonts w:ascii="Book Antiqua"/>
          <w:rtl w:val="0"/>
          <w:lang w:val="it-IT"/>
        </w:rPr>
        <w:t>(dati forniti da Roma Capitale ovvero dall</w:t>
      </w:r>
      <w:r>
        <w:rPr>
          <w:rFonts w:hAnsi="Book Antiqua" w:hint="default"/>
          <w:rtl w:val="0"/>
          <w:lang w:val="it-IT"/>
        </w:rPr>
        <w:t>’</w:t>
      </w:r>
      <w:r>
        <w:rPr>
          <w:rFonts w:ascii="Book Antiqua"/>
          <w:rtl w:val="0"/>
          <w:lang w:val="it-IT"/>
        </w:rPr>
        <w:t>AMA) di rifiuti raccolti in maniera differenziata a Roma che sulla qualit</w:t>
      </w:r>
      <w:r>
        <w:rPr>
          <w:rFonts w:hAnsi="Book Antiqua" w:hint="default"/>
          <w:rtl w:val="0"/>
          <w:lang w:val="it-IT"/>
        </w:rPr>
        <w:t xml:space="preserve">à </w:t>
      </w:r>
      <w:r>
        <w:rPr>
          <w:rFonts w:ascii="Book Antiqua"/>
          <w:rtl w:val="0"/>
          <w:lang w:val="it-IT"/>
        </w:rPr>
        <w:t xml:space="preserve">delle frazioni raccolte da avviare al riciclo. Sul punto </w:t>
      </w:r>
      <w:r>
        <w:rPr>
          <w:rFonts w:hAnsi="Book Antiqua" w:hint="default"/>
          <w:rtl w:val="0"/>
          <w:lang w:val="it-IT"/>
        </w:rPr>
        <w:t xml:space="preserve">è </w:t>
      </w:r>
      <w:r>
        <w:rPr>
          <w:rFonts w:ascii="Book Antiqua"/>
          <w:rtl w:val="0"/>
          <w:lang w:val="it-IT"/>
        </w:rPr>
        <w:t>intervenuto il presidente pro tempore di AMA S.p.A., Daniele Fortini, che durante l</w:t>
      </w:r>
      <w:r>
        <w:rPr>
          <w:rFonts w:hAnsi="Book Antiqua" w:hint="default"/>
          <w:rtl w:val="0"/>
          <w:lang w:val="it-IT"/>
        </w:rPr>
        <w:t>’</w:t>
      </w:r>
      <w:r>
        <w:rPr>
          <w:rFonts w:ascii="Book Antiqua"/>
          <w:rtl w:val="0"/>
          <w:lang w:val="it-IT"/>
        </w:rPr>
        <w:t xml:space="preserve">audizione  del 2 agosto 2016, ha dichiarato: </w:t>
      </w:r>
    </w:p>
    <w:p>
      <w:pPr>
        <w:pStyle w:val="Normal"/>
        <w:ind w:left="567" w:right="567" w:firstLine="0"/>
        <w:jc w:val="both"/>
        <w:rPr>
          <w:rFonts w:ascii="Book Antiqua" w:cs="Book Antiqua" w:hAnsi="Book Antiqua" w:eastAsia="Book Antiqua"/>
        </w:rPr>
      </w:pPr>
      <w:r>
        <w:rPr>
          <w:rFonts w:hAnsi="Book Antiqua" w:hint="default"/>
          <w:rtl w:val="0"/>
          <w:lang w:val="it-IT"/>
        </w:rPr>
        <w:t>“</w:t>
      </w:r>
      <w:r>
        <w:rPr>
          <w:rFonts w:ascii="Book Antiqua"/>
          <w:rtl w:val="0"/>
          <w:lang w:val="it-IT"/>
        </w:rPr>
        <w:t>Per quanto riguarda la raccolta differenziata al palo, mi permetta un</w:t>
      </w:r>
      <w:r>
        <w:rPr>
          <w:rFonts w:hAnsi="Book Antiqua" w:hint="default"/>
          <w:rtl w:val="0"/>
          <w:lang w:val="it-IT"/>
        </w:rPr>
        <w:t>’</w:t>
      </w:r>
      <w:r>
        <w:rPr>
          <w:rFonts w:ascii="Book Antiqua"/>
          <w:rtl w:val="0"/>
          <w:lang w:val="it-IT"/>
        </w:rPr>
        <w:t>obiezione. C</w:t>
      </w:r>
      <w:r>
        <w:rPr>
          <w:rFonts w:hAnsi="Book Antiqua" w:hint="default"/>
          <w:rtl w:val="0"/>
          <w:lang w:val="it-IT"/>
        </w:rPr>
        <w:t xml:space="preserve">’è </w:t>
      </w:r>
      <w:r>
        <w:rPr>
          <w:rFonts w:ascii="Book Antiqua"/>
          <w:rtl w:val="0"/>
          <w:lang w:val="it-IT"/>
        </w:rPr>
        <w:t>chi sostiene che la raccolta differenziata a Roma faccia schifo e non funzioni. Spero e penso che i miei successori faranno tutte le analisi del caso. Si vedr</w:t>
      </w:r>
      <w:r>
        <w:rPr>
          <w:rFonts w:hAnsi="Book Antiqua" w:hint="default"/>
          <w:rtl w:val="0"/>
          <w:lang w:val="it-IT"/>
        </w:rPr>
        <w:t xml:space="preserve">à </w:t>
      </w:r>
      <w:r>
        <w:rPr>
          <w:rFonts w:ascii="Book Antiqua"/>
          <w:rtl w:val="0"/>
          <w:lang w:val="it-IT"/>
        </w:rPr>
        <w:t>che la raccolta differenziata, per esempio, di carta e cartone ha un indice di impurit</w:t>
      </w:r>
      <w:r>
        <w:rPr>
          <w:rFonts w:hAnsi="Book Antiqua" w:hint="default"/>
          <w:rtl w:val="0"/>
          <w:lang w:val="it-IT"/>
        </w:rPr>
        <w:t xml:space="preserve">à </w:t>
      </w:r>
      <w:r>
        <w:rPr>
          <w:rFonts w:ascii="Book Antiqua"/>
          <w:rtl w:val="0"/>
          <w:lang w:val="it-IT"/>
        </w:rPr>
        <w:t>intorno al 9 per cento. Si potr</w:t>
      </w:r>
      <w:r>
        <w:rPr>
          <w:rFonts w:hAnsi="Book Antiqua" w:hint="default"/>
          <w:rtl w:val="0"/>
          <w:lang w:val="it-IT"/>
        </w:rPr>
        <w:t xml:space="preserve">à </w:t>
      </w:r>
      <w:r>
        <w:rPr>
          <w:rFonts w:ascii="Book Antiqua"/>
          <w:rtl w:val="0"/>
          <w:lang w:val="it-IT"/>
        </w:rPr>
        <w:t>vedere che altri rifiuti, i rifiuti urbani biodegradabili provenienti dal porta a porta, hanno una qualit</w:t>
      </w:r>
      <w:r>
        <w:rPr>
          <w:rFonts w:hAnsi="Book Antiqua" w:hint="default"/>
          <w:rtl w:val="0"/>
          <w:lang w:val="it-IT"/>
        </w:rPr>
        <w:t xml:space="preserve">à </w:t>
      </w:r>
      <w:r>
        <w:rPr>
          <w:rFonts w:ascii="Book Antiqua"/>
          <w:rtl w:val="0"/>
          <w:lang w:val="it-IT"/>
        </w:rPr>
        <w:t xml:space="preserve">che </w:t>
      </w:r>
      <w:r>
        <w:rPr>
          <w:rFonts w:hAnsi="Book Antiqua" w:hint="default"/>
          <w:rtl w:val="0"/>
          <w:lang w:val="it-IT"/>
        </w:rPr>
        <w:t xml:space="preserve">è </w:t>
      </w:r>
      <w:r>
        <w:rPr>
          <w:rFonts w:ascii="Book Antiqua"/>
          <w:rtl w:val="0"/>
          <w:lang w:val="it-IT"/>
        </w:rPr>
        <w:t>intorno all</w:t>
      </w:r>
      <w:r>
        <w:rPr>
          <w:rFonts w:hAnsi="Book Antiqua" w:hint="default"/>
          <w:rtl w:val="0"/>
          <w:lang w:val="it-IT"/>
        </w:rPr>
        <w:t>’</w:t>
      </w:r>
      <w:r>
        <w:rPr>
          <w:rFonts w:ascii="Book Antiqua"/>
          <w:rtl w:val="0"/>
          <w:lang w:val="it-IT"/>
        </w:rPr>
        <w:t>85 per cento e che magari quelli stradali, anche a seconda dei periodi dell</w:t>
      </w:r>
      <w:r>
        <w:rPr>
          <w:rFonts w:hAnsi="Book Antiqua" w:hint="default"/>
          <w:rtl w:val="0"/>
          <w:lang w:val="it-IT"/>
        </w:rPr>
        <w:t>’</w:t>
      </w:r>
      <w:r>
        <w:rPr>
          <w:rFonts w:ascii="Book Antiqua"/>
          <w:rtl w:val="0"/>
          <w:lang w:val="it-IT"/>
        </w:rPr>
        <w:t>anno, possono avere delle impurit</w:t>
      </w:r>
      <w:r>
        <w:rPr>
          <w:rFonts w:hAnsi="Book Antiqua" w:hint="default"/>
          <w:rtl w:val="0"/>
          <w:lang w:val="it-IT"/>
        </w:rPr>
        <w:t xml:space="preserve">à </w:t>
      </w:r>
      <w:r>
        <w:rPr>
          <w:rFonts w:ascii="Book Antiqua"/>
          <w:rtl w:val="0"/>
          <w:lang w:val="it-IT"/>
        </w:rPr>
        <w:t>minori o maggiori. Quello che possiamo affermare, per</w:t>
      </w:r>
      <w:r>
        <w:rPr>
          <w:rFonts w:hAnsi="Book Antiqua" w:hint="default"/>
          <w:rtl w:val="0"/>
          <w:lang w:val="it-IT"/>
        </w:rPr>
        <w:t>ò</w:t>
      </w:r>
      <w:r>
        <w:rPr>
          <w:rFonts w:ascii="Book Antiqua"/>
          <w:rtl w:val="0"/>
          <w:lang w:val="it-IT"/>
        </w:rPr>
        <w:t xml:space="preserve">, </w:t>
      </w:r>
      <w:r>
        <w:rPr>
          <w:rFonts w:hAnsi="Book Antiqua" w:hint="default"/>
          <w:rtl w:val="0"/>
          <w:lang w:val="it-IT"/>
        </w:rPr>
        <w:t xml:space="preserve">è </w:t>
      </w:r>
      <w:r>
        <w:rPr>
          <w:rFonts w:ascii="Book Antiqua"/>
          <w:rtl w:val="0"/>
          <w:lang w:val="it-IT"/>
        </w:rPr>
        <w:t>che la raccolta differenziata, misurata nell</w:t>
      </w:r>
      <w:r>
        <w:rPr>
          <w:rFonts w:hAnsi="Book Antiqua" w:hint="default"/>
          <w:rtl w:val="0"/>
          <w:lang w:val="it-IT"/>
        </w:rPr>
        <w:t>’</w:t>
      </w:r>
      <w:r>
        <w:rPr>
          <w:rFonts w:ascii="Book Antiqua"/>
          <w:rtl w:val="0"/>
          <w:lang w:val="it-IT"/>
        </w:rPr>
        <w:t>anno 2004, 2010 e 2016 con gli stessi identici parametri che ora spero possano essere aggiornati con l</w:t>
      </w:r>
      <w:r>
        <w:rPr>
          <w:rFonts w:hAnsi="Book Antiqua" w:hint="default"/>
          <w:rtl w:val="0"/>
          <w:lang w:val="it-IT"/>
        </w:rPr>
        <w:t>’</w:t>
      </w:r>
      <w:r>
        <w:rPr>
          <w:rFonts w:ascii="Book Antiqua"/>
          <w:rtl w:val="0"/>
          <w:lang w:val="it-IT"/>
        </w:rPr>
        <w:t>ultima determinazione del Ministero dell</w:t>
      </w:r>
      <w:r>
        <w:rPr>
          <w:rFonts w:hAnsi="Book Antiqua" w:hint="default"/>
          <w:rtl w:val="0"/>
          <w:lang w:val="it-IT"/>
        </w:rPr>
        <w:t>’</w:t>
      </w:r>
      <w:r>
        <w:rPr>
          <w:rFonts w:ascii="Book Antiqua"/>
          <w:rtl w:val="0"/>
          <w:lang w:val="it-IT"/>
        </w:rPr>
        <w:t xml:space="preserve">ambiente (che ha finalmente elaborato nuovi parametri per il calcolo della raccolta differenziata, in modo tale che in tutta Italia si usino gli stessi riferimenti), adesso </w:t>
      </w:r>
      <w:r>
        <w:rPr>
          <w:rFonts w:hAnsi="Book Antiqua" w:hint="default"/>
          <w:rtl w:val="0"/>
          <w:lang w:val="it-IT"/>
        </w:rPr>
        <w:t xml:space="preserve">è </w:t>
      </w:r>
      <w:r>
        <w:rPr>
          <w:rFonts w:ascii="Book Antiqua"/>
          <w:rtl w:val="0"/>
          <w:lang w:val="it-IT"/>
        </w:rPr>
        <w:t xml:space="preserve">al 42 per cento. Quando sono arrivato era al 31 per cento: non </w:t>
      </w:r>
      <w:r>
        <w:rPr>
          <w:rFonts w:hAnsi="Book Antiqua" w:hint="default"/>
          <w:rtl w:val="0"/>
          <w:lang w:val="it-IT"/>
        </w:rPr>
        <w:t xml:space="preserve">è </w:t>
      </w:r>
      <w:r>
        <w:rPr>
          <w:rFonts w:ascii="Book Antiqua"/>
          <w:rtl w:val="0"/>
          <w:lang w:val="it-IT"/>
        </w:rPr>
        <w:t>moltissimo, ma un po</w:t>
      </w:r>
      <w:r>
        <w:rPr>
          <w:rFonts w:hAnsi="Book Antiqua" w:hint="default"/>
          <w:rtl w:val="0"/>
          <w:lang w:val="it-IT"/>
        </w:rPr>
        <w:t xml:space="preserve">’ </w:t>
      </w:r>
      <w:r>
        <w:rPr>
          <w:rFonts w:ascii="Book Antiqua"/>
          <w:rtl w:val="0"/>
          <w:lang w:val="it-IT"/>
        </w:rPr>
        <w:t>siamo cresciuti. Certo, c</w:t>
      </w:r>
      <w:r>
        <w:rPr>
          <w:rFonts w:hAnsi="Book Antiqua" w:hint="default"/>
          <w:rtl w:val="0"/>
          <w:lang w:val="it-IT"/>
        </w:rPr>
        <w:t xml:space="preserve">’è </w:t>
      </w:r>
      <w:r>
        <w:rPr>
          <w:rFonts w:ascii="Book Antiqua"/>
          <w:rtl w:val="0"/>
          <w:lang w:val="it-IT"/>
        </w:rPr>
        <w:t>delusione nel non essere arrivati al 50 per cento e al 60 per cento, che sarebbe il desiderio di tutti ottenere, ma bisogna tenere conto di una cosa: la citt</w:t>
      </w:r>
      <w:r>
        <w:rPr>
          <w:rFonts w:hAnsi="Book Antiqua" w:hint="default"/>
          <w:rtl w:val="0"/>
          <w:lang w:val="it-IT"/>
        </w:rPr>
        <w:t xml:space="preserve">à </w:t>
      </w:r>
      <w:r>
        <w:rPr>
          <w:rFonts w:ascii="Book Antiqua"/>
          <w:rtl w:val="0"/>
          <w:lang w:val="it-IT"/>
        </w:rPr>
        <w:t xml:space="preserve">di Torino </w:t>
      </w:r>
      <w:r>
        <w:rPr>
          <w:rFonts w:hAnsi="Book Antiqua" w:hint="default"/>
          <w:rtl w:val="0"/>
          <w:lang w:val="it-IT"/>
        </w:rPr>
        <w:t xml:space="preserve">è </w:t>
      </w:r>
      <w:r>
        <w:rPr>
          <w:rFonts w:ascii="Book Antiqua"/>
          <w:rtl w:val="0"/>
          <w:lang w:val="it-IT"/>
        </w:rPr>
        <w:t>andata indietro rispetto alle percentuali degli anni passati e la citt</w:t>
      </w:r>
      <w:r>
        <w:rPr>
          <w:rFonts w:hAnsi="Book Antiqua" w:hint="default"/>
          <w:rtl w:val="0"/>
          <w:lang w:val="it-IT"/>
        </w:rPr>
        <w:t xml:space="preserve">à </w:t>
      </w:r>
      <w:r>
        <w:rPr>
          <w:rFonts w:ascii="Book Antiqua"/>
          <w:rtl w:val="0"/>
          <w:lang w:val="it-IT"/>
        </w:rPr>
        <w:t xml:space="preserve">di Berlino ha perso tre punti percentuali. </w:t>
      </w:r>
    </w:p>
    <w:p>
      <w:pPr>
        <w:pStyle w:val="Normal"/>
        <w:ind w:left="567" w:right="567" w:firstLine="0"/>
        <w:jc w:val="both"/>
        <w:rPr>
          <w:rFonts w:ascii="Book Antiqua" w:cs="Book Antiqua" w:hAnsi="Book Antiqua" w:eastAsia="Book Antiqua"/>
        </w:rPr>
      </w:pPr>
      <w:r>
        <w:rPr>
          <w:rFonts w:ascii="Book Antiqua"/>
          <w:rtl w:val="0"/>
          <w:lang w:val="it-IT"/>
        </w:rPr>
        <w:t xml:space="preserve">Il punto </w:t>
      </w:r>
      <w:r>
        <w:rPr>
          <w:rFonts w:hAnsi="Book Antiqua" w:hint="default"/>
          <w:rtl w:val="0"/>
          <w:lang w:val="it-IT"/>
        </w:rPr>
        <w:t xml:space="preserve">è </w:t>
      </w:r>
      <w:r>
        <w:rPr>
          <w:rFonts w:ascii="Book Antiqua"/>
          <w:rtl w:val="0"/>
          <w:lang w:val="it-IT"/>
        </w:rPr>
        <w:t xml:space="preserve">che il fattore dimensionale delle grandi aree metropolitane, raggiunta una determinata soglia di raccolta differenziata, </w:t>
      </w:r>
      <w:r>
        <w:rPr>
          <w:rFonts w:hAnsi="Book Antiqua" w:hint="default"/>
          <w:rtl w:val="0"/>
          <w:lang w:val="it-IT"/>
        </w:rPr>
        <w:t xml:space="preserve">è </w:t>
      </w:r>
      <w:r>
        <w:rPr>
          <w:rFonts w:ascii="Book Antiqua"/>
          <w:rtl w:val="0"/>
          <w:lang w:val="it-IT"/>
        </w:rPr>
        <w:t>questo. Il salto in avanti, quel gradino in pi</w:t>
      </w:r>
      <w:r>
        <w:rPr>
          <w:rFonts w:hAnsi="Book Antiqua" w:hint="default"/>
          <w:rtl w:val="0"/>
          <w:lang w:val="it-IT"/>
        </w:rPr>
        <w:t>ù</w:t>
      </w:r>
      <w:r>
        <w:rPr>
          <w:rFonts w:ascii="Book Antiqua"/>
          <w:rtl w:val="0"/>
          <w:lang w:val="it-IT"/>
        </w:rPr>
        <w:t>, si fa con grande difficolt</w:t>
      </w:r>
      <w:r>
        <w:rPr>
          <w:rFonts w:hAnsi="Book Antiqua" w:hint="default"/>
          <w:rtl w:val="0"/>
          <w:lang w:val="it-IT"/>
        </w:rPr>
        <w:t>à</w:t>
      </w:r>
      <w:r>
        <w:rPr>
          <w:rFonts w:ascii="Book Antiqua"/>
          <w:rtl w:val="0"/>
          <w:lang w:val="it-IT"/>
        </w:rPr>
        <w:t xml:space="preserve">: Milano </w:t>
      </w:r>
      <w:r>
        <w:rPr>
          <w:rFonts w:hAnsi="Book Antiqua" w:hint="default"/>
          <w:rtl w:val="0"/>
          <w:lang w:val="it-IT"/>
        </w:rPr>
        <w:t xml:space="preserve">è </w:t>
      </w:r>
      <w:r>
        <w:rPr>
          <w:rFonts w:ascii="Book Antiqua"/>
          <w:rtl w:val="0"/>
          <w:lang w:val="it-IT"/>
        </w:rPr>
        <w:t xml:space="preserve">al 51 per cento ed </w:t>
      </w:r>
      <w:r>
        <w:rPr>
          <w:rFonts w:hAnsi="Book Antiqua" w:hint="default"/>
          <w:rtl w:val="0"/>
          <w:lang w:val="it-IT"/>
        </w:rPr>
        <w:t xml:space="preserve">è </w:t>
      </w:r>
      <w:r>
        <w:rPr>
          <w:rFonts w:ascii="Book Antiqua"/>
          <w:rtl w:val="0"/>
          <w:lang w:val="it-IT"/>
        </w:rPr>
        <w:t>una citt</w:t>
      </w:r>
      <w:r>
        <w:rPr>
          <w:rFonts w:hAnsi="Book Antiqua" w:hint="default"/>
          <w:rtl w:val="0"/>
          <w:lang w:val="it-IT"/>
        </w:rPr>
        <w:t xml:space="preserve">à </w:t>
      </w:r>
      <w:r>
        <w:rPr>
          <w:rFonts w:ascii="Book Antiqua"/>
          <w:rtl w:val="0"/>
          <w:lang w:val="it-IT"/>
        </w:rPr>
        <w:t xml:space="preserve">leader; Torino </w:t>
      </w:r>
      <w:r>
        <w:rPr>
          <w:rFonts w:hAnsi="Book Antiqua" w:hint="default"/>
          <w:rtl w:val="0"/>
          <w:lang w:val="it-IT"/>
        </w:rPr>
        <w:t xml:space="preserve">– </w:t>
      </w:r>
      <w:r>
        <w:rPr>
          <w:rFonts w:ascii="Book Antiqua"/>
          <w:rtl w:val="0"/>
          <w:lang w:val="it-IT"/>
        </w:rPr>
        <w:t xml:space="preserve">ripeto </w:t>
      </w:r>
      <w:r>
        <w:rPr>
          <w:rFonts w:hAnsi="Book Antiqua" w:hint="default"/>
          <w:rtl w:val="0"/>
          <w:lang w:val="it-IT"/>
        </w:rPr>
        <w:t xml:space="preserve">– è </w:t>
      </w:r>
      <w:r>
        <w:rPr>
          <w:rFonts w:ascii="Book Antiqua"/>
          <w:rtl w:val="0"/>
          <w:lang w:val="it-IT"/>
        </w:rPr>
        <w:t xml:space="preserve">arretrata ed </w:t>
      </w:r>
      <w:r>
        <w:rPr>
          <w:rFonts w:hAnsi="Book Antiqua" w:hint="default"/>
          <w:rtl w:val="0"/>
          <w:lang w:val="it-IT"/>
        </w:rPr>
        <w:t xml:space="preserve">è </w:t>
      </w:r>
      <w:r>
        <w:rPr>
          <w:rFonts w:ascii="Book Antiqua"/>
          <w:rtl w:val="0"/>
          <w:lang w:val="it-IT"/>
        </w:rPr>
        <w:t xml:space="preserve">scesa al 42 (forse adesso </w:t>
      </w:r>
      <w:r>
        <w:rPr>
          <w:rFonts w:hAnsi="Book Antiqua" w:hint="default"/>
          <w:rtl w:val="0"/>
          <w:lang w:val="it-IT"/>
        </w:rPr>
        <w:t xml:space="preserve">è </w:t>
      </w:r>
      <w:r>
        <w:rPr>
          <w:rFonts w:ascii="Book Antiqua"/>
          <w:rtl w:val="0"/>
          <w:lang w:val="it-IT"/>
        </w:rPr>
        <w:t>anche al 41 per cento). Tra le altre citt</w:t>
      </w:r>
      <w:r>
        <w:rPr>
          <w:rFonts w:hAnsi="Book Antiqua" w:hint="default"/>
          <w:rtl w:val="0"/>
          <w:lang w:val="it-IT"/>
        </w:rPr>
        <w:t xml:space="preserve">à </w:t>
      </w:r>
      <w:r>
        <w:rPr>
          <w:rFonts w:ascii="Book Antiqua"/>
          <w:rtl w:val="0"/>
          <w:lang w:val="it-IT"/>
        </w:rPr>
        <w:t>virtuose, se vogliamo vedere Berlino [</w:t>
      </w:r>
      <w:r>
        <w:rPr>
          <w:rFonts w:hAnsi="Book Antiqua" w:hint="default"/>
          <w:rtl w:val="0"/>
          <w:lang w:val="it-IT"/>
        </w:rPr>
        <w:t>…</w:t>
      </w:r>
      <w:r>
        <w:rPr>
          <w:rFonts w:ascii="Book Antiqua"/>
          <w:rtl w:val="0"/>
          <w:lang w:val="it-IT"/>
        </w:rPr>
        <w:t>] era al 43 per cento l</w:t>
      </w:r>
      <w:r>
        <w:rPr>
          <w:rFonts w:hAnsi="Book Antiqua" w:hint="default"/>
          <w:rtl w:val="0"/>
          <w:lang w:val="it-IT"/>
        </w:rPr>
        <w:t>’</w:t>
      </w:r>
      <w:r>
        <w:rPr>
          <w:rFonts w:ascii="Book Antiqua"/>
          <w:rtl w:val="0"/>
          <w:lang w:val="it-IT"/>
        </w:rPr>
        <w:t>anno scorso e, quest</w:t>
      </w:r>
      <w:r>
        <w:rPr>
          <w:rFonts w:hAnsi="Book Antiqua" w:hint="default"/>
          <w:rtl w:val="0"/>
          <w:lang w:val="it-IT"/>
        </w:rPr>
        <w:t>’</w:t>
      </w:r>
      <w:r>
        <w:rPr>
          <w:rFonts w:ascii="Book Antiqua"/>
          <w:rtl w:val="0"/>
          <w:lang w:val="it-IT"/>
        </w:rPr>
        <w:t xml:space="preserve">anno, </w:t>
      </w:r>
      <w:r>
        <w:rPr>
          <w:rFonts w:hAnsi="Book Antiqua" w:hint="default"/>
          <w:rtl w:val="0"/>
          <w:lang w:val="it-IT"/>
        </w:rPr>
        <w:t xml:space="preserve">è </w:t>
      </w:r>
      <w:r>
        <w:rPr>
          <w:rFonts w:ascii="Book Antiqua"/>
          <w:rtl w:val="0"/>
          <w:lang w:val="it-IT"/>
        </w:rPr>
        <w:t>al 39 per cento, proprio perch</w:t>
      </w:r>
      <w:r>
        <w:rPr>
          <w:rFonts w:hAnsi="Book Antiqua" w:hint="default"/>
          <w:rtl w:val="0"/>
          <w:lang w:val="it-IT"/>
        </w:rPr>
        <w:t xml:space="preserve">é </w:t>
      </w:r>
      <w:r>
        <w:rPr>
          <w:rFonts w:ascii="Book Antiqua"/>
          <w:rtl w:val="0"/>
          <w:lang w:val="it-IT"/>
        </w:rPr>
        <w:t>ci sono questi elementi che inducono a considerare l</w:t>
      </w:r>
      <w:r>
        <w:rPr>
          <w:rFonts w:hAnsi="Book Antiqua" w:hint="default"/>
          <w:rtl w:val="0"/>
          <w:lang w:val="it-IT"/>
        </w:rPr>
        <w:t>’</w:t>
      </w:r>
      <w:r>
        <w:rPr>
          <w:rFonts w:ascii="Book Antiqua"/>
          <w:rtl w:val="0"/>
          <w:lang w:val="it-IT"/>
        </w:rPr>
        <w:t>economicit</w:t>
      </w:r>
      <w:r>
        <w:rPr>
          <w:rFonts w:hAnsi="Book Antiqua" w:hint="default"/>
          <w:rtl w:val="0"/>
          <w:lang w:val="it-IT"/>
        </w:rPr>
        <w:t xml:space="preserve">à </w:t>
      </w:r>
      <w:r>
        <w:rPr>
          <w:rFonts w:ascii="Book Antiqua"/>
          <w:rtl w:val="0"/>
          <w:lang w:val="it-IT"/>
        </w:rPr>
        <w:t>delle scelte, la tenuta di sistema, la partecipazione dei cittadini e la sostenibilit</w:t>
      </w:r>
      <w:r>
        <w:rPr>
          <w:rFonts w:hAnsi="Book Antiqua" w:hint="default"/>
          <w:rtl w:val="0"/>
          <w:lang w:val="it-IT"/>
        </w:rPr>
        <w:t xml:space="preserve">à </w:t>
      </w:r>
      <w:r>
        <w:rPr>
          <w:rFonts w:ascii="Book Antiqua"/>
          <w:rtl w:val="0"/>
          <w:lang w:val="it-IT"/>
        </w:rPr>
        <w:t>complessiva di questo tipo di servizio. Si crescer</w:t>
      </w:r>
      <w:r>
        <w:rPr>
          <w:rFonts w:hAnsi="Book Antiqua" w:hint="default"/>
          <w:rtl w:val="0"/>
          <w:lang w:val="it-IT"/>
        </w:rPr>
        <w:t xml:space="preserve">à </w:t>
      </w:r>
      <w:r>
        <w:rPr>
          <w:rFonts w:ascii="Book Antiqua"/>
          <w:rtl w:val="0"/>
          <w:lang w:val="it-IT"/>
        </w:rPr>
        <w:t>a Roma? Io penso di s</w:t>
      </w:r>
      <w:r>
        <w:rPr>
          <w:rFonts w:hAnsi="Book Antiqua" w:hint="default"/>
          <w:rtl w:val="0"/>
          <w:lang w:val="it-IT"/>
        </w:rPr>
        <w:t>ì</w:t>
      </w:r>
      <w:r>
        <w:rPr>
          <w:rFonts w:ascii="Book Antiqua"/>
          <w:rtl w:val="0"/>
          <w:lang w:val="it-IT"/>
        </w:rPr>
        <w:t>. Servono investimenti, servono impianti di sostegno, perch</w:t>
      </w:r>
      <w:r>
        <w:rPr>
          <w:rFonts w:hAnsi="Book Antiqua" w:hint="default"/>
          <w:rtl w:val="0"/>
          <w:lang w:val="it-IT"/>
        </w:rPr>
        <w:t xml:space="preserve">é è </w:t>
      </w:r>
      <w:r>
        <w:rPr>
          <w:rFonts w:ascii="Book Antiqua"/>
          <w:rtl w:val="0"/>
          <w:lang w:val="it-IT"/>
        </w:rPr>
        <w:t xml:space="preserve">comprensibile per tutti che ogni tonnellata di rifiuto urbano organico che raccogliamo </w:t>
      </w:r>
      <w:r>
        <w:rPr>
          <w:rFonts w:hAnsi="Book Antiqua" w:hint="default"/>
          <w:rtl w:val="0"/>
          <w:lang w:val="it-IT"/>
        </w:rPr>
        <w:t xml:space="preserve">è </w:t>
      </w:r>
      <w:r>
        <w:rPr>
          <w:rFonts w:ascii="Book Antiqua"/>
          <w:rtl w:val="0"/>
          <w:lang w:val="it-IT"/>
        </w:rPr>
        <w:t>un costo in pi</w:t>
      </w:r>
      <w:r>
        <w:rPr>
          <w:rFonts w:hAnsi="Book Antiqua" w:hint="default"/>
          <w:rtl w:val="0"/>
          <w:lang w:val="it-IT"/>
        </w:rPr>
        <w:t xml:space="preserve">ù </w:t>
      </w:r>
      <w:r>
        <w:rPr>
          <w:rFonts w:ascii="Book Antiqua"/>
          <w:rtl w:val="0"/>
          <w:lang w:val="it-IT"/>
        </w:rPr>
        <w:t>di raccolta, un costo di trasporto e un costo di smaltimento. Ogni tonnellata si traduce in costi: o si hanno gli impianti che fanno diventare il costo della raccolta minimizzato e il costo del trasporto assente, nel qual caso si pu</w:t>
      </w:r>
      <w:r>
        <w:rPr>
          <w:rFonts w:hAnsi="Book Antiqua" w:hint="default"/>
          <w:rtl w:val="0"/>
          <w:lang w:val="it-IT"/>
        </w:rPr>
        <w:t xml:space="preserve">ò </w:t>
      </w:r>
      <w:r>
        <w:rPr>
          <w:rFonts w:ascii="Book Antiqua"/>
          <w:rtl w:val="0"/>
          <w:lang w:val="it-IT"/>
        </w:rPr>
        <w:t>riuscire a creare un equilibrio economico, altrimenti il costo, pi</w:t>
      </w:r>
      <w:r>
        <w:rPr>
          <w:rFonts w:hAnsi="Book Antiqua" w:hint="default"/>
          <w:rtl w:val="0"/>
          <w:lang w:val="it-IT"/>
        </w:rPr>
        <w:t xml:space="preserve">ù </w:t>
      </w:r>
      <w:r>
        <w:rPr>
          <w:rFonts w:ascii="Book Antiqua"/>
          <w:rtl w:val="0"/>
          <w:lang w:val="it-IT"/>
        </w:rPr>
        <w:t>costo, pi</w:t>
      </w:r>
      <w:r>
        <w:rPr>
          <w:rFonts w:hAnsi="Book Antiqua" w:hint="default"/>
          <w:rtl w:val="0"/>
          <w:lang w:val="it-IT"/>
        </w:rPr>
        <w:t xml:space="preserve">ù </w:t>
      </w:r>
      <w:r>
        <w:rPr>
          <w:rFonts w:ascii="Book Antiqua"/>
          <w:rtl w:val="0"/>
          <w:lang w:val="it-IT"/>
        </w:rPr>
        <w:t>costo fa s</w:t>
      </w:r>
      <w:r>
        <w:rPr>
          <w:rFonts w:hAnsi="Book Antiqua" w:hint="default"/>
          <w:rtl w:val="0"/>
          <w:lang w:val="it-IT"/>
        </w:rPr>
        <w:t xml:space="preserve">ì </w:t>
      </w:r>
      <w:r>
        <w:rPr>
          <w:rFonts w:ascii="Book Antiqua"/>
          <w:rtl w:val="0"/>
          <w:lang w:val="it-IT"/>
        </w:rPr>
        <w:t>che Roma sia una citt</w:t>
      </w:r>
      <w:r>
        <w:rPr>
          <w:rFonts w:hAnsi="Book Antiqua" w:hint="default"/>
          <w:rtl w:val="0"/>
          <w:lang w:val="it-IT"/>
        </w:rPr>
        <w:t xml:space="preserve">à </w:t>
      </w:r>
      <w:r>
        <w:rPr>
          <w:rFonts w:ascii="Book Antiqua"/>
          <w:rtl w:val="0"/>
          <w:lang w:val="it-IT"/>
        </w:rPr>
        <w:t>in cui si paga una tariffa rifiuti piuttosto elevata [</w:t>
      </w:r>
      <w:r>
        <w:rPr>
          <w:rFonts w:hAnsi="Book Antiqua" w:hint="default"/>
          <w:rtl w:val="0"/>
          <w:lang w:val="it-IT"/>
        </w:rPr>
        <w:t>…</w:t>
      </w:r>
      <w:r>
        <w:rPr>
          <w:rFonts w:ascii="Book Antiqua"/>
          <w:rtl w:val="0"/>
          <w:lang w:val="it-IT"/>
        </w:rPr>
        <w:t xml:space="preserve">] Non si riesce ad andare oltre a quello che si </w:t>
      </w:r>
      <w:r>
        <w:rPr>
          <w:rFonts w:hAnsi="Book Antiqua" w:hint="default"/>
          <w:rtl w:val="0"/>
          <w:lang w:val="it-IT"/>
        </w:rPr>
        <w:t xml:space="preserve">è </w:t>
      </w:r>
      <w:r>
        <w:rPr>
          <w:rFonts w:ascii="Book Antiqua"/>
          <w:rtl w:val="0"/>
          <w:lang w:val="it-IT"/>
        </w:rPr>
        <w:t>rilevato. A Roma abbiamo difficolt</w:t>
      </w:r>
      <w:r>
        <w:rPr>
          <w:rFonts w:hAnsi="Book Antiqua" w:hint="default"/>
          <w:rtl w:val="0"/>
          <w:lang w:val="it-IT"/>
        </w:rPr>
        <w:t xml:space="preserve">à </w:t>
      </w:r>
      <w:r>
        <w:rPr>
          <w:rFonts w:ascii="Book Antiqua"/>
          <w:rtl w:val="0"/>
          <w:lang w:val="it-IT"/>
        </w:rPr>
        <w:t>anche a tenere quel 42 per cento perch</w:t>
      </w:r>
      <w:r>
        <w:rPr>
          <w:rFonts w:hAnsi="Book Antiqua" w:hint="default"/>
          <w:rtl w:val="0"/>
          <w:lang w:val="it-IT"/>
        </w:rPr>
        <w:t xml:space="preserve">é è </w:t>
      </w:r>
      <w:r>
        <w:rPr>
          <w:rFonts w:ascii="Book Antiqua"/>
          <w:rtl w:val="0"/>
          <w:lang w:val="it-IT"/>
        </w:rPr>
        <w:t>evidente che per fare una raccolta differenziata che abbia qualit</w:t>
      </w:r>
      <w:r>
        <w:rPr>
          <w:rFonts w:hAnsi="Book Antiqua" w:hint="default"/>
          <w:rtl w:val="0"/>
          <w:lang w:val="it-IT"/>
        </w:rPr>
        <w:t>à</w:t>
      </w:r>
      <w:r>
        <w:rPr>
          <w:rFonts w:ascii="Book Antiqua"/>
          <w:rtl w:val="0"/>
          <w:lang w:val="it-IT"/>
        </w:rPr>
        <w:t>, regolarit</w:t>
      </w:r>
      <w:r>
        <w:rPr>
          <w:rFonts w:hAnsi="Book Antiqua" w:hint="default"/>
          <w:rtl w:val="0"/>
          <w:lang w:val="it-IT"/>
        </w:rPr>
        <w:t xml:space="preserve">à </w:t>
      </w:r>
      <w:r>
        <w:rPr>
          <w:rFonts w:ascii="Book Antiqua"/>
          <w:rtl w:val="0"/>
          <w:lang w:val="it-IT"/>
        </w:rPr>
        <w:t>e potenza in termini dimensionali e anche economici, c</w:t>
      </w:r>
      <w:r>
        <w:rPr>
          <w:rFonts w:hAnsi="Book Antiqua" w:hint="default"/>
          <w:rtl w:val="0"/>
          <w:lang w:val="it-IT"/>
        </w:rPr>
        <w:t xml:space="preserve">’è </w:t>
      </w:r>
      <w:r>
        <w:rPr>
          <w:rFonts w:ascii="Book Antiqua"/>
          <w:rtl w:val="0"/>
          <w:lang w:val="it-IT"/>
        </w:rPr>
        <w:t>bisogno di una formidabile partecipazione dei cittadini, di una consapevole partecipazione dei cittadini. Quando la citt</w:t>
      </w:r>
      <w:r>
        <w:rPr>
          <w:rFonts w:hAnsi="Book Antiqua" w:hint="default"/>
          <w:rtl w:val="0"/>
          <w:lang w:val="it-IT"/>
        </w:rPr>
        <w:t xml:space="preserve">à </w:t>
      </w:r>
      <w:r>
        <w:rPr>
          <w:rFonts w:ascii="Book Antiqua"/>
          <w:rtl w:val="0"/>
          <w:lang w:val="it-IT"/>
        </w:rPr>
        <w:t>entra in difficolt</w:t>
      </w:r>
      <w:r>
        <w:rPr>
          <w:rFonts w:hAnsi="Book Antiqua" w:hint="default"/>
          <w:rtl w:val="0"/>
          <w:lang w:val="it-IT"/>
        </w:rPr>
        <w:t xml:space="preserve">à </w:t>
      </w:r>
      <w:r>
        <w:rPr>
          <w:rFonts w:ascii="Book Antiqua"/>
          <w:rtl w:val="0"/>
          <w:lang w:val="it-IT"/>
        </w:rPr>
        <w:t>perch</w:t>
      </w:r>
      <w:r>
        <w:rPr>
          <w:rFonts w:hAnsi="Book Antiqua" w:hint="default"/>
          <w:rtl w:val="0"/>
          <w:lang w:val="it-IT"/>
        </w:rPr>
        <w:t xml:space="preserve">é </w:t>
      </w:r>
      <w:r>
        <w:rPr>
          <w:rFonts w:ascii="Book Antiqua"/>
          <w:rtl w:val="0"/>
          <w:lang w:val="it-IT"/>
        </w:rPr>
        <w:t xml:space="preserve">i rifiuti indifferenziati non si tolgono dalle strade e ci sono i cassonetti ricolmi, ovvero alla base dei cassetti e delle campane ci sono i sacchetti, fare la raccolta differenziata </w:t>
      </w:r>
      <w:r>
        <w:rPr>
          <w:rFonts w:hAnsi="Book Antiqua" w:hint="default"/>
          <w:rtl w:val="0"/>
          <w:lang w:val="it-IT"/>
        </w:rPr>
        <w:t xml:space="preserve">è </w:t>
      </w:r>
      <w:r>
        <w:rPr>
          <w:rFonts w:ascii="Book Antiqua"/>
          <w:rtl w:val="0"/>
          <w:lang w:val="it-IT"/>
        </w:rPr>
        <w:t>pi</w:t>
      </w:r>
      <w:r>
        <w:rPr>
          <w:rFonts w:hAnsi="Book Antiqua" w:hint="default"/>
          <w:rtl w:val="0"/>
          <w:lang w:val="it-IT"/>
        </w:rPr>
        <w:t xml:space="preserve">ù </w:t>
      </w:r>
      <w:r>
        <w:rPr>
          <w:rFonts w:ascii="Book Antiqua"/>
          <w:rtl w:val="0"/>
          <w:lang w:val="it-IT"/>
        </w:rPr>
        <w:t xml:space="preserve">difficile: </w:t>
      </w:r>
      <w:r>
        <w:rPr>
          <w:rFonts w:hAnsi="Book Antiqua" w:hint="default"/>
          <w:rtl w:val="0"/>
          <w:lang w:val="it-IT"/>
        </w:rPr>
        <w:t xml:space="preserve">è </w:t>
      </w:r>
      <w:r>
        <w:rPr>
          <w:rFonts w:ascii="Book Antiqua"/>
          <w:rtl w:val="0"/>
          <w:lang w:val="it-IT"/>
        </w:rPr>
        <w:t>una forma di disincentivazione.</w:t>
      </w:r>
      <w:r>
        <w:rPr>
          <w:rFonts w:hAnsi="Book Antiqua" w:hint="default"/>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Sull</w:t>
      </w:r>
      <w:r>
        <w:rPr>
          <w:rFonts w:hAnsi="Book Antiqua" w:hint="default"/>
          <w:rtl w:val="0"/>
          <w:lang w:val="it-IT"/>
        </w:rPr>
        <w:t>’</w:t>
      </w:r>
      <w:r>
        <w:rPr>
          <w:rFonts w:ascii="Book Antiqua"/>
          <w:rtl w:val="0"/>
          <w:lang w:val="it-IT"/>
        </w:rPr>
        <w:t xml:space="preserve">effettiva percentuale di raccolta differenziata a Roma </w:t>
      </w:r>
      <w:r>
        <w:rPr>
          <w:rFonts w:hAnsi="Book Antiqua" w:hint="default"/>
          <w:rtl w:val="0"/>
          <w:lang w:val="it-IT"/>
        </w:rPr>
        <w:t xml:space="preserve">è </w:t>
      </w:r>
      <w:r>
        <w:rPr>
          <w:rFonts w:ascii="Book Antiqua"/>
          <w:rtl w:val="0"/>
          <w:lang w:val="it-IT"/>
        </w:rPr>
        <w:t>intervenuta l</w:t>
      </w:r>
      <w:r>
        <w:rPr>
          <w:rFonts w:hAnsi="Book Antiqua" w:hint="default"/>
          <w:rtl w:val="0"/>
          <w:lang w:val="it-IT"/>
        </w:rPr>
        <w:t>’</w:t>
      </w:r>
      <w:r>
        <w:rPr>
          <w:rFonts w:ascii="Book Antiqua"/>
          <w:rtl w:val="0"/>
          <w:lang w:val="it-IT"/>
        </w:rPr>
        <w:t>assessora pro tempore alla sostenibilit</w:t>
      </w:r>
      <w:r>
        <w:rPr>
          <w:rFonts w:hAnsi="Book Antiqua" w:hint="default"/>
          <w:rtl w:val="0"/>
          <w:lang w:val="it-IT"/>
        </w:rPr>
        <w:t xml:space="preserve">à </w:t>
      </w:r>
      <w:r>
        <w:rPr>
          <w:rFonts w:ascii="Book Antiqua"/>
          <w:rtl w:val="0"/>
          <w:lang w:val="it-IT"/>
        </w:rPr>
        <w:t>ambientale di Roma Capitale, Paola Muraro, che durante l</w:t>
      </w:r>
      <w:r>
        <w:rPr>
          <w:rFonts w:hAnsi="Book Antiqua" w:hint="default"/>
          <w:rtl w:val="0"/>
          <w:lang w:val="it-IT"/>
        </w:rPr>
        <w:t>’</w:t>
      </w:r>
      <w:r>
        <w:rPr>
          <w:rFonts w:ascii="Book Antiqua"/>
          <w:rtl w:val="0"/>
          <w:lang w:val="it-IT"/>
        </w:rPr>
        <w:t xml:space="preserve">audizione del 5 settembre 2016, ha affermato: </w:t>
      </w:r>
    </w:p>
    <w:p>
      <w:pPr>
        <w:pStyle w:val="Normal"/>
        <w:ind w:left="567" w:right="567" w:firstLine="0"/>
        <w:jc w:val="both"/>
        <w:rPr>
          <w:rFonts w:ascii="Book Antiqua" w:cs="Book Antiqua" w:hAnsi="Book Antiqua" w:eastAsia="Book Antiqua"/>
        </w:rPr>
      </w:pPr>
      <w:r>
        <w:rPr>
          <w:rFonts w:hAnsi="Book Antiqua" w:hint="default"/>
          <w:rtl w:val="0"/>
          <w:lang w:val="it-IT"/>
        </w:rPr>
        <w:t>“</w:t>
      </w:r>
      <w:r>
        <w:rPr>
          <w:rFonts w:ascii="Book Antiqua"/>
          <w:rtl w:val="0"/>
          <w:lang w:val="it-IT"/>
        </w:rPr>
        <w:t>Sulla raccolta differenziata posso fare lo stesso discorso. Quando avremo un amministratore unico, potremo affrontare la questione. Intanto facciamo l</w:t>
      </w:r>
      <w:r>
        <w:rPr>
          <w:rFonts w:hAnsi="Book Antiqua" w:hint="default"/>
          <w:rtl w:val="0"/>
          <w:lang w:val="it-IT"/>
        </w:rPr>
        <w:t>’</w:t>
      </w:r>
      <w:r>
        <w:rPr>
          <w:rFonts w:ascii="Book Antiqua"/>
          <w:i w:val="1"/>
          <w:iCs w:val="1"/>
          <w:rtl w:val="0"/>
          <w:lang w:val="it-IT"/>
        </w:rPr>
        <w:t>audit</w:t>
      </w:r>
      <w:r>
        <w:rPr>
          <w:rFonts w:ascii="Book Antiqua"/>
          <w:rtl w:val="0"/>
          <w:lang w:val="it-IT"/>
        </w:rPr>
        <w:t xml:space="preserve"> sulla percentuale di raccolta differenziata. Questo </w:t>
      </w:r>
      <w:r>
        <w:rPr>
          <w:rFonts w:hAnsi="Book Antiqua" w:hint="default"/>
          <w:rtl w:val="0"/>
          <w:lang w:val="it-IT"/>
        </w:rPr>
        <w:t xml:space="preserve">è </w:t>
      </w:r>
      <w:r>
        <w:rPr>
          <w:rFonts w:ascii="Book Antiqua"/>
          <w:rtl w:val="0"/>
          <w:lang w:val="it-IT"/>
        </w:rPr>
        <w:t>il tema. Come lei giustamente ha detto, signor presidente, ci</w:t>
      </w:r>
      <w:r>
        <w:rPr>
          <w:rFonts w:hAnsi="Book Antiqua" w:hint="default"/>
          <w:rtl w:val="0"/>
          <w:lang w:val="it-IT"/>
        </w:rPr>
        <w:t xml:space="preserve">ò </w:t>
      </w:r>
      <w:r>
        <w:rPr>
          <w:rFonts w:ascii="Book Antiqua"/>
          <w:rtl w:val="0"/>
          <w:lang w:val="it-IT"/>
        </w:rPr>
        <w:t>costituisce un problema perch</w:t>
      </w:r>
      <w:r>
        <w:rPr>
          <w:rFonts w:hAnsi="Book Antiqua" w:hint="default"/>
          <w:rtl w:val="0"/>
          <w:lang w:val="it-IT"/>
        </w:rPr>
        <w:t xml:space="preserve">é </w:t>
      </w:r>
      <w:r>
        <w:rPr>
          <w:rFonts w:ascii="Book Antiqua"/>
          <w:rtl w:val="0"/>
          <w:lang w:val="it-IT"/>
        </w:rPr>
        <w:t>si potrebbe aprire un danno erariale, tuttavia ci</w:t>
      </w:r>
      <w:r>
        <w:rPr>
          <w:rFonts w:hAnsi="Book Antiqua" w:hint="default"/>
          <w:rtl w:val="0"/>
          <w:lang w:val="it-IT"/>
        </w:rPr>
        <w:t xml:space="preserve">ò </w:t>
      </w:r>
      <w:r>
        <w:rPr>
          <w:rFonts w:ascii="Book Antiqua"/>
          <w:rtl w:val="0"/>
          <w:lang w:val="it-IT"/>
        </w:rPr>
        <w:t>vale anche con riferimento al premio che Fortini ha percepito (e che non solo Fortini ha percepito ma l</w:t>
      </w:r>
      <w:r>
        <w:rPr>
          <w:rFonts w:hAnsi="Book Antiqua" w:hint="default"/>
          <w:rtl w:val="0"/>
          <w:lang w:val="it-IT"/>
        </w:rPr>
        <w:t>’</w:t>
      </w:r>
      <w:r>
        <w:rPr>
          <w:rFonts w:ascii="Book Antiqua"/>
          <w:rtl w:val="0"/>
          <w:lang w:val="it-IT"/>
        </w:rPr>
        <w:t>intera commissione ha percepito). I temi sono tanti.</w:t>
      </w:r>
      <w:r>
        <w:rPr>
          <w:rFonts w:hAnsi="Book Antiqua" w:hint="default"/>
          <w:rtl w:val="0"/>
          <w:lang w:val="it-IT"/>
        </w:rPr>
        <w:t xml:space="preserve">” </w:t>
      </w:r>
    </w:p>
    <w:p>
      <w:pPr>
        <w:pStyle w:val="Normal"/>
        <w:ind w:left="567" w:right="567" w:firstLine="0"/>
        <w:jc w:val="both"/>
        <w:rPr>
          <w:rFonts w:ascii="Book Antiqua" w:cs="Book Antiqua" w:hAnsi="Book Antiqua" w:eastAsia="Book Antiqua"/>
        </w:rPr>
      </w:pPr>
      <w:r>
        <w:rPr>
          <w:rFonts w:ascii="Book Antiqua"/>
          <w:rtl w:val="0"/>
          <w:lang w:val="it-IT"/>
        </w:rPr>
        <w:t xml:space="preserve">Bisogna sottolineare che, ad oggi, del citato </w:t>
      </w:r>
      <w:r>
        <w:rPr>
          <w:rFonts w:ascii="Book Antiqua"/>
          <w:i w:val="1"/>
          <w:iCs w:val="1"/>
          <w:rtl w:val="0"/>
          <w:lang w:val="it-IT"/>
        </w:rPr>
        <w:t>audit</w:t>
      </w:r>
      <w:r>
        <w:rPr>
          <w:rFonts w:ascii="Book Antiqua"/>
          <w:rtl w:val="0"/>
          <w:lang w:val="it-IT"/>
        </w:rPr>
        <w:t xml:space="preserve"> non </w:t>
      </w:r>
      <w:r>
        <w:rPr>
          <w:rFonts w:hAnsi="Book Antiqua" w:hint="default"/>
          <w:rtl w:val="0"/>
          <w:lang w:val="it-IT"/>
        </w:rPr>
        <w:t xml:space="preserve">è </w:t>
      </w:r>
      <w:r>
        <w:rPr>
          <w:rFonts w:ascii="Book Antiqua"/>
          <w:rtl w:val="0"/>
          <w:lang w:val="it-IT"/>
        </w:rPr>
        <w:t>stata fornita notizia e non vi sono informazioni successive sullo scioglimento dei dubbi cos</w:t>
      </w:r>
      <w:r>
        <w:rPr>
          <w:rFonts w:hAnsi="Book Antiqua" w:hint="default"/>
          <w:rtl w:val="0"/>
          <w:lang w:val="it-IT"/>
        </w:rPr>
        <w:t xml:space="preserve">ì </w:t>
      </w:r>
      <w:r>
        <w:rPr>
          <w:rFonts w:ascii="Book Antiqua"/>
          <w:rtl w:val="0"/>
          <w:lang w:val="it-IT"/>
        </w:rPr>
        <w:t xml:space="preserve">avanzati (peraltro Paola Muraro </w:t>
      </w:r>
      <w:r>
        <w:rPr>
          <w:rFonts w:hAnsi="Book Antiqua" w:hint="default"/>
          <w:rtl w:val="0"/>
          <w:lang w:val="it-IT"/>
        </w:rPr>
        <w:t xml:space="preserve">è </w:t>
      </w:r>
      <w:r>
        <w:rPr>
          <w:rFonts w:ascii="Book Antiqua"/>
          <w:rtl w:val="0"/>
          <w:lang w:val="it-IT"/>
        </w:rPr>
        <w:t>stata successivamente sostituita nel ruolo di assessora all</w:t>
      </w:r>
      <w:r>
        <w:rPr>
          <w:rFonts w:hAnsi="Book Antiqua" w:hint="default"/>
          <w:rtl w:val="0"/>
          <w:lang w:val="it-IT"/>
        </w:rPr>
        <w:t>’</w:t>
      </w:r>
      <w:r>
        <w:rPr>
          <w:rFonts w:ascii="Book Antiqua"/>
          <w:rtl w:val="0"/>
          <w:lang w:val="it-IT"/>
        </w:rPr>
        <w:t>ambiente).</w:t>
      </w:r>
    </w:p>
    <w:p>
      <w:pPr>
        <w:pStyle w:val="Normal"/>
        <w:ind w:left="567" w:right="567" w:firstLine="0"/>
        <w:jc w:val="both"/>
        <w:rPr>
          <w:rFonts w:ascii="Book Antiqua" w:cs="Book Antiqua" w:hAnsi="Book Antiqua" w:eastAsia="Book Antiqua"/>
        </w:rPr>
      </w:pPr>
      <w:r>
        <w:rPr>
          <w:rFonts w:ascii="Book Antiqua"/>
          <w:rtl w:val="0"/>
          <w:lang w:val="it-IT"/>
        </w:rPr>
        <w:t xml:space="preserve">Roma Capitale ha ricevuto diversi aiuti economici per aumentare la sua percentuale di raccolta differenziata; </w:t>
      </w:r>
      <w:r>
        <w:rPr>
          <w:rFonts w:hAnsi="Book Antiqua" w:hint="default"/>
          <w:rtl w:val="0"/>
          <w:lang w:val="it-IT"/>
        </w:rPr>
        <w:t xml:space="preserve">è </w:t>
      </w:r>
      <w:r>
        <w:rPr>
          <w:rFonts w:ascii="Book Antiqua"/>
          <w:rtl w:val="0"/>
          <w:lang w:val="it-IT"/>
        </w:rPr>
        <w:t>stata l</w:t>
      </w:r>
      <w:r>
        <w:rPr>
          <w:rFonts w:hAnsi="Book Antiqua" w:hint="default"/>
          <w:rtl w:val="0"/>
          <w:lang w:val="it-IT"/>
        </w:rPr>
        <w:t>’</w:t>
      </w:r>
      <w:r>
        <w:rPr>
          <w:rFonts w:ascii="Book Antiqua"/>
          <w:rtl w:val="0"/>
          <w:lang w:val="it-IT"/>
        </w:rPr>
        <w:t>assessora pro tempore all</w:t>
      </w:r>
      <w:r>
        <w:rPr>
          <w:rFonts w:hAnsi="Book Antiqua" w:hint="default"/>
          <w:rtl w:val="0"/>
          <w:lang w:val="it-IT"/>
        </w:rPr>
        <w:t>’</w:t>
      </w:r>
      <w:r>
        <w:rPr>
          <w:rFonts w:ascii="Book Antiqua"/>
          <w:rtl w:val="0"/>
          <w:lang w:val="it-IT"/>
        </w:rPr>
        <w:t>ambiente di Roma, Estella Marino, a ricordarlo, proprio durante l</w:t>
      </w:r>
      <w:r>
        <w:rPr>
          <w:rFonts w:hAnsi="Book Antiqua" w:hint="default"/>
          <w:rtl w:val="0"/>
          <w:lang w:val="it-IT"/>
        </w:rPr>
        <w:t>’</w:t>
      </w:r>
      <w:r>
        <w:rPr>
          <w:rFonts w:ascii="Book Antiqua"/>
          <w:rtl w:val="0"/>
          <w:lang w:val="it-IT"/>
        </w:rPr>
        <w:t>audizione del 22 luglio 2015, ha, tra l</w:t>
      </w:r>
      <w:r>
        <w:rPr>
          <w:rFonts w:hAnsi="Book Antiqua" w:hint="default"/>
          <w:rtl w:val="0"/>
          <w:lang w:val="it-IT"/>
        </w:rPr>
        <w:t>’</w:t>
      </w:r>
      <w:r>
        <w:rPr>
          <w:rFonts w:ascii="Book Antiqua"/>
          <w:rtl w:val="0"/>
          <w:lang w:val="it-IT"/>
        </w:rPr>
        <w:t xml:space="preserve">altro, dichiarato: </w:t>
      </w:r>
    </w:p>
    <w:p>
      <w:pPr>
        <w:pStyle w:val="Normal"/>
        <w:ind w:left="567" w:right="567" w:firstLine="0"/>
        <w:jc w:val="both"/>
        <w:rPr>
          <w:rFonts w:ascii="Book Antiqua" w:cs="Book Antiqua" w:hAnsi="Book Antiqua" w:eastAsia="Book Antiqua"/>
          <w:color w:val="000000"/>
          <w:u w:color="000000"/>
        </w:rPr>
      </w:pPr>
      <w:r>
        <w:rPr>
          <w:rFonts w:hAnsi="Book Antiqua" w:hint="default"/>
          <w:color w:val="000000"/>
          <w:u w:color="000000"/>
          <w:rtl w:val="0"/>
          <w:lang w:val="it-IT"/>
        </w:rPr>
        <w:t>“</w:t>
      </w:r>
      <w:r>
        <w:rPr>
          <w:rFonts w:ascii="Book Antiqua"/>
          <w:color w:val="000000"/>
          <w:u w:color="000000"/>
          <w:rtl w:val="0"/>
          <w:lang w:val="it-IT"/>
        </w:rPr>
        <w:t xml:space="preserve">tutto questo sforzo </w:t>
      </w:r>
      <w:r>
        <w:rPr>
          <w:rFonts w:hAnsi="Book Antiqua" w:hint="default"/>
          <w:color w:val="000000"/>
          <w:u w:color="000000"/>
          <w:rtl w:val="0"/>
          <w:lang w:val="it-IT"/>
        </w:rPr>
        <w:t xml:space="preserve">è </w:t>
      </w:r>
      <w:r>
        <w:rPr>
          <w:rFonts w:ascii="Book Antiqua"/>
          <w:color w:val="000000"/>
          <w:u w:color="000000"/>
          <w:rtl w:val="0"/>
          <w:lang w:val="it-IT"/>
        </w:rPr>
        <w:t>stato avviato dal patto per Roma e, in parte, supportato dai finanziamenti che la regione Lazio ha elargito per tutti i comuni della regione per l</w:t>
      </w:r>
      <w:r>
        <w:rPr>
          <w:rFonts w:hAnsi="Book Antiqua" w:hint="default"/>
          <w:color w:val="000000"/>
          <w:u w:color="000000"/>
          <w:rtl w:val="0"/>
          <w:lang w:val="it-IT"/>
        </w:rPr>
        <w:t>’</w:t>
      </w:r>
      <w:r>
        <w:rPr>
          <w:rFonts w:ascii="Book Antiqua"/>
          <w:color w:val="000000"/>
          <w:u w:color="000000"/>
          <w:rtl w:val="0"/>
          <w:lang w:val="it-IT"/>
        </w:rPr>
        <w:t xml:space="preserve">avvio dei modelli a raccolta differenziata. </w:t>
      </w:r>
      <w:r>
        <w:rPr>
          <w:rFonts w:hAnsi="Book Antiqua" w:hint="default"/>
          <w:color w:val="000000"/>
          <w:u w:color="000000"/>
          <w:rtl w:val="0"/>
          <w:lang w:val="it-IT"/>
        </w:rPr>
        <w:t xml:space="preserve">È </w:t>
      </w:r>
      <w:r>
        <w:rPr>
          <w:rFonts w:ascii="Book Antiqua"/>
          <w:color w:val="000000"/>
          <w:u w:color="000000"/>
          <w:rtl w:val="0"/>
          <w:lang w:val="it-IT"/>
        </w:rPr>
        <w:t>ovvio che Roma rappresenta circa met</w:t>
      </w:r>
      <w:r>
        <w:rPr>
          <w:rFonts w:hAnsi="Book Antiqua" w:hint="default"/>
          <w:color w:val="000000"/>
          <w:u w:color="000000"/>
          <w:rtl w:val="0"/>
          <w:lang w:val="it-IT"/>
        </w:rPr>
        <w:t xml:space="preserve">à </w:t>
      </w:r>
      <w:r>
        <w:rPr>
          <w:rFonts w:ascii="Book Antiqua"/>
          <w:color w:val="000000"/>
          <w:u w:color="000000"/>
          <w:rtl w:val="0"/>
          <w:lang w:val="it-IT"/>
        </w:rPr>
        <w:t>della regione Lazio, sia come popolazione, sia come impatti, quindi credo che riceva circa la met</w:t>
      </w:r>
      <w:r>
        <w:rPr>
          <w:rFonts w:hAnsi="Book Antiqua" w:hint="default"/>
          <w:color w:val="000000"/>
          <w:u w:color="000000"/>
          <w:rtl w:val="0"/>
          <w:lang w:val="it-IT"/>
        </w:rPr>
        <w:t xml:space="preserve">à </w:t>
      </w:r>
      <w:r>
        <w:rPr>
          <w:rFonts w:ascii="Book Antiqua"/>
          <w:color w:val="000000"/>
          <w:u w:color="000000"/>
          <w:rtl w:val="0"/>
          <w:lang w:val="it-IT"/>
        </w:rPr>
        <w:t>dei finanziamenti complessivi della regione. Ci sono, per</w:t>
      </w:r>
      <w:r>
        <w:rPr>
          <w:rFonts w:hAnsi="Book Antiqua" w:hint="default"/>
          <w:color w:val="000000"/>
          <w:u w:color="000000"/>
          <w:rtl w:val="0"/>
          <w:lang w:val="it-IT"/>
        </w:rPr>
        <w:t>ò</w:t>
      </w:r>
      <w:r>
        <w:rPr>
          <w:rFonts w:ascii="Book Antiqua"/>
          <w:color w:val="000000"/>
          <w:u w:color="000000"/>
          <w:rtl w:val="0"/>
          <w:lang w:val="it-IT"/>
        </w:rPr>
        <w:t>, anche i fondi del Ministero dell</w:t>
      </w:r>
      <w:r>
        <w:rPr>
          <w:rFonts w:hAnsi="Book Antiqua" w:hint="default"/>
          <w:color w:val="000000"/>
          <w:u w:color="000000"/>
          <w:rtl w:val="0"/>
          <w:lang w:val="it-IT"/>
        </w:rPr>
        <w:t>’</w:t>
      </w:r>
      <w:r>
        <w:rPr>
          <w:rFonts w:ascii="Book Antiqua"/>
          <w:color w:val="000000"/>
          <w:u w:color="000000"/>
          <w:rtl w:val="0"/>
          <w:lang w:val="it-IT"/>
        </w:rPr>
        <w:t>ambiente inseriti nel patto per Roma. In realt</w:t>
      </w:r>
      <w:r>
        <w:rPr>
          <w:rFonts w:hAnsi="Book Antiqua" w:hint="default"/>
          <w:color w:val="000000"/>
          <w:u w:color="000000"/>
          <w:rtl w:val="0"/>
          <w:lang w:val="it-IT"/>
        </w:rPr>
        <w:t>à</w:t>
      </w:r>
      <w:r>
        <w:rPr>
          <w:rFonts w:ascii="Book Antiqua"/>
          <w:color w:val="000000"/>
          <w:u w:color="000000"/>
          <w:rtl w:val="0"/>
          <w:lang w:val="it-IT"/>
        </w:rPr>
        <w:t xml:space="preserve">, il patto </w:t>
      </w:r>
      <w:r>
        <w:rPr>
          <w:rFonts w:hAnsi="Book Antiqua" w:hint="default"/>
          <w:color w:val="000000"/>
          <w:u w:color="000000"/>
          <w:rtl w:val="0"/>
          <w:lang w:val="it-IT"/>
        </w:rPr>
        <w:t xml:space="preserve">è </w:t>
      </w:r>
      <w:r>
        <w:rPr>
          <w:rFonts w:ascii="Book Antiqua"/>
          <w:color w:val="000000"/>
          <w:u w:color="000000"/>
          <w:rtl w:val="0"/>
          <w:lang w:val="it-IT"/>
        </w:rPr>
        <w:t xml:space="preserve">del 2012, il finanziamento del ministero </w:t>
      </w:r>
      <w:r>
        <w:rPr>
          <w:rFonts w:hAnsi="Book Antiqua" w:hint="default"/>
          <w:color w:val="000000"/>
          <w:u w:color="000000"/>
          <w:rtl w:val="0"/>
          <w:lang w:val="it-IT"/>
        </w:rPr>
        <w:t xml:space="preserve">è </w:t>
      </w:r>
      <w:r>
        <w:rPr>
          <w:rFonts w:ascii="Book Antiqua"/>
          <w:color w:val="000000"/>
          <w:u w:color="000000"/>
          <w:rtl w:val="0"/>
          <w:lang w:val="it-IT"/>
        </w:rPr>
        <w:t>sulle annualit</w:t>
      </w:r>
      <w:r>
        <w:rPr>
          <w:rFonts w:hAnsi="Book Antiqua" w:hint="default"/>
          <w:color w:val="000000"/>
          <w:u w:color="000000"/>
          <w:rtl w:val="0"/>
          <w:lang w:val="it-IT"/>
        </w:rPr>
        <w:t xml:space="preserve">à </w:t>
      </w:r>
      <w:r>
        <w:rPr>
          <w:rFonts w:ascii="Book Antiqua"/>
          <w:color w:val="000000"/>
          <w:u w:color="000000"/>
          <w:rtl w:val="0"/>
          <w:lang w:val="it-IT"/>
        </w:rPr>
        <w:t>2012-2014 e, andando alla ricerca di quei finanziamenti, ci siamo resi conto che non era stato fatto l</w:t>
      </w:r>
      <w:r>
        <w:rPr>
          <w:rFonts w:hAnsi="Book Antiqua" w:hint="default"/>
          <w:color w:val="000000"/>
          <w:u w:color="000000"/>
          <w:rtl w:val="0"/>
          <w:lang w:val="it-IT"/>
        </w:rPr>
        <w:t>’</w:t>
      </w:r>
      <w:r>
        <w:rPr>
          <w:rFonts w:ascii="Book Antiqua"/>
          <w:color w:val="000000"/>
          <w:u w:color="000000"/>
          <w:rtl w:val="0"/>
          <w:lang w:val="it-IT"/>
        </w:rPr>
        <w:t>impegno, l</w:t>
      </w:r>
      <w:r>
        <w:rPr>
          <w:rFonts w:hAnsi="Book Antiqua" w:hint="default"/>
          <w:color w:val="000000"/>
          <w:u w:color="000000"/>
          <w:rtl w:val="0"/>
          <w:lang w:val="it-IT"/>
        </w:rPr>
        <w:t>’</w:t>
      </w:r>
      <w:r>
        <w:rPr>
          <w:rFonts w:ascii="Book Antiqua"/>
          <w:color w:val="000000"/>
          <w:u w:color="000000"/>
          <w:rtl w:val="0"/>
          <w:lang w:val="it-IT"/>
        </w:rPr>
        <w:t>atto amministrativo, per cui abbiamo dovuto recuperarli in corsa [..]</w:t>
      </w:r>
      <w:r>
        <w:rPr>
          <w:rFonts w:ascii="Book Antiqua"/>
          <w:rtl w:val="0"/>
          <w:lang w:val="it-IT"/>
        </w:rPr>
        <w:t xml:space="preserve"> Dieci milioni di euro l</w:t>
      </w:r>
      <w:r>
        <w:rPr>
          <w:rFonts w:hAnsi="Book Antiqua" w:hint="default"/>
          <w:rtl w:val="0"/>
          <w:lang w:val="it-IT"/>
        </w:rPr>
        <w:t>’</w:t>
      </w:r>
      <w:r>
        <w:rPr>
          <w:rFonts w:ascii="Book Antiqua"/>
          <w:rtl w:val="0"/>
          <w:lang w:val="it-IT"/>
        </w:rPr>
        <w:t>anno: erano originariamente sul patto 10 milioni nel 2012, 10 milioni nel 2013 e 10 milioni nel 2014. In realt</w:t>
      </w:r>
      <w:r>
        <w:rPr>
          <w:rFonts w:hAnsi="Book Antiqua" w:hint="default"/>
          <w:rtl w:val="0"/>
          <w:lang w:val="it-IT"/>
        </w:rPr>
        <w:t>à</w:t>
      </w:r>
      <w:r>
        <w:rPr>
          <w:rFonts w:ascii="Book Antiqua"/>
          <w:rtl w:val="0"/>
          <w:lang w:val="it-IT"/>
        </w:rPr>
        <w:t>, a luglio 2013, quando abbiamo iniziato a fare le verifiche, non erano stati impegnati dal Ministero dell</w:t>
      </w:r>
      <w:r>
        <w:rPr>
          <w:rFonts w:hAnsi="Book Antiqua" w:hint="default"/>
          <w:rtl w:val="0"/>
          <w:lang w:val="it-IT"/>
        </w:rPr>
        <w:t>’</w:t>
      </w:r>
      <w:r>
        <w:rPr>
          <w:rFonts w:ascii="Book Antiqua"/>
          <w:rtl w:val="0"/>
          <w:lang w:val="it-IT"/>
        </w:rPr>
        <w:t>ambiente, quindi abbiamo attivato l</w:t>
      </w:r>
      <w:r>
        <w:rPr>
          <w:rFonts w:hAnsi="Book Antiqua" w:hint="default"/>
          <w:rtl w:val="0"/>
          <w:lang w:val="it-IT"/>
        </w:rPr>
        <w:t>’</w:t>
      </w:r>
      <w:r>
        <w:rPr>
          <w:rFonts w:ascii="Book Antiqua"/>
          <w:rtl w:val="0"/>
          <w:lang w:val="it-IT"/>
        </w:rPr>
        <w:t>interlocuzione al Ministero dell</w:t>
      </w:r>
      <w:r>
        <w:rPr>
          <w:rFonts w:hAnsi="Book Antiqua" w:hint="default"/>
          <w:rtl w:val="0"/>
          <w:lang w:val="it-IT"/>
        </w:rPr>
        <w:t>’</w:t>
      </w:r>
      <w:r>
        <w:rPr>
          <w:rFonts w:ascii="Book Antiqua"/>
          <w:rtl w:val="0"/>
          <w:lang w:val="it-IT"/>
        </w:rPr>
        <w:t xml:space="preserve">ambiente e abbiamo potuto reinserire una parte di quei finanziamenti, credo 22,5 su 30, nel primo atto normativo possibile, il cosiddetto Salva Roma-ter, dove infatti </w:t>
      </w:r>
      <w:r>
        <w:rPr>
          <w:rFonts w:hAnsi="Book Antiqua" w:hint="default"/>
          <w:rtl w:val="0"/>
          <w:lang w:val="it-IT"/>
        </w:rPr>
        <w:t xml:space="preserve">è </w:t>
      </w:r>
      <w:r>
        <w:rPr>
          <w:rFonts w:ascii="Book Antiqua"/>
          <w:rtl w:val="0"/>
          <w:lang w:val="it-IT"/>
        </w:rPr>
        <w:t>inserito il recupero di una parte di quei finanziamenti. Questi erano slittati, come annualit</w:t>
      </w:r>
      <w:r>
        <w:rPr>
          <w:rFonts w:hAnsi="Book Antiqua" w:hint="default"/>
          <w:rtl w:val="0"/>
          <w:lang w:val="it-IT"/>
        </w:rPr>
        <w:t>à</w:t>
      </w:r>
      <w:r>
        <w:rPr>
          <w:rFonts w:ascii="Book Antiqua"/>
          <w:rtl w:val="0"/>
          <w:lang w:val="it-IT"/>
        </w:rPr>
        <w:t>: con il Salva Roma erano slittati di una o due annualit</w:t>
      </w:r>
      <w:r>
        <w:rPr>
          <w:rFonts w:hAnsi="Book Antiqua" w:hint="default"/>
          <w:rtl w:val="0"/>
          <w:lang w:val="it-IT"/>
        </w:rPr>
        <w:t>à”</w:t>
      </w:r>
      <w:r>
        <w:rPr>
          <w:rFonts w:ascii="Book Antiqua"/>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In realt</w:t>
      </w:r>
      <w:r>
        <w:rPr>
          <w:rFonts w:hAnsi="Book Antiqua" w:hint="default"/>
          <w:rtl w:val="0"/>
          <w:lang w:val="it-IT"/>
        </w:rPr>
        <w:t>à</w:t>
      </w:r>
      <w:r>
        <w:rPr>
          <w:rFonts w:ascii="Book Antiqua"/>
          <w:rtl w:val="0"/>
          <w:lang w:val="it-IT"/>
        </w:rPr>
        <w:t>, come aveva illustrato il presidente della regione nell</w:t>
      </w:r>
      <w:r>
        <w:rPr>
          <w:rFonts w:hAnsi="Book Antiqua" w:hint="default"/>
          <w:rtl w:val="0"/>
          <w:lang w:val="it-IT"/>
        </w:rPr>
        <w:t>’</w:t>
      </w:r>
      <w:r>
        <w:rPr>
          <w:rFonts w:ascii="Book Antiqua"/>
          <w:rtl w:val="0"/>
          <w:lang w:val="it-IT"/>
        </w:rPr>
        <w:t>audizione dell</w:t>
      </w:r>
      <w:r>
        <w:rPr>
          <w:rFonts w:hAnsi="Book Antiqua" w:hint="default"/>
          <w:rtl w:val="0"/>
          <w:lang w:val="it-IT"/>
        </w:rPr>
        <w:t>’</w:t>
      </w:r>
      <w:r>
        <w:rPr>
          <w:rFonts w:ascii="Book Antiqua"/>
          <w:rtl w:val="0"/>
          <w:lang w:val="it-IT"/>
        </w:rPr>
        <w:t>8 settembre 2015 vi sono stati contributi economici importanti destinati a lanciare Roma Capitale su obiettivi significativi e crescenti, con un orizzonte 2016, intercettando un andamento di riduzione del conferimento in discarica che ha coinvolto negli anni precedenti l</w:t>
      </w:r>
      <w:r>
        <w:rPr>
          <w:rFonts w:hAnsi="Book Antiqua" w:hint="default"/>
          <w:rtl w:val="0"/>
          <w:lang w:val="it-IT"/>
        </w:rPr>
        <w:t>’</w:t>
      </w:r>
      <w:r>
        <w:rPr>
          <w:rFonts w:ascii="Book Antiqua"/>
          <w:rtl w:val="0"/>
          <w:lang w:val="it-IT"/>
        </w:rPr>
        <w:t xml:space="preserve">intera regione: </w:t>
      </w:r>
    </w:p>
    <w:p>
      <w:pPr>
        <w:pStyle w:val="Normal"/>
        <w:ind w:left="567" w:right="567" w:firstLine="0"/>
        <w:jc w:val="both"/>
        <w:rPr>
          <w:rFonts w:ascii="Book Antiqua" w:cs="Book Antiqua" w:hAnsi="Book Antiqua" w:eastAsia="Book Antiqua"/>
        </w:rPr>
      </w:pPr>
      <w:r>
        <w:rPr>
          <w:rFonts w:hAnsi="Book Antiqua" w:hint="default"/>
          <w:rtl w:val="0"/>
          <w:lang w:val="it-IT"/>
        </w:rPr>
        <w:t>“</w:t>
      </w:r>
      <w:r>
        <w:rPr>
          <w:rFonts w:ascii="Book Antiqua"/>
          <w:color w:val="262626"/>
          <w:u w:color="262626"/>
          <w:rtl w:val="0"/>
          <w:lang w:val="it-IT"/>
        </w:rPr>
        <w:t>dall'insediamento di questa stagione legislativa, sono stati destinati complessivamente all'obiettivo dell'aumento della raccolta differenziata circa 185 milioni di euro, di cui circa 100 milioni gi</w:t>
      </w:r>
      <w:r>
        <w:rPr>
          <w:rFonts w:hAnsi="Book Antiqua" w:hint="default"/>
          <w:color w:val="262626"/>
          <w:u w:color="262626"/>
          <w:rtl w:val="0"/>
          <w:lang w:val="it-IT"/>
        </w:rPr>
        <w:t xml:space="preserve">à </w:t>
      </w:r>
      <w:r>
        <w:rPr>
          <w:rFonts w:ascii="Book Antiqua"/>
          <w:color w:val="262626"/>
          <w:u w:color="262626"/>
          <w:rtl w:val="0"/>
          <w:lang w:val="it-IT"/>
        </w:rPr>
        <w:t>erogati. Preciso che dei 185 milioni circa 74 sono stati destinati a Roma Capitale, alla quale sono gi</w:t>
      </w:r>
      <w:r>
        <w:rPr>
          <w:rFonts w:hAnsi="Book Antiqua" w:hint="default"/>
          <w:color w:val="262626"/>
          <w:u w:color="262626"/>
          <w:rtl w:val="0"/>
          <w:lang w:val="it-IT"/>
        </w:rPr>
        <w:t xml:space="preserve">à </w:t>
      </w:r>
      <w:r>
        <w:rPr>
          <w:rFonts w:ascii="Book Antiqua"/>
          <w:color w:val="262626"/>
          <w:u w:color="262626"/>
          <w:rtl w:val="0"/>
          <w:lang w:val="it-IT"/>
        </w:rPr>
        <w:t>stati trasferiti circa 44 milioni di euro. Questa forte immissione di risorse ha permesso di accrescere in maniera molto significativa la percentuale di raccolta differenziata, nonch</w:t>
      </w:r>
      <w:r>
        <w:rPr>
          <w:rFonts w:hAnsi="Book Antiqua" w:hint="default"/>
          <w:color w:val="262626"/>
          <w:u w:color="262626"/>
          <w:rtl w:val="0"/>
          <w:lang w:val="it-IT"/>
        </w:rPr>
        <w:t xml:space="preserve">é </w:t>
      </w:r>
      <w:r>
        <w:rPr>
          <w:rFonts w:ascii="Book Antiqua"/>
          <w:color w:val="262626"/>
          <w:u w:color="262626"/>
          <w:rtl w:val="0"/>
          <w:lang w:val="it-IT"/>
        </w:rPr>
        <w:t>di diminuire i rifiuti prodotti. Appare significativo sottolineare come il quantitativo di rifiuti smaltiti in discarica nel Lazio si sia ridotto di quasi il 50 per cento, come riportato dai dati ISPRA: 2011 2.357.000 tonnellate, 2012 2.085.000, 2013 1.446.000 tonnellate</w:t>
      </w:r>
      <w:r>
        <w:rPr>
          <w:rFonts w:hAnsi="Book Antiqua" w:hint="default"/>
          <w:color w:val="262626"/>
          <w:u w:color="262626"/>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La relazione redatta dall</w:t>
      </w:r>
      <w:r>
        <w:rPr>
          <w:rFonts w:hAnsi="Book Antiqua" w:hint="default"/>
          <w:rtl w:val="0"/>
          <w:lang w:val="it-IT"/>
        </w:rPr>
        <w:t>’</w:t>
      </w:r>
      <w:r>
        <w:rPr>
          <w:rFonts w:ascii="Book Antiqua"/>
          <w:rtl w:val="0"/>
          <w:lang w:val="it-IT"/>
        </w:rPr>
        <w:t>Agenzia per il controllo e la qualit</w:t>
      </w:r>
      <w:r>
        <w:rPr>
          <w:rFonts w:hAnsi="Book Antiqua" w:hint="default"/>
          <w:rtl w:val="0"/>
          <w:lang w:val="it-IT"/>
        </w:rPr>
        <w:t xml:space="preserve">à </w:t>
      </w:r>
      <w:r>
        <w:rPr>
          <w:rFonts w:ascii="Book Antiqua"/>
          <w:rtl w:val="0"/>
          <w:lang w:val="it-IT"/>
        </w:rPr>
        <w:t>dei servizi pubblici locali di Roma Capitale, ci fornisce il costo e percentuale di raccolta differenziata, la qualit</w:t>
      </w:r>
      <w:r>
        <w:rPr>
          <w:rFonts w:hAnsi="Book Antiqua" w:hint="default"/>
          <w:rtl w:val="0"/>
          <w:lang w:val="it-IT"/>
        </w:rPr>
        <w:t xml:space="preserve">à </w:t>
      </w:r>
      <w:r>
        <w:rPr>
          <w:rFonts w:ascii="Book Antiqua"/>
          <w:rtl w:val="0"/>
          <w:lang w:val="it-IT"/>
        </w:rPr>
        <w:t>erogata e quella percepita</w:t>
      </w:r>
      <w:r>
        <w:rPr>
          <w:rFonts w:ascii="Book Antiqua" w:cs="Book Antiqua" w:hAnsi="Book Antiqua" w:eastAsia="Book Antiqua"/>
          <w:vertAlign w:val="superscript"/>
          <w:rtl w:val="0"/>
        </w:rPr>
        <w:footnoteReference w:id="20"/>
      </w:r>
      <w:r>
        <w:rPr>
          <w:rFonts w:ascii="Book Antiqua"/>
          <w:rtl w:val="0"/>
          <w:lang w:val="it-IT"/>
        </w:rPr>
        <w:t>.</w:t>
      </w:r>
    </w:p>
    <w:p>
      <w:pPr>
        <w:pStyle w:val="Normal"/>
        <w:ind w:left="567" w:right="567" w:firstLine="0"/>
        <w:jc w:val="both"/>
        <w:rPr>
          <w:rFonts w:ascii="Book Antiqua" w:cs="Book Antiqua" w:hAnsi="Book Antiqua" w:eastAsia="Book Antiqua"/>
        </w:rPr>
      </w:pPr>
    </w:p>
    <w:p>
      <w:pPr>
        <w:pStyle w:val="Normal"/>
        <w:ind w:left="567" w:right="567" w:firstLine="0"/>
        <w:jc w:val="both"/>
        <w:rPr>
          <w:b w:val="1"/>
          <w:bCs w:val="1"/>
          <w:i w:val="1"/>
          <w:iCs w:val="1"/>
        </w:rPr>
      </w:pPr>
      <w:r>
        <w:rPr>
          <w:rtl w:val="0"/>
        </w:rPr>
        <w:drawing>
          <wp:inline distT="0" distB="0" distL="0" distR="0">
            <wp:extent cx="5943934" cy="4625702"/>
            <wp:effectExtent l="0" t="0" r="0" b="0"/>
            <wp:docPr id="1073741827" name="officeArt object" descr="battaglia_rd.png"/>
            <wp:cNvGraphicFramePr/>
            <a:graphic xmlns:a="http://schemas.openxmlformats.org/drawingml/2006/main">
              <a:graphicData uri="http://schemas.openxmlformats.org/drawingml/2006/picture">
                <pic:pic xmlns:pic="http://schemas.openxmlformats.org/drawingml/2006/picture">
                  <pic:nvPicPr>
                    <pic:cNvPr id="1073741827" name="image3.png" descr="battaglia_rd.png"/>
                    <pic:cNvPicPr/>
                  </pic:nvPicPr>
                  <pic:blipFill>
                    <a:blip r:embed="rId7">
                      <a:extLst/>
                    </a:blip>
                    <a:stretch>
                      <a:fillRect/>
                    </a:stretch>
                  </pic:blipFill>
                  <pic:spPr>
                    <a:xfrm>
                      <a:off x="0" y="0"/>
                      <a:ext cx="5943934" cy="4625702"/>
                    </a:xfrm>
                    <a:prstGeom prst="rect">
                      <a:avLst/>
                    </a:prstGeom>
                    <a:ln w="12700" cap="flat">
                      <a:noFill/>
                      <a:miter lim="400000"/>
                    </a:ln>
                    <a:effectLst/>
                  </pic:spPr>
                </pic:pic>
              </a:graphicData>
            </a:graphic>
          </wp:inline>
        </w:drawing>
      </w: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rPr>
      </w:pPr>
      <w:r>
        <w:rPr>
          <w:rFonts w:ascii="Book Antiqua"/>
          <w:rtl w:val="0"/>
          <w:lang w:val="it-IT"/>
        </w:rPr>
        <w:t>La stessa relazione contiene i grafici inerenti il costo della pulizia, la qualit</w:t>
      </w:r>
      <w:r>
        <w:rPr>
          <w:rFonts w:hAnsi="Book Antiqua" w:hint="default"/>
          <w:rtl w:val="0"/>
          <w:lang w:val="it-IT"/>
        </w:rPr>
        <w:t xml:space="preserve">à </w:t>
      </w:r>
      <w:r>
        <w:rPr>
          <w:rFonts w:ascii="Book Antiqua"/>
          <w:rtl w:val="0"/>
          <w:lang w:val="it-IT"/>
        </w:rPr>
        <w:t>erogata e quella percepita</w:t>
      </w:r>
      <w:r>
        <w:rPr>
          <w:rFonts w:ascii="Book Antiqua" w:cs="Book Antiqua" w:hAnsi="Book Antiqua" w:eastAsia="Book Antiqua"/>
          <w:vertAlign w:val="superscript"/>
          <w:rtl w:val="0"/>
        </w:rPr>
        <w:footnoteReference w:id="21"/>
      </w:r>
      <w:r>
        <w:rPr>
          <w:rFonts w:ascii="Book Antiqua"/>
          <w:rtl w:val="0"/>
          <w:lang w:val="it-IT"/>
        </w:rPr>
        <w:t>.</w:t>
      </w:r>
    </w:p>
    <w:p>
      <w:pPr>
        <w:pStyle w:val="Normal"/>
        <w:ind w:left="567" w:right="567" w:firstLine="0"/>
        <w:jc w:val="both"/>
        <w:rPr>
          <w:rFonts w:ascii="Book Antiqua" w:cs="Book Antiqua" w:hAnsi="Book Antiqua" w:eastAsia="Book Antiqua"/>
        </w:rPr>
      </w:pPr>
    </w:p>
    <w:p>
      <w:pPr>
        <w:pStyle w:val="Normal"/>
        <w:ind w:left="567" w:right="567" w:firstLine="708"/>
        <w:jc w:val="both"/>
        <w:rPr>
          <w:rFonts w:ascii="Book Antiqua Bold" w:cs="Book Antiqua Bold" w:hAnsi="Book Antiqua Bold" w:eastAsia="Book Antiqua Bold"/>
          <w:b w:val="1"/>
          <w:bCs w:val="1"/>
        </w:rPr>
      </w:pPr>
      <w:r>
        <w:rPr>
          <w:rtl w:val="0"/>
        </w:rPr>
        <w:drawing>
          <wp:inline distT="0" distB="0" distL="0" distR="0">
            <wp:extent cx="5599199" cy="4248574"/>
            <wp:effectExtent l="0" t="0" r="0" b="0"/>
            <wp:docPr id="1073741828" name="officeArt object" descr="costo della pulizia.png"/>
            <wp:cNvGraphicFramePr/>
            <a:graphic xmlns:a="http://schemas.openxmlformats.org/drawingml/2006/main">
              <a:graphicData uri="http://schemas.openxmlformats.org/drawingml/2006/picture">
                <pic:pic xmlns:pic="http://schemas.openxmlformats.org/drawingml/2006/picture">
                  <pic:nvPicPr>
                    <pic:cNvPr id="1073741828" name="image4.png" descr="costo della pulizia.png"/>
                    <pic:cNvPicPr/>
                  </pic:nvPicPr>
                  <pic:blipFill>
                    <a:blip r:embed="rId8">
                      <a:extLst/>
                    </a:blip>
                    <a:stretch>
                      <a:fillRect/>
                    </a:stretch>
                  </pic:blipFill>
                  <pic:spPr>
                    <a:xfrm>
                      <a:off x="0" y="0"/>
                      <a:ext cx="5599199" cy="4248574"/>
                    </a:xfrm>
                    <a:prstGeom prst="rect">
                      <a:avLst/>
                    </a:prstGeom>
                    <a:ln w="12700" cap="flat">
                      <a:noFill/>
                      <a:miter lim="400000"/>
                    </a:ln>
                    <a:effectLst/>
                  </pic:spPr>
                </pic:pic>
              </a:graphicData>
            </a:graphic>
          </wp:inline>
        </w:drawing>
      </w:r>
    </w:p>
    <w:p>
      <w:pPr>
        <w:pStyle w:val="Normal"/>
        <w:ind w:left="567" w:right="567" w:firstLine="0"/>
        <w:jc w:val="both"/>
        <w:rPr>
          <w:rFonts w:ascii="Book Antiqua" w:cs="Book Antiqua" w:hAnsi="Book Antiqua" w:eastAsia="Book Antiqua"/>
          <w:sz w:val="28"/>
          <w:szCs w:val="28"/>
        </w:rPr>
      </w:pPr>
    </w:p>
    <w:p>
      <w:pPr>
        <w:pStyle w:val="Normal"/>
        <w:ind w:left="567" w:right="567" w:firstLine="0"/>
        <w:jc w:val="both"/>
        <w:rPr>
          <w:rFonts w:ascii="Book Antiqua" w:cs="Book Antiqua" w:hAnsi="Book Antiqua" w:eastAsia="Book Antiqua"/>
          <w:sz w:val="28"/>
          <w:szCs w:val="28"/>
        </w:rPr>
      </w:pPr>
    </w:p>
    <w:p>
      <w:pPr>
        <w:pStyle w:val="Normal"/>
        <w:ind w:left="567" w:right="567" w:firstLine="0"/>
        <w:jc w:val="both"/>
        <w:rPr>
          <w:rFonts w:ascii="Book Antiqua" w:cs="Book Antiqua" w:hAnsi="Book Antiqua" w:eastAsia="Book Antiqua"/>
          <w:sz w:val="28"/>
          <w:szCs w:val="28"/>
        </w:rPr>
      </w:pPr>
    </w:p>
    <w:p>
      <w:pPr>
        <w:pStyle w:val="Normal"/>
        <w:ind w:left="567" w:right="567" w:firstLine="0"/>
        <w:jc w:val="both"/>
        <w:rPr>
          <w:rFonts w:ascii="Book Antiqua" w:cs="Book Antiqua" w:hAnsi="Book Antiqua" w:eastAsia="Book Antiqua"/>
          <w:sz w:val="28"/>
          <w:szCs w:val="28"/>
        </w:rPr>
      </w:pPr>
      <w:r>
        <w:rPr>
          <w:rFonts w:ascii="Book Antiqua"/>
          <w:sz w:val="28"/>
          <w:szCs w:val="28"/>
          <w:rtl w:val="0"/>
          <w:lang w:val="it-IT"/>
        </w:rPr>
        <w:t>2.2.2.3 Un sistema rigido e precario: le criticit</w:t>
      </w:r>
      <w:r>
        <w:rPr>
          <w:rFonts w:hAnsi="Book Antiqua" w:hint="default"/>
          <w:sz w:val="28"/>
          <w:szCs w:val="28"/>
          <w:rtl w:val="0"/>
          <w:lang w:val="it-IT"/>
        </w:rPr>
        <w:t xml:space="preserve">à </w:t>
      </w:r>
      <w:r>
        <w:rPr>
          <w:rFonts w:ascii="Book Antiqua"/>
          <w:sz w:val="28"/>
          <w:szCs w:val="28"/>
          <w:rtl w:val="0"/>
          <w:lang w:val="it-IT"/>
        </w:rPr>
        <w:t>dopo la chiusura di Malagrotta</w:t>
      </w:r>
    </w:p>
    <w:p>
      <w:pPr>
        <w:pStyle w:val="Normal"/>
        <w:ind w:left="567" w:right="567" w:firstLine="0"/>
        <w:jc w:val="both"/>
        <w:rPr>
          <w:rFonts w:ascii="Book Antiqua Bold" w:cs="Book Antiqua Bold" w:hAnsi="Book Antiqua Bold" w:eastAsia="Book Antiqua Bold"/>
          <w:b w:val="1"/>
          <w:bCs w:val="1"/>
        </w:rPr>
      </w:pPr>
    </w:p>
    <w:p>
      <w:pPr>
        <w:pStyle w:val="Normal"/>
        <w:ind w:left="567" w:right="567" w:firstLine="0"/>
        <w:jc w:val="both"/>
        <w:rPr>
          <w:rFonts w:ascii="Book Antiqua" w:cs="Book Antiqua" w:hAnsi="Book Antiqua" w:eastAsia="Book Antiqua"/>
        </w:rPr>
      </w:pPr>
      <w:r>
        <w:rPr>
          <w:rFonts w:ascii="Book Antiqua"/>
          <w:rtl w:val="0"/>
          <w:lang w:val="it-IT"/>
        </w:rPr>
        <w:t xml:space="preserve">La gestione dei rifiuti a Roma per decenni si </w:t>
      </w:r>
      <w:r>
        <w:rPr>
          <w:rFonts w:hAnsi="Book Antiqua" w:hint="default"/>
          <w:rtl w:val="0"/>
          <w:lang w:val="it-IT"/>
        </w:rPr>
        <w:t xml:space="preserve">è </w:t>
      </w:r>
      <w:r>
        <w:rPr>
          <w:rFonts w:ascii="Book Antiqua"/>
          <w:rtl w:val="0"/>
          <w:lang w:val="it-IT"/>
        </w:rPr>
        <w:t>sostenuta sulla discarica di Malagrotta, dove veniva smaltita la quasi totalit</w:t>
      </w:r>
      <w:r>
        <w:rPr>
          <w:rFonts w:hAnsi="Book Antiqua" w:hint="default"/>
          <w:rtl w:val="0"/>
          <w:lang w:val="it-IT"/>
        </w:rPr>
        <w:t xml:space="preserve">à </w:t>
      </w:r>
      <w:r>
        <w:rPr>
          <w:rFonts w:ascii="Book Antiqua"/>
          <w:rtl w:val="0"/>
          <w:lang w:val="it-IT"/>
        </w:rPr>
        <w:t xml:space="preserve">dei rifiuti prodotti nella Capitale. Tali rifiuti erano peraltro allocati in discarica senza preventivo trattamento ossia come </w:t>
      </w:r>
      <w:r>
        <w:rPr>
          <w:rFonts w:hAnsi="Book Antiqua" w:hint="default"/>
          <w:rtl w:val="0"/>
          <w:lang w:val="it-IT"/>
        </w:rPr>
        <w:t>“</w:t>
      </w:r>
      <w:r>
        <w:rPr>
          <w:rFonts w:ascii="Book Antiqua"/>
          <w:rtl w:val="0"/>
          <w:lang w:val="it-IT"/>
        </w:rPr>
        <w:t>tal quale</w:t>
      </w:r>
      <w:r>
        <w:rPr>
          <w:rFonts w:hAnsi="Book Antiqua" w:hint="default"/>
          <w:rtl w:val="0"/>
          <w:lang w:val="it-IT"/>
        </w:rPr>
        <w:t xml:space="preserve">” </w:t>
      </w:r>
      <w:r>
        <w:rPr>
          <w:rFonts w:ascii="Book Antiqua"/>
          <w:rtl w:val="0"/>
          <w:lang w:val="it-IT"/>
        </w:rPr>
        <w:t>soprattutto per una ragione economica giacch</w:t>
      </w:r>
      <w:r>
        <w:rPr>
          <w:rFonts w:hAnsi="Book Antiqua" w:hint="default"/>
          <w:rtl w:val="0"/>
          <w:lang w:val="it-IT"/>
        </w:rPr>
        <w:t xml:space="preserve">é </w:t>
      </w:r>
      <w:r>
        <w:rPr>
          <w:rFonts w:ascii="Book Antiqua"/>
          <w:rtl w:val="0"/>
          <w:lang w:val="it-IT"/>
        </w:rPr>
        <w:t>le tariffe di ingresso erano molto basse. I vantaggi finanziari derivanti da questi costi contenuti hanno, purtroppo, fatto passare in secondo piano sia l</w:t>
      </w:r>
      <w:r>
        <w:rPr>
          <w:rFonts w:hAnsi="Book Antiqua" w:hint="default"/>
          <w:rtl w:val="0"/>
          <w:lang w:val="it-IT"/>
        </w:rPr>
        <w:t>’</w:t>
      </w:r>
      <w:r>
        <w:rPr>
          <w:rFonts w:ascii="Book Antiqua"/>
          <w:rtl w:val="0"/>
          <w:lang w:val="it-IT"/>
        </w:rPr>
        <w:t xml:space="preserve">enorme questione ambientale che il rispetto delle leggi. Tanto </w:t>
      </w:r>
      <w:r>
        <w:rPr>
          <w:rFonts w:hAnsi="Book Antiqua" w:hint="default"/>
          <w:rtl w:val="0"/>
          <w:lang w:val="it-IT"/>
        </w:rPr>
        <w:t xml:space="preserve">è </w:t>
      </w:r>
      <w:r>
        <w:rPr>
          <w:rFonts w:ascii="Book Antiqua"/>
          <w:rtl w:val="0"/>
          <w:lang w:val="it-IT"/>
        </w:rPr>
        <w:t>vero che coloro che hanno governato la regione Lazio ed il comune di Roma, almeno fino all</w:t>
      </w:r>
      <w:r>
        <w:rPr>
          <w:rFonts w:hAnsi="Book Antiqua" w:hint="default"/>
          <w:rtl w:val="0"/>
          <w:lang w:val="it-IT"/>
        </w:rPr>
        <w:t>’</w:t>
      </w:r>
      <w:r>
        <w:rPr>
          <w:rFonts w:ascii="Book Antiqua"/>
          <w:rtl w:val="0"/>
          <w:lang w:val="it-IT"/>
        </w:rPr>
        <w:t>apertura della procedura di infrazione europea 2011/4021, non solo hanno trascurato la corretta coltivazione della discarica che avrebbe previsto idonei presidi ambientali finalizzati a minimizzare la degradazione dei rifiuti urbani e la formazione di percolato ma si sono discostati notevolmente da una corretta gestione dei rifiuti cos</w:t>
      </w:r>
      <w:r>
        <w:rPr>
          <w:rFonts w:hAnsi="Book Antiqua" w:hint="default"/>
          <w:rtl w:val="0"/>
          <w:lang w:val="it-IT"/>
        </w:rPr>
        <w:t xml:space="preserve">ì </w:t>
      </w:r>
      <w:r>
        <w:rPr>
          <w:rFonts w:ascii="Book Antiqua"/>
          <w:rtl w:val="0"/>
          <w:lang w:val="it-IT"/>
        </w:rPr>
        <w:t>come normata dapprima dal decreto legislativo 5 febbraio 1997, n. 22 (cosiddetto decreto Ronchi) e poi dal decreto legislativo 3 aprile 2006, n. 152 (Testo unico ambientale), nonch</w:t>
      </w:r>
      <w:r>
        <w:rPr>
          <w:rFonts w:hAnsi="Book Antiqua" w:hint="default"/>
          <w:rtl w:val="0"/>
          <w:lang w:val="it-IT"/>
        </w:rPr>
        <w:t xml:space="preserve">é </w:t>
      </w:r>
      <w:r>
        <w:rPr>
          <w:rFonts w:ascii="Book Antiqua"/>
          <w:rtl w:val="0"/>
          <w:lang w:val="it-IT"/>
        </w:rPr>
        <w:t xml:space="preserve">da quanto previsto nella pianificazione regionale sempre disattesa. </w:t>
      </w:r>
    </w:p>
    <w:p>
      <w:pPr>
        <w:pStyle w:val="Normal"/>
        <w:ind w:left="567" w:right="567" w:firstLine="0"/>
        <w:jc w:val="both"/>
        <w:rPr>
          <w:rFonts w:ascii="Book Antiqua" w:cs="Book Antiqua" w:hAnsi="Book Antiqua" w:eastAsia="Book Antiqua"/>
        </w:rPr>
      </w:pPr>
      <w:r>
        <w:rPr>
          <w:rFonts w:ascii="Book Antiqua"/>
          <w:rtl w:val="0"/>
          <w:lang w:val="it-IT"/>
        </w:rPr>
        <w:t xml:space="preserve">Orbene, superare questi problemi strutturali non </w:t>
      </w:r>
      <w:r>
        <w:rPr>
          <w:rFonts w:hAnsi="Book Antiqua" w:hint="default"/>
          <w:rtl w:val="0"/>
          <w:lang w:val="it-IT"/>
        </w:rPr>
        <w:t xml:space="preserve">è </w:t>
      </w:r>
      <w:r>
        <w:rPr>
          <w:rFonts w:ascii="Book Antiqua"/>
          <w:rtl w:val="0"/>
          <w:lang w:val="it-IT"/>
        </w:rPr>
        <w:t xml:space="preserve">semplice ovvero un corretto ciclo dei rifiuti non si attua </w:t>
      </w:r>
      <w:r>
        <w:rPr>
          <w:rFonts w:hAnsi="Book Antiqua" w:hint="default"/>
          <w:rtl w:val="0"/>
          <w:lang w:val="it-IT"/>
        </w:rPr>
        <w:t>“</w:t>
      </w:r>
      <w:r>
        <w:rPr>
          <w:rFonts w:ascii="Book Antiqua"/>
          <w:rtl w:val="0"/>
          <w:lang w:val="it-IT"/>
        </w:rPr>
        <w:t>semplicemente</w:t>
      </w:r>
      <w:r>
        <w:rPr>
          <w:rFonts w:hAnsi="Book Antiqua" w:hint="default"/>
          <w:rtl w:val="0"/>
          <w:lang w:val="it-IT"/>
        </w:rPr>
        <w:t xml:space="preserve">” </w:t>
      </w:r>
      <w:r>
        <w:rPr>
          <w:rFonts w:ascii="Book Antiqua"/>
          <w:rtl w:val="0"/>
          <w:lang w:val="it-IT"/>
        </w:rPr>
        <w:t>chiudendo la discarica di Malagrotta. Infatti una volta chiuso l</w:t>
      </w:r>
      <w:r>
        <w:rPr>
          <w:rFonts w:hAnsi="Book Antiqua" w:hint="default"/>
          <w:rtl w:val="0"/>
          <w:lang w:val="it-IT"/>
        </w:rPr>
        <w:t>’</w:t>
      </w:r>
      <w:r>
        <w:rPr>
          <w:rFonts w:ascii="Book Antiqua"/>
          <w:rtl w:val="0"/>
          <w:lang w:val="it-IT"/>
        </w:rPr>
        <w:t>invaso sono iniziati i problemi, proprio perch</w:t>
      </w:r>
      <w:r>
        <w:rPr>
          <w:rFonts w:hAnsi="Book Antiqua" w:hint="default"/>
          <w:rtl w:val="0"/>
          <w:lang w:val="it-IT"/>
        </w:rPr>
        <w:t xml:space="preserve">é </w:t>
      </w:r>
      <w:r>
        <w:rPr>
          <w:rFonts w:ascii="Book Antiqua"/>
          <w:rtl w:val="0"/>
          <w:lang w:val="it-IT"/>
        </w:rPr>
        <w:t>chi negli anni doveva programmare e realizzare un</w:t>
      </w:r>
      <w:r>
        <w:rPr>
          <w:rFonts w:hAnsi="Book Antiqua" w:hint="default"/>
          <w:rtl w:val="0"/>
          <w:lang w:val="it-IT"/>
        </w:rPr>
        <w:t>’</w:t>
      </w:r>
      <w:r>
        <w:rPr>
          <w:rFonts w:ascii="Book Antiqua"/>
          <w:rtl w:val="0"/>
          <w:lang w:val="it-IT"/>
        </w:rPr>
        <w:t xml:space="preserve">alternativa non lo ha fatto. </w:t>
      </w:r>
    </w:p>
    <w:p>
      <w:pPr>
        <w:pStyle w:val="Normal"/>
        <w:ind w:left="567" w:right="567" w:firstLine="0"/>
        <w:jc w:val="both"/>
        <w:rPr>
          <w:rFonts w:ascii="Book Antiqua" w:cs="Book Antiqua" w:hAnsi="Book Antiqua" w:eastAsia="Book Antiqua"/>
        </w:rPr>
      </w:pPr>
      <w:r>
        <w:rPr>
          <w:rFonts w:ascii="Book Antiqua"/>
          <w:rtl w:val="0"/>
          <w:lang w:val="it-IT"/>
        </w:rPr>
        <w:t xml:space="preserve">Ad un sistema discaricocentrico se ne </w:t>
      </w:r>
      <w:r>
        <w:rPr>
          <w:rFonts w:hAnsi="Book Antiqua" w:hint="default"/>
          <w:rtl w:val="0"/>
          <w:lang w:val="it-IT"/>
        </w:rPr>
        <w:t xml:space="preserve">è </w:t>
      </w:r>
      <w:r>
        <w:rPr>
          <w:rFonts w:ascii="Book Antiqua"/>
          <w:rtl w:val="0"/>
          <w:lang w:val="it-IT"/>
        </w:rPr>
        <w:t xml:space="preserve">sostituito uno rigido e precario. </w:t>
      </w:r>
    </w:p>
    <w:p>
      <w:pPr>
        <w:pStyle w:val="Normal"/>
        <w:ind w:left="567" w:right="567" w:firstLine="0"/>
        <w:jc w:val="both"/>
        <w:rPr>
          <w:rFonts w:ascii="Book Antiqua" w:cs="Book Antiqua" w:hAnsi="Book Antiqua" w:eastAsia="Book Antiqua"/>
        </w:rPr>
      </w:pPr>
      <w:r>
        <w:rPr>
          <w:rFonts w:ascii="Book Antiqua"/>
          <w:rtl w:val="0"/>
          <w:lang w:val="it-IT"/>
        </w:rPr>
        <w:t>Nella relazione sul ciclo dei rifiuti di Roma Capitale presentata alla Commissione da AMA, il funzionamento del ciclo dei rifiuti a Roma viene cos</w:t>
      </w:r>
      <w:r>
        <w:rPr>
          <w:rFonts w:hAnsi="Book Antiqua" w:hint="default"/>
          <w:rtl w:val="0"/>
          <w:lang w:val="it-IT"/>
        </w:rPr>
        <w:t xml:space="preserve">ì </w:t>
      </w:r>
      <w:r>
        <w:rPr>
          <w:rFonts w:ascii="Book Antiqua"/>
          <w:rtl w:val="0"/>
          <w:lang w:val="it-IT"/>
        </w:rPr>
        <w:t>sinteticamente descritto</w:t>
      </w:r>
      <w:r>
        <w:rPr>
          <w:rFonts w:ascii="Book Antiqua" w:cs="Book Antiqua" w:hAnsi="Book Antiqua" w:eastAsia="Book Antiqua"/>
          <w:vertAlign w:val="superscript"/>
          <w:rtl w:val="0"/>
        </w:rPr>
        <w:footnoteReference w:id="22"/>
      </w:r>
      <w:r>
        <w:rPr>
          <w:rFonts w:ascii="Book Antiqua"/>
          <w:rtl w:val="0"/>
          <w:lang w:val="it-IT"/>
        </w:rPr>
        <w:t xml:space="preserve">. </w:t>
      </w:r>
    </w:p>
    <w:p>
      <w:pPr>
        <w:pStyle w:val="Elenco a colori - Colore 11"/>
        <w:numPr>
          <w:ilvl w:val="0"/>
          <w:numId w:val="27"/>
        </w:numPr>
        <w:tabs>
          <w:tab w:val="num" w:pos="537"/>
          <w:tab w:val="clear" w:pos="567"/>
        </w:tabs>
        <w:bidi w:val="0"/>
        <w:spacing w:after="0" w:line="240" w:lineRule="auto"/>
        <w:ind w:left="537" w:right="567" w:hanging="330"/>
        <w:jc w:val="both"/>
        <w:rPr>
          <w:rFonts w:ascii="Book Antiqua" w:cs="Book Antiqua" w:hAnsi="Book Antiqua" w:eastAsia="Book Antiqua"/>
          <w:position w:val="0"/>
          <w:sz w:val="22"/>
          <w:szCs w:val="22"/>
          <w:rtl w:val="0"/>
        </w:rPr>
      </w:pPr>
      <w:r>
        <w:rPr>
          <w:rFonts w:ascii="Book Antiqua"/>
          <w:sz w:val="24"/>
          <w:szCs w:val="24"/>
          <w:rtl w:val="0"/>
          <w:lang w:val="it-IT"/>
        </w:rPr>
        <w:t>I rifiuti urbani residui (RUR), cio</w:t>
      </w:r>
      <w:r>
        <w:rPr>
          <w:rFonts w:hAnsi="Book Antiqua" w:hint="default"/>
          <w:sz w:val="24"/>
          <w:szCs w:val="24"/>
          <w:rtl w:val="0"/>
          <w:lang w:val="it-IT"/>
        </w:rPr>
        <w:t xml:space="preserve">è </w:t>
      </w:r>
      <w:r>
        <w:rPr>
          <w:rFonts w:ascii="Book Antiqua"/>
          <w:sz w:val="24"/>
          <w:szCs w:val="24"/>
          <w:rtl w:val="0"/>
          <w:lang w:val="it-IT"/>
        </w:rPr>
        <w:t>quelli non consegnati a piattaforme di selezione e recupero ovvero ad impianti di compostaggio, sono conferiti ad impianti di trattamento meccanico biologico (TMB), tali che tutti i rifiuti urbani di Roma Capitale sono trattati al fine della minimizzazione del loro potenziale carico inquinante;</w:t>
      </w:r>
    </w:p>
    <w:p>
      <w:pPr>
        <w:pStyle w:val="Elenco a colori - Colore 11"/>
        <w:numPr>
          <w:ilvl w:val="0"/>
          <w:numId w:val="28"/>
        </w:numPr>
        <w:tabs>
          <w:tab w:val="num" w:pos="537"/>
          <w:tab w:val="clear" w:pos="567"/>
        </w:tabs>
        <w:bidi w:val="0"/>
        <w:spacing w:after="0" w:line="240" w:lineRule="auto"/>
        <w:ind w:left="537" w:right="567" w:hanging="330"/>
        <w:jc w:val="both"/>
        <w:rPr>
          <w:rFonts w:ascii="Book Antiqua" w:cs="Book Antiqua" w:hAnsi="Book Antiqua" w:eastAsia="Book Antiqua"/>
          <w:position w:val="0"/>
          <w:sz w:val="22"/>
          <w:szCs w:val="22"/>
          <w:rtl w:val="0"/>
        </w:rPr>
      </w:pPr>
      <w:r>
        <w:rPr>
          <w:rFonts w:ascii="Book Antiqua"/>
          <w:sz w:val="24"/>
          <w:szCs w:val="24"/>
          <w:rtl w:val="0"/>
          <w:lang w:val="it-IT"/>
        </w:rPr>
        <w:t>le matrici secche dei rifiuti urbani riciclabili (cellulose, vetro, metalli, alluminio, plastiche, legno e tessuti) sono interamente consegnate ad impianti di selezione e valorizzazione di prossimit</w:t>
      </w:r>
      <w:r>
        <w:rPr>
          <w:rFonts w:hAnsi="Book Antiqua" w:hint="default"/>
          <w:sz w:val="24"/>
          <w:szCs w:val="24"/>
          <w:rtl w:val="0"/>
          <w:lang w:val="it-IT"/>
        </w:rPr>
        <w:t>à</w:t>
      </w:r>
      <w:r>
        <w:rPr>
          <w:rFonts w:ascii="Book Antiqua"/>
          <w:sz w:val="24"/>
          <w:szCs w:val="24"/>
          <w:rtl w:val="0"/>
          <w:lang w:val="it-IT"/>
        </w:rPr>
        <w:t>, perlopi</w:t>
      </w:r>
      <w:r>
        <w:rPr>
          <w:rFonts w:hAnsi="Book Antiqua" w:hint="default"/>
          <w:sz w:val="24"/>
          <w:szCs w:val="24"/>
          <w:rtl w:val="0"/>
          <w:lang w:val="it-IT"/>
        </w:rPr>
        <w:t xml:space="preserve">ù </w:t>
      </w:r>
      <w:r>
        <w:rPr>
          <w:rFonts w:ascii="Book Antiqua"/>
          <w:sz w:val="24"/>
          <w:szCs w:val="24"/>
          <w:rtl w:val="0"/>
          <w:lang w:val="it-IT"/>
        </w:rPr>
        <w:t>dislocati nel perimetro metropolitano di Roma Capitale e che hanno sufficiente capacit</w:t>
      </w:r>
      <w:r>
        <w:rPr>
          <w:rFonts w:hAnsi="Book Antiqua" w:hint="default"/>
          <w:sz w:val="24"/>
          <w:szCs w:val="24"/>
          <w:rtl w:val="0"/>
          <w:lang w:val="it-IT"/>
        </w:rPr>
        <w:t xml:space="preserve">à </w:t>
      </w:r>
      <w:r>
        <w:rPr>
          <w:rFonts w:ascii="Book Antiqua"/>
          <w:sz w:val="24"/>
          <w:szCs w:val="24"/>
          <w:rtl w:val="0"/>
          <w:lang w:val="it-IT"/>
        </w:rPr>
        <w:t>ricettiva;</w:t>
      </w:r>
    </w:p>
    <w:p>
      <w:pPr>
        <w:pStyle w:val="Elenco a colori - Colore 11"/>
        <w:numPr>
          <w:ilvl w:val="0"/>
          <w:numId w:val="29"/>
        </w:numPr>
        <w:tabs>
          <w:tab w:val="num" w:pos="537"/>
          <w:tab w:val="clear" w:pos="567"/>
        </w:tabs>
        <w:bidi w:val="0"/>
        <w:spacing w:after="0" w:line="240" w:lineRule="auto"/>
        <w:ind w:left="537" w:right="567" w:hanging="330"/>
        <w:jc w:val="both"/>
        <w:rPr>
          <w:rFonts w:ascii="Book Antiqua" w:cs="Book Antiqua" w:hAnsi="Book Antiqua" w:eastAsia="Book Antiqua"/>
          <w:position w:val="0"/>
          <w:sz w:val="22"/>
          <w:szCs w:val="22"/>
          <w:rtl w:val="0"/>
        </w:rPr>
      </w:pPr>
      <w:r>
        <w:rPr>
          <w:rFonts w:ascii="Book Antiqua"/>
          <w:sz w:val="24"/>
          <w:szCs w:val="24"/>
          <w:rtl w:val="0"/>
          <w:lang w:val="it-IT"/>
        </w:rPr>
        <w:t>la componente dei rifiuti urbani biodegradabili (RUB)</w:t>
      </w:r>
      <w:r>
        <w:rPr>
          <w:rFonts w:ascii="Book Antiqua" w:cs="Book Antiqua" w:hAnsi="Book Antiqua" w:eastAsia="Book Antiqua"/>
          <w:sz w:val="24"/>
          <w:szCs w:val="24"/>
          <w:vertAlign w:val="superscript"/>
        </w:rPr>
        <w:footnoteReference w:id="23"/>
      </w:r>
      <w:r>
        <w:rPr>
          <w:rFonts w:ascii="Book Antiqua"/>
          <w:sz w:val="24"/>
          <w:szCs w:val="24"/>
          <w:rtl w:val="0"/>
          <w:lang w:val="it-IT"/>
        </w:rPr>
        <w:t xml:space="preserve">, proveniente dalla raccolta differenziata, </w:t>
      </w:r>
      <w:r>
        <w:rPr>
          <w:rFonts w:hAnsi="Book Antiqua" w:hint="default"/>
          <w:sz w:val="24"/>
          <w:szCs w:val="24"/>
          <w:rtl w:val="0"/>
          <w:lang w:val="it-IT"/>
        </w:rPr>
        <w:t xml:space="preserve">è </w:t>
      </w:r>
      <w:r>
        <w:rPr>
          <w:rFonts w:ascii="Book Antiqua"/>
          <w:sz w:val="24"/>
          <w:szCs w:val="24"/>
          <w:rtl w:val="0"/>
          <w:lang w:val="it-IT"/>
        </w:rPr>
        <w:t>avviata al trattamento nell'impianto di compostaggio di Maccarese, di propriet</w:t>
      </w:r>
      <w:r>
        <w:rPr>
          <w:rFonts w:hAnsi="Book Antiqua" w:hint="default"/>
          <w:sz w:val="24"/>
          <w:szCs w:val="24"/>
          <w:rtl w:val="0"/>
          <w:lang w:val="it-IT"/>
        </w:rPr>
        <w:t xml:space="preserve">à </w:t>
      </w:r>
      <w:r>
        <w:rPr>
          <w:rFonts w:ascii="Book Antiqua"/>
          <w:sz w:val="24"/>
          <w:szCs w:val="24"/>
          <w:rtl w:val="0"/>
          <w:lang w:val="it-IT"/>
        </w:rPr>
        <w:t>AMA, nel quale vengono lavorati circa il 10 per cento dei RUB raccolti differenziati in citt</w:t>
      </w:r>
      <w:r>
        <w:rPr>
          <w:rFonts w:hAnsi="Book Antiqua" w:hint="default"/>
          <w:sz w:val="24"/>
          <w:szCs w:val="24"/>
          <w:rtl w:val="0"/>
          <w:lang w:val="it-IT"/>
        </w:rPr>
        <w:t>à</w:t>
      </w:r>
      <w:r>
        <w:rPr>
          <w:rFonts w:ascii="Book Antiqua"/>
          <w:sz w:val="24"/>
          <w:szCs w:val="24"/>
          <w:rtl w:val="0"/>
          <w:lang w:val="it-IT"/>
        </w:rPr>
        <w:t>; il restante 90 per cento viene conferito giornalmente in impianti autorizzati delle regioni Emilia Romagna, Veneto, Lombardia e Friuli; presso l</w:t>
      </w:r>
      <w:r>
        <w:rPr>
          <w:rFonts w:hAnsi="Book Antiqua" w:hint="default"/>
          <w:sz w:val="24"/>
          <w:szCs w:val="24"/>
          <w:rtl w:val="0"/>
          <w:lang w:val="it-IT"/>
        </w:rPr>
        <w:t>’</w:t>
      </w:r>
      <w:r>
        <w:rPr>
          <w:rFonts w:ascii="Book Antiqua"/>
          <w:sz w:val="24"/>
          <w:szCs w:val="24"/>
          <w:rtl w:val="0"/>
          <w:lang w:val="it-IT"/>
        </w:rPr>
        <w:t>impianto di Maccarese si effettuano operazioni di trasferenza dei RUB destinati al trattamento a distanza;</w:t>
      </w:r>
    </w:p>
    <w:p>
      <w:pPr>
        <w:pStyle w:val="Elenco a colori - Colore 11"/>
        <w:numPr>
          <w:ilvl w:val="0"/>
          <w:numId w:val="30"/>
        </w:numPr>
        <w:tabs>
          <w:tab w:val="num" w:pos="537"/>
          <w:tab w:val="clear" w:pos="567"/>
        </w:tabs>
        <w:bidi w:val="0"/>
        <w:spacing w:after="0" w:line="240" w:lineRule="auto"/>
        <w:ind w:left="537" w:right="567" w:hanging="330"/>
        <w:jc w:val="both"/>
        <w:rPr>
          <w:rFonts w:ascii="Book Antiqua" w:cs="Book Antiqua" w:hAnsi="Book Antiqua" w:eastAsia="Book Antiqua"/>
          <w:position w:val="0"/>
          <w:sz w:val="22"/>
          <w:szCs w:val="22"/>
          <w:rtl w:val="0"/>
        </w:rPr>
      </w:pPr>
      <w:r>
        <w:rPr>
          <w:rFonts w:ascii="Book Antiqua"/>
          <w:sz w:val="24"/>
          <w:szCs w:val="24"/>
          <w:rtl w:val="0"/>
          <w:lang w:val="it-IT"/>
        </w:rPr>
        <w:t>i RUR trattati nei due impianti TMB di propriet</w:t>
      </w:r>
      <w:r>
        <w:rPr>
          <w:rFonts w:hAnsi="Book Antiqua" w:hint="default"/>
          <w:sz w:val="24"/>
          <w:szCs w:val="24"/>
          <w:rtl w:val="0"/>
          <w:lang w:val="it-IT"/>
        </w:rPr>
        <w:t xml:space="preserve">à </w:t>
      </w:r>
      <w:r>
        <w:rPr>
          <w:rFonts w:ascii="Book Antiqua"/>
          <w:sz w:val="24"/>
          <w:szCs w:val="24"/>
          <w:rtl w:val="0"/>
          <w:lang w:val="it-IT"/>
        </w:rPr>
        <w:t>AMA (Salario e Rocca Cencia) e nei due di propriet</w:t>
      </w:r>
      <w:r>
        <w:rPr>
          <w:rFonts w:hAnsi="Book Antiqua" w:hint="default"/>
          <w:sz w:val="24"/>
          <w:szCs w:val="24"/>
          <w:rtl w:val="0"/>
          <w:lang w:val="it-IT"/>
        </w:rPr>
        <w:t xml:space="preserve">à </w:t>
      </w:r>
      <w:r>
        <w:rPr>
          <w:rFonts w:ascii="Book Antiqua"/>
          <w:sz w:val="24"/>
          <w:szCs w:val="24"/>
          <w:rtl w:val="0"/>
          <w:lang w:val="it-IT"/>
        </w:rPr>
        <w:t>Co.La.Ri. (Malagrotta 1 e Malagrotta 2) danno luogo a tre flussi di rifiuti in uscita: un flusso di materiale combustibile (CDR) che corrisponde a circa il 25 per cento dei RUR in ingresso, un flusso di frazione organica stabilizzata (FOS), corrispondente a circa il 35 per cento dei RUR in ingresso e un flusso di scarti di processo (sovvalli) corrispondenti a circa il 30 per cento dei RUR conferiti all'impianto; le perdite di processo (emissioni gassose e percolati) sono circa il 10 per cento;</w:t>
      </w:r>
    </w:p>
    <w:p>
      <w:pPr>
        <w:pStyle w:val="Elenco a colori - Colore 11"/>
        <w:numPr>
          <w:ilvl w:val="0"/>
          <w:numId w:val="31"/>
        </w:numPr>
        <w:tabs>
          <w:tab w:val="num" w:pos="537"/>
          <w:tab w:val="clear" w:pos="567"/>
        </w:tabs>
        <w:bidi w:val="0"/>
        <w:spacing w:after="0" w:line="240" w:lineRule="auto"/>
        <w:ind w:left="537" w:right="567" w:hanging="330"/>
        <w:jc w:val="both"/>
        <w:rPr>
          <w:rFonts w:ascii="Book Antiqua" w:cs="Book Antiqua" w:hAnsi="Book Antiqua" w:eastAsia="Book Antiqua"/>
          <w:position w:val="0"/>
          <w:sz w:val="22"/>
          <w:szCs w:val="22"/>
          <w:rtl w:val="0"/>
        </w:rPr>
      </w:pPr>
      <w:r>
        <w:rPr>
          <w:rFonts w:ascii="Book Antiqua"/>
          <w:sz w:val="24"/>
          <w:szCs w:val="24"/>
          <w:rtl w:val="0"/>
          <w:lang w:val="it-IT"/>
        </w:rPr>
        <w:t xml:space="preserve">il CDR estratto dai processi di TMB </w:t>
      </w:r>
      <w:r>
        <w:rPr>
          <w:rFonts w:hAnsi="Book Antiqua" w:hint="default"/>
          <w:sz w:val="24"/>
          <w:szCs w:val="24"/>
          <w:rtl w:val="0"/>
          <w:lang w:val="it-IT"/>
        </w:rPr>
        <w:t xml:space="preserve">è </w:t>
      </w:r>
      <w:r>
        <w:rPr>
          <w:rFonts w:ascii="Book Antiqua"/>
          <w:sz w:val="24"/>
          <w:szCs w:val="24"/>
          <w:rtl w:val="0"/>
          <w:lang w:val="it-IT"/>
        </w:rPr>
        <w:t xml:space="preserve">prevalentemente recuperato ad energia negli impianti di incenerimento situati a Colleferro e San Vittore, nella regione Lazio (70 per cento del CDR prodotto a Roma) mentre il rimanente </w:t>
      </w:r>
      <w:r>
        <w:rPr>
          <w:rFonts w:hAnsi="Book Antiqua" w:hint="default"/>
          <w:sz w:val="24"/>
          <w:szCs w:val="24"/>
          <w:rtl w:val="0"/>
          <w:lang w:val="it-IT"/>
        </w:rPr>
        <w:t xml:space="preserve">è </w:t>
      </w:r>
      <w:r>
        <w:rPr>
          <w:rFonts w:ascii="Book Antiqua"/>
          <w:sz w:val="24"/>
          <w:szCs w:val="24"/>
          <w:rtl w:val="0"/>
          <w:lang w:val="it-IT"/>
        </w:rPr>
        <w:t>collocato sul mercato nazionale a valle di gare (AMA) o di accordi commerciali (Co.La.Ri.)</w:t>
      </w:r>
    </w:p>
    <w:p>
      <w:pPr>
        <w:pStyle w:val="Elenco a colori - Colore 11"/>
        <w:numPr>
          <w:ilvl w:val="0"/>
          <w:numId w:val="32"/>
        </w:numPr>
        <w:tabs>
          <w:tab w:val="num" w:pos="537"/>
          <w:tab w:val="clear" w:pos="567"/>
        </w:tabs>
        <w:bidi w:val="0"/>
        <w:spacing w:after="0" w:line="240" w:lineRule="auto"/>
        <w:ind w:left="537" w:right="567" w:hanging="330"/>
        <w:jc w:val="both"/>
        <w:rPr>
          <w:rFonts w:ascii="Book Antiqua" w:cs="Book Antiqua" w:hAnsi="Book Antiqua" w:eastAsia="Book Antiqua"/>
          <w:position w:val="0"/>
          <w:sz w:val="22"/>
          <w:szCs w:val="22"/>
          <w:rtl w:val="0"/>
        </w:rPr>
      </w:pPr>
      <w:r>
        <w:rPr>
          <w:rFonts w:ascii="Book Antiqua"/>
          <w:sz w:val="24"/>
          <w:szCs w:val="24"/>
          <w:rtl w:val="0"/>
          <w:lang w:val="it-IT"/>
        </w:rPr>
        <w:t xml:space="preserve">la FOS </w:t>
      </w:r>
      <w:r>
        <w:rPr>
          <w:rFonts w:hAnsi="Book Antiqua" w:hint="default"/>
          <w:sz w:val="24"/>
          <w:szCs w:val="24"/>
          <w:rtl w:val="0"/>
          <w:lang w:val="it-IT"/>
        </w:rPr>
        <w:t xml:space="preserve">è </w:t>
      </w:r>
      <w:r>
        <w:rPr>
          <w:rFonts w:ascii="Book Antiqua"/>
          <w:sz w:val="24"/>
          <w:szCs w:val="24"/>
          <w:rtl w:val="0"/>
          <w:lang w:val="it-IT"/>
        </w:rPr>
        <w:t>inviata fuori dal territorio regionale, poich</w:t>
      </w:r>
      <w:r>
        <w:rPr>
          <w:rFonts w:hAnsi="Book Antiqua" w:hint="default"/>
          <w:sz w:val="24"/>
          <w:szCs w:val="24"/>
          <w:rtl w:val="0"/>
          <w:lang w:val="it-IT"/>
        </w:rPr>
        <w:t xml:space="preserve">é </w:t>
      </w:r>
      <w:r>
        <w:rPr>
          <w:rFonts w:ascii="Book Antiqua"/>
          <w:sz w:val="24"/>
          <w:szCs w:val="24"/>
          <w:rtl w:val="0"/>
          <w:lang w:val="it-IT"/>
        </w:rPr>
        <w:t>non vi sono disponibilit</w:t>
      </w:r>
      <w:r>
        <w:rPr>
          <w:rFonts w:hAnsi="Book Antiqua" w:hint="default"/>
          <w:sz w:val="24"/>
          <w:szCs w:val="24"/>
          <w:rtl w:val="0"/>
          <w:lang w:val="it-IT"/>
        </w:rPr>
        <w:t>à</w:t>
      </w:r>
      <w:r>
        <w:rPr>
          <w:rFonts w:ascii="Book Antiqua"/>
          <w:sz w:val="24"/>
          <w:szCs w:val="24"/>
          <w:rtl w:val="0"/>
          <w:lang w:val="it-IT"/>
        </w:rPr>
        <w:t xml:space="preserve">, di recupero o di smaltimento, direttamente offerte ad AMA; la FOS ottenuta dai RUR generati a Roma e ora accettati dalla SAF S.p.A di Frosinone (circa 200 tonnellate/giorno per 6 giorni/settimana) </w:t>
      </w:r>
      <w:r>
        <w:rPr>
          <w:rFonts w:hAnsi="Book Antiqua" w:hint="default"/>
          <w:sz w:val="24"/>
          <w:szCs w:val="24"/>
          <w:rtl w:val="0"/>
          <w:lang w:val="it-IT"/>
        </w:rPr>
        <w:t xml:space="preserve">è </w:t>
      </w:r>
      <w:r>
        <w:rPr>
          <w:rFonts w:ascii="Book Antiqua"/>
          <w:sz w:val="24"/>
          <w:szCs w:val="24"/>
          <w:rtl w:val="0"/>
          <w:lang w:val="it-IT"/>
        </w:rPr>
        <w:t>collocata in una discarica di servizio sita in quella provincia;</w:t>
      </w:r>
    </w:p>
    <w:p>
      <w:pPr>
        <w:pStyle w:val="Elenco a colori - Colore 11"/>
        <w:numPr>
          <w:ilvl w:val="0"/>
          <w:numId w:val="33"/>
        </w:numPr>
        <w:tabs>
          <w:tab w:val="num" w:pos="537"/>
          <w:tab w:val="clear" w:pos="567"/>
        </w:tabs>
        <w:bidi w:val="0"/>
        <w:spacing w:after="0" w:line="240" w:lineRule="auto"/>
        <w:ind w:left="537" w:right="567" w:hanging="330"/>
        <w:jc w:val="both"/>
        <w:rPr>
          <w:rFonts w:ascii="Book Antiqua" w:cs="Book Antiqua" w:hAnsi="Book Antiqua" w:eastAsia="Book Antiqua"/>
          <w:position w:val="0"/>
          <w:sz w:val="22"/>
          <w:szCs w:val="22"/>
          <w:rtl w:val="0"/>
        </w:rPr>
      </w:pPr>
      <w:r>
        <w:rPr>
          <w:rFonts w:ascii="Book Antiqua"/>
          <w:sz w:val="24"/>
          <w:szCs w:val="24"/>
          <w:rtl w:val="0"/>
          <w:lang w:val="it-IT"/>
        </w:rPr>
        <w:t xml:space="preserve">gli scarti di lavorazione dei TMB (sovvalli) sono inviati fuori dal territorio regionale, sia a recupero che a smaltimento, per effetto di contratti stipulati a valle di gare; </w:t>
      </w:r>
    </w:p>
    <w:p>
      <w:pPr>
        <w:pStyle w:val="Elenco a colori - Colore 11"/>
        <w:numPr>
          <w:ilvl w:val="0"/>
          <w:numId w:val="34"/>
        </w:numPr>
        <w:tabs>
          <w:tab w:val="num" w:pos="537"/>
          <w:tab w:val="clear" w:pos="567"/>
        </w:tabs>
        <w:bidi w:val="0"/>
        <w:spacing w:after="0" w:line="240" w:lineRule="auto"/>
        <w:ind w:left="537" w:right="567" w:hanging="330"/>
        <w:jc w:val="both"/>
        <w:rPr>
          <w:rFonts w:ascii="Book Antiqua" w:cs="Book Antiqua" w:hAnsi="Book Antiqua" w:eastAsia="Book Antiqua"/>
          <w:position w:val="0"/>
          <w:sz w:val="22"/>
          <w:szCs w:val="22"/>
          <w:rtl w:val="0"/>
        </w:rPr>
      </w:pPr>
      <w:r>
        <w:rPr>
          <w:rFonts w:ascii="Book Antiqua"/>
          <w:sz w:val="24"/>
          <w:szCs w:val="24"/>
          <w:rtl w:val="0"/>
          <w:lang w:val="it-IT"/>
        </w:rPr>
        <w:t xml:space="preserve">una quota di RUR (circa il 20 per cento), non conferibili negli impianti TMB, </w:t>
      </w:r>
      <w:r>
        <w:rPr>
          <w:rFonts w:hAnsi="Book Antiqua" w:hint="default"/>
          <w:sz w:val="24"/>
          <w:szCs w:val="24"/>
          <w:rtl w:val="0"/>
          <w:lang w:val="it-IT"/>
        </w:rPr>
        <w:t xml:space="preserve">è </w:t>
      </w:r>
      <w:r>
        <w:rPr>
          <w:rFonts w:ascii="Book Antiqua"/>
          <w:sz w:val="24"/>
          <w:szCs w:val="24"/>
          <w:rtl w:val="0"/>
          <w:lang w:val="it-IT"/>
        </w:rPr>
        <w:t>stata lavorata per anni in impianto di tritovagliatura di propriet</w:t>
      </w:r>
      <w:r>
        <w:rPr>
          <w:rFonts w:hAnsi="Book Antiqua" w:hint="default"/>
          <w:sz w:val="24"/>
          <w:szCs w:val="24"/>
          <w:rtl w:val="0"/>
          <w:lang w:val="it-IT"/>
        </w:rPr>
        <w:t xml:space="preserve">à </w:t>
      </w:r>
      <w:r>
        <w:rPr>
          <w:rFonts w:ascii="Book Antiqua"/>
          <w:sz w:val="24"/>
          <w:szCs w:val="24"/>
          <w:rtl w:val="0"/>
          <w:lang w:val="it-IT"/>
        </w:rPr>
        <w:t>del Co.La.Ri. e dal mese di giugno 2015, per alcuni periodi, in un impianto mobile di tritovagliatura collocato nel sito AMA di Rocca Cencia; i rifiuti in uscita dall'impianto mobile di tritovagliatura di propriet</w:t>
      </w:r>
      <w:r>
        <w:rPr>
          <w:rFonts w:hAnsi="Book Antiqua" w:hint="default"/>
          <w:sz w:val="24"/>
          <w:szCs w:val="24"/>
          <w:rtl w:val="0"/>
          <w:lang w:val="it-IT"/>
        </w:rPr>
        <w:t xml:space="preserve">à </w:t>
      </w:r>
      <w:r>
        <w:rPr>
          <w:rFonts w:ascii="Book Antiqua"/>
          <w:sz w:val="24"/>
          <w:szCs w:val="24"/>
          <w:rtl w:val="0"/>
          <w:lang w:val="it-IT"/>
        </w:rPr>
        <w:t>AMA (FST e FUT) sono inviati fuori regione per la combustione con recupero di energia (la frazione secca tritovagliata) o per il recupero in impianti autorizzati (la frazione umida tritovagliata); ci</w:t>
      </w:r>
      <w:r>
        <w:rPr>
          <w:rFonts w:hAnsi="Book Antiqua" w:hint="default"/>
          <w:sz w:val="24"/>
          <w:szCs w:val="24"/>
          <w:rtl w:val="0"/>
          <w:lang w:val="it-IT"/>
        </w:rPr>
        <w:t xml:space="preserve">ò è </w:t>
      </w:r>
      <w:r>
        <w:rPr>
          <w:rFonts w:ascii="Book Antiqua"/>
          <w:sz w:val="24"/>
          <w:szCs w:val="24"/>
          <w:rtl w:val="0"/>
          <w:lang w:val="it-IT"/>
        </w:rPr>
        <w:t>avvenuto per effetto di contratti stipulati a valle di gara;</w:t>
      </w:r>
    </w:p>
    <w:p>
      <w:pPr>
        <w:pStyle w:val="Elenco a colori - Colore 11"/>
        <w:numPr>
          <w:ilvl w:val="0"/>
          <w:numId w:val="35"/>
        </w:numPr>
        <w:tabs>
          <w:tab w:val="num" w:pos="537"/>
          <w:tab w:val="clear" w:pos="567"/>
        </w:tabs>
        <w:bidi w:val="0"/>
        <w:spacing w:after="0" w:line="240" w:lineRule="auto"/>
        <w:ind w:left="537" w:right="567" w:hanging="330"/>
        <w:jc w:val="both"/>
        <w:rPr>
          <w:rFonts w:ascii="Book Antiqua" w:cs="Book Antiqua" w:hAnsi="Book Antiqua" w:eastAsia="Book Antiqua"/>
          <w:position w:val="0"/>
          <w:sz w:val="22"/>
          <w:szCs w:val="22"/>
          <w:rtl w:val="0"/>
        </w:rPr>
      </w:pPr>
      <w:r>
        <w:rPr>
          <w:rFonts w:ascii="Book Antiqua"/>
          <w:sz w:val="24"/>
          <w:szCs w:val="24"/>
          <w:rtl w:val="0"/>
          <w:lang w:val="it-IT"/>
        </w:rPr>
        <w:t>una certa quantit</w:t>
      </w:r>
      <w:r>
        <w:rPr>
          <w:rFonts w:hAnsi="Book Antiqua" w:hint="default"/>
          <w:sz w:val="24"/>
          <w:szCs w:val="24"/>
          <w:rtl w:val="0"/>
          <w:lang w:val="it-IT"/>
        </w:rPr>
        <w:t xml:space="preserve">à </w:t>
      </w:r>
      <w:r>
        <w:rPr>
          <w:rFonts w:ascii="Book Antiqua"/>
          <w:sz w:val="24"/>
          <w:szCs w:val="24"/>
          <w:rtl w:val="0"/>
          <w:lang w:val="it-IT"/>
        </w:rPr>
        <w:t>di RUR viene trasportata all</w:t>
      </w:r>
      <w:r>
        <w:rPr>
          <w:rFonts w:hAnsi="Book Antiqua" w:hint="default"/>
          <w:sz w:val="24"/>
          <w:szCs w:val="24"/>
          <w:rtl w:val="0"/>
          <w:lang w:val="it-IT"/>
        </w:rPr>
        <w:t>’</w:t>
      </w:r>
      <w:r>
        <w:rPr>
          <w:rFonts w:ascii="Book Antiqua"/>
          <w:sz w:val="24"/>
          <w:szCs w:val="24"/>
          <w:rtl w:val="0"/>
          <w:lang w:val="it-IT"/>
        </w:rPr>
        <w:t xml:space="preserve">estero. </w:t>
      </w:r>
    </w:p>
    <w:p>
      <w:pPr>
        <w:pStyle w:val="Elenco a colori - Colore 11"/>
        <w:spacing w:after="0" w:line="240" w:lineRule="auto"/>
        <w:ind w:left="567" w:right="567" w:firstLine="0"/>
        <w:jc w:val="both"/>
        <w:rPr>
          <w:rFonts w:ascii="Book Antiqua" w:cs="Book Antiqua" w:hAnsi="Book Antiqua" w:eastAsia="Book Antiqua"/>
          <w:sz w:val="24"/>
          <w:szCs w:val="24"/>
        </w:rPr>
      </w:pPr>
    </w:p>
    <w:p>
      <w:pPr>
        <w:pStyle w:val="Elenco a colori - Colore 11"/>
        <w:spacing w:after="0" w:line="240" w:lineRule="auto"/>
        <w:ind w:left="567" w:right="567" w:firstLine="0"/>
        <w:jc w:val="both"/>
        <w:rPr>
          <w:rFonts w:ascii="Book Antiqua" w:cs="Book Antiqua" w:hAnsi="Book Antiqua" w:eastAsia="Book Antiqua"/>
          <w:sz w:val="24"/>
          <w:szCs w:val="24"/>
        </w:rPr>
      </w:pPr>
      <w:r>
        <w:rPr>
          <w:rFonts w:ascii="Book Antiqua"/>
          <w:sz w:val="24"/>
          <w:szCs w:val="24"/>
          <w:rtl w:val="0"/>
          <w:lang w:val="it-IT"/>
        </w:rPr>
        <w:t>Ci</w:t>
      </w:r>
      <w:r>
        <w:rPr>
          <w:rFonts w:hAnsi="Book Antiqua" w:hint="default"/>
          <w:sz w:val="24"/>
          <w:szCs w:val="24"/>
          <w:rtl w:val="0"/>
          <w:lang w:val="it-IT"/>
        </w:rPr>
        <w:t xml:space="preserve">ò </w:t>
      </w:r>
      <w:r>
        <w:rPr>
          <w:rFonts w:ascii="Book Antiqua"/>
          <w:sz w:val="24"/>
          <w:szCs w:val="24"/>
          <w:rtl w:val="0"/>
          <w:lang w:val="it-IT"/>
        </w:rPr>
        <w:t>detto occorre sottolineare, come evidenziato dai rappresentanti delle istituzioni nel corso di numerose audizioni, che il sistema impiantistico presenta fragilit</w:t>
      </w:r>
      <w:r>
        <w:rPr>
          <w:rFonts w:hAnsi="Book Antiqua" w:hint="default"/>
          <w:sz w:val="24"/>
          <w:szCs w:val="24"/>
          <w:rtl w:val="0"/>
          <w:lang w:val="it-IT"/>
        </w:rPr>
        <w:t>à</w:t>
      </w:r>
      <w:r>
        <w:rPr>
          <w:rFonts w:ascii="Book Antiqua"/>
          <w:sz w:val="24"/>
          <w:szCs w:val="24"/>
          <w:rtl w:val="0"/>
          <w:lang w:val="it-IT"/>
        </w:rPr>
        <w:t>, rigidit</w:t>
      </w:r>
      <w:r>
        <w:rPr>
          <w:rFonts w:hAnsi="Book Antiqua" w:hint="default"/>
          <w:sz w:val="24"/>
          <w:szCs w:val="24"/>
          <w:rtl w:val="0"/>
          <w:lang w:val="it-IT"/>
        </w:rPr>
        <w:t xml:space="preserve">à </w:t>
      </w:r>
      <w:r>
        <w:rPr>
          <w:rFonts w:ascii="Book Antiqua"/>
          <w:sz w:val="24"/>
          <w:szCs w:val="24"/>
          <w:rtl w:val="0"/>
          <w:lang w:val="it-IT"/>
        </w:rPr>
        <w:t>e precariet</w:t>
      </w:r>
      <w:r>
        <w:rPr>
          <w:rFonts w:hAnsi="Book Antiqua" w:hint="default"/>
          <w:sz w:val="24"/>
          <w:szCs w:val="24"/>
          <w:rtl w:val="0"/>
          <w:lang w:val="it-IT"/>
        </w:rPr>
        <w:t xml:space="preserve">à </w:t>
      </w:r>
      <w:r>
        <w:rPr>
          <w:rFonts w:ascii="Book Antiqua"/>
          <w:sz w:val="24"/>
          <w:szCs w:val="24"/>
          <w:rtl w:val="0"/>
          <w:lang w:val="it-IT"/>
        </w:rPr>
        <w:t xml:space="preserve">che danno luogo a frequenti interruzioni di servizio e lasciano incombenti minacce di crisi nel ciclo di trattamento e smaltimento. </w:t>
      </w:r>
    </w:p>
    <w:p>
      <w:pPr>
        <w:pStyle w:val="Elenco a colori - Colore 11"/>
        <w:spacing w:after="0" w:line="240" w:lineRule="auto"/>
        <w:ind w:left="567" w:right="567" w:firstLine="0"/>
        <w:jc w:val="both"/>
        <w:rPr>
          <w:rFonts w:ascii="Book Antiqua" w:cs="Book Antiqua" w:hAnsi="Book Antiqua" w:eastAsia="Book Antiqua"/>
          <w:sz w:val="24"/>
          <w:szCs w:val="24"/>
        </w:rPr>
      </w:pPr>
      <w:r>
        <w:rPr>
          <w:rFonts w:ascii="Book Antiqua"/>
          <w:sz w:val="24"/>
          <w:szCs w:val="24"/>
          <w:rtl w:val="0"/>
          <w:lang w:val="it-IT"/>
        </w:rPr>
        <w:t xml:space="preserve">Il sistema </w:t>
      </w:r>
      <w:r>
        <w:rPr>
          <w:rFonts w:hAnsi="Book Antiqua" w:hint="default"/>
          <w:sz w:val="24"/>
          <w:szCs w:val="24"/>
          <w:rtl w:val="0"/>
          <w:lang w:val="it-IT"/>
        </w:rPr>
        <w:t xml:space="preserve">è </w:t>
      </w:r>
      <w:r>
        <w:rPr>
          <w:rFonts w:ascii="Book Antiqua"/>
          <w:sz w:val="24"/>
          <w:szCs w:val="24"/>
          <w:rtl w:val="0"/>
          <w:lang w:val="it-IT"/>
        </w:rPr>
        <w:t>fragile, poich</w:t>
      </w:r>
      <w:r>
        <w:rPr>
          <w:rFonts w:hAnsi="Book Antiqua" w:hint="default"/>
          <w:sz w:val="24"/>
          <w:szCs w:val="24"/>
          <w:rtl w:val="0"/>
          <w:lang w:val="it-IT"/>
        </w:rPr>
        <w:t xml:space="preserve">é </w:t>
      </w:r>
      <w:r>
        <w:rPr>
          <w:rFonts w:ascii="Book Antiqua"/>
          <w:sz w:val="24"/>
          <w:szCs w:val="24"/>
          <w:rtl w:val="0"/>
          <w:lang w:val="it-IT"/>
        </w:rPr>
        <w:t>non presenta alcuna ridondanza (principio di precauzione della direttiva CE 2008/98) dimensionale o tecnica, cosicch</w:t>
      </w:r>
      <w:r>
        <w:rPr>
          <w:rFonts w:hAnsi="Book Antiqua" w:hint="default"/>
          <w:sz w:val="24"/>
          <w:szCs w:val="24"/>
          <w:rtl w:val="0"/>
          <w:lang w:val="it-IT"/>
        </w:rPr>
        <w:t>é</w:t>
      </w:r>
      <w:r>
        <w:rPr>
          <w:rFonts w:ascii="Book Antiqua"/>
          <w:sz w:val="24"/>
          <w:szCs w:val="24"/>
          <w:rtl w:val="0"/>
          <w:lang w:val="it-IT"/>
        </w:rPr>
        <w:t>, alla rottura o alla momentanea indisponibilit</w:t>
      </w:r>
      <w:r>
        <w:rPr>
          <w:rFonts w:hAnsi="Book Antiqua" w:hint="default"/>
          <w:sz w:val="24"/>
          <w:szCs w:val="24"/>
          <w:rtl w:val="0"/>
          <w:lang w:val="it-IT"/>
        </w:rPr>
        <w:t xml:space="preserve">à </w:t>
      </w:r>
      <w:r>
        <w:rPr>
          <w:rFonts w:ascii="Book Antiqua"/>
          <w:sz w:val="24"/>
          <w:szCs w:val="24"/>
          <w:rtl w:val="0"/>
          <w:lang w:val="it-IT"/>
        </w:rPr>
        <w:t>anche di una sola linea di TMB piuttosto che della possibilit</w:t>
      </w:r>
      <w:r>
        <w:rPr>
          <w:rFonts w:hAnsi="Book Antiqua" w:hint="default"/>
          <w:sz w:val="24"/>
          <w:szCs w:val="24"/>
          <w:rtl w:val="0"/>
          <w:lang w:val="it-IT"/>
        </w:rPr>
        <w:t xml:space="preserve">à </w:t>
      </w:r>
      <w:r>
        <w:rPr>
          <w:rFonts w:ascii="Book Antiqua"/>
          <w:sz w:val="24"/>
          <w:szCs w:val="24"/>
          <w:rtl w:val="0"/>
          <w:lang w:val="it-IT"/>
        </w:rPr>
        <w:t xml:space="preserve">di avviare a termotrattamento (l'inceneritore di Colleferro </w:t>
      </w:r>
      <w:r>
        <w:rPr>
          <w:rFonts w:hAnsi="Book Antiqua" w:hint="default"/>
          <w:sz w:val="24"/>
          <w:szCs w:val="24"/>
          <w:rtl w:val="0"/>
          <w:lang w:val="it-IT"/>
        </w:rPr>
        <w:t xml:space="preserve">è </w:t>
      </w:r>
      <w:r>
        <w:rPr>
          <w:rFonts w:ascii="Book Antiqua"/>
          <w:sz w:val="24"/>
          <w:szCs w:val="24"/>
          <w:rtl w:val="0"/>
          <w:lang w:val="it-IT"/>
        </w:rPr>
        <w:t>vetusto e spesso interrompe le lavorazioni per guasti e manutenzioni straordinarie) ovvero per circostanze extraterritoriali (fermo impianti di incenerimento, di recupero o di smaltimento di altre regioni utilizzati dagli operatori della Capitale) il ciclo dei rifiuti della Capitale pu</w:t>
      </w:r>
      <w:r>
        <w:rPr>
          <w:rFonts w:hAnsi="Book Antiqua" w:hint="default"/>
          <w:sz w:val="24"/>
          <w:szCs w:val="24"/>
          <w:rtl w:val="0"/>
          <w:lang w:val="it-IT"/>
        </w:rPr>
        <w:t xml:space="preserve">ò </w:t>
      </w:r>
      <w:r>
        <w:rPr>
          <w:rFonts w:ascii="Book Antiqua"/>
          <w:sz w:val="24"/>
          <w:szCs w:val="24"/>
          <w:rtl w:val="0"/>
          <w:lang w:val="it-IT"/>
        </w:rPr>
        <w:t>arrivare al collasso. L</w:t>
      </w:r>
      <w:r>
        <w:rPr>
          <w:rFonts w:hAnsi="Book Antiqua" w:hint="default"/>
          <w:sz w:val="24"/>
          <w:szCs w:val="24"/>
          <w:rtl w:val="0"/>
          <w:lang w:val="it-IT"/>
        </w:rPr>
        <w:t>’</w:t>
      </w:r>
      <w:r>
        <w:rPr>
          <w:rFonts w:ascii="Book Antiqua"/>
          <w:sz w:val="24"/>
          <w:szCs w:val="24"/>
          <w:rtl w:val="0"/>
          <w:lang w:val="it-IT"/>
        </w:rPr>
        <w:t>impossibilit</w:t>
      </w:r>
      <w:r>
        <w:rPr>
          <w:rFonts w:hAnsi="Book Antiqua" w:hint="default"/>
          <w:sz w:val="24"/>
          <w:szCs w:val="24"/>
          <w:rtl w:val="0"/>
          <w:lang w:val="it-IT"/>
        </w:rPr>
        <w:t xml:space="preserve">à </w:t>
      </w:r>
      <w:r>
        <w:rPr>
          <w:rFonts w:ascii="Book Antiqua"/>
          <w:sz w:val="24"/>
          <w:szCs w:val="24"/>
          <w:rtl w:val="0"/>
          <w:lang w:val="it-IT"/>
        </w:rPr>
        <w:t>di utilizzare tutte le poche linee di trattamento e recupero disponibili o di agire in tranquillit</w:t>
      </w:r>
      <w:r>
        <w:rPr>
          <w:rFonts w:hAnsi="Book Antiqua" w:hint="default"/>
          <w:sz w:val="24"/>
          <w:szCs w:val="24"/>
          <w:rtl w:val="0"/>
          <w:lang w:val="it-IT"/>
        </w:rPr>
        <w:t xml:space="preserve">à </w:t>
      </w:r>
      <w:r>
        <w:rPr>
          <w:rFonts w:ascii="Book Antiqua"/>
          <w:sz w:val="24"/>
          <w:szCs w:val="24"/>
          <w:rtl w:val="0"/>
          <w:lang w:val="it-IT"/>
        </w:rPr>
        <w:t>gli accessi agli smaltimenti, hanno come immediato riverbero l'impossibilit</w:t>
      </w:r>
      <w:r>
        <w:rPr>
          <w:rFonts w:hAnsi="Book Antiqua" w:hint="default"/>
          <w:sz w:val="24"/>
          <w:szCs w:val="24"/>
          <w:rtl w:val="0"/>
          <w:lang w:val="it-IT"/>
        </w:rPr>
        <w:t xml:space="preserve">à </w:t>
      </w:r>
      <w:r>
        <w:rPr>
          <w:rFonts w:ascii="Book Antiqua"/>
          <w:sz w:val="24"/>
          <w:szCs w:val="24"/>
          <w:rtl w:val="0"/>
          <w:lang w:val="it-IT"/>
        </w:rPr>
        <w:t xml:space="preserve">di svolgere ordinatamente i servizi di rimozione e raccolta dei rifiuti urbani dalle aree pubbliche. </w:t>
      </w:r>
    </w:p>
    <w:p>
      <w:pPr>
        <w:pStyle w:val="Elenco a colori - Colore 11"/>
        <w:spacing w:after="0" w:line="240" w:lineRule="auto"/>
        <w:ind w:left="567" w:right="567" w:firstLine="0"/>
        <w:jc w:val="both"/>
        <w:rPr>
          <w:rFonts w:ascii="Book Antiqua" w:cs="Book Antiqua" w:hAnsi="Book Antiqua" w:eastAsia="Book Antiqua"/>
          <w:sz w:val="24"/>
          <w:szCs w:val="24"/>
        </w:rPr>
      </w:pPr>
      <w:r>
        <w:rPr>
          <w:rFonts w:ascii="Book Antiqua"/>
          <w:sz w:val="24"/>
          <w:szCs w:val="24"/>
          <w:rtl w:val="0"/>
          <w:lang w:val="it-IT"/>
        </w:rPr>
        <w:t>Questa situazione di Roma Capitale impatta su un contesto regionale in cui, come ebbe a dichiarare il presidente della regione Lazio nell</w:t>
      </w:r>
      <w:r>
        <w:rPr>
          <w:rFonts w:hAnsi="Book Antiqua" w:hint="default"/>
          <w:sz w:val="24"/>
          <w:szCs w:val="24"/>
          <w:rtl w:val="0"/>
          <w:lang w:val="it-IT"/>
        </w:rPr>
        <w:t>’</w:t>
      </w:r>
      <w:r>
        <w:rPr>
          <w:rFonts w:ascii="Book Antiqua"/>
          <w:sz w:val="24"/>
          <w:szCs w:val="24"/>
          <w:rtl w:val="0"/>
          <w:lang w:val="it-IT"/>
        </w:rPr>
        <w:t>audizione dell</w:t>
      </w:r>
      <w:r>
        <w:rPr>
          <w:rFonts w:hAnsi="Book Antiqua" w:hint="default"/>
          <w:sz w:val="24"/>
          <w:szCs w:val="24"/>
          <w:rtl w:val="0"/>
          <w:lang w:val="it-IT"/>
        </w:rPr>
        <w:t>’</w:t>
      </w:r>
      <w:r>
        <w:rPr>
          <w:rFonts w:ascii="Book Antiqua"/>
          <w:sz w:val="24"/>
          <w:szCs w:val="24"/>
          <w:rtl w:val="0"/>
          <w:lang w:val="it-IT"/>
        </w:rPr>
        <w:t xml:space="preserve">8 settembre </w:t>
      </w:r>
      <w:r>
        <w:rPr>
          <w:rFonts w:hAnsi="Book Antiqua" w:hint="default"/>
          <w:color w:val="262626"/>
          <w:sz w:val="24"/>
          <w:szCs w:val="24"/>
          <w:u w:color="262626"/>
          <w:rtl w:val="0"/>
          <w:lang w:val="it-IT"/>
        </w:rPr>
        <w:t>“</w:t>
      </w:r>
      <w:r>
        <w:rPr>
          <w:rFonts w:ascii="Book Antiqua"/>
          <w:color w:val="262626"/>
          <w:sz w:val="24"/>
          <w:szCs w:val="24"/>
          <w:u w:color="262626"/>
          <w:rtl w:val="0"/>
          <w:lang w:val="it-IT"/>
        </w:rPr>
        <w:t>per quanto riguarda di impianti di trattamento dei rifiuti urbani, con le nuove autorizzazioni, gli ampliamenti e l'ottimizzazione dei quantitativi autorizzati e degli impianti gi</w:t>
      </w:r>
      <w:r>
        <w:rPr>
          <w:rFonts w:hAnsi="Book Antiqua" w:hint="default"/>
          <w:color w:val="262626"/>
          <w:sz w:val="24"/>
          <w:szCs w:val="24"/>
          <w:u w:color="262626"/>
          <w:rtl w:val="0"/>
          <w:lang w:val="it-IT"/>
        </w:rPr>
        <w:t xml:space="preserve">à </w:t>
      </w:r>
      <w:r>
        <w:rPr>
          <w:rFonts w:ascii="Book Antiqua"/>
          <w:color w:val="262626"/>
          <w:sz w:val="24"/>
          <w:szCs w:val="24"/>
          <w:u w:color="262626"/>
          <w:rtl w:val="0"/>
          <w:lang w:val="it-IT"/>
        </w:rPr>
        <w:t xml:space="preserve">esistenti, si </w:t>
      </w:r>
      <w:r>
        <w:rPr>
          <w:rFonts w:hAnsi="Book Antiqua" w:hint="default"/>
          <w:color w:val="262626"/>
          <w:sz w:val="24"/>
          <w:szCs w:val="24"/>
          <w:u w:color="262626"/>
          <w:rtl w:val="0"/>
          <w:lang w:val="it-IT"/>
        </w:rPr>
        <w:t xml:space="preserve">è </w:t>
      </w:r>
      <w:r>
        <w:rPr>
          <w:rFonts w:ascii="Book Antiqua"/>
          <w:color w:val="262626"/>
          <w:sz w:val="24"/>
          <w:szCs w:val="24"/>
          <w:u w:color="262626"/>
          <w:rtl w:val="0"/>
          <w:lang w:val="it-IT"/>
        </w:rPr>
        <w:t>raggiunta nel 2014 l</w:t>
      </w:r>
      <w:r>
        <w:rPr>
          <w:rFonts w:hAnsi="Book Antiqua" w:hint="default"/>
          <w:color w:val="262626"/>
          <w:sz w:val="24"/>
          <w:szCs w:val="24"/>
          <w:u w:color="262626"/>
          <w:rtl w:val="0"/>
          <w:lang w:val="it-IT"/>
        </w:rPr>
        <w:t>’</w:t>
      </w:r>
      <w:r>
        <w:rPr>
          <w:rFonts w:ascii="Book Antiqua"/>
          <w:color w:val="262626"/>
          <w:sz w:val="24"/>
          <w:szCs w:val="24"/>
          <w:u w:color="262626"/>
          <w:rtl w:val="0"/>
          <w:lang w:val="it-IT"/>
        </w:rPr>
        <w:t>autosufficienza a livello regionale</w:t>
      </w:r>
      <w:r>
        <w:rPr>
          <w:rFonts w:hAnsi="Book Antiqua" w:hint="default"/>
          <w:color w:val="262626"/>
          <w:sz w:val="24"/>
          <w:szCs w:val="24"/>
          <w:u w:color="262626"/>
          <w:rtl w:val="0"/>
          <w:lang w:val="it-IT"/>
        </w:rPr>
        <w:t>”</w:t>
      </w:r>
      <w:r>
        <w:rPr>
          <w:rFonts w:ascii="Book Antiqua"/>
          <w:color w:val="262626"/>
          <w:sz w:val="24"/>
          <w:szCs w:val="24"/>
          <w:u w:color="262626"/>
          <w:rtl w:val="0"/>
          <w:lang w:val="it-IT"/>
        </w:rPr>
        <w:t>.</w:t>
      </w:r>
    </w:p>
    <w:p>
      <w:pPr>
        <w:pStyle w:val="Elenco a colori - Colore 11"/>
        <w:spacing w:after="0" w:line="240" w:lineRule="auto"/>
        <w:ind w:left="567" w:right="567" w:firstLine="0"/>
        <w:jc w:val="both"/>
        <w:rPr>
          <w:rFonts w:ascii="Book Antiqua" w:cs="Book Antiqua" w:hAnsi="Book Antiqua" w:eastAsia="Book Antiqua"/>
          <w:sz w:val="24"/>
          <w:szCs w:val="24"/>
        </w:rPr>
      </w:pPr>
      <w:r>
        <w:rPr>
          <w:rFonts w:ascii="Book Antiqua"/>
          <w:sz w:val="24"/>
          <w:szCs w:val="24"/>
          <w:rtl w:val="0"/>
          <w:lang w:val="it-IT"/>
        </w:rPr>
        <w:t>Nell</w:t>
      </w:r>
      <w:r>
        <w:rPr>
          <w:rFonts w:hAnsi="Book Antiqua" w:hint="default"/>
          <w:sz w:val="24"/>
          <w:szCs w:val="24"/>
          <w:rtl w:val="0"/>
          <w:lang w:val="it-IT"/>
        </w:rPr>
        <w:t>’</w:t>
      </w:r>
      <w:r>
        <w:rPr>
          <w:rFonts w:ascii="Book Antiqua"/>
          <w:sz w:val="24"/>
          <w:szCs w:val="24"/>
          <w:rtl w:val="0"/>
          <w:lang w:val="it-IT"/>
        </w:rPr>
        <w:t>audizione svoltasi nella medesima data, il sindaco Marino dichiarava:</w:t>
      </w:r>
      <w:r>
        <w:rPr>
          <w:rFonts w:hAnsi="Book Antiqua" w:hint="default"/>
          <w:sz w:val="24"/>
          <w:szCs w:val="24"/>
          <w:rtl w:val="0"/>
          <w:lang w:val="it-IT"/>
        </w:rPr>
        <w:t xml:space="preserve"> “</w:t>
      </w:r>
      <w:r>
        <w:rPr>
          <w:rFonts w:ascii="Book Antiqua"/>
          <w:sz w:val="24"/>
          <w:szCs w:val="24"/>
          <w:rtl w:val="0"/>
          <w:lang w:val="it-IT"/>
        </w:rPr>
        <w:t>la fragilit</w:t>
      </w:r>
      <w:r>
        <w:rPr>
          <w:rFonts w:hAnsi="Book Antiqua" w:hint="default"/>
          <w:sz w:val="24"/>
          <w:szCs w:val="24"/>
          <w:rtl w:val="0"/>
          <w:lang w:val="it-IT"/>
        </w:rPr>
        <w:t xml:space="preserve">à è </w:t>
      </w:r>
      <w:r>
        <w:rPr>
          <w:rFonts w:ascii="Book Antiqua"/>
          <w:sz w:val="24"/>
          <w:szCs w:val="24"/>
          <w:rtl w:val="0"/>
          <w:lang w:val="it-IT"/>
        </w:rPr>
        <w:t>marcatamente segnata dal fatto che non esiste, nel perimetro dell'area metropolitana di Roma, alcun sito di stoccaggio temporaneo di rifiuti urbani i quali, una volta raccolti, devono per forza essere conferiti agli impianti TMB o ai tritovagliatori. Resi indisponibili questi o parte di essi e in assenza di siti di stoccaggio provvisorio, i rifiuti restano sulle strade.</w:t>
      </w:r>
      <w:r>
        <w:rPr>
          <w:rFonts w:hAnsi="Book Antiqua" w:hint="default"/>
          <w:sz w:val="24"/>
          <w:szCs w:val="24"/>
          <w:rtl w:val="0"/>
          <w:lang w:val="it-IT"/>
        </w:rPr>
        <w:t>”</w:t>
      </w:r>
      <w:r>
        <w:rPr>
          <w:rFonts w:ascii="Book Antiqua"/>
          <w:sz w:val="24"/>
          <w:szCs w:val="24"/>
          <w:rtl w:val="0"/>
          <w:lang w:val="it-IT"/>
        </w:rPr>
        <w:t xml:space="preserve"> </w:t>
      </w:r>
    </w:p>
    <w:p>
      <w:pPr>
        <w:pStyle w:val="Elenco a colori - Colore 11"/>
        <w:spacing w:after="0" w:line="240" w:lineRule="auto"/>
        <w:ind w:left="567" w:right="567" w:firstLine="0"/>
        <w:jc w:val="both"/>
        <w:rPr>
          <w:rFonts w:ascii="Book Antiqua" w:cs="Book Antiqua" w:hAnsi="Book Antiqua" w:eastAsia="Book Antiqua"/>
          <w:sz w:val="24"/>
          <w:szCs w:val="24"/>
        </w:rPr>
      </w:pPr>
      <w:r>
        <w:rPr>
          <w:rFonts w:ascii="Book Antiqua"/>
          <w:sz w:val="24"/>
          <w:szCs w:val="24"/>
          <w:rtl w:val="0"/>
          <w:lang w:val="it-IT"/>
        </w:rPr>
        <w:t xml:space="preserve">E, per quanto riguarda le altre caratteristiche del sistema affermava: </w:t>
      </w:r>
    </w:p>
    <w:p>
      <w:pPr>
        <w:pStyle w:val="Elenco a colori - Colore 11"/>
        <w:spacing w:after="0" w:line="240" w:lineRule="auto"/>
        <w:ind w:left="567" w:right="567" w:firstLine="0"/>
        <w:jc w:val="both"/>
        <w:rPr>
          <w:rFonts w:ascii="Book Antiqua" w:cs="Book Antiqua" w:hAnsi="Book Antiqua" w:eastAsia="Book Antiqua"/>
          <w:sz w:val="24"/>
          <w:szCs w:val="24"/>
        </w:rPr>
      </w:pPr>
      <w:r>
        <w:rPr>
          <w:rFonts w:hAnsi="Book Antiqua" w:hint="default"/>
          <w:sz w:val="24"/>
          <w:szCs w:val="24"/>
          <w:rtl w:val="0"/>
          <w:lang w:val="it-IT"/>
        </w:rPr>
        <w:t>“</w:t>
      </w:r>
      <w:r>
        <w:rPr>
          <w:rFonts w:ascii="Book Antiqua"/>
          <w:sz w:val="24"/>
          <w:szCs w:val="24"/>
          <w:rtl w:val="0"/>
          <w:lang w:val="it-IT"/>
        </w:rPr>
        <w:t>La rigidit</w:t>
      </w:r>
      <w:r>
        <w:rPr>
          <w:rFonts w:hAnsi="Book Antiqua" w:hint="default"/>
          <w:sz w:val="24"/>
          <w:szCs w:val="24"/>
          <w:rtl w:val="0"/>
          <w:lang w:val="it-IT"/>
        </w:rPr>
        <w:t xml:space="preserve">à </w:t>
      </w:r>
      <w:r>
        <w:rPr>
          <w:rFonts w:ascii="Book Antiqua"/>
          <w:sz w:val="24"/>
          <w:szCs w:val="24"/>
          <w:rtl w:val="0"/>
          <w:lang w:val="it-IT"/>
        </w:rPr>
        <w:t xml:space="preserve">del sistema </w:t>
      </w:r>
      <w:r>
        <w:rPr>
          <w:rFonts w:hAnsi="Book Antiqua" w:hint="default"/>
          <w:sz w:val="24"/>
          <w:szCs w:val="24"/>
          <w:rtl w:val="0"/>
          <w:lang w:val="it-IT"/>
        </w:rPr>
        <w:t xml:space="preserve">è </w:t>
      </w:r>
      <w:r>
        <w:rPr>
          <w:rFonts w:ascii="Book Antiqua"/>
          <w:sz w:val="24"/>
          <w:szCs w:val="24"/>
          <w:rtl w:val="0"/>
          <w:lang w:val="it-IT"/>
        </w:rPr>
        <w:t xml:space="preserve">testimoniata dal fatto che i TMB sono tutti utilizzati al massimo della loro capienza, salvo episodici rallentamenti dovuti a rotture, manutenzioni o problematiche extraregionali e che ad essi non vi </w:t>
      </w:r>
      <w:r>
        <w:rPr>
          <w:rFonts w:hAnsi="Book Antiqua" w:hint="default"/>
          <w:sz w:val="24"/>
          <w:szCs w:val="24"/>
          <w:rtl w:val="0"/>
          <w:lang w:val="it-IT"/>
        </w:rPr>
        <w:t xml:space="preserve">è </w:t>
      </w:r>
      <w:r>
        <w:rPr>
          <w:rFonts w:ascii="Book Antiqua"/>
          <w:sz w:val="24"/>
          <w:szCs w:val="24"/>
          <w:rtl w:val="0"/>
          <w:lang w:val="it-IT"/>
        </w:rPr>
        <w:t>alcuna alternativa praticabile. Non vi sono, infatti, n</w:t>
      </w:r>
      <w:r>
        <w:rPr>
          <w:rFonts w:hAnsi="Book Antiqua" w:hint="default"/>
          <w:sz w:val="24"/>
          <w:szCs w:val="24"/>
          <w:rtl w:val="0"/>
          <w:lang w:val="it-IT"/>
        </w:rPr>
        <w:t xml:space="preserve">é </w:t>
      </w:r>
      <w:r>
        <w:rPr>
          <w:rFonts w:ascii="Book Antiqua"/>
          <w:sz w:val="24"/>
          <w:szCs w:val="24"/>
          <w:rtl w:val="0"/>
          <w:lang w:val="it-IT"/>
        </w:rPr>
        <w:t>discariche autorizzate n</w:t>
      </w:r>
      <w:r>
        <w:rPr>
          <w:rFonts w:hAnsi="Book Antiqua" w:hint="default"/>
          <w:sz w:val="24"/>
          <w:szCs w:val="24"/>
          <w:rtl w:val="0"/>
          <w:lang w:val="it-IT"/>
        </w:rPr>
        <w:t>é</w:t>
      </w:r>
      <w:r>
        <w:rPr>
          <w:rFonts w:ascii="Book Antiqua"/>
          <w:sz w:val="24"/>
          <w:szCs w:val="24"/>
          <w:rtl w:val="0"/>
          <w:lang w:val="it-IT"/>
        </w:rPr>
        <w:t xml:space="preserve"> inceneritori adeguati a ricevere RUR in caso di estrema necessit</w:t>
      </w:r>
      <w:r>
        <w:rPr>
          <w:rFonts w:hAnsi="Book Antiqua" w:hint="default"/>
          <w:sz w:val="24"/>
          <w:szCs w:val="24"/>
          <w:rtl w:val="0"/>
          <w:lang w:val="it-IT"/>
        </w:rPr>
        <w:t>à</w:t>
      </w:r>
      <w:r>
        <w:rPr>
          <w:rFonts w:ascii="Book Antiqua"/>
          <w:sz w:val="24"/>
          <w:szCs w:val="24"/>
          <w:rtl w:val="0"/>
          <w:lang w:val="it-IT"/>
        </w:rPr>
        <w:t xml:space="preserve">. Il ciclo di trattamento intermedio (TMB e tritovagliatori) costituisce un vincolo sia per i conferimenti dei rifiuti raccolti, sia per quelli in uscita post lavorazione. </w:t>
      </w:r>
    </w:p>
    <w:p>
      <w:pPr>
        <w:pStyle w:val="Elenco a colori - Colore 11"/>
        <w:spacing w:after="0" w:line="240" w:lineRule="auto"/>
        <w:ind w:left="567" w:right="567" w:firstLine="0"/>
        <w:jc w:val="both"/>
        <w:rPr>
          <w:rFonts w:ascii="Book Antiqua" w:cs="Book Antiqua" w:hAnsi="Book Antiqua" w:eastAsia="Book Antiqua"/>
          <w:sz w:val="24"/>
          <w:szCs w:val="24"/>
        </w:rPr>
      </w:pPr>
      <w:r>
        <w:rPr>
          <w:rFonts w:ascii="Book Antiqua"/>
          <w:sz w:val="24"/>
          <w:szCs w:val="24"/>
          <w:rtl w:val="0"/>
          <w:lang w:val="it-IT"/>
        </w:rPr>
        <w:t xml:space="preserve">Come </w:t>
      </w:r>
      <w:r>
        <w:rPr>
          <w:rFonts w:hAnsi="Book Antiqua" w:hint="default"/>
          <w:sz w:val="24"/>
          <w:szCs w:val="24"/>
          <w:rtl w:val="0"/>
          <w:lang w:val="it-IT"/>
        </w:rPr>
        <w:t xml:space="preserve">è </w:t>
      </w:r>
      <w:r>
        <w:rPr>
          <w:rFonts w:ascii="Book Antiqua"/>
          <w:sz w:val="24"/>
          <w:szCs w:val="24"/>
          <w:rtl w:val="0"/>
          <w:lang w:val="it-IT"/>
        </w:rPr>
        <w:t xml:space="preserve">noto, i flussi di rifiuti in uscita dai TMB o dai tritovagliatori possono unicamente essere destinati a combustione o a discarica. Mancanti o insufficienti gli impianti di termovalorizzazione e totalmente mancanti impianti di discarica, la fase di selezione meccanico-biologica come quella di tritovagliatura si risolve in una strozzatura che spesso genera crisi. </w:t>
      </w:r>
    </w:p>
    <w:p>
      <w:pPr>
        <w:pStyle w:val="Elenco a colori - Colore 11"/>
        <w:spacing w:after="0" w:line="240" w:lineRule="auto"/>
        <w:ind w:left="567" w:right="567" w:firstLine="0"/>
        <w:jc w:val="both"/>
        <w:rPr>
          <w:rFonts w:ascii="Book Antiqua" w:cs="Book Antiqua" w:hAnsi="Book Antiqua" w:eastAsia="Book Antiqua"/>
          <w:sz w:val="24"/>
          <w:szCs w:val="24"/>
        </w:rPr>
      </w:pPr>
      <w:r>
        <w:rPr>
          <w:rFonts w:ascii="Book Antiqua"/>
          <w:sz w:val="24"/>
          <w:szCs w:val="24"/>
          <w:rtl w:val="0"/>
          <w:lang w:val="it-IT"/>
        </w:rPr>
        <w:t>La previsione regionale di aumentare la capacit</w:t>
      </w:r>
      <w:r>
        <w:rPr>
          <w:rFonts w:hAnsi="Book Antiqua" w:hint="default"/>
          <w:sz w:val="24"/>
          <w:szCs w:val="24"/>
          <w:rtl w:val="0"/>
          <w:lang w:val="it-IT"/>
        </w:rPr>
        <w:t xml:space="preserve">à </w:t>
      </w:r>
      <w:r>
        <w:rPr>
          <w:rFonts w:ascii="Book Antiqua"/>
          <w:sz w:val="24"/>
          <w:szCs w:val="24"/>
          <w:rtl w:val="0"/>
          <w:lang w:val="it-IT"/>
        </w:rPr>
        <w:t>di trattamento meccanico-biologico (nuovi TMB) senza contemporaneamente accrescere la capacit</w:t>
      </w:r>
      <w:r>
        <w:rPr>
          <w:rFonts w:hAnsi="Book Antiqua" w:hint="default"/>
          <w:sz w:val="24"/>
          <w:szCs w:val="24"/>
          <w:rtl w:val="0"/>
          <w:lang w:val="it-IT"/>
        </w:rPr>
        <w:t xml:space="preserve">à </w:t>
      </w:r>
      <w:r>
        <w:rPr>
          <w:rFonts w:ascii="Book Antiqua"/>
          <w:sz w:val="24"/>
          <w:szCs w:val="24"/>
          <w:rtl w:val="0"/>
          <w:lang w:val="it-IT"/>
        </w:rPr>
        <w:t>di trattamento termico e di discariche, non pare corrispondere all'esigenza di rendere il sistema pi</w:t>
      </w:r>
      <w:r>
        <w:rPr>
          <w:rFonts w:hAnsi="Book Antiqua" w:hint="default"/>
          <w:sz w:val="24"/>
          <w:szCs w:val="24"/>
          <w:rtl w:val="0"/>
          <w:lang w:val="it-IT"/>
        </w:rPr>
        <w:t xml:space="preserve">ù </w:t>
      </w:r>
      <w:r>
        <w:rPr>
          <w:rFonts w:ascii="Book Antiqua"/>
          <w:sz w:val="24"/>
          <w:szCs w:val="24"/>
          <w:rtl w:val="0"/>
          <w:lang w:val="it-IT"/>
        </w:rPr>
        <w:t>flessibile, ridondante in alcune dotazioni tecniche e pi</w:t>
      </w:r>
      <w:r>
        <w:rPr>
          <w:rFonts w:hAnsi="Book Antiqua" w:hint="default"/>
          <w:sz w:val="24"/>
          <w:szCs w:val="24"/>
          <w:rtl w:val="0"/>
          <w:lang w:val="it-IT"/>
        </w:rPr>
        <w:t xml:space="preserve">ù </w:t>
      </w:r>
      <w:r>
        <w:rPr>
          <w:rFonts w:ascii="Book Antiqua"/>
          <w:sz w:val="24"/>
          <w:szCs w:val="24"/>
          <w:rtl w:val="0"/>
          <w:lang w:val="it-IT"/>
        </w:rPr>
        <w:t xml:space="preserve">capace di aderire alla prospettiva </w:t>
      </w:r>
      <w:r>
        <w:rPr>
          <w:rFonts w:ascii="Book Antiqua"/>
          <w:i w:val="1"/>
          <w:iCs w:val="1"/>
          <w:sz w:val="24"/>
          <w:szCs w:val="24"/>
          <w:rtl w:val="0"/>
          <w:lang w:val="it-IT"/>
        </w:rPr>
        <w:t>end of waste</w:t>
      </w:r>
      <w:r>
        <w:rPr>
          <w:rFonts w:ascii="Book Antiqua"/>
          <w:sz w:val="24"/>
          <w:szCs w:val="24"/>
          <w:rtl w:val="0"/>
          <w:lang w:val="it-IT"/>
        </w:rPr>
        <w:t xml:space="preserve"> ora patrocinata dall'Unione europea. Difatti, il crescere della raccolta differenziata e del recupero di materia dai rifiuti urbani determiner</w:t>
      </w:r>
      <w:r>
        <w:rPr>
          <w:rFonts w:hAnsi="Book Antiqua" w:hint="default"/>
          <w:sz w:val="24"/>
          <w:szCs w:val="24"/>
          <w:rtl w:val="0"/>
          <w:lang w:val="it-IT"/>
        </w:rPr>
        <w:t>à</w:t>
      </w:r>
      <w:r>
        <w:rPr>
          <w:rFonts w:ascii="Book Antiqua"/>
          <w:sz w:val="24"/>
          <w:szCs w:val="24"/>
          <w:rtl w:val="0"/>
          <w:lang w:val="it-IT"/>
        </w:rPr>
        <w:t>, nel breve e medio periodo, una percepibile riduzione dei RUR dalla quale si evidenzier</w:t>
      </w:r>
      <w:r>
        <w:rPr>
          <w:rFonts w:hAnsi="Book Antiqua" w:hint="default"/>
          <w:sz w:val="24"/>
          <w:szCs w:val="24"/>
          <w:rtl w:val="0"/>
          <w:lang w:val="it-IT"/>
        </w:rPr>
        <w:t xml:space="preserve">à </w:t>
      </w:r>
      <w:r>
        <w:rPr>
          <w:rFonts w:ascii="Book Antiqua"/>
          <w:sz w:val="24"/>
          <w:szCs w:val="24"/>
          <w:rtl w:val="0"/>
          <w:lang w:val="it-IT"/>
        </w:rPr>
        <w:t>l'</w:t>
      </w:r>
      <w:r>
        <w:rPr>
          <w:rFonts w:ascii="Book Antiqua"/>
          <w:i w:val="1"/>
          <w:iCs w:val="1"/>
          <w:sz w:val="24"/>
          <w:szCs w:val="24"/>
          <w:rtl w:val="0"/>
          <w:lang w:val="it-IT"/>
        </w:rPr>
        <w:t>overcapacity</w:t>
      </w:r>
      <w:r>
        <w:rPr>
          <w:rFonts w:ascii="Book Antiqua"/>
          <w:sz w:val="24"/>
          <w:szCs w:val="24"/>
          <w:rtl w:val="0"/>
          <w:lang w:val="it-IT"/>
        </w:rPr>
        <w:t xml:space="preserve"> sia delle linee di TMB e sia quella delle linee di termovalorizzazione del CDR</w:t>
      </w:r>
      <w:r>
        <w:rPr>
          <w:rFonts w:hAnsi="Book Antiqua" w:hint="default"/>
          <w:sz w:val="24"/>
          <w:szCs w:val="24"/>
          <w:rtl w:val="0"/>
          <w:lang w:val="it-IT"/>
        </w:rPr>
        <w:t>”</w:t>
      </w:r>
      <w:r>
        <w:rPr>
          <w:rFonts w:ascii="Book Antiqua"/>
          <w:sz w:val="24"/>
          <w:szCs w:val="24"/>
          <w:rtl w:val="0"/>
          <w:lang w:val="it-IT"/>
        </w:rPr>
        <w:t xml:space="preserve">. </w:t>
      </w:r>
    </w:p>
    <w:p>
      <w:pPr>
        <w:pStyle w:val="Normal"/>
        <w:ind w:left="567" w:right="567" w:firstLine="0"/>
        <w:jc w:val="both"/>
        <w:rPr>
          <w:rFonts w:ascii="Book Antiqua" w:cs="Book Antiqua" w:hAnsi="Book Antiqua" w:eastAsia="Book Antiqua"/>
        </w:rPr>
      </w:pPr>
      <w:r>
        <w:rPr>
          <w:rFonts w:ascii="Book Antiqua"/>
          <w:rtl w:val="0"/>
          <w:lang w:val="it-IT"/>
        </w:rPr>
        <w:t>La fragilit</w:t>
      </w:r>
      <w:r>
        <w:rPr>
          <w:rFonts w:hAnsi="Book Antiqua" w:hint="default"/>
          <w:rtl w:val="0"/>
          <w:lang w:val="it-IT"/>
        </w:rPr>
        <w:t xml:space="preserve">à </w:t>
      </w:r>
      <w:r>
        <w:rPr>
          <w:rFonts w:ascii="Book Antiqua"/>
          <w:rtl w:val="0"/>
          <w:lang w:val="it-IT"/>
        </w:rPr>
        <w:t xml:space="preserve">del sistema </w:t>
      </w:r>
      <w:r>
        <w:rPr>
          <w:rFonts w:hAnsi="Book Antiqua" w:hint="default"/>
          <w:rtl w:val="0"/>
          <w:lang w:val="it-IT"/>
        </w:rPr>
        <w:t xml:space="preserve">è </w:t>
      </w:r>
      <w:r>
        <w:rPr>
          <w:rFonts w:ascii="Book Antiqua"/>
          <w:rtl w:val="0"/>
          <w:lang w:val="it-IT"/>
        </w:rPr>
        <w:t>stata al centro di diverse audizioni della Commissione; il  presidente pro tempore di AMA, Daniele Fortini, gi</w:t>
      </w:r>
      <w:r>
        <w:rPr>
          <w:rFonts w:hAnsi="Book Antiqua" w:hint="default"/>
          <w:rtl w:val="0"/>
          <w:lang w:val="it-IT"/>
        </w:rPr>
        <w:t xml:space="preserve">à </w:t>
      </w:r>
      <w:r>
        <w:rPr>
          <w:rFonts w:ascii="Book Antiqua"/>
          <w:rtl w:val="0"/>
          <w:lang w:val="it-IT"/>
        </w:rPr>
        <w:t xml:space="preserve">il 22 luglio 2015 aveva dichiarato: </w:t>
      </w:r>
    </w:p>
    <w:p>
      <w:pPr>
        <w:pStyle w:val="Normal"/>
        <w:ind w:left="567" w:right="567" w:firstLine="0"/>
        <w:jc w:val="both"/>
        <w:rPr>
          <w:rFonts w:ascii="Book Antiqua" w:cs="Book Antiqua" w:hAnsi="Book Antiqua" w:eastAsia="Book Antiqua"/>
        </w:rPr>
      </w:pPr>
      <w:r>
        <w:rPr>
          <w:rFonts w:hAnsi="Book Antiqua" w:hint="default"/>
          <w:rtl w:val="0"/>
          <w:lang w:val="it-IT"/>
        </w:rPr>
        <w:t>“</w:t>
      </w:r>
      <w:r>
        <w:rPr>
          <w:rFonts w:ascii="Book Antiqua"/>
          <w:rtl w:val="0"/>
          <w:lang w:val="it-IT"/>
        </w:rPr>
        <w:t>Allontanando dalla citt</w:t>
      </w:r>
      <w:r>
        <w:rPr>
          <w:rFonts w:hAnsi="Book Antiqua" w:hint="default"/>
          <w:rtl w:val="0"/>
          <w:lang w:val="it-IT"/>
        </w:rPr>
        <w:t xml:space="preserve">à </w:t>
      </w:r>
      <w:r>
        <w:rPr>
          <w:rFonts w:ascii="Book Antiqua"/>
          <w:rtl w:val="0"/>
          <w:lang w:val="it-IT"/>
        </w:rPr>
        <w:t xml:space="preserve">di Roma 163 TIR al giorno con destinazione 8 regioni e 55 siti differenti, </w:t>
      </w:r>
      <w:r>
        <w:rPr>
          <w:rFonts w:hAnsi="Book Antiqua" w:hint="default"/>
          <w:rtl w:val="0"/>
          <w:lang w:val="it-IT"/>
        </w:rPr>
        <w:t xml:space="preserve">è </w:t>
      </w:r>
      <w:r>
        <w:rPr>
          <w:rFonts w:ascii="Book Antiqua"/>
          <w:rtl w:val="0"/>
          <w:lang w:val="it-IT"/>
        </w:rPr>
        <w:t xml:space="preserve">evidente che la nostra posizione a rischio </w:t>
      </w:r>
      <w:r>
        <w:rPr>
          <w:rFonts w:hAnsi="Book Antiqua" w:hint="default"/>
          <w:rtl w:val="0"/>
          <w:lang w:val="it-IT"/>
        </w:rPr>
        <w:t xml:space="preserve">è </w:t>
      </w:r>
      <w:r>
        <w:rPr>
          <w:rFonts w:ascii="Book Antiqua"/>
          <w:rtl w:val="0"/>
          <w:lang w:val="it-IT"/>
        </w:rPr>
        <w:t>molto forte [...] tuttavia questo rischio di emergenza procurata lo avvertiamo nella fragilit</w:t>
      </w:r>
      <w:r>
        <w:rPr>
          <w:rFonts w:hAnsi="Book Antiqua" w:hint="default"/>
          <w:rtl w:val="0"/>
          <w:lang w:val="it-IT"/>
        </w:rPr>
        <w:t xml:space="preserve">à </w:t>
      </w:r>
      <w:r>
        <w:rPr>
          <w:rFonts w:ascii="Book Antiqua"/>
          <w:rtl w:val="0"/>
          <w:lang w:val="it-IT"/>
        </w:rPr>
        <w:t xml:space="preserve">del sistema: </w:t>
      </w:r>
      <w:r>
        <w:rPr>
          <w:rFonts w:hAnsi="Book Antiqua" w:hint="default"/>
          <w:rtl w:val="0"/>
          <w:lang w:val="it-IT"/>
        </w:rPr>
        <w:t xml:space="preserve">è </w:t>
      </w:r>
      <w:r>
        <w:rPr>
          <w:rFonts w:ascii="Book Antiqua"/>
          <w:rtl w:val="0"/>
          <w:lang w:val="it-IT"/>
        </w:rPr>
        <w:t>talmente fragile che un qualsiasi intoppo venisse a generarsi, anche per cause assolutamente imprevedibili ed esogene, potrebbe determinare un rischio di collasso. Per intenderci, in caso di blocco sull</w:t>
      </w:r>
      <w:r>
        <w:rPr>
          <w:rFonts w:hAnsi="Book Antiqua" w:hint="default"/>
          <w:rtl w:val="0"/>
          <w:lang w:val="it-IT"/>
        </w:rPr>
        <w:t>’</w:t>
      </w:r>
      <w:r>
        <w:rPr>
          <w:rFonts w:ascii="Book Antiqua"/>
          <w:rtl w:val="0"/>
          <w:lang w:val="it-IT"/>
        </w:rPr>
        <w:t>autostrada Roma-Firenze o Roma-Bologna, per via di un ingorgo che durasse diverse ore, si impedirebbe agli autocarri che vengono a prendersi i rifiuti per portarli al compostaggio, magari in Emilia-Romagna o in Veneto, di arrivare nella nostra citt</w:t>
      </w:r>
      <w:r>
        <w:rPr>
          <w:rFonts w:hAnsi="Book Antiqua" w:hint="default"/>
          <w:rtl w:val="0"/>
          <w:lang w:val="it-IT"/>
        </w:rPr>
        <w:t>à</w:t>
      </w:r>
      <w:r>
        <w:rPr>
          <w:rFonts w:ascii="Book Antiqua"/>
          <w:rtl w:val="0"/>
          <w:lang w:val="it-IT"/>
        </w:rPr>
        <w:t>: non potrebbero caricare. Se questo succedesse di venerd</w:t>
      </w:r>
      <w:r>
        <w:rPr>
          <w:rFonts w:hAnsi="Book Antiqua" w:hint="default"/>
          <w:rtl w:val="0"/>
          <w:lang w:val="it-IT"/>
        </w:rPr>
        <w:t>ì</w:t>
      </w:r>
      <w:r>
        <w:rPr>
          <w:rFonts w:ascii="Book Antiqua"/>
          <w:rtl w:val="0"/>
          <w:lang w:val="it-IT"/>
        </w:rPr>
        <w:t>, il sabato e la domenica gli autotrasportatori di questo tipo di materiali non potrebbero percorrere le strade nazionali e, il luned</w:t>
      </w:r>
      <w:r>
        <w:rPr>
          <w:rFonts w:hAnsi="Book Antiqua" w:hint="default"/>
          <w:rtl w:val="0"/>
          <w:lang w:val="it-IT"/>
        </w:rPr>
        <w:t>ì</w:t>
      </w:r>
      <w:r>
        <w:rPr>
          <w:rFonts w:ascii="Book Antiqua"/>
          <w:rtl w:val="0"/>
          <w:lang w:val="it-IT"/>
        </w:rPr>
        <w:t>, noi ci ritroveremmo con un carico di rifiuti da smaltire impressionante. Si tratta di rifiuti urbani biodegradabili, quindi putrescibili. Questo esempio pu</w:t>
      </w:r>
      <w:r>
        <w:rPr>
          <w:rFonts w:hAnsi="Book Antiqua" w:hint="default"/>
          <w:rtl w:val="0"/>
          <w:lang w:val="it-IT"/>
        </w:rPr>
        <w:t xml:space="preserve">ò </w:t>
      </w:r>
      <w:r>
        <w:rPr>
          <w:rFonts w:ascii="Book Antiqua"/>
          <w:rtl w:val="0"/>
          <w:lang w:val="it-IT"/>
        </w:rPr>
        <w:t>darvi immediatamente il senso di un</w:t>
      </w:r>
      <w:r>
        <w:rPr>
          <w:rFonts w:hAnsi="Book Antiqua" w:hint="default"/>
          <w:rtl w:val="0"/>
          <w:lang w:val="it-IT"/>
        </w:rPr>
        <w:t>’</w:t>
      </w:r>
      <w:r>
        <w:rPr>
          <w:rFonts w:ascii="Book Antiqua"/>
          <w:rtl w:val="0"/>
          <w:lang w:val="it-IT"/>
        </w:rPr>
        <w:t>emergenza. La rigidit</w:t>
      </w:r>
      <w:r>
        <w:rPr>
          <w:rFonts w:hAnsi="Book Antiqua" w:hint="default"/>
          <w:rtl w:val="0"/>
          <w:lang w:val="it-IT"/>
        </w:rPr>
        <w:t xml:space="preserve">à </w:t>
      </w:r>
      <w:r>
        <w:rPr>
          <w:rFonts w:ascii="Book Antiqua"/>
          <w:rtl w:val="0"/>
          <w:lang w:val="it-IT"/>
        </w:rPr>
        <w:t>del sistema pu</w:t>
      </w:r>
      <w:r>
        <w:rPr>
          <w:rFonts w:hAnsi="Book Antiqua" w:hint="default"/>
          <w:rtl w:val="0"/>
          <w:lang w:val="it-IT"/>
        </w:rPr>
        <w:t xml:space="preserve">ò </w:t>
      </w:r>
      <w:r>
        <w:rPr>
          <w:rFonts w:ascii="Book Antiqua"/>
          <w:rtl w:val="0"/>
          <w:lang w:val="it-IT"/>
        </w:rPr>
        <w:t>riverberarsi immediatamente come incapacit</w:t>
      </w:r>
      <w:r>
        <w:rPr>
          <w:rFonts w:hAnsi="Book Antiqua" w:hint="default"/>
          <w:rtl w:val="0"/>
          <w:lang w:val="it-IT"/>
        </w:rPr>
        <w:t xml:space="preserve">à </w:t>
      </w:r>
      <w:r>
        <w:rPr>
          <w:rFonts w:ascii="Book Antiqua"/>
          <w:rtl w:val="0"/>
          <w:lang w:val="it-IT"/>
        </w:rPr>
        <w:t>di togliere i rifiuti dalle strade, perch</w:t>
      </w:r>
      <w:r>
        <w:rPr>
          <w:rFonts w:hAnsi="Book Antiqua" w:hint="default"/>
          <w:rtl w:val="0"/>
          <w:lang w:val="it-IT"/>
        </w:rPr>
        <w:t xml:space="preserve">é </w:t>
      </w:r>
      <w:r>
        <w:rPr>
          <w:rFonts w:ascii="Book Antiqua"/>
          <w:rtl w:val="0"/>
          <w:lang w:val="it-IT"/>
        </w:rPr>
        <w:t>i rifiuti che noi togliamo dalle strade devono essere immediatamente conferiti agli impianti di trattamento e dagli impianti di trattamento devono essere immediatamente evacuati, perch</w:t>
      </w:r>
      <w:r>
        <w:rPr>
          <w:rFonts w:hAnsi="Book Antiqua" w:hint="default"/>
          <w:rtl w:val="0"/>
          <w:lang w:val="it-IT"/>
        </w:rPr>
        <w:t xml:space="preserve">é </w:t>
      </w:r>
      <w:r>
        <w:rPr>
          <w:rFonts w:ascii="Book Antiqua"/>
          <w:rtl w:val="0"/>
          <w:lang w:val="it-IT"/>
        </w:rPr>
        <w:t xml:space="preserve">non abbiamo alcun polmone, alcun sito di stoccaggio provvisorio, alcuna discarica. Non abbiamo nulla in cui poter eventualmente appoggiare questi rifiuti. Il sistema, quindi, </w:t>
      </w:r>
      <w:r>
        <w:rPr>
          <w:rFonts w:hAnsi="Book Antiqua" w:hint="default"/>
          <w:rtl w:val="0"/>
          <w:lang w:val="it-IT"/>
        </w:rPr>
        <w:t xml:space="preserve">è </w:t>
      </w:r>
      <w:r>
        <w:rPr>
          <w:rFonts w:ascii="Book Antiqua"/>
          <w:rtl w:val="0"/>
          <w:lang w:val="it-IT"/>
        </w:rPr>
        <w:t>rigidissimo e per procurare un</w:t>
      </w:r>
      <w:r>
        <w:rPr>
          <w:rFonts w:hAnsi="Book Antiqua" w:hint="default"/>
          <w:rtl w:val="0"/>
          <w:lang w:val="it-IT"/>
        </w:rPr>
        <w:t>’</w:t>
      </w:r>
      <w:r>
        <w:rPr>
          <w:rFonts w:ascii="Book Antiqua"/>
          <w:rtl w:val="0"/>
          <w:lang w:val="it-IT"/>
        </w:rPr>
        <w:t xml:space="preserve">emergenza basta un nulla. Basta che un trasportatore, magari con la scusa che non </w:t>
      </w:r>
      <w:r>
        <w:rPr>
          <w:rFonts w:hAnsi="Book Antiqua" w:hint="default"/>
          <w:rtl w:val="0"/>
          <w:lang w:val="it-IT"/>
        </w:rPr>
        <w:t xml:space="preserve">è </w:t>
      </w:r>
      <w:r>
        <w:rPr>
          <w:rFonts w:ascii="Book Antiqua"/>
          <w:rtl w:val="0"/>
          <w:lang w:val="it-IT"/>
        </w:rPr>
        <w:t>stato pagato in tempo, ma per perseguire altri fini e altri interessi, ci blocchi dei trasporti e noi andiamo in acutissime difficolt</w:t>
      </w:r>
      <w:r>
        <w:rPr>
          <w:rFonts w:hAnsi="Book Antiqua" w:hint="default"/>
          <w:rtl w:val="0"/>
          <w:lang w:val="it-IT"/>
        </w:rPr>
        <w:t>à</w:t>
      </w:r>
      <w:r>
        <w:rPr>
          <w:rFonts w:ascii="Book Antiqua"/>
          <w:rtl w:val="0"/>
          <w:lang w:val="it-IT"/>
        </w:rPr>
        <w:t>.</w:t>
      </w:r>
      <w:r>
        <w:rPr>
          <w:rFonts w:hAnsi="Book Antiqua" w:hint="default"/>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E</w:t>
      </w:r>
      <w:r>
        <w:rPr>
          <w:rFonts w:hAnsi="Book Antiqua" w:hint="default"/>
          <w:rtl w:val="0"/>
          <w:lang w:val="it-IT"/>
        </w:rPr>
        <w:t xml:space="preserve">’ </w:t>
      </w:r>
      <w:r>
        <w:rPr>
          <w:rFonts w:ascii="Book Antiqua"/>
          <w:rtl w:val="0"/>
          <w:lang w:val="it-IT"/>
        </w:rPr>
        <w:t xml:space="preserve">lo stesso Fortini che, ascoltato nuovamente il 2 agosto 2016, dichiara: </w:t>
      </w:r>
    </w:p>
    <w:p>
      <w:pPr>
        <w:pStyle w:val="Normal"/>
        <w:ind w:left="567" w:right="567" w:firstLine="0"/>
        <w:jc w:val="both"/>
        <w:rPr>
          <w:rFonts w:ascii="Book Antiqua" w:cs="Book Antiqua" w:hAnsi="Book Antiqua" w:eastAsia="Book Antiqua"/>
        </w:rPr>
      </w:pPr>
      <w:r>
        <w:rPr>
          <w:rFonts w:hAnsi="Book Antiqua" w:hint="default"/>
          <w:rtl w:val="0"/>
          <w:lang w:val="it-IT"/>
        </w:rPr>
        <w:t>“</w:t>
      </w:r>
      <w:r>
        <w:rPr>
          <w:rFonts w:ascii="Book Antiqua"/>
          <w:rtl w:val="0"/>
          <w:lang w:val="it-IT"/>
        </w:rPr>
        <w:t>Per molti aspetti giudico ancora miracoloso che la citt</w:t>
      </w:r>
      <w:r>
        <w:rPr>
          <w:rFonts w:hAnsi="Book Antiqua" w:hint="default"/>
          <w:rtl w:val="0"/>
          <w:lang w:val="it-IT"/>
        </w:rPr>
        <w:t xml:space="preserve">à </w:t>
      </w:r>
      <w:r>
        <w:rPr>
          <w:rFonts w:ascii="Book Antiqua"/>
          <w:rtl w:val="0"/>
          <w:lang w:val="it-IT"/>
        </w:rPr>
        <w:t xml:space="preserve">di Roma non abbia vissuto </w:t>
      </w:r>
      <w:r>
        <w:rPr>
          <w:rFonts w:hAnsi="Book Antiqua" w:hint="default"/>
          <w:rtl w:val="0"/>
          <w:lang w:val="it-IT"/>
        </w:rPr>
        <w:t xml:space="preserve">– </w:t>
      </w:r>
      <w:r>
        <w:rPr>
          <w:rFonts w:ascii="Book Antiqua"/>
          <w:rtl w:val="0"/>
          <w:lang w:val="it-IT"/>
        </w:rPr>
        <w:t xml:space="preserve">mi auguro, ovviamente, che non le viva mai </w:t>
      </w:r>
      <w:r>
        <w:rPr>
          <w:rFonts w:hAnsi="Book Antiqua" w:hint="default"/>
          <w:rtl w:val="0"/>
          <w:lang w:val="it-IT"/>
        </w:rPr>
        <w:t xml:space="preserve">– </w:t>
      </w:r>
      <w:r>
        <w:rPr>
          <w:rFonts w:ascii="Book Antiqua"/>
          <w:rtl w:val="0"/>
          <w:lang w:val="it-IT"/>
        </w:rPr>
        <w:t>le crisi vissute da Firenze nel 1986, da Milano nel 1992 e da Napoli nel 2007, o le crisi clamorose vissute dalla citt</w:t>
      </w:r>
      <w:r>
        <w:rPr>
          <w:rFonts w:hAnsi="Book Antiqua" w:hint="default"/>
          <w:rtl w:val="0"/>
          <w:lang w:val="it-IT"/>
        </w:rPr>
        <w:t xml:space="preserve">à </w:t>
      </w:r>
      <w:r>
        <w:rPr>
          <w:rFonts w:ascii="Book Antiqua"/>
          <w:rtl w:val="0"/>
          <w:lang w:val="it-IT"/>
        </w:rPr>
        <w:t>di Madrid soltanto un anno fa, dalla citt</w:t>
      </w:r>
      <w:r>
        <w:rPr>
          <w:rFonts w:hAnsi="Book Antiqua" w:hint="default"/>
          <w:rtl w:val="0"/>
          <w:lang w:val="it-IT"/>
        </w:rPr>
        <w:t xml:space="preserve">à </w:t>
      </w:r>
      <w:r>
        <w:rPr>
          <w:rFonts w:ascii="Book Antiqua"/>
          <w:rtl w:val="0"/>
          <w:lang w:val="it-IT"/>
        </w:rPr>
        <w:t>di Atene e dalla citt</w:t>
      </w:r>
      <w:r>
        <w:rPr>
          <w:rFonts w:hAnsi="Book Antiqua" w:hint="default"/>
          <w:rtl w:val="0"/>
          <w:lang w:val="it-IT"/>
        </w:rPr>
        <w:t xml:space="preserve">à </w:t>
      </w:r>
      <w:r>
        <w:rPr>
          <w:rFonts w:ascii="Book Antiqua"/>
          <w:rtl w:val="0"/>
          <w:lang w:val="it-IT"/>
        </w:rPr>
        <w:t>di Amsterdam, dove ugualmente si sono create delle condizioni di criticit</w:t>
      </w:r>
      <w:r>
        <w:rPr>
          <w:rFonts w:hAnsi="Book Antiqua" w:hint="default"/>
          <w:rtl w:val="0"/>
          <w:lang w:val="it-IT"/>
        </w:rPr>
        <w:t xml:space="preserve">à </w:t>
      </w:r>
      <w:r>
        <w:rPr>
          <w:rFonts w:ascii="Book Antiqua"/>
          <w:rtl w:val="0"/>
          <w:lang w:val="it-IT"/>
        </w:rPr>
        <w:t xml:space="preserve">estrema e, quindi, delle vere e proprie emergenze. </w:t>
      </w:r>
      <w:r>
        <w:rPr>
          <w:rFonts w:hAnsi="Book Antiqua" w:hint="default"/>
          <w:rtl w:val="0"/>
          <w:lang w:val="it-IT"/>
        </w:rPr>
        <w:t xml:space="preserve">È </w:t>
      </w:r>
      <w:r>
        <w:rPr>
          <w:rFonts w:ascii="Book Antiqua"/>
          <w:rtl w:val="0"/>
          <w:lang w:val="it-IT"/>
        </w:rPr>
        <w:t>quasi un miracolo che, da una parte, riusciamo a reggere 5.000 tonnellate al giorno che vengono tolte dalle strade, di cui 2.000 affidate al circuito del riciclaggio e del recupero (ma con un</w:t>
      </w:r>
      <w:r>
        <w:rPr>
          <w:rFonts w:hAnsi="Book Antiqua" w:hint="default"/>
          <w:rtl w:val="0"/>
          <w:lang w:val="it-IT"/>
        </w:rPr>
        <w:t>’</w:t>
      </w:r>
      <w:r>
        <w:rPr>
          <w:rFonts w:ascii="Book Antiqua"/>
          <w:rtl w:val="0"/>
          <w:lang w:val="it-IT"/>
        </w:rPr>
        <w:t>enorme quantit</w:t>
      </w:r>
      <w:r>
        <w:rPr>
          <w:rFonts w:hAnsi="Book Antiqua" w:hint="default"/>
          <w:rtl w:val="0"/>
          <w:lang w:val="it-IT"/>
        </w:rPr>
        <w:t xml:space="preserve">à </w:t>
      </w:r>
      <w:r>
        <w:rPr>
          <w:rFonts w:ascii="Book Antiqua"/>
          <w:rtl w:val="0"/>
          <w:lang w:val="it-IT"/>
        </w:rPr>
        <w:t>di rifiuti destinati al compostaggio a lunghissima distanza) e, dall</w:t>
      </w:r>
      <w:r>
        <w:rPr>
          <w:rFonts w:hAnsi="Book Antiqua" w:hint="default"/>
          <w:rtl w:val="0"/>
          <w:lang w:val="it-IT"/>
        </w:rPr>
        <w:t>’</w:t>
      </w:r>
      <w:r>
        <w:rPr>
          <w:rFonts w:ascii="Book Antiqua"/>
          <w:rtl w:val="0"/>
          <w:lang w:val="it-IT"/>
        </w:rPr>
        <w:t>altra parte, riusciamo a trattare 3.000 tonnellate al giorno di rifiuti indifferenziati</w:t>
      </w:r>
      <w:r>
        <w:rPr>
          <w:rFonts w:hAnsi="Book Antiqua" w:hint="default"/>
          <w:rtl w:val="0"/>
          <w:lang w:val="it-IT"/>
        </w:rPr>
        <w:t xml:space="preserve">” </w:t>
      </w:r>
      <w:r>
        <w:rPr>
          <w:rFonts w:ascii="Book Antiqua"/>
          <w:rtl w:val="0"/>
          <w:lang w:val="it-IT"/>
        </w:rPr>
        <w:t>[...] Noi non abbiamo nella regione Lazio alcuna linea in grado di ricevere rifiuti tal quali, il che vuol dire che in condizioni di emergenza o di grande difficolt</w:t>
      </w:r>
      <w:r>
        <w:rPr>
          <w:rFonts w:hAnsi="Book Antiqua" w:hint="default"/>
          <w:rtl w:val="0"/>
          <w:lang w:val="it-IT"/>
        </w:rPr>
        <w:t xml:space="preserve">à </w:t>
      </w:r>
      <w:r>
        <w:rPr>
          <w:rFonts w:ascii="Book Antiqua"/>
          <w:rtl w:val="0"/>
          <w:lang w:val="it-IT"/>
        </w:rPr>
        <w:t xml:space="preserve">si </w:t>
      </w:r>
      <w:r>
        <w:rPr>
          <w:rFonts w:hAnsi="Book Antiqua" w:hint="default"/>
          <w:rtl w:val="0"/>
          <w:lang w:val="it-IT"/>
        </w:rPr>
        <w:t xml:space="preserve">è </w:t>
      </w:r>
      <w:r>
        <w:rPr>
          <w:rFonts w:ascii="Book Antiqua"/>
          <w:rtl w:val="0"/>
          <w:lang w:val="it-IT"/>
        </w:rPr>
        <w:t>costretti comunque a ricorrere a impianti di terzi ovvero a discariche, perch</w:t>
      </w:r>
      <w:r>
        <w:rPr>
          <w:rFonts w:hAnsi="Book Antiqua" w:hint="default"/>
          <w:rtl w:val="0"/>
          <w:lang w:val="it-IT"/>
        </w:rPr>
        <w:t xml:space="preserve">é </w:t>
      </w:r>
      <w:r>
        <w:rPr>
          <w:rFonts w:ascii="Book Antiqua"/>
          <w:rtl w:val="0"/>
          <w:lang w:val="it-IT"/>
        </w:rPr>
        <w:t xml:space="preserve">non vi </w:t>
      </w:r>
      <w:r>
        <w:rPr>
          <w:rFonts w:hAnsi="Book Antiqua" w:hint="default"/>
          <w:rtl w:val="0"/>
          <w:lang w:val="it-IT"/>
        </w:rPr>
        <w:t xml:space="preserve">è </w:t>
      </w:r>
      <w:r>
        <w:rPr>
          <w:rFonts w:ascii="Book Antiqua"/>
          <w:rtl w:val="0"/>
          <w:lang w:val="it-IT"/>
        </w:rPr>
        <w:t>alcun forno in grado di poter accogliere rifiuti indifferenziati. La stessa ipotesi di ampliamento dell</w:t>
      </w:r>
      <w:r>
        <w:rPr>
          <w:rFonts w:hAnsi="Book Antiqua" w:hint="default"/>
          <w:rtl w:val="0"/>
          <w:lang w:val="it-IT"/>
        </w:rPr>
        <w:t>’</w:t>
      </w:r>
      <w:r>
        <w:rPr>
          <w:rFonts w:ascii="Book Antiqua"/>
          <w:rtl w:val="0"/>
          <w:lang w:val="it-IT"/>
        </w:rPr>
        <w:t xml:space="preserve">impianto di San Vittore </w:t>
      </w:r>
      <w:r>
        <w:rPr>
          <w:rFonts w:hAnsi="Book Antiqua" w:hint="default"/>
          <w:rtl w:val="0"/>
          <w:lang w:val="it-IT"/>
        </w:rPr>
        <w:t xml:space="preserve">è </w:t>
      </w:r>
      <w:r>
        <w:rPr>
          <w:rFonts w:ascii="Book Antiqua"/>
          <w:rtl w:val="0"/>
          <w:lang w:val="it-IT"/>
        </w:rPr>
        <w:t>stata autorizzata per realizzare linee di trattamento del CDR. L</w:t>
      </w:r>
      <w:r>
        <w:rPr>
          <w:rFonts w:hAnsi="Book Antiqua" w:hint="default"/>
          <w:rtl w:val="0"/>
          <w:lang w:val="it-IT"/>
        </w:rPr>
        <w:t>’</w:t>
      </w:r>
      <w:r>
        <w:rPr>
          <w:rFonts w:ascii="Book Antiqua"/>
          <w:rtl w:val="0"/>
          <w:lang w:val="it-IT"/>
        </w:rPr>
        <w:t xml:space="preserve">impianto di Colleferro </w:t>
      </w:r>
      <w:r>
        <w:rPr>
          <w:rFonts w:hAnsi="Book Antiqua" w:hint="default"/>
          <w:rtl w:val="0"/>
          <w:lang w:val="it-IT"/>
        </w:rPr>
        <w:t xml:space="preserve">è </w:t>
      </w:r>
      <w:r>
        <w:rPr>
          <w:rFonts w:ascii="Book Antiqua"/>
          <w:rtl w:val="0"/>
          <w:lang w:val="it-IT"/>
        </w:rPr>
        <w:t>esclusivamente dedicato al CDR. Vale a dire che, per far funzionare quegli impianti, si deve comunque produrre CDR, il che significa che si devono avere per forza gli impianti di trattamento meccanico-biologico come quelli che abbiamo, il che vuol dire, a sua volta, per forza di cose, produrre rifiuti da rifiuti.</w:t>
      </w:r>
      <w:r>
        <w:rPr>
          <w:rFonts w:hAnsi="Book Antiqua" w:hint="default"/>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 xml:space="preserve">Nella visione di quella </w:t>
      </w:r>
      <w:r>
        <w:rPr>
          <w:rFonts w:ascii="Book Antiqua"/>
          <w:i w:val="1"/>
          <w:iCs w:val="1"/>
          <w:rtl w:val="0"/>
          <w:lang w:val="it-IT"/>
        </w:rPr>
        <w:t>governance</w:t>
      </w:r>
      <w:r>
        <w:rPr>
          <w:rFonts w:ascii="Book Antiqua"/>
          <w:rtl w:val="0"/>
          <w:lang w:val="it-IT"/>
        </w:rPr>
        <w:t xml:space="preserve"> di AMA S.p.A., scelta dalla precedente amministrazione, sostituita con altri amministratori dalla Giunta capitolina insediatasi nel giugno 2016</w:t>
      </w:r>
      <w:r>
        <w:rPr>
          <w:rFonts w:hAnsi="Book Antiqua" w:hint="default"/>
          <w:rtl w:val="0"/>
          <w:lang w:val="it-IT"/>
        </w:rPr>
        <w:t xml:space="preserve"> – </w:t>
      </w:r>
      <w:r>
        <w:rPr>
          <w:rFonts w:ascii="Book Antiqua"/>
          <w:rtl w:val="0"/>
          <w:lang w:val="it-IT"/>
        </w:rPr>
        <w:t>poi dalla stessa ulteriormente mutati - un siffatto sistema avrebbe dovuto essere superato, come viene ribadito e spiegato sia pure a posteriori:</w:t>
      </w:r>
    </w:p>
    <w:p>
      <w:pPr>
        <w:pStyle w:val="Normal"/>
        <w:ind w:left="567" w:right="567" w:firstLine="0"/>
        <w:jc w:val="both"/>
        <w:rPr>
          <w:rFonts w:ascii="Book Antiqua" w:cs="Book Antiqua" w:hAnsi="Book Antiqua" w:eastAsia="Book Antiqua"/>
        </w:rPr>
      </w:pPr>
      <w:r>
        <w:rPr>
          <w:rFonts w:ascii="Book Antiqua"/>
          <w:rtl w:val="0"/>
          <w:lang w:val="it-IT"/>
        </w:rPr>
        <w:t xml:space="preserve"> </w:t>
      </w:r>
      <w:r>
        <w:rPr>
          <w:rFonts w:hAnsi="Book Antiqua" w:hint="default"/>
          <w:rtl w:val="0"/>
          <w:lang w:val="it-IT"/>
        </w:rPr>
        <w:t>“</w:t>
      </w:r>
      <w:r>
        <w:rPr>
          <w:rFonts w:ascii="Book Antiqua"/>
          <w:rtl w:val="0"/>
          <w:lang w:val="it-IT"/>
        </w:rPr>
        <w:t>Questo sistema deve essere smantellato perch</w:t>
      </w:r>
      <w:r>
        <w:rPr>
          <w:rFonts w:hAnsi="Book Antiqua" w:hint="default"/>
          <w:rtl w:val="0"/>
          <w:lang w:val="it-IT"/>
        </w:rPr>
        <w:t xml:space="preserve">é </w:t>
      </w:r>
      <w:r>
        <w:rPr>
          <w:rFonts w:ascii="Book Antiqua"/>
          <w:rtl w:val="0"/>
          <w:lang w:val="it-IT"/>
        </w:rPr>
        <w:t>in questa forma crea un vincolo di rigidit</w:t>
      </w:r>
      <w:r>
        <w:rPr>
          <w:rFonts w:hAnsi="Book Antiqua" w:hint="default"/>
          <w:rtl w:val="0"/>
          <w:lang w:val="it-IT"/>
        </w:rPr>
        <w:t>à</w:t>
      </w:r>
      <w:r>
        <w:rPr>
          <w:rFonts w:ascii="Book Antiqua"/>
          <w:rtl w:val="0"/>
          <w:lang w:val="it-IT"/>
        </w:rPr>
        <w:t>, di precariet</w:t>
      </w:r>
      <w:r>
        <w:rPr>
          <w:rFonts w:hAnsi="Book Antiqua" w:hint="default"/>
          <w:rtl w:val="0"/>
          <w:lang w:val="it-IT"/>
        </w:rPr>
        <w:t xml:space="preserve">à </w:t>
      </w:r>
      <w:r>
        <w:rPr>
          <w:rFonts w:ascii="Book Antiqua"/>
          <w:rtl w:val="0"/>
          <w:lang w:val="it-IT"/>
        </w:rPr>
        <w:t>e di fragilit</w:t>
      </w:r>
      <w:r>
        <w:rPr>
          <w:rFonts w:hAnsi="Book Antiqua" w:hint="default"/>
          <w:rtl w:val="0"/>
          <w:lang w:val="it-IT"/>
        </w:rPr>
        <w:t xml:space="preserve">à </w:t>
      </w:r>
      <w:r>
        <w:rPr>
          <w:rFonts w:ascii="Book Antiqua"/>
          <w:rtl w:val="0"/>
          <w:lang w:val="it-IT"/>
        </w:rPr>
        <w:t>tale da inibire la possibilit</w:t>
      </w:r>
      <w:r>
        <w:rPr>
          <w:rFonts w:hAnsi="Book Antiqua" w:hint="default"/>
          <w:rtl w:val="0"/>
          <w:lang w:val="it-IT"/>
        </w:rPr>
        <w:t xml:space="preserve">à </w:t>
      </w:r>
      <w:r>
        <w:rPr>
          <w:rFonts w:ascii="Book Antiqua"/>
          <w:rtl w:val="0"/>
          <w:lang w:val="it-IT"/>
        </w:rPr>
        <w:t>di attivare sistemi virtuosi, invece, di recupero spinto di materia dai rifiuti che raccogliamo [</w:t>
      </w:r>
      <w:r>
        <w:rPr>
          <w:rFonts w:hAnsi="Book Antiqua" w:hint="default"/>
          <w:rtl w:val="0"/>
          <w:lang w:val="it-IT"/>
        </w:rPr>
        <w:t>…</w:t>
      </w:r>
      <w:r>
        <w:rPr>
          <w:rFonts w:ascii="Book Antiqua"/>
          <w:rtl w:val="0"/>
          <w:lang w:val="it-IT"/>
        </w:rPr>
        <w:t>] i TMB attuali hanno nominalmente una capacit</w:t>
      </w:r>
      <w:r>
        <w:rPr>
          <w:rFonts w:hAnsi="Book Antiqua" w:hint="default"/>
          <w:rtl w:val="0"/>
          <w:lang w:val="it-IT"/>
        </w:rPr>
        <w:t xml:space="preserve">à </w:t>
      </w:r>
      <w:r>
        <w:rPr>
          <w:rFonts w:ascii="Book Antiqua"/>
          <w:rtl w:val="0"/>
          <w:lang w:val="it-IT"/>
        </w:rPr>
        <w:t>di accoglimento per 3.000 tonnellate al giorno di rifiuti indifferenziati, rifiuti urbani residui (residui della raccolta differenziata). Le 3.000 tonnellate al giorno, per</w:t>
      </w:r>
      <w:r>
        <w:rPr>
          <w:rFonts w:hAnsi="Book Antiqua" w:hint="default"/>
          <w:rtl w:val="0"/>
          <w:lang w:val="it-IT"/>
        </w:rPr>
        <w:t>ò</w:t>
      </w:r>
      <w:r>
        <w:rPr>
          <w:rFonts w:ascii="Book Antiqua"/>
          <w:rtl w:val="0"/>
          <w:lang w:val="it-IT"/>
        </w:rPr>
        <w:t>, sono presenti soltanto sulla carta, perch</w:t>
      </w:r>
      <w:r>
        <w:rPr>
          <w:rFonts w:hAnsi="Book Antiqua" w:hint="default"/>
          <w:rtl w:val="0"/>
          <w:lang w:val="it-IT"/>
        </w:rPr>
        <w:t xml:space="preserve">é </w:t>
      </w:r>
      <w:r>
        <w:rPr>
          <w:rFonts w:ascii="Book Antiqua"/>
          <w:rtl w:val="0"/>
          <w:lang w:val="it-IT"/>
        </w:rPr>
        <w:t xml:space="preserve">3.000 tonnellate al giorno </w:t>
      </w:r>
      <w:r>
        <w:rPr>
          <w:rFonts w:hAnsi="Book Antiqua" w:hint="default"/>
          <w:rtl w:val="0"/>
          <w:lang w:val="it-IT"/>
        </w:rPr>
        <w:t xml:space="preserve">è </w:t>
      </w:r>
      <w:r>
        <w:rPr>
          <w:rFonts w:ascii="Book Antiqua"/>
          <w:rtl w:val="0"/>
          <w:lang w:val="it-IT"/>
        </w:rPr>
        <w:t>il fabbisogno di trattamento di rifiuti indifferenziati della Capitale d</w:t>
      </w:r>
      <w:r>
        <w:rPr>
          <w:rFonts w:hAnsi="Book Antiqua" w:hint="default"/>
          <w:rtl w:val="0"/>
          <w:lang w:val="it-IT"/>
        </w:rPr>
        <w:t>’</w:t>
      </w:r>
      <w:r>
        <w:rPr>
          <w:rFonts w:ascii="Book Antiqua"/>
          <w:rtl w:val="0"/>
          <w:lang w:val="it-IT"/>
        </w:rPr>
        <w:t xml:space="preserve">Italia; le 3.000 tonnellate installate in questi impianti sembrerebbero </w:t>
      </w:r>
      <w:r>
        <w:rPr>
          <w:rFonts w:hAnsi="Book Antiqua" w:hint="default"/>
          <w:rtl w:val="0"/>
          <w:lang w:val="it-IT"/>
        </w:rPr>
        <w:t xml:space="preserve">– </w:t>
      </w:r>
      <w:r>
        <w:rPr>
          <w:rFonts w:ascii="Book Antiqua"/>
          <w:rtl w:val="0"/>
          <w:lang w:val="it-IT"/>
        </w:rPr>
        <w:t xml:space="preserve">anche se pelo pelo </w:t>
      </w:r>
      <w:r>
        <w:rPr>
          <w:rFonts w:hAnsi="Book Antiqua" w:hint="default"/>
          <w:rtl w:val="0"/>
          <w:lang w:val="it-IT"/>
        </w:rPr>
        <w:t xml:space="preserve">– </w:t>
      </w:r>
      <w:r>
        <w:rPr>
          <w:rFonts w:ascii="Book Antiqua"/>
          <w:rtl w:val="0"/>
          <w:lang w:val="it-IT"/>
        </w:rPr>
        <w:t>poter dare soddisfazione alle condizioni di sicurezza. Problema: gli impianti di Co.La.Ri. accolgono dalla citt</w:t>
      </w:r>
      <w:r>
        <w:rPr>
          <w:rFonts w:hAnsi="Book Antiqua" w:hint="default"/>
          <w:rtl w:val="0"/>
          <w:lang w:val="it-IT"/>
        </w:rPr>
        <w:t xml:space="preserve">à </w:t>
      </w:r>
      <w:r>
        <w:rPr>
          <w:rFonts w:ascii="Book Antiqua"/>
          <w:rtl w:val="0"/>
          <w:lang w:val="it-IT"/>
        </w:rPr>
        <w:t>di Roma soltanto 1.200 tonnellate al giorno, perch</w:t>
      </w:r>
      <w:r>
        <w:rPr>
          <w:rFonts w:hAnsi="Book Antiqua" w:hint="default"/>
          <w:rtl w:val="0"/>
          <w:lang w:val="it-IT"/>
        </w:rPr>
        <w:t xml:space="preserve">é </w:t>
      </w:r>
      <w:r>
        <w:rPr>
          <w:rFonts w:ascii="Book Antiqua"/>
          <w:rtl w:val="0"/>
          <w:lang w:val="it-IT"/>
        </w:rPr>
        <w:t>300 tonnellate al giorno devono essere riservate ai comuni di Ciampino, Fiumicino, agli aeroporti presenti sul territorio e alla Citt</w:t>
      </w:r>
      <w:r>
        <w:rPr>
          <w:rFonts w:hAnsi="Book Antiqua" w:hint="default"/>
          <w:rtl w:val="0"/>
          <w:lang w:val="it-IT"/>
        </w:rPr>
        <w:t xml:space="preserve">à </w:t>
      </w:r>
      <w:r>
        <w:rPr>
          <w:rFonts w:ascii="Book Antiqua"/>
          <w:rtl w:val="0"/>
          <w:lang w:val="it-IT"/>
        </w:rPr>
        <w:t>del Vaticano. Quindi, gi</w:t>
      </w:r>
      <w:r>
        <w:rPr>
          <w:rFonts w:hAnsi="Book Antiqua" w:hint="default"/>
          <w:rtl w:val="0"/>
          <w:lang w:val="it-IT"/>
        </w:rPr>
        <w:t xml:space="preserve">à </w:t>
      </w:r>
      <w:r>
        <w:rPr>
          <w:rFonts w:ascii="Book Antiqua"/>
          <w:rtl w:val="0"/>
          <w:lang w:val="it-IT"/>
        </w:rPr>
        <w:t>l</w:t>
      </w:r>
      <w:r>
        <w:rPr>
          <w:rFonts w:hAnsi="Book Antiqua" w:hint="default"/>
          <w:rtl w:val="0"/>
          <w:lang w:val="it-IT"/>
        </w:rPr>
        <w:t>ì</w:t>
      </w:r>
      <w:r>
        <w:rPr>
          <w:rFonts w:ascii="Book Antiqua"/>
          <w:rtl w:val="0"/>
          <w:lang w:val="it-IT"/>
        </w:rPr>
        <w:t>, 300 tonnellate al giorno di rifiuti di Roma Capitale non possono andarci [...] Ci siamo trovati quest</w:t>
      </w:r>
      <w:r>
        <w:rPr>
          <w:rFonts w:hAnsi="Book Antiqua" w:hint="default"/>
          <w:rtl w:val="0"/>
          <w:lang w:val="it-IT"/>
        </w:rPr>
        <w:t>’</w:t>
      </w:r>
      <w:r>
        <w:rPr>
          <w:rFonts w:ascii="Book Antiqua"/>
          <w:rtl w:val="0"/>
          <w:lang w:val="it-IT"/>
        </w:rPr>
        <w:t>anno, come nel luglio del 2015 e del 2014, nel dicembre del 2013 e del 2014, di fronte all</w:t>
      </w:r>
      <w:r>
        <w:rPr>
          <w:rFonts w:hAnsi="Book Antiqua" w:hint="default"/>
          <w:rtl w:val="0"/>
          <w:lang w:val="it-IT"/>
        </w:rPr>
        <w:t>’</w:t>
      </w:r>
      <w:r>
        <w:rPr>
          <w:rFonts w:ascii="Book Antiqua"/>
          <w:rtl w:val="0"/>
          <w:lang w:val="it-IT"/>
        </w:rPr>
        <w:t>impossibilit</w:t>
      </w:r>
      <w:r>
        <w:rPr>
          <w:rFonts w:hAnsi="Book Antiqua" w:hint="default"/>
          <w:rtl w:val="0"/>
          <w:lang w:val="it-IT"/>
        </w:rPr>
        <w:t xml:space="preserve">à </w:t>
      </w:r>
      <w:r>
        <w:rPr>
          <w:rFonts w:ascii="Book Antiqua"/>
          <w:rtl w:val="0"/>
          <w:lang w:val="it-IT"/>
        </w:rPr>
        <w:t xml:space="preserve">di evacuare rifiuti trattati dei nostri TMB </w:t>
      </w:r>
      <w:r>
        <w:rPr>
          <w:rFonts w:hAnsi="Book Antiqua" w:hint="default"/>
          <w:rtl w:val="0"/>
          <w:lang w:val="it-IT"/>
        </w:rPr>
        <w:t xml:space="preserve">– </w:t>
      </w:r>
      <w:r>
        <w:rPr>
          <w:rFonts w:ascii="Book Antiqua"/>
          <w:rtl w:val="0"/>
          <w:lang w:val="it-IT"/>
        </w:rPr>
        <w:t>non solo dei nostri ma anche di quelli di Co.La.Ri.</w:t>
      </w:r>
      <w:r>
        <w:rPr>
          <w:rFonts w:hAnsi="Book Antiqua" w:hint="default"/>
          <w:rtl w:val="0"/>
          <w:lang w:val="it-IT"/>
        </w:rPr>
        <w:t xml:space="preserve"> – </w:t>
      </w:r>
      <w:r>
        <w:rPr>
          <w:rFonts w:ascii="Book Antiqua"/>
          <w:rtl w:val="0"/>
          <w:lang w:val="it-IT"/>
        </w:rPr>
        <w:t>in direzione di quei 62 impianti che raccolgono i rifiuti trattati di Roma. Al Nord, durante l</w:t>
      </w:r>
      <w:r>
        <w:rPr>
          <w:rFonts w:hAnsi="Book Antiqua" w:hint="default"/>
          <w:rtl w:val="0"/>
          <w:lang w:val="it-IT"/>
        </w:rPr>
        <w:t>’</w:t>
      </w:r>
      <w:r>
        <w:rPr>
          <w:rFonts w:ascii="Book Antiqua"/>
          <w:rtl w:val="0"/>
          <w:lang w:val="it-IT"/>
        </w:rPr>
        <w:t>inverno, gli impianti funzionano, generano energia elettrica ed energia termica: si riscaldano le case. Sono impianti, per la pi</w:t>
      </w:r>
      <w:r>
        <w:rPr>
          <w:rFonts w:hAnsi="Book Antiqua" w:hint="default"/>
          <w:rtl w:val="0"/>
          <w:lang w:val="it-IT"/>
        </w:rPr>
        <w:t xml:space="preserve">ù </w:t>
      </w:r>
      <w:r>
        <w:rPr>
          <w:rFonts w:ascii="Book Antiqua"/>
          <w:rtl w:val="0"/>
          <w:lang w:val="it-IT"/>
        </w:rPr>
        <w:t>parte, evoluti e che accolgono ben volentieri i rifiuti. Quando arriva l</w:t>
      </w:r>
      <w:r>
        <w:rPr>
          <w:rFonts w:hAnsi="Book Antiqua" w:hint="default"/>
          <w:rtl w:val="0"/>
          <w:lang w:val="it-IT"/>
        </w:rPr>
        <w:t>’</w:t>
      </w:r>
      <w:r>
        <w:rPr>
          <w:rFonts w:ascii="Book Antiqua"/>
          <w:rtl w:val="0"/>
          <w:lang w:val="it-IT"/>
        </w:rPr>
        <w:t>estate, per</w:t>
      </w:r>
      <w:r>
        <w:rPr>
          <w:rFonts w:hAnsi="Book Antiqua" w:hint="default"/>
          <w:rtl w:val="0"/>
          <w:lang w:val="it-IT"/>
        </w:rPr>
        <w:t>ò</w:t>
      </w:r>
      <w:r>
        <w:rPr>
          <w:rFonts w:ascii="Book Antiqua"/>
          <w:rtl w:val="0"/>
          <w:lang w:val="it-IT"/>
        </w:rPr>
        <w:t>, gli impianti di termovalorizzazione vanno in manutenzione perch</w:t>
      </w:r>
      <w:r>
        <w:rPr>
          <w:rFonts w:hAnsi="Book Antiqua" w:hint="default"/>
          <w:rtl w:val="0"/>
          <w:lang w:val="it-IT"/>
        </w:rPr>
        <w:t xml:space="preserve">é </w:t>
      </w:r>
      <w:r>
        <w:rPr>
          <w:rFonts w:ascii="Book Antiqua"/>
          <w:rtl w:val="0"/>
          <w:lang w:val="it-IT"/>
        </w:rPr>
        <w:t>hanno lavorato molto d</w:t>
      </w:r>
      <w:r>
        <w:rPr>
          <w:rFonts w:hAnsi="Book Antiqua" w:hint="default"/>
          <w:rtl w:val="0"/>
          <w:lang w:val="it-IT"/>
        </w:rPr>
        <w:t>’</w:t>
      </w:r>
      <w:r>
        <w:rPr>
          <w:rFonts w:ascii="Book Antiqua"/>
          <w:rtl w:val="0"/>
          <w:lang w:val="it-IT"/>
        </w:rPr>
        <w:t>inverno; quindi, d</w:t>
      </w:r>
      <w:r>
        <w:rPr>
          <w:rFonts w:hAnsi="Book Antiqua" w:hint="default"/>
          <w:rtl w:val="0"/>
          <w:lang w:val="it-IT"/>
        </w:rPr>
        <w:t>’</w:t>
      </w:r>
      <w:r>
        <w:rPr>
          <w:rFonts w:ascii="Book Antiqua"/>
          <w:rtl w:val="0"/>
          <w:lang w:val="it-IT"/>
        </w:rPr>
        <w:t>estate, questi impianti devono essere riparati, migliorati e mantenuti. Ci</w:t>
      </w:r>
      <w:r>
        <w:rPr>
          <w:rFonts w:hAnsi="Book Antiqua" w:hint="default"/>
          <w:rtl w:val="0"/>
          <w:lang w:val="it-IT"/>
        </w:rPr>
        <w:t xml:space="preserve">ò </w:t>
      </w:r>
      <w:r>
        <w:rPr>
          <w:rFonts w:ascii="Book Antiqua"/>
          <w:rtl w:val="0"/>
          <w:lang w:val="it-IT"/>
        </w:rPr>
        <w:t xml:space="preserve">vuol dire che vengono accese alternativamente le linee che servono per coprire il  fabbisogno locale, mentre il fabbisogno esterno non serve e quindi si blocca. Nel periodo natalizio, invece, la grande generazione di rifiuti in tutta Italia, per ovvie ragioni </w:t>
      </w:r>
      <w:r>
        <w:rPr>
          <w:rFonts w:hAnsi="Book Antiqua" w:hint="default"/>
          <w:rtl w:val="0"/>
          <w:lang w:val="it-IT"/>
        </w:rPr>
        <w:t xml:space="preserve">– </w:t>
      </w:r>
      <w:r>
        <w:rPr>
          <w:rFonts w:ascii="Book Antiqua"/>
          <w:rtl w:val="0"/>
          <w:lang w:val="it-IT"/>
        </w:rPr>
        <w:t>le festivit</w:t>
      </w:r>
      <w:r>
        <w:rPr>
          <w:rFonts w:hAnsi="Book Antiqua" w:hint="default"/>
          <w:rtl w:val="0"/>
          <w:lang w:val="it-IT"/>
        </w:rPr>
        <w:t xml:space="preserve">à </w:t>
      </w:r>
      <w:r>
        <w:rPr>
          <w:rFonts w:ascii="Book Antiqua"/>
          <w:rtl w:val="0"/>
          <w:lang w:val="it-IT"/>
        </w:rPr>
        <w:t xml:space="preserve">e un incremento dei consumi </w:t>
      </w:r>
      <w:r>
        <w:rPr>
          <w:rFonts w:hAnsi="Book Antiqua" w:hint="default"/>
          <w:rtl w:val="0"/>
          <w:lang w:val="it-IT"/>
        </w:rPr>
        <w:t xml:space="preserve">– </w:t>
      </w:r>
      <w:r>
        <w:rPr>
          <w:rFonts w:ascii="Book Antiqua"/>
          <w:rtl w:val="0"/>
          <w:lang w:val="it-IT"/>
        </w:rPr>
        <w:t xml:space="preserve">determina una saturazione degli impianti di chi li ha, tale per cui chi </w:t>
      </w:r>
      <w:r>
        <w:rPr>
          <w:rFonts w:hAnsi="Book Antiqua" w:hint="default"/>
          <w:rtl w:val="0"/>
          <w:lang w:val="it-IT"/>
        </w:rPr>
        <w:t xml:space="preserve">è </w:t>
      </w:r>
      <w:r>
        <w:rPr>
          <w:rFonts w:ascii="Book Antiqua"/>
          <w:rtl w:val="0"/>
          <w:lang w:val="it-IT"/>
        </w:rPr>
        <w:t xml:space="preserve">senza impianti si mette in coda e aspetta. Pertanto, quello che accade </w:t>
      </w:r>
      <w:r>
        <w:rPr>
          <w:rFonts w:hAnsi="Book Antiqua" w:hint="default"/>
          <w:rtl w:val="0"/>
          <w:lang w:val="it-IT"/>
        </w:rPr>
        <w:t xml:space="preserve">è </w:t>
      </w:r>
      <w:r>
        <w:rPr>
          <w:rFonts w:ascii="Book Antiqua"/>
          <w:rtl w:val="0"/>
          <w:lang w:val="it-IT"/>
        </w:rPr>
        <w:t xml:space="preserve">che nel mese di luglio 2014, 2015 e ancora 2016 </w:t>
      </w:r>
      <w:r>
        <w:rPr>
          <w:rFonts w:hAnsi="Book Antiqua" w:hint="default"/>
          <w:rtl w:val="0"/>
          <w:lang w:val="it-IT"/>
        </w:rPr>
        <w:t xml:space="preserve">è </w:t>
      </w:r>
      <w:r>
        <w:rPr>
          <w:rFonts w:ascii="Book Antiqua"/>
          <w:rtl w:val="0"/>
          <w:lang w:val="it-IT"/>
        </w:rPr>
        <w:t>stato tecnicamente impossibile per noi, come per la societ</w:t>
      </w:r>
      <w:r>
        <w:rPr>
          <w:rFonts w:hAnsi="Book Antiqua" w:hint="default"/>
          <w:rtl w:val="0"/>
          <w:lang w:val="it-IT"/>
        </w:rPr>
        <w:t xml:space="preserve">à </w:t>
      </w:r>
      <w:r>
        <w:rPr>
          <w:rFonts w:ascii="Book Antiqua"/>
          <w:rtl w:val="0"/>
          <w:lang w:val="it-IT"/>
        </w:rPr>
        <w:t>Co.La.Ri., avere l</w:t>
      </w:r>
      <w:r>
        <w:rPr>
          <w:rFonts w:hAnsi="Book Antiqua" w:hint="default"/>
          <w:rtl w:val="0"/>
          <w:lang w:val="it-IT"/>
        </w:rPr>
        <w:t>’</w:t>
      </w:r>
      <w:r>
        <w:rPr>
          <w:rFonts w:ascii="Book Antiqua"/>
          <w:rtl w:val="0"/>
          <w:lang w:val="it-IT"/>
        </w:rPr>
        <w:t>assicurazione al cento per cento di tutte le evacuazioni: basta chiederlo a Co.La.Ri. e scoprirete che le navi che dovevano portare i rifiuti in Portogallo a un cementificio sono arrivate, per problemi loro, con quattro giorni di ritardo. La capacit</w:t>
      </w:r>
      <w:r>
        <w:rPr>
          <w:rFonts w:hAnsi="Book Antiqua" w:hint="default"/>
          <w:rtl w:val="0"/>
          <w:lang w:val="it-IT"/>
        </w:rPr>
        <w:t xml:space="preserve">à </w:t>
      </w:r>
      <w:r>
        <w:rPr>
          <w:rFonts w:ascii="Book Antiqua"/>
          <w:rtl w:val="0"/>
          <w:lang w:val="it-IT"/>
        </w:rPr>
        <w:t>di stoccaggio dell</w:t>
      </w:r>
      <w:r>
        <w:rPr>
          <w:rFonts w:hAnsi="Book Antiqua" w:hint="default"/>
          <w:rtl w:val="0"/>
          <w:lang w:val="it-IT"/>
        </w:rPr>
        <w:t>’</w:t>
      </w:r>
      <w:r>
        <w:rPr>
          <w:rFonts w:ascii="Book Antiqua"/>
          <w:rtl w:val="0"/>
          <w:lang w:val="it-IT"/>
        </w:rPr>
        <w:t>impianto TMB era satura; la possibilit</w:t>
      </w:r>
      <w:r>
        <w:rPr>
          <w:rFonts w:hAnsi="Book Antiqua" w:hint="default"/>
          <w:rtl w:val="0"/>
          <w:lang w:val="it-IT"/>
        </w:rPr>
        <w:t xml:space="preserve">à </w:t>
      </w:r>
      <w:r>
        <w:rPr>
          <w:rFonts w:ascii="Book Antiqua"/>
          <w:rtl w:val="0"/>
          <w:lang w:val="it-IT"/>
        </w:rPr>
        <w:t xml:space="preserve">di abbancare in banchina </w:t>
      </w:r>
      <w:r>
        <w:rPr>
          <w:rFonts w:hAnsi="Book Antiqua" w:hint="default"/>
          <w:rtl w:val="0"/>
          <w:lang w:val="it-IT"/>
        </w:rPr>
        <w:t xml:space="preserve">– </w:t>
      </w:r>
      <w:r>
        <w:rPr>
          <w:rFonts w:ascii="Book Antiqua"/>
          <w:rtl w:val="0"/>
          <w:lang w:val="it-IT"/>
        </w:rPr>
        <w:t xml:space="preserve">al molo </w:t>
      </w:r>
      <w:r>
        <w:rPr>
          <w:rFonts w:hAnsi="Book Antiqua" w:hint="default"/>
          <w:rtl w:val="0"/>
          <w:lang w:val="it-IT"/>
        </w:rPr>
        <w:t xml:space="preserve">– </w:t>
      </w:r>
      <w:r>
        <w:rPr>
          <w:rFonts w:ascii="Book Antiqua"/>
          <w:rtl w:val="0"/>
          <w:lang w:val="it-IT"/>
        </w:rPr>
        <w:t>quei rifiuti non c</w:t>
      </w:r>
      <w:r>
        <w:rPr>
          <w:rFonts w:hAnsi="Book Antiqua" w:hint="default"/>
          <w:rtl w:val="0"/>
          <w:lang w:val="it-IT"/>
        </w:rPr>
        <w:t>’</w:t>
      </w:r>
      <w:r>
        <w:rPr>
          <w:rFonts w:ascii="Book Antiqua"/>
          <w:rtl w:val="0"/>
          <w:lang w:val="it-IT"/>
        </w:rPr>
        <w:t>era; pertanto, l</w:t>
      </w:r>
      <w:r>
        <w:rPr>
          <w:rFonts w:hAnsi="Book Antiqua" w:hint="default"/>
          <w:rtl w:val="0"/>
          <w:lang w:val="it-IT"/>
        </w:rPr>
        <w:t>’</w:t>
      </w:r>
      <w:r>
        <w:rPr>
          <w:rFonts w:ascii="Book Antiqua"/>
          <w:rtl w:val="0"/>
          <w:lang w:val="it-IT"/>
        </w:rPr>
        <w:t xml:space="preserve">impianto si intasa e va al rallentatore. A noi </w:t>
      </w:r>
      <w:r>
        <w:rPr>
          <w:rFonts w:hAnsi="Book Antiqua" w:hint="default"/>
          <w:rtl w:val="0"/>
          <w:lang w:val="it-IT"/>
        </w:rPr>
        <w:t xml:space="preserve">è </w:t>
      </w:r>
      <w:r>
        <w:rPr>
          <w:rFonts w:ascii="Book Antiqua"/>
          <w:rtl w:val="0"/>
          <w:lang w:val="it-IT"/>
        </w:rPr>
        <w:t>accaduto il 16 maggio di quest</w:t>
      </w:r>
      <w:r>
        <w:rPr>
          <w:rFonts w:hAnsi="Book Antiqua" w:hint="default"/>
          <w:rtl w:val="0"/>
          <w:lang w:val="it-IT"/>
        </w:rPr>
        <w:t>’</w:t>
      </w:r>
      <w:r>
        <w:rPr>
          <w:rFonts w:ascii="Book Antiqua"/>
          <w:rtl w:val="0"/>
          <w:lang w:val="it-IT"/>
        </w:rPr>
        <w:t>anno un problema con SAF, una societ</w:t>
      </w:r>
      <w:r>
        <w:rPr>
          <w:rFonts w:hAnsi="Book Antiqua" w:hint="default"/>
          <w:rtl w:val="0"/>
          <w:lang w:val="it-IT"/>
        </w:rPr>
        <w:t xml:space="preserve">à </w:t>
      </w:r>
      <w:r>
        <w:rPr>
          <w:rFonts w:ascii="Book Antiqua"/>
          <w:rtl w:val="0"/>
          <w:lang w:val="it-IT"/>
        </w:rPr>
        <w:t>che ci sta aiutando, una societ</w:t>
      </w:r>
      <w:r>
        <w:rPr>
          <w:rFonts w:hAnsi="Book Antiqua" w:hint="default"/>
          <w:rtl w:val="0"/>
          <w:lang w:val="it-IT"/>
        </w:rPr>
        <w:t xml:space="preserve">à </w:t>
      </w:r>
      <w:r>
        <w:rPr>
          <w:rFonts w:ascii="Book Antiqua"/>
          <w:rtl w:val="0"/>
          <w:lang w:val="it-IT"/>
        </w:rPr>
        <w:t>pubblica, che grazie all</w:t>
      </w:r>
      <w:r>
        <w:rPr>
          <w:rFonts w:hAnsi="Book Antiqua" w:hint="default"/>
          <w:rtl w:val="0"/>
          <w:lang w:val="it-IT"/>
        </w:rPr>
        <w:t>’</w:t>
      </w:r>
      <w:r>
        <w:rPr>
          <w:rFonts w:ascii="Book Antiqua"/>
          <w:rtl w:val="0"/>
          <w:lang w:val="it-IT"/>
        </w:rPr>
        <w:t>intercessione della regione Lazio, cos</w:t>
      </w:r>
      <w:r>
        <w:rPr>
          <w:rFonts w:hAnsi="Book Antiqua" w:hint="default"/>
          <w:rtl w:val="0"/>
          <w:lang w:val="it-IT"/>
        </w:rPr>
        <w:t xml:space="preserve">ì </w:t>
      </w:r>
      <w:r>
        <w:rPr>
          <w:rFonts w:ascii="Book Antiqua"/>
          <w:rtl w:val="0"/>
          <w:lang w:val="it-IT"/>
        </w:rPr>
        <w:t>come la societ</w:t>
      </w:r>
      <w:r>
        <w:rPr>
          <w:rFonts w:hAnsi="Book Antiqua" w:hint="default"/>
          <w:rtl w:val="0"/>
          <w:lang w:val="it-IT"/>
        </w:rPr>
        <w:t xml:space="preserve">à </w:t>
      </w:r>
      <w:r>
        <w:rPr>
          <w:rFonts w:ascii="Book Antiqua"/>
          <w:rtl w:val="0"/>
          <w:lang w:val="it-IT"/>
        </w:rPr>
        <w:t>Rida Ambiente di Latina, ci ha messo a disposizione quantitativi da poter utilizzare per il nostro fabbisogno. La societ</w:t>
      </w:r>
      <w:r>
        <w:rPr>
          <w:rFonts w:hAnsi="Book Antiqua" w:hint="default"/>
          <w:rtl w:val="0"/>
          <w:lang w:val="it-IT"/>
        </w:rPr>
        <w:t xml:space="preserve">à </w:t>
      </w:r>
      <w:r>
        <w:rPr>
          <w:rFonts w:ascii="Book Antiqua"/>
          <w:rtl w:val="0"/>
          <w:lang w:val="it-IT"/>
        </w:rPr>
        <w:t>Rida e la societ</w:t>
      </w:r>
      <w:r>
        <w:rPr>
          <w:rFonts w:hAnsi="Book Antiqua" w:hint="default"/>
          <w:rtl w:val="0"/>
          <w:lang w:val="it-IT"/>
        </w:rPr>
        <w:t xml:space="preserve">à </w:t>
      </w:r>
      <w:r>
        <w:rPr>
          <w:rFonts w:ascii="Book Antiqua"/>
          <w:rtl w:val="0"/>
          <w:lang w:val="it-IT"/>
        </w:rPr>
        <w:t>SAF sono oggi fondamentali per garantire la copertura di tutte le nostre necessit</w:t>
      </w:r>
      <w:r>
        <w:rPr>
          <w:rFonts w:hAnsi="Book Antiqua" w:hint="default"/>
          <w:rtl w:val="0"/>
          <w:lang w:val="it-IT"/>
        </w:rPr>
        <w:t>à</w:t>
      </w:r>
      <w:r>
        <w:rPr>
          <w:rFonts w:ascii="Book Antiqua"/>
          <w:rtl w:val="0"/>
          <w:lang w:val="it-IT"/>
        </w:rPr>
        <w:t>. SAF ci ha detto, il 16 maggio, che da domani avrebbe preso da noi zero, cio</w:t>
      </w:r>
      <w:r>
        <w:rPr>
          <w:rFonts w:hAnsi="Book Antiqua" w:hint="default"/>
          <w:rtl w:val="0"/>
          <w:lang w:val="it-IT"/>
        </w:rPr>
        <w:t xml:space="preserve">è </w:t>
      </w:r>
      <w:r>
        <w:rPr>
          <w:rFonts w:ascii="Book Antiqua"/>
          <w:rtl w:val="0"/>
          <w:lang w:val="it-IT"/>
        </w:rPr>
        <w:t>non avrebbe pi</w:t>
      </w:r>
      <w:r>
        <w:rPr>
          <w:rFonts w:hAnsi="Book Antiqua" w:hint="default"/>
          <w:rtl w:val="0"/>
          <w:lang w:val="it-IT"/>
        </w:rPr>
        <w:t xml:space="preserve">ù </w:t>
      </w:r>
      <w:r>
        <w:rPr>
          <w:rFonts w:ascii="Book Antiqua"/>
          <w:rtl w:val="0"/>
          <w:lang w:val="it-IT"/>
        </w:rPr>
        <w:t>preso le 300 tonnellate al giorno che conferivamo fino a quella data, bens</w:t>
      </w:r>
      <w:r>
        <w:rPr>
          <w:rFonts w:hAnsi="Book Antiqua" w:hint="default"/>
          <w:rtl w:val="0"/>
          <w:lang w:val="it-IT"/>
        </w:rPr>
        <w:t xml:space="preserve">ì </w:t>
      </w:r>
      <w:r>
        <w:rPr>
          <w:rFonts w:ascii="Book Antiqua"/>
          <w:rtl w:val="0"/>
          <w:lang w:val="it-IT"/>
        </w:rPr>
        <w:t>zero, per una semplice ragione: avevano in corso delle verifiche proprio sulla qualificazione della frazione organica stabilizzata, verifiche che hanno richiesto campionamenti, analisi, controlli delle autorit</w:t>
      </w:r>
      <w:r>
        <w:rPr>
          <w:rFonts w:hAnsi="Book Antiqua" w:hint="default"/>
          <w:rtl w:val="0"/>
          <w:lang w:val="it-IT"/>
        </w:rPr>
        <w:t>à</w:t>
      </w:r>
      <w:r>
        <w:rPr>
          <w:rFonts w:ascii="Book Antiqua"/>
          <w:rtl w:val="0"/>
          <w:lang w:val="it-IT"/>
        </w:rPr>
        <w:t>, contraddittori, discussioni e confronti che si sono protratti fino al 27 giugno. Quindi, dal 16 maggio al 27 giugno [2016], quelle 300 tonnellate che non abbiamo potuto collocare altrove le abbiamo dovute stoccare nelle vasche dei TMB di Salario e Rocca Cencia. Usiamo gli impianti di SAF, Rida e anche gli impianti di Avezzano, della societ</w:t>
      </w:r>
      <w:r>
        <w:rPr>
          <w:rFonts w:hAnsi="Book Antiqua" w:hint="default"/>
          <w:rtl w:val="0"/>
          <w:lang w:val="it-IT"/>
        </w:rPr>
        <w:t xml:space="preserve">à </w:t>
      </w:r>
      <w:r>
        <w:rPr>
          <w:rFonts w:ascii="Book Antiqua"/>
          <w:rtl w:val="0"/>
          <w:lang w:val="it-IT"/>
        </w:rPr>
        <w:t>Aciam di Aielli, perch</w:t>
      </w:r>
      <w:r>
        <w:rPr>
          <w:rFonts w:hAnsi="Book Antiqua" w:hint="default"/>
          <w:rtl w:val="0"/>
          <w:lang w:val="it-IT"/>
        </w:rPr>
        <w:t xml:space="preserve">é </w:t>
      </w:r>
      <w:r>
        <w:rPr>
          <w:rFonts w:ascii="Book Antiqua"/>
          <w:rtl w:val="0"/>
          <w:lang w:val="it-IT"/>
        </w:rPr>
        <w:t>quelle 3.000 tonnellate nominali di disponibilit</w:t>
      </w:r>
      <w:r>
        <w:rPr>
          <w:rFonts w:hAnsi="Book Antiqua" w:hint="default"/>
          <w:rtl w:val="0"/>
          <w:lang w:val="it-IT"/>
        </w:rPr>
        <w:t xml:space="preserve">à </w:t>
      </w:r>
      <w:r>
        <w:rPr>
          <w:rFonts w:ascii="Book Antiqua"/>
          <w:rtl w:val="0"/>
          <w:lang w:val="it-IT"/>
        </w:rPr>
        <w:t>nei TMB di Roma, nella realt</w:t>
      </w:r>
      <w:r>
        <w:rPr>
          <w:rFonts w:hAnsi="Book Antiqua" w:hint="default"/>
          <w:rtl w:val="0"/>
          <w:lang w:val="it-IT"/>
        </w:rPr>
        <w:t>à</w:t>
      </w:r>
      <w:r>
        <w:rPr>
          <w:rFonts w:ascii="Book Antiqua"/>
          <w:rtl w:val="0"/>
          <w:lang w:val="it-IT"/>
        </w:rPr>
        <w:t xml:space="preserve">, non ci sono: ne mancano 6-700 tutti i giorni. Tutti i giorni abbiamo bisogno, quindi, di portare questo come rifiuto fresco, non trattato, a tali impianti. </w:t>
      </w:r>
    </w:p>
    <w:p>
      <w:pPr>
        <w:pStyle w:val="Normal"/>
        <w:ind w:left="567" w:right="567" w:firstLine="0"/>
        <w:jc w:val="both"/>
        <w:rPr>
          <w:rFonts w:ascii="Book Antiqua" w:cs="Book Antiqua" w:hAnsi="Book Antiqua" w:eastAsia="Book Antiqua"/>
        </w:rPr>
      </w:pPr>
      <w:r>
        <w:rPr>
          <w:rFonts w:ascii="Book Antiqua"/>
          <w:rtl w:val="0"/>
          <w:lang w:val="it-IT"/>
        </w:rPr>
        <w:t xml:space="preserve">Il tema costante </w:t>
      </w:r>
      <w:r>
        <w:rPr>
          <w:rFonts w:hAnsi="Book Antiqua" w:hint="default"/>
          <w:rtl w:val="0"/>
          <w:lang w:val="it-IT"/>
        </w:rPr>
        <w:t xml:space="preserve">è </w:t>
      </w:r>
      <w:r>
        <w:rPr>
          <w:rFonts w:ascii="Book Antiqua"/>
          <w:rtl w:val="0"/>
          <w:lang w:val="it-IT"/>
        </w:rPr>
        <w:t xml:space="preserve">quello del supporto che, anche a prescindere dai trasporti fuori regione, la regione Lazio ha costantemente fornito per far fronte al </w:t>
      </w:r>
      <w:r>
        <w:rPr>
          <w:rFonts w:ascii="Book Antiqua"/>
          <w:i w:val="1"/>
          <w:iCs w:val="1"/>
          <w:rtl w:val="0"/>
          <w:lang w:val="it-IT"/>
        </w:rPr>
        <w:t>deficit</w:t>
      </w:r>
      <w:r>
        <w:rPr>
          <w:rFonts w:ascii="Book Antiqua"/>
          <w:rtl w:val="0"/>
          <w:lang w:val="it-IT"/>
        </w:rPr>
        <w:t xml:space="preserve"> strutturale di Roma Capitale:</w:t>
      </w:r>
    </w:p>
    <w:p>
      <w:pPr>
        <w:pStyle w:val="Normal"/>
        <w:ind w:left="567" w:right="567" w:firstLine="0"/>
        <w:jc w:val="both"/>
        <w:rPr>
          <w:rFonts w:ascii="Book Antiqua" w:cs="Book Antiqua" w:hAnsi="Book Antiqua" w:eastAsia="Book Antiqua"/>
        </w:rPr>
      </w:pPr>
      <w:r>
        <w:rPr>
          <w:rFonts w:ascii="Book Antiqua"/>
          <w:rtl w:val="0"/>
          <w:lang w:val="it-IT"/>
        </w:rPr>
        <w:t xml:space="preserve"> </w:t>
      </w:r>
      <w:r>
        <w:rPr>
          <w:rFonts w:hAnsi="Book Antiqua" w:hint="default"/>
          <w:rtl w:val="0"/>
          <w:lang w:val="it-IT"/>
        </w:rPr>
        <w:t>“</w:t>
      </w:r>
      <w:r>
        <w:rPr>
          <w:rFonts w:ascii="Book Antiqua"/>
          <w:rtl w:val="0"/>
          <w:lang w:val="it-IT"/>
        </w:rPr>
        <w:t>Da questo punto di vista devo dire che la regione Lazio ha dato veramente una mano perch</w:t>
      </w:r>
      <w:r>
        <w:rPr>
          <w:rFonts w:hAnsi="Book Antiqua" w:hint="default"/>
          <w:rtl w:val="0"/>
          <w:lang w:val="it-IT"/>
        </w:rPr>
        <w:t>é</w:t>
      </w:r>
      <w:r>
        <w:rPr>
          <w:rFonts w:ascii="Book Antiqua"/>
          <w:rtl w:val="0"/>
          <w:lang w:val="it-IT"/>
        </w:rPr>
        <w:t>, fino a dicembre del 2014, non vi era questa disponibilit</w:t>
      </w:r>
      <w:r>
        <w:rPr>
          <w:rFonts w:hAnsi="Book Antiqua" w:hint="default"/>
          <w:rtl w:val="0"/>
          <w:lang w:val="it-IT"/>
        </w:rPr>
        <w:t xml:space="preserve">à </w:t>
      </w:r>
      <w:r>
        <w:rPr>
          <w:rFonts w:ascii="Book Antiqua"/>
          <w:rtl w:val="0"/>
          <w:lang w:val="it-IT"/>
        </w:rPr>
        <w:t>da parte degli altri ambiti territoriali ottimali. Consapevoli, per</w:t>
      </w:r>
      <w:r>
        <w:rPr>
          <w:rFonts w:hAnsi="Book Antiqua" w:hint="default"/>
          <w:rtl w:val="0"/>
          <w:lang w:val="it-IT"/>
        </w:rPr>
        <w:t>ò</w:t>
      </w:r>
      <w:r>
        <w:rPr>
          <w:rFonts w:ascii="Book Antiqua"/>
          <w:rtl w:val="0"/>
          <w:lang w:val="it-IT"/>
        </w:rPr>
        <w:t>, che questa situazione si determina ogni anno nel periodo natalizio e ogni anno, nel mese di giugno e poi ad agosto, se anche gli impianti di termovalorizzazione del Nord ci offrono minore disponibilit</w:t>
      </w:r>
      <w:r>
        <w:rPr>
          <w:rFonts w:hAnsi="Book Antiqua" w:hint="default"/>
          <w:rtl w:val="0"/>
          <w:lang w:val="it-IT"/>
        </w:rPr>
        <w:t>à</w:t>
      </w:r>
      <w:r>
        <w:rPr>
          <w:rFonts w:ascii="Book Antiqua"/>
          <w:rtl w:val="0"/>
          <w:lang w:val="it-IT"/>
        </w:rPr>
        <w:t>, ci</w:t>
      </w:r>
      <w:r>
        <w:rPr>
          <w:rFonts w:hAnsi="Book Antiqua" w:hint="default"/>
          <w:rtl w:val="0"/>
          <w:lang w:val="it-IT"/>
        </w:rPr>
        <w:t xml:space="preserve">ò </w:t>
      </w:r>
      <w:r>
        <w:rPr>
          <w:rFonts w:ascii="Book Antiqua"/>
          <w:rtl w:val="0"/>
          <w:lang w:val="it-IT"/>
        </w:rPr>
        <w:t>poco importa, o meglio, ne subiamo un minor condizionamento. Questo atteso che la precipitazione nella produzione dei rifiuti nella Capitale d</w:t>
      </w:r>
      <w:r>
        <w:rPr>
          <w:rFonts w:hAnsi="Book Antiqua" w:hint="default"/>
          <w:rtl w:val="0"/>
          <w:lang w:val="it-IT"/>
        </w:rPr>
        <w:t>’</w:t>
      </w:r>
      <w:r>
        <w:rPr>
          <w:rFonts w:ascii="Book Antiqua"/>
          <w:rtl w:val="0"/>
          <w:lang w:val="it-IT"/>
        </w:rPr>
        <w:t xml:space="preserve">Italia nel mese di agosto </w:t>
      </w:r>
      <w:r>
        <w:rPr>
          <w:rFonts w:hAnsi="Book Antiqua" w:hint="default"/>
          <w:rtl w:val="0"/>
          <w:lang w:val="it-IT"/>
        </w:rPr>
        <w:t xml:space="preserve">è </w:t>
      </w:r>
      <w:r>
        <w:rPr>
          <w:rFonts w:ascii="Book Antiqua"/>
          <w:rtl w:val="0"/>
          <w:lang w:val="it-IT"/>
        </w:rPr>
        <w:t>normalmente del 30 per cento, anche se noi la stimiamo al 20 per cento prudenzialmente perch</w:t>
      </w:r>
      <w:r>
        <w:rPr>
          <w:rFonts w:hAnsi="Book Antiqua" w:hint="default"/>
          <w:rtl w:val="0"/>
          <w:lang w:val="it-IT"/>
        </w:rPr>
        <w:t xml:space="preserve">é </w:t>
      </w:r>
      <w:r>
        <w:rPr>
          <w:rFonts w:ascii="Book Antiqua"/>
          <w:rtl w:val="0"/>
          <w:lang w:val="it-IT"/>
        </w:rPr>
        <w:t>ci sono le vacanze e la citt</w:t>
      </w:r>
      <w:r>
        <w:rPr>
          <w:rFonts w:hAnsi="Book Antiqua" w:hint="default"/>
          <w:rtl w:val="0"/>
          <w:lang w:val="it-IT"/>
        </w:rPr>
        <w:t>à</w:t>
      </w:r>
      <w:r>
        <w:rPr>
          <w:rFonts w:ascii="Book Antiqua"/>
          <w:rtl w:val="0"/>
          <w:lang w:val="it-IT"/>
        </w:rPr>
        <w:t>, fortunatamente, un po</w:t>
      </w:r>
      <w:r>
        <w:rPr>
          <w:rFonts w:hAnsi="Book Antiqua" w:hint="default"/>
          <w:rtl w:val="0"/>
          <w:lang w:val="it-IT"/>
        </w:rPr>
        <w:t xml:space="preserve">’ </w:t>
      </w:r>
      <w:r>
        <w:rPr>
          <w:rFonts w:ascii="Book Antiqua"/>
          <w:rtl w:val="0"/>
          <w:lang w:val="it-IT"/>
        </w:rPr>
        <w:t xml:space="preserve">si svuota. Sono quindi minori i rifiuti prodotti e minori le lavorazioni nei TMB, ergo, vi </w:t>
      </w:r>
      <w:r>
        <w:rPr>
          <w:rFonts w:hAnsi="Book Antiqua" w:hint="default"/>
          <w:rtl w:val="0"/>
          <w:lang w:val="it-IT"/>
        </w:rPr>
        <w:t xml:space="preserve">è </w:t>
      </w:r>
      <w:r>
        <w:rPr>
          <w:rFonts w:ascii="Book Antiqua"/>
          <w:rtl w:val="0"/>
          <w:lang w:val="it-IT"/>
        </w:rPr>
        <w:t xml:space="preserve">un minore fabbisogno di smaltimento in discarica o negli inceneritori [...] La crisi che abbiamo vissuto in questo luglio, purtroppo, si </w:t>
      </w:r>
      <w:r>
        <w:rPr>
          <w:rFonts w:hAnsi="Book Antiqua" w:hint="default"/>
          <w:rtl w:val="0"/>
          <w:lang w:val="it-IT"/>
        </w:rPr>
        <w:t xml:space="preserve">è </w:t>
      </w:r>
      <w:r>
        <w:rPr>
          <w:rFonts w:ascii="Book Antiqua"/>
          <w:rtl w:val="0"/>
          <w:lang w:val="it-IT"/>
        </w:rPr>
        <w:t>accompagnata anche a due fattori. Da una parte c</w:t>
      </w:r>
      <w:r>
        <w:rPr>
          <w:rFonts w:hAnsi="Book Antiqua" w:hint="default"/>
          <w:rtl w:val="0"/>
          <w:lang w:val="it-IT"/>
        </w:rPr>
        <w:t xml:space="preserve">’è </w:t>
      </w:r>
      <w:r>
        <w:rPr>
          <w:rFonts w:ascii="Book Antiqua"/>
          <w:rtl w:val="0"/>
          <w:lang w:val="it-IT"/>
        </w:rPr>
        <w:t>l</w:t>
      </w:r>
      <w:r>
        <w:rPr>
          <w:rFonts w:hAnsi="Book Antiqua" w:hint="default"/>
          <w:rtl w:val="0"/>
          <w:lang w:val="it-IT"/>
        </w:rPr>
        <w:t>’</w:t>
      </w:r>
      <w:r>
        <w:rPr>
          <w:rFonts w:ascii="Book Antiqua"/>
          <w:rtl w:val="0"/>
          <w:lang w:val="it-IT"/>
        </w:rPr>
        <w:t>impossibilit</w:t>
      </w:r>
      <w:r>
        <w:rPr>
          <w:rFonts w:hAnsi="Book Antiqua" w:hint="default"/>
          <w:rtl w:val="0"/>
          <w:lang w:val="it-IT"/>
        </w:rPr>
        <w:t xml:space="preserve">à </w:t>
      </w:r>
      <w:r>
        <w:rPr>
          <w:rFonts w:ascii="Book Antiqua"/>
          <w:rtl w:val="0"/>
          <w:lang w:val="it-IT"/>
        </w:rPr>
        <w:t>di portare 300 tonnellate al giorno a Frosinone e, quindi, la necessit</w:t>
      </w:r>
      <w:r>
        <w:rPr>
          <w:rFonts w:hAnsi="Book Antiqua" w:hint="default"/>
          <w:rtl w:val="0"/>
          <w:lang w:val="it-IT"/>
        </w:rPr>
        <w:t xml:space="preserve">à </w:t>
      </w:r>
      <w:r>
        <w:rPr>
          <w:rFonts w:ascii="Book Antiqua"/>
          <w:rtl w:val="0"/>
          <w:lang w:val="it-IT"/>
        </w:rPr>
        <w:t>di abbancarle nelle vasche di ricezione dei nostri TMB. Questo genera il rallentamento dei compattatori che devono scaricare i rifiuti e si creano code di 50, 60 o anche 70 compattatori, che rischiano di rimanere in coda per un</w:t>
      </w:r>
      <w:r>
        <w:rPr>
          <w:rFonts w:hAnsi="Book Antiqua" w:hint="default"/>
          <w:rtl w:val="0"/>
          <w:lang w:val="it-IT"/>
        </w:rPr>
        <w:t>’</w:t>
      </w:r>
      <w:r>
        <w:rPr>
          <w:rFonts w:ascii="Book Antiqua"/>
          <w:rtl w:val="0"/>
          <w:lang w:val="it-IT"/>
        </w:rPr>
        <w:t>ora, un</w:t>
      </w:r>
      <w:r>
        <w:rPr>
          <w:rFonts w:hAnsi="Book Antiqua" w:hint="default"/>
          <w:rtl w:val="0"/>
          <w:lang w:val="it-IT"/>
        </w:rPr>
        <w:t>’</w:t>
      </w:r>
      <w:r>
        <w:rPr>
          <w:rFonts w:ascii="Book Antiqua"/>
          <w:rtl w:val="0"/>
          <w:lang w:val="it-IT"/>
        </w:rPr>
        <w:t xml:space="preserve">ora e mezza o due ore. Quando svuotano, quindi, il turno di lavoro </w:t>
      </w:r>
      <w:r>
        <w:rPr>
          <w:rFonts w:hAnsi="Book Antiqua" w:hint="default"/>
          <w:rtl w:val="0"/>
          <w:lang w:val="it-IT"/>
        </w:rPr>
        <w:t xml:space="preserve">è </w:t>
      </w:r>
      <w:r>
        <w:rPr>
          <w:rFonts w:ascii="Book Antiqua"/>
          <w:rtl w:val="0"/>
          <w:lang w:val="it-IT"/>
        </w:rPr>
        <w:t>finito, magari anche con un</w:t>
      </w:r>
      <w:r>
        <w:rPr>
          <w:rFonts w:hAnsi="Book Antiqua" w:hint="default"/>
          <w:rtl w:val="0"/>
          <w:lang w:val="it-IT"/>
        </w:rPr>
        <w:t>’</w:t>
      </w:r>
      <w:r>
        <w:rPr>
          <w:rFonts w:ascii="Book Antiqua"/>
          <w:rtl w:val="0"/>
          <w:lang w:val="it-IT"/>
        </w:rPr>
        <w:t>ora di straordinario e quindi non possono tornare a prelevare altri rifiuti dalla strada. L</w:t>
      </w:r>
      <w:r>
        <w:rPr>
          <w:rFonts w:hAnsi="Book Antiqua" w:hint="default"/>
          <w:rtl w:val="0"/>
          <w:lang w:val="it-IT"/>
        </w:rPr>
        <w:t>’</w:t>
      </w:r>
      <w:r>
        <w:rPr>
          <w:rFonts w:ascii="Book Antiqua"/>
          <w:rtl w:val="0"/>
          <w:lang w:val="it-IT"/>
        </w:rPr>
        <w:t>ingolfamento degli impianti TMB genera immediatamente, come riverbero, l</w:t>
      </w:r>
      <w:r>
        <w:rPr>
          <w:rFonts w:hAnsi="Book Antiqua" w:hint="default"/>
          <w:rtl w:val="0"/>
          <w:lang w:val="it-IT"/>
        </w:rPr>
        <w:t>’</w:t>
      </w:r>
      <w:r>
        <w:rPr>
          <w:rFonts w:ascii="Book Antiqua"/>
          <w:rtl w:val="0"/>
          <w:lang w:val="it-IT"/>
        </w:rPr>
        <w:t>impossibilit</w:t>
      </w:r>
      <w:r>
        <w:rPr>
          <w:rFonts w:hAnsi="Book Antiqua" w:hint="default"/>
          <w:rtl w:val="0"/>
          <w:lang w:val="it-IT"/>
        </w:rPr>
        <w:t xml:space="preserve">à </w:t>
      </w:r>
      <w:r>
        <w:rPr>
          <w:rFonts w:ascii="Book Antiqua"/>
          <w:rtl w:val="0"/>
          <w:lang w:val="it-IT"/>
        </w:rPr>
        <w:t xml:space="preserve">di togliere i rifiuti dalle strade. Non solo, ma a questo si </w:t>
      </w:r>
      <w:r>
        <w:rPr>
          <w:rFonts w:hAnsi="Book Antiqua" w:hint="default"/>
          <w:rtl w:val="0"/>
          <w:lang w:val="it-IT"/>
        </w:rPr>
        <w:t xml:space="preserve">è </w:t>
      </w:r>
      <w:r>
        <w:rPr>
          <w:rFonts w:ascii="Book Antiqua"/>
          <w:rtl w:val="0"/>
          <w:lang w:val="it-IT"/>
        </w:rPr>
        <w:t xml:space="preserve">affiancato anche il fatto che tutti i carichi previsti per prelevare i rifiuti trattati e allontanarli, portandoli nelle nostre regioni, nel mese di  luglio hanno avuto un deficit di almeno il 15 per cento. Attendevamo 100 mezzi per portare via la FOS, il CDR, lo scarto leggero e lo scarto pesante e, invece, ne sono arrivati 85, 82, 87. </w:t>
      </w:r>
      <w:r>
        <w:rPr>
          <w:rFonts w:hAnsi="Book Antiqua" w:hint="default"/>
          <w:rtl w:val="0"/>
          <w:lang w:val="it-IT"/>
        </w:rPr>
        <w:t xml:space="preserve">È </w:t>
      </w:r>
      <w:r>
        <w:rPr>
          <w:rFonts w:ascii="Book Antiqua"/>
          <w:rtl w:val="0"/>
          <w:lang w:val="it-IT"/>
        </w:rPr>
        <w:t xml:space="preserve">ovvio che con quei fornitori </w:t>
      </w:r>
      <w:r>
        <w:rPr>
          <w:rFonts w:hAnsi="Book Antiqua" w:hint="default"/>
          <w:rtl w:val="0"/>
          <w:lang w:val="it-IT"/>
        </w:rPr>
        <w:t xml:space="preserve">è </w:t>
      </w:r>
      <w:r>
        <w:rPr>
          <w:rFonts w:ascii="Book Antiqua"/>
          <w:rtl w:val="0"/>
          <w:lang w:val="it-IT"/>
        </w:rPr>
        <w:t>in corso un contenzioso. Saranno sanzionati per il disservizio che ci hanno creato, ma resta il fatto che se i camion non arrivano e i rifiuti non se ne vanno, i rifiuti restano in strada.</w:t>
      </w:r>
      <w:r>
        <w:rPr>
          <w:rFonts w:hAnsi="Book Antiqua" w:hint="default"/>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Osservato da altra prospettiva imprenditoriale il problema non appare diverso: anche Candido Saioni, presidente del consorzio Co.La.Ri, ascoltato dalla Commissione il 12 dicembre 2016, sottolinea la fragilit</w:t>
      </w:r>
      <w:r>
        <w:rPr>
          <w:rFonts w:hAnsi="Book Antiqua" w:hint="default"/>
          <w:rtl w:val="0"/>
          <w:lang w:val="it-IT"/>
        </w:rPr>
        <w:t xml:space="preserve">à </w:t>
      </w:r>
      <w:r>
        <w:rPr>
          <w:rFonts w:ascii="Book Antiqua"/>
          <w:rtl w:val="0"/>
          <w:lang w:val="it-IT"/>
        </w:rPr>
        <w:t xml:space="preserve">del sistema, dichiarando:  </w:t>
      </w:r>
      <w:r>
        <w:rPr>
          <w:rFonts w:hAnsi="Book Antiqua" w:hint="default"/>
          <w:rtl w:val="0"/>
          <w:lang w:val="it-IT"/>
        </w:rPr>
        <w:t>“</w:t>
      </w:r>
      <w:r>
        <w:rPr>
          <w:rFonts w:ascii="Book Antiqua"/>
          <w:rtl w:val="0"/>
          <w:lang w:val="it-IT"/>
        </w:rPr>
        <w:t>quando inizia la buona stagione, la maggior parte degli impianti esegue le opere di manutenzione, e quindi non riceve soprattutto i rifiuti dalle altre regioni. Vanno avanti a ricevere, perch</w:t>
      </w:r>
      <w:r>
        <w:rPr>
          <w:rFonts w:hAnsi="Book Antiqua" w:hint="default"/>
          <w:rtl w:val="0"/>
          <w:lang w:val="it-IT"/>
        </w:rPr>
        <w:t xml:space="preserve">é </w:t>
      </w:r>
      <w:r>
        <w:rPr>
          <w:rFonts w:ascii="Book Antiqua"/>
          <w:rtl w:val="0"/>
          <w:lang w:val="it-IT"/>
        </w:rPr>
        <w:t>chiaramente non chiudono, ma diminuiscono i conferimenti, e ricevono soltanto i rifiuti della regione di appartenenza. Tra l'altro, le discariche oggi purtroppo sono sempre di meno e anche per quanto riguarda la FOS e gli scarti di lavorazione c'</w:t>
      </w:r>
      <w:r>
        <w:rPr>
          <w:rFonts w:hAnsi="Book Antiqua" w:hint="default"/>
          <w:rtl w:val="0"/>
          <w:lang w:val="it-IT"/>
        </w:rPr>
        <w:t xml:space="preserve">è </w:t>
      </w:r>
      <w:r>
        <w:rPr>
          <w:rFonts w:ascii="Book Antiqua"/>
          <w:rtl w:val="0"/>
          <w:lang w:val="it-IT"/>
        </w:rPr>
        <w:t>difficolt</w:t>
      </w:r>
      <w:r>
        <w:rPr>
          <w:rFonts w:hAnsi="Book Antiqua" w:hint="default"/>
          <w:rtl w:val="0"/>
          <w:lang w:val="it-IT"/>
        </w:rPr>
        <w:t xml:space="preserve">à </w:t>
      </w:r>
      <w:r>
        <w:rPr>
          <w:rFonts w:ascii="Book Antiqua"/>
          <w:rtl w:val="0"/>
          <w:lang w:val="it-IT"/>
        </w:rPr>
        <w:t>per poterli conferire.</w:t>
      </w:r>
      <w:r>
        <w:rPr>
          <w:rFonts w:hAnsi="Book Antiqua" w:hint="default"/>
          <w:rtl w:val="0"/>
          <w:lang w:val="it-IT"/>
        </w:rPr>
        <w:t> </w:t>
      </w:r>
      <w:r>
        <w:rPr>
          <w:rFonts w:ascii="Book Antiqua"/>
          <w:rtl w:val="0"/>
          <w:lang w:val="it-IT"/>
        </w:rPr>
        <w:t>Questo crea difficolt</w:t>
      </w:r>
      <w:r>
        <w:rPr>
          <w:rFonts w:hAnsi="Book Antiqua" w:hint="default"/>
          <w:rtl w:val="0"/>
          <w:lang w:val="it-IT"/>
        </w:rPr>
        <w:t xml:space="preserve">à </w:t>
      </w:r>
      <w:r>
        <w:rPr>
          <w:rFonts w:ascii="Book Antiqua"/>
          <w:rtl w:val="0"/>
          <w:lang w:val="it-IT"/>
        </w:rPr>
        <w:t>per l'uscita dei prodotti discendenti dai due impianti, da cui la difficolt</w:t>
      </w:r>
      <w:r>
        <w:rPr>
          <w:rFonts w:hAnsi="Book Antiqua" w:hint="default"/>
          <w:rtl w:val="0"/>
          <w:lang w:val="it-IT"/>
        </w:rPr>
        <w:t xml:space="preserve">à </w:t>
      </w:r>
      <w:r>
        <w:rPr>
          <w:rFonts w:ascii="Book Antiqua"/>
          <w:rtl w:val="0"/>
          <w:lang w:val="it-IT"/>
        </w:rPr>
        <w:t>a ricevere, soprattutto in certi mesi, le quantit</w:t>
      </w:r>
      <w:r>
        <w:rPr>
          <w:rFonts w:hAnsi="Book Antiqua" w:hint="default"/>
          <w:rtl w:val="0"/>
          <w:lang w:val="it-IT"/>
        </w:rPr>
        <w:t xml:space="preserve">à </w:t>
      </w:r>
      <w:r>
        <w:rPr>
          <w:rFonts w:ascii="Book Antiqua"/>
          <w:rtl w:val="0"/>
          <w:lang w:val="it-IT"/>
        </w:rPr>
        <w:t>[di cui] necessita la citt</w:t>
      </w:r>
      <w:r>
        <w:rPr>
          <w:rFonts w:hAnsi="Book Antiqua" w:hint="default"/>
          <w:rtl w:val="0"/>
          <w:lang w:val="it-IT"/>
        </w:rPr>
        <w:t xml:space="preserve">à </w:t>
      </w:r>
      <w:r>
        <w:rPr>
          <w:rFonts w:ascii="Book Antiqua"/>
          <w:rtl w:val="0"/>
          <w:lang w:val="it-IT"/>
        </w:rPr>
        <w:t xml:space="preserve">di Roma, e quindi l'AMA. Questo </w:t>
      </w:r>
      <w:r>
        <w:rPr>
          <w:rFonts w:hAnsi="Book Antiqua" w:hint="default"/>
          <w:rtl w:val="0"/>
          <w:lang w:val="it-IT"/>
        </w:rPr>
        <w:t xml:space="preserve">è </w:t>
      </w:r>
      <w:r>
        <w:rPr>
          <w:rFonts w:ascii="Book Antiqua"/>
          <w:rtl w:val="0"/>
          <w:lang w:val="it-IT"/>
        </w:rPr>
        <w:t>il problema che ripetutamente si vede nella nostra gestione. Sistematicamente, nei mesi primaverili comincia la difficolt</w:t>
      </w:r>
      <w:r>
        <w:rPr>
          <w:rFonts w:hAnsi="Book Antiqua" w:hint="default"/>
          <w:rtl w:val="0"/>
          <w:lang w:val="it-IT"/>
        </w:rPr>
        <w:t>à</w:t>
      </w:r>
      <w:r>
        <w:rPr>
          <w:rFonts w:ascii="Book Antiqua"/>
          <w:rtl w:val="0"/>
          <w:lang w:val="it-IT"/>
        </w:rPr>
        <w:t>, e va avanti. Adesso, per esempio, sono in difficolt</w:t>
      </w:r>
      <w:r>
        <w:rPr>
          <w:rFonts w:hAnsi="Book Antiqua" w:hint="default"/>
          <w:rtl w:val="0"/>
          <w:lang w:val="it-IT"/>
        </w:rPr>
        <w:t xml:space="preserve">à </w:t>
      </w:r>
      <w:r>
        <w:rPr>
          <w:rFonts w:ascii="Book Antiqua"/>
          <w:rtl w:val="0"/>
          <w:lang w:val="it-IT"/>
        </w:rPr>
        <w:t>gli impianti di Colleferro, che non riescono a ricevere tutto il CDR che esce dai nostri impianti.</w:t>
      </w:r>
      <w:r>
        <w:rPr>
          <w:rFonts w:hAnsi="Book Antiqua" w:hint="default"/>
          <w:rtl w:val="0"/>
          <w:lang w:val="it-IT"/>
        </w:rPr>
        <w:t> </w:t>
      </w:r>
      <w:r>
        <w:rPr>
          <w:rFonts w:ascii="Book Antiqua"/>
          <w:rtl w:val="0"/>
          <w:lang w:val="it-IT"/>
        </w:rPr>
        <w:t xml:space="preserve">Spesso leggiamo dalla stampa che ci sono problemi di gestione dei TMB, ma lo stesso vale per l'AMA, i cui TMB affrontano appunto gli stessi problemi che affrontiamo noi. Non </w:t>
      </w:r>
      <w:r>
        <w:rPr>
          <w:rFonts w:hAnsi="Book Antiqua" w:hint="default"/>
          <w:rtl w:val="0"/>
          <w:lang w:val="it-IT"/>
        </w:rPr>
        <w:t xml:space="preserve">è </w:t>
      </w:r>
      <w:r>
        <w:rPr>
          <w:rFonts w:ascii="Book Antiqua"/>
          <w:rtl w:val="0"/>
          <w:lang w:val="it-IT"/>
        </w:rPr>
        <w:t>un problema di cattiva gestione o di impossibilit</w:t>
      </w:r>
      <w:r>
        <w:rPr>
          <w:rFonts w:hAnsi="Book Antiqua" w:hint="default"/>
          <w:rtl w:val="0"/>
          <w:lang w:val="it-IT"/>
        </w:rPr>
        <w:t xml:space="preserve">à </w:t>
      </w:r>
      <w:r>
        <w:rPr>
          <w:rFonts w:ascii="Book Antiqua"/>
          <w:rtl w:val="0"/>
          <w:lang w:val="it-IT"/>
        </w:rPr>
        <w:t>di gestione, ma di difficolt</w:t>
      </w:r>
      <w:r>
        <w:rPr>
          <w:rFonts w:hAnsi="Book Antiqua" w:hint="default"/>
          <w:rtl w:val="0"/>
          <w:lang w:val="it-IT"/>
        </w:rPr>
        <w:t xml:space="preserve">à </w:t>
      </w:r>
      <w:r>
        <w:rPr>
          <w:rFonts w:ascii="Book Antiqua"/>
          <w:rtl w:val="0"/>
          <w:lang w:val="it-IT"/>
        </w:rPr>
        <w:t xml:space="preserve">nel collocamento dei prodotti che escono dai TMB. Questo </w:t>
      </w:r>
      <w:r>
        <w:rPr>
          <w:rFonts w:hAnsi="Book Antiqua" w:hint="default"/>
          <w:rtl w:val="0"/>
          <w:lang w:val="it-IT"/>
        </w:rPr>
        <w:t xml:space="preserve">è </w:t>
      </w:r>
      <w:r>
        <w:rPr>
          <w:rFonts w:ascii="Book Antiqua"/>
          <w:rtl w:val="0"/>
          <w:lang w:val="it-IT"/>
        </w:rPr>
        <w:t>il problema pi</w:t>
      </w:r>
      <w:r>
        <w:rPr>
          <w:rFonts w:hAnsi="Book Antiqua" w:hint="default"/>
          <w:rtl w:val="0"/>
          <w:lang w:val="it-IT"/>
        </w:rPr>
        <w:t xml:space="preserve">ù </w:t>
      </w:r>
      <w:r>
        <w:rPr>
          <w:rFonts w:ascii="Book Antiqua"/>
          <w:rtl w:val="0"/>
          <w:lang w:val="it-IT"/>
        </w:rPr>
        <w:t>importante.</w:t>
      </w:r>
      <w:r>
        <w:rPr>
          <w:rFonts w:hAnsi="Book Antiqua" w:hint="default"/>
          <w:rtl w:val="0"/>
          <w:lang w:val="it-IT"/>
        </w:rPr>
        <w:t>” </w:t>
      </w:r>
    </w:p>
    <w:p>
      <w:pPr>
        <w:pStyle w:val="Normal"/>
        <w:ind w:left="567" w:right="567" w:firstLine="0"/>
        <w:jc w:val="both"/>
        <w:rPr>
          <w:rFonts w:ascii="Book Antiqua" w:cs="Book Antiqua" w:hAnsi="Book Antiqua" w:eastAsia="Book Antiqua"/>
          <w:sz w:val="28"/>
          <w:szCs w:val="28"/>
        </w:rPr>
      </w:pPr>
    </w:p>
    <w:p>
      <w:pPr>
        <w:pStyle w:val="Normal"/>
        <w:ind w:left="567" w:right="567" w:firstLine="0"/>
        <w:jc w:val="both"/>
        <w:rPr>
          <w:rFonts w:ascii="Book Antiqua" w:cs="Book Antiqua" w:hAnsi="Book Antiqua" w:eastAsia="Book Antiqua"/>
          <w:sz w:val="28"/>
          <w:szCs w:val="28"/>
        </w:rPr>
      </w:pPr>
    </w:p>
    <w:p>
      <w:pPr>
        <w:pStyle w:val="Normal"/>
        <w:ind w:left="567" w:right="567" w:firstLine="0"/>
        <w:jc w:val="both"/>
        <w:rPr>
          <w:rFonts w:ascii="Book Antiqua" w:cs="Book Antiqua" w:hAnsi="Book Antiqua" w:eastAsia="Book Antiqua"/>
          <w:color w:val="000000"/>
          <w:sz w:val="28"/>
          <w:szCs w:val="28"/>
          <w:u w:color="000000"/>
        </w:rPr>
      </w:pPr>
      <w:r>
        <w:rPr>
          <w:rFonts w:ascii="Book Antiqua"/>
          <w:color w:val="000000"/>
          <w:sz w:val="28"/>
          <w:szCs w:val="28"/>
          <w:u w:color="000000"/>
          <w:rtl w:val="0"/>
          <w:lang w:val="it-IT"/>
        </w:rPr>
        <w:t>2.2.2.4 La gestione dei rifiuti urbani indifferenziati</w:t>
      </w:r>
    </w:p>
    <w:p>
      <w:pPr>
        <w:pStyle w:val="Normal"/>
        <w:ind w:left="567" w:right="567" w:firstLine="0"/>
        <w:jc w:val="both"/>
        <w:rPr>
          <w:color w:val="000000"/>
          <w:u w:color="000000"/>
        </w:rPr>
      </w:pPr>
    </w:p>
    <w:p>
      <w:pPr>
        <w:pStyle w:val="Normal"/>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I rifiuti urbani indifferenziati prodotti nel comune di Roma identificati dal codice dell</w:t>
      </w:r>
      <w:r>
        <w:rPr>
          <w:rFonts w:hAnsi="Book Antiqua" w:hint="default"/>
          <w:color w:val="000000"/>
          <w:u w:color="000000"/>
          <w:rtl w:val="0"/>
          <w:lang w:val="it-IT"/>
        </w:rPr>
        <w:t>’</w:t>
      </w:r>
      <w:r>
        <w:rPr>
          <w:rFonts w:ascii="Book Antiqua"/>
          <w:color w:val="000000"/>
          <w:u w:color="000000"/>
          <w:rtl w:val="0"/>
          <w:lang w:val="it-IT"/>
        </w:rPr>
        <w:t>elenco europeo dei rifiuti 200301, nel 2015 ammontavano a poco pi</w:t>
      </w:r>
      <w:r>
        <w:rPr>
          <w:rFonts w:hAnsi="Book Antiqua" w:hint="default"/>
          <w:color w:val="000000"/>
          <w:u w:color="000000"/>
          <w:rtl w:val="0"/>
          <w:lang w:val="it-IT"/>
        </w:rPr>
        <w:t xml:space="preserve">ù </w:t>
      </w:r>
      <w:r>
        <w:rPr>
          <w:rFonts w:ascii="Book Antiqua"/>
          <w:color w:val="000000"/>
          <w:u w:color="000000"/>
          <w:rtl w:val="0"/>
          <w:lang w:val="it-IT"/>
        </w:rPr>
        <w:t>di un milione di tonnellate</w:t>
      </w:r>
      <w:r>
        <w:rPr>
          <w:rFonts w:ascii="Book Antiqua" w:cs="Book Antiqua" w:hAnsi="Book Antiqua" w:eastAsia="Book Antiqua"/>
          <w:color w:val="000000"/>
          <w:u w:color="000000"/>
          <w:vertAlign w:val="superscript"/>
          <w:rtl w:val="0"/>
        </w:rPr>
        <w:footnoteReference w:id="24"/>
      </w:r>
      <w:r>
        <w:rPr>
          <w:rFonts w:ascii="Book Antiqua"/>
          <w:color w:val="000000"/>
          <w:u w:color="000000"/>
          <w:rtl w:val="0"/>
          <w:lang w:val="it-IT"/>
        </w:rPr>
        <w:t>. Questi rifiuti vengono inviati ad impianti</w:t>
      </w:r>
      <w:r>
        <w:rPr>
          <w:rFonts w:ascii="Book Antiqua Bold"/>
          <w:b w:val="1"/>
          <w:bCs w:val="1"/>
          <w:color w:val="000000"/>
          <w:u w:color="000000"/>
          <w:rtl w:val="0"/>
          <w:lang w:val="it-IT"/>
        </w:rPr>
        <w:t xml:space="preserve"> </w:t>
      </w:r>
      <w:r>
        <w:rPr>
          <w:rFonts w:ascii="Book Antiqua"/>
          <w:color w:val="000000"/>
          <w:u w:color="000000"/>
          <w:rtl w:val="0"/>
          <w:lang w:val="it-IT"/>
        </w:rPr>
        <w:t>di trattamento meccanico biologico siti sul territorio comunale (tabella 3) e ad impianti localizzati in altre province della regione Lazio (tabella 4). Circa trentamila tonnellate di rifiuti indifferenziati, identificati con il codice dell</w:t>
      </w:r>
      <w:r>
        <w:rPr>
          <w:rFonts w:hAnsi="Book Antiqua" w:hint="default"/>
          <w:color w:val="000000"/>
          <w:u w:color="000000"/>
          <w:rtl w:val="0"/>
          <w:lang w:val="it-IT"/>
        </w:rPr>
        <w:t>’</w:t>
      </w:r>
      <w:r>
        <w:rPr>
          <w:rFonts w:ascii="Book Antiqua"/>
          <w:color w:val="000000"/>
          <w:u w:color="000000"/>
          <w:rtl w:val="0"/>
          <w:lang w:val="it-IT"/>
        </w:rPr>
        <w:t>elenco europeo dei rifiuti 200301, sono inviate direttamente, senza trattamento, dagli impianti AMA S.p.A. di Rocca Cencia e via Salaria all</w:t>
      </w:r>
      <w:r>
        <w:rPr>
          <w:rFonts w:hAnsi="Book Antiqua" w:hint="default"/>
          <w:color w:val="000000"/>
          <w:u w:color="000000"/>
          <w:rtl w:val="0"/>
          <w:lang w:val="it-IT"/>
        </w:rPr>
        <w:t>’</w:t>
      </w:r>
      <w:r>
        <w:rPr>
          <w:rFonts w:ascii="Book Antiqua"/>
          <w:color w:val="000000"/>
          <w:u w:color="000000"/>
          <w:rtl w:val="0"/>
          <w:lang w:val="it-IT"/>
        </w:rPr>
        <w:t>impianto di trattamento meccanico biologico di Avezzano (tabella 5).</w:t>
      </w:r>
    </w:p>
    <w:p>
      <w:pPr>
        <w:pStyle w:val="Normal"/>
        <w:jc w:val="both"/>
        <w:rPr>
          <w:color w:val="000000"/>
          <w:u w:color="000000"/>
        </w:rPr>
      </w:pPr>
    </w:p>
    <w:p>
      <w:pPr>
        <w:pStyle w:val="Normal"/>
        <w:jc w:val="both"/>
        <w:rPr>
          <w:rFonts w:ascii="Book Antiqua Bold" w:cs="Book Antiqua Bold" w:hAnsi="Book Antiqua Bold" w:eastAsia="Book Antiqua Bold"/>
          <w:b w:val="1"/>
          <w:bCs w:val="1"/>
          <w:color w:val="000000"/>
          <w:sz w:val="20"/>
          <w:szCs w:val="20"/>
          <w:u w:color="000000"/>
        </w:rPr>
      </w:pPr>
      <w:r>
        <w:rPr>
          <w:rFonts w:ascii="Book Antiqua Bold"/>
          <w:b w:val="1"/>
          <w:bCs w:val="1"/>
          <w:color w:val="000000"/>
          <w:sz w:val="20"/>
          <w:szCs w:val="20"/>
          <w:u w:color="000000"/>
          <w:rtl w:val="0"/>
          <w:lang w:val="it-IT"/>
        </w:rPr>
        <w:t xml:space="preserve">Tabella 3 </w:t>
      </w:r>
      <w:r>
        <w:rPr>
          <w:rFonts w:hAnsi="Book Antiqua Bold" w:hint="default"/>
          <w:b w:val="1"/>
          <w:bCs w:val="1"/>
          <w:color w:val="000000"/>
          <w:sz w:val="20"/>
          <w:szCs w:val="20"/>
          <w:u w:color="000000"/>
          <w:rtl w:val="0"/>
          <w:lang w:val="it-IT"/>
        </w:rPr>
        <w:t xml:space="preserve">– </w:t>
      </w:r>
      <w:r>
        <w:rPr>
          <w:rFonts w:ascii="Book Antiqua Bold"/>
          <w:b w:val="1"/>
          <w:bCs w:val="1"/>
          <w:color w:val="000000"/>
          <w:sz w:val="20"/>
          <w:szCs w:val="20"/>
          <w:u w:color="000000"/>
          <w:rtl w:val="0"/>
          <w:lang w:val="it-IT"/>
        </w:rPr>
        <w:t>Impianti di trattamento meccanico biologico situati nel comune di Roma, anno 2015</w:t>
      </w:r>
    </w:p>
    <w:tbl>
      <w:tblPr>
        <w:tblW w:w="9222" w:type="dxa"/>
        <w:jc w:val="center"/>
        <w:tblInd w:w="108" w:type="dxa"/>
        <w:tblBorders>
          <w:top w:val="single" w:color="000000" w:sz="2" w:space="0" w:shadow="0" w:frame="0"/>
          <w:left w:val="single" w:color="000000" w:sz="2" w:space="0" w:shadow="0" w:frame="0"/>
          <w:bottom w:val="single" w:color="000000" w:sz="2" w:space="0" w:shadow="0" w:frame="0"/>
          <w:right w:val="single" w:color="000000" w:sz="2" w:space="0" w:shadow="0" w:frame="0"/>
          <w:insideH w:val="single" w:color="000000" w:sz="2" w:space="0" w:shadow="0" w:frame="0"/>
          <w:insideV w:val="single" w:color="000000" w:sz="2" w:space="0" w:shadow="0" w:frame="0"/>
        </w:tblBorders>
        <w:shd w:val="clear" w:color="auto" w:fill="auto"/>
        <w:tblLayout w:type="fixed"/>
      </w:tblPr>
      <w:tblGrid>
        <w:gridCol w:w="930"/>
        <w:gridCol w:w="1448"/>
        <w:gridCol w:w="1256"/>
        <w:gridCol w:w="979"/>
        <w:gridCol w:w="1255"/>
        <w:gridCol w:w="1397"/>
        <w:gridCol w:w="1120"/>
        <w:gridCol w:w="837"/>
      </w:tblGrid>
      <w:tr>
        <w:tblPrEx>
          <w:shd w:val="clear" w:color="auto" w:fill="auto"/>
        </w:tblPrEx>
        <w:trPr>
          <w:trHeight w:val="250" w:hRule="atLeast"/>
        </w:trPr>
        <w:tc>
          <w:tcPr>
            <w:tcW w:type="dxa" w:w="930"/>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5a5a5"/>
            <w:tcMar>
              <w:top w:type="dxa" w:w="80"/>
              <w:left w:type="dxa" w:w="80"/>
              <w:bottom w:type="dxa" w:w="80"/>
              <w:right w:type="dxa" w:w="80"/>
            </w:tcMar>
            <w:vAlign w:val="center"/>
          </w:tcPr>
          <w:p>
            <w:pPr>
              <w:pStyle w:val="Normal"/>
              <w:jc w:val="center"/>
            </w:pPr>
            <w:r>
              <w:rPr>
                <w:rFonts w:ascii="Times New Roman Bold"/>
                <w:caps w:val="0"/>
                <w:smallCaps w:val="0"/>
                <w:strike w:val="0"/>
                <w:dstrike w:val="0"/>
                <w:outline w:val="0"/>
                <w:color w:val="000000"/>
                <w:spacing w:val="0"/>
                <w:kern w:val="0"/>
                <w:position w:val="0"/>
                <w:sz w:val="22"/>
                <w:szCs w:val="22"/>
                <w:u w:val="none" w:color="000000"/>
                <w:vertAlign w:val="baseline"/>
                <w:rtl w:val="0"/>
                <w:lang w:val="it-IT"/>
              </w:rPr>
              <w:t>Comune</w:t>
            </w:r>
          </w:p>
        </w:tc>
        <w:tc>
          <w:tcPr>
            <w:tcW w:type="dxa" w:w="1448"/>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5a5a5"/>
            <w:tcMar>
              <w:top w:type="dxa" w:w="80"/>
              <w:left w:type="dxa" w:w="80"/>
              <w:bottom w:type="dxa" w:w="80"/>
              <w:right w:type="dxa" w:w="80"/>
            </w:tcMar>
            <w:vAlign w:val="center"/>
          </w:tcPr>
          <w:p>
            <w:pPr>
              <w:pStyle w:val="Normal"/>
              <w:jc w:val="center"/>
            </w:pPr>
            <w:r>
              <w:rPr>
                <w:rFonts w:ascii="Times New Roman Bold"/>
                <w:caps w:val="0"/>
                <w:smallCaps w:val="0"/>
                <w:strike w:val="0"/>
                <w:dstrike w:val="0"/>
                <w:outline w:val="0"/>
                <w:color w:val="000000"/>
                <w:spacing w:val="0"/>
                <w:kern w:val="0"/>
                <w:position w:val="0"/>
                <w:sz w:val="22"/>
                <w:szCs w:val="22"/>
                <w:u w:val="none" w:color="000000"/>
                <w:vertAlign w:val="baseline"/>
                <w:rtl w:val="0"/>
                <w:lang w:val="it-IT"/>
              </w:rPr>
              <w:t>Rag Soc</w:t>
            </w:r>
          </w:p>
        </w:tc>
        <w:tc>
          <w:tcPr>
            <w:tcW w:type="dxa" w:w="1256"/>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5a5a5"/>
            <w:tcMar>
              <w:top w:type="dxa" w:w="80"/>
              <w:left w:type="dxa" w:w="80"/>
              <w:bottom w:type="dxa" w:w="80"/>
              <w:right w:type="dxa" w:w="80"/>
            </w:tcMar>
            <w:vAlign w:val="center"/>
          </w:tcPr>
          <w:p>
            <w:pPr>
              <w:pStyle w:val="Normal"/>
              <w:jc w:val="center"/>
            </w:pPr>
            <w:r>
              <w:rPr>
                <w:rFonts w:ascii="Times New Roman Bold"/>
                <w:caps w:val="0"/>
                <w:smallCaps w:val="0"/>
                <w:strike w:val="0"/>
                <w:dstrike w:val="0"/>
                <w:outline w:val="0"/>
                <w:color w:val="000000"/>
                <w:spacing w:val="0"/>
                <w:kern w:val="0"/>
                <w:position w:val="0"/>
                <w:sz w:val="22"/>
                <w:szCs w:val="22"/>
                <w:u w:val="none" w:color="000000"/>
                <w:vertAlign w:val="baseline"/>
                <w:rtl w:val="0"/>
                <w:lang w:val="it-IT"/>
              </w:rPr>
              <w:t xml:space="preserve"> Quantit</w:t>
            </w:r>
            <w:r>
              <w:rPr>
                <w:rFonts w:hAnsi="Times New Roman Bold" w:hint="default"/>
                <w:caps w:val="0"/>
                <w:smallCaps w:val="0"/>
                <w:strike w:val="0"/>
                <w:dstrike w:val="0"/>
                <w:outline w:val="0"/>
                <w:color w:val="000000"/>
                <w:spacing w:val="0"/>
                <w:kern w:val="0"/>
                <w:position w:val="0"/>
                <w:sz w:val="22"/>
                <w:szCs w:val="22"/>
                <w:u w:val="none" w:color="000000"/>
                <w:vertAlign w:val="baseline"/>
                <w:rtl w:val="0"/>
                <w:lang w:val="it-IT"/>
              </w:rPr>
              <w:t xml:space="preserve">à </w:t>
            </w:r>
            <w:r>
              <w:rPr>
                <w:rFonts w:ascii="Times New Roman Bold"/>
                <w:caps w:val="0"/>
                <w:smallCaps w:val="0"/>
                <w:strike w:val="0"/>
                <w:dstrike w:val="0"/>
                <w:outline w:val="0"/>
                <w:color w:val="000000"/>
                <w:spacing w:val="0"/>
                <w:kern w:val="0"/>
                <w:position w:val="0"/>
                <w:sz w:val="22"/>
                <w:szCs w:val="22"/>
                <w:u w:val="none" w:color="000000"/>
                <w:vertAlign w:val="baseline"/>
                <w:rtl w:val="0"/>
                <w:lang w:val="it-IT"/>
              </w:rPr>
              <w:t xml:space="preserve">autorizzata </w:t>
            </w:r>
          </w:p>
        </w:tc>
        <w:tc>
          <w:tcPr>
            <w:tcW w:type="dxa" w:w="979"/>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5a5a5"/>
            <w:tcMar>
              <w:top w:type="dxa" w:w="80"/>
              <w:left w:type="dxa" w:w="80"/>
              <w:bottom w:type="dxa" w:w="80"/>
              <w:right w:type="dxa" w:w="80"/>
            </w:tcMar>
            <w:vAlign w:val="center"/>
          </w:tcPr>
          <w:p>
            <w:pPr>
              <w:pStyle w:val="Normal"/>
              <w:jc w:val="center"/>
            </w:pPr>
            <w:r>
              <w:rPr>
                <w:rFonts w:ascii="Times New Roman Bold"/>
                <w:caps w:val="0"/>
                <w:smallCaps w:val="0"/>
                <w:strike w:val="0"/>
                <w:dstrike w:val="0"/>
                <w:outline w:val="0"/>
                <w:color w:val="000000"/>
                <w:spacing w:val="0"/>
                <w:kern w:val="0"/>
                <w:position w:val="0"/>
                <w:sz w:val="22"/>
                <w:szCs w:val="22"/>
                <w:u w:val="none" w:color="000000"/>
                <w:vertAlign w:val="baseline"/>
                <w:rtl w:val="0"/>
                <w:lang w:val="it-IT"/>
              </w:rPr>
              <w:t xml:space="preserve"> Totale rifiuti trattati </w:t>
            </w:r>
          </w:p>
        </w:tc>
        <w:tc>
          <w:tcPr>
            <w:tcW w:type="dxa" w:w="4609"/>
            <w:gridSpan w:val="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5a5a5"/>
            <w:tcMar>
              <w:top w:type="dxa" w:w="80"/>
              <w:left w:type="dxa" w:w="80"/>
              <w:bottom w:type="dxa" w:w="80"/>
              <w:right w:type="dxa" w:w="80"/>
            </w:tcMar>
            <w:vAlign w:val="center"/>
          </w:tcPr>
          <w:p>
            <w:pPr>
              <w:pStyle w:val="Normal"/>
              <w:jc w:val="center"/>
            </w:pPr>
            <w:r>
              <w:rPr>
                <w:rFonts w:ascii="Times New Roman Bold"/>
                <w:caps w:val="0"/>
                <w:smallCaps w:val="0"/>
                <w:strike w:val="0"/>
                <w:dstrike w:val="0"/>
                <w:outline w:val="0"/>
                <w:color w:val="000000"/>
                <w:spacing w:val="0"/>
                <w:kern w:val="0"/>
                <w:position w:val="0"/>
                <w:sz w:val="22"/>
                <w:szCs w:val="22"/>
                <w:u w:val="none" w:color="000000"/>
                <w:vertAlign w:val="baseline"/>
                <w:rtl w:val="0"/>
                <w:lang w:val="it-IT"/>
              </w:rPr>
              <w:t xml:space="preserve"> Tipologie del rifiuto trattato </w:t>
            </w:r>
          </w:p>
        </w:tc>
      </w:tr>
      <w:tr>
        <w:tblPrEx>
          <w:shd w:val="clear" w:color="auto" w:fill="auto"/>
        </w:tblPrEx>
        <w:trPr>
          <w:trHeight w:val="721" w:hRule="atLeast"/>
        </w:trPr>
        <w:tc>
          <w:tcPr>
            <w:tcW w:type="dxa" w:w="930"/>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5a5a5"/>
          </w:tcPr>
          <w:p/>
        </w:tc>
        <w:tc>
          <w:tcPr>
            <w:tcW w:type="dxa" w:w="1448"/>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5a5a5"/>
          </w:tcPr>
          <w:p/>
        </w:tc>
        <w:tc>
          <w:tcPr>
            <w:tcW w:type="dxa" w:w="1256"/>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5a5a5"/>
          </w:tcPr>
          <w:p/>
        </w:tc>
        <w:tc>
          <w:tcPr>
            <w:tcW w:type="dxa" w:w="979"/>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5a5a5"/>
          </w:tcPr>
          <w:p/>
        </w:tc>
        <w:tc>
          <w:tcPr>
            <w:tcW w:type="dxa" w:w="125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5a5a5"/>
            <w:tcMar>
              <w:top w:type="dxa" w:w="80"/>
              <w:left w:type="dxa" w:w="80"/>
              <w:bottom w:type="dxa" w:w="80"/>
              <w:right w:type="dxa" w:w="80"/>
            </w:tcMar>
            <w:vAlign w:val="center"/>
          </w:tcPr>
          <w:p>
            <w:pPr>
              <w:pStyle w:val="Normal"/>
              <w:jc w:val="center"/>
            </w:pPr>
            <w:r>
              <w:rPr>
                <w:rFonts w:ascii="Times New Roman Bold"/>
                <w:caps w:val="0"/>
                <w:smallCaps w:val="0"/>
                <w:strike w:val="0"/>
                <w:dstrike w:val="0"/>
                <w:outline w:val="0"/>
                <w:color w:val="000000"/>
                <w:spacing w:val="0"/>
                <w:kern w:val="0"/>
                <w:position w:val="0"/>
                <w:sz w:val="22"/>
                <w:szCs w:val="22"/>
                <w:u w:val="none" w:color="000000"/>
                <w:vertAlign w:val="baseline"/>
                <w:rtl w:val="0"/>
                <w:lang w:val="it-IT"/>
              </w:rPr>
              <w:t xml:space="preserve"> RU indiff.                       (20 03 01) </w:t>
            </w:r>
          </w:p>
        </w:tc>
        <w:tc>
          <w:tcPr>
            <w:tcW w:type="dxa" w:w="139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5a5a5"/>
            <w:tcMar>
              <w:top w:type="dxa" w:w="80"/>
              <w:left w:type="dxa" w:w="80"/>
              <w:bottom w:type="dxa" w:w="80"/>
              <w:right w:type="dxa" w:w="80"/>
            </w:tcMar>
            <w:vAlign w:val="center"/>
          </w:tcPr>
          <w:p>
            <w:pPr>
              <w:pStyle w:val="Normal"/>
              <w:jc w:val="center"/>
            </w:pPr>
            <w:r>
              <w:rPr>
                <w:rFonts w:ascii="Times New Roman Bold"/>
                <w:caps w:val="0"/>
                <w:smallCaps w:val="0"/>
                <w:strike w:val="0"/>
                <w:dstrike w:val="0"/>
                <w:outline w:val="0"/>
                <w:color w:val="000000"/>
                <w:spacing w:val="0"/>
                <w:kern w:val="0"/>
                <w:position w:val="0"/>
                <w:sz w:val="22"/>
                <w:szCs w:val="22"/>
                <w:u w:val="none" w:color="000000"/>
                <w:vertAlign w:val="baseline"/>
                <w:rtl w:val="0"/>
                <w:lang w:val="it-IT"/>
              </w:rPr>
              <w:t xml:space="preserve"> RU pretrattati</w:t>
            </w:r>
            <w:r>
              <w:rPr>
                <w:rFonts w:ascii="Times New Roman Bold" w:cs="Times New Roman Bold" w:hAnsi="Times New Roman Bold" w:eastAsia="Times New Roman Bold"/>
                <w:caps w:val="0"/>
                <w:smallCaps w:val="0"/>
                <w:strike w:val="0"/>
                <w:dstrike w:val="0"/>
                <w:outline w:val="0"/>
                <w:color w:val="000000"/>
                <w:spacing w:val="0"/>
                <w:kern w:val="0"/>
                <w:position w:val="0"/>
                <w:sz w:val="22"/>
                <w:szCs w:val="22"/>
                <w:u w:val="none" w:color="000000"/>
                <w:vertAlign w:val="baseline"/>
                <w:rtl w:val="0"/>
                <w:lang w:val="it-IT"/>
              </w:rPr>
              <w:br w:type="textWrapping"/>
            </w:r>
            <w:r>
              <w:rPr>
                <w:rFonts w:ascii="Times New Roman Bold"/>
                <w:caps w:val="0"/>
                <w:smallCaps w:val="0"/>
                <w:strike w:val="0"/>
                <w:dstrike w:val="0"/>
                <w:outline w:val="0"/>
                <w:color w:val="000000"/>
                <w:spacing w:val="0"/>
                <w:kern w:val="0"/>
                <w:position w:val="0"/>
                <w:sz w:val="22"/>
                <w:szCs w:val="22"/>
                <w:u w:val="none" w:color="000000"/>
                <w:vertAlign w:val="baseline"/>
                <w:rtl w:val="0"/>
                <w:lang w:val="it-IT"/>
              </w:rPr>
              <w:t xml:space="preserve">(19 xx xx) </w:t>
            </w:r>
          </w:p>
        </w:tc>
        <w:tc>
          <w:tcPr>
            <w:tcW w:type="dxa" w:w="112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5a5a5"/>
            <w:tcMar>
              <w:top w:type="dxa" w:w="80"/>
              <w:left w:type="dxa" w:w="80"/>
              <w:bottom w:type="dxa" w:w="80"/>
              <w:right w:type="dxa" w:w="80"/>
            </w:tcMar>
            <w:vAlign w:val="center"/>
          </w:tcPr>
          <w:p>
            <w:pPr>
              <w:pStyle w:val="Normal"/>
              <w:jc w:val="center"/>
            </w:pPr>
            <w:r>
              <w:rPr>
                <w:rFonts w:ascii="Times New Roman Bold"/>
                <w:caps w:val="0"/>
                <w:smallCaps w:val="0"/>
                <w:strike w:val="0"/>
                <w:dstrike w:val="0"/>
                <w:outline w:val="0"/>
                <w:color w:val="000000"/>
                <w:spacing w:val="0"/>
                <w:kern w:val="0"/>
                <w:position w:val="0"/>
                <w:sz w:val="22"/>
                <w:szCs w:val="22"/>
                <w:u w:val="none" w:color="000000"/>
                <w:vertAlign w:val="baseline"/>
                <w:rtl w:val="0"/>
                <w:lang w:val="it-IT"/>
              </w:rPr>
              <w:t xml:space="preserve"> Altri RU </w:t>
            </w:r>
          </w:p>
        </w:tc>
        <w:tc>
          <w:tcPr>
            <w:tcW w:type="dxa" w:w="83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5a5a5"/>
            <w:tcMar>
              <w:top w:type="dxa" w:w="80"/>
              <w:left w:type="dxa" w:w="80"/>
              <w:bottom w:type="dxa" w:w="80"/>
              <w:right w:type="dxa" w:w="80"/>
            </w:tcMar>
            <w:vAlign w:val="center"/>
          </w:tcPr>
          <w:p>
            <w:pPr>
              <w:pStyle w:val="Normal"/>
              <w:jc w:val="center"/>
            </w:pPr>
            <w:r>
              <w:rPr>
                <w:rFonts w:ascii="Times New Roman Bold"/>
                <w:caps w:val="0"/>
                <w:smallCaps w:val="0"/>
                <w:strike w:val="0"/>
                <w:dstrike w:val="0"/>
                <w:outline w:val="0"/>
                <w:color w:val="000000"/>
                <w:spacing w:val="0"/>
                <w:kern w:val="0"/>
                <w:position w:val="0"/>
                <w:sz w:val="22"/>
                <w:szCs w:val="22"/>
                <w:u w:val="none" w:color="000000"/>
                <w:vertAlign w:val="baseline"/>
                <w:rtl w:val="0"/>
                <w:lang w:val="it-IT"/>
              </w:rPr>
              <w:t xml:space="preserve"> RS </w:t>
            </w:r>
          </w:p>
        </w:tc>
      </w:tr>
      <w:tr>
        <w:tblPrEx>
          <w:shd w:val="clear" w:color="auto" w:fill="auto"/>
        </w:tblPrEx>
        <w:trPr>
          <w:trHeight w:val="530" w:hRule="atLeast"/>
        </w:trPr>
        <w:tc>
          <w:tcPr>
            <w:tcW w:type="dxa" w:w="93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Normal"/>
            </w:pPr>
            <w:r>
              <w:rPr>
                <w:caps w:val="0"/>
                <w:smallCaps w:val="0"/>
                <w:strike w:val="0"/>
                <w:dstrike w:val="0"/>
                <w:outline w:val="0"/>
                <w:color w:val="000000"/>
                <w:spacing w:val="0"/>
                <w:kern w:val="0"/>
                <w:position w:val="0"/>
                <w:sz w:val="22"/>
                <w:szCs w:val="22"/>
                <w:u w:val="none" w:color="000000"/>
                <w:vertAlign w:val="baseline"/>
                <w:rtl w:val="0"/>
                <w:lang w:val="it-IT"/>
              </w:rPr>
              <w:t xml:space="preserve">Roma </w:t>
            </w:r>
          </w:p>
        </w:tc>
        <w:tc>
          <w:tcPr>
            <w:tcW w:type="dxa" w:w="144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Normal"/>
              <w:jc w:val="center"/>
            </w:pPr>
            <w:r>
              <w:rPr>
                <w:caps w:val="0"/>
                <w:smallCaps w:val="0"/>
                <w:strike w:val="0"/>
                <w:dstrike w:val="0"/>
                <w:outline w:val="0"/>
                <w:color w:val="000000"/>
                <w:spacing w:val="0"/>
                <w:kern w:val="0"/>
                <w:position w:val="0"/>
                <w:sz w:val="22"/>
                <w:szCs w:val="22"/>
                <w:u w:val="none" w:color="000000"/>
                <w:vertAlign w:val="baseline"/>
                <w:rtl w:val="0"/>
                <w:lang w:val="it-IT"/>
              </w:rPr>
              <w:t>E. Giovi srl - Malagrotta 1</w:t>
            </w:r>
          </w:p>
        </w:tc>
        <w:tc>
          <w:tcPr>
            <w:tcW w:type="dxa" w:w="125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Normal"/>
              <w:jc w:val="right"/>
            </w:pPr>
            <w:r>
              <w:rPr>
                <w:caps w:val="0"/>
                <w:smallCaps w:val="0"/>
                <w:strike w:val="0"/>
                <w:dstrike w:val="0"/>
                <w:outline w:val="0"/>
                <w:color w:val="000000"/>
                <w:spacing w:val="0"/>
                <w:kern w:val="0"/>
                <w:position w:val="0"/>
                <w:sz w:val="22"/>
                <w:szCs w:val="22"/>
                <w:u w:val="none" w:color="000000"/>
                <w:vertAlign w:val="baseline"/>
                <w:rtl w:val="0"/>
                <w:lang w:val="it-IT"/>
              </w:rPr>
              <w:t xml:space="preserve">            187.000 </w:t>
            </w:r>
          </w:p>
        </w:tc>
        <w:tc>
          <w:tcPr>
            <w:tcW w:type="dxa" w:w="97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Normal"/>
              <w:jc w:val="right"/>
            </w:pPr>
            <w:r>
              <w:rPr>
                <w:caps w:val="0"/>
                <w:smallCaps w:val="0"/>
                <w:strike w:val="0"/>
                <w:dstrike w:val="0"/>
                <w:outline w:val="0"/>
                <w:color w:val="000000"/>
                <w:spacing w:val="0"/>
                <w:kern w:val="0"/>
                <w:position w:val="0"/>
                <w:sz w:val="22"/>
                <w:szCs w:val="22"/>
                <w:u w:val="none" w:color="000000"/>
                <w:vertAlign w:val="baseline"/>
                <w:rtl w:val="0"/>
                <w:lang w:val="it-IT"/>
              </w:rPr>
              <w:t xml:space="preserve">      166.616 </w:t>
            </w:r>
          </w:p>
        </w:tc>
        <w:tc>
          <w:tcPr>
            <w:tcW w:type="dxa" w:w="125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Normal"/>
              <w:jc w:val="right"/>
            </w:pPr>
            <w:r>
              <w:rPr>
                <w:caps w:val="0"/>
                <w:smallCaps w:val="0"/>
                <w:strike w:val="0"/>
                <w:dstrike w:val="0"/>
                <w:outline w:val="0"/>
                <w:color w:val="000000"/>
                <w:spacing w:val="0"/>
                <w:kern w:val="0"/>
                <w:position w:val="0"/>
                <w:sz w:val="22"/>
                <w:szCs w:val="22"/>
                <w:u w:val="none" w:color="000000"/>
                <w:vertAlign w:val="baseline"/>
                <w:rtl w:val="0"/>
                <w:lang w:val="it-IT"/>
              </w:rPr>
              <w:t xml:space="preserve">              166.353 </w:t>
            </w:r>
          </w:p>
        </w:tc>
        <w:tc>
          <w:tcPr>
            <w:tcW w:type="dxa" w:w="139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Normal"/>
              <w:jc w:val="right"/>
            </w:pPr>
            <w:r>
              <w:rPr>
                <w:caps w:val="0"/>
                <w:smallCaps w:val="0"/>
                <w:strike w:val="0"/>
                <w:dstrike w:val="0"/>
                <w:outline w:val="0"/>
                <w:color w:val="000000"/>
                <w:spacing w:val="0"/>
                <w:kern w:val="0"/>
                <w:position w:val="0"/>
                <w:sz w:val="22"/>
                <w:szCs w:val="22"/>
                <w:u w:val="none" w:color="000000"/>
                <w:vertAlign w:val="baseline"/>
                <w:rtl w:val="0"/>
                <w:lang w:val="it-IT"/>
              </w:rPr>
              <w:t xml:space="preserve">                         -   </w:t>
            </w:r>
          </w:p>
        </w:tc>
        <w:tc>
          <w:tcPr>
            <w:tcW w:type="dxa" w:w="112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Normal"/>
              <w:jc w:val="right"/>
            </w:pPr>
            <w:r>
              <w:rPr>
                <w:caps w:val="0"/>
                <w:smallCaps w:val="0"/>
                <w:strike w:val="0"/>
                <w:dstrike w:val="0"/>
                <w:outline w:val="0"/>
                <w:color w:val="000000"/>
                <w:spacing w:val="0"/>
                <w:kern w:val="0"/>
                <w:position w:val="0"/>
                <w:sz w:val="22"/>
                <w:szCs w:val="22"/>
                <w:u w:val="none" w:color="000000"/>
                <w:vertAlign w:val="baseline"/>
                <w:rtl w:val="0"/>
                <w:lang w:val="it-IT"/>
              </w:rPr>
              <w:t xml:space="preserve">           263 </w:t>
            </w:r>
          </w:p>
        </w:tc>
        <w:tc>
          <w:tcPr>
            <w:tcW w:type="dxa" w:w="83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Normal"/>
              <w:jc w:val="right"/>
            </w:pPr>
            <w:r>
              <w:rPr>
                <w:caps w:val="0"/>
                <w:smallCaps w:val="0"/>
                <w:strike w:val="0"/>
                <w:dstrike w:val="0"/>
                <w:outline w:val="0"/>
                <w:color w:val="000000"/>
                <w:spacing w:val="0"/>
                <w:kern w:val="0"/>
                <w:position w:val="0"/>
                <w:sz w:val="22"/>
                <w:szCs w:val="22"/>
                <w:u w:val="none" w:color="000000"/>
                <w:vertAlign w:val="baseline"/>
                <w:rtl w:val="0"/>
                <w:lang w:val="it-IT"/>
              </w:rPr>
              <w:t xml:space="preserve">               -   </w:t>
            </w:r>
          </w:p>
        </w:tc>
      </w:tr>
      <w:tr>
        <w:tblPrEx>
          <w:shd w:val="clear" w:color="auto" w:fill="auto"/>
        </w:tblPrEx>
        <w:trPr>
          <w:trHeight w:val="481" w:hRule="atLeast"/>
        </w:trPr>
        <w:tc>
          <w:tcPr>
            <w:tcW w:type="dxa" w:w="93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pPr>
            <w:r>
              <w:rPr>
                <w:caps w:val="0"/>
                <w:smallCaps w:val="0"/>
                <w:strike w:val="0"/>
                <w:dstrike w:val="0"/>
                <w:outline w:val="0"/>
                <w:color w:val="000000"/>
                <w:spacing w:val="0"/>
                <w:kern w:val="0"/>
                <w:position w:val="0"/>
                <w:sz w:val="22"/>
                <w:szCs w:val="22"/>
                <w:u w:val="none" w:color="000000"/>
                <w:vertAlign w:val="baseline"/>
                <w:rtl w:val="0"/>
                <w:lang w:val="it-IT"/>
              </w:rPr>
              <w:t>Roma</w:t>
            </w:r>
          </w:p>
        </w:tc>
        <w:tc>
          <w:tcPr>
            <w:tcW w:type="dxa" w:w="144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Normal"/>
              <w:jc w:val="center"/>
            </w:pPr>
            <w:r>
              <w:rPr>
                <w:caps w:val="0"/>
                <w:smallCaps w:val="0"/>
                <w:strike w:val="0"/>
                <w:dstrike w:val="0"/>
                <w:outline w:val="0"/>
                <w:color w:val="000000"/>
                <w:spacing w:val="0"/>
                <w:kern w:val="0"/>
                <w:position w:val="0"/>
                <w:sz w:val="22"/>
                <w:szCs w:val="22"/>
                <w:u w:val="none" w:color="000000"/>
                <w:vertAlign w:val="baseline"/>
                <w:rtl w:val="0"/>
                <w:lang w:val="it-IT"/>
              </w:rPr>
              <w:t>E. Giovi srl - Malagrotta 2</w:t>
            </w:r>
          </w:p>
        </w:tc>
        <w:tc>
          <w:tcPr>
            <w:tcW w:type="dxa" w:w="125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Normal"/>
              <w:jc w:val="right"/>
            </w:pPr>
            <w:r>
              <w:rPr>
                <w:caps w:val="0"/>
                <w:smallCaps w:val="0"/>
                <w:strike w:val="0"/>
                <w:dstrike w:val="0"/>
                <w:outline w:val="0"/>
                <w:color w:val="000000"/>
                <w:spacing w:val="0"/>
                <w:kern w:val="0"/>
                <w:position w:val="0"/>
                <w:sz w:val="22"/>
                <w:szCs w:val="22"/>
                <w:u w:val="none" w:color="000000"/>
                <w:vertAlign w:val="baseline"/>
                <w:rtl w:val="0"/>
                <w:lang w:val="it-IT"/>
              </w:rPr>
              <w:t xml:space="preserve">            280.000 </w:t>
            </w:r>
          </w:p>
        </w:tc>
        <w:tc>
          <w:tcPr>
            <w:tcW w:type="dxa" w:w="97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Normal"/>
              <w:jc w:val="right"/>
            </w:pPr>
            <w:r>
              <w:rPr>
                <w:caps w:val="0"/>
                <w:smallCaps w:val="0"/>
                <w:strike w:val="0"/>
                <w:dstrike w:val="0"/>
                <w:outline w:val="0"/>
                <w:color w:val="000000"/>
                <w:spacing w:val="0"/>
                <w:kern w:val="0"/>
                <w:position w:val="0"/>
                <w:sz w:val="22"/>
                <w:szCs w:val="22"/>
                <w:u w:val="none" w:color="000000"/>
                <w:vertAlign w:val="baseline"/>
                <w:rtl w:val="0"/>
                <w:lang w:val="it-IT"/>
              </w:rPr>
              <w:t xml:space="preserve">      277.770 </w:t>
            </w:r>
          </w:p>
        </w:tc>
        <w:tc>
          <w:tcPr>
            <w:tcW w:type="dxa" w:w="125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Normal"/>
              <w:jc w:val="right"/>
            </w:pPr>
            <w:r>
              <w:rPr>
                <w:caps w:val="0"/>
                <w:smallCaps w:val="0"/>
                <w:strike w:val="0"/>
                <w:dstrike w:val="0"/>
                <w:outline w:val="0"/>
                <w:color w:val="000000"/>
                <w:spacing w:val="0"/>
                <w:kern w:val="0"/>
                <w:position w:val="0"/>
                <w:sz w:val="22"/>
                <w:szCs w:val="22"/>
                <w:u w:val="none" w:color="000000"/>
                <w:vertAlign w:val="baseline"/>
                <w:rtl w:val="0"/>
                <w:lang w:val="it-IT"/>
              </w:rPr>
              <w:t xml:space="preserve">              277.770 </w:t>
            </w:r>
          </w:p>
        </w:tc>
        <w:tc>
          <w:tcPr>
            <w:tcW w:type="dxa" w:w="139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Normal"/>
              <w:jc w:val="right"/>
            </w:pPr>
            <w:r>
              <w:rPr>
                <w:caps w:val="0"/>
                <w:smallCaps w:val="0"/>
                <w:strike w:val="0"/>
                <w:dstrike w:val="0"/>
                <w:outline w:val="0"/>
                <w:color w:val="000000"/>
                <w:spacing w:val="0"/>
                <w:kern w:val="0"/>
                <w:position w:val="0"/>
                <w:sz w:val="22"/>
                <w:szCs w:val="22"/>
                <w:u w:val="none" w:color="000000"/>
                <w:vertAlign w:val="baseline"/>
                <w:rtl w:val="0"/>
                <w:lang w:val="it-IT"/>
              </w:rPr>
              <w:t xml:space="preserve">                         -   </w:t>
            </w:r>
          </w:p>
        </w:tc>
        <w:tc>
          <w:tcPr>
            <w:tcW w:type="dxa" w:w="112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Normal"/>
              <w:jc w:val="right"/>
            </w:pPr>
            <w:r>
              <w:rPr>
                <w:caps w:val="0"/>
                <w:smallCaps w:val="0"/>
                <w:strike w:val="0"/>
                <w:dstrike w:val="0"/>
                <w:outline w:val="0"/>
                <w:color w:val="000000"/>
                <w:spacing w:val="0"/>
                <w:kern w:val="0"/>
                <w:position w:val="0"/>
                <w:sz w:val="22"/>
                <w:szCs w:val="22"/>
                <w:u w:val="none" w:color="000000"/>
                <w:vertAlign w:val="baseline"/>
                <w:rtl w:val="0"/>
                <w:lang w:val="it-IT"/>
              </w:rPr>
              <w:t xml:space="preserve">               -   </w:t>
            </w:r>
          </w:p>
        </w:tc>
        <w:tc>
          <w:tcPr>
            <w:tcW w:type="dxa" w:w="83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right"/>
            </w:pPr>
            <w:r>
              <w:rPr>
                <w:caps w:val="0"/>
                <w:smallCaps w:val="0"/>
                <w:strike w:val="0"/>
                <w:dstrike w:val="0"/>
                <w:outline w:val="0"/>
                <w:color w:val="000000"/>
                <w:spacing w:val="0"/>
                <w:kern w:val="0"/>
                <w:position w:val="0"/>
                <w:sz w:val="22"/>
                <w:szCs w:val="22"/>
                <w:u w:val="none" w:color="000000"/>
                <w:vertAlign w:val="baseline"/>
                <w:rtl w:val="0"/>
                <w:lang w:val="it-IT"/>
              </w:rPr>
              <w:t xml:space="preserve">               -   </w:t>
            </w:r>
          </w:p>
        </w:tc>
      </w:tr>
      <w:tr>
        <w:tblPrEx>
          <w:shd w:val="clear" w:color="auto" w:fill="auto"/>
        </w:tblPrEx>
        <w:trPr>
          <w:trHeight w:val="481" w:hRule="atLeast"/>
        </w:trPr>
        <w:tc>
          <w:tcPr>
            <w:tcW w:type="dxa" w:w="93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Normal"/>
            </w:pPr>
            <w:r>
              <w:rPr>
                <w:caps w:val="0"/>
                <w:smallCaps w:val="0"/>
                <w:strike w:val="0"/>
                <w:dstrike w:val="0"/>
                <w:outline w:val="0"/>
                <w:color w:val="000000"/>
                <w:spacing w:val="0"/>
                <w:kern w:val="0"/>
                <w:position w:val="0"/>
                <w:sz w:val="22"/>
                <w:szCs w:val="22"/>
                <w:u w:val="none" w:color="000000"/>
                <w:vertAlign w:val="baseline"/>
                <w:rtl w:val="0"/>
                <w:lang w:val="it-IT"/>
              </w:rPr>
              <w:t>Roma</w:t>
            </w:r>
          </w:p>
        </w:tc>
        <w:tc>
          <w:tcPr>
            <w:tcW w:type="dxa" w:w="144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Normal"/>
              <w:jc w:val="center"/>
            </w:pPr>
            <w:r>
              <w:rPr>
                <w:caps w:val="0"/>
                <w:smallCaps w:val="0"/>
                <w:strike w:val="0"/>
                <w:dstrike w:val="0"/>
                <w:outline w:val="0"/>
                <w:color w:val="000000"/>
                <w:spacing w:val="0"/>
                <w:kern w:val="0"/>
                <w:position w:val="0"/>
                <w:sz w:val="22"/>
                <w:szCs w:val="22"/>
                <w:u w:val="none" w:color="000000"/>
                <w:vertAlign w:val="baseline"/>
                <w:rtl w:val="0"/>
                <w:lang w:val="it-IT"/>
              </w:rPr>
              <w:t>Co.La.Ri</w:t>
            </w:r>
          </w:p>
        </w:tc>
        <w:tc>
          <w:tcPr>
            <w:tcW w:type="dxa" w:w="125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right"/>
            </w:pPr>
            <w:r>
              <w:rPr>
                <w:caps w:val="0"/>
                <w:smallCaps w:val="0"/>
                <w:strike w:val="0"/>
                <w:dstrike w:val="0"/>
                <w:outline w:val="0"/>
                <w:color w:val="000000"/>
                <w:spacing w:val="0"/>
                <w:kern w:val="0"/>
                <w:position w:val="0"/>
                <w:sz w:val="22"/>
                <w:szCs w:val="22"/>
                <w:u w:val="none" w:color="000000"/>
                <w:vertAlign w:val="baseline"/>
                <w:rtl w:val="0"/>
                <w:lang w:val="it-IT"/>
              </w:rPr>
              <w:t xml:space="preserve">            400.000 </w:t>
            </w:r>
          </w:p>
        </w:tc>
        <w:tc>
          <w:tcPr>
            <w:tcW w:type="dxa" w:w="97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Normal"/>
              <w:jc w:val="right"/>
            </w:pPr>
            <w:r>
              <w:rPr>
                <w:caps w:val="0"/>
                <w:smallCaps w:val="0"/>
                <w:strike w:val="0"/>
                <w:dstrike w:val="0"/>
                <w:outline w:val="0"/>
                <w:color w:val="000000"/>
                <w:spacing w:val="0"/>
                <w:kern w:val="0"/>
                <w:position w:val="0"/>
                <w:sz w:val="22"/>
                <w:szCs w:val="22"/>
                <w:u w:val="none" w:color="000000"/>
                <w:vertAlign w:val="baseline"/>
                <w:rtl w:val="0"/>
                <w:lang w:val="it-IT"/>
              </w:rPr>
              <w:t xml:space="preserve">      194.241 </w:t>
            </w:r>
          </w:p>
        </w:tc>
        <w:tc>
          <w:tcPr>
            <w:tcW w:type="dxa" w:w="125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Normal"/>
              <w:jc w:val="right"/>
            </w:pPr>
            <w:r>
              <w:rPr>
                <w:caps w:val="0"/>
                <w:smallCaps w:val="0"/>
                <w:strike w:val="0"/>
                <w:dstrike w:val="0"/>
                <w:outline w:val="0"/>
                <w:color w:val="000000"/>
                <w:spacing w:val="0"/>
                <w:kern w:val="0"/>
                <w:position w:val="0"/>
                <w:sz w:val="22"/>
                <w:szCs w:val="22"/>
                <w:u w:val="none" w:color="000000"/>
                <w:vertAlign w:val="baseline"/>
                <w:rtl w:val="0"/>
                <w:lang w:val="it-IT"/>
              </w:rPr>
              <w:t xml:space="preserve">              194.241 </w:t>
            </w:r>
          </w:p>
        </w:tc>
        <w:tc>
          <w:tcPr>
            <w:tcW w:type="dxa" w:w="139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right"/>
            </w:pPr>
            <w:r>
              <w:rPr>
                <w:caps w:val="0"/>
                <w:smallCaps w:val="0"/>
                <w:strike w:val="0"/>
                <w:dstrike w:val="0"/>
                <w:outline w:val="0"/>
                <w:color w:val="000000"/>
                <w:spacing w:val="0"/>
                <w:kern w:val="0"/>
                <w:position w:val="0"/>
                <w:sz w:val="22"/>
                <w:szCs w:val="22"/>
                <w:u w:val="none" w:color="000000"/>
                <w:vertAlign w:val="baseline"/>
                <w:rtl w:val="0"/>
                <w:lang w:val="it-IT"/>
              </w:rPr>
              <w:t xml:space="preserve">                         -   </w:t>
            </w:r>
          </w:p>
        </w:tc>
        <w:tc>
          <w:tcPr>
            <w:tcW w:type="dxa" w:w="112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right"/>
            </w:pPr>
            <w:r>
              <w:rPr>
                <w:caps w:val="0"/>
                <w:smallCaps w:val="0"/>
                <w:strike w:val="0"/>
                <w:dstrike w:val="0"/>
                <w:outline w:val="0"/>
                <w:color w:val="000000"/>
                <w:spacing w:val="0"/>
                <w:kern w:val="0"/>
                <w:position w:val="0"/>
                <w:sz w:val="22"/>
                <w:szCs w:val="22"/>
                <w:u w:val="none" w:color="000000"/>
                <w:vertAlign w:val="baseline"/>
                <w:rtl w:val="0"/>
                <w:lang w:val="it-IT"/>
              </w:rPr>
              <w:t xml:space="preserve">               -   </w:t>
            </w:r>
          </w:p>
        </w:tc>
        <w:tc>
          <w:tcPr>
            <w:tcW w:type="dxa" w:w="83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right"/>
            </w:pPr>
            <w:r>
              <w:rPr>
                <w:caps w:val="0"/>
                <w:smallCaps w:val="0"/>
                <w:strike w:val="0"/>
                <w:dstrike w:val="0"/>
                <w:outline w:val="0"/>
                <w:color w:val="000000"/>
                <w:spacing w:val="0"/>
                <w:kern w:val="0"/>
                <w:position w:val="0"/>
                <w:sz w:val="22"/>
                <w:szCs w:val="22"/>
                <w:u w:val="none" w:color="000000"/>
                <w:vertAlign w:val="baseline"/>
                <w:rtl w:val="0"/>
                <w:lang w:val="it-IT"/>
              </w:rPr>
              <w:t xml:space="preserve">               -   </w:t>
            </w:r>
          </w:p>
        </w:tc>
      </w:tr>
      <w:tr>
        <w:tblPrEx>
          <w:shd w:val="clear" w:color="auto" w:fill="auto"/>
        </w:tblPrEx>
        <w:trPr>
          <w:trHeight w:val="481" w:hRule="atLeast"/>
        </w:trPr>
        <w:tc>
          <w:tcPr>
            <w:tcW w:type="dxa" w:w="93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Normal"/>
            </w:pPr>
            <w:r>
              <w:rPr>
                <w:caps w:val="0"/>
                <w:smallCaps w:val="0"/>
                <w:strike w:val="0"/>
                <w:dstrike w:val="0"/>
                <w:outline w:val="0"/>
                <w:color w:val="000000"/>
                <w:spacing w:val="0"/>
                <w:kern w:val="0"/>
                <w:position w:val="0"/>
                <w:sz w:val="22"/>
                <w:szCs w:val="22"/>
                <w:u w:val="none" w:color="000000"/>
                <w:vertAlign w:val="baseline"/>
                <w:rtl w:val="0"/>
                <w:lang w:val="it-IT"/>
              </w:rPr>
              <w:t>Roma</w:t>
            </w:r>
          </w:p>
        </w:tc>
        <w:tc>
          <w:tcPr>
            <w:tcW w:type="dxa" w:w="144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22"/>
                <w:szCs w:val="22"/>
                <w:u w:val="none" w:color="000000"/>
                <w:vertAlign w:val="baseline"/>
                <w:rtl w:val="0"/>
                <w:lang w:val="it-IT"/>
              </w:rPr>
            </w:pPr>
            <w:r>
              <w:rPr>
                <w:caps w:val="0"/>
                <w:smallCaps w:val="0"/>
                <w:strike w:val="0"/>
                <w:dstrike w:val="0"/>
                <w:outline w:val="0"/>
                <w:color w:val="000000"/>
                <w:spacing w:val="0"/>
                <w:kern w:val="0"/>
                <w:position w:val="0"/>
                <w:sz w:val="22"/>
                <w:szCs w:val="22"/>
                <w:u w:val="none" w:color="000000"/>
                <w:vertAlign w:val="baseline"/>
                <w:rtl w:val="0"/>
                <w:lang w:val="it-IT"/>
              </w:rPr>
              <w:t xml:space="preserve">AMA spa </w:t>
            </w:r>
          </w:p>
          <w:p>
            <w:pPr>
              <w:pStyle w:val="Normal"/>
              <w:jc w:val="center"/>
            </w:pPr>
            <w:r>
              <w:rPr>
                <w:caps w:val="0"/>
                <w:smallCaps w:val="0"/>
                <w:strike w:val="0"/>
                <w:dstrike w:val="0"/>
                <w:outline w:val="0"/>
                <w:color w:val="000000"/>
                <w:spacing w:val="0"/>
                <w:kern w:val="0"/>
                <w:position w:val="0"/>
                <w:sz w:val="22"/>
                <w:szCs w:val="22"/>
                <w:u w:val="none" w:color="000000"/>
                <w:vertAlign w:val="baseline"/>
                <w:rtl w:val="0"/>
                <w:lang w:val="it-IT"/>
              </w:rPr>
              <w:t>via Salaria</w:t>
            </w:r>
          </w:p>
        </w:tc>
        <w:tc>
          <w:tcPr>
            <w:tcW w:type="dxa" w:w="125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right"/>
            </w:pPr>
            <w:r>
              <w:rPr>
                <w:caps w:val="0"/>
                <w:smallCaps w:val="0"/>
                <w:strike w:val="0"/>
                <w:dstrike w:val="0"/>
                <w:outline w:val="0"/>
                <w:color w:val="000000"/>
                <w:spacing w:val="0"/>
                <w:kern w:val="0"/>
                <w:position w:val="0"/>
                <w:sz w:val="22"/>
                <w:szCs w:val="22"/>
                <w:u w:val="none" w:color="000000"/>
                <w:vertAlign w:val="baseline"/>
                <w:rtl w:val="0"/>
                <w:lang w:val="it-IT"/>
              </w:rPr>
              <w:t xml:space="preserve">            234.000 </w:t>
            </w:r>
          </w:p>
        </w:tc>
        <w:tc>
          <w:tcPr>
            <w:tcW w:type="dxa" w:w="97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right"/>
            </w:pPr>
            <w:r>
              <w:rPr>
                <w:caps w:val="0"/>
                <w:smallCaps w:val="0"/>
                <w:strike w:val="0"/>
                <w:dstrike w:val="0"/>
                <w:outline w:val="0"/>
                <w:color w:val="000000"/>
                <w:spacing w:val="0"/>
                <w:kern w:val="0"/>
                <w:position w:val="0"/>
                <w:sz w:val="22"/>
                <w:szCs w:val="22"/>
                <w:u w:val="none" w:color="000000"/>
                <w:vertAlign w:val="baseline"/>
                <w:rtl w:val="0"/>
                <w:lang w:val="it-IT"/>
              </w:rPr>
              <w:t xml:space="preserve">        97.145 </w:t>
            </w:r>
          </w:p>
        </w:tc>
        <w:tc>
          <w:tcPr>
            <w:tcW w:type="dxa" w:w="125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keepLines w:val="1"/>
              <w:spacing w:before="200"/>
              <w:jc w:val="right"/>
              <w:outlineLvl w:val="6"/>
            </w:pPr>
            <w:r>
              <w:rPr>
                <w:caps w:val="0"/>
                <w:smallCaps w:val="0"/>
                <w:strike w:val="0"/>
                <w:dstrike w:val="0"/>
                <w:outline w:val="0"/>
                <w:color w:val="000000"/>
                <w:spacing w:val="0"/>
                <w:kern w:val="0"/>
                <w:position w:val="0"/>
                <w:sz w:val="22"/>
                <w:szCs w:val="22"/>
                <w:u w:val="none" w:color="000000"/>
                <w:vertAlign w:val="baseline"/>
                <w:rtl w:val="0"/>
                <w:lang w:val="it-IT"/>
              </w:rPr>
              <w:t xml:space="preserve">                96.301 </w:t>
            </w:r>
          </w:p>
        </w:tc>
        <w:tc>
          <w:tcPr>
            <w:tcW w:type="dxa" w:w="139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Normal"/>
              <w:keepNext w:val="1"/>
              <w:keepLines w:val="1"/>
              <w:spacing w:before="200"/>
              <w:jc w:val="right"/>
              <w:outlineLvl w:val="6"/>
            </w:pPr>
            <w:r>
              <w:rPr>
                <w:caps w:val="0"/>
                <w:smallCaps w:val="0"/>
                <w:strike w:val="0"/>
                <w:dstrike w:val="0"/>
                <w:outline w:val="0"/>
                <w:color w:val="000000"/>
                <w:spacing w:val="0"/>
                <w:kern w:val="0"/>
                <w:position w:val="0"/>
                <w:sz w:val="22"/>
                <w:szCs w:val="22"/>
                <w:u w:val="none" w:color="000000"/>
                <w:vertAlign w:val="baseline"/>
                <w:rtl w:val="0"/>
                <w:lang w:val="it-IT"/>
              </w:rPr>
              <w:t xml:space="preserve">                     827 </w:t>
            </w:r>
          </w:p>
        </w:tc>
        <w:tc>
          <w:tcPr>
            <w:tcW w:type="dxa" w:w="112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keepLines w:val="1"/>
              <w:spacing w:before="200"/>
              <w:jc w:val="right"/>
              <w:outlineLvl w:val="6"/>
            </w:pPr>
            <w:r>
              <w:rPr>
                <w:caps w:val="0"/>
                <w:smallCaps w:val="0"/>
                <w:strike w:val="0"/>
                <w:dstrike w:val="0"/>
                <w:outline w:val="0"/>
                <w:color w:val="000000"/>
                <w:spacing w:val="0"/>
                <w:kern w:val="0"/>
                <w:position w:val="0"/>
                <w:sz w:val="22"/>
                <w:szCs w:val="22"/>
                <w:u w:val="none" w:color="000000"/>
                <w:vertAlign w:val="baseline"/>
                <w:rtl w:val="0"/>
                <w:lang w:val="it-IT"/>
              </w:rPr>
              <w:t xml:space="preserve">              16 </w:t>
            </w:r>
          </w:p>
        </w:tc>
        <w:tc>
          <w:tcPr>
            <w:tcW w:type="dxa" w:w="83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Normal"/>
              <w:keepNext w:val="1"/>
              <w:keepLines w:val="1"/>
              <w:spacing w:before="200"/>
              <w:jc w:val="right"/>
              <w:outlineLvl w:val="6"/>
            </w:pPr>
            <w:r>
              <w:rPr>
                <w:caps w:val="0"/>
                <w:smallCaps w:val="0"/>
                <w:strike w:val="0"/>
                <w:dstrike w:val="0"/>
                <w:outline w:val="0"/>
                <w:color w:val="000000"/>
                <w:spacing w:val="0"/>
                <w:kern w:val="0"/>
                <w:position w:val="0"/>
                <w:sz w:val="22"/>
                <w:szCs w:val="22"/>
                <w:u w:val="none" w:color="000000"/>
                <w:vertAlign w:val="baseline"/>
                <w:rtl w:val="0"/>
                <w:lang w:val="it-IT"/>
              </w:rPr>
              <w:t xml:space="preserve">               -   </w:t>
            </w:r>
          </w:p>
        </w:tc>
      </w:tr>
      <w:tr>
        <w:tblPrEx>
          <w:shd w:val="clear" w:color="auto" w:fill="auto"/>
        </w:tblPrEx>
        <w:trPr>
          <w:trHeight w:val="481" w:hRule="atLeast"/>
        </w:trPr>
        <w:tc>
          <w:tcPr>
            <w:tcW w:type="dxa" w:w="93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Normal"/>
              <w:keepNext w:val="1"/>
              <w:keepLines w:val="1"/>
              <w:spacing w:before="200"/>
              <w:outlineLvl w:val="6"/>
            </w:pPr>
            <w:r>
              <w:rPr>
                <w:caps w:val="0"/>
                <w:smallCaps w:val="0"/>
                <w:strike w:val="0"/>
                <w:dstrike w:val="0"/>
                <w:outline w:val="0"/>
                <w:color w:val="000000"/>
                <w:spacing w:val="0"/>
                <w:kern w:val="0"/>
                <w:position w:val="0"/>
                <w:sz w:val="22"/>
                <w:szCs w:val="22"/>
                <w:u w:val="none" w:color="000000"/>
                <w:vertAlign w:val="baseline"/>
                <w:rtl w:val="0"/>
                <w:lang w:val="it-IT"/>
              </w:rPr>
              <w:t>Roma</w:t>
            </w:r>
          </w:p>
        </w:tc>
        <w:tc>
          <w:tcPr>
            <w:tcW w:type="dxa" w:w="144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Normal"/>
              <w:keepNext w:val="1"/>
              <w:keepLines w:val="1"/>
              <w:spacing w:before="200"/>
              <w:jc w:val="center"/>
              <w:outlineLvl w:val="6"/>
            </w:pPr>
            <w:r>
              <w:rPr>
                <w:caps w:val="0"/>
                <w:smallCaps w:val="0"/>
                <w:strike w:val="0"/>
                <w:dstrike w:val="0"/>
                <w:outline w:val="0"/>
                <w:color w:val="000000"/>
                <w:spacing w:val="0"/>
                <w:kern w:val="0"/>
                <w:position w:val="0"/>
                <w:sz w:val="22"/>
                <w:szCs w:val="22"/>
                <w:u w:val="none" w:color="000000"/>
                <w:vertAlign w:val="baseline"/>
                <w:rtl w:val="0"/>
                <w:lang w:val="it-IT"/>
              </w:rPr>
              <w:t>AMA spa  Rocca Cencia</w:t>
            </w:r>
          </w:p>
        </w:tc>
        <w:tc>
          <w:tcPr>
            <w:tcW w:type="dxa" w:w="125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keepLines w:val="1"/>
              <w:spacing w:before="200"/>
              <w:jc w:val="right"/>
              <w:outlineLvl w:val="6"/>
            </w:pPr>
            <w:r>
              <w:rPr>
                <w:caps w:val="0"/>
                <w:smallCaps w:val="0"/>
                <w:strike w:val="0"/>
                <w:dstrike w:val="0"/>
                <w:outline w:val="0"/>
                <w:color w:val="000000"/>
                <w:spacing w:val="0"/>
                <w:kern w:val="0"/>
                <w:position w:val="0"/>
                <w:sz w:val="22"/>
                <w:szCs w:val="22"/>
                <w:u w:val="none" w:color="000000"/>
                <w:vertAlign w:val="baseline"/>
                <w:rtl w:val="0"/>
                <w:lang w:val="it-IT"/>
              </w:rPr>
              <w:t xml:space="preserve">            234.000 </w:t>
            </w:r>
          </w:p>
        </w:tc>
        <w:tc>
          <w:tcPr>
            <w:tcW w:type="dxa" w:w="97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Normal"/>
              <w:keepNext w:val="1"/>
              <w:keepLines w:val="1"/>
              <w:spacing w:before="200"/>
              <w:jc w:val="right"/>
              <w:outlineLvl w:val="6"/>
            </w:pPr>
            <w:r>
              <w:rPr>
                <w:caps w:val="0"/>
                <w:smallCaps w:val="0"/>
                <w:strike w:val="0"/>
                <w:dstrike w:val="0"/>
                <w:outline w:val="0"/>
                <w:color w:val="000000"/>
                <w:spacing w:val="0"/>
                <w:kern w:val="0"/>
                <w:position w:val="0"/>
                <w:sz w:val="22"/>
                <w:szCs w:val="22"/>
                <w:u w:val="none" w:color="000000"/>
                <w:vertAlign w:val="baseline"/>
                <w:rtl w:val="0"/>
                <w:lang w:val="it-IT"/>
              </w:rPr>
              <w:t xml:space="preserve">      232.292 </w:t>
            </w:r>
          </w:p>
        </w:tc>
        <w:tc>
          <w:tcPr>
            <w:tcW w:type="dxa" w:w="125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keepLines w:val="1"/>
              <w:spacing w:before="200"/>
              <w:jc w:val="right"/>
              <w:outlineLvl w:val="6"/>
            </w:pPr>
            <w:r>
              <w:rPr>
                <w:caps w:val="0"/>
                <w:smallCaps w:val="0"/>
                <w:strike w:val="0"/>
                <w:dstrike w:val="0"/>
                <w:outline w:val="0"/>
                <w:color w:val="000000"/>
                <w:spacing w:val="0"/>
                <w:kern w:val="0"/>
                <w:position w:val="0"/>
                <w:sz w:val="22"/>
                <w:szCs w:val="22"/>
                <w:u w:val="none" w:color="000000"/>
                <w:vertAlign w:val="baseline"/>
                <w:rtl w:val="0"/>
                <w:lang w:val="it-IT"/>
              </w:rPr>
              <w:t xml:space="preserve">              227.173 </w:t>
            </w:r>
          </w:p>
        </w:tc>
        <w:tc>
          <w:tcPr>
            <w:tcW w:type="dxa" w:w="139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Normal"/>
              <w:keepNext w:val="1"/>
              <w:keepLines w:val="1"/>
              <w:spacing w:before="200"/>
              <w:jc w:val="right"/>
              <w:outlineLvl w:val="6"/>
            </w:pPr>
            <w:r>
              <w:rPr>
                <w:caps w:val="0"/>
                <w:smallCaps w:val="0"/>
                <w:strike w:val="0"/>
                <w:dstrike w:val="0"/>
                <w:outline w:val="0"/>
                <w:color w:val="000000"/>
                <w:spacing w:val="0"/>
                <w:kern w:val="0"/>
                <w:position w:val="0"/>
                <w:sz w:val="22"/>
                <w:szCs w:val="22"/>
                <w:u w:val="none" w:color="000000"/>
                <w:vertAlign w:val="baseline"/>
                <w:rtl w:val="0"/>
                <w:lang w:val="it-IT"/>
              </w:rPr>
              <w:t xml:space="preserve">                  1.767 </w:t>
            </w:r>
          </w:p>
        </w:tc>
        <w:tc>
          <w:tcPr>
            <w:tcW w:type="dxa" w:w="112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Normal"/>
              <w:keepNext w:val="1"/>
              <w:keepLines w:val="1"/>
              <w:spacing w:before="200"/>
              <w:jc w:val="right"/>
              <w:outlineLvl w:val="6"/>
            </w:pPr>
            <w:r>
              <w:rPr>
                <w:caps w:val="0"/>
                <w:smallCaps w:val="0"/>
                <w:strike w:val="0"/>
                <w:dstrike w:val="0"/>
                <w:outline w:val="0"/>
                <w:color w:val="000000"/>
                <w:spacing w:val="0"/>
                <w:kern w:val="0"/>
                <w:position w:val="0"/>
                <w:sz w:val="22"/>
                <w:szCs w:val="22"/>
                <w:u w:val="none" w:color="000000"/>
                <w:vertAlign w:val="baseline"/>
                <w:rtl w:val="0"/>
                <w:lang w:val="it-IT"/>
              </w:rPr>
              <w:t xml:space="preserve">               -   </w:t>
            </w:r>
          </w:p>
        </w:tc>
        <w:tc>
          <w:tcPr>
            <w:tcW w:type="dxa" w:w="83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Normal"/>
              <w:keepNext w:val="1"/>
              <w:keepLines w:val="1"/>
              <w:spacing w:before="200"/>
              <w:jc w:val="right"/>
              <w:outlineLvl w:val="6"/>
            </w:pPr>
            <w:r>
              <w:rPr>
                <w:caps w:val="0"/>
                <w:smallCaps w:val="0"/>
                <w:strike w:val="0"/>
                <w:dstrike w:val="0"/>
                <w:outline w:val="0"/>
                <w:color w:val="000000"/>
                <w:spacing w:val="0"/>
                <w:kern w:val="0"/>
                <w:position w:val="0"/>
                <w:sz w:val="22"/>
                <w:szCs w:val="22"/>
                <w:u w:val="none" w:color="000000"/>
                <w:vertAlign w:val="baseline"/>
                <w:rtl w:val="0"/>
                <w:lang w:val="it-IT"/>
              </w:rPr>
              <w:t xml:space="preserve">        3.352 </w:t>
            </w:r>
          </w:p>
        </w:tc>
      </w:tr>
      <w:tr>
        <w:tblPrEx>
          <w:shd w:val="clear" w:color="auto" w:fill="auto"/>
        </w:tblPrEx>
        <w:trPr>
          <w:trHeight w:val="481" w:hRule="atLeast"/>
        </w:trPr>
        <w:tc>
          <w:tcPr>
            <w:tcW w:type="dxa" w:w="93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keepLines w:val="1"/>
              <w:spacing w:before="200"/>
              <w:outlineLvl w:val="6"/>
            </w:pPr>
            <w:r>
              <w:rPr>
                <w:caps w:val="0"/>
                <w:smallCaps w:val="0"/>
                <w:strike w:val="0"/>
                <w:dstrike w:val="0"/>
                <w:outline w:val="0"/>
                <w:color w:val="000000"/>
                <w:spacing w:val="0"/>
                <w:kern w:val="0"/>
                <w:position w:val="0"/>
                <w:sz w:val="22"/>
                <w:szCs w:val="22"/>
                <w:u w:val="none" w:color="000000"/>
                <w:vertAlign w:val="baseline"/>
                <w:rtl w:val="0"/>
                <w:lang w:val="it-IT"/>
              </w:rPr>
              <w:t xml:space="preserve">totale </w:t>
            </w:r>
          </w:p>
        </w:tc>
        <w:tc>
          <w:tcPr>
            <w:tcW w:type="dxa" w:w="144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keepNext w:val="1"/>
              <w:keepLines w:val="1"/>
              <w:spacing w:before="200"/>
              <w:outlineLvl w:val="6"/>
            </w:pPr>
            <w:r>
              <w:rPr>
                <w:rFonts w:hAnsi="Times New Roman" w:hint="default"/>
                <w:caps w:val="0"/>
                <w:smallCaps w:val="0"/>
                <w:strike w:val="0"/>
                <w:dstrike w:val="0"/>
                <w:outline w:val="0"/>
                <w:color w:val="000000"/>
                <w:spacing w:val="0"/>
                <w:kern w:val="0"/>
                <w:position w:val="0"/>
                <w:sz w:val="22"/>
                <w:szCs w:val="22"/>
                <w:u w:val="none" w:color="000000"/>
                <w:vertAlign w:val="baseline"/>
                <w:rtl w:val="0"/>
                <w:lang w:val="it-IT"/>
              </w:rPr>
              <w:t> </w:t>
            </w:r>
          </w:p>
        </w:tc>
        <w:tc>
          <w:tcPr>
            <w:tcW w:type="dxa" w:w="125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keepNext w:val="1"/>
              <w:keepLines w:val="1"/>
              <w:spacing w:before="200"/>
              <w:outlineLvl w:val="6"/>
            </w:pPr>
            <w:r>
              <w:rPr>
                <w:rFonts w:hAnsi="Times New Roman" w:hint="default"/>
                <w:caps w:val="0"/>
                <w:smallCaps w:val="0"/>
                <w:strike w:val="0"/>
                <w:dstrike w:val="0"/>
                <w:outline w:val="0"/>
                <w:color w:val="000000"/>
                <w:spacing w:val="0"/>
                <w:kern w:val="0"/>
                <w:position w:val="0"/>
                <w:sz w:val="22"/>
                <w:szCs w:val="22"/>
                <w:u w:val="none" w:color="000000"/>
                <w:vertAlign w:val="baseline"/>
                <w:rtl w:val="0"/>
                <w:lang w:val="it-IT"/>
              </w:rPr>
              <w:t> </w:t>
            </w:r>
          </w:p>
        </w:tc>
        <w:tc>
          <w:tcPr>
            <w:tcW w:type="dxa" w:w="97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keepNext w:val="1"/>
              <w:keepLines w:val="1"/>
              <w:spacing w:before="200"/>
              <w:outlineLvl w:val="6"/>
            </w:pPr>
            <w:r>
              <w:rPr>
                <w:rFonts w:hAnsi="Times New Roman" w:hint="default"/>
                <w:caps w:val="0"/>
                <w:smallCaps w:val="0"/>
                <w:strike w:val="0"/>
                <w:dstrike w:val="0"/>
                <w:outline w:val="0"/>
                <w:color w:val="000000"/>
                <w:spacing w:val="0"/>
                <w:kern w:val="0"/>
                <w:position w:val="0"/>
                <w:sz w:val="22"/>
                <w:szCs w:val="22"/>
                <w:u w:val="none" w:color="000000"/>
                <w:vertAlign w:val="baseline"/>
                <w:rtl w:val="0"/>
                <w:lang w:val="it-IT"/>
              </w:rPr>
              <w:t> </w:t>
            </w:r>
          </w:p>
        </w:tc>
        <w:tc>
          <w:tcPr>
            <w:tcW w:type="dxa" w:w="125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keepLines w:val="1"/>
              <w:spacing w:before="200"/>
              <w:jc w:val="right"/>
              <w:outlineLvl w:val="6"/>
            </w:pPr>
            <w:r>
              <w:rPr>
                <w:rFonts w:ascii="Times New Roman Bold"/>
                <w:caps w:val="0"/>
                <w:smallCaps w:val="0"/>
                <w:strike w:val="0"/>
                <w:dstrike w:val="0"/>
                <w:outline w:val="0"/>
                <w:color w:val="000000"/>
                <w:spacing w:val="0"/>
                <w:kern w:val="0"/>
                <w:position w:val="0"/>
                <w:sz w:val="22"/>
                <w:szCs w:val="22"/>
                <w:u w:val="none" w:color="000000"/>
                <w:vertAlign w:val="baseline"/>
                <w:rtl w:val="0"/>
                <w:lang w:val="it-IT"/>
              </w:rPr>
              <w:t xml:space="preserve">              961.838 </w:t>
            </w:r>
          </w:p>
        </w:tc>
        <w:tc>
          <w:tcPr>
            <w:tcW w:type="dxa" w:w="139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keepLines w:val="1"/>
              <w:spacing w:before="200"/>
              <w:jc w:val="right"/>
              <w:outlineLvl w:val="6"/>
            </w:pPr>
            <w:r>
              <w:rPr>
                <w:rFonts w:ascii="Times New Roman Bold"/>
                <w:caps w:val="0"/>
                <w:smallCaps w:val="0"/>
                <w:strike w:val="0"/>
                <w:dstrike w:val="0"/>
                <w:outline w:val="0"/>
                <w:color w:val="000000"/>
                <w:spacing w:val="0"/>
                <w:kern w:val="0"/>
                <w:position w:val="0"/>
                <w:sz w:val="22"/>
                <w:szCs w:val="22"/>
                <w:u w:val="none" w:color="000000"/>
                <w:vertAlign w:val="baseline"/>
                <w:rtl w:val="0"/>
                <w:lang w:val="it-IT"/>
              </w:rPr>
              <w:t xml:space="preserve">                  2.594 </w:t>
            </w:r>
          </w:p>
        </w:tc>
        <w:tc>
          <w:tcPr>
            <w:tcW w:type="dxa" w:w="112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Normal"/>
              <w:keepNext w:val="1"/>
              <w:keepLines w:val="1"/>
              <w:spacing w:before="200"/>
              <w:jc w:val="right"/>
              <w:outlineLvl w:val="6"/>
            </w:pPr>
            <w:r>
              <w:rPr>
                <w:rFonts w:ascii="Times New Roman Bold"/>
                <w:caps w:val="0"/>
                <w:smallCaps w:val="0"/>
                <w:strike w:val="0"/>
                <w:dstrike w:val="0"/>
                <w:outline w:val="0"/>
                <w:color w:val="000000"/>
                <w:spacing w:val="0"/>
                <w:kern w:val="0"/>
                <w:position w:val="0"/>
                <w:sz w:val="22"/>
                <w:szCs w:val="22"/>
                <w:u w:val="none" w:color="000000"/>
                <w:vertAlign w:val="baseline"/>
                <w:rtl w:val="0"/>
                <w:lang w:val="it-IT"/>
              </w:rPr>
              <w:t xml:space="preserve">           279 </w:t>
            </w:r>
          </w:p>
        </w:tc>
        <w:tc>
          <w:tcPr>
            <w:tcW w:type="dxa" w:w="83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Normal"/>
              <w:jc w:val="right"/>
            </w:pPr>
            <w:r>
              <w:rPr>
                <w:rFonts w:ascii="Times New Roman Bold"/>
                <w:caps w:val="0"/>
                <w:smallCaps w:val="0"/>
                <w:strike w:val="0"/>
                <w:dstrike w:val="0"/>
                <w:outline w:val="0"/>
                <w:color w:val="000000"/>
                <w:spacing w:val="0"/>
                <w:kern w:val="0"/>
                <w:position w:val="0"/>
                <w:sz w:val="22"/>
                <w:szCs w:val="22"/>
                <w:u w:val="none" w:color="000000"/>
                <w:vertAlign w:val="baseline"/>
                <w:rtl w:val="0"/>
                <w:lang w:val="it-IT"/>
              </w:rPr>
              <w:t xml:space="preserve">        3.352 </w:t>
            </w:r>
          </w:p>
        </w:tc>
      </w:tr>
    </w:tbl>
    <w:p>
      <w:pPr>
        <w:pStyle w:val="Normal"/>
        <w:jc w:val="center"/>
        <w:rPr>
          <w:rFonts w:ascii="Book Antiqua Bold" w:cs="Book Antiqua Bold" w:hAnsi="Book Antiqua Bold" w:eastAsia="Book Antiqua Bold"/>
          <w:b w:val="1"/>
          <w:bCs w:val="1"/>
          <w:color w:val="000000"/>
          <w:sz w:val="20"/>
          <w:szCs w:val="20"/>
          <w:u w:color="000000"/>
        </w:rPr>
      </w:pPr>
    </w:p>
    <w:p>
      <w:pPr>
        <w:pStyle w:val="Normal"/>
        <w:jc w:val="both"/>
        <w:rPr>
          <w:rFonts w:ascii="Book Antiqua" w:cs="Book Antiqua" w:hAnsi="Book Antiqua" w:eastAsia="Book Antiqua"/>
          <w:i w:val="1"/>
          <w:iCs w:val="1"/>
          <w:color w:val="000000"/>
          <w:sz w:val="20"/>
          <w:szCs w:val="20"/>
          <w:u w:color="000000"/>
        </w:rPr>
      </w:pPr>
      <w:r>
        <w:rPr>
          <w:rFonts w:ascii="Book Antiqua"/>
          <w:i w:val="1"/>
          <w:iCs w:val="1"/>
          <w:color w:val="000000"/>
          <w:sz w:val="20"/>
          <w:szCs w:val="20"/>
          <w:u w:color="000000"/>
          <w:rtl w:val="0"/>
          <w:lang w:val="it-IT"/>
        </w:rPr>
        <w:t xml:space="preserve">Fonte: ISPRA </w:t>
      </w:r>
    </w:p>
    <w:p>
      <w:pPr>
        <w:pStyle w:val="Normal"/>
        <w:jc w:val="both"/>
        <w:rPr>
          <w:rFonts w:ascii="Times New Roman Bold" w:cs="Times New Roman Bold" w:hAnsi="Times New Roman Bold" w:eastAsia="Times New Roman Bold"/>
          <w:color w:val="000000"/>
          <w:u w:color="000000"/>
        </w:rPr>
      </w:pPr>
    </w:p>
    <w:p>
      <w:pPr>
        <w:pStyle w:val="Normal"/>
        <w:jc w:val="both"/>
        <w:rPr>
          <w:rFonts w:ascii="Book Antiqua Bold" w:cs="Book Antiqua Bold" w:hAnsi="Book Antiqua Bold" w:eastAsia="Book Antiqua Bold"/>
          <w:b w:val="1"/>
          <w:bCs w:val="1"/>
          <w:color w:val="000000"/>
          <w:sz w:val="20"/>
          <w:szCs w:val="20"/>
          <w:u w:color="000000"/>
        </w:rPr>
      </w:pPr>
      <w:r>
        <w:rPr>
          <w:rFonts w:ascii="Book Antiqua Bold"/>
          <w:b w:val="1"/>
          <w:bCs w:val="1"/>
          <w:color w:val="000000"/>
          <w:sz w:val="20"/>
          <w:szCs w:val="20"/>
          <w:u w:color="000000"/>
          <w:rtl w:val="0"/>
          <w:lang w:val="it-IT"/>
        </w:rPr>
        <w:t xml:space="preserve">Tabella 4 </w:t>
      </w:r>
      <w:r>
        <w:rPr>
          <w:rFonts w:hAnsi="Book Antiqua Bold" w:hint="default"/>
          <w:b w:val="1"/>
          <w:bCs w:val="1"/>
          <w:color w:val="000000"/>
          <w:sz w:val="20"/>
          <w:szCs w:val="20"/>
          <w:u w:color="000000"/>
          <w:rtl w:val="0"/>
          <w:lang w:val="it-IT"/>
        </w:rPr>
        <w:t xml:space="preserve">– </w:t>
      </w:r>
      <w:r>
        <w:rPr>
          <w:rFonts w:ascii="Book Antiqua Bold"/>
          <w:b w:val="1"/>
          <w:bCs w:val="1"/>
          <w:color w:val="000000"/>
          <w:sz w:val="20"/>
          <w:szCs w:val="20"/>
          <w:u w:color="000000"/>
          <w:rtl w:val="0"/>
          <w:lang w:val="it-IT"/>
        </w:rPr>
        <w:t>Destinazione dei rifiuti urbani indifferenziati (200301) ad altri impianti localizzati nella regione, anno 2015</w:t>
      </w:r>
    </w:p>
    <w:tbl>
      <w:tblPr>
        <w:tblW w:w="9357" w:type="dxa"/>
        <w:jc w:val="center"/>
        <w:tblInd w:w="108" w:type="dxa"/>
        <w:tblBorders>
          <w:top w:val="single" w:color="000000" w:sz="2" w:space="0" w:shadow="0" w:frame="0"/>
          <w:left w:val="single" w:color="000000" w:sz="2" w:space="0" w:shadow="0" w:frame="0"/>
          <w:bottom w:val="single" w:color="000000" w:sz="2" w:space="0" w:shadow="0" w:frame="0"/>
          <w:right w:val="single" w:color="000000" w:sz="2" w:space="0" w:shadow="0" w:frame="0"/>
          <w:insideH w:val="single" w:color="000000" w:sz="2" w:space="0" w:shadow="0" w:frame="0"/>
          <w:insideV w:val="single" w:color="000000" w:sz="2" w:space="0" w:shadow="0" w:frame="0"/>
        </w:tblBorders>
        <w:shd w:val="clear" w:color="auto" w:fill="auto"/>
        <w:tblLayout w:type="fixed"/>
      </w:tblPr>
      <w:tblGrid>
        <w:gridCol w:w="1303"/>
        <w:gridCol w:w="1495"/>
        <w:gridCol w:w="1040"/>
        <w:gridCol w:w="2748"/>
        <w:gridCol w:w="1658"/>
        <w:gridCol w:w="1113"/>
      </w:tblGrid>
      <w:tr>
        <w:tblPrEx>
          <w:shd w:val="clear" w:color="auto" w:fill="auto"/>
        </w:tblPrEx>
        <w:trPr>
          <w:trHeight w:val="300" w:hRule="atLeast"/>
        </w:trPr>
        <w:tc>
          <w:tcPr>
            <w:tcW w:type="dxa" w:w="1303"/>
            <w:tcBorders>
              <w:top w:val="nil"/>
              <w:left w:val="nil"/>
              <w:bottom w:val="nil"/>
              <w:right w:val="single" w:color="000000" w:sz="4" w:space="0" w:shadow="0" w:frame="0"/>
            </w:tcBorders>
            <w:shd w:val="clear" w:color="auto" w:fill="ffffff"/>
            <w:tcMar>
              <w:top w:type="dxa" w:w="80"/>
              <w:left w:type="dxa" w:w="80"/>
              <w:bottom w:type="dxa" w:w="80"/>
              <w:right w:type="dxa" w:w="80"/>
            </w:tcMar>
            <w:vAlign w:val="bottom"/>
          </w:tcPr>
          <w:p>
            <w:pPr>
              <w:pStyle w:val="Normal"/>
            </w:pPr>
            <w:r>
              <w:rPr>
                <w:rFonts w:hAnsi="Times New Roman Bold" w:hint="default"/>
                <w:caps w:val="0"/>
                <w:smallCaps w:val="0"/>
                <w:strike w:val="0"/>
                <w:dstrike w:val="0"/>
                <w:outline w:val="0"/>
                <w:color w:val="000000"/>
                <w:spacing w:val="0"/>
                <w:kern w:val="0"/>
                <w:position w:val="0"/>
                <w:sz w:val="24"/>
                <w:szCs w:val="24"/>
                <w:u w:val="none" w:color="000000"/>
                <w:vertAlign w:val="baseline"/>
                <w:rtl w:val="0"/>
                <w:lang w:val="it-IT"/>
              </w:rPr>
              <w:t> </w:t>
            </w:r>
          </w:p>
        </w:tc>
        <w:tc>
          <w:tcPr>
            <w:tcW w:type="dxa" w:w="8054"/>
            <w:gridSpan w:val="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5a5a5"/>
            <w:tcMar>
              <w:top w:type="dxa" w:w="80"/>
              <w:left w:type="dxa" w:w="80"/>
              <w:bottom w:type="dxa" w:w="80"/>
              <w:right w:type="dxa" w:w="80"/>
            </w:tcMar>
            <w:vAlign w:val="bottom"/>
          </w:tcPr>
          <w:p>
            <w:pPr>
              <w:pStyle w:val="Normal"/>
              <w:jc w:val="center"/>
            </w:pPr>
            <w:r>
              <w:rPr>
                <w:rFonts w:ascii="Times New Roman Bold"/>
                <w:caps w:val="0"/>
                <w:smallCaps w:val="0"/>
                <w:strike w:val="0"/>
                <w:dstrike w:val="0"/>
                <w:outline w:val="0"/>
                <w:color w:val="000000"/>
                <w:spacing w:val="0"/>
                <w:kern w:val="0"/>
                <w:position w:val="0"/>
                <w:sz w:val="24"/>
                <w:szCs w:val="24"/>
                <w:u w:val="none" w:color="000000"/>
                <w:vertAlign w:val="baseline"/>
                <w:rtl w:val="0"/>
                <w:lang w:val="it-IT"/>
              </w:rPr>
              <w:t>destinazione</w:t>
            </w:r>
          </w:p>
        </w:tc>
      </w:tr>
      <w:tr>
        <w:tblPrEx>
          <w:shd w:val="clear" w:color="auto" w:fill="auto"/>
        </w:tblPrEx>
        <w:trPr>
          <w:trHeight w:val="600" w:hRule="atLeast"/>
        </w:trPr>
        <w:tc>
          <w:tcPr>
            <w:tcW w:type="dxa" w:w="1303"/>
            <w:tcBorders>
              <w:top w:val="nil"/>
              <w:left w:val="nil"/>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bottom"/>
          </w:tcPr>
          <w:p>
            <w:pPr>
              <w:pStyle w:val="Normal"/>
            </w:pPr>
            <w:r>
              <w:rPr>
                <w:rFonts w:hAnsi="Times New Roman Bold" w:hint="default"/>
                <w:caps w:val="0"/>
                <w:smallCaps w:val="0"/>
                <w:strike w:val="0"/>
                <w:dstrike w:val="0"/>
                <w:outline w:val="0"/>
                <w:color w:val="000000"/>
                <w:spacing w:val="0"/>
                <w:kern w:val="0"/>
                <w:position w:val="0"/>
                <w:sz w:val="24"/>
                <w:szCs w:val="24"/>
                <w:u w:val="none" w:color="000000"/>
                <w:vertAlign w:val="baseline"/>
                <w:rtl w:val="0"/>
                <w:lang w:val="it-IT"/>
              </w:rPr>
              <w:t> </w:t>
            </w:r>
          </w:p>
        </w:tc>
        <w:tc>
          <w:tcPr>
            <w:tcW w:type="dxa" w:w="14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5a5a5"/>
            <w:tcMar>
              <w:top w:type="dxa" w:w="80"/>
              <w:left w:type="dxa" w:w="80"/>
              <w:bottom w:type="dxa" w:w="80"/>
              <w:right w:type="dxa" w:w="80"/>
            </w:tcMar>
            <w:vAlign w:val="bottom"/>
          </w:tcPr>
          <w:p>
            <w:pPr>
              <w:pStyle w:val="Normal"/>
              <w:jc w:val="center"/>
            </w:pPr>
            <w:r>
              <w:rPr>
                <w:rFonts w:ascii="Times New Roman Bold"/>
                <w:caps w:val="0"/>
                <w:smallCaps w:val="0"/>
                <w:strike w:val="0"/>
                <w:dstrike w:val="0"/>
                <w:outline w:val="0"/>
                <w:color w:val="000000"/>
                <w:spacing w:val="0"/>
                <w:kern w:val="0"/>
                <w:position w:val="0"/>
                <w:sz w:val="24"/>
                <w:szCs w:val="24"/>
                <w:u w:val="none" w:color="000000"/>
                <w:vertAlign w:val="baseline"/>
                <w:rtl w:val="0"/>
                <w:lang w:val="it-IT"/>
              </w:rPr>
              <w:t xml:space="preserve">Provincia </w:t>
            </w:r>
          </w:p>
        </w:tc>
        <w:tc>
          <w:tcPr>
            <w:tcW w:type="dxa" w:w="104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5a5a5"/>
            <w:tcMar>
              <w:top w:type="dxa" w:w="80"/>
              <w:left w:type="dxa" w:w="80"/>
              <w:bottom w:type="dxa" w:w="80"/>
              <w:right w:type="dxa" w:w="80"/>
            </w:tcMar>
            <w:vAlign w:val="bottom"/>
          </w:tcPr>
          <w:p>
            <w:pPr>
              <w:pStyle w:val="Normal"/>
              <w:jc w:val="center"/>
            </w:pPr>
            <w:r>
              <w:rPr>
                <w:rFonts w:ascii="Times New Roman Bold"/>
                <w:caps w:val="0"/>
                <w:smallCaps w:val="0"/>
                <w:strike w:val="0"/>
                <w:dstrike w:val="0"/>
                <w:outline w:val="0"/>
                <w:color w:val="000000"/>
                <w:spacing w:val="0"/>
                <w:kern w:val="0"/>
                <w:position w:val="0"/>
                <w:sz w:val="24"/>
                <w:szCs w:val="24"/>
                <w:u w:val="none" w:color="000000"/>
                <w:vertAlign w:val="baseline"/>
                <w:rtl w:val="0"/>
                <w:lang w:val="it-IT"/>
              </w:rPr>
              <w:t xml:space="preserve">Comune </w:t>
            </w:r>
          </w:p>
        </w:tc>
        <w:tc>
          <w:tcPr>
            <w:tcW w:type="dxa" w:w="274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5a5a5"/>
            <w:tcMar>
              <w:top w:type="dxa" w:w="80"/>
              <w:left w:type="dxa" w:w="80"/>
              <w:bottom w:type="dxa" w:w="80"/>
              <w:right w:type="dxa" w:w="80"/>
            </w:tcMar>
            <w:vAlign w:val="bottom"/>
          </w:tcPr>
          <w:p>
            <w:pPr>
              <w:pStyle w:val="Normal"/>
              <w:jc w:val="center"/>
            </w:pPr>
            <w:r>
              <w:rPr>
                <w:rFonts w:ascii="Times New Roman Bold"/>
                <w:caps w:val="0"/>
                <w:smallCaps w:val="0"/>
                <w:strike w:val="0"/>
                <w:dstrike w:val="0"/>
                <w:outline w:val="0"/>
                <w:color w:val="000000"/>
                <w:spacing w:val="0"/>
                <w:kern w:val="0"/>
                <w:position w:val="0"/>
                <w:sz w:val="24"/>
                <w:szCs w:val="24"/>
                <w:u w:val="none" w:color="000000"/>
                <w:vertAlign w:val="baseline"/>
                <w:rtl w:val="0"/>
                <w:lang w:val="it-IT"/>
              </w:rPr>
              <w:t>Ragione Sociale</w:t>
            </w:r>
          </w:p>
        </w:tc>
        <w:tc>
          <w:tcPr>
            <w:tcW w:type="dxa" w:w="165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5a5a5"/>
            <w:tcMar>
              <w:top w:type="dxa" w:w="80"/>
              <w:left w:type="dxa" w:w="80"/>
              <w:bottom w:type="dxa" w:w="80"/>
              <w:right w:type="dxa" w:w="80"/>
            </w:tcMar>
            <w:vAlign w:val="bottom"/>
          </w:tcPr>
          <w:p>
            <w:pPr>
              <w:pStyle w:val="Normal"/>
            </w:pPr>
            <w:r>
              <w:rPr>
                <w:rFonts w:ascii="Times New Roman Bold"/>
                <w:caps w:val="0"/>
                <w:smallCaps w:val="0"/>
                <w:strike w:val="0"/>
                <w:dstrike w:val="0"/>
                <w:outline w:val="0"/>
                <w:color w:val="000000"/>
                <w:spacing w:val="0"/>
                <w:kern w:val="0"/>
                <w:position w:val="0"/>
                <w:sz w:val="24"/>
                <w:szCs w:val="24"/>
                <w:u w:val="none" w:color="000000"/>
                <w:vertAlign w:val="baseline"/>
                <w:rtl w:val="0"/>
                <w:lang w:val="it-IT"/>
              </w:rPr>
              <w:t>quantit</w:t>
            </w:r>
            <w:r>
              <w:rPr>
                <w:rFonts w:hAnsi="Times New Roman Bold" w:hint="default"/>
                <w:caps w:val="0"/>
                <w:smallCaps w:val="0"/>
                <w:strike w:val="0"/>
                <w:dstrike w:val="0"/>
                <w:outline w:val="0"/>
                <w:color w:val="000000"/>
                <w:spacing w:val="0"/>
                <w:kern w:val="0"/>
                <w:position w:val="0"/>
                <w:sz w:val="24"/>
                <w:szCs w:val="24"/>
                <w:u w:val="none" w:color="000000"/>
                <w:vertAlign w:val="baseline"/>
                <w:rtl w:val="0"/>
                <w:lang w:val="it-IT"/>
              </w:rPr>
              <w:t xml:space="preserve">à </w:t>
            </w:r>
            <w:r>
              <w:rPr>
                <w:rFonts w:ascii="Times New Roman Bold"/>
                <w:caps w:val="0"/>
                <w:smallCaps w:val="0"/>
                <w:strike w:val="0"/>
                <w:dstrike w:val="0"/>
                <w:outline w:val="0"/>
                <w:color w:val="000000"/>
                <w:spacing w:val="0"/>
                <w:kern w:val="0"/>
                <w:position w:val="0"/>
                <w:sz w:val="24"/>
                <w:szCs w:val="24"/>
                <w:u w:val="none" w:color="000000"/>
                <w:vertAlign w:val="baseline"/>
                <w:rtl w:val="0"/>
                <w:lang w:val="it-IT"/>
              </w:rPr>
              <w:t xml:space="preserve">(t) </w:t>
            </w:r>
          </w:p>
        </w:tc>
        <w:tc>
          <w:tcPr>
            <w:tcW w:type="dxa" w:w="111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5a5a5"/>
            <w:tcMar>
              <w:top w:type="dxa" w:w="80"/>
              <w:left w:type="dxa" w:w="80"/>
              <w:bottom w:type="dxa" w:w="80"/>
              <w:right w:type="dxa" w:w="80"/>
            </w:tcMar>
            <w:vAlign w:val="bottom"/>
          </w:tcPr>
          <w:p>
            <w:pPr>
              <w:pStyle w:val="Normal"/>
              <w:jc w:val="center"/>
            </w:pPr>
            <w:r>
              <w:rPr>
                <w:rFonts w:ascii="Times New Roman Bold"/>
                <w:caps w:val="0"/>
                <w:smallCaps w:val="0"/>
                <w:strike w:val="0"/>
                <w:dstrike w:val="0"/>
                <w:outline w:val="0"/>
                <w:color w:val="000000"/>
                <w:spacing w:val="0"/>
                <w:kern w:val="0"/>
                <w:position w:val="0"/>
                <w:sz w:val="24"/>
                <w:szCs w:val="24"/>
                <w:u w:val="none" w:color="000000"/>
                <w:vertAlign w:val="baseline"/>
                <w:rtl w:val="0"/>
                <w:lang w:val="it-IT"/>
              </w:rPr>
              <w:t>tipo impianto</w:t>
            </w:r>
          </w:p>
        </w:tc>
      </w:tr>
      <w:tr>
        <w:tblPrEx>
          <w:shd w:val="clear" w:color="auto" w:fill="auto"/>
        </w:tblPrEx>
        <w:trPr>
          <w:trHeight w:val="483" w:hRule="atLeast"/>
        </w:trPr>
        <w:tc>
          <w:tcPr>
            <w:tcW w:type="dxa" w:w="1303"/>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pPr>
            <w:r>
              <w:rPr>
                <w:rFonts w:ascii="Times New Roman Bold"/>
                <w:caps w:val="0"/>
                <w:smallCaps w:val="0"/>
                <w:strike w:val="0"/>
                <w:dstrike w:val="0"/>
                <w:outline w:val="0"/>
                <w:color w:val="000000"/>
                <w:spacing w:val="0"/>
                <w:kern w:val="0"/>
                <w:position w:val="0"/>
                <w:sz w:val="18"/>
                <w:szCs w:val="18"/>
                <w:u w:val="none" w:color="000000"/>
                <w:vertAlign w:val="baseline"/>
                <w:rtl w:val="0"/>
                <w:lang w:val="it-IT"/>
              </w:rPr>
              <w:t xml:space="preserve">A M A  S.p.A.                                               </w:t>
            </w:r>
          </w:p>
        </w:tc>
        <w:tc>
          <w:tcPr>
            <w:tcW w:type="dxa" w:w="14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rFonts w:ascii="Times New Roman Bold"/>
                <w:caps w:val="0"/>
                <w:smallCaps w:val="0"/>
                <w:strike w:val="0"/>
                <w:dstrike w:val="0"/>
                <w:outline w:val="0"/>
                <w:color w:val="000000"/>
                <w:spacing w:val="0"/>
                <w:kern w:val="0"/>
                <w:position w:val="0"/>
                <w:sz w:val="18"/>
                <w:szCs w:val="18"/>
                <w:u w:val="none" w:color="000000"/>
                <w:vertAlign w:val="baseline"/>
                <w:rtl w:val="0"/>
                <w:lang w:val="it-IT"/>
              </w:rPr>
              <w:t>RM</w:t>
            </w:r>
          </w:p>
        </w:tc>
        <w:tc>
          <w:tcPr>
            <w:tcW w:type="dxa" w:w="104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rFonts w:ascii="Times New Roman Bold"/>
                <w:caps w:val="0"/>
                <w:smallCaps w:val="0"/>
                <w:strike w:val="0"/>
                <w:dstrike w:val="0"/>
                <w:outline w:val="0"/>
                <w:color w:val="000000"/>
                <w:spacing w:val="0"/>
                <w:kern w:val="0"/>
                <w:position w:val="0"/>
                <w:sz w:val="18"/>
                <w:szCs w:val="18"/>
                <w:u w:val="none" w:color="000000"/>
                <w:vertAlign w:val="baseline"/>
                <w:rtl w:val="0"/>
                <w:lang w:val="it-IT"/>
              </w:rPr>
              <w:t xml:space="preserve">Roma </w:t>
            </w:r>
          </w:p>
        </w:tc>
        <w:tc>
          <w:tcPr>
            <w:tcW w:type="dxa" w:w="274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rFonts w:ascii="Times New Roman Bold"/>
                <w:caps w:val="0"/>
                <w:smallCaps w:val="0"/>
                <w:strike w:val="0"/>
                <w:dstrike w:val="0"/>
                <w:outline w:val="0"/>
                <w:color w:val="000000"/>
                <w:spacing w:val="0"/>
                <w:kern w:val="0"/>
                <w:position w:val="0"/>
                <w:sz w:val="18"/>
                <w:szCs w:val="18"/>
                <w:u w:val="none" w:color="000000"/>
                <w:vertAlign w:val="baseline"/>
                <w:rtl w:val="0"/>
                <w:lang w:val="it-IT"/>
              </w:rPr>
              <w:t xml:space="preserve">PORCARELLI GINO &amp; CO. S.r.l.  Via di Rocca Cencia                        </w:t>
            </w:r>
          </w:p>
        </w:tc>
        <w:tc>
          <w:tcPr>
            <w:tcW w:type="dxa" w:w="165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right"/>
            </w:pPr>
            <w:r>
              <w:rPr>
                <w:rFonts w:ascii="Times New Roman Bold"/>
                <w:caps w:val="0"/>
                <w:smallCaps w:val="0"/>
                <w:strike w:val="0"/>
                <w:dstrike w:val="0"/>
                <w:outline w:val="0"/>
                <w:color w:val="000000"/>
                <w:spacing w:val="0"/>
                <w:kern w:val="0"/>
                <w:position w:val="0"/>
                <w:sz w:val="18"/>
                <w:szCs w:val="18"/>
                <w:u w:val="none" w:color="000000"/>
                <w:vertAlign w:val="baseline"/>
                <w:rtl w:val="0"/>
                <w:lang w:val="it-IT"/>
              </w:rPr>
              <w:t>6.000</w:t>
            </w:r>
          </w:p>
        </w:tc>
        <w:tc>
          <w:tcPr>
            <w:tcW w:type="dxa" w:w="111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rFonts w:ascii="Times New Roman Bold"/>
                <w:caps w:val="0"/>
                <w:smallCaps w:val="0"/>
                <w:strike w:val="0"/>
                <w:dstrike w:val="0"/>
                <w:outline w:val="0"/>
                <w:color w:val="000000"/>
                <w:spacing w:val="0"/>
                <w:kern w:val="0"/>
                <w:position w:val="0"/>
                <w:sz w:val="18"/>
                <w:szCs w:val="18"/>
                <w:u w:val="none" w:color="000000"/>
                <w:vertAlign w:val="baseline"/>
                <w:rtl w:val="0"/>
                <w:lang w:val="it-IT"/>
              </w:rPr>
              <w:t>selezione</w:t>
            </w:r>
          </w:p>
        </w:tc>
      </w:tr>
      <w:tr>
        <w:tblPrEx>
          <w:shd w:val="clear" w:color="auto" w:fill="auto"/>
        </w:tblPrEx>
        <w:trPr>
          <w:trHeight w:val="602" w:hRule="atLeast"/>
        </w:trPr>
        <w:tc>
          <w:tcPr>
            <w:tcW w:type="dxa" w:w="1303"/>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4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rFonts w:ascii="Times New Roman Bold"/>
                <w:caps w:val="0"/>
                <w:smallCaps w:val="0"/>
                <w:strike w:val="0"/>
                <w:dstrike w:val="0"/>
                <w:outline w:val="0"/>
                <w:color w:val="000000"/>
                <w:spacing w:val="0"/>
                <w:kern w:val="0"/>
                <w:position w:val="0"/>
                <w:sz w:val="18"/>
                <w:szCs w:val="18"/>
                <w:u w:val="none" w:color="000000"/>
                <w:vertAlign w:val="baseline"/>
                <w:rtl w:val="0"/>
                <w:lang w:val="it-IT"/>
              </w:rPr>
              <w:t>FR</w:t>
            </w:r>
          </w:p>
        </w:tc>
        <w:tc>
          <w:tcPr>
            <w:tcW w:type="dxa" w:w="104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rFonts w:ascii="Times New Roman Bold"/>
                <w:caps w:val="0"/>
                <w:smallCaps w:val="0"/>
                <w:strike w:val="0"/>
                <w:dstrike w:val="0"/>
                <w:outline w:val="0"/>
                <w:color w:val="000000"/>
                <w:spacing w:val="0"/>
                <w:kern w:val="0"/>
                <w:position w:val="0"/>
                <w:sz w:val="18"/>
                <w:szCs w:val="18"/>
                <w:u w:val="none" w:color="000000"/>
                <w:vertAlign w:val="baseline"/>
                <w:rtl w:val="0"/>
                <w:lang w:val="it-IT"/>
              </w:rPr>
              <w:t>Colfelice</w:t>
            </w:r>
          </w:p>
        </w:tc>
        <w:tc>
          <w:tcPr>
            <w:tcW w:type="dxa" w:w="274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rFonts w:ascii="Times New Roman Bold"/>
                <w:caps w:val="0"/>
                <w:smallCaps w:val="0"/>
                <w:strike w:val="0"/>
                <w:dstrike w:val="0"/>
                <w:outline w:val="0"/>
                <w:color w:val="000000"/>
                <w:spacing w:val="0"/>
                <w:kern w:val="0"/>
                <w:position w:val="0"/>
                <w:sz w:val="18"/>
                <w:szCs w:val="18"/>
                <w:u w:val="none" w:color="000000"/>
                <w:vertAlign w:val="baseline"/>
                <w:rtl w:val="0"/>
                <w:lang w:val="it-IT"/>
              </w:rPr>
              <w:t xml:space="preserve">SAF S.p.A. STR. PROVINCIALE ORTELLA KM 3                    </w:t>
            </w:r>
          </w:p>
        </w:tc>
        <w:tc>
          <w:tcPr>
            <w:tcW w:type="dxa" w:w="165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right"/>
            </w:pPr>
            <w:r>
              <w:rPr>
                <w:rFonts w:ascii="Times New Roman Bold"/>
                <w:caps w:val="0"/>
                <w:smallCaps w:val="0"/>
                <w:strike w:val="0"/>
                <w:dstrike w:val="0"/>
                <w:outline w:val="0"/>
                <w:color w:val="000000"/>
                <w:spacing w:val="0"/>
                <w:kern w:val="0"/>
                <w:position w:val="0"/>
                <w:sz w:val="18"/>
                <w:szCs w:val="18"/>
                <w:u w:val="none" w:color="000000"/>
                <w:vertAlign w:val="baseline"/>
                <w:rtl w:val="0"/>
                <w:lang w:val="it-IT"/>
              </w:rPr>
              <w:t>30.818</w:t>
            </w:r>
          </w:p>
        </w:tc>
        <w:tc>
          <w:tcPr>
            <w:tcW w:type="dxa" w:w="111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rFonts w:ascii="Times New Roman Bold"/>
                <w:caps w:val="0"/>
                <w:smallCaps w:val="0"/>
                <w:strike w:val="0"/>
                <w:dstrike w:val="0"/>
                <w:outline w:val="0"/>
                <w:color w:val="000000"/>
                <w:spacing w:val="0"/>
                <w:kern w:val="0"/>
                <w:position w:val="0"/>
                <w:sz w:val="18"/>
                <w:szCs w:val="18"/>
                <w:u w:val="none" w:color="000000"/>
                <w:vertAlign w:val="baseline"/>
                <w:rtl w:val="0"/>
                <w:lang w:val="it-IT"/>
              </w:rPr>
              <w:t>TMB</w:t>
            </w:r>
          </w:p>
        </w:tc>
      </w:tr>
      <w:tr>
        <w:tblPrEx>
          <w:shd w:val="clear" w:color="auto" w:fill="auto"/>
        </w:tblPrEx>
        <w:trPr>
          <w:trHeight w:val="602" w:hRule="atLeast"/>
        </w:trPr>
        <w:tc>
          <w:tcPr>
            <w:tcW w:type="dxa" w:w="1303"/>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4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rFonts w:ascii="Times New Roman Bold"/>
                <w:caps w:val="0"/>
                <w:smallCaps w:val="0"/>
                <w:strike w:val="0"/>
                <w:dstrike w:val="0"/>
                <w:outline w:val="0"/>
                <w:color w:val="000000"/>
                <w:spacing w:val="0"/>
                <w:kern w:val="0"/>
                <w:position w:val="0"/>
                <w:sz w:val="18"/>
                <w:szCs w:val="18"/>
                <w:u w:val="none" w:color="000000"/>
                <w:vertAlign w:val="baseline"/>
                <w:rtl w:val="0"/>
                <w:lang w:val="it-IT"/>
              </w:rPr>
              <w:t>LT</w:t>
            </w:r>
          </w:p>
        </w:tc>
        <w:tc>
          <w:tcPr>
            <w:tcW w:type="dxa" w:w="104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rFonts w:ascii="Times New Roman Bold"/>
                <w:caps w:val="0"/>
                <w:smallCaps w:val="0"/>
                <w:strike w:val="0"/>
                <w:dstrike w:val="0"/>
                <w:outline w:val="0"/>
                <w:color w:val="000000"/>
                <w:spacing w:val="0"/>
                <w:kern w:val="0"/>
                <w:position w:val="0"/>
                <w:sz w:val="18"/>
                <w:szCs w:val="18"/>
                <w:u w:val="none" w:color="000000"/>
                <w:vertAlign w:val="baseline"/>
                <w:rtl w:val="0"/>
                <w:lang w:val="it-IT"/>
              </w:rPr>
              <w:t>Aprilia</w:t>
            </w:r>
          </w:p>
        </w:tc>
        <w:tc>
          <w:tcPr>
            <w:tcW w:type="dxa" w:w="274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rFonts w:ascii="Times New Roman Bold"/>
                <w:caps w:val="0"/>
                <w:smallCaps w:val="0"/>
                <w:strike w:val="0"/>
                <w:dstrike w:val="0"/>
                <w:outline w:val="0"/>
                <w:color w:val="000000"/>
                <w:spacing w:val="0"/>
                <w:kern w:val="0"/>
                <w:position w:val="0"/>
                <w:sz w:val="18"/>
                <w:szCs w:val="18"/>
                <w:u w:val="none" w:color="000000"/>
                <w:vertAlign w:val="baseline"/>
                <w:rtl w:val="0"/>
                <w:lang w:val="it-IT"/>
              </w:rPr>
              <w:t xml:space="preserve">R.I.D.A.  AMBIENTE S.r.l. VIA VALCAMONICA SNC APRILIA LT    </w:t>
            </w:r>
          </w:p>
        </w:tc>
        <w:tc>
          <w:tcPr>
            <w:tcW w:type="dxa" w:w="165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right"/>
            </w:pPr>
            <w:r>
              <w:rPr>
                <w:rFonts w:ascii="Times New Roman Bold"/>
                <w:caps w:val="0"/>
                <w:smallCaps w:val="0"/>
                <w:strike w:val="0"/>
                <w:dstrike w:val="0"/>
                <w:outline w:val="0"/>
                <w:color w:val="000000"/>
                <w:spacing w:val="0"/>
                <w:kern w:val="0"/>
                <w:position w:val="0"/>
                <w:sz w:val="18"/>
                <w:szCs w:val="18"/>
                <w:u w:val="none" w:color="000000"/>
                <w:vertAlign w:val="baseline"/>
                <w:rtl w:val="0"/>
                <w:lang w:val="it-IT"/>
              </w:rPr>
              <w:t>802</w:t>
            </w:r>
          </w:p>
        </w:tc>
        <w:tc>
          <w:tcPr>
            <w:tcW w:type="dxa" w:w="111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rFonts w:ascii="Times New Roman Bold"/>
                <w:caps w:val="0"/>
                <w:smallCaps w:val="0"/>
                <w:strike w:val="0"/>
                <w:dstrike w:val="0"/>
                <w:outline w:val="0"/>
                <w:color w:val="000000"/>
                <w:spacing w:val="0"/>
                <w:kern w:val="0"/>
                <w:position w:val="0"/>
                <w:sz w:val="18"/>
                <w:szCs w:val="18"/>
                <w:u w:val="none" w:color="000000"/>
                <w:vertAlign w:val="baseline"/>
                <w:rtl w:val="0"/>
                <w:lang w:val="it-IT"/>
              </w:rPr>
              <w:t>TMB</w:t>
            </w:r>
          </w:p>
        </w:tc>
      </w:tr>
      <w:tr>
        <w:tblPrEx>
          <w:shd w:val="clear" w:color="auto" w:fill="auto"/>
        </w:tblPrEx>
        <w:trPr>
          <w:trHeight w:val="300" w:hRule="atLeast"/>
        </w:trPr>
        <w:tc>
          <w:tcPr>
            <w:tcW w:type="dxa" w:w="2798"/>
            <w:gridSpan w:val="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rFonts w:ascii="Times New Roman Bold"/>
                <w:caps w:val="0"/>
                <w:smallCaps w:val="0"/>
                <w:strike w:val="0"/>
                <w:dstrike w:val="0"/>
                <w:outline w:val="0"/>
                <w:color w:val="000000"/>
                <w:spacing w:val="0"/>
                <w:kern w:val="0"/>
                <w:position w:val="0"/>
                <w:sz w:val="24"/>
                <w:szCs w:val="24"/>
                <w:u w:val="none" w:color="000000"/>
                <w:vertAlign w:val="baseline"/>
                <w:rtl w:val="0"/>
                <w:lang w:val="it-IT"/>
              </w:rPr>
              <w:t xml:space="preserve">totale </w:t>
            </w:r>
          </w:p>
        </w:tc>
        <w:tc>
          <w:tcPr>
            <w:tcW w:type="dxa" w:w="5446"/>
            <w:gridSpan w:val="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right"/>
            </w:pPr>
            <w:r>
              <w:rPr>
                <w:rFonts w:hAnsi="Times New Roman Bold" w:hint="default"/>
                <w:caps w:val="0"/>
                <w:smallCaps w:val="0"/>
                <w:strike w:val="0"/>
                <w:dstrike w:val="0"/>
                <w:outline w:val="0"/>
                <w:color w:val="000000"/>
                <w:spacing w:val="0"/>
                <w:kern w:val="0"/>
                <w:position w:val="0"/>
                <w:sz w:val="24"/>
                <w:szCs w:val="24"/>
                <w:u w:val="none" w:color="000000"/>
                <w:vertAlign w:val="baseline"/>
                <w:rtl w:val="0"/>
                <w:lang w:val="it-IT"/>
              </w:rPr>
              <w:t> </w:t>
            </w:r>
            <w:r>
              <w:rPr>
                <w:rFonts w:ascii="Times New Roman Bold"/>
                <w:caps w:val="0"/>
                <w:smallCaps w:val="0"/>
                <w:strike w:val="0"/>
                <w:dstrike w:val="0"/>
                <w:outline w:val="0"/>
                <w:color w:val="000000"/>
                <w:spacing w:val="0"/>
                <w:kern w:val="0"/>
                <w:position w:val="0"/>
                <w:sz w:val="24"/>
                <w:szCs w:val="24"/>
                <w:u w:val="none" w:color="000000"/>
                <w:vertAlign w:val="baseline"/>
                <w:rtl w:val="0"/>
                <w:lang w:val="it-IT"/>
              </w:rPr>
              <w:t>37.620</w:t>
            </w:r>
          </w:p>
        </w:tc>
        <w:tc>
          <w:tcPr>
            <w:tcW w:type="dxa" w:w="111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rFonts w:hAnsi="Times New Roman Bold" w:hint="default"/>
                <w:caps w:val="0"/>
                <w:smallCaps w:val="0"/>
                <w:strike w:val="0"/>
                <w:dstrike w:val="0"/>
                <w:outline w:val="0"/>
                <w:color w:val="000000"/>
                <w:spacing w:val="0"/>
                <w:kern w:val="0"/>
                <w:position w:val="0"/>
                <w:sz w:val="24"/>
                <w:szCs w:val="24"/>
                <w:u w:val="none" w:color="000000"/>
                <w:vertAlign w:val="baseline"/>
                <w:rtl w:val="0"/>
                <w:lang w:val="it-IT"/>
              </w:rPr>
              <w:t> </w:t>
            </w:r>
          </w:p>
        </w:tc>
      </w:tr>
    </w:tbl>
    <w:p>
      <w:pPr>
        <w:pStyle w:val="Normal"/>
        <w:jc w:val="center"/>
        <w:rPr>
          <w:rFonts w:ascii="Book Antiqua Bold" w:cs="Book Antiqua Bold" w:hAnsi="Book Antiqua Bold" w:eastAsia="Book Antiqua Bold"/>
          <w:b w:val="1"/>
          <w:bCs w:val="1"/>
          <w:color w:val="000000"/>
          <w:sz w:val="20"/>
          <w:szCs w:val="20"/>
          <w:u w:color="000000"/>
        </w:rPr>
      </w:pPr>
    </w:p>
    <w:p>
      <w:pPr>
        <w:pStyle w:val="Normal"/>
        <w:jc w:val="both"/>
        <w:rPr>
          <w:rFonts w:ascii="Book Antiqua" w:cs="Book Antiqua" w:hAnsi="Book Antiqua" w:eastAsia="Book Antiqua"/>
          <w:i w:val="1"/>
          <w:iCs w:val="1"/>
          <w:color w:val="000000"/>
          <w:sz w:val="20"/>
          <w:szCs w:val="20"/>
          <w:u w:color="000000"/>
        </w:rPr>
      </w:pPr>
      <w:r>
        <w:rPr>
          <w:rFonts w:ascii="Book Antiqua"/>
          <w:i w:val="1"/>
          <w:iCs w:val="1"/>
          <w:color w:val="000000"/>
          <w:sz w:val="20"/>
          <w:szCs w:val="20"/>
          <w:u w:color="000000"/>
          <w:rtl w:val="0"/>
          <w:lang w:val="it-IT"/>
        </w:rPr>
        <w:t>Fonte: ISPRA</w:t>
      </w:r>
    </w:p>
    <w:p>
      <w:pPr>
        <w:pStyle w:val="Normal"/>
        <w:jc w:val="both"/>
        <w:rPr>
          <w:rFonts w:ascii="Times New Roman Bold" w:cs="Times New Roman Bold" w:hAnsi="Times New Roman Bold" w:eastAsia="Times New Roman Bold"/>
          <w:color w:val="000000"/>
          <w:u w:color="000000"/>
        </w:rPr>
      </w:pPr>
    </w:p>
    <w:p>
      <w:pPr>
        <w:pStyle w:val="Normal"/>
        <w:jc w:val="both"/>
        <w:rPr>
          <w:rFonts w:ascii="Times New Roman Bold" w:cs="Times New Roman Bold" w:hAnsi="Times New Roman Bold" w:eastAsia="Times New Roman Bold"/>
          <w:color w:val="000000"/>
          <w:u w:color="000000"/>
        </w:rPr>
      </w:pPr>
    </w:p>
    <w:p>
      <w:pPr>
        <w:pStyle w:val="Normal"/>
        <w:jc w:val="both"/>
        <w:rPr>
          <w:rFonts w:ascii="Book Antiqua Bold" w:cs="Book Antiqua Bold" w:hAnsi="Book Antiqua Bold" w:eastAsia="Book Antiqua Bold"/>
          <w:b w:val="1"/>
          <w:bCs w:val="1"/>
          <w:color w:val="000000"/>
          <w:sz w:val="20"/>
          <w:szCs w:val="20"/>
          <w:u w:color="000000"/>
        </w:rPr>
      </w:pPr>
      <w:r>
        <w:rPr>
          <w:rFonts w:ascii="Book Antiqua Bold"/>
          <w:b w:val="1"/>
          <w:bCs w:val="1"/>
          <w:color w:val="000000"/>
          <w:sz w:val="20"/>
          <w:szCs w:val="20"/>
          <w:u w:color="000000"/>
          <w:rtl w:val="0"/>
          <w:lang w:val="it-IT"/>
        </w:rPr>
        <w:t xml:space="preserve">Tabella 5 </w:t>
      </w:r>
      <w:r>
        <w:rPr>
          <w:rFonts w:hAnsi="Book Antiqua Bold" w:hint="default"/>
          <w:b w:val="1"/>
          <w:bCs w:val="1"/>
          <w:color w:val="000000"/>
          <w:sz w:val="20"/>
          <w:szCs w:val="20"/>
          <w:u w:color="000000"/>
          <w:rtl w:val="0"/>
          <w:lang w:val="it-IT"/>
        </w:rPr>
        <w:t xml:space="preserve">– </w:t>
      </w:r>
      <w:r>
        <w:rPr>
          <w:rFonts w:ascii="Book Antiqua Bold"/>
          <w:b w:val="1"/>
          <w:bCs w:val="1"/>
          <w:color w:val="000000"/>
          <w:sz w:val="20"/>
          <w:szCs w:val="20"/>
          <w:u w:color="000000"/>
          <w:rtl w:val="0"/>
          <w:lang w:val="it-IT"/>
        </w:rPr>
        <w:t>Destinazione fuori Regione di rifiuti urbani indifferenziati (200301), anno 2015</w:t>
      </w:r>
    </w:p>
    <w:tbl>
      <w:tblPr>
        <w:tblW w:w="8790" w:type="dxa"/>
        <w:jc w:val="left"/>
        <w:tblInd w:w="745" w:type="dxa"/>
        <w:tblBorders>
          <w:top w:val="single" w:color="000000" w:sz="2" w:space="0" w:shadow="0" w:frame="0"/>
          <w:left w:val="single" w:color="000000" w:sz="2" w:space="0" w:shadow="0" w:frame="0"/>
          <w:bottom w:val="single" w:color="000000" w:sz="2" w:space="0" w:shadow="0" w:frame="0"/>
          <w:right w:val="single" w:color="000000" w:sz="2" w:space="0" w:shadow="0" w:frame="0"/>
          <w:insideH w:val="single" w:color="000000" w:sz="2" w:space="0" w:shadow="0" w:frame="0"/>
          <w:insideV w:val="single" w:color="000000" w:sz="2" w:space="0" w:shadow="0" w:frame="0"/>
        </w:tblBorders>
        <w:shd w:val="clear" w:color="auto" w:fill="auto"/>
        <w:tblLayout w:type="fixed"/>
      </w:tblPr>
      <w:tblGrid>
        <w:gridCol w:w="3160"/>
        <w:gridCol w:w="1127"/>
        <w:gridCol w:w="1215"/>
        <w:gridCol w:w="1907"/>
        <w:gridCol w:w="1381"/>
      </w:tblGrid>
      <w:tr>
        <w:tblPrEx>
          <w:shd w:val="clear" w:color="auto" w:fill="auto"/>
        </w:tblPrEx>
        <w:trPr>
          <w:trHeight w:val="300" w:hRule="atLeast"/>
        </w:trPr>
        <w:tc>
          <w:tcPr>
            <w:tcW w:type="dxa" w:w="3160"/>
            <w:tcBorders>
              <w:top w:val="nil"/>
              <w:left w:val="nil"/>
              <w:bottom w:val="nil"/>
              <w:right w:val="single" w:color="000000" w:sz="4" w:space="0" w:shadow="0" w:frame="0"/>
            </w:tcBorders>
            <w:shd w:val="clear" w:color="auto" w:fill="auto"/>
            <w:tcMar>
              <w:top w:type="dxa" w:w="80"/>
              <w:left w:type="dxa" w:w="80"/>
              <w:bottom w:type="dxa" w:w="80"/>
              <w:right w:type="dxa" w:w="80"/>
            </w:tcMar>
            <w:vAlign w:val="bottom"/>
          </w:tcPr>
          <w:p/>
        </w:tc>
        <w:tc>
          <w:tcPr>
            <w:tcW w:type="dxa" w:w="5630"/>
            <w:gridSpan w:val="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5a5a5"/>
            <w:tcMar>
              <w:top w:type="dxa" w:w="80"/>
              <w:left w:type="dxa" w:w="80"/>
              <w:bottom w:type="dxa" w:w="80"/>
              <w:right w:type="dxa" w:w="80"/>
            </w:tcMar>
            <w:vAlign w:val="bottom"/>
          </w:tcPr>
          <w:p>
            <w:pPr>
              <w:pStyle w:val="Normal"/>
              <w:jc w:val="center"/>
            </w:pPr>
            <w:r>
              <w:rPr>
                <w:rFonts w:ascii="Times New Roman Bold"/>
                <w:caps w:val="0"/>
                <w:smallCaps w:val="0"/>
                <w:strike w:val="0"/>
                <w:dstrike w:val="0"/>
                <w:outline w:val="0"/>
                <w:color w:val="000000"/>
                <w:spacing w:val="0"/>
                <w:kern w:val="0"/>
                <w:position w:val="0"/>
                <w:sz w:val="24"/>
                <w:szCs w:val="24"/>
                <w:u w:val="none" w:color="000000"/>
                <w:vertAlign w:val="baseline"/>
                <w:rtl w:val="0"/>
                <w:lang w:val="it-IT"/>
              </w:rPr>
              <w:t>destinazione</w:t>
            </w:r>
          </w:p>
        </w:tc>
      </w:tr>
      <w:tr>
        <w:tblPrEx>
          <w:shd w:val="clear" w:color="auto" w:fill="auto"/>
        </w:tblPrEx>
        <w:trPr>
          <w:trHeight w:val="600" w:hRule="atLeast"/>
        </w:trPr>
        <w:tc>
          <w:tcPr>
            <w:tcW w:type="dxa" w:w="3160"/>
            <w:tcBorders>
              <w:top w:val="nil"/>
              <w:left w:val="nil"/>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tc>
        <w:tc>
          <w:tcPr>
            <w:tcW w:type="dxa" w:w="112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5a5a5"/>
            <w:tcMar>
              <w:top w:type="dxa" w:w="80"/>
              <w:left w:type="dxa" w:w="80"/>
              <w:bottom w:type="dxa" w:w="80"/>
              <w:right w:type="dxa" w:w="80"/>
            </w:tcMar>
            <w:vAlign w:val="bottom"/>
          </w:tcPr>
          <w:p>
            <w:pPr>
              <w:pStyle w:val="Normal"/>
              <w:jc w:val="center"/>
            </w:pPr>
            <w:r>
              <w:rPr>
                <w:rFonts w:ascii="Times New Roman Bold"/>
                <w:caps w:val="0"/>
                <w:smallCaps w:val="0"/>
                <w:strike w:val="0"/>
                <w:dstrike w:val="0"/>
                <w:outline w:val="0"/>
                <w:color w:val="000000"/>
                <w:spacing w:val="0"/>
                <w:kern w:val="0"/>
                <w:position w:val="0"/>
                <w:sz w:val="24"/>
                <w:szCs w:val="24"/>
                <w:u w:val="none" w:color="000000"/>
                <w:vertAlign w:val="baseline"/>
                <w:rtl w:val="0"/>
                <w:lang w:val="it-IT"/>
              </w:rPr>
              <w:t>Provincia</w:t>
            </w:r>
          </w:p>
        </w:tc>
        <w:tc>
          <w:tcPr>
            <w:tcW w:type="dxa" w:w="121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5a5a5"/>
            <w:tcMar>
              <w:top w:type="dxa" w:w="80"/>
              <w:left w:type="dxa" w:w="80"/>
              <w:bottom w:type="dxa" w:w="80"/>
              <w:right w:type="dxa" w:w="80"/>
            </w:tcMar>
            <w:vAlign w:val="bottom"/>
          </w:tcPr>
          <w:p>
            <w:pPr>
              <w:pStyle w:val="Normal"/>
              <w:jc w:val="center"/>
            </w:pPr>
            <w:r>
              <w:rPr>
                <w:rFonts w:ascii="Times New Roman Bold"/>
                <w:caps w:val="0"/>
                <w:smallCaps w:val="0"/>
                <w:strike w:val="0"/>
                <w:dstrike w:val="0"/>
                <w:outline w:val="0"/>
                <w:color w:val="000000"/>
                <w:spacing w:val="0"/>
                <w:kern w:val="0"/>
                <w:position w:val="0"/>
                <w:sz w:val="24"/>
                <w:szCs w:val="24"/>
                <w:u w:val="none" w:color="000000"/>
                <w:vertAlign w:val="baseline"/>
                <w:rtl w:val="0"/>
                <w:lang w:val="it-IT"/>
              </w:rPr>
              <w:t>Comune</w:t>
            </w:r>
          </w:p>
        </w:tc>
        <w:tc>
          <w:tcPr>
            <w:tcW w:type="dxa" w:w="190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5a5a5"/>
            <w:tcMar>
              <w:top w:type="dxa" w:w="80"/>
              <w:left w:type="dxa" w:w="80"/>
              <w:bottom w:type="dxa" w:w="80"/>
              <w:right w:type="dxa" w:w="80"/>
            </w:tcMar>
            <w:vAlign w:val="bottom"/>
          </w:tcPr>
          <w:p>
            <w:pPr>
              <w:pStyle w:val="Normal"/>
              <w:jc w:val="center"/>
            </w:pPr>
            <w:r>
              <w:rPr>
                <w:rFonts w:ascii="Times New Roman Bold"/>
                <w:caps w:val="0"/>
                <w:smallCaps w:val="0"/>
                <w:strike w:val="0"/>
                <w:dstrike w:val="0"/>
                <w:outline w:val="0"/>
                <w:color w:val="000000"/>
                <w:spacing w:val="0"/>
                <w:kern w:val="0"/>
                <w:position w:val="0"/>
                <w:sz w:val="24"/>
                <w:szCs w:val="24"/>
                <w:u w:val="none" w:color="000000"/>
                <w:vertAlign w:val="baseline"/>
                <w:rtl w:val="0"/>
                <w:lang w:val="it-IT"/>
              </w:rPr>
              <w:t>Ragione Sociale</w:t>
            </w:r>
          </w:p>
        </w:tc>
        <w:tc>
          <w:tcPr>
            <w:tcW w:type="dxa" w:w="138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5a5a5"/>
            <w:tcMar>
              <w:top w:type="dxa" w:w="80"/>
              <w:left w:type="dxa" w:w="80"/>
              <w:bottom w:type="dxa" w:w="80"/>
              <w:right w:type="dxa" w:w="80"/>
            </w:tcMar>
            <w:vAlign w:val="bottom"/>
          </w:tcPr>
          <w:p>
            <w:pPr>
              <w:pStyle w:val="Normal"/>
              <w:jc w:val="center"/>
            </w:pPr>
            <w:r>
              <w:rPr>
                <w:rFonts w:ascii="Times New Roman Bold"/>
                <w:caps w:val="0"/>
                <w:smallCaps w:val="0"/>
                <w:strike w:val="0"/>
                <w:dstrike w:val="0"/>
                <w:outline w:val="0"/>
                <w:color w:val="000000"/>
                <w:spacing w:val="0"/>
                <w:kern w:val="0"/>
                <w:position w:val="0"/>
                <w:sz w:val="24"/>
                <w:szCs w:val="24"/>
                <w:u w:val="none" w:color="000000"/>
                <w:vertAlign w:val="baseline"/>
                <w:rtl w:val="0"/>
                <w:lang w:val="it-IT"/>
              </w:rPr>
              <w:t>Quantit</w:t>
            </w:r>
            <w:r>
              <w:rPr>
                <w:rFonts w:hAnsi="Times New Roman Bold" w:hint="default"/>
                <w:caps w:val="0"/>
                <w:smallCaps w:val="0"/>
                <w:strike w:val="0"/>
                <w:dstrike w:val="0"/>
                <w:outline w:val="0"/>
                <w:color w:val="000000"/>
                <w:spacing w:val="0"/>
                <w:kern w:val="0"/>
                <w:position w:val="0"/>
                <w:sz w:val="24"/>
                <w:szCs w:val="24"/>
                <w:u w:val="none" w:color="000000"/>
                <w:vertAlign w:val="baseline"/>
                <w:rtl w:val="0"/>
                <w:lang w:val="it-IT"/>
              </w:rPr>
              <w:t xml:space="preserve">à  </w:t>
            </w:r>
            <w:r>
              <w:rPr>
                <w:rFonts w:ascii="Times New Roman Bold"/>
                <w:caps w:val="0"/>
                <w:smallCaps w:val="0"/>
                <w:strike w:val="0"/>
                <w:dstrike w:val="0"/>
                <w:outline w:val="0"/>
                <w:color w:val="000000"/>
                <w:spacing w:val="0"/>
                <w:kern w:val="0"/>
                <w:position w:val="0"/>
                <w:sz w:val="24"/>
                <w:szCs w:val="24"/>
                <w:u w:val="none" w:color="000000"/>
                <w:vertAlign w:val="baseline"/>
                <w:rtl w:val="0"/>
                <w:lang w:val="it-IT"/>
              </w:rPr>
              <w:t>200301 (t)</w:t>
            </w:r>
          </w:p>
        </w:tc>
      </w:tr>
      <w:tr>
        <w:tblPrEx>
          <w:shd w:val="clear" w:color="auto" w:fill="auto"/>
        </w:tblPrEx>
        <w:trPr>
          <w:trHeight w:val="900" w:hRule="atLeast"/>
        </w:trPr>
        <w:tc>
          <w:tcPr>
            <w:tcW w:type="dxa" w:w="31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rFonts w:ascii="Times New Roman Bold"/>
                <w:caps w:val="0"/>
                <w:smallCaps w:val="0"/>
                <w:strike w:val="0"/>
                <w:dstrike w:val="0"/>
                <w:outline w:val="0"/>
                <w:color w:val="000000"/>
                <w:spacing w:val="0"/>
                <w:kern w:val="0"/>
                <w:position w:val="0"/>
                <w:sz w:val="24"/>
                <w:szCs w:val="24"/>
                <w:u w:val="none" w:color="000000"/>
                <w:vertAlign w:val="baseline"/>
                <w:rtl w:val="0"/>
                <w:lang w:val="it-IT"/>
              </w:rPr>
              <w:t xml:space="preserve">AZIENDA MUNICIPALE AMBIENTE S.p.A.   Impianto di Rocca Cencia                        </w:t>
            </w:r>
          </w:p>
        </w:tc>
        <w:tc>
          <w:tcPr>
            <w:tcW w:type="dxa" w:w="112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4"/>
                <w:szCs w:val="24"/>
                <w:u w:val="none" w:color="000000"/>
                <w:vertAlign w:val="baseline"/>
                <w:rtl w:val="0"/>
                <w:lang w:val="it-IT"/>
              </w:rPr>
              <w:t>AQ</w:t>
            </w:r>
          </w:p>
        </w:tc>
        <w:tc>
          <w:tcPr>
            <w:tcW w:type="dxa" w:w="121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4"/>
                <w:szCs w:val="24"/>
                <w:u w:val="none" w:color="000000"/>
                <w:vertAlign w:val="baseline"/>
                <w:rtl w:val="0"/>
                <w:lang w:val="it-IT"/>
              </w:rPr>
              <w:t>Avezzano</w:t>
            </w:r>
          </w:p>
        </w:tc>
        <w:tc>
          <w:tcPr>
            <w:tcW w:type="dxa" w:w="190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4"/>
                <w:szCs w:val="24"/>
                <w:u w:val="none" w:color="000000"/>
                <w:vertAlign w:val="baseline"/>
                <w:rtl w:val="0"/>
                <w:lang w:val="it-IT"/>
              </w:rPr>
              <w:t xml:space="preserve">A.C.I.A.M. S.p.A.           </w:t>
            </w:r>
          </w:p>
        </w:tc>
        <w:tc>
          <w:tcPr>
            <w:tcW w:type="dxa" w:w="138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4"/>
                <w:szCs w:val="24"/>
                <w:u w:val="none" w:color="000000"/>
                <w:vertAlign w:val="baseline"/>
                <w:rtl w:val="0"/>
                <w:lang w:val="it-IT"/>
              </w:rPr>
              <w:t>15.704</w:t>
            </w:r>
          </w:p>
        </w:tc>
      </w:tr>
      <w:tr>
        <w:tblPrEx>
          <w:shd w:val="clear" w:color="auto" w:fill="auto"/>
        </w:tblPrEx>
        <w:trPr>
          <w:trHeight w:val="900" w:hRule="atLeast"/>
        </w:trPr>
        <w:tc>
          <w:tcPr>
            <w:tcW w:type="dxa" w:w="31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rFonts w:ascii="Times New Roman Bold"/>
                <w:caps w:val="0"/>
                <w:smallCaps w:val="0"/>
                <w:strike w:val="0"/>
                <w:dstrike w:val="0"/>
                <w:outline w:val="0"/>
                <w:color w:val="000000"/>
                <w:spacing w:val="0"/>
                <w:kern w:val="0"/>
                <w:position w:val="0"/>
                <w:sz w:val="24"/>
                <w:szCs w:val="24"/>
                <w:u w:val="none" w:color="000000"/>
                <w:vertAlign w:val="baseline"/>
                <w:rtl w:val="0"/>
                <w:lang w:val="it-IT"/>
              </w:rPr>
              <w:t xml:space="preserve">AZIENDA MUNICIPALE AMBIENTE S.p.A.  Impianto di Via Salaria     </w:t>
            </w:r>
          </w:p>
        </w:tc>
        <w:tc>
          <w:tcPr>
            <w:tcW w:type="dxa" w:w="112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4"/>
                <w:szCs w:val="24"/>
                <w:u w:val="none" w:color="000000"/>
                <w:vertAlign w:val="baseline"/>
                <w:rtl w:val="0"/>
                <w:lang w:val="it-IT"/>
              </w:rPr>
              <w:t>AQ</w:t>
            </w:r>
          </w:p>
        </w:tc>
        <w:tc>
          <w:tcPr>
            <w:tcW w:type="dxa" w:w="121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4"/>
                <w:szCs w:val="24"/>
                <w:u w:val="none" w:color="000000"/>
                <w:vertAlign w:val="baseline"/>
                <w:rtl w:val="0"/>
                <w:lang w:val="it-IT"/>
              </w:rPr>
              <w:t>Avezzano</w:t>
            </w:r>
          </w:p>
        </w:tc>
        <w:tc>
          <w:tcPr>
            <w:tcW w:type="dxa" w:w="190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4"/>
                <w:szCs w:val="24"/>
                <w:u w:val="none" w:color="000000"/>
                <w:vertAlign w:val="baseline"/>
                <w:rtl w:val="0"/>
                <w:lang w:val="it-IT"/>
              </w:rPr>
              <w:t xml:space="preserve">A.C.I.A.M. S.p.A.           </w:t>
            </w:r>
          </w:p>
        </w:tc>
        <w:tc>
          <w:tcPr>
            <w:tcW w:type="dxa" w:w="138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4"/>
                <w:szCs w:val="24"/>
                <w:u w:val="none" w:color="000000"/>
                <w:vertAlign w:val="baseline"/>
                <w:rtl w:val="0"/>
                <w:lang w:val="it-IT"/>
              </w:rPr>
              <w:t>14.073</w:t>
            </w:r>
          </w:p>
        </w:tc>
      </w:tr>
      <w:tr>
        <w:tblPrEx>
          <w:shd w:val="clear" w:color="auto" w:fill="auto"/>
        </w:tblPrEx>
        <w:trPr>
          <w:trHeight w:val="300" w:hRule="atLeast"/>
        </w:trPr>
        <w:tc>
          <w:tcPr>
            <w:tcW w:type="dxa" w:w="31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rFonts w:ascii="Times New Roman Bold"/>
                <w:caps w:val="0"/>
                <w:smallCaps w:val="0"/>
                <w:strike w:val="0"/>
                <w:dstrike w:val="0"/>
                <w:outline w:val="0"/>
                <w:color w:val="000000"/>
                <w:spacing w:val="0"/>
                <w:kern w:val="0"/>
                <w:position w:val="0"/>
                <w:sz w:val="24"/>
                <w:szCs w:val="24"/>
                <w:u w:val="none" w:color="000000"/>
                <w:vertAlign w:val="baseline"/>
                <w:rtl w:val="0"/>
                <w:lang w:val="it-IT"/>
              </w:rPr>
              <w:t>Totale 200301</w:t>
            </w:r>
          </w:p>
        </w:tc>
        <w:tc>
          <w:tcPr>
            <w:tcW w:type="dxa" w:w="112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tc>
        <w:tc>
          <w:tcPr>
            <w:tcW w:type="dxa" w:w="121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tc>
        <w:tc>
          <w:tcPr>
            <w:tcW w:type="dxa" w:w="190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tc>
        <w:tc>
          <w:tcPr>
            <w:tcW w:type="dxa" w:w="138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right"/>
            </w:pPr>
            <w:r>
              <w:rPr>
                <w:rFonts w:ascii="Times New Roman Bold"/>
                <w:caps w:val="0"/>
                <w:smallCaps w:val="0"/>
                <w:strike w:val="0"/>
                <w:dstrike w:val="0"/>
                <w:outline w:val="0"/>
                <w:color w:val="000000"/>
                <w:spacing w:val="0"/>
                <w:kern w:val="0"/>
                <w:position w:val="0"/>
                <w:sz w:val="24"/>
                <w:szCs w:val="24"/>
                <w:u w:val="none" w:color="000000"/>
                <w:vertAlign w:val="baseline"/>
                <w:rtl w:val="0"/>
                <w:lang w:val="it-IT"/>
              </w:rPr>
              <w:t>29.777</w:t>
            </w:r>
          </w:p>
        </w:tc>
      </w:tr>
    </w:tbl>
    <w:p>
      <w:pPr>
        <w:pStyle w:val="Normal"/>
        <w:ind w:left="637" w:hanging="637"/>
        <w:jc w:val="both"/>
        <w:rPr>
          <w:rFonts w:ascii="Book Antiqua Bold" w:cs="Book Antiqua Bold" w:hAnsi="Book Antiqua Bold" w:eastAsia="Book Antiqua Bold"/>
          <w:b w:val="1"/>
          <w:bCs w:val="1"/>
          <w:color w:val="000000"/>
          <w:sz w:val="20"/>
          <w:szCs w:val="20"/>
          <w:u w:color="000000"/>
        </w:rPr>
      </w:pPr>
    </w:p>
    <w:p>
      <w:pPr>
        <w:pStyle w:val="Normal"/>
        <w:ind w:firstLine="567"/>
        <w:jc w:val="both"/>
        <w:rPr>
          <w:rFonts w:ascii="Book Antiqua" w:cs="Book Antiqua" w:hAnsi="Book Antiqua" w:eastAsia="Book Antiqua"/>
          <w:i w:val="1"/>
          <w:iCs w:val="1"/>
          <w:color w:val="000000"/>
          <w:sz w:val="20"/>
          <w:szCs w:val="20"/>
          <w:u w:color="000000"/>
        </w:rPr>
      </w:pPr>
      <w:r>
        <w:rPr>
          <w:rFonts w:ascii="Book Antiqua"/>
          <w:i w:val="1"/>
          <w:iCs w:val="1"/>
          <w:color w:val="000000"/>
          <w:sz w:val="20"/>
          <w:szCs w:val="20"/>
          <w:u w:color="000000"/>
          <w:rtl w:val="0"/>
          <w:lang w:val="it-IT"/>
        </w:rPr>
        <w:t>Fonte: ISPRA</w:t>
      </w:r>
    </w:p>
    <w:p>
      <w:pPr>
        <w:pStyle w:val="Normal"/>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Gli impianti di trattamento meccanico biologico producono rifiuti identificati con i CER 190501, 190503, 191212, 191210 e piccole quantit</w:t>
      </w:r>
      <w:r>
        <w:rPr>
          <w:rFonts w:hAnsi="Book Antiqua" w:hint="default"/>
          <w:color w:val="000000"/>
          <w:u w:color="000000"/>
          <w:rtl w:val="0"/>
          <w:lang w:val="it-IT"/>
        </w:rPr>
        <w:t xml:space="preserve">à </w:t>
      </w:r>
      <w:r>
        <w:rPr>
          <w:rFonts w:ascii="Book Antiqua"/>
          <w:color w:val="000000"/>
          <w:u w:color="000000"/>
          <w:rtl w:val="0"/>
          <w:lang w:val="it-IT"/>
        </w:rPr>
        <w:t xml:space="preserve">di rifiuti separati per frazione merceologica (legno, metalli, plastica) nel processo di selezione, successivamente destinati ad impianti di recupero di materia. </w:t>
      </w:r>
    </w:p>
    <w:p>
      <w:pPr>
        <w:pStyle w:val="Normal"/>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I rifiuti prodotti da questi impianti vengono destinati sia ad impianti localizzati nel territorio regionale (tabella 6) che ad impianti localizzati in altre regioni (tabella 7).</w:t>
      </w:r>
    </w:p>
    <w:p>
      <w:pPr>
        <w:pStyle w:val="Normal"/>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Il 19 per cento dei rifiuti prodotti dai TMB di Roma vengono gestiti all</w:t>
      </w:r>
      <w:r>
        <w:rPr>
          <w:rFonts w:hAnsi="Book Antiqua" w:hint="default"/>
          <w:color w:val="000000"/>
          <w:u w:color="000000"/>
          <w:rtl w:val="0"/>
          <w:lang w:val="it-IT"/>
        </w:rPr>
        <w:t>’</w:t>
      </w:r>
      <w:r>
        <w:rPr>
          <w:rFonts w:ascii="Book Antiqua"/>
          <w:color w:val="000000"/>
          <w:u w:color="000000"/>
          <w:rtl w:val="0"/>
          <w:lang w:val="it-IT"/>
        </w:rPr>
        <w:t>interno del territorio regionale mentre l</w:t>
      </w:r>
      <w:r>
        <w:rPr>
          <w:rFonts w:hAnsi="Book Antiqua" w:hint="default"/>
          <w:color w:val="000000"/>
          <w:u w:color="000000"/>
          <w:rtl w:val="0"/>
          <w:lang w:val="it-IT"/>
        </w:rPr>
        <w:t>’</w:t>
      </w:r>
      <w:r>
        <w:rPr>
          <w:rFonts w:ascii="Book Antiqua"/>
          <w:color w:val="000000"/>
          <w:u w:color="000000"/>
          <w:rtl w:val="0"/>
          <w:lang w:val="it-IT"/>
        </w:rPr>
        <w:t>81 per cento</w:t>
      </w:r>
      <w:r>
        <w:rPr>
          <w:rFonts w:hAnsi="Book Antiqua" w:hint="default"/>
          <w:color w:val="000000"/>
          <w:u w:color="000000"/>
          <w:rtl w:val="0"/>
          <w:lang w:val="it-IT"/>
        </w:rPr>
        <w:t xml:space="preserve"> è </w:t>
      </w:r>
      <w:r>
        <w:rPr>
          <w:rFonts w:ascii="Book Antiqua"/>
          <w:color w:val="000000"/>
          <w:u w:color="000000"/>
          <w:rtl w:val="0"/>
          <w:lang w:val="it-IT"/>
        </w:rPr>
        <w:t xml:space="preserve">avviato in altre regioni.  </w:t>
      </w:r>
    </w:p>
    <w:p>
      <w:pPr>
        <w:pStyle w:val="Normal"/>
        <w:ind w:left="567" w:right="567" w:firstLine="0"/>
        <w:jc w:val="both"/>
        <w:rPr>
          <w:rFonts w:ascii="Book Antiqua Bold" w:cs="Book Antiqua Bold" w:hAnsi="Book Antiqua Bold" w:eastAsia="Book Antiqua Bold"/>
          <w:b w:val="1"/>
          <w:bCs w:val="1"/>
          <w:color w:val="000000"/>
          <w:u w:color="000000"/>
        </w:rPr>
      </w:pPr>
      <w:r>
        <w:rPr>
          <w:rFonts w:ascii="Book Antiqua"/>
          <w:color w:val="000000"/>
          <w:u w:color="000000"/>
          <w:rtl w:val="0"/>
          <w:lang w:val="it-IT"/>
        </w:rPr>
        <w:t xml:space="preserve">In particolare, i rifiuti destinati fuori dalla regione Lazio ammontano a quasi 770 mila tonnellate, il 28 per cento dei quali </w:t>
      </w:r>
      <w:r>
        <w:rPr>
          <w:rFonts w:hAnsi="Book Antiqua" w:hint="default"/>
          <w:color w:val="000000"/>
          <w:u w:color="000000"/>
          <w:rtl w:val="0"/>
          <w:lang w:val="it-IT"/>
        </w:rPr>
        <w:t xml:space="preserve">è </w:t>
      </w:r>
      <w:r>
        <w:rPr>
          <w:rFonts w:ascii="Book Antiqua"/>
          <w:color w:val="000000"/>
          <w:u w:color="000000"/>
          <w:rtl w:val="0"/>
          <w:lang w:val="it-IT"/>
        </w:rPr>
        <w:t>destinato in Emilia Romagna, il 21 per cento in Toscana, il 20 per cento in Lombardia, il 13 per cento in Abruzzo e quote inferiori al 10 per cento nelle Marche (6,8 per cento), in Basilicata (6,5 per cento), in Puglia (4,4 per cento). Percentuali inferiori all</w:t>
      </w:r>
      <w:r>
        <w:rPr>
          <w:rFonts w:hAnsi="Book Antiqua" w:hint="default"/>
          <w:color w:val="000000"/>
          <w:u w:color="000000"/>
          <w:rtl w:val="0"/>
          <w:lang w:val="it-IT"/>
        </w:rPr>
        <w:t>’</w:t>
      </w:r>
      <w:r>
        <w:rPr>
          <w:rFonts w:ascii="Book Antiqua"/>
          <w:color w:val="000000"/>
          <w:u w:color="000000"/>
          <w:rtl w:val="0"/>
          <w:lang w:val="it-IT"/>
        </w:rPr>
        <w:t xml:space="preserve">1 per cento raggiungono anche il Piemonte, il Veneto e il  Friuli Venezia Giulia. </w:t>
      </w:r>
    </w:p>
    <w:p>
      <w:pPr>
        <w:pStyle w:val="Normal"/>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Dall</w:t>
      </w:r>
      <w:r>
        <w:rPr>
          <w:rFonts w:hAnsi="Book Antiqua" w:hint="default"/>
          <w:color w:val="000000"/>
          <w:u w:color="000000"/>
          <w:rtl w:val="0"/>
          <w:lang w:val="it-IT"/>
        </w:rPr>
        <w:t>’</w:t>
      </w:r>
      <w:r>
        <w:rPr>
          <w:rFonts w:ascii="Book Antiqua"/>
          <w:color w:val="000000"/>
          <w:u w:color="000000"/>
          <w:rtl w:val="0"/>
          <w:lang w:val="it-IT"/>
        </w:rPr>
        <w:t xml:space="preserve">analisi dei moduli DR (destinato a terzi) ed RT (ricevuto da terzi) delle dichiarazioni MUD, inoltre, </w:t>
      </w:r>
      <w:r>
        <w:rPr>
          <w:rFonts w:hAnsi="Book Antiqua" w:hint="default"/>
          <w:color w:val="000000"/>
          <w:u w:color="000000"/>
          <w:rtl w:val="0"/>
          <w:lang w:val="it-IT"/>
        </w:rPr>
        <w:t xml:space="preserve">è </w:t>
      </w:r>
      <w:r>
        <w:rPr>
          <w:rFonts w:ascii="Book Antiqua"/>
          <w:color w:val="000000"/>
          <w:u w:color="000000"/>
          <w:rtl w:val="0"/>
          <w:lang w:val="it-IT"/>
        </w:rPr>
        <w:t>risultato che l</w:t>
      </w:r>
      <w:r>
        <w:rPr>
          <w:rFonts w:hAnsi="Book Antiqua" w:hint="default"/>
          <w:color w:val="000000"/>
          <w:u w:color="000000"/>
          <w:rtl w:val="0"/>
          <w:lang w:val="it-IT"/>
        </w:rPr>
        <w:t>’</w:t>
      </w:r>
      <w:r>
        <w:rPr>
          <w:rFonts w:ascii="Book Antiqua"/>
          <w:color w:val="000000"/>
          <w:u w:color="000000"/>
          <w:rtl w:val="0"/>
          <w:lang w:val="it-IT"/>
        </w:rPr>
        <w:t>impianto di trattamento meccanico biologico Malagrotta 2 riceve 38.749 tonnellate di rifiuti identificati con il codice 191210 dal gassificatore Co.La.Ri. e, nello stesso anno, destina al medesimo impianto 40.611 tonnellate della stessa tipologia di rifiuti; non risultano, tuttavia, operazioni di gestione effettuate nell</w:t>
      </w:r>
      <w:r>
        <w:rPr>
          <w:rFonts w:hAnsi="Book Antiqua" w:hint="default"/>
          <w:color w:val="000000"/>
          <w:u w:color="000000"/>
          <w:rtl w:val="0"/>
          <w:lang w:val="it-IT"/>
        </w:rPr>
        <w:t>’</w:t>
      </w:r>
      <w:r>
        <w:rPr>
          <w:rFonts w:ascii="Book Antiqua"/>
          <w:color w:val="000000"/>
          <w:u w:color="000000"/>
          <w:rtl w:val="0"/>
          <w:lang w:val="it-IT"/>
        </w:rPr>
        <w:t>anno oggetto di indagine dal gassificatore</w:t>
      </w:r>
    </w:p>
    <w:p>
      <w:pPr>
        <w:pStyle w:val="Normal"/>
        <w:ind w:left="567" w:right="567" w:firstLine="0"/>
        <w:jc w:val="both"/>
        <w:rPr>
          <w:rFonts w:ascii="Book Antiqua" w:cs="Book Antiqua" w:hAnsi="Book Antiqua" w:eastAsia="Book Antiqua"/>
          <w:color w:val="000000"/>
          <w:u w:color="000000"/>
        </w:rPr>
      </w:pPr>
    </w:p>
    <w:p>
      <w:pPr>
        <w:pStyle w:val="Normal"/>
        <w:jc w:val="both"/>
        <w:rPr>
          <w:rFonts w:ascii="Book Antiqua Bold" w:cs="Book Antiqua Bold" w:hAnsi="Book Antiqua Bold" w:eastAsia="Book Antiqua Bold"/>
          <w:b w:val="1"/>
          <w:bCs w:val="1"/>
          <w:color w:val="000000"/>
          <w:sz w:val="22"/>
          <w:szCs w:val="22"/>
          <w:u w:color="000000"/>
        </w:rPr>
      </w:pPr>
      <w:r>
        <w:rPr>
          <w:rFonts w:ascii="Book Antiqua Bold"/>
          <w:b w:val="1"/>
          <w:bCs w:val="1"/>
          <w:color w:val="000000"/>
          <w:sz w:val="20"/>
          <w:szCs w:val="20"/>
          <w:u w:color="000000"/>
          <w:rtl w:val="0"/>
          <w:lang w:val="it-IT"/>
        </w:rPr>
        <w:t>Tabella 6 -  Rifiuti destinati dagli impianti di TMB di Roma a impianti localizzati nella regione, anno 2015</w:t>
      </w:r>
      <w:r>
        <w:rPr>
          <w:rFonts w:ascii="Book Antiqua Bold"/>
          <w:b w:val="1"/>
          <w:bCs w:val="1"/>
          <w:color w:val="000000"/>
          <w:sz w:val="22"/>
          <w:szCs w:val="22"/>
          <w:u w:color="000000"/>
          <w:rtl w:val="0"/>
          <w:lang w:val="it-IT"/>
        </w:rPr>
        <w:t xml:space="preserve"> </w:t>
      </w:r>
    </w:p>
    <w:tbl>
      <w:tblPr>
        <w:tblW w:w="9231" w:type="dxa"/>
        <w:jc w:val="center"/>
        <w:tblInd w:w="108" w:type="dxa"/>
        <w:tblBorders>
          <w:top w:val="single" w:color="000000" w:sz="2" w:space="0" w:shadow="0" w:frame="0"/>
          <w:left w:val="single" w:color="000000" w:sz="2" w:space="0" w:shadow="0" w:frame="0"/>
          <w:bottom w:val="single" w:color="000000" w:sz="2" w:space="0" w:shadow="0" w:frame="0"/>
          <w:right w:val="single" w:color="000000" w:sz="2" w:space="0" w:shadow="0" w:frame="0"/>
          <w:insideH w:val="single" w:color="000000" w:sz="2" w:space="0" w:shadow="0" w:frame="0"/>
          <w:insideV w:val="single" w:color="000000" w:sz="2" w:space="0" w:shadow="0" w:frame="0"/>
        </w:tblBorders>
        <w:shd w:val="clear" w:color="auto" w:fill="auto"/>
        <w:tblLayout w:type="fixed"/>
      </w:tblPr>
      <w:tblGrid>
        <w:gridCol w:w="1186"/>
        <w:gridCol w:w="761"/>
        <w:gridCol w:w="462"/>
        <w:gridCol w:w="1235"/>
        <w:gridCol w:w="2876"/>
        <w:gridCol w:w="1132"/>
        <w:gridCol w:w="1579"/>
      </w:tblGrid>
      <w:tr>
        <w:tblPrEx>
          <w:shd w:val="clear" w:color="auto" w:fill="bdc0bf"/>
        </w:tblPrEx>
        <w:trPr>
          <w:trHeight w:val="250" w:hRule="atLeast"/>
          <w:tblHeader/>
        </w:trPr>
        <w:tc>
          <w:tcPr>
            <w:tcW w:type="dxa" w:w="1186"/>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5a5a5"/>
            <w:tcMar>
              <w:top w:type="dxa" w:w="80"/>
              <w:left w:type="dxa" w:w="80"/>
              <w:bottom w:type="dxa" w:w="80"/>
              <w:right w:type="dxa" w:w="80"/>
            </w:tcMar>
            <w:vAlign w:val="bottom"/>
          </w:tcPr>
          <w:p>
            <w:pPr>
              <w:pStyle w:val="Normal"/>
              <w:jc w:val="center"/>
            </w:pPr>
            <w:r>
              <w:rPr>
                <w:rFonts w:ascii="Times New Roman Bold"/>
                <w:caps w:val="0"/>
                <w:smallCaps w:val="0"/>
                <w:strike w:val="0"/>
                <w:dstrike w:val="0"/>
                <w:outline w:val="0"/>
                <w:color w:val="000000"/>
                <w:spacing w:val="0"/>
                <w:kern w:val="0"/>
                <w:position w:val="0"/>
                <w:sz w:val="20"/>
                <w:szCs w:val="20"/>
                <w:u w:val="none" w:color="000000"/>
                <w:vertAlign w:val="baseline"/>
                <w:rtl w:val="0"/>
                <w:lang w:val="it-IT"/>
              </w:rPr>
              <w:t>impianto di TMB</w:t>
            </w:r>
          </w:p>
        </w:tc>
        <w:tc>
          <w:tcPr>
            <w:tcW w:type="dxa" w:w="8045"/>
            <w:gridSpan w:val="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5a5a5"/>
            <w:tcMar>
              <w:top w:type="dxa" w:w="80"/>
              <w:left w:type="dxa" w:w="80"/>
              <w:bottom w:type="dxa" w:w="80"/>
              <w:right w:type="dxa" w:w="80"/>
            </w:tcMar>
            <w:vAlign w:val="bottom"/>
          </w:tcPr>
          <w:p>
            <w:pPr>
              <w:pStyle w:val="Normal"/>
              <w:jc w:val="center"/>
            </w:pPr>
            <w:r>
              <w:rPr>
                <w:rFonts w:ascii="Times New Roman Bold"/>
                <w:caps w:val="0"/>
                <w:smallCaps w:val="0"/>
                <w:strike w:val="0"/>
                <w:dstrike w:val="0"/>
                <w:outline w:val="0"/>
                <w:color w:val="000000"/>
                <w:spacing w:val="0"/>
                <w:kern w:val="0"/>
                <w:position w:val="0"/>
                <w:sz w:val="20"/>
                <w:szCs w:val="20"/>
                <w:u w:val="none" w:color="000000"/>
                <w:vertAlign w:val="baseline"/>
                <w:rtl w:val="0"/>
                <w:lang w:val="it-IT"/>
              </w:rPr>
              <w:t>destinazione</w:t>
            </w:r>
          </w:p>
        </w:tc>
      </w:tr>
      <w:tr>
        <w:tblPrEx>
          <w:shd w:val="clear" w:color="auto" w:fill="bdc0bf"/>
        </w:tblPrEx>
        <w:trPr>
          <w:trHeight w:val="882" w:hRule="atLeast"/>
          <w:tblHeader/>
        </w:trPr>
        <w:tc>
          <w:tcPr>
            <w:tcW w:type="dxa" w:w="1186"/>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5a5a5"/>
          </w:tcPr>
          <w:p/>
        </w:tc>
        <w:tc>
          <w:tcPr>
            <w:tcW w:type="dxa" w:w="76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5a5a5"/>
            <w:tcMar>
              <w:top w:type="dxa" w:w="80"/>
              <w:left w:type="dxa" w:w="80"/>
              <w:bottom w:type="dxa" w:w="80"/>
              <w:right w:type="dxa" w:w="80"/>
            </w:tcMar>
            <w:vAlign w:val="bottom"/>
          </w:tcPr>
          <w:p>
            <w:pPr>
              <w:pStyle w:val="Normal"/>
            </w:pPr>
            <w:r>
              <w:rPr>
                <w:rFonts w:ascii="Times New Roman Bold"/>
                <w:caps w:val="0"/>
                <w:smallCaps w:val="0"/>
                <w:strike w:val="0"/>
                <w:dstrike w:val="0"/>
                <w:outline w:val="0"/>
                <w:color w:val="000000"/>
                <w:spacing w:val="0"/>
                <w:kern w:val="0"/>
                <w:position w:val="0"/>
                <w:sz w:val="20"/>
                <w:szCs w:val="20"/>
                <w:u w:val="none" w:color="000000"/>
                <w:vertAlign w:val="baseline"/>
                <w:rtl w:val="0"/>
                <w:lang w:val="it-IT"/>
              </w:rPr>
              <w:t>tipologia rifiuti</w:t>
            </w:r>
          </w:p>
        </w:tc>
        <w:tc>
          <w:tcPr>
            <w:tcW w:type="dxa" w:w="46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5a5a5"/>
            <w:tcMar>
              <w:top w:type="dxa" w:w="80"/>
              <w:left w:type="dxa" w:w="80"/>
              <w:bottom w:type="dxa" w:w="80"/>
              <w:right w:type="dxa" w:w="80"/>
            </w:tcMar>
            <w:vAlign w:val="bottom"/>
          </w:tcPr>
          <w:p>
            <w:pPr>
              <w:pStyle w:val="Normal"/>
            </w:pPr>
            <w:r>
              <w:rPr>
                <w:rFonts w:ascii="Times New Roman Bold"/>
                <w:caps w:val="0"/>
                <w:smallCaps w:val="0"/>
                <w:strike w:val="0"/>
                <w:dstrike w:val="0"/>
                <w:outline w:val="0"/>
                <w:color w:val="000000"/>
                <w:spacing w:val="0"/>
                <w:kern w:val="0"/>
                <w:position w:val="0"/>
                <w:sz w:val="20"/>
                <w:szCs w:val="20"/>
                <w:u w:val="none" w:color="000000"/>
                <w:vertAlign w:val="baseline"/>
                <w:rtl w:val="0"/>
                <w:lang w:val="it-IT"/>
              </w:rPr>
              <w:t>Provincia</w:t>
            </w:r>
          </w:p>
        </w:tc>
        <w:tc>
          <w:tcPr>
            <w:tcW w:type="dxa" w:w="123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5a5a5"/>
            <w:tcMar>
              <w:top w:type="dxa" w:w="80"/>
              <w:left w:type="dxa" w:w="80"/>
              <w:bottom w:type="dxa" w:w="80"/>
              <w:right w:type="dxa" w:w="80"/>
            </w:tcMar>
            <w:vAlign w:val="bottom"/>
          </w:tcPr>
          <w:p>
            <w:pPr>
              <w:pStyle w:val="Normal"/>
            </w:pPr>
            <w:r>
              <w:rPr>
                <w:rFonts w:ascii="Times New Roman Bold"/>
                <w:caps w:val="0"/>
                <w:smallCaps w:val="0"/>
                <w:strike w:val="0"/>
                <w:dstrike w:val="0"/>
                <w:outline w:val="0"/>
                <w:color w:val="000000"/>
                <w:spacing w:val="0"/>
                <w:kern w:val="0"/>
                <w:position w:val="0"/>
                <w:sz w:val="20"/>
                <w:szCs w:val="20"/>
                <w:u w:val="none" w:color="000000"/>
                <w:vertAlign w:val="baseline"/>
                <w:rtl w:val="0"/>
                <w:lang w:val="it-IT"/>
              </w:rPr>
              <w:t>Comune</w:t>
            </w:r>
          </w:p>
        </w:tc>
        <w:tc>
          <w:tcPr>
            <w:tcW w:type="dxa" w:w="287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5a5a5"/>
            <w:tcMar>
              <w:top w:type="dxa" w:w="80"/>
              <w:left w:type="dxa" w:w="80"/>
              <w:bottom w:type="dxa" w:w="80"/>
              <w:right w:type="dxa" w:w="80"/>
            </w:tcMar>
            <w:vAlign w:val="bottom"/>
          </w:tcPr>
          <w:p>
            <w:pPr>
              <w:pStyle w:val="Normal"/>
            </w:pPr>
            <w:r>
              <w:rPr>
                <w:rFonts w:ascii="Times New Roman Bold"/>
                <w:caps w:val="0"/>
                <w:smallCaps w:val="0"/>
                <w:strike w:val="0"/>
                <w:dstrike w:val="0"/>
                <w:outline w:val="0"/>
                <w:color w:val="000000"/>
                <w:spacing w:val="0"/>
                <w:kern w:val="0"/>
                <w:position w:val="0"/>
                <w:sz w:val="20"/>
                <w:szCs w:val="20"/>
                <w:u w:val="none" w:color="000000"/>
                <w:vertAlign w:val="baseline"/>
                <w:rtl w:val="0"/>
                <w:lang w:val="it-IT"/>
              </w:rPr>
              <w:t xml:space="preserve">Ragione sociale </w:t>
            </w:r>
          </w:p>
        </w:tc>
        <w:tc>
          <w:tcPr>
            <w:tcW w:type="dxa" w:w="11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5a5a5"/>
            <w:tcMar>
              <w:top w:type="dxa" w:w="80"/>
              <w:left w:type="dxa" w:w="80"/>
              <w:bottom w:type="dxa" w:w="80"/>
              <w:right w:type="dxa" w:w="80"/>
            </w:tcMar>
            <w:vAlign w:val="bottom"/>
          </w:tcPr>
          <w:p>
            <w:pPr>
              <w:pStyle w:val="Normal"/>
            </w:pPr>
            <w:r>
              <w:rPr>
                <w:rFonts w:ascii="Times New Roman Bold"/>
                <w:caps w:val="0"/>
                <w:smallCaps w:val="0"/>
                <w:strike w:val="0"/>
                <w:dstrike w:val="0"/>
                <w:outline w:val="0"/>
                <w:color w:val="000000"/>
                <w:spacing w:val="0"/>
                <w:kern w:val="0"/>
                <w:position w:val="0"/>
                <w:sz w:val="20"/>
                <w:szCs w:val="20"/>
                <w:u w:val="none" w:color="000000"/>
                <w:vertAlign w:val="baseline"/>
                <w:rtl w:val="0"/>
                <w:lang w:val="it-IT"/>
              </w:rPr>
              <w:t>Quantit</w:t>
            </w:r>
            <w:r>
              <w:rPr>
                <w:rFonts w:hAnsi="Times New Roman Bold" w:hint="default"/>
                <w:caps w:val="0"/>
                <w:smallCaps w:val="0"/>
                <w:strike w:val="0"/>
                <w:dstrike w:val="0"/>
                <w:outline w:val="0"/>
                <w:color w:val="000000"/>
                <w:spacing w:val="0"/>
                <w:kern w:val="0"/>
                <w:position w:val="0"/>
                <w:sz w:val="20"/>
                <w:szCs w:val="20"/>
                <w:u w:val="none" w:color="000000"/>
                <w:vertAlign w:val="baseline"/>
                <w:rtl w:val="0"/>
                <w:lang w:val="it-IT"/>
              </w:rPr>
              <w:t>à</w:t>
            </w:r>
            <w:r>
              <w:rPr>
                <w:rFonts w:ascii="Times New Roman Bold"/>
                <w:caps w:val="0"/>
                <w:smallCaps w:val="0"/>
                <w:strike w:val="0"/>
                <w:dstrike w:val="0"/>
                <w:outline w:val="0"/>
                <w:color w:val="000000"/>
                <w:spacing w:val="0"/>
                <w:kern w:val="0"/>
                <w:position w:val="0"/>
                <w:sz w:val="20"/>
                <w:szCs w:val="20"/>
                <w:u w:val="none" w:color="000000"/>
                <w:vertAlign w:val="baseline"/>
                <w:rtl w:val="0"/>
                <w:lang w:val="it-IT"/>
              </w:rPr>
              <w:t>(t)</w:t>
            </w:r>
          </w:p>
        </w:tc>
        <w:tc>
          <w:tcPr>
            <w:tcW w:type="dxa" w:w="157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5a5a5"/>
            <w:tcMar>
              <w:top w:type="dxa" w:w="80"/>
              <w:left w:type="dxa" w:w="80"/>
              <w:bottom w:type="dxa" w:w="80"/>
              <w:right w:type="dxa" w:w="80"/>
            </w:tcMar>
            <w:vAlign w:val="bottom"/>
          </w:tcPr>
          <w:p>
            <w:pPr>
              <w:pStyle w:val="Normal"/>
            </w:pPr>
            <w:r>
              <w:rPr>
                <w:rFonts w:ascii="Times New Roman Bold"/>
                <w:caps w:val="0"/>
                <w:smallCaps w:val="0"/>
                <w:strike w:val="0"/>
                <w:dstrike w:val="0"/>
                <w:outline w:val="0"/>
                <w:color w:val="000000"/>
                <w:spacing w:val="0"/>
                <w:kern w:val="0"/>
                <w:position w:val="0"/>
                <w:sz w:val="20"/>
                <w:szCs w:val="20"/>
                <w:u w:val="none" w:color="000000"/>
                <w:vertAlign w:val="baseline"/>
                <w:rtl w:val="0"/>
                <w:lang w:val="it-IT"/>
              </w:rPr>
              <w:t>tipologia impianto</w:t>
            </w:r>
          </w:p>
        </w:tc>
      </w:tr>
      <w:tr>
        <w:tblPrEx>
          <w:shd w:val="clear" w:color="auto" w:fill="auto"/>
        </w:tblPrEx>
        <w:trPr>
          <w:trHeight w:val="442" w:hRule="atLeast"/>
        </w:trPr>
        <w:tc>
          <w:tcPr>
            <w:tcW w:type="dxa" w:w="1186"/>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Normal"/>
            </w:pPr>
            <w:r>
              <w:rPr>
                <w:rFonts w:ascii="Times New Roman Bold"/>
                <w:caps w:val="0"/>
                <w:smallCaps w:val="0"/>
                <w:strike w:val="0"/>
                <w:dstrike w:val="0"/>
                <w:outline w:val="0"/>
                <w:color w:val="000000"/>
                <w:spacing w:val="0"/>
                <w:kern w:val="0"/>
                <w:position w:val="0"/>
                <w:sz w:val="20"/>
                <w:szCs w:val="20"/>
                <w:u w:val="none" w:color="000000"/>
                <w:vertAlign w:val="baseline"/>
                <w:rtl w:val="0"/>
                <w:lang w:val="it-IT"/>
              </w:rPr>
              <w:t xml:space="preserve">E. Giovi S.r.l. - IMP. TMB M1                                  </w:t>
            </w:r>
          </w:p>
        </w:tc>
        <w:tc>
          <w:tcPr>
            <w:tcW w:type="dxa" w:w="76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190503</w:t>
            </w:r>
          </w:p>
        </w:tc>
        <w:tc>
          <w:tcPr>
            <w:tcW w:type="dxa" w:w="46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FR</w:t>
            </w:r>
          </w:p>
        </w:tc>
        <w:tc>
          <w:tcPr>
            <w:tcW w:type="dxa" w:w="123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Roccasecca</w:t>
            </w:r>
          </w:p>
        </w:tc>
        <w:tc>
          <w:tcPr>
            <w:tcW w:type="dxa" w:w="287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MAD S.r.l.                                                     </w:t>
            </w:r>
          </w:p>
        </w:tc>
        <w:tc>
          <w:tcPr>
            <w:tcW w:type="dxa" w:w="11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2.165</w:t>
            </w:r>
          </w:p>
        </w:tc>
        <w:tc>
          <w:tcPr>
            <w:tcW w:type="dxa" w:w="157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discarica </w:t>
            </w:r>
          </w:p>
        </w:tc>
      </w:tr>
      <w:tr>
        <w:tblPrEx>
          <w:shd w:val="clear" w:color="auto" w:fill="auto"/>
        </w:tblPrEx>
        <w:trPr>
          <w:trHeight w:val="442" w:hRule="atLeast"/>
        </w:trPr>
        <w:tc>
          <w:tcPr>
            <w:tcW w:type="dxa" w:w="1186"/>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Pr>
          <w:p/>
        </w:tc>
        <w:tc>
          <w:tcPr>
            <w:tcW w:type="dxa" w:w="76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191210</w:t>
            </w:r>
          </w:p>
        </w:tc>
        <w:tc>
          <w:tcPr>
            <w:tcW w:type="dxa" w:w="46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RM</w:t>
            </w:r>
          </w:p>
        </w:tc>
        <w:tc>
          <w:tcPr>
            <w:tcW w:type="dxa" w:w="123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Colleferro</w:t>
            </w:r>
          </w:p>
        </w:tc>
        <w:tc>
          <w:tcPr>
            <w:tcW w:type="dxa" w:w="287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E.P. SISTEMI S.p.A.                                            </w:t>
            </w:r>
          </w:p>
        </w:tc>
        <w:tc>
          <w:tcPr>
            <w:tcW w:type="dxa" w:w="11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11.403</w:t>
            </w:r>
          </w:p>
        </w:tc>
        <w:tc>
          <w:tcPr>
            <w:tcW w:type="dxa" w:w="157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incenerimento</w:t>
            </w:r>
          </w:p>
        </w:tc>
      </w:tr>
      <w:tr>
        <w:tblPrEx>
          <w:shd w:val="clear" w:color="auto" w:fill="auto"/>
        </w:tblPrEx>
        <w:trPr>
          <w:trHeight w:val="442" w:hRule="atLeast"/>
        </w:trPr>
        <w:tc>
          <w:tcPr>
            <w:tcW w:type="dxa" w:w="1186"/>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Pr>
          <w:p/>
        </w:tc>
        <w:tc>
          <w:tcPr>
            <w:tcW w:type="dxa" w:w="76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191210</w:t>
            </w:r>
          </w:p>
        </w:tc>
        <w:tc>
          <w:tcPr>
            <w:tcW w:type="dxa" w:w="46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RM</w:t>
            </w:r>
          </w:p>
        </w:tc>
        <w:tc>
          <w:tcPr>
            <w:tcW w:type="dxa" w:w="123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Colleferro</w:t>
            </w:r>
          </w:p>
        </w:tc>
        <w:tc>
          <w:tcPr>
            <w:tcW w:type="dxa" w:w="287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LAZIO AMBIENTE S.p.A.                                       </w:t>
            </w:r>
          </w:p>
        </w:tc>
        <w:tc>
          <w:tcPr>
            <w:tcW w:type="dxa" w:w="11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4.772</w:t>
            </w:r>
          </w:p>
        </w:tc>
        <w:tc>
          <w:tcPr>
            <w:tcW w:type="dxa" w:w="157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incenerimento</w:t>
            </w:r>
          </w:p>
        </w:tc>
      </w:tr>
      <w:tr>
        <w:tblPrEx>
          <w:shd w:val="clear" w:color="auto" w:fill="auto"/>
        </w:tblPrEx>
        <w:trPr>
          <w:trHeight w:val="442" w:hRule="atLeast"/>
        </w:trPr>
        <w:tc>
          <w:tcPr>
            <w:tcW w:type="dxa" w:w="1186"/>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Pr>
          <w:p/>
        </w:tc>
        <w:tc>
          <w:tcPr>
            <w:tcW w:type="dxa" w:w="76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191210</w:t>
            </w:r>
          </w:p>
        </w:tc>
        <w:tc>
          <w:tcPr>
            <w:tcW w:type="dxa" w:w="46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RM</w:t>
            </w:r>
          </w:p>
        </w:tc>
        <w:tc>
          <w:tcPr>
            <w:tcW w:type="dxa" w:w="123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Roma</w:t>
            </w:r>
          </w:p>
        </w:tc>
        <w:tc>
          <w:tcPr>
            <w:tcW w:type="dxa" w:w="287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PORCARELLI GINO &amp; CO S.r.l.                                    </w:t>
            </w:r>
          </w:p>
        </w:tc>
        <w:tc>
          <w:tcPr>
            <w:tcW w:type="dxa" w:w="11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831</w:t>
            </w:r>
          </w:p>
        </w:tc>
        <w:tc>
          <w:tcPr>
            <w:tcW w:type="dxa" w:w="157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trattamento</w:t>
            </w:r>
          </w:p>
        </w:tc>
      </w:tr>
      <w:tr>
        <w:tblPrEx>
          <w:shd w:val="clear" w:color="auto" w:fill="auto"/>
        </w:tblPrEx>
        <w:trPr>
          <w:trHeight w:val="442" w:hRule="atLeast"/>
        </w:trPr>
        <w:tc>
          <w:tcPr>
            <w:tcW w:type="dxa" w:w="1186"/>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Pr>
          <w:p/>
        </w:tc>
        <w:tc>
          <w:tcPr>
            <w:tcW w:type="dxa" w:w="76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191212</w:t>
            </w:r>
          </w:p>
        </w:tc>
        <w:tc>
          <w:tcPr>
            <w:tcW w:type="dxa" w:w="46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RM</w:t>
            </w:r>
          </w:p>
        </w:tc>
        <w:tc>
          <w:tcPr>
            <w:tcW w:type="dxa" w:w="123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Roma</w:t>
            </w:r>
          </w:p>
        </w:tc>
        <w:tc>
          <w:tcPr>
            <w:tcW w:type="dxa" w:w="287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PORCARELLI GINO &amp; CO S.r.l.                                    </w:t>
            </w:r>
          </w:p>
        </w:tc>
        <w:tc>
          <w:tcPr>
            <w:tcW w:type="dxa" w:w="11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1.233</w:t>
            </w:r>
          </w:p>
        </w:tc>
        <w:tc>
          <w:tcPr>
            <w:tcW w:type="dxa" w:w="157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trattamento</w:t>
            </w:r>
          </w:p>
        </w:tc>
      </w:tr>
      <w:tr>
        <w:tblPrEx>
          <w:shd w:val="clear" w:color="auto" w:fill="auto"/>
        </w:tblPrEx>
        <w:trPr>
          <w:trHeight w:val="442" w:hRule="atLeast"/>
        </w:trPr>
        <w:tc>
          <w:tcPr>
            <w:tcW w:type="dxa" w:w="1186"/>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Pr>
          <w:p/>
        </w:tc>
        <w:tc>
          <w:tcPr>
            <w:tcW w:type="dxa" w:w="76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191212</w:t>
            </w:r>
          </w:p>
        </w:tc>
        <w:tc>
          <w:tcPr>
            <w:tcW w:type="dxa" w:w="46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FR</w:t>
            </w:r>
          </w:p>
        </w:tc>
        <w:tc>
          <w:tcPr>
            <w:tcW w:type="dxa" w:w="123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Roccasecca</w:t>
            </w:r>
          </w:p>
        </w:tc>
        <w:tc>
          <w:tcPr>
            <w:tcW w:type="dxa" w:w="287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MAD S.r.l.                                                     </w:t>
            </w:r>
          </w:p>
        </w:tc>
        <w:tc>
          <w:tcPr>
            <w:tcW w:type="dxa" w:w="11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22.759</w:t>
            </w:r>
          </w:p>
        </w:tc>
        <w:tc>
          <w:tcPr>
            <w:tcW w:type="dxa" w:w="157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discarica </w:t>
            </w:r>
          </w:p>
        </w:tc>
      </w:tr>
      <w:tr>
        <w:tblPrEx>
          <w:shd w:val="clear" w:color="auto" w:fill="auto"/>
        </w:tblPrEx>
        <w:trPr>
          <w:trHeight w:val="442" w:hRule="atLeast"/>
        </w:trPr>
        <w:tc>
          <w:tcPr>
            <w:tcW w:type="dxa" w:w="1186"/>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rFonts w:ascii="Times New Roman Bold"/>
                <w:caps w:val="0"/>
                <w:smallCaps w:val="0"/>
                <w:strike w:val="0"/>
                <w:dstrike w:val="0"/>
                <w:outline w:val="0"/>
                <w:color w:val="000000"/>
                <w:spacing w:val="0"/>
                <w:kern w:val="0"/>
                <w:position w:val="0"/>
                <w:sz w:val="20"/>
                <w:szCs w:val="20"/>
                <w:u w:val="none" w:color="000000"/>
                <w:vertAlign w:val="baseline"/>
                <w:rtl w:val="0"/>
                <w:lang w:val="it-IT"/>
              </w:rPr>
              <w:t xml:space="preserve">E. Giovi S.r.l. - IMP. TMB M2                                  </w:t>
            </w:r>
          </w:p>
        </w:tc>
        <w:tc>
          <w:tcPr>
            <w:tcW w:type="dxa" w:w="76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190503</w:t>
            </w:r>
          </w:p>
        </w:tc>
        <w:tc>
          <w:tcPr>
            <w:tcW w:type="dxa" w:w="46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LT</w:t>
            </w:r>
          </w:p>
        </w:tc>
        <w:tc>
          <w:tcPr>
            <w:tcW w:type="dxa" w:w="123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Latina</w:t>
            </w:r>
          </w:p>
        </w:tc>
        <w:tc>
          <w:tcPr>
            <w:tcW w:type="dxa" w:w="287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ECOAMBIENTE S.r.l.                                             </w:t>
            </w:r>
          </w:p>
        </w:tc>
        <w:tc>
          <w:tcPr>
            <w:tcW w:type="dxa" w:w="11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580</w:t>
            </w:r>
          </w:p>
        </w:tc>
        <w:tc>
          <w:tcPr>
            <w:tcW w:type="dxa" w:w="157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discarica </w:t>
            </w:r>
          </w:p>
        </w:tc>
      </w:tr>
      <w:tr>
        <w:tblPrEx>
          <w:shd w:val="clear" w:color="auto" w:fill="auto"/>
        </w:tblPrEx>
        <w:trPr>
          <w:trHeight w:val="442" w:hRule="atLeast"/>
        </w:trPr>
        <w:tc>
          <w:tcPr>
            <w:tcW w:type="dxa" w:w="1186"/>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76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191210</w:t>
            </w:r>
          </w:p>
        </w:tc>
        <w:tc>
          <w:tcPr>
            <w:tcW w:type="dxa" w:w="46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RM</w:t>
            </w:r>
          </w:p>
        </w:tc>
        <w:tc>
          <w:tcPr>
            <w:tcW w:type="dxa" w:w="123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Colleferro</w:t>
            </w:r>
          </w:p>
        </w:tc>
        <w:tc>
          <w:tcPr>
            <w:tcW w:type="dxa" w:w="287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E.P. SISTEMI S.p.A.                                            </w:t>
            </w:r>
          </w:p>
        </w:tc>
        <w:tc>
          <w:tcPr>
            <w:tcW w:type="dxa" w:w="11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5.801</w:t>
            </w:r>
          </w:p>
        </w:tc>
        <w:tc>
          <w:tcPr>
            <w:tcW w:type="dxa" w:w="157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incenerimento</w:t>
            </w:r>
          </w:p>
        </w:tc>
      </w:tr>
      <w:tr>
        <w:tblPrEx>
          <w:shd w:val="clear" w:color="auto" w:fill="auto"/>
        </w:tblPrEx>
        <w:trPr>
          <w:trHeight w:val="442" w:hRule="atLeast"/>
        </w:trPr>
        <w:tc>
          <w:tcPr>
            <w:tcW w:type="dxa" w:w="1186"/>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76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191210</w:t>
            </w:r>
          </w:p>
        </w:tc>
        <w:tc>
          <w:tcPr>
            <w:tcW w:type="dxa" w:w="46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RM</w:t>
            </w:r>
          </w:p>
        </w:tc>
        <w:tc>
          <w:tcPr>
            <w:tcW w:type="dxa" w:w="123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Colleferro</w:t>
            </w:r>
          </w:p>
        </w:tc>
        <w:tc>
          <w:tcPr>
            <w:tcW w:type="dxa" w:w="287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LAZIO AMBIENTE S.p.A.                                       </w:t>
            </w:r>
          </w:p>
        </w:tc>
        <w:tc>
          <w:tcPr>
            <w:tcW w:type="dxa" w:w="11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5.510</w:t>
            </w:r>
          </w:p>
        </w:tc>
        <w:tc>
          <w:tcPr>
            <w:tcW w:type="dxa" w:w="157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incenerimento</w:t>
            </w:r>
          </w:p>
        </w:tc>
      </w:tr>
      <w:tr>
        <w:tblPrEx>
          <w:shd w:val="clear" w:color="auto" w:fill="auto"/>
        </w:tblPrEx>
        <w:trPr>
          <w:trHeight w:val="442" w:hRule="atLeast"/>
        </w:trPr>
        <w:tc>
          <w:tcPr>
            <w:tcW w:type="dxa" w:w="1186"/>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76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191210</w:t>
            </w:r>
          </w:p>
        </w:tc>
        <w:tc>
          <w:tcPr>
            <w:tcW w:type="dxa" w:w="46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RM</w:t>
            </w:r>
          </w:p>
        </w:tc>
        <w:tc>
          <w:tcPr>
            <w:tcW w:type="dxa" w:w="123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Roma</w:t>
            </w:r>
          </w:p>
        </w:tc>
        <w:tc>
          <w:tcPr>
            <w:tcW w:type="dxa" w:w="287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PORCARELLI GINO &amp; CO S.r.l.                                    </w:t>
            </w:r>
          </w:p>
        </w:tc>
        <w:tc>
          <w:tcPr>
            <w:tcW w:type="dxa" w:w="11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1.030</w:t>
            </w:r>
          </w:p>
        </w:tc>
        <w:tc>
          <w:tcPr>
            <w:tcW w:type="dxa" w:w="157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trattamento</w:t>
            </w:r>
          </w:p>
        </w:tc>
      </w:tr>
      <w:tr>
        <w:tblPrEx>
          <w:shd w:val="clear" w:color="auto" w:fill="auto"/>
        </w:tblPrEx>
        <w:trPr>
          <w:trHeight w:val="442" w:hRule="atLeast"/>
        </w:trPr>
        <w:tc>
          <w:tcPr>
            <w:tcW w:type="dxa" w:w="1186"/>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76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191212</w:t>
            </w:r>
          </w:p>
        </w:tc>
        <w:tc>
          <w:tcPr>
            <w:tcW w:type="dxa" w:w="46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FR</w:t>
            </w:r>
          </w:p>
        </w:tc>
        <w:tc>
          <w:tcPr>
            <w:tcW w:type="dxa" w:w="123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Roccasecca</w:t>
            </w:r>
          </w:p>
        </w:tc>
        <w:tc>
          <w:tcPr>
            <w:tcW w:type="dxa" w:w="287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MAD S.r.l.                                                     </w:t>
            </w:r>
          </w:p>
        </w:tc>
        <w:tc>
          <w:tcPr>
            <w:tcW w:type="dxa" w:w="11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261</w:t>
            </w:r>
          </w:p>
        </w:tc>
        <w:tc>
          <w:tcPr>
            <w:tcW w:type="dxa" w:w="157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discarica </w:t>
            </w:r>
          </w:p>
        </w:tc>
      </w:tr>
      <w:tr>
        <w:tblPrEx>
          <w:shd w:val="clear" w:color="auto" w:fill="auto"/>
        </w:tblPrEx>
        <w:trPr>
          <w:trHeight w:val="442" w:hRule="atLeast"/>
        </w:trPr>
        <w:tc>
          <w:tcPr>
            <w:tcW w:type="dxa" w:w="1186"/>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76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191212</w:t>
            </w:r>
          </w:p>
        </w:tc>
        <w:tc>
          <w:tcPr>
            <w:tcW w:type="dxa" w:w="46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RM</w:t>
            </w:r>
          </w:p>
        </w:tc>
        <w:tc>
          <w:tcPr>
            <w:tcW w:type="dxa" w:w="123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Roma</w:t>
            </w:r>
          </w:p>
        </w:tc>
        <w:tc>
          <w:tcPr>
            <w:tcW w:type="dxa" w:w="287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PORCARELLI GINO &amp; CO S.r.l.                                    </w:t>
            </w:r>
          </w:p>
        </w:tc>
        <w:tc>
          <w:tcPr>
            <w:tcW w:type="dxa" w:w="11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29</w:t>
            </w:r>
          </w:p>
        </w:tc>
        <w:tc>
          <w:tcPr>
            <w:tcW w:type="dxa" w:w="157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trattamento</w:t>
            </w:r>
          </w:p>
        </w:tc>
      </w:tr>
      <w:tr>
        <w:tblPrEx>
          <w:shd w:val="clear" w:color="auto" w:fill="auto"/>
        </w:tblPrEx>
        <w:trPr>
          <w:trHeight w:val="662" w:hRule="atLeast"/>
        </w:trPr>
        <w:tc>
          <w:tcPr>
            <w:tcW w:type="dxa" w:w="118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rFonts w:ascii="Times New Roman Bold"/>
                <w:caps w:val="0"/>
                <w:smallCaps w:val="0"/>
                <w:strike w:val="0"/>
                <w:dstrike w:val="0"/>
                <w:outline w:val="0"/>
                <w:color w:val="000000"/>
                <w:spacing w:val="0"/>
                <w:kern w:val="0"/>
                <w:position w:val="0"/>
                <w:sz w:val="20"/>
                <w:szCs w:val="20"/>
                <w:u w:val="none" w:color="000000"/>
                <w:vertAlign w:val="baseline"/>
                <w:rtl w:val="0"/>
                <w:lang w:val="it-IT"/>
              </w:rPr>
              <w:t xml:space="preserve">Co.La.Ri. Rocca Cencia              </w:t>
            </w:r>
          </w:p>
        </w:tc>
        <w:tc>
          <w:tcPr>
            <w:tcW w:type="dxa" w:w="76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191212</w:t>
            </w:r>
          </w:p>
        </w:tc>
        <w:tc>
          <w:tcPr>
            <w:tcW w:type="dxa" w:w="46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RM</w:t>
            </w:r>
          </w:p>
        </w:tc>
        <w:tc>
          <w:tcPr>
            <w:tcW w:type="dxa" w:w="123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Roma</w:t>
            </w:r>
          </w:p>
        </w:tc>
        <w:tc>
          <w:tcPr>
            <w:tcW w:type="dxa" w:w="287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PORCARELLI GINO &amp; CO S.r.l.                                    </w:t>
            </w:r>
          </w:p>
        </w:tc>
        <w:tc>
          <w:tcPr>
            <w:tcW w:type="dxa" w:w="11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37.933</w:t>
            </w:r>
          </w:p>
        </w:tc>
        <w:tc>
          <w:tcPr>
            <w:tcW w:type="dxa" w:w="157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trattamento</w:t>
            </w:r>
          </w:p>
        </w:tc>
      </w:tr>
      <w:tr>
        <w:tblPrEx>
          <w:shd w:val="clear" w:color="auto" w:fill="auto"/>
        </w:tblPrEx>
        <w:trPr>
          <w:trHeight w:val="740" w:hRule="atLeast"/>
        </w:trPr>
        <w:tc>
          <w:tcPr>
            <w:tcW w:type="dxa" w:w="1186"/>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pPr>
            <w:r>
              <w:rPr>
                <w:rFonts w:ascii="Times New Roman Bold"/>
                <w:caps w:val="0"/>
                <w:smallCaps w:val="0"/>
                <w:strike w:val="0"/>
                <w:dstrike w:val="0"/>
                <w:outline w:val="0"/>
                <w:color w:val="000000"/>
                <w:spacing w:val="0"/>
                <w:kern w:val="0"/>
                <w:position w:val="0"/>
                <w:sz w:val="20"/>
                <w:szCs w:val="20"/>
                <w:u w:val="none" w:color="000000"/>
                <w:vertAlign w:val="baseline"/>
                <w:rtl w:val="0"/>
                <w:lang w:val="it-IT"/>
              </w:rPr>
              <w:t xml:space="preserve">AZIENDA MUNICIPALE AMBIENTE S.p.A. VIA DI ROCCA CENCIA - CDR                          </w:t>
            </w:r>
          </w:p>
        </w:tc>
        <w:tc>
          <w:tcPr>
            <w:tcW w:type="dxa" w:w="76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191210</w:t>
            </w:r>
          </w:p>
        </w:tc>
        <w:tc>
          <w:tcPr>
            <w:tcW w:type="dxa" w:w="46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FR</w:t>
            </w:r>
          </w:p>
        </w:tc>
        <w:tc>
          <w:tcPr>
            <w:tcW w:type="dxa" w:w="123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San Vittore del Lazio</w:t>
            </w:r>
          </w:p>
        </w:tc>
        <w:tc>
          <w:tcPr>
            <w:tcW w:type="dxa" w:w="287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A.R.I.A. S.r.l.                                             </w:t>
            </w:r>
          </w:p>
        </w:tc>
        <w:tc>
          <w:tcPr>
            <w:tcW w:type="dxa" w:w="11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24.956</w:t>
            </w:r>
          </w:p>
        </w:tc>
        <w:tc>
          <w:tcPr>
            <w:tcW w:type="dxa" w:w="157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incenerimento</w:t>
            </w:r>
          </w:p>
        </w:tc>
      </w:tr>
      <w:tr>
        <w:tblPrEx>
          <w:shd w:val="clear" w:color="auto" w:fill="auto"/>
        </w:tblPrEx>
        <w:trPr>
          <w:trHeight w:val="442" w:hRule="atLeast"/>
        </w:trPr>
        <w:tc>
          <w:tcPr>
            <w:tcW w:type="dxa" w:w="1186"/>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76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191210</w:t>
            </w:r>
          </w:p>
        </w:tc>
        <w:tc>
          <w:tcPr>
            <w:tcW w:type="dxa" w:w="46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RM</w:t>
            </w:r>
          </w:p>
        </w:tc>
        <w:tc>
          <w:tcPr>
            <w:tcW w:type="dxa" w:w="123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Colleferro</w:t>
            </w:r>
          </w:p>
        </w:tc>
        <w:tc>
          <w:tcPr>
            <w:tcW w:type="dxa" w:w="287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E.P. SISTEMI S.p.A.                                         </w:t>
            </w:r>
          </w:p>
        </w:tc>
        <w:tc>
          <w:tcPr>
            <w:tcW w:type="dxa" w:w="11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6.244</w:t>
            </w:r>
          </w:p>
        </w:tc>
        <w:tc>
          <w:tcPr>
            <w:tcW w:type="dxa" w:w="157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incenerimento</w:t>
            </w:r>
          </w:p>
        </w:tc>
      </w:tr>
      <w:tr>
        <w:tblPrEx>
          <w:shd w:val="clear" w:color="auto" w:fill="auto"/>
        </w:tblPrEx>
        <w:trPr>
          <w:trHeight w:val="662" w:hRule="atLeast"/>
        </w:trPr>
        <w:tc>
          <w:tcPr>
            <w:tcW w:type="dxa" w:w="1186"/>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76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191210</w:t>
            </w:r>
          </w:p>
        </w:tc>
        <w:tc>
          <w:tcPr>
            <w:tcW w:type="dxa" w:w="46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RM</w:t>
            </w:r>
          </w:p>
        </w:tc>
        <w:tc>
          <w:tcPr>
            <w:tcW w:type="dxa" w:w="123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Colleferro</w:t>
            </w:r>
          </w:p>
        </w:tc>
        <w:tc>
          <w:tcPr>
            <w:tcW w:type="dxa" w:w="287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LAZIO AMBIENTE S.p.A. - VIA ROSA RAIMONDI GARIBALDI,7 00145 RM </w:t>
            </w:r>
          </w:p>
        </w:tc>
        <w:tc>
          <w:tcPr>
            <w:tcW w:type="dxa" w:w="11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4.996</w:t>
            </w:r>
          </w:p>
        </w:tc>
        <w:tc>
          <w:tcPr>
            <w:tcW w:type="dxa" w:w="157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incenerimento</w:t>
            </w:r>
          </w:p>
        </w:tc>
      </w:tr>
      <w:tr>
        <w:tblPrEx>
          <w:shd w:val="clear" w:color="auto" w:fill="auto"/>
        </w:tblPrEx>
        <w:trPr>
          <w:trHeight w:val="442" w:hRule="atLeast"/>
        </w:trPr>
        <w:tc>
          <w:tcPr>
            <w:tcW w:type="dxa" w:w="1186"/>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76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190501</w:t>
            </w:r>
          </w:p>
        </w:tc>
        <w:tc>
          <w:tcPr>
            <w:tcW w:type="dxa" w:w="46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FR</w:t>
            </w:r>
          </w:p>
        </w:tc>
        <w:tc>
          <w:tcPr>
            <w:tcW w:type="dxa" w:w="123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Roccasecca</w:t>
            </w:r>
          </w:p>
        </w:tc>
        <w:tc>
          <w:tcPr>
            <w:tcW w:type="dxa" w:w="287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MAD S.r.l.                                                  </w:t>
            </w:r>
          </w:p>
        </w:tc>
        <w:tc>
          <w:tcPr>
            <w:tcW w:type="dxa" w:w="11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14.678</w:t>
            </w:r>
          </w:p>
        </w:tc>
        <w:tc>
          <w:tcPr>
            <w:tcW w:type="dxa" w:w="157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discarica </w:t>
            </w:r>
          </w:p>
        </w:tc>
      </w:tr>
      <w:tr>
        <w:tblPrEx>
          <w:shd w:val="clear" w:color="auto" w:fill="auto"/>
        </w:tblPrEx>
        <w:trPr>
          <w:trHeight w:val="442" w:hRule="atLeast"/>
        </w:trPr>
        <w:tc>
          <w:tcPr>
            <w:tcW w:type="dxa" w:w="1186"/>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76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190503</w:t>
            </w:r>
          </w:p>
        </w:tc>
        <w:tc>
          <w:tcPr>
            <w:tcW w:type="dxa" w:w="46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RM</w:t>
            </w:r>
          </w:p>
        </w:tc>
        <w:tc>
          <w:tcPr>
            <w:tcW w:type="dxa" w:w="123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Colleferro</w:t>
            </w:r>
          </w:p>
        </w:tc>
        <w:tc>
          <w:tcPr>
            <w:tcW w:type="dxa" w:w="287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LAZIO AMBIENTE S.p.A.                                          </w:t>
            </w:r>
          </w:p>
        </w:tc>
        <w:tc>
          <w:tcPr>
            <w:tcW w:type="dxa" w:w="11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6.045</w:t>
            </w:r>
          </w:p>
        </w:tc>
        <w:tc>
          <w:tcPr>
            <w:tcW w:type="dxa" w:w="157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discarica </w:t>
            </w:r>
          </w:p>
        </w:tc>
      </w:tr>
      <w:tr>
        <w:tblPrEx>
          <w:shd w:val="clear" w:color="auto" w:fill="auto"/>
        </w:tblPrEx>
        <w:trPr>
          <w:trHeight w:val="442" w:hRule="atLeast"/>
        </w:trPr>
        <w:tc>
          <w:tcPr>
            <w:tcW w:type="dxa" w:w="1186"/>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pPr>
            <w:r>
              <w:rPr>
                <w:rFonts w:ascii="Times New Roman Bold"/>
                <w:caps w:val="0"/>
                <w:smallCaps w:val="0"/>
                <w:strike w:val="0"/>
                <w:dstrike w:val="0"/>
                <w:outline w:val="0"/>
                <w:color w:val="000000"/>
                <w:spacing w:val="0"/>
                <w:kern w:val="0"/>
                <w:position w:val="0"/>
                <w:sz w:val="20"/>
                <w:szCs w:val="20"/>
                <w:u w:val="none" w:color="000000"/>
                <w:vertAlign w:val="baseline"/>
                <w:rtl w:val="0"/>
                <w:lang w:val="it-IT"/>
              </w:rPr>
              <w:t xml:space="preserve">AZIENDA MUNICIPALE AMBIENTE S.p.A.  VIA SALARIA                        </w:t>
            </w:r>
          </w:p>
        </w:tc>
        <w:tc>
          <w:tcPr>
            <w:tcW w:type="dxa" w:w="76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191210</w:t>
            </w:r>
          </w:p>
        </w:tc>
        <w:tc>
          <w:tcPr>
            <w:tcW w:type="dxa" w:w="46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FR</w:t>
            </w:r>
          </w:p>
        </w:tc>
        <w:tc>
          <w:tcPr>
            <w:tcW w:type="dxa" w:w="123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San Vittore del Lazio</w:t>
            </w:r>
          </w:p>
        </w:tc>
        <w:tc>
          <w:tcPr>
            <w:tcW w:type="dxa" w:w="287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A.R.I.A. S.r.l. VIA GIORDANO BRUNO 7, 05100 TR              </w:t>
            </w:r>
          </w:p>
        </w:tc>
        <w:tc>
          <w:tcPr>
            <w:tcW w:type="dxa" w:w="11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11.276</w:t>
            </w:r>
          </w:p>
        </w:tc>
        <w:tc>
          <w:tcPr>
            <w:tcW w:type="dxa" w:w="157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incenerimento</w:t>
            </w:r>
          </w:p>
        </w:tc>
      </w:tr>
      <w:tr>
        <w:tblPrEx>
          <w:shd w:val="clear" w:color="auto" w:fill="auto"/>
        </w:tblPrEx>
        <w:trPr>
          <w:trHeight w:val="442" w:hRule="atLeast"/>
        </w:trPr>
        <w:tc>
          <w:tcPr>
            <w:tcW w:type="dxa" w:w="1186"/>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76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191210</w:t>
            </w:r>
          </w:p>
        </w:tc>
        <w:tc>
          <w:tcPr>
            <w:tcW w:type="dxa" w:w="46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RM</w:t>
            </w:r>
          </w:p>
        </w:tc>
        <w:tc>
          <w:tcPr>
            <w:tcW w:type="dxa" w:w="123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Colleferro</w:t>
            </w:r>
          </w:p>
        </w:tc>
        <w:tc>
          <w:tcPr>
            <w:tcW w:type="dxa" w:w="287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E.P. SISTEMI S.p.A.                                         </w:t>
            </w:r>
          </w:p>
        </w:tc>
        <w:tc>
          <w:tcPr>
            <w:tcW w:type="dxa" w:w="11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4.531</w:t>
            </w:r>
          </w:p>
        </w:tc>
        <w:tc>
          <w:tcPr>
            <w:tcW w:type="dxa" w:w="157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incenerimento</w:t>
            </w:r>
          </w:p>
        </w:tc>
      </w:tr>
      <w:tr>
        <w:tblPrEx>
          <w:shd w:val="clear" w:color="auto" w:fill="auto"/>
        </w:tblPrEx>
        <w:trPr>
          <w:trHeight w:val="662" w:hRule="atLeast"/>
        </w:trPr>
        <w:tc>
          <w:tcPr>
            <w:tcW w:type="dxa" w:w="1186"/>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76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191210</w:t>
            </w:r>
          </w:p>
        </w:tc>
        <w:tc>
          <w:tcPr>
            <w:tcW w:type="dxa" w:w="46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RM</w:t>
            </w:r>
          </w:p>
        </w:tc>
        <w:tc>
          <w:tcPr>
            <w:tcW w:type="dxa" w:w="123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Colleferro</w:t>
            </w:r>
          </w:p>
        </w:tc>
        <w:tc>
          <w:tcPr>
            <w:tcW w:type="dxa" w:w="287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LAZIO AMBIENTE S.p.A. VIA ROSA RAIMONDI GARIBALDI 7         </w:t>
            </w:r>
          </w:p>
        </w:tc>
        <w:tc>
          <w:tcPr>
            <w:tcW w:type="dxa" w:w="11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2.107</w:t>
            </w:r>
          </w:p>
        </w:tc>
        <w:tc>
          <w:tcPr>
            <w:tcW w:type="dxa" w:w="157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incenerimento</w:t>
            </w:r>
          </w:p>
        </w:tc>
      </w:tr>
      <w:tr>
        <w:tblPrEx>
          <w:shd w:val="clear" w:color="auto" w:fill="auto"/>
        </w:tblPrEx>
        <w:trPr>
          <w:trHeight w:val="442" w:hRule="atLeast"/>
        </w:trPr>
        <w:tc>
          <w:tcPr>
            <w:tcW w:type="dxa" w:w="1186"/>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76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190501</w:t>
            </w:r>
          </w:p>
        </w:tc>
        <w:tc>
          <w:tcPr>
            <w:tcW w:type="dxa" w:w="46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FR</w:t>
            </w:r>
          </w:p>
        </w:tc>
        <w:tc>
          <w:tcPr>
            <w:tcW w:type="dxa" w:w="123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Roccasecca</w:t>
            </w:r>
          </w:p>
        </w:tc>
        <w:tc>
          <w:tcPr>
            <w:tcW w:type="dxa" w:w="287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MAD S.r.l.                                                     </w:t>
            </w:r>
          </w:p>
        </w:tc>
        <w:tc>
          <w:tcPr>
            <w:tcW w:type="dxa" w:w="11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12.671</w:t>
            </w:r>
          </w:p>
        </w:tc>
        <w:tc>
          <w:tcPr>
            <w:tcW w:type="dxa" w:w="157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discarica </w:t>
            </w:r>
          </w:p>
        </w:tc>
      </w:tr>
      <w:tr>
        <w:tblPrEx>
          <w:shd w:val="clear" w:color="auto" w:fill="auto"/>
        </w:tblPrEx>
        <w:trPr>
          <w:trHeight w:val="222" w:hRule="atLeast"/>
        </w:trPr>
        <w:tc>
          <w:tcPr>
            <w:tcW w:type="dxa" w:w="118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rFonts w:ascii="Times New Roman Bold"/>
                <w:caps w:val="0"/>
                <w:smallCaps w:val="0"/>
                <w:strike w:val="0"/>
                <w:dstrike w:val="0"/>
                <w:outline w:val="0"/>
                <w:color w:val="000000"/>
                <w:spacing w:val="0"/>
                <w:kern w:val="0"/>
                <w:position w:val="0"/>
                <w:sz w:val="20"/>
                <w:szCs w:val="20"/>
                <w:u w:val="none" w:color="000000"/>
                <w:vertAlign w:val="baseline"/>
                <w:rtl w:val="0"/>
                <w:lang w:val="it-IT"/>
              </w:rPr>
              <w:t>TOTALE</w:t>
            </w:r>
          </w:p>
        </w:tc>
        <w:tc>
          <w:tcPr>
            <w:tcW w:type="dxa" w:w="76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rFonts w:hAnsi="Times New Roman Bold" w:hint="default"/>
                <w:caps w:val="0"/>
                <w:smallCaps w:val="0"/>
                <w:strike w:val="0"/>
                <w:dstrike w:val="0"/>
                <w:outline w:val="0"/>
                <w:color w:val="000000"/>
                <w:spacing w:val="0"/>
                <w:kern w:val="0"/>
                <w:position w:val="0"/>
                <w:sz w:val="20"/>
                <w:szCs w:val="20"/>
                <w:u w:val="none" w:color="000000"/>
                <w:vertAlign w:val="baseline"/>
                <w:rtl w:val="0"/>
                <w:lang w:val="it-IT"/>
              </w:rPr>
              <w:t> </w:t>
            </w:r>
          </w:p>
        </w:tc>
        <w:tc>
          <w:tcPr>
            <w:tcW w:type="dxa" w:w="46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rFonts w:hAnsi="Times New Roman Bold" w:hint="default"/>
                <w:caps w:val="0"/>
                <w:smallCaps w:val="0"/>
                <w:strike w:val="0"/>
                <w:dstrike w:val="0"/>
                <w:outline w:val="0"/>
                <w:color w:val="000000"/>
                <w:spacing w:val="0"/>
                <w:kern w:val="0"/>
                <w:position w:val="0"/>
                <w:sz w:val="20"/>
                <w:szCs w:val="20"/>
                <w:u w:val="none" w:color="000000"/>
                <w:vertAlign w:val="baseline"/>
                <w:rtl w:val="0"/>
                <w:lang w:val="it-IT"/>
              </w:rPr>
              <w:t> </w:t>
            </w:r>
          </w:p>
        </w:tc>
        <w:tc>
          <w:tcPr>
            <w:tcW w:type="dxa" w:w="123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rFonts w:hAnsi="Times New Roman Bold" w:hint="default"/>
                <w:caps w:val="0"/>
                <w:smallCaps w:val="0"/>
                <w:strike w:val="0"/>
                <w:dstrike w:val="0"/>
                <w:outline w:val="0"/>
                <w:color w:val="000000"/>
                <w:spacing w:val="0"/>
                <w:kern w:val="0"/>
                <w:position w:val="0"/>
                <w:sz w:val="20"/>
                <w:szCs w:val="20"/>
                <w:u w:val="none" w:color="000000"/>
                <w:vertAlign w:val="baseline"/>
                <w:rtl w:val="0"/>
                <w:lang w:val="it-IT"/>
              </w:rPr>
              <w:t> </w:t>
            </w:r>
          </w:p>
        </w:tc>
        <w:tc>
          <w:tcPr>
            <w:tcW w:type="dxa" w:w="287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rFonts w:hAnsi="Times New Roman Bold" w:hint="default"/>
                <w:caps w:val="0"/>
                <w:smallCaps w:val="0"/>
                <w:strike w:val="0"/>
                <w:dstrike w:val="0"/>
                <w:outline w:val="0"/>
                <w:color w:val="000000"/>
                <w:spacing w:val="0"/>
                <w:kern w:val="0"/>
                <w:position w:val="0"/>
                <w:sz w:val="20"/>
                <w:szCs w:val="20"/>
                <w:u w:val="none" w:color="000000"/>
                <w:vertAlign w:val="baseline"/>
                <w:rtl w:val="0"/>
                <w:lang w:val="it-IT"/>
              </w:rPr>
              <w:t> </w:t>
            </w:r>
          </w:p>
        </w:tc>
        <w:tc>
          <w:tcPr>
            <w:tcW w:type="dxa" w:w="11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right"/>
            </w:pPr>
            <w:r>
              <w:rPr>
                <w:rFonts w:ascii="Times New Roman Bold"/>
                <w:caps w:val="0"/>
                <w:smallCaps w:val="0"/>
                <w:strike w:val="0"/>
                <w:dstrike w:val="0"/>
                <w:outline w:val="0"/>
                <w:color w:val="000000"/>
                <w:spacing w:val="0"/>
                <w:kern w:val="0"/>
                <w:position w:val="0"/>
                <w:sz w:val="20"/>
                <w:szCs w:val="20"/>
                <w:u w:val="none" w:color="000000"/>
                <w:vertAlign w:val="baseline"/>
                <w:rtl w:val="0"/>
                <w:lang w:val="it-IT"/>
              </w:rPr>
              <w:t>181.808</w:t>
            </w:r>
          </w:p>
        </w:tc>
        <w:tc>
          <w:tcPr>
            <w:tcW w:type="dxa" w:w="157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rFonts w:hAnsi="Times New Roman Bold" w:hint="default"/>
                <w:caps w:val="0"/>
                <w:smallCaps w:val="0"/>
                <w:strike w:val="0"/>
                <w:dstrike w:val="0"/>
                <w:outline w:val="0"/>
                <w:color w:val="000000"/>
                <w:spacing w:val="0"/>
                <w:kern w:val="0"/>
                <w:position w:val="0"/>
                <w:sz w:val="20"/>
                <w:szCs w:val="20"/>
                <w:u w:val="none" w:color="000000"/>
                <w:vertAlign w:val="baseline"/>
                <w:rtl w:val="0"/>
                <w:lang w:val="it-IT"/>
              </w:rPr>
              <w:t> </w:t>
            </w:r>
          </w:p>
        </w:tc>
      </w:tr>
    </w:tbl>
    <w:p>
      <w:pPr>
        <w:pStyle w:val="Normal"/>
        <w:jc w:val="center"/>
        <w:rPr>
          <w:rFonts w:ascii="Book Antiqua Bold" w:cs="Book Antiqua Bold" w:hAnsi="Book Antiqua Bold" w:eastAsia="Book Antiqua Bold"/>
          <w:b w:val="1"/>
          <w:bCs w:val="1"/>
          <w:color w:val="000000"/>
          <w:sz w:val="22"/>
          <w:szCs w:val="22"/>
          <w:u w:color="000000"/>
        </w:rPr>
      </w:pPr>
    </w:p>
    <w:p>
      <w:pPr>
        <w:pStyle w:val="Normal"/>
        <w:jc w:val="both"/>
        <w:rPr>
          <w:i w:val="1"/>
          <w:iCs w:val="1"/>
          <w:color w:val="000000"/>
          <w:sz w:val="20"/>
          <w:szCs w:val="20"/>
          <w:u w:color="000000"/>
        </w:rPr>
      </w:pPr>
      <w:r>
        <w:rPr>
          <w:i w:val="1"/>
          <w:iCs w:val="1"/>
          <w:color w:val="000000"/>
          <w:sz w:val="20"/>
          <w:szCs w:val="20"/>
          <w:u w:color="000000"/>
          <w:rtl w:val="0"/>
          <w:lang w:val="it-IT"/>
        </w:rPr>
        <w:t xml:space="preserve">Fonte: ISPRA </w:t>
      </w:r>
    </w:p>
    <w:p>
      <w:pPr>
        <w:pStyle w:val="Normal"/>
        <w:jc w:val="both"/>
        <w:rPr>
          <w:rFonts w:ascii="Times New Roman Bold" w:cs="Times New Roman Bold" w:hAnsi="Times New Roman Bold" w:eastAsia="Times New Roman Bold"/>
          <w:color w:val="000000"/>
          <w:sz w:val="22"/>
          <w:szCs w:val="22"/>
          <w:u w:color="000000"/>
        </w:rPr>
      </w:pPr>
    </w:p>
    <w:p>
      <w:pPr>
        <w:pStyle w:val="Normal"/>
        <w:jc w:val="both"/>
        <w:rPr>
          <w:rFonts w:ascii="Times New Roman Bold" w:cs="Times New Roman Bold" w:hAnsi="Times New Roman Bold" w:eastAsia="Times New Roman Bold"/>
          <w:color w:val="000000"/>
          <w:sz w:val="22"/>
          <w:szCs w:val="22"/>
          <w:u w:color="000000"/>
        </w:rPr>
      </w:pPr>
    </w:p>
    <w:p>
      <w:pPr>
        <w:pStyle w:val="Normal"/>
        <w:jc w:val="both"/>
        <w:rPr>
          <w:rFonts w:ascii="Book Antiqua Bold" w:cs="Book Antiqua Bold" w:hAnsi="Book Antiqua Bold" w:eastAsia="Book Antiqua Bold"/>
          <w:b w:val="1"/>
          <w:bCs w:val="1"/>
          <w:color w:val="000000"/>
          <w:sz w:val="20"/>
          <w:szCs w:val="20"/>
          <w:u w:color="000000"/>
        </w:rPr>
      </w:pPr>
      <w:r>
        <w:rPr>
          <w:rFonts w:ascii="Book Antiqua Bold"/>
          <w:b w:val="1"/>
          <w:bCs w:val="1"/>
          <w:color w:val="000000"/>
          <w:sz w:val="20"/>
          <w:szCs w:val="20"/>
          <w:u w:color="000000"/>
          <w:rtl w:val="0"/>
          <w:lang w:val="it-IT"/>
        </w:rPr>
        <w:t xml:space="preserve">Tabella 7 -  Rifiuti destinati dagli impianti di TMB di Roma a impianti localizzati fuori Regione, anno 2015 </w:t>
      </w:r>
    </w:p>
    <w:p>
      <w:pPr>
        <w:pStyle w:val="Normal"/>
        <w:jc w:val="both"/>
        <w:rPr>
          <w:rFonts w:ascii="Times New Roman Bold" w:cs="Times New Roman Bold" w:hAnsi="Times New Roman Bold" w:eastAsia="Times New Roman Bold"/>
          <w:color w:val="000000"/>
          <w:sz w:val="22"/>
          <w:szCs w:val="22"/>
          <w:u w:color="000000"/>
        </w:rPr>
      </w:pPr>
    </w:p>
    <w:tbl>
      <w:tblPr>
        <w:tblW w:w="9492" w:type="dxa"/>
        <w:jc w:val="center"/>
        <w:tblInd w:w="108" w:type="dxa"/>
        <w:tblBorders>
          <w:top w:val="single" w:color="000000" w:sz="2" w:space="0" w:shadow="0" w:frame="0"/>
          <w:left w:val="single" w:color="000000" w:sz="2" w:space="0" w:shadow="0" w:frame="0"/>
          <w:bottom w:val="single" w:color="000000" w:sz="2" w:space="0" w:shadow="0" w:frame="0"/>
          <w:right w:val="single" w:color="000000" w:sz="2" w:space="0" w:shadow="0" w:frame="0"/>
          <w:insideH w:val="single" w:color="000000" w:sz="2" w:space="0" w:shadow="0" w:frame="0"/>
          <w:insideV w:val="single" w:color="000000" w:sz="2" w:space="0" w:shadow="0" w:frame="0"/>
        </w:tblBorders>
        <w:shd w:val="clear" w:color="auto" w:fill="auto"/>
        <w:tblLayout w:type="fixed"/>
      </w:tblPr>
      <w:tblGrid>
        <w:gridCol w:w="1227"/>
        <w:gridCol w:w="826"/>
        <w:gridCol w:w="550"/>
        <w:gridCol w:w="1065"/>
        <w:gridCol w:w="3313"/>
        <w:gridCol w:w="978"/>
        <w:gridCol w:w="1533"/>
      </w:tblGrid>
      <w:tr>
        <w:tblPrEx>
          <w:shd w:val="clear" w:color="auto" w:fill="bdc0bf"/>
        </w:tblPrEx>
        <w:trPr>
          <w:trHeight w:val="440" w:hRule="atLeast"/>
          <w:tblHeader/>
        </w:trPr>
        <w:tc>
          <w:tcPr>
            <w:tcW w:type="dxa" w:w="1227"/>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5a5a5"/>
            <w:tcMar>
              <w:top w:type="dxa" w:w="80"/>
              <w:left w:type="dxa" w:w="80"/>
              <w:bottom w:type="dxa" w:w="80"/>
              <w:right w:type="dxa" w:w="80"/>
            </w:tcMar>
            <w:vAlign w:val="bottom"/>
          </w:tcPr>
          <w:p>
            <w:pPr>
              <w:pStyle w:val="Normal"/>
              <w:jc w:val="center"/>
            </w:pPr>
            <w:r>
              <w:rPr>
                <w:rFonts w:ascii="Times New Roman Bold"/>
                <w:caps w:val="0"/>
                <w:smallCaps w:val="0"/>
                <w:strike w:val="0"/>
                <w:dstrike w:val="0"/>
                <w:outline w:val="0"/>
                <w:color w:val="000000"/>
                <w:spacing w:val="0"/>
                <w:kern w:val="0"/>
                <w:position w:val="0"/>
                <w:sz w:val="20"/>
                <w:szCs w:val="20"/>
                <w:u w:val="none" w:color="000000"/>
                <w:vertAlign w:val="baseline"/>
                <w:rtl w:val="0"/>
                <w:lang w:val="it-IT"/>
              </w:rPr>
              <w:t>impianto di TMB</w:t>
            </w:r>
          </w:p>
        </w:tc>
        <w:tc>
          <w:tcPr>
            <w:tcW w:type="dxa" w:w="8264"/>
            <w:gridSpan w:val="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5a5a5"/>
            <w:tcMar>
              <w:top w:type="dxa" w:w="80"/>
              <w:left w:type="dxa" w:w="80"/>
              <w:bottom w:type="dxa" w:w="80"/>
              <w:right w:type="dxa" w:w="80"/>
            </w:tcMar>
            <w:vAlign w:val="bottom"/>
          </w:tcPr>
          <w:p>
            <w:pPr>
              <w:pStyle w:val="Normal"/>
              <w:jc w:val="center"/>
            </w:pPr>
            <w:r>
              <w:rPr>
                <w:rFonts w:ascii="Times New Roman Bold"/>
                <w:caps w:val="0"/>
                <w:smallCaps w:val="0"/>
                <w:strike w:val="0"/>
                <w:dstrike w:val="0"/>
                <w:outline w:val="0"/>
                <w:color w:val="000000"/>
                <w:spacing w:val="0"/>
                <w:kern w:val="0"/>
                <w:position w:val="0"/>
                <w:sz w:val="20"/>
                <w:szCs w:val="20"/>
                <w:u w:val="none" w:color="000000"/>
                <w:vertAlign w:val="baseline"/>
                <w:rtl w:val="0"/>
                <w:lang w:val="it-IT"/>
              </w:rPr>
              <w:t>destinazione</w:t>
            </w:r>
          </w:p>
        </w:tc>
      </w:tr>
      <w:tr>
        <w:tblPrEx>
          <w:shd w:val="clear" w:color="auto" w:fill="bdc0bf"/>
        </w:tblPrEx>
        <w:trPr>
          <w:trHeight w:val="662" w:hRule="atLeast"/>
          <w:tblHeader/>
        </w:trPr>
        <w:tc>
          <w:tcPr>
            <w:tcW w:type="dxa" w:w="122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5a5a5"/>
          </w:tcPr>
          <w:p/>
        </w:tc>
        <w:tc>
          <w:tcPr>
            <w:tcW w:type="dxa" w:w="8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5a5a5"/>
            <w:tcMar>
              <w:top w:type="dxa" w:w="80"/>
              <w:left w:type="dxa" w:w="80"/>
              <w:bottom w:type="dxa" w:w="80"/>
              <w:right w:type="dxa" w:w="80"/>
            </w:tcMar>
            <w:vAlign w:val="bottom"/>
          </w:tcPr>
          <w:p>
            <w:pPr>
              <w:pStyle w:val="Normal"/>
              <w:rPr>
                <w:rFonts w:ascii="Times New Roman Bold" w:cs="Times New Roman Bold" w:hAnsi="Times New Roman Bold" w:eastAsia="Times New Roman Bold"/>
                <w:caps w:val="0"/>
                <w:smallCaps w:val="0"/>
                <w:strike w:val="0"/>
                <w:dstrike w:val="0"/>
                <w:outline w:val="0"/>
                <w:color w:val="000000"/>
                <w:spacing w:val="0"/>
                <w:kern w:val="0"/>
                <w:position w:val="0"/>
                <w:sz w:val="20"/>
                <w:szCs w:val="20"/>
                <w:u w:val="none" w:color="000000"/>
                <w:vertAlign w:val="baseline"/>
                <w:rtl w:val="0"/>
                <w:lang w:val="it-IT"/>
              </w:rPr>
            </w:pPr>
            <w:r>
              <w:rPr>
                <w:rFonts w:ascii="Times New Roman Bold"/>
                <w:caps w:val="0"/>
                <w:smallCaps w:val="0"/>
                <w:strike w:val="0"/>
                <w:dstrike w:val="0"/>
                <w:outline w:val="0"/>
                <w:color w:val="000000"/>
                <w:spacing w:val="0"/>
                <w:kern w:val="0"/>
                <w:position w:val="0"/>
                <w:sz w:val="20"/>
                <w:szCs w:val="20"/>
                <w:u w:val="none" w:color="000000"/>
                <w:vertAlign w:val="baseline"/>
                <w:rtl w:val="0"/>
                <w:lang w:val="it-IT"/>
              </w:rPr>
              <w:t>Tip.</w:t>
            </w:r>
          </w:p>
          <w:p>
            <w:pPr>
              <w:pStyle w:val="Normal"/>
            </w:pPr>
            <w:r>
              <w:rPr>
                <w:rFonts w:ascii="Times New Roman Bold"/>
                <w:caps w:val="0"/>
                <w:smallCaps w:val="0"/>
                <w:strike w:val="0"/>
                <w:dstrike w:val="0"/>
                <w:outline w:val="0"/>
                <w:color w:val="000000"/>
                <w:spacing w:val="0"/>
                <w:kern w:val="0"/>
                <w:position w:val="0"/>
                <w:sz w:val="20"/>
                <w:szCs w:val="20"/>
                <w:u w:val="none" w:color="000000"/>
                <w:vertAlign w:val="baseline"/>
                <w:rtl w:val="0"/>
                <w:lang w:val="it-IT"/>
              </w:rPr>
              <w:t>rifiuti</w:t>
            </w:r>
          </w:p>
        </w:tc>
        <w:tc>
          <w:tcPr>
            <w:tcW w:type="dxa" w:w="5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5a5a5"/>
            <w:tcMar>
              <w:top w:type="dxa" w:w="80"/>
              <w:left w:type="dxa" w:w="80"/>
              <w:bottom w:type="dxa" w:w="80"/>
              <w:right w:type="dxa" w:w="80"/>
            </w:tcMar>
            <w:vAlign w:val="bottom"/>
          </w:tcPr>
          <w:p>
            <w:pPr>
              <w:pStyle w:val="Normal"/>
            </w:pPr>
            <w:r>
              <w:rPr>
                <w:rFonts w:ascii="Times New Roman Bold"/>
                <w:caps w:val="0"/>
                <w:smallCaps w:val="0"/>
                <w:strike w:val="0"/>
                <w:dstrike w:val="0"/>
                <w:outline w:val="0"/>
                <w:color w:val="000000"/>
                <w:spacing w:val="0"/>
                <w:kern w:val="0"/>
                <w:position w:val="0"/>
                <w:sz w:val="20"/>
                <w:szCs w:val="20"/>
                <w:u w:val="none" w:color="000000"/>
                <w:vertAlign w:val="baseline"/>
                <w:rtl w:val="0"/>
                <w:lang w:val="it-IT"/>
              </w:rPr>
              <w:t>Provincia</w:t>
            </w:r>
          </w:p>
        </w:tc>
        <w:tc>
          <w:tcPr>
            <w:tcW w:type="dxa" w:w="10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5a5a5"/>
            <w:tcMar>
              <w:top w:type="dxa" w:w="80"/>
              <w:left w:type="dxa" w:w="80"/>
              <w:bottom w:type="dxa" w:w="80"/>
              <w:right w:type="dxa" w:w="80"/>
            </w:tcMar>
            <w:vAlign w:val="bottom"/>
          </w:tcPr>
          <w:p>
            <w:pPr>
              <w:pStyle w:val="Normal"/>
            </w:pPr>
            <w:r>
              <w:rPr>
                <w:rFonts w:ascii="Times New Roman Bold"/>
                <w:caps w:val="0"/>
                <w:smallCaps w:val="0"/>
                <w:strike w:val="0"/>
                <w:dstrike w:val="0"/>
                <w:outline w:val="0"/>
                <w:color w:val="000000"/>
                <w:spacing w:val="0"/>
                <w:kern w:val="0"/>
                <w:position w:val="0"/>
                <w:sz w:val="20"/>
                <w:szCs w:val="20"/>
                <w:u w:val="none" w:color="000000"/>
                <w:vertAlign w:val="baseline"/>
                <w:rtl w:val="0"/>
                <w:lang w:val="it-IT"/>
              </w:rPr>
              <w:t>Comune</w:t>
            </w:r>
          </w:p>
        </w:tc>
        <w:tc>
          <w:tcPr>
            <w:tcW w:type="dxa" w:w="33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5a5a5"/>
            <w:tcMar>
              <w:top w:type="dxa" w:w="80"/>
              <w:left w:type="dxa" w:w="80"/>
              <w:bottom w:type="dxa" w:w="80"/>
              <w:right w:type="dxa" w:w="80"/>
            </w:tcMar>
            <w:vAlign w:val="bottom"/>
          </w:tcPr>
          <w:p>
            <w:pPr>
              <w:pStyle w:val="Normal"/>
            </w:pPr>
            <w:r>
              <w:rPr>
                <w:rFonts w:ascii="Times New Roman Bold"/>
                <w:caps w:val="0"/>
                <w:smallCaps w:val="0"/>
                <w:strike w:val="0"/>
                <w:dstrike w:val="0"/>
                <w:outline w:val="0"/>
                <w:color w:val="000000"/>
                <w:spacing w:val="0"/>
                <w:kern w:val="0"/>
                <w:position w:val="0"/>
                <w:sz w:val="20"/>
                <w:szCs w:val="20"/>
                <w:u w:val="none" w:color="000000"/>
                <w:vertAlign w:val="baseline"/>
                <w:rtl w:val="0"/>
                <w:lang w:val="it-IT"/>
              </w:rPr>
              <w:t xml:space="preserve">Ragione sociale </w:t>
            </w:r>
          </w:p>
        </w:tc>
        <w:tc>
          <w:tcPr>
            <w:tcW w:type="dxa" w:w="9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5a5a5"/>
            <w:tcMar>
              <w:top w:type="dxa" w:w="80"/>
              <w:left w:type="dxa" w:w="80"/>
              <w:bottom w:type="dxa" w:w="80"/>
              <w:right w:type="dxa" w:w="80"/>
            </w:tcMar>
            <w:vAlign w:val="bottom"/>
          </w:tcPr>
          <w:p>
            <w:pPr>
              <w:pStyle w:val="Normal"/>
              <w:jc w:val="center"/>
            </w:pPr>
            <w:r>
              <w:rPr>
                <w:rFonts w:ascii="Times New Roman Bold"/>
                <w:caps w:val="0"/>
                <w:smallCaps w:val="0"/>
                <w:strike w:val="0"/>
                <w:dstrike w:val="0"/>
                <w:outline w:val="0"/>
                <w:color w:val="000000"/>
                <w:spacing w:val="0"/>
                <w:kern w:val="0"/>
                <w:position w:val="0"/>
                <w:sz w:val="20"/>
                <w:szCs w:val="20"/>
                <w:u w:val="none" w:color="000000"/>
                <w:vertAlign w:val="baseline"/>
                <w:rtl w:val="0"/>
                <w:lang w:val="it-IT"/>
              </w:rPr>
              <w:t>Quantit</w:t>
            </w:r>
            <w:r>
              <w:rPr>
                <w:rFonts w:hAnsi="Times New Roman Bold" w:hint="default"/>
                <w:caps w:val="0"/>
                <w:smallCaps w:val="0"/>
                <w:strike w:val="0"/>
                <w:dstrike w:val="0"/>
                <w:outline w:val="0"/>
                <w:color w:val="000000"/>
                <w:spacing w:val="0"/>
                <w:kern w:val="0"/>
                <w:position w:val="0"/>
                <w:sz w:val="20"/>
                <w:szCs w:val="20"/>
                <w:u w:val="none" w:color="000000"/>
                <w:vertAlign w:val="baseline"/>
                <w:rtl w:val="0"/>
                <w:lang w:val="it-IT"/>
              </w:rPr>
              <w:t xml:space="preserve">à </w:t>
            </w:r>
            <w:r>
              <w:rPr>
                <w:rFonts w:ascii="Times New Roman Bold"/>
                <w:caps w:val="0"/>
                <w:smallCaps w:val="0"/>
                <w:strike w:val="0"/>
                <w:dstrike w:val="0"/>
                <w:outline w:val="0"/>
                <w:color w:val="000000"/>
                <w:spacing w:val="0"/>
                <w:kern w:val="0"/>
                <w:position w:val="0"/>
                <w:sz w:val="20"/>
                <w:szCs w:val="20"/>
                <w:u w:val="none" w:color="000000"/>
                <w:vertAlign w:val="baseline"/>
                <w:rtl w:val="0"/>
                <w:lang w:val="it-IT"/>
              </w:rPr>
              <w:t>(t)</w:t>
            </w:r>
          </w:p>
        </w:tc>
        <w:tc>
          <w:tcPr>
            <w:tcW w:type="dxa" w:w="15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5a5a5"/>
            <w:tcMar>
              <w:top w:type="dxa" w:w="80"/>
              <w:left w:type="dxa" w:w="80"/>
              <w:bottom w:type="dxa" w:w="80"/>
              <w:right w:type="dxa" w:w="80"/>
            </w:tcMar>
            <w:vAlign w:val="bottom"/>
          </w:tcPr>
          <w:p>
            <w:pPr>
              <w:pStyle w:val="Normal"/>
            </w:pPr>
            <w:r>
              <w:rPr>
                <w:rFonts w:ascii="Times New Roman Bold"/>
                <w:caps w:val="0"/>
                <w:smallCaps w:val="0"/>
                <w:strike w:val="0"/>
                <w:dstrike w:val="0"/>
                <w:outline w:val="0"/>
                <w:color w:val="000000"/>
                <w:spacing w:val="0"/>
                <w:kern w:val="0"/>
                <w:position w:val="0"/>
                <w:sz w:val="20"/>
                <w:szCs w:val="20"/>
                <w:u w:val="none" w:color="000000"/>
                <w:vertAlign w:val="baseline"/>
                <w:rtl w:val="0"/>
                <w:lang w:val="it-IT"/>
              </w:rPr>
              <w:t>tipologia impianto</w:t>
            </w:r>
          </w:p>
        </w:tc>
      </w:tr>
      <w:tr>
        <w:tblPrEx>
          <w:shd w:val="clear" w:color="auto" w:fill="auto"/>
        </w:tblPrEx>
        <w:trPr>
          <w:trHeight w:val="442" w:hRule="atLeast"/>
        </w:trPr>
        <w:tc>
          <w:tcPr>
            <w:tcW w:type="dxa" w:w="1227"/>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pPr>
            <w:r>
              <w:rPr>
                <w:rFonts w:ascii="Times New Roman Bold"/>
                <w:caps w:val="0"/>
                <w:smallCaps w:val="0"/>
                <w:strike w:val="0"/>
                <w:dstrike w:val="0"/>
                <w:outline w:val="0"/>
                <w:color w:val="000000"/>
                <w:spacing w:val="0"/>
                <w:kern w:val="0"/>
                <w:position w:val="0"/>
                <w:sz w:val="20"/>
                <w:szCs w:val="20"/>
                <w:u w:val="none" w:color="000000"/>
                <w:vertAlign w:val="baseline"/>
                <w:rtl w:val="0"/>
                <w:lang w:val="it-IT"/>
              </w:rPr>
              <w:t xml:space="preserve">E. Giovi S.r.l. - IMP. TMB M1                                  </w:t>
            </w:r>
          </w:p>
        </w:tc>
        <w:tc>
          <w:tcPr>
            <w:tcW w:type="dxa" w:w="8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190503</w:t>
            </w:r>
          </w:p>
        </w:tc>
        <w:tc>
          <w:tcPr>
            <w:tcW w:type="dxa" w:w="5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BS</w:t>
            </w:r>
          </w:p>
        </w:tc>
        <w:tc>
          <w:tcPr>
            <w:tcW w:type="dxa" w:w="10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Montichiari</w:t>
            </w:r>
          </w:p>
        </w:tc>
        <w:tc>
          <w:tcPr>
            <w:tcW w:type="dxa" w:w="33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GEDIT S.p.A.                                                   </w:t>
            </w:r>
          </w:p>
        </w:tc>
        <w:tc>
          <w:tcPr>
            <w:tcW w:type="dxa" w:w="9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62</w:t>
            </w:r>
          </w:p>
        </w:tc>
        <w:tc>
          <w:tcPr>
            <w:tcW w:type="dxa" w:w="15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discarica</w:t>
            </w:r>
          </w:p>
        </w:tc>
      </w:tr>
      <w:tr>
        <w:tblPrEx>
          <w:shd w:val="clear" w:color="auto" w:fill="auto"/>
        </w:tblPrEx>
        <w:trPr>
          <w:trHeight w:val="662" w:hRule="atLeast"/>
        </w:trPr>
        <w:tc>
          <w:tcPr>
            <w:tcW w:type="dxa" w:w="122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8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190503</w:t>
            </w:r>
          </w:p>
        </w:tc>
        <w:tc>
          <w:tcPr>
            <w:tcW w:type="dxa" w:w="5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FC</w:t>
            </w:r>
          </w:p>
        </w:tc>
        <w:tc>
          <w:tcPr>
            <w:tcW w:type="dxa" w:w="10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Sogliano al Rubicone</w:t>
            </w:r>
          </w:p>
        </w:tc>
        <w:tc>
          <w:tcPr>
            <w:tcW w:type="dxa" w:w="33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SOGLIANO AMBIENTE S.p.A. DISCARICA "GINESTRETO 2"           </w:t>
            </w:r>
          </w:p>
        </w:tc>
        <w:tc>
          <w:tcPr>
            <w:tcW w:type="dxa" w:w="9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18.643</w:t>
            </w:r>
          </w:p>
        </w:tc>
        <w:tc>
          <w:tcPr>
            <w:tcW w:type="dxa" w:w="15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discarica</w:t>
            </w:r>
          </w:p>
        </w:tc>
      </w:tr>
      <w:tr>
        <w:tblPrEx>
          <w:shd w:val="clear" w:color="auto" w:fill="auto"/>
        </w:tblPrEx>
        <w:trPr>
          <w:trHeight w:val="250" w:hRule="atLeast"/>
        </w:trPr>
        <w:tc>
          <w:tcPr>
            <w:tcW w:type="dxa" w:w="122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8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190503</w:t>
            </w:r>
          </w:p>
        </w:tc>
        <w:tc>
          <w:tcPr>
            <w:tcW w:type="dxa" w:w="5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RA</w:t>
            </w:r>
          </w:p>
        </w:tc>
        <w:tc>
          <w:tcPr>
            <w:tcW w:type="dxa" w:w="10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Ravenna</w:t>
            </w:r>
          </w:p>
        </w:tc>
        <w:tc>
          <w:tcPr>
            <w:tcW w:type="dxa" w:w="33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HERAMBIENTE S.p.A.                                             </w:t>
            </w:r>
          </w:p>
        </w:tc>
        <w:tc>
          <w:tcPr>
            <w:tcW w:type="dxa" w:w="9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91</w:t>
            </w:r>
          </w:p>
        </w:tc>
        <w:tc>
          <w:tcPr>
            <w:tcW w:type="dxa" w:w="15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discarica</w:t>
            </w:r>
          </w:p>
        </w:tc>
      </w:tr>
      <w:tr>
        <w:tblPrEx>
          <w:shd w:val="clear" w:color="auto" w:fill="auto"/>
        </w:tblPrEx>
        <w:trPr>
          <w:trHeight w:val="442" w:hRule="atLeast"/>
        </w:trPr>
        <w:tc>
          <w:tcPr>
            <w:tcW w:type="dxa" w:w="122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8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190503</w:t>
            </w:r>
          </w:p>
        </w:tc>
        <w:tc>
          <w:tcPr>
            <w:tcW w:type="dxa" w:w="5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LI</w:t>
            </w:r>
          </w:p>
        </w:tc>
        <w:tc>
          <w:tcPr>
            <w:tcW w:type="dxa" w:w="10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Rosignano Marittimo</w:t>
            </w:r>
          </w:p>
        </w:tc>
        <w:tc>
          <w:tcPr>
            <w:tcW w:type="dxa" w:w="33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ROSIGNANO ENERGIA AMBIENTE S.p.A. - REA S.p.A.                    </w:t>
            </w:r>
          </w:p>
        </w:tc>
        <w:tc>
          <w:tcPr>
            <w:tcW w:type="dxa" w:w="9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13.270</w:t>
            </w:r>
          </w:p>
        </w:tc>
        <w:tc>
          <w:tcPr>
            <w:tcW w:type="dxa" w:w="15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discarica</w:t>
            </w:r>
          </w:p>
        </w:tc>
      </w:tr>
      <w:tr>
        <w:tblPrEx>
          <w:shd w:val="clear" w:color="auto" w:fill="auto"/>
        </w:tblPrEx>
        <w:trPr>
          <w:trHeight w:val="250" w:hRule="atLeast"/>
        </w:trPr>
        <w:tc>
          <w:tcPr>
            <w:tcW w:type="dxa" w:w="122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8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190503</w:t>
            </w:r>
          </w:p>
        </w:tc>
        <w:tc>
          <w:tcPr>
            <w:tcW w:type="dxa" w:w="5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PI</w:t>
            </w:r>
          </w:p>
        </w:tc>
        <w:tc>
          <w:tcPr>
            <w:tcW w:type="dxa" w:w="10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Peccioli</w:t>
            </w:r>
          </w:p>
        </w:tc>
        <w:tc>
          <w:tcPr>
            <w:tcW w:type="dxa" w:w="33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BELVEDERE S.p.A.                               </w:t>
            </w:r>
          </w:p>
        </w:tc>
        <w:tc>
          <w:tcPr>
            <w:tcW w:type="dxa" w:w="9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13.407</w:t>
            </w:r>
          </w:p>
        </w:tc>
        <w:tc>
          <w:tcPr>
            <w:tcW w:type="dxa" w:w="15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TMB/discarica*</w:t>
            </w:r>
          </w:p>
        </w:tc>
      </w:tr>
      <w:tr>
        <w:tblPrEx>
          <w:shd w:val="clear" w:color="auto" w:fill="auto"/>
        </w:tblPrEx>
        <w:trPr>
          <w:trHeight w:val="250" w:hRule="atLeast"/>
        </w:trPr>
        <w:tc>
          <w:tcPr>
            <w:tcW w:type="dxa" w:w="122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8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190503</w:t>
            </w:r>
          </w:p>
        </w:tc>
        <w:tc>
          <w:tcPr>
            <w:tcW w:type="dxa" w:w="5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FM</w:t>
            </w:r>
          </w:p>
        </w:tc>
        <w:tc>
          <w:tcPr>
            <w:tcW w:type="dxa" w:w="10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Fermo</w:t>
            </w:r>
          </w:p>
        </w:tc>
        <w:tc>
          <w:tcPr>
            <w:tcW w:type="dxa" w:w="33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FERMO A.S.I.T.E. SURL                                   </w:t>
            </w:r>
          </w:p>
        </w:tc>
        <w:tc>
          <w:tcPr>
            <w:tcW w:type="dxa" w:w="9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1.708</w:t>
            </w:r>
          </w:p>
        </w:tc>
        <w:tc>
          <w:tcPr>
            <w:tcW w:type="dxa" w:w="15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discarica</w:t>
            </w:r>
          </w:p>
        </w:tc>
      </w:tr>
      <w:tr>
        <w:tblPrEx>
          <w:shd w:val="clear" w:color="auto" w:fill="auto"/>
        </w:tblPrEx>
        <w:trPr>
          <w:trHeight w:val="442" w:hRule="atLeast"/>
        </w:trPr>
        <w:tc>
          <w:tcPr>
            <w:tcW w:type="dxa" w:w="122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8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191210</w:t>
            </w:r>
          </w:p>
        </w:tc>
        <w:tc>
          <w:tcPr>
            <w:tcW w:type="dxa" w:w="5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TO</w:t>
            </w:r>
          </w:p>
        </w:tc>
        <w:tc>
          <w:tcPr>
            <w:tcW w:type="dxa" w:w="10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Torino</w:t>
            </w:r>
          </w:p>
        </w:tc>
        <w:tc>
          <w:tcPr>
            <w:tcW w:type="dxa" w:w="33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TRM S.p.A. - TRATTAMENTO RIFIUTI METROPOLITANI           </w:t>
            </w:r>
          </w:p>
        </w:tc>
        <w:tc>
          <w:tcPr>
            <w:tcW w:type="dxa" w:w="9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496</w:t>
            </w:r>
          </w:p>
        </w:tc>
        <w:tc>
          <w:tcPr>
            <w:tcW w:type="dxa" w:w="15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incenerimento</w:t>
            </w:r>
          </w:p>
        </w:tc>
      </w:tr>
      <w:tr>
        <w:tblPrEx>
          <w:shd w:val="clear" w:color="auto" w:fill="auto"/>
        </w:tblPrEx>
        <w:trPr>
          <w:trHeight w:val="442" w:hRule="atLeast"/>
        </w:trPr>
        <w:tc>
          <w:tcPr>
            <w:tcW w:type="dxa" w:w="122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8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191210</w:t>
            </w:r>
          </w:p>
        </w:tc>
        <w:tc>
          <w:tcPr>
            <w:tcW w:type="dxa" w:w="5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BG</w:t>
            </w:r>
          </w:p>
        </w:tc>
        <w:tc>
          <w:tcPr>
            <w:tcW w:type="dxa" w:w="10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Torre Pallavicina</w:t>
            </w:r>
          </w:p>
        </w:tc>
        <w:tc>
          <w:tcPr>
            <w:tcW w:type="dxa" w:w="33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B&amp;B S.r.l.                                                     </w:t>
            </w:r>
          </w:p>
        </w:tc>
        <w:tc>
          <w:tcPr>
            <w:tcW w:type="dxa" w:w="9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26</w:t>
            </w:r>
          </w:p>
        </w:tc>
        <w:tc>
          <w:tcPr>
            <w:tcW w:type="dxa" w:w="15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selezione/recupero*</w:t>
            </w:r>
          </w:p>
        </w:tc>
      </w:tr>
      <w:tr>
        <w:tblPrEx>
          <w:shd w:val="clear" w:color="auto" w:fill="auto"/>
        </w:tblPrEx>
        <w:trPr>
          <w:trHeight w:val="442" w:hRule="atLeast"/>
        </w:trPr>
        <w:tc>
          <w:tcPr>
            <w:tcW w:type="dxa" w:w="122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8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191210</w:t>
            </w:r>
          </w:p>
        </w:tc>
        <w:tc>
          <w:tcPr>
            <w:tcW w:type="dxa" w:w="5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BS</w:t>
            </w:r>
          </w:p>
        </w:tc>
        <w:tc>
          <w:tcPr>
            <w:tcW w:type="dxa" w:w="10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Brescia</w:t>
            </w:r>
          </w:p>
        </w:tc>
        <w:tc>
          <w:tcPr>
            <w:tcW w:type="dxa" w:w="33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A2A AMBIENTE S.p.A. IMPIANTO TERMOVALORIZZATORE                </w:t>
            </w:r>
          </w:p>
        </w:tc>
        <w:tc>
          <w:tcPr>
            <w:tcW w:type="dxa" w:w="9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4.737</w:t>
            </w:r>
          </w:p>
        </w:tc>
        <w:tc>
          <w:tcPr>
            <w:tcW w:type="dxa" w:w="15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incenerimento</w:t>
            </w:r>
          </w:p>
        </w:tc>
      </w:tr>
      <w:tr>
        <w:tblPrEx>
          <w:shd w:val="clear" w:color="auto" w:fill="auto"/>
        </w:tblPrEx>
        <w:trPr>
          <w:trHeight w:val="662" w:hRule="atLeast"/>
        </w:trPr>
        <w:tc>
          <w:tcPr>
            <w:tcW w:type="dxa" w:w="122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8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191210</w:t>
            </w:r>
          </w:p>
        </w:tc>
        <w:tc>
          <w:tcPr>
            <w:tcW w:type="dxa" w:w="5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MN</w:t>
            </w:r>
          </w:p>
        </w:tc>
        <w:tc>
          <w:tcPr>
            <w:tcW w:type="dxa" w:w="10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Castiglione delle Stiviere</w:t>
            </w:r>
          </w:p>
        </w:tc>
        <w:tc>
          <w:tcPr>
            <w:tcW w:type="dxa" w:w="33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HERAMBIENTE RECUPERI S.r.l.                                    </w:t>
            </w:r>
          </w:p>
        </w:tc>
        <w:tc>
          <w:tcPr>
            <w:tcW w:type="dxa" w:w="9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549</w:t>
            </w:r>
          </w:p>
        </w:tc>
        <w:tc>
          <w:tcPr>
            <w:tcW w:type="dxa" w:w="15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selezione/recupero*</w:t>
            </w:r>
          </w:p>
        </w:tc>
      </w:tr>
      <w:tr>
        <w:tblPrEx>
          <w:shd w:val="clear" w:color="auto" w:fill="auto"/>
        </w:tblPrEx>
        <w:trPr>
          <w:trHeight w:val="442" w:hRule="atLeast"/>
        </w:trPr>
        <w:tc>
          <w:tcPr>
            <w:tcW w:type="dxa" w:w="122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8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191210</w:t>
            </w:r>
          </w:p>
        </w:tc>
        <w:tc>
          <w:tcPr>
            <w:tcW w:type="dxa" w:w="5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PV</w:t>
            </w:r>
          </w:p>
        </w:tc>
        <w:tc>
          <w:tcPr>
            <w:tcW w:type="dxa" w:w="10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Parona</w:t>
            </w:r>
          </w:p>
        </w:tc>
        <w:tc>
          <w:tcPr>
            <w:tcW w:type="dxa" w:w="33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LOMELLINA ENERGIA S.r.l.                                       </w:t>
            </w:r>
          </w:p>
        </w:tc>
        <w:tc>
          <w:tcPr>
            <w:tcW w:type="dxa" w:w="9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5.450</w:t>
            </w:r>
          </w:p>
        </w:tc>
        <w:tc>
          <w:tcPr>
            <w:tcW w:type="dxa" w:w="15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TMB/incenerimento*</w:t>
            </w:r>
          </w:p>
        </w:tc>
      </w:tr>
      <w:tr>
        <w:tblPrEx>
          <w:shd w:val="clear" w:color="auto" w:fill="auto"/>
        </w:tblPrEx>
        <w:trPr>
          <w:trHeight w:val="442" w:hRule="atLeast"/>
        </w:trPr>
        <w:tc>
          <w:tcPr>
            <w:tcW w:type="dxa" w:w="122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8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191210</w:t>
            </w:r>
          </w:p>
        </w:tc>
        <w:tc>
          <w:tcPr>
            <w:tcW w:type="dxa" w:w="5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BO</w:t>
            </w:r>
          </w:p>
        </w:tc>
        <w:tc>
          <w:tcPr>
            <w:tcW w:type="dxa" w:w="10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Granarolo dell'Emilia</w:t>
            </w:r>
          </w:p>
        </w:tc>
        <w:tc>
          <w:tcPr>
            <w:tcW w:type="dxa" w:w="33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FEA S.r.l.                                                  </w:t>
            </w:r>
          </w:p>
        </w:tc>
        <w:tc>
          <w:tcPr>
            <w:tcW w:type="dxa" w:w="9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253</w:t>
            </w:r>
          </w:p>
        </w:tc>
        <w:tc>
          <w:tcPr>
            <w:tcW w:type="dxa" w:w="15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incenerimento</w:t>
            </w:r>
          </w:p>
        </w:tc>
      </w:tr>
      <w:tr>
        <w:tblPrEx>
          <w:shd w:val="clear" w:color="auto" w:fill="auto"/>
        </w:tblPrEx>
        <w:trPr>
          <w:trHeight w:val="250" w:hRule="atLeast"/>
        </w:trPr>
        <w:tc>
          <w:tcPr>
            <w:tcW w:type="dxa" w:w="122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8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191210</w:t>
            </w:r>
          </w:p>
        </w:tc>
        <w:tc>
          <w:tcPr>
            <w:tcW w:type="dxa" w:w="5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FE</w:t>
            </w:r>
          </w:p>
        </w:tc>
        <w:tc>
          <w:tcPr>
            <w:tcW w:type="dxa" w:w="10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Ferrara</w:t>
            </w:r>
          </w:p>
        </w:tc>
        <w:tc>
          <w:tcPr>
            <w:tcW w:type="dxa" w:w="33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HERAMBIENTE S.p.A.                                             </w:t>
            </w:r>
          </w:p>
        </w:tc>
        <w:tc>
          <w:tcPr>
            <w:tcW w:type="dxa" w:w="9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390</w:t>
            </w:r>
          </w:p>
        </w:tc>
        <w:tc>
          <w:tcPr>
            <w:tcW w:type="dxa" w:w="15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incenerimento</w:t>
            </w:r>
          </w:p>
        </w:tc>
      </w:tr>
      <w:tr>
        <w:tblPrEx>
          <w:shd w:val="clear" w:color="auto" w:fill="auto"/>
        </w:tblPrEx>
        <w:trPr>
          <w:trHeight w:val="442" w:hRule="atLeast"/>
        </w:trPr>
        <w:tc>
          <w:tcPr>
            <w:tcW w:type="dxa" w:w="122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8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191210</w:t>
            </w:r>
          </w:p>
        </w:tc>
        <w:tc>
          <w:tcPr>
            <w:tcW w:type="dxa" w:w="5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RA</w:t>
            </w:r>
          </w:p>
        </w:tc>
        <w:tc>
          <w:tcPr>
            <w:tcW w:type="dxa" w:w="10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Ravenna</w:t>
            </w:r>
          </w:p>
        </w:tc>
        <w:tc>
          <w:tcPr>
            <w:tcW w:type="dxa" w:w="33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HERAMBIENTE S.p.A.- RA_CDR PROD. 1.2,6. RA                  </w:t>
            </w:r>
          </w:p>
        </w:tc>
        <w:tc>
          <w:tcPr>
            <w:tcW w:type="dxa" w:w="9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600</w:t>
            </w:r>
          </w:p>
        </w:tc>
        <w:tc>
          <w:tcPr>
            <w:tcW w:type="dxa" w:w="15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TMB</w:t>
            </w:r>
          </w:p>
        </w:tc>
      </w:tr>
      <w:tr>
        <w:tblPrEx>
          <w:shd w:val="clear" w:color="auto" w:fill="auto"/>
        </w:tblPrEx>
        <w:trPr>
          <w:trHeight w:val="250" w:hRule="atLeast"/>
        </w:trPr>
        <w:tc>
          <w:tcPr>
            <w:tcW w:type="dxa" w:w="122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8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191210</w:t>
            </w:r>
          </w:p>
        </w:tc>
        <w:tc>
          <w:tcPr>
            <w:tcW w:type="dxa" w:w="5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RN</w:t>
            </w:r>
          </w:p>
        </w:tc>
        <w:tc>
          <w:tcPr>
            <w:tcW w:type="dxa" w:w="10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Coriano</w:t>
            </w:r>
          </w:p>
        </w:tc>
        <w:tc>
          <w:tcPr>
            <w:tcW w:type="dxa" w:w="33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HERAMBIENTE S.p.A.                                             </w:t>
            </w:r>
          </w:p>
        </w:tc>
        <w:tc>
          <w:tcPr>
            <w:tcW w:type="dxa" w:w="9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665</w:t>
            </w:r>
          </w:p>
        </w:tc>
        <w:tc>
          <w:tcPr>
            <w:tcW w:type="dxa" w:w="15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incenerimento</w:t>
            </w:r>
          </w:p>
        </w:tc>
      </w:tr>
      <w:tr>
        <w:tblPrEx>
          <w:shd w:val="clear" w:color="auto" w:fill="auto"/>
        </w:tblPrEx>
        <w:trPr>
          <w:trHeight w:val="250" w:hRule="atLeast"/>
        </w:trPr>
        <w:tc>
          <w:tcPr>
            <w:tcW w:type="dxa" w:w="122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8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191210</w:t>
            </w:r>
          </w:p>
        </w:tc>
        <w:tc>
          <w:tcPr>
            <w:tcW w:type="dxa" w:w="5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IS</w:t>
            </w:r>
          </w:p>
        </w:tc>
        <w:tc>
          <w:tcPr>
            <w:tcW w:type="dxa" w:w="10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Pozzilli</w:t>
            </w:r>
          </w:p>
        </w:tc>
        <w:tc>
          <w:tcPr>
            <w:tcW w:type="dxa" w:w="33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HERAMBIENTE S.p.A.                                             </w:t>
            </w:r>
          </w:p>
        </w:tc>
        <w:tc>
          <w:tcPr>
            <w:tcW w:type="dxa" w:w="9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12.599</w:t>
            </w:r>
          </w:p>
        </w:tc>
        <w:tc>
          <w:tcPr>
            <w:tcW w:type="dxa" w:w="15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incenerimento</w:t>
            </w:r>
          </w:p>
        </w:tc>
      </w:tr>
      <w:tr>
        <w:tblPrEx>
          <w:shd w:val="clear" w:color="auto" w:fill="auto"/>
        </w:tblPrEx>
        <w:trPr>
          <w:trHeight w:val="442" w:hRule="atLeast"/>
        </w:trPr>
        <w:tc>
          <w:tcPr>
            <w:tcW w:type="dxa" w:w="122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8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191212</w:t>
            </w:r>
          </w:p>
        </w:tc>
        <w:tc>
          <w:tcPr>
            <w:tcW w:type="dxa" w:w="5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BS</w:t>
            </w:r>
          </w:p>
        </w:tc>
        <w:tc>
          <w:tcPr>
            <w:tcW w:type="dxa" w:w="10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Montichiari</w:t>
            </w:r>
          </w:p>
        </w:tc>
        <w:tc>
          <w:tcPr>
            <w:tcW w:type="dxa" w:w="33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GEDIT S.p.A.                                                   </w:t>
            </w:r>
          </w:p>
        </w:tc>
        <w:tc>
          <w:tcPr>
            <w:tcW w:type="dxa" w:w="9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2.773</w:t>
            </w:r>
          </w:p>
        </w:tc>
        <w:tc>
          <w:tcPr>
            <w:tcW w:type="dxa" w:w="15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discarica</w:t>
            </w:r>
          </w:p>
        </w:tc>
      </w:tr>
      <w:tr>
        <w:tblPrEx>
          <w:shd w:val="clear" w:color="auto" w:fill="auto"/>
        </w:tblPrEx>
        <w:trPr>
          <w:trHeight w:val="442" w:hRule="atLeast"/>
        </w:trPr>
        <w:tc>
          <w:tcPr>
            <w:tcW w:type="dxa" w:w="122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8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191212</w:t>
            </w:r>
          </w:p>
        </w:tc>
        <w:tc>
          <w:tcPr>
            <w:tcW w:type="dxa" w:w="5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MI</w:t>
            </w:r>
          </w:p>
        </w:tc>
        <w:tc>
          <w:tcPr>
            <w:tcW w:type="dxa" w:w="10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Trezzo sull'Adda</w:t>
            </w:r>
          </w:p>
        </w:tc>
        <w:tc>
          <w:tcPr>
            <w:tcW w:type="dxa" w:w="33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PRIMA S.R.L                                                 </w:t>
            </w:r>
          </w:p>
        </w:tc>
        <w:tc>
          <w:tcPr>
            <w:tcW w:type="dxa" w:w="9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57</w:t>
            </w:r>
          </w:p>
        </w:tc>
        <w:tc>
          <w:tcPr>
            <w:tcW w:type="dxa" w:w="15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incenerimento</w:t>
            </w:r>
          </w:p>
        </w:tc>
      </w:tr>
      <w:tr>
        <w:tblPrEx>
          <w:shd w:val="clear" w:color="auto" w:fill="auto"/>
        </w:tblPrEx>
        <w:trPr>
          <w:trHeight w:val="250" w:hRule="atLeast"/>
        </w:trPr>
        <w:tc>
          <w:tcPr>
            <w:tcW w:type="dxa" w:w="122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8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191212</w:t>
            </w:r>
          </w:p>
        </w:tc>
        <w:tc>
          <w:tcPr>
            <w:tcW w:type="dxa" w:w="5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BO</w:t>
            </w:r>
          </w:p>
        </w:tc>
        <w:tc>
          <w:tcPr>
            <w:tcW w:type="dxa" w:w="10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Imola</w:t>
            </w:r>
          </w:p>
        </w:tc>
        <w:tc>
          <w:tcPr>
            <w:tcW w:type="dxa" w:w="33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HERAMBIENTE S.p.A.                                             </w:t>
            </w:r>
          </w:p>
        </w:tc>
        <w:tc>
          <w:tcPr>
            <w:tcW w:type="dxa" w:w="9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484</w:t>
            </w:r>
          </w:p>
        </w:tc>
        <w:tc>
          <w:tcPr>
            <w:tcW w:type="dxa" w:w="15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TMB/discarica*</w:t>
            </w:r>
          </w:p>
        </w:tc>
      </w:tr>
      <w:tr>
        <w:tblPrEx>
          <w:shd w:val="clear" w:color="auto" w:fill="auto"/>
        </w:tblPrEx>
        <w:trPr>
          <w:trHeight w:val="662" w:hRule="atLeast"/>
        </w:trPr>
        <w:tc>
          <w:tcPr>
            <w:tcW w:type="dxa" w:w="122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8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191212</w:t>
            </w:r>
          </w:p>
        </w:tc>
        <w:tc>
          <w:tcPr>
            <w:tcW w:type="dxa" w:w="5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FC</w:t>
            </w:r>
          </w:p>
        </w:tc>
        <w:tc>
          <w:tcPr>
            <w:tcW w:type="dxa" w:w="10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Sogliano al Rubicone</w:t>
            </w:r>
          </w:p>
        </w:tc>
        <w:tc>
          <w:tcPr>
            <w:tcW w:type="dxa" w:w="33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SOGLIANO AMBIENTE S.p.A. DISCARICA "GINESTRETO 2"           </w:t>
            </w:r>
          </w:p>
        </w:tc>
        <w:tc>
          <w:tcPr>
            <w:tcW w:type="dxa" w:w="9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15.320</w:t>
            </w:r>
          </w:p>
        </w:tc>
        <w:tc>
          <w:tcPr>
            <w:tcW w:type="dxa" w:w="15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discarica</w:t>
            </w:r>
          </w:p>
        </w:tc>
      </w:tr>
      <w:tr>
        <w:tblPrEx>
          <w:shd w:val="clear" w:color="auto" w:fill="auto"/>
        </w:tblPrEx>
        <w:trPr>
          <w:trHeight w:val="250" w:hRule="atLeast"/>
        </w:trPr>
        <w:tc>
          <w:tcPr>
            <w:tcW w:type="dxa" w:w="122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8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191212</w:t>
            </w:r>
          </w:p>
        </w:tc>
        <w:tc>
          <w:tcPr>
            <w:tcW w:type="dxa" w:w="5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PI</w:t>
            </w:r>
          </w:p>
        </w:tc>
        <w:tc>
          <w:tcPr>
            <w:tcW w:type="dxa" w:w="10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Pontedera</w:t>
            </w:r>
          </w:p>
        </w:tc>
        <w:tc>
          <w:tcPr>
            <w:tcW w:type="dxa" w:w="33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en-US"/>
              </w:rPr>
              <w:t xml:space="preserve">ECOFOR SERVICE S.p.A.                                          </w:t>
            </w:r>
          </w:p>
        </w:tc>
        <w:tc>
          <w:tcPr>
            <w:tcW w:type="dxa" w:w="9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3.130</w:t>
            </w:r>
          </w:p>
        </w:tc>
        <w:tc>
          <w:tcPr>
            <w:tcW w:type="dxa" w:w="15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discarica</w:t>
            </w:r>
          </w:p>
        </w:tc>
      </w:tr>
      <w:tr>
        <w:tblPrEx>
          <w:shd w:val="clear" w:color="auto" w:fill="auto"/>
        </w:tblPrEx>
        <w:trPr>
          <w:trHeight w:val="250" w:hRule="atLeast"/>
        </w:trPr>
        <w:tc>
          <w:tcPr>
            <w:tcW w:type="dxa" w:w="122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8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191212</w:t>
            </w:r>
          </w:p>
        </w:tc>
        <w:tc>
          <w:tcPr>
            <w:tcW w:type="dxa" w:w="5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FM</w:t>
            </w:r>
          </w:p>
        </w:tc>
        <w:tc>
          <w:tcPr>
            <w:tcW w:type="dxa" w:w="10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Fermo</w:t>
            </w:r>
          </w:p>
        </w:tc>
        <w:tc>
          <w:tcPr>
            <w:tcW w:type="dxa" w:w="33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FERMO A.S.I.T.E. SURL                                       </w:t>
            </w:r>
          </w:p>
        </w:tc>
        <w:tc>
          <w:tcPr>
            <w:tcW w:type="dxa" w:w="9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3.449</w:t>
            </w:r>
          </w:p>
        </w:tc>
        <w:tc>
          <w:tcPr>
            <w:tcW w:type="dxa" w:w="15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discarica</w:t>
            </w:r>
          </w:p>
        </w:tc>
      </w:tr>
      <w:tr>
        <w:tblPrEx>
          <w:shd w:val="clear" w:color="auto" w:fill="auto"/>
        </w:tblPrEx>
        <w:trPr>
          <w:trHeight w:val="442" w:hRule="atLeast"/>
        </w:trPr>
        <w:tc>
          <w:tcPr>
            <w:tcW w:type="dxa" w:w="1227"/>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pPr>
            <w:r>
              <w:rPr>
                <w:rFonts w:ascii="Times New Roman Bold"/>
                <w:caps w:val="0"/>
                <w:smallCaps w:val="0"/>
                <w:strike w:val="0"/>
                <w:dstrike w:val="0"/>
                <w:outline w:val="0"/>
                <w:color w:val="000000"/>
                <w:spacing w:val="0"/>
                <w:kern w:val="0"/>
                <w:position w:val="0"/>
                <w:sz w:val="20"/>
                <w:szCs w:val="20"/>
                <w:u w:val="none" w:color="000000"/>
                <w:vertAlign w:val="baseline"/>
                <w:rtl w:val="0"/>
                <w:lang w:val="it-IT"/>
              </w:rPr>
              <w:t xml:space="preserve">E.Giovi S.r.l. - IMP. TMB M2                                   </w:t>
            </w:r>
          </w:p>
        </w:tc>
        <w:tc>
          <w:tcPr>
            <w:tcW w:type="dxa" w:w="8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190503</w:t>
            </w:r>
          </w:p>
        </w:tc>
        <w:tc>
          <w:tcPr>
            <w:tcW w:type="dxa" w:w="5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BS</w:t>
            </w:r>
          </w:p>
        </w:tc>
        <w:tc>
          <w:tcPr>
            <w:tcW w:type="dxa" w:w="10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Montichiari</w:t>
            </w:r>
          </w:p>
        </w:tc>
        <w:tc>
          <w:tcPr>
            <w:tcW w:type="dxa" w:w="33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GEDIT S.p.A.                                                   </w:t>
            </w:r>
          </w:p>
        </w:tc>
        <w:tc>
          <w:tcPr>
            <w:tcW w:type="dxa" w:w="9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177</w:t>
            </w:r>
          </w:p>
        </w:tc>
        <w:tc>
          <w:tcPr>
            <w:tcW w:type="dxa" w:w="15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discarica</w:t>
            </w:r>
          </w:p>
        </w:tc>
      </w:tr>
      <w:tr>
        <w:tblPrEx>
          <w:shd w:val="clear" w:color="auto" w:fill="auto"/>
        </w:tblPrEx>
        <w:trPr>
          <w:trHeight w:val="442" w:hRule="atLeast"/>
        </w:trPr>
        <w:tc>
          <w:tcPr>
            <w:tcW w:type="dxa" w:w="122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8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190503</w:t>
            </w:r>
          </w:p>
        </w:tc>
        <w:tc>
          <w:tcPr>
            <w:tcW w:type="dxa" w:w="5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PD</w:t>
            </w:r>
          </w:p>
        </w:tc>
        <w:tc>
          <w:tcPr>
            <w:tcW w:type="dxa" w:w="10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Sant'Urbano</w:t>
            </w:r>
          </w:p>
        </w:tc>
        <w:tc>
          <w:tcPr>
            <w:tcW w:type="dxa" w:w="33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GEA S.r.l.                                                     </w:t>
            </w:r>
          </w:p>
        </w:tc>
        <w:tc>
          <w:tcPr>
            <w:tcW w:type="dxa" w:w="9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11</w:t>
            </w:r>
          </w:p>
        </w:tc>
        <w:tc>
          <w:tcPr>
            <w:tcW w:type="dxa" w:w="15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discarica</w:t>
            </w:r>
          </w:p>
        </w:tc>
      </w:tr>
      <w:tr>
        <w:tblPrEx>
          <w:shd w:val="clear" w:color="auto" w:fill="auto"/>
        </w:tblPrEx>
        <w:trPr>
          <w:trHeight w:val="662" w:hRule="atLeast"/>
        </w:trPr>
        <w:tc>
          <w:tcPr>
            <w:tcW w:type="dxa" w:w="122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8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190503</w:t>
            </w:r>
          </w:p>
        </w:tc>
        <w:tc>
          <w:tcPr>
            <w:tcW w:type="dxa" w:w="5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FC</w:t>
            </w:r>
          </w:p>
        </w:tc>
        <w:tc>
          <w:tcPr>
            <w:tcW w:type="dxa" w:w="10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Sogliano al Rubicone</w:t>
            </w:r>
          </w:p>
        </w:tc>
        <w:tc>
          <w:tcPr>
            <w:tcW w:type="dxa" w:w="33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SOGLIANO AMBIENTE S.p.A. DISCARICA "GINESTRETO 2"           </w:t>
            </w:r>
          </w:p>
        </w:tc>
        <w:tc>
          <w:tcPr>
            <w:tcW w:type="dxa" w:w="9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9.376</w:t>
            </w:r>
          </w:p>
        </w:tc>
        <w:tc>
          <w:tcPr>
            <w:tcW w:type="dxa" w:w="15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discarica</w:t>
            </w:r>
          </w:p>
        </w:tc>
      </w:tr>
      <w:tr>
        <w:tblPrEx>
          <w:shd w:val="clear" w:color="auto" w:fill="auto"/>
        </w:tblPrEx>
        <w:trPr>
          <w:trHeight w:val="250" w:hRule="atLeast"/>
        </w:trPr>
        <w:tc>
          <w:tcPr>
            <w:tcW w:type="dxa" w:w="122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8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190503</w:t>
            </w:r>
          </w:p>
        </w:tc>
        <w:tc>
          <w:tcPr>
            <w:tcW w:type="dxa" w:w="5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RA</w:t>
            </w:r>
          </w:p>
        </w:tc>
        <w:tc>
          <w:tcPr>
            <w:tcW w:type="dxa" w:w="10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Ravenna</w:t>
            </w:r>
          </w:p>
        </w:tc>
        <w:tc>
          <w:tcPr>
            <w:tcW w:type="dxa" w:w="33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HERAMBIENTE S.p.A.                                             </w:t>
            </w:r>
          </w:p>
        </w:tc>
        <w:tc>
          <w:tcPr>
            <w:tcW w:type="dxa" w:w="9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202</w:t>
            </w:r>
          </w:p>
        </w:tc>
        <w:tc>
          <w:tcPr>
            <w:tcW w:type="dxa" w:w="15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discarica</w:t>
            </w:r>
          </w:p>
        </w:tc>
      </w:tr>
      <w:tr>
        <w:tblPrEx>
          <w:shd w:val="clear" w:color="auto" w:fill="auto"/>
        </w:tblPrEx>
        <w:trPr>
          <w:trHeight w:val="442" w:hRule="atLeast"/>
        </w:trPr>
        <w:tc>
          <w:tcPr>
            <w:tcW w:type="dxa" w:w="122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8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190503</w:t>
            </w:r>
          </w:p>
        </w:tc>
        <w:tc>
          <w:tcPr>
            <w:tcW w:type="dxa" w:w="5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LI</w:t>
            </w:r>
          </w:p>
        </w:tc>
        <w:tc>
          <w:tcPr>
            <w:tcW w:type="dxa" w:w="10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Rosignano Marittimo</w:t>
            </w:r>
          </w:p>
        </w:tc>
        <w:tc>
          <w:tcPr>
            <w:tcW w:type="dxa" w:w="33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ROSIGNANO ENERGIA AMBIENTE S.p.A. - REA S.p.A.                    </w:t>
            </w:r>
          </w:p>
        </w:tc>
        <w:tc>
          <w:tcPr>
            <w:tcW w:type="dxa" w:w="9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26.959</w:t>
            </w:r>
          </w:p>
        </w:tc>
        <w:tc>
          <w:tcPr>
            <w:tcW w:type="dxa" w:w="15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discarica</w:t>
            </w:r>
          </w:p>
        </w:tc>
      </w:tr>
      <w:tr>
        <w:tblPrEx>
          <w:shd w:val="clear" w:color="auto" w:fill="auto"/>
        </w:tblPrEx>
        <w:trPr>
          <w:trHeight w:val="250" w:hRule="atLeast"/>
        </w:trPr>
        <w:tc>
          <w:tcPr>
            <w:tcW w:type="dxa" w:w="122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8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190503</w:t>
            </w:r>
          </w:p>
        </w:tc>
        <w:tc>
          <w:tcPr>
            <w:tcW w:type="dxa" w:w="5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PI</w:t>
            </w:r>
          </w:p>
        </w:tc>
        <w:tc>
          <w:tcPr>
            <w:tcW w:type="dxa" w:w="10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Peccioli</w:t>
            </w:r>
          </w:p>
        </w:tc>
        <w:tc>
          <w:tcPr>
            <w:tcW w:type="dxa" w:w="33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BELVEDERE S.p.A.                                            </w:t>
            </w:r>
          </w:p>
        </w:tc>
        <w:tc>
          <w:tcPr>
            <w:tcW w:type="dxa" w:w="9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37.260</w:t>
            </w:r>
          </w:p>
        </w:tc>
        <w:tc>
          <w:tcPr>
            <w:tcW w:type="dxa" w:w="15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TMB/discarica*</w:t>
            </w:r>
          </w:p>
        </w:tc>
      </w:tr>
      <w:tr>
        <w:tblPrEx>
          <w:shd w:val="clear" w:color="auto" w:fill="auto"/>
        </w:tblPrEx>
        <w:trPr>
          <w:trHeight w:val="250" w:hRule="atLeast"/>
        </w:trPr>
        <w:tc>
          <w:tcPr>
            <w:tcW w:type="dxa" w:w="122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8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190503</w:t>
            </w:r>
          </w:p>
        </w:tc>
        <w:tc>
          <w:tcPr>
            <w:tcW w:type="dxa" w:w="5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FM</w:t>
            </w:r>
          </w:p>
        </w:tc>
        <w:tc>
          <w:tcPr>
            <w:tcW w:type="dxa" w:w="10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Fermo</w:t>
            </w:r>
          </w:p>
        </w:tc>
        <w:tc>
          <w:tcPr>
            <w:tcW w:type="dxa" w:w="33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FERMO A.S.I.T.E. SURL                                       </w:t>
            </w:r>
          </w:p>
        </w:tc>
        <w:tc>
          <w:tcPr>
            <w:tcW w:type="dxa" w:w="9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5.247</w:t>
            </w:r>
          </w:p>
        </w:tc>
        <w:tc>
          <w:tcPr>
            <w:tcW w:type="dxa" w:w="15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discarica</w:t>
            </w:r>
          </w:p>
        </w:tc>
      </w:tr>
      <w:tr>
        <w:tblPrEx>
          <w:shd w:val="clear" w:color="auto" w:fill="auto"/>
        </w:tblPrEx>
        <w:trPr>
          <w:trHeight w:val="442" w:hRule="atLeast"/>
        </w:trPr>
        <w:tc>
          <w:tcPr>
            <w:tcW w:type="dxa" w:w="122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8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191210</w:t>
            </w:r>
          </w:p>
        </w:tc>
        <w:tc>
          <w:tcPr>
            <w:tcW w:type="dxa" w:w="5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TO</w:t>
            </w:r>
          </w:p>
        </w:tc>
        <w:tc>
          <w:tcPr>
            <w:tcW w:type="dxa" w:w="10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Torino</w:t>
            </w:r>
          </w:p>
        </w:tc>
        <w:tc>
          <w:tcPr>
            <w:tcW w:type="dxa" w:w="33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TRM S.p.A. - TRATTAMENTO RIFIUTI METROPOLITANI                 </w:t>
            </w:r>
          </w:p>
        </w:tc>
        <w:tc>
          <w:tcPr>
            <w:tcW w:type="dxa" w:w="9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1.346</w:t>
            </w:r>
          </w:p>
        </w:tc>
        <w:tc>
          <w:tcPr>
            <w:tcW w:type="dxa" w:w="15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incenerimento</w:t>
            </w:r>
          </w:p>
        </w:tc>
      </w:tr>
      <w:tr>
        <w:tblPrEx>
          <w:shd w:val="clear" w:color="auto" w:fill="auto"/>
        </w:tblPrEx>
        <w:trPr>
          <w:trHeight w:val="250" w:hRule="atLeast"/>
        </w:trPr>
        <w:tc>
          <w:tcPr>
            <w:tcW w:type="dxa" w:w="122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8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191211</w:t>
            </w:r>
          </w:p>
        </w:tc>
        <w:tc>
          <w:tcPr>
            <w:tcW w:type="dxa" w:w="5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TS</w:t>
            </w:r>
          </w:p>
        </w:tc>
        <w:tc>
          <w:tcPr>
            <w:tcW w:type="dxa" w:w="10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Trieste</w:t>
            </w:r>
          </w:p>
        </w:tc>
        <w:tc>
          <w:tcPr>
            <w:tcW w:type="dxa" w:w="33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HESTAMBIENTE S.r.l.                                            </w:t>
            </w:r>
          </w:p>
        </w:tc>
        <w:tc>
          <w:tcPr>
            <w:tcW w:type="dxa" w:w="9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1.372</w:t>
            </w:r>
          </w:p>
        </w:tc>
        <w:tc>
          <w:tcPr>
            <w:tcW w:type="dxa" w:w="15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incenerimento</w:t>
            </w:r>
          </w:p>
        </w:tc>
      </w:tr>
      <w:tr>
        <w:tblPrEx>
          <w:shd w:val="clear" w:color="auto" w:fill="auto"/>
        </w:tblPrEx>
        <w:trPr>
          <w:trHeight w:val="442" w:hRule="atLeast"/>
        </w:trPr>
        <w:tc>
          <w:tcPr>
            <w:tcW w:type="dxa" w:w="122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8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191210</w:t>
            </w:r>
          </w:p>
        </w:tc>
        <w:tc>
          <w:tcPr>
            <w:tcW w:type="dxa" w:w="5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BG</w:t>
            </w:r>
          </w:p>
        </w:tc>
        <w:tc>
          <w:tcPr>
            <w:tcW w:type="dxa" w:w="10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Torre Pallavicina</w:t>
            </w:r>
          </w:p>
        </w:tc>
        <w:tc>
          <w:tcPr>
            <w:tcW w:type="dxa" w:w="33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B&amp;B S.r.l.                                                     </w:t>
            </w:r>
          </w:p>
        </w:tc>
        <w:tc>
          <w:tcPr>
            <w:tcW w:type="dxa" w:w="9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549</w:t>
            </w:r>
          </w:p>
        </w:tc>
        <w:tc>
          <w:tcPr>
            <w:tcW w:type="dxa" w:w="15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selezione/recupero*</w:t>
            </w:r>
          </w:p>
        </w:tc>
      </w:tr>
      <w:tr>
        <w:tblPrEx>
          <w:shd w:val="clear" w:color="auto" w:fill="auto"/>
        </w:tblPrEx>
        <w:trPr>
          <w:trHeight w:val="442" w:hRule="atLeast"/>
        </w:trPr>
        <w:tc>
          <w:tcPr>
            <w:tcW w:type="dxa" w:w="122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8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191210</w:t>
            </w:r>
          </w:p>
        </w:tc>
        <w:tc>
          <w:tcPr>
            <w:tcW w:type="dxa" w:w="5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BS</w:t>
            </w:r>
          </w:p>
        </w:tc>
        <w:tc>
          <w:tcPr>
            <w:tcW w:type="dxa" w:w="10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Brescia</w:t>
            </w:r>
          </w:p>
        </w:tc>
        <w:tc>
          <w:tcPr>
            <w:tcW w:type="dxa" w:w="33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A2A AMBIENTE S.p.A. IMPIANTO TERMOVALORIZZATORE                </w:t>
            </w:r>
          </w:p>
        </w:tc>
        <w:tc>
          <w:tcPr>
            <w:tcW w:type="dxa" w:w="9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6.929</w:t>
            </w:r>
          </w:p>
        </w:tc>
        <w:tc>
          <w:tcPr>
            <w:tcW w:type="dxa" w:w="15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incenerimento</w:t>
            </w:r>
          </w:p>
        </w:tc>
      </w:tr>
      <w:tr>
        <w:tblPrEx>
          <w:shd w:val="clear" w:color="auto" w:fill="auto"/>
        </w:tblPrEx>
        <w:trPr>
          <w:trHeight w:val="662" w:hRule="atLeast"/>
        </w:trPr>
        <w:tc>
          <w:tcPr>
            <w:tcW w:type="dxa" w:w="122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8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191210</w:t>
            </w:r>
          </w:p>
        </w:tc>
        <w:tc>
          <w:tcPr>
            <w:tcW w:type="dxa" w:w="5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MN</w:t>
            </w:r>
          </w:p>
        </w:tc>
        <w:tc>
          <w:tcPr>
            <w:tcW w:type="dxa" w:w="10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Castiglione delle Stiviere</w:t>
            </w:r>
          </w:p>
        </w:tc>
        <w:tc>
          <w:tcPr>
            <w:tcW w:type="dxa" w:w="33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HERAMBIENTE RECUPERI S.r.l.                                    </w:t>
            </w:r>
          </w:p>
        </w:tc>
        <w:tc>
          <w:tcPr>
            <w:tcW w:type="dxa" w:w="9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1.513</w:t>
            </w:r>
          </w:p>
        </w:tc>
        <w:tc>
          <w:tcPr>
            <w:tcW w:type="dxa" w:w="15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selezione/recupero*</w:t>
            </w:r>
          </w:p>
        </w:tc>
      </w:tr>
      <w:tr>
        <w:tblPrEx>
          <w:shd w:val="clear" w:color="auto" w:fill="auto"/>
        </w:tblPrEx>
        <w:trPr>
          <w:trHeight w:val="442" w:hRule="atLeast"/>
        </w:trPr>
        <w:tc>
          <w:tcPr>
            <w:tcW w:type="dxa" w:w="122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8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191210</w:t>
            </w:r>
          </w:p>
        </w:tc>
        <w:tc>
          <w:tcPr>
            <w:tcW w:type="dxa" w:w="5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PV</w:t>
            </w:r>
          </w:p>
        </w:tc>
        <w:tc>
          <w:tcPr>
            <w:tcW w:type="dxa" w:w="10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Parona</w:t>
            </w:r>
          </w:p>
        </w:tc>
        <w:tc>
          <w:tcPr>
            <w:tcW w:type="dxa" w:w="33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LOMELLINA ENERGIA S.r.l.                                       </w:t>
            </w:r>
          </w:p>
        </w:tc>
        <w:tc>
          <w:tcPr>
            <w:tcW w:type="dxa" w:w="9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5.227</w:t>
            </w:r>
          </w:p>
        </w:tc>
        <w:tc>
          <w:tcPr>
            <w:tcW w:type="dxa" w:w="15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TMB/incenerimento*</w:t>
            </w:r>
          </w:p>
        </w:tc>
      </w:tr>
      <w:tr>
        <w:tblPrEx>
          <w:shd w:val="clear" w:color="auto" w:fill="auto"/>
        </w:tblPrEx>
        <w:trPr>
          <w:trHeight w:val="442" w:hRule="atLeast"/>
        </w:trPr>
        <w:tc>
          <w:tcPr>
            <w:tcW w:type="dxa" w:w="122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8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191210</w:t>
            </w:r>
          </w:p>
        </w:tc>
        <w:tc>
          <w:tcPr>
            <w:tcW w:type="dxa" w:w="5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BO</w:t>
            </w:r>
          </w:p>
        </w:tc>
        <w:tc>
          <w:tcPr>
            <w:tcW w:type="dxa" w:w="10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Granarolo dell'Emilia</w:t>
            </w:r>
          </w:p>
        </w:tc>
        <w:tc>
          <w:tcPr>
            <w:tcW w:type="dxa" w:w="33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FEA S.r.l.                                                  </w:t>
            </w:r>
          </w:p>
        </w:tc>
        <w:tc>
          <w:tcPr>
            <w:tcW w:type="dxa" w:w="9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555</w:t>
            </w:r>
          </w:p>
        </w:tc>
        <w:tc>
          <w:tcPr>
            <w:tcW w:type="dxa" w:w="15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incenerimento</w:t>
            </w:r>
          </w:p>
        </w:tc>
      </w:tr>
      <w:tr>
        <w:tblPrEx>
          <w:shd w:val="clear" w:color="auto" w:fill="auto"/>
        </w:tblPrEx>
        <w:trPr>
          <w:trHeight w:val="250" w:hRule="atLeast"/>
        </w:trPr>
        <w:tc>
          <w:tcPr>
            <w:tcW w:type="dxa" w:w="122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8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191210</w:t>
            </w:r>
          </w:p>
        </w:tc>
        <w:tc>
          <w:tcPr>
            <w:tcW w:type="dxa" w:w="5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FE</w:t>
            </w:r>
          </w:p>
        </w:tc>
        <w:tc>
          <w:tcPr>
            <w:tcW w:type="dxa" w:w="10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Ferrara</w:t>
            </w:r>
          </w:p>
        </w:tc>
        <w:tc>
          <w:tcPr>
            <w:tcW w:type="dxa" w:w="33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HERAMBIENTE S.p.A.                                             </w:t>
            </w:r>
          </w:p>
        </w:tc>
        <w:tc>
          <w:tcPr>
            <w:tcW w:type="dxa" w:w="9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332</w:t>
            </w:r>
          </w:p>
        </w:tc>
        <w:tc>
          <w:tcPr>
            <w:tcW w:type="dxa" w:w="15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incenerimento</w:t>
            </w:r>
          </w:p>
        </w:tc>
      </w:tr>
      <w:tr>
        <w:tblPrEx>
          <w:shd w:val="clear" w:color="auto" w:fill="auto"/>
        </w:tblPrEx>
        <w:trPr>
          <w:trHeight w:val="442" w:hRule="atLeast"/>
        </w:trPr>
        <w:tc>
          <w:tcPr>
            <w:tcW w:type="dxa" w:w="122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8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191210</w:t>
            </w:r>
          </w:p>
        </w:tc>
        <w:tc>
          <w:tcPr>
            <w:tcW w:type="dxa" w:w="5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RA</w:t>
            </w:r>
          </w:p>
        </w:tc>
        <w:tc>
          <w:tcPr>
            <w:tcW w:type="dxa" w:w="10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Ravenna</w:t>
            </w:r>
          </w:p>
        </w:tc>
        <w:tc>
          <w:tcPr>
            <w:tcW w:type="dxa" w:w="33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HERAMBIENTE S.p.A.- RA_CDR PROD. 1.2,6. RA                  </w:t>
            </w:r>
          </w:p>
        </w:tc>
        <w:tc>
          <w:tcPr>
            <w:tcW w:type="dxa" w:w="9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1.271</w:t>
            </w:r>
          </w:p>
        </w:tc>
        <w:tc>
          <w:tcPr>
            <w:tcW w:type="dxa" w:w="15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TMB</w:t>
            </w:r>
          </w:p>
        </w:tc>
      </w:tr>
      <w:tr>
        <w:tblPrEx>
          <w:shd w:val="clear" w:color="auto" w:fill="auto"/>
        </w:tblPrEx>
        <w:trPr>
          <w:trHeight w:val="250" w:hRule="atLeast"/>
        </w:trPr>
        <w:tc>
          <w:tcPr>
            <w:tcW w:type="dxa" w:w="122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8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191210</w:t>
            </w:r>
          </w:p>
        </w:tc>
        <w:tc>
          <w:tcPr>
            <w:tcW w:type="dxa" w:w="5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RN</w:t>
            </w:r>
          </w:p>
        </w:tc>
        <w:tc>
          <w:tcPr>
            <w:tcW w:type="dxa" w:w="10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Coriano</w:t>
            </w:r>
          </w:p>
        </w:tc>
        <w:tc>
          <w:tcPr>
            <w:tcW w:type="dxa" w:w="33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HERAMBIENTE S.p.A.                                             </w:t>
            </w:r>
          </w:p>
        </w:tc>
        <w:tc>
          <w:tcPr>
            <w:tcW w:type="dxa" w:w="9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1.445</w:t>
            </w:r>
          </w:p>
        </w:tc>
        <w:tc>
          <w:tcPr>
            <w:tcW w:type="dxa" w:w="15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incenerimento</w:t>
            </w:r>
          </w:p>
        </w:tc>
      </w:tr>
      <w:tr>
        <w:tblPrEx>
          <w:shd w:val="clear" w:color="auto" w:fill="auto"/>
        </w:tblPrEx>
        <w:trPr>
          <w:trHeight w:val="442" w:hRule="atLeast"/>
        </w:trPr>
        <w:tc>
          <w:tcPr>
            <w:tcW w:type="dxa" w:w="122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8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191210</w:t>
            </w:r>
          </w:p>
        </w:tc>
        <w:tc>
          <w:tcPr>
            <w:tcW w:type="dxa" w:w="5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GR</w:t>
            </w:r>
          </w:p>
        </w:tc>
        <w:tc>
          <w:tcPr>
            <w:tcW w:type="dxa" w:w="10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SCARLINO</w:t>
            </w:r>
          </w:p>
        </w:tc>
        <w:tc>
          <w:tcPr>
            <w:tcW w:type="dxa" w:w="33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SCARLINO ENERGIA S.r.l.                                        </w:t>
            </w:r>
          </w:p>
        </w:tc>
        <w:tc>
          <w:tcPr>
            <w:tcW w:type="dxa" w:w="9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646</w:t>
            </w:r>
          </w:p>
        </w:tc>
        <w:tc>
          <w:tcPr>
            <w:tcW w:type="dxa" w:w="15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coincenerimento</w:t>
            </w:r>
          </w:p>
        </w:tc>
      </w:tr>
      <w:tr>
        <w:tblPrEx>
          <w:shd w:val="clear" w:color="auto" w:fill="auto"/>
        </w:tblPrEx>
        <w:trPr>
          <w:trHeight w:val="250" w:hRule="atLeast"/>
        </w:trPr>
        <w:tc>
          <w:tcPr>
            <w:tcW w:type="dxa" w:w="122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8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191210</w:t>
            </w:r>
          </w:p>
        </w:tc>
        <w:tc>
          <w:tcPr>
            <w:tcW w:type="dxa" w:w="5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IS</w:t>
            </w:r>
          </w:p>
        </w:tc>
        <w:tc>
          <w:tcPr>
            <w:tcW w:type="dxa" w:w="10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Pozzilli</w:t>
            </w:r>
          </w:p>
        </w:tc>
        <w:tc>
          <w:tcPr>
            <w:tcW w:type="dxa" w:w="33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HERAMBIENTE S.p.A.                                             </w:t>
            </w:r>
          </w:p>
        </w:tc>
        <w:tc>
          <w:tcPr>
            <w:tcW w:type="dxa" w:w="9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17.451</w:t>
            </w:r>
          </w:p>
        </w:tc>
        <w:tc>
          <w:tcPr>
            <w:tcW w:type="dxa" w:w="15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incenerimento</w:t>
            </w:r>
          </w:p>
        </w:tc>
      </w:tr>
      <w:tr>
        <w:tblPrEx>
          <w:shd w:val="clear" w:color="auto" w:fill="auto"/>
        </w:tblPrEx>
        <w:trPr>
          <w:trHeight w:val="442" w:hRule="atLeast"/>
        </w:trPr>
        <w:tc>
          <w:tcPr>
            <w:tcW w:type="dxa" w:w="122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8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191212</w:t>
            </w:r>
          </w:p>
        </w:tc>
        <w:tc>
          <w:tcPr>
            <w:tcW w:type="dxa" w:w="5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BS</w:t>
            </w:r>
          </w:p>
        </w:tc>
        <w:tc>
          <w:tcPr>
            <w:tcW w:type="dxa" w:w="10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Montichiari</w:t>
            </w:r>
          </w:p>
        </w:tc>
        <w:tc>
          <w:tcPr>
            <w:tcW w:type="dxa" w:w="33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GEDIT S.p.A.                                                   </w:t>
            </w:r>
          </w:p>
        </w:tc>
        <w:tc>
          <w:tcPr>
            <w:tcW w:type="dxa" w:w="9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11.550</w:t>
            </w:r>
          </w:p>
        </w:tc>
        <w:tc>
          <w:tcPr>
            <w:tcW w:type="dxa" w:w="15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discarica</w:t>
            </w:r>
          </w:p>
        </w:tc>
      </w:tr>
      <w:tr>
        <w:tblPrEx>
          <w:shd w:val="clear" w:color="auto" w:fill="auto"/>
        </w:tblPrEx>
        <w:trPr>
          <w:trHeight w:val="442" w:hRule="atLeast"/>
        </w:trPr>
        <w:tc>
          <w:tcPr>
            <w:tcW w:type="dxa" w:w="122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8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191212</w:t>
            </w:r>
          </w:p>
        </w:tc>
        <w:tc>
          <w:tcPr>
            <w:tcW w:type="dxa" w:w="5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MI</w:t>
            </w:r>
          </w:p>
        </w:tc>
        <w:tc>
          <w:tcPr>
            <w:tcW w:type="dxa" w:w="10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Trezzo Sull'Adda</w:t>
            </w:r>
          </w:p>
        </w:tc>
        <w:tc>
          <w:tcPr>
            <w:tcW w:type="dxa" w:w="33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PRIMA S.R.L                                                 </w:t>
            </w:r>
          </w:p>
        </w:tc>
        <w:tc>
          <w:tcPr>
            <w:tcW w:type="dxa" w:w="9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2.083</w:t>
            </w:r>
          </w:p>
        </w:tc>
        <w:tc>
          <w:tcPr>
            <w:tcW w:type="dxa" w:w="15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incenerimento</w:t>
            </w:r>
          </w:p>
        </w:tc>
      </w:tr>
      <w:tr>
        <w:tblPrEx>
          <w:shd w:val="clear" w:color="auto" w:fill="auto"/>
        </w:tblPrEx>
        <w:trPr>
          <w:trHeight w:val="250" w:hRule="atLeast"/>
        </w:trPr>
        <w:tc>
          <w:tcPr>
            <w:tcW w:type="dxa" w:w="122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8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191212</w:t>
            </w:r>
          </w:p>
        </w:tc>
        <w:tc>
          <w:tcPr>
            <w:tcW w:type="dxa" w:w="5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BO</w:t>
            </w:r>
          </w:p>
        </w:tc>
        <w:tc>
          <w:tcPr>
            <w:tcW w:type="dxa" w:w="10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Imola</w:t>
            </w:r>
          </w:p>
        </w:tc>
        <w:tc>
          <w:tcPr>
            <w:tcW w:type="dxa" w:w="33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HERAMBIENTE S.p.A.                                             </w:t>
            </w:r>
          </w:p>
        </w:tc>
        <w:tc>
          <w:tcPr>
            <w:tcW w:type="dxa" w:w="9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2.924</w:t>
            </w:r>
          </w:p>
        </w:tc>
        <w:tc>
          <w:tcPr>
            <w:tcW w:type="dxa" w:w="15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TMB/discarica*</w:t>
            </w:r>
          </w:p>
        </w:tc>
      </w:tr>
      <w:tr>
        <w:tblPrEx>
          <w:shd w:val="clear" w:color="auto" w:fill="auto"/>
        </w:tblPrEx>
        <w:trPr>
          <w:trHeight w:val="662" w:hRule="atLeast"/>
        </w:trPr>
        <w:tc>
          <w:tcPr>
            <w:tcW w:type="dxa" w:w="122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8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191212</w:t>
            </w:r>
          </w:p>
        </w:tc>
        <w:tc>
          <w:tcPr>
            <w:tcW w:type="dxa" w:w="5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FC</w:t>
            </w:r>
          </w:p>
        </w:tc>
        <w:tc>
          <w:tcPr>
            <w:tcW w:type="dxa" w:w="10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Sogliano al Rubicone</w:t>
            </w:r>
          </w:p>
        </w:tc>
        <w:tc>
          <w:tcPr>
            <w:tcW w:type="dxa" w:w="33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SOGLIANO AMBIENTE S.p.A. DISCARICA "GINESTRETO 2"           </w:t>
            </w:r>
          </w:p>
        </w:tc>
        <w:tc>
          <w:tcPr>
            <w:tcW w:type="dxa" w:w="9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32.060</w:t>
            </w:r>
          </w:p>
        </w:tc>
        <w:tc>
          <w:tcPr>
            <w:tcW w:type="dxa" w:w="15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discarica</w:t>
            </w:r>
          </w:p>
        </w:tc>
      </w:tr>
      <w:tr>
        <w:tblPrEx>
          <w:shd w:val="clear" w:color="auto" w:fill="auto"/>
        </w:tblPrEx>
        <w:trPr>
          <w:trHeight w:val="250" w:hRule="atLeast"/>
        </w:trPr>
        <w:tc>
          <w:tcPr>
            <w:tcW w:type="dxa" w:w="122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8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191212</w:t>
            </w:r>
          </w:p>
        </w:tc>
        <w:tc>
          <w:tcPr>
            <w:tcW w:type="dxa" w:w="5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PI</w:t>
            </w:r>
          </w:p>
        </w:tc>
        <w:tc>
          <w:tcPr>
            <w:tcW w:type="dxa" w:w="10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Pontedera</w:t>
            </w:r>
          </w:p>
        </w:tc>
        <w:tc>
          <w:tcPr>
            <w:tcW w:type="dxa" w:w="33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en-US"/>
              </w:rPr>
              <w:t xml:space="preserve">ECOFOR SERVICE S.p.A.                                          </w:t>
            </w:r>
          </w:p>
        </w:tc>
        <w:tc>
          <w:tcPr>
            <w:tcW w:type="dxa" w:w="9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20.125</w:t>
            </w:r>
          </w:p>
        </w:tc>
        <w:tc>
          <w:tcPr>
            <w:tcW w:type="dxa" w:w="15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discarica</w:t>
            </w:r>
          </w:p>
        </w:tc>
      </w:tr>
      <w:tr>
        <w:tblPrEx>
          <w:shd w:val="clear" w:color="auto" w:fill="auto"/>
        </w:tblPrEx>
        <w:trPr>
          <w:trHeight w:val="250" w:hRule="atLeast"/>
        </w:trPr>
        <w:tc>
          <w:tcPr>
            <w:tcW w:type="dxa" w:w="122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8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191212</w:t>
            </w:r>
          </w:p>
        </w:tc>
        <w:tc>
          <w:tcPr>
            <w:tcW w:type="dxa" w:w="5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FM</w:t>
            </w:r>
          </w:p>
        </w:tc>
        <w:tc>
          <w:tcPr>
            <w:tcW w:type="dxa" w:w="10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Fermo</w:t>
            </w:r>
          </w:p>
        </w:tc>
        <w:tc>
          <w:tcPr>
            <w:tcW w:type="dxa" w:w="33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FERMO A.S.I.T.E. SURL                                       </w:t>
            </w:r>
          </w:p>
        </w:tc>
        <w:tc>
          <w:tcPr>
            <w:tcW w:type="dxa" w:w="9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4.823</w:t>
            </w:r>
          </w:p>
        </w:tc>
        <w:tc>
          <w:tcPr>
            <w:tcW w:type="dxa" w:w="15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discarica</w:t>
            </w:r>
          </w:p>
        </w:tc>
      </w:tr>
      <w:tr>
        <w:tblPrEx>
          <w:shd w:val="clear" w:color="auto" w:fill="auto"/>
        </w:tblPrEx>
        <w:trPr>
          <w:trHeight w:val="250" w:hRule="atLeast"/>
        </w:trPr>
        <w:tc>
          <w:tcPr>
            <w:tcW w:type="dxa" w:w="122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8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191212</w:t>
            </w:r>
          </w:p>
        </w:tc>
        <w:tc>
          <w:tcPr>
            <w:tcW w:type="dxa" w:w="5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CH</w:t>
            </w:r>
          </w:p>
        </w:tc>
        <w:tc>
          <w:tcPr>
            <w:tcW w:type="dxa" w:w="10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Chieti </w:t>
            </w:r>
          </w:p>
        </w:tc>
        <w:tc>
          <w:tcPr>
            <w:tcW w:type="dxa" w:w="33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DECO S.p.A.                                                 </w:t>
            </w:r>
          </w:p>
        </w:tc>
        <w:tc>
          <w:tcPr>
            <w:tcW w:type="dxa" w:w="9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58</w:t>
            </w:r>
          </w:p>
        </w:tc>
        <w:tc>
          <w:tcPr>
            <w:tcW w:type="dxa" w:w="15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TMB</w:t>
            </w:r>
          </w:p>
        </w:tc>
      </w:tr>
      <w:tr>
        <w:tblPrEx>
          <w:shd w:val="clear" w:color="auto" w:fill="auto"/>
        </w:tblPrEx>
        <w:trPr>
          <w:trHeight w:val="250" w:hRule="atLeast"/>
        </w:trPr>
        <w:tc>
          <w:tcPr>
            <w:tcW w:type="dxa" w:w="1227"/>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rFonts w:ascii="Times New Roman Bold" w:cs="Times New Roman Bold" w:hAnsi="Times New Roman Bold" w:eastAsia="Times New Roman Bold"/>
                <w:caps w:val="0"/>
                <w:smallCaps w:val="0"/>
                <w:strike w:val="0"/>
                <w:dstrike w:val="0"/>
                <w:outline w:val="0"/>
                <w:color w:val="000000"/>
                <w:spacing w:val="0"/>
                <w:kern w:val="0"/>
                <w:position w:val="0"/>
                <w:sz w:val="20"/>
                <w:szCs w:val="20"/>
                <w:u w:val="none" w:color="000000"/>
                <w:vertAlign w:val="baseline"/>
                <w:rtl w:val="0"/>
                <w:lang w:val="it-IT"/>
              </w:rPr>
            </w:pPr>
            <w:r>
              <w:rPr>
                <w:rFonts w:ascii="Times New Roman Bold"/>
                <w:caps w:val="0"/>
                <w:smallCaps w:val="0"/>
                <w:strike w:val="0"/>
                <w:dstrike w:val="0"/>
                <w:outline w:val="0"/>
                <w:color w:val="000000"/>
                <w:spacing w:val="0"/>
                <w:kern w:val="0"/>
                <w:position w:val="0"/>
                <w:sz w:val="20"/>
                <w:szCs w:val="20"/>
                <w:u w:val="none" w:color="000000"/>
                <w:vertAlign w:val="baseline"/>
                <w:rtl w:val="0"/>
                <w:lang w:val="it-IT"/>
              </w:rPr>
              <w:t>Co.La.Ri.</w:t>
            </w:r>
          </w:p>
          <w:p>
            <w:pPr>
              <w:pStyle w:val="Normal"/>
              <w:jc w:val="center"/>
            </w:pPr>
            <w:r>
              <w:rPr>
                <w:rFonts w:ascii="Times New Roman Bold"/>
                <w:caps w:val="0"/>
                <w:smallCaps w:val="0"/>
                <w:strike w:val="0"/>
                <w:dstrike w:val="0"/>
                <w:outline w:val="0"/>
                <w:color w:val="000000"/>
                <w:spacing w:val="0"/>
                <w:kern w:val="0"/>
                <w:position w:val="0"/>
                <w:sz w:val="20"/>
                <w:szCs w:val="20"/>
                <w:u w:val="none" w:color="000000"/>
                <w:vertAlign w:val="baseline"/>
                <w:rtl w:val="0"/>
                <w:lang w:val="it-IT"/>
              </w:rPr>
              <w:t xml:space="preserve">   Rocca Cencia                       </w:t>
            </w:r>
          </w:p>
        </w:tc>
        <w:tc>
          <w:tcPr>
            <w:tcW w:type="dxa" w:w="8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191212</w:t>
            </w:r>
          </w:p>
        </w:tc>
        <w:tc>
          <w:tcPr>
            <w:tcW w:type="dxa" w:w="5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AL</w:t>
            </w:r>
          </w:p>
        </w:tc>
        <w:tc>
          <w:tcPr>
            <w:tcW w:type="dxa" w:w="10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Alessandia </w:t>
            </w:r>
          </w:p>
        </w:tc>
        <w:tc>
          <w:tcPr>
            <w:tcW w:type="dxa" w:w="33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A.R.A.L. S.p.A.                                             </w:t>
            </w:r>
          </w:p>
        </w:tc>
        <w:tc>
          <w:tcPr>
            <w:tcW w:type="dxa" w:w="9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3.310</w:t>
            </w:r>
          </w:p>
        </w:tc>
        <w:tc>
          <w:tcPr>
            <w:tcW w:type="dxa" w:w="15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TMB</w:t>
            </w:r>
          </w:p>
        </w:tc>
      </w:tr>
      <w:tr>
        <w:tblPrEx>
          <w:shd w:val="clear" w:color="auto" w:fill="auto"/>
        </w:tblPrEx>
        <w:trPr>
          <w:trHeight w:val="442" w:hRule="atLeast"/>
        </w:trPr>
        <w:tc>
          <w:tcPr>
            <w:tcW w:type="dxa" w:w="122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8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191212</w:t>
            </w:r>
          </w:p>
        </w:tc>
        <w:tc>
          <w:tcPr>
            <w:tcW w:type="dxa" w:w="5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LO</w:t>
            </w:r>
          </w:p>
        </w:tc>
        <w:tc>
          <w:tcPr>
            <w:tcW w:type="dxa" w:w="10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Montanaso Lombardo</w:t>
            </w:r>
          </w:p>
        </w:tc>
        <w:tc>
          <w:tcPr>
            <w:tcW w:type="dxa" w:w="33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BELLISOLINA S.r.l.                                             </w:t>
            </w:r>
          </w:p>
        </w:tc>
        <w:tc>
          <w:tcPr>
            <w:tcW w:type="dxa" w:w="9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9.666</w:t>
            </w:r>
          </w:p>
        </w:tc>
        <w:tc>
          <w:tcPr>
            <w:tcW w:type="dxa" w:w="15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TMB</w:t>
            </w:r>
          </w:p>
        </w:tc>
      </w:tr>
      <w:tr>
        <w:tblPrEx>
          <w:shd w:val="clear" w:color="auto" w:fill="auto"/>
        </w:tblPrEx>
        <w:trPr>
          <w:trHeight w:val="442" w:hRule="atLeast"/>
        </w:trPr>
        <w:tc>
          <w:tcPr>
            <w:tcW w:type="dxa" w:w="122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8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191212</w:t>
            </w:r>
          </w:p>
        </w:tc>
        <w:tc>
          <w:tcPr>
            <w:tcW w:type="dxa" w:w="5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MI</w:t>
            </w:r>
          </w:p>
        </w:tc>
        <w:tc>
          <w:tcPr>
            <w:tcW w:type="dxa" w:w="10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Trezzo Sull'Adda</w:t>
            </w:r>
          </w:p>
        </w:tc>
        <w:tc>
          <w:tcPr>
            <w:tcW w:type="dxa" w:w="33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PRIMA S.R.L                                                 </w:t>
            </w:r>
          </w:p>
        </w:tc>
        <w:tc>
          <w:tcPr>
            <w:tcW w:type="dxa" w:w="9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6.635</w:t>
            </w:r>
          </w:p>
        </w:tc>
        <w:tc>
          <w:tcPr>
            <w:tcW w:type="dxa" w:w="15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incenerimento</w:t>
            </w:r>
          </w:p>
        </w:tc>
      </w:tr>
      <w:tr>
        <w:tblPrEx>
          <w:shd w:val="clear" w:color="auto" w:fill="auto"/>
        </w:tblPrEx>
        <w:trPr>
          <w:trHeight w:val="662" w:hRule="atLeast"/>
        </w:trPr>
        <w:tc>
          <w:tcPr>
            <w:tcW w:type="dxa" w:w="122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8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191212</w:t>
            </w:r>
          </w:p>
        </w:tc>
        <w:tc>
          <w:tcPr>
            <w:tcW w:type="dxa" w:w="5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MN</w:t>
            </w:r>
          </w:p>
        </w:tc>
        <w:tc>
          <w:tcPr>
            <w:tcW w:type="dxa" w:w="10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Castiglione delle Stiviere</w:t>
            </w:r>
          </w:p>
        </w:tc>
        <w:tc>
          <w:tcPr>
            <w:tcW w:type="dxa" w:w="33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HERAMBIENTE RECUPERI S.r.l.                                    </w:t>
            </w:r>
          </w:p>
        </w:tc>
        <w:tc>
          <w:tcPr>
            <w:tcW w:type="dxa" w:w="9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4.493</w:t>
            </w:r>
          </w:p>
        </w:tc>
        <w:tc>
          <w:tcPr>
            <w:tcW w:type="dxa" w:w="15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selezione/recupero*</w:t>
            </w:r>
          </w:p>
        </w:tc>
      </w:tr>
      <w:tr>
        <w:tblPrEx>
          <w:shd w:val="clear" w:color="auto" w:fill="auto"/>
        </w:tblPrEx>
        <w:trPr>
          <w:trHeight w:val="442" w:hRule="atLeast"/>
        </w:trPr>
        <w:tc>
          <w:tcPr>
            <w:tcW w:type="dxa" w:w="122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8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191212</w:t>
            </w:r>
          </w:p>
        </w:tc>
        <w:tc>
          <w:tcPr>
            <w:tcW w:type="dxa" w:w="5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BO</w:t>
            </w:r>
          </w:p>
        </w:tc>
        <w:tc>
          <w:tcPr>
            <w:tcW w:type="dxa" w:w="10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Granarolo dell'Emilia</w:t>
            </w:r>
          </w:p>
        </w:tc>
        <w:tc>
          <w:tcPr>
            <w:tcW w:type="dxa" w:w="33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FEA S.r.l.                                                  </w:t>
            </w:r>
          </w:p>
        </w:tc>
        <w:tc>
          <w:tcPr>
            <w:tcW w:type="dxa" w:w="9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2.918</w:t>
            </w:r>
          </w:p>
        </w:tc>
        <w:tc>
          <w:tcPr>
            <w:tcW w:type="dxa" w:w="15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incenerimento</w:t>
            </w:r>
          </w:p>
        </w:tc>
      </w:tr>
      <w:tr>
        <w:tblPrEx>
          <w:shd w:val="clear" w:color="auto" w:fill="auto"/>
        </w:tblPrEx>
        <w:trPr>
          <w:trHeight w:val="250" w:hRule="atLeast"/>
        </w:trPr>
        <w:tc>
          <w:tcPr>
            <w:tcW w:type="dxa" w:w="122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8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191212</w:t>
            </w:r>
          </w:p>
        </w:tc>
        <w:tc>
          <w:tcPr>
            <w:tcW w:type="dxa" w:w="5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BO</w:t>
            </w:r>
          </w:p>
        </w:tc>
        <w:tc>
          <w:tcPr>
            <w:tcW w:type="dxa" w:w="10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Imola</w:t>
            </w:r>
          </w:p>
        </w:tc>
        <w:tc>
          <w:tcPr>
            <w:tcW w:type="dxa" w:w="33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AKRON S.p.A.                                                </w:t>
            </w:r>
          </w:p>
        </w:tc>
        <w:tc>
          <w:tcPr>
            <w:tcW w:type="dxa" w:w="9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1.289</w:t>
            </w:r>
          </w:p>
        </w:tc>
        <w:tc>
          <w:tcPr>
            <w:tcW w:type="dxa" w:w="15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TMB/discarica*</w:t>
            </w:r>
          </w:p>
        </w:tc>
      </w:tr>
      <w:tr>
        <w:tblPrEx>
          <w:shd w:val="clear" w:color="auto" w:fill="auto"/>
        </w:tblPrEx>
        <w:trPr>
          <w:trHeight w:val="250" w:hRule="atLeast"/>
        </w:trPr>
        <w:tc>
          <w:tcPr>
            <w:tcW w:type="dxa" w:w="122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8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191212</w:t>
            </w:r>
          </w:p>
        </w:tc>
        <w:tc>
          <w:tcPr>
            <w:tcW w:type="dxa" w:w="5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BO</w:t>
            </w:r>
          </w:p>
        </w:tc>
        <w:tc>
          <w:tcPr>
            <w:tcW w:type="dxa" w:w="10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Imola</w:t>
            </w:r>
          </w:p>
        </w:tc>
        <w:tc>
          <w:tcPr>
            <w:tcW w:type="dxa" w:w="33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HERAMBIENTE S.p.A.                                             </w:t>
            </w:r>
          </w:p>
        </w:tc>
        <w:tc>
          <w:tcPr>
            <w:tcW w:type="dxa" w:w="9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2.068</w:t>
            </w:r>
          </w:p>
        </w:tc>
        <w:tc>
          <w:tcPr>
            <w:tcW w:type="dxa" w:w="15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TMB/discarica*</w:t>
            </w:r>
          </w:p>
        </w:tc>
      </w:tr>
      <w:tr>
        <w:tblPrEx>
          <w:shd w:val="clear" w:color="auto" w:fill="auto"/>
        </w:tblPrEx>
        <w:trPr>
          <w:trHeight w:val="250" w:hRule="atLeast"/>
        </w:trPr>
        <w:tc>
          <w:tcPr>
            <w:tcW w:type="dxa" w:w="122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8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191212</w:t>
            </w:r>
          </w:p>
        </w:tc>
        <w:tc>
          <w:tcPr>
            <w:tcW w:type="dxa" w:w="5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FE</w:t>
            </w:r>
          </w:p>
        </w:tc>
        <w:tc>
          <w:tcPr>
            <w:tcW w:type="dxa" w:w="10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Ferrara</w:t>
            </w:r>
          </w:p>
        </w:tc>
        <w:tc>
          <w:tcPr>
            <w:tcW w:type="dxa" w:w="33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HERAMBIENTE S.p.A.                                             </w:t>
            </w:r>
          </w:p>
        </w:tc>
        <w:tc>
          <w:tcPr>
            <w:tcW w:type="dxa" w:w="9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3.970</w:t>
            </w:r>
          </w:p>
        </w:tc>
        <w:tc>
          <w:tcPr>
            <w:tcW w:type="dxa" w:w="15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incenerimento</w:t>
            </w:r>
          </w:p>
        </w:tc>
      </w:tr>
      <w:tr>
        <w:tblPrEx>
          <w:shd w:val="clear" w:color="auto" w:fill="auto"/>
        </w:tblPrEx>
        <w:trPr>
          <w:trHeight w:val="250" w:hRule="atLeast"/>
        </w:trPr>
        <w:tc>
          <w:tcPr>
            <w:tcW w:type="dxa" w:w="122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8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191212</w:t>
            </w:r>
          </w:p>
        </w:tc>
        <w:tc>
          <w:tcPr>
            <w:tcW w:type="dxa" w:w="5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FE</w:t>
            </w:r>
          </w:p>
        </w:tc>
        <w:tc>
          <w:tcPr>
            <w:tcW w:type="dxa" w:w="10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Ostellato</w:t>
            </w:r>
          </w:p>
        </w:tc>
        <w:tc>
          <w:tcPr>
            <w:tcW w:type="dxa" w:w="33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HERAMBIENTE S.p.A.                                             </w:t>
            </w:r>
          </w:p>
        </w:tc>
        <w:tc>
          <w:tcPr>
            <w:tcW w:type="dxa" w:w="9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3.422</w:t>
            </w:r>
          </w:p>
        </w:tc>
        <w:tc>
          <w:tcPr>
            <w:tcW w:type="dxa" w:w="15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TMB</w:t>
            </w:r>
          </w:p>
        </w:tc>
      </w:tr>
      <w:tr>
        <w:tblPrEx>
          <w:shd w:val="clear" w:color="auto" w:fill="auto"/>
        </w:tblPrEx>
        <w:trPr>
          <w:trHeight w:val="250" w:hRule="atLeast"/>
        </w:trPr>
        <w:tc>
          <w:tcPr>
            <w:tcW w:type="dxa" w:w="122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8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191212</w:t>
            </w:r>
          </w:p>
        </w:tc>
        <w:tc>
          <w:tcPr>
            <w:tcW w:type="dxa" w:w="5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MO</w:t>
            </w:r>
          </w:p>
        </w:tc>
        <w:tc>
          <w:tcPr>
            <w:tcW w:type="dxa" w:w="10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Carpi</w:t>
            </w:r>
          </w:p>
        </w:tc>
        <w:tc>
          <w:tcPr>
            <w:tcW w:type="dxa" w:w="33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AIMAG S.p.A.                                                   </w:t>
            </w:r>
          </w:p>
        </w:tc>
        <w:tc>
          <w:tcPr>
            <w:tcW w:type="dxa" w:w="9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5.205</w:t>
            </w:r>
          </w:p>
        </w:tc>
        <w:tc>
          <w:tcPr>
            <w:tcW w:type="dxa" w:w="15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TMB/discarica*</w:t>
            </w:r>
          </w:p>
        </w:tc>
      </w:tr>
      <w:tr>
        <w:tblPrEx>
          <w:shd w:val="clear" w:color="auto" w:fill="auto"/>
        </w:tblPrEx>
        <w:trPr>
          <w:trHeight w:val="250" w:hRule="atLeast"/>
        </w:trPr>
        <w:tc>
          <w:tcPr>
            <w:tcW w:type="dxa" w:w="122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8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191212</w:t>
            </w:r>
          </w:p>
        </w:tc>
        <w:tc>
          <w:tcPr>
            <w:tcW w:type="dxa" w:w="5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RA</w:t>
            </w:r>
          </w:p>
        </w:tc>
        <w:tc>
          <w:tcPr>
            <w:tcW w:type="dxa" w:w="10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Ravenna</w:t>
            </w:r>
          </w:p>
        </w:tc>
        <w:tc>
          <w:tcPr>
            <w:tcW w:type="dxa" w:w="33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HERAMBIENTE S.p.A.                                             </w:t>
            </w:r>
          </w:p>
        </w:tc>
        <w:tc>
          <w:tcPr>
            <w:tcW w:type="dxa" w:w="9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2.308</w:t>
            </w:r>
          </w:p>
        </w:tc>
        <w:tc>
          <w:tcPr>
            <w:tcW w:type="dxa" w:w="15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TMB</w:t>
            </w:r>
          </w:p>
        </w:tc>
      </w:tr>
      <w:tr>
        <w:tblPrEx>
          <w:shd w:val="clear" w:color="auto" w:fill="auto"/>
        </w:tblPrEx>
        <w:trPr>
          <w:trHeight w:val="250" w:hRule="atLeast"/>
        </w:trPr>
        <w:tc>
          <w:tcPr>
            <w:tcW w:type="dxa" w:w="122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8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191212</w:t>
            </w:r>
          </w:p>
        </w:tc>
        <w:tc>
          <w:tcPr>
            <w:tcW w:type="dxa" w:w="5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MC</w:t>
            </w:r>
          </w:p>
        </w:tc>
        <w:tc>
          <w:tcPr>
            <w:tcW w:type="dxa" w:w="10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Macerata</w:t>
            </w:r>
          </w:p>
        </w:tc>
        <w:tc>
          <w:tcPr>
            <w:tcW w:type="dxa" w:w="33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MECERO MACERATESE S.r.l.                                       </w:t>
            </w:r>
          </w:p>
        </w:tc>
        <w:tc>
          <w:tcPr>
            <w:tcW w:type="dxa" w:w="9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8.705</w:t>
            </w:r>
          </w:p>
        </w:tc>
        <w:tc>
          <w:tcPr>
            <w:tcW w:type="dxa" w:w="15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stoccaggio</w:t>
            </w:r>
          </w:p>
        </w:tc>
      </w:tr>
      <w:tr>
        <w:tblPrEx>
          <w:shd w:val="clear" w:color="auto" w:fill="auto"/>
        </w:tblPrEx>
        <w:trPr>
          <w:trHeight w:val="250" w:hRule="atLeast"/>
        </w:trPr>
        <w:tc>
          <w:tcPr>
            <w:tcW w:type="dxa" w:w="122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8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191212</w:t>
            </w:r>
          </w:p>
        </w:tc>
        <w:tc>
          <w:tcPr>
            <w:tcW w:type="dxa" w:w="5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CH</w:t>
            </w:r>
          </w:p>
        </w:tc>
        <w:tc>
          <w:tcPr>
            <w:tcW w:type="dxa" w:w="10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Chieti </w:t>
            </w:r>
          </w:p>
        </w:tc>
        <w:tc>
          <w:tcPr>
            <w:tcW w:type="dxa" w:w="33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DECO S.p.A.                                                 </w:t>
            </w:r>
          </w:p>
        </w:tc>
        <w:tc>
          <w:tcPr>
            <w:tcW w:type="dxa" w:w="9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97.254</w:t>
            </w:r>
          </w:p>
        </w:tc>
        <w:tc>
          <w:tcPr>
            <w:tcW w:type="dxa" w:w="15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TMB</w:t>
            </w:r>
          </w:p>
        </w:tc>
      </w:tr>
      <w:tr>
        <w:tblPrEx>
          <w:shd w:val="clear" w:color="auto" w:fill="auto"/>
        </w:tblPrEx>
        <w:trPr>
          <w:trHeight w:val="250" w:hRule="atLeast"/>
        </w:trPr>
        <w:tc>
          <w:tcPr>
            <w:tcW w:type="dxa" w:w="1227"/>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pPr>
            <w:r>
              <w:rPr>
                <w:rFonts w:ascii="Times New Roman Bold"/>
                <w:caps w:val="0"/>
                <w:smallCaps w:val="0"/>
                <w:strike w:val="0"/>
                <w:dstrike w:val="0"/>
                <w:outline w:val="0"/>
                <w:color w:val="000000"/>
                <w:spacing w:val="0"/>
                <w:kern w:val="0"/>
                <w:position w:val="0"/>
                <w:sz w:val="20"/>
                <w:szCs w:val="20"/>
                <w:u w:val="none" w:color="000000"/>
                <w:vertAlign w:val="baseline"/>
                <w:rtl w:val="0"/>
                <w:lang w:val="it-IT"/>
              </w:rPr>
              <w:t xml:space="preserve">AMA S.p.A. Rocca Cencia - CDR                          </w:t>
            </w:r>
          </w:p>
        </w:tc>
        <w:tc>
          <w:tcPr>
            <w:tcW w:type="dxa" w:w="8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190503</w:t>
            </w:r>
          </w:p>
        </w:tc>
        <w:tc>
          <w:tcPr>
            <w:tcW w:type="dxa" w:w="5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BG</w:t>
            </w:r>
          </w:p>
        </w:tc>
        <w:tc>
          <w:tcPr>
            <w:tcW w:type="dxa" w:w="10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Dalimine</w:t>
            </w:r>
          </w:p>
        </w:tc>
        <w:tc>
          <w:tcPr>
            <w:tcW w:type="dxa" w:w="33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REA DALMINE S.p.A.                                             </w:t>
            </w:r>
          </w:p>
        </w:tc>
        <w:tc>
          <w:tcPr>
            <w:tcW w:type="dxa" w:w="9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29</w:t>
            </w:r>
          </w:p>
        </w:tc>
        <w:tc>
          <w:tcPr>
            <w:tcW w:type="dxa" w:w="15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incenerimento</w:t>
            </w:r>
          </w:p>
        </w:tc>
      </w:tr>
      <w:tr>
        <w:tblPrEx>
          <w:shd w:val="clear" w:color="auto" w:fill="auto"/>
        </w:tblPrEx>
        <w:trPr>
          <w:trHeight w:val="442" w:hRule="atLeast"/>
        </w:trPr>
        <w:tc>
          <w:tcPr>
            <w:tcW w:type="dxa" w:w="122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8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190503</w:t>
            </w:r>
          </w:p>
        </w:tc>
        <w:tc>
          <w:tcPr>
            <w:tcW w:type="dxa" w:w="5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BO</w:t>
            </w:r>
          </w:p>
        </w:tc>
        <w:tc>
          <w:tcPr>
            <w:tcW w:type="dxa" w:w="10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Imola</w:t>
            </w:r>
          </w:p>
        </w:tc>
        <w:tc>
          <w:tcPr>
            <w:tcW w:type="dxa" w:w="33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HERAMBIENTE S.p.A. V.LE CARLO BERTI PICHAT,2/4 BO           </w:t>
            </w:r>
          </w:p>
        </w:tc>
        <w:tc>
          <w:tcPr>
            <w:tcW w:type="dxa" w:w="9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7.972</w:t>
            </w:r>
          </w:p>
        </w:tc>
        <w:tc>
          <w:tcPr>
            <w:tcW w:type="dxa" w:w="15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discarica</w:t>
            </w:r>
          </w:p>
        </w:tc>
      </w:tr>
      <w:tr>
        <w:tblPrEx>
          <w:shd w:val="clear" w:color="auto" w:fill="auto"/>
        </w:tblPrEx>
        <w:trPr>
          <w:trHeight w:val="662" w:hRule="atLeast"/>
        </w:trPr>
        <w:tc>
          <w:tcPr>
            <w:tcW w:type="dxa" w:w="122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8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190503</w:t>
            </w:r>
          </w:p>
        </w:tc>
        <w:tc>
          <w:tcPr>
            <w:tcW w:type="dxa" w:w="5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FC</w:t>
            </w:r>
          </w:p>
        </w:tc>
        <w:tc>
          <w:tcPr>
            <w:tcW w:type="dxa" w:w="10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Sogliano al Rubicone</w:t>
            </w:r>
          </w:p>
        </w:tc>
        <w:tc>
          <w:tcPr>
            <w:tcW w:type="dxa" w:w="33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SOGLIANO AMBIENTE S.p.A. DISCARICA "GINESTRETO 2"           </w:t>
            </w:r>
          </w:p>
        </w:tc>
        <w:tc>
          <w:tcPr>
            <w:tcW w:type="dxa" w:w="9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4.853</w:t>
            </w:r>
          </w:p>
        </w:tc>
        <w:tc>
          <w:tcPr>
            <w:tcW w:type="dxa" w:w="15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discarica</w:t>
            </w:r>
          </w:p>
        </w:tc>
      </w:tr>
      <w:tr>
        <w:tblPrEx>
          <w:shd w:val="clear" w:color="auto" w:fill="auto"/>
        </w:tblPrEx>
        <w:trPr>
          <w:trHeight w:val="442" w:hRule="atLeast"/>
        </w:trPr>
        <w:tc>
          <w:tcPr>
            <w:tcW w:type="dxa" w:w="122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8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190503</w:t>
            </w:r>
          </w:p>
        </w:tc>
        <w:tc>
          <w:tcPr>
            <w:tcW w:type="dxa" w:w="5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FM</w:t>
            </w:r>
          </w:p>
        </w:tc>
        <w:tc>
          <w:tcPr>
            <w:tcW w:type="dxa" w:w="10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Fermo</w:t>
            </w:r>
          </w:p>
        </w:tc>
        <w:tc>
          <w:tcPr>
            <w:tcW w:type="dxa" w:w="33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FERMO A.S.I.T.E. SURL VIA MAZZINI,4 63900 FERMO (FM)        </w:t>
            </w:r>
          </w:p>
        </w:tc>
        <w:tc>
          <w:tcPr>
            <w:tcW w:type="dxa" w:w="9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29</w:t>
            </w:r>
          </w:p>
        </w:tc>
        <w:tc>
          <w:tcPr>
            <w:tcW w:type="dxa" w:w="15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discarica</w:t>
            </w:r>
          </w:p>
        </w:tc>
      </w:tr>
      <w:tr>
        <w:tblPrEx>
          <w:shd w:val="clear" w:color="auto" w:fill="auto"/>
        </w:tblPrEx>
        <w:trPr>
          <w:trHeight w:val="250" w:hRule="atLeast"/>
        </w:trPr>
        <w:tc>
          <w:tcPr>
            <w:tcW w:type="dxa" w:w="122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8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190503</w:t>
            </w:r>
          </w:p>
        </w:tc>
        <w:tc>
          <w:tcPr>
            <w:tcW w:type="dxa" w:w="5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PS</w:t>
            </w:r>
          </w:p>
        </w:tc>
        <w:tc>
          <w:tcPr>
            <w:tcW w:type="dxa" w:w="10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Tavullia</w:t>
            </w:r>
          </w:p>
        </w:tc>
        <w:tc>
          <w:tcPr>
            <w:tcW w:type="dxa" w:w="33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MARCHE MULTISERVIZI S.p.A.                                  </w:t>
            </w:r>
          </w:p>
        </w:tc>
        <w:tc>
          <w:tcPr>
            <w:tcW w:type="dxa" w:w="9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4.127</w:t>
            </w:r>
          </w:p>
        </w:tc>
        <w:tc>
          <w:tcPr>
            <w:tcW w:type="dxa" w:w="15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discarica</w:t>
            </w:r>
          </w:p>
        </w:tc>
      </w:tr>
      <w:tr>
        <w:tblPrEx>
          <w:shd w:val="clear" w:color="auto" w:fill="auto"/>
        </w:tblPrEx>
        <w:trPr>
          <w:trHeight w:val="250" w:hRule="atLeast"/>
        </w:trPr>
        <w:tc>
          <w:tcPr>
            <w:tcW w:type="dxa" w:w="122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8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190503</w:t>
            </w:r>
          </w:p>
        </w:tc>
        <w:tc>
          <w:tcPr>
            <w:tcW w:type="dxa" w:w="5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TA</w:t>
            </w:r>
          </w:p>
        </w:tc>
        <w:tc>
          <w:tcPr>
            <w:tcW w:type="dxa" w:w="10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Grottaglie</w:t>
            </w:r>
          </w:p>
        </w:tc>
        <w:tc>
          <w:tcPr>
            <w:tcW w:type="dxa" w:w="33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LINEA AMBIENTE S.r.l.                                          </w:t>
            </w:r>
          </w:p>
        </w:tc>
        <w:tc>
          <w:tcPr>
            <w:tcW w:type="dxa" w:w="9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8.729</w:t>
            </w:r>
          </w:p>
        </w:tc>
        <w:tc>
          <w:tcPr>
            <w:tcW w:type="dxa" w:w="15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discarica</w:t>
            </w:r>
          </w:p>
        </w:tc>
      </w:tr>
      <w:tr>
        <w:tblPrEx>
          <w:shd w:val="clear" w:color="auto" w:fill="auto"/>
        </w:tblPrEx>
        <w:trPr>
          <w:trHeight w:val="442" w:hRule="atLeast"/>
        </w:trPr>
        <w:tc>
          <w:tcPr>
            <w:tcW w:type="dxa" w:w="122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8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191210</w:t>
            </w:r>
          </w:p>
        </w:tc>
        <w:tc>
          <w:tcPr>
            <w:tcW w:type="dxa" w:w="5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BS</w:t>
            </w:r>
          </w:p>
        </w:tc>
        <w:tc>
          <w:tcPr>
            <w:tcW w:type="dxa" w:w="10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Brescia</w:t>
            </w:r>
          </w:p>
        </w:tc>
        <w:tc>
          <w:tcPr>
            <w:tcW w:type="dxa" w:w="33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A2A AMBIENTE S.p.A. IMPIANTO TERMOVALORIZZATORE                </w:t>
            </w:r>
          </w:p>
        </w:tc>
        <w:tc>
          <w:tcPr>
            <w:tcW w:type="dxa" w:w="9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1.588</w:t>
            </w:r>
          </w:p>
        </w:tc>
        <w:tc>
          <w:tcPr>
            <w:tcW w:type="dxa" w:w="15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incenerimento</w:t>
            </w:r>
          </w:p>
        </w:tc>
      </w:tr>
      <w:tr>
        <w:tblPrEx>
          <w:shd w:val="clear" w:color="auto" w:fill="auto"/>
        </w:tblPrEx>
        <w:trPr>
          <w:trHeight w:val="662" w:hRule="atLeast"/>
        </w:trPr>
        <w:tc>
          <w:tcPr>
            <w:tcW w:type="dxa" w:w="122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8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191210</w:t>
            </w:r>
          </w:p>
        </w:tc>
        <w:tc>
          <w:tcPr>
            <w:tcW w:type="dxa" w:w="5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MN</w:t>
            </w:r>
          </w:p>
        </w:tc>
        <w:tc>
          <w:tcPr>
            <w:tcW w:type="dxa" w:w="10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Castiglione delle Stiviere</w:t>
            </w:r>
          </w:p>
        </w:tc>
        <w:tc>
          <w:tcPr>
            <w:tcW w:type="dxa" w:w="33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HERAMBIENTE RECUPERI S.r.l.                                 </w:t>
            </w:r>
          </w:p>
        </w:tc>
        <w:tc>
          <w:tcPr>
            <w:tcW w:type="dxa" w:w="9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4.725</w:t>
            </w:r>
          </w:p>
        </w:tc>
        <w:tc>
          <w:tcPr>
            <w:tcW w:type="dxa" w:w="15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selezione/recupero*</w:t>
            </w:r>
          </w:p>
        </w:tc>
      </w:tr>
      <w:tr>
        <w:tblPrEx>
          <w:shd w:val="clear" w:color="auto" w:fill="auto"/>
        </w:tblPrEx>
        <w:trPr>
          <w:trHeight w:val="442" w:hRule="atLeast"/>
        </w:trPr>
        <w:tc>
          <w:tcPr>
            <w:tcW w:type="dxa" w:w="122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8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191210</w:t>
            </w:r>
          </w:p>
        </w:tc>
        <w:tc>
          <w:tcPr>
            <w:tcW w:type="dxa" w:w="5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PV</w:t>
            </w:r>
          </w:p>
        </w:tc>
        <w:tc>
          <w:tcPr>
            <w:tcW w:type="dxa" w:w="10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Parona</w:t>
            </w:r>
          </w:p>
        </w:tc>
        <w:tc>
          <w:tcPr>
            <w:tcW w:type="dxa" w:w="33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LOMELLINA ENERGIA S.r.l.                                    </w:t>
            </w:r>
          </w:p>
        </w:tc>
        <w:tc>
          <w:tcPr>
            <w:tcW w:type="dxa" w:w="9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4.077</w:t>
            </w:r>
          </w:p>
        </w:tc>
        <w:tc>
          <w:tcPr>
            <w:tcW w:type="dxa" w:w="15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TMB/incenerimento*</w:t>
            </w:r>
          </w:p>
        </w:tc>
      </w:tr>
      <w:tr>
        <w:tblPrEx>
          <w:shd w:val="clear" w:color="auto" w:fill="auto"/>
        </w:tblPrEx>
        <w:trPr>
          <w:trHeight w:val="442" w:hRule="atLeast"/>
        </w:trPr>
        <w:tc>
          <w:tcPr>
            <w:tcW w:type="dxa" w:w="122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8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191210</w:t>
            </w:r>
          </w:p>
        </w:tc>
        <w:tc>
          <w:tcPr>
            <w:tcW w:type="dxa" w:w="5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TS</w:t>
            </w:r>
          </w:p>
        </w:tc>
        <w:tc>
          <w:tcPr>
            <w:tcW w:type="dxa" w:w="10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Trieste</w:t>
            </w:r>
          </w:p>
        </w:tc>
        <w:tc>
          <w:tcPr>
            <w:tcW w:type="dxa" w:w="33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HESTAMBIENTE S.r.l. VIA DEL TEATRO, 5 - TRIESTE             </w:t>
            </w:r>
          </w:p>
        </w:tc>
        <w:tc>
          <w:tcPr>
            <w:tcW w:type="dxa" w:w="9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192</w:t>
            </w:r>
          </w:p>
        </w:tc>
        <w:tc>
          <w:tcPr>
            <w:tcW w:type="dxa" w:w="15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incenerimento</w:t>
            </w:r>
          </w:p>
        </w:tc>
      </w:tr>
      <w:tr>
        <w:tblPrEx>
          <w:shd w:val="clear" w:color="auto" w:fill="auto"/>
        </w:tblPrEx>
        <w:trPr>
          <w:trHeight w:val="442" w:hRule="atLeast"/>
        </w:trPr>
        <w:tc>
          <w:tcPr>
            <w:tcW w:type="dxa" w:w="122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8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191210</w:t>
            </w:r>
          </w:p>
        </w:tc>
        <w:tc>
          <w:tcPr>
            <w:tcW w:type="dxa" w:w="5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BO</w:t>
            </w:r>
          </w:p>
        </w:tc>
        <w:tc>
          <w:tcPr>
            <w:tcW w:type="dxa" w:w="10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Bologna</w:t>
            </w:r>
          </w:p>
        </w:tc>
        <w:tc>
          <w:tcPr>
            <w:tcW w:type="dxa" w:w="33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F.E.A. FRULLO ENERGIA AMBIENTE S.r.l.                          </w:t>
            </w:r>
          </w:p>
        </w:tc>
        <w:tc>
          <w:tcPr>
            <w:tcW w:type="dxa" w:w="9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337</w:t>
            </w:r>
          </w:p>
        </w:tc>
        <w:tc>
          <w:tcPr>
            <w:tcW w:type="dxa" w:w="15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incenerimento</w:t>
            </w:r>
          </w:p>
        </w:tc>
      </w:tr>
      <w:tr>
        <w:tblPrEx>
          <w:shd w:val="clear" w:color="auto" w:fill="auto"/>
        </w:tblPrEx>
        <w:trPr>
          <w:trHeight w:val="442" w:hRule="atLeast"/>
        </w:trPr>
        <w:tc>
          <w:tcPr>
            <w:tcW w:type="dxa" w:w="122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8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191210</w:t>
            </w:r>
          </w:p>
        </w:tc>
        <w:tc>
          <w:tcPr>
            <w:tcW w:type="dxa" w:w="5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RA</w:t>
            </w:r>
          </w:p>
        </w:tc>
        <w:tc>
          <w:tcPr>
            <w:tcW w:type="dxa" w:w="10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Ravenna</w:t>
            </w:r>
          </w:p>
        </w:tc>
        <w:tc>
          <w:tcPr>
            <w:tcW w:type="dxa" w:w="33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HERAMBIENTE S.p.A.- RA_CDR PROD. 1.2,6. RA                  </w:t>
            </w:r>
          </w:p>
        </w:tc>
        <w:tc>
          <w:tcPr>
            <w:tcW w:type="dxa" w:w="9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4.414</w:t>
            </w:r>
          </w:p>
        </w:tc>
        <w:tc>
          <w:tcPr>
            <w:tcW w:type="dxa" w:w="15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TMB</w:t>
            </w:r>
          </w:p>
        </w:tc>
      </w:tr>
      <w:tr>
        <w:tblPrEx>
          <w:shd w:val="clear" w:color="auto" w:fill="auto"/>
        </w:tblPrEx>
        <w:trPr>
          <w:trHeight w:val="442" w:hRule="atLeast"/>
        </w:trPr>
        <w:tc>
          <w:tcPr>
            <w:tcW w:type="dxa" w:w="122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8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191210</w:t>
            </w:r>
          </w:p>
        </w:tc>
        <w:tc>
          <w:tcPr>
            <w:tcW w:type="dxa" w:w="5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RN</w:t>
            </w:r>
          </w:p>
        </w:tc>
        <w:tc>
          <w:tcPr>
            <w:tcW w:type="dxa" w:w="10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Coriano</w:t>
            </w:r>
          </w:p>
        </w:tc>
        <w:tc>
          <w:tcPr>
            <w:tcW w:type="dxa" w:w="33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HERAMBIENTE S.p.A. V.LE CARLO BERTI PICHAT,2/4 BO           </w:t>
            </w:r>
          </w:p>
        </w:tc>
        <w:tc>
          <w:tcPr>
            <w:tcW w:type="dxa" w:w="9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227</w:t>
            </w:r>
          </w:p>
        </w:tc>
        <w:tc>
          <w:tcPr>
            <w:tcW w:type="dxa" w:w="15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incenerimento</w:t>
            </w:r>
          </w:p>
        </w:tc>
      </w:tr>
      <w:tr>
        <w:tblPrEx>
          <w:shd w:val="clear" w:color="auto" w:fill="auto"/>
        </w:tblPrEx>
        <w:trPr>
          <w:trHeight w:val="662" w:hRule="atLeast"/>
        </w:trPr>
        <w:tc>
          <w:tcPr>
            <w:tcW w:type="dxa" w:w="122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8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191210</w:t>
            </w:r>
          </w:p>
        </w:tc>
        <w:tc>
          <w:tcPr>
            <w:tcW w:type="dxa" w:w="5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IS</w:t>
            </w:r>
          </w:p>
        </w:tc>
        <w:tc>
          <w:tcPr>
            <w:tcW w:type="dxa" w:w="10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Pozzilli</w:t>
            </w:r>
          </w:p>
        </w:tc>
        <w:tc>
          <w:tcPr>
            <w:tcW w:type="dxa" w:w="33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HERAMBIENTE S.p.A.-IS TERMOVAL1. V.LE CARLO BERTI PICHAT,2/4 BO</w:t>
            </w:r>
          </w:p>
        </w:tc>
        <w:tc>
          <w:tcPr>
            <w:tcW w:type="dxa" w:w="9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794</w:t>
            </w:r>
          </w:p>
        </w:tc>
        <w:tc>
          <w:tcPr>
            <w:tcW w:type="dxa" w:w="15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incenerimento</w:t>
            </w:r>
          </w:p>
        </w:tc>
      </w:tr>
      <w:tr>
        <w:tblPrEx>
          <w:shd w:val="clear" w:color="auto" w:fill="auto"/>
        </w:tblPrEx>
        <w:trPr>
          <w:trHeight w:val="250" w:hRule="atLeast"/>
        </w:trPr>
        <w:tc>
          <w:tcPr>
            <w:tcW w:type="dxa" w:w="122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8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191212</w:t>
            </w:r>
          </w:p>
        </w:tc>
        <w:tc>
          <w:tcPr>
            <w:tcW w:type="dxa" w:w="5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BG</w:t>
            </w:r>
          </w:p>
        </w:tc>
        <w:tc>
          <w:tcPr>
            <w:tcW w:type="dxa" w:w="10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Dalimine</w:t>
            </w:r>
          </w:p>
        </w:tc>
        <w:tc>
          <w:tcPr>
            <w:tcW w:type="dxa" w:w="33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REA DALMINE S.p.A.                                             </w:t>
            </w:r>
          </w:p>
        </w:tc>
        <w:tc>
          <w:tcPr>
            <w:tcW w:type="dxa" w:w="9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23.249</w:t>
            </w:r>
          </w:p>
        </w:tc>
        <w:tc>
          <w:tcPr>
            <w:tcW w:type="dxa" w:w="15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incenerimento</w:t>
            </w:r>
          </w:p>
        </w:tc>
      </w:tr>
      <w:tr>
        <w:tblPrEx>
          <w:shd w:val="clear" w:color="auto" w:fill="auto"/>
        </w:tblPrEx>
        <w:trPr>
          <w:trHeight w:val="662" w:hRule="atLeast"/>
        </w:trPr>
        <w:tc>
          <w:tcPr>
            <w:tcW w:type="dxa" w:w="122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8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191212</w:t>
            </w:r>
          </w:p>
        </w:tc>
        <w:tc>
          <w:tcPr>
            <w:tcW w:type="dxa" w:w="5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MN</w:t>
            </w:r>
          </w:p>
        </w:tc>
        <w:tc>
          <w:tcPr>
            <w:tcW w:type="dxa" w:w="10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Castiglione delle Stiviere</w:t>
            </w:r>
          </w:p>
        </w:tc>
        <w:tc>
          <w:tcPr>
            <w:tcW w:type="dxa" w:w="33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HERAMBIENTE RECUPERI S.r.l.                                 </w:t>
            </w:r>
          </w:p>
        </w:tc>
        <w:tc>
          <w:tcPr>
            <w:tcW w:type="dxa" w:w="9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208</w:t>
            </w:r>
          </w:p>
        </w:tc>
        <w:tc>
          <w:tcPr>
            <w:tcW w:type="dxa" w:w="15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selezione/recupero*</w:t>
            </w:r>
          </w:p>
        </w:tc>
      </w:tr>
      <w:tr>
        <w:tblPrEx>
          <w:shd w:val="clear" w:color="auto" w:fill="auto"/>
        </w:tblPrEx>
        <w:trPr>
          <w:trHeight w:val="442" w:hRule="atLeast"/>
        </w:trPr>
        <w:tc>
          <w:tcPr>
            <w:tcW w:type="dxa" w:w="122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8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191212</w:t>
            </w:r>
          </w:p>
        </w:tc>
        <w:tc>
          <w:tcPr>
            <w:tcW w:type="dxa" w:w="5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PV</w:t>
            </w:r>
          </w:p>
        </w:tc>
        <w:tc>
          <w:tcPr>
            <w:tcW w:type="dxa" w:w="10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Parona</w:t>
            </w:r>
          </w:p>
        </w:tc>
        <w:tc>
          <w:tcPr>
            <w:tcW w:type="dxa" w:w="33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LOMELLINA ENERGIA S.r.l.                                    </w:t>
            </w:r>
          </w:p>
        </w:tc>
        <w:tc>
          <w:tcPr>
            <w:tcW w:type="dxa" w:w="9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5.953</w:t>
            </w:r>
          </w:p>
        </w:tc>
        <w:tc>
          <w:tcPr>
            <w:tcW w:type="dxa" w:w="15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TMB/incenerimento*</w:t>
            </w:r>
          </w:p>
        </w:tc>
      </w:tr>
      <w:tr>
        <w:tblPrEx>
          <w:shd w:val="clear" w:color="auto" w:fill="auto"/>
        </w:tblPrEx>
        <w:trPr>
          <w:trHeight w:val="442" w:hRule="atLeast"/>
        </w:trPr>
        <w:tc>
          <w:tcPr>
            <w:tcW w:type="dxa" w:w="122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8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191212</w:t>
            </w:r>
          </w:p>
        </w:tc>
        <w:tc>
          <w:tcPr>
            <w:tcW w:type="dxa" w:w="5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BO</w:t>
            </w:r>
          </w:p>
        </w:tc>
        <w:tc>
          <w:tcPr>
            <w:tcW w:type="dxa" w:w="10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Bologna</w:t>
            </w:r>
          </w:p>
        </w:tc>
        <w:tc>
          <w:tcPr>
            <w:tcW w:type="dxa" w:w="33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F.E.A. FRULLO ENERGIA AMBIENTE S.r.l.                          </w:t>
            </w:r>
          </w:p>
        </w:tc>
        <w:tc>
          <w:tcPr>
            <w:tcW w:type="dxa" w:w="9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118</w:t>
            </w:r>
          </w:p>
        </w:tc>
        <w:tc>
          <w:tcPr>
            <w:tcW w:type="dxa" w:w="15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incenerimento</w:t>
            </w:r>
          </w:p>
        </w:tc>
      </w:tr>
      <w:tr>
        <w:tblPrEx>
          <w:shd w:val="clear" w:color="auto" w:fill="auto"/>
        </w:tblPrEx>
        <w:trPr>
          <w:trHeight w:val="442" w:hRule="atLeast"/>
        </w:trPr>
        <w:tc>
          <w:tcPr>
            <w:tcW w:type="dxa" w:w="122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8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191212</w:t>
            </w:r>
          </w:p>
        </w:tc>
        <w:tc>
          <w:tcPr>
            <w:tcW w:type="dxa" w:w="5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BO</w:t>
            </w:r>
          </w:p>
        </w:tc>
        <w:tc>
          <w:tcPr>
            <w:tcW w:type="dxa" w:w="10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Imola</w:t>
            </w:r>
          </w:p>
        </w:tc>
        <w:tc>
          <w:tcPr>
            <w:tcW w:type="dxa" w:w="33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HERAMBIENTE S.p.A. V.LE CARLO BERTI PICHAT,2/4 BO           </w:t>
            </w:r>
          </w:p>
        </w:tc>
        <w:tc>
          <w:tcPr>
            <w:tcW w:type="dxa" w:w="9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12.662</w:t>
            </w:r>
          </w:p>
        </w:tc>
        <w:tc>
          <w:tcPr>
            <w:tcW w:type="dxa" w:w="15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discarica</w:t>
            </w:r>
          </w:p>
        </w:tc>
      </w:tr>
      <w:tr>
        <w:tblPrEx>
          <w:shd w:val="clear" w:color="auto" w:fill="auto"/>
        </w:tblPrEx>
        <w:trPr>
          <w:trHeight w:val="662" w:hRule="atLeast"/>
        </w:trPr>
        <w:tc>
          <w:tcPr>
            <w:tcW w:type="dxa" w:w="122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8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191212</w:t>
            </w:r>
          </w:p>
        </w:tc>
        <w:tc>
          <w:tcPr>
            <w:tcW w:type="dxa" w:w="5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FC</w:t>
            </w:r>
          </w:p>
        </w:tc>
        <w:tc>
          <w:tcPr>
            <w:tcW w:type="dxa" w:w="10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Sogliano al Rubicone</w:t>
            </w:r>
          </w:p>
        </w:tc>
        <w:tc>
          <w:tcPr>
            <w:tcW w:type="dxa" w:w="33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SOGLIANO AMBIENTE S.p.A. DISCARICA "GINESTRETO 2"           </w:t>
            </w:r>
          </w:p>
        </w:tc>
        <w:tc>
          <w:tcPr>
            <w:tcW w:type="dxa" w:w="9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10.211</w:t>
            </w:r>
          </w:p>
        </w:tc>
        <w:tc>
          <w:tcPr>
            <w:tcW w:type="dxa" w:w="15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discarica</w:t>
            </w:r>
          </w:p>
        </w:tc>
      </w:tr>
      <w:tr>
        <w:tblPrEx>
          <w:shd w:val="clear" w:color="auto" w:fill="auto"/>
        </w:tblPrEx>
        <w:trPr>
          <w:trHeight w:val="250" w:hRule="atLeast"/>
        </w:trPr>
        <w:tc>
          <w:tcPr>
            <w:tcW w:type="dxa" w:w="122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8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191212</w:t>
            </w:r>
          </w:p>
        </w:tc>
        <w:tc>
          <w:tcPr>
            <w:tcW w:type="dxa" w:w="5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RA</w:t>
            </w:r>
          </w:p>
        </w:tc>
        <w:tc>
          <w:tcPr>
            <w:tcW w:type="dxa" w:w="10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Ravenna</w:t>
            </w:r>
          </w:p>
        </w:tc>
        <w:tc>
          <w:tcPr>
            <w:tcW w:type="dxa" w:w="33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HERAMBIENTE S.p.A.                                             </w:t>
            </w:r>
          </w:p>
        </w:tc>
        <w:tc>
          <w:tcPr>
            <w:tcW w:type="dxa" w:w="9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498</w:t>
            </w:r>
          </w:p>
        </w:tc>
        <w:tc>
          <w:tcPr>
            <w:tcW w:type="dxa" w:w="15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TMB</w:t>
            </w:r>
          </w:p>
        </w:tc>
      </w:tr>
      <w:tr>
        <w:tblPrEx>
          <w:shd w:val="clear" w:color="auto" w:fill="auto"/>
        </w:tblPrEx>
        <w:trPr>
          <w:trHeight w:val="250" w:hRule="atLeast"/>
        </w:trPr>
        <w:tc>
          <w:tcPr>
            <w:tcW w:type="dxa" w:w="122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8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191212</w:t>
            </w:r>
          </w:p>
        </w:tc>
        <w:tc>
          <w:tcPr>
            <w:tcW w:type="dxa" w:w="5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RA</w:t>
            </w:r>
          </w:p>
        </w:tc>
        <w:tc>
          <w:tcPr>
            <w:tcW w:type="dxa" w:w="10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Ravenna</w:t>
            </w:r>
          </w:p>
        </w:tc>
        <w:tc>
          <w:tcPr>
            <w:tcW w:type="dxa" w:w="33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HERAMBIENTE S.p.A.                                             </w:t>
            </w:r>
          </w:p>
        </w:tc>
        <w:tc>
          <w:tcPr>
            <w:tcW w:type="dxa" w:w="9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7.616</w:t>
            </w:r>
          </w:p>
        </w:tc>
        <w:tc>
          <w:tcPr>
            <w:tcW w:type="dxa" w:w="15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discarica</w:t>
            </w:r>
          </w:p>
        </w:tc>
      </w:tr>
      <w:tr>
        <w:tblPrEx>
          <w:shd w:val="clear" w:color="auto" w:fill="auto"/>
        </w:tblPrEx>
        <w:trPr>
          <w:trHeight w:val="442" w:hRule="atLeast"/>
        </w:trPr>
        <w:tc>
          <w:tcPr>
            <w:tcW w:type="dxa" w:w="122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8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191212</w:t>
            </w:r>
          </w:p>
        </w:tc>
        <w:tc>
          <w:tcPr>
            <w:tcW w:type="dxa" w:w="5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RN</w:t>
            </w:r>
          </w:p>
        </w:tc>
        <w:tc>
          <w:tcPr>
            <w:tcW w:type="dxa" w:w="10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Coriano</w:t>
            </w:r>
          </w:p>
        </w:tc>
        <w:tc>
          <w:tcPr>
            <w:tcW w:type="dxa" w:w="33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HERAMBIENTE S.p.A. V.LE CARLO BERTI PICHAT,2/4 BO           </w:t>
            </w:r>
          </w:p>
        </w:tc>
        <w:tc>
          <w:tcPr>
            <w:tcW w:type="dxa" w:w="9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349</w:t>
            </w:r>
          </w:p>
        </w:tc>
        <w:tc>
          <w:tcPr>
            <w:tcW w:type="dxa" w:w="15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incenerimento</w:t>
            </w:r>
          </w:p>
        </w:tc>
      </w:tr>
      <w:tr>
        <w:tblPrEx>
          <w:shd w:val="clear" w:color="auto" w:fill="auto"/>
        </w:tblPrEx>
        <w:trPr>
          <w:trHeight w:val="442" w:hRule="atLeast"/>
        </w:trPr>
        <w:tc>
          <w:tcPr>
            <w:tcW w:type="dxa" w:w="122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8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191212</w:t>
            </w:r>
          </w:p>
        </w:tc>
        <w:tc>
          <w:tcPr>
            <w:tcW w:type="dxa" w:w="5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FM</w:t>
            </w:r>
          </w:p>
        </w:tc>
        <w:tc>
          <w:tcPr>
            <w:tcW w:type="dxa" w:w="10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Fermo</w:t>
            </w:r>
          </w:p>
        </w:tc>
        <w:tc>
          <w:tcPr>
            <w:tcW w:type="dxa" w:w="33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FERMO A.S.I.T.E. SURL VIA MAZZINI,4 63900 FERMO (FM)        </w:t>
            </w:r>
          </w:p>
        </w:tc>
        <w:tc>
          <w:tcPr>
            <w:tcW w:type="dxa" w:w="9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12.892</w:t>
            </w:r>
          </w:p>
        </w:tc>
        <w:tc>
          <w:tcPr>
            <w:tcW w:type="dxa" w:w="15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discarica</w:t>
            </w:r>
          </w:p>
        </w:tc>
      </w:tr>
      <w:tr>
        <w:tblPrEx>
          <w:shd w:val="clear" w:color="auto" w:fill="auto"/>
        </w:tblPrEx>
        <w:trPr>
          <w:trHeight w:val="250" w:hRule="atLeast"/>
        </w:trPr>
        <w:tc>
          <w:tcPr>
            <w:tcW w:type="dxa" w:w="122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8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191212</w:t>
            </w:r>
          </w:p>
        </w:tc>
        <w:tc>
          <w:tcPr>
            <w:tcW w:type="dxa" w:w="5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PS</w:t>
            </w:r>
          </w:p>
        </w:tc>
        <w:tc>
          <w:tcPr>
            <w:tcW w:type="dxa" w:w="10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Tavullia</w:t>
            </w:r>
          </w:p>
        </w:tc>
        <w:tc>
          <w:tcPr>
            <w:tcW w:type="dxa" w:w="33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MARCHE MULTISERVIZI S.p.A.                                  </w:t>
            </w:r>
          </w:p>
        </w:tc>
        <w:tc>
          <w:tcPr>
            <w:tcW w:type="dxa" w:w="9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2.200</w:t>
            </w:r>
          </w:p>
        </w:tc>
        <w:tc>
          <w:tcPr>
            <w:tcW w:type="dxa" w:w="15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discarica</w:t>
            </w:r>
          </w:p>
        </w:tc>
      </w:tr>
      <w:tr>
        <w:tblPrEx>
          <w:shd w:val="clear" w:color="auto" w:fill="auto"/>
        </w:tblPrEx>
        <w:trPr>
          <w:trHeight w:val="442" w:hRule="atLeast"/>
        </w:trPr>
        <w:tc>
          <w:tcPr>
            <w:tcW w:type="dxa" w:w="122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8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191212</w:t>
            </w:r>
          </w:p>
        </w:tc>
        <w:tc>
          <w:tcPr>
            <w:tcW w:type="dxa" w:w="5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IS</w:t>
            </w:r>
          </w:p>
        </w:tc>
        <w:tc>
          <w:tcPr>
            <w:tcW w:type="dxa" w:w="10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Isernia</w:t>
            </w:r>
          </w:p>
        </w:tc>
        <w:tc>
          <w:tcPr>
            <w:tcW w:type="dxa" w:w="33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SMALTIMENTI SUD S.r.l.- V. CARLOMAGNO 10/12 . 86170 IS      </w:t>
            </w:r>
          </w:p>
        </w:tc>
        <w:tc>
          <w:tcPr>
            <w:tcW w:type="dxa" w:w="9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3.739</w:t>
            </w:r>
          </w:p>
        </w:tc>
        <w:tc>
          <w:tcPr>
            <w:tcW w:type="dxa" w:w="15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discarica</w:t>
            </w:r>
          </w:p>
        </w:tc>
      </w:tr>
      <w:tr>
        <w:tblPrEx>
          <w:shd w:val="clear" w:color="auto" w:fill="auto"/>
        </w:tblPrEx>
        <w:trPr>
          <w:trHeight w:val="250" w:hRule="atLeast"/>
        </w:trPr>
        <w:tc>
          <w:tcPr>
            <w:tcW w:type="dxa" w:w="122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8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191212</w:t>
            </w:r>
          </w:p>
        </w:tc>
        <w:tc>
          <w:tcPr>
            <w:tcW w:type="dxa" w:w="5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TA</w:t>
            </w:r>
          </w:p>
        </w:tc>
        <w:tc>
          <w:tcPr>
            <w:tcW w:type="dxa" w:w="10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Grottaglie</w:t>
            </w:r>
          </w:p>
        </w:tc>
        <w:tc>
          <w:tcPr>
            <w:tcW w:type="dxa" w:w="33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LINEA AMBIENTE S.r.l.                                          </w:t>
            </w:r>
          </w:p>
        </w:tc>
        <w:tc>
          <w:tcPr>
            <w:tcW w:type="dxa" w:w="9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17.343</w:t>
            </w:r>
          </w:p>
        </w:tc>
        <w:tc>
          <w:tcPr>
            <w:tcW w:type="dxa" w:w="15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discarica</w:t>
            </w:r>
          </w:p>
        </w:tc>
      </w:tr>
      <w:tr>
        <w:tblPrEx>
          <w:shd w:val="clear" w:color="auto" w:fill="auto"/>
        </w:tblPrEx>
        <w:trPr>
          <w:trHeight w:val="250" w:hRule="atLeast"/>
        </w:trPr>
        <w:tc>
          <w:tcPr>
            <w:tcW w:type="dxa" w:w="1227"/>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rFonts w:ascii="Times New Roman Bold"/>
                <w:caps w:val="0"/>
                <w:smallCaps w:val="0"/>
                <w:strike w:val="0"/>
                <w:dstrike w:val="0"/>
                <w:outline w:val="0"/>
                <w:color w:val="000000"/>
                <w:spacing w:val="0"/>
                <w:kern w:val="0"/>
                <w:position w:val="0"/>
                <w:sz w:val="20"/>
                <w:szCs w:val="20"/>
                <w:u w:val="none" w:color="000000"/>
                <w:vertAlign w:val="baseline"/>
                <w:rtl w:val="0"/>
                <w:lang w:val="it-IT"/>
              </w:rPr>
              <w:t xml:space="preserve">AMA S.p.A. Rocca Cencia - </w:t>
            </w:r>
            <w:r>
              <w:rPr>
                <w:rFonts w:ascii="Times New Roman Bold"/>
                <w:caps w:val="0"/>
                <w:smallCaps w:val="0"/>
                <w:strike w:val="0"/>
                <w:dstrike w:val="0"/>
                <w:outline w:val="0"/>
                <w:color w:val="000000"/>
                <w:spacing w:val="0"/>
                <w:kern w:val="0"/>
                <w:position w:val="0"/>
                <w:sz w:val="16"/>
                <w:szCs w:val="16"/>
                <w:u w:val="none" w:color="000000"/>
                <w:vertAlign w:val="baseline"/>
                <w:rtl w:val="0"/>
                <w:lang w:val="it-IT"/>
              </w:rPr>
              <w:t>TRITOVAGLIATORE</w:t>
            </w:r>
            <w:r>
              <w:rPr>
                <w:rFonts w:ascii="Times New Roman Bold"/>
                <w:caps w:val="0"/>
                <w:smallCaps w:val="0"/>
                <w:strike w:val="0"/>
                <w:dstrike w:val="0"/>
                <w:outline w:val="0"/>
                <w:color w:val="000000"/>
                <w:spacing w:val="0"/>
                <w:kern w:val="0"/>
                <w:position w:val="0"/>
                <w:sz w:val="20"/>
                <w:szCs w:val="20"/>
                <w:u w:val="none" w:color="000000"/>
                <w:vertAlign w:val="baseline"/>
                <w:rtl w:val="0"/>
                <w:lang w:val="it-IT"/>
              </w:rPr>
              <w:t xml:space="preserve">   </w:t>
            </w:r>
          </w:p>
        </w:tc>
        <w:tc>
          <w:tcPr>
            <w:tcW w:type="dxa" w:w="8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191212</w:t>
            </w:r>
          </w:p>
        </w:tc>
        <w:tc>
          <w:tcPr>
            <w:tcW w:type="dxa" w:w="5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BG</w:t>
            </w:r>
          </w:p>
        </w:tc>
        <w:tc>
          <w:tcPr>
            <w:tcW w:type="dxa" w:w="10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Dalmine</w:t>
            </w:r>
          </w:p>
        </w:tc>
        <w:tc>
          <w:tcPr>
            <w:tcW w:type="dxa" w:w="33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REA DALMINE S.p.A.                                             </w:t>
            </w:r>
          </w:p>
        </w:tc>
        <w:tc>
          <w:tcPr>
            <w:tcW w:type="dxa" w:w="9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204</w:t>
            </w:r>
          </w:p>
        </w:tc>
        <w:tc>
          <w:tcPr>
            <w:tcW w:type="dxa" w:w="15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incenerimento</w:t>
            </w:r>
          </w:p>
        </w:tc>
      </w:tr>
      <w:tr>
        <w:tblPrEx>
          <w:shd w:val="clear" w:color="auto" w:fill="auto"/>
        </w:tblPrEx>
        <w:trPr>
          <w:trHeight w:val="442" w:hRule="atLeast"/>
        </w:trPr>
        <w:tc>
          <w:tcPr>
            <w:tcW w:type="dxa" w:w="122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8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191212</w:t>
            </w:r>
          </w:p>
        </w:tc>
        <w:tc>
          <w:tcPr>
            <w:tcW w:type="dxa" w:w="5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PV</w:t>
            </w:r>
          </w:p>
        </w:tc>
        <w:tc>
          <w:tcPr>
            <w:tcW w:type="dxa" w:w="10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Parona</w:t>
            </w:r>
          </w:p>
        </w:tc>
        <w:tc>
          <w:tcPr>
            <w:tcW w:type="dxa" w:w="33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LOMELLINA ENERGIA S.r.l.                                    </w:t>
            </w:r>
          </w:p>
        </w:tc>
        <w:tc>
          <w:tcPr>
            <w:tcW w:type="dxa" w:w="9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509</w:t>
            </w:r>
          </w:p>
        </w:tc>
        <w:tc>
          <w:tcPr>
            <w:tcW w:type="dxa" w:w="15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TMB/incenerimento*</w:t>
            </w:r>
          </w:p>
        </w:tc>
      </w:tr>
      <w:tr>
        <w:tblPrEx>
          <w:shd w:val="clear" w:color="auto" w:fill="auto"/>
        </w:tblPrEx>
        <w:trPr>
          <w:trHeight w:val="442" w:hRule="atLeast"/>
        </w:trPr>
        <w:tc>
          <w:tcPr>
            <w:tcW w:type="dxa" w:w="122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8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191212</w:t>
            </w:r>
          </w:p>
        </w:tc>
        <w:tc>
          <w:tcPr>
            <w:tcW w:type="dxa" w:w="5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BO</w:t>
            </w:r>
          </w:p>
        </w:tc>
        <w:tc>
          <w:tcPr>
            <w:tcW w:type="dxa" w:w="10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Bologna</w:t>
            </w:r>
          </w:p>
        </w:tc>
        <w:tc>
          <w:tcPr>
            <w:tcW w:type="dxa" w:w="33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F.E.A. FRULLO ENERGIA AMBIENTE S.r.l.                          </w:t>
            </w:r>
          </w:p>
        </w:tc>
        <w:tc>
          <w:tcPr>
            <w:tcW w:type="dxa" w:w="9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197</w:t>
            </w:r>
          </w:p>
        </w:tc>
        <w:tc>
          <w:tcPr>
            <w:tcW w:type="dxa" w:w="15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incenerimento</w:t>
            </w:r>
          </w:p>
        </w:tc>
      </w:tr>
      <w:tr>
        <w:tblPrEx>
          <w:shd w:val="clear" w:color="auto" w:fill="auto"/>
        </w:tblPrEx>
        <w:trPr>
          <w:trHeight w:val="442" w:hRule="atLeast"/>
        </w:trPr>
        <w:tc>
          <w:tcPr>
            <w:tcW w:type="dxa" w:w="122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8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191212</w:t>
            </w:r>
          </w:p>
        </w:tc>
        <w:tc>
          <w:tcPr>
            <w:tcW w:type="dxa" w:w="5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RA</w:t>
            </w:r>
          </w:p>
        </w:tc>
        <w:tc>
          <w:tcPr>
            <w:tcW w:type="dxa" w:w="10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Ravenna</w:t>
            </w:r>
          </w:p>
        </w:tc>
        <w:tc>
          <w:tcPr>
            <w:tcW w:type="dxa" w:w="33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HERAMBIENTE S.p.A. V.LE CARLO BERTI PICHAT 2/4 BO           </w:t>
            </w:r>
          </w:p>
        </w:tc>
        <w:tc>
          <w:tcPr>
            <w:tcW w:type="dxa" w:w="9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12.145</w:t>
            </w:r>
          </w:p>
        </w:tc>
        <w:tc>
          <w:tcPr>
            <w:tcW w:type="dxa" w:w="15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TMB</w:t>
            </w:r>
          </w:p>
        </w:tc>
      </w:tr>
      <w:tr>
        <w:tblPrEx>
          <w:shd w:val="clear" w:color="auto" w:fill="auto"/>
        </w:tblPrEx>
        <w:trPr>
          <w:trHeight w:val="442" w:hRule="atLeast"/>
        </w:trPr>
        <w:tc>
          <w:tcPr>
            <w:tcW w:type="dxa" w:w="122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8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191212</w:t>
            </w:r>
          </w:p>
        </w:tc>
        <w:tc>
          <w:tcPr>
            <w:tcW w:type="dxa" w:w="5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RN</w:t>
            </w:r>
          </w:p>
        </w:tc>
        <w:tc>
          <w:tcPr>
            <w:tcW w:type="dxa" w:w="10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Coriano</w:t>
            </w:r>
          </w:p>
        </w:tc>
        <w:tc>
          <w:tcPr>
            <w:tcW w:type="dxa" w:w="33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HERAMBIENTE S.p.A. V.LE CARLO BERTI PICHAT,2/4 BO           </w:t>
            </w:r>
          </w:p>
        </w:tc>
        <w:tc>
          <w:tcPr>
            <w:tcW w:type="dxa" w:w="9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1.085</w:t>
            </w:r>
          </w:p>
        </w:tc>
        <w:tc>
          <w:tcPr>
            <w:tcW w:type="dxa" w:w="15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incenerimento</w:t>
            </w:r>
          </w:p>
        </w:tc>
      </w:tr>
      <w:tr>
        <w:tblPrEx>
          <w:shd w:val="clear" w:color="auto" w:fill="auto"/>
        </w:tblPrEx>
        <w:trPr>
          <w:trHeight w:val="662" w:hRule="atLeast"/>
        </w:trPr>
        <w:tc>
          <w:tcPr>
            <w:tcW w:type="dxa" w:w="1227"/>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rFonts w:ascii="Times New Roman Bold" w:cs="Times New Roman Bold" w:hAnsi="Times New Roman Bold" w:eastAsia="Times New Roman Bold"/>
                <w:caps w:val="0"/>
                <w:smallCaps w:val="0"/>
                <w:strike w:val="0"/>
                <w:dstrike w:val="0"/>
                <w:outline w:val="0"/>
                <w:color w:val="000000"/>
                <w:spacing w:val="0"/>
                <w:kern w:val="0"/>
                <w:position w:val="0"/>
                <w:sz w:val="20"/>
                <w:szCs w:val="20"/>
                <w:u w:val="none" w:color="000000"/>
                <w:vertAlign w:val="baseline"/>
                <w:rtl w:val="0"/>
                <w:lang w:val="it-IT"/>
              </w:rPr>
            </w:pPr>
            <w:r>
              <w:rPr>
                <w:rFonts w:ascii="Times New Roman Bold"/>
                <w:caps w:val="0"/>
                <w:smallCaps w:val="0"/>
                <w:strike w:val="0"/>
                <w:dstrike w:val="0"/>
                <w:outline w:val="0"/>
                <w:color w:val="000000"/>
                <w:spacing w:val="0"/>
                <w:kern w:val="0"/>
                <w:position w:val="0"/>
                <w:sz w:val="20"/>
                <w:szCs w:val="20"/>
                <w:u w:val="none" w:color="000000"/>
                <w:vertAlign w:val="baseline"/>
                <w:rtl w:val="0"/>
                <w:lang w:val="it-IT"/>
              </w:rPr>
              <w:t xml:space="preserve">AMA S.p.A. </w:t>
            </w:r>
          </w:p>
          <w:p>
            <w:pPr>
              <w:pStyle w:val="Normal"/>
              <w:jc w:val="center"/>
            </w:pPr>
            <w:r>
              <w:rPr>
                <w:rFonts w:ascii="Times New Roman Bold"/>
                <w:caps w:val="0"/>
                <w:smallCaps w:val="0"/>
                <w:strike w:val="0"/>
                <w:dstrike w:val="0"/>
                <w:outline w:val="0"/>
                <w:color w:val="000000"/>
                <w:spacing w:val="0"/>
                <w:kern w:val="0"/>
                <w:position w:val="0"/>
                <w:sz w:val="20"/>
                <w:szCs w:val="20"/>
                <w:u w:val="none" w:color="000000"/>
                <w:vertAlign w:val="baseline"/>
                <w:rtl w:val="0"/>
                <w:lang w:val="it-IT"/>
              </w:rPr>
              <w:t xml:space="preserve">VIA SALARIA                        </w:t>
            </w:r>
          </w:p>
        </w:tc>
        <w:tc>
          <w:tcPr>
            <w:tcW w:type="dxa" w:w="8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191210</w:t>
            </w:r>
          </w:p>
        </w:tc>
        <w:tc>
          <w:tcPr>
            <w:tcW w:type="dxa" w:w="5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MN</w:t>
            </w:r>
          </w:p>
        </w:tc>
        <w:tc>
          <w:tcPr>
            <w:tcW w:type="dxa" w:w="10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Castiglione delle Stiviere</w:t>
            </w:r>
          </w:p>
        </w:tc>
        <w:tc>
          <w:tcPr>
            <w:tcW w:type="dxa" w:w="33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HERAMBIENTE RECUPERI S.r.l. VIALE C.BERTI PICHAT 2/4        </w:t>
            </w:r>
          </w:p>
        </w:tc>
        <w:tc>
          <w:tcPr>
            <w:tcW w:type="dxa" w:w="9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960</w:t>
            </w:r>
          </w:p>
        </w:tc>
        <w:tc>
          <w:tcPr>
            <w:tcW w:type="dxa" w:w="15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selezione/recupero*</w:t>
            </w:r>
          </w:p>
        </w:tc>
      </w:tr>
      <w:tr>
        <w:tblPrEx>
          <w:shd w:val="clear" w:color="auto" w:fill="auto"/>
        </w:tblPrEx>
        <w:trPr>
          <w:trHeight w:val="442" w:hRule="atLeast"/>
        </w:trPr>
        <w:tc>
          <w:tcPr>
            <w:tcW w:type="dxa" w:w="122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8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191210</w:t>
            </w:r>
          </w:p>
        </w:tc>
        <w:tc>
          <w:tcPr>
            <w:tcW w:type="dxa" w:w="5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PV</w:t>
            </w:r>
          </w:p>
        </w:tc>
        <w:tc>
          <w:tcPr>
            <w:tcW w:type="dxa" w:w="10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Parona</w:t>
            </w:r>
          </w:p>
        </w:tc>
        <w:tc>
          <w:tcPr>
            <w:tcW w:type="dxa" w:w="33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LOMELLINA ENERGIA S.r.l. VIA VECCHIA PER VIGEVANO              </w:t>
            </w:r>
          </w:p>
        </w:tc>
        <w:tc>
          <w:tcPr>
            <w:tcW w:type="dxa" w:w="9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300</w:t>
            </w:r>
          </w:p>
        </w:tc>
        <w:tc>
          <w:tcPr>
            <w:tcW w:type="dxa" w:w="15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TMB/incenerimento*</w:t>
            </w:r>
          </w:p>
        </w:tc>
      </w:tr>
      <w:tr>
        <w:tblPrEx>
          <w:shd w:val="clear" w:color="auto" w:fill="auto"/>
        </w:tblPrEx>
        <w:trPr>
          <w:trHeight w:val="442" w:hRule="atLeast"/>
        </w:trPr>
        <w:tc>
          <w:tcPr>
            <w:tcW w:type="dxa" w:w="122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8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191210</w:t>
            </w:r>
          </w:p>
        </w:tc>
        <w:tc>
          <w:tcPr>
            <w:tcW w:type="dxa" w:w="5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BO</w:t>
            </w:r>
          </w:p>
        </w:tc>
        <w:tc>
          <w:tcPr>
            <w:tcW w:type="dxa" w:w="10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Granarolo dell'Emilia</w:t>
            </w:r>
          </w:p>
        </w:tc>
        <w:tc>
          <w:tcPr>
            <w:tcW w:type="dxa" w:w="33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F.E.A. FRULLO ENERGIA AMB. S.r.l.                              </w:t>
            </w:r>
          </w:p>
        </w:tc>
        <w:tc>
          <w:tcPr>
            <w:tcW w:type="dxa" w:w="9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252</w:t>
            </w:r>
          </w:p>
        </w:tc>
        <w:tc>
          <w:tcPr>
            <w:tcW w:type="dxa" w:w="15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incenerimento</w:t>
            </w:r>
          </w:p>
        </w:tc>
      </w:tr>
      <w:tr>
        <w:tblPrEx>
          <w:shd w:val="clear" w:color="auto" w:fill="auto"/>
        </w:tblPrEx>
        <w:trPr>
          <w:trHeight w:val="442" w:hRule="atLeast"/>
        </w:trPr>
        <w:tc>
          <w:tcPr>
            <w:tcW w:type="dxa" w:w="122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8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191210</w:t>
            </w:r>
          </w:p>
        </w:tc>
        <w:tc>
          <w:tcPr>
            <w:tcW w:type="dxa" w:w="5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FE</w:t>
            </w:r>
          </w:p>
        </w:tc>
        <w:tc>
          <w:tcPr>
            <w:tcW w:type="dxa" w:w="10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Ferrara</w:t>
            </w:r>
          </w:p>
        </w:tc>
        <w:tc>
          <w:tcPr>
            <w:tcW w:type="dxa" w:w="33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HERAMBIENTE S.p.A. VIA BERTI PICHAT, 2/4 BOLOGNA               </w:t>
            </w:r>
          </w:p>
        </w:tc>
        <w:tc>
          <w:tcPr>
            <w:tcW w:type="dxa" w:w="9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127</w:t>
            </w:r>
          </w:p>
        </w:tc>
        <w:tc>
          <w:tcPr>
            <w:tcW w:type="dxa" w:w="15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incenerimento</w:t>
            </w:r>
          </w:p>
        </w:tc>
      </w:tr>
      <w:tr>
        <w:tblPrEx>
          <w:shd w:val="clear" w:color="auto" w:fill="auto"/>
        </w:tblPrEx>
        <w:trPr>
          <w:trHeight w:val="442" w:hRule="atLeast"/>
        </w:trPr>
        <w:tc>
          <w:tcPr>
            <w:tcW w:type="dxa" w:w="122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8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191210</w:t>
            </w:r>
          </w:p>
        </w:tc>
        <w:tc>
          <w:tcPr>
            <w:tcW w:type="dxa" w:w="5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RA</w:t>
            </w:r>
          </w:p>
        </w:tc>
        <w:tc>
          <w:tcPr>
            <w:tcW w:type="dxa" w:w="10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Ravenna</w:t>
            </w:r>
          </w:p>
        </w:tc>
        <w:tc>
          <w:tcPr>
            <w:tcW w:type="dxa" w:w="33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HERAMBIENTE S.p.A.- RA_CDR PROD. 1.2,6. RA                  </w:t>
            </w:r>
          </w:p>
        </w:tc>
        <w:tc>
          <w:tcPr>
            <w:tcW w:type="dxa" w:w="9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1.263</w:t>
            </w:r>
          </w:p>
        </w:tc>
        <w:tc>
          <w:tcPr>
            <w:tcW w:type="dxa" w:w="15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TMB</w:t>
            </w:r>
          </w:p>
        </w:tc>
      </w:tr>
      <w:tr>
        <w:tblPrEx>
          <w:shd w:val="clear" w:color="auto" w:fill="auto"/>
        </w:tblPrEx>
        <w:trPr>
          <w:trHeight w:val="442" w:hRule="atLeast"/>
        </w:trPr>
        <w:tc>
          <w:tcPr>
            <w:tcW w:type="dxa" w:w="122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8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191210</w:t>
            </w:r>
          </w:p>
        </w:tc>
        <w:tc>
          <w:tcPr>
            <w:tcW w:type="dxa" w:w="5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RN</w:t>
            </w:r>
          </w:p>
        </w:tc>
        <w:tc>
          <w:tcPr>
            <w:tcW w:type="dxa" w:w="10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Coriano</w:t>
            </w:r>
          </w:p>
        </w:tc>
        <w:tc>
          <w:tcPr>
            <w:tcW w:type="dxa" w:w="33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HERAMBIENTE S.p.A. V.LE CARLO BERTI PICHAT 2/4 BO              </w:t>
            </w:r>
          </w:p>
        </w:tc>
        <w:tc>
          <w:tcPr>
            <w:tcW w:type="dxa" w:w="9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366</w:t>
            </w:r>
          </w:p>
        </w:tc>
        <w:tc>
          <w:tcPr>
            <w:tcW w:type="dxa" w:w="15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incenerimento</w:t>
            </w:r>
          </w:p>
        </w:tc>
      </w:tr>
      <w:tr>
        <w:tblPrEx>
          <w:shd w:val="clear" w:color="auto" w:fill="auto"/>
        </w:tblPrEx>
        <w:trPr>
          <w:trHeight w:val="250" w:hRule="atLeast"/>
        </w:trPr>
        <w:tc>
          <w:tcPr>
            <w:tcW w:type="dxa" w:w="122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8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191212</w:t>
            </w:r>
          </w:p>
        </w:tc>
        <w:tc>
          <w:tcPr>
            <w:tcW w:type="dxa" w:w="5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BG</w:t>
            </w:r>
          </w:p>
        </w:tc>
        <w:tc>
          <w:tcPr>
            <w:tcW w:type="dxa" w:w="10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Dalmine</w:t>
            </w:r>
          </w:p>
        </w:tc>
        <w:tc>
          <w:tcPr>
            <w:tcW w:type="dxa" w:w="33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REA DALMINE S.p.A.                                             </w:t>
            </w:r>
          </w:p>
        </w:tc>
        <w:tc>
          <w:tcPr>
            <w:tcW w:type="dxa" w:w="9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472</w:t>
            </w:r>
          </w:p>
        </w:tc>
        <w:tc>
          <w:tcPr>
            <w:tcW w:type="dxa" w:w="15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incenerimento</w:t>
            </w:r>
          </w:p>
        </w:tc>
      </w:tr>
      <w:tr>
        <w:tblPrEx>
          <w:shd w:val="clear" w:color="auto" w:fill="auto"/>
        </w:tblPrEx>
        <w:trPr>
          <w:trHeight w:val="442" w:hRule="atLeast"/>
        </w:trPr>
        <w:tc>
          <w:tcPr>
            <w:tcW w:type="dxa" w:w="122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8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191212</w:t>
            </w:r>
          </w:p>
        </w:tc>
        <w:tc>
          <w:tcPr>
            <w:tcW w:type="dxa" w:w="5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BO</w:t>
            </w:r>
          </w:p>
        </w:tc>
        <w:tc>
          <w:tcPr>
            <w:tcW w:type="dxa" w:w="10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Granarolo dell'Emilia</w:t>
            </w:r>
          </w:p>
        </w:tc>
        <w:tc>
          <w:tcPr>
            <w:tcW w:type="dxa" w:w="33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F.E.A. FRULLO ENERGIA AMB. S.r.l.                              </w:t>
            </w:r>
          </w:p>
        </w:tc>
        <w:tc>
          <w:tcPr>
            <w:tcW w:type="dxa" w:w="9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530</w:t>
            </w:r>
          </w:p>
        </w:tc>
        <w:tc>
          <w:tcPr>
            <w:tcW w:type="dxa" w:w="15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incenerimento</w:t>
            </w:r>
          </w:p>
        </w:tc>
      </w:tr>
      <w:tr>
        <w:tblPrEx>
          <w:shd w:val="clear" w:color="auto" w:fill="auto"/>
        </w:tblPrEx>
        <w:trPr>
          <w:trHeight w:val="442" w:hRule="atLeast"/>
        </w:trPr>
        <w:tc>
          <w:tcPr>
            <w:tcW w:type="dxa" w:w="122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8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191212</w:t>
            </w:r>
          </w:p>
        </w:tc>
        <w:tc>
          <w:tcPr>
            <w:tcW w:type="dxa" w:w="5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BO</w:t>
            </w:r>
          </w:p>
        </w:tc>
        <w:tc>
          <w:tcPr>
            <w:tcW w:type="dxa" w:w="10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Imola</w:t>
            </w:r>
          </w:p>
        </w:tc>
        <w:tc>
          <w:tcPr>
            <w:tcW w:type="dxa" w:w="33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HERAMBIENTE S.p.A. VIALE BERTI PICHAT 2/4 -BO-                 </w:t>
            </w:r>
          </w:p>
        </w:tc>
        <w:tc>
          <w:tcPr>
            <w:tcW w:type="dxa" w:w="9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11.949</w:t>
            </w:r>
          </w:p>
        </w:tc>
        <w:tc>
          <w:tcPr>
            <w:tcW w:type="dxa" w:w="15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discarica</w:t>
            </w:r>
          </w:p>
        </w:tc>
      </w:tr>
      <w:tr>
        <w:tblPrEx>
          <w:shd w:val="clear" w:color="auto" w:fill="auto"/>
        </w:tblPrEx>
        <w:trPr>
          <w:trHeight w:val="662" w:hRule="atLeast"/>
        </w:trPr>
        <w:tc>
          <w:tcPr>
            <w:tcW w:type="dxa" w:w="122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8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191212</w:t>
            </w:r>
          </w:p>
        </w:tc>
        <w:tc>
          <w:tcPr>
            <w:tcW w:type="dxa" w:w="5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FO</w:t>
            </w:r>
          </w:p>
        </w:tc>
        <w:tc>
          <w:tcPr>
            <w:tcW w:type="dxa" w:w="10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Sogliano al Rubicone</w:t>
            </w:r>
          </w:p>
        </w:tc>
        <w:tc>
          <w:tcPr>
            <w:tcW w:type="dxa" w:w="33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SOGLIANO AMBIENTE S.p.A. PIAZZA GARIBALDI 12                </w:t>
            </w:r>
          </w:p>
        </w:tc>
        <w:tc>
          <w:tcPr>
            <w:tcW w:type="dxa" w:w="9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9.559</w:t>
            </w:r>
          </w:p>
        </w:tc>
        <w:tc>
          <w:tcPr>
            <w:tcW w:type="dxa" w:w="15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discarica</w:t>
            </w:r>
          </w:p>
        </w:tc>
      </w:tr>
      <w:tr>
        <w:tblPrEx>
          <w:shd w:val="clear" w:color="auto" w:fill="auto"/>
        </w:tblPrEx>
        <w:trPr>
          <w:trHeight w:val="442" w:hRule="atLeast"/>
        </w:trPr>
        <w:tc>
          <w:tcPr>
            <w:tcW w:type="dxa" w:w="122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8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191212</w:t>
            </w:r>
          </w:p>
        </w:tc>
        <w:tc>
          <w:tcPr>
            <w:tcW w:type="dxa" w:w="5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RA</w:t>
            </w:r>
          </w:p>
        </w:tc>
        <w:tc>
          <w:tcPr>
            <w:tcW w:type="dxa" w:w="10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Ravenna</w:t>
            </w:r>
          </w:p>
        </w:tc>
        <w:tc>
          <w:tcPr>
            <w:tcW w:type="dxa" w:w="33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HERAMBIENTE S.p.A.- RA_CDR PROD. 1.2,6. RA                  </w:t>
            </w:r>
          </w:p>
        </w:tc>
        <w:tc>
          <w:tcPr>
            <w:tcW w:type="dxa" w:w="9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2.053</w:t>
            </w:r>
          </w:p>
        </w:tc>
        <w:tc>
          <w:tcPr>
            <w:tcW w:type="dxa" w:w="15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TMB</w:t>
            </w:r>
          </w:p>
        </w:tc>
      </w:tr>
      <w:tr>
        <w:tblPrEx>
          <w:shd w:val="clear" w:color="auto" w:fill="auto"/>
        </w:tblPrEx>
        <w:trPr>
          <w:trHeight w:val="250" w:hRule="atLeast"/>
        </w:trPr>
        <w:tc>
          <w:tcPr>
            <w:tcW w:type="dxa" w:w="122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8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191212</w:t>
            </w:r>
          </w:p>
        </w:tc>
        <w:tc>
          <w:tcPr>
            <w:tcW w:type="dxa" w:w="5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RA</w:t>
            </w:r>
          </w:p>
        </w:tc>
        <w:tc>
          <w:tcPr>
            <w:tcW w:type="dxa" w:w="10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Ravenna</w:t>
            </w:r>
          </w:p>
        </w:tc>
        <w:tc>
          <w:tcPr>
            <w:tcW w:type="dxa" w:w="33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HERAMBIENTE_S.p.A.                                             </w:t>
            </w:r>
          </w:p>
        </w:tc>
        <w:tc>
          <w:tcPr>
            <w:tcW w:type="dxa" w:w="9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12.143</w:t>
            </w:r>
          </w:p>
        </w:tc>
        <w:tc>
          <w:tcPr>
            <w:tcW w:type="dxa" w:w="15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discarica</w:t>
            </w:r>
          </w:p>
        </w:tc>
      </w:tr>
      <w:tr>
        <w:tblPrEx>
          <w:shd w:val="clear" w:color="auto" w:fill="auto"/>
        </w:tblPrEx>
        <w:trPr>
          <w:trHeight w:val="442" w:hRule="atLeast"/>
        </w:trPr>
        <w:tc>
          <w:tcPr>
            <w:tcW w:type="dxa" w:w="122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8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191212</w:t>
            </w:r>
          </w:p>
        </w:tc>
        <w:tc>
          <w:tcPr>
            <w:tcW w:type="dxa" w:w="5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RN</w:t>
            </w:r>
          </w:p>
        </w:tc>
        <w:tc>
          <w:tcPr>
            <w:tcW w:type="dxa" w:w="10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Coriano</w:t>
            </w:r>
          </w:p>
        </w:tc>
        <w:tc>
          <w:tcPr>
            <w:tcW w:type="dxa" w:w="33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HERAMBIENTE S.p.A. V.LE CARLO BERTI PICHAT 2/4 BO              </w:t>
            </w:r>
          </w:p>
        </w:tc>
        <w:tc>
          <w:tcPr>
            <w:tcW w:type="dxa" w:w="9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2.380</w:t>
            </w:r>
          </w:p>
        </w:tc>
        <w:tc>
          <w:tcPr>
            <w:tcW w:type="dxa" w:w="15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incenerimento</w:t>
            </w:r>
          </w:p>
        </w:tc>
      </w:tr>
      <w:tr>
        <w:tblPrEx>
          <w:shd w:val="clear" w:color="auto" w:fill="auto"/>
        </w:tblPrEx>
        <w:trPr>
          <w:trHeight w:val="442" w:hRule="atLeast"/>
        </w:trPr>
        <w:tc>
          <w:tcPr>
            <w:tcW w:type="dxa" w:w="122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8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191212</w:t>
            </w:r>
          </w:p>
        </w:tc>
        <w:tc>
          <w:tcPr>
            <w:tcW w:type="dxa" w:w="5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FM</w:t>
            </w:r>
          </w:p>
        </w:tc>
        <w:tc>
          <w:tcPr>
            <w:tcW w:type="dxa" w:w="10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Fermo</w:t>
            </w:r>
          </w:p>
        </w:tc>
        <w:tc>
          <w:tcPr>
            <w:tcW w:type="dxa" w:w="33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FERMO A.S.I.T.E. SURL VIA MAZZINI-4-63900 FERMO (FM)        </w:t>
            </w:r>
          </w:p>
        </w:tc>
        <w:tc>
          <w:tcPr>
            <w:tcW w:type="dxa" w:w="9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1.951</w:t>
            </w:r>
          </w:p>
        </w:tc>
        <w:tc>
          <w:tcPr>
            <w:tcW w:type="dxa" w:w="15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discarica</w:t>
            </w:r>
          </w:p>
        </w:tc>
      </w:tr>
      <w:tr>
        <w:tblPrEx>
          <w:shd w:val="clear" w:color="auto" w:fill="auto"/>
        </w:tblPrEx>
        <w:trPr>
          <w:trHeight w:val="442" w:hRule="atLeast"/>
        </w:trPr>
        <w:tc>
          <w:tcPr>
            <w:tcW w:type="dxa" w:w="122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8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191212</w:t>
            </w:r>
          </w:p>
        </w:tc>
        <w:tc>
          <w:tcPr>
            <w:tcW w:type="dxa" w:w="5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IS</w:t>
            </w:r>
          </w:p>
        </w:tc>
        <w:tc>
          <w:tcPr>
            <w:tcW w:type="dxa" w:w="10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Isernia</w:t>
            </w:r>
          </w:p>
        </w:tc>
        <w:tc>
          <w:tcPr>
            <w:tcW w:type="dxa" w:w="33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SMALTIMENTI SUD S.r.l. VIA CARLOMAGNO, 10/12 - IS           </w:t>
            </w:r>
          </w:p>
        </w:tc>
        <w:tc>
          <w:tcPr>
            <w:tcW w:type="dxa" w:w="9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5.470</w:t>
            </w:r>
          </w:p>
        </w:tc>
        <w:tc>
          <w:tcPr>
            <w:tcW w:type="dxa" w:w="15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discarica</w:t>
            </w:r>
          </w:p>
        </w:tc>
      </w:tr>
      <w:tr>
        <w:tblPrEx>
          <w:shd w:val="clear" w:color="auto" w:fill="auto"/>
        </w:tblPrEx>
        <w:trPr>
          <w:trHeight w:val="250" w:hRule="atLeast"/>
        </w:trPr>
        <w:tc>
          <w:tcPr>
            <w:tcW w:type="dxa" w:w="122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8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191212</w:t>
            </w:r>
          </w:p>
        </w:tc>
        <w:tc>
          <w:tcPr>
            <w:tcW w:type="dxa" w:w="5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TA</w:t>
            </w:r>
          </w:p>
        </w:tc>
        <w:tc>
          <w:tcPr>
            <w:tcW w:type="dxa" w:w="10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Grottaglie</w:t>
            </w:r>
          </w:p>
        </w:tc>
        <w:tc>
          <w:tcPr>
            <w:tcW w:type="dxa" w:w="33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LINEA AMBIENTE S.r.l.                                       </w:t>
            </w:r>
          </w:p>
        </w:tc>
        <w:tc>
          <w:tcPr>
            <w:tcW w:type="dxa" w:w="9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3.941</w:t>
            </w:r>
          </w:p>
        </w:tc>
        <w:tc>
          <w:tcPr>
            <w:tcW w:type="dxa" w:w="15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discarica</w:t>
            </w:r>
          </w:p>
        </w:tc>
      </w:tr>
      <w:tr>
        <w:tblPrEx>
          <w:shd w:val="clear" w:color="auto" w:fill="auto"/>
        </w:tblPrEx>
        <w:trPr>
          <w:trHeight w:val="442" w:hRule="atLeast"/>
        </w:trPr>
        <w:tc>
          <w:tcPr>
            <w:tcW w:type="dxa" w:w="122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8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190501</w:t>
            </w:r>
          </w:p>
        </w:tc>
        <w:tc>
          <w:tcPr>
            <w:tcW w:type="dxa" w:w="5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BO</w:t>
            </w:r>
          </w:p>
        </w:tc>
        <w:tc>
          <w:tcPr>
            <w:tcW w:type="dxa" w:w="10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Imola</w:t>
            </w:r>
          </w:p>
        </w:tc>
        <w:tc>
          <w:tcPr>
            <w:tcW w:type="dxa" w:w="33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HERAMBIENTE S.p.A. VIALE BERTI PICHAT 2/4 -BO-                 </w:t>
            </w:r>
          </w:p>
        </w:tc>
        <w:tc>
          <w:tcPr>
            <w:tcW w:type="dxa" w:w="9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615</w:t>
            </w:r>
          </w:p>
        </w:tc>
        <w:tc>
          <w:tcPr>
            <w:tcW w:type="dxa" w:w="15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discarica</w:t>
            </w:r>
          </w:p>
        </w:tc>
      </w:tr>
      <w:tr>
        <w:tblPrEx>
          <w:shd w:val="clear" w:color="auto" w:fill="auto"/>
        </w:tblPrEx>
        <w:trPr>
          <w:trHeight w:val="662" w:hRule="atLeast"/>
        </w:trPr>
        <w:tc>
          <w:tcPr>
            <w:tcW w:type="dxa" w:w="122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8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190501</w:t>
            </w:r>
          </w:p>
        </w:tc>
        <w:tc>
          <w:tcPr>
            <w:tcW w:type="dxa" w:w="5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FO</w:t>
            </w:r>
          </w:p>
        </w:tc>
        <w:tc>
          <w:tcPr>
            <w:tcW w:type="dxa" w:w="10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Sogliano al Rubicone</w:t>
            </w:r>
          </w:p>
        </w:tc>
        <w:tc>
          <w:tcPr>
            <w:tcW w:type="dxa" w:w="33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SOGLIANO AMBIENTE S.p.A. PIAZZA GARIBALDI 12                </w:t>
            </w:r>
          </w:p>
        </w:tc>
        <w:tc>
          <w:tcPr>
            <w:tcW w:type="dxa" w:w="9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658</w:t>
            </w:r>
          </w:p>
        </w:tc>
        <w:tc>
          <w:tcPr>
            <w:tcW w:type="dxa" w:w="15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discarica</w:t>
            </w:r>
          </w:p>
        </w:tc>
      </w:tr>
      <w:tr>
        <w:tblPrEx>
          <w:shd w:val="clear" w:color="auto" w:fill="auto"/>
        </w:tblPrEx>
        <w:trPr>
          <w:trHeight w:val="442" w:hRule="atLeast"/>
        </w:trPr>
        <w:tc>
          <w:tcPr>
            <w:tcW w:type="dxa" w:w="122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8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190501</w:t>
            </w:r>
          </w:p>
        </w:tc>
        <w:tc>
          <w:tcPr>
            <w:tcW w:type="dxa" w:w="5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FM</w:t>
            </w:r>
          </w:p>
        </w:tc>
        <w:tc>
          <w:tcPr>
            <w:tcW w:type="dxa" w:w="10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Fermo</w:t>
            </w:r>
          </w:p>
        </w:tc>
        <w:tc>
          <w:tcPr>
            <w:tcW w:type="dxa" w:w="33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FERMO A.S.I.T.E. SURL VIA MAZZINI-4-63900 FERMO (FM)        </w:t>
            </w:r>
          </w:p>
        </w:tc>
        <w:tc>
          <w:tcPr>
            <w:tcW w:type="dxa" w:w="9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928</w:t>
            </w:r>
          </w:p>
        </w:tc>
        <w:tc>
          <w:tcPr>
            <w:tcW w:type="dxa" w:w="15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discarica</w:t>
            </w:r>
          </w:p>
        </w:tc>
      </w:tr>
      <w:tr>
        <w:tblPrEx>
          <w:shd w:val="clear" w:color="auto" w:fill="auto"/>
        </w:tblPrEx>
        <w:trPr>
          <w:trHeight w:val="250" w:hRule="atLeast"/>
        </w:trPr>
        <w:tc>
          <w:tcPr>
            <w:tcW w:type="dxa" w:w="122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8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190501</w:t>
            </w:r>
          </w:p>
        </w:tc>
        <w:tc>
          <w:tcPr>
            <w:tcW w:type="dxa" w:w="5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TA</w:t>
            </w:r>
          </w:p>
        </w:tc>
        <w:tc>
          <w:tcPr>
            <w:tcW w:type="dxa" w:w="10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Grottaglie</w:t>
            </w:r>
          </w:p>
        </w:tc>
        <w:tc>
          <w:tcPr>
            <w:tcW w:type="dxa" w:w="33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LINEA AMBIENTE S.r.l.                                       </w:t>
            </w:r>
          </w:p>
        </w:tc>
        <w:tc>
          <w:tcPr>
            <w:tcW w:type="dxa" w:w="9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1.586</w:t>
            </w:r>
          </w:p>
        </w:tc>
        <w:tc>
          <w:tcPr>
            <w:tcW w:type="dxa" w:w="15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discarica</w:t>
            </w:r>
          </w:p>
        </w:tc>
      </w:tr>
      <w:tr>
        <w:tblPrEx>
          <w:shd w:val="clear" w:color="auto" w:fill="auto"/>
        </w:tblPrEx>
        <w:trPr>
          <w:trHeight w:val="250" w:hRule="atLeast"/>
        </w:trPr>
        <w:tc>
          <w:tcPr>
            <w:tcW w:type="dxa" w:w="1227"/>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rFonts w:ascii="Times New Roman Bold" w:cs="Times New Roman Bold" w:hAnsi="Times New Roman Bold" w:eastAsia="Times New Roman Bold"/>
                <w:caps w:val="0"/>
                <w:smallCaps w:val="0"/>
                <w:strike w:val="0"/>
                <w:dstrike w:val="0"/>
                <w:outline w:val="0"/>
                <w:color w:val="000000"/>
                <w:spacing w:val="0"/>
                <w:kern w:val="0"/>
                <w:position w:val="0"/>
                <w:sz w:val="20"/>
                <w:szCs w:val="20"/>
                <w:u w:val="none" w:color="000000"/>
                <w:vertAlign w:val="baseline"/>
                <w:rtl w:val="0"/>
                <w:lang w:val="it-IT"/>
              </w:rPr>
            </w:pPr>
            <w:r>
              <w:rPr>
                <w:rFonts w:ascii="Times New Roman Bold"/>
                <w:caps w:val="0"/>
                <w:smallCaps w:val="0"/>
                <w:strike w:val="0"/>
                <w:dstrike w:val="0"/>
                <w:outline w:val="0"/>
                <w:color w:val="000000"/>
                <w:spacing w:val="0"/>
                <w:kern w:val="0"/>
                <w:position w:val="0"/>
                <w:sz w:val="20"/>
                <w:szCs w:val="20"/>
                <w:u w:val="none" w:color="000000"/>
                <w:vertAlign w:val="baseline"/>
                <w:rtl w:val="0"/>
                <w:lang w:val="it-IT"/>
              </w:rPr>
              <w:t xml:space="preserve">PORCARELLI GINO &amp; CO. S.r.l.   </w:t>
            </w:r>
          </w:p>
          <w:p>
            <w:pPr>
              <w:pStyle w:val="Normal"/>
              <w:jc w:val="center"/>
            </w:pPr>
            <w:r>
              <w:rPr>
                <w:rFonts w:ascii="Times New Roman Bold"/>
                <w:caps w:val="0"/>
                <w:smallCaps w:val="0"/>
                <w:strike w:val="0"/>
                <w:dstrike w:val="0"/>
                <w:outline w:val="0"/>
                <w:color w:val="000000"/>
                <w:spacing w:val="0"/>
                <w:kern w:val="0"/>
                <w:position w:val="0"/>
                <w:sz w:val="20"/>
                <w:szCs w:val="20"/>
                <w:u w:val="none" w:color="000000"/>
                <w:vertAlign w:val="baseline"/>
                <w:rtl w:val="0"/>
                <w:lang w:val="it-IT"/>
              </w:rPr>
              <w:t>Rocca Cencia</w:t>
            </w:r>
          </w:p>
        </w:tc>
        <w:tc>
          <w:tcPr>
            <w:tcW w:type="dxa" w:w="8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191210</w:t>
            </w:r>
          </w:p>
        </w:tc>
        <w:tc>
          <w:tcPr>
            <w:tcW w:type="dxa" w:w="5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BG</w:t>
            </w:r>
          </w:p>
        </w:tc>
        <w:tc>
          <w:tcPr>
            <w:tcW w:type="dxa" w:w="10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Bergamo</w:t>
            </w:r>
          </w:p>
        </w:tc>
        <w:tc>
          <w:tcPr>
            <w:tcW w:type="dxa" w:w="33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A2A AMBIENTE S.p.A.                                         </w:t>
            </w:r>
          </w:p>
        </w:tc>
        <w:tc>
          <w:tcPr>
            <w:tcW w:type="dxa" w:w="9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2.314</w:t>
            </w:r>
          </w:p>
        </w:tc>
        <w:tc>
          <w:tcPr>
            <w:tcW w:type="dxa" w:w="15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incenerimento </w:t>
            </w:r>
          </w:p>
        </w:tc>
      </w:tr>
      <w:tr>
        <w:tblPrEx>
          <w:shd w:val="clear" w:color="auto" w:fill="auto"/>
        </w:tblPrEx>
        <w:trPr>
          <w:trHeight w:val="250" w:hRule="atLeast"/>
        </w:trPr>
        <w:tc>
          <w:tcPr>
            <w:tcW w:type="dxa" w:w="122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8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191210</w:t>
            </w:r>
          </w:p>
        </w:tc>
        <w:tc>
          <w:tcPr>
            <w:tcW w:type="dxa" w:w="5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BS</w:t>
            </w:r>
          </w:p>
        </w:tc>
        <w:tc>
          <w:tcPr>
            <w:tcW w:type="dxa" w:w="10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Brescia</w:t>
            </w:r>
          </w:p>
        </w:tc>
        <w:tc>
          <w:tcPr>
            <w:tcW w:type="dxa" w:w="33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ECODECO S.r.l.                                              </w:t>
            </w:r>
          </w:p>
        </w:tc>
        <w:tc>
          <w:tcPr>
            <w:tcW w:type="dxa" w:w="9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18.038</w:t>
            </w:r>
          </w:p>
        </w:tc>
        <w:tc>
          <w:tcPr>
            <w:tcW w:type="dxa" w:w="15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incenerimento </w:t>
            </w:r>
          </w:p>
        </w:tc>
      </w:tr>
      <w:tr>
        <w:tblPrEx>
          <w:shd w:val="clear" w:color="auto" w:fill="auto"/>
        </w:tblPrEx>
        <w:trPr>
          <w:trHeight w:val="250" w:hRule="atLeast"/>
        </w:trPr>
        <w:tc>
          <w:tcPr>
            <w:tcW w:type="dxa" w:w="122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8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191210</w:t>
            </w:r>
          </w:p>
        </w:tc>
        <w:tc>
          <w:tcPr>
            <w:tcW w:type="dxa" w:w="5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PV</w:t>
            </w:r>
          </w:p>
        </w:tc>
        <w:tc>
          <w:tcPr>
            <w:tcW w:type="dxa" w:w="10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Corteolona</w:t>
            </w:r>
          </w:p>
        </w:tc>
        <w:tc>
          <w:tcPr>
            <w:tcW w:type="dxa" w:w="33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ECODECO S.r.l.                                              </w:t>
            </w:r>
          </w:p>
        </w:tc>
        <w:tc>
          <w:tcPr>
            <w:tcW w:type="dxa" w:w="9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3.064</w:t>
            </w:r>
          </w:p>
        </w:tc>
        <w:tc>
          <w:tcPr>
            <w:tcW w:type="dxa" w:w="15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incenerimento </w:t>
            </w:r>
          </w:p>
        </w:tc>
      </w:tr>
      <w:tr>
        <w:tblPrEx>
          <w:shd w:val="clear" w:color="auto" w:fill="auto"/>
        </w:tblPrEx>
        <w:trPr>
          <w:trHeight w:val="442" w:hRule="atLeast"/>
        </w:trPr>
        <w:tc>
          <w:tcPr>
            <w:tcW w:type="dxa" w:w="122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8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191210</w:t>
            </w:r>
          </w:p>
        </w:tc>
        <w:tc>
          <w:tcPr>
            <w:tcW w:type="dxa" w:w="5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PV</w:t>
            </w:r>
          </w:p>
        </w:tc>
        <w:tc>
          <w:tcPr>
            <w:tcW w:type="dxa" w:w="10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Parona</w:t>
            </w:r>
          </w:p>
        </w:tc>
        <w:tc>
          <w:tcPr>
            <w:tcW w:type="dxa" w:w="33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LOMELLINA ENERGIA S.r.l.                                    </w:t>
            </w:r>
          </w:p>
        </w:tc>
        <w:tc>
          <w:tcPr>
            <w:tcW w:type="dxa" w:w="9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14.684</w:t>
            </w:r>
          </w:p>
        </w:tc>
        <w:tc>
          <w:tcPr>
            <w:tcW w:type="dxa" w:w="15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TMB/incenerimento*</w:t>
            </w:r>
          </w:p>
        </w:tc>
      </w:tr>
      <w:tr>
        <w:tblPrEx>
          <w:shd w:val="clear" w:color="auto" w:fill="auto"/>
        </w:tblPrEx>
        <w:trPr>
          <w:trHeight w:val="250" w:hRule="atLeast"/>
        </w:trPr>
        <w:tc>
          <w:tcPr>
            <w:tcW w:type="dxa" w:w="122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8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191210</w:t>
            </w:r>
          </w:p>
        </w:tc>
        <w:tc>
          <w:tcPr>
            <w:tcW w:type="dxa" w:w="5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VA</w:t>
            </w:r>
          </w:p>
        </w:tc>
        <w:tc>
          <w:tcPr>
            <w:tcW w:type="dxa" w:w="10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Comabbio</w:t>
            </w:r>
          </w:p>
        </w:tc>
        <w:tc>
          <w:tcPr>
            <w:tcW w:type="dxa" w:w="33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HOLCIM (ITALIA) S.p.A.                                         </w:t>
            </w:r>
          </w:p>
        </w:tc>
        <w:tc>
          <w:tcPr>
            <w:tcW w:type="dxa" w:w="9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2.214</w:t>
            </w:r>
          </w:p>
        </w:tc>
        <w:tc>
          <w:tcPr>
            <w:tcW w:type="dxa" w:w="15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cementificio</w:t>
            </w:r>
          </w:p>
        </w:tc>
      </w:tr>
      <w:tr>
        <w:tblPrEx>
          <w:shd w:val="clear" w:color="auto" w:fill="auto"/>
        </w:tblPrEx>
        <w:trPr>
          <w:trHeight w:val="250" w:hRule="atLeast"/>
        </w:trPr>
        <w:tc>
          <w:tcPr>
            <w:tcW w:type="dxa" w:w="122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8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191210</w:t>
            </w:r>
          </w:p>
        </w:tc>
        <w:tc>
          <w:tcPr>
            <w:tcW w:type="dxa" w:w="5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RN</w:t>
            </w:r>
          </w:p>
        </w:tc>
        <w:tc>
          <w:tcPr>
            <w:tcW w:type="dxa" w:w="10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Coriano</w:t>
            </w:r>
          </w:p>
        </w:tc>
        <w:tc>
          <w:tcPr>
            <w:tcW w:type="dxa" w:w="33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HERAMBIENTE S.p.A.                                          </w:t>
            </w:r>
          </w:p>
        </w:tc>
        <w:tc>
          <w:tcPr>
            <w:tcW w:type="dxa" w:w="9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3.597</w:t>
            </w:r>
          </w:p>
        </w:tc>
        <w:tc>
          <w:tcPr>
            <w:tcW w:type="dxa" w:w="15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incenerimento</w:t>
            </w:r>
          </w:p>
        </w:tc>
      </w:tr>
      <w:tr>
        <w:tblPrEx>
          <w:shd w:val="clear" w:color="auto" w:fill="auto"/>
        </w:tblPrEx>
        <w:trPr>
          <w:trHeight w:val="250" w:hRule="atLeast"/>
        </w:trPr>
        <w:tc>
          <w:tcPr>
            <w:tcW w:type="dxa" w:w="122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8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191210</w:t>
            </w:r>
          </w:p>
        </w:tc>
        <w:tc>
          <w:tcPr>
            <w:tcW w:type="dxa" w:w="5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IS</w:t>
            </w:r>
          </w:p>
        </w:tc>
        <w:tc>
          <w:tcPr>
            <w:tcW w:type="dxa" w:w="10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Isernia</w:t>
            </w:r>
          </w:p>
        </w:tc>
        <w:tc>
          <w:tcPr>
            <w:tcW w:type="dxa" w:w="33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HERAMBIENTE S.p.A.                                          </w:t>
            </w:r>
          </w:p>
        </w:tc>
        <w:tc>
          <w:tcPr>
            <w:tcW w:type="dxa" w:w="9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9.907</w:t>
            </w:r>
          </w:p>
        </w:tc>
        <w:tc>
          <w:tcPr>
            <w:tcW w:type="dxa" w:w="15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incenerimento</w:t>
            </w:r>
          </w:p>
        </w:tc>
      </w:tr>
      <w:tr>
        <w:tblPrEx>
          <w:shd w:val="clear" w:color="auto" w:fill="auto"/>
        </w:tblPrEx>
        <w:trPr>
          <w:trHeight w:val="442" w:hRule="atLeast"/>
        </w:trPr>
        <w:tc>
          <w:tcPr>
            <w:tcW w:type="dxa" w:w="122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8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191210</w:t>
            </w:r>
          </w:p>
        </w:tc>
        <w:tc>
          <w:tcPr>
            <w:tcW w:type="dxa" w:w="5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IS</w:t>
            </w:r>
          </w:p>
        </w:tc>
        <w:tc>
          <w:tcPr>
            <w:tcW w:type="dxa" w:w="10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Sesto Campano</w:t>
            </w:r>
          </w:p>
        </w:tc>
        <w:tc>
          <w:tcPr>
            <w:tcW w:type="dxa" w:w="33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COLACEM S.p.A.                                              </w:t>
            </w:r>
          </w:p>
        </w:tc>
        <w:tc>
          <w:tcPr>
            <w:tcW w:type="dxa" w:w="9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87</w:t>
            </w:r>
          </w:p>
        </w:tc>
        <w:tc>
          <w:tcPr>
            <w:tcW w:type="dxa" w:w="15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cementificio</w:t>
            </w:r>
          </w:p>
        </w:tc>
      </w:tr>
      <w:tr>
        <w:tblPrEx>
          <w:shd w:val="clear" w:color="auto" w:fill="auto"/>
        </w:tblPrEx>
        <w:trPr>
          <w:trHeight w:val="250" w:hRule="atLeast"/>
        </w:trPr>
        <w:tc>
          <w:tcPr>
            <w:tcW w:type="dxa" w:w="122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8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191210</w:t>
            </w:r>
          </w:p>
        </w:tc>
        <w:tc>
          <w:tcPr>
            <w:tcW w:type="dxa" w:w="5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BT</w:t>
            </w:r>
          </w:p>
        </w:tc>
        <w:tc>
          <w:tcPr>
            <w:tcW w:type="dxa" w:w="10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Barletta</w:t>
            </w:r>
          </w:p>
        </w:tc>
        <w:tc>
          <w:tcPr>
            <w:tcW w:type="dxa" w:w="33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DALENA ECOLOGIA S.r.l.                                      </w:t>
            </w:r>
          </w:p>
        </w:tc>
        <w:tc>
          <w:tcPr>
            <w:tcW w:type="dxa" w:w="9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1.318</w:t>
            </w:r>
          </w:p>
        </w:tc>
        <w:tc>
          <w:tcPr>
            <w:tcW w:type="dxa" w:w="15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trattamento</w:t>
            </w:r>
          </w:p>
        </w:tc>
      </w:tr>
      <w:tr>
        <w:tblPrEx>
          <w:shd w:val="clear" w:color="auto" w:fill="auto"/>
        </w:tblPrEx>
        <w:trPr>
          <w:trHeight w:val="442" w:hRule="atLeast"/>
        </w:trPr>
        <w:tc>
          <w:tcPr>
            <w:tcW w:type="dxa" w:w="122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8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191210</w:t>
            </w:r>
          </w:p>
        </w:tc>
        <w:tc>
          <w:tcPr>
            <w:tcW w:type="dxa" w:w="5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FG</w:t>
            </w:r>
          </w:p>
        </w:tc>
        <w:tc>
          <w:tcPr>
            <w:tcW w:type="dxa" w:w="10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Manfredonia</w:t>
            </w:r>
          </w:p>
        </w:tc>
        <w:tc>
          <w:tcPr>
            <w:tcW w:type="dxa" w:w="33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E.T.A. ENERGIA TECNOLOGIE AMBIENTE S.p.A.                   </w:t>
            </w:r>
          </w:p>
        </w:tc>
        <w:tc>
          <w:tcPr>
            <w:tcW w:type="dxa" w:w="9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976</w:t>
            </w:r>
          </w:p>
        </w:tc>
        <w:tc>
          <w:tcPr>
            <w:tcW w:type="dxa" w:w="15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centrale cogenerazione</w:t>
            </w:r>
          </w:p>
        </w:tc>
      </w:tr>
      <w:tr>
        <w:tblPrEx>
          <w:shd w:val="clear" w:color="auto" w:fill="auto"/>
        </w:tblPrEx>
        <w:trPr>
          <w:trHeight w:val="442" w:hRule="atLeast"/>
        </w:trPr>
        <w:tc>
          <w:tcPr>
            <w:tcW w:type="dxa" w:w="122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8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191212</w:t>
            </w:r>
          </w:p>
        </w:tc>
        <w:tc>
          <w:tcPr>
            <w:tcW w:type="dxa" w:w="5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MI</w:t>
            </w:r>
          </w:p>
        </w:tc>
        <w:tc>
          <w:tcPr>
            <w:tcW w:type="dxa" w:w="10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Trezzo Sull'Adda</w:t>
            </w:r>
          </w:p>
        </w:tc>
        <w:tc>
          <w:tcPr>
            <w:tcW w:type="dxa" w:w="33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PRIMA S.r.l.                                                </w:t>
            </w:r>
          </w:p>
        </w:tc>
        <w:tc>
          <w:tcPr>
            <w:tcW w:type="dxa" w:w="9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6.144</w:t>
            </w:r>
          </w:p>
        </w:tc>
        <w:tc>
          <w:tcPr>
            <w:tcW w:type="dxa" w:w="15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inceneritore</w:t>
            </w:r>
          </w:p>
        </w:tc>
      </w:tr>
      <w:tr>
        <w:tblPrEx>
          <w:shd w:val="clear" w:color="auto" w:fill="auto"/>
        </w:tblPrEx>
        <w:trPr>
          <w:trHeight w:val="442" w:hRule="atLeast"/>
        </w:trPr>
        <w:tc>
          <w:tcPr>
            <w:tcW w:type="dxa" w:w="122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8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191212</w:t>
            </w:r>
          </w:p>
        </w:tc>
        <w:tc>
          <w:tcPr>
            <w:tcW w:type="dxa" w:w="5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RA</w:t>
            </w:r>
          </w:p>
        </w:tc>
        <w:tc>
          <w:tcPr>
            <w:tcW w:type="dxa" w:w="10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Faenza</w:t>
            </w:r>
          </w:p>
        </w:tc>
        <w:tc>
          <w:tcPr>
            <w:tcW w:type="dxa" w:w="33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ENOMONDO S.r.l.                                                </w:t>
            </w:r>
          </w:p>
        </w:tc>
        <w:tc>
          <w:tcPr>
            <w:tcW w:type="dxa" w:w="9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838</w:t>
            </w:r>
          </w:p>
        </w:tc>
        <w:tc>
          <w:tcPr>
            <w:tcW w:type="dxa" w:w="15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centrale cogenerazione</w:t>
            </w:r>
          </w:p>
        </w:tc>
      </w:tr>
      <w:tr>
        <w:tblPrEx>
          <w:shd w:val="clear" w:color="auto" w:fill="auto"/>
        </w:tblPrEx>
        <w:trPr>
          <w:trHeight w:val="662" w:hRule="atLeast"/>
        </w:trPr>
        <w:tc>
          <w:tcPr>
            <w:tcW w:type="dxa" w:w="122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8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191212</w:t>
            </w:r>
          </w:p>
        </w:tc>
        <w:tc>
          <w:tcPr>
            <w:tcW w:type="dxa" w:w="5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AR</w:t>
            </w:r>
          </w:p>
        </w:tc>
        <w:tc>
          <w:tcPr>
            <w:tcW w:type="dxa" w:w="10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Terranuova Bracciolini </w:t>
            </w:r>
          </w:p>
        </w:tc>
        <w:tc>
          <w:tcPr>
            <w:tcW w:type="dxa" w:w="33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CENTRO SERVIZI AMBIENTE IMPIANTI S.p.A.                        </w:t>
            </w:r>
          </w:p>
        </w:tc>
        <w:tc>
          <w:tcPr>
            <w:tcW w:type="dxa" w:w="9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16.655</w:t>
            </w:r>
          </w:p>
        </w:tc>
        <w:tc>
          <w:tcPr>
            <w:tcW w:type="dxa" w:w="15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discarica</w:t>
            </w:r>
          </w:p>
        </w:tc>
      </w:tr>
      <w:tr>
        <w:tblPrEx>
          <w:shd w:val="clear" w:color="auto" w:fill="auto"/>
        </w:tblPrEx>
        <w:trPr>
          <w:trHeight w:val="442" w:hRule="atLeast"/>
        </w:trPr>
        <w:tc>
          <w:tcPr>
            <w:tcW w:type="dxa" w:w="122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8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191212</w:t>
            </w:r>
          </w:p>
        </w:tc>
        <w:tc>
          <w:tcPr>
            <w:tcW w:type="dxa" w:w="5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LI</w:t>
            </w:r>
          </w:p>
        </w:tc>
        <w:tc>
          <w:tcPr>
            <w:tcW w:type="dxa" w:w="10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Piombino</w:t>
            </w:r>
          </w:p>
        </w:tc>
        <w:tc>
          <w:tcPr>
            <w:tcW w:type="dxa" w:w="33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A.S.I.U. S.p.A.AZIENDA SERVIZI IGIENE URBANA                </w:t>
            </w:r>
          </w:p>
        </w:tc>
        <w:tc>
          <w:tcPr>
            <w:tcW w:type="dxa" w:w="9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5.880</w:t>
            </w:r>
          </w:p>
        </w:tc>
        <w:tc>
          <w:tcPr>
            <w:tcW w:type="dxa" w:w="15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discarica</w:t>
            </w:r>
          </w:p>
        </w:tc>
      </w:tr>
      <w:tr>
        <w:tblPrEx>
          <w:shd w:val="clear" w:color="auto" w:fill="auto"/>
        </w:tblPrEx>
        <w:trPr>
          <w:trHeight w:val="442" w:hRule="atLeast"/>
        </w:trPr>
        <w:tc>
          <w:tcPr>
            <w:tcW w:type="dxa" w:w="122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8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191212</w:t>
            </w:r>
          </w:p>
        </w:tc>
        <w:tc>
          <w:tcPr>
            <w:tcW w:type="dxa" w:w="5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LI</w:t>
            </w:r>
          </w:p>
        </w:tc>
        <w:tc>
          <w:tcPr>
            <w:tcW w:type="dxa" w:w="10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Rosignano Marittimo</w:t>
            </w:r>
          </w:p>
        </w:tc>
        <w:tc>
          <w:tcPr>
            <w:tcW w:type="dxa" w:w="33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REA IMPIANTI S.r.l. UNIPERSONALE                               </w:t>
            </w:r>
          </w:p>
        </w:tc>
        <w:tc>
          <w:tcPr>
            <w:tcW w:type="dxa" w:w="9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24.772</w:t>
            </w:r>
          </w:p>
        </w:tc>
        <w:tc>
          <w:tcPr>
            <w:tcW w:type="dxa" w:w="15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discarica</w:t>
            </w:r>
          </w:p>
        </w:tc>
      </w:tr>
      <w:tr>
        <w:tblPrEx>
          <w:shd w:val="clear" w:color="auto" w:fill="auto"/>
        </w:tblPrEx>
        <w:trPr>
          <w:trHeight w:val="250" w:hRule="atLeast"/>
        </w:trPr>
        <w:tc>
          <w:tcPr>
            <w:tcW w:type="dxa" w:w="122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8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191212</w:t>
            </w:r>
          </w:p>
        </w:tc>
        <w:tc>
          <w:tcPr>
            <w:tcW w:type="dxa" w:w="5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PS</w:t>
            </w:r>
          </w:p>
        </w:tc>
        <w:tc>
          <w:tcPr>
            <w:tcW w:type="dxa" w:w="10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Tavullia</w:t>
            </w:r>
          </w:p>
        </w:tc>
        <w:tc>
          <w:tcPr>
            <w:tcW w:type="dxa" w:w="33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MARCHE MULTISERVIZI S.p.A.                                     </w:t>
            </w:r>
          </w:p>
        </w:tc>
        <w:tc>
          <w:tcPr>
            <w:tcW w:type="dxa" w:w="9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6.402</w:t>
            </w:r>
          </w:p>
        </w:tc>
        <w:tc>
          <w:tcPr>
            <w:tcW w:type="dxa" w:w="15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discarica</w:t>
            </w:r>
          </w:p>
        </w:tc>
      </w:tr>
      <w:tr>
        <w:tblPrEx>
          <w:shd w:val="clear" w:color="auto" w:fill="auto"/>
        </w:tblPrEx>
        <w:trPr>
          <w:trHeight w:val="222" w:hRule="atLeast"/>
        </w:trPr>
        <w:tc>
          <w:tcPr>
            <w:tcW w:type="dxa" w:w="122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rFonts w:ascii="Times New Roman Bold"/>
                <w:caps w:val="0"/>
                <w:smallCaps w:val="0"/>
                <w:strike w:val="0"/>
                <w:dstrike w:val="0"/>
                <w:outline w:val="0"/>
                <w:color w:val="000000"/>
                <w:spacing w:val="0"/>
                <w:kern w:val="0"/>
                <w:position w:val="0"/>
                <w:sz w:val="20"/>
                <w:szCs w:val="20"/>
                <w:u w:val="none" w:color="000000"/>
                <w:vertAlign w:val="baseline"/>
                <w:rtl w:val="0"/>
                <w:lang w:val="it-IT"/>
              </w:rPr>
              <w:t xml:space="preserve">TOTALE </w:t>
            </w:r>
          </w:p>
        </w:tc>
        <w:tc>
          <w:tcPr>
            <w:tcW w:type="dxa" w:w="8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rFonts w:hAnsi="Times New Roman" w:hint="default"/>
                <w:caps w:val="0"/>
                <w:smallCaps w:val="0"/>
                <w:strike w:val="0"/>
                <w:dstrike w:val="0"/>
                <w:outline w:val="0"/>
                <w:color w:val="000000"/>
                <w:spacing w:val="0"/>
                <w:kern w:val="0"/>
                <w:position w:val="0"/>
                <w:sz w:val="20"/>
                <w:szCs w:val="20"/>
                <w:u w:val="none" w:color="000000"/>
                <w:vertAlign w:val="baseline"/>
                <w:rtl w:val="0"/>
                <w:lang w:val="it-IT"/>
              </w:rPr>
              <w:t> </w:t>
            </w:r>
          </w:p>
        </w:tc>
        <w:tc>
          <w:tcPr>
            <w:tcW w:type="dxa" w:w="5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bottom"/>
          </w:tcPr>
          <w:p>
            <w:pPr>
              <w:pStyle w:val="Normal"/>
            </w:pPr>
            <w:r>
              <w:rPr>
                <w:rFonts w:hAnsi="Times New Roman" w:hint="default"/>
                <w:caps w:val="0"/>
                <w:smallCaps w:val="0"/>
                <w:strike w:val="0"/>
                <w:dstrike w:val="0"/>
                <w:outline w:val="0"/>
                <w:color w:val="000000"/>
                <w:spacing w:val="0"/>
                <w:kern w:val="0"/>
                <w:position w:val="0"/>
                <w:sz w:val="20"/>
                <w:szCs w:val="20"/>
                <w:u w:val="none" w:color="000000"/>
                <w:vertAlign w:val="baseline"/>
                <w:rtl w:val="0"/>
                <w:lang w:val="it-IT"/>
              </w:rPr>
              <w:t> </w:t>
            </w:r>
          </w:p>
        </w:tc>
        <w:tc>
          <w:tcPr>
            <w:tcW w:type="dxa" w:w="10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rFonts w:hAnsi="Times New Roman" w:hint="default"/>
                <w:caps w:val="0"/>
                <w:smallCaps w:val="0"/>
                <w:strike w:val="0"/>
                <w:dstrike w:val="0"/>
                <w:outline w:val="0"/>
                <w:color w:val="000000"/>
                <w:spacing w:val="0"/>
                <w:kern w:val="0"/>
                <w:position w:val="0"/>
                <w:sz w:val="20"/>
                <w:szCs w:val="20"/>
                <w:u w:val="none" w:color="000000"/>
                <w:vertAlign w:val="baseline"/>
                <w:rtl w:val="0"/>
                <w:lang w:val="it-IT"/>
              </w:rPr>
              <w:t> </w:t>
            </w:r>
          </w:p>
        </w:tc>
        <w:tc>
          <w:tcPr>
            <w:tcW w:type="dxa" w:w="33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rFonts w:hAnsi="Times New Roman" w:hint="default"/>
                <w:caps w:val="0"/>
                <w:smallCaps w:val="0"/>
                <w:strike w:val="0"/>
                <w:dstrike w:val="0"/>
                <w:outline w:val="0"/>
                <w:color w:val="000000"/>
                <w:spacing w:val="0"/>
                <w:kern w:val="0"/>
                <w:position w:val="0"/>
                <w:sz w:val="20"/>
                <w:szCs w:val="20"/>
                <w:u w:val="none" w:color="000000"/>
                <w:vertAlign w:val="baseline"/>
                <w:rtl w:val="0"/>
                <w:lang w:val="it-IT"/>
              </w:rPr>
              <w:t> </w:t>
            </w:r>
          </w:p>
        </w:tc>
        <w:tc>
          <w:tcPr>
            <w:tcW w:type="dxa" w:w="9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right"/>
            </w:pPr>
            <w:r>
              <w:rPr>
                <w:rFonts w:ascii="Times New Roman Bold"/>
                <w:caps w:val="0"/>
                <w:smallCaps w:val="0"/>
                <w:strike w:val="0"/>
                <w:dstrike w:val="0"/>
                <w:outline w:val="0"/>
                <w:color w:val="000000"/>
                <w:spacing w:val="0"/>
                <w:kern w:val="0"/>
                <w:position w:val="0"/>
                <w:sz w:val="20"/>
                <w:szCs w:val="20"/>
                <w:u w:val="none" w:color="000000"/>
                <w:vertAlign w:val="baseline"/>
                <w:rtl w:val="0"/>
                <w:lang w:val="it-IT"/>
              </w:rPr>
              <w:t>768.555</w:t>
            </w:r>
          </w:p>
        </w:tc>
        <w:tc>
          <w:tcPr>
            <w:tcW w:type="dxa" w:w="15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rFonts w:hAnsi="Times New Roman" w:hint="default"/>
                <w:caps w:val="0"/>
                <w:smallCaps w:val="0"/>
                <w:strike w:val="0"/>
                <w:dstrike w:val="0"/>
                <w:outline w:val="0"/>
                <w:color w:val="000000"/>
                <w:spacing w:val="0"/>
                <w:kern w:val="0"/>
                <w:position w:val="0"/>
                <w:sz w:val="20"/>
                <w:szCs w:val="20"/>
                <w:u w:val="none" w:color="000000"/>
                <w:vertAlign w:val="baseline"/>
                <w:rtl w:val="0"/>
                <w:lang w:val="it-IT"/>
              </w:rPr>
              <w:t> </w:t>
            </w:r>
          </w:p>
        </w:tc>
      </w:tr>
    </w:tbl>
    <w:p>
      <w:pPr>
        <w:pStyle w:val="Normal"/>
        <w:jc w:val="center"/>
        <w:rPr>
          <w:rFonts w:ascii="Times New Roman Bold" w:cs="Times New Roman Bold" w:hAnsi="Times New Roman Bold" w:eastAsia="Times New Roman Bold"/>
          <w:color w:val="000000"/>
          <w:sz w:val="22"/>
          <w:szCs w:val="22"/>
          <w:u w:color="000000"/>
        </w:rPr>
      </w:pPr>
    </w:p>
    <w:p>
      <w:pPr>
        <w:pStyle w:val="Normal"/>
        <w:jc w:val="both"/>
        <w:rPr>
          <w:i w:val="1"/>
          <w:iCs w:val="1"/>
          <w:color w:val="000000"/>
          <w:sz w:val="20"/>
          <w:szCs w:val="20"/>
          <w:u w:color="000000"/>
        </w:rPr>
      </w:pPr>
      <w:r>
        <w:rPr>
          <w:i w:val="1"/>
          <w:iCs w:val="1"/>
          <w:color w:val="000000"/>
          <w:sz w:val="20"/>
          <w:szCs w:val="20"/>
          <w:u w:color="000000"/>
          <w:rtl w:val="0"/>
          <w:lang w:val="it-IT"/>
        </w:rPr>
        <w:t xml:space="preserve">Fonte: ISPRA </w:t>
      </w:r>
    </w:p>
    <w:p>
      <w:pPr>
        <w:pStyle w:val="Normal"/>
        <w:jc w:val="both"/>
        <w:rPr>
          <w:i w:val="1"/>
          <w:iCs w:val="1"/>
          <w:color w:val="000000"/>
          <w:sz w:val="20"/>
          <w:szCs w:val="20"/>
          <w:u w:color="000000"/>
        </w:rPr>
      </w:pPr>
      <w:r>
        <w:rPr>
          <w:i w:val="1"/>
          <w:iCs w:val="1"/>
          <w:color w:val="000000"/>
          <w:sz w:val="20"/>
          <w:szCs w:val="20"/>
          <w:u w:color="000000"/>
          <w:rtl w:val="0"/>
          <w:lang w:val="it-IT"/>
        </w:rPr>
        <w:t>* nella stessa unit</w:t>
      </w:r>
      <w:r>
        <w:rPr>
          <w:rFonts w:hAnsi="Times New Roman" w:hint="default"/>
          <w:i w:val="1"/>
          <w:iCs w:val="1"/>
          <w:color w:val="000000"/>
          <w:sz w:val="20"/>
          <w:szCs w:val="20"/>
          <w:u w:color="000000"/>
          <w:rtl w:val="0"/>
          <w:lang w:val="it-IT"/>
        </w:rPr>
        <w:t xml:space="preserve">à </w:t>
      </w:r>
      <w:r>
        <w:rPr>
          <w:i w:val="1"/>
          <w:iCs w:val="1"/>
          <w:color w:val="000000"/>
          <w:sz w:val="20"/>
          <w:szCs w:val="20"/>
          <w:u w:color="000000"/>
          <w:rtl w:val="0"/>
          <w:lang w:val="it-IT"/>
        </w:rPr>
        <w:t>locale sono situati pi</w:t>
      </w:r>
      <w:r>
        <w:rPr>
          <w:rFonts w:hAnsi="Times New Roman" w:hint="default"/>
          <w:i w:val="1"/>
          <w:iCs w:val="1"/>
          <w:color w:val="000000"/>
          <w:sz w:val="20"/>
          <w:szCs w:val="20"/>
          <w:u w:color="000000"/>
          <w:rtl w:val="0"/>
          <w:lang w:val="it-IT"/>
        </w:rPr>
        <w:t xml:space="preserve">ù </w:t>
      </w:r>
      <w:r>
        <w:rPr>
          <w:i w:val="1"/>
          <w:iCs w:val="1"/>
          <w:color w:val="000000"/>
          <w:sz w:val="20"/>
          <w:szCs w:val="20"/>
          <w:u w:color="000000"/>
          <w:rtl w:val="0"/>
          <w:lang w:val="it-IT"/>
        </w:rPr>
        <w:t xml:space="preserve">impianti per cui dalla dichiarazione MUD non </w:t>
      </w:r>
      <w:r>
        <w:rPr>
          <w:rFonts w:hAnsi="Times New Roman" w:hint="default"/>
          <w:i w:val="1"/>
          <w:iCs w:val="1"/>
          <w:color w:val="000000"/>
          <w:sz w:val="20"/>
          <w:szCs w:val="20"/>
          <w:u w:color="000000"/>
          <w:rtl w:val="0"/>
          <w:lang w:val="it-IT"/>
        </w:rPr>
        <w:t xml:space="preserve">è </w:t>
      </w:r>
      <w:r>
        <w:rPr>
          <w:i w:val="1"/>
          <w:iCs w:val="1"/>
          <w:color w:val="000000"/>
          <w:sz w:val="20"/>
          <w:szCs w:val="20"/>
          <w:u w:color="000000"/>
          <w:rtl w:val="0"/>
          <w:lang w:val="it-IT"/>
        </w:rPr>
        <w:t>possibile distinguere a quale impianto sono destinati i rifiuti</w:t>
      </w:r>
    </w:p>
    <w:p>
      <w:pPr>
        <w:pStyle w:val="Normal"/>
        <w:jc w:val="both"/>
        <w:rPr>
          <w:color w:val="000000"/>
          <w:u w:color="000000"/>
        </w:rPr>
      </w:pPr>
    </w:p>
    <w:p>
      <w:pPr>
        <w:pStyle w:val="Normal"/>
        <w:jc w:val="both"/>
        <w:rPr>
          <w:color w:val="000000"/>
          <w:u w:color="000000"/>
        </w:rPr>
      </w:pPr>
    </w:p>
    <w:p>
      <w:pPr>
        <w:pStyle w:val="Normal"/>
        <w:ind w:left="567" w:right="567" w:firstLine="0"/>
        <w:jc w:val="both"/>
        <w:rPr>
          <w:rFonts w:ascii="Book Antiqua Bold" w:cs="Book Antiqua Bold" w:hAnsi="Book Antiqua Bold" w:eastAsia="Book Antiqua Bold"/>
          <w:b w:val="1"/>
          <w:bCs w:val="1"/>
          <w:color w:val="ffffff"/>
          <w:u w:color="ffffff"/>
        </w:rPr>
      </w:pPr>
      <w:r>
        <w:rPr>
          <w:rFonts w:ascii="Book Antiqua"/>
          <w:color w:val="000000"/>
          <w:u w:color="000000"/>
          <w:rtl w:val="0"/>
          <w:lang w:val="it-IT"/>
        </w:rPr>
        <w:t>Lo smaltimento in discarica nella regione Lazio interessa poco pi</w:t>
      </w:r>
      <w:r>
        <w:rPr>
          <w:rFonts w:hAnsi="Book Antiqua" w:hint="default"/>
          <w:color w:val="000000"/>
          <w:u w:color="000000"/>
          <w:rtl w:val="0"/>
          <w:lang w:val="it-IT"/>
        </w:rPr>
        <w:t xml:space="preserve">ù </w:t>
      </w:r>
      <w:r>
        <w:rPr>
          <w:rFonts w:ascii="Book Antiqua"/>
          <w:color w:val="000000"/>
          <w:u w:color="000000"/>
          <w:rtl w:val="0"/>
          <w:lang w:val="it-IT"/>
        </w:rPr>
        <w:t>di 400 mila tonnellate di rifiuti di provenienza urbana. Dall</w:t>
      </w:r>
      <w:r>
        <w:rPr>
          <w:rFonts w:hAnsi="Book Antiqua" w:hint="default"/>
          <w:color w:val="000000"/>
          <w:u w:color="000000"/>
          <w:rtl w:val="0"/>
          <w:lang w:val="it-IT"/>
        </w:rPr>
        <w:t>’</w:t>
      </w:r>
      <w:r>
        <w:rPr>
          <w:rFonts w:ascii="Book Antiqua"/>
          <w:color w:val="000000"/>
          <w:u w:color="000000"/>
          <w:rtl w:val="0"/>
          <w:lang w:val="it-IT"/>
        </w:rPr>
        <w:t>analisi delle dichiarazioni MUD risulta che sono state smaltite circa 400 mila tonnellate di rifiuti provenienti dal circuito urbano identificati con i codici CER 190501 (parte di rifiuti urbani e simili non destinata al compost), 190503 (compost fuori specifica), e 191212 (materiali misti prodotti dal trattamento meccanico dei RU). In particolare, circa 225 mila tonnellate di 190501, oltre 114 mila di 191212 e poco pi</w:t>
      </w:r>
      <w:r>
        <w:rPr>
          <w:rFonts w:hAnsi="Book Antiqua" w:hint="default"/>
          <w:color w:val="000000"/>
          <w:u w:color="000000"/>
          <w:rtl w:val="0"/>
          <w:lang w:val="it-IT"/>
        </w:rPr>
        <w:t xml:space="preserve">ù </w:t>
      </w:r>
      <w:r>
        <w:rPr>
          <w:rFonts w:ascii="Book Antiqua"/>
          <w:color w:val="000000"/>
          <w:u w:color="000000"/>
          <w:rtl w:val="0"/>
          <w:lang w:val="it-IT"/>
        </w:rPr>
        <w:t xml:space="preserve">di 63 mila tonnellate di compost fuori specifica (tabella 8).  </w:t>
      </w:r>
    </w:p>
    <w:p>
      <w:pPr>
        <w:pStyle w:val="Normal"/>
        <w:jc w:val="both"/>
        <w:rPr>
          <w:color w:val="000000"/>
          <w:u w:color="000000"/>
        </w:rPr>
      </w:pPr>
    </w:p>
    <w:p>
      <w:pPr>
        <w:pStyle w:val="Normal"/>
        <w:jc w:val="both"/>
        <w:rPr>
          <w:color w:val="000000"/>
          <w:u w:color="000000"/>
        </w:rPr>
      </w:pPr>
    </w:p>
    <w:p>
      <w:pPr>
        <w:pStyle w:val="Normal"/>
        <w:jc w:val="both"/>
        <w:rPr>
          <w:color w:val="000000"/>
          <w:u w:color="000000"/>
        </w:rPr>
      </w:pPr>
    </w:p>
    <w:p>
      <w:pPr>
        <w:pStyle w:val="Normal"/>
        <w:jc w:val="both"/>
        <w:rPr>
          <w:color w:val="000000"/>
          <w:u w:color="000000"/>
        </w:rPr>
      </w:pPr>
    </w:p>
    <w:p>
      <w:pPr>
        <w:pStyle w:val="Normal"/>
        <w:rPr>
          <w:rFonts w:ascii="Book Antiqua Bold" w:cs="Book Antiqua Bold" w:hAnsi="Book Antiqua Bold" w:eastAsia="Book Antiqua Bold"/>
          <w:b w:val="1"/>
          <w:bCs w:val="1"/>
          <w:color w:val="000000"/>
          <w:sz w:val="20"/>
          <w:szCs w:val="20"/>
          <w:u w:color="000000"/>
        </w:rPr>
      </w:pPr>
      <w:r>
        <w:rPr>
          <w:rFonts w:ascii="Book Antiqua Bold"/>
          <w:b w:val="1"/>
          <w:bCs w:val="1"/>
          <w:color w:val="000000"/>
          <w:sz w:val="20"/>
          <w:szCs w:val="20"/>
          <w:u w:color="000000"/>
          <w:rtl w:val="0"/>
          <w:lang w:val="it-IT"/>
        </w:rPr>
        <w:t>Tabella 8 - Impianti di discarica che hanno smaltito i RU nel  2015</w:t>
      </w:r>
    </w:p>
    <w:tbl>
      <w:tblPr>
        <w:tblW w:w="9492" w:type="dxa"/>
        <w:jc w:val="left"/>
        <w:tblInd w:w="108" w:type="dxa"/>
        <w:tblBorders>
          <w:top w:val="single" w:color="000000" w:sz="2" w:space="0" w:shadow="0" w:frame="0"/>
          <w:left w:val="single" w:color="000000" w:sz="2" w:space="0" w:shadow="0" w:frame="0"/>
          <w:bottom w:val="single" w:color="000000" w:sz="2" w:space="0" w:shadow="0" w:frame="0"/>
          <w:right w:val="single" w:color="000000" w:sz="2" w:space="0" w:shadow="0" w:frame="0"/>
          <w:insideH w:val="single" w:color="000000" w:sz="2" w:space="0" w:shadow="0" w:frame="0"/>
          <w:insideV w:val="single" w:color="000000" w:sz="2" w:space="0" w:shadow="0" w:frame="0"/>
        </w:tblBorders>
        <w:shd w:val="clear" w:color="auto" w:fill="auto"/>
        <w:tblLayout w:type="fixed"/>
      </w:tblPr>
      <w:tblGrid>
        <w:gridCol w:w="754"/>
        <w:gridCol w:w="1654"/>
        <w:gridCol w:w="2379"/>
        <w:gridCol w:w="1473"/>
        <w:gridCol w:w="872"/>
        <w:gridCol w:w="1488"/>
        <w:gridCol w:w="872"/>
      </w:tblGrid>
      <w:tr>
        <w:tblPrEx>
          <w:shd w:val="clear" w:color="auto" w:fill="auto"/>
        </w:tblPrEx>
        <w:trPr>
          <w:trHeight w:val="602" w:hRule="atLeast"/>
        </w:trPr>
        <w:tc>
          <w:tcPr>
            <w:tcW w:type="dxa" w:w="754"/>
            <w:vMerge w:val="restart"/>
            <w:tcBorders>
              <w:top w:val="single" w:color="000000" w:sz="8" w:space="0" w:shadow="0" w:frame="0"/>
              <w:left w:val="single" w:color="000000" w:sz="8" w:space="0" w:shadow="0" w:frame="0"/>
              <w:bottom w:val="single" w:color="000000" w:sz="8" w:space="0" w:shadow="0" w:frame="0"/>
              <w:right w:val="single" w:color="000000" w:sz="8" w:space="0" w:shadow="0" w:frame="0"/>
            </w:tcBorders>
            <w:shd w:val="clear" w:color="auto" w:fill="a6a6a6"/>
            <w:tcMar>
              <w:top w:type="dxa" w:w="80"/>
              <w:left w:type="dxa" w:w="80"/>
              <w:bottom w:type="dxa" w:w="80"/>
              <w:right w:type="dxa" w:w="80"/>
            </w:tcMar>
            <w:vAlign w:val="center"/>
          </w:tcPr>
          <w:p>
            <w:pPr>
              <w:pStyle w:val="Normal"/>
              <w:jc w:val="center"/>
            </w:pPr>
            <w:r>
              <w:rPr>
                <w:rFonts w:ascii="Times New Roman Bold"/>
                <w:caps w:val="0"/>
                <w:smallCaps w:val="0"/>
                <w:strike w:val="0"/>
                <w:dstrike w:val="0"/>
                <w:outline w:val="0"/>
                <w:color w:val="000000"/>
                <w:spacing w:val="0"/>
                <w:kern w:val="0"/>
                <w:position w:val="0"/>
                <w:sz w:val="20"/>
                <w:szCs w:val="20"/>
                <w:u w:val="none" w:color="000000"/>
                <w:vertAlign w:val="baseline"/>
                <w:rtl w:val="0"/>
                <w:lang w:val="it-IT"/>
              </w:rPr>
              <w:t>Prov.</w:t>
            </w:r>
          </w:p>
        </w:tc>
        <w:tc>
          <w:tcPr>
            <w:tcW w:type="dxa" w:w="1654"/>
            <w:vMerge w:val="restart"/>
            <w:tcBorders>
              <w:top w:val="single" w:color="000000" w:sz="8" w:space="0" w:shadow="0" w:frame="0"/>
              <w:left w:val="single" w:color="000000" w:sz="8" w:space="0" w:shadow="0" w:frame="0"/>
              <w:bottom w:val="single" w:color="000000" w:sz="8" w:space="0" w:shadow="0" w:frame="0"/>
              <w:right w:val="single" w:color="000000" w:sz="8" w:space="0" w:shadow="0" w:frame="0"/>
            </w:tcBorders>
            <w:shd w:val="clear" w:color="auto" w:fill="a6a6a6"/>
            <w:tcMar>
              <w:top w:type="dxa" w:w="80"/>
              <w:left w:type="dxa" w:w="80"/>
              <w:bottom w:type="dxa" w:w="80"/>
              <w:right w:type="dxa" w:w="80"/>
            </w:tcMar>
            <w:vAlign w:val="center"/>
          </w:tcPr>
          <w:p>
            <w:pPr>
              <w:pStyle w:val="Normal"/>
              <w:jc w:val="center"/>
            </w:pPr>
            <w:r>
              <w:rPr>
                <w:rFonts w:ascii="Times New Roman Bold"/>
                <w:caps w:val="0"/>
                <w:smallCaps w:val="0"/>
                <w:strike w:val="0"/>
                <w:dstrike w:val="0"/>
                <w:outline w:val="0"/>
                <w:color w:val="000000"/>
                <w:spacing w:val="0"/>
                <w:kern w:val="0"/>
                <w:position w:val="0"/>
                <w:sz w:val="20"/>
                <w:szCs w:val="20"/>
                <w:u w:val="none" w:color="000000"/>
                <w:vertAlign w:val="baseline"/>
                <w:rtl w:val="0"/>
                <w:lang w:val="it-IT"/>
              </w:rPr>
              <w:t>Comune</w:t>
            </w:r>
          </w:p>
        </w:tc>
        <w:tc>
          <w:tcPr>
            <w:tcW w:type="dxa" w:w="2378"/>
            <w:tcBorders>
              <w:top w:val="single" w:color="000000" w:sz="8" w:space="0" w:shadow="0" w:frame="0"/>
              <w:left w:val="single" w:color="000000" w:sz="8" w:space="0" w:shadow="0" w:frame="0"/>
              <w:bottom w:val="nil"/>
              <w:right w:val="single" w:color="000000" w:sz="8" w:space="0" w:shadow="0" w:frame="0"/>
            </w:tcBorders>
            <w:shd w:val="clear" w:color="auto" w:fill="a6a6a6"/>
            <w:tcMar>
              <w:top w:type="dxa" w:w="80"/>
              <w:left w:type="dxa" w:w="80"/>
              <w:bottom w:type="dxa" w:w="80"/>
              <w:right w:type="dxa" w:w="80"/>
            </w:tcMar>
            <w:vAlign w:val="center"/>
          </w:tcPr>
          <w:p>
            <w:pPr>
              <w:pStyle w:val="Normal"/>
              <w:jc w:val="center"/>
            </w:pPr>
            <w:r>
              <w:rPr>
                <w:rFonts w:ascii="Times New Roman Bold"/>
                <w:caps w:val="0"/>
                <w:smallCaps w:val="0"/>
                <w:strike w:val="0"/>
                <w:dstrike w:val="0"/>
                <w:outline w:val="0"/>
                <w:color w:val="000000"/>
                <w:spacing w:val="0"/>
                <w:kern w:val="0"/>
                <w:position w:val="0"/>
                <w:sz w:val="20"/>
                <w:szCs w:val="20"/>
                <w:u w:val="none" w:color="000000"/>
                <w:vertAlign w:val="baseline"/>
                <w:rtl w:val="0"/>
                <w:lang w:val="it-IT"/>
              </w:rPr>
              <w:t>Gestore</w:t>
            </w:r>
          </w:p>
        </w:tc>
        <w:tc>
          <w:tcPr>
            <w:tcW w:type="dxa" w:w="1473"/>
            <w:tcBorders>
              <w:top w:val="single" w:color="000000" w:sz="8" w:space="0" w:shadow="0" w:frame="0"/>
              <w:left w:val="single" w:color="000000" w:sz="8" w:space="0" w:shadow="0" w:frame="0"/>
              <w:bottom w:val="nil"/>
              <w:right w:val="single" w:color="000000" w:sz="8" w:space="0" w:shadow="0" w:frame="0"/>
            </w:tcBorders>
            <w:shd w:val="clear" w:color="auto" w:fill="a6a6a6"/>
            <w:tcMar>
              <w:top w:type="dxa" w:w="80"/>
              <w:left w:type="dxa" w:w="80"/>
              <w:bottom w:type="dxa" w:w="80"/>
              <w:right w:type="dxa" w:w="80"/>
            </w:tcMar>
            <w:vAlign w:val="center"/>
          </w:tcPr>
          <w:p>
            <w:pPr>
              <w:pStyle w:val="Normal"/>
              <w:jc w:val="center"/>
              <w:rPr>
                <w:rFonts w:ascii="Times New Roman Bold" w:cs="Times New Roman Bold" w:hAnsi="Times New Roman Bold" w:eastAsia="Times New Roman Bold"/>
                <w:caps w:val="0"/>
                <w:smallCaps w:val="0"/>
                <w:strike w:val="0"/>
                <w:dstrike w:val="0"/>
                <w:outline w:val="0"/>
                <w:color w:val="000000"/>
                <w:spacing w:val="0"/>
                <w:kern w:val="0"/>
                <w:position w:val="0"/>
                <w:sz w:val="18"/>
                <w:szCs w:val="18"/>
                <w:u w:val="none" w:color="000000"/>
                <w:vertAlign w:val="baseline"/>
                <w:rtl w:val="0"/>
                <w:lang w:val="it-IT"/>
              </w:rPr>
            </w:pPr>
            <w:r>
              <w:rPr>
                <w:rFonts w:ascii="Times New Roman Bold"/>
                <w:caps w:val="0"/>
                <w:smallCaps w:val="0"/>
                <w:strike w:val="0"/>
                <w:dstrike w:val="0"/>
                <w:outline w:val="0"/>
                <w:color w:val="000000"/>
                <w:spacing w:val="0"/>
                <w:kern w:val="0"/>
                <w:position w:val="0"/>
                <w:sz w:val="18"/>
                <w:szCs w:val="18"/>
                <w:u w:val="none" w:color="000000"/>
                <w:vertAlign w:val="baseline"/>
                <w:rtl w:val="0"/>
                <w:lang w:val="it-IT"/>
              </w:rPr>
              <w:t>Capacit</w:t>
            </w:r>
            <w:r>
              <w:rPr>
                <w:rFonts w:hAnsi="Times New Roman Bold" w:hint="default"/>
                <w:caps w:val="0"/>
                <w:smallCaps w:val="0"/>
                <w:strike w:val="0"/>
                <w:dstrike w:val="0"/>
                <w:outline w:val="0"/>
                <w:color w:val="000000"/>
                <w:spacing w:val="0"/>
                <w:kern w:val="0"/>
                <w:position w:val="0"/>
                <w:sz w:val="18"/>
                <w:szCs w:val="18"/>
                <w:u w:val="none" w:color="000000"/>
                <w:vertAlign w:val="baseline"/>
                <w:rtl w:val="0"/>
                <w:lang w:val="it-IT"/>
              </w:rPr>
              <w:t xml:space="preserve">à </w:t>
            </w:r>
            <w:r>
              <w:rPr>
                <w:rFonts w:ascii="Times New Roman Bold"/>
                <w:caps w:val="0"/>
                <w:smallCaps w:val="0"/>
                <w:strike w:val="0"/>
                <w:dstrike w:val="0"/>
                <w:outline w:val="0"/>
                <w:color w:val="000000"/>
                <w:spacing w:val="0"/>
                <w:kern w:val="0"/>
                <w:position w:val="0"/>
                <w:sz w:val="18"/>
                <w:szCs w:val="18"/>
                <w:u w:val="none" w:color="000000"/>
                <w:vertAlign w:val="baseline"/>
                <w:rtl w:val="0"/>
                <w:lang w:val="it-IT"/>
              </w:rPr>
              <w:t>residua</w:t>
            </w:r>
          </w:p>
          <w:p>
            <w:pPr>
              <w:pStyle w:val="Normal"/>
              <w:jc w:val="center"/>
            </w:pPr>
            <w:r>
              <w:rPr>
                <w:rFonts w:ascii="Times New Roman Bold"/>
                <w:caps w:val="0"/>
                <w:smallCaps w:val="0"/>
                <w:strike w:val="0"/>
                <w:dstrike w:val="0"/>
                <w:outline w:val="0"/>
                <w:color w:val="000000"/>
                <w:spacing w:val="0"/>
                <w:kern w:val="0"/>
                <w:position w:val="0"/>
                <w:sz w:val="18"/>
                <w:szCs w:val="18"/>
                <w:u w:val="none" w:color="000000"/>
                <w:vertAlign w:val="baseline"/>
                <w:rtl w:val="0"/>
                <w:lang w:val="it-IT"/>
              </w:rPr>
              <w:t>al 31/12/2015</w:t>
            </w:r>
          </w:p>
        </w:tc>
        <w:tc>
          <w:tcPr>
            <w:tcW w:type="dxa" w:w="871"/>
            <w:tcBorders>
              <w:top w:val="single" w:color="000000" w:sz="8" w:space="0" w:shadow="0" w:frame="0"/>
              <w:left w:val="single" w:color="000000" w:sz="8" w:space="0" w:shadow="0" w:frame="0"/>
              <w:bottom w:val="nil"/>
              <w:right w:val="single" w:color="000000" w:sz="8" w:space="0" w:shadow="0" w:frame="0"/>
            </w:tcBorders>
            <w:shd w:val="clear" w:color="auto" w:fill="a6a6a6"/>
            <w:tcMar>
              <w:top w:type="dxa" w:w="80"/>
              <w:left w:type="dxa" w:w="80"/>
              <w:bottom w:type="dxa" w:w="80"/>
              <w:right w:type="dxa" w:w="80"/>
            </w:tcMar>
            <w:vAlign w:val="center"/>
          </w:tcPr>
          <w:p>
            <w:pPr>
              <w:pStyle w:val="Normal"/>
              <w:jc w:val="center"/>
            </w:pPr>
            <w:r>
              <w:rPr>
                <w:rFonts w:ascii="Times New Roman Bold"/>
                <w:caps w:val="0"/>
                <w:smallCaps w:val="0"/>
                <w:strike w:val="0"/>
                <w:dstrike w:val="0"/>
                <w:outline w:val="0"/>
                <w:color w:val="000000"/>
                <w:spacing w:val="0"/>
                <w:kern w:val="0"/>
                <w:position w:val="0"/>
                <w:sz w:val="18"/>
                <w:szCs w:val="18"/>
                <w:u w:val="none" w:color="000000"/>
                <w:vertAlign w:val="baseline"/>
                <w:rtl w:val="0"/>
                <w:lang w:val="it-IT"/>
              </w:rPr>
              <w:t>R.U. smaltiti</w:t>
            </w:r>
          </w:p>
        </w:tc>
        <w:tc>
          <w:tcPr>
            <w:tcW w:type="dxa" w:w="1488"/>
            <w:tcBorders>
              <w:top w:val="single" w:color="000000" w:sz="8" w:space="0" w:shadow="0" w:frame="0"/>
              <w:left w:val="single" w:color="000000" w:sz="8" w:space="0" w:shadow="0" w:frame="0"/>
              <w:bottom w:val="nil"/>
              <w:right w:val="single" w:color="000000" w:sz="8" w:space="0" w:shadow="0" w:frame="0"/>
            </w:tcBorders>
            <w:shd w:val="clear" w:color="auto" w:fill="a6a6a6"/>
            <w:tcMar>
              <w:top w:type="dxa" w:w="80"/>
              <w:left w:type="dxa" w:w="80"/>
              <w:bottom w:type="dxa" w:w="80"/>
              <w:right w:type="dxa" w:w="80"/>
            </w:tcMar>
            <w:vAlign w:val="center"/>
          </w:tcPr>
          <w:p>
            <w:pPr>
              <w:pStyle w:val="Normal"/>
              <w:jc w:val="center"/>
              <w:rPr>
                <w:rFonts w:ascii="Times New Roman Bold" w:cs="Times New Roman Bold" w:hAnsi="Times New Roman Bold" w:eastAsia="Times New Roman Bold"/>
                <w:caps w:val="0"/>
                <w:smallCaps w:val="0"/>
                <w:strike w:val="0"/>
                <w:dstrike w:val="0"/>
                <w:outline w:val="0"/>
                <w:color w:val="000000"/>
                <w:spacing w:val="0"/>
                <w:kern w:val="0"/>
                <w:position w:val="0"/>
                <w:sz w:val="18"/>
                <w:szCs w:val="18"/>
                <w:u w:val="none" w:color="000000"/>
                <w:vertAlign w:val="baseline"/>
                <w:rtl w:val="0"/>
                <w:lang w:val="it-IT"/>
              </w:rPr>
            </w:pPr>
            <w:r>
              <w:rPr>
                <w:rFonts w:ascii="Times New Roman Bold"/>
                <w:caps w:val="0"/>
                <w:smallCaps w:val="0"/>
                <w:strike w:val="0"/>
                <w:dstrike w:val="0"/>
                <w:outline w:val="0"/>
                <w:color w:val="000000"/>
                <w:spacing w:val="0"/>
                <w:kern w:val="0"/>
                <w:position w:val="0"/>
                <w:sz w:val="18"/>
                <w:szCs w:val="18"/>
                <w:u w:val="none" w:color="000000"/>
                <w:vertAlign w:val="baseline"/>
                <w:rtl w:val="0"/>
                <w:lang w:val="it-IT"/>
              </w:rPr>
              <w:t>Da trattamento</w:t>
            </w:r>
          </w:p>
          <w:p>
            <w:pPr>
              <w:pStyle w:val="Normal"/>
              <w:jc w:val="center"/>
            </w:pPr>
            <w:r>
              <w:rPr>
                <w:rFonts w:ascii="Times New Roman Bold"/>
                <w:caps w:val="0"/>
                <w:smallCaps w:val="0"/>
                <w:strike w:val="0"/>
                <w:dstrike w:val="0"/>
                <w:outline w:val="0"/>
                <w:color w:val="000000"/>
                <w:spacing w:val="0"/>
                <w:kern w:val="0"/>
                <w:position w:val="0"/>
                <w:sz w:val="18"/>
                <w:szCs w:val="18"/>
                <w:u w:val="none" w:color="000000"/>
                <w:vertAlign w:val="baseline"/>
                <w:rtl w:val="0"/>
                <w:lang w:val="it-IT"/>
              </w:rPr>
              <w:t>di R.U.</w:t>
            </w:r>
          </w:p>
        </w:tc>
        <w:tc>
          <w:tcPr>
            <w:tcW w:type="dxa" w:w="871"/>
            <w:tcBorders>
              <w:top w:val="single" w:color="000000" w:sz="8" w:space="0" w:shadow="0" w:frame="0"/>
              <w:left w:val="single" w:color="000000" w:sz="8" w:space="0" w:shadow="0" w:frame="0"/>
              <w:bottom w:val="nil"/>
              <w:right w:val="single" w:color="000000" w:sz="8" w:space="0" w:shadow="0" w:frame="0"/>
            </w:tcBorders>
            <w:shd w:val="clear" w:color="auto" w:fill="a6a6a6"/>
            <w:tcMar>
              <w:top w:type="dxa" w:w="80"/>
              <w:left w:type="dxa" w:w="80"/>
              <w:bottom w:type="dxa" w:w="80"/>
              <w:right w:type="dxa" w:w="80"/>
            </w:tcMar>
            <w:vAlign w:val="center"/>
          </w:tcPr>
          <w:p>
            <w:pPr>
              <w:pStyle w:val="Normal"/>
              <w:jc w:val="center"/>
            </w:pPr>
            <w:r>
              <w:rPr>
                <w:rFonts w:ascii="Times New Roman Bold"/>
                <w:caps w:val="0"/>
                <w:smallCaps w:val="0"/>
                <w:strike w:val="0"/>
                <w:dstrike w:val="0"/>
                <w:outline w:val="0"/>
                <w:color w:val="000000"/>
                <w:spacing w:val="0"/>
                <w:kern w:val="0"/>
                <w:position w:val="0"/>
                <w:sz w:val="18"/>
                <w:szCs w:val="18"/>
                <w:u w:val="none" w:color="000000"/>
                <w:vertAlign w:val="baseline"/>
                <w:rtl w:val="0"/>
                <w:lang w:val="it-IT"/>
              </w:rPr>
              <w:t>R.S.</w:t>
            </w:r>
          </w:p>
        </w:tc>
      </w:tr>
      <w:tr>
        <w:tblPrEx>
          <w:shd w:val="clear" w:color="auto" w:fill="auto"/>
        </w:tblPrEx>
        <w:trPr>
          <w:trHeight w:val="250" w:hRule="atLeast"/>
        </w:trPr>
        <w:tc>
          <w:tcPr>
            <w:tcW w:type="dxa" w:w="754"/>
            <w:vMerge w:val="continue"/>
            <w:tcBorders>
              <w:top w:val="single" w:color="000000" w:sz="8" w:space="0" w:shadow="0" w:frame="0"/>
              <w:left w:val="single" w:color="000000" w:sz="8" w:space="0" w:shadow="0" w:frame="0"/>
              <w:bottom w:val="single" w:color="000000" w:sz="8" w:space="0" w:shadow="0" w:frame="0"/>
              <w:right w:val="single" w:color="000000" w:sz="8" w:space="0" w:shadow="0" w:frame="0"/>
            </w:tcBorders>
            <w:shd w:val="clear" w:color="auto" w:fill="a6a6a6"/>
          </w:tcPr>
          <w:p/>
        </w:tc>
        <w:tc>
          <w:tcPr>
            <w:tcW w:type="dxa" w:w="1654"/>
            <w:vMerge w:val="continue"/>
            <w:tcBorders>
              <w:top w:val="single" w:color="000000" w:sz="8" w:space="0" w:shadow="0" w:frame="0"/>
              <w:left w:val="single" w:color="000000" w:sz="8" w:space="0" w:shadow="0" w:frame="0"/>
              <w:bottom w:val="single" w:color="000000" w:sz="8" w:space="0" w:shadow="0" w:frame="0"/>
              <w:right w:val="single" w:color="000000" w:sz="8" w:space="0" w:shadow="0" w:frame="0"/>
            </w:tcBorders>
            <w:shd w:val="clear" w:color="auto" w:fill="a6a6a6"/>
          </w:tcPr>
          <w:p/>
        </w:tc>
        <w:tc>
          <w:tcPr>
            <w:tcW w:type="dxa" w:w="2378"/>
            <w:tcBorders>
              <w:top w:val="nil"/>
              <w:left w:val="single" w:color="000000" w:sz="8" w:space="0" w:shadow="0" w:frame="0"/>
              <w:bottom w:val="single" w:color="000000" w:sz="8" w:space="0" w:shadow="0" w:frame="0"/>
              <w:right w:val="single" w:color="000000" w:sz="8" w:space="0" w:shadow="0" w:frame="0"/>
            </w:tcBorders>
            <w:shd w:val="clear" w:color="auto" w:fill="a6a6a6"/>
            <w:tcMar>
              <w:top w:type="dxa" w:w="80"/>
              <w:left w:type="dxa" w:w="80"/>
              <w:bottom w:type="dxa" w:w="80"/>
              <w:right w:type="dxa" w:w="80"/>
            </w:tcMar>
            <w:vAlign w:val="top"/>
          </w:tcPr>
          <w:p/>
        </w:tc>
        <w:tc>
          <w:tcPr>
            <w:tcW w:type="dxa" w:w="1473"/>
            <w:tcBorders>
              <w:top w:val="nil"/>
              <w:left w:val="single" w:color="000000" w:sz="8" w:space="0" w:shadow="0" w:frame="0"/>
              <w:bottom w:val="single" w:color="000000" w:sz="8" w:space="0" w:shadow="0" w:frame="0"/>
              <w:right w:val="single" w:color="000000" w:sz="8" w:space="0" w:shadow="0" w:frame="0"/>
            </w:tcBorders>
            <w:shd w:val="clear" w:color="auto" w:fill="a6a6a6"/>
            <w:tcMar>
              <w:top w:type="dxa" w:w="80"/>
              <w:left w:type="dxa" w:w="80"/>
              <w:bottom w:type="dxa" w:w="80"/>
              <w:right w:type="dxa" w:w="80"/>
            </w:tcMar>
            <w:vAlign w:val="center"/>
          </w:tcPr>
          <w:p>
            <w:pPr>
              <w:pStyle w:val="Normal"/>
              <w:jc w:val="center"/>
            </w:pPr>
            <w:r>
              <w:rPr>
                <w:rFonts w:ascii="Times New Roman Bold"/>
                <w:caps w:val="0"/>
                <w:smallCaps w:val="0"/>
                <w:strike w:val="0"/>
                <w:dstrike w:val="0"/>
                <w:outline w:val="0"/>
                <w:color w:val="000000"/>
                <w:spacing w:val="0"/>
                <w:kern w:val="0"/>
                <w:position w:val="0"/>
                <w:sz w:val="18"/>
                <w:szCs w:val="18"/>
                <w:u w:val="none" w:color="000000"/>
                <w:vertAlign w:val="baseline"/>
                <w:rtl w:val="0"/>
                <w:lang w:val="it-IT"/>
              </w:rPr>
              <w:t>(m</w:t>
            </w:r>
            <w:r>
              <w:rPr>
                <w:rFonts w:ascii="Times New Roman Bold"/>
                <w:caps w:val="0"/>
                <w:smallCaps w:val="0"/>
                <w:strike w:val="0"/>
                <w:dstrike w:val="0"/>
                <w:outline w:val="0"/>
                <w:color w:val="000000"/>
                <w:spacing w:val="0"/>
                <w:kern w:val="0"/>
                <w:position w:val="0"/>
                <w:sz w:val="18"/>
                <w:szCs w:val="18"/>
                <w:u w:val="none" w:color="000000"/>
                <w:vertAlign w:val="superscript"/>
                <w:rtl w:val="0"/>
                <w:lang w:val="it-IT"/>
              </w:rPr>
              <w:t>3</w:t>
            </w:r>
            <w:r>
              <w:rPr>
                <w:rFonts w:ascii="Times New Roman Bold"/>
                <w:caps w:val="0"/>
                <w:smallCaps w:val="0"/>
                <w:strike w:val="0"/>
                <w:dstrike w:val="0"/>
                <w:outline w:val="0"/>
                <w:color w:val="000000"/>
                <w:spacing w:val="0"/>
                <w:kern w:val="0"/>
                <w:position w:val="0"/>
                <w:sz w:val="18"/>
                <w:szCs w:val="18"/>
                <w:u w:val="none" w:color="000000"/>
                <w:vertAlign w:val="baseline"/>
                <w:rtl w:val="0"/>
                <w:lang w:val="it-IT"/>
              </w:rPr>
              <w:t>)</w:t>
            </w:r>
          </w:p>
        </w:tc>
        <w:tc>
          <w:tcPr>
            <w:tcW w:type="dxa" w:w="871"/>
            <w:tcBorders>
              <w:top w:val="nil"/>
              <w:left w:val="single" w:color="000000" w:sz="8" w:space="0" w:shadow="0" w:frame="0"/>
              <w:bottom w:val="single" w:color="000000" w:sz="8" w:space="0" w:shadow="0" w:frame="0"/>
              <w:right w:val="single" w:color="000000" w:sz="8" w:space="0" w:shadow="0" w:frame="0"/>
            </w:tcBorders>
            <w:shd w:val="clear" w:color="auto" w:fill="a6a6a6"/>
            <w:tcMar>
              <w:top w:type="dxa" w:w="80"/>
              <w:left w:type="dxa" w:w="80"/>
              <w:bottom w:type="dxa" w:w="80"/>
              <w:right w:type="dxa" w:w="80"/>
            </w:tcMar>
            <w:vAlign w:val="center"/>
          </w:tcPr>
          <w:p>
            <w:pPr>
              <w:pStyle w:val="Normal"/>
              <w:jc w:val="center"/>
            </w:pPr>
            <w:r>
              <w:rPr>
                <w:rFonts w:ascii="Times New Roman Bold"/>
                <w:caps w:val="0"/>
                <w:smallCaps w:val="0"/>
                <w:strike w:val="0"/>
                <w:dstrike w:val="0"/>
                <w:outline w:val="0"/>
                <w:color w:val="000000"/>
                <w:spacing w:val="0"/>
                <w:kern w:val="0"/>
                <w:position w:val="0"/>
                <w:sz w:val="18"/>
                <w:szCs w:val="18"/>
                <w:u w:val="none" w:color="000000"/>
                <w:vertAlign w:val="baseline"/>
                <w:rtl w:val="0"/>
                <w:lang w:val="it-IT"/>
              </w:rPr>
              <w:t>(t/a)</w:t>
            </w:r>
          </w:p>
        </w:tc>
        <w:tc>
          <w:tcPr>
            <w:tcW w:type="dxa" w:w="1488"/>
            <w:tcBorders>
              <w:top w:val="nil"/>
              <w:left w:val="single" w:color="000000" w:sz="8" w:space="0" w:shadow="0" w:frame="0"/>
              <w:bottom w:val="single" w:color="000000" w:sz="8" w:space="0" w:shadow="0" w:frame="0"/>
              <w:right w:val="single" w:color="000000" w:sz="8" w:space="0" w:shadow="0" w:frame="0"/>
            </w:tcBorders>
            <w:shd w:val="clear" w:color="auto" w:fill="a6a6a6"/>
            <w:tcMar>
              <w:top w:type="dxa" w:w="80"/>
              <w:left w:type="dxa" w:w="80"/>
              <w:bottom w:type="dxa" w:w="80"/>
              <w:right w:type="dxa" w:w="80"/>
            </w:tcMar>
            <w:vAlign w:val="center"/>
          </w:tcPr>
          <w:p>
            <w:pPr>
              <w:pStyle w:val="Normal"/>
              <w:jc w:val="center"/>
            </w:pPr>
            <w:r>
              <w:rPr>
                <w:rFonts w:ascii="Times New Roman Bold"/>
                <w:caps w:val="0"/>
                <w:smallCaps w:val="0"/>
                <w:strike w:val="0"/>
                <w:dstrike w:val="0"/>
                <w:outline w:val="0"/>
                <w:color w:val="000000"/>
                <w:spacing w:val="0"/>
                <w:kern w:val="0"/>
                <w:position w:val="0"/>
                <w:sz w:val="18"/>
                <w:szCs w:val="18"/>
                <w:u w:val="none" w:color="000000"/>
                <w:vertAlign w:val="baseline"/>
                <w:rtl w:val="0"/>
                <w:lang w:val="it-IT"/>
              </w:rPr>
              <w:t>(t/a)</w:t>
            </w:r>
          </w:p>
        </w:tc>
        <w:tc>
          <w:tcPr>
            <w:tcW w:type="dxa" w:w="871"/>
            <w:tcBorders>
              <w:top w:val="nil"/>
              <w:left w:val="single" w:color="000000" w:sz="8" w:space="0" w:shadow="0" w:frame="0"/>
              <w:bottom w:val="single" w:color="000000" w:sz="8" w:space="0" w:shadow="0" w:frame="0"/>
              <w:right w:val="single" w:color="000000" w:sz="8" w:space="0" w:shadow="0" w:frame="0"/>
            </w:tcBorders>
            <w:shd w:val="clear" w:color="auto" w:fill="a6a6a6"/>
            <w:tcMar>
              <w:top w:type="dxa" w:w="80"/>
              <w:left w:type="dxa" w:w="80"/>
              <w:bottom w:type="dxa" w:w="80"/>
              <w:right w:type="dxa" w:w="80"/>
            </w:tcMar>
            <w:vAlign w:val="center"/>
          </w:tcPr>
          <w:p>
            <w:pPr>
              <w:pStyle w:val="Normal"/>
              <w:jc w:val="center"/>
            </w:pPr>
            <w:r>
              <w:rPr>
                <w:rFonts w:ascii="Times New Roman Bold"/>
                <w:caps w:val="0"/>
                <w:smallCaps w:val="0"/>
                <w:strike w:val="0"/>
                <w:dstrike w:val="0"/>
                <w:outline w:val="0"/>
                <w:color w:val="000000"/>
                <w:spacing w:val="0"/>
                <w:kern w:val="0"/>
                <w:position w:val="0"/>
                <w:sz w:val="18"/>
                <w:szCs w:val="18"/>
                <w:u w:val="none" w:color="000000"/>
                <w:vertAlign w:val="baseline"/>
                <w:rtl w:val="0"/>
                <w:lang w:val="it-IT"/>
              </w:rPr>
              <w:t>(t/a)</w:t>
            </w:r>
          </w:p>
        </w:tc>
      </w:tr>
      <w:tr>
        <w:tblPrEx>
          <w:shd w:val="clear" w:color="auto" w:fill="auto"/>
        </w:tblPrEx>
        <w:trPr>
          <w:trHeight w:val="232" w:hRule="atLeast"/>
        </w:trPr>
        <w:tc>
          <w:tcPr>
            <w:tcW w:type="dxa" w:w="754"/>
            <w:tcBorders>
              <w:top w:val="single" w:color="000000" w:sz="8" w:space="0" w:shadow="0" w:frame="0"/>
              <w:left w:val="single" w:color="000000" w:sz="8" w:space="0" w:shadow="0" w:frame="0"/>
              <w:bottom w:val="single" w:color="000000" w:sz="8" w:space="0" w:shadow="0" w:frame="0"/>
              <w:right w:val="single" w:color="000000" w:sz="8" w:space="0" w:shadow="0" w:frame="0"/>
            </w:tcBorders>
            <w:shd w:val="clear" w:color="auto" w:fill="ffffff"/>
            <w:tcMar>
              <w:top w:type="dxa" w:w="80"/>
              <w:left w:type="dxa" w:w="80"/>
              <w:bottom w:type="dxa" w:w="80"/>
              <w:right w:type="dxa" w:w="80"/>
            </w:tcMar>
            <w:vAlign w:val="center"/>
          </w:tcPr>
          <w:p>
            <w:pPr>
              <w:pStyle w:val="Normal"/>
              <w:jc w:val="center"/>
            </w:pPr>
            <w:r>
              <w:rPr>
                <w:caps w:val="0"/>
                <w:smallCaps w:val="0"/>
                <w:strike w:val="0"/>
                <w:dstrike w:val="0"/>
                <w:outline w:val="0"/>
                <w:color w:val="000000"/>
                <w:spacing w:val="0"/>
                <w:kern w:val="0"/>
                <w:position w:val="0"/>
                <w:sz w:val="20"/>
                <w:szCs w:val="20"/>
                <w:u w:val="none" w:color="000000"/>
                <w:vertAlign w:val="baseline"/>
                <w:rtl w:val="0"/>
                <w:lang w:val="it-IT"/>
              </w:rPr>
              <w:t>FR</w:t>
            </w:r>
          </w:p>
        </w:tc>
        <w:tc>
          <w:tcPr>
            <w:tcW w:type="dxa" w:w="1654"/>
            <w:tcBorders>
              <w:top w:val="single" w:color="000000" w:sz="8" w:space="0" w:shadow="0" w:frame="0"/>
              <w:left w:val="single" w:color="000000" w:sz="8" w:space="0" w:shadow="0" w:frame="0"/>
              <w:bottom w:val="single" w:color="000000" w:sz="8" w:space="0" w:shadow="0" w:frame="0"/>
              <w:right w:val="single" w:color="000000" w:sz="8" w:space="0" w:shadow="0" w:frame="0"/>
            </w:tcBorders>
            <w:shd w:val="clear" w:color="auto" w:fill="ffffff"/>
            <w:tcMar>
              <w:top w:type="dxa" w:w="80"/>
              <w:left w:type="dxa" w:w="80"/>
              <w:bottom w:type="dxa" w:w="80"/>
              <w:right w:type="dxa" w:w="80"/>
            </w:tcMar>
            <w:vAlign w:val="center"/>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Roccasecca</w:t>
            </w:r>
          </w:p>
        </w:tc>
        <w:tc>
          <w:tcPr>
            <w:tcW w:type="dxa" w:w="2378"/>
            <w:tcBorders>
              <w:top w:val="single" w:color="000000" w:sz="8" w:space="0" w:shadow="0" w:frame="0"/>
              <w:left w:val="single" w:color="000000" w:sz="8" w:space="0" w:shadow="0" w:frame="0"/>
              <w:bottom w:val="single" w:color="000000" w:sz="8" w:space="0" w:shadow="0" w:frame="0"/>
              <w:right w:val="single" w:color="000000" w:sz="8" w:space="0" w:shadow="0" w:frame="0"/>
            </w:tcBorders>
            <w:shd w:val="clear" w:color="auto" w:fill="ffffff"/>
            <w:tcMar>
              <w:top w:type="dxa" w:w="80"/>
              <w:left w:type="dxa" w:w="80"/>
              <w:bottom w:type="dxa" w:w="80"/>
              <w:right w:type="dxa" w:w="80"/>
            </w:tcMar>
            <w:vAlign w:val="top"/>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MAD S.r.l.       </w:t>
            </w:r>
          </w:p>
        </w:tc>
        <w:tc>
          <w:tcPr>
            <w:tcW w:type="dxa" w:w="1473"/>
            <w:tcBorders>
              <w:top w:val="single" w:color="000000" w:sz="8" w:space="0" w:shadow="0" w:frame="0"/>
              <w:left w:val="single" w:color="000000" w:sz="8" w:space="0" w:shadow="0" w:frame="0"/>
              <w:bottom w:val="single" w:color="000000" w:sz="8" w:space="0" w:shadow="0" w:frame="0"/>
              <w:right w:val="single" w:color="000000" w:sz="8" w:space="0" w:shadow="0" w:frame="0"/>
            </w:tcBorders>
            <w:shd w:val="clear" w:color="auto" w:fill="ffffff"/>
            <w:tcMar>
              <w:top w:type="dxa" w:w="80"/>
              <w:left w:type="dxa" w:w="80"/>
              <w:bottom w:type="dxa" w:w="80"/>
              <w:right w:type="dxa" w:w="80"/>
            </w:tcMar>
            <w:vAlign w:val="center"/>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465.000</w:t>
            </w:r>
          </w:p>
        </w:tc>
        <w:tc>
          <w:tcPr>
            <w:tcW w:type="dxa" w:w="871"/>
            <w:tcBorders>
              <w:top w:val="single" w:color="000000" w:sz="8" w:space="0" w:shadow="0" w:frame="0"/>
              <w:left w:val="single" w:color="000000" w:sz="8" w:space="0" w:shadow="0" w:frame="0"/>
              <w:bottom w:val="single" w:color="000000" w:sz="8" w:space="0" w:shadow="0" w:frame="0"/>
              <w:right w:val="single" w:color="000000" w:sz="8" w:space="0" w:shadow="0" w:frame="0"/>
            </w:tcBorders>
            <w:shd w:val="clear" w:color="auto" w:fill="ffffff"/>
            <w:tcMar>
              <w:top w:type="dxa" w:w="80"/>
              <w:left w:type="dxa" w:w="80"/>
              <w:bottom w:type="dxa" w:w="80"/>
              <w:right w:type="dxa" w:w="80"/>
            </w:tcMar>
            <w:vAlign w:val="center"/>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0</w:t>
            </w:r>
          </w:p>
        </w:tc>
        <w:tc>
          <w:tcPr>
            <w:tcW w:type="dxa" w:w="1488"/>
            <w:tcBorders>
              <w:top w:val="single" w:color="000000" w:sz="8" w:space="0" w:shadow="0" w:frame="0"/>
              <w:left w:val="single" w:color="000000" w:sz="8" w:space="0" w:shadow="0" w:frame="0"/>
              <w:bottom w:val="single" w:color="000000" w:sz="8" w:space="0" w:shadow="0" w:frame="0"/>
              <w:right w:val="single" w:color="000000" w:sz="8" w:space="0" w:shadow="0" w:frame="0"/>
            </w:tcBorders>
            <w:shd w:val="clear" w:color="auto" w:fill="ffffff"/>
            <w:tcMar>
              <w:top w:type="dxa" w:w="80"/>
              <w:left w:type="dxa" w:w="80"/>
              <w:bottom w:type="dxa" w:w="80"/>
              <w:right w:type="dxa" w:w="80"/>
            </w:tcMar>
            <w:vAlign w:val="center"/>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211.912</w:t>
            </w:r>
          </w:p>
        </w:tc>
        <w:tc>
          <w:tcPr>
            <w:tcW w:type="dxa" w:w="871"/>
            <w:tcBorders>
              <w:top w:val="single" w:color="000000" w:sz="8" w:space="0" w:shadow="0" w:frame="0"/>
              <w:left w:val="single" w:color="000000" w:sz="8" w:space="0" w:shadow="0" w:frame="0"/>
              <w:bottom w:val="single" w:color="000000" w:sz="8" w:space="0" w:shadow="0" w:frame="0"/>
              <w:right w:val="single" w:color="000000" w:sz="8" w:space="0" w:shadow="0" w:frame="0"/>
            </w:tcBorders>
            <w:shd w:val="clear" w:color="auto" w:fill="ffffff"/>
            <w:tcMar>
              <w:top w:type="dxa" w:w="80"/>
              <w:left w:type="dxa" w:w="80"/>
              <w:bottom w:type="dxa" w:w="80"/>
              <w:right w:type="dxa" w:w="80"/>
            </w:tcMar>
            <w:vAlign w:val="center"/>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35.399</w:t>
            </w:r>
          </w:p>
        </w:tc>
      </w:tr>
      <w:tr>
        <w:tblPrEx>
          <w:shd w:val="clear" w:color="auto" w:fill="auto"/>
        </w:tblPrEx>
        <w:trPr>
          <w:trHeight w:val="232" w:hRule="atLeast"/>
        </w:trPr>
        <w:tc>
          <w:tcPr>
            <w:tcW w:type="dxa" w:w="754"/>
            <w:tcBorders>
              <w:top w:val="single" w:color="000000" w:sz="8" w:space="0" w:shadow="0" w:frame="0"/>
              <w:left w:val="single" w:color="000000" w:sz="8" w:space="0" w:shadow="0" w:frame="0"/>
              <w:bottom w:val="single" w:color="000000" w:sz="8" w:space="0" w:shadow="0" w:frame="0"/>
              <w:right w:val="single" w:color="000000" w:sz="8" w:space="0" w:shadow="0" w:frame="0"/>
            </w:tcBorders>
            <w:shd w:val="clear" w:color="auto" w:fill="ffffff"/>
            <w:tcMar>
              <w:top w:type="dxa" w:w="80"/>
              <w:left w:type="dxa" w:w="80"/>
              <w:bottom w:type="dxa" w:w="80"/>
              <w:right w:type="dxa" w:w="80"/>
            </w:tcMar>
            <w:vAlign w:val="center"/>
          </w:tcPr>
          <w:p>
            <w:pPr>
              <w:pStyle w:val="Normal"/>
              <w:jc w:val="center"/>
            </w:pPr>
            <w:r>
              <w:rPr>
                <w:caps w:val="0"/>
                <w:smallCaps w:val="0"/>
                <w:strike w:val="0"/>
                <w:dstrike w:val="0"/>
                <w:outline w:val="0"/>
                <w:color w:val="000000"/>
                <w:spacing w:val="0"/>
                <w:kern w:val="0"/>
                <w:position w:val="0"/>
                <w:sz w:val="20"/>
                <w:szCs w:val="20"/>
                <w:u w:val="none" w:color="000000"/>
                <w:vertAlign w:val="baseline"/>
                <w:rtl w:val="0"/>
                <w:lang w:val="it-IT"/>
              </w:rPr>
              <w:t>LT</w:t>
            </w:r>
          </w:p>
        </w:tc>
        <w:tc>
          <w:tcPr>
            <w:tcW w:type="dxa" w:w="1654"/>
            <w:tcBorders>
              <w:top w:val="single" w:color="000000" w:sz="8" w:space="0" w:shadow="0" w:frame="0"/>
              <w:left w:val="single" w:color="000000" w:sz="8" w:space="0" w:shadow="0" w:frame="0"/>
              <w:bottom w:val="single" w:color="000000" w:sz="8" w:space="0" w:shadow="0" w:frame="0"/>
              <w:right w:val="single" w:color="000000" w:sz="8" w:space="0" w:shadow="0" w:frame="0"/>
            </w:tcBorders>
            <w:shd w:val="clear" w:color="auto" w:fill="ffffff"/>
            <w:tcMar>
              <w:top w:type="dxa" w:w="80"/>
              <w:left w:type="dxa" w:w="80"/>
              <w:bottom w:type="dxa" w:w="80"/>
              <w:right w:type="dxa" w:w="80"/>
            </w:tcMar>
            <w:vAlign w:val="center"/>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Latina</w:t>
            </w:r>
          </w:p>
        </w:tc>
        <w:tc>
          <w:tcPr>
            <w:tcW w:type="dxa" w:w="2378"/>
            <w:tcBorders>
              <w:top w:val="single" w:color="000000" w:sz="8" w:space="0" w:shadow="0" w:frame="0"/>
              <w:left w:val="single" w:color="000000" w:sz="8" w:space="0" w:shadow="0" w:frame="0"/>
              <w:bottom w:val="single" w:color="000000" w:sz="8" w:space="0" w:shadow="0" w:frame="0"/>
              <w:right w:val="single" w:color="000000" w:sz="8" w:space="0" w:shadow="0" w:frame="0"/>
            </w:tcBorders>
            <w:shd w:val="clear" w:color="auto" w:fill="ffffff"/>
            <w:tcMar>
              <w:top w:type="dxa" w:w="80"/>
              <w:left w:type="dxa" w:w="80"/>
              <w:bottom w:type="dxa" w:w="80"/>
              <w:right w:type="dxa" w:w="80"/>
            </w:tcMar>
            <w:vAlign w:val="top"/>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 xml:space="preserve">ECOAMBIENTE S.r.l.   </w:t>
            </w:r>
          </w:p>
        </w:tc>
        <w:tc>
          <w:tcPr>
            <w:tcW w:type="dxa" w:w="1473"/>
            <w:tcBorders>
              <w:top w:val="single" w:color="000000" w:sz="8" w:space="0" w:shadow="0" w:frame="0"/>
              <w:left w:val="single" w:color="000000" w:sz="8" w:space="0" w:shadow="0" w:frame="0"/>
              <w:bottom w:val="single" w:color="000000" w:sz="8" w:space="0" w:shadow="0" w:frame="0"/>
              <w:right w:val="single" w:color="000000" w:sz="8" w:space="0" w:shadow="0" w:frame="0"/>
            </w:tcBorders>
            <w:shd w:val="clear" w:color="auto" w:fill="ffffff"/>
            <w:tcMar>
              <w:top w:type="dxa" w:w="80"/>
              <w:left w:type="dxa" w:w="80"/>
              <w:bottom w:type="dxa" w:w="80"/>
              <w:right w:type="dxa" w:w="80"/>
            </w:tcMar>
            <w:vAlign w:val="center"/>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5.175</w:t>
            </w:r>
          </w:p>
        </w:tc>
        <w:tc>
          <w:tcPr>
            <w:tcW w:type="dxa" w:w="871"/>
            <w:tcBorders>
              <w:top w:val="single" w:color="000000" w:sz="8" w:space="0" w:shadow="0" w:frame="0"/>
              <w:left w:val="single" w:color="000000" w:sz="8" w:space="0" w:shadow="0" w:frame="0"/>
              <w:bottom w:val="single" w:color="000000" w:sz="8" w:space="0" w:shadow="0" w:frame="0"/>
              <w:right w:val="single" w:color="000000" w:sz="8" w:space="0" w:shadow="0" w:frame="0"/>
            </w:tcBorders>
            <w:shd w:val="clear" w:color="auto" w:fill="ffffff"/>
            <w:tcMar>
              <w:top w:type="dxa" w:w="80"/>
              <w:left w:type="dxa" w:w="80"/>
              <w:bottom w:type="dxa" w:w="80"/>
              <w:right w:type="dxa" w:w="80"/>
            </w:tcMar>
            <w:vAlign w:val="center"/>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0</w:t>
            </w:r>
          </w:p>
        </w:tc>
        <w:tc>
          <w:tcPr>
            <w:tcW w:type="dxa" w:w="1488"/>
            <w:tcBorders>
              <w:top w:val="single" w:color="000000" w:sz="8" w:space="0" w:shadow="0" w:frame="0"/>
              <w:left w:val="single" w:color="000000" w:sz="8" w:space="0" w:shadow="0" w:frame="0"/>
              <w:bottom w:val="single" w:color="000000" w:sz="8" w:space="0" w:shadow="0" w:frame="0"/>
              <w:right w:val="single" w:color="000000" w:sz="8" w:space="0" w:shadow="0" w:frame="0"/>
            </w:tcBorders>
            <w:shd w:val="clear" w:color="auto" w:fill="ffffff"/>
            <w:tcMar>
              <w:top w:type="dxa" w:w="80"/>
              <w:left w:type="dxa" w:w="80"/>
              <w:bottom w:type="dxa" w:w="80"/>
              <w:right w:type="dxa" w:w="80"/>
            </w:tcMar>
            <w:vAlign w:val="center"/>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32.564</w:t>
            </w:r>
          </w:p>
        </w:tc>
        <w:tc>
          <w:tcPr>
            <w:tcW w:type="dxa" w:w="871"/>
            <w:tcBorders>
              <w:top w:val="single" w:color="000000" w:sz="8" w:space="0" w:shadow="0" w:frame="0"/>
              <w:left w:val="single" w:color="000000" w:sz="8" w:space="0" w:shadow="0" w:frame="0"/>
              <w:bottom w:val="single" w:color="000000" w:sz="8" w:space="0" w:shadow="0" w:frame="0"/>
              <w:right w:val="single" w:color="000000" w:sz="8" w:space="0" w:shadow="0" w:frame="0"/>
            </w:tcBorders>
            <w:shd w:val="clear" w:color="auto" w:fill="ffffff"/>
            <w:tcMar>
              <w:top w:type="dxa" w:w="80"/>
              <w:left w:type="dxa" w:w="80"/>
              <w:bottom w:type="dxa" w:w="80"/>
              <w:right w:type="dxa" w:w="80"/>
            </w:tcMar>
            <w:vAlign w:val="center"/>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561</w:t>
            </w:r>
          </w:p>
        </w:tc>
      </w:tr>
      <w:tr>
        <w:tblPrEx>
          <w:shd w:val="clear" w:color="auto" w:fill="auto"/>
        </w:tblPrEx>
        <w:trPr>
          <w:trHeight w:val="232" w:hRule="atLeast"/>
        </w:trPr>
        <w:tc>
          <w:tcPr>
            <w:tcW w:type="dxa" w:w="754"/>
            <w:tcBorders>
              <w:top w:val="single" w:color="000000" w:sz="8" w:space="0" w:shadow="0" w:frame="0"/>
              <w:left w:val="single" w:color="000000" w:sz="8" w:space="0" w:shadow="0" w:frame="0"/>
              <w:bottom w:val="single" w:color="000000" w:sz="8" w:space="0" w:shadow="0" w:frame="0"/>
              <w:right w:val="single" w:color="000000" w:sz="8" w:space="0" w:shadow="0" w:frame="0"/>
            </w:tcBorders>
            <w:shd w:val="clear" w:color="auto" w:fill="ffffff"/>
            <w:tcMar>
              <w:top w:type="dxa" w:w="80"/>
              <w:left w:type="dxa" w:w="80"/>
              <w:bottom w:type="dxa" w:w="80"/>
              <w:right w:type="dxa" w:w="80"/>
            </w:tcMar>
            <w:vAlign w:val="center"/>
          </w:tcPr>
          <w:p>
            <w:pPr>
              <w:pStyle w:val="Normal"/>
              <w:jc w:val="center"/>
            </w:pPr>
            <w:r>
              <w:rPr>
                <w:caps w:val="0"/>
                <w:smallCaps w:val="0"/>
                <w:strike w:val="0"/>
                <w:dstrike w:val="0"/>
                <w:outline w:val="0"/>
                <w:color w:val="000000"/>
                <w:spacing w:val="0"/>
                <w:kern w:val="0"/>
                <w:position w:val="0"/>
                <w:sz w:val="20"/>
                <w:szCs w:val="20"/>
                <w:u w:val="none" w:color="000000"/>
                <w:vertAlign w:val="baseline"/>
                <w:rtl w:val="0"/>
                <w:lang w:val="it-IT"/>
              </w:rPr>
              <w:t>LT</w:t>
            </w:r>
          </w:p>
        </w:tc>
        <w:tc>
          <w:tcPr>
            <w:tcW w:type="dxa" w:w="1654"/>
            <w:tcBorders>
              <w:top w:val="single" w:color="000000" w:sz="8" w:space="0" w:shadow="0" w:frame="0"/>
              <w:left w:val="single" w:color="000000" w:sz="8" w:space="0" w:shadow="0" w:frame="0"/>
              <w:bottom w:val="single" w:color="000000" w:sz="8" w:space="0" w:shadow="0" w:frame="0"/>
              <w:right w:val="single" w:color="000000" w:sz="8" w:space="0" w:shadow="0" w:frame="0"/>
            </w:tcBorders>
            <w:shd w:val="clear" w:color="auto" w:fill="ffffff"/>
            <w:tcMar>
              <w:top w:type="dxa" w:w="80"/>
              <w:left w:type="dxa" w:w="80"/>
              <w:bottom w:type="dxa" w:w="80"/>
              <w:right w:type="dxa" w:w="80"/>
            </w:tcMar>
            <w:vAlign w:val="center"/>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Latina</w:t>
            </w:r>
          </w:p>
        </w:tc>
        <w:tc>
          <w:tcPr>
            <w:tcW w:type="dxa" w:w="2378"/>
            <w:tcBorders>
              <w:top w:val="single" w:color="000000" w:sz="8" w:space="0" w:shadow="0" w:frame="0"/>
              <w:left w:val="single" w:color="000000" w:sz="8" w:space="0" w:shadow="0" w:frame="0"/>
              <w:bottom w:val="single" w:color="000000" w:sz="8" w:space="0" w:shadow="0" w:frame="0"/>
              <w:right w:val="single" w:color="000000" w:sz="8" w:space="0" w:shadow="0" w:frame="0"/>
            </w:tcBorders>
            <w:shd w:val="clear" w:color="auto" w:fill="ffffff"/>
            <w:tcMar>
              <w:top w:type="dxa" w:w="80"/>
              <w:left w:type="dxa" w:w="80"/>
              <w:bottom w:type="dxa" w:w="80"/>
              <w:right w:type="dxa" w:w="80"/>
            </w:tcMar>
            <w:vAlign w:val="top"/>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IND.ECO S.r.l.</w:t>
            </w:r>
          </w:p>
        </w:tc>
        <w:tc>
          <w:tcPr>
            <w:tcW w:type="dxa" w:w="1473"/>
            <w:tcBorders>
              <w:top w:val="single" w:color="000000" w:sz="8" w:space="0" w:shadow="0" w:frame="0"/>
              <w:left w:val="single" w:color="000000" w:sz="8" w:space="0" w:shadow="0" w:frame="0"/>
              <w:bottom w:val="single" w:color="000000" w:sz="8" w:space="0" w:shadow="0" w:frame="0"/>
              <w:right w:val="single" w:color="000000" w:sz="8" w:space="0" w:shadow="0" w:frame="0"/>
            </w:tcBorders>
            <w:shd w:val="clear" w:color="auto" w:fill="ffffff"/>
            <w:tcMar>
              <w:top w:type="dxa" w:w="80"/>
              <w:left w:type="dxa" w:w="80"/>
              <w:bottom w:type="dxa" w:w="80"/>
              <w:right w:type="dxa" w:w="80"/>
            </w:tcMar>
            <w:vAlign w:val="center"/>
          </w:tcPr>
          <w:p>
            <w:pPr>
              <w:pStyle w:val="Normal"/>
              <w:jc w:val="right"/>
            </w:pPr>
            <w:r>
              <w:rPr>
                <w:rFonts w:hAnsi="Times New Roman" w:hint="default"/>
                <w:caps w:val="0"/>
                <w:smallCaps w:val="0"/>
                <w:strike w:val="0"/>
                <w:dstrike w:val="0"/>
                <w:outline w:val="0"/>
                <w:color w:val="000000"/>
                <w:spacing w:val="0"/>
                <w:kern w:val="0"/>
                <w:position w:val="0"/>
                <w:sz w:val="20"/>
                <w:szCs w:val="20"/>
                <w:u w:val="none" w:color="000000"/>
                <w:vertAlign w:val="baseline"/>
                <w:rtl w:val="0"/>
                <w:lang w:val="it-IT"/>
              </w:rPr>
              <w:t> </w:t>
            </w:r>
            <w:r>
              <w:rPr>
                <w:caps w:val="0"/>
                <w:smallCaps w:val="0"/>
                <w:strike w:val="0"/>
                <w:dstrike w:val="0"/>
                <w:outline w:val="0"/>
                <w:color w:val="000000"/>
                <w:spacing w:val="0"/>
                <w:kern w:val="0"/>
                <w:position w:val="0"/>
                <w:sz w:val="20"/>
                <w:szCs w:val="20"/>
                <w:u w:val="none" w:color="000000"/>
                <w:vertAlign w:val="baseline"/>
                <w:rtl w:val="0"/>
                <w:lang w:val="it-IT"/>
              </w:rPr>
              <w:t>n.d.</w:t>
            </w:r>
          </w:p>
        </w:tc>
        <w:tc>
          <w:tcPr>
            <w:tcW w:type="dxa" w:w="871"/>
            <w:tcBorders>
              <w:top w:val="single" w:color="000000" w:sz="8" w:space="0" w:shadow="0" w:frame="0"/>
              <w:left w:val="single" w:color="000000" w:sz="8" w:space="0" w:shadow="0" w:frame="0"/>
              <w:bottom w:val="single" w:color="000000" w:sz="8" w:space="0" w:shadow="0" w:frame="0"/>
              <w:right w:val="single" w:color="000000" w:sz="8" w:space="0" w:shadow="0" w:frame="0"/>
            </w:tcBorders>
            <w:shd w:val="clear" w:color="auto" w:fill="ffffff"/>
            <w:tcMar>
              <w:top w:type="dxa" w:w="80"/>
              <w:left w:type="dxa" w:w="80"/>
              <w:bottom w:type="dxa" w:w="80"/>
              <w:right w:type="dxa" w:w="80"/>
            </w:tcMar>
            <w:vAlign w:val="center"/>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0</w:t>
            </w:r>
          </w:p>
        </w:tc>
        <w:tc>
          <w:tcPr>
            <w:tcW w:type="dxa" w:w="1488"/>
            <w:tcBorders>
              <w:top w:val="single" w:color="000000" w:sz="8" w:space="0" w:shadow="0" w:frame="0"/>
              <w:left w:val="single" w:color="000000" w:sz="8" w:space="0" w:shadow="0" w:frame="0"/>
              <w:bottom w:val="single" w:color="000000" w:sz="8" w:space="0" w:shadow="0" w:frame="0"/>
              <w:right w:val="single" w:color="000000" w:sz="8" w:space="0" w:shadow="0" w:frame="0"/>
            </w:tcBorders>
            <w:shd w:val="clear" w:color="auto" w:fill="ffffff"/>
            <w:tcMar>
              <w:top w:type="dxa" w:w="80"/>
              <w:left w:type="dxa" w:w="80"/>
              <w:bottom w:type="dxa" w:w="80"/>
              <w:right w:type="dxa" w:w="80"/>
            </w:tcMar>
            <w:vAlign w:val="center"/>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36.040</w:t>
            </w:r>
          </w:p>
        </w:tc>
        <w:tc>
          <w:tcPr>
            <w:tcW w:type="dxa" w:w="871"/>
            <w:tcBorders>
              <w:top w:val="single" w:color="000000" w:sz="8" w:space="0" w:shadow="0" w:frame="0"/>
              <w:left w:val="single" w:color="000000" w:sz="8" w:space="0" w:shadow="0" w:frame="0"/>
              <w:bottom w:val="single" w:color="000000" w:sz="8" w:space="0" w:shadow="0" w:frame="0"/>
              <w:right w:val="single" w:color="000000" w:sz="8" w:space="0" w:shadow="0" w:frame="0"/>
            </w:tcBorders>
            <w:shd w:val="clear" w:color="auto" w:fill="ffffff"/>
            <w:tcMar>
              <w:top w:type="dxa" w:w="80"/>
              <w:left w:type="dxa" w:w="80"/>
              <w:bottom w:type="dxa" w:w="80"/>
              <w:right w:type="dxa" w:w="80"/>
            </w:tcMar>
            <w:vAlign w:val="center"/>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3.056</w:t>
            </w:r>
          </w:p>
        </w:tc>
      </w:tr>
      <w:tr>
        <w:tblPrEx>
          <w:shd w:val="clear" w:color="auto" w:fill="auto"/>
        </w:tblPrEx>
        <w:trPr>
          <w:trHeight w:val="452" w:hRule="atLeast"/>
        </w:trPr>
        <w:tc>
          <w:tcPr>
            <w:tcW w:type="dxa" w:w="754"/>
            <w:tcBorders>
              <w:top w:val="single" w:color="000000" w:sz="8" w:space="0" w:shadow="0" w:frame="0"/>
              <w:left w:val="single" w:color="000000" w:sz="8" w:space="0" w:shadow="0" w:frame="0"/>
              <w:bottom w:val="single" w:color="000000" w:sz="8" w:space="0" w:shadow="0" w:frame="0"/>
              <w:right w:val="single" w:color="000000" w:sz="8" w:space="0" w:shadow="0" w:frame="0"/>
            </w:tcBorders>
            <w:shd w:val="clear" w:color="auto" w:fill="ffffff"/>
            <w:tcMar>
              <w:top w:type="dxa" w:w="80"/>
              <w:left w:type="dxa" w:w="80"/>
              <w:bottom w:type="dxa" w:w="80"/>
              <w:right w:type="dxa" w:w="80"/>
            </w:tcMar>
            <w:vAlign w:val="center"/>
          </w:tcPr>
          <w:p>
            <w:pPr>
              <w:pStyle w:val="Normal"/>
              <w:jc w:val="center"/>
            </w:pPr>
            <w:r>
              <w:rPr>
                <w:caps w:val="0"/>
                <w:smallCaps w:val="0"/>
                <w:strike w:val="0"/>
                <w:dstrike w:val="0"/>
                <w:outline w:val="0"/>
                <w:color w:val="000000"/>
                <w:spacing w:val="0"/>
                <w:kern w:val="0"/>
                <w:position w:val="0"/>
                <w:sz w:val="20"/>
                <w:szCs w:val="20"/>
                <w:u w:val="none" w:color="000000"/>
                <w:vertAlign w:val="baseline"/>
                <w:rtl w:val="0"/>
                <w:lang w:val="it-IT"/>
              </w:rPr>
              <w:t>RM</w:t>
            </w:r>
          </w:p>
        </w:tc>
        <w:tc>
          <w:tcPr>
            <w:tcW w:type="dxa" w:w="1654"/>
            <w:tcBorders>
              <w:top w:val="single" w:color="000000" w:sz="8" w:space="0" w:shadow="0" w:frame="0"/>
              <w:left w:val="single" w:color="000000" w:sz="8" w:space="0" w:shadow="0" w:frame="0"/>
              <w:bottom w:val="single" w:color="000000" w:sz="8" w:space="0" w:shadow="0" w:frame="0"/>
              <w:right w:val="single" w:color="000000" w:sz="8" w:space="0" w:shadow="0" w:frame="0"/>
            </w:tcBorders>
            <w:shd w:val="clear" w:color="auto" w:fill="ffffff"/>
            <w:tcMar>
              <w:top w:type="dxa" w:w="80"/>
              <w:left w:type="dxa" w:w="80"/>
              <w:bottom w:type="dxa" w:w="80"/>
              <w:right w:type="dxa" w:w="80"/>
            </w:tcMar>
            <w:vAlign w:val="center"/>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Albano Laziale</w:t>
            </w:r>
          </w:p>
        </w:tc>
        <w:tc>
          <w:tcPr>
            <w:tcW w:type="dxa" w:w="2378"/>
            <w:tcBorders>
              <w:top w:val="single" w:color="000000" w:sz="8" w:space="0" w:shadow="0" w:frame="0"/>
              <w:left w:val="single" w:color="000000" w:sz="8" w:space="0" w:shadow="0" w:frame="0"/>
              <w:bottom w:val="single" w:color="000000" w:sz="8" w:space="0" w:shadow="0" w:frame="0"/>
              <w:right w:val="single" w:color="000000" w:sz="8" w:space="0" w:shadow="0" w:frame="0"/>
            </w:tcBorders>
            <w:shd w:val="clear" w:color="auto" w:fill="ffffff"/>
            <w:tcMar>
              <w:top w:type="dxa" w:w="80"/>
              <w:left w:type="dxa" w:w="80"/>
              <w:bottom w:type="dxa" w:w="80"/>
              <w:right w:type="dxa" w:w="80"/>
            </w:tcMar>
            <w:vAlign w:val="top"/>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PONTINA AMBIENTE S.R.L</w:t>
            </w:r>
          </w:p>
        </w:tc>
        <w:tc>
          <w:tcPr>
            <w:tcW w:type="dxa" w:w="1473"/>
            <w:tcBorders>
              <w:top w:val="single" w:color="000000" w:sz="8" w:space="0" w:shadow="0" w:frame="0"/>
              <w:left w:val="single" w:color="000000" w:sz="8" w:space="0" w:shadow="0" w:frame="0"/>
              <w:bottom w:val="single" w:color="000000" w:sz="8" w:space="0" w:shadow="0" w:frame="0"/>
              <w:right w:val="single" w:color="000000" w:sz="8" w:space="0" w:shadow="0" w:frame="0"/>
            </w:tcBorders>
            <w:shd w:val="clear" w:color="auto" w:fill="ffffff"/>
            <w:tcMar>
              <w:top w:type="dxa" w:w="80"/>
              <w:left w:type="dxa" w:w="80"/>
              <w:bottom w:type="dxa" w:w="80"/>
              <w:right w:type="dxa" w:w="80"/>
            </w:tcMar>
            <w:vAlign w:val="center"/>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118.312</w:t>
            </w:r>
          </w:p>
        </w:tc>
        <w:tc>
          <w:tcPr>
            <w:tcW w:type="dxa" w:w="871"/>
            <w:tcBorders>
              <w:top w:val="single" w:color="000000" w:sz="8" w:space="0" w:shadow="0" w:frame="0"/>
              <w:left w:val="single" w:color="000000" w:sz="8" w:space="0" w:shadow="0" w:frame="0"/>
              <w:bottom w:val="single" w:color="000000" w:sz="8" w:space="0" w:shadow="0" w:frame="0"/>
              <w:right w:val="single" w:color="000000" w:sz="8" w:space="0" w:shadow="0" w:frame="0"/>
            </w:tcBorders>
            <w:shd w:val="clear" w:color="auto" w:fill="ffffff"/>
            <w:tcMar>
              <w:top w:type="dxa" w:w="80"/>
              <w:left w:type="dxa" w:w="80"/>
              <w:bottom w:type="dxa" w:w="80"/>
              <w:right w:type="dxa" w:w="80"/>
            </w:tcMar>
            <w:vAlign w:val="center"/>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0</w:t>
            </w:r>
          </w:p>
        </w:tc>
        <w:tc>
          <w:tcPr>
            <w:tcW w:type="dxa" w:w="1488"/>
            <w:tcBorders>
              <w:top w:val="single" w:color="000000" w:sz="8" w:space="0" w:shadow="0" w:frame="0"/>
              <w:left w:val="single" w:color="000000" w:sz="8" w:space="0" w:shadow="0" w:frame="0"/>
              <w:bottom w:val="single" w:color="000000" w:sz="8" w:space="0" w:shadow="0" w:frame="0"/>
              <w:right w:val="single" w:color="000000" w:sz="8" w:space="0" w:shadow="0" w:frame="0"/>
            </w:tcBorders>
            <w:shd w:val="clear" w:color="auto" w:fill="ffffff"/>
            <w:tcMar>
              <w:top w:type="dxa" w:w="80"/>
              <w:left w:type="dxa" w:w="80"/>
              <w:bottom w:type="dxa" w:w="80"/>
              <w:right w:type="dxa" w:w="80"/>
            </w:tcMar>
            <w:vAlign w:val="center"/>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61.897</w:t>
            </w:r>
          </w:p>
        </w:tc>
        <w:tc>
          <w:tcPr>
            <w:tcW w:type="dxa" w:w="871"/>
            <w:tcBorders>
              <w:top w:val="single" w:color="000000" w:sz="8" w:space="0" w:shadow="0" w:frame="0"/>
              <w:left w:val="single" w:color="000000" w:sz="8" w:space="0" w:shadow="0" w:frame="0"/>
              <w:bottom w:val="single" w:color="000000" w:sz="8" w:space="0" w:shadow="0" w:frame="0"/>
              <w:right w:val="single" w:color="000000" w:sz="8" w:space="0" w:shadow="0" w:frame="0"/>
            </w:tcBorders>
            <w:shd w:val="clear" w:color="auto" w:fill="ffffff"/>
            <w:tcMar>
              <w:top w:type="dxa" w:w="80"/>
              <w:left w:type="dxa" w:w="80"/>
              <w:bottom w:type="dxa" w:w="80"/>
              <w:right w:type="dxa" w:w="80"/>
            </w:tcMar>
            <w:vAlign w:val="center"/>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0</w:t>
            </w:r>
          </w:p>
        </w:tc>
      </w:tr>
      <w:tr>
        <w:tblPrEx>
          <w:shd w:val="clear" w:color="auto" w:fill="auto"/>
        </w:tblPrEx>
        <w:trPr>
          <w:trHeight w:val="612" w:hRule="atLeast"/>
        </w:trPr>
        <w:tc>
          <w:tcPr>
            <w:tcW w:type="dxa" w:w="754"/>
            <w:tcBorders>
              <w:top w:val="single" w:color="000000" w:sz="8" w:space="0" w:shadow="0" w:frame="0"/>
              <w:left w:val="single" w:color="000000" w:sz="8" w:space="0" w:shadow="0" w:frame="0"/>
              <w:bottom w:val="single" w:color="000000" w:sz="8" w:space="0" w:shadow="0" w:frame="0"/>
              <w:right w:val="single" w:color="000000" w:sz="8" w:space="0" w:shadow="0" w:frame="0"/>
            </w:tcBorders>
            <w:shd w:val="clear" w:color="auto" w:fill="ffffff"/>
            <w:tcMar>
              <w:top w:type="dxa" w:w="80"/>
              <w:left w:type="dxa" w:w="80"/>
              <w:bottom w:type="dxa" w:w="80"/>
              <w:right w:type="dxa" w:w="80"/>
            </w:tcMar>
            <w:vAlign w:val="center"/>
          </w:tcPr>
          <w:p>
            <w:pPr>
              <w:pStyle w:val="Normal"/>
              <w:jc w:val="center"/>
            </w:pPr>
            <w:r>
              <w:rPr>
                <w:caps w:val="0"/>
                <w:smallCaps w:val="0"/>
                <w:strike w:val="0"/>
                <w:dstrike w:val="0"/>
                <w:outline w:val="0"/>
                <w:color w:val="000000"/>
                <w:spacing w:val="0"/>
                <w:kern w:val="0"/>
                <w:position w:val="0"/>
                <w:sz w:val="20"/>
                <w:szCs w:val="20"/>
                <w:u w:val="none" w:color="000000"/>
                <w:vertAlign w:val="baseline"/>
                <w:rtl w:val="0"/>
                <w:lang w:val="it-IT"/>
              </w:rPr>
              <w:t>RM</w:t>
            </w:r>
          </w:p>
        </w:tc>
        <w:tc>
          <w:tcPr>
            <w:tcW w:type="dxa" w:w="1654"/>
            <w:tcBorders>
              <w:top w:val="single" w:color="000000" w:sz="8" w:space="0" w:shadow="0" w:frame="0"/>
              <w:left w:val="single" w:color="000000" w:sz="8" w:space="0" w:shadow="0" w:frame="0"/>
              <w:bottom w:val="single" w:color="000000" w:sz="8" w:space="0" w:shadow="0" w:frame="0"/>
              <w:right w:val="single" w:color="000000" w:sz="8" w:space="0" w:shadow="0" w:frame="0"/>
            </w:tcBorders>
            <w:shd w:val="clear" w:color="auto" w:fill="ffffff"/>
            <w:tcMar>
              <w:top w:type="dxa" w:w="80"/>
              <w:left w:type="dxa" w:w="80"/>
              <w:bottom w:type="dxa" w:w="80"/>
              <w:right w:type="dxa" w:w="80"/>
            </w:tcMar>
            <w:vAlign w:val="center"/>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Civitavecchia</w:t>
            </w:r>
          </w:p>
        </w:tc>
        <w:tc>
          <w:tcPr>
            <w:tcW w:type="dxa" w:w="2378"/>
            <w:tcBorders>
              <w:top w:val="single" w:color="000000" w:sz="8" w:space="0" w:shadow="0" w:frame="0"/>
              <w:left w:val="single" w:color="000000" w:sz="8" w:space="0" w:shadow="0" w:frame="0"/>
              <w:bottom w:val="single" w:color="000000" w:sz="8" w:space="0" w:shadow="0" w:frame="0"/>
              <w:right w:val="single" w:color="000000" w:sz="8" w:space="0" w:shadow="0" w:frame="0"/>
            </w:tcBorders>
            <w:shd w:val="clear" w:color="auto" w:fill="ffffff"/>
            <w:tcMar>
              <w:top w:type="dxa" w:w="80"/>
              <w:left w:type="dxa" w:w="80"/>
              <w:bottom w:type="dxa" w:w="80"/>
              <w:right w:type="dxa" w:w="80"/>
            </w:tcMar>
            <w:vAlign w:val="top"/>
          </w:tcPr>
          <w:p>
            <w:pPr>
              <w:pStyle w:val="Normal"/>
            </w:pPr>
            <w:r>
              <w:rPr>
                <w:caps w:val="0"/>
                <w:smallCaps w:val="0"/>
                <w:strike w:val="0"/>
                <w:dstrike w:val="0"/>
                <w:outline w:val="0"/>
                <w:color w:val="000000"/>
                <w:spacing w:val="0"/>
                <w:kern w:val="0"/>
                <w:position w:val="0"/>
                <w:sz w:val="18"/>
                <w:szCs w:val="18"/>
                <w:u w:val="none" w:color="000000"/>
                <w:vertAlign w:val="baseline"/>
                <w:rtl w:val="0"/>
                <w:lang w:val="it-IT"/>
              </w:rPr>
              <w:t>HOLDING CIVITAVECCHIA SERVIZI S.R.L</w:t>
            </w:r>
          </w:p>
        </w:tc>
        <w:tc>
          <w:tcPr>
            <w:tcW w:type="dxa" w:w="1473"/>
            <w:tcBorders>
              <w:top w:val="single" w:color="000000" w:sz="8" w:space="0" w:shadow="0" w:frame="0"/>
              <w:left w:val="single" w:color="000000" w:sz="8" w:space="0" w:shadow="0" w:frame="0"/>
              <w:bottom w:val="single" w:color="000000" w:sz="8" w:space="0" w:shadow="0" w:frame="0"/>
              <w:right w:val="single" w:color="000000" w:sz="8" w:space="0" w:shadow="0" w:frame="0"/>
            </w:tcBorders>
            <w:shd w:val="clear" w:color="auto" w:fill="ffffff"/>
            <w:tcMar>
              <w:top w:type="dxa" w:w="80"/>
              <w:left w:type="dxa" w:w="80"/>
              <w:bottom w:type="dxa" w:w="80"/>
              <w:right w:type="dxa" w:w="80"/>
            </w:tcMar>
            <w:vAlign w:val="center"/>
          </w:tcPr>
          <w:p>
            <w:pPr>
              <w:pStyle w:val="Normal"/>
              <w:jc w:val="right"/>
            </w:pPr>
            <w:r>
              <w:rPr>
                <w:rFonts w:hAnsi="Times New Roman" w:hint="default"/>
                <w:caps w:val="0"/>
                <w:smallCaps w:val="0"/>
                <w:strike w:val="0"/>
                <w:dstrike w:val="0"/>
                <w:outline w:val="0"/>
                <w:color w:val="000000"/>
                <w:spacing w:val="0"/>
                <w:kern w:val="0"/>
                <w:position w:val="0"/>
                <w:sz w:val="20"/>
                <w:szCs w:val="20"/>
                <w:u w:val="none" w:color="000000"/>
                <w:vertAlign w:val="baseline"/>
                <w:rtl w:val="0"/>
                <w:lang w:val="it-IT"/>
              </w:rPr>
              <w:t> </w:t>
            </w:r>
            <w:r>
              <w:rPr>
                <w:caps w:val="0"/>
                <w:smallCaps w:val="0"/>
                <w:strike w:val="0"/>
                <w:dstrike w:val="0"/>
                <w:outline w:val="0"/>
                <w:color w:val="000000"/>
                <w:spacing w:val="0"/>
                <w:kern w:val="0"/>
                <w:position w:val="0"/>
                <w:sz w:val="20"/>
                <w:szCs w:val="20"/>
                <w:u w:val="none" w:color="000000"/>
                <w:vertAlign w:val="baseline"/>
                <w:rtl w:val="0"/>
                <w:lang w:val="it-IT"/>
              </w:rPr>
              <w:t>n.d.</w:t>
            </w:r>
          </w:p>
        </w:tc>
        <w:tc>
          <w:tcPr>
            <w:tcW w:type="dxa" w:w="871"/>
            <w:tcBorders>
              <w:top w:val="single" w:color="000000" w:sz="8" w:space="0" w:shadow="0" w:frame="0"/>
              <w:left w:val="single" w:color="000000" w:sz="8" w:space="0" w:shadow="0" w:frame="0"/>
              <w:bottom w:val="single" w:color="000000" w:sz="8" w:space="0" w:shadow="0" w:frame="0"/>
              <w:right w:val="single" w:color="000000" w:sz="8" w:space="0" w:shadow="0" w:frame="0"/>
            </w:tcBorders>
            <w:shd w:val="clear" w:color="auto" w:fill="ffffff"/>
            <w:tcMar>
              <w:top w:type="dxa" w:w="80"/>
              <w:left w:type="dxa" w:w="80"/>
              <w:bottom w:type="dxa" w:w="80"/>
              <w:right w:type="dxa" w:w="80"/>
            </w:tcMar>
            <w:vAlign w:val="center"/>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0</w:t>
            </w:r>
          </w:p>
        </w:tc>
        <w:tc>
          <w:tcPr>
            <w:tcW w:type="dxa" w:w="1488"/>
            <w:tcBorders>
              <w:top w:val="single" w:color="000000" w:sz="8" w:space="0" w:shadow="0" w:frame="0"/>
              <w:left w:val="single" w:color="000000" w:sz="8" w:space="0" w:shadow="0" w:frame="0"/>
              <w:bottom w:val="single" w:color="000000" w:sz="8" w:space="0" w:shadow="0" w:frame="0"/>
              <w:right w:val="single" w:color="000000" w:sz="8" w:space="0" w:shadow="0" w:frame="0"/>
            </w:tcBorders>
            <w:shd w:val="clear" w:color="auto" w:fill="ffffff"/>
            <w:tcMar>
              <w:top w:type="dxa" w:w="80"/>
              <w:left w:type="dxa" w:w="80"/>
              <w:bottom w:type="dxa" w:w="80"/>
              <w:right w:type="dxa" w:w="80"/>
            </w:tcMar>
            <w:vAlign w:val="center"/>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6.385</w:t>
            </w:r>
          </w:p>
        </w:tc>
        <w:tc>
          <w:tcPr>
            <w:tcW w:type="dxa" w:w="871"/>
            <w:tcBorders>
              <w:top w:val="single" w:color="000000" w:sz="8" w:space="0" w:shadow="0" w:frame="0"/>
              <w:left w:val="single" w:color="000000" w:sz="8" w:space="0" w:shadow="0" w:frame="0"/>
              <w:bottom w:val="single" w:color="000000" w:sz="8" w:space="0" w:shadow="0" w:frame="0"/>
              <w:right w:val="single" w:color="000000" w:sz="8" w:space="0" w:shadow="0" w:frame="0"/>
            </w:tcBorders>
            <w:shd w:val="clear" w:color="auto" w:fill="ffffff"/>
            <w:tcMar>
              <w:top w:type="dxa" w:w="80"/>
              <w:left w:type="dxa" w:w="80"/>
              <w:bottom w:type="dxa" w:w="80"/>
              <w:right w:type="dxa" w:w="80"/>
            </w:tcMar>
            <w:vAlign w:val="center"/>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0</w:t>
            </w:r>
          </w:p>
        </w:tc>
      </w:tr>
      <w:tr>
        <w:tblPrEx>
          <w:shd w:val="clear" w:color="auto" w:fill="auto"/>
        </w:tblPrEx>
        <w:trPr>
          <w:trHeight w:val="452" w:hRule="atLeast"/>
        </w:trPr>
        <w:tc>
          <w:tcPr>
            <w:tcW w:type="dxa" w:w="754"/>
            <w:tcBorders>
              <w:top w:val="single" w:color="000000" w:sz="8" w:space="0" w:shadow="0" w:frame="0"/>
              <w:left w:val="single" w:color="000000" w:sz="8" w:space="0" w:shadow="0" w:frame="0"/>
              <w:bottom w:val="single" w:color="000000" w:sz="8" w:space="0" w:shadow="0" w:frame="0"/>
              <w:right w:val="single" w:color="000000" w:sz="8" w:space="0" w:shadow="0" w:frame="0"/>
            </w:tcBorders>
            <w:shd w:val="clear" w:color="auto" w:fill="ffffff"/>
            <w:tcMar>
              <w:top w:type="dxa" w:w="80"/>
              <w:left w:type="dxa" w:w="80"/>
              <w:bottom w:type="dxa" w:w="80"/>
              <w:right w:type="dxa" w:w="80"/>
            </w:tcMar>
            <w:vAlign w:val="center"/>
          </w:tcPr>
          <w:p>
            <w:pPr>
              <w:pStyle w:val="Normal"/>
              <w:jc w:val="center"/>
            </w:pPr>
            <w:r>
              <w:rPr>
                <w:caps w:val="0"/>
                <w:smallCaps w:val="0"/>
                <w:strike w:val="0"/>
                <w:dstrike w:val="0"/>
                <w:outline w:val="0"/>
                <w:color w:val="000000"/>
                <w:spacing w:val="0"/>
                <w:kern w:val="0"/>
                <w:position w:val="0"/>
                <w:sz w:val="20"/>
                <w:szCs w:val="20"/>
                <w:u w:val="none" w:color="000000"/>
                <w:vertAlign w:val="baseline"/>
                <w:rtl w:val="0"/>
                <w:lang w:val="it-IT"/>
              </w:rPr>
              <w:t>RM</w:t>
            </w:r>
          </w:p>
        </w:tc>
        <w:tc>
          <w:tcPr>
            <w:tcW w:type="dxa" w:w="1654"/>
            <w:tcBorders>
              <w:top w:val="single" w:color="000000" w:sz="8" w:space="0" w:shadow="0" w:frame="0"/>
              <w:left w:val="single" w:color="000000" w:sz="8" w:space="0" w:shadow="0" w:frame="0"/>
              <w:bottom w:val="single" w:color="000000" w:sz="8" w:space="0" w:shadow="0" w:frame="0"/>
              <w:right w:val="single" w:color="000000" w:sz="8" w:space="0" w:shadow="0" w:frame="0"/>
            </w:tcBorders>
            <w:shd w:val="clear" w:color="auto" w:fill="ffffff"/>
            <w:tcMar>
              <w:top w:type="dxa" w:w="80"/>
              <w:left w:type="dxa" w:w="80"/>
              <w:bottom w:type="dxa" w:w="80"/>
              <w:right w:type="dxa" w:w="80"/>
            </w:tcMar>
            <w:vAlign w:val="center"/>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Colleferro</w:t>
            </w:r>
          </w:p>
        </w:tc>
        <w:tc>
          <w:tcPr>
            <w:tcW w:type="dxa" w:w="2378"/>
            <w:tcBorders>
              <w:top w:val="single" w:color="000000" w:sz="8" w:space="0" w:shadow="0" w:frame="0"/>
              <w:left w:val="single" w:color="000000" w:sz="8" w:space="0" w:shadow="0" w:frame="0"/>
              <w:bottom w:val="single" w:color="000000" w:sz="8" w:space="0" w:shadow="0" w:frame="0"/>
              <w:right w:val="single" w:color="000000" w:sz="8" w:space="0" w:shadow="0" w:frame="0"/>
            </w:tcBorders>
            <w:shd w:val="clear" w:color="auto" w:fill="ffffff"/>
            <w:tcMar>
              <w:top w:type="dxa" w:w="80"/>
              <w:left w:type="dxa" w:w="80"/>
              <w:bottom w:type="dxa" w:w="80"/>
              <w:right w:type="dxa" w:w="80"/>
            </w:tcMar>
            <w:vAlign w:val="top"/>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LAZIO AMBIENTE S.p.A.</w:t>
            </w:r>
          </w:p>
        </w:tc>
        <w:tc>
          <w:tcPr>
            <w:tcW w:type="dxa" w:w="1473"/>
            <w:tcBorders>
              <w:top w:val="single" w:color="000000" w:sz="8" w:space="0" w:shadow="0" w:frame="0"/>
              <w:left w:val="single" w:color="000000" w:sz="8" w:space="0" w:shadow="0" w:frame="0"/>
              <w:bottom w:val="single" w:color="000000" w:sz="8" w:space="0" w:shadow="0" w:frame="0"/>
              <w:right w:val="single" w:color="000000" w:sz="8" w:space="0" w:shadow="0" w:frame="0"/>
            </w:tcBorders>
            <w:shd w:val="clear" w:color="auto" w:fill="ffffff"/>
            <w:tcMar>
              <w:top w:type="dxa" w:w="80"/>
              <w:left w:type="dxa" w:w="80"/>
              <w:bottom w:type="dxa" w:w="80"/>
              <w:right w:type="dxa" w:w="80"/>
            </w:tcMar>
            <w:vAlign w:val="center"/>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500.000</w:t>
            </w:r>
          </w:p>
        </w:tc>
        <w:tc>
          <w:tcPr>
            <w:tcW w:type="dxa" w:w="871"/>
            <w:tcBorders>
              <w:top w:val="single" w:color="000000" w:sz="8" w:space="0" w:shadow="0" w:frame="0"/>
              <w:left w:val="single" w:color="000000" w:sz="8" w:space="0" w:shadow="0" w:frame="0"/>
              <w:bottom w:val="single" w:color="000000" w:sz="8" w:space="0" w:shadow="0" w:frame="0"/>
              <w:right w:val="single" w:color="000000" w:sz="8" w:space="0" w:shadow="0" w:frame="0"/>
            </w:tcBorders>
            <w:shd w:val="clear" w:color="auto" w:fill="ffffff"/>
            <w:tcMar>
              <w:top w:type="dxa" w:w="80"/>
              <w:left w:type="dxa" w:w="80"/>
              <w:bottom w:type="dxa" w:w="80"/>
              <w:right w:type="dxa" w:w="80"/>
            </w:tcMar>
            <w:vAlign w:val="center"/>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0</w:t>
            </w:r>
          </w:p>
        </w:tc>
        <w:tc>
          <w:tcPr>
            <w:tcW w:type="dxa" w:w="1488"/>
            <w:tcBorders>
              <w:top w:val="single" w:color="000000" w:sz="8" w:space="0" w:shadow="0" w:frame="0"/>
              <w:left w:val="single" w:color="000000" w:sz="8" w:space="0" w:shadow="0" w:frame="0"/>
              <w:bottom w:val="single" w:color="000000" w:sz="8" w:space="0" w:shadow="0" w:frame="0"/>
              <w:right w:val="single" w:color="000000" w:sz="8" w:space="0" w:shadow="0" w:frame="0"/>
            </w:tcBorders>
            <w:shd w:val="clear" w:color="auto" w:fill="ffffff"/>
            <w:tcMar>
              <w:top w:type="dxa" w:w="80"/>
              <w:left w:type="dxa" w:w="80"/>
              <w:bottom w:type="dxa" w:w="80"/>
              <w:right w:type="dxa" w:w="80"/>
            </w:tcMar>
            <w:vAlign w:val="center"/>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40.395</w:t>
            </w:r>
          </w:p>
        </w:tc>
        <w:tc>
          <w:tcPr>
            <w:tcW w:type="dxa" w:w="871"/>
            <w:tcBorders>
              <w:top w:val="single" w:color="000000" w:sz="8" w:space="0" w:shadow="0" w:frame="0"/>
              <w:left w:val="single" w:color="000000" w:sz="8" w:space="0" w:shadow="0" w:frame="0"/>
              <w:bottom w:val="single" w:color="000000" w:sz="8" w:space="0" w:shadow="0" w:frame="0"/>
              <w:right w:val="single" w:color="000000" w:sz="8" w:space="0" w:shadow="0" w:frame="0"/>
            </w:tcBorders>
            <w:shd w:val="clear" w:color="auto" w:fill="ffffff"/>
            <w:tcMar>
              <w:top w:type="dxa" w:w="80"/>
              <w:left w:type="dxa" w:w="80"/>
              <w:bottom w:type="dxa" w:w="80"/>
              <w:right w:type="dxa" w:w="80"/>
            </w:tcMar>
            <w:vAlign w:val="center"/>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39</w:t>
            </w:r>
          </w:p>
        </w:tc>
      </w:tr>
      <w:tr>
        <w:tblPrEx>
          <w:shd w:val="clear" w:color="auto" w:fill="auto"/>
        </w:tblPrEx>
        <w:trPr>
          <w:trHeight w:val="447" w:hRule="atLeast"/>
        </w:trPr>
        <w:tc>
          <w:tcPr>
            <w:tcW w:type="dxa" w:w="754"/>
            <w:tcBorders>
              <w:top w:val="single" w:color="000000" w:sz="8" w:space="0" w:shadow="0" w:frame="0"/>
              <w:left w:val="single" w:color="000000" w:sz="8" w:space="0" w:shadow="0" w:frame="0"/>
              <w:bottom w:val="single" w:color="000000" w:sz="4" w:space="0" w:shadow="0" w:frame="0"/>
              <w:right w:val="single" w:color="000000" w:sz="8" w:space="0" w:shadow="0" w:frame="0"/>
            </w:tcBorders>
            <w:shd w:val="clear" w:color="auto" w:fill="ffffff"/>
            <w:tcMar>
              <w:top w:type="dxa" w:w="80"/>
              <w:left w:type="dxa" w:w="80"/>
              <w:bottom w:type="dxa" w:w="80"/>
              <w:right w:type="dxa" w:w="80"/>
            </w:tcMar>
            <w:vAlign w:val="center"/>
          </w:tcPr>
          <w:p>
            <w:pPr>
              <w:pStyle w:val="Normal"/>
              <w:jc w:val="center"/>
            </w:pPr>
            <w:r>
              <w:rPr>
                <w:caps w:val="0"/>
                <w:smallCaps w:val="0"/>
                <w:strike w:val="0"/>
                <w:dstrike w:val="0"/>
                <w:outline w:val="0"/>
                <w:color w:val="000000"/>
                <w:spacing w:val="0"/>
                <w:kern w:val="0"/>
                <w:position w:val="0"/>
                <w:sz w:val="20"/>
                <w:szCs w:val="20"/>
                <w:u w:val="none" w:color="000000"/>
                <w:vertAlign w:val="baseline"/>
                <w:rtl w:val="0"/>
                <w:lang w:val="it-IT"/>
              </w:rPr>
              <w:t>VT</w:t>
            </w:r>
          </w:p>
        </w:tc>
        <w:tc>
          <w:tcPr>
            <w:tcW w:type="dxa" w:w="1654"/>
            <w:tcBorders>
              <w:top w:val="single" w:color="000000" w:sz="8" w:space="0" w:shadow="0" w:frame="0"/>
              <w:left w:val="single" w:color="000000" w:sz="8" w:space="0" w:shadow="0" w:frame="0"/>
              <w:bottom w:val="single" w:color="000000" w:sz="4" w:space="0" w:shadow="0" w:frame="0"/>
              <w:right w:val="single" w:color="000000" w:sz="8" w:space="0" w:shadow="0" w:frame="0"/>
            </w:tcBorders>
            <w:shd w:val="clear" w:color="auto" w:fill="ffffff"/>
            <w:tcMar>
              <w:top w:type="dxa" w:w="80"/>
              <w:left w:type="dxa" w:w="80"/>
              <w:bottom w:type="dxa" w:w="80"/>
              <w:right w:type="dxa" w:w="80"/>
            </w:tcMar>
            <w:vAlign w:val="center"/>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Viterbo</w:t>
            </w:r>
          </w:p>
        </w:tc>
        <w:tc>
          <w:tcPr>
            <w:tcW w:type="dxa" w:w="2378"/>
            <w:tcBorders>
              <w:top w:val="single" w:color="000000" w:sz="8" w:space="0" w:shadow="0" w:frame="0"/>
              <w:left w:val="single" w:color="000000" w:sz="8" w:space="0" w:shadow="0" w:frame="0"/>
              <w:bottom w:val="single" w:color="000000" w:sz="4" w:space="0" w:shadow="0" w:frame="0"/>
              <w:right w:val="single" w:color="000000" w:sz="8" w:space="0" w:shadow="0" w:frame="0"/>
            </w:tcBorders>
            <w:shd w:val="clear" w:color="auto" w:fill="ffffff"/>
            <w:tcMar>
              <w:top w:type="dxa" w:w="80"/>
              <w:left w:type="dxa" w:w="80"/>
              <w:bottom w:type="dxa" w:w="80"/>
              <w:right w:type="dxa" w:w="80"/>
            </w:tcMar>
            <w:vAlign w:val="top"/>
          </w:tcPr>
          <w:p>
            <w:pPr>
              <w:pStyle w:val="Normal"/>
            </w:pPr>
            <w:r>
              <w:rPr>
                <w:caps w:val="0"/>
                <w:smallCaps w:val="0"/>
                <w:strike w:val="0"/>
                <w:dstrike w:val="0"/>
                <w:outline w:val="0"/>
                <w:color w:val="000000"/>
                <w:spacing w:val="0"/>
                <w:kern w:val="0"/>
                <w:position w:val="0"/>
                <w:sz w:val="20"/>
                <w:szCs w:val="20"/>
                <w:u w:val="none" w:color="000000"/>
                <w:vertAlign w:val="baseline"/>
                <w:rtl w:val="0"/>
                <w:lang w:val="it-IT"/>
              </w:rPr>
              <w:t>ECOLOGIA VITERBO S.r.l.</w:t>
            </w:r>
          </w:p>
        </w:tc>
        <w:tc>
          <w:tcPr>
            <w:tcW w:type="dxa" w:w="1473"/>
            <w:tcBorders>
              <w:top w:val="single" w:color="000000" w:sz="8" w:space="0" w:shadow="0" w:frame="0"/>
              <w:left w:val="single" w:color="000000" w:sz="8" w:space="0" w:shadow="0" w:frame="0"/>
              <w:bottom w:val="single" w:color="000000" w:sz="4" w:space="0" w:shadow="0" w:frame="0"/>
              <w:right w:val="single" w:color="000000" w:sz="8" w:space="0" w:shadow="0" w:frame="0"/>
            </w:tcBorders>
            <w:shd w:val="clear" w:color="auto" w:fill="ffffff"/>
            <w:tcMar>
              <w:top w:type="dxa" w:w="80"/>
              <w:left w:type="dxa" w:w="80"/>
              <w:bottom w:type="dxa" w:w="80"/>
              <w:right w:type="dxa" w:w="80"/>
            </w:tcMar>
            <w:vAlign w:val="center"/>
          </w:tcPr>
          <w:p>
            <w:pPr>
              <w:pStyle w:val="Normal"/>
              <w:jc w:val="right"/>
            </w:pPr>
            <w:r>
              <w:rPr>
                <w:rFonts w:hAnsi="Times New Roman" w:hint="default"/>
                <w:caps w:val="0"/>
                <w:smallCaps w:val="0"/>
                <w:strike w:val="0"/>
                <w:dstrike w:val="0"/>
                <w:outline w:val="0"/>
                <w:color w:val="000000"/>
                <w:spacing w:val="0"/>
                <w:kern w:val="0"/>
                <w:position w:val="0"/>
                <w:sz w:val="20"/>
                <w:szCs w:val="20"/>
                <w:u w:val="none" w:color="000000"/>
                <w:vertAlign w:val="baseline"/>
                <w:rtl w:val="0"/>
                <w:lang w:val="it-IT"/>
              </w:rPr>
              <w:t> </w:t>
            </w:r>
            <w:r>
              <w:rPr>
                <w:caps w:val="0"/>
                <w:smallCaps w:val="0"/>
                <w:strike w:val="0"/>
                <w:dstrike w:val="0"/>
                <w:outline w:val="0"/>
                <w:color w:val="000000"/>
                <w:spacing w:val="0"/>
                <w:kern w:val="0"/>
                <w:position w:val="0"/>
                <w:sz w:val="20"/>
                <w:szCs w:val="20"/>
                <w:u w:val="none" w:color="000000"/>
                <w:vertAlign w:val="baseline"/>
                <w:rtl w:val="0"/>
                <w:lang w:val="it-IT"/>
              </w:rPr>
              <w:t>n.d.</w:t>
            </w:r>
          </w:p>
        </w:tc>
        <w:tc>
          <w:tcPr>
            <w:tcW w:type="dxa" w:w="871"/>
            <w:tcBorders>
              <w:top w:val="single" w:color="000000" w:sz="8" w:space="0" w:shadow="0" w:frame="0"/>
              <w:left w:val="single" w:color="000000" w:sz="8" w:space="0" w:shadow="0" w:frame="0"/>
              <w:bottom w:val="single" w:color="000000" w:sz="4" w:space="0" w:shadow="0" w:frame="0"/>
              <w:right w:val="single" w:color="000000" w:sz="8" w:space="0" w:shadow="0" w:frame="0"/>
            </w:tcBorders>
            <w:shd w:val="clear" w:color="auto" w:fill="ffffff"/>
            <w:tcMar>
              <w:top w:type="dxa" w:w="80"/>
              <w:left w:type="dxa" w:w="80"/>
              <w:bottom w:type="dxa" w:w="80"/>
              <w:right w:type="dxa" w:w="80"/>
            </w:tcMar>
            <w:vAlign w:val="center"/>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0</w:t>
            </w:r>
          </w:p>
        </w:tc>
        <w:tc>
          <w:tcPr>
            <w:tcW w:type="dxa" w:w="1488"/>
            <w:tcBorders>
              <w:top w:val="single" w:color="000000" w:sz="8" w:space="0" w:shadow="0" w:frame="0"/>
              <w:left w:val="single" w:color="000000" w:sz="8" w:space="0" w:shadow="0" w:frame="0"/>
              <w:bottom w:val="single" w:color="000000" w:sz="4" w:space="0" w:shadow="0" w:frame="0"/>
              <w:right w:val="single" w:color="000000" w:sz="8" w:space="0" w:shadow="0" w:frame="0"/>
            </w:tcBorders>
            <w:shd w:val="clear" w:color="auto" w:fill="ffffff"/>
            <w:tcMar>
              <w:top w:type="dxa" w:w="80"/>
              <w:left w:type="dxa" w:w="80"/>
              <w:bottom w:type="dxa" w:w="80"/>
              <w:right w:type="dxa" w:w="80"/>
            </w:tcMar>
            <w:vAlign w:val="center"/>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13.834</w:t>
            </w:r>
          </w:p>
        </w:tc>
        <w:tc>
          <w:tcPr>
            <w:tcW w:type="dxa" w:w="871"/>
            <w:tcBorders>
              <w:top w:val="single" w:color="000000" w:sz="8" w:space="0" w:shadow="0" w:frame="0"/>
              <w:left w:val="single" w:color="000000" w:sz="8" w:space="0" w:shadow="0" w:frame="0"/>
              <w:bottom w:val="single" w:color="000000" w:sz="4" w:space="0" w:shadow="0" w:frame="0"/>
              <w:right w:val="single" w:color="000000" w:sz="8" w:space="0" w:shadow="0" w:frame="0"/>
            </w:tcBorders>
            <w:shd w:val="clear" w:color="auto" w:fill="ffffff"/>
            <w:tcMar>
              <w:top w:type="dxa" w:w="80"/>
              <w:left w:type="dxa" w:w="80"/>
              <w:bottom w:type="dxa" w:w="80"/>
              <w:right w:type="dxa" w:w="80"/>
            </w:tcMar>
            <w:vAlign w:val="center"/>
          </w:tcPr>
          <w:p>
            <w:pPr>
              <w:pStyle w:val="Normal"/>
              <w:jc w:val="right"/>
            </w:pPr>
            <w:r>
              <w:rPr>
                <w:caps w:val="0"/>
                <w:smallCaps w:val="0"/>
                <w:strike w:val="0"/>
                <w:dstrike w:val="0"/>
                <w:outline w:val="0"/>
                <w:color w:val="000000"/>
                <w:spacing w:val="0"/>
                <w:kern w:val="0"/>
                <w:position w:val="0"/>
                <w:sz w:val="20"/>
                <w:szCs w:val="20"/>
                <w:u w:val="none" w:color="000000"/>
                <w:vertAlign w:val="baseline"/>
                <w:rtl w:val="0"/>
                <w:lang w:val="it-IT"/>
              </w:rPr>
              <w:t>0</w:t>
            </w:r>
          </w:p>
        </w:tc>
      </w:tr>
      <w:tr>
        <w:tblPrEx>
          <w:shd w:val="clear" w:color="auto" w:fill="auto"/>
        </w:tblPrEx>
        <w:trPr>
          <w:trHeight w:val="230" w:hRule="atLeast"/>
        </w:trPr>
        <w:tc>
          <w:tcPr>
            <w:tcW w:type="dxa" w:w="4787"/>
            <w:gridSpan w:val="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Normal"/>
            </w:pPr>
            <w:r>
              <w:rPr>
                <w:rFonts w:ascii="Times New Roman Bold"/>
                <w:caps w:val="0"/>
                <w:smallCaps w:val="0"/>
                <w:strike w:val="0"/>
                <w:dstrike w:val="0"/>
                <w:outline w:val="0"/>
                <w:color w:val="000000"/>
                <w:spacing w:val="0"/>
                <w:kern w:val="0"/>
                <w:position w:val="0"/>
                <w:sz w:val="20"/>
                <w:szCs w:val="20"/>
                <w:u w:val="none" w:color="000000"/>
                <w:vertAlign w:val="baseline"/>
                <w:rtl w:val="0"/>
                <w:lang w:val="it-IT"/>
              </w:rPr>
              <w:t>Totale</w:t>
            </w:r>
          </w:p>
        </w:tc>
        <w:tc>
          <w:tcPr>
            <w:tcW w:type="dxa" w:w="147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tc>
        <w:tc>
          <w:tcPr>
            <w:tcW w:type="dxa" w:w="87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Normal"/>
              <w:jc w:val="right"/>
            </w:pPr>
            <w:r>
              <w:rPr>
                <w:rFonts w:ascii="Times New Roman Bold"/>
                <w:caps w:val="0"/>
                <w:smallCaps w:val="0"/>
                <w:strike w:val="0"/>
                <w:dstrike w:val="0"/>
                <w:outline w:val="0"/>
                <w:color w:val="000000"/>
                <w:spacing w:val="0"/>
                <w:kern w:val="0"/>
                <w:position w:val="0"/>
                <w:sz w:val="20"/>
                <w:szCs w:val="20"/>
                <w:u w:val="none" w:color="000000"/>
                <w:vertAlign w:val="baseline"/>
                <w:rtl w:val="0"/>
                <w:lang w:val="it-IT"/>
              </w:rPr>
              <w:t>0</w:t>
            </w:r>
          </w:p>
        </w:tc>
        <w:tc>
          <w:tcPr>
            <w:tcW w:type="dxa" w:w="148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Normal"/>
              <w:jc w:val="right"/>
            </w:pPr>
            <w:r>
              <w:rPr>
                <w:rFonts w:ascii="Times New Roman Bold"/>
                <w:caps w:val="0"/>
                <w:smallCaps w:val="0"/>
                <w:strike w:val="0"/>
                <w:dstrike w:val="0"/>
                <w:outline w:val="0"/>
                <w:color w:val="000000"/>
                <w:spacing w:val="0"/>
                <w:kern w:val="0"/>
                <w:position w:val="0"/>
                <w:sz w:val="20"/>
                <w:szCs w:val="20"/>
                <w:u w:val="none" w:color="000000"/>
                <w:vertAlign w:val="baseline"/>
                <w:rtl w:val="0"/>
                <w:lang w:val="it-IT"/>
              </w:rPr>
              <w:t>403.027</w:t>
            </w:r>
          </w:p>
        </w:tc>
        <w:tc>
          <w:tcPr>
            <w:tcW w:type="dxa" w:w="87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Normal"/>
              <w:jc w:val="right"/>
            </w:pPr>
            <w:r>
              <w:rPr>
                <w:rFonts w:ascii="Times New Roman Bold"/>
                <w:caps w:val="0"/>
                <w:smallCaps w:val="0"/>
                <w:strike w:val="0"/>
                <w:dstrike w:val="0"/>
                <w:outline w:val="0"/>
                <w:color w:val="000000"/>
                <w:spacing w:val="0"/>
                <w:kern w:val="0"/>
                <w:position w:val="0"/>
                <w:sz w:val="20"/>
                <w:szCs w:val="20"/>
                <w:u w:val="none" w:color="000000"/>
                <w:vertAlign w:val="baseline"/>
                <w:rtl w:val="0"/>
                <w:lang w:val="it-IT"/>
              </w:rPr>
              <w:t>39.055</w:t>
            </w:r>
          </w:p>
        </w:tc>
      </w:tr>
    </w:tbl>
    <w:p>
      <w:pPr>
        <w:pStyle w:val="Normal"/>
        <w:rPr>
          <w:rFonts w:ascii="Book Antiqua Bold" w:cs="Book Antiqua Bold" w:hAnsi="Book Antiqua Bold" w:eastAsia="Book Antiqua Bold"/>
          <w:b w:val="1"/>
          <w:bCs w:val="1"/>
          <w:color w:val="000000"/>
          <w:sz w:val="20"/>
          <w:szCs w:val="20"/>
          <w:u w:color="000000"/>
        </w:rPr>
      </w:pPr>
    </w:p>
    <w:p>
      <w:pPr>
        <w:pStyle w:val="Normal"/>
        <w:jc w:val="both"/>
        <w:rPr>
          <w:i w:val="1"/>
          <w:iCs w:val="1"/>
          <w:color w:val="000000"/>
          <w:sz w:val="20"/>
          <w:szCs w:val="20"/>
          <w:u w:color="000000"/>
        </w:rPr>
      </w:pPr>
      <w:r>
        <w:rPr>
          <w:i w:val="1"/>
          <w:iCs w:val="1"/>
          <w:color w:val="000000"/>
          <w:sz w:val="20"/>
          <w:szCs w:val="20"/>
          <w:u w:color="000000"/>
          <w:rtl w:val="0"/>
          <w:lang w:val="it-IT"/>
        </w:rPr>
        <w:t xml:space="preserve">Fonte: ISPRA </w:t>
      </w:r>
    </w:p>
    <w:p>
      <w:pPr>
        <w:pStyle w:val="Normal"/>
        <w:rPr>
          <w:rFonts w:ascii="Times New Roman Bold" w:cs="Times New Roman Bold" w:hAnsi="Times New Roman Bold" w:eastAsia="Times New Roman Bold"/>
          <w:color w:val="ffffff"/>
          <w:u w:color="ffffff"/>
        </w:rPr>
      </w:pPr>
      <w:r>
        <w:rPr>
          <w:rFonts w:ascii="Times New Roman Bold"/>
          <w:color w:val="ffffff"/>
          <w:u w:color="ffffff"/>
          <w:rtl w:val="0"/>
          <w:lang w:val="it-IT"/>
        </w:rPr>
        <w:t>capite</w:t>
      </w:r>
    </w:p>
    <w:p>
      <w:pPr>
        <w:pStyle w:val="Normal"/>
        <w:ind w:left="567" w:right="567" w:firstLine="0"/>
        <w:jc w:val="both"/>
        <w:rPr>
          <w:rFonts w:ascii="Book Antiqua" w:cs="Book Antiqua" w:hAnsi="Book Antiqua" w:eastAsia="Book Antiqua"/>
        </w:rPr>
      </w:pPr>
      <w:r>
        <w:rPr>
          <w:rFonts w:ascii="Book Antiqua"/>
          <w:rtl w:val="0"/>
          <w:lang w:val="it-IT"/>
        </w:rPr>
        <w:t>Appare evidente come, per i motivi esposti, il trasporto dei rifiuti della citt</w:t>
      </w:r>
      <w:r>
        <w:rPr>
          <w:rFonts w:hAnsi="Book Antiqua" w:hint="default"/>
          <w:rtl w:val="0"/>
          <w:lang w:val="it-IT"/>
        </w:rPr>
        <w:t>à</w:t>
      </w:r>
      <w:r>
        <w:rPr>
          <w:rFonts w:ascii="Book Antiqua"/>
          <w:rtl w:val="0"/>
          <w:lang w:val="it-IT"/>
        </w:rPr>
        <w:t xml:space="preserve"> verso tutte queste destinazioni pu</w:t>
      </w:r>
      <w:r>
        <w:rPr>
          <w:rFonts w:hAnsi="Book Antiqua" w:hint="default"/>
          <w:rtl w:val="0"/>
          <w:lang w:val="it-IT"/>
        </w:rPr>
        <w:t xml:space="preserve">ò </w:t>
      </w:r>
      <w:r>
        <w:rPr>
          <w:rFonts w:ascii="Book Antiqua"/>
          <w:rtl w:val="0"/>
          <w:lang w:val="it-IT"/>
        </w:rPr>
        <w:t>creare situazioni di criticit</w:t>
      </w:r>
      <w:r>
        <w:rPr>
          <w:rFonts w:hAnsi="Book Antiqua" w:hint="default"/>
          <w:rtl w:val="0"/>
          <w:lang w:val="it-IT"/>
        </w:rPr>
        <w:t xml:space="preserve">à </w:t>
      </w:r>
      <w:r>
        <w:rPr>
          <w:rFonts w:ascii="Book Antiqua"/>
          <w:rtl w:val="0"/>
          <w:lang w:val="it-IT"/>
        </w:rPr>
        <w:t xml:space="preserve">con blocchi della raccolta e con le conseguenti ripercussioni sul decoro complessivo di Roma, e comprometterne la situazione ambientale. </w:t>
      </w:r>
    </w:p>
    <w:p>
      <w:pPr>
        <w:pStyle w:val="Normal"/>
        <w:ind w:left="567" w:right="567" w:firstLine="0"/>
        <w:jc w:val="both"/>
        <w:rPr>
          <w:rFonts w:ascii="Book Antiqua" w:cs="Book Antiqua" w:hAnsi="Book Antiqua" w:eastAsia="Book Antiqua"/>
        </w:rPr>
      </w:pPr>
      <w:r>
        <w:rPr>
          <w:rFonts w:ascii="Book Antiqua"/>
          <w:rtl w:val="0"/>
          <w:lang w:val="it-IT"/>
        </w:rPr>
        <w:t xml:space="preserve">Quanto ai problemi del trattamento dei rifiuti indifferenziati nei quattro impianti TMB, il presidente pro tempore di AMA, Daniele Fortini, il 2 agosto 2016, dinanzi alla Commissione, </w:t>
      </w:r>
      <w:r>
        <w:rPr>
          <w:rFonts w:hAnsi="Book Antiqua" w:hint="default"/>
          <w:rtl w:val="0"/>
          <w:lang w:val="it-IT"/>
        </w:rPr>
        <w:t xml:space="preserve">è </w:t>
      </w:r>
      <w:r>
        <w:rPr>
          <w:rFonts w:ascii="Book Antiqua"/>
          <w:rtl w:val="0"/>
          <w:lang w:val="it-IT"/>
        </w:rPr>
        <w:t>tornato sull</w:t>
      </w:r>
      <w:r>
        <w:rPr>
          <w:rFonts w:hAnsi="Book Antiqua" w:hint="default"/>
          <w:rtl w:val="0"/>
          <w:lang w:val="it-IT"/>
        </w:rPr>
        <w:t>’</w:t>
      </w:r>
      <w:r>
        <w:rPr>
          <w:rFonts w:ascii="Book Antiqua"/>
          <w:rtl w:val="0"/>
          <w:lang w:val="it-IT"/>
        </w:rPr>
        <w:t>argomento dicendo:</w:t>
      </w:r>
    </w:p>
    <w:p>
      <w:pPr>
        <w:pStyle w:val="Normal"/>
        <w:ind w:left="567" w:right="567" w:firstLine="0"/>
        <w:jc w:val="both"/>
        <w:rPr>
          <w:rFonts w:ascii="Book Antiqua" w:cs="Book Antiqua" w:hAnsi="Book Antiqua" w:eastAsia="Book Antiqua"/>
        </w:rPr>
      </w:pPr>
      <w:r>
        <w:rPr>
          <w:rFonts w:hAnsi="Book Antiqua" w:hint="default"/>
          <w:rtl w:val="0"/>
          <w:lang w:val="it-IT"/>
        </w:rPr>
        <w:t>“</w:t>
      </w:r>
      <w:r>
        <w:rPr>
          <w:rFonts w:ascii="Book Antiqua"/>
          <w:rtl w:val="0"/>
          <w:lang w:val="it-IT"/>
        </w:rPr>
        <w:t>Allora, il tema diventa quello dei TMB. Sono degli ingombri che costringono ad aver bisogno di inceneritori e discariche. Sono stati costruiti con questo ingegno: si sono costruiti i TMB perch</w:t>
      </w:r>
      <w:r>
        <w:rPr>
          <w:rFonts w:hAnsi="Book Antiqua" w:hint="default"/>
          <w:rtl w:val="0"/>
          <w:lang w:val="it-IT"/>
        </w:rPr>
        <w:t xml:space="preserve">é </w:t>
      </w:r>
      <w:r>
        <w:rPr>
          <w:rFonts w:ascii="Book Antiqua"/>
          <w:rtl w:val="0"/>
          <w:lang w:val="it-IT"/>
        </w:rPr>
        <w:t>questi avranno comunque bisogno di inceneritori e discariche. I quattro TMB di Roma Capitale, due di propriet</w:t>
      </w:r>
      <w:r>
        <w:rPr>
          <w:rFonts w:hAnsi="Book Antiqua" w:hint="default"/>
          <w:rtl w:val="0"/>
          <w:lang w:val="it-IT"/>
        </w:rPr>
        <w:t xml:space="preserve">à </w:t>
      </w:r>
      <w:r>
        <w:rPr>
          <w:rFonts w:ascii="Book Antiqua"/>
          <w:rtl w:val="0"/>
          <w:lang w:val="it-IT"/>
        </w:rPr>
        <w:t>di AMA e due di propriet</w:t>
      </w:r>
      <w:r>
        <w:rPr>
          <w:rFonts w:hAnsi="Book Antiqua" w:hint="default"/>
          <w:rtl w:val="0"/>
          <w:lang w:val="it-IT"/>
        </w:rPr>
        <w:t xml:space="preserve">à </w:t>
      </w:r>
      <w:r>
        <w:rPr>
          <w:rFonts w:ascii="Book Antiqua"/>
          <w:rtl w:val="0"/>
          <w:lang w:val="it-IT"/>
        </w:rPr>
        <w:t>di Co.La.Ri., costituiscono il pi</w:t>
      </w:r>
      <w:r>
        <w:rPr>
          <w:rFonts w:hAnsi="Book Antiqua" w:hint="default"/>
          <w:rtl w:val="0"/>
          <w:lang w:val="it-IT"/>
        </w:rPr>
        <w:t xml:space="preserve">ù </w:t>
      </w:r>
      <w:r>
        <w:rPr>
          <w:rFonts w:ascii="Book Antiqua"/>
          <w:rtl w:val="0"/>
          <w:lang w:val="it-IT"/>
        </w:rPr>
        <w:t>grande impedimento allo sviluppo di politiche orientate all</w:t>
      </w:r>
      <w:r>
        <w:rPr>
          <w:rFonts w:hAnsi="Book Antiqua" w:hint="default"/>
          <w:rtl w:val="0"/>
          <w:lang w:val="it-IT"/>
        </w:rPr>
        <w:t>’</w:t>
      </w:r>
      <w:r>
        <w:rPr>
          <w:rFonts w:ascii="Book Antiqua"/>
          <w:rtl w:val="0"/>
          <w:lang w:val="it-IT"/>
        </w:rPr>
        <w:t>economia circolare, al recupero dei rifiuti, alla possibilit</w:t>
      </w:r>
      <w:r>
        <w:rPr>
          <w:rFonts w:hAnsi="Book Antiqua" w:hint="default"/>
          <w:rtl w:val="0"/>
          <w:lang w:val="it-IT"/>
        </w:rPr>
        <w:t xml:space="preserve">à </w:t>
      </w:r>
      <w:r>
        <w:rPr>
          <w:rFonts w:ascii="Book Antiqua"/>
          <w:rtl w:val="0"/>
          <w:lang w:val="it-IT"/>
        </w:rPr>
        <w:t>di generare prodotti dalle raccolte differenziate e dal riciclaggio.</w:t>
      </w:r>
      <w:r>
        <w:rPr>
          <w:rFonts w:hAnsi="Book Antiqua" w:hint="default"/>
          <w:rtl w:val="0"/>
          <w:lang w:val="it-IT"/>
        </w:rPr>
        <w:t xml:space="preserve">” </w:t>
      </w:r>
    </w:p>
    <w:p>
      <w:pPr>
        <w:pStyle w:val="Normal"/>
        <w:ind w:left="567" w:right="567" w:firstLine="0"/>
        <w:jc w:val="both"/>
        <w:rPr>
          <w:rFonts w:ascii="Book Antiqua Bold" w:cs="Book Antiqua Bold" w:hAnsi="Book Antiqua Bold" w:eastAsia="Book Antiqua Bold"/>
          <w:b w:val="1"/>
          <w:bCs w:val="1"/>
        </w:rPr>
      </w:pPr>
      <w:r>
        <w:rPr>
          <w:rFonts w:ascii="Book Antiqua"/>
          <w:rtl w:val="0"/>
          <w:lang w:val="it-IT"/>
        </w:rPr>
        <w:t>Anche il sindaco di Roma, Virginia Raggi, nell</w:t>
      </w:r>
      <w:r>
        <w:rPr>
          <w:rFonts w:hAnsi="Book Antiqua" w:hint="default"/>
          <w:rtl w:val="0"/>
          <w:lang w:val="it-IT"/>
        </w:rPr>
        <w:t>’</w:t>
      </w:r>
      <w:r>
        <w:rPr>
          <w:rFonts w:ascii="Book Antiqua"/>
          <w:rtl w:val="0"/>
          <w:lang w:val="it-IT"/>
        </w:rPr>
        <w:t xml:space="preserve">audizione del 5 settembre 2016, </w:t>
      </w:r>
      <w:r>
        <w:rPr>
          <w:rFonts w:hAnsi="Book Antiqua" w:hint="default"/>
          <w:rtl w:val="0"/>
          <w:lang w:val="it-IT"/>
        </w:rPr>
        <w:t xml:space="preserve">è </w:t>
      </w:r>
      <w:r>
        <w:rPr>
          <w:rFonts w:ascii="Book Antiqua"/>
          <w:rtl w:val="0"/>
          <w:lang w:val="it-IT"/>
        </w:rPr>
        <w:t>entrata nel merito degli impianti TMB:</w:t>
      </w:r>
      <w:r>
        <w:rPr>
          <w:rFonts w:ascii="Book Antiqua Bold"/>
          <w:b w:val="1"/>
          <w:bCs w:val="1"/>
          <w:rtl w:val="0"/>
          <w:lang w:val="it-IT"/>
        </w:rPr>
        <w:t xml:space="preserve"> </w:t>
      </w:r>
    </w:p>
    <w:p>
      <w:pPr>
        <w:pStyle w:val="Normal"/>
        <w:ind w:left="567" w:right="567" w:firstLine="0"/>
        <w:jc w:val="both"/>
        <w:rPr>
          <w:rFonts w:ascii="Book Antiqua" w:cs="Book Antiqua" w:hAnsi="Book Antiqua" w:eastAsia="Book Antiqua"/>
        </w:rPr>
      </w:pPr>
      <w:r>
        <w:rPr>
          <w:rFonts w:hAnsi="Book Antiqua" w:hint="default"/>
          <w:rtl w:val="0"/>
          <w:lang w:val="it-IT"/>
        </w:rPr>
        <w:t>“</w:t>
      </w:r>
      <w:r>
        <w:rPr>
          <w:rFonts w:ascii="Book Antiqua"/>
          <w:rtl w:val="0"/>
          <w:lang w:val="it-IT"/>
        </w:rPr>
        <w:t xml:space="preserve">Probabilmente vi </w:t>
      </w:r>
      <w:r>
        <w:rPr>
          <w:rFonts w:hAnsi="Book Antiqua" w:hint="default"/>
          <w:rtl w:val="0"/>
          <w:lang w:val="it-IT"/>
        </w:rPr>
        <w:t xml:space="preserve">è </w:t>
      </w:r>
      <w:r>
        <w:rPr>
          <w:rFonts w:ascii="Book Antiqua"/>
          <w:rtl w:val="0"/>
          <w:lang w:val="it-IT"/>
        </w:rPr>
        <w:t>noto che quando noi siamo arrivati a Roma la situazione stava degenerando; avevamo cumuli di immondizia ovunque e prevalentemente questo era il frutto della mancata manutenzione degli impianti di TMB di Salario e Rocca Cencia, che per mesi si era prolungata a fronte della rottura di alcuni bracci che servivano per prendere i rifiuti e immetterli nella catena del trattamento. Di fatto, le vasche di questi impianti continuavano a riempirsi e quindi l</w:t>
      </w:r>
      <w:r>
        <w:rPr>
          <w:rFonts w:hAnsi="Book Antiqua" w:hint="default"/>
          <w:rtl w:val="0"/>
          <w:lang w:val="it-IT"/>
        </w:rPr>
        <w:t>’</w:t>
      </w:r>
      <w:r>
        <w:rPr>
          <w:rFonts w:ascii="Book Antiqua"/>
          <w:rtl w:val="0"/>
          <w:lang w:val="it-IT"/>
        </w:rPr>
        <w:t>ammontare dei rifiuti in entrata era altamente superiore a quello dei rifiuti in uscita, quindi stavano diventando delle piccole discariche. Abbiamo immediatamente sollecitato i vari soggetti che vengono a prendersi il CDR ad aiutarci a smaltire il pi</w:t>
      </w:r>
      <w:r>
        <w:rPr>
          <w:rFonts w:hAnsi="Book Antiqua" w:hint="default"/>
          <w:rtl w:val="0"/>
          <w:lang w:val="it-IT"/>
        </w:rPr>
        <w:t xml:space="preserve">ù </w:t>
      </w:r>
      <w:r>
        <w:rPr>
          <w:rFonts w:ascii="Book Antiqua"/>
          <w:rtl w:val="0"/>
          <w:lang w:val="it-IT"/>
        </w:rPr>
        <w:t>possibile, tant</w:t>
      </w:r>
      <w:r>
        <w:rPr>
          <w:rFonts w:hAnsi="Book Antiqua" w:hint="default"/>
          <w:rtl w:val="0"/>
          <w:lang w:val="it-IT"/>
        </w:rPr>
        <w:t xml:space="preserve">’è </w:t>
      </w:r>
      <w:r>
        <w:rPr>
          <w:rFonts w:ascii="Book Antiqua"/>
          <w:rtl w:val="0"/>
          <w:lang w:val="it-IT"/>
        </w:rPr>
        <w:t>vero che le vasche, sia di Salario che di Rocca Cencia [</w:t>
      </w:r>
      <w:r>
        <w:rPr>
          <w:rFonts w:hAnsi="Book Antiqua" w:hint="default"/>
          <w:rtl w:val="0"/>
          <w:lang w:val="it-IT"/>
        </w:rPr>
        <w:t>…</w:t>
      </w:r>
      <w:r>
        <w:rPr>
          <w:rFonts w:ascii="Book Antiqua"/>
          <w:rtl w:val="0"/>
          <w:lang w:val="it-IT"/>
        </w:rPr>
        <w:t>] sono state svuotate e stiamo procedendo alla riparazione dei bracci per rimettere in funzione questi impianti ed evitare nuovamente periodi critici.</w:t>
      </w:r>
      <w:r>
        <w:rPr>
          <w:rFonts w:hAnsi="Book Antiqua" w:hint="default"/>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La gi</w:t>
      </w:r>
      <w:r>
        <w:rPr>
          <w:rFonts w:hAnsi="Book Antiqua" w:hint="default"/>
          <w:rtl w:val="0"/>
          <w:lang w:val="it-IT"/>
        </w:rPr>
        <w:t xml:space="preserve">à </w:t>
      </w:r>
      <w:r>
        <w:rPr>
          <w:rFonts w:ascii="Book Antiqua"/>
          <w:rtl w:val="0"/>
          <w:lang w:val="it-IT"/>
        </w:rPr>
        <w:t>citata relazione redatta dall</w:t>
      </w:r>
      <w:r>
        <w:rPr>
          <w:rFonts w:hAnsi="Book Antiqua" w:hint="default"/>
          <w:rtl w:val="0"/>
          <w:lang w:val="it-IT"/>
        </w:rPr>
        <w:t>’</w:t>
      </w:r>
      <w:r>
        <w:rPr>
          <w:rFonts w:ascii="Book Antiqua"/>
          <w:rtl w:val="0"/>
          <w:lang w:val="it-IT"/>
        </w:rPr>
        <w:t>Agenzia per il controllo e la qualit</w:t>
      </w:r>
      <w:r>
        <w:rPr>
          <w:rFonts w:hAnsi="Book Antiqua" w:hint="default"/>
          <w:rtl w:val="0"/>
          <w:lang w:val="it-IT"/>
        </w:rPr>
        <w:t xml:space="preserve">à </w:t>
      </w:r>
      <w:r>
        <w:rPr>
          <w:rFonts w:ascii="Book Antiqua"/>
          <w:rtl w:val="0"/>
          <w:lang w:val="it-IT"/>
        </w:rPr>
        <w:t>dei servizi pubblici locali di Roma Capitale</w:t>
      </w:r>
      <w:r>
        <w:rPr>
          <w:rFonts w:ascii="Book Antiqua" w:cs="Book Antiqua" w:hAnsi="Book Antiqua" w:eastAsia="Book Antiqua"/>
          <w:vertAlign w:val="superscript"/>
          <w:rtl w:val="0"/>
        </w:rPr>
        <w:footnoteReference w:id="25"/>
      </w:r>
      <w:r>
        <w:rPr>
          <w:rFonts w:ascii="Book Antiqua"/>
          <w:rtl w:val="0"/>
          <w:lang w:val="it-IT"/>
        </w:rPr>
        <w:t>, fornisce nel grafici che seguono la rappresentazione di come il costo unitario di gestione sia della raccolta differenziata che della raccolta dei rifiuti indifferenziati</w:t>
      </w:r>
      <w:r>
        <w:rPr>
          <w:rFonts w:hAnsi="Book Antiqua" w:hint="default"/>
          <w:rtl w:val="0"/>
          <w:lang w:val="it-IT"/>
        </w:rPr>
        <w:t xml:space="preserve"> è </w:t>
      </w:r>
      <w:r>
        <w:rPr>
          <w:rFonts w:ascii="Book Antiqua"/>
          <w:rtl w:val="0"/>
          <w:lang w:val="it-IT"/>
        </w:rPr>
        <w:t>stato inferiore alla media nazionale delle grandi citt</w:t>
      </w:r>
      <w:r>
        <w:rPr>
          <w:rFonts w:hAnsi="Book Antiqua" w:hint="default"/>
          <w:rtl w:val="0"/>
          <w:lang w:val="it-IT"/>
        </w:rPr>
        <w:t xml:space="preserve">à </w:t>
      </w:r>
      <w:r>
        <w:rPr>
          <w:rFonts w:ascii="Book Antiqua"/>
          <w:rtl w:val="0"/>
          <w:lang w:val="it-IT"/>
        </w:rPr>
        <w:t>fino alla chiusura di Malagrotta, quando:</w:t>
      </w:r>
    </w:p>
    <w:p>
      <w:pPr>
        <w:pStyle w:val="Elenco a colori - Colore 11"/>
        <w:spacing w:after="0" w:line="240" w:lineRule="auto"/>
        <w:ind w:left="567" w:right="567" w:firstLine="0"/>
        <w:jc w:val="both"/>
        <w:rPr>
          <w:rFonts w:ascii="Book Antiqua" w:cs="Book Antiqua" w:hAnsi="Book Antiqua" w:eastAsia="Book Antiqua"/>
          <w:sz w:val="24"/>
          <w:szCs w:val="24"/>
        </w:rPr>
      </w:pPr>
      <w:r>
        <w:rPr>
          <w:rFonts w:ascii="Book Antiqua"/>
          <w:sz w:val="24"/>
          <w:szCs w:val="24"/>
          <w:rtl w:val="0"/>
          <w:lang w:val="it-IT"/>
        </w:rPr>
        <w:t xml:space="preserve">la pressione per minimizzare il ricorso alla discarica </w:t>
      </w:r>
      <w:r>
        <w:rPr>
          <w:rFonts w:hAnsi="Book Antiqua" w:hint="default"/>
          <w:sz w:val="24"/>
          <w:szCs w:val="24"/>
          <w:rtl w:val="0"/>
          <w:lang w:val="it-IT"/>
        </w:rPr>
        <w:t xml:space="preserve">è </w:t>
      </w:r>
      <w:r>
        <w:rPr>
          <w:rFonts w:ascii="Book Antiqua"/>
          <w:sz w:val="24"/>
          <w:szCs w:val="24"/>
          <w:rtl w:val="0"/>
          <w:lang w:val="it-IT"/>
        </w:rPr>
        <w:t xml:space="preserve">aumentata, facendo di conseguenza aumentare fortemente i costi unitari della differenziata (che nel 2014 superano del 20 per cento la media, nonostante la percentuale di RD sia rimasta ancora ampiamente al di sotto: -7 per cento);  </w:t>
      </w:r>
    </w:p>
    <w:p>
      <w:pPr>
        <w:pStyle w:val="Elenco a colori - Colore 11"/>
        <w:spacing w:after="0" w:line="240" w:lineRule="auto"/>
        <w:ind w:left="567" w:right="567" w:firstLine="0"/>
        <w:jc w:val="both"/>
        <w:rPr>
          <w:rFonts w:ascii="Book Antiqua" w:cs="Book Antiqua" w:hAnsi="Book Antiqua" w:eastAsia="Book Antiqua"/>
          <w:sz w:val="24"/>
          <w:szCs w:val="24"/>
        </w:rPr>
      </w:pPr>
      <w:r>
        <w:rPr>
          <w:rFonts w:ascii="Book Antiqua"/>
          <w:sz w:val="24"/>
          <w:szCs w:val="24"/>
          <w:rtl w:val="0"/>
          <w:lang w:val="it-IT"/>
        </w:rPr>
        <w:t>il trasporto e lo smaltimento fuori regione hanno fatto aumentare anche i costi unitari dell'indifferenziata, che nel 2014 sono superiori alla media del 6 per cento.</w:t>
      </w:r>
    </w:p>
    <w:p>
      <w:pPr>
        <w:pStyle w:val="Elenco a colori - Colore 11"/>
        <w:spacing w:after="0" w:line="240" w:lineRule="auto"/>
        <w:ind w:left="567" w:right="567" w:firstLine="0"/>
        <w:jc w:val="both"/>
        <w:rPr>
          <w:rFonts w:ascii="Book Antiqua" w:cs="Book Antiqua" w:hAnsi="Book Antiqua" w:eastAsia="Book Antiqua"/>
          <w:sz w:val="24"/>
          <w:szCs w:val="24"/>
        </w:rPr>
      </w:pPr>
    </w:p>
    <w:p>
      <w:pPr>
        <w:pStyle w:val="Normal"/>
        <w:rPr>
          <w:b w:val="1"/>
          <w:bCs w:val="1"/>
          <w:i w:val="1"/>
          <w:iCs w:val="1"/>
        </w:rPr>
      </w:pPr>
      <w:r>
        <w:rPr>
          <w:rtl w:val="0"/>
        </w:rPr>
        <w:drawing>
          <wp:inline distT="0" distB="0" distL="0" distR="0">
            <wp:extent cx="5732568" cy="3934263"/>
            <wp:effectExtent l="0" t="0" r="0" b="0"/>
            <wp:docPr id="1073741829" name="officeArt object" descr="costi_unitari_delle_gestioni_specifiche_diff_e_indiff.png"/>
            <wp:cNvGraphicFramePr/>
            <a:graphic xmlns:a="http://schemas.openxmlformats.org/drawingml/2006/main">
              <a:graphicData uri="http://schemas.openxmlformats.org/drawingml/2006/picture">
                <pic:pic xmlns:pic="http://schemas.openxmlformats.org/drawingml/2006/picture">
                  <pic:nvPicPr>
                    <pic:cNvPr id="1073741829" name="image5.png" descr="costi_unitari_delle_gestioni_specifiche_diff_e_indiff.png"/>
                    <pic:cNvPicPr/>
                  </pic:nvPicPr>
                  <pic:blipFill>
                    <a:blip r:embed="rId9">
                      <a:extLst/>
                    </a:blip>
                    <a:stretch>
                      <a:fillRect/>
                    </a:stretch>
                  </pic:blipFill>
                  <pic:spPr>
                    <a:xfrm>
                      <a:off x="0" y="0"/>
                      <a:ext cx="5732568" cy="3934263"/>
                    </a:xfrm>
                    <a:prstGeom prst="rect">
                      <a:avLst/>
                    </a:prstGeom>
                    <a:ln w="12700" cap="flat">
                      <a:noFill/>
                      <a:miter lim="400000"/>
                    </a:ln>
                    <a:effectLst/>
                  </pic:spPr>
                </pic:pic>
              </a:graphicData>
            </a:graphic>
          </wp:inline>
        </w:drawing>
      </w:r>
    </w:p>
    <w:p>
      <w:pPr>
        <w:pStyle w:val="Normal"/>
        <w:ind w:left="567" w:right="424" w:firstLine="0"/>
        <w:rPr>
          <w:rFonts w:ascii="Book Antiqua" w:cs="Book Antiqua" w:hAnsi="Book Antiqua" w:eastAsia="Book Antiqua"/>
        </w:rPr>
      </w:pPr>
      <w:r>
        <w:rPr>
          <w:rFonts w:ascii="Book Antiqua"/>
          <w:rtl w:val="0"/>
          <w:lang w:val="it-IT"/>
        </w:rPr>
        <w:t>Nei grafici che seguono: investimenti in impianti, trattamento AMA, costi e ricavi unitari dei servizi a Roma</w:t>
      </w:r>
      <w:r>
        <w:rPr>
          <w:rFonts w:ascii="Book Antiqua"/>
          <w:vertAlign w:val="superscript"/>
          <w:rtl w:val="0"/>
          <w:lang w:val="it-IT"/>
        </w:rPr>
        <w:t xml:space="preserve"> </w:t>
      </w:r>
      <w:r>
        <w:rPr>
          <w:rFonts w:ascii="Book Antiqua" w:cs="Book Antiqua" w:hAnsi="Book Antiqua" w:eastAsia="Book Antiqua"/>
          <w:vertAlign w:val="superscript"/>
          <w:rtl w:val="0"/>
        </w:rPr>
        <w:footnoteReference w:id="26"/>
      </w:r>
    </w:p>
    <w:p>
      <w:pPr>
        <w:pStyle w:val="Normal"/>
        <w:ind w:left="567" w:right="424" w:firstLine="0"/>
        <w:rPr>
          <w:rFonts w:ascii="Book Antiqua" w:cs="Book Antiqua" w:hAnsi="Book Antiqua" w:eastAsia="Book Antiqua"/>
        </w:rPr>
      </w:pPr>
    </w:p>
    <w:p>
      <w:pPr>
        <w:pStyle w:val="Normal"/>
        <w:jc w:val="both"/>
        <w:rPr>
          <w:rtl w:val="0"/>
        </w:rPr>
      </w:pPr>
      <w:r>
        <w:rPr>
          <w:rtl w:val="0"/>
        </w:rPr>
        <w:drawing>
          <wp:inline distT="0" distB="0" distL="0" distR="0">
            <wp:extent cx="6241287" cy="4035317"/>
            <wp:effectExtent l="0" t="0" r="0" b="0"/>
            <wp:docPr id="1073741830" name="officeArt object" descr="investimenti_trattamento_costi.png"/>
            <wp:cNvGraphicFramePr/>
            <a:graphic xmlns:a="http://schemas.openxmlformats.org/drawingml/2006/main">
              <a:graphicData uri="http://schemas.openxmlformats.org/drawingml/2006/picture">
                <pic:pic xmlns:pic="http://schemas.openxmlformats.org/drawingml/2006/picture">
                  <pic:nvPicPr>
                    <pic:cNvPr id="1073741830" name="image6.png" descr="investimenti_trattamento_costi.png"/>
                    <pic:cNvPicPr/>
                  </pic:nvPicPr>
                  <pic:blipFill>
                    <a:blip r:embed="rId10">
                      <a:extLst/>
                    </a:blip>
                    <a:stretch>
                      <a:fillRect/>
                    </a:stretch>
                  </pic:blipFill>
                  <pic:spPr>
                    <a:xfrm>
                      <a:off x="0" y="0"/>
                      <a:ext cx="6241287" cy="4035317"/>
                    </a:xfrm>
                    <a:prstGeom prst="rect">
                      <a:avLst/>
                    </a:prstGeom>
                    <a:ln w="12700" cap="flat">
                      <a:noFill/>
                      <a:miter lim="400000"/>
                    </a:ln>
                    <a:effectLst/>
                  </pic:spPr>
                </pic:pic>
              </a:graphicData>
            </a:graphic>
          </wp:inline>
        </w:drawing>
      </w:r>
    </w:p>
    <w:p>
      <w:pPr>
        <w:pStyle w:val="Normal"/>
        <w:rPr>
          <w:rFonts w:ascii="Book Antiqua" w:cs="Book Antiqua" w:hAnsi="Book Antiqua" w:eastAsia="Book Antiqua"/>
        </w:rPr>
      </w:pPr>
    </w:p>
    <w:p>
      <w:pPr>
        <w:pStyle w:val="Normal"/>
        <w:jc w:val="both"/>
        <w:rPr>
          <w:rtl w:val="0"/>
        </w:rPr>
      </w:pPr>
      <w:r>
        <w:rPr>
          <w:rtl w:val="0"/>
        </w:rPr>
        <w:drawing>
          <wp:inline distT="0" distB="0" distL="0" distR="0">
            <wp:extent cx="4978400" cy="2863850"/>
            <wp:effectExtent l="0" t="0" r="0" b="0"/>
            <wp:docPr id="1073741831" name="officeArt object" descr="costi_unitari_andamento_2007_2.png"/>
            <wp:cNvGraphicFramePr/>
            <a:graphic xmlns:a="http://schemas.openxmlformats.org/drawingml/2006/main">
              <a:graphicData uri="http://schemas.openxmlformats.org/drawingml/2006/picture">
                <pic:pic xmlns:pic="http://schemas.openxmlformats.org/drawingml/2006/picture">
                  <pic:nvPicPr>
                    <pic:cNvPr id="1073741831" name="image7.png" descr="costi_unitari_andamento_2007_2.png"/>
                    <pic:cNvPicPr/>
                  </pic:nvPicPr>
                  <pic:blipFill>
                    <a:blip r:embed="rId11">
                      <a:extLst/>
                    </a:blip>
                    <a:stretch>
                      <a:fillRect/>
                    </a:stretch>
                  </pic:blipFill>
                  <pic:spPr>
                    <a:xfrm>
                      <a:off x="0" y="0"/>
                      <a:ext cx="4978400" cy="2863850"/>
                    </a:xfrm>
                    <a:prstGeom prst="rect">
                      <a:avLst/>
                    </a:prstGeom>
                    <a:ln w="12700" cap="flat">
                      <a:noFill/>
                      <a:miter lim="400000"/>
                    </a:ln>
                    <a:effectLst/>
                  </pic:spPr>
                </pic:pic>
              </a:graphicData>
            </a:graphic>
          </wp:inline>
        </w:drawing>
      </w:r>
    </w:p>
    <w:p>
      <w:pPr>
        <w:pStyle w:val="Normal"/>
        <w:jc w:val="both"/>
        <w:rPr>
          <w:rtl w:val="0"/>
        </w:rPr>
      </w:pPr>
    </w:p>
    <w:p>
      <w:pPr>
        <w:pStyle w:val="Normal"/>
        <w:ind w:left="567" w:right="567" w:firstLine="0"/>
        <w:jc w:val="both"/>
        <w:rPr>
          <w:rFonts w:ascii="Book Antiqua" w:cs="Book Antiqua" w:hAnsi="Book Antiqua" w:eastAsia="Book Antiqua"/>
        </w:rPr>
      </w:pPr>
      <w:r>
        <w:rPr>
          <w:rFonts w:ascii="Book Antiqua"/>
          <w:rtl w:val="0"/>
          <w:lang w:val="it-IT"/>
        </w:rPr>
        <w:t>Come si vedr</w:t>
      </w:r>
      <w:r>
        <w:rPr>
          <w:rFonts w:hAnsi="Book Antiqua" w:hint="default"/>
          <w:rtl w:val="0"/>
          <w:lang w:val="it-IT"/>
        </w:rPr>
        <w:t xml:space="preserve">à </w:t>
      </w:r>
      <w:r>
        <w:rPr>
          <w:rFonts w:ascii="Book Antiqua"/>
          <w:rtl w:val="0"/>
          <w:lang w:val="it-IT"/>
        </w:rPr>
        <w:t>pi</w:t>
      </w:r>
      <w:r>
        <w:rPr>
          <w:rFonts w:hAnsi="Book Antiqua" w:hint="default"/>
          <w:rtl w:val="0"/>
          <w:lang w:val="it-IT"/>
        </w:rPr>
        <w:t xml:space="preserve">ù </w:t>
      </w:r>
      <w:r>
        <w:rPr>
          <w:rFonts w:ascii="Book Antiqua"/>
          <w:rtl w:val="0"/>
          <w:lang w:val="it-IT"/>
        </w:rPr>
        <w:t>avanti, gli impianti di trattamento di indifferenziato ubicati a Roma hanno causato sempre molti problemi ma nonostante questo il sistema romano ad oggi non pu</w:t>
      </w:r>
      <w:r>
        <w:rPr>
          <w:rFonts w:hAnsi="Book Antiqua" w:hint="default"/>
          <w:rtl w:val="0"/>
          <w:lang w:val="it-IT"/>
        </w:rPr>
        <w:t xml:space="preserve">ò </w:t>
      </w:r>
      <w:r>
        <w:rPr>
          <w:rFonts w:ascii="Book Antiqua"/>
          <w:rtl w:val="0"/>
          <w:lang w:val="it-IT"/>
        </w:rPr>
        <w:t>farne a meno. I TMB sono quattro, due di propriet</w:t>
      </w:r>
      <w:r>
        <w:rPr>
          <w:rFonts w:hAnsi="Book Antiqua" w:hint="default"/>
          <w:rtl w:val="0"/>
          <w:lang w:val="it-IT"/>
        </w:rPr>
        <w:t xml:space="preserve">à </w:t>
      </w:r>
      <w:r>
        <w:rPr>
          <w:rFonts w:ascii="Book Antiqua"/>
          <w:rtl w:val="0"/>
          <w:lang w:val="it-IT"/>
        </w:rPr>
        <w:t>dell</w:t>
      </w:r>
      <w:r>
        <w:rPr>
          <w:rFonts w:hAnsi="Book Antiqua" w:hint="default"/>
          <w:rtl w:val="0"/>
          <w:lang w:val="it-IT"/>
        </w:rPr>
        <w:t>’</w:t>
      </w:r>
      <w:r>
        <w:rPr>
          <w:rFonts w:ascii="Book Antiqua"/>
          <w:rtl w:val="0"/>
          <w:lang w:val="it-IT"/>
        </w:rPr>
        <w:t>AMA e due di propriet</w:t>
      </w:r>
      <w:r>
        <w:rPr>
          <w:rFonts w:hAnsi="Book Antiqua" w:hint="default"/>
          <w:rtl w:val="0"/>
          <w:lang w:val="it-IT"/>
        </w:rPr>
        <w:t xml:space="preserve">à </w:t>
      </w:r>
      <w:r>
        <w:rPr>
          <w:rFonts w:ascii="Book Antiqua"/>
          <w:rtl w:val="0"/>
          <w:lang w:val="it-IT"/>
        </w:rPr>
        <w:t xml:space="preserve">di Co.La.Ri. </w:t>
      </w:r>
    </w:p>
    <w:p>
      <w:pPr>
        <w:pStyle w:val="Normal"/>
        <w:ind w:left="567" w:right="567" w:firstLine="0"/>
        <w:jc w:val="both"/>
        <w:rPr>
          <w:rFonts w:ascii="Book Antiqua" w:cs="Book Antiqua" w:hAnsi="Book Antiqua" w:eastAsia="Book Antiqua"/>
        </w:rPr>
      </w:pPr>
      <w:r>
        <w:rPr>
          <w:rFonts w:ascii="Book Antiqua"/>
          <w:rtl w:val="0"/>
          <w:lang w:val="it-IT"/>
        </w:rPr>
        <w:t>Nel caso in cui uno o pi</w:t>
      </w:r>
      <w:r>
        <w:rPr>
          <w:rFonts w:hAnsi="Book Antiqua" w:hint="default"/>
          <w:rtl w:val="0"/>
          <w:lang w:val="it-IT"/>
        </w:rPr>
        <w:t xml:space="preserve">ù </w:t>
      </w:r>
      <w:r>
        <w:rPr>
          <w:rFonts w:ascii="Book Antiqua"/>
          <w:rtl w:val="0"/>
          <w:lang w:val="it-IT"/>
        </w:rPr>
        <w:t>impianti per qualsiasi motivo non potesse lavorare la citt</w:t>
      </w:r>
      <w:r>
        <w:rPr>
          <w:rFonts w:hAnsi="Book Antiqua" w:hint="default"/>
          <w:rtl w:val="0"/>
          <w:lang w:val="it-IT"/>
        </w:rPr>
        <w:t xml:space="preserve">à </w:t>
      </w:r>
      <w:r>
        <w:rPr>
          <w:rFonts w:ascii="Book Antiqua"/>
          <w:rtl w:val="0"/>
          <w:lang w:val="it-IT"/>
        </w:rPr>
        <w:t>di Roma andrebbe incontro a grosse criticit</w:t>
      </w:r>
      <w:r>
        <w:rPr>
          <w:rFonts w:hAnsi="Book Antiqua" w:hint="default"/>
          <w:rtl w:val="0"/>
          <w:lang w:val="it-IT"/>
        </w:rPr>
        <w:t xml:space="preserve">à </w:t>
      </w:r>
      <w:r>
        <w:rPr>
          <w:rFonts w:ascii="Book Antiqua"/>
          <w:rtl w:val="0"/>
          <w:lang w:val="it-IT"/>
        </w:rPr>
        <w:t xml:space="preserve">nella raccolta e nella gestione dei rifiuti, per assenza di possibile destinazione dei rifiuti raccolti. </w:t>
      </w:r>
    </w:p>
    <w:p>
      <w:pPr>
        <w:pStyle w:val="Normal"/>
        <w:ind w:left="567" w:right="567" w:firstLine="0"/>
        <w:jc w:val="both"/>
        <w:rPr>
          <w:rFonts w:ascii="Book Antiqua" w:cs="Book Antiqua" w:hAnsi="Book Antiqua" w:eastAsia="Book Antiqua"/>
        </w:rPr>
      </w:pPr>
      <w:r>
        <w:rPr>
          <w:rFonts w:ascii="Book Antiqua"/>
          <w:rtl w:val="0"/>
          <w:lang w:val="it-IT"/>
        </w:rPr>
        <w:t>Un pericolo sfiorato ad inizi dell</w:t>
      </w:r>
      <w:r>
        <w:rPr>
          <w:rFonts w:hAnsi="Book Antiqua" w:hint="default"/>
          <w:rtl w:val="0"/>
          <w:lang w:val="it-IT"/>
        </w:rPr>
        <w:t>’</w:t>
      </w:r>
      <w:r>
        <w:rPr>
          <w:rFonts w:ascii="Book Antiqua"/>
          <w:rtl w:val="0"/>
          <w:lang w:val="it-IT"/>
        </w:rPr>
        <w:t xml:space="preserve">aprile del 2017. </w:t>
      </w:r>
    </w:p>
    <w:p>
      <w:pPr>
        <w:pStyle w:val="Normal"/>
        <w:ind w:left="567" w:right="567" w:firstLine="0"/>
        <w:jc w:val="both"/>
        <w:rPr>
          <w:rFonts w:ascii="Book Antiqua" w:cs="Book Antiqua" w:hAnsi="Book Antiqua" w:eastAsia="Book Antiqua"/>
        </w:rPr>
      </w:pPr>
      <w:r>
        <w:rPr>
          <w:rFonts w:ascii="Book Antiqua"/>
          <w:rtl w:val="0"/>
          <w:lang w:val="it-IT"/>
        </w:rPr>
        <w:t>Facciamo un passo indietro. In data 24 gennaio 2014</w:t>
      </w:r>
      <w:r>
        <w:rPr>
          <w:rFonts w:ascii="Book Antiqua" w:cs="Book Antiqua" w:hAnsi="Book Antiqua" w:eastAsia="Book Antiqua"/>
          <w:vertAlign w:val="superscript"/>
          <w:rtl w:val="0"/>
        </w:rPr>
        <w:footnoteReference w:id="27"/>
      </w:r>
      <w:r>
        <w:rPr>
          <w:rFonts w:ascii="Book Antiqua"/>
          <w:rtl w:val="0"/>
          <w:lang w:val="it-IT"/>
        </w:rPr>
        <w:t xml:space="preserve"> era stato adottato nei confronti del Co.La.Ri, Consorzio Laziale Rifiuti, nonch</w:t>
      </w:r>
      <w:r>
        <w:rPr>
          <w:rFonts w:hAnsi="Book Antiqua" w:hint="default"/>
          <w:rtl w:val="0"/>
          <w:lang w:val="it-IT"/>
        </w:rPr>
        <w:t xml:space="preserve">é </w:t>
      </w:r>
      <w:r>
        <w:rPr>
          <w:rFonts w:ascii="Book Antiqua"/>
          <w:rtl w:val="0"/>
          <w:lang w:val="it-IT"/>
        </w:rPr>
        <w:t>delle societ</w:t>
      </w:r>
      <w:r>
        <w:rPr>
          <w:rFonts w:hAnsi="Book Antiqua" w:hint="default"/>
          <w:rtl w:val="0"/>
          <w:lang w:val="it-IT"/>
        </w:rPr>
        <w:t xml:space="preserve">à </w:t>
      </w:r>
      <w:r>
        <w:rPr>
          <w:rFonts w:ascii="Book Antiqua"/>
          <w:rtl w:val="0"/>
          <w:lang w:val="it-IT"/>
        </w:rPr>
        <w:t>E. Giovi S.r.l., P. Giovi S.r.l. e Officine Malagrotta S.r.l., facenti parte dello stesso, il provvedimento interdittivo antimafia n. 16519, ai sensi dell</w:t>
      </w:r>
      <w:r>
        <w:rPr>
          <w:rFonts w:hAnsi="Book Antiqua" w:hint="default"/>
          <w:rtl w:val="0"/>
          <w:lang w:val="it-IT"/>
        </w:rPr>
        <w:t>’</w:t>
      </w:r>
      <w:r>
        <w:rPr>
          <w:rFonts w:ascii="Book Antiqua"/>
          <w:rtl w:val="0"/>
          <w:lang w:val="it-IT"/>
        </w:rPr>
        <w:t xml:space="preserve">articolo 91 del decreto legislativo n. 159 del 2011, a seguito delle richieste da parte di alcune stazioni appaltanti. Dalle informazioni acquisite dagli organi di polizia era emerso che, nell'ambito del procedimento penale n. 7449/2008, in data 2 gennaio 2014, il giudice per le indagini preliminari presso il tribunale di Roma aveva emesso ordinanza applicativa di misure cautelari personali e decreto di sequestro preventivo, nei confronti di: Manlio Cerroni, Piero Giovi e Francesco Rando. </w:t>
      </w:r>
    </w:p>
    <w:p>
      <w:pPr>
        <w:pStyle w:val="Normal"/>
        <w:ind w:left="567" w:right="567" w:firstLine="0"/>
        <w:jc w:val="both"/>
        <w:rPr>
          <w:rFonts w:ascii="Book Antiqua" w:cs="Book Antiqua" w:hAnsi="Book Antiqua" w:eastAsia="Book Antiqua"/>
        </w:rPr>
      </w:pPr>
      <w:r>
        <w:rPr>
          <w:rFonts w:ascii="Book Antiqua"/>
          <w:rtl w:val="0"/>
          <w:lang w:val="it-IT"/>
        </w:rPr>
        <w:t xml:space="preserve">Con l'ordinanza sopracitata il tribunale di Roma aveva applicato la misura cautelare degli arresti domiciliari nei confronti dei soggetti suindicati: </w:t>
      </w:r>
    </w:p>
    <w:p>
      <w:pPr>
        <w:pStyle w:val="Normal"/>
        <w:ind w:left="567" w:right="567" w:firstLine="0"/>
        <w:jc w:val="both"/>
        <w:rPr>
          <w:rFonts w:ascii="Book Antiqua" w:cs="Book Antiqua" w:hAnsi="Book Antiqua" w:eastAsia="Book Antiqua"/>
        </w:rPr>
      </w:pPr>
      <w:r>
        <w:rPr>
          <w:rFonts w:ascii="Book Antiqua"/>
          <w:rtl w:val="0"/>
          <w:lang w:val="it-IT"/>
        </w:rPr>
        <w:t>in ordine al delitto di cui all'articolo 416 del codice penale per essersi tra di loro associati, il Cerroni in qualit</w:t>
      </w:r>
      <w:r>
        <w:rPr>
          <w:rFonts w:hAnsi="Book Antiqua" w:hint="default"/>
          <w:rtl w:val="0"/>
          <w:lang w:val="it-IT"/>
        </w:rPr>
        <w:t xml:space="preserve">à </w:t>
      </w:r>
      <w:r>
        <w:rPr>
          <w:rFonts w:ascii="Book Antiqua"/>
          <w:rtl w:val="0"/>
          <w:lang w:val="it-IT"/>
        </w:rPr>
        <w:t>di promotore, gli altri in qualit</w:t>
      </w:r>
      <w:r>
        <w:rPr>
          <w:rFonts w:hAnsi="Book Antiqua" w:hint="default"/>
          <w:rtl w:val="0"/>
          <w:lang w:val="it-IT"/>
        </w:rPr>
        <w:t xml:space="preserve">à </w:t>
      </w:r>
      <w:r>
        <w:rPr>
          <w:rFonts w:ascii="Book Antiqua"/>
          <w:rtl w:val="0"/>
          <w:lang w:val="it-IT"/>
        </w:rPr>
        <w:t>di compartecipi, al fine di commettere una serie indeterminata di reati di abuso d'ufficio, falso in atto pubblico, traffico di rifiuti, truffa aggravata, frode nelle pubbliche forniture, gestione illecita di rifiuti e comunque atti o attivit</w:t>
      </w:r>
      <w:r>
        <w:rPr>
          <w:rFonts w:hAnsi="Book Antiqua" w:hint="default"/>
          <w:rtl w:val="0"/>
          <w:lang w:val="it-IT"/>
        </w:rPr>
        <w:t xml:space="preserve">à </w:t>
      </w:r>
      <w:r>
        <w:rPr>
          <w:rFonts w:ascii="Book Antiqua"/>
          <w:rtl w:val="0"/>
          <w:lang w:val="it-IT"/>
        </w:rPr>
        <w:t xml:space="preserve">illeciti necessari a consentire il mantenimento o l'ampliamento della posizione di sostanziale monopolio del Cerroni Manlio e delle sue aziende nel settore della gestione dei rifiuti solidi urbani prodotti dai comuni insistenti all'interno della regione Lazio; </w:t>
      </w:r>
    </w:p>
    <w:p>
      <w:pPr>
        <w:pStyle w:val="Normal"/>
        <w:ind w:left="567" w:right="567" w:firstLine="0"/>
        <w:jc w:val="both"/>
        <w:rPr>
          <w:rFonts w:ascii="Book Antiqua" w:cs="Book Antiqua" w:hAnsi="Book Antiqua" w:eastAsia="Book Antiqua"/>
        </w:rPr>
      </w:pPr>
      <w:r>
        <w:rPr>
          <w:rFonts w:ascii="Book Antiqua"/>
          <w:rtl w:val="0"/>
          <w:lang w:val="it-IT"/>
        </w:rPr>
        <w:t>in ordine al delitto di cui agli articoli 110 del codice penale, 81 capoverso del codice penale, 260 del decreto legislativo n. 152 del 2006 perch</w:t>
      </w:r>
      <w:r>
        <w:rPr>
          <w:rFonts w:hAnsi="Book Antiqua" w:hint="default"/>
          <w:rtl w:val="0"/>
          <w:lang w:val="it-IT"/>
        </w:rPr>
        <w:t xml:space="preserve">é </w:t>
      </w:r>
      <w:r>
        <w:rPr>
          <w:rFonts w:ascii="Book Antiqua"/>
          <w:rtl w:val="0"/>
          <w:lang w:val="it-IT"/>
        </w:rPr>
        <w:t>anche in tempi diversi ed in concorso tra loro, nelle qualifiche di cui sopra, al fine di conseguire un ingiusto profitto, con pi</w:t>
      </w:r>
      <w:r>
        <w:rPr>
          <w:rFonts w:hAnsi="Book Antiqua" w:hint="default"/>
          <w:rtl w:val="0"/>
          <w:lang w:val="it-IT"/>
        </w:rPr>
        <w:t xml:space="preserve">ù </w:t>
      </w:r>
      <w:r>
        <w:rPr>
          <w:rFonts w:ascii="Book Antiqua"/>
          <w:rtl w:val="0"/>
          <w:lang w:val="it-IT"/>
        </w:rPr>
        <w:t>operazioni e attraverso l'allestimento di mezzi e attivit</w:t>
      </w:r>
      <w:r>
        <w:rPr>
          <w:rFonts w:hAnsi="Book Antiqua" w:hint="default"/>
          <w:rtl w:val="0"/>
          <w:lang w:val="it-IT"/>
        </w:rPr>
        <w:t xml:space="preserve">à </w:t>
      </w:r>
      <w:r>
        <w:rPr>
          <w:rFonts w:ascii="Book Antiqua"/>
          <w:rtl w:val="0"/>
          <w:lang w:val="it-IT"/>
        </w:rPr>
        <w:t xml:space="preserve">continuative organizzate, gestivano abusivamente ingenti quantitativi di rifiuti. </w:t>
      </w:r>
    </w:p>
    <w:p>
      <w:pPr>
        <w:pStyle w:val="Normal"/>
        <w:ind w:left="567" w:right="567" w:firstLine="0"/>
        <w:jc w:val="both"/>
        <w:rPr>
          <w:rFonts w:ascii="Book Antiqua" w:cs="Book Antiqua" w:hAnsi="Book Antiqua" w:eastAsia="Book Antiqua"/>
        </w:rPr>
      </w:pPr>
      <w:r>
        <w:rPr>
          <w:rFonts w:ascii="Book Antiqua"/>
          <w:rtl w:val="0"/>
          <w:lang w:val="it-IT"/>
        </w:rPr>
        <w:t>Con il medesimo provvedimento, era stato altres</w:t>
      </w:r>
      <w:r>
        <w:rPr>
          <w:rFonts w:hAnsi="Book Antiqua" w:hint="default"/>
          <w:rtl w:val="0"/>
          <w:lang w:val="it-IT"/>
        </w:rPr>
        <w:t xml:space="preserve">ì </w:t>
      </w:r>
      <w:r>
        <w:rPr>
          <w:rFonts w:ascii="Book Antiqua"/>
          <w:rtl w:val="0"/>
          <w:lang w:val="it-IT"/>
        </w:rPr>
        <w:t>disposto il sequestro della somma di euro 7.990.013,33 nei confronti della E. Giovi S.r.l. e della somma di euro 10.900.910 nei confronti delia Pontina Ambiente S.r.l., societ</w:t>
      </w:r>
      <w:r>
        <w:rPr>
          <w:rFonts w:hAnsi="Book Antiqua" w:hint="default"/>
          <w:rtl w:val="0"/>
          <w:lang w:val="it-IT"/>
        </w:rPr>
        <w:t xml:space="preserve">à </w:t>
      </w:r>
      <w:r>
        <w:rPr>
          <w:rFonts w:ascii="Book Antiqua"/>
          <w:rtl w:val="0"/>
          <w:lang w:val="it-IT"/>
        </w:rPr>
        <w:t xml:space="preserve">nell'interesse e a vantaggio delle quali era rivolta la commissione dei predetti reati, da persona che rivestiva al momento del fatto funzioni di rappresentanza, essendo Rando Francesco amministratore unico della E. Giovi S.r.l. e della Pontina Ambiente S.r.l., nei cui confronti, peraltro, in data 13 marzo 2014 </w:t>
      </w:r>
      <w:r>
        <w:rPr>
          <w:rFonts w:hAnsi="Book Antiqua" w:hint="default"/>
          <w:rtl w:val="0"/>
          <w:lang w:val="it-IT"/>
        </w:rPr>
        <w:t xml:space="preserve">è </w:t>
      </w:r>
      <w:r>
        <w:rPr>
          <w:rFonts w:ascii="Book Antiqua"/>
          <w:rtl w:val="0"/>
          <w:lang w:val="it-IT"/>
        </w:rPr>
        <w:t xml:space="preserve">stato adottato un provvedimento interdittivo antimafia ai sensi dell'articolo 91 del decreto legislativo n. 159 del 2011. </w:t>
      </w:r>
    </w:p>
    <w:p>
      <w:pPr>
        <w:pStyle w:val="Normal"/>
        <w:ind w:left="567" w:right="567" w:firstLine="0"/>
        <w:jc w:val="both"/>
        <w:rPr>
          <w:rFonts w:ascii="Book Antiqua" w:cs="Book Antiqua" w:hAnsi="Book Antiqua" w:eastAsia="Book Antiqua"/>
        </w:rPr>
      </w:pPr>
      <w:r>
        <w:rPr>
          <w:rFonts w:ascii="Book Antiqua"/>
          <w:rtl w:val="0"/>
          <w:lang w:val="it-IT"/>
        </w:rPr>
        <w:t>Con sentenza n. 7571, depositata il 15 luglio 2014, il TAR Lazio, sez. I-ter, accoglieva il ricorso proposto dal Co.La.Ri Consorzio Laziale Rifiuti ed annullava l'informazione interdittiva emessa dalla prefettura il 27 gennaio 2014, sull'assunto che l'informativa fosse fondata sul semplice riferimento al reato di attivit</w:t>
      </w:r>
      <w:r>
        <w:rPr>
          <w:rFonts w:hAnsi="Book Antiqua" w:hint="default"/>
          <w:rtl w:val="0"/>
          <w:lang w:val="it-IT"/>
        </w:rPr>
        <w:t xml:space="preserve">à </w:t>
      </w:r>
      <w:r>
        <w:rPr>
          <w:rFonts w:ascii="Book Antiqua"/>
          <w:rtl w:val="0"/>
          <w:lang w:val="it-IT"/>
        </w:rPr>
        <w:t>organizzata per il traffico illecito di rifiuti di cui all'articolo 260 del decreto legislativo n. 152 del 2006, reato tipico ai fini ostativi, "senza verificare se la fattispecie di reato costituisse o meno indice di rischio di infiltrazione da parte della criminalit</w:t>
      </w:r>
      <w:r>
        <w:rPr>
          <w:rFonts w:hAnsi="Book Antiqua" w:hint="default"/>
          <w:rtl w:val="0"/>
          <w:lang w:val="it-IT"/>
        </w:rPr>
        <w:t xml:space="preserve">à </w:t>
      </w:r>
      <w:r>
        <w:rPr>
          <w:rFonts w:ascii="Book Antiqua"/>
          <w:rtl w:val="0"/>
          <w:lang w:val="it-IT"/>
        </w:rPr>
        <w:t>di stampo mafioso</w:t>
      </w:r>
      <w:r>
        <w:rPr>
          <w:rFonts w:hAnsi="Book Antiqua" w:hint="default"/>
          <w:rtl w:val="0"/>
          <w:lang w:val="it-IT"/>
        </w:rPr>
        <w:t>”</w:t>
      </w:r>
      <w:r>
        <w:rPr>
          <w:rFonts w:ascii="Book Antiqua"/>
          <w:rtl w:val="0"/>
          <w:lang w:val="it-IT"/>
        </w:rPr>
        <w:t xml:space="preserve">. </w:t>
      </w:r>
    </w:p>
    <w:p>
      <w:pPr>
        <w:pStyle w:val="Normal"/>
        <w:ind w:left="567" w:right="567" w:firstLine="0"/>
        <w:jc w:val="both"/>
        <w:rPr>
          <w:rFonts w:ascii="Book Antiqua" w:cs="Book Antiqua" w:hAnsi="Book Antiqua" w:eastAsia="Book Antiqua"/>
        </w:rPr>
      </w:pPr>
      <w:r>
        <w:rPr>
          <w:rFonts w:ascii="Book Antiqua"/>
          <w:rtl w:val="0"/>
          <w:lang w:val="it-IT"/>
        </w:rPr>
        <w:t>Sullo stesso assunto, il TAR Lazio, sez. I-ter, con sentenza n. 8069/2014, depositata il 23 luglio 2014, accoglieva il ricorso proposto dalle societ</w:t>
      </w:r>
      <w:r>
        <w:rPr>
          <w:rFonts w:hAnsi="Book Antiqua" w:hint="default"/>
          <w:rtl w:val="0"/>
          <w:lang w:val="it-IT"/>
        </w:rPr>
        <w:t xml:space="preserve">à </w:t>
      </w:r>
      <w:r>
        <w:rPr>
          <w:rFonts w:ascii="Book Antiqua"/>
          <w:rtl w:val="0"/>
          <w:lang w:val="it-IT"/>
        </w:rPr>
        <w:t xml:space="preserve">E. Giovi S.r.l., P. Giovi S.r.l e Officine Malagrotta S.r.l. </w:t>
      </w:r>
    </w:p>
    <w:p>
      <w:pPr>
        <w:pStyle w:val="Normal"/>
        <w:ind w:left="567" w:right="567" w:firstLine="0"/>
        <w:jc w:val="both"/>
        <w:rPr>
          <w:rFonts w:ascii="Book Antiqua" w:cs="Book Antiqua" w:hAnsi="Book Antiqua" w:eastAsia="Book Antiqua"/>
        </w:rPr>
      </w:pPr>
      <w:r>
        <w:rPr>
          <w:rFonts w:ascii="Book Antiqua"/>
          <w:rtl w:val="0"/>
          <w:lang w:val="it-IT"/>
        </w:rPr>
        <w:t>Successivamente tuttavia il Consiglio di Stato in data 23 febbraio 2017, con sentenza n. 1315/2017, depositata il 22 marzo 2017, ha accolto l'appello proposto dal Ministero dell</w:t>
      </w:r>
      <w:r>
        <w:rPr>
          <w:rFonts w:hAnsi="Book Antiqua" w:hint="default"/>
          <w:rtl w:val="0"/>
          <w:lang w:val="it-IT"/>
        </w:rPr>
        <w:t>’</w:t>
      </w:r>
      <w:r>
        <w:rPr>
          <w:rFonts w:ascii="Book Antiqua"/>
          <w:rtl w:val="0"/>
          <w:lang w:val="it-IT"/>
        </w:rPr>
        <w:t>interno e dalla prefettura per la riforma della sentenza del TAR Lazio relativa al Co.La.Ri. e con sentenza n. 982/2017 ha accolto l'appello avverso le societ</w:t>
      </w:r>
      <w:r>
        <w:rPr>
          <w:rFonts w:hAnsi="Book Antiqua" w:hint="default"/>
          <w:rtl w:val="0"/>
          <w:lang w:val="it-IT"/>
        </w:rPr>
        <w:t xml:space="preserve">à </w:t>
      </w:r>
      <w:r>
        <w:rPr>
          <w:rFonts w:ascii="Book Antiqua"/>
          <w:rtl w:val="0"/>
          <w:lang w:val="it-IT"/>
        </w:rPr>
        <w:t>E. Giovi S.r.l., P. Giovi S.r.l e Officine Malagrotta S.r.l., ritenendo, tra l'altro, che "il reato di attivit</w:t>
      </w:r>
      <w:r>
        <w:rPr>
          <w:rFonts w:hAnsi="Book Antiqua" w:hint="default"/>
          <w:rtl w:val="0"/>
          <w:lang w:val="it-IT"/>
        </w:rPr>
        <w:t xml:space="preserve">à </w:t>
      </w:r>
      <w:r>
        <w:rPr>
          <w:rFonts w:ascii="Book Antiqua"/>
          <w:rtl w:val="0"/>
          <w:lang w:val="it-IT"/>
        </w:rPr>
        <w:t>organizzata per il traffico illecito di rifiuti costituisce elemento in s</w:t>
      </w:r>
      <w:r>
        <w:rPr>
          <w:rFonts w:hAnsi="Book Antiqua" w:hint="default"/>
          <w:rtl w:val="0"/>
          <w:lang w:val="it-IT"/>
        </w:rPr>
        <w:t>é</w:t>
      </w:r>
      <w:r>
        <w:rPr>
          <w:rFonts w:ascii="Book Antiqua"/>
          <w:rtl w:val="0"/>
          <w:lang w:val="it-IT"/>
        </w:rPr>
        <w:t xml:space="preserve"> bastevole a giustificare l'emissione dell'informativa antimafia".  </w:t>
      </w:r>
    </w:p>
    <w:p>
      <w:pPr>
        <w:pStyle w:val="Normal"/>
        <w:ind w:left="567" w:right="567" w:firstLine="0"/>
        <w:jc w:val="both"/>
        <w:rPr>
          <w:rFonts w:ascii="Book Antiqua" w:cs="Book Antiqua" w:hAnsi="Book Antiqua" w:eastAsia="Book Antiqua"/>
        </w:rPr>
      </w:pPr>
      <w:r>
        <w:rPr>
          <w:rFonts w:ascii="Book Antiqua"/>
          <w:rtl w:val="0"/>
          <w:lang w:val="it-IT"/>
        </w:rPr>
        <w:t>Sono stati, pertanto, ripristinati senza soluzione di continuit</w:t>
      </w:r>
      <w:r>
        <w:rPr>
          <w:rFonts w:hAnsi="Book Antiqua" w:hint="default"/>
          <w:rtl w:val="0"/>
          <w:lang w:val="it-IT"/>
        </w:rPr>
        <w:t xml:space="preserve">à </w:t>
      </w:r>
      <w:r>
        <w:rPr>
          <w:rFonts w:ascii="Book Antiqua"/>
          <w:rtl w:val="0"/>
          <w:lang w:val="it-IT"/>
        </w:rPr>
        <w:t xml:space="preserve">gli effetti dell'informazione interdittiva antimafia del 24 gennaio 2014. </w:t>
      </w:r>
    </w:p>
    <w:p>
      <w:pPr>
        <w:pStyle w:val="Normal"/>
        <w:ind w:left="567" w:right="567" w:firstLine="0"/>
        <w:jc w:val="both"/>
        <w:rPr>
          <w:rFonts w:ascii="Book Antiqua" w:cs="Book Antiqua" w:hAnsi="Book Antiqua" w:eastAsia="Book Antiqua"/>
        </w:rPr>
      </w:pPr>
      <w:r>
        <w:rPr>
          <w:rFonts w:ascii="Book Antiqua"/>
          <w:rtl w:val="0"/>
          <w:lang w:val="it-IT"/>
        </w:rPr>
        <w:t>L</w:t>
      </w:r>
      <w:r>
        <w:rPr>
          <w:rFonts w:hAnsi="Book Antiqua" w:hint="default"/>
          <w:rtl w:val="0"/>
          <w:lang w:val="it-IT"/>
        </w:rPr>
        <w:t>’</w:t>
      </w:r>
      <w:r>
        <w:rPr>
          <w:rFonts w:ascii="Book Antiqua"/>
          <w:rtl w:val="0"/>
          <w:lang w:val="it-IT"/>
        </w:rPr>
        <w:t>interdittiva antimafia riammessa dal Consiglio di Stato rischiava di far saltare quasi completamente il ciclo dei rifiuti a Roma poich</w:t>
      </w:r>
      <w:r>
        <w:rPr>
          <w:rFonts w:hAnsi="Book Antiqua" w:hint="default"/>
          <w:rtl w:val="0"/>
          <w:lang w:val="it-IT"/>
        </w:rPr>
        <w:t>é</w:t>
      </w:r>
      <w:r>
        <w:rPr>
          <w:rFonts w:ascii="Book Antiqua"/>
          <w:rtl w:val="0"/>
          <w:lang w:val="it-IT"/>
        </w:rPr>
        <w:t>, come detto pi</w:t>
      </w:r>
      <w:r>
        <w:rPr>
          <w:rFonts w:hAnsi="Book Antiqua" w:hint="default"/>
          <w:rtl w:val="0"/>
          <w:lang w:val="it-IT"/>
        </w:rPr>
        <w:t xml:space="preserve">ù </w:t>
      </w:r>
      <w:r>
        <w:rPr>
          <w:rFonts w:ascii="Book Antiqua"/>
          <w:rtl w:val="0"/>
          <w:lang w:val="it-IT"/>
        </w:rPr>
        <w:t>volte, due dei quattro impianti di trattamento meccanico biologico erano riconducibili alle societ</w:t>
      </w:r>
      <w:r>
        <w:rPr>
          <w:rFonts w:hAnsi="Book Antiqua" w:hint="default"/>
          <w:rtl w:val="0"/>
          <w:lang w:val="it-IT"/>
        </w:rPr>
        <w:t xml:space="preserve">à </w:t>
      </w:r>
      <w:r>
        <w:rPr>
          <w:rFonts w:ascii="Book Antiqua"/>
          <w:rtl w:val="0"/>
          <w:lang w:val="it-IT"/>
        </w:rPr>
        <w:t>di Manlio Cerroni. Per fronteggiare questa imminente emergenza vennero firmati due diversi provvedimenti:</w:t>
      </w:r>
    </w:p>
    <w:p>
      <w:pPr>
        <w:pStyle w:val="Normal"/>
        <w:ind w:left="567" w:right="567" w:firstLine="0"/>
        <w:jc w:val="both"/>
        <w:rPr>
          <w:rFonts w:ascii="Book Antiqua" w:cs="Book Antiqua" w:hAnsi="Book Antiqua" w:eastAsia="Book Antiqua"/>
        </w:rPr>
      </w:pPr>
      <w:r>
        <w:rPr>
          <w:rFonts w:ascii="Book Antiqua"/>
          <w:rtl w:val="0"/>
          <w:lang w:val="it-IT"/>
        </w:rPr>
        <w:t>a) un</w:t>
      </w:r>
      <w:r>
        <w:rPr>
          <w:rFonts w:hAnsi="Book Antiqua" w:hint="default"/>
          <w:rtl w:val="0"/>
          <w:lang w:val="it-IT"/>
        </w:rPr>
        <w:t>’</w:t>
      </w:r>
      <w:r>
        <w:rPr>
          <w:rFonts w:ascii="Book Antiqua"/>
          <w:rtl w:val="0"/>
          <w:lang w:val="it-IT"/>
        </w:rPr>
        <w:t>ordinanza contigibile e urgente, sottoscritta dal sindaco di Roma il 6 aprile 2017 che disponeva:</w:t>
      </w:r>
    </w:p>
    <w:p>
      <w:pPr>
        <w:pStyle w:val="Normal"/>
        <w:ind w:left="567" w:right="567" w:firstLine="0"/>
        <w:jc w:val="both"/>
        <w:rPr>
          <w:rFonts w:ascii="Book Antiqua" w:cs="Book Antiqua" w:hAnsi="Book Antiqua" w:eastAsia="Book Antiqua"/>
        </w:rPr>
      </w:pPr>
      <w:r>
        <w:rPr>
          <w:rFonts w:ascii="Book Antiqua"/>
          <w:rtl w:val="0"/>
          <w:lang w:val="it-IT"/>
        </w:rPr>
        <w:t>1. che la Societ</w:t>
      </w:r>
      <w:r>
        <w:rPr>
          <w:rFonts w:hAnsi="Book Antiqua" w:hint="default"/>
          <w:rtl w:val="0"/>
          <w:lang w:val="it-IT"/>
        </w:rPr>
        <w:t xml:space="preserve">à </w:t>
      </w:r>
      <w:r>
        <w:rPr>
          <w:rFonts w:ascii="Book Antiqua"/>
          <w:rtl w:val="0"/>
          <w:lang w:val="it-IT"/>
        </w:rPr>
        <w:t>AMA S.p.A. continuasse a conferire i rifiuti urbani raccolti nella citt</w:t>
      </w:r>
      <w:r>
        <w:rPr>
          <w:rFonts w:hAnsi="Book Antiqua" w:hint="default"/>
          <w:rtl w:val="0"/>
          <w:lang w:val="it-IT"/>
        </w:rPr>
        <w:t xml:space="preserve">à </w:t>
      </w:r>
      <w:r>
        <w:rPr>
          <w:rFonts w:ascii="Book Antiqua"/>
          <w:rtl w:val="0"/>
          <w:lang w:val="it-IT"/>
        </w:rPr>
        <w:t xml:space="preserve">di Roma, in applicazione del contratto di servizio in essere con Roma Capitale, anche presso i due impianti TMB denominati "Malagrotta 1" e "Malagrotta 2"; </w:t>
      </w:r>
    </w:p>
    <w:p>
      <w:pPr>
        <w:pStyle w:val="Normal"/>
        <w:ind w:left="567" w:right="567" w:firstLine="0"/>
        <w:jc w:val="both"/>
        <w:rPr>
          <w:rFonts w:ascii="Book Antiqua" w:cs="Book Antiqua" w:hAnsi="Book Antiqua" w:eastAsia="Book Antiqua"/>
        </w:rPr>
      </w:pPr>
      <w:r>
        <w:rPr>
          <w:rFonts w:ascii="Book Antiqua"/>
          <w:rtl w:val="0"/>
          <w:lang w:val="it-IT"/>
        </w:rPr>
        <w:t>2. che il consorzio Co.La.Ri. e la Societ</w:t>
      </w:r>
      <w:r>
        <w:rPr>
          <w:rFonts w:hAnsi="Book Antiqua" w:hint="default"/>
          <w:rtl w:val="0"/>
          <w:lang w:val="it-IT"/>
        </w:rPr>
        <w:t xml:space="preserve">à </w:t>
      </w:r>
      <w:r>
        <w:rPr>
          <w:rFonts w:ascii="Book Antiqua"/>
          <w:rtl w:val="0"/>
          <w:lang w:val="it-IT"/>
        </w:rPr>
        <w:t>E. Giovi S.r.l., assicurassero la piena operativit</w:t>
      </w:r>
      <w:r>
        <w:rPr>
          <w:rFonts w:hAnsi="Book Antiqua" w:hint="default"/>
          <w:rtl w:val="0"/>
          <w:lang w:val="it-IT"/>
        </w:rPr>
        <w:t xml:space="preserve">à </w:t>
      </w:r>
      <w:r>
        <w:rPr>
          <w:rFonts w:ascii="Book Antiqua"/>
          <w:rtl w:val="0"/>
          <w:lang w:val="it-IT"/>
        </w:rPr>
        <w:t>dei citati impianti TMB denominati "Malagrotta 1" e "Malagrotta 2" e la conseguente accettazione delle quantit</w:t>
      </w:r>
      <w:r>
        <w:rPr>
          <w:rFonts w:hAnsi="Book Antiqua" w:hint="default"/>
          <w:rtl w:val="0"/>
          <w:lang w:val="it-IT"/>
        </w:rPr>
        <w:t xml:space="preserve">à </w:t>
      </w:r>
      <w:r>
        <w:rPr>
          <w:rFonts w:ascii="Book Antiqua"/>
          <w:rtl w:val="0"/>
          <w:lang w:val="it-IT"/>
        </w:rPr>
        <w:t>di rifiuti conferite da AMA S.p.A., fino, ove richiesto, alla massima capacit</w:t>
      </w:r>
      <w:r>
        <w:rPr>
          <w:rFonts w:hAnsi="Book Antiqua" w:hint="default"/>
          <w:rtl w:val="0"/>
          <w:lang w:val="it-IT"/>
        </w:rPr>
        <w:t xml:space="preserve">à </w:t>
      </w:r>
      <w:r>
        <w:rPr>
          <w:rFonts w:ascii="Book Antiqua"/>
          <w:rtl w:val="0"/>
          <w:lang w:val="it-IT"/>
        </w:rPr>
        <w:t xml:space="preserve">ricettiva degli impianti autorizzati dalla regione Lazio. </w:t>
      </w:r>
    </w:p>
    <w:p>
      <w:pPr>
        <w:pStyle w:val="Normal"/>
        <w:ind w:left="567" w:right="567" w:firstLine="0"/>
        <w:jc w:val="both"/>
        <w:rPr>
          <w:rFonts w:ascii="Book Antiqua" w:cs="Book Antiqua" w:hAnsi="Book Antiqua" w:eastAsia="Book Antiqua"/>
        </w:rPr>
      </w:pPr>
      <w:r>
        <w:rPr>
          <w:rFonts w:ascii="Book Antiqua"/>
          <w:rtl w:val="0"/>
          <w:lang w:val="it-IT"/>
        </w:rPr>
        <w:t>Gli effetti del provvedimento, in coerenza con la sua natura contingibile e urgente, avrebbero dovuto limitarsi al tempo strettamente necessario all'individuazione delle pi</w:t>
      </w:r>
      <w:r>
        <w:rPr>
          <w:rFonts w:hAnsi="Book Antiqua" w:hint="default"/>
          <w:rtl w:val="0"/>
          <w:lang w:val="it-IT"/>
        </w:rPr>
        <w:t xml:space="preserve">ù </w:t>
      </w:r>
      <w:r>
        <w:rPr>
          <w:rFonts w:ascii="Book Antiqua"/>
          <w:rtl w:val="0"/>
          <w:lang w:val="it-IT"/>
        </w:rPr>
        <w:t>opportune soluzioni da parte degli Enti competenti, idonee al superamento delle criticit</w:t>
      </w:r>
      <w:r>
        <w:rPr>
          <w:rFonts w:hAnsi="Book Antiqua" w:hint="default"/>
          <w:rtl w:val="0"/>
          <w:lang w:val="it-IT"/>
        </w:rPr>
        <w:t xml:space="preserve">à </w:t>
      </w:r>
      <w:r>
        <w:rPr>
          <w:rFonts w:ascii="Book Antiqua"/>
          <w:rtl w:val="0"/>
          <w:lang w:val="it-IT"/>
        </w:rPr>
        <w:t>in essere e, comunque, ad un periodo non superiore a 180 giorni;</w:t>
      </w:r>
    </w:p>
    <w:p>
      <w:pPr>
        <w:pStyle w:val="Normal"/>
        <w:ind w:left="567" w:right="567" w:firstLine="0"/>
        <w:jc w:val="both"/>
        <w:rPr>
          <w:rFonts w:ascii="Book Antiqua" w:cs="Book Antiqua" w:hAnsi="Book Antiqua" w:eastAsia="Book Antiqua"/>
        </w:rPr>
      </w:pPr>
      <w:r>
        <w:rPr>
          <w:rFonts w:ascii="Book Antiqua"/>
          <w:rtl w:val="0"/>
          <w:lang w:val="it-IT"/>
        </w:rPr>
        <w:t>Il provvedimento veniva dichiarato immediatamente esecutivo, reso pubblico mediante affissione all'albo pretorio capitolino e notificato, a termini di legge, al Ministero dell</w:t>
      </w:r>
      <w:r>
        <w:rPr>
          <w:rFonts w:hAnsi="Book Antiqua" w:hint="default"/>
          <w:rtl w:val="0"/>
          <w:lang w:val="it-IT"/>
        </w:rPr>
        <w:t>’</w:t>
      </w:r>
      <w:r>
        <w:rPr>
          <w:rFonts w:ascii="Book Antiqua"/>
          <w:rtl w:val="0"/>
          <w:lang w:val="it-IT"/>
        </w:rPr>
        <w:t>ambiente, al Ministero della salute, alla prefettura di Roma, alla procura della Repubblica presso il tribunale Ordinario di Roma, alla regione Lazio, alla Citt</w:t>
      </w:r>
      <w:r>
        <w:rPr>
          <w:rFonts w:hAnsi="Book Antiqua" w:hint="default"/>
          <w:rtl w:val="0"/>
          <w:lang w:val="it-IT"/>
        </w:rPr>
        <w:t xml:space="preserve">à </w:t>
      </w:r>
      <w:r>
        <w:rPr>
          <w:rFonts w:ascii="Book Antiqua"/>
          <w:rtl w:val="0"/>
          <w:lang w:val="it-IT"/>
        </w:rPr>
        <w:t>metropolitana di Roma Capitale, all'AMA S.p.A. e al consorzio Co.La.Ri..</w:t>
      </w:r>
    </w:p>
    <w:p>
      <w:pPr>
        <w:pStyle w:val="Normal"/>
        <w:ind w:left="567" w:right="567" w:firstLine="0"/>
        <w:jc w:val="both"/>
        <w:rPr>
          <w:rFonts w:ascii="Book Antiqua" w:cs="Book Antiqua" w:hAnsi="Book Antiqua" w:eastAsia="Book Antiqua"/>
        </w:rPr>
      </w:pPr>
      <w:r>
        <w:rPr>
          <w:rFonts w:ascii="Book Antiqua"/>
          <w:rtl w:val="0"/>
          <w:lang w:val="it-IT"/>
        </w:rPr>
        <w:t>b) un decreto</w:t>
      </w:r>
      <w:r>
        <w:rPr>
          <w:rFonts w:ascii="Book Antiqua" w:cs="Book Antiqua" w:hAnsi="Book Antiqua" w:eastAsia="Book Antiqua"/>
          <w:vertAlign w:val="superscript"/>
          <w:rtl w:val="0"/>
        </w:rPr>
        <w:footnoteReference w:id="28"/>
      </w:r>
      <w:r>
        <w:rPr>
          <w:rFonts w:ascii="Book Antiqua"/>
          <w:rtl w:val="0"/>
          <w:lang w:val="it-IT"/>
        </w:rPr>
        <w:t xml:space="preserve"> del prefetto di Roma dell</w:t>
      </w:r>
      <w:r>
        <w:rPr>
          <w:rFonts w:hAnsi="Book Antiqua" w:hint="default"/>
          <w:rtl w:val="0"/>
          <w:lang w:val="it-IT"/>
        </w:rPr>
        <w:t>’</w:t>
      </w:r>
      <w:r>
        <w:rPr>
          <w:rFonts w:ascii="Book Antiqua"/>
          <w:rtl w:val="0"/>
          <w:lang w:val="it-IT"/>
        </w:rPr>
        <w:t xml:space="preserve">8 aprile 2017, che disponeva: </w:t>
      </w:r>
    </w:p>
    <w:p>
      <w:pPr>
        <w:pStyle w:val="Normal"/>
        <w:ind w:left="567" w:right="567" w:firstLine="0"/>
        <w:jc w:val="both"/>
        <w:rPr>
          <w:rFonts w:ascii="Book Antiqua" w:cs="Book Antiqua" w:hAnsi="Book Antiqua" w:eastAsia="Book Antiqua"/>
        </w:rPr>
      </w:pPr>
      <w:r>
        <w:rPr>
          <w:rFonts w:ascii="Book Antiqua"/>
          <w:rtl w:val="0"/>
          <w:lang w:val="it-IT"/>
        </w:rPr>
        <w:t xml:space="preserve">1) di ritenere sussistente la propria competenza ad adottare il provvedimento; </w:t>
      </w:r>
    </w:p>
    <w:p>
      <w:pPr>
        <w:pStyle w:val="Normal"/>
        <w:ind w:left="567" w:right="567" w:firstLine="0"/>
        <w:jc w:val="both"/>
        <w:rPr>
          <w:rFonts w:ascii="Book Antiqua" w:cs="Book Antiqua" w:hAnsi="Book Antiqua" w:eastAsia="Book Antiqua"/>
        </w:rPr>
      </w:pPr>
      <w:r>
        <w:rPr>
          <w:rFonts w:ascii="Book Antiqua"/>
          <w:rtl w:val="0"/>
          <w:lang w:val="it-IT"/>
        </w:rPr>
        <w:t xml:space="preserve">2) di ritenere sussistenti, sotto il profilo soggettivo e oggettivo, i presupposti, di fatto e di diritto, previsti dai commi 1, 2 e 10 dell'articolo 32 del decreto legge 24 giugno 2014, n. 90, convertito, con modificazioni, dalla legge 11 agosto 2014, n. 114; </w:t>
      </w:r>
    </w:p>
    <w:p>
      <w:pPr>
        <w:pStyle w:val="Normal"/>
        <w:ind w:left="567" w:right="567" w:firstLine="0"/>
        <w:jc w:val="both"/>
        <w:rPr>
          <w:rFonts w:ascii="Book Antiqua" w:cs="Book Antiqua" w:hAnsi="Book Antiqua" w:eastAsia="Book Antiqua"/>
        </w:rPr>
      </w:pPr>
      <w:r>
        <w:rPr>
          <w:rFonts w:ascii="Book Antiqua"/>
          <w:rtl w:val="0"/>
          <w:lang w:val="it-IT"/>
        </w:rPr>
        <w:t>3) di provvedere alla straordinaria e temporanea gestione, ai sensi dell'articolo 32, comma 1, lettera b), del decreto legge 24 giugno 2014, n. 90, convertito con modificazioni dalla legge 11 agosto 2014, n. 114, del consorzio Co.La.Ri., con sede in Roma, Viale del Poggio Fiorito, n. 63, e della Societ</w:t>
      </w:r>
      <w:r>
        <w:rPr>
          <w:rFonts w:hAnsi="Book Antiqua" w:hint="default"/>
          <w:rtl w:val="0"/>
          <w:lang w:val="it-IT"/>
        </w:rPr>
        <w:t>à</w:t>
      </w:r>
      <w:r>
        <w:rPr>
          <w:rFonts w:ascii="Book Antiqua"/>
          <w:rtl w:val="0"/>
          <w:lang w:val="it-IT"/>
        </w:rPr>
        <w:t xml:space="preserve"> E. Giovi S.r.l., con sede in Roma, Via Portuense, n. 881, limitatamente ai servizi che attengono al conferimento dei rifiuti - raccolti nella citt</w:t>
      </w:r>
      <w:r>
        <w:rPr>
          <w:rFonts w:hAnsi="Book Antiqua" w:hint="default"/>
          <w:rtl w:val="0"/>
          <w:lang w:val="it-IT"/>
        </w:rPr>
        <w:t xml:space="preserve">à </w:t>
      </w:r>
      <w:r>
        <w:rPr>
          <w:rFonts w:ascii="Book Antiqua"/>
          <w:rtl w:val="0"/>
          <w:lang w:val="it-IT"/>
        </w:rPr>
        <w:t>di Roma in applicazione del contratto di servizio in essere con Roma Capitale - da parte di AMA S.p.A. presso i due impianti di TMB denominati Malagrotta 1 e Malagrotta 2, attraverso la nomina di uno o pi</w:t>
      </w:r>
      <w:r>
        <w:rPr>
          <w:rFonts w:hAnsi="Book Antiqua" w:hint="default"/>
          <w:rtl w:val="0"/>
          <w:lang w:val="it-IT"/>
        </w:rPr>
        <w:t xml:space="preserve">ù </w:t>
      </w:r>
      <w:r>
        <w:rPr>
          <w:rFonts w:ascii="Book Antiqua"/>
          <w:rtl w:val="0"/>
          <w:lang w:val="it-IT"/>
        </w:rPr>
        <w:t xml:space="preserve">amministratori straordinari, contestualmente sospendendo tutti poteri degli altri organi sociali, ai sensi del comma 3, del medesimo articolo 32; </w:t>
      </w:r>
    </w:p>
    <w:p>
      <w:pPr>
        <w:pStyle w:val="Normal"/>
        <w:ind w:left="567" w:right="567" w:firstLine="0"/>
        <w:jc w:val="both"/>
        <w:rPr>
          <w:rFonts w:ascii="Book Antiqua" w:cs="Book Antiqua" w:hAnsi="Book Antiqua" w:eastAsia="Book Antiqua"/>
        </w:rPr>
      </w:pPr>
      <w:r>
        <w:rPr>
          <w:rFonts w:ascii="Book Antiqua"/>
          <w:rtl w:val="0"/>
          <w:lang w:val="it-IT"/>
        </w:rPr>
        <w:t>4) di dare atto che la straordinaria e temporanea gestione di cui al decreto viene disposta per il tempo strettamente necessario all'individuazione delle pi</w:t>
      </w:r>
      <w:r>
        <w:rPr>
          <w:rFonts w:hAnsi="Book Antiqua" w:hint="default"/>
          <w:rtl w:val="0"/>
          <w:lang w:val="it-IT"/>
        </w:rPr>
        <w:t xml:space="preserve">ù </w:t>
      </w:r>
      <w:r>
        <w:rPr>
          <w:rFonts w:ascii="Book Antiqua"/>
          <w:rtl w:val="0"/>
          <w:lang w:val="it-IT"/>
        </w:rPr>
        <w:t>opportune soluzioni da parte degli Enti competenti, idonee al superamento delle criticit</w:t>
      </w:r>
      <w:r>
        <w:rPr>
          <w:rFonts w:hAnsi="Book Antiqua" w:hint="default"/>
          <w:rtl w:val="0"/>
          <w:lang w:val="it-IT"/>
        </w:rPr>
        <w:t xml:space="preserve">à </w:t>
      </w:r>
      <w:r>
        <w:rPr>
          <w:rFonts w:ascii="Book Antiqua"/>
          <w:rtl w:val="0"/>
          <w:lang w:val="it-IT"/>
        </w:rPr>
        <w:t>in essere indicate nella citata ordinanza sindacale n. 53 del 6 aprile 2017, e, comunque, per un periodo non superiore a 180 giorni decorrenti dal 6 aprile 2017;</w:t>
      </w:r>
    </w:p>
    <w:p>
      <w:pPr>
        <w:pStyle w:val="Normal"/>
        <w:ind w:left="567" w:right="567" w:firstLine="0"/>
        <w:jc w:val="both"/>
        <w:rPr>
          <w:rFonts w:ascii="Book Antiqua" w:cs="Book Antiqua" w:hAnsi="Book Antiqua" w:eastAsia="Book Antiqua"/>
        </w:rPr>
      </w:pPr>
      <w:r>
        <w:rPr>
          <w:rFonts w:ascii="Book Antiqua"/>
          <w:rtl w:val="0"/>
          <w:lang w:val="it-IT"/>
        </w:rPr>
        <w:t xml:space="preserve">5) di procedere con il decreto alla nomina di un amministratore straordinario, rinviando ad un successivo atto l'eventuale nomina di altri amministratori, nel numero massimo previsto dalla legge; </w:t>
      </w:r>
    </w:p>
    <w:p>
      <w:pPr>
        <w:pStyle w:val="Normal"/>
        <w:ind w:left="567" w:right="567" w:firstLine="0"/>
        <w:jc w:val="both"/>
        <w:rPr>
          <w:rFonts w:ascii="Book Antiqua" w:cs="Book Antiqua" w:hAnsi="Book Antiqua" w:eastAsia="Book Antiqua"/>
        </w:rPr>
      </w:pPr>
      <w:r>
        <w:rPr>
          <w:rFonts w:ascii="Book Antiqua"/>
          <w:rtl w:val="0"/>
          <w:lang w:val="it-IT"/>
        </w:rPr>
        <w:t>6) di nominare, per il tempo strettamente necessario all'individuazione delle pi</w:t>
      </w:r>
      <w:r>
        <w:rPr>
          <w:rFonts w:hAnsi="Book Antiqua" w:hint="default"/>
          <w:rtl w:val="0"/>
          <w:lang w:val="it-IT"/>
        </w:rPr>
        <w:t xml:space="preserve">ù </w:t>
      </w:r>
      <w:r>
        <w:rPr>
          <w:rFonts w:ascii="Book Antiqua"/>
          <w:rtl w:val="0"/>
          <w:lang w:val="it-IT"/>
        </w:rPr>
        <w:t>opportune soluzioni da parte degli enti competenti, idonee al superamento delle criticit</w:t>
      </w:r>
      <w:r>
        <w:rPr>
          <w:rFonts w:hAnsi="Book Antiqua" w:hint="default"/>
          <w:rtl w:val="0"/>
          <w:lang w:val="it-IT"/>
        </w:rPr>
        <w:t xml:space="preserve">à </w:t>
      </w:r>
      <w:r>
        <w:rPr>
          <w:rFonts w:ascii="Book Antiqua"/>
          <w:rtl w:val="0"/>
          <w:lang w:val="it-IT"/>
        </w:rPr>
        <w:t>in essere indicate nell</w:t>
      </w:r>
      <w:r>
        <w:rPr>
          <w:rFonts w:hAnsi="Book Antiqua" w:hint="default"/>
          <w:rtl w:val="0"/>
          <w:lang w:val="it-IT"/>
        </w:rPr>
        <w:t>’</w:t>
      </w:r>
      <w:r>
        <w:rPr>
          <w:rFonts w:ascii="Book Antiqua"/>
          <w:rtl w:val="0"/>
          <w:lang w:val="it-IT"/>
        </w:rPr>
        <w:t>ordinanza sindacale n. 53 del 6 aprile 2017, e, comunque, per un periodo non superiore a 180 giorni decorrenti dal 6 aprile 2017, il dott. Luigi Palumbo, nato a Napoli il 9 giugno 1968, amministratore per la straordinaria e temporanea gestione del consorzio Co.La.Ri. e della societ</w:t>
      </w:r>
      <w:r>
        <w:rPr>
          <w:rFonts w:hAnsi="Book Antiqua" w:hint="default"/>
          <w:rtl w:val="0"/>
          <w:lang w:val="it-IT"/>
        </w:rPr>
        <w:t>à</w:t>
      </w:r>
      <w:r>
        <w:rPr>
          <w:rFonts w:ascii="Book Antiqua"/>
          <w:rtl w:val="0"/>
          <w:lang w:val="it-IT"/>
        </w:rPr>
        <w:t xml:space="preserve"> E. Giovi S.r.l., ai sensi dell'articolo 32, comma 1, lettera b), del decreto legge 24 giugno 2014, n. 90, convertito con modificazioni dalla legge 11 agosto 2014, n. 114, limitatamente ai servizi che attengono al conferimento dei rifiuti - raccolti nella citt</w:t>
      </w:r>
      <w:r>
        <w:rPr>
          <w:rFonts w:hAnsi="Book Antiqua" w:hint="default"/>
          <w:rtl w:val="0"/>
          <w:lang w:val="it-IT"/>
        </w:rPr>
        <w:t xml:space="preserve">à </w:t>
      </w:r>
      <w:r>
        <w:rPr>
          <w:rFonts w:ascii="Book Antiqua"/>
          <w:rtl w:val="0"/>
          <w:lang w:val="it-IT"/>
        </w:rPr>
        <w:t>di Roma in applicazione del contratto di servizio in essere con Roma Capitale - da parte di AMA S.p.A. presso i due impianti di TMB denominati Malagrotta 1 e Malagrotta 2;</w:t>
      </w:r>
    </w:p>
    <w:p>
      <w:pPr>
        <w:pStyle w:val="Normal"/>
        <w:ind w:left="567" w:right="567" w:firstLine="0"/>
        <w:jc w:val="both"/>
        <w:rPr>
          <w:rFonts w:ascii="Book Antiqua" w:cs="Book Antiqua" w:hAnsi="Book Antiqua" w:eastAsia="Book Antiqua"/>
        </w:rPr>
      </w:pPr>
      <w:r>
        <w:rPr>
          <w:rFonts w:ascii="Book Antiqua"/>
          <w:rtl w:val="0"/>
          <w:lang w:val="it-IT"/>
        </w:rPr>
        <w:t>7) di rinviare ad un successivo provvedimento la fissazione del compenso per le attivit</w:t>
      </w:r>
      <w:r>
        <w:rPr>
          <w:rFonts w:hAnsi="Book Antiqua" w:hint="default"/>
          <w:rtl w:val="0"/>
          <w:lang w:val="it-IT"/>
        </w:rPr>
        <w:t xml:space="preserve">à </w:t>
      </w:r>
      <w:r>
        <w:rPr>
          <w:rFonts w:ascii="Book Antiqua"/>
          <w:rtl w:val="0"/>
          <w:lang w:val="it-IT"/>
        </w:rPr>
        <w:t>oggetto del decreto.</w:t>
      </w:r>
    </w:p>
    <w:p>
      <w:pPr>
        <w:pStyle w:val="Normal"/>
        <w:ind w:left="567" w:right="567" w:firstLine="0"/>
        <w:jc w:val="both"/>
        <w:rPr>
          <w:rFonts w:ascii="Book Antiqua" w:cs="Book Antiqua" w:hAnsi="Book Antiqua" w:eastAsia="Book Antiqua"/>
        </w:rPr>
      </w:pPr>
      <w:r>
        <w:rPr>
          <w:rFonts w:ascii="Book Antiqua"/>
          <w:rtl w:val="0"/>
          <w:lang w:val="it-IT"/>
        </w:rPr>
        <w:t>Le parole dell</w:t>
      </w:r>
      <w:r>
        <w:rPr>
          <w:rFonts w:hAnsi="Book Antiqua" w:hint="default"/>
          <w:rtl w:val="0"/>
          <w:lang w:val="it-IT"/>
        </w:rPr>
        <w:t>’</w:t>
      </w:r>
      <w:r>
        <w:rPr>
          <w:rFonts w:ascii="Book Antiqua"/>
          <w:rtl w:val="0"/>
          <w:lang w:val="it-IT"/>
        </w:rPr>
        <w:t>amministratore straordinario dei TMB della societ</w:t>
      </w:r>
      <w:r>
        <w:rPr>
          <w:rFonts w:hAnsi="Book Antiqua" w:hint="default"/>
          <w:rtl w:val="0"/>
          <w:lang w:val="it-IT"/>
        </w:rPr>
        <w:t xml:space="preserve">à </w:t>
      </w:r>
      <w:r>
        <w:rPr>
          <w:rFonts w:ascii="Book Antiqua"/>
          <w:rtl w:val="0"/>
          <w:lang w:val="it-IT"/>
        </w:rPr>
        <w:t>E. Giovi e del</w:t>
      </w:r>
      <w:r>
        <w:rPr>
          <w:rFonts w:hAnsi="Book Antiqua" w:hint="default"/>
          <w:rtl w:val="0"/>
          <w:lang w:val="it-IT"/>
        </w:rPr>
        <w:t xml:space="preserve">  </w:t>
      </w:r>
      <w:r>
        <w:rPr>
          <w:rFonts w:ascii="Book Antiqua"/>
          <w:rtl w:val="0"/>
          <w:lang w:val="it-IT"/>
        </w:rPr>
        <w:t>consorzio Co.La.Ri, Luigi Palumbo, audito dalla Commissione il 19 giugno 2017, aiutano a inquadrare due questioni: la prima relativa alla tariffa di ingresso per il trattamento degli RSU nei due TMB, la seconda concernente l</w:t>
      </w:r>
      <w:r>
        <w:rPr>
          <w:rFonts w:hAnsi="Book Antiqua" w:hint="default"/>
          <w:rtl w:val="0"/>
          <w:lang w:val="it-IT"/>
        </w:rPr>
        <w:t>’</w:t>
      </w:r>
      <w:r>
        <w:rPr>
          <w:rFonts w:ascii="Book Antiqua"/>
          <w:rtl w:val="0"/>
          <w:lang w:val="it-IT"/>
        </w:rPr>
        <w:t>individuazione delle societ</w:t>
      </w:r>
      <w:r>
        <w:rPr>
          <w:rFonts w:hAnsi="Book Antiqua" w:hint="default"/>
          <w:rtl w:val="0"/>
          <w:lang w:val="it-IT"/>
        </w:rPr>
        <w:t xml:space="preserve">à </w:t>
      </w:r>
      <w:r>
        <w:rPr>
          <w:rFonts w:ascii="Book Antiqua"/>
          <w:rtl w:val="0"/>
          <w:lang w:val="it-IT"/>
        </w:rPr>
        <w:t xml:space="preserve">interessate a recuperare energeticamente ovvero smaltire i prodotti di lavorazione che fuoriescono dagli impianti ubicati a Malagrotta. I due temi hanno condizionato pesantemente </w:t>
      </w:r>
      <w:r>
        <w:rPr>
          <w:rFonts w:hAnsi="Book Antiqua" w:hint="default"/>
          <w:rtl w:val="0"/>
          <w:lang w:val="it-IT"/>
        </w:rPr>
        <w:t xml:space="preserve">– </w:t>
      </w:r>
      <w:r>
        <w:rPr>
          <w:rFonts w:ascii="Book Antiqua"/>
          <w:rtl w:val="0"/>
          <w:lang w:val="it-IT"/>
        </w:rPr>
        <w:t>insieme all</w:t>
      </w:r>
      <w:r>
        <w:rPr>
          <w:rFonts w:hAnsi="Book Antiqua" w:hint="default"/>
          <w:rtl w:val="0"/>
          <w:lang w:val="it-IT"/>
        </w:rPr>
        <w:t>’</w:t>
      </w:r>
      <w:r>
        <w:rPr>
          <w:rFonts w:ascii="Book Antiqua"/>
          <w:rtl w:val="0"/>
          <w:lang w:val="it-IT"/>
        </w:rPr>
        <w:t xml:space="preserve">interdittiva antimafia, e non solo </w:t>
      </w:r>
      <w:r>
        <w:rPr>
          <w:rFonts w:hAnsi="Book Antiqua" w:hint="default"/>
          <w:rtl w:val="0"/>
          <w:lang w:val="it-IT"/>
        </w:rPr>
        <w:t xml:space="preserve">– </w:t>
      </w:r>
      <w:r>
        <w:rPr>
          <w:rFonts w:ascii="Book Antiqua"/>
          <w:rtl w:val="0"/>
          <w:lang w:val="it-IT"/>
        </w:rPr>
        <w:t>la mancata piena operativit</w:t>
      </w:r>
      <w:r>
        <w:rPr>
          <w:rFonts w:hAnsi="Book Antiqua" w:hint="default"/>
          <w:rtl w:val="0"/>
          <w:lang w:val="it-IT"/>
        </w:rPr>
        <w:t xml:space="preserve">à </w:t>
      </w:r>
      <w:r>
        <w:rPr>
          <w:rFonts w:ascii="Book Antiqua"/>
          <w:rtl w:val="0"/>
          <w:lang w:val="it-IT"/>
        </w:rPr>
        <w:t>degli impianti TMB della Valle Galeria originando di riflesso palesi difficolt</w:t>
      </w:r>
      <w:r>
        <w:rPr>
          <w:rFonts w:hAnsi="Book Antiqua" w:hint="default"/>
          <w:rtl w:val="0"/>
          <w:lang w:val="it-IT"/>
        </w:rPr>
        <w:t xml:space="preserve">à </w:t>
      </w:r>
      <w:r>
        <w:rPr>
          <w:rFonts w:ascii="Book Antiqua"/>
          <w:rtl w:val="0"/>
          <w:lang w:val="it-IT"/>
        </w:rPr>
        <w:t xml:space="preserve">nella raccolta dei rifiuti per le strade di Roma da parte di AMA S.p.A. </w:t>
      </w:r>
    </w:p>
    <w:p>
      <w:pPr>
        <w:pStyle w:val="Normal"/>
        <w:ind w:left="567" w:right="567" w:firstLine="0"/>
        <w:jc w:val="both"/>
        <w:rPr>
          <w:rFonts w:ascii="Book Antiqua" w:cs="Book Antiqua" w:hAnsi="Book Antiqua" w:eastAsia="Book Antiqua"/>
        </w:rPr>
      </w:pPr>
      <w:r>
        <w:rPr>
          <w:rFonts w:ascii="Book Antiqua"/>
          <w:rtl w:val="0"/>
          <w:lang w:val="it-IT"/>
        </w:rPr>
        <w:t>Afferma l</w:t>
      </w:r>
      <w:r>
        <w:rPr>
          <w:rFonts w:hAnsi="Book Antiqua" w:hint="default"/>
          <w:rtl w:val="0"/>
          <w:lang w:val="it-IT"/>
        </w:rPr>
        <w:t>’</w:t>
      </w:r>
      <w:r>
        <w:rPr>
          <w:rFonts w:ascii="Book Antiqua"/>
          <w:rtl w:val="0"/>
          <w:lang w:val="it-IT"/>
        </w:rPr>
        <w:t xml:space="preserve">amministratore straordinario Palumbo: </w:t>
      </w:r>
    </w:p>
    <w:p>
      <w:pPr>
        <w:pStyle w:val="Normal"/>
        <w:ind w:left="567" w:right="567" w:firstLine="0"/>
        <w:jc w:val="both"/>
        <w:rPr>
          <w:rFonts w:ascii="Book Antiqua" w:cs="Book Antiqua" w:hAnsi="Book Antiqua" w:eastAsia="Book Antiqua"/>
        </w:rPr>
      </w:pPr>
      <w:r>
        <w:rPr>
          <w:rFonts w:hAnsi="Book Antiqua" w:hint="default"/>
          <w:rtl w:val="0"/>
          <w:lang w:val="it-IT"/>
        </w:rPr>
        <w:t>“</w:t>
      </w:r>
      <w:r>
        <w:rPr>
          <w:rFonts w:ascii="Book Antiqua"/>
          <w:rtl w:val="0"/>
          <w:lang w:val="it-IT"/>
        </w:rPr>
        <w:t>Devo preliminarmente precisare che sono amministratore straordinario dell</w:t>
      </w:r>
      <w:r>
        <w:rPr>
          <w:rFonts w:hAnsi="Book Antiqua" w:hint="default"/>
          <w:rtl w:val="0"/>
          <w:lang w:val="it-IT"/>
        </w:rPr>
        <w:t>’</w:t>
      </w:r>
      <w:r>
        <w:rPr>
          <w:rFonts w:ascii="Book Antiqua"/>
          <w:rtl w:val="0"/>
          <w:lang w:val="it-IT"/>
        </w:rPr>
        <w:t>8 aprile. Immaginerete che in questo breve periodo io abbia affrontato molti problemi, anche legati alla struttura finanziaria di queste societ</w:t>
      </w:r>
      <w:r>
        <w:rPr>
          <w:rFonts w:hAnsi="Book Antiqua" w:hint="default"/>
          <w:rtl w:val="0"/>
          <w:lang w:val="it-IT"/>
        </w:rPr>
        <w:t>à</w:t>
      </w:r>
      <w:r>
        <w:rPr>
          <w:rFonts w:ascii="Book Antiqua"/>
          <w:rtl w:val="0"/>
          <w:lang w:val="it-IT"/>
        </w:rPr>
        <w:t>, che operavano con una tariffa che non consentiva di coprire i costi. Fortunatamente, per</w:t>
      </w:r>
      <w:r>
        <w:rPr>
          <w:rFonts w:hAnsi="Book Antiqua" w:hint="default"/>
          <w:rtl w:val="0"/>
          <w:lang w:val="it-IT"/>
        </w:rPr>
        <w:t>ò</w:t>
      </w:r>
      <w:r>
        <w:rPr>
          <w:rFonts w:ascii="Book Antiqua"/>
          <w:rtl w:val="0"/>
          <w:lang w:val="it-IT"/>
        </w:rPr>
        <w:t>, c</w:t>
      </w:r>
      <w:r>
        <w:rPr>
          <w:rFonts w:hAnsi="Book Antiqua" w:hint="default"/>
          <w:rtl w:val="0"/>
          <w:lang w:val="it-IT"/>
        </w:rPr>
        <w:t xml:space="preserve">’è </w:t>
      </w:r>
      <w:r>
        <w:rPr>
          <w:rFonts w:ascii="Book Antiqua"/>
          <w:rtl w:val="0"/>
          <w:lang w:val="it-IT"/>
        </w:rPr>
        <w:t>stato l</w:t>
      </w:r>
      <w:r>
        <w:rPr>
          <w:rFonts w:hAnsi="Book Antiqua" w:hint="default"/>
          <w:rtl w:val="0"/>
          <w:lang w:val="it-IT"/>
        </w:rPr>
        <w:t>’</w:t>
      </w:r>
      <w:r>
        <w:rPr>
          <w:rFonts w:ascii="Book Antiqua"/>
          <w:rtl w:val="0"/>
          <w:lang w:val="it-IT"/>
        </w:rPr>
        <w:t>adeguamento dopo la mia nomina [</w:t>
      </w:r>
      <w:r>
        <w:rPr>
          <w:rFonts w:hAnsi="Book Antiqua" w:hint="default"/>
          <w:rtl w:val="0"/>
          <w:lang w:val="it-IT"/>
        </w:rPr>
        <w:t>…</w:t>
      </w:r>
      <w:r>
        <w:rPr>
          <w:rFonts w:ascii="Book Antiqua"/>
          <w:rtl w:val="0"/>
          <w:lang w:val="it-IT"/>
        </w:rPr>
        <w:t>] in questi due mesi, abbiamo aumentato un po</w:t>
      </w:r>
      <w:r>
        <w:rPr>
          <w:rFonts w:hAnsi="Book Antiqua" w:hint="default"/>
          <w:rtl w:val="0"/>
          <w:lang w:val="it-IT"/>
        </w:rPr>
        <w:t xml:space="preserve">’ </w:t>
      </w:r>
      <w:r>
        <w:rPr>
          <w:rFonts w:ascii="Book Antiqua"/>
          <w:rtl w:val="0"/>
          <w:lang w:val="it-IT"/>
        </w:rPr>
        <w:t>la produzione, i conferimenti [</w:t>
      </w:r>
      <w:r>
        <w:rPr>
          <w:rFonts w:hAnsi="Book Antiqua" w:hint="default"/>
          <w:rtl w:val="0"/>
          <w:lang w:val="it-IT"/>
        </w:rPr>
        <w:t>…</w:t>
      </w:r>
      <w:r>
        <w:rPr>
          <w:rFonts w:ascii="Book Antiqua"/>
          <w:rtl w:val="0"/>
          <w:lang w:val="it-IT"/>
        </w:rPr>
        <w:t>] C</w:t>
      </w:r>
      <w:r>
        <w:rPr>
          <w:rFonts w:hAnsi="Book Antiqua" w:hint="default"/>
          <w:rtl w:val="0"/>
          <w:lang w:val="it-IT"/>
        </w:rPr>
        <w:t>’</w:t>
      </w:r>
      <w:r>
        <w:rPr>
          <w:rFonts w:ascii="Book Antiqua"/>
          <w:rtl w:val="0"/>
          <w:lang w:val="it-IT"/>
        </w:rPr>
        <w:t>erano dei problemi legati anche a dei debiti pregressi accumulati dalla societ</w:t>
      </w:r>
      <w:r>
        <w:rPr>
          <w:rFonts w:hAnsi="Book Antiqua" w:hint="default"/>
          <w:rtl w:val="0"/>
          <w:lang w:val="it-IT"/>
        </w:rPr>
        <w:t>à</w:t>
      </w:r>
      <w:r>
        <w:rPr>
          <w:rFonts w:ascii="Book Antiqua"/>
          <w:rtl w:val="0"/>
          <w:lang w:val="it-IT"/>
        </w:rPr>
        <w:t>, anche in conseguenza del fatto che la tariffa non consentiva di coprire i costi, tanto che la regione ha riconosciuto al commissario una tariffa di 137 euro a tonnellata rispetto ai 122 riconosciuti dal 2013: c</w:t>
      </w:r>
      <w:r>
        <w:rPr>
          <w:rFonts w:hAnsi="Book Antiqua" w:hint="default"/>
          <w:rtl w:val="0"/>
          <w:lang w:val="it-IT"/>
        </w:rPr>
        <w:t xml:space="preserve">’è </w:t>
      </w:r>
      <w:r>
        <w:rPr>
          <w:rFonts w:ascii="Book Antiqua"/>
          <w:rtl w:val="0"/>
          <w:lang w:val="it-IT"/>
        </w:rPr>
        <w:t>quindi una forte situazione debitoria. I fornitori strategici che ricevono il CDR, tra FOS e scarti, avevano grossi problemi perch</w:t>
      </w:r>
      <w:r>
        <w:rPr>
          <w:rFonts w:hAnsi="Book Antiqua" w:hint="default"/>
          <w:rtl w:val="0"/>
          <w:lang w:val="it-IT"/>
        </w:rPr>
        <w:t xml:space="preserve">é </w:t>
      </w:r>
      <w:r>
        <w:rPr>
          <w:rFonts w:ascii="Book Antiqua"/>
          <w:rtl w:val="0"/>
          <w:lang w:val="it-IT"/>
        </w:rPr>
        <w:t>con i pagamenti le societ</w:t>
      </w:r>
      <w:r>
        <w:rPr>
          <w:rFonts w:hAnsi="Book Antiqua" w:hint="default"/>
          <w:rtl w:val="0"/>
          <w:lang w:val="it-IT"/>
        </w:rPr>
        <w:t xml:space="preserve">à </w:t>
      </w:r>
      <w:r>
        <w:rPr>
          <w:rFonts w:ascii="Book Antiqua"/>
          <w:rtl w:val="0"/>
          <w:lang w:val="it-IT"/>
        </w:rPr>
        <w:t>erano molto in arretrato. Con l</w:t>
      </w:r>
      <w:r>
        <w:rPr>
          <w:rFonts w:hAnsi="Book Antiqua" w:hint="default"/>
          <w:rtl w:val="0"/>
          <w:lang w:val="it-IT"/>
        </w:rPr>
        <w:t>’</w:t>
      </w:r>
      <w:r>
        <w:rPr>
          <w:rFonts w:ascii="Book Antiqua"/>
          <w:rtl w:val="0"/>
          <w:lang w:val="it-IT"/>
        </w:rPr>
        <w:t>aumento della tariffa, avvenuto qualche settimana fa, stiamo cercando di fare un piano finanziario di rientro. Abbiamo anche inviato una nave in Portogallo per il CDR, per smaltire un po</w:t>
      </w:r>
      <w:r>
        <w:rPr>
          <w:rFonts w:hAnsi="Book Antiqua" w:hint="default"/>
          <w:rtl w:val="0"/>
          <w:lang w:val="it-IT"/>
        </w:rPr>
        <w:t xml:space="preserve">’ </w:t>
      </w:r>
      <w:r>
        <w:rPr>
          <w:rFonts w:ascii="Book Antiqua"/>
          <w:rtl w:val="0"/>
          <w:lang w:val="it-IT"/>
        </w:rPr>
        <w:t>le quantit</w:t>
      </w:r>
      <w:r>
        <w:rPr>
          <w:rFonts w:hAnsi="Book Antiqua" w:hint="default"/>
          <w:rtl w:val="0"/>
          <w:lang w:val="it-IT"/>
        </w:rPr>
        <w:t xml:space="preserve">à </w:t>
      </w:r>
      <w:r>
        <w:rPr>
          <w:rFonts w:ascii="Book Antiqua"/>
          <w:rtl w:val="0"/>
          <w:lang w:val="it-IT"/>
        </w:rPr>
        <w:t>presenti all</w:t>
      </w:r>
      <w:r>
        <w:rPr>
          <w:rFonts w:hAnsi="Book Antiqua" w:hint="default"/>
          <w:rtl w:val="0"/>
          <w:lang w:val="it-IT"/>
        </w:rPr>
        <w:t>’</w:t>
      </w:r>
      <w:r>
        <w:rPr>
          <w:rFonts w:ascii="Book Antiqua"/>
          <w:rtl w:val="0"/>
          <w:lang w:val="it-IT"/>
        </w:rPr>
        <w:t>interno degli impianti, quantit</w:t>
      </w:r>
      <w:r>
        <w:rPr>
          <w:rFonts w:hAnsi="Book Antiqua" w:hint="default"/>
          <w:rtl w:val="0"/>
          <w:lang w:val="it-IT"/>
        </w:rPr>
        <w:t xml:space="preserve">à </w:t>
      </w:r>
      <w:r>
        <w:rPr>
          <w:rFonts w:ascii="Book Antiqua"/>
          <w:rtl w:val="0"/>
          <w:lang w:val="it-IT"/>
        </w:rPr>
        <w:t>che dovrebbero essere comunque nei limiti dell</w:t>
      </w:r>
      <w:r>
        <w:rPr>
          <w:rFonts w:hAnsi="Book Antiqua" w:hint="default"/>
          <w:rtl w:val="0"/>
          <w:lang w:val="it-IT"/>
        </w:rPr>
        <w:t>’</w:t>
      </w:r>
      <w:r>
        <w:rPr>
          <w:rFonts w:ascii="Book Antiqua"/>
          <w:rtl w:val="0"/>
          <w:lang w:val="it-IT"/>
        </w:rPr>
        <w:t>AIA (non siamo oltre). Comunque sia, abbiamo migliorato il ciclo. La settimana scorsa c</w:t>
      </w:r>
      <w:r>
        <w:rPr>
          <w:rFonts w:hAnsi="Book Antiqua" w:hint="default"/>
          <w:rtl w:val="0"/>
          <w:lang w:val="it-IT"/>
        </w:rPr>
        <w:t xml:space="preserve">’è </w:t>
      </w:r>
      <w:r>
        <w:rPr>
          <w:rFonts w:ascii="Book Antiqua"/>
          <w:rtl w:val="0"/>
          <w:lang w:val="it-IT"/>
        </w:rPr>
        <w:t>stato un problema legato alla MAD, la discarica che ha bloccato i conferimenti. Siamo stati in grosse difficolt</w:t>
      </w:r>
      <w:r>
        <w:rPr>
          <w:rFonts w:hAnsi="Book Antiqua" w:hint="default"/>
          <w:rtl w:val="0"/>
          <w:lang w:val="it-IT"/>
        </w:rPr>
        <w:t>à</w:t>
      </w:r>
      <w:r>
        <w:rPr>
          <w:rFonts w:ascii="Book Antiqua"/>
          <w:rtl w:val="0"/>
          <w:lang w:val="it-IT"/>
        </w:rPr>
        <w:t>. Sono riuscito a risolvere quest</w:t>
      </w:r>
      <w:r>
        <w:rPr>
          <w:rFonts w:hAnsi="Book Antiqua" w:hint="default"/>
          <w:rtl w:val="0"/>
          <w:lang w:val="it-IT"/>
        </w:rPr>
        <w:t>’</w:t>
      </w:r>
      <w:r>
        <w:rPr>
          <w:rFonts w:ascii="Book Antiqua"/>
          <w:rtl w:val="0"/>
          <w:lang w:val="it-IT"/>
        </w:rPr>
        <w:t>ulteriore problema. Anche noi siamo legati ad AMA, da cui prendiamo 1.250 tonnellate giornaliere (solo da AMA). Oggi, siamo a regime. In pi</w:t>
      </w:r>
      <w:r>
        <w:rPr>
          <w:rFonts w:hAnsi="Book Antiqua" w:hint="default"/>
          <w:rtl w:val="0"/>
          <w:lang w:val="it-IT"/>
        </w:rPr>
        <w:t>ù</w:t>
      </w:r>
      <w:r>
        <w:rPr>
          <w:rFonts w:ascii="Book Antiqua"/>
          <w:rtl w:val="0"/>
          <w:lang w:val="it-IT"/>
        </w:rPr>
        <w:t>, ci sono Vaticano, Fiumicino e Ciampino. Arriviamo quindi a circa 1.600 tonnellate al giorno. In questo momento, stiamo rispettando gli impegni perch</w:t>
      </w:r>
      <w:r>
        <w:rPr>
          <w:rFonts w:hAnsi="Book Antiqua" w:hint="default"/>
          <w:rtl w:val="0"/>
          <w:lang w:val="it-IT"/>
        </w:rPr>
        <w:t xml:space="preserve">é </w:t>
      </w:r>
      <w:r>
        <w:rPr>
          <w:rFonts w:ascii="Book Antiqua"/>
          <w:rtl w:val="0"/>
          <w:lang w:val="it-IT"/>
        </w:rPr>
        <w:t>MAD ci consente di smaltire regolarmente [</w:t>
      </w:r>
      <w:r>
        <w:rPr>
          <w:rFonts w:hAnsi="Book Antiqua" w:hint="default"/>
          <w:rtl w:val="0"/>
          <w:lang w:val="it-IT"/>
        </w:rPr>
        <w:t>…</w:t>
      </w:r>
      <w:r>
        <w:rPr>
          <w:rFonts w:ascii="Book Antiqua"/>
          <w:rtl w:val="0"/>
          <w:lang w:val="it-IT"/>
        </w:rPr>
        <w:t xml:space="preserve">] comunque ci sono grossi problemi a smaltire il CDR: </w:t>
      </w:r>
      <w:r>
        <w:rPr>
          <w:rFonts w:hAnsi="Book Antiqua" w:hint="default"/>
          <w:rtl w:val="0"/>
          <w:lang w:val="it-IT"/>
        </w:rPr>
        <w:t xml:space="preserve">è </w:t>
      </w:r>
      <w:r>
        <w:rPr>
          <w:rFonts w:ascii="Book Antiqua"/>
          <w:rtl w:val="0"/>
          <w:lang w:val="it-IT"/>
        </w:rPr>
        <w:t>inutile dirlo. Purtroppo gli impianti non ci sono: abbiamo grosse difficolt</w:t>
      </w:r>
      <w:r>
        <w:rPr>
          <w:rFonts w:hAnsi="Book Antiqua" w:hint="default"/>
          <w:rtl w:val="0"/>
          <w:lang w:val="it-IT"/>
        </w:rPr>
        <w:t>à</w:t>
      </w:r>
      <w:r>
        <w:rPr>
          <w:rFonts w:ascii="Book Antiqua"/>
          <w:rtl w:val="0"/>
          <w:lang w:val="it-IT"/>
        </w:rPr>
        <w:t xml:space="preserve">. Innanzitutto, la nostra posizione </w:t>
      </w:r>
      <w:r>
        <w:rPr>
          <w:rFonts w:hAnsi="Book Antiqua" w:hint="default"/>
          <w:rtl w:val="0"/>
          <w:lang w:val="it-IT"/>
        </w:rPr>
        <w:t xml:space="preserve">è </w:t>
      </w:r>
      <w:r>
        <w:rPr>
          <w:rFonts w:ascii="Book Antiqua"/>
          <w:rtl w:val="0"/>
          <w:lang w:val="it-IT"/>
        </w:rPr>
        <w:t>molto difficile perch</w:t>
      </w:r>
      <w:r>
        <w:rPr>
          <w:rFonts w:hAnsi="Book Antiqua" w:hint="default"/>
          <w:rtl w:val="0"/>
          <w:lang w:val="it-IT"/>
        </w:rPr>
        <w:t xml:space="preserve">é </w:t>
      </w:r>
      <w:r>
        <w:rPr>
          <w:rFonts w:ascii="Book Antiqua"/>
          <w:rtl w:val="0"/>
          <w:lang w:val="it-IT"/>
        </w:rPr>
        <w:t>ci chiedono le fideiussioni e il commissario, purtroppo, non pu</w:t>
      </w:r>
      <w:r>
        <w:rPr>
          <w:rFonts w:hAnsi="Book Antiqua" w:hint="default"/>
          <w:rtl w:val="0"/>
          <w:lang w:val="it-IT"/>
        </w:rPr>
        <w:t xml:space="preserve">ò </w:t>
      </w:r>
      <w:r>
        <w:rPr>
          <w:rFonts w:ascii="Book Antiqua"/>
          <w:rtl w:val="0"/>
          <w:lang w:val="it-IT"/>
        </w:rPr>
        <w:t xml:space="preserve">rilasciarne. Io </w:t>
      </w:r>
      <w:r>
        <w:rPr>
          <w:rFonts w:hAnsi="Book Antiqua" w:hint="default"/>
          <w:rtl w:val="0"/>
          <w:lang w:val="it-IT"/>
        </w:rPr>
        <w:t>«</w:t>
      </w:r>
      <w:r>
        <w:rPr>
          <w:rFonts w:ascii="Book Antiqua"/>
          <w:rtl w:val="0"/>
          <w:lang w:val="it-IT"/>
        </w:rPr>
        <w:t>garantisco</w:t>
      </w:r>
      <w:r>
        <w:rPr>
          <w:rFonts w:hAnsi="Book Antiqua" w:hint="default"/>
          <w:rtl w:val="0"/>
          <w:lang w:val="it-IT"/>
        </w:rPr>
        <w:t xml:space="preserve">» </w:t>
      </w:r>
      <w:r>
        <w:rPr>
          <w:rFonts w:ascii="Book Antiqua"/>
          <w:rtl w:val="0"/>
          <w:lang w:val="it-IT"/>
        </w:rPr>
        <w:t>sulla parola perch</w:t>
      </w:r>
      <w:r>
        <w:rPr>
          <w:rFonts w:hAnsi="Book Antiqua" w:hint="default"/>
          <w:rtl w:val="0"/>
          <w:lang w:val="it-IT"/>
        </w:rPr>
        <w:t xml:space="preserve">é </w:t>
      </w:r>
      <w:r>
        <w:rPr>
          <w:rFonts w:ascii="Book Antiqua"/>
          <w:rtl w:val="0"/>
          <w:lang w:val="it-IT"/>
        </w:rPr>
        <w:t>AMA ci paga puntualmente e io cerco di rassicurarli, dicendo che c</w:t>
      </w:r>
      <w:r>
        <w:rPr>
          <w:rFonts w:hAnsi="Book Antiqua" w:hint="default"/>
          <w:rtl w:val="0"/>
          <w:lang w:val="it-IT"/>
        </w:rPr>
        <w:t xml:space="preserve">’è </w:t>
      </w:r>
      <w:r>
        <w:rPr>
          <w:rFonts w:ascii="Book Antiqua"/>
          <w:rtl w:val="0"/>
          <w:lang w:val="it-IT"/>
        </w:rPr>
        <w:t>l</w:t>
      </w:r>
      <w:r>
        <w:rPr>
          <w:rFonts w:hAnsi="Book Antiqua" w:hint="default"/>
          <w:rtl w:val="0"/>
          <w:lang w:val="it-IT"/>
        </w:rPr>
        <w:t>’</w:t>
      </w:r>
      <w:r>
        <w:rPr>
          <w:rFonts w:ascii="Book Antiqua"/>
          <w:rtl w:val="0"/>
          <w:lang w:val="it-IT"/>
        </w:rPr>
        <w:t xml:space="preserve">AMA che paga, che </w:t>
      </w:r>
      <w:r>
        <w:rPr>
          <w:rFonts w:hAnsi="Book Antiqua" w:hint="default"/>
          <w:rtl w:val="0"/>
          <w:lang w:val="it-IT"/>
        </w:rPr>
        <w:t xml:space="preserve">è </w:t>
      </w:r>
      <w:r>
        <w:rPr>
          <w:rFonts w:ascii="Book Antiqua"/>
          <w:rtl w:val="0"/>
          <w:lang w:val="it-IT"/>
        </w:rPr>
        <w:t>un operatore qualificato e che quindi possono stare tranquilli. Forse ci ha aperto un po</w:t>
      </w:r>
      <w:r>
        <w:rPr>
          <w:rFonts w:hAnsi="Book Antiqua" w:hint="default"/>
          <w:rtl w:val="0"/>
          <w:lang w:val="it-IT"/>
        </w:rPr>
        <w:t xml:space="preserve">’ </w:t>
      </w:r>
      <w:r>
        <w:rPr>
          <w:rFonts w:ascii="Book Antiqua"/>
          <w:rtl w:val="0"/>
          <w:lang w:val="it-IT"/>
        </w:rPr>
        <w:t>San Vittore. Probabilmente, riusciamo a chiudere un contratto con San Vittore [</w:t>
      </w:r>
      <w:r>
        <w:rPr>
          <w:rFonts w:hAnsi="Book Antiqua" w:hint="default"/>
          <w:rtl w:val="0"/>
          <w:lang w:val="it-IT"/>
        </w:rPr>
        <w:t>…</w:t>
      </w:r>
      <w:r>
        <w:rPr>
          <w:rFonts w:ascii="Book Antiqua"/>
          <w:rtl w:val="0"/>
          <w:lang w:val="it-IT"/>
        </w:rPr>
        <w:t>] Abbiamo Hera e A2A, quest</w:t>
      </w:r>
      <w:r>
        <w:rPr>
          <w:rFonts w:hAnsi="Book Antiqua" w:hint="default"/>
          <w:rtl w:val="0"/>
          <w:lang w:val="it-IT"/>
        </w:rPr>
        <w:t>’</w:t>
      </w:r>
      <w:r>
        <w:rPr>
          <w:rFonts w:ascii="Book Antiqua"/>
          <w:rtl w:val="0"/>
          <w:lang w:val="it-IT"/>
        </w:rPr>
        <w:t>ultima ferma per manutenzione, mentre per Hera stiamo trattando. L</w:t>
      </w:r>
      <w:r>
        <w:rPr>
          <w:rFonts w:hAnsi="Book Antiqua" w:hint="default"/>
          <w:rtl w:val="0"/>
          <w:lang w:val="it-IT"/>
        </w:rPr>
        <w:t>’</w:t>
      </w:r>
      <w:r>
        <w:rPr>
          <w:rFonts w:ascii="Book Antiqua"/>
          <w:rtl w:val="0"/>
          <w:lang w:val="it-IT"/>
        </w:rPr>
        <w:t xml:space="preserve">unica </w:t>
      </w:r>
      <w:r>
        <w:rPr>
          <w:rFonts w:ascii="Book Antiqua"/>
          <w:i w:val="1"/>
          <w:iCs w:val="1"/>
          <w:rtl w:val="0"/>
          <w:lang w:val="it-IT"/>
        </w:rPr>
        <w:t xml:space="preserve">chance, </w:t>
      </w:r>
      <w:r>
        <w:rPr>
          <w:rFonts w:ascii="Book Antiqua"/>
          <w:rtl w:val="0"/>
          <w:lang w:val="it-IT"/>
        </w:rPr>
        <w:t>quindi,</w:t>
      </w:r>
      <w:r>
        <w:rPr>
          <w:rFonts w:ascii="Book Antiqua"/>
          <w:i w:val="1"/>
          <w:iCs w:val="1"/>
          <w:rtl w:val="0"/>
          <w:lang w:val="it-IT"/>
        </w:rPr>
        <w:t xml:space="preserve"> </w:t>
      </w:r>
      <w:r>
        <w:rPr>
          <w:rFonts w:ascii="Book Antiqua"/>
          <w:rtl w:val="0"/>
          <w:lang w:val="it-IT"/>
        </w:rPr>
        <w:t>era quella di inviare il CDR in Portogallo, altrimenti siamo in difficolt</w:t>
      </w:r>
      <w:r>
        <w:rPr>
          <w:rFonts w:hAnsi="Book Antiqua" w:hint="default"/>
          <w:rtl w:val="0"/>
          <w:lang w:val="it-IT"/>
        </w:rPr>
        <w:t>à</w:t>
      </w:r>
      <w:r>
        <w:rPr>
          <w:rFonts w:ascii="Book Antiqua"/>
          <w:rtl w:val="0"/>
          <w:lang w:val="it-IT"/>
        </w:rPr>
        <w:t>. Sono problemi giornalieri quelli che affrontiamo, con grosse difficolt</w:t>
      </w:r>
      <w:r>
        <w:rPr>
          <w:rFonts w:hAnsi="Book Antiqua" w:hint="default"/>
          <w:rtl w:val="0"/>
          <w:lang w:val="it-IT"/>
        </w:rPr>
        <w:t xml:space="preserve">à </w:t>
      </w:r>
      <w:r>
        <w:rPr>
          <w:rFonts w:ascii="Book Antiqua"/>
          <w:rtl w:val="0"/>
          <w:lang w:val="it-IT"/>
        </w:rPr>
        <w:t>[...] Mandarlo</w:t>
      </w:r>
      <w:r>
        <w:rPr>
          <w:rFonts w:ascii="Book Antiqua"/>
          <w:i w:val="1"/>
          <w:iCs w:val="1"/>
          <w:rtl w:val="0"/>
          <w:lang w:val="it-IT"/>
        </w:rPr>
        <w:t xml:space="preserve"> </w:t>
      </w:r>
      <w:r>
        <w:rPr>
          <w:rFonts w:ascii="Book Antiqua"/>
          <w:rtl w:val="0"/>
          <w:lang w:val="it-IT"/>
        </w:rPr>
        <w:t>all</w:t>
      </w:r>
      <w:r>
        <w:rPr>
          <w:rFonts w:hAnsi="Book Antiqua" w:hint="default"/>
          <w:rtl w:val="0"/>
          <w:lang w:val="it-IT"/>
        </w:rPr>
        <w:t>’</w:t>
      </w:r>
      <w:r>
        <w:rPr>
          <w:rFonts w:ascii="Book Antiqua"/>
          <w:rtl w:val="0"/>
          <w:lang w:val="it-IT"/>
        </w:rPr>
        <w:t>estero costa di pi</w:t>
      </w:r>
      <w:r>
        <w:rPr>
          <w:rFonts w:hAnsi="Book Antiqua" w:hint="default"/>
          <w:rtl w:val="0"/>
          <w:lang w:val="it-IT"/>
        </w:rPr>
        <w:t>ù</w:t>
      </w:r>
      <w:r>
        <w:rPr>
          <w:rFonts w:ascii="Book Antiqua"/>
          <w:rtl w:val="0"/>
          <w:lang w:val="it-IT"/>
        </w:rPr>
        <w:t xml:space="preserve">, ovviamente, ma gli inceneritori sono pochi: qui non ci sono o sono tutti impegnati. Questo </w:t>
      </w:r>
      <w:r>
        <w:rPr>
          <w:rFonts w:hAnsi="Book Antiqua" w:hint="default"/>
          <w:rtl w:val="0"/>
          <w:lang w:val="it-IT"/>
        </w:rPr>
        <w:t xml:space="preserve">è </w:t>
      </w:r>
      <w:r>
        <w:rPr>
          <w:rFonts w:ascii="Book Antiqua"/>
          <w:rtl w:val="0"/>
          <w:lang w:val="it-IT"/>
        </w:rPr>
        <w:t>un po</w:t>
      </w:r>
      <w:r>
        <w:rPr>
          <w:rFonts w:hAnsi="Book Antiqua" w:hint="default"/>
          <w:rtl w:val="0"/>
          <w:lang w:val="it-IT"/>
        </w:rPr>
        <w:t xml:space="preserve">’ </w:t>
      </w:r>
      <w:r>
        <w:rPr>
          <w:rFonts w:ascii="Book Antiqua"/>
          <w:rtl w:val="0"/>
          <w:lang w:val="it-IT"/>
        </w:rPr>
        <w:t>il quadro dei problemi finanziari, risolto con la tariffa. Anzi, dovremmo avere anche gli arretrati dal 2013. Abbiamo fatto la richiesta alla regione, che per un fatto tecnico li ha riconosciuti dal dicembre 2016, da quando cio</w:t>
      </w:r>
      <w:r>
        <w:rPr>
          <w:rFonts w:hAnsi="Book Antiqua" w:hint="default"/>
          <w:rtl w:val="0"/>
          <w:lang w:val="it-IT"/>
        </w:rPr>
        <w:t xml:space="preserve">è è </w:t>
      </w:r>
      <w:r>
        <w:rPr>
          <w:rFonts w:ascii="Book Antiqua"/>
          <w:rtl w:val="0"/>
          <w:lang w:val="it-IT"/>
        </w:rPr>
        <w:t xml:space="preserve">stata presentata la domanda. Abbiamo presentato una domanda di autotutela. </w:t>
      </w:r>
      <w:r>
        <w:rPr>
          <w:rFonts w:hAnsi="Book Antiqua" w:hint="default"/>
          <w:rtl w:val="0"/>
          <w:lang w:val="it-IT"/>
        </w:rPr>
        <w:t xml:space="preserve">È </w:t>
      </w:r>
      <w:r>
        <w:rPr>
          <w:rFonts w:ascii="Book Antiqua"/>
          <w:rtl w:val="0"/>
          <w:lang w:val="it-IT"/>
        </w:rPr>
        <w:t xml:space="preserve">ovvio che se non paghiamo, non possiamo conferire. Questo </w:t>
      </w:r>
      <w:r>
        <w:rPr>
          <w:rFonts w:hAnsi="Book Antiqua" w:hint="default"/>
          <w:rtl w:val="0"/>
          <w:lang w:val="it-IT"/>
        </w:rPr>
        <w:t xml:space="preserve">è </w:t>
      </w:r>
      <w:r>
        <w:rPr>
          <w:rFonts w:ascii="Book Antiqua"/>
          <w:rtl w:val="0"/>
          <w:lang w:val="it-IT"/>
        </w:rPr>
        <w:t xml:space="preserve">fondamentale. Io sto anche redigendo un piano finanziario per cercare di fare degli accordi con i fornitori strategici. Se non paghiamo il pregresso, </w:t>
      </w:r>
      <w:r>
        <w:rPr>
          <w:rFonts w:hAnsi="Book Antiqua" w:hint="default"/>
          <w:rtl w:val="0"/>
          <w:lang w:val="it-IT"/>
        </w:rPr>
        <w:t xml:space="preserve">è </w:t>
      </w:r>
      <w:r>
        <w:rPr>
          <w:rFonts w:ascii="Book Antiqua"/>
          <w:rtl w:val="0"/>
          <w:lang w:val="it-IT"/>
        </w:rPr>
        <w:t>ovvio che non ci forniscono nell</w:t>
      </w:r>
      <w:r>
        <w:rPr>
          <w:rFonts w:hAnsi="Book Antiqua" w:hint="default"/>
          <w:rtl w:val="0"/>
          <w:lang w:val="it-IT"/>
        </w:rPr>
        <w:t>’</w:t>
      </w:r>
      <w:r>
        <w:rPr>
          <w:rFonts w:ascii="Book Antiqua"/>
          <w:rtl w:val="0"/>
          <w:lang w:val="it-IT"/>
        </w:rPr>
        <w:t>immediato [</w:t>
      </w:r>
      <w:r>
        <w:rPr>
          <w:rFonts w:hAnsi="Book Antiqua" w:hint="default"/>
          <w:rtl w:val="0"/>
          <w:lang w:val="it-IT"/>
        </w:rPr>
        <w:t>…</w:t>
      </w:r>
      <w:r>
        <w:rPr>
          <w:rFonts w:ascii="Book Antiqua"/>
          <w:rtl w:val="0"/>
          <w:lang w:val="it-IT"/>
        </w:rPr>
        <w:t xml:space="preserve">] Il dato significativo </w:t>
      </w:r>
      <w:r>
        <w:rPr>
          <w:rFonts w:hAnsi="Book Antiqua" w:hint="default"/>
          <w:rtl w:val="0"/>
          <w:lang w:val="it-IT"/>
        </w:rPr>
        <w:t xml:space="preserve">è </w:t>
      </w:r>
      <w:r>
        <w:rPr>
          <w:rFonts w:ascii="Book Antiqua"/>
          <w:rtl w:val="0"/>
          <w:lang w:val="it-IT"/>
        </w:rPr>
        <w:t>quello della tariffa. Dal 2013 viene riconosciuta una tariffa di 122 euro a tonnellata, oggi riconosciuta a 137. Ci sono degli studi fatti da societ</w:t>
      </w:r>
      <w:r>
        <w:rPr>
          <w:rFonts w:hAnsi="Book Antiqua" w:hint="default"/>
          <w:rtl w:val="0"/>
          <w:lang w:val="it-IT"/>
        </w:rPr>
        <w:t xml:space="preserve">à </w:t>
      </w:r>
      <w:r>
        <w:rPr>
          <w:rFonts w:ascii="Book Antiqua"/>
          <w:rtl w:val="0"/>
          <w:lang w:val="it-IT"/>
        </w:rPr>
        <w:t>di revisione. Questo problema c</w:t>
      </w:r>
      <w:r>
        <w:rPr>
          <w:rFonts w:hAnsi="Book Antiqua" w:hint="default"/>
          <w:rtl w:val="0"/>
          <w:lang w:val="it-IT"/>
        </w:rPr>
        <w:t>’è</w:t>
      </w:r>
      <w:r>
        <w:rPr>
          <w:rFonts w:ascii="Book Antiqua"/>
          <w:rtl w:val="0"/>
          <w:lang w:val="it-IT"/>
        </w:rPr>
        <w:t>. Dobbiamo avere degli arretrati di 20 milioni di euro, dovuti perch</w:t>
      </w:r>
      <w:r>
        <w:rPr>
          <w:rFonts w:hAnsi="Book Antiqua" w:hint="default"/>
          <w:rtl w:val="0"/>
          <w:lang w:val="it-IT"/>
        </w:rPr>
        <w:t xml:space="preserve">é </w:t>
      </w:r>
      <w:r>
        <w:rPr>
          <w:rFonts w:ascii="Book Antiqua"/>
          <w:rtl w:val="0"/>
          <w:lang w:val="it-IT"/>
        </w:rPr>
        <w:t>comunque ci hanno riconosciuto l</w:t>
      </w:r>
      <w:r>
        <w:rPr>
          <w:rFonts w:hAnsi="Book Antiqua" w:hint="default"/>
          <w:rtl w:val="0"/>
          <w:lang w:val="it-IT"/>
        </w:rPr>
        <w:t>’</w:t>
      </w:r>
      <w:r>
        <w:rPr>
          <w:rFonts w:ascii="Book Antiqua"/>
          <w:rtl w:val="0"/>
          <w:lang w:val="it-IT"/>
        </w:rPr>
        <w:t xml:space="preserve">aumento da dicembre [...] Oggi stiamo mantenendo gli impegni e il ciclo dei rifiuti si </w:t>
      </w:r>
      <w:r>
        <w:rPr>
          <w:rFonts w:hAnsi="Book Antiqua" w:hint="default"/>
          <w:rtl w:val="0"/>
          <w:lang w:val="it-IT"/>
        </w:rPr>
        <w:t xml:space="preserve">è </w:t>
      </w:r>
      <w:r>
        <w:rPr>
          <w:rFonts w:ascii="Book Antiqua"/>
          <w:rtl w:val="0"/>
          <w:lang w:val="it-IT"/>
        </w:rPr>
        <w:t>velocizzato. I magazzini sono pieni, ma sempre nei limiti dell</w:t>
      </w:r>
      <w:r>
        <w:rPr>
          <w:rFonts w:hAnsi="Book Antiqua" w:hint="default"/>
          <w:rtl w:val="0"/>
          <w:lang w:val="it-IT"/>
        </w:rPr>
        <w:t>’</w:t>
      </w:r>
      <w:r>
        <w:rPr>
          <w:rFonts w:ascii="Book Antiqua"/>
          <w:rtl w:val="0"/>
          <w:lang w:val="it-IT"/>
        </w:rPr>
        <w:t>AIA. Dovremmo comunque smaltire di pi</w:t>
      </w:r>
      <w:r>
        <w:rPr>
          <w:rFonts w:hAnsi="Book Antiqua" w:hint="default"/>
          <w:rtl w:val="0"/>
          <w:lang w:val="it-IT"/>
        </w:rPr>
        <w:t>ù</w:t>
      </w:r>
      <w:r>
        <w:rPr>
          <w:rFonts w:ascii="Book Antiqua"/>
          <w:rtl w:val="0"/>
          <w:lang w:val="it-IT"/>
        </w:rPr>
        <w:t>, cio</w:t>
      </w:r>
      <w:r>
        <w:rPr>
          <w:rFonts w:hAnsi="Book Antiqua" w:hint="default"/>
          <w:rtl w:val="0"/>
          <w:lang w:val="it-IT"/>
        </w:rPr>
        <w:t xml:space="preserve">è </w:t>
      </w:r>
      <w:r>
        <w:rPr>
          <w:rFonts w:ascii="Book Antiqua"/>
          <w:rtl w:val="0"/>
          <w:lang w:val="it-IT"/>
        </w:rPr>
        <w:t>migliorare il ciclo</w:t>
      </w:r>
      <w:r>
        <w:rPr>
          <w:rFonts w:hAnsi="Book Antiqua" w:hint="default"/>
          <w:rtl w:val="0"/>
          <w:lang w:val="it-IT"/>
        </w:rPr>
        <w:t>”</w:t>
      </w:r>
      <w:r>
        <w:rPr>
          <w:rFonts w:ascii="Book Antiqua"/>
          <w:rtl w:val="0"/>
          <w:lang w:val="it-IT"/>
        </w:rPr>
        <w:t xml:space="preserve">. </w:t>
      </w:r>
    </w:p>
    <w:p>
      <w:pPr>
        <w:pStyle w:val="Normal"/>
        <w:ind w:left="567" w:right="567" w:firstLine="0"/>
        <w:jc w:val="both"/>
        <w:rPr>
          <w:rFonts w:ascii="Book Antiqua" w:cs="Book Antiqua" w:hAnsi="Book Antiqua" w:eastAsia="Book Antiqua"/>
          <w:shd w:val="clear" w:color="auto" w:fill="ffffff"/>
        </w:rPr>
      </w:pPr>
      <w:r>
        <w:rPr>
          <w:rFonts w:ascii="Book Antiqua"/>
          <w:shd w:val="clear" w:color="auto" w:fill="ffffff"/>
          <w:rtl w:val="0"/>
          <w:lang w:val="it-IT"/>
        </w:rPr>
        <w:t>Sulle criticit</w:t>
      </w:r>
      <w:r>
        <w:rPr>
          <w:rFonts w:hAnsi="Book Antiqua" w:hint="default"/>
          <w:shd w:val="clear" w:color="auto" w:fill="ffffff"/>
          <w:rtl w:val="0"/>
          <w:lang w:val="it-IT"/>
        </w:rPr>
        <w:t xml:space="preserve">à </w:t>
      </w:r>
      <w:r>
        <w:rPr>
          <w:rFonts w:ascii="Book Antiqua"/>
          <w:shd w:val="clear" w:color="auto" w:fill="ffffff"/>
          <w:rtl w:val="0"/>
          <w:lang w:val="it-IT"/>
        </w:rPr>
        <w:t xml:space="preserve">riguardanti gli impianti ubicati a Malagrotta, </w:t>
      </w:r>
      <w:r>
        <w:rPr>
          <w:rFonts w:hAnsi="Book Antiqua" w:hint="default"/>
          <w:shd w:val="clear" w:color="auto" w:fill="ffffff"/>
          <w:rtl w:val="0"/>
          <w:lang w:val="it-IT"/>
        </w:rPr>
        <w:t xml:space="preserve">è </w:t>
      </w:r>
      <w:r>
        <w:rPr>
          <w:rFonts w:ascii="Book Antiqua"/>
          <w:shd w:val="clear" w:color="auto" w:fill="ffffff"/>
          <w:rtl w:val="0"/>
          <w:lang w:val="it-IT"/>
        </w:rPr>
        <w:t xml:space="preserve">intervenuto anche Lorenzo Bacagnani presidente ed amministratore delegato di AMA S.p.A, che in audizione, il 28 giugno 2017, ha dichiarato alla Commissione: </w:t>
      </w:r>
    </w:p>
    <w:p>
      <w:pPr>
        <w:pStyle w:val="Normal"/>
        <w:ind w:left="567" w:right="567" w:firstLine="0"/>
        <w:jc w:val="both"/>
        <w:rPr>
          <w:rFonts w:ascii="Book Antiqua" w:cs="Book Antiqua" w:hAnsi="Book Antiqua" w:eastAsia="Book Antiqua"/>
          <w:shd w:val="clear" w:color="auto" w:fill="ffffff"/>
        </w:rPr>
      </w:pPr>
      <w:r>
        <w:rPr>
          <w:rFonts w:hAnsi="Book Antiqua" w:hint="default"/>
          <w:shd w:val="clear" w:color="auto" w:fill="ffffff"/>
          <w:rtl w:val="0"/>
          <w:lang w:val="it-IT"/>
        </w:rPr>
        <w:t>“</w:t>
      </w:r>
      <w:r>
        <w:rPr>
          <w:rFonts w:ascii="Book Antiqua"/>
          <w:rtl w:val="0"/>
          <w:lang w:val="it-IT"/>
        </w:rPr>
        <w:t>Abbiamo l</w:t>
      </w:r>
      <w:r>
        <w:rPr>
          <w:rFonts w:hAnsi="Book Antiqua" w:hint="default"/>
          <w:rtl w:val="0"/>
          <w:lang w:val="it-IT"/>
        </w:rPr>
        <w:t>’</w:t>
      </w:r>
      <w:r>
        <w:rPr>
          <w:rFonts w:ascii="Book Antiqua"/>
          <w:rtl w:val="0"/>
          <w:lang w:val="it-IT"/>
        </w:rPr>
        <w:t>impianto di Colari che dovrebbe ritirare 1.250 tonnellate al giorno, ma la nostra esperienza ci ha insegnato che i fatti improvvisi ci hanno ridotto pi</w:t>
      </w:r>
      <w:r>
        <w:rPr>
          <w:rFonts w:hAnsi="Book Antiqua" w:hint="default"/>
          <w:rtl w:val="0"/>
          <w:lang w:val="it-IT"/>
        </w:rPr>
        <w:t xml:space="preserve">ù </w:t>
      </w:r>
      <w:r>
        <w:rPr>
          <w:rFonts w:ascii="Book Antiqua"/>
          <w:rtl w:val="0"/>
          <w:lang w:val="it-IT"/>
        </w:rPr>
        <w:t>volte questo quantitativo senza preavviso, portandolo a volte a 500, a volte a 700 tonnellate al giorno e a volte a un fermo anche completo. Voi capite che rispetto a questa dotazione teorica, che consente di coprire il nostro fabbisogno, questi fermi rappresentano un imprevisto che va a condizionare l</w:t>
      </w:r>
      <w:r>
        <w:rPr>
          <w:rFonts w:hAnsi="Book Antiqua" w:hint="default"/>
          <w:rtl w:val="0"/>
          <w:lang w:val="it-IT"/>
        </w:rPr>
        <w:t>’</w:t>
      </w:r>
      <w:r>
        <w:rPr>
          <w:rFonts w:ascii="Book Antiqua"/>
          <w:rtl w:val="0"/>
          <w:lang w:val="it-IT"/>
        </w:rPr>
        <w:t>intera filiera. Naturalmente, la raccolta dei rifiuti quotidiana ha bisogno di sbocchi sugli impianti per la parte dell</w:t>
      </w:r>
      <w:r>
        <w:rPr>
          <w:rFonts w:hAnsi="Book Antiqua" w:hint="default"/>
          <w:rtl w:val="0"/>
          <w:lang w:val="it-IT"/>
        </w:rPr>
        <w:t>’</w:t>
      </w:r>
      <w:r>
        <w:rPr>
          <w:rFonts w:ascii="Book Antiqua"/>
          <w:rtl w:val="0"/>
          <w:lang w:val="it-IT"/>
        </w:rPr>
        <w:t>indifferenziato. Qualora la parte dell</w:t>
      </w:r>
      <w:r>
        <w:rPr>
          <w:rFonts w:hAnsi="Book Antiqua" w:hint="default"/>
          <w:rtl w:val="0"/>
          <w:lang w:val="it-IT"/>
        </w:rPr>
        <w:t>’</w:t>
      </w:r>
      <w:r>
        <w:rPr>
          <w:rFonts w:ascii="Book Antiqua"/>
          <w:rtl w:val="0"/>
          <w:lang w:val="it-IT"/>
        </w:rPr>
        <w:t xml:space="preserve">indifferenziato non svolge il suo mestiere, </w:t>
      </w:r>
      <w:r>
        <w:rPr>
          <w:rFonts w:hAnsi="Book Antiqua" w:hint="default"/>
          <w:rtl w:val="0"/>
          <w:lang w:val="it-IT"/>
        </w:rPr>
        <w:t xml:space="preserve">è </w:t>
      </w:r>
      <w:r>
        <w:rPr>
          <w:rFonts w:ascii="Book Antiqua"/>
          <w:rtl w:val="0"/>
          <w:lang w:val="it-IT"/>
        </w:rPr>
        <w:t>evidente che questo si ripercuote anche nelle criticit</w:t>
      </w:r>
      <w:r>
        <w:rPr>
          <w:rFonts w:hAnsi="Book Antiqua" w:hint="default"/>
          <w:rtl w:val="0"/>
          <w:lang w:val="it-IT"/>
        </w:rPr>
        <w:t xml:space="preserve">à </w:t>
      </w:r>
      <w:r>
        <w:rPr>
          <w:rFonts w:ascii="Book Antiqua"/>
          <w:rtl w:val="0"/>
          <w:lang w:val="it-IT"/>
        </w:rPr>
        <w:t xml:space="preserve">della raccolta. Questo impianto, come voi sapete, </w:t>
      </w:r>
      <w:r>
        <w:rPr>
          <w:rFonts w:hAnsi="Book Antiqua" w:hint="default"/>
          <w:rtl w:val="0"/>
          <w:lang w:val="it-IT"/>
        </w:rPr>
        <w:t xml:space="preserve">è </w:t>
      </w:r>
      <w:r>
        <w:rPr>
          <w:rFonts w:ascii="Book Antiqua"/>
          <w:rtl w:val="0"/>
          <w:lang w:val="it-IT"/>
        </w:rPr>
        <w:t xml:space="preserve">gestito da un commissario. Il commissario </w:t>
      </w:r>
      <w:r>
        <w:rPr>
          <w:rFonts w:hAnsi="Book Antiqua" w:hint="default"/>
          <w:rtl w:val="0"/>
          <w:lang w:val="it-IT"/>
        </w:rPr>
        <w:t xml:space="preserve">è </w:t>
      </w:r>
      <w:r>
        <w:rPr>
          <w:rFonts w:ascii="Book Antiqua"/>
          <w:rtl w:val="0"/>
          <w:lang w:val="it-IT"/>
        </w:rPr>
        <w:t xml:space="preserve">una persona molto seria, molto disponibile, che ha veramente molto a cuore </w:t>
      </w:r>
      <w:r>
        <w:rPr>
          <w:rFonts w:hAnsi="Book Antiqua" w:hint="default"/>
          <w:rtl w:val="0"/>
          <w:lang w:val="it-IT"/>
        </w:rPr>
        <w:t xml:space="preserve">– </w:t>
      </w:r>
      <w:r>
        <w:rPr>
          <w:rFonts w:ascii="Book Antiqua"/>
          <w:rtl w:val="0"/>
          <w:lang w:val="it-IT"/>
        </w:rPr>
        <w:t xml:space="preserve">questo </w:t>
      </w:r>
      <w:r>
        <w:rPr>
          <w:rFonts w:hAnsi="Book Antiqua" w:hint="default"/>
          <w:rtl w:val="0"/>
          <w:lang w:val="it-IT"/>
        </w:rPr>
        <w:t xml:space="preserve">è </w:t>
      </w:r>
      <w:r>
        <w:rPr>
          <w:rFonts w:ascii="Book Antiqua"/>
          <w:rtl w:val="0"/>
          <w:lang w:val="it-IT"/>
        </w:rPr>
        <w:t xml:space="preserve">il termine da utilizzare </w:t>
      </w:r>
      <w:r>
        <w:rPr>
          <w:rFonts w:hAnsi="Book Antiqua" w:hint="default"/>
          <w:rtl w:val="0"/>
          <w:lang w:val="it-IT"/>
        </w:rPr>
        <w:t xml:space="preserve">– </w:t>
      </w:r>
      <w:r>
        <w:rPr>
          <w:rFonts w:ascii="Book Antiqua"/>
          <w:rtl w:val="0"/>
          <w:lang w:val="it-IT"/>
        </w:rPr>
        <w:t xml:space="preserve">questa situazione, facendo del suo meglio. Tuttavia, in base alla mia esperienza industriale e manageriale, potrei quasi dire che un impianto di questo tipo, visto che </w:t>
      </w:r>
      <w:r>
        <w:rPr>
          <w:rFonts w:hAnsi="Book Antiqua" w:hint="default"/>
          <w:rtl w:val="0"/>
          <w:lang w:val="it-IT"/>
        </w:rPr>
        <w:t xml:space="preserve">è </w:t>
      </w:r>
      <w:r>
        <w:rPr>
          <w:rFonts w:ascii="Book Antiqua"/>
          <w:rtl w:val="0"/>
          <w:lang w:val="it-IT"/>
        </w:rPr>
        <w:t>un impianto industriale che deve assicurare un servizio pubblico locale, richiederebbe anche una competenza tecnica per garantire al meglio la funzionalit</w:t>
      </w:r>
      <w:r>
        <w:rPr>
          <w:rFonts w:hAnsi="Book Antiqua" w:hint="default"/>
          <w:rtl w:val="0"/>
          <w:lang w:val="it-IT"/>
        </w:rPr>
        <w:t xml:space="preserve">à </w:t>
      </w:r>
      <w:r>
        <w:rPr>
          <w:rFonts w:ascii="Book Antiqua"/>
          <w:rtl w:val="0"/>
          <w:lang w:val="it-IT"/>
        </w:rPr>
        <w:t xml:space="preserve">quotidiana, onde non compromettere il sistema complessivo. Devo osservare </w:t>
      </w:r>
      <w:r>
        <w:rPr>
          <w:rFonts w:hAnsi="Book Antiqua" w:hint="default"/>
          <w:rtl w:val="0"/>
          <w:lang w:val="it-IT"/>
        </w:rPr>
        <w:t xml:space="preserve">– </w:t>
      </w:r>
      <w:r>
        <w:rPr>
          <w:rFonts w:ascii="Book Antiqua"/>
          <w:rtl w:val="0"/>
          <w:lang w:val="it-IT"/>
        </w:rPr>
        <w:t xml:space="preserve">questo </w:t>
      </w:r>
      <w:r>
        <w:rPr>
          <w:rFonts w:hAnsi="Book Antiqua" w:hint="default"/>
          <w:rtl w:val="0"/>
          <w:lang w:val="it-IT"/>
        </w:rPr>
        <w:t xml:space="preserve">è </w:t>
      </w:r>
      <w:r>
        <w:rPr>
          <w:rFonts w:ascii="Book Antiqua"/>
          <w:rtl w:val="0"/>
          <w:lang w:val="it-IT"/>
        </w:rPr>
        <w:t xml:space="preserve">un dato che voglio rappresentare a questa Commissione come osservatorio statistico </w:t>
      </w:r>
      <w:r>
        <w:rPr>
          <w:rFonts w:hAnsi="Book Antiqua" w:hint="default"/>
          <w:rtl w:val="0"/>
          <w:lang w:val="it-IT"/>
        </w:rPr>
        <w:t xml:space="preserve">– </w:t>
      </w:r>
      <w:r>
        <w:rPr>
          <w:rFonts w:ascii="Book Antiqua"/>
          <w:rtl w:val="0"/>
          <w:lang w:val="it-IT"/>
        </w:rPr>
        <w:t>che si sono verificate coincidenze e concomitanze di impianti che hanno avuto difficolt</w:t>
      </w:r>
      <w:r>
        <w:rPr>
          <w:rFonts w:hAnsi="Book Antiqua" w:hint="default"/>
          <w:rtl w:val="0"/>
          <w:lang w:val="it-IT"/>
        </w:rPr>
        <w:t>à</w:t>
      </w:r>
      <w:r>
        <w:rPr>
          <w:rFonts w:ascii="Book Antiqua"/>
          <w:rtl w:val="0"/>
          <w:lang w:val="it-IT"/>
        </w:rPr>
        <w:t>: a volte ci</w:t>
      </w:r>
      <w:r>
        <w:rPr>
          <w:rFonts w:hAnsi="Book Antiqua" w:hint="default"/>
          <w:rtl w:val="0"/>
          <w:lang w:val="it-IT"/>
        </w:rPr>
        <w:t xml:space="preserve">ò </w:t>
      </w:r>
      <w:r>
        <w:rPr>
          <w:rFonts w:ascii="Book Antiqua"/>
          <w:rtl w:val="0"/>
          <w:lang w:val="it-IT"/>
        </w:rPr>
        <w:t>succede a Co.La.Ri ma, contemporaneamente, magari il giorno prima, il giorno stesso o il giorno dopo, si rompe un nastro a un nostro impianto. Ci sono, quindi, una serie di coincidenze rispetto alle quali uno studio statistico [</w:t>
      </w:r>
      <w:r>
        <w:rPr>
          <w:rFonts w:hAnsi="Book Antiqua" w:hint="default"/>
          <w:rtl w:val="0"/>
          <w:lang w:val="it-IT"/>
        </w:rPr>
        <w:t>…</w:t>
      </w:r>
      <w:r>
        <w:rPr>
          <w:rFonts w:ascii="Book Antiqua"/>
          <w:rtl w:val="0"/>
          <w:lang w:val="it-IT"/>
        </w:rPr>
        <w:t>] potrebbe suggerire che tutto ci</w:t>
      </w:r>
      <w:r>
        <w:rPr>
          <w:rFonts w:hAnsi="Book Antiqua" w:hint="default"/>
          <w:rtl w:val="0"/>
          <w:lang w:val="it-IT"/>
        </w:rPr>
        <w:t xml:space="preserve">ò </w:t>
      </w:r>
      <w:r>
        <w:rPr>
          <w:rFonts w:ascii="Book Antiqua"/>
          <w:rtl w:val="0"/>
          <w:lang w:val="it-IT"/>
        </w:rPr>
        <w:t>rappresenta un</w:t>
      </w:r>
      <w:r>
        <w:rPr>
          <w:rFonts w:hAnsi="Book Antiqua" w:hint="default"/>
          <w:rtl w:val="0"/>
          <w:lang w:val="it-IT"/>
        </w:rPr>
        <w:t>’</w:t>
      </w:r>
      <w:r>
        <w:rPr>
          <w:rFonts w:ascii="Book Antiqua"/>
          <w:rtl w:val="0"/>
          <w:lang w:val="it-IT"/>
        </w:rPr>
        <w:t>anomalia e non la normale probabilit</w:t>
      </w:r>
      <w:r>
        <w:rPr>
          <w:rFonts w:hAnsi="Book Antiqua" w:hint="default"/>
          <w:rtl w:val="0"/>
          <w:lang w:val="it-IT"/>
        </w:rPr>
        <w:t xml:space="preserve">à </w:t>
      </w:r>
      <w:r>
        <w:rPr>
          <w:rFonts w:ascii="Book Antiqua"/>
          <w:rtl w:val="0"/>
          <w:lang w:val="it-IT"/>
        </w:rPr>
        <w:t xml:space="preserve">delle cose. Questo </w:t>
      </w:r>
      <w:r>
        <w:rPr>
          <w:rFonts w:hAnsi="Book Antiqua" w:hint="default"/>
          <w:rtl w:val="0"/>
          <w:lang w:val="it-IT"/>
        </w:rPr>
        <w:t xml:space="preserve">è </w:t>
      </w:r>
      <w:r>
        <w:rPr>
          <w:rFonts w:ascii="Book Antiqua"/>
          <w:rtl w:val="0"/>
          <w:lang w:val="it-IT"/>
        </w:rPr>
        <w:t>un dato che penso sia importante rappresentare.</w:t>
      </w:r>
      <w:r>
        <w:rPr>
          <w:rFonts w:hAnsi="Book Antiqua" w:hint="default"/>
          <w:rtl w:val="0"/>
          <w:lang w:val="it-IT"/>
        </w:rPr>
        <w:t>”</w:t>
      </w:r>
      <w:r>
        <w:rPr>
          <w:rFonts w:ascii="Book Antiqua"/>
          <w:shd w:val="clear" w:color="auto" w:fill="ffffff"/>
          <w:rtl w:val="0"/>
          <w:lang w:val="it-IT"/>
        </w:rPr>
        <w:t xml:space="preserve"> </w:t>
      </w:r>
    </w:p>
    <w:p>
      <w:pPr>
        <w:pStyle w:val="Normal"/>
        <w:ind w:left="567" w:right="567" w:firstLine="0"/>
        <w:jc w:val="both"/>
        <w:rPr>
          <w:rFonts w:ascii="Book Antiqua" w:cs="Book Antiqua" w:hAnsi="Book Antiqua" w:eastAsia="Book Antiqua"/>
          <w:shd w:val="clear" w:color="auto" w:fill="ffffff"/>
        </w:rPr>
      </w:pPr>
    </w:p>
    <w:p>
      <w:pPr>
        <w:pStyle w:val="Normal"/>
        <w:ind w:left="567" w:right="567" w:firstLine="0"/>
        <w:jc w:val="both"/>
        <w:rPr>
          <w:rFonts w:ascii="Book Antiqua" w:cs="Book Antiqua" w:hAnsi="Book Antiqua" w:eastAsia="Book Antiqua"/>
          <w:shd w:val="clear" w:color="auto" w:fill="ffffff"/>
        </w:rPr>
      </w:pPr>
    </w:p>
    <w:p>
      <w:pPr>
        <w:pStyle w:val="Normal"/>
        <w:ind w:left="567" w:right="567" w:firstLine="0"/>
        <w:jc w:val="both"/>
        <w:rPr>
          <w:rFonts w:ascii="Book Antiqua" w:cs="Book Antiqua" w:hAnsi="Book Antiqua" w:eastAsia="Book Antiqua"/>
          <w:color w:val="000000"/>
          <w:sz w:val="28"/>
          <w:szCs w:val="28"/>
          <w:u w:color="000000"/>
        </w:rPr>
      </w:pPr>
      <w:r>
        <w:rPr>
          <w:rFonts w:ascii="Book Antiqua"/>
          <w:color w:val="000000"/>
          <w:sz w:val="28"/>
          <w:szCs w:val="28"/>
          <w:u w:color="000000"/>
          <w:rtl w:val="0"/>
          <w:lang w:val="it-IT"/>
        </w:rPr>
        <w:t xml:space="preserve">2.2.2.5 La raccolta differenziata della frazione organica (umido e verde) </w:t>
      </w:r>
    </w:p>
    <w:p>
      <w:pPr>
        <w:pStyle w:val="Normal"/>
        <w:ind w:left="567" w:right="567" w:firstLine="0"/>
        <w:jc w:val="both"/>
        <w:rPr>
          <w:rFonts w:ascii="Book Antiqua" w:cs="Book Antiqua" w:hAnsi="Book Antiqua" w:eastAsia="Book Antiqua"/>
          <w:i w:val="1"/>
          <w:iCs w:val="1"/>
          <w:color w:val="000000"/>
          <w:u w:color="000000"/>
        </w:rPr>
      </w:pPr>
    </w:p>
    <w:p>
      <w:pPr>
        <w:pStyle w:val="Normal"/>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La frazione organica e verde derivanti dalla raccolta differenziata effettuata nel territorio comunale</w:t>
      </w:r>
      <w:r>
        <w:rPr>
          <w:rFonts w:ascii="Book Antiqua" w:cs="Book Antiqua" w:hAnsi="Book Antiqua" w:eastAsia="Book Antiqua"/>
          <w:color w:val="000000"/>
          <w:u w:color="000000"/>
          <w:vertAlign w:val="superscript"/>
          <w:rtl w:val="0"/>
        </w:rPr>
        <w:footnoteReference w:id="29"/>
      </w:r>
      <w:r>
        <w:rPr>
          <w:rFonts w:ascii="Book Antiqua"/>
          <w:color w:val="000000"/>
          <w:u w:color="000000"/>
          <w:rtl w:val="0"/>
          <w:lang w:val="it-IT"/>
        </w:rPr>
        <w:t xml:space="preserve"> ammonta a quasi 228 mila tonnellate di rifiuti, pari a circa il 35 per cento del totale dei rifiuti raccolti in maniera differenziata (tabella 9). </w:t>
      </w:r>
    </w:p>
    <w:p>
      <w:pPr>
        <w:pStyle w:val="Normal"/>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In particolare tali rifiuti sono identificati con i codici dell</w:t>
      </w:r>
      <w:r>
        <w:rPr>
          <w:rFonts w:hAnsi="Book Antiqua" w:hint="default"/>
          <w:color w:val="000000"/>
          <w:u w:color="000000"/>
          <w:rtl w:val="0"/>
          <w:lang w:val="it-IT"/>
        </w:rPr>
        <w:t>’</w:t>
      </w:r>
      <w:r>
        <w:rPr>
          <w:rFonts w:ascii="Book Antiqua"/>
          <w:color w:val="000000"/>
          <w:u w:color="000000"/>
          <w:rtl w:val="0"/>
          <w:lang w:val="it-IT"/>
        </w:rPr>
        <w:t>elenco europeo:</w:t>
      </w:r>
    </w:p>
    <w:p>
      <w:pPr>
        <w:pStyle w:val="Normal"/>
        <w:ind w:left="567" w:right="567" w:firstLine="0"/>
        <w:jc w:val="both"/>
        <w:rPr>
          <w:rFonts w:ascii="Book Antiqua" w:cs="Book Antiqua" w:hAnsi="Book Antiqua" w:eastAsia="Book Antiqua"/>
          <w:color w:val="000000"/>
          <w:u w:color="000000"/>
        </w:rPr>
      </w:pPr>
    </w:p>
    <w:p>
      <w:pPr>
        <w:pStyle w:val="Elenco a colori - Colore 11"/>
        <w:numPr>
          <w:ilvl w:val="0"/>
          <w:numId w:val="38"/>
        </w:numPr>
        <w:tabs>
          <w:tab w:val="num" w:pos="696"/>
          <w:tab w:val="clear" w:pos="567"/>
        </w:tabs>
        <w:bidi w:val="0"/>
        <w:spacing w:after="0" w:line="240" w:lineRule="auto"/>
        <w:ind w:left="555" w:right="567" w:firstLine="12"/>
        <w:jc w:val="both"/>
        <w:rPr>
          <w:rFonts w:ascii="Book Antiqua" w:cs="Book Antiqua" w:hAnsi="Book Antiqua" w:eastAsia="Book Antiqua"/>
          <w:color w:val="000000"/>
          <w:position w:val="0"/>
          <w:sz w:val="22"/>
          <w:szCs w:val="22"/>
          <w:u w:color="000000"/>
          <w:rtl w:val="0"/>
        </w:rPr>
      </w:pPr>
      <w:r>
        <w:rPr>
          <w:rFonts w:ascii="Book Antiqua"/>
          <w:color w:val="000000"/>
          <w:sz w:val="24"/>
          <w:szCs w:val="24"/>
          <w:u w:color="000000"/>
          <w:rtl w:val="0"/>
          <w:lang w:val="it-IT"/>
        </w:rPr>
        <w:t>200108 rifiuti biodegradabili da cucine e mense;</w:t>
      </w:r>
    </w:p>
    <w:p>
      <w:pPr>
        <w:pStyle w:val="Elenco a colori - Colore 11"/>
        <w:numPr>
          <w:ilvl w:val="0"/>
          <w:numId w:val="39"/>
        </w:numPr>
        <w:tabs>
          <w:tab w:val="num" w:pos="696"/>
          <w:tab w:val="clear" w:pos="567"/>
        </w:tabs>
        <w:bidi w:val="0"/>
        <w:spacing w:after="0" w:line="240" w:lineRule="auto"/>
        <w:ind w:left="555" w:right="567" w:firstLine="12"/>
        <w:jc w:val="both"/>
        <w:rPr>
          <w:rFonts w:ascii="Book Antiqua" w:cs="Book Antiqua" w:hAnsi="Book Antiqua" w:eastAsia="Book Antiqua"/>
          <w:color w:val="000000"/>
          <w:position w:val="0"/>
          <w:sz w:val="22"/>
          <w:szCs w:val="22"/>
          <w:u w:color="000000"/>
          <w:rtl w:val="0"/>
        </w:rPr>
      </w:pPr>
      <w:r>
        <w:rPr>
          <w:rFonts w:ascii="Book Antiqua"/>
          <w:color w:val="000000"/>
          <w:sz w:val="24"/>
          <w:szCs w:val="24"/>
          <w:u w:color="000000"/>
          <w:rtl w:val="0"/>
          <w:lang w:val="it-IT"/>
        </w:rPr>
        <w:t>200302 rifiuti dei mercati;</w:t>
      </w:r>
    </w:p>
    <w:p>
      <w:pPr>
        <w:pStyle w:val="Elenco a colori - Colore 11"/>
        <w:numPr>
          <w:ilvl w:val="0"/>
          <w:numId w:val="40"/>
        </w:numPr>
        <w:tabs>
          <w:tab w:val="num" w:pos="696"/>
          <w:tab w:val="clear" w:pos="567"/>
        </w:tabs>
        <w:bidi w:val="0"/>
        <w:spacing w:after="0" w:line="240" w:lineRule="auto"/>
        <w:ind w:left="555" w:right="567" w:firstLine="12"/>
        <w:jc w:val="both"/>
        <w:rPr>
          <w:rFonts w:ascii="Book Antiqua" w:cs="Book Antiqua" w:hAnsi="Book Antiqua" w:eastAsia="Book Antiqua"/>
          <w:color w:val="000000"/>
          <w:position w:val="0"/>
          <w:sz w:val="22"/>
          <w:szCs w:val="22"/>
          <w:u w:color="000000"/>
          <w:rtl w:val="0"/>
        </w:rPr>
      </w:pPr>
      <w:r>
        <w:rPr>
          <w:rFonts w:ascii="Book Antiqua"/>
          <w:color w:val="000000"/>
          <w:sz w:val="24"/>
          <w:szCs w:val="24"/>
          <w:u w:color="000000"/>
          <w:rtl w:val="0"/>
          <w:lang w:val="it-IT"/>
        </w:rPr>
        <w:t>200201 rifiuti biodegradabili di giardini e parchi.</w:t>
      </w:r>
    </w:p>
    <w:p>
      <w:pPr>
        <w:pStyle w:val="Normal"/>
        <w:ind w:left="567" w:right="567" w:firstLine="0"/>
        <w:jc w:val="both"/>
        <w:rPr>
          <w:color w:val="000000"/>
          <w:u w:color="000000"/>
        </w:rPr>
      </w:pPr>
    </w:p>
    <w:p>
      <w:pPr>
        <w:pStyle w:val="Normal"/>
        <w:ind w:left="567" w:right="567" w:firstLine="0"/>
        <w:jc w:val="both"/>
        <w:rPr>
          <w:color w:val="000000"/>
          <w:u w:color="000000"/>
        </w:rPr>
      </w:pPr>
    </w:p>
    <w:p>
      <w:pPr>
        <w:pStyle w:val="Normal"/>
        <w:ind w:left="567" w:right="567" w:firstLine="0"/>
        <w:jc w:val="both"/>
        <w:rPr>
          <w:color w:val="000000"/>
          <w:u w:color="000000"/>
        </w:rPr>
      </w:pPr>
    </w:p>
    <w:p>
      <w:pPr>
        <w:pStyle w:val="Normal"/>
        <w:ind w:left="567" w:right="567" w:firstLine="0"/>
        <w:jc w:val="both"/>
        <w:rPr>
          <w:color w:val="000000"/>
          <w:u w:color="000000"/>
        </w:rPr>
      </w:pPr>
    </w:p>
    <w:p>
      <w:pPr>
        <w:pStyle w:val="Normal"/>
        <w:ind w:left="567" w:right="567" w:firstLine="0"/>
        <w:jc w:val="both"/>
        <w:rPr>
          <w:rFonts w:ascii="Book Antiqua Bold" w:cs="Book Antiqua Bold" w:hAnsi="Book Antiqua Bold" w:eastAsia="Book Antiqua Bold"/>
          <w:b w:val="1"/>
          <w:bCs w:val="1"/>
          <w:color w:val="000000"/>
          <w:sz w:val="20"/>
          <w:szCs w:val="20"/>
          <w:u w:color="000000"/>
        </w:rPr>
      </w:pPr>
      <w:r>
        <w:rPr>
          <w:rFonts w:ascii="Book Antiqua Bold"/>
          <w:b w:val="1"/>
          <w:bCs w:val="1"/>
          <w:color w:val="000000"/>
          <w:sz w:val="20"/>
          <w:szCs w:val="20"/>
          <w:u w:color="000000"/>
          <w:rtl w:val="0"/>
          <w:lang w:val="it-IT"/>
        </w:rPr>
        <w:t xml:space="preserve">Tabella 9 </w:t>
      </w:r>
      <w:r>
        <w:rPr>
          <w:rFonts w:hAnsi="Book Antiqua Bold" w:hint="default"/>
          <w:b w:val="1"/>
          <w:bCs w:val="1"/>
          <w:color w:val="000000"/>
          <w:sz w:val="20"/>
          <w:szCs w:val="20"/>
          <w:u w:color="000000"/>
          <w:rtl w:val="0"/>
          <w:lang w:val="it-IT"/>
        </w:rPr>
        <w:t xml:space="preserve">– </w:t>
      </w:r>
      <w:r>
        <w:rPr>
          <w:rFonts w:ascii="Book Antiqua Bold"/>
          <w:b w:val="1"/>
          <w:bCs w:val="1"/>
          <w:color w:val="000000"/>
          <w:sz w:val="20"/>
          <w:szCs w:val="20"/>
          <w:u w:color="000000"/>
          <w:rtl w:val="0"/>
          <w:lang w:val="it-IT"/>
        </w:rPr>
        <w:t>raccolta differenziata della frazione organica del comune di Roma</w:t>
      </w:r>
    </w:p>
    <w:tbl>
      <w:tblPr>
        <w:tblW w:w="9492" w:type="dxa"/>
        <w:jc w:val="center"/>
        <w:tblInd w:w="108" w:type="dxa"/>
        <w:tblBorders>
          <w:top w:val="single" w:color="000000" w:sz="2" w:space="0" w:shadow="0" w:frame="0"/>
          <w:left w:val="single" w:color="000000" w:sz="2" w:space="0" w:shadow="0" w:frame="0"/>
          <w:bottom w:val="single" w:color="000000" w:sz="2" w:space="0" w:shadow="0" w:frame="0"/>
          <w:right w:val="single" w:color="000000" w:sz="2" w:space="0" w:shadow="0" w:frame="0"/>
          <w:insideH w:val="single" w:color="000000" w:sz="2" w:space="0" w:shadow="0" w:frame="0"/>
          <w:insideV w:val="single" w:color="000000" w:sz="2" w:space="0" w:shadow="0" w:frame="0"/>
        </w:tblBorders>
        <w:shd w:val="clear" w:color="auto" w:fill="auto"/>
        <w:tblLayout w:type="fixed"/>
      </w:tblPr>
      <w:tblGrid>
        <w:gridCol w:w="5379"/>
        <w:gridCol w:w="4113"/>
      </w:tblGrid>
      <w:tr>
        <w:tblPrEx>
          <w:shd w:val="clear" w:color="auto" w:fill="auto"/>
        </w:tblPrEx>
        <w:trPr>
          <w:trHeight w:val="481" w:hRule="atLeast"/>
        </w:trPr>
        <w:tc>
          <w:tcPr>
            <w:tcW w:type="dxa" w:w="537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c0c0c0"/>
            <w:tcMar>
              <w:top w:type="dxa" w:w="80"/>
              <w:left w:type="dxa" w:w="80"/>
              <w:bottom w:type="dxa" w:w="80"/>
              <w:right w:type="dxa" w:w="647"/>
            </w:tcMar>
            <w:vAlign w:val="bottom"/>
          </w:tcPr>
          <w:p>
            <w:pPr>
              <w:pStyle w:val="Normal"/>
              <w:ind w:left="567" w:right="567"/>
              <w:jc w:val="both"/>
            </w:pPr>
            <w:r>
              <w:rPr>
                <w:rFonts w:ascii="Times New Roman Bold"/>
                <w:caps w:val="0"/>
                <w:smallCaps w:val="0"/>
                <w:strike w:val="0"/>
                <w:dstrike w:val="0"/>
                <w:outline w:val="0"/>
                <w:color w:val="000000"/>
                <w:spacing w:val="0"/>
                <w:kern w:val="0"/>
                <w:position w:val="0"/>
                <w:sz w:val="22"/>
                <w:szCs w:val="22"/>
                <w:u w:val="none" w:color="000000"/>
                <w:vertAlign w:val="baseline"/>
                <w:rtl w:val="0"/>
                <w:lang w:val="it-IT"/>
              </w:rPr>
              <w:t>Codice dell</w:t>
            </w:r>
            <w:r>
              <w:rPr>
                <w:rFonts w:hAnsi="Times New Roman Bold" w:hint="default"/>
                <w:caps w:val="0"/>
                <w:smallCaps w:val="0"/>
                <w:strike w:val="0"/>
                <w:dstrike w:val="0"/>
                <w:outline w:val="0"/>
                <w:color w:val="000000"/>
                <w:spacing w:val="0"/>
                <w:kern w:val="0"/>
                <w:position w:val="0"/>
                <w:sz w:val="22"/>
                <w:szCs w:val="22"/>
                <w:u w:val="none" w:color="000000"/>
                <w:vertAlign w:val="baseline"/>
                <w:rtl w:val="0"/>
                <w:lang w:val="it-IT"/>
              </w:rPr>
              <w:t>’</w:t>
            </w:r>
            <w:r>
              <w:rPr>
                <w:rFonts w:ascii="Times New Roman Bold"/>
                <w:caps w:val="0"/>
                <w:smallCaps w:val="0"/>
                <w:strike w:val="0"/>
                <w:dstrike w:val="0"/>
                <w:outline w:val="0"/>
                <w:color w:val="000000"/>
                <w:spacing w:val="0"/>
                <w:kern w:val="0"/>
                <w:position w:val="0"/>
                <w:sz w:val="22"/>
                <w:szCs w:val="22"/>
                <w:u w:val="none" w:color="000000"/>
                <w:vertAlign w:val="baseline"/>
                <w:rtl w:val="0"/>
                <w:lang w:val="it-IT"/>
              </w:rPr>
              <w:t xml:space="preserve">elenco europeo dei rifiuti </w:t>
            </w:r>
          </w:p>
        </w:tc>
        <w:tc>
          <w:tcPr>
            <w:tcW w:type="dxa" w:w="411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bfbfbf"/>
            <w:tcMar>
              <w:top w:type="dxa" w:w="80"/>
              <w:left w:type="dxa" w:w="80"/>
              <w:bottom w:type="dxa" w:w="80"/>
              <w:right w:type="dxa" w:w="647"/>
            </w:tcMar>
            <w:vAlign w:val="bottom"/>
          </w:tcPr>
          <w:p>
            <w:pPr>
              <w:pStyle w:val="Normal"/>
              <w:ind w:left="567" w:right="567"/>
              <w:jc w:val="both"/>
            </w:pPr>
            <w:r>
              <w:rPr>
                <w:rFonts w:ascii="Times New Roman Bold"/>
                <w:caps w:val="0"/>
                <w:smallCaps w:val="0"/>
                <w:strike w:val="0"/>
                <w:dstrike w:val="0"/>
                <w:outline w:val="0"/>
                <w:color w:val="000000"/>
                <w:spacing w:val="0"/>
                <w:kern w:val="0"/>
                <w:position w:val="0"/>
                <w:sz w:val="24"/>
                <w:szCs w:val="24"/>
                <w:u w:val="none" w:color="000000"/>
                <w:vertAlign w:val="baseline"/>
                <w:rtl w:val="0"/>
                <w:lang w:val="it-IT"/>
              </w:rPr>
              <w:t>Quantit</w:t>
            </w:r>
            <w:r>
              <w:rPr>
                <w:rFonts w:hAnsi="Times New Roman Bold" w:hint="default"/>
                <w:caps w:val="0"/>
                <w:smallCaps w:val="0"/>
                <w:strike w:val="0"/>
                <w:dstrike w:val="0"/>
                <w:outline w:val="0"/>
                <w:color w:val="000000"/>
                <w:spacing w:val="0"/>
                <w:kern w:val="0"/>
                <w:position w:val="0"/>
                <w:sz w:val="24"/>
                <w:szCs w:val="24"/>
                <w:u w:val="none" w:color="000000"/>
                <w:vertAlign w:val="baseline"/>
                <w:rtl w:val="0"/>
                <w:lang w:val="it-IT"/>
              </w:rPr>
              <w:t xml:space="preserve">à </w:t>
            </w:r>
            <w:r>
              <w:rPr>
                <w:rFonts w:ascii="Times New Roman Bold"/>
                <w:caps w:val="0"/>
                <w:smallCaps w:val="0"/>
                <w:strike w:val="0"/>
                <w:dstrike w:val="0"/>
                <w:outline w:val="0"/>
                <w:color w:val="000000"/>
                <w:spacing w:val="0"/>
                <w:kern w:val="0"/>
                <w:position w:val="0"/>
                <w:sz w:val="24"/>
                <w:szCs w:val="24"/>
                <w:u w:val="none" w:color="000000"/>
                <w:vertAlign w:val="baseline"/>
                <w:rtl w:val="0"/>
                <w:lang w:val="it-IT"/>
              </w:rPr>
              <w:t>(t)</w:t>
            </w:r>
          </w:p>
        </w:tc>
      </w:tr>
      <w:tr>
        <w:tblPrEx>
          <w:shd w:val="clear" w:color="auto" w:fill="auto"/>
        </w:tblPrEx>
        <w:trPr>
          <w:trHeight w:val="300" w:hRule="atLeast"/>
        </w:trPr>
        <w:tc>
          <w:tcPr>
            <w:tcW w:type="dxa" w:w="537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647"/>
            </w:tcMar>
            <w:vAlign w:val="bottom"/>
          </w:tcPr>
          <w:p>
            <w:pPr>
              <w:pStyle w:val="Normal"/>
              <w:ind w:left="567" w:right="567"/>
              <w:jc w:val="both"/>
            </w:pPr>
            <w:r>
              <w:rPr>
                <w:caps w:val="0"/>
                <w:smallCaps w:val="0"/>
                <w:strike w:val="0"/>
                <w:dstrike w:val="0"/>
                <w:outline w:val="0"/>
                <w:color w:val="000000"/>
                <w:spacing w:val="0"/>
                <w:kern w:val="0"/>
                <w:position w:val="0"/>
                <w:sz w:val="24"/>
                <w:szCs w:val="24"/>
                <w:u w:val="none" w:color="000000"/>
                <w:vertAlign w:val="baseline"/>
                <w:rtl w:val="0"/>
                <w:lang w:val="it-IT"/>
              </w:rPr>
              <w:t>200108</w:t>
            </w:r>
          </w:p>
        </w:tc>
        <w:tc>
          <w:tcPr>
            <w:tcW w:type="dxa" w:w="411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647"/>
            </w:tcMar>
            <w:vAlign w:val="bottom"/>
          </w:tcPr>
          <w:p>
            <w:pPr>
              <w:pStyle w:val="Normal"/>
              <w:ind w:left="567" w:right="567"/>
              <w:jc w:val="both"/>
            </w:pPr>
            <w:r>
              <w:rPr>
                <w:caps w:val="0"/>
                <w:smallCaps w:val="0"/>
                <w:strike w:val="0"/>
                <w:dstrike w:val="0"/>
                <w:outline w:val="0"/>
                <w:color w:val="000000"/>
                <w:spacing w:val="0"/>
                <w:kern w:val="0"/>
                <w:position w:val="0"/>
                <w:sz w:val="24"/>
                <w:szCs w:val="24"/>
                <w:u w:val="none" w:color="000000"/>
                <w:vertAlign w:val="baseline"/>
                <w:rtl w:val="0"/>
                <w:lang w:val="it-IT"/>
              </w:rPr>
              <w:t>132.284,47</w:t>
            </w:r>
          </w:p>
        </w:tc>
      </w:tr>
      <w:tr>
        <w:tblPrEx>
          <w:shd w:val="clear" w:color="auto" w:fill="auto"/>
        </w:tblPrEx>
        <w:trPr>
          <w:trHeight w:val="300" w:hRule="atLeast"/>
        </w:trPr>
        <w:tc>
          <w:tcPr>
            <w:tcW w:type="dxa" w:w="537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647"/>
            </w:tcMar>
            <w:vAlign w:val="bottom"/>
          </w:tcPr>
          <w:p>
            <w:pPr>
              <w:pStyle w:val="Normal"/>
              <w:ind w:left="567" w:right="567"/>
              <w:jc w:val="both"/>
            </w:pPr>
            <w:r>
              <w:rPr>
                <w:caps w:val="0"/>
                <w:smallCaps w:val="0"/>
                <w:strike w:val="0"/>
                <w:dstrike w:val="0"/>
                <w:outline w:val="0"/>
                <w:color w:val="000000"/>
                <w:spacing w:val="0"/>
                <w:kern w:val="0"/>
                <w:position w:val="0"/>
                <w:sz w:val="24"/>
                <w:szCs w:val="24"/>
                <w:u w:val="none" w:color="000000"/>
                <w:vertAlign w:val="baseline"/>
                <w:rtl w:val="0"/>
                <w:lang w:val="it-IT"/>
              </w:rPr>
              <w:t>200302</w:t>
            </w:r>
          </w:p>
        </w:tc>
        <w:tc>
          <w:tcPr>
            <w:tcW w:type="dxa" w:w="411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647"/>
            </w:tcMar>
            <w:vAlign w:val="bottom"/>
          </w:tcPr>
          <w:p>
            <w:pPr>
              <w:pStyle w:val="Normal"/>
              <w:ind w:left="567" w:right="567"/>
              <w:jc w:val="both"/>
            </w:pPr>
            <w:r>
              <w:rPr>
                <w:caps w:val="0"/>
                <w:smallCaps w:val="0"/>
                <w:strike w:val="0"/>
                <w:dstrike w:val="0"/>
                <w:outline w:val="0"/>
                <w:color w:val="000000"/>
                <w:spacing w:val="0"/>
                <w:kern w:val="0"/>
                <w:position w:val="0"/>
                <w:sz w:val="24"/>
                <w:szCs w:val="24"/>
                <w:u w:val="none" w:color="000000"/>
                <w:vertAlign w:val="baseline"/>
                <w:rtl w:val="0"/>
                <w:lang w:val="it-IT"/>
              </w:rPr>
              <w:t>13.713</w:t>
            </w:r>
          </w:p>
        </w:tc>
      </w:tr>
      <w:tr>
        <w:tblPrEx>
          <w:shd w:val="clear" w:color="auto" w:fill="auto"/>
        </w:tblPrEx>
        <w:trPr>
          <w:trHeight w:val="300" w:hRule="atLeast"/>
        </w:trPr>
        <w:tc>
          <w:tcPr>
            <w:tcW w:type="dxa" w:w="537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647"/>
            </w:tcMar>
            <w:vAlign w:val="bottom"/>
          </w:tcPr>
          <w:p>
            <w:pPr>
              <w:pStyle w:val="Normal"/>
              <w:ind w:left="567" w:right="567"/>
              <w:jc w:val="both"/>
            </w:pPr>
            <w:r>
              <w:rPr>
                <w:caps w:val="0"/>
                <w:smallCaps w:val="0"/>
                <w:strike w:val="0"/>
                <w:dstrike w:val="0"/>
                <w:outline w:val="0"/>
                <w:color w:val="000000"/>
                <w:spacing w:val="0"/>
                <w:kern w:val="0"/>
                <w:position w:val="0"/>
                <w:sz w:val="24"/>
                <w:szCs w:val="24"/>
                <w:u w:val="none" w:color="000000"/>
                <w:vertAlign w:val="baseline"/>
                <w:rtl w:val="0"/>
                <w:lang w:val="it-IT"/>
              </w:rPr>
              <w:t>200201</w:t>
            </w:r>
          </w:p>
        </w:tc>
        <w:tc>
          <w:tcPr>
            <w:tcW w:type="dxa" w:w="411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647"/>
            </w:tcMar>
            <w:vAlign w:val="bottom"/>
          </w:tcPr>
          <w:p>
            <w:pPr>
              <w:pStyle w:val="Normal"/>
              <w:ind w:left="567" w:right="567"/>
              <w:jc w:val="both"/>
            </w:pPr>
            <w:r>
              <w:rPr>
                <w:caps w:val="0"/>
                <w:smallCaps w:val="0"/>
                <w:strike w:val="0"/>
                <w:dstrike w:val="0"/>
                <w:outline w:val="0"/>
                <w:color w:val="000000"/>
                <w:spacing w:val="0"/>
                <w:kern w:val="0"/>
                <w:position w:val="0"/>
                <w:sz w:val="24"/>
                <w:szCs w:val="24"/>
                <w:u w:val="none" w:color="000000"/>
                <w:vertAlign w:val="baseline"/>
                <w:rtl w:val="0"/>
                <w:lang w:val="it-IT"/>
              </w:rPr>
              <w:t>81.999</w:t>
            </w:r>
          </w:p>
        </w:tc>
      </w:tr>
    </w:tbl>
    <w:p>
      <w:pPr>
        <w:pStyle w:val="Normal"/>
        <w:ind w:right="567" w:firstLine="567"/>
        <w:jc w:val="center"/>
        <w:rPr>
          <w:rFonts w:ascii="Book Antiqua Bold" w:cs="Book Antiqua Bold" w:hAnsi="Book Antiqua Bold" w:eastAsia="Book Antiqua Bold"/>
          <w:b w:val="1"/>
          <w:bCs w:val="1"/>
          <w:color w:val="000000"/>
          <w:sz w:val="20"/>
          <w:szCs w:val="20"/>
          <w:u w:color="000000"/>
        </w:rPr>
      </w:pPr>
    </w:p>
    <w:p>
      <w:pPr>
        <w:pStyle w:val="Normal"/>
        <w:ind w:left="567" w:right="567" w:firstLine="0"/>
        <w:jc w:val="both"/>
        <w:rPr>
          <w:i w:val="1"/>
          <w:iCs w:val="1"/>
          <w:color w:val="000000"/>
          <w:sz w:val="20"/>
          <w:szCs w:val="20"/>
          <w:u w:color="000000"/>
        </w:rPr>
      </w:pPr>
      <w:r>
        <w:rPr>
          <w:color w:val="000000"/>
          <w:sz w:val="20"/>
          <w:szCs w:val="20"/>
          <w:u w:color="000000"/>
          <w:rtl w:val="0"/>
          <w:lang w:val="it-IT"/>
        </w:rPr>
        <w:t xml:space="preserve"> </w:t>
      </w:r>
      <w:r>
        <w:rPr>
          <w:i w:val="1"/>
          <w:iCs w:val="1"/>
          <w:color w:val="000000"/>
          <w:sz w:val="20"/>
          <w:szCs w:val="20"/>
          <w:u w:color="000000"/>
          <w:rtl w:val="0"/>
          <w:lang w:val="it-IT"/>
        </w:rPr>
        <w:t>Fonte: ISPRA 2015</w:t>
      </w:r>
    </w:p>
    <w:p>
      <w:pPr>
        <w:pStyle w:val="Normal"/>
        <w:ind w:left="567" w:right="567" w:firstLine="0"/>
        <w:jc w:val="both"/>
        <w:rPr>
          <w:rFonts w:ascii="Times New Roman Bold" w:cs="Times New Roman Bold" w:hAnsi="Times New Roman Bold" w:eastAsia="Times New Roman Bold"/>
          <w:color w:val="ffffff"/>
          <w:u w:color="ffffff"/>
        </w:rPr>
      </w:pPr>
      <w:r>
        <w:rPr>
          <w:rFonts w:ascii="Times New Roman Bold"/>
          <w:color w:val="ffffff"/>
          <w:u w:color="ffffff"/>
          <w:rtl w:val="0"/>
          <w:lang w:val="it-IT"/>
        </w:rPr>
        <w:t>Capite</w:t>
      </w:r>
    </w:p>
    <w:p>
      <w:pPr>
        <w:pStyle w:val="Normal"/>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 xml:space="preserve">Nella tabella 10 sono riportate le destinazioni delle diverse tipologie di rifiuti che compongono la frazione organica della raccolta differenziata.  </w:t>
      </w:r>
    </w:p>
    <w:p>
      <w:pPr>
        <w:pStyle w:val="Normal"/>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Come si rileva dalla lettura delle tabelle 9 e 10, la dichiarazione MUD del comune non contiene informazioni in merito alla destinazione di una quota rilevante di rifiuti biodegradabili di giardini e parchi (codice dell</w:t>
      </w:r>
      <w:r>
        <w:rPr>
          <w:rFonts w:hAnsi="Book Antiqua" w:hint="default"/>
          <w:color w:val="000000"/>
          <w:u w:color="000000"/>
          <w:rtl w:val="0"/>
          <w:lang w:val="it-IT"/>
        </w:rPr>
        <w:t>’</w:t>
      </w:r>
      <w:r>
        <w:rPr>
          <w:rFonts w:ascii="Book Antiqua"/>
          <w:color w:val="000000"/>
          <w:u w:color="000000"/>
          <w:rtl w:val="0"/>
          <w:lang w:val="it-IT"/>
        </w:rPr>
        <w:t>elenco europeo 200201)</w:t>
      </w:r>
    </w:p>
    <w:p>
      <w:pPr>
        <w:pStyle w:val="Normal"/>
        <w:ind w:left="567" w:right="567" w:firstLine="0"/>
        <w:jc w:val="both"/>
        <w:rPr>
          <w:rFonts w:ascii="Book Antiqua" w:cs="Book Antiqua" w:hAnsi="Book Antiqua" w:eastAsia="Book Antiqua"/>
          <w:color w:val="000000"/>
          <w:u w:color="000000"/>
        </w:rPr>
      </w:pPr>
    </w:p>
    <w:p>
      <w:pPr>
        <w:pStyle w:val="Normal"/>
        <w:spacing w:after="120"/>
        <w:ind w:left="567" w:right="567" w:firstLine="0"/>
        <w:jc w:val="both"/>
        <w:rPr>
          <w:rFonts w:ascii="Book Antiqua Bold" w:cs="Book Antiqua Bold" w:hAnsi="Book Antiqua Bold" w:eastAsia="Book Antiqua Bold"/>
          <w:b w:val="1"/>
          <w:bCs w:val="1"/>
          <w:color w:val="000000"/>
          <w:sz w:val="20"/>
          <w:szCs w:val="20"/>
          <w:u w:color="000000"/>
        </w:rPr>
      </w:pPr>
      <w:r>
        <w:rPr>
          <w:rFonts w:ascii="Book Antiqua Bold"/>
          <w:b w:val="1"/>
          <w:bCs w:val="1"/>
          <w:color w:val="000000"/>
          <w:sz w:val="20"/>
          <w:szCs w:val="20"/>
          <w:u w:color="000000"/>
          <w:rtl w:val="0"/>
          <w:lang w:val="it-IT"/>
        </w:rPr>
        <w:t>Tabella 10 -  Destinazione dei rifiuti della raccolta differenziata della frazione organica del comune di Roma</w:t>
      </w:r>
    </w:p>
    <w:tbl>
      <w:tblPr>
        <w:tblW w:w="8046" w:type="dxa"/>
        <w:jc w:val="center"/>
        <w:tblInd w:w="108" w:type="dxa"/>
        <w:tblBorders>
          <w:top w:val="single" w:color="000000" w:sz="2" w:space="0" w:shadow="0" w:frame="0"/>
          <w:left w:val="single" w:color="000000" w:sz="2" w:space="0" w:shadow="0" w:frame="0"/>
          <w:bottom w:val="single" w:color="000000" w:sz="2" w:space="0" w:shadow="0" w:frame="0"/>
          <w:right w:val="single" w:color="000000" w:sz="2" w:space="0" w:shadow="0" w:frame="0"/>
          <w:insideH w:val="single" w:color="000000" w:sz="2" w:space="0" w:shadow="0" w:frame="0"/>
          <w:insideV w:val="single" w:color="000000" w:sz="2" w:space="0" w:shadow="0" w:frame="0"/>
        </w:tblBorders>
        <w:shd w:val="clear" w:color="auto" w:fill="auto"/>
        <w:tblLayout w:type="fixed"/>
      </w:tblPr>
      <w:tblGrid>
        <w:gridCol w:w="2041"/>
        <w:gridCol w:w="1185"/>
        <w:gridCol w:w="1152"/>
        <w:gridCol w:w="1134"/>
        <w:gridCol w:w="2534"/>
      </w:tblGrid>
      <w:tr>
        <w:tblPrEx>
          <w:shd w:val="clear" w:color="auto" w:fill="auto"/>
        </w:tblPrEx>
        <w:trPr>
          <w:trHeight w:val="600" w:hRule="atLeast"/>
        </w:trPr>
        <w:tc>
          <w:tcPr>
            <w:tcW w:type="dxa" w:w="204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6a6a6"/>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4"/>
                <w:szCs w:val="24"/>
                <w:u w:val="none" w:color="000000"/>
                <w:vertAlign w:val="baseline"/>
                <w:rtl w:val="0"/>
                <w:lang w:val="it-IT"/>
              </w:rPr>
              <w:t>Codice dell</w:t>
            </w:r>
            <w:r>
              <w:rPr>
                <w:rFonts w:hAnsi="Times New Roman" w:hint="default"/>
                <w:caps w:val="0"/>
                <w:smallCaps w:val="0"/>
                <w:strike w:val="0"/>
                <w:dstrike w:val="0"/>
                <w:outline w:val="0"/>
                <w:color w:val="000000"/>
                <w:spacing w:val="0"/>
                <w:kern w:val="0"/>
                <w:position w:val="0"/>
                <w:sz w:val="24"/>
                <w:szCs w:val="24"/>
                <w:u w:val="none" w:color="000000"/>
                <w:vertAlign w:val="baseline"/>
                <w:rtl w:val="0"/>
                <w:lang w:val="it-IT"/>
              </w:rPr>
              <w:t>’</w:t>
            </w:r>
            <w:r>
              <w:rPr>
                <w:caps w:val="0"/>
                <w:smallCaps w:val="0"/>
                <w:strike w:val="0"/>
                <w:dstrike w:val="0"/>
                <w:outline w:val="0"/>
                <w:color w:val="000000"/>
                <w:spacing w:val="0"/>
                <w:kern w:val="0"/>
                <w:position w:val="0"/>
                <w:sz w:val="24"/>
                <w:szCs w:val="24"/>
                <w:u w:val="none" w:color="000000"/>
                <w:vertAlign w:val="baseline"/>
                <w:rtl w:val="0"/>
                <w:lang w:val="it-IT"/>
              </w:rPr>
              <w:t>elenco europeo dei rifiuti</w:t>
            </w:r>
          </w:p>
        </w:tc>
        <w:tc>
          <w:tcPr>
            <w:tcW w:type="dxa" w:w="118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6a6a6"/>
            <w:tcMar>
              <w:top w:type="dxa" w:w="80"/>
              <w:left w:type="dxa" w:w="80"/>
              <w:bottom w:type="dxa" w:w="80"/>
              <w:right w:type="dxa" w:w="80"/>
            </w:tcMar>
            <w:vAlign w:val="center"/>
          </w:tcPr>
          <w:p>
            <w:pPr>
              <w:pStyle w:val="Normal"/>
              <w:jc w:val="center"/>
            </w:pPr>
            <w:r>
              <w:rPr>
                <w:caps w:val="0"/>
                <w:smallCaps w:val="0"/>
                <w:strike w:val="0"/>
                <w:dstrike w:val="0"/>
                <w:outline w:val="0"/>
                <w:color w:val="000000"/>
                <w:spacing w:val="0"/>
                <w:kern w:val="0"/>
                <w:position w:val="0"/>
                <w:sz w:val="24"/>
                <w:szCs w:val="24"/>
                <w:u w:val="none" w:color="000000"/>
                <w:vertAlign w:val="baseline"/>
                <w:rtl w:val="0"/>
                <w:lang w:val="it-IT"/>
              </w:rPr>
              <w:t>Quantit</w:t>
            </w:r>
            <w:r>
              <w:rPr>
                <w:rFonts w:hAnsi="Times New Roman" w:hint="default"/>
                <w:caps w:val="0"/>
                <w:smallCaps w:val="0"/>
                <w:strike w:val="0"/>
                <w:dstrike w:val="0"/>
                <w:outline w:val="0"/>
                <w:color w:val="000000"/>
                <w:spacing w:val="0"/>
                <w:kern w:val="0"/>
                <w:position w:val="0"/>
                <w:sz w:val="24"/>
                <w:szCs w:val="24"/>
                <w:u w:val="none" w:color="000000"/>
                <w:vertAlign w:val="baseline"/>
                <w:rtl w:val="0"/>
                <w:lang w:val="it-IT"/>
              </w:rPr>
              <w:t xml:space="preserve">à </w:t>
            </w:r>
            <w:r>
              <w:rPr>
                <w:caps w:val="0"/>
                <w:smallCaps w:val="0"/>
                <w:strike w:val="0"/>
                <w:dstrike w:val="0"/>
                <w:outline w:val="0"/>
                <w:color w:val="000000"/>
                <w:spacing w:val="0"/>
                <w:kern w:val="0"/>
                <w:position w:val="0"/>
                <w:sz w:val="24"/>
                <w:szCs w:val="24"/>
                <w:u w:val="none" w:color="000000"/>
                <w:vertAlign w:val="baseline"/>
                <w:rtl w:val="0"/>
                <w:lang w:val="it-IT"/>
              </w:rPr>
              <w:t>(t)</w:t>
            </w:r>
          </w:p>
        </w:tc>
        <w:tc>
          <w:tcPr>
            <w:tcW w:type="dxa" w:w="11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6a6a6"/>
            <w:tcMar>
              <w:top w:type="dxa" w:w="80"/>
              <w:left w:type="dxa" w:w="80"/>
              <w:bottom w:type="dxa" w:w="80"/>
              <w:right w:type="dxa" w:w="80"/>
            </w:tcMar>
            <w:vAlign w:val="center"/>
          </w:tcPr>
          <w:p>
            <w:pPr>
              <w:pStyle w:val="Normal"/>
              <w:jc w:val="center"/>
            </w:pPr>
            <w:r>
              <w:rPr>
                <w:caps w:val="0"/>
                <w:smallCaps w:val="0"/>
                <w:strike w:val="0"/>
                <w:dstrike w:val="0"/>
                <w:outline w:val="0"/>
                <w:color w:val="000000"/>
                <w:spacing w:val="0"/>
                <w:kern w:val="0"/>
                <w:position w:val="0"/>
                <w:sz w:val="24"/>
                <w:szCs w:val="24"/>
                <w:u w:val="none" w:color="000000"/>
                <w:vertAlign w:val="baseline"/>
                <w:rtl w:val="0"/>
                <w:lang w:val="it-IT"/>
              </w:rPr>
              <w:t>Provincia</w:t>
            </w:r>
          </w:p>
        </w:tc>
        <w:tc>
          <w:tcPr>
            <w:tcW w:type="dxa" w:w="113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6a6a6"/>
            <w:tcMar>
              <w:top w:type="dxa" w:w="80"/>
              <w:left w:type="dxa" w:w="80"/>
              <w:bottom w:type="dxa" w:w="80"/>
              <w:right w:type="dxa" w:w="80"/>
            </w:tcMar>
            <w:vAlign w:val="center"/>
          </w:tcPr>
          <w:p>
            <w:pPr>
              <w:pStyle w:val="Normal"/>
              <w:jc w:val="center"/>
            </w:pPr>
            <w:r>
              <w:rPr>
                <w:caps w:val="0"/>
                <w:smallCaps w:val="0"/>
                <w:strike w:val="0"/>
                <w:dstrike w:val="0"/>
                <w:outline w:val="0"/>
                <w:color w:val="000000"/>
                <w:spacing w:val="0"/>
                <w:kern w:val="0"/>
                <w:position w:val="0"/>
                <w:sz w:val="24"/>
                <w:szCs w:val="24"/>
                <w:u w:val="none" w:color="000000"/>
                <w:vertAlign w:val="baseline"/>
                <w:rtl w:val="0"/>
                <w:lang w:val="it-IT"/>
              </w:rPr>
              <w:t>Comune</w:t>
            </w:r>
          </w:p>
        </w:tc>
        <w:tc>
          <w:tcPr>
            <w:tcW w:type="dxa" w:w="253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6a6a6"/>
            <w:tcMar>
              <w:top w:type="dxa" w:w="80"/>
              <w:left w:type="dxa" w:w="80"/>
              <w:bottom w:type="dxa" w:w="80"/>
              <w:right w:type="dxa" w:w="80"/>
            </w:tcMar>
            <w:vAlign w:val="center"/>
          </w:tcPr>
          <w:p>
            <w:pPr>
              <w:pStyle w:val="Normal"/>
              <w:jc w:val="center"/>
            </w:pPr>
            <w:r>
              <w:rPr>
                <w:caps w:val="0"/>
                <w:smallCaps w:val="0"/>
                <w:strike w:val="0"/>
                <w:dstrike w:val="0"/>
                <w:outline w:val="0"/>
                <w:color w:val="000000"/>
                <w:spacing w:val="0"/>
                <w:kern w:val="0"/>
                <w:position w:val="0"/>
                <w:sz w:val="24"/>
                <w:szCs w:val="24"/>
                <w:u w:val="none" w:color="000000"/>
                <w:vertAlign w:val="baseline"/>
                <w:rtl w:val="0"/>
                <w:lang w:val="it-IT"/>
              </w:rPr>
              <w:t>Ragione sociale</w:t>
            </w:r>
          </w:p>
        </w:tc>
      </w:tr>
      <w:tr>
        <w:tblPrEx>
          <w:shd w:val="clear" w:color="auto" w:fill="auto"/>
        </w:tblPrEx>
        <w:trPr>
          <w:trHeight w:val="250" w:hRule="atLeast"/>
        </w:trPr>
        <w:tc>
          <w:tcPr>
            <w:tcW w:type="dxa" w:w="2041"/>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Normal"/>
              <w:jc w:val="right"/>
            </w:pPr>
            <w:r>
              <w:rPr>
                <w:caps w:val="0"/>
                <w:smallCaps w:val="0"/>
                <w:strike w:val="0"/>
                <w:dstrike w:val="0"/>
                <w:outline w:val="0"/>
                <w:color w:val="000000"/>
                <w:spacing w:val="0"/>
                <w:kern w:val="0"/>
                <w:position w:val="0"/>
                <w:sz w:val="22"/>
                <w:szCs w:val="22"/>
                <w:u w:val="none" w:color="000000"/>
                <w:vertAlign w:val="baseline"/>
                <w:rtl w:val="0"/>
                <w:lang w:val="it-IT"/>
              </w:rPr>
              <w:t>200108</w:t>
            </w:r>
          </w:p>
        </w:tc>
        <w:tc>
          <w:tcPr>
            <w:tcW w:type="dxa" w:w="118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2"/>
                <w:szCs w:val="22"/>
                <w:u w:val="none" w:color="000000"/>
                <w:vertAlign w:val="baseline"/>
                <w:rtl w:val="0"/>
                <w:lang w:val="it-IT"/>
              </w:rPr>
              <w:t>15.865</w:t>
            </w:r>
          </w:p>
        </w:tc>
        <w:tc>
          <w:tcPr>
            <w:tcW w:type="dxa" w:w="11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center"/>
            </w:pPr>
            <w:r>
              <w:rPr>
                <w:caps w:val="0"/>
                <w:smallCaps w:val="0"/>
                <w:strike w:val="0"/>
                <w:dstrike w:val="0"/>
                <w:outline w:val="0"/>
                <w:color w:val="000000"/>
                <w:spacing w:val="0"/>
                <w:kern w:val="0"/>
                <w:position w:val="0"/>
                <w:sz w:val="22"/>
                <w:szCs w:val="22"/>
                <w:u w:val="none" w:color="000000"/>
                <w:vertAlign w:val="baseline"/>
                <w:rtl w:val="0"/>
                <w:lang w:val="it-IT"/>
              </w:rPr>
              <w:t>PN</w:t>
            </w:r>
          </w:p>
        </w:tc>
        <w:tc>
          <w:tcPr>
            <w:tcW w:type="dxa" w:w="113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2"/>
                <w:szCs w:val="22"/>
                <w:u w:val="none" w:color="000000"/>
                <w:vertAlign w:val="baseline"/>
                <w:rtl w:val="0"/>
                <w:lang w:val="it-IT"/>
              </w:rPr>
              <w:t>Maniago</w:t>
            </w:r>
          </w:p>
        </w:tc>
        <w:tc>
          <w:tcPr>
            <w:tcW w:type="dxa" w:w="253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2"/>
                <w:szCs w:val="22"/>
                <w:u w:val="none" w:color="000000"/>
                <w:vertAlign w:val="baseline"/>
                <w:rtl w:val="0"/>
                <w:lang w:val="it-IT"/>
              </w:rPr>
              <w:t>BIOMAN S.p.A.</w:t>
            </w:r>
          </w:p>
        </w:tc>
      </w:tr>
      <w:tr>
        <w:tblPrEx>
          <w:shd w:val="clear" w:color="auto" w:fill="auto"/>
        </w:tblPrEx>
        <w:trPr>
          <w:trHeight w:val="481" w:hRule="atLeast"/>
        </w:trPr>
        <w:tc>
          <w:tcPr>
            <w:tcW w:type="dxa" w:w="2041"/>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Pr>
          <w:p/>
        </w:tc>
        <w:tc>
          <w:tcPr>
            <w:tcW w:type="dxa" w:w="118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2"/>
                <w:szCs w:val="22"/>
                <w:u w:val="none" w:color="000000"/>
                <w:vertAlign w:val="baseline"/>
                <w:rtl w:val="0"/>
                <w:lang w:val="it-IT"/>
              </w:rPr>
              <w:t>99.051</w:t>
            </w:r>
          </w:p>
        </w:tc>
        <w:tc>
          <w:tcPr>
            <w:tcW w:type="dxa" w:w="11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caps w:val="0"/>
                <w:smallCaps w:val="0"/>
                <w:strike w:val="0"/>
                <w:dstrike w:val="0"/>
                <w:outline w:val="0"/>
                <w:color w:val="000000"/>
                <w:spacing w:val="0"/>
                <w:kern w:val="0"/>
                <w:position w:val="0"/>
                <w:sz w:val="22"/>
                <w:szCs w:val="22"/>
                <w:u w:val="none" w:color="000000"/>
                <w:vertAlign w:val="baseline"/>
                <w:rtl w:val="0"/>
                <w:lang w:val="it-IT"/>
              </w:rPr>
              <w:t>RM</w:t>
            </w:r>
          </w:p>
        </w:tc>
        <w:tc>
          <w:tcPr>
            <w:tcW w:type="dxa" w:w="113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2"/>
                <w:szCs w:val="22"/>
                <w:u w:val="none" w:color="000000"/>
                <w:vertAlign w:val="baseline"/>
                <w:rtl w:val="0"/>
                <w:lang w:val="it-IT"/>
              </w:rPr>
              <w:t>Roma</w:t>
            </w:r>
          </w:p>
        </w:tc>
        <w:tc>
          <w:tcPr>
            <w:tcW w:type="dxa" w:w="253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2"/>
                <w:szCs w:val="22"/>
                <w:u w:val="none" w:color="000000"/>
                <w:vertAlign w:val="baseline"/>
                <w:rtl w:val="0"/>
                <w:lang w:val="it-IT"/>
              </w:rPr>
              <w:t>AMA IMPIANTO DI MACCARESE</w:t>
            </w:r>
          </w:p>
        </w:tc>
      </w:tr>
      <w:tr>
        <w:tblPrEx>
          <w:shd w:val="clear" w:color="auto" w:fill="auto"/>
        </w:tblPrEx>
        <w:trPr>
          <w:trHeight w:val="250" w:hRule="atLeast"/>
        </w:trPr>
        <w:tc>
          <w:tcPr>
            <w:tcW w:type="dxa" w:w="2041"/>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Pr>
          <w:p/>
        </w:tc>
        <w:tc>
          <w:tcPr>
            <w:tcW w:type="dxa" w:w="118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2"/>
                <w:szCs w:val="22"/>
                <w:u w:val="none" w:color="000000"/>
                <w:vertAlign w:val="baseline"/>
                <w:rtl w:val="0"/>
                <w:lang w:val="it-IT"/>
              </w:rPr>
              <w:t>16.072</w:t>
            </w:r>
          </w:p>
        </w:tc>
        <w:tc>
          <w:tcPr>
            <w:tcW w:type="dxa" w:w="11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center"/>
            </w:pPr>
            <w:r>
              <w:rPr>
                <w:caps w:val="0"/>
                <w:smallCaps w:val="0"/>
                <w:strike w:val="0"/>
                <w:dstrike w:val="0"/>
                <w:outline w:val="0"/>
                <w:color w:val="000000"/>
                <w:spacing w:val="0"/>
                <w:kern w:val="0"/>
                <w:position w:val="0"/>
                <w:sz w:val="22"/>
                <w:szCs w:val="22"/>
                <w:u w:val="none" w:color="000000"/>
                <w:vertAlign w:val="baseline"/>
                <w:rtl w:val="0"/>
                <w:lang w:val="it-IT"/>
              </w:rPr>
              <w:t>PD</w:t>
            </w:r>
          </w:p>
        </w:tc>
        <w:tc>
          <w:tcPr>
            <w:tcW w:type="dxa" w:w="113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2"/>
                <w:szCs w:val="22"/>
                <w:u w:val="none" w:color="000000"/>
                <w:vertAlign w:val="baseline"/>
                <w:rtl w:val="0"/>
                <w:lang w:val="it-IT"/>
              </w:rPr>
              <w:t>Este</w:t>
            </w:r>
          </w:p>
        </w:tc>
        <w:tc>
          <w:tcPr>
            <w:tcW w:type="dxa" w:w="253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2"/>
                <w:szCs w:val="22"/>
                <w:u w:val="none" w:color="000000"/>
                <w:vertAlign w:val="baseline"/>
                <w:rtl w:val="0"/>
                <w:lang w:val="it-IT"/>
              </w:rPr>
              <w:t>SESA S.p.A.</w:t>
            </w:r>
          </w:p>
        </w:tc>
      </w:tr>
      <w:tr>
        <w:tblPrEx>
          <w:shd w:val="clear" w:color="auto" w:fill="auto"/>
        </w:tblPrEx>
        <w:trPr>
          <w:trHeight w:val="481" w:hRule="atLeast"/>
        </w:trPr>
        <w:tc>
          <w:tcPr>
            <w:tcW w:type="dxa" w:w="204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2"/>
                <w:szCs w:val="22"/>
                <w:u w:val="none" w:color="000000"/>
                <w:vertAlign w:val="baseline"/>
                <w:rtl w:val="0"/>
                <w:lang w:val="it-IT"/>
              </w:rPr>
              <w:t>200302</w:t>
            </w:r>
          </w:p>
        </w:tc>
        <w:tc>
          <w:tcPr>
            <w:tcW w:type="dxa" w:w="118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2"/>
                <w:szCs w:val="22"/>
                <w:u w:val="none" w:color="000000"/>
                <w:vertAlign w:val="baseline"/>
                <w:rtl w:val="0"/>
                <w:lang w:val="it-IT"/>
              </w:rPr>
              <w:t>13.713</w:t>
            </w:r>
          </w:p>
        </w:tc>
        <w:tc>
          <w:tcPr>
            <w:tcW w:type="dxa" w:w="11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caps w:val="0"/>
                <w:smallCaps w:val="0"/>
                <w:strike w:val="0"/>
                <w:dstrike w:val="0"/>
                <w:outline w:val="0"/>
                <w:color w:val="000000"/>
                <w:spacing w:val="0"/>
                <w:kern w:val="0"/>
                <w:position w:val="0"/>
                <w:sz w:val="22"/>
                <w:szCs w:val="22"/>
                <w:u w:val="none" w:color="000000"/>
                <w:vertAlign w:val="baseline"/>
                <w:rtl w:val="0"/>
                <w:lang w:val="it-IT"/>
              </w:rPr>
              <w:t>RM</w:t>
            </w:r>
          </w:p>
        </w:tc>
        <w:tc>
          <w:tcPr>
            <w:tcW w:type="dxa" w:w="113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Normal"/>
            </w:pPr>
            <w:r>
              <w:rPr>
                <w:caps w:val="0"/>
                <w:smallCaps w:val="0"/>
                <w:strike w:val="0"/>
                <w:dstrike w:val="0"/>
                <w:outline w:val="0"/>
                <w:color w:val="000000"/>
                <w:spacing w:val="0"/>
                <w:kern w:val="0"/>
                <w:position w:val="0"/>
                <w:sz w:val="22"/>
                <w:szCs w:val="22"/>
                <w:u w:val="none" w:color="000000"/>
                <w:vertAlign w:val="baseline"/>
                <w:rtl w:val="0"/>
                <w:lang w:val="it-IT"/>
              </w:rPr>
              <w:t>Fiumicino</w:t>
            </w:r>
          </w:p>
        </w:tc>
        <w:tc>
          <w:tcPr>
            <w:tcW w:type="dxa" w:w="253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2"/>
                <w:szCs w:val="22"/>
                <w:u w:val="none" w:color="000000"/>
                <w:vertAlign w:val="baseline"/>
                <w:rtl w:val="0"/>
                <w:lang w:val="it-IT"/>
              </w:rPr>
              <w:t>AMA IMPIANTO DI MACCARESE</w:t>
            </w:r>
          </w:p>
        </w:tc>
      </w:tr>
      <w:tr>
        <w:tblPrEx>
          <w:shd w:val="clear" w:color="auto" w:fill="auto"/>
        </w:tblPrEx>
        <w:trPr>
          <w:trHeight w:val="481" w:hRule="atLeast"/>
        </w:trPr>
        <w:tc>
          <w:tcPr>
            <w:tcW w:type="dxa" w:w="2041"/>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2"/>
                <w:szCs w:val="22"/>
                <w:u w:val="none" w:color="000000"/>
                <w:vertAlign w:val="baseline"/>
                <w:rtl w:val="0"/>
                <w:lang w:val="it-IT"/>
              </w:rPr>
              <w:t>200201</w:t>
            </w:r>
          </w:p>
        </w:tc>
        <w:tc>
          <w:tcPr>
            <w:tcW w:type="dxa" w:w="118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2"/>
                <w:szCs w:val="22"/>
                <w:u w:val="none" w:color="000000"/>
                <w:vertAlign w:val="baseline"/>
                <w:rtl w:val="0"/>
                <w:lang w:val="it-IT"/>
              </w:rPr>
              <w:t>62</w:t>
            </w:r>
          </w:p>
        </w:tc>
        <w:tc>
          <w:tcPr>
            <w:tcW w:type="dxa" w:w="11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caps w:val="0"/>
                <w:smallCaps w:val="0"/>
                <w:strike w:val="0"/>
                <w:dstrike w:val="0"/>
                <w:outline w:val="0"/>
                <w:color w:val="000000"/>
                <w:spacing w:val="0"/>
                <w:kern w:val="0"/>
                <w:position w:val="0"/>
                <w:sz w:val="22"/>
                <w:szCs w:val="22"/>
                <w:u w:val="none" w:color="000000"/>
                <w:vertAlign w:val="baseline"/>
                <w:rtl w:val="0"/>
                <w:lang w:val="it-IT"/>
              </w:rPr>
              <w:t>RM</w:t>
            </w:r>
          </w:p>
        </w:tc>
        <w:tc>
          <w:tcPr>
            <w:tcW w:type="dxa" w:w="113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pPr>
            <w:r>
              <w:rPr>
                <w:caps w:val="0"/>
                <w:smallCaps w:val="0"/>
                <w:strike w:val="0"/>
                <w:dstrike w:val="0"/>
                <w:outline w:val="0"/>
                <w:color w:val="000000"/>
                <w:spacing w:val="0"/>
                <w:kern w:val="0"/>
                <w:position w:val="0"/>
                <w:sz w:val="22"/>
                <w:szCs w:val="22"/>
                <w:u w:val="none" w:color="000000"/>
                <w:vertAlign w:val="baseline"/>
                <w:rtl w:val="0"/>
                <w:lang w:val="it-IT"/>
              </w:rPr>
              <w:t>Fiumicino</w:t>
            </w:r>
          </w:p>
        </w:tc>
        <w:tc>
          <w:tcPr>
            <w:tcW w:type="dxa" w:w="253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2"/>
                <w:szCs w:val="22"/>
                <w:u w:val="none" w:color="000000"/>
                <w:vertAlign w:val="baseline"/>
                <w:rtl w:val="0"/>
                <w:lang w:val="it-IT"/>
              </w:rPr>
              <w:t>AMA IMPIANTO DI MACCARESE</w:t>
            </w:r>
          </w:p>
        </w:tc>
      </w:tr>
      <w:tr>
        <w:tblPrEx>
          <w:shd w:val="clear" w:color="auto" w:fill="auto"/>
        </w:tblPrEx>
        <w:trPr>
          <w:trHeight w:val="481" w:hRule="atLeast"/>
        </w:trPr>
        <w:tc>
          <w:tcPr>
            <w:tcW w:type="dxa" w:w="2041"/>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Pr>
          <w:p/>
        </w:tc>
        <w:tc>
          <w:tcPr>
            <w:tcW w:type="dxa" w:w="118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jc w:val="right"/>
            </w:pPr>
            <w:r>
              <w:rPr>
                <w:caps w:val="0"/>
                <w:smallCaps w:val="0"/>
                <w:strike w:val="0"/>
                <w:dstrike w:val="0"/>
                <w:outline w:val="0"/>
                <w:color w:val="000000"/>
                <w:spacing w:val="0"/>
                <w:kern w:val="0"/>
                <w:position w:val="0"/>
                <w:sz w:val="22"/>
                <w:szCs w:val="22"/>
                <w:u w:val="none" w:color="000000"/>
                <w:vertAlign w:val="baseline"/>
                <w:rtl w:val="0"/>
                <w:lang w:val="it-IT"/>
              </w:rPr>
              <w:t>10.355</w:t>
            </w:r>
          </w:p>
        </w:tc>
        <w:tc>
          <w:tcPr>
            <w:tcW w:type="dxa" w:w="11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caps w:val="0"/>
                <w:smallCaps w:val="0"/>
                <w:strike w:val="0"/>
                <w:dstrike w:val="0"/>
                <w:outline w:val="0"/>
                <w:color w:val="000000"/>
                <w:spacing w:val="0"/>
                <w:kern w:val="0"/>
                <w:position w:val="0"/>
                <w:sz w:val="22"/>
                <w:szCs w:val="22"/>
                <w:u w:val="none" w:color="000000"/>
                <w:vertAlign w:val="baseline"/>
                <w:rtl w:val="0"/>
                <w:lang w:val="it-IT"/>
              </w:rPr>
              <w:t>RM</w:t>
            </w:r>
          </w:p>
        </w:tc>
        <w:tc>
          <w:tcPr>
            <w:tcW w:type="dxa" w:w="113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2"/>
                <w:szCs w:val="22"/>
                <w:u w:val="none" w:color="000000"/>
                <w:vertAlign w:val="baseline"/>
                <w:rtl w:val="0"/>
                <w:lang w:val="it-IT"/>
              </w:rPr>
              <w:t>Roma</w:t>
            </w:r>
          </w:p>
        </w:tc>
        <w:tc>
          <w:tcPr>
            <w:tcW w:type="dxa" w:w="253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pPr>
            <w:r>
              <w:rPr>
                <w:caps w:val="0"/>
                <w:smallCaps w:val="0"/>
                <w:strike w:val="0"/>
                <w:dstrike w:val="0"/>
                <w:outline w:val="0"/>
                <w:color w:val="000000"/>
                <w:spacing w:val="0"/>
                <w:kern w:val="0"/>
                <w:position w:val="0"/>
                <w:sz w:val="22"/>
                <w:szCs w:val="22"/>
                <w:u w:val="none" w:color="000000"/>
                <w:vertAlign w:val="baseline"/>
                <w:rtl w:val="0"/>
                <w:lang w:val="en-US"/>
              </w:rPr>
              <w:t>TECNOGARDEN SERVICE S.r.l.</w:t>
            </w:r>
          </w:p>
        </w:tc>
      </w:tr>
    </w:tbl>
    <w:p>
      <w:pPr>
        <w:pStyle w:val="Normal"/>
        <w:spacing w:after="120"/>
        <w:ind w:right="567" w:firstLine="567"/>
        <w:jc w:val="center"/>
        <w:rPr>
          <w:rFonts w:ascii="Book Antiqua Bold" w:cs="Book Antiqua Bold" w:hAnsi="Book Antiqua Bold" w:eastAsia="Book Antiqua Bold"/>
          <w:b w:val="1"/>
          <w:bCs w:val="1"/>
          <w:color w:val="000000"/>
          <w:sz w:val="20"/>
          <w:szCs w:val="20"/>
          <w:u w:color="000000"/>
        </w:rPr>
      </w:pPr>
    </w:p>
    <w:p>
      <w:pPr>
        <w:pStyle w:val="Normal"/>
        <w:spacing w:after="120"/>
        <w:ind w:firstLine="567"/>
        <w:jc w:val="both"/>
        <w:rPr>
          <w:i w:val="1"/>
          <w:iCs w:val="1"/>
          <w:color w:val="000000"/>
          <w:sz w:val="20"/>
          <w:szCs w:val="20"/>
          <w:u w:color="000000"/>
        </w:rPr>
      </w:pPr>
      <w:r>
        <w:rPr>
          <w:i w:val="1"/>
          <w:iCs w:val="1"/>
          <w:color w:val="000000"/>
          <w:sz w:val="20"/>
          <w:szCs w:val="20"/>
          <w:u w:color="000000"/>
          <w:rtl w:val="0"/>
          <w:lang w:val="it-IT"/>
        </w:rPr>
        <w:t xml:space="preserve">Fonte: ISPRA </w:t>
      </w: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rPr>
      </w:pPr>
      <w:r>
        <w:rPr>
          <w:rFonts w:ascii="Book Antiqua"/>
          <w:rtl w:val="0"/>
          <w:lang w:val="it-IT"/>
        </w:rPr>
        <w:t>Va precisato che l</w:t>
      </w:r>
      <w:r>
        <w:rPr>
          <w:rFonts w:hAnsi="Book Antiqua" w:hint="default"/>
          <w:rtl w:val="0"/>
          <w:lang w:val="it-IT"/>
        </w:rPr>
        <w:t>’</w:t>
      </w:r>
      <w:r>
        <w:rPr>
          <w:rFonts w:ascii="Book Antiqua"/>
          <w:rtl w:val="0"/>
          <w:lang w:val="it-IT"/>
        </w:rPr>
        <w:t>impianto AMA di Maccarese ha funzionato principalmente come mera stazione di trasferenza: in concreto, nel 2015 (come si vedr</w:t>
      </w:r>
      <w:r>
        <w:rPr>
          <w:rFonts w:hAnsi="Book Antiqua" w:hint="default"/>
          <w:rtl w:val="0"/>
          <w:lang w:val="it-IT"/>
        </w:rPr>
        <w:t xml:space="preserve">à </w:t>
      </w:r>
      <w:r>
        <w:rPr>
          <w:rFonts w:ascii="Book Antiqua"/>
          <w:rtl w:val="0"/>
          <w:lang w:val="it-IT"/>
        </w:rPr>
        <w:t xml:space="preserve">nella specifica tabella inserita nel </w:t>
      </w:r>
      <w:r>
        <w:rPr>
          <w:rFonts w:hAnsi="Book Antiqua" w:hint="default"/>
          <w:rtl w:val="0"/>
          <w:lang w:val="it-IT"/>
        </w:rPr>
        <w:t xml:space="preserve">§ </w:t>
      </w:r>
      <w:r>
        <w:rPr>
          <w:rFonts w:ascii="Book Antiqua"/>
          <w:rtl w:val="0"/>
          <w:lang w:val="it-IT"/>
        </w:rPr>
        <w:t>2.2.2.6) sono state tratte dall</w:t>
      </w:r>
      <w:r>
        <w:rPr>
          <w:rFonts w:hAnsi="Book Antiqua" w:hint="default"/>
          <w:rtl w:val="0"/>
          <w:lang w:val="it-IT"/>
        </w:rPr>
        <w:t>’</w:t>
      </w:r>
      <w:r>
        <w:rPr>
          <w:rFonts w:ascii="Book Antiqua"/>
          <w:rtl w:val="0"/>
          <w:lang w:val="it-IT"/>
        </w:rPr>
        <w:t>AMA a Maccarese  circa 19.400 tonnellate e trasferite fuori regione 93.900 tonnellate di frazione organica.</w:t>
      </w:r>
    </w:p>
    <w:p>
      <w:pPr>
        <w:pStyle w:val="Normal"/>
        <w:ind w:left="567" w:right="567" w:firstLine="0"/>
        <w:jc w:val="both"/>
        <w:rPr>
          <w:rFonts w:ascii="Book Antiqua" w:cs="Book Antiqua" w:hAnsi="Book Antiqua" w:eastAsia="Book Antiqua"/>
        </w:rPr>
      </w:pPr>
      <w:r>
        <w:rPr>
          <w:rFonts w:ascii="Book Antiqua"/>
          <w:rtl w:val="0"/>
          <w:lang w:val="it-IT"/>
        </w:rPr>
        <w:t>L</w:t>
      </w:r>
      <w:r>
        <w:rPr>
          <w:rFonts w:hAnsi="Book Antiqua" w:hint="default"/>
          <w:rtl w:val="0"/>
          <w:lang w:val="it-IT"/>
        </w:rPr>
        <w:t>’</w:t>
      </w:r>
      <w:r>
        <w:rPr>
          <w:rFonts w:ascii="Book Antiqua"/>
          <w:rtl w:val="0"/>
          <w:lang w:val="it-IT"/>
        </w:rPr>
        <w:t>analisi dei dati evidenzia dunque gi</w:t>
      </w:r>
      <w:r>
        <w:rPr>
          <w:rFonts w:hAnsi="Book Antiqua" w:hint="default"/>
          <w:rtl w:val="0"/>
          <w:lang w:val="it-IT"/>
        </w:rPr>
        <w:t xml:space="preserve">à </w:t>
      </w:r>
      <w:r>
        <w:rPr>
          <w:rFonts w:ascii="Book Antiqua"/>
          <w:rtl w:val="0"/>
          <w:lang w:val="it-IT"/>
        </w:rPr>
        <w:t>al 2015 un elevato deficit impiantistico anche per quanto riguarda la parte umida.</w:t>
      </w:r>
    </w:p>
    <w:p>
      <w:pPr>
        <w:pStyle w:val="Normal"/>
        <w:ind w:left="567" w:right="567" w:firstLine="0"/>
        <w:jc w:val="both"/>
        <w:rPr>
          <w:rFonts w:ascii="Book Antiqua" w:cs="Book Antiqua" w:hAnsi="Book Antiqua" w:eastAsia="Book Antiqua"/>
        </w:rPr>
      </w:pPr>
      <w:r>
        <w:rPr>
          <w:rFonts w:ascii="Book Antiqua"/>
          <w:rtl w:val="0"/>
          <w:lang w:val="it-IT"/>
        </w:rPr>
        <w:t xml:space="preserve">Su questo argomento si </w:t>
      </w:r>
      <w:r>
        <w:rPr>
          <w:rFonts w:hAnsi="Book Antiqua" w:hint="default"/>
          <w:rtl w:val="0"/>
          <w:lang w:val="it-IT"/>
        </w:rPr>
        <w:t xml:space="preserve">è </w:t>
      </w:r>
      <w:r>
        <w:rPr>
          <w:rFonts w:ascii="Book Antiqua"/>
          <w:rtl w:val="0"/>
          <w:lang w:val="it-IT"/>
        </w:rPr>
        <w:t>espresso dinanzi alla Commissione il</w:t>
      </w:r>
      <w:r>
        <w:rPr>
          <w:rFonts w:ascii="Book Antiqua Bold"/>
          <w:b w:val="1"/>
          <w:bCs w:val="1"/>
          <w:rtl w:val="0"/>
          <w:lang w:val="it-IT"/>
        </w:rPr>
        <w:t xml:space="preserve"> </w:t>
      </w:r>
      <w:r>
        <w:rPr>
          <w:rFonts w:ascii="Book Antiqua"/>
          <w:rtl w:val="0"/>
          <w:lang w:val="it-IT"/>
        </w:rPr>
        <w:t>presidente pro tempore del consiglio di amministrazione di AMA S.p.A., Daniele Fortini, nell</w:t>
      </w:r>
      <w:r>
        <w:rPr>
          <w:rFonts w:hAnsi="Book Antiqua" w:hint="default"/>
          <w:rtl w:val="0"/>
          <w:lang w:val="it-IT"/>
        </w:rPr>
        <w:t>’</w:t>
      </w:r>
      <w:r>
        <w:rPr>
          <w:rFonts w:ascii="Book Antiqua"/>
          <w:rtl w:val="0"/>
          <w:lang w:val="it-IT"/>
        </w:rPr>
        <w:t>audizione del 2 agosto 2016:</w:t>
      </w:r>
    </w:p>
    <w:p>
      <w:pPr>
        <w:pStyle w:val="Normal"/>
        <w:ind w:left="567" w:right="567" w:firstLine="0"/>
        <w:jc w:val="both"/>
        <w:rPr>
          <w:rFonts w:ascii="Book Antiqua" w:cs="Book Antiqua" w:hAnsi="Book Antiqua" w:eastAsia="Book Antiqua"/>
        </w:rPr>
      </w:pPr>
      <w:r>
        <w:rPr>
          <w:rFonts w:hAnsi="Book Antiqua" w:hint="default"/>
          <w:rtl w:val="0"/>
          <w:lang w:val="it-IT"/>
        </w:rPr>
        <w:t>“</w:t>
      </w:r>
      <w:r>
        <w:rPr>
          <w:rFonts w:ascii="Book Antiqua"/>
          <w:rtl w:val="0"/>
          <w:lang w:val="it-IT"/>
        </w:rPr>
        <w:t>Oggi noi portiamo decine e decine di migliaia di tonnellate all</w:t>
      </w:r>
      <w:r>
        <w:rPr>
          <w:rFonts w:hAnsi="Book Antiqua" w:hint="default"/>
          <w:rtl w:val="0"/>
          <w:lang w:val="it-IT"/>
        </w:rPr>
        <w:t>’</w:t>
      </w:r>
      <w:r>
        <w:rPr>
          <w:rFonts w:ascii="Book Antiqua"/>
          <w:rtl w:val="0"/>
          <w:lang w:val="it-IT"/>
        </w:rPr>
        <w:t>anno, con un importante traffico di veicoli pesanti, a Pordenone, a 650 chilometri di distanza. Una societ</w:t>
      </w:r>
      <w:r>
        <w:rPr>
          <w:rFonts w:hAnsi="Book Antiqua" w:hint="default"/>
          <w:rtl w:val="0"/>
          <w:lang w:val="it-IT"/>
        </w:rPr>
        <w:t>à</w:t>
      </w:r>
      <w:r>
        <w:rPr>
          <w:rFonts w:ascii="Book Antiqua"/>
          <w:rtl w:val="0"/>
          <w:lang w:val="it-IT"/>
        </w:rPr>
        <w:t>, la Bioman, una societ</w:t>
      </w:r>
      <w:r>
        <w:rPr>
          <w:rFonts w:hAnsi="Book Antiqua" w:hint="default"/>
          <w:rtl w:val="0"/>
          <w:lang w:val="it-IT"/>
        </w:rPr>
        <w:t xml:space="preserve">à </w:t>
      </w:r>
      <w:r>
        <w:rPr>
          <w:rFonts w:ascii="Book Antiqua"/>
          <w:rtl w:val="0"/>
          <w:lang w:val="it-IT"/>
        </w:rPr>
        <w:t>importante, qualificata, pulita, a livello nazionale un</w:t>
      </w:r>
      <w:r>
        <w:rPr>
          <w:rFonts w:hAnsi="Book Antiqua" w:hint="default"/>
          <w:rtl w:val="0"/>
          <w:lang w:val="it-IT"/>
        </w:rPr>
        <w:t>’</w:t>
      </w:r>
      <w:r>
        <w:rPr>
          <w:rFonts w:ascii="Book Antiqua"/>
          <w:rtl w:val="0"/>
          <w:lang w:val="it-IT"/>
        </w:rPr>
        <w:t xml:space="preserve">azienda leader in questo settore, si </w:t>
      </w:r>
      <w:r>
        <w:rPr>
          <w:rFonts w:hAnsi="Book Antiqua" w:hint="default"/>
          <w:rtl w:val="0"/>
          <w:lang w:val="it-IT"/>
        </w:rPr>
        <w:t xml:space="preserve">è </w:t>
      </w:r>
      <w:r>
        <w:rPr>
          <w:rFonts w:ascii="Book Antiqua"/>
          <w:rtl w:val="0"/>
          <w:lang w:val="it-IT"/>
        </w:rPr>
        <w:t>aggiudicata tutti e dieci i lotti che abbiamo messo a gara nell</w:t>
      </w:r>
      <w:r>
        <w:rPr>
          <w:rFonts w:hAnsi="Book Antiqua" w:hint="default"/>
          <w:rtl w:val="0"/>
          <w:lang w:val="it-IT"/>
        </w:rPr>
        <w:t>’</w:t>
      </w:r>
      <w:r>
        <w:rPr>
          <w:rFonts w:ascii="Book Antiqua"/>
          <w:rtl w:val="0"/>
          <w:lang w:val="it-IT"/>
        </w:rPr>
        <w:t>anno 2015, quindi noi porteremo tutte le tonnellate di rifiuti biodegradabili, ovvero anche sfalci, ramaglie e potature, in quella realt</w:t>
      </w:r>
      <w:r>
        <w:rPr>
          <w:rFonts w:hAnsi="Book Antiqua" w:hint="default"/>
          <w:rtl w:val="0"/>
          <w:lang w:val="it-IT"/>
        </w:rPr>
        <w:t>à</w:t>
      </w:r>
      <w:r>
        <w:rPr>
          <w:rFonts w:ascii="Book Antiqua"/>
          <w:rtl w:val="0"/>
          <w:lang w:val="it-IT"/>
        </w:rPr>
        <w:t>, a Pordenone, a 650 chilometri di distanza: non ce li porteremo, per</w:t>
      </w:r>
      <w:r>
        <w:rPr>
          <w:rFonts w:hAnsi="Book Antiqua" w:hint="default"/>
          <w:rtl w:val="0"/>
          <w:lang w:val="it-IT"/>
        </w:rPr>
        <w:t>ò</w:t>
      </w:r>
      <w:r>
        <w:rPr>
          <w:rFonts w:ascii="Book Antiqua"/>
          <w:rtl w:val="0"/>
          <w:lang w:val="it-IT"/>
        </w:rPr>
        <w:t>, con le mongolfiere, bens</w:t>
      </w:r>
      <w:r>
        <w:rPr>
          <w:rFonts w:hAnsi="Book Antiqua" w:hint="default"/>
          <w:rtl w:val="0"/>
          <w:lang w:val="it-IT"/>
        </w:rPr>
        <w:t xml:space="preserve">ì </w:t>
      </w:r>
      <w:r>
        <w:rPr>
          <w:rFonts w:ascii="Book Antiqua"/>
          <w:rtl w:val="0"/>
          <w:lang w:val="it-IT"/>
        </w:rPr>
        <w:t>con i camion, il che equivale a dire che abbiamo ogni giorno, in ingresso nella citt</w:t>
      </w:r>
      <w:r>
        <w:rPr>
          <w:rFonts w:hAnsi="Book Antiqua" w:hint="default"/>
          <w:rtl w:val="0"/>
          <w:lang w:val="it-IT"/>
        </w:rPr>
        <w:t xml:space="preserve">à </w:t>
      </w:r>
      <w:r>
        <w:rPr>
          <w:rFonts w:ascii="Book Antiqua"/>
          <w:rtl w:val="0"/>
          <w:lang w:val="it-IT"/>
        </w:rPr>
        <w:t>di Roma e in uscita, decine di grandi autoarticolati che dovranno caricare questi rifiuti e portarli a 650 chilometri di distanza, rilasciando in atmosfera CO2, che certamente non fa bene alla salute di nessuno. Paghiamo, per portare questi rifiuti all</w:t>
      </w:r>
      <w:r>
        <w:rPr>
          <w:rFonts w:hAnsi="Book Antiqua" w:hint="default"/>
          <w:rtl w:val="0"/>
          <w:lang w:val="it-IT"/>
        </w:rPr>
        <w:t>’</w:t>
      </w:r>
      <w:r>
        <w:rPr>
          <w:rFonts w:ascii="Book Antiqua"/>
          <w:rtl w:val="0"/>
          <w:lang w:val="it-IT"/>
        </w:rPr>
        <w:t>impianto di Bioman, 80 euro a tonnellata al cancello. Paghiamo, per</w:t>
      </w:r>
      <w:r>
        <w:rPr>
          <w:rFonts w:hAnsi="Book Antiqua" w:hint="default"/>
          <w:rtl w:val="0"/>
          <w:lang w:val="it-IT"/>
        </w:rPr>
        <w:t>ò</w:t>
      </w:r>
      <w:r>
        <w:rPr>
          <w:rFonts w:ascii="Book Antiqua"/>
          <w:rtl w:val="0"/>
          <w:lang w:val="it-IT"/>
        </w:rPr>
        <w:t xml:space="preserve">, 40 euro a tonnellata di trasporto. Il prezzo finito </w:t>
      </w:r>
      <w:r>
        <w:rPr>
          <w:rFonts w:hAnsi="Book Antiqua" w:hint="default"/>
          <w:rtl w:val="0"/>
          <w:lang w:val="it-IT"/>
        </w:rPr>
        <w:t xml:space="preserve">è </w:t>
      </w:r>
      <w:r>
        <w:rPr>
          <w:rFonts w:ascii="Book Antiqua"/>
          <w:rtl w:val="0"/>
          <w:lang w:val="it-IT"/>
        </w:rPr>
        <w:t>di 119 euro e qualcosa. Se portiamo i rifiuti quando ci viene offerto uno slot da Kyklos, una societ</w:t>
      </w:r>
      <w:r>
        <w:rPr>
          <w:rFonts w:hAnsi="Book Antiqua" w:hint="default"/>
          <w:rtl w:val="0"/>
          <w:lang w:val="it-IT"/>
        </w:rPr>
        <w:t xml:space="preserve">à </w:t>
      </w:r>
      <w:r>
        <w:rPr>
          <w:rFonts w:ascii="Book Antiqua"/>
          <w:rtl w:val="0"/>
          <w:lang w:val="it-IT"/>
        </w:rPr>
        <w:t>del gruppo ACEA che possiede un impianto di compostaggio ad Aprilia, in prossimit</w:t>
      </w:r>
      <w:r>
        <w:rPr>
          <w:rFonts w:hAnsi="Book Antiqua" w:hint="default"/>
          <w:rtl w:val="0"/>
          <w:lang w:val="it-IT"/>
        </w:rPr>
        <w:t xml:space="preserve">à </w:t>
      </w:r>
      <w:r>
        <w:rPr>
          <w:rFonts w:ascii="Book Antiqua"/>
          <w:rtl w:val="0"/>
          <w:lang w:val="it-IT"/>
        </w:rPr>
        <w:t xml:space="preserve">di Roma, a pochi chilometri </w:t>
      </w:r>
      <w:r>
        <w:rPr>
          <w:rFonts w:hAnsi="Book Antiqua" w:hint="default"/>
          <w:rtl w:val="0"/>
          <w:lang w:val="it-IT"/>
        </w:rPr>
        <w:t xml:space="preserve">– </w:t>
      </w:r>
      <w:r>
        <w:rPr>
          <w:rFonts w:ascii="Book Antiqua"/>
          <w:rtl w:val="0"/>
          <w:lang w:val="it-IT"/>
        </w:rPr>
        <w:t>quando riusciamo a ottenere qualche slot per 5-10-15.000 tonnellate, a seconda della disponibilit</w:t>
      </w:r>
      <w:r>
        <w:rPr>
          <w:rFonts w:hAnsi="Book Antiqua" w:hint="default"/>
          <w:rtl w:val="0"/>
          <w:lang w:val="it-IT"/>
        </w:rPr>
        <w:t xml:space="preserve">à </w:t>
      </w:r>
      <w:r>
        <w:rPr>
          <w:rFonts w:ascii="Book Antiqua"/>
          <w:rtl w:val="0"/>
          <w:lang w:val="it-IT"/>
        </w:rPr>
        <w:t>di quell</w:t>
      </w:r>
      <w:r>
        <w:rPr>
          <w:rFonts w:hAnsi="Book Antiqua" w:hint="default"/>
          <w:rtl w:val="0"/>
          <w:lang w:val="it-IT"/>
        </w:rPr>
        <w:t>’</w:t>
      </w:r>
      <w:r>
        <w:rPr>
          <w:rFonts w:ascii="Book Antiqua"/>
          <w:rtl w:val="0"/>
          <w:lang w:val="it-IT"/>
        </w:rPr>
        <w:t xml:space="preserve">impianto </w:t>
      </w:r>
      <w:r>
        <w:rPr>
          <w:rFonts w:hAnsi="Book Antiqua" w:hint="default"/>
          <w:rtl w:val="0"/>
          <w:lang w:val="it-IT"/>
        </w:rPr>
        <w:t xml:space="preserve">– </w:t>
      </w:r>
      <w:r>
        <w:rPr>
          <w:rFonts w:ascii="Book Antiqua"/>
          <w:rtl w:val="0"/>
          <w:lang w:val="it-IT"/>
        </w:rPr>
        <w:t xml:space="preserve">paghiamo al cancello 95 euro a tonnellata e di trasporto 11 euro a tonnellata. Il prezzo finito </w:t>
      </w:r>
      <w:r>
        <w:rPr>
          <w:rFonts w:hAnsi="Book Antiqua" w:hint="default"/>
          <w:rtl w:val="0"/>
          <w:lang w:val="it-IT"/>
        </w:rPr>
        <w:t xml:space="preserve">è </w:t>
      </w:r>
      <w:r>
        <w:rPr>
          <w:rFonts w:ascii="Book Antiqua"/>
          <w:rtl w:val="0"/>
          <w:lang w:val="it-IT"/>
        </w:rPr>
        <w:t>certamente pi</w:t>
      </w:r>
      <w:r>
        <w:rPr>
          <w:rFonts w:hAnsi="Book Antiqua" w:hint="default"/>
          <w:rtl w:val="0"/>
          <w:lang w:val="it-IT"/>
        </w:rPr>
        <w:t xml:space="preserve">ù </w:t>
      </w:r>
      <w:r>
        <w:rPr>
          <w:rFonts w:ascii="Book Antiqua"/>
          <w:rtl w:val="0"/>
          <w:lang w:val="it-IT"/>
        </w:rPr>
        <w:t xml:space="preserve">conveniente </w:t>
      </w:r>
      <w:r>
        <w:rPr>
          <w:rFonts w:hAnsi="Book Antiqua" w:hint="default"/>
          <w:rtl w:val="0"/>
          <w:lang w:val="it-IT"/>
        </w:rPr>
        <w:t xml:space="preserve">– </w:t>
      </w:r>
      <w:r>
        <w:rPr>
          <w:rFonts w:ascii="Book Antiqua"/>
          <w:rtl w:val="0"/>
          <w:lang w:val="it-IT"/>
        </w:rPr>
        <w:t xml:space="preserve">sono 106 euro contro 119 </w:t>
      </w:r>
      <w:r>
        <w:rPr>
          <w:rFonts w:hAnsi="Book Antiqua" w:hint="default"/>
          <w:rtl w:val="0"/>
          <w:lang w:val="it-IT"/>
        </w:rPr>
        <w:t xml:space="preserve">– </w:t>
      </w:r>
      <w:r>
        <w:rPr>
          <w:rFonts w:ascii="Book Antiqua"/>
          <w:rtl w:val="0"/>
          <w:lang w:val="it-IT"/>
        </w:rPr>
        <w:t>ma mi chiedo: perch</w:t>
      </w:r>
      <w:r>
        <w:rPr>
          <w:rFonts w:hAnsi="Book Antiqua" w:hint="default"/>
          <w:rtl w:val="0"/>
          <w:lang w:val="it-IT"/>
        </w:rPr>
        <w:t xml:space="preserve">é </w:t>
      </w:r>
      <w:r>
        <w:rPr>
          <w:rFonts w:ascii="Book Antiqua"/>
          <w:rtl w:val="0"/>
          <w:lang w:val="it-IT"/>
        </w:rPr>
        <w:t xml:space="preserve">dobbiamo pagare 80 euro al cancello a Pordenone e 95 a Roma? Ovviamente, </w:t>
      </w:r>
      <w:r>
        <w:rPr>
          <w:rFonts w:hAnsi="Book Antiqua" w:hint="default"/>
          <w:rtl w:val="0"/>
          <w:lang w:val="it-IT"/>
        </w:rPr>
        <w:t xml:space="preserve">è </w:t>
      </w:r>
      <w:r>
        <w:rPr>
          <w:rFonts w:ascii="Book Antiqua"/>
          <w:rtl w:val="0"/>
          <w:lang w:val="it-IT"/>
        </w:rPr>
        <w:t xml:space="preserve">il mercato. Mi pongo domande fino a un certo punto: </w:t>
      </w:r>
      <w:r>
        <w:rPr>
          <w:rFonts w:hAnsi="Book Antiqua" w:hint="default"/>
          <w:rtl w:val="0"/>
          <w:lang w:val="it-IT"/>
        </w:rPr>
        <w:t xml:space="preserve">è </w:t>
      </w:r>
      <w:r>
        <w:rPr>
          <w:rFonts w:ascii="Book Antiqua"/>
          <w:rtl w:val="0"/>
          <w:lang w:val="it-IT"/>
        </w:rPr>
        <w:t>il mercato [...] Abbiamo necessit</w:t>
      </w:r>
      <w:r>
        <w:rPr>
          <w:rFonts w:hAnsi="Book Antiqua" w:hint="default"/>
          <w:rtl w:val="0"/>
          <w:lang w:val="it-IT"/>
        </w:rPr>
        <w:t xml:space="preserve">à </w:t>
      </w:r>
      <w:r>
        <w:rPr>
          <w:rFonts w:ascii="Book Antiqua"/>
          <w:rtl w:val="0"/>
          <w:lang w:val="it-IT"/>
        </w:rPr>
        <w:t>nella Capitale d</w:t>
      </w:r>
      <w:r>
        <w:rPr>
          <w:rFonts w:hAnsi="Book Antiqua" w:hint="default"/>
          <w:rtl w:val="0"/>
          <w:lang w:val="it-IT"/>
        </w:rPr>
        <w:t>’</w:t>
      </w:r>
      <w:r>
        <w:rPr>
          <w:rFonts w:ascii="Book Antiqua"/>
          <w:rtl w:val="0"/>
          <w:lang w:val="it-IT"/>
        </w:rPr>
        <w:t xml:space="preserve">Italia di avere impianti di compostaggio che possano essere realizzati nel territorio metropolitano, non necessariamente a Rocca Cencia, ma nel territorio della regione Lazio. Certamente, vi </w:t>
      </w:r>
      <w:r>
        <w:rPr>
          <w:rFonts w:hAnsi="Book Antiqua" w:hint="default"/>
          <w:rtl w:val="0"/>
          <w:lang w:val="it-IT"/>
        </w:rPr>
        <w:t xml:space="preserve">è </w:t>
      </w:r>
      <w:r>
        <w:rPr>
          <w:rFonts w:ascii="Book Antiqua"/>
          <w:rtl w:val="0"/>
          <w:lang w:val="it-IT"/>
        </w:rPr>
        <w:t>la necessit</w:t>
      </w:r>
      <w:r>
        <w:rPr>
          <w:rFonts w:hAnsi="Book Antiqua" w:hint="default"/>
          <w:rtl w:val="0"/>
          <w:lang w:val="it-IT"/>
        </w:rPr>
        <w:t xml:space="preserve">à </w:t>
      </w:r>
      <w:r>
        <w:rPr>
          <w:rFonts w:ascii="Book Antiqua"/>
          <w:rtl w:val="0"/>
          <w:lang w:val="it-IT"/>
        </w:rPr>
        <w:t>di avere impianti di prossimit</w:t>
      </w:r>
      <w:r>
        <w:rPr>
          <w:rFonts w:hAnsi="Book Antiqua" w:hint="default"/>
          <w:rtl w:val="0"/>
          <w:lang w:val="it-IT"/>
        </w:rPr>
        <w:t xml:space="preserve">à </w:t>
      </w:r>
      <w:r>
        <w:rPr>
          <w:rFonts w:ascii="Book Antiqua"/>
          <w:rtl w:val="0"/>
          <w:lang w:val="it-IT"/>
        </w:rPr>
        <w:t>per almeno 200.000 tonnellate all</w:t>
      </w:r>
      <w:r>
        <w:rPr>
          <w:rFonts w:hAnsi="Book Antiqua" w:hint="default"/>
          <w:rtl w:val="0"/>
          <w:lang w:val="it-IT"/>
        </w:rPr>
        <w:t>’</w:t>
      </w:r>
      <w:r>
        <w:rPr>
          <w:rFonts w:ascii="Book Antiqua"/>
          <w:rtl w:val="0"/>
          <w:lang w:val="it-IT"/>
        </w:rPr>
        <w:t>anno di rifiuti urbani biodegradabili generati nella Capitale d</w:t>
      </w:r>
      <w:r>
        <w:rPr>
          <w:rFonts w:hAnsi="Book Antiqua" w:hint="default"/>
          <w:rtl w:val="0"/>
          <w:lang w:val="it-IT"/>
        </w:rPr>
        <w:t>’</w:t>
      </w:r>
      <w:r>
        <w:rPr>
          <w:rFonts w:ascii="Book Antiqua"/>
          <w:rtl w:val="0"/>
          <w:lang w:val="it-IT"/>
        </w:rPr>
        <w:t xml:space="preserve">Italia. Abbiamo, invece, un piccolo impianto a Maccarese da 20.000 tonnellate di rifiuti urbani e di poche migliaia di sfalci e potature. Questo </w:t>
      </w:r>
      <w:r>
        <w:rPr>
          <w:rFonts w:hAnsi="Book Antiqua" w:hint="default"/>
          <w:rtl w:val="0"/>
          <w:lang w:val="it-IT"/>
        </w:rPr>
        <w:t xml:space="preserve">è </w:t>
      </w:r>
      <w:r>
        <w:rPr>
          <w:rFonts w:ascii="Book Antiqua"/>
          <w:rtl w:val="0"/>
          <w:lang w:val="it-IT"/>
        </w:rPr>
        <w:t>tutto ci</w:t>
      </w:r>
      <w:r>
        <w:rPr>
          <w:rFonts w:hAnsi="Book Antiqua" w:hint="default"/>
          <w:rtl w:val="0"/>
          <w:lang w:val="it-IT"/>
        </w:rPr>
        <w:t xml:space="preserve">ò </w:t>
      </w:r>
      <w:r>
        <w:rPr>
          <w:rFonts w:ascii="Book Antiqua"/>
          <w:rtl w:val="0"/>
          <w:lang w:val="it-IT"/>
        </w:rPr>
        <w:t>di cui possiamo disporre. Abbiamo progettato l</w:t>
      </w:r>
      <w:r>
        <w:rPr>
          <w:rFonts w:hAnsi="Book Antiqua" w:hint="default"/>
          <w:rtl w:val="0"/>
          <w:lang w:val="it-IT"/>
        </w:rPr>
        <w:t>’</w:t>
      </w:r>
      <w:r>
        <w:rPr>
          <w:rFonts w:ascii="Book Antiqua"/>
          <w:rtl w:val="0"/>
          <w:lang w:val="it-IT"/>
        </w:rPr>
        <w:t>impianto di compostaggio a Rocca Cencia. Abbiamo depositato il progetto nell</w:t>
      </w:r>
      <w:r>
        <w:rPr>
          <w:rFonts w:hAnsi="Book Antiqua" w:hint="default"/>
          <w:rtl w:val="0"/>
          <w:lang w:val="it-IT"/>
        </w:rPr>
        <w:t>’</w:t>
      </w:r>
      <w:r>
        <w:rPr>
          <w:rFonts w:ascii="Book Antiqua"/>
          <w:rtl w:val="0"/>
          <w:lang w:val="it-IT"/>
        </w:rPr>
        <w:t>aprile del 2015 alla regione Lazio. Siamo ad agosto del 2016 e siamo in attesa di sapere se nei prossimi mesi avremo l</w:t>
      </w:r>
      <w:r>
        <w:rPr>
          <w:rFonts w:hAnsi="Book Antiqua" w:hint="default"/>
          <w:rtl w:val="0"/>
          <w:lang w:val="it-IT"/>
        </w:rPr>
        <w:t>’</w:t>
      </w:r>
      <w:r>
        <w:rPr>
          <w:rFonts w:ascii="Book Antiqua"/>
          <w:rtl w:val="0"/>
          <w:lang w:val="it-IT"/>
        </w:rPr>
        <w:t>autorizzazione: non me ne meraviglio. Ci sono impianti di compostaggio in Toscana che hanno impiegato cinque anni prima di avere l</w:t>
      </w:r>
      <w:r>
        <w:rPr>
          <w:rFonts w:hAnsi="Book Antiqua" w:hint="default"/>
          <w:rtl w:val="0"/>
          <w:lang w:val="it-IT"/>
        </w:rPr>
        <w:t>’</w:t>
      </w:r>
      <w:r>
        <w:rPr>
          <w:rFonts w:ascii="Book Antiqua"/>
          <w:rtl w:val="0"/>
          <w:lang w:val="it-IT"/>
        </w:rPr>
        <w:t xml:space="preserve">autorizzazione. Il fatto che a Roma possa passare un anno e mezzo, o addirittura due non genera in me alcuna preoccupazione di altro tipo, se non per il fatto che </w:t>
      </w:r>
      <w:r>
        <w:rPr>
          <w:rFonts w:hAnsi="Book Antiqua" w:hint="default"/>
          <w:rtl w:val="0"/>
          <w:lang w:val="it-IT"/>
        </w:rPr>
        <w:t xml:space="preserve">è </w:t>
      </w:r>
      <w:r>
        <w:rPr>
          <w:rFonts w:ascii="Book Antiqua"/>
          <w:rtl w:val="0"/>
          <w:lang w:val="it-IT"/>
        </w:rPr>
        <w:t>evidente come, nel momento in cui si ottengono le autorizzazioni, in 13-16 mesi si possono realizzare gli impianti di compostaggio. Potremmo, sperabilmente, immaginare che entro due anni  la citt</w:t>
      </w:r>
      <w:r>
        <w:rPr>
          <w:rFonts w:hAnsi="Book Antiqua" w:hint="default"/>
          <w:rtl w:val="0"/>
          <w:lang w:val="it-IT"/>
        </w:rPr>
        <w:t xml:space="preserve">à </w:t>
      </w:r>
      <w:r>
        <w:rPr>
          <w:rFonts w:ascii="Book Antiqua"/>
          <w:rtl w:val="0"/>
          <w:lang w:val="it-IT"/>
        </w:rPr>
        <w:t>di Roma abbia finalmente un impianto da 50.000 tonnellate che le consenta di risparmiare 2 milioni di euro all</w:t>
      </w:r>
      <w:r>
        <w:rPr>
          <w:rFonts w:hAnsi="Book Antiqua" w:hint="default"/>
          <w:rtl w:val="0"/>
          <w:lang w:val="it-IT"/>
        </w:rPr>
        <w:t>’</w:t>
      </w:r>
      <w:r>
        <w:rPr>
          <w:rFonts w:ascii="Book Antiqua"/>
          <w:rtl w:val="0"/>
          <w:lang w:val="it-IT"/>
        </w:rPr>
        <w:t>anno, che sono esattamente i soldi che si risparmiano se non si trasportano a distanze siderali centinaia di migliaia di tonnellate di rifiuti.</w:t>
      </w:r>
      <w:r>
        <w:rPr>
          <w:rFonts w:hAnsi="Book Antiqua" w:hint="default"/>
          <w:rtl w:val="0"/>
          <w:lang w:val="it-IT"/>
        </w:rPr>
        <w:t>”</w:t>
      </w:r>
    </w:p>
    <w:p>
      <w:pPr>
        <w:pStyle w:val="Normal"/>
        <w:ind w:left="567" w:right="567" w:firstLine="0"/>
        <w:jc w:val="both"/>
        <w:rPr>
          <w:rFonts w:ascii="Book Antiqua Bold" w:cs="Book Antiqua Bold" w:hAnsi="Book Antiqua Bold" w:eastAsia="Book Antiqua Bold"/>
          <w:b w:val="1"/>
          <w:bCs w:val="1"/>
          <w:u w:val="single"/>
        </w:rPr>
      </w:pPr>
    </w:p>
    <w:p>
      <w:pPr>
        <w:pStyle w:val="Normal"/>
        <w:ind w:left="567" w:right="567" w:firstLine="0"/>
        <w:jc w:val="both"/>
        <w:rPr>
          <w:rFonts w:ascii="Book Antiqua Bold" w:cs="Book Antiqua Bold" w:hAnsi="Book Antiqua Bold" w:eastAsia="Book Antiqua Bold"/>
          <w:b w:val="1"/>
          <w:bCs w:val="1"/>
          <w:u w:val="single"/>
        </w:rPr>
      </w:pPr>
    </w:p>
    <w:p>
      <w:pPr>
        <w:pStyle w:val="Normal"/>
        <w:ind w:left="567" w:right="567" w:firstLine="0"/>
        <w:jc w:val="both"/>
        <w:rPr>
          <w:rFonts w:ascii="Book Antiqua" w:cs="Book Antiqua" w:hAnsi="Book Antiqua" w:eastAsia="Book Antiqua"/>
          <w:sz w:val="28"/>
          <w:szCs w:val="28"/>
        </w:rPr>
      </w:pPr>
      <w:r>
        <w:rPr>
          <w:rFonts w:ascii="Book Antiqua"/>
          <w:sz w:val="28"/>
          <w:szCs w:val="28"/>
          <w:rtl w:val="0"/>
          <w:lang w:val="it-IT"/>
        </w:rPr>
        <w:t>2.2.2.6 L</w:t>
      </w:r>
      <w:r>
        <w:rPr>
          <w:rFonts w:hAnsi="Book Antiqua" w:hint="default"/>
          <w:sz w:val="28"/>
          <w:szCs w:val="28"/>
          <w:rtl w:val="0"/>
          <w:lang w:val="it-IT"/>
        </w:rPr>
        <w:t>’</w:t>
      </w:r>
      <w:r>
        <w:rPr>
          <w:rFonts w:ascii="Book Antiqua"/>
          <w:sz w:val="28"/>
          <w:szCs w:val="28"/>
          <w:rtl w:val="0"/>
          <w:lang w:val="it-IT"/>
        </w:rPr>
        <w:t>impiantistica</w:t>
      </w:r>
    </w:p>
    <w:p>
      <w:pPr>
        <w:pStyle w:val="Normal"/>
        <w:ind w:left="567" w:right="567" w:firstLine="0"/>
        <w:jc w:val="both"/>
        <w:rPr>
          <w:rFonts w:ascii="Book Antiqua Bold" w:cs="Book Antiqua Bold" w:hAnsi="Book Antiqua Bold" w:eastAsia="Book Antiqua Bold"/>
          <w:b w:val="1"/>
          <w:bCs w:val="1"/>
          <w:u w:val="single"/>
        </w:rPr>
      </w:pPr>
    </w:p>
    <w:p>
      <w:pPr>
        <w:pStyle w:val="Normal"/>
        <w:ind w:left="567" w:right="567" w:firstLine="0"/>
        <w:jc w:val="both"/>
        <w:rPr>
          <w:rFonts w:ascii="Book Antiqua" w:cs="Book Antiqua" w:hAnsi="Book Antiqua" w:eastAsia="Book Antiqua"/>
        </w:rPr>
      </w:pPr>
      <w:r>
        <w:rPr>
          <w:rFonts w:ascii="Book Antiqua"/>
          <w:rtl w:val="0"/>
          <w:lang w:val="it-IT"/>
        </w:rPr>
        <w:t>Nell</w:t>
      </w:r>
      <w:r>
        <w:rPr>
          <w:rFonts w:hAnsi="Book Antiqua" w:hint="default"/>
          <w:rtl w:val="0"/>
          <w:lang w:val="it-IT"/>
        </w:rPr>
        <w:t>’</w:t>
      </w:r>
      <w:r>
        <w:rPr>
          <w:rFonts w:ascii="Book Antiqua"/>
          <w:rtl w:val="0"/>
          <w:lang w:val="it-IT"/>
        </w:rPr>
        <w:t>immagine che segue</w:t>
      </w:r>
      <w:r>
        <w:rPr>
          <w:rFonts w:ascii="Book Antiqua" w:cs="Book Antiqua" w:hAnsi="Book Antiqua" w:eastAsia="Book Antiqua"/>
          <w:vertAlign w:val="superscript"/>
          <w:rtl w:val="0"/>
        </w:rPr>
        <w:footnoteReference w:id="30"/>
      </w:r>
      <w:r>
        <w:rPr>
          <w:rFonts w:ascii="Book Antiqua"/>
          <w:rtl w:val="0"/>
          <w:lang w:val="it-IT"/>
        </w:rPr>
        <w:t xml:space="preserve"> vengono riportati schematicamente gli impianti di propriet</w:t>
      </w:r>
      <w:r>
        <w:rPr>
          <w:rFonts w:hAnsi="Book Antiqua" w:hint="default"/>
          <w:rtl w:val="0"/>
          <w:lang w:val="it-IT"/>
        </w:rPr>
        <w:t xml:space="preserve">à </w:t>
      </w:r>
      <w:r>
        <w:rPr>
          <w:rFonts w:ascii="Book Antiqua"/>
          <w:rtl w:val="0"/>
          <w:lang w:val="it-IT"/>
        </w:rPr>
        <w:t>di AMA S.p.A.</w:t>
      </w:r>
    </w:p>
    <w:p>
      <w:pPr>
        <w:pStyle w:val="Normal"/>
        <w:ind w:left="567" w:right="567" w:firstLine="0"/>
        <w:jc w:val="both"/>
        <w:rPr>
          <w:rtl w:val="0"/>
        </w:rPr>
      </w:pPr>
      <w:r>
        <w:rPr>
          <w:rtl w:val="0"/>
        </w:rPr>
        <w:drawing>
          <wp:inline distT="0" distB="0" distL="0" distR="0">
            <wp:extent cx="5457402" cy="4410079"/>
            <wp:effectExtent l="0" t="0" r="0" b="0"/>
            <wp:docPr id="1073741832" name="officeArt object" descr="0007_impianti_ama_2016.png"/>
            <wp:cNvGraphicFramePr/>
            <a:graphic xmlns:a="http://schemas.openxmlformats.org/drawingml/2006/main">
              <a:graphicData uri="http://schemas.openxmlformats.org/drawingml/2006/picture">
                <pic:pic xmlns:pic="http://schemas.openxmlformats.org/drawingml/2006/picture">
                  <pic:nvPicPr>
                    <pic:cNvPr id="1073741832" name="image8.png" descr="0007_impianti_ama_2016.png"/>
                    <pic:cNvPicPr/>
                  </pic:nvPicPr>
                  <pic:blipFill>
                    <a:blip r:embed="rId12">
                      <a:extLst/>
                    </a:blip>
                    <a:stretch>
                      <a:fillRect/>
                    </a:stretch>
                  </pic:blipFill>
                  <pic:spPr>
                    <a:xfrm>
                      <a:off x="0" y="0"/>
                      <a:ext cx="5457402" cy="4410079"/>
                    </a:xfrm>
                    <a:prstGeom prst="rect">
                      <a:avLst/>
                    </a:prstGeom>
                    <a:ln w="12700" cap="flat">
                      <a:noFill/>
                      <a:miter lim="400000"/>
                    </a:ln>
                    <a:effectLst/>
                  </pic:spPr>
                </pic:pic>
              </a:graphicData>
            </a:graphic>
          </wp:inline>
        </w:drawing>
      </w:r>
    </w:p>
    <w:p>
      <w:pPr>
        <w:pStyle w:val="Normal"/>
        <w:ind w:left="567" w:right="567" w:firstLine="0"/>
        <w:jc w:val="both"/>
        <w:rPr>
          <w:rtl w:val="0"/>
        </w:rPr>
      </w:pPr>
    </w:p>
    <w:p>
      <w:pPr>
        <w:pStyle w:val="Normal"/>
        <w:ind w:left="567" w:right="567" w:firstLine="0"/>
        <w:jc w:val="both"/>
        <w:rPr>
          <w:sz w:val="18"/>
          <w:szCs w:val="18"/>
        </w:rPr>
      </w:pPr>
      <w:r>
        <w:rPr>
          <w:sz w:val="18"/>
          <w:szCs w:val="18"/>
          <w:rtl w:val="0"/>
          <w:lang w:val="it-IT"/>
        </w:rPr>
        <w:t>(*) fermo per lavori di revamping terminati il 16 novembre 2015;</w:t>
      </w:r>
    </w:p>
    <w:p>
      <w:pPr>
        <w:pStyle w:val="Normal"/>
        <w:ind w:left="567" w:right="567" w:firstLine="0"/>
        <w:jc w:val="both"/>
        <w:rPr>
          <w:sz w:val="18"/>
          <w:szCs w:val="18"/>
        </w:rPr>
      </w:pPr>
      <w:r>
        <w:rPr>
          <w:sz w:val="18"/>
          <w:szCs w:val="18"/>
          <w:rtl w:val="0"/>
          <w:lang w:val="it-IT"/>
        </w:rPr>
        <w:t xml:space="preserve">(**) fermo dal 2 giugno a ottobre a causa di un incendio nel locale adibito alla ricezione dei rifiuti; </w:t>
      </w:r>
    </w:p>
    <w:p>
      <w:pPr>
        <w:pStyle w:val="Normal"/>
        <w:ind w:left="567" w:right="567" w:firstLine="0"/>
        <w:jc w:val="both"/>
        <w:rPr>
          <w:sz w:val="18"/>
          <w:szCs w:val="18"/>
        </w:rPr>
      </w:pPr>
      <w:r>
        <w:rPr>
          <w:sz w:val="18"/>
          <w:szCs w:val="18"/>
          <w:rtl w:val="0"/>
          <w:lang w:val="it-IT"/>
        </w:rPr>
        <w:t>(***) fermo dal 30 aprile per interventi di repowering.</w:t>
      </w:r>
    </w:p>
    <w:p>
      <w:pPr>
        <w:pStyle w:val="Normal"/>
        <w:ind w:left="567" w:right="567" w:firstLine="0"/>
        <w:jc w:val="both"/>
        <w:rPr>
          <w:sz w:val="18"/>
          <w:szCs w:val="18"/>
        </w:rPr>
      </w:pP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rPr>
      </w:pPr>
      <w:r>
        <w:rPr>
          <w:rFonts w:ascii="Book Antiqua"/>
          <w:rtl w:val="0"/>
          <w:lang w:val="it-IT"/>
        </w:rPr>
        <w:t>E</w:t>
      </w:r>
      <w:r>
        <w:rPr>
          <w:rFonts w:hAnsi="Book Antiqua" w:hint="default"/>
          <w:rtl w:val="0"/>
          <w:lang w:val="it-IT"/>
        </w:rPr>
        <w:t xml:space="preserve">’ </w:t>
      </w:r>
      <w:r>
        <w:rPr>
          <w:rFonts w:ascii="Book Antiqua"/>
          <w:rtl w:val="0"/>
          <w:lang w:val="it-IT"/>
        </w:rPr>
        <w:t>gi</w:t>
      </w:r>
      <w:r>
        <w:rPr>
          <w:rFonts w:hAnsi="Book Antiqua" w:hint="default"/>
          <w:rtl w:val="0"/>
          <w:lang w:val="it-IT"/>
        </w:rPr>
        <w:t xml:space="preserve">à </w:t>
      </w:r>
      <w:r>
        <w:rPr>
          <w:rFonts w:ascii="Book Antiqua"/>
          <w:rtl w:val="0"/>
          <w:lang w:val="it-IT"/>
        </w:rPr>
        <w:t xml:space="preserve">stato evidenziato come tale impiantistica sia del tutto inadeguata a chiudere il ciclo dei rifiuti. </w:t>
      </w:r>
    </w:p>
    <w:p>
      <w:pPr>
        <w:pStyle w:val="Normal"/>
        <w:ind w:left="567" w:right="567" w:firstLine="0"/>
        <w:jc w:val="both"/>
        <w:rPr>
          <w:rFonts w:ascii="Book Antiqua" w:cs="Book Antiqua" w:hAnsi="Book Antiqua" w:eastAsia="Book Antiqua"/>
        </w:rPr>
      </w:pPr>
      <w:r>
        <w:rPr>
          <w:rFonts w:ascii="Book Antiqua"/>
          <w:rtl w:val="0"/>
          <w:lang w:val="it-IT"/>
        </w:rPr>
        <w:t>Pu</w:t>
      </w:r>
      <w:r>
        <w:rPr>
          <w:rFonts w:hAnsi="Book Antiqua" w:hint="default"/>
          <w:rtl w:val="0"/>
          <w:lang w:val="it-IT"/>
        </w:rPr>
        <w:t xml:space="preserve">ò </w:t>
      </w:r>
      <w:r>
        <w:rPr>
          <w:rFonts w:ascii="Book Antiqua"/>
          <w:rtl w:val="0"/>
          <w:lang w:val="it-IT"/>
        </w:rPr>
        <w:t>essere di interesse, anche al fine di comprendere meglio la situazione di oggi, riportare l</w:t>
      </w:r>
      <w:r>
        <w:rPr>
          <w:rFonts w:hAnsi="Book Antiqua" w:hint="default"/>
          <w:rtl w:val="0"/>
          <w:lang w:val="it-IT"/>
        </w:rPr>
        <w:t>’</w:t>
      </w:r>
      <w:r>
        <w:rPr>
          <w:rFonts w:ascii="Book Antiqua"/>
          <w:rtl w:val="0"/>
          <w:lang w:val="it-IT"/>
        </w:rPr>
        <w:t>evoluzione dell'impiantistica del ciclo dei rifiuti a Roma</w:t>
      </w:r>
      <w:r>
        <w:rPr>
          <w:rFonts w:ascii="Book Antiqua" w:cs="Book Antiqua" w:hAnsi="Book Antiqua" w:eastAsia="Book Antiqua"/>
          <w:vertAlign w:val="superscript"/>
          <w:rtl w:val="0"/>
        </w:rPr>
        <w:footnoteReference w:id="31"/>
      </w:r>
      <w:r>
        <w:rPr>
          <w:rFonts w:ascii="Book Antiqua"/>
          <w:rtl w:val="0"/>
          <w:lang w:val="it-IT"/>
        </w:rPr>
        <w:t xml:space="preserve"> tra il 1995 e il 2016</w:t>
      </w:r>
    </w:p>
    <w:p>
      <w:pPr>
        <w:pStyle w:val="Normal"/>
        <w:ind w:left="567" w:right="567" w:firstLine="0"/>
        <w:jc w:val="both"/>
        <w:sectPr>
          <w:headerReference w:type="default" r:id="rId13"/>
          <w:footerReference w:type="default" r:id="rId14"/>
          <w:pgSz w:w="11900" w:h="16840" w:orient="portrait"/>
          <w:pgMar w:top="1417" w:right="1274" w:bottom="1134" w:left="1134" w:header="708" w:footer="708"/>
          <w:bidi w:val="0"/>
        </w:sectPr>
      </w:pPr>
    </w:p>
    <w:p>
      <w:pPr>
        <w:pStyle w:val="Normal"/>
        <w:jc w:val="both"/>
        <w:rPr>
          <w:rtl w:val="0"/>
        </w:rPr>
      </w:pPr>
      <w:r>
        <w:rPr>
          <w:rtl w:val="0"/>
        </w:rPr>
        <w:drawing>
          <wp:inline distT="0" distB="0" distL="0" distR="0">
            <wp:extent cx="8077200" cy="4889711"/>
            <wp:effectExtent l="0" t="0" r="0" b="0"/>
            <wp:docPr id="1073741833" name="officeArt object" descr="linea_tempo_impianti_completo.png"/>
            <wp:cNvGraphicFramePr/>
            <a:graphic xmlns:a="http://schemas.openxmlformats.org/drawingml/2006/main">
              <a:graphicData uri="http://schemas.openxmlformats.org/drawingml/2006/picture">
                <pic:pic xmlns:pic="http://schemas.openxmlformats.org/drawingml/2006/picture">
                  <pic:nvPicPr>
                    <pic:cNvPr id="1073741833" name="image9.png" descr="linea_tempo_impianti_completo.png"/>
                    <pic:cNvPicPr/>
                  </pic:nvPicPr>
                  <pic:blipFill>
                    <a:blip r:embed="rId15">
                      <a:extLst/>
                    </a:blip>
                    <a:stretch>
                      <a:fillRect/>
                    </a:stretch>
                  </pic:blipFill>
                  <pic:spPr>
                    <a:xfrm>
                      <a:off x="0" y="0"/>
                      <a:ext cx="8077200" cy="4889711"/>
                    </a:xfrm>
                    <a:prstGeom prst="rect">
                      <a:avLst/>
                    </a:prstGeom>
                    <a:ln w="12700" cap="flat">
                      <a:noFill/>
                      <a:miter lim="400000"/>
                    </a:ln>
                    <a:effectLst/>
                  </pic:spPr>
                </pic:pic>
              </a:graphicData>
            </a:graphic>
          </wp:inline>
        </w:drawing>
      </w:r>
    </w:p>
    <w:p>
      <w:pPr>
        <w:pStyle w:val="Normal"/>
        <w:jc w:val="both"/>
        <w:rPr>
          <w:rtl w:val="0"/>
        </w:rPr>
      </w:pPr>
    </w:p>
    <w:p>
      <w:pPr>
        <w:pStyle w:val="Normal"/>
        <w:jc w:val="both"/>
        <w:sectPr>
          <w:headerReference w:type="default" r:id="rId16"/>
          <w:footerReference w:type="default" r:id="rId17"/>
          <w:pgSz w:w="11900" w:h="16840" w:orient="portrait"/>
          <w:pgMar w:top="1134" w:right="1417" w:bottom="1134" w:left="1134" w:header="708" w:footer="708"/>
          <w:bidi w:val="0"/>
        </w:sectPr>
      </w:pPr>
    </w:p>
    <w:tbl>
      <w:tblPr>
        <w:tblW w:w="9854" w:type="dxa"/>
        <w:jc w:val="left"/>
        <w:tblInd w:w="108" w:type="dxa"/>
        <w:tblBorders>
          <w:top w:val="single" w:color="000000" w:sz="2" w:space="0" w:shadow="0" w:frame="0"/>
          <w:left w:val="single" w:color="000000" w:sz="2" w:space="0" w:shadow="0" w:frame="0"/>
          <w:bottom w:val="single" w:color="000000" w:sz="2" w:space="0" w:shadow="0" w:frame="0"/>
          <w:right w:val="single" w:color="000000" w:sz="2" w:space="0" w:shadow="0" w:frame="0"/>
          <w:insideH w:val="single" w:color="000000" w:sz="2" w:space="0" w:shadow="0" w:frame="0"/>
          <w:insideV w:val="single" w:color="000000" w:sz="2" w:space="0" w:shadow="0" w:frame="0"/>
        </w:tblBorders>
        <w:shd w:val="clear" w:color="auto" w:fill="auto"/>
        <w:tblLayout w:type="fixed"/>
      </w:tblPr>
      <w:tblGrid>
        <w:gridCol w:w="696"/>
        <w:gridCol w:w="2707"/>
        <w:gridCol w:w="1826"/>
        <w:gridCol w:w="2464"/>
        <w:gridCol w:w="2161"/>
      </w:tblGrid>
      <w:tr>
        <w:tblPrEx>
          <w:shd w:val="clear" w:color="auto" w:fill="auto"/>
        </w:tblPrEx>
        <w:trPr>
          <w:trHeight w:val="300" w:hRule="atLeast"/>
        </w:trPr>
        <w:tc>
          <w:tcPr>
            <w:tcW w:type="dxa" w:w="69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
              <w:tabs>
                <w:tab w:val="left" w:pos="1830"/>
              </w:tabs>
            </w:pPr>
            <w:r>
              <w:rPr>
                <w:b w:val="1"/>
                <w:bCs w:val="1"/>
                <w:i w:val="1"/>
                <w:iCs w:val="1"/>
                <w:caps w:val="0"/>
                <w:smallCaps w:val="0"/>
                <w:strike w:val="0"/>
                <w:dstrike w:val="0"/>
                <w:outline w:val="0"/>
                <w:color w:val="000000"/>
                <w:spacing w:val="0"/>
                <w:kern w:val="0"/>
                <w:position w:val="0"/>
                <w:sz w:val="24"/>
                <w:szCs w:val="24"/>
                <w:u w:val="none" w:color="000000"/>
                <w:vertAlign w:val="baseline"/>
                <w:rtl w:val="0"/>
                <w:lang w:val="it-IT"/>
              </w:rPr>
              <w:t>1984</w:t>
            </w:r>
          </w:p>
        </w:tc>
        <w:tc>
          <w:tcPr>
            <w:tcW w:type="dxa" w:w="270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
              <w:tabs>
                <w:tab w:val="left" w:pos="1830"/>
              </w:tabs>
            </w:pPr>
            <w:r>
              <w:rPr>
                <w:caps w:val="0"/>
                <w:smallCaps w:val="0"/>
                <w:strike w:val="0"/>
                <w:dstrike w:val="0"/>
                <w:outline w:val="0"/>
                <w:color w:val="000000"/>
                <w:spacing w:val="0"/>
                <w:kern w:val="0"/>
                <w:position w:val="0"/>
                <w:sz w:val="24"/>
                <w:szCs w:val="24"/>
                <w:u w:val="none" w:color="000000"/>
                <w:vertAlign w:val="baseline"/>
                <w:rtl w:val="0"/>
                <w:lang w:val="it-IT"/>
              </w:rPr>
              <w:t>Apertura Malagrotta</w:t>
            </w:r>
          </w:p>
        </w:tc>
        <w:tc>
          <w:tcPr>
            <w:tcW w:type="dxa" w:w="182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c>
          <w:tcPr>
            <w:tcW w:type="dxa" w:w="24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c>
          <w:tcPr>
            <w:tcW w:type="dxa" w:w="21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r>
      <w:tr>
        <w:tblPrEx>
          <w:shd w:val="clear" w:color="auto" w:fill="auto"/>
        </w:tblPrEx>
        <w:trPr>
          <w:trHeight w:val="900" w:hRule="atLeast"/>
        </w:trPr>
        <w:tc>
          <w:tcPr>
            <w:tcW w:type="dxa" w:w="69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
              <w:tabs>
                <w:tab w:val="left" w:pos="1830"/>
              </w:tabs>
            </w:pPr>
            <w:r>
              <w:rPr>
                <w:b w:val="1"/>
                <w:bCs w:val="1"/>
                <w:i w:val="1"/>
                <w:iCs w:val="1"/>
                <w:caps w:val="0"/>
                <w:smallCaps w:val="0"/>
                <w:strike w:val="0"/>
                <w:dstrike w:val="0"/>
                <w:outline w:val="0"/>
                <w:color w:val="000000"/>
                <w:spacing w:val="0"/>
                <w:kern w:val="0"/>
                <w:position w:val="0"/>
                <w:sz w:val="24"/>
                <w:szCs w:val="24"/>
                <w:u w:val="none" w:color="000000"/>
                <w:vertAlign w:val="baseline"/>
                <w:rtl w:val="0"/>
                <w:lang w:val="it-IT"/>
              </w:rPr>
              <w:t>1995</w:t>
            </w:r>
          </w:p>
        </w:tc>
        <w:tc>
          <w:tcPr>
            <w:tcW w:type="dxa" w:w="270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
              <w:tabs>
                <w:tab w:val="left" w:pos="1830"/>
              </w:tabs>
            </w:pPr>
            <w:r>
              <w:rPr>
                <w:caps w:val="0"/>
                <w:smallCaps w:val="0"/>
                <w:strike w:val="0"/>
                <w:dstrike w:val="0"/>
                <w:outline w:val="0"/>
                <w:color w:val="000000"/>
                <w:spacing w:val="0"/>
                <w:kern w:val="0"/>
                <w:position w:val="0"/>
                <w:sz w:val="24"/>
                <w:szCs w:val="24"/>
                <w:u w:val="none" w:color="000000"/>
                <w:vertAlign w:val="baseline"/>
                <w:rtl w:val="0"/>
                <w:lang w:val="it-IT"/>
              </w:rPr>
              <w:t xml:space="preserve">Inceneritore di Ponte Malnome (Impianto AMA) avvio </w:t>
            </w:r>
          </w:p>
        </w:tc>
        <w:tc>
          <w:tcPr>
            <w:tcW w:type="dxa" w:w="182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c>
          <w:tcPr>
            <w:tcW w:type="dxa" w:w="24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c>
          <w:tcPr>
            <w:tcW w:type="dxa" w:w="21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r>
      <w:tr>
        <w:tblPrEx>
          <w:shd w:val="clear" w:color="auto" w:fill="auto"/>
        </w:tblPrEx>
        <w:trPr>
          <w:trHeight w:val="2100" w:hRule="atLeast"/>
        </w:trPr>
        <w:tc>
          <w:tcPr>
            <w:tcW w:type="dxa" w:w="69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
              <w:tabs>
                <w:tab w:val="left" w:pos="1830"/>
              </w:tabs>
            </w:pPr>
            <w:r>
              <w:rPr>
                <w:b w:val="1"/>
                <w:bCs w:val="1"/>
                <w:i w:val="1"/>
                <w:iCs w:val="1"/>
                <w:caps w:val="0"/>
                <w:smallCaps w:val="0"/>
                <w:strike w:val="0"/>
                <w:dstrike w:val="0"/>
                <w:outline w:val="0"/>
                <w:color w:val="000000"/>
                <w:spacing w:val="0"/>
                <w:kern w:val="0"/>
                <w:position w:val="0"/>
                <w:sz w:val="24"/>
                <w:szCs w:val="24"/>
                <w:u w:val="none" w:color="000000"/>
                <w:vertAlign w:val="baseline"/>
                <w:rtl w:val="0"/>
                <w:lang w:val="it-IT"/>
              </w:rPr>
              <w:t>2000</w:t>
            </w:r>
          </w:p>
        </w:tc>
        <w:tc>
          <w:tcPr>
            <w:tcW w:type="dxa" w:w="270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
              <w:tabs>
                <w:tab w:val="left" w:pos="1830"/>
              </w:tabs>
            </w:pPr>
            <w:r>
              <w:rPr>
                <w:caps w:val="0"/>
                <w:smallCaps w:val="0"/>
                <w:strike w:val="0"/>
                <w:dstrike w:val="0"/>
                <w:outline w:val="0"/>
                <w:color w:val="000000"/>
                <w:spacing w:val="0"/>
                <w:kern w:val="0"/>
                <w:position w:val="0"/>
                <w:sz w:val="24"/>
                <w:szCs w:val="24"/>
                <w:u w:val="none" w:color="000000"/>
                <w:vertAlign w:val="baseline"/>
                <w:rtl w:val="0"/>
                <w:lang w:val="it-IT"/>
              </w:rPr>
              <w:t>Presentazione proposta AMA in regione Lazio per realizzare un termovalorizzatore di servizio per i residui di Roma (proposta AMA non autorizzata)</w:t>
            </w:r>
          </w:p>
        </w:tc>
        <w:tc>
          <w:tcPr>
            <w:tcW w:type="dxa" w:w="182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c>
          <w:tcPr>
            <w:tcW w:type="dxa" w:w="24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c>
          <w:tcPr>
            <w:tcW w:type="dxa" w:w="21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r>
      <w:tr>
        <w:tblPrEx>
          <w:shd w:val="clear" w:color="auto" w:fill="auto"/>
        </w:tblPrEx>
        <w:trPr>
          <w:trHeight w:val="1200" w:hRule="atLeast"/>
        </w:trPr>
        <w:tc>
          <w:tcPr>
            <w:tcW w:type="dxa" w:w="69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
              <w:tabs>
                <w:tab w:val="left" w:pos="1830"/>
              </w:tabs>
            </w:pPr>
            <w:r>
              <w:rPr>
                <w:b w:val="1"/>
                <w:bCs w:val="1"/>
                <w:i w:val="1"/>
                <w:iCs w:val="1"/>
                <w:caps w:val="0"/>
                <w:smallCaps w:val="0"/>
                <w:strike w:val="0"/>
                <w:dstrike w:val="0"/>
                <w:outline w:val="0"/>
                <w:color w:val="000000"/>
                <w:spacing w:val="0"/>
                <w:kern w:val="0"/>
                <w:position w:val="0"/>
                <w:sz w:val="24"/>
                <w:szCs w:val="24"/>
                <w:u w:val="none" w:color="000000"/>
                <w:vertAlign w:val="baseline"/>
                <w:rtl w:val="0"/>
                <w:lang w:val="it-IT"/>
              </w:rPr>
              <w:t>2004</w:t>
            </w:r>
          </w:p>
        </w:tc>
        <w:tc>
          <w:tcPr>
            <w:tcW w:type="dxa" w:w="270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
              <w:tabs>
                <w:tab w:val="left" w:pos="1830"/>
              </w:tabs>
            </w:pPr>
            <w:r>
              <w:rPr>
                <w:caps w:val="0"/>
                <w:smallCaps w:val="0"/>
                <w:strike w:val="0"/>
                <w:dstrike w:val="0"/>
                <w:outline w:val="0"/>
                <w:color w:val="000000"/>
                <w:spacing w:val="0"/>
                <w:kern w:val="0"/>
                <w:position w:val="0"/>
                <w:sz w:val="24"/>
                <w:szCs w:val="24"/>
                <w:u w:val="none" w:color="000000"/>
                <w:vertAlign w:val="baseline"/>
                <w:rtl w:val="0"/>
                <w:lang w:val="it-IT"/>
              </w:rPr>
              <w:t xml:space="preserve">Compostaggio Maccarese (Impianto AMA, avvio) </w:t>
            </w:r>
          </w:p>
        </w:tc>
        <w:tc>
          <w:tcPr>
            <w:tcW w:type="dxa" w:w="182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
              <w:tabs>
                <w:tab w:val="left" w:pos="1830"/>
              </w:tabs>
            </w:pPr>
            <w:r>
              <w:rPr>
                <w:caps w:val="0"/>
                <w:smallCaps w:val="0"/>
                <w:strike w:val="0"/>
                <w:dstrike w:val="0"/>
                <w:outline w:val="0"/>
                <w:color w:val="000000"/>
                <w:spacing w:val="0"/>
                <w:kern w:val="0"/>
                <w:position w:val="0"/>
                <w:sz w:val="24"/>
                <w:szCs w:val="24"/>
                <w:u w:val="none" w:color="000000"/>
                <w:vertAlign w:val="baseline"/>
                <w:rtl w:val="0"/>
                <w:lang w:val="it-IT"/>
              </w:rPr>
              <w:t xml:space="preserve">VRD Rocca Cencia (impianto AMA, avvio) </w:t>
            </w:r>
          </w:p>
        </w:tc>
        <w:tc>
          <w:tcPr>
            <w:tcW w:type="dxa" w:w="24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c>
          <w:tcPr>
            <w:tcW w:type="dxa" w:w="21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r>
      <w:tr>
        <w:tblPrEx>
          <w:shd w:val="clear" w:color="auto" w:fill="auto"/>
        </w:tblPrEx>
        <w:trPr>
          <w:trHeight w:val="2700" w:hRule="atLeast"/>
        </w:trPr>
        <w:tc>
          <w:tcPr>
            <w:tcW w:type="dxa" w:w="69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
              <w:tabs>
                <w:tab w:val="left" w:pos="1830"/>
              </w:tabs>
            </w:pPr>
            <w:r>
              <w:rPr>
                <w:b w:val="1"/>
                <w:bCs w:val="1"/>
                <w:i w:val="1"/>
                <w:iCs w:val="1"/>
                <w:caps w:val="0"/>
                <w:smallCaps w:val="0"/>
                <w:strike w:val="0"/>
                <w:dstrike w:val="0"/>
                <w:outline w:val="0"/>
                <w:color w:val="000000"/>
                <w:spacing w:val="0"/>
                <w:kern w:val="0"/>
                <w:position w:val="0"/>
                <w:sz w:val="24"/>
                <w:szCs w:val="24"/>
                <w:u w:val="none" w:color="000000"/>
                <w:vertAlign w:val="baseline"/>
                <w:rtl w:val="0"/>
                <w:lang w:val="it-IT"/>
              </w:rPr>
              <w:t>2005</w:t>
            </w:r>
          </w:p>
        </w:tc>
        <w:tc>
          <w:tcPr>
            <w:tcW w:type="dxa" w:w="270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
              <w:tabs>
                <w:tab w:val="left" w:pos="1830"/>
              </w:tabs>
            </w:pPr>
            <w:r>
              <w:rPr>
                <w:caps w:val="0"/>
                <w:smallCaps w:val="0"/>
                <w:strike w:val="0"/>
                <w:dstrike w:val="0"/>
                <w:outline w:val="0"/>
                <w:color w:val="000000"/>
                <w:spacing w:val="0"/>
                <w:kern w:val="0"/>
                <w:position w:val="0"/>
                <w:sz w:val="24"/>
                <w:szCs w:val="24"/>
                <w:u w:val="none" w:color="000000"/>
                <w:vertAlign w:val="baseline"/>
                <w:rtl w:val="0"/>
                <w:lang w:val="it-IT"/>
              </w:rPr>
              <w:t xml:space="preserve">Manutenzione straordinaria Ponte Malnome </w:t>
            </w:r>
          </w:p>
        </w:tc>
        <w:tc>
          <w:tcPr>
            <w:tcW w:type="dxa" w:w="182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
              <w:tabs>
                <w:tab w:val="left" w:pos="1830"/>
              </w:tabs>
            </w:pPr>
            <w:r>
              <w:rPr>
                <w:caps w:val="0"/>
                <w:smallCaps w:val="0"/>
                <w:strike w:val="0"/>
                <w:dstrike w:val="0"/>
                <w:outline w:val="0"/>
                <w:color w:val="000000"/>
                <w:spacing w:val="0"/>
                <w:kern w:val="0"/>
                <w:position w:val="0"/>
                <w:sz w:val="24"/>
                <w:szCs w:val="24"/>
                <w:u w:val="none" w:color="000000"/>
                <w:vertAlign w:val="baseline"/>
                <w:rtl w:val="0"/>
                <w:lang w:val="it-IT"/>
              </w:rPr>
              <w:t xml:space="preserve">Acquisizione da parte di AMA VRD Laurentina </w:t>
            </w:r>
          </w:p>
        </w:tc>
        <w:tc>
          <w:tcPr>
            <w:tcW w:type="dxa" w:w="24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
              <w:tabs>
                <w:tab w:val="left" w:pos="1830"/>
              </w:tabs>
            </w:pPr>
            <w:r>
              <w:rPr>
                <w:caps w:val="0"/>
                <w:smallCaps w:val="0"/>
                <w:strike w:val="0"/>
                <w:dstrike w:val="0"/>
                <w:outline w:val="0"/>
                <w:color w:val="000000"/>
                <w:spacing w:val="0"/>
                <w:kern w:val="0"/>
                <w:position w:val="0"/>
                <w:sz w:val="24"/>
                <w:szCs w:val="24"/>
                <w:u w:val="none" w:color="000000"/>
                <w:vertAlign w:val="baseline"/>
                <w:rtl w:val="0"/>
                <w:lang w:val="it-IT"/>
              </w:rPr>
              <w:t>Impianti TMB Co.La.Ri</w:t>
            </w:r>
          </w:p>
        </w:tc>
        <w:tc>
          <w:tcPr>
            <w:tcW w:type="dxa" w:w="21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
              <w:tabs>
                <w:tab w:val="left" w:pos="1830"/>
              </w:tabs>
            </w:pPr>
            <w:r>
              <w:rPr>
                <w:caps w:val="0"/>
                <w:smallCaps w:val="0"/>
                <w:strike w:val="0"/>
                <w:dstrike w:val="0"/>
                <w:outline w:val="0"/>
                <w:color w:val="000000"/>
                <w:spacing w:val="0"/>
                <w:kern w:val="0"/>
                <w:position w:val="0"/>
                <w:sz w:val="24"/>
                <w:szCs w:val="24"/>
                <w:u w:val="none" w:color="000000"/>
                <w:vertAlign w:val="baseline"/>
                <w:rtl w:val="0"/>
                <w:lang w:val="it-IT"/>
              </w:rPr>
              <w:t>Presentazione proposta AMA per raddoppiare la capacit</w:t>
            </w:r>
            <w:r>
              <w:rPr>
                <w:rFonts w:hAnsi="Times New Roman" w:hint="default"/>
                <w:caps w:val="0"/>
                <w:smallCaps w:val="0"/>
                <w:strike w:val="0"/>
                <w:dstrike w:val="0"/>
                <w:outline w:val="0"/>
                <w:color w:val="000000"/>
                <w:spacing w:val="0"/>
                <w:kern w:val="0"/>
                <w:position w:val="0"/>
                <w:sz w:val="24"/>
                <w:szCs w:val="24"/>
                <w:u w:val="none" w:color="000000"/>
                <w:vertAlign w:val="baseline"/>
                <w:rtl w:val="0"/>
                <w:lang w:val="it-IT"/>
              </w:rPr>
              <w:t xml:space="preserve">à </w:t>
            </w:r>
            <w:r>
              <w:rPr>
                <w:caps w:val="0"/>
                <w:smallCaps w:val="0"/>
                <w:strike w:val="0"/>
                <w:dstrike w:val="0"/>
                <w:outline w:val="0"/>
                <w:color w:val="000000"/>
                <w:spacing w:val="0"/>
                <w:kern w:val="0"/>
                <w:position w:val="0"/>
                <w:sz w:val="24"/>
                <w:szCs w:val="24"/>
                <w:u w:val="none" w:color="000000"/>
                <w:vertAlign w:val="baseline"/>
                <w:rtl w:val="0"/>
                <w:lang w:val="it-IT"/>
              </w:rPr>
              <w:t>dell</w:t>
            </w:r>
            <w:r>
              <w:rPr>
                <w:rFonts w:hAnsi="Times New Roman" w:hint="default"/>
                <w:caps w:val="0"/>
                <w:smallCaps w:val="0"/>
                <w:strike w:val="0"/>
                <w:dstrike w:val="0"/>
                <w:outline w:val="0"/>
                <w:color w:val="000000"/>
                <w:spacing w:val="0"/>
                <w:kern w:val="0"/>
                <w:position w:val="0"/>
                <w:sz w:val="24"/>
                <w:szCs w:val="24"/>
                <w:u w:val="none" w:color="000000"/>
                <w:vertAlign w:val="baseline"/>
                <w:rtl w:val="0"/>
                <w:lang w:val="it-IT"/>
              </w:rPr>
              <w:t>’</w:t>
            </w:r>
            <w:r>
              <w:rPr>
                <w:caps w:val="0"/>
                <w:smallCaps w:val="0"/>
                <w:strike w:val="0"/>
                <w:dstrike w:val="0"/>
                <w:outline w:val="0"/>
                <w:color w:val="000000"/>
                <w:spacing w:val="0"/>
                <w:kern w:val="0"/>
                <w:position w:val="0"/>
                <w:sz w:val="24"/>
                <w:szCs w:val="24"/>
                <w:u w:val="none" w:color="000000"/>
                <w:vertAlign w:val="baseline"/>
                <w:rtl w:val="0"/>
                <w:lang w:val="it-IT"/>
              </w:rPr>
              <w:t xml:space="preserve">impianto di Maccarese portandolo a 65.000 t/a (non autorizzato) </w:t>
            </w:r>
          </w:p>
        </w:tc>
      </w:tr>
      <w:tr>
        <w:tblPrEx>
          <w:shd w:val="clear" w:color="auto" w:fill="auto"/>
        </w:tblPrEx>
        <w:trPr>
          <w:trHeight w:val="600" w:hRule="atLeast"/>
        </w:trPr>
        <w:tc>
          <w:tcPr>
            <w:tcW w:type="dxa" w:w="69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
              <w:tabs>
                <w:tab w:val="left" w:pos="1830"/>
              </w:tabs>
            </w:pPr>
            <w:r>
              <w:rPr>
                <w:b w:val="1"/>
                <w:bCs w:val="1"/>
                <w:i w:val="1"/>
                <w:iCs w:val="1"/>
                <w:caps w:val="0"/>
                <w:smallCaps w:val="0"/>
                <w:strike w:val="0"/>
                <w:dstrike w:val="0"/>
                <w:outline w:val="0"/>
                <w:color w:val="000000"/>
                <w:spacing w:val="0"/>
                <w:kern w:val="0"/>
                <w:position w:val="0"/>
                <w:sz w:val="24"/>
                <w:szCs w:val="24"/>
                <w:u w:val="none" w:color="000000"/>
                <w:vertAlign w:val="baseline"/>
                <w:rtl w:val="0"/>
                <w:lang w:val="it-IT"/>
              </w:rPr>
              <w:t>2006</w:t>
            </w:r>
          </w:p>
        </w:tc>
        <w:tc>
          <w:tcPr>
            <w:tcW w:type="dxa" w:w="270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
              <w:tabs>
                <w:tab w:val="left" w:pos="1830"/>
              </w:tabs>
            </w:pPr>
            <w:r>
              <w:rPr>
                <w:caps w:val="0"/>
                <w:smallCaps w:val="0"/>
                <w:strike w:val="0"/>
                <w:dstrike w:val="0"/>
                <w:outline w:val="0"/>
                <w:color w:val="000000"/>
                <w:spacing w:val="0"/>
                <w:kern w:val="0"/>
                <w:position w:val="0"/>
                <w:sz w:val="24"/>
                <w:szCs w:val="24"/>
                <w:u w:val="none" w:color="000000"/>
                <w:vertAlign w:val="baseline"/>
                <w:rtl w:val="0"/>
                <w:lang w:val="it-IT"/>
              </w:rPr>
              <w:t>TMA AMA Rocca Cencia (avvio)</w:t>
            </w:r>
          </w:p>
        </w:tc>
        <w:tc>
          <w:tcPr>
            <w:tcW w:type="dxa" w:w="182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c>
          <w:tcPr>
            <w:tcW w:type="dxa" w:w="24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c>
          <w:tcPr>
            <w:tcW w:type="dxa" w:w="21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r>
      <w:tr>
        <w:tblPrEx>
          <w:shd w:val="clear" w:color="auto" w:fill="auto"/>
        </w:tblPrEx>
        <w:trPr>
          <w:trHeight w:val="600" w:hRule="atLeast"/>
        </w:trPr>
        <w:tc>
          <w:tcPr>
            <w:tcW w:type="dxa" w:w="69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
              <w:tabs>
                <w:tab w:val="left" w:pos="1830"/>
              </w:tabs>
            </w:pPr>
            <w:r>
              <w:rPr>
                <w:b w:val="1"/>
                <w:bCs w:val="1"/>
                <w:i w:val="1"/>
                <w:iCs w:val="1"/>
                <w:caps w:val="0"/>
                <w:smallCaps w:val="0"/>
                <w:strike w:val="0"/>
                <w:dstrike w:val="0"/>
                <w:outline w:val="0"/>
                <w:color w:val="000000"/>
                <w:spacing w:val="0"/>
                <w:kern w:val="0"/>
                <w:position w:val="0"/>
                <w:sz w:val="24"/>
                <w:szCs w:val="24"/>
                <w:u w:val="none" w:color="000000"/>
                <w:vertAlign w:val="baseline"/>
                <w:rtl w:val="0"/>
                <w:lang w:val="it-IT"/>
              </w:rPr>
              <w:t>2008</w:t>
            </w:r>
          </w:p>
        </w:tc>
        <w:tc>
          <w:tcPr>
            <w:tcW w:type="dxa" w:w="270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
              <w:tabs>
                <w:tab w:val="left" w:pos="1830"/>
              </w:tabs>
            </w:pPr>
            <w:r>
              <w:rPr>
                <w:caps w:val="0"/>
                <w:smallCaps w:val="0"/>
                <w:strike w:val="0"/>
                <w:dstrike w:val="0"/>
                <w:outline w:val="0"/>
                <w:color w:val="000000"/>
                <w:spacing w:val="0"/>
                <w:kern w:val="0"/>
                <w:position w:val="0"/>
                <w:sz w:val="24"/>
                <w:szCs w:val="24"/>
                <w:u w:val="none" w:color="000000"/>
                <w:vertAlign w:val="baseline"/>
                <w:rtl w:val="0"/>
                <w:lang w:val="it-IT"/>
              </w:rPr>
              <w:t>TMA AMA via Salaria (avvio)</w:t>
            </w:r>
          </w:p>
        </w:tc>
        <w:tc>
          <w:tcPr>
            <w:tcW w:type="dxa" w:w="182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c>
          <w:tcPr>
            <w:tcW w:type="dxa" w:w="24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c>
          <w:tcPr>
            <w:tcW w:type="dxa" w:w="21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r>
      <w:tr>
        <w:tblPrEx>
          <w:shd w:val="clear" w:color="auto" w:fill="auto"/>
        </w:tblPrEx>
        <w:trPr>
          <w:trHeight w:val="900" w:hRule="atLeast"/>
        </w:trPr>
        <w:tc>
          <w:tcPr>
            <w:tcW w:type="dxa" w:w="69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
              <w:tabs>
                <w:tab w:val="left" w:pos="1830"/>
              </w:tabs>
            </w:pPr>
            <w:r>
              <w:rPr>
                <w:b w:val="1"/>
                <w:bCs w:val="1"/>
                <w:i w:val="1"/>
                <w:iCs w:val="1"/>
                <w:caps w:val="0"/>
                <w:smallCaps w:val="0"/>
                <w:strike w:val="0"/>
                <w:dstrike w:val="0"/>
                <w:outline w:val="0"/>
                <w:color w:val="000000"/>
                <w:spacing w:val="0"/>
                <w:kern w:val="0"/>
                <w:position w:val="0"/>
                <w:sz w:val="24"/>
                <w:szCs w:val="24"/>
                <w:u w:val="none" w:color="000000"/>
                <w:vertAlign w:val="baseline"/>
                <w:rtl w:val="0"/>
                <w:lang w:val="it-IT"/>
              </w:rPr>
              <w:t>2011</w:t>
            </w:r>
          </w:p>
        </w:tc>
        <w:tc>
          <w:tcPr>
            <w:tcW w:type="dxa" w:w="270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
              <w:tabs>
                <w:tab w:val="left" w:pos="1830"/>
              </w:tabs>
            </w:pPr>
            <w:r>
              <w:rPr>
                <w:caps w:val="0"/>
                <w:smallCaps w:val="0"/>
                <w:strike w:val="0"/>
                <w:dstrike w:val="0"/>
                <w:outline w:val="0"/>
                <w:color w:val="000000"/>
                <w:spacing w:val="0"/>
                <w:kern w:val="0"/>
                <w:position w:val="0"/>
                <w:sz w:val="24"/>
                <w:szCs w:val="24"/>
                <w:u w:val="none" w:color="000000"/>
                <w:vertAlign w:val="baseline"/>
                <w:rtl w:val="0"/>
                <w:lang w:val="it-IT"/>
              </w:rPr>
              <w:t xml:space="preserve">Inizio uso VRD Rocca Cencia solo per Trasferenza </w:t>
            </w:r>
          </w:p>
        </w:tc>
        <w:tc>
          <w:tcPr>
            <w:tcW w:type="dxa" w:w="182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c>
          <w:tcPr>
            <w:tcW w:type="dxa" w:w="24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c>
          <w:tcPr>
            <w:tcW w:type="dxa" w:w="21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r>
      <w:tr>
        <w:tblPrEx>
          <w:shd w:val="clear" w:color="auto" w:fill="auto"/>
        </w:tblPrEx>
        <w:trPr>
          <w:trHeight w:val="1200" w:hRule="atLeast"/>
        </w:trPr>
        <w:tc>
          <w:tcPr>
            <w:tcW w:type="dxa" w:w="69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
              <w:tabs>
                <w:tab w:val="left" w:pos="1830"/>
              </w:tabs>
            </w:pPr>
            <w:r>
              <w:rPr>
                <w:b w:val="1"/>
                <w:bCs w:val="1"/>
                <w:i w:val="1"/>
                <w:iCs w:val="1"/>
                <w:caps w:val="0"/>
                <w:smallCaps w:val="0"/>
                <w:strike w:val="0"/>
                <w:dstrike w:val="0"/>
                <w:outline w:val="0"/>
                <w:color w:val="000000"/>
                <w:spacing w:val="0"/>
                <w:kern w:val="0"/>
                <w:position w:val="0"/>
                <w:sz w:val="24"/>
                <w:szCs w:val="24"/>
                <w:u w:val="none" w:color="000000"/>
                <w:vertAlign w:val="baseline"/>
                <w:rtl w:val="0"/>
                <w:lang w:val="it-IT"/>
              </w:rPr>
              <w:t>2013</w:t>
            </w:r>
          </w:p>
        </w:tc>
        <w:tc>
          <w:tcPr>
            <w:tcW w:type="dxa" w:w="270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
              <w:tabs>
                <w:tab w:val="left" w:pos="1830"/>
              </w:tabs>
            </w:pPr>
            <w:r>
              <w:rPr>
                <w:caps w:val="0"/>
                <w:smallCaps w:val="0"/>
                <w:strike w:val="0"/>
                <w:dstrike w:val="0"/>
                <w:outline w:val="0"/>
                <w:color w:val="000000"/>
                <w:spacing w:val="0"/>
                <w:kern w:val="0"/>
                <w:position w:val="0"/>
                <w:sz w:val="24"/>
                <w:szCs w:val="24"/>
                <w:u w:val="none" w:color="000000"/>
                <w:vertAlign w:val="baseline"/>
                <w:rtl w:val="0"/>
                <w:lang w:val="it-IT"/>
              </w:rPr>
              <w:t>Fermo impianto di Maccarese per manutenzione straordinaria</w:t>
            </w:r>
          </w:p>
        </w:tc>
        <w:tc>
          <w:tcPr>
            <w:tcW w:type="dxa" w:w="182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
              <w:tabs>
                <w:tab w:val="left" w:pos="1830"/>
              </w:tabs>
            </w:pPr>
            <w:r>
              <w:rPr>
                <w:caps w:val="0"/>
                <w:smallCaps w:val="0"/>
                <w:strike w:val="0"/>
                <w:dstrike w:val="0"/>
                <w:outline w:val="0"/>
                <w:color w:val="000000"/>
                <w:spacing w:val="0"/>
                <w:kern w:val="0"/>
                <w:position w:val="0"/>
                <w:sz w:val="24"/>
                <w:szCs w:val="24"/>
                <w:u w:val="none" w:color="000000"/>
                <w:vertAlign w:val="baseline"/>
                <w:rtl w:val="0"/>
                <w:lang w:val="it-IT"/>
              </w:rPr>
              <w:t>Fermo impianto di via Laurentina per revamping</w:t>
            </w:r>
          </w:p>
        </w:tc>
        <w:tc>
          <w:tcPr>
            <w:tcW w:type="dxa" w:w="24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
              <w:tabs>
                <w:tab w:val="left" w:pos="1830"/>
              </w:tabs>
            </w:pPr>
            <w:r>
              <w:rPr>
                <w:caps w:val="0"/>
                <w:smallCaps w:val="0"/>
                <w:strike w:val="0"/>
                <w:dstrike w:val="0"/>
                <w:outline w:val="0"/>
                <w:color w:val="000000"/>
                <w:spacing w:val="0"/>
                <w:kern w:val="0"/>
                <w:position w:val="0"/>
                <w:sz w:val="24"/>
                <w:szCs w:val="24"/>
                <w:u w:val="none" w:color="000000"/>
                <w:vertAlign w:val="baseline"/>
                <w:rtl w:val="0"/>
                <w:lang w:val="it-IT"/>
              </w:rPr>
              <w:t>Chiusura Malagrotta</w:t>
            </w:r>
          </w:p>
        </w:tc>
        <w:tc>
          <w:tcPr>
            <w:tcW w:type="dxa" w:w="21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
              <w:tabs>
                <w:tab w:val="left" w:pos="1830"/>
              </w:tabs>
            </w:pPr>
            <w:r>
              <w:rPr>
                <w:caps w:val="0"/>
                <w:smallCaps w:val="0"/>
                <w:strike w:val="0"/>
                <w:dstrike w:val="0"/>
                <w:outline w:val="0"/>
                <w:color w:val="000000"/>
                <w:spacing w:val="0"/>
                <w:kern w:val="0"/>
                <w:position w:val="0"/>
                <w:sz w:val="24"/>
                <w:szCs w:val="24"/>
                <w:u w:val="none" w:color="000000"/>
                <w:vertAlign w:val="baseline"/>
                <w:rtl w:val="0"/>
                <w:lang w:val="it-IT"/>
              </w:rPr>
              <w:t xml:space="preserve">Messa in esercizio impianto Co.La.Ri. tritovagliatura a Rocca Cencia </w:t>
            </w:r>
          </w:p>
        </w:tc>
      </w:tr>
      <w:tr>
        <w:tblPrEx>
          <w:shd w:val="clear" w:color="auto" w:fill="auto"/>
        </w:tblPrEx>
        <w:trPr>
          <w:trHeight w:val="3000" w:hRule="atLeast"/>
        </w:trPr>
        <w:tc>
          <w:tcPr>
            <w:tcW w:type="dxa" w:w="69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
              <w:tabs>
                <w:tab w:val="left" w:pos="1830"/>
              </w:tabs>
            </w:pPr>
            <w:r>
              <w:rPr>
                <w:b w:val="1"/>
                <w:bCs w:val="1"/>
                <w:i w:val="1"/>
                <w:iCs w:val="1"/>
                <w:caps w:val="0"/>
                <w:smallCaps w:val="0"/>
                <w:strike w:val="0"/>
                <w:dstrike w:val="0"/>
                <w:outline w:val="0"/>
                <w:color w:val="000000"/>
                <w:spacing w:val="0"/>
                <w:kern w:val="0"/>
                <w:position w:val="0"/>
                <w:sz w:val="24"/>
                <w:szCs w:val="24"/>
                <w:u w:val="none" w:color="000000"/>
                <w:vertAlign w:val="baseline"/>
                <w:rtl w:val="0"/>
                <w:lang w:val="it-IT"/>
              </w:rPr>
              <w:t>2015</w:t>
            </w:r>
          </w:p>
        </w:tc>
        <w:tc>
          <w:tcPr>
            <w:tcW w:type="dxa" w:w="270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
              <w:tabs>
                <w:tab w:val="left" w:pos="1830"/>
              </w:tabs>
            </w:pPr>
            <w:r>
              <w:rPr>
                <w:caps w:val="0"/>
                <w:smallCaps w:val="0"/>
                <w:strike w:val="0"/>
                <w:dstrike w:val="0"/>
                <w:outline w:val="0"/>
                <w:color w:val="000000"/>
                <w:spacing w:val="0"/>
                <w:kern w:val="0"/>
                <w:position w:val="0"/>
                <w:sz w:val="24"/>
                <w:szCs w:val="24"/>
                <w:u w:val="none" w:color="000000"/>
                <w:vertAlign w:val="baseline"/>
                <w:rtl w:val="0"/>
                <w:lang w:val="it-IT"/>
              </w:rPr>
              <w:t>Avvio impianto mobile di tritovagliatura di propriet</w:t>
            </w:r>
            <w:r>
              <w:rPr>
                <w:rFonts w:hAnsi="Times New Roman" w:hint="default"/>
                <w:caps w:val="0"/>
                <w:smallCaps w:val="0"/>
                <w:strike w:val="0"/>
                <w:dstrike w:val="0"/>
                <w:outline w:val="0"/>
                <w:color w:val="000000"/>
                <w:spacing w:val="0"/>
                <w:kern w:val="0"/>
                <w:position w:val="0"/>
                <w:sz w:val="24"/>
                <w:szCs w:val="24"/>
                <w:u w:val="none" w:color="000000"/>
                <w:vertAlign w:val="baseline"/>
                <w:rtl w:val="0"/>
                <w:lang w:val="it-IT"/>
              </w:rPr>
              <w:t xml:space="preserve">à </w:t>
            </w:r>
            <w:r>
              <w:rPr>
                <w:caps w:val="0"/>
                <w:smallCaps w:val="0"/>
                <w:strike w:val="0"/>
                <w:dstrike w:val="0"/>
                <w:outline w:val="0"/>
                <w:color w:val="000000"/>
                <w:spacing w:val="0"/>
                <w:kern w:val="0"/>
                <w:position w:val="0"/>
                <w:sz w:val="24"/>
                <w:szCs w:val="24"/>
                <w:u w:val="none" w:color="000000"/>
                <w:vertAlign w:val="baseline"/>
                <w:rtl w:val="0"/>
                <w:lang w:val="it-IT"/>
              </w:rPr>
              <w:t xml:space="preserve">di AMA </w:t>
            </w:r>
          </w:p>
        </w:tc>
        <w:tc>
          <w:tcPr>
            <w:tcW w:type="dxa" w:w="182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
              <w:tabs>
                <w:tab w:val="left" w:pos="1830"/>
              </w:tabs>
            </w:pPr>
            <w:r>
              <w:rPr>
                <w:caps w:val="0"/>
                <w:smallCaps w:val="0"/>
                <w:strike w:val="0"/>
                <w:dstrike w:val="0"/>
                <w:outline w:val="0"/>
                <w:color w:val="000000"/>
                <w:spacing w:val="0"/>
                <w:kern w:val="0"/>
                <w:position w:val="0"/>
                <w:sz w:val="24"/>
                <w:szCs w:val="24"/>
                <w:u w:val="none" w:color="000000"/>
                <w:vertAlign w:val="baseline"/>
                <w:rtl w:val="0"/>
                <w:lang w:val="it-IT"/>
              </w:rPr>
              <w:t>Da maggio fermo impianto di Ponte Malnome per manutenzione</w:t>
            </w:r>
          </w:p>
        </w:tc>
        <w:tc>
          <w:tcPr>
            <w:tcW w:type="dxa" w:w="24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
              <w:tabs>
                <w:tab w:val="left" w:pos="1830"/>
              </w:tabs>
            </w:pPr>
            <w:r>
              <w:rPr>
                <w:caps w:val="0"/>
                <w:smallCaps w:val="0"/>
                <w:strike w:val="0"/>
                <w:dstrike w:val="0"/>
                <w:outline w:val="0"/>
                <w:color w:val="000000"/>
                <w:spacing w:val="0"/>
                <w:kern w:val="0"/>
                <w:position w:val="0"/>
                <w:sz w:val="24"/>
                <w:szCs w:val="24"/>
                <w:u w:val="none" w:color="000000"/>
                <w:vertAlign w:val="baseline"/>
                <w:rtl w:val="0"/>
                <w:lang w:val="it-IT"/>
              </w:rPr>
              <w:t xml:space="preserve">Richiesta autorizzazione da parte di AMA per impianto di compostaggio per frazione organica (50.000 t/a) da realizzare a Rocca Cencia (in attesa di risposta della regione Lazio) </w:t>
            </w:r>
          </w:p>
        </w:tc>
        <w:tc>
          <w:tcPr>
            <w:tcW w:type="dxa" w:w="21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
              <w:tabs>
                <w:tab w:val="left" w:pos="1830"/>
              </w:tabs>
            </w:pPr>
            <w:r>
              <w:rPr>
                <w:caps w:val="0"/>
                <w:smallCaps w:val="0"/>
                <w:strike w:val="0"/>
                <w:dstrike w:val="0"/>
                <w:outline w:val="0"/>
                <w:color w:val="000000"/>
                <w:spacing w:val="0"/>
                <w:kern w:val="0"/>
                <w:position w:val="0"/>
                <w:sz w:val="24"/>
                <w:szCs w:val="24"/>
                <w:u w:val="none" w:color="000000"/>
                <w:vertAlign w:val="baseline"/>
                <w:rtl w:val="0"/>
                <w:lang w:val="it-IT"/>
              </w:rPr>
              <w:t>Revamping VRD Rocca Cencia e Laurentina. Adeguamento per lavorare solo plastica</w:t>
            </w:r>
          </w:p>
        </w:tc>
      </w:tr>
    </w:tbl>
    <w:p>
      <w:pPr>
        <w:pStyle w:val="Normal"/>
        <w:jc w:val="both"/>
        <w:rPr>
          <w:rtl w:val="0"/>
        </w:rPr>
      </w:pPr>
    </w:p>
    <w:p>
      <w:pPr>
        <w:pStyle w:val="Normal"/>
        <w:jc w:val="both"/>
        <w:rPr>
          <w:rtl w:val="0"/>
        </w:rPr>
      </w:pPr>
    </w:p>
    <w:p>
      <w:pPr>
        <w:pStyle w:val="Normal"/>
        <w:jc w:val="both"/>
        <w:rPr>
          <w:rtl w:val="0"/>
        </w:rPr>
      </w:pPr>
    </w:p>
    <w:p>
      <w:pPr>
        <w:pStyle w:val="Normal"/>
        <w:jc w:val="both"/>
        <w:rPr>
          <w:rtl w:val="0"/>
        </w:rPr>
      </w:pPr>
    </w:p>
    <w:p>
      <w:pPr>
        <w:pStyle w:val="Normal"/>
        <w:jc w:val="both"/>
        <w:rPr>
          <w:rtl w:val="0"/>
        </w:rPr>
      </w:pPr>
    </w:p>
    <w:p>
      <w:pPr>
        <w:pStyle w:val="Normal"/>
        <w:jc w:val="both"/>
        <w:rPr>
          <w:rtl w:val="0"/>
        </w:rPr>
      </w:pPr>
    </w:p>
    <w:p>
      <w:pPr>
        <w:pStyle w:val="Normal"/>
        <w:ind w:left="567" w:right="567" w:firstLine="0"/>
        <w:jc w:val="both"/>
        <w:rPr>
          <w:rFonts w:ascii="Book Antiqua" w:cs="Book Antiqua" w:hAnsi="Book Antiqua" w:eastAsia="Book Antiqua"/>
        </w:rPr>
      </w:pPr>
      <w:r>
        <w:rPr>
          <w:rFonts w:ascii="Book Antiqua"/>
          <w:rtl w:val="0"/>
          <w:lang w:val="it-IT"/>
        </w:rPr>
        <w:t>In merito all</w:t>
      </w:r>
      <w:r>
        <w:rPr>
          <w:rFonts w:hAnsi="Book Antiqua" w:hint="default"/>
          <w:rtl w:val="0"/>
          <w:lang w:val="it-IT"/>
        </w:rPr>
        <w:t>’</w:t>
      </w:r>
      <w:r>
        <w:rPr>
          <w:rFonts w:ascii="Book Antiqua"/>
          <w:rtl w:val="0"/>
          <w:lang w:val="it-IT"/>
        </w:rPr>
        <w:t>impiantistica, soprattutto TMB, costruita a Roma negli anni, alla collocazione, funzionalit</w:t>
      </w:r>
      <w:r>
        <w:rPr>
          <w:rFonts w:hAnsi="Book Antiqua" w:hint="default"/>
          <w:rtl w:val="0"/>
          <w:lang w:val="it-IT"/>
        </w:rPr>
        <w:t xml:space="preserve">à </w:t>
      </w:r>
      <w:r>
        <w:rPr>
          <w:rFonts w:ascii="Book Antiqua"/>
          <w:rtl w:val="0"/>
          <w:lang w:val="it-IT"/>
        </w:rPr>
        <w:t>e necessit</w:t>
      </w:r>
      <w:r>
        <w:rPr>
          <w:rFonts w:hAnsi="Book Antiqua" w:hint="default"/>
          <w:rtl w:val="0"/>
          <w:lang w:val="it-IT"/>
        </w:rPr>
        <w:t xml:space="preserve">à </w:t>
      </w:r>
      <w:r>
        <w:rPr>
          <w:rFonts w:ascii="Book Antiqua"/>
          <w:rtl w:val="0"/>
          <w:lang w:val="it-IT"/>
        </w:rPr>
        <w:t xml:space="preserve">di evoluzione, il presidente pro tempore del consiglio di amministrazione di AMA S.p.A., Daniele Fortini, in audizione dinanzi la Commissione il 2 agosto 2016, ha dichiarato: </w:t>
      </w:r>
    </w:p>
    <w:p>
      <w:pPr>
        <w:pStyle w:val="Normal"/>
        <w:ind w:left="567" w:right="567" w:firstLine="0"/>
        <w:jc w:val="both"/>
        <w:rPr>
          <w:rFonts w:ascii="Book Antiqua" w:cs="Book Antiqua" w:hAnsi="Book Antiqua" w:eastAsia="Book Antiqua"/>
        </w:rPr>
      </w:pPr>
      <w:r>
        <w:rPr>
          <w:rFonts w:ascii="Book Antiqua"/>
          <w:rtl w:val="0"/>
          <w:lang w:val="it-IT"/>
        </w:rPr>
        <w:t xml:space="preserve"> </w:t>
      </w:r>
      <w:r>
        <w:rPr>
          <w:rFonts w:hAnsi="Book Antiqua" w:hint="default"/>
          <w:rtl w:val="0"/>
          <w:lang w:val="it-IT"/>
        </w:rPr>
        <w:t>“</w:t>
      </w:r>
      <w:r>
        <w:rPr>
          <w:rFonts w:ascii="Book Antiqua"/>
          <w:rtl w:val="0"/>
          <w:lang w:val="it-IT"/>
        </w:rPr>
        <w:t>Negli impianti di AMA, pure autorizzati per 1.500 tonnellate al giorno, ugualmente si presenta il problema che questi impianti sono stati realizzati in aree una volta destinate ad altri impieghi; sono le aree di periferia, dove la industrializzazione era possibile, dove si sono fatti interventi di insediamenti edilizi importanti, finalizzati alla presenza di manifatture e dove poi, successivamente, si sono fatte le case. Cos</w:t>
      </w:r>
      <w:r>
        <w:rPr>
          <w:rFonts w:hAnsi="Book Antiqua" w:hint="default"/>
          <w:rtl w:val="0"/>
          <w:lang w:val="it-IT"/>
        </w:rPr>
        <w:t xml:space="preserve">ì è </w:t>
      </w:r>
      <w:r>
        <w:rPr>
          <w:rFonts w:ascii="Book Antiqua"/>
          <w:rtl w:val="0"/>
          <w:lang w:val="it-IT"/>
        </w:rPr>
        <w:t xml:space="preserve">accaduto, purtroppo, in tanta parte del nostro Paese: non </w:t>
      </w:r>
      <w:r>
        <w:rPr>
          <w:rFonts w:hAnsi="Book Antiqua" w:hint="default"/>
          <w:rtl w:val="0"/>
          <w:lang w:val="it-IT"/>
        </w:rPr>
        <w:t xml:space="preserve">è </w:t>
      </w:r>
      <w:r>
        <w:rPr>
          <w:rFonts w:ascii="Book Antiqua"/>
          <w:rtl w:val="0"/>
          <w:lang w:val="it-IT"/>
        </w:rPr>
        <w:t>certo una colpa dei cittadini che vi risiedono. Sta di fatto, per</w:t>
      </w:r>
      <w:r>
        <w:rPr>
          <w:rFonts w:hAnsi="Book Antiqua" w:hint="default"/>
          <w:rtl w:val="0"/>
          <w:lang w:val="it-IT"/>
        </w:rPr>
        <w:t>ò</w:t>
      </w:r>
      <w:r>
        <w:rPr>
          <w:rFonts w:ascii="Book Antiqua"/>
          <w:rtl w:val="0"/>
          <w:lang w:val="it-IT"/>
        </w:rPr>
        <w:t>, che l</w:t>
      </w:r>
      <w:r>
        <w:rPr>
          <w:rFonts w:hAnsi="Book Antiqua" w:hint="default"/>
          <w:rtl w:val="0"/>
          <w:lang w:val="it-IT"/>
        </w:rPr>
        <w:t>’</w:t>
      </w:r>
      <w:r>
        <w:rPr>
          <w:rFonts w:ascii="Book Antiqua"/>
          <w:rtl w:val="0"/>
          <w:lang w:val="it-IT"/>
        </w:rPr>
        <w:t>impianto posto in via Salaria, dal punto di vista dell</w:t>
      </w:r>
      <w:r>
        <w:rPr>
          <w:rFonts w:hAnsi="Book Antiqua" w:hint="default"/>
          <w:rtl w:val="0"/>
          <w:lang w:val="it-IT"/>
        </w:rPr>
        <w:t>’</w:t>
      </w:r>
      <w:r>
        <w:rPr>
          <w:rFonts w:ascii="Book Antiqua"/>
          <w:rtl w:val="0"/>
          <w:lang w:val="it-IT"/>
        </w:rPr>
        <w:t xml:space="preserve">ubicazione urbanistica, </w:t>
      </w:r>
      <w:r>
        <w:rPr>
          <w:rFonts w:hAnsi="Book Antiqua" w:hint="default"/>
          <w:rtl w:val="0"/>
          <w:lang w:val="it-IT"/>
        </w:rPr>
        <w:t xml:space="preserve">è </w:t>
      </w:r>
      <w:r>
        <w:rPr>
          <w:rFonts w:ascii="Book Antiqua"/>
          <w:rtl w:val="0"/>
          <w:lang w:val="it-IT"/>
        </w:rPr>
        <w:t>una aberrazione. Quell</w:t>
      </w:r>
      <w:r>
        <w:rPr>
          <w:rFonts w:hAnsi="Book Antiqua" w:hint="default"/>
          <w:rtl w:val="0"/>
          <w:lang w:val="it-IT"/>
        </w:rPr>
        <w:t>’</w:t>
      </w:r>
      <w:r>
        <w:rPr>
          <w:rFonts w:ascii="Book Antiqua"/>
          <w:rtl w:val="0"/>
          <w:lang w:val="it-IT"/>
        </w:rPr>
        <w:t>impianto nasce, come qualche senatore e deputato della citt</w:t>
      </w:r>
      <w:r>
        <w:rPr>
          <w:rFonts w:hAnsi="Book Antiqua" w:hint="default"/>
          <w:rtl w:val="0"/>
          <w:lang w:val="it-IT"/>
        </w:rPr>
        <w:t xml:space="preserve">à </w:t>
      </w:r>
      <w:r>
        <w:rPr>
          <w:rFonts w:ascii="Book Antiqua"/>
          <w:rtl w:val="0"/>
          <w:lang w:val="it-IT"/>
        </w:rPr>
        <w:t>di Roma certamente ricorda, perch</w:t>
      </w:r>
      <w:r>
        <w:rPr>
          <w:rFonts w:hAnsi="Book Antiqua" w:hint="default"/>
          <w:rtl w:val="0"/>
          <w:lang w:val="it-IT"/>
        </w:rPr>
        <w:t xml:space="preserve">é </w:t>
      </w:r>
      <w:r>
        <w:rPr>
          <w:rFonts w:ascii="Book Antiqua"/>
          <w:rtl w:val="0"/>
          <w:lang w:val="it-IT"/>
        </w:rPr>
        <w:t>l</w:t>
      </w:r>
      <w:r>
        <w:rPr>
          <w:rFonts w:hAnsi="Book Antiqua" w:hint="default"/>
          <w:rtl w:val="0"/>
          <w:lang w:val="it-IT"/>
        </w:rPr>
        <w:t xml:space="preserve">ì </w:t>
      </w:r>
      <w:r>
        <w:rPr>
          <w:rFonts w:ascii="Book Antiqua"/>
          <w:rtl w:val="0"/>
          <w:lang w:val="it-IT"/>
        </w:rPr>
        <w:t>vi era un</w:t>
      </w:r>
      <w:r>
        <w:rPr>
          <w:rFonts w:hAnsi="Book Antiqua" w:hint="default"/>
          <w:rtl w:val="0"/>
          <w:lang w:val="it-IT"/>
        </w:rPr>
        <w:t>’</w:t>
      </w:r>
      <w:r>
        <w:rPr>
          <w:rFonts w:ascii="Book Antiqua"/>
          <w:rtl w:val="0"/>
          <w:lang w:val="it-IT"/>
        </w:rPr>
        <w:t>industria della Autovox, che a un certo punto fall</w:t>
      </w:r>
      <w:r>
        <w:rPr>
          <w:rFonts w:hAnsi="Book Antiqua" w:hint="default"/>
          <w:rtl w:val="0"/>
          <w:lang w:val="it-IT"/>
        </w:rPr>
        <w:t xml:space="preserve">ì </w:t>
      </w:r>
      <w:r>
        <w:rPr>
          <w:rFonts w:ascii="Book Antiqua"/>
          <w:rtl w:val="0"/>
          <w:lang w:val="it-IT"/>
        </w:rPr>
        <w:t>e chiuse. Si doveva recuperare un centinaio di maestranze, offrendo loro un</w:t>
      </w:r>
      <w:r>
        <w:rPr>
          <w:rFonts w:hAnsi="Book Antiqua" w:hint="default"/>
          <w:rtl w:val="0"/>
          <w:lang w:val="it-IT"/>
        </w:rPr>
        <w:t>’</w:t>
      </w:r>
      <w:r>
        <w:rPr>
          <w:rFonts w:ascii="Book Antiqua"/>
          <w:rtl w:val="0"/>
          <w:lang w:val="it-IT"/>
        </w:rPr>
        <w:t>opportunit</w:t>
      </w:r>
      <w:r>
        <w:rPr>
          <w:rFonts w:hAnsi="Book Antiqua" w:hint="default"/>
          <w:rtl w:val="0"/>
          <w:lang w:val="it-IT"/>
        </w:rPr>
        <w:t xml:space="preserve">à </w:t>
      </w:r>
      <w:r>
        <w:rPr>
          <w:rFonts w:ascii="Book Antiqua"/>
          <w:rtl w:val="0"/>
          <w:lang w:val="it-IT"/>
        </w:rPr>
        <w:t>di lavoro e l</w:t>
      </w:r>
      <w:r>
        <w:rPr>
          <w:rFonts w:hAnsi="Book Antiqua" w:hint="default"/>
          <w:rtl w:val="0"/>
          <w:lang w:val="it-IT"/>
        </w:rPr>
        <w:t>’</w:t>
      </w:r>
      <w:r>
        <w:rPr>
          <w:rFonts w:ascii="Book Antiqua"/>
          <w:rtl w:val="0"/>
          <w:lang w:val="it-IT"/>
        </w:rPr>
        <w:t>opportunit</w:t>
      </w:r>
      <w:r>
        <w:rPr>
          <w:rFonts w:hAnsi="Book Antiqua" w:hint="default"/>
          <w:rtl w:val="0"/>
          <w:lang w:val="it-IT"/>
        </w:rPr>
        <w:t xml:space="preserve">à </w:t>
      </w:r>
      <w:r>
        <w:rPr>
          <w:rFonts w:ascii="Book Antiqua"/>
          <w:rtl w:val="0"/>
          <w:lang w:val="it-IT"/>
        </w:rPr>
        <w:t>di lavoro divent</w:t>
      </w:r>
      <w:r>
        <w:rPr>
          <w:rFonts w:hAnsi="Book Antiqua" w:hint="default"/>
          <w:rtl w:val="0"/>
          <w:lang w:val="it-IT"/>
        </w:rPr>
        <w:t xml:space="preserve">ò </w:t>
      </w:r>
      <w:r>
        <w:rPr>
          <w:rFonts w:ascii="Book Antiqua"/>
          <w:rtl w:val="0"/>
          <w:lang w:val="it-IT"/>
        </w:rPr>
        <w:t>quella di costruire il TMB, fare un presidio di AMA e salvare quell</w:t>
      </w:r>
      <w:r>
        <w:rPr>
          <w:rFonts w:hAnsi="Book Antiqua" w:hint="default"/>
          <w:rtl w:val="0"/>
          <w:lang w:val="it-IT"/>
        </w:rPr>
        <w:t>’</w:t>
      </w:r>
      <w:r>
        <w:rPr>
          <w:rFonts w:ascii="Book Antiqua"/>
          <w:rtl w:val="0"/>
          <w:lang w:val="it-IT"/>
        </w:rPr>
        <w:t>area. Chi avesse l</w:t>
      </w:r>
      <w:r>
        <w:rPr>
          <w:rFonts w:hAnsi="Book Antiqua" w:hint="default"/>
          <w:rtl w:val="0"/>
          <w:lang w:val="it-IT"/>
        </w:rPr>
        <w:t>’</w:t>
      </w:r>
      <w:r>
        <w:rPr>
          <w:rFonts w:ascii="Book Antiqua"/>
          <w:rtl w:val="0"/>
          <w:lang w:val="it-IT"/>
        </w:rPr>
        <w:t xml:space="preserve">avventura di visitare quel sito oggi, come ho fatto io e come hanno fatto tanti che lo hanno visitato, proverebbe la sensazione </w:t>
      </w:r>
      <w:r>
        <w:rPr>
          <w:rFonts w:hAnsi="Book Antiqua" w:hint="default"/>
          <w:rtl w:val="0"/>
          <w:lang w:val="it-IT"/>
        </w:rPr>
        <w:t xml:space="preserve">– </w:t>
      </w:r>
      <w:r>
        <w:rPr>
          <w:rFonts w:ascii="Book Antiqua"/>
          <w:rtl w:val="0"/>
          <w:lang w:val="it-IT"/>
        </w:rPr>
        <w:t xml:space="preserve">ma varrebbe la pena anche poter dire che la stessa sensazione sarebbe suscitata a Rocca Cencia </w:t>
      </w:r>
      <w:r>
        <w:rPr>
          <w:rFonts w:hAnsi="Book Antiqua" w:hint="default"/>
          <w:rtl w:val="0"/>
          <w:lang w:val="it-IT"/>
        </w:rPr>
        <w:t xml:space="preserve">– </w:t>
      </w:r>
      <w:r>
        <w:rPr>
          <w:rFonts w:ascii="Book Antiqua"/>
          <w:rtl w:val="0"/>
          <w:lang w:val="it-IT"/>
        </w:rPr>
        <w:t xml:space="preserve">di sdraiare tutto: </w:t>
      </w:r>
      <w:r>
        <w:rPr>
          <w:rFonts w:ascii="Book Antiqua"/>
          <w:i w:val="1"/>
          <w:iCs w:val="1"/>
          <w:rtl w:val="0"/>
          <w:lang w:val="it-IT"/>
        </w:rPr>
        <w:t>tabula rasa</w:t>
      </w:r>
      <w:r>
        <w:rPr>
          <w:rFonts w:ascii="Book Antiqua"/>
          <w:rtl w:val="0"/>
          <w:lang w:val="it-IT"/>
        </w:rPr>
        <w:t>. In questi impianti, infatti, purtroppo le condizioni di degenerazione e di degrado sono immediatamente percepibili e non per la presenza dei rifiuti, delle attivit</w:t>
      </w:r>
      <w:r>
        <w:rPr>
          <w:rFonts w:hAnsi="Book Antiqua" w:hint="default"/>
          <w:rtl w:val="0"/>
          <w:lang w:val="it-IT"/>
        </w:rPr>
        <w:t xml:space="preserve">à </w:t>
      </w:r>
      <w:r>
        <w:rPr>
          <w:rFonts w:ascii="Book Antiqua"/>
          <w:rtl w:val="0"/>
          <w:lang w:val="it-IT"/>
        </w:rPr>
        <w:t>connesse alla movimentazione dei compattatori e dei mezzi, ma per la quantit</w:t>
      </w:r>
      <w:r>
        <w:rPr>
          <w:rFonts w:hAnsi="Book Antiqua" w:hint="default"/>
          <w:rtl w:val="0"/>
          <w:lang w:val="it-IT"/>
        </w:rPr>
        <w:t xml:space="preserve">à </w:t>
      </w:r>
      <w:r>
        <w:rPr>
          <w:rFonts w:ascii="Book Antiqua"/>
          <w:rtl w:val="0"/>
          <w:lang w:val="it-IT"/>
        </w:rPr>
        <w:t>di ruderi, di manufatti degradati, per il senso dell</w:t>
      </w:r>
      <w:r>
        <w:rPr>
          <w:rFonts w:hAnsi="Book Antiqua" w:hint="default"/>
          <w:rtl w:val="0"/>
          <w:lang w:val="it-IT"/>
        </w:rPr>
        <w:t>’</w:t>
      </w:r>
      <w:r>
        <w:rPr>
          <w:rFonts w:ascii="Book Antiqua"/>
          <w:rtl w:val="0"/>
          <w:lang w:val="it-IT"/>
        </w:rPr>
        <w:t>abbandono che complessivamente c</w:t>
      </w:r>
      <w:r>
        <w:rPr>
          <w:rFonts w:hAnsi="Book Antiqua" w:hint="default"/>
          <w:rtl w:val="0"/>
          <w:lang w:val="it-IT"/>
        </w:rPr>
        <w:t xml:space="preserve">’è </w:t>
      </w:r>
      <w:r>
        <w:rPr>
          <w:rFonts w:ascii="Book Antiqua"/>
          <w:rtl w:val="0"/>
          <w:lang w:val="it-IT"/>
        </w:rPr>
        <w:t xml:space="preserve">in queste aree. Purtroppo non </w:t>
      </w:r>
      <w:r>
        <w:rPr>
          <w:rFonts w:hAnsi="Book Antiqua" w:hint="default"/>
          <w:rtl w:val="0"/>
          <w:lang w:val="it-IT"/>
        </w:rPr>
        <w:t xml:space="preserve">è </w:t>
      </w:r>
      <w:r>
        <w:rPr>
          <w:rFonts w:ascii="Book Antiqua"/>
          <w:rtl w:val="0"/>
          <w:lang w:val="it-IT"/>
        </w:rPr>
        <w:t xml:space="preserve">migliore la situazione di Ponte Malnome, dove era presente un inceneritore, poi abbandonato; a Rocca Cencia, ugualmente vi </w:t>
      </w:r>
      <w:r>
        <w:rPr>
          <w:rFonts w:hAnsi="Book Antiqua" w:hint="default"/>
          <w:rtl w:val="0"/>
          <w:lang w:val="it-IT"/>
        </w:rPr>
        <w:t xml:space="preserve">è </w:t>
      </w:r>
      <w:r>
        <w:rPr>
          <w:rFonts w:ascii="Book Antiqua"/>
          <w:rtl w:val="0"/>
          <w:lang w:val="it-IT"/>
        </w:rPr>
        <w:t>un inceneritore, poi abbandonato; ugualmente il Salario, dove ci sono capannoni vetusti, aree desolate, situazioni di estrema gravit</w:t>
      </w:r>
      <w:r>
        <w:rPr>
          <w:rFonts w:hAnsi="Book Antiqua" w:hint="default"/>
          <w:rtl w:val="0"/>
          <w:lang w:val="it-IT"/>
        </w:rPr>
        <w:t>à</w:t>
      </w:r>
      <w:r>
        <w:rPr>
          <w:rFonts w:ascii="Book Antiqua"/>
          <w:rtl w:val="0"/>
          <w:lang w:val="it-IT"/>
        </w:rPr>
        <w:t>. Questi  impianti andrebbero veramente sdraiati, bonificati e, dopo, bisognerebbe costruirci sopra qualcosa di intelligente e moderno. Meglio stanno gli impianti TMB di Co.La.Ri., posizionati a Malagrotta, che possono funzionare sempre con una regolarit</w:t>
      </w:r>
      <w:r>
        <w:rPr>
          <w:rFonts w:hAnsi="Book Antiqua" w:hint="default"/>
          <w:rtl w:val="0"/>
          <w:lang w:val="it-IT"/>
        </w:rPr>
        <w:t xml:space="preserve">à </w:t>
      </w:r>
      <w:r>
        <w:rPr>
          <w:rFonts w:ascii="Book Antiqua"/>
          <w:rtl w:val="0"/>
          <w:lang w:val="it-IT"/>
        </w:rPr>
        <w:t>svizzera e sono gestiti correttamente, nei limiti delle autorizzazioni e con il massimo rigore, cos</w:t>
      </w:r>
      <w:r>
        <w:rPr>
          <w:rFonts w:hAnsi="Book Antiqua" w:hint="default"/>
          <w:rtl w:val="0"/>
          <w:lang w:val="it-IT"/>
        </w:rPr>
        <w:t xml:space="preserve">ì </w:t>
      </w:r>
      <w:r>
        <w:rPr>
          <w:rFonts w:ascii="Book Antiqua"/>
          <w:rtl w:val="0"/>
          <w:lang w:val="it-IT"/>
        </w:rPr>
        <w:t>come gli impianti TMB di via Salaria e di Rocca Cencia sono gestiti secondo le prescrizioni delle autorizzazioni integrate ambientali, con uno sforzo per</w:t>
      </w:r>
      <w:r>
        <w:rPr>
          <w:rFonts w:hAnsi="Book Antiqua" w:hint="default"/>
          <w:rtl w:val="0"/>
          <w:lang w:val="it-IT"/>
        </w:rPr>
        <w:t xml:space="preserve">ò </w:t>
      </w:r>
      <w:r>
        <w:rPr>
          <w:rFonts w:ascii="Book Antiqua"/>
          <w:rtl w:val="0"/>
          <w:lang w:val="it-IT"/>
        </w:rPr>
        <w:t>maggiore che le nostre maestranze vi devono dedicare perch</w:t>
      </w:r>
      <w:r>
        <w:rPr>
          <w:rFonts w:hAnsi="Book Antiqua" w:hint="default"/>
          <w:rtl w:val="0"/>
          <w:lang w:val="it-IT"/>
        </w:rPr>
        <w:t xml:space="preserve">é </w:t>
      </w:r>
      <w:r>
        <w:rPr>
          <w:rFonts w:ascii="Book Antiqua"/>
          <w:rtl w:val="0"/>
          <w:lang w:val="it-IT"/>
        </w:rPr>
        <w:t>talora sono quelli gli impianti che devono accogliere pi</w:t>
      </w:r>
      <w:r>
        <w:rPr>
          <w:rFonts w:hAnsi="Book Antiqua" w:hint="default"/>
          <w:rtl w:val="0"/>
          <w:lang w:val="it-IT"/>
        </w:rPr>
        <w:t xml:space="preserve">ù </w:t>
      </w:r>
      <w:r>
        <w:rPr>
          <w:rFonts w:ascii="Book Antiqua"/>
          <w:rtl w:val="0"/>
          <w:lang w:val="it-IT"/>
        </w:rPr>
        <w:t>rifiuti di quanti in realt</w:t>
      </w:r>
      <w:r>
        <w:rPr>
          <w:rFonts w:hAnsi="Book Antiqua" w:hint="default"/>
          <w:rtl w:val="0"/>
          <w:lang w:val="it-IT"/>
        </w:rPr>
        <w:t xml:space="preserve">à </w:t>
      </w:r>
      <w:r>
        <w:rPr>
          <w:rFonts w:ascii="Book Antiqua"/>
          <w:rtl w:val="0"/>
          <w:lang w:val="it-IT"/>
        </w:rPr>
        <w:t>potrebbero e quindi accade che si possano ingolfare.</w:t>
      </w:r>
      <w:r>
        <w:rPr>
          <w:rFonts w:hAnsi="Book Antiqua" w:hint="default"/>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Di seguito un grafico ulteriormente descrittivo dell</w:t>
      </w:r>
      <w:r>
        <w:rPr>
          <w:rFonts w:hAnsi="Book Antiqua" w:hint="default"/>
          <w:rtl w:val="0"/>
          <w:lang w:val="it-IT"/>
        </w:rPr>
        <w:t>’</w:t>
      </w:r>
      <w:r>
        <w:rPr>
          <w:rFonts w:ascii="Book Antiqua"/>
          <w:rtl w:val="0"/>
          <w:lang w:val="it-IT"/>
        </w:rPr>
        <w:t>impiantistica e di talune criticit</w:t>
      </w:r>
      <w:r>
        <w:rPr>
          <w:rFonts w:hAnsi="Book Antiqua" w:hint="default"/>
          <w:rtl w:val="0"/>
          <w:lang w:val="it-IT"/>
        </w:rPr>
        <w:t>à</w:t>
      </w:r>
    </w:p>
    <w:p>
      <w:pPr>
        <w:pStyle w:val="Normal"/>
        <w:jc w:val="both"/>
        <w:rPr>
          <w:b w:val="1"/>
          <w:bCs w:val="1"/>
          <w:i w:val="1"/>
          <w:iCs w:val="1"/>
        </w:rPr>
      </w:pPr>
    </w:p>
    <w:p>
      <w:pPr>
        <w:pStyle w:val="Normal"/>
        <w:jc w:val="both"/>
        <w:rPr>
          <w:b w:val="1"/>
          <w:bCs w:val="1"/>
          <w:i w:val="1"/>
          <w:iCs w:val="1"/>
        </w:rPr>
      </w:pPr>
    </w:p>
    <w:p>
      <w:pPr>
        <w:pStyle w:val="Normal"/>
        <w:jc w:val="both"/>
        <w:rPr>
          <w:b w:val="1"/>
          <w:bCs w:val="1"/>
          <w:i w:val="1"/>
          <w:iCs w:val="1"/>
        </w:rPr>
      </w:pPr>
    </w:p>
    <w:p>
      <w:pPr>
        <w:pStyle w:val="Normal"/>
        <w:jc w:val="both"/>
        <w:rPr>
          <w:b w:val="1"/>
          <w:bCs w:val="1"/>
          <w:i w:val="1"/>
          <w:iCs w:val="1"/>
        </w:rPr>
      </w:pPr>
    </w:p>
    <w:p>
      <w:pPr>
        <w:pStyle w:val="Normal"/>
        <w:jc w:val="both"/>
        <w:rPr>
          <w:b w:val="1"/>
          <w:bCs w:val="1"/>
          <w:i w:val="1"/>
          <w:iCs w:val="1"/>
        </w:rPr>
      </w:pPr>
    </w:p>
    <w:p>
      <w:pPr>
        <w:pStyle w:val="Normal"/>
        <w:jc w:val="both"/>
        <w:rPr>
          <w:b w:val="1"/>
          <w:bCs w:val="1"/>
          <w:i w:val="1"/>
          <w:iCs w:val="1"/>
        </w:rPr>
      </w:pPr>
    </w:p>
    <w:p>
      <w:pPr>
        <w:pStyle w:val="Normal"/>
        <w:jc w:val="both"/>
        <w:rPr>
          <w:b w:val="1"/>
          <w:bCs w:val="1"/>
          <w:i w:val="1"/>
          <w:iCs w:val="1"/>
        </w:rPr>
      </w:pPr>
    </w:p>
    <w:p>
      <w:pPr>
        <w:pStyle w:val="Normal"/>
        <w:jc w:val="both"/>
        <w:rPr>
          <w:b w:val="1"/>
          <w:bCs w:val="1"/>
          <w:i w:val="1"/>
          <w:iCs w:val="1"/>
        </w:rPr>
      </w:pPr>
    </w:p>
    <w:p>
      <w:pPr>
        <w:pStyle w:val="Normal"/>
        <w:jc w:val="both"/>
        <w:rPr>
          <w:rFonts w:ascii="Book Antiqua Bold" w:cs="Book Antiqua Bold" w:hAnsi="Book Antiqua Bold" w:eastAsia="Book Antiqua Bold"/>
          <w:b w:val="1"/>
          <w:bCs w:val="1"/>
          <w:sz w:val="20"/>
          <w:szCs w:val="20"/>
        </w:rPr>
      </w:pPr>
      <w:r>
        <w:rPr>
          <w:rFonts w:ascii="Book Antiqua Bold"/>
          <w:b w:val="1"/>
          <w:bCs w:val="1"/>
          <w:sz w:val="20"/>
          <w:szCs w:val="20"/>
          <w:rtl w:val="0"/>
          <w:lang w:val="it-IT"/>
        </w:rPr>
        <w:t>Impianti di valorizzazione della frazione multimateriale</w:t>
      </w:r>
      <w:r>
        <w:rPr>
          <w:rFonts w:ascii="Book Antiqua Bold" w:cs="Book Antiqua Bold" w:hAnsi="Book Antiqua Bold" w:eastAsia="Book Antiqua Bold"/>
          <w:b w:val="1"/>
          <w:bCs w:val="1"/>
          <w:sz w:val="20"/>
          <w:szCs w:val="20"/>
          <w:vertAlign w:val="superscript"/>
          <w:rtl w:val="0"/>
        </w:rPr>
        <w:footnoteReference w:id="32"/>
      </w:r>
      <w:r>
        <w:rPr>
          <w:rFonts w:ascii="Book Antiqua Bold"/>
          <w:b w:val="1"/>
          <w:bCs w:val="1"/>
          <w:sz w:val="20"/>
          <w:szCs w:val="20"/>
          <w:rtl w:val="0"/>
          <w:lang w:val="it-IT"/>
        </w:rPr>
        <w:t xml:space="preserve"> (Rocca Cencia e Laurentina)</w:t>
      </w:r>
    </w:p>
    <w:p>
      <w:pPr>
        <w:pStyle w:val="Normal"/>
        <w:jc w:val="both"/>
        <w:rPr>
          <w:b w:val="1"/>
          <w:bCs w:val="1"/>
          <w:i w:val="1"/>
          <w:iCs w:val="1"/>
        </w:rPr>
      </w:pPr>
    </w:p>
    <w:p>
      <w:pPr>
        <w:pStyle w:val="Normal"/>
        <w:jc w:val="both"/>
        <w:rPr>
          <w:rtl w:val="0"/>
        </w:rPr>
      </w:pPr>
      <w:r>
        <w:rPr>
          <w:rtl w:val="0"/>
        </w:rPr>
        <w:drawing>
          <wp:inline distT="0" distB="0" distL="0" distR="0">
            <wp:extent cx="5873750" cy="3928032"/>
            <wp:effectExtent l="0" t="0" r="0" b="0"/>
            <wp:docPr id="1073741834" name="officeArt object" descr="vrd_multimateriale.png"/>
            <wp:cNvGraphicFramePr/>
            <a:graphic xmlns:a="http://schemas.openxmlformats.org/drawingml/2006/main">
              <a:graphicData uri="http://schemas.openxmlformats.org/drawingml/2006/picture">
                <pic:pic xmlns:pic="http://schemas.openxmlformats.org/drawingml/2006/picture">
                  <pic:nvPicPr>
                    <pic:cNvPr id="1073741834" name="image10.png" descr="vrd_multimateriale.png"/>
                    <pic:cNvPicPr/>
                  </pic:nvPicPr>
                  <pic:blipFill>
                    <a:blip r:embed="rId18">
                      <a:extLst/>
                    </a:blip>
                    <a:stretch>
                      <a:fillRect/>
                    </a:stretch>
                  </pic:blipFill>
                  <pic:spPr>
                    <a:xfrm>
                      <a:off x="0" y="0"/>
                      <a:ext cx="5873750" cy="3928032"/>
                    </a:xfrm>
                    <a:prstGeom prst="rect">
                      <a:avLst/>
                    </a:prstGeom>
                    <a:ln w="12700" cap="flat">
                      <a:noFill/>
                      <a:miter lim="400000"/>
                    </a:ln>
                    <a:effectLst/>
                  </pic:spPr>
                </pic:pic>
              </a:graphicData>
            </a:graphic>
          </wp:inline>
        </w:drawing>
      </w:r>
    </w:p>
    <w:p>
      <w:pPr>
        <w:pStyle w:val="Normal"/>
        <w:jc w:val="both"/>
        <w:rPr>
          <w:rtl w:val="0"/>
        </w:rPr>
      </w:pPr>
    </w:p>
    <w:p>
      <w:pPr>
        <w:pStyle w:val="Normal"/>
        <w:ind w:left="567" w:right="567" w:firstLine="0"/>
        <w:jc w:val="both"/>
        <w:rPr>
          <w:rFonts w:ascii="Book Antiqua" w:cs="Book Antiqua" w:hAnsi="Book Antiqua" w:eastAsia="Book Antiqua"/>
        </w:rPr>
      </w:pPr>
      <w:r>
        <w:rPr>
          <w:rFonts w:ascii="Book Antiqua"/>
          <w:rtl w:val="0"/>
          <w:lang w:val="it-IT"/>
        </w:rPr>
        <w:t>Ai dati di cui sopra si aggiungono quelli forniti alla Commissione dall</w:t>
      </w:r>
      <w:r>
        <w:rPr>
          <w:rFonts w:hAnsi="Book Antiqua" w:hint="default"/>
          <w:rtl w:val="0"/>
          <w:lang w:val="it-IT"/>
        </w:rPr>
        <w:t>’</w:t>
      </w:r>
      <w:r>
        <w:rPr>
          <w:rFonts w:ascii="Book Antiqua"/>
          <w:rtl w:val="0"/>
          <w:lang w:val="it-IT"/>
        </w:rPr>
        <w:t>AMA</w:t>
      </w:r>
      <w:r>
        <w:rPr>
          <w:rFonts w:ascii="Book Antiqua" w:cs="Book Antiqua" w:hAnsi="Book Antiqua" w:eastAsia="Book Antiqua"/>
          <w:vertAlign w:val="superscript"/>
          <w:rtl w:val="0"/>
        </w:rPr>
        <w:footnoteReference w:id="33"/>
      </w:r>
      <w:r>
        <w:rPr>
          <w:rFonts w:ascii="Book Antiqua"/>
          <w:rtl w:val="0"/>
          <w:lang w:val="it-IT"/>
        </w:rPr>
        <w:t xml:space="preserve"> che confermano le complessive criticit</w:t>
      </w:r>
      <w:r>
        <w:rPr>
          <w:rFonts w:hAnsi="Book Antiqua" w:hint="default"/>
          <w:rtl w:val="0"/>
          <w:lang w:val="it-IT"/>
        </w:rPr>
        <w:t>à</w:t>
      </w:r>
    </w:p>
    <w:p>
      <w:pPr>
        <w:pStyle w:val="Normal"/>
        <w:jc w:val="both"/>
        <w:rPr>
          <w:rFonts w:ascii="Book Antiqua" w:cs="Book Antiqua" w:hAnsi="Book Antiqua" w:eastAsia="Book Antiqua"/>
        </w:rPr>
      </w:pPr>
    </w:p>
    <w:p>
      <w:pPr>
        <w:pStyle w:val="Normal"/>
        <w:jc w:val="both"/>
        <w:rPr>
          <w:rtl w:val="0"/>
        </w:rPr>
      </w:pPr>
      <w:r>
        <w:rPr>
          <w:rtl w:val="0"/>
        </w:rPr>
        <w:drawing>
          <wp:inline distT="0" distB="0" distL="0" distR="0">
            <wp:extent cx="5258011" cy="3270974"/>
            <wp:effectExtent l="0" t="0" r="0" b="0"/>
            <wp:docPr id="1073741835" name="officeArt object" descr="fortini--dati-AMA-85-85-001.jpg"/>
            <wp:cNvGraphicFramePr/>
            <a:graphic xmlns:a="http://schemas.openxmlformats.org/drawingml/2006/main">
              <a:graphicData uri="http://schemas.openxmlformats.org/drawingml/2006/picture">
                <pic:pic xmlns:pic="http://schemas.openxmlformats.org/drawingml/2006/picture">
                  <pic:nvPicPr>
                    <pic:cNvPr id="1073741835" name="image11.jpg" descr="fortini--dati-AMA-85-85-001.jpg"/>
                    <pic:cNvPicPr/>
                  </pic:nvPicPr>
                  <pic:blipFill>
                    <a:blip r:embed="rId19">
                      <a:extLst/>
                    </a:blip>
                    <a:stretch>
                      <a:fillRect/>
                    </a:stretch>
                  </pic:blipFill>
                  <pic:spPr>
                    <a:xfrm>
                      <a:off x="0" y="0"/>
                      <a:ext cx="5258011" cy="3270974"/>
                    </a:xfrm>
                    <a:prstGeom prst="rect">
                      <a:avLst/>
                    </a:prstGeom>
                    <a:ln w="12700" cap="flat">
                      <a:noFill/>
                      <a:miter lim="400000"/>
                    </a:ln>
                    <a:effectLst/>
                  </pic:spPr>
                </pic:pic>
              </a:graphicData>
            </a:graphic>
          </wp:inline>
        </w:drawing>
      </w:r>
    </w:p>
    <w:p>
      <w:pPr>
        <w:pStyle w:val="Normal"/>
        <w:jc w:val="both"/>
        <w:rPr>
          <w:rtl w:val="0"/>
        </w:rPr>
      </w:pPr>
      <w:r>
        <w:rPr>
          <w:rtl w:val="0"/>
        </w:rPr>
        <w:drawing>
          <wp:inline distT="0" distB="0" distL="0" distR="0">
            <wp:extent cx="5886685" cy="3854450"/>
            <wp:effectExtent l="0" t="0" r="0" b="0"/>
            <wp:docPr id="1073741836" name="officeArt object" descr="fortini--dati-AMA-86-86-001.jpg"/>
            <wp:cNvGraphicFramePr/>
            <a:graphic xmlns:a="http://schemas.openxmlformats.org/drawingml/2006/main">
              <a:graphicData uri="http://schemas.openxmlformats.org/drawingml/2006/picture">
                <pic:pic xmlns:pic="http://schemas.openxmlformats.org/drawingml/2006/picture">
                  <pic:nvPicPr>
                    <pic:cNvPr id="1073741836" name="image12.jpg" descr="fortini--dati-AMA-86-86-001.jpg"/>
                    <pic:cNvPicPr/>
                  </pic:nvPicPr>
                  <pic:blipFill>
                    <a:blip r:embed="rId20">
                      <a:extLst/>
                    </a:blip>
                    <a:stretch>
                      <a:fillRect/>
                    </a:stretch>
                  </pic:blipFill>
                  <pic:spPr>
                    <a:xfrm>
                      <a:off x="0" y="0"/>
                      <a:ext cx="5886685" cy="3854450"/>
                    </a:xfrm>
                    <a:prstGeom prst="rect">
                      <a:avLst/>
                    </a:prstGeom>
                    <a:ln w="12700" cap="flat">
                      <a:noFill/>
                      <a:miter lim="400000"/>
                    </a:ln>
                    <a:effectLst/>
                  </pic:spPr>
                </pic:pic>
              </a:graphicData>
            </a:graphic>
          </wp:inline>
        </w:drawing>
      </w:r>
    </w:p>
    <w:p>
      <w:pPr>
        <w:pStyle w:val="Normal"/>
        <w:jc w:val="both"/>
        <w:rPr>
          <w:rtl w:val="0"/>
        </w:rPr>
      </w:pPr>
    </w:p>
    <w:p>
      <w:pPr>
        <w:pStyle w:val="Normal"/>
        <w:jc w:val="both"/>
        <w:rPr>
          <w:rtl w:val="0"/>
        </w:rPr>
      </w:pPr>
    </w:p>
    <w:p>
      <w:pPr>
        <w:pStyle w:val="Normal"/>
        <w:jc w:val="both"/>
        <w:rPr>
          <w:rtl w:val="0"/>
        </w:rPr>
      </w:pPr>
      <w:r>
        <w:rPr>
          <w:rtl w:val="0"/>
        </w:rPr>
        <w:drawing>
          <wp:inline distT="0" distB="0" distL="0" distR="0">
            <wp:extent cx="5987551" cy="4260850"/>
            <wp:effectExtent l="0" t="0" r="0" b="0"/>
            <wp:docPr id="1073741837" name="officeArt object" descr="fortini--dati-AMA-88-88-001.jpg"/>
            <wp:cNvGraphicFramePr/>
            <a:graphic xmlns:a="http://schemas.openxmlformats.org/drawingml/2006/main">
              <a:graphicData uri="http://schemas.openxmlformats.org/drawingml/2006/picture">
                <pic:pic xmlns:pic="http://schemas.openxmlformats.org/drawingml/2006/picture">
                  <pic:nvPicPr>
                    <pic:cNvPr id="1073741837" name="image13.jpg" descr="fortini--dati-AMA-88-88-001.jpg"/>
                    <pic:cNvPicPr/>
                  </pic:nvPicPr>
                  <pic:blipFill>
                    <a:blip r:embed="rId21">
                      <a:extLst/>
                    </a:blip>
                    <a:stretch>
                      <a:fillRect/>
                    </a:stretch>
                  </pic:blipFill>
                  <pic:spPr>
                    <a:xfrm>
                      <a:off x="0" y="0"/>
                      <a:ext cx="5987551" cy="4260850"/>
                    </a:xfrm>
                    <a:prstGeom prst="rect">
                      <a:avLst/>
                    </a:prstGeom>
                    <a:ln w="12700" cap="flat">
                      <a:noFill/>
                      <a:miter lim="400000"/>
                    </a:ln>
                    <a:effectLst/>
                  </pic:spPr>
                </pic:pic>
              </a:graphicData>
            </a:graphic>
          </wp:inline>
        </w:drawing>
      </w:r>
    </w:p>
    <w:p>
      <w:pPr>
        <w:pStyle w:val="Normal"/>
        <w:jc w:val="both"/>
        <w:rPr>
          <w:rtl w:val="0"/>
        </w:rPr>
      </w:pPr>
    </w:p>
    <w:p>
      <w:pPr>
        <w:pStyle w:val="Normal"/>
        <w:jc w:val="both"/>
        <w:rPr>
          <w:rtl w:val="0"/>
        </w:rPr>
      </w:pPr>
      <w:r>
        <w:rPr>
          <w:rtl w:val="0"/>
        </w:rPr>
        <w:drawing>
          <wp:inline distT="0" distB="0" distL="0" distR="0">
            <wp:extent cx="6281357" cy="4470400"/>
            <wp:effectExtent l="0" t="0" r="0" b="0"/>
            <wp:docPr id="1073741838" name="officeArt object" descr="fortini--dati-AMA-89-89-001.jpg"/>
            <wp:cNvGraphicFramePr/>
            <a:graphic xmlns:a="http://schemas.openxmlformats.org/drawingml/2006/main">
              <a:graphicData uri="http://schemas.openxmlformats.org/drawingml/2006/picture">
                <pic:pic xmlns:pic="http://schemas.openxmlformats.org/drawingml/2006/picture">
                  <pic:nvPicPr>
                    <pic:cNvPr id="1073741838" name="image14.jpg" descr="fortini--dati-AMA-89-89-001.jpg"/>
                    <pic:cNvPicPr/>
                  </pic:nvPicPr>
                  <pic:blipFill>
                    <a:blip r:embed="rId22">
                      <a:extLst/>
                    </a:blip>
                    <a:stretch>
                      <a:fillRect/>
                    </a:stretch>
                  </pic:blipFill>
                  <pic:spPr>
                    <a:xfrm>
                      <a:off x="0" y="0"/>
                      <a:ext cx="6281357" cy="4470400"/>
                    </a:xfrm>
                    <a:prstGeom prst="rect">
                      <a:avLst/>
                    </a:prstGeom>
                    <a:ln w="12700" cap="flat">
                      <a:noFill/>
                      <a:miter lim="400000"/>
                    </a:ln>
                    <a:effectLst/>
                  </pic:spPr>
                </pic:pic>
              </a:graphicData>
            </a:graphic>
          </wp:inline>
        </w:drawing>
      </w:r>
    </w:p>
    <w:p>
      <w:pPr>
        <w:pStyle w:val="Normal"/>
        <w:jc w:val="both"/>
        <w:rPr>
          <w:rtl w:val="0"/>
        </w:rPr>
      </w:pPr>
    </w:p>
    <w:p>
      <w:pPr>
        <w:pStyle w:val="Normal"/>
        <w:ind w:left="567" w:right="567" w:firstLine="0"/>
        <w:jc w:val="both"/>
        <w:rPr>
          <w:rFonts w:ascii="Book Antiqua" w:cs="Book Antiqua" w:hAnsi="Book Antiqua" w:eastAsia="Book Antiqua"/>
        </w:rPr>
      </w:pPr>
      <w:r>
        <w:rPr>
          <w:rFonts w:ascii="Book Antiqua"/>
          <w:rtl w:val="0"/>
          <w:lang w:val="it-IT"/>
        </w:rPr>
        <w:t>Sulla parte secca proveniente da raccolta differenziata</w:t>
      </w:r>
      <w:r>
        <w:rPr>
          <w:rFonts w:hAnsi="Book Antiqua" w:hint="default"/>
          <w:rtl w:val="0"/>
          <w:lang w:val="it-IT"/>
        </w:rPr>
        <w:t xml:space="preserve"> è </w:t>
      </w:r>
      <w:r>
        <w:rPr>
          <w:rFonts w:ascii="Book Antiqua"/>
          <w:rtl w:val="0"/>
          <w:lang w:val="it-IT"/>
        </w:rPr>
        <w:t xml:space="preserve">intervenuto Alessandro Filippi, ex direttore generale di AMA S.p.A., che il 26 ottobre 2016 dinanzi alla Commissione ha dichiarato: </w:t>
      </w:r>
    </w:p>
    <w:p>
      <w:pPr>
        <w:pStyle w:val="Normal"/>
        <w:ind w:left="567" w:right="567" w:firstLine="0"/>
        <w:jc w:val="both"/>
        <w:rPr>
          <w:rFonts w:ascii="Book Antiqua" w:cs="Book Antiqua" w:hAnsi="Book Antiqua" w:eastAsia="Book Antiqua"/>
        </w:rPr>
      </w:pPr>
      <w:r>
        <w:rPr>
          <w:rFonts w:hAnsi="Book Antiqua" w:hint="default"/>
          <w:rtl w:val="0"/>
          <w:lang w:val="it-IT"/>
        </w:rPr>
        <w:t>“</w:t>
      </w:r>
      <w:r>
        <w:rPr>
          <w:rFonts w:ascii="Book Antiqua"/>
          <w:rtl w:val="0"/>
          <w:lang w:val="it-IT"/>
        </w:rPr>
        <w:t xml:space="preserve">Quella per la differenziata </w:t>
      </w:r>
      <w:r>
        <w:rPr>
          <w:rFonts w:hAnsi="Book Antiqua" w:hint="default"/>
          <w:rtl w:val="0"/>
          <w:lang w:val="it-IT"/>
        </w:rPr>
        <w:t xml:space="preserve">è </w:t>
      </w:r>
      <w:r>
        <w:rPr>
          <w:rFonts w:ascii="Book Antiqua"/>
          <w:rtl w:val="0"/>
          <w:lang w:val="it-IT"/>
        </w:rPr>
        <w:t>un</w:t>
      </w:r>
      <w:r>
        <w:rPr>
          <w:rFonts w:hAnsi="Book Antiqua" w:hint="default"/>
          <w:rtl w:val="0"/>
          <w:lang w:val="it-IT"/>
        </w:rPr>
        <w:t>’</w:t>
      </w:r>
      <w:r>
        <w:rPr>
          <w:rFonts w:ascii="Book Antiqua"/>
          <w:rtl w:val="0"/>
          <w:lang w:val="it-IT"/>
        </w:rPr>
        <w:t>impiantistica per alcuni flussi secchi pi</w:t>
      </w:r>
      <w:r>
        <w:rPr>
          <w:rFonts w:hAnsi="Book Antiqua" w:hint="default"/>
          <w:rtl w:val="0"/>
          <w:lang w:val="it-IT"/>
        </w:rPr>
        <w:t xml:space="preserve">ù </w:t>
      </w:r>
      <w:r>
        <w:rPr>
          <w:rFonts w:ascii="Book Antiqua"/>
          <w:rtl w:val="0"/>
          <w:lang w:val="it-IT"/>
        </w:rPr>
        <w:t>presente. AMA ha un</w:t>
      </w:r>
      <w:r>
        <w:rPr>
          <w:rFonts w:hAnsi="Book Antiqua" w:hint="default"/>
          <w:rtl w:val="0"/>
          <w:lang w:val="it-IT"/>
        </w:rPr>
        <w:t>’</w:t>
      </w:r>
      <w:r>
        <w:rPr>
          <w:rFonts w:ascii="Book Antiqua"/>
          <w:rtl w:val="0"/>
          <w:lang w:val="it-IT"/>
        </w:rPr>
        <w:t>impiantistica dedicata. Abbiamo due impianti di trattamento e uno, quando sono arrivato io, era spento da cinque anni, cio</w:t>
      </w:r>
      <w:r>
        <w:rPr>
          <w:rFonts w:hAnsi="Book Antiqua" w:hint="default"/>
          <w:rtl w:val="0"/>
          <w:lang w:val="it-IT"/>
        </w:rPr>
        <w:t xml:space="preserve">è </w:t>
      </w:r>
      <w:r>
        <w:rPr>
          <w:rFonts w:ascii="Book Antiqua"/>
          <w:rtl w:val="0"/>
          <w:lang w:val="it-IT"/>
        </w:rPr>
        <w:t>l</w:t>
      </w:r>
      <w:r>
        <w:rPr>
          <w:rFonts w:hAnsi="Book Antiqua" w:hint="default"/>
          <w:rtl w:val="0"/>
          <w:lang w:val="it-IT"/>
        </w:rPr>
        <w:t>’</w:t>
      </w:r>
      <w:r>
        <w:rPr>
          <w:rFonts w:ascii="Book Antiqua"/>
          <w:rtl w:val="0"/>
          <w:lang w:val="it-IT"/>
        </w:rPr>
        <w:t>impianto che sta presso il sito di Rocca Cencia. L</w:t>
      </w:r>
      <w:r>
        <w:rPr>
          <w:rFonts w:hAnsi="Book Antiqua" w:hint="default"/>
          <w:rtl w:val="0"/>
          <w:lang w:val="it-IT"/>
        </w:rPr>
        <w:t>’</w:t>
      </w:r>
      <w:r>
        <w:rPr>
          <w:rFonts w:ascii="Book Antiqua"/>
          <w:rtl w:val="0"/>
          <w:lang w:val="it-IT"/>
        </w:rPr>
        <w:t>attivit</w:t>
      </w:r>
      <w:r>
        <w:rPr>
          <w:rFonts w:hAnsi="Book Antiqua" w:hint="default"/>
          <w:rtl w:val="0"/>
          <w:lang w:val="it-IT"/>
        </w:rPr>
        <w:t xml:space="preserve">à </w:t>
      </w:r>
      <w:r>
        <w:rPr>
          <w:rFonts w:ascii="Book Antiqua"/>
          <w:rtl w:val="0"/>
          <w:lang w:val="it-IT"/>
        </w:rPr>
        <w:t xml:space="preserve">posta in essere </w:t>
      </w:r>
      <w:r>
        <w:rPr>
          <w:rFonts w:hAnsi="Book Antiqua" w:hint="default"/>
          <w:rtl w:val="0"/>
          <w:lang w:val="it-IT"/>
        </w:rPr>
        <w:t xml:space="preserve">è </w:t>
      </w:r>
      <w:r>
        <w:rPr>
          <w:rFonts w:ascii="Book Antiqua"/>
          <w:rtl w:val="0"/>
          <w:lang w:val="it-IT"/>
        </w:rPr>
        <w:t>quella del ripristino dell</w:t>
      </w:r>
      <w:r>
        <w:rPr>
          <w:rFonts w:hAnsi="Book Antiqua" w:hint="default"/>
          <w:rtl w:val="0"/>
          <w:lang w:val="it-IT"/>
        </w:rPr>
        <w:t>’</w:t>
      </w:r>
      <w:r>
        <w:rPr>
          <w:rFonts w:ascii="Book Antiqua"/>
          <w:rtl w:val="0"/>
          <w:lang w:val="it-IT"/>
        </w:rPr>
        <w:t>impianto multimateriale di Rocca Cencia perch</w:t>
      </w:r>
      <w:r>
        <w:rPr>
          <w:rFonts w:hAnsi="Book Antiqua" w:hint="default"/>
          <w:rtl w:val="0"/>
          <w:lang w:val="it-IT"/>
        </w:rPr>
        <w:t xml:space="preserve">é </w:t>
      </w:r>
      <w:r>
        <w:rPr>
          <w:rFonts w:ascii="Book Antiqua"/>
          <w:rtl w:val="0"/>
          <w:lang w:val="it-IT"/>
        </w:rPr>
        <w:t>poter gestire in proprio i flussi secchi, consente di trattenere nella societ</w:t>
      </w:r>
      <w:r>
        <w:rPr>
          <w:rFonts w:hAnsi="Book Antiqua" w:hint="default"/>
          <w:rtl w:val="0"/>
          <w:lang w:val="it-IT"/>
        </w:rPr>
        <w:t xml:space="preserve">à </w:t>
      </w:r>
      <w:r>
        <w:rPr>
          <w:rFonts w:ascii="Book Antiqua"/>
          <w:rtl w:val="0"/>
          <w:lang w:val="it-IT"/>
        </w:rPr>
        <w:t>la marginalit</w:t>
      </w:r>
      <w:r>
        <w:rPr>
          <w:rFonts w:hAnsi="Book Antiqua" w:hint="default"/>
          <w:rtl w:val="0"/>
          <w:lang w:val="it-IT"/>
        </w:rPr>
        <w:t xml:space="preserve">à </w:t>
      </w:r>
      <w:r>
        <w:rPr>
          <w:rFonts w:ascii="Book Antiqua"/>
          <w:rtl w:val="0"/>
          <w:lang w:val="it-IT"/>
        </w:rPr>
        <w:t>(ma vedremo anche un effetto di questa sul caso della carta). La collocazione sul mercato dei flussi di raccolta differenziata consente nell</w:t>
      </w:r>
      <w:r>
        <w:rPr>
          <w:rFonts w:hAnsi="Book Antiqua" w:hint="default"/>
          <w:rtl w:val="0"/>
          <w:lang w:val="it-IT"/>
        </w:rPr>
        <w:t>’</w:t>
      </w:r>
      <w:r>
        <w:rPr>
          <w:rFonts w:ascii="Book Antiqua"/>
          <w:rtl w:val="0"/>
          <w:lang w:val="it-IT"/>
        </w:rPr>
        <w:t>autonomia complessiva la riduzione dei costi della TARI.</w:t>
      </w:r>
      <w:r>
        <w:rPr>
          <w:rFonts w:hAnsi="Book Antiqua" w:hint="default"/>
          <w:rtl w:val="0"/>
          <w:lang w:val="it-IT"/>
        </w:rPr>
        <w:t>”</w:t>
      </w:r>
    </w:p>
    <w:p>
      <w:pPr>
        <w:pStyle w:val="Normal"/>
        <w:ind w:left="567" w:right="567" w:firstLine="0"/>
        <w:jc w:val="both"/>
        <w:rPr>
          <w:rFonts w:ascii="Book Antiqua" w:cs="Book Antiqua" w:hAnsi="Book Antiqua" w:eastAsia="Book Antiqua"/>
          <w:rtl w:val="0"/>
        </w:rPr>
      </w:pPr>
      <w:r>
        <w:rPr>
          <w:rFonts w:ascii="Book Antiqua"/>
          <w:rtl w:val="0"/>
          <w:lang w:val="it-IT"/>
        </w:rPr>
        <w:t xml:space="preserve">Del pari inadeguata e molto lontana dalle esigenze della produzione di rifiuti a Roma Capitale </w:t>
      </w:r>
      <w:r>
        <w:rPr>
          <w:rFonts w:hAnsi="Book Antiqua" w:hint="default"/>
          <w:rtl w:val="0"/>
          <w:lang w:val="it-IT"/>
        </w:rPr>
        <w:t xml:space="preserve">è </w:t>
      </w:r>
      <w:r>
        <w:rPr>
          <w:rFonts w:ascii="Book Antiqua"/>
          <w:rtl w:val="0"/>
          <w:lang w:val="it-IT"/>
        </w:rPr>
        <w:t>la capacit</w:t>
      </w:r>
      <w:r>
        <w:rPr>
          <w:rFonts w:hAnsi="Book Antiqua" w:hint="default"/>
          <w:rtl w:val="0"/>
          <w:lang w:val="it-IT"/>
        </w:rPr>
        <w:t xml:space="preserve">à </w:t>
      </w:r>
      <w:r>
        <w:rPr>
          <w:rFonts w:ascii="Book Antiqua"/>
          <w:rtl w:val="0"/>
          <w:lang w:val="it-IT"/>
        </w:rPr>
        <w:t>di trattamento della frazione organica, con la conseguenza, anche in questo caso, di un trasferimento massiccio di frazioni differenziate fuori dal territorio di Roma Capitale</w:t>
      </w:r>
    </w:p>
    <w:p>
      <w:pPr>
        <w:pStyle w:val="Normal"/>
        <w:ind w:left="567" w:right="567" w:firstLine="0"/>
        <w:rPr>
          <w:rFonts w:ascii="Book Antiqua" w:cs="Book Antiqua" w:hAnsi="Book Antiqua" w:eastAsia="Book Antiqua"/>
          <w:rtl w:val="0"/>
        </w:rPr>
      </w:pPr>
    </w:p>
    <w:p>
      <w:pPr>
        <w:pStyle w:val="Normal"/>
        <w:ind w:left="567" w:right="567" w:firstLine="0"/>
        <w:jc w:val="both"/>
        <w:rPr>
          <w:rFonts w:ascii="Book Antiqua" w:cs="Book Antiqua" w:hAnsi="Book Antiqua" w:eastAsia="Book Antiqua"/>
          <w:rtl w:val="0"/>
        </w:rPr>
      </w:pPr>
    </w:p>
    <w:p>
      <w:pPr>
        <w:pStyle w:val="Normal"/>
        <w:ind w:left="567" w:right="567" w:firstLine="0"/>
        <w:jc w:val="both"/>
        <w:rPr>
          <w:rFonts w:ascii="Book Antiqua" w:cs="Book Antiqua" w:hAnsi="Book Antiqua" w:eastAsia="Book Antiqua"/>
          <w:rtl w:val="0"/>
        </w:rPr>
      </w:pPr>
    </w:p>
    <w:p>
      <w:pPr>
        <w:pStyle w:val="Normal"/>
        <w:ind w:left="567" w:right="567" w:firstLine="0"/>
        <w:jc w:val="both"/>
        <w:rPr>
          <w:rFonts w:ascii="Book Antiqua" w:cs="Book Antiqua" w:hAnsi="Book Antiqua" w:eastAsia="Book Antiqua"/>
          <w:rtl w:val="0"/>
        </w:rPr>
      </w:pPr>
    </w:p>
    <w:p>
      <w:pPr>
        <w:pStyle w:val="Normal"/>
        <w:ind w:left="567" w:right="567" w:firstLine="0"/>
        <w:jc w:val="both"/>
        <w:rPr>
          <w:rFonts w:ascii="Book Antiqua" w:cs="Book Antiqua" w:hAnsi="Book Antiqua" w:eastAsia="Book Antiqua"/>
          <w:rtl w:val="0"/>
        </w:rPr>
      </w:pPr>
    </w:p>
    <w:p>
      <w:pPr>
        <w:pStyle w:val="Normal"/>
        <w:ind w:left="567" w:right="567" w:firstLine="0"/>
        <w:jc w:val="both"/>
        <w:rPr>
          <w:rFonts w:ascii="Book Antiqua" w:cs="Book Antiqua" w:hAnsi="Book Antiqua" w:eastAsia="Book Antiqua"/>
          <w:rtl w:val="0"/>
        </w:rPr>
      </w:pPr>
    </w:p>
    <w:p>
      <w:pPr>
        <w:pStyle w:val="Normal"/>
        <w:ind w:left="567" w:right="567" w:firstLine="0"/>
        <w:jc w:val="both"/>
        <w:rPr>
          <w:rFonts w:ascii="Book Antiqua Bold" w:cs="Book Antiqua Bold" w:hAnsi="Book Antiqua Bold" w:eastAsia="Book Antiqua Bold"/>
          <w:b w:val="1"/>
          <w:bCs w:val="1"/>
          <w:sz w:val="20"/>
          <w:szCs w:val="20"/>
        </w:rPr>
      </w:pPr>
      <w:r>
        <w:rPr>
          <w:rFonts w:ascii="Book Antiqua Bold"/>
          <w:b w:val="1"/>
          <w:bCs w:val="1"/>
          <w:sz w:val="20"/>
          <w:szCs w:val="20"/>
          <w:rtl w:val="0"/>
          <w:lang w:val="it-IT"/>
        </w:rPr>
        <w:t>Impianto di compostaggio di Maccarese</w:t>
      </w:r>
      <w:r>
        <w:rPr>
          <w:rFonts w:ascii="Book Antiqua Bold" w:cs="Book Antiqua Bold" w:hAnsi="Book Antiqua Bold" w:eastAsia="Book Antiqua Bold"/>
          <w:b w:val="1"/>
          <w:bCs w:val="1"/>
          <w:sz w:val="20"/>
          <w:szCs w:val="20"/>
          <w:vertAlign w:val="superscript"/>
          <w:rtl w:val="0"/>
        </w:rPr>
        <w:footnoteReference w:id="34"/>
      </w:r>
      <w:r>
        <w:rPr>
          <w:rFonts w:ascii="Book Antiqua Bold"/>
          <w:b w:val="1"/>
          <w:bCs w:val="1"/>
          <w:sz w:val="20"/>
          <w:szCs w:val="20"/>
          <w:rtl w:val="0"/>
          <w:lang w:val="it-IT"/>
        </w:rPr>
        <w:t xml:space="preserve"> (30.000 t/a)</w:t>
      </w:r>
    </w:p>
    <w:p>
      <w:pPr>
        <w:pStyle w:val="Normal"/>
        <w:ind w:left="567" w:right="567" w:firstLine="0"/>
        <w:jc w:val="both"/>
        <w:rPr>
          <w:b w:val="1"/>
          <w:bCs w:val="1"/>
          <w:i w:val="1"/>
          <w:iCs w:val="1"/>
        </w:rPr>
      </w:pPr>
    </w:p>
    <w:p>
      <w:pPr>
        <w:pStyle w:val="Normal"/>
        <w:ind w:left="567" w:right="567" w:firstLine="0"/>
        <w:jc w:val="both"/>
        <w:rPr>
          <w:rtl w:val="0"/>
        </w:rPr>
      </w:pPr>
      <w:r>
        <w:rPr>
          <w:rtl w:val="0"/>
        </w:rPr>
        <w:drawing>
          <wp:inline distT="0" distB="0" distL="0" distR="0">
            <wp:extent cx="6274771" cy="3492500"/>
            <wp:effectExtent l="0" t="0" r="0" b="0"/>
            <wp:docPr id="1073741839" name="officeArt object" descr="maccarese_3.png"/>
            <wp:cNvGraphicFramePr/>
            <a:graphic xmlns:a="http://schemas.openxmlformats.org/drawingml/2006/main">
              <a:graphicData uri="http://schemas.openxmlformats.org/drawingml/2006/picture">
                <pic:pic xmlns:pic="http://schemas.openxmlformats.org/drawingml/2006/picture">
                  <pic:nvPicPr>
                    <pic:cNvPr id="1073741839" name="image15.png" descr="maccarese_3.png"/>
                    <pic:cNvPicPr/>
                  </pic:nvPicPr>
                  <pic:blipFill>
                    <a:blip r:embed="rId23">
                      <a:extLst/>
                    </a:blip>
                    <a:stretch>
                      <a:fillRect/>
                    </a:stretch>
                  </pic:blipFill>
                  <pic:spPr>
                    <a:xfrm>
                      <a:off x="0" y="0"/>
                      <a:ext cx="6274771" cy="3492500"/>
                    </a:xfrm>
                    <a:prstGeom prst="rect">
                      <a:avLst/>
                    </a:prstGeom>
                    <a:ln w="12700" cap="flat">
                      <a:noFill/>
                      <a:miter lim="400000"/>
                    </a:ln>
                    <a:effectLst/>
                  </pic:spPr>
                </pic:pic>
              </a:graphicData>
            </a:graphic>
          </wp:inline>
        </w:drawing>
      </w:r>
    </w:p>
    <w:p>
      <w:pPr>
        <w:pStyle w:val="Normal"/>
        <w:ind w:left="567" w:right="567" w:firstLine="0"/>
        <w:rPr>
          <w:b w:val="1"/>
          <w:bCs w:val="1"/>
          <w:i w:val="1"/>
          <w:iCs w:val="1"/>
        </w:rPr>
      </w:pPr>
    </w:p>
    <w:p>
      <w:pPr>
        <w:pStyle w:val="Normal"/>
        <w:ind w:left="567" w:right="567" w:firstLine="0"/>
        <w:rPr>
          <w:rFonts w:ascii="Book Antiqua" w:cs="Book Antiqua" w:hAnsi="Book Antiqua" w:eastAsia="Book Antiqua"/>
        </w:rPr>
      </w:pPr>
    </w:p>
    <w:p>
      <w:pPr>
        <w:pStyle w:val="Normal"/>
        <w:ind w:left="567" w:right="567" w:firstLine="0"/>
        <w:rPr>
          <w:rFonts w:ascii="Book Antiqua Bold" w:cs="Book Antiqua Bold" w:hAnsi="Book Antiqua Bold" w:eastAsia="Book Antiqua Bold"/>
          <w:b w:val="1"/>
          <w:bCs w:val="1"/>
          <w:sz w:val="20"/>
          <w:szCs w:val="20"/>
        </w:rPr>
      </w:pPr>
      <w:r>
        <w:rPr>
          <w:rFonts w:ascii="Book Antiqua Bold"/>
          <w:b w:val="1"/>
          <w:bCs w:val="1"/>
          <w:sz w:val="20"/>
          <w:szCs w:val="20"/>
          <w:rtl w:val="0"/>
          <w:lang w:val="it-IT"/>
        </w:rPr>
        <w:t>La spedizione di frazioni differenziate fuori dal territorio di Roma da impianti AMA</w:t>
      </w:r>
      <w:r>
        <w:rPr>
          <w:rFonts w:ascii="Book Antiqua Bold" w:cs="Book Antiqua Bold" w:hAnsi="Book Antiqua Bold" w:eastAsia="Book Antiqua Bold"/>
          <w:b w:val="1"/>
          <w:bCs w:val="1"/>
          <w:sz w:val="20"/>
          <w:szCs w:val="20"/>
          <w:vertAlign w:val="superscript"/>
          <w:rtl w:val="0"/>
        </w:rPr>
        <w:footnoteReference w:id="35"/>
      </w:r>
    </w:p>
    <w:p>
      <w:pPr>
        <w:pStyle w:val="Normal"/>
        <w:rPr>
          <w:rFonts w:ascii="Book Antiqua" w:cs="Book Antiqua" w:hAnsi="Book Antiqua" w:eastAsia="Book Antiqua"/>
        </w:rPr>
      </w:pPr>
    </w:p>
    <w:p>
      <w:pPr>
        <w:pStyle w:val="Normal"/>
        <w:rPr>
          <w:rFonts w:ascii="Book Antiqua" w:cs="Book Antiqua" w:hAnsi="Book Antiqua" w:eastAsia="Book Antiqua"/>
        </w:rPr>
      </w:pPr>
    </w:p>
    <w:p>
      <w:pPr>
        <w:pStyle w:val="Normal"/>
        <w:rPr>
          <w:b w:val="1"/>
          <w:bCs w:val="1"/>
          <w:i w:val="1"/>
          <w:iCs w:val="1"/>
        </w:rPr>
      </w:pPr>
      <w:r>
        <w:rPr>
          <w:b w:val="1"/>
          <w:bCs w:val="1"/>
          <w:i w:val="1"/>
          <w:iCs w:val="1"/>
          <w:rtl w:val="0"/>
        </w:rPr>
        <w:drawing>
          <wp:inline distT="0" distB="0" distL="0" distR="0">
            <wp:extent cx="6273800" cy="3435773"/>
            <wp:effectExtent l="0" t="0" r="0" b="0"/>
            <wp:docPr id="1073741840" name="officeArt object" descr="trasferenza.png"/>
            <wp:cNvGraphicFramePr/>
            <a:graphic xmlns:a="http://schemas.openxmlformats.org/drawingml/2006/main">
              <a:graphicData uri="http://schemas.openxmlformats.org/drawingml/2006/picture">
                <pic:pic xmlns:pic="http://schemas.openxmlformats.org/drawingml/2006/picture">
                  <pic:nvPicPr>
                    <pic:cNvPr id="1073741840" name="image16.png" descr="trasferenza.png"/>
                    <pic:cNvPicPr/>
                  </pic:nvPicPr>
                  <pic:blipFill>
                    <a:blip r:embed="rId24">
                      <a:extLst/>
                    </a:blip>
                    <a:stretch>
                      <a:fillRect/>
                    </a:stretch>
                  </pic:blipFill>
                  <pic:spPr>
                    <a:xfrm>
                      <a:off x="0" y="0"/>
                      <a:ext cx="6273800" cy="3435773"/>
                    </a:xfrm>
                    <a:prstGeom prst="rect">
                      <a:avLst/>
                    </a:prstGeom>
                    <a:ln w="12700" cap="flat">
                      <a:noFill/>
                      <a:miter lim="400000"/>
                    </a:ln>
                    <a:effectLst/>
                  </pic:spPr>
                </pic:pic>
              </a:graphicData>
            </a:graphic>
          </wp:inline>
        </w:drawing>
      </w:r>
    </w:p>
    <w:p>
      <w:pPr>
        <w:pStyle w:val="Normal"/>
        <w:jc w:val="both"/>
        <w:rPr>
          <w:b w:val="1"/>
          <w:bCs w:val="1"/>
          <w:i w:val="1"/>
          <w:iCs w:val="1"/>
        </w:rPr>
      </w:pP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rtl w:val="0"/>
        </w:rPr>
      </w:pPr>
      <w:r>
        <w:rPr>
          <w:rFonts w:ascii="Book Antiqua"/>
          <w:rtl w:val="0"/>
          <w:lang w:val="it-IT"/>
        </w:rPr>
        <w:t>Anche AMA S.p.A. fornisce alcuni dati significativi sull</w:t>
      </w:r>
      <w:r>
        <w:rPr>
          <w:rFonts w:hAnsi="Book Antiqua" w:hint="default"/>
          <w:rtl w:val="0"/>
          <w:lang w:val="it-IT"/>
        </w:rPr>
        <w:t>’</w:t>
      </w:r>
      <w:r>
        <w:rPr>
          <w:rFonts w:ascii="Book Antiqua"/>
          <w:rtl w:val="0"/>
          <w:lang w:val="it-IT"/>
        </w:rPr>
        <w:t>impianto di compostaggio ubicato a Maccarese</w:t>
      </w:r>
      <w:r>
        <w:rPr>
          <w:rFonts w:ascii="Book Antiqua" w:cs="Book Antiqua" w:hAnsi="Book Antiqua" w:eastAsia="Book Antiqua"/>
          <w:vertAlign w:val="superscript"/>
          <w:rtl w:val="0"/>
        </w:rPr>
        <w:footnoteReference w:id="36"/>
      </w:r>
    </w:p>
    <w:p>
      <w:pPr>
        <w:pStyle w:val="Normal"/>
        <w:jc w:val="both"/>
        <w:rPr>
          <w:b w:val="1"/>
          <w:bCs w:val="1"/>
          <w:i w:val="1"/>
          <w:iCs w:val="1"/>
          <w:color w:val="000000"/>
          <w:u w:color="000000"/>
        </w:rPr>
      </w:pPr>
      <w:r>
        <w:rPr>
          <w:b w:val="1"/>
          <w:bCs w:val="1"/>
          <w:i w:val="1"/>
          <w:iCs w:val="1"/>
          <w:color w:val="000000"/>
          <w:u w:color="000000"/>
          <w:rtl w:val="0"/>
        </w:rPr>
        <w:drawing>
          <wp:inline distT="0" distB="0" distL="0" distR="0">
            <wp:extent cx="5249968" cy="3740249"/>
            <wp:effectExtent l="0" t="0" r="0" b="0"/>
            <wp:docPr id="1073741841" name="officeArt object" descr="fortini--dati-AMA-87-87-001.jpg"/>
            <wp:cNvGraphicFramePr/>
            <a:graphic xmlns:a="http://schemas.openxmlformats.org/drawingml/2006/main">
              <a:graphicData uri="http://schemas.openxmlformats.org/drawingml/2006/picture">
                <pic:pic xmlns:pic="http://schemas.openxmlformats.org/drawingml/2006/picture">
                  <pic:nvPicPr>
                    <pic:cNvPr id="1073741841" name="image17.jpg" descr="fortini--dati-AMA-87-87-001.jpg"/>
                    <pic:cNvPicPr/>
                  </pic:nvPicPr>
                  <pic:blipFill>
                    <a:blip r:embed="rId25">
                      <a:extLst/>
                    </a:blip>
                    <a:stretch>
                      <a:fillRect/>
                    </a:stretch>
                  </pic:blipFill>
                  <pic:spPr>
                    <a:xfrm>
                      <a:off x="0" y="0"/>
                      <a:ext cx="5249968" cy="3740249"/>
                    </a:xfrm>
                    <a:prstGeom prst="rect">
                      <a:avLst/>
                    </a:prstGeom>
                    <a:ln w="12700" cap="flat">
                      <a:noFill/>
                      <a:miter lim="400000"/>
                    </a:ln>
                    <a:effectLst/>
                  </pic:spPr>
                </pic:pic>
              </a:graphicData>
            </a:graphic>
          </wp:inline>
        </w:drawing>
      </w:r>
    </w:p>
    <w:p>
      <w:pPr>
        <w:pStyle w:val="Normal"/>
        <w:jc w:val="both"/>
        <w:rPr>
          <w:b w:val="1"/>
          <w:bCs w:val="1"/>
          <w:i w:val="1"/>
          <w:iCs w:val="1"/>
          <w:color w:val="000000"/>
          <w:u w:color="000000"/>
        </w:rPr>
      </w:pPr>
    </w:p>
    <w:p>
      <w:pPr>
        <w:pStyle w:val="Normal"/>
        <w:jc w:val="both"/>
        <w:rPr>
          <w:b w:val="1"/>
          <w:bCs w:val="1"/>
          <w:i w:val="1"/>
          <w:iCs w:val="1"/>
          <w:color w:val="000000"/>
          <w:u w:color="000000"/>
        </w:rPr>
      </w:pPr>
      <w:r>
        <w:rPr>
          <w:b w:val="1"/>
          <w:bCs w:val="1"/>
          <w:i w:val="1"/>
          <w:iCs w:val="1"/>
          <w:color w:val="000000"/>
          <w:u w:color="000000"/>
          <w:rtl w:val="0"/>
        </w:rPr>
        <w:drawing>
          <wp:inline distT="0" distB="0" distL="0" distR="0">
            <wp:extent cx="5649153" cy="4025900"/>
            <wp:effectExtent l="0" t="0" r="0" b="0"/>
            <wp:docPr id="1073741842" name="officeArt object" descr="fortini--dati-AMA-90-90-001.jpg"/>
            <wp:cNvGraphicFramePr/>
            <a:graphic xmlns:a="http://schemas.openxmlformats.org/drawingml/2006/main">
              <a:graphicData uri="http://schemas.openxmlformats.org/drawingml/2006/picture">
                <pic:pic xmlns:pic="http://schemas.openxmlformats.org/drawingml/2006/picture">
                  <pic:nvPicPr>
                    <pic:cNvPr id="1073741842" name="image18.jpg" descr="fortini--dati-AMA-90-90-001.jpg"/>
                    <pic:cNvPicPr/>
                  </pic:nvPicPr>
                  <pic:blipFill>
                    <a:blip r:embed="rId26">
                      <a:extLst/>
                    </a:blip>
                    <a:stretch>
                      <a:fillRect/>
                    </a:stretch>
                  </pic:blipFill>
                  <pic:spPr>
                    <a:xfrm>
                      <a:off x="0" y="0"/>
                      <a:ext cx="5649153" cy="4025900"/>
                    </a:xfrm>
                    <a:prstGeom prst="rect">
                      <a:avLst/>
                    </a:prstGeom>
                    <a:ln w="12700" cap="flat">
                      <a:noFill/>
                      <a:miter lim="400000"/>
                    </a:ln>
                    <a:effectLst/>
                  </pic:spPr>
                </pic:pic>
              </a:graphicData>
            </a:graphic>
          </wp:inline>
        </w:drawing>
      </w:r>
    </w:p>
    <w:p>
      <w:pPr>
        <w:pStyle w:val="Normal"/>
        <w:ind w:left="567" w:right="567" w:firstLine="0"/>
        <w:jc w:val="both"/>
        <w:rPr>
          <w:rFonts w:ascii="Book Antiqua" w:cs="Book Antiqua" w:hAnsi="Book Antiqua" w:eastAsia="Book Antiqua"/>
        </w:rPr>
      </w:pPr>
      <w:r>
        <w:rPr>
          <w:rFonts w:ascii="Book Antiqua"/>
          <w:rtl w:val="0"/>
          <w:lang w:val="it-IT"/>
        </w:rPr>
        <w:t>Al fine di sopperire alle carenze impiantistiche per il trattamento della frazione organica raccolta nella citt</w:t>
      </w:r>
      <w:r>
        <w:rPr>
          <w:rFonts w:hAnsi="Book Antiqua" w:hint="default"/>
          <w:rtl w:val="0"/>
          <w:lang w:val="it-IT"/>
        </w:rPr>
        <w:t xml:space="preserve">à </w:t>
      </w:r>
      <w:r>
        <w:rPr>
          <w:rFonts w:ascii="Book Antiqua"/>
          <w:rtl w:val="0"/>
          <w:lang w:val="it-IT"/>
        </w:rPr>
        <w:t>di Roma l</w:t>
      </w:r>
      <w:r>
        <w:rPr>
          <w:rFonts w:hAnsi="Book Antiqua" w:hint="default"/>
          <w:rtl w:val="0"/>
          <w:lang w:val="it-IT"/>
        </w:rPr>
        <w:t>’</w:t>
      </w:r>
      <w:r>
        <w:rPr>
          <w:rFonts w:ascii="Book Antiqua"/>
          <w:rtl w:val="0"/>
          <w:lang w:val="it-IT"/>
        </w:rPr>
        <w:t xml:space="preserve">azienda pubblica al 24 giugno 2016 aveva presentato i seguenti progetti di impianti, peraltro ancora lontani dalla fase realizzativa, di cui riportiamo lo stato di avanzamento e relativi </w:t>
      </w:r>
      <w:r>
        <w:rPr>
          <w:rFonts w:ascii="Book Antiqua"/>
          <w:i w:val="1"/>
          <w:iCs w:val="1"/>
          <w:rtl w:val="0"/>
          <w:lang w:val="it-IT"/>
        </w:rPr>
        <w:t>iter</w:t>
      </w:r>
      <w:r>
        <w:rPr>
          <w:rFonts w:ascii="Book Antiqua"/>
          <w:rtl w:val="0"/>
          <w:lang w:val="it-IT"/>
        </w:rPr>
        <w:t xml:space="preserve"> autorizzativi a quella data, cos</w:t>
      </w:r>
      <w:r>
        <w:rPr>
          <w:rFonts w:hAnsi="Book Antiqua" w:hint="default"/>
          <w:rtl w:val="0"/>
          <w:lang w:val="it-IT"/>
        </w:rPr>
        <w:t xml:space="preserve">ì </w:t>
      </w:r>
      <w:r>
        <w:rPr>
          <w:rFonts w:ascii="Book Antiqua"/>
          <w:rtl w:val="0"/>
          <w:lang w:val="it-IT"/>
        </w:rPr>
        <w:t>come riferiti da AMA</w:t>
      </w:r>
      <w:r>
        <w:rPr>
          <w:rFonts w:ascii="Book Antiqua" w:cs="Book Antiqua" w:hAnsi="Book Antiqua" w:eastAsia="Book Antiqua"/>
          <w:vertAlign w:val="superscript"/>
          <w:rtl w:val="0"/>
        </w:rPr>
        <w:footnoteReference w:id="37"/>
      </w:r>
      <w:r>
        <w:rPr>
          <w:rFonts w:ascii="Book Antiqua"/>
          <w:rtl w:val="0"/>
          <w:lang w:val="it-IT"/>
        </w:rPr>
        <w:t>:</w:t>
      </w:r>
    </w:p>
    <w:p>
      <w:pPr>
        <w:pStyle w:val="Elenco a colori - Colore 11"/>
        <w:numPr>
          <w:ilvl w:val="0"/>
          <w:numId w:val="43"/>
        </w:numPr>
        <w:tabs>
          <w:tab w:val="num" w:pos="696"/>
          <w:tab w:val="clear" w:pos="567"/>
        </w:tabs>
        <w:bidi w:val="0"/>
        <w:spacing w:after="0" w:line="240" w:lineRule="auto"/>
        <w:ind w:left="555" w:right="567" w:firstLine="12"/>
        <w:jc w:val="both"/>
        <w:rPr>
          <w:rFonts w:ascii="Book Antiqua" w:cs="Book Antiqua" w:hAnsi="Book Antiqua" w:eastAsia="Book Antiqua"/>
          <w:i w:val="1"/>
          <w:iCs w:val="1"/>
          <w:position w:val="0"/>
          <w:sz w:val="22"/>
          <w:szCs w:val="22"/>
          <w:rtl w:val="0"/>
        </w:rPr>
      </w:pPr>
      <w:r>
        <w:rPr>
          <w:rFonts w:ascii="Book Antiqua"/>
          <w:i w:val="1"/>
          <w:iCs w:val="1"/>
          <w:sz w:val="24"/>
          <w:szCs w:val="24"/>
          <w:rtl w:val="0"/>
          <w:lang w:val="it-IT"/>
        </w:rPr>
        <w:t>impianto di compostaggio e biodigestione anaerobica presso lo stabilimento di Rocca Cencia</w:t>
      </w:r>
    </w:p>
    <w:p>
      <w:pPr>
        <w:pStyle w:val="Normal"/>
        <w:ind w:left="567" w:right="567" w:firstLine="0"/>
        <w:jc w:val="both"/>
        <w:rPr>
          <w:rFonts w:ascii="Book Antiqua" w:cs="Book Antiqua" w:hAnsi="Book Antiqua" w:eastAsia="Book Antiqua"/>
        </w:rPr>
      </w:pPr>
      <w:r>
        <w:rPr>
          <w:rFonts w:hAnsi="Book Antiqua" w:hint="default"/>
          <w:rtl w:val="0"/>
          <w:lang w:val="it-IT"/>
        </w:rPr>
        <w:t xml:space="preserve">• </w:t>
      </w:r>
      <w:r>
        <w:rPr>
          <w:rFonts w:ascii="Book Antiqua"/>
          <w:rtl w:val="0"/>
          <w:lang w:val="it-IT"/>
        </w:rPr>
        <w:t>Il 13 aprile 2015 AMA ha avviato l'istanza di valutazione impatto ambientale (e contestuale procedura autorizzativa di AIA) per la realizzazione dell'impianto di compostaggio e biodigestione anaerobica da realizzarsi presso il sito AMA di Via di Rocca Cencia con capacit</w:t>
      </w:r>
      <w:r>
        <w:rPr>
          <w:rFonts w:hAnsi="Book Antiqua" w:hint="default"/>
          <w:rtl w:val="0"/>
          <w:lang w:val="it-IT"/>
        </w:rPr>
        <w:t xml:space="preserve">à </w:t>
      </w:r>
      <w:r>
        <w:rPr>
          <w:rFonts w:ascii="Book Antiqua"/>
          <w:rtl w:val="0"/>
          <w:lang w:val="it-IT"/>
        </w:rPr>
        <w:t>di trattamento di 40.000 tonnellate/anno  di FORSU, per il trattamento dei rifiuti organici provenienti dalla raccolta differenziata del quadrante est della citt</w:t>
      </w:r>
      <w:r>
        <w:rPr>
          <w:rFonts w:hAnsi="Book Antiqua" w:hint="default"/>
          <w:rtl w:val="0"/>
          <w:lang w:val="it-IT"/>
        </w:rPr>
        <w:t>à</w:t>
      </w:r>
      <w:r>
        <w:rPr>
          <w:rFonts w:ascii="Book Antiqua"/>
          <w:rtl w:val="0"/>
          <w:lang w:val="it-IT"/>
        </w:rPr>
        <w:t>, con produzione di ammendante compostato di qualit</w:t>
      </w:r>
      <w:r>
        <w:rPr>
          <w:rFonts w:hAnsi="Book Antiqua" w:hint="default"/>
          <w:rtl w:val="0"/>
          <w:lang w:val="it-IT"/>
        </w:rPr>
        <w:t xml:space="preserve">à </w:t>
      </w:r>
      <w:r>
        <w:rPr>
          <w:rFonts w:ascii="Book Antiqua"/>
          <w:rtl w:val="0"/>
          <w:lang w:val="it-IT"/>
        </w:rPr>
        <w:t xml:space="preserve">e di biogas da utilizzarsi per produzione di energia elettrica e termica per autoconsumo del complesso degli impianti presenti all'interno dello stabilimento. </w:t>
      </w:r>
    </w:p>
    <w:p>
      <w:pPr>
        <w:pStyle w:val="Normal"/>
        <w:ind w:left="567" w:right="567" w:firstLine="0"/>
        <w:jc w:val="both"/>
        <w:rPr>
          <w:rFonts w:ascii="Book Antiqua" w:cs="Book Antiqua" w:hAnsi="Book Antiqua" w:eastAsia="Book Antiqua"/>
        </w:rPr>
      </w:pPr>
      <w:r>
        <w:rPr>
          <w:rFonts w:hAnsi="Book Antiqua" w:hint="default"/>
          <w:rtl w:val="0"/>
          <w:lang w:val="it-IT"/>
        </w:rPr>
        <w:t xml:space="preserve">• </w:t>
      </w:r>
      <w:r>
        <w:rPr>
          <w:rFonts w:ascii="Book Antiqua"/>
          <w:rtl w:val="0"/>
          <w:lang w:val="it-IT"/>
        </w:rPr>
        <w:t xml:space="preserve">AMA ha inoltre bandito la gara per la realizzazione del suddetto impianto in data 8 luglio 2015 con bando 18/2015. La gara, la cui aggiudicazione </w:t>
      </w:r>
      <w:r>
        <w:rPr>
          <w:rFonts w:hAnsi="Book Antiqua" w:hint="default"/>
          <w:rtl w:val="0"/>
          <w:lang w:val="it-IT"/>
        </w:rPr>
        <w:t xml:space="preserve">è </w:t>
      </w:r>
      <w:r>
        <w:rPr>
          <w:rFonts w:ascii="Book Antiqua"/>
          <w:rtl w:val="0"/>
          <w:lang w:val="it-IT"/>
        </w:rPr>
        <w:t xml:space="preserve">condizionata all'ottenimento delle sopracitate autorizzazioni, </w:t>
      </w:r>
      <w:r>
        <w:rPr>
          <w:rFonts w:hAnsi="Book Antiqua" w:hint="default"/>
          <w:rtl w:val="0"/>
          <w:lang w:val="it-IT"/>
        </w:rPr>
        <w:t xml:space="preserve">è </w:t>
      </w:r>
      <w:r>
        <w:rPr>
          <w:rFonts w:ascii="Book Antiqua"/>
          <w:rtl w:val="0"/>
          <w:lang w:val="it-IT"/>
        </w:rPr>
        <w:t>al momento in fase di completamento delle attivit</w:t>
      </w:r>
      <w:r>
        <w:rPr>
          <w:rFonts w:hAnsi="Book Antiqua" w:hint="default"/>
          <w:rtl w:val="0"/>
          <w:lang w:val="it-IT"/>
        </w:rPr>
        <w:t xml:space="preserve">à </w:t>
      </w:r>
      <w:r>
        <w:rPr>
          <w:rFonts w:ascii="Book Antiqua"/>
          <w:rtl w:val="0"/>
          <w:lang w:val="it-IT"/>
        </w:rPr>
        <w:t xml:space="preserve">da parte della commissione di aggiudicazione </w:t>
      </w:r>
    </w:p>
    <w:p>
      <w:pPr>
        <w:pStyle w:val="Normal"/>
        <w:ind w:left="567" w:right="567" w:firstLine="0"/>
        <w:jc w:val="both"/>
        <w:rPr>
          <w:rFonts w:ascii="Book Antiqua" w:cs="Book Antiqua" w:hAnsi="Book Antiqua" w:eastAsia="Book Antiqua"/>
        </w:rPr>
      </w:pPr>
      <w:r>
        <w:rPr>
          <w:rFonts w:hAnsi="Book Antiqua" w:hint="default"/>
          <w:rtl w:val="0"/>
          <w:lang w:val="it-IT"/>
        </w:rPr>
        <w:t xml:space="preserve">• </w:t>
      </w:r>
      <w:r>
        <w:rPr>
          <w:rFonts w:ascii="Book Antiqua"/>
          <w:rtl w:val="0"/>
          <w:lang w:val="it-IT"/>
        </w:rPr>
        <w:t xml:space="preserve">La procedura di VIA, </w:t>
      </w:r>
      <w:r>
        <w:rPr>
          <w:rFonts w:hAnsi="Book Antiqua" w:hint="default"/>
          <w:rtl w:val="0"/>
          <w:lang w:val="it-IT"/>
        </w:rPr>
        <w:t xml:space="preserve">è </w:t>
      </w:r>
      <w:r>
        <w:rPr>
          <w:rFonts w:ascii="Book Antiqua"/>
          <w:rtl w:val="0"/>
          <w:lang w:val="it-IT"/>
        </w:rPr>
        <w:t>in fase di conferenza di servizi istruttoria in capo alla regione Lazio, convocata il 25/02/2015, a tempi di legge scaduti, e versa in condizioni di ritardo per scelte procedurali discutibili da parte dell'area VIA della regione Lazio, rappresentate da AMA con 3 successive note (prot.H672/U del 24/2/2016; prot. 16433/U del 16/03/2016; prot. 20194/U del 8/4/2016).</w:t>
      </w:r>
    </w:p>
    <w:p>
      <w:pPr>
        <w:pStyle w:val="Normal"/>
        <w:ind w:left="567" w:right="567" w:firstLine="0"/>
        <w:jc w:val="both"/>
        <w:rPr>
          <w:rFonts w:ascii="Book Antiqua" w:cs="Book Antiqua" w:hAnsi="Book Antiqua" w:eastAsia="Book Antiqua"/>
        </w:rPr>
      </w:pPr>
      <w:r>
        <w:rPr>
          <w:rFonts w:hAnsi="Book Antiqua" w:hint="default"/>
          <w:rtl w:val="0"/>
          <w:lang w:val="it-IT"/>
        </w:rPr>
        <w:t xml:space="preserve">• </w:t>
      </w:r>
      <w:r>
        <w:rPr>
          <w:rFonts w:ascii="Book Antiqua"/>
          <w:rtl w:val="0"/>
          <w:lang w:val="it-IT"/>
        </w:rPr>
        <w:t>Attualmente si rimane in attesa di convocazione di ulteriore seduta di conferenza dei servizi.</w:t>
      </w:r>
    </w:p>
    <w:p>
      <w:pPr>
        <w:pStyle w:val="Elenco a colori - Colore 11"/>
        <w:numPr>
          <w:ilvl w:val="0"/>
          <w:numId w:val="44"/>
        </w:numPr>
        <w:tabs>
          <w:tab w:val="num" w:pos="696"/>
          <w:tab w:val="clear" w:pos="567"/>
        </w:tabs>
        <w:bidi w:val="0"/>
        <w:spacing w:after="0" w:line="240" w:lineRule="auto"/>
        <w:ind w:left="555" w:right="567" w:firstLine="12"/>
        <w:jc w:val="both"/>
        <w:rPr>
          <w:rFonts w:ascii="Book Antiqua" w:cs="Book Antiqua" w:hAnsi="Book Antiqua" w:eastAsia="Book Antiqua"/>
          <w:i w:val="1"/>
          <w:iCs w:val="1"/>
          <w:position w:val="0"/>
          <w:sz w:val="22"/>
          <w:szCs w:val="22"/>
          <w:rtl w:val="0"/>
        </w:rPr>
      </w:pPr>
      <w:r>
        <w:rPr>
          <w:rFonts w:ascii="Book Antiqua"/>
          <w:i w:val="1"/>
          <w:iCs w:val="1"/>
          <w:sz w:val="24"/>
          <w:szCs w:val="24"/>
          <w:rtl w:val="0"/>
          <w:lang w:val="it-IT"/>
        </w:rPr>
        <w:t>Quadruplicazione impianto di compostaggio di Maccarese</w:t>
      </w:r>
    </w:p>
    <w:p>
      <w:pPr>
        <w:pStyle w:val="Normal"/>
        <w:ind w:left="567" w:right="567" w:firstLine="0"/>
        <w:jc w:val="both"/>
        <w:rPr>
          <w:rFonts w:ascii="Book Antiqua" w:cs="Book Antiqua" w:hAnsi="Book Antiqua" w:eastAsia="Book Antiqua"/>
        </w:rPr>
      </w:pPr>
      <w:r>
        <w:rPr>
          <w:rFonts w:hAnsi="Book Antiqua" w:hint="default"/>
          <w:rtl w:val="0"/>
          <w:lang w:val="it-IT"/>
        </w:rPr>
        <w:t xml:space="preserve">• </w:t>
      </w:r>
      <w:r>
        <w:rPr>
          <w:rFonts w:ascii="Book Antiqua"/>
          <w:rtl w:val="0"/>
          <w:lang w:val="it-IT"/>
        </w:rPr>
        <w:t>AMA S.p.A. ha presentato in data 12 agosto 2010 istanza di VIA per la quadruplicazione della capacit</w:t>
      </w:r>
      <w:r>
        <w:rPr>
          <w:rFonts w:hAnsi="Book Antiqua" w:hint="default"/>
          <w:rtl w:val="0"/>
          <w:lang w:val="it-IT"/>
        </w:rPr>
        <w:t xml:space="preserve">à </w:t>
      </w:r>
      <w:r>
        <w:rPr>
          <w:rFonts w:ascii="Book Antiqua"/>
          <w:rtl w:val="0"/>
          <w:lang w:val="it-IT"/>
        </w:rPr>
        <w:t xml:space="preserve">di trattamento dell'impianto di compostaggio di Maccarese. L'istanza </w:t>
      </w:r>
      <w:r>
        <w:rPr>
          <w:rFonts w:hAnsi="Book Antiqua" w:hint="default"/>
          <w:rtl w:val="0"/>
          <w:lang w:val="it-IT"/>
        </w:rPr>
        <w:t xml:space="preserve">è </w:t>
      </w:r>
      <w:r>
        <w:rPr>
          <w:rFonts w:ascii="Book Antiqua"/>
          <w:rtl w:val="0"/>
          <w:lang w:val="it-IT"/>
        </w:rPr>
        <w:t>stata respinta con irritualit</w:t>
      </w:r>
      <w:r>
        <w:rPr>
          <w:rFonts w:hAnsi="Book Antiqua" w:hint="default"/>
          <w:rtl w:val="0"/>
          <w:lang w:val="it-IT"/>
        </w:rPr>
        <w:t xml:space="preserve">à </w:t>
      </w:r>
      <w:r>
        <w:rPr>
          <w:rFonts w:ascii="Book Antiqua"/>
          <w:rtl w:val="0"/>
          <w:lang w:val="it-IT"/>
        </w:rPr>
        <w:t>procedurale dalla amministrazione procedente l</w:t>
      </w:r>
      <w:r>
        <w:rPr>
          <w:rFonts w:hAnsi="Book Antiqua" w:hint="default"/>
          <w:rtl w:val="0"/>
          <w:lang w:val="it-IT"/>
        </w:rPr>
        <w:t>’</w:t>
      </w:r>
      <w:r>
        <w:rPr>
          <w:rFonts w:ascii="Book Antiqua"/>
          <w:rtl w:val="0"/>
          <w:lang w:val="it-IT"/>
        </w:rPr>
        <w:t xml:space="preserve">8 agosto 2014. AMA ha presentato ricorso al TAR in data 14 novembre 2014 e si </w:t>
      </w:r>
      <w:r>
        <w:rPr>
          <w:rFonts w:hAnsi="Book Antiqua" w:hint="default"/>
          <w:rtl w:val="0"/>
          <w:lang w:val="it-IT"/>
        </w:rPr>
        <w:t xml:space="preserve">è </w:t>
      </w:r>
      <w:r>
        <w:rPr>
          <w:rFonts w:ascii="Book Antiqua"/>
          <w:rtl w:val="0"/>
          <w:lang w:val="it-IT"/>
        </w:rPr>
        <w:t>in attesa della relativa sentenza.</w:t>
      </w:r>
    </w:p>
    <w:p>
      <w:pPr>
        <w:pStyle w:val="Elenco a colori - Colore 11"/>
        <w:numPr>
          <w:ilvl w:val="0"/>
          <w:numId w:val="45"/>
        </w:numPr>
        <w:tabs>
          <w:tab w:val="num" w:pos="696"/>
          <w:tab w:val="clear" w:pos="567"/>
        </w:tabs>
        <w:bidi w:val="0"/>
        <w:spacing w:after="0" w:line="240" w:lineRule="auto"/>
        <w:ind w:left="555" w:right="567" w:firstLine="12"/>
        <w:jc w:val="both"/>
        <w:rPr>
          <w:rFonts w:ascii="Book Antiqua" w:cs="Book Antiqua" w:hAnsi="Book Antiqua" w:eastAsia="Book Antiqua"/>
          <w:i w:val="1"/>
          <w:iCs w:val="1"/>
          <w:position w:val="0"/>
          <w:sz w:val="22"/>
          <w:szCs w:val="22"/>
          <w:rtl w:val="0"/>
        </w:rPr>
      </w:pPr>
      <w:r>
        <w:rPr>
          <w:rFonts w:ascii="Book Antiqua"/>
          <w:i w:val="1"/>
          <w:iCs w:val="1"/>
          <w:sz w:val="24"/>
          <w:szCs w:val="24"/>
          <w:rtl w:val="0"/>
          <w:lang w:val="it-IT"/>
        </w:rPr>
        <w:t>Impianto VRD Pomezia (20.000 tonnellate/anno )</w:t>
      </w:r>
    </w:p>
    <w:p>
      <w:pPr>
        <w:pStyle w:val="Normal"/>
        <w:ind w:left="567" w:right="567" w:firstLine="0"/>
        <w:jc w:val="both"/>
        <w:rPr>
          <w:rFonts w:ascii="Book Antiqua" w:cs="Book Antiqua" w:hAnsi="Book Antiqua" w:eastAsia="Book Antiqua"/>
        </w:rPr>
      </w:pPr>
      <w:r>
        <w:rPr>
          <w:rFonts w:hAnsi="Book Antiqua" w:hint="default"/>
          <w:rtl w:val="0"/>
          <w:lang w:val="it-IT"/>
        </w:rPr>
        <w:t xml:space="preserve">• </w:t>
      </w:r>
      <w:r>
        <w:rPr>
          <w:rFonts w:ascii="Book Antiqua"/>
          <w:rtl w:val="0"/>
          <w:lang w:val="it-IT"/>
        </w:rPr>
        <w:t>Trasmessa il 24 dicembre 2015 con nota prot. 060777/U alla Citt</w:t>
      </w:r>
      <w:r>
        <w:rPr>
          <w:rFonts w:hAnsi="Book Antiqua" w:hint="default"/>
          <w:rtl w:val="0"/>
          <w:lang w:val="it-IT"/>
        </w:rPr>
        <w:t xml:space="preserve">à </w:t>
      </w:r>
      <w:r>
        <w:rPr>
          <w:rFonts w:ascii="Book Antiqua"/>
          <w:rtl w:val="0"/>
          <w:lang w:val="it-IT"/>
        </w:rPr>
        <w:t>metropolitana di Roma Capitale. Tale istanza riguarda una modifica del layout di impianto per inserimento in testa di un macchinario lacerasacchi, necessario alla rottura dei sacchetti di contenimento del rifiuto al fine di liberarne il contenuto per il successivo processo di selezione, limitando quindi la percentuale di scarti. Si tratta di una miglioria necessaria soprattutto a seguito delle mutate caratteristiche della raccolta in corrispondenza dell'estensione della raccolta differenziata porta a porta su tutti i municipi del territorio cittadino.</w:t>
      </w:r>
    </w:p>
    <w:p>
      <w:pPr>
        <w:pStyle w:val="Elenco a colori - Colore 11"/>
        <w:numPr>
          <w:ilvl w:val="0"/>
          <w:numId w:val="46"/>
        </w:numPr>
        <w:tabs>
          <w:tab w:val="num" w:pos="696"/>
          <w:tab w:val="clear" w:pos="567"/>
        </w:tabs>
        <w:bidi w:val="0"/>
        <w:spacing w:after="0" w:line="240" w:lineRule="auto"/>
        <w:ind w:left="555" w:right="567" w:firstLine="12"/>
        <w:jc w:val="both"/>
        <w:rPr>
          <w:rFonts w:ascii="Book Antiqua" w:cs="Book Antiqua" w:hAnsi="Book Antiqua" w:eastAsia="Book Antiqua"/>
          <w:i w:val="1"/>
          <w:iCs w:val="1"/>
          <w:position w:val="0"/>
          <w:sz w:val="22"/>
          <w:szCs w:val="22"/>
          <w:rtl w:val="0"/>
        </w:rPr>
      </w:pPr>
      <w:r>
        <w:rPr>
          <w:rFonts w:ascii="Book Antiqua"/>
          <w:i w:val="1"/>
          <w:iCs w:val="1"/>
          <w:sz w:val="24"/>
          <w:szCs w:val="24"/>
          <w:rtl w:val="0"/>
          <w:lang w:val="it-IT"/>
        </w:rPr>
        <w:t>Impianto VRD Rocca Cencia (60.000 tonnellate/anno )</w:t>
      </w:r>
    </w:p>
    <w:p>
      <w:pPr>
        <w:pStyle w:val="Normal"/>
        <w:ind w:left="567" w:right="567" w:firstLine="0"/>
        <w:jc w:val="both"/>
        <w:rPr>
          <w:rFonts w:ascii="Book Antiqua" w:cs="Book Antiqua" w:hAnsi="Book Antiqua" w:eastAsia="Book Antiqua"/>
        </w:rPr>
      </w:pPr>
      <w:r>
        <w:rPr>
          <w:rFonts w:hAnsi="Book Antiqua" w:hint="default"/>
          <w:rtl w:val="0"/>
          <w:lang w:val="it-IT"/>
        </w:rPr>
        <w:t xml:space="preserve">• </w:t>
      </w:r>
      <w:r>
        <w:rPr>
          <w:rFonts w:ascii="Book Antiqua"/>
          <w:rtl w:val="0"/>
          <w:lang w:val="it-IT"/>
        </w:rPr>
        <w:t xml:space="preserve">A seguito di comunicazione di modifica non sostanziale trasmessa con nota 2574/U del 16/01/2015, autorizzato con determinazioni regionali B2519/11 e G9354/14, </w:t>
      </w:r>
      <w:r>
        <w:rPr>
          <w:rFonts w:hAnsi="Book Antiqua" w:hint="default"/>
          <w:rtl w:val="0"/>
          <w:lang w:val="it-IT"/>
        </w:rPr>
        <w:t xml:space="preserve">è </w:t>
      </w:r>
      <w:r>
        <w:rPr>
          <w:rFonts w:ascii="Book Antiqua"/>
          <w:rtl w:val="0"/>
          <w:lang w:val="it-IT"/>
        </w:rPr>
        <w:t>stato avviato e rimesso a regime in data 12/4/2016 dopo un periodo di fermo dovuto a necessit</w:t>
      </w:r>
      <w:r>
        <w:rPr>
          <w:rFonts w:hAnsi="Book Antiqua" w:hint="default"/>
          <w:rtl w:val="0"/>
          <w:lang w:val="it-IT"/>
        </w:rPr>
        <w:t xml:space="preserve">à </w:t>
      </w:r>
      <w:r>
        <w:rPr>
          <w:rFonts w:ascii="Book Antiqua"/>
          <w:rtl w:val="0"/>
          <w:lang w:val="it-IT"/>
        </w:rPr>
        <w:t xml:space="preserve">di ammodernamenti delle linee di selezione, con inserimento di un lacerasacchi e di un separatore aeraulico. Il primo </w:t>
      </w:r>
      <w:r>
        <w:rPr>
          <w:rFonts w:hAnsi="Book Antiqua" w:hint="default"/>
          <w:rtl w:val="0"/>
          <w:lang w:val="it-IT"/>
        </w:rPr>
        <w:t xml:space="preserve">è </w:t>
      </w:r>
      <w:r>
        <w:rPr>
          <w:rFonts w:ascii="Book Antiqua"/>
          <w:rtl w:val="0"/>
          <w:lang w:val="it-IT"/>
        </w:rPr>
        <w:t xml:space="preserve">necessario alla rottura dei sacchetti di contenimento del rifiuto al fine di liberarne il contenuto per il successivo processo di selezione, limitando quindi la percentuale di scarti. Si tratta di una miglioria necessaria soprattutto a seguito delle mutate caratteristiche della raccolta in corrispondenza dell'estensione della raccolta differenziata porta a porta su tutti i municipi del territorio cittadino. Il secondo </w:t>
      </w:r>
      <w:r>
        <w:rPr>
          <w:rFonts w:hAnsi="Book Antiqua" w:hint="default"/>
          <w:rtl w:val="0"/>
          <w:lang w:val="it-IT"/>
        </w:rPr>
        <w:t xml:space="preserve">è </w:t>
      </w:r>
      <w:r>
        <w:rPr>
          <w:rFonts w:ascii="Book Antiqua"/>
          <w:rtl w:val="0"/>
          <w:lang w:val="it-IT"/>
        </w:rPr>
        <w:t xml:space="preserve">necessario per adeguare il processo di selezione alla mutata composizione del multimateriale, che a seguito della riorganizzazione della raccolta rifiuti a 5 frazioni con vetro raccolto separatamente, </w:t>
      </w:r>
      <w:r>
        <w:rPr>
          <w:rFonts w:hAnsi="Book Antiqua" w:hint="default"/>
          <w:rtl w:val="0"/>
          <w:lang w:val="it-IT"/>
        </w:rPr>
        <w:t xml:space="preserve">è </w:t>
      </w:r>
      <w:r>
        <w:rPr>
          <w:rFonts w:ascii="Book Antiqua"/>
          <w:rtl w:val="0"/>
          <w:lang w:val="it-IT"/>
        </w:rPr>
        <w:t>classificabile come multimateriale leggero, richiedendo quindi altri tipologie di separazione delle frazioni pesanti pi</w:t>
      </w:r>
      <w:r>
        <w:rPr>
          <w:rFonts w:hAnsi="Book Antiqua" w:hint="default"/>
          <w:rtl w:val="0"/>
          <w:lang w:val="it-IT"/>
        </w:rPr>
        <w:t xml:space="preserve">ù </w:t>
      </w:r>
      <w:r>
        <w:rPr>
          <w:rFonts w:ascii="Book Antiqua"/>
          <w:rtl w:val="0"/>
          <w:lang w:val="it-IT"/>
        </w:rPr>
        <w:t xml:space="preserve">efficaci rispetto al processo. </w:t>
      </w:r>
    </w:p>
    <w:p>
      <w:pPr>
        <w:pStyle w:val="Elenco a colori - Colore 11"/>
        <w:numPr>
          <w:ilvl w:val="0"/>
          <w:numId w:val="47"/>
        </w:numPr>
        <w:tabs>
          <w:tab w:val="num" w:pos="696"/>
          <w:tab w:val="clear" w:pos="567"/>
        </w:tabs>
        <w:bidi w:val="0"/>
        <w:spacing w:after="0" w:line="240" w:lineRule="auto"/>
        <w:ind w:left="555" w:right="567" w:firstLine="12"/>
        <w:jc w:val="both"/>
        <w:rPr>
          <w:rFonts w:ascii="Book Antiqua" w:cs="Book Antiqua" w:hAnsi="Book Antiqua" w:eastAsia="Book Antiqua"/>
          <w:i w:val="1"/>
          <w:iCs w:val="1"/>
          <w:position w:val="0"/>
          <w:sz w:val="22"/>
          <w:szCs w:val="22"/>
          <w:rtl w:val="0"/>
        </w:rPr>
      </w:pPr>
      <w:r>
        <w:rPr>
          <w:rFonts w:ascii="Book Antiqua"/>
          <w:i w:val="1"/>
          <w:iCs w:val="1"/>
          <w:sz w:val="24"/>
          <w:szCs w:val="24"/>
          <w:rtl w:val="0"/>
          <w:lang w:val="it-IT"/>
        </w:rPr>
        <w:t>Trasferenza multimateriale Ponte Malnome</w:t>
      </w:r>
    </w:p>
    <w:p>
      <w:pPr>
        <w:pStyle w:val="Normal"/>
        <w:ind w:left="567" w:right="567" w:firstLine="0"/>
        <w:jc w:val="both"/>
        <w:rPr>
          <w:rFonts w:ascii="Book Antiqua" w:cs="Book Antiqua" w:hAnsi="Book Antiqua" w:eastAsia="Book Antiqua"/>
        </w:rPr>
      </w:pPr>
      <w:r>
        <w:rPr>
          <w:rFonts w:hAnsi="Book Antiqua" w:hint="default"/>
          <w:rtl w:val="0"/>
          <w:lang w:val="it-IT"/>
        </w:rPr>
        <w:t xml:space="preserve">• </w:t>
      </w:r>
      <w:r>
        <w:rPr>
          <w:rFonts w:ascii="Book Antiqua"/>
          <w:rtl w:val="0"/>
          <w:lang w:val="it-IT"/>
        </w:rPr>
        <w:t>Autorizzata con D.D. 3338 dell</w:t>
      </w:r>
      <w:r>
        <w:rPr>
          <w:rFonts w:hAnsi="Book Antiqua" w:hint="default"/>
          <w:rtl w:val="0"/>
          <w:lang w:val="it-IT"/>
        </w:rPr>
        <w:t>’</w:t>
      </w:r>
      <w:r>
        <w:rPr>
          <w:rFonts w:ascii="Book Antiqua"/>
          <w:rtl w:val="0"/>
          <w:lang w:val="it-IT"/>
        </w:rPr>
        <w:t>11 giugno 2010; presentata istanza in data 24 luglio 2015 con nota prot. H1525/15/PTA2.6 con la quale si chiede la modifica non sostanziale dell'autorizzazione rilasciata, riguardo ad aspetti di carattere logistico (giorni di esercizio) e relativo incremento delle quantit</w:t>
      </w:r>
      <w:r>
        <w:rPr>
          <w:rFonts w:hAnsi="Book Antiqua" w:hint="default"/>
          <w:rtl w:val="0"/>
          <w:lang w:val="it-IT"/>
        </w:rPr>
        <w:t xml:space="preserve">à </w:t>
      </w:r>
      <w:r>
        <w:rPr>
          <w:rFonts w:ascii="Book Antiqua"/>
          <w:rtl w:val="0"/>
          <w:lang w:val="it-IT"/>
        </w:rPr>
        <w:t>movimentate. La citt</w:t>
      </w:r>
      <w:r>
        <w:rPr>
          <w:rFonts w:hAnsi="Book Antiqua" w:hint="default"/>
          <w:rtl w:val="0"/>
          <w:lang w:val="it-IT"/>
        </w:rPr>
        <w:t xml:space="preserve">à </w:t>
      </w:r>
      <w:r>
        <w:rPr>
          <w:rFonts w:ascii="Book Antiqua"/>
          <w:rtl w:val="0"/>
          <w:lang w:val="it-IT"/>
        </w:rPr>
        <w:t>metropolitana di Roma Capitale ha risposto con nota n. 82158/16 in data 9 giugno 2016 classificando la modifica come sostanziale e convocando una conferenza dei servizi per il giorno 5 luglio 2016</w:t>
      </w:r>
    </w:p>
    <w:p>
      <w:pPr>
        <w:pStyle w:val="Elenco a colori - Colore 11"/>
        <w:numPr>
          <w:ilvl w:val="0"/>
          <w:numId w:val="48"/>
        </w:numPr>
        <w:tabs>
          <w:tab w:val="num" w:pos="696"/>
          <w:tab w:val="clear" w:pos="567"/>
        </w:tabs>
        <w:bidi w:val="0"/>
        <w:spacing w:after="0" w:line="240" w:lineRule="auto"/>
        <w:ind w:left="555" w:right="567" w:firstLine="12"/>
        <w:jc w:val="both"/>
        <w:rPr>
          <w:rFonts w:ascii="Book Antiqua" w:cs="Book Antiqua" w:hAnsi="Book Antiqua" w:eastAsia="Book Antiqua"/>
          <w:i w:val="1"/>
          <w:iCs w:val="1"/>
          <w:position w:val="0"/>
          <w:sz w:val="22"/>
          <w:szCs w:val="22"/>
          <w:rtl w:val="0"/>
        </w:rPr>
      </w:pPr>
      <w:r>
        <w:rPr>
          <w:rFonts w:ascii="Book Antiqua"/>
          <w:i w:val="1"/>
          <w:iCs w:val="1"/>
          <w:sz w:val="24"/>
          <w:szCs w:val="24"/>
          <w:rtl w:val="0"/>
          <w:lang w:val="it-IT"/>
        </w:rPr>
        <w:t>Revamping impianto incenerimento RSO Ponte Malnome</w:t>
      </w:r>
      <w:r>
        <w:rPr>
          <w:rFonts w:ascii="Book Antiqua" w:cs="Book Antiqua" w:hAnsi="Book Antiqua" w:eastAsia="Book Antiqua"/>
          <w:i w:val="1"/>
          <w:iCs w:val="1"/>
          <w:sz w:val="24"/>
          <w:szCs w:val="24"/>
          <w:vertAlign w:val="superscript"/>
        </w:rPr>
        <w:footnoteReference w:id="38"/>
      </w:r>
    </w:p>
    <w:p>
      <w:pPr>
        <w:pStyle w:val="Normal"/>
        <w:ind w:left="567" w:right="567" w:firstLine="0"/>
        <w:jc w:val="both"/>
        <w:rPr>
          <w:rFonts w:ascii="Book Antiqua" w:cs="Book Antiqua" w:hAnsi="Book Antiqua" w:eastAsia="Book Antiqua"/>
        </w:rPr>
      </w:pPr>
      <w:r>
        <w:rPr>
          <w:rFonts w:hAnsi="Book Antiqua" w:hint="default"/>
          <w:rtl w:val="0"/>
          <w:lang w:val="it-IT"/>
        </w:rPr>
        <w:t xml:space="preserve">• </w:t>
      </w:r>
      <w:r>
        <w:rPr>
          <w:rFonts w:ascii="Book Antiqua"/>
          <w:rtl w:val="0"/>
          <w:lang w:val="it-IT"/>
        </w:rPr>
        <w:t>Richiesta con nota 4 agosto 2015 prot. 36095/U istanza di modifica non sostanziale. L'intervento riguarda le necessit</w:t>
      </w:r>
      <w:r>
        <w:rPr>
          <w:rFonts w:hAnsi="Book Antiqua" w:hint="default"/>
          <w:rtl w:val="0"/>
          <w:lang w:val="it-IT"/>
        </w:rPr>
        <w:t xml:space="preserve">à </w:t>
      </w:r>
      <w:r>
        <w:rPr>
          <w:rFonts w:ascii="Book Antiqua"/>
          <w:rtl w:val="0"/>
          <w:lang w:val="it-IT"/>
        </w:rPr>
        <w:t>di adeguamento dell'impianto dedicato all'incenerimento dei rifiuti speciali ospedalieri, messo in esercizio nel 1995 e che per mantenere un valore adeguato di redditivit</w:t>
      </w:r>
      <w:r>
        <w:rPr>
          <w:rFonts w:hAnsi="Book Antiqua" w:hint="default"/>
          <w:rtl w:val="0"/>
          <w:lang w:val="it-IT"/>
        </w:rPr>
        <w:t xml:space="preserve">à </w:t>
      </w:r>
      <w:r>
        <w:rPr>
          <w:rFonts w:ascii="Book Antiqua"/>
          <w:rtl w:val="0"/>
          <w:lang w:val="it-IT"/>
        </w:rPr>
        <w:t>deve essere sottoposto a migliorie/modifiche tecnologiche.</w:t>
      </w:r>
    </w:p>
    <w:p>
      <w:pPr>
        <w:pStyle w:val="Normal"/>
        <w:ind w:left="567" w:right="567" w:firstLine="0"/>
        <w:jc w:val="both"/>
        <w:rPr>
          <w:rFonts w:ascii="Book Antiqua" w:cs="Book Antiqua" w:hAnsi="Book Antiqua" w:eastAsia="Book Antiqua"/>
        </w:rPr>
      </w:pPr>
      <w:r>
        <w:rPr>
          <w:rFonts w:hAnsi="Book Antiqua" w:hint="default"/>
          <w:rtl w:val="0"/>
          <w:lang w:val="it-IT"/>
        </w:rPr>
        <w:t xml:space="preserve">• </w:t>
      </w:r>
      <w:r>
        <w:rPr>
          <w:rFonts w:ascii="Book Antiqua"/>
          <w:rtl w:val="0"/>
          <w:lang w:val="it-IT"/>
        </w:rPr>
        <w:t>Le linee principali dell'intervento di revamping sono: (a) inserimento di sezione di sterilizzazione a monte per semplificare le attivit</w:t>
      </w:r>
      <w:r>
        <w:rPr>
          <w:rFonts w:hAnsi="Book Antiqua" w:hint="default"/>
          <w:rtl w:val="0"/>
          <w:lang w:val="it-IT"/>
        </w:rPr>
        <w:t xml:space="preserve">à </w:t>
      </w:r>
      <w:r>
        <w:rPr>
          <w:rFonts w:ascii="Book Antiqua"/>
          <w:rtl w:val="0"/>
          <w:lang w:val="it-IT"/>
        </w:rPr>
        <w:t xml:space="preserve">di stoccaggio e di garantire anche trattamenti temporaneamente sostitutivi dell'incenerimento (produzione CDR/CSS); (b) rifacimento completo della caldaia a recupero energetico e linee trasporto polveri e ceneri; (c) rifacimento del sistema di automazione e controllo per adeguarlo alle migliori tecnologie disponibili (DCS/SCADA) e permettere configurazioni di automazione e controlli non operabili con la tecnologia obsoleta a PLC degli anni </w:t>
      </w:r>
      <w:r>
        <w:rPr>
          <w:rFonts w:hAnsi="Book Antiqua" w:hint="default"/>
          <w:rtl w:val="0"/>
          <w:lang w:val="it-IT"/>
        </w:rPr>
        <w:t>‘</w:t>
      </w:r>
      <w:r>
        <w:rPr>
          <w:rFonts w:ascii="Book Antiqua"/>
          <w:rtl w:val="0"/>
          <w:lang w:val="it-IT"/>
        </w:rPr>
        <w:t>90.</w:t>
      </w:r>
    </w:p>
    <w:p>
      <w:pPr>
        <w:pStyle w:val="Elenco a colori - Colore 11"/>
        <w:numPr>
          <w:ilvl w:val="0"/>
          <w:numId w:val="49"/>
        </w:numPr>
        <w:tabs>
          <w:tab w:val="num" w:pos="696"/>
          <w:tab w:val="clear" w:pos="567"/>
        </w:tabs>
        <w:bidi w:val="0"/>
        <w:spacing w:after="0" w:line="240" w:lineRule="auto"/>
        <w:ind w:left="555" w:right="567" w:firstLine="12"/>
        <w:jc w:val="both"/>
        <w:rPr>
          <w:rFonts w:ascii="Book Antiqua" w:cs="Book Antiqua" w:hAnsi="Book Antiqua" w:eastAsia="Book Antiqua"/>
          <w:i w:val="1"/>
          <w:iCs w:val="1"/>
          <w:position w:val="0"/>
          <w:sz w:val="22"/>
          <w:szCs w:val="22"/>
          <w:rtl w:val="0"/>
        </w:rPr>
      </w:pPr>
      <w:r>
        <w:rPr>
          <w:rFonts w:ascii="Book Antiqua"/>
          <w:i w:val="1"/>
          <w:iCs w:val="1"/>
          <w:sz w:val="24"/>
          <w:szCs w:val="24"/>
          <w:rtl w:val="0"/>
          <w:lang w:val="it-IT"/>
        </w:rPr>
        <w:t>Piattaforma trasferenza rifiuti urbani a Ponte Malnome</w:t>
      </w:r>
    </w:p>
    <w:p>
      <w:pPr>
        <w:pStyle w:val="Normal"/>
        <w:ind w:left="567" w:right="567" w:firstLine="0"/>
        <w:jc w:val="both"/>
        <w:rPr>
          <w:rFonts w:ascii="Book Antiqua" w:cs="Book Antiqua" w:hAnsi="Book Antiqua" w:eastAsia="Book Antiqua"/>
        </w:rPr>
      </w:pPr>
      <w:r>
        <w:rPr>
          <w:rFonts w:hAnsi="Book Antiqua" w:hint="default"/>
          <w:rtl w:val="0"/>
          <w:lang w:val="it-IT"/>
        </w:rPr>
        <w:t xml:space="preserve">• </w:t>
      </w:r>
      <w:r>
        <w:rPr>
          <w:rFonts w:ascii="Book Antiqua"/>
          <w:rtl w:val="0"/>
          <w:lang w:val="it-IT"/>
        </w:rPr>
        <w:t>Presentata con prot. 51316/U del 16 ottobre 2013 presso la provincia di Roma e la regione Lazio istanza per l'autorizzazione, ai sensi dell'articolo 208 del decreto legislativo n. 152 del 2006 e s.m.i, alla realizzazione di una piattaforma per attivit</w:t>
      </w:r>
      <w:r>
        <w:rPr>
          <w:rFonts w:hAnsi="Book Antiqua" w:hint="default"/>
          <w:rtl w:val="0"/>
          <w:lang w:val="it-IT"/>
        </w:rPr>
        <w:t xml:space="preserve">à </w:t>
      </w:r>
      <w:r>
        <w:rPr>
          <w:rFonts w:ascii="Book Antiqua"/>
          <w:rtl w:val="0"/>
          <w:lang w:val="it-IT"/>
        </w:rPr>
        <w:t xml:space="preserve">di trasferenza rifiuti urbani non differenziati (CER 20 03 01) e rifiuti ingombranti (CER 20 03 07) presso lo Stabilimento AMA di Ponte Malnome in Via B.L. Montel 61/63, Roma. </w:t>
      </w:r>
    </w:p>
    <w:p>
      <w:pPr>
        <w:pStyle w:val="Normal"/>
        <w:ind w:left="567" w:right="567" w:firstLine="0"/>
        <w:jc w:val="both"/>
        <w:rPr>
          <w:rFonts w:ascii="Book Antiqua" w:cs="Book Antiqua" w:hAnsi="Book Antiqua" w:eastAsia="Book Antiqua"/>
        </w:rPr>
      </w:pPr>
      <w:r>
        <w:rPr>
          <w:rFonts w:hAnsi="Book Antiqua" w:hint="default"/>
          <w:rtl w:val="0"/>
          <w:lang w:val="it-IT"/>
        </w:rPr>
        <w:t xml:space="preserve">• </w:t>
      </w:r>
      <w:r>
        <w:rPr>
          <w:rFonts w:ascii="Book Antiqua"/>
          <w:rtl w:val="0"/>
          <w:lang w:val="it-IT"/>
        </w:rPr>
        <w:t>Tale iter, a seguito di due sedute di Conferenze di Servizio tra AMA, regione Lazio, Roma Capitale, provincia di Roma, ARPA Lazio, ASL RM D tenutesi rispettivamente in data 30 gennaio 2014 e 8 luglio 2014 risulta ancora al momento non concluso e quindi tuttora aperto.</w:t>
      </w:r>
    </w:p>
    <w:p>
      <w:pPr>
        <w:pStyle w:val="Normal"/>
        <w:ind w:left="567" w:right="567" w:firstLine="0"/>
        <w:jc w:val="both"/>
        <w:rPr>
          <w:rFonts w:ascii="Book Antiqua" w:cs="Book Antiqua" w:hAnsi="Book Antiqua" w:eastAsia="Book Antiqua"/>
        </w:rPr>
      </w:pPr>
      <w:r>
        <w:rPr>
          <w:rFonts w:hAnsi="Book Antiqua" w:hint="default"/>
          <w:rtl w:val="0"/>
          <w:lang w:val="it-IT"/>
        </w:rPr>
        <w:t xml:space="preserve">• </w:t>
      </w:r>
      <w:r>
        <w:rPr>
          <w:rFonts w:ascii="Book Antiqua"/>
          <w:rtl w:val="0"/>
          <w:lang w:val="it-IT"/>
        </w:rPr>
        <w:t>L'istanza prevede la realizzazione della piattaforma di trasferenza e quindi l'autorizzazione all'esercizio della stessa (cod CER 200302, 200201, 200108, 150106) con annessa attivit</w:t>
      </w:r>
      <w:r>
        <w:rPr>
          <w:rFonts w:hAnsi="Book Antiqua" w:hint="default"/>
          <w:rtl w:val="0"/>
          <w:lang w:val="it-IT"/>
        </w:rPr>
        <w:t xml:space="preserve">à </w:t>
      </w:r>
      <w:r>
        <w:rPr>
          <w:rFonts w:ascii="Book Antiqua"/>
          <w:rtl w:val="0"/>
          <w:lang w:val="it-IT"/>
        </w:rPr>
        <w:t>di tritovagliatura per il codice CER 200301. La piattaforma sar</w:t>
      </w:r>
      <w:r>
        <w:rPr>
          <w:rFonts w:hAnsi="Book Antiqua" w:hint="default"/>
          <w:rtl w:val="0"/>
          <w:lang w:val="it-IT"/>
        </w:rPr>
        <w:t xml:space="preserve">à </w:t>
      </w:r>
      <w:r>
        <w:rPr>
          <w:rFonts w:ascii="Book Antiqua"/>
          <w:rtl w:val="0"/>
          <w:lang w:val="it-IT"/>
        </w:rPr>
        <w:t xml:space="preserve">ubicata all'interno dello stabilimento di Ponte Malnome in un capannone esistente da ristrutturare. </w:t>
      </w:r>
    </w:p>
    <w:p>
      <w:pPr>
        <w:pStyle w:val="Normal"/>
        <w:ind w:left="567" w:right="567" w:firstLine="0"/>
        <w:jc w:val="both"/>
        <w:rPr>
          <w:rFonts w:ascii="Book Antiqua" w:cs="Book Antiqua" w:hAnsi="Book Antiqua" w:eastAsia="Book Antiqua"/>
        </w:rPr>
      </w:pPr>
      <w:r>
        <w:rPr>
          <w:rFonts w:hAnsi="Book Antiqua" w:hint="default"/>
          <w:rtl w:val="0"/>
          <w:lang w:val="it-IT"/>
        </w:rPr>
        <w:t xml:space="preserve">• </w:t>
      </w:r>
      <w:r>
        <w:rPr>
          <w:rFonts w:ascii="Book Antiqua"/>
          <w:rtl w:val="0"/>
          <w:lang w:val="it-IT"/>
        </w:rPr>
        <w:t>Il progetto prevede la ristrutturazione edile del capannone con pareti perimetrali di contenimento e soletta armata, nonch</w:t>
      </w:r>
      <w:r>
        <w:rPr>
          <w:rFonts w:hAnsi="Book Antiqua" w:hint="default"/>
          <w:rtl w:val="0"/>
          <w:lang w:val="it-IT"/>
        </w:rPr>
        <w:t xml:space="preserve">é </w:t>
      </w:r>
      <w:r>
        <w:rPr>
          <w:rFonts w:ascii="Book Antiqua"/>
          <w:rtl w:val="0"/>
          <w:lang w:val="it-IT"/>
        </w:rPr>
        <w:t xml:space="preserve">lucernai semitrasparenti, canalette di raccolta liquidi di lavaggio, serbatoio di stoccaggio dei liquidi di lavaggio, rampa e baia di scarico mezzi, impianti elettrici, antincendio, trattamento aria. </w:t>
      </w: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sz w:val="28"/>
          <w:szCs w:val="28"/>
        </w:rPr>
      </w:pPr>
      <w:r>
        <w:rPr>
          <w:rFonts w:ascii="Book Antiqua"/>
          <w:sz w:val="28"/>
          <w:szCs w:val="28"/>
          <w:rtl w:val="0"/>
          <w:lang w:val="it-IT"/>
        </w:rPr>
        <w:t>2.2.2.7 In particolare: gli impianti per il trattamento dei rifiuti indifferenziati</w:t>
      </w:r>
    </w:p>
    <w:p>
      <w:pPr>
        <w:pStyle w:val="Normal"/>
        <w:ind w:left="567" w:right="567" w:firstLine="0"/>
        <w:jc w:val="both"/>
        <w:rPr>
          <w:rFonts w:ascii="Book Antiqua Bold" w:cs="Book Antiqua Bold" w:hAnsi="Book Antiqua Bold" w:eastAsia="Book Antiqua Bold"/>
          <w:b w:val="1"/>
          <w:bCs w:val="1"/>
          <w:u w:val="single"/>
        </w:rPr>
      </w:pPr>
    </w:p>
    <w:p>
      <w:pPr>
        <w:pStyle w:val="Normal"/>
        <w:ind w:left="567" w:right="567" w:firstLine="0"/>
        <w:jc w:val="both"/>
        <w:rPr>
          <w:rFonts w:ascii="Book Antiqua" w:cs="Book Antiqua" w:hAnsi="Book Antiqua" w:eastAsia="Book Antiqua"/>
        </w:rPr>
      </w:pPr>
      <w:r>
        <w:rPr>
          <w:rFonts w:ascii="Book Antiqua"/>
          <w:rtl w:val="0"/>
          <w:lang w:val="it-IT"/>
        </w:rPr>
        <w:t>Gli impianti di trattamento meccanico biologico, come si desume dall</w:t>
      </w:r>
      <w:r>
        <w:rPr>
          <w:rFonts w:hAnsi="Book Antiqua" w:hint="default"/>
          <w:rtl w:val="0"/>
          <w:lang w:val="it-IT"/>
        </w:rPr>
        <w:t>’</w:t>
      </w:r>
      <w:r>
        <w:rPr>
          <w:rFonts w:ascii="Book Antiqua"/>
          <w:rtl w:val="0"/>
          <w:lang w:val="it-IT"/>
        </w:rPr>
        <w:t>analisi sin qui effettuata, sono strategici nella gestione dei rifiuti di Roma. L</w:t>
      </w:r>
      <w:r>
        <w:rPr>
          <w:rFonts w:hAnsi="Book Antiqua" w:hint="default"/>
          <w:rtl w:val="0"/>
          <w:lang w:val="it-IT"/>
        </w:rPr>
        <w:t>’</w:t>
      </w:r>
      <w:r>
        <w:rPr>
          <w:rFonts w:ascii="Book Antiqua"/>
          <w:rtl w:val="0"/>
          <w:lang w:val="it-IT"/>
        </w:rPr>
        <w:t xml:space="preserve">andamento ovvero il funzionamento di questi TMB ha inciso notevolmente sulle varie crisi finanche gestionali che ha dovuto affrontare la Capitale.  </w:t>
      </w:r>
    </w:p>
    <w:p>
      <w:pPr>
        <w:pStyle w:val="Normal"/>
        <w:ind w:left="567" w:right="567" w:firstLine="0"/>
        <w:jc w:val="both"/>
        <w:rPr>
          <w:rFonts w:ascii="Book Antiqua" w:cs="Book Antiqua" w:hAnsi="Book Antiqua" w:eastAsia="Book Antiqua"/>
        </w:rPr>
      </w:pPr>
      <w:r>
        <w:rPr>
          <w:rFonts w:ascii="Book Antiqua"/>
          <w:rtl w:val="0"/>
          <w:lang w:val="it-IT"/>
        </w:rPr>
        <w:t xml:space="preserve">Infatti: </w:t>
      </w:r>
    </w:p>
    <w:p>
      <w:pPr>
        <w:pStyle w:val="Normal"/>
        <w:ind w:left="567" w:right="567" w:firstLine="0"/>
        <w:jc w:val="both"/>
        <w:rPr>
          <w:rFonts w:ascii="Book Antiqua" w:cs="Book Antiqua" w:hAnsi="Book Antiqua" w:eastAsia="Book Antiqua"/>
        </w:rPr>
      </w:pPr>
      <w:r>
        <w:rPr>
          <w:rFonts w:ascii="Book Antiqua"/>
          <w:rtl w:val="0"/>
          <w:lang w:val="it-IT"/>
        </w:rPr>
        <w:t>1) dall</w:t>
      </w:r>
      <w:r>
        <w:rPr>
          <w:rFonts w:hAnsi="Book Antiqua" w:hint="default"/>
          <w:rtl w:val="0"/>
          <w:lang w:val="it-IT"/>
        </w:rPr>
        <w:t>’</w:t>
      </w:r>
      <w:r>
        <w:rPr>
          <w:rFonts w:ascii="Book Antiqua"/>
          <w:rtl w:val="0"/>
          <w:lang w:val="it-IT"/>
        </w:rPr>
        <w:t xml:space="preserve">apertura della procedura di infrazione 2011/4021 fino alla chiusura della discarica di Malagrotta, si </w:t>
      </w:r>
      <w:r>
        <w:rPr>
          <w:rFonts w:hAnsi="Book Antiqua" w:hint="default"/>
          <w:rtl w:val="0"/>
          <w:lang w:val="it-IT"/>
        </w:rPr>
        <w:t xml:space="preserve">è </w:t>
      </w:r>
      <w:r>
        <w:rPr>
          <w:rFonts w:ascii="Book Antiqua"/>
          <w:rtl w:val="0"/>
          <w:lang w:val="it-IT"/>
        </w:rPr>
        <w:t>tentato di far andare a regime gli impianti al fine non smaltire pi</w:t>
      </w:r>
      <w:r>
        <w:rPr>
          <w:rFonts w:hAnsi="Book Antiqua" w:hint="default"/>
          <w:rtl w:val="0"/>
          <w:lang w:val="it-IT"/>
        </w:rPr>
        <w:t xml:space="preserve">ù </w:t>
      </w:r>
      <w:r>
        <w:rPr>
          <w:rFonts w:ascii="Book Antiqua"/>
          <w:rtl w:val="0"/>
          <w:lang w:val="it-IT"/>
        </w:rPr>
        <w:t>tal quale in discarica in ottemperanza a quanto stabilito dall</w:t>
      </w:r>
      <w:r>
        <w:rPr>
          <w:rFonts w:hAnsi="Book Antiqua" w:hint="default"/>
          <w:rtl w:val="0"/>
          <w:lang w:val="it-IT"/>
        </w:rPr>
        <w:t>’</w:t>
      </w:r>
      <w:r>
        <w:rPr>
          <w:rFonts w:ascii="Book Antiqua"/>
          <w:rtl w:val="0"/>
          <w:lang w:val="it-IT"/>
        </w:rPr>
        <w:t xml:space="preserve">articolo 6 della direttiva 1999/31/CE;  </w:t>
      </w:r>
    </w:p>
    <w:p>
      <w:pPr>
        <w:pStyle w:val="Normal"/>
        <w:ind w:left="567" w:right="567" w:firstLine="0"/>
        <w:jc w:val="both"/>
        <w:rPr>
          <w:rFonts w:ascii="Book Antiqua" w:cs="Book Antiqua" w:hAnsi="Book Antiqua" w:eastAsia="Book Antiqua"/>
        </w:rPr>
      </w:pPr>
      <w:r>
        <w:rPr>
          <w:rFonts w:ascii="Book Antiqua"/>
          <w:rtl w:val="0"/>
          <w:lang w:val="it-IT"/>
        </w:rPr>
        <w:t xml:space="preserve">2) dalla chiusura della discarica di Malagrotta ad oggi si </w:t>
      </w:r>
      <w:r>
        <w:rPr>
          <w:rFonts w:hAnsi="Book Antiqua" w:hint="default"/>
          <w:rtl w:val="0"/>
          <w:lang w:val="it-IT"/>
        </w:rPr>
        <w:t xml:space="preserve">è </w:t>
      </w:r>
      <w:r>
        <w:rPr>
          <w:rFonts w:ascii="Book Antiqua"/>
          <w:rtl w:val="0"/>
          <w:lang w:val="it-IT"/>
        </w:rPr>
        <w:t>tentato di portare a regime gli impianti poich</w:t>
      </w:r>
      <w:r>
        <w:rPr>
          <w:rFonts w:hAnsi="Book Antiqua" w:hint="default"/>
          <w:rtl w:val="0"/>
          <w:lang w:val="it-IT"/>
        </w:rPr>
        <w:t xml:space="preserve">é </w:t>
      </w:r>
      <w:r>
        <w:rPr>
          <w:rFonts w:ascii="Book Antiqua"/>
          <w:rtl w:val="0"/>
          <w:lang w:val="it-IT"/>
        </w:rPr>
        <w:t xml:space="preserve">i rifiuti indifferenziati devono essere interamente trattati prima di poter essere smaltiti ovvero inceneriti in siti extra regionali, e solo attraverso la loro lavorazione nei TMB questi rifiuti acquistano la catalogazione di speciali (FOS, CDR, scarti), </w:t>
      </w:r>
      <w:r>
        <w:rPr>
          <w:rFonts w:hAnsi="Book Antiqua" w:hint="default"/>
          <w:rtl w:val="0"/>
          <w:lang w:val="it-IT"/>
        </w:rPr>
        <w:t>“</w:t>
      </w:r>
      <w:r>
        <w:rPr>
          <w:rFonts w:ascii="Book Antiqua"/>
          <w:rtl w:val="0"/>
          <w:lang w:val="it-IT"/>
        </w:rPr>
        <w:t>status</w:t>
      </w:r>
      <w:r>
        <w:rPr>
          <w:rFonts w:hAnsi="Book Antiqua" w:hint="default"/>
          <w:rtl w:val="0"/>
          <w:lang w:val="it-IT"/>
        </w:rPr>
        <w:t xml:space="preserve">” </w:t>
      </w:r>
      <w:r>
        <w:rPr>
          <w:rFonts w:ascii="Book Antiqua"/>
          <w:rtl w:val="0"/>
          <w:lang w:val="it-IT"/>
        </w:rPr>
        <w:t xml:space="preserve">giuridico che consente ai rifiuti di poter essere trasportati liberamente per tutta la Penisola attraverso </w:t>
      </w:r>
      <w:r>
        <w:rPr>
          <w:rFonts w:hAnsi="Book Antiqua" w:hint="default"/>
          <w:rtl w:val="0"/>
          <w:lang w:val="it-IT"/>
        </w:rPr>
        <w:t>“</w:t>
      </w:r>
      <w:r>
        <w:rPr>
          <w:rFonts w:ascii="Book Antiqua"/>
          <w:rtl w:val="0"/>
          <w:lang w:val="it-IT"/>
        </w:rPr>
        <w:t>semplici</w:t>
      </w:r>
      <w:r>
        <w:rPr>
          <w:rFonts w:hAnsi="Book Antiqua" w:hint="default"/>
          <w:rtl w:val="0"/>
          <w:lang w:val="it-IT"/>
        </w:rPr>
        <w:t xml:space="preserve">” </w:t>
      </w:r>
      <w:r>
        <w:rPr>
          <w:rFonts w:ascii="Book Antiqua"/>
          <w:rtl w:val="0"/>
          <w:lang w:val="it-IT"/>
        </w:rPr>
        <w:t xml:space="preserve">contratti e/o accordi tra aziende. </w:t>
      </w:r>
    </w:p>
    <w:p>
      <w:pPr>
        <w:pStyle w:val="Normal"/>
        <w:ind w:left="567" w:right="567" w:firstLine="0"/>
        <w:jc w:val="both"/>
        <w:rPr>
          <w:rFonts w:ascii="Book Antiqua" w:cs="Book Antiqua" w:hAnsi="Book Antiqua" w:eastAsia="Book Antiqua"/>
        </w:rPr>
      </w:pPr>
      <w:r>
        <w:rPr>
          <w:rFonts w:ascii="Book Antiqua"/>
          <w:rtl w:val="0"/>
          <w:lang w:val="it-IT"/>
        </w:rPr>
        <w:t xml:space="preserve">Quindi questo passaggio </w:t>
      </w:r>
      <w:r>
        <w:rPr>
          <w:rFonts w:hAnsi="Book Antiqua" w:hint="default"/>
          <w:rtl w:val="0"/>
          <w:lang w:val="it-IT"/>
        </w:rPr>
        <w:t xml:space="preserve">– </w:t>
      </w:r>
      <w:r>
        <w:rPr>
          <w:rFonts w:ascii="Book Antiqua"/>
          <w:rtl w:val="0"/>
          <w:lang w:val="it-IT"/>
        </w:rPr>
        <w:t>alle condizioni date, ossia di non disponibilit</w:t>
      </w:r>
      <w:r>
        <w:rPr>
          <w:rFonts w:hAnsi="Book Antiqua" w:hint="default"/>
          <w:rtl w:val="0"/>
          <w:lang w:val="it-IT"/>
        </w:rPr>
        <w:t xml:space="preserve">à </w:t>
      </w:r>
      <w:r>
        <w:rPr>
          <w:rFonts w:ascii="Book Antiqua"/>
          <w:rtl w:val="0"/>
          <w:lang w:val="it-IT"/>
        </w:rPr>
        <w:t>di discariche al servizio di Roma ubicate nel territorio della regione</w:t>
      </w:r>
      <w:r>
        <w:rPr>
          <w:rFonts w:hAnsi="Book Antiqua" w:hint="default"/>
          <w:rtl w:val="0"/>
          <w:lang w:val="it-IT"/>
        </w:rPr>
        <w:t xml:space="preserve">  – </w:t>
      </w:r>
      <w:r>
        <w:rPr>
          <w:rFonts w:ascii="Book Antiqua"/>
          <w:rtl w:val="0"/>
          <w:lang w:val="it-IT"/>
        </w:rPr>
        <w:t>diventa fondamentale poich</w:t>
      </w:r>
      <w:r>
        <w:rPr>
          <w:rFonts w:hAnsi="Book Antiqua" w:hint="default"/>
          <w:rtl w:val="0"/>
          <w:lang w:val="it-IT"/>
        </w:rPr>
        <w:t xml:space="preserve">é </w:t>
      </w:r>
      <w:r>
        <w:rPr>
          <w:rFonts w:ascii="Book Antiqua"/>
          <w:rtl w:val="0"/>
          <w:lang w:val="it-IT"/>
        </w:rPr>
        <w:t>per portare i rifiuti indifferenziati (CER 200301) fuori il territorio del Lazio c</w:t>
      </w:r>
      <w:r>
        <w:rPr>
          <w:rFonts w:hAnsi="Book Antiqua" w:hint="default"/>
          <w:rtl w:val="0"/>
          <w:lang w:val="it-IT"/>
        </w:rPr>
        <w:t xml:space="preserve">’è </w:t>
      </w:r>
      <w:r>
        <w:rPr>
          <w:rFonts w:ascii="Book Antiqua"/>
          <w:rtl w:val="0"/>
          <w:lang w:val="it-IT"/>
        </w:rPr>
        <w:t>bisogno di (improbabili) accordi regionali. Di qui la centralit</w:t>
      </w:r>
      <w:r>
        <w:rPr>
          <w:rFonts w:hAnsi="Book Antiqua" w:hint="default"/>
          <w:rtl w:val="0"/>
          <w:lang w:val="it-IT"/>
        </w:rPr>
        <w:t xml:space="preserve">à </w:t>
      </w:r>
      <w:r>
        <w:rPr>
          <w:rFonts w:ascii="Book Antiqua"/>
          <w:rtl w:val="0"/>
          <w:lang w:val="it-IT"/>
        </w:rPr>
        <w:t xml:space="preserve">degli impianti e le conseguenti crisi quando non lavorano a regime. </w:t>
      </w:r>
    </w:p>
    <w:p>
      <w:pPr>
        <w:pStyle w:val="Normal"/>
        <w:ind w:left="567" w:right="567" w:firstLine="0"/>
        <w:jc w:val="both"/>
        <w:rPr>
          <w:rFonts w:ascii="Book Antiqua" w:cs="Book Antiqua" w:hAnsi="Book Antiqua" w:eastAsia="Book Antiqua"/>
        </w:rPr>
      </w:pPr>
      <w:r>
        <w:rPr>
          <w:rFonts w:ascii="Book Antiqua"/>
          <w:rtl w:val="0"/>
          <w:lang w:val="it-IT"/>
        </w:rPr>
        <w:t xml:space="preserve">Appare evidente che questi impianti hanno </w:t>
      </w:r>
      <w:r>
        <w:rPr>
          <w:rFonts w:hAnsi="Book Antiqua" w:hint="default"/>
          <w:rtl w:val="0"/>
          <w:lang w:val="it-IT"/>
        </w:rPr>
        <w:t xml:space="preserve">– </w:t>
      </w:r>
      <w:r>
        <w:rPr>
          <w:rFonts w:ascii="Book Antiqua"/>
          <w:rtl w:val="0"/>
          <w:lang w:val="it-IT"/>
        </w:rPr>
        <w:t xml:space="preserve">e continuano ad avere </w:t>
      </w:r>
      <w:r>
        <w:rPr>
          <w:rFonts w:hAnsi="Book Antiqua" w:hint="default"/>
          <w:rtl w:val="0"/>
          <w:lang w:val="it-IT"/>
        </w:rPr>
        <w:t xml:space="preserve">– </w:t>
      </w:r>
      <w:r>
        <w:rPr>
          <w:rFonts w:ascii="Book Antiqua"/>
          <w:rtl w:val="0"/>
          <w:lang w:val="it-IT"/>
        </w:rPr>
        <w:t xml:space="preserve">un ruolo centrale sia per la scelta </w:t>
      </w:r>
      <w:r>
        <w:rPr>
          <w:rFonts w:hAnsi="Book Antiqua" w:hint="default"/>
          <w:rtl w:val="0"/>
          <w:lang w:val="it-IT"/>
        </w:rPr>
        <w:t>“</w:t>
      </w:r>
      <w:r>
        <w:rPr>
          <w:rFonts w:ascii="Book Antiqua"/>
          <w:rtl w:val="0"/>
          <w:lang w:val="it-IT"/>
        </w:rPr>
        <w:t>storica</w:t>
      </w:r>
      <w:r>
        <w:rPr>
          <w:rFonts w:hAnsi="Book Antiqua" w:hint="default"/>
          <w:rtl w:val="0"/>
          <w:lang w:val="it-IT"/>
        </w:rPr>
        <w:t xml:space="preserve">” </w:t>
      </w:r>
      <w:r>
        <w:rPr>
          <w:rFonts w:ascii="Book Antiqua"/>
          <w:rtl w:val="0"/>
          <w:lang w:val="it-IT"/>
        </w:rPr>
        <w:t>di prevederli come una delle componenti dell</w:t>
      </w:r>
      <w:r>
        <w:rPr>
          <w:rFonts w:hAnsi="Book Antiqua" w:hint="default"/>
          <w:rtl w:val="0"/>
          <w:lang w:val="it-IT"/>
        </w:rPr>
        <w:t>’</w:t>
      </w:r>
      <w:r>
        <w:rPr>
          <w:rFonts w:ascii="Book Antiqua"/>
          <w:rtl w:val="0"/>
          <w:lang w:val="it-IT"/>
        </w:rPr>
        <w:t>intera filiera, sia perch</w:t>
      </w:r>
      <w:r>
        <w:rPr>
          <w:rFonts w:hAnsi="Book Antiqua" w:hint="default"/>
          <w:rtl w:val="0"/>
          <w:lang w:val="it-IT"/>
        </w:rPr>
        <w:t xml:space="preserve">é </w:t>
      </w:r>
      <w:r>
        <w:rPr>
          <w:rFonts w:ascii="Book Antiqua"/>
          <w:rtl w:val="0"/>
          <w:lang w:val="it-IT"/>
        </w:rPr>
        <w:t>a Roma la quantit</w:t>
      </w:r>
      <w:r>
        <w:rPr>
          <w:rFonts w:hAnsi="Book Antiqua" w:hint="default"/>
          <w:rtl w:val="0"/>
          <w:lang w:val="it-IT"/>
        </w:rPr>
        <w:t xml:space="preserve">à </w:t>
      </w:r>
      <w:r>
        <w:rPr>
          <w:rFonts w:ascii="Book Antiqua"/>
          <w:rtl w:val="0"/>
          <w:lang w:val="it-IT"/>
        </w:rPr>
        <w:t xml:space="preserve">di rifiuto indifferenziato </w:t>
      </w:r>
      <w:r>
        <w:rPr>
          <w:rFonts w:hAnsi="Book Antiqua" w:hint="default"/>
          <w:rtl w:val="0"/>
          <w:lang w:val="it-IT"/>
        </w:rPr>
        <w:t xml:space="preserve">è </w:t>
      </w:r>
      <w:r>
        <w:rPr>
          <w:rFonts w:ascii="Book Antiqua"/>
          <w:rtl w:val="0"/>
          <w:lang w:val="it-IT"/>
        </w:rPr>
        <w:t>quella predominante. E</w:t>
      </w:r>
      <w:r>
        <w:rPr>
          <w:rFonts w:hAnsi="Book Antiqua" w:hint="default"/>
          <w:rtl w:val="0"/>
          <w:lang w:val="it-IT"/>
        </w:rPr>
        <w:t xml:space="preserve">’ </w:t>
      </w:r>
      <w:r>
        <w:rPr>
          <w:rFonts w:ascii="Book Antiqua"/>
          <w:rtl w:val="0"/>
          <w:lang w:val="it-IT"/>
        </w:rPr>
        <w:t>lapalissiano ricordare come l</w:t>
      </w:r>
      <w:r>
        <w:rPr>
          <w:rFonts w:hAnsi="Book Antiqua" w:hint="default"/>
          <w:rtl w:val="0"/>
          <w:lang w:val="it-IT"/>
        </w:rPr>
        <w:t>’</w:t>
      </w:r>
      <w:r>
        <w:rPr>
          <w:rFonts w:ascii="Book Antiqua"/>
          <w:rtl w:val="0"/>
          <w:lang w:val="it-IT"/>
        </w:rPr>
        <w:t xml:space="preserve">importanza degli impianti di trattamento sia inversamente proporzionale alla crescita della raccolta differenziata. </w:t>
      </w:r>
    </w:p>
    <w:p>
      <w:pPr>
        <w:pStyle w:val="Normal"/>
        <w:ind w:left="567" w:right="567" w:firstLine="0"/>
        <w:jc w:val="both"/>
        <w:rPr>
          <w:rFonts w:ascii="Book Antiqua" w:cs="Book Antiqua" w:hAnsi="Book Antiqua" w:eastAsia="Book Antiqua"/>
        </w:rPr>
      </w:pPr>
      <w:r>
        <w:rPr>
          <w:rFonts w:ascii="Book Antiqua"/>
          <w:rtl w:val="0"/>
          <w:lang w:val="it-IT"/>
        </w:rPr>
        <w:t>In generale la capacit</w:t>
      </w:r>
      <w:r>
        <w:rPr>
          <w:rFonts w:hAnsi="Book Antiqua" w:hint="default"/>
          <w:rtl w:val="0"/>
          <w:lang w:val="it-IT"/>
        </w:rPr>
        <w:t xml:space="preserve">à </w:t>
      </w:r>
      <w:r>
        <w:rPr>
          <w:rFonts w:ascii="Book Antiqua"/>
          <w:rtl w:val="0"/>
          <w:lang w:val="it-IT"/>
        </w:rPr>
        <w:t>nominale sulla quale sono autorizzati gli impianti di Tmb si calcola su 312 giorni di esercizio, cio</w:t>
      </w:r>
      <w:r>
        <w:rPr>
          <w:rFonts w:hAnsi="Book Antiqua" w:hint="default"/>
          <w:rtl w:val="0"/>
          <w:lang w:val="it-IT"/>
        </w:rPr>
        <w:t xml:space="preserve">è </w:t>
      </w:r>
      <w:r>
        <w:rPr>
          <w:rFonts w:ascii="Book Antiqua"/>
          <w:rtl w:val="0"/>
          <w:lang w:val="it-IT"/>
        </w:rPr>
        <w:t>tutti i giorni dell</w:t>
      </w:r>
      <w:r>
        <w:rPr>
          <w:rFonts w:hAnsi="Book Antiqua" w:hint="default"/>
          <w:rtl w:val="0"/>
          <w:lang w:val="it-IT"/>
        </w:rPr>
        <w:t>’</w:t>
      </w:r>
      <w:r>
        <w:rPr>
          <w:rFonts w:ascii="Book Antiqua"/>
          <w:rtl w:val="0"/>
          <w:lang w:val="it-IT"/>
        </w:rPr>
        <w:t>anno, escluse le domeniche ed al netto delle eventuali esigenze di attivit</w:t>
      </w:r>
      <w:r>
        <w:rPr>
          <w:rFonts w:hAnsi="Book Antiqua" w:hint="default"/>
          <w:rtl w:val="0"/>
          <w:lang w:val="it-IT"/>
        </w:rPr>
        <w:t xml:space="preserve">à </w:t>
      </w:r>
      <w:r>
        <w:rPr>
          <w:rFonts w:ascii="Book Antiqua"/>
          <w:rtl w:val="0"/>
          <w:lang w:val="it-IT"/>
        </w:rPr>
        <w:t>di manutenzione sulle parti dell</w:t>
      </w:r>
      <w:r>
        <w:rPr>
          <w:rFonts w:hAnsi="Book Antiqua" w:hint="default"/>
          <w:rtl w:val="0"/>
          <w:lang w:val="it-IT"/>
        </w:rPr>
        <w:t>’</w:t>
      </w:r>
      <w:r>
        <w:rPr>
          <w:rFonts w:ascii="Book Antiqua"/>
          <w:rtl w:val="0"/>
          <w:lang w:val="it-IT"/>
        </w:rPr>
        <w:t>impianti a maggior tasso di usura (es: linea di stabilizzazione, sistema di produzione CDR, componenti elettromagnetiche) che non possono essere effettuate all</w:t>
      </w:r>
      <w:r>
        <w:rPr>
          <w:rFonts w:hAnsi="Book Antiqua" w:hint="default"/>
          <w:rtl w:val="0"/>
          <w:lang w:val="it-IT"/>
        </w:rPr>
        <w:t>’</w:t>
      </w:r>
      <w:r>
        <w:rPr>
          <w:rFonts w:ascii="Book Antiqua"/>
          <w:rtl w:val="0"/>
          <w:lang w:val="it-IT"/>
        </w:rPr>
        <w:t>interno dei turni di manutenzione ordinaria giornaliera o delle domeniche, ma che richiedono la sospensione dell</w:t>
      </w:r>
      <w:r>
        <w:rPr>
          <w:rFonts w:hAnsi="Book Antiqua" w:hint="default"/>
          <w:rtl w:val="0"/>
          <w:lang w:val="it-IT"/>
        </w:rPr>
        <w:t>’</w:t>
      </w:r>
      <w:r>
        <w:rPr>
          <w:rFonts w:ascii="Book Antiqua"/>
          <w:rtl w:val="0"/>
          <w:lang w:val="it-IT"/>
        </w:rPr>
        <w:t>attivit</w:t>
      </w:r>
      <w:r>
        <w:rPr>
          <w:rFonts w:hAnsi="Book Antiqua" w:hint="default"/>
          <w:rtl w:val="0"/>
          <w:lang w:val="it-IT"/>
        </w:rPr>
        <w:t xml:space="preserve">à </w:t>
      </w:r>
      <w:r>
        <w:rPr>
          <w:rFonts w:ascii="Book Antiqua"/>
          <w:rtl w:val="0"/>
          <w:lang w:val="it-IT"/>
        </w:rPr>
        <w:t>di trattamento per pi</w:t>
      </w:r>
      <w:r>
        <w:rPr>
          <w:rFonts w:hAnsi="Book Antiqua" w:hint="default"/>
          <w:rtl w:val="0"/>
          <w:lang w:val="it-IT"/>
        </w:rPr>
        <w:t xml:space="preserve">ù </w:t>
      </w:r>
      <w:r>
        <w:rPr>
          <w:rFonts w:ascii="Book Antiqua"/>
          <w:rtl w:val="0"/>
          <w:lang w:val="it-IT"/>
        </w:rPr>
        <w:t>giornate consecutive, stimate in circa 30 giorni/anno. Dunque, ipotizzando per semplicit</w:t>
      </w:r>
      <w:r>
        <w:rPr>
          <w:rFonts w:hAnsi="Book Antiqua" w:hint="default"/>
          <w:rtl w:val="0"/>
          <w:lang w:val="it-IT"/>
        </w:rPr>
        <w:t xml:space="preserve">à </w:t>
      </w:r>
      <w:r>
        <w:rPr>
          <w:rFonts w:ascii="Book Antiqua"/>
          <w:rtl w:val="0"/>
          <w:lang w:val="it-IT"/>
        </w:rPr>
        <w:t>identici parametri per i due impianti di Malagrotta 1 e Malagrotta 2, la capacit</w:t>
      </w:r>
      <w:r>
        <w:rPr>
          <w:rFonts w:hAnsi="Book Antiqua" w:hint="default"/>
          <w:rtl w:val="0"/>
          <w:lang w:val="it-IT"/>
        </w:rPr>
        <w:t xml:space="preserve">à </w:t>
      </w:r>
      <w:r>
        <w:rPr>
          <w:rFonts w:ascii="Book Antiqua"/>
          <w:rtl w:val="0"/>
          <w:lang w:val="it-IT"/>
        </w:rPr>
        <w:t xml:space="preserve">complessiva di trattamento dei TMB disponibili per Roma Capitale, </w:t>
      </w:r>
      <w:r>
        <w:rPr>
          <w:rFonts w:hAnsi="Book Antiqua" w:hint="default"/>
          <w:rtl w:val="0"/>
          <w:lang w:val="it-IT"/>
        </w:rPr>
        <w:t xml:space="preserve">è </w:t>
      </w:r>
      <w:r>
        <w:rPr>
          <w:rFonts w:ascii="Book Antiqua"/>
          <w:rtl w:val="0"/>
          <w:lang w:val="it-IT"/>
        </w:rPr>
        <w:t>stimabile tra 2.697 t/g (capacit</w:t>
      </w:r>
      <w:r>
        <w:rPr>
          <w:rFonts w:hAnsi="Book Antiqua" w:hint="default"/>
          <w:rtl w:val="0"/>
          <w:lang w:val="it-IT"/>
        </w:rPr>
        <w:t xml:space="preserve">à </w:t>
      </w:r>
      <w:r>
        <w:rPr>
          <w:rFonts w:ascii="Book Antiqua"/>
          <w:rtl w:val="0"/>
          <w:lang w:val="it-IT"/>
        </w:rPr>
        <w:t>tecnica) e 3.000 t/g (capacit</w:t>
      </w:r>
      <w:r>
        <w:rPr>
          <w:rFonts w:hAnsi="Book Antiqua" w:hint="default"/>
          <w:rtl w:val="0"/>
          <w:lang w:val="it-IT"/>
        </w:rPr>
        <w:t xml:space="preserve">à </w:t>
      </w:r>
      <w:r>
        <w:rPr>
          <w:rFonts w:ascii="Book Antiqua"/>
          <w:rtl w:val="0"/>
          <w:lang w:val="it-IT"/>
        </w:rPr>
        <w:t>nominale autorizzata). Nello specifico gli impianti TMB di AMA S.p.A. risultano operare in ottemperanza alle autorizzazioni rilasciate dalla regione Lazio, autorit</w:t>
      </w:r>
      <w:r>
        <w:rPr>
          <w:rFonts w:hAnsi="Book Antiqua" w:hint="default"/>
          <w:rtl w:val="0"/>
          <w:lang w:val="it-IT"/>
        </w:rPr>
        <w:t xml:space="preserve">à </w:t>
      </w:r>
      <w:r>
        <w:rPr>
          <w:rFonts w:ascii="Book Antiqua"/>
          <w:rtl w:val="0"/>
          <w:lang w:val="it-IT"/>
        </w:rPr>
        <w:t>competente in materia, nelle quali sono stabilite, tra l</w:t>
      </w:r>
      <w:r>
        <w:rPr>
          <w:rFonts w:hAnsi="Book Antiqua" w:hint="default"/>
          <w:rtl w:val="0"/>
          <w:lang w:val="it-IT"/>
        </w:rPr>
        <w:t>’</w:t>
      </w:r>
      <w:r>
        <w:rPr>
          <w:rFonts w:ascii="Book Antiqua"/>
          <w:rtl w:val="0"/>
          <w:lang w:val="it-IT"/>
        </w:rPr>
        <w:t>altro, sia la capacit</w:t>
      </w:r>
      <w:r>
        <w:rPr>
          <w:rFonts w:hAnsi="Book Antiqua" w:hint="default"/>
          <w:rtl w:val="0"/>
          <w:lang w:val="it-IT"/>
        </w:rPr>
        <w:t xml:space="preserve">à </w:t>
      </w:r>
      <w:r>
        <w:rPr>
          <w:rFonts w:ascii="Book Antiqua"/>
          <w:rtl w:val="0"/>
          <w:lang w:val="it-IT"/>
        </w:rPr>
        <w:t>nominale complessiva di trattamento annuo pari a 234.000 tonnellate/anno , che la capacit</w:t>
      </w:r>
      <w:r>
        <w:rPr>
          <w:rFonts w:hAnsi="Book Antiqua" w:hint="default"/>
          <w:rtl w:val="0"/>
          <w:lang w:val="it-IT"/>
        </w:rPr>
        <w:t xml:space="preserve">à </w:t>
      </w:r>
      <w:r>
        <w:rPr>
          <w:rFonts w:ascii="Book Antiqua"/>
          <w:rtl w:val="0"/>
          <w:lang w:val="it-IT"/>
        </w:rPr>
        <w:t xml:space="preserve">massima di trattamento giornaliero pari a 750 t/g, speculari per ciascun impianto. </w:t>
      </w:r>
    </w:p>
    <w:p>
      <w:pPr>
        <w:pStyle w:val="Normal"/>
        <w:ind w:left="567" w:right="567" w:firstLine="0"/>
        <w:jc w:val="both"/>
        <w:rPr>
          <w:rFonts w:ascii="Book Antiqua" w:cs="Book Antiqua" w:hAnsi="Book Antiqua" w:eastAsia="Book Antiqua"/>
        </w:rPr>
      </w:pPr>
      <w:r>
        <w:rPr>
          <w:rFonts w:ascii="Book Antiqua"/>
          <w:rtl w:val="0"/>
          <w:lang w:val="it-IT"/>
        </w:rPr>
        <w:t xml:space="preserve">La produzione di rifiuti indifferenziati a Roma </w:t>
      </w:r>
      <w:r>
        <w:rPr>
          <w:rFonts w:hAnsi="Book Antiqua" w:hint="default"/>
          <w:rtl w:val="0"/>
          <w:lang w:val="it-IT"/>
        </w:rPr>
        <w:t xml:space="preserve">è </w:t>
      </w:r>
      <w:r>
        <w:rPr>
          <w:rFonts w:ascii="Book Antiqua"/>
          <w:rtl w:val="0"/>
          <w:lang w:val="it-IT"/>
        </w:rPr>
        <w:t>stata sempre superiore alle 3.000 t/g ossia maggiore della capacit</w:t>
      </w:r>
      <w:r>
        <w:rPr>
          <w:rFonts w:hAnsi="Book Antiqua" w:hint="default"/>
          <w:rtl w:val="0"/>
          <w:lang w:val="it-IT"/>
        </w:rPr>
        <w:t xml:space="preserve">à </w:t>
      </w:r>
      <w:r>
        <w:rPr>
          <w:rFonts w:ascii="Book Antiqua"/>
          <w:rtl w:val="0"/>
          <w:lang w:val="it-IT"/>
        </w:rPr>
        <w:t xml:space="preserve">tecnica (2.697 t/g) dei quattro impianti TMB. Questo fatto ha causato non pochi problemi sia prima che dopo la chiusura della discarica di Malagrotta. </w:t>
      </w:r>
    </w:p>
    <w:p>
      <w:pPr>
        <w:pStyle w:val="Normal"/>
        <w:ind w:left="567" w:right="567" w:firstLine="0"/>
        <w:jc w:val="both"/>
        <w:rPr>
          <w:rFonts w:ascii="Book Antiqua" w:cs="Book Antiqua" w:hAnsi="Book Antiqua" w:eastAsia="Book Antiqua"/>
        </w:rPr>
      </w:pPr>
      <w:r>
        <w:rPr>
          <w:rFonts w:ascii="Book Antiqua"/>
          <w:rtl w:val="0"/>
          <w:lang w:val="it-IT"/>
        </w:rPr>
        <w:t>Vediamo nello specifico il funzionamento di questi impianti suddividendo i periodi in due fasi: la prima fase che va dall</w:t>
      </w:r>
      <w:r>
        <w:rPr>
          <w:rFonts w:hAnsi="Book Antiqua" w:hint="default"/>
          <w:rtl w:val="0"/>
          <w:lang w:val="it-IT"/>
        </w:rPr>
        <w:t>’</w:t>
      </w:r>
      <w:r>
        <w:rPr>
          <w:rFonts w:ascii="Book Antiqua"/>
          <w:rtl w:val="0"/>
          <w:lang w:val="it-IT"/>
        </w:rPr>
        <w:t>apertura della procedura di infrazione 2011/2041 alla chiusura di Malagrotta, e la seconda fase che riguarda il periodo dalla chiusura della discarica ad oggi.</w:t>
      </w:r>
    </w:p>
    <w:p>
      <w:pPr>
        <w:pStyle w:val="Normal"/>
        <w:ind w:left="567" w:right="567" w:firstLine="0"/>
        <w:jc w:val="both"/>
        <w:rPr>
          <w:rFonts w:ascii="Book Antiqua" w:cs="Book Antiqua" w:hAnsi="Book Antiqua" w:eastAsia="Book Antiqua"/>
        </w:rPr>
      </w:pPr>
      <w:r>
        <w:rPr>
          <w:rFonts w:ascii="Book Antiqua"/>
          <w:rtl w:val="0"/>
          <w:lang w:val="it-IT"/>
        </w:rPr>
        <w:t>Come detto in precedenza, il contenzioso aperto dalla Commissione europea riguardava il mancato trattamento dei rifiuti che venivano smaltiti nell</w:t>
      </w:r>
      <w:r>
        <w:rPr>
          <w:rFonts w:hAnsi="Book Antiqua" w:hint="default"/>
          <w:rtl w:val="0"/>
          <w:lang w:val="it-IT"/>
        </w:rPr>
        <w:t>’</w:t>
      </w:r>
      <w:r>
        <w:rPr>
          <w:rFonts w:ascii="Book Antiqua"/>
          <w:rtl w:val="0"/>
          <w:lang w:val="it-IT"/>
        </w:rPr>
        <w:t xml:space="preserve">invaso ubicato nella Valle Galeria. </w:t>
      </w:r>
    </w:p>
    <w:p>
      <w:pPr>
        <w:pStyle w:val="Normal"/>
        <w:ind w:left="567" w:right="567" w:firstLine="0"/>
        <w:jc w:val="both"/>
        <w:rPr>
          <w:rFonts w:ascii="Book Antiqua" w:cs="Book Antiqua" w:hAnsi="Book Antiqua" w:eastAsia="Book Antiqua"/>
        </w:rPr>
      </w:pPr>
      <w:r>
        <w:rPr>
          <w:rFonts w:ascii="Book Antiqua"/>
          <w:rtl w:val="0"/>
          <w:lang w:val="it-IT"/>
        </w:rPr>
        <w:t>La tabella che segue</w:t>
      </w:r>
      <w:r>
        <w:rPr>
          <w:rFonts w:ascii="Book Antiqua" w:cs="Book Antiqua" w:hAnsi="Book Antiqua" w:eastAsia="Book Antiqua"/>
          <w:vertAlign w:val="superscript"/>
          <w:rtl w:val="0"/>
        </w:rPr>
        <w:footnoteReference w:id="39"/>
      </w:r>
      <w:r>
        <w:rPr>
          <w:rFonts w:ascii="Book Antiqua"/>
          <w:rtl w:val="0"/>
          <w:lang w:val="it-IT"/>
        </w:rPr>
        <w:t xml:space="preserve"> mostra i dati del 2010, che hanno giustificato l</w:t>
      </w:r>
      <w:r>
        <w:rPr>
          <w:rFonts w:hAnsi="Book Antiqua" w:hint="default"/>
          <w:rtl w:val="0"/>
          <w:lang w:val="it-IT"/>
        </w:rPr>
        <w:t>’</w:t>
      </w:r>
      <w:r>
        <w:rPr>
          <w:rFonts w:ascii="Book Antiqua"/>
          <w:rtl w:val="0"/>
          <w:lang w:val="it-IT"/>
        </w:rPr>
        <w:t>intervento per violazione dell</w:t>
      </w:r>
      <w:r>
        <w:rPr>
          <w:rFonts w:hAnsi="Book Antiqua" w:hint="default"/>
          <w:rtl w:val="0"/>
          <w:lang w:val="it-IT"/>
        </w:rPr>
        <w:t>’</w:t>
      </w:r>
      <w:r>
        <w:rPr>
          <w:rFonts w:ascii="Book Antiqua"/>
          <w:rtl w:val="0"/>
          <w:lang w:val="it-IT"/>
        </w:rPr>
        <w:t>articolo 6 Direttiva 1999/31/CE</w:t>
      </w:r>
    </w:p>
    <w:p>
      <w:pPr>
        <w:pStyle w:val="Normal"/>
        <w:ind w:left="567" w:right="567" w:firstLine="0"/>
        <w:jc w:val="both"/>
        <w:rPr>
          <w:rFonts w:ascii="Book Antiqua" w:cs="Book Antiqua" w:hAnsi="Book Antiqua" w:eastAsia="Book Antiqua"/>
        </w:rPr>
      </w:pPr>
    </w:p>
    <w:tbl>
      <w:tblPr>
        <w:tblW w:w="7938" w:type="dxa"/>
        <w:jc w:val="left"/>
        <w:tblInd w:w="783" w:type="dxa"/>
        <w:tblBorders>
          <w:top w:val="single" w:color="000000" w:sz="2" w:space="0" w:shadow="0" w:frame="0"/>
          <w:left w:val="single" w:color="000000" w:sz="2" w:space="0" w:shadow="0" w:frame="0"/>
          <w:bottom w:val="single" w:color="000000" w:sz="2" w:space="0" w:shadow="0" w:frame="0"/>
          <w:right w:val="single" w:color="000000" w:sz="2" w:space="0" w:shadow="0" w:frame="0"/>
          <w:insideH w:val="single" w:color="000000" w:sz="2" w:space="0" w:shadow="0" w:frame="0"/>
          <w:insideV w:val="single" w:color="000000" w:sz="2" w:space="0" w:shadow="0" w:frame="0"/>
        </w:tblBorders>
        <w:shd w:val="clear" w:color="auto" w:fill="auto"/>
        <w:tblLayout w:type="fixed"/>
      </w:tblPr>
      <w:tblGrid>
        <w:gridCol w:w="4395"/>
        <w:gridCol w:w="3543"/>
      </w:tblGrid>
      <w:tr>
        <w:tblPrEx>
          <w:shd w:val="clear" w:color="auto" w:fill="auto"/>
        </w:tblPrEx>
        <w:trPr>
          <w:trHeight w:val="250" w:hRule="atLeast"/>
        </w:trPr>
        <w:tc>
          <w:tcPr>
            <w:tcW w:type="dxa" w:w="43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
              <w:jc w:val="both"/>
            </w:pPr>
            <w:r>
              <w:rPr>
                <w:rFonts w:ascii="Book Antiqua Bold"/>
                <w:b w:val="1"/>
                <w:bCs w:val="1"/>
                <w:i w:val="1"/>
                <w:iCs w:val="1"/>
                <w:caps w:val="0"/>
                <w:smallCaps w:val="0"/>
                <w:strike w:val="0"/>
                <w:dstrike w:val="0"/>
                <w:outline w:val="0"/>
                <w:color w:val="000000"/>
                <w:spacing w:val="0"/>
                <w:kern w:val="0"/>
                <w:position w:val="0"/>
                <w:sz w:val="20"/>
                <w:szCs w:val="20"/>
                <w:u w:val="none" w:color="000000"/>
                <w:vertAlign w:val="baseline"/>
                <w:rtl w:val="0"/>
                <w:lang w:val="it-IT"/>
              </w:rPr>
              <w:t>2010</w:t>
            </w:r>
          </w:p>
        </w:tc>
        <w:tc>
          <w:tcPr>
            <w:tcW w:type="dxa" w:w="354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
              <w:jc w:val="both"/>
            </w:pPr>
            <w:r>
              <w:rPr>
                <w:rFonts w:ascii="Book Antiqua Bold"/>
                <w:b w:val="1"/>
                <w:bCs w:val="1"/>
                <w:i w:val="1"/>
                <w:iCs w:val="1"/>
                <w:caps w:val="0"/>
                <w:smallCaps w:val="0"/>
                <w:strike w:val="0"/>
                <w:dstrike w:val="0"/>
                <w:outline w:val="0"/>
                <w:color w:val="000000"/>
                <w:spacing w:val="0"/>
                <w:kern w:val="0"/>
                <w:position w:val="0"/>
                <w:sz w:val="20"/>
                <w:szCs w:val="20"/>
                <w:u w:val="none" w:color="000000"/>
                <w:vertAlign w:val="baseline"/>
                <w:rtl w:val="0"/>
                <w:lang w:val="it-IT"/>
              </w:rPr>
              <w:t>Tonnellate</w:t>
            </w:r>
          </w:p>
        </w:tc>
      </w:tr>
      <w:tr>
        <w:tblPrEx>
          <w:shd w:val="clear" w:color="auto" w:fill="auto"/>
        </w:tblPrEx>
        <w:trPr>
          <w:trHeight w:val="250" w:hRule="atLeast"/>
        </w:trPr>
        <w:tc>
          <w:tcPr>
            <w:tcW w:type="dxa" w:w="43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
              <w:jc w:val="both"/>
            </w:pPr>
            <w:r>
              <w:rPr>
                <w:rFonts w:ascii="Book Antiqua"/>
                <w:caps w:val="0"/>
                <w:smallCaps w:val="0"/>
                <w:strike w:val="0"/>
                <w:dstrike w:val="0"/>
                <w:outline w:val="0"/>
                <w:color w:val="000000"/>
                <w:spacing w:val="0"/>
                <w:kern w:val="0"/>
                <w:position w:val="0"/>
                <w:sz w:val="20"/>
                <w:szCs w:val="20"/>
                <w:u w:val="none" w:color="000000"/>
                <w:vertAlign w:val="baseline"/>
                <w:rtl w:val="0"/>
                <w:lang w:val="it-IT"/>
              </w:rPr>
              <w:t>Produzione complessiva</w:t>
            </w:r>
          </w:p>
        </w:tc>
        <w:tc>
          <w:tcPr>
            <w:tcW w:type="dxa" w:w="354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
              <w:jc w:val="both"/>
            </w:pPr>
            <w:r>
              <w:rPr>
                <w:rFonts w:ascii="Book Antiqua"/>
                <w:caps w:val="0"/>
                <w:smallCaps w:val="0"/>
                <w:strike w:val="0"/>
                <w:dstrike w:val="0"/>
                <w:outline w:val="0"/>
                <w:color w:val="000000"/>
                <w:spacing w:val="0"/>
                <w:kern w:val="0"/>
                <w:position w:val="0"/>
                <w:sz w:val="20"/>
                <w:szCs w:val="20"/>
                <w:u w:val="none" w:color="000000"/>
                <w:vertAlign w:val="baseline"/>
                <w:rtl w:val="0"/>
                <w:lang w:val="it-IT"/>
              </w:rPr>
              <w:t>1.834.253</w:t>
            </w:r>
          </w:p>
        </w:tc>
      </w:tr>
      <w:tr>
        <w:tblPrEx>
          <w:shd w:val="clear" w:color="auto" w:fill="auto"/>
        </w:tblPrEx>
        <w:trPr>
          <w:trHeight w:val="250" w:hRule="atLeast"/>
        </w:trPr>
        <w:tc>
          <w:tcPr>
            <w:tcW w:type="dxa" w:w="43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
              <w:jc w:val="both"/>
            </w:pPr>
            <w:r>
              <w:rPr>
                <w:rFonts w:ascii="Book Antiqua"/>
                <w:caps w:val="0"/>
                <w:smallCaps w:val="0"/>
                <w:strike w:val="0"/>
                <w:dstrike w:val="0"/>
                <w:outline w:val="0"/>
                <w:color w:val="000000"/>
                <w:spacing w:val="0"/>
                <w:kern w:val="0"/>
                <w:position w:val="0"/>
                <w:sz w:val="20"/>
                <w:szCs w:val="20"/>
                <w:u w:val="none" w:color="000000"/>
                <w:vertAlign w:val="baseline"/>
                <w:rtl w:val="0"/>
                <w:lang w:val="it-IT"/>
              </w:rPr>
              <w:t>Raccolta differenziata</w:t>
            </w:r>
          </w:p>
        </w:tc>
        <w:tc>
          <w:tcPr>
            <w:tcW w:type="dxa" w:w="354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
              <w:jc w:val="both"/>
            </w:pPr>
            <w:r>
              <w:rPr>
                <w:rFonts w:ascii="Book Antiqua"/>
                <w:caps w:val="0"/>
                <w:smallCaps w:val="0"/>
                <w:strike w:val="0"/>
                <w:dstrike w:val="0"/>
                <w:outline w:val="0"/>
                <w:color w:val="000000"/>
                <w:spacing w:val="0"/>
                <w:kern w:val="0"/>
                <w:position w:val="0"/>
                <w:sz w:val="20"/>
                <w:szCs w:val="20"/>
                <w:u w:val="none" w:color="000000"/>
                <w:vertAlign w:val="baseline"/>
                <w:rtl w:val="0"/>
                <w:lang w:val="it-IT"/>
              </w:rPr>
              <w:t>403.573 (22%)</w:t>
            </w:r>
          </w:p>
        </w:tc>
      </w:tr>
      <w:tr>
        <w:tblPrEx>
          <w:shd w:val="clear" w:color="auto" w:fill="auto"/>
        </w:tblPrEx>
        <w:trPr>
          <w:trHeight w:val="250" w:hRule="atLeast"/>
        </w:trPr>
        <w:tc>
          <w:tcPr>
            <w:tcW w:type="dxa" w:w="43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
              <w:jc w:val="both"/>
            </w:pPr>
            <w:r>
              <w:rPr>
                <w:rFonts w:ascii="Book Antiqua"/>
                <w:caps w:val="0"/>
                <w:smallCaps w:val="0"/>
                <w:strike w:val="0"/>
                <w:dstrike w:val="0"/>
                <w:outline w:val="0"/>
                <w:color w:val="000000"/>
                <w:spacing w:val="0"/>
                <w:kern w:val="0"/>
                <w:position w:val="0"/>
                <w:sz w:val="20"/>
                <w:szCs w:val="20"/>
                <w:u w:val="none" w:color="000000"/>
                <w:vertAlign w:val="baseline"/>
                <w:rtl w:val="0"/>
                <w:lang w:val="it-IT"/>
              </w:rPr>
              <w:t>Raccolta indifferenziata</w:t>
            </w:r>
          </w:p>
        </w:tc>
        <w:tc>
          <w:tcPr>
            <w:tcW w:type="dxa" w:w="354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
              <w:jc w:val="both"/>
            </w:pPr>
            <w:r>
              <w:rPr>
                <w:rFonts w:ascii="Book Antiqua"/>
                <w:caps w:val="0"/>
                <w:smallCaps w:val="0"/>
                <w:strike w:val="0"/>
                <w:dstrike w:val="0"/>
                <w:outline w:val="0"/>
                <w:color w:val="000000"/>
                <w:spacing w:val="0"/>
                <w:kern w:val="0"/>
                <w:position w:val="0"/>
                <w:sz w:val="20"/>
                <w:szCs w:val="20"/>
                <w:u w:val="none" w:color="000000"/>
                <w:vertAlign w:val="baseline"/>
                <w:rtl w:val="0"/>
                <w:lang w:val="it-IT"/>
              </w:rPr>
              <w:t>1.430.679</w:t>
            </w:r>
          </w:p>
        </w:tc>
      </w:tr>
      <w:tr>
        <w:tblPrEx>
          <w:shd w:val="clear" w:color="auto" w:fill="auto"/>
        </w:tblPrEx>
        <w:trPr>
          <w:trHeight w:val="250" w:hRule="atLeast"/>
        </w:trPr>
        <w:tc>
          <w:tcPr>
            <w:tcW w:type="dxa" w:w="43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
              <w:jc w:val="both"/>
            </w:pPr>
            <w:r>
              <w:rPr>
                <w:rFonts w:ascii="Book Antiqua"/>
                <w:caps w:val="0"/>
                <w:smallCaps w:val="0"/>
                <w:strike w:val="0"/>
                <w:dstrike w:val="0"/>
                <w:outline w:val="0"/>
                <w:color w:val="000000"/>
                <w:spacing w:val="0"/>
                <w:kern w:val="0"/>
                <w:position w:val="0"/>
                <w:sz w:val="20"/>
                <w:szCs w:val="20"/>
                <w:u w:val="none" w:color="000000"/>
                <w:vertAlign w:val="baseline"/>
                <w:rtl w:val="0"/>
                <w:lang w:val="it-IT"/>
              </w:rPr>
              <w:t>Di cui trattamento presso impianti AMA TMB</w:t>
            </w:r>
          </w:p>
        </w:tc>
        <w:tc>
          <w:tcPr>
            <w:tcW w:type="dxa" w:w="354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
              <w:jc w:val="both"/>
            </w:pPr>
            <w:r>
              <w:rPr>
                <w:rFonts w:ascii="Book Antiqua"/>
                <w:caps w:val="0"/>
                <w:smallCaps w:val="0"/>
                <w:strike w:val="0"/>
                <w:dstrike w:val="0"/>
                <w:outline w:val="0"/>
                <w:color w:val="000000"/>
                <w:spacing w:val="0"/>
                <w:kern w:val="0"/>
                <w:position w:val="0"/>
                <w:sz w:val="20"/>
                <w:szCs w:val="20"/>
                <w:u w:val="none" w:color="000000"/>
                <w:vertAlign w:val="baseline"/>
                <w:rtl w:val="0"/>
                <w:lang w:val="it-IT"/>
              </w:rPr>
              <w:t>152.717</w:t>
            </w:r>
          </w:p>
        </w:tc>
      </w:tr>
      <w:tr>
        <w:tblPrEx>
          <w:shd w:val="clear" w:color="auto" w:fill="auto"/>
        </w:tblPrEx>
        <w:trPr>
          <w:trHeight w:val="250" w:hRule="atLeast"/>
        </w:trPr>
        <w:tc>
          <w:tcPr>
            <w:tcW w:type="dxa" w:w="43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
              <w:jc w:val="both"/>
            </w:pPr>
            <w:r>
              <w:rPr>
                <w:rFonts w:ascii="Book Antiqua"/>
                <w:caps w:val="0"/>
                <w:smallCaps w:val="0"/>
                <w:strike w:val="0"/>
                <w:dstrike w:val="0"/>
                <w:outline w:val="0"/>
                <w:color w:val="000000"/>
                <w:spacing w:val="0"/>
                <w:kern w:val="0"/>
                <w:position w:val="0"/>
                <w:sz w:val="20"/>
                <w:szCs w:val="20"/>
                <w:u w:val="none" w:color="000000"/>
                <w:vertAlign w:val="baseline"/>
                <w:rtl w:val="0"/>
                <w:lang w:val="it-IT"/>
              </w:rPr>
              <w:t>Di cui trattamento impianti di terzi TMB</w:t>
            </w:r>
          </w:p>
        </w:tc>
        <w:tc>
          <w:tcPr>
            <w:tcW w:type="dxa" w:w="354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
              <w:jc w:val="both"/>
            </w:pPr>
            <w:r>
              <w:rPr>
                <w:rFonts w:ascii="Book Antiqua"/>
                <w:caps w:val="0"/>
                <w:smallCaps w:val="0"/>
                <w:strike w:val="0"/>
                <w:dstrike w:val="0"/>
                <w:outline w:val="0"/>
                <w:color w:val="000000"/>
                <w:spacing w:val="0"/>
                <w:kern w:val="0"/>
                <w:position w:val="0"/>
                <w:sz w:val="20"/>
                <w:szCs w:val="20"/>
                <w:u w:val="none" w:color="000000"/>
                <w:vertAlign w:val="baseline"/>
                <w:rtl w:val="0"/>
                <w:lang w:val="it-IT"/>
              </w:rPr>
              <w:t>139.978</w:t>
            </w:r>
          </w:p>
        </w:tc>
      </w:tr>
      <w:tr>
        <w:tblPrEx>
          <w:shd w:val="clear" w:color="auto" w:fill="auto"/>
        </w:tblPrEx>
        <w:trPr>
          <w:trHeight w:val="250" w:hRule="atLeast"/>
        </w:trPr>
        <w:tc>
          <w:tcPr>
            <w:tcW w:type="dxa" w:w="43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
              <w:jc w:val="both"/>
            </w:pPr>
            <w:r>
              <w:rPr>
                <w:rFonts w:ascii="Book Antiqua"/>
                <w:caps w:val="0"/>
                <w:smallCaps w:val="0"/>
                <w:strike w:val="0"/>
                <w:dstrike w:val="0"/>
                <w:outline w:val="0"/>
                <w:color w:val="000000"/>
                <w:spacing w:val="0"/>
                <w:kern w:val="0"/>
                <w:position w:val="0"/>
                <w:sz w:val="20"/>
                <w:szCs w:val="20"/>
                <w:u w:val="none" w:color="000000"/>
                <w:vertAlign w:val="baseline"/>
                <w:rtl w:val="0"/>
                <w:lang w:val="it-IT"/>
              </w:rPr>
              <w:t>Di cui avviati a tritovagliatura</w:t>
            </w:r>
          </w:p>
        </w:tc>
        <w:tc>
          <w:tcPr>
            <w:tcW w:type="dxa" w:w="354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
              <w:jc w:val="both"/>
            </w:pPr>
            <w:r>
              <w:rPr>
                <w:rFonts w:ascii="Book Antiqua"/>
                <w:caps w:val="0"/>
                <w:smallCaps w:val="0"/>
                <w:strike w:val="0"/>
                <w:dstrike w:val="0"/>
                <w:outline w:val="0"/>
                <w:color w:val="000000"/>
                <w:spacing w:val="0"/>
                <w:kern w:val="0"/>
                <w:position w:val="0"/>
                <w:sz w:val="20"/>
                <w:szCs w:val="20"/>
                <w:u w:val="none" w:color="000000"/>
                <w:vertAlign w:val="baseline"/>
                <w:rtl w:val="0"/>
                <w:lang w:val="it-IT"/>
              </w:rPr>
              <w:t>0</w:t>
            </w:r>
          </w:p>
        </w:tc>
      </w:tr>
      <w:tr>
        <w:tblPrEx>
          <w:shd w:val="clear" w:color="auto" w:fill="auto"/>
        </w:tblPrEx>
        <w:trPr>
          <w:trHeight w:val="250" w:hRule="atLeast"/>
        </w:trPr>
        <w:tc>
          <w:tcPr>
            <w:tcW w:type="dxa" w:w="43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
              <w:jc w:val="both"/>
            </w:pPr>
            <w:r>
              <w:rPr>
                <w:rFonts w:ascii="Book Antiqua"/>
                <w:caps w:val="0"/>
                <w:smallCaps w:val="0"/>
                <w:strike w:val="0"/>
                <w:dstrike w:val="0"/>
                <w:outline w:val="0"/>
                <w:color w:val="000000"/>
                <w:spacing w:val="0"/>
                <w:kern w:val="0"/>
                <w:position w:val="0"/>
                <w:sz w:val="20"/>
                <w:szCs w:val="20"/>
                <w:u w:val="none" w:color="000000"/>
                <w:vertAlign w:val="baseline"/>
                <w:rtl w:val="0"/>
                <w:lang w:val="it-IT"/>
              </w:rPr>
              <w:t>Di cui avviati a discarica</w:t>
            </w:r>
          </w:p>
        </w:tc>
        <w:tc>
          <w:tcPr>
            <w:tcW w:type="dxa" w:w="354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
              <w:jc w:val="both"/>
            </w:pPr>
            <w:r>
              <w:rPr>
                <w:rFonts w:ascii="Book Antiqua"/>
                <w:caps w:val="0"/>
                <w:smallCaps w:val="0"/>
                <w:strike w:val="0"/>
                <w:dstrike w:val="0"/>
                <w:outline w:val="0"/>
                <w:color w:val="000000"/>
                <w:spacing w:val="0"/>
                <w:kern w:val="0"/>
                <w:position w:val="0"/>
                <w:sz w:val="20"/>
                <w:szCs w:val="20"/>
                <w:u w:val="none" w:color="000000"/>
                <w:vertAlign w:val="baseline"/>
                <w:rtl w:val="0"/>
                <w:lang w:val="it-IT"/>
              </w:rPr>
              <w:t>1.131.984 (tal quale pari a 61.9%)</w:t>
            </w:r>
          </w:p>
        </w:tc>
      </w:tr>
    </w:tbl>
    <w:p>
      <w:pPr>
        <w:pStyle w:val="Normal"/>
        <w:ind w:left="675" w:right="567" w:hanging="108"/>
        <w:jc w:val="both"/>
        <w:rPr>
          <w:rFonts w:ascii="Book Antiqua" w:cs="Book Antiqua" w:hAnsi="Book Antiqua" w:eastAsia="Book Antiqua"/>
        </w:rPr>
      </w:pPr>
    </w:p>
    <w:p>
      <w:pPr>
        <w:pStyle w:val="Normal"/>
        <w:jc w:val="both"/>
        <w:rPr>
          <w:rtl w:val="0"/>
        </w:rPr>
      </w:pPr>
      <w:r>
        <w:rPr>
          <w:rtl w:val="0"/>
          <w:lang w:val="it-IT"/>
        </w:rPr>
        <w:t xml:space="preserve"> </w:t>
      </w:r>
    </w:p>
    <w:p>
      <w:pPr>
        <w:pStyle w:val="Normal"/>
        <w:ind w:left="567" w:right="567" w:firstLine="0"/>
        <w:jc w:val="both"/>
        <w:rPr>
          <w:rFonts w:ascii="Book Antiqua Bold" w:cs="Book Antiqua Bold" w:hAnsi="Book Antiqua Bold" w:eastAsia="Book Antiqua Bold"/>
          <w:b w:val="1"/>
          <w:bCs w:val="1"/>
          <w:u w:val="single"/>
        </w:rPr>
      </w:pPr>
      <w:r>
        <w:rPr>
          <w:rFonts w:ascii="Book Antiqua"/>
          <w:rtl w:val="0"/>
          <w:lang w:val="it-IT"/>
        </w:rPr>
        <w:t>A seguito della procedura di infrazione 2011/4021, molteplici sono stati i controlli effettuati sugli impianti TMB di Roma al fine di appurarne la funzionalit</w:t>
      </w:r>
      <w:r>
        <w:rPr>
          <w:rFonts w:hAnsi="Book Antiqua" w:hint="default"/>
          <w:rtl w:val="0"/>
          <w:lang w:val="it-IT"/>
        </w:rPr>
        <w:t>à</w:t>
      </w:r>
      <w:r>
        <w:rPr>
          <w:rFonts w:ascii="Book Antiqua"/>
          <w:rtl w:val="0"/>
          <w:lang w:val="it-IT"/>
        </w:rPr>
        <w:t>. Dai risultati riportati di seguito si evince come nonostante il contenzioso i macchinari lavoravano ben al di sotto delle loro possibilit</w:t>
      </w:r>
      <w:r>
        <w:rPr>
          <w:rFonts w:hAnsi="Book Antiqua" w:hint="default"/>
          <w:rtl w:val="0"/>
          <w:lang w:val="it-IT"/>
        </w:rPr>
        <w:t xml:space="preserve">à </w:t>
      </w:r>
      <w:r>
        <w:rPr>
          <w:rFonts w:ascii="Book Antiqua"/>
          <w:rtl w:val="0"/>
          <w:lang w:val="it-IT"/>
        </w:rPr>
        <w:t>con conseguente e continuo sversamento di tal quale in discarica.</w:t>
      </w:r>
    </w:p>
    <w:p>
      <w:pPr>
        <w:pStyle w:val="Normal"/>
        <w:ind w:left="567" w:right="567" w:firstLine="0"/>
        <w:jc w:val="both"/>
        <w:rPr>
          <w:rFonts w:ascii="Book Antiqua" w:cs="Book Antiqua" w:hAnsi="Book Antiqua" w:eastAsia="Book Antiqua"/>
        </w:rPr>
      </w:pPr>
      <w:r>
        <w:rPr>
          <w:rFonts w:ascii="Book Antiqua"/>
          <w:rtl w:val="0"/>
          <w:lang w:val="it-IT"/>
        </w:rPr>
        <w:t>L</w:t>
      </w:r>
      <w:r>
        <w:rPr>
          <w:rFonts w:hAnsi="Book Antiqua" w:hint="default"/>
          <w:rtl w:val="0"/>
          <w:lang w:val="it-IT"/>
        </w:rPr>
        <w:t>’</w:t>
      </w:r>
      <w:r>
        <w:rPr>
          <w:rFonts w:ascii="Book Antiqua"/>
          <w:rtl w:val="0"/>
          <w:lang w:val="it-IT"/>
        </w:rPr>
        <w:t>11 ottobre 2011, l</w:t>
      </w:r>
      <w:r>
        <w:rPr>
          <w:rFonts w:hAnsi="Book Antiqua" w:hint="default"/>
          <w:rtl w:val="0"/>
          <w:lang w:val="it-IT"/>
        </w:rPr>
        <w:t>’</w:t>
      </w:r>
      <w:r>
        <w:rPr>
          <w:rFonts w:ascii="Book Antiqua"/>
          <w:rtl w:val="0"/>
          <w:lang w:val="it-IT"/>
        </w:rPr>
        <w:t>allora Commissario delegato per il superamento dell</w:t>
      </w:r>
      <w:r>
        <w:rPr>
          <w:rFonts w:hAnsi="Book Antiqua" w:hint="default"/>
          <w:rtl w:val="0"/>
          <w:lang w:val="it-IT"/>
        </w:rPr>
        <w:t>’</w:t>
      </w:r>
      <w:r>
        <w:rPr>
          <w:rFonts w:ascii="Book Antiqua"/>
          <w:rtl w:val="0"/>
          <w:lang w:val="it-IT"/>
        </w:rPr>
        <w:t>emergenza ambientale nel territorio della provincia di Roma, Giuseppe Pecoraro, in un documento</w:t>
      </w:r>
      <w:r>
        <w:rPr>
          <w:rFonts w:ascii="Book Antiqua" w:cs="Book Antiqua" w:hAnsi="Book Antiqua" w:eastAsia="Book Antiqua"/>
          <w:vertAlign w:val="superscript"/>
          <w:rtl w:val="0"/>
        </w:rPr>
        <w:footnoteReference w:id="40"/>
      </w:r>
      <w:r>
        <w:rPr>
          <w:rFonts w:ascii="Book Antiqua"/>
          <w:rtl w:val="0"/>
          <w:lang w:val="it-IT"/>
        </w:rPr>
        <w:t xml:space="preserve"> riport</w:t>
      </w:r>
      <w:r>
        <w:rPr>
          <w:rFonts w:hAnsi="Book Antiqua" w:hint="default"/>
          <w:rtl w:val="0"/>
          <w:lang w:val="it-IT"/>
        </w:rPr>
        <w:t xml:space="preserve">ò </w:t>
      </w:r>
      <w:r>
        <w:rPr>
          <w:rFonts w:ascii="Book Antiqua"/>
          <w:rtl w:val="0"/>
          <w:lang w:val="it-IT"/>
        </w:rPr>
        <w:t>una relazione dei tecnici dalla quale emergeva:</w:t>
      </w:r>
    </w:p>
    <w:p>
      <w:pPr>
        <w:pStyle w:val="Normal"/>
        <w:ind w:left="567" w:right="567" w:firstLine="0"/>
        <w:jc w:val="both"/>
        <w:rPr>
          <w:rFonts w:ascii="Book Antiqua" w:cs="Book Antiqua" w:hAnsi="Book Antiqua" w:eastAsia="Book Antiqua"/>
        </w:rPr>
      </w:pPr>
      <w:r>
        <w:rPr>
          <w:rFonts w:ascii="Book Antiqua"/>
          <w:rtl w:val="0"/>
          <w:lang w:val="it-IT"/>
        </w:rPr>
        <w:t>1) l</w:t>
      </w:r>
      <w:r>
        <w:rPr>
          <w:rFonts w:hAnsi="Book Antiqua" w:hint="default"/>
          <w:rtl w:val="0"/>
          <w:lang w:val="it-IT"/>
        </w:rPr>
        <w:t>’</w:t>
      </w:r>
      <w:r>
        <w:rPr>
          <w:rFonts w:ascii="Book Antiqua"/>
          <w:rtl w:val="0"/>
          <w:lang w:val="it-IT"/>
        </w:rPr>
        <w:t>impianto di Malagrotta 1 era fermo;</w:t>
      </w:r>
    </w:p>
    <w:p>
      <w:pPr>
        <w:pStyle w:val="Normal"/>
        <w:ind w:left="567" w:right="567" w:firstLine="0"/>
        <w:jc w:val="both"/>
        <w:rPr>
          <w:rFonts w:ascii="Book Antiqua" w:cs="Book Antiqua" w:hAnsi="Book Antiqua" w:eastAsia="Book Antiqua"/>
        </w:rPr>
      </w:pPr>
      <w:r>
        <w:rPr>
          <w:rFonts w:ascii="Book Antiqua"/>
          <w:rtl w:val="0"/>
          <w:lang w:val="it-IT"/>
        </w:rPr>
        <w:t>2) l</w:t>
      </w:r>
      <w:r>
        <w:rPr>
          <w:rFonts w:hAnsi="Book Antiqua" w:hint="default"/>
          <w:rtl w:val="0"/>
          <w:lang w:val="it-IT"/>
        </w:rPr>
        <w:t>’</w:t>
      </w:r>
      <w:r>
        <w:rPr>
          <w:rFonts w:ascii="Book Antiqua"/>
          <w:rtl w:val="0"/>
          <w:lang w:val="it-IT"/>
        </w:rPr>
        <w:t>impianto di Malagrotta 2 operava al 60 per cento;</w:t>
      </w:r>
    </w:p>
    <w:p>
      <w:pPr>
        <w:pStyle w:val="Normal"/>
        <w:ind w:left="567" w:right="567" w:firstLine="0"/>
        <w:jc w:val="both"/>
        <w:rPr>
          <w:rFonts w:ascii="Book Antiqua" w:cs="Book Antiqua" w:hAnsi="Book Antiqua" w:eastAsia="Book Antiqua"/>
        </w:rPr>
      </w:pPr>
      <w:r>
        <w:rPr>
          <w:rFonts w:ascii="Book Antiqua"/>
          <w:rtl w:val="0"/>
          <w:lang w:val="it-IT"/>
        </w:rPr>
        <w:t>3) l</w:t>
      </w:r>
      <w:r>
        <w:rPr>
          <w:rFonts w:hAnsi="Book Antiqua" w:hint="default"/>
          <w:rtl w:val="0"/>
          <w:lang w:val="it-IT"/>
        </w:rPr>
        <w:t>’</w:t>
      </w:r>
      <w:r>
        <w:rPr>
          <w:rFonts w:ascii="Book Antiqua"/>
          <w:rtl w:val="0"/>
          <w:lang w:val="it-IT"/>
        </w:rPr>
        <w:t>impianto di Via Salaria operava a pieno regime;</w:t>
      </w:r>
    </w:p>
    <w:p>
      <w:pPr>
        <w:pStyle w:val="Normal"/>
        <w:ind w:left="567" w:right="567" w:firstLine="0"/>
        <w:jc w:val="both"/>
        <w:rPr>
          <w:rFonts w:ascii="Book Antiqua" w:cs="Book Antiqua" w:hAnsi="Book Antiqua" w:eastAsia="Book Antiqua"/>
        </w:rPr>
      </w:pPr>
      <w:r>
        <w:rPr>
          <w:rFonts w:ascii="Book Antiqua"/>
          <w:rtl w:val="0"/>
          <w:lang w:val="it-IT"/>
        </w:rPr>
        <w:t>4) l</w:t>
      </w:r>
      <w:r>
        <w:rPr>
          <w:rFonts w:hAnsi="Book Antiqua" w:hint="default"/>
          <w:rtl w:val="0"/>
          <w:lang w:val="it-IT"/>
        </w:rPr>
        <w:t>’</w:t>
      </w:r>
      <w:r>
        <w:rPr>
          <w:rFonts w:ascii="Book Antiqua"/>
          <w:rtl w:val="0"/>
          <w:lang w:val="it-IT"/>
        </w:rPr>
        <w:t xml:space="preserve">impianto di Rocca Cencia operava al 60 per cento circa. </w:t>
      </w:r>
    </w:p>
    <w:p>
      <w:pPr>
        <w:pStyle w:val="Normal"/>
        <w:ind w:left="567" w:right="567" w:firstLine="0"/>
        <w:jc w:val="both"/>
        <w:rPr>
          <w:rFonts w:ascii="Book Antiqua" w:cs="Book Antiqua" w:hAnsi="Book Antiqua" w:eastAsia="Book Antiqua"/>
        </w:rPr>
      </w:pPr>
      <w:r>
        <w:rPr>
          <w:rFonts w:ascii="Book Antiqua"/>
          <w:rtl w:val="0"/>
          <w:lang w:val="it-IT"/>
        </w:rPr>
        <w:t>Un anno dopo, a seguito della continua emergenza riguardante il mancato trattamento dei rifiuti solidi urbani, l</w:t>
      </w:r>
      <w:r>
        <w:rPr>
          <w:rFonts w:hAnsi="Book Antiqua" w:hint="default"/>
          <w:rtl w:val="0"/>
          <w:lang w:val="it-IT"/>
        </w:rPr>
        <w:t>’</w:t>
      </w:r>
      <w:r>
        <w:rPr>
          <w:rFonts w:ascii="Book Antiqua"/>
          <w:rtl w:val="0"/>
          <w:lang w:val="it-IT"/>
        </w:rPr>
        <w:t>allora ministro dell</w:t>
      </w:r>
      <w:r>
        <w:rPr>
          <w:rFonts w:hAnsi="Book Antiqua" w:hint="default"/>
          <w:rtl w:val="0"/>
          <w:lang w:val="it-IT"/>
        </w:rPr>
        <w:t>’</w:t>
      </w:r>
      <w:r>
        <w:rPr>
          <w:rFonts w:ascii="Book Antiqua"/>
          <w:rtl w:val="0"/>
          <w:lang w:val="it-IT"/>
        </w:rPr>
        <w:t>ambiente Corrado Clini diede mandato al NOE per verificare l</w:t>
      </w:r>
      <w:r>
        <w:rPr>
          <w:rFonts w:hAnsi="Book Antiqua" w:hint="default"/>
          <w:rtl w:val="0"/>
          <w:lang w:val="it-IT"/>
        </w:rPr>
        <w:t>’</w:t>
      </w:r>
      <w:r>
        <w:rPr>
          <w:rFonts w:ascii="Book Antiqua"/>
          <w:rtl w:val="0"/>
          <w:lang w:val="it-IT"/>
        </w:rPr>
        <w:t>operativit</w:t>
      </w:r>
      <w:r>
        <w:rPr>
          <w:rFonts w:hAnsi="Book Antiqua" w:hint="default"/>
          <w:rtl w:val="0"/>
          <w:lang w:val="it-IT"/>
        </w:rPr>
        <w:t xml:space="preserve">à </w:t>
      </w:r>
      <w:r>
        <w:rPr>
          <w:rFonts w:ascii="Book Antiqua"/>
          <w:rtl w:val="0"/>
          <w:lang w:val="it-IT"/>
        </w:rPr>
        <w:t xml:space="preserve">dei TMB ubicati nel Lazio. </w:t>
      </w:r>
    </w:p>
    <w:p>
      <w:pPr>
        <w:pStyle w:val="Normal"/>
        <w:ind w:left="567" w:right="567" w:firstLine="0"/>
        <w:jc w:val="both"/>
        <w:rPr>
          <w:rFonts w:ascii="Book Antiqua" w:cs="Book Antiqua" w:hAnsi="Book Antiqua" w:eastAsia="Book Antiqua"/>
        </w:rPr>
      </w:pPr>
      <w:r>
        <w:rPr>
          <w:rFonts w:ascii="Book Antiqua"/>
          <w:rtl w:val="0"/>
          <w:lang w:val="it-IT"/>
        </w:rPr>
        <w:t xml:space="preserve">Di seguito si riportano i dati conseguenti alle ispezioni dei carabinieri </w:t>
      </w:r>
    </w:p>
    <w:p>
      <w:pPr>
        <w:pStyle w:val="Normal"/>
        <w:jc w:val="both"/>
        <w:rPr>
          <w:rFonts w:ascii="Book Antiqua" w:cs="Book Antiqua" w:hAnsi="Book Antiqua" w:eastAsia="Book Antiqua"/>
        </w:rPr>
      </w:pPr>
    </w:p>
    <w:tbl>
      <w:tblPr>
        <w:tblW w:w="7371" w:type="dxa"/>
        <w:jc w:val="left"/>
        <w:tblInd w:w="783" w:type="dxa"/>
        <w:tblBorders>
          <w:top w:val="single" w:color="000000" w:sz="2" w:space="0" w:shadow="0" w:frame="0"/>
          <w:left w:val="single" w:color="000000" w:sz="2" w:space="0" w:shadow="0" w:frame="0"/>
          <w:bottom w:val="single" w:color="000000" w:sz="2" w:space="0" w:shadow="0" w:frame="0"/>
          <w:right w:val="single" w:color="000000" w:sz="2" w:space="0" w:shadow="0" w:frame="0"/>
          <w:insideH w:val="single" w:color="000000" w:sz="2" w:space="0" w:shadow="0" w:frame="0"/>
          <w:insideV w:val="single" w:color="000000" w:sz="2" w:space="0" w:shadow="0" w:frame="0"/>
        </w:tblBorders>
        <w:shd w:val="clear" w:color="auto" w:fill="auto"/>
        <w:tblLayout w:type="fixed"/>
      </w:tblPr>
      <w:tblGrid>
        <w:gridCol w:w="4214"/>
        <w:gridCol w:w="3157"/>
      </w:tblGrid>
      <w:tr>
        <w:tblPrEx>
          <w:shd w:val="clear" w:color="auto" w:fill="auto"/>
        </w:tblPrEx>
        <w:trPr>
          <w:trHeight w:val="250" w:hRule="atLeast"/>
        </w:trPr>
        <w:tc>
          <w:tcPr>
            <w:tcW w:type="dxa" w:w="421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
              <w:jc w:val="both"/>
            </w:pPr>
            <w:r>
              <w:rPr>
                <w:rFonts w:ascii="Book Antiqua"/>
                <w:caps w:val="0"/>
                <w:smallCaps w:val="0"/>
                <w:strike w:val="0"/>
                <w:dstrike w:val="0"/>
                <w:outline w:val="0"/>
                <w:color w:val="000000"/>
                <w:spacing w:val="0"/>
                <w:kern w:val="0"/>
                <w:position w:val="0"/>
                <w:sz w:val="20"/>
                <w:szCs w:val="20"/>
                <w:u w:val="none" w:color="000000"/>
                <w:vertAlign w:val="baseline"/>
                <w:rtl w:val="0"/>
                <w:lang w:val="it-IT"/>
              </w:rPr>
              <w:t>AMA via Salaria</w:t>
            </w:r>
          </w:p>
        </w:tc>
        <w:tc>
          <w:tcPr>
            <w:tcW w:type="dxa" w:w="315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
              <w:jc w:val="both"/>
            </w:pPr>
            <w:r>
              <w:rPr>
                <w:rFonts w:ascii="Book Antiqua"/>
                <w:caps w:val="0"/>
                <w:smallCaps w:val="0"/>
                <w:strike w:val="0"/>
                <w:dstrike w:val="0"/>
                <w:outline w:val="0"/>
                <w:color w:val="000000"/>
                <w:spacing w:val="0"/>
                <w:kern w:val="0"/>
                <w:position w:val="0"/>
                <w:sz w:val="20"/>
                <w:szCs w:val="20"/>
                <w:u w:val="none" w:color="000000"/>
                <w:vertAlign w:val="baseline"/>
                <w:rtl w:val="0"/>
                <w:lang w:val="it-IT"/>
              </w:rPr>
              <w:t>66.66%</w:t>
            </w:r>
          </w:p>
        </w:tc>
      </w:tr>
      <w:tr>
        <w:tblPrEx>
          <w:shd w:val="clear" w:color="auto" w:fill="auto"/>
        </w:tblPrEx>
        <w:trPr>
          <w:trHeight w:val="250" w:hRule="atLeast"/>
        </w:trPr>
        <w:tc>
          <w:tcPr>
            <w:tcW w:type="dxa" w:w="421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
              <w:jc w:val="both"/>
            </w:pPr>
            <w:r>
              <w:rPr>
                <w:rFonts w:ascii="Book Antiqua"/>
                <w:caps w:val="0"/>
                <w:smallCaps w:val="0"/>
                <w:strike w:val="0"/>
                <w:dstrike w:val="0"/>
                <w:outline w:val="0"/>
                <w:color w:val="000000"/>
                <w:spacing w:val="0"/>
                <w:kern w:val="0"/>
                <w:position w:val="0"/>
                <w:sz w:val="20"/>
                <w:szCs w:val="20"/>
                <w:u w:val="none" w:color="000000"/>
                <w:vertAlign w:val="baseline"/>
                <w:rtl w:val="0"/>
                <w:lang w:val="it-IT"/>
              </w:rPr>
              <w:t>AMA via di Rocca Cencia</w:t>
            </w:r>
          </w:p>
        </w:tc>
        <w:tc>
          <w:tcPr>
            <w:tcW w:type="dxa" w:w="315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
              <w:jc w:val="both"/>
            </w:pPr>
            <w:r>
              <w:rPr>
                <w:rFonts w:ascii="Book Antiqua"/>
                <w:caps w:val="0"/>
                <w:smallCaps w:val="0"/>
                <w:strike w:val="0"/>
                <w:dstrike w:val="0"/>
                <w:outline w:val="0"/>
                <w:color w:val="000000"/>
                <w:spacing w:val="0"/>
                <w:kern w:val="0"/>
                <w:position w:val="0"/>
                <w:sz w:val="20"/>
                <w:szCs w:val="20"/>
                <w:u w:val="none" w:color="000000"/>
                <w:vertAlign w:val="baseline"/>
                <w:rtl w:val="0"/>
                <w:lang w:val="it-IT"/>
              </w:rPr>
              <w:t>78.08%</w:t>
            </w:r>
          </w:p>
        </w:tc>
      </w:tr>
      <w:tr>
        <w:tblPrEx>
          <w:shd w:val="clear" w:color="auto" w:fill="auto"/>
        </w:tblPrEx>
        <w:trPr>
          <w:trHeight w:val="250" w:hRule="atLeast"/>
        </w:trPr>
        <w:tc>
          <w:tcPr>
            <w:tcW w:type="dxa" w:w="421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
              <w:jc w:val="both"/>
            </w:pPr>
            <w:r>
              <w:rPr>
                <w:rFonts w:ascii="Book Antiqua"/>
                <w:caps w:val="0"/>
                <w:smallCaps w:val="0"/>
                <w:strike w:val="0"/>
                <w:dstrike w:val="0"/>
                <w:outline w:val="0"/>
                <w:color w:val="000000"/>
                <w:spacing w:val="0"/>
                <w:kern w:val="0"/>
                <w:position w:val="0"/>
                <w:sz w:val="20"/>
                <w:szCs w:val="20"/>
                <w:u w:val="none" w:color="000000"/>
                <w:vertAlign w:val="baseline"/>
                <w:rtl w:val="0"/>
                <w:lang w:val="it-IT"/>
              </w:rPr>
              <w:t xml:space="preserve">E Giovi Malagrotta 1 </w:t>
            </w:r>
          </w:p>
        </w:tc>
        <w:tc>
          <w:tcPr>
            <w:tcW w:type="dxa" w:w="315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
              <w:jc w:val="both"/>
            </w:pPr>
            <w:r>
              <w:rPr>
                <w:rFonts w:ascii="Book Antiqua"/>
                <w:caps w:val="0"/>
                <w:smallCaps w:val="0"/>
                <w:strike w:val="0"/>
                <w:dstrike w:val="0"/>
                <w:outline w:val="0"/>
                <w:color w:val="000000"/>
                <w:spacing w:val="0"/>
                <w:kern w:val="0"/>
                <w:position w:val="0"/>
                <w:sz w:val="20"/>
                <w:szCs w:val="20"/>
                <w:u w:val="none" w:color="000000"/>
                <w:vertAlign w:val="baseline"/>
                <w:rtl w:val="0"/>
                <w:lang w:val="it-IT"/>
              </w:rPr>
              <w:t>26.16%</w:t>
            </w:r>
          </w:p>
        </w:tc>
      </w:tr>
      <w:tr>
        <w:tblPrEx>
          <w:shd w:val="clear" w:color="auto" w:fill="auto"/>
        </w:tblPrEx>
        <w:trPr>
          <w:trHeight w:val="250" w:hRule="atLeast"/>
        </w:trPr>
        <w:tc>
          <w:tcPr>
            <w:tcW w:type="dxa" w:w="421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
              <w:jc w:val="both"/>
            </w:pPr>
            <w:r>
              <w:rPr>
                <w:rFonts w:ascii="Book Antiqua"/>
                <w:caps w:val="0"/>
                <w:smallCaps w:val="0"/>
                <w:strike w:val="0"/>
                <w:dstrike w:val="0"/>
                <w:outline w:val="0"/>
                <w:color w:val="000000"/>
                <w:spacing w:val="0"/>
                <w:kern w:val="0"/>
                <w:position w:val="0"/>
                <w:sz w:val="20"/>
                <w:szCs w:val="20"/>
                <w:u w:val="none" w:color="000000"/>
                <w:vertAlign w:val="baseline"/>
                <w:rtl w:val="0"/>
                <w:lang w:val="it-IT"/>
              </w:rPr>
              <w:t xml:space="preserve">E Giovi Malagrotta 2 </w:t>
            </w:r>
          </w:p>
        </w:tc>
        <w:tc>
          <w:tcPr>
            <w:tcW w:type="dxa" w:w="315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
              <w:jc w:val="both"/>
            </w:pPr>
            <w:r>
              <w:rPr>
                <w:rFonts w:ascii="Book Antiqua"/>
                <w:caps w:val="0"/>
                <w:smallCaps w:val="0"/>
                <w:strike w:val="0"/>
                <w:dstrike w:val="0"/>
                <w:outline w:val="0"/>
                <w:color w:val="000000"/>
                <w:spacing w:val="0"/>
                <w:kern w:val="0"/>
                <w:position w:val="0"/>
                <w:sz w:val="20"/>
                <w:szCs w:val="20"/>
                <w:u w:val="none" w:color="000000"/>
                <w:vertAlign w:val="baseline"/>
                <w:rtl w:val="0"/>
                <w:lang w:val="it-IT"/>
              </w:rPr>
              <w:t>60.17%</w:t>
            </w:r>
          </w:p>
        </w:tc>
      </w:tr>
      <w:tr>
        <w:tblPrEx>
          <w:shd w:val="clear" w:color="auto" w:fill="auto"/>
        </w:tblPrEx>
        <w:trPr>
          <w:trHeight w:val="250" w:hRule="atLeast"/>
        </w:trPr>
        <w:tc>
          <w:tcPr>
            <w:tcW w:type="dxa" w:w="421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
              <w:jc w:val="both"/>
            </w:pPr>
            <w:r>
              <w:rPr>
                <w:rFonts w:ascii="Book Antiqua"/>
                <w:caps w:val="0"/>
                <w:smallCaps w:val="0"/>
                <w:strike w:val="0"/>
                <w:dstrike w:val="0"/>
                <w:outline w:val="0"/>
                <w:color w:val="000000"/>
                <w:spacing w:val="0"/>
                <w:kern w:val="0"/>
                <w:position w:val="0"/>
                <w:sz w:val="20"/>
                <w:szCs w:val="20"/>
                <w:u w:val="none" w:color="000000"/>
                <w:vertAlign w:val="baseline"/>
                <w:rtl w:val="0"/>
                <w:lang w:val="it-IT"/>
              </w:rPr>
              <w:t>Albano Laziale Pontina Ambiente</w:t>
            </w:r>
          </w:p>
        </w:tc>
        <w:tc>
          <w:tcPr>
            <w:tcW w:type="dxa" w:w="315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
              <w:jc w:val="both"/>
            </w:pPr>
            <w:r>
              <w:rPr>
                <w:rFonts w:ascii="Book Antiqua"/>
                <w:caps w:val="0"/>
                <w:smallCaps w:val="0"/>
                <w:strike w:val="0"/>
                <w:dstrike w:val="0"/>
                <w:outline w:val="0"/>
                <w:color w:val="000000"/>
                <w:spacing w:val="0"/>
                <w:kern w:val="0"/>
                <w:position w:val="0"/>
                <w:sz w:val="20"/>
                <w:szCs w:val="20"/>
                <w:u w:val="none" w:color="000000"/>
                <w:vertAlign w:val="baseline"/>
                <w:rtl w:val="0"/>
                <w:lang w:val="it-IT"/>
              </w:rPr>
              <w:t>60.67%</w:t>
            </w:r>
          </w:p>
        </w:tc>
      </w:tr>
      <w:tr>
        <w:tblPrEx>
          <w:shd w:val="clear" w:color="auto" w:fill="auto"/>
        </w:tblPrEx>
        <w:trPr>
          <w:trHeight w:val="250" w:hRule="atLeast"/>
        </w:trPr>
        <w:tc>
          <w:tcPr>
            <w:tcW w:type="dxa" w:w="421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
              <w:jc w:val="both"/>
            </w:pPr>
            <w:r>
              <w:rPr>
                <w:rFonts w:ascii="Book Antiqua"/>
                <w:caps w:val="0"/>
                <w:smallCaps w:val="0"/>
                <w:strike w:val="0"/>
                <w:dstrike w:val="0"/>
                <w:outline w:val="0"/>
                <w:color w:val="000000"/>
                <w:spacing w:val="0"/>
                <w:kern w:val="0"/>
                <w:position w:val="0"/>
                <w:sz w:val="20"/>
                <w:szCs w:val="20"/>
                <w:u w:val="none" w:color="000000"/>
                <w:vertAlign w:val="baseline"/>
                <w:rtl w:val="0"/>
                <w:lang w:val="it-IT"/>
              </w:rPr>
              <w:t>Colfelice S.A.F.</w:t>
            </w:r>
          </w:p>
        </w:tc>
        <w:tc>
          <w:tcPr>
            <w:tcW w:type="dxa" w:w="315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
              <w:jc w:val="both"/>
            </w:pPr>
            <w:r>
              <w:rPr>
                <w:rFonts w:ascii="Book Antiqua"/>
                <w:caps w:val="0"/>
                <w:smallCaps w:val="0"/>
                <w:strike w:val="0"/>
                <w:dstrike w:val="0"/>
                <w:outline w:val="0"/>
                <w:color w:val="000000"/>
                <w:spacing w:val="0"/>
                <w:kern w:val="0"/>
                <w:position w:val="0"/>
                <w:sz w:val="20"/>
                <w:szCs w:val="20"/>
                <w:u w:val="none" w:color="000000"/>
                <w:vertAlign w:val="baseline"/>
                <w:rtl w:val="0"/>
                <w:lang w:val="it-IT"/>
              </w:rPr>
              <w:t>48.06%</w:t>
            </w:r>
          </w:p>
        </w:tc>
      </w:tr>
      <w:tr>
        <w:tblPrEx>
          <w:shd w:val="clear" w:color="auto" w:fill="auto"/>
        </w:tblPrEx>
        <w:trPr>
          <w:trHeight w:val="250" w:hRule="atLeast"/>
        </w:trPr>
        <w:tc>
          <w:tcPr>
            <w:tcW w:type="dxa" w:w="421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
              <w:jc w:val="both"/>
            </w:pPr>
            <w:r>
              <w:rPr>
                <w:rFonts w:ascii="Book Antiqua"/>
                <w:caps w:val="0"/>
                <w:smallCaps w:val="0"/>
                <w:strike w:val="0"/>
                <w:dstrike w:val="0"/>
                <w:outline w:val="0"/>
                <w:color w:val="000000"/>
                <w:spacing w:val="0"/>
                <w:kern w:val="0"/>
                <w:position w:val="0"/>
                <w:sz w:val="20"/>
                <w:szCs w:val="20"/>
                <w:u w:val="none" w:color="000000"/>
                <w:vertAlign w:val="baseline"/>
                <w:rtl w:val="0"/>
                <w:lang w:val="it-IT"/>
              </w:rPr>
              <w:t>Aprilia R.I.D.A. Ambiente S.r.l.</w:t>
            </w:r>
          </w:p>
        </w:tc>
        <w:tc>
          <w:tcPr>
            <w:tcW w:type="dxa" w:w="315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
              <w:jc w:val="both"/>
            </w:pPr>
            <w:r>
              <w:rPr>
                <w:rFonts w:ascii="Book Antiqua"/>
                <w:caps w:val="0"/>
                <w:smallCaps w:val="0"/>
                <w:strike w:val="0"/>
                <w:dstrike w:val="0"/>
                <w:outline w:val="0"/>
                <w:color w:val="000000"/>
                <w:spacing w:val="0"/>
                <w:kern w:val="0"/>
                <w:position w:val="0"/>
                <w:sz w:val="20"/>
                <w:szCs w:val="20"/>
                <w:u w:val="none" w:color="000000"/>
                <w:vertAlign w:val="baseline"/>
                <w:rtl w:val="0"/>
                <w:lang w:val="it-IT"/>
              </w:rPr>
              <w:t>82.85%</w:t>
            </w:r>
          </w:p>
        </w:tc>
      </w:tr>
      <w:tr>
        <w:tblPrEx>
          <w:shd w:val="clear" w:color="auto" w:fill="auto"/>
        </w:tblPrEx>
        <w:trPr>
          <w:trHeight w:val="250" w:hRule="atLeast"/>
        </w:trPr>
        <w:tc>
          <w:tcPr>
            <w:tcW w:type="dxa" w:w="421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
              <w:jc w:val="both"/>
            </w:pPr>
            <w:r>
              <w:rPr>
                <w:rFonts w:ascii="Book Antiqua"/>
                <w:caps w:val="0"/>
                <w:smallCaps w:val="0"/>
                <w:strike w:val="0"/>
                <w:dstrike w:val="0"/>
                <w:outline w:val="0"/>
                <w:color w:val="000000"/>
                <w:spacing w:val="0"/>
                <w:kern w:val="0"/>
                <w:position w:val="0"/>
                <w:sz w:val="20"/>
                <w:szCs w:val="20"/>
                <w:u w:val="none" w:color="000000"/>
                <w:vertAlign w:val="baseline"/>
                <w:rtl w:val="0"/>
                <w:lang w:val="it-IT"/>
              </w:rPr>
              <w:t>Viterbo Ecologia Viterbo S.r.l.</w:t>
            </w:r>
          </w:p>
        </w:tc>
        <w:tc>
          <w:tcPr>
            <w:tcW w:type="dxa" w:w="315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
              <w:jc w:val="both"/>
            </w:pPr>
            <w:r>
              <w:rPr>
                <w:rFonts w:ascii="Book Antiqua"/>
                <w:caps w:val="0"/>
                <w:smallCaps w:val="0"/>
                <w:strike w:val="0"/>
                <w:dstrike w:val="0"/>
                <w:outline w:val="0"/>
                <w:color w:val="000000"/>
                <w:spacing w:val="0"/>
                <w:kern w:val="0"/>
                <w:position w:val="0"/>
                <w:sz w:val="20"/>
                <w:szCs w:val="20"/>
                <w:u w:val="none" w:color="000000"/>
                <w:vertAlign w:val="baseline"/>
                <w:rtl w:val="0"/>
                <w:lang w:val="it-IT"/>
              </w:rPr>
              <w:t>81.53%</w:t>
            </w:r>
          </w:p>
        </w:tc>
      </w:tr>
    </w:tbl>
    <w:p>
      <w:pPr>
        <w:pStyle w:val="Normal"/>
        <w:ind w:left="675" w:hanging="675"/>
        <w:jc w:val="both"/>
        <w:rPr>
          <w:rFonts w:ascii="Book Antiqua" w:cs="Book Antiqua" w:hAnsi="Book Antiqua" w:eastAsia="Book Antiqua"/>
        </w:rPr>
      </w:pPr>
    </w:p>
    <w:p>
      <w:pPr>
        <w:pStyle w:val="Normal"/>
        <w:jc w:val="both"/>
        <w:rPr>
          <w:rFonts w:ascii="Times New Roman Bold" w:cs="Times New Roman Bold" w:hAnsi="Times New Roman Bold" w:eastAsia="Times New Roman Bold"/>
          <w:u w:val="single"/>
        </w:rPr>
      </w:pPr>
    </w:p>
    <w:p>
      <w:pPr>
        <w:pStyle w:val="Normal"/>
        <w:ind w:left="567" w:right="567" w:firstLine="0"/>
        <w:jc w:val="both"/>
        <w:rPr>
          <w:rFonts w:ascii="Book Antiqua" w:cs="Book Antiqua" w:hAnsi="Book Antiqua" w:eastAsia="Book Antiqua"/>
        </w:rPr>
      </w:pPr>
      <w:r>
        <w:rPr>
          <w:rFonts w:ascii="Book Antiqua"/>
          <w:rtl w:val="0"/>
          <w:lang w:val="it-IT"/>
        </w:rPr>
        <w:t>Da questa tabella si evince come nonostante la nomina di un Commissario di Governo la situazione degli impianti TMB di Roma fosse apprezzabilmente migliorata ma ancora lontana dalla piena operativit</w:t>
      </w:r>
      <w:r>
        <w:rPr>
          <w:rFonts w:hAnsi="Book Antiqua" w:hint="default"/>
          <w:rtl w:val="0"/>
          <w:lang w:val="it-IT"/>
        </w:rPr>
        <w:t>à</w:t>
      </w:r>
      <w:r>
        <w:rPr>
          <w:rFonts w:ascii="Book Antiqua"/>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Ma perch</w:t>
      </w:r>
      <w:r>
        <w:rPr>
          <w:rFonts w:hAnsi="Book Antiqua" w:hint="default"/>
          <w:rtl w:val="0"/>
          <w:lang w:val="it-IT"/>
        </w:rPr>
        <w:t xml:space="preserve">é </w:t>
      </w:r>
      <w:r>
        <w:rPr>
          <w:rFonts w:ascii="Book Antiqua"/>
          <w:rtl w:val="0"/>
          <w:lang w:val="it-IT"/>
        </w:rPr>
        <w:t xml:space="preserve">per tanti anni gli impianti TMB ubicati a Roma hanno lavorato pochissimo? </w:t>
      </w:r>
    </w:p>
    <w:p>
      <w:pPr>
        <w:pStyle w:val="Normal"/>
        <w:ind w:left="567" w:right="567" w:firstLine="0"/>
        <w:jc w:val="both"/>
        <w:rPr>
          <w:rFonts w:ascii="Book Antiqua" w:cs="Book Antiqua" w:hAnsi="Book Antiqua" w:eastAsia="Book Antiqua"/>
        </w:rPr>
      </w:pPr>
      <w:r>
        <w:rPr>
          <w:rFonts w:ascii="Book Antiqua"/>
          <w:rtl w:val="0"/>
          <w:lang w:val="it-IT"/>
        </w:rPr>
        <w:t xml:space="preserve">A dare una risposta </w:t>
      </w:r>
      <w:r>
        <w:rPr>
          <w:rFonts w:hAnsi="Book Antiqua" w:hint="default"/>
          <w:rtl w:val="0"/>
          <w:lang w:val="it-IT"/>
        </w:rPr>
        <w:t xml:space="preserve">è </w:t>
      </w:r>
      <w:r>
        <w:rPr>
          <w:rFonts w:ascii="Book Antiqua"/>
          <w:rtl w:val="0"/>
          <w:lang w:val="it-IT"/>
        </w:rPr>
        <w:t>Manlio Cerroni,</w:t>
      </w:r>
      <w:r>
        <w:rPr>
          <w:rFonts w:hAnsi="Book Antiqua" w:hint="default"/>
          <w:rtl w:val="0"/>
          <w:lang w:val="it-IT"/>
        </w:rPr>
        <w:t> </w:t>
      </w:r>
      <w:r>
        <w:rPr>
          <w:rFonts w:ascii="Book Antiqua"/>
          <w:rtl w:val="0"/>
          <w:lang w:val="it-IT"/>
        </w:rPr>
        <w:t>ex presidente del consorzio Co.La.Ri., che nell</w:t>
      </w:r>
      <w:r>
        <w:rPr>
          <w:rFonts w:hAnsi="Book Antiqua" w:hint="default"/>
          <w:rtl w:val="0"/>
          <w:lang w:val="it-IT"/>
        </w:rPr>
        <w:t>’</w:t>
      </w:r>
      <w:r>
        <w:rPr>
          <w:rFonts w:ascii="Book Antiqua"/>
          <w:rtl w:val="0"/>
          <w:lang w:val="it-IT"/>
        </w:rPr>
        <w:t xml:space="preserve">audizione del 12 dicembre 2016 dinanzi alla Commissione ha dichiarato: </w:t>
      </w:r>
    </w:p>
    <w:p>
      <w:pPr>
        <w:pStyle w:val="Normal"/>
        <w:ind w:left="567" w:right="567" w:firstLine="0"/>
        <w:jc w:val="both"/>
        <w:rPr>
          <w:rFonts w:ascii="Book Antiqua" w:cs="Book Antiqua" w:hAnsi="Book Antiqua" w:eastAsia="Book Antiqua"/>
        </w:rPr>
      </w:pPr>
      <w:r>
        <w:rPr>
          <w:rFonts w:hAnsi="Book Antiqua" w:hint="default"/>
          <w:rtl w:val="0"/>
          <w:lang w:val="it-IT"/>
        </w:rPr>
        <w:t>“</w:t>
      </w:r>
      <w:r>
        <w:rPr>
          <w:rFonts w:ascii="Book Antiqua"/>
          <w:rtl w:val="0"/>
          <w:lang w:val="it-IT"/>
        </w:rPr>
        <w:t>Siamo alla fine del 2012: che cosa si fa? Mandare in funzione, in attivazione gli impianti TMB presenti, che sono Salario e Rocca Cencia dell'AMA, mentre Malagrotta 1 e Malagrotta 2 sono del Co.La.Ri..</w:t>
      </w:r>
      <w:r>
        <w:rPr>
          <w:rFonts w:hAnsi="Book Antiqua" w:hint="default"/>
          <w:rtl w:val="0"/>
          <w:lang w:val="it-IT"/>
        </w:rPr>
        <w:t xml:space="preserve">  </w:t>
      </w:r>
      <w:r>
        <w:rPr>
          <w:rFonts w:ascii="Book Antiqua"/>
          <w:rtl w:val="0"/>
          <w:lang w:val="it-IT"/>
        </w:rPr>
        <w:t>Perch</w:t>
      </w:r>
      <w:r>
        <w:rPr>
          <w:rFonts w:hAnsi="Book Antiqua" w:hint="default"/>
          <w:rtl w:val="0"/>
          <w:lang w:val="it-IT"/>
        </w:rPr>
        <w:t xml:space="preserve">é </w:t>
      </w:r>
      <w:r>
        <w:rPr>
          <w:rFonts w:ascii="Book Antiqua"/>
          <w:rtl w:val="0"/>
          <w:lang w:val="it-IT"/>
        </w:rPr>
        <w:t>mandarli in funzione, dando il pi</w:t>
      </w:r>
      <w:r>
        <w:rPr>
          <w:rFonts w:hAnsi="Book Antiqua" w:hint="default"/>
          <w:rtl w:val="0"/>
          <w:lang w:val="it-IT"/>
        </w:rPr>
        <w:t xml:space="preserve">ù </w:t>
      </w:r>
      <w:r>
        <w:rPr>
          <w:rFonts w:ascii="Book Antiqua"/>
          <w:rtl w:val="0"/>
          <w:lang w:val="it-IT"/>
        </w:rPr>
        <w:t>possibile rifiuti? Perch</w:t>
      </w:r>
      <w:r>
        <w:rPr>
          <w:rFonts w:hAnsi="Book Antiqua" w:hint="default"/>
          <w:rtl w:val="0"/>
          <w:lang w:val="it-IT"/>
        </w:rPr>
        <w:t xml:space="preserve">é </w:t>
      </w:r>
      <w:r>
        <w:rPr>
          <w:rFonts w:ascii="Book Antiqua"/>
          <w:rtl w:val="0"/>
          <w:lang w:val="it-IT"/>
        </w:rPr>
        <w:t>prima questi impianti lavoravano a rilento. Ma perch</w:t>
      </w:r>
      <w:r>
        <w:rPr>
          <w:rFonts w:hAnsi="Book Antiqua" w:hint="default"/>
          <w:rtl w:val="0"/>
          <w:lang w:val="it-IT"/>
        </w:rPr>
        <w:t xml:space="preserve">é </w:t>
      </w:r>
      <w:r>
        <w:rPr>
          <w:rFonts w:ascii="Book Antiqua"/>
          <w:rtl w:val="0"/>
          <w:lang w:val="it-IT"/>
        </w:rPr>
        <w:t>lavoravano a rilento? Perch</w:t>
      </w:r>
      <w:r>
        <w:rPr>
          <w:rFonts w:hAnsi="Book Antiqua" w:hint="default"/>
          <w:rtl w:val="0"/>
          <w:lang w:val="it-IT"/>
        </w:rPr>
        <w:t xml:space="preserve">é </w:t>
      </w:r>
      <w:r>
        <w:rPr>
          <w:rFonts w:ascii="Book Antiqua"/>
          <w:rtl w:val="0"/>
          <w:lang w:val="it-IT"/>
        </w:rPr>
        <w:t>il comune di Roma, quando trasferisce col suo autocarro i rifiuti nelle discariche o negli impianti di trattamento, dice dove devono andare. Prevalentemente, il comune di Roma mandava i rifiuti in discarica anzich</w:t>
      </w:r>
      <w:r>
        <w:rPr>
          <w:rFonts w:hAnsi="Book Antiqua" w:hint="default"/>
          <w:rtl w:val="0"/>
          <w:lang w:val="it-IT"/>
        </w:rPr>
        <w:t xml:space="preserve">é </w:t>
      </w:r>
      <w:r>
        <w:rPr>
          <w:rFonts w:ascii="Book Antiqua"/>
          <w:rtl w:val="0"/>
          <w:lang w:val="it-IT"/>
        </w:rPr>
        <w:t>agli impianti per una ragione molto semplice: in discarica pagava 42 e andando all'impianto ne pagava 104.</w:t>
      </w:r>
      <w:r>
        <w:rPr>
          <w:rFonts w:hAnsi="Book Antiqua" w:hint="default"/>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La prima fase si conclude con la chiusura della discarica di Malagrotta avvenuta il 1</w:t>
      </w:r>
      <w:r>
        <w:rPr>
          <w:rFonts w:hAnsi="Book Antiqua" w:hint="default"/>
          <w:rtl w:val="0"/>
          <w:lang w:val="it-IT"/>
        </w:rPr>
        <w:t xml:space="preserve">° </w:t>
      </w:r>
      <w:r>
        <w:rPr>
          <w:rFonts w:ascii="Book Antiqua"/>
          <w:rtl w:val="0"/>
          <w:lang w:val="it-IT"/>
        </w:rPr>
        <w:t>ottobre 2013: da quel momento in poi l</w:t>
      </w:r>
      <w:r>
        <w:rPr>
          <w:rFonts w:hAnsi="Book Antiqua" w:hint="default"/>
          <w:rtl w:val="0"/>
          <w:lang w:val="it-IT"/>
        </w:rPr>
        <w:t>’</w:t>
      </w:r>
      <w:r>
        <w:rPr>
          <w:rFonts w:ascii="Book Antiqua"/>
          <w:rtl w:val="0"/>
          <w:lang w:val="it-IT"/>
        </w:rPr>
        <w:t>obiettivo da raggiungere non riguarda pi</w:t>
      </w:r>
      <w:r>
        <w:rPr>
          <w:rFonts w:hAnsi="Book Antiqua" w:hint="default"/>
          <w:rtl w:val="0"/>
          <w:lang w:val="it-IT"/>
        </w:rPr>
        <w:t xml:space="preserve">ù </w:t>
      </w:r>
      <w:r>
        <w:rPr>
          <w:rFonts w:ascii="Book Antiqua"/>
          <w:rtl w:val="0"/>
          <w:lang w:val="it-IT"/>
        </w:rPr>
        <w:t>il completo trattamento dei rifiuti al fine di non sversare pi</w:t>
      </w:r>
      <w:r>
        <w:rPr>
          <w:rFonts w:hAnsi="Book Antiqua" w:hint="default"/>
          <w:rtl w:val="0"/>
          <w:lang w:val="it-IT"/>
        </w:rPr>
        <w:t xml:space="preserve">ù </w:t>
      </w:r>
      <w:r>
        <w:rPr>
          <w:rFonts w:ascii="Book Antiqua"/>
          <w:rtl w:val="0"/>
          <w:lang w:val="it-IT"/>
        </w:rPr>
        <w:t>tal quale ma diviene il completo trattamento allo scopo di ottenere quei rifiuti speciali che si possono inviare anche fuori regione attraverso un semplice contratto tra societ</w:t>
      </w:r>
      <w:r>
        <w:rPr>
          <w:rFonts w:hAnsi="Book Antiqua" w:hint="default"/>
          <w:rtl w:val="0"/>
          <w:lang w:val="it-IT"/>
        </w:rPr>
        <w:t>à</w:t>
      </w:r>
      <w:r>
        <w:rPr>
          <w:rFonts w:ascii="Book Antiqua"/>
          <w:rtl w:val="0"/>
          <w:lang w:val="it-IT"/>
        </w:rPr>
        <w:t xml:space="preserve">. </w:t>
      </w:r>
    </w:p>
    <w:p>
      <w:pPr>
        <w:pStyle w:val="Normal"/>
        <w:ind w:left="567" w:right="567" w:firstLine="0"/>
        <w:jc w:val="both"/>
        <w:rPr>
          <w:rFonts w:ascii="Book Antiqua" w:cs="Book Antiqua" w:hAnsi="Book Antiqua" w:eastAsia="Book Antiqua"/>
        </w:rPr>
      </w:pPr>
      <w:r>
        <w:rPr>
          <w:rFonts w:ascii="Book Antiqua"/>
          <w:rtl w:val="0"/>
          <w:lang w:val="it-IT"/>
        </w:rPr>
        <w:t xml:space="preserve">Dalla chiusura di Malagrotta in poi, come si </w:t>
      </w:r>
      <w:r>
        <w:rPr>
          <w:rFonts w:hAnsi="Book Antiqua" w:hint="default"/>
          <w:rtl w:val="0"/>
          <w:lang w:val="it-IT"/>
        </w:rPr>
        <w:t xml:space="preserve">è </w:t>
      </w:r>
      <w:r>
        <w:rPr>
          <w:rFonts w:ascii="Book Antiqua"/>
          <w:rtl w:val="0"/>
          <w:lang w:val="it-IT"/>
        </w:rPr>
        <w:t>detto, il sistema diviene rigido e soggetto a forte instabilit</w:t>
      </w:r>
      <w:r>
        <w:rPr>
          <w:rFonts w:hAnsi="Book Antiqua" w:hint="default"/>
          <w:rtl w:val="0"/>
          <w:lang w:val="it-IT"/>
        </w:rPr>
        <w:t>à</w:t>
      </w:r>
      <w:r>
        <w:rPr>
          <w:rFonts w:ascii="Book Antiqua"/>
          <w:rtl w:val="0"/>
          <w:lang w:val="it-IT"/>
        </w:rPr>
        <w:t>, soprattutto perch</w:t>
      </w:r>
      <w:r>
        <w:rPr>
          <w:rFonts w:hAnsi="Book Antiqua" w:hint="default"/>
          <w:rtl w:val="0"/>
          <w:lang w:val="it-IT"/>
        </w:rPr>
        <w:t xml:space="preserve">é </w:t>
      </w:r>
      <w:r>
        <w:rPr>
          <w:rFonts w:ascii="Book Antiqua"/>
          <w:rtl w:val="0"/>
          <w:lang w:val="it-IT"/>
        </w:rPr>
        <w:t xml:space="preserve">chi doveva programmare e realizzare un sistema alternativo </w:t>
      </w:r>
      <w:r>
        <w:rPr>
          <w:rFonts w:hAnsi="Book Antiqua" w:hint="default"/>
          <w:rtl w:val="0"/>
          <w:lang w:val="it-IT"/>
        </w:rPr>
        <w:t xml:space="preserve">– </w:t>
      </w:r>
      <w:r>
        <w:rPr>
          <w:rFonts w:ascii="Book Antiqua"/>
          <w:rtl w:val="0"/>
          <w:lang w:val="it-IT"/>
        </w:rPr>
        <w:t xml:space="preserve">rispettoso delle leggi nazionali e delle direttive europee </w:t>
      </w:r>
      <w:r>
        <w:rPr>
          <w:rFonts w:hAnsi="Book Antiqua" w:hint="default"/>
          <w:rtl w:val="0"/>
          <w:lang w:val="it-IT"/>
        </w:rPr>
        <w:t xml:space="preserve">– </w:t>
      </w:r>
      <w:r>
        <w:rPr>
          <w:rFonts w:ascii="Book Antiqua"/>
          <w:rtl w:val="0"/>
          <w:lang w:val="it-IT"/>
        </w:rPr>
        <w:t xml:space="preserve">negli anni, e sinora, non lo ha fatto in maniera concreta ed efficace. </w:t>
      </w:r>
    </w:p>
    <w:p>
      <w:pPr>
        <w:pStyle w:val="Normal"/>
        <w:ind w:left="567" w:right="567" w:firstLine="0"/>
        <w:jc w:val="both"/>
        <w:rPr>
          <w:rFonts w:ascii="Book Antiqua" w:cs="Book Antiqua" w:hAnsi="Book Antiqua" w:eastAsia="Book Antiqua"/>
        </w:rPr>
      </w:pPr>
      <w:r>
        <w:rPr>
          <w:rFonts w:ascii="Book Antiqua"/>
          <w:rtl w:val="0"/>
          <w:lang w:val="it-IT"/>
        </w:rPr>
        <w:t>In questa situazione la parte dei rifiuti indifferenziati diviene la maggiore criticit</w:t>
      </w:r>
      <w:r>
        <w:rPr>
          <w:rFonts w:hAnsi="Book Antiqua" w:hint="default"/>
          <w:rtl w:val="0"/>
          <w:lang w:val="it-IT"/>
        </w:rPr>
        <w:t xml:space="preserve">à </w:t>
      </w:r>
      <w:r>
        <w:rPr>
          <w:rFonts w:ascii="Book Antiqua"/>
          <w:rtl w:val="0"/>
          <w:lang w:val="it-IT"/>
        </w:rPr>
        <w:t>per la citt</w:t>
      </w:r>
      <w:r>
        <w:rPr>
          <w:rFonts w:hAnsi="Book Antiqua" w:hint="default"/>
          <w:rtl w:val="0"/>
          <w:lang w:val="it-IT"/>
        </w:rPr>
        <w:t xml:space="preserve">à </w:t>
      </w:r>
      <w:r>
        <w:rPr>
          <w:rFonts w:ascii="Book Antiqua"/>
          <w:rtl w:val="0"/>
          <w:lang w:val="it-IT"/>
        </w:rPr>
        <w:t xml:space="preserve">di Roma. </w:t>
      </w:r>
    </w:p>
    <w:p>
      <w:pPr>
        <w:pStyle w:val="Normal"/>
        <w:ind w:left="567" w:right="567" w:firstLine="0"/>
        <w:jc w:val="both"/>
        <w:rPr>
          <w:rFonts w:ascii="Book Antiqua" w:cs="Book Antiqua" w:hAnsi="Book Antiqua" w:eastAsia="Book Antiqua"/>
        </w:rPr>
      </w:pPr>
      <w:r>
        <w:rPr>
          <w:rFonts w:ascii="Book Antiqua"/>
          <w:rtl w:val="0"/>
          <w:lang w:val="it-IT"/>
        </w:rPr>
        <w:t>Dall</w:t>
      </w:r>
      <w:r>
        <w:rPr>
          <w:rFonts w:hAnsi="Book Antiqua" w:hint="default"/>
          <w:rtl w:val="0"/>
          <w:lang w:val="it-IT"/>
        </w:rPr>
        <w:t>’</w:t>
      </w:r>
      <w:r>
        <w:rPr>
          <w:rFonts w:ascii="Book Antiqua"/>
          <w:rtl w:val="0"/>
          <w:lang w:val="it-IT"/>
        </w:rPr>
        <w:t>ottobre 2013 fino ad oggi il sistema ha retto tra mille difficolt</w:t>
      </w:r>
      <w:r>
        <w:rPr>
          <w:rFonts w:hAnsi="Book Antiqua" w:hint="default"/>
          <w:rtl w:val="0"/>
          <w:lang w:val="it-IT"/>
        </w:rPr>
        <w:t>à</w:t>
      </w:r>
      <w:r>
        <w:rPr>
          <w:rFonts w:ascii="Book Antiqua"/>
          <w:rtl w:val="0"/>
          <w:lang w:val="it-IT"/>
        </w:rPr>
        <w:t>, con l</w:t>
      </w:r>
      <w:r>
        <w:rPr>
          <w:rFonts w:hAnsi="Book Antiqua" w:hint="default"/>
          <w:rtl w:val="0"/>
          <w:lang w:val="it-IT"/>
        </w:rPr>
        <w:t>’</w:t>
      </w:r>
      <w:r>
        <w:rPr>
          <w:rFonts w:ascii="Book Antiqua"/>
          <w:rtl w:val="0"/>
          <w:lang w:val="it-IT"/>
        </w:rPr>
        <w:t>aiuto in diverse fasi di diversi impianti di trattamento localizzati fuori Roma e con l</w:t>
      </w:r>
      <w:r>
        <w:rPr>
          <w:rFonts w:hAnsi="Book Antiqua" w:hint="default"/>
          <w:rtl w:val="0"/>
          <w:lang w:val="it-IT"/>
        </w:rPr>
        <w:t>’</w:t>
      </w:r>
      <w:r>
        <w:rPr>
          <w:rFonts w:ascii="Book Antiqua"/>
          <w:rtl w:val="0"/>
          <w:lang w:val="it-IT"/>
        </w:rPr>
        <w:t>utilizzo di tritovagliatori nonch</w:t>
      </w:r>
      <w:r>
        <w:rPr>
          <w:rFonts w:hAnsi="Book Antiqua" w:hint="default"/>
          <w:rtl w:val="0"/>
          <w:lang w:val="it-IT"/>
        </w:rPr>
        <w:t xml:space="preserve">é </w:t>
      </w:r>
      <w:r>
        <w:rPr>
          <w:rFonts w:ascii="Book Antiqua"/>
          <w:rtl w:val="0"/>
          <w:lang w:val="it-IT"/>
        </w:rPr>
        <w:t>con accordi regionali e con viaggi verso l</w:t>
      </w:r>
      <w:r>
        <w:rPr>
          <w:rFonts w:hAnsi="Book Antiqua" w:hint="default"/>
          <w:rtl w:val="0"/>
          <w:lang w:val="it-IT"/>
        </w:rPr>
        <w:t>’</w:t>
      </w:r>
      <w:r>
        <w:rPr>
          <w:rFonts w:ascii="Book Antiqua"/>
          <w:rtl w:val="0"/>
          <w:lang w:val="it-IT"/>
        </w:rPr>
        <w:t>estero per l</w:t>
      </w:r>
      <w:r>
        <w:rPr>
          <w:rFonts w:hAnsi="Book Antiqua" w:hint="default"/>
          <w:rtl w:val="0"/>
          <w:lang w:val="it-IT"/>
        </w:rPr>
        <w:t>’</w:t>
      </w:r>
      <w:r>
        <w:rPr>
          <w:rFonts w:ascii="Book Antiqua"/>
          <w:rtl w:val="0"/>
          <w:lang w:val="it-IT"/>
        </w:rPr>
        <w:t xml:space="preserve">esportazione di rifiuti indifferenziati. </w:t>
      </w:r>
    </w:p>
    <w:p>
      <w:pPr>
        <w:pStyle w:val="Normal"/>
        <w:ind w:left="567" w:right="567" w:firstLine="0"/>
        <w:jc w:val="both"/>
        <w:rPr>
          <w:rFonts w:ascii="Book Antiqua" w:cs="Book Antiqua" w:hAnsi="Book Antiqua" w:eastAsia="Book Antiqua"/>
        </w:rPr>
      </w:pPr>
      <w:r>
        <w:rPr>
          <w:rFonts w:ascii="Book Antiqua"/>
          <w:rtl w:val="0"/>
          <w:lang w:val="it-IT"/>
        </w:rPr>
        <w:t xml:space="preserve">A chiudere il cerchio sono i </w:t>
      </w:r>
      <w:r>
        <w:rPr>
          <w:rFonts w:hAnsi="Book Antiqua" w:hint="default"/>
          <w:rtl w:val="0"/>
          <w:lang w:val="it-IT"/>
        </w:rPr>
        <w:t>“</w:t>
      </w:r>
      <w:r>
        <w:rPr>
          <w:rFonts w:ascii="Book Antiqua"/>
          <w:rtl w:val="0"/>
          <w:lang w:val="it-IT"/>
        </w:rPr>
        <w:t>soliti</w:t>
      </w:r>
      <w:r>
        <w:rPr>
          <w:rFonts w:hAnsi="Book Antiqua" w:hint="default"/>
          <w:rtl w:val="0"/>
          <w:lang w:val="it-IT"/>
        </w:rPr>
        <w:t xml:space="preserve">” </w:t>
      </w:r>
      <w:r>
        <w:rPr>
          <w:rFonts w:ascii="Book Antiqua"/>
          <w:rtl w:val="0"/>
          <w:lang w:val="it-IT"/>
        </w:rPr>
        <w:t>quattro impianti TMB di Roma che ancora oggi non riescono a trattare la totalit</w:t>
      </w:r>
      <w:r>
        <w:rPr>
          <w:rFonts w:hAnsi="Book Antiqua" w:hint="default"/>
          <w:rtl w:val="0"/>
          <w:lang w:val="it-IT"/>
        </w:rPr>
        <w:t xml:space="preserve">à </w:t>
      </w:r>
      <w:r>
        <w:rPr>
          <w:rFonts w:ascii="Book Antiqua"/>
          <w:rtl w:val="0"/>
          <w:lang w:val="it-IT"/>
        </w:rPr>
        <w:t xml:space="preserve">dei rifiuti indifferenziati prodotti a Roma. Appare chiaro che ogni qual volta uno di questi passaggi si </w:t>
      </w:r>
      <w:r>
        <w:rPr>
          <w:rFonts w:hAnsi="Book Antiqua" w:hint="default"/>
          <w:rtl w:val="0"/>
          <w:lang w:val="it-IT"/>
        </w:rPr>
        <w:t xml:space="preserve">è </w:t>
      </w:r>
      <w:r>
        <w:rPr>
          <w:rFonts w:ascii="Book Antiqua"/>
          <w:rtl w:val="0"/>
          <w:lang w:val="it-IT"/>
        </w:rPr>
        <w:t>interrotto la citt</w:t>
      </w:r>
      <w:r>
        <w:rPr>
          <w:rFonts w:hAnsi="Book Antiqua" w:hint="default"/>
          <w:rtl w:val="0"/>
          <w:lang w:val="it-IT"/>
        </w:rPr>
        <w:t xml:space="preserve">à </w:t>
      </w:r>
      <w:r>
        <w:rPr>
          <w:rFonts w:ascii="Book Antiqua"/>
          <w:rtl w:val="0"/>
          <w:lang w:val="it-IT"/>
        </w:rPr>
        <w:t>ne ha pagato le conseguenze giacch</w:t>
      </w:r>
      <w:r>
        <w:rPr>
          <w:rFonts w:hAnsi="Book Antiqua" w:hint="default"/>
          <w:rtl w:val="0"/>
          <w:lang w:val="it-IT"/>
        </w:rPr>
        <w:t xml:space="preserve">é </w:t>
      </w:r>
      <w:r>
        <w:rPr>
          <w:rFonts w:ascii="Book Antiqua"/>
          <w:rtl w:val="0"/>
          <w:lang w:val="it-IT"/>
        </w:rPr>
        <w:t xml:space="preserve">i rifiuti non sono stati raccolti dalle strade. </w:t>
      </w:r>
    </w:p>
    <w:p>
      <w:pPr>
        <w:pStyle w:val="Normal"/>
        <w:ind w:left="567" w:right="567" w:firstLine="0"/>
        <w:jc w:val="both"/>
        <w:rPr>
          <w:rFonts w:ascii="Book Antiqua" w:cs="Book Antiqua" w:hAnsi="Book Antiqua" w:eastAsia="Book Antiqua"/>
        </w:rPr>
      </w:pPr>
      <w:r>
        <w:rPr>
          <w:rFonts w:ascii="Book Antiqua"/>
          <w:rtl w:val="0"/>
          <w:lang w:val="it-IT"/>
        </w:rPr>
        <w:t xml:space="preserve">Un equilibrio talmente instabile che, come affermato dal presidente pro tempore di AMA, Daniele Fortini, il 22 luglio 2015, dinanzi alla Commissione: </w:t>
      </w:r>
      <w:r>
        <w:rPr>
          <w:rFonts w:hAnsi="Book Antiqua" w:hint="default"/>
          <w:rtl w:val="0"/>
          <w:lang w:val="it-IT"/>
        </w:rPr>
        <w:t>“</w:t>
      </w:r>
      <w:r>
        <w:rPr>
          <w:rFonts w:ascii="Book Antiqua"/>
          <w:rtl w:val="0"/>
          <w:lang w:val="it-IT"/>
        </w:rPr>
        <w:t xml:space="preserve">Il rischio che venga procurata artificiosamente a Roma una nuova emergenza </w:t>
      </w:r>
      <w:r>
        <w:rPr>
          <w:rFonts w:hAnsi="Book Antiqua" w:hint="default"/>
          <w:rtl w:val="0"/>
          <w:lang w:val="it-IT"/>
        </w:rPr>
        <w:t xml:space="preserve">è </w:t>
      </w:r>
      <w:r>
        <w:rPr>
          <w:rFonts w:ascii="Book Antiqua"/>
          <w:rtl w:val="0"/>
          <w:lang w:val="it-IT"/>
        </w:rPr>
        <w:t>un rischio incombente, che noi avvertiamo, di cui abbiamo dato conto, ovviamente, alle autorit</w:t>
      </w:r>
      <w:r>
        <w:rPr>
          <w:rFonts w:hAnsi="Book Antiqua" w:hint="default"/>
          <w:rtl w:val="0"/>
          <w:lang w:val="it-IT"/>
        </w:rPr>
        <w:t xml:space="preserve">à </w:t>
      </w:r>
      <w:r>
        <w:rPr>
          <w:rFonts w:ascii="Book Antiqua"/>
          <w:rtl w:val="0"/>
          <w:lang w:val="it-IT"/>
        </w:rPr>
        <w:t>inquirenti e che viene permanentemente monitorato, nello sforzo di tenere in ordine, da una parte, lo svolgimento del servizio e, dall</w:t>
      </w:r>
      <w:r>
        <w:rPr>
          <w:rFonts w:hAnsi="Book Antiqua" w:hint="default"/>
          <w:rtl w:val="0"/>
          <w:lang w:val="it-IT"/>
        </w:rPr>
        <w:t>’</w:t>
      </w:r>
      <w:r>
        <w:rPr>
          <w:rFonts w:ascii="Book Antiqua"/>
          <w:rtl w:val="0"/>
          <w:lang w:val="it-IT"/>
        </w:rPr>
        <w:t>altra, la corretta e legale gestione di tutte le attivit</w:t>
      </w:r>
      <w:r>
        <w:rPr>
          <w:rFonts w:hAnsi="Book Antiqua" w:hint="default"/>
          <w:rtl w:val="0"/>
          <w:lang w:val="it-IT"/>
        </w:rPr>
        <w:t xml:space="preserve">à </w:t>
      </w:r>
      <w:r>
        <w:rPr>
          <w:rFonts w:ascii="Book Antiqua"/>
          <w:rtl w:val="0"/>
          <w:lang w:val="it-IT"/>
        </w:rPr>
        <w:t>che ci competono.</w:t>
      </w:r>
      <w:r>
        <w:rPr>
          <w:rFonts w:hAnsi="Book Antiqua" w:hint="default"/>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Di seguito vengono riportati alcuni dati forniti dall</w:t>
      </w:r>
      <w:r>
        <w:rPr>
          <w:rFonts w:hAnsi="Book Antiqua" w:hint="default"/>
          <w:rtl w:val="0"/>
          <w:lang w:val="it-IT"/>
        </w:rPr>
        <w:t>’</w:t>
      </w:r>
      <w:r>
        <w:rPr>
          <w:rFonts w:ascii="Book Antiqua"/>
          <w:rtl w:val="0"/>
          <w:lang w:val="it-IT"/>
        </w:rPr>
        <w:t>AMA S.p.A. che, per gli anni in questione, forniscono un dato significativo e complessivo sugli impianti di trattamento ubicati a Roma</w:t>
      </w:r>
      <w:r>
        <w:rPr>
          <w:rFonts w:ascii="Book Antiqua" w:cs="Book Antiqua" w:hAnsi="Book Antiqua" w:eastAsia="Book Antiqua"/>
          <w:vertAlign w:val="superscript"/>
          <w:rtl w:val="0"/>
        </w:rPr>
        <w:footnoteReference w:id="41"/>
      </w:r>
      <w:r>
        <w:rPr>
          <w:rFonts w:ascii="Book Antiqua"/>
          <w:rtl w:val="0"/>
          <w:lang w:val="it-IT"/>
        </w:rPr>
        <w:t>.</w:t>
      </w:r>
    </w:p>
    <w:p>
      <w:pPr>
        <w:pStyle w:val="Normal"/>
        <w:jc w:val="both"/>
        <w:rPr>
          <w:rFonts w:ascii="Times New Roman Bold" w:cs="Times New Roman Bold" w:hAnsi="Times New Roman Bold" w:eastAsia="Times New Roman Bold"/>
          <w:u w:val="single"/>
        </w:rPr>
      </w:pPr>
      <w:r>
        <w:rPr>
          <w:rtl w:val="0"/>
        </w:rPr>
        <w:drawing>
          <wp:inline distT="0" distB="0" distL="0" distR="0">
            <wp:extent cx="5829300" cy="3568700"/>
            <wp:effectExtent l="0" t="0" r="0" b="0"/>
            <wp:docPr id="1073741843" name="officeArt object" descr="fortini--dati-AMA-80-80-001.jpg"/>
            <wp:cNvGraphicFramePr/>
            <a:graphic xmlns:a="http://schemas.openxmlformats.org/drawingml/2006/main">
              <a:graphicData uri="http://schemas.openxmlformats.org/drawingml/2006/picture">
                <pic:pic xmlns:pic="http://schemas.openxmlformats.org/drawingml/2006/picture">
                  <pic:nvPicPr>
                    <pic:cNvPr id="1073741843" name="image19.jpg" descr="fortini--dati-AMA-80-80-001.jpg"/>
                    <pic:cNvPicPr/>
                  </pic:nvPicPr>
                  <pic:blipFill>
                    <a:blip r:embed="rId27">
                      <a:extLst/>
                    </a:blip>
                    <a:stretch>
                      <a:fillRect/>
                    </a:stretch>
                  </pic:blipFill>
                  <pic:spPr>
                    <a:xfrm>
                      <a:off x="0" y="0"/>
                      <a:ext cx="5829300" cy="3568700"/>
                    </a:xfrm>
                    <a:prstGeom prst="rect">
                      <a:avLst/>
                    </a:prstGeom>
                    <a:ln w="12700" cap="flat">
                      <a:noFill/>
                      <a:miter lim="400000"/>
                    </a:ln>
                    <a:effectLst/>
                  </pic:spPr>
                </pic:pic>
              </a:graphicData>
            </a:graphic>
          </wp:inline>
        </w:drawing>
      </w:r>
      <w:r>
        <w:rPr>
          <w:rtl w:val="0"/>
          <w:lang w:val="it-IT"/>
        </w:rPr>
        <w:t xml:space="preserve"> </w:t>
      </w:r>
    </w:p>
    <w:p>
      <w:pPr>
        <w:pStyle w:val="Normal"/>
        <w:jc w:val="both"/>
        <w:rPr>
          <w:rFonts w:ascii="Times New Roman Bold" w:cs="Times New Roman Bold" w:hAnsi="Times New Roman Bold" w:eastAsia="Times New Roman Bold"/>
          <w:u w:val="single"/>
        </w:rPr>
      </w:pPr>
    </w:p>
    <w:p>
      <w:pPr>
        <w:pStyle w:val="Normal"/>
        <w:jc w:val="both"/>
        <w:rPr>
          <w:rFonts w:ascii="Times New Roman Bold" w:cs="Times New Roman Bold" w:hAnsi="Times New Roman Bold" w:eastAsia="Times New Roman Bold"/>
          <w:u w:val="single"/>
        </w:rPr>
      </w:pPr>
      <w:r>
        <w:rPr>
          <w:rFonts w:ascii="Times New Roman Bold" w:cs="Times New Roman Bold" w:hAnsi="Times New Roman Bold" w:eastAsia="Times New Roman Bold"/>
          <w:u w:val="single"/>
          <w:rtl w:val="0"/>
        </w:rPr>
        <w:drawing>
          <wp:inline distT="0" distB="0" distL="0" distR="0">
            <wp:extent cx="5967727" cy="4241801"/>
            <wp:effectExtent l="0" t="0" r="0" b="0"/>
            <wp:docPr id="1073741844" name="officeArt object" descr="fortini--dati-AMA-81-81-001.jpg"/>
            <wp:cNvGraphicFramePr/>
            <a:graphic xmlns:a="http://schemas.openxmlformats.org/drawingml/2006/main">
              <a:graphicData uri="http://schemas.openxmlformats.org/drawingml/2006/picture">
                <pic:pic xmlns:pic="http://schemas.openxmlformats.org/drawingml/2006/picture">
                  <pic:nvPicPr>
                    <pic:cNvPr id="1073741844" name="image20.jpg" descr="fortini--dati-AMA-81-81-001.jpg"/>
                    <pic:cNvPicPr/>
                  </pic:nvPicPr>
                  <pic:blipFill>
                    <a:blip r:embed="rId28">
                      <a:extLst/>
                    </a:blip>
                    <a:stretch>
                      <a:fillRect/>
                    </a:stretch>
                  </pic:blipFill>
                  <pic:spPr>
                    <a:xfrm>
                      <a:off x="0" y="0"/>
                      <a:ext cx="5967727" cy="4241801"/>
                    </a:xfrm>
                    <a:prstGeom prst="rect">
                      <a:avLst/>
                    </a:prstGeom>
                    <a:ln w="12700" cap="flat">
                      <a:noFill/>
                      <a:miter lim="400000"/>
                    </a:ln>
                    <a:effectLst/>
                  </pic:spPr>
                </pic:pic>
              </a:graphicData>
            </a:graphic>
          </wp:inline>
        </w:drawing>
      </w:r>
    </w:p>
    <w:p>
      <w:pPr>
        <w:pStyle w:val="Normal"/>
        <w:jc w:val="both"/>
        <w:rPr>
          <w:rFonts w:ascii="Times New Roman Bold" w:cs="Times New Roman Bold" w:hAnsi="Times New Roman Bold" w:eastAsia="Times New Roman Bold"/>
          <w:u w:val="single"/>
        </w:rPr>
      </w:pPr>
    </w:p>
    <w:p>
      <w:pPr>
        <w:pStyle w:val="Normal"/>
        <w:jc w:val="both"/>
        <w:rPr>
          <w:rFonts w:ascii="Times New Roman Bold" w:cs="Times New Roman Bold" w:hAnsi="Times New Roman Bold" w:eastAsia="Times New Roman Bold"/>
          <w:u w:val="single"/>
        </w:rPr>
      </w:pPr>
      <w:r>
        <w:rPr>
          <w:rFonts w:ascii="Times New Roman Bold" w:cs="Times New Roman Bold" w:hAnsi="Times New Roman Bold" w:eastAsia="Times New Roman Bold"/>
          <w:u w:val="single"/>
          <w:rtl w:val="0"/>
        </w:rPr>
        <w:drawing>
          <wp:inline distT="0" distB="0" distL="0" distR="0">
            <wp:extent cx="5873750" cy="4169761"/>
            <wp:effectExtent l="0" t="0" r="0" b="0"/>
            <wp:docPr id="1073741845" name="officeArt object" descr="fortini--dati-AMA-82-82-001.jpg"/>
            <wp:cNvGraphicFramePr/>
            <a:graphic xmlns:a="http://schemas.openxmlformats.org/drawingml/2006/main">
              <a:graphicData uri="http://schemas.openxmlformats.org/drawingml/2006/picture">
                <pic:pic xmlns:pic="http://schemas.openxmlformats.org/drawingml/2006/picture">
                  <pic:nvPicPr>
                    <pic:cNvPr id="1073741845" name="image21.jpg" descr="fortini--dati-AMA-82-82-001.jpg"/>
                    <pic:cNvPicPr/>
                  </pic:nvPicPr>
                  <pic:blipFill>
                    <a:blip r:embed="rId29">
                      <a:extLst/>
                    </a:blip>
                    <a:stretch>
                      <a:fillRect/>
                    </a:stretch>
                  </pic:blipFill>
                  <pic:spPr>
                    <a:xfrm>
                      <a:off x="0" y="0"/>
                      <a:ext cx="5873750" cy="4169761"/>
                    </a:xfrm>
                    <a:prstGeom prst="rect">
                      <a:avLst/>
                    </a:prstGeom>
                    <a:ln w="12700" cap="flat">
                      <a:noFill/>
                      <a:miter lim="400000"/>
                    </a:ln>
                    <a:effectLst/>
                  </pic:spPr>
                </pic:pic>
              </a:graphicData>
            </a:graphic>
          </wp:inline>
        </w:drawing>
      </w:r>
    </w:p>
    <w:p>
      <w:pPr>
        <w:pStyle w:val="Normal"/>
        <w:jc w:val="both"/>
        <w:rPr>
          <w:rFonts w:ascii="Times New Roman Bold" w:cs="Times New Roman Bold" w:hAnsi="Times New Roman Bold" w:eastAsia="Times New Roman Bold"/>
          <w:u w:val="single"/>
        </w:rPr>
      </w:pPr>
      <w:r>
        <w:rPr>
          <w:rFonts w:ascii="Times New Roman Bold" w:cs="Times New Roman Bold" w:hAnsi="Times New Roman Bold" w:eastAsia="Times New Roman Bold"/>
          <w:u w:val="single"/>
          <w:rtl w:val="0"/>
        </w:rPr>
        <w:drawing>
          <wp:inline distT="0" distB="0" distL="0" distR="0">
            <wp:extent cx="5933734" cy="4197350"/>
            <wp:effectExtent l="0" t="0" r="0" b="0"/>
            <wp:docPr id="1073741846" name="officeArt object" descr="fortini--dati-AMA-83-83-001.jpg"/>
            <wp:cNvGraphicFramePr/>
            <a:graphic xmlns:a="http://schemas.openxmlformats.org/drawingml/2006/main">
              <a:graphicData uri="http://schemas.openxmlformats.org/drawingml/2006/picture">
                <pic:pic xmlns:pic="http://schemas.openxmlformats.org/drawingml/2006/picture">
                  <pic:nvPicPr>
                    <pic:cNvPr id="1073741846" name="image22.jpg" descr="fortini--dati-AMA-83-83-001.jpg"/>
                    <pic:cNvPicPr/>
                  </pic:nvPicPr>
                  <pic:blipFill>
                    <a:blip r:embed="rId30">
                      <a:extLst/>
                    </a:blip>
                    <a:stretch>
                      <a:fillRect/>
                    </a:stretch>
                  </pic:blipFill>
                  <pic:spPr>
                    <a:xfrm>
                      <a:off x="0" y="0"/>
                      <a:ext cx="5933734" cy="4197350"/>
                    </a:xfrm>
                    <a:prstGeom prst="rect">
                      <a:avLst/>
                    </a:prstGeom>
                    <a:ln w="12700" cap="flat">
                      <a:noFill/>
                      <a:miter lim="400000"/>
                    </a:ln>
                    <a:effectLst/>
                  </pic:spPr>
                </pic:pic>
              </a:graphicData>
            </a:graphic>
          </wp:inline>
        </w:drawing>
      </w:r>
    </w:p>
    <w:p>
      <w:pPr>
        <w:pStyle w:val="Normal"/>
        <w:jc w:val="both"/>
        <w:rPr>
          <w:rFonts w:ascii="Times New Roman Bold" w:cs="Times New Roman Bold" w:hAnsi="Times New Roman Bold" w:eastAsia="Times New Roman Bold"/>
          <w:u w:val="single"/>
        </w:rPr>
      </w:pPr>
    </w:p>
    <w:p>
      <w:pPr>
        <w:pStyle w:val="Normal"/>
        <w:jc w:val="both"/>
        <w:rPr>
          <w:rFonts w:ascii="Times New Roman Bold" w:cs="Times New Roman Bold" w:hAnsi="Times New Roman Bold" w:eastAsia="Times New Roman Bold"/>
          <w:u w:val="single"/>
        </w:rPr>
      </w:pPr>
      <w:r>
        <w:rPr>
          <w:rFonts w:ascii="Times New Roman Bold" w:cs="Times New Roman Bold" w:hAnsi="Times New Roman Bold" w:eastAsia="Times New Roman Bold"/>
          <w:u w:val="single"/>
          <w:rtl w:val="0"/>
        </w:rPr>
        <w:drawing>
          <wp:inline distT="0" distB="0" distL="0" distR="0">
            <wp:extent cx="6000750" cy="4271161"/>
            <wp:effectExtent l="0" t="0" r="0" b="0"/>
            <wp:docPr id="1073741847" name="officeArt object" descr="fortini--dati-AMA-84-84-001.jpg"/>
            <wp:cNvGraphicFramePr/>
            <a:graphic xmlns:a="http://schemas.openxmlformats.org/drawingml/2006/main">
              <a:graphicData uri="http://schemas.openxmlformats.org/drawingml/2006/picture">
                <pic:pic xmlns:pic="http://schemas.openxmlformats.org/drawingml/2006/picture">
                  <pic:nvPicPr>
                    <pic:cNvPr id="1073741847" name="image23.jpg" descr="fortini--dati-AMA-84-84-001.jpg"/>
                    <pic:cNvPicPr/>
                  </pic:nvPicPr>
                  <pic:blipFill>
                    <a:blip r:embed="rId31">
                      <a:extLst/>
                    </a:blip>
                    <a:stretch>
                      <a:fillRect/>
                    </a:stretch>
                  </pic:blipFill>
                  <pic:spPr>
                    <a:xfrm>
                      <a:off x="0" y="0"/>
                      <a:ext cx="6000750" cy="4271161"/>
                    </a:xfrm>
                    <a:prstGeom prst="rect">
                      <a:avLst/>
                    </a:prstGeom>
                    <a:ln w="12700" cap="flat">
                      <a:noFill/>
                      <a:miter lim="400000"/>
                    </a:ln>
                    <a:effectLst/>
                  </pic:spPr>
                </pic:pic>
              </a:graphicData>
            </a:graphic>
          </wp:inline>
        </w:drawing>
      </w:r>
    </w:p>
    <w:p>
      <w:pPr>
        <w:pStyle w:val="Normal"/>
        <w:jc w:val="both"/>
        <w:rPr>
          <w:rFonts w:ascii="Times New Roman Bold" w:cs="Times New Roman Bold" w:hAnsi="Times New Roman Bold" w:eastAsia="Times New Roman Bold"/>
          <w:u w:val="single"/>
        </w:rPr>
      </w:pPr>
    </w:p>
    <w:p>
      <w:pPr>
        <w:pStyle w:val="Normal"/>
        <w:ind w:left="567" w:right="567" w:firstLine="0"/>
        <w:jc w:val="both"/>
        <w:rPr>
          <w:rFonts w:ascii="Book Antiqua" w:cs="Book Antiqua" w:hAnsi="Book Antiqua" w:eastAsia="Book Antiqua"/>
          <w:sz w:val="28"/>
          <w:szCs w:val="28"/>
        </w:rPr>
      </w:pPr>
      <w:r>
        <w:rPr>
          <w:rFonts w:ascii="Book Antiqua"/>
          <w:sz w:val="28"/>
          <w:szCs w:val="28"/>
          <w:rtl w:val="0"/>
          <w:lang w:val="it-IT"/>
        </w:rPr>
        <w:t>2.2.2.8 I controlli sui TMB</w:t>
      </w: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rPr>
      </w:pPr>
      <w:r>
        <w:rPr>
          <w:rFonts w:ascii="Book Antiqua"/>
          <w:rtl w:val="0"/>
          <w:lang w:val="it-IT"/>
        </w:rPr>
        <w:t>A fronte dei cronici problemi di funzionalit</w:t>
      </w:r>
      <w:r>
        <w:rPr>
          <w:rFonts w:hAnsi="Book Antiqua" w:hint="default"/>
          <w:rtl w:val="0"/>
          <w:lang w:val="it-IT"/>
        </w:rPr>
        <w:t xml:space="preserve">à </w:t>
      </w:r>
      <w:r>
        <w:rPr>
          <w:rFonts w:ascii="Book Antiqua"/>
          <w:rtl w:val="0"/>
          <w:lang w:val="it-IT"/>
        </w:rPr>
        <w:t>degli impianti, vi sono stati interventi di controllo da parte di pi</w:t>
      </w:r>
      <w:r>
        <w:rPr>
          <w:rFonts w:hAnsi="Book Antiqua" w:hint="default"/>
          <w:rtl w:val="0"/>
          <w:lang w:val="it-IT"/>
        </w:rPr>
        <w:t xml:space="preserve">ù </w:t>
      </w:r>
      <w:r>
        <w:rPr>
          <w:rFonts w:ascii="Book Antiqua"/>
          <w:rtl w:val="0"/>
          <w:lang w:val="it-IT"/>
        </w:rPr>
        <w:t>soggetti istituzionali.</w:t>
      </w: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i w:val="1"/>
          <w:iCs w:val="1"/>
        </w:rPr>
      </w:pPr>
      <w:r>
        <w:rPr>
          <w:rFonts w:ascii="Book Antiqua"/>
          <w:i w:val="1"/>
          <w:iCs w:val="1"/>
          <w:rtl w:val="0"/>
          <w:lang w:val="it-IT"/>
        </w:rPr>
        <w:t>ARPA Lazio</w:t>
      </w: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rPr>
      </w:pPr>
      <w:r>
        <w:rPr>
          <w:rFonts w:ascii="Book Antiqua"/>
          <w:rtl w:val="0"/>
          <w:lang w:val="it-IT"/>
        </w:rPr>
        <w:t>Gli esiti dei controlli effettuati negli ultimi anni dall</w:t>
      </w:r>
      <w:r>
        <w:rPr>
          <w:rFonts w:hAnsi="Book Antiqua" w:hint="default"/>
          <w:rtl w:val="0"/>
          <w:lang w:val="it-IT"/>
        </w:rPr>
        <w:t>’</w:t>
      </w:r>
      <w:r>
        <w:rPr>
          <w:rFonts w:ascii="Book Antiqua"/>
          <w:rtl w:val="0"/>
          <w:lang w:val="it-IT"/>
        </w:rPr>
        <w:t>ARPA Lazio</w:t>
      </w:r>
      <w:r>
        <w:rPr>
          <w:rFonts w:ascii="Book Antiqua" w:cs="Book Antiqua" w:hAnsi="Book Antiqua" w:eastAsia="Book Antiqua"/>
          <w:color w:val="000000"/>
          <w:sz w:val="22"/>
          <w:szCs w:val="22"/>
          <w:u w:color="000000"/>
          <w:vertAlign w:val="superscript"/>
          <w:rtl w:val="0"/>
        </w:rPr>
        <w:footnoteReference w:id="42"/>
      </w:r>
      <w:r>
        <w:rPr>
          <w:rFonts w:ascii="Book Antiqua"/>
          <w:rtl w:val="0"/>
          <w:lang w:val="it-IT"/>
        </w:rPr>
        <w:t xml:space="preserve"> presso gli impianti ubicati a Roma per il trattamento dei rifiuti indifferenziati, sono stati sinteticamente ma efficacemente descritti dal direttore generale di ARPA Lazio, Marco Lupo, nell</w:t>
      </w:r>
      <w:r>
        <w:rPr>
          <w:rFonts w:hAnsi="Book Antiqua" w:hint="default"/>
          <w:rtl w:val="0"/>
          <w:lang w:val="it-IT"/>
        </w:rPr>
        <w:t>’</w:t>
      </w:r>
      <w:r>
        <w:rPr>
          <w:rFonts w:ascii="Book Antiqua"/>
          <w:rtl w:val="0"/>
          <w:lang w:val="it-IT"/>
        </w:rPr>
        <w:t xml:space="preserve">audizione davanti alla Commissione del 13 ottobre 2016: </w:t>
      </w:r>
    </w:p>
    <w:p>
      <w:pPr>
        <w:pStyle w:val="Normal"/>
        <w:ind w:left="567" w:right="567" w:firstLine="0"/>
        <w:jc w:val="both"/>
        <w:rPr>
          <w:rFonts w:ascii="Book Antiqua" w:cs="Book Antiqua" w:hAnsi="Book Antiqua" w:eastAsia="Book Antiqua"/>
        </w:rPr>
      </w:pPr>
      <w:r>
        <w:rPr>
          <w:rFonts w:hAnsi="Book Antiqua" w:hint="default"/>
          <w:rtl w:val="0"/>
          <w:lang w:val="it-IT"/>
        </w:rPr>
        <w:t>“</w:t>
      </w:r>
      <w:r>
        <w:rPr>
          <w:rFonts w:ascii="Book Antiqua"/>
          <w:color w:val="262626"/>
          <w:u w:color="262626"/>
          <w:rtl w:val="0"/>
          <w:lang w:val="it-IT"/>
        </w:rPr>
        <w:t>Per quanto riguarda gli impianti di trattamento meccanico-biologico sono state riscontrate durante i controlli (faccio una sintesi di quelle degli ultimi tre anni) delle criticit</w:t>
      </w:r>
      <w:r>
        <w:rPr>
          <w:rFonts w:hAnsi="Book Antiqua" w:hint="default"/>
          <w:color w:val="262626"/>
          <w:u w:color="262626"/>
          <w:rtl w:val="0"/>
          <w:lang w:val="it-IT"/>
        </w:rPr>
        <w:t xml:space="preserve">à </w:t>
      </w:r>
      <w:r>
        <w:rPr>
          <w:rFonts w:ascii="Book Antiqua"/>
          <w:color w:val="262626"/>
          <w:u w:color="262626"/>
          <w:rtl w:val="0"/>
          <w:lang w:val="it-IT"/>
        </w:rPr>
        <w:t>gestionali, soprattutto in periodi di sovraccarico, che determinano lo stoccaggio di grandi quantit</w:t>
      </w:r>
      <w:r>
        <w:rPr>
          <w:rFonts w:hAnsi="Book Antiqua" w:hint="default"/>
          <w:color w:val="262626"/>
          <w:u w:color="262626"/>
          <w:rtl w:val="0"/>
          <w:lang w:val="it-IT"/>
        </w:rPr>
        <w:t xml:space="preserve">à </w:t>
      </w:r>
      <w:r>
        <w:rPr>
          <w:rFonts w:ascii="Book Antiqua"/>
          <w:color w:val="262626"/>
          <w:u w:color="262626"/>
          <w:rtl w:val="0"/>
          <w:lang w:val="it-IT"/>
        </w:rPr>
        <w:t>di rifiuti in attesa di lavorazione e l'incolonnamento di mezzi in attesa di scaricare soprattutto nei periodi estivi. Questo determina ovviamente emissioni odorigene sgradevoli e continue segnalazioni da parte dei cittadini che abitano le zone limitrofe. Spesso peraltro viene riscontrato che le lavorazioni avvengono con i portelloni aperti, quindi l'aria dell'impianto, invece di confluire nei biofiltri, va direttamente all'esterno, aggravando ulteriormente le problematiche odorigene. Altre criticit</w:t>
      </w:r>
      <w:r>
        <w:rPr>
          <w:rFonts w:hAnsi="Book Antiqua" w:hint="default"/>
          <w:color w:val="262626"/>
          <w:u w:color="262626"/>
          <w:rtl w:val="0"/>
          <w:lang w:val="it-IT"/>
        </w:rPr>
        <w:t xml:space="preserve">à </w:t>
      </w:r>
      <w:r>
        <w:rPr>
          <w:rFonts w:ascii="Book Antiqua"/>
          <w:color w:val="262626"/>
          <w:u w:color="262626"/>
          <w:rtl w:val="0"/>
          <w:lang w:val="it-IT"/>
        </w:rPr>
        <w:t>rilevate sono relative al superamento delle quantit</w:t>
      </w:r>
      <w:r>
        <w:rPr>
          <w:rFonts w:hAnsi="Book Antiqua" w:hint="default"/>
          <w:color w:val="262626"/>
          <w:u w:color="262626"/>
          <w:rtl w:val="0"/>
          <w:lang w:val="it-IT"/>
        </w:rPr>
        <w:t xml:space="preserve">à </w:t>
      </w:r>
      <w:r>
        <w:rPr>
          <w:rFonts w:ascii="Book Antiqua"/>
          <w:color w:val="262626"/>
          <w:u w:color="262626"/>
          <w:rtl w:val="0"/>
          <w:lang w:val="it-IT"/>
        </w:rPr>
        <w:t>annuali autorizzate o allo stoccaggio di rifiuti in aree non autorizzate connesso al sovraccarico di rifiuti, e a superamenti dei limiti per le acque di scarico. In alcuni casi l'indice respirometrico dinamico che abbiamo misurato (lo stiamo facendo su tutti, ma l'abbiamo gi</w:t>
      </w:r>
      <w:r>
        <w:rPr>
          <w:rFonts w:hAnsi="Book Antiqua" w:hint="default"/>
          <w:color w:val="262626"/>
          <w:u w:color="262626"/>
          <w:rtl w:val="0"/>
          <w:lang w:val="it-IT"/>
        </w:rPr>
        <w:t xml:space="preserve">à </w:t>
      </w:r>
      <w:r>
        <w:rPr>
          <w:rFonts w:ascii="Book Antiqua"/>
          <w:color w:val="262626"/>
          <w:u w:color="262626"/>
          <w:rtl w:val="0"/>
          <w:lang w:val="it-IT"/>
        </w:rPr>
        <w:t>fatto su Salaria, Rocca Cencia e SAF) non rispetta il livello previsto dalla normativa per l'ammissibilit</w:t>
      </w:r>
      <w:r>
        <w:rPr>
          <w:rFonts w:hAnsi="Book Antiqua" w:hint="default"/>
          <w:color w:val="262626"/>
          <w:u w:color="262626"/>
          <w:rtl w:val="0"/>
          <w:lang w:val="it-IT"/>
        </w:rPr>
        <w:t xml:space="preserve">à </w:t>
      </w:r>
      <w:r>
        <w:rPr>
          <w:rFonts w:ascii="Book Antiqua"/>
          <w:color w:val="262626"/>
          <w:u w:color="262626"/>
          <w:rtl w:val="0"/>
          <w:lang w:val="it-IT"/>
        </w:rPr>
        <w:t>dei rifiuti in discarica</w:t>
      </w:r>
      <w:r>
        <w:rPr>
          <w:rFonts w:hAnsi="Book Antiqua" w:hint="default"/>
          <w:color w:val="262626"/>
          <w:u w:color="262626"/>
          <w:rtl w:val="0"/>
          <w:lang w:val="it-IT"/>
        </w:rPr>
        <w:t>”</w:t>
      </w:r>
      <w:r>
        <w:rPr>
          <w:rFonts w:ascii="Book Antiqua"/>
          <w:color w:val="262626"/>
          <w:u w:color="262626"/>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Va precisato che i controlli svolti a partire dall</w:t>
      </w:r>
      <w:r>
        <w:rPr>
          <w:rFonts w:hAnsi="Book Antiqua" w:hint="default"/>
          <w:rtl w:val="0"/>
          <w:lang w:val="it-IT"/>
        </w:rPr>
        <w:t>’</w:t>
      </w:r>
      <w:r>
        <w:rPr>
          <w:rFonts w:ascii="Book Antiqua"/>
          <w:rtl w:val="0"/>
          <w:lang w:val="it-IT"/>
        </w:rPr>
        <w:t>agosto 2016 sono conseguenti a un</w:t>
      </w:r>
      <w:r>
        <w:rPr>
          <w:rFonts w:hAnsi="Book Antiqua" w:hint="default"/>
          <w:rtl w:val="0"/>
          <w:lang w:val="it-IT"/>
        </w:rPr>
        <w:t>’</w:t>
      </w:r>
      <w:r>
        <w:rPr>
          <w:rFonts w:ascii="Book Antiqua"/>
          <w:rtl w:val="0"/>
          <w:lang w:val="it-IT"/>
        </w:rPr>
        <w:t>interlocuzione tra ministero dell</w:t>
      </w:r>
      <w:r>
        <w:rPr>
          <w:rFonts w:hAnsi="Book Antiqua" w:hint="default"/>
          <w:rtl w:val="0"/>
          <w:lang w:val="it-IT"/>
        </w:rPr>
        <w:t>’</w:t>
      </w:r>
      <w:r>
        <w:rPr>
          <w:rFonts w:ascii="Book Antiqua"/>
          <w:rtl w:val="0"/>
          <w:lang w:val="it-IT"/>
        </w:rPr>
        <w:t>ambiente e regione Lazio che ha portato quest</w:t>
      </w:r>
      <w:r>
        <w:rPr>
          <w:rFonts w:hAnsi="Book Antiqua" w:hint="default"/>
          <w:rtl w:val="0"/>
          <w:lang w:val="it-IT"/>
        </w:rPr>
        <w:t>’</w:t>
      </w:r>
      <w:r>
        <w:rPr>
          <w:rFonts w:ascii="Book Antiqua"/>
          <w:rtl w:val="0"/>
          <w:lang w:val="it-IT"/>
        </w:rPr>
        <w:t>ultima a una richiesta specifica</w:t>
      </w:r>
      <w:r>
        <w:rPr>
          <w:rFonts w:ascii="Book Antiqua" w:cs="Book Antiqua" w:hAnsi="Book Antiqua" w:eastAsia="Book Antiqua"/>
          <w:vertAlign w:val="superscript"/>
          <w:rtl w:val="0"/>
        </w:rPr>
        <w:footnoteReference w:id="43"/>
      </w:r>
      <w:r>
        <w:rPr>
          <w:rFonts w:ascii="Book Antiqua"/>
          <w:rtl w:val="0"/>
          <w:lang w:val="it-IT"/>
        </w:rPr>
        <w:t>, cos</w:t>
      </w:r>
      <w:r>
        <w:rPr>
          <w:rFonts w:hAnsi="Book Antiqua" w:hint="default"/>
          <w:rtl w:val="0"/>
          <w:lang w:val="it-IT"/>
        </w:rPr>
        <w:t xml:space="preserve">ì </w:t>
      </w:r>
      <w:r>
        <w:rPr>
          <w:rFonts w:ascii="Book Antiqua"/>
          <w:rtl w:val="0"/>
          <w:lang w:val="it-IT"/>
        </w:rPr>
        <w:t xml:space="preserve">formulata: </w:t>
      </w:r>
    </w:p>
    <w:p>
      <w:pPr>
        <w:pStyle w:val="Normal"/>
        <w:ind w:left="567" w:right="567" w:firstLine="0"/>
        <w:jc w:val="both"/>
        <w:rPr>
          <w:rFonts w:ascii="Book Antiqua" w:cs="Book Antiqua" w:hAnsi="Book Antiqua" w:eastAsia="Book Antiqua"/>
        </w:rPr>
      </w:pPr>
      <w:r>
        <w:rPr>
          <w:rFonts w:hAnsi="Book Antiqua" w:hint="default"/>
          <w:rtl w:val="0"/>
          <w:lang w:val="it-IT"/>
        </w:rPr>
        <w:t>“</w:t>
      </w:r>
      <w:r>
        <w:rPr>
          <w:rFonts w:ascii="Book Antiqua"/>
          <w:rtl w:val="0"/>
          <w:lang w:val="it-IT"/>
        </w:rPr>
        <w:t>con nota n. 11681 del 2.8.2016 la Direzione Generale per i Rifiuti e l'Inquinamento del Ministero dell</w:t>
      </w:r>
      <w:r>
        <w:rPr>
          <w:rFonts w:hAnsi="Book Antiqua" w:hint="default"/>
          <w:rtl w:val="0"/>
          <w:lang w:val="it-IT"/>
        </w:rPr>
        <w:t>’</w:t>
      </w:r>
      <w:r>
        <w:rPr>
          <w:rFonts w:ascii="Book Antiqua"/>
          <w:rtl w:val="0"/>
          <w:lang w:val="it-IT"/>
        </w:rPr>
        <w:t>ambiente e della Tutela del Territorio e del Mare [</w:t>
      </w:r>
      <w:r>
        <w:rPr>
          <w:rFonts w:hAnsi="Book Antiqua" w:hint="default"/>
          <w:rtl w:val="0"/>
          <w:lang w:val="it-IT"/>
        </w:rPr>
        <w:t>…</w:t>
      </w:r>
      <w:r>
        <w:rPr>
          <w:rFonts w:ascii="Book Antiqua"/>
          <w:rtl w:val="0"/>
          <w:lang w:val="it-IT"/>
        </w:rPr>
        <w:t>] ha richiesto alla scrivente di fornire con la massima urgenza una relazione riepilogativa della gestione del ciclo dei rifiuti in ambito regionale e specificamente per quanto riguarda Roma. Si chiede pertanto a codesta Agenzia di voler effettuare, con la massima sollecitudine del caso, un controllo presso gli impianti dedicati al trattamento dei rifiuti urbani indifferenziati per verificare la corretta operativit</w:t>
      </w:r>
      <w:r>
        <w:rPr>
          <w:rFonts w:hAnsi="Book Antiqua" w:hint="default"/>
          <w:rtl w:val="0"/>
          <w:lang w:val="it-IT"/>
        </w:rPr>
        <w:t xml:space="preserve">à </w:t>
      </w:r>
      <w:r>
        <w:rPr>
          <w:rFonts w:ascii="Book Antiqua"/>
          <w:rtl w:val="0"/>
          <w:lang w:val="it-IT"/>
        </w:rPr>
        <w:t>degli stessi valutando l</w:t>
      </w:r>
      <w:r>
        <w:rPr>
          <w:rFonts w:hAnsi="Book Antiqua" w:hint="default"/>
          <w:rtl w:val="0"/>
          <w:lang w:val="it-IT"/>
        </w:rPr>
        <w:t>’</w:t>
      </w:r>
      <w:r>
        <w:rPr>
          <w:rFonts w:ascii="Book Antiqua"/>
          <w:rtl w:val="0"/>
          <w:lang w:val="it-IT"/>
        </w:rPr>
        <w:t>efficacia di trattamento e la percentuale di funzionamento rispetto alla potenzialit</w:t>
      </w:r>
      <w:r>
        <w:rPr>
          <w:rFonts w:hAnsi="Book Antiqua" w:hint="default"/>
          <w:rtl w:val="0"/>
          <w:lang w:val="it-IT"/>
        </w:rPr>
        <w:t xml:space="preserve">à </w:t>
      </w:r>
      <w:r>
        <w:rPr>
          <w:rFonts w:ascii="Book Antiqua"/>
          <w:rtl w:val="0"/>
          <w:lang w:val="it-IT"/>
        </w:rPr>
        <w:t>massima operativa autorizzata</w:t>
      </w:r>
      <w:r>
        <w:rPr>
          <w:rFonts w:hAnsi="Book Antiqua" w:hint="default"/>
          <w:rtl w:val="0"/>
          <w:lang w:val="it-IT"/>
        </w:rPr>
        <w:t>”</w:t>
      </w:r>
      <w:r>
        <w:rPr>
          <w:rFonts w:ascii="Book Antiqua"/>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Di seguito vengono riportate le schede di sintesi riguardanti i controlli effettuati da ARPA Lazio, cos</w:t>
      </w:r>
      <w:r>
        <w:rPr>
          <w:rFonts w:hAnsi="Book Antiqua" w:hint="default"/>
          <w:rtl w:val="0"/>
          <w:lang w:val="it-IT"/>
        </w:rPr>
        <w:t xml:space="preserve">ì </w:t>
      </w:r>
      <w:r>
        <w:rPr>
          <w:rFonts w:ascii="Book Antiqua"/>
          <w:rtl w:val="0"/>
          <w:lang w:val="it-IT"/>
        </w:rPr>
        <w:t>come proposte alla Commissione dall</w:t>
      </w:r>
      <w:r>
        <w:rPr>
          <w:rFonts w:hAnsi="Book Antiqua" w:hint="default"/>
          <w:rtl w:val="0"/>
          <w:lang w:val="it-IT"/>
        </w:rPr>
        <w:t>’</w:t>
      </w:r>
      <w:r>
        <w:rPr>
          <w:rFonts w:ascii="Book Antiqua"/>
          <w:rtl w:val="0"/>
          <w:lang w:val="it-IT"/>
        </w:rPr>
        <w:t>Agenzia</w:t>
      </w:r>
      <w:r>
        <w:rPr>
          <w:rFonts w:ascii="Book Antiqua" w:cs="Book Antiqua" w:hAnsi="Book Antiqua" w:eastAsia="Book Antiqua"/>
          <w:vertAlign w:val="superscript"/>
          <w:rtl w:val="0"/>
        </w:rPr>
        <w:footnoteReference w:id="44"/>
      </w: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i w:val="1"/>
          <w:iCs w:val="1"/>
          <w:color w:val="000000"/>
          <w:sz w:val="22"/>
          <w:szCs w:val="22"/>
          <w:u w:color="000000"/>
        </w:rPr>
      </w:pPr>
      <w:r>
        <w:rPr>
          <w:rFonts w:ascii="Book Antiqua"/>
          <w:i w:val="1"/>
          <w:iCs w:val="1"/>
          <w:color w:val="000000"/>
          <w:sz w:val="22"/>
          <w:szCs w:val="22"/>
          <w:u w:color="000000"/>
          <w:rtl w:val="0"/>
          <w:lang w:val="it-IT"/>
        </w:rPr>
        <w:t xml:space="preserve">TMB AMA S.p.A. ROCCA CENCIA </w:t>
      </w:r>
    </w:p>
    <w:p>
      <w:pPr>
        <w:pStyle w:val="Normal"/>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L</w:t>
      </w:r>
      <w:r>
        <w:rPr>
          <w:rFonts w:hAnsi="Book Antiqua" w:hint="default"/>
          <w:color w:val="000000"/>
          <w:sz w:val="22"/>
          <w:szCs w:val="22"/>
          <w:u w:color="000000"/>
          <w:rtl w:val="0"/>
          <w:lang w:val="it-IT"/>
        </w:rPr>
        <w:t>’</w:t>
      </w:r>
      <w:r>
        <w:rPr>
          <w:rFonts w:ascii="Book Antiqua"/>
          <w:color w:val="000000"/>
          <w:sz w:val="22"/>
          <w:szCs w:val="22"/>
          <w:u w:color="000000"/>
          <w:rtl w:val="0"/>
          <w:lang w:val="it-IT"/>
        </w:rPr>
        <w:t>installazione dell</w:t>
      </w:r>
      <w:r>
        <w:rPr>
          <w:rFonts w:hAnsi="Book Antiqua" w:hint="default"/>
          <w:color w:val="000000"/>
          <w:sz w:val="22"/>
          <w:szCs w:val="22"/>
          <w:u w:color="000000"/>
          <w:rtl w:val="0"/>
          <w:lang w:val="it-IT"/>
        </w:rPr>
        <w:t>’</w:t>
      </w:r>
      <w:r>
        <w:rPr>
          <w:rFonts w:ascii="Book Antiqua"/>
          <w:color w:val="000000"/>
          <w:sz w:val="22"/>
          <w:szCs w:val="22"/>
          <w:u w:color="000000"/>
          <w:rtl w:val="0"/>
          <w:lang w:val="it-IT"/>
        </w:rPr>
        <w:t xml:space="preserve">impianto di trattamento meccanico-biologico per rifiuti solidi urbani </w:t>
      </w:r>
      <w:r>
        <w:rPr>
          <w:rFonts w:hAnsi="Book Antiqua" w:hint="default"/>
          <w:color w:val="000000"/>
          <w:sz w:val="22"/>
          <w:szCs w:val="22"/>
          <w:u w:color="000000"/>
          <w:rtl w:val="0"/>
          <w:lang w:val="it-IT"/>
        </w:rPr>
        <w:t xml:space="preserve">è </w:t>
      </w:r>
      <w:r>
        <w:rPr>
          <w:rFonts w:ascii="Book Antiqua"/>
          <w:color w:val="000000"/>
          <w:sz w:val="22"/>
          <w:szCs w:val="22"/>
          <w:u w:color="000000"/>
          <w:rtl w:val="0"/>
          <w:lang w:val="it-IT"/>
        </w:rPr>
        <w:t>stata autorizzata, da ultimo, con Autorizzazione Integrata Ambientale dalla regione Lazio con Determinazione Regionale n. B2519 del 31.03.2011 alla societ</w:t>
      </w:r>
      <w:r>
        <w:rPr>
          <w:rFonts w:hAnsi="Book Antiqua" w:hint="default"/>
          <w:color w:val="000000"/>
          <w:sz w:val="22"/>
          <w:szCs w:val="22"/>
          <w:u w:color="000000"/>
          <w:rtl w:val="0"/>
          <w:lang w:val="it-IT"/>
        </w:rPr>
        <w:t xml:space="preserve">à </w:t>
      </w:r>
      <w:r>
        <w:rPr>
          <w:rFonts w:ascii="Book Antiqua"/>
          <w:color w:val="000000"/>
          <w:sz w:val="22"/>
          <w:szCs w:val="22"/>
          <w:u w:color="000000"/>
          <w:rtl w:val="0"/>
          <w:lang w:val="it-IT"/>
        </w:rPr>
        <w:t>AMA S.p.A.. Nel novembre 2013, a seguito di prenotazione analisi acque reflue da parte ella Societ</w:t>
      </w:r>
      <w:r>
        <w:rPr>
          <w:rFonts w:hAnsi="Book Antiqua" w:hint="default"/>
          <w:color w:val="000000"/>
          <w:sz w:val="22"/>
          <w:szCs w:val="22"/>
          <w:u w:color="000000"/>
          <w:rtl w:val="0"/>
          <w:lang w:val="it-IT"/>
        </w:rPr>
        <w:t xml:space="preserve">à </w:t>
      </w:r>
      <w:r>
        <w:rPr>
          <w:rFonts w:ascii="Book Antiqua"/>
          <w:color w:val="000000"/>
          <w:sz w:val="22"/>
          <w:szCs w:val="22"/>
          <w:u w:color="000000"/>
          <w:rtl w:val="0"/>
          <w:lang w:val="it-IT"/>
        </w:rPr>
        <w:t>AMA S.p.A., personale di Arpalazio prelevava campioni di acque di scarico presso l</w:t>
      </w:r>
      <w:r>
        <w:rPr>
          <w:rFonts w:hAnsi="Book Antiqua" w:hint="default"/>
          <w:color w:val="000000"/>
          <w:sz w:val="22"/>
          <w:szCs w:val="22"/>
          <w:u w:color="000000"/>
          <w:rtl w:val="0"/>
          <w:lang w:val="it-IT"/>
        </w:rPr>
        <w:t>’</w:t>
      </w:r>
      <w:r>
        <w:rPr>
          <w:rFonts w:ascii="Book Antiqua"/>
          <w:color w:val="000000"/>
          <w:sz w:val="22"/>
          <w:szCs w:val="22"/>
          <w:u w:color="000000"/>
          <w:rtl w:val="0"/>
          <w:lang w:val="it-IT"/>
        </w:rPr>
        <w:t>impianto. Dai successivi accertamenti emergeva che alcuni scarichi dell</w:t>
      </w:r>
      <w:r>
        <w:rPr>
          <w:rFonts w:hAnsi="Book Antiqua" w:hint="default"/>
          <w:color w:val="000000"/>
          <w:sz w:val="22"/>
          <w:szCs w:val="22"/>
          <w:u w:color="000000"/>
          <w:rtl w:val="0"/>
          <w:lang w:val="it-IT"/>
        </w:rPr>
        <w:t>’</w:t>
      </w:r>
      <w:r>
        <w:rPr>
          <w:rFonts w:ascii="Book Antiqua"/>
          <w:color w:val="000000"/>
          <w:sz w:val="22"/>
          <w:szCs w:val="22"/>
          <w:u w:color="000000"/>
          <w:rtl w:val="0"/>
          <w:lang w:val="it-IT"/>
        </w:rPr>
        <w:t>impianto erano ancora attivi in virt</w:t>
      </w:r>
      <w:r>
        <w:rPr>
          <w:rFonts w:hAnsi="Book Antiqua" w:hint="default"/>
          <w:color w:val="000000"/>
          <w:sz w:val="22"/>
          <w:szCs w:val="22"/>
          <w:u w:color="000000"/>
          <w:rtl w:val="0"/>
          <w:lang w:val="it-IT"/>
        </w:rPr>
        <w:t xml:space="preserve">ù </w:t>
      </w:r>
      <w:r>
        <w:rPr>
          <w:rFonts w:ascii="Book Antiqua"/>
          <w:color w:val="000000"/>
          <w:sz w:val="22"/>
          <w:szCs w:val="22"/>
          <w:u w:color="000000"/>
          <w:rtl w:val="0"/>
          <w:lang w:val="it-IT"/>
        </w:rPr>
        <w:t>di autorizzazioni settoriali (autorizzazione allo scarico in fognatura rilasciata dal comune di Roma), come da nota prot. n. 8958 del 07.02.2014. L</w:t>
      </w:r>
      <w:r>
        <w:rPr>
          <w:rFonts w:hAnsi="Book Antiqua" w:hint="default"/>
          <w:color w:val="000000"/>
          <w:sz w:val="22"/>
          <w:szCs w:val="22"/>
          <w:u w:color="000000"/>
          <w:rtl w:val="0"/>
          <w:lang w:val="it-IT"/>
        </w:rPr>
        <w:t>’</w:t>
      </w:r>
      <w:r>
        <w:rPr>
          <w:rFonts w:ascii="Book Antiqua"/>
          <w:color w:val="000000"/>
          <w:sz w:val="22"/>
          <w:szCs w:val="22"/>
          <w:u w:color="000000"/>
          <w:rtl w:val="0"/>
          <w:lang w:val="it-IT"/>
        </w:rPr>
        <w:t xml:space="preserve">impianto, contrariamente a quello di via Salaria, non </w:t>
      </w:r>
      <w:r>
        <w:rPr>
          <w:rFonts w:hAnsi="Book Antiqua" w:hint="default"/>
          <w:color w:val="000000"/>
          <w:sz w:val="22"/>
          <w:szCs w:val="22"/>
          <w:u w:color="000000"/>
          <w:rtl w:val="0"/>
          <w:lang w:val="it-IT"/>
        </w:rPr>
        <w:t xml:space="preserve">è </w:t>
      </w:r>
      <w:r>
        <w:rPr>
          <w:rFonts w:ascii="Book Antiqua"/>
          <w:color w:val="000000"/>
          <w:sz w:val="22"/>
          <w:szCs w:val="22"/>
          <w:u w:color="000000"/>
          <w:rtl w:val="0"/>
          <w:lang w:val="it-IT"/>
        </w:rPr>
        <w:t>stato oggetto di segnalazioni relative a problematiche ambientali connesse con il suo esercizio. Solo nel maggio 2015, sono pervenute segnalazioni di in particolare di cattivi odori che riguardavano tutto il complesso impiantistico presente nell</w:t>
      </w:r>
      <w:r>
        <w:rPr>
          <w:rFonts w:hAnsi="Book Antiqua" w:hint="default"/>
          <w:color w:val="000000"/>
          <w:sz w:val="22"/>
          <w:szCs w:val="22"/>
          <w:u w:color="000000"/>
          <w:rtl w:val="0"/>
          <w:lang w:val="it-IT"/>
        </w:rPr>
        <w:t>’</w:t>
      </w:r>
      <w:r>
        <w:rPr>
          <w:rFonts w:ascii="Book Antiqua"/>
          <w:color w:val="000000"/>
          <w:sz w:val="22"/>
          <w:szCs w:val="22"/>
          <w:u w:color="000000"/>
          <w:rtl w:val="0"/>
          <w:lang w:val="it-IT"/>
        </w:rPr>
        <w:t>area (impianto di trattamento meccanico Porcarelli Gino, impianto di trattamento meccanico Co.La.Ri, attivit</w:t>
      </w:r>
      <w:r>
        <w:rPr>
          <w:rFonts w:hAnsi="Book Antiqua" w:hint="default"/>
          <w:color w:val="000000"/>
          <w:sz w:val="22"/>
          <w:szCs w:val="22"/>
          <w:u w:color="000000"/>
          <w:rtl w:val="0"/>
          <w:lang w:val="it-IT"/>
        </w:rPr>
        <w:t xml:space="preserve">à </w:t>
      </w:r>
      <w:r>
        <w:rPr>
          <w:rFonts w:ascii="Book Antiqua"/>
          <w:color w:val="000000"/>
          <w:sz w:val="22"/>
          <w:szCs w:val="22"/>
          <w:u w:color="000000"/>
          <w:rtl w:val="0"/>
          <w:lang w:val="it-IT"/>
        </w:rPr>
        <w:t>di trasferenza rifiuti presso l</w:t>
      </w:r>
      <w:r>
        <w:rPr>
          <w:rFonts w:hAnsi="Book Antiqua" w:hint="default"/>
          <w:color w:val="000000"/>
          <w:sz w:val="22"/>
          <w:szCs w:val="22"/>
          <w:u w:color="000000"/>
          <w:rtl w:val="0"/>
          <w:lang w:val="it-IT"/>
        </w:rPr>
        <w:t>’</w:t>
      </w:r>
      <w:r>
        <w:rPr>
          <w:rFonts w:ascii="Book Antiqua"/>
          <w:color w:val="000000"/>
          <w:sz w:val="22"/>
          <w:szCs w:val="22"/>
          <w:u w:color="000000"/>
          <w:rtl w:val="0"/>
          <w:lang w:val="it-IT"/>
        </w:rPr>
        <w:t>impianto Co.La.Ri.). A seguito delle segnalazioni, nel 2015 la Polizia Locale di Roma Capitale, su delega di indagine della procura della Repubblica di Roma, ha richiesto il supporto di Arpalazio per effettuare controlli su tutti gli impianti presenti nell</w:t>
      </w:r>
      <w:r>
        <w:rPr>
          <w:rFonts w:hAnsi="Book Antiqua" w:hint="default"/>
          <w:color w:val="000000"/>
          <w:sz w:val="22"/>
          <w:szCs w:val="22"/>
          <w:u w:color="000000"/>
          <w:rtl w:val="0"/>
          <w:lang w:val="it-IT"/>
        </w:rPr>
        <w:t>’</w:t>
      </w:r>
      <w:r>
        <w:rPr>
          <w:rFonts w:ascii="Book Antiqua"/>
          <w:color w:val="000000"/>
          <w:sz w:val="22"/>
          <w:szCs w:val="22"/>
          <w:u w:color="000000"/>
          <w:rtl w:val="0"/>
          <w:lang w:val="it-IT"/>
        </w:rPr>
        <w:t>area. Nell</w:t>
      </w:r>
      <w:r>
        <w:rPr>
          <w:rFonts w:hAnsi="Book Antiqua" w:hint="default"/>
          <w:color w:val="000000"/>
          <w:sz w:val="22"/>
          <w:szCs w:val="22"/>
          <w:u w:color="000000"/>
          <w:rtl w:val="0"/>
          <w:lang w:val="it-IT"/>
        </w:rPr>
        <w:t>’</w:t>
      </w:r>
      <w:r>
        <w:rPr>
          <w:rFonts w:ascii="Book Antiqua"/>
          <w:color w:val="000000"/>
          <w:sz w:val="22"/>
          <w:szCs w:val="22"/>
          <w:u w:color="000000"/>
          <w:rtl w:val="0"/>
          <w:lang w:val="it-IT"/>
        </w:rPr>
        <w:t>ambito dei suddetti controlli, sono stati effettuati numerosi sopralluoghi sull</w:t>
      </w:r>
      <w:r>
        <w:rPr>
          <w:rFonts w:hAnsi="Book Antiqua" w:hint="default"/>
          <w:color w:val="000000"/>
          <w:sz w:val="22"/>
          <w:szCs w:val="22"/>
          <w:u w:color="000000"/>
          <w:rtl w:val="0"/>
          <w:lang w:val="it-IT"/>
        </w:rPr>
        <w:t>’</w:t>
      </w:r>
      <w:r>
        <w:rPr>
          <w:rFonts w:ascii="Book Antiqua"/>
          <w:color w:val="000000"/>
          <w:sz w:val="22"/>
          <w:szCs w:val="22"/>
          <w:u w:color="000000"/>
          <w:rtl w:val="0"/>
          <w:lang w:val="it-IT"/>
        </w:rPr>
        <w:t>impianto TMB della Societ</w:t>
      </w:r>
      <w:r>
        <w:rPr>
          <w:rFonts w:hAnsi="Book Antiqua" w:hint="default"/>
          <w:color w:val="000000"/>
          <w:sz w:val="22"/>
          <w:szCs w:val="22"/>
          <w:u w:color="000000"/>
          <w:rtl w:val="0"/>
          <w:lang w:val="it-IT"/>
        </w:rPr>
        <w:t xml:space="preserve">à </w:t>
      </w:r>
      <w:r>
        <w:rPr>
          <w:rFonts w:ascii="Book Antiqua"/>
          <w:color w:val="000000"/>
          <w:sz w:val="22"/>
          <w:szCs w:val="22"/>
          <w:u w:color="000000"/>
          <w:rtl w:val="0"/>
          <w:lang w:val="it-IT"/>
        </w:rPr>
        <w:t xml:space="preserve">AMA, che hanno riguardato tutte le matrici ambientali. </w:t>
      </w:r>
    </w:p>
    <w:p>
      <w:pPr>
        <w:pStyle w:val="Normal"/>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 xml:space="preserve">Le analisi delle acque reflue (non oggetto della delega di indagine) evidenziavano il superamento dei limiti (per sostanze non pericolose), come da nota prot. n. 67945 del 25.08.2015. </w:t>
      </w:r>
    </w:p>
    <w:p>
      <w:pPr>
        <w:pStyle w:val="Normal"/>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Delle attivit</w:t>
      </w:r>
      <w:r>
        <w:rPr>
          <w:rFonts w:hAnsi="Book Antiqua" w:hint="default"/>
          <w:color w:val="000000"/>
          <w:sz w:val="22"/>
          <w:szCs w:val="22"/>
          <w:u w:color="000000"/>
          <w:rtl w:val="0"/>
          <w:lang w:val="it-IT"/>
        </w:rPr>
        <w:t xml:space="preserve">à </w:t>
      </w:r>
      <w:r>
        <w:rPr>
          <w:rFonts w:ascii="Book Antiqua"/>
          <w:color w:val="000000"/>
          <w:sz w:val="22"/>
          <w:szCs w:val="22"/>
          <w:u w:color="000000"/>
          <w:rtl w:val="0"/>
          <w:lang w:val="it-IT"/>
        </w:rPr>
        <w:t>svolte nell</w:t>
      </w:r>
      <w:r>
        <w:rPr>
          <w:rFonts w:hAnsi="Book Antiqua" w:hint="default"/>
          <w:color w:val="000000"/>
          <w:sz w:val="22"/>
          <w:szCs w:val="22"/>
          <w:u w:color="000000"/>
          <w:rtl w:val="0"/>
          <w:lang w:val="it-IT"/>
        </w:rPr>
        <w:t>’</w:t>
      </w:r>
      <w:r>
        <w:rPr>
          <w:rFonts w:ascii="Book Antiqua"/>
          <w:color w:val="000000"/>
          <w:sz w:val="22"/>
          <w:szCs w:val="22"/>
          <w:u w:color="000000"/>
          <w:rtl w:val="0"/>
          <w:lang w:val="it-IT"/>
        </w:rPr>
        <w:t>ambito delle indagini delegate, veniva inviata relazione alla PG delegata, con nota prot. n. 97090 del 0712.2015 e prot. n. 100733 del 19.12.2015. Veniva inviata anche alla regione Lazio una relazione informativa con nota prot. n. 102004 del 23.12.2015, nella quale venivano evidenziate numerose criticit</w:t>
      </w:r>
      <w:r>
        <w:rPr>
          <w:rFonts w:hAnsi="Book Antiqua" w:hint="default"/>
          <w:color w:val="000000"/>
          <w:sz w:val="22"/>
          <w:szCs w:val="22"/>
          <w:u w:color="000000"/>
          <w:rtl w:val="0"/>
          <w:lang w:val="it-IT"/>
        </w:rPr>
        <w:t xml:space="preserve">à </w:t>
      </w:r>
      <w:r>
        <w:rPr>
          <w:rFonts w:ascii="Book Antiqua"/>
          <w:color w:val="000000"/>
          <w:sz w:val="22"/>
          <w:szCs w:val="22"/>
          <w:u w:color="000000"/>
          <w:rtl w:val="0"/>
          <w:lang w:val="it-IT"/>
        </w:rPr>
        <w:t>relative in particolare alla gestione delle acque reflue e dei rifiuti (stoccaggio in aree non autorizzate, emissioni di sostanze odorigene per la mancata chiusura dei portoni dell</w:t>
      </w:r>
      <w:r>
        <w:rPr>
          <w:rFonts w:hAnsi="Book Antiqua" w:hint="default"/>
          <w:color w:val="000000"/>
          <w:sz w:val="22"/>
          <w:szCs w:val="22"/>
          <w:u w:color="000000"/>
          <w:rtl w:val="0"/>
          <w:lang w:val="it-IT"/>
        </w:rPr>
        <w:t>’</w:t>
      </w:r>
      <w:r>
        <w:rPr>
          <w:rFonts w:ascii="Book Antiqua"/>
          <w:color w:val="000000"/>
          <w:sz w:val="22"/>
          <w:szCs w:val="22"/>
          <w:u w:color="000000"/>
          <w:rtl w:val="0"/>
          <w:lang w:val="it-IT"/>
        </w:rPr>
        <w:t xml:space="preserve">impianto TMB, pavimentazione non integra nelle aree di stoccaggio). </w:t>
      </w:r>
    </w:p>
    <w:p>
      <w:pPr>
        <w:pStyle w:val="Normal"/>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 xml:space="preserve">Nel mese di aprile 2016, a seguito di richiesta di controllo straordinario da parte della regione Lazio (prot. n. 53776 del 02.07.2015), sono stati prelevati campioni del rifiuto prodotto </w:t>
      </w:r>
      <w:r>
        <w:rPr>
          <w:rFonts w:hAnsi="Book Antiqua" w:hint="default"/>
          <w:color w:val="000000"/>
          <w:sz w:val="22"/>
          <w:szCs w:val="22"/>
          <w:u w:color="000000"/>
          <w:rtl w:val="0"/>
          <w:lang w:val="it-IT"/>
        </w:rPr>
        <w:t>“</w:t>
      </w:r>
      <w:r>
        <w:rPr>
          <w:rFonts w:ascii="Book Antiqua"/>
          <w:color w:val="000000"/>
          <w:sz w:val="22"/>
          <w:szCs w:val="22"/>
          <w:u w:color="000000"/>
          <w:rtl w:val="0"/>
          <w:lang w:val="it-IT"/>
        </w:rPr>
        <w:t>FOS</w:t>
      </w:r>
      <w:r>
        <w:rPr>
          <w:rFonts w:hAnsi="Book Antiqua" w:hint="default"/>
          <w:color w:val="000000"/>
          <w:sz w:val="22"/>
          <w:szCs w:val="22"/>
          <w:u w:color="000000"/>
          <w:rtl w:val="0"/>
          <w:lang w:val="it-IT"/>
        </w:rPr>
        <w:t xml:space="preserve">” </w:t>
      </w:r>
      <w:r>
        <w:rPr>
          <w:rFonts w:ascii="Book Antiqua"/>
          <w:color w:val="000000"/>
          <w:sz w:val="22"/>
          <w:szCs w:val="22"/>
          <w:u w:color="000000"/>
          <w:rtl w:val="0"/>
          <w:lang w:val="it-IT"/>
        </w:rPr>
        <w:t>(codice 19 05 01), la cui analisi ha evidenziato un valore dell</w:t>
      </w:r>
      <w:r>
        <w:rPr>
          <w:rFonts w:hAnsi="Book Antiqua" w:hint="default"/>
          <w:color w:val="000000"/>
          <w:sz w:val="22"/>
          <w:szCs w:val="22"/>
          <w:u w:color="000000"/>
          <w:rtl w:val="0"/>
          <w:lang w:val="it-IT"/>
        </w:rPr>
        <w:t>’</w:t>
      </w:r>
      <w:r>
        <w:rPr>
          <w:rFonts w:ascii="Book Antiqua"/>
          <w:color w:val="000000"/>
          <w:sz w:val="22"/>
          <w:szCs w:val="22"/>
          <w:u w:color="000000"/>
          <w:rtl w:val="0"/>
          <w:lang w:val="it-IT"/>
        </w:rPr>
        <w:t xml:space="preserve">indice respirometrico dinamico (IRD) pari a circa 4000, ben oltre il valore di riferimento per il conferimento a discarica. </w:t>
      </w:r>
    </w:p>
    <w:p>
      <w:pPr>
        <w:pStyle w:val="Normal"/>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 xml:space="preserve">Gli esiti del campionamento sono stati trasmessi alla regione Lazio con nota prot. n. 52253 del 08.07.2016. </w:t>
      </w:r>
    </w:p>
    <w:p>
      <w:pPr>
        <w:pStyle w:val="Normal"/>
        <w:ind w:left="567" w:right="567" w:firstLine="0"/>
        <w:jc w:val="both"/>
        <w:rPr>
          <w:rFonts w:ascii="Book Antiqua" w:cs="Book Antiqua" w:hAnsi="Book Antiqua" w:eastAsia="Book Antiqua"/>
          <w:sz w:val="22"/>
          <w:szCs w:val="22"/>
        </w:rPr>
      </w:pPr>
      <w:r>
        <w:rPr>
          <w:rFonts w:ascii="Book Antiqua"/>
          <w:color w:val="000000"/>
          <w:sz w:val="22"/>
          <w:szCs w:val="22"/>
          <w:u w:color="000000"/>
          <w:rtl w:val="0"/>
          <w:lang w:val="it-IT"/>
        </w:rPr>
        <w:t xml:space="preserve">Su richiesta del Servizio Tecnico di Arpalazio, in riscontro a specifica richiesta della regione Lazio, nel settembre 2016 personale di Arpalazio si </w:t>
      </w:r>
      <w:r>
        <w:rPr>
          <w:rFonts w:hAnsi="Book Antiqua" w:hint="default"/>
          <w:color w:val="000000"/>
          <w:sz w:val="22"/>
          <w:szCs w:val="22"/>
          <w:u w:color="000000"/>
          <w:rtl w:val="0"/>
          <w:lang w:val="it-IT"/>
        </w:rPr>
        <w:t xml:space="preserve">è </w:t>
      </w:r>
      <w:r>
        <w:rPr>
          <w:rFonts w:ascii="Book Antiqua"/>
          <w:color w:val="000000"/>
          <w:sz w:val="22"/>
          <w:szCs w:val="22"/>
          <w:u w:color="000000"/>
          <w:rtl w:val="0"/>
          <w:lang w:val="it-IT"/>
        </w:rPr>
        <w:t>recato presso gli impianti per l</w:t>
      </w:r>
      <w:r>
        <w:rPr>
          <w:rFonts w:hAnsi="Book Antiqua" w:hint="default"/>
          <w:color w:val="000000"/>
          <w:sz w:val="22"/>
          <w:szCs w:val="22"/>
          <w:u w:color="000000"/>
          <w:rtl w:val="0"/>
          <w:lang w:val="it-IT"/>
        </w:rPr>
        <w:t>’</w:t>
      </w:r>
      <w:r>
        <w:rPr>
          <w:rFonts w:ascii="Book Antiqua"/>
          <w:color w:val="000000"/>
          <w:sz w:val="22"/>
          <w:szCs w:val="22"/>
          <w:u w:color="000000"/>
          <w:rtl w:val="0"/>
          <w:lang w:val="it-IT"/>
        </w:rPr>
        <w:t xml:space="preserve">acquisizione delle informazioni relative ai quantitativi dei rifiuti in ingresso e dei conseguenti flussi di rifiuti in uscita. Con nota 73150 del 03.10.2016 </w:t>
      </w:r>
      <w:r>
        <w:rPr>
          <w:rFonts w:hAnsi="Book Antiqua" w:hint="default"/>
          <w:color w:val="000000"/>
          <w:sz w:val="22"/>
          <w:szCs w:val="22"/>
          <w:u w:color="000000"/>
          <w:rtl w:val="0"/>
          <w:lang w:val="it-IT"/>
        </w:rPr>
        <w:t xml:space="preserve">è </w:t>
      </w:r>
      <w:r>
        <w:rPr>
          <w:rFonts w:ascii="Book Antiqua"/>
          <w:color w:val="000000"/>
          <w:sz w:val="22"/>
          <w:szCs w:val="22"/>
          <w:u w:color="000000"/>
          <w:rtl w:val="0"/>
          <w:lang w:val="it-IT"/>
        </w:rPr>
        <w:t>stata inviata apposita relazione alla regione Lazio.</w:t>
      </w:r>
    </w:p>
    <w:p>
      <w:pPr>
        <w:pStyle w:val="Normal"/>
        <w:ind w:left="567" w:right="567" w:firstLine="0"/>
        <w:jc w:val="both"/>
        <w:rPr>
          <w:rFonts w:ascii="Book Antiqua" w:cs="Book Antiqua" w:hAnsi="Book Antiqua" w:eastAsia="Book Antiqua"/>
          <w:color w:val="000000"/>
          <w:sz w:val="22"/>
          <w:szCs w:val="22"/>
          <w:u w:color="000000"/>
        </w:rPr>
      </w:pPr>
    </w:p>
    <w:p>
      <w:pPr>
        <w:pStyle w:val="Normal"/>
        <w:ind w:left="567" w:right="567" w:firstLine="0"/>
        <w:jc w:val="both"/>
        <w:rPr>
          <w:rFonts w:ascii="Book Antiqua" w:cs="Book Antiqua" w:hAnsi="Book Antiqua" w:eastAsia="Book Antiqua"/>
          <w:i w:val="1"/>
          <w:iCs w:val="1"/>
          <w:color w:val="000000"/>
          <w:sz w:val="22"/>
          <w:szCs w:val="22"/>
          <w:u w:color="000000"/>
        </w:rPr>
      </w:pPr>
      <w:r>
        <w:rPr>
          <w:rFonts w:ascii="Book Antiqua"/>
          <w:i w:val="1"/>
          <w:iCs w:val="1"/>
          <w:color w:val="000000"/>
          <w:sz w:val="22"/>
          <w:szCs w:val="22"/>
          <w:u w:color="000000"/>
          <w:rtl w:val="0"/>
          <w:lang w:val="it-IT"/>
        </w:rPr>
        <w:t xml:space="preserve">TMB AMA S.p.A. VIA SALARIA </w:t>
      </w:r>
    </w:p>
    <w:p>
      <w:pPr>
        <w:pStyle w:val="Normal"/>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L</w:t>
      </w:r>
      <w:r>
        <w:rPr>
          <w:rFonts w:hAnsi="Book Antiqua" w:hint="default"/>
          <w:color w:val="000000"/>
          <w:sz w:val="22"/>
          <w:szCs w:val="22"/>
          <w:u w:color="000000"/>
          <w:rtl w:val="0"/>
          <w:lang w:val="it-IT"/>
        </w:rPr>
        <w:t>’</w:t>
      </w:r>
      <w:r>
        <w:rPr>
          <w:rFonts w:ascii="Book Antiqua"/>
          <w:color w:val="000000"/>
          <w:sz w:val="22"/>
          <w:szCs w:val="22"/>
          <w:u w:color="000000"/>
          <w:rtl w:val="0"/>
          <w:lang w:val="it-IT"/>
        </w:rPr>
        <w:t>installazione dell</w:t>
      </w:r>
      <w:r>
        <w:rPr>
          <w:rFonts w:hAnsi="Book Antiqua" w:hint="default"/>
          <w:color w:val="000000"/>
          <w:sz w:val="22"/>
          <w:szCs w:val="22"/>
          <w:u w:color="000000"/>
          <w:rtl w:val="0"/>
          <w:lang w:val="it-IT"/>
        </w:rPr>
        <w:t>’</w:t>
      </w:r>
      <w:r>
        <w:rPr>
          <w:rFonts w:ascii="Book Antiqua"/>
          <w:color w:val="000000"/>
          <w:sz w:val="22"/>
          <w:szCs w:val="22"/>
          <w:u w:color="000000"/>
          <w:rtl w:val="0"/>
          <w:lang w:val="it-IT"/>
        </w:rPr>
        <w:t>impianto di trattamento meccanico</w:t>
      </w:r>
      <w:r>
        <w:rPr>
          <w:rFonts w:hAnsi="American Typewriter" w:hint="default"/>
          <w:color w:val="000000"/>
          <w:sz w:val="22"/>
          <w:szCs w:val="22"/>
          <w:u w:color="000000"/>
          <w:rtl w:val="0"/>
          <w:lang w:val="it-IT"/>
        </w:rPr>
        <w:t>‐</w:t>
      </w:r>
      <w:r>
        <w:rPr>
          <w:rFonts w:ascii="Book Antiqua"/>
          <w:color w:val="000000"/>
          <w:sz w:val="22"/>
          <w:szCs w:val="22"/>
          <w:u w:color="000000"/>
          <w:rtl w:val="0"/>
          <w:lang w:val="it-IT"/>
        </w:rPr>
        <w:t xml:space="preserve">biologico per rifiuti solidi urbani </w:t>
      </w:r>
      <w:r>
        <w:rPr>
          <w:rFonts w:hAnsi="Book Antiqua" w:hint="default"/>
          <w:color w:val="000000"/>
          <w:sz w:val="22"/>
          <w:szCs w:val="22"/>
          <w:u w:color="000000"/>
          <w:rtl w:val="0"/>
          <w:lang w:val="it-IT"/>
        </w:rPr>
        <w:t xml:space="preserve">è </w:t>
      </w:r>
      <w:r>
        <w:rPr>
          <w:rFonts w:ascii="Book Antiqua"/>
          <w:color w:val="000000"/>
          <w:sz w:val="22"/>
          <w:szCs w:val="22"/>
          <w:u w:color="000000"/>
          <w:rtl w:val="0"/>
          <w:lang w:val="it-IT"/>
        </w:rPr>
        <w:t>stato autorizzato, da ultimo, con autorizzazione Integrata Ambientale dalla regione Lazio con Determinazione n.B2520 del 31.03.2011 alla societ</w:t>
      </w:r>
      <w:r>
        <w:rPr>
          <w:rFonts w:hAnsi="Book Antiqua" w:hint="default"/>
          <w:color w:val="000000"/>
          <w:sz w:val="22"/>
          <w:szCs w:val="22"/>
          <w:u w:color="000000"/>
          <w:rtl w:val="0"/>
          <w:lang w:val="it-IT"/>
        </w:rPr>
        <w:t xml:space="preserve">à </w:t>
      </w:r>
      <w:r>
        <w:rPr>
          <w:rFonts w:ascii="Book Antiqua"/>
          <w:color w:val="000000"/>
          <w:sz w:val="22"/>
          <w:szCs w:val="22"/>
          <w:u w:color="000000"/>
          <w:rtl w:val="0"/>
          <w:lang w:val="it-IT"/>
        </w:rPr>
        <w:t xml:space="preserve">AMA S.p.A.. </w:t>
      </w:r>
    </w:p>
    <w:p>
      <w:pPr>
        <w:pStyle w:val="Normal"/>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 xml:space="preserve">Nel 2011, dal personale del Servizio rifiuti </w:t>
      </w:r>
      <w:r>
        <w:rPr>
          <w:rFonts w:hAnsi="Book Antiqua" w:hint="default"/>
          <w:color w:val="000000"/>
          <w:sz w:val="22"/>
          <w:szCs w:val="22"/>
          <w:u w:color="000000"/>
          <w:rtl w:val="0"/>
          <w:lang w:val="it-IT"/>
        </w:rPr>
        <w:t xml:space="preserve">è </w:t>
      </w:r>
      <w:r>
        <w:rPr>
          <w:rFonts w:ascii="Book Antiqua"/>
          <w:color w:val="000000"/>
          <w:sz w:val="22"/>
          <w:szCs w:val="22"/>
          <w:u w:color="000000"/>
          <w:rtl w:val="0"/>
          <w:lang w:val="it-IT"/>
        </w:rPr>
        <w:t>stata effettuata una ricognizione delle attivit</w:t>
      </w:r>
      <w:r>
        <w:rPr>
          <w:rFonts w:hAnsi="Book Antiqua" w:hint="default"/>
          <w:color w:val="000000"/>
          <w:sz w:val="22"/>
          <w:szCs w:val="22"/>
          <w:u w:color="000000"/>
          <w:rtl w:val="0"/>
          <w:lang w:val="it-IT"/>
        </w:rPr>
        <w:t xml:space="preserve">à </w:t>
      </w:r>
      <w:r>
        <w:rPr>
          <w:rFonts w:ascii="Book Antiqua"/>
          <w:color w:val="000000"/>
          <w:sz w:val="22"/>
          <w:szCs w:val="22"/>
          <w:u w:color="000000"/>
          <w:rtl w:val="0"/>
          <w:lang w:val="it-IT"/>
        </w:rPr>
        <w:t>svolte presso l</w:t>
      </w:r>
      <w:r>
        <w:rPr>
          <w:rFonts w:hAnsi="Book Antiqua" w:hint="default"/>
          <w:color w:val="000000"/>
          <w:sz w:val="22"/>
          <w:szCs w:val="22"/>
          <w:u w:color="000000"/>
          <w:rtl w:val="0"/>
          <w:lang w:val="it-IT"/>
        </w:rPr>
        <w:t>’</w:t>
      </w:r>
      <w:r>
        <w:rPr>
          <w:rFonts w:ascii="Book Antiqua"/>
          <w:color w:val="000000"/>
          <w:sz w:val="22"/>
          <w:szCs w:val="22"/>
          <w:u w:color="000000"/>
          <w:rtl w:val="0"/>
          <w:lang w:val="it-IT"/>
        </w:rPr>
        <w:t>impianto, con particolare attenzione alla gestione dei rifiuti. L</w:t>
      </w:r>
      <w:r>
        <w:rPr>
          <w:rFonts w:hAnsi="Book Antiqua" w:hint="default"/>
          <w:color w:val="000000"/>
          <w:sz w:val="22"/>
          <w:szCs w:val="22"/>
          <w:u w:color="000000"/>
          <w:rtl w:val="0"/>
          <w:lang w:val="it-IT"/>
        </w:rPr>
        <w:t>’</w:t>
      </w:r>
      <w:r>
        <w:rPr>
          <w:rFonts w:ascii="Book Antiqua"/>
          <w:color w:val="000000"/>
          <w:sz w:val="22"/>
          <w:szCs w:val="22"/>
          <w:u w:color="000000"/>
          <w:rtl w:val="0"/>
          <w:lang w:val="it-IT"/>
        </w:rPr>
        <w:t>attivit</w:t>
      </w:r>
      <w:r>
        <w:rPr>
          <w:rFonts w:hAnsi="Book Antiqua" w:hint="default"/>
          <w:color w:val="000000"/>
          <w:sz w:val="22"/>
          <w:szCs w:val="22"/>
          <w:u w:color="000000"/>
          <w:rtl w:val="0"/>
          <w:lang w:val="it-IT"/>
        </w:rPr>
        <w:t xml:space="preserve">à </w:t>
      </w:r>
      <w:r>
        <w:rPr>
          <w:rFonts w:ascii="Book Antiqua"/>
          <w:color w:val="000000"/>
          <w:sz w:val="22"/>
          <w:szCs w:val="22"/>
          <w:u w:color="000000"/>
          <w:rtl w:val="0"/>
          <w:lang w:val="it-IT"/>
        </w:rPr>
        <w:t xml:space="preserve">svolta </w:t>
      </w:r>
      <w:r>
        <w:rPr>
          <w:rFonts w:hAnsi="Book Antiqua" w:hint="default"/>
          <w:color w:val="000000"/>
          <w:sz w:val="22"/>
          <w:szCs w:val="22"/>
          <w:u w:color="000000"/>
          <w:rtl w:val="0"/>
          <w:lang w:val="it-IT"/>
        </w:rPr>
        <w:t xml:space="preserve">è </w:t>
      </w:r>
      <w:r>
        <w:rPr>
          <w:rFonts w:ascii="Book Antiqua"/>
          <w:color w:val="000000"/>
          <w:sz w:val="22"/>
          <w:szCs w:val="22"/>
          <w:u w:color="000000"/>
          <w:rtl w:val="0"/>
          <w:lang w:val="it-IT"/>
        </w:rPr>
        <w:t xml:space="preserve">stata relazionata alla regione Lazio con nota prot. n. 34771 del 22.04.2011. </w:t>
      </w:r>
    </w:p>
    <w:p>
      <w:pPr>
        <w:pStyle w:val="Normal"/>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Sin dalla messa in funzione dell</w:t>
      </w:r>
      <w:r>
        <w:rPr>
          <w:rFonts w:hAnsi="Book Antiqua" w:hint="default"/>
          <w:color w:val="000000"/>
          <w:sz w:val="22"/>
          <w:szCs w:val="22"/>
          <w:u w:color="000000"/>
          <w:rtl w:val="0"/>
          <w:lang w:val="it-IT"/>
        </w:rPr>
        <w:t>’</w:t>
      </w:r>
      <w:r>
        <w:rPr>
          <w:rFonts w:ascii="Book Antiqua"/>
          <w:color w:val="000000"/>
          <w:sz w:val="22"/>
          <w:szCs w:val="22"/>
          <w:u w:color="000000"/>
          <w:rtl w:val="0"/>
          <w:lang w:val="it-IT"/>
        </w:rPr>
        <w:t>impianto sono pervenute numerosissime segnalazioni, sia da parte di privati cittadini che da Amministrazioni locali, circa le emissioni odorigene provenienti dall</w:t>
      </w:r>
      <w:r>
        <w:rPr>
          <w:rFonts w:hAnsi="Book Antiqua" w:hint="default"/>
          <w:color w:val="000000"/>
          <w:sz w:val="22"/>
          <w:szCs w:val="22"/>
          <w:u w:color="000000"/>
          <w:rtl w:val="0"/>
          <w:lang w:val="it-IT"/>
        </w:rPr>
        <w:t>’</w:t>
      </w:r>
      <w:r>
        <w:rPr>
          <w:rFonts w:ascii="Book Antiqua"/>
          <w:color w:val="000000"/>
          <w:sz w:val="22"/>
          <w:szCs w:val="22"/>
          <w:u w:color="000000"/>
          <w:rtl w:val="0"/>
          <w:lang w:val="it-IT"/>
        </w:rPr>
        <w:t>impianto. Gi</w:t>
      </w:r>
      <w:r>
        <w:rPr>
          <w:rFonts w:hAnsi="Book Antiqua" w:hint="default"/>
          <w:color w:val="000000"/>
          <w:sz w:val="22"/>
          <w:szCs w:val="22"/>
          <w:u w:color="000000"/>
          <w:rtl w:val="0"/>
          <w:lang w:val="it-IT"/>
        </w:rPr>
        <w:t xml:space="preserve">à </w:t>
      </w:r>
      <w:r>
        <w:rPr>
          <w:rFonts w:ascii="Book Antiqua"/>
          <w:color w:val="000000"/>
          <w:sz w:val="22"/>
          <w:szCs w:val="22"/>
          <w:u w:color="000000"/>
          <w:rtl w:val="0"/>
          <w:lang w:val="it-IT"/>
        </w:rPr>
        <w:t>nel 2011 il competente Municipio richiedeva personale per la costituzione di un gruppo di lavoro dedicato (vedi nota prot. n. 80185 del 04.10.2011) e personale di Arpalazio ha effettuato sopralluoghi e ispezioni, relazionati alle autorit</w:t>
      </w:r>
      <w:r>
        <w:rPr>
          <w:rFonts w:hAnsi="Book Antiqua" w:hint="default"/>
          <w:color w:val="000000"/>
          <w:sz w:val="22"/>
          <w:szCs w:val="22"/>
          <w:u w:color="000000"/>
          <w:rtl w:val="0"/>
          <w:lang w:val="it-IT"/>
        </w:rPr>
        <w:t xml:space="preserve">à </w:t>
      </w:r>
      <w:r>
        <w:rPr>
          <w:rFonts w:ascii="Book Antiqua"/>
          <w:color w:val="000000"/>
          <w:sz w:val="22"/>
          <w:szCs w:val="22"/>
          <w:u w:color="000000"/>
          <w:rtl w:val="0"/>
          <w:lang w:val="it-IT"/>
        </w:rPr>
        <w:t>competenti. Ad inizio 2012 perveniva, in merito alla medesima problematica, richiesta da parte del Corpo forestale dello Stato, al quale veniva dato riscontro delle ulteriori attivit</w:t>
      </w:r>
      <w:r>
        <w:rPr>
          <w:rFonts w:hAnsi="Book Antiqua" w:hint="default"/>
          <w:color w:val="000000"/>
          <w:sz w:val="22"/>
          <w:szCs w:val="22"/>
          <w:u w:color="000000"/>
          <w:rtl w:val="0"/>
          <w:lang w:val="it-IT"/>
        </w:rPr>
        <w:t xml:space="preserve">à </w:t>
      </w:r>
      <w:r>
        <w:rPr>
          <w:rFonts w:ascii="Book Antiqua"/>
          <w:color w:val="000000"/>
          <w:sz w:val="22"/>
          <w:szCs w:val="22"/>
          <w:u w:color="000000"/>
          <w:rtl w:val="0"/>
          <w:lang w:val="it-IT"/>
        </w:rPr>
        <w:t xml:space="preserve">svolte. </w:t>
      </w:r>
    </w:p>
    <w:p>
      <w:pPr>
        <w:pStyle w:val="Normal"/>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Sempre nel 2012 venivano prelevati campioni di acque reflue presso l</w:t>
      </w:r>
      <w:r>
        <w:rPr>
          <w:rFonts w:hAnsi="Book Antiqua" w:hint="default"/>
          <w:color w:val="000000"/>
          <w:sz w:val="22"/>
          <w:szCs w:val="22"/>
          <w:u w:color="000000"/>
          <w:rtl w:val="0"/>
          <w:lang w:val="it-IT"/>
        </w:rPr>
        <w:t>’</w:t>
      </w:r>
      <w:r>
        <w:rPr>
          <w:rFonts w:ascii="Book Antiqua"/>
          <w:color w:val="000000"/>
          <w:sz w:val="22"/>
          <w:szCs w:val="22"/>
          <w:u w:color="000000"/>
          <w:rtl w:val="0"/>
          <w:lang w:val="it-IT"/>
        </w:rPr>
        <w:t>impianto e dai successivi accertamenti amministrativi emergeva che alcuni scarichi dell</w:t>
      </w:r>
      <w:r>
        <w:rPr>
          <w:rFonts w:hAnsi="Book Antiqua" w:hint="default"/>
          <w:color w:val="000000"/>
          <w:sz w:val="22"/>
          <w:szCs w:val="22"/>
          <w:u w:color="000000"/>
          <w:rtl w:val="0"/>
          <w:lang w:val="it-IT"/>
        </w:rPr>
        <w:t>’</w:t>
      </w:r>
      <w:r>
        <w:rPr>
          <w:rFonts w:ascii="Book Antiqua"/>
          <w:color w:val="000000"/>
          <w:sz w:val="22"/>
          <w:szCs w:val="22"/>
          <w:u w:color="000000"/>
          <w:rtl w:val="0"/>
          <w:lang w:val="it-IT"/>
        </w:rPr>
        <w:t>impianto erano ancora attivi in virt</w:t>
      </w:r>
      <w:r>
        <w:rPr>
          <w:rFonts w:hAnsi="Book Antiqua" w:hint="default"/>
          <w:color w:val="000000"/>
          <w:sz w:val="22"/>
          <w:szCs w:val="22"/>
          <w:u w:color="000000"/>
          <w:rtl w:val="0"/>
          <w:lang w:val="it-IT"/>
        </w:rPr>
        <w:t xml:space="preserve">ù </w:t>
      </w:r>
      <w:r>
        <w:rPr>
          <w:rFonts w:ascii="Book Antiqua"/>
          <w:color w:val="000000"/>
          <w:sz w:val="22"/>
          <w:szCs w:val="22"/>
          <w:u w:color="000000"/>
          <w:rtl w:val="0"/>
          <w:lang w:val="it-IT"/>
        </w:rPr>
        <w:t xml:space="preserve">di autorizzazioni settoriali (autorizzazione allo scarico in fognatura rilasciata dal comune di Roma), come da nota prot. n. 77435 del 12.10.2012. </w:t>
      </w:r>
    </w:p>
    <w:p>
      <w:pPr>
        <w:pStyle w:val="Normal"/>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Nell</w:t>
      </w:r>
      <w:r>
        <w:rPr>
          <w:rFonts w:hAnsi="Book Antiqua" w:hint="default"/>
          <w:color w:val="000000"/>
          <w:sz w:val="22"/>
          <w:szCs w:val="22"/>
          <w:u w:color="000000"/>
          <w:rtl w:val="0"/>
          <w:lang w:val="it-IT"/>
        </w:rPr>
        <w:t>’</w:t>
      </w:r>
      <w:r>
        <w:rPr>
          <w:rFonts w:ascii="Book Antiqua"/>
          <w:color w:val="000000"/>
          <w:sz w:val="22"/>
          <w:szCs w:val="22"/>
          <w:u w:color="000000"/>
          <w:rtl w:val="0"/>
          <w:lang w:val="it-IT"/>
        </w:rPr>
        <w:t xml:space="preserve">agosto 2013, sempre per le medesime problematiche, venivano svolti sopralluoghi congiunti con i Carabinieri NOE, le cui risultanze venivano trasmessi alla regione Lazio con nota prot. n. 65917 del 13.08.2013. </w:t>
      </w:r>
    </w:p>
    <w:p>
      <w:pPr>
        <w:pStyle w:val="Normal"/>
        <w:ind w:left="567" w:right="567" w:firstLine="0"/>
        <w:jc w:val="both"/>
        <w:rPr>
          <w:rFonts w:ascii="Book Antiqua Bold" w:cs="Book Antiqua Bold" w:hAnsi="Book Antiqua Bold" w:eastAsia="Book Antiqua Bold"/>
          <w:b w:val="1"/>
          <w:bCs w:val="1"/>
          <w:color w:val="000000"/>
          <w:sz w:val="22"/>
          <w:szCs w:val="22"/>
          <w:u w:val="single" w:color="000000"/>
        </w:rPr>
      </w:pPr>
      <w:r>
        <w:rPr>
          <w:rFonts w:ascii="Book Antiqua"/>
          <w:color w:val="000000"/>
          <w:sz w:val="22"/>
          <w:szCs w:val="22"/>
          <w:u w:color="000000"/>
          <w:rtl w:val="0"/>
          <w:lang w:val="it-IT"/>
        </w:rPr>
        <w:t>Nel 2014</w:t>
      </w:r>
      <w:r>
        <w:rPr>
          <w:rFonts w:hAnsi="American Typewriter" w:hint="default"/>
          <w:color w:val="000000"/>
          <w:sz w:val="22"/>
          <w:szCs w:val="22"/>
          <w:u w:color="000000"/>
          <w:rtl w:val="0"/>
          <w:lang w:val="it-IT"/>
        </w:rPr>
        <w:t>‐</w:t>
      </w:r>
      <w:r>
        <w:rPr>
          <w:rFonts w:ascii="Book Antiqua"/>
          <w:color w:val="000000"/>
          <w:sz w:val="22"/>
          <w:szCs w:val="22"/>
          <w:u w:color="000000"/>
          <w:rtl w:val="0"/>
          <w:lang w:val="it-IT"/>
        </w:rPr>
        <w:t>2015 sono stati effettuati ulteriori sopralluoghi nell</w:t>
      </w:r>
      <w:r>
        <w:rPr>
          <w:rFonts w:hAnsi="Book Antiqua" w:hint="default"/>
          <w:color w:val="000000"/>
          <w:sz w:val="22"/>
          <w:szCs w:val="22"/>
          <w:u w:color="000000"/>
          <w:rtl w:val="0"/>
          <w:lang w:val="it-IT"/>
        </w:rPr>
        <w:t>’</w:t>
      </w:r>
      <w:r>
        <w:rPr>
          <w:rFonts w:ascii="Book Antiqua"/>
          <w:color w:val="000000"/>
          <w:sz w:val="22"/>
          <w:szCs w:val="22"/>
          <w:u w:color="000000"/>
          <w:rtl w:val="0"/>
          <w:lang w:val="it-IT"/>
        </w:rPr>
        <w:t>area dell</w:t>
      </w:r>
      <w:r>
        <w:rPr>
          <w:rFonts w:hAnsi="Book Antiqua" w:hint="default"/>
          <w:color w:val="000000"/>
          <w:sz w:val="22"/>
          <w:szCs w:val="22"/>
          <w:u w:color="000000"/>
          <w:rtl w:val="0"/>
          <w:lang w:val="it-IT"/>
        </w:rPr>
        <w:t>’</w:t>
      </w:r>
      <w:r>
        <w:rPr>
          <w:rFonts w:ascii="Book Antiqua"/>
          <w:color w:val="000000"/>
          <w:sz w:val="22"/>
          <w:szCs w:val="22"/>
          <w:u w:color="000000"/>
          <w:rtl w:val="0"/>
          <w:lang w:val="it-IT"/>
        </w:rPr>
        <w:t>impianto per la verifica della presenza di odori e a seguito di un incendio sviluppatosi nel giugno 2015. A seguito del suddetto incendio l</w:t>
      </w:r>
      <w:r>
        <w:rPr>
          <w:rFonts w:hAnsi="Book Antiqua" w:hint="default"/>
          <w:color w:val="000000"/>
          <w:sz w:val="22"/>
          <w:szCs w:val="22"/>
          <w:u w:color="000000"/>
          <w:rtl w:val="0"/>
          <w:lang w:val="it-IT"/>
        </w:rPr>
        <w:t>’</w:t>
      </w:r>
      <w:r>
        <w:rPr>
          <w:rFonts w:ascii="Book Antiqua"/>
          <w:color w:val="000000"/>
          <w:sz w:val="22"/>
          <w:szCs w:val="22"/>
          <w:u w:color="000000"/>
          <w:rtl w:val="0"/>
          <w:lang w:val="it-IT"/>
        </w:rPr>
        <w:t xml:space="preserve">impianto non </w:t>
      </w:r>
      <w:r>
        <w:rPr>
          <w:rFonts w:hAnsi="Book Antiqua" w:hint="default"/>
          <w:color w:val="000000"/>
          <w:sz w:val="22"/>
          <w:szCs w:val="22"/>
          <w:u w:color="000000"/>
          <w:rtl w:val="0"/>
          <w:lang w:val="it-IT"/>
        </w:rPr>
        <w:t xml:space="preserve">è </w:t>
      </w:r>
      <w:r>
        <w:rPr>
          <w:rFonts w:ascii="Book Antiqua"/>
          <w:color w:val="000000"/>
          <w:sz w:val="22"/>
          <w:szCs w:val="22"/>
          <w:u w:color="000000"/>
          <w:rtl w:val="0"/>
          <w:lang w:val="it-IT"/>
        </w:rPr>
        <w:t xml:space="preserve">stato in funzione fino ai primi mesi del 2016. Nel mese di aprile 2016, a seguito di richiesta di controllo straordinario da parte della regione Lazio (prot. n. 53776 del 02.07.2015), sono stati prelevati campioni del rifiuto prodotto </w:t>
      </w:r>
      <w:r>
        <w:rPr>
          <w:rFonts w:hAnsi="Book Antiqua" w:hint="default"/>
          <w:color w:val="000000"/>
          <w:sz w:val="22"/>
          <w:szCs w:val="22"/>
          <w:u w:color="000000"/>
          <w:rtl w:val="0"/>
          <w:lang w:val="it-IT"/>
        </w:rPr>
        <w:t>“</w:t>
      </w:r>
      <w:r>
        <w:rPr>
          <w:rFonts w:ascii="Book Antiqua"/>
          <w:color w:val="000000"/>
          <w:sz w:val="22"/>
          <w:szCs w:val="22"/>
          <w:u w:color="000000"/>
          <w:rtl w:val="0"/>
          <w:lang w:val="it-IT"/>
        </w:rPr>
        <w:t>FOS</w:t>
      </w:r>
      <w:r>
        <w:rPr>
          <w:rFonts w:hAnsi="Book Antiqua" w:hint="default"/>
          <w:color w:val="000000"/>
          <w:sz w:val="22"/>
          <w:szCs w:val="22"/>
          <w:u w:color="000000"/>
          <w:rtl w:val="0"/>
          <w:lang w:val="it-IT"/>
        </w:rPr>
        <w:t xml:space="preserve">” </w:t>
      </w:r>
      <w:r>
        <w:rPr>
          <w:rFonts w:ascii="Book Antiqua"/>
          <w:color w:val="000000"/>
          <w:sz w:val="22"/>
          <w:szCs w:val="22"/>
          <w:u w:color="000000"/>
          <w:rtl w:val="0"/>
          <w:lang w:val="it-IT"/>
        </w:rPr>
        <w:t>(codice 19 05 01), la cui analisi ha evidenziato un valore dell</w:t>
      </w:r>
      <w:r>
        <w:rPr>
          <w:rFonts w:hAnsi="Book Antiqua" w:hint="default"/>
          <w:color w:val="000000"/>
          <w:sz w:val="22"/>
          <w:szCs w:val="22"/>
          <w:u w:color="000000"/>
          <w:rtl w:val="0"/>
          <w:lang w:val="it-IT"/>
        </w:rPr>
        <w:t>’</w:t>
      </w:r>
      <w:r>
        <w:rPr>
          <w:rFonts w:ascii="Book Antiqua"/>
          <w:color w:val="000000"/>
          <w:sz w:val="22"/>
          <w:szCs w:val="22"/>
          <w:u w:color="000000"/>
          <w:rtl w:val="0"/>
          <w:lang w:val="it-IT"/>
        </w:rPr>
        <w:t>indice respirometrico dinamico (IRD) pari a circa 4000, ben oltre il valore di riferimento per il conferimento a discarica.</w:t>
      </w:r>
      <w:r>
        <w:rPr>
          <w:rFonts w:ascii="Book Antiqua Bold"/>
          <w:b w:val="1"/>
          <w:bCs w:val="1"/>
          <w:color w:val="000000"/>
          <w:sz w:val="22"/>
          <w:szCs w:val="22"/>
          <w:u w:val="single" w:color="000000"/>
          <w:rtl w:val="0"/>
          <w:lang w:val="it-IT"/>
        </w:rPr>
        <w:t xml:space="preserve"> </w:t>
      </w:r>
    </w:p>
    <w:p>
      <w:pPr>
        <w:pStyle w:val="Normal"/>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 xml:space="preserve">Gli esiti del campionamento sono stati trasmessi alla regione Lazio con nota prot. n. 52253 del 08.07.2016. </w:t>
      </w:r>
    </w:p>
    <w:p>
      <w:pPr>
        <w:pStyle w:val="Normal"/>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 xml:space="preserve">Su richiesta del Servizio Tecnico di Arpalazio, in riscontro a specifica richiesta della regione Lazio, nel settembre 2016 personale di Arpalazio si </w:t>
      </w:r>
      <w:r>
        <w:rPr>
          <w:rFonts w:hAnsi="Book Antiqua" w:hint="default"/>
          <w:color w:val="000000"/>
          <w:sz w:val="22"/>
          <w:szCs w:val="22"/>
          <w:u w:color="000000"/>
          <w:rtl w:val="0"/>
          <w:lang w:val="it-IT"/>
        </w:rPr>
        <w:t xml:space="preserve">è </w:t>
      </w:r>
      <w:r>
        <w:rPr>
          <w:rFonts w:ascii="Book Antiqua"/>
          <w:color w:val="000000"/>
          <w:sz w:val="22"/>
          <w:szCs w:val="22"/>
          <w:u w:color="000000"/>
          <w:rtl w:val="0"/>
          <w:lang w:val="it-IT"/>
        </w:rPr>
        <w:t>recato presso gli impianti per l</w:t>
      </w:r>
      <w:r>
        <w:rPr>
          <w:rFonts w:hAnsi="Book Antiqua" w:hint="default"/>
          <w:color w:val="000000"/>
          <w:sz w:val="22"/>
          <w:szCs w:val="22"/>
          <w:u w:color="000000"/>
          <w:rtl w:val="0"/>
          <w:lang w:val="it-IT"/>
        </w:rPr>
        <w:t>’</w:t>
      </w:r>
      <w:r>
        <w:rPr>
          <w:rFonts w:ascii="Book Antiqua"/>
          <w:color w:val="000000"/>
          <w:sz w:val="22"/>
          <w:szCs w:val="22"/>
          <w:u w:color="000000"/>
          <w:rtl w:val="0"/>
          <w:lang w:val="it-IT"/>
        </w:rPr>
        <w:t xml:space="preserve">acquisizione delle informazioni relative ai quantitativi dei rifiuti in ingresso e dei conseguenti flussi di rifiuti in uscita. Con nota 73150 del 03.10.2016 </w:t>
      </w:r>
      <w:r>
        <w:rPr>
          <w:rFonts w:hAnsi="Book Antiqua" w:hint="default"/>
          <w:color w:val="000000"/>
          <w:sz w:val="22"/>
          <w:szCs w:val="22"/>
          <w:u w:color="000000"/>
          <w:rtl w:val="0"/>
          <w:lang w:val="it-IT"/>
        </w:rPr>
        <w:t xml:space="preserve">è </w:t>
      </w:r>
      <w:r>
        <w:rPr>
          <w:rFonts w:ascii="Book Antiqua"/>
          <w:color w:val="000000"/>
          <w:sz w:val="22"/>
          <w:szCs w:val="22"/>
          <w:u w:color="000000"/>
          <w:rtl w:val="0"/>
          <w:lang w:val="it-IT"/>
        </w:rPr>
        <w:t>stata inviata apposita relazione alla regione Lazio.</w:t>
      </w:r>
    </w:p>
    <w:p>
      <w:pPr>
        <w:pStyle w:val="Normal"/>
        <w:ind w:left="567" w:right="567" w:firstLine="0"/>
        <w:jc w:val="both"/>
        <w:rPr>
          <w:rFonts w:ascii="Book Antiqua" w:cs="Book Antiqua" w:hAnsi="Book Antiqua" w:eastAsia="Book Antiqua"/>
          <w:color w:val="000000"/>
          <w:sz w:val="22"/>
          <w:szCs w:val="22"/>
          <w:u w:color="000000"/>
        </w:rPr>
      </w:pPr>
    </w:p>
    <w:p>
      <w:pPr>
        <w:pStyle w:val="Normal"/>
        <w:ind w:left="567" w:right="567" w:firstLine="0"/>
        <w:jc w:val="both"/>
        <w:rPr>
          <w:rFonts w:ascii="Book Antiqua" w:cs="Book Antiqua" w:hAnsi="Book Antiqua" w:eastAsia="Book Antiqua"/>
          <w:i w:val="1"/>
          <w:iCs w:val="1"/>
          <w:color w:val="000000"/>
          <w:sz w:val="22"/>
          <w:szCs w:val="22"/>
          <w:u w:color="000000"/>
        </w:rPr>
      </w:pPr>
      <w:r>
        <w:rPr>
          <w:rFonts w:ascii="Book Antiqua"/>
          <w:i w:val="1"/>
          <w:iCs w:val="1"/>
          <w:color w:val="000000"/>
          <w:sz w:val="22"/>
          <w:szCs w:val="22"/>
          <w:u w:color="000000"/>
          <w:rtl w:val="0"/>
          <w:lang w:val="it-IT"/>
        </w:rPr>
        <w:t xml:space="preserve">IMPIANTI TMB1 E TMB2 MALAGROTTA </w:t>
      </w:r>
    </w:p>
    <w:p>
      <w:pPr>
        <w:pStyle w:val="Normal"/>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Gli impianti di trattamento meccanico</w:t>
      </w:r>
      <w:r>
        <w:rPr>
          <w:rFonts w:hAnsi="American Typewriter" w:hint="default"/>
          <w:color w:val="000000"/>
          <w:sz w:val="22"/>
          <w:szCs w:val="22"/>
          <w:u w:color="000000"/>
          <w:rtl w:val="0"/>
          <w:lang w:val="it-IT"/>
        </w:rPr>
        <w:t>‐</w:t>
      </w:r>
      <w:r>
        <w:rPr>
          <w:rFonts w:ascii="Book Antiqua"/>
          <w:color w:val="000000"/>
          <w:sz w:val="22"/>
          <w:szCs w:val="22"/>
          <w:u w:color="000000"/>
          <w:rtl w:val="0"/>
          <w:lang w:val="it-IT"/>
        </w:rPr>
        <w:t>biologico per rifiuti solidi urbani indifferenziati denominati TMB1 e TMB2 siti in localit</w:t>
      </w:r>
      <w:r>
        <w:rPr>
          <w:rFonts w:hAnsi="Book Antiqua" w:hint="default"/>
          <w:color w:val="000000"/>
          <w:sz w:val="22"/>
          <w:szCs w:val="22"/>
          <w:u w:color="000000"/>
          <w:rtl w:val="0"/>
          <w:lang w:val="it-IT"/>
        </w:rPr>
        <w:t xml:space="preserve">à </w:t>
      </w:r>
      <w:r>
        <w:rPr>
          <w:rFonts w:ascii="Book Antiqua"/>
          <w:color w:val="000000"/>
          <w:sz w:val="22"/>
          <w:szCs w:val="22"/>
          <w:u w:color="000000"/>
          <w:rtl w:val="0"/>
          <w:lang w:val="it-IT"/>
        </w:rPr>
        <w:t>Malagrotta, di propriet</w:t>
      </w:r>
      <w:r>
        <w:rPr>
          <w:rFonts w:hAnsi="Book Antiqua" w:hint="default"/>
          <w:color w:val="000000"/>
          <w:sz w:val="22"/>
          <w:szCs w:val="22"/>
          <w:u w:color="000000"/>
          <w:rtl w:val="0"/>
          <w:lang w:val="it-IT"/>
        </w:rPr>
        <w:t xml:space="preserve">à </w:t>
      </w:r>
      <w:r>
        <w:rPr>
          <w:rFonts w:ascii="Book Antiqua"/>
          <w:color w:val="000000"/>
          <w:sz w:val="22"/>
          <w:szCs w:val="22"/>
          <w:u w:color="000000"/>
          <w:rtl w:val="0"/>
          <w:lang w:val="it-IT"/>
        </w:rPr>
        <w:t>della Societ</w:t>
      </w:r>
      <w:r>
        <w:rPr>
          <w:rFonts w:hAnsi="Book Antiqua" w:hint="default"/>
          <w:color w:val="000000"/>
          <w:sz w:val="22"/>
          <w:szCs w:val="22"/>
          <w:u w:color="000000"/>
          <w:rtl w:val="0"/>
          <w:lang w:val="it-IT"/>
        </w:rPr>
        <w:t xml:space="preserve">à </w:t>
      </w:r>
      <w:r>
        <w:rPr>
          <w:rFonts w:ascii="Book Antiqua"/>
          <w:color w:val="000000"/>
          <w:sz w:val="22"/>
          <w:szCs w:val="22"/>
          <w:u w:color="000000"/>
          <w:rtl w:val="0"/>
          <w:lang w:val="it-IT"/>
        </w:rPr>
        <w:t>E.Giovi srl, sono stati autorizzati con Autorizzazione Integrata Ambientale dalla regione Lazio con Determinazione Regionale n. G06042 del 23.12.2013. Si tratta di due impianti che operano con le medesime modalit</w:t>
      </w:r>
      <w:r>
        <w:rPr>
          <w:rFonts w:hAnsi="Book Antiqua" w:hint="default"/>
          <w:color w:val="000000"/>
          <w:sz w:val="22"/>
          <w:szCs w:val="22"/>
          <w:u w:color="000000"/>
          <w:rtl w:val="0"/>
          <w:lang w:val="it-IT"/>
        </w:rPr>
        <w:t>à</w:t>
      </w:r>
      <w:r>
        <w:rPr>
          <w:rFonts w:ascii="Book Antiqua"/>
          <w:color w:val="000000"/>
          <w:sz w:val="22"/>
          <w:szCs w:val="22"/>
          <w:u w:color="000000"/>
          <w:rtl w:val="0"/>
          <w:lang w:val="it-IT"/>
        </w:rPr>
        <w:t xml:space="preserve">. </w:t>
      </w:r>
    </w:p>
    <w:p>
      <w:pPr>
        <w:pStyle w:val="Normal"/>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Nel 2014, su richiesta della regione Lazio con nota acquisita con prot. n. 47462 del 30.06.2014, Arpalazio ha avviato un controllo degli impianti.  Gli esiti parziali dei controlli sono stati trasmessi alla regione Lazio con nota prot. n. 82210 del 03.11.2014. Dalle attivit</w:t>
      </w:r>
      <w:r>
        <w:rPr>
          <w:rFonts w:hAnsi="Book Antiqua" w:hint="default"/>
          <w:color w:val="000000"/>
          <w:sz w:val="22"/>
          <w:szCs w:val="22"/>
          <w:u w:color="000000"/>
          <w:rtl w:val="0"/>
          <w:lang w:val="it-IT"/>
        </w:rPr>
        <w:t xml:space="preserve">à </w:t>
      </w:r>
      <w:r>
        <w:rPr>
          <w:rFonts w:ascii="Book Antiqua"/>
          <w:color w:val="000000"/>
          <w:sz w:val="22"/>
          <w:szCs w:val="22"/>
          <w:u w:color="000000"/>
          <w:rtl w:val="0"/>
          <w:lang w:val="it-IT"/>
        </w:rPr>
        <w:t>di controllo, emergevano numerose violazioni di prescrizioni e criticit</w:t>
      </w:r>
      <w:r>
        <w:rPr>
          <w:rFonts w:hAnsi="Book Antiqua" w:hint="default"/>
          <w:color w:val="000000"/>
          <w:sz w:val="22"/>
          <w:szCs w:val="22"/>
          <w:u w:color="000000"/>
          <w:rtl w:val="0"/>
          <w:lang w:val="it-IT"/>
        </w:rPr>
        <w:t>à</w:t>
      </w:r>
      <w:r>
        <w:rPr>
          <w:rFonts w:ascii="Book Antiqua"/>
          <w:color w:val="000000"/>
          <w:sz w:val="22"/>
          <w:szCs w:val="22"/>
          <w:u w:color="000000"/>
          <w:rtl w:val="0"/>
          <w:lang w:val="it-IT"/>
        </w:rPr>
        <w:t>, in particolare relative alle aree di stoccaggio dei rifiuti (il CDR veniva stoccato, senza esserne autorizzato, presso l</w:t>
      </w:r>
      <w:r>
        <w:rPr>
          <w:rFonts w:hAnsi="Book Antiqua" w:hint="default"/>
          <w:color w:val="000000"/>
          <w:sz w:val="22"/>
          <w:szCs w:val="22"/>
          <w:u w:color="000000"/>
          <w:rtl w:val="0"/>
          <w:lang w:val="it-IT"/>
        </w:rPr>
        <w:t>’</w:t>
      </w:r>
      <w:r>
        <w:rPr>
          <w:rFonts w:ascii="Book Antiqua"/>
          <w:color w:val="000000"/>
          <w:sz w:val="22"/>
          <w:szCs w:val="22"/>
          <w:u w:color="000000"/>
          <w:rtl w:val="0"/>
          <w:lang w:val="it-IT"/>
        </w:rPr>
        <w:t>area del limitrofo impianto di gassificazione della Societ</w:t>
      </w:r>
      <w:r>
        <w:rPr>
          <w:rFonts w:hAnsi="Book Antiqua" w:hint="default"/>
          <w:color w:val="000000"/>
          <w:sz w:val="22"/>
          <w:szCs w:val="22"/>
          <w:u w:color="000000"/>
          <w:rtl w:val="0"/>
          <w:lang w:val="it-IT"/>
        </w:rPr>
        <w:t xml:space="preserve">à </w:t>
      </w:r>
      <w:r>
        <w:rPr>
          <w:rFonts w:ascii="Book Antiqua"/>
          <w:color w:val="000000"/>
          <w:sz w:val="22"/>
          <w:szCs w:val="22"/>
          <w:u w:color="000000"/>
          <w:rtl w:val="0"/>
          <w:lang w:val="it-IT"/>
        </w:rPr>
        <w:t>Co.La.Ri.), alla gestione dei locali di lavorazione dei rifiuti (i portelloni risultavano aperti con conseguente fuoriuscita di miasmi), alla gestione delle acque di prima pioggia e delle acque reflue. A seguito della relazione di Arpalazio, la regione diffidava la Societ</w:t>
      </w:r>
      <w:r>
        <w:rPr>
          <w:rFonts w:hAnsi="Book Antiqua" w:hint="default"/>
          <w:color w:val="000000"/>
          <w:sz w:val="22"/>
          <w:szCs w:val="22"/>
          <w:u w:color="000000"/>
          <w:rtl w:val="0"/>
          <w:lang w:val="it-IT"/>
        </w:rPr>
        <w:t xml:space="preserve">à </w:t>
      </w:r>
      <w:r>
        <w:rPr>
          <w:rFonts w:ascii="Book Antiqua"/>
          <w:color w:val="000000"/>
          <w:sz w:val="22"/>
          <w:szCs w:val="22"/>
          <w:u w:color="000000"/>
          <w:rtl w:val="0"/>
          <w:lang w:val="it-IT"/>
        </w:rPr>
        <w:t>E.Giovi srl al rispetto delle condizioni dell</w:t>
      </w:r>
      <w:r>
        <w:rPr>
          <w:rFonts w:hAnsi="Book Antiqua" w:hint="default"/>
          <w:color w:val="000000"/>
          <w:sz w:val="22"/>
          <w:szCs w:val="22"/>
          <w:u w:color="000000"/>
          <w:rtl w:val="0"/>
          <w:lang w:val="it-IT"/>
        </w:rPr>
        <w:t>’</w:t>
      </w:r>
      <w:r>
        <w:rPr>
          <w:rFonts w:ascii="Book Antiqua"/>
          <w:color w:val="000000"/>
          <w:sz w:val="22"/>
          <w:szCs w:val="22"/>
          <w:u w:color="000000"/>
          <w:rtl w:val="0"/>
          <w:lang w:val="it-IT"/>
        </w:rPr>
        <w:t xml:space="preserve">AIA. </w:t>
      </w:r>
    </w:p>
    <w:p>
      <w:pPr>
        <w:pStyle w:val="Normal"/>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Le attivit</w:t>
      </w:r>
      <w:r>
        <w:rPr>
          <w:rFonts w:hAnsi="Book Antiqua" w:hint="default"/>
          <w:color w:val="000000"/>
          <w:sz w:val="22"/>
          <w:szCs w:val="22"/>
          <w:u w:color="000000"/>
          <w:rtl w:val="0"/>
          <w:lang w:val="it-IT"/>
        </w:rPr>
        <w:t xml:space="preserve">à </w:t>
      </w:r>
      <w:r>
        <w:rPr>
          <w:rFonts w:ascii="Book Antiqua"/>
          <w:color w:val="000000"/>
          <w:sz w:val="22"/>
          <w:szCs w:val="22"/>
          <w:u w:color="000000"/>
          <w:rtl w:val="0"/>
          <w:lang w:val="it-IT"/>
        </w:rPr>
        <w:t>di controllo sono proseguite nel 2015 con numerosi sopralluoghi e campionamenti. Con nota prot. n. 2273 del 13.01.2016, sono stati trasmessi alla regione Lazio gli esiti dei controlli, che hanno evidenziato numerose violazioni delle prescrizioni, in particolare relative alla gestione dei rifiuti (superamento del limite per l</w:t>
      </w:r>
      <w:r>
        <w:rPr>
          <w:rFonts w:hAnsi="Book Antiqua" w:hint="default"/>
          <w:color w:val="000000"/>
          <w:sz w:val="22"/>
          <w:szCs w:val="22"/>
          <w:u w:color="000000"/>
          <w:rtl w:val="0"/>
          <w:lang w:val="it-IT"/>
        </w:rPr>
        <w:t>’</w:t>
      </w:r>
      <w:r>
        <w:rPr>
          <w:rFonts w:ascii="Book Antiqua"/>
          <w:color w:val="000000"/>
          <w:sz w:val="22"/>
          <w:szCs w:val="22"/>
          <w:u w:color="000000"/>
          <w:rtl w:val="0"/>
          <w:lang w:val="it-IT"/>
        </w:rPr>
        <w:t>indice respirometrico dinamico per il rifiuto 19 05 03, superamento del quantitativo annuo autorizzato di rifiuti in ingresso, utilizzo di aree non autorizzate per lo stoccaggio), alle emissioni in atmosfera (non conformit</w:t>
      </w:r>
      <w:r>
        <w:rPr>
          <w:rFonts w:hAnsi="Book Antiqua" w:hint="default"/>
          <w:color w:val="000000"/>
          <w:sz w:val="22"/>
          <w:szCs w:val="22"/>
          <w:u w:color="000000"/>
          <w:rtl w:val="0"/>
          <w:lang w:val="it-IT"/>
        </w:rPr>
        <w:t xml:space="preserve">à </w:t>
      </w:r>
      <w:r>
        <w:rPr>
          <w:rFonts w:ascii="Book Antiqua"/>
          <w:color w:val="000000"/>
          <w:sz w:val="22"/>
          <w:szCs w:val="22"/>
          <w:u w:color="000000"/>
          <w:rtl w:val="0"/>
          <w:lang w:val="it-IT"/>
        </w:rPr>
        <w:t>dei punti di prelievo), alle acque reflue (superamento dei limiti allo scarico in fognatura per numerosi parametri) e alle acque sotterranee. A seguito della relazione di Arpalazio, la regione diffidava la Societ</w:t>
      </w:r>
      <w:r>
        <w:rPr>
          <w:rFonts w:hAnsi="Book Antiqua" w:hint="default"/>
          <w:color w:val="000000"/>
          <w:sz w:val="22"/>
          <w:szCs w:val="22"/>
          <w:u w:color="000000"/>
          <w:rtl w:val="0"/>
          <w:lang w:val="it-IT"/>
        </w:rPr>
        <w:t xml:space="preserve">à </w:t>
      </w:r>
      <w:r>
        <w:rPr>
          <w:rFonts w:ascii="Book Antiqua"/>
          <w:color w:val="000000"/>
          <w:sz w:val="22"/>
          <w:szCs w:val="22"/>
          <w:u w:color="000000"/>
          <w:rtl w:val="0"/>
          <w:lang w:val="it-IT"/>
        </w:rPr>
        <w:t>E.Giovi srl con nota prot n. 20002 del 18.03.2016 al rispetto delle condizioni dell</w:t>
      </w:r>
      <w:r>
        <w:rPr>
          <w:rFonts w:hAnsi="Book Antiqua" w:hint="default"/>
          <w:color w:val="000000"/>
          <w:sz w:val="22"/>
          <w:szCs w:val="22"/>
          <w:u w:color="000000"/>
          <w:rtl w:val="0"/>
          <w:lang w:val="it-IT"/>
        </w:rPr>
        <w:t>’</w:t>
      </w:r>
      <w:r>
        <w:rPr>
          <w:rFonts w:ascii="Book Antiqua"/>
          <w:color w:val="000000"/>
          <w:sz w:val="22"/>
          <w:szCs w:val="22"/>
          <w:u w:color="000000"/>
          <w:rtl w:val="0"/>
          <w:lang w:val="it-IT"/>
        </w:rPr>
        <w:t xml:space="preserve">AIA. </w:t>
      </w:r>
    </w:p>
    <w:p>
      <w:pPr>
        <w:pStyle w:val="Normal"/>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 xml:space="preserve">Delle violazioni penali </w:t>
      </w:r>
      <w:r>
        <w:rPr>
          <w:rFonts w:hAnsi="Book Antiqua" w:hint="default"/>
          <w:color w:val="000000"/>
          <w:sz w:val="22"/>
          <w:szCs w:val="22"/>
          <w:u w:color="000000"/>
          <w:rtl w:val="0"/>
          <w:lang w:val="it-IT"/>
        </w:rPr>
        <w:t xml:space="preserve">è </w:t>
      </w:r>
      <w:r>
        <w:rPr>
          <w:rFonts w:ascii="Book Antiqua"/>
          <w:color w:val="000000"/>
          <w:sz w:val="22"/>
          <w:szCs w:val="22"/>
          <w:u w:color="000000"/>
          <w:rtl w:val="0"/>
          <w:lang w:val="it-IT"/>
        </w:rPr>
        <w:t>stata data tempestivamente notizia all</w:t>
      </w:r>
      <w:r>
        <w:rPr>
          <w:rFonts w:hAnsi="Book Antiqua" w:hint="default"/>
          <w:color w:val="000000"/>
          <w:sz w:val="22"/>
          <w:szCs w:val="22"/>
          <w:u w:color="000000"/>
          <w:rtl w:val="0"/>
          <w:lang w:val="it-IT"/>
        </w:rPr>
        <w:t>’</w:t>
      </w:r>
      <w:r>
        <w:rPr>
          <w:rFonts w:ascii="Book Antiqua"/>
          <w:color w:val="000000"/>
          <w:sz w:val="22"/>
          <w:szCs w:val="22"/>
          <w:u w:color="000000"/>
          <w:rtl w:val="0"/>
          <w:lang w:val="it-IT"/>
        </w:rPr>
        <w:t>autorit</w:t>
      </w:r>
      <w:r>
        <w:rPr>
          <w:rFonts w:hAnsi="Book Antiqua" w:hint="default"/>
          <w:color w:val="000000"/>
          <w:sz w:val="22"/>
          <w:szCs w:val="22"/>
          <w:u w:color="000000"/>
          <w:rtl w:val="0"/>
          <w:lang w:val="it-IT"/>
        </w:rPr>
        <w:t xml:space="preserve">à </w:t>
      </w:r>
      <w:r>
        <w:rPr>
          <w:rFonts w:ascii="Book Antiqua"/>
          <w:color w:val="000000"/>
          <w:sz w:val="22"/>
          <w:szCs w:val="22"/>
          <w:u w:color="000000"/>
          <w:rtl w:val="0"/>
          <w:lang w:val="it-IT"/>
        </w:rPr>
        <w:t xml:space="preserve">giudiziaria. </w:t>
      </w:r>
    </w:p>
    <w:p>
      <w:pPr>
        <w:pStyle w:val="Normal"/>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Con Determinazione Regionale n. G08231 del 18.07.2016 la regione Lazio ha aggiornato l</w:t>
      </w:r>
      <w:r>
        <w:rPr>
          <w:rFonts w:hAnsi="Book Antiqua" w:hint="default"/>
          <w:color w:val="000000"/>
          <w:sz w:val="22"/>
          <w:szCs w:val="22"/>
          <w:u w:color="000000"/>
          <w:rtl w:val="0"/>
          <w:lang w:val="it-IT"/>
        </w:rPr>
        <w:t>’</w:t>
      </w:r>
      <w:r>
        <w:rPr>
          <w:rFonts w:ascii="Book Antiqua"/>
          <w:color w:val="000000"/>
          <w:sz w:val="22"/>
          <w:szCs w:val="22"/>
          <w:u w:color="000000"/>
          <w:rtl w:val="0"/>
          <w:lang w:val="it-IT"/>
        </w:rPr>
        <w:t xml:space="preserve">Autorizzazione Integrata Ambientale, in particolare in merito alle aree di stoccaggio dei rifiuti prodotti (CDR/CSS). Dalla Determinazione si evince che lo stoccaggio del CDR presso il gassificatore </w:t>
      </w:r>
      <w:r>
        <w:rPr>
          <w:rFonts w:hAnsi="Book Antiqua" w:hint="default"/>
          <w:color w:val="000000"/>
          <w:sz w:val="22"/>
          <w:szCs w:val="22"/>
          <w:u w:color="000000"/>
          <w:rtl w:val="0"/>
          <w:lang w:val="it-IT"/>
        </w:rPr>
        <w:t xml:space="preserve">è </w:t>
      </w:r>
      <w:r>
        <w:rPr>
          <w:rFonts w:ascii="Book Antiqua"/>
          <w:color w:val="000000"/>
          <w:sz w:val="22"/>
          <w:szCs w:val="22"/>
          <w:u w:color="000000"/>
          <w:rtl w:val="0"/>
          <w:lang w:val="it-IT"/>
        </w:rPr>
        <w:t>stato autorizzato dalla regione Lazio gi</w:t>
      </w:r>
      <w:r>
        <w:rPr>
          <w:rFonts w:hAnsi="Book Antiqua" w:hint="default"/>
          <w:color w:val="000000"/>
          <w:sz w:val="22"/>
          <w:szCs w:val="22"/>
          <w:u w:color="000000"/>
          <w:rtl w:val="0"/>
          <w:lang w:val="it-IT"/>
        </w:rPr>
        <w:t xml:space="preserve">à </w:t>
      </w:r>
      <w:r>
        <w:rPr>
          <w:rFonts w:ascii="Book Antiqua"/>
          <w:color w:val="000000"/>
          <w:sz w:val="22"/>
          <w:szCs w:val="22"/>
          <w:u w:color="000000"/>
          <w:rtl w:val="0"/>
          <w:lang w:val="it-IT"/>
        </w:rPr>
        <w:t xml:space="preserve">a far data dal luglio 2015. </w:t>
      </w:r>
    </w:p>
    <w:p>
      <w:pPr>
        <w:pStyle w:val="Normal"/>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 xml:space="preserve">Su richiesta del Servizio Tecnico di Arpalazio, in riscontro a specifica richiesta della regione Lazio, nel settembre 2016 personale di Arpalazio si </w:t>
      </w:r>
      <w:r>
        <w:rPr>
          <w:rFonts w:hAnsi="Book Antiqua" w:hint="default"/>
          <w:color w:val="000000"/>
          <w:sz w:val="22"/>
          <w:szCs w:val="22"/>
          <w:u w:color="000000"/>
          <w:rtl w:val="0"/>
          <w:lang w:val="it-IT"/>
        </w:rPr>
        <w:t xml:space="preserve">è </w:t>
      </w:r>
      <w:r>
        <w:rPr>
          <w:rFonts w:ascii="Book Antiqua"/>
          <w:color w:val="000000"/>
          <w:sz w:val="22"/>
          <w:szCs w:val="22"/>
          <w:u w:color="000000"/>
          <w:rtl w:val="0"/>
          <w:lang w:val="it-IT"/>
        </w:rPr>
        <w:t>recato presso gli impianti per l</w:t>
      </w:r>
      <w:r>
        <w:rPr>
          <w:rFonts w:hAnsi="Book Antiqua" w:hint="default"/>
          <w:color w:val="000000"/>
          <w:sz w:val="22"/>
          <w:szCs w:val="22"/>
          <w:u w:color="000000"/>
          <w:rtl w:val="0"/>
          <w:lang w:val="it-IT"/>
        </w:rPr>
        <w:t>’</w:t>
      </w:r>
      <w:r>
        <w:rPr>
          <w:rFonts w:ascii="Book Antiqua"/>
          <w:color w:val="000000"/>
          <w:sz w:val="22"/>
          <w:szCs w:val="22"/>
          <w:u w:color="000000"/>
          <w:rtl w:val="0"/>
          <w:lang w:val="it-IT"/>
        </w:rPr>
        <w:t xml:space="preserve">acquisizione delle informazioni relative ai quantitativi dei rifiuti in ingresso e dei conseguenti flussi di rifiuti in uscita. Con nota 73150 del 03.10.2016 </w:t>
      </w:r>
      <w:r>
        <w:rPr>
          <w:rFonts w:hAnsi="Book Antiqua" w:hint="default"/>
          <w:color w:val="000000"/>
          <w:sz w:val="22"/>
          <w:szCs w:val="22"/>
          <w:u w:color="000000"/>
          <w:rtl w:val="0"/>
          <w:lang w:val="it-IT"/>
        </w:rPr>
        <w:t xml:space="preserve">è </w:t>
      </w:r>
      <w:r>
        <w:rPr>
          <w:rFonts w:ascii="Book Antiqua"/>
          <w:color w:val="000000"/>
          <w:sz w:val="22"/>
          <w:szCs w:val="22"/>
          <w:u w:color="000000"/>
          <w:rtl w:val="0"/>
          <w:lang w:val="it-IT"/>
        </w:rPr>
        <w:t>stata inviata apposita relazione alla regione Lazio.</w:t>
      </w:r>
    </w:p>
    <w:p>
      <w:pPr>
        <w:pStyle w:val="Normal"/>
        <w:ind w:left="567" w:right="567" w:firstLine="0"/>
        <w:jc w:val="both"/>
        <w:rPr>
          <w:rFonts w:ascii="Book Antiqua" w:cs="Book Antiqua" w:hAnsi="Book Antiqua" w:eastAsia="Book Antiqua"/>
          <w:color w:val="000000"/>
          <w:sz w:val="22"/>
          <w:szCs w:val="22"/>
          <w:u w:color="000000"/>
        </w:rPr>
      </w:pPr>
    </w:p>
    <w:p>
      <w:pPr>
        <w:pStyle w:val="Normal"/>
        <w:ind w:left="567" w:right="567" w:firstLine="0"/>
        <w:jc w:val="both"/>
        <w:rPr>
          <w:rFonts w:ascii="Book Antiqua" w:cs="Book Antiqua" w:hAnsi="Book Antiqua" w:eastAsia="Book Antiqua"/>
          <w:i w:val="1"/>
          <w:iCs w:val="1"/>
          <w:color w:val="000000"/>
          <w:sz w:val="22"/>
          <w:szCs w:val="22"/>
          <w:u w:color="000000"/>
        </w:rPr>
      </w:pPr>
      <w:r>
        <w:rPr>
          <w:rFonts w:ascii="Book Antiqua"/>
          <w:i w:val="1"/>
          <w:iCs w:val="1"/>
          <w:color w:val="000000"/>
          <w:sz w:val="22"/>
          <w:szCs w:val="22"/>
          <w:u w:color="000000"/>
          <w:rtl w:val="0"/>
          <w:lang w:val="it-IT"/>
        </w:rPr>
        <w:t xml:space="preserve">IMPIANTO PORCARELLI ex Co.La.Ri </w:t>
      </w:r>
      <w:r>
        <w:rPr>
          <w:rFonts w:hAnsi="American Typewriter" w:hint="default"/>
          <w:i w:val="1"/>
          <w:iCs w:val="1"/>
          <w:color w:val="000000"/>
          <w:sz w:val="22"/>
          <w:szCs w:val="22"/>
          <w:u w:color="000000"/>
          <w:rtl w:val="0"/>
          <w:lang w:val="it-IT"/>
        </w:rPr>
        <w:t>‐</w:t>
      </w:r>
      <w:r>
        <w:rPr>
          <w:rFonts w:ascii="Book Antiqua"/>
          <w:i w:val="1"/>
          <w:iCs w:val="1"/>
          <w:color w:val="000000"/>
          <w:sz w:val="22"/>
          <w:szCs w:val="22"/>
          <w:u w:color="000000"/>
          <w:rtl w:val="0"/>
          <w:lang w:val="it-IT"/>
        </w:rPr>
        <w:t xml:space="preserve"> via di Rocca Cencia 273, Roma </w:t>
      </w:r>
    </w:p>
    <w:p>
      <w:pPr>
        <w:pStyle w:val="Normal"/>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Impianto di trito vagliatura dei rifiuti urbani indifferenziati. L</w:t>
      </w:r>
      <w:r>
        <w:rPr>
          <w:rFonts w:hAnsi="Book Antiqua" w:hint="default"/>
          <w:color w:val="000000"/>
          <w:sz w:val="22"/>
          <w:szCs w:val="22"/>
          <w:u w:color="000000"/>
          <w:rtl w:val="0"/>
          <w:lang w:val="it-IT"/>
        </w:rPr>
        <w:t>’</w:t>
      </w:r>
      <w:r>
        <w:rPr>
          <w:rFonts w:ascii="Book Antiqua"/>
          <w:color w:val="000000"/>
          <w:sz w:val="22"/>
          <w:szCs w:val="22"/>
          <w:u w:color="000000"/>
          <w:rtl w:val="0"/>
          <w:lang w:val="it-IT"/>
        </w:rPr>
        <w:t>impianto risulta autorizzato con determinazione dirigenziale R.U. 1228 del 7 marzo 2013 e s.m.i. dalla provincia di Roma per l</w:t>
      </w:r>
      <w:r>
        <w:rPr>
          <w:rFonts w:hAnsi="Book Antiqua" w:hint="default"/>
          <w:color w:val="000000"/>
          <w:sz w:val="22"/>
          <w:szCs w:val="22"/>
          <w:u w:color="000000"/>
          <w:rtl w:val="0"/>
          <w:lang w:val="it-IT"/>
        </w:rPr>
        <w:t>’</w:t>
      </w:r>
      <w:r>
        <w:rPr>
          <w:rFonts w:ascii="Book Antiqua"/>
          <w:color w:val="000000"/>
          <w:sz w:val="22"/>
          <w:szCs w:val="22"/>
          <w:u w:color="000000"/>
          <w:rtl w:val="0"/>
          <w:lang w:val="it-IT"/>
        </w:rPr>
        <w:t>effettuazione delle seguenti operazioni di gestione rifiuti: R12, R13. L</w:t>
      </w:r>
      <w:r>
        <w:rPr>
          <w:rFonts w:hAnsi="Book Antiqua" w:hint="default"/>
          <w:color w:val="000000"/>
          <w:sz w:val="22"/>
          <w:szCs w:val="22"/>
          <w:u w:color="000000"/>
          <w:rtl w:val="0"/>
          <w:lang w:val="it-IT"/>
        </w:rPr>
        <w:t>’</w:t>
      </w:r>
      <w:r>
        <w:rPr>
          <w:rFonts w:ascii="Book Antiqua"/>
          <w:color w:val="000000"/>
          <w:sz w:val="22"/>
          <w:szCs w:val="22"/>
          <w:u w:color="000000"/>
          <w:rtl w:val="0"/>
          <w:lang w:val="it-IT"/>
        </w:rPr>
        <w:t>area era precedentemente autorizzata come trasferenza di rifiuti urbani ai sensi dell</w:t>
      </w:r>
      <w:r>
        <w:rPr>
          <w:rFonts w:hAnsi="Book Antiqua" w:hint="default"/>
          <w:color w:val="000000"/>
          <w:sz w:val="22"/>
          <w:szCs w:val="22"/>
          <w:u w:color="000000"/>
          <w:rtl w:val="0"/>
          <w:lang w:val="it-IT"/>
        </w:rPr>
        <w:t>’</w:t>
      </w:r>
      <w:r>
        <w:rPr>
          <w:rFonts w:ascii="Book Antiqua"/>
          <w:color w:val="000000"/>
          <w:sz w:val="22"/>
          <w:szCs w:val="22"/>
          <w:u w:color="000000"/>
          <w:rtl w:val="0"/>
          <w:lang w:val="it-IT"/>
        </w:rPr>
        <w:t xml:space="preserve">articolo208 del decreto legislativo n. 152 del 2006 e s.m.i. </w:t>
      </w:r>
    </w:p>
    <w:p>
      <w:pPr>
        <w:pStyle w:val="Normal"/>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 xml:space="preserve">Controlli eseguiti nel corso degli ultimi tre anni: </w:t>
      </w:r>
    </w:p>
    <w:p>
      <w:pPr>
        <w:pStyle w:val="Normal"/>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16.6.2015 a seguito di richiesta pervenuta dalla Polizia di Roma Capitale acquisita con prot. 36490 del 5.5.2015 per la presenza di odori molesti nell</w:t>
      </w:r>
      <w:r>
        <w:rPr>
          <w:rFonts w:hAnsi="Book Antiqua" w:hint="default"/>
          <w:color w:val="000000"/>
          <w:sz w:val="22"/>
          <w:szCs w:val="22"/>
          <w:u w:color="000000"/>
          <w:rtl w:val="0"/>
          <w:lang w:val="it-IT"/>
        </w:rPr>
        <w:t>’</w:t>
      </w:r>
      <w:r>
        <w:rPr>
          <w:rFonts w:ascii="Book Antiqua"/>
          <w:color w:val="000000"/>
          <w:sz w:val="22"/>
          <w:szCs w:val="22"/>
          <w:u w:color="000000"/>
          <w:rtl w:val="0"/>
          <w:lang w:val="it-IT"/>
        </w:rPr>
        <w:t xml:space="preserve">area di Rocca Cencia </w:t>
      </w:r>
      <w:r>
        <w:rPr>
          <w:rFonts w:hAnsi="Book Antiqua" w:hint="default"/>
          <w:color w:val="000000"/>
          <w:sz w:val="22"/>
          <w:szCs w:val="22"/>
          <w:u w:color="000000"/>
          <w:rtl w:val="0"/>
          <w:lang w:val="it-IT"/>
        </w:rPr>
        <w:t xml:space="preserve">– </w:t>
      </w:r>
      <w:r>
        <w:rPr>
          <w:rFonts w:ascii="Book Antiqua"/>
          <w:color w:val="000000"/>
          <w:sz w:val="22"/>
          <w:szCs w:val="22"/>
          <w:u w:color="000000"/>
          <w:rtl w:val="0"/>
          <w:lang w:val="it-IT"/>
        </w:rPr>
        <w:t xml:space="preserve">nota riscontro prot. ARPA Lazio n. 56391 del 13 luglio 2015; </w:t>
      </w:r>
    </w:p>
    <w:p>
      <w:pPr>
        <w:pStyle w:val="Normal"/>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31.7.2013 e 6.11.2013: campionamento sopravaglio e sottovaglio a seguito di richiesta della regione Lazio riguardante verifiche sul rifiuto prodotto presso l</w:t>
      </w:r>
      <w:r>
        <w:rPr>
          <w:rFonts w:hAnsi="Book Antiqua" w:hint="default"/>
          <w:color w:val="000000"/>
          <w:sz w:val="22"/>
          <w:szCs w:val="22"/>
          <w:u w:color="000000"/>
          <w:rtl w:val="0"/>
          <w:lang w:val="it-IT"/>
        </w:rPr>
        <w:t>’</w:t>
      </w:r>
      <w:r>
        <w:rPr>
          <w:rFonts w:ascii="Book Antiqua"/>
          <w:color w:val="000000"/>
          <w:sz w:val="22"/>
          <w:szCs w:val="22"/>
          <w:u w:color="000000"/>
          <w:rtl w:val="0"/>
          <w:lang w:val="it-IT"/>
        </w:rPr>
        <w:t xml:space="preserve">impianto </w:t>
      </w:r>
      <w:r>
        <w:rPr>
          <w:rFonts w:hAnsi="Book Antiqua" w:hint="default"/>
          <w:color w:val="000000"/>
          <w:sz w:val="22"/>
          <w:szCs w:val="22"/>
          <w:u w:color="000000"/>
          <w:rtl w:val="0"/>
          <w:lang w:val="it-IT"/>
        </w:rPr>
        <w:t xml:space="preserve">– </w:t>
      </w:r>
      <w:r>
        <w:rPr>
          <w:rFonts w:ascii="Book Antiqua"/>
          <w:color w:val="000000"/>
          <w:sz w:val="22"/>
          <w:szCs w:val="22"/>
          <w:u w:color="000000"/>
          <w:rtl w:val="0"/>
          <w:lang w:val="it-IT"/>
        </w:rPr>
        <w:t xml:space="preserve">nota riscontro prot. ARPA Lazio n. 87402 del 6 novembre 2013; </w:t>
      </w:r>
    </w:p>
    <w:p>
      <w:pPr>
        <w:pStyle w:val="Normal"/>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2013 controllo presso l</w:t>
      </w:r>
      <w:r>
        <w:rPr>
          <w:rFonts w:hAnsi="Book Antiqua" w:hint="default"/>
          <w:color w:val="000000"/>
          <w:sz w:val="22"/>
          <w:szCs w:val="22"/>
          <w:u w:color="000000"/>
          <w:rtl w:val="0"/>
          <w:lang w:val="it-IT"/>
        </w:rPr>
        <w:t>’</w:t>
      </w:r>
      <w:r>
        <w:rPr>
          <w:rFonts w:ascii="Book Antiqua"/>
          <w:color w:val="000000"/>
          <w:sz w:val="22"/>
          <w:szCs w:val="22"/>
          <w:u w:color="000000"/>
          <w:rtl w:val="0"/>
          <w:lang w:val="it-IT"/>
        </w:rPr>
        <w:t>impianto in relazione al ciclo dei rifiuti urbani della citt</w:t>
      </w:r>
      <w:r>
        <w:rPr>
          <w:rFonts w:hAnsi="Book Antiqua" w:hint="default"/>
          <w:color w:val="000000"/>
          <w:sz w:val="22"/>
          <w:szCs w:val="22"/>
          <w:u w:color="000000"/>
          <w:rtl w:val="0"/>
          <w:lang w:val="it-IT"/>
        </w:rPr>
        <w:t xml:space="preserve">à </w:t>
      </w:r>
      <w:r>
        <w:rPr>
          <w:rFonts w:ascii="Book Antiqua"/>
          <w:color w:val="000000"/>
          <w:sz w:val="22"/>
          <w:szCs w:val="22"/>
          <w:u w:color="000000"/>
          <w:rtl w:val="0"/>
          <w:lang w:val="it-IT"/>
        </w:rPr>
        <w:t xml:space="preserve">di Roma di iniziativa del Servizio </w:t>
      </w:r>
      <w:r>
        <w:rPr>
          <w:rFonts w:hAnsi="Book Antiqua" w:hint="default"/>
          <w:color w:val="000000"/>
          <w:sz w:val="22"/>
          <w:szCs w:val="22"/>
          <w:u w:color="000000"/>
          <w:rtl w:val="0"/>
          <w:lang w:val="it-IT"/>
        </w:rPr>
        <w:t xml:space="preserve">– </w:t>
      </w:r>
      <w:r>
        <w:rPr>
          <w:rFonts w:ascii="Book Antiqua"/>
          <w:color w:val="000000"/>
          <w:sz w:val="22"/>
          <w:szCs w:val="22"/>
          <w:u w:color="000000"/>
          <w:rtl w:val="0"/>
          <w:lang w:val="it-IT"/>
        </w:rPr>
        <w:t xml:space="preserve">nota riscontro prot. ARPA Lazio n.71415 del 10 settembre 2013; </w:t>
      </w:r>
    </w:p>
    <w:p>
      <w:pPr>
        <w:pStyle w:val="Normal"/>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 xml:space="preserve">7 novembre 2012: rilievo freatimetrico piezometri; </w:t>
      </w:r>
    </w:p>
    <w:p>
      <w:pPr>
        <w:pStyle w:val="Normal"/>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agosto 2012: campionamento delle acque sotterranee dell</w:t>
      </w:r>
      <w:r>
        <w:rPr>
          <w:rFonts w:hAnsi="Book Antiqua" w:hint="default"/>
          <w:color w:val="000000"/>
          <w:sz w:val="22"/>
          <w:szCs w:val="22"/>
          <w:u w:color="000000"/>
          <w:rtl w:val="0"/>
          <w:lang w:val="it-IT"/>
        </w:rPr>
        <w:t>’</w:t>
      </w:r>
      <w:r>
        <w:rPr>
          <w:rFonts w:ascii="Book Antiqua"/>
          <w:color w:val="000000"/>
          <w:sz w:val="22"/>
          <w:szCs w:val="22"/>
          <w:u w:color="000000"/>
          <w:rtl w:val="0"/>
          <w:lang w:val="it-IT"/>
        </w:rPr>
        <w:t>area Rocca Cencia (Porcarelli, Co.La.Ri e AMA) e successiva comunicazione dei superamenti delle CSC. A tal proposito risulta agli atti documentazione inerente un tavolo tecnico aperto dalla Citta Metropolitana di Roma Capitale in relazione ad alcuni superamenti delle CSC riscontrati nelle acque sotterranee dell</w:t>
      </w:r>
      <w:r>
        <w:rPr>
          <w:rFonts w:hAnsi="Book Antiqua" w:hint="default"/>
          <w:color w:val="000000"/>
          <w:sz w:val="22"/>
          <w:szCs w:val="22"/>
          <w:u w:color="000000"/>
          <w:rtl w:val="0"/>
          <w:lang w:val="it-IT"/>
        </w:rPr>
        <w:t>’</w:t>
      </w:r>
      <w:r>
        <w:rPr>
          <w:rFonts w:ascii="Book Antiqua"/>
          <w:color w:val="000000"/>
          <w:sz w:val="22"/>
          <w:szCs w:val="22"/>
          <w:u w:color="000000"/>
          <w:rtl w:val="0"/>
          <w:lang w:val="it-IT"/>
        </w:rPr>
        <w:t xml:space="preserve">area Rocca Cencia. </w:t>
      </w:r>
    </w:p>
    <w:p>
      <w:pPr>
        <w:pStyle w:val="Normal"/>
        <w:ind w:left="567" w:right="567" w:firstLine="0"/>
        <w:jc w:val="both"/>
        <w:rPr>
          <w:rFonts w:ascii="Book Antiqua Bold" w:cs="Book Antiqua Bold" w:hAnsi="Book Antiqua Bold" w:eastAsia="Book Antiqua Bold"/>
          <w:b w:val="1"/>
          <w:bCs w:val="1"/>
          <w:sz w:val="22"/>
          <w:szCs w:val="22"/>
        </w:rPr>
      </w:pPr>
    </w:p>
    <w:p>
      <w:pPr>
        <w:pStyle w:val="Normal"/>
        <w:ind w:left="567" w:right="567" w:firstLine="0"/>
        <w:jc w:val="both"/>
        <w:rPr>
          <w:rFonts w:ascii="Book Antiqua" w:cs="Book Antiqua" w:hAnsi="Book Antiqua" w:eastAsia="Book Antiqua"/>
          <w:i w:val="1"/>
          <w:iCs w:val="1"/>
          <w:color w:val="000000"/>
          <w:sz w:val="22"/>
          <w:szCs w:val="22"/>
          <w:u w:color="000000"/>
        </w:rPr>
      </w:pPr>
      <w:r>
        <w:rPr>
          <w:rFonts w:ascii="Book Antiqua"/>
          <w:i w:val="1"/>
          <w:iCs w:val="1"/>
          <w:color w:val="000000"/>
          <w:sz w:val="22"/>
          <w:szCs w:val="22"/>
          <w:u w:color="000000"/>
          <w:rtl w:val="0"/>
          <w:lang w:val="it-IT"/>
        </w:rPr>
        <w:t xml:space="preserve">IMPIANTO PORCARELLI GINO &amp; CO </w:t>
      </w:r>
      <w:r>
        <w:rPr>
          <w:rFonts w:hAnsi="American Typewriter" w:hint="default"/>
          <w:i w:val="1"/>
          <w:iCs w:val="1"/>
          <w:color w:val="000000"/>
          <w:sz w:val="22"/>
          <w:szCs w:val="22"/>
          <w:u w:color="000000"/>
          <w:rtl w:val="0"/>
          <w:lang w:val="it-IT"/>
        </w:rPr>
        <w:t>‐</w:t>
      </w:r>
      <w:r>
        <w:rPr>
          <w:rFonts w:ascii="Book Antiqua"/>
          <w:i w:val="1"/>
          <w:iCs w:val="1"/>
          <w:color w:val="000000"/>
          <w:sz w:val="22"/>
          <w:szCs w:val="22"/>
          <w:u w:color="000000"/>
          <w:rtl w:val="0"/>
          <w:lang w:val="it-IT"/>
        </w:rPr>
        <w:t xml:space="preserve"> via di Rocca Cencia 273, Roma </w:t>
      </w:r>
    </w:p>
    <w:p>
      <w:pPr>
        <w:pStyle w:val="Normal"/>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Impianto di stoccaggio e trattamento di rifiuti speciali non pericolosi. Risulta attualmente autorizzato con A.I.A. Determinazione G08413 del 7.7.2016 per l</w:t>
      </w:r>
      <w:r>
        <w:rPr>
          <w:rFonts w:hAnsi="Book Antiqua" w:hint="default"/>
          <w:color w:val="000000"/>
          <w:sz w:val="22"/>
          <w:szCs w:val="22"/>
          <w:u w:color="000000"/>
          <w:rtl w:val="0"/>
          <w:lang w:val="it-IT"/>
        </w:rPr>
        <w:t>’</w:t>
      </w:r>
      <w:r>
        <w:rPr>
          <w:rFonts w:ascii="Book Antiqua"/>
          <w:color w:val="000000"/>
          <w:sz w:val="22"/>
          <w:szCs w:val="22"/>
          <w:u w:color="000000"/>
          <w:rtl w:val="0"/>
          <w:lang w:val="it-IT"/>
        </w:rPr>
        <w:t xml:space="preserve">effettuazione delle seguenti operazioni di gestione rifiuti: R3, R4, R12, R13, D13, D14 e D15. Ha operato in precedenza con autorizzazione in procedura semplificata articolo 216 e successivamente con autorizzazione in procedura ordinaria articolo 208 del decreto legislativo n. 152 del 2006 e s.m.i.. </w:t>
      </w:r>
    </w:p>
    <w:p>
      <w:pPr>
        <w:pStyle w:val="Normal"/>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 xml:space="preserve">Controlli eseguiti nel corso degli ultimi 3 anni: </w:t>
      </w:r>
    </w:p>
    <w:p>
      <w:pPr>
        <w:pStyle w:val="Normal"/>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26.5.2015 a seguito di richiesta pervenuta dalla Polizia di Roma Capitale acquisita con prot.36490 del 5.5.2016 per la presenza di odori molesti nell</w:t>
      </w:r>
      <w:r>
        <w:rPr>
          <w:rFonts w:hAnsi="Book Antiqua" w:hint="default"/>
          <w:color w:val="000000"/>
          <w:sz w:val="22"/>
          <w:szCs w:val="22"/>
          <w:u w:color="000000"/>
          <w:rtl w:val="0"/>
          <w:lang w:val="it-IT"/>
        </w:rPr>
        <w:t>’</w:t>
      </w:r>
      <w:r>
        <w:rPr>
          <w:rFonts w:ascii="Book Antiqua"/>
          <w:color w:val="000000"/>
          <w:sz w:val="22"/>
          <w:szCs w:val="22"/>
          <w:u w:color="000000"/>
          <w:rtl w:val="0"/>
          <w:lang w:val="it-IT"/>
        </w:rPr>
        <w:t xml:space="preserve">area di Rocca Cenci a </w:t>
      </w:r>
      <w:r>
        <w:rPr>
          <w:rFonts w:hAnsi="Book Antiqua" w:hint="default"/>
          <w:color w:val="000000"/>
          <w:sz w:val="22"/>
          <w:szCs w:val="22"/>
          <w:u w:color="000000"/>
          <w:rtl w:val="0"/>
          <w:lang w:val="it-IT"/>
        </w:rPr>
        <w:t xml:space="preserve">– </w:t>
      </w:r>
      <w:r>
        <w:rPr>
          <w:rFonts w:ascii="Book Antiqua"/>
          <w:color w:val="000000"/>
          <w:sz w:val="22"/>
          <w:szCs w:val="22"/>
          <w:u w:color="000000"/>
          <w:rtl w:val="0"/>
          <w:lang w:val="it-IT"/>
        </w:rPr>
        <w:t xml:space="preserve">nota riscontro prot. ARPA Lazio n.55728 del 9.7.2015; </w:t>
      </w:r>
    </w:p>
    <w:p>
      <w:pPr>
        <w:pStyle w:val="Normal"/>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2013 controllo presso l</w:t>
      </w:r>
      <w:r>
        <w:rPr>
          <w:rFonts w:hAnsi="Book Antiqua" w:hint="default"/>
          <w:color w:val="000000"/>
          <w:sz w:val="22"/>
          <w:szCs w:val="22"/>
          <w:u w:color="000000"/>
          <w:rtl w:val="0"/>
          <w:lang w:val="it-IT"/>
        </w:rPr>
        <w:t>’</w:t>
      </w:r>
      <w:r>
        <w:rPr>
          <w:rFonts w:ascii="Book Antiqua"/>
          <w:color w:val="000000"/>
          <w:sz w:val="22"/>
          <w:szCs w:val="22"/>
          <w:u w:color="000000"/>
          <w:rtl w:val="0"/>
          <w:lang w:val="it-IT"/>
        </w:rPr>
        <w:t>impianto in relazione al ciclo dei rifiuti urbani della citt</w:t>
      </w:r>
      <w:r>
        <w:rPr>
          <w:rFonts w:hAnsi="Book Antiqua" w:hint="default"/>
          <w:color w:val="000000"/>
          <w:sz w:val="22"/>
          <w:szCs w:val="22"/>
          <w:u w:color="000000"/>
          <w:rtl w:val="0"/>
          <w:lang w:val="it-IT"/>
        </w:rPr>
        <w:t xml:space="preserve">à </w:t>
      </w:r>
      <w:r>
        <w:rPr>
          <w:rFonts w:ascii="Book Antiqua"/>
          <w:color w:val="000000"/>
          <w:sz w:val="22"/>
          <w:szCs w:val="22"/>
          <w:u w:color="000000"/>
          <w:rtl w:val="0"/>
          <w:lang w:val="it-IT"/>
        </w:rPr>
        <w:t xml:space="preserve">di Roma di iniziativa del Servizio </w:t>
      </w:r>
      <w:r>
        <w:rPr>
          <w:rFonts w:hAnsi="Book Antiqua" w:hint="default"/>
          <w:color w:val="000000"/>
          <w:sz w:val="22"/>
          <w:szCs w:val="22"/>
          <w:u w:color="000000"/>
          <w:rtl w:val="0"/>
          <w:lang w:val="it-IT"/>
        </w:rPr>
        <w:t xml:space="preserve">– </w:t>
      </w:r>
      <w:r>
        <w:rPr>
          <w:rFonts w:ascii="Book Antiqua"/>
          <w:color w:val="000000"/>
          <w:sz w:val="22"/>
          <w:szCs w:val="22"/>
          <w:u w:color="000000"/>
          <w:rtl w:val="0"/>
          <w:lang w:val="it-IT"/>
        </w:rPr>
        <w:t xml:space="preserve">nota riscontro prot. ARPA Lazio n.71415 del 10.9.2013; </w:t>
      </w:r>
    </w:p>
    <w:p>
      <w:pPr>
        <w:pStyle w:val="Normal"/>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 xml:space="preserve">7.11.2012: rilievo freatimetrico piezometri; </w:t>
      </w:r>
    </w:p>
    <w:p>
      <w:pPr>
        <w:pStyle w:val="Normal"/>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Agosto 2012: campionamento delle acque sotterranee dell</w:t>
      </w:r>
      <w:r>
        <w:rPr>
          <w:rFonts w:hAnsi="Book Antiqua" w:hint="default"/>
          <w:color w:val="000000"/>
          <w:sz w:val="22"/>
          <w:szCs w:val="22"/>
          <w:u w:color="000000"/>
          <w:rtl w:val="0"/>
          <w:lang w:val="it-IT"/>
        </w:rPr>
        <w:t>’</w:t>
      </w:r>
      <w:r>
        <w:rPr>
          <w:rFonts w:ascii="Book Antiqua"/>
          <w:color w:val="000000"/>
          <w:sz w:val="22"/>
          <w:szCs w:val="22"/>
          <w:u w:color="000000"/>
          <w:rtl w:val="0"/>
          <w:lang w:val="it-IT"/>
        </w:rPr>
        <w:t>area Rocca Cencia (Porcarelli, Co.La.Ri. e AMA) e successiva comunicazione dei superamenti delle CSC riscontrati. A tal proposito risulta agli atti documentazione inerente un tavolo tecnico aperto dalla Citta Metropolitana di Roma Capitale in relazione ad alcuni superamenti delle CSC riscontrati nelle acque sotterranee dell</w:t>
      </w:r>
      <w:r>
        <w:rPr>
          <w:rFonts w:hAnsi="Book Antiqua" w:hint="default"/>
          <w:color w:val="000000"/>
          <w:sz w:val="22"/>
          <w:szCs w:val="22"/>
          <w:u w:color="000000"/>
          <w:rtl w:val="0"/>
          <w:lang w:val="it-IT"/>
        </w:rPr>
        <w:t>’</w:t>
      </w:r>
      <w:r>
        <w:rPr>
          <w:rFonts w:ascii="Book Antiqua"/>
          <w:color w:val="000000"/>
          <w:sz w:val="22"/>
          <w:szCs w:val="22"/>
          <w:u w:color="000000"/>
          <w:rtl w:val="0"/>
          <w:lang w:val="it-IT"/>
        </w:rPr>
        <w:t xml:space="preserve">area Rocca Cencia. </w:t>
      </w:r>
    </w:p>
    <w:p>
      <w:pPr>
        <w:pStyle w:val="Normal"/>
        <w:ind w:left="567" w:right="567" w:firstLine="0"/>
        <w:jc w:val="both"/>
        <w:rPr>
          <w:rFonts w:ascii="Book Antiqua" w:cs="Book Antiqua" w:hAnsi="Book Antiqua" w:eastAsia="Book Antiqua"/>
          <w:color w:val="000000"/>
          <w:sz w:val="22"/>
          <w:szCs w:val="22"/>
          <w:u w:color="000000"/>
        </w:rPr>
      </w:pPr>
    </w:p>
    <w:p>
      <w:pPr>
        <w:pStyle w:val="Normal"/>
        <w:ind w:left="567" w:right="567" w:firstLine="0"/>
        <w:jc w:val="both"/>
        <w:rPr>
          <w:rFonts w:ascii="Book Antiqua" w:cs="Book Antiqua" w:hAnsi="Book Antiqua" w:eastAsia="Book Antiqua"/>
          <w:i w:val="1"/>
          <w:iCs w:val="1"/>
        </w:rPr>
      </w:pPr>
      <w:r>
        <w:rPr>
          <w:rFonts w:ascii="Book Antiqua"/>
          <w:i w:val="1"/>
          <w:iCs w:val="1"/>
          <w:rtl w:val="0"/>
          <w:lang w:val="it-IT"/>
        </w:rPr>
        <w:t>Procura della Repubblica di Roma</w:t>
      </w: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rPr>
      </w:pPr>
      <w:r>
        <w:rPr>
          <w:rFonts w:ascii="Book Antiqua"/>
          <w:rtl w:val="0"/>
          <w:lang w:val="it-IT"/>
        </w:rPr>
        <w:t>La gestione dei TMB di via di Rocca Cencia 301 e via Salaria 981 da parte di AMA S.p.A. ha altres</w:t>
      </w:r>
      <w:r>
        <w:rPr>
          <w:rFonts w:hAnsi="Book Antiqua" w:hint="default"/>
          <w:rtl w:val="0"/>
          <w:lang w:val="it-IT"/>
        </w:rPr>
        <w:t xml:space="preserve">ì </w:t>
      </w:r>
      <w:r>
        <w:rPr>
          <w:rFonts w:ascii="Book Antiqua"/>
          <w:rtl w:val="0"/>
          <w:lang w:val="it-IT"/>
        </w:rPr>
        <w:t>dato luogo ad un</w:t>
      </w:r>
      <w:r>
        <w:rPr>
          <w:rFonts w:hAnsi="Book Antiqua" w:hint="default"/>
          <w:rtl w:val="0"/>
          <w:lang w:val="it-IT"/>
        </w:rPr>
        <w:t>’</w:t>
      </w:r>
      <w:r>
        <w:rPr>
          <w:rFonts w:ascii="Book Antiqua"/>
          <w:rtl w:val="0"/>
          <w:lang w:val="it-IT"/>
        </w:rPr>
        <w:t>indagine della procura della Repubblica di Roma sulla conformit</w:t>
      </w:r>
      <w:r>
        <w:rPr>
          <w:rFonts w:hAnsi="Book Antiqua" w:hint="default"/>
          <w:rtl w:val="0"/>
          <w:lang w:val="it-IT"/>
        </w:rPr>
        <w:t xml:space="preserve">à </w:t>
      </w:r>
      <w:r>
        <w:rPr>
          <w:rFonts w:ascii="Book Antiqua"/>
          <w:rtl w:val="0"/>
          <w:lang w:val="it-IT"/>
        </w:rPr>
        <w:t xml:space="preserve">del trattamento di rifiuti rispetto alle prescrizioni contenute nelle autorizzazioni riguardanti la gestione degli impianti. </w:t>
      </w:r>
    </w:p>
    <w:p>
      <w:pPr>
        <w:pStyle w:val="Normal"/>
        <w:ind w:left="567" w:right="567" w:firstLine="0"/>
        <w:jc w:val="both"/>
        <w:rPr>
          <w:rFonts w:ascii="Book Antiqua" w:cs="Book Antiqua" w:hAnsi="Book Antiqua" w:eastAsia="Book Antiqua"/>
        </w:rPr>
      </w:pPr>
      <w:r>
        <w:rPr>
          <w:rFonts w:ascii="Book Antiqua"/>
          <w:rtl w:val="0"/>
          <w:lang w:val="it-IT"/>
        </w:rPr>
        <w:t xml:space="preserve">Ad esito degli accertamenti </w:t>
      </w:r>
      <w:r>
        <w:rPr>
          <w:rFonts w:hAnsi="Book Antiqua" w:hint="default"/>
          <w:rtl w:val="0"/>
          <w:lang w:val="it-IT"/>
        </w:rPr>
        <w:t xml:space="preserve">è </w:t>
      </w:r>
      <w:r>
        <w:rPr>
          <w:rFonts w:ascii="Book Antiqua"/>
          <w:rtl w:val="0"/>
          <w:lang w:val="it-IT"/>
        </w:rPr>
        <w:t>stato emesso un avviso di conclusione delle indagini a carico di: Paola Muraro, quale responsabile tecnico e referente IPPCI</w:t>
      </w:r>
      <w:r>
        <w:rPr>
          <w:rFonts w:ascii="Book Antiqua" w:cs="Book Antiqua" w:hAnsi="Book Antiqua" w:eastAsia="Book Antiqua"/>
          <w:vertAlign w:val="superscript"/>
          <w:rtl w:val="0"/>
        </w:rPr>
        <w:footnoteReference w:id="45"/>
      </w:r>
      <w:r>
        <w:rPr>
          <w:rFonts w:ascii="Book Antiqua"/>
          <w:rtl w:val="0"/>
          <w:lang w:val="it-IT"/>
        </w:rPr>
        <w:t>; Pietro Zotti, delegato di funzioni (responsabile direzione industriale di AMA S.p.A.); Marco Casonato (responsabile del servizio impianti e logistica dei flussi di AMA S.p.A.); Emanuele Lategano; (responsabile dell'impianto di trattamento meccanico biologico di Via Rocca Cencia); Alessandro Di Giacomo (responsabile dell'impianto di trattamento meccanico biologico di Via Salaria).</w:t>
      </w:r>
    </w:p>
    <w:p>
      <w:pPr>
        <w:pStyle w:val="Normal"/>
        <w:ind w:left="567" w:right="567" w:firstLine="0"/>
        <w:jc w:val="both"/>
        <w:rPr>
          <w:rFonts w:ascii="Book Antiqua" w:cs="Book Antiqua" w:hAnsi="Book Antiqua" w:eastAsia="Book Antiqua"/>
        </w:rPr>
      </w:pPr>
      <w:r>
        <w:rPr>
          <w:rFonts w:ascii="Book Antiqua"/>
          <w:rtl w:val="0"/>
          <w:lang w:val="it-IT"/>
        </w:rPr>
        <w:t>Gli addebiti sono i seguenti:</w:t>
      </w: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sz w:val="22"/>
          <w:szCs w:val="22"/>
        </w:rPr>
      </w:pPr>
      <w:r>
        <w:rPr>
          <w:rFonts w:hAnsi="Book Antiqua" w:hint="default"/>
          <w:sz w:val="22"/>
          <w:szCs w:val="22"/>
          <w:rtl w:val="0"/>
          <w:lang w:val="it-IT"/>
        </w:rPr>
        <w:t>“</w:t>
      </w:r>
      <w:r>
        <w:rPr>
          <w:rFonts w:ascii="Book Antiqua"/>
          <w:sz w:val="22"/>
          <w:szCs w:val="22"/>
          <w:rtl w:val="0"/>
          <w:lang w:val="it-IT"/>
        </w:rPr>
        <w:t>A) in ordine al reato di cui all'articolo 256 comma 4 decreto legislativo n.  152 del 2006 perch</w:t>
      </w:r>
      <w:r>
        <w:rPr>
          <w:rFonts w:hAnsi="Book Antiqua" w:hint="default"/>
          <w:sz w:val="22"/>
          <w:szCs w:val="22"/>
          <w:rtl w:val="0"/>
          <w:lang w:val="it-IT"/>
        </w:rPr>
        <w:t>é</w:t>
      </w:r>
      <w:r>
        <w:rPr>
          <w:rFonts w:ascii="Book Antiqua"/>
          <w:sz w:val="22"/>
          <w:szCs w:val="22"/>
          <w:rtl w:val="0"/>
          <w:lang w:val="it-IT"/>
        </w:rPr>
        <w:t>, in concorso tra loro e nelle qualifiche sopra descritte, all'interno delle aree degli impianti denominati "Rocca Cencia</w:t>
      </w:r>
      <w:r>
        <w:rPr>
          <w:rFonts w:hAnsi="Book Antiqua" w:hint="default"/>
          <w:sz w:val="22"/>
          <w:szCs w:val="22"/>
          <w:rtl w:val="0"/>
          <w:lang w:val="it-IT"/>
        </w:rPr>
        <w:t xml:space="preserve">” </w:t>
      </w:r>
      <w:r>
        <w:rPr>
          <w:rFonts w:ascii="Book Antiqua"/>
          <w:sz w:val="22"/>
          <w:szCs w:val="22"/>
          <w:rtl w:val="0"/>
          <w:lang w:val="it-IT"/>
        </w:rPr>
        <w:t>e "Salario", siti in Roma, rispettivamente in Via di Rocca Cencia 301 e Via Salaria 981 e gestiti da AMA S.p.A., operavano una gestione di rifiuti in violazione delle prescrizioni delle autorizzazioni riguardanti la gestione degli impianti stessi per quanto in particolare concerne le percentuali di trasformazione dei rifiuti in ingresso in COR, FOS e Scarti di lavorazione per gli anni 2010-2015, distintamente per l'impianto "Rocca Cencia" e "Salario". I dati risultanti da tale analisi indicano infatti una notevole discrasia tra quanto previsto dal decreto ministeriale 25 marzo 2013 e le performance raggiunge dagli impianti di trattamento meccanico e biologico gestiti da AMA S.p.A., In particolare:</w:t>
      </w:r>
    </w:p>
    <w:p>
      <w:pPr>
        <w:pStyle w:val="Normal"/>
        <w:ind w:left="567" w:right="567" w:firstLine="0"/>
        <w:jc w:val="both"/>
        <w:rPr>
          <w:rFonts w:ascii="Book Antiqua" w:cs="Book Antiqua" w:hAnsi="Book Antiqua" w:eastAsia="Book Antiqua"/>
          <w:sz w:val="22"/>
          <w:szCs w:val="22"/>
        </w:rPr>
      </w:pPr>
      <w:r>
        <w:rPr>
          <w:rFonts w:ascii="Book Antiqua"/>
          <w:sz w:val="22"/>
          <w:szCs w:val="22"/>
          <w:rtl w:val="0"/>
          <w:lang w:val="it-IT"/>
        </w:rPr>
        <w:t>a) l'impianto "Rocca Cencia" ha evidenziato:</w:t>
      </w:r>
    </w:p>
    <w:p>
      <w:pPr>
        <w:pStyle w:val="Normal"/>
        <w:ind w:left="567" w:right="567" w:firstLine="0"/>
        <w:jc w:val="both"/>
        <w:rPr>
          <w:rFonts w:ascii="Book Antiqua" w:cs="Book Antiqua" w:hAnsi="Book Antiqua" w:eastAsia="Book Antiqua"/>
          <w:sz w:val="22"/>
          <w:szCs w:val="22"/>
        </w:rPr>
      </w:pPr>
      <w:r>
        <w:rPr>
          <w:rFonts w:ascii="Book Antiqua"/>
          <w:sz w:val="22"/>
          <w:szCs w:val="22"/>
          <w:rtl w:val="0"/>
          <w:lang w:val="it-IT"/>
        </w:rPr>
        <w:t>- produzione di COR (CER 19.12.10) con un picco raggiunto nel 2011, con un valore pari a circa il 26 per cento, mentre nel biennio 2014</w:t>
      </w:r>
      <w:r>
        <w:rPr>
          <w:rFonts w:hAnsi="Book Antiqua" w:hint="default"/>
          <w:sz w:val="22"/>
          <w:szCs w:val="22"/>
          <w:rtl w:val="0"/>
          <w:lang w:val="it-IT"/>
        </w:rPr>
        <w:t>·</w:t>
      </w:r>
      <w:r>
        <w:rPr>
          <w:rFonts w:ascii="Book Antiqua"/>
          <w:sz w:val="22"/>
          <w:szCs w:val="22"/>
          <w:rtl w:val="0"/>
          <w:lang w:val="it-IT"/>
        </w:rPr>
        <w:t xml:space="preserve">2015 tale valore si </w:t>
      </w:r>
      <w:r>
        <w:rPr>
          <w:rFonts w:hAnsi="Book Antiqua" w:hint="default"/>
          <w:sz w:val="22"/>
          <w:szCs w:val="22"/>
          <w:rtl w:val="0"/>
          <w:lang w:val="it-IT"/>
        </w:rPr>
        <w:t xml:space="preserve">è </w:t>
      </w:r>
      <w:r>
        <w:rPr>
          <w:rFonts w:ascii="Book Antiqua"/>
          <w:sz w:val="22"/>
          <w:szCs w:val="22"/>
          <w:rtl w:val="0"/>
          <w:lang w:val="it-IT"/>
        </w:rPr>
        <w:t>attestato a circa 22,5 per cento.</w:t>
      </w:r>
    </w:p>
    <w:p>
      <w:pPr>
        <w:pStyle w:val="Normal"/>
        <w:ind w:left="567" w:right="567" w:firstLine="0"/>
        <w:jc w:val="both"/>
        <w:rPr>
          <w:rFonts w:ascii="Book Antiqua" w:cs="Book Antiqua" w:hAnsi="Book Antiqua" w:eastAsia="Book Antiqua"/>
          <w:sz w:val="22"/>
          <w:szCs w:val="22"/>
        </w:rPr>
      </w:pPr>
      <w:r>
        <w:rPr>
          <w:rFonts w:ascii="Book Antiqua"/>
          <w:sz w:val="22"/>
          <w:szCs w:val="22"/>
          <w:rtl w:val="0"/>
          <w:lang w:val="it-IT"/>
        </w:rPr>
        <w:t>- produzione di FOS, identificata con il codice CER 19.05.03, con valori pari a 10,53 per cento e 13,7 per cento nel biennio 2014-2015 notevolmente inferiori rispetto a quanto previsto dal Decreto anzidetto;</w:t>
      </w:r>
    </w:p>
    <w:p>
      <w:pPr>
        <w:pStyle w:val="Normal"/>
        <w:ind w:left="567" w:right="567" w:firstLine="0"/>
        <w:jc w:val="both"/>
        <w:rPr>
          <w:rFonts w:ascii="Book Antiqua" w:cs="Book Antiqua" w:hAnsi="Book Antiqua" w:eastAsia="Book Antiqua"/>
          <w:sz w:val="22"/>
          <w:szCs w:val="22"/>
        </w:rPr>
      </w:pPr>
      <w:r>
        <w:rPr>
          <w:rFonts w:ascii="Book Antiqua"/>
          <w:sz w:val="22"/>
          <w:szCs w:val="22"/>
          <w:rtl w:val="0"/>
          <w:lang w:val="it-IT"/>
        </w:rPr>
        <w:t>- produzione di scarti di lavorazione (tipologia di rifiuti, identificata dal codice CEA 19.12.12) con valori, relativi al biennio 2014-2015, che si attestano a circa il 41,8 per cento, notevolmente superiori al limite individuato pari al 25 per cento previsto dal Decreto anzidetto</w:t>
      </w:r>
    </w:p>
    <w:p>
      <w:pPr>
        <w:pStyle w:val="Normal"/>
        <w:ind w:left="567" w:right="567" w:firstLine="0"/>
        <w:jc w:val="both"/>
        <w:rPr>
          <w:rFonts w:ascii="Book Antiqua" w:cs="Book Antiqua" w:hAnsi="Book Antiqua" w:eastAsia="Book Antiqua"/>
          <w:sz w:val="22"/>
          <w:szCs w:val="22"/>
        </w:rPr>
      </w:pPr>
      <w:r>
        <w:rPr>
          <w:rFonts w:ascii="Book Antiqua"/>
          <w:sz w:val="22"/>
          <w:szCs w:val="22"/>
          <w:rtl w:val="0"/>
          <w:lang w:val="it-IT"/>
        </w:rPr>
        <w:t>b) l'impianto "Salario" ha evidenziato:</w:t>
      </w:r>
    </w:p>
    <w:p>
      <w:pPr>
        <w:pStyle w:val="Normal"/>
        <w:ind w:left="567" w:right="567" w:firstLine="0"/>
        <w:jc w:val="both"/>
        <w:rPr>
          <w:rFonts w:ascii="Book Antiqua" w:cs="Book Antiqua" w:hAnsi="Book Antiqua" w:eastAsia="Book Antiqua"/>
          <w:sz w:val="22"/>
          <w:szCs w:val="22"/>
        </w:rPr>
      </w:pPr>
      <w:r>
        <w:rPr>
          <w:rFonts w:ascii="Book Antiqua"/>
          <w:sz w:val="22"/>
          <w:szCs w:val="22"/>
          <w:rtl w:val="0"/>
          <w:lang w:val="it-IT"/>
        </w:rPr>
        <w:t xml:space="preserve">- produzione di CDR (CEA 19.12.10) con un picco raggiunto nel 2011, con un valore pari a circa il 28.11 per cento, mentre nel biennio 2013-2015 tale valore si </w:t>
      </w:r>
      <w:r>
        <w:rPr>
          <w:rFonts w:hAnsi="Book Antiqua" w:hint="default"/>
          <w:sz w:val="22"/>
          <w:szCs w:val="22"/>
          <w:rtl w:val="0"/>
          <w:lang w:val="it-IT"/>
        </w:rPr>
        <w:t xml:space="preserve">è </w:t>
      </w:r>
      <w:r>
        <w:rPr>
          <w:rFonts w:ascii="Book Antiqua"/>
          <w:sz w:val="22"/>
          <w:szCs w:val="22"/>
          <w:rtl w:val="0"/>
          <w:lang w:val="it-IT"/>
        </w:rPr>
        <w:t>attestato a circa 24 per cento.</w:t>
      </w:r>
    </w:p>
    <w:p>
      <w:pPr>
        <w:pStyle w:val="Normal"/>
        <w:ind w:left="567" w:right="567" w:firstLine="0"/>
        <w:jc w:val="both"/>
        <w:rPr>
          <w:rFonts w:ascii="Book Antiqua" w:cs="Book Antiqua" w:hAnsi="Book Antiqua" w:eastAsia="Book Antiqua"/>
          <w:sz w:val="22"/>
          <w:szCs w:val="22"/>
        </w:rPr>
      </w:pPr>
      <w:r>
        <w:rPr>
          <w:rFonts w:ascii="Book Antiqua"/>
          <w:sz w:val="22"/>
          <w:szCs w:val="22"/>
          <w:rtl w:val="0"/>
          <w:lang w:val="it-IT"/>
        </w:rPr>
        <w:t xml:space="preserve">- produzione di FOS con percentuali mai superiori al 10 per cento. La produzione del biennio 2014 - 2015 </w:t>
      </w:r>
      <w:r>
        <w:rPr>
          <w:rFonts w:hAnsi="Book Antiqua" w:hint="default"/>
          <w:sz w:val="22"/>
          <w:szCs w:val="22"/>
          <w:rtl w:val="0"/>
          <w:lang w:val="it-IT"/>
        </w:rPr>
        <w:t xml:space="preserve">è </w:t>
      </w:r>
      <w:r>
        <w:rPr>
          <w:rFonts w:ascii="Book Antiqua"/>
          <w:sz w:val="22"/>
          <w:szCs w:val="22"/>
          <w:rtl w:val="0"/>
          <w:lang w:val="it-IT"/>
        </w:rPr>
        <w:t>rappresentata in realt</w:t>
      </w:r>
      <w:r>
        <w:rPr>
          <w:rFonts w:hAnsi="Book Antiqua" w:hint="default"/>
          <w:sz w:val="22"/>
          <w:szCs w:val="22"/>
          <w:rtl w:val="0"/>
          <w:lang w:val="it-IT"/>
        </w:rPr>
        <w:t xml:space="preserve">à </w:t>
      </w:r>
      <w:r>
        <w:rPr>
          <w:rFonts w:ascii="Book Antiqua"/>
          <w:sz w:val="22"/>
          <w:szCs w:val="22"/>
          <w:rtl w:val="0"/>
          <w:lang w:val="it-IT"/>
        </w:rPr>
        <w:t xml:space="preserve">unicamente dai rifiuti identificati dal codice CER 19.05.01 "Parte di rifiuti urbani e simili non compostata" rifiuti, quindi, in cui </w:t>
      </w:r>
      <w:r>
        <w:rPr>
          <w:rFonts w:hAnsi="Book Antiqua" w:hint="default"/>
          <w:sz w:val="22"/>
          <w:szCs w:val="22"/>
          <w:rtl w:val="0"/>
          <w:lang w:val="it-IT"/>
        </w:rPr>
        <w:t xml:space="preserve">è </w:t>
      </w:r>
      <w:r>
        <w:rPr>
          <w:rFonts w:ascii="Book Antiqua"/>
          <w:sz w:val="22"/>
          <w:szCs w:val="22"/>
          <w:rtl w:val="0"/>
          <w:lang w:val="it-IT"/>
        </w:rPr>
        <w:t>stato omesso il completamento del processo di raffinazione della FOS, previsto dalla prescrizione di cui al p.to 48 della 0.0. B2520/2011, che prevede la maturazione della frazione organica per un tempo non inferiore alle tre settimane;</w:t>
      </w:r>
    </w:p>
    <w:p>
      <w:pPr>
        <w:pStyle w:val="Normal"/>
        <w:ind w:left="567" w:right="567" w:firstLine="0"/>
        <w:jc w:val="both"/>
        <w:rPr>
          <w:rFonts w:ascii="Book Antiqua" w:cs="Book Antiqua" w:hAnsi="Book Antiqua" w:eastAsia="Book Antiqua"/>
          <w:sz w:val="22"/>
          <w:szCs w:val="22"/>
        </w:rPr>
      </w:pPr>
      <w:r>
        <w:rPr>
          <w:rFonts w:ascii="Book Antiqua"/>
          <w:sz w:val="22"/>
          <w:szCs w:val="22"/>
          <w:rtl w:val="0"/>
          <w:lang w:val="it-IT"/>
        </w:rPr>
        <w:t>- produzione di scarti di lavorazione (tipologia di rifiuti, identificata dal codice CER 19.12.12) con valori ch</w:t>
      </w:r>
      <w:r>
        <w:rPr>
          <w:rFonts w:hAnsi="Book Antiqua" w:hint="default"/>
          <w:sz w:val="22"/>
          <w:szCs w:val="22"/>
          <w:rtl w:val="0"/>
          <w:lang w:val="it-IT"/>
        </w:rPr>
        <w:t>é</w:t>
      </w:r>
      <w:r>
        <w:rPr>
          <w:rFonts w:ascii="Book Antiqua"/>
          <w:sz w:val="22"/>
          <w:szCs w:val="22"/>
          <w:rtl w:val="0"/>
          <w:lang w:val="it-IT"/>
        </w:rPr>
        <w:t xml:space="preserve"> si attestano a circa il al 52 per cento nell'anno 2015, notevolmente superiori al limite individuato pari al 25 per cento previsto dal Decreto anzidetto.</w:t>
      </w:r>
    </w:p>
    <w:p>
      <w:pPr>
        <w:pStyle w:val="Normal"/>
        <w:ind w:left="567" w:right="567" w:firstLine="0"/>
        <w:jc w:val="both"/>
        <w:rPr>
          <w:rFonts w:ascii="Book Antiqua" w:cs="Book Antiqua" w:hAnsi="Book Antiqua" w:eastAsia="Book Antiqua"/>
          <w:sz w:val="22"/>
          <w:szCs w:val="22"/>
        </w:rPr>
      </w:pPr>
      <w:r>
        <w:rPr>
          <w:rFonts w:ascii="Book Antiqua"/>
          <w:sz w:val="22"/>
          <w:szCs w:val="22"/>
          <w:rtl w:val="0"/>
          <w:lang w:val="it-IT"/>
        </w:rPr>
        <w:t>Reato commesso in Roma alle epoche anzidette.</w:t>
      </w:r>
    </w:p>
    <w:p>
      <w:pPr>
        <w:pStyle w:val="Normal"/>
        <w:ind w:left="567" w:right="567" w:firstLine="0"/>
        <w:jc w:val="both"/>
        <w:rPr>
          <w:rFonts w:ascii="Book Antiqua" w:cs="Book Antiqua" w:hAnsi="Book Antiqua" w:eastAsia="Book Antiqua"/>
          <w:sz w:val="22"/>
          <w:szCs w:val="22"/>
        </w:rPr>
      </w:pPr>
      <w:r>
        <w:rPr>
          <w:rFonts w:ascii="Book Antiqua"/>
          <w:sz w:val="22"/>
          <w:szCs w:val="22"/>
          <w:rtl w:val="0"/>
          <w:lang w:val="it-IT"/>
        </w:rPr>
        <w:t>B) in ordine al reato di cui all'articolo 256, comma 4, decreto legislativo n. 15212006 perch</w:t>
      </w:r>
      <w:r>
        <w:rPr>
          <w:rFonts w:hAnsi="Book Antiqua" w:hint="default"/>
          <w:sz w:val="22"/>
          <w:szCs w:val="22"/>
          <w:rtl w:val="0"/>
          <w:lang w:val="it-IT"/>
        </w:rPr>
        <w:t>é</w:t>
      </w:r>
      <w:r>
        <w:rPr>
          <w:rFonts w:ascii="Book Antiqua"/>
          <w:sz w:val="22"/>
          <w:szCs w:val="22"/>
          <w:rtl w:val="0"/>
          <w:lang w:val="it-IT"/>
        </w:rPr>
        <w:t>, in concorso tra loro e nelle qualifiche sopra descritte, all'interno delle aree degli impianti denominati "Rocca Cencia" e "Salario", siti in Roma, rispettivamente in Via di Rocca Cencia 301 e Via Salaria 981 e gestiti da AMA S.p.A., operavano una gestione di rifiuti in violazione delle prescrizioni delle autorizzazioni riguardanti la gestione degli impianti stessi per quanto in particolare concerne i flussi d</w:t>
      </w:r>
      <w:r>
        <w:rPr>
          <w:rFonts w:hAnsi="Book Antiqua" w:hint="default"/>
          <w:sz w:val="22"/>
          <w:szCs w:val="22"/>
          <w:rtl w:val="0"/>
          <w:lang w:val="it-IT"/>
        </w:rPr>
        <w:t xml:space="preserve">ì </w:t>
      </w:r>
      <w:r>
        <w:rPr>
          <w:rFonts w:ascii="Book Antiqua"/>
          <w:sz w:val="22"/>
          <w:szCs w:val="22"/>
          <w:rtl w:val="0"/>
          <w:lang w:val="it-IT"/>
        </w:rPr>
        <w:t>rifiuti in uscita dagli impianti TMB. In particolare:</w:t>
      </w:r>
    </w:p>
    <w:p>
      <w:pPr>
        <w:pStyle w:val="Normal"/>
        <w:ind w:left="567" w:right="567" w:firstLine="0"/>
        <w:jc w:val="both"/>
        <w:rPr>
          <w:rFonts w:ascii="Book Antiqua" w:cs="Book Antiqua" w:hAnsi="Book Antiqua" w:eastAsia="Book Antiqua"/>
          <w:sz w:val="22"/>
          <w:szCs w:val="22"/>
        </w:rPr>
      </w:pPr>
      <w:r>
        <w:rPr>
          <w:rFonts w:ascii="Book Antiqua"/>
          <w:sz w:val="22"/>
          <w:szCs w:val="22"/>
          <w:rtl w:val="0"/>
          <w:lang w:val="it-IT"/>
        </w:rPr>
        <w:t>a) quanto al CDR: tutti i campioni prelevati dalle balle di COR prodotte dagli Impianti TMB "Rocca Cencia" e "Salario". classificate dall'AMA S.p.A. con codice CER 19.12.10 "Rifiuti combustibili (COR: combustibile derivato da rifiuti)", non erano conformi ai limiti tabellari stabiliti al punto 42 delle prescrizioni gestionali delle autorizzazioni integrate ambientali (A.I.A.), rilasciate all'AMA S.p.A. con determinazione dirigenziale 802519/2011 e determinazione dirigenziale 802520/2011, ed alle specifiche tecniche indicate nella Norma UNI 9903-1:2004 (corrispondenti ai valori riportati in Allegato 2, Suballegato 1, Paragrafo 1 del decreto ministeriale 5 febbraio 1998 e s.m.i.) per l'impiego dei rifiuti come combustibile o come altro mezzo per produrre energia presso impianti di recupero di termovalorizzazione, autorizzati in forma semplificata, presentando:</w:t>
      </w:r>
    </w:p>
    <w:p>
      <w:pPr>
        <w:pStyle w:val="Normal"/>
        <w:ind w:left="567" w:right="567" w:firstLine="0"/>
        <w:jc w:val="both"/>
        <w:rPr>
          <w:rFonts w:ascii="Book Antiqua" w:cs="Book Antiqua" w:hAnsi="Book Antiqua" w:eastAsia="Book Antiqua"/>
          <w:sz w:val="22"/>
          <w:szCs w:val="22"/>
        </w:rPr>
      </w:pPr>
      <w:r>
        <w:rPr>
          <w:rFonts w:ascii="Book Antiqua"/>
          <w:sz w:val="22"/>
          <w:szCs w:val="22"/>
          <w:rtl w:val="0"/>
          <w:lang w:val="it-IT"/>
        </w:rPr>
        <w:t>- una non conformit</w:t>
      </w:r>
      <w:r>
        <w:rPr>
          <w:rFonts w:hAnsi="Book Antiqua" w:hint="default"/>
          <w:sz w:val="22"/>
          <w:szCs w:val="22"/>
          <w:rtl w:val="0"/>
          <w:lang w:val="it-IT"/>
        </w:rPr>
        <w:t xml:space="preserve">à </w:t>
      </w:r>
      <w:r>
        <w:rPr>
          <w:rFonts w:ascii="Book Antiqua"/>
          <w:sz w:val="22"/>
          <w:szCs w:val="22"/>
          <w:rtl w:val="0"/>
          <w:lang w:val="it-IT"/>
        </w:rPr>
        <w:t>per il "P.C.I. - Potere Calorifico Inferiore" in 8 campioni su 8;</w:t>
      </w:r>
    </w:p>
    <w:p>
      <w:pPr>
        <w:pStyle w:val="Normal"/>
        <w:ind w:left="567" w:right="567" w:firstLine="0"/>
        <w:jc w:val="both"/>
        <w:rPr>
          <w:rFonts w:ascii="Book Antiqua" w:cs="Book Antiqua" w:hAnsi="Book Antiqua" w:eastAsia="Book Antiqua"/>
          <w:sz w:val="22"/>
          <w:szCs w:val="22"/>
        </w:rPr>
      </w:pPr>
      <w:r>
        <w:rPr>
          <w:rFonts w:ascii="Book Antiqua"/>
          <w:sz w:val="22"/>
          <w:szCs w:val="22"/>
          <w:rtl w:val="0"/>
          <w:lang w:val="it-IT"/>
        </w:rPr>
        <w:t>- contenuti di "umidit</w:t>
      </w:r>
      <w:r>
        <w:rPr>
          <w:rFonts w:hAnsi="Book Antiqua" w:hint="default"/>
          <w:sz w:val="22"/>
          <w:szCs w:val="22"/>
          <w:rtl w:val="0"/>
          <w:lang w:val="it-IT"/>
        </w:rPr>
        <w:t xml:space="preserve">à </w:t>
      </w:r>
      <w:r>
        <w:rPr>
          <w:rFonts w:ascii="Book Antiqua"/>
          <w:sz w:val="22"/>
          <w:szCs w:val="22"/>
          <w:rtl w:val="0"/>
          <w:lang w:val="it-IT"/>
        </w:rPr>
        <w:t>totale" incompatibili con la classificazione di CDR, codice CER 19.12.10 "Rifiuti combustibili (combustibile derivato da rifiuti)" in 6 campioni su 8;</w:t>
      </w:r>
    </w:p>
    <w:p>
      <w:pPr>
        <w:pStyle w:val="Normal"/>
        <w:ind w:left="567" w:right="567" w:firstLine="0"/>
        <w:jc w:val="both"/>
        <w:rPr>
          <w:rFonts w:ascii="Book Antiqua" w:cs="Book Antiqua" w:hAnsi="Book Antiqua" w:eastAsia="Book Antiqua"/>
          <w:sz w:val="22"/>
          <w:szCs w:val="22"/>
        </w:rPr>
      </w:pPr>
      <w:r>
        <w:rPr>
          <w:rFonts w:ascii="Book Antiqua"/>
          <w:sz w:val="22"/>
          <w:szCs w:val="22"/>
          <w:rtl w:val="0"/>
          <w:lang w:val="it-IT"/>
        </w:rPr>
        <w:t>- superamento dei limiti tabellari per il parametro "Ceneri" in un campione (CDRRC4);</w:t>
      </w:r>
    </w:p>
    <w:p>
      <w:pPr>
        <w:pStyle w:val="Normal"/>
        <w:ind w:left="567" w:right="567" w:firstLine="0"/>
        <w:jc w:val="both"/>
        <w:rPr>
          <w:rFonts w:ascii="Book Antiqua" w:cs="Book Antiqua" w:hAnsi="Book Antiqua" w:eastAsia="Book Antiqua"/>
          <w:sz w:val="22"/>
          <w:szCs w:val="22"/>
        </w:rPr>
      </w:pPr>
      <w:r>
        <w:rPr>
          <w:rFonts w:ascii="Book Antiqua"/>
          <w:sz w:val="22"/>
          <w:szCs w:val="22"/>
          <w:rtl w:val="0"/>
          <w:lang w:val="it-IT"/>
        </w:rPr>
        <w:t>- superamento per il parametro "Manganese" in un campione (CDRSA4).</w:t>
      </w:r>
    </w:p>
    <w:p>
      <w:pPr>
        <w:pStyle w:val="Normal"/>
        <w:ind w:left="567" w:right="567" w:firstLine="0"/>
        <w:jc w:val="both"/>
        <w:rPr>
          <w:rFonts w:ascii="Book Antiqua" w:cs="Book Antiqua" w:hAnsi="Book Antiqua" w:eastAsia="Book Antiqua"/>
          <w:sz w:val="22"/>
          <w:szCs w:val="22"/>
        </w:rPr>
      </w:pPr>
      <w:r>
        <w:rPr>
          <w:rFonts w:ascii="Book Antiqua"/>
          <w:sz w:val="22"/>
          <w:szCs w:val="22"/>
          <w:rtl w:val="0"/>
          <w:lang w:val="it-IT"/>
        </w:rPr>
        <w:t>Tali rifiuti, correttamente, avrebbero dovuto essere classificati con il codice CER 191212 ("altri rifiuti (compresi materiali misti) prodotti dal trattamento meccanico dei rifiuti, diversi da quelli di cui alla voce 19.12.11").</w:t>
      </w:r>
    </w:p>
    <w:p>
      <w:pPr>
        <w:pStyle w:val="Normal"/>
        <w:ind w:left="567" w:right="567" w:firstLine="0"/>
        <w:jc w:val="both"/>
        <w:rPr>
          <w:rFonts w:ascii="Book Antiqua" w:cs="Book Antiqua" w:hAnsi="Book Antiqua" w:eastAsia="Book Antiqua"/>
          <w:sz w:val="22"/>
          <w:szCs w:val="22"/>
        </w:rPr>
      </w:pPr>
      <w:r>
        <w:rPr>
          <w:rFonts w:ascii="Book Antiqua"/>
          <w:sz w:val="22"/>
          <w:szCs w:val="22"/>
          <w:rtl w:val="0"/>
          <w:lang w:val="it-IT"/>
        </w:rPr>
        <w:t>b) quanto alla FOS (Frazione Organica Stabilizzata): i due campioni di denominati "FOS RC" e "FOS SA", identificata con il codice CER 19.05.03, i cui valori sono stati confrontati con i limiti tabellari stabiliti al punto 48 delle prescrizioni gestionali delle A.I.A., rilasciate all'AMA S.p.A., per gli impianti TMB "Rocca Cencia" e "Salario" con determinazione dirigenziale 80251912011 e determinazione dirigenziale 802520/2011, ed ai limiti tabellari stabiliti dal decreto ministeriale 27 settembre 2010 ("Criteri di ammissibilit</w:t>
      </w:r>
      <w:r>
        <w:rPr>
          <w:rFonts w:hAnsi="Book Antiqua" w:hint="default"/>
          <w:sz w:val="22"/>
          <w:szCs w:val="22"/>
          <w:rtl w:val="0"/>
          <w:lang w:val="it-IT"/>
        </w:rPr>
        <w:t xml:space="preserve">à </w:t>
      </w:r>
      <w:r>
        <w:rPr>
          <w:rFonts w:ascii="Book Antiqua"/>
          <w:sz w:val="22"/>
          <w:szCs w:val="22"/>
          <w:rtl w:val="0"/>
          <w:lang w:val="it-IT"/>
        </w:rPr>
        <w:t xml:space="preserve">dei rifiuti in discarica") per lo smaltimento dei rifiuti in discarica, hanno evidenziato </w:t>
      </w:r>
      <w:r>
        <w:rPr>
          <w:rFonts w:hAnsi="Book Antiqua" w:hint="default"/>
          <w:sz w:val="22"/>
          <w:szCs w:val="22"/>
          <w:rtl w:val="0"/>
          <w:lang w:val="it-IT"/>
        </w:rPr>
        <w:t>“</w:t>
      </w:r>
      <w:r>
        <w:rPr>
          <w:rFonts w:ascii="Book Antiqua"/>
          <w:sz w:val="22"/>
          <w:szCs w:val="22"/>
          <w:rtl w:val="0"/>
          <w:lang w:val="it-IT"/>
        </w:rPr>
        <w:t>superamento dei limiti sopra indicati per quanto riguarda il parametro "Carbonio Organico Disciolto - DOC", risultato pari a 2.346 mg/l (FOS RC) e 3.528 mg/l (FOS SA) rispetto al limite di 100 mg/l, ed il parametro "Fluoruri" che ha fatto registrare valori pari a 52,7 mg/l (FOS RC) e 88,7 mg/l (FOS SA) rispetto al limite di 15 mg/l. e, contestualmente, un indice di respirazione dinamico pari a 3.200 mg02/kgSVh (FOS RC) e 4.670 mg02/kgSVh (FOS SA), superiore all'indice di respirazione dinamico (determinato secondo la norma UNI/TS 11184) di 1000 mg02lkgSVh che consente una deroga al parametro DOC. Pertanto, il rifiuto rappresentato dai campioni in parola non poteva essere smaltito presso discariche per rifiuti non pericolosi.</w:t>
      </w:r>
    </w:p>
    <w:p>
      <w:pPr>
        <w:pStyle w:val="Normal"/>
        <w:ind w:left="567" w:right="567" w:firstLine="0"/>
        <w:jc w:val="both"/>
        <w:rPr>
          <w:rFonts w:ascii="Book Antiqua" w:cs="Book Antiqua" w:hAnsi="Book Antiqua" w:eastAsia="Book Antiqua"/>
          <w:sz w:val="22"/>
          <w:szCs w:val="22"/>
        </w:rPr>
      </w:pPr>
      <w:r>
        <w:rPr>
          <w:rFonts w:ascii="Book Antiqua"/>
          <w:sz w:val="22"/>
          <w:szCs w:val="22"/>
          <w:rtl w:val="0"/>
          <w:lang w:val="it-IT"/>
        </w:rPr>
        <w:t>c) quanto ai rifiuti costituiti da scarti del processo di TMB, classificata dal produttore con codice CER 19.12.12; Rifiuti costituiti da Frazione Organica Stabilizzata (FOS), identificata dal produttore con il codice CER 19.05.03, nei tre campioni prelevati al cosiddetto 'test di cessione" presentavano il superamento del limite stabilito per i parametri "Fluoruri" (pari a 30 mg/l), che non permette lo smaltimento presso discariche per rifiuti non pericolosi, fatte salve specifiche deroghe rilasciate dalle autorit</w:t>
      </w:r>
      <w:r>
        <w:rPr>
          <w:rFonts w:hAnsi="Book Antiqua" w:hint="default"/>
          <w:sz w:val="22"/>
          <w:szCs w:val="22"/>
          <w:rtl w:val="0"/>
          <w:lang w:val="it-IT"/>
        </w:rPr>
        <w:t xml:space="preserve">à </w:t>
      </w:r>
      <w:r>
        <w:rPr>
          <w:rFonts w:ascii="Book Antiqua"/>
          <w:sz w:val="22"/>
          <w:szCs w:val="22"/>
          <w:rtl w:val="0"/>
          <w:lang w:val="it-IT"/>
        </w:rPr>
        <w:t>competenti alle societ</w:t>
      </w:r>
      <w:r>
        <w:rPr>
          <w:rFonts w:hAnsi="Book Antiqua" w:hint="default"/>
          <w:sz w:val="22"/>
          <w:szCs w:val="22"/>
          <w:rtl w:val="0"/>
          <w:lang w:val="it-IT"/>
        </w:rPr>
        <w:t xml:space="preserve">à </w:t>
      </w:r>
      <w:r>
        <w:rPr>
          <w:rFonts w:ascii="Book Antiqua"/>
          <w:sz w:val="22"/>
          <w:szCs w:val="22"/>
          <w:rtl w:val="0"/>
          <w:lang w:val="it-IT"/>
        </w:rPr>
        <w:t>riceventi (nel caso di specie non sussistenti).</w:t>
      </w:r>
    </w:p>
    <w:p>
      <w:pPr>
        <w:pStyle w:val="Normal"/>
        <w:ind w:left="567" w:right="567" w:firstLine="0"/>
        <w:jc w:val="both"/>
        <w:rPr>
          <w:rFonts w:ascii="Book Antiqua" w:cs="Book Antiqua" w:hAnsi="Book Antiqua" w:eastAsia="Book Antiqua"/>
          <w:sz w:val="22"/>
          <w:szCs w:val="22"/>
        </w:rPr>
      </w:pPr>
      <w:r>
        <w:rPr>
          <w:rFonts w:ascii="Book Antiqua"/>
          <w:sz w:val="22"/>
          <w:szCs w:val="22"/>
          <w:rtl w:val="0"/>
          <w:lang w:val="it-IT"/>
        </w:rPr>
        <w:t>In Roma, per tutto l'anno 2015 e nel periodo compreso tra il 1</w:t>
      </w:r>
      <w:r>
        <w:rPr>
          <w:rFonts w:hAnsi="Book Antiqua" w:hint="default"/>
          <w:sz w:val="22"/>
          <w:szCs w:val="22"/>
          <w:rtl w:val="0"/>
          <w:lang w:val="it-IT"/>
        </w:rPr>
        <w:t xml:space="preserve">° </w:t>
      </w:r>
      <w:r>
        <w:rPr>
          <w:rFonts w:ascii="Book Antiqua"/>
          <w:sz w:val="22"/>
          <w:szCs w:val="22"/>
          <w:rtl w:val="0"/>
          <w:lang w:val="it-IT"/>
        </w:rPr>
        <w:t>e il 12 gennaio 2016</w:t>
      </w:r>
    </w:p>
    <w:p>
      <w:pPr>
        <w:pStyle w:val="Normal"/>
        <w:ind w:left="567" w:right="567" w:firstLine="0"/>
        <w:jc w:val="both"/>
        <w:rPr>
          <w:rFonts w:ascii="Book Antiqua" w:cs="Book Antiqua" w:hAnsi="Book Antiqua" w:eastAsia="Book Antiqua"/>
          <w:sz w:val="22"/>
          <w:szCs w:val="22"/>
        </w:rPr>
      </w:pPr>
      <w:r>
        <w:rPr>
          <w:rFonts w:ascii="Book Antiqua"/>
          <w:sz w:val="22"/>
          <w:szCs w:val="22"/>
          <w:rtl w:val="0"/>
          <w:lang w:val="it-IT"/>
        </w:rPr>
        <w:t>C) in ordine al reato di cui all'articolo 256, comma 1, decreto legislativo n. 152 del 2006 perch</w:t>
      </w:r>
      <w:r>
        <w:rPr>
          <w:rFonts w:hAnsi="Book Antiqua" w:hint="default"/>
          <w:sz w:val="22"/>
          <w:szCs w:val="22"/>
          <w:rtl w:val="0"/>
          <w:lang w:val="it-IT"/>
        </w:rPr>
        <w:t>é</w:t>
      </w:r>
      <w:r>
        <w:rPr>
          <w:rFonts w:ascii="Book Antiqua"/>
          <w:sz w:val="22"/>
          <w:szCs w:val="22"/>
          <w:rtl w:val="0"/>
          <w:lang w:val="it-IT"/>
        </w:rPr>
        <w:t>, in concorso tra loro e nelle qualifiche sopra descritte, all'interno delle aree degli impianti denominati "Rocca Cencia" e "Salario", siti in Roma, rispettivamente in Via di Rocca Cencia 301 e Via Salaria 981 e gestiti da AMA S.p.A., operavano una gestione non autorizzata di rifiuti speciali e segnatamente procedevano al recupero energetico dei rifiuti indicati al Capo che precede presso impianti di termovalorizzazione o incenerimento non autorizzati a smaltire i rifiuti classificati con il codice CER 191212 presso una serie di impianti di smaltimento/recupero/termovalorizzazione e segnatamente:</w:t>
      </w:r>
    </w:p>
    <w:p>
      <w:pPr>
        <w:pStyle w:val="Normal"/>
        <w:ind w:left="567" w:right="567" w:firstLine="0"/>
        <w:jc w:val="both"/>
        <w:rPr>
          <w:rFonts w:ascii="Book Antiqua" w:cs="Book Antiqua" w:hAnsi="Book Antiqua" w:eastAsia="Book Antiqua"/>
          <w:sz w:val="22"/>
          <w:szCs w:val="22"/>
        </w:rPr>
      </w:pPr>
      <w:r>
        <w:rPr>
          <w:rFonts w:ascii="Book Antiqua"/>
          <w:sz w:val="22"/>
          <w:szCs w:val="22"/>
          <w:rtl w:val="0"/>
          <w:lang w:val="it-IT"/>
        </w:rPr>
        <w:t>- A.R.I.A. S.r.l. di San Vittore (FR);</w:t>
      </w:r>
    </w:p>
    <w:p>
      <w:pPr>
        <w:pStyle w:val="Normal"/>
        <w:ind w:left="567" w:right="567" w:firstLine="0"/>
        <w:jc w:val="both"/>
        <w:rPr>
          <w:rFonts w:ascii="Book Antiqua" w:cs="Book Antiqua" w:hAnsi="Book Antiqua" w:eastAsia="Book Antiqua"/>
          <w:sz w:val="22"/>
          <w:szCs w:val="22"/>
        </w:rPr>
      </w:pPr>
      <w:r>
        <w:rPr>
          <w:rFonts w:ascii="Book Antiqua"/>
          <w:sz w:val="22"/>
          <w:szCs w:val="22"/>
          <w:rtl w:val="0"/>
          <w:lang w:val="it-IT"/>
        </w:rPr>
        <w:t>- EP Sistemi S.p.A. di Colleferro (RM);</w:t>
      </w:r>
    </w:p>
    <w:p>
      <w:pPr>
        <w:pStyle w:val="Normal"/>
        <w:ind w:left="567" w:right="567" w:firstLine="0"/>
        <w:jc w:val="both"/>
        <w:rPr>
          <w:rFonts w:ascii="Book Antiqua" w:cs="Book Antiqua" w:hAnsi="Book Antiqua" w:eastAsia="Book Antiqua"/>
          <w:sz w:val="22"/>
          <w:szCs w:val="22"/>
        </w:rPr>
      </w:pPr>
      <w:r>
        <w:rPr>
          <w:rFonts w:ascii="Book Antiqua"/>
          <w:sz w:val="22"/>
          <w:szCs w:val="22"/>
          <w:rtl w:val="0"/>
          <w:lang w:val="it-IT"/>
        </w:rPr>
        <w:t>- Lazio Ambiente S.p.A. di Colleferro (RM).</w:t>
      </w:r>
    </w:p>
    <w:p>
      <w:pPr>
        <w:pStyle w:val="Normal"/>
        <w:ind w:left="567" w:right="567" w:firstLine="0"/>
        <w:jc w:val="both"/>
        <w:rPr>
          <w:rFonts w:ascii="Book Antiqua" w:cs="Book Antiqua" w:hAnsi="Book Antiqua" w:eastAsia="Book Antiqua"/>
          <w:sz w:val="22"/>
          <w:szCs w:val="22"/>
        </w:rPr>
      </w:pPr>
      <w:r>
        <w:rPr>
          <w:rFonts w:ascii="Book Antiqua"/>
          <w:sz w:val="22"/>
          <w:szCs w:val="22"/>
          <w:rtl w:val="0"/>
          <w:lang w:val="it-IT"/>
        </w:rPr>
        <w:t>In Roma per tutto l'anno 2015 e fino al 12 gennaio 2016.</w:t>
      </w:r>
    </w:p>
    <w:p>
      <w:pPr>
        <w:pStyle w:val="Normal"/>
        <w:ind w:left="567" w:right="567" w:firstLine="0"/>
        <w:jc w:val="both"/>
        <w:rPr>
          <w:rFonts w:ascii="Book Antiqua" w:cs="Book Antiqua" w:hAnsi="Book Antiqua" w:eastAsia="Book Antiqua"/>
          <w:sz w:val="22"/>
          <w:szCs w:val="22"/>
        </w:rPr>
      </w:pPr>
      <w:r>
        <w:rPr>
          <w:rFonts w:ascii="Book Antiqua"/>
          <w:sz w:val="22"/>
          <w:szCs w:val="22"/>
          <w:rtl w:val="0"/>
          <w:lang w:val="it-IT"/>
        </w:rPr>
        <w:t>D) in ordine al reato di cui all'articolo 256, comma 4, decreto legislativo n. 152 del 2006 commesso sino a data odierna perch</w:t>
      </w:r>
      <w:r>
        <w:rPr>
          <w:rFonts w:hAnsi="Book Antiqua" w:hint="default"/>
          <w:sz w:val="22"/>
          <w:szCs w:val="22"/>
          <w:rtl w:val="0"/>
          <w:lang w:val="it-IT"/>
        </w:rPr>
        <w:t>é</w:t>
      </w:r>
      <w:r>
        <w:rPr>
          <w:rFonts w:ascii="Book Antiqua"/>
          <w:sz w:val="22"/>
          <w:szCs w:val="22"/>
          <w:rtl w:val="0"/>
          <w:lang w:val="it-IT"/>
        </w:rPr>
        <w:t>, in concorso Ira loro e nelle qualifiche sopra descritte, all'interno delle aree degli impianti denominati "Rocca Cencia" e "Salario", siti in Roma, rispettivamente in Via di Rocca Cencia 301 e Via Salaria 981 e gestiti da AMA S.p.A., operavano una gestione di rifiuti in violazione delle prescrizioni delle autorizzazioni riguardanti la gestione degli impianti stessi (per l'impianto di "Rocca Cencia", la determinazione dirigenziale 31 marzo 2011, n. 82519 del Dipartimento Programmazione Economica e sociale della regione Lazio, e per l'impianto "Salario" la determinazione dirigenziale 31 marzo 2011, n. 802520, del Dipartimento Programmazione Economica e Sociale della regione Lazio), nonch</w:t>
      </w:r>
      <w:r>
        <w:rPr>
          <w:rFonts w:hAnsi="Book Antiqua" w:hint="default"/>
          <w:sz w:val="22"/>
          <w:szCs w:val="22"/>
          <w:rtl w:val="0"/>
          <w:lang w:val="it-IT"/>
        </w:rPr>
        <w:t>é</w:t>
      </w:r>
      <w:r>
        <w:rPr>
          <w:rFonts w:ascii="Book Antiqua"/>
          <w:sz w:val="22"/>
          <w:szCs w:val="22"/>
          <w:rtl w:val="0"/>
          <w:lang w:val="it-IT"/>
        </w:rPr>
        <w:t>, lo stoccaggio dei rifiuti prodotti dal processo di trattamento meccanico e biologico dei rifiuti urbani indifferenziati.</w:t>
      </w:r>
    </w:p>
    <w:p>
      <w:pPr>
        <w:pStyle w:val="Normal"/>
        <w:ind w:left="567" w:right="567" w:firstLine="0"/>
        <w:jc w:val="both"/>
        <w:rPr>
          <w:rFonts w:ascii="Book Antiqua" w:cs="Book Antiqua" w:hAnsi="Book Antiqua" w:eastAsia="Book Antiqua"/>
          <w:sz w:val="22"/>
          <w:szCs w:val="22"/>
        </w:rPr>
      </w:pPr>
      <w:r>
        <w:rPr>
          <w:rFonts w:ascii="Book Antiqua"/>
          <w:sz w:val="22"/>
          <w:szCs w:val="22"/>
          <w:rtl w:val="0"/>
          <w:lang w:val="it-IT"/>
        </w:rPr>
        <w:t>In particolare, le analisi effettuate in autocontrollo da AMA S.p.A. sulla FOS campionata presso l</w:t>
      </w:r>
      <w:r>
        <w:rPr>
          <w:rFonts w:hAnsi="Book Antiqua" w:hint="default"/>
          <w:sz w:val="22"/>
          <w:szCs w:val="22"/>
          <w:rtl w:val="0"/>
          <w:lang w:val="it-IT"/>
        </w:rPr>
        <w:t>’</w:t>
      </w:r>
      <w:r>
        <w:rPr>
          <w:rFonts w:ascii="Book Antiqua"/>
          <w:sz w:val="22"/>
          <w:szCs w:val="22"/>
          <w:rtl w:val="0"/>
          <w:lang w:val="it-IT"/>
        </w:rPr>
        <w:t xml:space="preserve">impianto </w:t>
      </w:r>
      <w:r>
        <w:rPr>
          <w:rFonts w:hAnsi="Book Antiqua" w:hint="default"/>
          <w:sz w:val="22"/>
          <w:szCs w:val="22"/>
          <w:rtl w:val="0"/>
          <w:lang w:val="it-IT"/>
        </w:rPr>
        <w:t>“</w:t>
      </w:r>
      <w:r>
        <w:rPr>
          <w:rFonts w:ascii="Book Antiqua"/>
          <w:sz w:val="22"/>
          <w:szCs w:val="22"/>
          <w:rtl w:val="0"/>
          <w:lang w:val="it-IT"/>
        </w:rPr>
        <w:t>Rocca Cencia", avevano gi</w:t>
      </w:r>
      <w:r>
        <w:rPr>
          <w:rFonts w:hAnsi="Book Antiqua" w:hint="default"/>
          <w:sz w:val="22"/>
          <w:szCs w:val="22"/>
          <w:rtl w:val="0"/>
          <w:lang w:val="it-IT"/>
        </w:rPr>
        <w:t xml:space="preserve">à </w:t>
      </w:r>
      <w:r>
        <w:rPr>
          <w:rFonts w:ascii="Book Antiqua"/>
          <w:sz w:val="22"/>
          <w:szCs w:val="22"/>
          <w:rtl w:val="0"/>
          <w:lang w:val="it-IT"/>
        </w:rPr>
        <w:t xml:space="preserve">prima dei campionamenti eseguiti nel gennaio 2016 elevati valori per il parametro "DOC". In particolare, nel Rapporto di Prova n. R201503637 redatto a cura del laboratorio di analisi LabControl S.r.l. in data 29 maggio 2015 il parametro "DOC" era risultato pari a 2.100 mg e, pertanto, oltre ai limiti normativi previsti per lo smaltimento in discariche per rifiuti non pericolosi, se non opportunamente derogato, cosi come riportato anche nel giudizio emesso da LabControl S.r.l.. Nello stesso Rapporto di prova, era risultato oltre i limiti consentiti dalla vigente normativa anche il parametro "Indice di respirazione dinamico", che nel caso di specie </w:t>
      </w:r>
      <w:r>
        <w:rPr>
          <w:rFonts w:hAnsi="Book Antiqua" w:hint="default"/>
          <w:sz w:val="22"/>
          <w:szCs w:val="22"/>
          <w:rtl w:val="0"/>
          <w:lang w:val="it-IT"/>
        </w:rPr>
        <w:t xml:space="preserve">è </w:t>
      </w:r>
      <w:r>
        <w:rPr>
          <w:rFonts w:ascii="Book Antiqua"/>
          <w:sz w:val="22"/>
          <w:szCs w:val="22"/>
          <w:rtl w:val="0"/>
          <w:lang w:val="it-IT"/>
        </w:rPr>
        <w:t>risultato pari a 1.240 mg02lkgSVh.</w:t>
      </w:r>
    </w:p>
    <w:p>
      <w:pPr>
        <w:pStyle w:val="Normal"/>
        <w:ind w:left="567" w:right="567" w:firstLine="0"/>
        <w:jc w:val="both"/>
        <w:rPr>
          <w:rFonts w:ascii="Book Antiqua" w:cs="Book Antiqua" w:hAnsi="Book Antiqua" w:eastAsia="Book Antiqua"/>
          <w:sz w:val="22"/>
          <w:szCs w:val="22"/>
        </w:rPr>
      </w:pPr>
      <w:r>
        <w:rPr>
          <w:rFonts w:ascii="Book Antiqua"/>
          <w:sz w:val="22"/>
          <w:szCs w:val="22"/>
          <w:rtl w:val="0"/>
          <w:lang w:val="it-IT"/>
        </w:rPr>
        <w:t>Analogamente, anche per il campione di FOS prelevato presso l'impianto "Salario", di cui al Rapporto il Prova n. R201503643, era stato riscontrato un valore di "DOC" pari a 2.080 mg con rispettivo "Indice di respirazione dinamico" pari a 2020 mg02/kgSVh.</w:t>
      </w:r>
    </w:p>
    <w:p>
      <w:pPr>
        <w:pStyle w:val="Normal"/>
        <w:ind w:left="567" w:right="567" w:firstLine="0"/>
        <w:jc w:val="both"/>
        <w:rPr>
          <w:rFonts w:ascii="Book Antiqua" w:cs="Book Antiqua" w:hAnsi="Book Antiqua" w:eastAsia="Book Antiqua"/>
          <w:sz w:val="22"/>
          <w:szCs w:val="22"/>
        </w:rPr>
      </w:pPr>
      <w:r>
        <w:rPr>
          <w:rFonts w:ascii="Book Antiqua"/>
          <w:sz w:val="22"/>
          <w:szCs w:val="22"/>
          <w:rtl w:val="0"/>
          <w:lang w:val="it-IT"/>
        </w:rPr>
        <w:t>Pertanto, risultavano altres</w:t>
      </w:r>
      <w:r>
        <w:rPr>
          <w:rFonts w:hAnsi="Book Antiqua" w:hint="default"/>
          <w:sz w:val="22"/>
          <w:szCs w:val="22"/>
          <w:rtl w:val="0"/>
          <w:lang w:val="it-IT"/>
        </w:rPr>
        <w:t>ì</w:t>
      </w:r>
      <w:r>
        <w:rPr>
          <w:rFonts w:ascii="Book Antiqua"/>
          <w:sz w:val="22"/>
          <w:szCs w:val="22"/>
          <w:rtl w:val="0"/>
          <w:lang w:val="it-IT"/>
        </w:rPr>
        <w:t xml:space="preserve"> disattese le prescrizioni di cui al punto 48 degli atti autorizzativi predetti che testualmente recita: "Relativamente alla FOS la durata del processo di stabilizzazione della frazione organica non dovr</w:t>
      </w:r>
      <w:r>
        <w:rPr>
          <w:rFonts w:hAnsi="Book Antiqua" w:hint="default"/>
          <w:sz w:val="22"/>
          <w:szCs w:val="22"/>
          <w:rtl w:val="0"/>
          <w:lang w:val="it-IT"/>
        </w:rPr>
        <w:t xml:space="preserve">à </w:t>
      </w:r>
      <w:r>
        <w:rPr>
          <w:rFonts w:ascii="Book Antiqua"/>
          <w:sz w:val="22"/>
          <w:szCs w:val="22"/>
          <w:rtl w:val="0"/>
          <w:lang w:val="it-IT"/>
        </w:rPr>
        <w:t>essere inferiore a tre settimane e comunque dovr</w:t>
      </w:r>
      <w:r>
        <w:rPr>
          <w:rFonts w:hAnsi="Book Antiqua" w:hint="default"/>
          <w:sz w:val="22"/>
          <w:szCs w:val="22"/>
          <w:rtl w:val="0"/>
          <w:lang w:val="it-IT"/>
        </w:rPr>
        <w:t xml:space="preserve">à </w:t>
      </w:r>
      <w:r>
        <w:rPr>
          <w:rFonts w:ascii="Book Antiqua"/>
          <w:sz w:val="22"/>
          <w:szCs w:val="22"/>
          <w:rtl w:val="0"/>
          <w:lang w:val="it-IT"/>
        </w:rPr>
        <w:t>garantire, entro sei mesi dalla data del presente atto, il raggiungimento di un indice respirometrico dinamico potenziale pari od inferiore a 1000 mg 02/Kg SV/h. Solo in tal caso la frazione organica potr</w:t>
      </w:r>
      <w:r>
        <w:rPr>
          <w:rFonts w:hAnsi="Book Antiqua" w:hint="default"/>
          <w:sz w:val="22"/>
          <w:szCs w:val="22"/>
          <w:rtl w:val="0"/>
          <w:lang w:val="it-IT"/>
        </w:rPr>
        <w:t xml:space="preserve">à </w:t>
      </w:r>
      <w:r>
        <w:rPr>
          <w:rFonts w:ascii="Book Antiqua"/>
          <w:sz w:val="22"/>
          <w:szCs w:val="22"/>
          <w:rtl w:val="0"/>
          <w:lang w:val="it-IT"/>
        </w:rPr>
        <w:t>essere utilizzata in ambienti confinati per le attivit</w:t>
      </w:r>
      <w:r>
        <w:rPr>
          <w:rFonts w:hAnsi="Book Antiqua" w:hint="default"/>
          <w:sz w:val="22"/>
          <w:szCs w:val="22"/>
          <w:rtl w:val="0"/>
          <w:lang w:val="it-IT"/>
        </w:rPr>
        <w:t xml:space="preserve">à </w:t>
      </w:r>
      <w:r>
        <w:rPr>
          <w:rFonts w:ascii="Book Antiqua"/>
          <w:sz w:val="22"/>
          <w:szCs w:val="22"/>
          <w:rtl w:val="0"/>
          <w:lang w:val="it-IT"/>
        </w:rPr>
        <w:t>di ricopertura dei rifiuti In alternativa dovr</w:t>
      </w:r>
      <w:r>
        <w:rPr>
          <w:rFonts w:hAnsi="Book Antiqua" w:hint="default"/>
          <w:sz w:val="22"/>
          <w:szCs w:val="22"/>
          <w:rtl w:val="0"/>
          <w:lang w:val="it-IT"/>
        </w:rPr>
        <w:t xml:space="preserve">à </w:t>
      </w:r>
      <w:r>
        <w:rPr>
          <w:rFonts w:ascii="Book Antiqua"/>
          <w:sz w:val="22"/>
          <w:szCs w:val="22"/>
          <w:rtl w:val="0"/>
          <w:lang w:val="it-IT"/>
        </w:rPr>
        <w:t>essere avviato a processi di recupero o smaltimento presso impianti autorizzati".</w:t>
      </w:r>
    </w:p>
    <w:p>
      <w:pPr>
        <w:pStyle w:val="Normal"/>
        <w:ind w:left="567" w:right="567" w:firstLine="0"/>
        <w:jc w:val="both"/>
        <w:rPr>
          <w:rFonts w:ascii="Book Antiqua" w:cs="Book Antiqua" w:hAnsi="Book Antiqua" w:eastAsia="Book Antiqua"/>
          <w:sz w:val="22"/>
          <w:szCs w:val="22"/>
        </w:rPr>
      </w:pPr>
      <w:r>
        <w:rPr>
          <w:rFonts w:ascii="Book Antiqua"/>
          <w:sz w:val="22"/>
          <w:szCs w:val="22"/>
          <w:rtl w:val="0"/>
          <w:lang w:val="it-IT"/>
        </w:rPr>
        <w:t>In Roma, per tutto l'anno 2015 e nel periodo compreso tra il 1</w:t>
      </w:r>
      <w:r>
        <w:rPr>
          <w:rFonts w:hAnsi="Book Antiqua" w:hint="default"/>
          <w:sz w:val="22"/>
          <w:szCs w:val="22"/>
          <w:rtl w:val="0"/>
          <w:lang w:val="it-IT"/>
        </w:rPr>
        <w:t>°</w:t>
      </w:r>
      <w:r>
        <w:rPr>
          <w:rFonts w:ascii="Book Antiqua"/>
          <w:sz w:val="22"/>
          <w:szCs w:val="22"/>
          <w:rtl w:val="0"/>
          <w:lang w:val="it-IT"/>
        </w:rPr>
        <w:t xml:space="preserve"> e il 12 gennaio 2016.</w:t>
      </w:r>
    </w:p>
    <w:p>
      <w:pPr>
        <w:pStyle w:val="Normal"/>
        <w:ind w:left="567" w:right="567" w:firstLine="0"/>
        <w:jc w:val="both"/>
        <w:rPr>
          <w:rFonts w:ascii="Book Antiqua" w:cs="Book Antiqua" w:hAnsi="Book Antiqua" w:eastAsia="Book Antiqua"/>
          <w:sz w:val="22"/>
          <w:szCs w:val="22"/>
        </w:rPr>
      </w:pPr>
      <w:r>
        <w:rPr>
          <w:rFonts w:ascii="Book Antiqua"/>
          <w:sz w:val="22"/>
          <w:szCs w:val="22"/>
          <w:rtl w:val="0"/>
          <w:lang w:val="it-IT"/>
        </w:rPr>
        <w:t>E) in ordine al reato di cui all'articolo 256, comma 4, del  decreto legislativo n. 152 del 2006 commesso sino a data odierna perch</w:t>
      </w:r>
      <w:r>
        <w:rPr>
          <w:rFonts w:hAnsi="Book Antiqua" w:hint="default"/>
          <w:sz w:val="22"/>
          <w:szCs w:val="22"/>
          <w:rtl w:val="0"/>
          <w:lang w:val="it-IT"/>
        </w:rPr>
        <w:t>é</w:t>
      </w:r>
      <w:r>
        <w:rPr>
          <w:rFonts w:ascii="Book Antiqua"/>
          <w:sz w:val="22"/>
          <w:szCs w:val="22"/>
          <w:rtl w:val="0"/>
          <w:lang w:val="it-IT"/>
        </w:rPr>
        <w:t>, in concorso tra loro e nelle qualifiche sopra descritte, all'interno delle aree degli impianti denominati "Rocca Cencia" e "Salario", siti in Roma, rispettivamente in Via di Rocca Cencia 301 e Via Salaria 981 e gestiti da AMA S.p.A., operavano una gestione di rifiuti in violazione delle prescrizioni delle autorizzazioni riguardanti la gestione degli impianti stessi, nonch</w:t>
      </w:r>
      <w:r>
        <w:rPr>
          <w:rFonts w:hAnsi="Book Antiqua" w:hint="default"/>
          <w:sz w:val="22"/>
          <w:szCs w:val="22"/>
          <w:rtl w:val="0"/>
          <w:lang w:val="it-IT"/>
        </w:rPr>
        <w:t>é</w:t>
      </w:r>
      <w:r>
        <w:rPr>
          <w:rFonts w:ascii="Book Antiqua"/>
          <w:sz w:val="22"/>
          <w:szCs w:val="22"/>
          <w:rtl w:val="0"/>
          <w:lang w:val="it-IT"/>
        </w:rPr>
        <w:t>, lo stoccaggio dei rifiuti prodotti dal processo di trattamento meccanico e biologico dei rifiuti urbani indifferenziati.</w:t>
      </w:r>
    </w:p>
    <w:p>
      <w:pPr>
        <w:pStyle w:val="Normal"/>
        <w:ind w:left="567" w:right="567" w:firstLine="0"/>
        <w:jc w:val="both"/>
        <w:rPr>
          <w:rFonts w:ascii="Book Antiqua" w:cs="Book Antiqua" w:hAnsi="Book Antiqua" w:eastAsia="Book Antiqua"/>
          <w:sz w:val="22"/>
          <w:szCs w:val="22"/>
        </w:rPr>
      </w:pPr>
      <w:r>
        <w:rPr>
          <w:rFonts w:ascii="Book Antiqua"/>
          <w:sz w:val="22"/>
          <w:szCs w:val="22"/>
          <w:rtl w:val="0"/>
          <w:lang w:val="it-IT"/>
        </w:rPr>
        <w:t>Nello specifico:</w:t>
      </w:r>
    </w:p>
    <w:p>
      <w:pPr>
        <w:pStyle w:val="Normal"/>
        <w:ind w:left="567" w:right="567" w:firstLine="0"/>
        <w:jc w:val="both"/>
        <w:rPr>
          <w:rFonts w:ascii="Book Antiqua" w:cs="Book Antiqua" w:hAnsi="Book Antiqua" w:eastAsia="Book Antiqua"/>
          <w:sz w:val="22"/>
          <w:szCs w:val="22"/>
        </w:rPr>
      </w:pPr>
      <w:r>
        <w:rPr>
          <w:rFonts w:ascii="Book Antiqua"/>
          <w:sz w:val="22"/>
          <w:szCs w:val="22"/>
          <w:rtl w:val="0"/>
          <w:lang w:val="it-IT"/>
        </w:rPr>
        <w:t>1. per l</w:t>
      </w:r>
      <w:r>
        <w:rPr>
          <w:rFonts w:hAnsi="Book Antiqua" w:hint="default"/>
          <w:sz w:val="22"/>
          <w:szCs w:val="22"/>
          <w:rtl w:val="0"/>
          <w:lang w:val="it-IT"/>
        </w:rPr>
        <w:t>’</w:t>
      </w:r>
      <w:r>
        <w:rPr>
          <w:rFonts w:ascii="Book Antiqua"/>
          <w:sz w:val="22"/>
          <w:szCs w:val="22"/>
          <w:rtl w:val="0"/>
          <w:lang w:val="it-IT"/>
        </w:rPr>
        <w:t xml:space="preserve">impianto di "Rocca Cencia", autorizzato con determinazione dirigenziale 31 marzo 2011, n. 82519 del dipartimento programmazione economica e sociale della regione Lazio con la quale era stata rilasciata l'AIA (Autorizzazione Integrata Ambientale) per l'impianto di trattamento meccanico biologico dei rifiuti urbani indifferenziati, </w:t>
      </w:r>
      <w:r>
        <w:rPr>
          <w:rFonts w:hAnsi="Book Antiqua" w:hint="default"/>
          <w:sz w:val="22"/>
          <w:szCs w:val="22"/>
          <w:rtl w:val="0"/>
          <w:lang w:val="it-IT"/>
        </w:rPr>
        <w:t>è</w:t>
      </w:r>
      <w:r>
        <w:rPr>
          <w:rFonts w:ascii="Book Antiqua"/>
          <w:sz w:val="22"/>
          <w:szCs w:val="22"/>
          <w:rtl w:val="0"/>
          <w:lang w:val="it-IT"/>
        </w:rPr>
        <w:t xml:space="preserve"> stata rilevata la mancata ottemperanza delle prescrizioni impartite dallo stesso atto autorizzativo e, tra queste, la prescrizione di cui al punto 36, che testualmente recita: "[...omissis...] Mantenere in perfetta efficienza le impermeabilizzazioni della pavimentazione, delle canalette e dei pozzetti di raccolta degli sversamenti su tutte le aree interessate al deposito e alla movimentazione dei rifiuti, nonch</w:t>
      </w:r>
      <w:r>
        <w:rPr>
          <w:rFonts w:hAnsi="Book Antiqua" w:hint="default"/>
          <w:sz w:val="22"/>
          <w:szCs w:val="22"/>
          <w:rtl w:val="0"/>
          <w:lang w:val="it-IT"/>
        </w:rPr>
        <w:t xml:space="preserve">é </w:t>
      </w:r>
      <w:r>
        <w:rPr>
          <w:rFonts w:ascii="Book Antiqua"/>
          <w:sz w:val="22"/>
          <w:szCs w:val="22"/>
          <w:rtl w:val="0"/>
          <w:lang w:val="it-IT"/>
        </w:rPr>
        <w:t>il sistema di raccolta delle acque di prima pioggia e l'area di ricezione dei rifiuti; [...omissis...]", essendo risultato all'atto dell'ispezione che nelle aree impiantistiche non erano state mantenute efficienti le pavimentazioni in modo da essere impermeabili ad eventuali rifiuti liquidi sversati accidentalmente nelle aree di movimentazione dei mezzi di trasporto; che le canalette di scolo delle acque di prima pioggia risultavano otturate da rifiuti; che la porzione di stabilimento dedicata al deposito della FOS non era confinata, pertanto con possibile dispersione di polveri e sostanze maleodoranti verso l'esterno, in quanto il varco di accesso pedonale era tenuto intenzionalmente aperto con residui di FOS, vanificando cos</w:t>
      </w:r>
      <w:r>
        <w:rPr>
          <w:rFonts w:hAnsi="Book Antiqua" w:hint="default"/>
          <w:sz w:val="22"/>
          <w:szCs w:val="22"/>
          <w:rtl w:val="0"/>
          <w:lang w:val="it-IT"/>
        </w:rPr>
        <w:t xml:space="preserve">ì </w:t>
      </w:r>
      <w:r>
        <w:rPr>
          <w:rFonts w:ascii="Book Antiqua"/>
          <w:sz w:val="22"/>
          <w:szCs w:val="22"/>
          <w:rtl w:val="0"/>
          <w:lang w:val="it-IT"/>
        </w:rPr>
        <w:t>la funzione delle porte ad impacchettamento rapido verticale. Infine, l'esame degli elaborati planimetrici allegati all'AIA rilasciata dalla regione Lazio per l'impianto "Rocca Cencia" permetteva di identificare lo stoccaggio di rifiuti in aree non autorizzate.</w:t>
      </w:r>
    </w:p>
    <w:p>
      <w:pPr>
        <w:pStyle w:val="Normal"/>
        <w:ind w:left="567" w:right="567" w:firstLine="0"/>
        <w:jc w:val="both"/>
        <w:rPr>
          <w:rFonts w:ascii="Book Antiqua" w:cs="Book Antiqua" w:hAnsi="Book Antiqua" w:eastAsia="Book Antiqua"/>
          <w:sz w:val="22"/>
          <w:szCs w:val="22"/>
        </w:rPr>
      </w:pPr>
      <w:r>
        <w:rPr>
          <w:rFonts w:ascii="Book Antiqua"/>
          <w:sz w:val="22"/>
          <w:szCs w:val="22"/>
          <w:rtl w:val="0"/>
          <w:lang w:val="it-IT"/>
        </w:rPr>
        <w:t>2. per l'impianto "Salario", autorizzato con determinazione dirigenziale 31 marzo 2011, n. B02520, del Dipartimento Programmazione Economica e Sociale della regione Lazio, con la quale era stata rilasciata l'AIA ("Autorizzazione Integrata Ambientale") per l'impianto di trattamento meccanico biologico dei rifiuti urbani indifferenziati, non venivano rispettate le aree di stoccaggio dei rifiuti; i cassoni di rifiuti contenenti metalli ferrosi (CER 19.12.02) gli scarti del processo (CER 19.12.12) e le balle di CDR (CER 19.12.10), non erano infatti ubicati conformemente a quanto previsto dagli atti autorizzativi. Infine, veniva accertata la sostituzione di un portone ad impacchettamento rapido con un tela in pvc di colore verde, tale da non garantire il confinamento delle polveri e delle matrici maleodoranti esternamente all'impianto di trattamento dei rifiuti, non rispettando, anche in tale situazione, quanto previsto negli atti autorizzativi rilasciati dalla regione Lazio.</w:t>
      </w:r>
    </w:p>
    <w:p>
      <w:pPr>
        <w:pStyle w:val="Normal"/>
        <w:ind w:left="567" w:right="567" w:firstLine="0"/>
        <w:jc w:val="both"/>
        <w:rPr>
          <w:rFonts w:ascii="Book Antiqua" w:cs="Book Antiqua" w:hAnsi="Book Antiqua" w:eastAsia="Book Antiqua"/>
          <w:sz w:val="22"/>
          <w:szCs w:val="22"/>
        </w:rPr>
      </w:pPr>
      <w:r>
        <w:rPr>
          <w:rFonts w:ascii="Book Antiqua"/>
          <w:sz w:val="22"/>
          <w:szCs w:val="22"/>
          <w:rtl w:val="0"/>
          <w:lang w:val="it-IT"/>
        </w:rPr>
        <w:t>Infine per quanto concerne entrambi gli impianti, rispetto ai campionamenti eseguiti in autocontrollo AMA S.p.A. effettuava la procedura di campionamento del rifiuto avente codice CER 19.12.10, seguendo quanto riportato nella D.D. 85352/2011 e D.D. 85353/2011 basandosi, pertanto sulle procedure definite dalla metodica di campionamento della Norma UNI 9903-3:2004, laddove le autorizzazioni all'esercizio degli impianti prevedevano, invece. ai punti 44, 46 e 47 l'adeguamento del campionamento alla norma uni CENITS 15539:2006 entro sei mesi dall</w:t>
      </w:r>
      <w:r>
        <w:rPr>
          <w:rFonts w:hAnsi="Book Antiqua" w:hint="default"/>
          <w:sz w:val="22"/>
          <w:szCs w:val="22"/>
          <w:rtl w:val="0"/>
          <w:lang w:val="it-IT"/>
        </w:rPr>
        <w:t>’</w:t>
      </w:r>
      <w:r>
        <w:rPr>
          <w:rFonts w:ascii="Book Antiqua"/>
          <w:sz w:val="22"/>
          <w:szCs w:val="22"/>
          <w:rtl w:val="0"/>
          <w:lang w:val="it-IT"/>
        </w:rPr>
        <w:t>emissione degli alti autorizzativi, mantenendo tuttavia la classificazione del CDR mediante doppia omologa:</w:t>
      </w:r>
    </w:p>
    <w:p>
      <w:pPr>
        <w:pStyle w:val="Normal"/>
        <w:ind w:left="567" w:right="567" w:firstLine="0"/>
        <w:jc w:val="both"/>
        <w:rPr>
          <w:rFonts w:ascii="Book Antiqua" w:cs="Book Antiqua" w:hAnsi="Book Antiqua" w:eastAsia="Book Antiqua"/>
          <w:sz w:val="22"/>
          <w:szCs w:val="22"/>
        </w:rPr>
      </w:pPr>
      <w:r>
        <w:rPr>
          <w:rFonts w:ascii="Book Antiqua"/>
          <w:sz w:val="22"/>
          <w:szCs w:val="22"/>
          <w:rtl w:val="0"/>
          <w:lang w:val="it-IT"/>
        </w:rPr>
        <w:t>"44. Adeguarsi alla normativa in vigore di materia di Combustibile Solido Secondario di cui all</w:t>
      </w:r>
      <w:r>
        <w:rPr>
          <w:rFonts w:hAnsi="Book Antiqua" w:hint="default"/>
          <w:sz w:val="22"/>
          <w:szCs w:val="22"/>
          <w:rtl w:val="0"/>
          <w:lang w:val="it-IT"/>
        </w:rPr>
        <w:t>’</w:t>
      </w:r>
      <w:r>
        <w:rPr>
          <w:rFonts w:ascii="Book Antiqua"/>
          <w:sz w:val="22"/>
          <w:szCs w:val="22"/>
          <w:rtl w:val="0"/>
          <w:lang w:val="it-IT"/>
        </w:rPr>
        <w:t>articolo 183 del decreto legislativo n. 152 del 2006 e s.m.i. entro un anno dalla data del presente atto;</w:t>
      </w:r>
    </w:p>
    <w:p>
      <w:pPr>
        <w:pStyle w:val="Normal"/>
        <w:ind w:left="567" w:right="567" w:firstLine="0"/>
        <w:jc w:val="both"/>
        <w:rPr>
          <w:rFonts w:ascii="Book Antiqua" w:cs="Book Antiqua" w:hAnsi="Book Antiqua" w:eastAsia="Book Antiqua"/>
          <w:sz w:val="22"/>
          <w:szCs w:val="22"/>
        </w:rPr>
      </w:pPr>
      <w:r>
        <w:rPr>
          <w:rFonts w:ascii="Book Antiqua"/>
          <w:sz w:val="22"/>
          <w:szCs w:val="22"/>
          <w:rtl w:val="0"/>
          <w:lang w:val="it-IT"/>
        </w:rPr>
        <w:t>46. Adottare e rendere operativi i nuovi criteri di classificazione nel rispetto della Norma UNI CEN/TS 15359:2006 "Combustibili solidi secondari - Classificazione e specifiche", entro sei mesi dalla data di emanazione del presente atto;</w:t>
      </w:r>
    </w:p>
    <w:p>
      <w:pPr>
        <w:pStyle w:val="Normal"/>
        <w:ind w:left="567" w:right="567" w:firstLine="0"/>
        <w:jc w:val="both"/>
        <w:rPr>
          <w:rFonts w:ascii="Book Antiqua" w:cs="Book Antiqua" w:hAnsi="Book Antiqua" w:eastAsia="Book Antiqua"/>
          <w:sz w:val="22"/>
          <w:szCs w:val="22"/>
        </w:rPr>
      </w:pPr>
      <w:r>
        <w:rPr>
          <w:rFonts w:ascii="Book Antiqua"/>
          <w:sz w:val="22"/>
          <w:szCs w:val="22"/>
          <w:rtl w:val="0"/>
          <w:lang w:val="it-IT"/>
        </w:rPr>
        <w:t>47. Procedere, a partire da sei mesi dalla data del presente atto, alla certificazione del prodotto risultante dal processo mediante la doppia omologa (COR e CSS) nel rispetto delle relative norme di riferimento".</w:t>
      </w:r>
    </w:p>
    <w:p>
      <w:pPr>
        <w:pStyle w:val="Normal"/>
        <w:ind w:left="567" w:right="567" w:firstLine="0"/>
        <w:jc w:val="both"/>
        <w:rPr>
          <w:rFonts w:ascii="Book Antiqua" w:cs="Book Antiqua" w:hAnsi="Book Antiqua" w:eastAsia="Book Antiqua"/>
          <w:sz w:val="22"/>
          <w:szCs w:val="22"/>
        </w:rPr>
      </w:pPr>
      <w:r>
        <w:rPr>
          <w:rFonts w:ascii="Book Antiqua"/>
          <w:sz w:val="22"/>
          <w:szCs w:val="22"/>
          <w:rtl w:val="0"/>
          <w:lang w:val="it-IT"/>
        </w:rPr>
        <w:t>Reato commesso in Roma sino al 12 gennaio 2016.</w:t>
      </w:r>
    </w:p>
    <w:p>
      <w:pPr>
        <w:pStyle w:val="Normal"/>
        <w:ind w:left="567" w:right="567" w:firstLine="0"/>
        <w:jc w:val="both"/>
        <w:rPr>
          <w:rFonts w:ascii="Book Antiqua" w:cs="Book Antiqua" w:hAnsi="Book Antiqua" w:eastAsia="Book Antiqua"/>
          <w:sz w:val="22"/>
          <w:szCs w:val="22"/>
        </w:rPr>
      </w:pPr>
    </w:p>
    <w:p>
      <w:pPr>
        <w:pStyle w:val="Normal"/>
        <w:ind w:left="567" w:right="567" w:firstLine="0"/>
        <w:jc w:val="both"/>
        <w:rPr>
          <w:rFonts w:ascii="Book Antiqua" w:cs="Book Antiqua" w:hAnsi="Book Antiqua" w:eastAsia="Book Antiqua"/>
        </w:rPr>
      </w:pPr>
      <w:r>
        <w:rPr>
          <w:rFonts w:ascii="Book Antiqua"/>
          <w:rtl w:val="0"/>
          <w:lang w:val="it-IT"/>
        </w:rPr>
        <w:t>Si tratta, al di l</w:t>
      </w:r>
      <w:r>
        <w:rPr>
          <w:rFonts w:hAnsi="Book Antiqua" w:hint="default"/>
          <w:rtl w:val="0"/>
          <w:lang w:val="it-IT"/>
        </w:rPr>
        <w:t xml:space="preserve">à </w:t>
      </w:r>
      <w:r>
        <w:rPr>
          <w:rFonts w:ascii="Book Antiqua"/>
          <w:rtl w:val="0"/>
          <w:lang w:val="it-IT"/>
        </w:rPr>
        <w:t>delle questioni e osservazioni che potranno essere proposte a fini difensivi, e dell</w:t>
      </w:r>
      <w:r>
        <w:rPr>
          <w:rFonts w:hAnsi="Book Antiqua" w:hint="default"/>
          <w:rtl w:val="0"/>
          <w:lang w:val="it-IT"/>
        </w:rPr>
        <w:t>’</w:t>
      </w:r>
      <w:r>
        <w:rPr>
          <w:rFonts w:ascii="Book Antiqua"/>
          <w:rtl w:val="0"/>
          <w:lang w:val="it-IT"/>
        </w:rPr>
        <w:t>eventuale accertamento dei reati contestati</w:t>
      </w:r>
      <w:r>
        <w:rPr>
          <w:rFonts w:ascii="Book Antiqua" w:cs="Book Antiqua" w:hAnsi="Book Antiqua" w:eastAsia="Book Antiqua"/>
          <w:vertAlign w:val="superscript"/>
          <w:rtl w:val="0"/>
        </w:rPr>
        <w:footnoteReference w:id="46"/>
      </w:r>
      <w:r>
        <w:rPr>
          <w:rFonts w:ascii="Book Antiqua"/>
          <w:rtl w:val="0"/>
          <w:lang w:val="it-IT"/>
        </w:rPr>
        <w:t>, di una analitica descrizione di una situazione di fatto che per altra via denuncia</w:t>
      </w:r>
      <w:r>
        <w:rPr>
          <w:rFonts w:ascii="Book Antiqua"/>
          <w:shd w:val="clear" w:color="auto" w:fill="ffffff"/>
          <w:rtl w:val="0"/>
          <w:lang w:val="it-IT"/>
        </w:rPr>
        <w:t xml:space="preserve"> la debolezza strutturale dell</w:t>
      </w:r>
      <w:r>
        <w:rPr>
          <w:rFonts w:hAnsi="Book Antiqua" w:hint="default"/>
          <w:shd w:val="clear" w:color="auto" w:fill="ffffff"/>
          <w:rtl w:val="0"/>
          <w:lang w:val="it-IT"/>
        </w:rPr>
        <w:t>’</w:t>
      </w:r>
      <w:r>
        <w:rPr>
          <w:rFonts w:ascii="Book Antiqua"/>
          <w:shd w:val="clear" w:color="auto" w:fill="ffffff"/>
          <w:rtl w:val="0"/>
          <w:lang w:val="it-IT"/>
        </w:rPr>
        <w:t>intero sistema impiantistico sul quale si fonda la gestione dei rifiuti urbani di Roma Capitale.</w:t>
      </w:r>
    </w:p>
    <w:p>
      <w:pPr>
        <w:pStyle w:val="Normal"/>
        <w:ind w:left="567" w:right="567" w:firstLine="0"/>
        <w:jc w:val="both"/>
        <w:rPr>
          <w:rFonts w:ascii="Book Antiqua" w:cs="Book Antiqua" w:hAnsi="Book Antiqua" w:eastAsia="Book Antiqua"/>
          <w:sz w:val="22"/>
          <w:szCs w:val="22"/>
        </w:rPr>
      </w:pPr>
    </w:p>
    <w:p>
      <w:pPr>
        <w:pStyle w:val="Normal"/>
        <w:ind w:left="567" w:right="567" w:firstLine="0"/>
        <w:jc w:val="both"/>
        <w:rPr>
          <w:rFonts w:ascii="Book Antiqua" w:cs="Book Antiqua" w:hAnsi="Book Antiqua" w:eastAsia="Book Antiqua"/>
          <w:i w:val="1"/>
          <w:iCs w:val="1"/>
        </w:rPr>
      </w:pPr>
      <w:r>
        <w:rPr>
          <w:rFonts w:ascii="Book Antiqua"/>
          <w:i w:val="1"/>
          <w:iCs w:val="1"/>
          <w:rtl w:val="0"/>
          <w:lang w:val="it-IT"/>
        </w:rPr>
        <w:t>Commissione parlamentare d</w:t>
      </w:r>
      <w:r>
        <w:rPr>
          <w:rFonts w:hAnsi="Book Antiqua" w:hint="default"/>
          <w:i w:val="1"/>
          <w:iCs w:val="1"/>
          <w:rtl w:val="0"/>
          <w:lang w:val="it-IT"/>
        </w:rPr>
        <w:t>’</w:t>
      </w:r>
      <w:r>
        <w:rPr>
          <w:rFonts w:ascii="Book Antiqua"/>
          <w:i w:val="1"/>
          <w:iCs w:val="1"/>
          <w:rtl w:val="0"/>
          <w:lang w:val="it-IT"/>
        </w:rPr>
        <w:t xml:space="preserve">inchiesta </w:t>
      </w:r>
    </w:p>
    <w:p>
      <w:pPr>
        <w:pStyle w:val="Normal"/>
        <w:ind w:left="567" w:right="567" w:firstLine="0"/>
        <w:jc w:val="both"/>
        <w:rPr>
          <w:rFonts w:ascii="Book Antiqua" w:cs="Book Antiqua" w:hAnsi="Book Antiqua" w:eastAsia="Book Antiqua"/>
          <w:shd w:val="clear" w:color="auto" w:fill="ffffff"/>
        </w:rPr>
      </w:pPr>
    </w:p>
    <w:p>
      <w:pPr>
        <w:pStyle w:val="Normal"/>
        <w:ind w:left="567" w:right="567" w:firstLine="0"/>
        <w:jc w:val="both"/>
        <w:rPr>
          <w:rFonts w:ascii="Book Antiqua" w:cs="Book Antiqua" w:hAnsi="Book Antiqua" w:eastAsia="Book Antiqua"/>
          <w:shd w:val="clear" w:color="auto" w:fill="ffffff"/>
        </w:rPr>
      </w:pPr>
      <w:r>
        <w:rPr>
          <w:rFonts w:ascii="Book Antiqua"/>
          <w:shd w:val="clear" w:color="auto" w:fill="ffffff"/>
          <w:rtl w:val="0"/>
          <w:lang w:val="it-IT"/>
        </w:rPr>
        <w:t xml:space="preserve">Le descritte inefficienze, prima degli accertamenti giudiziari di cui si </w:t>
      </w:r>
      <w:r>
        <w:rPr>
          <w:rFonts w:hAnsi="Book Antiqua" w:hint="default"/>
          <w:shd w:val="clear" w:color="auto" w:fill="ffffff"/>
          <w:rtl w:val="0"/>
          <w:lang w:val="it-IT"/>
        </w:rPr>
        <w:t xml:space="preserve">è </w:t>
      </w:r>
      <w:r>
        <w:rPr>
          <w:rFonts w:ascii="Book Antiqua"/>
          <w:shd w:val="clear" w:color="auto" w:fill="ffffff"/>
          <w:rtl w:val="0"/>
          <w:lang w:val="it-IT"/>
        </w:rPr>
        <w:t>dato conto e indipendentemente da essi, hanno fatto s</w:t>
      </w:r>
      <w:r>
        <w:rPr>
          <w:rFonts w:hAnsi="Book Antiqua" w:hint="default"/>
          <w:shd w:val="clear" w:color="auto" w:fill="ffffff"/>
          <w:rtl w:val="0"/>
          <w:lang w:val="it-IT"/>
        </w:rPr>
        <w:t xml:space="preserve">ì </w:t>
      </w:r>
      <w:r>
        <w:rPr>
          <w:rFonts w:ascii="Book Antiqua"/>
          <w:shd w:val="clear" w:color="auto" w:fill="ffffff"/>
          <w:rtl w:val="0"/>
          <w:lang w:val="it-IT"/>
        </w:rPr>
        <w:t>che la Commissione, nel corso della corrente legislatura, in due occasioni, abbia ritenuto necessario procedere all</w:t>
      </w:r>
      <w:r>
        <w:rPr>
          <w:rFonts w:hAnsi="Book Antiqua" w:hint="default"/>
          <w:shd w:val="clear" w:color="auto" w:fill="ffffff"/>
          <w:rtl w:val="0"/>
          <w:lang w:val="it-IT"/>
        </w:rPr>
        <w:t>’</w:t>
      </w:r>
      <w:r>
        <w:rPr>
          <w:rFonts w:ascii="Book Antiqua"/>
          <w:shd w:val="clear" w:color="auto" w:fill="ffffff"/>
          <w:rtl w:val="0"/>
          <w:lang w:val="it-IT"/>
        </w:rPr>
        <w:t>ispezione dei quattro impianti di trattamento meccanico biologico di Roma</w:t>
      </w:r>
      <w:r>
        <w:rPr>
          <w:rFonts w:ascii="Book Antiqua"/>
          <w:rtl w:val="0"/>
          <w:lang w:val="it-IT"/>
        </w:rPr>
        <w:t>: l</w:t>
      </w:r>
      <w:r>
        <w:rPr>
          <w:rFonts w:hAnsi="Book Antiqua" w:hint="default"/>
          <w:rtl w:val="0"/>
          <w:lang w:val="it-IT"/>
        </w:rPr>
        <w:t>’</w:t>
      </w:r>
      <w:r>
        <w:rPr>
          <w:rFonts w:ascii="Book Antiqua"/>
          <w:rtl w:val="0"/>
          <w:lang w:val="it-IT"/>
        </w:rPr>
        <w:t>esecuzione dell</w:t>
      </w:r>
      <w:r>
        <w:rPr>
          <w:rFonts w:hAnsi="Book Antiqua" w:hint="default"/>
          <w:rtl w:val="0"/>
          <w:lang w:val="it-IT"/>
        </w:rPr>
        <w:t>’</w:t>
      </w:r>
      <w:r>
        <w:rPr>
          <w:rFonts w:ascii="Book Antiqua"/>
          <w:rtl w:val="0"/>
          <w:lang w:val="it-IT"/>
        </w:rPr>
        <w:t>attivit</w:t>
      </w:r>
      <w:r>
        <w:rPr>
          <w:rFonts w:hAnsi="Book Antiqua" w:hint="default"/>
          <w:rtl w:val="0"/>
          <w:lang w:val="it-IT"/>
        </w:rPr>
        <w:t xml:space="preserve">à </w:t>
      </w:r>
      <w:r>
        <w:rPr>
          <w:rFonts w:ascii="Book Antiqua"/>
          <w:rtl w:val="0"/>
          <w:lang w:val="it-IT"/>
        </w:rPr>
        <w:t xml:space="preserve">ispettiva </w:t>
      </w:r>
      <w:r>
        <w:rPr>
          <w:rFonts w:hAnsi="Book Antiqua" w:hint="default"/>
          <w:rtl w:val="0"/>
          <w:lang w:val="it-IT"/>
        </w:rPr>
        <w:t xml:space="preserve">è </w:t>
      </w:r>
      <w:r>
        <w:rPr>
          <w:rFonts w:ascii="Book Antiqua"/>
          <w:rtl w:val="0"/>
          <w:lang w:val="it-IT"/>
        </w:rPr>
        <w:t xml:space="preserve">stata delegata al Nucleo Operativo Ecologico dei carabinieri di Roma e agli Ufficiali di polizia giudiziaria </w:t>
      </w:r>
      <w:r>
        <w:rPr>
          <w:rFonts w:ascii="Book Antiqua"/>
          <w:shd w:val="clear" w:color="auto" w:fill="ffffff"/>
          <w:rtl w:val="0"/>
          <w:lang w:val="it-IT"/>
        </w:rPr>
        <w:t xml:space="preserve">in servizio presso la Commissione stessa.  </w:t>
      </w:r>
    </w:p>
    <w:p>
      <w:pPr>
        <w:pStyle w:val="Normal"/>
        <w:ind w:left="567" w:right="567" w:firstLine="0"/>
        <w:jc w:val="both"/>
        <w:rPr>
          <w:rFonts w:ascii="Book Antiqua" w:cs="Book Antiqua" w:hAnsi="Book Antiqua" w:eastAsia="Book Antiqua"/>
          <w:shd w:val="clear" w:color="auto" w:fill="ffffff"/>
        </w:rPr>
      </w:pPr>
      <w:r>
        <w:rPr>
          <w:rFonts w:ascii="Book Antiqua"/>
          <w:shd w:val="clear" w:color="auto" w:fill="ffffff"/>
          <w:rtl w:val="0"/>
          <w:lang w:val="it-IT"/>
        </w:rPr>
        <w:t>Le attivit</w:t>
      </w:r>
      <w:r>
        <w:rPr>
          <w:rFonts w:hAnsi="Book Antiqua" w:hint="default"/>
          <w:shd w:val="clear" w:color="auto" w:fill="ffffff"/>
          <w:rtl w:val="0"/>
          <w:lang w:val="it-IT"/>
        </w:rPr>
        <w:t xml:space="preserve">à </w:t>
      </w:r>
      <w:r>
        <w:rPr>
          <w:rFonts w:ascii="Book Antiqua"/>
          <w:shd w:val="clear" w:color="auto" w:fill="ffffff"/>
          <w:rtl w:val="0"/>
          <w:lang w:val="it-IT"/>
        </w:rPr>
        <w:t>ispettive sono state eseguite nel maggio del 2015</w:t>
      </w:r>
      <w:r>
        <w:rPr>
          <w:rFonts w:ascii="Book Antiqua" w:cs="Book Antiqua" w:hAnsi="Book Antiqua" w:eastAsia="Book Antiqua"/>
          <w:shd w:val="clear" w:color="auto" w:fill="ffffff"/>
          <w:vertAlign w:val="superscript"/>
          <w:rtl w:val="0"/>
        </w:rPr>
        <w:footnoteReference w:id="47"/>
      </w:r>
      <w:r>
        <w:rPr>
          <w:rFonts w:ascii="Book Antiqua"/>
          <w:shd w:val="clear" w:color="auto" w:fill="ffffff"/>
          <w:rtl w:val="0"/>
          <w:lang w:val="it-IT"/>
        </w:rPr>
        <w:t xml:space="preserve"> e nel maggio 2017</w:t>
      </w:r>
      <w:r>
        <w:rPr>
          <w:rFonts w:ascii="Book Antiqua" w:cs="Book Antiqua" w:hAnsi="Book Antiqua" w:eastAsia="Book Antiqua"/>
          <w:shd w:val="clear" w:color="auto" w:fill="ffffff"/>
          <w:vertAlign w:val="superscript"/>
          <w:rtl w:val="0"/>
        </w:rPr>
        <w:footnoteReference w:id="48"/>
      </w:r>
      <w:r>
        <w:rPr>
          <w:rFonts w:ascii="Book Antiqua"/>
          <w:shd w:val="clear" w:color="auto" w:fill="ffffff"/>
          <w:rtl w:val="0"/>
          <w:lang w:val="it-IT"/>
        </w:rPr>
        <w:t xml:space="preserve"> negli impianti TMB siti in Roma:</w:t>
      </w:r>
    </w:p>
    <w:p>
      <w:pPr>
        <w:pStyle w:val="Normal"/>
        <w:ind w:left="567" w:right="567" w:firstLine="0"/>
        <w:jc w:val="both"/>
        <w:rPr>
          <w:rFonts w:ascii="Book Antiqua" w:cs="Book Antiqua" w:hAnsi="Book Antiqua" w:eastAsia="Book Antiqua"/>
          <w:shd w:val="clear" w:color="auto" w:fill="ffffff"/>
        </w:rPr>
      </w:pPr>
      <w:r>
        <w:rPr>
          <w:rFonts w:ascii="Book Antiqua"/>
          <w:shd w:val="clear" w:color="auto" w:fill="ffffff"/>
          <w:rtl w:val="0"/>
          <w:lang w:val="it-IT"/>
        </w:rPr>
        <w:t xml:space="preserve">via Salaria 981, gestito da AMA S.p.A.; </w:t>
      </w:r>
    </w:p>
    <w:p>
      <w:pPr>
        <w:pStyle w:val="Normal"/>
        <w:ind w:left="567" w:right="567" w:firstLine="0"/>
        <w:jc w:val="both"/>
        <w:rPr>
          <w:rFonts w:ascii="Book Antiqua" w:cs="Book Antiqua" w:hAnsi="Book Antiqua" w:eastAsia="Book Antiqua"/>
          <w:shd w:val="clear" w:color="auto" w:fill="ffffff"/>
        </w:rPr>
      </w:pPr>
      <w:r>
        <w:rPr>
          <w:rFonts w:ascii="Book Antiqua"/>
          <w:shd w:val="clear" w:color="auto" w:fill="ffffff"/>
          <w:rtl w:val="0"/>
          <w:lang w:val="it-IT"/>
        </w:rPr>
        <w:t xml:space="preserve">via di Rocca Cencia 301, gestito da AMA S.p.A.; </w:t>
      </w:r>
    </w:p>
    <w:p>
      <w:pPr>
        <w:pStyle w:val="Normal"/>
        <w:ind w:left="567" w:right="567" w:firstLine="0"/>
        <w:jc w:val="both"/>
        <w:rPr>
          <w:rFonts w:ascii="Book Antiqua" w:cs="Book Antiqua" w:hAnsi="Book Antiqua" w:eastAsia="Book Antiqua"/>
          <w:shd w:val="clear" w:color="auto" w:fill="ffffff"/>
        </w:rPr>
      </w:pPr>
      <w:r>
        <w:rPr>
          <w:rFonts w:ascii="Book Antiqua"/>
          <w:shd w:val="clear" w:color="auto" w:fill="ffffff"/>
          <w:rtl w:val="0"/>
          <w:lang w:val="it-IT"/>
        </w:rPr>
        <w:t>Malagrotta 1 e 2, via di Malagrotta nr. 257, gestiti dalla E. Giovi S.r.l.</w:t>
      </w:r>
      <w:r>
        <w:rPr>
          <w:rFonts w:ascii="Book Antiqua" w:cs="Book Antiqua" w:hAnsi="Book Antiqua" w:eastAsia="Book Antiqua"/>
          <w:shd w:val="clear" w:color="auto" w:fill="ffffff"/>
          <w:vertAlign w:val="superscript"/>
          <w:rtl w:val="0"/>
        </w:rPr>
        <w:footnoteReference w:id="49"/>
      </w:r>
      <w:r>
        <w:rPr>
          <w:rFonts w:ascii="Book Antiqua"/>
          <w:shd w:val="clear" w:color="auto" w:fill="ffffff"/>
          <w:rtl w:val="0"/>
          <w:lang w:val="it-IT"/>
        </w:rPr>
        <w:t>.</w:t>
      </w:r>
    </w:p>
    <w:p>
      <w:pPr>
        <w:pStyle w:val="Normal"/>
        <w:tabs>
          <w:tab w:val="left" w:pos="851"/>
        </w:tabs>
        <w:ind w:left="567" w:right="567" w:firstLine="0"/>
        <w:jc w:val="both"/>
        <w:rPr>
          <w:rFonts w:ascii="Book Antiqua" w:cs="Book Antiqua" w:hAnsi="Book Antiqua" w:eastAsia="Book Antiqua"/>
          <w:shd w:val="clear" w:color="auto" w:fill="ffffff"/>
        </w:rPr>
      </w:pPr>
      <w:r>
        <w:rPr>
          <w:rFonts w:ascii="Book Antiqua"/>
          <w:shd w:val="clear" w:color="auto" w:fill="ffffff"/>
          <w:rtl w:val="0"/>
          <w:lang w:val="it-IT"/>
        </w:rPr>
        <w:t>Con riferimento alla E. Giovi S.r.l., gerente gli impianti di Malagrotta, vale la pena ricordare in questa sede che l</w:t>
      </w:r>
      <w:r>
        <w:rPr>
          <w:rFonts w:hAnsi="Book Antiqua" w:hint="default"/>
          <w:shd w:val="clear" w:color="auto" w:fill="ffffff"/>
          <w:rtl w:val="0"/>
          <w:lang w:val="it-IT"/>
        </w:rPr>
        <w:t>’</w:t>
      </w:r>
      <w:r>
        <w:rPr>
          <w:rFonts w:ascii="Book Antiqua"/>
          <w:shd w:val="clear" w:color="auto" w:fill="ffffff"/>
          <w:rtl w:val="0"/>
          <w:lang w:val="it-IT"/>
        </w:rPr>
        <w:t>azienda in parola, riconducibile all</w:t>
      </w:r>
      <w:r>
        <w:rPr>
          <w:rFonts w:hAnsi="Book Antiqua" w:hint="default"/>
          <w:shd w:val="clear" w:color="auto" w:fill="ffffff"/>
          <w:rtl w:val="0"/>
          <w:lang w:val="it-IT"/>
        </w:rPr>
        <w:t>’</w:t>
      </w:r>
      <w:r>
        <w:rPr>
          <w:rFonts w:ascii="Book Antiqua"/>
          <w:shd w:val="clear" w:color="auto" w:fill="ffffff"/>
          <w:rtl w:val="0"/>
          <w:lang w:val="it-IT"/>
        </w:rPr>
        <w:t>imprenditore del settore Manlio Cerroni</w:t>
      </w:r>
      <w:r>
        <w:rPr>
          <w:rFonts w:ascii="Book Antiqua" w:cs="Book Antiqua" w:hAnsi="Book Antiqua" w:eastAsia="Book Antiqua"/>
          <w:shd w:val="clear" w:color="auto" w:fill="ffffff"/>
          <w:vertAlign w:val="superscript"/>
          <w:rtl w:val="0"/>
        </w:rPr>
        <w:footnoteReference w:id="50"/>
      </w:r>
      <w:r>
        <w:rPr>
          <w:rFonts w:ascii="Book Antiqua"/>
          <w:shd w:val="clear" w:color="auto" w:fill="ffffff"/>
          <w:rtl w:val="0"/>
          <w:lang w:val="it-IT"/>
        </w:rPr>
        <w:t>, in ragione del coinvolgimento dello stesso nel procedimento penale n. 7449/2008 RGNR incardinato presso la procura della Repubblica di Roma per l</w:t>
      </w:r>
      <w:r>
        <w:rPr>
          <w:rFonts w:hAnsi="Book Antiqua" w:hint="default"/>
          <w:shd w:val="clear" w:color="auto" w:fill="ffffff"/>
          <w:rtl w:val="0"/>
          <w:lang w:val="it-IT"/>
        </w:rPr>
        <w:t>’</w:t>
      </w:r>
      <w:r>
        <w:rPr>
          <w:rFonts w:ascii="Book Antiqua"/>
          <w:shd w:val="clear" w:color="auto" w:fill="ffffff"/>
          <w:rtl w:val="0"/>
          <w:lang w:val="it-IT"/>
        </w:rPr>
        <w:t>ipotizzata costituzione di un</w:t>
      </w:r>
      <w:r>
        <w:rPr>
          <w:rFonts w:hAnsi="Book Antiqua" w:hint="default"/>
          <w:shd w:val="clear" w:color="auto" w:fill="ffffff"/>
          <w:rtl w:val="0"/>
          <w:lang w:val="it-IT"/>
        </w:rPr>
        <w:t>’</w:t>
      </w:r>
      <w:r>
        <w:rPr>
          <w:rFonts w:ascii="Book Antiqua"/>
          <w:shd w:val="clear" w:color="auto" w:fill="ffffff"/>
          <w:rtl w:val="0"/>
          <w:lang w:val="it-IT"/>
        </w:rPr>
        <w:t xml:space="preserve">associazione per delinquere finalizzata al traffico illecito di rifiuti (articolo 260 decreto legislativo n. 152 del 2006), </w:t>
      </w:r>
      <w:r>
        <w:rPr>
          <w:rFonts w:hAnsi="Book Antiqua" w:hint="default"/>
          <w:shd w:val="clear" w:color="auto" w:fill="ffffff"/>
          <w:rtl w:val="0"/>
          <w:lang w:val="it-IT"/>
        </w:rPr>
        <w:t xml:space="preserve">è </w:t>
      </w:r>
      <w:r>
        <w:rPr>
          <w:rFonts w:ascii="Book Antiqua"/>
          <w:shd w:val="clear" w:color="auto" w:fill="ffffff"/>
          <w:rtl w:val="0"/>
          <w:lang w:val="it-IT"/>
        </w:rPr>
        <w:t>stata oggetto, unitamente al consorzio Co.La.Ri., alla P. Giovi S.r.l. e alla Officine Malagrotta S.r.l. di un</w:t>
      </w:r>
      <w:r>
        <w:rPr>
          <w:rFonts w:hAnsi="Book Antiqua" w:hint="default"/>
          <w:shd w:val="clear" w:color="auto" w:fill="ffffff"/>
          <w:rtl w:val="0"/>
          <w:lang w:val="it-IT"/>
        </w:rPr>
        <w:t>’</w:t>
      </w:r>
      <w:r>
        <w:rPr>
          <w:rFonts w:ascii="Book Antiqua"/>
          <w:shd w:val="clear" w:color="auto" w:fill="ffffff"/>
          <w:rtl w:val="0"/>
          <w:lang w:val="it-IT"/>
        </w:rPr>
        <w:t>informativa interdittiva antimafia emessa dalla prefettura di Roma in data 24 gennaio 2014.</w:t>
      </w:r>
    </w:p>
    <w:p>
      <w:pPr>
        <w:pStyle w:val="Normal"/>
        <w:tabs>
          <w:tab w:val="left" w:pos="851"/>
        </w:tabs>
        <w:ind w:left="567" w:right="567" w:firstLine="0"/>
        <w:jc w:val="both"/>
        <w:rPr>
          <w:rFonts w:ascii="Book Antiqua" w:cs="Book Antiqua" w:hAnsi="Book Antiqua" w:eastAsia="Book Antiqua"/>
          <w:shd w:val="clear" w:color="auto" w:fill="ffffff"/>
        </w:rPr>
      </w:pPr>
      <w:r>
        <w:rPr>
          <w:rFonts w:ascii="Book Antiqua"/>
          <w:shd w:val="clear" w:color="auto" w:fill="ffffff"/>
          <w:rtl w:val="0"/>
          <w:lang w:val="it-IT"/>
        </w:rPr>
        <w:t>In conseguenza di siffatto provvedimento, dopo le pronunce del TAR Lazio</w:t>
      </w:r>
      <w:r>
        <w:rPr>
          <w:shd w:val="clear" w:color="auto" w:fill="ffffff"/>
          <w:vertAlign w:val="superscript"/>
          <w:rtl w:val="0"/>
        </w:rPr>
        <w:footnoteReference w:id="51"/>
      </w:r>
      <w:r>
        <w:rPr>
          <w:rFonts w:ascii="Book Antiqua"/>
          <w:shd w:val="clear" w:color="auto" w:fill="ffffff"/>
          <w:rtl w:val="0"/>
          <w:lang w:val="it-IT"/>
        </w:rPr>
        <w:t xml:space="preserve"> e del Consiglio di Stato</w:t>
      </w:r>
      <w:r>
        <w:rPr>
          <w:shd w:val="clear" w:color="auto" w:fill="ffffff"/>
          <w:vertAlign w:val="superscript"/>
          <w:rtl w:val="0"/>
        </w:rPr>
        <w:footnoteReference w:id="52"/>
      </w:r>
      <w:r>
        <w:rPr>
          <w:rFonts w:ascii="Book Antiqua"/>
          <w:shd w:val="clear" w:color="auto" w:fill="ffffff"/>
          <w:rtl w:val="0"/>
          <w:lang w:val="it-IT"/>
        </w:rPr>
        <w:t xml:space="preserve"> che lo hanno reso definitivo, </w:t>
      </w:r>
      <w:r>
        <w:rPr>
          <w:rFonts w:ascii="Book Antiqua"/>
          <w:color w:val="231f20"/>
          <w:u w:color="231f20"/>
          <w:shd w:val="clear" w:color="auto" w:fill="ffffff"/>
          <w:rtl w:val="0"/>
          <w:lang w:val="it-IT"/>
        </w:rPr>
        <w:t>il prefetto di Roma, con decreto n. 129564 dell</w:t>
      </w:r>
      <w:r>
        <w:rPr>
          <w:rFonts w:hAnsi="Book Antiqua" w:hint="default"/>
          <w:color w:val="231f20"/>
          <w:u w:color="231f20"/>
          <w:shd w:val="clear" w:color="auto" w:fill="ffffff"/>
          <w:rtl w:val="0"/>
          <w:lang w:val="it-IT"/>
        </w:rPr>
        <w:t>’</w:t>
      </w:r>
      <w:r>
        <w:rPr>
          <w:rFonts w:ascii="Book Antiqua"/>
          <w:color w:val="231f20"/>
          <w:u w:color="231f20"/>
          <w:shd w:val="clear" w:color="auto" w:fill="ffffff"/>
          <w:rtl w:val="0"/>
          <w:lang w:val="it-IT"/>
        </w:rPr>
        <w:t>8 aprile 2017, ha nominato, ai sensi dell</w:t>
      </w:r>
      <w:r>
        <w:rPr>
          <w:rFonts w:hAnsi="Book Antiqua" w:hint="default"/>
          <w:color w:val="231f20"/>
          <w:u w:color="231f20"/>
          <w:shd w:val="clear" w:color="auto" w:fill="ffffff"/>
          <w:rtl w:val="0"/>
          <w:lang w:val="it-IT"/>
        </w:rPr>
        <w:t>’</w:t>
      </w:r>
      <w:r>
        <w:rPr>
          <w:rFonts w:ascii="Book Antiqua"/>
          <w:shd w:val="clear" w:color="auto" w:fill="ffffff"/>
          <w:rtl w:val="0"/>
          <w:lang w:val="it-IT"/>
        </w:rPr>
        <w:t>articolo 32 decreto legge 24 giugno 2014 nr. 90,</w:t>
      </w:r>
      <w:r>
        <w:rPr>
          <w:rFonts w:ascii="Book Antiqua"/>
          <w:color w:val="231f20"/>
          <w:u w:color="231f20"/>
          <w:shd w:val="clear" w:color="auto" w:fill="ffffff"/>
          <w:rtl w:val="0"/>
          <w:lang w:val="it-IT"/>
        </w:rPr>
        <w:t xml:space="preserve"> </w:t>
      </w:r>
      <w:r>
        <w:rPr>
          <w:rFonts w:ascii="Book Antiqua"/>
          <w:shd w:val="clear" w:color="auto" w:fill="ffffff"/>
          <w:rtl w:val="0"/>
          <w:lang w:val="it-IT"/>
        </w:rPr>
        <w:t>un amministratore straordinario della E. Giovi S.r.l., in carica dal 10 aprile 2017</w:t>
      </w:r>
      <w:r>
        <w:rPr>
          <w:shd w:val="clear" w:color="auto" w:fill="ffffff"/>
          <w:vertAlign w:val="superscript"/>
          <w:rtl w:val="0"/>
        </w:rPr>
        <w:footnoteReference w:id="53"/>
      </w:r>
      <w:r>
        <w:rPr>
          <w:rFonts w:ascii="Book Antiqua"/>
          <w:shd w:val="clear" w:color="auto" w:fill="ffffff"/>
          <w:rtl w:val="0"/>
          <w:lang w:val="it-IT"/>
        </w:rPr>
        <w:t>.</w:t>
      </w:r>
    </w:p>
    <w:p>
      <w:pPr>
        <w:pStyle w:val="Normal"/>
        <w:ind w:left="567" w:right="567" w:firstLine="0"/>
        <w:jc w:val="both"/>
        <w:rPr>
          <w:rFonts w:ascii="Book Antiqua" w:cs="Book Antiqua" w:hAnsi="Book Antiqua" w:eastAsia="Book Antiqua"/>
          <w:shd w:val="clear" w:color="auto" w:fill="ffffff"/>
        </w:rPr>
      </w:pPr>
      <w:r>
        <w:rPr>
          <w:rFonts w:ascii="Book Antiqua"/>
          <w:shd w:val="clear" w:color="auto" w:fill="ffffff"/>
          <w:rtl w:val="0"/>
          <w:lang w:val="it-IT"/>
        </w:rPr>
        <w:t>Le ispezioni hanno avuto come finalit</w:t>
      </w:r>
      <w:r>
        <w:rPr>
          <w:rFonts w:hAnsi="Book Antiqua" w:hint="default"/>
          <w:shd w:val="clear" w:color="auto" w:fill="ffffff"/>
          <w:rtl w:val="0"/>
          <w:lang w:val="it-IT"/>
        </w:rPr>
        <w:t xml:space="preserve">à </w:t>
      </w:r>
      <w:r>
        <w:rPr>
          <w:rFonts w:ascii="Book Antiqua"/>
          <w:shd w:val="clear" w:color="auto" w:fill="ffffff"/>
          <w:rtl w:val="0"/>
          <w:lang w:val="it-IT"/>
        </w:rPr>
        <w:t>principale quella di valutare in maniera diretta l</w:t>
      </w:r>
      <w:r>
        <w:rPr>
          <w:rFonts w:hAnsi="Book Antiqua" w:hint="default"/>
          <w:shd w:val="clear" w:color="auto" w:fill="ffffff"/>
          <w:rtl w:val="0"/>
          <w:lang w:val="it-IT"/>
        </w:rPr>
        <w:t>’</w:t>
      </w:r>
      <w:r>
        <w:rPr>
          <w:rFonts w:ascii="Book Antiqua"/>
          <w:shd w:val="clear" w:color="auto" w:fill="ffffff"/>
          <w:rtl w:val="0"/>
          <w:lang w:val="it-IT"/>
        </w:rPr>
        <w:t>efficacia dei sistemi di trattamento in uso negli impianti, la capacit</w:t>
      </w:r>
      <w:r>
        <w:rPr>
          <w:rFonts w:hAnsi="Book Antiqua" w:hint="default"/>
          <w:shd w:val="clear" w:color="auto" w:fill="ffffff"/>
          <w:rtl w:val="0"/>
          <w:lang w:val="it-IT"/>
        </w:rPr>
        <w:t xml:space="preserve">à </w:t>
      </w:r>
      <w:r>
        <w:rPr>
          <w:rFonts w:ascii="Book Antiqua"/>
          <w:shd w:val="clear" w:color="auto" w:fill="ffffff"/>
          <w:rtl w:val="0"/>
          <w:lang w:val="it-IT"/>
        </w:rPr>
        <w:t>di trattamento degli stessi, nonch</w:t>
      </w:r>
      <w:r>
        <w:rPr>
          <w:rFonts w:hAnsi="Book Antiqua" w:hint="default"/>
          <w:shd w:val="clear" w:color="auto" w:fill="ffffff"/>
          <w:rtl w:val="0"/>
          <w:lang w:val="it-IT"/>
        </w:rPr>
        <w:t xml:space="preserve">é </w:t>
      </w:r>
      <w:r>
        <w:rPr>
          <w:rFonts w:ascii="Book Antiqua"/>
          <w:shd w:val="clear" w:color="auto" w:fill="ffffff"/>
          <w:rtl w:val="0"/>
          <w:lang w:val="it-IT"/>
        </w:rPr>
        <w:t>accertarne la corretta modalit</w:t>
      </w:r>
      <w:r>
        <w:rPr>
          <w:rFonts w:hAnsi="Book Antiqua" w:hint="default"/>
          <w:shd w:val="clear" w:color="auto" w:fill="ffffff"/>
          <w:rtl w:val="0"/>
          <w:lang w:val="it-IT"/>
        </w:rPr>
        <w:t xml:space="preserve">à </w:t>
      </w:r>
      <w:r>
        <w:rPr>
          <w:rFonts w:ascii="Book Antiqua"/>
          <w:shd w:val="clear" w:color="auto" w:fill="ffffff"/>
          <w:rtl w:val="0"/>
          <w:lang w:val="it-IT"/>
        </w:rPr>
        <w:t>di gestione.</w:t>
      </w:r>
    </w:p>
    <w:p>
      <w:pPr>
        <w:pStyle w:val="Normal"/>
        <w:ind w:left="567" w:right="567" w:firstLine="0"/>
        <w:jc w:val="both"/>
        <w:rPr>
          <w:rFonts w:ascii="Book Antiqua" w:cs="Book Antiqua" w:hAnsi="Book Antiqua" w:eastAsia="Book Antiqua"/>
          <w:shd w:val="clear" w:color="auto" w:fill="ffffff"/>
        </w:rPr>
      </w:pPr>
      <w:r>
        <w:rPr>
          <w:rFonts w:ascii="Book Antiqua"/>
          <w:shd w:val="clear" w:color="auto" w:fill="ffffff"/>
          <w:rtl w:val="0"/>
          <w:lang w:val="it-IT"/>
        </w:rPr>
        <w:t>A tale fine nel corso delle attivit</w:t>
      </w:r>
      <w:r>
        <w:rPr>
          <w:rFonts w:hAnsi="Book Antiqua" w:hint="default"/>
          <w:shd w:val="clear" w:color="auto" w:fill="ffffff"/>
          <w:rtl w:val="0"/>
          <w:lang w:val="it-IT"/>
        </w:rPr>
        <w:t xml:space="preserve">à </w:t>
      </w:r>
      <w:r>
        <w:rPr>
          <w:rFonts w:ascii="Book Antiqua"/>
          <w:shd w:val="clear" w:color="auto" w:fill="ffffff"/>
          <w:rtl w:val="0"/>
          <w:lang w:val="it-IT"/>
        </w:rPr>
        <w:t>ispettive sono stati eseguiti sopralluoghi con riprese fotografiche, finalizzati alla verifica dello stato e delle condizioni degli impianti, nonch</w:t>
      </w:r>
      <w:r>
        <w:rPr>
          <w:rFonts w:hAnsi="Book Antiqua" w:hint="default"/>
          <w:shd w:val="clear" w:color="auto" w:fill="ffffff"/>
          <w:rtl w:val="0"/>
          <w:lang w:val="it-IT"/>
        </w:rPr>
        <w:t xml:space="preserve">é </w:t>
      </w:r>
      <w:r>
        <w:rPr>
          <w:rFonts w:ascii="Book Antiqua"/>
          <w:shd w:val="clear" w:color="auto" w:fill="ffffff"/>
          <w:rtl w:val="0"/>
          <w:lang w:val="it-IT"/>
        </w:rPr>
        <w:t xml:space="preserve">si proceduto ad acquisizioni documentali dei titoli autorizzativi e dei registri di carico e scarico. Durante i sopralluoghi </w:t>
      </w:r>
      <w:r>
        <w:rPr>
          <w:rFonts w:hAnsi="Book Antiqua" w:hint="default"/>
          <w:shd w:val="clear" w:color="auto" w:fill="ffffff"/>
          <w:rtl w:val="0"/>
          <w:lang w:val="it-IT"/>
        </w:rPr>
        <w:t xml:space="preserve">è </w:t>
      </w:r>
      <w:r>
        <w:rPr>
          <w:rFonts w:ascii="Book Antiqua"/>
          <w:shd w:val="clear" w:color="auto" w:fill="ffffff"/>
          <w:rtl w:val="0"/>
          <w:lang w:val="it-IT"/>
        </w:rPr>
        <w:t>stata posta, inoltre, particolare attenzione alla verifica delle quantit</w:t>
      </w:r>
      <w:r>
        <w:rPr>
          <w:rFonts w:hAnsi="Book Antiqua" w:hint="default"/>
          <w:shd w:val="clear" w:color="auto" w:fill="ffffff"/>
          <w:rtl w:val="0"/>
          <w:lang w:val="it-IT"/>
        </w:rPr>
        <w:t xml:space="preserve">à </w:t>
      </w:r>
      <w:r>
        <w:rPr>
          <w:rFonts w:ascii="Book Antiqua"/>
          <w:shd w:val="clear" w:color="auto" w:fill="ffffff"/>
          <w:rtl w:val="0"/>
          <w:lang w:val="it-IT"/>
        </w:rPr>
        <w:t xml:space="preserve">di rifiuti poste in tasferenza in ciascun impianto in modo da ricostruire le destinazioni dei flussi di tutti i rifiuti prodotti a Roma. </w:t>
      </w:r>
    </w:p>
    <w:p>
      <w:pPr>
        <w:pStyle w:val="Normal"/>
        <w:ind w:left="567" w:right="567" w:firstLine="0"/>
        <w:jc w:val="both"/>
        <w:rPr>
          <w:rFonts w:ascii="Book Antiqua" w:cs="Book Antiqua" w:hAnsi="Book Antiqua" w:eastAsia="Book Antiqua"/>
          <w:shd w:val="clear" w:color="auto" w:fill="ffffff"/>
        </w:rPr>
      </w:pPr>
      <w:r>
        <w:rPr>
          <w:rFonts w:ascii="Book Antiqua"/>
          <w:shd w:val="clear" w:color="auto" w:fill="ffffff"/>
          <w:rtl w:val="0"/>
          <w:lang w:val="it-IT"/>
        </w:rPr>
        <w:t>In particolare, al fine di accertare l</w:t>
      </w:r>
      <w:r>
        <w:rPr>
          <w:rFonts w:hAnsi="Book Antiqua" w:hint="default"/>
          <w:shd w:val="clear" w:color="auto" w:fill="ffffff"/>
          <w:rtl w:val="0"/>
          <w:lang w:val="it-IT"/>
        </w:rPr>
        <w:t>’</w:t>
      </w:r>
      <w:r>
        <w:rPr>
          <w:rFonts w:ascii="Book Antiqua"/>
          <w:shd w:val="clear" w:color="auto" w:fill="ffffff"/>
          <w:rtl w:val="0"/>
          <w:lang w:val="it-IT"/>
        </w:rPr>
        <w:t>efficacia del trattamento dei rifiuti nei singoli impianti, sono stati acquisiti, per ogni impianto, i dati riguardanti la capacit</w:t>
      </w:r>
      <w:r>
        <w:rPr>
          <w:rFonts w:hAnsi="Book Antiqua" w:hint="default"/>
          <w:shd w:val="clear" w:color="auto" w:fill="ffffff"/>
          <w:rtl w:val="0"/>
          <w:lang w:val="it-IT"/>
        </w:rPr>
        <w:t xml:space="preserve">à </w:t>
      </w:r>
      <w:r>
        <w:rPr>
          <w:rFonts w:ascii="Book Antiqua"/>
          <w:shd w:val="clear" w:color="auto" w:fill="ffffff"/>
          <w:rtl w:val="0"/>
          <w:lang w:val="it-IT"/>
        </w:rPr>
        <w:t>di trattamento annuale riportata negli atti autorizzativi, i dati relativi alle quantit</w:t>
      </w:r>
      <w:r>
        <w:rPr>
          <w:rFonts w:hAnsi="Book Antiqua" w:hint="default"/>
          <w:shd w:val="clear" w:color="auto" w:fill="ffffff"/>
          <w:rtl w:val="0"/>
          <w:lang w:val="it-IT"/>
        </w:rPr>
        <w:t xml:space="preserve">à </w:t>
      </w:r>
      <w:r>
        <w:rPr>
          <w:rFonts w:ascii="Book Antiqua"/>
          <w:shd w:val="clear" w:color="auto" w:fill="ffffff"/>
          <w:rtl w:val="0"/>
          <w:lang w:val="it-IT"/>
        </w:rPr>
        <w:t>di rifiuti sottoposte a trattamento per anno, nonch</w:t>
      </w:r>
      <w:r>
        <w:rPr>
          <w:rFonts w:hAnsi="Book Antiqua" w:hint="default"/>
          <w:shd w:val="clear" w:color="auto" w:fill="ffffff"/>
          <w:rtl w:val="0"/>
          <w:lang w:val="it-IT"/>
        </w:rPr>
        <w:t xml:space="preserve">é </w:t>
      </w:r>
      <w:r>
        <w:rPr>
          <w:rFonts w:ascii="Book Antiqua"/>
          <w:shd w:val="clear" w:color="auto" w:fill="ffffff"/>
          <w:rtl w:val="0"/>
          <w:lang w:val="it-IT"/>
        </w:rPr>
        <w:t>le informazioni relative alle quantit</w:t>
      </w:r>
      <w:r>
        <w:rPr>
          <w:rFonts w:hAnsi="Book Antiqua" w:hint="default"/>
          <w:shd w:val="clear" w:color="auto" w:fill="ffffff"/>
          <w:rtl w:val="0"/>
          <w:lang w:val="it-IT"/>
        </w:rPr>
        <w:t xml:space="preserve">à </w:t>
      </w:r>
      <w:r>
        <w:rPr>
          <w:rFonts w:ascii="Book Antiqua"/>
          <w:shd w:val="clear" w:color="auto" w:fill="ffffff"/>
          <w:rtl w:val="0"/>
          <w:lang w:val="it-IT"/>
        </w:rPr>
        <w:t xml:space="preserve">dei rifiuti prodotti dagli impianti con riferimento alle singole tipologie.  </w:t>
      </w:r>
    </w:p>
    <w:p>
      <w:pPr>
        <w:pStyle w:val="Normal"/>
        <w:ind w:left="567" w:right="567" w:firstLine="0"/>
        <w:jc w:val="both"/>
        <w:rPr>
          <w:rFonts w:ascii="Book Antiqua" w:cs="Book Antiqua" w:hAnsi="Book Antiqua" w:eastAsia="Book Antiqua"/>
          <w:shd w:val="clear" w:color="auto" w:fill="ffffff"/>
        </w:rPr>
      </w:pPr>
      <w:r>
        <w:rPr>
          <w:rFonts w:ascii="Book Antiqua"/>
          <w:shd w:val="clear" w:color="auto" w:fill="ffffff"/>
          <w:rtl w:val="0"/>
          <w:lang w:val="it-IT"/>
        </w:rPr>
        <w:t xml:space="preserve">Nel dettaglio: CDR/CSS (CER 191210), FOS (CER 190503), rifiuti metallici e non metallici (CER 191202 e CER 191203), rifiuti plastici (CER 191204), scarti della produzione di CDR/CSS e di raffinazione della FOS (CER 191212) inviati a recupero/smaltimento. </w:t>
      </w:r>
    </w:p>
    <w:p>
      <w:pPr>
        <w:pStyle w:val="Normal"/>
        <w:ind w:left="567" w:right="567" w:firstLine="0"/>
        <w:jc w:val="both"/>
        <w:rPr>
          <w:rFonts w:ascii="Book Antiqua" w:cs="Book Antiqua" w:hAnsi="Book Antiqua" w:eastAsia="Book Antiqua"/>
        </w:rPr>
      </w:pPr>
      <w:r>
        <w:rPr>
          <w:rFonts w:ascii="Book Antiqua"/>
          <w:shd w:val="clear" w:color="auto" w:fill="ffffff"/>
          <w:rtl w:val="0"/>
          <w:lang w:val="it-IT"/>
        </w:rPr>
        <w:t>Le informazioni desunte nel corso delle descritte attivit</w:t>
      </w:r>
      <w:r>
        <w:rPr>
          <w:rFonts w:hAnsi="Book Antiqua" w:hint="default"/>
          <w:shd w:val="clear" w:color="auto" w:fill="ffffff"/>
          <w:rtl w:val="0"/>
          <w:lang w:val="it-IT"/>
        </w:rPr>
        <w:t xml:space="preserve">à </w:t>
      </w:r>
      <w:r>
        <w:rPr>
          <w:rFonts w:ascii="Book Antiqua"/>
          <w:shd w:val="clear" w:color="auto" w:fill="ffffff"/>
          <w:rtl w:val="0"/>
          <w:lang w:val="it-IT"/>
        </w:rPr>
        <w:t>ispettive e dettagliatamente descritte nelle relazioni prodotte dal Nucleo Operativo Ecologico dei carabinieri di Roma per ciascuno degli interventi</w:t>
      </w:r>
      <w:r>
        <w:rPr>
          <w:shd w:val="clear" w:color="auto" w:fill="ffffff"/>
          <w:vertAlign w:val="superscript"/>
          <w:rtl w:val="0"/>
        </w:rPr>
        <w:footnoteReference w:id="54"/>
      </w:r>
      <w:r>
        <w:rPr>
          <w:rFonts w:ascii="Book Antiqua"/>
          <w:shd w:val="clear" w:color="auto" w:fill="ffffff"/>
          <w:rtl w:val="0"/>
          <w:lang w:val="it-IT"/>
        </w:rPr>
        <w:t>, sono sintetizzate nelle tabelle che seguono a partire dall</w:t>
      </w:r>
      <w:r>
        <w:rPr>
          <w:rFonts w:hAnsi="Book Antiqua" w:hint="default"/>
          <w:shd w:val="clear" w:color="auto" w:fill="ffffff"/>
          <w:rtl w:val="0"/>
          <w:lang w:val="it-IT"/>
        </w:rPr>
        <w:t>’</w:t>
      </w:r>
      <w:r>
        <w:rPr>
          <w:rFonts w:ascii="Book Antiqua"/>
          <w:shd w:val="clear" w:color="auto" w:fill="ffffff"/>
          <w:rtl w:val="0"/>
          <w:lang w:val="it-IT"/>
        </w:rPr>
        <w:t>anno 2013.</w:t>
      </w:r>
    </w:p>
    <w:p>
      <w:pPr>
        <w:pStyle w:val="Normal"/>
        <w:ind w:left="567" w:right="567" w:firstLine="0"/>
        <w:jc w:val="both"/>
        <w:rPr>
          <w:rFonts w:ascii="Book Antiqua" w:cs="Book Antiqua" w:hAnsi="Book Antiqua" w:eastAsia="Book Antiqua"/>
        </w:rPr>
      </w:pPr>
    </w:p>
    <w:p>
      <w:pPr>
        <w:pStyle w:val="Normal"/>
        <w:numPr>
          <w:ilvl w:val="0"/>
          <w:numId w:val="52"/>
        </w:numPr>
        <w:tabs>
          <w:tab w:val="num" w:pos="567"/>
          <w:tab w:val="clear" w:pos="0"/>
        </w:tabs>
        <w:suppressAutoHyphens w:val="1"/>
        <w:bidi w:val="0"/>
        <w:spacing w:line="100" w:lineRule="atLeast"/>
        <w:ind w:left="567" w:right="567" w:hanging="284"/>
        <w:jc w:val="both"/>
        <w:rPr>
          <w:rFonts w:ascii="Book Antiqua" w:cs="Book Antiqua" w:hAnsi="Book Antiqua" w:eastAsia="Book Antiqua"/>
          <w:position w:val="0"/>
          <w:rtl w:val="0"/>
        </w:rPr>
      </w:pPr>
      <w:r>
        <w:rPr>
          <w:rFonts w:ascii="Book Antiqua Bold"/>
          <w:b w:val="1"/>
          <w:bCs w:val="1"/>
          <w:rtl w:val="0"/>
          <w:lang w:val="it-IT"/>
        </w:rPr>
        <w:t>Impianto TMB AMA S.p.A. - Roma, via Salaria n. 981</w:t>
      </w:r>
    </w:p>
    <w:p>
      <w:pPr>
        <w:pStyle w:val="Normal"/>
        <w:numPr>
          <w:ilvl w:val="0"/>
          <w:numId w:val="55"/>
        </w:numPr>
        <w:tabs>
          <w:tab w:val="num" w:pos="567"/>
          <w:tab w:val="left" w:pos="1134"/>
          <w:tab w:val="clear" w:pos="0"/>
        </w:tabs>
        <w:suppressAutoHyphens w:val="1"/>
        <w:bidi w:val="0"/>
        <w:spacing w:line="100" w:lineRule="atLeast"/>
        <w:ind w:left="567" w:right="567" w:hanging="284"/>
        <w:jc w:val="both"/>
        <w:rPr>
          <w:rFonts w:ascii="Book Antiqua" w:cs="Book Antiqua" w:hAnsi="Book Antiqua" w:eastAsia="Book Antiqua"/>
          <w:position w:val="0"/>
          <w:sz w:val="24"/>
          <w:szCs w:val="24"/>
          <w:rtl w:val="0"/>
        </w:rPr>
      </w:pPr>
      <w:r>
        <w:rPr>
          <w:rFonts w:ascii="Book Antiqua"/>
          <w:rtl w:val="0"/>
          <w:lang w:val="it-IT"/>
        </w:rPr>
        <w:t>Capacit</w:t>
      </w:r>
      <w:r>
        <w:rPr>
          <w:rFonts w:hAnsi="Book Antiqua" w:hint="default"/>
          <w:rtl w:val="0"/>
          <w:lang w:val="it-IT"/>
        </w:rPr>
        <w:t xml:space="preserve">à </w:t>
      </w:r>
      <w:r>
        <w:rPr>
          <w:rFonts w:ascii="Book Antiqua"/>
          <w:rtl w:val="0"/>
          <w:lang w:val="it-IT"/>
        </w:rPr>
        <w:t>annua di trattamento pari a 234.000 ton</w:t>
      </w:r>
    </w:p>
    <w:p>
      <w:pPr>
        <w:pStyle w:val="Normal"/>
        <w:numPr>
          <w:ilvl w:val="0"/>
          <w:numId w:val="56"/>
        </w:numPr>
        <w:tabs>
          <w:tab w:val="num" w:pos="567"/>
          <w:tab w:val="left" w:pos="1134"/>
          <w:tab w:val="clear" w:pos="0"/>
        </w:tabs>
        <w:suppressAutoHyphens w:val="1"/>
        <w:bidi w:val="0"/>
        <w:spacing w:line="100" w:lineRule="atLeast"/>
        <w:ind w:left="567" w:right="567" w:hanging="284"/>
        <w:jc w:val="both"/>
        <w:rPr>
          <w:rFonts w:ascii="Book Antiqua" w:cs="Book Antiqua" w:hAnsi="Book Antiqua" w:eastAsia="Book Antiqua"/>
          <w:position w:val="0"/>
          <w:sz w:val="24"/>
          <w:szCs w:val="24"/>
          <w:rtl w:val="0"/>
        </w:rPr>
      </w:pPr>
      <w:r>
        <w:rPr>
          <w:rFonts w:ascii="Book Antiqua"/>
          <w:rtl w:val="0"/>
          <w:lang w:val="it-IT"/>
        </w:rPr>
        <w:t>Limite massimo giornaliero di trattamento al TMB pari a 750 ton</w:t>
      </w:r>
    </w:p>
    <w:p>
      <w:pPr>
        <w:pStyle w:val="Normal"/>
        <w:numPr>
          <w:ilvl w:val="0"/>
          <w:numId w:val="57"/>
        </w:numPr>
        <w:tabs>
          <w:tab w:val="num" w:pos="567"/>
          <w:tab w:val="left" w:pos="1134"/>
          <w:tab w:val="clear" w:pos="0"/>
        </w:tabs>
        <w:suppressAutoHyphens w:val="1"/>
        <w:bidi w:val="0"/>
        <w:spacing w:line="100" w:lineRule="atLeast"/>
        <w:ind w:left="567" w:right="567" w:hanging="284"/>
        <w:jc w:val="both"/>
        <w:rPr>
          <w:rFonts w:ascii="Book Antiqua" w:cs="Book Antiqua" w:hAnsi="Book Antiqua" w:eastAsia="Book Antiqua"/>
          <w:position w:val="0"/>
          <w:sz w:val="24"/>
          <w:szCs w:val="24"/>
          <w:rtl w:val="0"/>
        </w:rPr>
      </w:pPr>
      <w:r>
        <w:rPr>
          <w:rFonts w:ascii="Book Antiqua"/>
          <w:rtl w:val="0"/>
          <w:lang w:val="it-IT"/>
        </w:rPr>
        <w:t>Limite massimo giornaliero di trasferenza dei RSU indifferenziati pari a 500 ton/giorno (dall</w:t>
      </w:r>
      <w:r>
        <w:rPr>
          <w:rFonts w:hAnsi="Book Antiqua" w:hint="default"/>
          <w:rtl w:val="0"/>
          <w:lang w:val="it-IT"/>
        </w:rPr>
        <w:t>’</w:t>
      </w:r>
      <w:r>
        <w:rPr>
          <w:rFonts w:ascii="Book Antiqua"/>
          <w:rtl w:val="0"/>
          <w:lang w:val="it-IT"/>
        </w:rPr>
        <w:t>aprile 2013) lievitato a 1000 ton/giorno dal dicembre 2016</w:t>
      </w:r>
    </w:p>
    <w:p>
      <w:pPr>
        <w:pStyle w:val="Normal"/>
        <w:numPr>
          <w:ilvl w:val="0"/>
          <w:numId w:val="58"/>
        </w:numPr>
        <w:tabs>
          <w:tab w:val="num" w:pos="567"/>
          <w:tab w:val="left" w:pos="1134"/>
          <w:tab w:val="clear" w:pos="0"/>
        </w:tabs>
        <w:suppressAutoHyphens w:val="1"/>
        <w:spacing w:line="100" w:lineRule="atLeast"/>
        <w:ind w:left="567" w:right="567" w:hanging="284"/>
        <w:jc w:val="both"/>
        <w:rPr>
          <w:rFonts w:ascii="Book Antiqua" w:cs="Book Antiqua" w:hAnsi="Book Antiqua" w:eastAsia="Book Antiqua"/>
          <w:position w:val="0"/>
          <w:sz w:val="24"/>
          <w:szCs w:val="24"/>
          <w:rtl w:val="0"/>
        </w:rPr>
      </w:pPr>
    </w:p>
    <w:p>
      <w:pPr>
        <w:pStyle w:val="Normal"/>
        <w:jc w:val="both"/>
        <w:rPr>
          <w:rFonts w:ascii="Book Antiqua" w:cs="Book Antiqua" w:hAnsi="Book Antiqua" w:eastAsia="Book Antiqua"/>
          <w:rtl w:val="0"/>
        </w:rPr>
      </w:pPr>
    </w:p>
    <w:p>
      <w:pPr>
        <w:pStyle w:val="Normal"/>
        <w:jc w:val="both"/>
        <w:rPr>
          <w:b w:val="1"/>
          <w:bCs w:val="1"/>
          <w:i w:val="1"/>
          <w:iCs w:val="1"/>
          <w:sz w:val="18"/>
          <w:szCs w:val="18"/>
        </w:rPr>
      </w:pPr>
      <w:r>
        <w:rPr>
          <w:i w:val="1"/>
          <w:iCs w:val="1"/>
          <w:sz w:val="20"/>
          <w:szCs w:val="20"/>
          <w:rtl w:val="0"/>
          <w:lang w:val="it-IT"/>
        </w:rPr>
        <w:t>RIFIUTI IN INGRESSO (INPUT)</w:t>
      </w:r>
    </w:p>
    <w:tbl>
      <w:tblPr>
        <w:tblW w:w="9854" w:type="dxa"/>
        <w:jc w:val="left"/>
        <w:tblInd w:w="108" w:type="dxa"/>
        <w:tblBorders>
          <w:top w:val="single" w:color="000000" w:sz="2" w:space="0" w:shadow="0" w:frame="0"/>
          <w:left w:val="single" w:color="000000" w:sz="2" w:space="0" w:shadow="0" w:frame="0"/>
          <w:bottom w:val="single" w:color="000000" w:sz="2" w:space="0" w:shadow="0" w:frame="0"/>
          <w:right w:val="single" w:color="000000" w:sz="2" w:space="0" w:shadow="0" w:frame="0"/>
          <w:insideH w:val="single" w:color="000000" w:sz="2" w:space="0" w:shadow="0" w:frame="0"/>
          <w:insideV w:val="single" w:color="000000" w:sz="2" w:space="0" w:shadow="0" w:frame="0"/>
        </w:tblBorders>
        <w:shd w:val="clear" w:color="auto" w:fill="auto"/>
        <w:tblLayout w:type="fixed"/>
      </w:tblPr>
      <w:tblGrid>
        <w:gridCol w:w="846"/>
        <w:gridCol w:w="1740"/>
        <w:gridCol w:w="1405"/>
        <w:gridCol w:w="1817"/>
        <w:gridCol w:w="1958"/>
        <w:gridCol w:w="2088"/>
      </w:tblGrid>
      <w:tr>
        <w:tblPrEx>
          <w:shd w:val="clear" w:color="auto" w:fill="auto"/>
        </w:tblPrEx>
        <w:trPr>
          <w:trHeight w:val="1002" w:hRule="atLeast"/>
        </w:trPr>
        <w:tc>
          <w:tcPr>
            <w:tcW w:type="dxa" w:w="84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center"/>
          </w:tcPr>
          <w:p>
            <w:pPr>
              <w:pStyle w:val="Normal"/>
              <w:jc w:val="cente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ANNO</w:t>
            </w:r>
          </w:p>
        </w:tc>
        <w:tc>
          <w:tcPr>
            <w:tcW w:type="dxa" w:w="174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top"/>
          </w:tcPr>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QUANTIT</w:t>
            </w:r>
            <w:r>
              <w:rPr>
                <w:rFonts w:hAnsi="Times New Roman" w:hint="default"/>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 xml:space="preserve">À </w:t>
            </w: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RIFIUTI</w:t>
            </w: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br w:type="textWrapping"/>
            </w: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AUTORIZZATA</w:t>
            </w:r>
          </w:p>
          <w:p>
            <w:pPr>
              <w:pStyle w:val="Normal"/>
              <w:jc w:val="cente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(ton)</w:t>
            </w:r>
          </w:p>
        </w:tc>
        <w:tc>
          <w:tcPr>
            <w:tcW w:type="dxa" w:w="140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top"/>
          </w:tcPr>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(A+B+C)</w:t>
            </w:r>
          </w:p>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RIFIUTI IN INGRESSO IMPIANTO</w:t>
            </w:r>
          </w:p>
          <w:p>
            <w:pPr>
              <w:pStyle w:val="Normal"/>
              <w:jc w:val="cente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(ton)</w:t>
            </w:r>
          </w:p>
        </w:tc>
        <w:tc>
          <w:tcPr>
            <w:tcW w:type="dxa" w:w="181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top"/>
          </w:tcPr>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(A)</w:t>
            </w:r>
          </w:p>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RIFIUTI DESTINATI IMPIANTO TMB</w:t>
            </w:r>
          </w:p>
          <w:p>
            <w:pPr>
              <w:pStyle w:val="Normal"/>
              <w:jc w:val="cente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(ton) - %</w:t>
            </w:r>
          </w:p>
        </w:tc>
        <w:tc>
          <w:tcPr>
            <w:tcW w:type="dxa" w:w="195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top"/>
          </w:tcPr>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(B)</w:t>
            </w:r>
          </w:p>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RIFIUTI DESTINATI A TRASFERENZA</w:t>
            </w:r>
          </w:p>
          <w:p>
            <w:pPr>
              <w:pStyle w:val="Normal"/>
              <w:jc w:val="cente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(ton)</w:t>
            </w:r>
          </w:p>
        </w:tc>
        <w:tc>
          <w:tcPr>
            <w:tcW w:type="dxa" w:w="208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top"/>
          </w:tcPr>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(C)</w:t>
            </w:r>
          </w:p>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 xml:space="preserve">RIFIUTI </w:t>
            </w: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br w:type="textWrapping"/>
            </w: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DESTINATI A TRITOVAGLIATURA</w:t>
            </w:r>
          </w:p>
          <w:p>
            <w:pPr>
              <w:pStyle w:val="Normal"/>
              <w:jc w:val="cente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(ton)</w:t>
            </w:r>
          </w:p>
        </w:tc>
      </w:tr>
      <w:tr>
        <w:tblPrEx>
          <w:shd w:val="clear" w:color="auto" w:fill="auto"/>
        </w:tblPrEx>
        <w:trPr>
          <w:trHeight w:val="402" w:hRule="atLeast"/>
        </w:trPr>
        <w:tc>
          <w:tcPr>
            <w:tcW w:type="dxa" w:w="84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2013</w:t>
            </w:r>
          </w:p>
        </w:tc>
        <w:tc>
          <w:tcPr>
            <w:tcW w:type="dxa" w:w="174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234.000</w:t>
            </w:r>
          </w:p>
        </w:tc>
        <w:tc>
          <w:tcPr>
            <w:tcW w:type="dxa" w:w="140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208.428,88</w:t>
            </w:r>
          </w:p>
        </w:tc>
        <w:tc>
          <w:tcPr>
            <w:tcW w:type="dxa" w:w="181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179.145,34</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76,56 %</w:t>
            </w:r>
          </w:p>
        </w:tc>
        <w:tc>
          <w:tcPr>
            <w:tcW w:type="dxa" w:w="195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29.283,54</w:t>
            </w:r>
          </w:p>
        </w:tc>
        <w:tc>
          <w:tcPr>
            <w:tcW w:type="dxa" w:w="208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w:t>
            </w:r>
          </w:p>
        </w:tc>
      </w:tr>
      <w:tr>
        <w:tblPrEx>
          <w:shd w:val="clear" w:color="auto" w:fill="auto"/>
        </w:tblPrEx>
        <w:trPr>
          <w:trHeight w:val="402" w:hRule="atLeast"/>
        </w:trPr>
        <w:tc>
          <w:tcPr>
            <w:tcW w:type="dxa" w:w="84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2014</w:t>
            </w:r>
          </w:p>
        </w:tc>
        <w:tc>
          <w:tcPr>
            <w:tcW w:type="dxa" w:w="174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234.000</w:t>
            </w:r>
          </w:p>
        </w:tc>
        <w:tc>
          <w:tcPr>
            <w:tcW w:type="dxa" w:w="140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196.538,87</w:t>
            </w:r>
          </w:p>
        </w:tc>
        <w:tc>
          <w:tcPr>
            <w:tcW w:type="dxa" w:w="181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192.916,65</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82,44 %</w:t>
            </w:r>
          </w:p>
        </w:tc>
        <w:tc>
          <w:tcPr>
            <w:tcW w:type="dxa" w:w="195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3.622,22</w:t>
            </w:r>
          </w:p>
        </w:tc>
        <w:tc>
          <w:tcPr>
            <w:tcW w:type="dxa" w:w="208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w:t>
            </w:r>
          </w:p>
        </w:tc>
      </w:tr>
      <w:tr>
        <w:tblPrEx>
          <w:shd w:val="clear" w:color="auto" w:fill="auto"/>
        </w:tblPrEx>
        <w:trPr>
          <w:trHeight w:val="402" w:hRule="atLeast"/>
        </w:trPr>
        <w:tc>
          <w:tcPr>
            <w:tcW w:type="dxa" w:w="84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2015</w:t>
            </w:r>
          </w:p>
        </w:tc>
        <w:tc>
          <w:tcPr>
            <w:tcW w:type="dxa" w:w="174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234.000</w:t>
            </w:r>
          </w:p>
        </w:tc>
        <w:tc>
          <w:tcPr>
            <w:tcW w:type="dxa" w:w="140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111.561,37</w:t>
            </w:r>
          </w:p>
        </w:tc>
        <w:tc>
          <w:tcPr>
            <w:tcW w:type="dxa" w:w="181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97.144,57</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41,51%</w:t>
            </w:r>
          </w:p>
        </w:tc>
        <w:tc>
          <w:tcPr>
            <w:tcW w:type="dxa" w:w="195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14.416,80</w:t>
            </w:r>
          </w:p>
        </w:tc>
        <w:tc>
          <w:tcPr>
            <w:tcW w:type="dxa" w:w="208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w:t>
            </w:r>
          </w:p>
        </w:tc>
      </w:tr>
      <w:tr>
        <w:tblPrEx>
          <w:shd w:val="clear" w:color="auto" w:fill="auto"/>
        </w:tblPrEx>
        <w:trPr>
          <w:trHeight w:val="402" w:hRule="atLeast"/>
        </w:trPr>
        <w:tc>
          <w:tcPr>
            <w:tcW w:type="dxa" w:w="84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2016</w:t>
            </w:r>
          </w:p>
        </w:tc>
        <w:tc>
          <w:tcPr>
            <w:tcW w:type="dxa" w:w="174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234.000</w:t>
            </w:r>
          </w:p>
        </w:tc>
        <w:tc>
          <w:tcPr>
            <w:tcW w:type="dxa" w:w="140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197.775,32</w:t>
            </w:r>
          </w:p>
        </w:tc>
        <w:tc>
          <w:tcPr>
            <w:tcW w:type="dxa" w:w="181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117.591,80</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50,25%</w:t>
            </w:r>
          </w:p>
        </w:tc>
        <w:tc>
          <w:tcPr>
            <w:tcW w:type="dxa" w:w="195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80.183,52</w:t>
            </w:r>
          </w:p>
        </w:tc>
        <w:tc>
          <w:tcPr>
            <w:tcW w:type="dxa" w:w="208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w:t>
            </w:r>
          </w:p>
        </w:tc>
      </w:tr>
      <w:tr>
        <w:tblPrEx>
          <w:shd w:val="clear" w:color="auto" w:fill="auto"/>
        </w:tblPrEx>
        <w:trPr>
          <w:trHeight w:val="602" w:hRule="atLeast"/>
        </w:trPr>
        <w:tc>
          <w:tcPr>
            <w:tcW w:type="dxa" w:w="84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2017</w:t>
            </w:r>
          </w:p>
          <w:p>
            <w:pPr>
              <w:pStyle w:val="Normal"/>
              <w:jc w:val="cente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(fino al 30.04)</w:t>
            </w:r>
          </w:p>
        </w:tc>
        <w:tc>
          <w:tcPr>
            <w:tcW w:type="dxa" w:w="174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234.000</w:t>
            </w:r>
          </w:p>
        </w:tc>
        <w:tc>
          <w:tcPr>
            <w:tcW w:type="dxa" w:w="140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80.882,52</w:t>
            </w:r>
          </w:p>
        </w:tc>
        <w:tc>
          <w:tcPr>
            <w:tcW w:type="dxa" w:w="181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53.864,38</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23,02%</w:t>
            </w:r>
          </w:p>
        </w:tc>
        <w:tc>
          <w:tcPr>
            <w:tcW w:type="dxa" w:w="195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27.018,14</w:t>
            </w:r>
          </w:p>
        </w:tc>
        <w:tc>
          <w:tcPr>
            <w:tcW w:type="dxa" w:w="208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w:t>
            </w:r>
          </w:p>
        </w:tc>
      </w:tr>
    </w:tbl>
    <w:p>
      <w:pPr>
        <w:pStyle w:val="Normal"/>
        <w:jc w:val="both"/>
        <w:rPr>
          <w:b w:val="1"/>
          <w:bCs w:val="1"/>
          <w:i w:val="1"/>
          <w:iCs w:val="1"/>
          <w:sz w:val="18"/>
          <w:szCs w:val="18"/>
        </w:rPr>
      </w:pPr>
    </w:p>
    <w:p>
      <w:pPr>
        <w:pStyle w:val="Normal"/>
        <w:jc w:val="both"/>
        <w:rPr>
          <w:b w:val="1"/>
          <w:bCs w:val="1"/>
          <w:i w:val="1"/>
          <w:iCs w:val="1"/>
          <w:sz w:val="18"/>
          <w:szCs w:val="18"/>
        </w:rPr>
      </w:pPr>
    </w:p>
    <w:p>
      <w:pPr>
        <w:pStyle w:val="Normal"/>
        <w:jc w:val="both"/>
        <w:rPr>
          <w:b w:val="1"/>
          <w:bCs w:val="1"/>
          <w:i w:val="1"/>
          <w:iCs w:val="1"/>
          <w:sz w:val="18"/>
          <w:szCs w:val="18"/>
        </w:rPr>
      </w:pPr>
    </w:p>
    <w:p>
      <w:pPr>
        <w:pStyle w:val="Normal"/>
        <w:jc w:val="both"/>
        <w:rPr>
          <w:b w:val="1"/>
          <w:bCs w:val="1"/>
          <w:i w:val="1"/>
          <w:iCs w:val="1"/>
          <w:sz w:val="18"/>
          <w:szCs w:val="18"/>
        </w:rPr>
      </w:pPr>
    </w:p>
    <w:p>
      <w:pPr>
        <w:pStyle w:val="Normal"/>
        <w:rPr>
          <w:b w:val="1"/>
          <w:bCs w:val="1"/>
          <w:i w:val="1"/>
          <w:iCs w:val="1"/>
          <w:sz w:val="18"/>
          <w:szCs w:val="18"/>
        </w:rPr>
      </w:pPr>
      <w:r>
        <w:rPr>
          <w:rFonts w:ascii="Times New Roman" w:cs="Arial Unicode MS" w:hAnsi="Arial Unicode MS" w:eastAsia="Arial Unicode MS"/>
          <w:i w:val="1"/>
          <w:iCs w:val="1"/>
          <w:sz w:val="20"/>
          <w:szCs w:val="20"/>
          <w:rtl w:val="0"/>
          <w:lang w:val="it-IT"/>
        </w:rPr>
        <w:t>RIFIUTI TRATTATI E/O IN USCITA (OUTPUT)</w:t>
      </w:r>
    </w:p>
    <w:tbl>
      <w:tblPr>
        <w:tblW w:w="9632" w:type="dxa"/>
        <w:jc w:val="left"/>
        <w:tblInd w:w="108" w:type="dxa"/>
        <w:tblBorders>
          <w:top w:val="single" w:color="000000" w:sz="2" w:space="0" w:shadow="0" w:frame="0"/>
          <w:left w:val="single" w:color="000000" w:sz="2" w:space="0" w:shadow="0" w:frame="0"/>
          <w:bottom w:val="single" w:color="000000" w:sz="2" w:space="0" w:shadow="0" w:frame="0"/>
          <w:right w:val="single" w:color="000000" w:sz="2" w:space="0" w:shadow="0" w:frame="0"/>
          <w:insideH w:val="single" w:color="000000" w:sz="2" w:space="0" w:shadow="0" w:frame="0"/>
          <w:insideV w:val="single" w:color="000000" w:sz="2" w:space="0" w:shadow="0" w:frame="0"/>
        </w:tblBorders>
        <w:shd w:val="clear" w:color="auto" w:fill="auto"/>
        <w:tblLayout w:type="fixed"/>
      </w:tblPr>
      <w:tblGrid>
        <w:gridCol w:w="812"/>
        <w:gridCol w:w="1226"/>
        <w:gridCol w:w="1206"/>
        <w:gridCol w:w="1211"/>
        <w:gridCol w:w="1213"/>
        <w:gridCol w:w="1210"/>
        <w:gridCol w:w="1560"/>
        <w:gridCol w:w="1194"/>
      </w:tblGrid>
      <w:tr>
        <w:tblPrEx>
          <w:shd w:val="clear" w:color="auto" w:fill="auto"/>
        </w:tblPrEx>
        <w:trPr>
          <w:trHeight w:val="1607" w:hRule="atLeast"/>
        </w:trPr>
        <w:tc>
          <w:tcPr>
            <w:tcW w:type="dxa" w:w="81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center"/>
          </w:tcPr>
          <w:p>
            <w:pPr>
              <w:pStyle w:val="Normal"/>
              <w:jc w:val="cente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ANNO</w:t>
            </w:r>
          </w:p>
        </w:tc>
        <w:tc>
          <w:tcPr>
            <w:tcW w:type="dxa" w:w="122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top"/>
          </w:tcPr>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CDR</w:t>
            </w:r>
          </w:p>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(combustibile da rifiuto)</w:t>
            </w:r>
          </w:p>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p>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p>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CER 191210</w:t>
            </w:r>
            <w:r>
              <w:rPr>
                <w:b w:val="1"/>
                <w:bCs w:val="1"/>
                <w:i w:val="1"/>
                <w:iCs w:val="1"/>
                <w:caps w:val="0"/>
                <w:smallCaps w:val="0"/>
                <w:strike w:val="0"/>
                <w:dstrike w:val="0"/>
                <w:outline w:val="0"/>
                <w:color w:val="000000"/>
                <w:spacing w:val="0"/>
                <w:kern w:val="0"/>
                <w:position w:val="0"/>
                <w:sz w:val="18"/>
                <w:szCs w:val="18"/>
                <w:u w:val="none" w:color="000000"/>
                <w:vertAlign w:val="superscript"/>
                <w:rtl w:val="0"/>
                <w:lang w:val="it-IT"/>
              </w:rPr>
              <w:t>(1)</w:t>
            </w:r>
          </w:p>
          <w:p>
            <w:pPr>
              <w:pStyle w:val="Normal"/>
              <w:jc w:val="cente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(ton) - %</w:t>
            </w:r>
          </w:p>
        </w:tc>
        <w:tc>
          <w:tcPr>
            <w:tcW w:type="dxa" w:w="120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top"/>
          </w:tcPr>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FOS</w:t>
            </w:r>
          </w:p>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(frazione organica stabilizzata)</w:t>
            </w:r>
          </w:p>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p>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CER 190503</w:t>
            </w:r>
            <w:r>
              <w:rPr>
                <w:b w:val="1"/>
                <w:bCs w:val="1"/>
                <w:i w:val="1"/>
                <w:iCs w:val="1"/>
                <w:caps w:val="0"/>
                <w:smallCaps w:val="0"/>
                <w:strike w:val="0"/>
                <w:dstrike w:val="0"/>
                <w:outline w:val="0"/>
                <w:color w:val="000000"/>
                <w:spacing w:val="0"/>
                <w:kern w:val="0"/>
                <w:position w:val="0"/>
                <w:sz w:val="18"/>
                <w:szCs w:val="18"/>
                <w:u w:val="none" w:color="000000"/>
                <w:vertAlign w:val="superscript"/>
                <w:rtl w:val="0"/>
                <w:lang w:val="it-IT"/>
              </w:rPr>
              <w:t>(2)</w:t>
            </w:r>
          </w:p>
          <w:p>
            <w:pPr>
              <w:pStyle w:val="Normal"/>
              <w:jc w:val="cente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(ton) - %</w:t>
            </w:r>
          </w:p>
        </w:tc>
        <w:tc>
          <w:tcPr>
            <w:tcW w:type="dxa" w:w="121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top"/>
          </w:tcPr>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METALLI</w:t>
            </w:r>
          </w:p>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p>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p>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p>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CER 191202</w:t>
            </w:r>
          </w:p>
          <w:p>
            <w:pPr>
              <w:pStyle w:val="Normal"/>
              <w:jc w:val="cente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(ton) - %</w:t>
            </w:r>
          </w:p>
        </w:tc>
        <w:tc>
          <w:tcPr>
            <w:tcW w:type="dxa" w:w="12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top"/>
          </w:tcPr>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METALLI</w:t>
            </w:r>
          </w:p>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NON</w:t>
            </w:r>
          </w:p>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FERROSI</w:t>
            </w:r>
          </w:p>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p>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CER 191203</w:t>
            </w:r>
          </w:p>
          <w:p>
            <w:pPr>
              <w:pStyle w:val="Normal"/>
              <w:jc w:val="cente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(ton) - %</w:t>
            </w:r>
          </w:p>
        </w:tc>
        <w:tc>
          <w:tcPr>
            <w:tcW w:type="dxa" w:w="121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top"/>
          </w:tcPr>
          <w:p>
            <w:pPr>
              <w:pStyle w:val="Normal"/>
              <w:jc w:val="center"/>
              <w:rPr>
                <w:caps w:val="0"/>
                <w:smallCaps w:val="0"/>
                <w:strike w:val="0"/>
                <w:dstrike w:val="0"/>
                <w:outline w:val="0"/>
                <w:color w:val="000000"/>
                <w:spacing w:val="0"/>
                <w:kern w:val="0"/>
                <w:position w:val="0"/>
                <w:sz w:val="24"/>
                <w:szCs w:val="24"/>
                <w:u w:val="none" w:color="000000"/>
                <w:vertAlign w:val="baseline"/>
                <w:rtl w:val="0"/>
                <w:lang w:val="it-IT"/>
              </w:rP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PET</w:t>
            </w:r>
          </w:p>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r>
              <w:rPr>
                <w:b w:val="1"/>
                <w:bCs w:val="1"/>
                <w:i w:val="1"/>
                <w:iCs w:val="1"/>
                <w:caps w:val="0"/>
                <w:smallCaps w:val="0"/>
                <w:strike w:val="0"/>
                <w:dstrike w:val="0"/>
                <w:outline w:val="0"/>
                <w:color w:val="222222"/>
                <w:spacing w:val="0"/>
                <w:kern w:val="0"/>
                <w:position w:val="0"/>
                <w:sz w:val="18"/>
                <w:szCs w:val="18"/>
                <w:u w:val="none" w:color="222222"/>
                <w:vertAlign w:val="baseline"/>
                <w:rtl w:val="0"/>
                <w:lang w:val="it-IT"/>
              </w:rPr>
              <w:t>(polietilene tereftalato)</w:t>
            </w:r>
          </w:p>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p>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p>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CER 191204</w:t>
            </w:r>
            <w:r>
              <w:rPr>
                <w:b w:val="1"/>
                <w:bCs w:val="1"/>
                <w:i w:val="1"/>
                <w:iCs w:val="1"/>
                <w:caps w:val="0"/>
                <w:smallCaps w:val="0"/>
                <w:strike w:val="0"/>
                <w:dstrike w:val="0"/>
                <w:outline w:val="0"/>
                <w:color w:val="000000"/>
                <w:spacing w:val="0"/>
                <w:kern w:val="0"/>
                <w:position w:val="0"/>
                <w:sz w:val="18"/>
                <w:szCs w:val="18"/>
                <w:u w:val="none" w:color="000000"/>
                <w:vertAlign w:val="superscript"/>
                <w:rtl w:val="0"/>
                <w:lang w:val="it-IT"/>
              </w:rPr>
              <w:t>(3)</w:t>
            </w:r>
          </w:p>
          <w:p>
            <w:pPr>
              <w:pStyle w:val="Normal"/>
              <w:jc w:val="cente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(ton) - %</w:t>
            </w:r>
          </w:p>
        </w:tc>
        <w:tc>
          <w:tcPr>
            <w:tcW w:type="dxa" w:w="155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top"/>
          </w:tcPr>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RIFIUTI NON</w:t>
            </w:r>
          </w:p>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COMPOSTATI</w:t>
            </w:r>
          </w:p>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p>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p>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p>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CER 190501</w:t>
            </w:r>
            <w:r>
              <w:rPr>
                <w:b w:val="1"/>
                <w:bCs w:val="1"/>
                <w:i w:val="1"/>
                <w:iCs w:val="1"/>
                <w:caps w:val="0"/>
                <w:smallCaps w:val="0"/>
                <w:strike w:val="0"/>
                <w:dstrike w:val="0"/>
                <w:outline w:val="0"/>
                <w:color w:val="000000"/>
                <w:spacing w:val="0"/>
                <w:kern w:val="0"/>
                <w:position w:val="0"/>
                <w:sz w:val="18"/>
                <w:szCs w:val="18"/>
                <w:u w:val="none" w:color="000000"/>
                <w:vertAlign w:val="superscript"/>
                <w:rtl w:val="0"/>
                <w:lang w:val="it-IT"/>
              </w:rPr>
              <w:t>(4)</w:t>
            </w:r>
          </w:p>
          <w:p>
            <w:pPr>
              <w:pStyle w:val="Normal"/>
              <w:jc w:val="cente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(ton) - %</w:t>
            </w:r>
          </w:p>
        </w:tc>
        <w:tc>
          <w:tcPr>
            <w:tcW w:type="dxa" w:w="119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top"/>
          </w:tcPr>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ALTRI</w:t>
            </w:r>
          </w:p>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RIFIUTI</w:t>
            </w:r>
          </w:p>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p>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p>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CER 191212</w:t>
            </w:r>
            <w:r>
              <w:rPr>
                <w:b w:val="1"/>
                <w:bCs w:val="1"/>
                <w:i w:val="1"/>
                <w:iCs w:val="1"/>
                <w:caps w:val="0"/>
                <w:smallCaps w:val="0"/>
                <w:strike w:val="0"/>
                <w:dstrike w:val="0"/>
                <w:outline w:val="0"/>
                <w:color w:val="000000"/>
                <w:spacing w:val="0"/>
                <w:kern w:val="0"/>
                <w:position w:val="0"/>
                <w:sz w:val="18"/>
                <w:szCs w:val="18"/>
                <w:u w:val="none" w:color="000000"/>
                <w:vertAlign w:val="superscript"/>
                <w:rtl w:val="0"/>
                <w:lang w:val="it-IT"/>
              </w:rPr>
              <w:t>(5)</w:t>
            </w:r>
          </w:p>
          <w:p>
            <w:pPr>
              <w:pStyle w:val="Normal"/>
              <w:jc w:val="cente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(ton) - %</w:t>
            </w:r>
          </w:p>
        </w:tc>
      </w:tr>
      <w:tr>
        <w:tblPrEx>
          <w:shd w:val="clear" w:color="auto" w:fill="auto"/>
        </w:tblPrEx>
        <w:trPr>
          <w:trHeight w:val="402" w:hRule="atLeast"/>
        </w:trPr>
        <w:tc>
          <w:tcPr>
            <w:tcW w:type="dxa" w:w="81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2013</w:t>
            </w:r>
          </w:p>
        </w:tc>
        <w:tc>
          <w:tcPr>
            <w:tcW w:type="dxa" w:w="122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43.371,74</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24,21 %</w:t>
            </w:r>
          </w:p>
        </w:tc>
        <w:tc>
          <w:tcPr>
            <w:tcW w:type="dxa" w:w="120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19.153,80</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10,69 %</w:t>
            </w:r>
          </w:p>
        </w:tc>
        <w:tc>
          <w:tcPr>
            <w:tcW w:type="dxa" w:w="121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874,02</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0,49 %</w:t>
            </w:r>
          </w:p>
        </w:tc>
        <w:tc>
          <w:tcPr>
            <w:tcW w:type="dxa" w:w="12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0,00</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0,00 %</w:t>
            </w:r>
          </w:p>
        </w:tc>
        <w:tc>
          <w:tcPr>
            <w:tcW w:type="dxa" w:w="121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w:t>
            </w:r>
          </w:p>
        </w:tc>
        <w:tc>
          <w:tcPr>
            <w:tcW w:type="dxa" w:w="155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7.953,92</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4,44 %</w:t>
            </w:r>
          </w:p>
        </w:tc>
        <w:tc>
          <w:tcPr>
            <w:tcW w:type="dxa" w:w="119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74.297,40</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41,47 %</w:t>
            </w:r>
          </w:p>
        </w:tc>
      </w:tr>
      <w:tr>
        <w:tblPrEx>
          <w:shd w:val="clear" w:color="auto" w:fill="auto"/>
        </w:tblPrEx>
        <w:trPr>
          <w:trHeight w:val="402" w:hRule="atLeast"/>
        </w:trPr>
        <w:tc>
          <w:tcPr>
            <w:tcW w:type="dxa" w:w="81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2014</w:t>
            </w:r>
          </w:p>
        </w:tc>
        <w:tc>
          <w:tcPr>
            <w:tcW w:type="dxa" w:w="122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41.161,28</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21,34 %</w:t>
            </w:r>
          </w:p>
        </w:tc>
        <w:tc>
          <w:tcPr>
            <w:tcW w:type="dxa" w:w="120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0,00</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0,00 %</w:t>
            </w:r>
          </w:p>
        </w:tc>
        <w:tc>
          <w:tcPr>
            <w:tcW w:type="dxa" w:w="121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1.129,52</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0,59 %</w:t>
            </w:r>
          </w:p>
        </w:tc>
        <w:tc>
          <w:tcPr>
            <w:tcW w:type="dxa" w:w="12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0,00</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0,00 %</w:t>
            </w:r>
          </w:p>
        </w:tc>
        <w:tc>
          <w:tcPr>
            <w:tcW w:type="dxa" w:w="121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w:t>
            </w:r>
          </w:p>
        </w:tc>
        <w:tc>
          <w:tcPr>
            <w:tcW w:type="dxa" w:w="155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27.804,94</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14,41 %</w:t>
            </w:r>
          </w:p>
        </w:tc>
        <w:tc>
          <w:tcPr>
            <w:tcW w:type="dxa" w:w="119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91.560,44</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47,46 %</w:t>
            </w:r>
          </w:p>
        </w:tc>
      </w:tr>
      <w:tr>
        <w:tblPrEx>
          <w:shd w:val="clear" w:color="auto" w:fill="auto"/>
        </w:tblPrEx>
        <w:trPr>
          <w:trHeight w:val="402" w:hRule="atLeast"/>
        </w:trPr>
        <w:tc>
          <w:tcPr>
            <w:tcW w:type="dxa" w:w="81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2015</w:t>
            </w:r>
          </w:p>
        </w:tc>
        <w:tc>
          <w:tcPr>
            <w:tcW w:type="dxa" w:w="122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21.182,16</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21,80%</w:t>
            </w:r>
          </w:p>
        </w:tc>
        <w:tc>
          <w:tcPr>
            <w:tcW w:type="dxa" w:w="120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0</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0,00%</w:t>
            </w:r>
          </w:p>
        </w:tc>
        <w:tc>
          <w:tcPr>
            <w:tcW w:type="dxa" w:w="121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410,04</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0,42%</w:t>
            </w:r>
          </w:p>
        </w:tc>
        <w:tc>
          <w:tcPr>
            <w:tcW w:type="dxa" w:w="12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0</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0,00%</w:t>
            </w:r>
          </w:p>
        </w:tc>
        <w:tc>
          <w:tcPr>
            <w:tcW w:type="dxa" w:w="121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w:t>
            </w:r>
          </w:p>
        </w:tc>
        <w:tc>
          <w:tcPr>
            <w:tcW w:type="dxa" w:w="155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16.457,60</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16,94%</w:t>
            </w:r>
          </w:p>
        </w:tc>
        <w:tc>
          <w:tcPr>
            <w:tcW w:type="dxa" w:w="119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51.771,46</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53,29%</w:t>
            </w:r>
          </w:p>
        </w:tc>
      </w:tr>
      <w:tr>
        <w:tblPrEx>
          <w:shd w:val="clear" w:color="auto" w:fill="auto"/>
        </w:tblPrEx>
        <w:trPr>
          <w:trHeight w:val="402" w:hRule="atLeast"/>
        </w:trPr>
        <w:tc>
          <w:tcPr>
            <w:tcW w:type="dxa" w:w="81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2016</w:t>
            </w:r>
          </w:p>
        </w:tc>
        <w:tc>
          <w:tcPr>
            <w:tcW w:type="dxa" w:w="122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26.271,40</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22,34%</w:t>
            </w:r>
          </w:p>
        </w:tc>
        <w:tc>
          <w:tcPr>
            <w:tcW w:type="dxa" w:w="120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0</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0,00%</w:t>
            </w:r>
          </w:p>
        </w:tc>
        <w:tc>
          <w:tcPr>
            <w:tcW w:type="dxa" w:w="121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657,78</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0,56%</w:t>
            </w:r>
          </w:p>
        </w:tc>
        <w:tc>
          <w:tcPr>
            <w:tcW w:type="dxa" w:w="12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0</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0,00%</w:t>
            </w:r>
          </w:p>
        </w:tc>
        <w:tc>
          <w:tcPr>
            <w:tcW w:type="dxa" w:w="121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w:t>
            </w:r>
          </w:p>
        </w:tc>
        <w:tc>
          <w:tcPr>
            <w:tcW w:type="dxa" w:w="155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17.466,38</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14,85%</w:t>
            </w:r>
          </w:p>
        </w:tc>
        <w:tc>
          <w:tcPr>
            <w:tcW w:type="dxa" w:w="119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83.083,15</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70,65%</w:t>
            </w:r>
          </w:p>
        </w:tc>
      </w:tr>
      <w:tr>
        <w:tblPrEx>
          <w:shd w:val="clear" w:color="auto" w:fill="auto"/>
        </w:tblPrEx>
        <w:trPr>
          <w:trHeight w:val="602" w:hRule="atLeast"/>
        </w:trPr>
        <w:tc>
          <w:tcPr>
            <w:tcW w:type="dxa" w:w="81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2017</w:t>
            </w:r>
          </w:p>
          <w:p>
            <w:pPr>
              <w:pStyle w:val="Normal"/>
              <w:jc w:val="cente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(fino al 30.04)</w:t>
            </w:r>
          </w:p>
        </w:tc>
        <w:tc>
          <w:tcPr>
            <w:tcW w:type="dxa" w:w="122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10.288,46</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19,10%</w:t>
            </w:r>
          </w:p>
        </w:tc>
        <w:tc>
          <w:tcPr>
            <w:tcW w:type="dxa" w:w="120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0</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0,00%</w:t>
            </w:r>
          </w:p>
        </w:tc>
        <w:tc>
          <w:tcPr>
            <w:tcW w:type="dxa" w:w="121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285,98</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0,53%</w:t>
            </w:r>
          </w:p>
        </w:tc>
        <w:tc>
          <w:tcPr>
            <w:tcW w:type="dxa" w:w="12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0</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0,00%</w:t>
            </w:r>
          </w:p>
        </w:tc>
        <w:tc>
          <w:tcPr>
            <w:tcW w:type="dxa" w:w="121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w:t>
            </w:r>
          </w:p>
        </w:tc>
        <w:tc>
          <w:tcPr>
            <w:tcW w:type="dxa" w:w="155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6.528,16</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12,12%</w:t>
            </w:r>
          </w:p>
        </w:tc>
        <w:tc>
          <w:tcPr>
            <w:tcW w:type="dxa" w:w="119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26.654,76</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49,48%</w:t>
            </w:r>
          </w:p>
        </w:tc>
      </w:tr>
    </w:tbl>
    <w:p>
      <w:pPr>
        <w:pStyle w:val="Normal"/>
        <w:rPr>
          <w:b w:val="1"/>
          <w:bCs w:val="1"/>
          <w:i w:val="1"/>
          <w:iCs w:val="1"/>
          <w:sz w:val="18"/>
          <w:szCs w:val="18"/>
        </w:rPr>
      </w:pPr>
    </w:p>
    <w:p>
      <w:pPr>
        <w:pStyle w:val="Normal"/>
        <w:ind w:left="567" w:right="567" w:firstLine="0"/>
        <w:jc w:val="both"/>
        <w:rPr>
          <w:rFonts w:ascii="Calibri" w:cs="Calibri" w:hAnsi="Calibri" w:eastAsia="Calibri"/>
          <w:sz w:val="16"/>
          <w:szCs w:val="16"/>
        </w:rPr>
      </w:pPr>
    </w:p>
    <w:p>
      <w:pPr>
        <w:pStyle w:val="Normal"/>
        <w:rPr>
          <w:sz w:val="16"/>
          <w:szCs w:val="16"/>
        </w:rPr>
      </w:pPr>
      <w:r>
        <w:rPr>
          <w:rFonts w:ascii="Times New Roman" w:cs="Arial Unicode MS" w:hAnsi="Arial Unicode MS" w:eastAsia="Arial Unicode MS"/>
          <w:sz w:val="16"/>
          <w:szCs w:val="16"/>
          <w:rtl w:val="0"/>
          <w:lang w:val="it-IT"/>
        </w:rPr>
        <w:t>(1) Rifiuti combustibili (combustibile da rifiuti)</w:t>
      </w:r>
    </w:p>
    <w:p>
      <w:pPr>
        <w:pStyle w:val="Normal"/>
        <w:rPr>
          <w:sz w:val="16"/>
          <w:szCs w:val="16"/>
        </w:rPr>
      </w:pPr>
      <w:r>
        <w:rPr>
          <w:rFonts w:ascii="Times New Roman" w:cs="Arial Unicode MS" w:hAnsi="Arial Unicode MS" w:eastAsia="Arial Unicode MS"/>
          <w:sz w:val="16"/>
          <w:szCs w:val="16"/>
          <w:rtl w:val="0"/>
          <w:lang w:val="it-IT"/>
        </w:rPr>
        <w:t>(2) Compost fuori specifica</w:t>
      </w:r>
    </w:p>
    <w:p>
      <w:pPr>
        <w:pStyle w:val="Normal"/>
        <w:rPr>
          <w:sz w:val="16"/>
          <w:szCs w:val="16"/>
        </w:rPr>
      </w:pPr>
      <w:r>
        <w:rPr>
          <w:rFonts w:ascii="Times New Roman" w:cs="Arial Unicode MS" w:hAnsi="Arial Unicode MS" w:eastAsia="Arial Unicode MS"/>
          <w:sz w:val="16"/>
          <w:szCs w:val="16"/>
          <w:rtl w:val="0"/>
          <w:lang w:val="it-IT"/>
        </w:rPr>
        <w:t>(3) Plastica e gomma</w:t>
      </w:r>
    </w:p>
    <w:p>
      <w:pPr>
        <w:pStyle w:val="Normal"/>
        <w:rPr>
          <w:sz w:val="16"/>
          <w:szCs w:val="16"/>
        </w:rPr>
      </w:pPr>
      <w:r>
        <w:rPr>
          <w:rFonts w:ascii="Times New Roman" w:cs="Arial Unicode MS" w:hAnsi="Arial Unicode MS" w:eastAsia="Arial Unicode MS"/>
          <w:sz w:val="16"/>
          <w:szCs w:val="16"/>
          <w:rtl w:val="0"/>
          <w:lang w:val="it-IT"/>
        </w:rPr>
        <w:t>(4) Parte di rifiuti urbani e simili non destinata al compost</w:t>
      </w:r>
    </w:p>
    <w:p>
      <w:pPr>
        <w:pStyle w:val="Normal"/>
        <w:rPr>
          <w:sz w:val="16"/>
          <w:szCs w:val="16"/>
          <w:rtl w:val="0"/>
        </w:rPr>
      </w:pPr>
      <w:r>
        <w:rPr>
          <w:rFonts w:ascii="Times New Roman" w:cs="Arial Unicode MS" w:hAnsi="Arial Unicode MS" w:eastAsia="Arial Unicode MS"/>
          <w:sz w:val="16"/>
          <w:szCs w:val="16"/>
          <w:rtl w:val="0"/>
          <w:lang w:val="it-IT"/>
        </w:rPr>
        <w:t>(5) Altri rifiuti (compresi materiali misti) prodotti dal trattamento meccanico dei rifiuti, diversi da quelli di cui alla voce 191211</w:t>
      </w:r>
    </w:p>
    <w:p>
      <w:pPr>
        <w:pStyle w:val="Normal"/>
        <w:jc w:val="both"/>
        <w:rPr>
          <w:sz w:val="16"/>
          <w:szCs w:val="16"/>
          <w:rtl w:val="0"/>
        </w:rPr>
      </w:pPr>
    </w:p>
    <w:p>
      <w:pPr>
        <w:pStyle w:val="Normal"/>
        <w:numPr>
          <w:ilvl w:val="0"/>
          <w:numId w:val="52"/>
        </w:numPr>
        <w:tabs>
          <w:tab w:val="num" w:pos="567"/>
          <w:tab w:val="clear" w:pos="0"/>
        </w:tabs>
        <w:suppressAutoHyphens w:val="1"/>
        <w:bidi w:val="0"/>
        <w:spacing w:line="100" w:lineRule="atLeast"/>
        <w:ind w:left="567" w:right="567" w:hanging="284"/>
        <w:jc w:val="both"/>
        <w:rPr>
          <w:rFonts w:ascii="Book Antiqua" w:cs="Book Antiqua" w:hAnsi="Book Antiqua" w:eastAsia="Book Antiqua"/>
          <w:position w:val="0"/>
          <w:rtl w:val="0"/>
        </w:rPr>
      </w:pPr>
      <w:r>
        <w:rPr>
          <w:rFonts w:ascii="Book Antiqua Bold"/>
          <w:b w:val="1"/>
          <w:bCs w:val="1"/>
          <w:rtl w:val="0"/>
          <w:lang w:val="it-IT"/>
        </w:rPr>
        <w:t>Impianto TMB AMA S.p.A. - Roma, via di Rocca Cencia nr. 301</w:t>
      </w:r>
    </w:p>
    <w:p>
      <w:pPr>
        <w:pStyle w:val="Normal"/>
        <w:numPr>
          <w:ilvl w:val="0"/>
          <w:numId w:val="59"/>
        </w:numPr>
        <w:tabs>
          <w:tab w:val="num" w:pos="567"/>
          <w:tab w:val="left" w:pos="1134"/>
          <w:tab w:val="clear" w:pos="0"/>
        </w:tabs>
        <w:suppressAutoHyphens w:val="1"/>
        <w:bidi w:val="0"/>
        <w:spacing w:line="100" w:lineRule="atLeast"/>
        <w:ind w:left="567" w:right="567" w:hanging="284"/>
        <w:jc w:val="both"/>
        <w:rPr>
          <w:rFonts w:ascii="Book Antiqua" w:cs="Book Antiqua" w:hAnsi="Book Antiqua" w:eastAsia="Book Antiqua"/>
          <w:position w:val="0"/>
          <w:sz w:val="24"/>
          <w:szCs w:val="24"/>
          <w:rtl w:val="0"/>
        </w:rPr>
      </w:pPr>
      <w:r>
        <w:rPr>
          <w:rFonts w:ascii="Book Antiqua"/>
          <w:rtl w:val="0"/>
          <w:lang w:val="it-IT"/>
        </w:rPr>
        <w:t>Capacit</w:t>
      </w:r>
      <w:r>
        <w:rPr>
          <w:rFonts w:hAnsi="Book Antiqua" w:hint="default"/>
          <w:rtl w:val="0"/>
          <w:lang w:val="it-IT"/>
        </w:rPr>
        <w:t xml:space="preserve">à </w:t>
      </w:r>
      <w:r>
        <w:rPr>
          <w:rFonts w:ascii="Book Antiqua"/>
          <w:rtl w:val="0"/>
          <w:lang w:val="it-IT"/>
        </w:rPr>
        <w:t>annua di trattamento pari a 234.000 ton</w:t>
      </w:r>
    </w:p>
    <w:p>
      <w:pPr>
        <w:pStyle w:val="Normal"/>
        <w:numPr>
          <w:ilvl w:val="0"/>
          <w:numId w:val="60"/>
        </w:numPr>
        <w:tabs>
          <w:tab w:val="num" w:pos="567"/>
          <w:tab w:val="left" w:pos="1134"/>
          <w:tab w:val="clear" w:pos="0"/>
        </w:tabs>
        <w:suppressAutoHyphens w:val="1"/>
        <w:bidi w:val="0"/>
        <w:spacing w:line="100" w:lineRule="atLeast"/>
        <w:ind w:left="567" w:right="567" w:hanging="284"/>
        <w:jc w:val="both"/>
        <w:rPr>
          <w:rFonts w:ascii="Book Antiqua" w:cs="Book Antiqua" w:hAnsi="Book Antiqua" w:eastAsia="Book Antiqua"/>
          <w:position w:val="0"/>
          <w:sz w:val="24"/>
          <w:szCs w:val="24"/>
          <w:rtl w:val="0"/>
        </w:rPr>
      </w:pPr>
      <w:r>
        <w:rPr>
          <w:rFonts w:ascii="Book Antiqua"/>
          <w:rtl w:val="0"/>
          <w:lang w:val="it-IT"/>
        </w:rPr>
        <w:t>Limite massimo giornaliero di trattamento al TMB pari a 825 ton dal marzo 2015 (precedentemente 750 ton)</w:t>
      </w:r>
    </w:p>
    <w:p>
      <w:pPr>
        <w:pStyle w:val="Normal"/>
        <w:numPr>
          <w:ilvl w:val="0"/>
          <w:numId w:val="61"/>
        </w:numPr>
        <w:tabs>
          <w:tab w:val="num" w:pos="567"/>
          <w:tab w:val="left" w:pos="1134"/>
          <w:tab w:val="clear" w:pos="0"/>
        </w:tabs>
        <w:suppressAutoHyphens w:val="1"/>
        <w:bidi w:val="0"/>
        <w:spacing w:line="100" w:lineRule="atLeast"/>
        <w:ind w:left="567" w:right="567" w:hanging="284"/>
        <w:jc w:val="both"/>
        <w:rPr>
          <w:rFonts w:ascii="Book Antiqua" w:cs="Book Antiqua" w:hAnsi="Book Antiqua" w:eastAsia="Book Antiqua"/>
          <w:position w:val="0"/>
          <w:sz w:val="24"/>
          <w:szCs w:val="24"/>
          <w:rtl w:val="0"/>
        </w:rPr>
      </w:pPr>
      <w:r>
        <w:rPr>
          <w:rFonts w:ascii="Book Antiqua"/>
          <w:rtl w:val="0"/>
          <w:lang w:val="it-IT"/>
        </w:rPr>
        <w:t>Limite massimo giornaliero di trasferenza dei RSU indifferenziati pari a 500 ton/giorno (dall</w:t>
      </w:r>
      <w:r>
        <w:rPr>
          <w:rFonts w:hAnsi="Book Antiqua" w:hint="default"/>
          <w:rtl w:val="0"/>
          <w:lang w:val="it-IT"/>
        </w:rPr>
        <w:t>’</w:t>
      </w:r>
      <w:r>
        <w:rPr>
          <w:rFonts w:ascii="Book Antiqua"/>
          <w:rtl w:val="0"/>
          <w:lang w:val="it-IT"/>
        </w:rPr>
        <w:t>aprile 2013) lievitato a 1000 ton/giorno dal dicembre 2016</w:t>
      </w:r>
    </w:p>
    <w:p>
      <w:pPr>
        <w:pStyle w:val="Normal"/>
        <w:jc w:val="both"/>
        <w:rPr>
          <w:rFonts w:ascii="Book Antiqua" w:cs="Book Antiqua" w:hAnsi="Book Antiqua" w:eastAsia="Book Antiqua"/>
          <w:rtl w:val="0"/>
        </w:rPr>
      </w:pPr>
    </w:p>
    <w:p>
      <w:pPr>
        <w:pStyle w:val="Normal"/>
        <w:jc w:val="both"/>
        <w:rPr>
          <w:b w:val="1"/>
          <w:bCs w:val="1"/>
          <w:i w:val="1"/>
          <w:iCs w:val="1"/>
          <w:sz w:val="18"/>
          <w:szCs w:val="18"/>
        </w:rPr>
      </w:pPr>
      <w:r>
        <w:rPr>
          <w:i w:val="1"/>
          <w:iCs w:val="1"/>
          <w:sz w:val="20"/>
          <w:szCs w:val="20"/>
          <w:rtl w:val="0"/>
          <w:lang w:val="it-IT"/>
        </w:rPr>
        <w:t>RIFIUTI IN INGRESSO (INPUT)</w:t>
      </w:r>
    </w:p>
    <w:tbl>
      <w:tblPr>
        <w:tblW w:w="9864" w:type="dxa"/>
        <w:jc w:val="left"/>
        <w:tblInd w:w="108" w:type="dxa"/>
        <w:tblBorders>
          <w:top w:val="single" w:color="000000" w:sz="2" w:space="0" w:shadow="0" w:frame="0"/>
          <w:left w:val="single" w:color="000000" w:sz="2" w:space="0" w:shadow="0" w:frame="0"/>
          <w:bottom w:val="single" w:color="000000" w:sz="2" w:space="0" w:shadow="0" w:frame="0"/>
          <w:right w:val="single" w:color="000000" w:sz="2" w:space="0" w:shadow="0" w:frame="0"/>
          <w:insideH w:val="single" w:color="000000" w:sz="2" w:space="0" w:shadow="0" w:frame="0"/>
          <w:insideV w:val="single" w:color="000000" w:sz="2" w:space="0" w:shadow="0" w:frame="0"/>
        </w:tblBorders>
        <w:shd w:val="clear" w:color="auto" w:fill="auto"/>
        <w:tblLayout w:type="fixed"/>
      </w:tblPr>
      <w:tblGrid>
        <w:gridCol w:w="832"/>
        <w:gridCol w:w="810"/>
        <w:gridCol w:w="898"/>
        <w:gridCol w:w="744"/>
        <w:gridCol w:w="636"/>
        <w:gridCol w:w="1007"/>
        <w:gridCol w:w="777"/>
        <w:gridCol w:w="865"/>
        <w:gridCol w:w="1052"/>
        <w:gridCol w:w="591"/>
        <w:gridCol w:w="1652"/>
      </w:tblGrid>
      <w:tr>
        <w:tblPrEx>
          <w:shd w:val="clear" w:color="auto" w:fill="auto"/>
        </w:tblPrEx>
        <w:trPr>
          <w:trHeight w:val="1002" w:hRule="atLeast"/>
        </w:trPr>
        <w:tc>
          <w:tcPr>
            <w:tcW w:type="dxa" w:w="8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center"/>
          </w:tcPr>
          <w:p>
            <w:pPr>
              <w:pStyle w:val="Normal"/>
              <w:jc w:val="cente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ANNO</w:t>
            </w:r>
          </w:p>
        </w:tc>
        <w:tc>
          <w:tcPr>
            <w:tcW w:type="dxa" w:w="1708"/>
            <w:gridSpan w:val="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top"/>
          </w:tcPr>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QUANTIT</w:t>
            </w:r>
            <w:r>
              <w:rPr>
                <w:rFonts w:hAnsi="Times New Roman" w:hint="default"/>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 xml:space="preserve">À </w:t>
            </w: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RIFIUTI</w:t>
            </w: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br w:type="textWrapping"/>
            </w: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AUTORIZZATA</w:t>
            </w:r>
          </w:p>
          <w:p>
            <w:pPr>
              <w:pStyle w:val="Normal"/>
              <w:jc w:val="cente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(ton)</w:t>
            </w:r>
          </w:p>
        </w:tc>
        <w:tc>
          <w:tcPr>
            <w:tcW w:type="dxa" w:w="1380"/>
            <w:gridSpan w:val="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top"/>
          </w:tcPr>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(A+B+C)</w:t>
            </w:r>
          </w:p>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RIFIUTI IN INGRESSO IMPIANTO</w:t>
            </w:r>
          </w:p>
          <w:p>
            <w:pPr>
              <w:pStyle w:val="Normal"/>
              <w:jc w:val="cente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(ton)</w:t>
            </w:r>
          </w:p>
        </w:tc>
        <w:tc>
          <w:tcPr>
            <w:tcW w:type="dxa" w:w="1784"/>
            <w:gridSpan w:val="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top"/>
          </w:tcPr>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(A)</w:t>
            </w:r>
          </w:p>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RIFIUTI DESTINATI IMPIANTO TMB</w:t>
            </w:r>
          </w:p>
          <w:p>
            <w:pPr>
              <w:pStyle w:val="Normal"/>
              <w:jc w:val="cente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(ton) - %</w:t>
            </w:r>
          </w:p>
        </w:tc>
        <w:tc>
          <w:tcPr>
            <w:tcW w:type="dxa" w:w="1917"/>
            <w:gridSpan w:val="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top"/>
          </w:tcPr>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(B)</w:t>
            </w:r>
          </w:p>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RIFIUTI DESTINATI A TRASFERENZA</w:t>
            </w:r>
          </w:p>
          <w:p>
            <w:pPr>
              <w:pStyle w:val="Normal"/>
              <w:jc w:val="cente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(ton)</w:t>
            </w:r>
          </w:p>
        </w:tc>
        <w:tc>
          <w:tcPr>
            <w:tcW w:type="dxa" w:w="2242"/>
            <w:gridSpan w:val="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top"/>
          </w:tcPr>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(C)</w:t>
            </w:r>
          </w:p>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 xml:space="preserve">RIFIUTI </w:t>
            </w: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br w:type="textWrapping"/>
            </w: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DESTINATI A TRITOVAGLIATURA</w:t>
            </w:r>
          </w:p>
          <w:p>
            <w:pPr>
              <w:pStyle w:val="Normal"/>
              <w:jc w:val="cente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(ton)</w:t>
            </w:r>
          </w:p>
        </w:tc>
      </w:tr>
      <w:tr>
        <w:tblPrEx>
          <w:shd w:val="clear" w:color="auto" w:fill="auto"/>
        </w:tblPrEx>
        <w:trPr>
          <w:trHeight w:val="402" w:hRule="atLeast"/>
        </w:trPr>
        <w:tc>
          <w:tcPr>
            <w:tcW w:type="dxa" w:w="1642"/>
            <w:gridSpan w:val="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2013</w:t>
            </w:r>
          </w:p>
        </w:tc>
        <w:tc>
          <w:tcPr>
            <w:tcW w:type="dxa" w:w="1642"/>
            <w:gridSpan w:val="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234.000</w:t>
            </w:r>
          </w:p>
        </w:tc>
        <w:tc>
          <w:tcPr>
            <w:tcW w:type="dxa" w:w="1643"/>
            <w:gridSpan w:val="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244.217,02</w:t>
            </w:r>
          </w:p>
        </w:tc>
        <w:tc>
          <w:tcPr>
            <w:tcW w:type="dxa" w:w="1642"/>
            <w:gridSpan w:val="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228.995,25</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97,86 %</w:t>
            </w:r>
          </w:p>
        </w:tc>
        <w:tc>
          <w:tcPr>
            <w:tcW w:type="dxa" w:w="1643"/>
            <w:gridSpan w:val="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15221,77</w:t>
            </w:r>
          </w:p>
        </w:tc>
        <w:tc>
          <w:tcPr>
            <w:tcW w:type="dxa" w:w="16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w:t>
            </w:r>
          </w:p>
        </w:tc>
      </w:tr>
      <w:tr>
        <w:tblPrEx>
          <w:shd w:val="clear" w:color="auto" w:fill="auto"/>
        </w:tblPrEx>
        <w:trPr>
          <w:trHeight w:val="402" w:hRule="atLeast"/>
        </w:trPr>
        <w:tc>
          <w:tcPr>
            <w:tcW w:type="dxa" w:w="1642"/>
            <w:gridSpan w:val="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2014</w:t>
            </w:r>
          </w:p>
        </w:tc>
        <w:tc>
          <w:tcPr>
            <w:tcW w:type="dxa" w:w="1642"/>
            <w:gridSpan w:val="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234.000</w:t>
            </w:r>
          </w:p>
        </w:tc>
        <w:tc>
          <w:tcPr>
            <w:tcW w:type="dxa" w:w="1643"/>
            <w:gridSpan w:val="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231.162,08</w:t>
            </w:r>
          </w:p>
        </w:tc>
        <w:tc>
          <w:tcPr>
            <w:tcW w:type="dxa" w:w="1642"/>
            <w:gridSpan w:val="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229.772,69</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98,19 %</w:t>
            </w:r>
          </w:p>
        </w:tc>
        <w:tc>
          <w:tcPr>
            <w:tcW w:type="dxa" w:w="1643"/>
            <w:gridSpan w:val="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0,00</w:t>
            </w:r>
          </w:p>
        </w:tc>
        <w:tc>
          <w:tcPr>
            <w:tcW w:type="dxa" w:w="16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1.389,39</w:t>
            </w:r>
          </w:p>
        </w:tc>
      </w:tr>
      <w:tr>
        <w:tblPrEx>
          <w:shd w:val="clear" w:color="auto" w:fill="auto"/>
        </w:tblPrEx>
        <w:trPr>
          <w:trHeight w:val="402" w:hRule="atLeast"/>
        </w:trPr>
        <w:tc>
          <w:tcPr>
            <w:tcW w:type="dxa" w:w="8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2015</w:t>
            </w:r>
          </w:p>
        </w:tc>
        <w:tc>
          <w:tcPr>
            <w:tcW w:type="dxa" w:w="1708"/>
            <w:gridSpan w:val="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234.000</w:t>
            </w:r>
          </w:p>
        </w:tc>
        <w:tc>
          <w:tcPr>
            <w:tcW w:type="dxa" w:w="1380"/>
            <w:gridSpan w:val="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290.031,50</w:t>
            </w:r>
          </w:p>
        </w:tc>
        <w:tc>
          <w:tcPr>
            <w:tcW w:type="dxa" w:w="1784"/>
            <w:gridSpan w:val="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232.292,50</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99,27%</w:t>
            </w:r>
          </w:p>
        </w:tc>
        <w:tc>
          <w:tcPr>
            <w:tcW w:type="dxa" w:w="1917"/>
            <w:gridSpan w:val="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47.233,47</w:t>
            </w:r>
          </w:p>
        </w:tc>
        <w:tc>
          <w:tcPr>
            <w:tcW w:type="dxa" w:w="2242"/>
            <w:gridSpan w:val="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10.505,53</w:t>
            </w:r>
          </w:p>
        </w:tc>
      </w:tr>
      <w:tr>
        <w:tblPrEx>
          <w:shd w:val="clear" w:color="auto" w:fill="auto"/>
        </w:tblPrEx>
        <w:trPr>
          <w:trHeight w:val="402" w:hRule="atLeast"/>
        </w:trPr>
        <w:tc>
          <w:tcPr>
            <w:tcW w:type="dxa" w:w="8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2016</w:t>
            </w:r>
          </w:p>
        </w:tc>
        <w:tc>
          <w:tcPr>
            <w:tcW w:type="dxa" w:w="1708"/>
            <w:gridSpan w:val="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234.000</w:t>
            </w:r>
          </w:p>
        </w:tc>
        <w:tc>
          <w:tcPr>
            <w:tcW w:type="dxa" w:w="1380"/>
            <w:gridSpan w:val="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316.863,31</w:t>
            </w:r>
          </w:p>
        </w:tc>
        <w:tc>
          <w:tcPr>
            <w:tcW w:type="dxa" w:w="1784"/>
            <w:gridSpan w:val="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200.996,22</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85,89%</w:t>
            </w:r>
          </w:p>
        </w:tc>
        <w:tc>
          <w:tcPr>
            <w:tcW w:type="dxa" w:w="1917"/>
            <w:gridSpan w:val="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108.925,88</w:t>
            </w:r>
          </w:p>
        </w:tc>
        <w:tc>
          <w:tcPr>
            <w:tcW w:type="dxa" w:w="2242"/>
            <w:gridSpan w:val="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6.941,21</w:t>
            </w:r>
          </w:p>
        </w:tc>
      </w:tr>
      <w:tr>
        <w:tblPrEx>
          <w:shd w:val="clear" w:color="auto" w:fill="auto"/>
        </w:tblPrEx>
        <w:trPr>
          <w:trHeight w:val="602" w:hRule="atLeast"/>
        </w:trPr>
        <w:tc>
          <w:tcPr>
            <w:tcW w:type="dxa" w:w="8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2017</w:t>
            </w:r>
          </w:p>
          <w:p>
            <w:pPr>
              <w:pStyle w:val="Normal"/>
              <w:jc w:val="cente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(fino al 30.04)</w:t>
            </w:r>
          </w:p>
        </w:tc>
        <w:tc>
          <w:tcPr>
            <w:tcW w:type="dxa" w:w="1708"/>
            <w:gridSpan w:val="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234.000</w:t>
            </w:r>
          </w:p>
        </w:tc>
        <w:tc>
          <w:tcPr>
            <w:tcW w:type="dxa" w:w="1380"/>
            <w:gridSpan w:val="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113.137,83</w:t>
            </w:r>
          </w:p>
        </w:tc>
        <w:tc>
          <w:tcPr>
            <w:tcW w:type="dxa" w:w="1784"/>
            <w:gridSpan w:val="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67.258,85</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28,74%</w:t>
            </w:r>
          </w:p>
        </w:tc>
        <w:tc>
          <w:tcPr>
            <w:tcW w:type="dxa" w:w="1917"/>
            <w:gridSpan w:val="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45.878,98</w:t>
            </w:r>
          </w:p>
        </w:tc>
        <w:tc>
          <w:tcPr>
            <w:tcW w:type="dxa" w:w="2242"/>
            <w:gridSpan w:val="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0</w:t>
            </w:r>
          </w:p>
        </w:tc>
      </w:tr>
    </w:tbl>
    <w:p>
      <w:pPr>
        <w:pStyle w:val="Normal"/>
        <w:jc w:val="both"/>
        <w:rPr>
          <w:b w:val="1"/>
          <w:bCs w:val="1"/>
          <w:i w:val="1"/>
          <w:iCs w:val="1"/>
          <w:sz w:val="18"/>
          <w:szCs w:val="18"/>
        </w:rPr>
      </w:pPr>
    </w:p>
    <w:p>
      <w:pPr>
        <w:pStyle w:val="Normal"/>
        <w:jc w:val="both"/>
        <w:rPr>
          <w:b w:val="1"/>
          <w:bCs w:val="1"/>
          <w:i w:val="1"/>
          <w:iCs w:val="1"/>
          <w:sz w:val="18"/>
          <w:szCs w:val="18"/>
        </w:rPr>
      </w:pPr>
    </w:p>
    <w:p>
      <w:pPr>
        <w:pStyle w:val="Normal"/>
        <w:jc w:val="both"/>
        <w:rPr>
          <w:b w:val="1"/>
          <w:bCs w:val="1"/>
          <w:i w:val="1"/>
          <w:iCs w:val="1"/>
          <w:sz w:val="18"/>
          <w:szCs w:val="18"/>
        </w:rPr>
      </w:pPr>
    </w:p>
    <w:p>
      <w:pPr>
        <w:pStyle w:val="Normal"/>
        <w:jc w:val="both"/>
        <w:rPr>
          <w:b w:val="1"/>
          <w:bCs w:val="1"/>
          <w:i w:val="1"/>
          <w:iCs w:val="1"/>
          <w:sz w:val="18"/>
          <w:szCs w:val="18"/>
        </w:rPr>
      </w:pPr>
      <w:r>
        <w:rPr>
          <w:i w:val="1"/>
          <w:iCs w:val="1"/>
          <w:sz w:val="20"/>
          <w:szCs w:val="20"/>
          <w:rtl w:val="0"/>
          <w:lang w:val="it-IT"/>
        </w:rPr>
        <w:t>RIFIUTI TRATTATI E/O IN USCITA (OUTPUT)</w:t>
      </w:r>
    </w:p>
    <w:tbl>
      <w:tblPr>
        <w:tblW w:w="9632" w:type="dxa"/>
        <w:jc w:val="left"/>
        <w:tblInd w:w="108" w:type="dxa"/>
        <w:tblBorders>
          <w:top w:val="single" w:color="000000" w:sz="2" w:space="0" w:shadow="0" w:frame="0"/>
          <w:left w:val="single" w:color="000000" w:sz="2" w:space="0" w:shadow="0" w:frame="0"/>
          <w:bottom w:val="single" w:color="000000" w:sz="2" w:space="0" w:shadow="0" w:frame="0"/>
          <w:right w:val="single" w:color="000000" w:sz="2" w:space="0" w:shadow="0" w:frame="0"/>
          <w:insideH w:val="single" w:color="000000" w:sz="2" w:space="0" w:shadow="0" w:frame="0"/>
          <w:insideV w:val="single" w:color="000000" w:sz="2" w:space="0" w:shadow="0" w:frame="0"/>
        </w:tblBorders>
        <w:shd w:val="clear" w:color="auto" w:fill="auto"/>
        <w:tblLayout w:type="fixed"/>
      </w:tblPr>
      <w:tblGrid>
        <w:gridCol w:w="812"/>
        <w:gridCol w:w="1226"/>
        <w:gridCol w:w="1206"/>
        <w:gridCol w:w="1211"/>
        <w:gridCol w:w="1213"/>
        <w:gridCol w:w="1210"/>
        <w:gridCol w:w="1560"/>
        <w:gridCol w:w="1194"/>
      </w:tblGrid>
      <w:tr>
        <w:tblPrEx>
          <w:shd w:val="clear" w:color="auto" w:fill="auto"/>
        </w:tblPrEx>
        <w:trPr>
          <w:trHeight w:val="1607" w:hRule="atLeast"/>
        </w:trPr>
        <w:tc>
          <w:tcPr>
            <w:tcW w:type="dxa" w:w="81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center"/>
          </w:tcPr>
          <w:p>
            <w:pPr>
              <w:pStyle w:val="Normal"/>
              <w:jc w:val="cente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ANNO</w:t>
            </w:r>
          </w:p>
        </w:tc>
        <w:tc>
          <w:tcPr>
            <w:tcW w:type="dxa" w:w="122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top"/>
          </w:tcPr>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CDR</w:t>
            </w:r>
          </w:p>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(combustibile da rifiuto)</w:t>
            </w:r>
          </w:p>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p>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p>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CER 191210</w:t>
            </w:r>
            <w:r>
              <w:rPr>
                <w:b w:val="1"/>
                <w:bCs w:val="1"/>
                <w:i w:val="1"/>
                <w:iCs w:val="1"/>
                <w:caps w:val="0"/>
                <w:smallCaps w:val="0"/>
                <w:strike w:val="0"/>
                <w:dstrike w:val="0"/>
                <w:outline w:val="0"/>
                <w:color w:val="000000"/>
                <w:spacing w:val="0"/>
                <w:kern w:val="0"/>
                <w:position w:val="0"/>
                <w:sz w:val="18"/>
                <w:szCs w:val="18"/>
                <w:u w:val="none" w:color="000000"/>
                <w:vertAlign w:val="superscript"/>
                <w:rtl w:val="0"/>
                <w:lang w:val="it-IT"/>
              </w:rPr>
              <w:t>(1)</w:t>
            </w:r>
          </w:p>
          <w:p>
            <w:pPr>
              <w:pStyle w:val="Normal"/>
              <w:jc w:val="cente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(ton) - %</w:t>
            </w:r>
          </w:p>
        </w:tc>
        <w:tc>
          <w:tcPr>
            <w:tcW w:type="dxa" w:w="120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top"/>
          </w:tcPr>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FOS</w:t>
            </w:r>
          </w:p>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(frazione organica stabilizzata)</w:t>
            </w:r>
          </w:p>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p>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CER 190503</w:t>
            </w:r>
            <w:r>
              <w:rPr>
                <w:b w:val="1"/>
                <w:bCs w:val="1"/>
                <w:i w:val="1"/>
                <w:iCs w:val="1"/>
                <w:caps w:val="0"/>
                <w:smallCaps w:val="0"/>
                <w:strike w:val="0"/>
                <w:dstrike w:val="0"/>
                <w:outline w:val="0"/>
                <w:color w:val="000000"/>
                <w:spacing w:val="0"/>
                <w:kern w:val="0"/>
                <w:position w:val="0"/>
                <w:sz w:val="18"/>
                <w:szCs w:val="18"/>
                <w:u w:val="none" w:color="000000"/>
                <w:vertAlign w:val="superscript"/>
                <w:rtl w:val="0"/>
                <w:lang w:val="it-IT"/>
              </w:rPr>
              <w:t>(2)</w:t>
            </w:r>
          </w:p>
          <w:p>
            <w:pPr>
              <w:pStyle w:val="Normal"/>
              <w:jc w:val="cente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(ton) - %</w:t>
            </w:r>
          </w:p>
        </w:tc>
        <w:tc>
          <w:tcPr>
            <w:tcW w:type="dxa" w:w="121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top"/>
          </w:tcPr>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METALLI</w:t>
            </w:r>
          </w:p>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p>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p>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p>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CER 191202</w:t>
            </w:r>
          </w:p>
          <w:p>
            <w:pPr>
              <w:pStyle w:val="Normal"/>
              <w:jc w:val="cente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(ton) - %</w:t>
            </w:r>
          </w:p>
        </w:tc>
        <w:tc>
          <w:tcPr>
            <w:tcW w:type="dxa" w:w="12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top"/>
          </w:tcPr>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METALLI</w:t>
            </w:r>
          </w:p>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NON</w:t>
            </w:r>
          </w:p>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FERROSI</w:t>
            </w:r>
          </w:p>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p>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CER 191203</w:t>
            </w:r>
          </w:p>
          <w:p>
            <w:pPr>
              <w:pStyle w:val="Normal"/>
              <w:jc w:val="cente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(ton) - %</w:t>
            </w:r>
          </w:p>
        </w:tc>
        <w:tc>
          <w:tcPr>
            <w:tcW w:type="dxa" w:w="121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top"/>
          </w:tcPr>
          <w:p>
            <w:pPr>
              <w:pStyle w:val="Normal"/>
              <w:jc w:val="center"/>
              <w:rPr>
                <w:caps w:val="0"/>
                <w:smallCaps w:val="0"/>
                <w:strike w:val="0"/>
                <w:dstrike w:val="0"/>
                <w:outline w:val="0"/>
                <w:color w:val="000000"/>
                <w:spacing w:val="0"/>
                <w:kern w:val="0"/>
                <w:position w:val="0"/>
                <w:sz w:val="24"/>
                <w:szCs w:val="24"/>
                <w:u w:val="none" w:color="000000"/>
                <w:vertAlign w:val="baseline"/>
                <w:rtl w:val="0"/>
                <w:lang w:val="it-IT"/>
              </w:rP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PET</w:t>
            </w:r>
          </w:p>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r>
              <w:rPr>
                <w:b w:val="1"/>
                <w:bCs w:val="1"/>
                <w:i w:val="1"/>
                <w:iCs w:val="1"/>
                <w:caps w:val="0"/>
                <w:smallCaps w:val="0"/>
                <w:strike w:val="0"/>
                <w:dstrike w:val="0"/>
                <w:outline w:val="0"/>
                <w:color w:val="222222"/>
                <w:spacing w:val="0"/>
                <w:kern w:val="0"/>
                <w:position w:val="0"/>
                <w:sz w:val="18"/>
                <w:szCs w:val="18"/>
                <w:u w:val="none" w:color="222222"/>
                <w:vertAlign w:val="baseline"/>
                <w:rtl w:val="0"/>
                <w:lang w:val="it-IT"/>
              </w:rPr>
              <w:t>(polietilene tereftalato)</w:t>
            </w:r>
          </w:p>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p>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p>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CER 191204</w:t>
            </w:r>
            <w:r>
              <w:rPr>
                <w:b w:val="1"/>
                <w:bCs w:val="1"/>
                <w:i w:val="1"/>
                <w:iCs w:val="1"/>
                <w:caps w:val="0"/>
                <w:smallCaps w:val="0"/>
                <w:strike w:val="0"/>
                <w:dstrike w:val="0"/>
                <w:outline w:val="0"/>
                <w:color w:val="000000"/>
                <w:spacing w:val="0"/>
                <w:kern w:val="0"/>
                <w:position w:val="0"/>
                <w:sz w:val="18"/>
                <w:szCs w:val="18"/>
                <w:u w:val="none" w:color="000000"/>
                <w:vertAlign w:val="superscript"/>
                <w:rtl w:val="0"/>
                <w:lang w:val="it-IT"/>
              </w:rPr>
              <w:t>(3)</w:t>
            </w:r>
          </w:p>
          <w:p>
            <w:pPr>
              <w:pStyle w:val="Normal"/>
              <w:jc w:val="cente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(ton) - %</w:t>
            </w:r>
          </w:p>
        </w:tc>
        <w:tc>
          <w:tcPr>
            <w:tcW w:type="dxa" w:w="155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top"/>
          </w:tcPr>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RIFIUTI NON</w:t>
            </w:r>
          </w:p>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COMPOSTATI</w:t>
            </w:r>
          </w:p>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p>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p>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p>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CER 190501</w:t>
            </w:r>
            <w:r>
              <w:rPr>
                <w:b w:val="1"/>
                <w:bCs w:val="1"/>
                <w:i w:val="1"/>
                <w:iCs w:val="1"/>
                <w:caps w:val="0"/>
                <w:smallCaps w:val="0"/>
                <w:strike w:val="0"/>
                <w:dstrike w:val="0"/>
                <w:outline w:val="0"/>
                <w:color w:val="000000"/>
                <w:spacing w:val="0"/>
                <w:kern w:val="0"/>
                <w:position w:val="0"/>
                <w:sz w:val="18"/>
                <w:szCs w:val="18"/>
                <w:u w:val="none" w:color="000000"/>
                <w:vertAlign w:val="superscript"/>
                <w:rtl w:val="0"/>
                <w:lang w:val="it-IT"/>
              </w:rPr>
              <w:t>(4)</w:t>
            </w:r>
          </w:p>
          <w:p>
            <w:pPr>
              <w:pStyle w:val="Normal"/>
              <w:jc w:val="cente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(ton) - %</w:t>
            </w:r>
          </w:p>
        </w:tc>
        <w:tc>
          <w:tcPr>
            <w:tcW w:type="dxa" w:w="119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top"/>
          </w:tcPr>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ALTRI</w:t>
            </w:r>
          </w:p>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RIFIUTI</w:t>
            </w:r>
          </w:p>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p>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p>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CER 191212</w:t>
            </w:r>
            <w:r>
              <w:rPr>
                <w:b w:val="1"/>
                <w:bCs w:val="1"/>
                <w:i w:val="1"/>
                <w:iCs w:val="1"/>
                <w:caps w:val="0"/>
                <w:smallCaps w:val="0"/>
                <w:strike w:val="0"/>
                <w:dstrike w:val="0"/>
                <w:outline w:val="0"/>
                <w:color w:val="000000"/>
                <w:spacing w:val="0"/>
                <w:kern w:val="0"/>
                <w:position w:val="0"/>
                <w:sz w:val="18"/>
                <w:szCs w:val="18"/>
                <w:u w:val="none" w:color="000000"/>
                <w:vertAlign w:val="superscript"/>
                <w:rtl w:val="0"/>
                <w:lang w:val="it-IT"/>
              </w:rPr>
              <w:t>(5)</w:t>
            </w:r>
          </w:p>
          <w:p>
            <w:pPr>
              <w:pStyle w:val="Normal"/>
              <w:jc w:val="cente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(ton) - %</w:t>
            </w:r>
          </w:p>
        </w:tc>
      </w:tr>
      <w:tr>
        <w:tblPrEx>
          <w:shd w:val="clear" w:color="auto" w:fill="auto"/>
        </w:tblPrEx>
        <w:trPr>
          <w:trHeight w:val="402" w:hRule="atLeast"/>
        </w:trPr>
        <w:tc>
          <w:tcPr>
            <w:tcW w:type="dxa" w:w="81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2013</w:t>
            </w:r>
          </w:p>
        </w:tc>
        <w:tc>
          <w:tcPr>
            <w:tcW w:type="dxa" w:w="122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53.517,38</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23,37 %</w:t>
            </w:r>
          </w:p>
        </w:tc>
        <w:tc>
          <w:tcPr>
            <w:tcW w:type="dxa" w:w="120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47.240,05</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20,63 %</w:t>
            </w:r>
          </w:p>
        </w:tc>
        <w:tc>
          <w:tcPr>
            <w:tcW w:type="dxa" w:w="121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2.068,83</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0,90 %</w:t>
            </w:r>
          </w:p>
        </w:tc>
        <w:tc>
          <w:tcPr>
            <w:tcW w:type="dxa" w:w="12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12,72</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0,01 %</w:t>
            </w:r>
          </w:p>
        </w:tc>
        <w:tc>
          <w:tcPr>
            <w:tcW w:type="dxa" w:w="121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w:t>
            </w:r>
          </w:p>
        </w:tc>
        <w:tc>
          <w:tcPr>
            <w:tcW w:type="dxa" w:w="155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0,00</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0,00 %</w:t>
            </w:r>
          </w:p>
        </w:tc>
        <w:tc>
          <w:tcPr>
            <w:tcW w:type="dxa" w:w="119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85.742,05</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37,44 %</w:t>
            </w:r>
          </w:p>
        </w:tc>
      </w:tr>
      <w:tr>
        <w:tblPrEx>
          <w:shd w:val="clear" w:color="auto" w:fill="auto"/>
        </w:tblPrEx>
        <w:trPr>
          <w:trHeight w:val="402" w:hRule="atLeast"/>
        </w:trPr>
        <w:tc>
          <w:tcPr>
            <w:tcW w:type="dxa" w:w="81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2014</w:t>
            </w:r>
          </w:p>
        </w:tc>
        <w:tc>
          <w:tcPr>
            <w:tcW w:type="dxa" w:w="122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51.061,54</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22,22 %</w:t>
            </w:r>
          </w:p>
        </w:tc>
        <w:tc>
          <w:tcPr>
            <w:tcW w:type="dxa" w:w="120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24.318,52</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10,58 %</w:t>
            </w:r>
          </w:p>
        </w:tc>
        <w:tc>
          <w:tcPr>
            <w:tcW w:type="dxa" w:w="121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2.439,68</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1,06 %</w:t>
            </w:r>
          </w:p>
        </w:tc>
        <w:tc>
          <w:tcPr>
            <w:tcW w:type="dxa" w:w="12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4,40</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0,00 %</w:t>
            </w:r>
          </w:p>
        </w:tc>
        <w:tc>
          <w:tcPr>
            <w:tcW w:type="dxa" w:w="121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w:t>
            </w:r>
          </w:p>
        </w:tc>
        <w:tc>
          <w:tcPr>
            <w:tcW w:type="dxa" w:w="155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17.514,32</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7,62 %</w:t>
            </w:r>
          </w:p>
        </w:tc>
        <w:tc>
          <w:tcPr>
            <w:tcW w:type="dxa" w:w="119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96.496,10</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42,00 %</w:t>
            </w:r>
          </w:p>
        </w:tc>
      </w:tr>
      <w:tr>
        <w:tblPrEx>
          <w:shd w:val="clear" w:color="auto" w:fill="auto"/>
        </w:tblPrEx>
        <w:trPr>
          <w:trHeight w:val="402" w:hRule="atLeast"/>
        </w:trPr>
        <w:tc>
          <w:tcPr>
            <w:tcW w:type="dxa" w:w="81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2015</w:t>
            </w:r>
          </w:p>
        </w:tc>
        <w:tc>
          <w:tcPr>
            <w:tcW w:type="dxa" w:w="122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52.595,83</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22,64%</w:t>
            </w:r>
          </w:p>
        </w:tc>
        <w:tc>
          <w:tcPr>
            <w:tcW w:type="dxa" w:w="120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31.754,77</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13,67%</w:t>
            </w:r>
          </w:p>
        </w:tc>
        <w:tc>
          <w:tcPr>
            <w:tcW w:type="dxa" w:w="121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2.832,46</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1,22%</w:t>
            </w:r>
          </w:p>
        </w:tc>
        <w:tc>
          <w:tcPr>
            <w:tcW w:type="dxa" w:w="12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0</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0,00%</w:t>
            </w:r>
          </w:p>
        </w:tc>
        <w:tc>
          <w:tcPr>
            <w:tcW w:type="dxa" w:w="121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w:t>
            </w:r>
          </w:p>
        </w:tc>
        <w:tc>
          <w:tcPr>
            <w:tcW w:type="dxa" w:w="155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14.678,20</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6,32%</w:t>
            </w:r>
          </w:p>
        </w:tc>
        <w:tc>
          <w:tcPr>
            <w:tcW w:type="dxa" w:w="119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97.037,25</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41,77%</w:t>
            </w:r>
          </w:p>
        </w:tc>
      </w:tr>
      <w:tr>
        <w:tblPrEx>
          <w:shd w:val="clear" w:color="auto" w:fill="auto"/>
        </w:tblPrEx>
        <w:trPr>
          <w:trHeight w:val="402" w:hRule="atLeast"/>
        </w:trPr>
        <w:tc>
          <w:tcPr>
            <w:tcW w:type="dxa" w:w="81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2016</w:t>
            </w:r>
          </w:p>
        </w:tc>
        <w:tc>
          <w:tcPr>
            <w:tcW w:type="dxa" w:w="122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31.049,04</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15,45%</w:t>
            </w:r>
          </w:p>
        </w:tc>
        <w:tc>
          <w:tcPr>
            <w:tcW w:type="dxa" w:w="120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5.665,04</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2,82%</w:t>
            </w:r>
          </w:p>
        </w:tc>
        <w:tc>
          <w:tcPr>
            <w:tcW w:type="dxa" w:w="121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1.838,92</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0,91%</w:t>
            </w:r>
          </w:p>
        </w:tc>
        <w:tc>
          <w:tcPr>
            <w:tcW w:type="dxa" w:w="12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0</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0,00%</w:t>
            </w:r>
          </w:p>
        </w:tc>
        <w:tc>
          <w:tcPr>
            <w:tcW w:type="dxa" w:w="121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w:t>
            </w:r>
          </w:p>
        </w:tc>
        <w:tc>
          <w:tcPr>
            <w:tcW w:type="dxa" w:w="155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23.950,32</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11,92%</w:t>
            </w:r>
          </w:p>
        </w:tc>
        <w:tc>
          <w:tcPr>
            <w:tcW w:type="dxa" w:w="119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114.248,72</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56,84%</w:t>
            </w:r>
          </w:p>
        </w:tc>
      </w:tr>
      <w:tr>
        <w:tblPrEx>
          <w:shd w:val="clear" w:color="auto" w:fill="auto"/>
        </w:tblPrEx>
        <w:trPr>
          <w:trHeight w:val="602" w:hRule="atLeast"/>
        </w:trPr>
        <w:tc>
          <w:tcPr>
            <w:tcW w:type="dxa" w:w="81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2017</w:t>
            </w:r>
          </w:p>
          <w:p>
            <w:pPr>
              <w:pStyle w:val="Normal"/>
              <w:jc w:val="cente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(fino al 30.04)</w:t>
            </w:r>
          </w:p>
        </w:tc>
        <w:tc>
          <w:tcPr>
            <w:tcW w:type="dxa" w:w="122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11.199,92</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16,65%</w:t>
            </w:r>
          </w:p>
        </w:tc>
        <w:tc>
          <w:tcPr>
            <w:tcW w:type="dxa" w:w="120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0</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0,00%</w:t>
            </w:r>
          </w:p>
        </w:tc>
        <w:tc>
          <w:tcPr>
            <w:tcW w:type="dxa" w:w="121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449,14</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0,67%</w:t>
            </w:r>
          </w:p>
        </w:tc>
        <w:tc>
          <w:tcPr>
            <w:tcW w:type="dxa" w:w="12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0</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0,00%</w:t>
            </w:r>
          </w:p>
        </w:tc>
        <w:tc>
          <w:tcPr>
            <w:tcW w:type="dxa" w:w="121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w:t>
            </w:r>
          </w:p>
        </w:tc>
        <w:tc>
          <w:tcPr>
            <w:tcW w:type="dxa" w:w="155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6.947,32</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10,33%</w:t>
            </w:r>
          </w:p>
        </w:tc>
        <w:tc>
          <w:tcPr>
            <w:tcW w:type="dxa" w:w="119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32.614,46</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48,49%</w:t>
            </w:r>
          </w:p>
        </w:tc>
      </w:tr>
    </w:tbl>
    <w:p>
      <w:pPr>
        <w:pStyle w:val="Normal"/>
        <w:jc w:val="both"/>
        <w:rPr>
          <w:b w:val="1"/>
          <w:bCs w:val="1"/>
          <w:i w:val="1"/>
          <w:iCs w:val="1"/>
          <w:sz w:val="18"/>
          <w:szCs w:val="18"/>
        </w:rPr>
      </w:pPr>
    </w:p>
    <w:p>
      <w:pPr>
        <w:pStyle w:val="Normal"/>
        <w:ind w:left="567" w:right="567" w:firstLine="0"/>
        <w:jc w:val="both"/>
        <w:rPr>
          <w:rFonts w:ascii="Calibri" w:cs="Calibri" w:hAnsi="Calibri" w:eastAsia="Calibri"/>
          <w:sz w:val="16"/>
          <w:szCs w:val="16"/>
        </w:rPr>
      </w:pPr>
    </w:p>
    <w:p>
      <w:pPr>
        <w:pStyle w:val="Normal"/>
        <w:rPr>
          <w:sz w:val="16"/>
          <w:szCs w:val="16"/>
        </w:rPr>
      </w:pPr>
      <w:r>
        <w:rPr>
          <w:rFonts w:ascii="Times New Roman" w:cs="Arial Unicode MS" w:hAnsi="Arial Unicode MS" w:eastAsia="Arial Unicode MS"/>
          <w:sz w:val="16"/>
          <w:szCs w:val="16"/>
          <w:rtl w:val="0"/>
          <w:lang w:val="it-IT"/>
        </w:rPr>
        <w:t>(1) Rifiuti combustibili (combustibile da rifiuti)</w:t>
      </w:r>
    </w:p>
    <w:p>
      <w:pPr>
        <w:pStyle w:val="Normal"/>
        <w:rPr>
          <w:sz w:val="16"/>
          <w:szCs w:val="16"/>
        </w:rPr>
      </w:pPr>
      <w:r>
        <w:rPr>
          <w:rFonts w:ascii="Times New Roman" w:cs="Arial Unicode MS" w:hAnsi="Arial Unicode MS" w:eastAsia="Arial Unicode MS"/>
          <w:sz w:val="16"/>
          <w:szCs w:val="16"/>
          <w:rtl w:val="0"/>
          <w:lang w:val="it-IT"/>
        </w:rPr>
        <w:t>(2) Compost fuori specifica</w:t>
      </w:r>
    </w:p>
    <w:p>
      <w:pPr>
        <w:pStyle w:val="Normal"/>
        <w:rPr>
          <w:sz w:val="16"/>
          <w:szCs w:val="16"/>
        </w:rPr>
      </w:pPr>
      <w:r>
        <w:rPr>
          <w:rFonts w:ascii="Times New Roman" w:cs="Arial Unicode MS" w:hAnsi="Arial Unicode MS" w:eastAsia="Arial Unicode MS"/>
          <w:sz w:val="16"/>
          <w:szCs w:val="16"/>
          <w:rtl w:val="0"/>
          <w:lang w:val="it-IT"/>
        </w:rPr>
        <w:t>(3) Plastica e gomma</w:t>
      </w:r>
    </w:p>
    <w:p>
      <w:pPr>
        <w:pStyle w:val="Normal"/>
        <w:rPr>
          <w:sz w:val="16"/>
          <w:szCs w:val="16"/>
        </w:rPr>
      </w:pPr>
      <w:r>
        <w:rPr>
          <w:rFonts w:ascii="Times New Roman" w:cs="Arial Unicode MS" w:hAnsi="Arial Unicode MS" w:eastAsia="Arial Unicode MS"/>
          <w:sz w:val="16"/>
          <w:szCs w:val="16"/>
          <w:rtl w:val="0"/>
          <w:lang w:val="it-IT"/>
        </w:rPr>
        <w:t>(4) Parte di rifiuti urbani e simili non destinata al compost</w:t>
      </w:r>
    </w:p>
    <w:p>
      <w:pPr>
        <w:pStyle w:val="Normal"/>
        <w:rPr>
          <w:rFonts w:ascii="Book Antiqua" w:cs="Book Antiqua" w:hAnsi="Book Antiqua" w:eastAsia="Book Antiqua"/>
        </w:rPr>
      </w:pPr>
      <w:r>
        <w:rPr>
          <w:rFonts w:ascii="Times New Roman" w:cs="Arial Unicode MS" w:hAnsi="Arial Unicode MS" w:eastAsia="Arial Unicode MS"/>
          <w:sz w:val="16"/>
          <w:szCs w:val="16"/>
          <w:rtl w:val="0"/>
          <w:lang w:val="it-IT"/>
        </w:rPr>
        <w:t>(5) Altri rifiuti (compresi materiali misti) prodotti dal trattamento meccanico dei rifiuti, diversi da quelli di cui alla voce 191211</w:t>
      </w:r>
    </w:p>
    <w:p>
      <w:pPr>
        <w:pStyle w:val="Normal"/>
        <w:ind w:left="567" w:right="567" w:firstLine="0"/>
        <w:jc w:val="both"/>
        <w:rPr>
          <w:rFonts w:ascii="Book Antiqua" w:cs="Book Antiqua" w:hAnsi="Book Antiqua" w:eastAsia="Book Antiqua"/>
        </w:rPr>
      </w:pPr>
    </w:p>
    <w:p>
      <w:pPr>
        <w:pStyle w:val="Normal"/>
        <w:numPr>
          <w:ilvl w:val="0"/>
          <w:numId w:val="52"/>
        </w:numPr>
        <w:tabs>
          <w:tab w:val="num" w:pos="567"/>
          <w:tab w:val="clear" w:pos="0"/>
        </w:tabs>
        <w:suppressAutoHyphens w:val="1"/>
        <w:bidi w:val="0"/>
        <w:spacing w:line="100" w:lineRule="atLeast"/>
        <w:ind w:left="567" w:right="567" w:hanging="284"/>
        <w:jc w:val="both"/>
        <w:rPr>
          <w:rFonts w:ascii="Book Antiqua" w:cs="Book Antiqua" w:hAnsi="Book Antiqua" w:eastAsia="Book Antiqua"/>
          <w:position w:val="0"/>
          <w:rtl w:val="0"/>
        </w:rPr>
      </w:pPr>
      <w:r>
        <w:rPr>
          <w:rFonts w:ascii="Book Antiqua Bold"/>
          <w:b w:val="1"/>
          <w:bCs w:val="1"/>
          <w:rtl w:val="0"/>
          <w:lang w:val="it-IT"/>
        </w:rPr>
        <w:t>Impianto TMB E.Giovi S.r.l. denominato Malagrotta 1- Roma, via di Malagrotta nr. 257</w:t>
      </w:r>
    </w:p>
    <w:p>
      <w:pPr>
        <w:pStyle w:val="Normal"/>
        <w:numPr>
          <w:ilvl w:val="0"/>
          <w:numId w:val="62"/>
        </w:numPr>
        <w:tabs>
          <w:tab w:val="num" w:pos="567"/>
          <w:tab w:val="left" w:pos="1134"/>
          <w:tab w:val="clear" w:pos="0"/>
        </w:tabs>
        <w:suppressAutoHyphens w:val="1"/>
        <w:bidi w:val="0"/>
        <w:spacing w:line="100" w:lineRule="atLeast"/>
        <w:ind w:left="567" w:right="567" w:hanging="284"/>
        <w:jc w:val="both"/>
        <w:rPr>
          <w:rFonts w:ascii="Book Antiqua" w:cs="Book Antiqua" w:hAnsi="Book Antiqua" w:eastAsia="Book Antiqua"/>
          <w:position w:val="0"/>
          <w:sz w:val="24"/>
          <w:szCs w:val="24"/>
          <w:rtl w:val="0"/>
        </w:rPr>
      </w:pPr>
      <w:r>
        <w:rPr>
          <w:rFonts w:ascii="Book Antiqua"/>
          <w:rtl w:val="0"/>
          <w:lang w:val="it-IT"/>
        </w:rPr>
        <w:t>Capacit</w:t>
      </w:r>
      <w:r>
        <w:rPr>
          <w:rFonts w:hAnsi="Book Antiqua" w:hint="default"/>
          <w:rtl w:val="0"/>
          <w:lang w:val="it-IT"/>
        </w:rPr>
        <w:t xml:space="preserve">à </w:t>
      </w:r>
      <w:r>
        <w:rPr>
          <w:rFonts w:ascii="Book Antiqua"/>
          <w:rtl w:val="0"/>
          <w:lang w:val="it-IT"/>
        </w:rPr>
        <w:t>annua di trattamento pari a 187.000 ton</w:t>
      </w:r>
    </w:p>
    <w:p>
      <w:pPr>
        <w:pStyle w:val="Normal"/>
        <w:numPr>
          <w:ilvl w:val="0"/>
          <w:numId w:val="63"/>
        </w:numPr>
        <w:tabs>
          <w:tab w:val="num" w:pos="567"/>
          <w:tab w:val="left" w:pos="1134"/>
          <w:tab w:val="clear" w:pos="0"/>
        </w:tabs>
        <w:suppressAutoHyphens w:val="1"/>
        <w:bidi w:val="0"/>
        <w:spacing w:line="100" w:lineRule="atLeast"/>
        <w:ind w:left="567" w:right="567" w:hanging="284"/>
        <w:jc w:val="both"/>
        <w:rPr>
          <w:rFonts w:ascii="Book Antiqua" w:cs="Book Antiqua" w:hAnsi="Book Antiqua" w:eastAsia="Book Antiqua"/>
          <w:position w:val="0"/>
          <w:sz w:val="24"/>
          <w:szCs w:val="24"/>
          <w:rtl w:val="0"/>
        </w:rPr>
      </w:pPr>
      <w:r>
        <w:rPr>
          <w:rFonts w:ascii="Book Antiqua"/>
          <w:rtl w:val="0"/>
          <w:lang w:val="it-IT"/>
        </w:rPr>
        <w:t>Limite massimo giornaliero di trattamento al TMB pari a 600 ton</w:t>
      </w:r>
    </w:p>
    <w:p>
      <w:pPr>
        <w:pStyle w:val="Normal"/>
        <w:numPr>
          <w:ilvl w:val="0"/>
          <w:numId w:val="64"/>
        </w:numPr>
        <w:tabs>
          <w:tab w:val="num" w:pos="567"/>
          <w:tab w:val="left" w:pos="1134"/>
          <w:tab w:val="clear" w:pos="0"/>
        </w:tabs>
        <w:suppressAutoHyphens w:val="1"/>
        <w:bidi w:val="0"/>
        <w:spacing w:line="100" w:lineRule="atLeast"/>
        <w:ind w:left="567" w:right="567" w:hanging="284"/>
        <w:jc w:val="both"/>
        <w:rPr>
          <w:rFonts w:ascii="Book Antiqua" w:cs="Book Antiqua" w:hAnsi="Book Antiqua" w:eastAsia="Book Antiqua"/>
          <w:position w:val="0"/>
          <w:sz w:val="24"/>
          <w:szCs w:val="24"/>
          <w:rtl w:val="0"/>
        </w:rPr>
      </w:pPr>
      <w:r>
        <w:rPr>
          <w:rFonts w:ascii="Book Antiqua"/>
          <w:rtl w:val="0"/>
          <w:lang w:val="it-IT"/>
        </w:rPr>
        <w:t>Trasferenza non autorizzata</w:t>
      </w:r>
    </w:p>
    <w:p>
      <w:pPr>
        <w:pStyle w:val="Normal"/>
        <w:jc w:val="both"/>
        <w:rPr>
          <w:rFonts w:ascii="Book Antiqua" w:cs="Book Antiqua" w:hAnsi="Book Antiqua" w:eastAsia="Book Antiqua"/>
          <w:rtl w:val="0"/>
        </w:rPr>
      </w:pPr>
    </w:p>
    <w:p>
      <w:pPr>
        <w:pStyle w:val="Normal"/>
        <w:jc w:val="both"/>
        <w:rPr>
          <w:b w:val="1"/>
          <w:bCs w:val="1"/>
          <w:i w:val="1"/>
          <w:iCs w:val="1"/>
          <w:sz w:val="18"/>
          <w:szCs w:val="18"/>
        </w:rPr>
      </w:pPr>
      <w:r>
        <w:rPr>
          <w:i w:val="1"/>
          <w:iCs w:val="1"/>
          <w:sz w:val="20"/>
          <w:szCs w:val="20"/>
          <w:rtl w:val="0"/>
          <w:lang w:val="it-IT"/>
        </w:rPr>
        <w:t>RIFIUTI IN INGRESSO (INPUT)</w:t>
      </w:r>
    </w:p>
    <w:tbl>
      <w:tblPr>
        <w:tblW w:w="9864" w:type="dxa"/>
        <w:jc w:val="left"/>
        <w:tblInd w:w="108" w:type="dxa"/>
        <w:tblBorders>
          <w:top w:val="single" w:color="000000" w:sz="2" w:space="0" w:shadow="0" w:frame="0"/>
          <w:left w:val="single" w:color="000000" w:sz="2" w:space="0" w:shadow="0" w:frame="0"/>
          <w:bottom w:val="single" w:color="000000" w:sz="2" w:space="0" w:shadow="0" w:frame="0"/>
          <w:right w:val="single" w:color="000000" w:sz="2" w:space="0" w:shadow="0" w:frame="0"/>
          <w:insideH w:val="single" w:color="000000" w:sz="2" w:space="0" w:shadow="0" w:frame="0"/>
          <w:insideV w:val="single" w:color="000000" w:sz="2" w:space="0" w:shadow="0" w:frame="0"/>
        </w:tblBorders>
        <w:shd w:val="clear" w:color="auto" w:fill="auto"/>
        <w:tblLayout w:type="fixed"/>
      </w:tblPr>
      <w:tblGrid>
        <w:gridCol w:w="832"/>
        <w:gridCol w:w="810"/>
        <w:gridCol w:w="898"/>
        <w:gridCol w:w="744"/>
        <w:gridCol w:w="636"/>
        <w:gridCol w:w="1007"/>
        <w:gridCol w:w="777"/>
        <w:gridCol w:w="865"/>
        <w:gridCol w:w="1052"/>
        <w:gridCol w:w="591"/>
        <w:gridCol w:w="1652"/>
      </w:tblGrid>
      <w:tr>
        <w:tblPrEx>
          <w:shd w:val="clear" w:color="auto" w:fill="auto"/>
        </w:tblPrEx>
        <w:trPr>
          <w:trHeight w:val="1002" w:hRule="atLeast"/>
        </w:trPr>
        <w:tc>
          <w:tcPr>
            <w:tcW w:type="dxa" w:w="8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center"/>
          </w:tcPr>
          <w:p>
            <w:pPr>
              <w:pStyle w:val="Normal"/>
              <w:jc w:val="cente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ANNO</w:t>
            </w:r>
          </w:p>
        </w:tc>
        <w:tc>
          <w:tcPr>
            <w:tcW w:type="dxa" w:w="1708"/>
            <w:gridSpan w:val="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top"/>
          </w:tcPr>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QUANTIT</w:t>
            </w:r>
            <w:r>
              <w:rPr>
                <w:rFonts w:hAnsi="Times New Roman" w:hint="default"/>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 xml:space="preserve">À </w:t>
            </w: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RIFIUTI</w:t>
            </w: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br w:type="textWrapping"/>
            </w: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AUTORIZZATA</w:t>
            </w:r>
          </w:p>
          <w:p>
            <w:pPr>
              <w:pStyle w:val="Normal"/>
              <w:jc w:val="cente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(ton)</w:t>
            </w:r>
          </w:p>
        </w:tc>
        <w:tc>
          <w:tcPr>
            <w:tcW w:type="dxa" w:w="1380"/>
            <w:gridSpan w:val="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top"/>
          </w:tcPr>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(A+B+C)</w:t>
            </w:r>
          </w:p>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RIFIUTI IN INGRESSO IMPIANTO</w:t>
            </w:r>
          </w:p>
          <w:p>
            <w:pPr>
              <w:pStyle w:val="Normal"/>
              <w:jc w:val="cente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(ton)</w:t>
            </w:r>
          </w:p>
        </w:tc>
        <w:tc>
          <w:tcPr>
            <w:tcW w:type="dxa" w:w="1784"/>
            <w:gridSpan w:val="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top"/>
          </w:tcPr>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(A)</w:t>
            </w:r>
          </w:p>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RIFIUTI DESTINATI IMPIANTO TMB</w:t>
            </w:r>
          </w:p>
          <w:p>
            <w:pPr>
              <w:pStyle w:val="Normal"/>
              <w:jc w:val="cente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(ton) - %</w:t>
            </w:r>
          </w:p>
        </w:tc>
        <w:tc>
          <w:tcPr>
            <w:tcW w:type="dxa" w:w="1917"/>
            <w:gridSpan w:val="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top"/>
          </w:tcPr>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(B)</w:t>
            </w:r>
          </w:p>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RIFIUTI DESTINATI A TRASFERENZA</w:t>
            </w:r>
          </w:p>
          <w:p>
            <w:pPr>
              <w:pStyle w:val="Normal"/>
              <w:jc w:val="cente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(ton)</w:t>
            </w:r>
          </w:p>
        </w:tc>
        <w:tc>
          <w:tcPr>
            <w:tcW w:type="dxa" w:w="2242"/>
            <w:gridSpan w:val="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top"/>
          </w:tcPr>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(C)</w:t>
            </w:r>
          </w:p>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 xml:space="preserve">RIFIUTI </w:t>
            </w: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br w:type="textWrapping"/>
            </w: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DESTINATI A TRITOVAGLIATURA</w:t>
            </w:r>
          </w:p>
          <w:p>
            <w:pPr>
              <w:pStyle w:val="Normal"/>
              <w:jc w:val="cente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(ton)</w:t>
            </w:r>
          </w:p>
        </w:tc>
      </w:tr>
      <w:tr>
        <w:tblPrEx>
          <w:shd w:val="clear" w:color="auto" w:fill="auto"/>
        </w:tblPrEx>
        <w:trPr>
          <w:trHeight w:val="402" w:hRule="atLeast"/>
        </w:trPr>
        <w:tc>
          <w:tcPr>
            <w:tcW w:type="dxa" w:w="1642"/>
            <w:gridSpan w:val="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2013</w:t>
            </w:r>
          </w:p>
        </w:tc>
        <w:tc>
          <w:tcPr>
            <w:tcW w:type="dxa" w:w="1642"/>
            <w:gridSpan w:val="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187.000</w:t>
            </w:r>
          </w:p>
        </w:tc>
        <w:tc>
          <w:tcPr>
            <w:tcW w:type="dxa" w:w="1643"/>
            <w:gridSpan w:val="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174.713,65</w:t>
            </w:r>
          </w:p>
        </w:tc>
        <w:tc>
          <w:tcPr>
            <w:tcW w:type="dxa" w:w="1642"/>
            <w:gridSpan w:val="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174.713,65</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93,33 %</w:t>
            </w:r>
          </w:p>
        </w:tc>
        <w:tc>
          <w:tcPr>
            <w:tcW w:type="dxa" w:w="1643"/>
            <w:gridSpan w:val="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rFonts w:ascii="Times New Roman Bold"/>
                <w:caps w:val="0"/>
                <w:smallCaps w:val="0"/>
                <w:strike w:val="0"/>
                <w:dstrike w:val="0"/>
                <w:outline w:val="0"/>
                <w:color w:val="000000"/>
                <w:spacing w:val="0"/>
                <w:kern w:val="0"/>
                <w:position w:val="0"/>
                <w:sz w:val="18"/>
                <w:szCs w:val="18"/>
                <w:u w:val="none" w:color="000000"/>
                <w:vertAlign w:val="baseline"/>
                <w:rtl w:val="0"/>
                <w:lang w:val="it-IT"/>
              </w:rPr>
              <w:t>///</w:t>
            </w:r>
          </w:p>
        </w:tc>
        <w:tc>
          <w:tcPr>
            <w:tcW w:type="dxa" w:w="16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rFonts w:ascii="Times New Roman Bold"/>
                <w:caps w:val="0"/>
                <w:smallCaps w:val="0"/>
                <w:strike w:val="0"/>
                <w:dstrike w:val="0"/>
                <w:outline w:val="0"/>
                <w:color w:val="000000"/>
                <w:spacing w:val="0"/>
                <w:kern w:val="0"/>
                <w:position w:val="0"/>
                <w:sz w:val="18"/>
                <w:szCs w:val="18"/>
                <w:u w:val="none" w:color="000000"/>
                <w:vertAlign w:val="baseline"/>
                <w:rtl w:val="0"/>
                <w:lang w:val="it-IT"/>
              </w:rPr>
              <w:t>///</w:t>
            </w:r>
          </w:p>
        </w:tc>
      </w:tr>
      <w:tr>
        <w:tblPrEx>
          <w:shd w:val="clear" w:color="auto" w:fill="auto"/>
        </w:tblPrEx>
        <w:trPr>
          <w:trHeight w:val="402" w:hRule="atLeast"/>
        </w:trPr>
        <w:tc>
          <w:tcPr>
            <w:tcW w:type="dxa" w:w="1642"/>
            <w:gridSpan w:val="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2014</w:t>
            </w:r>
          </w:p>
        </w:tc>
        <w:tc>
          <w:tcPr>
            <w:tcW w:type="dxa" w:w="1642"/>
            <w:gridSpan w:val="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187.000</w:t>
            </w:r>
          </w:p>
        </w:tc>
        <w:tc>
          <w:tcPr>
            <w:tcW w:type="dxa" w:w="1643"/>
            <w:gridSpan w:val="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176.499,95</w:t>
            </w:r>
          </w:p>
        </w:tc>
        <w:tc>
          <w:tcPr>
            <w:tcW w:type="dxa" w:w="1642"/>
            <w:gridSpan w:val="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176.499,95</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94,28 %</w:t>
            </w:r>
          </w:p>
        </w:tc>
        <w:tc>
          <w:tcPr>
            <w:tcW w:type="dxa" w:w="1643"/>
            <w:gridSpan w:val="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rFonts w:ascii="Times New Roman Bold"/>
                <w:caps w:val="0"/>
                <w:smallCaps w:val="0"/>
                <w:strike w:val="0"/>
                <w:dstrike w:val="0"/>
                <w:outline w:val="0"/>
                <w:color w:val="000000"/>
                <w:spacing w:val="0"/>
                <w:kern w:val="0"/>
                <w:position w:val="0"/>
                <w:sz w:val="18"/>
                <w:szCs w:val="18"/>
                <w:u w:val="none" w:color="000000"/>
                <w:vertAlign w:val="baseline"/>
                <w:rtl w:val="0"/>
                <w:lang w:val="it-IT"/>
              </w:rPr>
              <w:t>///</w:t>
            </w:r>
          </w:p>
        </w:tc>
        <w:tc>
          <w:tcPr>
            <w:tcW w:type="dxa" w:w="16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rFonts w:ascii="Times New Roman Bold"/>
                <w:caps w:val="0"/>
                <w:smallCaps w:val="0"/>
                <w:strike w:val="0"/>
                <w:dstrike w:val="0"/>
                <w:outline w:val="0"/>
                <w:color w:val="000000"/>
                <w:spacing w:val="0"/>
                <w:kern w:val="0"/>
                <w:position w:val="0"/>
                <w:sz w:val="18"/>
                <w:szCs w:val="18"/>
                <w:u w:val="none" w:color="000000"/>
                <w:vertAlign w:val="baseline"/>
                <w:rtl w:val="0"/>
                <w:lang w:val="it-IT"/>
              </w:rPr>
              <w:t>///</w:t>
            </w:r>
          </w:p>
        </w:tc>
      </w:tr>
      <w:tr>
        <w:tblPrEx>
          <w:shd w:val="clear" w:color="auto" w:fill="auto"/>
        </w:tblPrEx>
        <w:trPr>
          <w:trHeight w:val="402" w:hRule="atLeast"/>
        </w:trPr>
        <w:tc>
          <w:tcPr>
            <w:tcW w:type="dxa" w:w="8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2015</w:t>
            </w:r>
          </w:p>
        </w:tc>
        <w:tc>
          <w:tcPr>
            <w:tcW w:type="dxa" w:w="1708"/>
            <w:gridSpan w:val="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187.000</w:t>
            </w:r>
          </w:p>
        </w:tc>
        <w:tc>
          <w:tcPr>
            <w:tcW w:type="dxa" w:w="1380"/>
            <w:gridSpan w:val="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166.615,96</w:t>
            </w:r>
          </w:p>
        </w:tc>
        <w:tc>
          <w:tcPr>
            <w:tcW w:type="dxa" w:w="1784"/>
            <w:gridSpan w:val="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166.615,96</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89,09%</w:t>
            </w:r>
          </w:p>
        </w:tc>
        <w:tc>
          <w:tcPr>
            <w:tcW w:type="dxa" w:w="1917"/>
            <w:gridSpan w:val="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w:t>
            </w:r>
          </w:p>
        </w:tc>
        <w:tc>
          <w:tcPr>
            <w:tcW w:type="dxa" w:w="2242"/>
            <w:gridSpan w:val="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w:t>
            </w:r>
          </w:p>
        </w:tc>
      </w:tr>
      <w:tr>
        <w:tblPrEx>
          <w:shd w:val="clear" w:color="auto" w:fill="auto"/>
        </w:tblPrEx>
        <w:trPr>
          <w:trHeight w:val="402" w:hRule="atLeast"/>
        </w:trPr>
        <w:tc>
          <w:tcPr>
            <w:tcW w:type="dxa" w:w="8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2016</w:t>
            </w:r>
          </w:p>
        </w:tc>
        <w:tc>
          <w:tcPr>
            <w:tcW w:type="dxa" w:w="1708"/>
            <w:gridSpan w:val="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187.000</w:t>
            </w:r>
          </w:p>
        </w:tc>
        <w:tc>
          <w:tcPr>
            <w:tcW w:type="dxa" w:w="1380"/>
            <w:gridSpan w:val="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169.509,34</w:t>
            </w:r>
          </w:p>
        </w:tc>
        <w:tc>
          <w:tcPr>
            <w:tcW w:type="dxa" w:w="1784"/>
            <w:gridSpan w:val="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169.509,34</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90,64%</w:t>
            </w:r>
          </w:p>
        </w:tc>
        <w:tc>
          <w:tcPr>
            <w:tcW w:type="dxa" w:w="1917"/>
            <w:gridSpan w:val="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w:t>
            </w:r>
          </w:p>
        </w:tc>
        <w:tc>
          <w:tcPr>
            <w:tcW w:type="dxa" w:w="2242"/>
            <w:gridSpan w:val="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w:t>
            </w:r>
          </w:p>
        </w:tc>
      </w:tr>
      <w:tr>
        <w:tblPrEx>
          <w:shd w:val="clear" w:color="auto" w:fill="auto"/>
        </w:tblPrEx>
        <w:trPr>
          <w:trHeight w:val="602" w:hRule="atLeast"/>
        </w:trPr>
        <w:tc>
          <w:tcPr>
            <w:tcW w:type="dxa" w:w="8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2017</w:t>
            </w:r>
          </w:p>
          <w:p>
            <w:pPr>
              <w:pStyle w:val="Normal"/>
              <w:jc w:val="cente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(fino al 30.04)</w:t>
            </w:r>
          </w:p>
        </w:tc>
        <w:tc>
          <w:tcPr>
            <w:tcW w:type="dxa" w:w="1708"/>
            <w:gridSpan w:val="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187.000</w:t>
            </w:r>
          </w:p>
        </w:tc>
        <w:tc>
          <w:tcPr>
            <w:tcW w:type="dxa" w:w="1380"/>
            <w:gridSpan w:val="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46.016,56</w:t>
            </w:r>
          </w:p>
        </w:tc>
        <w:tc>
          <w:tcPr>
            <w:tcW w:type="dxa" w:w="1784"/>
            <w:gridSpan w:val="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46.016,56</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24,60%</w:t>
            </w:r>
          </w:p>
        </w:tc>
        <w:tc>
          <w:tcPr>
            <w:tcW w:type="dxa" w:w="1917"/>
            <w:gridSpan w:val="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w:t>
            </w:r>
          </w:p>
        </w:tc>
        <w:tc>
          <w:tcPr>
            <w:tcW w:type="dxa" w:w="2242"/>
            <w:gridSpan w:val="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w:t>
            </w:r>
          </w:p>
        </w:tc>
      </w:tr>
    </w:tbl>
    <w:p>
      <w:pPr>
        <w:pStyle w:val="Normal"/>
        <w:jc w:val="both"/>
        <w:rPr>
          <w:b w:val="1"/>
          <w:bCs w:val="1"/>
          <w:i w:val="1"/>
          <w:iCs w:val="1"/>
          <w:sz w:val="18"/>
          <w:szCs w:val="18"/>
        </w:rPr>
      </w:pPr>
    </w:p>
    <w:p>
      <w:pPr>
        <w:pStyle w:val="Normal"/>
        <w:jc w:val="both"/>
        <w:rPr>
          <w:b w:val="1"/>
          <w:bCs w:val="1"/>
          <w:i w:val="1"/>
          <w:iCs w:val="1"/>
          <w:sz w:val="18"/>
          <w:szCs w:val="18"/>
        </w:rPr>
      </w:pPr>
    </w:p>
    <w:p>
      <w:pPr>
        <w:pStyle w:val="Normal"/>
        <w:jc w:val="both"/>
        <w:rPr>
          <w:b w:val="1"/>
          <w:bCs w:val="1"/>
          <w:i w:val="1"/>
          <w:iCs w:val="1"/>
          <w:sz w:val="18"/>
          <w:szCs w:val="18"/>
        </w:rPr>
      </w:pPr>
      <w:r>
        <w:rPr>
          <w:i w:val="1"/>
          <w:iCs w:val="1"/>
          <w:sz w:val="20"/>
          <w:szCs w:val="20"/>
          <w:rtl w:val="0"/>
          <w:lang w:val="it-IT"/>
        </w:rPr>
        <w:t>RIFIUTI TRATTATI E/O IN USCITA (OUTPUT)</w:t>
      </w:r>
    </w:p>
    <w:tbl>
      <w:tblPr>
        <w:tblW w:w="9632" w:type="dxa"/>
        <w:jc w:val="left"/>
        <w:tblInd w:w="108" w:type="dxa"/>
        <w:tblBorders>
          <w:top w:val="single" w:color="000000" w:sz="2" w:space="0" w:shadow="0" w:frame="0"/>
          <w:left w:val="single" w:color="000000" w:sz="2" w:space="0" w:shadow="0" w:frame="0"/>
          <w:bottom w:val="single" w:color="000000" w:sz="2" w:space="0" w:shadow="0" w:frame="0"/>
          <w:right w:val="single" w:color="000000" w:sz="2" w:space="0" w:shadow="0" w:frame="0"/>
          <w:insideH w:val="single" w:color="000000" w:sz="2" w:space="0" w:shadow="0" w:frame="0"/>
          <w:insideV w:val="single" w:color="000000" w:sz="2" w:space="0" w:shadow="0" w:frame="0"/>
        </w:tblBorders>
        <w:shd w:val="clear" w:color="auto" w:fill="auto"/>
        <w:tblLayout w:type="fixed"/>
      </w:tblPr>
      <w:tblGrid>
        <w:gridCol w:w="812"/>
        <w:gridCol w:w="1226"/>
        <w:gridCol w:w="1206"/>
        <w:gridCol w:w="1211"/>
        <w:gridCol w:w="1213"/>
        <w:gridCol w:w="1210"/>
        <w:gridCol w:w="1560"/>
        <w:gridCol w:w="1194"/>
      </w:tblGrid>
      <w:tr>
        <w:tblPrEx>
          <w:shd w:val="clear" w:color="auto" w:fill="auto"/>
        </w:tblPrEx>
        <w:trPr>
          <w:trHeight w:val="1607" w:hRule="atLeast"/>
        </w:trPr>
        <w:tc>
          <w:tcPr>
            <w:tcW w:type="dxa" w:w="81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center"/>
          </w:tcPr>
          <w:p>
            <w:pPr>
              <w:pStyle w:val="Normal"/>
              <w:jc w:val="cente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ANNO</w:t>
            </w:r>
          </w:p>
        </w:tc>
        <w:tc>
          <w:tcPr>
            <w:tcW w:type="dxa" w:w="122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top"/>
          </w:tcPr>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CDR</w:t>
            </w:r>
          </w:p>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(combustibile da rifiuto)</w:t>
            </w:r>
          </w:p>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p>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p>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CER 191210</w:t>
            </w:r>
            <w:r>
              <w:rPr>
                <w:b w:val="1"/>
                <w:bCs w:val="1"/>
                <w:i w:val="1"/>
                <w:iCs w:val="1"/>
                <w:caps w:val="0"/>
                <w:smallCaps w:val="0"/>
                <w:strike w:val="0"/>
                <w:dstrike w:val="0"/>
                <w:outline w:val="0"/>
                <w:color w:val="000000"/>
                <w:spacing w:val="0"/>
                <w:kern w:val="0"/>
                <w:position w:val="0"/>
                <w:sz w:val="18"/>
                <w:szCs w:val="18"/>
                <w:u w:val="none" w:color="000000"/>
                <w:vertAlign w:val="superscript"/>
                <w:rtl w:val="0"/>
                <w:lang w:val="it-IT"/>
              </w:rPr>
              <w:t>(1)</w:t>
            </w:r>
          </w:p>
          <w:p>
            <w:pPr>
              <w:pStyle w:val="Normal"/>
              <w:jc w:val="cente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(ton) - %</w:t>
            </w:r>
          </w:p>
        </w:tc>
        <w:tc>
          <w:tcPr>
            <w:tcW w:type="dxa" w:w="120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top"/>
          </w:tcPr>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FOS</w:t>
            </w:r>
          </w:p>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(frazione organica stabilizzata)</w:t>
            </w:r>
          </w:p>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p>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CER 190503</w:t>
            </w:r>
            <w:r>
              <w:rPr>
                <w:b w:val="1"/>
                <w:bCs w:val="1"/>
                <w:i w:val="1"/>
                <w:iCs w:val="1"/>
                <w:caps w:val="0"/>
                <w:smallCaps w:val="0"/>
                <w:strike w:val="0"/>
                <w:dstrike w:val="0"/>
                <w:outline w:val="0"/>
                <w:color w:val="000000"/>
                <w:spacing w:val="0"/>
                <w:kern w:val="0"/>
                <w:position w:val="0"/>
                <w:sz w:val="18"/>
                <w:szCs w:val="18"/>
                <w:u w:val="none" w:color="000000"/>
                <w:vertAlign w:val="superscript"/>
                <w:rtl w:val="0"/>
                <w:lang w:val="it-IT"/>
              </w:rPr>
              <w:t>(2)</w:t>
            </w:r>
          </w:p>
          <w:p>
            <w:pPr>
              <w:pStyle w:val="Normal"/>
              <w:jc w:val="cente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(ton) - %</w:t>
            </w:r>
          </w:p>
        </w:tc>
        <w:tc>
          <w:tcPr>
            <w:tcW w:type="dxa" w:w="121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top"/>
          </w:tcPr>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METALLI</w:t>
            </w:r>
          </w:p>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p>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p>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p>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CER 191202</w:t>
            </w:r>
          </w:p>
          <w:p>
            <w:pPr>
              <w:pStyle w:val="Normal"/>
              <w:jc w:val="cente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(ton) - %</w:t>
            </w:r>
          </w:p>
        </w:tc>
        <w:tc>
          <w:tcPr>
            <w:tcW w:type="dxa" w:w="12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top"/>
          </w:tcPr>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METALLI</w:t>
            </w:r>
          </w:p>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NON</w:t>
            </w:r>
          </w:p>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FERROSI</w:t>
            </w:r>
          </w:p>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p>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CER 191203</w:t>
            </w:r>
          </w:p>
          <w:p>
            <w:pPr>
              <w:pStyle w:val="Normal"/>
              <w:jc w:val="cente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(ton) - %</w:t>
            </w:r>
          </w:p>
        </w:tc>
        <w:tc>
          <w:tcPr>
            <w:tcW w:type="dxa" w:w="121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top"/>
          </w:tcPr>
          <w:p>
            <w:pPr>
              <w:pStyle w:val="Normal"/>
              <w:jc w:val="center"/>
              <w:rPr>
                <w:caps w:val="0"/>
                <w:smallCaps w:val="0"/>
                <w:strike w:val="0"/>
                <w:dstrike w:val="0"/>
                <w:outline w:val="0"/>
                <w:color w:val="000000"/>
                <w:spacing w:val="0"/>
                <w:kern w:val="0"/>
                <w:position w:val="0"/>
                <w:sz w:val="24"/>
                <w:szCs w:val="24"/>
                <w:u w:val="none" w:color="000000"/>
                <w:vertAlign w:val="baseline"/>
                <w:rtl w:val="0"/>
                <w:lang w:val="it-IT"/>
              </w:rP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PET</w:t>
            </w:r>
          </w:p>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r>
              <w:rPr>
                <w:b w:val="1"/>
                <w:bCs w:val="1"/>
                <w:i w:val="1"/>
                <w:iCs w:val="1"/>
                <w:caps w:val="0"/>
                <w:smallCaps w:val="0"/>
                <w:strike w:val="0"/>
                <w:dstrike w:val="0"/>
                <w:outline w:val="0"/>
                <w:color w:val="222222"/>
                <w:spacing w:val="0"/>
                <w:kern w:val="0"/>
                <w:position w:val="0"/>
                <w:sz w:val="18"/>
                <w:szCs w:val="18"/>
                <w:u w:val="none" w:color="222222"/>
                <w:vertAlign w:val="baseline"/>
                <w:rtl w:val="0"/>
                <w:lang w:val="it-IT"/>
              </w:rPr>
              <w:t>(polietilene tereftalato)</w:t>
            </w:r>
          </w:p>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p>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p>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CER 191204</w:t>
            </w:r>
            <w:r>
              <w:rPr>
                <w:b w:val="1"/>
                <w:bCs w:val="1"/>
                <w:i w:val="1"/>
                <w:iCs w:val="1"/>
                <w:caps w:val="0"/>
                <w:smallCaps w:val="0"/>
                <w:strike w:val="0"/>
                <w:dstrike w:val="0"/>
                <w:outline w:val="0"/>
                <w:color w:val="000000"/>
                <w:spacing w:val="0"/>
                <w:kern w:val="0"/>
                <w:position w:val="0"/>
                <w:sz w:val="18"/>
                <w:szCs w:val="18"/>
                <w:u w:val="none" w:color="000000"/>
                <w:vertAlign w:val="superscript"/>
                <w:rtl w:val="0"/>
                <w:lang w:val="it-IT"/>
              </w:rPr>
              <w:t>(3)</w:t>
            </w:r>
          </w:p>
          <w:p>
            <w:pPr>
              <w:pStyle w:val="Normal"/>
              <w:jc w:val="cente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(ton) - %</w:t>
            </w:r>
          </w:p>
        </w:tc>
        <w:tc>
          <w:tcPr>
            <w:tcW w:type="dxa" w:w="155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top"/>
          </w:tcPr>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RIFIUTI NON</w:t>
            </w:r>
          </w:p>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COMPOSTATI</w:t>
            </w:r>
          </w:p>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p>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p>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p>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CER 190501</w:t>
            </w:r>
            <w:r>
              <w:rPr>
                <w:b w:val="1"/>
                <w:bCs w:val="1"/>
                <w:i w:val="1"/>
                <w:iCs w:val="1"/>
                <w:caps w:val="0"/>
                <w:smallCaps w:val="0"/>
                <w:strike w:val="0"/>
                <w:dstrike w:val="0"/>
                <w:outline w:val="0"/>
                <w:color w:val="000000"/>
                <w:spacing w:val="0"/>
                <w:kern w:val="0"/>
                <w:position w:val="0"/>
                <w:sz w:val="18"/>
                <w:szCs w:val="18"/>
                <w:u w:val="none" w:color="000000"/>
                <w:vertAlign w:val="superscript"/>
                <w:rtl w:val="0"/>
                <w:lang w:val="it-IT"/>
              </w:rPr>
              <w:t>(4)</w:t>
            </w:r>
          </w:p>
          <w:p>
            <w:pPr>
              <w:pStyle w:val="Normal"/>
              <w:jc w:val="cente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(ton) - %</w:t>
            </w:r>
          </w:p>
        </w:tc>
        <w:tc>
          <w:tcPr>
            <w:tcW w:type="dxa" w:w="119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top"/>
          </w:tcPr>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ALTRI</w:t>
            </w:r>
          </w:p>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RIFIUTI</w:t>
            </w:r>
          </w:p>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p>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p>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CER 191212</w:t>
            </w:r>
            <w:r>
              <w:rPr>
                <w:b w:val="1"/>
                <w:bCs w:val="1"/>
                <w:i w:val="1"/>
                <w:iCs w:val="1"/>
                <w:caps w:val="0"/>
                <w:smallCaps w:val="0"/>
                <w:strike w:val="0"/>
                <w:dstrike w:val="0"/>
                <w:outline w:val="0"/>
                <w:color w:val="000000"/>
                <w:spacing w:val="0"/>
                <w:kern w:val="0"/>
                <w:position w:val="0"/>
                <w:sz w:val="18"/>
                <w:szCs w:val="18"/>
                <w:u w:val="none" w:color="000000"/>
                <w:vertAlign w:val="superscript"/>
                <w:rtl w:val="0"/>
                <w:lang w:val="it-IT"/>
              </w:rPr>
              <w:t>(5)</w:t>
            </w:r>
          </w:p>
          <w:p>
            <w:pPr>
              <w:pStyle w:val="Normal"/>
              <w:jc w:val="cente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(ton) - %</w:t>
            </w:r>
          </w:p>
        </w:tc>
      </w:tr>
      <w:tr>
        <w:tblPrEx>
          <w:shd w:val="clear" w:color="auto" w:fill="auto"/>
        </w:tblPrEx>
        <w:trPr>
          <w:trHeight w:val="402" w:hRule="atLeast"/>
        </w:trPr>
        <w:tc>
          <w:tcPr>
            <w:tcW w:type="dxa" w:w="81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2013</w:t>
            </w:r>
          </w:p>
        </w:tc>
        <w:tc>
          <w:tcPr>
            <w:tcW w:type="dxa" w:w="122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45.888,83</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26,27 %</w:t>
            </w:r>
          </w:p>
        </w:tc>
        <w:tc>
          <w:tcPr>
            <w:tcW w:type="dxa" w:w="120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4.944,82</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2,83 %</w:t>
            </w:r>
          </w:p>
        </w:tc>
        <w:tc>
          <w:tcPr>
            <w:tcW w:type="dxa" w:w="121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1.059,09</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0,61 %</w:t>
            </w:r>
          </w:p>
        </w:tc>
        <w:tc>
          <w:tcPr>
            <w:tcW w:type="dxa" w:w="12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1,96</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0,00 %</w:t>
            </w:r>
          </w:p>
        </w:tc>
        <w:tc>
          <w:tcPr>
            <w:tcW w:type="dxa" w:w="121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0,00</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0,00 %</w:t>
            </w:r>
          </w:p>
        </w:tc>
        <w:tc>
          <w:tcPr>
            <w:tcW w:type="dxa" w:w="155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55.350,16</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31,68%</w:t>
            </w:r>
          </w:p>
        </w:tc>
        <w:tc>
          <w:tcPr>
            <w:tcW w:type="dxa" w:w="119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45.659,28</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26,13 %</w:t>
            </w:r>
          </w:p>
        </w:tc>
      </w:tr>
      <w:tr>
        <w:tblPrEx>
          <w:shd w:val="clear" w:color="auto" w:fill="auto"/>
        </w:tblPrEx>
        <w:trPr>
          <w:trHeight w:val="402" w:hRule="atLeast"/>
        </w:trPr>
        <w:tc>
          <w:tcPr>
            <w:tcW w:type="dxa" w:w="81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2014</w:t>
            </w:r>
          </w:p>
        </w:tc>
        <w:tc>
          <w:tcPr>
            <w:tcW w:type="dxa" w:w="122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54.141,53</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30,68 %</w:t>
            </w:r>
          </w:p>
        </w:tc>
        <w:tc>
          <w:tcPr>
            <w:tcW w:type="dxa" w:w="120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27.130,71</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15,37 %</w:t>
            </w:r>
          </w:p>
        </w:tc>
        <w:tc>
          <w:tcPr>
            <w:tcW w:type="dxa" w:w="121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1.090,75</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0,62 %</w:t>
            </w:r>
          </w:p>
        </w:tc>
        <w:tc>
          <w:tcPr>
            <w:tcW w:type="dxa" w:w="12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8,94</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0,01 %</w:t>
            </w:r>
          </w:p>
        </w:tc>
        <w:tc>
          <w:tcPr>
            <w:tcW w:type="dxa" w:w="121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0,00</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0,00 %</w:t>
            </w:r>
          </w:p>
        </w:tc>
        <w:tc>
          <w:tcPr>
            <w:tcW w:type="dxa" w:w="155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39.549,81</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22,41 %</w:t>
            </w:r>
          </w:p>
        </w:tc>
        <w:tc>
          <w:tcPr>
            <w:tcW w:type="dxa" w:w="119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39.460,23</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22,36 %</w:t>
            </w:r>
          </w:p>
        </w:tc>
      </w:tr>
      <w:tr>
        <w:tblPrEx>
          <w:shd w:val="clear" w:color="auto" w:fill="auto"/>
        </w:tblPrEx>
        <w:trPr>
          <w:trHeight w:val="402" w:hRule="atLeast"/>
        </w:trPr>
        <w:tc>
          <w:tcPr>
            <w:tcW w:type="dxa" w:w="81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2015</w:t>
            </w:r>
          </w:p>
        </w:tc>
        <w:tc>
          <w:tcPr>
            <w:tcW w:type="dxa" w:w="122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44.935,23</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26,97%</w:t>
            </w:r>
          </w:p>
        </w:tc>
        <w:tc>
          <w:tcPr>
            <w:tcW w:type="dxa" w:w="120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49.315,27</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29,60%</w:t>
            </w:r>
          </w:p>
        </w:tc>
        <w:tc>
          <w:tcPr>
            <w:tcW w:type="dxa" w:w="121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874,24</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0,52%</w:t>
            </w:r>
          </w:p>
        </w:tc>
        <w:tc>
          <w:tcPr>
            <w:tcW w:type="dxa" w:w="12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8,26</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0,00%</w:t>
            </w:r>
          </w:p>
        </w:tc>
        <w:tc>
          <w:tcPr>
            <w:tcW w:type="dxa" w:w="121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0</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0,00%</w:t>
            </w:r>
          </w:p>
        </w:tc>
        <w:tc>
          <w:tcPr>
            <w:tcW w:type="dxa" w:w="155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0</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0,00%</w:t>
            </w:r>
          </w:p>
        </w:tc>
        <w:tc>
          <w:tcPr>
            <w:tcW w:type="dxa" w:w="119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49.205,26</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29,53%</w:t>
            </w:r>
          </w:p>
        </w:tc>
      </w:tr>
      <w:tr>
        <w:tblPrEx>
          <w:shd w:val="clear" w:color="auto" w:fill="auto"/>
        </w:tblPrEx>
        <w:trPr>
          <w:trHeight w:val="402" w:hRule="atLeast"/>
        </w:trPr>
        <w:tc>
          <w:tcPr>
            <w:tcW w:type="dxa" w:w="81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2016</w:t>
            </w:r>
          </w:p>
        </w:tc>
        <w:tc>
          <w:tcPr>
            <w:tcW w:type="dxa" w:w="122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46.034,40</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27,16%</w:t>
            </w:r>
          </w:p>
        </w:tc>
        <w:tc>
          <w:tcPr>
            <w:tcW w:type="dxa" w:w="120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44.056,29</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25,99%</w:t>
            </w:r>
          </w:p>
        </w:tc>
        <w:tc>
          <w:tcPr>
            <w:tcW w:type="dxa" w:w="121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1.048,47</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0,62%</w:t>
            </w:r>
          </w:p>
        </w:tc>
        <w:tc>
          <w:tcPr>
            <w:tcW w:type="dxa" w:w="12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0</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0,00%</w:t>
            </w:r>
          </w:p>
        </w:tc>
        <w:tc>
          <w:tcPr>
            <w:tcW w:type="dxa" w:w="121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0</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0,00%</w:t>
            </w:r>
          </w:p>
        </w:tc>
        <w:tc>
          <w:tcPr>
            <w:tcW w:type="dxa" w:w="155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0</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0,00%</w:t>
            </w:r>
          </w:p>
        </w:tc>
        <w:tc>
          <w:tcPr>
            <w:tcW w:type="dxa" w:w="119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55.055,72</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32,48%</w:t>
            </w:r>
          </w:p>
        </w:tc>
      </w:tr>
      <w:tr>
        <w:tblPrEx>
          <w:shd w:val="clear" w:color="auto" w:fill="auto"/>
        </w:tblPrEx>
        <w:trPr>
          <w:trHeight w:val="602" w:hRule="atLeast"/>
        </w:trPr>
        <w:tc>
          <w:tcPr>
            <w:tcW w:type="dxa" w:w="81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2017</w:t>
            </w:r>
          </w:p>
          <w:p>
            <w:pPr>
              <w:pStyle w:val="Normal"/>
              <w:jc w:val="cente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(fino al 30.04)</w:t>
            </w:r>
          </w:p>
        </w:tc>
        <w:tc>
          <w:tcPr>
            <w:tcW w:type="dxa" w:w="122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11.293,11</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24,54%</w:t>
            </w:r>
          </w:p>
        </w:tc>
        <w:tc>
          <w:tcPr>
            <w:tcW w:type="dxa" w:w="120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14.013,89</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30,45%</w:t>
            </w:r>
          </w:p>
        </w:tc>
        <w:tc>
          <w:tcPr>
            <w:tcW w:type="dxa" w:w="121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236,44</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0,51%</w:t>
            </w:r>
          </w:p>
        </w:tc>
        <w:tc>
          <w:tcPr>
            <w:tcW w:type="dxa" w:w="12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0</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0,00%</w:t>
            </w:r>
          </w:p>
        </w:tc>
        <w:tc>
          <w:tcPr>
            <w:tcW w:type="dxa" w:w="121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0</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0,00%</w:t>
            </w:r>
          </w:p>
        </w:tc>
        <w:tc>
          <w:tcPr>
            <w:tcW w:type="dxa" w:w="155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0</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0,00%</w:t>
            </w:r>
          </w:p>
        </w:tc>
        <w:tc>
          <w:tcPr>
            <w:tcW w:type="dxa" w:w="119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15.157,18</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32,94%</w:t>
            </w:r>
          </w:p>
        </w:tc>
      </w:tr>
    </w:tbl>
    <w:p>
      <w:pPr>
        <w:pStyle w:val="Normal"/>
        <w:jc w:val="both"/>
        <w:rPr>
          <w:b w:val="1"/>
          <w:bCs w:val="1"/>
          <w:i w:val="1"/>
          <w:iCs w:val="1"/>
          <w:sz w:val="18"/>
          <w:szCs w:val="18"/>
        </w:rPr>
      </w:pPr>
    </w:p>
    <w:p>
      <w:pPr>
        <w:pStyle w:val="Normal"/>
        <w:ind w:left="567" w:right="567" w:firstLine="0"/>
        <w:jc w:val="both"/>
        <w:rPr>
          <w:rFonts w:ascii="Calibri" w:cs="Calibri" w:hAnsi="Calibri" w:eastAsia="Calibri"/>
          <w:sz w:val="16"/>
          <w:szCs w:val="16"/>
        </w:rPr>
      </w:pPr>
    </w:p>
    <w:p>
      <w:pPr>
        <w:pStyle w:val="Normal"/>
        <w:rPr>
          <w:sz w:val="16"/>
          <w:szCs w:val="16"/>
        </w:rPr>
      </w:pPr>
      <w:r>
        <w:rPr>
          <w:rFonts w:ascii="Times New Roman" w:cs="Arial Unicode MS" w:hAnsi="Arial Unicode MS" w:eastAsia="Arial Unicode MS"/>
          <w:sz w:val="16"/>
          <w:szCs w:val="16"/>
          <w:rtl w:val="0"/>
          <w:lang w:val="it-IT"/>
        </w:rPr>
        <w:t>(1) Rifiuti combustibili (combustibile da rifiuti)</w:t>
      </w:r>
    </w:p>
    <w:p>
      <w:pPr>
        <w:pStyle w:val="Normal"/>
        <w:rPr>
          <w:sz w:val="16"/>
          <w:szCs w:val="16"/>
        </w:rPr>
      </w:pPr>
      <w:r>
        <w:rPr>
          <w:rFonts w:ascii="Times New Roman" w:cs="Arial Unicode MS" w:hAnsi="Arial Unicode MS" w:eastAsia="Arial Unicode MS"/>
          <w:sz w:val="16"/>
          <w:szCs w:val="16"/>
          <w:rtl w:val="0"/>
          <w:lang w:val="it-IT"/>
        </w:rPr>
        <w:t>(2) Compost fuori specifica</w:t>
      </w:r>
    </w:p>
    <w:p>
      <w:pPr>
        <w:pStyle w:val="Normal"/>
        <w:rPr>
          <w:sz w:val="16"/>
          <w:szCs w:val="16"/>
        </w:rPr>
      </w:pPr>
      <w:r>
        <w:rPr>
          <w:rFonts w:ascii="Times New Roman" w:cs="Arial Unicode MS" w:hAnsi="Arial Unicode MS" w:eastAsia="Arial Unicode MS"/>
          <w:sz w:val="16"/>
          <w:szCs w:val="16"/>
          <w:rtl w:val="0"/>
          <w:lang w:val="it-IT"/>
        </w:rPr>
        <w:t>(3) Plastica e gomma</w:t>
      </w:r>
    </w:p>
    <w:p>
      <w:pPr>
        <w:pStyle w:val="Normal"/>
        <w:rPr>
          <w:sz w:val="16"/>
          <w:szCs w:val="16"/>
        </w:rPr>
      </w:pPr>
      <w:r>
        <w:rPr>
          <w:rFonts w:ascii="Times New Roman" w:cs="Arial Unicode MS" w:hAnsi="Arial Unicode MS" w:eastAsia="Arial Unicode MS"/>
          <w:sz w:val="16"/>
          <w:szCs w:val="16"/>
          <w:rtl w:val="0"/>
          <w:lang w:val="it-IT"/>
        </w:rPr>
        <w:t>(4) Parte di rifiuti urbani e simili non destinata al compost</w:t>
      </w:r>
    </w:p>
    <w:p>
      <w:pPr>
        <w:pStyle w:val="Normal"/>
        <w:rPr>
          <w:sz w:val="16"/>
          <w:szCs w:val="16"/>
        </w:rPr>
      </w:pPr>
      <w:r>
        <w:rPr>
          <w:rFonts w:ascii="Times New Roman" w:cs="Arial Unicode MS" w:hAnsi="Arial Unicode MS" w:eastAsia="Arial Unicode MS"/>
          <w:sz w:val="16"/>
          <w:szCs w:val="16"/>
          <w:rtl w:val="0"/>
          <w:lang w:val="it-IT"/>
        </w:rPr>
        <w:t>(5) Altri rifiuti (compresi materiali misti) prodotti dal trattamento meccanico dei rifiuti, diversi da quelli di cui alla voce 191211</w:t>
      </w:r>
    </w:p>
    <w:p>
      <w:pPr>
        <w:pStyle w:val="Normal"/>
        <w:rPr>
          <w:sz w:val="16"/>
          <w:szCs w:val="16"/>
        </w:rPr>
      </w:pPr>
    </w:p>
    <w:p>
      <w:pPr>
        <w:pStyle w:val="Normal"/>
        <w:numPr>
          <w:ilvl w:val="0"/>
          <w:numId w:val="52"/>
        </w:numPr>
        <w:tabs>
          <w:tab w:val="num" w:pos="567"/>
          <w:tab w:val="clear" w:pos="0"/>
        </w:tabs>
        <w:suppressAutoHyphens w:val="1"/>
        <w:bidi w:val="0"/>
        <w:spacing w:line="100" w:lineRule="atLeast"/>
        <w:ind w:left="567" w:right="567" w:hanging="284"/>
        <w:jc w:val="both"/>
        <w:rPr>
          <w:rFonts w:ascii="Book Antiqua" w:cs="Book Antiqua" w:hAnsi="Book Antiqua" w:eastAsia="Book Antiqua"/>
          <w:position w:val="0"/>
          <w:rtl w:val="0"/>
        </w:rPr>
      </w:pPr>
      <w:r>
        <w:rPr>
          <w:rFonts w:ascii="Book Antiqua Bold"/>
          <w:b w:val="1"/>
          <w:bCs w:val="1"/>
          <w:rtl w:val="0"/>
          <w:lang w:val="it-IT"/>
        </w:rPr>
        <w:t>Impianto TMB E. Giovi S.r.l. denominato Malagrotta 2 - Roma, via di Malagrotta n. 257</w:t>
      </w:r>
    </w:p>
    <w:p>
      <w:pPr>
        <w:pStyle w:val="Normal"/>
        <w:numPr>
          <w:ilvl w:val="0"/>
          <w:numId w:val="65"/>
        </w:numPr>
        <w:tabs>
          <w:tab w:val="num" w:pos="567"/>
          <w:tab w:val="left" w:pos="1134"/>
          <w:tab w:val="clear" w:pos="0"/>
        </w:tabs>
        <w:suppressAutoHyphens w:val="1"/>
        <w:bidi w:val="0"/>
        <w:spacing w:line="100" w:lineRule="atLeast"/>
        <w:ind w:left="567" w:right="567" w:hanging="284"/>
        <w:jc w:val="both"/>
        <w:rPr>
          <w:rFonts w:ascii="Book Antiqua" w:cs="Book Antiqua" w:hAnsi="Book Antiqua" w:eastAsia="Book Antiqua"/>
          <w:position w:val="0"/>
          <w:sz w:val="24"/>
          <w:szCs w:val="24"/>
          <w:rtl w:val="0"/>
        </w:rPr>
      </w:pPr>
      <w:r>
        <w:rPr>
          <w:rFonts w:ascii="Book Antiqua"/>
          <w:rtl w:val="0"/>
          <w:lang w:val="it-IT"/>
        </w:rPr>
        <w:t>Capacit</w:t>
      </w:r>
      <w:r>
        <w:rPr>
          <w:rFonts w:hAnsi="Book Antiqua" w:hint="default"/>
          <w:rtl w:val="0"/>
          <w:lang w:val="it-IT"/>
        </w:rPr>
        <w:t xml:space="preserve">à </w:t>
      </w:r>
      <w:r>
        <w:rPr>
          <w:rFonts w:ascii="Book Antiqua"/>
          <w:rtl w:val="0"/>
          <w:lang w:val="it-IT"/>
        </w:rPr>
        <w:t>annua di trattamento pari a 280.000 ton</w:t>
      </w:r>
    </w:p>
    <w:p>
      <w:pPr>
        <w:pStyle w:val="Normal"/>
        <w:numPr>
          <w:ilvl w:val="0"/>
          <w:numId w:val="66"/>
        </w:numPr>
        <w:tabs>
          <w:tab w:val="num" w:pos="567"/>
          <w:tab w:val="left" w:pos="1134"/>
          <w:tab w:val="clear" w:pos="0"/>
        </w:tabs>
        <w:suppressAutoHyphens w:val="1"/>
        <w:bidi w:val="0"/>
        <w:spacing w:line="100" w:lineRule="atLeast"/>
        <w:ind w:left="567" w:right="567" w:hanging="284"/>
        <w:jc w:val="both"/>
        <w:rPr>
          <w:rFonts w:ascii="Book Antiqua" w:cs="Book Antiqua" w:hAnsi="Book Antiqua" w:eastAsia="Book Antiqua"/>
          <w:position w:val="0"/>
          <w:sz w:val="24"/>
          <w:szCs w:val="24"/>
          <w:rtl w:val="0"/>
        </w:rPr>
      </w:pPr>
      <w:r>
        <w:rPr>
          <w:rFonts w:ascii="Book Antiqua"/>
          <w:rtl w:val="0"/>
          <w:lang w:val="it-IT"/>
        </w:rPr>
        <w:t>Limite massimo giornaliero di trattamento al TMB pari a 900 ton</w:t>
      </w:r>
    </w:p>
    <w:p>
      <w:pPr>
        <w:pStyle w:val="Normal"/>
        <w:numPr>
          <w:ilvl w:val="0"/>
          <w:numId w:val="67"/>
        </w:numPr>
        <w:tabs>
          <w:tab w:val="num" w:pos="567"/>
          <w:tab w:val="left" w:pos="1134"/>
          <w:tab w:val="clear" w:pos="0"/>
        </w:tabs>
        <w:suppressAutoHyphens w:val="1"/>
        <w:bidi w:val="0"/>
        <w:spacing w:line="100" w:lineRule="atLeast"/>
        <w:ind w:left="567" w:right="567" w:hanging="284"/>
        <w:jc w:val="both"/>
        <w:rPr>
          <w:rFonts w:ascii="Book Antiqua" w:cs="Book Antiqua" w:hAnsi="Book Antiqua" w:eastAsia="Book Antiqua"/>
          <w:position w:val="0"/>
          <w:sz w:val="24"/>
          <w:szCs w:val="24"/>
          <w:rtl w:val="0"/>
        </w:rPr>
      </w:pPr>
      <w:r>
        <w:rPr>
          <w:rFonts w:ascii="Book Antiqua"/>
          <w:rtl w:val="0"/>
          <w:lang w:val="it-IT"/>
        </w:rPr>
        <w:t>Trasferenza non autorizzata</w:t>
      </w:r>
    </w:p>
    <w:p>
      <w:pPr>
        <w:pStyle w:val="Normal"/>
        <w:jc w:val="both"/>
        <w:rPr>
          <w:rFonts w:ascii="Book Antiqua" w:cs="Book Antiqua" w:hAnsi="Book Antiqua" w:eastAsia="Book Antiqua"/>
          <w:rtl w:val="0"/>
        </w:rPr>
      </w:pPr>
    </w:p>
    <w:p>
      <w:pPr>
        <w:pStyle w:val="Normal"/>
        <w:jc w:val="both"/>
        <w:rPr>
          <w:b w:val="1"/>
          <w:bCs w:val="1"/>
          <w:i w:val="1"/>
          <w:iCs w:val="1"/>
          <w:sz w:val="18"/>
          <w:szCs w:val="18"/>
        </w:rPr>
      </w:pPr>
      <w:r>
        <w:rPr>
          <w:i w:val="1"/>
          <w:iCs w:val="1"/>
          <w:sz w:val="20"/>
          <w:szCs w:val="20"/>
          <w:rtl w:val="0"/>
          <w:lang w:val="it-IT"/>
        </w:rPr>
        <w:t>RIFIUTI IN INGRESSO (INPUT)</w:t>
      </w:r>
    </w:p>
    <w:tbl>
      <w:tblPr>
        <w:tblW w:w="9864" w:type="dxa"/>
        <w:jc w:val="left"/>
        <w:tblInd w:w="108" w:type="dxa"/>
        <w:tblBorders>
          <w:top w:val="single" w:color="000000" w:sz="2" w:space="0" w:shadow="0" w:frame="0"/>
          <w:left w:val="single" w:color="000000" w:sz="2" w:space="0" w:shadow="0" w:frame="0"/>
          <w:bottom w:val="single" w:color="000000" w:sz="2" w:space="0" w:shadow="0" w:frame="0"/>
          <w:right w:val="single" w:color="000000" w:sz="2" w:space="0" w:shadow="0" w:frame="0"/>
          <w:insideH w:val="single" w:color="000000" w:sz="2" w:space="0" w:shadow="0" w:frame="0"/>
          <w:insideV w:val="single" w:color="000000" w:sz="2" w:space="0" w:shadow="0" w:frame="0"/>
        </w:tblBorders>
        <w:shd w:val="clear" w:color="auto" w:fill="auto"/>
        <w:tblLayout w:type="fixed"/>
      </w:tblPr>
      <w:tblGrid>
        <w:gridCol w:w="832"/>
        <w:gridCol w:w="810"/>
        <w:gridCol w:w="898"/>
        <w:gridCol w:w="744"/>
        <w:gridCol w:w="636"/>
        <w:gridCol w:w="1007"/>
        <w:gridCol w:w="777"/>
        <w:gridCol w:w="865"/>
        <w:gridCol w:w="1052"/>
        <w:gridCol w:w="591"/>
        <w:gridCol w:w="1652"/>
      </w:tblGrid>
      <w:tr>
        <w:tblPrEx>
          <w:shd w:val="clear" w:color="auto" w:fill="auto"/>
        </w:tblPrEx>
        <w:trPr>
          <w:trHeight w:val="1002" w:hRule="atLeast"/>
        </w:trPr>
        <w:tc>
          <w:tcPr>
            <w:tcW w:type="dxa" w:w="8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center"/>
          </w:tcPr>
          <w:p>
            <w:pPr>
              <w:pStyle w:val="Normal"/>
              <w:jc w:val="cente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ANNO</w:t>
            </w:r>
          </w:p>
        </w:tc>
        <w:tc>
          <w:tcPr>
            <w:tcW w:type="dxa" w:w="1708"/>
            <w:gridSpan w:val="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top"/>
          </w:tcPr>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QUANTIT</w:t>
            </w:r>
            <w:r>
              <w:rPr>
                <w:rFonts w:hAnsi="Times New Roman" w:hint="default"/>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 xml:space="preserve">À </w:t>
            </w: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RIFIUTI</w:t>
            </w: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br w:type="textWrapping"/>
            </w: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AUTORIZZATA</w:t>
            </w:r>
          </w:p>
          <w:p>
            <w:pPr>
              <w:pStyle w:val="Normal"/>
              <w:jc w:val="cente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(ton)</w:t>
            </w:r>
          </w:p>
        </w:tc>
        <w:tc>
          <w:tcPr>
            <w:tcW w:type="dxa" w:w="1380"/>
            <w:gridSpan w:val="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top"/>
          </w:tcPr>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(A+B+C)</w:t>
            </w:r>
          </w:p>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RIFIUTI IN INGRESSO IMPIANTO</w:t>
            </w:r>
          </w:p>
          <w:p>
            <w:pPr>
              <w:pStyle w:val="Normal"/>
              <w:jc w:val="cente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(ton)</w:t>
            </w:r>
          </w:p>
        </w:tc>
        <w:tc>
          <w:tcPr>
            <w:tcW w:type="dxa" w:w="1784"/>
            <w:gridSpan w:val="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top"/>
          </w:tcPr>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(A)</w:t>
            </w:r>
          </w:p>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RIFIUTI DESTINATI IMPIANTO TMB</w:t>
            </w:r>
          </w:p>
          <w:p>
            <w:pPr>
              <w:pStyle w:val="Normal"/>
              <w:jc w:val="cente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(ton) - %</w:t>
            </w:r>
          </w:p>
        </w:tc>
        <w:tc>
          <w:tcPr>
            <w:tcW w:type="dxa" w:w="1917"/>
            <w:gridSpan w:val="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top"/>
          </w:tcPr>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(B)</w:t>
            </w:r>
          </w:p>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RIFIUTI DESTINATI A TRASFERENZA</w:t>
            </w:r>
          </w:p>
          <w:p>
            <w:pPr>
              <w:pStyle w:val="Normal"/>
              <w:jc w:val="cente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(ton)</w:t>
            </w:r>
          </w:p>
        </w:tc>
        <w:tc>
          <w:tcPr>
            <w:tcW w:type="dxa" w:w="2242"/>
            <w:gridSpan w:val="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top"/>
          </w:tcPr>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(C)</w:t>
            </w:r>
          </w:p>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 xml:space="preserve">RIFIUTI </w:t>
            </w: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br w:type="textWrapping"/>
            </w: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DESTINATI A TRITOVAGLIATURA</w:t>
            </w:r>
          </w:p>
          <w:p>
            <w:pPr>
              <w:pStyle w:val="Normal"/>
              <w:jc w:val="cente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(ton)</w:t>
            </w:r>
          </w:p>
        </w:tc>
      </w:tr>
      <w:tr>
        <w:tblPrEx>
          <w:shd w:val="clear" w:color="auto" w:fill="auto"/>
        </w:tblPrEx>
        <w:trPr>
          <w:trHeight w:val="402" w:hRule="atLeast"/>
        </w:trPr>
        <w:tc>
          <w:tcPr>
            <w:tcW w:type="dxa" w:w="1642"/>
            <w:gridSpan w:val="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2013</w:t>
            </w:r>
          </w:p>
        </w:tc>
        <w:tc>
          <w:tcPr>
            <w:tcW w:type="dxa" w:w="1642"/>
            <w:gridSpan w:val="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280.000</w:t>
            </w:r>
          </w:p>
        </w:tc>
        <w:tc>
          <w:tcPr>
            <w:tcW w:type="dxa" w:w="1643"/>
            <w:gridSpan w:val="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303.507,36</w:t>
            </w:r>
          </w:p>
        </w:tc>
        <w:tc>
          <w:tcPr>
            <w:tcW w:type="dxa" w:w="1642"/>
            <w:gridSpan w:val="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287.837,27</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102,51 %</w:t>
            </w:r>
          </w:p>
        </w:tc>
        <w:tc>
          <w:tcPr>
            <w:tcW w:type="dxa" w:w="1643"/>
            <w:gridSpan w:val="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w:t>
            </w:r>
          </w:p>
        </w:tc>
        <w:tc>
          <w:tcPr>
            <w:tcW w:type="dxa" w:w="16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15.681,99</w:t>
            </w:r>
          </w:p>
        </w:tc>
      </w:tr>
      <w:tr>
        <w:tblPrEx>
          <w:shd w:val="clear" w:color="auto" w:fill="auto"/>
        </w:tblPrEx>
        <w:trPr>
          <w:trHeight w:val="402" w:hRule="atLeast"/>
        </w:trPr>
        <w:tc>
          <w:tcPr>
            <w:tcW w:type="dxa" w:w="1642"/>
            <w:gridSpan w:val="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2014</w:t>
            </w:r>
          </w:p>
        </w:tc>
        <w:tc>
          <w:tcPr>
            <w:tcW w:type="dxa" w:w="1642"/>
            <w:gridSpan w:val="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280.000</w:t>
            </w:r>
          </w:p>
        </w:tc>
        <w:tc>
          <w:tcPr>
            <w:tcW w:type="dxa" w:w="1643"/>
            <w:gridSpan w:val="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275.502,76</w:t>
            </w:r>
          </w:p>
        </w:tc>
        <w:tc>
          <w:tcPr>
            <w:tcW w:type="dxa" w:w="1642"/>
            <w:gridSpan w:val="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274.459,85</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97,74 %</w:t>
            </w:r>
          </w:p>
        </w:tc>
        <w:tc>
          <w:tcPr>
            <w:tcW w:type="dxa" w:w="1643"/>
            <w:gridSpan w:val="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w:t>
            </w:r>
          </w:p>
        </w:tc>
        <w:tc>
          <w:tcPr>
            <w:tcW w:type="dxa" w:w="16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1.042,91</w:t>
            </w:r>
          </w:p>
        </w:tc>
      </w:tr>
      <w:tr>
        <w:tblPrEx>
          <w:shd w:val="clear" w:color="auto" w:fill="auto"/>
        </w:tblPrEx>
        <w:trPr>
          <w:trHeight w:val="402" w:hRule="atLeast"/>
        </w:trPr>
        <w:tc>
          <w:tcPr>
            <w:tcW w:type="dxa" w:w="8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2015</w:t>
            </w:r>
          </w:p>
        </w:tc>
        <w:tc>
          <w:tcPr>
            <w:tcW w:type="dxa" w:w="1708"/>
            <w:gridSpan w:val="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187.000</w:t>
            </w:r>
          </w:p>
        </w:tc>
        <w:tc>
          <w:tcPr>
            <w:tcW w:type="dxa" w:w="1380"/>
            <w:gridSpan w:val="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166.615,96</w:t>
            </w:r>
          </w:p>
        </w:tc>
        <w:tc>
          <w:tcPr>
            <w:tcW w:type="dxa" w:w="1784"/>
            <w:gridSpan w:val="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166.615,96</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89,09%</w:t>
            </w:r>
          </w:p>
        </w:tc>
        <w:tc>
          <w:tcPr>
            <w:tcW w:type="dxa" w:w="1917"/>
            <w:gridSpan w:val="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w:t>
            </w:r>
          </w:p>
        </w:tc>
        <w:tc>
          <w:tcPr>
            <w:tcW w:type="dxa" w:w="2242"/>
            <w:gridSpan w:val="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w:t>
            </w:r>
          </w:p>
        </w:tc>
      </w:tr>
      <w:tr>
        <w:tblPrEx>
          <w:shd w:val="clear" w:color="auto" w:fill="auto"/>
        </w:tblPrEx>
        <w:trPr>
          <w:trHeight w:val="402" w:hRule="atLeast"/>
        </w:trPr>
        <w:tc>
          <w:tcPr>
            <w:tcW w:type="dxa" w:w="8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2016</w:t>
            </w:r>
          </w:p>
        </w:tc>
        <w:tc>
          <w:tcPr>
            <w:tcW w:type="dxa" w:w="1708"/>
            <w:gridSpan w:val="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187.000</w:t>
            </w:r>
          </w:p>
        </w:tc>
        <w:tc>
          <w:tcPr>
            <w:tcW w:type="dxa" w:w="1380"/>
            <w:gridSpan w:val="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169.509,34</w:t>
            </w:r>
          </w:p>
        </w:tc>
        <w:tc>
          <w:tcPr>
            <w:tcW w:type="dxa" w:w="1784"/>
            <w:gridSpan w:val="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169.509,34</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90,64%</w:t>
            </w:r>
          </w:p>
        </w:tc>
        <w:tc>
          <w:tcPr>
            <w:tcW w:type="dxa" w:w="1917"/>
            <w:gridSpan w:val="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w:t>
            </w:r>
          </w:p>
        </w:tc>
        <w:tc>
          <w:tcPr>
            <w:tcW w:type="dxa" w:w="2242"/>
            <w:gridSpan w:val="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w:t>
            </w:r>
          </w:p>
        </w:tc>
      </w:tr>
      <w:tr>
        <w:tblPrEx>
          <w:shd w:val="clear" w:color="auto" w:fill="auto"/>
        </w:tblPrEx>
        <w:trPr>
          <w:trHeight w:val="602" w:hRule="atLeast"/>
        </w:trPr>
        <w:tc>
          <w:tcPr>
            <w:tcW w:type="dxa" w:w="83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2017</w:t>
            </w:r>
          </w:p>
          <w:p>
            <w:pPr>
              <w:pStyle w:val="Normal"/>
              <w:jc w:val="cente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(fino al 30.04)</w:t>
            </w:r>
          </w:p>
        </w:tc>
        <w:tc>
          <w:tcPr>
            <w:tcW w:type="dxa" w:w="1708"/>
            <w:gridSpan w:val="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187.000</w:t>
            </w:r>
          </w:p>
        </w:tc>
        <w:tc>
          <w:tcPr>
            <w:tcW w:type="dxa" w:w="1380"/>
            <w:gridSpan w:val="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46.016,56</w:t>
            </w:r>
          </w:p>
        </w:tc>
        <w:tc>
          <w:tcPr>
            <w:tcW w:type="dxa" w:w="1784"/>
            <w:gridSpan w:val="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46.016,56</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24,60%</w:t>
            </w:r>
          </w:p>
        </w:tc>
        <w:tc>
          <w:tcPr>
            <w:tcW w:type="dxa" w:w="1917"/>
            <w:gridSpan w:val="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w:t>
            </w:r>
          </w:p>
        </w:tc>
        <w:tc>
          <w:tcPr>
            <w:tcW w:type="dxa" w:w="2242"/>
            <w:gridSpan w:val="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w:t>
            </w:r>
          </w:p>
        </w:tc>
      </w:tr>
    </w:tbl>
    <w:p>
      <w:pPr>
        <w:pStyle w:val="Normal"/>
        <w:jc w:val="both"/>
        <w:rPr>
          <w:b w:val="1"/>
          <w:bCs w:val="1"/>
          <w:i w:val="1"/>
          <w:iCs w:val="1"/>
          <w:sz w:val="18"/>
          <w:szCs w:val="18"/>
        </w:rPr>
      </w:pPr>
    </w:p>
    <w:p>
      <w:pPr>
        <w:pStyle w:val="Normal"/>
        <w:jc w:val="both"/>
        <w:rPr>
          <w:b w:val="1"/>
          <w:bCs w:val="1"/>
          <w:i w:val="1"/>
          <w:iCs w:val="1"/>
          <w:sz w:val="18"/>
          <w:szCs w:val="18"/>
        </w:rPr>
      </w:pPr>
    </w:p>
    <w:p>
      <w:pPr>
        <w:pStyle w:val="Normal"/>
        <w:jc w:val="both"/>
        <w:rPr>
          <w:i w:val="1"/>
          <w:iCs w:val="1"/>
          <w:sz w:val="20"/>
          <w:szCs w:val="20"/>
        </w:rPr>
      </w:pPr>
    </w:p>
    <w:p>
      <w:pPr>
        <w:pStyle w:val="Normal"/>
        <w:jc w:val="both"/>
        <w:rPr>
          <w:b w:val="1"/>
          <w:bCs w:val="1"/>
          <w:i w:val="1"/>
          <w:iCs w:val="1"/>
          <w:sz w:val="18"/>
          <w:szCs w:val="18"/>
        </w:rPr>
      </w:pPr>
      <w:r>
        <w:rPr>
          <w:i w:val="1"/>
          <w:iCs w:val="1"/>
          <w:sz w:val="20"/>
          <w:szCs w:val="20"/>
          <w:rtl w:val="0"/>
          <w:lang w:val="it-IT"/>
        </w:rPr>
        <w:t>RIFIUTI TRATTATI E/O IN USCITA (OUTPUT)</w:t>
      </w:r>
    </w:p>
    <w:tbl>
      <w:tblPr>
        <w:tblW w:w="9632" w:type="dxa"/>
        <w:jc w:val="left"/>
        <w:tblInd w:w="108" w:type="dxa"/>
        <w:tblBorders>
          <w:top w:val="single" w:color="000000" w:sz="2" w:space="0" w:shadow="0" w:frame="0"/>
          <w:left w:val="single" w:color="000000" w:sz="2" w:space="0" w:shadow="0" w:frame="0"/>
          <w:bottom w:val="single" w:color="000000" w:sz="2" w:space="0" w:shadow="0" w:frame="0"/>
          <w:right w:val="single" w:color="000000" w:sz="2" w:space="0" w:shadow="0" w:frame="0"/>
          <w:insideH w:val="single" w:color="000000" w:sz="2" w:space="0" w:shadow="0" w:frame="0"/>
          <w:insideV w:val="single" w:color="000000" w:sz="2" w:space="0" w:shadow="0" w:frame="0"/>
        </w:tblBorders>
        <w:shd w:val="clear" w:color="auto" w:fill="auto"/>
        <w:tblLayout w:type="fixed"/>
      </w:tblPr>
      <w:tblGrid>
        <w:gridCol w:w="812"/>
        <w:gridCol w:w="1226"/>
        <w:gridCol w:w="1206"/>
        <w:gridCol w:w="1211"/>
        <w:gridCol w:w="1213"/>
        <w:gridCol w:w="1210"/>
        <w:gridCol w:w="1560"/>
        <w:gridCol w:w="1194"/>
      </w:tblGrid>
      <w:tr>
        <w:tblPrEx>
          <w:shd w:val="clear" w:color="auto" w:fill="auto"/>
        </w:tblPrEx>
        <w:trPr>
          <w:trHeight w:val="1607" w:hRule="atLeast"/>
        </w:trPr>
        <w:tc>
          <w:tcPr>
            <w:tcW w:type="dxa" w:w="81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center"/>
          </w:tcPr>
          <w:p>
            <w:pPr>
              <w:pStyle w:val="Normal"/>
              <w:jc w:val="cente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ANNO</w:t>
            </w:r>
          </w:p>
        </w:tc>
        <w:tc>
          <w:tcPr>
            <w:tcW w:type="dxa" w:w="122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top"/>
          </w:tcPr>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CDR</w:t>
            </w:r>
          </w:p>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(combustibile da rifiuto)</w:t>
            </w:r>
          </w:p>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p>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p>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CER 191210</w:t>
            </w:r>
            <w:r>
              <w:rPr>
                <w:b w:val="1"/>
                <w:bCs w:val="1"/>
                <w:i w:val="1"/>
                <w:iCs w:val="1"/>
                <w:caps w:val="0"/>
                <w:smallCaps w:val="0"/>
                <w:strike w:val="0"/>
                <w:dstrike w:val="0"/>
                <w:outline w:val="0"/>
                <w:color w:val="000000"/>
                <w:spacing w:val="0"/>
                <w:kern w:val="0"/>
                <w:position w:val="0"/>
                <w:sz w:val="18"/>
                <w:szCs w:val="18"/>
                <w:u w:val="none" w:color="000000"/>
                <w:vertAlign w:val="superscript"/>
                <w:rtl w:val="0"/>
                <w:lang w:val="it-IT"/>
              </w:rPr>
              <w:t>(1)</w:t>
            </w:r>
          </w:p>
          <w:p>
            <w:pPr>
              <w:pStyle w:val="Normal"/>
              <w:jc w:val="cente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(ton) - %</w:t>
            </w:r>
          </w:p>
        </w:tc>
        <w:tc>
          <w:tcPr>
            <w:tcW w:type="dxa" w:w="120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top"/>
          </w:tcPr>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FOS</w:t>
            </w:r>
          </w:p>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(frazione organica stabilizzata)</w:t>
            </w:r>
          </w:p>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p>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CER 190503</w:t>
            </w:r>
            <w:r>
              <w:rPr>
                <w:b w:val="1"/>
                <w:bCs w:val="1"/>
                <w:i w:val="1"/>
                <w:iCs w:val="1"/>
                <w:caps w:val="0"/>
                <w:smallCaps w:val="0"/>
                <w:strike w:val="0"/>
                <w:dstrike w:val="0"/>
                <w:outline w:val="0"/>
                <w:color w:val="000000"/>
                <w:spacing w:val="0"/>
                <w:kern w:val="0"/>
                <w:position w:val="0"/>
                <w:sz w:val="18"/>
                <w:szCs w:val="18"/>
                <w:u w:val="none" w:color="000000"/>
                <w:vertAlign w:val="superscript"/>
                <w:rtl w:val="0"/>
                <w:lang w:val="it-IT"/>
              </w:rPr>
              <w:t>(2)</w:t>
            </w:r>
          </w:p>
          <w:p>
            <w:pPr>
              <w:pStyle w:val="Normal"/>
              <w:jc w:val="cente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(ton) - %</w:t>
            </w:r>
          </w:p>
        </w:tc>
        <w:tc>
          <w:tcPr>
            <w:tcW w:type="dxa" w:w="121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top"/>
          </w:tcPr>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METALLI</w:t>
            </w:r>
          </w:p>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p>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p>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p>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CER 191202</w:t>
            </w:r>
          </w:p>
          <w:p>
            <w:pPr>
              <w:pStyle w:val="Normal"/>
              <w:jc w:val="cente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(ton) - %</w:t>
            </w:r>
          </w:p>
        </w:tc>
        <w:tc>
          <w:tcPr>
            <w:tcW w:type="dxa" w:w="12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top"/>
          </w:tcPr>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METALLI</w:t>
            </w:r>
          </w:p>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NON</w:t>
            </w:r>
          </w:p>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FERROSI</w:t>
            </w:r>
          </w:p>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p>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CER 191203</w:t>
            </w:r>
          </w:p>
          <w:p>
            <w:pPr>
              <w:pStyle w:val="Normal"/>
              <w:jc w:val="cente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(ton) - %</w:t>
            </w:r>
          </w:p>
        </w:tc>
        <w:tc>
          <w:tcPr>
            <w:tcW w:type="dxa" w:w="121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top"/>
          </w:tcPr>
          <w:p>
            <w:pPr>
              <w:pStyle w:val="Normal"/>
              <w:jc w:val="center"/>
              <w:rPr>
                <w:caps w:val="0"/>
                <w:smallCaps w:val="0"/>
                <w:strike w:val="0"/>
                <w:dstrike w:val="0"/>
                <w:outline w:val="0"/>
                <w:color w:val="000000"/>
                <w:spacing w:val="0"/>
                <w:kern w:val="0"/>
                <w:position w:val="0"/>
                <w:sz w:val="24"/>
                <w:szCs w:val="24"/>
                <w:u w:val="none" w:color="000000"/>
                <w:vertAlign w:val="baseline"/>
                <w:rtl w:val="0"/>
                <w:lang w:val="it-IT"/>
              </w:rP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PET</w:t>
            </w:r>
          </w:p>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r>
              <w:rPr>
                <w:b w:val="1"/>
                <w:bCs w:val="1"/>
                <w:i w:val="1"/>
                <w:iCs w:val="1"/>
                <w:caps w:val="0"/>
                <w:smallCaps w:val="0"/>
                <w:strike w:val="0"/>
                <w:dstrike w:val="0"/>
                <w:outline w:val="0"/>
                <w:color w:val="222222"/>
                <w:spacing w:val="0"/>
                <w:kern w:val="0"/>
                <w:position w:val="0"/>
                <w:sz w:val="18"/>
                <w:szCs w:val="18"/>
                <w:u w:val="none" w:color="222222"/>
                <w:vertAlign w:val="baseline"/>
                <w:rtl w:val="0"/>
                <w:lang w:val="it-IT"/>
              </w:rPr>
              <w:t>(polietilene tereftalato)</w:t>
            </w:r>
          </w:p>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p>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p>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CER 191204</w:t>
            </w:r>
            <w:r>
              <w:rPr>
                <w:b w:val="1"/>
                <w:bCs w:val="1"/>
                <w:i w:val="1"/>
                <w:iCs w:val="1"/>
                <w:caps w:val="0"/>
                <w:smallCaps w:val="0"/>
                <w:strike w:val="0"/>
                <w:dstrike w:val="0"/>
                <w:outline w:val="0"/>
                <w:color w:val="000000"/>
                <w:spacing w:val="0"/>
                <w:kern w:val="0"/>
                <w:position w:val="0"/>
                <w:sz w:val="18"/>
                <w:szCs w:val="18"/>
                <w:u w:val="none" w:color="000000"/>
                <w:vertAlign w:val="superscript"/>
                <w:rtl w:val="0"/>
                <w:lang w:val="it-IT"/>
              </w:rPr>
              <w:t>(3)</w:t>
            </w:r>
          </w:p>
          <w:p>
            <w:pPr>
              <w:pStyle w:val="Normal"/>
              <w:jc w:val="cente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(ton) - %</w:t>
            </w:r>
          </w:p>
        </w:tc>
        <w:tc>
          <w:tcPr>
            <w:tcW w:type="dxa" w:w="155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top"/>
          </w:tcPr>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RIFIUTI NON</w:t>
            </w:r>
          </w:p>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COMPOSTATI</w:t>
            </w:r>
          </w:p>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p>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p>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p>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CER 190501</w:t>
            </w:r>
            <w:r>
              <w:rPr>
                <w:b w:val="1"/>
                <w:bCs w:val="1"/>
                <w:i w:val="1"/>
                <w:iCs w:val="1"/>
                <w:caps w:val="0"/>
                <w:smallCaps w:val="0"/>
                <w:strike w:val="0"/>
                <w:dstrike w:val="0"/>
                <w:outline w:val="0"/>
                <w:color w:val="000000"/>
                <w:spacing w:val="0"/>
                <w:kern w:val="0"/>
                <w:position w:val="0"/>
                <w:sz w:val="18"/>
                <w:szCs w:val="18"/>
                <w:u w:val="none" w:color="000000"/>
                <w:vertAlign w:val="superscript"/>
                <w:rtl w:val="0"/>
                <w:lang w:val="it-IT"/>
              </w:rPr>
              <w:t>(4)</w:t>
            </w:r>
          </w:p>
          <w:p>
            <w:pPr>
              <w:pStyle w:val="Normal"/>
              <w:jc w:val="cente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(ton) - %</w:t>
            </w:r>
          </w:p>
        </w:tc>
        <w:tc>
          <w:tcPr>
            <w:tcW w:type="dxa" w:w="119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d9d9d9"/>
            <w:tcMar>
              <w:top w:type="dxa" w:w="80"/>
              <w:left w:type="dxa" w:w="80"/>
              <w:bottom w:type="dxa" w:w="80"/>
              <w:right w:type="dxa" w:w="80"/>
            </w:tcMar>
            <w:vAlign w:val="top"/>
          </w:tcPr>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ALTRI</w:t>
            </w:r>
          </w:p>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RIFIUTI</w:t>
            </w:r>
          </w:p>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p>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p>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CER 191212</w:t>
            </w:r>
            <w:r>
              <w:rPr>
                <w:b w:val="1"/>
                <w:bCs w:val="1"/>
                <w:i w:val="1"/>
                <w:iCs w:val="1"/>
                <w:caps w:val="0"/>
                <w:smallCaps w:val="0"/>
                <w:strike w:val="0"/>
                <w:dstrike w:val="0"/>
                <w:outline w:val="0"/>
                <w:color w:val="000000"/>
                <w:spacing w:val="0"/>
                <w:kern w:val="0"/>
                <w:position w:val="0"/>
                <w:sz w:val="18"/>
                <w:szCs w:val="18"/>
                <w:u w:val="none" w:color="000000"/>
                <w:vertAlign w:val="superscript"/>
                <w:rtl w:val="0"/>
                <w:lang w:val="it-IT"/>
              </w:rPr>
              <w:t>(5)</w:t>
            </w:r>
          </w:p>
          <w:p>
            <w:pPr>
              <w:pStyle w:val="Normal"/>
              <w:jc w:val="cente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(ton) - %</w:t>
            </w:r>
          </w:p>
        </w:tc>
      </w:tr>
      <w:tr>
        <w:tblPrEx>
          <w:shd w:val="clear" w:color="auto" w:fill="auto"/>
        </w:tblPrEx>
        <w:trPr>
          <w:trHeight w:val="402" w:hRule="atLeast"/>
        </w:trPr>
        <w:tc>
          <w:tcPr>
            <w:tcW w:type="dxa" w:w="81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2013</w:t>
            </w:r>
          </w:p>
        </w:tc>
        <w:tc>
          <w:tcPr>
            <w:tcW w:type="dxa" w:w="122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82.687,03</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28,73 %</w:t>
            </w:r>
          </w:p>
        </w:tc>
        <w:tc>
          <w:tcPr>
            <w:tcW w:type="dxa" w:w="120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10.185,50</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3,54 %</w:t>
            </w:r>
          </w:p>
        </w:tc>
        <w:tc>
          <w:tcPr>
            <w:tcW w:type="dxa" w:w="121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4.086,12</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1,42 %</w:t>
            </w:r>
          </w:p>
        </w:tc>
        <w:tc>
          <w:tcPr>
            <w:tcW w:type="dxa" w:w="12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83,23</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0,03 %</w:t>
            </w:r>
          </w:p>
        </w:tc>
        <w:tc>
          <w:tcPr>
            <w:tcW w:type="dxa" w:w="121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1.215,72</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0,42 %</w:t>
            </w:r>
          </w:p>
        </w:tc>
        <w:tc>
          <w:tcPr>
            <w:tcW w:type="dxa" w:w="155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87.399,04</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30,36 %</w:t>
            </w:r>
          </w:p>
        </w:tc>
        <w:tc>
          <w:tcPr>
            <w:tcW w:type="dxa" w:w="119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72.317,11</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25,12 %</w:t>
            </w:r>
          </w:p>
        </w:tc>
      </w:tr>
      <w:tr>
        <w:tblPrEx>
          <w:shd w:val="clear" w:color="auto" w:fill="auto"/>
        </w:tblPrEx>
        <w:trPr>
          <w:trHeight w:val="402" w:hRule="atLeast"/>
        </w:trPr>
        <w:tc>
          <w:tcPr>
            <w:tcW w:type="dxa" w:w="81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2014</w:t>
            </w:r>
          </w:p>
        </w:tc>
        <w:tc>
          <w:tcPr>
            <w:tcW w:type="dxa" w:w="122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121.702,78</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44,34 %</w:t>
            </w:r>
          </w:p>
        </w:tc>
        <w:tc>
          <w:tcPr>
            <w:tcW w:type="dxa" w:w="120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53.597,26</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19,53 %</w:t>
            </w:r>
          </w:p>
        </w:tc>
        <w:tc>
          <w:tcPr>
            <w:tcW w:type="dxa" w:w="121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4.732,14</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1,72 %</w:t>
            </w:r>
          </w:p>
        </w:tc>
        <w:tc>
          <w:tcPr>
            <w:tcW w:type="dxa" w:w="12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73,78</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0,03 %</w:t>
            </w:r>
          </w:p>
        </w:tc>
        <w:tc>
          <w:tcPr>
            <w:tcW w:type="dxa" w:w="121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987,08</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0,36 %</w:t>
            </w:r>
          </w:p>
        </w:tc>
        <w:tc>
          <w:tcPr>
            <w:tcW w:type="dxa" w:w="155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41.323,95</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15,06 %</w:t>
            </w:r>
          </w:p>
        </w:tc>
        <w:tc>
          <w:tcPr>
            <w:tcW w:type="dxa" w:w="119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38.566,91</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14,05 %</w:t>
            </w:r>
          </w:p>
        </w:tc>
      </w:tr>
      <w:tr>
        <w:tblPrEx>
          <w:shd w:val="clear" w:color="auto" w:fill="auto"/>
        </w:tblPrEx>
        <w:trPr>
          <w:trHeight w:val="402" w:hRule="atLeast"/>
        </w:trPr>
        <w:tc>
          <w:tcPr>
            <w:tcW w:type="dxa" w:w="81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2015</w:t>
            </w:r>
          </w:p>
        </w:tc>
        <w:tc>
          <w:tcPr>
            <w:tcW w:type="dxa" w:w="122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44.935,23</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26,97%</w:t>
            </w:r>
          </w:p>
        </w:tc>
        <w:tc>
          <w:tcPr>
            <w:tcW w:type="dxa" w:w="120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49.315,27</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29,60%</w:t>
            </w:r>
          </w:p>
        </w:tc>
        <w:tc>
          <w:tcPr>
            <w:tcW w:type="dxa" w:w="121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874,24</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0,52%</w:t>
            </w:r>
          </w:p>
        </w:tc>
        <w:tc>
          <w:tcPr>
            <w:tcW w:type="dxa" w:w="12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8,26</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0,00%</w:t>
            </w:r>
          </w:p>
        </w:tc>
        <w:tc>
          <w:tcPr>
            <w:tcW w:type="dxa" w:w="121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0</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0,00%</w:t>
            </w:r>
          </w:p>
        </w:tc>
        <w:tc>
          <w:tcPr>
            <w:tcW w:type="dxa" w:w="155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0</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0,00%</w:t>
            </w:r>
          </w:p>
        </w:tc>
        <w:tc>
          <w:tcPr>
            <w:tcW w:type="dxa" w:w="119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49.205,26</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29,53%</w:t>
            </w:r>
          </w:p>
        </w:tc>
      </w:tr>
      <w:tr>
        <w:tblPrEx>
          <w:shd w:val="clear" w:color="auto" w:fill="auto"/>
        </w:tblPrEx>
        <w:trPr>
          <w:trHeight w:val="402" w:hRule="atLeast"/>
        </w:trPr>
        <w:tc>
          <w:tcPr>
            <w:tcW w:type="dxa" w:w="81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2016</w:t>
            </w:r>
          </w:p>
        </w:tc>
        <w:tc>
          <w:tcPr>
            <w:tcW w:type="dxa" w:w="122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46.034,40</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27,16%</w:t>
            </w:r>
          </w:p>
        </w:tc>
        <w:tc>
          <w:tcPr>
            <w:tcW w:type="dxa" w:w="120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44.056,29</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25,99%</w:t>
            </w:r>
          </w:p>
        </w:tc>
        <w:tc>
          <w:tcPr>
            <w:tcW w:type="dxa" w:w="121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1.048,47</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0,62%</w:t>
            </w:r>
          </w:p>
        </w:tc>
        <w:tc>
          <w:tcPr>
            <w:tcW w:type="dxa" w:w="12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0</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0,00%</w:t>
            </w:r>
          </w:p>
        </w:tc>
        <w:tc>
          <w:tcPr>
            <w:tcW w:type="dxa" w:w="121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0</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0,00%</w:t>
            </w:r>
          </w:p>
        </w:tc>
        <w:tc>
          <w:tcPr>
            <w:tcW w:type="dxa" w:w="155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0</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0,00%</w:t>
            </w:r>
          </w:p>
        </w:tc>
        <w:tc>
          <w:tcPr>
            <w:tcW w:type="dxa" w:w="119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55.055,72</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32,48%</w:t>
            </w:r>
          </w:p>
        </w:tc>
      </w:tr>
      <w:tr>
        <w:tblPrEx>
          <w:shd w:val="clear" w:color="auto" w:fill="auto"/>
        </w:tblPrEx>
        <w:trPr>
          <w:trHeight w:val="602" w:hRule="atLeast"/>
        </w:trPr>
        <w:tc>
          <w:tcPr>
            <w:tcW w:type="dxa" w:w="81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2017</w:t>
            </w:r>
          </w:p>
          <w:p>
            <w:pPr>
              <w:pStyle w:val="Normal"/>
              <w:jc w:val="center"/>
            </w:pPr>
            <w:r>
              <w:rPr>
                <w:b w:val="1"/>
                <w:bCs w:val="1"/>
                <w:i w:val="1"/>
                <w:iCs w:val="1"/>
                <w:caps w:val="0"/>
                <w:smallCaps w:val="0"/>
                <w:strike w:val="0"/>
                <w:dstrike w:val="0"/>
                <w:outline w:val="0"/>
                <w:color w:val="000000"/>
                <w:spacing w:val="0"/>
                <w:kern w:val="0"/>
                <w:position w:val="0"/>
                <w:sz w:val="18"/>
                <w:szCs w:val="18"/>
                <w:u w:val="none" w:color="000000"/>
                <w:vertAlign w:val="baseline"/>
                <w:rtl w:val="0"/>
                <w:lang w:val="it-IT"/>
              </w:rPr>
              <w:t>(fino al 30.04)</w:t>
            </w:r>
          </w:p>
        </w:tc>
        <w:tc>
          <w:tcPr>
            <w:tcW w:type="dxa" w:w="122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11.293,11</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24,54%</w:t>
            </w:r>
          </w:p>
        </w:tc>
        <w:tc>
          <w:tcPr>
            <w:tcW w:type="dxa" w:w="120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14.013,89</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30,45%</w:t>
            </w:r>
          </w:p>
        </w:tc>
        <w:tc>
          <w:tcPr>
            <w:tcW w:type="dxa" w:w="121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236,44</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0,51%</w:t>
            </w:r>
          </w:p>
        </w:tc>
        <w:tc>
          <w:tcPr>
            <w:tcW w:type="dxa" w:w="121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0</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0,00%</w:t>
            </w:r>
          </w:p>
        </w:tc>
        <w:tc>
          <w:tcPr>
            <w:tcW w:type="dxa" w:w="121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0</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0,00%</w:t>
            </w:r>
          </w:p>
        </w:tc>
        <w:tc>
          <w:tcPr>
            <w:tcW w:type="dxa" w:w="155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0</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0,00%</w:t>
            </w:r>
          </w:p>
        </w:tc>
        <w:tc>
          <w:tcPr>
            <w:tcW w:type="dxa" w:w="119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caps w:val="0"/>
                <w:smallCaps w:val="0"/>
                <w:strike w:val="0"/>
                <w:dstrike w:val="0"/>
                <w:outline w:val="0"/>
                <w:color w:val="000000"/>
                <w:spacing w:val="0"/>
                <w:kern w:val="0"/>
                <w:position w:val="0"/>
                <w:sz w:val="18"/>
                <w:szCs w:val="18"/>
                <w:u w:val="none" w:color="000000"/>
                <w:vertAlign w:val="baseline"/>
                <w:rtl w:val="0"/>
                <w:lang w:val="it-IT"/>
              </w:rPr>
            </w:pPr>
            <w:r>
              <w:rPr>
                <w:caps w:val="0"/>
                <w:smallCaps w:val="0"/>
                <w:strike w:val="0"/>
                <w:dstrike w:val="0"/>
                <w:outline w:val="0"/>
                <w:color w:val="000000"/>
                <w:spacing w:val="0"/>
                <w:kern w:val="0"/>
                <w:position w:val="0"/>
                <w:sz w:val="18"/>
                <w:szCs w:val="18"/>
                <w:u w:val="none" w:color="000000"/>
                <w:vertAlign w:val="baseline"/>
                <w:rtl w:val="0"/>
                <w:lang w:val="it-IT"/>
              </w:rPr>
              <w:t>15.157,18</w:t>
            </w:r>
          </w:p>
          <w:p>
            <w:pPr>
              <w:pStyle w:val="Normal"/>
              <w:jc w:val="center"/>
            </w:pPr>
            <w:r>
              <w:rPr>
                <w:caps w:val="0"/>
                <w:smallCaps w:val="0"/>
                <w:strike w:val="0"/>
                <w:dstrike w:val="0"/>
                <w:outline w:val="0"/>
                <w:color w:val="000000"/>
                <w:spacing w:val="0"/>
                <w:kern w:val="0"/>
                <w:position w:val="0"/>
                <w:sz w:val="18"/>
                <w:szCs w:val="18"/>
                <w:u w:val="none" w:color="000000"/>
                <w:vertAlign w:val="baseline"/>
                <w:rtl w:val="0"/>
                <w:lang w:val="it-IT"/>
              </w:rPr>
              <w:t>32,94%</w:t>
            </w:r>
          </w:p>
        </w:tc>
      </w:tr>
    </w:tbl>
    <w:p>
      <w:pPr>
        <w:pStyle w:val="Normal"/>
        <w:jc w:val="both"/>
        <w:rPr>
          <w:b w:val="1"/>
          <w:bCs w:val="1"/>
          <w:i w:val="1"/>
          <w:iCs w:val="1"/>
          <w:sz w:val="18"/>
          <w:szCs w:val="18"/>
        </w:rPr>
      </w:pPr>
    </w:p>
    <w:p>
      <w:pPr>
        <w:pStyle w:val="Normal"/>
        <w:ind w:left="567" w:right="567" w:firstLine="0"/>
        <w:jc w:val="both"/>
        <w:rPr>
          <w:rFonts w:ascii="Calibri" w:cs="Calibri" w:hAnsi="Calibri" w:eastAsia="Calibri"/>
          <w:sz w:val="16"/>
          <w:szCs w:val="16"/>
        </w:rPr>
      </w:pPr>
    </w:p>
    <w:p>
      <w:pPr>
        <w:pStyle w:val="Normal"/>
        <w:rPr>
          <w:sz w:val="16"/>
          <w:szCs w:val="16"/>
        </w:rPr>
      </w:pPr>
      <w:r>
        <w:rPr>
          <w:rFonts w:ascii="Times New Roman" w:cs="Arial Unicode MS" w:hAnsi="Arial Unicode MS" w:eastAsia="Arial Unicode MS"/>
          <w:sz w:val="16"/>
          <w:szCs w:val="16"/>
          <w:rtl w:val="0"/>
          <w:lang w:val="it-IT"/>
        </w:rPr>
        <w:t>(1) Rifiuti combustibili (combustibile da rifiuti)</w:t>
      </w:r>
    </w:p>
    <w:p>
      <w:pPr>
        <w:pStyle w:val="Normal"/>
        <w:rPr>
          <w:sz w:val="16"/>
          <w:szCs w:val="16"/>
        </w:rPr>
      </w:pPr>
      <w:r>
        <w:rPr>
          <w:rFonts w:ascii="Times New Roman" w:cs="Arial Unicode MS" w:hAnsi="Arial Unicode MS" w:eastAsia="Arial Unicode MS"/>
          <w:sz w:val="16"/>
          <w:szCs w:val="16"/>
          <w:rtl w:val="0"/>
          <w:lang w:val="it-IT"/>
        </w:rPr>
        <w:t>(2) Compost fuori specifica</w:t>
      </w:r>
    </w:p>
    <w:p>
      <w:pPr>
        <w:pStyle w:val="Normal"/>
        <w:rPr>
          <w:sz w:val="16"/>
          <w:szCs w:val="16"/>
        </w:rPr>
      </w:pPr>
      <w:r>
        <w:rPr>
          <w:rFonts w:ascii="Times New Roman" w:cs="Arial Unicode MS" w:hAnsi="Arial Unicode MS" w:eastAsia="Arial Unicode MS"/>
          <w:sz w:val="16"/>
          <w:szCs w:val="16"/>
          <w:rtl w:val="0"/>
          <w:lang w:val="it-IT"/>
        </w:rPr>
        <w:t>(3) Plastica e gomma</w:t>
      </w:r>
    </w:p>
    <w:p>
      <w:pPr>
        <w:pStyle w:val="Normal"/>
        <w:rPr>
          <w:sz w:val="16"/>
          <w:szCs w:val="16"/>
        </w:rPr>
      </w:pPr>
      <w:r>
        <w:rPr>
          <w:rFonts w:ascii="Times New Roman" w:cs="Arial Unicode MS" w:hAnsi="Arial Unicode MS" w:eastAsia="Arial Unicode MS"/>
          <w:sz w:val="16"/>
          <w:szCs w:val="16"/>
          <w:rtl w:val="0"/>
          <w:lang w:val="it-IT"/>
        </w:rPr>
        <w:t>(4) Parte di rifiuti urbani e simili non destinata al compost</w:t>
      </w:r>
    </w:p>
    <w:p>
      <w:pPr>
        <w:pStyle w:val="Normal"/>
        <w:rPr>
          <w:sz w:val="16"/>
          <w:szCs w:val="16"/>
        </w:rPr>
      </w:pPr>
      <w:r>
        <w:rPr>
          <w:rFonts w:ascii="Times New Roman" w:cs="Arial Unicode MS" w:hAnsi="Arial Unicode MS" w:eastAsia="Arial Unicode MS"/>
          <w:sz w:val="16"/>
          <w:szCs w:val="16"/>
          <w:rtl w:val="0"/>
          <w:lang w:val="it-IT"/>
        </w:rPr>
        <w:t>(5) Altri rifiuti (compresi materiali misti) prodotti dal trattamento meccanico dei rifiuti, diversi da quelli di cui alla voce 191211</w:t>
      </w:r>
    </w:p>
    <w:p>
      <w:pPr>
        <w:pStyle w:val="Normal"/>
        <w:ind w:left="567" w:right="567" w:firstLine="0"/>
        <w:jc w:val="both"/>
        <w:rPr>
          <w:rFonts w:ascii="Book Antiqua" w:cs="Book Antiqua" w:hAnsi="Book Antiqua" w:eastAsia="Book Antiqua"/>
          <w:sz w:val="16"/>
          <w:szCs w:val="16"/>
        </w:rPr>
      </w:pPr>
    </w:p>
    <w:p>
      <w:pPr>
        <w:pStyle w:val="Normal"/>
        <w:ind w:left="567" w:right="567" w:firstLine="0"/>
        <w:jc w:val="both"/>
        <w:rPr>
          <w:rFonts w:ascii="Book Antiqua" w:cs="Book Antiqua" w:hAnsi="Book Antiqua" w:eastAsia="Book Antiqua"/>
          <w:sz w:val="22"/>
          <w:szCs w:val="22"/>
        </w:rPr>
      </w:pPr>
    </w:p>
    <w:p>
      <w:pPr>
        <w:pStyle w:val="Normal"/>
        <w:ind w:left="567" w:right="567" w:firstLine="0"/>
        <w:jc w:val="both"/>
        <w:rPr>
          <w:rFonts w:ascii="Book Antiqua" w:cs="Book Antiqua" w:hAnsi="Book Antiqua" w:eastAsia="Book Antiqua"/>
        </w:rPr>
      </w:pPr>
      <w:r>
        <w:rPr>
          <w:rFonts w:ascii="Book Antiqua"/>
          <w:rtl w:val="0"/>
          <w:lang w:val="it-IT"/>
        </w:rPr>
        <w:t>L'analisi dei dati consente di svolgere alcune considerazioni sulla attuale situazione della gestione dei rifiuti urbani indifferenziati prodotti da Roma Capitale, nonch</w:t>
      </w:r>
      <w:r>
        <w:rPr>
          <w:rFonts w:hAnsi="Book Antiqua" w:hint="default"/>
          <w:rtl w:val="0"/>
          <w:lang w:val="it-IT"/>
        </w:rPr>
        <w:t xml:space="preserve">é </w:t>
      </w:r>
      <w:r>
        <w:rPr>
          <w:rFonts w:ascii="Book Antiqua"/>
          <w:rtl w:val="0"/>
          <w:lang w:val="it-IT"/>
        </w:rPr>
        <w:t>sul permanere delle criticit</w:t>
      </w:r>
      <w:r>
        <w:rPr>
          <w:rFonts w:hAnsi="Book Antiqua" w:hint="default"/>
          <w:rtl w:val="0"/>
          <w:lang w:val="it-IT"/>
        </w:rPr>
        <w:t xml:space="preserve">à </w:t>
      </w:r>
      <w:r>
        <w:rPr>
          <w:rFonts w:ascii="Book Antiqua"/>
          <w:rtl w:val="0"/>
          <w:lang w:val="it-IT"/>
        </w:rPr>
        <w:t>fin qui evidenziate.</w:t>
      </w:r>
    </w:p>
    <w:p>
      <w:pPr>
        <w:pStyle w:val="Normal"/>
        <w:ind w:left="567" w:right="567" w:firstLine="0"/>
        <w:jc w:val="both"/>
        <w:rPr>
          <w:rFonts w:ascii="Book Antiqua" w:cs="Book Antiqua" w:hAnsi="Book Antiqua" w:eastAsia="Book Antiqua"/>
        </w:rPr>
      </w:pPr>
      <w:r>
        <w:rPr>
          <w:rFonts w:ascii="Book Antiqua"/>
          <w:rtl w:val="0"/>
          <w:lang w:val="it-IT"/>
        </w:rPr>
        <w:t>La capacit</w:t>
      </w:r>
      <w:r>
        <w:rPr>
          <w:rFonts w:hAnsi="Book Antiqua" w:hint="default"/>
          <w:rtl w:val="0"/>
          <w:lang w:val="it-IT"/>
        </w:rPr>
        <w:t xml:space="preserve">à </w:t>
      </w:r>
      <w:r>
        <w:rPr>
          <w:rFonts w:ascii="Book Antiqua"/>
          <w:rtl w:val="0"/>
          <w:lang w:val="it-IT"/>
        </w:rPr>
        <w:t xml:space="preserve">annua di trattamento dei rifiuti indifferenziati complessiva degli impianti situati nel comune di Roma corrisponde a circa 935.000 tonnellate annue, includendo in questo conto anche i due impianti  della E. Giovi S.r.l. . </w:t>
      </w:r>
    </w:p>
    <w:p>
      <w:pPr>
        <w:pStyle w:val="Normal"/>
        <w:ind w:left="567" w:right="567" w:firstLine="0"/>
        <w:jc w:val="both"/>
        <w:rPr>
          <w:rFonts w:ascii="Book Antiqua" w:cs="Book Antiqua" w:hAnsi="Book Antiqua" w:eastAsia="Book Antiqua"/>
        </w:rPr>
      </w:pPr>
      <w:r>
        <w:rPr>
          <w:rFonts w:ascii="Book Antiqua"/>
          <w:rtl w:val="0"/>
          <w:lang w:val="it-IT"/>
        </w:rPr>
        <w:t>Non includendo questi ultimi la capacit</w:t>
      </w:r>
      <w:r>
        <w:rPr>
          <w:rFonts w:hAnsi="Book Antiqua" w:hint="default"/>
          <w:rtl w:val="0"/>
          <w:lang w:val="it-IT"/>
        </w:rPr>
        <w:t xml:space="preserve">à </w:t>
      </w:r>
      <w:r>
        <w:rPr>
          <w:rFonts w:ascii="Book Antiqua"/>
          <w:rtl w:val="0"/>
          <w:lang w:val="it-IT"/>
        </w:rPr>
        <w:t xml:space="preserve">di trattamento disponibile per i rifiuti indifferenziati prodotti nella Capitale scenderebbe a poco meno di 470.000 tonnellate.  </w:t>
      </w:r>
    </w:p>
    <w:p>
      <w:pPr>
        <w:pStyle w:val="Normal"/>
        <w:ind w:left="567" w:right="567" w:firstLine="0"/>
        <w:jc w:val="both"/>
        <w:rPr>
          <w:rFonts w:ascii="Book Antiqua" w:cs="Book Antiqua" w:hAnsi="Book Antiqua" w:eastAsia="Book Antiqua"/>
        </w:rPr>
      </w:pPr>
      <w:r>
        <w:rPr>
          <w:rFonts w:ascii="Book Antiqua"/>
          <w:rtl w:val="0"/>
          <w:lang w:val="it-IT"/>
        </w:rPr>
        <w:t>Al momento, quindi, la potenzialit</w:t>
      </w:r>
      <w:r>
        <w:rPr>
          <w:rFonts w:hAnsi="Book Antiqua" w:hint="default"/>
          <w:rtl w:val="0"/>
          <w:lang w:val="it-IT"/>
        </w:rPr>
        <w:t xml:space="preserve">à </w:t>
      </w:r>
      <w:r>
        <w:rPr>
          <w:rFonts w:ascii="Book Antiqua"/>
          <w:rtl w:val="0"/>
          <w:lang w:val="it-IT"/>
        </w:rPr>
        <w:t>di cui dispone l</w:t>
      </w:r>
      <w:r>
        <w:rPr>
          <w:rFonts w:hAnsi="Book Antiqua" w:hint="default"/>
          <w:rtl w:val="0"/>
          <w:lang w:val="it-IT"/>
        </w:rPr>
        <w:t>’</w:t>
      </w:r>
      <w:r>
        <w:rPr>
          <w:rFonts w:ascii="Book Antiqua"/>
          <w:rtl w:val="0"/>
          <w:lang w:val="it-IT"/>
        </w:rPr>
        <w:t>Azienda a partecipazione pubblica non consente il trattamento di tutti i rifiuti urbani indifferenziati prodotti che, secondo i dati ISPRA, nel 2016, ammontano a 979.780 tonnellate</w:t>
      </w:r>
      <w:r>
        <w:rPr>
          <w:rFonts w:ascii="Book Antiqua" w:cs="Book Antiqua" w:hAnsi="Book Antiqua" w:eastAsia="Book Antiqua"/>
          <w:vertAlign w:val="superscript"/>
          <w:rtl w:val="0"/>
        </w:rPr>
        <w:footnoteReference w:id="55"/>
      </w:r>
      <w:r>
        <w:rPr>
          <w:rFonts w:ascii="Book Antiqua"/>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Le valutazioni che l</w:t>
      </w:r>
      <w:r>
        <w:rPr>
          <w:rFonts w:hAnsi="Book Antiqua" w:hint="default"/>
          <w:rtl w:val="0"/>
          <w:lang w:val="it-IT"/>
        </w:rPr>
        <w:t>’</w:t>
      </w:r>
      <w:r>
        <w:rPr>
          <w:rFonts w:ascii="Book Antiqua"/>
          <w:rtl w:val="0"/>
          <w:lang w:val="it-IT"/>
        </w:rPr>
        <w:t xml:space="preserve">amministrazione comunale ha effettuato nell'ambito della predisposizione del </w:t>
      </w:r>
      <w:r>
        <w:rPr>
          <w:rFonts w:hAnsi="Book Antiqua" w:hint="default"/>
          <w:rtl w:val="0"/>
          <w:lang w:val="it-IT"/>
        </w:rPr>
        <w:t>“</w:t>
      </w:r>
      <w:r>
        <w:rPr>
          <w:rFonts w:ascii="Book Antiqua"/>
          <w:rtl w:val="0"/>
          <w:lang w:val="it-IT"/>
        </w:rPr>
        <w:t xml:space="preserve">Piano per la gestione dei materiali post-consumo 2017 </w:t>
      </w:r>
      <w:r>
        <w:rPr>
          <w:rFonts w:hAnsi="Book Antiqua" w:hint="default"/>
          <w:rtl w:val="0"/>
          <w:lang w:val="it-IT"/>
        </w:rPr>
        <w:t xml:space="preserve">– </w:t>
      </w:r>
      <w:r>
        <w:rPr>
          <w:rFonts w:ascii="Book Antiqua"/>
          <w:rtl w:val="0"/>
          <w:lang w:val="it-IT"/>
        </w:rPr>
        <w:t>2021</w:t>
      </w:r>
      <w:r>
        <w:rPr>
          <w:rFonts w:hAnsi="Book Antiqua" w:hint="default"/>
          <w:rtl w:val="0"/>
          <w:lang w:val="it-IT"/>
        </w:rPr>
        <w:t>”</w:t>
      </w:r>
      <w:r>
        <w:rPr>
          <w:rFonts w:ascii="Book Antiqua" w:cs="Book Antiqua" w:hAnsi="Book Antiqua" w:eastAsia="Book Antiqua"/>
          <w:vertAlign w:val="superscript"/>
          <w:rtl w:val="0"/>
        </w:rPr>
        <w:footnoteReference w:id="56"/>
      </w:r>
      <w:r>
        <w:rPr>
          <w:rFonts w:ascii="Book Antiqua"/>
          <w:rtl w:val="0"/>
          <w:lang w:val="it-IT"/>
        </w:rPr>
        <w:t xml:space="preserve"> dovrebbe condurre, attraverso l</w:t>
      </w:r>
      <w:r>
        <w:rPr>
          <w:rFonts w:hAnsi="Book Antiqua" w:hint="default"/>
          <w:rtl w:val="0"/>
          <w:lang w:val="it-IT"/>
        </w:rPr>
        <w:t>’</w:t>
      </w:r>
      <w:r>
        <w:rPr>
          <w:rFonts w:ascii="Book Antiqua"/>
          <w:rtl w:val="0"/>
          <w:lang w:val="it-IT"/>
        </w:rPr>
        <w:t>insieme delle strategie di prevenzione dei rifiuti, ad una riduzione della produzione di 170.000 tonnellate al 2021 ed al raggiungimento ipotizzato di una percentuale di raccolta differenziata, sempre al 2021, del 70 per cento, partendo da un valore medio registrato nel 2016 pari al 43 per cento. Questa ipotesi consentirebbe al 2021 di ridurre la quota di rifiuti indifferenziati prodotti a circa 449.000 tonnellate a quel punto gestibili attraverso la potenzialit</w:t>
      </w:r>
      <w:r>
        <w:rPr>
          <w:rFonts w:hAnsi="Book Antiqua" w:hint="default"/>
          <w:rtl w:val="0"/>
          <w:lang w:val="it-IT"/>
        </w:rPr>
        <w:t xml:space="preserve">à </w:t>
      </w:r>
      <w:r>
        <w:rPr>
          <w:rFonts w:ascii="Book Antiqua"/>
          <w:rtl w:val="0"/>
          <w:lang w:val="it-IT"/>
        </w:rPr>
        <w:t xml:space="preserve">di trattamento ad oggi disponibile. </w:t>
      </w:r>
    </w:p>
    <w:p>
      <w:pPr>
        <w:pStyle w:val="Normal"/>
        <w:ind w:left="567" w:right="567" w:firstLine="0"/>
        <w:jc w:val="both"/>
        <w:rPr>
          <w:rFonts w:ascii="Book Antiqua" w:cs="Book Antiqua" w:hAnsi="Book Antiqua" w:eastAsia="Book Antiqua"/>
        </w:rPr>
      </w:pPr>
      <w:r>
        <w:rPr>
          <w:rFonts w:ascii="Book Antiqua"/>
          <w:rtl w:val="0"/>
          <w:lang w:val="it-IT"/>
        </w:rPr>
        <w:t>Se ne deduce che, quantomeno per i prossimi quattro anni, nell'ipotesi che le azioni indicate nel suddetto Piano consentano effettivamente di raggiungere i risultati indicati, la gestione dei rifiuti indifferenziati di Roma non potr</w:t>
      </w:r>
      <w:r>
        <w:rPr>
          <w:rFonts w:hAnsi="Book Antiqua" w:hint="default"/>
          <w:rtl w:val="0"/>
          <w:lang w:val="it-IT"/>
        </w:rPr>
        <w:t xml:space="preserve">à </w:t>
      </w:r>
      <w:r>
        <w:rPr>
          <w:rFonts w:ascii="Book Antiqua"/>
          <w:rtl w:val="0"/>
          <w:lang w:val="it-IT"/>
        </w:rPr>
        <w:t>essere svincolata dai rapporti con la E. Giovi srl o con altri soggetti eventualmente individuati anche all</w:t>
      </w:r>
      <w:r>
        <w:rPr>
          <w:rFonts w:hAnsi="Book Antiqua" w:hint="default"/>
          <w:rtl w:val="0"/>
          <w:lang w:val="it-IT"/>
        </w:rPr>
        <w:t>’</w:t>
      </w:r>
      <w:r>
        <w:rPr>
          <w:rFonts w:ascii="Book Antiqua"/>
          <w:rtl w:val="0"/>
          <w:lang w:val="it-IT"/>
        </w:rPr>
        <w:t>esterno della citt</w:t>
      </w:r>
      <w:r>
        <w:rPr>
          <w:rFonts w:hAnsi="Book Antiqua" w:hint="default"/>
          <w:rtl w:val="0"/>
          <w:lang w:val="it-IT"/>
        </w:rPr>
        <w:t>à</w:t>
      </w:r>
      <w:r>
        <w:rPr>
          <w:rFonts w:ascii="Book Antiqua"/>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 xml:space="preserve">L'ordinanza n. 53 del 6 aprile 2017 emessa dal sindaco di Roma Capitale, infatti, sembra prendere atto della situazione: </w:t>
      </w:r>
      <w:r>
        <w:rPr>
          <w:rFonts w:hAnsi="Book Antiqua" w:hint="default"/>
          <w:rtl w:val="0"/>
          <w:lang w:val="it-IT"/>
        </w:rPr>
        <w:t>“</w:t>
      </w:r>
      <w:r>
        <w:rPr>
          <w:rFonts w:ascii="Book Antiqua"/>
          <w:rtl w:val="0"/>
          <w:lang w:val="it-IT"/>
        </w:rPr>
        <w:t>il sistema di trattamento [</w:t>
      </w:r>
      <w:r>
        <w:rPr>
          <w:rFonts w:hAnsi="Book Antiqua" w:hint="default"/>
          <w:rtl w:val="0"/>
          <w:lang w:val="it-IT"/>
        </w:rPr>
        <w:t>…</w:t>
      </w:r>
      <w:r>
        <w:rPr>
          <w:rFonts w:ascii="Book Antiqua"/>
          <w:rtl w:val="0"/>
          <w:lang w:val="it-IT"/>
        </w:rPr>
        <w:t>] evidenzia fragilit</w:t>
      </w:r>
      <w:r>
        <w:rPr>
          <w:rFonts w:hAnsi="Book Antiqua" w:hint="default"/>
          <w:rtl w:val="0"/>
          <w:lang w:val="it-IT"/>
        </w:rPr>
        <w:t xml:space="preserve">à </w:t>
      </w:r>
      <w:r>
        <w:rPr>
          <w:rFonts w:ascii="Book Antiqua"/>
          <w:rtl w:val="0"/>
          <w:lang w:val="it-IT"/>
        </w:rPr>
        <w:t>che si fondano essenzialmente su un rapporto di pressoch</w:t>
      </w:r>
      <w:r>
        <w:rPr>
          <w:rFonts w:hAnsi="Book Antiqua" w:hint="default"/>
          <w:rtl w:val="0"/>
          <w:lang w:val="it-IT"/>
        </w:rPr>
        <w:t>é</w:t>
      </w:r>
      <w:r>
        <w:rPr>
          <w:rFonts w:ascii="Book Antiqua"/>
          <w:rtl w:val="0"/>
          <w:lang w:val="it-IT"/>
        </w:rPr>
        <w:t xml:space="preserve"> totale coincidenza  tra la capacit</w:t>
      </w:r>
      <w:r>
        <w:rPr>
          <w:rFonts w:hAnsi="Book Antiqua" w:hint="default"/>
          <w:rtl w:val="0"/>
          <w:lang w:val="it-IT"/>
        </w:rPr>
        <w:t xml:space="preserve">à </w:t>
      </w:r>
      <w:r>
        <w:rPr>
          <w:rFonts w:ascii="Book Antiqua"/>
          <w:rtl w:val="0"/>
          <w:lang w:val="it-IT"/>
        </w:rPr>
        <w:t>complessiva autorizzata di trattamento giornaliero di rifiuti indifferenziati (200301) nell'ambito dell'impiantistica autorizzata e disponibile dell'ATO di Roma e la quantit</w:t>
      </w:r>
      <w:r>
        <w:rPr>
          <w:rFonts w:hAnsi="Book Antiqua" w:hint="default"/>
          <w:rtl w:val="0"/>
          <w:lang w:val="it-IT"/>
        </w:rPr>
        <w:t xml:space="preserve">à </w:t>
      </w:r>
      <w:r>
        <w:rPr>
          <w:rFonts w:ascii="Book Antiqua"/>
          <w:rtl w:val="0"/>
          <w:lang w:val="it-IT"/>
        </w:rPr>
        <w:t>media giornaliera di rifiuti indifferenziati prodotti nella citt</w:t>
      </w:r>
      <w:r>
        <w:rPr>
          <w:rFonts w:hAnsi="Book Antiqua" w:hint="default"/>
          <w:rtl w:val="0"/>
          <w:lang w:val="it-IT"/>
        </w:rPr>
        <w:t xml:space="preserve">à </w:t>
      </w:r>
      <w:r>
        <w:rPr>
          <w:rFonts w:ascii="Book Antiqua"/>
          <w:rtl w:val="0"/>
          <w:lang w:val="it-IT"/>
        </w:rPr>
        <w:t>di Roma</w:t>
      </w:r>
      <w:r>
        <w:rPr>
          <w:rFonts w:hAnsi="Book Antiqua" w:hint="default"/>
          <w:rtl w:val="0"/>
          <w:lang w:val="it-IT"/>
        </w:rPr>
        <w:t>”</w:t>
      </w:r>
      <w:r>
        <w:rPr>
          <w:rFonts w:ascii="Book Antiqua"/>
          <w:rtl w:val="0"/>
          <w:lang w:val="it-IT"/>
        </w:rPr>
        <w:t>.</w:t>
      </w:r>
      <w:r>
        <w:rPr>
          <w:rFonts w:ascii="Book Antiqua"/>
          <w:i w:val="1"/>
          <w:iCs w:val="1"/>
          <w:rtl w:val="0"/>
          <w:lang w:val="it-IT"/>
        </w:rPr>
        <w:t xml:space="preserve"> </w:t>
      </w:r>
      <w:r>
        <w:rPr>
          <w:rFonts w:ascii="Book Antiqua"/>
          <w:rtl w:val="0"/>
          <w:lang w:val="it-IT"/>
        </w:rPr>
        <w:t>Ed infatti il provvedimento ordina al consorzio Co.La.Ri di assicurare la piena operativit</w:t>
      </w:r>
      <w:r>
        <w:rPr>
          <w:rFonts w:hAnsi="Book Antiqua" w:hint="default"/>
          <w:rtl w:val="0"/>
          <w:lang w:val="it-IT"/>
        </w:rPr>
        <w:t xml:space="preserve">à </w:t>
      </w:r>
      <w:r>
        <w:rPr>
          <w:rFonts w:ascii="Book Antiqua"/>
          <w:rtl w:val="0"/>
          <w:lang w:val="it-IT"/>
        </w:rPr>
        <w:t>degli impianti  TMB di Malagrotta.</w:t>
      </w:r>
    </w:p>
    <w:p>
      <w:pPr>
        <w:pStyle w:val="Normal"/>
        <w:ind w:left="567" w:right="567" w:firstLine="0"/>
        <w:jc w:val="both"/>
        <w:rPr>
          <w:rFonts w:ascii="Book Antiqua" w:cs="Book Antiqua" w:hAnsi="Book Antiqua" w:eastAsia="Book Antiqua"/>
        </w:rPr>
      </w:pPr>
      <w:r>
        <w:rPr>
          <w:rFonts w:ascii="Book Antiqua"/>
          <w:rtl w:val="0"/>
          <w:lang w:val="it-IT"/>
        </w:rPr>
        <w:t>Per quanto riguarda, invece, i rifiuti prodotti dai quattro impianti ispezionati, risulta, al 2016,  la seguente produzione complessiva: 234.127 tonnellate di rifiuti combustibili  (CER 191210), 41.417 tonnellate di rifiuti urbani e simili non destinata al compost (190501), 120.853 tonnellate di compost fuori specifica (190503) e 317.915 tonnellate di altri rifiuti (compresi materiali misti) prodotti dal trattamento meccanico dei rifiuti.</w:t>
      </w:r>
    </w:p>
    <w:p>
      <w:pPr>
        <w:pStyle w:val="Normal"/>
        <w:ind w:left="567" w:right="567" w:firstLine="0"/>
        <w:jc w:val="both"/>
        <w:rPr>
          <w:rFonts w:ascii="Book Antiqua" w:cs="Book Antiqua" w:hAnsi="Book Antiqua" w:eastAsia="Book Antiqua"/>
        </w:rPr>
      </w:pPr>
      <w:r>
        <w:rPr>
          <w:rFonts w:ascii="Book Antiqua"/>
          <w:rtl w:val="0"/>
          <w:lang w:val="it-IT"/>
        </w:rPr>
        <w:t>Tali tipologie di rifiuti prodotte devono trovare una idonea collocazione in base a quanto stabilito dall'articolo 182 bis del decreto legislativo n. 152 del 2006 che prevede la realizzazione dell'autosufficienza nello smaltimento dei rifiuti urbani non pericolosi e dei rifiuti del loro trattamento.</w:t>
      </w:r>
    </w:p>
    <w:p>
      <w:pPr>
        <w:pStyle w:val="Normal"/>
        <w:ind w:left="567" w:right="567" w:firstLine="0"/>
        <w:jc w:val="both"/>
        <w:rPr>
          <w:rFonts w:ascii="Book Antiqua" w:cs="Book Antiqua" w:hAnsi="Book Antiqua" w:eastAsia="Book Antiqua"/>
        </w:rPr>
      </w:pPr>
      <w:r>
        <w:rPr>
          <w:rFonts w:ascii="Book Antiqua"/>
          <w:rtl w:val="0"/>
          <w:lang w:val="it-IT"/>
        </w:rPr>
        <w:t>Si inseriscono in questo quadro, che mantiene nel tempo elementi di strutturale fragilit</w:t>
      </w:r>
      <w:r>
        <w:rPr>
          <w:rFonts w:hAnsi="Book Antiqua" w:hint="default"/>
          <w:rtl w:val="0"/>
          <w:lang w:val="it-IT"/>
        </w:rPr>
        <w:t>à</w:t>
      </w:r>
      <w:r>
        <w:rPr>
          <w:rFonts w:ascii="Book Antiqua"/>
          <w:rtl w:val="0"/>
          <w:lang w:val="it-IT"/>
        </w:rPr>
        <w:t>, le previsioni del pi</w:t>
      </w:r>
      <w:r>
        <w:rPr>
          <w:rFonts w:hAnsi="Book Antiqua" w:hint="default"/>
          <w:rtl w:val="0"/>
          <w:lang w:val="it-IT"/>
        </w:rPr>
        <w:t xml:space="preserve">ù </w:t>
      </w:r>
      <w:r>
        <w:rPr>
          <w:rFonts w:ascii="Book Antiqua"/>
          <w:rtl w:val="0"/>
          <w:lang w:val="it-IT"/>
        </w:rPr>
        <w:t>recente piano industriale di AMA S.p.A., di cui si dar</w:t>
      </w:r>
      <w:r>
        <w:rPr>
          <w:rFonts w:hAnsi="Book Antiqua" w:hint="default"/>
          <w:rtl w:val="0"/>
          <w:lang w:val="it-IT"/>
        </w:rPr>
        <w:t xml:space="preserve">à </w:t>
      </w:r>
      <w:r>
        <w:rPr>
          <w:rFonts w:ascii="Book Antiqua"/>
          <w:rtl w:val="0"/>
          <w:lang w:val="it-IT"/>
        </w:rPr>
        <w:t xml:space="preserve">conto nel </w:t>
      </w:r>
      <w:r>
        <w:rPr>
          <w:rFonts w:hAnsi="Book Antiqua" w:hint="default"/>
          <w:rtl w:val="0"/>
          <w:lang w:val="it-IT"/>
        </w:rPr>
        <w:t xml:space="preserve">§ </w:t>
      </w:r>
      <w:r>
        <w:rPr>
          <w:rFonts w:ascii="Book Antiqua"/>
          <w:rtl w:val="0"/>
          <w:lang w:val="it-IT"/>
        </w:rPr>
        <w:t>2.3.4.</w:t>
      </w:r>
    </w:p>
    <w:p>
      <w:pPr>
        <w:pStyle w:val="Normal"/>
        <w:ind w:left="567" w:right="567" w:firstLine="0"/>
        <w:jc w:val="both"/>
        <w:rPr>
          <w:rFonts w:ascii="Book Antiqua" w:cs="Book Antiqua" w:hAnsi="Book Antiqua" w:eastAsia="Book Antiqua"/>
          <w:u w:val="single"/>
        </w:rPr>
      </w:pPr>
    </w:p>
    <w:p>
      <w:pPr>
        <w:pStyle w:val="Normal"/>
        <w:ind w:left="567" w:right="567" w:firstLine="0"/>
        <w:jc w:val="both"/>
        <w:rPr>
          <w:rFonts w:ascii="Book Antiqua" w:cs="Book Antiqua" w:hAnsi="Book Antiqua" w:eastAsia="Book Antiqua"/>
          <w:sz w:val="28"/>
          <w:szCs w:val="28"/>
          <w:u w:val="single"/>
        </w:rPr>
      </w:pPr>
    </w:p>
    <w:p>
      <w:pPr>
        <w:pStyle w:val="Normal"/>
        <w:ind w:left="567" w:right="567" w:firstLine="0"/>
        <w:jc w:val="both"/>
        <w:rPr>
          <w:rFonts w:ascii="Book Antiqua" w:cs="Book Antiqua" w:hAnsi="Book Antiqua" w:eastAsia="Book Antiqua"/>
          <w:sz w:val="28"/>
          <w:szCs w:val="28"/>
          <w:u w:val="single"/>
        </w:rPr>
      </w:pPr>
    </w:p>
    <w:p>
      <w:pPr>
        <w:pStyle w:val="Normal"/>
        <w:ind w:left="567" w:right="567" w:firstLine="0"/>
        <w:jc w:val="both"/>
        <w:rPr>
          <w:rFonts w:ascii="Book Antiqua" w:cs="Book Antiqua" w:hAnsi="Book Antiqua" w:eastAsia="Book Antiqua"/>
          <w:sz w:val="28"/>
          <w:szCs w:val="28"/>
        </w:rPr>
      </w:pPr>
      <w:r>
        <w:rPr>
          <w:rFonts w:ascii="Book Antiqua"/>
          <w:sz w:val="28"/>
          <w:szCs w:val="28"/>
          <w:rtl w:val="0"/>
          <w:lang w:val="it-IT"/>
        </w:rPr>
        <w:t>2.2.2.9 Il tritovagliatore di Rocca Cencia</w:t>
      </w:r>
    </w:p>
    <w:p>
      <w:pPr>
        <w:pStyle w:val="Normal"/>
        <w:ind w:left="567" w:right="567" w:firstLine="0"/>
        <w:jc w:val="both"/>
        <w:rPr>
          <w:rFonts w:ascii="Book Antiqua" w:cs="Book Antiqua" w:hAnsi="Book Antiqua" w:eastAsia="Book Antiqua"/>
          <w:sz w:val="28"/>
          <w:szCs w:val="28"/>
        </w:rPr>
      </w:pPr>
    </w:p>
    <w:p>
      <w:pPr>
        <w:pStyle w:val="Normal"/>
        <w:ind w:left="567" w:right="567" w:firstLine="0"/>
        <w:jc w:val="both"/>
        <w:rPr>
          <w:rFonts w:ascii="Book Antiqua" w:cs="Book Antiqua" w:hAnsi="Book Antiqua" w:eastAsia="Book Antiqua"/>
        </w:rPr>
      </w:pPr>
      <w:r>
        <w:rPr>
          <w:rFonts w:ascii="Book Antiqua"/>
          <w:rtl w:val="0"/>
          <w:lang w:val="it-IT"/>
        </w:rPr>
        <w:t>La questione del tritovagliatore di propriet</w:t>
      </w:r>
      <w:r>
        <w:rPr>
          <w:rFonts w:hAnsi="Book Antiqua" w:hint="default"/>
          <w:rtl w:val="0"/>
          <w:lang w:val="it-IT"/>
        </w:rPr>
        <w:t xml:space="preserve">à </w:t>
      </w:r>
      <w:r>
        <w:rPr>
          <w:rFonts w:ascii="Book Antiqua"/>
          <w:rtl w:val="0"/>
          <w:lang w:val="it-IT"/>
        </w:rPr>
        <w:t>della Co.La.Ri. entra con prepotenza sia nella prima fase che nella seconda, cio</w:t>
      </w:r>
      <w:r>
        <w:rPr>
          <w:rFonts w:hAnsi="Book Antiqua" w:hint="default"/>
          <w:rtl w:val="0"/>
          <w:lang w:val="it-IT"/>
        </w:rPr>
        <w:t xml:space="preserve">è </w:t>
      </w:r>
      <w:r>
        <w:rPr>
          <w:rFonts w:ascii="Book Antiqua"/>
          <w:rtl w:val="0"/>
          <w:lang w:val="it-IT"/>
        </w:rPr>
        <w:t>quella successiva alla chiusura di Malagrotta, durante la quale diverse polemiche ne hanno accompagnato l</w:t>
      </w:r>
      <w:r>
        <w:rPr>
          <w:rFonts w:hAnsi="Book Antiqua" w:hint="default"/>
          <w:rtl w:val="0"/>
          <w:lang w:val="it-IT"/>
        </w:rPr>
        <w:t>’</w:t>
      </w:r>
      <w:r>
        <w:rPr>
          <w:rFonts w:ascii="Book Antiqua"/>
          <w:rtl w:val="0"/>
          <w:lang w:val="it-IT"/>
        </w:rPr>
        <w:t xml:space="preserve">utilizzo.  </w:t>
      </w:r>
    </w:p>
    <w:p>
      <w:pPr>
        <w:pStyle w:val="Normal"/>
        <w:ind w:left="567" w:right="567" w:firstLine="0"/>
        <w:jc w:val="both"/>
        <w:rPr>
          <w:rFonts w:ascii="Book Antiqua" w:cs="Book Antiqua" w:hAnsi="Book Antiqua" w:eastAsia="Book Antiqua"/>
        </w:rPr>
      </w:pPr>
      <w:r>
        <w:rPr>
          <w:rFonts w:ascii="Book Antiqua"/>
          <w:rtl w:val="0"/>
          <w:lang w:val="it-IT"/>
        </w:rPr>
        <w:t>Come detto in precedenza, gli impianti di trattamento meccanico biologico per diversi anni hanno funzionato poco e male, ma in quel periodo anche se avessero lavorato a regime comunque non avrebbero avuto una capacit</w:t>
      </w:r>
      <w:r>
        <w:rPr>
          <w:rFonts w:hAnsi="Book Antiqua" w:hint="default"/>
          <w:rtl w:val="0"/>
          <w:lang w:val="it-IT"/>
        </w:rPr>
        <w:t xml:space="preserve">à </w:t>
      </w:r>
      <w:r>
        <w:rPr>
          <w:rFonts w:ascii="Book Antiqua"/>
          <w:rtl w:val="0"/>
          <w:lang w:val="it-IT"/>
        </w:rPr>
        <w:t xml:space="preserve">tale da poter trattare tutti i rifiuti indifferenziati a Roma. </w:t>
      </w:r>
    </w:p>
    <w:p>
      <w:pPr>
        <w:pStyle w:val="Normal"/>
        <w:ind w:left="567" w:right="567" w:firstLine="0"/>
        <w:jc w:val="both"/>
        <w:rPr>
          <w:rFonts w:ascii="Book Antiqua" w:cs="Book Antiqua" w:hAnsi="Book Antiqua" w:eastAsia="Book Antiqua"/>
        </w:rPr>
      </w:pPr>
      <w:r>
        <w:rPr>
          <w:rFonts w:ascii="Book Antiqua"/>
          <w:rtl w:val="0"/>
          <w:lang w:val="it-IT"/>
        </w:rPr>
        <w:t>Per questo il 31 dicembre del 2010, il Presidente pro tempore della regione Lazio, Renata Polverini, firm</w:t>
      </w:r>
      <w:r>
        <w:rPr>
          <w:rFonts w:hAnsi="Book Antiqua" w:hint="default"/>
          <w:rtl w:val="0"/>
          <w:lang w:val="it-IT"/>
        </w:rPr>
        <w:t xml:space="preserve">ò </w:t>
      </w:r>
      <w:r>
        <w:rPr>
          <w:rFonts w:ascii="Book Antiqua"/>
          <w:rtl w:val="0"/>
          <w:lang w:val="it-IT"/>
        </w:rPr>
        <w:t>l</w:t>
      </w:r>
      <w:r>
        <w:rPr>
          <w:rFonts w:hAnsi="Book Antiqua" w:hint="default"/>
          <w:rtl w:val="0"/>
          <w:lang w:val="it-IT"/>
        </w:rPr>
        <w:t>’</w:t>
      </w:r>
      <w:r>
        <w:rPr>
          <w:rFonts w:ascii="Book Antiqua"/>
          <w:rtl w:val="0"/>
          <w:lang w:val="it-IT"/>
        </w:rPr>
        <w:t>ordinanza</w:t>
      </w:r>
      <w:r>
        <w:rPr>
          <w:rFonts w:ascii="Book Antiqua" w:cs="Book Antiqua" w:hAnsi="Book Antiqua" w:eastAsia="Book Antiqua"/>
          <w:vertAlign w:val="superscript"/>
          <w:rtl w:val="0"/>
        </w:rPr>
        <w:footnoteReference w:id="57"/>
      </w:r>
      <w:r>
        <w:rPr>
          <w:rFonts w:ascii="Book Antiqua"/>
          <w:rtl w:val="0"/>
          <w:lang w:val="it-IT"/>
        </w:rPr>
        <w:t xml:space="preserve"> n. Z00012 recante: </w:t>
      </w:r>
      <w:r>
        <w:rPr>
          <w:rFonts w:hAnsi="Book Antiqua" w:hint="default"/>
          <w:rtl w:val="0"/>
          <w:lang w:val="it-IT"/>
        </w:rPr>
        <w:t>“</w:t>
      </w:r>
      <w:r>
        <w:rPr>
          <w:rFonts w:ascii="Book Antiqua"/>
          <w:rtl w:val="0"/>
          <w:lang w:val="it-IT"/>
        </w:rPr>
        <w:t>Discarica sita in Roma, localit</w:t>
      </w:r>
      <w:r>
        <w:rPr>
          <w:rFonts w:hAnsi="Book Antiqua" w:hint="default"/>
          <w:rtl w:val="0"/>
          <w:lang w:val="it-IT"/>
        </w:rPr>
        <w:t xml:space="preserve">à </w:t>
      </w:r>
      <w:r>
        <w:rPr>
          <w:rFonts w:ascii="Book Antiqua"/>
          <w:rtl w:val="0"/>
          <w:lang w:val="it-IT"/>
        </w:rPr>
        <w:t>Malagrotta, prosecuzione attivit</w:t>
      </w:r>
      <w:r>
        <w:rPr>
          <w:rFonts w:hAnsi="Book Antiqua" w:hint="default"/>
          <w:rtl w:val="0"/>
          <w:lang w:val="it-IT"/>
        </w:rPr>
        <w:t xml:space="preserve">à </w:t>
      </w:r>
      <w:r>
        <w:rPr>
          <w:rFonts w:ascii="Book Antiqua"/>
          <w:rtl w:val="0"/>
          <w:lang w:val="it-IT"/>
        </w:rPr>
        <w:t>di smaltimento dei rifiuti, ai sensi dell</w:t>
      </w:r>
      <w:r>
        <w:rPr>
          <w:rFonts w:hAnsi="Book Antiqua" w:hint="default"/>
          <w:rtl w:val="0"/>
          <w:lang w:val="it-IT"/>
        </w:rPr>
        <w:t>’</w:t>
      </w:r>
      <w:r>
        <w:rPr>
          <w:rFonts w:ascii="Book Antiqua"/>
          <w:rtl w:val="0"/>
          <w:lang w:val="it-IT"/>
        </w:rPr>
        <w:t>articolo 191 del decreto legislativo n. 152 del 2006, e funzionamento degli impianti di trattamento meccanico biologico, siti nel comune di Roma.</w:t>
      </w:r>
      <w:r>
        <w:rPr>
          <w:rFonts w:hAnsi="Book Antiqua" w:hint="default"/>
          <w:rtl w:val="0"/>
          <w:lang w:val="it-IT"/>
        </w:rPr>
        <w:t xml:space="preserve">” </w:t>
      </w:r>
      <w:r>
        <w:rPr>
          <w:rFonts w:ascii="Book Antiqua"/>
          <w:rtl w:val="0"/>
          <w:lang w:val="it-IT"/>
        </w:rPr>
        <w:t xml:space="preserve"> </w:t>
      </w:r>
    </w:p>
    <w:p>
      <w:pPr>
        <w:pStyle w:val="Normal"/>
        <w:ind w:left="567" w:right="567" w:firstLine="0"/>
        <w:jc w:val="both"/>
        <w:rPr>
          <w:rFonts w:ascii="Book Antiqua" w:cs="Book Antiqua" w:hAnsi="Book Antiqua" w:eastAsia="Book Antiqua"/>
        </w:rPr>
      </w:pPr>
      <w:r>
        <w:rPr>
          <w:rFonts w:ascii="Book Antiqua"/>
          <w:rtl w:val="0"/>
          <w:lang w:val="it-IT"/>
        </w:rPr>
        <w:t>In pratica questa ordinanza - vista la circolare U. Prot. GAB-2009-0014963 del 30 giugno 2009 del Ministero dell</w:t>
      </w:r>
      <w:r>
        <w:rPr>
          <w:rFonts w:hAnsi="Book Antiqua" w:hint="default"/>
          <w:rtl w:val="0"/>
          <w:lang w:val="it-IT"/>
        </w:rPr>
        <w:t>’</w:t>
      </w:r>
      <w:r>
        <w:rPr>
          <w:rFonts w:ascii="Book Antiqua"/>
          <w:rtl w:val="0"/>
          <w:lang w:val="it-IT"/>
        </w:rPr>
        <w:t xml:space="preserve">ambiente,  la quale affermava come la tritovagliatura potesse rispondere ai requisiti di pretrattamento della norma comunitaria </w:t>
      </w:r>
      <w:r>
        <w:rPr>
          <w:rFonts w:hAnsi="Book Antiqua" w:hint="default"/>
          <w:rtl w:val="0"/>
          <w:lang w:val="it-IT"/>
        </w:rPr>
        <w:t xml:space="preserve">– </w:t>
      </w:r>
      <w:r>
        <w:rPr>
          <w:rFonts w:ascii="Book Antiqua"/>
          <w:rtl w:val="0"/>
          <w:lang w:val="it-IT"/>
        </w:rPr>
        <w:t xml:space="preserve">stabiliva che: </w:t>
      </w:r>
    </w:p>
    <w:p>
      <w:pPr>
        <w:pStyle w:val="Elenco a colori - Colore 11"/>
        <w:numPr>
          <w:ilvl w:val="0"/>
          <w:numId w:val="70"/>
        </w:numPr>
        <w:tabs>
          <w:tab w:val="num" w:pos="696"/>
          <w:tab w:val="clear" w:pos="567"/>
        </w:tabs>
        <w:bidi w:val="0"/>
        <w:spacing w:after="0" w:line="240" w:lineRule="auto"/>
        <w:ind w:left="555" w:right="567" w:firstLine="12"/>
        <w:jc w:val="both"/>
        <w:rPr>
          <w:rFonts w:ascii="Book Antiqua" w:cs="Book Antiqua" w:hAnsi="Book Antiqua" w:eastAsia="Book Antiqua"/>
          <w:position w:val="0"/>
          <w:sz w:val="24"/>
          <w:szCs w:val="24"/>
          <w:rtl w:val="0"/>
        </w:rPr>
      </w:pPr>
      <w:r>
        <w:rPr>
          <w:rFonts w:ascii="Book Antiqua"/>
          <w:sz w:val="24"/>
          <w:szCs w:val="24"/>
          <w:rtl w:val="0"/>
          <w:lang w:val="it-IT"/>
        </w:rPr>
        <w:t>la E. Giovi S.r.l. dovesse installare tempestivamente e quindi nel minor tempo possibile e, comunque, entro e non oltre sei mesi dall'adozione dell</w:t>
      </w:r>
      <w:r>
        <w:rPr>
          <w:rFonts w:hAnsi="Book Antiqua" w:hint="default"/>
          <w:sz w:val="24"/>
          <w:szCs w:val="24"/>
          <w:rtl w:val="0"/>
          <w:lang w:val="it-IT"/>
        </w:rPr>
        <w:t>’</w:t>
      </w:r>
      <w:r>
        <w:rPr>
          <w:rFonts w:ascii="Book Antiqua"/>
          <w:sz w:val="24"/>
          <w:szCs w:val="24"/>
          <w:rtl w:val="0"/>
          <w:lang w:val="it-IT"/>
        </w:rPr>
        <w:t>ordinanza, dette unit</w:t>
      </w:r>
      <w:r>
        <w:rPr>
          <w:rFonts w:hAnsi="Book Antiqua" w:hint="default"/>
          <w:sz w:val="24"/>
          <w:szCs w:val="24"/>
          <w:rtl w:val="0"/>
          <w:lang w:val="it-IT"/>
        </w:rPr>
        <w:t xml:space="preserve">à </w:t>
      </w:r>
      <w:r>
        <w:rPr>
          <w:rFonts w:ascii="Book Antiqua"/>
          <w:sz w:val="24"/>
          <w:szCs w:val="24"/>
          <w:rtl w:val="0"/>
          <w:lang w:val="it-IT"/>
        </w:rPr>
        <w:t>di trito-vagliatura, con recupero della frazione merceologica dei metalli ferrosi, presso l'impianto di discarica sito in localit</w:t>
      </w:r>
      <w:r>
        <w:rPr>
          <w:rFonts w:hAnsi="Book Antiqua" w:hint="default"/>
          <w:sz w:val="24"/>
          <w:szCs w:val="24"/>
          <w:rtl w:val="0"/>
          <w:lang w:val="it-IT"/>
        </w:rPr>
        <w:t xml:space="preserve">à </w:t>
      </w:r>
      <w:r>
        <w:rPr>
          <w:rFonts w:ascii="Book Antiqua"/>
          <w:sz w:val="24"/>
          <w:szCs w:val="24"/>
          <w:rtl w:val="0"/>
          <w:lang w:val="it-IT"/>
        </w:rPr>
        <w:t>Malagrotta, nel comune di Roma, in numero tale da consentire il trattamento di tutti i rifiuti urbani indifferenziati (codice CER 20 03 01) in ingresso alla medesima discarica non sottoposti al preventivo idoneo trattamento;</w:t>
      </w:r>
    </w:p>
    <w:p>
      <w:pPr>
        <w:pStyle w:val="Elenco a colori - Colore 11"/>
        <w:numPr>
          <w:ilvl w:val="0"/>
          <w:numId w:val="70"/>
        </w:numPr>
        <w:tabs>
          <w:tab w:val="num" w:pos="696"/>
          <w:tab w:val="clear" w:pos="567"/>
        </w:tabs>
        <w:bidi w:val="0"/>
        <w:spacing w:after="0" w:line="240" w:lineRule="auto"/>
        <w:ind w:left="555" w:right="567" w:firstLine="12"/>
        <w:jc w:val="both"/>
        <w:rPr>
          <w:rFonts w:ascii="Book Antiqua" w:cs="Book Antiqua" w:hAnsi="Book Antiqua" w:eastAsia="Book Antiqua"/>
          <w:position w:val="0"/>
          <w:sz w:val="24"/>
          <w:szCs w:val="24"/>
          <w:rtl w:val="0"/>
        </w:rPr>
      </w:pPr>
      <w:r>
        <w:rPr>
          <w:rFonts w:ascii="Book Antiqua"/>
          <w:sz w:val="24"/>
          <w:szCs w:val="24"/>
          <w:rtl w:val="0"/>
          <w:lang w:val="it-IT"/>
        </w:rPr>
        <w:t>la E. Giovi S.r.l. dovesse assicurare entro sessanta giorni dall'adozione dell</w:t>
      </w:r>
      <w:r>
        <w:rPr>
          <w:rFonts w:hAnsi="Book Antiqua" w:hint="default"/>
          <w:sz w:val="24"/>
          <w:szCs w:val="24"/>
          <w:rtl w:val="0"/>
          <w:lang w:val="it-IT"/>
        </w:rPr>
        <w:t>’</w:t>
      </w:r>
      <w:r>
        <w:rPr>
          <w:rFonts w:ascii="Book Antiqua"/>
          <w:sz w:val="24"/>
          <w:szCs w:val="24"/>
          <w:rtl w:val="0"/>
          <w:lang w:val="it-IT"/>
        </w:rPr>
        <w:t>ordinanza  la piena operativit</w:t>
      </w:r>
      <w:r>
        <w:rPr>
          <w:rFonts w:hAnsi="Book Antiqua" w:hint="default"/>
          <w:sz w:val="24"/>
          <w:szCs w:val="24"/>
          <w:rtl w:val="0"/>
          <w:lang w:val="it-IT"/>
        </w:rPr>
        <w:t xml:space="preserve">à </w:t>
      </w:r>
      <w:r>
        <w:rPr>
          <w:rFonts w:ascii="Book Antiqua"/>
          <w:sz w:val="24"/>
          <w:szCs w:val="24"/>
          <w:rtl w:val="0"/>
          <w:lang w:val="it-IT"/>
        </w:rPr>
        <w:t>degli impianti di preselezione e riduzione volumetrica dei RSU (TMB), denominati Malagrotta 1 e Malagrotta 2;</w:t>
      </w:r>
    </w:p>
    <w:p>
      <w:pPr>
        <w:pStyle w:val="Elenco a colori - Colore 11"/>
        <w:numPr>
          <w:ilvl w:val="0"/>
          <w:numId w:val="70"/>
        </w:numPr>
        <w:tabs>
          <w:tab w:val="num" w:pos="696"/>
          <w:tab w:val="clear" w:pos="567"/>
        </w:tabs>
        <w:bidi w:val="0"/>
        <w:spacing w:after="0" w:line="240" w:lineRule="auto"/>
        <w:ind w:left="555" w:right="567" w:firstLine="12"/>
        <w:jc w:val="both"/>
        <w:rPr>
          <w:rFonts w:ascii="Book Antiqua" w:cs="Book Antiqua" w:hAnsi="Book Antiqua" w:eastAsia="Book Antiqua"/>
          <w:position w:val="0"/>
          <w:sz w:val="24"/>
          <w:szCs w:val="24"/>
          <w:rtl w:val="0"/>
        </w:rPr>
      </w:pPr>
      <w:r>
        <w:rPr>
          <w:rFonts w:ascii="Book Antiqua"/>
          <w:sz w:val="24"/>
          <w:szCs w:val="24"/>
          <w:rtl w:val="0"/>
          <w:lang w:val="it-IT"/>
        </w:rPr>
        <w:t>AMA S.p.A. dovesse assicurare entro sessanta giorni dall'adozione dell</w:t>
      </w:r>
      <w:r>
        <w:rPr>
          <w:rFonts w:hAnsi="Book Antiqua" w:hint="default"/>
          <w:sz w:val="24"/>
          <w:szCs w:val="24"/>
          <w:rtl w:val="0"/>
          <w:lang w:val="it-IT"/>
        </w:rPr>
        <w:t>’</w:t>
      </w:r>
      <w:r>
        <w:rPr>
          <w:rFonts w:ascii="Book Antiqua"/>
          <w:sz w:val="24"/>
          <w:szCs w:val="24"/>
          <w:rtl w:val="0"/>
          <w:lang w:val="it-IT"/>
        </w:rPr>
        <w:t>ordinanza la piena operativit</w:t>
      </w:r>
      <w:r>
        <w:rPr>
          <w:rFonts w:hAnsi="Book Antiqua" w:hint="default"/>
          <w:sz w:val="24"/>
          <w:szCs w:val="24"/>
          <w:rtl w:val="0"/>
          <w:lang w:val="it-IT"/>
        </w:rPr>
        <w:t xml:space="preserve">à </w:t>
      </w:r>
      <w:r>
        <w:rPr>
          <w:rFonts w:ascii="Book Antiqua"/>
          <w:sz w:val="24"/>
          <w:szCs w:val="24"/>
          <w:rtl w:val="0"/>
          <w:lang w:val="it-IT"/>
        </w:rPr>
        <w:t xml:space="preserve">degli impianti di selezione e trattamento RSU (TMB), siti in Roma rispettivamente in via Salaria 981 ed in via Rocca Cencia 301. </w:t>
      </w:r>
    </w:p>
    <w:p>
      <w:pPr>
        <w:pStyle w:val="Elenco a colori - Colore 11"/>
        <w:spacing w:after="0" w:line="240" w:lineRule="auto"/>
        <w:ind w:left="567" w:right="567" w:firstLine="0"/>
        <w:jc w:val="both"/>
        <w:rPr>
          <w:rFonts w:ascii="Book Antiqua" w:cs="Book Antiqua" w:hAnsi="Book Antiqua" w:eastAsia="Book Antiqua"/>
          <w:sz w:val="24"/>
          <w:szCs w:val="24"/>
        </w:rPr>
      </w:pPr>
      <w:r>
        <w:rPr>
          <w:rFonts w:ascii="Book Antiqua"/>
          <w:sz w:val="24"/>
          <w:szCs w:val="24"/>
          <w:rtl w:val="0"/>
          <w:lang w:val="it-IT"/>
        </w:rPr>
        <w:t>L</w:t>
      </w:r>
      <w:r>
        <w:rPr>
          <w:rFonts w:hAnsi="Book Antiqua" w:hint="default"/>
          <w:sz w:val="24"/>
          <w:szCs w:val="24"/>
          <w:rtl w:val="0"/>
          <w:lang w:val="it-IT"/>
        </w:rPr>
        <w:t>’</w:t>
      </w:r>
      <w:r>
        <w:rPr>
          <w:rFonts w:ascii="Book Antiqua"/>
          <w:sz w:val="24"/>
          <w:szCs w:val="24"/>
          <w:rtl w:val="0"/>
          <w:lang w:val="it-IT"/>
        </w:rPr>
        <w:t xml:space="preserve">ordinanza della Presidente della regione aveva lo scopo di </w:t>
      </w:r>
      <w:r>
        <w:rPr>
          <w:rFonts w:hAnsi="Book Antiqua" w:hint="default"/>
          <w:sz w:val="24"/>
          <w:szCs w:val="24"/>
          <w:rtl w:val="0"/>
          <w:lang w:val="it-IT"/>
        </w:rPr>
        <w:t>“</w:t>
      </w:r>
      <w:r>
        <w:rPr>
          <w:rFonts w:ascii="Book Antiqua"/>
          <w:sz w:val="24"/>
          <w:szCs w:val="24"/>
          <w:rtl w:val="0"/>
          <w:lang w:val="it-IT"/>
        </w:rPr>
        <w:t>giustificare</w:t>
      </w:r>
      <w:r>
        <w:rPr>
          <w:rFonts w:hAnsi="Book Antiqua" w:hint="default"/>
          <w:sz w:val="24"/>
          <w:szCs w:val="24"/>
          <w:rtl w:val="0"/>
          <w:lang w:val="it-IT"/>
        </w:rPr>
        <w:t xml:space="preserve">” </w:t>
      </w:r>
      <w:r>
        <w:rPr>
          <w:rFonts w:ascii="Book Antiqua"/>
          <w:sz w:val="24"/>
          <w:szCs w:val="24"/>
          <w:rtl w:val="0"/>
          <w:lang w:val="it-IT"/>
        </w:rPr>
        <w:t>un</w:t>
      </w:r>
      <w:r>
        <w:rPr>
          <w:rFonts w:hAnsi="Book Antiqua" w:hint="default"/>
          <w:sz w:val="24"/>
          <w:szCs w:val="24"/>
          <w:rtl w:val="0"/>
          <w:lang w:val="it-IT"/>
        </w:rPr>
        <w:t>’</w:t>
      </w:r>
      <w:r>
        <w:rPr>
          <w:rFonts w:ascii="Book Antiqua"/>
          <w:sz w:val="24"/>
          <w:szCs w:val="24"/>
          <w:rtl w:val="0"/>
          <w:lang w:val="it-IT"/>
        </w:rPr>
        <w:t xml:space="preserve">ulteriore proroga di Malagrotta cercando di evitare </w:t>
      </w:r>
      <w:r>
        <w:rPr>
          <w:rFonts w:hAnsi="Book Antiqua" w:hint="default"/>
          <w:sz w:val="24"/>
          <w:szCs w:val="24"/>
          <w:rtl w:val="0"/>
          <w:lang w:val="it-IT"/>
        </w:rPr>
        <w:t xml:space="preserve">– </w:t>
      </w:r>
      <w:r>
        <w:rPr>
          <w:rFonts w:ascii="Book Antiqua"/>
          <w:sz w:val="24"/>
          <w:szCs w:val="24"/>
          <w:rtl w:val="0"/>
          <w:lang w:val="it-IT"/>
        </w:rPr>
        <w:t>attraverso la richiesta di installazione di unit</w:t>
      </w:r>
      <w:r>
        <w:rPr>
          <w:rFonts w:hAnsi="Book Antiqua" w:hint="default"/>
          <w:sz w:val="24"/>
          <w:szCs w:val="24"/>
          <w:rtl w:val="0"/>
          <w:lang w:val="it-IT"/>
        </w:rPr>
        <w:t xml:space="preserve">à </w:t>
      </w:r>
      <w:r>
        <w:rPr>
          <w:rFonts w:ascii="Book Antiqua"/>
          <w:sz w:val="24"/>
          <w:szCs w:val="24"/>
          <w:rtl w:val="0"/>
          <w:lang w:val="it-IT"/>
        </w:rPr>
        <w:t xml:space="preserve">di tritovagliatura </w:t>
      </w:r>
      <w:r>
        <w:rPr>
          <w:rFonts w:hAnsi="Book Antiqua" w:hint="default"/>
          <w:sz w:val="24"/>
          <w:szCs w:val="24"/>
          <w:rtl w:val="0"/>
          <w:lang w:val="it-IT"/>
        </w:rPr>
        <w:t xml:space="preserve">– </w:t>
      </w:r>
      <w:r>
        <w:rPr>
          <w:rFonts w:ascii="Book Antiqua"/>
          <w:sz w:val="24"/>
          <w:szCs w:val="24"/>
          <w:rtl w:val="0"/>
          <w:lang w:val="it-IT"/>
        </w:rPr>
        <w:t>l</w:t>
      </w:r>
      <w:r>
        <w:rPr>
          <w:rFonts w:hAnsi="Book Antiqua" w:hint="default"/>
          <w:sz w:val="24"/>
          <w:szCs w:val="24"/>
          <w:rtl w:val="0"/>
          <w:lang w:val="it-IT"/>
        </w:rPr>
        <w:t>’</w:t>
      </w:r>
      <w:r>
        <w:rPr>
          <w:rFonts w:ascii="Book Antiqua"/>
          <w:sz w:val="24"/>
          <w:szCs w:val="24"/>
          <w:rtl w:val="0"/>
          <w:lang w:val="it-IT"/>
        </w:rPr>
        <w:t xml:space="preserve">apertura di una procedura di infrazione sul mancato trattamento dei rifiuti. </w:t>
      </w:r>
    </w:p>
    <w:p>
      <w:pPr>
        <w:pStyle w:val="Elenco a colori - Colore 11"/>
        <w:spacing w:after="0" w:line="240" w:lineRule="auto"/>
        <w:ind w:left="567" w:right="567" w:firstLine="0"/>
        <w:jc w:val="both"/>
        <w:rPr>
          <w:rFonts w:ascii="Book Antiqua" w:cs="Book Antiqua" w:hAnsi="Book Antiqua" w:eastAsia="Book Antiqua"/>
          <w:sz w:val="24"/>
          <w:szCs w:val="24"/>
        </w:rPr>
      </w:pPr>
      <w:r>
        <w:rPr>
          <w:rFonts w:ascii="Book Antiqua"/>
          <w:sz w:val="24"/>
          <w:szCs w:val="24"/>
          <w:rtl w:val="0"/>
          <w:lang w:val="it-IT"/>
        </w:rPr>
        <w:t>Rischio che, per</w:t>
      </w:r>
      <w:r>
        <w:rPr>
          <w:rFonts w:hAnsi="Book Antiqua" w:hint="default"/>
          <w:sz w:val="24"/>
          <w:szCs w:val="24"/>
          <w:rtl w:val="0"/>
          <w:lang w:val="it-IT"/>
        </w:rPr>
        <w:t xml:space="preserve">ò </w:t>
      </w:r>
      <w:r>
        <w:rPr>
          <w:rFonts w:ascii="Book Antiqua"/>
          <w:sz w:val="24"/>
          <w:szCs w:val="24"/>
          <w:rtl w:val="0"/>
          <w:lang w:val="it-IT"/>
        </w:rPr>
        <w:t>diviene realt</w:t>
      </w:r>
      <w:r>
        <w:rPr>
          <w:rFonts w:hAnsi="Book Antiqua" w:hint="default"/>
          <w:sz w:val="24"/>
          <w:szCs w:val="24"/>
          <w:rtl w:val="0"/>
          <w:lang w:val="it-IT"/>
        </w:rPr>
        <w:t>à</w:t>
      </w:r>
      <w:r>
        <w:rPr>
          <w:rFonts w:ascii="Book Antiqua"/>
          <w:sz w:val="24"/>
          <w:szCs w:val="24"/>
          <w:rtl w:val="0"/>
          <w:lang w:val="it-IT"/>
        </w:rPr>
        <w:t>, con l</w:t>
      </w:r>
      <w:r>
        <w:rPr>
          <w:rFonts w:hAnsi="Book Antiqua" w:hint="default"/>
          <w:sz w:val="24"/>
          <w:szCs w:val="24"/>
          <w:rtl w:val="0"/>
          <w:lang w:val="it-IT"/>
        </w:rPr>
        <w:t>’</w:t>
      </w:r>
      <w:r>
        <w:rPr>
          <w:rFonts w:ascii="Book Antiqua"/>
          <w:sz w:val="24"/>
          <w:szCs w:val="24"/>
          <w:rtl w:val="0"/>
          <w:lang w:val="it-IT"/>
        </w:rPr>
        <w:t>atto di costituzione in mora C(2011)4113 del 16 giugno 2011, con cui la Commissione europea apre per l</w:t>
      </w:r>
      <w:r>
        <w:rPr>
          <w:rFonts w:hAnsi="Book Antiqua" w:hint="default"/>
          <w:sz w:val="24"/>
          <w:szCs w:val="24"/>
          <w:rtl w:val="0"/>
          <w:lang w:val="it-IT"/>
        </w:rPr>
        <w:t>’</w:t>
      </w:r>
      <w:r>
        <w:rPr>
          <w:rFonts w:ascii="Book Antiqua"/>
          <w:sz w:val="24"/>
          <w:szCs w:val="24"/>
          <w:rtl w:val="0"/>
          <w:lang w:val="it-IT"/>
        </w:rPr>
        <w:t xml:space="preserve">appunto la procedura di infrazione n. 2011/4021 nei confronti della Repubblica Italiana. </w:t>
      </w:r>
    </w:p>
    <w:p>
      <w:pPr>
        <w:pStyle w:val="Elenco a colori - Colore 11"/>
        <w:spacing w:after="0" w:line="240" w:lineRule="auto"/>
        <w:ind w:left="567" w:right="567" w:firstLine="0"/>
        <w:jc w:val="both"/>
        <w:rPr>
          <w:rFonts w:ascii="Book Antiqua" w:cs="Book Antiqua" w:hAnsi="Book Antiqua" w:eastAsia="Book Antiqua"/>
          <w:sz w:val="24"/>
          <w:szCs w:val="24"/>
        </w:rPr>
      </w:pPr>
      <w:r>
        <w:rPr>
          <w:rFonts w:ascii="Book Antiqua"/>
          <w:sz w:val="24"/>
          <w:szCs w:val="24"/>
          <w:rtl w:val="0"/>
          <w:lang w:val="it-IT"/>
        </w:rPr>
        <w:t xml:space="preserve">Bruxelles contesta al nostro Paese come, per quanto riguarda la discarica di Malagrotta, siano state violate le disposizioni di cui all'articolo 6, lettera a), della Direttiva discariche (1999/31/CE) e degli articoli 4 e 13 della Direttiva quadro sui rifiuti, in quanto - come rilevato - nel 2011 viene ancora collocato nella discarica  un certo quantitativo di rifiuti urbani non sottoposti a previo trattamento. </w:t>
      </w:r>
    </w:p>
    <w:p>
      <w:pPr>
        <w:pStyle w:val="Elenco a colori - Colore 11"/>
        <w:spacing w:after="0" w:line="240" w:lineRule="auto"/>
        <w:ind w:left="567" w:right="567" w:firstLine="0"/>
        <w:jc w:val="both"/>
        <w:rPr>
          <w:rFonts w:ascii="Book Antiqua" w:cs="Book Antiqua" w:hAnsi="Book Antiqua" w:eastAsia="Book Antiqua"/>
          <w:sz w:val="24"/>
          <w:szCs w:val="24"/>
        </w:rPr>
      </w:pPr>
      <w:r>
        <w:rPr>
          <w:rFonts w:ascii="Book Antiqua"/>
          <w:sz w:val="24"/>
          <w:szCs w:val="24"/>
          <w:rtl w:val="0"/>
          <w:lang w:val="it-IT"/>
        </w:rPr>
        <w:t>La Commissione ha altres</w:t>
      </w:r>
      <w:r>
        <w:rPr>
          <w:rFonts w:hAnsi="Book Antiqua" w:hint="default"/>
          <w:sz w:val="24"/>
          <w:szCs w:val="24"/>
          <w:rtl w:val="0"/>
          <w:lang w:val="it-IT"/>
        </w:rPr>
        <w:t xml:space="preserve">ì </w:t>
      </w:r>
      <w:r>
        <w:rPr>
          <w:rFonts w:ascii="Book Antiqua"/>
          <w:sz w:val="24"/>
          <w:szCs w:val="24"/>
          <w:rtl w:val="0"/>
          <w:lang w:val="it-IT"/>
        </w:rPr>
        <w:t>rilevato che il progetto di Piano di gestione dei rifiuti della regione Lazio, per il periodo 2011 - 2017, evidenzia l'insufficienza della capacit</w:t>
      </w:r>
      <w:r>
        <w:rPr>
          <w:rFonts w:hAnsi="Book Antiqua" w:hint="default"/>
          <w:sz w:val="24"/>
          <w:szCs w:val="24"/>
          <w:rtl w:val="0"/>
          <w:lang w:val="it-IT"/>
        </w:rPr>
        <w:t xml:space="preserve">à </w:t>
      </w:r>
      <w:r>
        <w:rPr>
          <w:rFonts w:ascii="Book Antiqua"/>
          <w:sz w:val="24"/>
          <w:szCs w:val="24"/>
          <w:rtl w:val="0"/>
          <w:lang w:val="it-IT"/>
        </w:rPr>
        <w:t>impiantistica dedicata al TMB a livello regionale.</w:t>
      </w:r>
    </w:p>
    <w:p>
      <w:pPr>
        <w:pStyle w:val="Elenco a colori - Colore 11"/>
        <w:spacing w:after="0" w:line="240" w:lineRule="auto"/>
        <w:ind w:left="567" w:right="567" w:firstLine="0"/>
        <w:jc w:val="both"/>
        <w:rPr>
          <w:rFonts w:ascii="Book Antiqua" w:cs="Book Antiqua" w:hAnsi="Book Antiqua" w:eastAsia="Book Antiqua"/>
          <w:sz w:val="24"/>
          <w:szCs w:val="24"/>
        </w:rPr>
      </w:pPr>
      <w:r>
        <w:rPr>
          <w:rFonts w:ascii="Book Antiqua"/>
          <w:sz w:val="24"/>
          <w:szCs w:val="24"/>
          <w:rtl w:val="0"/>
          <w:lang w:val="it-IT"/>
        </w:rPr>
        <w:t xml:space="preserve">Il 31 maggio del 2012, attraverso il parere motivato sulla procedura 2011/4021, la Commissione europea interviene sulla questione tritovagliatura, scrivendo: </w:t>
      </w:r>
      <w:r>
        <w:rPr>
          <w:rFonts w:hAnsi="Book Antiqua" w:hint="default"/>
          <w:sz w:val="24"/>
          <w:szCs w:val="24"/>
          <w:rtl w:val="0"/>
          <w:lang w:val="it-IT"/>
        </w:rPr>
        <w:t>“</w:t>
      </w:r>
      <w:r>
        <w:rPr>
          <w:rFonts w:ascii="Book Antiqua"/>
          <w:sz w:val="24"/>
          <w:szCs w:val="24"/>
          <w:rtl w:val="0"/>
          <w:lang w:val="it-IT"/>
        </w:rPr>
        <w:t>quand</w:t>
      </w:r>
      <w:r>
        <w:rPr>
          <w:rFonts w:hAnsi="Book Antiqua" w:hint="default"/>
          <w:sz w:val="24"/>
          <w:szCs w:val="24"/>
          <w:rtl w:val="0"/>
          <w:lang w:val="it-IT"/>
        </w:rPr>
        <w:t>’</w:t>
      </w:r>
      <w:r>
        <w:rPr>
          <w:rFonts w:ascii="Book Antiqua"/>
          <w:sz w:val="24"/>
          <w:szCs w:val="24"/>
          <w:rtl w:val="0"/>
          <w:lang w:val="it-IT"/>
        </w:rPr>
        <w:t>anche le previste unit</w:t>
      </w:r>
      <w:r>
        <w:rPr>
          <w:rFonts w:hAnsi="Book Antiqua" w:hint="default"/>
          <w:sz w:val="24"/>
          <w:szCs w:val="24"/>
          <w:rtl w:val="0"/>
          <w:lang w:val="it-IT"/>
        </w:rPr>
        <w:t xml:space="preserve">à </w:t>
      </w:r>
      <w:r>
        <w:rPr>
          <w:rFonts w:ascii="Book Antiqua"/>
          <w:sz w:val="24"/>
          <w:szCs w:val="24"/>
          <w:rtl w:val="0"/>
          <w:lang w:val="it-IT"/>
        </w:rPr>
        <w:t xml:space="preserve">di trito </w:t>
      </w:r>
      <w:r>
        <w:rPr>
          <w:rFonts w:hAnsi="Book Antiqua" w:hint="default"/>
          <w:sz w:val="24"/>
          <w:szCs w:val="24"/>
          <w:rtl w:val="0"/>
          <w:lang w:val="it-IT"/>
        </w:rPr>
        <w:t xml:space="preserve">– </w:t>
      </w:r>
      <w:r>
        <w:rPr>
          <w:rFonts w:ascii="Book Antiqua"/>
          <w:sz w:val="24"/>
          <w:szCs w:val="24"/>
          <w:rtl w:val="0"/>
          <w:lang w:val="it-IT"/>
        </w:rPr>
        <w:t>vagliatura da istallare presso la discarica di Malagrotta fossero nel frattempo entrate in funzione, esse, secondo quanto indicato nella suddetta nota della regione Lazio del 2 marzo 2011, consentono di tritare i rifiuti e di recuperare metalli ferrosi prima della collocazione dei rifiuti stessi in discarica. Poich</w:t>
      </w:r>
      <w:r>
        <w:rPr>
          <w:rFonts w:hAnsi="Book Antiqua" w:hint="default"/>
          <w:sz w:val="24"/>
          <w:szCs w:val="24"/>
          <w:rtl w:val="0"/>
          <w:lang w:val="it-IT"/>
        </w:rPr>
        <w:t xml:space="preserve">é </w:t>
      </w:r>
      <w:r>
        <w:rPr>
          <w:rFonts w:ascii="Book Antiqua"/>
          <w:sz w:val="24"/>
          <w:szCs w:val="24"/>
          <w:rtl w:val="0"/>
          <w:lang w:val="it-IT"/>
        </w:rPr>
        <w:t>tale trattamento non comprende un</w:t>
      </w:r>
      <w:r>
        <w:rPr>
          <w:rFonts w:hAnsi="Book Antiqua" w:hint="default"/>
          <w:sz w:val="24"/>
          <w:szCs w:val="24"/>
          <w:rtl w:val="0"/>
          <w:lang w:val="it-IT"/>
        </w:rPr>
        <w:t>’</w:t>
      </w:r>
      <w:r>
        <w:rPr>
          <w:rFonts w:ascii="Book Antiqua"/>
          <w:sz w:val="24"/>
          <w:szCs w:val="24"/>
          <w:rtl w:val="0"/>
          <w:lang w:val="it-IT"/>
        </w:rPr>
        <w:t>adeguata selezione delle diverse frazioni dei rifiuti e la stabilizzazione della frazione organica, esso, pur rappresentando un miglioramento, non varrebbe a soddisfare l</w:t>
      </w:r>
      <w:r>
        <w:rPr>
          <w:rFonts w:hAnsi="Book Antiqua" w:hint="default"/>
          <w:sz w:val="24"/>
          <w:szCs w:val="24"/>
          <w:rtl w:val="0"/>
          <w:lang w:val="it-IT"/>
        </w:rPr>
        <w:t>’</w:t>
      </w:r>
      <w:r>
        <w:rPr>
          <w:rFonts w:ascii="Book Antiqua"/>
          <w:sz w:val="24"/>
          <w:szCs w:val="24"/>
          <w:rtl w:val="0"/>
          <w:lang w:val="it-IT"/>
        </w:rPr>
        <w:t>obbligo di pretrattamento previsto dall</w:t>
      </w:r>
      <w:r>
        <w:rPr>
          <w:rFonts w:hAnsi="Book Antiqua" w:hint="default"/>
          <w:sz w:val="24"/>
          <w:szCs w:val="24"/>
          <w:rtl w:val="0"/>
          <w:lang w:val="it-IT"/>
        </w:rPr>
        <w:t>’</w:t>
      </w:r>
      <w:r>
        <w:rPr>
          <w:rFonts w:ascii="Book Antiqua"/>
          <w:sz w:val="24"/>
          <w:szCs w:val="24"/>
          <w:rtl w:val="0"/>
          <w:lang w:val="it-IT"/>
        </w:rPr>
        <w:t>articolo 6 comma a), della direttiva 1999/31/CE come interpretato dalla Commissione.</w:t>
      </w:r>
      <w:r>
        <w:rPr>
          <w:rFonts w:hAnsi="Book Antiqua" w:hint="default"/>
          <w:sz w:val="24"/>
          <w:szCs w:val="24"/>
          <w:rtl w:val="0"/>
          <w:lang w:val="it-IT"/>
        </w:rPr>
        <w:t xml:space="preserve">” </w:t>
      </w:r>
    </w:p>
    <w:p>
      <w:pPr>
        <w:pStyle w:val="Elenco a colori - Colore 11"/>
        <w:spacing w:after="0" w:line="240" w:lineRule="auto"/>
        <w:ind w:left="567" w:right="567" w:firstLine="0"/>
        <w:jc w:val="both"/>
        <w:rPr>
          <w:rFonts w:ascii="Book Antiqua" w:cs="Book Antiqua" w:hAnsi="Book Antiqua" w:eastAsia="Book Antiqua"/>
          <w:sz w:val="24"/>
          <w:szCs w:val="24"/>
        </w:rPr>
      </w:pPr>
      <w:r>
        <w:rPr>
          <w:rFonts w:ascii="Book Antiqua"/>
          <w:sz w:val="24"/>
          <w:szCs w:val="24"/>
          <w:rtl w:val="0"/>
          <w:lang w:val="it-IT"/>
        </w:rPr>
        <w:t>Interpretazione che, il 15 ottobre 2014, diventa diritto giurisprudenziale attraverso la sentenza della Corte di giustizia dell</w:t>
      </w:r>
      <w:r>
        <w:rPr>
          <w:rFonts w:hAnsi="Book Antiqua" w:hint="default"/>
          <w:sz w:val="24"/>
          <w:szCs w:val="24"/>
          <w:rtl w:val="0"/>
          <w:lang w:val="it-IT"/>
        </w:rPr>
        <w:t>’</w:t>
      </w:r>
      <w:r>
        <w:rPr>
          <w:rFonts w:ascii="Book Antiqua"/>
          <w:sz w:val="24"/>
          <w:szCs w:val="24"/>
          <w:rtl w:val="0"/>
          <w:lang w:val="it-IT"/>
        </w:rPr>
        <w:t xml:space="preserve">Unione europea nella causa n. C-323/13. </w:t>
      </w:r>
    </w:p>
    <w:p>
      <w:pPr>
        <w:pStyle w:val="Elenco a colori - Colore 11"/>
        <w:spacing w:after="0" w:line="240" w:lineRule="auto"/>
        <w:ind w:left="567" w:right="567" w:firstLine="0"/>
        <w:jc w:val="both"/>
        <w:rPr>
          <w:rFonts w:ascii="Book Antiqua" w:cs="Book Antiqua" w:hAnsi="Book Antiqua" w:eastAsia="Book Antiqua"/>
          <w:sz w:val="24"/>
          <w:szCs w:val="24"/>
        </w:rPr>
      </w:pPr>
      <w:r>
        <w:rPr>
          <w:rFonts w:ascii="Book Antiqua"/>
          <w:sz w:val="24"/>
          <w:szCs w:val="24"/>
          <w:rtl w:val="0"/>
          <w:lang w:val="it-IT"/>
        </w:rPr>
        <w:t>Tuttavia il progetto di costruire un tritovagliatore va avanti, tant</w:t>
      </w:r>
      <w:r>
        <w:rPr>
          <w:rFonts w:hAnsi="Book Antiqua" w:hint="default"/>
          <w:sz w:val="24"/>
          <w:szCs w:val="24"/>
          <w:rtl w:val="0"/>
          <w:lang w:val="it-IT"/>
        </w:rPr>
        <w:t xml:space="preserve">’è </w:t>
      </w:r>
      <w:r>
        <w:rPr>
          <w:rFonts w:ascii="Book Antiqua"/>
          <w:sz w:val="24"/>
          <w:szCs w:val="24"/>
          <w:rtl w:val="0"/>
          <w:lang w:val="it-IT"/>
        </w:rPr>
        <w:t>che determinazione dirigenziale R.U. 1228 del 7 marzo 2013 della provincia di Roma rilascia l'autorizzazione per l</w:t>
      </w:r>
      <w:r>
        <w:rPr>
          <w:rFonts w:hAnsi="Book Antiqua" w:hint="default"/>
          <w:sz w:val="24"/>
          <w:szCs w:val="24"/>
          <w:rtl w:val="0"/>
          <w:lang w:val="it-IT"/>
        </w:rPr>
        <w:t>’</w:t>
      </w:r>
      <w:r>
        <w:rPr>
          <w:rFonts w:ascii="Book Antiqua"/>
          <w:sz w:val="24"/>
          <w:szCs w:val="24"/>
          <w:rtl w:val="0"/>
          <w:lang w:val="it-IT"/>
        </w:rPr>
        <w:t>impianto di tritovagliatura di propriet</w:t>
      </w:r>
      <w:r>
        <w:rPr>
          <w:rFonts w:hAnsi="Book Antiqua" w:hint="default"/>
          <w:sz w:val="24"/>
          <w:szCs w:val="24"/>
          <w:rtl w:val="0"/>
          <w:lang w:val="it-IT"/>
        </w:rPr>
        <w:t xml:space="preserve">à </w:t>
      </w:r>
      <w:r>
        <w:rPr>
          <w:rFonts w:ascii="Book Antiqua"/>
          <w:sz w:val="24"/>
          <w:szCs w:val="24"/>
          <w:rtl w:val="0"/>
          <w:lang w:val="it-IT"/>
        </w:rPr>
        <w:t>della Co.La.Ri. ubicato in via di Rocca Cencia, 273 a Roma.  Il 21 marzo 2013 la Commissione europea, in merito alla procedura di infrazione 2011/4021,  deferisce l</w:t>
      </w:r>
      <w:r>
        <w:rPr>
          <w:rFonts w:hAnsi="Book Antiqua" w:hint="default"/>
          <w:sz w:val="24"/>
          <w:szCs w:val="24"/>
          <w:rtl w:val="0"/>
          <w:lang w:val="it-IT"/>
        </w:rPr>
        <w:t>’</w:t>
      </w:r>
      <w:r>
        <w:rPr>
          <w:rFonts w:ascii="Book Antiqua"/>
          <w:sz w:val="24"/>
          <w:szCs w:val="24"/>
          <w:rtl w:val="0"/>
          <w:lang w:val="it-IT"/>
        </w:rPr>
        <w:t>Italia alla Corte di giustizia dell</w:t>
      </w:r>
      <w:r>
        <w:rPr>
          <w:rFonts w:hAnsi="Book Antiqua" w:hint="default"/>
          <w:sz w:val="24"/>
          <w:szCs w:val="24"/>
          <w:rtl w:val="0"/>
          <w:lang w:val="it-IT"/>
        </w:rPr>
        <w:t>’</w:t>
      </w:r>
      <w:r>
        <w:rPr>
          <w:rFonts w:ascii="Book Antiqua"/>
          <w:sz w:val="24"/>
          <w:szCs w:val="24"/>
          <w:rtl w:val="0"/>
          <w:lang w:val="it-IT"/>
        </w:rPr>
        <w:t>Unione europea. L</w:t>
      </w:r>
      <w:r>
        <w:rPr>
          <w:rFonts w:hAnsi="Book Antiqua" w:hint="default"/>
          <w:sz w:val="24"/>
          <w:szCs w:val="24"/>
          <w:rtl w:val="0"/>
          <w:lang w:val="it-IT"/>
        </w:rPr>
        <w:t>’</w:t>
      </w:r>
      <w:r>
        <w:rPr>
          <w:rFonts w:ascii="Book Antiqua"/>
          <w:sz w:val="24"/>
          <w:szCs w:val="24"/>
          <w:rtl w:val="0"/>
          <w:lang w:val="it-IT"/>
        </w:rPr>
        <w:t>allora Ministro dell</w:t>
      </w:r>
      <w:r>
        <w:rPr>
          <w:rFonts w:hAnsi="Book Antiqua" w:hint="default"/>
          <w:sz w:val="24"/>
          <w:szCs w:val="24"/>
          <w:rtl w:val="0"/>
          <w:lang w:val="it-IT"/>
        </w:rPr>
        <w:t>’</w:t>
      </w:r>
      <w:r>
        <w:rPr>
          <w:rFonts w:ascii="Book Antiqua"/>
          <w:sz w:val="24"/>
          <w:szCs w:val="24"/>
          <w:rtl w:val="0"/>
          <w:lang w:val="it-IT"/>
        </w:rPr>
        <w:t>ambiente, Corrado Clini - al fine di evitare una condanna, che non verr</w:t>
      </w:r>
      <w:r>
        <w:rPr>
          <w:rFonts w:hAnsi="Book Antiqua" w:hint="default"/>
          <w:sz w:val="24"/>
          <w:szCs w:val="24"/>
          <w:rtl w:val="0"/>
          <w:lang w:val="it-IT"/>
        </w:rPr>
        <w:t xml:space="preserve">à </w:t>
      </w:r>
      <w:r>
        <w:rPr>
          <w:rFonts w:ascii="Book Antiqua"/>
          <w:sz w:val="24"/>
          <w:szCs w:val="24"/>
          <w:rtl w:val="0"/>
          <w:lang w:val="it-IT"/>
        </w:rPr>
        <w:t xml:space="preserve">comunque evitata </w:t>
      </w:r>
      <w:r>
        <w:rPr>
          <w:rFonts w:hAnsi="Book Antiqua" w:hint="default"/>
          <w:sz w:val="24"/>
          <w:szCs w:val="24"/>
          <w:rtl w:val="0"/>
          <w:lang w:val="it-IT"/>
        </w:rPr>
        <w:t xml:space="preserve">– </w:t>
      </w:r>
      <w:r>
        <w:rPr>
          <w:rFonts w:ascii="Book Antiqua"/>
          <w:sz w:val="24"/>
          <w:szCs w:val="24"/>
          <w:rtl w:val="0"/>
          <w:lang w:val="it-IT"/>
        </w:rPr>
        <w:t>decide di comunicare alla Commissione europea che, entro l</w:t>
      </w:r>
      <w:r>
        <w:rPr>
          <w:rFonts w:hAnsi="Book Antiqua" w:hint="default"/>
          <w:sz w:val="24"/>
          <w:szCs w:val="24"/>
          <w:rtl w:val="0"/>
          <w:lang w:val="it-IT"/>
        </w:rPr>
        <w:t>’</w:t>
      </w:r>
      <w:r>
        <w:rPr>
          <w:rFonts w:ascii="Book Antiqua"/>
          <w:sz w:val="24"/>
          <w:szCs w:val="24"/>
          <w:rtl w:val="0"/>
          <w:lang w:val="it-IT"/>
        </w:rPr>
        <w:t>11 aprile del 2013 tutti i rifiuti conferiti a Malagrotta sarebbero stati trattati. A tal fine, quindi, in data 25 marzo 2013 viene emanato un decreto da parte del Ministro dell</w:t>
      </w:r>
      <w:r>
        <w:rPr>
          <w:rFonts w:hAnsi="Book Antiqua" w:hint="default"/>
          <w:sz w:val="24"/>
          <w:szCs w:val="24"/>
          <w:rtl w:val="0"/>
          <w:lang w:val="it-IT"/>
        </w:rPr>
        <w:t>’</w:t>
      </w:r>
      <w:r>
        <w:rPr>
          <w:rFonts w:ascii="Book Antiqua"/>
          <w:sz w:val="24"/>
          <w:szCs w:val="24"/>
          <w:rtl w:val="0"/>
          <w:lang w:val="it-IT"/>
        </w:rPr>
        <w:t>ambiente, che stabilisce gli obiettivi e le modalit</w:t>
      </w:r>
      <w:r>
        <w:rPr>
          <w:rFonts w:hAnsi="Book Antiqua" w:hint="default"/>
          <w:sz w:val="24"/>
          <w:szCs w:val="24"/>
          <w:rtl w:val="0"/>
          <w:lang w:val="it-IT"/>
        </w:rPr>
        <w:t xml:space="preserve">à </w:t>
      </w:r>
      <w:r>
        <w:rPr>
          <w:rFonts w:ascii="Book Antiqua"/>
          <w:sz w:val="24"/>
          <w:szCs w:val="24"/>
          <w:rtl w:val="0"/>
          <w:lang w:val="it-IT"/>
        </w:rPr>
        <w:t>per la gestione dell</w:t>
      </w:r>
      <w:r>
        <w:rPr>
          <w:rFonts w:hAnsi="Book Antiqua" w:hint="default"/>
          <w:sz w:val="24"/>
          <w:szCs w:val="24"/>
          <w:rtl w:val="0"/>
          <w:lang w:val="it-IT"/>
        </w:rPr>
        <w:t>’</w:t>
      </w:r>
      <w:r>
        <w:rPr>
          <w:rFonts w:ascii="Book Antiqua"/>
          <w:sz w:val="24"/>
          <w:szCs w:val="24"/>
          <w:rtl w:val="0"/>
          <w:lang w:val="it-IT"/>
        </w:rPr>
        <w:t>emergenza rifiuti di Roma</w:t>
      </w:r>
      <w:r>
        <w:rPr>
          <w:rFonts w:ascii="Book Antiqua" w:cs="Book Antiqua" w:hAnsi="Book Antiqua" w:eastAsia="Book Antiqua"/>
          <w:sz w:val="24"/>
          <w:szCs w:val="24"/>
          <w:vertAlign w:val="superscript"/>
          <w:rtl w:val="0"/>
        </w:rPr>
        <w:footnoteReference w:id="58"/>
      </w:r>
      <w:r>
        <w:rPr>
          <w:rFonts w:ascii="Book Antiqua"/>
          <w:sz w:val="24"/>
          <w:szCs w:val="24"/>
          <w:rtl w:val="0"/>
          <w:lang w:val="it-IT"/>
        </w:rPr>
        <w:t xml:space="preserve">. </w:t>
      </w:r>
    </w:p>
    <w:p>
      <w:pPr>
        <w:pStyle w:val="Elenco a colori - Colore 11"/>
        <w:spacing w:after="0" w:line="240" w:lineRule="auto"/>
        <w:ind w:left="567" w:right="567" w:firstLine="0"/>
        <w:jc w:val="both"/>
        <w:rPr>
          <w:rFonts w:ascii="Book Antiqua" w:cs="Book Antiqua" w:hAnsi="Book Antiqua" w:eastAsia="Book Antiqua"/>
          <w:sz w:val="24"/>
          <w:szCs w:val="24"/>
        </w:rPr>
      </w:pPr>
      <w:r>
        <w:rPr>
          <w:rFonts w:ascii="Book Antiqua"/>
          <w:sz w:val="24"/>
          <w:szCs w:val="24"/>
          <w:rtl w:val="0"/>
          <w:lang w:val="it-IT"/>
        </w:rPr>
        <w:t>L</w:t>
      </w:r>
      <w:r>
        <w:rPr>
          <w:rFonts w:hAnsi="Book Antiqua" w:hint="default"/>
          <w:sz w:val="24"/>
          <w:szCs w:val="24"/>
          <w:rtl w:val="0"/>
          <w:lang w:val="it-IT"/>
        </w:rPr>
        <w:t>’</w:t>
      </w:r>
      <w:r>
        <w:rPr>
          <w:rFonts w:ascii="Book Antiqua"/>
          <w:sz w:val="24"/>
          <w:szCs w:val="24"/>
          <w:rtl w:val="0"/>
          <w:lang w:val="it-IT"/>
        </w:rPr>
        <w:t xml:space="preserve">articolo 2 recita: </w:t>
      </w:r>
      <w:r>
        <w:rPr>
          <w:rFonts w:hAnsi="Book Antiqua" w:hint="default"/>
          <w:sz w:val="24"/>
          <w:szCs w:val="24"/>
          <w:rtl w:val="0"/>
          <w:lang w:val="it-IT"/>
        </w:rPr>
        <w:t>“</w:t>
      </w:r>
      <w:r>
        <w:rPr>
          <w:rFonts w:ascii="Book Antiqua"/>
          <w:sz w:val="24"/>
          <w:szCs w:val="24"/>
          <w:rtl w:val="0"/>
          <w:lang w:val="it-IT"/>
        </w:rPr>
        <w:t>Il commissario dispone che, entro il 10 aprile 2013, la societ</w:t>
      </w:r>
      <w:r>
        <w:rPr>
          <w:rFonts w:hAnsi="Book Antiqua" w:hint="default"/>
          <w:sz w:val="24"/>
          <w:szCs w:val="24"/>
          <w:rtl w:val="0"/>
          <w:lang w:val="it-IT"/>
        </w:rPr>
        <w:t xml:space="preserve">à </w:t>
      </w:r>
      <w:r>
        <w:rPr>
          <w:rFonts w:ascii="Book Antiqua"/>
          <w:sz w:val="24"/>
          <w:szCs w:val="24"/>
          <w:rtl w:val="0"/>
          <w:lang w:val="it-IT"/>
        </w:rPr>
        <w:t>Co.La.Ri., titolare dell'impianto di tritovagliatura autorizzato dalla provincia di Roma in data 7 marzo 2013: a) assicuri il funzionamento dell'impianto, b) notifichi ad AMA gli impianti cui sono destinati il "sopravaglio frazione secca" per la produzione di CDR/CSS, il "sottovaglio frazione umida biodegradabile" per la successiva stabilizzazione nei termini previsti e gli usi consentiti, e la frazione metallica, derivanti dalle lavorazioni del tritovagliatore</w:t>
      </w:r>
      <w:r>
        <w:rPr>
          <w:rFonts w:hAnsi="Book Antiqua" w:hint="default"/>
          <w:sz w:val="24"/>
          <w:szCs w:val="24"/>
          <w:rtl w:val="0"/>
          <w:lang w:val="it-IT"/>
        </w:rPr>
        <w:t>”</w:t>
      </w:r>
      <w:r>
        <w:rPr>
          <w:rFonts w:ascii="Book Antiqua"/>
          <w:sz w:val="24"/>
          <w:szCs w:val="24"/>
          <w:rtl w:val="0"/>
          <w:lang w:val="it-IT"/>
        </w:rPr>
        <w:t>. Quindi, la provincia ha autorizzato l</w:t>
      </w:r>
      <w:r>
        <w:rPr>
          <w:rFonts w:hAnsi="Book Antiqua" w:hint="default"/>
          <w:sz w:val="24"/>
          <w:szCs w:val="24"/>
          <w:rtl w:val="0"/>
          <w:lang w:val="it-IT"/>
        </w:rPr>
        <w:t>’</w:t>
      </w:r>
      <w:r>
        <w:rPr>
          <w:rFonts w:ascii="Book Antiqua"/>
          <w:sz w:val="24"/>
          <w:szCs w:val="24"/>
          <w:rtl w:val="0"/>
          <w:lang w:val="it-IT"/>
        </w:rPr>
        <w:t>impianto, il commissario</w:t>
      </w:r>
      <w:r>
        <w:rPr>
          <w:rFonts w:hAnsi="Book Antiqua" w:hint="default"/>
          <w:sz w:val="24"/>
          <w:szCs w:val="24"/>
          <w:rtl w:val="0"/>
          <w:lang w:val="it-IT"/>
        </w:rPr>
        <w:t xml:space="preserve"> – </w:t>
      </w:r>
      <w:r>
        <w:rPr>
          <w:rFonts w:ascii="Book Antiqua"/>
          <w:sz w:val="24"/>
          <w:szCs w:val="24"/>
          <w:rtl w:val="0"/>
          <w:lang w:val="it-IT"/>
        </w:rPr>
        <w:t xml:space="preserve">ai sensi del DM </w:t>
      </w:r>
      <w:r>
        <w:rPr>
          <w:rFonts w:hAnsi="Book Antiqua" w:hint="default"/>
          <w:sz w:val="24"/>
          <w:szCs w:val="24"/>
          <w:rtl w:val="0"/>
          <w:lang w:val="it-IT"/>
        </w:rPr>
        <w:t xml:space="preserve">– </w:t>
      </w:r>
      <w:r>
        <w:rPr>
          <w:rFonts w:ascii="Book Antiqua"/>
          <w:sz w:val="24"/>
          <w:szCs w:val="24"/>
          <w:rtl w:val="0"/>
          <w:lang w:val="it-IT"/>
        </w:rPr>
        <w:t>ha disposto l</w:t>
      </w:r>
      <w:r>
        <w:rPr>
          <w:rFonts w:hAnsi="Book Antiqua" w:hint="default"/>
          <w:sz w:val="24"/>
          <w:szCs w:val="24"/>
          <w:rtl w:val="0"/>
          <w:lang w:val="it-IT"/>
        </w:rPr>
        <w:t>’</w:t>
      </w:r>
      <w:r>
        <w:rPr>
          <w:rFonts w:ascii="Book Antiqua"/>
          <w:sz w:val="24"/>
          <w:szCs w:val="24"/>
          <w:rtl w:val="0"/>
          <w:lang w:val="it-IT"/>
        </w:rPr>
        <w:t xml:space="preserve">utilizzo del tritovagliatore di Co.La.Ri. </w:t>
      </w:r>
    </w:p>
    <w:p>
      <w:pPr>
        <w:pStyle w:val="Elenco a colori - Colore 11"/>
        <w:spacing w:after="0" w:line="240" w:lineRule="auto"/>
        <w:ind w:left="567" w:right="567" w:firstLine="0"/>
        <w:jc w:val="both"/>
        <w:rPr>
          <w:rFonts w:ascii="Book Antiqua" w:cs="Book Antiqua" w:hAnsi="Book Antiqua" w:eastAsia="Book Antiqua"/>
          <w:sz w:val="24"/>
          <w:szCs w:val="24"/>
        </w:rPr>
      </w:pPr>
      <w:r>
        <w:rPr>
          <w:rFonts w:ascii="Book Antiqua"/>
          <w:sz w:val="24"/>
          <w:szCs w:val="24"/>
          <w:rtl w:val="0"/>
          <w:lang w:val="it-IT"/>
        </w:rPr>
        <w:t>Dallo stesso decreto ministeriale, per</w:t>
      </w:r>
      <w:r>
        <w:rPr>
          <w:rFonts w:hAnsi="Book Antiqua" w:hint="default"/>
          <w:sz w:val="24"/>
          <w:szCs w:val="24"/>
          <w:rtl w:val="0"/>
          <w:lang w:val="it-IT"/>
        </w:rPr>
        <w:t>ò</w:t>
      </w:r>
      <w:r>
        <w:rPr>
          <w:rFonts w:ascii="Book Antiqua"/>
          <w:sz w:val="24"/>
          <w:szCs w:val="24"/>
          <w:rtl w:val="0"/>
          <w:lang w:val="it-IT"/>
        </w:rPr>
        <w:t>, si evince che il Ministero dell</w:t>
      </w:r>
      <w:r>
        <w:rPr>
          <w:rFonts w:hAnsi="Book Antiqua" w:hint="default"/>
          <w:sz w:val="24"/>
          <w:szCs w:val="24"/>
          <w:rtl w:val="0"/>
          <w:lang w:val="it-IT"/>
        </w:rPr>
        <w:t>’</w:t>
      </w:r>
      <w:r>
        <w:rPr>
          <w:rFonts w:ascii="Book Antiqua"/>
          <w:sz w:val="24"/>
          <w:szCs w:val="24"/>
          <w:rtl w:val="0"/>
          <w:lang w:val="it-IT"/>
        </w:rPr>
        <w:t xml:space="preserve">ambiente era ben consapevole delle contestazioni avanzate dalla Commissione europea </w:t>
      </w:r>
      <w:r>
        <w:rPr>
          <w:rFonts w:hAnsi="Book Antiqua" w:hint="default"/>
          <w:sz w:val="24"/>
          <w:szCs w:val="24"/>
          <w:rtl w:val="0"/>
          <w:lang w:val="it-IT"/>
        </w:rPr>
        <w:t xml:space="preserve">– </w:t>
      </w:r>
      <w:r>
        <w:rPr>
          <w:rFonts w:ascii="Book Antiqua"/>
          <w:sz w:val="24"/>
          <w:szCs w:val="24"/>
          <w:rtl w:val="0"/>
          <w:lang w:val="it-IT"/>
        </w:rPr>
        <w:t xml:space="preserve">accolte successivamente dalla CGUE </w:t>
      </w:r>
      <w:r>
        <w:rPr>
          <w:rFonts w:hAnsi="Book Antiqua" w:hint="default"/>
          <w:sz w:val="24"/>
          <w:szCs w:val="24"/>
          <w:rtl w:val="0"/>
          <w:lang w:val="it-IT"/>
        </w:rPr>
        <w:t xml:space="preserve">– </w:t>
      </w:r>
      <w:r>
        <w:rPr>
          <w:rFonts w:ascii="Book Antiqua"/>
          <w:sz w:val="24"/>
          <w:szCs w:val="24"/>
          <w:rtl w:val="0"/>
          <w:lang w:val="it-IT"/>
        </w:rPr>
        <w:t xml:space="preserve">infatti stabiliva che la frazione umida prima di essere conferita in discarica (una qualsiasi) dovesse essere stabilizzata eventualmente attraverso bioessiccazione. </w:t>
      </w:r>
    </w:p>
    <w:p>
      <w:pPr>
        <w:pStyle w:val="Elenco a colori - Colore 11"/>
        <w:spacing w:after="0" w:line="240" w:lineRule="auto"/>
        <w:ind w:left="567" w:right="567" w:firstLine="0"/>
        <w:jc w:val="both"/>
        <w:rPr>
          <w:rFonts w:ascii="Book Antiqua" w:cs="Book Antiqua" w:hAnsi="Book Antiqua" w:eastAsia="Book Antiqua"/>
          <w:sz w:val="24"/>
          <w:szCs w:val="24"/>
        </w:rPr>
      </w:pPr>
      <w:r>
        <w:rPr>
          <w:rFonts w:ascii="Book Antiqua"/>
          <w:sz w:val="24"/>
          <w:szCs w:val="24"/>
          <w:rtl w:val="0"/>
          <w:lang w:val="it-IT"/>
        </w:rPr>
        <w:t>Ma allora perch</w:t>
      </w:r>
      <w:r>
        <w:rPr>
          <w:rFonts w:hAnsi="Book Antiqua" w:hint="default"/>
          <w:sz w:val="24"/>
          <w:szCs w:val="24"/>
          <w:rtl w:val="0"/>
          <w:lang w:val="it-IT"/>
        </w:rPr>
        <w:t>é</w:t>
      </w:r>
      <w:r>
        <w:rPr>
          <w:rFonts w:ascii="Book Antiqua"/>
          <w:sz w:val="24"/>
          <w:szCs w:val="24"/>
          <w:rtl w:val="0"/>
          <w:lang w:val="it-IT"/>
        </w:rPr>
        <w:t xml:space="preserve"> sia prima che dopo la chiusura di Malagrotta, secondo diversi soggetti istituzionali poteva essere utile? Per il cambio di codice CER: infatti l</w:t>
      </w:r>
      <w:r>
        <w:rPr>
          <w:rFonts w:hAnsi="Book Antiqua" w:hint="default"/>
          <w:sz w:val="24"/>
          <w:szCs w:val="24"/>
          <w:rtl w:val="0"/>
          <w:lang w:val="it-IT"/>
        </w:rPr>
        <w:t>’</w:t>
      </w:r>
      <w:r>
        <w:rPr>
          <w:rFonts w:ascii="Book Antiqua"/>
          <w:sz w:val="24"/>
          <w:szCs w:val="24"/>
          <w:rtl w:val="0"/>
          <w:lang w:val="it-IT"/>
        </w:rPr>
        <w:t>impianto consente di avviare al trattamento i rifiuti indifferenziati (CER 200301) e di estrarne due flussi, un sopravaglio pi</w:t>
      </w:r>
      <w:r>
        <w:rPr>
          <w:rFonts w:hAnsi="Book Antiqua" w:hint="default"/>
          <w:sz w:val="24"/>
          <w:szCs w:val="24"/>
          <w:rtl w:val="0"/>
          <w:lang w:val="it-IT"/>
        </w:rPr>
        <w:t xml:space="preserve">ù </w:t>
      </w:r>
      <w:r>
        <w:rPr>
          <w:rFonts w:ascii="Book Antiqua"/>
          <w:sz w:val="24"/>
          <w:szCs w:val="24"/>
          <w:rtl w:val="0"/>
          <w:lang w:val="it-IT"/>
        </w:rPr>
        <w:t>asciutto e un sottovaglio pi</w:t>
      </w:r>
      <w:r>
        <w:rPr>
          <w:rFonts w:hAnsi="Book Antiqua" w:hint="default"/>
          <w:sz w:val="24"/>
          <w:szCs w:val="24"/>
          <w:rtl w:val="0"/>
          <w:lang w:val="it-IT"/>
        </w:rPr>
        <w:t xml:space="preserve">ù </w:t>
      </w:r>
      <w:r>
        <w:rPr>
          <w:rFonts w:ascii="Book Antiqua"/>
          <w:sz w:val="24"/>
          <w:szCs w:val="24"/>
          <w:rtl w:val="0"/>
          <w:lang w:val="it-IT"/>
        </w:rPr>
        <w:t xml:space="preserve">umido. Il codice in uscita per entrambi questi materiali </w:t>
      </w:r>
      <w:r>
        <w:rPr>
          <w:rFonts w:hAnsi="Book Antiqua" w:hint="default"/>
          <w:sz w:val="24"/>
          <w:szCs w:val="24"/>
          <w:rtl w:val="0"/>
          <w:lang w:val="it-IT"/>
        </w:rPr>
        <w:t xml:space="preserve">è </w:t>
      </w:r>
      <w:r>
        <w:rPr>
          <w:rFonts w:ascii="Book Antiqua"/>
          <w:sz w:val="24"/>
          <w:szCs w:val="24"/>
          <w:rtl w:val="0"/>
          <w:lang w:val="it-IT"/>
        </w:rPr>
        <w:t>191212, cio</w:t>
      </w:r>
      <w:r>
        <w:rPr>
          <w:rFonts w:hAnsi="Book Antiqua" w:hint="default"/>
          <w:sz w:val="24"/>
          <w:szCs w:val="24"/>
          <w:rtl w:val="0"/>
          <w:lang w:val="it-IT"/>
        </w:rPr>
        <w:t xml:space="preserve">è </w:t>
      </w:r>
      <w:r>
        <w:rPr>
          <w:rFonts w:ascii="Book Antiqua"/>
          <w:sz w:val="24"/>
          <w:szCs w:val="24"/>
          <w:rtl w:val="0"/>
          <w:lang w:val="it-IT"/>
        </w:rPr>
        <w:t>rifiuto speciale che pu</w:t>
      </w:r>
      <w:r>
        <w:rPr>
          <w:rFonts w:hAnsi="Book Antiqua" w:hint="default"/>
          <w:sz w:val="24"/>
          <w:szCs w:val="24"/>
          <w:rtl w:val="0"/>
          <w:lang w:val="it-IT"/>
        </w:rPr>
        <w:t xml:space="preserve">ò </w:t>
      </w:r>
      <w:r>
        <w:rPr>
          <w:rFonts w:ascii="Book Antiqua"/>
          <w:sz w:val="24"/>
          <w:szCs w:val="24"/>
          <w:rtl w:val="0"/>
          <w:lang w:val="it-IT"/>
        </w:rPr>
        <w:t>viaggiare senza limitazioni (attraverso semplici accordi tra le parti contrattuali o al massimo attraverso gare e non mediante accordi tra Regioni) nel territorio nazionale per andare a smaltimento o recupero di energia, ovvero a recupero di materia. All</w:t>
      </w:r>
      <w:r>
        <w:rPr>
          <w:rFonts w:hAnsi="Book Antiqua" w:hint="default"/>
          <w:sz w:val="24"/>
          <w:szCs w:val="24"/>
          <w:rtl w:val="0"/>
          <w:lang w:val="it-IT"/>
        </w:rPr>
        <w:t>’</w:t>
      </w:r>
      <w:r>
        <w:rPr>
          <w:rFonts w:ascii="Book Antiqua"/>
          <w:sz w:val="24"/>
          <w:szCs w:val="24"/>
          <w:rtl w:val="0"/>
          <w:lang w:val="it-IT"/>
        </w:rPr>
        <w:t>epoca del decreto ministeriale, quando i quattro impianti di TMB non riuscivano a lavorare tutti i rifiuti, serviva proprio questo, ossia far passare gli indifferenziati in eccedenza attraverso un impianto intermedio che permettesse a questi di cambiare codice CER al fine di poterli inviare anche fuori regione tramite semplici accordi tra societ</w:t>
      </w:r>
      <w:r>
        <w:rPr>
          <w:rFonts w:hAnsi="Book Antiqua" w:hint="default"/>
          <w:sz w:val="24"/>
          <w:szCs w:val="24"/>
          <w:rtl w:val="0"/>
          <w:lang w:val="it-IT"/>
        </w:rPr>
        <w:t xml:space="preserve">à </w:t>
      </w:r>
      <w:r>
        <w:rPr>
          <w:rFonts w:ascii="Book Antiqua"/>
          <w:sz w:val="24"/>
          <w:szCs w:val="24"/>
          <w:rtl w:val="0"/>
          <w:lang w:val="it-IT"/>
        </w:rPr>
        <w:t>per il successivo trattamento a bocca di discarica o all</w:t>
      </w:r>
      <w:r>
        <w:rPr>
          <w:rFonts w:hAnsi="Book Antiqua" w:hint="default"/>
          <w:sz w:val="24"/>
          <w:szCs w:val="24"/>
          <w:rtl w:val="0"/>
          <w:lang w:val="it-IT"/>
        </w:rPr>
        <w:t>’</w:t>
      </w:r>
      <w:r>
        <w:rPr>
          <w:rFonts w:ascii="Book Antiqua"/>
          <w:sz w:val="24"/>
          <w:szCs w:val="24"/>
          <w:rtl w:val="0"/>
          <w:lang w:val="it-IT"/>
        </w:rPr>
        <w:t xml:space="preserve">incenerimento della parte secca. </w:t>
      </w:r>
    </w:p>
    <w:p>
      <w:pPr>
        <w:pStyle w:val="Elenco a colori - Colore 11"/>
        <w:spacing w:after="0" w:line="240" w:lineRule="auto"/>
        <w:ind w:left="567" w:right="567" w:firstLine="0"/>
        <w:jc w:val="both"/>
        <w:rPr>
          <w:rFonts w:ascii="Book Antiqua" w:cs="Book Antiqua" w:hAnsi="Book Antiqua" w:eastAsia="Book Antiqua"/>
          <w:sz w:val="24"/>
          <w:szCs w:val="24"/>
        </w:rPr>
      </w:pPr>
      <w:r>
        <w:rPr>
          <w:rFonts w:ascii="Book Antiqua"/>
          <w:sz w:val="24"/>
          <w:szCs w:val="24"/>
          <w:rtl w:val="0"/>
          <w:lang w:val="it-IT"/>
        </w:rPr>
        <w:t>Detto questo non si comprendono i motivi del perch</w:t>
      </w:r>
      <w:r>
        <w:rPr>
          <w:rFonts w:hAnsi="Book Antiqua" w:hint="default"/>
          <w:sz w:val="24"/>
          <w:szCs w:val="24"/>
          <w:rtl w:val="0"/>
          <w:lang w:val="it-IT"/>
        </w:rPr>
        <w:t xml:space="preserve">é – </w:t>
      </w:r>
      <w:r>
        <w:rPr>
          <w:rFonts w:ascii="Book Antiqua"/>
          <w:sz w:val="24"/>
          <w:szCs w:val="24"/>
          <w:rtl w:val="0"/>
          <w:lang w:val="it-IT"/>
        </w:rPr>
        <w:t>non avendo costruito l</w:t>
      </w:r>
      <w:r>
        <w:rPr>
          <w:rFonts w:hAnsi="Book Antiqua" w:hint="default"/>
          <w:sz w:val="24"/>
          <w:szCs w:val="24"/>
          <w:rtl w:val="0"/>
          <w:lang w:val="it-IT"/>
        </w:rPr>
        <w:t>’</w:t>
      </w:r>
      <w:r>
        <w:rPr>
          <w:rFonts w:ascii="Book Antiqua"/>
          <w:sz w:val="24"/>
          <w:szCs w:val="24"/>
          <w:rtl w:val="0"/>
          <w:lang w:val="it-IT"/>
        </w:rPr>
        <w:t>impianto a Malagrotta, cos</w:t>
      </w:r>
      <w:r>
        <w:rPr>
          <w:rFonts w:hAnsi="Book Antiqua" w:hint="default"/>
          <w:sz w:val="24"/>
          <w:szCs w:val="24"/>
          <w:rtl w:val="0"/>
          <w:lang w:val="it-IT"/>
        </w:rPr>
        <w:t xml:space="preserve">ì </w:t>
      </w:r>
      <w:r>
        <w:rPr>
          <w:rFonts w:ascii="Book Antiqua"/>
          <w:sz w:val="24"/>
          <w:szCs w:val="24"/>
          <w:rtl w:val="0"/>
          <w:lang w:val="it-IT"/>
        </w:rPr>
        <w:t xml:space="preserve">come ordinato dal provvedimento della presidenza della regione Lazio del 31 dicembre 2010 </w:t>
      </w:r>
      <w:r>
        <w:rPr>
          <w:rFonts w:hAnsi="Book Antiqua" w:hint="default"/>
          <w:sz w:val="24"/>
          <w:szCs w:val="24"/>
          <w:rtl w:val="0"/>
          <w:lang w:val="it-IT"/>
        </w:rPr>
        <w:t xml:space="preserve">– </w:t>
      </w:r>
      <w:r>
        <w:rPr>
          <w:rFonts w:ascii="Book Antiqua"/>
          <w:sz w:val="24"/>
          <w:szCs w:val="24"/>
          <w:rtl w:val="0"/>
          <w:lang w:val="it-IT"/>
        </w:rPr>
        <w:t>sia stata comunque la Co.La.Ri a realizzarne uno a Rocca Cencia senza che l</w:t>
      </w:r>
      <w:r>
        <w:rPr>
          <w:rFonts w:hAnsi="Book Antiqua" w:hint="default"/>
          <w:sz w:val="24"/>
          <w:szCs w:val="24"/>
          <w:rtl w:val="0"/>
          <w:lang w:val="it-IT"/>
        </w:rPr>
        <w:t>’</w:t>
      </w:r>
      <w:r>
        <w:rPr>
          <w:rFonts w:ascii="Book Antiqua"/>
          <w:sz w:val="24"/>
          <w:szCs w:val="24"/>
          <w:rtl w:val="0"/>
          <w:lang w:val="it-IT"/>
        </w:rPr>
        <w:t xml:space="preserve">AMA facesse nulla per conseguire un suo progetto. </w:t>
      </w:r>
    </w:p>
    <w:p>
      <w:pPr>
        <w:pStyle w:val="Elenco a colori - Colore 11"/>
        <w:spacing w:after="0" w:line="240" w:lineRule="auto"/>
        <w:ind w:left="567" w:right="567" w:firstLine="0"/>
        <w:jc w:val="both"/>
        <w:rPr>
          <w:rFonts w:ascii="Book Antiqua" w:cs="Book Antiqua" w:hAnsi="Book Antiqua" w:eastAsia="Book Antiqua"/>
          <w:sz w:val="24"/>
          <w:szCs w:val="24"/>
        </w:rPr>
      </w:pPr>
      <w:r>
        <w:rPr>
          <w:rFonts w:ascii="Book Antiqua"/>
          <w:sz w:val="24"/>
          <w:szCs w:val="24"/>
          <w:rtl w:val="0"/>
          <w:lang w:val="it-IT"/>
        </w:rPr>
        <w:t xml:space="preserve">La destinazione finale dei prodotti di lavorazione del tritovagliatore, come si </w:t>
      </w:r>
      <w:r>
        <w:rPr>
          <w:rFonts w:hAnsi="Book Antiqua" w:hint="default"/>
          <w:sz w:val="24"/>
          <w:szCs w:val="24"/>
          <w:rtl w:val="0"/>
          <w:lang w:val="it-IT"/>
        </w:rPr>
        <w:t xml:space="preserve">è </w:t>
      </w:r>
      <w:r>
        <w:rPr>
          <w:rFonts w:ascii="Book Antiqua"/>
          <w:sz w:val="24"/>
          <w:szCs w:val="24"/>
          <w:rtl w:val="0"/>
          <w:lang w:val="it-IT"/>
        </w:rPr>
        <w:t>gi</w:t>
      </w:r>
      <w:r>
        <w:rPr>
          <w:rFonts w:hAnsi="Book Antiqua" w:hint="default"/>
          <w:sz w:val="24"/>
          <w:szCs w:val="24"/>
          <w:rtl w:val="0"/>
          <w:lang w:val="it-IT"/>
        </w:rPr>
        <w:t xml:space="preserve">à </w:t>
      </w:r>
      <w:r>
        <w:rPr>
          <w:rFonts w:ascii="Book Antiqua"/>
          <w:sz w:val="24"/>
          <w:szCs w:val="24"/>
          <w:rtl w:val="0"/>
          <w:lang w:val="it-IT"/>
        </w:rPr>
        <w:t>detto in precedenza, ha un suo ruolo strategico, soprattutto per quelli che vengono allontanati dal Lazio. In data 2 aprile 2013 Co.La.Ri. comunica la lista degli impianti a cui saranno destinati il sopravaglio "frazione secca", il sottovaglio "frazione umida biodegradabile", nonch</w:t>
      </w:r>
      <w:r>
        <w:rPr>
          <w:rFonts w:hAnsi="Book Antiqua" w:hint="default"/>
          <w:sz w:val="24"/>
          <w:szCs w:val="24"/>
          <w:rtl w:val="0"/>
          <w:lang w:val="it-IT"/>
        </w:rPr>
        <w:t xml:space="preserve">é </w:t>
      </w:r>
      <w:r>
        <w:rPr>
          <w:rFonts w:ascii="Book Antiqua"/>
          <w:sz w:val="24"/>
          <w:szCs w:val="24"/>
          <w:rtl w:val="0"/>
          <w:lang w:val="it-IT"/>
        </w:rPr>
        <w:t xml:space="preserve">la frazione metallica derivante dalla lavorazione al tritovagliatore. Inoltre fa presente che gli scarti di lavorazione derivanti dagli impianti regionali verranno conferiti alla discarica di Malagrotta, mentre quelli derivanti dagli impianti fuori regione saranno smaltiti dagli operatori ai quali viene conferito il materiale. </w:t>
      </w:r>
    </w:p>
    <w:p>
      <w:pPr>
        <w:pStyle w:val="Elenco a colori - Colore 11"/>
        <w:spacing w:after="0" w:line="240" w:lineRule="auto"/>
        <w:ind w:left="567" w:right="567" w:firstLine="0"/>
        <w:jc w:val="both"/>
        <w:rPr>
          <w:rFonts w:ascii="Book Antiqua" w:cs="Book Antiqua" w:hAnsi="Book Antiqua" w:eastAsia="Book Antiqua"/>
          <w:sz w:val="24"/>
          <w:szCs w:val="24"/>
        </w:rPr>
      </w:pPr>
    </w:p>
    <w:p>
      <w:pPr>
        <w:pStyle w:val="Elenco a colori - Colore 11"/>
        <w:spacing w:after="0" w:line="240" w:lineRule="auto"/>
        <w:ind w:left="567" w:right="567" w:firstLine="0"/>
        <w:jc w:val="both"/>
        <w:rPr>
          <w:rFonts w:ascii="Book Antiqua" w:cs="Book Antiqua" w:hAnsi="Book Antiqua" w:eastAsia="Book Antiqua"/>
          <w:sz w:val="24"/>
          <w:szCs w:val="24"/>
        </w:rPr>
      </w:pPr>
    </w:p>
    <w:p>
      <w:pPr>
        <w:pStyle w:val="Elenco a colori - Colore 11"/>
        <w:spacing w:after="0" w:line="240" w:lineRule="auto"/>
        <w:ind w:left="567" w:right="567" w:firstLine="0"/>
        <w:jc w:val="both"/>
        <w:rPr>
          <w:rFonts w:ascii="Book Antiqua" w:cs="Book Antiqua" w:hAnsi="Book Antiqua" w:eastAsia="Book Antiqua"/>
          <w:sz w:val="28"/>
          <w:szCs w:val="28"/>
        </w:rPr>
      </w:pPr>
      <w:r>
        <w:rPr>
          <w:rFonts w:ascii="Book Antiqua"/>
          <w:sz w:val="28"/>
          <w:szCs w:val="28"/>
          <w:rtl w:val="0"/>
          <w:lang w:val="it-IT"/>
        </w:rPr>
        <w:t>2.2.2.10 Le controversie</w:t>
      </w:r>
    </w:p>
    <w:p>
      <w:pPr>
        <w:pStyle w:val="Elenco a colori - Colore 11"/>
        <w:spacing w:after="0" w:line="240" w:lineRule="auto"/>
        <w:ind w:left="567" w:right="567" w:firstLine="0"/>
        <w:jc w:val="both"/>
        <w:rPr>
          <w:rFonts w:ascii="Book Antiqua" w:cs="Book Antiqua" w:hAnsi="Book Antiqua" w:eastAsia="Book Antiqua"/>
          <w:sz w:val="24"/>
          <w:szCs w:val="24"/>
        </w:rPr>
      </w:pPr>
    </w:p>
    <w:p>
      <w:pPr>
        <w:pStyle w:val="Elenco a colori - Colore 11"/>
        <w:spacing w:after="0" w:line="240" w:lineRule="auto"/>
        <w:ind w:left="567" w:right="567" w:firstLine="0"/>
        <w:jc w:val="both"/>
        <w:rPr>
          <w:rFonts w:ascii="Book Antiqua" w:cs="Book Antiqua" w:hAnsi="Book Antiqua" w:eastAsia="Book Antiqua"/>
          <w:sz w:val="24"/>
          <w:szCs w:val="24"/>
        </w:rPr>
      </w:pPr>
      <w:r>
        <w:rPr>
          <w:rFonts w:ascii="Book Antiqua"/>
          <w:sz w:val="24"/>
          <w:szCs w:val="24"/>
          <w:rtl w:val="0"/>
          <w:lang w:val="it-IT"/>
        </w:rPr>
        <w:t>Veniamo ora alle questioni controverse riguardanti la definizione del corrispettivo del trattamento, la quantit</w:t>
      </w:r>
      <w:r>
        <w:rPr>
          <w:rFonts w:hAnsi="Book Antiqua" w:hint="default"/>
          <w:sz w:val="24"/>
          <w:szCs w:val="24"/>
          <w:rtl w:val="0"/>
          <w:lang w:val="it-IT"/>
        </w:rPr>
        <w:t xml:space="preserve">à </w:t>
      </w:r>
      <w:r>
        <w:rPr>
          <w:rFonts w:ascii="Book Antiqua"/>
          <w:sz w:val="24"/>
          <w:szCs w:val="24"/>
          <w:rtl w:val="0"/>
          <w:lang w:val="it-IT"/>
        </w:rPr>
        <w:t xml:space="preserve">di rifiuto da conferire quotidianamente e la durata del rapporto AMA-Co.La.Ri per il tritovagliatore di Rocca Cencia. </w:t>
      </w:r>
    </w:p>
    <w:p>
      <w:pPr>
        <w:pStyle w:val="Elenco a colori - Colore 11"/>
        <w:spacing w:after="0" w:line="240" w:lineRule="auto"/>
        <w:ind w:left="567" w:right="567" w:firstLine="0"/>
        <w:jc w:val="both"/>
        <w:rPr>
          <w:rFonts w:ascii="Book Antiqua" w:cs="Book Antiqua" w:hAnsi="Book Antiqua" w:eastAsia="Book Antiqua"/>
          <w:sz w:val="24"/>
          <w:szCs w:val="24"/>
        </w:rPr>
      </w:pPr>
      <w:r>
        <w:rPr>
          <w:rFonts w:ascii="Book Antiqua"/>
          <w:sz w:val="24"/>
          <w:szCs w:val="24"/>
          <w:rtl w:val="0"/>
          <w:lang w:val="it-IT"/>
        </w:rPr>
        <w:t>Con nota del 29 marzo 2013</w:t>
      </w:r>
      <w:r>
        <w:rPr>
          <w:rFonts w:ascii="Book Antiqua" w:cs="Book Antiqua" w:hAnsi="Book Antiqua" w:eastAsia="Book Antiqua"/>
          <w:sz w:val="24"/>
          <w:szCs w:val="24"/>
          <w:vertAlign w:val="superscript"/>
          <w:rtl w:val="0"/>
        </w:rPr>
        <w:footnoteReference w:id="59"/>
      </w:r>
      <w:r>
        <w:rPr>
          <w:rFonts w:ascii="Book Antiqua"/>
          <w:sz w:val="24"/>
          <w:szCs w:val="24"/>
          <w:rtl w:val="0"/>
          <w:lang w:val="it-IT"/>
        </w:rPr>
        <w:t>, Co.La.Ri. chiese di formalizzare il rapporto negoziale con AMA. Per quanto riguarda la determinazione della tariffa da adottare, AMA aveva gi</w:t>
      </w:r>
      <w:r>
        <w:rPr>
          <w:rFonts w:hAnsi="Book Antiqua" w:hint="default"/>
          <w:sz w:val="24"/>
          <w:szCs w:val="24"/>
          <w:rtl w:val="0"/>
          <w:lang w:val="it-IT"/>
        </w:rPr>
        <w:t xml:space="preserve">à </w:t>
      </w:r>
      <w:r>
        <w:rPr>
          <w:rFonts w:ascii="Book Antiqua"/>
          <w:sz w:val="24"/>
          <w:szCs w:val="24"/>
          <w:rtl w:val="0"/>
          <w:lang w:val="it-IT"/>
        </w:rPr>
        <w:t xml:space="preserve">trasmesso specifica istanza di fissazione alla regione, al commissario Sottile ed al Ministro. L'azienda pubblica, in breve, voleva evitare di dover negoziare il corrispettivo direttamente con il Consorzio. </w:t>
      </w:r>
    </w:p>
    <w:p>
      <w:pPr>
        <w:pStyle w:val="Elenco a colori - Colore 11"/>
        <w:spacing w:after="0" w:line="240" w:lineRule="auto"/>
        <w:ind w:left="567" w:right="567" w:firstLine="0"/>
        <w:jc w:val="both"/>
        <w:rPr>
          <w:rFonts w:ascii="Book Antiqua" w:cs="Book Antiqua" w:hAnsi="Book Antiqua" w:eastAsia="Book Antiqua"/>
          <w:sz w:val="24"/>
          <w:szCs w:val="24"/>
        </w:rPr>
      </w:pPr>
      <w:r>
        <w:rPr>
          <w:rFonts w:ascii="Book Antiqua"/>
          <w:sz w:val="24"/>
          <w:szCs w:val="24"/>
          <w:rtl w:val="0"/>
          <w:lang w:val="it-IT"/>
        </w:rPr>
        <w:t>Per quanto riguardava la durata e la quantit</w:t>
      </w:r>
      <w:r>
        <w:rPr>
          <w:rFonts w:hAnsi="Book Antiqua" w:hint="default"/>
          <w:sz w:val="24"/>
          <w:szCs w:val="24"/>
          <w:rtl w:val="0"/>
          <w:lang w:val="it-IT"/>
        </w:rPr>
        <w:t xml:space="preserve">à </w:t>
      </w:r>
      <w:r>
        <w:rPr>
          <w:rFonts w:ascii="Book Antiqua"/>
          <w:sz w:val="24"/>
          <w:szCs w:val="24"/>
          <w:rtl w:val="0"/>
          <w:lang w:val="it-IT"/>
        </w:rPr>
        <w:t>di rifiuto si trattava di due parametri strettamente correlati, naturalmente. E Co.La.Ri. chiedeva un contratto di durata minima triennale. Dalle analisi tecniche svolte dalle apposite strutture aziendali emerse che al massimo AMA poteva vincolarsi fino al primo semestre del 2015 secondo, tra l'altro, una curva di conferimento discendente. Sotto questo punto di vista vennero proposte al Consorzio delle clausole che dovevano consentire ad AMA di diminuire tale quantit</w:t>
      </w:r>
      <w:r>
        <w:rPr>
          <w:rFonts w:hAnsi="Book Antiqua" w:hint="default"/>
          <w:sz w:val="24"/>
          <w:szCs w:val="24"/>
          <w:rtl w:val="0"/>
          <w:lang w:val="it-IT"/>
        </w:rPr>
        <w:t xml:space="preserve">à </w:t>
      </w:r>
      <w:r>
        <w:rPr>
          <w:rFonts w:ascii="Book Antiqua"/>
          <w:sz w:val="24"/>
          <w:szCs w:val="24"/>
          <w:rtl w:val="0"/>
          <w:lang w:val="it-IT"/>
        </w:rPr>
        <w:t>compatibilmente con gli obiettivi di aumento della raccolta differenziata.</w:t>
      </w:r>
    </w:p>
    <w:p>
      <w:pPr>
        <w:pStyle w:val="Elenco a colori - Colore 11"/>
        <w:spacing w:after="0" w:line="240" w:lineRule="auto"/>
        <w:ind w:left="567" w:right="567" w:firstLine="0"/>
        <w:jc w:val="both"/>
        <w:rPr>
          <w:rFonts w:ascii="Book Antiqua" w:cs="Book Antiqua" w:hAnsi="Book Antiqua" w:eastAsia="Book Antiqua"/>
          <w:sz w:val="24"/>
          <w:szCs w:val="24"/>
        </w:rPr>
      </w:pPr>
      <w:r>
        <w:rPr>
          <w:rFonts w:ascii="Book Antiqua"/>
          <w:sz w:val="24"/>
          <w:szCs w:val="24"/>
          <w:rtl w:val="0"/>
          <w:lang w:val="it-IT"/>
        </w:rPr>
        <w:t>L</w:t>
      </w:r>
      <w:r>
        <w:rPr>
          <w:rFonts w:hAnsi="Book Antiqua" w:hint="default"/>
          <w:sz w:val="24"/>
          <w:szCs w:val="24"/>
          <w:rtl w:val="0"/>
          <w:lang w:val="it-IT"/>
        </w:rPr>
        <w:t>’</w:t>
      </w:r>
      <w:r>
        <w:rPr>
          <w:rFonts w:ascii="Book Antiqua"/>
          <w:sz w:val="24"/>
          <w:szCs w:val="24"/>
          <w:rtl w:val="0"/>
          <w:lang w:val="it-IT"/>
        </w:rPr>
        <w:t>AMA con una lettera dell</w:t>
      </w:r>
      <w:r>
        <w:rPr>
          <w:rFonts w:hAnsi="Book Antiqua" w:hint="default"/>
          <w:sz w:val="24"/>
          <w:szCs w:val="24"/>
          <w:rtl w:val="0"/>
          <w:lang w:val="it-IT"/>
        </w:rPr>
        <w:t>’</w:t>
      </w:r>
      <w:r>
        <w:rPr>
          <w:rFonts w:ascii="Book Antiqua"/>
          <w:sz w:val="24"/>
          <w:szCs w:val="24"/>
          <w:rtl w:val="0"/>
          <w:lang w:val="it-IT"/>
        </w:rPr>
        <w:t xml:space="preserve">11 aprile 2013, tra le altre cose comunica a Co.La.Ri.: </w:t>
      </w:r>
      <w:r>
        <w:rPr>
          <w:rFonts w:hAnsi="Book Antiqua" w:hint="default"/>
          <w:sz w:val="24"/>
          <w:szCs w:val="24"/>
          <w:rtl w:val="0"/>
          <w:lang w:val="it-IT"/>
        </w:rPr>
        <w:t>“</w:t>
      </w:r>
      <w:r>
        <w:rPr>
          <w:rFonts w:ascii="Book Antiqua"/>
          <w:sz w:val="24"/>
          <w:szCs w:val="24"/>
          <w:rtl w:val="0"/>
          <w:lang w:val="it-IT"/>
        </w:rPr>
        <w:t>Non appena verr</w:t>
      </w:r>
      <w:r>
        <w:rPr>
          <w:rFonts w:hAnsi="Book Antiqua" w:hint="default"/>
          <w:sz w:val="24"/>
          <w:szCs w:val="24"/>
          <w:rtl w:val="0"/>
          <w:lang w:val="it-IT"/>
        </w:rPr>
        <w:t xml:space="preserve">à </w:t>
      </w:r>
      <w:r>
        <w:rPr>
          <w:rFonts w:ascii="Book Antiqua"/>
          <w:sz w:val="24"/>
          <w:szCs w:val="24"/>
          <w:rtl w:val="0"/>
          <w:lang w:val="it-IT"/>
        </w:rPr>
        <w:t>comunicata da Co.La.Ri. la data di inizio dell'effettiva operativit</w:t>
      </w:r>
      <w:r>
        <w:rPr>
          <w:rFonts w:hAnsi="Book Antiqua" w:hint="default"/>
          <w:sz w:val="24"/>
          <w:szCs w:val="24"/>
          <w:rtl w:val="0"/>
          <w:lang w:val="it-IT"/>
        </w:rPr>
        <w:t xml:space="preserve">à </w:t>
      </w:r>
      <w:r>
        <w:rPr>
          <w:rFonts w:ascii="Book Antiqua"/>
          <w:sz w:val="24"/>
          <w:szCs w:val="24"/>
          <w:rtl w:val="0"/>
          <w:lang w:val="it-IT"/>
        </w:rPr>
        <w:t>dell'Impianto di Tritovagliatura, AMA conferir</w:t>
      </w:r>
      <w:r>
        <w:rPr>
          <w:rFonts w:hAnsi="Book Antiqua" w:hint="default"/>
          <w:sz w:val="24"/>
          <w:szCs w:val="24"/>
          <w:rtl w:val="0"/>
          <w:lang w:val="it-IT"/>
        </w:rPr>
        <w:t xml:space="preserve">à </w:t>
      </w:r>
      <w:r>
        <w:rPr>
          <w:rFonts w:ascii="Book Antiqua"/>
          <w:sz w:val="24"/>
          <w:szCs w:val="24"/>
          <w:rtl w:val="0"/>
          <w:lang w:val="it-IT"/>
        </w:rPr>
        <w:t>presso detto Impianto la quota parte dei rifiuti urbani indifferenziati prodotti nel territorio di Roma Capitale eccedente rispetto alle capacit</w:t>
      </w:r>
      <w:r>
        <w:rPr>
          <w:rFonts w:hAnsi="Book Antiqua" w:hint="default"/>
          <w:sz w:val="24"/>
          <w:szCs w:val="24"/>
          <w:rtl w:val="0"/>
          <w:lang w:val="it-IT"/>
        </w:rPr>
        <w:t xml:space="preserve">à </w:t>
      </w:r>
      <w:r>
        <w:rPr>
          <w:rFonts w:ascii="Book Antiqua"/>
          <w:sz w:val="24"/>
          <w:szCs w:val="24"/>
          <w:rtl w:val="0"/>
          <w:lang w:val="it-IT"/>
        </w:rPr>
        <w:t xml:space="preserve">degli impianti di trattamento meccanico biologico attualmente esistenti, fino ad un massimo di 1.000 </w:t>
      </w:r>
      <w:r>
        <w:rPr>
          <w:rFonts w:hAnsi="Book Antiqua" w:hint="default"/>
          <w:sz w:val="24"/>
          <w:szCs w:val="24"/>
          <w:rtl w:val="0"/>
          <w:lang w:val="it-IT"/>
        </w:rPr>
        <w:t xml:space="preserve">– </w:t>
      </w:r>
      <w:r>
        <w:rPr>
          <w:rFonts w:ascii="Book Antiqua"/>
          <w:sz w:val="24"/>
          <w:szCs w:val="24"/>
          <w:rtl w:val="0"/>
          <w:lang w:val="it-IT"/>
        </w:rPr>
        <w:t>1.200 ton/giorno. Il trattamento presso l'Impianto di Tritovagliatura dei rifiuti urbani indifferenziati conferiti da AMA (di seguito "Servizio") sar</w:t>
      </w:r>
      <w:r>
        <w:rPr>
          <w:rFonts w:hAnsi="Book Antiqua" w:hint="default"/>
          <w:sz w:val="24"/>
          <w:szCs w:val="24"/>
          <w:rtl w:val="0"/>
          <w:lang w:val="it-IT"/>
        </w:rPr>
        <w:t xml:space="preserve">à </w:t>
      </w:r>
      <w:r>
        <w:rPr>
          <w:rFonts w:ascii="Book Antiqua"/>
          <w:sz w:val="24"/>
          <w:szCs w:val="24"/>
          <w:rtl w:val="0"/>
          <w:lang w:val="it-IT"/>
        </w:rPr>
        <w:t>effettuato da Co.La.Ri. in conformit</w:t>
      </w:r>
      <w:r>
        <w:rPr>
          <w:rFonts w:hAnsi="Book Antiqua" w:hint="default"/>
          <w:sz w:val="24"/>
          <w:szCs w:val="24"/>
          <w:rtl w:val="0"/>
          <w:lang w:val="it-IT"/>
        </w:rPr>
        <w:t xml:space="preserve">à </w:t>
      </w:r>
      <w:r>
        <w:rPr>
          <w:rFonts w:ascii="Book Antiqua"/>
          <w:sz w:val="24"/>
          <w:szCs w:val="24"/>
          <w:rtl w:val="0"/>
          <w:lang w:val="it-IT"/>
        </w:rPr>
        <w:t>con l'autorizzazione della provincia di Roma di cui all'oggetto e con le menzionate disposizioni del commissario. In tale primo periodo di conferimento, AMA riconoscer</w:t>
      </w:r>
      <w:r>
        <w:rPr>
          <w:rFonts w:hAnsi="Book Antiqua" w:hint="default"/>
          <w:sz w:val="24"/>
          <w:szCs w:val="24"/>
          <w:rtl w:val="0"/>
          <w:lang w:val="it-IT"/>
        </w:rPr>
        <w:t xml:space="preserve">à </w:t>
      </w:r>
      <w:r>
        <w:rPr>
          <w:rFonts w:ascii="Book Antiqua"/>
          <w:sz w:val="24"/>
          <w:szCs w:val="24"/>
          <w:rtl w:val="0"/>
          <w:lang w:val="it-IT"/>
        </w:rPr>
        <w:t>al Co.La.Ri., in via provvisoria e salvo conguaglio, la tariffa relativa agli Impianti di TMB denominati "Malagrotta 1" e "Malagrotta 2", come stabilita dalla regione Lazio cori Determinazione n. B7190 del 20 settembre 2011. Nel corso di detto periodo verranno definite le condizioni del contratto che regoler</w:t>
      </w:r>
      <w:r>
        <w:rPr>
          <w:rFonts w:hAnsi="Book Antiqua" w:hint="default"/>
          <w:sz w:val="24"/>
          <w:szCs w:val="24"/>
          <w:rtl w:val="0"/>
          <w:lang w:val="it-IT"/>
        </w:rPr>
        <w:t xml:space="preserve">à </w:t>
      </w:r>
      <w:r>
        <w:rPr>
          <w:rFonts w:ascii="Book Antiqua"/>
          <w:sz w:val="24"/>
          <w:szCs w:val="24"/>
          <w:rtl w:val="0"/>
          <w:lang w:val="it-IT"/>
        </w:rPr>
        <w:t>la prosecuzione del Servizio e, in particolare: 1) la tariffa definitiva dovuta da AMA per l'erogazione del Servizio, sulla base dei costi effettivi che verranno rendicontati da Co.La.Ri. con apposita relazione, verr</w:t>
      </w:r>
      <w:r>
        <w:rPr>
          <w:rFonts w:hAnsi="Book Antiqua" w:hint="default"/>
          <w:sz w:val="24"/>
          <w:szCs w:val="24"/>
          <w:rtl w:val="0"/>
          <w:lang w:val="it-IT"/>
        </w:rPr>
        <w:t xml:space="preserve">à </w:t>
      </w:r>
      <w:r>
        <w:rPr>
          <w:rFonts w:ascii="Book Antiqua"/>
          <w:sz w:val="24"/>
          <w:szCs w:val="24"/>
          <w:rtl w:val="0"/>
          <w:lang w:val="it-IT"/>
        </w:rPr>
        <w:t>determinata dalla regione Lazio ovvero, in difetto, con le diverse modalit</w:t>
      </w:r>
      <w:r>
        <w:rPr>
          <w:rFonts w:hAnsi="Book Antiqua" w:hint="default"/>
          <w:sz w:val="24"/>
          <w:szCs w:val="24"/>
          <w:rtl w:val="0"/>
          <w:lang w:val="it-IT"/>
        </w:rPr>
        <w:t xml:space="preserve">à </w:t>
      </w:r>
      <w:r>
        <w:rPr>
          <w:rFonts w:ascii="Book Antiqua"/>
          <w:sz w:val="24"/>
          <w:szCs w:val="24"/>
          <w:rtl w:val="0"/>
          <w:lang w:val="it-IT"/>
        </w:rPr>
        <w:t>che verranno d'intesa individuate; 2) le parti definiranno, in buona fede e comunque nel rispetto dei principi e delle norme di cui al decreto legislativo n. 163/2006, tutte le clausole e condizioni del contratto avente ad oggetto il Servizio, di cui si riportano di seguito gli elementi principali: a) il contratto avr</w:t>
      </w:r>
      <w:r>
        <w:rPr>
          <w:rFonts w:hAnsi="Book Antiqua" w:hint="default"/>
          <w:sz w:val="24"/>
          <w:szCs w:val="24"/>
          <w:rtl w:val="0"/>
          <w:lang w:val="it-IT"/>
        </w:rPr>
        <w:t xml:space="preserve">à </w:t>
      </w:r>
      <w:r>
        <w:rPr>
          <w:rFonts w:ascii="Book Antiqua"/>
          <w:sz w:val="24"/>
          <w:szCs w:val="24"/>
          <w:rtl w:val="0"/>
          <w:lang w:val="it-IT"/>
        </w:rPr>
        <w:t>durata massima fino al primo semestre del 2015, salva espressa proroga per iscritto dello stesso e con esclusione di qualsivoglia tacito rinnovo; b) AMA conferir</w:t>
      </w:r>
      <w:r>
        <w:rPr>
          <w:rFonts w:hAnsi="Book Antiqua" w:hint="default"/>
          <w:sz w:val="24"/>
          <w:szCs w:val="24"/>
          <w:rtl w:val="0"/>
          <w:lang w:val="it-IT"/>
        </w:rPr>
        <w:t xml:space="preserve">à </w:t>
      </w:r>
      <w:r>
        <w:rPr>
          <w:rFonts w:ascii="Book Antiqua"/>
          <w:sz w:val="24"/>
          <w:szCs w:val="24"/>
          <w:rtl w:val="0"/>
          <w:lang w:val="it-IT"/>
        </w:rPr>
        <w:t>presso l'Impianto di tritovagliatura un quantitativo massimo di rifiuti di 1.000 - 1.200 ton/giorno, variabile in base: (i) alle quantit</w:t>
      </w:r>
      <w:r>
        <w:rPr>
          <w:rFonts w:hAnsi="Book Antiqua" w:hint="default"/>
          <w:sz w:val="24"/>
          <w:szCs w:val="24"/>
          <w:rtl w:val="0"/>
          <w:lang w:val="it-IT"/>
        </w:rPr>
        <w:t xml:space="preserve">à </w:t>
      </w:r>
      <w:r>
        <w:rPr>
          <w:rFonts w:ascii="Book Antiqua"/>
          <w:sz w:val="24"/>
          <w:szCs w:val="24"/>
          <w:rtl w:val="0"/>
          <w:lang w:val="it-IT"/>
        </w:rPr>
        <w:t>di rifiuti prodotti nel territorio di Roma Capitale, (ii) all'andamento della raccolta differenziata, (iii) all'andamento del trattamento di detti rifiuti presso impianti di Trattamento Meccanico Biologico.</w:t>
      </w:r>
    </w:p>
    <w:p>
      <w:pPr>
        <w:pStyle w:val="Elenco a colori - Colore 11"/>
        <w:spacing w:after="0" w:line="240" w:lineRule="auto"/>
        <w:ind w:left="567" w:right="567" w:firstLine="0"/>
        <w:jc w:val="both"/>
        <w:rPr>
          <w:rFonts w:ascii="Book Antiqua" w:cs="Book Antiqua" w:hAnsi="Book Antiqua" w:eastAsia="Book Antiqua"/>
          <w:sz w:val="24"/>
          <w:szCs w:val="24"/>
        </w:rPr>
      </w:pPr>
      <w:r>
        <w:rPr>
          <w:rFonts w:ascii="Book Antiqua"/>
          <w:sz w:val="24"/>
          <w:szCs w:val="24"/>
          <w:rtl w:val="0"/>
          <w:lang w:val="it-IT"/>
        </w:rPr>
        <w:t>Il Co.La.Ri, in data 29 aprile 2013, invia una lettera all</w:t>
      </w:r>
      <w:r>
        <w:rPr>
          <w:rFonts w:hAnsi="Book Antiqua" w:hint="default"/>
          <w:sz w:val="24"/>
          <w:szCs w:val="24"/>
          <w:rtl w:val="0"/>
          <w:lang w:val="it-IT"/>
        </w:rPr>
        <w:t>’</w:t>
      </w:r>
      <w:r>
        <w:rPr>
          <w:rFonts w:ascii="Book Antiqua"/>
          <w:sz w:val="24"/>
          <w:szCs w:val="24"/>
          <w:rtl w:val="0"/>
          <w:lang w:val="it-IT"/>
        </w:rPr>
        <w:t>AMA S.p.A, dove, tra l</w:t>
      </w:r>
      <w:r>
        <w:rPr>
          <w:rFonts w:hAnsi="Book Antiqua" w:hint="default"/>
          <w:sz w:val="24"/>
          <w:szCs w:val="24"/>
          <w:rtl w:val="0"/>
          <w:lang w:val="it-IT"/>
        </w:rPr>
        <w:t>’</w:t>
      </w:r>
      <w:r>
        <w:rPr>
          <w:rFonts w:ascii="Book Antiqua"/>
          <w:sz w:val="24"/>
          <w:szCs w:val="24"/>
          <w:rtl w:val="0"/>
          <w:lang w:val="it-IT"/>
        </w:rPr>
        <w:t xml:space="preserve">altro, si legge: </w:t>
      </w:r>
      <w:r>
        <w:rPr>
          <w:rFonts w:hAnsi="Book Antiqua" w:hint="default"/>
          <w:sz w:val="24"/>
          <w:szCs w:val="24"/>
          <w:rtl w:val="0"/>
          <w:lang w:val="it-IT"/>
        </w:rPr>
        <w:t>“</w:t>
      </w:r>
      <w:r>
        <w:rPr>
          <w:rFonts w:ascii="Book Antiqua"/>
          <w:sz w:val="24"/>
          <w:szCs w:val="24"/>
          <w:rtl w:val="0"/>
          <w:lang w:val="it-IT"/>
        </w:rPr>
        <w:t>Con riferimento alla corrispondenza e ai colloqui intercorsi (ultimo dei quali marted</w:t>
      </w:r>
      <w:r>
        <w:rPr>
          <w:rFonts w:hAnsi="Book Antiqua" w:hint="default"/>
          <w:sz w:val="24"/>
          <w:szCs w:val="24"/>
          <w:rtl w:val="0"/>
          <w:lang w:val="it-IT"/>
        </w:rPr>
        <w:t xml:space="preserve">ì </w:t>
      </w:r>
      <w:r>
        <w:rPr>
          <w:rFonts w:ascii="Book Antiqua"/>
          <w:sz w:val="24"/>
          <w:szCs w:val="24"/>
          <w:rtl w:val="0"/>
          <w:lang w:val="it-IT"/>
        </w:rPr>
        <w:t>scorso con il Presidente e il Direttore Generale) anche alla luce delle esperienze maturate in questi quindici giorni di servizio, siamo a formularvi la proposta sugli elementi essenziali che debbono essere alla base del rapporto che si concretizza nel conferimento alla stazione di trasferenza di Rocca Cencia con annesso impianto di trito vagliatura dei rifiuti indifferenziati per separare la frazione secca e la frazione umida codice CER 191212, da avviare a recupero alle Imprese industriali attrezzate e autorizzate a riceverli e a trattarli quali la HERAmbiente, la Deco e altre (delle quali Vi abbiamo fornito i contratti con quotazioni, condizioni e modalit</w:t>
      </w:r>
      <w:r>
        <w:rPr>
          <w:rFonts w:hAnsi="Book Antiqua" w:hint="default"/>
          <w:sz w:val="24"/>
          <w:szCs w:val="24"/>
          <w:rtl w:val="0"/>
          <w:lang w:val="it-IT"/>
        </w:rPr>
        <w:t xml:space="preserve">à </w:t>
      </w:r>
      <w:r>
        <w:rPr>
          <w:rFonts w:ascii="Book Antiqua"/>
          <w:sz w:val="24"/>
          <w:szCs w:val="24"/>
          <w:rtl w:val="0"/>
          <w:lang w:val="it-IT"/>
        </w:rPr>
        <w:t>di esecuzione). Vi riassumiamo, qui di seguito le condizioni che sono alle base del rapporto contrattuale definitivo da perfezionare e che per intanto consentono di proseguire e dare esecuzione ai servizi in essere: a) Quantit</w:t>
      </w:r>
      <w:r>
        <w:rPr>
          <w:rFonts w:hAnsi="Book Antiqua" w:hint="default"/>
          <w:sz w:val="24"/>
          <w:szCs w:val="24"/>
          <w:rtl w:val="0"/>
          <w:lang w:val="it-IT"/>
        </w:rPr>
        <w:t xml:space="preserve">à </w:t>
      </w:r>
      <w:r>
        <w:rPr>
          <w:rFonts w:ascii="Book Antiqua"/>
          <w:sz w:val="24"/>
          <w:szCs w:val="24"/>
          <w:rtl w:val="0"/>
          <w:lang w:val="it-IT"/>
        </w:rPr>
        <w:t>dei rifiuti da ricevere e trattare 1000 ton/giorno (per complessivi 312.000 ton/anno) con la garanzia di conferimento minimo giornaliero di 700 tonnellate. Il mancato conferimento della quota minima comporter</w:t>
      </w:r>
      <w:r>
        <w:rPr>
          <w:rFonts w:hAnsi="Book Antiqua" w:hint="default"/>
          <w:sz w:val="24"/>
          <w:szCs w:val="24"/>
          <w:rtl w:val="0"/>
          <w:lang w:val="it-IT"/>
        </w:rPr>
        <w:t xml:space="preserve">à </w:t>
      </w:r>
      <w:r>
        <w:rPr>
          <w:rFonts w:ascii="Book Antiqua"/>
          <w:sz w:val="24"/>
          <w:szCs w:val="24"/>
          <w:rtl w:val="0"/>
          <w:lang w:val="it-IT"/>
        </w:rPr>
        <w:t xml:space="preserve">comunque il pagamento dell'80 per cento sul prezzo convenuto con riferimento ai conferimenti omessi; b) Durata del rapporto: il termine </w:t>
      </w:r>
      <w:r>
        <w:rPr>
          <w:rFonts w:hAnsi="Book Antiqua" w:hint="default"/>
          <w:sz w:val="24"/>
          <w:szCs w:val="24"/>
          <w:rtl w:val="0"/>
          <w:lang w:val="it-IT"/>
        </w:rPr>
        <w:t xml:space="preserve">è </w:t>
      </w:r>
      <w:r>
        <w:rPr>
          <w:rFonts w:ascii="Book Antiqua"/>
          <w:sz w:val="24"/>
          <w:szCs w:val="24"/>
          <w:rtl w:val="0"/>
          <w:lang w:val="it-IT"/>
        </w:rPr>
        <w:t xml:space="preserve">fino al 30 settembre 2015; c) Rodaggio e prezzo provvisorio. Per mettere a punto il nuovo processo che </w:t>
      </w:r>
      <w:r>
        <w:rPr>
          <w:rFonts w:hAnsi="Book Antiqua" w:hint="default"/>
          <w:sz w:val="24"/>
          <w:szCs w:val="24"/>
          <w:rtl w:val="0"/>
          <w:lang w:val="it-IT"/>
        </w:rPr>
        <w:t xml:space="preserve">è </w:t>
      </w:r>
      <w:r>
        <w:rPr>
          <w:rFonts w:ascii="Book Antiqua"/>
          <w:sz w:val="24"/>
          <w:szCs w:val="24"/>
          <w:rtl w:val="0"/>
          <w:lang w:val="it-IT"/>
        </w:rPr>
        <w:t xml:space="preserve">chiamato a trattare per recupero 1000 ton/giorno necessita fissare un prezzo provvisorio e un tempo minimo che indichiamo in 175 </w:t>
      </w:r>
      <w:r>
        <w:rPr>
          <w:rFonts w:hAnsi="Book Antiqua" w:hint="default"/>
          <w:sz w:val="24"/>
          <w:szCs w:val="24"/>
          <w:rtl w:val="0"/>
          <w:lang w:val="it-IT"/>
        </w:rPr>
        <w:t>€</w:t>
      </w:r>
      <w:r>
        <w:rPr>
          <w:rFonts w:ascii="Book Antiqua"/>
          <w:sz w:val="24"/>
          <w:szCs w:val="24"/>
          <w:rtl w:val="0"/>
          <w:lang w:val="it-IT"/>
        </w:rPr>
        <w:t>/ton (salvo conguaglio) fino al 30 settembre 2013. Decorso tale termine saremo in grado di fornirvi relazione delle diverse voci di costo in maniera tale da poter concordare i termini di un prezzo definitivo e di procedere ai relativi conguagli</w:t>
      </w:r>
      <w:r>
        <w:rPr>
          <w:rFonts w:hAnsi="Book Antiqua" w:hint="default"/>
          <w:sz w:val="24"/>
          <w:szCs w:val="24"/>
          <w:rtl w:val="0"/>
          <w:lang w:val="it-IT"/>
        </w:rPr>
        <w:t>”</w:t>
      </w:r>
      <w:r>
        <w:rPr>
          <w:rFonts w:ascii="Book Antiqua"/>
          <w:sz w:val="24"/>
          <w:szCs w:val="24"/>
          <w:rtl w:val="0"/>
          <w:lang w:val="it-IT"/>
        </w:rPr>
        <w:t xml:space="preserve">. </w:t>
      </w:r>
    </w:p>
    <w:p>
      <w:pPr>
        <w:pStyle w:val="Elenco a colori - Colore 11"/>
        <w:spacing w:after="0" w:line="240" w:lineRule="auto"/>
        <w:ind w:left="567" w:right="567" w:firstLine="0"/>
        <w:jc w:val="both"/>
        <w:rPr>
          <w:rFonts w:ascii="Book Antiqua" w:cs="Book Antiqua" w:hAnsi="Book Antiqua" w:eastAsia="Book Antiqua"/>
          <w:sz w:val="24"/>
          <w:szCs w:val="24"/>
        </w:rPr>
      </w:pPr>
      <w:r>
        <w:rPr>
          <w:rFonts w:ascii="Book Antiqua"/>
          <w:sz w:val="24"/>
          <w:szCs w:val="24"/>
          <w:rtl w:val="0"/>
          <w:lang w:val="it-IT"/>
        </w:rPr>
        <w:t>Nell</w:t>
      </w:r>
      <w:r>
        <w:rPr>
          <w:rFonts w:hAnsi="Book Antiqua" w:hint="default"/>
          <w:sz w:val="24"/>
          <w:szCs w:val="24"/>
          <w:rtl w:val="0"/>
          <w:lang w:val="it-IT"/>
        </w:rPr>
        <w:t>’</w:t>
      </w:r>
      <w:r>
        <w:rPr>
          <w:rFonts w:ascii="Book Antiqua"/>
          <w:sz w:val="24"/>
          <w:szCs w:val="24"/>
          <w:rtl w:val="0"/>
          <w:lang w:val="it-IT"/>
        </w:rPr>
        <w:t xml:space="preserve">estratto dal verbale delle deliberazioni del consiglio di amministrazione di AMA S.p.A. (seduta dell'8 maggio 2013) si legge: </w:t>
      </w:r>
      <w:r>
        <w:rPr>
          <w:rFonts w:hAnsi="Book Antiqua" w:hint="default"/>
          <w:sz w:val="24"/>
          <w:szCs w:val="24"/>
          <w:rtl w:val="0"/>
          <w:lang w:val="it-IT"/>
        </w:rPr>
        <w:t>“</w:t>
      </w:r>
      <w:r>
        <w:rPr>
          <w:rFonts w:ascii="Book Antiqua"/>
          <w:sz w:val="24"/>
          <w:szCs w:val="24"/>
          <w:rtl w:val="0"/>
          <w:lang w:val="it-IT"/>
        </w:rPr>
        <w:t>Il Presidente Benvenuti pone, quindi, in discussione il 6</w:t>
      </w:r>
      <w:r>
        <w:rPr>
          <w:rFonts w:hAnsi="Book Antiqua" w:hint="default"/>
          <w:sz w:val="24"/>
          <w:szCs w:val="24"/>
          <w:rtl w:val="0"/>
          <w:lang w:val="it-IT"/>
        </w:rPr>
        <w:t xml:space="preserve">° </w:t>
      </w:r>
      <w:r>
        <w:rPr>
          <w:rFonts w:ascii="Book Antiqua"/>
          <w:sz w:val="24"/>
          <w:szCs w:val="24"/>
          <w:rtl w:val="0"/>
          <w:lang w:val="it-IT"/>
        </w:rPr>
        <w:t xml:space="preserve">punto all'ordine del giorno: </w:t>
      </w:r>
      <w:r>
        <w:rPr>
          <w:rFonts w:hAnsi="Book Antiqua" w:hint="default"/>
          <w:sz w:val="24"/>
          <w:szCs w:val="24"/>
          <w:rtl w:val="0"/>
          <w:lang w:val="it-IT"/>
        </w:rPr>
        <w:t>‘</w:t>
      </w:r>
      <w:r>
        <w:rPr>
          <w:rFonts w:ascii="Book Antiqua"/>
          <w:sz w:val="24"/>
          <w:szCs w:val="24"/>
          <w:rtl w:val="0"/>
          <w:lang w:val="it-IT"/>
        </w:rPr>
        <w:t>Contratto AMA/Co.La.Ri.: eventuali deliberazioni</w:t>
      </w:r>
      <w:r>
        <w:rPr>
          <w:rFonts w:hAnsi="Book Antiqua" w:hint="default"/>
          <w:sz w:val="24"/>
          <w:szCs w:val="24"/>
          <w:rtl w:val="0"/>
          <w:lang w:val="it-IT"/>
        </w:rPr>
        <w:t xml:space="preserve">’ </w:t>
      </w:r>
      <w:r>
        <w:rPr>
          <w:rFonts w:ascii="Book Antiqua"/>
          <w:sz w:val="24"/>
          <w:szCs w:val="24"/>
          <w:rtl w:val="0"/>
          <w:lang w:val="it-IT"/>
        </w:rPr>
        <w:t xml:space="preserve">ed invita il Direttore Generale a prendere la parola. L'Ing. Fiscon illustra la nota, distribuita seduta stante ai presenti, che di seguito si trascrive: </w:t>
      </w:r>
      <w:r>
        <w:rPr>
          <w:rFonts w:hAnsi="Book Antiqua" w:hint="default"/>
          <w:sz w:val="24"/>
          <w:szCs w:val="24"/>
          <w:rtl w:val="0"/>
          <w:lang w:val="it-IT"/>
        </w:rPr>
        <w:t>‘</w:t>
      </w:r>
      <w:r>
        <w:rPr>
          <w:rFonts w:ascii="Book Antiqua"/>
          <w:sz w:val="24"/>
          <w:szCs w:val="24"/>
          <w:rtl w:val="0"/>
          <w:lang w:val="it-IT"/>
        </w:rPr>
        <w:t>Affidamento del servizio di tritovagliatura di rifiuti indifferenziati presso l'impianto del Consorzio Laziale Rifiuti - Co.La.Ri. individuato nel Decreto del Ministero dell</w:t>
      </w:r>
      <w:r>
        <w:rPr>
          <w:rFonts w:hAnsi="Book Antiqua" w:hint="default"/>
          <w:sz w:val="24"/>
          <w:szCs w:val="24"/>
          <w:rtl w:val="0"/>
          <w:lang w:val="it-IT"/>
        </w:rPr>
        <w:t>’</w:t>
      </w:r>
      <w:r>
        <w:rPr>
          <w:rFonts w:ascii="Book Antiqua"/>
          <w:sz w:val="24"/>
          <w:szCs w:val="24"/>
          <w:rtl w:val="0"/>
          <w:lang w:val="it-IT"/>
        </w:rPr>
        <w:t>ambiente e della Tutela del Territorio e del Mare del 25 marzo 2013.</w:t>
      </w:r>
      <w:r>
        <w:rPr>
          <w:rFonts w:hAnsi="Book Antiqua" w:hint="default"/>
          <w:sz w:val="24"/>
          <w:szCs w:val="24"/>
          <w:rtl w:val="0"/>
          <w:lang w:val="it-IT"/>
        </w:rPr>
        <w:t xml:space="preserve">’ </w:t>
      </w:r>
      <w:r>
        <w:rPr>
          <w:rFonts w:ascii="Book Antiqua"/>
          <w:sz w:val="24"/>
          <w:szCs w:val="24"/>
          <w:rtl w:val="0"/>
          <w:lang w:val="it-IT"/>
        </w:rPr>
        <w:t>Con riferimento all'affidamento in oggetto si riportano di seguito le informazioni di aggiornamento rispetto alla deliberazione adottata dal Consiglio di Amministrazione nella seduta dell' 11 aprile 2013 in merito alla stipula del relativo contratto. Come noto, la deliberazione del Consiglio di Amministrazione n. 25/2013, dell</w:t>
      </w:r>
      <w:r>
        <w:rPr>
          <w:rFonts w:hAnsi="Book Antiqua" w:hint="default"/>
          <w:sz w:val="24"/>
          <w:szCs w:val="24"/>
          <w:rtl w:val="0"/>
          <w:lang w:val="it-IT"/>
        </w:rPr>
        <w:t>’</w:t>
      </w:r>
      <w:r>
        <w:rPr>
          <w:rFonts w:ascii="Book Antiqua"/>
          <w:sz w:val="24"/>
          <w:szCs w:val="24"/>
          <w:rtl w:val="0"/>
          <w:lang w:val="it-IT"/>
        </w:rPr>
        <w:t xml:space="preserve">11 aprile 2013, </w:t>
      </w:r>
      <w:r>
        <w:rPr>
          <w:rFonts w:hAnsi="Book Antiqua" w:hint="default"/>
          <w:sz w:val="24"/>
          <w:szCs w:val="24"/>
          <w:rtl w:val="0"/>
          <w:lang w:val="it-IT"/>
        </w:rPr>
        <w:t xml:space="preserve">è </w:t>
      </w:r>
      <w:r>
        <w:rPr>
          <w:rFonts w:ascii="Book Antiqua"/>
          <w:sz w:val="24"/>
          <w:szCs w:val="24"/>
          <w:rtl w:val="0"/>
          <w:lang w:val="it-IT"/>
        </w:rPr>
        <w:t>stata adottata anche sulla base dell'informativa resa in merito alla nota (Prot. n. 130-2013/DG, dell</w:t>
      </w:r>
      <w:r>
        <w:rPr>
          <w:rFonts w:hAnsi="Book Antiqua" w:hint="default"/>
          <w:sz w:val="24"/>
          <w:szCs w:val="24"/>
          <w:rtl w:val="0"/>
          <w:lang w:val="it-IT"/>
        </w:rPr>
        <w:t>’</w:t>
      </w:r>
      <w:r>
        <w:rPr>
          <w:rFonts w:ascii="Book Antiqua"/>
          <w:sz w:val="24"/>
          <w:szCs w:val="24"/>
          <w:rtl w:val="0"/>
          <w:lang w:val="it-IT"/>
        </w:rPr>
        <w:t>11 aprile 2013) con cui sono state riscontrate precedenti missive del Co.La.Ri. del 25 e 29 marzo 2013, rappresentando a quest'ultimo - in linea con le esigenze aziendali di AMA S.p.A. e con gli obblighi ed i limiti imposti dalla natura di Organismo di diritto pubblico partecipato da Roma Capitale - le condizioni essenziali tese a regolare il rapporto da instaurare (con lo stesso Co.La.Ri.) in merito al conferimento di rifiuti indifferenziati prodotti nel territorio di Roma Capitale per il loro trattamento presso il Realizzando (da parte del Co.La.Ri.) Impianto di tritovagliatura. Successivamente alla citata deliberazione del Consiglio di Amministrazione n. 25/2013, Co.La.Ri. con pi</w:t>
      </w:r>
      <w:r>
        <w:rPr>
          <w:rFonts w:hAnsi="Book Antiqua" w:hint="default"/>
          <w:sz w:val="24"/>
          <w:szCs w:val="24"/>
          <w:rtl w:val="0"/>
          <w:lang w:val="it-IT"/>
        </w:rPr>
        <w:t xml:space="preserve">ù </w:t>
      </w:r>
      <w:r>
        <w:rPr>
          <w:rFonts w:ascii="Book Antiqua"/>
          <w:sz w:val="24"/>
          <w:szCs w:val="24"/>
          <w:rtl w:val="0"/>
          <w:lang w:val="it-IT"/>
        </w:rPr>
        <w:t>comunicazioni (in particolare con le note del 29 aprile 2013, Prot. n. 124 e del 2 maggio 2013, Prot. n. 127 che si allegano), pur senza espressamente richiamare le condizioni contrattuali prospettate da AMA S.p.A. nella sua citata del'11 aprile 2013, ha manifestato l'intenzione di non accettarle e ha, invece, chiesto il benestare di AMA S.p.A. sulle condizioni da esso Co.La.Ri. illustrate nella menzionata sua del 29 aprile 2013. Al fine di giungere nel pi</w:t>
      </w:r>
      <w:r>
        <w:rPr>
          <w:rFonts w:hAnsi="Book Antiqua" w:hint="default"/>
          <w:sz w:val="24"/>
          <w:szCs w:val="24"/>
          <w:rtl w:val="0"/>
          <w:lang w:val="it-IT"/>
        </w:rPr>
        <w:t xml:space="preserve">ù </w:t>
      </w:r>
      <w:r>
        <w:rPr>
          <w:rFonts w:ascii="Book Antiqua"/>
          <w:sz w:val="24"/>
          <w:szCs w:val="24"/>
          <w:rtl w:val="0"/>
          <w:lang w:val="it-IT"/>
        </w:rPr>
        <w:t>breve tempo possibile alla definizione delle condizioni del menzionato rapporto negoziale, tenuto conto delle ragioni di urgenza connesse alla situazione emergenziale in cui versa la gestione dei rifiuti della provincia di Roma, si ritiene utile accogliere, ancorch</w:t>
      </w:r>
      <w:r>
        <w:rPr>
          <w:rFonts w:hAnsi="Book Antiqua" w:hint="default"/>
          <w:sz w:val="24"/>
          <w:szCs w:val="24"/>
          <w:rtl w:val="0"/>
          <w:lang w:val="it-IT"/>
        </w:rPr>
        <w:t xml:space="preserve">é </w:t>
      </w:r>
      <w:r>
        <w:rPr>
          <w:rFonts w:ascii="Book Antiqua"/>
          <w:sz w:val="24"/>
          <w:szCs w:val="24"/>
          <w:rtl w:val="0"/>
          <w:lang w:val="it-IT"/>
        </w:rPr>
        <w:t>parzialmente, le richieste del Co.La.Ri. nei termini e, comunque, entro i limiti di seguito riportati: si prospettano di seguito le condizioni essenziali da porre a base del definitivo rapporto contrattuale, accogliendo, per tutto quanto possibile, i contenuti della citata Nota del Co.La.Ri.: a) Quantit</w:t>
      </w:r>
      <w:r>
        <w:rPr>
          <w:rFonts w:hAnsi="Book Antiqua" w:hint="default"/>
          <w:sz w:val="24"/>
          <w:szCs w:val="24"/>
          <w:rtl w:val="0"/>
          <w:lang w:val="it-IT"/>
        </w:rPr>
        <w:t xml:space="preserve">à </w:t>
      </w:r>
      <w:r>
        <w:rPr>
          <w:rFonts w:ascii="Book Antiqua"/>
          <w:sz w:val="24"/>
          <w:szCs w:val="24"/>
          <w:rtl w:val="0"/>
          <w:lang w:val="it-IT"/>
        </w:rPr>
        <w:t>dei rifiuti conferiti da AMA: AMA conferir</w:t>
      </w:r>
      <w:r>
        <w:rPr>
          <w:rFonts w:hAnsi="Book Antiqua" w:hint="default"/>
          <w:sz w:val="24"/>
          <w:szCs w:val="24"/>
          <w:rtl w:val="0"/>
          <w:lang w:val="it-IT"/>
        </w:rPr>
        <w:t xml:space="preserve">à </w:t>
      </w:r>
      <w:r>
        <w:rPr>
          <w:rFonts w:ascii="Book Antiqua"/>
          <w:sz w:val="24"/>
          <w:szCs w:val="24"/>
          <w:rtl w:val="0"/>
          <w:lang w:val="it-IT"/>
        </w:rPr>
        <w:t>rifiuti urbani indifferenziati (codice CER 20 03 01) per un quantitativo stimato in 312.000 tonnellate/anno e, comunque, nel rispetto del limite massimo giornaliero previsto dall'autorizzazione dell'Impianto di trito vagliatura (1.282 tonnellate/giorno). In ogni caso, AMA si impegna a conferire un quantitativo giornaliero medio, da calcolarsi a consuntivo su base mensile, non inferiore a 600 tonnellate/giorno. Qualora, su base mensile, il quantitativo giornaliero medio conferito da AMA risultasse inferiore alle 600 tonnellate/giorno, AMA, con riferimento al quantitativo non conferito, sar</w:t>
      </w:r>
      <w:r>
        <w:rPr>
          <w:rFonts w:hAnsi="Book Antiqua" w:hint="default"/>
          <w:sz w:val="24"/>
          <w:szCs w:val="24"/>
          <w:rtl w:val="0"/>
          <w:lang w:val="it-IT"/>
        </w:rPr>
        <w:t xml:space="preserve">à </w:t>
      </w:r>
      <w:r>
        <w:rPr>
          <w:rFonts w:ascii="Book Antiqua"/>
          <w:sz w:val="24"/>
          <w:szCs w:val="24"/>
          <w:rtl w:val="0"/>
          <w:lang w:val="it-IT"/>
        </w:rPr>
        <w:t>comunque tenuta al pagamento in favore di Co.La.Ri. del 50 per cento del prezzo unitario (per tonnellata) convenuto. b) Durata del rapporto: si conferma la durata indicata dal Co.La.Ri. nella citata Sua del 29 aprile 2013 (Prot. n. 124), ovverosia scadenza del contratto/rapporto negoziale al 30 settembre 2015. c) Rodaggio e prezzo provvisorio: si conferma quanto indicato al riguardo dal Co.La.Ri. nella citata Sua del 29 aprile 2013 (Prot. n. 124).  [...] L'Ing. Fiscon si sofferma, inoltre, ad illustrare una dettagliata analisi della composizione dei costi per le varie attivit</w:t>
      </w:r>
      <w:r>
        <w:rPr>
          <w:rFonts w:hAnsi="Book Antiqua" w:hint="default"/>
          <w:sz w:val="24"/>
          <w:szCs w:val="24"/>
          <w:rtl w:val="0"/>
          <w:lang w:val="it-IT"/>
        </w:rPr>
        <w:t xml:space="preserve">à </w:t>
      </w:r>
      <w:r>
        <w:rPr>
          <w:rFonts w:ascii="Book Antiqua"/>
          <w:sz w:val="24"/>
          <w:szCs w:val="24"/>
          <w:rtl w:val="0"/>
          <w:lang w:val="it-IT"/>
        </w:rPr>
        <w:t>connesse alla tritovagliatura dei rifiuti indifferenziati, facendo riferimento anche ad un'analisi di mercato "best practice", che individua i costi industriali degli impianti di selezione con separazione della frazione secca e della frazione umida e stabilizzazione della frazione organica. Alla luce di quanto sopra il prezzo provvisorio di 175 euro a tonnellata pu</w:t>
      </w:r>
      <w:r>
        <w:rPr>
          <w:rFonts w:hAnsi="Book Antiqua" w:hint="default"/>
          <w:sz w:val="24"/>
          <w:szCs w:val="24"/>
          <w:rtl w:val="0"/>
          <w:lang w:val="it-IT"/>
        </w:rPr>
        <w:t xml:space="preserve">ò </w:t>
      </w:r>
      <w:r>
        <w:rPr>
          <w:rFonts w:ascii="Book Antiqua"/>
          <w:sz w:val="24"/>
          <w:szCs w:val="24"/>
          <w:rtl w:val="0"/>
          <w:lang w:val="it-IT"/>
        </w:rPr>
        <w:t>essere considerato congruo [...] Al termine dell'articolato intervento del Direttore Generale, interviene il Consigliere Commini per fare il punto della situazione. Sostanzialmente l'impegno di AMA sar</w:t>
      </w:r>
      <w:r>
        <w:rPr>
          <w:rFonts w:hAnsi="Book Antiqua" w:hint="default"/>
          <w:sz w:val="24"/>
          <w:szCs w:val="24"/>
          <w:rtl w:val="0"/>
          <w:lang w:val="it-IT"/>
        </w:rPr>
        <w:t xml:space="preserve">à </w:t>
      </w:r>
      <w:r>
        <w:rPr>
          <w:rFonts w:ascii="Book Antiqua"/>
          <w:sz w:val="24"/>
          <w:szCs w:val="24"/>
          <w:rtl w:val="0"/>
          <w:lang w:val="it-IT"/>
        </w:rPr>
        <w:t>quello (i) di conferire un quantitativo giornaliero medio non inferiore a 600 ton/giorno, da  calcolarsi a consuntivo su base mensile e non giornaliera; (ii) di prevedere la scadenza del contratto da giugno a settembre 2015; (iii) prezzo provvisorio fissato a 175 euro/t che il Direttore Generale considera congruo, salvo conguaglio sulla base dell'arbitraggio sul prezzo definitivo. Il Consigliere Berti ritiene opportuno che siano definiti contrattualmente i criteri ed i parametri che dovranno essere adottati dal soggetto e/o soggetti che dovr</w:t>
      </w:r>
      <w:r>
        <w:rPr>
          <w:rFonts w:hAnsi="Book Antiqua" w:hint="default"/>
          <w:sz w:val="24"/>
          <w:szCs w:val="24"/>
          <w:rtl w:val="0"/>
          <w:lang w:val="it-IT"/>
        </w:rPr>
        <w:t xml:space="preserve">à </w:t>
      </w:r>
      <w:r>
        <w:rPr>
          <w:rFonts w:ascii="Book Antiqua"/>
          <w:sz w:val="24"/>
          <w:szCs w:val="24"/>
          <w:rtl w:val="0"/>
          <w:lang w:val="it-IT"/>
        </w:rPr>
        <w:t>definire il prezzo definitivo. Il Direttore Generale conferma che nel contratto saranno specificati anche i criteri da adottare per la determinazione del prezzo definitivo. Il Consiglio di Amministrazione, al termine di un approfondito dibattito, d</w:t>
      </w:r>
      <w:r>
        <w:rPr>
          <w:rFonts w:hAnsi="Book Antiqua" w:hint="default"/>
          <w:sz w:val="24"/>
          <w:szCs w:val="24"/>
          <w:rtl w:val="0"/>
          <w:lang w:val="it-IT"/>
        </w:rPr>
        <w:t xml:space="preserve">à </w:t>
      </w:r>
      <w:r>
        <w:rPr>
          <w:rFonts w:ascii="Book Antiqua"/>
          <w:sz w:val="24"/>
          <w:szCs w:val="24"/>
          <w:rtl w:val="0"/>
          <w:lang w:val="it-IT"/>
        </w:rPr>
        <w:t>mandato al Direttore Generale di proseguire nelle trattative in corso alle condizioni oggi emerse, che devono, pertanto, considerarsi modificative ed integrative della deliberazione del CdA n. 25 dell'11 aprile 2013 e, comunque, quali valori/limiti massimi di margine per il proseguimento della trattativa.</w:t>
      </w:r>
      <w:r>
        <w:rPr>
          <w:rFonts w:hAnsi="Book Antiqua" w:hint="default"/>
          <w:sz w:val="24"/>
          <w:szCs w:val="24"/>
          <w:rtl w:val="0"/>
          <w:lang w:val="it-IT"/>
        </w:rPr>
        <w:t xml:space="preserve">” </w:t>
      </w:r>
    </w:p>
    <w:p>
      <w:pPr>
        <w:pStyle w:val="Elenco a colori - Colore 11"/>
        <w:spacing w:after="0" w:line="240" w:lineRule="auto"/>
        <w:ind w:left="567" w:right="567" w:firstLine="0"/>
        <w:jc w:val="both"/>
        <w:rPr>
          <w:rFonts w:ascii="Book Antiqua" w:cs="Book Antiqua" w:hAnsi="Book Antiqua" w:eastAsia="Book Antiqua"/>
          <w:sz w:val="24"/>
          <w:szCs w:val="24"/>
        </w:rPr>
      </w:pPr>
      <w:r>
        <w:rPr>
          <w:rFonts w:ascii="Book Antiqua"/>
          <w:sz w:val="24"/>
          <w:szCs w:val="24"/>
          <w:rtl w:val="0"/>
          <w:lang w:val="it-IT"/>
        </w:rPr>
        <w:t>Il 28 maggio 2013, la regione Lazio - Dipartimento Istituzionale e Territorio, Direzione Regionale  Territorio, Urbanistica, Mobilit</w:t>
      </w:r>
      <w:r>
        <w:rPr>
          <w:rFonts w:hAnsi="Book Antiqua" w:hint="default"/>
          <w:sz w:val="24"/>
          <w:szCs w:val="24"/>
          <w:rtl w:val="0"/>
          <w:lang w:val="it-IT"/>
        </w:rPr>
        <w:t xml:space="preserve">à </w:t>
      </w:r>
      <w:r>
        <w:rPr>
          <w:rFonts w:ascii="Book Antiqua"/>
          <w:sz w:val="24"/>
          <w:szCs w:val="24"/>
          <w:rtl w:val="0"/>
          <w:lang w:val="it-IT"/>
        </w:rPr>
        <w:t xml:space="preserve">e Rifiuti </w:t>
      </w:r>
      <w:r>
        <w:rPr>
          <w:rFonts w:hAnsi="Book Antiqua" w:hint="default"/>
          <w:sz w:val="24"/>
          <w:szCs w:val="24"/>
          <w:rtl w:val="0"/>
          <w:lang w:val="it-IT"/>
        </w:rPr>
        <w:t xml:space="preserve">– </w:t>
      </w:r>
      <w:r>
        <w:rPr>
          <w:rFonts w:ascii="Book Antiqua"/>
          <w:sz w:val="24"/>
          <w:szCs w:val="24"/>
          <w:rtl w:val="0"/>
          <w:lang w:val="it-IT"/>
        </w:rPr>
        <w:t>invia una lettera all</w:t>
      </w:r>
      <w:r>
        <w:rPr>
          <w:rFonts w:hAnsi="Book Antiqua" w:hint="default"/>
          <w:sz w:val="24"/>
          <w:szCs w:val="24"/>
          <w:rtl w:val="0"/>
          <w:lang w:val="it-IT"/>
        </w:rPr>
        <w:t>’</w:t>
      </w:r>
      <w:r>
        <w:rPr>
          <w:rFonts w:ascii="Book Antiqua"/>
          <w:sz w:val="24"/>
          <w:szCs w:val="24"/>
          <w:rtl w:val="0"/>
          <w:lang w:val="it-IT"/>
        </w:rPr>
        <w:t xml:space="preserve">AMA S.p.A. dove, tra le altre cose, segnala: </w:t>
      </w:r>
      <w:r>
        <w:rPr>
          <w:rFonts w:hAnsi="Book Antiqua" w:hint="default"/>
          <w:sz w:val="24"/>
          <w:szCs w:val="24"/>
          <w:rtl w:val="0"/>
          <w:lang w:val="it-IT"/>
        </w:rPr>
        <w:t>“</w:t>
      </w:r>
      <w:r>
        <w:rPr>
          <w:rFonts w:ascii="Book Antiqua"/>
          <w:sz w:val="24"/>
          <w:szCs w:val="24"/>
          <w:rtl w:val="0"/>
          <w:lang w:val="it-IT"/>
        </w:rPr>
        <w:t xml:space="preserve">occorre rilevare che l'istanza </w:t>
      </w:r>
      <w:r>
        <w:rPr>
          <w:rFonts w:ascii="Book Antiqua"/>
          <w:i w:val="1"/>
          <w:iCs w:val="1"/>
          <w:sz w:val="24"/>
          <w:szCs w:val="24"/>
          <w:rtl w:val="0"/>
          <w:lang w:val="it-IT"/>
        </w:rPr>
        <w:t>de qua</w:t>
      </w:r>
      <w:r>
        <w:rPr>
          <w:rFonts w:ascii="Book Antiqua"/>
          <w:sz w:val="24"/>
          <w:szCs w:val="24"/>
          <w:rtl w:val="0"/>
          <w:lang w:val="it-IT"/>
        </w:rPr>
        <w:t xml:space="preserve"> non </w:t>
      </w:r>
      <w:r>
        <w:rPr>
          <w:rFonts w:hAnsi="Book Antiqua" w:hint="default"/>
          <w:sz w:val="24"/>
          <w:szCs w:val="24"/>
          <w:rtl w:val="0"/>
          <w:lang w:val="it-IT"/>
        </w:rPr>
        <w:t xml:space="preserve">è </w:t>
      </w:r>
      <w:r>
        <w:rPr>
          <w:rFonts w:ascii="Book Antiqua"/>
          <w:sz w:val="24"/>
          <w:szCs w:val="24"/>
          <w:rtl w:val="0"/>
          <w:lang w:val="it-IT"/>
        </w:rPr>
        <w:t>stata rivolta all</w:t>
      </w:r>
      <w:r>
        <w:rPr>
          <w:rFonts w:hAnsi="Book Antiqua" w:hint="default"/>
          <w:sz w:val="24"/>
          <w:szCs w:val="24"/>
          <w:rtl w:val="0"/>
          <w:lang w:val="it-IT"/>
        </w:rPr>
        <w:t>’</w:t>
      </w:r>
      <w:r>
        <w:rPr>
          <w:rFonts w:ascii="Book Antiqua"/>
          <w:sz w:val="24"/>
          <w:szCs w:val="24"/>
          <w:rtl w:val="0"/>
          <w:lang w:val="it-IT"/>
        </w:rPr>
        <w:t xml:space="preserve">amministrazione competente ai sensi della normativa di riferimento, ovvero dell'art 29 della LR. 27/1990, il quale dispone espressamente che </w:t>
      </w:r>
      <w:r>
        <w:rPr>
          <w:rFonts w:hAnsi="Book Antiqua" w:hint="default"/>
          <w:sz w:val="24"/>
          <w:szCs w:val="24"/>
          <w:rtl w:val="0"/>
          <w:lang w:val="it-IT"/>
        </w:rPr>
        <w:t>‘</w:t>
      </w:r>
      <w:r>
        <w:rPr>
          <w:rFonts w:ascii="Book Antiqua"/>
          <w:sz w:val="24"/>
          <w:szCs w:val="24"/>
          <w:rtl w:val="0"/>
          <w:lang w:val="it-IT"/>
        </w:rPr>
        <w:t>La regione o la provincia, secondo quanto previsto dall'articolo 28, comma 1, autorizzano l</w:t>
      </w:r>
      <w:r>
        <w:rPr>
          <w:rFonts w:hAnsi="Book Antiqua" w:hint="default"/>
          <w:sz w:val="24"/>
          <w:szCs w:val="24"/>
          <w:rtl w:val="0"/>
          <w:lang w:val="it-IT"/>
        </w:rPr>
        <w:t>’</w:t>
      </w:r>
      <w:r>
        <w:rPr>
          <w:rFonts w:ascii="Book Antiqua"/>
          <w:sz w:val="24"/>
          <w:szCs w:val="24"/>
          <w:rtl w:val="0"/>
          <w:lang w:val="it-IT"/>
        </w:rPr>
        <w:t>esercizio degli impianti di smaltimento e recupero dei rifiuti urbani e delle discariche di cui all</w:t>
      </w:r>
      <w:r>
        <w:rPr>
          <w:rFonts w:hAnsi="Book Antiqua" w:hint="default"/>
          <w:sz w:val="24"/>
          <w:szCs w:val="24"/>
          <w:rtl w:val="0"/>
          <w:lang w:val="it-IT"/>
        </w:rPr>
        <w:t>’</w:t>
      </w:r>
      <w:r>
        <w:rPr>
          <w:rFonts w:ascii="Book Antiqua"/>
          <w:sz w:val="24"/>
          <w:szCs w:val="24"/>
          <w:rtl w:val="0"/>
          <w:lang w:val="it-IT"/>
        </w:rPr>
        <w:t>articolo 28, con le modalit</w:t>
      </w:r>
      <w:r>
        <w:rPr>
          <w:rFonts w:hAnsi="Book Antiqua" w:hint="default"/>
          <w:sz w:val="24"/>
          <w:szCs w:val="24"/>
          <w:rtl w:val="0"/>
          <w:lang w:val="it-IT"/>
        </w:rPr>
        <w:t xml:space="preserve">à </w:t>
      </w:r>
      <w:r>
        <w:rPr>
          <w:rFonts w:ascii="Book Antiqua"/>
          <w:sz w:val="24"/>
          <w:szCs w:val="24"/>
          <w:rtl w:val="0"/>
          <w:lang w:val="it-IT"/>
        </w:rPr>
        <w:t>indicate nell'articolo 16. Il provvedimento di autorizzazione all'esercizio dagli impianti e delle discariche di cui al comma I deve contenere, tra l'altro, la determinazione delle tariffe e della quota percentuale della tariffa dovuta dagli eventuali comuni utenti al soggetto gestore dell'impianti o della discarica a favore del comune sede dell</w:t>
      </w:r>
      <w:r>
        <w:rPr>
          <w:rFonts w:hAnsi="Book Antiqua" w:hint="default"/>
          <w:sz w:val="24"/>
          <w:szCs w:val="24"/>
          <w:rtl w:val="0"/>
          <w:lang w:val="it-IT"/>
        </w:rPr>
        <w:t>’</w:t>
      </w:r>
      <w:r>
        <w:rPr>
          <w:rFonts w:ascii="Book Antiqua"/>
          <w:sz w:val="24"/>
          <w:szCs w:val="24"/>
          <w:rtl w:val="0"/>
          <w:lang w:val="it-IT"/>
        </w:rPr>
        <w:t>impianto o della discarica stessi, che deve essere compresa tra il dieci ed il venti per cento della tariffa</w:t>
      </w:r>
      <w:r>
        <w:rPr>
          <w:rFonts w:hAnsi="Book Antiqua" w:hint="default"/>
          <w:sz w:val="24"/>
          <w:szCs w:val="24"/>
          <w:rtl w:val="0"/>
          <w:lang w:val="it-IT"/>
        </w:rPr>
        <w:t>’</w:t>
      </w:r>
      <w:r>
        <w:rPr>
          <w:rFonts w:ascii="Book Antiqua"/>
          <w:sz w:val="24"/>
          <w:szCs w:val="24"/>
          <w:rtl w:val="0"/>
          <w:lang w:val="it-IT"/>
        </w:rPr>
        <w:t xml:space="preserve">. Alla luce di quanto sopra riportato, appare evidente che la competenza per la determinazione della tariffe degli impianti di smaltimento e recupero dei rifiuti urbani </w:t>
      </w:r>
      <w:r>
        <w:rPr>
          <w:rFonts w:hAnsi="Book Antiqua" w:hint="default"/>
          <w:sz w:val="24"/>
          <w:szCs w:val="24"/>
          <w:rtl w:val="0"/>
          <w:lang w:val="it-IT"/>
        </w:rPr>
        <w:t xml:space="preserve">è </w:t>
      </w:r>
      <w:r>
        <w:rPr>
          <w:rFonts w:ascii="Book Antiqua"/>
          <w:sz w:val="24"/>
          <w:szCs w:val="24"/>
          <w:rtl w:val="0"/>
          <w:lang w:val="it-IT"/>
        </w:rPr>
        <w:t>in capo all</w:t>
      </w:r>
      <w:r>
        <w:rPr>
          <w:rFonts w:hAnsi="Book Antiqua" w:hint="default"/>
          <w:sz w:val="24"/>
          <w:szCs w:val="24"/>
          <w:rtl w:val="0"/>
          <w:lang w:val="it-IT"/>
        </w:rPr>
        <w:t>’</w:t>
      </w:r>
      <w:r>
        <w:rPr>
          <w:rFonts w:ascii="Book Antiqua"/>
          <w:sz w:val="24"/>
          <w:szCs w:val="24"/>
          <w:rtl w:val="0"/>
          <w:lang w:val="it-IT"/>
        </w:rPr>
        <w:t xml:space="preserve">amministrazione che rilascia l'atto di autorizzazione; nel caso di specie, dunque, competente alla determinazione detta eventuale tariffa, laddove fosse dovuta ai sensi della normativa vigente, </w:t>
      </w:r>
      <w:r>
        <w:rPr>
          <w:rFonts w:hAnsi="Book Antiqua" w:hint="default"/>
          <w:sz w:val="24"/>
          <w:szCs w:val="24"/>
          <w:rtl w:val="0"/>
          <w:lang w:val="it-IT"/>
        </w:rPr>
        <w:t xml:space="preserve">è </w:t>
      </w:r>
      <w:r>
        <w:rPr>
          <w:rFonts w:ascii="Book Antiqua"/>
          <w:sz w:val="24"/>
          <w:szCs w:val="24"/>
          <w:rtl w:val="0"/>
          <w:lang w:val="it-IT"/>
        </w:rPr>
        <w:t>la provincia di Roma che ha autorizzato detto impianto con determinazione dirigenziale R.U. 1228 del 7 marzo 2013</w:t>
      </w:r>
      <w:r>
        <w:rPr>
          <w:rFonts w:hAnsi="Book Antiqua" w:hint="default"/>
          <w:sz w:val="24"/>
          <w:szCs w:val="24"/>
          <w:rtl w:val="0"/>
          <w:lang w:val="it-IT"/>
        </w:rPr>
        <w:t>”</w:t>
      </w:r>
      <w:r>
        <w:rPr>
          <w:rFonts w:ascii="Book Antiqua"/>
          <w:sz w:val="24"/>
          <w:szCs w:val="24"/>
          <w:rtl w:val="0"/>
          <w:lang w:val="it-IT"/>
        </w:rPr>
        <w:t>.</w:t>
      </w:r>
    </w:p>
    <w:p>
      <w:pPr>
        <w:pStyle w:val="Elenco a colori - Colore 11"/>
        <w:spacing w:after="0" w:line="240" w:lineRule="auto"/>
        <w:ind w:left="567" w:right="567" w:firstLine="0"/>
        <w:jc w:val="both"/>
        <w:rPr>
          <w:rFonts w:ascii="Book Antiqua" w:cs="Book Antiqua" w:hAnsi="Book Antiqua" w:eastAsia="Book Antiqua"/>
          <w:sz w:val="24"/>
          <w:szCs w:val="24"/>
        </w:rPr>
      </w:pPr>
      <w:r>
        <w:rPr>
          <w:rFonts w:ascii="Book Antiqua"/>
          <w:sz w:val="24"/>
          <w:szCs w:val="24"/>
          <w:rtl w:val="0"/>
          <w:lang w:val="it-IT"/>
        </w:rPr>
        <w:t>Intanto la lettera della Commissione europea riguardante il parere motivato per la procedura di infrazione 2011/4021 del 31 maggio del 2012 iniziava ad avere delle conseguenze giacch</w:t>
      </w:r>
      <w:r>
        <w:rPr>
          <w:rFonts w:hAnsi="Book Antiqua" w:hint="default"/>
          <w:sz w:val="24"/>
          <w:szCs w:val="24"/>
          <w:rtl w:val="0"/>
          <w:lang w:val="it-IT"/>
        </w:rPr>
        <w:t xml:space="preserve">é </w:t>
      </w:r>
      <w:r>
        <w:rPr>
          <w:rFonts w:ascii="Book Antiqua"/>
          <w:sz w:val="24"/>
          <w:szCs w:val="24"/>
          <w:rtl w:val="0"/>
          <w:lang w:val="it-IT"/>
        </w:rPr>
        <w:t>il Ministro dell</w:t>
      </w:r>
      <w:r>
        <w:rPr>
          <w:rFonts w:hAnsi="Book Antiqua" w:hint="default"/>
          <w:sz w:val="24"/>
          <w:szCs w:val="24"/>
          <w:rtl w:val="0"/>
          <w:lang w:val="it-IT"/>
        </w:rPr>
        <w:t>’</w:t>
      </w:r>
      <w:r>
        <w:rPr>
          <w:rFonts w:ascii="Book Antiqua"/>
          <w:sz w:val="24"/>
          <w:szCs w:val="24"/>
          <w:rtl w:val="0"/>
          <w:lang w:val="it-IT"/>
        </w:rPr>
        <w:t xml:space="preserve">ambiente pro tempore, Andrea Orlando -  anche al fine di evitare che una eventuale condanna della CGUE potesse produrre una cosiddetta sentenza </w:t>
      </w:r>
      <w:r>
        <w:rPr>
          <w:rFonts w:hAnsi="Book Antiqua" w:hint="default"/>
          <w:sz w:val="24"/>
          <w:szCs w:val="24"/>
          <w:rtl w:val="0"/>
          <w:lang w:val="it-IT"/>
        </w:rPr>
        <w:t>“</w:t>
      </w:r>
      <w:r>
        <w:rPr>
          <w:rFonts w:ascii="Book Antiqua"/>
          <w:sz w:val="24"/>
          <w:szCs w:val="24"/>
          <w:rtl w:val="0"/>
          <w:lang w:val="it-IT"/>
        </w:rPr>
        <w:t>pilota</w:t>
      </w:r>
      <w:r>
        <w:rPr>
          <w:rFonts w:hAnsi="Book Antiqua" w:hint="default"/>
          <w:sz w:val="24"/>
          <w:szCs w:val="24"/>
          <w:rtl w:val="0"/>
          <w:lang w:val="it-IT"/>
        </w:rPr>
        <w:t xml:space="preserve">” </w:t>
      </w:r>
      <w:r>
        <w:rPr>
          <w:rFonts w:ascii="Book Antiqua"/>
          <w:sz w:val="24"/>
          <w:szCs w:val="24"/>
          <w:rtl w:val="0"/>
          <w:lang w:val="it-IT"/>
        </w:rPr>
        <w:t>- in data 6 agosto 2013 invi</w:t>
      </w:r>
      <w:r>
        <w:rPr>
          <w:rFonts w:hAnsi="Book Antiqua" w:hint="default"/>
          <w:sz w:val="24"/>
          <w:szCs w:val="24"/>
          <w:rtl w:val="0"/>
          <w:lang w:val="it-IT"/>
        </w:rPr>
        <w:t xml:space="preserve">ò </w:t>
      </w:r>
      <w:r>
        <w:rPr>
          <w:rFonts w:ascii="Book Antiqua"/>
          <w:sz w:val="24"/>
          <w:szCs w:val="24"/>
          <w:rtl w:val="0"/>
          <w:lang w:val="it-IT"/>
        </w:rPr>
        <w:t xml:space="preserve">una Circolare indirizzata a tutte le Regioni e alle Province autonome di Trento e Bolzano. </w:t>
      </w:r>
    </w:p>
    <w:p>
      <w:pPr>
        <w:pStyle w:val="Elenco a colori - Colore 11"/>
        <w:spacing w:after="0" w:line="240" w:lineRule="auto"/>
        <w:ind w:left="567" w:right="567" w:firstLine="0"/>
        <w:jc w:val="both"/>
        <w:rPr>
          <w:rFonts w:ascii="Book Antiqua" w:cs="Book Antiqua" w:hAnsi="Book Antiqua" w:eastAsia="Book Antiqua"/>
          <w:sz w:val="24"/>
          <w:szCs w:val="24"/>
        </w:rPr>
      </w:pPr>
      <w:r>
        <w:rPr>
          <w:rFonts w:ascii="Book Antiqua"/>
          <w:sz w:val="24"/>
          <w:szCs w:val="24"/>
          <w:rtl w:val="0"/>
          <w:lang w:val="it-IT"/>
        </w:rPr>
        <w:t>Si ritiene utile riportare di seguito un</w:t>
      </w:r>
      <w:r>
        <w:rPr>
          <w:rFonts w:hAnsi="Book Antiqua" w:hint="default"/>
          <w:sz w:val="24"/>
          <w:szCs w:val="24"/>
          <w:rtl w:val="0"/>
          <w:lang w:val="it-IT"/>
        </w:rPr>
        <w:t>’</w:t>
      </w:r>
      <w:r>
        <w:rPr>
          <w:rFonts w:ascii="Book Antiqua"/>
          <w:sz w:val="24"/>
          <w:szCs w:val="24"/>
          <w:rtl w:val="0"/>
          <w:lang w:val="it-IT"/>
        </w:rPr>
        <w:t xml:space="preserve">ampia citazione del testo, per la sua rilevanza non soltanto generale ma anche relativa alla questione che qui si esamina:  </w:t>
      </w:r>
    </w:p>
    <w:p>
      <w:pPr>
        <w:pStyle w:val="Elenco a colori - Colore 11"/>
        <w:spacing w:after="0" w:line="240" w:lineRule="auto"/>
        <w:ind w:left="567" w:right="567" w:firstLine="0"/>
        <w:jc w:val="both"/>
        <w:rPr>
          <w:rFonts w:ascii="Book Antiqua" w:cs="Book Antiqua" w:hAnsi="Book Antiqua" w:eastAsia="Book Antiqua"/>
          <w:sz w:val="24"/>
          <w:szCs w:val="24"/>
        </w:rPr>
      </w:pPr>
    </w:p>
    <w:p>
      <w:pPr>
        <w:pStyle w:val="Elenco a colori - Colore 11"/>
        <w:spacing w:after="0" w:line="240" w:lineRule="auto"/>
        <w:ind w:left="567" w:right="567" w:firstLine="0"/>
        <w:jc w:val="both"/>
        <w:rPr>
          <w:rFonts w:ascii="Book Antiqua Bold" w:cs="Book Antiqua Bold" w:hAnsi="Book Antiqua Bold" w:eastAsia="Book Antiqua Bold"/>
          <w:b w:val="1"/>
          <w:bCs w:val="1"/>
        </w:rPr>
      </w:pPr>
      <w:r>
        <w:rPr>
          <w:rFonts w:hAnsi="Book Antiqua" w:hint="default"/>
          <w:rtl w:val="0"/>
          <w:lang w:val="it-IT"/>
        </w:rPr>
        <w:t>“</w:t>
      </w:r>
      <w:r>
        <w:rPr>
          <w:rFonts w:ascii="Book Antiqua"/>
          <w:rtl w:val="0"/>
          <w:lang w:val="it-IT"/>
        </w:rPr>
        <w:t>Con la circolare U.prot.GAB-2009-0014963, emanata dal Ministro dell</w:t>
      </w:r>
      <w:r>
        <w:rPr>
          <w:rFonts w:hAnsi="Book Antiqua" w:hint="default"/>
          <w:rtl w:val="0"/>
          <w:lang w:val="it-IT"/>
        </w:rPr>
        <w:t>’</w:t>
      </w:r>
      <w:r>
        <w:rPr>
          <w:rFonts w:ascii="Book Antiqua"/>
          <w:rtl w:val="0"/>
          <w:lang w:val="it-IT"/>
        </w:rPr>
        <w:t xml:space="preserve">ambiente e della Tutela del Territorio e del Mare </w:t>
      </w:r>
      <w:r>
        <w:rPr>
          <w:rFonts w:hAnsi="Book Antiqua" w:hint="default"/>
          <w:rtl w:val="0"/>
          <w:lang w:val="it-IT"/>
        </w:rPr>
        <w:t>“</w:t>
      </w:r>
      <w:r>
        <w:rPr>
          <w:rFonts w:ascii="Book Antiqua"/>
          <w:rtl w:val="0"/>
          <w:lang w:val="it-IT"/>
        </w:rPr>
        <w:t>pro tempore</w:t>
      </w:r>
      <w:r>
        <w:rPr>
          <w:rFonts w:hAnsi="Book Antiqua" w:hint="default"/>
          <w:rtl w:val="0"/>
          <w:lang w:val="it-IT"/>
        </w:rPr>
        <w:t xml:space="preserve">” </w:t>
      </w:r>
      <w:r>
        <w:rPr>
          <w:rFonts w:ascii="Book Antiqua"/>
          <w:rtl w:val="0"/>
          <w:lang w:val="it-IT"/>
        </w:rPr>
        <w:t>in data 30 giugno 2009, sono stati forniti alcuni chiarimenti operativi sull</w:t>
      </w:r>
      <w:r>
        <w:rPr>
          <w:rFonts w:hAnsi="Book Antiqua" w:hint="default"/>
          <w:rtl w:val="0"/>
          <w:lang w:val="it-IT"/>
        </w:rPr>
        <w:t>’</w:t>
      </w:r>
      <w:r>
        <w:rPr>
          <w:rFonts w:ascii="Book Antiqua"/>
          <w:rtl w:val="0"/>
          <w:lang w:val="it-IT"/>
        </w:rPr>
        <w:t>ammissibilit</w:t>
      </w:r>
      <w:r>
        <w:rPr>
          <w:rFonts w:hAnsi="Book Antiqua" w:hint="default"/>
          <w:rtl w:val="0"/>
          <w:lang w:val="it-IT"/>
        </w:rPr>
        <w:t xml:space="preserve">à </w:t>
      </w:r>
      <w:r>
        <w:rPr>
          <w:rFonts w:ascii="Book Antiqua"/>
          <w:rtl w:val="0"/>
          <w:lang w:val="it-IT"/>
        </w:rPr>
        <w:t>dei rifiuti in discarica ai fini della corretta applicazione del decreto legislativo 13 gennaio 2003 n. 36 e del decreto del Ministero dell</w:t>
      </w:r>
      <w:r>
        <w:rPr>
          <w:rFonts w:hAnsi="Book Antiqua" w:hint="default"/>
          <w:rtl w:val="0"/>
          <w:lang w:val="it-IT"/>
        </w:rPr>
        <w:t>’</w:t>
      </w:r>
      <w:r>
        <w:rPr>
          <w:rFonts w:ascii="Book Antiqua"/>
          <w:rtl w:val="0"/>
          <w:lang w:val="it-IT"/>
        </w:rPr>
        <w:t xml:space="preserve">ambiente e della Tutela del Territorio 3 agosto 2005, entrambi di diretta derivazione comunitaria. In particolare, la circolare ha: a) chiarito la definizione di </w:t>
      </w:r>
      <w:r>
        <w:rPr>
          <w:rFonts w:hAnsi="Book Antiqua" w:hint="default"/>
          <w:rtl w:val="0"/>
          <w:lang w:val="it-IT"/>
        </w:rPr>
        <w:t>“</w:t>
      </w:r>
      <w:r>
        <w:rPr>
          <w:rFonts w:ascii="Book Antiqua"/>
          <w:rtl w:val="0"/>
          <w:lang w:val="it-IT"/>
        </w:rPr>
        <w:t>trattamento</w:t>
      </w:r>
      <w:r>
        <w:rPr>
          <w:rFonts w:hAnsi="Book Antiqua" w:hint="default"/>
          <w:rtl w:val="0"/>
          <w:lang w:val="it-IT"/>
        </w:rPr>
        <w:t xml:space="preserve">” </w:t>
      </w:r>
      <w:r>
        <w:rPr>
          <w:rFonts w:ascii="Book Antiqua"/>
          <w:rtl w:val="0"/>
          <w:lang w:val="it-IT"/>
        </w:rPr>
        <w:t xml:space="preserve">ai fini dello smaltimento dei rifiuti in discarica; b) stabilito che a predeterminate condizioni la </w:t>
      </w:r>
      <w:r>
        <w:rPr>
          <w:rFonts w:hAnsi="Book Antiqua" w:hint="default"/>
          <w:rtl w:val="0"/>
          <w:lang w:val="it-IT"/>
        </w:rPr>
        <w:t>“</w:t>
      </w:r>
      <w:r>
        <w:rPr>
          <w:rFonts w:ascii="Book Antiqua"/>
          <w:rtl w:val="0"/>
          <w:lang w:val="it-IT"/>
        </w:rPr>
        <w:t>raccolta differenziata spinta</w:t>
      </w:r>
      <w:r>
        <w:rPr>
          <w:rFonts w:hAnsi="Book Antiqua" w:hint="default"/>
          <w:rtl w:val="0"/>
          <w:lang w:val="it-IT"/>
        </w:rPr>
        <w:t xml:space="preserve">” </w:t>
      </w:r>
      <w:r>
        <w:rPr>
          <w:rFonts w:ascii="Book Antiqua"/>
          <w:rtl w:val="0"/>
          <w:lang w:val="it-IT"/>
        </w:rPr>
        <w:t>pu</w:t>
      </w:r>
      <w:r>
        <w:rPr>
          <w:rFonts w:hAnsi="Book Antiqua" w:hint="default"/>
          <w:rtl w:val="0"/>
          <w:lang w:val="it-IT"/>
        </w:rPr>
        <w:t xml:space="preserve">ò </w:t>
      </w:r>
      <w:r>
        <w:rPr>
          <w:rFonts w:ascii="Book Antiqua"/>
          <w:rtl w:val="0"/>
          <w:lang w:val="it-IT"/>
        </w:rPr>
        <w:t>far venir meno l</w:t>
      </w:r>
      <w:r>
        <w:rPr>
          <w:rFonts w:hAnsi="Book Antiqua" w:hint="default"/>
          <w:rtl w:val="0"/>
          <w:lang w:val="it-IT"/>
        </w:rPr>
        <w:t>’</w:t>
      </w:r>
      <w:r>
        <w:rPr>
          <w:rFonts w:ascii="Book Antiqua"/>
          <w:rtl w:val="0"/>
          <w:lang w:val="it-IT"/>
        </w:rPr>
        <w:t>obbligo di trattamento ai fini del conferimento dei rifiuti in discarica; c) precisato, altres</w:t>
      </w:r>
      <w:r>
        <w:rPr>
          <w:rFonts w:hAnsi="Book Antiqua" w:hint="default"/>
          <w:rtl w:val="0"/>
          <w:lang w:val="it-IT"/>
        </w:rPr>
        <w:t>ì</w:t>
      </w:r>
      <w:r>
        <w:rPr>
          <w:rFonts w:ascii="Book Antiqua"/>
          <w:rtl w:val="0"/>
          <w:lang w:val="it-IT"/>
        </w:rPr>
        <w:t xml:space="preserve">, che dette indicazioni hanno natura </w:t>
      </w:r>
      <w:r>
        <w:rPr>
          <w:rFonts w:hAnsi="Book Antiqua" w:hint="default"/>
          <w:rtl w:val="0"/>
          <w:lang w:val="it-IT"/>
        </w:rPr>
        <w:t>“</w:t>
      </w:r>
      <w:r>
        <w:rPr>
          <w:rFonts w:ascii="Book Antiqua"/>
          <w:rtl w:val="0"/>
          <w:lang w:val="it-IT"/>
        </w:rPr>
        <w:t>transitoria</w:t>
      </w:r>
      <w:r>
        <w:rPr>
          <w:rFonts w:hAnsi="Book Antiqua" w:hint="default"/>
          <w:rtl w:val="0"/>
          <w:lang w:val="it-IT"/>
        </w:rPr>
        <w:t xml:space="preserve">” </w:t>
      </w:r>
      <w:r>
        <w:rPr>
          <w:rFonts w:ascii="Book Antiqua"/>
          <w:rtl w:val="0"/>
          <w:lang w:val="it-IT"/>
        </w:rPr>
        <w:t>senza stabilire, per</w:t>
      </w:r>
      <w:r>
        <w:rPr>
          <w:rFonts w:hAnsi="Book Antiqua" w:hint="default"/>
          <w:rtl w:val="0"/>
          <w:lang w:val="it-IT"/>
        </w:rPr>
        <w:t>ò</w:t>
      </w:r>
      <w:r>
        <w:rPr>
          <w:rFonts w:ascii="Book Antiqua"/>
          <w:rtl w:val="0"/>
          <w:lang w:val="it-IT"/>
        </w:rPr>
        <w:t>, in modo espresso il termine finale di applicazione di tale regime; termine individuato con un generico rinvio alla definitiva entrata a regime della normativa sull</w:t>
      </w:r>
      <w:r>
        <w:rPr>
          <w:rFonts w:hAnsi="Book Antiqua" w:hint="default"/>
          <w:rtl w:val="0"/>
          <w:lang w:val="it-IT"/>
        </w:rPr>
        <w:t>’</w:t>
      </w:r>
      <w:r>
        <w:rPr>
          <w:rFonts w:ascii="Book Antiqua"/>
          <w:rtl w:val="0"/>
          <w:lang w:val="it-IT"/>
        </w:rPr>
        <w:t>ammissibilit</w:t>
      </w:r>
      <w:r>
        <w:rPr>
          <w:rFonts w:hAnsi="Book Antiqua" w:hint="default"/>
          <w:rtl w:val="0"/>
          <w:lang w:val="it-IT"/>
        </w:rPr>
        <w:t xml:space="preserve">à </w:t>
      </w:r>
      <w:r>
        <w:rPr>
          <w:rFonts w:ascii="Book Antiqua"/>
          <w:rtl w:val="0"/>
          <w:lang w:val="it-IT"/>
        </w:rPr>
        <w:t>dei rifiuti in discarica di cui al decreto legislativo 36/2003 ed al decreto ministeriale 3 agosto 2005. L</w:t>
      </w:r>
      <w:r>
        <w:rPr>
          <w:rFonts w:hAnsi="Book Antiqua" w:hint="default"/>
          <w:rtl w:val="0"/>
          <w:lang w:val="it-IT"/>
        </w:rPr>
        <w:t>’</w:t>
      </w:r>
      <w:r>
        <w:rPr>
          <w:rFonts w:ascii="Book Antiqua"/>
          <w:rtl w:val="0"/>
          <w:lang w:val="it-IT"/>
        </w:rPr>
        <w:t>incertezza del termine finale di efficacia della circolare U.prot.GAB-2009-0014963 del 30/06/2009, sta sollevando dubbi interpretativi ed applicativi e rischia di esporre l</w:t>
      </w:r>
      <w:r>
        <w:rPr>
          <w:rFonts w:hAnsi="Book Antiqua" w:hint="default"/>
          <w:rtl w:val="0"/>
          <w:lang w:val="it-IT"/>
        </w:rPr>
        <w:t>’</w:t>
      </w:r>
      <w:r>
        <w:rPr>
          <w:rFonts w:ascii="Book Antiqua"/>
          <w:rtl w:val="0"/>
          <w:lang w:val="it-IT"/>
        </w:rPr>
        <w:t>Italia a nuove procedure di infrazione. Infatti, la Commissione europea, con nota del 17 giugno 2011, ha inviato alla Repubblica italiana una lettera di costituzione in mora [SG(2011)D/9693 C(2011)4113] per violazione della direttiva 1999/31/CE e della direttiva 2008/98/CE. Nell</w:t>
      </w:r>
      <w:r>
        <w:rPr>
          <w:rFonts w:hAnsi="Book Antiqua" w:hint="default"/>
          <w:rtl w:val="0"/>
          <w:lang w:val="it-IT"/>
        </w:rPr>
        <w:t>’</w:t>
      </w:r>
      <w:r>
        <w:rPr>
          <w:rFonts w:ascii="Book Antiqua"/>
          <w:rtl w:val="0"/>
          <w:lang w:val="it-IT"/>
        </w:rPr>
        <w:t>ambito della procedura di infrazione n. 2011/4021, la stessa Commissione, con il parere motivato prot. 9026 del 1/06/2012, ha fornito dei chiarimenti sui contenuti minimi essenziali che le attivit</w:t>
      </w:r>
      <w:r>
        <w:rPr>
          <w:rFonts w:hAnsi="Book Antiqua" w:hint="default"/>
          <w:rtl w:val="0"/>
          <w:lang w:val="it-IT"/>
        </w:rPr>
        <w:t xml:space="preserve">à </w:t>
      </w:r>
      <w:r>
        <w:rPr>
          <w:rFonts w:ascii="Book Antiqua"/>
          <w:rtl w:val="0"/>
          <w:lang w:val="it-IT"/>
        </w:rPr>
        <w:t xml:space="preserve">di trattamento devono osservare per essere conformi al dettato comunitario e, con il ricorso depositato il 13 giugno 2013 contro la Repubblica Italiana </w:t>
      </w:r>
      <w:r>
        <w:rPr>
          <w:rFonts w:hAnsi="Book Antiqua" w:hint="default"/>
          <w:rtl w:val="0"/>
          <w:lang w:val="it-IT"/>
        </w:rPr>
        <w:t xml:space="preserve">– </w:t>
      </w:r>
      <w:r>
        <w:rPr>
          <w:rFonts w:ascii="Book Antiqua"/>
          <w:rtl w:val="0"/>
          <w:lang w:val="it-IT"/>
        </w:rPr>
        <w:t xml:space="preserve">registro della Corte numero causa C-323/13 </w:t>
      </w:r>
      <w:r>
        <w:rPr>
          <w:rFonts w:hAnsi="Book Antiqua" w:hint="default"/>
          <w:rtl w:val="0"/>
          <w:lang w:val="it-IT"/>
        </w:rPr>
        <w:t xml:space="preserve">– </w:t>
      </w:r>
      <w:r>
        <w:rPr>
          <w:rFonts w:ascii="Book Antiqua"/>
          <w:rtl w:val="0"/>
          <w:lang w:val="it-IT"/>
        </w:rPr>
        <w:t>ha, tra l</w:t>
      </w:r>
      <w:r>
        <w:rPr>
          <w:rFonts w:hAnsi="Book Antiqua" w:hint="default"/>
          <w:rtl w:val="0"/>
          <w:lang w:val="it-IT"/>
        </w:rPr>
        <w:t>’</w:t>
      </w:r>
      <w:r>
        <w:rPr>
          <w:rFonts w:ascii="Book Antiqua"/>
          <w:rtl w:val="0"/>
          <w:lang w:val="it-IT"/>
        </w:rPr>
        <w:t>altro, rilevato la necessit</w:t>
      </w:r>
      <w:r>
        <w:rPr>
          <w:rFonts w:hAnsi="Book Antiqua" w:hint="default"/>
          <w:rtl w:val="0"/>
          <w:lang w:val="it-IT"/>
        </w:rPr>
        <w:t xml:space="preserve">à </w:t>
      </w:r>
      <w:r>
        <w:rPr>
          <w:rFonts w:ascii="Book Antiqua"/>
          <w:rtl w:val="0"/>
          <w:lang w:val="it-IT"/>
        </w:rPr>
        <w:t xml:space="preserve">di un trattamento adeguato anche sui rifiuti residuali provenienti da raccolta differenziata. A tal fine, la Commissione, ha precisato che: </w:t>
      </w:r>
      <w:r>
        <w:rPr>
          <w:rFonts w:hAnsi="Book Antiqua" w:hint="default"/>
          <w:rtl w:val="0"/>
          <w:lang w:val="it-IT"/>
        </w:rPr>
        <w:t>“</w:t>
      </w:r>
      <w:r>
        <w:rPr>
          <w:rFonts w:ascii="Book Antiqua"/>
          <w:rtl w:val="0"/>
          <w:lang w:val="it-IT"/>
        </w:rPr>
        <w:t>il trattamento dei rifiuti destinati a discarica deve consistere in processi che, oltre a modificare le caratteristiche dei rifiuti allo scopo di ridurre il volume o la natura pericolosa e di facilitarne il trasporto o favorirne il recupero, abbiano altres</w:t>
      </w:r>
      <w:r>
        <w:rPr>
          <w:rFonts w:hAnsi="Book Antiqua" w:hint="default"/>
          <w:rtl w:val="0"/>
          <w:lang w:val="it-IT"/>
        </w:rPr>
        <w:t xml:space="preserve">ì </w:t>
      </w:r>
      <w:r>
        <w:rPr>
          <w:rFonts w:ascii="Book Antiqua"/>
          <w:rtl w:val="0"/>
          <w:lang w:val="it-IT"/>
        </w:rPr>
        <w:t>l</w:t>
      </w:r>
      <w:r>
        <w:rPr>
          <w:rFonts w:hAnsi="Book Antiqua" w:hint="default"/>
          <w:rtl w:val="0"/>
          <w:lang w:val="it-IT"/>
        </w:rPr>
        <w:t>’</w:t>
      </w:r>
      <w:r>
        <w:rPr>
          <w:rFonts w:ascii="Book Antiqua"/>
          <w:rtl w:val="0"/>
          <w:lang w:val="it-IT"/>
        </w:rPr>
        <w:t>effetto [articolo 1 - Direttiva 1999/31/CE] di evitare o ridurre il pi</w:t>
      </w:r>
      <w:r>
        <w:rPr>
          <w:rFonts w:hAnsi="Book Antiqua" w:hint="default"/>
          <w:rtl w:val="0"/>
          <w:lang w:val="it-IT"/>
        </w:rPr>
        <w:t xml:space="preserve">ù </w:t>
      </w:r>
      <w:r>
        <w:rPr>
          <w:rFonts w:ascii="Book Antiqua"/>
          <w:rtl w:val="0"/>
          <w:lang w:val="it-IT"/>
        </w:rPr>
        <w:t>possibile le ripercussioni negative sull</w:t>
      </w:r>
      <w:r>
        <w:rPr>
          <w:rFonts w:hAnsi="Book Antiqua" w:hint="default"/>
          <w:rtl w:val="0"/>
          <w:lang w:val="it-IT"/>
        </w:rPr>
        <w:t>’</w:t>
      </w:r>
      <w:r>
        <w:rPr>
          <w:rFonts w:ascii="Book Antiqua"/>
          <w:rtl w:val="0"/>
          <w:lang w:val="it-IT"/>
        </w:rPr>
        <w:t>ambiente nonch</w:t>
      </w:r>
      <w:r>
        <w:rPr>
          <w:rFonts w:hAnsi="Book Antiqua" w:hint="default"/>
          <w:rtl w:val="0"/>
          <w:lang w:val="it-IT"/>
        </w:rPr>
        <w:t xml:space="preserve">é </w:t>
      </w:r>
      <w:r>
        <w:rPr>
          <w:rFonts w:ascii="Book Antiqua"/>
          <w:rtl w:val="0"/>
          <w:lang w:val="it-IT"/>
        </w:rPr>
        <w:t>i rischi per la salute umana</w:t>
      </w:r>
      <w:r>
        <w:rPr>
          <w:rFonts w:hAnsi="Book Antiqua" w:hint="default"/>
          <w:rtl w:val="0"/>
          <w:lang w:val="it-IT"/>
        </w:rPr>
        <w:t>”</w:t>
      </w:r>
      <w:r>
        <w:rPr>
          <w:rFonts w:ascii="Book Antiqua"/>
          <w:rtl w:val="0"/>
          <w:lang w:val="it-IT"/>
        </w:rPr>
        <w:t xml:space="preserve">; </w:t>
      </w:r>
      <w:r>
        <w:rPr>
          <w:rFonts w:hAnsi="Book Antiqua" w:hint="default"/>
          <w:rtl w:val="0"/>
          <w:lang w:val="it-IT"/>
        </w:rPr>
        <w:t>“…</w:t>
      </w:r>
      <w:r>
        <w:rPr>
          <w:rFonts w:ascii="Book Antiqua"/>
          <w:rtl w:val="0"/>
          <w:lang w:val="it-IT"/>
        </w:rPr>
        <w:t>un trattamento che consiste nella mera compressione e/o triturazione di rifiuti indifferenziati da destinare a discarica, e che non includa un</w:t>
      </w:r>
      <w:r>
        <w:rPr>
          <w:rFonts w:hAnsi="Book Antiqua" w:hint="default"/>
          <w:rtl w:val="0"/>
          <w:lang w:val="it-IT"/>
        </w:rPr>
        <w:t>’</w:t>
      </w:r>
      <w:r>
        <w:rPr>
          <w:rFonts w:ascii="Book Antiqua"/>
          <w:rtl w:val="0"/>
          <w:lang w:val="it-IT"/>
        </w:rPr>
        <w:t xml:space="preserve">adeguata selezione delle diverse frazioni dei rifiuti e una qualche forma di stabilizzazione della frazione organica dei rifiuti stessi, non </w:t>
      </w:r>
      <w:r>
        <w:rPr>
          <w:rFonts w:hAnsi="Book Antiqua" w:hint="default"/>
          <w:rtl w:val="0"/>
          <w:lang w:val="it-IT"/>
        </w:rPr>
        <w:t xml:space="preserve">è </w:t>
      </w:r>
      <w:r>
        <w:rPr>
          <w:rFonts w:ascii="Book Antiqua"/>
          <w:rtl w:val="0"/>
          <w:lang w:val="it-IT"/>
        </w:rPr>
        <w:t>tale da evitare o ridurre il pi</w:t>
      </w:r>
      <w:r>
        <w:rPr>
          <w:rFonts w:hAnsi="Book Antiqua" w:hint="default"/>
          <w:rtl w:val="0"/>
          <w:lang w:val="it-IT"/>
        </w:rPr>
        <w:t xml:space="preserve">ù </w:t>
      </w:r>
      <w:r>
        <w:rPr>
          <w:rFonts w:ascii="Book Antiqua"/>
          <w:rtl w:val="0"/>
          <w:lang w:val="it-IT"/>
        </w:rPr>
        <w:t>possibile le ripercussioni negative sull</w:t>
      </w:r>
      <w:r>
        <w:rPr>
          <w:rFonts w:hAnsi="Book Antiqua" w:hint="default"/>
          <w:rtl w:val="0"/>
          <w:lang w:val="it-IT"/>
        </w:rPr>
        <w:t>’</w:t>
      </w:r>
      <w:r>
        <w:rPr>
          <w:rFonts w:ascii="Book Antiqua"/>
          <w:rtl w:val="0"/>
          <w:lang w:val="it-IT"/>
        </w:rPr>
        <w:t>ambiente e i rischi sulla salute umana</w:t>
      </w:r>
      <w:r>
        <w:rPr>
          <w:rFonts w:hAnsi="Book Antiqua" w:hint="default"/>
          <w:rtl w:val="0"/>
          <w:lang w:val="it-IT"/>
        </w:rPr>
        <w:t xml:space="preserve">…” </w:t>
      </w:r>
      <w:r>
        <w:rPr>
          <w:rFonts w:ascii="Book Antiqua"/>
          <w:rtl w:val="0"/>
          <w:lang w:val="it-IT"/>
        </w:rPr>
        <w:t xml:space="preserve">ai sensi della normativa comunitaria; </w:t>
      </w:r>
      <w:r>
        <w:rPr>
          <w:rFonts w:hAnsi="Book Antiqua" w:hint="default"/>
          <w:rtl w:val="0"/>
          <w:lang w:val="it-IT"/>
        </w:rPr>
        <w:t>“…</w:t>
      </w:r>
      <w:r>
        <w:rPr>
          <w:rFonts w:ascii="Book Antiqua"/>
          <w:rtl w:val="0"/>
          <w:lang w:val="it-IT"/>
        </w:rPr>
        <w:t>il metodo relativo alla raccolta differenziata</w:t>
      </w:r>
      <w:r>
        <w:rPr>
          <w:rFonts w:hAnsi="Book Antiqua" w:hint="default"/>
          <w:rtl w:val="0"/>
          <w:lang w:val="it-IT"/>
        </w:rPr>
        <w:t>…</w:t>
      </w:r>
      <w:r>
        <w:rPr>
          <w:rFonts w:ascii="Book Antiqua"/>
          <w:rtl w:val="0"/>
          <w:lang w:val="it-IT"/>
        </w:rPr>
        <w:t>non potrebbe costituire un trattamento ai sensi dell</w:t>
      </w:r>
      <w:r>
        <w:rPr>
          <w:rFonts w:hAnsi="Book Antiqua" w:hint="default"/>
          <w:rtl w:val="0"/>
          <w:lang w:val="it-IT"/>
        </w:rPr>
        <w:t>’</w:t>
      </w:r>
      <w:r>
        <w:rPr>
          <w:rFonts w:ascii="Book Antiqua"/>
          <w:rtl w:val="0"/>
          <w:lang w:val="it-IT"/>
        </w:rPr>
        <w:t>articolo 6 lettera a) della direttiva 199/31/CE letto alla luce del combinato disposto dell</w:t>
      </w:r>
      <w:r>
        <w:rPr>
          <w:rFonts w:hAnsi="Book Antiqua" w:hint="default"/>
          <w:rtl w:val="0"/>
          <w:lang w:val="it-IT"/>
        </w:rPr>
        <w:t>’</w:t>
      </w:r>
      <w:r>
        <w:rPr>
          <w:rFonts w:ascii="Book Antiqua"/>
          <w:rtl w:val="0"/>
          <w:lang w:val="it-IT"/>
        </w:rPr>
        <w:t xml:space="preserve">articolo 1 della direttiva 199/31/CE e degli 4 e 13 a) della direttiva 2008/98/CE in quanto il fatto che la percentuale di raccolta differenziata venga aumentata non autorizza a concludere che la parte di rifiuto che rimane indifferenziato non debba essere sottoposto ad un trattamento adeguato, comprensivo di stabilizzazione della frazione organica dei rifiuti stessi, prima della messa in discarica e pertanto non </w:t>
      </w:r>
      <w:r>
        <w:rPr>
          <w:rFonts w:hAnsi="Book Antiqua" w:hint="default"/>
          <w:rtl w:val="0"/>
          <w:lang w:val="it-IT"/>
        </w:rPr>
        <w:t xml:space="preserve">è </w:t>
      </w:r>
      <w:r>
        <w:rPr>
          <w:rFonts w:ascii="Book Antiqua"/>
          <w:rtl w:val="0"/>
          <w:lang w:val="it-IT"/>
        </w:rPr>
        <w:t>tale da evitare o ridurre il pi</w:t>
      </w:r>
      <w:r>
        <w:rPr>
          <w:rFonts w:hAnsi="Book Antiqua" w:hint="default"/>
          <w:rtl w:val="0"/>
          <w:lang w:val="it-IT"/>
        </w:rPr>
        <w:t xml:space="preserve">ù </w:t>
      </w:r>
      <w:r>
        <w:rPr>
          <w:rFonts w:ascii="Book Antiqua"/>
          <w:rtl w:val="0"/>
          <w:lang w:val="it-IT"/>
        </w:rPr>
        <w:t>possibile le ripercussioni negative sull</w:t>
      </w:r>
      <w:r>
        <w:rPr>
          <w:rFonts w:hAnsi="Book Antiqua" w:hint="default"/>
          <w:rtl w:val="0"/>
          <w:lang w:val="it-IT"/>
        </w:rPr>
        <w:t>’</w:t>
      </w:r>
      <w:r>
        <w:rPr>
          <w:rFonts w:ascii="Book Antiqua"/>
          <w:rtl w:val="0"/>
          <w:lang w:val="it-IT"/>
        </w:rPr>
        <w:t>ambiente e i rischi per la salute umana</w:t>
      </w:r>
      <w:r>
        <w:rPr>
          <w:rFonts w:hAnsi="Book Antiqua" w:hint="default"/>
          <w:rtl w:val="0"/>
          <w:lang w:val="it-IT"/>
        </w:rPr>
        <w:t>…”</w:t>
      </w:r>
      <w:r>
        <w:rPr>
          <w:rFonts w:ascii="Book Antiqua"/>
          <w:rtl w:val="0"/>
          <w:lang w:val="it-IT"/>
        </w:rPr>
        <w:t xml:space="preserve">. 3 - Quindi, per quanto concerne le indicazioni della circolare in merito alla definizione di </w:t>
      </w:r>
      <w:r>
        <w:rPr>
          <w:rFonts w:hAnsi="Book Antiqua" w:hint="default"/>
          <w:rtl w:val="0"/>
          <w:lang w:val="it-IT"/>
        </w:rPr>
        <w:t>“</w:t>
      </w:r>
      <w:r>
        <w:rPr>
          <w:rFonts w:ascii="Book Antiqua"/>
          <w:rtl w:val="0"/>
          <w:lang w:val="it-IT"/>
        </w:rPr>
        <w:t>trattamento</w:t>
      </w:r>
      <w:r>
        <w:rPr>
          <w:rFonts w:hAnsi="Book Antiqua" w:hint="default"/>
          <w:rtl w:val="0"/>
          <w:lang w:val="it-IT"/>
        </w:rPr>
        <w:t xml:space="preserve">” </w:t>
      </w:r>
      <w:r>
        <w:rPr>
          <w:rFonts w:ascii="Book Antiqua"/>
          <w:rtl w:val="0"/>
          <w:lang w:val="it-IT"/>
        </w:rPr>
        <w:t>(di cui alla precedente lettera a), alla data del 1</w:t>
      </w:r>
      <w:r>
        <w:rPr>
          <w:rFonts w:hAnsi="Book Antiqua" w:hint="default"/>
          <w:rtl w:val="0"/>
          <w:lang w:val="it-IT"/>
        </w:rPr>
        <w:t xml:space="preserve">° </w:t>
      </w:r>
      <w:r>
        <w:rPr>
          <w:rFonts w:ascii="Book Antiqua"/>
          <w:rtl w:val="0"/>
          <w:lang w:val="it-IT"/>
        </w:rPr>
        <w:t>giugno 2012, la tritovagliatura, pur rappresentando un miglioramento della gestione dei rifiuti indifferenziati, non soddisfa, da sola, l</w:t>
      </w:r>
      <w:r>
        <w:rPr>
          <w:rFonts w:hAnsi="Book Antiqua" w:hint="default"/>
          <w:rtl w:val="0"/>
          <w:lang w:val="it-IT"/>
        </w:rPr>
        <w:t>’</w:t>
      </w:r>
      <w:r>
        <w:rPr>
          <w:rFonts w:ascii="Book Antiqua"/>
          <w:rtl w:val="0"/>
          <w:lang w:val="it-IT"/>
        </w:rPr>
        <w:t>obbligo di trattamento previsto dall</w:t>
      </w:r>
      <w:r>
        <w:rPr>
          <w:rFonts w:hAnsi="Book Antiqua" w:hint="default"/>
          <w:rtl w:val="0"/>
          <w:lang w:val="it-IT"/>
        </w:rPr>
        <w:t>’</w:t>
      </w:r>
      <w:r>
        <w:rPr>
          <w:rFonts w:ascii="Book Antiqua"/>
          <w:rtl w:val="0"/>
          <w:lang w:val="it-IT"/>
        </w:rPr>
        <w:t>articolo 6, lettera a) della direttiva 1999/31/CE. Tale obbligo, previsto dall</w:t>
      </w:r>
      <w:r>
        <w:rPr>
          <w:rFonts w:hAnsi="Book Antiqua" w:hint="default"/>
          <w:rtl w:val="0"/>
          <w:lang w:val="it-IT"/>
        </w:rPr>
        <w:t>’</w:t>
      </w:r>
      <w:r>
        <w:rPr>
          <w:rFonts w:ascii="Book Antiqua"/>
          <w:rtl w:val="0"/>
          <w:lang w:val="it-IT"/>
        </w:rPr>
        <w:t xml:space="preserve">ordinamento nazionale - articolo 7, comma 1, del decreto legislativo 36/2003 </w:t>
      </w:r>
      <w:r>
        <w:rPr>
          <w:rFonts w:hAnsi="Book Antiqua" w:hint="default"/>
          <w:rtl w:val="0"/>
          <w:lang w:val="it-IT"/>
        </w:rPr>
        <w:t xml:space="preserve">– </w:t>
      </w:r>
      <w:r>
        <w:rPr>
          <w:rFonts w:ascii="Book Antiqua"/>
          <w:rtl w:val="0"/>
          <w:lang w:val="it-IT"/>
        </w:rPr>
        <w:t>deve necessariamente includere un</w:t>
      </w:r>
      <w:r>
        <w:rPr>
          <w:rFonts w:hAnsi="Book Antiqua" w:hint="default"/>
          <w:rtl w:val="0"/>
          <w:lang w:val="it-IT"/>
        </w:rPr>
        <w:t>’</w:t>
      </w:r>
      <w:r>
        <w:rPr>
          <w:rFonts w:ascii="Book Antiqua"/>
          <w:rtl w:val="0"/>
          <w:lang w:val="it-IT"/>
        </w:rPr>
        <w:t>adeguata selezione delle diverse frazioni dei rifiuti e la stabilizzazione della frazione organica. Infatti, le operazioni e i processi che soddisfano i requisiti minimi per rispettare il vincolo del conferimento in discarica dei soli rifiuti trattati sono il trattamento effettuato mediante tecnologie pi</w:t>
      </w:r>
      <w:r>
        <w:rPr>
          <w:rFonts w:hAnsi="Book Antiqua" w:hint="default"/>
          <w:rtl w:val="0"/>
          <w:lang w:val="it-IT"/>
        </w:rPr>
        <w:t xml:space="preserve">ù </w:t>
      </w:r>
      <w:r>
        <w:rPr>
          <w:rFonts w:ascii="Book Antiqua"/>
          <w:rtl w:val="0"/>
          <w:lang w:val="it-IT"/>
        </w:rPr>
        <w:t>o meno complesse come ad esempio la bioessiccazione e la digestione anaerobica previa selezione, il trattamento meccanico biologico e l</w:t>
      </w:r>
      <w:r>
        <w:rPr>
          <w:rFonts w:hAnsi="Book Antiqua" w:hint="default"/>
          <w:rtl w:val="0"/>
          <w:lang w:val="it-IT"/>
        </w:rPr>
        <w:t>’</w:t>
      </w:r>
      <w:r>
        <w:rPr>
          <w:rFonts w:ascii="Book Antiqua"/>
          <w:rtl w:val="0"/>
          <w:lang w:val="it-IT"/>
        </w:rPr>
        <w:t xml:space="preserve">incenerimento con recupero di calore e/o energia. Per quanto concerne, invece, le indicazioni della circolare sulla natura equipollente della </w:t>
      </w:r>
      <w:r>
        <w:rPr>
          <w:rFonts w:hAnsi="Book Antiqua" w:hint="default"/>
          <w:rtl w:val="0"/>
          <w:lang w:val="it-IT"/>
        </w:rPr>
        <w:t>“</w:t>
      </w:r>
      <w:r>
        <w:rPr>
          <w:rFonts w:ascii="Book Antiqua"/>
          <w:rtl w:val="0"/>
          <w:lang w:val="it-IT"/>
        </w:rPr>
        <w:t>raccolta differenziata spinta</w:t>
      </w:r>
      <w:r>
        <w:rPr>
          <w:rFonts w:hAnsi="Book Antiqua" w:hint="default"/>
          <w:rtl w:val="0"/>
          <w:lang w:val="it-IT"/>
        </w:rPr>
        <w:t xml:space="preserve">” </w:t>
      </w:r>
      <w:r>
        <w:rPr>
          <w:rFonts w:ascii="Book Antiqua"/>
          <w:rtl w:val="0"/>
          <w:lang w:val="it-IT"/>
        </w:rPr>
        <w:t xml:space="preserve">al trattamento (di cui alla precedente lettera b), le disposizioni della Direttiva discariche 1999/31/CE e del decreto legislativo 36/2003 (articoli 5 e 7) come interpretate dalla Commissione europea evidenziano che la sola raccolta differenziata spinta, come definita dalla circolare, non </w:t>
      </w:r>
      <w:r>
        <w:rPr>
          <w:rFonts w:hAnsi="Book Antiqua" w:hint="default"/>
          <w:rtl w:val="0"/>
          <w:lang w:val="it-IT"/>
        </w:rPr>
        <w:t xml:space="preserve">è </w:t>
      </w:r>
      <w:r>
        <w:rPr>
          <w:rFonts w:ascii="Book Antiqua"/>
          <w:rtl w:val="0"/>
          <w:lang w:val="it-IT"/>
        </w:rPr>
        <w:t>di per se idonea a escludere la necessit</w:t>
      </w:r>
      <w:r>
        <w:rPr>
          <w:rFonts w:hAnsi="Book Antiqua" w:hint="default"/>
          <w:rtl w:val="0"/>
          <w:lang w:val="it-IT"/>
        </w:rPr>
        <w:t xml:space="preserve">à </w:t>
      </w:r>
      <w:r>
        <w:rPr>
          <w:rFonts w:ascii="Book Antiqua"/>
          <w:rtl w:val="0"/>
          <w:lang w:val="it-IT"/>
        </w:rPr>
        <w:t>di sottoporre a preventivo trattamento i rifiuti indifferenziati residuali se, oltre alla prova di aver conseguito gli obiettivi progressivi di riduzione dei rifiuti urbani biodegradabili da collocare in discarica (articolo 5), non viene data anche la dimostrazione (articolo 7) che il trattamento non contribuisce a prevenire o a ridurre il pi</w:t>
      </w:r>
      <w:r>
        <w:rPr>
          <w:rFonts w:hAnsi="Book Antiqua" w:hint="default"/>
          <w:rtl w:val="0"/>
          <w:lang w:val="it-IT"/>
        </w:rPr>
        <w:t xml:space="preserve">ù </w:t>
      </w:r>
      <w:r>
        <w:rPr>
          <w:rFonts w:ascii="Book Antiqua"/>
          <w:rtl w:val="0"/>
          <w:lang w:val="it-IT"/>
        </w:rPr>
        <w:t>possibile le ripercussioni negative sull</w:t>
      </w:r>
      <w:r>
        <w:rPr>
          <w:rFonts w:hAnsi="Book Antiqua" w:hint="default"/>
          <w:rtl w:val="0"/>
          <w:lang w:val="it-IT"/>
        </w:rPr>
        <w:t>’</w:t>
      </w:r>
      <w:r>
        <w:rPr>
          <w:rFonts w:ascii="Book Antiqua"/>
          <w:rtl w:val="0"/>
          <w:lang w:val="it-IT"/>
        </w:rPr>
        <w:t xml:space="preserve">ambiente e i rischi per la salute umana e non </w:t>
      </w:r>
      <w:r>
        <w:rPr>
          <w:rFonts w:hAnsi="Book Antiqua" w:hint="default"/>
          <w:rtl w:val="0"/>
          <w:lang w:val="it-IT"/>
        </w:rPr>
        <w:t xml:space="preserve">è </w:t>
      </w:r>
      <w:r>
        <w:rPr>
          <w:rFonts w:ascii="Book Antiqua"/>
          <w:rtl w:val="0"/>
          <w:lang w:val="it-IT"/>
        </w:rPr>
        <w:t>indispensabile ai fini del rispetto dei limiti fissati dalla normativa vigente. Si deve poi aggiungere che, successivamente alla data di adozione della circolare, sono state adottate nuove norme per l</w:t>
      </w:r>
      <w:r>
        <w:rPr>
          <w:rFonts w:hAnsi="Book Antiqua" w:hint="default"/>
          <w:rtl w:val="0"/>
          <w:lang w:val="it-IT"/>
        </w:rPr>
        <w:t>’</w:t>
      </w:r>
      <w:r>
        <w:rPr>
          <w:rFonts w:ascii="Book Antiqua"/>
          <w:rtl w:val="0"/>
          <w:lang w:val="it-IT"/>
        </w:rPr>
        <w:t>ammissibilit</w:t>
      </w:r>
      <w:r>
        <w:rPr>
          <w:rFonts w:hAnsi="Book Antiqua" w:hint="default"/>
          <w:rtl w:val="0"/>
          <w:lang w:val="it-IT"/>
        </w:rPr>
        <w:t xml:space="preserve">à </w:t>
      </w:r>
      <w:r>
        <w:rPr>
          <w:rFonts w:ascii="Book Antiqua"/>
          <w:rtl w:val="0"/>
          <w:lang w:val="it-IT"/>
        </w:rPr>
        <w:t>dei rifiuti in discarica. Pi</w:t>
      </w:r>
      <w:r>
        <w:rPr>
          <w:rFonts w:hAnsi="Book Antiqua" w:hint="default"/>
          <w:rtl w:val="0"/>
          <w:lang w:val="it-IT"/>
        </w:rPr>
        <w:t xml:space="preserve">ù </w:t>
      </w:r>
      <w:r>
        <w:rPr>
          <w:rFonts w:ascii="Book Antiqua"/>
          <w:rtl w:val="0"/>
          <w:lang w:val="it-IT"/>
        </w:rPr>
        <w:t>precisamente, il decreto ministeriale 27 settembre 2010, che ha sostituito e abrogato il D.M 3 agosto 2005, ha superato le difficolt</w:t>
      </w:r>
      <w:r>
        <w:rPr>
          <w:rFonts w:hAnsi="Book Antiqua" w:hint="default"/>
          <w:rtl w:val="0"/>
          <w:lang w:val="it-IT"/>
        </w:rPr>
        <w:t xml:space="preserve">à </w:t>
      </w:r>
      <w:r>
        <w:rPr>
          <w:rFonts w:ascii="Book Antiqua"/>
          <w:rtl w:val="0"/>
          <w:lang w:val="it-IT"/>
        </w:rPr>
        <w:t>applicative che avevano reso necessario definire il regime transitorio in questione. 4 - In particolare, sono state superate le difficolt</w:t>
      </w:r>
      <w:r>
        <w:rPr>
          <w:rFonts w:hAnsi="Book Antiqua" w:hint="default"/>
          <w:rtl w:val="0"/>
          <w:lang w:val="it-IT"/>
        </w:rPr>
        <w:t xml:space="preserve">à </w:t>
      </w:r>
      <w:r>
        <w:rPr>
          <w:rFonts w:ascii="Book Antiqua"/>
          <w:rtl w:val="0"/>
          <w:lang w:val="it-IT"/>
        </w:rPr>
        <w:t>applicative del D.M 3 agosto 2005 dovute al limite molto restrittivo del parametro DOC (Carbonio Organico Disciolto) nell</w:t>
      </w:r>
      <w:r>
        <w:rPr>
          <w:rFonts w:hAnsi="Book Antiqua" w:hint="default"/>
          <w:rtl w:val="0"/>
          <w:lang w:val="it-IT"/>
        </w:rPr>
        <w:t>’</w:t>
      </w:r>
      <w:r>
        <w:rPr>
          <w:rFonts w:ascii="Book Antiqua"/>
          <w:rtl w:val="0"/>
          <w:lang w:val="it-IT"/>
        </w:rPr>
        <w:t>eluato (test di cessione) che non era raggiungibile per alcune tipologie di rifiuti non pericolosi di matrice organica, ancorch</w:t>
      </w:r>
      <w:r>
        <w:rPr>
          <w:rFonts w:hAnsi="Book Antiqua" w:hint="default"/>
          <w:rtl w:val="0"/>
          <w:lang w:val="it-IT"/>
        </w:rPr>
        <w:t xml:space="preserve">é </w:t>
      </w:r>
      <w:r>
        <w:rPr>
          <w:rFonts w:ascii="Book Antiqua"/>
          <w:rtl w:val="0"/>
          <w:lang w:val="it-IT"/>
        </w:rPr>
        <w:t xml:space="preserve">ben stabilizzati biologicamente; limite che, per le discariche di rifiuti non pericolosi, non era previsto dalla disciplina europea e rendeva di fatto inapplicabile il decreto legislativo 36/2003. Infine, </w:t>
      </w:r>
      <w:r>
        <w:rPr>
          <w:rFonts w:hAnsi="Book Antiqua" w:hint="default"/>
          <w:rtl w:val="0"/>
          <w:lang w:val="it-IT"/>
        </w:rPr>
        <w:t xml:space="preserve">è </w:t>
      </w:r>
      <w:r>
        <w:rPr>
          <w:rFonts w:ascii="Book Antiqua"/>
          <w:rtl w:val="0"/>
          <w:lang w:val="it-IT"/>
        </w:rPr>
        <w:t>scaduto il regime transitorio di cui all'articolo 17 del decreto legislativo 13 gennaio 2003, n. 36. In conclusione, alla luce del parere motivato della Commissione europea e delle citate sopravvenute norme, il regime transitorio disciplinato dalla circolare U.prot.GAB-2009-0014963 del 30/06/2009 e le indicazioni ivi fornite non sono pi</w:t>
      </w:r>
      <w:r>
        <w:rPr>
          <w:rFonts w:hAnsi="Book Antiqua" w:hint="default"/>
          <w:rtl w:val="0"/>
          <w:lang w:val="it-IT"/>
        </w:rPr>
        <w:t xml:space="preserve">ù </w:t>
      </w:r>
      <w:r>
        <w:rPr>
          <w:rFonts w:ascii="Book Antiqua"/>
          <w:rtl w:val="0"/>
          <w:lang w:val="it-IT"/>
        </w:rPr>
        <w:t>efficaci. Con l</w:t>
      </w:r>
      <w:r>
        <w:rPr>
          <w:rFonts w:hAnsi="Book Antiqua" w:hint="default"/>
          <w:rtl w:val="0"/>
          <w:lang w:val="it-IT"/>
        </w:rPr>
        <w:t>’</w:t>
      </w:r>
      <w:r>
        <w:rPr>
          <w:rFonts w:ascii="Book Antiqua"/>
          <w:rtl w:val="0"/>
          <w:lang w:val="it-IT"/>
        </w:rPr>
        <w:t>occasione, al fine di rispettare i limiti fissati dalla normativa vigente, si rende necessario ribadire, con l</w:t>
      </w:r>
      <w:r>
        <w:rPr>
          <w:rFonts w:hAnsi="Book Antiqua" w:hint="default"/>
          <w:rtl w:val="0"/>
          <w:lang w:val="it-IT"/>
        </w:rPr>
        <w:t>’</w:t>
      </w:r>
      <w:r>
        <w:rPr>
          <w:rFonts w:ascii="Book Antiqua"/>
          <w:rtl w:val="0"/>
          <w:lang w:val="it-IT"/>
        </w:rPr>
        <w:t>urgenza del caso, la necessit</w:t>
      </w:r>
      <w:r>
        <w:rPr>
          <w:rFonts w:hAnsi="Book Antiqua" w:hint="default"/>
          <w:rtl w:val="0"/>
          <w:lang w:val="it-IT"/>
        </w:rPr>
        <w:t xml:space="preserve">à </w:t>
      </w:r>
      <w:r>
        <w:rPr>
          <w:rFonts w:ascii="Book Antiqua"/>
          <w:rtl w:val="0"/>
          <w:lang w:val="it-IT"/>
        </w:rPr>
        <w:t>di dare piena attuazione al programma per la riduzione dei rifiuti biodegradabili da collocare in discarica previsto dall</w:t>
      </w:r>
      <w:r>
        <w:rPr>
          <w:rFonts w:hAnsi="Book Antiqua" w:hint="default"/>
          <w:rtl w:val="0"/>
          <w:lang w:val="it-IT"/>
        </w:rPr>
        <w:t>’</w:t>
      </w:r>
      <w:r>
        <w:rPr>
          <w:rFonts w:ascii="Book Antiqua"/>
          <w:rtl w:val="0"/>
          <w:lang w:val="it-IT"/>
        </w:rPr>
        <w:t>articolo 5 del decreto legislativo n. 36 del 2003 e di incentivare la raccolta differenziata. Si ricorda, da ultimo, che entro il 2015, come stabilito dall</w:t>
      </w:r>
      <w:r>
        <w:rPr>
          <w:rFonts w:hAnsi="Book Antiqua" w:hint="default"/>
          <w:rtl w:val="0"/>
          <w:lang w:val="it-IT"/>
        </w:rPr>
        <w:t>’</w:t>
      </w:r>
      <w:r>
        <w:rPr>
          <w:rFonts w:ascii="Book Antiqua"/>
          <w:rtl w:val="0"/>
          <w:lang w:val="it-IT"/>
        </w:rPr>
        <w:t>articolo 181, comma 1, del decreto legislativo n. 152 del 2006 e s.m.i., deve essere garantita almeno la raccolta differenziata per la carta, metalli, plastica e vetro, e ove possibile, per il legno, al fine di conseguire gli obiettivi comunitari entro il 2020. Tutto ci</w:t>
      </w:r>
      <w:r>
        <w:rPr>
          <w:rFonts w:hAnsi="Book Antiqua" w:hint="default"/>
          <w:rtl w:val="0"/>
          <w:lang w:val="it-IT"/>
        </w:rPr>
        <w:t xml:space="preserve">ò </w:t>
      </w:r>
      <w:r>
        <w:rPr>
          <w:rFonts w:ascii="Book Antiqua"/>
          <w:rtl w:val="0"/>
          <w:lang w:val="it-IT"/>
        </w:rPr>
        <w:t>fatto presente, si invitano le Regioni e Province autonome in indirizzo ad osservare quanto sopra disposto e ad adottare le ulteriori iniziative necessarie, in termini di attuazione della pianificazione con particolare riferimento alla gestione dei rifiuti urbani, al fine di rispettare gli obiettivi stabiliti dalle norme comunitarie.</w:t>
      </w:r>
      <w:r>
        <w:rPr>
          <w:rFonts w:hAnsi="Book Antiqua" w:hint="default"/>
          <w:rtl w:val="0"/>
          <w:lang w:val="it-IT"/>
        </w:rPr>
        <w:t>”</w:t>
      </w:r>
    </w:p>
    <w:p>
      <w:pPr>
        <w:pStyle w:val="Elenco a colori - Colore 11"/>
        <w:spacing w:after="0" w:line="240" w:lineRule="auto"/>
        <w:ind w:left="567" w:right="567" w:firstLine="0"/>
        <w:jc w:val="both"/>
        <w:rPr>
          <w:rFonts w:ascii="Book Antiqua" w:cs="Book Antiqua" w:hAnsi="Book Antiqua" w:eastAsia="Book Antiqua"/>
          <w:sz w:val="24"/>
          <w:szCs w:val="24"/>
        </w:rPr>
      </w:pPr>
    </w:p>
    <w:p>
      <w:pPr>
        <w:pStyle w:val="Elenco a colori - Colore 11"/>
        <w:spacing w:after="0" w:line="240" w:lineRule="auto"/>
        <w:ind w:left="567" w:right="567" w:firstLine="0"/>
        <w:jc w:val="both"/>
        <w:rPr>
          <w:rFonts w:ascii="Book Antiqua" w:cs="Book Antiqua" w:hAnsi="Book Antiqua" w:eastAsia="Book Antiqua"/>
          <w:sz w:val="24"/>
          <w:szCs w:val="24"/>
        </w:rPr>
      </w:pPr>
      <w:r>
        <w:rPr>
          <w:rFonts w:ascii="Book Antiqua"/>
          <w:sz w:val="24"/>
          <w:szCs w:val="24"/>
          <w:rtl w:val="0"/>
          <w:lang w:val="it-IT"/>
        </w:rPr>
        <w:t xml:space="preserve">Intanto sulla questione AMA </w:t>
      </w:r>
      <w:r>
        <w:rPr>
          <w:rFonts w:hAnsi="Book Antiqua" w:hint="default"/>
          <w:sz w:val="24"/>
          <w:szCs w:val="24"/>
          <w:rtl w:val="0"/>
          <w:lang w:val="it-IT"/>
        </w:rPr>
        <w:t xml:space="preserve">– </w:t>
      </w:r>
      <w:r>
        <w:rPr>
          <w:rFonts w:ascii="Book Antiqua"/>
          <w:sz w:val="24"/>
          <w:szCs w:val="24"/>
          <w:rtl w:val="0"/>
          <w:lang w:val="it-IT"/>
        </w:rPr>
        <w:t xml:space="preserve">Co.La.Ri, il 20 dicembre 2013 la provincia di Roma risponde ad AMA S.p.A. con una nota scrivendo: </w:t>
      </w:r>
      <w:r>
        <w:rPr>
          <w:rFonts w:hAnsi="Book Antiqua" w:hint="default"/>
          <w:sz w:val="24"/>
          <w:szCs w:val="24"/>
          <w:rtl w:val="0"/>
          <w:lang w:val="it-IT"/>
        </w:rPr>
        <w:t>“</w:t>
      </w:r>
      <w:r>
        <w:rPr>
          <w:rFonts w:ascii="Book Antiqua"/>
          <w:sz w:val="24"/>
          <w:szCs w:val="24"/>
          <w:rtl w:val="0"/>
          <w:lang w:val="it-IT"/>
        </w:rPr>
        <w:t>In riferimento alla nota di cui all'oggetto, acquisita con ns. prot c. 7891</w:t>
      </w:r>
      <w:r>
        <w:rPr>
          <w:rFonts w:hAnsi="Book Antiqua" w:hint="default"/>
          <w:sz w:val="24"/>
          <w:szCs w:val="24"/>
          <w:rtl w:val="0"/>
          <w:lang w:val="it-IT"/>
        </w:rPr>
        <w:t>Ì</w:t>
      </w:r>
      <w:r>
        <w:rPr>
          <w:rFonts w:ascii="Book Antiqua"/>
          <w:sz w:val="24"/>
          <w:szCs w:val="24"/>
          <w:rtl w:val="0"/>
          <w:lang w:val="it-IT"/>
        </w:rPr>
        <w:t>/I3/PTA26 del 06/062013, si comunica che la scrivente amministrazione provinciale non ha competenza in materia di determinazione dell'importo della tariffa, definitiva da applicare al contratto che verr</w:t>
      </w:r>
      <w:r>
        <w:rPr>
          <w:rFonts w:hAnsi="Book Antiqua" w:hint="default"/>
          <w:sz w:val="24"/>
          <w:szCs w:val="24"/>
          <w:rtl w:val="0"/>
          <w:lang w:val="it-IT"/>
        </w:rPr>
        <w:t xml:space="preserve">à </w:t>
      </w:r>
      <w:r>
        <w:rPr>
          <w:rFonts w:ascii="Book Antiqua"/>
          <w:sz w:val="24"/>
          <w:szCs w:val="24"/>
          <w:rtl w:val="0"/>
          <w:lang w:val="it-IT"/>
        </w:rPr>
        <w:t>sottoscritto tra AMA S.p.A. e Co.La.Ri. in relazione alle attivit</w:t>
      </w:r>
      <w:r>
        <w:rPr>
          <w:rFonts w:hAnsi="Book Antiqua" w:hint="default"/>
          <w:sz w:val="24"/>
          <w:szCs w:val="24"/>
          <w:rtl w:val="0"/>
          <w:lang w:val="it-IT"/>
        </w:rPr>
        <w:t xml:space="preserve">à </w:t>
      </w:r>
      <w:r>
        <w:rPr>
          <w:rFonts w:ascii="Book Antiqua"/>
          <w:sz w:val="24"/>
          <w:szCs w:val="24"/>
          <w:rtl w:val="0"/>
          <w:lang w:val="it-IT"/>
        </w:rPr>
        <w:t>autorizzate con D.D. n. 1228 del 07/03/2013.</w:t>
      </w:r>
      <w:r>
        <w:rPr>
          <w:rFonts w:hAnsi="Book Antiqua" w:hint="default"/>
          <w:sz w:val="24"/>
          <w:szCs w:val="24"/>
          <w:rtl w:val="0"/>
          <w:lang w:val="it-IT"/>
        </w:rPr>
        <w:t xml:space="preserve">”  </w:t>
      </w:r>
    </w:p>
    <w:p>
      <w:pPr>
        <w:pStyle w:val="Elenco a colori - Colore 11"/>
        <w:spacing w:after="0" w:line="240" w:lineRule="auto"/>
        <w:ind w:left="567" w:right="567" w:firstLine="0"/>
        <w:jc w:val="both"/>
        <w:rPr>
          <w:rFonts w:ascii="Book Antiqua" w:cs="Book Antiqua" w:hAnsi="Book Antiqua" w:eastAsia="Book Antiqua"/>
          <w:sz w:val="24"/>
          <w:szCs w:val="24"/>
        </w:rPr>
      </w:pPr>
      <w:r>
        <w:rPr>
          <w:rFonts w:ascii="Book Antiqua"/>
          <w:sz w:val="24"/>
          <w:szCs w:val="24"/>
          <w:rtl w:val="0"/>
          <w:lang w:val="it-IT"/>
        </w:rPr>
        <w:t>In parole povere sia la regione Lazio che la provincia di Roma comunicarono all</w:t>
      </w:r>
      <w:r>
        <w:rPr>
          <w:rFonts w:hAnsi="Book Antiqua" w:hint="default"/>
          <w:sz w:val="24"/>
          <w:szCs w:val="24"/>
          <w:rtl w:val="0"/>
          <w:lang w:val="it-IT"/>
        </w:rPr>
        <w:t>’</w:t>
      </w:r>
      <w:r>
        <w:rPr>
          <w:rFonts w:ascii="Book Antiqua"/>
          <w:sz w:val="24"/>
          <w:szCs w:val="24"/>
          <w:rtl w:val="0"/>
          <w:lang w:val="it-IT"/>
        </w:rPr>
        <w:t>AMA di non essere competenti per la determinazione della tariffa sul tritovagliatore: un</w:t>
      </w:r>
      <w:r>
        <w:rPr>
          <w:rFonts w:hAnsi="Book Antiqua" w:hint="default"/>
          <w:sz w:val="24"/>
          <w:szCs w:val="24"/>
          <w:rtl w:val="0"/>
          <w:lang w:val="it-IT"/>
        </w:rPr>
        <w:t>’</w:t>
      </w:r>
      <w:r>
        <w:rPr>
          <w:rFonts w:ascii="Book Antiqua"/>
          <w:sz w:val="24"/>
          <w:szCs w:val="24"/>
          <w:rtl w:val="0"/>
          <w:lang w:val="it-IT"/>
        </w:rPr>
        <w:t>inerzia che ha prodotto il protrarsi della situazione di mancata formale definizione dei rapporti.</w:t>
      </w:r>
    </w:p>
    <w:p>
      <w:pPr>
        <w:pStyle w:val="Elenco a colori - Colore 11"/>
        <w:spacing w:after="0" w:line="240" w:lineRule="auto"/>
        <w:ind w:left="567" w:right="567" w:firstLine="0"/>
        <w:jc w:val="both"/>
        <w:rPr>
          <w:rFonts w:ascii="Book Antiqua" w:cs="Book Antiqua" w:hAnsi="Book Antiqua" w:eastAsia="Book Antiqua"/>
          <w:sz w:val="24"/>
          <w:szCs w:val="24"/>
          <w:shd w:val="clear" w:color="auto" w:fill="ffffff"/>
        </w:rPr>
      </w:pPr>
      <w:r>
        <w:rPr>
          <w:rFonts w:ascii="Book Antiqua"/>
          <w:sz w:val="24"/>
          <w:szCs w:val="24"/>
          <w:shd w:val="clear" w:color="auto" w:fill="ffffff"/>
          <w:rtl w:val="0"/>
          <w:lang w:val="it-IT"/>
        </w:rPr>
        <w:t>Rapporti, di fatto, tra AMA e Co.La.Ri che iniziano a divenire a dir poco burrascosi per una serie di eventi: oltre all</w:t>
      </w:r>
      <w:r>
        <w:rPr>
          <w:rFonts w:hAnsi="Book Antiqua" w:hint="default"/>
          <w:sz w:val="24"/>
          <w:szCs w:val="24"/>
          <w:shd w:val="clear" w:color="auto" w:fill="ffffff"/>
          <w:rtl w:val="0"/>
          <w:lang w:val="it-IT"/>
        </w:rPr>
        <w:t>’</w:t>
      </w:r>
      <w:r>
        <w:rPr>
          <w:rFonts w:ascii="Book Antiqua"/>
          <w:sz w:val="24"/>
          <w:szCs w:val="24"/>
          <w:shd w:val="clear" w:color="auto" w:fill="ffffff"/>
          <w:rtl w:val="0"/>
          <w:lang w:val="it-IT"/>
        </w:rPr>
        <w:t>incertezza gi</w:t>
      </w:r>
      <w:r>
        <w:rPr>
          <w:rFonts w:hAnsi="Book Antiqua" w:hint="default"/>
          <w:sz w:val="24"/>
          <w:szCs w:val="24"/>
          <w:shd w:val="clear" w:color="auto" w:fill="ffffff"/>
          <w:rtl w:val="0"/>
          <w:lang w:val="it-IT"/>
        </w:rPr>
        <w:t xml:space="preserve">à </w:t>
      </w:r>
      <w:r>
        <w:rPr>
          <w:rFonts w:ascii="Book Antiqua"/>
          <w:sz w:val="24"/>
          <w:szCs w:val="24"/>
          <w:shd w:val="clear" w:color="auto" w:fill="ffffff"/>
          <w:rtl w:val="0"/>
          <w:lang w:val="it-IT"/>
        </w:rPr>
        <w:t>evidenziata sul regime tariffario, la chiusura di Malagrotta avvenuta con il sindaco Ignazio Marino, gli arresti ordinati dalla procura di Roma, la nomina a Presidente dell</w:t>
      </w:r>
      <w:r>
        <w:rPr>
          <w:rFonts w:hAnsi="Book Antiqua" w:hint="default"/>
          <w:sz w:val="24"/>
          <w:szCs w:val="24"/>
          <w:shd w:val="clear" w:color="auto" w:fill="ffffff"/>
          <w:rtl w:val="0"/>
          <w:lang w:val="it-IT"/>
        </w:rPr>
        <w:t>’</w:t>
      </w:r>
      <w:r>
        <w:rPr>
          <w:rFonts w:ascii="Book Antiqua"/>
          <w:sz w:val="24"/>
          <w:szCs w:val="24"/>
          <w:shd w:val="clear" w:color="auto" w:fill="ffffff"/>
          <w:rtl w:val="0"/>
          <w:lang w:val="it-IT"/>
        </w:rPr>
        <w:t xml:space="preserve">AMA di Daniele Fortini e la </w:t>
      </w:r>
      <w:r>
        <w:rPr>
          <w:rFonts w:hAnsi="Book Antiqua" w:hint="default"/>
          <w:sz w:val="24"/>
          <w:szCs w:val="24"/>
          <w:shd w:val="clear" w:color="auto" w:fill="ffffff"/>
          <w:rtl w:val="0"/>
          <w:lang w:val="it-IT"/>
        </w:rPr>
        <w:t>“</w:t>
      </w:r>
      <w:r>
        <w:rPr>
          <w:rFonts w:ascii="Book Antiqua"/>
          <w:sz w:val="24"/>
          <w:szCs w:val="24"/>
          <w:shd w:val="clear" w:color="auto" w:fill="ffffff"/>
          <w:rtl w:val="0"/>
          <w:lang w:val="it-IT"/>
        </w:rPr>
        <w:t>scoperta</w:t>
      </w:r>
      <w:r>
        <w:rPr>
          <w:rFonts w:hAnsi="Book Antiqua" w:hint="default"/>
          <w:sz w:val="24"/>
          <w:szCs w:val="24"/>
          <w:shd w:val="clear" w:color="auto" w:fill="ffffff"/>
          <w:rtl w:val="0"/>
          <w:lang w:val="it-IT"/>
        </w:rPr>
        <w:t xml:space="preserve">” </w:t>
      </w:r>
      <w:r>
        <w:rPr>
          <w:rFonts w:ascii="Book Antiqua"/>
          <w:sz w:val="24"/>
          <w:szCs w:val="24"/>
          <w:shd w:val="clear" w:color="auto" w:fill="ffffff"/>
          <w:rtl w:val="0"/>
          <w:lang w:val="it-IT"/>
        </w:rPr>
        <w:t>dell</w:t>
      </w:r>
      <w:r>
        <w:rPr>
          <w:rFonts w:hAnsi="Book Antiqua" w:hint="default"/>
          <w:sz w:val="24"/>
          <w:szCs w:val="24"/>
          <w:shd w:val="clear" w:color="auto" w:fill="ffffff"/>
          <w:rtl w:val="0"/>
          <w:lang w:val="it-IT"/>
        </w:rPr>
        <w:t>’</w:t>
      </w:r>
      <w:r>
        <w:rPr>
          <w:rFonts w:ascii="Book Antiqua"/>
          <w:sz w:val="24"/>
          <w:szCs w:val="24"/>
          <w:shd w:val="clear" w:color="auto" w:fill="ffffff"/>
          <w:rtl w:val="0"/>
          <w:lang w:val="it-IT"/>
        </w:rPr>
        <w:t>esistenza di due arbitrati tra AMA e Co.La.Ri (di cui si parler</w:t>
      </w:r>
      <w:r>
        <w:rPr>
          <w:rFonts w:hAnsi="Book Antiqua" w:hint="default"/>
          <w:sz w:val="24"/>
          <w:szCs w:val="24"/>
          <w:shd w:val="clear" w:color="auto" w:fill="ffffff"/>
          <w:rtl w:val="0"/>
          <w:lang w:val="it-IT"/>
        </w:rPr>
        <w:t>à</w:t>
      </w:r>
      <w:r>
        <w:rPr>
          <w:rFonts w:ascii="Book Antiqua"/>
          <w:sz w:val="24"/>
          <w:szCs w:val="24"/>
          <w:shd w:val="clear" w:color="auto" w:fill="ffffff"/>
          <w:rtl w:val="0"/>
          <w:lang w:val="it-IT"/>
        </w:rPr>
        <w:t xml:space="preserve"> pi</w:t>
      </w:r>
      <w:r>
        <w:rPr>
          <w:rFonts w:hAnsi="Book Antiqua" w:hint="default"/>
          <w:sz w:val="24"/>
          <w:szCs w:val="24"/>
          <w:shd w:val="clear" w:color="auto" w:fill="ffffff"/>
          <w:rtl w:val="0"/>
          <w:lang w:val="it-IT"/>
        </w:rPr>
        <w:t xml:space="preserve">ù </w:t>
      </w:r>
      <w:r>
        <w:rPr>
          <w:rFonts w:ascii="Book Antiqua"/>
          <w:sz w:val="24"/>
          <w:szCs w:val="24"/>
          <w:shd w:val="clear" w:color="auto" w:fill="ffffff"/>
          <w:rtl w:val="0"/>
          <w:lang w:val="it-IT"/>
        </w:rPr>
        <w:t>avanti); inoltre a gennaio e marzo 2014 il prefetto di Roma emette interdittive antimafia contro le societ</w:t>
      </w:r>
      <w:r>
        <w:rPr>
          <w:rFonts w:hAnsi="Book Antiqua" w:hint="default"/>
          <w:sz w:val="24"/>
          <w:szCs w:val="24"/>
          <w:shd w:val="clear" w:color="auto" w:fill="ffffff"/>
          <w:rtl w:val="0"/>
          <w:lang w:val="it-IT"/>
        </w:rPr>
        <w:t xml:space="preserve">à </w:t>
      </w:r>
      <w:r>
        <w:rPr>
          <w:rFonts w:ascii="Book Antiqua"/>
          <w:sz w:val="24"/>
          <w:szCs w:val="24"/>
          <w:shd w:val="clear" w:color="auto" w:fill="ffffff"/>
          <w:rtl w:val="0"/>
          <w:lang w:val="it-IT"/>
        </w:rPr>
        <w:t>della galassia Cerroni proprietarie dei due TMB di Roma a Malagrotta, del tritovagliatore di Rocca Cencia e del TMB di Albano</w:t>
      </w:r>
      <w:r>
        <w:rPr>
          <w:rFonts w:ascii="Book Antiqua" w:cs="Book Antiqua" w:hAnsi="Book Antiqua" w:eastAsia="Book Antiqua"/>
          <w:sz w:val="24"/>
          <w:szCs w:val="24"/>
          <w:shd w:val="clear" w:color="auto" w:fill="ffffff"/>
          <w:vertAlign w:val="superscript"/>
          <w:rtl w:val="0"/>
        </w:rPr>
        <w:footnoteReference w:id="60"/>
      </w:r>
      <w:r>
        <w:rPr>
          <w:rFonts w:ascii="Book Antiqua"/>
          <w:sz w:val="24"/>
          <w:szCs w:val="24"/>
          <w:shd w:val="clear" w:color="auto" w:fill="ffffff"/>
          <w:rtl w:val="0"/>
          <w:lang w:val="it-IT"/>
        </w:rPr>
        <w:t>.</w:t>
      </w:r>
    </w:p>
    <w:p>
      <w:pPr>
        <w:pStyle w:val="Elenco a colori - Colore 11"/>
        <w:spacing w:after="0" w:line="240" w:lineRule="auto"/>
        <w:ind w:left="567" w:right="567" w:firstLine="0"/>
        <w:jc w:val="both"/>
        <w:rPr>
          <w:rFonts w:ascii="Book Antiqua" w:cs="Book Antiqua" w:hAnsi="Book Antiqua" w:eastAsia="Book Antiqua"/>
          <w:sz w:val="24"/>
          <w:szCs w:val="24"/>
        </w:rPr>
      </w:pPr>
      <w:r>
        <w:rPr>
          <w:rFonts w:ascii="Book Antiqua"/>
          <w:sz w:val="24"/>
          <w:szCs w:val="24"/>
          <w:shd w:val="clear" w:color="auto" w:fill="ffffff"/>
          <w:rtl w:val="0"/>
          <w:lang w:val="it-IT"/>
        </w:rPr>
        <w:t>La q</w:t>
      </w:r>
      <w:r>
        <w:rPr>
          <w:rFonts w:ascii="Book Antiqua"/>
          <w:sz w:val="24"/>
          <w:szCs w:val="24"/>
          <w:rtl w:val="0"/>
          <w:lang w:val="it-IT"/>
        </w:rPr>
        <w:t xml:space="preserve">uestione rilevante che si pone </w:t>
      </w:r>
      <w:r>
        <w:rPr>
          <w:rFonts w:hAnsi="Book Antiqua" w:hint="default"/>
          <w:sz w:val="24"/>
          <w:szCs w:val="24"/>
          <w:rtl w:val="0"/>
          <w:lang w:val="it-IT"/>
        </w:rPr>
        <w:t xml:space="preserve">è </w:t>
      </w:r>
      <w:r>
        <w:rPr>
          <w:rFonts w:ascii="Book Antiqua"/>
          <w:sz w:val="24"/>
          <w:szCs w:val="24"/>
          <w:rtl w:val="0"/>
          <w:lang w:val="it-IT"/>
        </w:rPr>
        <w:t>quella dello svolgimento di fatto di un rapporto negoziale tra Co.La.Ri. e AMA senza che sia intervenuta alcuna sottoscrizione di contratto.</w:t>
      </w:r>
    </w:p>
    <w:p>
      <w:pPr>
        <w:pStyle w:val="Elenco a colori - Colore 11"/>
        <w:spacing w:after="0" w:line="240" w:lineRule="auto"/>
        <w:ind w:left="567" w:right="567" w:firstLine="0"/>
        <w:jc w:val="both"/>
        <w:rPr>
          <w:rFonts w:ascii="Book Antiqua" w:cs="Book Antiqua" w:hAnsi="Book Antiqua" w:eastAsia="Book Antiqua"/>
          <w:sz w:val="24"/>
          <w:szCs w:val="24"/>
        </w:rPr>
      </w:pPr>
      <w:r>
        <w:rPr>
          <w:rFonts w:ascii="Book Antiqua"/>
          <w:sz w:val="24"/>
          <w:szCs w:val="24"/>
          <w:rtl w:val="0"/>
          <w:lang w:val="it-IT"/>
        </w:rPr>
        <w:t>Nell</w:t>
      </w:r>
      <w:r>
        <w:rPr>
          <w:rFonts w:hAnsi="Book Antiqua" w:hint="default"/>
          <w:sz w:val="24"/>
          <w:szCs w:val="24"/>
          <w:rtl w:val="0"/>
          <w:lang w:val="it-IT"/>
        </w:rPr>
        <w:t>’</w:t>
      </w:r>
      <w:r>
        <w:rPr>
          <w:rFonts w:ascii="Book Antiqua"/>
          <w:sz w:val="24"/>
          <w:szCs w:val="24"/>
          <w:rtl w:val="0"/>
          <w:lang w:val="it-IT"/>
        </w:rPr>
        <w:t xml:space="preserve">estratto dal verbale delle deliberazioni del consiglio di amministrazione di AMA S.p.A. (seduta del 9 aprile 2014) tra le altre cose si legge: </w:t>
      </w:r>
      <w:r>
        <w:rPr>
          <w:rFonts w:hAnsi="Book Antiqua" w:hint="default"/>
          <w:sz w:val="24"/>
          <w:szCs w:val="24"/>
          <w:rtl w:val="0"/>
          <w:lang w:val="it-IT"/>
        </w:rPr>
        <w:t>“</w:t>
      </w:r>
      <w:r>
        <w:rPr>
          <w:rFonts w:ascii="Book Antiqua"/>
          <w:sz w:val="24"/>
          <w:szCs w:val="24"/>
          <w:rtl w:val="0"/>
          <w:lang w:val="it-IT"/>
        </w:rPr>
        <w:t>a far data dal mese di aprile 2013, AMA, in ottemperanza ai provvedimenti delle autorit</w:t>
      </w:r>
      <w:r>
        <w:rPr>
          <w:rFonts w:hAnsi="Book Antiqua" w:hint="default"/>
          <w:sz w:val="24"/>
          <w:szCs w:val="24"/>
          <w:rtl w:val="0"/>
          <w:lang w:val="it-IT"/>
        </w:rPr>
        <w:t xml:space="preserve">à </w:t>
      </w:r>
      <w:r>
        <w:rPr>
          <w:rFonts w:ascii="Book Antiqua"/>
          <w:sz w:val="24"/>
          <w:szCs w:val="24"/>
          <w:rtl w:val="0"/>
          <w:lang w:val="it-IT"/>
        </w:rPr>
        <w:t>amministrative competenti (in particolare, a Decreti del Ministero dell</w:t>
      </w:r>
      <w:r>
        <w:rPr>
          <w:rFonts w:hAnsi="Book Antiqua" w:hint="default"/>
          <w:sz w:val="24"/>
          <w:szCs w:val="24"/>
          <w:rtl w:val="0"/>
          <w:lang w:val="it-IT"/>
        </w:rPr>
        <w:t>’</w:t>
      </w:r>
      <w:r>
        <w:rPr>
          <w:rFonts w:ascii="Book Antiqua"/>
          <w:sz w:val="24"/>
          <w:szCs w:val="24"/>
          <w:rtl w:val="0"/>
          <w:lang w:val="it-IT"/>
        </w:rPr>
        <w:t>ambiente e della Tutela del Territorio e del Mare nonch</w:t>
      </w:r>
      <w:r>
        <w:rPr>
          <w:rFonts w:hAnsi="Book Antiqua" w:hint="default"/>
          <w:sz w:val="24"/>
          <w:szCs w:val="24"/>
          <w:rtl w:val="0"/>
          <w:lang w:val="it-IT"/>
        </w:rPr>
        <w:t xml:space="preserve">é </w:t>
      </w:r>
      <w:r>
        <w:rPr>
          <w:rFonts w:ascii="Book Antiqua"/>
          <w:sz w:val="24"/>
          <w:szCs w:val="24"/>
          <w:rtl w:val="0"/>
          <w:lang w:val="it-IT"/>
        </w:rPr>
        <w:t xml:space="preserve">alle correlate ordinanze e note del commissario), sta procedendo a conferire rifiuti urbani indifferenziati prodotti nel territorio di Roma Capitale anche presso l'impianto di tritovagliatura di Co.La.Ri. di cui all'Autorizzazione rilasciata dalla provincia di Roma, Dipartimento 04 Servizio 01, Gestione Rifiuti, con determinazione dirigenziale R.U. 1228 del 7 marzo 2013. Attualmente AMA conferisce a detto impianto di tritovagliatura circa 1.000 tonnellate al giorno. Anche con riferimento ai conferimenti presso il citato impianto di tritovagliatura, si segnala che allo stato non sussiste alcun contratto tra AMA e Co.La.Ri.: a riguardo si rappresenta che, pur essendo intercorso uno scambio di corrispondenza con Co.La.Ri. in merito ad alcuni elementi e possibili clausole contrattuali, le parti non sono mai addivenute alla negoziazione definitiva, stesura e sottoscrizione del testo contrattuale. In particolare, nel corso del menzionato scambio di corrispondenza, Co.La.Ri. ha proposto ad AMA un corrispettivo provvisorio inizialmente di importo pari alla tariffa fissata dalla regione Lazio - Dipartimento Programmazione Economica e Sociale, con Determinazione B7190 del 20 settembre 2011 per i conferimenti agli impianti di TMB Malagrotta 1 e Malagrotta 2, successivamente rideterminato dallo stesso Co.La.Ri. in </w:t>
      </w:r>
      <w:r>
        <w:rPr>
          <w:rFonts w:hAnsi="Book Antiqua" w:hint="default"/>
          <w:sz w:val="24"/>
          <w:szCs w:val="24"/>
          <w:rtl w:val="0"/>
          <w:lang w:val="it-IT"/>
        </w:rPr>
        <w:t xml:space="preserve">€ </w:t>
      </w:r>
      <w:r>
        <w:rPr>
          <w:rFonts w:ascii="Book Antiqua"/>
          <w:sz w:val="24"/>
          <w:szCs w:val="24"/>
          <w:rtl w:val="0"/>
          <w:lang w:val="it-IT"/>
        </w:rPr>
        <w:t>175,00 a tonnellata fino al 30 settembre 2013 affermando che, decorso tale termine, lo stesso Co.La.Ri. avrebbe fornito ad AMA una relazione dettagliata sui costi medio tempore sostenuti per le attivit</w:t>
      </w:r>
      <w:r>
        <w:rPr>
          <w:rFonts w:hAnsi="Book Antiqua" w:hint="default"/>
          <w:sz w:val="24"/>
          <w:szCs w:val="24"/>
          <w:rtl w:val="0"/>
          <w:lang w:val="it-IT"/>
        </w:rPr>
        <w:t xml:space="preserve">à </w:t>
      </w:r>
      <w:r>
        <w:rPr>
          <w:rFonts w:ascii="Book Antiqua"/>
          <w:sz w:val="24"/>
          <w:szCs w:val="24"/>
          <w:rtl w:val="0"/>
          <w:lang w:val="it-IT"/>
        </w:rPr>
        <w:t xml:space="preserve">svolte ai fini della successiva determinazione del corrispettivo definitivo. In data 31 ottobre 2013, con nota Prot. n. 282, Co.La.Ri. ha poi prodotto la menzionata rendicontazione dei costi con la quale lo stesso Co.La.Ri. ha attestato importi di costo che sarebbero compatibili con il menzionato corrispettivo di </w:t>
      </w:r>
      <w:r>
        <w:rPr>
          <w:rFonts w:hAnsi="Book Antiqua" w:hint="default"/>
          <w:sz w:val="24"/>
          <w:szCs w:val="24"/>
          <w:rtl w:val="0"/>
          <w:lang w:val="it-IT"/>
        </w:rPr>
        <w:t xml:space="preserve">€ </w:t>
      </w:r>
      <w:r>
        <w:rPr>
          <w:rFonts w:ascii="Book Antiqua"/>
          <w:sz w:val="24"/>
          <w:szCs w:val="24"/>
          <w:rtl w:val="0"/>
          <w:lang w:val="it-IT"/>
        </w:rPr>
        <w:t>175,00 per tonnellata. Si segnala che, ai fini della determinazione del corrispettivo definitivo dovuto da AMA a Co.La.Ri. a fronte del conferimento di rifiuti urbani indifferenziati presso l'Impianto di tritovagliatura, la stessa AMA, con comunicazioni del 3 aprile 2013, Prot. n. 018800/U e del 6 giugno 2013, Prot. n. 029065/U, ha comunque richiesto, rispettivamente, alla regione Lazio e alla provincia di Roma di determinare e rendere noto l'importo della relativa tariffa. Alle menzionate comunicazioni hanno dato riscontro scritto la regione Lazio, con nota del 24 maggio 2013, Prot. n. 198070, dichiarando la competenza esclusiva della provincia di Roma in materia e quest'ultima, con nota del 20 dicembre 2013, Prot. n. 171732, dichiarando a sua volta la propria incompetenza. Pertanto, in difetto di determinazione della citata tariffa da parte delle Autorit</w:t>
      </w:r>
      <w:r>
        <w:rPr>
          <w:rFonts w:hAnsi="Book Antiqua" w:hint="default"/>
          <w:sz w:val="24"/>
          <w:szCs w:val="24"/>
          <w:rtl w:val="0"/>
          <w:lang w:val="it-IT"/>
        </w:rPr>
        <w:t xml:space="preserve">à </w:t>
      </w:r>
      <w:r>
        <w:rPr>
          <w:rFonts w:ascii="Book Antiqua"/>
          <w:sz w:val="24"/>
          <w:szCs w:val="24"/>
          <w:rtl w:val="0"/>
          <w:lang w:val="it-IT"/>
        </w:rPr>
        <w:t>amministrative a ci</w:t>
      </w:r>
      <w:r>
        <w:rPr>
          <w:rFonts w:hAnsi="Book Antiqua" w:hint="default"/>
          <w:sz w:val="24"/>
          <w:szCs w:val="24"/>
          <w:rtl w:val="0"/>
          <w:lang w:val="it-IT"/>
        </w:rPr>
        <w:t xml:space="preserve">ò </w:t>
      </w:r>
      <w:r>
        <w:rPr>
          <w:rFonts w:ascii="Book Antiqua"/>
          <w:sz w:val="24"/>
          <w:szCs w:val="24"/>
          <w:rtl w:val="0"/>
          <w:lang w:val="it-IT"/>
        </w:rPr>
        <w:t>preposte - alle quali l'istanza di determinazione della tariffa, cos</w:t>
      </w:r>
      <w:r>
        <w:rPr>
          <w:rFonts w:hAnsi="Book Antiqua" w:hint="default"/>
          <w:sz w:val="24"/>
          <w:szCs w:val="24"/>
          <w:rtl w:val="0"/>
          <w:lang w:val="it-IT"/>
        </w:rPr>
        <w:t xml:space="preserve">ì </w:t>
      </w:r>
      <w:r>
        <w:rPr>
          <w:rFonts w:ascii="Book Antiqua"/>
          <w:sz w:val="24"/>
          <w:szCs w:val="24"/>
          <w:rtl w:val="0"/>
          <w:lang w:val="it-IT"/>
        </w:rPr>
        <w:t>come rilevato dalla regione Lazio nella menzionata nota Prot. n. 198070 dovrebbe peraltro pervenire da Co.La.Ri.</w:t>
      </w:r>
      <w:r>
        <w:rPr>
          <w:rFonts w:hAnsi="Book Antiqua" w:hint="default"/>
          <w:sz w:val="24"/>
          <w:szCs w:val="24"/>
          <w:rtl w:val="0"/>
          <w:lang w:val="it-IT"/>
        </w:rPr>
        <w:t xml:space="preserve"> – </w:t>
      </w:r>
      <w:r>
        <w:rPr>
          <w:rFonts w:ascii="Book Antiqua"/>
          <w:sz w:val="24"/>
          <w:szCs w:val="24"/>
          <w:rtl w:val="0"/>
          <w:lang w:val="it-IT"/>
        </w:rPr>
        <w:t>AMA qualora cessino gli effetti dell</w:t>
      </w:r>
      <w:r>
        <w:rPr>
          <w:rFonts w:hAnsi="Book Antiqua" w:hint="default"/>
          <w:sz w:val="24"/>
          <w:szCs w:val="24"/>
          <w:rtl w:val="0"/>
          <w:lang w:val="it-IT"/>
        </w:rPr>
        <w:t>’</w:t>
      </w:r>
      <w:r>
        <w:rPr>
          <w:rFonts w:ascii="Book Antiqua"/>
          <w:sz w:val="24"/>
          <w:szCs w:val="24"/>
          <w:rtl w:val="0"/>
          <w:lang w:val="it-IT"/>
        </w:rPr>
        <w:t>interdittiva e in difetto di presentazione da parte di Co.La.Ri. di istanze alle menzionate Autorit</w:t>
      </w:r>
      <w:r>
        <w:rPr>
          <w:rFonts w:hAnsi="Book Antiqua" w:hint="default"/>
          <w:sz w:val="24"/>
          <w:szCs w:val="24"/>
          <w:rtl w:val="0"/>
          <w:lang w:val="it-IT"/>
        </w:rPr>
        <w:t xml:space="preserve">à </w:t>
      </w:r>
      <w:r>
        <w:rPr>
          <w:rFonts w:ascii="Book Antiqua"/>
          <w:sz w:val="24"/>
          <w:szCs w:val="24"/>
          <w:rtl w:val="0"/>
          <w:lang w:val="it-IT"/>
        </w:rPr>
        <w:t>amministrative per la determinazione della citata tariffa, dovr</w:t>
      </w:r>
      <w:r>
        <w:rPr>
          <w:rFonts w:hAnsi="Book Antiqua" w:hint="default"/>
          <w:sz w:val="24"/>
          <w:szCs w:val="24"/>
          <w:rtl w:val="0"/>
          <w:lang w:val="it-IT"/>
        </w:rPr>
        <w:t xml:space="preserve">à </w:t>
      </w:r>
      <w:r>
        <w:rPr>
          <w:rFonts w:ascii="Book Antiqua"/>
          <w:sz w:val="24"/>
          <w:szCs w:val="24"/>
          <w:rtl w:val="0"/>
          <w:lang w:val="it-IT"/>
        </w:rPr>
        <w:t xml:space="preserve">rimettere a soggetto terzo </w:t>
      </w:r>
      <w:r>
        <w:rPr>
          <w:rFonts w:ascii="Book Antiqua"/>
          <w:i w:val="1"/>
          <w:iCs w:val="1"/>
          <w:sz w:val="24"/>
          <w:szCs w:val="24"/>
          <w:rtl w:val="0"/>
          <w:lang w:val="it-IT"/>
        </w:rPr>
        <w:t>super partes</w:t>
      </w:r>
      <w:r>
        <w:rPr>
          <w:rFonts w:ascii="Book Antiqua"/>
          <w:sz w:val="24"/>
          <w:szCs w:val="24"/>
          <w:rtl w:val="0"/>
          <w:lang w:val="it-IT"/>
        </w:rPr>
        <w:t xml:space="preserve"> (arbitratore o collegio di arbitratori), la determinazione del corrispettivo definitivo dovuto a Co.La.Ri. per il conferimento di rifiuti urbani indifferenziati presso l</w:t>
      </w:r>
      <w:r>
        <w:rPr>
          <w:rFonts w:hAnsi="Book Antiqua" w:hint="default"/>
          <w:sz w:val="24"/>
          <w:szCs w:val="24"/>
          <w:rtl w:val="0"/>
          <w:lang w:val="it-IT"/>
        </w:rPr>
        <w:t>’</w:t>
      </w:r>
      <w:r>
        <w:rPr>
          <w:rFonts w:ascii="Book Antiqua"/>
          <w:sz w:val="24"/>
          <w:szCs w:val="24"/>
          <w:rtl w:val="0"/>
          <w:lang w:val="it-IT"/>
        </w:rPr>
        <w:t>impianto di trito vagliatura.</w:t>
      </w:r>
      <w:r>
        <w:rPr>
          <w:rFonts w:hAnsi="Book Antiqua" w:hint="default"/>
          <w:sz w:val="24"/>
          <w:szCs w:val="24"/>
          <w:rtl w:val="0"/>
          <w:lang w:val="it-IT"/>
        </w:rPr>
        <w:t>”</w:t>
      </w:r>
    </w:p>
    <w:p>
      <w:pPr>
        <w:pStyle w:val="Elenco a colori - Colore 11"/>
        <w:spacing w:after="0" w:line="240" w:lineRule="auto"/>
        <w:ind w:left="567" w:right="567" w:firstLine="0"/>
        <w:jc w:val="both"/>
        <w:rPr>
          <w:rFonts w:ascii="Book Antiqua" w:cs="Book Antiqua" w:hAnsi="Book Antiqua" w:eastAsia="Book Antiqua"/>
          <w:sz w:val="24"/>
          <w:szCs w:val="24"/>
        </w:rPr>
      </w:pPr>
    </w:p>
    <w:p>
      <w:pPr>
        <w:pStyle w:val="Normal"/>
        <w:ind w:left="567" w:right="567" w:firstLine="0"/>
        <w:jc w:val="both"/>
        <w:rPr>
          <w:rFonts w:ascii="Book Antiqua" w:cs="Book Antiqua" w:hAnsi="Book Antiqua" w:eastAsia="Book Antiqua"/>
        </w:rPr>
      </w:pPr>
      <w:r>
        <w:rPr>
          <w:rFonts w:ascii="Book Antiqua"/>
          <w:rtl w:val="0"/>
          <w:lang w:val="it-IT"/>
        </w:rPr>
        <w:t xml:space="preserve">Peraltro il </w:t>
      </w:r>
      <w:r>
        <w:rPr>
          <w:rFonts w:hAnsi="Book Antiqua" w:hint="default"/>
          <w:rtl w:val="0"/>
          <w:lang w:val="it-IT"/>
        </w:rPr>
        <w:t>“</w:t>
      </w:r>
      <w:r>
        <w:rPr>
          <w:rFonts w:ascii="Book Antiqua"/>
          <w:rtl w:val="0"/>
          <w:lang w:val="it-IT"/>
        </w:rPr>
        <w:t>dinamismo</w:t>
      </w:r>
      <w:r>
        <w:rPr>
          <w:rFonts w:hAnsi="Book Antiqua" w:hint="default"/>
          <w:rtl w:val="0"/>
          <w:lang w:val="it-IT"/>
        </w:rPr>
        <w:t xml:space="preserve">” </w:t>
      </w:r>
      <w:r>
        <w:rPr>
          <w:rFonts w:ascii="Book Antiqua"/>
          <w:rtl w:val="0"/>
          <w:lang w:val="it-IT"/>
        </w:rPr>
        <w:t xml:space="preserve">dei rapporti tra AMA e Co.La.Ri si coglie in una lettera acquisita dalla Commissione, inviata da AMA S.p.A a Co.La.Ri in data 6 ottobre 2014, nella quale si legge: </w:t>
      </w: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rPr>
      </w:pPr>
      <w:r>
        <w:rPr>
          <w:rFonts w:hAnsi="Book Antiqua" w:hint="default"/>
          <w:rtl w:val="0"/>
          <w:lang w:val="it-IT"/>
        </w:rPr>
        <w:t>“</w:t>
      </w:r>
      <w:r>
        <w:rPr>
          <w:rFonts w:ascii="Book Antiqua"/>
          <w:rtl w:val="0"/>
          <w:lang w:val="it-IT"/>
        </w:rPr>
        <w:t xml:space="preserve">Con riferimento alla vendita da Voi ipotizzata </w:t>
      </w:r>
      <w:r>
        <w:rPr>
          <w:rFonts w:hAnsi="Book Antiqua" w:hint="default"/>
          <w:rtl w:val="0"/>
          <w:lang w:val="it-IT"/>
        </w:rPr>
        <w:t>‘</w:t>
      </w:r>
      <w:r>
        <w:rPr>
          <w:rFonts w:ascii="Book Antiqua"/>
          <w:rtl w:val="0"/>
          <w:lang w:val="it-IT"/>
        </w:rPr>
        <w:t>dell'intero complesso relativo al trattamento industriale dei rifiuti di Malagrotta e Rocca Cencia e le relative autorizzazioni</w:t>
      </w:r>
      <w:r>
        <w:rPr>
          <w:rFonts w:hAnsi="Book Antiqua" w:hint="default"/>
          <w:rtl w:val="0"/>
          <w:lang w:val="it-IT"/>
        </w:rPr>
        <w:t>’</w:t>
      </w:r>
      <w:r>
        <w:rPr>
          <w:rFonts w:ascii="Book Antiqua"/>
          <w:rtl w:val="0"/>
          <w:lang w:val="it-IT"/>
        </w:rPr>
        <w:t>, nel confermare il nostro interesse, peraltro gi</w:t>
      </w:r>
      <w:r>
        <w:rPr>
          <w:rFonts w:hAnsi="Book Antiqua" w:hint="default"/>
          <w:rtl w:val="0"/>
          <w:lang w:val="it-IT"/>
        </w:rPr>
        <w:t xml:space="preserve">à </w:t>
      </w:r>
      <w:r>
        <w:rPr>
          <w:rFonts w:ascii="Book Antiqua"/>
          <w:rtl w:val="0"/>
          <w:lang w:val="it-IT"/>
        </w:rPr>
        <w:t>manifestato per le vie brevi, a valutare detta eventuale compravendita a condizioni di mercato, precisiamo che il medesimo interesse non pu</w:t>
      </w:r>
      <w:r>
        <w:rPr>
          <w:rFonts w:hAnsi="Book Antiqua" w:hint="default"/>
          <w:rtl w:val="0"/>
          <w:lang w:val="it-IT"/>
        </w:rPr>
        <w:t xml:space="preserve">ò </w:t>
      </w:r>
      <w:r>
        <w:rPr>
          <w:rFonts w:ascii="Book Antiqua"/>
          <w:rtl w:val="0"/>
          <w:lang w:val="it-IT"/>
        </w:rPr>
        <w:t>che riferirsi esclusivamente agli impianti di trattamento dei rifiuti indifferenziati, nella specie di quello meccanico biologico (Malagrotta 1 e 2) e di tritovagliatura, fatto salvo in ogni caso il rispetto delle norme di legge in materia, nonch</w:t>
      </w:r>
      <w:r>
        <w:rPr>
          <w:rFonts w:hAnsi="Book Antiqua" w:hint="default"/>
          <w:rtl w:val="0"/>
          <w:lang w:val="it-IT"/>
        </w:rPr>
        <w:t xml:space="preserve">é </w:t>
      </w:r>
      <w:r>
        <w:rPr>
          <w:rFonts w:ascii="Book Antiqua"/>
          <w:rtl w:val="0"/>
          <w:lang w:val="it-IT"/>
        </w:rPr>
        <w:t>la preventiva informativa verso i nostri organi sociali e, soprattutto, le previste autorizzazioni da parte di Roma Capitale, ivi comprese quelle previste nel nostro statuto sociale.</w:t>
      </w:r>
      <w:r>
        <w:rPr>
          <w:rFonts w:hAnsi="Book Antiqua" w:hint="default"/>
          <w:rtl w:val="0"/>
          <w:lang w:val="it-IT"/>
        </w:rPr>
        <w:t>”</w:t>
      </w: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rPr>
      </w:pPr>
      <w:r>
        <w:rPr>
          <w:rFonts w:ascii="Book Antiqua"/>
          <w:rtl w:val="0"/>
          <w:lang w:val="it-IT"/>
        </w:rPr>
        <w:t>A partire dal 2015, la disputa tra AMA e Co.La.Ri, si estende anche alle quantit</w:t>
      </w:r>
      <w:r>
        <w:rPr>
          <w:rFonts w:hAnsi="Book Antiqua" w:hint="default"/>
          <w:rtl w:val="0"/>
          <w:lang w:val="it-IT"/>
        </w:rPr>
        <w:t xml:space="preserve">à </w:t>
      </w:r>
      <w:r>
        <w:rPr>
          <w:rFonts w:ascii="Book Antiqua"/>
          <w:rtl w:val="0"/>
          <w:lang w:val="it-IT"/>
        </w:rPr>
        <w:t xml:space="preserve">che vengono trattate presso il tritovagliatore di Rocca Cencia: il Consorzio il 13 febbraio 2015 invia una lettera che riporta: </w:t>
      </w: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rPr>
      </w:pPr>
      <w:r>
        <w:rPr>
          <w:rFonts w:hAnsi="Book Antiqua" w:hint="default"/>
          <w:rtl w:val="0"/>
          <w:lang w:val="it-IT"/>
        </w:rPr>
        <w:t>“</w:t>
      </w:r>
      <w:r>
        <w:rPr>
          <w:rFonts w:ascii="Book Antiqua"/>
          <w:rtl w:val="0"/>
          <w:lang w:val="it-IT"/>
        </w:rPr>
        <w:t>Con riferimento ai colloqui intercorsi con il ns. ingegnere Zagaroli e sulla base di quanto ad esso verbalmente avete comunicato che per tutto il mese di febbraio e probabilmente anche per la prima met</w:t>
      </w:r>
      <w:r>
        <w:rPr>
          <w:rFonts w:hAnsi="Book Antiqua" w:hint="default"/>
          <w:rtl w:val="0"/>
          <w:lang w:val="it-IT"/>
        </w:rPr>
        <w:t xml:space="preserve">à </w:t>
      </w:r>
      <w:r>
        <w:rPr>
          <w:rFonts w:ascii="Book Antiqua"/>
          <w:rtl w:val="0"/>
          <w:lang w:val="it-IT"/>
        </w:rPr>
        <w:t xml:space="preserve">del mese di marzo, conferirete una media tra le 300 e le 400 t/g di RSU al ns. impianto di ricevimento, triturazione e separazione di Rocca Cencia, con la presente riteniamo utile e doveroso ricordare quanto segue. La stazione di conferimento e di triturazione di Rocca Cencia </w:t>
      </w:r>
      <w:r>
        <w:rPr>
          <w:rFonts w:hAnsi="Book Antiqua" w:hint="default"/>
          <w:rtl w:val="0"/>
          <w:lang w:val="it-IT"/>
        </w:rPr>
        <w:t xml:space="preserve">è </w:t>
      </w:r>
      <w:r>
        <w:rPr>
          <w:rFonts w:ascii="Book Antiqua"/>
          <w:rtl w:val="0"/>
          <w:lang w:val="it-IT"/>
        </w:rPr>
        <w:t>stata realizzata dal ns. Consorzio e a tempo di record con ingentissimi investimenti per fare in modo che, come disposto dall'Ordinanza Commissariale n. 598/U del 27 dicembre 2012, a partire dall</w:t>
      </w:r>
      <w:r>
        <w:rPr>
          <w:rFonts w:hAnsi="Book Antiqua" w:hint="default"/>
          <w:rtl w:val="0"/>
          <w:lang w:val="it-IT"/>
        </w:rPr>
        <w:t>’</w:t>
      </w:r>
      <w:r>
        <w:rPr>
          <w:rFonts w:ascii="Book Antiqua"/>
          <w:rtl w:val="0"/>
          <w:lang w:val="it-IT"/>
        </w:rPr>
        <w:t>11 aprile 2013 tutti i rifiuti indifferenziati della citt</w:t>
      </w:r>
      <w:r>
        <w:rPr>
          <w:rFonts w:hAnsi="Book Antiqua" w:hint="default"/>
          <w:rtl w:val="0"/>
          <w:lang w:val="it-IT"/>
        </w:rPr>
        <w:t xml:space="preserve">à </w:t>
      </w:r>
      <w:r>
        <w:rPr>
          <w:rFonts w:ascii="Book Antiqua"/>
          <w:rtl w:val="0"/>
          <w:lang w:val="it-IT"/>
        </w:rPr>
        <w:t>di Roma fossero sottoposti a lavorazione industriale al fine di superare la procedura di infrazione n. 2011/4021 avviata dall'Unione europea, con l'impegno di lavorare 1000 ton/giorno (estendibile a 1200), scongiurando cos</w:t>
      </w:r>
      <w:r>
        <w:rPr>
          <w:rFonts w:hAnsi="Book Antiqua" w:hint="default"/>
          <w:rtl w:val="0"/>
          <w:lang w:val="it-IT"/>
        </w:rPr>
        <w:t xml:space="preserve">ì </w:t>
      </w:r>
      <w:r>
        <w:rPr>
          <w:rFonts w:ascii="Book Antiqua"/>
          <w:rtl w:val="0"/>
          <w:lang w:val="it-IT"/>
        </w:rPr>
        <w:t>l'emergenza rifiuti a Roma. Per conseguire questo risultato sono stati organizzati turni di ricevimento e di lavorazione e di assistenza tecnica di 20 ore su 24 con conseguente impegno di maestranze (25 unit</w:t>
      </w:r>
      <w:r>
        <w:rPr>
          <w:rFonts w:hAnsi="Book Antiqua" w:hint="default"/>
          <w:rtl w:val="0"/>
          <w:lang w:val="it-IT"/>
        </w:rPr>
        <w:t>à</w:t>
      </w:r>
      <w:r>
        <w:rPr>
          <w:rFonts w:ascii="Book Antiqua"/>
          <w:rtl w:val="0"/>
          <w:lang w:val="it-IT"/>
        </w:rPr>
        <w:t xml:space="preserve">) e di strutture di supporto (6: tra ragni, pale e bobcat). </w:t>
      </w:r>
      <w:r>
        <w:rPr>
          <w:rFonts w:hAnsi="Book Antiqua" w:hint="default"/>
          <w:rtl w:val="0"/>
          <w:lang w:val="it-IT"/>
        </w:rPr>
        <w:t xml:space="preserve">È </w:t>
      </w:r>
      <w:r>
        <w:rPr>
          <w:rFonts w:ascii="Book Antiqua"/>
          <w:rtl w:val="0"/>
          <w:lang w:val="it-IT"/>
        </w:rPr>
        <w:t>stato previsto anche il conferimento di una quantit</w:t>
      </w:r>
      <w:r>
        <w:rPr>
          <w:rFonts w:hAnsi="Book Antiqua" w:hint="default"/>
          <w:rtl w:val="0"/>
          <w:lang w:val="it-IT"/>
        </w:rPr>
        <w:t xml:space="preserve">à </w:t>
      </w:r>
      <w:r>
        <w:rPr>
          <w:rFonts w:ascii="Book Antiqua"/>
          <w:rtl w:val="0"/>
          <w:lang w:val="it-IT"/>
        </w:rPr>
        <w:t>minima garantita di 600 ton/giorno. Purtroppo abbiamo dovuto constatare che gi</w:t>
      </w:r>
      <w:r>
        <w:rPr>
          <w:rFonts w:hAnsi="Book Antiqua" w:hint="default"/>
          <w:rtl w:val="0"/>
          <w:lang w:val="it-IT"/>
        </w:rPr>
        <w:t xml:space="preserve">à </w:t>
      </w:r>
      <w:r>
        <w:rPr>
          <w:rFonts w:ascii="Book Antiqua"/>
          <w:rtl w:val="0"/>
          <w:lang w:val="it-IT"/>
        </w:rPr>
        <w:t>dal mese di dicembre i conferimenti si sono notevolmente ridotti creando problemi organizzativi e operativi alla ns. struttura e che pi</w:t>
      </w:r>
      <w:r>
        <w:rPr>
          <w:rFonts w:hAnsi="Book Antiqua" w:hint="default"/>
          <w:rtl w:val="0"/>
          <w:lang w:val="it-IT"/>
        </w:rPr>
        <w:t xml:space="preserve">ù </w:t>
      </w:r>
      <w:r>
        <w:rPr>
          <w:rFonts w:ascii="Book Antiqua"/>
          <w:rtl w:val="0"/>
          <w:lang w:val="it-IT"/>
        </w:rPr>
        <w:t>volte abbiamo rappresentato nei vari incontri settimanali ai Vs. Dirigenti. I conferimenti della prima decade di febbraio poi dimostrano riduzione e discontinuit</w:t>
      </w:r>
      <w:r>
        <w:rPr>
          <w:rFonts w:hAnsi="Book Antiqua" w:hint="default"/>
          <w:rtl w:val="0"/>
          <w:lang w:val="it-IT"/>
        </w:rPr>
        <w:t xml:space="preserve">à </w:t>
      </w:r>
      <w:r>
        <w:rPr>
          <w:rFonts w:ascii="Book Antiqua"/>
          <w:rtl w:val="0"/>
          <w:lang w:val="it-IT"/>
        </w:rPr>
        <w:t>persistenti che mettono in crisi il sistema che abbiamo realizzato per garantire il servizio. Da quanto sopra rappresentato ne consegue che il complesso problema non si possa risolvere con telefonate pi</w:t>
      </w:r>
      <w:r>
        <w:rPr>
          <w:rFonts w:hAnsi="Book Antiqua" w:hint="default"/>
          <w:rtl w:val="0"/>
          <w:lang w:val="it-IT"/>
        </w:rPr>
        <w:t xml:space="preserve">ù </w:t>
      </w:r>
      <w:r>
        <w:rPr>
          <w:rFonts w:ascii="Book Antiqua"/>
          <w:rtl w:val="0"/>
          <w:lang w:val="it-IT"/>
        </w:rPr>
        <w:t>o meno autorevoli ma va inquadrato in una situazione particolarmente pesante che richiede riflessioni e incontri qualificati per cercare di risolvere al meglio tutto il problema. Al riguardo ci corre l'obbligo di confermare tutto il ns. impegno profuso nel frattempo a trovare la soluzione razionale ed economica per i prodotti derivati dalla lavorazione dei rifiuti del sottovaglio e del sopravaglio codificati nel 191212 destinati a R (recupero) per fare in modo che, anzich</w:t>
      </w:r>
      <w:r>
        <w:rPr>
          <w:rFonts w:hAnsi="Book Antiqua" w:hint="default"/>
          <w:rtl w:val="0"/>
          <w:lang w:val="it-IT"/>
        </w:rPr>
        <w:t xml:space="preserve">é </w:t>
      </w:r>
      <w:r>
        <w:rPr>
          <w:rFonts w:ascii="Book Antiqua"/>
          <w:rtl w:val="0"/>
          <w:lang w:val="it-IT"/>
        </w:rPr>
        <w:t>far turismo nei vari impianti italiani, possano essere lavorati in impianti provinciali per consentire economie notevoli dovute particolarmente ai pesanti oneri di trasporto per conferire i prodotti negli impianti deputati alla lavorazione di essi. Contiamo che tutto ci</w:t>
      </w:r>
      <w:r>
        <w:rPr>
          <w:rFonts w:hAnsi="Book Antiqua" w:hint="default"/>
          <w:rtl w:val="0"/>
          <w:lang w:val="it-IT"/>
        </w:rPr>
        <w:t xml:space="preserve">ò </w:t>
      </w:r>
      <w:r>
        <w:rPr>
          <w:rFonts w:ascii="Book Antiqua"/>
          <w:rtl w:val="0"/>
          <w:lang w:val="it-IT"/>
        </w:rPr>
        <w:t>possa realizzarsi entro il prossimo mese di aprile.</w:t>
      </w:r>
      <w:r>
        <w:rPr>
          <w:rFonts w:hAnsi="Book Antiqua" w:hint="default"/>
          <w:rtl w:val="0"/>
          <w:lang w:val="it-IT"/>
        </w:rPr>
        <w:t>”</w:t>
      </w: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rPr>
      </w:pPr>
      <w:r>
        <w:rPr>
          <w:rFonts w:ascii="Book Antiqua"/>
          <w:rtl w:val="0"/>
          <w:lang w:val="it-IT"/>
        </w:rPr>
        <w:t>La risposta di AMA non si fa attendere: tant</w:t>
      </w:r>
      <w:r>
        <w:rPr>
          <w:rFonts w:hAnsi="Book Antiqua" w:hint="default"/>
          <w:rtl w:val="0"/>
          <w:lang w:val="it-IT"/>
        </w:rPr>
        <w:t xml:space="preserve">’è </w:t>
      </w:r>
      <w:r>
        <w:rPr>
          <w:rFonts w:ascii="Book Antiqua"/>
          <w:rtl w:val="0"/>
          <w:lang w:val="it-IT"/>
        </w:rPr>
        <w:t xml:space="preserve">che con lettera del 26 febbraio 2015, scrive: </w:t>
      </w: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rPr>
      </w:pPr>
      <w:r>
        <w:rPr>
          <w:rFonts w:hAnsi="Book Antiqua" w:hint="default"/>
          <w:rtl w:val="0"/>
          <w:lang w:val="it-IT"/>
        </w:rPr>
        <w:t>“</w:t>
      </w:r>
      <w:r>
        <w:rPr>
          <w:rFonts w:ascii="Book Antiqua"/>
          <w:rtl w:val="0"/>
          <w:lang w:val="it-IT"/>
        </w:rPr>
        <w:t>In riferimento ai colloqui e alle riunioni intercorse, nonch</w:t>
      </w:r>
      <w:r>
        <w:rPr>
          <w:rFonts w:hAnsi="Book Antiqua" w:hint="default"/>
          <w:rtl w:val="0"/>
          <w:lang w:val="it-IT"/>
        </w:rPr>
        <w:t xml:space="preserve">é </w:t>
      </w:r>
      <w:r>
        <w:rPr>
          <w:rFonts w:ascii="Book Antiqua"/>
          <w:rtl w:val="0"/>
          <w:lang w:val="it-IT"/>
        </w:rPr>
        <w:t>alle vostre lettere [</w:t>
      </w:r>
      <w:r>
        <w:rPr>
          <w:rFonts w:hAnsi="Book Antiqua" w:hint="default"/>
          <w:rtl w:val="0"/>
          <w:lang w:val="it-IT"/>
        </w:rPr>
        <w:t>…</w:t>
      </w:r>
      <w:r>
        <w:rPr>
          <w:rFonts w:ascii="Book Antiqua"/>
          <w:rtl w:val="0"/>
          <w:lang w:val="it-IT"/>
        </w:rPr>
        <w:t>] rileviamo una stridente discrasia di toni tra quanto verbalmente dichiarato e poi effettivamente da voi scritto. La ricerca, in un sereno confronto nella reciproca comprensione, non pu</w:t>
      </w:r>
      <w:r>
        <w:rPr>
          <w:rFonts w:hAnsi="Book Antiqua" w:hint="default"/>
          <w:rtl w:val="0"/>
          <w:lang w:val="it-IT"/>
        </w:rPr>
        <w:t xml:space="preserve">ò </w:t>
      </w:r>
      <w:r>
        <w:rPr>
          <w:rFonts w:ascii="Book Antiqua"/>
          <w:rtl w:val="0"/>
          <w:lang w:val="it-IT"/>
        </w:rPr>
        <w:t xml:space="preserve">essere fraintesa fino al punto di immaginare un intervento di AMA, nei confronti della regione Lazio, per </w:t>
      </w:r>
      <w:r>
        <w:rPr>
          <w:rFonts w:hAnsi="Book Antiqua" w:hint="default"/>
          <w:rtl w:val="0"/>
          <w:lang w:val="it-IT"/>
        </w:rPr>
        <w:t>‘</w:t>
      </w:r>
      <w:r>
        <w:rPr>
          <w:rFonts w:ascii="Book Antiqua"/>
          <w:rtl w:val="0"/>
          <w:lang w:val="it-IT"/>
        </w:rPr>
        <w:t>appoggiare</w:t>
      </w:r>
      <w:r>
        <w:rPr>
          <w:rFonts w:hAnsi="Book Antiqua" w:hint="default"/>
          <w:rtl w:val="0"/>
          <w:lang w:val="it-IT"/>
        </w:rPr>
        <w:t>’</w:t>
      </w:r>
      <w:r>
        <w:rPr>
          <w:rFonts w:ascii="Book Antiqua"/>
          <w:rtl w:val="0"/>
          <w:lang w:val="it-IT"/>
        </w:rPr>
        <w:t xml:space="preserve"> le istanze di Co.La.Ri. Invero, la storia dei rapporti tra AMA e Co.La.Ri non sempre rileva una partecipazione comune alle esigenze della Citt</w:t>
      </w:r>
      <w:r>
        <w:rPr>
          <w:rFonts w:hAnsi="Book Antiqua" w:hint="default"/>
          <w:rtl w:val="0"/>
          <w:lang w:val="it-IT"/>
        </w:rPr>
        <w:t xml:space="preserve">à </w:t>
      </w:r>
      <w:r>
        <w:rPr>
          <w:rFonts w:ascii="Book Antiqua"/>
          <w:rtl w:val="0"/>
          <w:lang w:val="it-IT"/>
        </w:rPr>
        <w:t xml:space="preserve">di Roma, anzi, spesso si </w:t>
      </w:r>
      <w:r>
        <w:rPr>
          <w:rFonts w:hAnsi="Book Antiqua" w:hint="default"/>
          <w:rtl w:val="0"/>
          <w:lang w:val="it-IT"/>
        </w:rPr>
        <w:t xml:space="preserve">è </w:t>
      </w:r>
      <w:r>
        <w:rPr>
          <w:rFonts w:ascii="Book Antiqua"/>
          <w:rtl w:val="0"/>
          <w:lang w:val="it-IT"/>
        </w:rPr>
        <w:t>determinata una subalternit</w:t>
      </w:r>
      <w:r>
        <w:rPr>
          <w:rFonts w:hAnsi="Book Antiqua" w:hint="default"/>
          <w:rtl w:val="0"/>
          <w:lang w:val="it-IT"/>
        </w:rPr>
        <w:t xml:space="preserve">à </w:t>
      </w:r>
      <w:r>
        <w:rPr>
          <w:rFonts w:ascii="Book Antiqua"/>
          <w:rtl w:val="0"/>
          <w:lang w:val="it-IT"/>
        </w:rPr>
        <w:t>dell'iniziativa pubblica alla supremazia dell'imprenditoria privata, talora pi</w:t>
      </w:r>
      <w:r>
        <w:rPr>
          <w:rFonts w:hAnsi="Book Antiqua" w:hint="default"/>
          <w:rtl w:val="0"/>
          <w:lang w:val="it-IT"/>
        </w:rPr>
        <w:t xml:space="preserve">ù </w:t>
      </w:r>
      <w:r>
        <w:rPr>
          <w:rFonts w:ascii="Book Antiqua"/>
          <w:rtl w:val="0"/>
          <w:lang w:val="it-IT"/>
        </w:rPr>
        <w:t xml:space="preserve">e meglio accolta anche nell'ambito amministrativo. In merito alle vostre richieste di ridefinire la tariffa di ingresso ai 2 TMB di Malagrotta </w:t>
      </w:r>
      <w:r>
        <w:rPr>
          <w:rFonts w:hAnsi="Book Antiqua" w:hint="default"/>
          <w:rtl w:val="0"/>
          <w:lang w:val="it-IT"/>
        </w:rPr>
        <w:t xml:space="preserve">è </w:t>
      </w:r>
      <w:r>
        <w:rPr>
          <w:rFonts w:ascii="Book Antiqua"/>
          <w:rtl w:val="0"/>
          <w:lang w:val="it-IT"/>
        </w:rPr>
        <w:t xml:space="preserve">da chiarire, in questa sede e ci auguriamo definitivamente, che tale ridefinizione </w:t>
      </w:r>
      <w:r>
        <w:rPr>
          <w:rFonts w:hAnsi="Book Antiqua" w:hint="default"/>
          <w:rtl w:val="0"/>
          <w:lang w:val="it-IT"/>
        </w:rPr>
        <w:t xml:space="preserve">è </w:t>
      </w:r>
      <w:r>
        <w:rPr>
          <w:rFonts w:ascii="Book Antiqua"/>
          <w:rtl w:val="0"/>
          <w:lang w:val="it-IT"/>
        </w:rPr>
        <w:t>possibile esclusivamente per effetto di un intervento dell'Autorit</w:t>
      </w:r>
      <w:r>
        <w:rPr>
          <w:rFonts w:hAnsi="Book Antiqua" w:hint="default"/>
          <w:rtl w:val="0"/>
          <w:lang w:val="it-IT"/>
        </w:rPr>
        <w:t xml:space="preserve">à </w:t>
      </w:r>
      <w:r>
        <w:rPr>
          <w:rFonts w:ascii="Book Antiqua"/>
          <w:rtl w:val="0"/>
          <w:lang w:val="it-IT"/>
        </w:rPr>
        <w:t>di regolazione e cio</w:t>
      </w:r>
      <w:r>
        <w:rPr>
          <w:rFonts w:hAnsi="Book Antiqua" w:hint="default"/>
          <w:rtl w:val="0"/>
          <w:lang w:val="it-IT"/>
        </w:rPr>
        <w:t xml:space="preserve">è </w:t>
      </w:r>
      <w:r>
        <w:rPr>
          <w:rFonts w:ascii="Book Antiqua"/>
          <w:rtl w:val="0"/>
          <w:lang w:val="it-IT"/>
        </w:rPr>
        <w:t>della regione Lazio alle cui determinazioni AMA ha l</w:t>
      </w:r>
      <w:r>
        <w:rPr>
          <w:rFonts w:hAnsi="Book Antiqua" w:hint="default"/>
          <w:rtl w:val="0"/>
          <w:lang w:val="it-IT"/>
        </w:rPr>
        <w:t>’</w:t>
      </w:r>
      <w:r>
        <w:rPr>
          <w:rFonts w:ascii="Book Antiqua"/>
          <w:rtl w:val="0"/>
          <w:lang w:val="it-IT"/>
        </w:rPr>
        <w:t>obbligo di adeguarsi. Ci</w:t>
      </w:r>
      <w:r>
        <w:rPr>
          <w:rFonts w:hAnsi="Book Antiqua" w:hint="default"/>
          <w:rtl w:val="0"/>
          <w:lang w:val="it-IT"/>
        </w:rPr>
        <w:t xml:space="preserve">ò </w:t>
      </w:r>
      <w:r>
        <w:rPr>
          <w:rFonts w:ascii="Book Antiqua"/>
          <w:rtl w:val="0"/>
          <w:lang w:val="it-IT"/>
        </w:rPr>
        <w:t>premesso e con riferimento alla vostra nota del 10/02/2015, confermiamo che ogni definizione delle tariffe dovr</w:t>
      </w:r>
      <w:r>
        <w:rPr>
          <w:rFonts w:hAnsi="Book Antiqua" w:hint="default"/>
          <w:rtl w:val="0"/>
          <w:lang w:val="it-IT"/>
        </w:rPr>
        <w:t xml:space="preserve">à </w:t>
      </w:r>
      <w:r>
        <w:rPr>
          <w:rFonts w:ascii="Book Antiqua"/>
          <w:rtl w:val="0"/>
          <w:lang w:val="it-IT"/>
        </w:rPr>
        <w:t>essere oggetto di decisione degli Enti competenti che, certamente, potranno trovare, se lo vorranno, utile contributo da parte di tutti gli operatori, specialmente se essi approderanno ad un esito condiviso. Per questa ragione stiamo valutando la vostra proposta per un</w:t>
      </w:r>
      <w:r>
        <w:rPr>
          <w:rFonts w:hAnsi="Book Antiqua" w:hint="default"/>
          <w:rtl w:val="0"/>
          <w:lang w:val="it-IT"/>
        </w:rPr>
        <w:t>’</w:t>
      </w:r>
      <w:r>
        <w:rPr>
          <w:rFonts w:ascii="Book Antiqua"/>
          <w:rtl w:val="0"/>
          <w:lang w:val="it-IT"/>
        </w:rPr>
        <w:t xml:space="preserve">analisi del </w:t>
      </w:r>
      <w:r>
        <w:rPr>
          <w:rFonts w:hAnsi="Book Antiqua" w:hint="default"/>
          <w:rtl w:val="0"/>
          <w:lang w:val="it-IT"/>
        </w:rPr>
        <w:t>‘</w:t>
      </w:r>
      <w:r>
        <w:rPr>
          <w:rFonts w:ascii="Book Antiqua"/>
          <w:rtl w:val="0"/>
          <w:lang w:val="it-IT"/>
        </w:rPr>
        <w:t>metodo</w:t>
      </w:r>
      <w:r>
        <w:rPr>
          <w:rFonts w:hAnsi="Book Antiqua" w:hint="default"/>
          <w:rtl w:val="0"/>
          <w:lang w:val="it-IT"/>
        </w:rPr>
        <w:t>’</w:t>
      </w:r>
      <w:r>
        <w:rPr>
          <w:rFonts w:ascii="Book Antiqua"/>
          <w:rtl w:val="0"/>
          <w:lang w:val="it-IT"/>
        </w:rPr>
        <w:t xml:space="preserve"> da impiegare per la revisione della tariffa attualmente applicata e addivenire ad una ipotesi concordata da sottoporre all'attenzione delle Autorit</w:t>
      </w:r>
      <w:r>
        <w:rPr>
          <w:rFonts w:hAnsi="Book Antiqua" w:hint="default"/>
          <w:rtl w:val="0"/>
          <w:lang w:val="it-IT"/>
        </w:rPr>
        <w:t xml:space="preserve">à </w:t>
      </w:r>
      <w:r>
        <w:rPr>
          <w:rFonts w:ascii="Book Antiqua"/>
          <w:rtl w:val="0"/>
          <w:lang w:val="it-IT"/>
        </w:rPr>
        <w:t xml:space="preserve">competenti. Senza ombra di dubbio, quel </w:t>
      </w:r>
      <w:r>
        <w:rPr>
          <w:rFonts w:hAnsi="Book Antiqua" w:hint="default"/>
          <w:rtl w:val="0"/>
          <w:lang w:val="it-IT"/>
        </w:rPr>
        <w:t>‘</w:t>
      </w:r>
      <w:r>
        <w:rPr>
          <w:rFonts w:ascii="Book Antiqua"/>
          <w:rtl w:val="0"/>
          <w:lang w:val="it-IT"/>
        </w:rPr>
        <w:t>metodo</w:t>
      </w:r>
      <w:r>
        <w:rPr>
          <w:rFonts w:hAnsi="Book Antiqua" w:hint="default"/>
          <w:rtl w:val="0"/>
          <w:lang w:val="it-IT"/>
        </w:rPr>
        <w:t>’</w:t>
      </w:r>
      <w:r>
        <w:rPr>
          <w:rFonts w:ascii="Book Antiqua"/>
          <w:rtl w:val="0"/>
          <w:lang w:val="it-IT"/>
        </w:rPr>
        <w:t>, deve intendersi applicato anche al conferimento presso l</w:t>
      </w:r>
      <w:r>
        <w:rPr>
          <w:rFonts w:hAnsi="Book Antiqua" w:hint="default"/>
          <w:rtl w:val="0"/>
          <w:lang w:val="it-IT"/>
        </w:rPr>
        <w:t>’</w:t>
      </w:r>
      <w:r>
        <w:rPr>
          <w:rFonts w:ascii="Book Antiqua"/>
          <w:rtl w:val="0"/>
          <w:lang w:val="it-IT"/>
        </w:rPr>
        <w:t>impianto di tritovagliatura, ci</w:t>
      </w:r>
      <w:r>
        <w:rPr>
          <w:rFonts w:hAnsi="Book Antiqua" w:hint="default"/>
          <w:rtl w:val="0"/>
          <w:lang w:val="it-IT"/>
        </w:rPr>
        <w:t xml:space="preserve">ò </w:t>
      </w:r>
      <w:r>
        <w:rPr>
          <w:rFonts w:ascii="Book Antiqua"/>
          <w:rtl w:val="0"/>
          <w:lang w:val="it-IT"/>
        </w:rPr>
        <w:t>anche al fine di stabilire definitivamente e compiutamente, nonch</w:t>
      </w:r>
      <w:r>
        <w:rPr>
          <w:rFonts w:hAnsi="Book Antiqua" w:hint="default"/>
          <w:rtl w:val="0"/>
          <w:lang w:val="it-IT"/>
        </w:rPr>
        <w:t xml:space="preserve">é </w:t>
      </w:r>
      <w:r>
        <w:rPr>
          <w:rFonts w:ascii="Book Antiqua"/>
          <w:rtl w:val="0"/>
          <w:lang w:val="it-IT"/>
        </w:rPr>
        <w:t xml:space="preserve">in modo convincente, i reali valori industriali ed economici che comportano le lavorazioni di tritovagliatura. D'altra parte i dati comuni ci portano a dire che in questi anni non </w:t>
      </w:r>
      <w:r>
        <w:rPr>
          <w:rFonts w:hAnsi="Book Antiqua" w:hint="default"/>
          <w:rtl w:val="0"/>
          <w:lang w:val="it-IT"/>
        </w:rPr>
        <w:t xml:space="preserve">è </w:t>
      </w:r>
      <w:r>
        <w:rPr>
          <w:rFonts w:ascii="Book Antiqua"/>
          <w:rtl w:val="0"/>
          <w:lang w:val="it-IT"/>
        </w:rPr>
        <w:t>mai venuto meno il nostro conferimento di rifiuti urbani nelle quantit</w:t>
      </w:r>
      <w:r>
        <w:rPr>
          <w:rFonts w:hAnsi="Book Antiqua" w:hint="default"/>
          <w:rtl w:val="0"/>
          <w:lang w:val="it-IT"/>
        </w:rPr>
        <w:t xml:space="preserve">à </w:t>
      </w:r>
      <w:r>
        <w:rPr>
          <w:rFonts w:ascii="Book Antiqua"/>
          <w:rtl w:val="0"/>
          <w:lang w:val="it-IT"/>
        </w:rPr>
        <w:t xml:space="preserve">definite e quindi che AMA ha onorato tutti i suoi impegni. Il tritovagliatore di Rocca Cencia, nasce da una iniziativa imprenditoriale corrispondente ad una sollecitazione di parte pubblica per contenere il rischio di emergenza per il trattamento dei rifiuti. Il tritovagliatore deve essere inteso, dunque, come componente del sistema imprenditoriale di Co.La.Ri, ausiliario e complementare dei 2 TMB e non certo come uno strumento gestionale ordinario del ciclo dei rifiuti di cui, peraltro, non vi </w:t>
      </w:r>
      <w:r>
        <w:rPr>
          <w:rFonts w:hAnsi="Book Antiqua" w:hint="default"/>
          <w:rtl w:val="0"/>
          <w:lang w:val="it-IT"/>
        </w:rPr>
        <w:t xml:space="preserve">è </w:t>
      </w:r>
      <w:r>
        <w:rPr>
          <w:rFonts w:ascii="Book Antiqua"/>
          <w:rtl w:val="0"/>
          <w:lang w:val="it-IT"/>
        </w:rPr>
        <w:t xml:space="preserve">traccia nella pianificazione regionale </w:t>
      </w:r>
      <w:r>
        <w:rPr>
          <w:rFonts w:hAnsi="Book Antiqua" w:hint="default"/>
          <w:rtl w:val="0"/>
          <w:lang w:val="it-IT"/>
        </w:rPr>
        <w:t xml:space="preserve">è </w:t>
      </w:r>
      <w:r>
        <w:rPr>
          <w:rFonts w:ascii="Book Antiqua"/>
          <w:rtl w:val="0"/>
          <w:lang w:val="it-IT"/>
        </w:rPr>
        <w:t>del quale, ovviamente, deve auspicarsi non ve ne sia pi</w:t>
      </w:r>
      <w:r>
        <w:rPr>
          <w:rFonts w:hAnsi="Book Antiqua" w:hint="default"/>
          <w:rtl w:val="0"/>
          <w:lang w:val="it-IT"/>
        </w:rPr>
        <w:t xml:space="preserve">ù </w:t>
      </w:r>
      <w:r>
        <w:rPr>
          <w:rFonts w:ascii="Book Antiqua"/>
          <w:rtl w:val="0"/>
          <w:lang w:val="it-IT"/>
        </w:rPr>
        <w:t>necessit</w:t>
      </w:r>
      <w:r>
        <w:rPr>
          <w:rFonts w:hAnsi="Book Antiqua" w:hint="default"/>
          <w:rtl w:val="0"/>
          <w:lang w:val="it-IT"/>
        </w:rPr>
        <w:t xml:space="preserve">à </w:t>
      </w:r>
      <w:r>
        <w:rPr>
          <w:rFonts w:ascii="Book Antiqua"/>
          <w:rtl w:val="0"/>
          <w:lang w:val="it-IT"/>
        </w:rPr>
        <w:t>in un assetto che esclude, definitivamente, risposte emergenziali.  Per altro verso, non sfugge a nessuno che il progresso della raccolta differenziata e l'ottimizzazione produttiva degli impianti di AMA concorrono alla diminuzione del fabbisogno di trattamento di rifiuti urbani indifferenziati da parte di terzi (peraltro numerosi ed in via di accrescimento) mentre nuove e finalmente moderne leggi ne consentono il recupero energetico sull'intero bacino nazionale. Dunque, risulta impossibile stabilire il conferimento di quantit</w:t>
      </w:r>
      <w:r>
        <w:rPr>
          <w:rFonts w:hAnsi="Book Antiqua" w:hint="default"/>
          <w:rtl w:val="0"/>
          <w:lang w:val="it-IT"/>
        </w:rPr>
        <w:t xml:space="preserve">à </w:t>
      </w:r>
      <w:r>
        <w:rPr>
          <w:rFonts w:ascii="Book Antiqua"/>
          <w:rtl w:val="0"/>
          <w:lang w:val="it-IT"/>
        </w:rPr>
        <w:t xml:space="preserve">minime al tritovagliatore che, anzi, nella prospettiva ravvicinata, potrebbe veder esaurita la sua funzione del tutto </w:t>
      </w:r>
      <w:r>
        <w:rPr>
          <w:rFonts w:hAnsi="Book Antiqua" w:hint="default"/>
          <w:rtl w:val="0"/>
          <w:lang w:val="it-IT"/>
        </w:rPr>
        <w:t>‘</w:t>
      </w:r>
      <w:r>
        <w:rPr>
          <w:rFonts w:ascii="Book Antiqua"/>
          <w:rtl w:val="0"/>
          <w:lang w:val="it-IT"/>
        </w:rPr>
        <w:t>emergenziale</w:t>
      </w:r>
      <w:r>
        <w:rPr>
          <w:rFonts w:hAnsi="Book Antiqua" w:hint="default"/>
          <w:rtl w:val="0"/>
          <w:lang w:val="it-IT"/>
        </w:rPr>
        <w:t>’</w:t>
      </w:r>
      <w:r>
        <w:rPr>
          <w:rFonts w:ascii="Book Antiqua"/>
          <w:rtl w:val="0"/>
          <w:lang w:val="it-IT"/>
        </w:rPr>
        <w:t>. Gi</w:t>
      </w:r>
      <w:r>
        <w:rPr>
          <w:rFonts w:hAnsi="Book Antiqua" w:hint="default"/>
          <w:rtl w:val="0"/>
          <w:lang w:val="it-IT"/>
        </w:rPr>
        <w:t xml:space="preserve">à </w:t>
      </w:r>
      <w:r>
        <w:rPr>
          <w:rFonts w:ascii="Book Antiqua"/>
          <w:rtl w:val="0"/>
          <w:lang w:val="it-IT"/>
        </w:rPr>
        <w:t xml:space="preserve">adesso le nuove leggi per l'allontanamento dei rifiuti indifferenziati, finalizzato al recupero energetico, obbliga AMA ad adire il mercato con gare pubbliche e dunque, a riconsiderare i propri rapporti con tutti i fornitori. Per quanto attiene alla </w:t>
      </w:r>
      <w:r>
        <w:rPr>
          <w:rFonts w:hAnsi="Book Antiqua" w:hint="default"/>
          <w:rtl w:val="0"/>
          <w:lang w:val="it-IT"/>
        </w:rPr>
        <w:t>‘</w:t>
      </w:r>
      <w:r>
        <w:rPr>
          <w:rFonts w:ascii="Book Antiqua"/>
          <w:rtl w:val="0"/>
          <w:lang w:val="it-IT"/>
        </w:rPr>
        <w:t>morosit</w:t>
      </w:r>
      <w:r>
        <w:rPr>
          <w:rFonts w:hAnsi="Book Antiqua" w:hint="default"/>
          <w:rtl w:val="0"/>
          <w:lang w:val="it-IT"/>
        </w:rPr>
        <w:t>à’</w:t>
      </w:r>
      <w:r>
        <w:rPr>
          <w:rFonts w:ascii="Book Antiqua"/>
          <w:rtl w:val="0"/>
          <w:lang w:val="it-IT"/>
        </w:rPr>
        <w:t xml:space="preserve"> di AMA nei vostri confronti, vi assicuriamo che saremo comprensivi del disagio creatovi, eppure ricordiamo che nel corso del 2014, soprattutto grazie alla meritoria azione di conciliazione del prefetto Dr. Luigi De Sena, AMA ha corrisposto a Co.La.Ri. 111,9 </w:t>
      </w:r>
      <w:r>
        <w:rPr>
          <w:rFonts w:hAnsi="Book Antiqua" w:hint="default"/>
          <w:rtl w:val="0"/>
          <w:lang w:val="it-IT"/>
        </w:rPr>
        <w:t>€</w:t>
      </w:r>
      <w:r>
        <w:rPr>
          <w:rFonts w:ascii="Book Antiqua"/>
          <w:rtl w:val="0"/>
          <w:lang w:val="it-IT"/>
        </w:rPr>
        <w:t xml:space="preserve">/Ml con un indice di copertura del dare/avere di oltre l'85 per cento. </w:t>
      </w:r>
      <w:r>
        <w:rPr>
          <w:rFonts w:hAnsi="Book Antiqua" w:hint="default"/>
          <w:rtl w:val="0"/>
          <w:lang w:val="it-IT"/>
        </w:rPr>
        <w:t xml:space="preserve">È </w:t>
      </w:r>
      <w:r>
        <w:rPr>
          <w:rFonts w:ascii="Book Antiqua"/>
          <w:rtl w:val="0"/>
          <w:lang w:val="it-IT"/>
        </w:rPr>
        <w:t xml:space="preserve">appena il caso di ricordare, infine, che il rapporto tra AMA e Co.La.Ri, soprattutto in questi ultimi mesi, </w:t>
      </w:r>
      <w:r>
        <w:rPr>
          <w:rFonts w:hAnsi="Book Antiqua" w:hint="default"/>
          <w:rtl w:val="0"/>
          <w:lang w:val="it-IT"/>
        </w:rPr>
        <w:t xml:space="preserve">è </w:t>
      </w:r>
      <w:r>
        <w:rPr>
          <w:rFonts w:ascii="Book Antiqua"/>
          <w:rtl w:val="0"/>
          <w:lang w:val="it-IT"/>
        </w:rPr>
        <w:t>caratterizzato da un aspro contenzioso in sede giudiziale che la vostra parte ha sempre escluso di poter sottrarre ad un confronto costruttivo e trasparente. Se, come da noi pi</w:t>
      </w:r>
      <w:r>
        <w:rPr>
          <w:rFonts w:hAnsi="Book Antiqua" w:hint="default"/>
          <w:rtl w:val="0"/>
          <w:lang w:val="it-IT"/>
        </w:rPr>
        <w:t xml:space="preserve">ù </w:t>
      </w:r>
      <w:r>
        <w:rPr>
          <w:rFonts w:ascii="Book Antiqua"/>
          <w:rtl w:val="0"/>
          <w:lang w:val="it-IT"/>
        </w:rPr>
        <w:t>volte sollecitato, ci</w:t>
      </w:r>
      <w:r>
        <w:rPr>
          <w:rFonts w:hAnsi="Book Antiqua" w:hint="default"/>
          <w:rtl w:val="0"/>
          <w:lang w:val="it-IT"/>
        </w:rPr>
        <w:t xml:space="preserve">ò </w:t>
      </w:r>
      <w:r>
        <w:rPr>
          <w:rFonts w:ascii="Book Antiqua"/>
          <w:rtl w:val="0"/>
          <w:lang w:val="it-IT"/>
        </w:rPr>
        <w:t>fosse accaduto, probabilmente le relazioni sarebbero state assai pi</w:t>
      </w:r>
      <w:r>
        <w:rPr>
          <w:rFonts w:hAnsi="Book Antiqua" w:hint="default"/>
          <w:rtl w:val="0"/>
          <w:lang w:val="it-IT"/>
        </w:rPr>
        <w:t xml:space="preserve">ù </w:t>
      </w:r>
      <w:r>
        <w:rPr>
          <w:rFonts w:ascii="Book Antiqua"/>
          <w:rtl w:val="0"/>
          <w:lang w:val="it-IT"/>
        </w:rPr>
        <w:t>distese. Confidando in una rapida e condivisa conclusione degli aggiornamenti economici dei nostri rapporti.</w:t>
      </w:r>
      <w:r>
        <w:rPr>
          <w:rFonts w:hAnsi="Book Antiqua" w:hint="default"/>
          <w:rtl w:val="0"/>
          <w:lang w:val="it-IT"/>
        </w:rPr>
        <w:t>”</w:t>
      </w: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rPr>
      </w:pPr>
      <w:r>
        <w:rPr>
          <w:rFonts w:ascii="Book Antiqua"/>
          <w:rtl w:val="0"/>
          <w:lang w:val="it-IT"/>
        </w:rPr>
        <w:t xml:space="preserve">Il richiamo ad alcune delle lettere che fanno parte della fitta corrispondenza tra Co.La.Ri. e AMA </w:t>
      </w:r>
      <w:r>
        <w:rPr>
          <w:rFonts w:hAnsi="Book Antiqua" w:hint="default"/>
          <w:rtl w:val="0"/>
          <w:lang w:val="it-IT"/>
        </w:rPr>
        <w:t xml:space="preserve">è </w:t>
      </w:r>
      <w:r>
        <w:rPr>
          <w:rFonts w:ascii="Book Antiqua"/>
          <w:rtl w:val="0"/>
          <w:lang w:val="it-IT"/>
        </w:rPr>
        <w:t>rilevante sotto due profili connessi: la variet</w:t>
      </w:r>
      <w:r>
        <w:rPr>
          <w:rFonts w:hAnsi="Book Antiqua" w:hint="default"/>
          <w:rtl w:val="0"/>
          <w:lang w:val="it-IT"/>
        </w:rPr>
        <w:t xml:space="preserve">à </w:t>
      </w:r>
      <w:r>
        <w:rPr>
          <w:rFonts w:ascii="Book Antiqua"/>
          <w:rtl w:val="0"/>
          <w:lang w:val="it-IT"/>
        </w:rPr>
        <w:t>di temi che in questi scritti vengono affrontati e la scelta di entrambi i soggetti di affidare a scambi di lettere osservazioni che avrebbero dovuto e potuto trovare sede in un regolamento negoziale quantunque condizionato da atti amministrativi.</w:t>
      </w:r>
    </w:p>
    <w:p>
      <w:pPr>
        <w:pStyle w:val="Normal"/>
        <w:ind w:left="567" w:right="567" w:firstLine="0"/>
        <w:jc w:val="both"/>
        <w:rPr>
          <w:rFonts w:ascii="Book Antiqua" w:cs="Book Antiqua" w:hAnsi="Book Antiqua" w:eastAsia="Book Antiqua"/>
        </w:rPr>
      </w:pPr>
      <w:r>
        <w:rPr>
          <w:rFonts w:ascii="Book Antiqua"/>
          <w:rtl w:val="0"/>
          <w:lang w:val="it-IT"/>
        </w:rPr>
        <w:t>Si pu</w:t>
      </w:r>
      <w:r>
        <w:rPr>
          <w:rFonts w:hAnsi="Book Antiqua" w:hint="default"/>
          <w:rtl w:val="0"/>
          <w:lang w:val="it-IT"/>
        </w:rPr>
        <w:t xml:space="preserve">ò </w:t>
      </w:r>
      <w:r>
        <w:rPr>
          <w:rFonts w:ascii="Book Antiqua"/>
          <w:rtl w:val="0"/>
          <w:lang w:val="it-IT"/>
        </w:rPr>
        <w:t xml:space="preserve">discutere se la situazione giuridicamente debole che in tal modo si </w:t>
      </w:r>
      <w:r>
        <w:rPr>
          <w:rFonts w:hAnsi="Book Antiqua" w:hint="default"/>
          <w:rtl w:val="0"/>
          <w:lang w:val="it-IT"/>
        </w:rPr>
        <w:t xml:space="preserve">è </w:t>
      </w:r>
      <w:r>
        <w:rPr>
          <w:rFonts w:ascii="Book Antiqua"/>
          <w:rtl w:val="0"/>
          <w:lang w:val="it-IT"/>
        </w:rPr>
        <w:t>venuta a creare abbia favorito gli interessi pubblici o quelli privati: d</w:t>
      </w:r>
      <w:r>
        <w:rPr>
          <w:rFonts w:hAnsi="Book Antiqua" w:hint="default"/>
          <w:rtl w:val="0"/>
          <w:lang w:val="it-IT"/>
        </w:rPr>
        <w:t>’</w:t>
      </w:r>
      <w:r>
        <w:rPr>
          <w:rFonts w:ascii="Book Antiqua"/>
          <w:rtl w:val="0"/>
          <w:lang w:val="it-IT"/>
        </w:rPr>
        <w:t>altro canto nella corrispondenza si colgono anche affermazioni di contesto da ritenersi illuminanti circa il quadro di scelte politiche che hanno condotto a questa situazione.</w:t>
      </w:r>
    </w:p>
    <w:p>
      <w:pPr>
        <w:pStyle w:val="Normal"/>
        <w:ind w:left="567" w:right="567" w:firstLine="0"/>
        <w:jc w:val="both"/>
        <w:rPr>
          <w:rFonts w:ascii="Book Antiqua" w:cs="Book Antiqua" w:hAnsi="Book Antiqua" w:eastAsia="Book Antiqua"/>
        </w:rPr>
      </w:pPr>
      <w:r>
        <w:rPr>
          <w:rFonts w:ascii="Book Antiqua"/>
          <w:rtl w:val="0"/>
          <w:lang w:val="it-IT"/>
        </w:rPr>
        <w:t>Nella lettera</w:t>
      </w:r>
      <w:r>
        <w:rPr>
          <w:rFonts w:ascii="Book Antiqua" w:cs="Book Antiqua" w:hAnsi="Book Antiqua" w:eastAsia="Book Antiqua"/>
          <w:vertAlign w:val="superscript"/>
          <w:rtl w:val="0"/>
        </w:rPr>
        <w:footnoteReference w:id="61"/>
      </w:r>
      <w:r>
        <w:rPr>
          <w:rFonts w:ascii="Book Antiqua"/>
          <w:rtl w:val="0"/>
          <w:lang w:val="it-IT"/>
        </w:rPr>
        <w:t xml:space="preserve"> del 26 ottobre 2015, inviata dal presidente pro tempore di AMA, Daniele Fortini, al Presidente di Co.La.Ri, Candido Saioni, si colgono le critiche del legale rappresentante AMA nei confronti del commissario Sottile e dell</w:t>
      </w:r>
      <w:r>
        <w:rPr>
          <w:rFonts w:hAnsi="Book Antiqua" w:hint="default"/>
          <w:rtl w:val="0"/>
          <w:lang w:val="it-IT"/>
        </w:rPr>
        <w:t>’</w:t>
      </w:r>
      <w:r>
        <w:rPr>
          <w:rFonts w:ascii="Book Antiqua"/>
          <w:rtl w:val="0"/>
          <w:lang w:val="it-IT"/>
        </w:rPr>
        <w:t>allora ministro dell</w:t>
      </w:r>
      <w:r>
        <w:rPr>
          <w:rFonts w:hAnsi="Book Antiqua" w:hint="default"/>
          <w:rtl w:val="0"/>
          <w:lang w:val="it-IT"/>
        </w:rPr>
        <w:t>’</w:t>
      </w:r>
      <w:r>
        <w:rPr>
          <w:rFonts w:ascii="Book Antiqua"/>
          <w:rtl w:val="0"/>
          <w:lang w:val="it-IT"/>
        </w:rPr>
        <w:t>ambiente Clini, in merito all</w:t>
      </w:r>
      <w:r>
        <w:rPr>
          <w:rFonts w:hAnsi="Book Antiqua" w:hint="default"/>
          <w:rtl w:val="0"/>
          <w:lang w:val="it-IT"/>
        </w:rPr>
        <w:t>’</w:t>
      </w:r>
      <w:r>
        <w:rPr>
          <w:rFonts w:ascii="Book Antiqua"/>
          <w:rtl w:val="0"/>
          <w:lang w:val="it-IT"/>
        </w:rPr>
        <w:t>emergenza del 2013 e all</w:t>
      </w:r>
      <w:r>
        <w:rPr>
          <w:rFonts w:hAnsi="Book Antiqua" w:hint="default"/>
          <w:rtl w:val="0"/>
          <w:lang w:val="it-IT"/>
        </w:rPr>
        <w:t>’</w:t>
      </w:r>
      <w:r>
        <w:rPr>
          <w:rFonts w:ascii="Book Antiqua"/>
          <w:rtl w:val="0"/>
          <w:lang w:val="it-IT"/>
        </w:rPr>
        <w:t>opportunit</w:t>
      </w:r>
      <w:r>
        <w:rPr>
          <w:rFonts w:hAnsi="Book Antiqua" w:hint="default"/>
          <w:rtl w:val="0"/>
          <w:lang w:val="it-IT"/>
        </w:rPr>
        <w:t xml:space="preserve">à </w:t>
      </w:r>
      <w:r>
        <w:rPr>
          <w:rFonts w:ascii="Book Antiqua"/>
          <w:rtl w:val="0"/>
          <w:lang w:val="it-IT"/>
        </w:rPr>
        <w:t xml:space="preserve">di far costruire uno stabilimento permanente di tritovagliatura: </w:t>
      </w: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rPr>
      </w:pPr>
      <w:r>
        <w:rPr>
          <w:rFonts w:ascii="Book Antiqua"/>
          <w:rtl w:val="0"/>
          <w:lang w:val="it-IT"/>
        </w:rPr>
        <w:t xml:space="preserve"> </w:t>
      </w:r>
      <w:r>
        <w:rPr>
          <w:rFonts w:hAnsi="Book Antiqua" w:hint="default"/>
          <w:rtl w:val="0"/>
          <w:lang w:val="it-IT"/>
        </w:rPr>
        <w:t>“</w:t>
      </w:r>
      <w:r>
        <w:rPr>
          <w:rFonts w:ascii="Book Antiqua"/>
          <w:rtl w:val="0"/>
          <w:lang w:val="it-IT"/>
        </w:rPr>
        <w:t>Caro Presidente, riscontro la ultima Sua del 19.10.2015 osservando che le Sue affermazioni, talora, paiono elusive di quanto da me verificato e non dileguano affatto la nebbia che circonda la costruzione del Tritovagliatore di Rocca Cencia e la successiva pattuizione tra AMA e Co.La.Ri. per il funzionamento dell'impianto. N</w:t>
      </w:r>
      <w:r>
        <w:rPr>
          <w:rFonts w:hAnsi="Book Antiqua" w:hint="default"/>
          <w:rtl w:val="0"/>
          <w:lang w:val="it-IT"/>
        </w:rPr>
        <w:t xml:space="preserve">é </w:t>
      </w:r>
      <w:r>
        <w:rPr>
          <w:rFonts w:ascii="Book Antiqua"/>
          <w:rtl w:val="0"/>
          <w:lang w:val="it-IT"/>
        </w:rPr>
        <w:t>sembrano d'aiuto le voluminose carte allegate che, anzi, ancor pi</w:t>
      </w:r>
      <w:r>
        <w:rPr>
          <w:rFonts w:hAnsi="Book Antiqua" w:hint="default"/>
          <w:rtl w:val="0"/>
          <w:lang w:val="it-IT"/>
        </w:rPr>
        <w:t xml:space="preserve">ù </w:t>
      </w:r>
      <w:r>
        <w:rPr>
          <w:rFonts w:ascii="Book Antiqua"/>
          <w:rtl w:val="0"/>
          <w:lang w:val="it-IT"/>
        </w:rPr>
        <w:t xml:space="preserve">mi inducono alla riserva. Lei scrive che, in numerosi incontri e riunioni a tutti i livelli, nel 2013 fu deciso di procedere alla costruzione di un Tritovagliatore e che, scartando altre ipotesi, </w:t>
      </w:r>
      <w:r>
        <w:rPr>
          <w:rFonts w:hAnsi="Book Antiqua" w:hint="default"/>
          <w:rtl w:val="0"/>
          <w:lang w:val="it-IT"/>
        </w:rPr>
        <w:t>‘</w:t>
      </w:r>
      <w:r>
        <w:rPr>
          <w:rFonts w:ascii="Book Antiqua"/>
          <w:rtl w:val="0"/>
          <w:lang w:val="it-IT"/>
        </w:rPr>
        <w:t>... tutti sollecitavano e si aspettavano che il Co.La.Ri. trovasse una soluzione per salvare dall'emergenza rifiuti la Citt</w:t>
      </w:r>
      <w:r>
        <w:rPr>
          <w:rFonts w:hAnsi="Book Antiqua" w:hint="default"/>
          <w:rtl w:val="0"/>
          <w:lang w:val="it-IT"/>
        </w:rPr>
        <w:t xml:space="preserve">à </w:t>
      </w:r>
      <w:r>
        <w:rPr>
          <w:rFonts w:ascii="Book Antiqua"/>
          <w:rtl w:val="0"/>
          <w:lang w:val="it-IT"/>
        </w:rPr>
        <w:t>di Roma...</w:t>
      </w:r>
      <w:r>
        <w:rPr>
          <w:rFonts w:hAnsi="Book Antiqua" w:hint="default"/>
          <w:rtl w:val="0"/>
          <w:lang w:val="it-IT"/>
        </w:rPr>
        <w:t>’</w:t>
      </w:r>
      <w:r>
        <w:rPr>
          <w:rFonts w:ascii="Book Antiqua"/>
          <w:rtl w:val="0"/>
          <w:lang w:val="it-IT"/>
        </w:rPr>
        <w:t>. Non fatico a credere che, in quel tremendo frangente, le riunioni si siano susseguite numerose e frenetiche. A Napoli, dal 2008 al 2011, ne ho vissute di ugualmente stressanti. Tuttavia mi chiedo: perch</w:t>
      </w:r>
      <w:r>
        <w:rPr>
          <w:rFonts w:hAnsi="Book Antiqua" w:hint="default"/>
          <w:rtl w:val="0"/>
          <w:lang w:val="it-IT"/>
        </w:rPr>
        <w:t xml:space="preserve">é </w:t>
      </w:r>
      <w:r>
        <w:rPr>
          <w:rFonts w:ascii="Book Antiqua"/>
          <w:rtl w:val="0"/>
          <w:lang w:val="it-IT"/>
        </w:rPr>
        <w:t>non si fece ricorso a tritovagliatori mobili come accadeva in altre parti d'Italia esposte al rischio di emergenze? Quelli "mobili" si potevano affittare con facilit</w:t>
      </w:r>
      <w:r>
        <w:rPr>
          <w:rFonts w:hAnsi="Book Antiqua" w:hint="default"/>
          <w:rtl w:val="0"/>
          <w:lang w:val="it-IT"/>
        </w:rPr>
        <w:t xml:space="preserve">à </w:t>
      </w:r>
      <w:r>
        <w:rPr>
          <w:rFonts w:ascii="Book Antiqua"/>
          <w:rtl w:val="0"/>
          <w:lang w:val="it-IT"/>
        </w:rPr>
        <w:t>e ad un costo immensamente inferiore, erano rapidi da installare e semplici da far funzionare, si sarebbero potuti alloggiare nei siti di AMA o di Co.La.Ri. gi</w:t>
      </w:r>
      <w:r>
        <w:rPr>
          <w:rFonts w:hAnsi="Book Antiqua" w:hint="default"/>
          <w:rtl w:val="0"/>
          <w:lang w:val="it-IT"/>
        </w:rPr>
        <w:t xml:space="preserve">à </w:t>
      </w:r>
      <w:r>
        <w:rPr>
          <w:rFonts w:ascii="Book Antiqua"/>
          <w:rtl w:val="0"/>
          <w:lang w:val="it-IT"/>
        </w:rPr>
        <w:t>autorizzati e con 3 banali tritovagliatori mobili fronteggiare la situazione, con rapidit</w:t>
      </w:r>
      <w:r>
        <w:rPr>
          <w:rFonts w:hAnsi="Book Antiqua" w:hint="default"/>
          <w:rtl w:val="0"/>
          <w:lang w:val="it-IT"/>
        </w:rPr>
        <w:t xml:space="preserve">à </w:t>
      </w:r>
      <w:r>
        <w:rPr>
          <w:rFonts w:ascii="Book Antiqua"/>
          <w:rtl w:val="0"/>
          <w:lang w:val="it-IT"/>
        </w:rPr>
        <w:t>ed a basso costo. La scelta di costruire uno stabilimento permanente di Tritovagliatura, francamente, mi pare pi</w:t>
      </w:r>
      <w:r>
        <w:rPr>
          <w:rFonts w:hAnsi="Book Antiqua" w:hint="default"/>
          <w:rtl w:val="0"/>
          <w:lang w:val="it-IT"/>
        </w:rPr>
        <w:t xml:space="preserve">ù </w:t>
      </w:r>
      <w:r>
        <w:rPr>
          <w:rFonts w:ascii="Book Antiqua"/>
          <w:rtl w:val="0"/>
          <w:lang w:val="it-IT"/>
        </w:rPr>
        <w:t>dettata dalla opportunit</w:t>
      </w:r>
      <w:r>
        <w:rPr>
          <w:rFonts w:hAnsi="Book Antiqua" w:hint="default"/>
          <w:rtl w:val="0"/>
          <w:lang w:val="it-IT"/>
        </w:rPr>
        <w:t xml:space="preserve">à </w:t>
      </w:r>
      <w:r>
        <w:rPr>
          <w:rFonts w:ascii="Book Antiqua"/>
          <w:rtl w:val="0"/>
          <w:lang w:val="it-IT"/>
        </w:rPr>
        <w:t>di creare un vincolo permanente al sistema di pretrattamento dei rifiuti che non a trovare rapidissime, flessibili e convenienti soluzioni. Possibile che in tutte le numerose e frequenti riunioni "emergenziali", le decine di esperti mobilitati al fianco dai Ministeri, non abbiano valutato ipotesi alternative come quella anzidetta (tra tante altre possibili)? E perch</w:t>
      </w:r>
      <w:r>
        <w:rPr>
          <w:rFonts w:hAnsi="Book Antiqua" w:hint="default"/>
          <w:rtl w:val="0"/>
          <w:lang w:val="it-IT"/>
        </w:rPr>
        <w:t xml:space="preserve">é </w:t>
      </w:r>
      <w:r>
        <w:rPr>
          <w:rFonts w:ascii="Book Antiqua"/>
          <w:rtl w:val="0"/>
          <w:lang w:val="it-IT"/>
        </w:rPr>
        <w:t xml:space="preserve">non vi </w:t>
      </w:r>
      <w:r>
        <w:rPr>
          <w:rFonts w:hAnsi="Book Antiqua" w:hint="default"/>
          <w:rtl w:val="0"/>
          <w:lang w:val="it-IT"/>
        </w:rPr>
        <w:t xml:space="preserve">è </w:t>
      </w:r>
      <w:r>
        <w:rPr>
          <w:rFonts w:ascii="Book Antiqua"/>
          <w:rtl w:val="0"/>
          <w:lang w:val="it-IT"/>
        </w:rPr>
        <w:t xml:space="preserve">traccia alcuna del percorso che indusse </w:t>
      </w:r>
      <w:r>
        <w:rPr>
          <w:rFonts w:hAnsi="Book Antiqua" w:hint="default"/>
          <w:rtl w:val="0"/>
          <w:lang w:val="it-IT"/>
        </w:rPr>
        <w:t>‘</w:t>
      </w:r>
      <w:r>
        <w:rPr>
          <w:rFonts w:ascii="Book Antiqua"/>
          <w:rtl w:val="0"/>
          <w:lang w:val="it-IT"/>
        </w:rPr>
        <w:t>tutti</w:t>
      </w:r>
      <w:r>
        <w:rPr>
          <w:rFonts w:hAnsi="Book Antiqua" w:hint="default"/>
          <w:rtl w:val="0"/>
          <w:lang w:val="it-IT"/>
        </w:rPr>
        <w:t xml:space="preserve">’ </w:t>
      </w:r>
      <w:r>
        <w:rPr>
          <w:rFonts w:ascii="Book Antiqua"/>
          <w:rtl w:val="0"/>
          <w:lang w:val="it-IT"/>
        </w:rPr>
        <w:t xml:space="preserve">a chiedere a Co.La.Ri. di </w:t>
      </w:r>
      <w:r>
        <w:rPr>
          <w:rFonts w:hAnsi="Book Antiqua" w:hint="default"/>
          <w:rtl w:val="0"/>
          <w:lang w:val="it-IT"/>
        </w:rPr>
        <w:t>‘</w:t>
      </w:r>
      <w:r>
        <w:rPr>
          <w:rFonts w:ascii="Book Antiqua"/>
          <w:rtl w:val="0"/>
          <w:lang w:val="it-IT"/>
        </w:rPr>
        <w:t>salvare Roma</w:t>
      </w:r>
      <w:r>
        <w:rPr>
          <w:rFonts w:hAnsi="Book Antiqua" w:hint="default"/>
          <w:rtl w:val="0"/>
          <w:lang w:val="it-IT"/>
        </w:rPr>
        <w:t>’</w:t>
      </w:r>
      <w:r>
        <w:rPr>
          <w:rFonts w:ascii="Book Antiqua"/>
          <w:rtl w:val="0"/>
          <w:lang w:val="it-IT"/>
        </w:rPr>
        <w:t>? Per altro verso non ho reperito alcun documento, in AMA, che testimoniasse la sollecitazione e l'aspettativa di AMA affinch</w:t>
      </w:r>
      <w:r>
        <w:rPr>
          <w:rFonts w:hAnsi="Book Antiqua" w:hint="default"/>
          <w:rtl w:val="0"/>
          <w:lang w:val="it-IT"/>
        </w:rPr>
        <w:t xml:space="preserve">é </w:t>
      </w:r>
      <w:r>
        <w:rPr>
          <w:rFonts w:ascii="Book Antiqua"/>
          <w:rtl w:val="0"/>
          <w:lang w:val="it-IT"/>
        </w:rPr>
        <w:t>Co.La.Ri. trovasse una soluzione, cos</w:t>
      </w:r>
      <w:r>
        <w:rPr>
          <w:rFonts w:hAnsi="Book Antiqua" w:hint="default"/>
          <w:rtl w:val="0"/>
          <w:lang w:val="it-IT"/>
        </w:rPr>
        <w:t xml:space="preserve">ì </w:t>
      </w:r>
      <w:r>
        <w:rPr>
          <w:rFonts w:ascii="Book Antiqua"/>
          <w:rtl w:val="0"/>
          <w:lang w:val="it-IT"/>
        </w:rPr>
        <w:t xml:space="preserve">come non vi </w:t>
      </w:r>
      <w:r>
        <w:rPr>
          <w:rFonts w:hAnsi="Book Antiqua" w:hint="default"/>
          <w:rtl w:val="0"/>
          <w:lang w:val="it-IT"/>
        </w:rPr>
        <w:t xml:space="preserve">è </w:t>
      </w:r>
      <w:r>
        <w:rPr>
          <w:rFonts w:ascii="Book Antiqua"/>
          <w:rtl w:val="0"/>
          <w:lang w:val="it-IT"/>
        </w:rPr>
        <w:t>documento che attesti la rinuncia di AMA a farsi parte diligente nella ricerca delle soluzioni o richieste pervenute ad AMA per chiederne l'impegno nella ricerca delle soluzioni. Mi sarebbe di grande utilit</w:t>
      </w:r>
      <w:r>
        <w:rPr>
          <w:rFonts w:hAnsi="Book Antiqua" w:hint="default"/>
          <w:rtl w:val="0"/>
          <w:lang w:val="it-IT"/>
        </w:rPr>
        <w:t>à</w:t>
      </w:r>
      <w:r>
        <w:rPr>
          <w:rFonts w:ascii="Book Antiqua"/>
          <w:rtl w:val="0"/>
          <w:lang w:val="it-IT"/>
        </w:rPr>
        <w:t>, perci</w:t>
      </w:r>
      <w:r>
        <w:rPr>
          <w:rFonts w:hAnsi="Book Antiqua" w:hint="default"/>
          <w:rtl w:val="0"/>
          <w:lang w:val="it-IT"/>
        </w:rPr>
        <w:t>ò</w:t>
      </w:r>
      <w:r>
        <w:rPr>
          <w:rFonts w:ascii="Book Antiqua"/>
          <w:rtl w:val="0"/>
          <w:lang w:val="it-IT"/>
        </w:rPr>
        <w:t>, ricevere documentazione comprovante la volontaria o involontaria attestazione di incapacit</w:t>
      </w:r>
      <w:r>
        <w:rPr>
          <w:rFonts w:hAnsi="Book Antiqua" w:hint="default"/>
          <w:rtl w:val="0"/>
          <w:lang w:val="it-IT"/>
        </w:rPr>
        <w:t xml:space="preserve">à </w:t>
      </w:r>
      <w:r>
        <w:rPr>
          <w:rFonts w:ascii="Book Antiqua"/>
          <w:rtl w:val="0"/>
          <w:lang w:val="it-IT"/>
        </w:rPr>
        <w:t>e disimpegno di AMA dal fronteggiare una incombente emergenza alla quale, per prima e indiscutibilmente, avrebbe dovuto attendere. Ci</w:t>
      </w:r>
      <w:r>
        <w:rPr>
          <w:rFonts w:hAnsi="Book Antiqua" w:hint="default"/>
          <w:rtl w:val="0"/>
          <w:lang w:val="it-IT"/>
        </w:rPr>
        <w:t xml:space="preserve">ò </w:t>
      </w:r>
      <w:r>
        <w:rPr>
          <w:rFonts w:ascii="Book Antiqua"/>
          <w:rtl w:val="0"/>
          <w:lang w:val="it-IT"/>
        </w:rPr>
        <w:t>detto, restano inevasi alcuni quesiti: perch</w:t>
      </w:r>
      <w:r>
        <w:rPr>
          <w:rFonts w:hAnsi="Book Antiqua" w:hint="default"/>
          <w:rtl w:val="0"/>
          <w:lang w:val="it-IT"/>
        </w:rPr>
        <w:t xml:space="preserve">é </w:t>
      </w:r>
      <w:r>
        <w:rPr>
          <w:rFonts w:ascii="Book Antiqua"/>
          <w:rtl w:val="0"/>
          <w:lang w:val="it-IT"/>
        </w:rPr>
        <w:t>non fu svolta una procedura di gara per la costruzione del Tritovagliatore di Rocca Cencia? Perch</w:t>
      </w:r>
      <w:r>
        <w:rPr>
          <w:rFonts w:hAnsi="Book Antiqua" w:hint="default"/>
          <w:rtl w:val="0"/>
          <w:lang w:val="it-IT"/>
        </w:rPr>
        <w:t xml:space="preserve">é </w:t>
      </w:r>
      <w:r>
        <w:rPr>
          <w:rFonts w:ascii="Book Antiqua"/>
          <w:rtl w:val="0"/>
          <w:lang w:val="it-IT"/>
        </w:rPr>
        <w:t>non ne fu stabilita la tariffa da chi  obbligava AMA ad usarlo? Perch</w:t>
      </w:r>
      <w:r>
        <w:rPr>
          <w:rFonts w:hAnsi="Book Antiqua" w:hint="default"/>
          <w:rtl w:val="0"/>
          <w:lang w:val="it-IT"/>
        </w:rPr>
        <w:t xml:space="preserve">é </w:t>
      </w:r>
      <w:r>
        <w:rPr>
          <w:rFonts w:ascii="Book Antiqua"/>
          <w:rtl w:val="0"/>
          <w:lang w:val="it-IT"/>
        </w:rPr>
        <w:t xml:space="preserve">fu stabilito un </w:t>
      </w:r>
      <w:r>
        <w:rPr>
          <w:rFonts w:hAnsi="Book Antiqua" w:hint="default"/>
          <w:rtl w:val="0"/>
          <w:lang w:val="it-IT"/>
        </w:rPr>
        <w:t>‘</w:t>
      </w:r>
      <w:r>
        <w:rPr>
          <w:rFonts w:ascii="Book Antiqua"/>
          <w:rtl w:val="0"/>
          <w:lang w:val="it-IT"/>
        </w:rPr>
        <w:t>quantitativo minimo giornaliero</w:t>
      </w:r>
      <w:r>
        <w:rPr>
          <w:rFonts w:hAnsi="Book Antiqua" w:hint="default"/>
          <w:rtl w:val="0"/>
          <w:lang w:val="it-IT"/>
        </w:rPr>
        <w:t xml:space="preserve">’ </w:t>
      </w:r>
      <w:r>
        <w:rPr>
          <w:rFonts w:ascii="Book Antiqua"/>
          <w:rtl w:val="0"/>
          <w:lang w:val="it-IT"/>
        </w:rPr>
        <w:t>di rifiuti da conferire e che costituisce fattore protettivo per il gestore privato, ma disincentivo per l'utilizzatore AMA dal far funzionare a regime i propri impianti e magari scoraggiale la raccolta differenziata? Perch</w:t>
      </w:r>
      <w:r>
        <w:rPr>
          <w:rFonts w:hAnsi="Book Antiqua" w:hint="default"/>
          <w:rtl w:val="0"/>
          <w:lang w:val="it-IT"/>
        </w:rPr>
        <w:t xml:space="preserve">é </w:t>
      </w:r>
      <w:r>
        <w:rPr>
          <w:rFonts w:ascii="Book Antiqua"/>
          <w:rtl w:val="0"/>
          <w:lang w:val="it-IT"/>
        </w:rPr>
        <w:t xml:space="preserve">il costo operativo stabilito unilateralmente da Co.La.Ri. fu di 45 </w:t>
      </w:r>
      <w:r>
        <w:rPr>
          <w:rFonts w:hAnsi="Book Antiqua" w:hint="default"/>
          <w:rtl w:val="0"/>
          <w:lang w:val="it-IT"/>
        </w:rPr>
        <w:t>€</w:t>
      </w:r>
      <w:r>
        <w:rPr>
          <w:rFonts w:ascii="Book Antiqua"/>
          <w:rtl w:val="0"/>
          <w:lang w:val="it-IT"/>
        </w:rPr>
        <w:t xml:space="preserve">/ton mentre gli STIR della Campania, assolutamente identici al Tritovagliatore di Rocca Cencia, costavano nello stesso periodo 34,85 </w:t>
      </w:r>
      <w:r>
        <w:rPr>
          <w:rFonts w:hAnsi="Book Antiqua" w:hint="default"/>
          <w:rtl w:val="0"/>
          <w:lang w:val="it-IT"/>
        </w:rPr>
        <w:t>€</w:t>
      </w:r>
      <w:r>
        <w:rPr>
          <w:rFonts w:ascii="Book Antiqua"/>
          <w:rtl w:val="0"/>
          <w:lang w:val="it-IT"/>
        </w:rPr>
        <w:t xml:space="preserve">/ton? Se </w:t>
      </w:r>
      <w:r>
        <w:rPr>
          <w:rFonts w:hAnsi="Book Antiqua" w:hint="default"/>
          <w:rtl w:val="0"/>
          <w:lang w:val="it-IT"/>
        </w:rPr>
        <w:t xml:space="preserve">è </w:t>
      </w:r>
      <w:r>
        <w:rPr>
          <w:rFonts w:ascii="Book Antiqua"/>
          <w:rtl w:val="0"/>
          <w:lang w:val="it-IT"/>
        </w:rPr>
        <w:t xml:space="preserve">vero che il Tritovagliatore doveva far </w:t>
      </w:r>
      <w:r>
        <w:rPr>
          <w:rFonts w:hAnsi="Book Antiqua" w:hint="default"/>
          <w:rtl w:val="0"/>
          <w:lang w:val="it-IT"/>
        </w:rPr>
        <w:t>‘</w:t>
      </w:r>
      <w:r>
        <w:rPr>
          <w:rFonts w:ascii="Book Antiqua"/>
          <w:rtl w:val="0"/>
          <w:lang w:val="it-IT"/>
        </w:rPr>
        <w:t>pesare</w:t>
      </w:r>
      <w:r>
        <w:rPr>
          <w:rFonts w:hAnsi="Book Antiqua" w:hint="default"/>
          <w:rtl w:val="0"/>
          <w:lang w:val="it-IT"/>
        </w:rPr>
        <w:t xml:space="preserve">’ </w:t>
      </w:r>
      <w:r>
        <w:rPr>
          <w:rFonts w:ascii="Book Antiqua"/>
          <w:rtl w:val="0"/>
          <w:lang w:val="it-IT"/>
        </w:rPr>
        <w:t xml:space="preserve">in tariffa il costo di ammortamento dell'impianto </w:t>
      </w:r>
      <w:r>
        <w:rPr>
          <w:rFonts w:hAnsi="Book Antiqua" w:hint="default"/>
          <w:rtl w:val="0"/>
          <w:lang w:val="it-IT"/>
        </w:rPr>
        <w:t xml:space="preserve">è </w:t>
      </w:r>
      <w:r>
        <w:rPr>
          <w:rFonts w:ascii="Book Antiqua"/>
          <w:rtl w:val="0"/>
          <w:lang w:val="it-IT"/>
        </w:rPr>
        <w:t>pur vero che gli STIR campani funzionavano con il triplo delle maestranze necessarie e con un contratto di lavoro ben pi</w:t>
      </w:r>
      <w:r>
        <w:rPr>
          <w:rFonts w:hAnsi="Book Antiqua" w:hint="default"/>
          <w:rtl w:val="0"/>
          <w:lang w:val="it-IT"/>
        </w:rPr>
        <w:t xml:space="preserve">ù </w:t>
      </w:r>
      <w:r>
        <w:rPr>
          <w:rFonts w:ascii="Book Antiqua"/>
          <w:rtl w:val="0"/>
          <w:lang w:val="it-IT"/>
        </w:rPr>
        <w:t xml:space="preserve">oneroso di quello somministrato agli operai del Tritovagliatore. Oltre 10 </w:t>
      </w:r>
      <w:r>
        <w:rPr>
          <w:rFonts w:hAnsi="Book Antiqua" w:hint="default"/>
          <w:rtl w:val="0"/>
          <w:lang w:val="it-IT"/>
        </w:rPr>
        <w:t>€</w:t>
      </w:r>
      <w:r>
        <w:rPr>
          <w:rFonts w:ascii="Book Antiqua"/>
          <w:rtl w:val="0"/>
          <w:lang w:val="it-IT"/>
        </w:rPr>
        <w:t xml:space="preserve">/ton di maggior costo, sono difficilmente comprensibili e mettiamo pure da parte che un Tritovagliatore Mobile, all'epoca, presentava </w:t>
      </w:r>
      <w:r>
        <w:rPr>
          <w:rFonts w:ascii="Book Antiqua"/>
          <w:i w:val="1"/>
          <w:iCs w:val="1"/>
          <w:rtl w:val="0"/>
          <w:lang w:val="it-IT"/>
        </w:rPr>
        <w:t>full cost</w:t>
      </w:r>
      <w:r>
        <w:rPr>
          <w:rFonts w:ascii="Book Antiqua"/>
          <w:rtl w:val="0"/>
          <w:lang w:val="it-IT"/>
        </w:rPr>
        <w:t xml:space="preserve"> operativi di 18 </w:t>
      </w:r>
      <w:r>
        <w:rPr>
          <w:rFonts w:hAnsi="Book Antiqua" w:hint="default"/>
          <w:rtl w:val="0"/>
          <w:lang w:val="it-IT"/>
        </w:rPr>
        <w:t>€</w:t>
      </w:r>
      <w:r>
        <w:rPr>
          <w:rFonts w:ascii="Book Antiqua"/>
          <w:rtl w:val="0"/>
          <w:lang w:val="it-IT"/>
        </w:rPr>
        <w:t>/ton. Troppe domande, con altre ancora, senza risposta, come vede. Dunque l'obbligo, per me, di tutelare l'azienda pubblica AMA per addivenire a chiarezza e ad accordi reciprocamente rispettosi, ancorch</w:t>
      </w:r>
      <w:r>
        <w:rPr>
          <w:rFonts w:hAnsi="Book Antiqua" w:hint="default"/>
          <w:rtl w:val="0"/>
          <w:lang w:val="it-IT"/>
        </w:rPr>
        <w:t xml:space="preserve">é </w:t>
      </w:r>
      <w:r>
        <w:rPr>
          <w:rFonts w:ascii="Book Antiqua"/>
          <w:rtl w:val="0"/>
          <w:lang w:val="it-IT"/>
        </w:rPr>
        <w:t>assunti provvisoriamente e nelle more dello svolgimento di gare pubbliche che io ho voluto, bandito ed aggiudicato. Cos</w:t>
      </w:r>
      <w:r>
        <w:rPr>
          <w:rFonts w:hAnsi="Book Antiqua" w:hint="default"/>
          <w:rtl w:val="0"/>
          <w:lang w:val="it-IT"/>
        </w:rPr>
        <w:t xml:space="preserve">ì </w:t>
      </w:r>
      <w:r>
        <w:rPr>
          <w:rFonts w:ascii="Book Antiqua"/>
          <w:rtl w:val="0"/>
          <w:lang w:val="it-IT"/>
        </w:rPr>
        <w:t>come firmai l'accordo operativo del 17 aprile 2014, alle condizioni accettate da AMA in precedenza, accordo resosi necessario all'indomani delle vicissitudini patite da Co.La.Ri. in ambito giudiziario, cos</w:t>
      </w:r>
      <w:r>
        <w:rPr>
          <w:rFonts w:hAnsi="Book Antiqua" w:hint="default"/>
          <w:rtl w:val="0"/>
          <w:lang w:val="it-IT"/>
        </w:rPr>
        <w:t xml:space="preserve">ì </w:t>
      </w:r>
      <w:r>
        <w:rPr>
          <w:rFonts w:ascii="Book Antiqua"/>
          <w:rtl w:val="0"/>
          <w:lang w:val="it-IT"/>
        </w:rPr>
        <w:t xml:space="preserve">ho responsabilmente fatto valere, nel settembre dello stesso anno, la circostanza che la tariffa di 175 </w:t>
      </w:r>
      <w:r>
        <w:rPr>
          <w:rFonts w:hAnsi="Book Antiqua" w:hint="default"/>
          <w:rtl w:val="0"/>
          <w:lang w:val="it-IT"/>
        </w:rPr>
        <w:t>€</w:t>
      </w:r>
      <w:r>
        <w:rPr>
          <w:rFonts w:ascii="Book Antiqua"/>
          <w:rtl w:val="0"/>
          <w:lang w:val="it-IT"/>
        </w:rPr>
        <w:t xml:space="preserve">/ton del Tritovagliatore fosse stata pattuita </w:t>
      </w:r>
      <w:r>
        <w:rPr>
          <w:rFonts w:hAnsi="Book Antiqua" w:hint="default"/>
          <w:rtl w:val="0"/>
          <w:lang w:val="it-IT"/>
        </w:rPr>
        <w:t>‘</w:t>
      </w:r>
      <w:r>
        <w:rPr>
          <w:rFonts w:ascii="Book Antiqua"/>
          <w:rtl w:val="0"/>
          <w:lang w:val="it-IT"/>
        </w:rPr>
        <w:t>provvisoriamente</w:t>
      </w:r>
      <w:r>
        <w:rPr>
          <w:rFonts w:hAnsi="Book Antiqua" w:hint="default"/>
          <w:rtl w:val="0"/>
          <w:lang w:val="it-IT"/>
        </w:rPr>
        <w:t xml:space="preserve">’ </w:t>
      </w:r>
      <w:r>
        <w:rPr>
          <w:rFonts w:ascii="Book Antiqua"/>
          <w:rtl w:val="0"/>
          <w:lang w:val="it-IT"/>
        </w:rPr>
        <w:t xml:space="preserve">e </w:t>
      </w:r>
      <w:r>
        <w:rPr>
          <w:rFonts w:hAnsi="Book Antiqua" w:hint="default"/>
          <w:rtl w:val="0"/>
          <w:lang w:val="it-IT"/>
        </w:rPr>
        <w:t>‘</w:t>
      </w:r>
      <w:r>
        <w:rPr>
          <w:rFonts w:ascii="Book Antiqua"/>
          <w:rtl w:val="0"/>
          <w:lang w:val="it-IT"/>
        </w:rPr>
        <w:t>salvo conguaglio</w:t>
      </w:r>
      <w:r>
        <w:rPr>
          <w:rFonts w:hAnsi="Book Antiqua" w:hint="default"/>
          <w:rtl w:val="0"/>
          <w:lang w:val="it-IT"/>
        </w:rPr>
        <w:t>’</w:t>
      </w:r>
      <w:r>
        <w:rPr>
          <w:rFonts w:ascii="Book Antiqua"/>
          <w:rtl w:val="0"/>
          <w:lang w:val="it-IT"/>
        </w:rPr>
        <w:t>. Mi si dar</w:t>
      </w:r>
      <w:r>
        <w:rPr>
          <w:rFonts w:hAnsi="Book Antiqua" w:hint="default"/>
          <w:rtl w:val="0"/>
          <w:lang w:val="it-IT"/>
        </w:rPr>
        <w:t xml:space="preserve">à </w:t>
      </w:r>
      <w:r>
        <w:rPr>
          <w:rFonts w:ascii="Book Antiqua"/>
          <w:rtl w:val="0"/>
          <w:lang w:val="it-IT"/>
        </w:rPr>
        <w:t>atto che, in ogni circostanza d'incontro, ho sempre ricordato pubblicamente e con l'ausilio di molti dirigenti di AMA, la necessit</w:t>
      </w:r>
      <w:r>
        <w:rPr>
          <w:rFonts w:hAnsi="Book Antiqua" w:hint="default"/>
          <w:rtl w:val="0"/>
          <w:lang w:val="it-IT"/>
        </w:rPr>
        <w:t xml:space="preserve">à </w:t>
      </w:r>
      <w:r>
        <w:rPr>
          <w:rFonts w:ascii="Book Antiqua"/>
          <w:rtl w:val="0"/>
          <w:lang w:val="it-IT"/>
        </w:rPr>
        <w:t xml:space="preserve">di rivedere quella tariffa e che sempre ho ricevuto elusive e dilatorie risposte da parte Vostra. Prova ne </w:t>
      </w:r>
      <w:r>
        <w:rPr>
          <w:rFonts w:hAnsi="Book Antiqua" w:hint="default"/>
          <w:rtl w:val="0"/>
          <w:lang w:val="it-IT"/>
        </w:rPr>
        <w:t xml:space="preserve">è </w:t>
      </w:r>
      <w:r>
        <w:rPr>
          <w:rFonts w:ascii="Book Antiqua"/>
          <w:rtl w:val="0"/>
          <w:lang w:val="it-IT"/>
        </w:rPr>
        <w:t xml:space="preserve">il fatto che la Vostra prima contestazione per la </w:t>
      </w:r>
      <w:r>
        <w:rPr>
          <w:rFonts w:hAnsi="Book Antiqua" w:hint="default"/>
          <w:rtl w:val="0"/>
          <w:lang w:val="it-IT"/>
        </w:rPr>
        <w:t>‘</w:t>
      </w:r>
      <w:r>
        <w:rPr>
          <w:rFonts w:ascii="Book Antiqua"/>
          <w:rtl w:val="0"/>
          <w:lang w:val="it-IT"/>
        </w:rPr>
        <w:t>autoriduzione</w:t>
      </w:r>
      <w:r>
        <w:rPr>
          <w:rFonts w:hAnsi="Book Antiqua" w:hint="default"/>
          <w:rtl w:val="0"/>
          <w:lang w:val="it-IT"/>
        </w:rPr>
        <w:t xml:space="preserve">’ </w:t>
      </w:r>
      <w:r>
        <w:rPr>
          <w:rFonts w:ascii="Book Antiqua"/>
          <w:rtl w:val="0"/>
          <w:lang w:val="it-IT"/>
        </w:rPr>
        <w:t xml:space="preserve">della tariffa del Tritovagliatore, comunicatavi da AMA nel settembre 2014, ci </w:t>
      </w:r>
      <w:r>
        <w:rPr>
          <w:rFonts w:hAnsi="Book Antiqua" w:hint="default"/>
          <w:rtl w:val="0"/>
          <w:lang w:val="it-IT"/>
        </w:rPr>
        <w:t xml:space="preserve">è </w:t>
      </w:r>
      <w:r>
        <w:rPr>
          <w:rFonts w:ascii="Book Antiqua"/>
          <w:rtl w:val="0"/>
          <w:lang w:val="it-IT"/>
        </w:rPr>
        <w:t>giunta ad agosto 2015, cio</w:t>
      </w:r>
      <w:r>
        <w:rPr>
          <w:rFonts w:hAnsi="Book Antiqua" w:hint="default"/>
          <w:rtl w:val="0"/>
          <w:lang w:val="it-IT"/>
        </w:rPr>
        <w:t xml:space="preserve">è </w:t>
      </w:r>
      <w:r>
        <w:rPr>
          <w:rFonts w:ascii="Book Antiqua"/>
          <w:rtl w:val="0"/>
          <w:lang w:val="it-IT"/>
        </w:rPr>
        <w:t xml:space="preserve">10 mesi dopo. Cosa ben strana per un soggetto privato solitamente ultraveloce nel pretendere i pagamenti. Infine, caro Presidente, mi permetta di rassicurarLa circa il fatto che non </w:t>
      </w:r>
      <w:r>
        <w:rPr>
          <w:rFonts w:hAnsi="Book Antiqua" w:hint="default"/>
          <w:rtl w:val="0"/>
          <w:lang w:val="it-IT"/>
        </w:rPr>
        <w:t xml:space="preserve">è </w:t>
      </w:r>
      <w:r>
        <w:rPr>
          <w:rFonts w:ascii="Book Antiqua"/>
          <w:rtl w:val="0"/>
          <w:lang w:val="it-IT"/>
        </w:rPr>
        <w:t xml:space="preserve">mai stato mio proposito il </w:t>
      </w:r>
      <w:r>
        <w:rPr>
          <w:rFonts w:hAnsi="Book Antiqua" w:hint="default"/>
          <w:rtl w:val="0"/>
          <w:lang w:val="it-IT"/>
        </w:rPr>
        <w:t>‘</w:t>
      </w:r>
      <w:r>
        <w:rPr>
          <w:rFonts w:ascii="Book Antiqua"/>
          <w:rtl w:val="0"/>
          <w:lang w:val="it-IT"/>
        </w:rPr>
        <w:t>cancellare</w:t>
      </w:r>
      <w:r>
        <w:rPr>
          <w:rFonts w:hAnsi="Book Antiqua" w:hint="default"/>
          <w:rtl w:val="0"/>
          <w:lang w:val="it-IT"/>
        </w:rPr>
        <w:t xml:space="preserve">’ </w:t>
      </w:r>
      <w:r>
        <w:rPr>
          <w:rFonts w:ascii="Book Antiqua"/>
          <w:rtl w:val="0"/>
          <w:lang w:val="it-IT"/>
        </w:rPr>
        <w:t xml:space="preserve">Co.La.Ri. che continuo ostinatamente a ritenere, nonostante tutto, un importante gruppo industriale ed una risorsa di Roma. Al contrario, purtroppo, </w:t>
      </w:r>
      <w:r>
        <w:rPr>
          <w:rFonts w:hAnsi="Book Antiqua" w:hint="default"/>
          <w:rtl w:val="0"/>
          <w:lang w:val="it-IT"/>
        </w:rPr>
        <w:t xml:space="preserve">è </w:t>
      </w:r>
      <w:r>
        <w:rPr>
          <w:rFonts w:ascii="Book Antiqua"/>
          <w:rtl w:val="0"/>
          <w:lang w:val="it-IT"/>
        </w:rPr>
        <w:t>Co.La.Ri. che avrebbe voluto cancellare AMA con un arbitrato da 900 milioni di euro che avrebbe decretato, se da Voi vinto, la scomparsa della nostra societ</w:t>
      </w:r>
      <w:r>
        <w:rPr>
          <w:rFonts w:hAnsi="Book Antiqua" w:hint="default"/>
          <w:rtl w:val="0"/>
          <w:lang w:val="it-IT"/>
        </w:rPr>
        <w:t xml:space="preserve">à </w:t>
      </w:r>
      <w:r>
        <w:rPr>
          <w:rFonts w:ascii="Book Antiqua"/>
          <w:rtl w:val="0"/>
          <w:lang w:val="it-IT"/>
        </w:rPr>
        <w:t>e la catastrofe finanziaria di Roma Capitale. Orbene, indugiare innanzi nello scrutare il passato non aiuta a progredire nelle nostre relazioni, tanto pi</w:t>
      </w:r>
      <w:r>
        <w:rPr>
          <w:rFonts w:hAnsi="Book Antiqua" w:hint="default"/>
          <w:rtl w:val="0"/>
          <w:lang w:val="it-IT"/>
        </w:rPr>
        <w:t xml:space="preserve">ù </w:t>
      </w:r>
      <w:r>
        <w:rPr>
          <w:rFonts w:ascii="Book Antiqua"/>
          <w:rtl w:val="0"/>
          <w:lang w:val="it-IT"/>
        </w:rPr>
        <w:t>che, per quanto al passato, saranno altre Autorit</w:t>
      </w:r>
      <w:r>
        <w:rPr>
          <w:rFonts w:hAnsi="Book Antiqua" w:hint="default"/>
          <w:rtl w:val="0"/>
          <w:lang w:val="it-IT"/>
        </w:rPr>
        <w:t xml:space="preserve">à </w:t>
      </w:r>
      <w:r>
        <w:rPr>
          <w:rFonts w:ascii="Book Antiqua"/>
          <w:rtl w:val="0"/>
          <w:lang w:val="it-IT"/>
        </w:rPr>
        <w:t>a fare chiarezza ed a trovare le risposte ai cento quesiti latenti e di cui la parzialissima documentazione da Lei allegata alla ultima Sua, certo non fornisce chiarezza alcuna. Sono a ribadirLe, quindi, che a tutela di AMA e salvo conguagli, che potranno eseguirsi a valle delle nuove determinazioni cui perverr</w:t>
      </w:r>
      <w:r>
        <w:rPr>
          <w:rFonts w:hAnsi="Book Antiqua" w:hint="default"/>
          <w:rtl w:val="0"/>
          <w:lang w:val="it-IT"/>
        </w:rPr>
        <w:t xml:space="preserve">à </w:t>
      </w:r>
      <w:r>
        <w:rPr>
          <w:rFonts w:ascii="Book Antiqua"/>
          <w:rtl w:val="0"/>
          <w:lang w:val="it-IT"/>
        </w:rPr>
        <w:t>la regione Lazio a seguito della annunciata sentenza del Consiglio di Stato in merito alle tariffe dei TMB, la nostra Societ</w:t>
      </w:r>
      <w:r>
        <w:rPr>
          <w:rFonts w:hAnsi="Book Antiqua" w:hint="default"/>
          <w:rtl w:val="0"/>
          <w:lang w:val="it-IT"/>
        </w:rPr>
        <w:t xml:space="preserve">à </w:t>
      </w:r>
      <w:r>
        <w:rPr>
          <w:rFonts w:ascii="Book Antiqua"/>
          <w:rtl w:val="0"/>
          <w:lang w:val="it-IT"/>
        </w:rPr>
        <w:t>corrisponder</w:t>
      </w:r>
      <w:r>
        <w:rPr>
          <w:rFonts w:hAnsi="Book Antiqua" w:hint="default"/>
          <w:rtl w:val="0"/>
          <w:lang w:val="it-IT"/>
        </w:rPr>
        <w:t xml:space="preserve">à </w:t>
      </w:r>
      <w:r>
        <w:rPr>
          <w:rFonts w:ascii="Book Antiqua"/>
          <w:rtl w:val="0"/>
          <w:lang w:val="it-IT"/>
        </w:rPr>
        <w:t xml:space="preserve">a Co.La.Ri., sia per le prestazioni dei TMB che per quelle del Tritovagliatore, la tariffa unitaria vigente di 142,995 </w:t>
      </w:r>
      <w:r>
        <w:rPr>
          <w:rFonts w:hAnsi="Book Antiqua" w:hint="default"/>
          <w:rtl w:val="0"/>
          <w:lang w:val="it-IT"/>
        </w:rPr>
        <w:t>€</w:t>
      </w:r>
      <w:r>
        <w:rPr>
          <w:rFonts w:ascii="Book Antiqua"/>
          <w:rtl w:val="0"/>
          <w:lang w:val="it-IT"/>
        </w:rPr>
        <w:t>/ton. In ragione di ci</w:t>
      </w:r>
      <w:r>
        <w:rPr>
          <w:rFonts w:hAnsi="Book Antiqua" w:hint="default"/>
          <w:rtl w:val="0"/>
          <w:lang w:val="it-IT"/>
        </w:rPr>
        <w:t xml:space="preserve">ò </w:t>
      </w:r>
      <w:r>
        <w:rPr>
          <w:rFonts w:ascii="Book Antiqua"/>
          <w:rtl w:val="0"/>
          <w:lang w:val="it-IT"/>
        </w:rPr>
        <w:t xml:space="preserve">confermiamo che l'impegno di spesa di AMA verso Co.La.Ri., espunto dai valori degli extra costi riconosciuti dalla regione Lazio con la determina del 7 agosto 2015, </w:t>
      </w:r>
      <w:r>
        <w:rPr>
          <w:rFonts w:hAnsi="Book Antiqua" w:hint="default"/>
          <w:rtl w:val="0"/>
          <w:lang w:val="it-IT"/>
        </w:rPr>
        <w:t xml:space="preserve">è </w:t>
      </w:r>
      <w:r>
        <w:rPr>
          <w:rFonts w:ascii="Book Antiqua"/>
          <w:rtl w:val="0"/>
          <w:lang w:val="it-IT"/>
        </w:rPr>
        <w:t xml:space="preserve">di circa 31 </w:t>
      </w:r>
      <w:r>
        <w:rPr>
          <w:rFonts w:hAnsi="Book Antiqua" w:hint="default"/>
          <w:rtl w:val="0"/>
          <w:lang w:val="it-IT"/>
        </w:rPr>
        <w:t>€</w:t>
      </w:r>
      <w:r>
        <w:rPr>
          <w:rFonts w:ascii="Book Antiqua"/>
          <w:rtl w:val="0"/>
          <w:lang w:val="it-IT"/>
        </w:rPr>
        <w:t xml:space="preserve">/Ml al 30 settembre 2015 che saranno messi in pagamento secondo il programma seguente: </w:t>
      </w:r>
      <w:r>
        <w:rPr>
          <w:rFonts w:hAnsi="Book Antiqua" w:hint="default"/>
          <w:rtl w:val="0"/>
          <w:lang w:val="it-IT"/>
        </w:rPr>
        <w:t xml:space="preserve">• </w:t>
      </w:r>
      <w:r>
        <w:rPr>
          <w:rFonts w:ascii="Book Antiqua"/>
          <w:rtl w:val="0"/>
          <w:lang w:val="it-IT"/>
        </w:rPr>
        <w:t xml:space="preserve">euro 10 milioni entro il 15 novembre 2015; </w:t>
      </w:r>
      <w:r>
        <w:rPr>
          <w:rFonts w:hAnsi="Book Antiqua" w:hint="default"/>
          <w:rtl w:val="0"/>
          <w:lang w:val="it-IT"/>
        </w:rPr>
        <w:t xml:space="preserve">• </w:t>
      </w:r>
      <w:r>
        <w:rPr>
          <w:rFonts w:ascii="Book Antiqua"/>
          <w:rtl w:val="0"/>
          <w:lang w:val="it-IT"/>
        </w:rPr>
        <w:t xml:space="preserve">euro 10 milioni entro il 15 dicembre 2015; </w:t>
      </w:r>
      <w:r>
        <w:rPr>
          <w:rFonts w:hAnsi="Book Antiqua" w:hint="default"/>
          <w:rtl w:val="0"/>
          <w:lang w:val="it-IT"/>
        </w:rPr>
        <w:t xml:space="preserve">• </w:t>
      </w:r>
      <w:r>
        <w:rPr>
          <w:rFonts w:ascii="Book Antiqua"/>
          <w:rtl w:val="0"/>
          <w:lang w:val="it-IT"/>
        </w:rPr>
        <w:t xml:space="preserve">euro 11 milioni entro il 31 dicembre 2015.  Opportuno ribadire, infine, che AMA ha erogato a Co.La.Ri. 108,7 </w:t>
      </w:r>
      <w:r>
        <w:rPr>
          <w:rFonts w:hAnsi="Book Antiqua" w:hint="default"/>
          <w:rtl w:val="0"/>
          <w:lang w:val="it-IT"/>
        </w:rPr>
        <w:t>€</w:t>
      </w:r>
      <w:r>
        <w:rPr>
          <w:rFonts w:ascii="Book Antiqua"/>
          <w:rtl w:val="0"/>
          <w:lang w:val="it-IT"/>
        </w:rPr>
        <w:t xml:space="preserve">/Ml nel 2014 e 60,7 </w:t>
      </w:r>
      <w:r>
        <w:rPr>
          <w:rFonts w:hAnsi="Book Antiqua" w:hint="default"/>
          <w:rtl w:val="0"/>
          <w:lang w:val="it-IT"/>
        </w:rPr>
        <w:t>€</w:t>
      </w:r>
      <w:r>
        <w:rPr>
          <w:rFonts w:ascii="Book Antiqua"/>
          <w:rtl w:val="0"/>
          <w:lang w:val="it-IT"/>
        </w:rPr>
        <w:t>/Ml nei mesi finora trascorsi del 2015 e che mai, precedentemente al mio insediamento, AMA aveva liquidato a Co.La.Ri. cos</w:t>
      </w:r>
      <w:r>
        <w:rPr>
          <w:rFonts w:hAnsi="Book Antiqua" w:hint="default"/>
          <w:rtl w:val="0"/>
          <w:lang w:val="it-IT"/>
        </w:rPr>
        <w:t xml:space="preserve">ì </w:t>
      </w:r>
      <w:r>
        <w:rPr>
          <w:rFonts w:ascii="Book Antiqua"/>
          <w:rtl w:val="0"/>
          <w:lang w:val="it-IT"/>
        </w:rPr>
        <w:t>elevati importi e con stringente rapidit</w:t>
      </w:r>
      <w:r>
        <w:rPr>
          <w:rFonts w:hAnsi="Book Antiqua" w:hint="default"/>
          <w:rtl w:val="0"/>
          <w:lang w:val="it-IT"/>
        </w:rPr>
        <w:t>à</w:t>
      </w:r>
      <w:r>
        <w:rPr>
          <w:rFonts w:ascii="Book Antiqua"/>
          <w:rtl w:val="0"/>
          <w:lang w:val="it-IT"/>
        </w:rPr>
        <w:t>. Come vede, la trasparenza dei rapporti, la cristallina osservanza di regole e procedure e la leale collaborazione nel rispetto reciproco, che in passato sono state assai carenti, costituiscono garanzia per tutti. Va da s</w:t>
      </w:r>
      <w:r>
        <w:rPr>
          <w:rFonts w:hAnsi="Book Antiqua" w:hint="default"/>
          <w:rtl w:val="0"/>
          <w:lang w:val="it-IT"/>
        </w:rPr>
        <w:t xml:space="preserve">é </w:t>
      </w:r>
      <w:r>
        <w:rPr>
          <w:rFonts w:ascii="Book Antiqua"/>
          <w:rtl w:val="0"/>
          <w:lang w:val="it-IT"/>
        </w:rPr>
        <w:t>che l'accordo operativo per l'impiego del Vostro Tritovagliatore, scaduto il 30 settembre 2015, potr</w:t>
      </w:r>
      <w:r>
        <w:rPr>
          <w:rFonts w:hAnsi="Book Antiqua" w:hint="default"/>
          <w:rtl w:val="0"/>
          <w:lang w:val="it-IT"/>
        </w:rPr>
        <w:t xml:space="preserve">à </w:t>
      </w:r>
      <w:r>
        <w:rPr>
          <w:rFonts w:ascii="Book Antiqua"/>
          <w:rtl w:val="0"/>
          <w:lang w:val="it-IT"/>
        </w:rPr>
        <w:t>essere rinnovato nelle more dello svolgimento delle gare europee con le quali AMA intende collocare sul libero mercato i RUR eccedenti la propria capacit</w:t>
      </w:r>
      <w:r>
        <w:rPr>
          <w:rFonts w:hAnsi="Book Antiqua" w:hint="default"/>
          <w:rtl w:val="0"/>
          <w:lang w:val="it-IT"/>
        </w:rPr>
        <w:t xml:space="preserve">à </w:t>
      </w:r>
      <w:r>
        <w:rPr>
          <w:rFonts w:ascii="Book Antiqua"/>
          <w:rtl w:val="0"/>
          <w:lang w:val="it-IT"/>
        </w:rPr>
        <w:t>installata di trattamento e valorizzazione [...]</w:t>
      </w:r>
      <w:r>
        <w:rPr>
          <w:rFonts w:hAnsi="Book Antiqua" w:hint="default"/>
          <w:rtl w:val="0"/>
          <w:lang w:val="it-IT"/>
        </w:rPr>
        <w:t>”</w:t>
      </w:r>
      <w:r>
        <w:rPr>
          <w:rFonts w:ascii="Book Antiqua"/>
          <w:rtl w:val="0"/>
          <w:lang w:val="it-IT"/>
        </w:rPr>
        <w:t>.</w:t>
      </w: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rPr>
      </w:pPr>
      <w:r>
        <w:rPr>
          <w:rFonts w:ascii="Book Antiqua"/>
          <w:rtl w:val="0"/>
          <w:lang w:val="it-IT"/>
        </w:rPr>
        <w:t>Persistendo la situazione di indefinizione e di reciproca contestazione, nonch</w:t>
      </w:r>
      <w:r>
        <w:rPr>
          <w:rFonts w:hAnsi="Book Antiqua" w:hint="default"/>
          <w:rtl w:val="0"/>
          <w:lang w:val="it-IT"/>
        </w:rPr>
        <w:t xml:space="preserve">é </w:t>
      </w:r>
      <w:r>
        <w:rPr>
          <w:rFonts w:ascii="Book Antiqua"/>
          <w:rtl w:val="0"/>
          <w:lang w:val="it-IT"/>
        </w:rPr>
        <w:t>la necessit</w:t>
      </w:r>
      <w:r>
        <w:rPr>
          <w:rFonts w:hAnsi="Book Antiqua" w:hint="default"/>
          <w:rtl w:val="0"/>
          <w:lang w:val="it-IT"/>
        </w:rPr>
        <w:t xml:space="preserve">à </w:t>
      </w:r>
      <w:r>
        <w:rPr>
          <w:rFonts w:ascii="Book Antiqua"/>
          <w:rtl w:val="0"/>
          <w:lang w:val="it-IT"/>
        </w:rPr>
        <w:t>di trattamento dei rifiuti, in assenza di soluzioni alternative, nel gennaio 2016, AMA propone a Co.La.Ri di lavorare ad un accordo</w:t>
      </w:r>
      <w:r>
        <w:rPr>
          <w:rFonts w:ascii="Book Antiqua" w:cs="Book Antiqua" w:hAnsi="Book Antiqua" w:eastAsia="Book Antiqua"/>
          <w:vertAlign w:val="superscript"/>
          <w:rtl w:val="0"/>
        </w:rPr>
        <w:footnoteReference w:id="62"/>
      </w:r>
      <w:r>
        <w:rPr>
          <w:rFonts w:ascii="Book Antiqua"/>
          <w:rtl w:val="0"/>
          <w:lang w:val="it-IT"/>
        </w:rPr>
        <w:t xml:space="preserve">: </w:t>
      </w: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rPr>
      </w:pPr>
      <w:r>
        <w:rPr>
          <w:rFonts w:hAnsi="Book Antiqua" w:hint="default"/>
          <w:rtl w:val="0"/>
          <w:lang w:val="it-IT"/>
        </w:rPr>
        <w:t>“</w:t>
      </w:r>
      <w:r>
        <w:rPr>
          <w:rFonts w:ascii="Book Antiqua"/>
          <w:rtl w:val="0"/>
          <w:lang w:val="it-IT"/>
        </w:rPr>
        <w:t>Gentile Presidente, a conferma di quanto verbalmente comunicato nella riunione del 21 dicembre 2015, sono qui a proporle la composizione di un accordo per l'uso dell'impianto di Tritovagliatura di RUR di vostra propriet</w:t>
      </w:r>
      <w:r>
        <w:rPr>
          <w:rFonts w:hAnsi="Book Antiqua" w:hint="default"/>
          <w:rtl w:val="0"/>
          <w:lang w:val="it-IT"/>
        </w:rPr>
        <w:t xml:space="preserve">à </w:t>
      </w:r>
      <w:r>
        <w:rPr>
          <w:rFonts w:ascii="Book Antiqua"/>
          <w:rtl w:val="0"/>
          <w:lang w:val="it-IT"/>
        </w:rPr>
        <w:t xml:space="preserve">sito in Rocca Cencia. Come noto, l'impianto in questione </w:t>
      </w:r>
      <w:r>
        <w:rPr>
          <w:rFonts w:hAnsi="Book Antiqua" w:hint="default"/>
          <w:rtl w:val="0"/>
          <w:lang w:val="it-IT"/>
        </w:rPr>
        <w:t xml:space="preserve">è </w:t>
      </w:r>
      <w:r>
        <w:rPr>
          <w:rFonts w:ascii="Book Antiqua"/>
          <w:rtl w:val="0"/>
          <w:lang w:val="it-IT"/>
        </w:rPr>
        <w:t xml:space="preserve">stato realizzato per fronteggiare possibili emergenze di un ciclo integrato dei rifiuti urbani di Roma Capitale ancora rigido, fragile, precario e costoso. L'impianto, infatti, non </w:t>
      </w:r>
      <w:r>
        <w:rPr>
          <w:rFonts w:hAnsi="Book Antiqua" w:hint="default"/>
          <w:rtl w:val="0"/>
          <w:lang w:val="it-IT"/>
        </w:rPr>
        <w:t xml:space="preserve">è </w:t>
      </w:r>
      <w:r>
        <w:rPr>
          <w:rFonts w:ascii="Book Antiqua"/>
          <w:rtl w:val="0"/>
          <w:lang w:val="it-IT"/>
        </w:rPr>
        <w:t xml:space="preserve">ricompreso tra quelli pianificati dalla regione Lazio, per la normale e ordinata gestione del ciclo dei rifiuti urbani della Capitale, ma </w:t>
      </w:r>
      <w:r>
        <w:rPr>
          <w:rFonts w:hAnsi="Book Antiqua" w:hint="default"/>
          <w:rtl w:val="0"/>
          <w:lang w:val="it-IT"/>
        </w:rPr>
        <w:t xml:space="preserve">è </w:t>
      </w:r>
      <w:r>
        <w:rPr>
          <w:rFonts w:ascii="Book Antiqua"/>
          <w:rtl w:val="0"/>
          <w:lang w:val="it-IT"/>
        </w:rPr>
        <w:t xml:space="preserve">stato costruito in epoca emergenziale con Ordinanza emessa dal commissario Straordinario per l'Emergenza Rifiuti della regione Lazio. Difatti, il suo funzionamento </w:t>
      </w:r>
      <w:r>
        <w:rPr>
          <w:rFonts w:hAnsi="Book Antiqua" w:hint="default"/>
          <w:rtl w:val="0"/>
          <w:lang w:val="it-IT"/>
        </w:rPr>
        <w:t xml:space="preserve">è </w:t>
      </w:r>
      <w:r>
        <w:rPr>
          <w:rFonts w:ascii="Book Antiqua"/>
          <w:rtl w:val="0"/>
          <w:lang w:val="it-IT"/>
        </w:rPr>
        <w:t>stato poi regolato, nel 2013, da accordi diretti tra Co.La.Ri. ed AMA stabilendosi modalit</w:t>
      </w:r>
      <w:r>
        <w:rPr>
          <w:rFonts w:hAnsi="Book Antiqua" w:hint="default"/>
          <w:rtl w:val="0"/>
          <w:lang w:val="it-IT"/>
        </w:rPr>
        <w:t xml:space="preserve">à </w:t>
      </w:r>
      <w:r>
        <w:rPr>
          <w:rFonts w:ascii="Book Antiqua"/>
          <w:rtl w:val="0"/>
          <w:lang w:val="it-IT"/>
        </w:rPr>
        <w:t>d'uso e prezzi di conferimento successivamente oggetto di contenzioso tra le parti. Essendo scaduto il 30 settembre 2015 l'accordo anzidetto, pur mantenendosi aperto il contenzioso intrapreso da AMA, la nostra Societ</w:t>
      </w:r>
      <w:r>
        <w:rPr>
          <w:rFonts w:hAnsi="Book Antiqua" w:hint="default"/>
          <w:rtl w:val="0"/>
          <w:lang w:val="it-IT"/>
        </w:rPr>
        <w:t xml:space="preserve">à </w:t>
      </w:r>
      <w:r>
        <w:rPr>
          <w:rFonts w:ascii="Book Antiqua"/>
          <w:rtl w:val="0"/>
          <w:lang w:val="it-IT"/>
        </w:rPr>
        <w:t>reputa opportuno concordare, nelle more dello svolgimento delle indefettibili gare pubbliche per il recupero/smaltimento dei RUR di Roma Capitale, modalit</w:t>
      </w:r>
      <w:r>
        <w:rPr>
          <w:rFonts w:hAnsi="Book Antiqua" w:hint="default"/>
          <w:rtl w:val="0"/>
          <w:lang w:val="it-IT"/>
        </w:rPr>
        <w:t xml:space="preserve">à </w:t>
      </w:r>
      <w:r>
        <w:rPr>
          <w:rFonts w:ascii="Book Antiqua"/>
          <w:rtl w:val="0"/>
          <w:lang w:val="it-IT"/>
        </w:rPr>
        <w:t>e prezzi per l'eventuale utilizzo del vostro impianto di tritovagliatura installato a Rocca Cencia. Tale accordo dovrebbe regolare, a nostro parere, l'utilizzo in caso di emergenza ovvero di criticit</w:t>
      </w:r>
      <w:r>
        <w:rPr>
          <w:rFonts w:hAnsi="Book Antiqua" w:hint="default"/>
          <w:rtl w:val="0"/>
          <w:lang w:val="it-IT"/>
        </w:rPr>
        <w:t xml:space="preserve">à </w:t>
      </w:r>
      <w:r>
        <w:rPr>
          <w:rFonts w:ascii="Book Antiqua"/>
          <w:rtl w:val="0"/>
          <w:lang w:val="it-IT"/>
        </w:rPr>
        <w:t>che potrebbero rinvenire nella gestione ordinaria del ciclo dei rifiuti di Roma Capitale, stabilendo sia nuove modalit</w:t>
      </w:r>
      <w:r>
        <w:rPr>
          <w:rFonts w:hAnsi="Book Antiqua" w:hint="default"/>
          <w:rtl w:val="0"/>
          <w:lang w:val="it-IT"/>
        </w:rPr>
        <w:t xml:space="preserve">à </w:t>
      </w:r>
      <w:r>
        <w:rPr>
          <w:rFonts w:ascii="Book Antiqua"/>
          <w:rtl w:val="0"/>
          <w:lang w:val="it-IT"/>
        </w:rPr>
        <w:t xml:space="preserve">d'uso che congrue tariffe di conferimento. </w:t>
      </w:r>
    </w:p>
    <w:p>
      <w:pPr>
        <w:pStyle w:val="Normal"/>
        <w:ind w:left="567" w:right="567" w:firstLine="0"/>
        <w:jc w:val="both"/>
        <w:rPr>
          <w:rFonts w:ascii="Book Antiqua" w:cs="Book Antiqua" w:hAnsi="Book Antiqua" w:eastAsia="Book Antiqua"/>
        </w:rPr>
      </w:pPr>
      <w:r>
        <w:rPr>
          <w:rFonts w:ascii="Book Antiqua"/>
          <w:rtl w:val="0"/>
          <w:lang w:val="it-IT"/>
        </w:rPr>
        <w:t>Per l'utilizzazione emergenziale e per la stessa natura emergenziale dell'impianto, non riteniamo possibile ora programmare e pianificare l'eventuale fabbisogno di  AMA, ma siamo ben consapevoli che la flessibilit</w:t>
      </w:r>
      <w:r>
        <w:rPr>
          <w:rFonts w:hAnsi="Book Antiqua" w:hint="default"/>
          <w:rtl w:val="0"/>
          <w:lang w:val="it-IT"/>
        </w:rPr>
        <w:t xml:space="preserve">à </w:t>
      </w:r>
      <w:r>
        <w:rPr>
          <w:rFonts w:ascii="Book Antiqua"/>
          <w:rtl w:val="0"/>
          <w:lang w:val="it-IT"/>
        </w:rPr>
        <w:t>da noi richiesta pu</w:t>
      </w:r>
      <w:r>
        <w:rPr>
          <w:rFonts w:hAnsi="Book Antiqua" w:hint="default"/>
          <w:rtl w:val="0"/>
          <w:lang w:val="it-IT"/>
        </w:rPr>
        <w:t xml:space="preserve">ò </w:t>
      </w:r>
      <w:r>
        <w:rPr>
          <w:rFonts w:ascii="Book Antiqua"/>
          <w:rtl w:val="0"/>
          <w:lang w:val="it-IT"/>
        </w:rPr>
        <w:t>generare complicazioni gestionali di cui tener conto. L</w:t>
      </w:r>
      <w:r>
        <w:rPr>
          <w:rFonts w:hAnsi="Book Antiqua" w:hint="default"/>
          <w:rtl w:val="0"/>
          <w:lang w:val="it-IT"/>
        </w:rPr>
        <w:t>’</w:t>
      </w:r>
      <w:r>
        <w:rPr>
          <w:rFonts w:ascii="Book Antiqua"/>
          <w:rtl w:val="0"/>
          <w:lang w:val="it-IT"/>
        </w:rPr>
        <w:t xml:space="preserve">accordo che vi proponiamo, dunque, dovrebbe fondarsi su </w:t>
      </w:r>
      <w:r>
        <w:rPr>
          <w:rFonts w:ascii="Book Antiqua"/>
          <w:i w:val="1"/>
          <w:iCs w:val="1"/>
          <w:rtl w:val="0"/>
          <w:lang w:val="it-IT"/>
        </w:rPr>
        <w:t>range</w:t>
      </w:r>
      <w:r>
        <w:rPr>
          <w:rFonts w:ascii="Book Antiqua"/>
          <w:rtl w:val="0"/>
          <w:lang w:val="it-IT"/>
        </w:rPr>
        <w:t xml:space="preserve"> di utilizzo e prezzo per un periodo, quello che verosimilmente dovrebbe inverare gli Ecodistretti di AMA, di almeno un triennio. In attesa di incontrarvi, fissando una data da concordarsi tra le nostre segreterie, per valutare una bozza di accordo che, gentilmente, vorrete proporre.</w:t>
      </w:r>
      <w:r>
        <w:rPr>
          <w:rFonts w:hAnsi="Book Antiqua" w:hint="default"/>
          <w:rtl w:val="0"/>
          <w:lang w:val="it-IT"/>
        </w:rPr>
        <w:t>”</w:t>
      </w: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rPr>
      </w:pPr>
      <w:r>
        <w:rPr>
          <w:rFonts w:ascii="Book Antiqua"/>
          <w:rtl w:val="0"/>
          <w:lang w:val="it-IT"/>
        </w:rPr>
        <w:t>Non solo, tuttavia, non vengono poste le basi per un accordo, ma, nel febbraio del 2016, AMA decide di non inviare pi</w:t>
      </w:r>
      <w:r>
        <w:rPr>
          <w:rFonts w:hAnsi="Book Antiqua" w:hint="default"/>
          <w:rtl w:val="0"/>
          <w:lang w:val="it-IT"/>
        </w:rPr>
        <w:t xml:space="preserve">ù </w:t>
      </w:r>
      <w:r>
        <w:rPr>
          <w:rFonts w:ascii="Book Antiqua"/>
          <w:rtl w:val="0"/>
          <w:lang w:val="it-IT"/>
        </w:rPr>
        <w:t>rifiuti al tritovagliatore Co.La.Ri. di Rocca Cencia.</w:t>
      </w:r>
    </w:p>
    <w:p>
      <w:pPr>
        <w:pStyle w:val="Normal"/>
        <w:ind w:left="567" w:right="567" w:firstLine="0"/>
        <w:jc w:val="both"/>
        <w:rPr>
          <w:rFonts w:ascii="Book Antiqua" w:cs="Book Antiqua" w:hAnsi="Book Antiqua" w:eastAsia="Book Antiqua"/>
        </w:rPr>
      </w:pPr>
      <w:r>
        <w:rPr>
          <w:rFonts w:ascii="Book Antiqua"/>
          <w:rtl w:val="0"/>
          <w:lang w:val="it-IT"/>
        </w:rPr>
        <w:t xml:space="preserve">Il Consorzio il 29 febbraio 2016 scrive al presidente di AMA: </w:t>
      </w: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rPr>
      </w:pPr>
      <w:r>
        <w:rPr>
          <w:rFonts w:hAnsi="Book Antiqua" w:hint="default"/>
          <w:rtl w:val="0"/>
          <w:lang w:val="it-IT"/>
        </w:rPr>
        <w:t>“</w:t>
      </w:r>
      <w:r>
        <w:rPr>
          <w:rFonts w:ascii="Book Antiqua"/>
          <w:rtl w:val="0"/>
          <w:lang w:val="it-IT"/>
        </w:rPr>
        <w:t xml:space="preserve">Con la presente intendiamo: (i) rimarcare che il Vs. comportamento nei confronti dello scrivente Consorzio </w:t>
      </w:r>
      <w:r>
        <w:rPr>
          <w:rFonts w:hAnsi="Book Antiqua" w:hint="default"/>
          <w:rtl w:val="0"/>
          <w:lang w:val="it-IT"/>
        </w:rPr>
        <w:t>è</w:t>
      </w:r>
      <w:r>
        <w:rPr>
          <w:rFonts w:ascii="Book Antiqua"/>
          <w:rtl w:val="0"/>
          <w:lang w:val="it-IT"/>
        </w:rPr>
        <w:t>, oramai da tempo, di mera emulazione e di costante abuso della posizione dominante che Vi d</w:t>
      </w:r>
      <w:r>
        <w:rPr>
          <w:rFonts w:hAnsi="Book Antiqua" w:hint="default"/>
          <w:rtl w:val="0"/>
          <w:lang w:val="it-IT"/>
        </w:rPr>
        <w:t xml:space="preserve">à </w:t>
      </w:r>
      <w:r>
        <w:rPr>
          <w:rFonts w:ascii="Book Antiqua"/>
          <w:rtl w:val="0"/>
          <w:lang w:val="it-IT"/>
        </w:rPr>
        <w:t>l'essere concessionari esclusivi della raccolta nel territorio di Roma Capitale. Non pu</w:t>
      </w:r>
      <w:r>
        <w:rPr>
          <w:rFonts w:hAnsi="Book Antiqua" w:hint="default"/>
          <w:rtl w:val="0"/>
          <w:lang w:val="it-IT"/>
        </w:rPr>
        <w:t xml:space="preserve">ò </w:t>
      </w:r>
      <w:r>
        <w:rPr>
          <w:rFonts w:ascii="Book Antiqua"/>
          <w:rtl w:val="0"/>
          <w:lang w:val="it-IT"/>
        </w:rPr>
        <w:t xml:space="preserve">interpretarsi in altro modo l'improvvisa cessazione di consegna, da parte Vostra, di rifiuti da trattare presso il nostro impianto di cui in oggetto. Cessazione avvenuta: (a) mentre erano in pieno corso le trattative per il rinnovo del contratto e (b) senza nemmeno quel minimo di preavviso che avrebbe consentito allo scrivente di diminuire le perdite; basti considerare che, per espletare il servizio, lo scrivente, oltre ad aver effettuato ingenti investimenti, intrattiene numerosi rapporti contrattuali con terzi, inclusi quelli di lavoro subordinato, da quali non </w:t>
      </w:r>
      <w:r>
        <w:rPr>
          <w:rFonts w:hAnsi="Book Antiqua" w:hint="default"/>
          <w:rtl w:val="0"/>
          <w:lang w:val="it-IT"/>
        </w:rPr>
        <w:t xml:space="preserve">è </w:t>
      </w:r>
      <w:r>
        <w:rPr>
          <w:rFonts w:ascii="Book Antiqua"/>
          <w:rtl w:val="0"/>
          <w:lang w:val="it-IT"/>
        </w:rPr>
        <w:t xml:space="preserve">certo possibile sciogliersi </w:t>
      </w:r>
      <w:r>
        <w:rPr>
          <w:rFonts w:ascii="Book Antiqua"/>
          <w:i w:val="1"/>
          <w:iCs w:val="1"/>
          <w:rtl w:val="0"/>
          <w:lang w:val="it-IT"/>
        </w:rPr>
        <w:t>ad nutum</w:t>
      </w:r>
      <w:r>
        <w:rPr>
          <w:rFonts w:ascii="Book Antiqua"/>
          <w:rtl w:val="0"/>
          <w:lang w:val="it-IT"/>
        </w:rPr>
        <w:t>. Peraltro, non avendo nemmeno dato risposta alla nostra richiesta di chiarimento sull'accaduto, non siamo nemmeno in grado di poter pianificare in alcun modo le future attivit</w:t>
      </w:r>
      <w:r>
        <w:rPr>
          <w:rFonts w:hAnsi="Book Antiqua" w:hint="default"/>
          <w:rtl w:val="0"/>
          <w:lang w:val="it-IT"/>
        </w:rPr>
        <w:t xml:space="preserve">à </w:t>
      </w:r>
      <w:r>
        <w:rPr>
          <w:rFonts w:ascii="Book Antiqua"/>
          <w:rtl w:val="0"/>
          <w:lang w:val="it-IT"/>
        </w:rPr>
        <w:t>da svolgere, con gravissime ripercussioni, anche di ordine sindacale. Il Vs. comportamento, gravissimo di per s</w:t>
      </w:r>
      <w:r>
        <w:rPr>
          <w:rFonts w:hAnsi="Book Antiqua" w:hint="default"/>
          <w:rtl w:val="0"/>
          <w:lang w:val="it-IT"/>
        </w:rPr>
        <w:t>é</w:t>
      </w:r>
      <w:r>
        <w:rPr>
          <w:rFonts w:ascii="Book Antiqua"/>
          <w:rtl w:val="0"/>
          <w:lang w:val="it-IT"/>
        </w:rPr>
        <w:t xml:space="preserve">, lo </w:t>
      </w:r>
      <w:r>
        <w:rPr>
          <w:rFonts w:hAnsi="Book Antiqua" w:hint="default"/>
          <w:rtl w:val="0"/>
          <w:lang w:val="it-IT"/>
        </w:rPr>
        <w:t xml:space="preserve">è </w:t>
      </w:r>
      <w:r>
        <w:rPr>
          <w:rFonts w:ascii="Book Antiqua"/>
          <w:rtl w:val="0"/>
          <w:lang w:val="it-IT"/>
        </w:rPr>
        <w:t>ancora di pi</w:t>
      </w:r>
      <w:r>
        <w:rPr>
          <w:rFonts w:hAnsi="Book Antiqua" w:hint="default"/>
          <w:rtl w:val="0"/>
          <w:lang w:val="it-IT"/>
        </w:rPr>
        <w:t xml:space="preserve">ù </w:t>
      </w:r>
      <w:r>
        <w:rPr>
          <w:rFonts w:ascii="Book Antiqua"/>
          <w:rtl w:val="0"/>
          <w:lang w:val="it-IT"/>
        </w:rPr>
        <w:t>ove si consideri: (a) che l'impianto in questione venne da noi realizzato, con ingenti investimenti, per sopperire in brevissimo tempo a carenze strutturali che avrebbero inevitabilmente cagionato ingenti sanzioni da parte dell'Unione europea e (b) che la Vs. societ</w:t>
      </w:r>
      <w:r>
        <w:rPr>
          <w:rFonts w:hAnsi="Book Antiqua" w:hint="default"/>
          <w:rtl w:val="0"/>
          <w:lang w:val="it-IT"/>
        </w:rPr>
        <w:t>à</w:t>
      </w:r>
      <w:r>
        <w:rPr>
          <w:rFonts w:ascii="Book Antiqua"/>
          <w:rtl w:val="0"/>
          <w:lang w:val="it-IT"/>
        </w:rPr>
        <w:t>, monopolista della raccolta, svolge in concorrenza con lo scrivente e senza alcun controllo di tariffa o di costi, attivit</w:t>
      </w:r>
      <w:r>
        <w:rPr>
          <w:rFonts w:hAnsi="Book Antiqua" w:hint="default"/>
          <w:rtl w:val="0"/>
          <w:lang w:val="it-IT"/>
        </w:rPr>
        <w:t xml:space="preserve">à </w:t>
      </w:r>
      <w:r>
        <w:rPr>
          <w:rFonts w:ascii="Book Antiqua"/>
          <w:rtl w:val="0"/>
          <w:lang w:val="it-IT"/>
        </w:rPr>
        <w:t xml:space="preserve">di trattamento. Il comportamento qui denunciato, peraltro, non </w:t>
      </w:r>
      <w:r>
        <w:rPr>
          <w:rFonts w:hAnsi="Book Antiqua" w:hint="default"/>
          <w:rtl w:val="0"/>
          <w:lang w:val="it-IT"/>
        </w:rPr>
        <w:t xml:space="preserve">è </w:t>
      </w:r>
      <w:r>
        <w:rPr>
          <w:rFonts w:ascii="Book Antiqua"/>
          <w:rtl w:val="0"/>
          <w:lang w:val="it-IT"/>
        </w:rPr>
        <w:t>che l'ultimo di una serie che si protrae ininterrottamente da anni, rispetto ai quali agiremo presso ogni competente sede. (ii) richiedervi, per l'ultima volta in sede stragiudiziale, il pagamento di tutto quanto dovutoci per il trattamento di rifiuti da Voi conferiti, avvenuto presso l'impianto di cui in oggetto, per il corrispettivo pattuito. Al riguardo, l'esame dei pagamenti eseguiti relativamente al rapporto in esame rivela un Vs. comportamento altalenante. Per l'anno 2013, avete infatti provveduto a saldare le fatture n. 174 del 23 maggio, n. 279 del 5 settembre, n. 313 del 1</w:t>
      </w:r>
      <w:r>
        <w:rPr>
          <w:rFonts w:hAnsi="Book Antiqua" w:hint="default"/>
          <w:rtl w:val="0"/>
          <w:lang w:val="it-IT"/>
        </w:rPr>
        <w:t xml:space="preserve">° </w:t>
      </w:r>
      <w:r>
        <w:rPr>
          <w:rFonts w:ascii="Book Antiqua"/>
          <w:rtl w:val="0"/>
          <w:lang w:val="it-IT"/>
        </w:rPr>
        <w:t xml:space="preserve">ottobre, n. 353 del 6 novembre e n. 392 del 4 dicembre, mentre non avete pagato le altre (la n. 178 del 6 giugno, la n. 215 dell'8 luglio e la n. 249 dell'8 agosto, mentre avete pagato solo in parte la n. 443 del 31 dicembre). Per quanto riguarda il 2014, singolarmente, avete pagato tutte le fatture emesse tra il mese di maggio ed il mese di ottobre compresi, ma avete omesso di pagare le precedenti e le successive. Relativamente all'anno 2015 non avete eseguito alcun pagamento con imputazione alle fatture emesse, ma avete eseguito versamenti in acconto senza alcun riferimento. Vi invitiamo, pertanto, a volerci indicare le relative imputazioni. In allegato, troverete la distinta delle fatture emesse, con la specifica indicazione di quelle saldate e non saldate. Per ora vogliate saldarci, senza indugio, le fatture non pagate relative all'anno 2013 che ammontano a </w:t>
      </w:r>
      <w:r>
        <w:rPr>
          <w:rFonts w:hAnsi="Book Antiqua" w:hint="default"/>
          <w:rtl w:val="0"/>
          <w:lang w:val="it-IT"/>
        </w:rPr>
        <w:t xml:space="preserve">€ </w:t>
      </w:r>
      <w:r>
        <w:rPr>
          <w:rFonts w:ascii="Book Antiqua"/>
          <w:rtl w:val="0"/>
          <w:lang w:val="it-IT"/>
        </w:rPr>
        <w:t xml:space="preserve">17.853.306,61 e le fatture del 2014 che ammontano a </w:t>
      </w:r>
      <w:r>
        <w:rPr>
          <w:rFonts w:hAnsi="Book Antiqua" w:hint="default"/>
          <w:rtl w:val="0"/>
          <w:lang w:val="it-IT"/>
        </w:rPr>
        <w:t xml:space="preserve">€ </w:t>
      </w:r>
      <w:r>
        <w:rPr>
          <w:rFonts w:ascii="Book Antiqua"/>
          <w:rtl w:val="0"/>
          <w:lang w:val="it-IT"/>
        </w:rPr>
        <w:t xml:space="preserve">23.569.428,39 per complessivi </w:t>
      </w:r>
      <w:r>
        <w:rPr>
          <w:rFonts w:hAnsi="Book Antiqua" w:hint="default"/>
          <w:rtl w:val="0"/>
          <w:lang w:val="it-IT"/>
        </w:rPr>
        <w:t xml:space="preserve">€ </w:t>
      </w:r>
      <w:r>
        <w:rPr>
          <w:rFonts w:ascii="Book Antiqua"/>
          <w:rtl w:val="0"/>
          <w:lang w:val="it-IT"/>
        </w:rPr>
        <w:t>41.422.735,00 oltre gli interessi ex lege. Vi informiamo, comunque, di aver gi</w:t>
      </w:r>
      <w:r>
        <w:rPr>
          <w:rFonts w:hAnsi="Book Antiqua" w:hint="default"/>
          <w:rtl w:val="0"/>
          <w:lang w:val="it-IT"/>
        </w:rPr>
        <w:t xml:space="preserve">à </w:t>
      </w:r>
      <w:r>
        <w:rPr>
          <w:rFonts w:ascii="Book Antiqua"/>
          <w:rtl w:val="0"/>
          <w:lang w:val="it-IT"/>
        </w:rPr>
        <w:t>trasmesso il carteggio al nostro legale per ogni iniziativa connessa al travagliato rapporto. In conclusione, lasciateci dire che il Vs. atteggiamento non solo danneggia, in modo gravissimo ed illegittimo, lo scrivente Consorzio e le societ</w:t>
      </w:r>
      <w:r>
        <w:rPr>
          <w:rFonts w:hAnsi="Book Antiqua" w:hint="default"/>
          <w:rtl w:val="0"/>
          <w:lang w:val="it-IT"/>
        </w:rPr>
        <w:t xml:space="preserve">à </w:t>
      </w:r>
      <w:r>
        <w:rPr>
          <w:rFonts w:ascii="Book Antiqua"/>
          <w:rtl w:val="0"/>
          <w:lang w:val="it-IT"/>
        </w:rPr>
        <w:t>che ne fanno parte, ma dimostra disprezzo oltre che delle regole che disciplinano sia il settore specifico, sia le relazioni contrattuali e commerciali tra operatori economici, che hanno da decenni reso puntuali servizi alla Citt</w:t>
      </w:r>
      <w:r>
        <w:rPr>
          <w:rFonts w:hAnsi="Book Antiqua" w:hint="default"/>
          <w:rtl w:val="0"/>
          <w:lang w:val="it-IT"/>
        </w:rPr>
        <w:t>à</w:t>
      </w:r>
      <w:r>
        <w:rPr>
          <w:rFonts w:ascii="Book Antiqua"/>
          <w:rtl w:val="0"/>
          <w:lang w:val="it-IT"/>
        </w:rPr>
        <w:t>.</w:t>
      </w:r>
      <w:r>
        <w:rPr>
          <w:rFonts w:hAnsi="Book Antiqua" w:hint="default"/>
          <w:rtl w:val="0"/>
          <w:lang w:val="it-IT"/>
        </w:rPr>
        <w:t>”</w:t>
      </w: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rPr>
      </w:pPr>
      <w:r>
        <w:rPr>
          <w:rFonts w:ascii="Book Antiqua"/>
          <w:rtl w:val="0"/>
          <w:lang w:val="it-IT"/>
        </w:rPr>
        <w:t>Una nuova lettera a firma dell</w:t>
      </w:r>
      <w:r>
        <w:rPr>
          <w:rFonts w:hAnsi="Book Antiqua" w:hint="default"/>
          <w:rtl w:val="0"/>
          <w:lang w:val="it-IT"/>
        </w:rPr>
        <w:t>’</w:t>
      </w:r>
      <w:r>
        <w:rPr>
          <w:rFonts w:ascii="Book Antiqua"/>
          <w:rtl w:val="0"/>
          <w:lang w:val="it-IT"/>
        </w:rPr>
        <w:t>allora presidente di AMA, Daniele Fortini, inviata il 7 marzo 2016</w:t>
      </w:r>
      <w:r>
        <w:rPr>
          <w:rFonts w:hAnsi="Book Antiqua" w:hint="default"/>
          <w:rtl w:val="0"/>
          <w:lang w:val="it-IT"/>
        </w:rPr>
        <w:t xml:space="preserve"> è </w:t>
      </w:r>
      <w:r>
        <w:rPr>
          <w:rFonts w:ascii="Book Antiqua"/>
          <w:rtl w:val="0"/>
          <w:lang w:val="it-IT"/>
        </w:rPr>
        <w:t xml:space="preserve">stata acquisita dalla  Commissione: </w:t>
      </w: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rPr>
      </w:pPr>
      <w:r>
        <w:rPr>
          <w:rFonts w:hAnsi="Book Antiqua" w:hint="default"/>
          <w:rtl w:val="0"/>
          <w:lang w:val="it-IT"/>
        </w:rPr>
        <w:t>“</w:t>
      </w:r>
      <w:r>
        <w:rPr>
          <w:rFonts w:ascii="Book Antiqua"/>
          <w:rtl w:val="0"/>
          <w:lang w:val="it-IT"/>
        </w:rPr>
        <w:t>Riscontro la ultima Sua, anche come risposta alle precedenti e richiamando, per buona memoria, le ultime mie risposte del 26 ottobre e 11 novembre del 2015 e quella del 7 gennaio 2016 in merito alla questione in oggetto. Ricordo, inoltre, i nostri incontri del 25 gennaio e del 26 febbraio 2016 alla presenza dell'ing Alessandro Filippi, Direttore Generale di AMA e dell</w:t>
      </w:r>
      <w:r>
        <w:rPr>
          <w:rFonts w:hAnsi="Book Antiqua" w:hint="default"/>
          <w:rtl w:val="0"/>
          <w:lang w:val="it-IT"/>
        </w:rPr>
        <w:t>’</w:t>
      </w:r>
      <w:r>
        <w:rPr>
          <w:rFonts w:ascii="Book Antiqua"/>
          <w:rtl w:val="0"/>
          <w:lang w:val="it-IT"/>
        </w:rPr>
        <w:t>Avv. Manlio Cerroni, Suo consulente. Come Vi abbiamo rappresentato, con lealt</w:t>
      </w:r>
      <w:r>
        <w:rPr>
          <w:rFonts w:hAnsi="Book Antiqua" w:hint="default"/>
          <w:rtl w:val="0"/>
          <w:lang w:val="it-IT"/>
        </w:rPr>
        <w:t>à</w:t>
      </w:r>
      <w:r>
        <w:rPr>
          <w:rFonts w:ascii="Book Antiqua"/>
          <w:rtl w:val="0"/>
          <w:lang w:val="it-IT"/>
        </w:rPr>
        <w:t>, trasparenza e completezza informativa, qui Vi confermo lo stato dell'arte in merito alla gestione dei rifiuti indifferenziati di Roma Capitale, oramai scesi al 55 per cento di quelli annualmente generati sul territorio comunale (raccolta differenziata attestata al 45 per cento). Due i temi di riferimento: 1. Sul piano industriale, i rifiuti residui da avviare a trattamento sono tutti collocati in impianti autorizzati di Trattamento Meccanico Biologico (TMB) siti nella regione Lazio (compresi Malagrotta 1 e 2 di Vostra propriet</w:t>
      </w:r>
      <w:r>
        <w:rPr>
          <w:rFonts w:hAnsi="Book Antiqua" w:hint="default"/>
          <w:rtl w:val="0"/>
          <w:lang w:val="it-IT"/>
        </w:rPr>
        <w:t>à</w:t>
      </w:r>
      <w:r>
        <w:rPr>
          <w:rFonts w:ascii="Book Antiqua"/>
          <w:rtl w:val="0"/>
          <w:lang w:val="it-IT"/>
        </w:rPr>
        <w:t>) e per un quantitativo minimo (100 ton/die), in un impianto TMB extraregionale autorizzato a ricevere rifiuti residui da Roma per tramite di accordo tra la regione Lazio e la regione Abruzzo. Il forte impulso alla raccolta differenziata continuer</w:t>
      </w:r>
      <w:r>
        <w:rPr>
          <w:rFonts w:hAnsi="Book Antiqua" w:hint="default"/>
          <w:rtl w:val="0"/>
          <w:lang w:val="it-IT"/>
        </w:rPr>
        <w:t xml:space="preserve">à </w:t>
      </w:r>
      <w:r>
        <w:rPr>
          <w:rFonts w:ascii="Book Antiqua"/>
          <w:rtl w:val="0"/>
          <w:lang w:val="it-IT"/>
        </w:rPr>
        <w:t>a determinare una riduzione costante dei rifiuti residui per tutto il 2016 e ancor pi</w:t>
      </w:r>
      <w:r>
        <w:rPr>
          <w:rFonts w:hAnsi="Book Antiqua" w:hint="default"/>
          <w:rtl w:val="0"/>
          <w:lang w:val="it-IT"/>
        </w:rPr>
        <w:t xml:space="preserve">ù </w:t>
      </w:r>
      <w:r>
        <w:rPr>
          <w:rFonts w:ascii="Book Antiqua"/>
          <w:rtl w:val="0"/>
          <w:lang w:val="it-IT"/>
        </w:rPr>
        <w:t xml:space="preserve">nel 2017 e 2018. L'attuale dotazione impiantistica di TMB della regione Lazio, come noto, </w:t>
      </w:r>
      <w:r>
        <w:rPr>
          <w:rFonts w:hAnsi="Book Antiqua" w:hint="default"/>
          <w:rtl w:val="0"/>
          <w:lang w:val="it-IT"/>
        </w:rPr>
        <w:t xml:space="preserve">è </w:t>
      </w:r>
      <w:r>
        <w:rPr>
          <w:rFonts w:ascii="Book Antiqua"/>
          <w:rtl w:val="0"/>
          <w:lang w:val="it-IT"/>
        </w:rPr>
        <w:t>gi</w:t>
      </w:r>
      <w:r>
        <w:rPr>
          <w:rFonts w:hAnsi="Book Antiqua" w:hint="default"/>
          <w:rtl w:val="0"/>
          <w:lang w:val="it-IT"/>
        </w:rPr>
        <w:t xml:space="preserve">à </w:t>
      </w:r>
      <w:r>
        <w:rPr>
          <w:rFonts w:ascii="Book Antiqua"/>
          <w:rtl w:val="0"/>
          <w:lang w:val="it-IT"/>
        </w:rPr>
        <w:t>oggi ridondante, cosicch</w:t>
      </w:r>
      <w:r>
        <w:rPr>
          <w:rFonts w:hAnsi="Book Antiqua" w:hint="default"/>
          <w:rtl w:val="0"/>
          <w:lang w:val="it-IT"/>
        </w:rPr>
        <w:t xml:space="preserve">é </w:t>
      </w:r>
      <w:r>
        <w:rPr>
          <w:rFonts w:ascii="Book Antiqua"/>
          <w:rtl w:val="0"/>
          <w:lang w:val="it-IT"/>
        </w:rPr>
        <w:t>si auspica, anche in previsione di una crescita della raccolta differenziata nel resto della regione (ora al 33 per cento), che non vi sia necessit</w:t>
      </w:r>
      <w:r>
        <w:rPr>
          <w:rFonts w:hAnsi="Book Antiqua" w:hint="default"/>
          <w:rtl w:val="0"/>
          <w:lang w:val="it-IT"/>
        </w:rPr>
        <w:t xml:space="preserve">à </w:t>
      </w:r>
      <w:r>
        <w:rPr>
          <w:rFonts w:ascii="Book Antiqua"/>
          <w:rtl w:val="0"/>
          <w:lang w:val="it-IT"/>
        </w:rPr>
        <w:t xml:space="preserve">di nuovi impianti di TMB e che, anzi, quelli attuali possano essere riconvertiti nella direzione </w:t>
      </w:r>
      <w:r>
        <w:rPr>
          <w:rFonts w:ascii="Book Antiqua"/>
          <w:i w:val="1"/>
          <w:iCs w:val="1"/>
          <w:rtl w:val="0"/>
          <w:lang w:val="it-IT"/>
        </w:rPr>
        <w:t>end of waste</w:t>
      </w:r>
      <w:r>
        <w:rPr>
          <w:rFonts w:ascii="Book Antiqua"/>
          <w:rtl w:val="0"/>
          <w:lang w:val="it-IT"/>
        </w:rPr>
        <w:t xml:space="preserve"> sollecitata dall'Unione europea e dalla legislazione nazionale. Per di pi</w:t>
      </w:r>
      <w:r>
        <w:rPr>
          <w:rFonts w:hAnsi="Book Antiqua" w:hint="default"/>
          <w:rtl w:val="0"/>
          <w:lang w:val="it-IT"/>
        </w:rPr>
        <w:t>ù</w:t>
      </w:r>
      <w:r>
        <w:rPr>
          <w:rFonts w:ascii="Book Antiqua"/>
          <w:rtl w:val="0"/>
          <w:lang w:val="it-IT"/>
        </w:rPr>
        <w:t>, con la gara europea svolta da AMA alla fine del 2015 e ora all'attenzione della regione Lazio per la procedura di notifica, sar</w:t>
      </w:r>
      <w:r>
        <w:rPr>
          <w:rFonts w:hAnsi="Book Antiqua" w:hint="default"/>
          <w:rtl w:val="0"/>
          <w:lang w:val="it-IT"/>
        </w:rPr>
        <w:t xml:space="preserve">à </w:t>
      </w:r>
      <w:r>
        <w:rPr>
          <w:rFonts w:ascii="Book Antiqua"/>
          <w:rtl w:val="0"/>
          <w:lang w:val="it-IT"/>
        </w:rPr>
        <w:t xml:space="preserve">possibile conferire ad impianti di recupero "RI" circa il 15 per cento dei rifiuti residui di Roma ad un prezzo inferiore del 3 per cento rispetto a quello da AMA oggi pagato per il conferimento ai TMB dislocati sul territorio comunale. Come Vi abbiamo adeguatamente illustrato nei recenti incontri anzidetti, </w:t>
      </w:r>
      <w:r>
        <w:rPr>
          <w:rFonts w:hAnsi="Book Antiqua" w:hint="default"/>
          <w:rtl w:val="0"/>
          <w:lang w:val="it-IT"/>
        </w:rPr>
        <w:t xml:space="preserve">è </w:t>
      </w:r>
      <w:r>
        <w:rPr>
          <w:rFonts w:ascii="Book Antiqua"/>
          <w:rtl w:val="0"/>
          <w:lang w:val="it-IT"/>
        </w:rPr>
        <w:t>ferma volont</w:t>
      </w:r>
      <w:r>
        <w:rPr>
          <w:rFonts w:hAnsi="Book Antiqua" w:hint="default"/>
          <w:rtl w:val="0"/>
          <w:lang w:val="it-IT"/>
        </w:rPr>
        <w:t xml:space="preserve">à </w:t>
      </w:r>
      <w:r>
        <w:rPr>
          <w:rFonts w:ascii="Book Antiqua"/>
          <w:rtl w:val="0"/>
          <w:lang w:val="it-IT"/>
        </w:rPr>
        <w:t>di AMA conseguire ulteriori rapidi progressi nella raccolta differenziata in modo da diminuire ancor pi</w:t>
      </w:r>
      <w:r>
        <w:rPr>
          <w:rFonts w:hAnsi="Book Antiqua" w:hint="default"/>
          <w:rtl w:val="0"/>
          <w:lang w:val="it-IT"/>
        </w:rPr>
        <w:t xml:space="preserve">ù </w:t>
      </w:r>
      <w:r>
        <w:rPr>
          <w:rFonts w:ascii="Book Antiqua"/>
          <w:rtl w:val="0"/>
          <w:lang w:val="it-IT"/>
        </w:rPr>
        <w:t>il fabbisogno di trattamento di rifiuti residui e dunque, di inceneritori e discariche in cui smaltire i flussi in output dai TMB. In questo percorso, ovviamente graduale, l'assetto attuale appare del tutto transitorio e la crescita della raccolta differenziata dovr</w:t>
      </w:r>
      <w:r>
        <w:rPr>
          <w:rFonts w:hAnsi="Book Antiqua" w:hint="default"/>
          <w:rtl w:val="0"/>
          <w:lang w:val="it-IT"/>
        </w:rPr>
        <w:t>à</w:t>
      </w:r>
      <w:r>
        <w:rPr>
          <w:rFonts w:ascii="Book Antiqua"/>
          <w:rtl w:val="0"/>
          <w:lang w:val="it-IT"/>
        </w:rPr>
        <w:t>, perci</w:t>
      </w:r>
      <w:r>
        <w:rPr>
          <w:rFonts w:hAnsi="Book Antiqua" w:hint="default"/>
          <w:rtl w:val="0"/>
          <w:lang w:val="it-IT"/>
        </w:rPr>
        <w:t>ò</w:t>
      </w:r>
      <w:r>
        <w:rPr>
          <w:rFonts w:ascii="Book Antiqua"/>
          <w:rtl w:val="0"/>
          <w:lang w:val="it-IT"/>
        </w:rPr>
        <w:t>, essere accompagnata dalla riconversione dei TMB in modo da conseguire, quanto prima, l'affrancamento della Capitale da sostegni terzi. In questo contesto il Tritovagliatore di Rocca Cencia, impianto emergenziale estraneo alla pianificazione regionale e non assoggettato alla regolazione tariffaria pubblica, mantiene una sua utilit</w:t>
      </w:r>
      <w:r>
        <w:rPr>
          <w:rFonts w:hAnsi="Book Antiqua" w:hint="default"/>
          <w:rtl w:val="0"/>
          <w:lang w:val="it-IT"/>
        </w:rPr>
        <w:t xml:space="preserve">à </w:t>
      </w:r>
      <w:r>
        <w:rPr>
          <w:rFonts w:ascii="Book Antiqua"/>
          <w:rtl w:val="0"/>
          <w:lang w:val="it-IT"/>
        </w:rPr>
        <w:t>e cio</w:t>
      </w:r>
      <w:r>
        <w:rPr>
          <w:rFonts w:hAnsi="Book Antiqua" w:hint="default"/>
          <w:rtl w:val="0"/>
          <w:lang w:val="it-IT"/>
        </w:rPr>
        <w:t xml:space="preserve">è </w:t>
      </w:r>
      <w:r>
        <w:rPr>
          <w:rFonts w:ascii="Book Antiqua"/>
          <w:rtl w:val="0"/>
          <w:lang w:val="it-IT"/>
        </w:rPr>
        <w:t>proprio quella di volano emergenziale laddove venissero a crearsi criticit</w:t>
      </w:r>
      <w:r>
        <w:rPr>
          <w:rFonts w:hAnsi="Book Antiqua" w:hint="default"/>
          <w:rtl w:val="0"/>
          <w:lang w:val="it-IT"/>
        </w:rPr>
        <w:t xml:space="preserve">à </w:t>
      </w:r>
      <w:r>
        <w:rPr>
          <w:rFonts w:ascii="Book Antiqua"/>
          <w:rtl w:val="0"/>
          <w:lang w:val="it-IT"/>
        </w:rPr>
        <w:t xml:space="preserve">indotte da problemi esogeni ai quali trovare tempestivo e temporaneo rimedio. D'altra parte, le lavorazioni di tritovagliatura sono propedeutiche di altre (TMB) e bisognose, infine, di inceneritori e discariche per lo smaltimento finale dei flussi di output. L'uso </w:t>
      </w:r>
      <w:r>
        <w:rPr>
          <w:rFonts w:hAnsi="Book Antiqua" w:hint="default"/>
          <w:rtl w:val="0"/>
          <w:lang w:val="it-IT"/>
        </w:rPr>
        <w:t>‘</w:t>
      </w:r>
      <w:r>
        <w:rPr>
          <w:rFonts w:ascii="Book Antiqua"/>
          <w:rtl w:val="0"/>
          <w:lang w:val="it-IT"/>
        </w:rPr>
        <w:t>ordinario</w:t>
      </w:r>
      <w:r>
        <w:rPr>
          <w:rFonts w:hAnsi="Book Antiqua" w:hint="default"/>
          <w:rtl w:val="0"/>
          <w:lang w:val="it-IT"/>
        </w:rPr>
        <w:t xml:space="preserve">’ </w:t>
      </w:r>
      <w:r>
        <w:rPr>
          <w:rFonts w:ascii="Book Antiqua"/>
          <w:rtl w:val="0"/>
          <w:lang w:val="it-IT"/>
        </w:rPr>
        <w:t xml:space="preserve">della tritovagliatura non </w:t>
      </w:r>
      <w:r>
        <w:rPr>
          <w:rFonts w:hAnsi="Book Antiqua" w:hint="default"/>
          <w:rtl w:val="0"/>
          <w:lang w:val="it-IT"/>
        </w:rPr>
        <w:t>è</w:t>
      </w:r>
      <w:r>
        <w:rPr>
          <w:rFonts w:ascii="Book Antiqua"/>
          <w:rtl w:val="0"/>
          <w:lang w:val="it-IT"/>
        </w:rPr>
        <w:t>, quindi, coerente con il disegno strategico di Roma Capitale (definito nel piano economico finanziario di Roma Capitale allegato alla delibera dell'assemblea capitolina n. 52 del 2015) ed in conflitto con la ridondanza impiantistica dei TMB disponibili nella regione che devono, per effetto della gerarchia europea dei rifiuti, ritenersi preferibili rispetto alla semplice tritovagliatura. Sul piano meramente industriale, dunque, pur riconoscendo la precariet</w:t>
      </w:r>
      <w:r>
        <w:rPr>
          <w:rFonts w:hAnsi="Book Antiqua" w:hint="default"/>
          <w:rtl w:val="0"/>
          <w:lang w:val="it-IT"/>
        </w:rPr>
        <w:t xml:space="preserve">à </w:t>
      </w:r>
      <w:r>
        <w:rPr>
          <w:rFonts w:ascii="Book Antiqua"/>
          <w:rtl w:val="0"/>
          <w:lang w:val="it-IT"/>
        </w:rPr>
        <w:t>e la fragilit</w:t>
      </w:r>
      <w:r>
        <w:rPr>
          <w:rFonts w:hAnsi="Book Antiqua" w:hint="default"/>
          <w:rtl w:val="0"/>
          <w:lang w:val="it-IT"/>
        </w:rPr>
        <w:t xml:space="preserve">à </w:t>
      </w:r>
      <w:r>
        <w:rPr>
          <w:rFonts w:ascii="Book Antiqua"/>
          <w:rtl w:val="0"/>
          <w:lang w:val="it-IT"/>
        </w:rPr>
        <w:t>dell'attuale assetto di copertura dei fabbisogni di trattamento/smaltimento dei rifiuti residui di Roma Capitale, peraltro da noi denunciata da lungo tempo, Vi confermo l'orientamento di AMA a perseguire il pieno rispetto della gerarchia europea dei rifiuti e cio</w:t>
      </w:r>
      <w:r>
        <w:rPr>
          <w:rFonts w:hAnsi="Book Antiqua" w:hint="default"/>
          <w:rtl w:val="0"/>
          <w:lang w:val="it-IT"/>
        </w:rPr>
        <w:t>è</w:t>
      </w:r>
      <w:r>
        <w:rPr>
          <w:rFonts w:ascii="Book Antiqua"/>
          <w:rtl w:val="0"/>
          <w:lang w:val="it-IT"/>
        </w:rPr>
        <w:t>: raccolta differenziata-riuso-riciclo, recupero "RI", TMB (quindi minimizzazione ricorso alle discariche) nella prospettiva di allestire gli Ecodistretti nei quali recuperare oltre l</w:t>
      </w:r>
      <w:r>
        <w:rPr>
          <w:rFonts w:hAnsi="Book Antiqua" w:hint="default"/>
          <w:rtl w:val="0"/>
          <w:lang w:val="it-IT"/>
        </w:rPr>
        <w:t>’</w:t>
      </w:r>
      <w:r>
        <w:rPr>
          <w:rFonts w:ascii="Book Antiqua"/>
          <w:rtl w:val="0"/>
          <w:lang w:val="it-IT"/>
        </w:rPr>
        <w:t xml:space="preserve">85 per cento dei rifiuti indifferenziati. 2. Sul piano amministrativo, con l'ing Filippi, Vi abbiamo rappresentato, con uguale nettezza e trasparenza, le circostanze che inducono AMA a considerare un possibile utilizzo emergenziale del Tritovagliatore di Rocca Cencia che non </w:t>
      </w:r>
      <w:r>
        <w:rPr>
          <w:rFonts w:hAnsi="Book Antiqua" w:hint="default"/>
          <w:rtl w:val="0"/>
          <w:lang w:val="it-IT"/>
        </w:rPr>
        <w:t xml:space="preserve">è </w:t>
      </w:r>
      <w:r>
        <w:rPr>
          <w:rFonts w:ascii="Book Antiqua"/>
          <w:rtl w:val="0"/>
          <w:lang w:val="it-IT"/>
        </w:rPr>
        <w:t xml:space="preserve">un presidio del "Piano Regionale di Gestione dei Rifiuti Urbani", non </w:t>
      </w:r>
      <w:r>
        <w:rPr>
          <w:rFonts w:hAnsi="Book Antiqua" w:hint="default"/>
          <w:rtl w:val="0"/>
          <w:lang w:val="it-IT"/>
        </w:rPr>
        <w:t xml:space="preserve">è </w:t>
      </w:r>
      <w:r>
        <w:rPr>
          <w:rFonts w:ascii="Book Antiqua"/>
          <w:rtl w:val="0"/>
          <w:lang w:val="it-IT"/>
        </w:rPr>
        <w:t xml:space="preserve">un impianto di valorizzazione dei rifiuti riciclabili, non </w:t>
      </w:r>
      <w:r>
        <w:rPr>
          <w:rFonts w:hAnsi="Book Antiqua" w:hint="default"/>
          <w:rtl w:val="0"/>
          <w:lang w:val="it-IT"/>
        </w:rPr>
        <w:t xml:space="preserve">è </w:t>
      </w:r>
      <w:r>
        <w:rPr>
          <w:rFonts w:ascii="Book Antiqua"/>
          <w:rtl w:val="0"/>
          <w:lang w:val="it-IT"/>
        </w:rPr>
        <w:t xml:space="preserve">un impianto di recupero di energia "RI" e men che meno, </w:t>
      </w:r>
      <w:r>
        <w:rPr>
          <w:rFonts w:hAnsi="Book Antiqua" w:hint="default"/>
          <w:rtl w:val="0"/>
          <w:lang w:val="it-IT"/>
        </w:rPr>
        <w:t xml:space="preserve">è </w:t>
      </w:r>
      <w:r>
        <w:rPr>
          <w:rFonts w:ascii="Book Antiqua"/>
          <w:rtl w:val="0"/>
          <w:lang w:val="it-IT"/>
        </w:rPr>
        <w:t xml:space="preserve">un impianto di smaltimento. AMA spa, che non ha alcun vincolo al conferimento di rifiuti residui in quell'impianto, al contrario </w:t>
      </w:r>
      <w:r>
        <w:rPr>
          <w:rFonts w:hAnsi="Book Antiqua" w:hint="default"/>
          <w:rtl w:val="0"/>
          <w:lang w:val="it-IT"/>
        </w:rPr>
        <w:t xml:space="preserve">è </w:t>
      </w:r>
      <w:r>
        <w:rPr>
          <w:rFonts w:ascii="Book Antiqua"/>
          <w:rtl w:val="0"/>
          <w:lang w:val="it-IT"/>
        </w:rPr>
        <w:t>obbligata dalla legge ad affidare i rifiuti residui, laddove insufficienti gli impianti di trattamento/smaltimento siti in prossimit</w:t>
      </w:r>
      <w:r>
        <w:rPr>
          <w:rFonts w:hAnsi="Book Antiqua" w:hint="default"/>
          <w:rtl w:val="0"/>
          <w:lang w:val="it-IT"/>
        </w:rPr>
        <w:t>à</w:t>
      </w:r>
      <w:r>
        <w:rPr>
          <w:rFonts w:ascii="Book Antiqua"/>
          <w:rtl w:val="0"/>
          <w:lang w:val="it-IT"/>
        </w:rPr>
        <w:t>, secondo procedure di evidenza pubblica. Come detto, AMA ha svolto una gara europea ottenendo la prestazione di servizio, per il recupero di una parte dei propri rifiuti residui (carico/trasporto/recupero "RI"), ad un prezzo pi</w:t>
      </w:r>
      <w:r>
        <w:rPr>
          <w:rFonts w:hAnsi="Book Antiqua" w:hint="default"/>
          <w:rtl w:val="0"/>
          <w:lang w:val="it-IT"/>
        </w:rPr>
        <w:t xml:space="preserve">ù </w:t>
      </w:r>
      <w:r>
        <w:rPr>
          <w:rFonts w:ascii="Book Antiqua"/>
          <w:rtl w:val="0"/>
          <w:lang w:val="it-IT"/>
        </w:rPr>
        <w:t xml:space="preserve">conveniente rispetto a quello imposto dalla regione Lazio per il conferimento di rifiuti residui ai TMB siti sul territorio comunale di Roma Capitale. Orbene, considerato che l'accordo tra AMA e Co.La.Ri., per l'utilizzo del Tritovagliatore di Rocca Cencia, si </w:t>
      </w:r>
      <w:r>
        <w:rPr>
          <w:rFonts w:hAnsi="Book Antiqua" w:hint="default"/>
          <w:rtl w:val="0"/>
          <w:lang w:val="it-IT"/>
        </w:rPr>
        <w:t xml:space="preserve">è </w:t>
      </w:r>
      <w:r>
        <w:rPr>
          <w:rFonts w:ascii="Book Antiqua"/>
          <w:rtl w:val="0"/>
          <w:lang w:val="it-IT"/>
        </w:rPr>
        <w:t>esaurito il 30 settembre 2015 e che, al  momento, nessuna obbligazione costringe AMA al conferimento di rifiuti residui a quell'impianto n</w:t>
      </w:r>
      <w:r>
        <w:rPr>
          <w:rFonts w:hAnsi="Book Antiqua" w:hint="default"/>
          <w:rtl w:val="0"/>
          <w:lang w:val="it-IT"/>
        </w:rPr>
        <w:t xml:space="preserve">é </w:t>
      </w:r>
      <w:r>
        <w:rPr>
          <w:rFonts w:ascii="Book Antiqua"/>
          <w:rtl w:val="0"/>
          <w:lang w:val="it-IT"/>
        </w:rPr>
        <w:t>Co.La.Ri. pu</w:t>
      </w:r>
      <w:r>
        <w:rPr>
          <w:rFonts w:hAnsi="Book Antiqua" w:hint="default"/>
          <w:rtl w:val="0"/>
          <w:lang w:val="it-IT"/>
        </w:rPr>
        <w:t xml:space="preserve">ò </w:t>
      </w:r>
      <w:r>
        <w:rPr>
          <w:rFonts w:ascii="Book Antiqua"/>
          <w:rtl w:val="0"/>
          <w:lang w:val="it-IT"/>
        </w:rPr>
        <w:t xml:space="preserve">rivendicare alcun diritto allo svolgimento ordinario di un servizio che AMA </w:t>
      </w:r>
      <w:r>
        <w:rPr>
          <w:rFonts w:hAnsi="Book Antiqua" w:hint="default"/>
          <w:rtl w:val="0"/>
          <w:lang w:val="it-IT"/>
        </w:rPr>
        <w:t xml:space="preserve">è </w:t>
      </w:r>
      <w:r>
        <w:rPr>
          <w:rFonts w:ascii="Book Antiqua"/>
          <w:rtl w:val="0"/>
          <w:lang w:val="it-IT"/>
        </w:rPr>
        <w:t>obbligata ad appaltare con procedure di evidenza pubblica, si ritiene possibile e necessario regolare l'eventuale utilizzo emergenziale del Tritovagliatore su basi aggiornate rispetto al contesto descritto. Tutto ci</w:t>
      </w:r>
      <w:r>
        <w:rPr>
          <w:rFonts w:hAnsi="Book Antiqua" w:hint="default"/>
          <w:rtl w:val="0"/>
          <w:lang w:val="it-IT"/>
        </w:rPr>
        <w:t xml:space="preserve">ò </w:t>
      </w:r>
      <w:r>
        <w:rPr>
          <w:rFonts w:ascii="Book Antiqua"/>
          <w:rtl w:val="0"/>
          <w:lang w:val="it-IT"/>
        </w:rPr>
        <w:t>confermato, cos</w:t>
      </w:r>
      <w:r>
        <w:rPr>
          <w:rFonts w:hAnsi="Book Antiqua" w:hint="default"/>
          <w:rtl w:val="0"/>
          <w:lang w:val="it-IT"/>
        </w:rPr>
        <w:t xml:space="preserve">ì </w:t>
      </w:r>
      <w:r>
        <w:rPr>
          <w:rFonts w:ascii="Book Antiqua"/>
          <w:rtl w:val="0"/>
          <w:lang w:val="it-IT"/>
        </w:rPr>
        <w:t>come anticipato nelle mie del 26 ottobre e 11 novembre 2015 e del 7 gennaio 2016, nonch</w:t>
      </w:r>
      <w:r>
        <w:rPr>
          <w:rFonts w:hAnsi="Book Antiqua" w:hint="default"/>
          <w:rtl w:val="0"/>
          <w:lang w:val="it-IT"/>
        </w:rPr>
        <w:t xml:space="preserve">é </w:t>
      </w:r>
      <w:r>
        <w:rPr>
          <w:rFonts w:ascii="Book Antiqua"/>
          <w:rtl w:val="0"/>
          <w:lang w:val="it-IT"/>
        </w:rPr>
        <w:t>nei citati incontri del 25 gennaio e del 26 febbraio 2016, nuovamente confermo l'interesse di AMA all'eventuale utilizzo emergenziale del Tritovagliatore di Rocca Cencia regolamentandone, ora per allora e d'intesa tra le nostre Societ</w:t>
      </w:r>
      <w:r>
        <w:rPr>
          <w:rFonts w:hAnsi="Book Antiqua" w:hint="default"/>
          <w:rtl w:val="0"/>
          <w:lang w:val="it-IT"/>
        </w:rPr>
        <w:t>à</w:t>
      </w:r>
      <w:r>
        <w:rPr>
          <w:rFonts w:ascii="Book Antiqua"/>
          <w:rtl w:val="0"/>
          <w:lang w:val="it-IT"/>
        </w:rPr>
        <w:t>, sia le modalit</w:t>
      </w:r>
      <w:r>
        <w:rPr>
          <w:rFonts w:hAnsi="Book Antiqua" w:hint="default"/>
          <w:rtl w:val="0"/>
          <w:lang w:val="it-IT"/>
        </w:rPr>
        <w:t xml:space="preserve">à </w:t>
      </w:r>
      <w:r>
        <w:rPr>
          <w:rFonts w:ascii="Book Antiqua"/>
          <w:rtl w:val="0"/>
          <w:lang w:val="it-IT"/>
        </w:rPr>
        <w:t>ed i costi nella condizione di stand by sia nella condizione operativa, con un limite di prezzo che non potr</w:t>
      </w:r>
      <w:r>
        <w:rPr>
          <w:rFonts w:hAnsi="Book Antiqua" w:hint="default"/>
          <w:rtl w:val="0"/>
          <w:lang w:val="it-IT"/>
        </w:rPr>
        <w:t xml:space="preserve">à </w:t>
      </w:r>
      <w:r>
        <w:rPr>
          <w:rFonts w:ascii="Book Antiqua"/>
          <w:rtl w:val="0"/>
          <w:lang w:val="it-IT"/>
        </w:rPr>
        <w:t xml:space="preserve">in alcun modo superare quello espunto da AMA con procedura di evidenza pubblica, eseguita con gara europea e che ha dato per esito il valore di </w:t>
      </w:r>
      <w:r>
        <w:rPr>
          <w:rFonts w:hAnsi="Book Antiqua" w:hint="default"/>
          <w:rtl w:val="0"/>
          <w:lang w:val="it-IT"/>
        </w:rPr>
        <w:t xml:space="preserve">€ </w:t>
      </w:r>
      <w:r>
        <w:rPr>
          <w:rFonts w:ascii="Book Antiqua"/>
          <w:rtl w:val="0"/>
          <w:lang w:val="it-IT"/>
        </w:rPr>
        <w:t>138,5 per tonnellata di rifiuto residuo conferito. Al riguardo nuovamente Vi invito ad incontrarci sollecitandovi ulteriormente a formulare la Vostra miglior proposta in merito a quanto da noi ripetutamente esplicitato sia nello scambio epistolare che nelle riunioni.</w:t>
      </w:r>
      <w:r>
        <w:rPr>
          <w:rFonts w:hAnsi="Book Antiqua" w:hint="default"/>
          <w:rtl w:val="0"/>
          <w:lang w:val="it-IT"/>
        </w:rPr>
        <w:t xml:space="preserve">” </w:t>
      </w: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rPr>
      </w:pPr>
      <w:r>
        <w:rPr>
          <w:rFonts w:ascii="Book Antiqua"/>
          <w:rtl w:val="0"/>
          <w:lang w:val="it-IT"/>
        </w:rPr>
        <w:t>Il conflitto epistolare prosegue con due ulteriori lettere (AMA del 9 marzo 2016, Co.La.Ri del 15 marzo 2016) il cui contenuto non apporta contributo alle argomentazioni e deduzioni da ciascun soggetto ampiamente gi</w:t>
      </w:r>
      <w:r>
        <w:rPr>
          <w:rFonts w:hAnsi="Book Antiqua" w:hint="default"/>
          <w:rtl w:val="0"/>
          <w:lang w:val="it-IT"/>
        </w:rPr>
        <w:t xml:space="preserve">à </w:t>
      </w:r>
      <w:r>
        <w:rPr>
          <w:rFonts w:ascii="Book Antiqua"/>
          <w:rtl w:val="0"/>
          <w:lang w:val="it-IT"/>
        </w:rPr>
        <w:t>esposte.</w:t>
      </w: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rPr>
      </w:pPr>
      <w:r>
        <w:rPr>
          <w:rFonts w:ascii="Book Antiqua"/>
          <w:rtl w:val="0"/>
          <w:lang w:val="it-IT"/>
        </w:rPr>
        <w:t xml:space="preserve">Fin qui la </w:t>
      </w:r>
      <w:r>
        <w:rPr>
          <w:rFonts w:hAnsi="Book Antiqua" w:hint="default"/>
          <w:rtl w:val="0"/>
          <w:lang w:val="it-IT"/>
        </w:rPr>
        <w:t>“</w:t>
      </w:r>
      <w:r>
        <w:rPr>
          <w:rFonts w:ascii="Book Antiqua"/>
          <w:rtl w:val="0"/>
          <w:lang w:val="it-IT"/>
        </w:rPr>
        <w:t>storia</w:t>
      </w:r>
      <w:r>
        <w:rPr>
          <w:rFonts w:hAnsi="Book Antiqua" w:hint="default"/>
          <w:rtl w:val="0"/>
          <w:lang w:val="it-IT"/>
        </w:rPr>
        <w:t xml:space="preserve">” </w:t>
      </w:r>
      <w:r>
        <w:rPr>
          <w:rFonts w:ascii="Book Antiqua"/>
          <w:rtl w:val="0"/>
          <w:lang w:val="it-IT"/>
        </w:rPr>
        <w:t>del tritovagliatore di Rocca Cencia, cos</w:t>
      </w:r>
      <w:r>
        <w:rPr>
          <w:rFonts w:hAnsi="Book Antiqua" w:hint="default"/>
          <w:rtl w:val="0"/>
          <w:lang w:val="it-IT"/>
        </w:rPr>
        <w:t xml:space="preserve">ì </w:t>
      </w:r>
      <w:r>
        <w:rPr>
          <w:rFonts w:ascii="Book Antiqua"/>
          <w:rtl w:val="0"/>
          <w:lang w:val="it-IT"/>
        </w:rPr>
        <w:t>come ricostruita dalla Commissione sulla base dei documenti acquisiti e delle audizioni svolte, che arriva sino alla vicenda politica del mutamento di amministrazione capitolina, con l</w:t>
      </w:r>
      <w:r>
        <w:rPr>
          <w:rFonts w:hAnsi="Book Antiqua" w:hint="default"/>
          <w:rtl w:val="0"/>
          <w:lang w:val="it-IT"/>
        </w:rPr>
        <w:t>‘</w:t>
      </w:r>
      <w:r>
        <w:rPr>
          <w:rFonts w:ascii="Book Antiqua"/>
          <w:rtl w:val="0"/>
          <w:lang w:val="it-IT"/>
        </w:rPr>
        <w:t>insediamento, nel giugno 2016, della nuova giunta.</w:t>
      </w:r>
    </w:p>
    <w:p>
      <w:pPr>
        <w:pStyle w:val="Normal"/>
        <w:ind w:left="567" w:right="567" w:firstLine="0"/>
        <w:jc w:val="both"/>
        <w:rPr>
          <w:rFonts w:ascii="Book Antiqua" w:cs="Book Antiqua" w:hAnsi="Book Antiqua" w:eastAsia="Book Antiqua"/>
        </w:rPr>
      </w:pPr>
      <w:r>
        <w:rPr>
          <w:rFonts w:ascii="Book Antiqua"/>
          <w:rtl w:val="0"/>
          <w:lang w:val="it-IT"/>
        </w:rPr>
        <w:t>Le doglianze di Co.La.Ri quanto al regime di concorrenza hanno trovato risposta in una decisione dell</w:t>
      </w:r>
      <w:r>
        <w:rPr>
          <w:rFonts w:hAnsi="Book Antiqua" w:hint="default"/>
          <w:rtl w:val="0"/>
          <w:lang w:val="it-IT"/>
        </w:rPr>
        <w:t>’</w:t>
      </w:r>
      <w:r>
        <w:rPr>
          <w:rFonts w:ascii="Book Antiqua"/>
          <w:rtl w:val="0"/>
          <w:lang w:val="it-IT"/>
        </w:rPr>
        <w:t>Autorit</w:t>
      </w:r>
      <w:r>
        <w:rPr>
          <w:rFonts w:hAnsi="Book Antiqua" w:hint="default"/>
          <w:rtl w:val="0"/>
          <w:lang w:val="it-IT"/>
        </w:rPr>
        <w:t xml:space="preserve">à </w:t>
      </w:r>
      <w:r>
        <w:rPr>
          <w:rFonts w:ascii="Book Antiqua"/>
          <w:rtl w:val="0"/>
          <w:lang w:val="it-IT"/>
        </w:rPr>
        <w:t>garante della concorrenza e del mercato, che, nell</w:t>
      </w:r>
      <w:r>
        <w:rPr>
          <w:rFonts w:hAnsi="Book Antiqua" w:hint="default"/>
          <w:rtl w:val="0"/>
          <w:lang w:val="it-IT"/>
        </w:rPr>
        <w:t>’</w:t>
      </w:r>
      <w:r>
        <w:rPr>
          <w:rFonts w:ascii="Book Antiqua"/>
          <w:rtl w:val="0"/>
          <w:lang w:val="it-IT"/>
        </w:rPr>
        <w:t xml:space="preserve">adunanza del 17 marzo 2016, in relazione a una richiesta di intervento ai sensi della legge 287/1990 avanzata da Co.La.Ri </w:t>
      </w:r>
      <w:r>
        <w:rPr>
          <w:rFonts w:hAnsi="Book Antiqua" w:hint="default"/>
          <w:rtl w:val="0"/>
          <w:lang w:val="it-IT"/>
        </w:rPr>
        <w:t>“</w:t>
      </w:r>
      <w:r>
        <w:rPr>
          <w:rFonts w:ascii="Book Antiqua"/>
          <w:rtl w:val="0"/>
          <w:lang w:val="it-IT"/>
        </w:rPr>
        <w:t>ha valutato i fatti denunciati e ha riscontrato che in relazione agli stessi non risultano allo stato emergere elementi di fatto e di diritto sufficienti a giustificare ulteriori accertamenti ai sensi della legge 10 ottobre 1990, n. 287 o degli articoli 101 e 102 del Trattato sul funzionamento dell'Unione europea. In primo luogo, con riguardo alle doglianze relative alla presunta natura anticoncorrenziale delle condotte assunte da AMA S.p.A nei rapporti economici intercorsi con codesto Consorzio, in relazione ai servizi di trattamento meccanico biologico e di trito-vagliatura, si ritiene che dette condotte si inseriscano in mere controversie contrattuali tra privati, che appaiono peraltro avere recentemente trovato composizione a seguito del pagamento delle somme previste da parte di AMA S.p.A.</w:t>
      </w:r>
    </w:p>
    <w:p>
      <w:pPr>
        <w:pStyle w:val="Normal"/>
        <w:ind w:left="567" w:right="567" w:firstLine="0"/>
        <w:jc w:val="both"/>
        <w:rPr>
          <w:rFonts w:ascii="Book Antiqua" w:cs="Book Antiqua" w:hAnsi="Book Antiqua" w:eastAsia="Book Antiqua"/>
        </w:rPr>
      </w:pPr>
      <w:r>
        <w:rPr>
          <w:rFonts w:ascii="Book Antiqua"/>
          <w:rtl w:val="0"/>
          <w:lang w:val="it-IT"/>
        </w:rPr>
        <w:t>Con riguardo, in secondo luogo, all'affidamento da parte di AMA S.p.A. del servizio di avvio a recupero energetico dei ed. Rifiuti Urbani Residui per il tramite di una procedura ad evidenza pubblica, l'Autorit</w:t>
      </w:r>
      <w:r>
        <w:rPr>
          <w:rFonts w:hAnsi="Book Antiqua" w:hint="default"/>
          <w:rtl w:val="0"/>
          <w:lang w:val="it-IT"/>
        </w:rPr>
        <w:t xml:space="preserve">à </w:t>
      </w:r>
      <w:r>
        <w:rPr>
          <w:rFonts w:ascii="Book Antiqua"/>
          <w:rtl w:val="0"/>
          <w:lang w:val="it-IT"/>
        </w:rPr>
        <w:t>ritiene che tale scelta risponda a corrette logiche concorrenziali e a esigenze di efficienza del servizio, in un contesto in cui AMA S.p.A. risulta il soggetto affidatario del servizio di gestione integrata dei rifiuti urbani nel comune di Roma</w:t>
      </w:r>
      <w:r>
        <w:rPr>
          <w:rFonts w:hAnsi="Book Antiqua" w:hint="default"/>
          <w:rtl w:val="0"/>
          <w:lang w:val="it-IT"/>
        </w:rPr>
        <w:t>”</w:t>
      </w:r>
      <w:r>
        <w:rPr>
          <w:rFonts w:ascii="Book Antiqua" w:cs="Book Antiqua" w:hAnsi="Book Antiqua" w:eastAsia="Book Antiqua"/>
          <w:vertAlign w:val="superscript"/>
          <w:rtl w:val="0"/>
        </w:rPr>
        <w:footnoteReference w:id="63"/>
      </w:r>
      <w:r>
        <w:rPr>
          <w:rFonts w:ascii="Book Antiqua"/>
          <w:rtl w:val="0"/>
          <w:lang w:val="it-IT"/>
        </w:rPr>
        <w:t>.</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rPr>
      </w:pPr>
      <w:r>
        <w:rPr>
          <w:rFonts w:ascii="Book Antiqua"/>
          <w:rtl w:val="0"/>
          <w:lang w:val="it-IT"/>
        </w:rPr>
        <w:t>Quanto alla questione del rapporto negoziale tra AMA e Co.La.Ri., le questioni determinate dalla carenza di una vigenza contrattuale formale di accordi sull</w:t>
      </w:r>
      <w:r>
        <w:rPr>
          <w:rFonts w:hAnsi="Book Antiqua" w:hint="default"/>
          <w:rtl w:val="0"/>
          <w:lang w:val="it-IT"/>
        </w:rPr>
        <w:t>’</w:t>
      </w:r>
      <w:r>
        <w:rPr>
          <w:rFonts w:ascii="Book Antiqua"/>
          <w:rtl w:val="0"/>
          <w:lang w:val="it-IT"/>
        </w:rPr>
        <w:t xml:space="preserve">utilizzo degli impianti TMB </w:t>
      </w:r>
      <w:r>
        <w:rPr>
          <w:rFonts w:hAnsi="Book Antiqua" w:hint="default"/>
          <w:rtl w:val="0"/>
          <w:lang w:val="it-IT"/>
        </w:rPr>
        <w:t xml:space="preserve">– </w:t>
      </w:r>
      <w:r>
        <w:rPr>
          <w:rFonts w:ascii="Book Antiqua"/>
          <w:rtl w:val="0"/>
          <w:lang w:val="it-IT"/>
        </w:rPr>
        <w:t xml:space="preserve">come si </w:t>
      </w:r>
      <w:r>
        <w:rPr>
          <w:rFonts w:hAnsi="Book Antiqua" w:hint="default"/>
          <w:rtl w:val="0"/>
          <w:lang w:val="it-IT"/>
        </w:rPr>
        <w:t xml:space="preserve">è </w:t>
      </w:r>
      <w:r>
        <w:rPr>
          <w:rFonts w:ascii="Book Antiqua"/>
          <w:rtl w:val="0"/>
          <w:lang w:val="it-IT"/>
        </w:rPr>
        <w:t>visto tuttora fondamentali nell</w:t>
      </w:r>
      <w:r>
        <w:rPr>
          <w:rFonts w:hAnsi="Book Antiqua" w:hint="default"/>
          <w:rtl w:val="0"/>
          <w:lang w:val="it-IT"/>
        </w:rPr>
        <w:t>’</w:t>
      </w:r>
      <w:r>
        <w:rPr>
          <w:rFonts w:ascii="Book Antiqua"/>
          <w:rtl w:val="0"/>
          <w:lang w:val="it-IT"/>
        </w:rPr>
        <w:t xml:space="preserve">inadeguato ciclo dei rifiuti di Roma Capitale </w:t>
      </w:r>
      <w:r>
        <w:rPr>
          <w:rFonts w:hAnsi="Book Antiqua" w:hint="default"/>
          <w:rtl w:val="0"/>
          <w:lang w:val="it-IT"/>
        </w:rPr>
        <w:t xml:space="preserve">– </w:t>
      </w:r>
      <w:r>
        <w:rPr>
          <w:rFonts w:ascii="Book Antiqua"/>
          <w:rtl w:val="0"/>
          <w:lang w:val="it-IT"/>
        </w:rPr>
        <w:t>hanno trovato un recente punto di svolta a fronte della sostituzione della legale rappresentanza del Co.La.Ri con il commissario prefettizio conseguente alla conferma da parte del Consiglio di Stato dell</w:t>
      </w:r>
      <w:r>
        <w:rPr>
          <w:rFonts w:hAnsi="Book Antiqua" w:hint="default"/>
          <w:rtl w:val="0"/>
          <w:lang w:val="it-IT"/>
        </w:rPr>
        <w:t>’</w:t>
      </w:r>
      <w:r>
        <w:rPr>
          <w:rFonts w:ascii="Book Antiqua"/>
          <w:rtl w:val="0"/>
          <w:lang w:val="it-IT"/>
        </w:rPr>
        <w:t xml:space="preserve">interdittiva: il 27 settembre 2017  </w:t>
      </w:r>
      <w:r>
        <w:rPr>
          <w:rFonts w:hAnsi="Book Antiqua" w:hint="default"/>
          <w:rtl w:val="0"/>
          <w:lang w:val="it-IT"/>
        </w:rPr>
        <w:t xml:space="preserve">è </w:t>
      </w:r>
      <w:r>
        <w:rPr>
          <w:rFonts w:ascii="Book Antiqua"/>
          <w:rtl w:val="0"/>
          <w:lang w:val="it-IT"/>
        </w:rPr>
        <w:t>stato sottoscritto un contratto-ponte di diciotto mesi fra AMA e il commissario prefettizio per l'utilizzo degli impianti TMB di Malagrotta</w:t>
      </w:r>
      <w:r>
        <w:rPr>
          <w:rFonts w:ascii="Book Antiqua" w:cs="Book Antiqua" w:hAnsi="Book Antiqua" w:eastAsia="Book Antiqua"/>
          <w:vertAlign w:val="superscript"/>
          <w:rtl w:val="0"/>
        </w:rPr>
        <w:footnoteReference w:id="64"/>
      </w:r>
      <w:r>
        <w:rPr>
          <w:rFonts w:ascii="Book Antiqua"/>
          <w:rtl w:val="0"/>
          <w:lang w:val="it-IT"/>
        </w:rPr>
        <w:t xml:space="preserve">. </w:t>
      </w:r>
    </w:p>
    <w:p>
      <w:pPr>
        <w:pStyle w:val="Normal"/>
        <w:ind w:right="567"/>
        <w:jc w:val="both"/>
        <w:rPr>
          <w:rFonts w:ascii="Book Antiqua" w:cs="Book Antiqua" w:hAnsi="Book Antiqua" w:eastAsia="Book Antiqua"/>
        </w:rPr>
      </w:pPr>
    </w:p>
    <w:p>
      <w:pPr>
        <w:pStyle w:val="Normal"/>
        <w:ind w:right="567"/>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sz w:val="28"/>
          <w:szCs w:val="28"/>
        </w:rPr>
      </w:pPr>
      <w:r>
        <w:rPr>
          <w:rFonts w:ascii="Book Antiqua"/>
          <w:sz w:val="28"/>
          <w:szCs w:val="28"/>
          <w:rtl w:val="0"/>
          <w:lang w:val="it-IT"/>
        </w:rPr>
        <w:t>2.2.2.11 La crisi dell</w:t>
      </w:r>
      <w:r>
        <w:rPr>
          <w:rFonts w:hAnsi="Book Antiqua" w:hint="default"/>
          <w:sz w:val="28"/>
          <w:szCs w:val="28"/>
          <w:rtl w:val="0"/>
          <w:lang w:val="it-IT"/>
        </w:rPr>
        <w:t>’</w:t>
      </w:r>
      <w:r>
        <w:rPr>
          <w:rFonts w:ascii="Book Antiqua"/>
          <w:sz w:val="28"/>
          <w:szCs w:val="28"/>
          <w:rtl w:val="0"/>
          <w:lang w:val="it-IT"/>
        </w:rPr>
        <w:t>estate 2016 e le nuove acquisizioni della Commissione</w:t>
      </w:r>
    </w:p>
    <w:p>
      <w:pPr>
        <w:pStyle w:val="Normal"/>
        <w:jc w:val="both"/>
        <w:rPr>
          <w:rFonts w:ascii="Book Antiqua" w:cs="Book Antiqua" w:hAnsi="Book Antiqua" w:eastAsia="Book Antiqua"/>
          <w:sz w:val="28"/>
          <w:szCs w:val="28"/>
        </w:rPr>
      </w:pPr>
    </w:p>
    <w:p>
      <w:pPr>
        <w:pStyle w:val="Normal"/>
        <w:ind w:left="567" w:right="567" w:firstLine="0"/>
        <w:jc w:val="both"/>
        <w:rPr>
          <w:rFonts w:ascii="Book Antiqua" w:cs="Book Antiqua" w:hAnsi="Book Antiqua" w:eastAsia="Book Antiqua"/>
        </w:rPr>
      </w:pPr>
      <w:r>
        <w:rPr>
          <w:rFonts w:ascii="Book Antiqua"/>
          <w:rtl w:val="0"/>
          <w:lang w:val="it-IT"/>
        </w:rPr>
        <w:t>Le questioni affrontate nei paragrafi precedenti ritornano prepotentemente in evidenza, quando il nuovo assessora pro tempore alla sostenibilit</w:t>
      </w:r>
      <w:r>
        <w:rPr>
          <w:rFonts w:hAnsi="Book Antiqua" w:hint="default"/>
          <w:rtl w:val="0"/>
          <w:lang w:val="it-IT"/>
        </w:rPr>
        <w:t xml:space="preserve">à </w:t>
      </w:r>
      <w:r>
        <w:rPr>
          <w:rFonts w:ascii="Book Antiqua"/>
          <w:rtl w:val="0"/>
          <w:lang w:val="it-IT"/>
        </w:rPr>
        <w:t xml:space="preserve">ambientale di Roma Capitale, Paola Muraro, al fine di affrontare una delle cicliche crisi del sistema di gestione dei rifiuti, a luglio del 2016, chiede agli organi dirigenti di AMA di conferire nuovamente i rifiuti presso il tritovagliatore di Rocca Cencia che Manlio Cerroni ha nel frattempo affittato alla ditta Porcarelli. </w:t>
      </w:r>
    </w:p>
    <w:p>
      <w:pPr>
        <w:pStyle w:val="Normal"/>
        <w:ind w:left="567" w:right="567" w:firstLine="0"/>
        <w:jc w:val="both"/>
        <w:rPr>
          <w:rFonts w:ascii="Book Antiqua" w:cs="Book Antiqua" w:hAnsi="Book Antiqua" w:eastAsia="Book Antiqua"/>
        </w:rPr>
      </w:pPr>
      <w:r>
        <w:rPr>
          <w:rFonts w:ascii="Book Antiqua"/>
          <w:rtl w:val="0"/>
          <w:lang w:val="it-IT"/>
        </w:rPr>
        <w:t>In questa fase la Commissione procede a nuove audizioni, i cui contenuti rilevanti sul punto sono di seguito riportati.</w:t>
      </w:r>
    </w:p>
    <w:p>
      <w:pPr>
        <w:pStyle w:val="Normal"/>
        <w:ind w:left="567" w:right="567" w:firstLine="0"/>
        <w:jc w:val="both"/>
        <w:rPr>
          <w:rFonts w:ascii="Book Antiqua" w:cs="Book Antiqua" w:hAnsi="Book Antiqua" w:eastAsia="Book Antiqua"/>
        </w:rPr>
      </w:pPr>
      <w:r>
        <w:rPr>
          <w:rFonts w:ascii="Book Antiqua"/>
          <w:rtl w:val="0"/>
          <w:lang w:val="it-IT"/>
        </w:rPr>
        <w:t xml:space="preserve">Il 2 agosto 2016 viene audito </w:t>
      </w:r>
      <w:r>
        <w:rPr>
          <w:rFonts w:hAnsi="Book Antiqua" w:hint="default"/>
          <w:rtl w:val="0"/>
          <w:lang w:val="it-IT"/>
        </w:rPr>
        <w:t xml:space="preserve">– </w:t>
      </w:r>
      <w:r>
        <w:rPr>
          <w:rFonts w:ascii="Book Antiqua"/>
          <w:rtl w:val="0"/>
          <w:lang w:val="it-IT"/>
        </w:rPr>
        <w:t>sulle vicende immediatamente pregresse e nell</w:t>
      </w:r>
      <w:r>
        <w:rPr>
          <w:rFonts w:hAnsi="Book Antiqua" w:hint="default"/>
          <w:rtl w:val="0"/>
          <w:lang w:val="it-IT"/>
        </w:rPr>
        <w:t>’</w:t>
      </w:r>
      <w:r>
        <w:rPr>
          <w:rFonts w:ascii="Book Antiqua"/>
          <w:rtl w:val="0"/>
          <w:lang w:val="it-IT"/>
        </w:rPr>
        <w:t xml:space="preserve">imminenza delle sue dimissioni, formalizzate nei giorni successivi - il presidente del consiglio di amministrazione di AMA S.p.A., Daniele Fortini: </w:t>
      </w:r>
    </w:p>
    <w:p>
      <w:pPr>
        <w:pStyle w:val="Normal"/>
        <w:ind w:left="567" w:right="567" w:firstLine="0"/>
        <w:jc w:val="both"/>
        <w:rPr>
          <w:rFonts w:ascii="Book Antiqua" w:cs="Book Antiqua" w:hAnsi="Book Antiqua" w:eastAsia="Book Antiqua"/>
        </w:rPr>
      </w:pPr>
      <w:r>
        <w:rPr>
          <w:rFonts w:ascii="Book Antiqua"/>
          <w:rtl w:val="0"/>
          <w:lang w:val="it-IT"/>
        </w:rPr>
        <w:t xml:space="preserve"> </w:t>
      </w:r>
      <w:r>
        <w:rPr>
          <w:rFonts w:hAnsi="Book Antiqua" w:hint="default"/>
          <w:rtl w:val="0"/>
          <w:lang w:val="it-IT"/>
        </w:rPr>
        <w:t>“</w:t>
      </w:r>
      <w:r>
        <w:rPr>
          <w:rFonts w:ascii="Book Antiqua"/>
          <w:rtl w:val="0"/>
          <w:lang w:val="it-IT"/>
        </w:rPr>
        <w:t>A chi mi ha accusato di avere responsabilit</w:t>
      </w:r>
      <w:r>
        <w:rPr>
          <w:rFonts w:hAnsi="Book Antiqua" w:hint="default"/>
          <w:rtl w:val="0"/>
          <w:lang w:val="it-IT"/>
        </w:rPr>
        <w:t xml:space="preserve">à </w:t>
      </w:r>
      <w:r>
        <w:rPr>
          <w:rFonts w:ascii="Book Antiqua"/>
          <w:rtl w:val="0"/>
          <w:lang w:val="it-IT"/>
        </w:rPr>
        <w:t>per l</w:t>
      </w:r>
      <w:r>
        <w:rPr>
          <w:rFonts w:hAnsi="Book Antiqua" w:hint="default"/>
          <w:rtl w:val="0"/>
          <w:lang w:val="it-IT"/>
        </w:rPr>
        <w:t>’</w:t>
      </w:r>
      <w:r>
        <w:rPr>
          <w:rFonts w:ascii="Book Antiqua"/>
          <w:rtl w:val="0"/>
          <w:lang w:val="it-IT"/>
        </w:rPr>
        <w:t>emergenza, inesistente, per le fortissime criticit</w:t>
      </w:r>
      <w:r>
        <w:rPr>
          <w:rFonts w:hAnsi="Book Antiqua" w:hint="default"/>
          <w:rtl w:val="0"/>
          <w:lang w:val="it-IT"/>
        </w:rPr>
        <w:t xml:space="preserve">à </w:t>
      </w:r>
      <w:r>
        <w:rPr>
          <w:rFonts w:ascii="Book Antiqua"/>
          <w:rtl w:val="0"/>
          <w:lang w:val="it-IT"/>
        </w:rPr>
        <w:t xml:space="preserve">che si sono create e per il disagio che ne </w:t>
      </w:r>
      <w:r>
        <w:rPr>
          <w:rFonts w:hAnsi="Book Antiqua" w:hint="default"/>
          <w:rtl w:val="0"/>
          <w:lang w:val="it-IT"/>
        </w:rPr>
        <w:t xml:space="preserve">è </w:t>
      </w:r>
      <w:r>
        <w:rPr>
          <w:rFonts w:ascii="Book Antiqua"/>
          <w:rtl w:val="0"/>
          <w:lang w:val="it-IT"/>
        </w:rPr>
        <w:t>venuto per la citt</w:t>
      </w:r>
      <w:r>
        <w:rPr>
          <w:rFonts w:hAnsi="Book Antiqua" w:hint="default"/>
          <w:rtl w:val="0"/>
          <w:lang w:val="it-IT"/>
        </w:rPr>
        <w:t>à</w:t>
      </w:r>
      <w:r>
        <w:rPr>
          <w:rFonts w:ascii="Book Antiqua"/>
          <w:rtl w:val="0"/>
          <w:lang w:val="it-IT"/>
        </w:rPr>
        <w:t>, anche dal punto di vista dell</w:t>
      </w:r>
      <w:r>
        <w:rPr>
          <w:rFonts w:hAnsi="Book Antiqua" w:hint="default"/>
          <w:rtl w:val="0"/>
          <w:lang w:val="it-IT"/>
        </w:rPr>
        <w:t>’</w:t>
      </w:r>
      <w:r>
        <w:rPr>
          <w:rFonts w:ascii="Book Antiqua"/>
          <w:rtl w:val="0"/>
          <w:lang w:val="it-IT"/>
        </w:rPr>
        <w:t>immagine, non soltanto per quello patito dai cittadini nel vedere le strade sporche con tanti rifiuti abbandonati, ho risposto che AMA non ha questa colpa. O meglio, la parte di responsabilit</w:t>
      </w:r>
      <w:r>
        <w:rPr>
          <w:rFonts w:hAnsi="Book Antiqua" w:hint="default"/>
          <w:rtl w:val="0"/>
          <w:lang w:val="it-IT"/>
        </w:rPr>
        <w:t xml:space="preserve">à </w:t>
      </w:r>
      <w:r>
        <w:rPr>
          <w:rFonts w:ascii="Book Antiqua"/>
          <w:rtl w:val="0"/>
          <w:lang w:val="it-IT"/>
        </w:rPr>
        <w:t>che deve essere ascritta all</w:t>
      </w:r>
      <w:r>
        <w:rPr>
          <w:rFonts w:hAnsi="Book Antiqua" w:hint="default"/>
          <w:rtl w:val="0"/>
          <w:lang w:val="it-IT"/>
        </w:rPr>
        <w:t>’</w:t>
      </w:r>
      <w:r>
        <w:rPr>
          <w:rFonts w:ascii="Book Antiqua"/>
          <w:rtl w:val="0"/>
          <w:lang w:val="it-IT"/>
        </w:rPr>
        <w:t>azienda municipalizzata di Roma non pu</w:t>
      </w:r>
      <w:r>
        <w:rPr>
          <w:rFonts w:hAnsi="Book Antiqua" w:hint="default"/>
          <w:rtl w:val="0"/>
          <w:lang w:val="it-IT"/>
        </w:rPr>
        <w:t xml:space="preserve">ò </w:t>
      </w:r>
      <w:r>
        <w:rPr>
          <w:rFonts w:ascii="Book Antiqua"/>
          <w:rtl w:val="0"/>
          <w:lang w:val="it-IT"/>
        </w:rPr>
        <w:t>nascondere o cancellare le responsabilit</w:t>
      </w:r>
      <w:r>
        <w:rPr>
          <w:rFonts w:hAnsi="Book Antiqua" w:hint="default"/>
          <w:rtl w:val="0"/>
          <w:lang w:val="it-IT"/>
        </w:rPr>
        <w:t xml:space="preserve">à </w:t>
      </w:r>
      <w:r>
        <w:rPr>
          <w:rFonts w:ascii="Book Antiqua"/>
          <w:rtl w:val="0"/>
          <w:lang w:val="it-IT"/>
        </w:rPr>
        <w:t>di chi doveva prendere le decisioni strategiche e realizzare gli impianti. Ho trovato ingeneroso dire che l</w:t>
      </w:r>
      <w:r>
        <w:rPr>
          <w:rFonts w:hAnsi="Book Antiqua" w:hint="default"/>
          <w:rtl w:val="0"/>
          <w:lang w:val="it-IT"/>
        </w:rPr>
        <w:t>’</w:t>
      </w:r>
      <w:r>
        <w:rPr>
          <w:rFonts w:ascii="Book Antiqua"/>
          <w:rtl w:val="0"/>
          <w:lang w:val="it-IT"/>
        </w:rPr>
        <w:t>azienda AMA ha incautamente non realizzato gli impianti, lasciando il campo ai privati e ad ACEA. L</w:t>
      </w:r>
      <w:r>
        <w:rPr>
          <w:rFonts w:hAnsi="Book Antiqua" w:hint="default"/>
          <w:rtl w:val="0"/>
          <w:lang w:val="it-IT"/>
        </w:rPr>
        <w:t>’</w:t>
      </w:r>
      <w:r>
        <w:rPr>
          <w:rFonts w:ascii="Book Antiqua"/>
          <w:rtl w:val="0"/>
          <w:lang w:val="it-IT"/>
        </w:rPr>
        <w:t>azienda AMA ha progettato gli impianti, ha portato la raccolta differenziata al 42 per cento, ha bandito le gare per portare i rifiuti in massima trasparenza e con convenienza economica dove potevano andare. Non trovo dunque corretto dire che incautamente l</w:t>
      </w:r>
      <w:r>
        <w:rPr>
          <w:rFonts w:hAnsi="Book Antiqua" w:hint="default"/>
          <w:rtl w:val="0"/>
          <w:lang w:val="it-IT"/>
        </w:rPr>
        <w:t>’</w:t>
      </w:r>
      <w:r>
        <w:rPr>
          <w:rFonts w:ascii="Book Antiqua"/>
          <w:rtl w:val="0"/>
          <w:lang w:val="it-IT"/>
        </w:rPr>
        <w:t>azienda ha lasciato il campo ai privati e a un altro operatore, ancorch</w:t>
      </w:r>
      <w:r>
        <w:rPr>
          <w:rFonts w:hAnsi="Book Antiqua" w:hint="default"/>
          <w:rtl w:val="0"/>
          <w:lang w:val="it-IT"/>
        </w:rPr>
        <w:t xml:space="preserve">é </w:t>
      </w:r>
      <w:r>
        <w:rPr>
          <w:rFonts w:ascii="Book Antiqua"/>
          <w:rtl w:val="0"/>
          <w:lang w:val="it-IT"/>
        </w:rPr>
        <w:t>pubblico. Peraltro, l</w:t>
      </w:r>
      <w:r>
        <w:rPr>
          <w:rFonts w:hAnsi="Book Antiqua" w:hint="default"/>
          <w:rtl w:val="0"/>
          <w:lang w:val="it-IT"/>
        </w:rPr>
        <w:t>’</w:t>
      </w:r>
      <w:r>
        <w:rPr>
          <w:rFonts w:ascii="Book Antiqua"/>
          <w:rtl w:val="0"/>
          <w:lang w:val="it-IT"/>
        </w:rPr>
        <w:t>operatore privato che si chiama Manlio Cerroni e che ancora oggi rivendica, apertamente e orgogliosamente, la propriet</w:t>
      </w:r>
      <w:r>
        <w:rPr>
          <w:rFonts w:hAnsi="Book Antiqua" w:hint="default"/>
          <w:rtl w:val="0"/>
          <w:lang w:val="it-IT"/>
        </w:rPr>
        <w:t xml:space="preserve">à </w:t>
      </w:r>
      <w:r>
        <w:rPr>
          <w:rFonts w:ascii="Book Antiqua"/>
          <w:rtl w:val="0"/>
          <w:lang w:val="it-IT"/>
        </w:rPr>
        <w:t xml:space="preserve">del gruppo Co.La.Ri., non </w:t>
      </w:r>
      <w:r>
        <w:rPr>
          <w:rFonts w:hAnsi="Book Antiqua" w:hint="default"/>
          <w:rtl w:val="0"/>
          <w:lang w:val="it-IT"/>
        </w:rPr>
        <w:t xml:space="preserve">è </w:t>
      </w:r>
      <w:r>
        <w:rPr>
          <w:rFonts w:ascii="Book Antiqua"/>
          <w:rtl w:val="0"/>
          <w:lang w:val="it-IT"/>
        </w:rPr>
        <w:t xml:space="preserve">diventato </w:t>
      </w:r>
      <w:r>
        <w:rPr>
          <w:rFonts w:hAnsi="Book Antiqua" w:hint="default"/>
          <w:rtl w:val="0"/>
          <w:lang w:val="it-IT"/>
        </w:rPr>
        <w:t>‘</w:t>
      </w:r>
      <w:r>
        <w:rPr>
          <w:rFonts w:ascii="Book Antiqua"/>
          <w:rtl w:val="0"/>
          <w:lang w:val="it-IT"/>
        </w:rPr>
        <w:t>il supremo</w:t>
      </w:r>
      <w:r>
        <w:rPr>
          <w:rFonts w:hAnsi="Book Antiqua" w:hint="default"/>
          <w:rtl w:val="0"/>
          <w:lang w:val="it-IT"/>
        </w:rPr>
        <w:t xml:space="preserve">’ </w:t>
      </w:r>
      <w:r>
        <w:rPr>
          <w:rFonts w:ascii="Book Antiqua"/>
          <w:rtl w:val="0"/>
          <w:lang w:val="it-IT"/>
        </w:rPr>
        <w:t>della gestione di quarant</w:t>
      </w:r>
      <w:r>
        <w:rPr>
          <w:rFonts w:hAnsi="Book Antiqua" w:hint="default"/>
          <w:rtl w:val="0"/>
          <w:lang w:val="it-IT"/>
        </w:rPr>
        <w:t>’</w:t>
      </w:r>
      <w:r>
        <w:rPr>
          <w:rFonts w:ascii="Book Antiqua"/>
          <w:rtl w:val="0"/>
          <w:lang w:val="it-IT"/>
        </w:rPr>
        <w:t>anni di rifiuti grazie ad AMA. Al contrario, questa AMA, di cui sono stato presidente e amministratore delegato in questi due anni e mezzo, ha contrastato con ogni forza e con ogni strumento, messo a disposizione dalla legge ed entro i termini della legge, in ogni minuto, il dominio assoluto che quel gruppo industriale aveva sulla citt</w:t>
      </w:r>
      <w:r>
        <w:rPr>
          <w:rFonts w:hAnsi="Book Antiqua" w:hint="default"/>
          <w:rtl w:val="0"/>
          <w:lang w:val="it-IT"/>
        </w:rPr>
        <w:t xml:space="preserve">à </w:t>
      </w:r>
      <w:r>
        <w:rPr>
          <w:rFonts w:ascii="Book Antiqua"/>
          <w:rtl w:val="0"/>
          <w:lang w:val="it-IT"/>
        </w:rPr>
        <w:t>di Roma. Si va dagli arbitrati [</w:t>
      </w:r>
      <w:r>
        <w:rPr>
          <w:rFonts w:hAnsi="Book Antiqua" w:hint="default"/>
          <w:rtl w:val="0"/>
          <w:lang w:val="it-IT"/>
        </w:rPr>
        <w:t>…</w:t>
      </w:r>
      <w:r>
        <w:rPr>
          <w:rFonts w:ascii="Book Antiqua"/>
          <w:rtl w:val="0"/>
          <w:lang w:val="it-IT"/>
        </w:rPr>
        <w:t xml:space="preserve">] al tritovagliatore di Rocca Cencia, che </w:t>
      </w:r>
      <w:r>
        <w:rPr>
          <w:rFonts w:hAnsi="Book Antiqua" w:hint="default"/>
          <w:rtl w:val="0"/>
          <w:lang w:val="it-IT"/>
        </w:rPr>
        <w:t xml:space="preserve">è </w:t>
      </w:r>
      <w:r>
        <w:rPr>
          <w:rFonts w:ascii="Book Antiqua"/>
          <w:rtl w:val="0"/>
          <w:lang w:val="it-IT"/>
        </w:rPr>
        <w:t>un imbroglio che ho denunciato all</w:t>
      </w:r>
      <w:r>
        <w:rPr>
          <w:rFonts w:hAnsi="Book Antiqua" w:hint="default"/>
          <w:rtl w:val="0"/>
          <w:lang w:val="it-IT"/>
        </w:rPr>
        <w:t>’</w:t>
      </w:r>
      <w:r>
        <w:rPr>
          <w:rFonts w:ascii="Book Antiqua"/>
          <w:rtl w:val="0"/>
          <w:lang w:val="it-IT"/>
        </w:rPr>
        <w:t>autorit</w:t>
      </w:r>
      <w:r>
        <w:rPr>
          <w:rFonts w:hAnsi="Book Antiqua" w:hint="default"/>
          <w:rtl w:val="0"/>
          <w:lang w:val="it-IT"/>
        </w:rPr>
        <w:t xml:space="preserve">à </w:t>
      </w:r>
      <w:r>
        <w:rPr>
          <w:rFonts w:ascii="Book Antiqua"/>
          <w:rtl w:val="0"/>
          <w:lang w:val="it-IT"/>
        </w:rPr>
        <w:t>giudiziaria nell</w:t>
      </w:r>
      <w:r>
        <w:rPr>
          <w:rFonts w:hAnsi="Book Antiqua" w:hint="default"/>
          <w:rtl w:val="0"/>
          <w:lang w:val="it-IT"/>
        </w:rPr>
        <w:t>’</w:t>
      </w:r>
      <w:r>
        <w:rPr>
          <w:rFonts w:ascii="Book Antiqua"/>
          <w:rtl w:val="0"/>
          <w:lang w:val="it-IT"/>
        </w:rPr>
        <w:t>estate del 2015 e che ho cominciato a contrastare dopo quattro mesi che ero arrivato a Roma. Non ci voleva il mago per rendersi conto del fatto che se il mercato sta tirando prezzi da 120-130 euro a tonnellata, non si possono pagare 175 euro a tonnellata! Nel mese di settembre del 2014 ho dunque comunicato a Co.La.Ri. che non avrei dato loro quei soldi e, in modo unilaterale, ho allineato il pagamento delle prestazioni del tritovagliatore di Rocca Cencia a quelle stabilite dalla regione Lazio per i conferimenti ai TMB: 104 euro a tonnellata, altro che 175! Il gruppo Cerroni non l</w:t>
      </w:r>
      <w:r>
        <w:rPr>
          <w:rFonts w:hAnsi="Book Antiqua" w:hint="default"/>
          <w:rtl w:val="0"/>
          <w:lang w:val="it-IT"/>
        </w:rPr>
        <w:t>’</w:t>
      </w:r>
      <w:r>
        <w:rPr>
          <w:rFonts w:ascii="Book Antiqua"/>
          <w:rtl w:val="0"/>
          <w:lang w:val="it-IT"/>
        </w:rPr>
        <w:t>ha presa bene e men che mai ha preso bene il fatto che abbiamo bandito una gara europea per collocare sul mercato, a 138 o 136 euro a tonnellata, quei rifiuti, sui quali quel gruppo ritiene di avere un diritto di propriet</w:t>
      </w:r>
      <w:r>
        <w:rPr>
          <w:rFonts w:hAnsi="Book Antiqua" w:hint="default"/>
          <w:rtl w:val="0"/>
          <w:lang w:val="it-IT"/>
        </w:rPr>
        <w:t xml:space="preserve">à </w:t>
      </w:r>
      <w:r>
        <w:rPr>
          <w:rFonts w:ascii="Book Antiqua"/>
          <w:rtl w:val="0"/>
          <w:lang w:val="it-IT"/>
        </w:rPr>
        <w:t>esclusivo. Alla fine abbiamo chiuso l</w:t>
      </w:r>
      <w:r>
        <w:rPr>
          <w:rFonts w:hAnsi="Book Antiqua" w:hint="default"/>
          <w:rtl w:val="0"/>
          <w:lang w:val="it-IT"/>
        </w:rPr>
        <w:t>’</w:t>
      </w:r>
      <w:r>
        <w:rPr>
          <w:rFonts w:ascii="Book Antiqua"/>
          <w:rtl w:val="0"/>
          <w:lang w:val="it-IT"/>
        </w:rPr>
        <w:t>impianto di Rocca Cencia, ovvero il tritovagliatore di Cerroni, perch</w:t>
      </w:r>
      <w:r>
        <w:rPr>
          <w:rFonts w:hAnsi="Book Antiqua" w:hint="default"/>
          <w:rtl w:val="0"/>
          <w:lang w:val="it-IT"/>
        </w:rPr>
        <w:t xml:space="preserve">é </w:t>
      </w:r>
      <w:r>
        <w:rPr>
          <w:rFonts w:ascii="Book Antiqua"/>
          <w:rtl w:val="0"/>
          <w:lang w:val="it-IT"/>
        </w:rPr>
        <w:t>non portiamo loro pi</w:t>
      </w:r>
      <w:r>
        <w:rPr>
          <w:rFonts w:hAnsi="Book Antiqua" w:hint="default"/>
          <w:rtl w:val="0"/>
          <w:lang w:val="it-IT"/>
        </w:rPr>
        <w:t xml:space="preserve">ù </w:t>
      </w:r>
      <w:r>
        <w:rPr>
          <w:rFonts w:ascii="Book Antiqua"/>
          <w:rtl w:val="0"/>
          <w:lang w:val="it-IT"/>
        </w:rPr>
        <w:t>un grammo di rifiuti. Nel 2014 quell</w:t>
      </w:r>
      <w:r>
        <w:rPr>
          <w:rFonts w:hAnsi="Book Antiqua" w:hint="default"/>
          <w:rtl w:val="0"/>
          <w:lang w:val="it-IT"/>
        </w:rPr>
        <w:t>’</w:t>
      </w:r>
      <w:r>
        <w:rPr>
          <w:rFonts w:ascii="Book Antiqua"/>
          <w:rtl w:val="0"/>
          <w:lang w:val="it-IT"/>
        </w:rPr>
        <w:t>impianto aveva viaggiato a un milione di euro la settimana di ricavi, ovvero 4 milioni di euro al mese, quasi 50 milioni di euro all</w:t>
      </w:r>
      <w:r>
        <w:rPr>
          <w:rFonts w:hAnsi="Book Antiqua" w:hint="default"/>
          <w:rtl w:val="0"/>
          <w:lang w:val="it-IT"/>
        </w:rPr>
        <w:t>’</w:t>
      </w:r>
      <w:r>
        <w:rPr>
          <w:rFonts w:ascii="Book Antiqua"/>
          <w:rtl w:val="0"/>
          <w:lang w:val="it-IT"/>
        </w:rPr>
        <w:t>anno, ma senza contratto, senza gara e senza tariffa regolata d</w:t>
      </w:r>
      <w:r>
        <w:rPr>
          <w:rFonts w:hAnsi="Book Antiqua" w:hint="default"/>
          <w:rtl w:val="0"/>
          <w:lang w:val="it-IT"/>
        </w:rPr>
        <w:t>’</w:t>
      </w:r>
      <w:r>
        <w:rPr>
          <w:rFonts w:ascii="Book Antiqua"/>
          <w:rtl w:val="0"/>
          <w:lang w:val="it-IT"/>
        </w:rPr>
        <w:t>autorit</w:t>
      </w:r>
      <w:r>
        <w:rPr>
          <w:rFonts w:hAnsi="Book Antiqua" w:hint="default"/>
          <w:rtl w:val="0"/>
          <w:lang w:val="it-IT"/>
        </w:rPr>
        <w:t xml:space="preserve">à </w:t>
      </w:r>
      <w:r>
        <w:rPr>
          <w:rFonts w:ascii="Book Antiqua"/>
          <w:rtl w:val="0"/>
          <w:lang w:val="it-IT"/>
        </w:rPr>
        <w:t>indipendente. Nel febbraio 2016, soprattutto per merito dell</w:t>
      </w:r>
      <w:r>
        <w:rPr>
          <w:rFonts w:hAnsi="Book Antiqua" w:hint="default"/>
          <w:rtl w:val="0"/>
          <w:lang w:val="it-IT"/>
        </w:rPr>
        <w:t>’</w:t>
      </w:r>
      <w:r>
        <w:rPr>
          <w:rFonts w:ascii="Book Antiqua"/>
          <w:rtl w:val="0"/>
          <w:lang w:val="it-IT"/>
        </w:rPr>
        <w:t>opera dell</w:t>
      </w:r>
      <w:r>
        <w:rPr>
          <w:rFonts w:hAnsi="Book Antiqua" w:hint="default"/>
          <w:rtl w:val="0"/>
          <w:lang w:val="it-IT"/>
        </w:rPr>
        <w:t>’</w:t>
      </w:r>
      <w:r>
        <w:rPr>
          <w:rFonts w:ascii="Book Antiqua"/>
          <w:rtl w:val="0"/>
          <w:lang w:val="it-IT"/>
        </w:rPr>
        <w:t>ingegner Filippi, siamo riusciti a spegnere i conferimenti a quegli impianti, anche grazie all</w:t>
      </w:r>
      <w:r>
        <w:rPr>
          <w:rFonts w:hAnsi="Book Antiqua" w:hint="default"/>
          <w:rtl w:val="0"/>
          <w:lang w:val="it-IT"/>
        </w:rPr>
        <w:t>’</w:t>
      </w:r>
      <w:r>
        <w:rPr>
          <w:rFonts w:ascii="Book Antiqua"/>
          <w:rtl w:val="0"/>
          <w:lang w:val="it-IT"/>
        </w:rPr>
        <w:t xml:space="preserve">aiuto che ci </w:t>
      </w:r>
      <w:r>
        <w:rPr>
          <w:rFonts w:hAnsi="Book Antiqua" w:hint="default"/>
          <w:rtl w:val="0"/>
          <w:lang w:val="it-IT"/>
        </w:rPr>
        <w:t xml:space="preserve">è </w:t>
      </w:r>
      <w:r>
        <w:rPr>
          <w:rFonts w:ascii="Book Antiqua"/>
          <w:rtl w:val="0"/>
          <w:lang w:val="it-IT"/>
        </w:rPr>
        <w:t>arrivato da Latina, da Frosinone e da Avezzano, nonch</w:t>
      </w:r>
      <w:r>
        <w:rPr>
          <w:rFonts w:hAnsi="Book Antiqua" w:hint="default"/>
          <w:rtl w:val="0"/>
          <w:lang w:val="it-IT"/>
        </w:rPr>
        <w:t xml:space="preserve">é </w:t>
      </w:r>
      <w:r>
        <w:rPr>
          <w:rFonts w:ascii="Book Antiqua"/>
          <w:rtl w:val="0"/>
          <w:lang w:val="it-IT"/>
        </w:rPr>
        <w:t>alle gare che abbiamo cominciato a bandire per allontanare con pi</w:t>
      </w:r>
      <w:r>
        <w:rPr>
          <w:rFonts w:hAnsi="Book Antiqua" w:hint="default"/>
          <w:rtl w:val="0"/>
          <w:lang w:val="it-IT"/>
        </w:rPr>
        <w:t xml:space="preserve">ù </w:t>
      </w:r>
      <w:r>
        <w:rPr>
          <w:rFonts w:ascii="Book Antiqua"/>
          <w:rtl w:val="0"/>
          <w:lang w:val="it-IT"/>
        </w:rPr>
        <w:t>facilit</w:t>
      </w:r>
      <w:r>
        <w:rPr>
          <w:rFonts w:hAnsi="Book Antiqua" w:hint="default"/>
          <w:rtl w:val="0"/>
          <w:lang w:val="it-IT"/>
        </w:rPr>
        <w:t xml:space="preserve">à </w:t>
      </w:r>
      <w:r>
        <w:rPr>
          <w:rFonts w:ascii="Book Antiqua"/>
          <w:rtl w:val="0"/>
          <w:lang w:val="it-IT"/>
        </w:rPr>
        <w:t>i rifiuti trattati. Quindi, ripeto: noi abbiamo potuto spegnere quell</w:t>
      </w:r>
      <w:r>
        <w:rPr>
          <w:rFonts w:hAnsi="Book Antiqua" w:hint="default"/>
          <w:rtl w:val="0"/>
          <w:lang w:val="it-IT"/>
        </w:rPr>
        <w:t>’</w:t>
      </w:r>
      <w:r>
        <w:rPr>
          <w:rFonts w:ascii="Book Antiqua"/>
          <w:rtl w:val="0"/>
          <w:lang w:val="it-IT"/>
        </w:rPr>
        <w:t>impianto. Dal minuto successivo al mancato conferimento, abbiamo provato ad accendere il nostro impianto di tritovagliatura mobile, pure installato a Rocca Cencia. Abbiamo provato a bandire gare, ma non veniva nessuno perch</w:t>
      </w:r>
      <w:r>
        <w:rPr>
          <w:rFonts w:hAnsi="Book Antiqua" w:hint="default"/>
          <w:rtl w:val="0"/>
          <w:lang w:val="it-IT"/>
        </w:rPr>
        <w:t xml:space="preserve">é </w:t>
      </w:r>
      <w:r>
        <w:rPr>
          <w:rFonts w:ascii="Book Antiqua"/>
          <w:rtl w:val="0"/>
          <w:lang w:val="it-IT"/>
        </w:rPr>
        <w:t>gli operatori trovavano molta pi</w:t>
      </w:r>
      <w:r>
        <w:rPr>
          <w:rFonts w:hAnsi="Book Antiqua" w:hint="default"/>
          <w:rtl w:val="0"/>
          <w:lang w:val="it-IT"/>
        </w:rPr>
        <w:t xml:space="preserve">ù </w:t>
      </w:r>
      <w:r>
        <w:rPr>
          <w:rFonts w:ascii="Book Antiqua"/>
          <w:rtl w:val="0"/>
          <w:lang w:val="it-IT"/>
        </w:rPr>
        <w:t xml:space="preserve">convenienza nel partecipare alle gare di Cerroni. I contratti con Cerroni </w:t>
      </w:r>
      <w:r>
        <w:rPr>
          <w:rFonts w:hAnsi="Book Antiqua" w:hint="default"/>
          <w:rtl w:val="0"/>
          <w:lang w:val="it-IT"/>
        </w:rPr>
        <w:t xml:space="preserve">– </w:t>
      </w:r>
      <w:r>
        <w:rPr>
          <w:rFonts w:ascii="Book Antiqua"/>
          <w:rtl w:val="0"/>
          <w:lang w:val="it-IT"/>
        </w:rPr>
        <w:t xml:space="preserve">infatti Cerroni non fa gare, ma strette di mano </w:t>
      </w:r>
      <w:r>
        <w:rPr>
          <w:rFonts w:hAnsi="Book Antiqua" w:hint="default"/>
          <w:rtl w:val="0"/>
          <w:lang w:val="it-IT"/>
        </w:rPr>
        <w:t xml:space="preserve">– </w:t>
      </w:r>
      <w:r>
        <w:rPr>
          <w:rFonts w:ascii="Book Antiqua"/>
          <w:rtl w:val="0"/>
          <w:lang w:val="it-IT"/>
        </w:rPr>
        <w:t>garantivano, probabilmente, a quei signori una possibilit</w:t>
      </w:r>
      <w:r>
        <w:rPr>
          <w:rFonts w:hAnsi="Book Antiqua" w:hint="default"/>
          <w:rtl w:val="0"/>
          <w:lang w:val="it-IT"/>
        </w:rPr>
        <w:t xml:space="preserve">à </w:t>
      </w:r>
      <w:r>
        <w:rPr>
          <w:rFonts w:ascii="Book Antiqua"/>
          <w:i w:val="1"/>
          <w:iCs w:val="1"/>
          <w:rtl w:val="0"/>
          <w:lang w:val="it-IT"/>
        </w:rPr>
        <w:t>business</w:t>
      </w:r>
      <w:r>
        <w:rPr>
          <w:rFonts w:ascii="Book Antiqua"/>
          <w:rtl w:val="0"/>
          <w:lang w:val="it-IT"/>
        </w:rPr>
        <w:t>. Ora, i rifiuti che portavamo al tritovagliatore di Rocca Cencia, di propriet</w:t>
      </w:r>
      <w:r>
        <w:rPr>
          <w:rFonts w:hAnsi="Book Antiqua" w:hint="default"/>
          <w:rtl w:val="0"/>
          <w:lang w:val="it-IT"/>
        </w:rPr>
        <w:t xml:space="preserve">à </w:t>
      </w:r>
      <w:r>
        <w:rPr>
          <w:rFonts w:ascii="Book Antiqua"/>
          <w:rtl w:val="0"/>
          <w:lang w:val="it-IT"/>
        </w:rPr>
        <w:t>di Cerroni, non erano di Cerroni ma di Roma, quindi, della pubblica autorit</w:t>
      </w:r>
      <w:r>
        <w:rPr>
          <w:rFonts w:hAnsi="Book Antiqua" w:hint="default"/>
          <w:rtl w:val="0"/>
          <w:lang w:val="it-IT"/>
        </w:rPr>
        <w:t>à</w:t>
      </w:r>
      <w:r>
        <w:rPr>
          <w:rFonts w:ascii="Book Antiqua"/>
          <w:rtl w:val="0"/>
          <w:lang w:val="it-IT"/>
        </w:rPr>
        <w:t>, che ha in esclusiva il diritto di propriet</w:t>
      </w:r>
      <w:r>
        <w:rPr>
          <w:rFonts w:hAnsi="Book Antiqua" w:hint="default"/>
          <w:rtl w:val="0"/>
          <w:lang w:val="it-IT"/>
        </w:rPr>
        <w:t xml:space="preserve">à </w:t>
      </w:r>
      <w:r>
        <w:rPr>
          <w:rFonts w:ascii="Book Antiqua"/>
          <w:rtl w:val="0"/>
          <w:lang w:val="it-IT"/>
        </w:rPr>
        <w:t>su di essi. Per quale motivo dovevamo portarli, senza contratto e senza gara, a un impianto di propriet</w:t>
      </w:r>
      <w:r>
        <w:rPr>
          <w:rFonts w:hAnsi="Book Antiqua" w:hint="default"/>
          <w:rtl w:val="0"/>
          <w:lang w:val="it-IT"/>
        </w:rPr>
        <w:t xml:space="preserve">à </w:t>
      </w:r>
      <w:r>
        <w:rPr>
          <w:rFonts w:ascii="Book Antiqua"/>
          <w:rtl w:val="0"/>
          <w:lang w:val="it-IT"/>
        </w:rPr>
        <w:t xml:space="preserve">privata e a quei prezzi? Allora, nel febbraio 2016, abbiamo smesso di farlo, grazie al fatto che abbiamo creato delle alternative. Ebbene, da quel minuto in poi il gruppo Co.La.Ri. e lo stesso Manlio Cerroni mi hanno scritto lettere ogni 46 ore </w:t>
      </w:r>
      <w:r>
        <w:rPr>
          <w:rFonts w:hAnsi="Book Antiqua" w:hint="default"/>
          <w:rtl w:val="0"/>
          <w:lang w:val="it-IT"/>
        </w:rPr>
        <w:t xml:space="preserve">– </w:t>
      </w:r>
      <w:r>
        <w:rPr>
          <w:rFonts w:ascii="Book Antiqua"/>
          <w:rtl w:val="0"/>
          <w:lang w:val="it-IT"/>
        </w:rPr>
        <w:t xml:space="preserve">le ho contate </w:t>
      </w:r>
      <w:r>
        <w:rPr>
          <w:rFonts w:hAnsi="Book Antiqua" w:hint="default"/>
          <w:rtl w:val="0"/>
          <w:lang w:val="it-IT"/>
        </w:rPr>
        <w:t xml:space="preserve">– </w:t>
      </w:r>
      <w:r>
        <w:rPr>
          <w:rFonts w:ascii="Book Antiqua"/>
          <w:rtl w:val="0"/>
          <w:lang w:val="it-IT"/>
        </w:rPr>
        <w:t>per dire che la citt</w:t>
      </w:r>
      <w:r>
        <w:rPr>
          <w:rFonts w:hAnsi="Book Antiqua" w:hint="default"/>
          <w:rtl w:val="0"/>
          <w:lang w:val="it-IT"/>
        </w:rPr>
        <w:t xml:space="preserve">à </w:t>
      </w:r>
      <w:r>
        <w:rPr>
          <w:rFonts w:ascii="Book Antiqua"/>
          <w:rtl w:val="0"/>
          <w:lang w:val="it-IT"/>
        </w:rPr>
        <w:t>sarebbe andata in emergenza, sarebbe stata sempre pi</w:t>
      </w:r>
      <w:r>
        <w:rPr>
          <w:rFonts w:hAnsi="Book Antiqua" w:hint="default"/>
          <w:rtl w:val="0"/>
          <w:lang w:val="it-IT"/>
        </w:rPr>
        <w:t xml:space="preserve">ù </w:t>
      </w:r>
      <w:r>
        <w:rPr>
          <w:rFonts w:ascii="Book Antiqua"/>
          <w:rtl w:val="0"/>
          <w:lang w:val="it-IT"/>
        </w:rPr>
        <w:t xml:space="preserve">sporca e che saremmo rimasti sommersi di rifiuti, per cui avremmo dovuto accendere quel tritovagliatore. Tutta la documentazione </w:t>
      </w:r>
      <w:r>
        <w:rPr>
          <w:rFonts w:hAnsi="Book Antiqua" w:hint="default"/>
          <w:rtl w:val="0"/>
          <w:lang w:val="it-IT"/>
        </w:rPr>
        <w:t xml:space="preserve">è </w:t>
      </w:r>
      <w:r>
        <w:rPr>
          <w:rFonts w:ascii="Book Antiqua"/>
          <w:rtl w:val="0"/>
          <w:lang w:val="it-IT"/>
        </w:rPr>
        <w:t xml:space="preserve">stata, ovviamente, fornita alla magistratura man mano che si </w:t>
      </w:r>
      <w:r>
        <w:rPr>
          <w:rFonts w:hAnsi="Book Antiqua" w:hint="default"/>
          <w:rtl w:val="0"/>
          <w:lang w:val="it-IT"/>
        </w:rPr>
        <w:t xml:space="preserve">è </w:t>
      </w:r>
      <w:r>
        <w:rPr>
          <w:rFonts w:ascii="Book Antiqua"/>
          <w:rtl w:val="0"/>
          <w:lang w:val="it-IT"/>
        </w:rPr>
        <w:t>prodotta. Neppure dopo i due incontri riservati che l</w:t>
      </w:r>
      <w:r>
        <w:rPr>
          <w:rFonts w:hAnsi="Book Antiqua" w:hint="default"/>
          <w:rtl w:val="0"/>
          <w:lang w:val="it-IT"/>
        </w:rPr>
        <w:t>’</w:t>
      </w:r>
      <w:r>
        <w:rPr>
          <w:rFonts w:ascii="Book Antiqua"/>
          <w:rtl w:val="0"/>
          <w:lang w:val="it-IT"/>
        </w:rPr>
        <w:t>avvocato Manlio Cerroni ha chiesto a me e all</w:t>
      </w:r>
      <w:r>
        <w:rPr>
          <w:rFonts w:hAnsi="Book Antiqua" w:hint="default"/>
          <w:rtl w:val="0"/>
          <w:lang w:val="it-IT"/>
        </w:rPr>
        <w:t>’</w:t>
      </w:r>
      <w:r>
        <w:rPr>
          <w:rFonts w:ascii="Book Antiqua"/>
          <w:rtl w:val="0"/>
          <w:lang w:val="it-IT"/>
        </w:rPr>
        <w:t>ingegner Filippi, nei quali ci ha appellati per il nostro merito (</w:t>
      </w:r>
      <w:r>
        <w:rPr>
          <w:rFonts w:hAnsi="Book Antiqua" w:hint="default"/>
          <w:rtl w:val="0"/>
          <w:lang w:val="it-IT"/>
        </w:rPr>
        <w:t>«</w:t>
      </w:r>
      <w:r>
        <w:rPr>
          <w:rFonts w:ascii="Book Antiqua"/>
          <w:rtl w:val="0"/>
          <w:lang w:val="it-IT"/>
        </w:rPr>
        <w:t>incapaci</w:t>
      </w:r>
      <w:r>
        <w:rPr>
          <w:rFonts w:hAnsi="Book Antiqua" w:hint="default"/>
          <w:rtl w:val="0"/>
          <w:lang w:val="it-IT"/>
        </w:rPr>
        <w:t>»</w:t>
      </w:r>
      <w:r>
        <w:rPr>
          <w:rFonts w:ascii="Book Antiqua"/>
          <w:rtl w:val="0"/>
          <w:lang w:val="it-IT"/>
        </w:rPr>
        <w:t xml:space="preserve">, </w:t>
      </w:r>
      <w:r>
        <w:rPr>
          <w:rFonts w:hAnsi="Book Antiqua" w:hint="default"/>
          <w:rtl w:val="0"/>
          <w:lang w:val="it-IT"/>
        </w:rPr>
        <w:t>«</w:t>
      </w:r>
      <w:r>
        <w:rPr>
          <w:rFonts w:ascii="Book Antiqua"/>
          <w:rtl w:val="0"/>
          <w:lang w:val="it-IT"/>
        </w:rPr>
        <w:t>falliti</w:t>
      </w:r>
      <w:r>
        <w:rPr>
          <w:rFonts w:hAnsi="Book Antiqua" w:hint="default"/>
          <w:rtl w:val="0"/>
          <w:lang w:val="it-IT"/>
        </w:rPr>
        <w:t>»</w:t>
      </w:r>
      <w:r>
        <w:rPr>
          <w:rFonts w:ascii="Book Antiqua"/>
          <w:rtl w:val="0"/>
          <w:lang w:val="it-IT"/>
        </w:rPr>
        <w:t xml:space="preserve">, </w:t>
      </w:r>
      <w:r>
        <w:rPr>
          <w:rFonts w:hAnsi="Book Antiqua" w:hint="default"/>
          <w:rtl w:val="0"/>
          <w:lang w:val="it-IT"/>
        </w:rPr>
        <w:t>«</w:t>
      </w:r>
      <w:r>
        <w:rPr>
          <w:rFonts w:ascii="Book Antiqua"/>
          <w:rtl w:val="0"/>
          <w:lang w:val="it-IT"/>
        </w:rPr>
        <w:t>toglietevi di mezzo</w:t>
      </w:r>
      <w:r>
        <w:rPr>
          <w:rFonts w:hAnsi="Book Antiqua" w:hint="default"/>
          <w:rtl w:val="0"/>
          <w:lang w:val="it-IT"/>
        </w:rPr>
        <w:t>»</w:t>
      </w:r>
      <w:r>
        <w:rPr>
          <w:rFonts w:ascii="Book Antiqua"/>
          <w:rtl w:val="0"/>
          <w:lang w:val="it-IT"/>
        </w:rPr>
        <w:t xml:space="preserve">, </w:t>
      </w:r>
      <w:r>
        <w:rPr>
          <w:rFonts w:hAnsi="Book Antiqua" w:hint="default"/>
          <w:rtl w:val="0"/>
          <w:lang w:val="it-IT"/>
        </w:rPr>
        <w:t>«</w:t>
      </w:r>
      <w:r>
        <w:rPr>
          <w:rFonts w:ascii="Book Antiqua"/>
          <w:rtl w:val="0"/>
          <w:lang w:val="it-IT"/>
        </w:rPr>
        <w:t>i rifiuti sono miei</w:t>
      </w:r>
      <w:r>
        <w:rPr>
          <w:rFonts w:hAnsi="Book Antiqua" w:hint="default"/>
          <w:rtl w:val="0"/>
          <w:lang w:val="it-IT"/>
        </w:rPr>
        <w:t>»</w:t>
      </w:r>
      <w:r>
        <w:rPr>
          <w:rFonts w:ascii="Book Antiqua"/>
          <w:rtl w:val="0"/>
          <w:lang w:val="it-IT"/>
        </w:rPr>
        <w:t>) e ci ha invitato a considerare l</w:t>
      </w:r>
      <w:r>
        <w:rPr>
          <w:rFonts w:hAnsi="Book Antiqua" w:hint="default"/>
          <w:rtl w:val="0"/>
          <w:lang w:val="it-IT"/>
        </w:rPr>
        <w:t>’</w:t>
      </w:r>
      <w:r>
        <w:rPr>
          <w:rFonts w:ascii="Book Antiqua"/>
          <w:rtl w:val="0"/>
          <w:lang w:val="it-IT"/>
        </w:rPr>
        <w:t>opportunit</w:t>
      </w:r>
      <w:r>
        <w:rPr>
          <w:rFonts w:hAnsi="Book Antiqua" w:hint="default"/>
          <w:rtl w:val="0"/>
          <w:lang w:val="it-IT"/>
        </w:rPr>
        <w:t xml:space="preserve">à </w:t>
      </w:r>
      <w:r>
        <w:rPr>
          <w:rFonts w:ascii="Book Antiqua"/>
          <w:rtl w:val="0"/>
          <w:lang w:val="it-IT"/>
        </w:rPr>
        <w:t>del passo indietro, gli abbiamo dato i rifiuti: non glieli abbiamo dati neppure quando ha detto che ci avrebbe fatto uno sconto di 30 euro a tonnellata. Su quale base ce lo avrebbe fatto? Sulla base di un contratto firmato ed espunto con una gara da bando pubblicato? No, ci avrebbe fatto 30 euro di sconto con una stretta di mano. A quel punto, abbiamo chiesto di farcelo di almeno 35 euro, per allineare il prezzo a quello che abbiamo tirato fuori dalla gara, ovvero 138 euro, ma lui ci ha detto che non se ne parlava proprio perch</w:t>
      </w:r>
      <w:r>
        <w:rPr>
          <w:rFonts w:hAnsi="Book Antiqua" w:hint="default"/>
          <w:rtl w:val="0"/>
          <w:lang w:val="it-IT"/>
        </w:rPr>
        <w:t>é</w:t>
      </w:r>
      <w:r>
        <w:rPr>
          <w:rFonts w:ascii="Book Antiqua"/>
          <w:rtl w:val="0"/>
          <w:lang w:val="it-IT"/>
        </w:rPr>
        <w:t xml:space="preserve">, appunto, la stretta di mano presuppone che si sia entrambi soddisfatti e questo, invece, non era il caso. Abbiamo avuto </w:t>
      </w:r>
      <w:r>
        <w:rPr>
          <w:rFonts w:hAnsi="Book Antiqua" w:hint="default"/>
          <w:rtl w:val="0"/>
          <w:lang w:val="it-IT"/>
        </w:rPr>
        <w:t xml:space="preserve">– </w:t>
      </w:r>
      <w:r>
        <w:rPr>
          <w:rFonts w:ascii="Book Antiqua"/>
          <w:rtl w:val="0"/>
          <w:lang w:val="it-IT"/>
        </w:rPr>
        <w:t xml:space="preserve">ripeto </w:t>
      </w:r>
      <w:r>
        <w:rPr>
          <w:rFonts w:hAnsi="Book Antiqua" w:hint="default"/>
          <w:rtl w:val="0"/>
          <w:lang w:val="it-IT"/>
        </w:rPr>
        <w:t xml:space="preserve">– </w:t>
      </w:r>
      <w:r>
        <w:rPr>
          <w:rFonts w:ascii="Book Antiqua"/>
          <w:rtl w:val="0"/>
          <w:lang w:val="it-IT"/>
        </w:rPr>
        <w:t>due incontri riservati con l</w:t>
      </w:r>
      <w:r>
        <w:rPr>
          <w:rFonts w:hAnsi="Book Antiqua" w:hint="default"/>
          <w:rtl w:val="0"/>
          <w:lang w:val="it-IT"/>
        </w:rPr>
        <w:t>’</w:t>
      </w:r>
      <w:r>
        <w:rPr>
          <w:rFonts w:ascii="Book Antiqua"/>
          <w:rtl w:val="0"/>
          <w:lang w:val="it-IT"/>
        </w:rPr>
        <w:t>avvocato Cerroni e con il  presidente di Co.La.Ri. Saioni, presso la sede di FISE Assoambiente, che si sono risolti nel modo in cui ho detto e in cui abbiamo riferito all</w:t>
      </w:r>
      <w:r>
        <w:rPr>
          <w:rFonts w:hAnsi="Book Antiqua" w:hint="default"/>
          <w:rtl w:val="0"/>
          <w:lang w:val="it-IT"/>
        </w:rPr>
        <w:t>’</w:t>
      </w:r>
      <w:r>
        <w:rPr>
          <w:rFonts w:ascii="Book Antiqua"/>
          <w:rtl w:val="0"/>
          <w:lang w:val="it-IT"/>
        </w:rPr>
        <w:t>autorit</w:t>
      </w:r>
      <w:r>
        <w:rPr>
          <w:rFonts w:hAnsi="Book Antiqua" w:hint="default"/>
          <w:rtl w:val="0"/>
          <w:lang w:val="it-IT"/>
        </w:rPr>
        <w:t xml:space="preserve">à </w:t>
      </w:r>
      <w:r>
        <w:rPr>
          <w:rFonts w:ascii="Book Antiqua"/>
          <w:rtl w:val="0"/>
          <w:lang w:val="it-IT"/>
        </w:rPr>
        <w:t>giudiziaria. Ad ogni modo, quell</w:t>
      </w:r>
      <w:r>
        <w:rPr>
          <w:rFonts w:hAnsi="Book Antiqua" w:hint="default"/>
          <w:rtl w:val="0"/>
          <w:lang w:val="it-IT"/>
        </w:rPr>
        <w:t>’</w:t>
      </w:r>
      <w:r>
        <w:rPr>
          <w:rFonts w:ascii="Book Antiqua"/>
          <w:rtl w:val="0"/>
          <w:lang w:val="it-IT"/>
        </w:rPr>
        <w:t>impianto non doveva stare l</w:t>
      </w:r>
      <w:r>
        <w:rPr>
          <w:rFonts w:hAnsi="Book Antiqua" w:hint="default"/>
          <w:rtl w:val="0"/>
          <w:lang w:val="it-IT"/>
        </w:rPr>
        <w:t>ì</w:t>
      </w:r>
      <w:r>
        <w:rPr>
          <w:rFonts w:ascii="Book Antiqua"/>
          <w:rtl w:val="0"/>
          <w:lang w:val="it-IT"/>
        </w:rPr>
        <w:t>. Infatti, l</w:t>
      </w:r>
      <w:r>
        <w:rPr>
          <w:rFonts w:hAnsi="Book Antiqua" w:hint="default"/>
          <w:rtl w:val="0"/>
          <w:lang w:val="it-IT"/>
        </w:rPr>
        <w:t>’</w:t>
      </w:r>
      <w:r>
        <w:rPr>
          <w:rFonts w:ascii="Book Antiqua"/>
          <w:rtl w:val="0"/>
          <w:lang w:val="it-IT"/>
        </w:rPr>
        <w:t>ordinanza della presidente Polverini del dicembre 2010, rinnovata nel giugno 2011, imponeva al gruppo Co.La.Ri. di attivare linee di tritovagliatura nella discarica di Malagrotta in modo che quando fosse venuta l</w:t>
      </w:r>
      <w:r>
        <w:rPr>
          <w:rFonts w:hAnsi="Book Antiqua" w:hint="default"/>
          <w:rtl w:val="0"/>
          <w:lang w:val="it-IT"/>
        </w:rPr>
        <w:t>’</w:t>
      </w:r>
      <w:r>
        <w:rPr>
          <w:rFonts w:ascii="Book Antiqua"/>
          <w:rtl w:val="0"/>
          <w:lang w:val="it-IT"/>
        </w:rPr>
        <w:t>Unione europea a per verificare se stavamo facendo i bravi, avrebbe trovato l</w:t>
      </w:r>
      <w:r>
        <w:rPr>
          <w:rFonts w:hAnsi="Book Antiqua" w:hint="default"/>
          <w:rtl w:val="0"/>
          <w:lang w:val="it-IT"/>
        </w:rPr>
        <w:t xml:space="preserve">ì </w:t>
      </w:r>
      <w:r>
        <w:rPr>
          <w:rFonts w:ascii="Book Antiqua"/>
          <w:rtl w:val="0"/>
          <w:lang w:val="it-IT"/>
        </w:rPr>
        <w:t>delle linee di trattamento, ancorch</w:t>
      </w:r>
      <w:r>
        <w:rPr>
          <w:rFonts w:hAnsi="Book Antiqua" w:hint="default"/>
          <w:rtl w:val="0"/>
          <w:lang w:val="it-IT"/>
        </w:rPr>
        <w:t xml:space="preserve">é </w:t>
      </w:r>
      <w:r>
        <w:rPr>
          <w:rFonts w:ascii="Book Antiqua"/>
          <w:rtl w:val="0"/>
          <w:lang w:val="it-IT"/>
        </w:rPr>
        <w:t>brutali e primitive come pu</w:t>
      </w:r>
      <w:r>
        <w:rPr>
          <w:rFonts w:hAnsi="Book Antiqua" w:hint="default"/>
          <w:rtl w:val="0"/>
          <w:lang w:val="it-IT"/>
        </w:rPr>
        <w:t xml:space="preserve">ò </w:t>
      </w:r>
      <w:r>
        <w:rPr>
          <w:rFonts w:ascii="Book Antiqua"/>
          <w:rtl w:val="0"/>
          <w:lang w:val="it-IT"/>
        </w:rPr>
        <w:t>essere un impianto di tritovagliatura. Invece, con una serie di artifici e di raggiri, l</w:t>
      </w:r>
      <w:r>
        <w:rPr>
          <w:rFonts w:hAnsi="Book Antiqua" w:hint="default"/>
          <w:rtl w:val="0"/>
          <w:lang w:val="it-IT"/>
        </w:rPr>
        <w:t>’</w:t>
      </w:r>
      <w:r>
        <w:rPr>
          <w:rFonts w:ascii="Book Antiqua"/>
          <w:rtl w:val="0"/>
          <w:lang w:val="it-IT"/>
        </w:rPr>
        <w:t>impianto fu costruito a Rocca Cencia, a 30 chilometri di distanza, perch</w:t>
      </w:r>
      <w:r>
        <w:rPr>
          <w:rFonts w:hAnsi="Book Antiqua" w:hint="default"/>
          <w:rtl w:val="0"/>
          <w:lang w:val="it-IT"/>
        </w:rPr>
        <w:t xml:space="preserve">é </w:t>
      </w:r>
      <w:r>
        <w:rPr>
          <w:rFonts w:ascii="Book Antiqua"/>
          <w:rtl w:val="0"/>
          <w:lang w:val="it-IT"/>
        </w:rPr>
        <w:t>se fosse stato costruito dentro il perimetro di Malagrotta, AMA avrebbe pagato 104 euro a tonnellata, cio</w:t>
      </w:r>
      <w:r>
        <w:rPr>
          <w:rFonts w:hAnsi="Book Antiqua" w:hint="default"/>
          <w:rtl w:val="0"/>
          <w:lang w:val="it-IT"/>
        </w:rPr>
        <w:t xml:space="preserve">è </w:t>
      </w:r>
      <w:r>
        <w:rPr>
          <w:rFonts w:ascii="Book Antiqua"/>
          <w:rtl w:val="0"/>
          <w:lang w:val="it-IT"/>
        </w:rPr>
        <w:t xml:space="preserve">la tariffa amministrata dalla regione Lazio. Viceversa, se migra da quel perimetro, sfugge alla regolazione pubblica e diventa un impianto a mercato, quindi il prezzo lo regola, appunto, il mercato. Ora, il problema </w:t>
      </w:r>
      <w:r>
        <w:rPr>
          <w:rFonts w:hAnsi="Book Antiqua" w:hint="default"/>
          <w:rtl w:val="0"/>
          <w:lang w:val="it-IT"/>
        </w:rPr>
        <w:t xml:space="preserve">è </w:t>
      </w:r>
      <w:r>
        <w:rPr>
          <w:rFonts w:ascii="Book Antiqua"/>
          <w:rtl w:val="0"/>
          <w:lang w:val="it-IT"/>
        </w:rPr>
        <w:t xml:space="preserve">che il mercato </w:t>
      </w:r>
      <w:r>
        <w:rPr>
          <w:rFonts w:hAnsi="Book Antiqua" w:hint="default"/>
          <w:rtl w:val="0"/>
          <w:lang w:val="it-IT"/>
        </w:rPr>
        <w:t xml:space="preserve">è </w:t>
      </w:r>
      <w:r>
        <w:rPr>
          <w:rFonts w:ascii="Book Antiqua"/>
          <w:rtl w:val="0"/>
          <w:lang w:val="it-IT"/>
        </w:rPr>
        <w:t xml:space="preserve">fatto da un signore che dice: </w:t>
      </w:r>
      <w:r>
        <w:rPr>
          <w:rFonts w:hAnsi="Book Antiqua" w:hint="default"/>
          <w:rtl w:val="0"/>
          <w:lang w:val="it-IT"/>
        </w:rPr>
        <w:t>«</w:t>
      </w:r>
      <w:r>
        <w:rPr>
          <w:rFonts w:ascii="Book Antiqua"/>
          <w:rtl w:val="0"/>
          <w:lang w:val="it-IT"/>
        </w:rPr>
        <w:t>voglio 175 euro a tonnellata</w:t>
      </w:r>
      <w:r>
        <w:rPr>
          <w:rFonts w:hAnsi="Book Antiqua" w:hint="default"/>
          <w:rtl w:val="0"/>
          <w:lang w:val="it-IT"/>
        </w:rPr>
        <w:t xml:space="preserve">» </w:t>
      </w:r>
      <w:r>
        <w:rPr>
          <w:rFonts w:ascii="Book Antiqua"/>
          <w:rtl w:val="0"/>
          <w:lang w:val="it-IT"/>
        </w:rPr>
        <w:t>e da un altro signore, la pubblica amministrazione, che senza contratto, senza gara e senza bandi, gli stringe la mano e glieli d</w:t>
      </w:r>
      <w:r>
        <w:rPr>
          <w:rFonts w:hAnsi="Book Antiqua" w:hint="default"/>
          <w:rtl w:val="0"/>
          <w:lang w:val="it-IT"/>
        </w:rPr>
        <w:t>à</w:t>
      </w:r>
      <w:r>
        <w:rPr>
          <w:rFonts w:ascii="Book Antiqua"/>
          <w:rtl w:val="0"/>
          <w:lang w:val="it-IT"/>
        </w:rPr>
        <w:t xml:space="preserve">. Ovviamente, questo </w:t>
      </w:r>
      <w:r>
        <w:rPr>
          <w:rFonts w:hAnsi="Book Antiqua" w:hint="default"/>
          <w:rtl w:val="0"/>
          <w:lang w:val="it-IT"/>
        </w:rPr>
        <w:t xml:space="preserve">è </w:t>
      </w:r>
      <w:r>
        <w:rPr>
          <w:rFonts w:ascii="Book Antiqua"/>
          <w:rtl w:val="0"/>
          <w:lang w:val="it-IT"/>
        </w:rPr>
        <w:t>tutto in procura. Quell</w:t>
      </w:r>
      <w:r>
        <w:rPr>
          <w:rFonts w:hAnsi="Book Antiqua" w:hint="default"/>
          <w:rtl w:val="0"/>
          <w:lang w:val="it-IT"/>
        </w:rPr>
        <w:t>’</w:t>
      </w:r>
      <w:r>
        <w:rPr>
          <w:rFonts w:ascii="Book Antiqua"/>
          <w:rtl w:val="0"/>
          <w:lang w:val="it-IT"/>
        </w:rPr>
        <w:t>impianto pu</w:t>
      </w:r>
      <w:r>
        <w:rPr>
          <w:rFonts w:hAnsi="Book Antiqua" w:hint="default"/>
          <w:rtl w:val="0"/>
          <w:lang w:val="it-IT"/>
        </w:rPr>
        <w:t xml:space="preserve">ò </w:t>
      </w:r>
      <w:r>
        <w:rPr>
          <w:rFonts w:ascii="Book Antiqua"/>
          <w:rtl w:val="0"/>
          <w:lang w:val="it-IT"/>
        </w:rPr>
        <w:t>essere utilizzato soltanto se, ai sensi dell</w:t>
      </w:r>
      <w:r>
        <w:rPr>
          <w:rFonts w:hAnsi="Book Antiqua" w:hint="default"/>
          <w:rtl w:val="0"/>
          <w:lang w:val="it-IT"/>
        </w:rPr>
        <w:t>’</w:t>
      </w:r>
      <w:r>
        <w:rPr>
          <w:rFonts w:ascii="Book Antiqua"/>
          <w:rtl w:val="0"/>
          <w:lang w:val="it-IT"/>
        </w:rPr>
        <w:t>articolo 4 della legge n. 116 del 2014, viene requisito per pubblico e generale interesse, ovvero messo a disposizione dell</w:t>
      </w:r>
      <w:r>
        <w:rPr>
          <w:rFonts w:hAnsi="Book Antiqua" w:hint="default"/>
          <w:rtl w:val="0"/>
          <w:lang w:val="it-IT"/>
        </w:rPr>
        <w:t>’</w:t>
      </w:r>
      <w:r>
        <w:rPr>
          <w:rFonts w:ascii="Book Antiqua"/>
          <w:rtl w:val="0"/>
          <w:lang w:val="it-IT"/>
        </w:rPr>
        <w:t>azienda pubblica AMA e gestito secondo convenienza della citt</w:t>
      </w:r>
      <w:r>
        <w:rPr>
          <w:rFonts w:hAnsi="Book Antiqua" w:hint="default"/>
          <w:rtl w:val="0"/>
          <w:lang w:val="it-IT"/>
        </w:rPr>
        <w:t xml:space="preserve">à </w:t>
      </w:r>
      <w:r>
        <w:rPr>
          <w:rFonts w:ascii="Book Antiqua"/>
          <w:rtl w:val="0"/>
          <w:lang w:val="it-IT"/>
        </w:rPr>
        <w:t>di Roma. In tal caso faremmo un danno al gruppo Co.La.Ri.? Ecco, direi di no, perch</w:t>
      </w:r>
      <w:r>
        <w:rPr>
          <w:rFonts w:hAnsi="Book Antiqua" w:hint="default"/>
          <w:rtl w:val="0"/>
          <w:lang w:val="it-IT"/>
        </w:rPr>
        <w:t xml:space="preserve">é </w:t>
      </w:r>
      <w:r>
        <w:rPr>
          <w:rFonts w:ascii="Book Antiqua"/>
          <w:rtl w:val="0"/>
          <w:lang w:val="it-IT"/>
        </w:rPr>
        <w:t>quell</w:t>
      </w:r>
      <w:r>
        <w:rPr>
          <w:rFonts w:hAnsi="Book Antiqua" w:hint="default"/>
          <w:rtl w:val="0"/>
          <w:lang w:val="it-IT"/>
        </w:rPr>
        <w:t>’</w:t>
      </w:r>
      <w:r>
        <w:rPr>
          <w:rFonts w:ascii="Book Antiqua"/>
          <w:rtl w:val="0"/>
          <w:lang w:val="it-IT"/>
        </w:rPr>
        <w:t xml:space="preserve">impianto si </w:t>
      </w:r>
      <w:r>
        <w:rPr>
          <w:rFonts w:hAnsi="Book Antiqua" w:hint="default"/>
          <w:rtl w:val="0"/>
          <w:lang w:val="it-IT"/>
        </w:rPr>
        <w:t xml:space="preserve">è </w:t>
      </w:r>
      <w:r>
        <w:rPr>
          <w:rFonts w:ascii="Book Antiqua"/>
          <w:rtl w:val="0"/>
          <w:lang w:val="it-IT"/>
        </w:rPr>
        <w:t>ripagato in cinque mesi di funzionamento a quei prezzi. Non ci sarebbe, dunque, neanche danno economico. Questo, per</w:t>
      </w:r>
      <w:r>
        <w:rPr>
          <w:rFonts w:hAnsi="Book Antiqua" w:hint="default"/>
          <w:rtl w:val="0"/>
          <w:lang w:val="it-IT"/>
        </w:rPr>
        <w:t>ò</w:t>
      </w:r>
      <w:r>
        <w:rPr>
          <w:rFonts w:ascii="Book Antiqua"/>
          <w:rtl w:val="0"/>
          <w:lang w:val="it-IT"/>
        </w:rPr>
        <w:t>, varrebbe se quell</w:t>
      </w:r>
      <w:r>
        <w:rPr>
          <w:rFonts w:hAnsi="Book Antiqua" w:hint="default"/>
          <w:rtl w:val="0"/>
          <w:lang w:val="it-IT"/>
        </w:rPr>
        <w:t>’</w:t>
      </w:r>
      <w:r>
        <w:rPr>
          <w:rFonts w:ascii="Book Antiqua"/>
          <w:rtl w:val="0"/>
          <w:lang w:val="it-IT"/>
        </w:rPr>
        <w:t>impianto servisse, ma in realt</w:t>
      </w:r>
      <w:r>
        <w:rPr>
          <w:rFonts w:hAnsi="Book Antiqua" w:hint="default"/>
          <w:rtl w:val="0"/>
          <w:lang w:val="it-IT"/>
        </w:rPr>
        <w:t xml:space="preserve">à </w:t>
      </w:r>
      <w:r>
        <w:rPr>
          <w:rFonts w:ascii="Book Antiqua"/>
          <w:rtl w:val="0"/>
          <w:lang w:val="it-IT"/>
        </w:rPr>
        <w:t xml:space="preserve">non serve. </w:t>
      </w:r>
      <w:r>
        <w:rPr>
          <w:rFonts w:hAnsi="Book Antiqua" w:hint="default"/>
          <w:rtl w:val="0"/>
          <w:lang w:val="it-IT"/>
        </w:rPr>
        <w:t xml:space="preserve">È </w:t>
      </w:r>
      <w:r>
        <w:rPr>
          <w:rFonts w:ascii="Book Antiqua"/>
          <w:rtl w:val="0"/>
          <w:lang w:val="it-IT"/>
        </w:rPr>
        <w:t>un impianto brutale e primitivo, con il quale si separa una frazione immediatamente combustibile da un</w:t>
      </w:r>
      <w:r>
        <w:rPr>
          <w:rFonts w:hAnsi="Book Antiqua" w:hint="default"/>
          <w:rtl w:val="0"/>
          <w:lang w:val="it-IT"/>
        </w:rPr>
        <w:t>’</w:t>
      </w:r>
      <w:r>
        <w:rPr>
          <w:rFonts w:ascii="Book Antiqua"/>
          <w:rtl w:val="0"/>
          <w:lang w:val="it-IT"/>
        </w:rPr>
        <w:t>altra che poi dovr</w:t>
      </w:r>
      <w:r>
        <w:rPr>
          <w:rFonts w:hAnsi="Book Antiqua" w:hint="default"/>
          <w:rtl w:val="0"/>
          <w:lang w:val="it-IT"/>
        </w:rPr>
        <w:t xml:space="preserve">à </w:t>
      </w:r>
      <w:r>
        <w:rPr>
          <w:rFonts w:ascii="Book Antiqua"/>
          <w:rtl w:val="0"/>
          <w:lang w:val="it-IT"/>
        </w:rPr>
        <w:t>andare al trattamento di stabilizzazione, perch</w:t>
      </w:r>
      <w:r>
        <w:rPr>
          <w:rFonts w:hAnsi="Book Antiqua" w:hint="default"/>
          <w:rtl w:val="0"/>
          <w:lang w:val="it-IT"/>
        </w:rPr>
        <w:t xml:space="preserve">é è </w:t>
      </w:r>
      <w:r>
        <w:rPr>
          <w:rFonts w:ascii="Book Antiqua"/>
          <w:rtl w:val="0"/>
          <w:lang w:val="it-IT"/>
        </w:rPr>
        <w:t>il sottovaglio pesante e umido della lavorazione. A cosa serve, dunque?</w:t>
      </w:r>
      <w:r>
        <w:rPr>
          <w:rFonts w:hAnsi="Book Antiqua" w:hint="default"/>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Nella ricostruzione dell</w:t>
      </w:r>
      <w:r>
        <w:rPr>
          <w:rFonts w:hAnsi="Book Antiqua" w:hint="default"/>
          <w:rtl w:val="0"/>
          <w:lang w:val="it-IT"/>
        </w:rPr>
        <w:t>’</w:t>
      </w:r>
      <w:r>
        <w:rPr>
          <w:rFonts w:ascii="Book Antiqua"/>
          <w:rtl w:val="0"/>
          <w:lang w:val="it-IT"/>
        </w:rPr>
        <w:t>audito si sottolinea dunque come l</w:t>
      </w:r>
      <w:r>
        <w:rPr>
          <w:rFonts w:hAnsi="Book Antiqua" w:hint="default"/>
          <w:rtl w:val="0"/>
          <w:lang w:val="it-IT"/>
        </w:rPr>
        <w:t>’</w:t>
      </w:r>
      <w:r>
        <w:rPr>
          <w:rFonts w:ascii="Book Antiqua"/>
          <w:rtl w:val="0"/>
          <w:lang w:val="it-IT"/>
        </w:rPr>
        <w:t>impianto fosse stato costruito in fase emergenziale, in qualche modo perci</w:t>
      </w:r>
      <w:r>
        <w:rPr>
          <w:rFonts w:hAnsi="Book Antiqua" w:hint="default"/>
          <w:rtl w:val="0"/>
          <w:lang w:val="it-IT"/>
        </w:rPr>
        <w:t xml:space="preserve">ò </w:t>
      </w:r>
      <w:r>
        <w:rPr>
          <w:rFonts w:ascii="Book Antiqua"/>
          <w:rtl w:val="0"/>
          <w:lang w:val="it-IT"/>
        </w:rPr>
        <w:t>forzando la mano: e ne deduce una valutazione di occasionalit</w:t>
      </w:r>
      <w:r>
        <w:rPr>
          <w:rFonts w:hAnsi="Book Antiqua" w:hint="default"/>
          <w:rtl w:val="0"/>
          <w:lang w:val="it-IT"/>
        </w:rPr>
        <w:t xml:space="preserve">à </w:t>
      </w:r>
      <w:r>
        <w:rPr>
          <w:rFonts w:ascii="Book Antiqua"/>
          <w:rtl w:val="0"/>
          <w:lang w:val="it-IT"/>
        </w:rPr>
        <w:t>di quell</w:t>
      </w:r>
      <w:r>
        <w:rPr>
          <w:rFonts w:hAnsi="Book Antiqua" w:hint="default"/>
          <w:rtl w:val="0"/>
          <w:lang w:val="it-IT"/>
        </w:rPr>
        <w:t>’</w:t>
      </w:r>
      <w:r>
        <w:rPr>
          <w:rFonts w:ascii="Book Antiqua"/>
          <w:rtl w:val="0"/>
          <w:lang w:val="it-IT"/>
        </w:rPr>
        <w:t>intervento e di non necessit</w:t>
      </w:r>
      <w:r>
        <w:rPr>
          <w:rFonts w:hAnsi="Book Antiqua" w:hint="default"/>
          <w:rtl w:val="0"/>
          <w:lang w:val="it-IT"/>
        </w:rPr>
        <w:t xml:space="preserve">à </w:t>
      </w:r>
      <w:r>
        <w:rPr>
          <w:rFonts w:ascii="Book Antiqua"/>
          <w:rtl w:val="0"/>
          <w:lang w:val="it-IT"/>
        </w:rPr>
        <w:t>allo stato attuale</w:t>
      </w:r>
    </w:p>
    <w:p>
      <w:pPr>
        <w:pStyle w:val="Normal"/>
        <w:ind w:left="567" w:right="567" w:firstLine="0"/>
        <w:jc w:val="both"/>
        <w:rPr>
          <w:rFonts w:ascii="Book Antiqua" w:cs="Book Antiqua" w:hAnsi="Book Antiqua" w:eastAsia="Book Antiqua"/>
        </w:rPr>
      </w:pPr>
      <w:r>
        <w:rPr>
          <w:rFonts w:hAnsi="Book Antiqua" w:hint="default"/>
          <w:rtl w:val="0"/>
          <w:lang w:val="it-IT"/>
        </w:rPr>
        <w:t>“</w:t>
      </w:r>
      <w:r>
        <w:rPr>
          <w:rFonts w:ascii="Book Antiqua"/>
          <w:rtl w:val="0"/>
          <w:lang w:val="it-IT"/>
        </w:rPr>
        <w:t xml:space="preserve">Fu costruito </w:t>
      </w:r>
      <w:r>
        <w:rPr>
          <w:rFonts w:hAnsi="Book Antiqua" w:hint="default"/>
          <w:rtl w:val="0"/>
          <w:lang w:val="it-IT"/>
        </w:rPr>
        <w:t xml:space="preserve">– </w:t>
      </w:r>
      <w:r>
        <w:rPr>
          <w:rFonts w:ascii="Book Antiqua"/>
          <w:rtl w:val="0"/>
          <w:lang w:val="it-IT"/>
        </w:rPr>
        <w:t xml:space="preserve">ripeto </w:t>
      </w:r>
      <w:r>
        <w:rPr>
          <w:rFonts w:hAnsi="Book Antiqua" w:hint="default"/>
          <w:rtl w:val="0"/>
          <w:lang w:val="it-IT"/>
        </w:rPr>
        <w:t xml:space="preserve">– </w:t>
      </w:r>
      <w:r>
        <w:rPr>
          <w:rFonts w:ascii="Book Antiqua"/>
          <w:rtl w:val="0"/>
          <w:lang w:val="it-IT"/>
        </w:rPr>
        <w:t>nell</w:t>
      </w:r>
      <w:r>
        <w:rPr>
          <w:rFonts w:hAnsi="Book Antiqua" w:hint="default"/>
          <w:rtl w:val="0"/>
          <w:lang w:val="it-IT"/>
        </w:rPr>
        <w:t>’</w:t>
      </w:r>
      <w:r>
        <w:rPr>
          <w:rFonts w:ascii="Book Antiqua"/>
          <w:rtl w:val="0"/>
          <w:lang w:val="it-IT"/>
        </w:rPr>
        <w:t>anno 2012, non per l</w:t>
      </w:r>
      <w:r>
        <w:rPr>
          <w:rFonts w:hAnsi="Book Antiqua" w:hint="default"/>
          <w:rtl w:val="0"/>
          <w:lang w:val="it-IT"/>
        </w:rPr>
        <w:t>’</w:t>
      </w:r>
      <w:r>
        <w:rPr>
          <w:rFonts w:ascii="Book Antiqua"/>
          <w:rtl w:val="0"/>
          <w:lang w:val="it-IT"/>
        </w:rPr>
        <w:t>emergenza rifiuti in s</w:t>
      </w:r>
      <w:r>
        <w:rPr>
          <w:rFonts w:hAnsi="Book Antiqua" w:hint="default"/>
          <w:rtl w:val="0"/>
          <w:lang w:val="it-IT"/>
        </w:rPr>
        <w:t xml:space="preserve">é </w:t>
      </w:r>
      <w:r>
        <w:rPr>
          <w:rFonts w:ascii="Book Antiqua"/>
          <w:rtl w:val="0"/>
          <w:lang w:val="it-IT"/>
        </w:rPr>
        <w:t>ma perch</w:t>
      </w:r>
      <w:r>
        <w:rPr>
          <w:rFonts w:hAnsi="Book Antiqua" w:hint="default"/>
          <w:rtl w:val="0"/>
          <w:lang w:val="it-IT"/>
        </w:rPr>
        <w:t xml:space="preserve">é </w:t>
      </w:r>
      <w:r>
        <w:rPr>
          <w:rFonts w:ascii="Book Antiqua"/>
          <w:rtl w:val="0"/>
          <w:lang w:val="it-IT"/>
        </w:rPr>
        <w:t>l</w:t>
      </w:r>
      <w:r>
        <w:rPr>
          <w:rFonts w:hAnsi="Book Antiqua" w:hint="default"/>
          <w:rtl w:val="0"/>
          <w:lang w:val="it-IT"/>
        </w:rPr>
        <w:t>’</w:t>
      </w:r>
      <w:r>
        <w:rPr>
          <w:rFonts w:ascii="Book Antiqua"/>
          <w:rtl w:val="0"/>
          <w:lang w:val="it-IT"/>
        </w:rPr>
        <w:t>incombenza dell</w:t>
      </w:r>
      <w:r>
        <w:rPr>
          <w:rFonts w:hAnsi="Book Antiqua" w:hint="default"/>
          <w:rtl w:val="0"/>
          <w:lang w:val="it-IT"/>
        </w:rPr>
        <w:t>’</w:t>
      </w:r>
      <w:r>
        <w:rPr>
          <w:rFonts w:ascii="Book Antiqua"/>
          <w:rtl w:val="0"/>
          <w:lang w:val="it-IT"/>
        </w:rPr>
        <w:t xml:space="preserve">infrazione europea richiedeva alla regione Lazio di dare almeno una </w:t>
      </w:r>
      <w:r>
        <w:rPr>
          <w:rFonts w:hAnsi="Book Antiqua" w:hint="default"/>
          <w:rtl w:val="0"/>
          <w:lang w:val="it-IT"/>
        </w:rPr>
        <w:t>«</w:t>
      </w:r>
      <w:r>
        <w:rPr>
          <w:rFonts w:ascii="Book Antiqua"/>
          <w:rtl w:val="0"/>
          <w:lang w:val="it-IT"/>
        </w:rPr>
        <w:t>frullata</w:t>
      </w:r>
      <w:r>
        <w:rPr>
          <w:rFonts w:hAnsi="Book Antiqua" w:hint="default"/>
          <w:rtl w:val="0"/>
          <w:lang w:val="it-IT"/>
        </w:rPr>
        <w:t xml:space="preserve">» </w:t>
      </w:r>
      <w:r>
        <w:rPr>
          <w:rFonts w:ascii="Book Antiqua"/>
          <w:rtl w:val="0"/>
          <w:lang w:val="it-IT"/>
        </w:rPr>
        <w:t xml:space="preserve">ai rifiuti prima di metterli in discarica. Insomma, non </w:t>
      </w:r>
      <w:r>
        <w:rPr>
          <w:rFonts w:hAnsi="Book Antiqua" w:hint="default"/>
          <w:rtl w:val="0"/>
          <w:lang w:val="it-IT"/>
        </w:rPr>
        <w:t xml:space="preserve">è </w:t>
      </w:r>
      <w:r>
        <w:rPr>
          <w:rFonts w:ascii="Book Antiqua"/>
          <w:rtl w:val="0"/>
          <w:lang w:val="it-IT"/>
        </w:rPr>
        <w:t>un impianto per le emergenze, per le quali ci sono i tritovagliatori mobili (i quali, infatti, per legge, possono essere autorizzati per sei mesi nel momento in cui si ha una grande difficolt</w:t>
      </w:r>
      <w:r>
        <w:rPr>
          <w:rFonts w:hAnsi="Book Antiqua" w:hint="default"/>
          <w:rtl w:val="0"/>
          <w:lang w:val="it-IT"/>
        </w:rPr>
        <w:t>à</w:t>
      </w:r>
      <w:r>
        <w:rPr>
          <w:rFonts w:ascii="Book Antiqua"/>
          <w:rtl w:val="0"/>
          <w:lang w:val="it-IT"/>
        </w:rPr>
        <w:t>). L</w:t>
      </w:r>
      <w:r>
        <w:rPr>
          <w:rFonts w:hAnsi="Book Antiqua" w:hint="default"/>
          <w:rtl w:val="0"/>
          <w:lang w:val="it-IT"/>
        </w:rPr>
        <w:t>’</w:t>
      </w:r>
      <w:r>
        <w:rPr>
          <w:rFonts w:ascii="Book Antiqua"/>
          <w:rtl w:val="0"/>
          <w:lang w:val="it-IT"/>
        </w:rPr>
        <w:t>impianto mobile si installa, frulla e risolve il problema momentaneo, ma poi chiude e sparisce. Per queste ragioni quell</w:t>
      </w:r>
      <w:r>
        <w:rPr>
          <w:rFonts w:hAnsi="Book Antiqua" w:hint="default"/>
          <w:rtl w:val="0"/>
          <w:lang w:val="it-IT"/>
        </w:rPr>
        <w:t>’</w:t>
      </w:r>
      <w:r>
        <w:rPr>
          <w:rFonts w:ascii="Book Antiqua"/>
          <w:rtl w:val="0"/>
          <w:lang w:val="it-IT"/>
        </w:rPr>
        <w:t>impianto non pu</w:t>
      </w:r>
      <w:r>
        <w:rPr>
          <w:rFonts w:hAnsi="Book Antiqua" w:hint="default"/>
          <w:rtl w:val="0"/>
          <w:lang w:val="it-IT"/>
        </w:rPr>
        <w:t xml:space="preserve">ò </w:t>
      </w:r>
      <w:r>
        <w:rPr>
          <w:rFonts w:ascii="Book Antiqua"/>
          <w:rtl w:val="0"/>
          <w:lang w:val="it-IT"/>
        </w:rPr>
        <w:t xml:space="preserve">stare nel piano regionale di gestione dei rifiuti. Non </w:t>
      </w:r>
      <w:r>
        <w:rPr>
          <w:rFonts w:hAnsi="Book Antiqua" w:hint="default"/>
          <w:rtl w:val="0"/>
          <w:lang w:val="it-IT"/>
        </w:rPr>
        <w:t xml:space="preserve">è </w:t>
      </w:r>
      <w:r>
        <w:rPr>
          <w:rFonts w:ascii="Book Antiqua"/>
          <w:rtl w:val="0"/>
          <w:lang w:val="it-IT"/>
        </w:rPr>
        <w:t>un impianto strategico, n</w:t>
      </w:r>
      <w:r>
        <w:rPr>
          <w:rFonts w:hAnsi="Book Antiqua" w:hint="default"/>
          <w:rtl w:val="0"/>
          <w:lang w:val="it-IT"/>
        </w:rPr>
        <w:t xml:space="preserve">é </w:t>
      </w:r>
      <w:r>
        <w:rPr>
          <w:rFonts w:ascii="Book Antiqua"/>
          <w:rtl w:val="0"/>
          <w:lang w:val="it-IT"/>
        </w:rPr>
        <w:t xml:space="preserve">emergenziale, ma </w:t>
      </w:r>
      <w:r>
        <w:rPr>
          <w:rFonts w:hAnsi="Book Antiqua" w:hint="default"/>
          <w:rtl w:val="0"/>
          <w:lang w:val="it-IT"/>
        </w:rPr>
        <w:t xml:space="preserve">è </w:t>
      </w:r>
      <w:r>
        <w:rPr>
          <w:rFonts w:ascii="Book Antiqua"/>
          <w:rtl w:val="0"/>
          <w:lang w:val="it-IT"/>
        </w:rPr>
        <w:t xml:space="preserve">servito soltanto a far fare tanti soldi </w:t>
      </w:r>
      <w:r>
        <w:rPr>
          <w:rFonts w:hAnsi="Book Antiqua" w:hint="default"/>
          <w:rtl w:val="0"/>
          <w:lang w:val="it-IT"/>
        </w:rPr>
        <w:t xml:space="preserve">– </w:t>
      </w:r>
      <w:r>
        <w:rPr>
          <w:rFonts w:ascii="Book Antiqua"/>
          <w:rtl w:val="0"/>
          <w:lang w:val="it-IT"/>
        </w:rPr>
        <w:t>penso illegittimamente, ma sar</w:t>
      </w:r>
      <w:r>
        <w:rPr>
          <w:rFonts w:hAnsi="Book Antiqua" w:hint="default"/>
          <w:rtl w:val="0"/>
          <w:lang w:val="it-IT"/>
        </w:rPr>
        <w:t xml:space="preserve">à </w:t>
      </w:r>
      <w:r>
        <w:rPr>
          <w:rFonts w:ascii="Book Antiqua"/>
          <w:rtl w:val="0"/>
          <w:lang w:val="it-IT"/>
        </w:rPr>
        <w:t xml:space="preserve">la magistratura a stabilirlo </w:t>
      </w:r>
      <w:r>
        <w:rPr>
          <w:rFonts w:hAnsi="Book Antiqua" w:hint="default"/>
          <w:rtl w:val="0"/>
          <w:lang w:val="it-IT"/>
        </w:rPr>
        <w:t xml:space="preserve">– </w:t>
      </w:r>
      <w:r>
        <w:rPr>
          <w:rFonts w:ascii="Book Antiqua"/>
          <w:rtl w:val="0"/>
          <w:lang w:val="it-IT"/>
        </w:rPr>
        <w:t>a un soggetto dominante. Questa azienda, fino a quando sono arrivato, non considerava questi aspetti. Come ho detto all</w:t>
      </w:r>
      <w:r>
        <w:rPr>
          <w:rFonts w:hAnsi="Book Antiqua" w:hint="default"/>
          <w:rtl w:val="0"/>
          <w:lang w:val="it-IT"/>
        </w:rPr>
        <w:t>’</w:t>
      </w:r>
      <w:r>
        <w:rPr>
          <w:rFonts w:ascii="Book Antiqua"/>
          <w:rtl w:val="0"/>
          <w:lang w:val="it-IT"/>
        </w:rPr>
        <w:t>inizio, mi prendo la responsabilit</w:t>
      </w:r>
      <w:r>
        <w:rPr>
          <w:rFonts w:hAnsi="Book Antiqua" w:hint="default"/>
          <w:rtl w:val="0"/>
          <w:lang w:val="it-IT"/>
        </w:rPr>
        <w:t xml:space="preserve">à </w:t>
      </w:r>
      <w:r>
        <w:rPr>
          <w:rFonts w:ascii="Book Antiqua"/>
          <w:rtl w:val="0"/>
          <w:lang w:val="it-IT"/>
        </w:rPr>
        <w:t>di quello che dico e che ho fatto. Ho tagliato le tariffe a quell</w:t>
      </w:r>
      <w:r>
        <w:rPr>
          <w:rFonts w:hAnsi="Book Antiqua" w:hint="default"/>
          <w:rtl w:val="0"/>
          <w:lang w:val="it-IT"/>
        </w:rPr>
        <w:t>’</w:t>
      </w:r>
      <w:r>
        <w:rPr>
          <w:rFonts w:ascii="Book Antiqua"/>
          <w:rtl w:val="0"/>
          <w:lang w:val="it-IT"/>
        </w:rPr>
        <w:t>impianto dopo sette mesi che sono arrivato e mi sono spinto fino a determinare le condizioni per le quali non servisse alla citt</w:t>
      </w:r>
      <w:r>
        <w:rPr>
          <w:rFonts w:hAnsi="Book Antiqua" w:hint="default"/>
          <w:rtl w:val="0"/>
          <w:lang w:val="it-IT"/>
        </w:rPr>
        <w:t xml:space="preserve">à </w:t>
      </w:r>
      <w:r>
        <w:rPr>
          <w:rFonts w:ascii="Book Antiqua"/>
          <w:rtl w:val="0"/>
          <w:lang w:val="it-IT"/>
        </w:rPr>
        <w:t>di Roma.</w:t>
      </w:r>
      <w:r>
        <w:rPr>
          <w:rFonts w:hAnsi="Book Antiqua" w:hint="default"/>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Quella conseguente all</w:t>
      </w:r>
      <w:r>
        <w:rPr>
          <w:rFonts w:hAnsi="Book Antiqua" w:hint="default"/>
          <w:rtl w:val="0"/>
          <w:lang w:val="it-IT"/>
        </w:rPr>
        <w:t>’</w:t>
      </w:r>
      <w:r>
        <w:rPr>
          <w:rFonts w:ascii="Book Antiqua"/>
          <w:rtl w:val="0"/>
          <w:lang w:val="it-IT"/>
        </w:rPr>
        <w:t xml:space="preserve">insediamento della nuova giunta capitolina, nel giugno 2016, </w:t>
      </w:r>
      <w:r>
        <w:rPr>
          <w:rFonts w:hAnsi="Book Antiqua" w:hint="default"/>
          <w:rtl w:val="0"/>
          <w:lang w:val="it-IT"/>
        </w:rPr>
        <w:t xml:space="preserve">è </w:t>
      </w:r>
      <w:r>
        <w:rPr>
          <w:rFonts w:ascii="Book Antiqua"/>
          <w:rtl w:val="0"/>
          <w:lang w:val="it-IT"/>
        </w:rPr>
        <w:t xml:space="preserve">una vera e propria crisi del rapporto di fiducia con la </w:t>
      </w:r>
      <w:r>
        <w:rPr>
          <w:rFonts w:ascii="Book Antiqua"/>
          <w:i w:val="1"/>
          <w:iCs w:val="1"/>
          <w:rtl w:val="0"/>
          <w:lang w:val="it-IT"/>
        </w:rPr>
        <w:t>governance</w:t>
      </w:r>
      <w:r>
        <w:rPr>
          <w:rFonts w:ascii="Book Antiqua"/>
          <w:rtl w:val="0"/>
          <w:lang w:val="it-IT"/>
        </w:rPr>
        <w:t xml:space="preserve"> di AMA, ma anche il prodromo di successivi mutamenti del quadro politico-amministrativo, segnato da un</w:t>
      </w:r>
      <w:r>
        <w:rPr>
          <w:rFonts w:hAnsi="Book Antiqua" w:hint="default"/>
          <w:rtl w:val="0"/>
          <w:lang w:val="it-IT"/>
        </w:rPr>
        <w:t>’</w:t>
      </w:r>
      <w:r>
        <w:rPr>
          <w:rFonts w:ascii="Book Antiqua"/>
          <w:rtl w:val="0"/>
          <w:lang w:val="it-IT"/>
        </w:rPr>
        <w:t>iniziale conclamata fiducia nell</w:t>
      </w:r>
      <w:r>
        <w:rPr>
          <w:rFonts w:hAnsi="Book Antiqua" w:hint="default"/>
          <w:rtl w:val="0"/>
          <w:lang w:val="it-IT"/>
        </w:rPr>
        <w:t>’</w:t>
      </w:r>
      <w:r>
        <w:rPr>
          <w:rFonts w:ascii="Book Antiqua"/>
          <w:rtl w:val="0"/>
          <w:lang w:val="it-IT"/>
        </w:rPr>
        <w:t>assessora Muraro, seguita dalla sua sostituzione dopo alcuni mesi.</w:t>
      </w:r>
    </w:p>
    <w:p>
      <w:pPr>
        <w:pStyle w:val="Normal"/>
        <w:ind w:left="567" w:right="567" w:firstLine="0"/>
        <w:jc w:val="both"/>
        <w:rPr>
          <w:rFonts w:ascii="Book Antiqua" w:cs="Book Antiqua" w:hAnsi="Book Antiqua" w:eastAsia="Book Antiqua"/>
        </w:rPr>
      </w:pPr>
      <w:r>
        <w:rPr>
          <w:rFonts w:ascii="Book Antiqua"/>
          <w:rtl w:val="0"/>
          <w:lang w:val="it-IT"/>
        </w:rPr>
        <w:t>Nella prima fase, tuttavia, come emerge dalle acquisizioni della Commissione, l</w:t>
      </w:r>
      <w:r>
        <w:rPr>
          <w:rFonts w:hAnsi="Book Antiqua" w:hint="default"/>
          <w:rtl w:val="0"/>
          <w:lang w:val="it-IT"/>
        </w:rPr>
        <w:t>’</w:t>
      </w:r>
      <w:r>
        <w:rPr>
          <w:rFonts w:ascii="Book Antiqua"/>
          <w:rtl w:val="0"/>
          <w:lang w:val="it-IT"/>
        </w:rPr>
        <w:t>assessora Muraro aveva un mandato politico di peso rilevante, tale da orientarla a interventi anche vistosi, rimarcati dall</w:t>
      </w:r>
      <w:r>
        <w:rPr>
          <w:rFonts w:hAnsi="Book Antiqua" w:hint="default"/>
          <w:rtl w:val="0"/>
          <w:lang w:val="it-IT"/>
        </w:rPr>
        <w:t>’</w:t>
      </w:r>
      <w:r>
        <w:rPr>
          <w:rFonts w:ascii="Book Antiqua"/>
          <w:rtl w:val="0"/>
          <w:lang w:val="it-IT"/>
        </w:rPr>
        <w:t>allora presidente di AMA S.p.A.:</w:t>
      </w:r>
    </w:p>
    <w:p>
      <w:pPr>
        <w:pStyle w:val="Normal"/>
        <w:ind w:left="567" w:right="567" w:firstLine="0"/>
        <w:jc w:val="both"/>
        <w:rPr>
          <w:rFonts w:ascii="Book Antiqua" w:cs="Book Antiqua" w:hAnsi="Book Antiqua" w:eastAsia="Book Antiqua"/>
        </w:rPr>
      </w:pPr>
      <w:r>
        <w:rPr>
          <w:rFonts w:hAnsi="Book Antiqua" w:hint="default"/>
          <w:rtl w:val="0"/>
          <w:lang w:val="it-IT"/>
        </w:rPr>
        <w:t>“</w:t>
      </w:r>
      <w:r>
        <w:rPr>
          <w:rFonts w:ascii="Book Antiqua"/>
          <w:rtl w:val="0"/>
          <w:lang w:val="it-IT"/>
        </w:rPr>
        <w:t>Devo dire, in tutta franchezza, che sono rimasto molto sorpreso nel momento in cui, in una visita non prevista da parte dell</w:t>
      </w:r>
      <w:r>
        <w:rPr>
          <w:rFonts w:hAnsi="Book Antiqua" w:hint="default"/>
          <w:rtl w:val="0"/>
          <w:lang w:val="it-IT"/>
        </w:rPr>
        <w:t>’</w:t>
      </w:r>
      <w:r>
        <w:rPr>
          <w:rFonts w:ascii="Book Antiqua"/>
          <w:rtl w:val="0"/>
          <w:lang w:val="it-IT"/>
        </w:rPr>
        <w:t xml:space="preserve">attuale assessore di Roma Capitale, accompagnata da diverse persone gentili che non ho mai conosciuto prima, mi </w:t>
      </w:r>
      <w:r>
        <w:rPr>
          <w:rFonts w:hAnsi="Book Antiqua" w:hint="default"/>
          <w:rtl w:val="0"/>
          <w:lang w:val="it-IT"/>
        </w:rPr>
        <w:t xml:space="preserve">è </w:t>
      </w:r>
      <w:r>
        <w:rPr>
          <w:rFonts w:ascii="Book Antiqua"/>
          <w:rtl w:val="0"/>
          <w:lang w:val="it-IT"/>
        </w:rPr>
        <w:t>stato rimproverato di essere, come AMA, colpevole dell</w:t>
      </w:r>
      <w:r>
        <w:rPr>
          <w:rFonts w:hAnsi="Book Antiqua" w:hint="default"/>
          <w:rtl w:val="0"/>
          <w:lang w:val="it-IT"/>
        </w:rPr>
        <w:t>’</w:t>
      </w:r>
      <w:r>
        <w:rPr>
          <w:rFonts w:ascii="Book Antiqua"/>
          <w:rtl w:val="0"/>
          <w:lang w:val="it-IT"/>
        </w:rPr>
        <w:t>emergenza generata in questa citt</w:t>
      </w:r>
      <w:r>
        <w:rPr>
          <w:rFonts w:hAnsi="Book Antiqua" w:hint="default"/>
          <w:rtl w:val="0"/>
          <w:lang w:val="it-IT"/>
        </w:rPr>
        <w:t xml:space="preserve">à </w:t>
      </w:r>
      <w:r>
        <w:rPr>
          <w:rFonts w:ascii="Book Antiqua"/>
          <w:rtl w:val="0"/>
          <w:lang w:val="it-IT"/>
        </w:rPr>
        <w:t xml:space="preserve">e mi </w:t>
      </w:r>
      <w:r>
        <w:rPr>
          <w:rFonts w:hAnsi="Book Antiqua" w:hint="default"/>
          <w:rtl w:val="0"/>
          <w:lang w:val="it-IT"/>
        </w:rPr>
        <w:t xml:space="preserve">è </w:t>
      </w:r>
      <w:r>
        <w:rPr>
          <w:rFonts w:ascii="Book Antiqua"/>
          <w:rtl w:val="0"/>
          <w:lang w:val="it-IT"/>
        </w:rPr>
        <w:t>stato intimato di usare il tritovagliatore di Co.La.Ri. in localit</w:t>
      </w:r>
      <w:r>
        <w:rPr>
          <w:rFonts w:hAnsi="Book Antiqua" w:hint="default"/>
          <w:rtl w:val="0"/>
          <w:lang w:val="it-IT"/>
        </w:rPr>
        <w:t xml:space="preserve">à </w:t>
      </w:r>
      <w:r>
        <w:rPr>
          <w:rFonts w:ascii="Book Antiqua"/>
          <w:rtl w:val="0"/>
          <w:lang w:val="it-IT"/>
        </w:rPr>
        <w:t>Rocca Cencia. Migliaia di cittadini romani e italiani hanno visto che questa era la richiesta e la sollecitazione, ma hanno visto anche la mia netta opposizione. Se si vuole gestire quell</w:t>
      </w:r>
      <w:r>
        <w:rPr>
          <w:rFonts w:hAnsi="Book Antiqua" w:hint="default"/>
          <w:rtl w:val="0"/>
          <w:lang w:val="it-IT"/>
        </w:rPr>
        <w:t>’</w:t>
      </w:r>
      <w:r>
        <w:rPr>
          <w:rFonts w:ascii="Book Antiqua"/>
          <w:rtl w:val="0"/>
          <w:lang w:val="it-IT"/>
        </w:rPr>
        <w:t>impianto, lo si pu</w:t>
      </w:r>
      <w:r>
        <w:rPr>
          <w:rFonts w:hAnsi="Book Antiqua" w:hint="default"/>
          <w:rtl w:val="0"/>
          <w:lang w:val="it-IT"/>
        </w:rPr>
        <w:t xml:space="preserve">ò </w:t>
      </w:r>
      <w:r>
        <w:rPr>
          <w:rFonts w:ascii="Book Antiqua"/>
          <w:rtl w:val="0"/>
          <w:lang w:val="it-IT"/>
        </w:rPr>
        <w:t>fare soltanto nella legalit</w:t>
      </w:r>
      <w:r>
        <w:rPr>
          <w:rFonts w:hAnsi="Book Antiqua" w:hint="default"/>
          <w:rtl w:val="0"/>
          <w:lang w:val="it-IT"/>
        </w:rPr>
        <w:t>à</w:t>
      </w:r>
      <w:r>
        <w:rPr>
          <w:rFonts w:ascii="Book Antiqua"/>
          <w:rtl w:val="0"/>
          <w:lang w:val="it-IT"/>
        </w:rPr>
        <w:t>, che impone la requisizione in uso come prevista dalle leggi dello Stato: non c</w:t>
      </w:r>
      <w:r>
        <w:rPr>
          <w:rFonts w:hAnsi="Book Antiqua" w:hint="default"/>
          <w:rtl w:val="0"/>
          <w:lang w:val="it-IT"/>
        </w:rPr>
        <w:t xml:space="preserve">’è </w:t>
      </w:r>
      <w:r>
        <w:rPr>
          <w:rFonts w:ascii="Book Antiqua"/>
          <w:rtl w:val="0"/>
          <w:lang w:val="it-IT"/>
        </w:rPr>
        <w:t>nessun</w:t>
      </w:r>
      <w:r>
        <w:rPr>
          <w:rFonts w:hAnsi="Book Antiqua" w:hint="default"/>
          <w:rtl w:val="0"/>
          <w:lang w:val="it-IT"/>
        </w:rPr>
        <w:t>’</w:t>
      </w:r>
      <w:r>
        <w:rPr>
          <w:rFonts w:ascii="Book Antiqua"/>
          <w:rtl w:val="0"/>
          <w:lang w:val="it-IT"/>
        </w:rPr>
        <w:t>altra modalit</w:t>
      </w:r>
      <w:r>
        <w:rPr>
          <w:rFonts w:hAnsi="Book Antiqua" w:hint="default"/>
          <w:rtl w:val="0"/>
          <w:lang w:val="it-IT"/>
        </w:rPr>
        <w:t xml:space="preserve">à </w:t>
      </w:r>
      <w:r>
        <w:rPr>
          <w:rFonts w:ascii="Book Antiqua"/>
          <w:rtl w:val="0"/>
          <w:lang w:val="it-IT"/>
        </w:rPr>
        <w:t>per usare quell</w:t>
      </w:r>
      <w:r>
        <w:rPr>
          <w:rFonts w:hAnsi="Book Antiqua" w:hint="default"/>
          <w:rtl w:val="0"/>
          <w:lang w:val="it-IT"/>
        </w:rPr>
        <w:t>’</w:t>
      </w:r>
      <w:r>
        <w:rPr>
          <w:rFonts w:ascii="Book Antiqua"/>
          <w:rtl w:val="0"/>
          <w:lang w:val="it-IT"/>
        </w:rPr>
        <w:t>impianto [...] Il tritovagliatore consente, per la legislazione italiana, di avviare al trattamento, in questa macchina brutale e primitiva, i rifiuti indifferenziati (CER 200301) e di estrarne due flussi, un sopravaglio pi</w:t>
      </w:r>
      <w:r>
        <w:rPr>
          <w:rFonts w:hAnsi="Book Antiqua" w:hint="default"/>
          <w:rtl w:val="0"/>
          <w:lang w:val="it-IT"/>
        </w:rPr>
        <w:t xml:space="preserve">ù </w:t>
      </w:r>
      <w:r>
        <w:rPr>
          <w:rFonts w:ascii="Book Antiqua"/>
          <w:rtl w:val="0"/>
          <w:lang w:val="it-IT"/>
        </w:rPr>
        <w:t>asciutto e un sottovaglio pi</w:t>
      </w:r>
      <w:r>
        <w:rPr>
          <w:rFonts w:hAnsi="Book Antiqua" w:hint="default"/>
          <w:rtl w:val="0"/>
          <w:lang w:val="it-IT"/>
        </w:rPr>
        <w:t xml:space="preserve">ù </w:t>
      </w:r>
      <w:r>
        <w:rPr>
          <w:rFonts w:ascii="Book Antiqua"/>
          <w:rtl w:val="0"/>
          <w:lang w:val="it-IT"/>
        </w:rPr>
        <w:t xml:space="preserve">umido. </w:t>
      </w:r>
      <w:r>
        <w:rPr>
          <w:rFonts w:hAnsi="Book Antiqua" w:hint="default"/>
          <w:rtl w:val="0"/>
          <w:lang w:val="it-IT"/>
        </w:rPr>
        <w:t xml:space="preserve">È </w:t>
      </w:r>
      <w:r>
        <w:rPr>
          <w:rFonts w:ascii="Book Antiqua"/>
          <w:rtl w:val="0"/>
          <w:lang w:val="it-IT"/>
        </w:rPr>
        <w:t xml:space="preserve">frazione umida tritovagliata quella che sta sotto e frazione secca tritovagliata quella che sta sopra. Il codice in uscita per entrambi questi materiali </w:t>
      </w:r>
      <w:r>
        <w:rPr>
          <w:rFonts w:hAnsi="Book Antiqua" w:hint="default"/>
          <w:rtl w:val="0"/>
          <w:lang w:val="it-IT"/>
        </w:rPr>
        <w:t xml:space="preserve">è </w:t>
      </w:r>
      <w:r>
        <w:rPr>
          <w:rFonts w:ascii="Book Antiqua"/>
          <w:rtl w:val="0"/>
          <w:lang w:val="it-IT"/>
        </w:rPr>
        <w:t>191212, cio</w:t>
      </w:r>
      <w:r>
        <w:rPr>
          <w:rFonts w:hAnsi="Book Antiqua" w:hint="default"/>
          <w:rtl w:val="0"/>
          <w:lang w:val="it-IT"/>
        </w:rPr>
        <w:t xml:space="preserve">è </w:t>
      </w:r>
      <w:r>
        <w:rPr>
          <w:rFonts w:ascii="Book Antiqua"/>
          <w:rtl w:val="0"/>
          <w:lang w:val="it-IT"/>
        </w:rPr>
        <w:t>rifiuto speciale che pu</w:t>
      </w:r>
      <w:r>
        <w:rPr>
          <w:rFonts w:hAnsi="Book Antiqua" w:hint="default"/>
          <w:rtl w:val="0"/>
          <w:lang w:val="it-IT"/>
        </w:rPr>
        <w:t xml:space="preserve">ò </w:t>
      </w:r>
      <w:r>
        <w:rPr>
          <w:rFonts w:ascii="Book Antiqua"/>
          <w:rtl w:val="0"/>
          <w:lang w:val="it-IT"/>
        </w:rPr>
        <w:t xml:space="preserve">viaggiare senza limitazioni nel territorio nazionale per andare a recupero di energia, ovvero a recupero di materia. </w:t>
      </w:r>
      <w:r>
        <w:rPr>
          <w:rFonts w:hAnsi="Book Antiqua" w:hint="default"/>
          <w:rtl w:val="0"/>
          <w:lang w:val="it-IT"/>
        </w:rPr>
        <w:t xml:space="preserve">È </w:t>
      </w:r>
      <w:r>
        <w:rPr>
          <w:rFonts w:ascii="Book Antiqua"/>
          <w:rtl w:val="0"/>
          <w:lang w:val="it-IT"/>
        </w:rPr>
        <w:t xml:space="preserve">vero quello che lei afferma </w:t>
      </w:r>
      <w:r>
        <w:rPr>
          <w:rFonts w:hAnsi="Book Antiqua" w:hint="default"/>
          <w:rtl w:val="0"/>
          <w:lang w:val="it-IT"/>
        </w:rPr>
        <w:t xml:space="preserve">– </w:t>
      </w:r>
      <w:r>
        <w:rPr>
          <w:rFonts w:ascii="Book Antiqua"/>
          <w:rtl w:val="0"/>
          <w:lang w:val="it-IT"/>
        </w:rPr>
        <w:t xml:space="preserve">ci mancherebbe altro </w:t>
      </w:r>
      <w:r>
        <w:rPr>
          <w:rFonts w:hAnsi="Book Antiqua" w:hint="default"/>
          <w:rtl w:val="0"/>
          <w:lang w:val="it-IT"/>
        </w:rPr>
        <w:t xml:space="preserve">– </w:t>
      </w:r>
      <w:r>
        <w:rPr>
          <w:rFonts w:ascii="Book Antiqua"/>
          <w:rtl w:val="0"/>
          <w:lang w:val="it-IT"/>
        </w:rPr>
        <w:t>ossia che l</w:t>
      </w:r>
      <w:r>
        <w:rPr>
          <w:rFonts w:hAnsi="Book Antiqua" w:hint="default"/>
          <w:rtl w:val="0"/>
          <w:lang w:val="it-IT"/>
        </w:rPr>
        <w:t>’</w:t>
      </w:r>
      <w:r>
        <w:rPr>
          <w:rFonts w:ascii="Book Antiqua"/>
          <w:rtl w:val="0"/>
          <w:lang w:val="it-IT"/>
        </w:rPr>
        <w:t xml:space="preserve">Unione europea non contempla quegli impianti tra gli impianti di trattamento attraverso i quali si modifica la natura del rifiuto, ma </w:t>
      </w:r>
      <w:r>
        <w:rPr>
          <w:rFonts w:hAnsi="Book Antiqua" w:hint="default"/>
          <w:rtl w:val="0"/>
          <w:lang w:val="it-IT"/>
        </w:rPr>
        <w:t xml:space="preserve">è </w:t>
      </w:r>
      <w:r>
        <w:rPr>
          <w:rFonts w:ascii="Book Antiqua"/>
          <w:rtl w:val="0"/>
          <w:lang w:val="it-IT"/>
        </w:rPr>
        <w:t xml:space="preserve">anche vero che la legislazione italiana li ammette e li considera impianti di trattamento dei rifiuti. Pertanto, il fatto che AMA li abbia usati sulla base di un accordo </w:t>
      </w:r>
      <w:r>
        <w:rPr>
          <w:rFonts w:hAnsi="Book Antiqua" w:hint="default"/>
          <w:rtl w:val="0"/>
          <w:lang w:val="it-IT"/>
        </w:rPr>
        <w:t xml:space="preserve">– </w:t>
      </w:r>
      <w:r>
        <w:rPr>
          <w:rFonts w:ascii="Book Antiqua"/>
          <w:rtl w:val="0"/>
          <w:lang w:val="it-IT"/>
        </w:rPr>
        <w:t xml:space="preserve">non di un contratto, ma di un accordo, ovvero di una stretta di mano </w:t>
      </w:r>
      <w:r>
        <w:rPr>
          <w:rFonts w:hAnsi="Book Antiqua" w:hint="default"/>
          <w:rtl w:val="0"/>
          <w:lang w:val="it-IT"/>
        </w:rPr>
        <w:t xml:space="preserve">– </w:t>
      </w:r>
      <w:r>
        <w:rPr>
          <w:rFonts w:ascii="Book Antiqua"/>
          <w:rtl w:val="0"/>
          <w:lang w:val="it-IT"/>
        </w:rPr>
        <w:t xml:space="preserve">fino a quando a febbraio </w:t>
      </w:r>
      <w:r>
        <w:rPr>
          <w:rFonts w:hAnsi="Book Antiqua" w:hint="default"/>
          <w:rtl w:val="0"/>
          <w:lang w:val="it-IT"/>
        </w:rPr>
        <w:t xml:space="preserve">è </w:t>
      </w:r>
      <w:r>
        <w:rPr>
          <w:rFonts w:ascii="Book Antiqua"/>
          <w:rtl w:val="0"/>
          <w:lang w:val="it-IT"/>
        </w:rPr>
        <w:t>stato utilizzato, fin dal 2013, a mio giudizio non pu</w:t>
      </w:r>
      <w:r>
        <w:rPr>
          <w:rFonts w:hAnsi="Book Antiqua" w:hint="default"/>
          <w:rtl w:val="0"/>
          <w:lang w:val="it-IT"/>
        </w:rPr>
        <w:t xml:space="preserve">ò </w:t>
      </w:r>
      <w:r>
        <w:rPr>
          <w:rFonts w:ascii="Book Antiqua"/>
          <w:rtl w:val="0"/>
          <w:lang w:val="it-IT"/>
        </w:rPr>
        <w:t>far ravvedere un comportamento scorretto dell</w:t>
      </w:r>
      <w:r>
        <w:rPr>
          <w:rFonts w:hAnsi="Book Antiqua" w:hint="default"/>
          <w:rtl w:val="0"/>
          <w:lang w:val="it-IT"/>
        </w:rPr>
        <w:t>’</w:t>
      </w:r>
      <w:r>
        <w:rPr>
          <w:rFonts w:ascii="Book Antiqua"/>
          <w:rtl w:val="0"/>
          <w:lang w:val="it-IT"/>
        </w:rPr>
        <w:t xml:space="preserve">azienda, ma direi, su questo versante, neanche di Co.La.Ri.. </w:t>
      </w:r>
      <w:r>
        <w:rPr>
          <w:rFonts w:hAnsi="Book Antiqua" w:hint="default"/>
          <w:rtl w:val="0"/>
          <w:lang w:val="it-IT"/>
        </w:rPr>
        <w:t xml:space="preserve">È </w:t>
      </w:r>
      <w:r>
        <w:rPr>
          <w:rFonts w:ascii="Book Antiqua"/>
          <w:rtl w:val="0"/>
          <w:lang w:val="it-IT"/>
        </w:rPr>
        <w:t>una macchina: entrano rifiuti 200301 ed escono 191212. Non mi pare che in ci</w:t>
      </w:r>
      <w:r>
        <w:rPr>
          <w:rFonts w:hAnsi="Book Antiqua" w:hint="default"/>
          <w:rtl w:val="0"/>
          <w:lang w:val="it-IT"/>
        </w:rPr>
        <w:t xml:space="preserve">ò </w:t>
      </w:r>
      <w:r>
        <w:rPr>
          <w:rFonts w:ascii="Book Antiqua"/>
          <w:rtl w:val="0"/>
          <w:lang w:val="it-IT"/>
        </w:rPr>
        <w:t>ci siano colpe da rilevare.</w:t>
      </w:r>
      <w:r>
        <w:rPr>
          <w:rFonts w:hAnsi="Book Antiqua" w:hint="default"/>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Dal canto suo, Paola Muraro, assessora pro tempore alla sostenibilit</w:t>
      </w:r>
      <w:r>
        <w:rPr>
          <w:rFonts w:hAnsi="Book Antiqua" w:hint="default"/>
          <w:rtl w:val="0"/>
          <w:lang w:val="it-IT"/>
        </w:rPr>
        <w:t xml:space="preserve">à </w:t>
      </w:r>
      <w:r>
        <w:rPr>
          <w:rFonts w:ascii="Book Antiqua"/>
          <w:rtl w:val="0"/>
          <w:lang w:val="it-IT"/>
        </w:rPr>
        <w:t>ambientale di Roma Capitale, nell</w:t>
      </w:r>
      <w:r>
        <w:rPr>
          <w:rFonts w:hAnsi="Book Antiqua" w:hint="default"/>
          <w:rtl w:val="0"/>
          <w:lang w:val="it-IT"/>
        </w:rPr>
        <w:t>’</w:t>
      </w:r>
      <w:r>
        <w:rPr>
          <w:rFonts w:ascii="Book Antiqua"/>
          <w:rtl w:val="0"/>
          <w:lang w:val="it-IT"/>
        </w:rPr>
        <w:t>audizione del 5 settembre 2016 davanti alla Commissione, afferma</w:t>
      </w:r>
      <w:r>
        <w:rPr>
          <w:rFonts w:ascii="Book Antiqua" w:cs="Book Antiqua" w:hAnsi="Book Antiqua" w:eastAsia="Book Antiqua"/>
          <w:vertAlign w:val="superscript"/>
          <w:rtl w:val="0"/>
        </w:rPr>
        <w:footnoteReference w:id="65"/>
      </w:r>
      <w:r>
        <w:rPr>
          <w:rFonts w:ascii="Book Antiqua"/>
          <w:rtl w:val="0"/>
          <w:lang w:val="it-IT"/>
        </w:rPr>
        <w:t xml:space="preserve">: </w:t>
      </w:r>
    </w:p>
    <w:p>
      <w:pPr>
        <w:pStyle w:val="Normal"/>
        <w:ind w:left="567" w:right="567" w:firstLine="0"/>
        <w:jc w:val="both"/>
        <w:rPr>
          <w:rFonts w:ascii="Book Antiqua" w:cs="Book Antiqua" w:hAnsi="Book Antiqua" w:eastAsia="Book Antiqua"/>
        </w:rPr>
      </w:pPr>
      <w:r>
        <w:rPr>
          <w:rFonts w:hAnsi="Book Antiqua" w:hint="default"/>
          <w:rtl w:val="0"/>
          <w:lang w:val="it-IT"/>
        </w:rPr>
        <w:t>“</w:t>
      </w:r>
      <w:r>
        <w:rPr>
          <w:rFonts w:ascii="Book Antiqua"/>
          <w:rtl w:val="0"/>
          <w:lang w:val="it-IT"/>
        </w:rPr>
        <w:t>Nel 2015 c</w:t>
      </w:r>
      <w:r>
        <w:rPr>
          <w:rFonts w:hAnsi="Book Antiqua" w:hint="default"/>
          <w:rtl w:val="0"/>
          <w:lang w:val="it-IT"/>
        </w:rPr>
        <w:t xml:space="preserve">’è </w:t>
      </w:r>
      <w:r>
        <w:rPr>
          <w:rFonts w:ascii="Book Antiqua"/>
          <w:rtl w:val="0"/>
          <w:lang w:val="it-IT"/>
        </w:rPr>
        <w:t>un problema: gli impianti cominciano a essere pieni. Quindi abbiamo varie attivit</w:t>
      </w:r>
      <w:r>
        <w:rPr>
          <w:rFonts w:hAnsi="Book Antiqua" w:hint="default"/>
          <w:rtl w:val="0"/>
          <w:lang w:val="it-IT"/>
        </w:rPr>
        <w:t xml:space="preserve">à </w:t>
      </w:r>
      <w:r>
        <w:rPr>
          <w:rFonts w:ascii="Book Antiqua"/>
          <w:rtl w:val="0"/>
          <w:lang w:val="it-IT"/>
        </w:rPr>
        <w:t>in corso, ma abbiamo anche un problema di incendio al Salario, il 2 giugno (adesso vado a memoria, comunque era giugno, la data poco importa). Praticamente, in relazione agli impianti, si sovraccarica Rocca Cencia: per forza di cose si sovraccarica. Nel frattempo, proprio perch</w:t>
      </w:r>
      <w:r>
        <w:rPr>
          <w:rFonts w:hAnsi="Book Antiqua" w:hint="default"/>
          <w:rtl w:val="0"/>
          <w:lang w:val="it-IT"/>
        </w:rPr>
        <w:t xml:space="preserve">é </w:t>
      </w:r>
      <w:r>
        <w:rPr>
          <w:rFonts w:ascii="Book Antiqua"/>
          <w:rtl w:val="0"/>
          <w:lang w:val="it-IT"/>
        </w:rPr>
        <w:t>c</w:t>
      </w:r>
      <w:r>
        <w:rPr>
          <w:rFonts w:hAnsi="Book Antiqua" w:hint="default"/>
          <w:rtl w:val="0"/>
          <w:lang w:val="it-IT"/>
        </w:rPr>
        <w:t xml:space="preserve">’è </w:t>
      </w:r>
      <w:r>
        <w:rPr>
          <w:rFonts w:ascii="Book Antiqua"/>
          <w:rtl w:val="0"/>
          <w:lang w:val="it-IT"/>
        </w:rPr>
        <w:t>un problema di sovraccarico, viene utilizzato molto il tritovagliatore del Co.La.Ri.</w:t>
      </w:r>
      <w:r>
        <w:rPr>
          <w:rFonts w:hAnsi="Book Antiqua" w:hint="default"/>
          <w:rtl w:val="0"/>
          <w:lang w:val="it-IT"/>
        </w:rPr>
        <w:t xml:space="preserve"> – </w:t>
      </w:r>
      <w:r>
        <w:rPr>
          <w:rFonts w:ascii="Book Antiqua"/>
          <w:rtl w:val="0"/>
          <w:lang w:val="it-IT"/>
        </w:rPr>
        <w:t>in quel caso l</w:t>
      </w:r>
      <w:r>
        <w:rPr>
          <w:rFonts w:hAnsi="Book Antiqua" w:hint="default"/>
          <w:rtl w:val="0"/>
          <w:lang w:val="it-IT"/>
        </w:rPr>
        <w:t>ì</w:t>
      </w:r>
      <w:r>
        <w:rPr>
          <w:rFonts w:ascii="Book Antiqua"/>
          <w:rtl w:val="0"/>
          <w:lang w:val="it-IT"/>
        </w:rPr>
        <w:t>, era ancora Co.La.Ri.</w:t>
      </w:r>
      <w:r>
        <w:rPr>
          <w:rFonts w:hAnsi="Book Antiqua" w:hint="default"/>
          <w:rtl w:val="0"/>
          <w:lang w:val="it-IT"/>
        </w:rPr>
        <w:t xml:space="preserve"> – </w:t>
      </w:r>
      <w:r>
        <w:rPr>
          <w:rFonts w:ascii="Book Antiqua"/>
          <w:rtl w:val="0"/>
          <w:lang w:val="it-IT"/>
        </w:rPr>
        <w:t xml:space="preserve">che </w:t>
      </w:r>
      <w:r>
        <w:rPr>
          <w:rFonts w:hAnsi="Book Antiqua" w:hint="default"/>
          <w:rtl w:val="0"/>
          <w:lang w:val="it-IT"/>
        </w:rPr>
        <w:t>è</w:t>
      </w:r>
      <w:r>
        <w:rPr>
          <w:rFonts w:ascii="Book Antiqua"/>
          <w:rtl w:val="0"/>
          <w:lang w:val="it-IT"/>
        </w:rPr>
        <w:t>, n</w:t>
      </w:r>
      <w:r>
        <w:rPr>
          <w:rFonts w:hAnsi="Book Antiqua" w:hint="default"/>
          <w:rtl w:val="0"/>
          <w:lang w:val="it-IT"/>
        </w:rPr>
        <w:t xml:space="preserve">é </w:t>
      </w:r>
      <w:r>
        <w:rPr>
          <w:rFonts w:ascii="Book Antiqua"/>
          <w:rtl w:val="0"/>
          <w:lang w:val="it-IT"/>
        </w:rPr>
        <w:t>pi</w:t>
      </w:r>
      <w:r>
        <w:rPr>
          <w:rFonts w:hAnsi="Book Antiqua" w:hint="default"/>
          <w:rtl w:val="0"/>
          <w:lang w:val="it-IT"/>
        </w:rPr>
        <w:t xml:space="preserve">ù </w:t>
      </w:r>
      <w:r>
        <w:rPr>
          <w:rFonts w:ascii="Book Antiqua"/>
          <w:rtl w:val="0"/>
          <w:lang w:val="it-IT"/>
        </w:rPr>
        <w:t>n</w:t>
      </w:r>
      <w:r>
        <w:rPr>
          <w:rFonts w:hAnsi="Book Antiqua" w:hint="default"/>
          <w:rtl w:val="0"/>
          <w:lang w:val="it-IT"/>
        </w:rPr>
        <w:t xml:space="preserve">é </w:t>
      </w:r>
      <w:r>
        <w:rPr>
          <w:rFonts w:ascii="Book Antiqua"/>
          <w:rtl w:val="0"/>
          <w:lang w:val="it-IT"/>
        </w:rPr>
        <w:t>meno, un tritovagliatore che insiste sempre nel sito di Rocca Cencia, in localit</w:t>
      </w:r>
      <w:r>
        <w:rPr>
          <w:rFonts w:hAnsi="Book Antiqua" w:hint="default"/>
          <w:rtl w:val="0"/>
          <w:lang w:val="it-IT"/>
        </w:rPr>
        <w:t xml:space="preserve">à </w:t>
      </w:r>
      <w:r>
        <w:rPr>
          <w:rFonts w:ascii="Book Antiqua"/>
          <w:rtl w:val="0"/>
          <w:lang w:val="it-IT"/>
        </w:rPr>
        <w:t xml:space="preserve">Rocca Cencia, ma non </w:t>
      </w:r>
      <w:r>
        <w:rPr>
          <w:rFonts w:hAnsi="Book Antiqua" w:hint="default"/>
          <w:rtl w:val="0"/>
          <w:lang w:val="it-IT"/>
        </w:rPr>
        <w:t xml:space="preserve">è </w:t>
      </w:r>
      <w:r>
        <w:rPr>
          <w:rFonts w:ascii="Book Antiqua"/>
          <w:rtl w:val="0"/>
          <w:lang w:val="it-IT"/>
        </w:rPr>
        <w:t xml:space="preserve">di AMA. In quel caso, Fortini evidenzia </w:t>
      </w:r>
      <w:r>
        <w:rPr>
          <w:rFonts w:hAnsi="Book Antiqua" w:hint="default"/>
          <w:rtl w:val="0"/>
          <w:lang w:val="it-IT"/>
        </w:rPr>
        <w:t xml:space="preserve">– </w:t>
      </w:r>
      <w:r>
        <w:rPr>
          <w:rFonts w:ascii="Book Antiqua"/>
          <w:rtl w:val="0"/>
          <w:lang w:val="it-IT"/>
        </w:rPr>
        <w:t xml:space="preserve">lo dice proprio nelle sue frasi molto colorite </w:t>
      </w:r>
      <w:r>
        <w:rPr>
          <w:rFonts w:hAnsi="Book Antiqua" w:hint="default"/>
          <w:rtl w:val="0"/>
          <w:lang w:val="it-IT"/>
        </w:rPr>
        <w:t xml:space="preserve">– </w:t>
      </w:r>
      <w:r>
        <w:rPr>
          <w:rFonts w:ascii="Book Antiqua"/>
          <w:rtl w:val="0"/>
          <w:lang w:val="it-IT"/>
        </w:rPr>
        <w:t>che bisognava togliere l</w:t>
      </w:r>
      <w:r>
        <w:rPr>
          <w:rFonts w:hAnsi="Book Antiqua" w:hint="default"/>
          <w:rtl w:val="0"/>
          <w:lang w:val="it-IT"/>
        </w:rPr>
        <w:t>’</w:t>
      </w:r>
      <w:r>
        <w:rPr>
          <w:rFonts w:ascii="Book Antiqua"/>
          <w:rtl w:val="0"/>
          <w:lang w:val="it-IT"/>
        </w:rPr>
        <w:t>acqua al pesce. Vi posso dire chi poteva essere il pesce: il pesce era l</w:t>
      </w:r>
      <w:r>
        <w:rPr>
          <w:rFonts w:hAnsi="Book Antiqua" w:hint="default"/>
          <w:rtl w:val="0"/>
          <w:lang w:val="it-IT"/>
        </w:rPr>
        <w:t>’</w:t>
      </w:r>
      <w:r>
        <w:rPr>
          <w:rFonts w:ascii="Book Antiqua"/>
          <w:rtl w:val="0"/>
          <w:lang w:val="it-IT"/>
        </w:rPr>
        <w:t>avvocato Cerroni, in quel caso. Per togliere l</w:t>
      </w:r>
      <w:r>
        <w:rPr>
          <w:rFonts w:hAnsi="Book Antiqua" w:hint="default"/>
          <w:rtl w:val="0"/>
          <w:lang w:val="it-IT"/>
        </w:rPr>
        <w:t>’</w:t>
      </w:r>
      <w:r>
        <w:rPr>
          <w:rFonts w:ascii="Book Antiqua"/>
          <w:rtl w:val="0"/>
          <w:lang w:val="it-IT"/>
        </w:rPr>
        <w:t>acqua al pesce, lui propone di acquistare un tritovagliatore: che cos</w:t>
      </w:r>
      <w:r>
        <w:rPr>
          <w:rFonts w:hAnsi="Book Antiqua" w:hint="default"/>
          <w:rtl w:val="0"/>
          <w:lang w:val="it-IT"/>
        </w:rPr>
        <w:t>’è</w:t>
      </w:r>
      <w:r>
        <w:rPr>
          <w:rFonts w:ascii="Book Antiqua"/>
          <w:rtl w:val="0"/>
          <w:lang w:val="it-IT"/>
        </w:rPr>
        <w:t>? Un tritovagliatore mobile voi saprete che cos</w:t>
      </w:r>
      <w:r>
        <w:rPr>
          <w:rFonts w:hAnsi="Book Antiqua" w:hint="default"/>
          <w:rtl w:val="0"/>
          <w:lang w:val="it-IT"/>
        </w:rPr>
        <w:t>’è</w:t>
      </w:r>
      <w:r>
        <w:rPr>
          <w:rFonts w:ascii="Book Antiqua"/>
          <w:rtl w:val="0"/>
          <w:lang w:val="it-IT"/>
        </w:rPr>
        <w:t xml:space="preserve">: </w:t>
      </w:r>
      <w:r>
        <w:rPr>
          <w:rFonts w:hAnsi="Book Antiqua" w:hint="default"/>
          <w:rtl w:val="0"/>
          <w:lang w:val="it-IT"/>
        </w:rPr>
        <w:t xml:space="preserve">è </w:t>
      </w:r>
      <w:r>
        <w:rPr>
          <w:rFonts w:ascii="Book Antiqua"/>
          <w:rtl w:val="0"/>
          <w:lang w:val="it-IT"/>
        </w:rPr>
        <w:t>un trituratore e un vaglio. Pertanto, non si fa gara perch</w:t>
      </w:r>
      <w:r>
        <w:rPr>
          <w:rFonts w:hAnsi="Book Antiqua" w:hint="default"/>
          <w:rtl w:val="0"/>
          <w:lang w:val="it-IT"/>
        </w:rPr>
        <w:t xml:space="preserve">é </w:t>
      </w:r>
      <w:r>
        <w:rPr>
          <w:rFonts w:ascii="Book Antiqua"/>
          <w:rtl w:val="0"/>
          <w:lang w:val="it-IT"/>
        </w:rPr>
        <w:t>deve essere portato subito a Roma questo benedetto tritovagliatore mobile: quindi, ha fretta. Ormai ha convinto Marino che ha risolto i problemi di Roma, dell</w:t>
      </w:r>
      <w:r>
        <w:rPr>
          <w:rFonts w:hAnsi="Book Antiqua" w:hint="default"/>
          <w:rtl w:val="0"/>
          <w:lang w:val="it-IT"/>
        </w:rPr>
        <w:t>’</w:t>
      </w:r>
      <w:r>
        <w:rPr>
          <w:rFonts w:ascii="Book Antiqua"/>
          <w:rtl w:val="0"/>
          <w:lang w:val="it-IT"/>
        </w:rPr>
        <w:t>emergenza in quel caso, perch</w:t>
      </w:r>
      <w:r>
        <w:rPr>
          <w:rFonts w:hAnsi="Book Antiqua" w:hint="default"/>
          <w:rtl w:val="0"/>
          <w:lang w:val="it-IT"/>
        </w:rPr>
        <w:t xml:space="preserve">é </w:t>
      </w:r>
      <w:r>
        <w:rPr>
          <w:rFonts w:ascii="Book Antiqua"/>
          <w:rtl w:val="0"/>
          <w:lang w:val="it-IT"/>
        </w:rPr>
        <w:t>Marino fa un</w:t>
      </w:r>
      <w:r>
        <w:rPr>
          <w:rFonts w:hAnsi="Book Antiqua" w:hint="default"/>
          <w:rtl w:val="0"/>
          <w:lang w:val="it-IT"/>
        </w:rPr>
        <w:t>’</w:t>
      </w:r>
      <w:r>
        <w:rPr>
          <w:rFonts w:ascii="Book Antiqua"/>
          <w:rtl w:val="0"/>
          <w:lang w:val="it-IT"/>
        </w:rPr>
        <w:t>ordinanza. L</w:t>
      </w:r>
      <w:r>
        <w:rPr>
          <w:rFonts w:hAnsi="Book Antiqua" w:hint="default"/>
          <w:rtl w:val="0"/>
          <w:lang w:val="it-IT"/>
        </w:rPr>
        <w:t>’</w:t>
      </w:r>
      <w:r>
        <w:rPr>
          <w:rFonts w:ascii="Book Antiqua"/>
          <w:rtl w:val="0"/>
          <w:lang w:val="it-IT"/>
        </w:rPr>
        <w:t xml:space="preserve">ordinanza </w:t>
      </w:r>
      <w:r>
        <w:rPr>
          <w:rFonts w:hAnsi="Book Antiqua" w:hint="default"/>
          <w:rtl w:val="0"/>
          <w:lang w:val="it-IT"/>
        </w:rPr>
        <w:t xml:space="preserve">è </w:t>
      </w:r>
      <w:r>
        <w:rPr>
          <w:rFonts w:ascii="Book Antiqua"/>
          <w:rtl w:val="0"/>
          <w:lang w:val="it-IT"/>
        </w:rPr>
        <w:t>per fare funzionare questo tritovagliatore, recuperato in giro per l</w:t>
      </w:r>
      <w:r>
        <w:rPr>
          <w:rFonts w:hAnsi="Book Antiqua" w:hint="default"/>
          <w:rtl w:val="0"/>
          <w:lang w:val="it-IT"/>
        </w:rPr>
        <w:t>’</w:t>
      </w:r>
      <w:r>
        <w:rPr>
          <w:rFonts w:ascii="Book Antiqua"/>
          <w:rtl w:val="0"/>
          <w:lang w:val="it-IT"/>
        </w:rPr>
        <w:t>Italia (non sono macchine che si recuperano cos</w:t>
      </w:r>
      <w:r>
        <w:rPr>
          <w:rFonts w:hAnsi="Book Antiqua" w:hint="default"/>
          <w:rtl w:val="0"/>
          <w:lang w:val="it-IT"/>
        </w:rPr>
        <w:t>ì</w:t>
      </w:r>
      <w:r>
        <w:rPr>
          <w:rFonts w:ascii="Book Antiqua"/>
          <w:rtl w:val="0"/>
          <w:lang w:val="it-IT"/>
        </w:rPr>
        <w:t xml:space="preserve">, non </w:t>
      </w:r>
      <w:r>
        <w:rPr>
          <w:rFonts w:hAnsi="Book Antiqua" w:hint="default"/>
          <w:rtl w:val="0"/>
          <w:lang w:val="it-IT"/>
        </w:rPr>
        <w:t xml:space="preserve">è </w:t>
      </w:r>
      <w:r>
        <w:rPr>
          <w:rFonts w:ascii="Book Antiqua"/>
          <w:rtl w:val="0"/>
          <w:lang w:val="it-IT"/>
        </w:rPr>
        <w:t>come andare al supermercato). Quindi, sono macchine che vengono fatte su ordinazione. Pertanto, in giro per l</w:t>
      </w:r>
      <w:r>
        <w:rPr>
          <w:rFonts w:hAnsi="Book Antiqua" w:hint="default"/>
          <w:rtl w:val="0"/>
          <w:lang w:val="it-IT"/>
        </w:rPr>
        <w:t>’</w:t>
      </w:r>
      <w:r>
        <w:rPr>
          <w:rFonts w:ascii="Book Antiqua"/>
          <w:rtl w:val="0"/>
          <w:lang w:val="it-IT"/>
        </w:rPr>
        <w:t>Italia troviamo questo tritovagliatore [</w:t>
      </w:r>
      <w:r>
        <w:rPr>
          <w:rFonts w:hAnsi="Book Antiqua" w:hint="default"/>
          <w:rtl w:val="0"/>
          <w:lang w:val="it-IT"/>
        </w:rPr>
        <w:t>…</w:t>
      </w:r>
      <w:r>
        <w:rPr>
          <w:rFonts w:ascii="Book Antiqua"/>
          <w:rtl w:val="0"/>
          <w:lang w:val="it-IT"/>
        </w:rPr>
        <w:t>] Quindi c</w:t>
      </w:r>
      <w:r>
        <w:rPr>
          <w:rFonts w:hAnsi="Book Antiqua" w:hint="default"/>
          <w:rtl w:val="0"/>
          <w:lang w:val="it-IT"/>
        </w:rPr>
        <w:t>’</w:t>
      </w:r>
      <w:r>
        <w:rPr>
          <w:rFonts w:ascii="Book Antiqua"/>
          <w:rtl w:val="0"/>
          <w:lang w:val="it-IT"/>
        </w:rPr>
        <w:t xml:space="preserve">erano queste sciocchezze, ma lui ha fatto credere al mondo che aveva risolto il problema di Roma con questo tritovagliatore, cosa che per gli ignoranti in materia poteva anche essere, si poteva anche credere, ma non </w:t>
      </w:r>
      <w:r>
        <w:rPr>
          <w:rFonts w:hAnsi="Book Antiqua" w:hint="default"/>
          <w:rtl w:val="0"/>
          <w:lang w:val="it-IT"/>
        </w:rPr>
        <w:t xml:space="preserve">è </w:t>
      </w:r>
      <w:r>
        <w:rPr>
          <w:rFonts w:ascii="Book Antiqua"/>
          <w:rtl w:val="0"/>
          <w:lang w:val="it-IT"/>
        </w:rPr>
        <w:t>cos</w:t>
      </w:r>
      <w:r>
        <w:rPr>
          <w:rFonts w:hAnsi="Book Antiqua" w:hint="default"/>
          <w:rtl w:val="0"/>
          <w:lang w:val="it-IT"/>
        </w:rPr>
        <w:t>ì</w:t>
      </w:r>
      <w:r>
        <w:rPr>
          <w:rFonts w:ascii="Book Antiqua"/>
          <w:rtl w:val="0"/>
          <w:lang w:val="it-IT"/>
        </w:rPr>
        <w:t>. Nel frattempo, il  tritovagliatore mobile, acquistato con i soldi dei cittadini, ha lavorato 14.000 tonnellate in tutto nel 2015. Quindi ha lavorato tantissimo: 14.000 tonnellate, cio</w:t>
      </w:r>
      <w:r>
        <w:rPr>
          <w:rFonts w:hAnsi="Book Antiqua" w:hint="default"/>
          <w:rtl w:val="0"/>
          <w:lang w:val="it-IT"/>
        </w:rPr>
        <w:t xml:space="preserve">è </w:t>
      </w:r>
      <w:r>
        <w:rPr>
          <w:rFonts w:ascii="Book Antiqua"/>
          <w:rtl w:val="0"/>
          <w:lang w:val="it-IT"/>
        </w:rPr>
        <w:t>niente, praticamente; mentre il tritovagliatore del Co.La.Ri. ne ha lavorate 280.000 [</w:t>
      </w:r>
      <w:r>
        <w:rPr>
          <w:rFonts w:hAnsi="Book Antiqua" w:hint="default"/>
          <w:rtl w:val="0"/>
          <w:lang w:val="it-IT"/>
        </w:rPr>
        <w:t>…</w:t>
      </w:r>
      <w:r>
        <w:rPr>
          <w:rFonts w:ascii="Book Antiqua"/>
          <w:rtl w:val="0"/>
          <w:lang w:val="it-IT"/>
        </w:rPr>
        <w:t xml:space="preserve">] vi </w:t>
      </w:r>
      <w:r>
        <w:rPr>
          <w:rFonts w:hAnsi="Book Antiqua" w:hint="default"/>
          <w:rtl w:val="0"/>
          <w:lang w:val="it-IT"/>
        </w:rPr>
        <w:t xml:space="preserve">è </w:t>
      </w:r>
      <w:r>
        <w:rPr>
          <w:rFonts w:ascii="Book Antiqua"/>
          <w:rtl w:val="0"/>
          <w:lang w:val="it-IT"/>
        </w:rPr>
        <w:t>il fatto che il tritovagliatore sia stato utilizzato cos</w:t>
      </w:r>
      <w:r>
        <w:rPr>
          <w:rFonts w:hAnsi="Book Antiqua" w:hint="default"/>
          <w:rtl w:val="0"/>
          <w:lang w:val="it-IT"/>
        </w:rPr>
        <w:t xml:space="preserve">ì </w:t>
      </w:r>
      <w:r>
        <w:rPr>
          <w:rFonts w:ascii="Book Antiqua"/>
          <w:rtl w:val="0"/>
          <w:lang w:val="it-IT"/>
        </w:rPr>
        <w:t>tanto (lo ripeto, 280.000 tonnellate) e, in pi</w:t>
      </w:r>
      <w:r>
        <w:rPr>
          <w:rFonts w:hAnsi="Book Antiqua" w:hint="default"/>
          <w:rtl w:val="0"/>
          <w:lang w:val="it-IT"/>
        </w:rPr>
        <w:t>ù</w:t>
      </w:r>
      <w:r>
        <w:rPr>
          <w:rFonts w:ascii="Book Antiqua"/>
          <w:rtl w:val="0"/>
          <w:lang w:val="it-IT"/>
        </w:rPr>
        <w:t>, che sia stato utilizzato fino al 22 febbraio del 2016, quindi quest</w:t>
      </w:r>
      <w:r>
        <w:rPr>
          <w:rFonts w:hAnsi="Book Antiqua" w:hint="default"/>
          <w:rtl w:val="0"/>
          <w:lang w:val="it-IT"/>
        </w:rPr>
        <w:t>’</w:t>
      </w:r>
      <w:r>
        <w:rPr>
          <w:rFonts w:ascii="Book Antiqua"/>
          <w:rtl w:val="0"/>
          <w:lang w:val="it-IT"/>
        </w:rPr>
        <w:t>anno, avendo portato, dal 1</w:t>
      </w:r>
      <w:r>
        <w:rPr>
          <w:rFonts w:hAnsi="Book Antiqua" w:hint="default"/>
          <w:rtl w:val="0"/>
          <w:lang w:val="it-IT"/>
        </w:rPr>
        <w:t>°</w:t>
      </w:r>
      <w:r>
        <w:rPr>
          <w:rFonts w:ascii="Book Antiqua"/>
          <w:rtl w:val="0"/>
          <w:lang w:val="it-IT"/>
        </w:rPr>
        <w:t xml:space="preserve"> gennaio al 22 febbraio, a 22.000 tonnellate di rifiuti. Se l</w:t>
      </w:r>
      <w:r>
        <w:rPr>
          <w:rFonts w:hAnsi="Book Antiqua" w:hint="default"/>
          <w:rtl w:val="0"/>
          <w:lang w:val="it-IT"/>
        </w:rPr>
        <w:t>’</w:t>
      </w:r>
      <w:r>
        <w:rPr>
          <w:rFonts w:ascii="Book Antiqua"/>
          <w:rtl w:val="0"/>
          <w:lang w:val="it-IT"/>
        </w:rPr>
        <w:t>impianto era abusivo, come lui dice, non riesco a far quadrare le cose, nel senso che era abusivo anche prima, tant</w:t>
      </w:r>
      <w:r>
        <w:rPr>
          <w:rFonts w:hAnsi="Book Antiqua" w:hint="default"/>
          <w:rtl w:val="0"/>
          <w:lang w:val="it-IT"/>
        </w:rPr>
        <w:t xml:space="preserve">’è </w:t>
      </w:r>
      <w:r>
        <w:rPr>
          <w:rFonts w:ascii="Book Antiqua"/>
          <w:rtl w:val="0"/>
          <w:lang w:val="it-IT"/>
        </w:rPr>
        <w:t xml:space="preserve">che Cerroni ha mandato una lettera a me come assessore dicendo che non </w:t>
      </w:r>
      <w:r>
        <w:rPr>
          <w:rFonts w:hAnsi="Book Antiqua" w:hint="default"/>
          <w:rtl w:val="0"/>
          <w:lang w:val="it-IT"/>
        </w:rPr>
        <w:t xml:space="preserve">è </w:t>
      </w:r>
      <w:r>
        <w:rPr>
          <w:rFonts w:ascii="Book Antiqua"/>
          <w:rtl w:val="0"/>
          <w:lang w:val="it-IT"/>
        </w:rPr>
        <w:t>abusivo perch</w:t>
      </w:r>
      <w:r>
        <w:rPr>
          <w:rFonts w:hAnsi="Book Antiqua" w:hint="default"/>
          <w:rtl w:val="0"/>
          <w:lang w:val="it-IT"/>
        </w:rPr>
        <w:t xml:space="preserve">é </w:t>
      </w:r>
      <w:r>
        <w:rPr>
          <w:rFonts w:ascii="Book Antiqua"/>
          <w:rtl w:val="0"/>
          <w:lang w:val="it-IT"/>
        </w:rPr>
        <w:t>gli hanno dato un</w:t>
      </w:r>
      <w:r>
        <w:rPr>
          <w:rFonts w:hAnsi="Book Antiqua" w:hint="default"/>
          <w:rtl w:val="0"/>
          <w:lang w:val="it-IT"/>
        </w:rPr>
        <w:t>’</w:t>
      </w:r>
      <w:r>
        <w:rPr>
          <w:rFonts w:ascii="Book Antiqua"/>
          <w:rtl w:val="0"/>
          <w:lang w:val="it-IT"/>
        </w:rPr>
        <w:t>autorizzazione. In pi</w:t>
      </w:r>
      <w:r>
        <w:rPr>
          <w:rFonts w:hAnsi="Book Antiqua" w:hint="default"/>
          <w:rtl w:val="0"/>
          <w:lang w:val="it-IT"/>
        </w:rPr>
        <w:t>ù</w:t>
      </w:r>
      <w:r>
        <w:rPr>
          <w:rFonts w:ascii="Book Antiqua"/>
          <w:rtl w:val="0"/>
          <w:lang w:val="it-IT"/>
        </w:rPr>
        <w:t>, c</w:t>
      </w:r>
      <w:r>
        <w:rPr>
          <w:rFonts w:hAnsi="Book Antiqua" w:hint="default"/>
          <w:rtl w:val="0"/>
          <w:lang w:val="it-IT"/>
        </w:rPr>
        <w:t xml:space="preserve">’è </w:t>
      </w:r>
      <w:r>
        <w:rPr>
          <w:rFonts w:ascii="Book Antiqua"/>
          <w:rtl w:val="0"/>
          <w:lang w:val="it-IT"/>
        </w:rPr>
        <w:t>da chiedersi perch</w:t>
      </w:r>
      <w:r>
        <w:rPr>
          <w:rFonts w:hAnsi="Book Antiqua" w:hint="default"/>
          <w:rtl w:val="0"/>
          <w:lang w:val="it-IT"/>
        </w:rPr>
        <w:t xml:space="preserve">é </w:t>
      </w:r>
      <w:r>
        <w:rPr>
          <w:rFonts w:ascii="Book Antiqua"/>
          <w:rtl w:val="0"/>
          <w:lang w:val="it-IT"/>
        </w:rPr>
        <w:t>la regione l</w:t>
      </w:r>
      <w:r>
        <w:rPr>
          <w:rFonts w:hAnsi="Book Antiqua" w:hint="default"/>
          <w:rtl w:val="0"/>
          <w:lang w:val="it-IT"/>
        </w:rPr>
        <w:t>’</w:t>
      </w:r>
      <w:r>
        <w:rPr>
          <w:rFonts w:ascii="Book Antiqua"/>
          <w:rtl w:val="0"/>
          <w:lang w:val="it-IT"/>
        </w:rPr>
        <w:t>abbia inserito nell</w:t>
      </w:r>
      <w:r>
        <w:rPr>
          <w:rFonts w:hAnsi="Book Antiqua" w:hint="default"/>
          <w:rtl w:val="0"/>
          <w:lang w:val="it-IT"/>
        </w:rPr>
        <w:t>’</w:t>
      </w:r>
      <w:r>
        <w:rPr>
          <w:rFonts w:ascii="Book Antiqua"/>
          <w:rtl w:val="0"/>
          <w:lang w:val="it-IT"/>
        </w:rPr>
        <w:t>impiantistica di riferimento [</w:t>
      </w:r>
      <w:r>
        <w:rPr>
          <w:rFonts w:hAnsi="Book Antiqua" w:hint="default"/>
          <w:rtl w:val="0"/>
          <w:lang w:val="it-IT"/>
        </w:rPr>
        <w:t>…</w:t>
      </w:r>
      <w:r>
        <w:rPr>
          <w:rFonts w:ascii="Book Antiqua"/>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ero a conoscenza di tutto il suo comportamento di tre anni, un comportamento che poi ho capito per filo e per segno quando sono stata da questa parte, cio</w:t>
      </w:r>
      <w:r>
        <w:rPr>
          <w:rFonts w:hAnsi="Book Antiqua" w:hint="default"/>
          <w:rtl w:val="0"/>
          <w:lang w:val="it-IT"/>
        </w:rPr>
        <w:t xml:space="preserve">è </w:t>
      </w:r>
      <w:r>
        <w:rPr>
          <w:rFonts w:ascii="Book Antiqua"/>
          <w:rtl w:val="0"/>
          <w:lang w:val="it-IT"/>
        </w:rPr>
        <w:t>dalla parte delle istituzioni; da l</w:t>
      </w:r>
      <w:r>
        <w:rPr>
          <w:rFonts w:hAnsi="Book Antiqua" w:hint="default"/>
          <w:rtl w:val="0"/>
          <w:lang w:val="it-IT"/>
        </w:rPr>
        <w:t xml:space="preserve">ì </w:t>
      </w:r>
      <w:r>
        <w:rPr>
          <w:rFonts w:ascii="Book Antiqua"/>
          <w:rtl w:val="0"/>
          <w:lang w:val="it-IT"/>
        </w:rPr>
        <w:t>ho capito che alcuni passaggi per me erano incomprensibili, come il fatto che lui abbia volutamente chiuso il tritovagliatore dell</w:t>
      </w:r>
      <w:r>
        <w:rPr>
          <w:rFonts w:hAnsi="Book Antiqua" w:hint="default"/>
          <w:rtl w:val="0"/>
          <w:lang w:val="it-IT"/>
        </w:rPr>
        <w:t>’</w:t>
      </w:r>
      <w:r>
        <w:rPr>
          <w:rFonts w:ascii="Book Antiqua"/>
          <w:rtl w:val="0"/>
          <w:lang w:val="it-IT"/>
        </w:rPr>
        <w:t>avvocato Cerroni, perch</w:t>
      </w:r>
      <w:r>
        <w:rPr>
          <w:rFonts w:hAnsi="Book Antiqua" w:hint="default"/>
          <w:rtl w:val="0"/>
          <w:lang w:val="it-IT"/>
        </w:rPr>
        <w:t xml:space="preserve">é </w:t>
      </w:r>
      <w:r>
        <w:rPr>
          <w:rFonts w:ascii="Book Antiqua"/>
          <w:rtl w:val="0"/>
          <w:lang w:val="it-IT"/>
        </w:rPr>
        <w:t>nessuno pi</w:t>
      </w:r>
      <w:r>
        <w:rPr>
          <w:rFonts w:hAnsi="Book Antiqua" w:hint="default"/>
          <w:rtl w:val="0"/>
          <w:lang w:val="it-IT"/>
        </w:rPr>
        <w:t xml:space="preserve">ù </w:t>
      </w:r>
      <w:r>
        <w:rPr>
          <w:rFonts w:ascii="Book Antiqua"/>
          <w:rtl w:val="0"/>
          <w:lang w:val="it-IT"/>
        </w:rPr>
        <w:t>pu</w:t>
      </w:r>
      <w:r>
        <w:rPr>
          <w:rFonts w:hAnsi="Book Antiqua" w:hint="default"/>
          <w:rtl w:val="0"/>
          <w:lang w:val="it-IT"/>
        </w:rPr>
        <w:t xml:space="preserve">ò </w:t>
      </w:r>
      <w:r>
        <w:rPr>
          <w:rFonts w:ascii="Book Antiqua"/>
          <w:rtl w:val="0"/>
          <w:lang w:val="it-IT"/>
        </w:rPr>
        <w:t xml:space="preserve">riaprirlo. Se infatti tu chiudi un impianto, sfido chiunque a poterlo riaprire, a meno che, come dice giustamente lui </w:t>
      </w:r>
      <w:r>
        <w:rPr>
          <w:rFonts w:hAnsi="Book Antiqua" w:hint="default"/>
          <w:rtl w:val="0"/>
          <w:lang w:val="it-IT"/>
        </w:rPr>
        <w:t xml:space="preserve">– </w:t>
      </w:r>
      <w:r>
        <w:rPr>
          <w:rFonts w:ascii="Book Antiqua"/>
          <w:rtl w:val="0"/>
          <w:lang w:val="it-IT"/>
        </w:rPr>
        <w:t>perch</w:t>
      </w:r>
      <w:r>
        <w:rPr>
          <w:rFonts w:hAnsi="Book Antiqua" w:hint="default"/>
          <w:rtl w:val="0"/>
          <w:lang w:val="it-IT"/>
        </w:rPr>
        <w:t xml:space="preserve">é </w:t>
      </w:r>
      <w:r>
        <w:rPr>
          <w:rFonts w:ascii="Book Antiqua"/>
          <w:rtl w:val="0"/>
          <w:lang w:val="it-IT"/>
        </w:rPr>
        <w:t xml:space="preserve">Fortini </w:t>
      </w:r>
      <w:r>
        <w:rPr>
          <w:rFonts w:hAnsi="Book Antiqua" w:hint="default"/>
          <w:rtl w:val="0"/>
          <w:lang w:val="it-IT"/>
        </w:rPr>
        <w:t xml:space="preserve">è </w:t>
      </w:r>
      <w:r>
        <w:rPr>
          <w:rFonts w:ascii="Book Antiqua"/>
          <w:rtl w:val="0"/>
          <w:lang w:val="it-IT"/>
        </w:rPr>
        <w:t xml:space="preserve">un genio su queste cose </w:t>
      </w:r>
      <w:r>
        <w:rPr>
          <w:rFonts w:hAnsi="Book Antiqua" w:hint="default"/>
          <w:rtl w:val="0"/>
          <w:lang w:val="it-IT"/>
        </w:rPr>
        <w:t xml:space="preserve">– </w:t>
      </w:r>
      <w:r>
        <w:rPr>
          <w:rFonts w:ascii="Book Antiqua"/>
          <w:rtl w:val="0"/>
          <w:lang w:val="it-IT"/>
        </w:rPr>
        <w:t>qualcuno non dica che siamo in emergenza. Nelle ultime lettere, tra l</w:t>
      </w:r>
      <w:r>
        <w:rPr>
          <w:rFonts w:hAnsi="Book Antiqua" w:hint="default"/>
          <w:rtl w:val="0"/>
          <w:lang w:val="it-IT"/>
        </w:rPr>
        <w:t>’</w:t>
      </w:r>
      <w:r>
        <w:rPr>
          <w:rFonts w:ascii="Book Antiqua"/>
          <w:rtl w:val="0"/>
          <w:lang w:val="it-IT"/>
        </w:rPr>
        <w:t>altro, parlo gi</w:t>
      </w:r>
      <w:r>
        <w:rPr>
          <w:rFonts w:hAnsi="Book Antiqua" w:hint="default"/>
          <w:rtl w:val="0"/>
          <w:lang w:val="it-IT"/>
        </w:rPr>
        <w:t xml:space="preserve">à </w:t>
      </w:r>
      <w:r>
        <w:rPr>
          <w:rFonts w:ascii="Book Antiqua"/>
          <w:rtl w:val="0"/>
          <w:lang w:val="it-IT"/>
        </w:rPr>
        <w:t>di luglio, quando scrive direttamente al sindaco, lui dice anche che si pu</w:t>
      </w:r>
      <w:r>
        <w:rPr>
          <w:rFonts w:hAnsi="Book Antiqua" w:hint="default"/>
          <w:rtl w:val="0"/>
          <w:lang w:val="it-IT"/>
        </w:rPr>
        <w:t xml:space="preserve">ò </w:t>
      </w:r>
      <w:r>
        <w:rPr>
          <w:rFonts w:ascii="Book Antiqua"/>
          <w:rtl w:val="0"/>
          <w:lang w:val="it-IT"/>
        </w:rPr>
        <w:t xml:space="preserve">fare, che questo impianto </w:t>
      </w:r>
      <w:r>
        <w:rPr>
          <w:rFonts w:hAnsi="Book Antiqua" w:hint="default"/>
          <w:rtl w:val="0"/>
          <w:lang w:val="it-IT"/>
        </w:rPr>
        <w:t xml:space="preserve">è </w:t>
      </w:r>
      <w:r>
        <w:rPr>
          <w:rFonts w:ascii="Book Antiqua"/>
          <w:rtl w:val="0"/>
          <w:lang w:val="it-IT"/>
        </w:rPr>
        <w:t>fondamentale, ma che per</w:t>
      </w:r>
      <w:r>
        <w:rPr>
          <w:rFonts w:hAnsi="Book Antiqua" w:hint="default"/>
          <w:rtl w:val="0"/>
          <w:lang w:val="it-IT"/>
        </w:rPr>
        <w:t xml:space="preserve">ò </w:t>
      </w:r>
      <w:r>
        <w:rPr>
          <w:rFonts w:ascii="Book Antiqua"/>
          <w:rtl w:val="0"/>
          <w:lang w:val="it-IT"/>
        </w:rPr>
        <w:t>ci vuole una tariffa, perch</w:t>
      </w:r>
      <w:r>
        <w:rPr>
          <w:rFonts w:hAnsi="Book Antiqua" w:hint="default"/>
          <w:rtl w:val="0"/>
          <w:lang w:val="it-IT"/>
        </w:rPr>
        <w:t xml:space="preserve">é </w:t>
      </w:r>
      <w:r>
        <w:rPr>
          <w:rFonts w:ascii="Book Antiqua"/>
          <w:rtl w:val="0"/>
          <w:lang w:val="it-IT"/>
        </w:rPr>
        <w:t>essendo un impianto inserito nell</w:t>
      </w:r>
      <w:r>
        <w:rPr>
          <w:rFonts w:hAnsi="Book Antiqua" w:hint="default"/>
          <w:rtl w:val="0"/>
          <w:lang w:val="it-IT"/>
        </w:rPr>
        <w:t>’</w:t>
      </w:r>
      <w:r>
        <w:rPr>
          <w:rFonts w:ascii="Book Antiqua"/>
          <w:rtl w:val="0"/>
          <w:lang w:val="it-IT"/>
        </w:rPr>
        <w:t>impiantistica regionale ed essendo l</w:t>
      </w:r>
      <w:r>
        <w:rPr>
          <w:rFonts w:hAnsi="Book Antiqua" w:hint="default"/>
          <w:rtl w:val="0"/>
          <w:lang w:val="it-IT"/>
        </w:rPr>
        <w:t>’</w:t>
      </w:r>
      <w:r>
        <w:rPr>
          <w:rFonts w:ascii="Book Antiqua"/>
          <w:rtl w:val="0"/>
          <w:lang w:val="it-IT"/>
        </w:rPr>
        <w:t xml:space="preserve">azienda pubblica, </w:t>
      </w:r>
      <w:r>
        <w:rPr>
          <w:rFonts w:hAnsi="Book Antiqua" w:hint="default"/>
          <w:rtl w:val="0"/>
          <w:lang w:val="it-IT"/>
        </w:rPr>
        <w:t xml:space="preserve">è </w:t>
      </w:r>
      <w:r>
        <w:rPr>
          <w:rFonts w:ascii="Book Antiqua"/>
          <w:rtl w:val="0"/>
          <w:lang w:val="it-IT"/>
        </w:rPr>
        <w:t>ovvio che ci si aspettava la tariffa da parte della regione. Tuttavia, ricordiamoci i passaggi: prima era abusivo! In secondo luogo, a questo punto, da assessore, io vado a tirare fuori la documentazione in cui  Estella Marino, il precedente assessore, lei stessa organizza, viene convocata, anzi incita, chiama allarmata il prefetto Gabrielli a fine estate 2015 (avete qui dentro la documentazione) perch</w:t>
      </w:r>
      <w:r>
        <w:rPr>
          <w:rFonts w:hAnsi="Book Antiqua" w:hint="default"/>
          <w:rtl w:val="0"/>
          <w:lang w:val="it-IT"/>
        </w:rPr>
        <w:t xml:space="preserve">é </w:t>
      </w:r>
      <w:r>
        <w:rPr>
          <w:rFonts w:ascii="Book Antiqua"/>
          <w:rtl w:val="0"/>
          <w:lang w:val="it-IT"/>
        </w:rPr>
        <w:t xml:space="preserve">il Co.La.Ri., siccome non </w:t>
      </w:r>
      <w:r>
        <w:rPr>
          <w:rFonts w:hAnsi="Book Antiqua" w:hint="default"/>
          <w:rtl w:val="0"/>
          <w:lang w:val="it-IT"/>
        </w:rPr>
        <w:t xml:space="preserve">è </w:t>
      </w:r>
      <w:r>
        <w:rPr>
          <w:rFonts w:ascii="Book Antiqua"/>
          <w:rtl w:val="0"/>
          <w:lang w:val="it-IT"/>
        </w:rPr>
        <w:t xml:space="preserve">pagato per le questioni  solite e riceve solo degli acconti nelle more della definizione della tariffa, dice: </w:t>
      </w:r>
      <w:r>
        <w:rPr>
          <w:rFonts w:hAnsi="Book Antiqua" w:hint="default"/>
          <w:rtl w:val="0"/>
          <w:lang w:val="it-IT"/>
        </w:rPr>
        <w:t>«</w:t>
      </w:r>
      <w:r>
        <w:rPr>
          <w:rFonts w:ascii="Book Antiqua"/>
          <w:rtl w:val="0"/>
          <w:lang w:val="it-IT"/>
        </w:rPr>
        <w:t>basta, non ce la faccio pi</w:t>
      </w:r>
      <w:r>
        <w:rPr>
          <w:rFonts w:hAnsi="Book Antiqua" w:hint="default"/>
          <w:rtl w:val="0"/>
          <w:lang w:val="it-IT"/>
        </w:rPr>
        <w:t xml:space="preserve">ù </w:t>
      </w:r>
      <w:r>
        <w:rPr>
          <w:rFonts w:ascii="Book Antiqua"/>
          <w:rtl w:val="0"/>
          <w:lang w:val="it-IT"/>
        </w:rPr>
        <w:t>ad andare avanti; non paghi le fatture in un certo modo e quindi intimo una serrata</w:t>
      </w:r>
      <w:r>
        <w:rPr>
          <w:rFonts w:hAnsi="Book Antiqua" w:hint="default"/>
          <w:rtl w:val="0"/>
          <w:lang w:val="it-IT"/>
        </w:rPr>
        <w:t>»</w:t>
      </w:r>
      <w:r>
        <w:rPr>
          <w:rFonts w:ascii="Book Antiqua"/>
          <w:rtl w:val="0"/>
          <w:lang w:val="it-IT"/>
        </w:rPr>
        <w:t>. C</w:t>
      </w:r>
      <w:r>
        <w:rPr>
          <w:rFonts w:hAnsi="Book Antiqua" w:hint="default"/>
          <w:rtl w:val="0"/>
          <w:lang w:val="it-IT"/>
        </w:rPr>
        <w:t xml:space="preserve">’è </w:t>
      </w:r>
      <w:r>
        <w:rPr>
          <w:rFonts w:ascii="Book Antiqua"/>
          <w:rtl w:val="0"/>
          <w:lang w:val="it-IT"/>
        </w:rPr>
        <w:t xml:space="preserve">proprio la parola </w:t>
      </w:r>
      <w:r>
        <w:rPr>
          <w:rFonts w:hAnsi="Book Antiqua" w:hint="default"/>
          <w:rtl w:val="0"/>
          <w:lang w:val="it-IT"/>
        </w:rPr>
        <w:t>«</w:t>
      </w:r>
      <w:r>
        <w:rPr>
          <w:rFonts w:ascii="Book Antiqua"/>
          <w:rtl w:val="0"/>
          <w:lang w:val="it-IT"/>
        </w:rPr>
        <w:t>serrata</w:t>
      </w:r>
      <w:r>
        <w:rPr>
          <w:rFonts w:hAnsi="Book Antiqua" w:hint="default"/>
          <w:rtl w:val="0"/>
          <w:lang w:val="it-IT"/>
        </w:rPr>
        <w:t>»</w:t>
      </w:r>
      <w:r>
        <w:rPr>
          <w:rFonts w:ascii="Book Antiqua"/>
          <w:rtl w:val="0"/>
          <w:lang w:val="it-IT"/>
        </w:rPr>
        <w:t>! Allora, a questo punto, si agitano tutti perch</w:t>
      </w:r>
      <w:r>
        <w:rPr>
          <w:rFonts w:hAnsi="Book Antiqua" w:hint="default"/>
          <w:rtl w:val="0"/>
          <w:lang w:val="it-IT"/>
        </w:rPr>
        <w:t>é</w:t>
      </w:r>
      <w:r>
        <w:rPr>
          <w:rFonts w:ascii="Book Antiqua"/>
          <w:rtl w:val="0"/>
          <w:lang w:val="it-IT"/>
        </w:rPr>
        <w:t xml:space="preserve">, effettivamente, la serrata crea un problema a Marino. Siamo in un periodo in cui </w:t>
      </w:r>
      <w:r>
        <w:rPr>
          <w:rFonts w:hAnsi="Book Antiqua" w:hint="default"/>
          <w:rtl w:val="0"/>
          <w:lang w:val="it-IT"/>
        </w:rPr>
        <w:t xml:space="preserve">– è </w:t>
      </w:r>
      <w:r>
        <w:rPr>
          <w:rFonts w:ascii="Book Antiqua"/>
          <w:rtl w:val="0"/>
          <w:lang w:val="it-IT"/>
        </w:rPr>
        <w:t xml:space="preserve">estate </w:t>
      </w:r>
      <w:r>
        <w:rPr>
          <w:rFonts w:hAnsi="Book Antiqua" w:hint="default"/>
          <w:rtl w:val="0"/>
          <w:lang w:val="it-IT"/>
        </w:rPr>
        <w:t xml:space="preserve">– </w:t>
      </w:r>
      <w:r>
        <w:rPr>
          <w:rFonts w:ascii="Book Antiqua"/>
          <w:rtl w:val="0"/>
          <w:lang w:val="it-IT"/>
        </w:rPr>
        <w:t>c</w:t>
      </w:r>
      <w:r>
        <w:rPr>
          <w:rFonts w:hAnsi="Book Antiqua" w:hint="default"/>
          <w:rtl w:val="0"/>
          <w:lang w:val="it-IT"/>
        </w:rPr>
        <w:t xml:space="preserve">’è </w:t>
      </w:r>
      <w:r>
        <w:rPr>
          <w:rFonts w:ascii="Book Antiqua"/>
          <w:rtl w:val="0"/>
          <w:lang w:val="it-IT"/>
        </w:rPr>
        <w:t>un</w:t>
      </w:r>
      <w:r>
        <w:rPr>
          <w:rFonts w:hAnsi="Book Antiqua" w:hint="default"/>
          <w:rtl w:val="0"/>
          <w:lang w:val="it-IT"/>
        </w:rPr>
        <w:t>’</w:t>
      </w:r>
      <w:r>
        <w:rPr>
          <w:rFonts w:ascii="Book Antiqua"/>
          <w:rtl w:val="0"/>
          <w:lang w:val="it-IT"/>
        </w:rPr>
        <w:t>emergenza rifiuti (e comunque c</w:t>
      </w:r>
      <w:r>
        <w:rPr>
          <w:rFonts w:hAnsi="Book Antiqua" w:hint="default"/>
          <w:rtl w:val="0"/>
          <w:lang w:val="it-IT"/>
        </w:rPr>
        <w:t>’</w:t>
      </w:r>
      <w:r>
        <w:rPr>
          <w:rFonts w:ascii="Book Antiqua"/>
          <w:rtl w:val="0"/>
          <w:lang w:val="it-IT"/>
        </w:rPr>
        <w:t>era gi</w:t>
      </w:r>
      <w:r>
        <w:rPr>
          <w:rFonts w:hAnsi="Book Antiqua" w:hint="default"/>
          <w:rtl w:val="0"/>
          <w:lang w:val="it-IT"/>
        </w:rPr>
        <w:t xml:space="preserve">à </w:t>
      </w:r>
      <w:r>
        <w:rPr>
          <w:rFonts w:ascii="Book Antiqua"/>
          <w:rtl w:val="0"/>
          <w:lang w:val="it-IT"/>
        </w:rPr>
        <w:t>l</w:t>
      </w:r>
      <w:r>
        <w:rPr>
          <w:rFonts w:hAnsi="Book Antiqua" w:hint="default"/>
          <w:rtl w:val="0"/>
          <w:lang w:val="it-IT"/>
        </w:rPr>
        <w:t>’</w:t>
      </w:r>
      <w:r>
        <w:rPr>
          <w:rFonts w:ascii="Book Antiqua"/>
          <w:rtl w:val="0"/>
          <w:lang w:val="it-IT"/>
        </w:rPr>
        <w:t>emergenza perch</w:t>
      </w:r>
      <w:r>
        <w:rPr>
          <w:rFonts w:hAnsi="Book Antiqua" w:hint="default"/>
          <w:rtl w:val="0"/>
          <w:lang w:val="it-IT"/>
        </w:rPr>
        <w:t xml:space="preserve">é </w:t>
      </w:r>
      <w:r>
        <w:rPr>
          <w:rFonts w:ascii="Book Antiqua"/>
          <w:rtl w:val="0"/>
          <w:lang w:val="it-IT"/>
        </w:rPr>
        <w:t>se il sindaco Marino emette l</w:t>
      </w:r>
      <w:r>
        <w:rPr>
          <w:rFonts w:hAnsi="Book Antiqua" w:hint="default"/>
          <w:rtl w:val="0"/>
          <w:lang w:val="it-IT"/>
        </w:rPr>
        <w:t>’</w:t>
      </w:r>
      <w:r>
        <w:rPr>
          <w:rFonts w:ascii="Book Antiqua"/>
          <w:rtl w:val="0"/>
          <w:lang w:val="it-IT"/>
        </w:rPr>
        <w:t>ordinanza sul tritovagliatore mobile, va da s</w:t>
      </w:r>
      <w:r>
        <w:rPr>
          <w:rFonts w:hAnsi="Book Antiqua" w:hint="default"/>
          <w:rtl w:val="0"/>
          <w:lang w:val="it-IT"/>
        </w:rPr>
        <w:t xml:space="preserve">é </w:t>
      </w:r>
      <w:r>
        <w:rPr>
          <w:rFonts w:ascii="Book Antiqua"/>
          <w:rtl w:val="0"/>
          <w:lang w:val="it-IT"/>
        </w:rPr>
        <w:t>che non possa essere chiuso il tritovagliatore tuo, cio</w:t>
      </w:r>
      <w:r>
        <w:rPr>
          <w:rFonts w:hAnsi="Book Antiqua" w:hint="default"/>
          <w:rtl w:val="0"/>
          <w:lang w:val="it-IT"/>
        </w:rPr>
        <w:t xml:space="preserve">è </w:t>
      </w:r>
      <w:r>
        <w:rPr>
          <w:rFonts w:ascii="Book Antiqua"/>
          <w:rtl w:val="0"/>
          <w:lang w:val="it-IT"/>
        </w:rPr>
        <w:t xml:space="preserve">di Co.La.Ri.). A quel punto si fa una relazione su questo e la serrata in qualche modo viene evitata. Successivamente, Fortini vuole acquistare il tritovagliatore del Co.La.Ri., quindi non se ne voleva privare: se ne </w:t>
      </w:r>
      <w:r>
        <w:rPr>
          <w:rFonts w:hAnsi="Book Antiqua" w:hint="default"/>
          <w:rtl w:val="0"/>
          <w:lang w:val="it-IT"/>
        </w:rPr>
        <w:t xml:space="preserve">è </w:t>
      </w:r>
      <w:r>
        <w:rPr>
          <w:rFonts w:ascii="Book Antiqua"/>
          <w:rtl w:val="0"/>
          <w:lang w:val="it-IT"/>
        </w:rPr>
        <w:t xml:space="preserve">voluto privare a febbraio. Voleva acquistarlo (sembrerebbe, io non ho certezza di questo, questo </w:t>
      </w:r>
      <w:r>
        <w:rPr>
          <w:rFonts w:hAnsi="Book Antiqua" w:hint="default"/>
          <w:rtl w:val="0"/>
          <w:lang w:val="it-IT"/>
        </w:rPr>
        <w:t xml:space="preserve">è </w:t>
      </w:r>
      <w:r>
        <w:rPr>
          <w:rFonts w:ascii="Book Antiqua"/>
          <w:rtl w:val="0"/>
          <w:lang w:val="it-IT"/>
        </w:rPr>
        <w:t xml:space="preserve">comunque da sondare, da verificare) e dice: </w:t>
      </w:r>
      <w:r>
        <w:rPr>
          <w:rFonts w:hAnsi="Book Antiqua" w:hint="default"/>
          <w:rtl w:val="0"/>
          <w:lang w:val="it-IT"/>
        </w:rPr>
        <w:t>«</w:t>
      </w:r>
      <w:r>
        <w:rPr>
          <w:rFonts w:ascii="Book Antiqua"/>
          <w:rtl w:val="0"/>
          <w:lang w:val="it-IT"/>
        </w:rPr>
        <w:t>comunque io ti sono debitore; cerchiamo di fare un accordo; se io ti acquisto l</w:t>
      </w:r>
      <w:r>
        <w:rPr>
          <w:rFonts w:hAnsi="Book Antiqua" w:hint="default"/>
          <w:rtl w:val="0"/>
          <w:lang w:val="it-IT"/>
        </w:rPr>
        <w:t>’</w:t>
      </w:r>
      <w:r>
        <w:rPr>
          <w:rFonts w:ascii="Book Antiqua"/>
          <w:rtl w:val="0"/>
          <w:lang w:val="it-IT"/>
        </w:rPr>
        <w:t>impianto, secondo un accordo che dobbiamo fare, troviamo il giusto</w:t>
      </w:r>
      <w:r>
        <w:rPr>
          <w:rFonts w:hAnsi="Book Antiqua" w:hint="default"/>
          <w:rtl w:val="0"/>
          <w:lang w:val="it-IT"/>
        </w:rPr>
        <w:t>»</w:t>
      </w:r>
      <w:r>
        <w:rPr>
          <w:rFonts w:ascii="Book Antiqua"/>
          <w:rtl w:val="0"/>
          <w:lang w:val="it-IT"/>
        </w:rPr>
        <w:t xml:space="preserve">. Di punto in bianco, poi, io ignoro la motivazione per cui questo accordo non si </w:t>
      </w:r>
      <w:r>
        <w:rPr>
          <w:rFonts w:hAnsi="Book Antiqua" w:hint="default"/>
          <w:rtl w:val="0"/>
          <w:lang w:val="it-IT"/>
        </w:rPr>
        <w:t xml:space="preserve">è </w:t>
      </w:r>
      <w:r>
        <w:rPr>
          <w:rFonts w:ascii="Book Antiqua"/>
          <w:rtl w:val="0"/>
          <w:lang w:val="it-IT"/>
        </w:rPr>
        <w:t>fatto: non ne ho idea. A febbraio, per</w:t>
      </w:r>
      <w:r>
        <w:rPr>
          <w:rFonts w:hAnsi="Book Antiqua" w:hint="default"/>
          <w:rtl w:val="0"/>
          <w:lang w:val="it-IT"/>
        </w:rPr>
        <w:t>ò</w:t>
      </w:r>
      <w:r>
        <w:rPr>
          <w:rFonts w:ascii="Book Antiqua"/>
          <w:rtl w:val="0"/>
          <w:lang w:val="it-IT"/>
        </w:rPr>
        <w:t>, una cosa la so: siamo ad ottobre 2015 e gli impianti TMB sono strapieni; siamo gi</w:t>
      </w:r>
      <w:r>
        <w:rPr>
          <w:rFonts w:hAnsi="Book Antiqua" w:hint="default"/>
          <w:rtl w:val="0"/>
          <w:lang w:val="it-IT"/>
        </w:rPr>
        <w:t xml:space="preserve">à </w:t>
      </w:r>
      <w:r>
        <w:rPr>
          <w:rFonts w:ascii="Book Antiqua"/>
          <w:rtl w:val="0"/>
          <w:lang w:val="it-IT"/>
        </w:rPr>
        <w:t>in emergenza, tant</w:t>
      </w:r>
      <w:r>
        <w:rPr>
          <w:rFonts w:hAnsi="Book Antiqua" w:hint="default"/>
          <w:rtl w:val="0"/>
          <w:lang w:val="it-IT"/>
        </w:rPr>
        <w:t xml:space="preserve">’è </w:t>
      </w:r>
      <w:r>
        <w:rPr>
          <w:rFonts w:ascii="Book Antiqua"/>
          <w:rtl w:val="0"/>
          <w:lang w:val="it-IT"/>
        </w:rPr>
        <w:t xml:space="preserve">vero che i responsabili di impianto chiedono cosa devono fare; le fosse sono sature e questo </w:t>
      </w:r>
      <w:r>
        <w:rPr>
          <w:rFonts w:hAnsi="Book Antiqua" w:hint="default"/>
          <w:rtl w:val="0"/>
          <w:lang w:val="it-IT"/>
        </w:rPr>
        <w:t xml:space="preserve">è </w:t>
      </w:r>
      <w:r>
        <w:rPr>
          <w:rFonts w:ascii="Book Antiqua"/>
          <w:rtl w:val="0"/>
          <w:lang w:val="it-IT"/>
        </w:rPr>
        <w:t>il meccanismo di fare uscire il materiale, quindi era fondamentale che il materiale fosse allontanato dall</w:t>
      </w:r>
      <w:r>
        <w:rPr>
          <w:rFonts w:hAnsi="Book Antiqua" w:hint="default"/>
          <w:rtl w:val="0"/>
          <w:lang w:val="it-IT"/>
        </w:rPr>
        <w:t>’</w:t>
      </w:r>
      <w:r>
        <w:rPr>
          <w:rFonts w:ascii="Book Antiqua"/>
          <w:rtl w:val="0"/>
          <w:lang w:val="it-IT"/>
        </w:rPr>
        <w:t xml:space="preserve">impianto in tempi rapidissimi; quindi questa </w:t>
      </w:r>
      <w:r>
        <w:rPr>
          <w:rFonts w:hAnsi="Book Antiqua" w:hint="default"/>
          <w:rtl w:val="0"/>
          <w:lang w:val="it-IT"/>
        </w:rPr>
        <w:t xml:space="preserve">è </w:t>
      </w:r>
      <w:r>
        <w:rPr>
          <w:rFonts w:ascii="Book Antiqua"/>
          <w:rtl w:val="0"/>
          <w:lang w:val="it-IT"/>
        </w:rPr>
        <w:t>l</w:t>
      </w:r>
      <w:r>
        <w:rPr>
          <w:rFonts w:hAnsi="Book Antiqua" w:hint="default"/>
          <w:rtl w:val="0"/>
          <w:lang w:val="it-IT"/>
        </w:rPr>
        <w:t>’</w:t>
      </w:r>
      <w:r>
        <w:rPr>
          <w:rFonts w:ascii="Book Antiqua"/>
          <w:rtl w:val="0"/>
          <w:lang w:val="it-IT"/>
        </w:rPr>
        <w:t>importanza delle penali, in quel caso (perch</w:t>
      </w:r>
      <w:r>
        <w:rPr>
          <w:rFonts w:hAnsi="Book Antiqua" w:hint="default"/>
          <w:rtl w:val="0"/>
          <w:lang w:val="it-IT"/>
        </w:rPr>
        <w:t xml:space="preserve">é </w:t>
      </w:r>
      <w:r>
        <w:rPr>
          <w:rFonts w:ascii="Book Antiqua"/>
          <w:rtl w:val="0"/>
          <w:lang w:val="it-IT"/>
        </w:rPr>
        <w:t>mi fai andare in emergenza, praticamente, voluta o no)</w:t>
      </w:r>
      <w:r>
        <w:rPr>
          <w:rFonts w:ascii="Book Antiqua" w:cs="Book Antiqua" w:hAnsi="Book Antiqua" w:eastAsia="Book Antiqua"/>
          <w:vertAlign w:val="superscript"/>
          <w:rtl w:val="0"/>
        </w:rPr>
        <w:footnoteReference w:id="66"/>
      </w:r>
      <w:r>
        <w:rPr>
          <w:rFonts w:ascii="Book Antiqua"/>
          <w:rtl w:val="0"/>
          <w:lang w:val="it-IT"/>
        </w:rPr>
        <w:t xml:space="preserve">. Poi, per questioni di manutenzione, io faccio rilevare a ottobre che gli impianti sono strapieni, che non </w:t>
      </w:r>
      <w:r>
        <w:rPr>
          <w:rFonts w:hAnsi="Book Antiqua" w:hint="default"/>
          <w:rtl w:val="0"/>
          <w:lang w:val="it-IT"/>
        </w:rPr>
        <w:t xml:space="preserve">è </w:t>
      </w:r>
      <w:r>
        <w:rPr>
          <w:rFonts w:ascii="Book Antiqua"/>
          <w:rtl w:val="0"/>
          <w:lang w:val="it-IT"/>
        </w:rPr>
        <w:t>pi</w:t>
      </w:r>
      <w:r>
        <w:rPr>
          <w:rFonts w:hAnsi="Book Antiqua" w:hint="default"/>
          <w:rtl w:val="0"/>
          <w:lang w:val="it-IT"/>
        </w:rPr>
        <w:t xml:space="preserve">ù </w:t>
      </w:r>
      <w:r>
        <w:rPr>
          <w:rFonts w:ascii="Book Antiqua"/>
          <w:rtl w:val="0"/>
          <w:lang w:val="it-IT"/>
        </w:rPr>
        <w:t>possibile garantire il trattamento di alcune frazioni, in questo caso della frazione organica stabilizzata (perch</w:t>
      </w:r>
      <w:r>
        <w:rPr>
          <w:rFonts w:hAnsi="Book Antiqua" w:hint="default"/>
          <w:rtl w:val="0"/>
          <w:lang w:val="it-IT"/>
        </w:rPr>
        <w:t xml:space="preserve">é </w:t>
      </w:r>
      <w:r>
        <w:rPr>
          <w:rFonts w:ascii="Book Antiqua"/>
          <w:rtl w:val="0"/>
          <w:lang w:val="it-IT"/>
        </w:rPr>
        <w:t>voi sapete che se non passa l</w:t>
      </w:r>
      <w:r>
        <w:rPr>
          <w:rFonts w:hAnsi="Book Antiqua" w:hint="default"/>
          <w:rtl w:val="0"/>
          <w:lang w:val="it-IT"/>
        </w:rPr>
        <w:t>’</w:t>
      </w:r>
      <w:r>
        <w:rPr>
          <w:rFonts w:ascii="Book Antiqua"/>
          <w:rtl w:val="0"/>
          <w:lang w:val="it-IT"/>
        </w:rPr>
        <w:t xml:space="preserve">aria </w:t>
      </w:r>
      <w:r>
        <w:rPr>
          <w:rFonts w:hAnsi="Book Antiqua" w:hint="default"/>
          <w:rtl w:val="0"/>
          <w:lang w:val="it-IT"/>
        </w:rPr>
        <w:t xml:space="preserve">è </w:t>
      </w:r>
      <w:r>
        <w:rPr>
          <w:rFonts w:ascii="Book Antiqua"/>
          <w:rtl w:val="0"/>
          <w:lang w:val="it-IT"/>
        </w:rPr>
        <w:t>difficile compostare). Si era creata una suola molto spessa e sapete quando l</w:t>
      </w:r>
      <w:r>
        <w:rPr>
          <w:rFonts w:hAnsi="Book Antiqua" w:hint="default"/>
          <w:rtl w:val="0"/>
          <w:lang w:val="it-IT"/>
        </w:rPr>
        <w:t>’</w:t>
      </w:r>
      <w:r>
        <w:rPr>
          <w:rFonts w:ascii="Book Antiqua"/>
          <w:rtl w:val="0"/>
          <w:lang w:val="it-IT"/>
        </w:rPr>
        <w:t>abbiamo tolta? L</w:t>
      </w:r>
      <w:r>
        <w:rPr>
          <w:rFonts w:hAnsi="Book Antiqua" w:hint="default"/>
          <w:rtl w:val="0"/>
          <w:lang w:val="it-IT"/>
        </w:rPr>
        <w:t>’</w:t>
      </w:r>
      <w:r>
        <w:rPr>
          <w:rFonts w:ascii="Book Antiqua"/>
          <w:rtl w:val="0"/>
          <w:lang w:val="it-IT"/>
        </w:rPr>
        <w:t>abbiamo tolta adesso! Quindi, da ottobre ad ora l</w:t>
      </w:r>
      <w:r>
        <w:rPr>
          <w:rFonts w:hAnsi="Book Antiqua" w:hint="default"/>
          <w:rtl w:val="0"/>
          <w:lang w:val="it-IT"/>
        </w:rPr>
        <w:t>’</w:t>
      </w:r>
      <w:r>
        <w:rPr>
          <w:rFonts w:ascii="Book Antiqua"/>
          <w:rtl w:val="0"/>
          <w:lang w:val="it-IT"/>
        </w:rPr>
        <w:t xml:space="preserve">impianto </w:t>
      </w:r>
      <w:r>
        <w:rPr>
          <w:rFonts w:hAnsi="Book Antiqua" w:hint="default"/>
          <w:rtl w:val="0"/>
          <w:lang w:val="it-IT"/>
        </w:rPr>
        <w:t xml:space="preserve">è </w:t>
      </w:r>
      <w:r>
        <w:rPr>
          <w:rFonts w:ascii="Book Antiqua"/>
          <w:rtl w:val="0"/>
          <w:lang w:val="it-IT"/>
        </w:rPr>
        <w:t>stato in queste condizioni. Il fatto che a febbraio tutti sapessero in che condizioni stessero gli impianti di AMA, a maggior ragione perch</w:t>
      </w:r>
      <w:r>
        <w:rPr>
          <w:rFonts w:hAnsi="Book Antiqua" w:hint="default"/>
          <w:rtl w:val="0"/>
          <w:lang w:val="it-IT"/>
        </w:rPr>
        <w:t xml:space="preserve">é </w:t>
      </w:r>
      <w:r>
        <w:rPr>
          <w:rFonts w:ascii="Book Antiqua"/>
          <w:rtl w:val="0"/>
          <w:lang w:val="it-IT"/>
        </w:rPr>
        <w:t>chiudi il tritovagliatore, quando tu hai portato 200 tonnellate di materiale ? Se fosse stato abusivo, lo sarebbe stato anche prima!</w:t>
      </w:r>
      <w:r>
        <w:rPr>
          <w:rFonts w:hAnsi="Book Antiqua" w:hint="default"/>
          <w:rtl w:val="0"/>
          <w:lang w:val="it-IT"/>
        </w:rPr>
        <w:t>”</w:t>
      </w:r>
      <w:r>
        <w:rPr>
          <w:rFonts w:ascii="Book Antiqua"/>
          <w:rtl w:val="0"/>
          <w:lang w:val="it-IT"/>
        </w:rPr>
        <w:t xml:space="preserve"> </w:t>
      </w:r>
    </w:p>
    <w:p>
      <w:pPr>
        <w:pStyle w:val="Normal"/>
        <w:ind w:left="567" w:right="567" w:firstLine="0"/>
        <w:jc w:val="both"/>
        <w:rPr>
          <w:rFonts w:ascii="Book Antiqua" w:cs="Book Antiqua" w:hAnsi="Book Antiqua" w:eastAsia="Book Antiqua"/>
        </w:rPr>
      </w:pPr>
      <w:r>
        <w:rPr>
          <w:rFonts w:ascii="Book Antiqua"/>
          <w:rtl w:val="0"/>
          <w:lang w:val="it-IT"/>
        </w:rPr>
        <w:t xml:space="preserve">La Commissione ha audito, il 26 ottobre 2016, anche Alessandro Filippi, ex direttore generale di AMA S.p.A., il quale ha fornito ulteriori informazioni sulla questione del tritovagliatore: </w:t>
      </w:r>
    </w:p>
    <w:p>
      <w:pPr>
        <w:pStyle w:val="Normal"/>
        <w:ind w:left="567" w:right="567" w:firstLine="0"/>
        <w:jc w:val="both"/>
        <w:rPr>
          <w:rFonts w:ascii="Book Antiqua" w:cs="Book Antiqua" w:hAnsi="Book Antiqua" w:eastAsia="Book Antiqua"/>
        </w:rPr>
      </w:pPr>
      <w:r>
        <w:rPr>
          <w:rFonts w:hAnsi="Book Antiqua" w:hint="default"/>
          <w:rtl w:val="0"/>
          <w:lang w:val="it-IT"/>
        </w:rPr>
        <w:t>“</w:t>
      </w:r>
      <w:r>
        <w:rPr>
          <w:rFonts w:ascii="Book Antiqua"/>
          <w:rtl w:val="0"/>
          <w:lang w:val="it-IT"/>
        </w:rPr>
        <w:t xml:space="preserve">Il tritovaglio mobile </w:t>
      </w:r>
      <w:r>
        <w:rPr>
          <w:rFonts w:hAnsi="Book Antiqua" w:hint="default"/>
          <w:rtl w:val="0"/>
          <w:lang w:val="it-IT"/>
        </w:rPr>
        <w:t xml:space="preserve">è </w:t>
      </w:r>
      <w:r>
        <w:rPr>
          <w:rFonts w:ascii="Book Antiqua"/>
          <w:rtl w:val="0"/>
          <w:lang w:val="it-IT"/>
        </w:rPr>
        <w:t>un impianto d</w:t>
      </w:r>
      <w:r>
        <w:rPr>
          <w:rFonts w:hAnsi="Book Antiqua" w:hint="default"/>
          <w:rtl w:val="0"/>
          <w:lang w:val="it-IT"/>
        </w:rPr>
        <w:t>’</w:t>
      </w:r>
      <w:r>
        <w:rPr>
          <w:rFonts w:ascii="Book Antiqua"/>
          <w:rtl w:val="0"/>
          <w:lang w:val="it-IT"/>
        </w:rPr>
        <w:t>emergenza. In realt</w:t>
      </w:r>
      <w:r>
        <w:rPr>
          <w:rFonts w:hAnsi="Book Antiqua" w:hint="default"/>
          <w:rtl w:val="0"/>
          <w:lang w:val="it-IT"/>
        </w:rPr>
        <w:t>à</w:t>
      </w:r>
      <w:r>
        <w:rPr>
          <w:rFonts w:ascii="Book Antiqua"/>
          <w:rtl w:val="0"/>
          <w:lang w:val="it-IT"/>
        </w:rPr>
        <w:t>, trovo che gi</w:t>
      </w:r>
      <w:r>
        <w:rPr>
          <w:rFonts w:hAnsi="Book Antiqua" w:hint="default"/>
          <w:rtl w:val="0"/>
          <w:lang w:val="it-IT"/>
        </w:rPr>
        <w:t xml:space="preserve">à </w:t>
      </w:r>
      <w:r>
        <w:rPr>
          <w:rFonts w:ascii="Book Antiqua"/>
          <w:rtl w:val="0"/>
          <w:lang w:val="it-IT"/>
        </w:rPr>
        <w:t>si era immaginata questa soluzione, che d</w:t>
      </w:r>
      <w:r>
        <w:rPr>
          <w:rFonts w:hAnsi="Book Antiqua" w:hint="default"/>
          <w:rtl w:val="0"/>
          <w:lang w:val="it-IT"/>
        </w:rPr>
        <w:t>’</w:t>
      </w:r>
      <w:r>
        <w:rPr>
          <w:rFonts w:ascii="Book Antiqua"/>
          <w:rtl w:val="0"/>
          <w:lang w:val="it-IT"/>
        </w:rPr>
        <w:t xml:space="preserve">altronde non </w:t>
      </w:r>
      <w:r>
        <w:rPr>
          <w:rFonts w:hAnsi="Book Antiqua" w:hint="default"/>
          <w:rtl w:val="0"/>
          <w:lang w:val="it-IT"/>
        </w:rPr>
        <w:t xml:space="preserve">è </w:t>
      </w:r>
      <w:r>
        <w:rPr>
          <w:rFonts w:ascii="Book Antiqua"/>
          <w:rtl w:val="0"/>
          <w:lang w:val="it-IT"/>
        </w:rPr>
        <w:t>peregrina. Per la natura stessa del sistema AMA, dotarsi di impianti che possano consentire una capacit</w:t>
      </w:r>
      <w:r>
        <w:rPr>
          <w:rFonts w:hAnsi="Book Antiqua" w:hint="default"/>
          <w:rtl w:val="0"/>
          <w:lang w:val="it-IT"/>
        </w:rPr>
        <w:t xml:space="preserve">à </w:t>
      </w:r>
      <w:r>
        <w:rPr>
          <w:rFonts w:ascii="Book Antiqua"/>
          <w:rtl w:val="0"/>
          <w:lang w:val="it-IT"/>
        </w:rPr>
        <w:t xml:space="preserve">emergenziale </w:t>
      </w:r>
      <w:r>
        <w:rPr>
          <w:rFonts w:hAnsi="Book Antiqua" w:hint="default"/>
          <w:rtl w:val="0"/>
          <w:lang w:val="it-IT"/>
        </w:rPr>
        <w:t xml:space="preserve">è </w:t>
      </w:r>
      <w:r>
        <w:rPr>
          <w:rFonts w:ascii="Book Antiqua"/>
          <w:rtl w:val="0"/>
          <w:lang w:val="it-IT"/>
        </w:rPr>
        <w:t>chiaramente un cuscinetto che permette una continuit</w:t>
      </w:r>
      <w:r>
        <w:rPr>
          <w:rFonts w:hAnsi="Book Antiqua" w:hint="default"/>
          <w:rtl w:val="0"/>
          <w:lang w:val="it-IT"/>
        </w:rPr>
        <w:t xml:space="preserve">à </w:t>
      </w:r>
      <w:r>
        <w:rPr>
          <w:rFonts w:ascii="Book Antiqua"/>
          <w:rtl w:val="0"/>
          <w:lang w:val="it-IT"/>
        </w:rPr>
        <w:t>e affidabilit</w:t>
      </w:r>
      <w:r>
        <w:rPr>
          <w:rFonts w:hAnsi="Book Antiqua" w:hint="default"/>
          <w:rtl w:val="0"/>
          <w:lang w:val="it-IT"/>
        </w:rPr>
        <w:t xml:space="preserve">à </w:t>
      </w:r>
      <w:r>
        <w:rPr>
          <w:rFonts w:ascii="Book Antiqua"/>
          <w:rtl w:val="0"/>
          <w:lang w:val="it-IT"/>
        </w:rPr>
        <w:t xml:space="preserve">del sistema che sono necessarie. Il tritovaglio, macchina semplicissima, fatta da un trituratore e un vaglio </w:t>
      </w:r>
      <w:r>
        <w:rPr>
          <w:rFonts w:hAnsi="Book Antiqua" w:hint="default"/>
          <w:rtl w:val="0"/>
          <w:lang w:val="it-IT"/>
        </w:rPr>
        <w:t xml:space="preserve">– è </w:t>
      </w:r>
      <w:r>
        <w:rPr>
          <w:rFonts w:ascii="Book Antiqua"/>
          <w:rtl w:val="0"/>
          <w:lang w:val="it-IT"/>
        </w:rPr>
        <w:t xml:space="preserve">un frullatore di rifiuti, come dice qualcuno </w:t>
      </w:r>
      <w:r>
        <w:rPr>
          <w:rFonts w:hAnsi="Book Antiqua" w:hint="default"/>
          <w:rtl w:val="0"/>
          <w:lang w:val="it-IT"/>
        </w:rPr>
        <w:t xml:space="preserve">– </w:t>
      </w:r>
      <w:r>
        <w:rPr>
          <w:rFonts w:ascii="Book Antiqua"/>
          <w:rtl w:val="0"/>
          <w:lang w:val="it-IT"/>
        </w:rPr>
        <w:t>lavora comunque 400 tonnellate. Vi ricordo che la potenzialit</w:t>
      </w:r>
      <w:r>
        <w:rPr>
          <w:rFonts w:hAnsi="Book Antiqua" w:hint="default"/>
          <w:rtl w:val="0"/>
          <w:lang w:val="it-IT"/>
        </w:rPr>
        <w:t xml:space="preserve">à </w:t>
      </w:r>
      <w:r>
        <w:rPr>
          <w:rFonts w:ascii="Book Antiqua"/>
          <w:rtl w:val="0"/>
          <w:lang w:val="it-IT"/>
        </w:rPr>
        <w:t xml:space="preserve">di Rocca Cencia </w:t>
      </w:r>
      <w:r>
        <w:rPr>
          <w:rFonts w:hAnsi="Book Antiqua" w:hint="default"/>
          <w:rtl w:val="0"/>
          <w:lang w:val="it-IT"/>
        </w:rPr>
        <w:t xml:space="preserve">è </w:t>
      </w:r>
      <w:r>
        <w:rPr>
          <w:rFonts w:ascii="Book Antiqua"/>
          <w:rtl w:val="0"/>
          <w:lang w:val="it-IT"/>
        </w:rPr>
        <w:t>750, come quella dell</w:t>
      </w:r>
      <w:r>
        <w:rPr>
          <w:rFonts w:hAnsi="Book Antiqua" w:hint="default"/>
          <w:rtl w:val="0"/>
          <w:lang w:val="it-IT"/>
        </w:rPr>
        <w:t>’</w:t>
      </w:r>
      <w:r>
        <w:rPr>
          <w:rFonts w:ascii="Book Antiqua"/>
          <w:rtl w:val="0"/>
          <w:lang w:val="it-IT"/>
        </w:rPr>
        <w:t>impianto al Salario. Vuol dire che con una macchina molto semplice io faccio la met</w:t>
      </w:r>
      <w:r>
        <w:rPr>
          <w:rFonts w:hAnsi="Book Antiqua" w:hint="default"/>
          <w:rtl w:val="0"/>
          <w:lang w:val="it-IT"/>
        </w:rPr>
        <w:t xml:space="preserve">à </w:t>
      </w:r>
      <w:r>
        <w:rPr>
          <w:rFonts w:ascii="Book Antiqua"/>
          <w:rtl w:val="0"/>
          <w:lang w:val="it-IT"/>
        </w:rPr>
        <w:t>della potenzialit</w:t>
      </w:r>
      <w:r>
        <w:rPr>
          <w:rFonts w:hAnsi="Book Antiqua" w:hint="default"/>
          <w:rtl w:val="0"/>
          <w:lang w:val="it-IT"/>
        </w:rPr>
        <w:t xml:space="preserve">à </w:t>
      </w:r>
      <w:r>
        <w:rPr>
          <w:rFonts w:ascii="Book Antiqua"/>
          <w:rtl w:val="0"/>
          <w:lang w:val="it-IT"/>
        </w:rPr>
        <w:t xml:space="preserve">di un TMB, ma non </w:t>
      </w:r>
      <w:r>
        <w:rPr>
          <w:rFonts w:hAnsi="Book Antiqua" w:hint="default"/>
          <w:rtl w:val="0"/>
          <w:lang w:val="it-IT"/>
        </w:rPr>
        <w:t xml:space="preserve">è </w:t>
      </w:r>
      <w:r>
        <w:rPr>
          <w:rFonts w:ascii="Book Antiqua"/>
          <w:rtl w:val="0"/>
          <w:lang w:val="it-IT"/>
        </w:rPr>
        <w:t xml:space="preserve">un TMB, come non </w:t>
      </w:r>
      <w:r>
        <w:rPr>
          <w:rFonts w:hAnsi="Book Antiqua" w:hint="default"/>
          <w:rtl w:val="0"/>
          <w:lang w:val="it-IT"/>
        </w:rPr>
        <w:t xml:space="preserve">è </w:t>
      </w:r>
      <w:r>
        <w:rPr>
          <w:rFonts w:ascii="Book Antiqua"/>
          <w:rtl w:val="0"/>
          <w:lang w:val="it-IT"/>
        </w:rPr>
        <w:t>un TMB la tritovagliatura di Co.La.Ri., dove manca la componente di stabilizzazione della parte umida. Quando troviamo il tritovaglio, questo non lavorava, anche per tema di un percorso autorizzativo: lo abbiamo rimesso in servizio nel momento di una certa conflittualit</w:t>
      </w:r>
      <w:r>
        <w:rPr>
          <w:rFonts w:hAnsi="Book Antiqua" w:hint="default"/>
          <w:rtl w:val="0"/>
          <w:lang w:val="it-IT"/>
        </w:rPr>
        <w:t xml:space="preserve">à </w:t>
      </w:r>
      <w:r>
        <w:rPr>
          <w:rFonts w:ascii="Book Antiqua"/>
          <w:rtl w:val="0"/>
          <w:lang w:val="it-IT"/>
        </w:rPr>
        <w:t>tra AMA e il gruppo Co.La.Ri., ovvero nell</w:t>
      </w:r>
      <w:r>
        <w:rPr>
          <w:rFonts w:hAnsi="Book Antiqua" w:hint="default"/>
          <w:rtl w:val="0"/>
          <w:lang w:val="it-IT"/>
        </w:rPr>
        <w:t>’</w:t>
      </w:r>
      <w:r>
        <w:rPr>
          <w:rFonts w:ascii="Book Antiqua"/>
          <w:rtl w:val="0"/>
          <w:lang w:val="it-IT"/>
        </w:rPr>
        <w:t>aprile 2015 (basta andare a vedere i bilanci di quei giorni). Il gruppo Co.La.Ri. ci aveva rappresentato delle difficolt</w:t>
      </w:r>
      <w:r>
        <w:rPr>
          <w:rFonts w:hAnsi="Book Antiqua" w:hint="default"/>
          <w:rtl w:val="0"/>
          <w:lang w:val="it-IT"/>
        </w:rPr>
        <w:t xml:space="preserve">à </w:t>
      </w:r>
      <w:r>
        <w:rPr>
          <w:rFonts w:ascii="Book Antiqua"/>
          <w:rtl w:val="0"/>
          <w:lang w:val="it-IT"/>
        </w:rPr>
        <w:t>relative alla capacit</w:t>
      </w:r>
      <w:r>
        <w:rPr>
          <w:rFonts w:hAnsi="Book Antiqua" w:hint="default"/>
          <w:rtl w:val="0"/>
          <w:lang w:val="it-IT"/>
        </w:rPr>
        <w:t xml:space="preserve">à </w:t>
      </w:r>
      <w:r>
        <w:rPr>
          <w:rFonts w:ascii="Book Antiqua"/>
          <w:rtl w:val="0"/>
          <w:lang w:val="it-IT"/>
        </w:rPr>
        <w:t>di trattamento dei suoi impianti, per cui c</w:t>
      </w:r>
      <w:r>
        <w:rPr>
          <w:rFonts w:hAnsi="Book Antiqua" w:hint="default"/>
          <w:rtl w:val="0"/>
          <w:lang w:val="it-IT"/>
        </w:rPr>
        <w:t>’</w:t>
      </w:r>
      <w:r>
        <w:rPr>
          <w:rFonts w:ascii="Book Antiqua"/>
          <w:rtl w:val="0"/>
          <w:lang w:val="it-IT"/>
        </w:rPr>
        <w:t>era stato un rallentamento. Le tonnellate del tritovaglio ci consentono di assorbire e di garantire una certa autonomia: intanto, per</w:t>
      </w:r>
      <w:r>
        <w:rPr>
          <w:rFonts w:hAnsi="Book Antiqua" w:hint="default"/>
          <w:rtl w:val="0"/>
          <w:lang w:val="it-IT"/>
        </w:rPr>
        <w:t xml:space="preserve">ò </w:t>
      </w:r>
      <w:r>
        <w:rPr>
          <w:rFonts w:ascii="Book Antiqua"/>
          <w:rtl w:val="0"/>
          <w:lang w:val="it-IT"/>
        </w:rPr>
        <w:t>come fu autorizzato? Fu autorizzato in emergenza da una delibera dell</w:t>
      </w:r>
      <w:r>
        <w:rPr>
          <w:rFonts w:hAnsi="Book Antiqua" w:hint="default"/>
          <w:rtl w:val="0"/>
          <w:lang w:val="it-IT"/>
        </w:rPr>
        <w:t>’</w:t>
      </w:r>
      <w:r>
        <w:rPr>
          <w:rFonts w:ascii="Book Antiqua"/>
          <w:rtl w:val="0"/>
          <w:lang w:val="it-IT"/>
        </w:rPr>
        <w:t>amministrazione capitolina. La possibilit</w:t>
      </w:r>
      <w:r>
        <w:rPr>
          <w:rFonts w:hAnsi="Book Antiqua" w:hint="default"/>
          <w:rtl w:val="0"/>
          <w:lang w:val="it-IT"/>
        </w:rPr>
        <w:t xml:space="preserve">à </w:t>
      </w:r>
      <w:r>
        <w:rPr>
          <w:rFonts w:ascii="Book Antiqua"/>
          <w:rtl w:val="0"/>
          <w:lang w:val="it-IT"/>
        </w:rPr>
        <w:t xml:space="preserve">di farlo lavorare, tenendo sempre conto che </w:t>
      </w:r>
      <w:r>
        <w:rPr>
          <w:rFonts w:hAnsi="Book Antiqua" w:hint="default"/>
          <w:rtl w:val="0"/>
          <w:lang w:val="it-IT"/>
        </w:rPr>
        <w:t xml:space="preserve">è </w:t>
      </w:r>
      <w:r>
        <w:rPr>
          <w:rFonts w:ascii="Book Antiqua"/>
          <w:rtl w:val="0"/>
          <w:lang w:val="it-IT"/>
        </w:rPr>
        <w:t>una macchina emergenziale, ha segu</w:t>
      </w:r>
      <w:r>
        <w:rPr>
          <w:rFonts w:hAnsi="Book Antiqua" w:hint="default"/>
          <w:rtl w:val="0"/>
          <w:lang w:val="it-IT"/>
        </w:rPr>
        <w:t>ì</w:t>
      </w:r>
      <w:r>
        <w:rPr>
          <w:rFonts w:ascii="Book Antiqua"/>
          <w:rtl w:val="0"/>
          <w:lang w:val="it-IT"/>
        </w:rPr>
        <w:t>to la tempistica dell</w:t>
      </w:r>
      <w:r>
        <w:rPr>
          <w:rFonts w:hAnsi="Book Antiqua" w:hint="default"/>
          <w:rtl w:val="0"/>
          <w:lang w:val="it-IT"/>
        </w:rPr>
        <w:t>’</w:t>
      </w:r>
      <w:r>
        <w:rPr>
          <w:rFonts w:ascii="Book Antiqua"/>
          <w:rtl w:val="0"/>
          <w:lang w:val="it-IT"/>
        </w:rPr>
        <w:t xml:space="preserve">autorizzazione in emergenza, che </w:t>
      </w:r>
      <w:r>
        <w:rPr>
          <w:rFonts w:hAnsi="Book Antiqua" w:hint="default"/>
          <w:rtl w:val="0"/>
          <w:lang w:val="it-IT"/>
        </w:rPr>
        <w:t xml:space="preserve">è </w:t>
      </w:r>
      <w:r>
        <w:rPr>
          <w:rFonts w:ascii="Book Antiqua"/>
          <w:rtl w:val="0"/>
          <w:lang w:val="it-IT"/>
        </w:rPr>
        <w:t xml:space="preserve">durata sei mesi. A novembre del 2015 </w:t>
      </w:r>
      <w:r>
        <w:rPr>
          <w:rFonts w:hAnsi="Book Antiqua" w:hint="default"/>
          <w:rtl w:val="0"/>
          <w:lang w:val="it-IT"/>
        </w:rPr>
        <w:t xml:space="preserve">è </w:t>
      </w:r>
      <w:r>
        <w:rPr>
          <w:rFonts w:ascii="Book Antiqua"/>
          <w:rtl w:val="0"/>
          <w:lang w:val="it-IT"/>
        </w:rPr>
        <w:t>finita l</w:t>
      </w:r>
      <w:r>
        <w:rPr>
          <w:rFonts w:hAnsi="Book Antiqua" w:hint="default"/>
          <w:rtl w:val="0"/>
          <w:lang w:val="it-IT"/>
        </w:rPr>
        <w:t>’</w:t>
      </w:r>
      <w:r>
        <w:rPr>
          <w:rFonts w:ascii="Book Antiqua"/>
          <w:rtl w:val="0"/>
          <w:lang w:val="it-IT"/>
        </w:rPr>
        <w:t>autorizzazione. Nel frattempo, avevamo chiesto un</w:t>
      </w:r>
      <w:r>
        <w:rPr>
          <w:rFonts w:hAnsi="Book Antiqua" w:hint="default"/>
          <w:rtl w:val="0"/>
          <w:lang w:val="it-IT"/>
        </w:rPr>
        <w:t>’</w:t>
      </w:r>
      <w:r>
        <w:rPr>
          <w:rFonts w:ascii="Book Antiqua"/>
          <w:rtl w:val="0"/>
          <w:lang w:val="it-IT"/>
        </w:rPr>
        <w:t>autorizzazione prevista per gli impianti mobili, che hanno una loro autorizzazione specifica dalla regione; poi c</w:t>
      </w:r>
      <w:r>
        <w:rPr>
          <w:rFonts w:hAnsi="Book Antiqua" w:hint="default"/>
          <w:rtl w:val="0"/>
          <w:lang w:val="it-IT"/>
        </w:rPr>
        <w:t xml:space="preserve">’è </w:t>
      </w:r>
      <w:r>
        <w:rPr>
          <w:rFonts w:ascii="Book Antiqua"/>
          <w:rtl w:val="0"/>
          <w:lang w:val="it-IT"/>
        </w:rPr>
        <w:t>una campagna che li autorizza, perch</w:t>
      </w:r>
      <w:r>
        <w:rPr>
          <w:rFonts w:hAnsi="Book Antiqua" w:hint="default"/>
          <w:rtl w:val="0"/>
          <w:lang w:val="it-IT"/>
        </w:rPr>
        <w:t xml:space="preserve">é </w:t>
      </w:r>
      <w:r>
        <w:rPr>
          <w:rFonts w:ascii="Book Antiqua"/>
          <w:rtl w:val="0"/>
          <w:lang w:val="it-IT"/>
        </w:rPr>
        <w:t>essendo mobili si suppone la non strutturale presenza; a un certo punto il tritovaglio si ferma, ma perch</w:t>
      </w:r>
      <w:r>
        <w:rPr>
          <w:rFonts w:hAnsi="Book Antiqua" w:hint="default"/>
          <w:rtl w:val="0"/>
          <w:lang w:val="it-IT"/>
        </w:rPr>
        <w:t xml:space="preserve">é </w:t>
      </w:r>
      <w:r>
        <w:rPr>
          <w:rFonts w:ascii="Book Antiqua"/>
          <w:rtl w:val="0"/>
          <w:lang w:val="it-IT"/>
        </w:rPr>
        <w:t>non ha possibilit</w:t>
      </w:r>
      <w:r>
        <w:rPr>
          <w:rFonts w:hAnsi="Book Antiqua" w:hint="default"/>
          <w:rtl w:val="0"/>
          <w:lang w:val="it-IT"/>
        </w:rPr>
        <w:t xml:space="preserve">à </w:t>
      </w:r>
      <w:r>
        <w:rPr>
          <w:rFonts w:ascii="Book Antiqua"/>
          <w:rtl w:val="0"/>
          <w:lang w:val="it-IT"/>
        </w:rPr>
        <w:t>di lavorare in quanto non c</w:t>
      </w:r>
      <w:r>
        <w:rPr>
          <w:rFonts w:hAnsi="Book Antiqua" w:hint="default"/>
          <w:rtl w:val="0"/>
          <w:lang w:val="it-IT"/>
        </w:rPr>
        <w:t xml:space="preserve">’è </w:t>
      </w:r>
      <w:r>
        <w:rPr>
          <w:rFonts w:ascii="Book Antiqua"/>
          <w:rtl w:val="0"/>
          <w:lang w:val="it-IT"/>
        </w:rPr>
        <w:t>l</w:t>
      </w:r>
      <w:r>
        <w:rPr>
          <w:rFonts w:hAnsi="Book Antiqua" w:hint="default"/>
          <w:rtl w:val="0"/>
          <w:lang w:val="it-IT"/>
        </w:rPr>
        <w:t>’</w:t>
      </w:r>
      <w:r>
        <w:rPr>
          <w:rFonts w:ascii="Book Antiqua"/>
          <w:rtl w:val="0"/>
          <w:lang w:val="it-IT"/>
        </w:rPr>
        <w:t>autorizzazione [</w:t>
      </w:r>
      <w:r>
        <w:rPr>
          <w:rFonts w:hAnsi="Book Antiqua" w:hint="default"/>
          <w:rtl w:val="0"/>
          <w:lang w:val="it-IT"/>
        </w:rPr>
        <w:t>…</w:t>
      </w:r>
      <w:r>
        <w:rPr>
          <w:rFonts w:ascii="Book Antiqua"/>
          <w:rtl w:val="0"/>
          <w:lang w:val="it-IT"/>
        </w:rPr>
        <w:t xml:space="preserve">] Il tritovaglio di Rocca Cencia </w:t>
      </w:r>
      <w:r>
        <w:rPr>
          <w:rFonts w:hAnsi="Book Antiqua" w:hint="default"/>
          <w:rtl w:val="0"/>
          <w:lang w:val="it-IT"/>
        </w:rPr>
        <w:t xml:space="preserve">è </w:t>
      </w:r>
      <w:r>
        <w:rPr>
          <w:rFonts w:ascii="Book Antiqua"/>
          <w:rtl w:val="0"/>
          <w:lang w:val="it-IT"/>
        </w:rPr>
        <w:t>un impianto di 1.200 tonnellate autorizzate. Peraltro, io faccio sempre una riflessione. Sul bacino di Rocca Cencia l</w:t>
      </w:r>
      <w:r>
        <w:rPr>
          <w:rFonts w:hAnsi="Book Antiqua" w:hint="default"/>
          <w:rtl w:val="0"/>
          <w:lang w:val="it-IT"/>
        </w:rPr>
        <w:t>’</w:t>
      </w:r>
      <w:r>
        <w:rPr>
          <w:rFonts w:ascii="Book Antiqua"/>
          <w:rtl w:val="0"/>
          <w:lang w:val="it-IT"/>
        </w:rPr>
        <w:t>annullamento delle quantit</w:t>
      </w:r>
      <w:r>
        <w:rPr>
          <w:rFonts w:hAnsi="Book Antiqua" w:hint="default"/>
          <w:rtl w:val="0"/>
          <w:lang w:val="it-IT"/>
        </w:rPr>
        <w:t xml:space="preserve">à </w:t>
      </w:r>
      <w:r>
        <w:rPr>
          <w:rFonts w:ascii="Book Antiqua"/>
          <w:rtl w:val="0"/>
          <w:lang w:val="it-IT"/>
        </w:rPr>
        <w:t>trasportate da AMA ha determinato un beneficio per il territorio di 1.200 tonnellate, ma di circa 700 tonnellate in meno al giorno. In questo momento, infatti, quell</w:t>
      </w:r>
      <w:r>
        <w:rPr>
          <w:rFonts w:hAnsi="Book Antiqua" w:hint="default"/>
          <w:rtl w:val="0"/>
          <w:lang w:val="it-IT"/>
        </w:rPr>
        <w:t>’</w:t>
      </w:r>
      <w:r>
        <w:rPr>
          <w:rFonts w:ascii="Book Antiqua"/>
          <w:rtl w:val="0"/>
          <w:lang w:val="it-IT"/>
        </w:rPr>
        <w:t>impianto non le sta prendendo. Il beneficio ambientale conseguente alla decisione di autonomia di AMA, quindi, passa anche per un altro fatto. Quando sono arrivato, l</w:t>
      </w:r>
      <w:r>
        <w:rPr>
          <w:rFonts w:hAnsi="Book Antiqua" w:hint="default"/>
          <w:rtl w:val="0"/>
          <w:lang w:val="it-IT"/>
        </w:rPr>
        <w:t>’</w:t>
      </w:r>
      <w:r>
        <w:rPr>
          <w:rFonts w:ascii="Book Antiqua"/>
          <w:rtl w:val="0"/>
          <w:lang w:val="it-IT"/>
        </w:rPr>
        <w:t>impianto prendeva 700 tonnellate al giorno (ne aveva prese mille il tritovaglio). Abbiamo ridotto, quindi, di mille tonnellate. Si tratta sempre di quasi cento compattatori al giorno, visto che per ogni compattatore ci sono 8 tonnellate, pi</w:t>
      </w:r>
      <w:r>
        <w:rPr>
          <w:rFonts w:hAnsi="Book Antiqua" w:hint="default"/>
          <w:rtl w:val="0"/>
          <w:lang w:val="it-IT"/>
        </w:rPr>
        <w:t xml:space="preserve">ù </w:t>
      </w:r>
      <w:r>
        <w:rPr>
          <w:rFonts w:ascii="Book Antiqua"/>
          <w:rtl w:val="0"/>
          <w:lang w:val="it-IT"/>
        </w:rPr>
        <w:t>i camion che escono [</w:t>
      </w:r>
      <w:r>
        <w:rPr>
          <w:rFonts w:hAnsi="Book Antiqua" w:hint="default"/>
          <w:rtl w:val="0"/>
          <w:lang w:val="it-IT"/>
        </w:rPr>
        <w:t>…</w:t>
      </w:r>
      <w:r>
        <w:rPr>
          <w:rFonts w:ascii="Book Antiqua"/>
          <w:rtl w:val="0"/>
          <w:lang w:val="it-IT"/>
        </w:rPr>
        <w:t>] Il tritovaglio di Rocca Cencia costa 175 euro a tonnellata, ma l</w:t>
      </w:r>
      <w:r>
        <w:rPr>
          <w:rFonts w:hAnsi="Book Antiqua" w:hint="default"/>
          <w:rtl w:val="0"/>
          <w:lang w:val="it-IT"/>
        </w:rPr>
        <w:t xml:space="preserve">ì </w:t>
      </w:r>
      <w:r>
        <w:rPr>
          <w:rFonts w:ascii="Book Antiqua"/>
          <w:rtl w:val="0"/>
          <w:lang w:val="it-IT"/>
        </w:rPr>
        <w:t xml:space="preserve">il tema </w:t>
      </w:r>
      <w:r>
        <w:rPr>
          <w:rFonts w:hAnsi="Book Antiqua" w:hint="default"/>
          <w:rtl w:val="0"/>
          <w:lang w:val="it-IT"/>
        </w:rPr>
        <w:t xml:space="preserve">è </w:t>
      </w:r>
      <w:r>
        <w:rPr>
          <w:rFonts w:ascii="Book Antiqua"/>
          <w:rtl w:val="0"/>
          <w:lang w:val="it-IT"/>
        </w:rPr>
        <w:t xml:space="preserve">che si tratta di una tariffa pattuita tra le parti. Questo </w:t>
      </w:r>
      <w:r>
        <w:rPr>
          <w:rFonts w:hAnsi="Book Antiqua" w:hint="default"/>
          <w:rtl w:val="0"/>
          <w:lang w:val="it-IT"/>
        </w:rPr>
        <w:t xml:space="preserve">è </w:t>
      </w:r>
      <w:r>
        <w:rPr>
          <w:rFonts w:ascii="Book Antiqua"/>
          <w:rtl w:val="0"/>
          <w:lang w:val="it-IT"/>
        </w:rPr>
        <w:t xml:space="preserve">un tema sul quale sono attivate diverse azioni. Diverso </w:t>
      </w:r>
      <w:r>
        <w:rPr>
          <w:rFonts w:hAnsi="Book Antiqua" w:hint="default"/>
          <w:rtl w:val="0"/>
          <w:lang w:val="it-IT"/>
        </w:rPr>
        <w:t xml:space="preserve">è </w:t>
      </w:r>
      <w:r>
        <w:rPr>
          <w:rFonts w:ascii="Book Antiqua"/>
          <w:rtl w:val="0"/>
          <w:lang w:val="it-IT"/>
        </w:rPr>
        <w:t>il caso dei TMB autorizzati dalla regione Lazio, che sono autorizzati, come tutti gli impianti dove c</w:t>
      </w:r>
      <w:r>
        <w:rPr>
          <w:rFonts w:hAnsi="Book Antiqua" w:hint="default"/>
          <w:rtl w:val="0"/>
          <w:lang w:val="it-IT"/>
        </w:rPr>
        <w:t xml:space="preserve">’è </w:t>
      </w:r>
      <w:r>
        <w:rPr>
          <w:rFonts w:ascii="Book Antiqua"/>
          <w:rtl w:val="0"/>
          <w:lang w:val="it-IT"/>
        </w:rPr>
        <w:t xml:space="preserve">una privativa. </w:t>
      </w:r>
      <w:r>
        <w:rPr>
          <w:rFonts w:hAnsi="Book Antiqua" w:hint="default"/>
          <w:rtl w:val="0"/>
          <w:lang w:val="it-IT"/>
        </w:rPr>
        <w:t xml:space="preserve">È </w:t>
      </w:r>
      <w:r>
        <w:rPr>
          <w:rFonts w:ascii="Book Antiqua"/>
          <w:rtl w:val="0"/>
          <w:lang w:val="it-IT"/>
        </w:rPr>
        <w:t>chiaro che, se sono obbligato a portare i rifiuti a qualcuno, un ente superiore mi deve disciplinare le modalit</w:t>
      </w:r>
      <w:r>
        <w:rPr>
          <w:rFonts w:hAnsi="Book Antiqua" w:hint="default"/>
          <w:rtl w:val="0"/>
          <w:lang w:val="it-IT"/>
        </w:rPr>
        <w:t xml:space="preserve">à </w:t>
      </w:r>
      <w:r>
        <w:rPr>
          <w:rFonts w:ascii="Book Antiqua"/>
          <w:rtl w:val="0"/>
          <w:lang w:val="it-IT"/>
        </w:rPr>
        <w:t xml:space="preserve">con cui io porto i rifiuti a quel qualcuno e, siccome mi obbliga, mi deve anche fissare il prezzo. Questo </w:t>
      </w:r>
      <w:r>
        <w:rPr>
          <w:rFonts w:hAnsi="Book Antiqua" w:hint="default"/>
          <w:rtl w:val="0"/>
          <w:lang w:val="it-IT"/>
        </w:rPr>
        <w:t xml:space="preserve">è </w:t>
      </w:r>
      <w:r>
        <w:rPr>
          <w:rFonts w:ascii="Book Antiqua"/>
          <w:rtl w:val="0"/>
          <w:lang w:val="it-IT"/>
        </w:rPr>
        <w:t>il motivo per cui le tariffe d</w:t>
      </w:r>
      <w:r>
        <w:rPr>
          <w:rFonts w:hAnsi="Book Antiqua" w:hint="default"/>
          <w:rtl w:val="0"/>
          <w:lang w:val="it-IT"/>
        </w:rPr>
        <w:t>’</w:t>
      </w:r>
      <w:r>
        <w:rPr>
          <w:rFonts w:ascii="Book Antiqua"/>
          <w:rtl w:val="0"/>
          <w:lang w:val="it-IT"/>
        </w:rPr>
        <w:t xml:space="preserve">accesso della differenziata sono disciplinate da una normativa regionale. Su questo ci sono diverse determine. In ogni caso, relativamente al costo, ricordo che 143 euro era la tariffa, oggi in discussione, ci sono state diverse determine. Il numero </w:t>
      </w:r>
      <w:r>
        <w:rPr>
          <w:rFonts w:hAnsi="Book Antiqua" w:hint="default"/>
          <w:rtl w:val="0"/>
          <w:lang w:val="it-IT"/>
        </w:rPr>
        <w:t xml:space="preserve">è </w:t>
      </w:r>
      <w:r>
        <w:rPr>
          <w:rFonts w:ascii="Book Antiqua"/>
          <w:rtl w:val="0"/>
          <w:lang w:val="it-IT"/>
        </w:rPr>
        <w:t>comunque inferiore. Sul tema del costo vi fornisco un elemento  importante. La gara dell</w:t>
      </w:r>
      <w:r>
        <w:rPr>
          <w:rFonts w:hAnsi="Book Antiqua" w:hint="default"/>
          <w:rtl w:val="0"/>
          <w:lang w:val="it-IT"/>
        </w:rPr>
        <w:t>’</w:t>
      </w:r>
      <w:r>
        <w:rPr>
          <w:rFonts w:ascii="Book Antiqua"/>
          <w:rtl w:val="0"/>
          <w:lang w:val="it-IT"/>
        </w:rPr>
        <w:t>indifferenziato aveva evidenziato che, al mercato, il costo dell</w:t>
      </w:r>
      <w:r>
        <w:rPr>
          <w:rFonts w:hAnsi="Book Antiqua" w:hint="default"/>
          <w:rtl w:val="0"/>
          <w:lang w:val="it-IT"/>
        </w:rPr>
        <w:t>’</w:t>
      </w:r>
      <w:r>
        <w:rPr>
          <w:rFonts w:ascii="Book Antiqua"/>
          <w:rtl w:val="0"/>
          <w:lang w:val="it-IT"/>
        </w:rPr>
        <w:t xml:space="preserve">indifferenziato trattato in impianti extra Nazione era di 136 euro a tonnellata. Se io mi devo confrontare con un prezzo di mercato, lo devo fare con quelli di mercato e questo </w:t>
      </w:r>
      <w:r>
        <w:rPr>
          <w:rFonts w:hAnsi="Book Antiqua" w:hint="default"/>
          <w:rtl w:val="0"/>
          <w:lang w:val="it-IT"/>
        </w:rPr>
        <w:t xml:space="preserve">è </w:t>
      </w:r>
      <w:r>
        <w:rPr>
          <w:rFonts w:ascii="Book Antiqua"/>
          <w:rtl w:val="0"/>
          <w:lang w:val="it-IT"/>
        </w:rPr>
        <w:t>un elemento. I TMB AMA hanno un costo industriale fatto dalle persone che ci lavorano e dalle attivit</w:t>
      </w:r>
      <w:r>
        <w:rPr>
          <w:rFonts w:hAnsi="Book Antiqua" w:hint="default"/>
          <w:rtl w:val="0"/>
          <w:lang w:val="it-IT"/>
        </w:rPr>
        <w:t>à</w:t>
      </w:r>
      <w:r>
        <w:rPr>
          <w:rFonts w:ascii="Book Antiqua"/>
          <w:rtl w:val="0"/>
          <w:lang w:val="it-IT"/>
        </w:rPr>
        <w:t>. Su questo c</w:t>
      </w:r>
      <w:r>
        <w:rPr>
          <w:rFonts w:hAnsi="Book Antiqua" w:hint="default"/>
          <w:rtl w:val="0"/>
          <w:lang w:val="it-IT"/>
        </w:rPr>
        <w:t xml:space="preserve">’è </w:t>
      </w:r>
      <w:r>
        <w:rPr>
          <w:rFonts w:ascii="Book Antiqua"/>
          <w:rtl w:val="0"/>
          <w:lang w:val="it-IT"/>
        </w:rPr>
        <w:t>un</w:t>
      </w:r>
      <w:r>
        <w:rPr>
          <w:rFonts w:hAnsi="Book Antiqua" w:hint="default"/>
          <w:rtl w:val="0"/>
          <w:lang w:val="it-IT"/>
        </w:rPr>
        <w:t>’</w:t>
      </w:r>
      <w:r>
        <w:rPr>
          <w:rFonts w:ascii="Book Antiqua"/>
          <w:rtl w:val="0"/>
          <w:lang w:val="it-IT"/>
        </w:rPr>
        <w:t>attenzione e abbiamo lavorato anche affinch</w:t>
      </w:r>
      <w:r>
        <w:rPr>
          <w:rFonts w:hAnsi="Book Antiqua" w:hint="default"/>
          <w:rtl w:val="0"/>
          <w:lang w:val="it-IT"/>
        </w:rPr>
        <w:t xml:space="preserve">é </w:t>
      </w:r>
      <w:r>
        <w:rPr>
          <w:rFonts w:ascii="Book Antiqua"/>
          <w:rtl w:val="0"/>
          <w:lang w:val="it-IT"/>
        </w:rPr>
        <w:t>i meccanismi di affidamento dei servizi di uscita dei rifiuti, elemento di grande attenzione, andassero nella direzione di un</w:t>
      </w:r>
      <w:r>
        <w:rPr>
          <w:rFonts w:hAnsi="Book Antiqua" w:hint="default"/>
          <w:rtl w:val="0"/>
          <w:lang w:val="it-IT"/>
        </w:rPr>
        <w:t>’</w:t>
      </w:r>
      <w:r>
        <w:rPr>
          <w:rFonts w:ascii="Book Antiqua"/>
          <w:rtl w:val="0"/>
          <w:lang w:val="it-IT"/>
        </w:rPr>
        <w:t>attenta analisi delle modalit</w:t>
      </w:r>
      <w:r>
        <w:rPr>
          <w:rFonts w:hAnsi="Book Antiqua" w:hint="default"/>
          <w:rtl w:val="0"/>
          <w:lang w:val="it-IT"/>
        </w:rPr>
        <w:t xml:space="preserve">à </w:t>
      </w:r>
      <w:r>
        <w:rPr>
          <w:rFonts w:ascii="Book Antiqua"/>
          <w:rtl w:val="0"/>
          <w:lang w:val="it-IT"/>
        </w:rPr>
        <w:t>di affidamento ed evidenziassero, laddove ci fosse una commistione di attivit</w:t>
      </w:r>
      <w:r>
        <w:rPr>
          <w:rFonts w:hAnsi="Book Antiqua" w:hint="default"/>
          <w:rtl w:val="0"/>
          <w:lang w:val="it-IT"/>
        </w:rPr>
        <w:t>à</w:t>
      </w:r>
      <w:r>
        <w:rPr>
          <w:rFonts w:ascii="Book Antiqua"/>
          <w:rtl w:val="0"/>
          <w:lang w:val="it-IT"/>
        </w:rPr>
        <w:t>, il superamento della commissione delle attivit</w:t>
      </w:r>
      <w:r>
        <w:rPr>
          <w:rFonts w:hAnsi="Book Antiqua" w:hint="default"/>
          <w:rtl w:val="0"/>
          <w:lang w:val="it-IT"/>
        </w:rPr>
        <w:t xml:space="preserve">à </w:t>
      </w:r>
      <w:r>
        <w:rPr>
          <w:rFonts w:ascii="Book Antiqua"/>
          <w:rtl w:val="0"/>
          <w:lang w:val="it-IT"/>
        </w:rPr>
        <w:t>stesse. Quanto al tritovagliatore in affitto da parte di Porcarelli, quando sono arrivato questo funzionava a 800 tonnellate: in 14 mesi l</w:t>
      </w:r>
      <w:r>
        <w:rPr>
          <w:rFonts w:hAnsi="Book Antiqua" w:hint="default"/>
          <w:rtl w:val="0"/>
          <w:lang w:val="it-IT"/>
        </w:rPr>
        <w:t>’</w:t>
      </w:r>
      <w:r>
        <w:rPr>
          <w:rFonts w:ascii="Book Antiqua"/>
          <w:rtl w:val="0"/>
          <w:lang w:val="it-IT"/>
        </w:rPr>
        <w:t>abbiamo portato a zero. Semmai, bisognerebbe chiedersi perch</w:t>
      </w:r>
      <w:r>
        <w:rPr>
          <w:rFonts w:hAnsi="Book Antiqua" w:hint="default"/>
          <w:rtl w:val="0"/>
          <w:lang w:val="it-IT"/>
        </w:rPr>
        <w:t xml:space="preserve">é </w:t>
      </w:r>
      <w:r>
        <w:rPr>
          <w:rFonts w:ascii="Book Antiqua"/>
          <w:rtl w:val="0"/>
          <w:lang w:val="it-IT"/>
        </w:rPr>
        <w:t>l</w:t>
      </w:r>
      <w:r>
        <w:rPr>
          <w:rFonts w:hAnsi="Book Antiqua" w:hint="default"/>
          <w:rtl w:val="0"/>
          <w:lang w:val="it-IT"/>
        </w:rPr>
        <w:t>’</w:t>
      </w:r>
      <w:r>
        <w:rPr>
          <w:rFonts w:ascii="Book Antiqua"/>
          <w:rtl w:val="0"/>
          <w:lang w:val="it-IT"/>
        </w:rPr>
        <w:t>ho trovato che funzionava a 800 tonnellate. Se in 14 mesi si pu</w:t>
      </w:r>
      <w:r>
        <w:rPr>
          <w:rFonts w:hAnsi="Book Antiqua" w:hint="default"/>
          <w:rtl w:val="0"/>
          <w:lang w:val="it-IT"/>
        </w:rPr>
        <w:t xml:space="preserve">ò </w:t>
      </w:r>
      <w:r>
        <w:rPr>
          <w:rFonts w:ascii="Book Antiqua"/>
          <w:rtl w:val="0"/>
          <w:lang w:val="it-IT"/>
        </w:rPr>
        <w:t>portare a zero, forse la domanda va fatta a ritroso nel tempo [</w:t>
      </w:r>
      <w:r>
        <w:rPr>
          <w:rFonts w:hAnsi="Book Antiqua" w:hint="default"/>
          <w:rtl w:val="0"/>
          <w:lang w:val="it-IT"/>
        </w:rPr>
        <w:t>…</w:t>
      </w:r>
      <w:r>
        <w:rPr>
          <w:rFonts w:ascii="Book Antiqua"/>
          <w:rtl w:val="0"/>
          <w:lang w:val="it-IT"/>
        </w:rPr>
        <w:t>] Peraltro, dicevo che le pattuizioni contrattuali di un impianto che  nasceva in emergenza, erano per noi un punto d</w:t>
      </w:r>
      <w:r>
        <w:rPr>
          <w:rFonts w:hAnsi="Book Antiqua" w:hint="default"/>
          <w:rtl w:val="0"/>
          <w:lang w:val="it-IT"/>
        </w:rPr>
        <w:t>’</w:t>
      </w:r>
      <w:r>
        <w:rPr>
          <w:rFonts w:ascii="Book Antiqua"/>
          <w:rtl w:val="0"/>
          <w:lang w:val="it-IT"/>
        </w:rPr>
        <w:t>attenzione ed era interessante per noi cercare di riportare l</w:t>
      </w:r>
      <w:r>
        <w:rPr>
          <w:rFonts w:hAnsi="Book Antiqua" w:hint="default"/>
          <w:rtl w:val="0"/>
          <w:lang w:val="it-IT"/>
        </w:rPr>
        <w:t>’</w:t>
      </w:r>
      <w:r>
        <w:rPr>
          <w:rFonts w:ascii="Book Antiqua"/>
          <w:rtl w:val="0"/>
          <w:lang w:val="it-IT"/>
        </w:rPr>
        <w:t xml:space="preserve">alveo gestionale di AMA verso una soluzione che fosse quella che le dicevo. Un tritovaglio in un sistema di gestione dei rifiuti non ci deve stare: </w:t>
      </w:r>
      <w:r>
        <w:rPr>
          <w:rFonts w:hAnsi="Book Antiqua" w:hint="default"/>
          <w:rtl w:val="0"/>
          <w:lang w:val="it-IT"/>
        </w:rPr>
        <w:t xml:space="preserve">è </w:t>
      </w:r>
      <w:r>
        <w:rPr>
          <w:rFonts w:ascii="Book Antiqua"/>
          <w:rtl w:val="0"/>
          <w:lang w:val="it-IT"/>
        </w:rPr>
        <w:t>l</w:t>
      </w:r>
      <w:r>
        <w:rPr>
          <w:rFonts w:hAnsi="Book Antiqua" w:hint="default"/>
          <w:rtl w:val="0"/>
          <w:lang w:val="it-IT"/>
        </w:rPr>
        <w:t>’</w:t>
      </w:r>
      <w:r>
        <w:rPr>
          <w:rFonts w:ascii="Book Antiqua"/>
          <w:rtl w:val="0"/>
          <w:lang w:val="it-IT"/>
        </w:rPr>
        <w:t>emblema dell</w:t>
      </w:r>
      <w:r>
        <w:rPr>
          <w:rFonts w:hAnsi="Book Antiqua" w:hint="default"/>
          <w:rtl w:val="0"/>
          <w:lang w:val="it-IT"/>
        </w:rPr>
        <w:t>’</w:t>
      </w:r>
      <w:r>
        <w:rPr>
          <w:rFonts w:ascii="Book Antiqua"/>
          <w:rtl w:val="0"/>
          <w:lang w:val="it-IT"/>
        </w:rPr>
        <w:t xml:space="preserve">emergenza resa strutturale! Un tritovaglio non </w:t>
      </w:r>
      <w:r>
        <w:rPr>
          <w:rFonts w:hAnsi="Book Antiqua" w:hint="default"/>
          <w:rtl w:val="0"/>
          <w:lang w:val="it-IT"/>
        </w:rPr>
        <w:t xml:space="preserve">è </w:t>
      </w:r>
      <w:r>
        <w:rPr>
          <w:rFonts w:ascii="Book Antiqua"/>
          <w:rtl w:val="0"/>
          <w:lang w:val="it-IT"/>
        </w:rPr>
        <w:t>un impianto strutturale, che serve a gestire un rifiuto perch</w:t>
      </w:r>
      <w:r>
        <w:rPr>
          <w:rFonts w:hAnsi="Book Antiqua" w:hint="default"/>
          <w:rtl w:val="0"/>
          <w:lang w:val="it-IT"/>
        </w:rPr>
        <w:t xml:space="preserve">é </w:t>
      </w:r>
      <w:r>
        <w:rPr>
          <w:rFonts w:ascii="Book Antiqua"/>
          <w:rtl w:val="0"/>
          <w:lang w:val="it-IT"/>
        </w:rPr>
        <w:t xml:space="preserve">poi possa essere ulteriormente gestito. </w:t>
      </w:r>
      <w:r>
        <w:rPr>
          <w:rFonts w:hAnsi="Book Antiqua" w:hint="default"/>
          <w:rtl w:val="0"/>
          <w:lang w:val="it-IT"/>
        </w:rPr>
        <w:t xml:space="preserve">È </w:t>
      </w:r>
      <w:r>
        <w:rPr>
          <w:rFonts w:ascii="Book Antiqua"/>
          <w:rtl w:val="0"/>
          <w:lang w:val="it-IT"/>
        </w:rPr>
        <w:t xml:space="preserve">un sistema </w:t>
      </w:r>
      <w:r>
        <w:rPr>
          <w:rFonts w:hAnsi="Book Antiqua" w:hint="default"/>
          <w:rtl w:val="0"/>
          <w:lang w:val="it-IT"/>
        </w:rPr>
        <w:t xml:space="preserve">– </w:t>
      </w:r>
      <w:r>
        <w:rPr>
          <w:rFonts w:ascii="Book Antiqua"/>
          <w:rtl w:val="0"/>
          <w:lang w:val="it-IT"/>
        </w:rPr>
        <w:t xml:space="preserve">non </w:t>
      </w:r>
      <w:r>
        <w:rPr>
          <w:rFonts w:hAnsi="Book Antiqua" w:hint="default"/>
          <w:rtl w:val="0"/>
          <w:lang w:val="it-IT"/>
        </w:rPr>
        <w:t xml:space="preserve">è </w:t>
      </w:r>
      <w:r>
        <w:rPr>
          <w:rFonts w:ascii="Book Antiqua"/>
          <w:rtl w:val="0"/>
          <w:lang w:val="it-IT"/>
        </w:rPr>
        <w:t>cos</w:t>
      </w:r>
      <w:r>
        <w:rPr>
          <w:rFonts w:hAnsi="Book Antiqua" w:hint="default"/>
          <w:rtl w:val="0"/>
          <w:lang w:val="it-IT"/>
        </w:rPr>
        <w:t xml:space="preserve">ì </w:t>
      </w:r>
      <w:r>
        <w:rPr>
          <w:rFonts w:ascii="Book Antiqua"/>
          <w:rtl w:val="0"/>
          <w:lang w:val="it-IT"/>
        </w:rPr>
        <w:t>in altre parti d</w:t>
      </w:r>
      <w:r>
        <w:rPr>
          <w:rFonts w:hAnsi="Book Antiqua" w:hint="default"/>
          <w:rtl w:val="0"/>
          <w:lang w:val="it-IT"/>
        </w:rPr>
        <w:t>’</w:t>
      </w:r>
      <w:r>
        <w:rPr>
          <w:rFonts w:ascii="Book Antiqua"/>
          <w:rtl w:val="0"/>
          <w:lang w:val="it-IT"/>
        </w:rPr>
        <w:t>Italia e d</w:t>
      </w:r>
      <w:r>
        <w:rPr>
          <w:rFonts w:hAnsi="Book Antiqua" w:hint="default"/>
          <w:rtl w:val="0"/>
          <w:lang w:val="it-IT"/>
        </w:rPr>
        <w:t>’</w:t>
      </w:r>
      <w:r>
        <w:rPr>
          <w:rFonts w:ascii="Book Antiqua"/>
          <w:rtl w:val="0"/>
          <w:lang w:val="it-IT"/>
        </w:rPr>
        <w:t xml:space="preserve">Europa </w:t>
      </w:r>
      <w:r>
        <w:rPr>
          <w:rFonts w:hAnsi="Book Antiqua" w:hint="default"/>
          <w:rtl w:val="0"/>
          <w:lang w:val="it-IT"/>
        </w:rPr>
        <w:t xml:space="preserve">– </w:t>
      </w:r>
      <w:r>
        <w:rPr>
          <w:rFonts w:ascii="Book Antiqua"/>
          <w:rtl w:val="0"/>
          <w:lang w:val="it-IT"/>
        </w:rPr>
        <w:t xml:space="preserve">in cui si </w:t>
      </w:r>
      <w:r>
        <w:rPr>
          <w:rFonts w:hAnsi="Book Antiqua" w:hint="default"/>
          <w:rtl w:val="0"/>
          <w:lang w:val="it-IT"/>
        </w:rPr>
        <w:t xml:space="preserve">è </w:t>
      </w:r>
      <w:r>
        <w:rPr>
          <w:rFonts w:ascii="Book Antiqua"/>
          <w:rtl w:val="0"/>
          <w:lang w:val="it-IT"/>
        </w:rPr>
        <w:t>scelto di non utilizzare un</w:t>
      </w:r>
      <w:r>
        <w:rPr>
          <w:rFonts w:hAnsi="Book Antiqua" w:hint="default"/>
          <w:rtl w:val="0"/>
          <w:lang w:val="it-IT"/>
        </w:rPr>
        <w:t>’</w:t>
      </w:r>
      <w:r>
        <w:rPr>
          <w:rFonts w:ascii="Book Antiqua"/>
          <w:rtl w:val="0"/>
          <w:lang w:val="it-IT"/>
        </w:rPr>
        <w:t>impiantistica intermedia, come quella del trattamento meccanico biologico, ovvero di trattare direttamente nell</w:t>
      </w:r>
      <w:r>
        <w:rPr>
          <w:rFonts w:hAnsi="Book Antiqua" w:hint="default"/>
          <w:rtl w:val="0"/>
          <w:lang w:val="it-IT"/>
        </w:rPr>
        <w:t>’</w:t>
      </w:r>
      <w:r>
        <w:rPr>
          <w:rFonts w:ascii="Book Antiqua"/>
          <w:rtl w:val="0"/>
          <w:lang w:val="it-IT"/>
        </w:rPr>
        <w:t xml:space="preserve">impiantistica la valorizzazione energetica, la componente del rifiuto urbano residuo. Nella nostra regione si </w:t>
      </w:r>
      <w:r>
        <w:rPr>
          <w:rFonts w:hAnsi="Book Antiqua" w:hint="default"/>
          <w:rtl w:val="0"/>
          <w:lang w:val="it-IT"/>
        </w:rPr>
        <w:t xml:space="preserve">è </w:t>
      </w:r>
      <w:r>
        <w:rPr>
          <w:rFonts w:ascii="Book Antiqua"/>
          <w:rtl w:val="0"/>
          <w:lang w:val="it-IT"/>
        </w:rPr>
        <w:t>scelta una soluzione che vede un</w:t>
      </w:r>
      <w:r>
        <w:rPr>
          <w:rFonts w:hAnsi="Book Antiqua" w:hint="default"/>
          <w:rtl w:val="0"/>
          <w:lang w:val="it-IT"/>
        </w:rPr>
        <w:t>’</w:t>
      </w:r>
      <w:r>
        <w:rPr>
          <w:rFonts w:ascii="Book Antiqua"/>
          <w:rtl w:val="0"/>
          <w:lang w:val="it-IT"/>
        </w:rPr>
        <w:t xml:space="preserve">impiantistica intermedia e il tritovaglio non lo </w:t>
      </w:r>
      <w:r>
        <w:rPr>
          <w:rFonts w:hAnsi="Book Antiqua" w:hint="default"/>
          <w:rtl w:val="0"/>
          <w:lang w:val="it-IT"/>
        </w:rPr>
        <w:t>è</w:t>
      </w:r>
      <w:r>
        <w:rPr>
          <w:rFonts w:ascii="Book Antiqua"/>
          <w:rtl w:val="0"/>
          <w:lang w:val="it-IT"/>
        </w:rPr>
        <w:t xml:space="preserve">. Il tritovaglio </w:t>
      </w:r>
      <w:r>
        <w:rPr>
          <w:rFonts w:hAnsi="Book Antiqua" w:hint="default"/>
          <w:rtl w:val="0"/>
          <w:lang w:val="it-IT"/>
        </w:rPr>
        <w:t xml:space="preserve">è </w:t>
      </w:r>
      <w:r>
        <w:rPr>
          <w:rFonts w:ascii="Book Antiqua"/>
          <w:rtl w:val="0"/>
          <w:lang w:val="it-IT"/>
        </w:rPr>
        <w:t>una macchina che fa un cambiamento di codice, ma non fa un trattamento tale che si possa definire strutturalmente necessario a un sistema rifiuti evoluto. In un sistema rifiuti che abbia la dignit</w:t>
      </w:r>
      <w:r>
        <w:rPr>
          <w:rFonts w:hAnsi="Book Antiqua" w:hint="default"/>
          <w:rtl w:val="0"/>
          <w:lang w:val="it-IT"/>
        </w:rPr>
        <w:t xml:space="preserve">à </w:t>
      </w:r>
      <w:r>
        <w:rPr>
          <w:rFonts w:ascii="Book Antiqua"/>
          <w:rtl w:val="0"/>
          <w:lang w:val="it-IT"/>
        </w:rPr>
        <w:t xml:space="preserve">di questo nome, il tritovaglio non deve esserci. Devono esserci impianti che funzionano in modo da garantire flussi in uscita, gestiti poi dalle ulteriori fasi. In questa regione si </w:t>
      </w:r>
      <w:r>
        <w:rPr>
          <w:rFonts w:hAnsi="Book Antiqua" w:hint="default"/>
          <w:rtl w:val="0"/>
          <w:lang w:val="it-IT"/>
        </w:rPr>
        <w:t xml:space="preserve">è </w:t>
      </w:r>
      <w:r>
        <w:rPr>
          <w:rFonts w:ascii="Book Antiqua"/>
          <w:rtl w:val="0"/>
          <w:lang w:val="it-IT"/>
        </w:rPr>
        <w:t xml:space="preserve">scelto un certo processo </w:t>
      </w:r>
      <w:r>
        <w:rPr>
          <w:rFonts w:hAnsi="Book Antiqua" w:hint="default"/>
          <w:rtl w:val="0"/>
          <w:lang w:val="it-IT"/>
        </w:rPr>
        <w:t xml:space="preserve">– </w:t>
      </w:r>
      <w:r>
        <w:rPr>
          <w:rFonts w:ascii="Book Antiqua"/>
          <w:rtl w:val="0"/>
          <w:lang w:val="it-IT"/>
        </w:rPr>
        <w:t xml:space="preserve">lo sapete meglio di me </w:t>
      </w:r>
      <w:r>
        <w:rPr>
          <w:rFonts w:hAnsi="Book Antiqua" w:hint="default"/>
          <w:rtl w:val="0"/>
          <w:lang w:val="it-IT"/>
        </w:rPr>
        <w:t xml:space="preserve">– </w:t>
      </w:r>
      <w:r>
        <w:rPr>
          <w:rFonts w:ascii="Book Antiqua"/>
          <w:rtl w:val="0"/>
          <w:lang w:val="it-IT"/>
        </w:rPr>
        <w:t xml:space="preserve">che permette di avere in uscita dei flussi da avviare ad altre soluzioni. In questo caso, il tritovaglio non </w:t>
      </w:r>
      <w:r>
        <w:rPr>
          <w:rFonts w:hAnsi="Book Antiqua" w:hint="default"/>
          <w:rtl w:val="0"/>
          <w:lang w:val="it-IT"/>
        </w:rPr>
        <w:t xml:space="preserve">è </w:t>
      </w:r>
      <w:r>
        <w:rPr>
          <w:rFonts w:ascii="Book Antiqua"/>
          <w:rtl w:val="0"/>
          <w:lang w:val="it-IT"/>
        </w:rPr>
        <w:t>un elemento che possa ritenersi da impianto di trattamento rifiuti maturo</w:t>
      </w:r>
      <w:r>
        <w:rPr>
          <w:rFonts w:hAnsi="Book Antiqua" w:hint="default"/>
          <w:rtl w:val="0"/>
          <w:lang w:val="it-IT"/>
        </w:rPr>
        <w:t>”</w:t>
      </w:r>
      <w:r>
        <w:rPr>
          <w:rFonts w:ascii="Book Antiqua"/>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Il 12 dicembre 2016 la Commissione ha proceduto alle audizioni del presidente del consorzio Co.La.Ri., Candido Saioni, e, contestualmente, dell</w:t>
      </w:r>
      <w:r>
        <w:rPr>
          <w:rFonts w:hAnsi="Book Antiqua" w:hint="default"/>
          <w:rtl w:val="0"/>
          <w:lang w:val="it-IT"/>
        </w:rPr>
        <w:t>’</w:t>
      </w:r>
      <w:r>
        <w:rPr>
          <w:rFonts w:ascii="Book Antiqua"/>
          <w:rtl w:val="0"/>
          <w:lang w:val="it-IT"/>
        </w:rPr>
        <w:t>ex presidente del Consorzio, Manlio Cerroni, evidentemente portatori di una diversa visione delle questioni sin qui affrontate.</w:t>
      </w:r>
    </w:p>
    <w:p>
      <w:pPr>
        <w:pStyle w:val="Normal"/>
        <w:ind w:left="567" w:right="567" w:firstLine="0"/>
        <w:jc w:val="both"/>
        <w:rPr>
          <w:rFonts w:ascii="Book Antiqua" w:cs="Book Antiqua" w:hAnsi="Book Antiqua" w:eastAsia="Book Antiqua"/>
        </w:rPr>
      </w:pPr>
      <w:r>
        <w:rPr>
          <w:rFonts w:ascii="Book Antiqua"/>
          <w:rtl w:val="0"/>
          <w:lang w:val="it-IT"/>
        </w:rPr>
        <w:t>Ha affermato il primo:</w:t>
      </w:r>
    </w:p>
    <w:p>
      <w:pPr>
        <w:pStyle w:val="Normal"/>
        <w:ind w:left="567" w:right="567" w:firstLine="0"/>
        <w:jc w:val="both"/>
        <w:rPr>
          <w:rFonts w:ascii="Book Antiqua" w:cs="Book Antiqua" w:hAnsi="Book Antiqua" w:eastAsia="Book Antiqua"/>
        </w:rPr>
      </w:pPr>
      <w:r>
        <w:rPr>
          <w:rFonts w:hAnsi="Book Antiqua" w:hint="default"/>
          <w:rtl w:val="0"/>
          <w:lang w:val="it-IT"/>
        </w:rPr>
        <w:t>“</w:t>
      </w:r>
      <w:r>
        <w:rPr>
          <w:rFonts w:ascii="Book Antiqua"/>
          <w:rtl w:val="0"/>
          <w:lang w:val="it-IT"/>
        </w:rPr>
        <w:t>Quest'impianto, nel 2013, ha contribuito notevolmente a risolvere le problematiche prese in analisi dalla Commissione europea e che avevano provocato il procedimento di infrazione; ha potuto risolvere le problematiche di trattare tutti i rifiuti indifferenziati prodotti da Roma prima di mandarli nelle discariche, ma non solo.</w:t>
      </w:r>
      <w:r>
        <w:rPr>
          <w:rFonts w:hAnsi="Book Antiqua" w:hint="default"/>
          <w:rtl w:val="0"/>
          <w:lang w:val="it-IT"/>
        </w:rPr>
        <w:t> </w:t>
      </w:r>
      <w:r>
        <w:rPr>
          <w:rFonts w:ascii="Book Antiqua"/>
          <w:rtl w:val="0"/>
          <w:lang w:val="it-IT"/>
        </w:rPr>
        <w:t>Ha anche evitato le emergenze. Anche all'epoca, infatti, c'erano ripetute emergenze e l'impianto di tritovagliatura, che ha garantito fin dall'inizio del suo funzionamento da circa 1.000 tonnellate al giorno fino a punte di 1.200 tonnellate, ha risolto [</w:t>
      </w:r>
      <w:r>
        <w:rPr>
          <w:rFonts w:hAnsi="Book Antiqua" w:hint="default"/>
          <w:rtl w:val="0"/>
          <w:lang w:val="it-IT"/>
        </w:rPr>
        <w:t>…</w:t>
      </w:r>
      <w:r>
        <w:rPr>
          <w:rFonts w:ascii="Book Antiqua"/>
          <w:rtl w:val="0"/>
          <w:lang w:val="it-IT"/>
        </w:rPr>
        <w:t xml:space="preserve">] </w:t>
      </w:r>
      <w:r>
        <w:rPr>
          <w:rFonts w:hAnsi="Book Antiqua" w:hint="default"/>
          <w:rtl w:val="0"/>
          <w:lang w:val="it-IT"/>
        </w:rPr>
        <w:t xml:space="preserve">è </w:t>
      </w:r>
      <w:r>
        <w:rPr>
          <w:rFonts w:ascii="Book Antiqua"/>
          <w:rtl w:val="0"/>
          <w:lang w:val="it-IT"/>
        </w:rPr>
        <w:t xml:space="preserve">per noi una grossa soddisfazione </w:t>
      </w:r>
      <w:r>
        <w:rPr>
          <w:rFonts w:hAnsi="Book Antiqua" w:hint="default"/>
          <w:rtl w:val="0"/>
          <w:lang w:val="it-IT"/>
        </w:rPr>
        <w:t xml:space="preserve">– </w:t>
      </w:r>
      <w:r>
        <w:rPr>
          <w:rFonts w:ascii="Book Antiqua"/>
          <w:rtl w:val="0"/>
          <w:lang w:val="it-IT"/>
        </w:rPr>
        <w:t xml:space="preserve">su determina del commissario Sottile ci fu la realizzazione dell'impianto di tritovagliatura </w:t>
      </w:r>
      <w:r>
        <w:rPr>
          <w:rFonts w:hAnsi="Book Antiqua" w:hint="default"/>
          <w:rtl w:val="0"/>
          <w:lang w:val="it-IT"/>
        </w:rPr>
        <w:t xml:space="preserve">– </w:t>
      </w:r>
      <w:r>
        <w:rPr>
          <w:rFonts w:ascii="Book Antiqua"/>
          <w:rtl w:val="0"/>
          <w:lang w:val="it-IT"/>
        </w:rPr>
        <w:t>il fatto che abbiamo contribuito a evitare l'emergenza all'epoca, le emergenze negli anni successivi e, soprattutto, l'infrazione, quindi le penalit</w:t>
      </w:r>
      <w:r>
        <w:rPr>
          <w:rFonts w:hAnsi="Book Antiqua" w:hint="default"/>
          <w:rtl w:val="0"/>
          <w:lang w:val="it-IT"/>
        </w:rPr>
        <w:t xml:space="preserve">à </w:t>
      </w:r>
      <w:r>
        <w:rPr>
          <w:rFonts w:ascii="Book Antiqua"/>
          <w:rtl w:val="0"/>
          <w:lang w:val="it-IT"/>
        </w:rPr>
        <w:t>che ne conseguono.</w:t>
      </w:r>
      <w:r>
        <w:rPr>
          <w:rFonts w:hAnsi="Book Antiqua" w:hint="default"/>
          <w:rtl w:val="0"/>
          <w:lang w:val="it-IT"/>
        </w:rPr>
        <w:t xml:space="preserve">  </w:t>
      </w:r>
      <w:r>
        <w:rPr>
          <w:rFonts w:ascii="Book Antiqua"/>
          <w:rtl w:val="0"/>
          <w:lang w:val="it-IT"/>
        </w:rPr>
        <w:t>[...] Tornando a noi, abbiamo invece contribuito con questo tritovagliatore a rendere autosufficiente la regione Lazio [</w:t>
      </w:r>
      <w:r>
        <w:rPr>
          <w:rFonts w:hAnsi="Book Antiqua" w:hint="default"/>
          <w:rtl w:val="0"/>
          <w:lang w:val="it-IT"/>
        </w:rPr>
        <w:t>…</w:t>
      </w:r>
      <w:r>
        <w:rPr>
          <w:rFonts w:ascii="Book Antiqua"/>
          <w:rtl w:val="0"/>
          <w:lang w:val="it-IT"/>
        </w:rPr>
        <w:t xml:space="preserve">] Noi tutti abbiamo letto nei giornali </w:t>
      </w:r>
      <w:r>
        <w:rPr>
          <w:rFonts w:hAnsi="Book Antiqua" w:hint="default"/>
          <w:rtl w:val="0"/>
          <w:lang w:val="it-IT"/>
        </w:rPr>
        <w:t xml:space="preserve">– </w:t>
      </w:r>
      <w:r>
        <w:rPr>
          <w:rFonts w:ascii="Book Antiqua"/>
          <w:rtl w:val="0"/>
          <w:lang w:val="it-IT"/>
        </w:rPr>
        <w:t xml:space="preserve">ve ne siete occupati anche voi </w:t>
      </w:r>
      <w:r>
        <w:rPr>
          <w:rFonts w:hAnsi="Book Antiqua" w:hint="default"/>
          <w:rtl w:val="0"/>
          <w:lang w:val="it-IT"/>
        </w:rPr>
        <w:t xml:space="preserve">– </w:t>
      </w:r>
      <w:r>
        <w:rPr>
          <w:rFonts w:ascii="Book Antiqua"/>
          <w:rtl w:val="0"/>
          <w:lang w:val="it-IT"/>
        </w:rPr>
        <w:t>nella scorsa primavera dell'emergenza a Roma. Noi riteniamo che l'emergenza rifiuti a Roma sia stata determinata dal fatto che improvvisamente l'AMA non ha pi</w:t>
      </w:r>
      <w:r>
        <w:rPr>
          <w:rFonts w:hAnsi="Book Antiqua" w:hint="default"/>
          <w:rtl w:val="0"/>
          <w:lang w:val="it-IT"/>
        </w:rPr>
        <w:t xml:space="preserve">ù </w:t>
      </w:r>
      <w:r>
        <w:rPr>
          <w:rFonts w:ascii="Book Antiqua"/>
          <w:rtl w:val="0"/>
          <w:lang w:val="it-IT"/>
        </w:rPr>
        <w:t xml:space="preserve">utilizzato il tritovagliatore. Il tritovagliatore, che proprio oggi con soddisfazione abbiamo accertato, non noi, ma ha accertato la Commissione europea, che </w:t>
      </w:r>
      <w:r>
        <w:rPr>
          <w:rFonts w:hAnsi="Book Antiqua" w:hint="default"/>
          <w:rtl w:val="0"/>
          <w:lang w:val="it-IT"/>
        </w:rPr>
        <w:t xml:space="preserve">è </w:t>
      </w:r>
      <w:r>
        <w:rPr>
          <w:rFonts w:ascii="Book Antiqua"/>
          <w:rtl w:val="0"/>
          <w:lang w:val="it-IT"/>
        </w:rPr>
        <w:t xml:space="preserve">stato lo strumento che ha evitato sia l'infrazione sia le emergenze per tre anni, improvvisamente a febbraio 2016 non </w:t>
      </w:r>
      <w:r>
        <w:rPr>
          <w:rFonts w:hAnsi="Book Antiqua" w:hint="default"/>
          <w:rtl w:val="0"/>
          <w:lang w:val="it-IT"/>
        </w:rPr>
        <w:t xml:space="preserve">è </w:t>
      </w:r>
      <w:r>
        <w:rPr>
          <w:rFonts w:ascii="Book Antiqua"/>
          <w:rtl w:val="0"/>
          <w:lang w:val="it-IT"/>
        </w:rPr>
        <w:t>stato pi</w:t>
      </w:r>
      <w:r>
        <w:rPr>
          <w:rFonts w:hAnsi="Book Antiqua" w:hint="default"/>
          <w:rtl w:val="0"/>
          <w:lang w:val="it-IT"/>
        </w:rPr>
        <w:t xml:space="preserve">ù </w:t>
      </w:r>
      <w:r>
        <w:rPr>
          <w:rFonts w:ascii="Book Antiqua"/>
          <w:rtl w:val="0"/>
          <w:lang w:val="it-IT"/>
        </w:rPr>
        <w:t>utilizzato e la citt</w:t>
      </w:r>
      <w:r>
        <w:rPr>
          <w:rFonts w:hAnsi="Book Antiqua" w:hint="default"/>
          <w:rtl w:val="0"/>
          <w:lang w:val="it-IT"/>
        </w:rPr>
        <w:t xml:space="preserve">à è </w:t>
      </w:r>
      <w:r>
        <w:rPr>
          <w:rFonts w:ascii="Book Antiqua"/>
          <w:rtl w:val="0"/>
          <w:lang w:val="it-IT"/>
        </w:rPr>
        <w:t xml:space="preserve">entrata matematicamente, sicuramente in emergenza. Non </w:t>
      </w:r>
      <w:r>
        <w:rPr>
          <w:rFonts w:hAnsi="Book Antiqua" w:hint="default"/>
          <w:rtl w:val="0"/>
          <w:lang w:val="it-IT"/>
        </w:rPr>
        <w:t xml:space="preserve">è </w:t>
      </w:r>
      <w:r>
        <w:rPr>
          <w:rFonts w:ascii="Book Antiqua"/>
          <w:rtl w:val="0"/>
          <w:lang w:val="it-IT"/>
        </w:rPr>
        <w:t>stato pi</w:t>
      </w:r>
      <w:r>
        <w:rPr>
          <w:rFonts w:hAnsi="Book Antiqua" w:hint="default"/>
          <w:rtl w:val="0"/>
          <w:lang w:val="it-IT"/>
        </w:rPr>
        <w:t xml:space="preserve">ù </w:t>
      </w:r>
      <w:r>
        <w:rPr>
          <w:rFonts w:ascii="Book Antiqua"/>
          <w:rtl w:val="0"/>
          <w:lang w:val="it-IT"/>
        </w:rPr>
        <w:t xml:space="preserve">utilizzato, stranamente, mentre l'AMA ha espresso l'intenzione di voler acquistare tutti i nostri impianti, compreso quindi il tritovagliatore. Improvvisamente, a febbraio ha cessato di conferire i propri rifiuti e abbiamo saputo anche dalle affermazioni dell'ex presidente dell'AMA in questa Commissione che il tritovagliatore </w:t>
      </w:r>
      <w:r>
        <w:rPr>
          <w:rFonts w:hAnsi="Book Antiqua" w:hint="default"/>
          <w:rtl w:val="0"/>
          <w:lang w:val="it-IT"/>
        </w:rPr>
        <w:t xml:space="preserve">è </w:t>
      </w:r>
      <w:r>
        <w:rPr>
          <w:rFonts w:ascii="Book Antiqua"/>
          <w:rtl w:val="0"/>
          <w:lang w:val="it-IT"/>
        </w:rPr>
        <w:t>stato inteso dall'AMA illegittimo, abusivo, e quindi non pi</w:t>
      </w:r>
      <w:r>
        <w:rPr>
          <w:rFonts w:hAnsi="Book Antiqua" w:hint="default"/>
          <w:rtl w:val="0"/>
          <w:lang w:val="it-IT"/>
        </w:rPr>
        <w:t xml:space="preserve">ù </w:t>
      </w:r>
      <w:r>
        <w:rPr>
          <w:rFonts w:ascii="Book Antiqua"/>
          <w:rtl w:val="0"/>
          <w:lang w:val="it-IT"/>
        </w:rPr>
        <w:t>utilizzabile.</w:t>
      </w:r>
      <w:r>
        <w:rPr>
          <w:rFonts w:hAnsi="Book Antiqua" w:hint="default"/>
          <w:rtl w:val="0"/>
          <w:lang w:val="it-IT"/>
        </w:rPr>
        <w:t xml:space="preserve">  </w:t>
      </w:r>
      <w:r>
        <w:rPr>
          <w:rFonts w:ascii="Book Antiqua"/>
          <w:rtl w:val="0"/>
          <w:lang w:val="it-IT"/>
        </w:rPr>
        <w:t xml:space="preserve">Questa </w:t>
      </w:r>
      <w:r>
        <w:rPr>
          <w:rFonts w:hAnsi="Book Antiqua" w:hint="default"/>
          <w:rtl w:val="0"/>
          <w:lang w:val="it-IT"/>
        </w:rPr>
        <w:t xml:space="preserve">è </w:t>
      </w:r>
      <w:r>
        <w:rPr>
          <w:rFonts w:ascii="Book Antiqua"/>
          <w:rtl w:val="0"/>
          <w:lang w:val="it-IT"/>
        </w:rPr>
        <w:t>una situazione estremamente curiosa, dico io. Come pu</w:t>
      </w:r>
      <w:r>
        <w:rPr>
          <w:rFonts w:hAnsi="Book Antiqua" w:hint="default"/>
          <w:rtl w:val="0"/>
          <w:lang w:val="it-IT"/>
        </w:rPr>
        <w:t xml:space="preserve">ò </w:t>
      </w:r>
      <w:r>
        <w:rPr>
          <w:rFonts w:ascii="Book Antiqua"/>
          <w:rtl w:val="0"/>
          <w:lang w:val="it-IT"/>
        </w:rPr>
        <w:t xml:space="preserve">un soggetto rappresentante di un'azienda pubblica esprimere l'interesse all'acquisto e poi trattare per proseguire nell'utilizzo, ma poi improvvisamente dire che </w:t>
      </w:r>
      <w:r>
        <w:rPr>
          <w:rFonts w:hAnsi="Book Antiqua" w:hint="default"/>
          <w:rtl w:val="0"/>
          <w:lang w:val="it-IT"/>
        </w:rPr>
        <w:t xml:space="preserve">è </w:t>
      </w:r>
      <w:r>
        <w:rPr>
          <w:rFonts w:ascii="Book Antiqua"/>
          <w:rtl w:val="0"/>
          <w:lang w:val="it-IT"/>
        </w:rPr>
        <w:t>abusivo, e quindi non pu</w:t>
      </w:r>
      <w:r>
        <w:rPr>
          <w:rFonts w:hAnsi="Book Antiqua" w:hint="default"/>
          <w:rtl w:val="0"/>
          <w:lang w:val="it-IT"/>
        </w:rPr>
        <w:t xml:space="preserve">ò </w:t>
      </w:r>
      <w:r>
        <w:rPr>
          <w:rFonts w:ascii="Book Antiqua"/>
          <w:rtl w:val="0"/>
          <w:lang w:val="it-IT"/>
        </w:rPr>
        <w:t>pi</w:t>
      </w:r>
      <w:r>
        <w:rPr>
          <w:rFonts w:hAnsi="Book Antiqua" w:hint="default"/>
          <w:rtl w:val="0"/>
          <w:lang w:val="it-IT"/>
        </w:rPr>
        <w:t xml:space="preserve">ù </w:t>
      </w:r>
      <w:r>
        <w:rPr>
          <w:rFonts w:ascii="Book Antiqua"/>
          <w:rtl w:val="0"/>
          <w:lang w:val="it-IT"/>
        </w:rPr>
        <w:t>essere utilizzato? [</w:t>
      </w:r>
      <w:r>
        <w:rPr>
          <w:rFonts w:hAnsi="Book Antiqua" w:hint="default"/>
          <w:rtl w:val="0"/>
          <w:lang w:val="it-IT"/>
        </w:rPr>
        <w:t>…</w:t>
      </w:r>
      <w:r>
        <w:rPr>
          <w:rFonts w:ascii="Book Antiqua"/>
          <w:rtl w:val="0"/>
          <w:lang w:val="it-IT"/>
        </w:rPr>
        <w:t xml:space="preserve">] Per dieci anni </w:t>
      </w:r>
      <w:r>
        <w:rPr>
          <w:rFonts w:hAnsi="Book Antiqua" w:hint="default"/>
          <w:rtl w:val="0"/>
          <w:lang w:val="it-IT"/>
        </w:rPr>
        <w:t xml:space="preserve">è </w:t>
      </w:r>
      <w:r>
        <w:rPr>
          <w:rFonts w:ascii="Book Antiqua"/>
          <w:rtl w:val="0"/>
          <w:lang w:val="it-IT"/>
        </w:rPr>
        <w:t>stato autorizzato e vi posso precisare ancora meglio che quel tritovagliatore, gi</w:t>
      </w:r>
      <w:r>
        <w:rPr>
          <w:rFonts w:hAnsi="Book Antiqua" w:hint="default"/>
          <w:rtl w:val="0"/>
          <w:lang w:val="it-IT"/>
        </w:rPr>
        <w:t xml:space="preserve">à </w:t>
      </w:r>
      <w:r>
        <w:rPr>
          <w:rFonts w:ascii="Book Antiqua"/>
          <w:rtl w:val="0"/>
          <w:lang w:val="it-IT"/>
        </w:rPr>
        <w:t xml:space="preserve">autorizzato come stazione di trasferenza, poi </w:t>
      </w:r>
      <w:r>
        <w:rPr>
          <w:rFonts w:hAnsi="Book Antiqua" w:hint="default"/>
          <w:rtl w:val="0"/>
          <w:lang w:val="it-IT"/>
        </w:rPr>
        <w:t xml:space="preserve">è </w:t>
      </w:r>
      <w:r>
        <w:rPr>
          <w:rFonts w:ascii="Book Antiqua"/>
          <w:rtl w:val="0"/>
          <w:lang w:val="it-IT"/>
        </w:rPr>
        <w:t xml:space="preserve">stato autorizzato nel 2013 per avere anche una stazione di tritovagliatura. Questa </w:t>
      </w:r>
      <w:r>
        <w:rPr>
          <w:rFonts w:hAnsi="Book Antiqua" w:hint="default"/>
          <w:rtl w:val="0"/>
          <w:lang w:val="it-IT"/>
        </w:rPr>
        <w:t xml:space="preserve">è </w:t>
      </w:r>
      <w:r>
        <w:rPr>
          <w:rFonts w:ascii="Book Antiqua"/>
          <w:rtl w:val="0"/>
          <w:lang w:val="it-IT"/>
        </w:rPr>
        <w:t xml:space="preserve">la domanda che rivolgiamo a voi: come mai un impianto, di cui proprio oggi riusciamo ad avere la notizia che </w:t>
      </w:r>
      <w:r>
        <w:rPr>
          <w:rFonts w:hAnsi="Book Antiqua" w:hint="default"/>
          <w:rtl w:val="0"/>
          <w:lang w:val="it-IT"/>
        </w:rPr>
        <w:t xml:space="preserve">è </w:t>
      </w:r>
      <w:r>
        <w:rPr>
          <w:rFonts w:ascii="Book Antiqua"/>
          <w:rtl w:val="0"/>
          <w:lang w:val="it-IT"/>
        </w:rPr>
        <w:t xml:space="preserve">stato l'impianto che ha risolto l'emergenza e le sanzioni, </w:t>
      </w:r>
      <w:r>
        <w:rPr>
          <w:rFonts w:hAnsi="Book Antiqua" w:hint="default"/>
          <w:rtl w:val="0"/>
          <w:lang w:val="it-IT"/>
        </w:rPr>
        <w:t xml:space="preserve">è </w:t>
      </w:r>
      <w:r>
        <w:rPr>
          <w:rFonts w:ascii="Book Antiqua"/>
          <w:rtl w:val="0"/>
          <w:lang w:val="it-IT"/>
        </w:rPr>
        <w:t>improvvisamente diventato non pi</w:t>
      </w:r>
      <w:r>
        <w:rPr>
          <w:rFonts w:hAnsi="Book Antiqua" w:hint="default"/>
          <w:rtl w:val="0"/>
          <w:lang w:val="it-IT"/>
        </w:rPr>
        <w:t xml:space="preserve">ù </w:t>
      </w:r>
      <w:r>
        <w:rPr>
          <w:rFonts w:ascii="Book Antiqua"/>
          <w:rtl w:val="0"/>
          <w:lang w:val="it-IT"/>
        </w:rPr>
        <w:t>utilizzabile?</w:t>
      </w:r>
      <w:r>
        <w:rPr>
          <w:rFonts w:hAnsi="Book Antiqua" w:hint="default"/>
          <w:rtl w:val="0"/>
          <w:lang w:val="it-IT"/>
        </w:rPr>
        <w:t xml:space="preserve">  </w:t>
      </w:r>
      <w:r>
        <w:rPr>
          <w:rFonts w:ascii="Book Antiqua"/>
          <w:rtl w:val="0"/>
          <w:lang w:val="it-IT"/>
        </w:rPr>
        <w:t>Per quanto riguarda il tritovagliatore, a un certo punto l'AMA ha autoridotto in maniera unilaterale la tariffa, dicendo che secondo l'AMA, secondo l'ex presidente Fortini, era una tariffa che non aveva alcun motivo di essere pagata, cosa molto strana. Dobbiamo andare avanti.</w:t>
      </w:r>
      <w:r>
        <w:rPr>
          <w:rFonts w:hAnsi="Book Antiqua" w:hint="default"/>
          <w:rtl w:val="0"/>
          <w:lang w:val="it-IT"/>
        </w:rPr>
        <w:t> </w:t>
      </w:r>
      <w:r>
        <w:rPr>
          <w:rFonts w:ascii="Book Antiqua"/>
          <w:rtl w:val="0"/>
          <w:lang w:val="it-IT"/>
        </w:rPr>
        <w:t>Questo ci crea dei grossissimi problemi, problemi di gestione, che se non risolti si riverberano sicuramente sulla citt</w:t>
      </w:r>
      <w:r>
        <w:rPr>
          <w:rFonts w:hAnsi="Book Antiqua" w:hint="default"/>
          <w:rtl w:val="0"/>
          <w:lang w:val="it-IT"/>
        </w:rPr>
        <w:t xml:space="preserve">à </w:t>
      </w:r>
      <w:r>
        <w:rPr>
          <w:rFonts w:ascii="Book Antiqua"/>
          <w:rtl w:val="0"/>
          <w:lang w:val="it-IT"/>
        </w:rPr>
        <w:t xml:space="preserve">di Roma. Se l'AMA si autoriduce le fatture dicendo che la tariffa che le viene fatturata non </w:t>
      </w:r>
      <w:r>
        <w:rPr>
          <w:rFonts w:hAnsi="Book Antiqua" w:hint="default"/>
          <w:rtl w:val="0"/>
          <w:lang w:val="it-IT"/>
        </w:rPr>
        <w:t xml:space="preserve">è </w:t>
      </w:r>
      <w:r>
        <w:rPr>
          <w:rFonts w:ascii="Book Antiqua"/>
          <w:rtl w:val="0"/>
          <w:lang w:val="it-IT"/>
        </w:rPr>
        <w:t>riconosciuta perch</w:t>
      </w:r>
      <w:r>
        <w:rPr>
          <w:rFonts w:hAnsi="Book Antiqua" w:hint="default"/>
          <w:rtl w:val="0"/>
          <w:lang w:val="it-IT"/>
        </w:rPr>
        <w:t xml:space="preserve">é </w:t>
      </w:r>
      <w:r>
        <w:rPr>
          <w:rFonts w:ascii="Book Antiqua"/>
          <w:rtl w:val="0"/>
          <w:lang w:val="it-IT"/>
        </w:rPr>
        <w:t>fuori [</w:t>
      </w:r>
      <w:r>
        <w:rPr>
          <w:rFonts w:hAnsi="Book Antiqua" w:hint="default"/>
          <w:rtl w:val="0"/>
          <w:lang w:val="it-IT"/>
        </w:rPr>
        <w:t>…</w:t>
      </w:r>
      <w:r>
        <w:rPr>
          <w:rFonts w:ascii="Book Antiqua"/>
          <w:rtl w:val="0"/>
          <w:lang w:val="it-IT"/>
        </w:rPr>
        <w:t>] e ci paga soltanto semplici acconti, negli ultimi mesi ogni tanto un acconto, senza alcun riferimento alle fatture, noi ci troviamo in enorme difficolt</w:t>
      </w:r>
      <w:r>
        <w:rPr>
          <w:rFonts w:hAnsi="Book Antiqua" w:hint="default"/>
          <w:rtl w:val="0"/>
          <w:lang w:val="it-IT"/>
        </w:rPr>
        <w:t xml:space="preserve">à </w:t>
      </w:r>
      <w:r>
        <w:rPr>
          <w:rFonts w:ascii="Book Antiqua"/>
          <w:rtl w:val="0"/>
          <w:lang w:val="it-IT"/>
        </w:rPr>
        <w:t>nel pagare i nostri fornitori. Vi posso anche portare a conoscenza di un paradosso.</w:t>
      </w:r>
      <w:r>
        <w:rPr>
          <w:rFonts w:hAnsi="Book Antiqua" w:hint="default"/>
          <w:rtl w:val="0"/>
          <w:lang w:val="it-IT"/>
        </w:rPr>
        <w:t> </w:t>
      </w:r>
      <w:r>
        <w:rPr>
          <w:rFonts w:ascii="Book Antiqua"/>
          <w:rtl w:val="0"/>
          <w:lang w:val="it-IT"/>
        </w:rPr>
        <w:t>La Lazio Ambiente la EP Sistemi sono societ</w:t>
      </w:r>
      <w:r>
        <w:rPr>
          <w:rFonts w:hAnsi="Book Antiqua" w:hint="default"/>
          <w:rtl w:val="0"/>
          <w:lang w:val="it-IT"/>
        </w:rPr>
        <w:t xml:space="preserve">à </w:t>
      </w:r>
      <w:r>
        <w:rPr>
          <w:rFonts w:ascii="Book Antiqua"/>
          <w:rtl w:val="0"/>
          <w:lang w:val="it-IT"/>
        </w:rPr>
        <w:t>partecipate dalla regione e dall'AMA: ebbene, stanno in difficolt</w:t>
      </w:r>
      <w:r>
        <w:rPr>
          <w:rFonts w:hAnsi="Book Antiqua" w:hint="default"/>
          <w:rtl w:val="0"/>
          <w:lang w:val="it-IT"/>
        </w:rPr>
        <w:t xml:space="preserve">à </w:t>
      </w:r>
      <w:r>
        <w:rPr>
          <w:rFonts w:ascii="Book Antiqua"/>
          <w:rtl w:val="0"/>
          <w:lang w:val="it-IT"/>
        </w:rPr>
        <w:t>peggio di noi, perch</w:t>
      </w:r>
      <w:r>
        <w:rPr>
          <w:rFonts w:hAnsi="Book Antiqua" w:hint="default"/>
          <w:rtl w:val="0"/>
          <w:lang w:val="it-IT"/>
        </w:rPr>
        <w:t xml:space="preserve">é </w:t>
      </w:r>
      <w:r>
        <w:rPr>
          <w:rFonts w:ascii="Book Antiqua"/>
          <w:rtl w:val="0"/>
          <w:lang w:val="it-IT"/>
        </w:rPr>
        <w:t>noi non essendo pagati dall'AMA, non possiamo pagare loro. Un socio di una societ</w:t>
      </w:r>
      <w:r>
        <w:rPr>
          <w:rFonts w:hAnsi="Book Antiqua" w:hint="default"/>
          <w:rtl w:val="0"/>
          <w:lang w:val="it-IT"/>
        </w:rPr>
        <w:t xml:space="preserve">à </w:t>
      </w:r>
      <w:r>
        <w:rPr>
          <w:rFonts w:ascii="Book Antiqua"/>
          <w:rtl w:val="0"/>
          <w:lang w:val="it-IT"/>
        </w:rPr>
        <w:t>non paga, quindi, il debitore, il cliente di una societ</w:t>
      </w:r>
      <w:r>
        <w:rPr>
          <w:rFonts w:hAnsi="Book Antiqua" w:hint="default"/>
          <w:rtl w:val="0"/>
          <w:lang w:val="it-IT"/>
        </w:rPr>
        <w:t>à</w:t>
      </w:r>
      <w:r>
        <w:rPr>
          <w:rFonts w:ascii="Book Antiqua"/>
          <w:rtl w:val="0"/>
          <w:lang w:val="it-IT"/>
        </w:rPr>
        <w:t>, che si trova in difficolt</w:t>
      </w:r>
      <w:r>
        <w:rPr>
          <w:rFonts w:hAnsi="Book Antiqua" w:hint="default"/>
          <w:rtl w:val="0"/>
          <w:lang w:val="it-IT"/>
        </w:rPr>
        <w:t>à</w:t>
      </w:r>
      <w:r>
        <w:rPr>
          <w:rFonts w:ascii="Book Antiqua"/>
          <w:rtl w:val="0"/>
          <w:lang w:val="it-IT"/>
        </w:rPr>
        <w:t xml:space="preserve">, ma pesanti. Tra l'altro, anche questa </w:t>
      </w:r>
      <w:r>
        <w:rPr>
          <w:rFonts w:hAnsi="Book Antiqua" w:hint="default"/>
          <w:rtl w:val="0"/>
          <w:lang w:val="it-IT"/>
        </w:rPr>
        <w:t xml:space="preserve">è </w:t>
      </w:r>
      <w:r>
        <w:rPr>
          <w:rFonts w:ascii="Book Antiqua"/>
          <w:rtl w:val="0"/>
          <w:lang w:val="it-IT"/>
        </w:rPr>
        <w:t>un'azienda pubblica, perch</w:t>
      </w:r>
      <w:r>
        <w:rPr>
          <w:rFonts w:hAnsi="Book Antiqua" w:hint="default"/>
          <w:rtl w:val="0"/>
          <w:lang w:val="it-IT"/>
        </w:rPr>
        <w:t xml:space="preserve">é </w:t>
      </w:r>
      <w:r>
        <w:rPr>
          <w:rFonts w:ascii="Book Antiqua"/>
          <w:rtl w:val="0"/>
          <w:lang w:val="it-IT"/>
        </w:rPr>
        <w:t>posseduta dalla regione e dall'AMA.</w:t>
      </w:r>
      <w:r>
        <w:rPr>
          <w:rFonts w:hAnsi="Book Antiqua" w:hint="default"/>
          <w:rtl w:val="0"/>
          <w:lang w:val="it-IT"/>
        </w:rPr>
        <w:t> </w:t>
      </w:r>
      <w:r>
        <w:rPr>
          <w:rFonts w:ascii="Book Antiqua"/>
          <w:rtl w:val="0"/>
          <w:lang w:val="it-IT"/>
        </w:rPr>
        <w:t xml:space="preserve">Per dirvi il paradosso, noi abbiamo tantissimi gestori delle discariche, gestori dei termovalorizzatori, presso i quali dovremmo conferire e conferiamo, ma molto spesso devo aggiungere che non </w:t>
      </w:r>
      <w:r>
        <w:rPr>
          <w:rFonts w:hAnsi="Book Antiqua" w:hint="default"/>
          <w:rtl w:val="0"/>
          <w:lang w:val="it-IT"/>
        </w:rPr>
        <w:t xml:space="preserve">è </w:t>
      </w:r>
      <w:r>
        <w:rPr>
          <w:rFonts w:ascii="Book Antiqua"/>
          <w:rtl w:val="0"/>
          <w:lang w:val="it-IT"/>
        </w:rPr>
        <w:t>solo un problema di manutenzione: non ci ricevono i rifiuti perch</w:t>
      </w:r>
      <w:r>
        <w:rPr>
          <w:rFonts w:hAnsi="Book Antiqua" w:hint="default"/>
          <w:rtl w:val="0"/>
          <w:lang w:val="it-IT"/>
        </w:rPr>
        <w:t xml:space="preserve">é </w:t>
      </w:r>
      <w:r>
        <w:rPr>
          <w:rFonts w:ascii="Book Antiqua"/>
          <w:rtl w:val="0"/>
          <w:lang w:val="it-IT"/>
        </w:rPr>
        <w:t>noi non li paghiamo, e non li paghiamo perch</w:t>
      </w:r>
      <w:r>
        <w:rPr>
          <w:rFonts w:hAnsi="Book Antiqua" w:hint="default"/>
          <w:rtl w:val="0"/>
          <w:lang w:val="it-IT"/>
        </w:rPr>
        <w:t xml:space="preserve">é </w:t>
      </w:r>
      <w:r>
        <w:rPr>
          <w:rFonts w:ascii="Book Antiqua"/>
          <w:rtl w:val="0"/>
          <w:lang w:val="it-IT"/>
        </w:rPr>
        <w:t>da una parte, quanto al tritovagliatore, non ci viene riconosciuta la fattura e si procede per minimi acconti; d'altra parte, per quanto riguarda i TMB, ancora peggio, non siamo stati pagati per due anni e mezzo e adesso siamo sempre pagati con acconti, ma davanti al TAR tutte le determine che intervengono per regolamentare la tariffa vengono impugnate sistematicamente dall'AMA, che poi paga in acconti e non ci fa sopravvivere [</w:t>
      </w:r>
      <w:r>
        <w:rPr>
          <w:rFonts w:hAnsi="Book Antiqua" w:hint="default"/>
          <w:rtl w:val="0"/>
          <w:lang w:val="it-IT"/>
        </w:rPr>
        <w:t>…</w:t>
      </w:r>
      <w:r>
        <w:rPr>
          <w:rFonts w:ascii="Book Antiqua"/>
          <w:rtl w:val="0"/>
          <w:lang w:val="it-IT"/>
        </w:rPr>
        <w:t>] da un punto di vista teorico, con le fatture emesse, [i nostri] sono bilanci sicuramente floridi; quanto invece alla realt</w:t>
      </w:r>
      <w:r>
        <w:rPr>
          <w:rFonts w:hAnsi="Book Antiqua" w:hint="default"/>
          <w:rtl w:val="0"/>
          <w:lang w:val="it-IT"/>
        </w:rPr>
        <w:t>à</w:t>
      </w:r>
      <w:r>
        <w:rPr>
          <w:rFonts w:ascii="Book Antiqua"/>
          <w:rtl w:val="0"/>
          <w:lang w:val="it-IT"/>
        </w:rPr>
        <w:t>, abbiamo un problema di cassa finanziario pazzesco, perch</w:t>
      </w:r>
      <w:r>
        <w:rPr>
          <w:rFonts w:hAnsi="Book Antiqua" w:hint="default"/>
          <w:rtl w:val="0"/>
          <w:lang w:val="it-IT"/>
        </w:rPr>
        <w:t xml:space="preserve">é </w:t>
      </w:r>
      <w:r>
        <w:rPr>
          <w:rFonts w:ascii="Book Antiqua"/>
          <w:rtl w:val="0"/>
          <w:lang w:val="it-IT"/>
        </w:rPr>
        <w:t>l'AMA non ci paga.</w:t>
      </w:r>
      <w:r>
        <w:rPr>
          <w:rFonts w:hAnsi="Book Antiqua" w:hint="default"/>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 xml:space="preserve">Le posizioni di Co.La.Ri. ruotano di fatto intorno alla funzione </w:t>
      </w:r>
      <w:r>
        <w:rPr>
          <w:rFonts w:hAnsi="Book Antiqua" w:hint="default"/>
          <w:rtl w:val="0"/>
          <w:lang w:val="it-IT"/>
        </w:rPr>
        <w:t>“</w:t>
      </w:r>
      <w:r>
        <w:rPr>
          <w:rFonts w:ascii="Book Antiqua"/>
          <w:rtl w:val="0"/>
          <w:lang w:val="it-IT"/>
        </w:rPr>
        <w:t>salvifica</w:t>
      </w:r>
      <w:r>
        <w:rPr>
          <w:rFonts w:hAnsi="Book Antiqua" w:hint="default"/>
          <w:rtl w:val="0"/>
          <w:lang w:val="it-IT"/>
        </w:rPr>
        <w:t xml:space="preserve">” </w:t>
      </w:r>
      <w:r>
        <w:rPr>
          <w:rFonts w:ascii="Book Antiqua"/>
          <w:rtl w:val="0"/>
          <w:lang w:val="it-IT"/>
        </w:rPr>
        <w:t>che i suoi rappresentanti attribuiscono all</w:t>
      </w:r>
      <w:r>
        <w:rPr>
          <w:rFonts w:hAnsi="Book Antiqua" w:hint="default"/>
          <w:rtl w:val="0"/>
          <w:lang w:val="it-IT"/>
        </w:rPr>
        <w:t>’</w:t>
      </w:r>
      <w:r>
        <w:rPr>
          <w:rFonts w:ascii="Book Antiqua"/>
          <w:rtl w:val="0"/>
          <w:lang w:val="it-IT"/>
        </w:rPr>
        <w:t>impresa, sia per il passato che per il presente</w:t>
      </w:r>
      <w:r>
        <w:rPr>
          <w:rFonts w:ascii="Book Antiqua" w:cs="Book Antiqua" w:hAnsi="Book Antiqua" w:eastAsia="Book Antiqua"/>
          <w:vertAlign w:val="superscript"/>
          <w:rtl w:val="0"/>
        </w:rPr>
        <w:footnoteReference w:id="67"/>
      </w:r>
      <w:r>
        <w:rPr>
          <w:rFonts w:ascii="Book Antiqua"/>
          <w:rtl w:val="0"/>
          <w:lang w:val="it-IT"/>
        </w:rPr>
        <w:t>. Mentre, quanto al tritovagliatore e alla vicenda, all</w:t>
      </w:r>
      <w:r>
        <w:rPr>
          <w:rFonts w:hAnsi="Book Antiqua" w:hint="default"/>
          <w:rtl w:val="0"/>
          <w:lang w:val="it-IT"/>
        </w:rPr>
        <w:t>’</w:t>
      </w:r>
      <w:r>
        <w:rPr>
          <w:rFonts w:ascii="Book Antiqua"/>
          <w:rtl w:val="0"/>
          <w:lang w:val="it-IT"/>
        </w:rPr>
        <w:t>epoca, del mancato inserimento nel piano e della mancata determinazione pubblica delle tariffe, le questioni sono rimaste senza una plausibile risposta.</w:t>
      </w:r>
    </w:p>
    <w:p>
      <w:pPr>
        <w:pStyle w:val="Normal"/>
        <w:ind w:left="567" w:right="567" w:firstLine="0"/>
        <w:jc w:val="both"/>
        <w:rPr>
          <w:rFonts w:ascii="Book Antiqua" w:cs="Book Antiqua" w:hAnsi="Book Antiqua" w:eastAsia="Book Antiqua"/>
        </w:rPr>
      </w:pPr>
      <w:r>
        <w:rPr>
          <w:rFonts w:ascii="Book Antiqua"/>
          <w:rtl w:val="0"/>
          <w:lang w:val="it-IT"/>
        </w:rPr>
        <w:t>Ulteriori elementi sono stati acquisiti dalla Commissione a seguito dell</w:t>
      </w:r>
      <w:r>
        <w:rPr>
          <w:rFonts w:hAnsi="Book Antiqua" w:hint="default"/>
          <w:rtl w:val="0"/>
          <w:lang w:val="it-IT"/>
        </w:rPr>
        <w:t>’</w:t>
      </w:r>
      <w:r>
        <w:rPr>
          <w:rFonts w:ascii="Book Antiqua"/>
          <w:rtl w:val="0"/>
          <w:lang w:val="it-IT"/>
        </w:rPr>
        <w:t>audizione, l</w:t>
      </w:r>
      <w:r>
        <w:rPr>
          <w:rFonts w:hAnsi="Book Antiqua" w:hint="default"/>
          <w:rtl w:val="0"/>
          <w:lang w:val="it-IT"/>
        </w:rPr>
        <w:t>’</w:t>
      </w:r>
      <w:r>
        <w:rPr>
          <w:rFonts w:ascii="Book Antiqua"/>
          <w:rtl w:val="0"/>
          <w:lang w:val="it-IT"/>
        </w:rPr>
        <w:t>11 gennaio 2017 dell</w:t>
      </w:r>
      <w:r>
        <w:rPr>
          <w:rFonts w:hAnsi="Book Antiqua" w:hint="default"/>
          <w:rtl w:val="0"/>
          <w:lang w:val="it-IT"/>
        </w:rPr>
        <w:t>’</w:t>
      </w:r>
      <w:r>
        <w:rPr>
          <w:rFonts w:ascii="Book Antiqua"/>
          <w:rtl w:val="0"/>
          <w:lang w:val="it-IT"/>
        </w:rPr>
        <w:t xml:space="preserve">ex direttore generale di AMA S.p.A., Giovanni Fiscon: </w:t>
      </w:r>
    </w:p>
    <w:p>
      <w:pPr>
        <w:pStyle w:val="Normal"/>
        <w:ind w:left="567" w:right="567" w:firstLine="0"/>
        <w:jc w:val="both"/>
        <w:rPr>
          <w:rFonts w:ascii="Book Antiqua" w:cs="Book Antiqua" w:hAnsi="Book Antiqua" w:eastAsia="Book Antiqua"/>
        </w:rPr>
      </w:pPr>
      <w:r>
        <w:rPr>
          <w:rFonts w:hAnsi="Book Antiqua" w:hint="default"/>
          <w:rtl w:val="0"/>
          <w:lang w:val="it-IT"/>
        </w:rPr>
        <w:t>“</w:t>
      </w:r>
      <w:r>
        <w:rPr>
          <w:rFonts w:ascii="Book Antiqua"/>
          <w:rtl w:val="0"/>
          <w:lang w:val="it-IT"/>
        </w:rPr>
        <w:t>In quella fase noi avevamo decreti del commissario prefettizio che ci obbligavano a portare i rifiuti agli impianti di TMB e al tritovagliatore. La regione Lazio definiva le tariffe solo per il TMB. Sul tritovagliatore abbiamo chiesto e ci hanno detto che non erano competenti e che era competente la provincia. Lo abbiamo chiesto alla provincia e quest'ultima ci ha detto che non erano competenti. Tuttavia, c'era un decreto che ci diceva che dovevamo andare l</w:t>
      </w:r>
      <w:r>
        <w:rPr>
          <w:rFonts w:hAnsi="Book Antiqua" w:hint="default"/>
          <w:rtl w:val="0"/>
          <w:lang w:val="it-IT"/>
        </w:rPr>
        <w:t xml:space="preserve">ì </w:t>
      </w:r>
      <w:r>
        <w:rPr>
          <w:rFonts w:ascii="Book Antiqua"/>
          <w:rtl w:val="0"/>
          <w:lang w:val="it-IT"/>
        </w:rPr>
        <w:t>al massimo della potenzialit</w:t>
      </w:r>
      <w:r>
        <w:rPr>
          <w:rFonts w:hAnsi="Book Antiqua" w:hint="default"/>
          <w:rtl w:val="0"/>
          <w:lang w:val="it-IT"/>
        </w:rPr>
        <w:t xml:space="preserve">à </w:t>
      </w:r>
      <w:r>
        <w:rPr>
          <w:rFonts w:ascii="Book Antiqua"/>
          <w:rtl w:val="0"/>
          <w:lang w:val="it-IT"/>
        </w:rPr>
        <w:t>[</w:t>
      </w:r>
      <w:r>
        <w:rPr>
          <w:rFonts w:hAnsi="Book Antiqua" w:hint="default"/>
          <w:rtl w:val="0"/>
          <w:lang w:val="it-IT"/>
        </w:rPr>
        <w:t>…</w:t>
      </w:r>
      <w:r>
        <w:rPr>
          <w:rFonts w:ascii="Book Antiqua"/>
          <w:rtl w:val="0"/>
          <w:lang w:val="it-IT"/>
        </w:rPr>
        <w:t>] Prima c'era il decreto del Ministro Clini, poi di fatto erano ordinanze del commissario prefettizio</w:t>
      </w:r>
      <w:r>
        <w:rPr>
          <w:rFonts w:hAnsi="Book Antiqua" w:hint="default"/>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L</w:t>
      </w:r>
      <w:r>
        <w:rPr>
          <w:rFonts w:hAnsi="Book Antiqua" w:hint="default"/>
          <w:rtl w:val="0"/>
          <w:lang w:val="it-IT"/>
        </w:rPr>
        <w:t>’</w:t>
      </w:r>
      <w:r>
        <w:rPr>
          <w:rFonts w:ascii="Book Antiqua"/>
          <w:rtl w:val="0"/>
          <w:lang w:val="it-IT"/>
        </w:rPr>
        <w:t>audito, a domanda, ha confermato che nelle ordinanze non erano precisati i costi:</w:t>
      </w:r>
    </w:p>
    <w:p>
      <w:pPr>
        <w:pStyle w:val="Normal"/>
        <w:ind w:left="567" w:right="567" w:firstLine="0"/>
        <w:jc w:val="both"/>
        <w:rPr>
          <w:rFonts w:ascii="Book Antiqua" w:cs="Book Antiqua" w:hAnsi="Book Antiqua" w:eastAsia="Book Antiqua"/>
        </w:rPr>
      </w:pPr>
      <w:r>
        <w:rPr>
          <w:rFonts w:hAnsi="Book Antiqua" w:hint="default"/>
          <w:rtl w:val="0"/>
          <w:lang w:val="it-IT"/>
        </w:rPr>
        <w:t>“</w:t>
      </w:r>
      <w:r>
        <w:rPr>
          <w:rFonts w:ascii="Book Antiqua"/>
          <w:rtl w:val="0"/>
          <w:lang w:val="it-IT"/>
        </w:rPr>
        <w:t>Il commissariamento era gi</w:t>
      </w:r>
      <w:r>
        <w:rPr>
          <w:rFonts w:hAnsi="Book Antiqua" w:hint="default"/>
          <w:rtl w:val="0"/>
          <w:lang w:val="it-IT"/>
        </w:rPr>
        <w:t xml:space="preserve">à </w:t>
      </w:r>
      <w:r>
        <w:rPr>
          <w:rFonts w:ascii="Book Antiqua"/>
          <w:rtl w:val="0"/>
          <w:lang w:val="it-IT"/>
        </w:rPr>
        <w:t>iniziato, per</w:t>
      </w:r>
      <w:r>
        <w:rPr>
          <w:rFonts w:hAnsi="Book Antiqua" w:hint="default"/>
          <w:rtl w:val="0"/>
          <w:lang w:val="it-IT"/>
        </w:rPr>
        <w:t xml:space="preserve">ò </w:t>
      </w:r>
      <w:r>
        <w:rPr>
          <w:rFonts w:ascii="Book Antiqua"/>
          <w:rtl w:val="0"/>
          <w:lang w:val="it-IT"/>
        </w:rPr>
        <w:t>le ordinanze ci sono state dall'11 aprile fino all'ultima che ha emesso il prefetto.</w:t>
      </w:r>
      <w:r>
        <w:rPr>
          <w:rFonts w:hAnsi="Book Antiqua" w:hint="default"/>
          <w:rtl w:val="0"/>
          <w:lang w:val="it-IT"/>
        </w:rPr>
        <w:t> </w:t>
      </w:r>
      <w:r>
        <w:rPr>
          <w:rFonts w:ascii="Book Antiqua"/>
          <w:rtl w:val="0"/>
          <w:lang w:val="it-IT"/>
        </w:rPr>
        <w:t>Se ricordate, l</w:t>
      </w:r>
      <w:r>
        <w:rPr>
          <w:rFonts w:hAnsi="Book Antiqua" w:hint="default"/>
          <w:rtl w:val="0"/>
          <w:lang w:val="it-IT"/>
        </w:rPr>
        <w:t xml:space="preserve">ì </w:t>
      </w:r>
      <w:r>
        <w:rPr>
          <w:rFonts w:ascii="Book Antiqua"/>
          <w:rtl w:val="0"/>
          <w:lang w:val="it-IT"/>
        </w:rPr>
        <w:t>ci sono stati 100 giorni per la discarica, 180 giorni per la possibilit</w:t>
      </w:r>
      <w:r>
        <w:rPr>
          <w:rFonts w:hAnsi="Book Antiqua" w:hint="default"/>
          <w:rtl w:val="0"/>
          <w:lang w:val="it-IT"/>
        </w:rPr>
        <w:t xml:space="preserve">à </w:t>
      </w:r>
      <w:r>
        <w:rPr>
          <w:rFonts w:ascii="Book Antiqua"/>
          <w:rtl w:val="0"/>
          <w:lang w:val="it-IT"/>
        </w:rPr>
        <w:t>di portare il rifiuto trattato, 100 giorni l'11 aprile, e 180 giorni, con cui arrivavamo al 30 giugno 2013. Mi riferisco al rifiuto trattato. Dopodich</w:t>
      </w:r>
      <w:r>
        <w:rPr>
          <w:rFonts w:hAnsi="Book Antiqua" w:hint="default"/>
          <w:rtl w:val="0"/>
          <w:lang w:val="it-IT"/>
        </w:rPr>
        <w:t>é</w:t>
      </w:r>
      <w:r>
        <w:rPr>
          <w:rFonts w:ascii="Book Antiqua"/>
          <w:rtl w:val="0"/>
          <w:lang w:val="it-IT"/>
        </w:rPr>
        <w:t>, c'</w:t>
      </w:r>
      <w:r>
        <w:rPr>
          <w:rFonts w:hAnsi="Book Antiqua" w:hint="default"/>
          <w:rtl w:val="0"/>
          <w:lang w:val="it-IT"/>
        </w:rPr>
        <w:t xml:space="preserve">è </w:t>
      </w:r>
      <w:r>
        <w:rPr>
          <w:rFonts w:ascii="Book Antiqua"/>
          <w:rtl w:val="0"/>
          <w:lang w:val="it-IT"/>
        </w:rPr>
        <w:t>stata una nuova ordinanza del prefetto dal 30 giugno al 30 settembre. Nella stessa ordinanza si parlava sempre di tritovagliatura. Dal primo ottobre non si poteva pi</w:t>
      </w:r>
      <w:r>
        <w:rPr>
          <w:rFonts w:hAnsi="Book Antiqua" w:hint="default"/>
          <w:rtl w:val="0"/>
          <w:lang w:val="it-IT"/>
        </w:rPr>
        <w:t xml:space="preserve">ù </w:t>
      </w:r>
      <w:r>
        <w:rPr>
          <w:rFonts w:ascii="Book Antiqua"/>
          <w:rtl w:val="0"/>
          <w:lang w:val="it-IT"/>
        </w:rPr>
        <w:t>portare il trattato.</w:t>
      </w:r>
      <w:r>
        <w:rPr>
          <w:rFonts w:hAnsi="Book Antiqua" w:hint="default"/>
          <w:rtl w:val="0"/>
          <w:lang w:val="it-IT"/>
        </w:rPr>
        <w:t> </w:t>
      </w:r>
      <w:r>
        <w:rPr>
          <w:rFonts w:ascii="Book Antiqua"/>
          <w:rtl w:val="0"/>
          <w:lang w:val="it-IT"/>
        </w:rPr>
        <w:t>Quando nel 2014 ci fu il problema dell'interdittiva antimafia, fu fatta un'ordinanza del sindaco Marino, che ha consentito a Co.La.Ri. di continuare a portare sia ai TMB sia al tritovagliatore.</w:t>
      </w:r>
      <w:r>
        <w:rPr>
          <w:rFonts w:hAnsi="Book Antiqua" w:hint="default"/>
          <w:rtl w:val="0"/>
          <w:lang w:val="it-IT"/>
        </w:rPr>
        <w:t xml:space="preserve">  </w:t>
      </w:r>
      <w:r>
        <w:rPr>
          <w:rFonts w:ascii="Book Antiqua"/>
          <w:rtl w:val="0"/>
          <w:lang w:val="it-IT"/>
        </w:rPr>
        <w:t xml:space="preserve">In seguito, l'interdittiva antimafia </w:t>
      </w:r>
      <w:r>
        <w:rPr>
          <w:rFonts w:hAnsi="Book Antiqua" w:hint="default"/>
          <w:rtl w:val="0"/>
          <w:lang w:val="it-IT"/>
        </w:rPr>
        <w:t xml:space="preserve">è </w:t>
      </w:r>
      <w:r>
        <w:rPr>
          <w:rFonts w:ascii="Book Antiqua"/>
          <w:rtl w:val="0"/>
          <w:lang w:val="it-IT"/>
        </w:rPr>
        <w:t xml:space="preserve">stata revocata, non ricordo se dal TAR o dal Consiglio di Stato. Questo </w:t>
      </w:r>
      <w:r>
        <w:rPr>
          <w:rFonts w:hAnsi="Book Antiqua" w:hint="default"/>
          <w:rtl w:val="0"/>
          <w:lang w:val="it-IT"/>
        </w:rPr>
        <w:t xml:space="preserve">è </w:t>
      </w:r>
      <w:r>
        <w:rPr>
          <w:rFonts w:ascii="Book Antiqua"/>
          <w:rtl w:val="0"/>
          <w:lang w:val="it-IT"/>
        </w:rPr>
        <w:t>un po</w:t>
      </w:r>
      <w:r>
        <w:rPr>
          <w:rFonts w:hAnsi="Book Antiqua" w:hint="default"/>
          <w:rtl w:val="0"/>
          <w:lang w:val="it-IT"/>
        </w:rPr>
        <w:t xml:space="preserve">’ </w:t>
      </w:r>
      <w:r>
        <w:rPr>
          <w:rFonts w:ascii="Book Antiqua"/>
          <w:rtl w:val="0"/>
          <w:lang w:val="it-IT"/>
        </w:rPr>
        <w:t>l'iter del tritovagliatore. [</w:t>
      </w:r>
      <w:r>
        <w:rPr>
          <w:rFonts w:hAnsi="Book Antiqua" w:hint="default"/>
          <w:rtl w:val="0"/>
          <w:lang w:val="it-IT"/>
        </w:rPr>
        <w:t>…</w:t>
      </w:r>
      <w:r>
        <w:rPr>
          <w:rFonts w:ascii="Book Antiqua"/>
          <w:rtl w:val="0"/>
          <w:lang w:val="it-IT"/>
        </w:rPr>
        <w:t>] in quel caso, se ricordo bene, la contrattazione fu fatta, ma c'erano delle clausole di salvaguardia, perch</w:t>
      </w:r>
      <w:r>
        <w:rPr>
          <w:rFonts w:hAnsi="Book Antiqua" w:hint="default"/>
          <w:rtl w:val="0"/>
          <w:lang w:val="it-IT"/>
        </w:rPr>
        <w:t xml:space="preserve">é </w:t>
      </w:r>
      <w:r>
        <w:rPr>
          <w:rFonts w:ascii="Book Antiqua"/>
          <w:rtl w:val="0"/>
          <w:lang w:val="it-IT"/>
        </w:rPr>
        <w:t>poi, dopo un certo numero di mesi, si doveva concertare e verificare esattamente quali erano i costi che venivano sostenuti.</w:t>
      </w:r>
      <w:r>
        <w:rPr>
          <w:rFonts w:hAnsi="Book Antiqua" w:hint="default"/>
          <w:rtl w:val="0"/>
          <w:lang w:val="it-IT"/>
        </w:rPr>
        <w:t> </w:t>
      </w:r>
      <w:r>
        <w:rPr>
          <w:rFonts w:ascii="Book Antiqua"/>
          <w:rtl w:val="0"/>
          <w:lang w:val="it-IT"/>
        </w:rPr>
        <w:t>Nel frattempo, per</w:t>
      </w:r>
      <w:r>
        <w:rPr>
          <w:rFonts w:hAnsi="Book Antiqua" w:hint="default"/>
          <w:rtl w:val="0"/>
          <w:lang w:val="it-IT"/>
        </w:rPr>
        <w:t>ò</w:t>
      </w:r>
      <w:r>
        <w:rPr>
          <w:rFonts w:ascii="Book Antiqua"/>
          <w:rtl w:val="0"/>
          <w:lang w:val="it-IT"/>
        </w:rPr>
        <w:t xml:space="preserve">, </w:t>
      </w:r>
      <w:r>
        <w:rPr>
          <w:rFonts w:hAnsi="Book Antiqua" w:hint="default"/>
          <w:rtl w:val="0"/>
          <w:lang w:val="it-IT"/>
        </w:rPr>
        <w:t xml:space="preserve">è </w:t>
      </w:r>
      <w:r>
        <w:rPr>
          <w:rFonts w:ascii="Book Antiqua"/>
          <w:rtl w:val="0"/>
          <w:lang w:val="it-IT"/>
        </w:rPr>
        <w:t>subentrato il problema dell'antimafia e c'</w:t>
      </w:r>
      <w:r>
        <w:rPr>
          <w:rFonts w:hAnsi="Book Antiqua" w:hint="default"/>
          <w:rtl w:val="0"/>
          <w:lang w:val="it-IT"/>
        </w:rPr>
        <w:t xml:space="preserve">è </w:t>
      </w:r>
      <w:r>
        <w:rPr>
          <w:rFonts w:ascii="Book Antiqua"/>
          <w:rtl w:val="0"/>
          <w:lang w:val="it-IT"/>
        </w:rPr>
        <w:t xml:space="preserve">stata l'ordinanza. Fu nominato, peraltro </w:t>
      </w:r>
      <w:r>
        <w:rPr>
          <w:rFonts w:hAnsi="Book Antiqua" w:hint="default"/>
          <w:rtl w:val="0"/>
          <w:lang w:val="it-IT"/>
        </w:rPr>
        <w:t xml:space="preserve">– </w:t>
      </w:r>
      <w:r>
        <w:rPr>
          <w:rFonts w:ascii="Book Antiqua"/>
          <w:rtl w:val="0"/>
          <w:lang w:val="it-IT"/>
        </w:rPr>
        <w:t xml:space="preserve">lo ricordo bene </w:t>
      </w:r>
      <w:r>
        <w:rPr>
          <w:rFonts w:hAnsi="Book Antiqua" w:hint="default"/>
          <w:rtl w:val="0"/>
          <w:lang w:val="it-IT"/>
        </w:rPr>
        <w:t xml:space="preserve">– </w:t>
      </w:r>
      <w:r>
        <w:rPr>
          <w:rFonts w:ascii="Book Antiqua"/>
          <w:rtl w:val="0"/>
          <w:lang w:val="it-IT"/>
        </w:rPr>
        <w:t xml:space="preserve">un prefetto che poi purtroppo </w:t>
      </w:r>
      <w:r>
        <w:rPr>
          <w:rFonts w:hAnsi="Book Antiqua" w:hint="default"/>
          <w:rtl w:val="0"/>
          <w:lang w:val="it-IT"/>
        </w:rPr>
        <w:t xml:space="preserve">è </w:t>
      </w:r>
      <w:r>
        <w:rPr>
          <w:rFonts w:ascii="Book Antiqua"/>
          <w:rtl w:val="0"/>
          <w:lang w:val="it-IT"/>
        </w:rPr>
        <w:t>deceduto, il prefetto De Sena, che divenne un arbitro in tutta quella fase molto delicata.</w:t>
      </w:r>
      <w:r>
        <w:rPr>
          <w:rFonts w:hAnsi="Book Antiqua" w:hint="default"/>
          <w:rtl w:val="0"/>
          <w:lang w:val="it-IT"/>
        </w:rPr>
        <w:t> </w:t>
      </w:r>
      <w:r>
        <w:rPr>
          <w:rFonts w:ascii="Book Antiqua"/>
          <w:rtl w:val="0"/>
          <w:lang w:val="it-IT"/>
        </w:rPr>
        <w:t>Immaginate che comunque noi contrattavamo con qualcuno che aveva l'interdittiva antimafia e, quindi, andavamo a pagare un soggetto... Tutti i pagamenti transitavano per il prefetto. Anche se il prefetto di fatto era un amministratore del Co.La.Ri., era una garanzia.</w:t>
      </w:r>
      <w:r>
        <w:rPr>
          <w:rFonts w:hAnsi="Book Antiqua" w:hint="default"/>
          <w:rtl w:val="0"/>
          <w:lang w:val="it-IT"/>
        </w:rPr>
        <w:t> </w:t>
      </w:r>
      <w:r>
        <w:rPr>
          <w:rFonts w:ascii="Book Antiqua"/>
          <w:rtl w:val="0"/>
          <w:lang w:val="it-IT"/>
        </w:rPr>
        <w:t xml:space="preserve">Peraltro, per gli impianti di TMB, come avete visto, il problema </w:t>
      </w:r>
      <w:r>
        <w:rPr>
          <w:rFonts w:hAnsi="Book Antiqua" w:hint="default"/>
          <w:rtl w:val="0"/>
          <w:lang w:val="it-IT"/>
        </w:rPr>
        <w:t xml:space="preserve">è </w:t>
      </w:r>
      <w:r>
        <w:rPr>
          <w:rFonts w:ascii="Book Antiqua"/>
          <w:rtl w:val="0"/>
          <w:lang w:val="it-IT"/>
        </w:rPr>
        <w:t xml:space="preserve">che trasformi, trasporti e porti, quindi non </w:t>
      </w:r>
      <w:r>
        <w:rPr>
          <w:rFonts w:hAnsi="Book Antiqua" w:hint="default"/>
          <w:rtl w:val="0"/>
          <w:lang w:val="it-IT"/>
        </w:rPr>
        <w:t xml:space="preserve">è </w:t>
      </w:r>
      <w:r>
        <w:rPr>
          <w:rFonts w:ascii="Book Antiqua"/>
          <w:rtl w:val="0"/>
          <w:lang w:val="it-IT"/>
        </w:rPr>
        <w:t>che l'attivit</w:t>
      </w:r>
      <w:r>
        <w:rPr>
          <w:rFonts w:hAnsi="Book Antiqua" w:hint="default"/>
          <w:rtl w:val="0"/>
          <w:lang w:val="it-IT"/>
        </w:rPr>
        <w:t xml:space="preserve">à </w:t>
      </w:r>
      <w:r>
        <w:rPr>
          <w:rFonts w:ascii="Book Antiqua"/>
          <w:rtl w:val="0"/>
          <w:lang w:val="it-IT"/>
        </w:rPr>
        <w:t>finisce l</w:t>
      </w:r>
      <w:r>
        <w:rPr>
          <w:rFonts w:hAnsi="Book Antiqua" w:hint="default"/>
          <w:rtl w:val="0"/>
          <w:lang w:val="it-IT"/>
        </w:rPr>
        <w:t xml:space="preserve">ì </w:t>
      </w:r>
      <w:r>
        <w:rPr>
          <w:rFonts w:ascii="Book Antiqua"/>
          <w:rtl w:val="0"/>
          <w:lang w:val="it-IT"/>
        </w:rPr>
        <w:t xml:space="preserve">e chi gestisce nel suo margine... Non </w:t>
      </w:r>
      <w:r>
        <w:rPr>
          <w:rFonts w:hAnsi="Book Antiqua" w:hint="default"/>
          <w:rtl w:val="0"/>
          <w:lang w:val="it-IT"/>
        </w:rPr>
        <w:t xml:space="preserve">è </w:t>
      </w:r>
      <w:r>
        <w:rPr>
          <w:rFonts w:ascii="Book Antiqua"/>
          <w:rtl w:val="0"/>
          <w:lang w:val="it-IT"/>
        </w:rPr>
        <w:t>cos</w:t>
      </w:r>
      <w:r>
        <w:rPr>
          <w:rFonts w:hAnsi="Book Antiqua" w:hint="default"/>
          <w:rtl w:val="0"/>
          <w:lang w:val="it-IT"/>
        </w:rPr>
        <w:t>ì</w:t>
      </w:r>
      <w:r>
        <w:rPr>
          <w:rFonts w:ascii="Book Antiqua"/>
          <w:rtl w:val="0"/>
          <w:lang w:val="it-IT"/>
        </w:rPr>
        <w:t>, perch</w:t>
      </w:r>
      <w:r>
        <w:rPr>
          <w:rFonts w:hAnsi="Book Antiqua" w:hint="default"/>
          <w:rtl w:val="0"/>
          <w:lang w:val="it-IT"/>
        </w:rPr>
        <w:t xml:space="preserve">é </w:t>
      </w:r>
      <w:r>
        <w:rPr>
          <w:rFonts w:ascii="Book Antiqua"/>
          <w:rtl w:val="0"/>
          <w:lang w:val="it-IT"/>
        </w:rPr>
        <w:t>in contemporanea ci sono il trasportatore e l'altro impianto che deve andare. Se si ferma questa catena, anche dal punto di vista economico, diventa veramente problematico, tant'</w:t>
      </w:r>
      <w:r>
        <w:rPr>
          <w:rFonts w:hAnsi="Book Antiqua" w:hint="default"/>
          <w:rtl w:val="0"/>
          <w:lang w:val="it-IT"/>
        </w:rPr>
        <w:t xml:space="preserve">è </w:t>
      </w:r>
      <w:r>
        <w:rPr>
          <w:rFonts w:ascii="Book Antiqua"/>
          <w:rtl w:val="0"/>
          <w:lang w:val="it-IT"/>
        </w:rPr>
        <w:t>che ogni tanto ci sono state delle crisi, non tanto legate ai pagamenti, se ricordo bene, ma legate proprio al fatto che gli impianti di destinazione finale in certi periodi non prendevano il rifiuto. Mi sembra di aver letto che tutto ci</w:t>
      </w:r>
      <w:r>
        <w:rPr>
          <w:rFonts w:hAnsi="Book Antiqua" w:hint="default"/>
          <w:rtl w:val="0"/>
          <w:lang w:val="it-IT"/>
        </w:rPr>
        <w:t xml:space="preserve">ò è </w:t>
      </w:r>
      <w:r>
        <w:rPr>
          <w:rFonts w:ascii="Book Antiqua"/>
          <w:rtl w:val="0"/>
          <w:lang w:val="it-IT"/>
        </w:rPr>
        <w:t>continuato anche in questo periodo. [</w:t>
      </w:r>
      <w:r>
        <w:rPr>
          <w:rFonts w:hAnsi="Book Antiqua" w:hint="default"/>
          <w:rtl w:val="0"/>
          <w:lang w:val="it-IT"/>
        </w:rPr>
        <w:t>…</w:t>
      </w:r>
      <w:r>
        <w:rPr>
          <w:rFonts w:ascii="Book Antiqua"/>
          <w:rtl w:val="0"/>
          <w:lang w:val="it-IT"/>
        </w:rPr>
        <w:t>]</w:t>
      </w:r>
      <w:r>
        <w:rPr>
          <w:rFonts w:hAnsi="Book Antiqua" w:hint="default"/>
          <w:rtl w:val="0"/>
          <w:lang w:val="it-IT"/>
        </w:rPr>
        <w:t>”</w:t>
      </w:r>
      <w:r>
        <w:rPr>
          <w:rFonts w:ascii="Book Antiqua"/>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Quanto alla determinazione della tariffa a circa 174 euro a tonnellata, l</w:t>
      </w:r>
      <w:r>
        <w:rPr>
          <w:rFonts w:hAnsi="Book Antiqua" w:hint="default"/>
          <w:rtl w:val="0"/>
          <w:lang w:val="it-IT"/>
        </w:rPr>
        <w:t>’</w:t>
      </w:r>
      <w:r>
        <w:rPr>
          <w:rFonts w:ascii="Book Antiqua"/>
          <w:rtl w:val="0"/>
          <w:lang w:val="it-IT"/>
        </w:rPr>
        <w:t>audito Fiscon ha confermato di avere concorso alla determinazione, insieme al precedente direttore generale Giovanna Anelli e con l</w:t>
      </w:r>
      <w:r>
        <w:rPr>
          <w:rFonts w:hAnsi="Book Antiqua" w:hint="default"/>
          <w:rtl w:val="0"/>
          <w:lang w:val="it-IT"/>
        </w:rPr>
        <w:t>’</w:t>
      </w:r>
      <w:r>
        <w:rPr>
          <w:rFonts w:ascii="Book Antiqua"/>
          <w:rtl w:val="0"/>
          <w:lang w:val="it-IT"/>
        </w:rPr>
        <w:t>avallo del consiglio di amministrazione; mentre la regione Lazio non era intervenuta nella determinazione della tariffa, come gi</w:t>
      </w:r>
      <w:r>
        <w:rPr>
          <w:rFonts w:hAnsi="Book Antiqua" w:hint="default"/>
          <w:rtl w:val="0"/>
          <w:lang w:val="it-IT"/>
        </w:rPr>
        <w:t xml:space="preserve">à </w:t>
      </w:r>
      <w:r>
        <w:rPr>
          <w:rFonts w:ascii="Book Antiqua"/>
          <w:rtl w:val="0"/>
          <w:lang w:val="it-IT"/>
        </w:rPr>
        <w:t xml:space="preserve">si </w:t>
      </w:r>
      <w:r>
        <w:rPr>
          <w:rFonts w:hAnsi="Book Antiqua" w:hint="default"/>
          <w:rtl w:val="0"/>
          <w:lang w:val="it-IT"/>
        </w:rPr>
        <w:t xml:space="preserve">è </w:t>
      </w:r>
      <w:r>
        <w:rPr>
          <w:rFonts w:ascii="Book Antiqua"/>
          <w:rtl w:val="0"/>
          <w:lang w:val="it-IT"/>
        </w:rPr>
        <w:t>visto, non rientrando l</w:t>
      </w:r>
      <w:r>
        <w:rPr>
          <w:rFonts w:hAnsi="Book Antiqua" w:hint="default"/>
          <w:rtl w:val="0"/>
          <w:lang w:val="it-IT"/>
        </w:rPr>
        <w:t>’</w:t>
      </w:r>
      <w:r>
        <w:rPr>
          <w:rFonts w:ascii="Book Antiqua"/>
          <w:rtl w:val="0"/>
          <w:lang w:val="it-IT"/>
        </w:rPr>
        <w:t>impianto nel piano regionale.</w:t>
      </w:r>
    </w:p>
    <w:p>
      <w:pPr>
        <w:pStyle w:val="Normal"/>
        <w:ind w:left="567" w:right="567" w:firstLine="0"/>
        <w:jc w:val="both"/>
        <w:rPr>
          <w:rFonts w:ascii="Book Antiqua" w:cs="Book Antiqua" w:hAnsi="Book Antiqua" w:eastAsia="Book Antiqua"/>
        </w:rPr>
      </w:pPr>
      <w:r>
        <w:rPr>
          <w:rFonts w:ascii="Book Antiqua"/>
          <w:rtl w:val="0"/>
          <w:lang w:val="it-IT"/>
        </w:rPr>
        <w:t>A seguito delle questioni poste in questo paragrafo, la Commissione ha svolto un sopralluogo a Rocca Cencia il 26 ottobre 2016, al fine di esaminare direttamente l</w:t>
      </w:r>
      <w:r>
        <w:rPr>
          <w:rFonts w:hAnsi="Book Antiqua" w:hint="default"/>
          <w:rtl w:val="0"/>
          <w:lang w:val="it-IT"/>
        </w:rPr>
        <w:t>’</w:t>
      </w:r>
      <w:r>
        <w:rPr>
          <w:rFonts w:ascii="Book Antiqua"/>
          <w:rtl w:val="0"/>
          <w:lang w:val="it-IT"/>
        </w:rPr>
        <w:t>impianto di trito vagliatura di propriet</w:t>
      </w:r>
      <w:r>
        <w:rPr>
          <w:rFonts w:hAnsi="Book Antiqua" w:hint="default"/>
          <w:rtl w:val="0"/>
          <w:lang w:val="it-IT"/>
        </w:rPr>
        <w:t xml:space="preserve">à </w:t>
      </w:r>
      <w:r>
        <w:rPr>
          <w:rFonts w:ascii="Book Antiqua"/>
          <w:rtl w:val="0"/>
          <w:lang w:val="it-IT"/>
        </w:rPr>
        <w:t xml:space="preserve">Co.La.Ri e gestito dalla Porcarelli Gino &amp; Co. srl. </w:t>
      </w:r>
    </w:p>
    <w:p>
      <w:pPr>
        <w:pStyle w:val="Normal"/>
        <w:ind w:left="567" w:right="567" w:firstLine="0"/>
        <w:jc w:val="both"/>
        <w:rPr>
          <w:rFonts w:ascii="Book Antiqua" w:cs="Book Antiqua" w:hAnsi="Book Antiqua" w:eastAsia="Book Antiqua"/>
        </w:rPr>
      </w:pPr>
      <w:r>
        <w:rPr>
          <w:rFonts w:ascii="Book Antiqua"/>
          <w:rtl w:val="0"/>
          <w:lang w:val="it-IT"/>
        </w:rPr>
        <w:t>La delegazione con sorpresa accertava che, nonostante le polemiche di quei giorni, l</w:t>
      </w:r>
      <w:r>
        <w:rPr>
          <w:rFonts w:hAnsi="Book Antiqua" w:hint="default"/>
          <w:rtl w:val="0"/>
          <w:lang w:val="it-IT"/>
        </w:rPr>
        <w:t>’</w:t>
      </w:r>
      <w:r>
        <w:rPr>
          <w:rFonts w:ascii="Book Antiqua"/>
          <w:rtl w:val="0"/>
          <w:lang w:val="it-IT"/>
        </w:rPr>
        <w:t xml:space="preserve">impianto era in funzione. Tanto </w:t>
      </w:r>
      <w:r>
        <w:rPr>
          <w:rFonts w:hAnsi="Book Antiqua" w:hint="default"/>
          <w:rtl w:val="0"/>
          <w:lang w:val="it-IT"/>
        </w:rPr>
        <w:t xml:space="preserve">è </w:t>
      </w:r>
      <w:r>
        <w:rPr>
          <w:rFonts w:ascii="Book Antiqua"/>
          <w:rtl w:val="0"/>
          <w:lang w:val="it-IT"/>
        </w:rPr>
        <w:t xml:space="preserve">vero che venivano </w:t>
      </w:r>
      <w:r>
        <w:rPr>
          <w:rFonts w:hAnsi="Book Antiqua" w:hint="default"/>
          <w:rtl w:val="0"/>
          <w:lang w:val="it-IT"/>
        </w:rPr>
        <w:t xml:space="preserve">– </w:t>
      </w:r>
      <w:r>
        <w:rPr>
          <w:rFonts w:ascii="Book Antiqua"/>
          <w:rtl w:val="0"/>
          <w:lang w:val="it-IT"/>
        </w:rPr>
        <w:t xml:space="preserve">ed ancora oggi vengono </w:t>
      </w:r>
      <w:r>
        <w:rPr>
          <w:rFonts w:hAnsi="Book Antiqua" w:hint="default"/>
          <w:rtl w:val="0"/>
          <w:lang w:val="it-IT"/>
        </w:rPr>
        <w:t xml:space="preserve">– </w:t>
      </w:r>
      <w:r>
        <w:rPr>
          <w:rFonts w:ascii="Book Antiqua"/>
          <w:rtl w:val="0"/>
          <w:lang w:val="it-IT"/>
        </w:rPr>
        <w:t xml:space="preserve">trattati i rifiuti provenienti da diversi comuni della provincia di Roma. </w:t>
      </w:r>
    </w:p>
    <w:p>
      <w:pPr>
        <w:pStyle w:val="Normal"/>
        <w:ind w:left="567" w:right="567" w:firstLine="0"/>
        <w:jc w:val="both"/>
        <w:rPr>
          <w:rFonts w:ascii="Book Antiqua" w:cs="Book Antiqua" w:hAnsi="Book Antiqua" w:eastAsia="Book Antiqua"/>
        </w:rPr>
      </w:pPr>
      <w:r>
        <w:rPr>
          <w:rFonts w:ascii="Book Antiqua"/>
          <w:rtl w:val="0"/>
          <w:lang w:val="it-IT"/>
        </w:rPr>
        <w:t>In parole povere l</w:t>
      </w:r>
      <w:r>
        <w:rPr>
          <w:rFonts w:hAnsi="Book Antiqua" w:hint="default"/>
          <w:rtl w:val="0"/>
          <w:lang w:val="it-IT"/>
        </w:rPr>
        <w:t>’</w:t>
      </w:r>
      <w:r>
        <w:rPr>
          <w:rFonts w:ascii="Book Antiqua"/>
          <w:rtl w:val="0"/>
          <w:lang w:val="it-IT"/>
        </w:rPr>
        <w:t>opportunit</w:t>
      </w:r>
      <w:r>
        <w:rPr>
          <w:rFonts w:hAnsi="Book Antiqua" w:hint="default"/>
          <w:rtl w:val="0"/>
          <w:lang w:val="it-IT"/>
        </w:rPr>
        <w:t xml:space="preserve">à </w:t>
      </w:r>
      <w:r>
        <w:rPr>
          <w:rFonts w:ascii="Book Antiqua"/>
          <w:rtl w:val="0"/>
          <w:lang w:val="it-IT"/>
        </w:rPr>
        <w:t>o meno di utilizzare quell</w:t>
      </w:r>
      <w:r>
        <w:rPr>
          <w:rFonts w:hAnsi="Book Antiqua" w:hint="default"/>
          <w:rtl w:val="0"/>
          <w:lang w:val="it-IT"/>
        </w:rPr>
        <w:t>’</w:t>
      </w:r>
      <w:r>
        <w:rPr>
          <w:rFonts w:ascii="Book Antiqua"/>
          <w:rtl w:val="0"/>
          <w:lang w:val="it-IT"/>
        </w:rPr>
        <w:t xml:space="preserve">impianto </w:t>
      </w:r>
      <w:r>
        <w:rPr>
          <w:rFonts w:hAnsi="Book Antiqua" w:hint="default"/>
          <w:rtl w:val="0"/>
          <w:lang w:val="it-IT"/>
        </w:rPr>
        <w:t>–</w:t>
      </w:r>
      <w:r>
        <w:rPr>
          <w:rFonts w:ascii="Book Antiqua"/>
          <w:rtl w:val="0"/>
          <w:lang w:val="it-IT"/>
        </w:rPr>
        <w:t xml:space="preserve"> e la stessa possibilit</w:t>
      </w:r>
      <w:r>
        <w:rPr>
          <w:rFonts w:hAnsi="Book Antiqua" w:hint="default"/>
          <w:rtl w:val="0"/>
          <w:lang w:val="it-IT"/>
        </w:rPr>
        <w:t xml:space="preserve">à </w:t>
      </w:r>
      <w:r>
        <w:rPr>
          <w:rFonts w:ascii="Book Antiqua"/>
          <w:rtl w:val="0"/>
          <w:lang w:val="it-IT"/>
        </w:rPr>
        <w:t>giuridica di farlo - parrebbe aver interessato solo Roma Capitale: al 7 agosto 2017 presso l'impianto di Tritovagliatura Porcarelli Gino &amp; Co. srl di Via di Rocca Cencia, 273 a Roma, conferiscono i seguenti Comuni</w:t>
      </w:r>
      <w:r>
        <w:rPr>
          <w:rFonts w:ascii="Book Antiqua" w:cs="Book Antiqua" w:hAnsi="Book Antiqua" w:eastAsia="Book Antiqua"/>
          <w:vertAlign w:val="superscript"/>
          <w:rtl w:val="0"/>
        </w:rPr>
        <w:footnoteReference w:id="68"/>
      </w:r>
      <w:r>
        <w:rPr>
          <w:rFonts w:ascii="Book Antiqua"/>
          <w:rtl w:val="0"/>
          <w:lang w:val="it-IT"/>
        </w:rPr>
        <w:t>:</w:t>
      </w: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sz w:val="18"/>
          <w:szCs w:val="18"/>
        </w:rPr>
      </w:pPr>
      <w:r>
        <w:rPr>
          <w:rFonts w:ascii="Book Antiqua"/>
          <w:sz w:val="18"/>
          <w:szCs w:val="18"/>
          <w:rtl w:val="0"/>
          <w:lang w:val="it-IT"/>
        </w:rPr>
        <w:t>1. COMUNE DI AFFILE</w:t>
      </w:r>
    </w:p>
    <w:p>
      <w:pPr>
        <w:pStyle w:val="Normal"/>
        <w:ind w:left="567" w:right="567" w:firstLine="0"/>
        <w:jc w:val="both"/>
        <w:rPr>
          <w:rFonts w:ascii="Book Antiqua" w:cs="Book Antiqua" w:hAnsi="Book Antiqua" w:eastAsia="Book Antiqua"/>
          <w:sz w:val="18"/>
          <w:szCs w:val="18"/>
        </w:rPr>
      </w:pPr>
      <w:r>
        <w:rPr>
          <w:rFonts w:ascii="Book Antiqua"/>
          <w:sz w:val="18"/>
          <w:szCs w:val="18"/>
          <w:rtl w:val="0"/>
          <w:lang w:val="it-IT"/>
        </w:rPr>
        <w:t>2. COMUNE DI AGOSTA</w:t>
      </w:r>
    </w:p>
    <w:p>
      <w:pPr>
        <w:pStyle w:val="Normal"/>
        <w:ind w:left="567" w:right="567" w:firstLine="0"/>
        <w:jc w:val="both"/>
        <w:rPr>
          <w:rFonts w:ascii="Book Antiqua" w:cs="Book Antiqua" w:hAnsi="Book Antiqua" w:eastAsia="Book Antiqua"/>
          <w:sz w:val="18"/>
          <w:szCs w:val="18"/>
        </w:rPr>
      </w:pPr>
      <w:r>
        <w:rPr>
          <w:rFonts w:ascii="Book Antiqua"/>
          <w:sz w:val="18"/>
          <w:szCs w:val="18"/>
          <w:rtl w:val="0"/>
          <w:lang w:val="it-IT"/>
        </w:rPr>
        <w:t>3. COMUNE DI ALLUMIERE</w:t>
      </w:r>
    </w:p>
    <w:p>
      <w:pPr>
        <w:pStyle w:val="Normal"/>
        <w:ind w:left="567" w:right="567" w:firstLine="0"/>
        <w:jc w:val="both"/>
        <w:rPr>
          <w:rFonts w:ascii="Book Antiqua" w:cs="Book Antiqua" w:hAnsi="Book Antiqua" w:eastAsia="Book Antiqua"/>
          <w:sz w:val="18"/>
          <w:szCs w:val="18"/>
        </w:rPr>
      </w:pPr>
      <w:r>
        <w:rPr>
          <w:rFonts w:ascii="Book Antiqua"/>
          <w:sz w:val="18"/>
          <w:szCs w:val="18"/>
          <w:rtl w:val="0"/>
          <w:lang w:val="it-IT"/>
        </w:rPr>
        <w:t>4. COMUNE DI ANGUILLARA SABAZIA</w:t>
      </w:r>
    </w:p>
    <w:p>
      <w:pPr>
        <w:pStyle w:val="Normal"/>
        <w:ind w:left="567" w:right="567" w:firstLine="0"/>
        <w:jc w:val="both"/>
        <w:rPr>
          <w:rFonts w:ascii="Book Antiqua" w:cs="Book Antiqua" w:hAnsi="Book Antiqua" w:eastAsia="Book Antiqua"/>
          <w:sz w:val="18"/>
          <w:szCs w:val="18"/>
        </w:rPr>
      </w:pPr>
      <w:r>
        <w:rPr>
          <w:rFonts w:ascii="Book Antiqua"/>
          <w:sz w:val="18"/>
          <w:szCs w:val="18"/>
          <w:rtl w:val="0"/>
          <w:lang w:val="it-IT"/>
        </w:rPr>
        <w:t>5. COMUNE DI ARCINAZZO</w:t>
      </w:r>
    </w:p>
    <w:p>
      <w:pPr>
        <w:pStyle w:val="Normal"/>
        <w:ind w:left="567" w:right="567" w:firstLine="0"/>
        <w:jc w:val="both"/>
        <w:rPr>
          <w:rFonts w:ascii="Book Antiqua" w:cs="Book Antiqua" w:hAnsi="Book Antiqua" w:eastAsia="Book Antiqua"/>
          <w:sz w:val="18"/>
          <w:szCs w:val="18"/>
        </w:rPr>
      </w:pPr>
      <w:r>
        <w:rPr>
          <w:rFonts w:ascii="Book Antiqua"/>
          <w:sz w:val="18"/>
          <w:szCs w:val="18"/>
          <w:rtl w:val="0"/>
          <w:lang w:val="it-IT"/>
        </w:rPr>
        <w:t>6. COMUNE DI BELLEGRA</w:t>
      </w:r>
    </w:p>
    <w:p>
      <w:pPr>
        <w:pStyle w:val="Normal"/>
        <w:ind w:left="567" w:right="567" w:firstLine="0"/>
        <w:jc w:val="both"/>
        <w:rPr>
          <w:rFonts w:ascii="Book Antiqua" w:cs="Book Antiqua" w:hAnsi="Book Antiqua" w:eastAsia="Book Antiqua"/>
          <w:sz w:val="18"/>
          <w:szCs w:val="18"/>
        </w:rPr>
      </w:pPr>
      <w:r>
        <w:rPr>
          <w:rFonts w:ascii="Book Antiqua"/>
          <w:sz w:val="18"/>
          <w:szCs w:val="18"/>
          <w:rtl w:val="0"/>
          <w:lang w:val="it-IT"/>
        </w:rPr>
        <w:t>7. COMUNE DI CAMPAGNANO DI ROMA</w:t>
      </w:r>
    </w:p>
    <w:p>
      <w:pPr>
        <w:pStyle w:val="Normal"/>
        <w:ind w:left="567" w:right="567" w:firstLine="0"/>
        <w:jc w:val="both"/>
        <w:rPr>
          <w:rFonts w:ascii="Book Antiqua" w:cs="Book Antiqua" w:hAnsi="Book Antiqua" w:eastAsia="Book Antiqua"/>
          <w:sz w:val="18"/>
          <w:szCs w:val="18"/>
        </w:rPr>
      </w:pPr>
      <w:r>
        <w:rPr>
          <w:rFonts w:ascii="Book Antiqua"/>
          <w:sz w:val="18"/>
          <w:szCs w:val="18"/>
          <w:rtl w:val="0"/>
          <w:lang w:val="it-IT"/>
        </w:rPr>
        <w:t>8. COMUNE DI CANALE MONTERANO</w:t>
      </w:r>
    </w:p>
    <w:p>
      <w:pPr>
        <w:pStyle w:val="Normal"/>
        <w:ind w:left="567" w:right="567" w:firstLine="0"/>
        <w:jc w:val="both"/>
        <w:rPr>
          <w:rFonts w:ascii="Book Antiqua" w:cs="Book Antiqua" w:hAnsi="Book Antiqua" w:eastAsia="Book Antiqua"/>
          <w:sz w:val="18"/>
          <w:szCs w:val="18"/>
        </w:rPr>
      </w:pPr>
      <w:r>
        <w:rPr>
          <w:rFonts w:ascii="Book Antiqua"/>
          <w:sz w:val="18"/>
          <w:szCs w:val="18"/>
          <w:rtl w:val="0"/>
          <w:lang w:val="it-IT"/>
        </w:rPr>
        <w:t>9. COMUNE DI CANTERANO</w:t>
      </w:r>
    </w:p>
    <w:p>
      <w:pPr>
        <w:pStyle w:val="Normal"/>
        <w:ind w:left="567" w:right="567" w:firstLine="0"/>
        <w:jc w:val="both"/>
        <w:rPr>
          <w:rFonts w:ascii="Book Antiqua" w:cs="Book Antiqua" w:hAnsi="Book Antiqua" w:eastAsia="Book Antiqua"/>
          <w:sz w:val="18"/>
          <w:szCs w:val="18"/>
        </w:rPr>
      </w:pPr>
      <w:r>
        <w:rPr>
          <w:rFonts w:ascii="Book Antiqua"/>
          <w:sz w:val="18"/>
          <w:szCs w:val="18"/>
          <w:rtl w:val="0"/>
          <w:lang w:val="it-IT"/>
        </w:rPr>
        <w:t>10. COMUNE DI CAPENA</w:t>
      </w:r>
    </w:p>
    <w:p>
      <w:pPr>
        <w:pStyle w:val="Normal"/>
        <w:ind w:left="567" w:right="567" w:firstLine="0"/>
        <w:jc w:val="both"/>
        <w:rPr>
          <w:rFonts w:ascii="Book Antiqua" w:cs="Book Antiqua" w:hAnsi="Book Antiqua" w:eastAsia="Book Antiqua"/>
          <w:sz w:val="18"/>
          <w:szCs w:val="18"/>
        </w:rPr>
      </w:pPr>
      <w:r>
        <w:rPr>
          <w:rFonts w:ascii="Book Antiqua"/>
          <w:sz w:val="18"/>
          <w:szCs w:val="18"/>
          <w:rtl w:val="0"/>
          <w:lang w:val="it-IT"/>
        </w:rPr>
        <w:t>11. COMUNE DI CARBOGNANO</w:t>
      </w:r>
    </w:p>
    <w:p>
      <w:pPr>
        <w:pStyle w:val="Normal"/>
        <w:ind w:left="567" w:right="567" w:firstLine="0"/>
        <w:jc w:val="both"/>
        <w:rPr>
          <w:rFonts w:ascii="Book Antiqua" w:cs="Book Antiqua" w:hAnsi="Book Antiqua" w:eastAsia="Book Antiqua"/>
          <w:sz w:val="18"/>
          <w:szCs w:val="18"/>
        </w:rPr>
      </w:pPr>
      <w:r>
        <w:rPr>
          <w:rFonts w:ascii="Book Antiqua"/>
          <w:sz w:val="18"/>
          <w:szCs w:val="18"/>
          <w:rtl w:val="0"/>
          <w:lang w:val="it-IT"/>
        </w:rPr>
        <w:t>12. COMUNE DI CASAPE</w:t>
      </w:r>
    </w:p>
    <w:p>
      <w:pPr>
        <w:pStyle w:val="Normal"/>
        <w:ind w:left="567" w:right="567" w:firstLine="0"/>
        <w:jc w:val="both"/>
        <w:rPr>
          <w:rFonts w:ascii="Book Antiqua" w:cs="Book Antiqua" w:hAnsi="Book Antiqua" w:eastAsia="Book Antiqua"/>
          <w:sz w:val="18"/>
          <w:szCs w:val="18"/>
        </w:rPr>
      </w:pPr>
      <w:r>
        <w:rPr>
          <w:rFonts w:ascii="Book Antiqua"/>
          <w:sz w:val="18"/>
          <w:szCs w:val="18"/>
          <w:rtl w:val="0"/>
          <w:lang w:val="it-IT"/>
        </w:rPr>
        <w:t>13. COMUNE DI CASTEL GANDOLFO</w:t>
      </w:r>
    </w:p>
    <w:p>
      <w:pPr>
        <w:pStyle w:val="Normal"/>
        <w:ind w:left="567" w:right="567" w:firstLine="0"/>
        <w:jc w:val="both"/>
        <w:rPr>
          <w:rFonts w:ascii="Book Antiqua" w:cs="Book Antiqua" w:hAnsi="Book Antiqua" w:eastAsia="Book Antiqua"/>
          <w:sz w:val="18"/>
          <w:szCs w:val="18"/>
        </w:rPr>
      </w:pPr>
      <w:r>
        <w:rPr>
          <w:rFonts w:ascii="Book Antiqua"/>
          <w:sz w:val="18"/>
          <w:szCs w:val="18"/>
          <w:rtl w:val="0"/>
          <w:lang w:val="it-IT"/>
        </w:rPr>
        <w:t>14. COMUNE DI CASTEL MADAMA</w:t>
      </w:r>
    </w:p>
    <w:p>
      <w:pPr>
        <w:pStyle w:val="Normal"/>
        <w:ind w:left="567" w:right="567" w:firstLine="0"/>
        <w:jc w:val="both"/>
        <w:rPr>
          <w:rFonts w:ascii="Book Antiqua" w:cs="Book Antiqua" w:hAnsi="Book Antiqua" w:eastAsia="Book Antiqua"/>
          <w:sz w:val="18"/>
          <w:szCs w:val="18"/>
        </w:rPr>
      </w:pPr>
      <w:r>
        <w:rPr>
          <w:rFonts w:ascii="Book Antiqua"/>
          <w:sz w:val="18"/>
          <w:szCs w:val="18"/>
          <w:rtl w:val="0"/>
          <w:lang w:val="it-IT"/>
        </w:rPr>
        <w:t>15. COMUNE DI CASTEL SAN PIETRO ROMANO</w:t>
      </w:r>
    </w:p>
    <w:p>
      <w:pPr>
        <w:pStyle w:val="Normal"/>
        <w:ind w:left="567" w:right="567" w:firstLine="0"/>
        <w:jc w:val="both"/>
        <w:rPr>
          <w:rFonts w:ascii="Book Antiqua" w:cs="Book Antiqua" w:hAnsi="Book Antiqua" w:eastAsia="Book Antiqua"/>
          <w:sz w:val="18"/>
          <w:szCs w:val="18"/>
        </w:rPr>
      </w:pPr>
      <w:r>
        <w:rPr>
          <w:rFonts w:ascii="Book Antiqua"/>
          <w:sz w:val="18"/>
          <w:szCs w:val="18"/>
          <w:rtl w:val="0"/>
          <w:lang w:val="it-IT"/>
        </w:rPr>
        <w:t>16. COMUNE DI CASTELNUOVO DI PORTO</w:t>
      </w:r>
    </w:p>
    <w:p>
      <w:pPr>
        <w:pStyle w:val="Normal"/>
        <w:ind w:left="567" w:right="567" w:firstLine="0"/>
        <w:jc w:val="both"/>
        <w:rPr>
          <w:rFonts w:ascii="Book Antiqua" w:cs="Book Antiqua" w:hAnsi="Book Antiqua" w:eastAsia="Book Antiqua"/>
          <w:sz w:val="18"/>
          <w:szCs w:val="18"/>
        </w:rPr>
      </w:pPr>
      <w:r>
        <w:rPr>
          <w:rFonts w:ascii="Book Antiqua"/>
          <w:sz w:val="18"/>
          <w:szCs w:val="18"/>
          <w:rtl w:val="0"/>
          <w:lang w:val="it-IT"/>
        </w:rPr>
        <w:t>17. COMUNE DI CAVE</w:t>
      </w:r>
    </w:p>
    <w:p>
      <w:pPr>
        <w:pStyle w:val="Normal"/>
        <w:ind w:left="567" w:right="567" w:firstLine="0"/>
        <w:jc w:val="both"/>
        <w:rPr>
          <w:rFonts w:ascii="Book Antiqua" w:cs="Book Antiqua" w:hAnsi="Book Antiqua" w:eastAsia="Book Antiqua"/>
          <w:sz w:val="18"/>
          <w:szCs w:val="18"/>
        </w:rPr>
      </w:pPr>
      <w:r>
        <w:rPr>
          <w:rFonts w:ascii="Book Antiqua"/>
          <w:sz w:val="18"/>
          <w:szCs w:val="18"/>
          <w:rtl w:val="0"/>
          <w:lang w:val="it-IT"/>
        </w:rPr>
        <w:t>18. COMUNE DI FILACCIANO</w:t>
      </w:r>
    </w:p>
    <w:p>
      <w:pPr>
        <w:pStyle w:val="Normal"/>
        <w:ind w:left="567" w:right="567" w:firstLine="0"/>
        <w:jc w:val="both"/>
        <w:rPr>
          <w:rFonts w:ascii="Book Antiqua" w:cs="Book Antiqua" w:hAnsi="Book Antiqua" w:eastAsia="Book Antiqua"/>
          <w:sz w:val="18"/>
          <w:szCs w:val="18"/>
        </w:rPr>
      </w:pPr>
      <w:r>
        <w:rPr>
          <w:rFonts w:ascii="Book Antiqua"/>
          <w:sz w:val="18"/>
          <w:szCs w:val="18"/>
          <w:rtl w:val="0"/>
          <w:lang w:val="it-IT"/>
        </w:rPr>
        <w:t>19. COMUNE DI FORMELLO</w:t>
      </w:r>
    </w:p>
    <w:p>
      <w:pPr>
        <w:pStyle w:val="Normal"/>
        <w:ind w:left="567" w:right="567" w:firstLine="0"/>
        <w:jc w:val="both"/>
        <w:rPr>
          <w:rFonts w:ascii="Book Antiqua" w:cs="Book Antiqua" w:hAnsi="Book Antiqua" w:eastAsia="Book Antiqua"/>
          <w:sz w:val="18"/>
          <w:szCs w:val="18"/>
        </w:rPr>
      </w:pPr>
      <w:r>
        <w:rPr>
          <w:rFonts w:ascii="Book Antiqua"/>
          <w:sz w:val="18"/>
          <w:szCs w:val="18"/>
          <w:rtl w:val="0"/>
          <w:lang w:val="it-IT"/>
        </w:rPr>
        <w:t>20. COMUNE DI FRASCATI</w:t>
      </w:r>
    </w:p>
    <w:p>
      <w:pPr>
        <w:pStyle w:val="Normal"/>
        <w:ind w:left="567" w:right="567" w:firstLine="0"/>
        <w:jc w:val="both"/>
        <w:rPr>
          <w:rFonts w:ascii="Book Antiqua" w:cs="Book Antiqua" w:hAnsi="Book Antiqua" w:eastAsia="Book Antiqua"/>
          <w:sz w:val="18"/>
          <w:szCs w:val="18"/>
        </w:rPr>
      </w:pPr>
      <w:r>
        <w:rPr>
          <w:rFonts w:ascii="Book Antiqua"/>
          <w:sz w:val="18"/>
          <w:szCs w:val="18"/>
          <w:rtl w:val="0"/>
          <w:lang w:val="it-IT"/>
        </w:rPr>
        <w:t>21. COMUNE DI GALLICANO NEL LAZIO</w:t>
      </w:r>
    </w:p>
    <w:p>
      <w:pPr>
        <w:pStyle w:val="Normal"/>
        <w:ind w:left="567" w:right="567" w:firstLine="0"/>
        <w:jc w:val="both"/>
        <w:rPr>
          <w:rFonts w:ascii="Book Antiqua" w:cs="Book Antiqua" w:hAnsi="Book Antiqua" w:eastAsia="Book Antiqua"/>
          <w:sz w:val="18"/>
          <w:szCs w:val="18"/>
        </w:rPr>
      </w:pPr>
      <w:r>
        <w:rPr>
          <w:rFonts w:ascii="Book Antiqua"/>
          <w:sz w:val="18"/>
          <w:szCs w:val="18"/>
          <w:rtl w:val="0"/>
          <w:lang w:val="it-IT"/>
        </w:rPr>
        <w:t>22. COMUNE DI GROTTAFERRATA</w:t>
      </w:r>
    </w:p>
    <w:p>
      <w:pPr>
        <w:pStyle w:val="Normal"/>
        <w:ind w:left="567" w:right="567" w:firstLine="0"/>
        <w:jc w:val="both"/>
        <w:rPr>
          <w:rFonts w:ascii="Book Antiqua" w:cs="Book Antiqua" w:hAnsi="Book Antiqua" w:eastAsia="Book Antiqua"/>
          <w:sz w:val="18"/>
          <w:szCs w:val="18"/>
        </w:rPr>
      </w:pPr>
      <w:r>
        <w:rPr>
          <w:rFonts w:ascii="Book Antiqua"/>
          <w:sz w:val="18"/>
          <w:szCs w:val="18"/>
          <w:rtl w:val="0"/>
          <w:lang w:val="it-IT"/>
        </w:rPr>
        <w:t>23. COMUNE DI JENNE</w:t>
      </w:r>
    </w:p>
    <w:p>
      <w:pPr>
        <w:pStyle w:val="Normal"/>
        <w:ind w:left="567" w:right="567" w:firstLine="0"/>
        <w:jc w:val="both"/>
        <w:rPr>
          <w:rFonts w:ascii="Book Antiqua" w:cs="Book Antiqua" w:hAnsi="Book Antiqua" w:eastAsia="Book Antiqua"/>
          <w:sz w:val="18"/>
          <w:szCs w:val="18"/>
        </w:rPr>
      </w:pPr>
      <w:r>
        <w:rPr>
          <w:rFonts w:ascii="Book Antiqua"/>
          <w:sz w:val="18"/>
          <w:szCs w:val="18"/>
          <w:rtl w:val="0"/>
          <w:lang w:val="it-IT"/>
        </w:rPr>
        <w:t>24. COMUNE DI LADISPOLI</w:t>
      </w:r>
    </w:p>
    <w:p>
      <w:pPr>
        <w:pStyle w:val="Normal"/>
        <w:ind w:left="567" w:right="567" w:firstLine="0"/>
        <w:jc w:val="both"/>
        <w:rPr>
          <w:rFonts w:ascii="Book Antiqua" w:cs="Book Antiqua" w:hAnsi="Book Antiqua" w:eastAsia="Book Antiqua"/>
          <w:sz w:val="18"/>
          <w:szCs w:val="18"/>
        </w:rPr>
      </w:pPr>
      <w:r>
        <w:rPr>
          <w:rFonts w:ascii="Book Antiqua"/>
          <w:sz w:val="18"/>
          <w:szCs w:val="18"/>
          <w:rtl w:val="0"/>
          <w:lang w:val="it-IT"/>
        </w:rPr>
        <w:t>25. COMUNE DI MARCELLINA</w:t>
      </w:r>
    </w:p>
    <w:p>
      <w:pPr>
        <w:pStyle w:val="Normal"/>
        <w:ind w:left="567" w:right="567" w:firstLine="0"/>
        <w:jc w:val="both"/>
        <w:rPr>
          <w:rFonts w:ascii="Book Antiqua" w:cs="Book Antiqua" w:hAnsi="Book Antiqua" w:eastAsia="Book Antiqua"/>
          <w:sz w:val="18"/>
          <w:szCs w:val="18"/>
        </w:rPr>
      </w:pPr>
      <w:r>
        <w:rPr>
          <w:rFonts w:ascii="Book Antiqua"/>
          <w:sz w:val="18"/>
          <w:szCs w:val="18"/>
          <w:rtl w:val="0"/>
          <w:lang w:val="it-IT"/>
        </w:rPr>
        <w:t>26. COMUNE DI MAZZANO ROMANO</w:t>
      </w:r>
    </w:p>
    <w:p>
      <w:pPr>
        <w:pStyle w:val="Normal"/>
        <w:ind w:left="567" w:right="567" w:firstLine="0"/>
        <w:jc w:val="both"/>
        <w:rPr>
          <w:rFonts w:ascii="Book Antiqua" w:cs="Book Antiqua" w:hAnsi="Book Antiqua" w:eastAsia="Book Antiqua"/>
          <w:sz w:val="18"/>
          <w:szCs w:val="18"/>
        </w:rPr>
      </w:pPr>
      <w:r>
        <w:rPr>
          <w:rFonts w:ascii="Book Antiqua"/>
          <w:sz w:val="18"/>
          <w:szCs w:val="18"/>
          <w:rtl w:val="0"/>
          <w:lang w:val="it-IT"/>
        </w:rPr>
        <w:t>27. COMUNE DI MENTANA</w:t>
      </w:r>
    </w:p>
    <w:p>
      <w:pPr>
        <w:pStyle w:val="Normal"/>
        <w:ind w:left="567" w:right="567" w:firstLine="0"/>
        <w:jc w:val="both"/>
        <w:rPr>
          <w:rFonts w:ascii="Book Antiqua" w:cs="Book Antiqua" w:hAnsi="Book Antiqua" w:eastAsia="Book Antiqua"/>
          <w:sz w:val="18"/>
          <w:szCs w:val="18"/>
        </w:rPr>
      </w:pPr>
      <w:r>
        <w:rPr>
          <w:rFonts w:ascii="Book Antiqua"/>
          <w:sz w:val="18"/>
          <w:szCs w:val="18"/>
          <w:rtl w:val="0"/>
          <w:lang w:val="it-IT"/>
        </w:rPr>
        <w:t>28. COMUNE DI MONTE PORZIO CATONE</w:t>
      </w:r>
    </w:p>
    <w:p>
      <w:pPr>
        <w:pStyle w:val="Normal"/>
        <w:ind w:left="567" w:right="567" w:firstLine="0"/>
        <w:jc w:val="both"/>
        <w:rPr>
          <w:rFonts w:ascii="Book Antiqua" w:cs="Book Antiqua" w:hAnsi="Book Antiqua" w:eastAsia="Book Antiqua"/>
          <w:sz w:val="18"/>
          <w:szCs w:val="18"/>
        </w:rPr>
      </w:pPr>
      <w:r>
        <w:rPr>
          <w:rFonts w:ascii="Book Antiqua"/>
          <w:sz w:val="18"/>
          <w:szCs w:val="18"/>
          <w:rtl w:val="0"/>
          <w:lang w:val="it-IT"/>
        </w:rPr>
        <w:t>29. COMUNE DI MONTECOMPATRI</w:t>
      </w:r>
    </w:p>
    <w:p>
      <w:pPr>
        <w:pStyle w:val="Normal"/>
        <w:ind w:left="567" w:right="567" w:firstLine="0"/>
        <w:jc w:val="both"/>
        <w:rPr>
          <w:rFonts w:ascii="Book Antiqua" w:cs="Book Antiqua" w:hAnsi="Book Antiqua" w:eastAsia="Book Antiqua"/>
          <w:sz w:val="18"/>
          <w:szCs w:val="18"/>
        </w:rPr>
      </w:pPr>
      <w:r>
        <w:rPr>
          <w:rFonts w:ascii="Book Antiqua"/>
          <w:sz w:val="18"/>
          <w:szCs w:val="18"/>
          <w:rtl w:val="0"/>
          <w:lang w:val="it-IT"/>
        </w:rPr>
        <w:t>30. COMUNE DI MONTELANICO</w:t>
      </w:r>
    </w:p>
    <w:p>
      <w:pPr>
        <w:pStyle w:val="Normal"/>
        <w:ind w:left="567" w:right="567" w:firstLine="0"/>
        <w:jc w:val="both"/>
        <w:rPr>
          <w:rFonts w:ascii="Book Antiqua" w:cs="Book Antiqua" w:hAnsi="Book Antiqua" w:eastAsia="Book Antiqua"/>
          <w:sz w:val="18"/>
          <w:szCs w:val="18"/>
        </w:rPr>
      </w:pPr>
      <w:r>
        <w:rPr>
          <w:rFonts w:ascii="Book Antiqua"/>
          <w:sz w:val="18"/>
          <w:szCs w:val="18"/>
          <w:rtl w:val="0"/>
          <w:lang w:val="it-IT"/>
        </w:rPr>
        <w:t>31. COMUNE DI MONTELIBRETTI</w:t>
      </w:r>
    </w:p>
    <w:p>
      <w:pPr>
        <w:pStyle w:val="Normal"/>
        <w:ind w:left="567" w:right="567" w:firstLine="0"/>
        <w:jc w:val="both"/>
        <w:rPr>
          <w:rFonts w:ascii="Book Antiqua" w:cs="Book Antiqua" w:hAnsi="Book Antiqua" w:eastAsia="Book Antiqua"/>
          <w:sz w:val="18"/>
          <w:szCs w:val="18"/>
        </w:rPr>
      </w:pPr>
      <w:r>
        <w:rPr>
          <w:rFonts w:ascii="Book Antiqua"/>
          <w:sz w:val="18"/>
          <w:szCs w:val="18"/>
          <w:rtl w:val="0"/>
          <w:lang w:val="it-IT"/>
        </w:rPr>
        <w:t>32. COMUNE DI MORLUPO</w:t>
      </w:r>
    </w:p>
    <w:p>
      <w:pPr>
        <w:pStyle w:val="Normal"/>
        <w:ind w:left="567" w:right="567" w:firstLine="0"/>
        <w:jc w:val="both"/>
        <w:rPr>
          <w:rFonts w:ascii="Book Antiqua" w:cs="Book Antiqua" w:hAnsi="Book Antiqua" w:eastAsia="Book Antiqua"/>
          <w:sz w:val="18"/>
          <w:szCs w:val="18"/>
        </w:rPr>
      </w:pPr>
      <w:r>
        <w:rPr>
          <w:rFonts w:ascii="Book Antiqua"/>
          <w:sz w:val="18"/>
          <w:szCs w:val="18"/>
          <w:rtl w:val="0"/>
          <w:lang w:val="it-IT"/>
        </w:rPr>
        <w:t>33. COMUNE DI NEPl</w:t>
      </w:r>
    </w:p>
    <w:p>
      <w:pPr>
        <w:pStyle w:val="Normal"/>
        <w:ind w:left="567" w:right="567" w:firstLine="0"/>
        <w:jc w:val="both"/>
        <w:rPr>
          <w:rFonts w:ascii="Book Antiqua" w:cs="Book Antiqua" w:hAnsi="Book Antiqua" w:eastAsia="Book Antiqua"/>
          <w:sz w:val="18"/>
          <w:szCs w:val="18"/>
        </w:rPr>
      </w:pPr>
      <w:r>
        <w:rPr>
          <w:rFonts w:ascii="Book Antiqua"/>
          <w:sz w:val="18"/>
          <w:szCs w:val="18"/>
          <w:rtl w:val="0"/>
          <w:lang w:val="it-IT"/>
        </w:rPr>
        <w:t>34. COMUNE DI PALESTRINA</w:t>
      </w:r>
    </w:p>
    <w:p>
      <w:pPr>
        <w:pStyle w:val="Normal"/>
        <w:ind w:left="567" w:right="567" w:firstLine="0"/>
        <w:jc w:val="both"/>
        <w:rPr>
          <w:rFonts w:ascii="Book Antiqua" w:cs="Book Antiqua" w:hAnsi="Book Antiqua" w:eastAsia="Book Antiqua"/>
          <w:sz w:val="18"/>
          <w:szCs w:val="18"/>
        </w:rPr>
      </w:pPr>
      <w:r>
        <w:rPr>
          <w:rFonts w:ascii="Book Antiqua"/>
          <w:sz w:val="18"/>
          <w:szCs w:val="18"/>
          <w:rtl w:val="0"/>
          <w:lang w:val="it-IT"/>
        </w:rPr>
        <w:t>35. COMUNE DI PALOMBARA SABINA</w:t>
      </w:r>
    </w:p>
    <w:p>
      <w:pPr>
        <w:pStyle w:val="Normal"/>
        <w:ind w:left="567" w:right="567" w:firstLine="0"/>
        <w:jc w:val="both"/>
        <w:rPr>
          <w:rFonts w:ascii="Book Antiqua" w:cs="Book Antiqua" w:hAnsi="Book Antiqua" w:eastAsia="Book Antiqua"/>
          <w:sz w:val="18"/>
          <w:szCs w:val="18"/>
        </w:rPr>
      </w:pPr>
      <w:r>
        <w:rPr>
          <w:rFonts w:ascii="Book Antiqua"/>
          <w:sz w:val="18"/>
          <w:szCs w:val="18"/>
          <w:rtl w:val="0"/>
          <w:lang w:val="it-IT"/>
        </w:rPr>
        <w:t>36. COMUNE DI POLI</w:t>
      </w:r>
    </w:p>
    <w:p>
      <w:pPr>
        <w:pStyle w:val="Normal"/>
        <w:ind w:left="567" w:right="567" w:firstLine="0"/>
        <w:jc w:val="both"/>
        <w:rPr>
          <w:rFonts w:ascii="Book Antiqua" w:cs="Book Antiqua" w:hAnsi="Book Antiqua" w:eastAsia="Book Antiqua"/>
          <w:sz w:val="18"/>
          <w:szCs w:val="18"/>
        </w:rPr>
      </w:pPr>
      <w:r>
        <w:rPr>
          <w:rFonts w:ascii="Book Antiqua"/>
          <w:sz w:val="18"/>
          <w:szCs w:val="18"/>
          <w:rtl w:val="0"/>
          <w:lang w:val="it-IT"/>
        </w:rPr>
        <w:t>37. COMUNE DI ROCCA DI CAVE</w:t>
      </w:r>
    </w:p>
    <w:p>
      <w:pPr>
        <w:pStyle w:val="Normal"/>
        <w:ind w:left="567" w:right="567" w:firstLine="0"/>
        <w:jc w:val="both"/>
        <w:rPr>
          <w:rFonts w:ascii="Book Antiqua" w:cs="Book Antiqua" w:hAnsi="Book Antiqua" w:eastAsia="Book Antiqua"/>
          <w:sz w:val="18"/>
          <w:szCs w:val="18"/>
        </w:rPr>
      </w:pPr>
      <w:r>
        <w:rPr>
          <w:rFonts w:ascii="Book Antiqua"/>
          <w:sz w:val="18"/>
          <w:szCs w:val="18"/>
          <w:rtl w:val="0"/>
          <w:lang w:val="it-IT"/>
        </w:rPr>
        <w:t>38. COMUNE DI ROCCA SANTO STEFANO</w:t>
      </w:r>
    </w:p>
    <w:p>
      <w:pPr>
        <w:pStyle w:val="Normal"/>
        <w:ind w:left="567" w:right="567" w:firstLine="0"/>
        <w:jc w:val="both"/>
        <w:rPr>
          <w:rFonts w:ascii="Book Antiqua" w:cs="Book Antiqua" w:hAnsi="Book Antiqua" w:eastAsia="Book Antiqua"/>
          <w:sz w:val="18"/>
          <w:szCs w:val="18"/>
        </w:rPr>
      </w:pPr>
      <w:r>
        <w:rPr>
          <w:rFonts w:ascii="Book Antiqua"/>
          <w:sz w:val="18"/>
          <w:szCs w:val="18"/>
          <w:rtl w:val="0"/>
          <w:lang w:val="it-IT"/>
        </w:rPr>
        <w:t>39. COMUNE DI ROIATE</w:t>
      </w:r>
    </w:p>
    <w:p>
      <w:pPr>
        <w:pStyle w:val="Normal"/>
        <w:ind w:left="567" w:right="567" w:firstLine="0"/>
        <w:jc w:val="both"/>
        <w:rPr>
          <w:rFonts w:ascii="Book Antiqua" w:cs="Book Antiqua" w:hAnsi="Book Antiqua" w:eastAsia="Book Antiqua"/>
          <w:sz w:val="18"/>
          <w:szCs w:val="18"/>
        </w:rPr>
      </w:pPr>
      <w:r>
        <w:rPr>
          <w:rFonts w:ascii="Book Antiqua"/>
          <w:sz w:val="18"/>
          <w:szCs w:val="18"/>
          <w:rtl w:val="0"/>
          <w:lang w:val="it-IT"/>
        </w:rPr>
        <w:t>40. COMUNE DI SACROFANO</w:t>
      </w:r>
    </w:p>
    <w:p>
      <w:pPr>
        <w:pStyle w:val="Normal"/>
        <w:ind w:left="567" w:right="567" w:firstLine="0"/>
        <w:jc w:val="both"/>
        <w:rPr>
          <w:rFonts w:ascii="Book Antiqua" w:cs="Book Antiqua" w:hAnsi="Book Antiqua" w:eastAsia="Book Antiqua"/>
          <w:sz w:val="18"/>
          <w:szCs w:val="18"/>
        </w:rPr>
      </w:pPr>
      <w:r>
        <w:rPr>
          <w:rFonts w:ascii="Book Antiqua"/>
          <w:sz w:val="18"/>
          <w:szCs w:val="18"/>
          <w:rtl w:val="0"/>
          <w:lang w:val="it-IT"/>
        </w:rPr>
        <w:t>41. COMUNE DI SAN CESAREO</w:t>
      </w:r>
    </w:p>
    <w:p>
      <w:pPr>
        <w:pStyle w:val="Normal"/>
        <w:ind w:left="567" w:right="567" w:firstLine="0"/>
        <w:jc w:val="both"/>
        <w:rPr>
          <w:rFonts w:ascii="Book Antiqua" w:cs="Book Antiqua" w:hAnsi="Book Antiqua" w:eastAsia="Book Antiqua"/>
          <w:sz w:val="18"/>
          <w:szCs w:val="18"/>
        </w:rPr>
      </w:pPr>
      <w:r>
        <w:rPr>
          <w:rFonts w:ascii="Book Antiqua"/>
          <w:sz w:val="18"/>
          <w:szCs w:val="18"/>
          <w:rtl w:val="0"/>
          <w:lang w:val="it-IT"/>
        </w:rPr>
        <w:t>42. COMUNE DI SAN GREGORIO DA SASSOLA</w:t>
      </w:r>
    </w:p>
    <w:p>
      <w:pPr>
        <w:pStyle w:val="Normal"/>
        <w:ind w:left="567" w:right="567" w:firstLine="0"/>
        <w:jc w:val="both"/>
        <w:rPr>
          <w:rFonts w:ascii="Book Antiqua" w:cs="Book Antiqua" w:hAnsi="Book Antiqua" w:eastAsia="Book Antiqua"/>
          <w:sz w:val="18"/>
          <w:szCs w:val="18"/>
        </w:rPr>
      </w:pPr>
      <w:r>
        <w:rPr>
          <w:rFonts w:ascii="Book Antiqua"/>
          <w:sz w:val="18"/>
          <w:szCs w:val="18"/>
          <w:rtl w:val="0"/>
          <w:lang w:val="it-IT"/>
        </w:rPr>
        <w:t>43. COMUNE DI SANT'ANGELO ROMANO</w:t>
      </w:r>
    </w:p>
    <w:p>
      <w:pPr>
        <w:pStyle w:val="Normal"/>
        <w:ind w:left="567" w:right="567" w:firstLine="0"/>
        <w:jc w:val="both"/>
        <w:rPr>
          <w:rFonts w:ascii="Book Antiqua" w:cs="Book Antiqua" w:hAnsi="Book Antiqua" w:eastAsia="Book Antiqua"/>
          <w:sz w:val="18"/>
          <w:szCs w:val="18"/>
        </w:rPr>
      </w:pPr>
      <w:r>
        <w:rPr>
          <w:rFonts w:ascii="Book Antiqua"/>
          <w:sz w:val="18"/>
          <w:szCs w:val="18"/>
          <w:rtl w:val="0"/>
          <w:lang w:val="it-IT"/>
        </w:rPr>
        <w:t>44. COMUNE DI SANT'ORESTE</w:t>
      </w:r>
    </w:p>
    <w:p>
      <w:pPr>
        <w:pStyle w:val="Normal"/>
        <w:ind w:left="567" w:right="567" w:firstLine="0"/>
        <w:jc w:val="both"/>
        <w:rPr>
          <w:rFonts w:ascii="Book Antiqua" w:cs="Book Antiqua" w:hAnsi="Book Antiqua" w:eastAsia="Book Antiqua"/>
          <w:sz w:val="18"/>
          <w:szCs w:val="18"/>
        </w:rPr>
      </w:pPr>
      <w:r>
        <w:rPr>
          <w:rFonts w:ascii="Book Antiqua"/>
          <w:sz w:val="18"/>
          <w:szCs w:val="18"/>
          <w:rtl w:val="0"/>
          <w:lang w:val="it-IT"/>
        </w:rPr>
        <w:t>45. COMUNE DI SUBIACO</w:t>
      </w:r>
    </w:p>
    <w:p>
      <w:pPr>
        <w:pStyle w:val="Normal"/>
        <w:ind w:left="567" w:right="567" w:firstLine="0"/>
        <w:jc w:val="both"/>
        <w:rPr>
          <w:rFonts w:ascii="Book Antiqua" w:cs="Book Antiqua" w:hAnsi="Book Antiqua" w:eastAsia="Book Antiqua"/>
          <w:sz w:val="18"/>
          <w:szCs w:val="18"/>
        </w:rPr>
      </w:pPr>
      <w:r>
        <w:rPr>
          <w:rFonts w:ascii="Book Antiqua"/>
          <w:sz w:val="18"/>
          <w:szCs w:val="18"/>
          <w:rtl w:val="0"/>
          <w:lang w:val="it-IT"/>
        </w:rPr>
        <w:t>46. COMUNE DI TIVOLI</w:t>
      </w:r>
    </w:p>
    <w:p>
      <w:pPr>
        <w:pStyle w:val="Normal"/>
        <w:ind w:left="567" w:right="567" w:firstLine="0"/>
        <w:jc w:val="both"/>
        <w:rPr>
          <w:rFonts w:ascii="Book Antiqua" w:cs="Book Antiqua" w:hAnsi="Book Antiqua" w:eastAsia="Book Antiqua"/>
          <w:sz w:val="18"/>
          <w:szCs w:val="18"/>
        </w:rPr>
      </w:pPr>
      <w:r>
        <w:rPr>
          <w:rFonts w:ascii="Book Antiqua"/>
          <w:sz w:val="18"/>
          <w:szCs w:val="18"/>
          <w:rtl w:val="0"/>
          <w:lang w:val="it-IT"/>
        </w:rPr>
        <w:t>47. COMUNE DI TREVIGNANO ROMANO</w:t>
      </w:r>
    </w:p>
    <w:p>
      <w:pPr>
        <w:pStyle w:val="Normal"/>
        <w:ind w:left="567" w:right="567" w:firstLine="0"/>
        <w:jc w:val="both"/>
        <w:rPr>
          <w:rFonts w:ascii="Book Antiqua" w:cs="Book Antiqua" w:hAnsi="Book Antiqua" w:eastAsia="Book Antiqua"/>
          <w:sz w:val="18"/>
          <w:szCs w:val="18"/>
        </w:rPr>
      </w:pPr>
      <w:r>
        <w:rPr>
          <w:rFonts w:ascii="Book Antiqua"/>
          <w:sz w:val="18"/>
          <w:szCs w:val="18"/>
          <w:rtl w:val="0"/>
          <w:lang w:val="it-IT"/>
        </w:rPr>
        <w:t>48. COMUNE DI VALLEPIETRA</w:t>
      </w:r>
    </w:p>
    <w:p>
      <w:pPr>
        <w:pStyle w:val="Normal"/>
        <w:ind w:left="567" w:right="567" w:firstLine="0"/>
        <w:jc w:val="both"/>
        <w:rPr>
          <w:rFonts w:ascii="Book Antiqua" w:cs="Book Antiqua" w:hAnsi="Book Antiqua" w:eastAsia="Book Antiqua"/>
          <w:sz w:val="18"/>
          <w:szCs w:val="18"/>
        </w:rPr>
      </w:pPr>
      <w:r>
        <w:rPr>
          <w:rFonts w:ascii="Book Antiqua"/>
          <w:sz w:val="18"/>
          <w:szCs w:val="18"/>
          <w:rtl w:val="0"/>
          <w:lang w:val="it-IT"/>
        </w:rPr>
        <w:t>49. COMUNE DI VALLINFREDA</w:t>
      </w:r>
    </w:p>
    <w:p>
      <w:pPr>
        <w:pStyle w:val="Normal"/>
        <w:ind w:left="567" w:right="567" w:firstLine="0"/>
        <w:jc w:val="both"/>
        <w:rPr>
          <w:rFonts w:ascii="Book Antiqua" w:cs="Book Antiqua" w:hAnsi="Book Antiqua" w:eastAsia="Book Antiqua"/>
          <w:sz w:val="18"/>
          <w:szCs w:val="18"/>
        </w:rPr>
      </w:pPr>
      <w:r>
        <w:rPr>
          <w:rFonts w:ascii="Book Antiqua"/>
          <w:sz w:val="18"/>
          <w:szCs w:val="18"/>
          <w:rtl w:val="0"/>
          <w:lang w:val="it-IT"/>
        </w:rPr>
        <w:t>50. COMUNE DI ZAGAROLO</w:t>
      </w:r>
    </w:p>
    <w:p>
      <w:pPr>
        <w:pStyle w:val="Normal"/>
        <w:ind w:left="567" w:right="567" w:firstLine="0"/>
        <w:jc w:val="both"/>
        <w:rPr>
          <w:rFonts w:ascii="Book Antiqua" w:cs="Book Antiqua" w:hAnsi="Book Antiqua" w:eastAsia="Book Antiqua"/>
          <w:sz w:val="18"/>
          <w:szCs w:val="18"/>
        </w:rPr>
      </w:pPr>
      <w:r>
        <w:rPr>
          <w:rFonts w:ascii="Book Antiqua"/>
          <w:sz w:val="18"/>
          <w:szCs w:val="18"/>
          <w:rtl w:val="0"/>
          <w:lang w:val="it-IT"/>
        </w:rPr>
        <w:t>51. UNIONE DEI COMUNI DELLA VALLE USTICA</w:t>
      </w:r>
    </w:p>
    <w:p>
      <w:pPr>
        <w:pStyle w:val="Normal"/>
        <w:ind w:left="567" w:right="567" w:firstLine="0"/>
        <w:jc w:val="both"/>
        <w:rPr>
          <w:rFonts w:ascii="Book Antiqua" w:cs="Book Antiqua" w:hAnsi="Book Antiqua" w:eastAsia="Book Antiqua"/>
          <w:sz w:val="20"/>
          <w:szCs w:val="20"/>
        </w:rPr>
      </w:pPr>
      <w:r>
        <w:rPr>
          <w:rFonts w:ascii="Book Antiqua"/>
          <w:sz w:val="18"/>
          <w:szCs w:val="18"/>
          <w:rtl w:val="0"/>
          <w:lang w:val="it-IT"/>
        </w:rPr>
        <w:t>52. UNIONE DEI COMUNI VALLE DEL GIOVENZANO</w:t>
      </w: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rPr>
      </w:pPr>
      <w:r>
        <w:rPr>
          <w:rFonts w:ascii="Book Antiqua"/>
          <w:rtl w:val="0"/>
          <w:lang w:val="it-IT"/>
        </w:rPr>
        <w:t xml:space="preserve">Per quanto riguarda la tipologia dei rifiuti conferiti, si specifica che sono costituiti dal CER 200301 (rifiuti urbani non differenziati), provenienti prevalentemente dalla raccolta differenziata spinta "porta a porta" e pertanto privi della frazione organica fatta eccezione per i Comuni di Affile, Arcinazzo Romano, Jenne, Rocca di Cave, Roiate e Sant'Angelo Romano che conferiscono il rifiuto "tal quale". </w:t>
      </w:r>
    </w:p>
    <w:p>
      <w:pPr>
        <w:pStyle w:val="Normal"/>
        <w:ind w:left="567" w:right="567" w:firstLine="0"/>
        <w:jc w:val="both"/>
        <w:rPr>
          <w:rFonts w:ascii="Book Antiqua" w:cs="Book Antiqua" w:hAnsi="Book Antiqua" w:eastAsia="Book Antiqua"/>
        </w:rPr>
      </w:pPr>
      <w:r>
        <w:rPr>
          <w:rFonts w:ascii="Book Antiqua"/>
          <w:rtl w:val="0"/>
          <w:lang w:val="it-IT"/>
        </w:rPr>
        <w:t>Il quantitativo complessivo conferito dal 1</w:t>
      </w:r>
      <w:r>
        <w:rPr>
          <w:rFonts w:hAnsi="Book Antiqua" w:hint="default"/>
          <w:rtl w:val="0"/>
          <w:lang w:val="it-IT"/>
        </w:rPr>
        <w:t xml:space="preserve">° </w:t>
      </w:r>
      <w:r>
        <w:rPr>
          <w:rFonts w:ascii="Book Antiqua"/>
          <w:rtl w:val="0"/>
          <w:lang w:val="it-IT"/>
        </w:rPr>
        <w:t>gennaio 2017 al 4 agosto 2017</w:t>
      </w:r>
      <w:r>
        <w:rPr>
          <w:rFonts w:hAnsi="Book Antiqua" w:hint="default"/>
          <w:rtl w:val="0"/>
          <w:lang w:val="it-IT"/>
        </w:rPr>
        <w:t xml:space="preserve"> è </w:t>
      </w:r>
      <w:r>
        <w:rPr>
          <w:rFonts w:ascii="Book Antiqua"/>
          <w:rtl w:val="0"/>
          <w:lang w:val="it-IT"/>
        </w:rPr>
        <w:t>di 31.745,06 tonnellate</w:t>
      </w:r>
      <w:r>
        <w:rPr>
          <w:rFonts w:ascii="Book Antiqua" w:cs="Book Antiqua" w:hAnsi="Book Antiqua" w:eastAsia="Book Antiqua"/>
          <w:vertAlign w:val="superscript"/>
          <w:rtl w:val="0"/>
        </w:rPr>
        <w:footnoteReference w:id="69"/>
      </w:r>
      <w:r>
        <w:rPr>
          <w:rFonts w:ascii="Book Antiqua"/>
          <w:rtl w:val="0"/>
          <w:lang w:val="it-IT"/>
        </w:rPr>
        <w:t>: i dati di conferimento sono puntualmente monitorati dalla Citt</w:t>
      </w:r>
      <w:r>
        <w:rPr>
          <w:rFonts w:hAnsi="Book Antiqua" w:hint="default"/>
          <w:rtl w:val="0"/>
          <w:lang w:val="it-IT"/>
        </w:rPr>
        <w:t xml:space="preserve">à </w:t>
      </w:r>
      <w:r>
        <w:rPr>
          <w:rFonts w:ascii="Book Antiqua"/>
          <w:rtl w:val="0"/>
          <w:lang w:val="it-IT"/>
        </w:rPr>
        <w:t>Metropolitana di Roma la quale li richiede a seguito della D.D. n. 1824 del 5 maggio 2017.</w:t>
      </w:r>
    </w:p>
    <w:p>
      <w:pPr>
        <w:pStyle w:val="Normal"/>
        <w:shd w:val="clear" w:color="auto" w:fill="ffffff"/>
        <w:ind w:left="567" w:right="567" w:firstLine="0"/>
        <w:jc w:val="both"/>
        <w:rPr>
          <w:rFonts w:ascii="Book Antiqua" w:cs="Book Antiqua" w:hAnsi="Book Antiqua" w:eastAsia="Book Antiqua"/>
        </w:rPr>
      </w:pPr>
    </w:p>
    <w:p>
      <w:pPr>
        <w:pStyle w:val="Normal"/>
        <w:shd w:val="clear" w:color="auto" w:fill="ffffff"/>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sz w:val="28"/>
          <w:szCs w:val="28"/>
        </w:rPr>
      </w:pPr>
      <w:r>
        <w:rPr>
          <w:rFonts w:ascii="Book Antiqua"/>
          <w:sz w:val="28"/>
          <w:szCs w:val="28"/>
          <w:rtl w:val="0"/>
          <w:lang w:val="it-IT"/>
        </w:rPr>
        <w:t>2.3</w:t>
        <w:tab/>
        <w:t>Storia recente di AMA e programmi</w:t>
      </w: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sz w:val="28"/>
          <w:szCs w:val="28"/>
        </w:rPr>
      </w:pPr>
      <w:r>
        <w:rPr>
          <w:rFonts w:ascii="Book Antiqua"/>
          <w:sz w:val="28"/>
          <w:szCs w:val="28"/>
          <w:rtl w:val="0"/>
          <w:lang w:val="it-IT"/>
        </w:rPr>
        <w:t>2.3.1 La societ</w:t>
      </w:r>
      <w:r>
        <w:rPr>
          <w:rFonts w:hAnsi="Book Antiqua" w:hint="default"/>
          <w:sz w:val="28"/>
          <w:szCs w:val="28"/>
          <w:rtl w:val="0"/>
          <w:lang w:val="it-IT"/>
        </w:rPr>
        <w:t>à</w:t>
      </w:r>
      <w:r>
        <w:rPr>
          <w:rFonts w:ascii="Book Antiqua"/>
          <w:sz w:val="28"/>
          <w:szCs w:val="28"/>
          <w:rtl w:val="0"/>
          <w:lang w:val="it-IT"/>
        </w:rPr>
        <w:t xml:space="preserve"> e il nuovo affidamento</w:t>
      </w: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i w:val="1"/>
          <w:iCs w:val="1"/>
        </w:rPr>
      </w:pPr>
      <w:r>
        <w:rPr>
          <w:rFonts w:ascii="Book Antiqua"/>
          <w:rtl w:val="0"/>
          <w:lang w:val="it-IT"/>
        </w:rPr>
        <w:t>L</w:t>
      </w:r>
      <w:r>
        <w:rPr>
          <w:rFonts w:hAnsi="Book Antiqua" w:hint="default"/>
          <w:rtl w:val="0"/>
          <w:lang w:val="it-IT"/>
        </w:rPr>
        <w:t>’</w:t>
      </w:r>
      <w:r>
        <w:rPr>
          <w:rFonts w:ascii="Book Antiqua"/>
          <w:rtl w:val="0"/>
          <w:lang w:val="it-IT"/>
        </w:rPr>
        <w:t>Azienda Municipale Ambiente S.p.A.</w:t>
      </w:r>
      <w:r>
        <w:rPr>
          <w:rFonts w:ascii="Book Antiqua" w:cs="Book Antiqua" w:hAnsi="Book Antiqua" w:eastAsia="Book Antiqua"/>
          <w:vertAlign w:val="superscript"/>
          <w:rtl w:val="0"/>
        </w:rPr>
        <w:footnoteReference w:id="70"/>
      </w:r>
      <w:r>
        <w:rPr>
          <w:rFonts w:ascii="Book Antiqua"/>
          <w:rtl w:val="0"/>
          <w:lang w:val="it-IT"/>
        </w:rPr>
        <w:t xml:space="preserve">, in breve AMA S.p.A., </w:t>
      </w:r>
      <w:r>
        <w:rPr>
          <w:rFonts w:hAnsi="Book Antiqua" w:hint="default"/>
          <w:rtl w:val="0"/>
          <w:lang w:val="it-IT"/>
        </w:rPr>
        <w:t xml:space="preserve">è </w:t>
      </w:r>
      <w:r>
        <w:rPr>
          <w:rFonts w:ascii="Book Antiqua"/>
          <w:rtl w:val="0"/>
          <w:lang w:val="it-IT"/>
        </w:rPr>
        <w:t>la societ</w:t>
      </w:r>
      <w:r>
        <w:rPr>
          <w:rFonts w:hAnsi="Book Antiqua" w:hint="default"/>
          <w:rtl w:val="0"/>
          <w:lang w:val="it-IT"/>
        </w:rPr>
        <w:t xml:space="preserve">à </w:t>
      </w:r>
      <w:r>
        <w:rPr>
          <w:rFonts w:ascii="Book Antiqua"/>
          <w:i w:val="1"/>
          <w:iCs w:val="1"/>
          <w:rtl w:val="0"/>
          <w:lang w:val="it-IT"/>
        </w:rPr>
        <w:t xml:space="preserve">in house </w:t>
      </w:r>
      <w:r>
        <w:rPr>
          <w:rFonts w:ascii="Book Antiqua"/>
          <w:rtl w:val="0"/>
          <w:lang w:val="it-IT"/>
        </w:rPr>
        <w:t>di Roma Capitale, che ne detiene - sin dalla sua costituzione - l</w:t>
      </w:r>
      <w:r>
        <w:rPr>
          <w:rFonts w:hAnsi="Book Antiqua" w:hint="default"/>
          <w:rtl w:val="0"/>
          <w:lang w:val="it-IT"/>
        </w:rPr>
        <w:t>’</w:t>
      </w:r>
      <w:r>
        <w:rPr>
          <w:rFonts w:ascii="Book Antiqua"/>
          <w:rtl w:val="0"/>
          <w:lang w:val="it-IT"/>
        </w:rPr>
        <w:t xml:space="preserve">intero capitale sociale, alla quale </w:t>
      </w:r>
      <w:r>
        <w:rPr>
          <w:rFonts w:hAnsi="Book Antiqua" w:hint="default"/>
          <w:rtl w:val="0"/>
          <w:lang w:val="it-IT"/>
        </w:rPr>
        <w:t xml:space="preserve">è </w:t>
      </w:r>
      <w:r>
        <w:rPr>
          <w:rFonts w:ascii="Book Antiqua"/>
          <w:rtl w:val="0"/>
          <w:lang w:val="it-IT"/>
        </w:rPr>
        <w:t xml:space="preserve">demandato il servizio di raccolta e smaltimento dei rifiuti urbani del comune di Roma. Essa </w:t>
      </w:r>
      <w:r>
        <w:rPr>
          <w:rFonts w:hAnsi="Book Antiqua" w:hint="default"/>
          <w:rtl w:val="0"/>
          <w:lang w:val="it-IT"/>
        </w:rPr>
        <w:t xml:space="preserve">è </w:t>
      </w:r>
      <w:r>
        <w:rPr>
          <w:rFonts w:ascii="Book Antiqua"/>
          <w:rtl w:val="0"/>
          <w:lang w:val="it-IT"/>
        </w:rPr>
        <w:t xml:space="preserve">stata originariamente costituita nel 1983 con la denominazione di </w:t>
      </w:r>
      <w:r>
        <w:rPr>
          <w:rFonts w:hAnsi="Book Antiqua" w:hint="default"/>
          <w:rtl w:val="0"/>
          <w:lang w:val="it-IT"/>
        </w:rPr>
        <w:t>“</w:t>
      </w:r>
      <w:r>
        <w:rPr>
          <w:rFonts w:ascii="Book Antiqua"/>
          <w:rtl w:val="0"/>
          <w:lang w:val="it-IT"/>
        </w:rPr>
        <w:t>Azienda Municipalizzata Nettezza Urbana</w:t>
      </w:r>
      <w:r>
        <w:rPr>
          <w:rFonts w:hAnsi="Book Antiqua" w:hint="default"/>
          <w:rtl w:val="0"/>
          <w:lang w:val="it-IT"/>
        </w:rPr>
        <w:t>”</w:t>
      </w:r>
      <w:r>
        <w:rPr>
          <w:rFonts w:ascii="Book Antiqua"/>
          <w:rtl w:val="0"/>
          <w:lang w:val="it-IT"/>
        </w:rPr>
        <w:t xml:space="preserve"> (AMNU) alla quale fu affidato il servizio di nettezza urbana della capitale a partire dal 1985. Nel 1994 la societ</w:t>
      </w:r>
      <w:r>
        <w:rPr>
          <w:rFonts w:hAnsi="Book Antiqua" w:hint="default"/>
          <w:rtl w:val="0"/>
          <w:lang w:val="it-IT"/>
        </w:rPr>
        <w:t xml:space="preserve">à </w:t>
      </w:r>
      <w:r>
        <w:rPr>
          <w:rFonts w:ascii="Book Antiqua"/>
          <w:rtl w:val="0"/>
          <w:lang w:val="it-IT"/>
        </w:rPr>
        <w:t>diventa azienda speciale, cambiando denominazione nell</w:t>
      </w:r>
      <w:r>
        <w:rPr>
          <w:rFonts w:hAnsi="Book Antiqua" w:hint="default"/>
          <w:rtl w:val="0"/>
          <w:lang w:val="it-IT"/>
        </w:rPr>
        <w:t>’</w:t>
      </w:r>
      <w:r>
        <w:rPr>
          <w:rFonts w:ascii="Book Antiqua"/>
          <w:rtl w:val="0"/>
          <w:lang w:val="it-IT"/>
        </w:rPr>
        <w:t xml:space="preserve">attuale </w:t>
      </w:r>
      <w:r>
        <w:rPr>
          <w:rFonts w:hAnsi="Book Antiqua" w:hint="default"/>
          <w:rtl w:val="0"/>
          <w:lang w:val="it-IT"/>
        </w:rPr>
        <w:t>“</w:t>
      </w:r>
      <w:r>
        <w:rPr>
          <w:rFonts w:ascii="Book Antiqua"/>
          <w:rtl w:val="0"/>
          <w:lang w:val="it-IT"/>
        </w:rPr>
        <w:t>Azienda Municipale Ambiente</w:t>
      </w:r>
      <w:r>
        <w:rPr>
          <w:rFonts w:hAnsi="Book Antiqua" w:hint="default"/>
          <w:rtl w:val="0"/>
          <w:lang w:val="it-IT"/>
        </w:rPr>
        <w:t>”</w:t>
      </w:r>
      <w:r>
        <w:rPr>
          <w:rFonts w:ascii="Book Antiqua"/>
          <w:rtl w:val="0"/>
          <w:lang w:val="it-IT"/>
        </w:rPr>
        <w:t xml:space="preserve"> (AMA), che nel 2000 assumer</w:t>
      </w:r>
      <w:r>
        <w:rPr>
          <w:rFonts w:hAnsi="Book Antiqua" w:hint="default"/>
          <w:rtl w:val="0"/>
          <w:lang w:val="it-IT"/>
        </w:rPr>
        <w:t xml:space="preserve">à </w:t>
      </w:r>
      <w:r>
        <w:rPr>
          <w:rFonts w:ascii="Book Antiqua"/>
          <w:rtl w:val="0"/>
          <w:lang w:val="it-IT"/>
        </w:rPr>
        <w:t>l</w:t>
      </w:r>
      <w:r>
        <w:rPr>
          <w:rFonts w:hAnsi="Book Antiqua" w:hint="default"/>
          <w:rtl w:val="0"/>
          <w:lang w:val="it-IT"/>
        </w:rPr>
        <w:t>’</w:t>
      </w:r>
      <w:r>
        <w:rPr>
          <w:rFonts w:ascii="Book Antiqua"/>
          <w:rtl w:val="0"/>
          <w:lang w:val="it-IT"/>
        </w:rPr>
        <w:t>attuale veste di societ</w:t>
      </w:r>
      <w:r>
        <w:rPr>
          <w:rFonts w:hAnsi="Book Antiqua" w:hint="default"/>
          <w:rtl w:val="0"/>
          <w:lang w:val="it-IT"/>
        </w:rPr>
        <w:t xml:space="preserve">à </w:t>
      </w:r>
      <w:r>
        <w:rPr>
          <w:rFonts w:ascii="Book Antiqua"/>
          <w:rtl w:val="0"/>
          <w:lang w:val="it-IT"/>
        </w:rPr>
        <w:t>per azioni, costituita con DCC 141/2000 a seguito della trasformazione da azienda speciale</w:t>
      </w:r>
      <w:r>
        <w:rPr>
          <w:rFonts w:ascii="Book Antiqua"/>
          <w:i w:val="1"/>
          <w:iCs w:val="1"/>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Gli organi amministrativi di AMA S.p.A. sono designati dai vertici politici di Roma Capitale nella qualit</w:t>
      </w:r>
      <w:r>
        <w:rPr>
          <w:rFonts w:hAnsi="Book Antiqua" w:hint="default"/>
          <w:rtl w:val="0"/>
          <w:lang w:val="it-IT"/>
        </w:rPr>
        <w:t xml:space="preserve">à </w:t>
      </w:r>
      <w:r>
        <w:rPr>
          <w:rFonts w:ascii="Book Antiqua"/>
          <w:rtl w:val="0"/>
          <w:lang w:val="it-IT"/>
        </w:rPr>
        <w:t>di socio unico dell</w:t>
      </w:r>
      <w:r>
        <w:rPr>
          <w:rFonts w:hAnsi="Book Antiqua" w:hint="default"/>
          <w:rtl w:val="0"/>
          <w:lang w:val="it-IT"/>
        </w:rPr>
        <w:t>’</w:t>
      </w:r>
      <w:r>
        <w:rPr>
          <w:rFonts w:ascii="Book Antiqua"/>
          <w:rtl w:val="0"/>
          <w:lang w:val="it-IT"/>
        </w:rPr>
        <w:t>azienda.</w:t>
      </w:r>
    </w:p>
    <w:p>
      <w:pPr>
        <w:pStyle w:val="Normal"/>
        <w:ind w:left="567" w:right="567" w:firstLine="0"/>
        <w:jc w:val="both"/>
        <w:rPr>
          <w:rFonts w:ascii="Book Antiqua" w:cs="Book Antiqua" w:hAnsi="Book Antiqua" w:eastAsia="Book Antiqua"/>
        </w:rPr>
      </w:pPr>
      <w:r>
        <w:rPr>
          <w:rFonts w:ascii="Book Antiqua"/>
          <w:rtl w:val="0"/>
          <w:lang w:val="it-IT"/>
        </w:rPr>
        <w:t>A tale proposito, si evidenziano, di seguito i componenti dell</w:t>
      </w:r>
      <w:r>
        <w:rPr>
          <w:rFonts w:hAnsi="Book Antiqua" w:hint="default"/>
          <w:rtl w:val="0"/>
          <w:lang w:val="it-IT"/>
        </w:rPr>
        <w:t>’</w:t>
      </w:r>
      <w:r>
        <w:rPr>
          <w:rFonts w:ascii="Book Antiqua"/>
          <w:rtl w:val="0"/>
          <w:lang w:val="it-IT"/>
        </w:rPr>
        <w:t>amministrazione di AMA S.p.A. susseguitisi nell</w:t>
      </w:r>
      <w:r>
        <w:rPr>
          <w:rFonts w:hAnsi="Book Antiqua" w:hint="default"/>
          <w:rtl w:val="0"/>
          <w:lang w:val="it-IT"/>
        </w:rPr>
        <w:t>’</w:t>
      </w:r>
      <w:r>
        <w:rPr>
          <w:rFonts w:ascii="Book Antiqua"/>
          <w:rtl w:val="0"/>
          <w:lang w:val="it-IT"/>
        </w:rPr>
        <w:t>arco dell</w:t>
      </w:r>
      <w:r>
        <w:rPr>
          <w:rFonts w:hAnsi="Book Antiqua" w:hint="default"/>
          <w:rtl w:val="0"/>
          <w:lang w:val="it-IT"/>
        </w:rPr>
        <w:t>’</w:t>
      </w:r>
      <w:r>
        <w:rPr>
          <w:rFonts w:ascii="Book Antiqua"/>
          <w:rtl w:val="0"/>
          <w:lang w:val="it-IT"/>
        </w:rPr>
        <w:t xml:space="preserve">ultimo decennio: </w:t>
      </w:r>
    </w:p>
    <w:p>
      <w:pPr>
        <w:pStyle w:val="Normal"/>
        <w:ind w:left="567" w:right="567" w:firstLine="0"/>
        <w:jc w:val="both"/>
        <w:rPr>
          <w:rFonts w:ascii="Book Antiqua Bold" w:cs="Book Antiqua Bold" w:hAnsi="Book Antiqua Bold" w:eastAsia="Book Antiqua Bold"/>
          <w:b w:val="1"/>
          <w:bCs w:val="1"/>
        </w:rPr>
      </w:pPr>
    </w:p>
    <w:p>
      <w:pPr>
        <w:pStyle w:val="Normal"/>
        <w:ind w:left="567" w:right="567" w:firstLine="0"/>
        <w:jc w:val="both"/>
        <w:rPr>
          <w:rFonts w:ascii="Book Antiqua" w:cs="Book Antiqua" w:hAnsi="Book Antiqua" w:eastAsia="Book Antiqua"/>
          <w:i w:val="1"/>
          <w:iCs w:val="1"/>
          <w:sz w:val="22"/>
          <w:szCs w:val="22"/>
        </w:rPr>
      </w:pPr>
      <w:r>
        <w:rPr>
          <w:rFonts w:ascii="Book Antiqua"/>
          <w:i w:val="1"/>
          <w:iCs w:val="1"/>
          <w:sz w:val="22"/>
          <w:szCs w:val="22"/>
          <w:u w:val="single"/>
          <w:rtl w:val="0"/>
          <w:lang w:val="it-IT"/>
        </w:rPr>
        <w:t>Periodo</w:t>
      </w:r>
      <w:r>
        <w:rPr>
          <w:rFonts w:ascii="Book Antiqua"/>
          <w:i w:val="1"/>
          <w:iCs w:val="1"/>
          <w:sz w:val="22"/>
          <w:szCs w:val="22"/>
          <w:rtl w:val="0"/>
          <w:lang w:val="it-IT"/>
        </w:rPr>
        <w:t>: dal 3 agosto 2006 al 3 dicembre 2008</w:t>
      </w:r>
    </w:p>
    <w:p>
      <w:pPr>
        <w:pStyle w:val="Normal"/>
        <w:ind w:left="567" w:right="567" w:firstLine="0"/>
        <w:jc w:val="both"/>
        <w:rPr>
          <w:rFonts w:ascii="Book Antiqua" w:cs="Book Antiqua" w:hAnsi="Book Antiqua" w:eastAsia="Book Antiqua"/>
          <w:sz w:val="22"/>
          <w:szCs w:val="22"/>
        </w:rPr>
      </w:pPr>
      <w:r>
        <w:rPr>
          <w:rFonts w:ascii="Book Antiqua"/>
          <w:sz w:val="22"/>
          <w:szCs w:val="22"/>
          <w:u w:val="single"/>
          <w:rtl w:val="0"/>
          <w:lang w:val="it-IT"/>
        </w:rPr>
        <w:t>Organo amministrativo</w:t>
      </w:r>
      <w:r>
        <w:rPr>
          <w:rFonts w:ascii="Book Antiqua"/>
          <w:sz w:val="22"/>
          <w:szCs w:val="22"/>
          <w:rtl w:val="0"/>
          <w:lang w:val="it-IT"/>
        </w:rPr>
        <w:t>: Consiglio di amministrazione, nominato con atto del 03/08/2006</w:t>
      </w:r>
    </w:p>
    <w:p>
      <w:pPr>
        <w:pStyle w:val="Normal"/>
        <w:ind w:left="567" w:right="567" w:firstLine="0"/>
        <w:jc w:val="both"/>
        <w:rPr>
          <w:rFonts w:ascii="Book Antiqua" w:cs="Book Antiqua" w:hAnsi="Book Antiqua" w:eastAsia="Book Antiqua"/>
          <w:sz w:val="22"/>
          <w:szCs w:val="22"/>
        </w:rPr>
      </w:pPr>
      <w:r>
        <w:rPr>
          <w:rFonts w:ascii="Book Antiqua"/>
          <w:sz w:val="22"/>
          <w:szCs w:val="22"/>
          <w:u w:val="single"/>
          <w:rtl w:val="0"/>
          <w:lang w:val="it-IT"/>
        </w:rPr>
        <w:t>Componenti</w:t>
      </w:r>
      <w:r>
        <w:rPr>
          <w:rFonts w:ascii="Book Antiqua"/>
          <w:sz w:val="22"/>
          <w:szCs w:val="22"/>
          <w:rtl w:val="0"/>
          <w:lang w:val="it-IT"/>
        </w:rPr>
        <w:t>: HERMANIN DE REICHENFELD Giovanni</w:t>
      </w:r>
      <w:r>
        <w:rPr>
          <w:rFonts w:ascii="Book Antiqua" w:cs="Book Antiqua" w:hAnsi="Book Antiqua" w:eastAsia="Book Antiqua"/>
          <w:sz w:val="22"/>
          <w:szCs w:val="22"/>
          <w:vertAlign w:val="superscript"/>
          <w:rtl w:val="0"/>
        </w:rPr>
        <w:footnoteReference w:id="71"/>
      </w:r>
      <w:r>
        <w:rPr>
          <w:rFonts w:ascii="Book Antiqua"/>
          <w:sz w:val="22"/>
          <w:szCs w:val="22"/>
          <w:rtl w:val="0"/>
          <w:lang w:val="it-IT"/>
        </w:rPr>
        <w:t>, presidente; ERAMO Biagio</w:t>
      </w:r>
      <w:r>
        <w:rPr>
          <w:rFonts w:ascii="Book Antiqua" w:cs="Book Antiqua" w:hAnsi="Book Antiqua" w:eastAsia="Book Antiqua"/>
          <w:sz w:val="22"/>
          <w:szCs w:val="22"/>
          <w:vertAlign w:val="superscript"/>
          <w:rtl w:val="0"/>
        </w:rPr>
        <w:footnoteReference w:id="72"/>
      </w:r>
      <w:r>
        <w:rPr>
          <w:rFonts w:ascii="Book Antiqua"/>
          <w:sz w:val="22"/>
          <w:szCs w:val="22"/>
          <w:rtl w:val="0"/>
          <w:lang w:val="it-IT"/>
        </w:rPr>
        <w:t>, consigliere ed amministratore delegato; PANZIRONI Franco</w:t>
      </w:r>
      <w:r>
        <w:rPr>
          <w:rFonts w:ascii="Book Antiqua" w:cs="Book Antiqua" w:hAnsi="Book Antiqua" w:eastAsia="Book Antiqua"/>
          <w:sz w:val="22"/>
          <w:szCs w:val="22"/>
          <w:vertAlign w:val="superscript"/>
          <w:rtl w:val="0"/>
        </w:rPr>
        <w:footnoteReference w:id="73"/>
      </w:r>
      <w:r>
        <w:rPr>
          <w:rFonts w:ascii="Book Antiqua"/>
          <w:sz w:val="22"/>
          <w:szCs w:val="22"/>
          <w:rtl w:val="0"/>
          <w:lang w:val="it-IT"/>
        </w:rPr>
        <w:t>, consigliere ed amministratore delegato; BORTONE Roberta</w:t>
      </w:r>
      <w:r>
        <w:rPr>
          <w:rFonts w:ascii="Book Antiqua" w:cs="Book Antiqua" w:hAnsi="Book Antiqua" w:eastAsia="Book Antiqua"/>
          <w:sz w:val="22"/>
          <w:szCs w:val="22"/>
          <w:vertAlign w:val="superscript"/>
          <w:rtl w:val="0"/>
        </w:rPr>
        <w:footnoteReference w:id="74"/>
      </w:r>
      <w:r>
        <w:rPr>
          <w:rFonts w:ascii="Book Antiqua"/>
          <w:sz w:val="22"/>
          <w:szCs w:val="22"/>
          <w:rtl w:val="0"/>
          <w:lang w:val="it-IT"/>
        </w:rPr>
        <w:t>, consigliere; OLIVA Maurizio</w:t>
      </w:r>
      <w:r>
        <w:rPr>
          <w:rFonts w:ascii="Book Antiqua" w:cs="Book Antiqua" w:hAnsi="Book Antiqua" w:eastAsia="Book Antiqua"/>
          <w:sz w:val="22"/>
          <w:szCs w:val="22"/>
          <w:vertAlign w:val="superscript"/>
          <w:rtl w:val="0"/>
        </w:rPr>
        <w:footnoteReference w:id="75"/>
      </w:r>
      <w:r>
        <w:rPr>
          <w:rFonts w:ascii="Book Antiqua"/>
          <w:sz w:val="22"/>
          <w:szCs w:val="22"/>
          <w:rtl w:val="0"/>
          <w:lang w:val="it-IT"/>
        </w:rPr>
        <w:t>, consigliere; PASSERELLI Antonio</w:t>
      </w:r>
      <w:r>
        <w:rPr>
          <w:rFonts w:ascii="Book Antiqua" w:cs="Book Antiqua" w:hAnsi="Book Antiqua" w:eastAsia="Book Antiqua"/>
          <w:sz w:val="22"/>
          <w:szCs w:val="22"/>
          <w:vertAlign w:val="superscript"/>
          <w:rtl w:val="0"/>
        </w:rPr>
        <w:footnoteReference w:id="76"/>
      </w:r>
      <w:r>
        <w:rPr>
          <w:rFonts w:ascii="Book Antiqua"/>
          <w:sz w:val="22"/>
          <w:szCs w:val="22"/>
          <w:rtl w:val="0"/>
          <w:lang w:val="it-IT"/>
        </w:rPr>
        <w:t>, consigliere; RICCIUTO Dario</w:t>
      </w:r>
      <w:r>
        <w:rPr>
          <w:rFonts w:ascii="Book Antiqua" w:cs="Book Antiqua" w:hAnsi="Book Antiqua" w:eastAsia="Book Antiqua"/>
          <w:sz w:val="22"/>
          <w:szCs w:val="22"/>
          <w:vertAlign w:val="superscript"/>
          <w:rtl w:val="0"/>
        </w:rPr>
        <w:footnoteReference w:id="77"/>
      </w:r>
      <w:r>
        <w:rPr>
          <w:rFonts w:ascii="Book Antiqua"/>
          <w:sz w:val="22"/>
          <w:szCs w:val="22"/>
          <w:rtl w:val="0"/>
          <w:lang w:val="it-IT"/>
        </w:rPr>
        <w:t>, consigliere; ROCCHI Carla</w:t>
      </w:r>
      <w:r>
        <w:rPr>
          <w:rFonts w:ascii="Book Antiqua" w:cs="Book Antiqua" w:hAnsi="Book Antiqua" w:eastAsia="Book Antiqua"/>
          <w:sz w:val="22"/>
          <w:szCs w:val="22"/>
          <w:vertAlign w:val="superscript"/>
          <w:rtl w:val="0"/>
        </w:rPr>
        <w:footnoteReference w:id="78"/>
      </w:r>
      <w:r>
        <w:rPr>
          <w:rFonts w:ascii="Book Antiqua"/>
          <w:sz w:val="22"/>
          <w:szCs w:val="22"/>
          <w:rtl w:val="0"/>
          <w:lang w:val="it-IT"/>
        </w:rPr>
        <w:t>, consigliere; ROSELLI Vincenzo</w:t>
      </w:r>
      <w:r>
        <w:rPr>
          <w:rFonts w:ascii="Book Antiqua" w:cs="Book Antiqua" w:hAnsi="Book Antiqua" w:eastAsia="Book Antiqua"/>
          <w:sz w:val="22"/>
          <w:szCs w:val="22"/>
          <w:vertAlign w:val="superscript"/>
          <w:rtl w:val="0"/>
        </w:rPr>
        <w:footnoteReference w:id="79"/>
      </w:r>
      <w:r>
        <w:rPr>
          <w:rFonts w:ascii="Book Antiqua"/>
          <w:sz w:val="22"/>
          <w:szCs w:val="22"/>
          <w:rtl w:val="0"/>
          <w:lang w:val="it-IT"/>
        </w:rPr>
        <w:t>, consigliere</w:t>
      </w:r>
    </w:p>
    <w:p>
      <w:pPr>
        <w:pStyle w:val="Normal"/>
        <w:ind w:left="567" w:right="567" w:firstLine="0"/>
        <w:jc w:val="both"/>
        <w:rPr>
          <w:rFonts w:ascii="Book Antiqua" w:cs="Book Antiqua" w:hAnsi="Book Antiqua" w:eastAsia="Book Antiqua"/>
          <w:sz w:val="22"/>
          <w:szCs w:val="22"/>
        </w:rPr>
      </w:pPr>
      <w:r>
        <w:rPr>
          <w:rFonts w:ascii="Book Antiqua"/>
          <w:sz w:val="22"/>
          <w:szCs w:val="22"/>
          <w:u w:val="single"/>
          <w:rtl w:val="0"/>
          <w:lang w:val="it-IT"/>
        </w:rPr>
        <w:t>Direttore generale</w:t>
      </w:r>
      <w:r>
        <w:rPr>
          <w:rFonts w:ascii="Book Antiqua"/>
          <w:sz w:val="22"/>
          <w:szCs w:val="22"/>
          <w:rtl w:val="0"/>
          <w:lang w:val="it-IT"/>
        </w:rPr>
        <w:t>: FISCON Giovanni</w:t>
      </w:r>
      <w:r>
        <w:rPr>
          <w:rFonts w:ascii="Book Antiqua" w:cs="Book Antiqua" w:hAnsi="Book Antiqua" w:eastAsia="Book Antiqua"/>
          <w:sz w:val="22"/>
          <w:szCs w:val="22"/>
          <w:vertAlign w:val="superscript"/>
          <w:rtl w:val="0"/>
        </w:rPr>
        <w:footnoteReference w:id="80"/>
      </w:r>
    </w:p>
    <w:p>
      <w:pPr>
        <w:pStyle w:val="Normal"/>
        <w:ind w:left="567" w:right="567" w:firstLine="0"/>
        <w:jc w:val="both"/>
        <w:rPr>
          <w:rFonts w:ascii="Book Antiqua" w:cs="Book Antiqua" w:hAnsi="Book Antiqua" w:eastAsia="Book Antiqua"/>
          <w:i w:val="1"/>
          <w:iCs w:val="1"/>
          <w:sz w:val="22"/>
          <w:szCs w:val="22"/>
          <w:u w:val="single"/>
        </w:rPr>
      </w:pPr>
    </w:p>
    <w:p>
      <w:pPr>
        <w:pStyle w:val="Normal"/>
        <w:ind w:left="567" w:right="567" w:firstLine="0"/>
        <w:jc w:val="both"/>
        <w:rPr>
          <w:rFonts w:ascii="Book Antiqua" w:cs="Book Antiqua" w:hAnsi="Book Antiqua" w:eastAsia="Book Antiqua"/>
          <w:i w:val="1"/>
          <w:iCs w:val="1"/>
          <w:sz w:val="22"/>
          <w:szCs w:val="22"/>
        </w:rPr>
      </w:pPr>
      <w:r>
        <w:rPr>
          <w:rFonts w:ascii="Book Antiqua"/>
          <w:i w:val="1"/>
          <w:iCs w:val="1"/>
          <w:sz w:val="22"/>
          <w:szCs w:val="22"/>
          <w:u w:val="single"/>
          <w:rtl w:val="0"/>
          <w:lang w:val="it-IT"/>
        </w:rPr>
        <w:t>Periodo</w:t>
      </w:r>
      <w:r>
        <w:rPr>
          <w:rFonts w:ascii="Book Antiqua"/>
          <w:i w:val="1"/>
          <w:iCs w:val="1"/>
          <w:sz w:val="22"/>
          <w:szCs w:val="22"/>
          <w:rtl w:val="0"/>
          <w:lang w:val="it-IT"/>
        </w:rPr>
        <w:t>: dal 3 dicembre 2008 al 21 ottobre 2009</w:t>
      </w:r>
    </w:p>
    <w:p>
      <w:pPr>
        <w:pStyle w:val="Normal"/>
        <w:ind w:left="567" w:right="567" w:firstLine="0"/>
        <w:jc w:val="both"/>
        <w:rPr>
          <w:rFonts w:ascii="Book Antiqua" w:cs="Book Antiqua" w:hAnsi="Book Antiqua" w:eastAsia="Book Antiqua"/>
          <w:sz w:val="22"/>
          <w:szCs w:val="22"/>
        </w:rPr>
      </w:pPr>
      <w:r>
        <w:rPr>
          <w:rFonts w:ascii="Book Antiqua"/>
          <w:sz w:val="22"/>
          <w:szCs w:val="22"/>
          <w:u w:val="single"/>
          <w:rtl w:val="0"/>
          <w:lang w:val="it-IT"/>
        </w:rPr>
        <w:t>Organo amministrativo</w:t>
      </w:r>
      <w:r>
        <w:rPr>
          <w:rFonts w:ascii="Book Antiqua"/>
          <w:sz w:val="22"/>
          <w:szCs w:val="22"/>
          <w:rtl w:val="0"/>
          <w:lang w:val="it-IT"/>
        </w:rPr>
        <w:t>: Consiglio di amministrazione, nominato con atto del 03/12/2008</w:t>
      </w:r>
    </w:p>
    <w:p>
      <w:pPr>
        <w:pStyle w:val="Normal"/>
        <w:ind w:left="567" w:right="567" w:firstLine="0"/>
        <w:jc w:val="both"/>
        <w:rPr>
          <w:rFonts w:ascii="Book Antiqua" w:cs="Book Antiqua" w:hAnsi="Book Antiqua" w:eastAsia="Book Antiqua"/>
          <w:sz w:val="22"/>
          <w:szCs w:val="22"/>
        </w:rPr>
      </w:pPr>
      <w:r>
        <w:rPr>
          <w:rFonts w:ascii="Book Antiqua"/>
          <w:sz w:val="22"/>
          <w:szCs w:val="22"/>
          <w:u w:val="single"/>
          <w:rtl w:val="0"/>
          <w:lang w:val="it-IT"/>
        </w:rPr>
        <w:t>Componenti</w:t>
      </w:r>
      <w:r>
        <w:rPr>
          <w:rFonts w:ascii="Book Antiqua"/>
          <w:sz w:val="22"/>
          <w:szCs w:val="22"/>
          <w:rtl w:val="0"/>
          <w:lang w:val="it-IT"/>
        </w:rPr>
        <w:t>: CLARKE Marco Daniele</w:t>
      </w:r>
      <w:r>
        <w:rPr>
          <w:rFonts w:ascii="Book Antiqua" w:cs="Book Antiqua" w:hAnsi="Book Antiqua" w:eastAsia="Book Antiqua"/>
          <w:sz w:val="22"/>
          <w:szCs w:val="22"/>
          <w:vertAlign w:val="superscript"/>
          <w:rtl w:val="0"/>
        </w:rPr>
        <w:footnoteReference w:id="81"/>
      </w:r>
      <w:r>
        <w:rPr>
          <w:rFonts w:ascii="Book Antiqua"/>
          <w:sz w:val="22"/>
          <w:szCs w:val="22"/>
          <w:rtl w:val="0"/>
          <w:lang w:val="it-IT"/>
        </w:rPr>
        <w:t>,  presidente; PANZIRONI Franco</w:t>
      </w:r>
      <w:r>
        <w:rPr>
          <w:rFonts w:ascii="Book Antiqua" w:cs="Book Antiqua" w:hAnsi="Book Antiqua" w:eastAsia="Book Antiqua"/>
          <w:sz w:val="22"/>
          <w:szCs w:val="22"/>
          <w:vertAlign w:val="superscript"/>
          <w:rtl w:val="0"/>
        </w:rPr>
        <w:footnoteReference w:id="82"/>
      </w:r>
      <w:r>
        <w:rPr>
          <w:rFonts w:ascii="Book Antiqua"/>
          <w:sz w:val="22"/>
          <w:szCs w:val="22"/>
          <w:rtl w:val="0"/>
          <w:lang w:val="it-IT"/>
        </w:rPr>
        <w:t>, consigliere e amministratore delegato; ROSELLI Vincenzo, consigliere; CANGEMI Giuseppe Emanuele</w:t>
      </w:r>
      <w:r>
        <w:rPr>
          <w:rFonts w:ascii="Book Antiqua" w:cs="Book Antiqua" w:hAnsi="Book Antiqua" w:eastAsia="Book Antiqua"/>
          <w:sz w:val="22"/>
          <w:szCs w:val="22"/>
          <w:vertAlign w:val="superscript"/>
          <w:rtl w:val="0"/>
        </w:rPr>
        <w:footnoteReference w:id="83"/>
      </w:r>
      <w:r>
        <w:rPr>
          <w:rFonts w:ascii="Book Antiqua"/>
          <w:sz w:val="22"/>
          <w:szCs w:val="22"/>
          <w:rtl w:val="0"/>
          <w:lang w:val="it-IT"/>
        </w:rPr>
        <w:t>, consigliere; BALIA Massimo</w:t>
      </w:r>
      <w:r>
        <w:rPr>
          <w:rFonts w:ascii="Book Antiqua" w:cs="Book Antiqua" w:hAnsi="Book Antiqua" w:eastAsia="Book Antiqua"/>
          <w:sz w:val="22"/>
          <w:szCs w:val="22"/>
          <w:vertAlign w:val="superscript"/>
          <w:rtl w:val="0"/>
        </w:rPr>
        <w:footnoteReference w:id="84"/>
      </w:r>
      <w:r>
        <w:rPr>
          <w:rFonts w:ascii="Book Antiqua"/>
          <w:sz w:val="22"/>
          <w:szCs w:val="22"/>
          <w:rtl w:val="0"/>
          <w:lang w:val="it-IT"/>
        </w:rPr>
        <w:t>, consigliere.</w:t>
      </w:r>
    </w:p>
    <w:p>
      <w:pPr>
        <w:pStyle w:val="Normal"/>
        <w:ind w:left="567" w:right="567" w:firstLine="0"/>
        <w:jc w:val="both"/>
        <w:rPr>
          <w:rFonts w:ascii="Book Antiqua" w:cs="Book Antiqua" w:hAnsi="Book Antiqua" w:eastAsia="Book Antiqua"/>
          <w:i w:val="1"/>
          <w:iCs w:val="1"/>
          <w:sz w:val="22"/>
          <w:szCs w:val="22"/>
          <w:u w:val="single"/>
        </w:rPr>
      </w:pPr>
    </w:p>
    <w:p>
      <w:pPr>
        <w:pStyle w:val="Normal"/>
        <w:ind w:left="567" w:right="567" w:firstLine="0"/>
        <w:jc w:val="both"/>
        <w:rPr>
          <w:rFonts w:ascii="Book Antiqua" w:cs="Book Antiqua" w:hAnsi="Book Antiqua" w:eastAsia="Book Antiqua"/>
          <w:i w:val="1"/>
          <w:iCs w:val="1"/>
          <w:sz w:val="22"/>
          <w:szCs w:val="22"/>
        </w:rPr>
      </w:pPr>
      <w:r>
        <w:rPr>
          <w:rFonts w:ascii="Book Antiqua"/>
          <w:i w:val="1"/>
          <w:iCs w:val="1"/>
          <w:sz w:val="22"/>
          <w:szCs w:val="22"/>
          <w:u w:val="single"/>
          <w:rtl w:val="0"/>
          <w:lang w:val="it-IT"/>
        </w:rPr>
        <w:t>Periodo</w:t>
      </w:r>
      <w:r>
        <w:rPr>
          <w:rFonts w:ascii="Book Antiqua"/>
          <w:i w:val="1"/>
          <w:iCs w:val="1"/>
          <w:sz w:val="22"/>
          <w:szCs w:val="22"/>
          <w:rtl w:val="0"/>
          <w:lang w:val="it-IT"/>
        </w:rPr>
        <w:t>: dal 9 agosto 2011 al 20 settembre 2012</w:t>
      </w:r>
    </w:p>
    <w:p>
      <w:pPr>
        <w:pStyle w:val="Normal"/>
        <w:ind w:left="567" w:right="567" w:firstLine="0"/>
        <w:jc w:val="both"/>
        <w:rPr>
          <w:rFonts w:ascii="Book Antiqua" w:cs="Book Antiqua" w:hAnsi="Book Antiqua" w:eastAsia="Book Antiqua"/>
          <w:sz w:val="22"/>
          <w:szCs w:val="22"/>
        </w:rPr>
      </w:pPr>
      <w:r>
        <w:rPr>
          <w:rFonts w:ascii="Book Antiqua"/>
          <w:sz w:val="22"/>
          <w:szCs w:val="22"/>
          <w:u w:val="single"/>
          <w:rtl w:val="0"/>
          <w:lang w:val="it-IT"/>
        </w:rPr>
        <w:t>Organo amministrativo</w:t>
      </w:r>
      <w:r>
        <w:rPr>
          <w:rFonts w:ascii="Book Antiqua"/>
          <w:sz w:val="22"/>
          <w:szCs w:val="22"/>
          <w:rtl w:val="0"/>
          <w:lang w:val="it-IT"/>
        </w:rPr>
        <w:t>: Consiglio di amministrazione, nominato con atto del 09/08/2011</w:t>
      </w:r>
    </w:p>
    <w:p>
      <w:pPr>
        <w:pStyle w:val="Normal"/>
        <w:ind w:left="567" w:right="567" w:firstLine="0"/>
        <w:jc w:val="both"/>
        <w:rPr>
          <w:rFonts w:ascii="Book Antiqua" w:cs="Book Antiqua" w:hAnsi="Book Antiqua" w:eastAsia="Book Antiqua"/>
          <w:sz w:val="22"/>
          <w:szCs w:val="22"/>
        </w:rPr>
      </w:pPr>
      <w:r>
        <w:rPr>
          <w:rFonts w:ascii="Book Antiqua"/>
          <w:sz w:val="22"/>
          <w:szCs w:val="22"/>
          <w:u w:val="single"/>
          <w:rtl w:val="0"/>
          <w:lang w:val="it-IT"/>
        </w:rPr>
        <w:t>Componenti</w:t>
      </w:r>
      <w:r>
        <w:rPr>
          <w:rFonts w:ascii="Book Antiqua"/>
          <w:sz w:val="22"/>
          <w:szCs w:val="22"/>
          <w:rtl w:val="0"/>
          <w:lang w:val="it-IT"/>
        </w:rPr>
        <w:t>: BENVENUTI Piergiorgio</w:t>
      </w:r>
      <w:r>
        <w:rPr>
          <w:rFonts w:ascii="Book Antiqua" w:cs="Book Antiqua" w:hAnsi="Book Antiqua" w:eastAsia="Book Antiqua"/>
          <w:sz w:val="22"/>
          <w:szCs w:val="22"/>
          <w:vertAlign w:val="superscript"/>
          <w:rtl w:val="0"/>
        </w:rPr>
        <w:footnoteReference w:id="85"/>
      </w:r>
      <w:r>
        <w:rPr>
          <w:rFonts w:ascii="Book Antiqua"/>
          <w:sz w:val="22"/>
          <w:szCs w:val="22"/>
          <w:rtl w:val="0"/>
          <w:lang w:val="it-IT"/>
        </w:rPr>
        <w:t>, presidente; CAPPELLO Salvatore</w:t>
      </w:r>
      <w:r>
        <w:rPr>
          <w:rFonts w:ascii="Book Antiqua" w:cs="Book Antiqua" w:hAnsi="Book Antiqua" w:eastAsia="Book Antiqua"/>
          <w:sz w:val="22"/>
          <w:szCs w:val="22"/>
          <w:vertAlign w:val="superscript"/>
          <w:rtl w:val="0"/>
        </w:rPr>
        <w:footnoteReference w:id="86"/>
      </w:r>
      <w:r>
        <w:rPr>
          <w:rFonts w:ascii="Book Antiqua"/>
          <w:sz w:val="22"/>
          <w:szCs w:val="22"/>
          <w:rtl w:val="0"/>
          <w:lang w:val="it-IT"/>
        </w:rPr>
        <w:t>, amministratore delegato; ANELLI Giovanna Giuseppina</w:t>
      </w:r>
      <w:r>
        <w:rPr>
          <w:rFonts w:ascii="Book Antiqua" w:cs="Book Antiqua" w:hAnsi="Book Antiqua" w:eastAsia="Book Antiqua"/>
          <w:sz w:val="22"/>
          <w:szCs w:val="22"/>
          <w:vertAlign w:val="superscript"/>
          <w:rtl w:val="0"/>
        </w:rPr>
        <w:footnoteReference w:id="87"/>
      </w:r>
      <w:r>
        <w:rPr>
          <w:rFonts w:ascii="Book Antiqua"/>
          <w:sz w:val="22"/>
          <w:szCs w:val="22"/>
          <w:rtl w:val="0"/>
          <w:lang w:val="it-IT"/>
        </w:rPr>
        <w:t>, procuratore speciale; FISCON Giovanni</w:t>
      </w:r>
      <w:r>
        <w:rPr>
          <w:rFonts w:ascii="Book Antiqua" w:cs="Book Antiqua" w:hAnsi="Book Antiqua" w:eastAsia="Book Antiqua"/>
          <w:sz w:val="22"/>
          <w:szCs w:val="22"/>
          <w:vertAlign w:val="superscript"/>
          <w:rtl w:val="0"/>
        </w:rPr>
        <w:footnoteReference w:id="88"/>
      </w:r>
      <w:r>
        <w:rPr>
          <w:rFonts w:ascii="Book Antiqua"/>
          <w:sz w:val="22"/>
          <w:szCs w:val="22"/>
          <w:rtl w:val="0"/>
          <w:lang w:val="it-IT"/>
        </w:rPr>
        <w:t>, procuratore speciale; FASOLI Teresa</w:t>
      </w:r>
      <w:r>
        <w:rPr>
          <w:rFonts w:ascii="Book Antiqua" w:cs="Book Antiqua" w:hAnsi="Book Antiqua" w:eastAsia="Book Antiqua"/>
          <w:sz w:val="22"/>
          <w:szCs w:val="22"/>
          <w:vertAlign w:val="superscript"/>
          <w:rtl w:val="0"/>
        </w:rPr>
        <w:footnoteReference w:id="89"/>
      </w:r>
      <w:r>
        <w:rPr>
          <w:rFonts w:ascii="Book Antiqua"/>
          <w:sz w:val="22"/>
          <w:szCs w:val="22"/>
          <w:rtl w:val="0"/>
          <w:lang w:val="it-IT"/>
        </w:rPr>
        <w:t>, consigliere; NARDI Gianmario</w:t>
      </w:r>
      <w:r>
        <w:rPr>
          <w:rFonts w:ascii="Book Antiqua" w:cs="Book Antiqua" w:hAnsi="Book Antiqua" w:eastAsia="Book Antiqua"/>
          <w:sz w:val="22"/>
          <w:szCs w:val="22"/>
          <w:vertAlign w:val="superscript"/>
          <w:rtl w:val="0"/>
        </w:rPr>
        <w:footnoteReference w:id="90"/>
      </w:r>
      <w:r>
        <w:rPr>
          <w:rFonts w:ascii="Book Antiqua"/>
          <w:sz w:val="22"/>
          <w:szCs w:val="22"/>
          <w:rtl w:val="0"/>
          <w:lang w:val="it-IT"/>
        </w:rPr>
        <w:t>, consigliere; BORRIELLO Raffaele</w:t>
      </w:r>
      <w:r>
        <w:rPr>
          <w:rFonts w:ascii="Book Antiqua" w:cs="Book Antiqua" w:hAnsi="Book Antiqua" w:eastAsia="Book Antiqua"/>
          <w:sz w:val="22"/>
          <w:szCs w:val="22"/>
          <w:vertAlign w:val="superscript"/>
          <w:rtl w:val="0"/>
        </w:rPr>
        <w:footnoteReference w:id="91"/>
      </w:r>
      <w:r>
        <w:rPr>
          <w:rFonts w:ascii="Book Antiqua"/>
          <w:sz w:val="22"/>
          <w:szCs w:val="22"/>
          <w:rtl w:val="0"/>
          <w:lang w:val="it-IT"/>
        </w:rPr>
        <w:t>, consigliere; COMMINI Stefano</w:t>
      </w:r>
      <w:r>
        <w:rPr>
          <w:rFonts w:ascii="Book Antiqua" w:cs="Book Antiqua" w:hAnsi="Book Antiqua" w:eastAsia="Book Antiqua"/>
          <w:sz w:val="22"/>
          <w:szCs w:val="22"/>
          <w:vertAlign w:val="superscript"/>
          <w:rtl w:val="0"/>
        </w:rPr>
        <w:footnoteReference w:id="92"/>
      </w:r>
      <w:r>
        <w:rPr>
          <w:rFonts w:ascii="Book Antiqua"/>
          <w:sz w:val="22"/>
          <w:szCs w:val="22"/>
          <w:rtl w:val="0"/>
          <w:lang w:val="it-IT"/>
        </w:rPr>
        <w:t xml:space="preserve">, consigliere; </w:t>
      </w:r>
    </w:p>
    <w:p>
      <w:pPr>
        <w:pStyle w:val="Normal"/>
        <w:ind w:left="567" w:right="567" w:firstLine="0"/>
        <w:jc w:val="both"/>
        <w:rPr>
          <w:rFonts w:ascii="Book Antiqua" w:cs="Book Antiqua" w:hAnsi="Book Antiqua" w:eastAsia="Book Antiqua"/>
          <w:i w:val="1"/>
          <w:iCs w:val="1"/>
          <w:sz w:val="22"/>
          <w:szCs w:val="22"/>
          <w:u w:val="single"/>
        </w:rPr>
      </w:pPr>
    </w:p>
    <w:p>
      <w:pPr>
        <w:pStyle w:val="Normal"/>
        <w:ind w:left="567" w:right="567" w:firstLine="0"/>
        <w:jc w:val="both"/>
        <w:rPr>
          <w:rFonts w:ascii="Book Antiqua" w:cs="Book Antiqua" w:hAnsi="Book Antiqua" w:eastAsia="Book Antiqua"/>
          <w:i w:val="1"/>
          <w:iCs w:val="1"/>
          <w:sz w:val="22"/>
          <w:szCs w:val="22"/>
        </w:rPr>
      </w:pPr>
      <w:r>
        <w:rPr>
          <w:rFonts w:ascii="Book Antiqua"/>
          <w:i w:val="1"/>
          <w:iCs w:val="1"/>
          <w:sz w:val="22"/>
          <w:szCs w:val="22"/>
          <w:u w:val="single"/>
          <w:rtl w:val="0"/>
          <w:lang w:val="it-IT"/>
        </w:rPr>
        <w:t>Periodo</w:t>
      </w:r>
      <w:r>
        <w:rPr>
          <w:rFonts w:ascii="Book Antiqua"/>
          <w:i w:val="1"/>
          <w:iCs w:val="1"/>
          <w:sz w:val="22"/>
          <w:szCs w:val="22"/>
          <w:rtl w:val="0"/>
          <w:lang w:val="it-IT"/>
        </w:rPr>
        <w:t>: dal 27 gennaio 2014 al 4 agosto 2016</w:t>
      </w:r>
    </w:p>
    <w:p>
      <w:pPr>
        <w:pStyle w:val="Normal"/>
        <w:ind w:left="567" w:right="567" w:firstLine="0"/>
        <w:jc w:val="both"/>
        <w:rPr>
          <w:rFonts w:ascii="Book Antiqua" w:cs="Book Antiqua" w:hAnsi="Book Antiqua" w:eastAsia="Book Antiqua"/>
          <w:sz w:val="22"/>
          <w:szCs w:val="22"/>
        </w:rPr>
      </w:pPr>
      <w:r>
        <w:rPr>
          <w:rFonts w:ascii="Book Antiqua"/>
          <w:sz w:val="22"/>
          <w:szCs w:val="22"/>
          <w:u w:val="single"/>
          <w:rtl w:val="0"/>
          <w:lang w:val="it-IT"/>
        </w:rPr>
        <w:t>Organo amministrativo</w:t>
      </w:r>
      <w:r>
        <w:rPr>
          <w:rFonts w:ascii="Book Antiqua"/>
          <w:sz w:val="22"/>
          <w:szCs w:val="22"/>
          <w:rtl w:val="0"/>
          <w:lang w:val="it-IT"/>
        </w:rPr>
        <w:t>: Consiglio di amministrazione, nominato con atto del 27/01/2014</w:t>
      </w:r>
    </w:p>
    <w:p>
      <w:pPr>
        <w:pStyle w:val="Normal"/>
        <w:ind w:left="567" w:right="567" w:firstLine="0"/>
        <w:jc w:val="both"/>
        <w:rPr>
          <w:rFonts w:ascii="Book Antiqua" w:cs="Book Antiqua" w:hAnsi="Book Antiqua" w:eastAsia="Book Antiqua"/>
          <w:sz w:val="22"/>
          <w:szCs w:val="22"/>
        </w:rPr>
      </w:pPr>
      <w:r>
        <w:rPr>
          <w:rFonts w:ascii="Book Antiqua"/>
          <w:sz w:val="22"/>
          <w:szCs w:val="22"/>
          <w:u w:val="single"/>
          <w:rtl w:val="0"/>
          <w:lang w:val="it-IT"/>
        </w:rPr>
        <w:t>Componenti</w:t>
      </w:r>
      <w:r>
        <w:rPr>
          <w:rFonts w:ascii="Book Antiqua"/>
          <w:sz w:val="22"/>
          <w:szCs w:val="22"/>
          <w:rtl w:val="0"/>
          <w:lang w:val="it-IT"/>
        </w:rPr>
        <w:t>: FORTINI Daniele</w:t>
      </w:r>
      <w:r>
        <w:rPr>
          <w:rFonts w:ascii="Book Antiqua" w:cs="Book Antiqua" w:hAnsi="Book Antiqua" w:eastAsia="Book Antiqua"/>
          <w:sz w:val="22"/>
          <w:szCs w:val="22"/>
          <w:vertAlign w:val="superscript"/>
          <w:rtl w:val="0"/>
        </w:rPr>
        <w:footnoteReference w:id="93"/>
      </w:r>
      <w:r>
        <w:rPr>
          <w:rFonts w:ascii="Book Antiqua"/>
          <w:sz w:val="22"/>
          <w:szCs w:val="22"/>
          <w:rtl w:val="0"/>
          <w:lang w:val="it-IT"/>
        </w:rPr>
        <w:t>, presidente ed amministratore delegato; CIRILLO Carolina</w:t>
      </w:r>
      <w:r>
        <w:rPr>
          <w:rFonts w:ascii="Book Antiqua" w:cs="Book Antiqua" w:hAnsi="Book Antiqua" w:eastAsia="Book Antiqua"/>
          <w:sz w:val="22"/>
          <w:szCs w:val="22"/>
          <w:vertAlign w:val="superscript"/>
          <w:rtl w:val="0"/>
        </w:rPr>
        <w:footnoteReference w:id="94"/>
      </w:r>
      <w:r>
        <w:rPr>
          <w:rFonts w:ascii="Book Antiqua"/>
          <w:sz w:val="22"/>
          <w:szCs w:val="22"/>
          <w:rtl w:val="0"/>
          <w:lang w:val="it-IT"/>
        </w:rPr>
        <w:t>, consigliere; MURRA Rodolfo</w:t>
      </w:r>
      <w:r>
        <w:rPr>
          <w:rFonts w:ascii="Book Antiqua" w:cs="Book Antiqua" w:hAnsi="Book Antiqua" w:eastAsia="Book Antiqua"/>
          <w:sz w:val="22"/>
          <w:szCs w:val="22"/>
          <w:vertAlign w:val="superscript"/>
          <w:rtl w:val="0"/>
        </w:rPr>
        <w:footnoteReference w:id="95"/>
      </w:r>
      <w:r>
        <w:rPr>
          <w:rFonts w:ascii="Book Antiqua"/>
          <w:sz w:val="22"/>
          <w:szCs w:val="22"/>
          <w:rtl w:val="0"/>
          <w:lang w:val="it-IT"/>
        </w:rPr>
        <w:t>, consigliere.</w:t>
      </w:r>
    </w:p>
    <w:p>
      <w:pPr>
        <w:pStyle w:val="Normal"/>
        <w:ind w:left="567" w:right="567" w:firstLine="0"/>
        <w:jc w:val="both"/>
        <w:rPr>
          <w:rFonts w:ascii="Book Antiqua" w:cs="Book Antiqua" w:hAnsi="Book Antiqua" w:eastAsia="Book Antiqua"/>
          <w:i w:val="1"/>
          <w:iCs w:val="1"/>
          <w:sz w:val="22"/>
          <w:szCs w:val="22"/>
          <w:u w:val="single"/>
        </w:rPr>
      </w:pPr>
    </w:p>
    <w:p>
      <w:pPr>
        <w:pStyle w:val="Normal"/>
        <w:ind w:left="567" w:right="567" w:firstLine="0"/>
        <w:jc w:val="both"/>
        <w:rPr>
          <w:rFonts w:ascii="Book Antiqua" w:cs="Book Antiqua" w:hAnsi="Book Antiqua" w:eastAsia="Book Antiqua"/>
          <w:i w:val="1"/>
          <w:iCs w:val="1"/>
          <w:sz w:val="22"/>
          <w:szCs w:val="22"/>
        </w:rPr>
      </w:pPr>
      <w:r>
        <w:rPr>
          <w:rFonts w:ascii="Book Antiqua"/>
          <w:i w:val="1"/>
          <w:iCs w:val="1"/>
          <w:sz w:val="22"/>
          <w:szCs w:val="22"/>
          <w:u w:val="single"/>
          <w:rtl w:val="0"/>
          <w:lang w:val="it-IT"/>
        </w:rPr>
        <w:t>Periodo</w:t>
      </w:r>
      <w:r>
        <w:rPr>
          <w:rFonts w:ascii="Book Antiqua"/>
          <w:i w:val="1"/>
          <w:iCs w:val="1"/>
          <w:sz w:val="22"/>
          <w:szCs w:val="22"/>
          <w:rtl w:val="0"/>
          <w:lang w:val="it-IT"/>
        </w:rPr>
        <w:t>: dal 4 agosto 2016 al 16 novembre 2016</w:t>
      </w:r>
    </w:p>
    <w:p>
      <w:pPr>
        <w:pStyle w:val="Normal"/>
        <w:ind w:left="567" w:right="567" w:firstLine="0"/>
        <w:jc w:val="both"/>
        <w:rPr>
          <w:rFonts w:ascii="Book Antiqua" w:cs="Book Antiqua" w:hAnsi="Book Antiqua" w:eastAsia="Book Antiqua"/>
          <w:sz w:val="22"/>
          <w:szCs w:val="22"/>
        </w:rPr>
      </w:pPr>
      <w:r>
        <w:rPr>
          <w:rFonts w:ascii="Book Antiqua"/>
          <w:sz w:val="22"/>
          <w:szCs w:val="22"/>
          <w:u w:val="single"/>
          <w:rtl w:val="0"/>
          <w:lang w:val="it-IT"/>
        </w:rPr>
        <w:t>Organo amministrativo</w:t>
      </w:r>
      <w:r>
        <w:rPr>
          <w:rFonts w:ascii="Book Antiqua"/>
          <w:sz w:val="22"/>
          <w:szCs w:val="22"/>
          <w:rtl w:val="0"/>
          <w:lang w:val="it-IT"/>
        </w:rPr>
        <w:t>: Amministratore unico</w:t>
      </w:r>
    </w:p>
    <w:p>
      <w:pPr>
        <w:pStyle w:val="Normal"/>
        <w:ind w:left="567" w:right="567" w:firstLine="0"/>
        <w:jc w:val="both"/>
        <w:rPr>
          <w:rFonts w:ascii="Book Antiqua" w:cs="Book Antiqua" w:hAnsi="Book Antiqua" w:eastAsia="Book Antiqua"/>
          <w:sz w:val="22"/>
          <w:szCs w:val="22"/>
        </w:rPr>
      </w:pPr>
      <w:r>
        <w:rPr>
          <w:rFonts w:ascii="Book Antiqua"/>
          <w:sz w:val="22"/>
          <w:szCs w:val="22"/>
          <w:u w:val="single"/>
          <w:rtl w:val="0"/>
          <w:lang w:val="it-IT"/>
        </w:rPr>
        <w:t>Componenti</w:t>
      </w:r>
      <w:r>
        <w:rPr>
          <w:rFonts w:ascii="Book Antiqua"/>
          <w:sz w:val="22"/>
          <w:szCs w:val="22"/>
          <w:rtl w:val="0"/>
          <w:lang w:val="it-IT"/>
        </w:rPr>
        <w:t>: SOLIDORO Alessandro Angelo</w:t>
      </w:r>
      <w:r>
        <w:rPr>
          <w:rFonts w:ascii="Book Antiqua" w:cs="Book Antiqua" w:hAnsi="Book Antiqua" w:eastAsia="Book Antiqua"/>
          <w:sz w:val="22"/>
          <w:szCs w:val="22"/>
          <w:vertAlign w:val="superscript"/>
          <w:rtl w:val="0"/>
        </w:rPr>
        <w:footnoteReference w:id="96"/>
      </w:r>
    </w:p>
    <w:p>
      <w:pPr>
        <w:pStyle w:val="Normal"/>
        <w:ind w:left="567" w:right="567" w:firstLine="0"/>
        <w:jc w:val="both"/>
        <w:rPr>
          <w:rFonts w:ascii="Book Antiqua" w:cs="Book Antiqua" w:hAnsi="Book Antiqua" w:eastAsia="Book Antiqua"/>
          <w:i w:val="1"/>
          <w:iCs w:val="1"/>
          <w:sz w:val="22"/>
          <w:szCs w:val="22"/>
          <w:u w:val="single"/>
        </w:rPr>
      </w:pPr>
    </w:p>
    <w:p>
      <w:pPr>
        <w:pStyle w:val="Normal"/>
        <w:ind w:left="567" w:right="567" w:firstLine="0"/>
        <w:jc w:val="both"/>
        <w:rPr>
          <w:rFonts w:ascii="Book Antiqua" w:cs="Book Antiqua" w:hAnsi="Book Antiqua" w:eastAsia="Book Antiqua"/>
          <w:i w:val="1"/>
          <w:iCs w:val="1"/>
          <w:sz w:val="22"/>
          <w:szCs w:val="22"/>
        </w:rPr>
      </w:pPr>
      <w:r>
        <w:rPr>
          <w:rFonts w:ascii="Book Antiqua"/>
          <w:i w:val="1"/>
          <w:iCs w:val="1"/>
          <w:sz w:val="22"/>
          <w:szCs w:val="22"/>
          <w:u w:val="single"/>
          <w:rtl w:val="0"/>
          <w:lang w:val="it-IT"/>
        </w:rPr>
        <w:t>Periodo</w:t>
      </w:r>
      <w:r>
        <w:rPr>
          <w:rFonts w:ascii="Book Antiqua"/>
          <w:i w:val="1"/>
          <w:iCs w:val="1"/>
          <w:sz w:val="22"/>
          <w:szCs w:val="22"/>
          <w:rtl w:val="0"/>
          <w:lang w:val="it-IT"/>
        </w:rPr>
        <w:t>: dal 16 novembre 2016 al 15 maggio 2017</w:t>
      </w:r>
    </w:p>
    <w:p>
      <w:pPr>
        <w:pStyle w:val="Normal"/>
        <w:ind w:left="567" w:right="567" w:firstLine="0"/>
        <w:jc w:val="both"/>
        <w:rPr>
          <w:rFonts w:ascii="Book Antiqua" w:cs="Book Antiqua" w:hAnsi="Book Antiqua" w:eastAsia="Book Antiqua"/>
          <w:sz w:val="22"/>
          <w:szCs w:val="22"/>
        </w:rPr>
      </w:pPr>
      <w:r>
        <w:rPr>
          <w:rFonts w:ascii="Book Antiqua"/>
          <w:sz w:val="22"/>
          <w:szCs w:val="22"/>
          <w:u w:val="single"/>
          <w:rtl w:val="0"/>
          <w:lang w:val="it-IT"/>
        </w:rPr>
        <w:t>Organo amministrativo</w:t>
      </w:r>
      <w:r>
        <w:rPr>
          <w:rFonts w:ascii="Book Antiqua"/>
          <w:sz w:val="22"/>
          <w:szCs w:val="22"/>
          <w:rtl w:val="0"/>
          <w:lang w:val="it-IT"/>
        </w:rPr>
        <w:t>: Amministratore unico</w:t>
      </w:r>
    </w:p>
    <w:p>
      <w:pPr>
        <w:pStyle w:val="Normal"/>
        <w:ind w:left="567" w:right="567" w:firstLine="0"/>
        <w:jc w:val="both"/>
        <w:rPr>
          <w:rFonts w:ascii="Book Antiqua" w:cs="Book Antiqua" w:hAnsi="Book Antiqua" w:eastAsia="Book Antiqua"/>
          <w:sz w:val="22"/>
          <w:szCs w:val="22"/>
        </w:rPr>
      </w:pPr>
      <w:r>
        <w:rPr>
          <w:rFonts w:ascii="Book Antiqua"/>
          <w:sz w:val="22"/>
          <w:szCs w:val="22"/>
          <w:u w:val="single"/>
          <w:rtl w:val="0"/>
          <w:lang w:val="it-IT"/>
        </w:rPr>
        <w:t>Componenti</w:t>
      </w:r>
      <w:r>
        <w:rPr>
          <w:rFonts w:ascii="Book Antiqua"/>
          <w:sz w:val="22"/>
          <w:szCs w:val="22"/>
          <w:rtl w:val="0"/>
          <w:lang w:val="it-IT"/>
        </w:rPr>
        <w:t>: GIGLIO Antonella</w:t>
      </w:r>
      <w:r>
        <w:rPr>
          <w:rFonts w:ascii="Book Antiqua" w:cs="Book Antiqua" w:hAnsi="Book Antiqua" w:eastAsia="Book Antiqua"/>
          <w:sz w:val="22"/>
          <w:szCs w:val="22"/>
          <w:vertAlign w:val="superscript"/>
          <w:rtl w:val="0"/>
        </w:rPr>
        <w:footnoteReference w:id="97"/>
      </w:r>
    </w:p>
    <w:p>
      <w:pPr>
        <w:pStyle w:val="Normal"/>
        <w:ind w:left="567" w:right="567" w:firstLine="0"/>
        <w:jc w:val="both"/>
        <w:rPr>
          <w:rFonts w:ascii="Book Antiqua" w:cs="Book Antiqua" w:hAnsi="Book Antiqua" w:eastAsia="Book Antiqua"/>
          <w:sz w:val="22"/>
          <w:szCs w:val="22"/>
        </w:rPr>
      </w:pPr>
    </w:p>
    <w:p>
      <w:pPr>
        <w:pStyle w:val="Normal"/>
        <w:ind w:left="567" w:right="567" w:firstLine="0"/>
        <w:jc w:val="both"/>
        <w:rPr>
          <w:rFonts w:ascii="Book Antiqua" w:cs="Book Antiqua" w:hAnsi="Book Antiqua" w:eastAsia="Book Antiqua"/>
          <w:i w:val="1"/>
          <w:iCs w:val="1"/>
          <w:sz w:val="22"/>
          <w:szCs w:val="22"/>
        </w:rPr>
      </w:pPr>
      <w:r>
        <w:rPr>
          <w:rFonts w:ascii="Book Antiqua"/>
          <w:i w:val="1"/>
          <w:iCs w:val="1"/>
          <w:sz w:val="22"/>
          <w:szCs w:val="22"/>
          <w:u w:val="single"/>
          <w:rtl w:val="0"/>
          <w:lang w:val="it-IT"/>
        </w:rPr>
        <w:t>Periodo</w:t>
      </w:r>
      <w:r>
        <w:rPr>
          <w:rFonts w:ascii="Book Antiqua"/>
          <w:i w:val="1"/>
          <w:iCs w:val="1"/>
          <w:sz w:val="22"/>
          <w:szCs w:val="22"/>
          <w:rtl w:val="0"/>
          <w:lang w:val="it-IT"/>
        </w:rPr>
        <w:t xml:space="preserve">: dal 15 maggio 2017 </w:t>
      </w:r>
    </w:p>
    <w:p>
      <w:pPr>
        <w:pStyle w:val="Normal"/>
        <w:ind w:left="567" w:right="567" w:firstLine="0"/>
        <w:jc w:val="both"/>
        <w:rPr>
          <w:rFonts w:ascii="Book Antiqua" w:cs="Book Antiqua" w:hAnsi="Book Antiqua" w:eastAsia="Book Antiqua"/>
          <w:sz w:val="22"/>
          <w:szCs w:val="22"/>
        </w:rPr>
      </w:pPr>
      <w:r>
        <w:rPr>
          <w:rFonts w:ascii="Book Antiqua"/>
          <w:sz w:val="22"/>
          <w:szCs w:val="22"/>
          <w:u w:val="single"/>
          <w:rtl w:val="0"/>
          <w:lang w:val="it-IT"/>
        </w:rPr>
        <w:t>Organo amministrativo</w:t>
      </w:r>
      <w:r>
        <w:rPr>
          <w:rFonts w:ascii="Book Antiqua"/>
          <w:sz w:val="22"/>
          <w:szCs w:val="22"/>
          <w:rtl w:val="0"/>
          <w:lang w:val="it-IT"/>
        </w:rPr>
        <w:t>: Consiglio di amministrazione, nominato con atto del 15/05/2017</w:t>
      </w:r>
    </w:p>
    <w:p>
      <w:pPr>
        <w:pStyle w:val="Normal"/>
        <w:ind w:left="567" w:right="567" w:firstLine="0"/>
        <w:jc w:val="both"/>
        <w:rPr>
          <w:rFonts w:ascii="Book Antiqua" w:cs="Book Antiqua" w:hAnsi="Book Antiqua" w:eastAsia="Book Antiqua"/>
          <w:sz w:val="22"/>
          <w:szCs w:val="22"/>
        </w:rPr>
      </w:pPr>
      <w:r>
        <w:rPr>
          <w:rFonts w:ascii="Book Antiqua"/>
          <w:sz w:val="22"/>
          <w:szCs w:val="22"/>
          <w:u w:val="single"/>
          <w:rtl w:val="0"/>
          <w:lang w:val="it-IT"/>
        </w:rPr>
        <w:t>Componenti</w:t>
      </w:r>
      <w:r>
        <w:rPr>
          <w:rFonts w:ascii="Book Antiqua"/>
          <w:sz w:val="22"/>
          <w:szCs w:val="22"/>
          <w:rtl w:val="0"/>
          <w:lang w:val="it-IT"/>
        </w:rPr>
        <w:t>: BAGNACANI Lorenzo</w:t>
      </w:r>
      <w:r>
        <w:rPr>
          <w:rFonts w:ascii="Book Antiqua" w:cs="Book Antiqua" w:hAnsi="Book Antiqua" w:eastAsia="Book Antiqua"/>
          <w:sz w:val="22"/>
          <w:szCs w:val="22"/>
          <w:vertAlign w:val="superscript"/>
          <w:rtl w:val="0"/>
        </w:rPr>
        <w:footnoteReference w:id="98"/>
      </w:r>
      <w:r>
        <w:rPr>
          <w:rFonts w:ascii="Book Antiqua"/>
          <w:sz w:val="22"/>
          <w:szCs w:val="22"/>
          <w:rtl w:val="0"/>
          <w:lang w:val="it-IT"/>
        </w:rPr>
        <w:t>,  presidente e amministratore delegato; PETTINAO Emanuela</w:t>
      </w:r>
      <w:r>
        <w:rPr>
          <w:rFonts w:ascii="Book Antiqua" w:cs="Book Antiqua" w:hAnsi="Book Antiqua" w:eastAsia="Book Antiqua"/>
          <w:sz w:val="22"/>
          <w:szCs w:val="22"/>
          <w:vertAlign w:val="superscript"/>
          <w:rtl w:val="0"/>
        </w:rPr>
        <w:footnoteReference w:id="99"/>
      </w:r>
      <w:r>
        <w:rPr>
          <w:rFonts w:ascii="Book Antiqua"/>
          <w:sz w:val="22"/>
          <w:szCs w:val="22"/>
          <w:rtl w:val="0"/>
          <w:lang w:val="it-IT"/>
        </w:rPr>
        <w:t>, consigliere; MASULLO Andrea</w:t>
      </w:r>
      <w:r>
        <w:rPr>
          <w:rFonts w:ascii="Book Antiqua" w:cs="Book Antiqua" w:hAnsi="Book Antiqua" w:eastAsia="Book Antiqua"/>
          <w:sz w:val="22"/>
          <w:szCs w:val="22"/>
          <w:vertAlign w:val="superscript"/>
          <w:rtl w:val="0"/>
        </w:rPr>
        <w:footnoteReference w:id="100"/>
      </w:r>
      <w:r>
        <w:rPr>
          <w:rFonts w:ascii="Book Antiqua"/>
          <w:sz w:val="22"/>
          <w:szCs w:val="22"/>
          <w:rtl w:val="0"/>
          <w:lang w:val="it-IT"/>
        </w:rPr>
        <w:t>, consigliere.</w:t>
      </w: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rPr>
      </w:pPr>
      <w:r>
        <w:rPr>
          <w:rFonts w:ascii="Book Antiqua"/>
          <w:rtl w:val="0"/>
          <w:lang w:val="it-IT"/>
        </w:rPr>
        <w:t>Nel periodo pi</w:t>
      </w:r>
      <w:r>
        <w:rPr>
          <w:rFonts w:hAnsi="Book Antiqua" w:hint="default"/>
          <w:rtl w:val="0"/>
          <w:lang w:val="it-IT"/>
        </w:rPr>
        <w:t xml:space="preserve">ù </w:t>
      </w:r>
      <w:r>
        <w:rPr>
          <w:rFonts w:ascii="Book Antiqua"/>
          <w:rtl w:val="0"/>
          <w:lang w:val="it-IT"/>
        </w:rPr>
        <w:t>recente il servizio di igiene urbana a Roma</w:t>
      </w:r>
      <w:r>
        <w:rPr>
          <w:rFonts w:ascii="Book Antiqua" w:cs="Book Antiqua" w:hAnsi="Book Antiqua" w:eastAsia="Book Antiqua"/>
          <w:vertAlign w:val="superscript"/>
          <w:rtl w:val="0"/>
        </w:rPr>
        <w:footnoteReference w:id="101"/>
      </w:r>
      <w:r>
        <w:rPr>
          <w:rFonts w:hAnsi="Book Antiqua" w:hint="default"/>
          <w:rtl w:val="0"/>
          <w:lang w:val="it-IT"/>
        </w:rPr>
        <w:t xml:space="preserve"> è </w:t>
      </w:r>
      <w:r>
        <w:rPr>
          <w:rFonts w:ascii="Book Antiqua"/>
          <w:rtl w:val="0"/>
          <w:lang w:val="it-IT"/>
        </w:rPr>
        <w:t>stato erogato per 15 anni da AMA S.p.A. di propriet</w:t>
      </w:r>
      <w:r>
        <w:rPr>
          <w:rFonts w:hAnsi="Book Antiqua" w:hint="default"/>
          <w:rtl w:val="0"/>
          <w:lang w:val="it-IT"/>
        </w:rPr>
        <w:t xml:space="preserve">à </w:t>
      </w:r>
      <w:r>
        <w:rPr>
          <w:rFonts w:ascii="Book Antiqua"/>
          <w:rtl w:val="0"/>
          <w:lang w:val="it-IT"/>
        </w:rPr>
        <w:t xml:space="preserve">di Roma Capitale; la gestione </w:t>
      </w:r>
      <w:r>
        <w:rPr>
          <w:rFonts w:hAnsi="Book Antiqua" w:hint="default"/>
          <w:rtl w:val="0"/>
          <w:lang w:val="it-IT"/>
        </w:rPr>
        <w:t xml:space="preserve">è </w:t>
      </w:r>
      <w:r>
        <w:rPr>
          <w:rFonts w:ascii="Book Antiqua"/>
          <w:rtl w:val="0"/>
          <w:lang w:val="it-IT"/>
        </w:rPr>
        <w:t>regolata mediante contratto di servizio.</w:t>
      </w:r>
    </w:p>
    <w:p>
      <w:pPr>
        <w:pStyle w:val="Normal"/>
        <w:ind w:left="567" w:right="567" w:firstLine="0"/>
        <w:jc w:val="both"/>
        <w:rPr>
          <w:rFonts w:ascii="Book Antiqua Bold" w:cs="Book Antiqua Bold" w:hAnsi="Book Antiqua Bold" w:eastAsia="Book Antiqua Bold"/>
          <w:b w:val="1"/>
          <w:bCs w:val="1"/>
        </w:rPr>
      </w:pPr>
      <w:r>
        <w:rPr>
          <w:rFonts w:ascii="Book Antiqua"/>
          <w:rtl w:val="0"/>
          <w:lang w:val="it-IT"/>
        </w:rPr>
        <w:t xml:space="preserve">Il contratto di servizio vigente, valido fino alla fine del 2018, </w:t>
      </w:r>
      <w:r>
        <w:rPr>
          <w:rFonts w:hAnsi="Book Antiqua" w:hint="default"/>
          <w:rtl w:val="0"/>
          <w:lang w:val="it-IT"/>
        </w:rPr>
        <w:t xml:space="preserve">è </w:t>
      </w:r>
      <w:r>
        <w:rPr>
          <w:rFonts w:ascii="Book Antiqua"/>
          <w:rtl w:val="0"/>
          <w:lang w:val="it-IT"/>
        </w:rPr>
        <w:t>stato approvato il 12 maggio 2016 con deliberazione 77/2016 del commissario straordinario con i poteri della Giunta Capitolina</w:t>
      </w:r>
      <w:r>
        <w:rPr>
          <w:rFonts w:ascii="Book Antiqua" w:cs="Book Antiqua" w:hAnsi="Book Antiqua" w:eastAsia="Book Antiqua"/>
          <w:vertAlign w:val="superscript"/>
          <w:rtl w:val="0"/>
        </w:rPr>
        <w:footnoteReference w:id="102"/>
      </w:r>
      <w:r>
        <w:rPr>
          <w:rFonts w:ascii="Book Antiqua"/>
          <w:rtl w:val="0"/>
          <w:lang w:val="it-IT"/>
        </w:rPr>
        <w:t>, andando a sostituire il precedente contratto 2003/2005 (DGC 33/2004) reiteratamente prorogato</w:t>
      </w:r>
      <w:r>
        <w:rPr>
          <w:rFonts w:ascii="Book Antiqua" w:cs="Book Antiqua" w:hAnsi="Book Antiqua" w:eastAsia="Book Antiqua"/>
          <w:vertAlign w:val="superscript"/>
          <w:rtl w:val="0"/>
        </w:rPr>
        <w:footnoteReference w:id="103"/>
      </w:r>
      <w:r>
        <w:rPr>
          <w:rFonts w:ascii="Book Antiqua"/>
          <w:rtl w:val="0"/>
          <w:lang w:val="it-IT"/>
        </w:rPr>
        <w:t xml:space="preserve">  fino al</w:t>
      </w:r>
      <w:r>
        <w:rPr>
          <w:rFonts w:hAnsi="Book Antiqua" w:hint="default"/>
          <w:rtl w:val="0"/>
          <w:lang w:val="it-IT"/>
        </w:rPr>
        <w:t> </w:t>
      </w:r>
      <w:r>
        <w:rPr>
          <w:rFonts w:ascii="Book Antiqua"/>
          <w:rtl w:val="0"/>
          <w:lang w:val="it-IT"/>
        </w:rPr>
        <w:t>31 marzo 2016.</w:t>
      </w:r>
    </w:p>
    <w:p>
      <w:pPr>
        <w:pStyle w:val="Normal"/>
        <w:ind w:left="567" w:right="567" w:firstLine="0"/>
        <w:jc w:val="both"/>
        <w:rPr>
          <w:rFonts w:ascii="Book Antiqua" w:cs="Book Antiqua" w:hAnsi="Book Antiqua" w:eastAsia="Book Antiqua"/>
        </w:rPr>
      </w:pPr>
      <w:r>
        <w:rPr>
          <w:rFonts w:ascii="Book Antiqua"/>
          <w:rtl w:val="0"/>
          <w:lang w:val="it-IT"/>
        </w:rPr>
        <w:t>L</w:t>
      </w:r>
      <w:r>
        <w:rPr>
          <w:rFonts w:hAnsi="Book Antiqua" w:hint="default"/>
          <w:rtl w:val="0"/>
          <w:lang w:val="it-IT"/>
        </w:rPr>
        <w:t>’</w:t>
      </w:r>
      <w:r>
        <w:rPr>
          <w:rFonts w:ascii="Book Antiqua"/>
          <w:rtl w:val="0"/>
          <w:lang w:val="it-IT"/>
        </w:rPr>
        <w:t xml:space="preserve">affidamento diretto ad AMA S.p.A., scaduto il 27 settembre 2015 </w:t>
      </w:r>
      <w:r>
        <w:rPr>
          <w:rFonts w:hAnsi="Book Antiqua" w:hint="default"/>
          <w:rtl w:val="0"/>
          <w:lang w:val="it-IT"/>
        </w:rPr>
        <w:t xml:space="preserve">– </w:t>
      </w:r>
      <w:r>
        <w:rPr>
          <w:rFonts w:ascii="Book Antiqua"/>
          <w:rtl w:val="0"/>
          <w:lang w:val="it-IT"/>
        </w:rPr>
        <w:t>in mancanza della costituzione nei termini degli organi di governo dell</w:t>
      </w:r>
      <w:r>
        <w:rPr>
          <w:rFonts w:hAnsi="Book Antiqua" w:hint="default"/>
          <w:rtl w:val="0"/>
          <w:lang w:val="it-IT"/>
        </w:rPr>
        <w:t>’</w:t>
      </w:r>
      <w:r>
        <w:rPr>
          <w:rFonts w:ascii="Book Antiqua"/>
          <w:rtl w:val="0"/>
          <w:lang w:val="it-IT"/>
        </w:rPr>
        <w:t xml:space="preserve">ATO di Roma (corrispondente al territorio provinciale) da parte prima della regione e poi del prefetto </w:t>
      </w:r>
      <w:r>
        <w:rPr>
          <w:rFonts w:hAnsi="Book Antiqua" w:hint="default"/>
          <w:rtl w:val="0"/>
          <w:lang w:val="it-IT"/>
        </w:rPr>
        <w:t xml:space="preserve">– è </w:t>
      </w:r>
      <w:r>
        <w:rPr>
          <w:rFonts w:ascii="Book Antiqua"/>
          <w:rtl w:val="0"/>
          <w:lang w:val="it-IT"/>
        </w:rPr>
        <w:t>stato riconfermato dall</w:t>
      </w:r>
      <w:r>
        <w:rPr>
          <w:rFonts w:hAnsi="Book Antiqua" w:hint="default"/>
          <w:rtl w:val="0"/>
          <w:lang w:val="it-IT"/>
        </w:rPr>
        <w:t>’</w:t>
      </w:r>
      <w:r>
        <w:rPr>
          <w:rFonts w:ascii="Book Antiqua"/>
          <w:rtl w:val="0"/>
          <w:lang w:val="it-IT"/>
        </w:rPr>
        <w:t>amministrazione Capitolina con DAC 52/2015 per altri 15 anni, in base a considerazioni sui vantaggi economici e programmatici della gestione pubblica (confortati da un parere dell</w:t>
      </w:r>
      <w:r>
        <w:rPr>
          <w:rFonts w:hAnsi="Book Antiqua" w:hint="default"/>
          <w:rtl w:val="0"/>
          <w:lang w:val="it-IT"/>
        </w:rPr>
        <w:t>’</w:t>
      </w:r>
      <w:r>
        <w:rPr>
          <w:rFonts w:ascii="Book Antiqua"/>
          <w:rtl w:val="0"/>
          <w:lang w:val="it-IT"/>
        </w:rPr>
        <w:t>organo di revisione, da una relazione aziendale e da una pianificazione economico-finanziaria per tutto l</w:t>
      </w:r>
      <w:r>
        <w:rPr>
          <w:rFonts w:hAnsi="Book Antiqua" w:hint="default"/>
          <w:rtl w:val="0"/>
          <w:lang w:val="it-IT"/>
        </w:rPr>
        <w:t>’</w:t>
      </w:r>
      <w:r>
        <w:rPr>
          <w:rFonts w:ascii="Book Antiqua"/>
          <w:rtl w:val="0"/>
          <w:lang w:val="it-IT"/>
        </w:rPr>
        <w:t>affidamento), in seguito all</w:t>
      </w:r>
      <w:r>
        <w:rPr>
          <w:rFonts w:hAnsi="Book Antiqua" w:hint="default"/>
          <w:rtl w:val="0"/>
          <w:lang w:val="it-IT"/>
        </w:rPr>
        <w:t>’</w:t>
      </w:r>
      <w:r>
        <w:rPr>
          <w:rFonts w:ascii="Book Antiqua"/>
          <w:rtl w:val="0"/>
          <w:lang w:val="it-IT"/>
        </w:rPr>
        <w:t>esame dei requisiti del controllo analogo e dell</w:t>
      </w:r>
      <w:r>
        <w:rPr>
          <w:rFonts w:hAnsi="Book Antiqua" w:hint="default"/>
          <w:rtl w:val="0"/>
          <w:lang w:val="it-IT"/>
        </w:rPr>
        <w:t>’</w:t>
      </w:r>
      <w:r>
        <w:rPr>
          <w:rFonts w:ascii="Book Antiqua"/>
          <w:rtl w:val="0"/>
          <w:lang w:val="it-IT"/>
        </w:rPr>
        <w:t>attivit</w:t>
      </w:r>
      <w:r>
        <w:rPr>
          <w:rFonts w:hAnsi="Book Antiqua" w:hint="default"/>
          <w:rtl w:val="0"/>
          <w:lang w:val="it-IT"/>
        </w:rPr>
        <w:t xml:space="preserve">à </w:t>
      </w:r>
      <w:r>
        <w:rPr>
          <w:rFonts w:ascii="Book Antiqua"/>
          <w:rtl w:val="0"/>
          <w:lang w:val="it-IT"/>
        </w:rPr>
        <w:t xml:space="preserve">dedicata per la gestione </w:t>
      </w:r>
      <w:r>
        <w:rPr>
          <w:rFonts w:ascii="Book Antiqua"/>
          <w:i w:val="1"/>
          <w:iCs w:val="1"/>
          <w:rtl w:val="0"/>
          <w:lang w:val="it-IT"/>
        </w:rPr>
        <w:t>in house</w:t>
      </w:r>
      <w:r>
        <w:rPr>
          <w:rFonts w:ascii="Book Antiqua"/>
          <w:rtl w:val="0"/>
          <w:lang w:val="it-IT"/>
        </w:rPr>
        <w:t>.</w:t>
      </w:r>
    </w:p>
    <w:p>
      <w:pPr>
        <w:pStyle w:val="Normal"/>
        <w:ind w:left="567" w:right="567" w:firstLine="0"/>
        <w:jc w:val="both"/>
        <w:rPr>
          <w:rFonts w:ascii="Book Antiqua" w:cs="Book Antiqua" w:hAnsi="Book Antiqua" w:eastAsia="Book Antiqua"/>
        </w:rPr>
      </w:pPr>
    </w:p>
    <w:p>
      <w:pPr>
        <w:pStyle w:val="Normal"/>
        <w:jc w:val="both"/>
        <w:rPr>
          <w:rtl w:val="0"/>
        </w:rPr>
      </w:pPr>
      <w:r>
        <w:rPr>
          <w:rtl w:val="0"/>
        </w:rPr>
        <w:drawing>
          <wp:inline distT="0" distB="0" distL="0" distR="0">
            <wp:extent cx="5796570" cy="3575050"/>
            <wp:effectExtent l="0" t="0" r="0" b="0"/>
            <wp:docPr id="1073741848" name="officeArt object" descr="0000_servizio_igiene_urbana_2016.png"/>
            <wp:cNvGraphicFramePr/>
            <a:graphic xmlns:a="http://schemas.openxmlformats.org/drawingml/2006/main">
              <a:graphicData uri="http://schemas.openxmlformats.org/drawingml/2006/picture">
                <pic:pic xmlns:pic="http://schemas.openxmlformats.org/drawingml/2006/picture">
                  <pic:nvPicPr>
                    <pic:cNvPr id="1073741848" name="image24.png" descr="0000_servizio_igiene_urbana_2016.png"/>
                    <pic:cNvPicPr/>
                  </pic:nvPicPr>
                  <pic:blipFill>
                    <a:blip r:embed="rId32">
                      <a:extLst/>
                    </a:blip>
                    <a:stretch>
                      <a:fillRect/>
                    </a:stretch>
                  </pic:blipFill>
                  <pic:spPr>
                    <a:xfrm>
                      <a:off x="0" y="0"/>
                      <a:ext cx="5796570" cy="3575050"/>
                    </a:xfrm>
                    <a:prstGeom prst="rect">
                      <a:avLst/>
                    </a:prstGeom>
                    <a:ln w="12700" cap="flat">
                      <a:noFill/>
                      <a:miter lim="400000"/>
                    </a:ln>
                    <a:effectLst/>
                  </pic:spPr>
                </pic:pic>
              </a:graphicData>
            </a:graphic>
          </wp:inline>
        </w:drawing>
      </w:r>
    </w:p>
    <w:p>
      <w:pPr>
        <w:pStyle w:val="Normal"/>
        <w:jc w:val="both"/>
        <w:rPr>
          <w:rtl w:val="0"/>
        </w:rPr>
      </w:pP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rPr>
      </w:pPr>
      <w:r>
        <w:rPr>
          <w:rFonts w:ascii="Book Antiqua"/>
          <w:rtl w:val="0"/>
          <w:lang w:val="it-IT"/>
        </w:rPr>
        <w:t xml:space="preserve">Nello schema che segue </w:t>
      </w:r>
      <w:r>
        <w:rPr>
          <w:rFonts w:hAnsi="Book Antiqua" w:hint="default"/>
          <w:rtl w:val="0"/>
          <w:lang w:val="it-IT"/>
        </w:rPr>
        <w:t xml:space="preserve">è </w:t>
      </w:r>
      <w:r>
        <w:rPr>
          <w:rFonts w:ascii="Book Antiqua"/>
          <w:rtl w:val="0"/>
          <w:lang w:val="it-IT"/>
        </w:rPr>
        <w:t>descritta la struttura societaria di AMA S.p.A</w:t>
      </w:r>
      <w:r>
        <w:rPr>
          <w:rFonts w:ascii="Book Antiqua" w:cs="Book Antiqua" w:hAnsi="Book Antiqua" w:eastAsia="Book Antiqua"/>
          <w:vertAlign w:val="superscript"/>
          <w:rtl w:val="0"/>
        </w:rPr>
        <w:footnoteReference w:id="104"/>
      </w:r>
    </w:p>
    <w:p>
      <w:pPr>
        <w:pStyle w:val="Normal"/>
        <w:ind w:left="567" w:right="567" w:firstLine="0"/>
        <w:jc w:val="both"/>
        <w:rPr>
          <w:rFonts w:ascii="Book Antiqua" w:cs="Book Antiqua" w:hAnsi="Book Antiqua" w:eastAsia="Book Antiqua"/>
        </w:rPr>
      </w:pPr>
      <w:r>
        <w:rPr>
          <w:rtl w:val="0"/>
        </w:rPr>
        <w:drawing>
          <wp:inline distT="0" distB="0" distL="0" distR="0">
            <wp:extent cx="6323246" cy="5956300"/>
            <wp:effectExtent l="0" t="0" r="0" b="0"/>
            <wp:docPr id="1073741849" name="officeArt object"/>
            <wp:cNvGraphicFramePr/>
            <a:graphic xmlns:a="http://schemas.openxmlformats.org/drawingml/2006/main">
              <a:graphicData uri="http://schemas.openxmlformats.org/drawingml/2006/picture">
                <pic:pic xmlns:pic="http://schemas.openxmlformats.org/drawingml/2006/picture">
                  <pic:nvPicPr>
                    <pic:cNvPr id="1073741849" name="image25.png"/>
                    <pic:cNvPicPr/>
                  </pic:nvPicPr>
                  <pic:blipFill>
                    <a:blip r:embed="rId33">
                      <a:extLst/>
                    </a:blip>
                    <a:stretch>
                      <a:fillRect/>
                    </a:stretch>
                  </pic:blipFill>
                  <pic:spPr>
                    <a:xfrm>
                      <a:off x="0" y="0"/>
                      <a:ext cx="6323246" cy="5956300"/>
                    </a:xfrm>
                    <a:prstGeom prst="rect">
                      <a:avLst/>
                    </a:prstGeom>
                    <a:ln w="12700" cap="flat">
                      <a:noFill/>
                      <a:miter lim="400000"/>
                    </a:ln>
                    <a:effectLst/>
                  </pic:spPr>
                </pic:pic>
              </a:graphicData>
            </a:graphic>
          </wp:inline>
        </w:drawing>
      </w: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rPr>
      </w:pPr>
      <w:r>
        <w:rPr>
          <w:rFonts w:ascii="Book Antiqua"/>
          <w:rtl w:val="0"/>
          <w:lang w:val="it-IT"/>
        </w:rPr>
        <w:t>Nei grafici che seguono sono sintetizzati: i principali dati di bilancio</w:t>
      </w:r>
      <w:r>
        <w:rPr>
          <w:rFonts w:ascii="Book Antiqua" w:cs="Book Antiqua" w:hAnsi="Book Antiqua" w:eastAsia="Book Antiqua"/>
          <w:vertAlign w:val="superscript"/>
          <w:rtl w:val="0"/>
        </w:rPr>
        <w:footnoteReference w:id="105"/>
      </w:r>
      <w:r>
        <w:rPr>
          <w:rFonts w:ascii="Book Antiqua"/>
          <w:rtl w:val="0"/>
          <w:lang w:val="it-IT"/>
        </w:rPr>
        <w:t>; i ricavi dell</w:t>
      </w:r>
      <w:r>
        <w:rPr>
          <w:rFonts w:hAnsi="Book Antiqua" w:hint="default"/>
          <w:rtl w:val="0"/>
          <w:lang w:val="it-IT"/>
        </w:rPr>
        <w:t>’</w:t>
      </w:r>
      <w:r>
        <w:rPr>
          <w:rFonts w:ascii="Book Antiqua"/>
          <w:rtl w:val="0"/>
          <w:lang w:val="it-IT"/>
        </w:rPr>
        <w:t>area igiene urbana</w:t>
      </w:r>
      <w:r>
        <w:rPr>
          <w:rFonts w:ascii="Book Antiqua" w:cs="Book Antiqua" w:hAnsi="Book Antiqua" w:eastAsia="Book Antiqua"/>
          <w:vertAlign w:val="superscript"/>
          <w:rtl w:val="0"/>
        </w:rPr>
        <w:footnoteReference w:id="106"/>
      </w:r>
      <w:r>
        <w:rPr>
          <w:rFonts w:ascii="Book Antiqua"/>
          <w:rtl w:val="0"/>
          <w:lang w:val="it-IT"/>
        </w:rPr>
        <w:t>; i corrispettivi e contributi da Roma Capitale</w:t>
      </w:r>
      <w:r>
        <w:rPr>
          <w:rFonts w:ascii="Book Antiqua" w:cs="Book Antiqua" w:hAnsi="Book Antiqua" w:eastAsia="Book Antiqua"/>
          <w:vertAlign w:val="superscript"/>
          <w:rtl w:val="0"/>
        </w:rPr>
        <w:footnoteReference w:id="107"/>
      </w:r>
      <w:r>
        <w:rPr>
          <w:rFonts w:ascii="Book Antiqua"/>
          <w:rtl w:val="0"/>
          <w:lang w:val="it-IT"/>
        </w:rPr>
        <w:t>; la spesa per abitante a favore di AMA</w:t>
      </w:r>
      <w:r>
        <w:rPr>
          <w:rFonts w:ascii="Book Antiqua" w:cs="Book Antiqua" w:hAnsi="Book Antiqua" w:eastAsia="Book Antiqua"/>
          <w:vertAlign w:val="superscript"/>
          <w:rtl w:val="0"/>
        </w:rPr>
        <w:footnoteReference w:id="108"/>
      </w:r>
    </w:p>
    <w:p>
      <w:pPr>
        <w:pStyle w:val="Normal"/>
        <w:ind w:left="567" w:right="567" w:firstLine="0"/>
        <w:jc w:val="both"/>
        <w:rPr>
          <w:rFonts w:ascii="Book Antiqua Bold" w:cs="Book Antiqua Bold" w:hAnsi="Book Antiqua Bold" w:eastAsia="Book Antiqua Bold"/>
          <w:b w:val="1"/>
          <w:bCs w:val="1"/>
        </w:rPr>
      </w:pPr>
    </w:p>
    <w:p>
      <w:pPr>
        <w:pStyle w:val="Normal"/>
        <w:rPr>
          <w:rFonts w:ascii="Times New Roman Bold" w:cs="Times New Roman Bold" w:hAnsi="Times New Roman Bold" w:eastAsia="Times New Roman Bold"/>
        </w:rPr>
      </w:pPr>
    </w:p>
    <w:p>
      <w:pPr>
        <w:pStyle w:val="Normal"/>
        <w:rPr>
          <w:rFonts w:ascii="Times New Roman Bold" w:cs="Times New Roman Bold" w:hAnsi="Times New Roman Bold" w:eastAsia="Times New Roman Bold"/>
        </w:rPr>
      </w:pPr>
      <w:r>
        <w:rPr>
          <w:rFonts w:ascii="Times New Roman Bold" w:cs="Times New Roman Bold" w:hAnsi="Times New Roman Bold" w:eastAsia="Times New Roman Bold"/>
          <w:rtl w:val="0"/>
        </w:rPr>
        <w:drawing>
          <wp:inline distT="0" distB="0" distL="0" distR="0">
            <wp:extent cx="5610096" cy="3770207"/>
            <wp:effectExtent l="0" t="0" r="0" b="0"/>
            <wp:docPr id="1073741850" name="officeArt object" descr="0016_dati_bilancio_ama_2016.png"/>
            <wp:cNvGraphicFramePr/>
            <a:graphic xmlns:a="http://schemas.openxmlformats.org/drawingml/2006/main">
              <a:graphicData uri="http://schemas.openxmlformats.org/drawingml/2006/picture">
                <pic:pic xmlns:pic="http://schemas.openxmlformats.org/drawingml/2006/picture">
                  <pic:nvPicPr>
                    <pic:cNvPr id="1073741850" name="image26.png" descr="0016_dati_bilancio_ama_2016.png"/>
                    <pic:cNvPicPr/>
                  </pic:nvPicPr>
                  <pic:blipFill>
                    <a:blip r:embed="rId34">
                      <a:extLst/>
                    </a:blip>
                    <a:stretch>
                      <a:fillRect/>
                    </a:stretch>
                  </pic:blipFill>
                  <pic:spPr>
                    <a:xfrm>
                      <a:off x="0" y="0"/>
                      <a:ext cx="5610096" cy="3770207"/>
                    </a:xfrm>
                    <a:prstGeom prst="rect">
                      <a:avLst/>
                    </a:prstGeom>
                    <a:ln w="12700" cap="flat">
                      <a:noFill/>
                      <a:miter lim="400000"/>
                    </a:ln>
                    <a:effectLst/>
                  </pic:spPr>
                </pic:pic>
              </a:graphicData>
            </a:graphic>
          </wp:inline>
        </w:drawing>
      </w:r>
    </w:p>
    <w:p>
      <w:pPr>
        <w:pStyle w:val="Normal"/>
        <w:rPr>
          <w:rFonts w:ascii="Times New Roman Bold" w:cs="Times New Roman Bold" w:hAnsi="Times New Roman Bold" w:eastAsia="Times New Roman Bold"/>
        </w:rPr>
      </w:pPr>
    </w:p>
    <w:p>
      <w:pPr>
        <w:pStyle w:val="Normal"/>
        <w:rPr>
          <w:rFonts w:ascii="Times New Roman Bold" w:cs="Times New Roman Bold" w:hAnsi="Times New Roman Bold" w:eastAsia="Times New Roman Bold"/>
        </w:rPr>
      </w:pPr>
      <w:r>
        <w:rPr>
          <w:rFonts w:ascii="Times New Roman Bold" w:cs="Times New Roman Bold" w:hAnsi="Times New Roman Bold" w:eastAsia="Times New Roman Bold"/>
          <w:rtl w:val="0"/>
        </w:rPr>
        <w:drawing>
          <wp:inline distT="0" distB="0" distL="0" distR="0">
            <wp:extent cx="6121400" cy="2225040"/>
            <wp:effectExtent l="0" t="0" r="0" b="0"/>
            <wp:docPr id="1073741851" name="officeArt object" descr="0017_ricavi_igiene_urbana_2016.png"/>
            <wp:cNvGraphicFramePr/>
            <a:graphic xmlns:a="http://schemas.openxmlformats.org/drawingml/2006/main">
              <a:graphicData uri="http://schemas.openxmlformats.org/drawingml/2006/picture">
                <pic:pic xmlns:pic="http://schemas.openxmlformats.org/drawingml/2006/picture">
                  <pic:nvPicPr>
                    <pic:cNvPr id="1073741851" name="image27.png" descr="0017_ricavi_igiene_urbana_2016.png"/>
                    <pic:cNvPicPr/>
                  </pic:nvPicPr>
                  <pic:blipFill>
                    <a:blip r:embed="rId35">
                      <a:extLst/>
                    </a:blip>
                    <a:stretch>
                      <a:fillRect/>
                    </a:stretch>
                  </pic:blipFill>
                  <pic:spPr>
                    <a:xfrm>
                      <a:off x="0" y="0"/>
                      <a:ext cx="6121400" cy="2225040"/>
                    </a:xfrm>
                    <a:prstGeom prst="rect">
                      <a:avLst/>
                    </a:prstGeom>
                    <a:ln w="12700" cap="flat">
                      <a:noFill/>
                      <a:miter lim="400000"/>
                    </a:ln>
                    <a:effectLst/>
                  </pic:spPr>
                </pic:pic>
              </a:graphicData>
            </a:graphic>
          </wp:inline>
        </w:drawing>
      </w:r>
    </w:p>
    <w:p>
      <w:pPr>
        <w:pStyle w:val="Normal"/>
        <w:rPr>
          <w:rFonts w:ascii="Times New Roman Bold" w:cs="Times New Roman Bold" w:hAnsi="Times New Roman Bold" w:eastAsia="Times New Roman Bold"/>
        </w:rPr>
      </w:pPr>
    </w:p>
    <w:p>
      <w:pPr>
        <w:pStyle w:val="Normal"/>
        <w:rPr>
          <w:rFonts w:ascii="Times New Roman Bold" w:cs="Times New Roman Bold" w:hAnsi="Times New Roman Bold" w:eastAsia="Times New Roman Bold"/>
        </w:rPr>
      </w:pPr>
      <w:r>
        <w:rPr>
          <w:rFonts w:ascii="Times New Roman Bold" w:cs="Times New Roman Bold" w:hAnsi="Times New Roman Bold" w:eastAsia="Times New Roman Bold"/>
          <w:rtl w:val="0"/>
        </w:rPr>
        <w:drawing>
          <wp:inline distT="0" distB="0" distL="0" distR="0">
            <wp:extent cx="6107743" cy="1962574"/>
            <wp:effectExtent l="0" t="0" r="0" b="0"/>
            <wp:docPr id="1073741852" name="officeArt object" descr="0018_ricavi_e_contributi_ama_da_roma_capitale_2016.png"/>
            <wp:cNvGraphicFramePr/>
            <a:graphic xmlns:a="http://schemas.openxmlformats.org/drawingml/2006/main">
              <a:graphicData uri="http://schemas.openxmlformats.org/drawingml/2006/picture">
                <pic:pic xmlns:pic="http://schemas.openxmlformats.org/drawingml/2006/picture">
                  <pic:nvPicPr>
                    <pic:cNvPr id="1073741852" name="image28.png" descr="0018_ricavi_e_contributi_ama_da_roma_capitale_2016.png"/>
                    <pic:cNvPicPr/>
                  </pic:nvPicPr>
                  <pic:blipFill>
                    <a:blip r:embed="rId36">
                      <a:extLst/>
                    </a:blip>
                    <a:stretch>
                      <a:fillRect/>
                    </a:stretch>
                  </pic:blipFill>
                  <pic:spPr>
                    <a:xfrm>
                      <a:off x="0" y="0"/>
                      <a:ext cx="6107743" cy="1962574"/>
                    </a:xfrm>
                    <a:prstGeom prst="rect">
                      <a:avLst/>
                    </a:prstGeom>
                    <a:ln w="12700" cap="flat">
                      <a:noFill/>
                      <a:miter lim="400000"/>
                    </a:ln>
                    <a:effectLst/>
                  </pic:spPr>
                </pic:pic>
              </a:graphicData>
            </a:graphic>
          </wp:inline>
        </w:drawing>
      </w:r>
    </w:p>
    <w:p>
      <w:pPr>
        <w:pStyle w:val="Normal"/>
        <w:rPr>
          <w:rFonts w:ascii="Times New Roman Bold" w:cs="Times New Roman Bold" w:hAnsi="Times New Roman Bold" w:eastAsia="Times New Roman Bold"/>
        </w:rPr>
      </w:pPr>
    </w:p>
    <w:p>
      <w:pPr>
        <w:pStyle w:val="Normal"/>
        <w:rPr>
          <w:rFonts w:ascii="Times New Roman Bold" w:cs="Times New Roman Bold" w:hAnsi="Times New Roman Bold" w:eastAsia="Times New Roman Bold"/>
        </w:rPr>
      </w:pPr>
      <w:r>
        <w:rPr>
          <w:rFonts w:ascii="Times New Roman Bold" w:cs="Times New Roman Bold" w:hAnsi="Times New Roman Bold" w:eastAsia="Times New Roman Bold"/>
          <w:rtl w:val="0"/>
        </w:rPr>
        <w:drawing>
          <wp:inline distT="0" distB="0" distL="0" distR="0">
            <wp:extent cx="6304068" cy="2302934"/>
            <wp:effectExtent l="0" t="0" r="0" b="0"/>
            <wp:docPr id="1073741853" name="officeArt object" descr="0019_ricavi_e_contributi_ama_spesaxab_2016.png"/>
            <wp:cNvGraphicFramePr/>
            <a:graphic xmlns:a="http://schemas.openxmlformats.org/drawingml/2006/main">
              <a:graphicData uri="http://schemas.openxmlformats.org/drawingml/2006/picture">
                <pic:pic xmlns:pic="http://schemas.openxmlformats.org/drawingml/2006/picture">
                  <pic:nvPicPr>
                    <pic:cNvPr id="1073741853" name="image29.png" descr="0019_ricavi_e_contributi_ama_spesaxab_2016.png"/>
                    <pic:cNvPicPr/>
                  </pic:nvPicPr>
                  <pic:blipFill>
                    <a:blip r:embed="rId37">
                      <a:extLst/>
                    </a:blip>
                    <a:stretch>
                      <a:fillRect/>
                    </a:stretch>
                  </pic:blipFill>
                  <pic:spPr>
                    <a:xfrm>
                      <a:off x="0" y="0"/>
                      <a:ext cx="6304068" cy="2302934"/>
                    </a:xfrm>
                    <a:prstGeom prst="rect">
                      <a:avLst/>
                    </a:prstGeom>
                    <a:ln w="12700" cap="flat">
                      <a:noFill/>
                      <a:miter lim="400000"/>
                    </a:ln>
                    <a:effectLst/>
                  </pic:spPr>
                </pic:pic>
              </a:graphicData>
            </a:graphic>
          </wp:inline>
        </w:drawing>
      </w:r>
    </w:p>
    <w:p>
      <w:pPr>
        <w:pStyle w:val="Normal"/>
        <w:rPr>
          <w:rFonts w:ascii="Times New Roman Bold" w:cs="Times New Roman Bold" w:hAnsi="Times New Roman Bold" w:eastAsia="Times New Roman Bold"/>
        </w:rPr>
      </w:pP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rPr>
      </w:pPr>
      <w:r>
        <w:rPr>
          <w:rFonts w:ascii="Book Antiqua"/>
          <w:rtl w:val="0"/>
          <w:lang w:val="it-IT"/>
        </w:rPr>
        <w:t xml:space="preserve">Valutati come favorevoli i presupposti per la gestione </w:t>
      </w:r>
      <w:r>
        <w:rPr>
          <w:rFonts w:ascii="Book Antiqua"/>
          <w:i w:val="1"/>
          <w:iCs w:val="1"/>
          <w:rtl w:val="0"/>
          <w:lang w:val="it-IT"/>
        </w:rPr>
        <w:t>in house</w:t>
      </w:r>
      <w:r>
        <w:rPr>
          <w:rFonts w:ascii="Book Antiqua"/>
          <w:rtl w:val="0"/>
          <w:lang w:val="it-IT"/>
        </w:rPr>
        <w:t>, e nell</w:t>
      </w:r>
      <w:r>
        <w:rPr>
          <w:rFonts w:hAnsi="Book Antiqua" w:hint="default"/>
          <w:rtl w:val="0"/>
          <w:lang w:val="it-IT"/>
        </w:rPr>
        <w:t>’</w:t>
      </w:r>
      <w:r>
        <w:rPr>
          <w:rFonts w:ascii="Book Antiqua"/>
          <w:rtl w:val="0"/>
          <w:lang w:val="it-IT"/>
        </w:rPr>
        <w:t>urgenza di evitare perdite societarie a danno della finanza pubblica locale e/o interruzioni del servizio, la Giunta e l</w:t>
      </w:r>
      <w:r>
        <w:rPr>
          <w:rFonts w:hAnsi="Book Antiqua" w:hint="default"/>
          <w:rtl w:val="0"/>
          <w:lang w:val="it-IT"/>
        </w:rPr>
        <w:t>’</w:t>
      </w:r>
      <w:r>
        <w:rPr>
          <w:rFonts w:ascii="Book Antiqua"/>
          <w:rtl w:val="0"/>
          <w:lang w:val="it-IT"/>
        </w:rPr>
        <w:t>Assemblea Capitolina nel settembre 2015 hanno deciso di approvare il nuovo affidamento diretto ad AMA S.p.A. per il periodo 2015/2029</w:t>
      </w:r>
      <w:r>
        <w:rPr>
          <w:rFonts w:ascii="Book Antiqua" w:cs="Book Antiqua" w:hAnsi="Book Antiqua" w:eastAsia="Book Antiqua"/>
          <w:vertAlign w:val="superscript"/>
          <w:rtl w:val="0"/>
        </w:rPr>
        <w:footnoteReference w:id="109"/>
      </w:r>
      <w:r>
        <w:rPr>
          <w:rFonts w:ascii="Book Antiqua"/>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 xml:space="preserve">Dal punto di vista dei contenuti, la delibera </w:t>
      </w:r>
      <w:r>
        <w:rPr>
          <w:rFonts w:hAnsi="Book Antiqua" w:hint="default"/>
          <w:rtl w:val="0"/>
          <w:lang w:val="it-IT"/>
        </w:rPr>
        <w:t xml:space="preserve">– </w:t>
      </w:r>
      <w:r>
        <w:rPr>
          <w:rFonts w:ascii="Book Antiqua"/>
          <w:rtl w:val="0"/>
          <w:lang w:val="it-IT"/>
        </w:rPr>
        <w:t>mantenendo una continuit</w:t>
      </w:r>
      <w:r>
        <w:rPr>
          <w:rFonts w:hAnsi="Book Antiqua" w:hint="default"/>
          <w:rtl w:val="0"/>
          <w:lang w:val="it-IT"/>
        </w:rPr>
        <w:t xml:space="preserve">à </w:t>
      </w:r>
      <w:r>
        <w:rPr>
          <w:rFonts w:ascii="Book Antiqua"/>
          <w:rtl w:val="0"/>
          <w:lang w:val="it-IT"/>
        </w:rPr>
        <w:t>di lavoro sul progetto di incremento della raccolta differenziata - prevede per</w:t>
      </w:r>
      <w:r>
        <w:rPr>
          <w:rFonts w:hAnsi="Book Antiqua" w:hint="default"/>
          <w:rtl w:val="0"/>
          <w:lang w:val="it-IT"/>
        </w:rPr>
        <w:t xml:space="preserve">ò </w:t>
      </w:r>
      <w:r>
        <w:rPr>
          <w:rFonts w:ascii="Book Antiqua"/>
          <w:rtl w:val="0"/>
          <w:lang w:val="it-IT"/>
        </w:rPr>
        <w:t>per il prossimo quindicennio significative differenze rispetto a quello passato, soprattutto per quanto riguarda la programmazione pluriennale degli investimenti (orientata a conseguire gli obiettivi ambientali attraverso la realizzazione di ecodistretti: progetto tuttavia non condiviso dall</w:t>
      </w:r>
      <w:r>
        <w:rPr>
          <w:rFonts w:hAnsi="Book Antiqua" w:hint="default"/>
          <w:rtl w:val="0"/>
          <w:lang w:val="it-IT"/>
        </w:rPr>
        <w:t>’</w:t>
      </w:r>
      <w:r>
        <w:rPr>
          <w:rFonts w:ascii="Book Antiqua"/>
          <w:rtl w:val="0"/>
          <w:lang w:val="it-IT"/>
        </w:rPr>
        <w:t>attuale amministrazione di Roma Capitale</w:t>
      </w:r>
      <w:r>
        <w:rPr>
          <w:rFonts w:ascii="Book Antiqua" w:cs="Book Antiqua" w:hAnsi="Book Antiqua" w:eastAsia="Book Antiqua"/>
          <w:vertAlign w:val="superscript"/>
          <w:rtl w:val="0"/>
        </w:rPr>
        <w:footnoteReference w:id="110"/>
      </w:r>
      <w:r>
        <w:rPr>
          <w:rFonts w:ascii="Book Antiqua"/>
          <w:rtl w:val="0"/>
          <w:lang w:val="it-IT"/>
        </w:rPr>
        <w:t>) e la metodologia con cui viene affrontata una delle principali criticit</w:t>
      </w:r>
      <w:r>
        <w:rPr>
          <w:rFonts w:hAnsi="Book Antiqua" w:hint="default"/>
          <w:rtl w:val="0"/>
          <w:lang w:val="it-IT"/>
        </w:rPr>
        <w:t xml:space="preserve">à </w:t>
      </w:r>
      <w:r>
        <w:rPr>
          <w:rFonts w:ascii="Book Antiqua"/>
          <w:rtl w:val="0"/>
          <w:lang w:val="it-IT"/>
        </w:rPr>
        <w:t>che il servizio attualmente presenta e che riguarda l</w:t>
      </w:r>
      <w:r>
        <w:rPr>
          <w:rFonts w:hAnsi="Book Antiqua" w:hint="default"/>
          <w:rtl w:val="0"/>
          <w:lang w:val="it-IT"/>
        </w:rPr>
        <w:t>’</w:t>
      </w:r>
      <w:r>
        <w:rPr>
          <w:rFonts w:ascii="Book Antiqua"/>
          <w:rtl w:val="0"/>
          <w:lang w:val="it-IT"/>
        </w:rPr>
        <w:t>aspetto della pulizia e del decoro.</w:t>
      </w:r>
    </w:p>
    <w:p>
      <w:pPr>
        <w:pStyle w:val="Normal"/>
        <w:ind w:left="567" w:right="567" w:firstLine="0"/>
        <w:jc w:val="both"/>
        <w:rPr>
          <w:rFonts w:ascii="Book Antiqua" w:cs="Book Antiqua" w:hAnsi="Book Antiqua" w:eastAsia="Book Antiqua"/>
        </w:rPr>
      </w:pPr>
      <w:r>
        <w:rPr>
          <w:rFonts w:ascii="Book Antiqua"/>
          <w:rtl w:val="0"/>
          <w:lang w:val="it-IT"/>
        </w:rPr>
        <w:t>Per quanto riguarda quest'ultimo punto, l'affidamento prevede</w:t>
      </w:r>
      <w:r>
        <w:rPr>
          <w:rFonts w:hAnsi="Book Antiqua" w:hint="default"/>
          <w:rtl w:val="0"/>
          <w:lang w:val="it-IT"/>
        </w:rPr>
        <w:t> </w:t>
      </w:r>
      <w:r>
        <w:rPr>
          <w:rFonts w:ascii="Book Antiqua"/>
          <w:rtl w:val="0"/>
          <w:lang w:val="it-IT"/>
        </w:rPr>
        <w:t>monitoraggi della qualit</w:t>
      </w:r>
      <w:r>
        <w:rPr>
          <w:rFonts w:hAnsi="Book Antiqua" w:hint="default"/>
          <w:rtl w:val="0"/>
          <w:lang w:val="it-IT"/>
        </w:rPr>
        <w:t xml:space="preserve">à </w:t>
      </w:r>
      <w:r>
        <w:rPr>
          <w:rFonts w:ascii="Book Antiqua"/>
          <w:rtl w:val="0"/>
          <w:lang w:val="it-IT"/>
        </w:rPr>
        <w:t>erogata e percepita che per la prima volta dovrebbero essere utilizzati per individuare le aree pi</w:t>
      </w:r>
      <w:r>
        <w:rPr>
          <w:rFonts w:hAnsi="Book Antiqua" w:hint="default"/>
          <w:rtl w:val="0"/>
          <w:lang w:val="it-IT"/>
        </w:rPr>
        <w:t xml:space="preserve">ù </w:t>
      </w:r>
      <w:r>
        <w:rPr>
          <w:rFonts w:ascii="Book Antiqua"/>
          <w:rtl w:val="0"/>
          <w:lang w:val="it-IT"/>
        </w:rPr>
        <w:t>critiche della citt</w:t>
      </w:r>
      <w:r>
        <w:rPr>
          <w:rFonts w:hAnsi="Book Antiqua" w:hint="default"/>
          <w:rtl w:val="0"/>
          <w:lang w:val="it-IT"/>
        </w:rPr>
        <w:t xml:space="preserve">à </w:t>
      </w:r>
      <w:r>
        <w:rPr>
          <w:rFonts w:ascii="Book Antiqua"/>
          <w:rtl w:val="0"/>
          <w:lang w:val="it-IT"/>
        </w:rPr>
        <w:t>al fine di sperimentare in tali zone soluzioni differenti, anche esternalizzando i servizi per un periodo iniziale di durata biennale. Secondo il testo approvato, la sperimentazione</w:t>
      </w:r>
      <w:r>
        <w:rPr>
          <w:rFonts w:hAnsi="Book Antiqua" w:hint="default"/>
          <w:rtl w:val="0"/>
          <w:lang w:val="it-IT"/>
        </w:rPr>
        <w:t> </w:t>
      </w:r>
      <w:r>
        <w:rPr>
          <w:rFonts w:ascii="Book Antiqua"/>
          <w:rtl w:val="0"/>
          <w:lang w:val="it-IT"/>
        </w:rPr>
        <w:t>potrebbe mettere in gioco stimoli competitivi e informazioni comparative sull</w:t>
      </w:r>
      <w:r>
        <w:rPr>
          <w:rFonts w:hAnsi="Book Antiqua" w:hint="default"/>
          <w:rtl w:val="0"/>
          <w:lang w:val="it-IT"/>
        </w:rPr>
        <w:t>’</w:t>
      </w:r>
      <w:r>
        <w:rPr>
          <w:rFonts w:ascii="Book Antiqua"/>
          <w:rtl w:val="0"/>
          <w:lang w:val="it-IT"/>
        </w:rPr>
        <w:t>efficacia dei servizi, nello stesso tempo liberando risorse umane dell</w:t>
      </w:r>
      <w:r>
        <w:rPr>
          <w:rFonts w:hAnsi="Book Antiqua" w:hint="default"/>
          <w:rtl w:val="0"/>
          <w:lang w:val="it-IT"/>
        </w:rPr>
        <w:t>’</w:t>
      </w:r>
      <w:r>
        <w:rPr>
          <w:rFonts w:ascii="Book Antiqua"/>
          <w:rtl w:val="0"/>
          <w:lang w:val="it-IT"/>
        </w:rPr>
        <w:t>azienda per potenziare i servizi di raccolta e di pulizia nelle altre zone.</w:t>
      </w:r>
      <w:r>
        <w:rPr>
          <w:rFonts w:hAnsi="Book Antiqua" w:hint="default"/>
          <w:rtl w:val="0"/>
          <w:lang w:val="it-IT"/>
        </w:rPr>
        <w:t> </w:t>
      </w:r>
    </w:p>
    <w:p>
      <w:pPr>
        <w:pStyle w:val="Normal"/>
        <w:ind w:left="567" w:right="567" w:firstLine="0"/>
        <w:jc w:val="both"/>
        <w:rPr>
          <w:rFonts w:ascii="Book Antiqua" w:cs="Book Antiqua" w:hAnsi="Book Antiqua" w:eastAsia="Book Antiqua"/>
        </w:rPr>
      </w:pPr>
      <w:r>
        <w:rPr>
          <w:rFonts w:ascii="Book Antiqua"/>
          <w:rtl w:val="0"/>
          <w:lang w:val="it-IT"/>
        </w:rPr>
        <w:t xml:space="preserve">Va peraltro rilevato che la sperimentazione </w:t>
      </w:r>
      <w:r>
        <w:rPr>
          <w:rFonts w:hAnsi="Book Antiqua" w:hint="default"/>
          <w:rtl w:val="0"/>
          <w:lang w:val="it-IT"/>
        </w:rPr>
        <w:t xml:space="preserve">è </w:t>
      </w:r>
      <w:r>
        <w:rPr>
          <w:rFonts w:ascii="Book Antiqua"/>
          <w:rtl w:val="0"/>
          <w:lang w:val="it-IT"/>
        </w:rPr>
        <w:t>stata sospesa dal commissario straordinario</w:t>
      </w:r>
      <w:r>
        <w:rPr>
          <w:rFonts w:hAnsi="Book Antiqua" w:hint="default"/>
          <w:rtl w:val="0"/>
          <w:lang w:val="it-IT"/>
        </w:rPr>
        <w:t> </w:t>
      </w:r>
      <w:r>
        <w:rPr>
          <w:rFonts w:ascii="Book Antiqua"/>
          <w:rtl w:val="0"/>
          <w:lang w:val="it-IT"/>
        </w:rPr>
        <w:t>e rimandata alla valutazione ed eventuale attuazione dell</w:t>
      </w:r>
      <w:r>
        <w:rPr>
          <w:rFonts w:hAnsi="Book Antiqua" w:hint="default"/>
          <w:rtl w:val="0"/>
          <w:lang w:val="it-IT"/>
        </w:rPr>
        <w:t>’</w:t>
      </w:r>
      <w:r>
        <w:rPr>
          <w:rFonts w:ascii="Book Antiqua"/>
          <w:rtl w:val="0"/>
          <w:lang w:val="it-IT"/>
        </w:rPr>
        <w:t>amministrazione politica entrante (DCS-AC 2/2016).</w:t>
      </w:r>
    </w:p>
    <w:p>
      <w:pPr>
        <w:pStyle w:val="Normal"/>
        <w:ind w:left="567" w:right="567" w:firstLine="0"/>
        <w:jc w:val="both"/>
        <w:rPr>
          <w:rFonts w:ascii="Book Antiqua" w:cs="Book Antiqua" w:hAnsi="Book Antiqua" w:eastAsia="Book Antiqua"/>
        </w:rPr>
      </w:pPr>
      <w:r>
        <w:rPr>
          <w:rFonts w:ascii="Book Antiqua"/>
          <w:rtl w:val="0"/>
          <w:lang w:val="it-IT"/>
        </w:rPr>
        <w:t>Ferma dunque la necessit</w:t>
      </w:r>
      <w:r>
        <w:rPr>
          <w:rFonts w:hAnsi="Book Antiqua" w:hint="default"/>
          <w:rtl w:val="0"/>
          <w:lang w:val="it-IT"/>
        </w:rPr>
        <w:t xml:space="preserve">à </w:t>
      </w:r>
      <w:r>
        <w:rPr>
          <w:rFonts w:ascii="Book Antiqua"/>
          <w:rtl w:val="0"/>
          <w:lang w:val="it-IT"/>
        </w:rPr>
        <w:t>di orientamenti politici generali e chiari ad opera degli amministratori di Roma Capitale, allo stato, e in sintesi, lo sviluppo delle attivit</w:t>
      </w:r>
      <w:r>
        <w:rPr>
          <w:rFonts w:hAnsi="Book Antiqua" w:hint="default"/>
          <w:rtl w:val="0"/>
          <w:lang w:val="it-IT"/>
        </w:rPr>
        <w:t>à</w:t>
      </w:r>
      <w:r>
        <w:rPr>
          <w:rFonts w:ascii="Book Antiqua"/>
          <w:rtl w:val="0"/>
          <w:lang w:val="it-IT"/>
        </w:rPr>
        <w:t>, nel periodo di nuovo affidamento prevede:</w:t>
      </w:r>
    </w:p>
    <w:p>
      <w:pPr>
        <w:pStyle w:val="Normal"/>
        <w:numPr>
          <w:ilvl w:val="0"/>
          <w:numId w:val="73"/>
        </w:numPr>
        <w:tabs>
          <w:tab w:val="num" w:pos="927"/>
          <w:tab w:val="clear" w:pos="0"/>
        </w:tabs>
        <w:bidi w:val="0"/>
        <w:ind w:left="927" w:right="567" w:hanging="360"/>
        <w:jc w:val="both"/>
        <w:rPr>
          <w:rFonts w:ascii="Book Antiqua" w:cs="Book Antiqua" w:hAnsi="Book Antiqua" w:eastAsia="Book Antiqua"/>
          <w:position w:val="0"/>
          <w:sz w:val="24"/>
          <w:szCs w:val="24"/>
          <w:rtl w:val="0"/>
        </w:rPr>
      </w:pPr>
      <w:r>
        <w:rPr>
          <w:rFonts w:ascii="Book Antiqua"/>
          <w:rtl w:val="0"/>
          <w:lang w:val="it-IT"/>
        </w:rPr>
        <w:t>pulizia</w:t>
      </w:r>
    </w:p>
    <w:p>
      <w:pPr>
        <w:pStyle w:val="Normal"/>
        <w:numPr>
          <w:ilvl w:val="1"/>
          <w:numId w:val="75"/>
        </w:numPr>
        <w:tabs>
          <w:tab w:val="num" w:pos="1647"/>
          <w:tab w:val="clear" w:pos="0"/>
        </w:tabs>
        <w:bidi w:val="0"/>
        <w:ind w:left="1647" w:right="567" w:hanging="360"/>
        <w:jc w:val="both"/>
        <w:rPr>
          <w:rFonts w:ascii="Book Antiqua" w:cs="Book Antiqua" w:hAnsi="Book Antiqua" w:eastAsia="Book Antiqua"/>
          <w:position w:val="0"/>
          <w:sz w:val="24"/>
          <w:szCs w:val="24"/>
          <w:rtl w:val="0"/>
        </w:rPr>
      </w:pPr>
      <w:r>
        <w:rPr>
          <w:rFonts w:ascii="Book Antiqua"/>
          <w:rtl w:val="0"/>
          <w:lang w:val="it-IT"/>
        </w:rPr>
        <w:t>obiettivo: miglioramento del servizio</w:t>
      </w:r>
    </w:p>
    <w:p>
      <w:pPr>
        <w:pStyle w:val="Normal"/>
        <w:numPr>
          <w:ilvl w:val="1"/>
          <w:numId w:val="76"/>
        </w:numPr>
        <w:tabs>
          <w:tab w:val="num" w:pos="1647"/>
          <w:tab w:val="clear" w:pos="0"/>
        </w:tabs>
        <w:bidi w:val="0"/>
        <w:ind w:left="1647" w:right="567" w:hanging="360"/>
        <w:jc w:val="both"/>
        <w:rPr>
          <w:rFonts w:ascii="Book Antiqua" w:cs="Book Antiqua" w:hAnsi="Book Antiqua" w:eastAsia="Book Antiqua"/>
          <w:position w:val="0"/>
          <w:sz w:val="24"/>
          <w:szCs w:val="24"/>
          <w:rtl w:val="0"/>
        </w:rPr>
      </w:pPr>
      <w:r>
        <w:rPr>
          <w:rFonts w:ascii="Book Antiqua"/>
          <w:rtl w:val="0"/>
          <w:lang w:val="it-IT"/>
        </w:rPr>
        <w:t>strumento: monitoraggi periodici comparativi finalizzati a individuare le zone critiche</w:t>
      </w:r>
    </w:p>
    <w:p>
      <w:pPr>
        <w:pStyle w:val="Normal"/>
        <w:numPr>
          <w:ilvl w:val="1"/>
          <w:numId w:val="77"/>
        </w:numPr>
        <w:tabs>
          <w:tab w:val="num" w:pos="1647"/>
          <w:tab w:val="clear" w:pos="0"/>
        </w:tabs>
        <w:bidi w:val="0"/>
        <w:ind w:left="1647" w:right="567" w:hanging="360"/>
        <w:jc w:val="both"/>
        <w:rPr>
          <w:rFonts w:ascii="Book Antiqua" w:cs="Book Antiqua" w:hAnsi="Book Antiqua" w:eastAsia="Book Antiqua"/>
          <w:position w:val="0"/>
          <w:sz w:val="24"/>
          <w:szCs w:val="24"/>
          <w:rtl w:val="0"/>
        </w:rPr>
      </w:pPr>
      <w:r>
        <w:rPr>
          <w:rFonts w:ascii="Book Antiqua"/>
          <w:rtl w:val="0"/>
          <w:lang w:val="it-IT"/>
        </w:rPr>
        <w:t>novit</w:t>
      </w:r>
      <w:r>
        <w:rPr>
          <w:rFonts w:hAnsi="Book Antiqua" w:hint="default"/>
          <w:rtl w:val="0"/>
          <w:lang w:val="it-IT"/>
        </w:rPr>
        <w:t>à</w:t>
      </w:r>
      <w:r>
        <w:rPr>
          <w:rFonts w:ascii="Book Antiqua"/>
          <w:rtl w:val="0"/>
          <w:lang w:val="it-IT"/>
        </w:rPr>
        <w:t>: apertura sperimentale ai privati</w:t>
      </w:r>
    </w:p>
    <w:p>
      <w:pPr>
        <w:pStyle w:val="Normal"/>
        <w:numPr>
          <w:ilvl w:val="0"/>
          <w:numId w:val="78"/>
        </w:numPr>
        <w:tabs>
          <w:tab w:val="num" w:pos="927"/>
          <w:tab w:val="clear" w:pos="0"/>
        </w:tabs>
        <w:bidi w:val="0"/>
        <w:ind w:left="927" w:right="567" w:hanging="360"/>
        <w:jc w:val="both"/>
        <w:rPr>
          <w:rFonts w:ascii="Book Antiqua" w:cs="Book Antiqua" w:hAnsi="Book Antiqua" w:eastAsia="Book Antiqua"/>
          <w:position w:val="0"/>
          <w:sz w:val="24"/>
          <w:szCs w:val="24"/>
          <w:rtl w:val="0"/>
        </w:rPr>
      </w:pPr>
      <w:r>
        <w:rPr>
          <w:rFonts w:ascii="Book Antiqua"/>
          <w:rtl w:val="0"/>
          <w:lang w:val="it-IT"/>
        </w:rPr>
        <w:t>raccolta rifiuti</w:t>
      </w:r>
    </w:p>
    <w:p>
      <w:pPr>
        <w:pStyle w:val="Normal"/>
        <w:numPr>
          <w:ilvl w:val="1"/>
          <w:numId w:val="79"/>
        </w:numPr>
        <w:tabs>
          <w:tab w:val="num" w:pos="1647"/>
          <w:tab w:val="clear" w:pos="0"/>
        </w:tabs>
        <w:bidi w:val="0"/>
        <w:ind w:left="1647" w:right="567" w:hanging="360"/>
        <w:jc w:val="both"/>
        <w:rPr>
          <w:rFonts w:ascii="Book Antiqua" w:cs="Book Antiqua" w:hAnsi="Book Antiqua" w:eastAsia="Book Antiqua"/>
          <w:position w:val="0"/>
          <w:sz w:val="24"/>
          <w:szCs w:val="24"/>
          <w:rtl w:val="0"/>
        </w:rPr>
      </w:pPr>
      <w:r>
        <w:rPr>
          <w:rFonts w:ascii="Book Antiqua"/>
          <w:rtl w:val="0"/>
          <w:lang w:val="it-IT"/>
        </w:rPr>
        <w:t>obiettivo: incremento della raccolta differenziata</w:t>
      </w:r>
    </w:p>
    <w:p>
      <w:pPr>
        <w:pStyle w:val="Normal"/>
        <w:numPr>
          <w:ilvl w:val="1"/>
          <w:numId w:val="80"/>
        </w:numPr>
        <w:tabs>
          <w:tab w:val="num" w:pos="1647"/>
          <w:tab w:val="clear" w:pos="0"/>
        </w:tabs>
        <w:bidi w:val="0"/>
        <w:ind w:left="1647" w:right="567" w:hanging="360"/>
        <w:jc w:val="both"/>
        <w:rPr>
          <w:rFonts w:ascii="Book Antiqua" w:cs="Book Antiqua" w:hAnsi="Book Antiqua" w:eastAsia="Book Antiqua"/>
          <w:position w:val="0"/>
          <w:sz w:val="24"/>
          <w:szCs w:val="24"/>
          <w:rtl w:val="0"/>
        </w:rPr>
      </w:pPr>
      <w:r>
        <w:rPr>
          <w:rFonts w:ascii="Book Antiqua"/>
          <w:rtl w:val="0"/>
          <w:lang w:val="it-IT"/>
        </w:rPr>
        <w:t>strumento: estensione del porta a porta</w:t>
      </w:r>
    </w:p>
    <w:p>
      <w:pPr>
        <w:pStyle w:val="Normal"/>
        <w:numPr>
          <w:ilvl w:val="1"/>
          <w:numId w:val="81"/>
        </w:numPr>
        <w:tabs>
          <w:tab w:val="num" w:pos="1647"/>
          <w:tab w:val="clear" w:pos="0"/>
        </w:tabs>
        <w:bidi w:val="0"/>
        <w:ind w:left="1647" w:right="567" w:hanging="360"/>
        <w:jc w:val="both"/>
        <w:rPr>
          <w:rFonts w:ascii="Book Antiqua" w:cs="Book Antiqua" w:hAnsi="Book Antiqua" w:eastAsia="Book Antiqua"/>
          <w:position w:val="0"/>
          <w:sz w:val="24"/>
          <w:szCs w:val="24"/>
          <w:rtl w:val="0"/>
        </w:rPr>
      </w:pPr>
      <w:r>
        <w:rPr>
          <w:rFonts w:ascii="Book Antiqua"/>
          <w:rtl w:val="0"/>
          <w:lang w:val="it-IT"/>
        </w:rPr>
        <w:t>novit</w:t>
      </w:r>
      <w:r>
        <w:rPr>
          <w:rFonts w:hAnsi="Book Antiqua" w:hint="default"/>
          <w:rtl w:val="0"/>
          <w:lang w:val="it-IT"/>
        </w:rPr>
        <w:t>à</w:t>
      </w:r>
      <w:r>
        <w:rPr>
          <w:rFonts w:ascii="Book Antiqua"/>
          <w:rtl w:val="0"/>
          <w:lang w:val="it-IT"/>
        </w:rPr>
        <w:t>: differenziazione a cinque frazioni su tutta la citt</w:t>
      </w:r>
      <w:r>
        <w:rPr>
          <w:rFonts w:hAnsi="Book Antiqua" w:hint="default"/>
          <w:rtl w:val="0"/>
          <w:lang w:val="it-IT"/>
        </w:rPr>
        <w:t>à</w:t>
      </w:r>
    </w:p>
    <w:p>
      <w:pPr>
        <w:pStyle w:val="Normal"/>
        <w:numPr>
          <w:ilvl w:val="0"/>
          <w:numId w:val="82"/>
        </w:numPr>
        <w:tabs>
          <w:tab w:val="num" w:pos="927"/>
          <w:tab w:val="clear" w:pos="0"/>
        </w:tabs>
        <w:bidi w:val="0"/>
        <w:ind w:left="927" w:right="567" w:hanging="360"/>
        <w:jc w:val="both"/>
        <w:rPr>
          <w:rFonts w:ascii="Book Antiqua" w:cs="Book Antiqua" w:hAnsi="Book Antiqua" w:eastAsia="Book Antiqua"/>
          <w:position w:val="0"/>
          <w:sz w:val="24"/>
          <w:szCs w:val="24"/>
          <w:rtl w:val="0"/>
        </w:rPr>
      </w:pPr>
      <w:r>
        <w:rPr>
          <w:rFonts w:ascii="Book Antiqua"/>
          <w:rtl w:val="0"/>
          <w:lang w:val="it-IT"/>
        </w:rPr>
        <w:t>gestione rifiuti</w:t>
      </w:r>
    </w:p>
    <w:p>
      <w:pPr>
        <w:pStyle w:val="Normal"/>
        <w:numPr>
          <w:ilvl w:val="1"/>
          <w:numId w:val="83"/>
        </w:numPr>
        <w:tabs>
          <w:tab w:val="num" w:pos="1647"/>
          <w:tab w:val="clear" w:pos="0"/>
        </w:tabs>
        <w:bidi w:val="0"/>
        <w:ind w:left="1647" w:right="567" w:hanging="360"/>
        <w:jc w:val="both"/>
        <w:rPr>
          <w:rFonts w:ascii="Book Antiqua" w:cs="Book Antiqua" w:hAnsi="Book Antiqua" w:eastAsia="Book Antiqua"/>
          <w:position w:val="0"/>
          <w:sz w:val="24"/>
          <w:szCs w:val="24"/>
          <w:rtl w:val="0"/>
        </w:rPr>
      </w:pPr>
      <w:r>
        <w:rPr>
          <w:rFonts w:ascii="Book Antiqua"/>
          <w:rtl w:val="0"/>
          <w:lang w:val="it-IT"/>
        </w:rPr>
        <w:t>obiettivo: massima valorizzazione dei rifiuti</w:t>
      </w:r>
    </w:p>
    <w:p>
      <w:pPr>
        <w:pStyle w:val="Normal"/>
        <w:numPr>
          <w:ilvl w:val="1"/>
          <w:numId w:val="84"/>
        </w:numPr>
        <w:tabs>
          <w:tab w:val="num" w:pos="1647"/>
          <w:tab w:val="clear" w:pos="0"/>
        </w:tabs>
        <w:bidi w:val="0"/>
        <w:ind w:left="1647" w:right="567" w:hanging="360"/>
        <w:jc w:val="both"/>
        <w:rPr>
          <w:rFonts w:ascii="Book Antiqua" w:cs="Book Antiqua" w:hAnsi="Book Antiqua" w:eastAsia="Book Antiqua"/>
          <w:position w:val="0"/>
          <w:sz w:val="24"/>
          <w:szCs w:val="24"/>
          <w:rtl w:val="0"/>
        </w:rPr>
      </w:pPr>
      <w:r>
        <w:rPr>
          <w:rFonts w:ascii="Book Antiqua"/>
          <w:rtl w:val="0"/>
          <w:lang w:val="it-IT"/>
        </w:rPr>
        <w:t>strumento: rinnovo/potenziamento dell</w:t>
      </w:r>
      <w:r>
        <w:rPr>
          <w:rFonts w:hAnsi="Book Antiqua" w:hint="default"/>
          <w:rtl w:val="0"/>
          <w:lang w:val="it-IT"/>
        </w:rPr>
        <w:t>’</w:t>
      </w:r>
      <w:r>
        <w:rPr>
          <w:rFonts w:ascii="Book Antiqua"/>
          <w:rtl w:val="0"/>
          <w:lang w:val="it-IT"/>
        </w:rPr>
        <w:t>impiantistica di trattamento</w:t>
      </w:r>
    </w:p>
    <w:p>
      <w:pPr>
        <w:pStyle w:val="Normal"/>
        <w:numPr>
          <w:ilvl w:val="1"/>
          <w:numId w:val="85"/>
        </w:numPr>
        <w:tabs>
          <w:tab w:val="num" w:pos="1647"/>
          <w:tab w:val="clear" w:pos="0"/>
        </w:tabs>
        <w:bidi w:val="0"/>
        <w:ind w:left="1647" w:right="567" w:hanging="360"/>
        <w:jc w:val="both"/>
        <w:rPr>
          <w:rFonts w:ascii="Book Antiqua" w:cs="Book Antiqua" w:hAnsi="Book Antiqua" w:eastAsia="Book Antiqua"/>
          <w:position w:val="0"/>
          <w:sz w:val="24"/>
          <w:szCs w:val="24"/>
          <w:rtl w:val="0"/>
        </w:rPr>
      </w:pPr>
      <w:r>
        <w:rPr>
          <w:rFonts w:ascii="Book Antiqua"/>
          <w:rtl w:val="0"/>
          <w:lang w:val="it-IT"/>
        </w:rPr>
        <w:t>novit</w:t>
      </w:r>
      <w:r>
        <w:rPr>
          <w:rFonts w:hAnsi="Book Antiqua" w:hint="default"/>
          <w:rtl w:val="0"/>
          <w:lang w:val="it-IT"/>
        </w:rPr>
        <w:t>à</w:t>
      </w:r>
      <w:r>
        <w:rPr>
          <w:rFonts w:ascii="Book Antiqua"/>
          <w:rtl w:val="0"/>
          <w:lang w:val="it-IT"/>
        </w:rPr>
        <w:t>: possibile partner industriale</w:t>
      </w:r>
    </w:p>
    <w:p>
      <w:pPr>
        <w:pStyle w:val="Normal"/>
        <w:ind w:left="567" w:right="567" w:firstLine="0"/>
        <w:jc w:val="both"/>
        <w:rPr>
          <w:rFonts w:ascii="Book Antiqua" w:cs="Book Antiqua" w:hAnsi="Book Antiqua" w:eastAsia="Book Antiqua"/>
        </w:rPr>
      </w:pPr>
    </w:p>
    <w:p>
      <w:pPr>
        <w:pStyle w:val="Normal"/>
        <w:ind w:left="567" w:right="567" w:firstLine="0"/>
        <w:rPr>
          <w:rFonts w:ascii="Book Antiqua" w:cs="Book Antiqua" w:hAnsi="Book Antiqua" w:eastAsia="Book Antiqua"/>
        </w:rPr>
      </w:pPr>
    </w:p>
    <w:p>
      <w:pPr>
        <w:pStyle w:val="Normal"/>
        <w:ind w:left="567" w:right="567" w:firstLine="0"/>
        <w:jc w:val="both"/>
        <w:rPr>
          <w:rFonts w:ascii="Book Antiqua" w:cs="Book Antiqua" w:hAnsi="Book Antiqua" w:eastAsia="Book Antiqua"/>
          <w:sz w:val="28"/>
          <w:szCs w:val="28"/>
        </w:rPr>
      </w:pPr>
      <w:r>
        <w:rPr>
          <w:rFonts w:ascii="Book Antiqua"/>
          <w:sz w:val="28"/>
          <w:szCs w:val="28"/>
          <w:rtl w:val="0"/>
          <w:lang w:val="it-IT"/>
        </w:rPr>
        <w:t>2.3.2 Aspetti finanziari e organizzativi; il nuovo contratto di servizio</w:t>
      </w: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rPr>
      </w:pPr>
      <w:r>
        <w:rPr>
          <w:rFonts w:ascii="Book Antiqua"/>
          <w:rtl w:val="0"/>
          <w:lang w:val="it-IT"/>
        </w:rPr>
        <w:t>Risulta evidente che la situazione e le prospettive di AMA sono centrali per la valutazione del ciclo dei rifiuti di Roma Capitale e della possibilit</w:t>
      </w:r>
      <w:r>
        <w:rPr>
          <w:rFonts w:hAnsi="Book Antiqua" w:hint="default"/>
          <w:rtl w:val="0"/>
          <w:lang w:val="it-IT"/>
        </w:rPr>
        <w:t xml:space="preserve">à </w:t>
      </w:r>
      <w:r>
        <w:rPr>
          <w:rFonts w:ascii="Book Antiqua"/>
          <w:rtl w:val="0"/>
          <w:lang w:val="it-IT"/>
        </w:rPr>
        <w:t>di un</w:t>
      </w:r>
      <w:r>
        <w:rPr>
          <w:rFonts w:hAnsi="Book Antiqua" w:hint="default"/>
          <w:rtl w:val="0"/>
          <w:lang w:val="it-IT"/>
        </w:rPr>
        <w:t>’</w:t>
      </w:r>
      <w:r>
        <w:rPr>
          <w:rFonts w:ascii="Book Antiqua"/>
          <w:rtl w:val="0"/>
          <w:lang w:val="it-IT"/>
        </w:rPr>
        <w:t>evoluzione che limiti i rischi di illegalit</w:t>
      </w:r>
      <w:r>
        <w:rPr>
          <w:rFonts w:hAnsi="Book Antiqua" w:hint="default"/>
          <w:rtl w:val="0"/>
          <w:lang w:val="it-IT"/>
        </w:rPr>
        <w:t xml:space="preserve">à </w:t>
      </w:r>
      <w:r>
        <w:rPr>
          <w:rFonts w:ascii="Book Antiqua"/>
          <w:rtl w:val="0"/>
          <w:lang w:val="it-IT"/>
        </w:rPr>
        <w:t>ambientale o amministrativa.</w:t>
      </w:r>
    </w:p>
    <w:p>
      <w:pPr>
        <w:pStyle w:val="Normal"/>
        <w:ind w:left="567" w:right="567" w:firstLine="0"/>
        <w:jc w:val="both"/>
        <w:rPr>
          <w:rFonts w:ascii="Book Antiqua" w:cs="Book Antiqua" w:hAnsi="Book Antiqua" w:eastAsia="Book Antiqua"/>
        </w:rPr>
      </w:pPr>
      <w:r>
        <w:rPr>
          <w:rFonts w:ascii="Book Antiqua"/>
          <w:rtl w:val="0"/>
          <w:lang w:val="it-IT"/>
        </w:rPr>
        <w:t>Dopo una lunga serie di proroghe del precedente contratto di servizio per l'igiene urbana, il 12 maggio 2016</w:t>
      </w:r>
      <w:r>
        <w:rPr>
          <w:rFonts w:hAnsi="Book Antiqua" w:hint="default"/>
          <w:rtl w:val="0"/>
          <w:lang w:val="it-IT"/>
        </w:rPr>
        <w:t xml:space="preserve"> è </w:t>
      </w:r>
      <w:r>
        <w:rPr>
          <w:rFonts w:ascii="Book Antiqua"/>
          <w:rtl w:val="0"/>
          <w:lang w:val="it-IT"/>
        </w:rPr>
        <w:t xml:space="preserve">stato approvato ed </w:t>
      </w:r>
      <w:r>
        <w:rPr>
          <w:rFonts w:hAnsi="Book Antiqua" w:hint="default"/>
          <w:rtl w:val="0"/>
          <w:lang w:val="it-IT"/>
        </w:rPr>
        <w:t xml:space="preserve">è </w:t>
      </w:r>
      <w:r>
        <w:rPr>
          <w:rFonts w:ascii="Book Antiqua"/>
          <w:rtl w:val="0"/>
          <w:lang w:val="it-IT"/>
        </w:rPr>
        <w:t>attualmente vigente</w:t>
      </w:r>
      <w:r>
        <w:rPr>
          <w:rFonts w:hAnsi="Book Antiqua" w:hint="default"/>
          <w:rtl w:val="0"/>
          <w:lang w:val="it-IT"/>
        </w:rPr>
        <w:t> </w:t>
      </w:r>
      <w:r>
        <w:rPr>
          <w:rFonts w:ascii="Book Antiqua"/>
          <w:rtl w:val="0"/>
          <w:lang w:val="it-IT"/>
        </w:rPr>
        <w:t>il nuovo contratto di servizio</w:t>
      </w:r>
      <w:r>
        <w:rPr>
          <w:rFonts w:ascii="Book Antiqua" w:cs="Book Antiqua" w:hAnsi="Book Antiqua" w:eastAsia="Book Antiqua"/>
          <w:vertAlign w:val="superscript"/>
          <w:rtl w:val="0"/>
        </w:rPr>
        <w:footnoteReference w:id="111"/>
      </w:r>
      <w:r>
        <w:rPr>
          <w:rFonts w:ascii="Book Antiqua"/>
          <w:rtl w:val="0"/>
          <w:lang w:val="it-IT"/>
        </w:rPr>
        <w:t xml:space="preserve"> tra Roma Capitale e AMA per il triennio 2016/2018 (Deliberazione n. 77 del commissario straordinario - Contratto di Servizio tra Roma Capitale ed AMA S.p.A. per la gestione dei rifiuti urbani e i servizi di igiene urbana valevole dal 1</w:t>
      </w:r>
      <w:r>
        <w:rPr>
          <w:rFonts w:hAnsi="Book Antiqua" w:hint="default"/>
          <w:rtl w:val="0"/>
          <w:lang w:val="it-IT"/>
        </w:rPr>
        <w:t xml:space="preserve">° </w:t>
      </w:r>
      <w:r>
        <w:rPr>
          <w:rFonts w:ascii="Book Antiqua"/>
          <w:rtl w:val="0"/>
          <w:lang w:val="it-IT"/>
        </w:rPr>
        <w:t>aprile 2016 al 31 dicembre 2018), sulla base degli indirizzi programmatici e delle linee guida per il settore fissati con DAC 51/2015, come modificata con DCS-AC 2/2016.</w:t>
      </w:r>
    </w:p>
    <w:p>
      <w:pPr>
        <w:pStyle w:val="Normal"/>
        <w:ind w:left="567" w:right="567" w:firstLine="0"/>
        <w:jc w:val="both"/>
        <w:rPr>
          <w:rFonts w:ascii="Book Antiqua" w:cs="Book Antiqua" w:hAnsi="Book Antiqua" w:eastAsia="Book Antiqua"/>
        </w:rPr>
      </w:pPr>
      <w:r>
        <w:rPr>
          <w:rFonts w:ascii="Book Antiqua"/>
          <w:rtl w:val="0"/>
          <w:lang w:val="it-IT"/>
        </w:rPr>
        <w:t>Fra le novit</w:t>
      </w:r>
      <w:r>
        <w:rPr>
          <w:rFonts w:hAnsi="Book Antiqua" w:hint="default"/>
          <w:rtl w:val="0"/>
          <w:lang w:val="it-IT"/>
        </w:rPr>
        <w:t xml:space="preserve">à </w:t>
      </w:r>
      <w:r>
        <w:rPr>
          <w:rFonts w:ascii="Book Antiqua"/>
          <w:rtl w:val="0"/>
          <w:lang w:val="it-IT"/>
        </w:rPr>
        <w:t xml:space="preserve">principali indicate nelle linee guida, </w:t>
      </w:r>
      <w:r>
        <w:rPr>
          <w:rFonts w:hAnsi="Book Antiqua" w:hint="default"/>
          <w:rtl w:val="0"/>
          <w:lang w:val="it-IT"/>
        </w:rPr>
        <w:t xml:space="preserve">è </w:t>
      </w:r>
      <w:r>
        <w:rPr>
          <w:rFonts w:ascii="Book Antiqua"/>
          <w:rtl w:val="0"/>
          <w:lang w:val="it-IT"/>
        </w:rPr>
        <w:t>stato recepito nel nuovo contratto il criterio per cui gli obiettivi di servizio devono migliorare progressivamente nel corso del triennio.</w:t>
      </w:r>
      <w:r>
        <w:rPr>
          <w:rFonts w:hAnsi="Book Antiqua" w:hint="default"/>
          <w:rtl w:val="0"/>
          <w:lang w:val="it-IT"/>
        </w:rPr>
        <w:t> </w:t>
      </w:r>
    </w:p>
    <w:p>
      <w:pPr>
        <w:pStyle w:val="Normal"/>
        <w:ind w:left="567" w:right="567" w:firstLine="0"/>
        <w:jc w:val="both"/>
        <w:rPr>
          <w:rFonts w:ascii="Book Antiqua" w:cs="Book Antiqua" w:hAnsi="Book Antiqua" w:eastAsia="Book Antiqua"/>
        </w:rPr>
      </w:pPr>
      <w:r>
        <w:rPr>
          <w:rFonts w:ascii="Book Antiqua"/>
          <w:rtl w:val="0"/>
          <w:lang w:val="it-IT"/>
        </w:rPr>
        <w:t>E</w:t>
      </w:r>
      <w:r>
        <w:rPr>
          <w:rFonts w:hAnsi="Book Antiqua" w:hint="default"/>
          <w:rtl w:val="0"/>
          <w:lang w:val="it-IT"/>
        </w:rPr>
        <w:t xml:space="preserve">’ </w:t>
      </w:r>
      <w:r>
        <w:rPr>
          <w:rFonts w:ascii="Book Antiqua"/>
          <w:rtl w:val="0"/>
          <w:lang w:val="it-IT"/>
        </w:rPr>
        <w:t>stato invece solo parzialmente recepito</w:t>
      </w:r>
      <w:r>
        <w:rPr>
          <w:rFonts w:hAnsi="Book Antiqua" w:hint="default"/>
          <w:rtl w:val="0"/>
          <w:lang w:val="it-IT"/>
        </w:rPr>
        <w:t> </w:t>
      </w:r>
      <w:r>
        <w:rPr>
          <w:rFonts w:ascii="Book Antiqua"/>
          <w:rtl w:val="0"/>
          <w:lang w:val="it-IT"/>
        </w:rPr>
        <w:t>l'obiettivo</w:t>
      </w:r>
      <w:r>
        <w:rPr>
          <w:rFonts w:hAnsi="Book Antiqua" w:hint="default"/>
          <w:rtl w:val="0"/>
          <w:lang w:val="it-IT"/>
        </w:rPr>
        <w:t> </w:t>
      </w:r>
      <w:r>
        <w:rPr>
          <w:rFonts w:ascii="Book Antiqua"/>
          <w:rtl w:val="0"/>
          <w:lang w:val="it-IT"/>
        </w:rPr>
        <w:t>- espressamente indicato nelle linee guida - della massimizzazione dei</w:t>
      </w:r>
      <w:r>
        <w:rPr>
          <w:rFonts w:hAnsi="Book Antiqua" w:hint="default"/>
          <w:rtl w:val="0"/>
          <w:lang w:val="it-IT"/>
        </w:rPr>
        <w:t> </w:t>
      </w:r>
      <w:r>
        <w:rPr>
          <w:rFonts w:ascii="Book Antiqua"/>
          <w:rtl w:val="0"/>
          <w:lang w:val="it-IT"/>
        </w:rPr>
        <w:t>ricavi</w:t>
      </w:r>
      <w:r>
        <w:rPr>
          <w:rFonts w:hAnsi="Book Antiqua" w:hint="default"/>
          <w:rtl w:val="0"/>
          <w:lang w:val="it-IT"/>
        </w:rPr>
        <w:t> </w:t>
      </w:r>
      <w:r>
        <w:rPr>
          <w:rFonts w:ascii="Book Antiqua"/>
          <w:rtl w:val="0"/>
          <w:lang w:val="it-IT"/>
        </w:rPr>
        <w:t>derivanti dalla vendita dei materiali separati, focalizzando piuttosto sulla massimizzazione delle</w:t>
      </w:r>
      <w:r>
        <w:rPr>
          <w:rFonts w:hAnsi="Book Antiqua" w:hint="default"/>
          <w:rtl w:val="0"/>
          <w:lang w:val="it-IT"/>
        </w:rPr>
        <w:t> </w:t>
      </w:r>
      <w:r>
        <w:rPr>
          <w:rFonts w:ascii="Book Antiqua"/>
          <w:rtl w:val="0"/>
          <w:lang w:val="it-IT"/>
        </w:rPr>
        <w:t>quantit</w:t>
      </w:r>
      <w:r>
        <w:rPr>
          <w:rFonts w:hAnsi="Book Antiqua" w:hint="default"/>
          <w:rtl w:val="0"/>
          <w:lang w:val="it-IT"/>
        </w:rPr>
        <w:t>à </w:t>
      </w:r>
      <w:r>
        <w:rPr>
          <w:rFonts w:ascii="Book Antiqua"/>
          <w:rtl w:val="0"/>
          <w:lang w:val="it-IT"/>
        </w:rPr>
        <w:t>separate che non sulla loro</w:t>
      </w:r>
      <w:r>
        <w:rPr>
          <w:rFonts w:hAnsi="Book Antiqua" w:hint="default"/>
          <w:rtl w:val="0"/>
          <w:lang w:val="it-IT"/>
        </w:rPr>
        <w:t> </w:t>
      </w:r>
      <w:r>
        <w:rPr>
          <w:rFonts w:ascii="Book Antiqua"/>
          <w:rtl w:val="0"/>
          <w:lang w:val="it-IT"/>
        </w:rPr>
        <w:t>valorizzazione. Le linee guida, infine, avevano dato un forte segnale di rottura rispetto al passato nel senso del decentramento del servizio, attribuendo pi</w:t>
      </w:r>
      <w:r>
        <w:rPr>
          <w:rFonts w:hAnsi="Book Antiqua" w:hint="default"/>
          <w:rtl w:val="0"/>
          <w:lang w:val="it-IT"/>
        </w:rPr>
        <w:t xml:space="preserve">ù </w:t>
      </w:r>
      <w:r>
        <w:rPr>
          <w:rFonts w:ascii="Book Antiqua"/>
          <w:rtl w:val="0"/>
          <w:lang w:val="it-IT"/>
        </w:rPr>
        <w:t>responsabilit</w:t>
      </w:r>
      <w:r>
        <w:rPr>
          <w:rFonts w:hAnsi="Book Antiqua" w:hint="default"/>
          <w:rtl w:val="0"/>
          <w:lang w:val="it-IT"/>
        </w:rPr>
        <w:t xml:space="preserve">à </w:t>
      </w:r>
      <w:r>
        <w:rPr>
          <w:rFonts w:ascii="Book Antiqua"/>
          <w:rtl w:val="0"/>
          <w:lang w:val="it-IT"/>
        </w:rPr>
        <w:t>e pi</w:t>
      </w:r>
      <w:r>
        <w:rPr>
          <w:rFonts w:hAnsi="Book Antiqua" w:hint="default"/>
          <w:rtl w:val="0"/>
          <w:lang w:val="it-IT"/>
        </w:rPr>
        <w:t xml:space="preserve">ù </w:t>
      </w:r>
      <w:r>
        <w:rPr>
          <w:rFonts w:ascii="Book Antiqua"/>
          <w:rtl w:val="0"/>
          <w:lang w:val="it-IT"/>
        </w:rPr>
        <w:t xml:space="preserve">autonomia ai Municipi, anche consentendo loro il ricorso al mercato per servizi integrativi; il riferimento esplicito al decentramento e all'autonomia contrattuale </w:t>
      </w:r>
      <w:r>
        <w:rPr>
          <w:rFonts w:hAnsi="Book Antiqua" w:hint="default"/>
          <w:rtl w:val="0"/>
          <w:lang w:val="it-IT"/>
        </w:rPr>
        <w:t xml:space="preserve">è </w:t>
      </w:r>
      <w:r>
        <w:rPr>
          <w:rFonts w:ascii="Book Antiqua"/>
          <w:rtl w:val="0"/>
          <w:lang w:val="it-IT"/>
        </w:rPr>
        <w:t xml:space="preserve">stato abolito con la DCS-AC 2/2016, che ha mantenuto solo l'organizzazione del servizio su base municipale, prevedendo a tal fine la realizzazione di un'interfaccia diretta fra AMA e le varie dirigenze municipali. Nel contratto non </w:t>
      </w:r>
      <w:r>
        <w:rPr>
          <w:rFonts w:hAnsi="Book Antiqua" w:hint="default"/>
          <w:rtl w:val="0"/>
          <w:lang w:val="it-IT"/>
        </w:rPr>
        <w:t xml:space="preserve">è </w:t>
      </w:r>
      <w:r>
        <w:rPr>
          <w:rFonts w:ascii="Book Antiqua"/>
          <w:rtl w:val="0"/>
          <w:lang w:val="it-IT"/>
        </w:rPr>
        <w:t>stata inoltre recepita l'indicazione delle linee guida che attribuiva autonomia ai Municipi anche per la gestione di agevolazioni tariffarie.</w:t>
      </w:r>
      <w:r>
        <w:rPr>
          <w:rFonts w:hAnsi="Book Antiqua" w:hint="default"/>
          <w:rtl w:val="0"/>
          <w:lang w:val="it-IT"/>
        </w:rPr>
        <w:t> </w:t>
      </w:r>
    </w:p>
    <w:p>
      <w:pPr>
        <w:pStyle w:val="Normal"/>
        <w:ind w:left="567" w:right="567" w:firstLine="0"/>
        <w:jc w:val="both"/>
        <w:rPr>
          <w:rFonts w:ascii="Book Antiqua" w:cs="Book Antiqua" w:hAnsi="Book Antiqua" w:eastAsia="Book Antiqua"/>
        </w:rPr>
      </w:pPr>
      <w:r>
        <w:rPr>
          <w:rFonts w:ascii="Book Antiqua"/>
          <w:rtl w:val="0"/>
          <w:lang w:val="it-IT"/>
        </w:rPr>
        <w:t>Negli allegati tecnici al contratto sono fissati, tra l</w:t>
      </w:r>
      <w:r>
        <w:rPr>
          <w:rFonts w:hAnsi="Book Antiqua" w:hint="default"/>
          <w:rtl w:val="0"/>
          <w:lang w:val="it-IT"/>
        </w:rPr>
        <w:t>’</w:t>
      </w:r>
      <w:r>
        <w:rPr>
          <w:rFonts w:ascii="Book Antiqua"/>
          <w:rtl w:val="0"/>
          <w:lang w:val="it-IT"/>
        </w:rPr>
        <w:t>altro, livelli e obiettivi di servizio, nonch</w:t>
      </w:r>
      <w:r>
        <w:rPr>
          <w:rFonts w:hAnsi="Book Antiqua" w:hint="default"/>
          <w:rtl w:val="0"/>
          <w:lang w:val="it-IT"/>
        </w:rPr>
        <w:t xml:space="preserve">é </w:t>
      </w:r>
      <w:r>
        <w:rPr>
          <w:rFonts w:ascii="Book Antiqua"/>
          <w:rtl w:val="0"/>
          <w:lang w:val="it-IT"/>
        </w:rPr>
        <w:t>i criteri per l'esecuzione di</w:t>
      </w:r>
      <w:r>
        <w:rPr>
          <w:rFonts w:hAnsi="Book Antiqua" w:hint="default"/>
          <w:rtl w:val="0"/>
          <w:lang w:val="it-IT"/>
        </w:rPr>
        <w:t> </w:t>
      </w:r>
      <w:r>
        <w:rPr>
          <w:rFonts w:ascii="Book Antiqua"/>
          <w:rtl w:val="0"/>
          <w:lang w:val="it-IT"/>
        </w:rPr>
        <w:t>monitoraggi della qualit</w:t>
      </w:r>
      <w:r>
        <w:rPr>
          <w:rFonts w:hAnsi="Book Antiqua" w:hint="default"/>
          <w:rtl w:val="0"/>
          <w:lang w:val="it-IT"/>
        </w:rPr>
        <w:t xml:space="preserve">à </w:t>
      </w:r>
      <w:r>
        <w:rPr>
          <w:rFonts w:ascii="Book Antiqua"/>
          <w:rtl w:val="0"/>
          <w:lang w:val="it-IT"/>
        </w:rPr>
        <w:t>erogata e percepita. I corrispettivi sono versati mensilmente previa presentazione da parte di AMA della</w:t>
      </w:r>
      <w:r>
        <w:rPr>
          <w:rFonts w:hAnsi="Book Antiqua" w:hint="default"/>
          <w:rtl w:val="0"/>
          <w:lang w:val="it-IT"/>
        </w:rPr>
        <w:t> </w:t>
      </w:r>
      <w:r>
        <w:rPr>
          <w:rFonts w:ascii="Book Antiqua"/>
          <w:rtl w:val="0"/>
          <w:lang w:val="it-IT"/>
        </w:rPr>
        <w:t xml:space="preserve">reportistica sull'esecuzione dei servizi programmati. </w:t>
      </w:r>
    </w:p>
    <w:p>
      <w:pPr>
        <w:pStyle w:val="Normal"/>
        <w:ind w:left="567" w:right="567" w:firstLine="0"/>
        <w:jc w:val="both"/>
        <w:rPr>
          <w:rFonts w:ascii="Book Antiqua" w:cs="Book Antiqua" w:hAnsi="Book Antiqua" w:eastAsia="Book Antiqua"/>
        </w:rPr>
      </w:pPr>
      <w:r>
        <w:rPr>
          <w:rFonts w:ascii="Book Antiqua"/>
          <w:rtl w:val="0"/>
          <w:lang w:val="it-IT"/>
        </w:rPr>
        <w:t xml:space="preserve">Fra gli allegati </w:t>
      </w:r>
      <w:r>
        <w:rPr>
          <w:rFonts w:hAnsi="Book Antiqua" w:hint="default"/>
          <w:rtl w:val="0"/>
          <w:lang w:val="it-IT"/>
        </w:rPr>
        <w:t xml:space="preserve">è </w:t>
      </w:r>
      <w:r>
        <w:rPr>
          <w:rFonts w:ascii="Book Antiqua"/>
          <w:rtl w:val="0"/>
          <w:lang w:val="it-IT"/>
        </w:rPr>
        <w:t>stato inserito anche il parere</w:t>
      </w:r>
      <w:r>
        <w:rPr>
          <w:rFonts w:hAnsi="Book Antiqua" w:hint="default"/>
          <w:rtl w:val="0"/>
          <w:lang w:val="it-IT"/>
        </w:rPr>
        <w:t> </w:t>
      </w:r>
      <w:r>
        <w:rPr>
          <w:rFonts w:ascii="Book Antiqua"/>
          <w:rtl w:val="0"/>
          <w:lang w:val="it-IT"/>
        </w:rPr>
        <w:t>reso dall</w:t>
      </w:r>
      <w:r>
        <w:rPr>
          <w:rFonts w:hAnsi="Book Antiqua" w:hint="default"/>
          <w:rtl w:val="0"/>
          <w:lang w:val="it-IT"/>
        </w:rPr>
        <w:t>’</w:t>
      </w:r>
      <w:r>
        <w:rPr>
          <w:rFonts w:ascii="Book Antiqua"/>
          <w:rtl w:val="0"/>
          <w:lang w:val="it-IT"/>
        </w:rPr>
        <w:t>Agenzia per il controllo e la qualit</w:t>
      </w:r>
      <w:r>
        <w:rPr>
          <w:rFonts w:hAnsi="Book Antiqua" w:hint="default"/>
          <w:rtl w:val="0"/>
          <w:lang w:val="it-IT"/>
        </w:rPr>
        <w:t xml:space="preserve">à </w:t>
      </w:r>
      <w:r>
        <w:rPr>
          <w:rFonts w:ascii="Book Antiqua"/>
          <w:rtl w:val="0"/>
          <w:lang w:val="it-IT"/>
        </w:rPr>
        <w:t>dei servizi pubblici locali di Roma Capitale, gi</w:t>
      </w:r>
      <w:r>
        <w:rPr>
          <w:rFonts w:hAnsi="Book Antiqua" w:hint="default"/>
          <w:rtl w:val="0"/>
          <w:lang w:val="it-IT"/>
        </w:rPr>
        <w:t>à </w:t>
      </w:r>
      <w:r>
        <w:rPr>
          <w:rFonts w:ascii="Book Antiqua"/>
          <w:rtl w:val="0"/>
          <w:lang w:val="it-IT"/>
        </w:rPr>
        <w:t>recepito per quanto riguarda i livelli e gli obiettivi di servizio, mentre la valutazione</w:t>
      </w:r>
      <w:r>
        <w:rPr>
          <w:rFonts w:hAnsi="Book Antiqua" w:hint="default"/>
          <w:rtl w:val="0"/>
          <w:lang w:val="it-IT"/>
        </w:rPr>
        <w:t> </w:t>
      </w:r>
      <w:r>
        <w:rPr>
          <w:rFonts w:ascii="Book Antiqua"/>
          <w:rtl w:val="0"/>
          <w:lang w:val="it-IT"/>
        </w:rPr>
        <w:t xml:space="preserve">delle altre argomentazioni </w:t>
      </w:r>
      <w:r>
        <w:rPr>
          <w:rFonts w:hAnsi="Book Antiqua" w:hint="default"/>
          <w:rtl w:val="0"/>
          <w:lang w:val="it-IT"/>
        </w:rPr>
        <w:t xml:space="preserve">è </w:t>
      </w:r>
      <w:r>
        <w:rPr>
          <w:rFonts w:ascii="Book Antiqua"/>
          <w:rtl w:val="0"/>
          <w:lang w:val="it-IT"/>
        </w:rPr>
        <w:t>stata rimandata alla fase attuativa del contratto, da discutere nell'ambito di un costituendo</w:t>
      </w:r>
      <w:r>
        <w:rPr>
          <w:rFonts w:hAnsi="Book Antiqua" w:hint="default"/>
          <w:rtl w:val="0"/>
          <w:lang w:val="it-IT"/>
        </w:rPr>
        <w:t> </w:t>
      </w:r>
      <w:r>
        <w:rPr>
          <w:rFonts w:ascii="Book Antiqua"/>
          <w:rtl w:val="0"/>
          <w:lang w:val="it-IT"/>
        </w:rPr>
        <w:t>organismo di controllo.</w:t>
      </w:r>
      <w:r>
        <w:rPr>
          <w:rFonts w:hAnsi="Book Antiqua" w:hint="default"/>
          <w:rtl w:val="0"/>
          <w:lang w:val="it-IT"/>
        </w:rPr>
        <w:t> </w:t>
      </w:r>
    </w:p>
    <w:p>
      <w:pPr>
        <w:pStyle w:val="Normal"/>
        <w:ind w:left="567" w:right="567" w:firstLine="0"/>
        <w:jc w:val="both"/>
        <w:rPr>
          <w:rFonts w:ascii="Book Antiqua" w:cs="Book Antiqua" w:hAnsi="Book Antiqua" w:eastAsia="Book Antiqua"/>
        </w:rPr>
      </w:pPr>
      <w:r>
        <w:rPr>
          <w:rFonts w:ascii="Book Antiqua"/>
          <w:rtl w:val="0"/>
          <w:lang w:val="it-IT"/>
        </w:rPr>
        <w:t>Tale organismo -</w:t>
      </w:r>
      <w:r>
        <w:rPr>
          <w:rFonts w:hAnsi="Book Antiqua" w:hint="default"/>
          <w:rtl w:val="0"/>
          <w:lang w:val="it-IT"/>
        </w:rPr>
        <w:t> </w:t>
      </w:r>
      <w:r>
        <w:rPr>
          <w:rFonts w:ascii="Book Antiqua"/>
          <w:rtl w:val="0"/>
          <w:lang w:val="it-IT"/>
        </w:rPr>
        <w:t>che si occuper</w:t>
      </w:r>
      <w:r>
        <w:rPr>
          <w:rFonts w:hAnsi="Book Antiqua" w:hint="default"/>
          <w:rtl w:val="0"/>
          <w:lang w:val="it-IT"/>
        </w:rPr>
        <w:t xml:space="preserve">à </w:t>
      </w:r>
      <w:r>
        <w:rPr>
          <w:rFonts w:ascii="Book Antiqua"/>
          <w:rtl w:val="0"/>
          <w:lang w:val="it-IT"/>
        </w:rPr>
        <w:t>anche di svolgere i monitoraggi, fissare la misura di eventuali penali e incentivi, nonch</w:t>
      </w:r>
      <w:r>
        <w:rPr>
          <w:rFonts w:hAnsi="Book Antiqua" w:hint="default"/>
          <w:rtl w:val="0"/>
          <w:lang w:val="it-IT"/>
        </w:rPr>
        <w:t xml:space="preserve">é </w:t>
      </w:r>
      <w:r>
        <w:rPr>
          <w:rFonts w:ascii="Book Antiqua"/>
          <w:rtl w:val="0"/>
          <w:lang w:val="it-IT"/>
        </w:rPr>
        <w:t>valutare la reportistica aziendale - sar</w:t>
      </w:r>
      <w:r>
        <w:rPr>
          <w:rFonts w:hAnsi="Book Antiqua" w:hint="default"/>
          <w:rtl w:val="0"/>
          <w:lang w:val="it-IT"/>
        </w:rPr>
        <w:t xml:space="preserve">à </w:t>
      </w:r>
      <w:r>
        <w:rPr>
          <w:rFonts w:ascii="Book Antiqua"/>
          <w:rtl w:val="0"/>
          <w:lang w:val="it-IT"/>
        </w:rPr>
        <w:t>composto da</w:t>
      </w:r>
      <w:r>
        <w:rPr>
          <w:rFonts w:hAnsi="Book Antiqua" w:hint="default"/>
          <w:rtl w:val="0"/>
          <w:lang w:val="it-IT"/>
        </w:rPr>
        <w:t> </w:t>
      </w:r>
      <w:r>
        <w:rPr>
          <w:rFonts w:ascii="Book Antiqua"/>
          <w:rtl w:val="0"/>
          <w:lang w:val="it-IT"/>
        </w:rPr>
        <w:t xml:space="preserve">due rappresentanti del Dipartimento ambiente (di cui uno </w:t>
      </w:r>
      <w:r>
        <w:rPr>
          <w:rFonts w:hAnsi="Book Antiqua" w:hint="default"/>
          <w:rtl w:val="0"/>
          <w:lang w:val="it-IT"/>
        </w:rPr>
        <w:t xml:space="preserve">è </w:t>
      </w:r>
      <w:r>
        <w:rPr>
          <w:rFonts w:ascii="Book Antiqua"/>
          <w:rtl w:val="0"/>
          <w:lang w:val="it-IT"/>
        </w:rPr>
        <w:t>il Direttore della divisione rifiuti,</w:t>
      </w:r>
      <w:r>
        <w:rPr>
          <w:rFonts w:hAnsi="Book Antiqua" w:hint="default"/>
          <w:rtl w:val="0"/>
          <w:lang w:val="it-IT"/>
        </w:rPr>
        <w:t> </w:t>
      </w:r>
      <w:r>
        <w:rPr>
          <w:rFonts w:ascii="Book Antiqua"/>
          <w:rtl w:val="0"/>
          <w:lang w:val="it-IT"/>
        </w:rPr>
        <w:t>con funzione di Presidente), un rappresentante del Dipartimento partecipazioni, due rappresentanti di AMA e due rappresentanti dell'Agenzia.</w:t>
      </w:r>
    </w:p>
    <w:p>
      <w:pPr>
        <w:pStyle w:val="Normal"/>
        <w:ind w:left="567" w:right="567" w:firstLine="0"/>
        <w:jc w:val="both"/>
        <w:rPr>
          <w:rFonts w:ascii="Book Antiqua" w:cs="Book Antiqua" w:hAnsi="Book Antiqua" w:eastAsia="Book Antiqua"/>
        </w:rPr>
      </w:pPr>
      <w:r>
        <w:rPr>
          <w:rFonts w:ascii="Book Antiqua"/>
          <w:rtl w:val="0"/>
          <w:lang w:val="it-IT"/>
        </w:rPr>
        <w:t>Le considerazioni svolte dell</w:t>
      </w:r>
      <w:r>
        <w:rPr>
          <w:rFonts w:hAnsi="Book Antiqua" w:hint="default"/>
          <w:rtl w:val="0"/>
          <w:lang w:val="it-IT"/>
        </w:rPr>
        <w:t>’</w:t>
      </w:r>
      <w:r>
        <w:rPr>
          <w:rFonts w:ascii="Book Antiqua"/>
          <w:rtl w:val="0"/>
          <w:lang w:val="it-IT"/>
        </w:rPr>
        <w:t>Agenzia per il controllo e la qualit</w:t>
      </w:r>
      <w:r>
        <w:rPr>
          <w:rFonts w:hAnsi="Book Antiqua" w:hint="default"/>
          <w:rtl w:val="0"/>
          <w:lang w:val="it-IT"/>
        </w:rPr>
        <w:t xml:space="preserve">à </w:t>
      </w:r>
      <w:r>
        <w:rPr>
          <w:rFonts w:ascii="Book Antiqua"/>
          <w:rtl w:val="0"/>
          <w:lang w:val="it-IT"/>
        </w:rPr>
        <w:t>dei servizi pubblici locali di Roma Capitale</w:t>
      </w:r>
      <w:r>
        <w:rPr>
          <w:rFonts w:ascii="Book Antiqua" w:cs="Book Antiqua" w:hAnsi="Book Antiqua" w:eastAsia="Book Antiqua"/>
          <w:vertAlign w:val="superscript"/>
          <w:rtl w:val="0"/>
        </w:rPr>
        <w:footnoteReference w:id="112"/>
      </w:r>
      <w:r>
        <w:rPr>
          <w:rFonts w:ascii="Book Antiqua"/>
          <w:rtl w:val="0"/>
          <w:lang w:val="it-IT"/>
        </w:rPr>
        <w:t xml:space="preserve"> possono essere citate testualmente ed assunte come base per un</w:t>
      </w:r>
      <w:r>
        <w:rPr>
          <w:rFonts w:hAnsi="Book Antiqua" w:hint="default"/>
          <w:rtl w:val="0"/>
          <w:lang w:val="it-IT"/>
        </w:rPr>
        <w:t>’</w:t>
      </w:r>
      <w:r>
        <w:rPr>
          <w:rFonts w:ascii="Book Antiqua"/>
          <w:rtl w:val="0"/>
          <w:lang w:val="it-IT"/>
        </w:rPr>
        <w:t>analisi delle criticit</w:t>
      </w:r>
      <w:r>
        <w:rPr>
          <w:rFonts w:hAnsi="Book Antiqua" w:hint="default"/>
          <w:rtl w:val="0"/>
          <w:lang w:val="it-IT"/>
        </w:rPr>
        <w:t xml:space="preserve">à </w:t>
      </w:r>
      <w:r>
        <w:rPr>
          <w:rFonts w:ascii="Book Antiqua"/>
          <w:rtl w:val="0"/>
          <w:lang w:val="it-IT"/>
        </w:rPr>
        <w:t>del nuovo contratto</w:t>
      </w:r>
      <w:r>
        <w:rPr>
          <w:rFonts w:ascii="Book Antiqua" w:cs="Book Antiqua" w:hAnsi="Book Antiqua" w:eastAsia="Book Antiqua"/>
          <w:vertAlign w:val="superscript"/>
          <w:rtl w:val="0"/>
        </w:rPr>
        <w:footnoteReference w:id="113"/>
      </w:r>
      <w:r>
        <w:rPr>
          <w:rFonts w:ascii="Book Antiqua"/>
          <w:rtl w:val="0"/>
          <w:lang w:val="it-IT"/>
        </w:rPr>
        <w:t xml:space="preserve">, che, in prospettiva temporale dovranno essere valutate nel loro evolvere e concretizzarsi </w:t>
      </w:r>
      <w:r>
        <w:rPr>
          <w:rFonts w:hAnsi="Book Antiqua" w:hint="default"/>
          <w:rtl w:val="0"/>
          <w:lang w:val="it-IT"/>
        </w:rPr>
        <w:t xml:space="preserve">– </w:t>
      </w:r>
      <w:r>
        <w:rPr>
          <w:rFonts w:ascii="Book Antiqua"/>
          <w:rtl w:val="0"/>
          <w:lang w:val="it-IT"/>
        </w:rPr>
        <w:t xml:space="preserve">o meno </w:t>
      </w:r>
      <w:r>
        <w:rPr>
          <w:rFonts w:hAnsi="Book Antiqua" w:hint="default"/>
          <w:rtl w:val="0"/>
          <w:lang w:val="it-IT"/>
        </w:rPr>
        <w:t xml:space="preserve">– </w:t>
      </w:r>
      <w:r>
        <w:rPr>
          <w:rFonts w:ascii="Book Antiqua"/>
          <w:rtl w:val="0"/>
          <w:lang w:val="it-IT"/>
        </w:rPr>
        <w:t>e conseguentemente considerate nell</w:t>
      </w:r>
      <w:r>
        <w:rPr>
          <w:rFonts w:hAnsi="Book Antiqua" w:hint="default"/>
          <w:rtl w:val="0"/>
          <w:lang w:val="it-IT"/>
        </w:rPr>
        <w:t>’</w:t>
      </w:r>
      <w:r>
        <w:rPr>
          <w:rFonts w:ascii="Book Antiqua"/>
          <w:rtl w:val="0"/>
          <w:lang w:val="it-IT"/>
        </w:rPr>
        <w:t>ambito delle decisioni politiche che ci si attendono da Roma Capitale:</w:t>
      </w: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sz w:val="22"/>
          <w:szCs w:val="22"/>
        </w:rPr>
      </w:pPr>
      <w:r>
        <w:rPr>
          <w:rFonts w:ascii="Book Antiqua"/>
          <w:sz w:val="22"/>
          <w:szCs w:val="22"/>
          <w:rtl w:val="0"/>
          <w:lang w:val="it-IT"/>
        </w:rPr>
        <w:t>Ampia autonomia decisionale di AMA (in generale e in particolare per quanto riguarda la chiusura del ciclo dei rifiuti) in relazione al limitato potere di indirizzo e intervento dell</w:t>
      </w:r>
      <w:r>
        <w:rPr>
          <w:rFonts w:hAnsi="Book Antiqua" w:hint="default"/>
          <w:sz w:val="22"/>
          <w:szCs w:val="22"/>
          <w:rtl w:val="0"/>
          <w:lang w:val="it-IT"/>
        </w:rPr>
        <w:t>’</w:t>
      </w:r>
      <w:r>
        <w:rPr>
          <w:rFonts w:ascii="Book Antiqua"/>
          <w:sz w:val="22"/>
          <w:szCs w:val="22"/>
          <w:rtl w:val="0"/>
          <w:lang w:val="it-IT"/>
        </w:rPr>
        <w:t xml:space="preserve">amministrazione. </w:t>
      </w:r>
    </w:p>
    <w:p>
      <w:pPr>
        <w:pStyle w:val="Elenco a colori - Colore 11"/>
        <w:spacing w:after="0" w:line="240" w:lineRule="auto"/>
        <w:ind w:left="567" w:right="567" w:firstLine="0"/>
        <w:jc w:val="both"/>
        <w:rPr>
          <w:rFonts w:ascii="Book Antiqua" w:cs="Book Antiqua" w:hAnsi="Book Antiqua" w:eastAsia="Book Antiqua"/>
        </w:rPr>
      </w:pPr>
      <w:r>
        <w:rPr>
          <w:rFonts w:ascii="Book Antiqua"/>
          <w:rtl w:val="0"/>
          <w:lang w:val="it-IT"/>
        </w:rPr>
        <w:t>Obblighi di servizio e orari d</w:t>
      </w:r>
      <w:r>
        <w:rPr>
          <w:rFonts w:hAnsi="Book Antiqua" w:hint="default"/>
          <w:rtl w:val="0"/>
          <w:lang w:val="it-IT"/>
        </w:rPr>
        <w:t>’</w:t>
      </w:r>
      <w:r>
        <w:rPr>
          <w:rFonts w:ascii="Book Antiqua"/>
          <w:rtl w:val="0"/>
          <w:lang w:val="it-IT"/>
        </w:rPr>
        <w:t xml:space="preserve">intervento non definiti per singole strade; tempi di tolleranza per adempimento tardivo troppo lunghi (una settimana): queste caratteristiche rendono complicati e poco incisivi i necessari monitoraggi. </w:t>
      </w:r>
    </w:p>
    <w:p>
      <w:pPr>
        <w:pStyle w:val="Elenco a colori - Colore 11"/>
        <w:spacing w:after="0" w:line="240" w:lineRule="auto"/>
        <w:ind w:left="567" w:right="567" w:firstLine="0"/>
        <w:jc w:val="both"/>
        <w:rPr>
          <w:rFonts w:ascii="Book Antiqua" w:cs="Book Antiqua" w:hAnsi="Book Antiqua" w:eastAsia="Book Antiqua"/>
        </w:rPr>
      </w:pPr>
      <w:r>
        <w:rPr>
          <w:rFonts w:ascii="Book Antiqua"/>
          <w:rtl w:val="0"/>
          <w:lang w:val="it-IT"/>
        </w:rPr>
        <w:t>Aspettative della popolazione: manca un feedback funzionale che utilizzi i risultati delle indagini di qualit</w:t>
      </w:r>
      <w:r>
        <w:rPr>
          <w:rFonts w:hAnsi="Book Antiqua" w:hint="default"/>
          <w:rtl w:val="0"/>
          <w:lang w:val="it-IT"/>
        </w:rPr>
        <w:t xml:space="preserve">à </w:t>
      </w:r>
      <w:r>
        <w:rPr>
          <w:rFonts w:ascii="Book Antiqua"/>
          <w:rtl w:val="0"/>
          <w:lang w:val="it-IT"/>
        </w:rPr>
        <w:t xml:space="preserve">percepita per aggiornare gli obiettivi di servizio. </w:t>
      </w:r>
    </w:p>
    <w:p>
      <w:pPr>
        <w:pStyle w:val="Elenco a colori - Colore 11"/>
        <w:spacing w:after="0" w:line="240" w:lineRule="auto"/>
        <w:ind w:left="567" w:right="567" w:firstLine="0"/>
        <w:jc w:val="both"/>
        <w:rPr>
          <w:rFonts w:ascii="Book Antiqua" w:cs="Book Antiqua" w:hAnsi="Book Antiqua" w:eastAsia="Book Antiqua"/>
        </w:rPr>
      </w:pPr>
      <w:r>
        <w:rPr>
          <w:rFonts w:ascii="Book Antiqua"/>
          <w:rtl w:val="0"/>
          <w:lang w:val="it-IT"/>
        </w:rPr>
        <w:t>Urgenza di convocare l</w:t>
      </w:r>
      <w:r>
        <w:rPr>
          <w:rFonts w:hAnsi="Book Antiqua" w:hint="default"/>
          <w:rtl w:val="0"/>
          <w:lang w:val="it-IT"/>
        </w:rPr>
        <w:t>’</w:t>
      </w:r>
      <w:r>
        <w:rPr>
          <w:rFonts w:ascii="Book Antiqua"/>
          <w:rtl w:val="0"/>
          <w:lang w:val="it-IT"/>
        </w:rPr>
        <w:t>Organismo di controllo</w:t>
      </w:r>
      <w:r>
        <w:rPr>
          <w:rFonts w:hAnsi="Book Antiqua" w:hint="default"/>
          <w:rtl w:val="0"/>
          <w:lang w:val="it-IT"/>
        </w:rPr>
        <w:t> </w:t>
      </w:r>
      <w:r>
        <w:rPr>
          <w:rFonts w:ascii="Book Antiqua"/>
          <w:rtl w:val="0"/>
          <w:lang w:val="it-IT"/>
        </w:rPr>
        <w:t xml:space="preserve">cui </w:t>
      </w:r>
      <w:r>
        <w:rPr>
          <w:rFonts w:hAnsi="Book Antiqua" w:hint="default"/>
          <w:rtl w:val="0"/>
          <w:lang w:val="it-IT"/>
        </w:rPr>
        <w:t xml:space="preserve">è </w:t>
      </w:r>
      <w:r>
        <w:rPr>
          <w:rFonts w:ascii="Book Antiqua"/>
          <w:rtl w:val="0"/>
          <w:lang w:val="it-IT"/>
        </w:rPr>
        <w:t xml:space="preserve">demandata gran parte della fase attuativa e definitoria del contratto; tale organismo non </w:t>
      </w:r>
      <w:r>
        <w:rPr>
          <w:rFonts w:hAnsi="Book Antiqua" w:hint="default"/>
          <w:rtl w:val="0"/>
          <w:lang w:val="it-IT"/>
        </w:rPr>
        <w:t xml:space="preserve">è </w:t>
      </w:r>
      <w:r>
        <w:rPr>
          <w:rFonts w:ascii="Book Antiqua"/>
          <w:rtl w:val="0"/>
          <w:lang w:val="it-IT"/>
        </w:rPr>
        <w:t>ancora costituito.</w:t>
      </w:r>
    </w:p>
    <w:p>
      <w:pPr>
        <w:pStyle w:val="Normal"/>
        <w:ind w:left="567" w:right="567" w:firstLine="0"/>
        <w:jc w:val="both"/>
        <w:rPr>
          <w:rFonts w:ascii="Book Antiqua" w:cs="Book Antiqua" w:hAnsi="Book Antiqua" w:eastAsia="Book Antiqua"/>
          <w:sz w:val="22"/>
          <w:szCs w:val="22"/>
        </w:rPr>
      </w:pPr>
      <w:r>
        <w:rPr>
          <w:rFonts w:ascii="Book Antiqua"/>
          <w:sz w:val="22"/>
          <w:szCs w:val="22"/>
          <w:rtl w:val="0"/>
          <w:lang w:val="it-IT"/>
        </w:rPr>
        <w:t>Sostenibilit</w:t>
      </w:r>
      <w:r>
        <w:rPr>
          <w:rFonts w:hAnsi="Book Antiqua" w:hint="default"/>
          <w:sz w:val="22"/>
          <w:szCs w:val="22"/>
          <w:rtl w:val="0"/>
          <w:lang w:val="it-IT"/>
        </w:rPr>
        <w:t xml:space="preserve">à </w:t>
      </w:r>
      <w:r>
        <w:rPr>
          <w:rFonts w:ascii="Book Antiqua"/>
          <w:sz w:val="22"/>
          <w:szCs w:val="22"/>
          <w:rtl w:val="0"/>
          <w:lang w:val="it-IT"/>
        </w:rPr>
        <w:t>economica:</w:t>
      </w:r>
    </w:p>
    <w:p>
      <w:pPr>
        <w:pStyle w:val="Elenco a colori - Colore 11"/>
        <w:spacing w:after="0" w:line="240" w:lineRule="auto"/>
        <w:ind w:left="567" w:right="567" w:firstLine="0"/>
        <w:jc w:val="both"/>
        <w:rPr>
          <w:rFonts w:ascii="Book Antiqua" w:cs="Book Antiqua" w:hAnsi="Book Antiqua" w:eastAsia="Book Antiqua"/>
        </w:rPr>
      </w:pPr>
      <w:r>
        <w:rPr>
          <w:rFonts w:ascii="Book Antiqua"/>
          <w:rtl w:val="0"/>
          <w:lang w:val="it-IT"/>
        </w:rPr>
        <w:t xml:space="preserve">Nessun riferimento ai fabbisogni standard. </w:t>
      </w:r>
    </w:p>
    <w:p>
      <w:pPr>
        <w:pStyle w:val="Elenco a colori - Colore 11"/>
        <w:spacing w:after="0" w:line="240" w:lineRule="auto"/>
        <w:ind w:left="567" w:right="567" w:firstLine="0"/>
        <w:jc w:val="both"/>
        <w:rPr>
          <w:rFonts w:ascii="Book Antiqua" w:cs="Book Antiqua" w:hAnsi="Book Antiqua" w:eastAsia="Book Antiqua"/>
        </w:rPr>
      </w:pPr>
      <w:r>
        <w:rPr>
          <w:rFonts w:ascii="Book Antiqua"/>
          <w:rtl w:val="0"/>
          <w:lang w:val="it-IT"/>
        </w:rPr>
        <w:t>Manca l</w:t>
      </w:r>
      <w:r>
        <w:rPr>
          <w:rFonts w:hAnsi="Book Antiqua" w:hint="default"/>
          <w:rtl w:val="0"/>
          <w:lang w:val="it-IT"/>
        </w:rPr>
        <w:t>’</w:t>
      </w:r>
      <w:r>
        <w:rPr>
          <w:rFonts w:ascii="Book Antiqua"/>
          <w:rtl w:val="0"/>
          <w:lang w:val="it-IT"/>
        </w:rPr>
        <w:t>obbligo di massimizzare i ricavi da riciclo/recupero della raccolta differenziata, da portare in detrazione rispetto ai costi da coprire con la tariffa (sarebbe un forte incentivo per comportamenti responsabili da parte dei cittadini).</w:t>
      </w:r>
    </w:p>
    <w:p>
      <w:pPr>
        <w:pStyle w:val="Normal"/>
        <w:ind w:left="567" w:right="567" w:firstLine="0"/>
        <w:jc w:val="both"/>
        <w:rPr>
          <w:rFonts w:ascii="Book Antiqua" w:cs="Book Antiqua" w:hAnsi="Book Antiqua" w:eastAsia="Book Antiqua"/>
          <w:sz w:val="22"/>
          <w:szCs w:val="22"/>
        </w:rPr>
      </w:pPr>
      <w:r>
        <w:rPr>
          <w:rFonts w:ascii="Book Antiqua"/>
          <w:sz w:val="22"/>
          <w:szCs w:val="22"/>
          <w:rtl w:val="0"/>
          <w:lang w:val="it-IT"/>
        </w:rPr>
        <w:t>Affidamento e contratto: stato di attuazione</w:t>
      </w:r>
    </w:p>
    <w:p>
      <w:pPr>
        <w:pStyle w:val="Normal"/>
        <w:ind w:left="567" w:right="567" w:firstLine="0"/>
        <w:jc w:val="both"/>
        <w:rPr>
          <w:rFonts w:ascii="Book Antiqua" w:cs="Book Antiqua" w:hAnsi="Book Antiqua" w:eastAsia="Book Antiqua"/>
          <w:sz w:val="22"/>
          <w:szCs w:val="22"/>
        </w:rPr>
      </w:pPr>
      <w:r>
        <w:rPr>
          <w:rFonts w:ascii="Book Antiqua"/>
          <w:sz w:val="22"/>
          <w:szCs w:val="22"/>
          <w:rtl w:val="0"/>
          <w:lang w:val="it-IT"/>
        </w:rPr>
        <w:t>Aggiornamento: novembre 2016</w:t>
      </w:r>
    </w:p>
    <w:p>
      <w:pPr>
        <w:pStyle w:val="Normal"/>
        <w:ind w:left="567" w:right="567" w:firstLine="0"/>
        <w:jc w:val="both"/>
        <w:rPr>
          <w:rFonts w:ascii="Book Antiqua" w:cs="Book Antiqua" w:hAnsi="Book Antiqua" w:eastAsia="Book Antiqua"/>
          <w:sz w:val="22"/>
          <w:szCs w:val="22"/>
        </w:rPr>
      </w:pPr>
      <w:r>
        <w:rPr>
          <w:rFonts w:ascii="Book Antiqua"/>
          <w:sz w:val="22"/>
          <w:szCs w:val="22"/>
          <w:rtl w:val="0"/>
          <w:lang w:val="it-IT"/>
        </w:rPr>
        <w:t>Dopo oltre un anno dall'approvazione dell'atto di affidamento diretto del servizio ad AMA e dopo sei mesi dall'approvazione del nuovo contratto di servizio, alcune linee fondamentali dei due provvedimenti non sono state ancora nemmeno avviate.</w:t>
      </w:r>
      <w:r>
        <w:rPr>
          <w:rFonts w:hAnsi="Book Antiqua" w:hint="default"/>
          <w:sz w:val="22"/>
          <w:szCs w:val="22"/>
          <w:rtl w:val="0"/>
          <w:lang w:val="it-IT"/>
        </w:rPr>
        <w:t> </w:t>
      </w:r>
    </w:p>
    <w:p>
      <w:pPr>
        <w:pStyle w:val="Normal"/>
        <w:ind w:left="567" w:right="567" w:firstLine="0"/>
        <w:jc w:val="both"/>
        <w:rPr>
          <w:rFonts w:ascii="Book Antiqua" w:cs="Book Antiqua" w:hAnsi="Book Antiqua" w:eastAsia="Book Antiqua"/>
          <w:sz w:val="22"/>
          <w:szCs w:val="22"/>
        </w:rPr>
      </w:pPr>
      <w:r>
        <w:rPr>
          <w:rFonts w:ascii="Book Antiqua"/>
          <w:sz w:val="22"/>
          <w:szCs w:val="22"/>
          <w:rtl w:val="0"/>
          <w:lang w:val="it-IT"/>
        </w:rPr>
        <w:t xml:space="preserve">Per quanto riguarda l'affidamento, </w:t>
      </w:r>
      <w:r>
        <w:rPr>
          <w:rFonts w:hAnsi="Book Antiqua" w:hint="default"/>
          <w:sz w:val="22"/>
          <w:szCs w:val="22"/>
          <w:rtl w:val="0"/>
          <w:lang w:val="it-IT"/>
        </w:rPr>
        <w:t xml:space="preserve">è </w:t>
      </w:r>
      <w:r>
        <w:rPr>
          <w:rFonts w:ascii="Book Antiqua"/>
          <w:sz w:val="22"/>
          <w:szCs w:val="22"/>
          <w:rtl w:val="0"/>
          <w:lang w:val="it-IT"/>
        </w:rPr>
        <w:t>andato</w:t>
      </w:r>
      <w:r>
        <w:rPr>
          <w:rFonts w:hAnsi="Book Antiqua" w:hint="default"/>
          <w:sz w:val="22"/>
          <w:szCs w:val="22"/>
          <w:rtl w:val="0"/>
          <w:lang w:val="it-IT"/>
        </w:rPr>
        <w:t> </w:t>
      </w:r>
      <w:r>
        <w:rPr>
          <w:rFonts w:ascii="Book Antiqua"/>
          <w:sz w:val="22"/>
          <w:szCs w:val="22"/>
          <w:rtl w:val="0"/>
          <w:lang w:val="it-IT"/>
        </w:rPr>
        <w:t>avanti il progetto di potenziamento della raccolta differenziata (estensione a tutta la citt</w:t>
      </w:r>
      <w:r>
        <w:rPr>
          <w:rFonts w:hAnsi="Book Antiqua" w:hint="default"/>
          <w:sz w:val="22"/>
          <w:szCs w:val="22"/>
          <w:rtl w:val="0"/>
          <w:lang w:val="it-IT"/>
        </w:rPr>
        <w:t xml:space="preserve">à </w:t>
      </w:r>
      <w:r>
        <w:rPr>
          <w:rFonts w:ascii="Book Antiqua"/>
          <w:sz w:val="22"/>
          <w:szCs w:val="22"/>
          <w:rtl w:val="0"/>
          <w:lang w:val="it-IT"/>
        </w:rPr>
        <w:t>della separazione di</w:t>
      </w:r>
      <w:r>
        <w:rPr>
          <w:rFonts w:hAnsi="Book Antiqua" w:hint="default"/>
          <w:sz w:val="22"/>
          <w:szCs w:val="22"/>
          <w:rtl w:val="0"/>
          <w:lang w:val="it-IT"/>
        </w:rPr>
        <w:t> </w:t>
      </w:r>
      <w:r>
        <w:rPr>
          <w:rFonts w:ascii="Book Antiqua"/>
          <w:sz w:val="22"/>
          <w:szCs w:val="22"/>
          <w:rtl w:val="0"/>
          <w:lang w:val="it-IT"/>
        </w:rPr>
        <w:t>cinque frazioni e incremento delle utenze domestiche servite porta a porta), ma sono rimasti inattuati:</w:t>
      </w:r>
    </w:p>
    <w:p>
      <w:pPr>
        <w:pStyle w:val="Elenco a colori - Colore 11"/>
        <w:spacing w:after="0" w:line="240" w:lineRule="auto"/>
        <w:ind w:left="567" w:right="567" w:firstLine="0"/>
        <w:jc w:val="both"/>
        <w:rPr>
          <w:rFonts w:ascii="Book Antiqua" w:cs="Book Antiqua" w:hAnsi="Book Antiqua" w:eastAsia="Book Antiqua"/>
        </w:rPr>
      </w:pPr>
      <w:r>
        <w:rPr>
          <w:rFonts w:ascii="Book Antiqua"/>
          <w:rtl w:val="0"/>
          <w:lang w:val="it-IT"/>
        </w:rPr>
        <w:t>il progetto di ampliamento impiantistico previsto nel piano economico finanziario dell'affidamento (PEF), che gi</w:t>
      </w:r>
      <w:r>
        <w:rPr>
          <w:rFonts w:hAnsi="Book Antiqua" w:hint="default"/>
          <w:rtl w:val="0"/>
          <w:lang w:val="it-IT"/>
        </w:rPr>
        <w:t xml:space="preserve">à </w:t>
      </w:r>
      <w:r>
        <w:rPr>
          <w:rFonts w:ascii="Book Antiqua"/>
          <w:rtl w:val="0"/>
          <w:lang w:val="it-IT"/>
        </w:rPr>
        <w:t>nel 2016 prevedeva di mettere a regime il primo ecodistretto (quello di Rocca Cencia, che avrebbe dovuto ospitare la</w:t>
      </w:r>
      <w:r>
        <w:rPr>
          <w:rFonts w:hAnsi="Book Antiqua" w:hint="default"/>
          <w:rtl w:val="0"/>
          <w:lang w:val="it-IT"/>
        </w:rPr>
        <w:t> </w:t>
      </w:r>
      <w:r>
        <w:rPr>
          <w:rFonts w:ascii="Book Antiqua"/>
          <w:rtl w:val="0"/>
          <w:lang w:val="it-IT"/>
        </w:rPr>
        <w:t>riqualificazione impiantistica, sostituendo l'impianto di separazione della frazione multimateriale e quello di trattamento meccanico biologico, TMB, con varie filiere di recupero e valorizzazione delle raccolte differenziate, cominciando cos</w:t>
      </w:r>
      <w:r>
        <w:rPr>
          <w:rFonts w:hAnsi="Book Antiqua" w:hint="default"/>
          <w:rtl w:val="0"/>
          <w:lang w:val="it-IT"/>
        </w:rPr>
        <w:t xml:space="preserve">ì </w:t>
      </w:r>
      <w:r>
        <w:rPr>
          <w:rFonts w:ascii="Book Antiqua"/>
          <w:rtl w:val="0"/>
          <w:lang w:val="it-IT"/>
        </w:rPr>
        <w:t xml:space="preserve">a trasformare davvero la differenziata da costo a risorsa, cosa che al momento avviene solo per la carta e il vetro); </w:t>
      </w:r>
    </w:p>
    <w:p>
      <w:pPr>
        <w:pStyle w:val="Elenco a colori - Colore 11"/>
        <w:spacing w:after="0" w:line="240" w:lineRule="auto"/>
        <w:ind w:left="567" w:right="567" w:firstLine="0"/>
        <w:jc w:val="both"/>
        <w:rPr>
          <w:rFonts w:ascii="Book Antiqua" w:cs="Book Antiqua" w:hAnsi="Book Antiqua" w:eastAsia="Book Antiqua"/>
        </w:rPr>
      </w:pPr>
      <w:r>
        <w:rPr>
          <w:rFonts w:ascii="Book Antiqua"/>
          <w:rtl w:val="0"/>
          <w:lang w:val="it-IT"/>
        </w:rPr>
        <w:t>le azioni per avviare i monitoraggi comparativi sulla pulizia delle strade, finalizzati ad individuare le aree pi</w:t>
      </w:r>
      <w:r>
        <w:rPr>
          <w:rFonts w:hAnsi="Book Antiqua" w:hint="default"/>
          <w:rtl w:val="0"/>
          <w:lang w:val="it-IT"/>
        </w:rPr>
        <w:t xml:space="preserve">ù </w:t>
      </w:r>
      <w:r>
        <w:rPr>
          <w:rFonts w:ascii="Book Antiqua"/>
          <w:rtl w:val="0"/>
          <w:lang w:val="it-IT"/>
        </w:rPr>
        <w:t>critiche dove dare avvio a soluzioni sperimentali anche competitive, basate sull'affidamento temporaneo della pulizia a soggetti concorrenti di AMA, progetto sospeso con atto del commissario Tronca.</w:t>
      </w:r>
    </w:p>
    <w:p>
      <w:pPr>
        <w:pStyle w:val="Normal"/>
        <w:ind w:left="567" w:right="567" w:firstLine="0"/>
        <w:jc w:val="both"/>
        <w:rPr>
          <w:rFonts w:ascii="Book Antiqua" w:cs="Book Antiqua" w:hAnsi="Book Antiqua" w:eastAsia="Book Antiqua"/>
          <w:sz w:val="22"/>
          <w:szCs w:val="22"/>
        </w:rPr>
      </w:pPr>
      <w:r>
        <w:rPr>
          <w:rFonts w:ascii="Book Antiqua"/>
          <w:sz w:val="22"/>
          <w:szCs w:val="22"/>
          <w:rtl w:val="0"/>
          <w:lang w:val="it-IT"/>
        </w:rPr>
        <w:t>Passando al contratto, al momento rimangono lettera morta varie disposizioni dell'articolato</w:t>
      </w:r>
      <w:r>
        <w:rPr>
          <w:rFonts w:hAnsi="Book Antiqua" w:hint="default"/>
          <w:sz w:val="22"/>
          <w:szCs w:val="22"/>
          <w:rtl w:val="0"/>
          <w:lang w:val="it-IT"/>
        </w:rPr>
        <w:t> </w:t>
      </w:r>
      <w:r>
        <w:rPr>
          <w:rFonts w:ascii="Book Antiqua"/>
          <w:sz w:val="22"/>
          <w:szCs w:val="22"/>
          <w:rtl w:val="0"/>
          <w:lang w:val="it-IT"/>
        </w:rPr>
        <w:t>che avrebbero dovuto essere definite entro la fine del 2016 nell'ambito delle attivit</w:t>
      </w:r>
      <w:r>
        <w:rPr>
          <w:rFonts w:hAnsi="Book Antiqua" w:hint="default"/>
          <w:sz w:val="22"/>
          <w:szCs w:val="22"/>
          <w:rtl w:val="0"/>
          <w:lang w:val="it-IT"/>
        </w:rPr>
        <w:t xml:space="preserve">à </w:t>
      </w:r>
      <w:r>
        <w:rPr>
          <w:rFonts w:ascii="Book Antiqua"/>
          <w:sz w:val="22"/>
          <w:szCs w:val="22"/>
          <w:rtl w:val="0"/>
          <w:lang w:val="it-IT"/>
        </w:rPr>
        <w:t>dell'organismo di controllo, non ancora nominato dal Dipartimento per la tutela ambientale. In particolare, fino a che tale organismo non viene costituito, non vengono</w:t>
      </w:r>
      <w:r>
        <w:rPr>
          <w:rFonts w:hAnsi="Book Antiqua" w:hint="default"/>
          <w:sz w:val="22"/>
          <w:szCs w:val="22"/>
          <w:rtl w:val="0"/>
          <w:lang w:val="it-IT"/>
        </w:rPr>
        <w:t> </w:t>
      </w:r>
      <w:r>
        <w:rPr>
          <w:rFonts w:ascii="Book Antiqua"/>
          <w:sz w:val="22"/>
          <w:szCs w:val="22"/>
          <w:rtl w:val="0"/>
          <w:lang w:val="it-IT"/>
        </w:rPr>
        <w:t>attuati:</w:t>
      </w:r>
    </w:p>
    <w:p>
      <w:pPr>
        <w:pStyle w:val="Elenco a colori - Colore 11"/>
        <w:spacing w:after="0" w:line="240" w:lineRule="auto"/>
        <w:ind w:left="567" w:right="567" w:firstLine="0"/>
        <w:jc w:val="both"/>
        <w:rPr>
          <w:rFonts w:ascii="Book Antiqua" w:cs="Book Antiqua" w:hAnsi="Book Antiqua" w:eastAsia="Book Antiqua"/>
        </w:rPr>
      </w:pPr>
      <w:r>
        <w:rPr>
          <w:rFonts w:ascii="Book Antiqua"/>
          <w:rtl w:val="0"/>
          <w:lang w:val="it-IT"/>
        </w:rPr>
        <w:t>la definizione del sistema di incentivi e sanzioni relativi al grado di raggiungimento degli obiettivi contrattuali, nonch</w:t>
      </w:r>
      <w:r>
        <w:rPr>
          <w:rFonts w:hAnsi="Book Antiqua" w:hint="default"/>
          <w:rtl w:val="0"/>
          <w:lang w:val="it-IT"/>
        </w:rPr>
        <w:t xml:space="preserve">é </w:t>
      </w:r>
      <w:r>
        <w:rPr>
          <w:rFonts w:ascii="Book Antiqua"/>
          <w:rtl w:val="0"/>
          <w:lang w:val="it-IT"/>
        </w:rPr>
        <w:t xml:space="preserve">delle penali per mancata erogazione colposa dei servizi; </w:t>
      </w:r>
    </w:p>
    <w:p>
      <w:pPr>
        <w:pStyle w:val="Elenco a colori - Colore 11"/>
        <w:spacing w:after="0" w:line="240" w:lineRule="auto"/>
        <w:ind w:left="567" w:right="567" w:firstLine="0"/>
        <w:jc w:val="both"/>
        <w:rPr>
          <w:rFonts w:ascii="Book Antiqua" w:cs="Book Antiqua" w:hAnsi="Book Antiqua" w:eastAsia="Book Antiqua"/>
        </w:rPr>
      </w:pPr>
      <w:r>
        <w:rPr>
          <w:rFonts w:ascii="Book Antiqua"/>
          <w:rtl w:val="0"/>
          <w:lang w:val="it-IT"/>
        </w:rPr>
        <w:t>la progettazione e l'esecuzione dei monitoraggi</w:t>
      </w:r>
      <w:r>
        <w:rPr>
          <w:rFonts w:hAnsi="Book Antiqua" w:hint="default"/>
          <w:rtl w:val="0"/>
          <w:lang w:val="it-IT"/>
        </w:rPr>
        <w:t> </w:t>
      </w:r>
      <w:r>
        <w:rPr>
          <w:rFonts w:ascii="Book Antiqua"/>
          <w:rtl w:val="0"/>
          <w:lang w:val="it-IT"/>
        </w:rPr>
        <w:t>trimestrali</w:t>
      </w:r>
      <w:r>
        <w:rPr>
          <w:rFonts w:hAnsi="Book Antiqua" w:hint="default"/>
          <w:rtl w:val="0"/>
          <w:lang w:val="it-IT"/>
        </w:rPr>
        <w:t> </w:t>
      </w:r>
      <w:r>
        <w:rPr>
          <w:rFonts w:ascii="Book Antiqua"/>
          <w:rtl w:val="0"/>
          <w:lang w:val="it-IT"/>
        </w:rPr>
        <w:t>della qualit</w:t>
      </w:r>
      <w:r>
        <w:rPr>
          <w:rFonts w:hAnsi="Book Antiqua" w:hint="default"/>
          <w:rtl w:val="0"/>
          <w:lang w:val="it-IT"/>
        </w:rPr>
        <w:t xml:space="preserve">à </w:t>
      </w:r>
      <w:r>
        <w:rPr>
          <w:rFonts w:ascii="Book Antiqua"/>
          <w:rtl w:val="0"/>
          <w:lang w:val="it-IT"/>
        </w:rPr>
        <w:t xml:space="preserve">erogata dei servizi, che dovrebbero certificare il raggiungimento degli obiettivi contrattuali ovvero quantificare eventuali scostamenti; </w:t>
      </w:r>
    </w:p>
    <w:p>
      <w:pPr>
        <w:pStyle w:val="Elenco a colori - Colore 11"/>
        <w:spacing w:after="0" w:line="240" w:lineRule="auto"/>
        <w:ind w:left="567" w:right="567" w:firstLine="0"/>
        <w:jc w:val="both"/>
        <w:rPr>
          <w:rFonts w:ascii="Book Antiqua" w:cs="Book Antiqua" w:hAnsi="Book Antiqua" w:eastAsia="Book Antiqua"/>
        </w:rPr>
      </w:pPr>
      <w:r>
        <w:rPr>
          <w:rFonts w:ascii="Book Antiqua"/>
          <w:rtl w:val="0"/>
          <w:lang w:val="it-IT"/>
        </w:rPr>
        <w:t xml:space="preserve">i controlli a campione sull'effettiva erogazione dei servizi programmati; </w:t>
      </w:r>
    </w:p>
    <w:p>
      <w:pPr>
        <w:pStyle w:val="Elenco a colori - Colore 11"/>
        <w:spacing w:after="0" w:line="240" w:lineRule="auto"/>
        <w:ind w:left="567" w:right="567" w:firstLine="0"/>
        <w:jc w:val="both"/>
        <w:rPr>
          <w:rFonts w:ascii="Book Antiqua" w:cs="Book Antiqua" w:hAnsi="Book Antiqua" w:eastAsia="Book Antiqua"/>
        </w:rPr>
      </w:pPr>
      <w:r>
        <w:rPr>
          <w:rFonts w:ascii="Book Antiqua"/>
          <w:rtl w:val="0"/>
          <w:lang w:val="it-IT"/>
        </w:rPr>
        <w:t>la valutazione della rendicontazione</w:t>
      </w:r>
      <w:r>
        <w:rPr>
          <w:rFonts w:hAnsi="Book Antiqua" w:hint="default"/>
          <w:rtl w:val="0"/>
          <w:lang w:val="it-IT"/>
        </w:rPr>
        <w:t> </w:t>
      </w:r>
      <w:r>
        <w:rPr>
          <w:rFonts w:ascii="Book Antiqua"/>
          <w:rtl w:val="0"/>
          <w:lang w:val="it-IT"/>
        </w:rPr>
        <w:t xml:space="preserve">delle prestazioni erogate sulla cui base il Dipartimento tutela ambientale eroga il corrispettivo mensile ad AMA e le azioni da porre in essere in caso di riduzione colposa superiore al 10 per cento rispetto al servizio programmato; </w:t>
      </w:r>
    </w:p>
    <w:p>
      <w:pPr>
        <w:pStyle w:val="Elenco a colori - Colore 11"/>
        <w:spacing w:after="0" w:line="240" w:lineRule="auto"/>
        <w:ind w:left="567" w:right="567" w:firstLine="0"/>
        <w:jc w:val="both"/>
        <w:rPr>
          <w:rFonts w:ascii="Book Antiqua" w:cs="Book Antiqua" w:hAnsi="Book Antiqua" w:eastAsia="Book Antiqua"/>
        </w:rPr>
      </w:pPr>
      <w:r>
        <w:rPr>
          <w:rFonts w:ascii="Book Antiqua"/>
          <w:rtl w:val="0"/>
          <w:lang w:val="it-IT"/>
        </w:rPr>
        <w:t xml:space="preserve">le verifiche da remoto nel sistema informativo dei servizi erogati da AMA, BDO (Banca Dati Operazioni); </w:t>
      </w:r>
    </w:p>
    <w:p>
      <w:pPr>
        <w:pStyle w:val="Elenco a colori - Colore 11"/>
        <w:spacing w:after="0" w:line="240" w:lineRule="auto"/>
        <w:ind w:left="567" w:right="567" w:firstLine="0"/>
        <w:jc w:val="both"/>
        <w:rPr>
          <w:rFonts w:ascii="Book Antiqua" w:cs="Book Antiqua" w:hAnsi="Book Antiqua" w:eastAsia="Book Antiqua"/>
        </w:rPr>
      </w:pPr>
      <w:r>
        <w:rPr>
          <w:rFonts w:ascii="Book Antiqua"/>
          <w:rtl w:val="0"/>
          <w:lang w:val="it-IT"/>
        </w:rPr>
        <w:t>la definizione dei dettagli e la valutazione della reportistica</w:t>
      </w:r>
      <w:r>
        <w:rPr>
          <w:rFonts w:hAnsi="Book Antiqua" w:hint="default"/>
          <w:rtl w:val="0"/>
          <w:lang w:val="it-IT"/>
        </w:rPr>
        <w:t> </w:t>
      </w:r>
      <w:r>
        <w:rPr>
          <w:rFonts w:ascii="Book Antiqua"/>
          <w:rtl w:val="0"/>
          <w:lang w:val="it-IT"/>
        </w:rPr>
        <w:t>trimestrale dovuta dall'azienda.</w:t>
      </w:r>
    </w:p>
    <w:p>
      <w:pPr>
        <w:pStyle w:val="Elenco a colori - Colore 11"/>
        <w:spacing w:after="0" w:line="240" w:lineRule="auto"/>
        <w:ind w:left="567" w:right="567" w:firstLine="0"/>
        <w:jc w:val="both"/>
        <w:rPr>
          <w:rFonts w:ascii="Book Antiqua" w:cs="Book Antiqua" w:hAnsi="Book Antiqua" w:eastAsia="Book Antiqua"/>
          <w:sz w:val="24"/>
          <w:szCs w:val="24"/>
        </w:rPr>
      </w:pPr>
    </w:p>
    <w:p>
      <w:pPr>
        <w:pStyle w:val="Normal"/>
        <w:ind w:left="567" w:right="567" w:firstLine="0"/>
        <w:jc w:val="both"/>
        <w:rPr>
          <w:rFonts w:ascii="Book Antiqua" w:cs="Book Antiqua" w:hAnsi="Book Antiqua" w:eastAsia="Book Antiqua"/>
        </w:rPr>
      </w:pPr>
      <w:r>
        <w:rPr>
          <w:rFonts w:ascii="Book Antiqua"/>
          <w:rtl w:val="0"/>
          <w:lang w:val="it-IT"/>
        </w:rPr>
        <w:t>Passando agli aspetti finanziari e alle questioni relative alle tariffe, il piano finanziario degli interventi relativi al servizio</w:t>
      </w:r>
      <w:r>
        <w:rPr>
          <w:rFonts w:hAnsi="Book Antiqua" w:hint="default"/>
          <w:rtl w:val="0"/>
          <w:lang w:val="it-IT"/>
        </w:rPr>
        <w:t xml:space="preserve"> è </w:t>
      </w:r>
      <w:r>
        <w:rPr>
          <w:rFonts w:ascii="Book Antiqua"/>
          <w:rtl w:val="0"/>
          <w:lang w:val="it-IT"/>
        </w:rPr>
        <w:t>lo strumento previsto per la determinazione della tariffa da parte degli enti locali, fin dalla prima formulazione della Tia (articolo 49</w:t>
      </w:r>
      <w:r>
        <w:rPr>
          <w:rFonts w:hAnsi="Book Antiqua" w:hint="default"/>
          <w:rtl w:val="0"/>
          <w:lang w:val="it-IT"/>
        </w:rPr>
        <w:t> </w:t>
      </w:r>
      <w:r>
        <w:rPr>
          <w:rFonts w:ascii="Book Antiqua"/>
          <w:rtl w:val="0"/>
          <w:lang w:val="it-IT"/>
        </w:rPr>
        <w:t>del decreto legislativo n. 22 del 1997). Data la prestazione contrattuale stabilita con il gestore, l'importo tariffario e le sue diverse voci vengono calcolati</w:t>
      </w:r>
      <w:r>
        <w:rPr>
          <w:rFonts w:hAnsi="Book Antiqua" w:hint="default"/>
          <w:rtl w:val="0"/>
          <w:lang w:val="it-IT"/>
        </w:rPr>
        <w:t> </w:t>
      </w:r>
      <w:r>
        <w:rPr>
          <w:rFonts w:ascii="Book Antiqua"/>
          <w:rtl w:val="0"/>
          <w:lang w:val="it-IT"/>
        </w:rPr>
        <w:t>in base al metodo normalizzato approvato con DPR 158/1999</w:t>
      </w:r>
      <w:r>
        <w:rPr>
          <w:rFonts w:ascii="Book Antiqua" w:cs="Book Antiqua" w:hAnsi="Book Antiqua" w:eastAsia="Book Antiqua"/>
          <w:vertAlign w:val="superscript"/>
          <w:rtl w:val="0"/>
        </w:rPr>
        <w:footnoteReference w:id="114"/>
      </w:r>
      <w:r>
        <w:rPr>
          <w:rFonts w:ascii="Book Antiqua"/>
          <w:rtl w:val="0"/>
          <w:lang w:val="it-IT"/>
        </w:rPr>
        <w:t xml:space="preserve"> garantendo la copertura integrale dei costi del servizio. Per gli anni successivi alla prima determinazione, il piano finanziario deve tenere conto dell'inflazione programmata e degli obiettivi di miglioramento della qualit</w:t>
      </w:r>
      <w:r>
        <w:rPr>
          <w:rFonts w:hAnsi="Book Antiqua" w:hint="default"/>
          <w:rtl w:val="0"/>
          <w:lang w:val="it-IT"/>
        </w:rPr>
        <w:t xml:space="preserve">à </w:t>
      </w:r>
      <w:r>
        <w:rPr>
          <w:rFonts w:ascii="Book Antiqua"/>
          <w:rtl w:val="0"/>
          <w:lang w:val="it-IT"/>
        </w:rPr>
        <w:t>del servizio e</w:t>
      </w:r>
      <w:r>
        <w:rPr>
          <w:rFonts w:hAnsi="Book Antiqua" w:hint="default"/>
          <w:rtl w:val="0"/>
          <w:lang w:val="it-IT"/>
        </w:rPr>
        <w:t> </w:t>
      </w:r>
      <w:r>
        <w:rPr>
          <w:rFonts w:ascii="Book Antiqua"/>
          <w:rtl w:val="0"/>
          <w:lang w:val="it-IT"/>
        </w:rPr>
        <w:t>di efficientamento (</w:t>
      </w:r>
      <w:r>
        <w:rPr>
          <w:rFonts w:ascii="Book Antiqua"/>
          <w:i w:val="1"/>
          <w:iCs w:val="1"/>
          <w:rtl w:val="0"/>
          <w:lang w:val="it-IT"/>
        </w:rPr>
        <w:t>price-cap</w:t>
      </w:r>
      <w:r>
        <w:rPr>
          <w:rFonts w:ascii="Book Antiqua"/>
          <w:rtl w:val="0"/>
          <w:lang w:val="it-IT"/>
        </w:rPr>
        <w:t>)</w:t>
      </w:r>
      <w:r>
        <w:rPr>
          <w:rFonts w:ascii="Book Antiqua"/>
          <w:vertAlign w:val="superscript"/>
          <w:rtl w:val="0"/>
          <w:lang w:val="it-IT"/>
        </w:rPr>
        <w:t xml:space="preserve"> </w:t>
      </w:r>
      <w:r>
        <w:rPr>
          <w:rFonts w:ascii="Book Antiqua" w:cs="Book Antiqua" w:hAnsi="Book Antiqua" w:eastAsia="Book Antiqua"/>
          <w:vertAlign w:val="superscript"/>
          <w:rtl w:val="0"/>
        </w:rPr>
        <w:footnoteReference w:id="115"/>
      </w:r>
      <w:r>
        <w:rPr>
          <w:rFonts w:ascii="Book Antiqua"/>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 xml:space="preserve">La tariffa </w:t>
      </w:r>
      <w:r>
        <w:rPr>
          <w:rFonts w:hAnsi="Book Antiqua" w:hint="default"/>
          <w:rtl w:val="0"/>
          <w:lang w:val="it-IT"/>
        </w:rPr>
        <w:t xml:space="preserve">è </w:t>
      </w:r>
      <w:r>
        <w:rPr>
          <w:rFonts w:ascii="Book Antiqua"/>
          <w:rtl w:val="0"/>
          <w:lang w:val="it-IT"/>
        </w:rPr>
        <w:t>composta da una parte fissa (che deve coprire gli investimenti e i costi fissi del servizio) e una parte variabile (proporzionale alla quantit</w:t>
      </w:r>
      <w:r>
        <w:rPr>
          <w:rFonts w:hAnsi="Book Antiqua" w:hint="default"/>
          <w:rtl w:val="0"/>
          <w:lang w:val="it-IT"/>
        </w:rPr>
        <w:t xml:space="preserve">à </w:t>
      </w:r>
      <w:r>
        <w:rPr>
          <w:rFonts w:ascii="Book Antiqua"/>
          <w:rtl w:val="0"/>
          <w:lang w:val="it-IT"/>
        </w:rPr>
        <w:t xml:space="preserve">di rifiuti prodotti, raccolti e gestiti) e si articola fra l'utenza domestica e non domestica. La parte fissa delle utenze domestiche </w:t>
      </w:r>
      <w:r>
        <w:rPr>
          <w:rFonts w:hAnsi="Book Antiqua" w:hint="default"/>
          <w:rtl w:val="0"/>
          <w:lang w:val="it-IT"/>
        </w:rPr>
        <w:t xml:space="preserve">è </w:t>
      </w:r>
      <w:r>
        <w:rPr>
          <w:rFonts w:ascii="Book Antiqua"/>
          <w:rtl w:val="0"/>
          <w:lang w:val="it-IT"/>
        </w:rPr>
        <w:t xml:space="preserve">proporzionale alla composizione del nucleo familiare e alla superficie dell'immobile. La parte variabile </w:t>
      </w:r>
      <w:r>
        <w:rPr>
          <w:rFonts w:hAnsi="Book Antiqua" w:hint="default"/>
          <w:rtl w:val="0"/>
          <w:lang w:val="it-IT"/>
        </w:rPr>
        <w:t xml:space="preserve">è </w:t>
      </w:r>
      <w:r>
        <w:rPr>
          <w:rFonts w:ascii="Book Antiqua"/>
          <w:rtl w:val="0"/>
          <w:lang w:val="it-IT"/>
        </w:rPr>
        <w:t xml:space="preserve">proporzionale ai volumi di rifiuti differenziati e indifferenziati effettivamente prodotti o - per i comuni dove non sono disponibili sistemi di misurazione puntuale - stimati prendendo a riferimento la produzione media comunale </w:t>
      </w:r>
      <w:r>
        <w:rPr>
          <w:rFonts w:ascii="Book Antiqua"/>
          <w:i w:val="1"/>
          <w:iCs w:val="1"/>
          <w:rtl w:val="0"/>
          <w:lang w:val="it-IT"/>
        </w:rPr>
        <w:t>procapite</w:t>
      </w:r>
      <w:r>
        <w:rPr>
          <w:rFonts w:ascii="Book Antiqua"/>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 xml:space="preserve">La tariffa delle utenze non domestiche </w:t>
      </w:r>
      <w:r>
        <w:rPr>
          <w:rFonts w:hAnsi="Book Antiqua" w:hint="default"/>
          <w:rtl w:val="0"/>
          <w:lang w:val="it-IT"/>
        </w:rPr>
        <w:t xml:space="preserve">è </w:t>
      </w:r>
      <w:r>
        <w:rPr>
          <w:rFonts w:ascii="Book Antiqua"/>
          <w:rtl w:val="0"/>
          <w:lang w:val="it-IT"/>
        </w:rPr>
        <w:t>proporzionale alla superficie e varia in base alla tipologia di attivit</w:t>
      </w:r>
      <w:r>
        <w:rPr>
          <w:rFonts w:hAnsi="Book Antiqua" w:hint="default"/>
          <w:rtl w:val="0"/>
          <w:lang w:val="it-IT"/>
        </w:rPr>
        <w:t>à</w:t>
      </w:r>
      <w:r>
        <w:rPr>
          <w:rFonts w:ascii="Book Antiqua"/>
          <w:rtl w:val="0"/>
          <w:lang w:val="it-IT"/>
        </w:rPr>
        <w:t>, in relazione alla produzione potenziale di rifiuti. La parte fissa dipende sempre da</w:t>
      </w:r>
      <w:r>
        <w:rPr>
          <w:rFonts w:hAnsi="Book Antiqua" w:hint="default"/>
          <w:rtl w:val="0"/>
          <w:lang w:val="it-IT"/>
        </w:rPr>
        <w:t> </w:t>
      </w:r>
      <w:r>
        <w:rPr>
          <w:rFonts w:ascii="Book Antiqua"/>
          <w:rtl w:val="0"/>
          <w:lang w:val="it-IT"/>
        </w:rPr>
        <w:t>coefficienti</w:t>
      </w:r>
      <w:r>
        <w:rPr>
          <w:rFonts w:hAnsi="Book Antiqua" w:hint="default"/>
          <w:rtl w:val="0"/>
          <w:lang w:val="it-IT"/>
        </w:rPr>
        <w:t> </w:t>
      </w:r>
      <w:r>
        <w:rPr>
          <w:rFonts w:ascii="Book Antiqua"/>
          <w:rtl w:val="0"/>
          <w:lang w:val="it-IT"/>
        </w:rPr>
        <w:t>relativi alla produzione potenziale</w:t>
      </w:r>
      <w:r>
        <w:rPr>
          <w:rFonts w:hAnsi="Book Antiqua" w:hint="default"/>
          <w:rtl w:val="0"/>
          <w:lang w:val="it-IT"/>
        </w:rPr>
        <w:t> </w:t>
      </w:r>
      <w:r>
        <w:rPr>
          <w:rFonts w:ascii="Book Antiqua"/>
          <w:rtl w:val="0"/>
          <w:lang w:val="it-IT"/>
        </w:rPr>
        <w:t>di rifiuti delle singole attivit</w:t>
      </w:r>
      <w:r>
        <w:rPr>
          <w:rFonts w:hAnsi="Book Antiqua" w:hint="default"/>
          <w:rtl w:val="0"/>
          <w:lang w:val="it-IT"/>
        </w:rPr>
        <w:t>à</w:t>
      </w:r>
      <w:r>
        <w:rPr>
          <w:rFonts w:ascii="Book Antiqua"/>
          <w:rtl w:val="0"/>
          <w:lang w:val="it-IT"/>
        </w:rPr>
        <w:t xml:space="preserve">, fissati dall'ente locale nell'ambito di un intervallo stabilito a livello nazionale e indicato nel DPR 158/1999. Per la parte variabile, se non </w:t>
      </w:r>
      <w:r>
        <w:rPr>
          <w:rFonts w:hAnsi="Book Antiqua" w:hint="default"/>
          <w:rtl w:val="0"/>
          <w:lang w:val="it-IT"/>
        </w:rPr>
        <w:t xml:space="preserve">è </w:t>
      </w:r>
      <w:r>
        <w:rPr>
          <w:rFonts w:ascii="Book Antiqua"/>
          <w:rtl w:val="0"/>
          <w:lang w:val="it-IT"/>
        </w:rPr>
        <w:t>disponibile un sistema di misurazione della produzione di rifiuti effettiva, si applica il criterio presuntivo della quantit</w:t>
      </w:r>
      <w:r>
        <w:rPr>
          <w:rFonts w:hAnsi="Book Antiqua" w:hint="default"/>
          <w:rtl w:val="0"/>
          <w:lang w:val="it-IT"/>
        </w:rPr>
        <w:t xml:space="preserve">à </w:t>
      </w:r>
      <w:r>
        <w:rPr>
          <w:rFonts w:ascii="Book Antiqua"/>
          <w:rtl w:val="0"/>
          <w:lang w:val="it-IT"/>
        </w:rPr>
        <w:t>di rifiuti annua ritenuta congrua per categoria nell'ambito di un intervallo indicato nello stesso provvedimento. Roma al momento applica ancora</w:t>
      </w:r>
      <w:r>
        <w:rPr>
          <w:rFonts w:hAnsi="Book Antiqua" w:hint="default"/>
          <w:rtl w:val="0"/>
          <w:lang w:val="it-IT"/>
        </w:rPr>
        <w:t> </w:t>
      </w:r>
      <w:r>
        <w:rPr>
          <w:rFonts w:ascii="Book Antiqua"/>
          <w:rtl w:val="0"/>
          <w:lang w:val="it-IT"/>
        </w:rPr>
        <w:t>il sistema presuntivo per la determinazione della parte variabile.</w:t>
      </w:r>
      <w:r>
        <w:rPr>
          <w:rFonts w:hAnsi="Book Antiqua" w:hint="default"/>
          <w:rtl w:val="0"/>
          <w:lang w:val="it-IT"/>
        </w:rPr>
        <w:t> </w:t>
      </w:r>
      <w:r>
        <w:rPr>
          <w:rFonts w:ascii="Book Antiqua"/>
          <w:rtl w:val="0"/>
          <w:lang w:val="it-IT"/>
        </w:rPr>
        <w:t>Le tariffe vigenti al 2016 sono approvate con delibera del commissario straordinario n. 7 del 19 febbraio 2016 (Approvazione del piano finanziario 2016 e determinazione delle misure della tassa sui rifiuti - Ta.Ri. - per l'anno 2016).</w:t>
      </w:r>
    </w:p>
    <w:p>
      <w:pPr>
        <w:pStyle w:val="Normal"/>
        <w:ind w:left="567" w:right="567" w:firstLine="0"/>
        <w:jc w:val="both"/>
        <w:rPr>
          <w:rFonts w:ascii="Book Antiqua" w:cs="Book Antiqua" w:hAnsi="Book Antiqua" w:eastAsia="Book Antiqua"/>
        </w:rPr>
      </w:pPr>
      <w:r>
        <w:rPr>
          <w:rFonts w:ascii="Book Antiqua"/>
          <w:rtl w:val="0"/>
          <w:lang w:val="it-IT"/>
        </w:rPr>
        <w:t>Il contratto di servizio prevedeva entro la fine del 2016</w:t>
      </w:r>
      <w:r>
        <w:rPr>
          <w:rFonts w:hAnsi="Book Antiqua" w:hint="default"/>
          <w:rtl w:val="0"/>
          <w:lang w:val="it-IT"/>
        </w:rPr>
        <w:t> </w:t>
      </w:r>
      <w:r>
        <w:rPr>
          <w:rFonts w:ascii="Book Antiqua"/>
          <w:rtl w:val="0"/>
          <w:lang w:val="it-IT"/>
        </w:rPr>
        <w:t>l</w:t>
      </w:r>
      <w:r>
        <w:rPr>
          <w:rFonts w:hAnsi="Book Antiqua" w:hint="default"/>
          <w:rtl w:val="0"/>
          <w:lang w:val="it-IT"/>
        </w:rPr>
        <w:t>’</w:t>
      </w:r>
      <w:r>
        <w:rPr>
          <w:rFonts w:ascii="Book Antiqua"/>
          <w:rtl w:val="0"/>
          <w:lang w:val="it-IT"/>
        </w:rPr>
        <w:t>adozione sperimentale di una forma di tariffazione puntuale (in sostituzione di quella parametrica in uso) che leghi la parte variabile della tariffa alla quantit</w:t>
      </w:r>
      <w:r>
        <w:rPr>
          <w:rFonts w:hAnsi="Book Antiqua" w:hint="default"/>
          <w:rtl w:val="0"/>
          <w:lang w:val="it-IT"/>
        </w:rPr>
        <w:t xml:space="preserve">à </w:t>
      </w:r>
      <w:r>
        <w:rPr>
          <w:rFonts w:ascii="Book Antiqua"/>
          <w:rtl w:val="0"/>
          <w:lang w:val="it-IT"/>
        </w:rPr>
        <w:t>e alla qualit</w:t>
      </w:r>
      <w:r>
        <w:rPr>
          <w:rFonts w:hAnsi="Book Antiqua" w:hint="default"/>
          <w:rtl w:val="0"/>
          <w:lang w:val="it-IT"/>
        </w:rPr>
        <w:t xml:space="preserve">à </w:t>
      </w:r>
      <w:r>
        <w:rPr>
          <w:rFonts w:ascii="Book Antiqua"/>
          <w:rtl w:val="0"/>
          <w:lang w:val="it-IT"/>
        </w:rPr>
        <w:t>dei rifiuti effettivamente prodotti dagli utenti.</w:t>
      </w:r>
      <w:r>
        <w:rPr>
          <w:rFonts w:hAnsi="Book Antiqua" w:hint="default"/>
          <w:rtl w:val="0"/>
          <w:lang w:val="it-IT"/>
        </w:rPr>
        <w:t> </w:t>
      </w:r>
    </w:p>
    <w:p>
      <w:pPr>
        <w:pStyle w:val="Normal"/>
        <w:ind w:left="567" w:right="567" w:firstLine="0"/>
        <w:jc w:val="both"/>
        <w:rPr>
          <w:rFonts w:ascii="Book Antiqua" w:cs="Book Antiqua" w:hAnsi="Book Antiqua" w:eastAsia="Book Antiqua"/>
        </w:rPr>
      </w:pPr>
      <w:r>
        <w:rPr>
          <w:rFonts w:ascii="Book Antiqua"/>
          <w:rtl w:val="0"/>
          <w:lang w:val="it-IT"/>
        </w:rPr>
        <w:t>A questo proposito non si ha tuttavia notizia dell</w:t>
      </w:r>
      <w:r>
        <w:rPr>
          <w:rFonts w:hAnsi="Book Antiqua" w:hint="default"/>
          <w:rtl w:val="0"/>
          <w:lang w:val="it-IT"/>
        </w:rPr>
        <w:t>’</w:t>
      </w:r>
      <w:r>
        <w:rPr>
          <w:rFonts w:ascii="Book Antiqua"/>
          <w:rtl w:val="0"/>
          <w:lang w:val="it-IT"/>
        </w:rPr>
        <w:t xml:space="preserve">applicazione in concreto di questo tipo di tariffa, che ancora di recente il comune di Roma Capitale ha indicato come una delle </w:t>
      </w:r>
      <w:r>
        <w:rPr>
          <w:rFonts w:hAnsi="Book Antiqua" w:hint="default"/>
          <w:rtl w:val="0"/>
          <w:lang w:val="it-IT"/>
        </w:rPr>
        <w:t>“</w:t>
      </w:r>
      <w:r>
        <w:rPr>
          <w:rFonts w:ascii="Book Antiqua"/>
          <w:rtl w:val="0"/>
          <w:lang w:val="it-IT"/>
        </w:rPr>
        <w:t>azioni</w:t>
      </w:r>
      <w:r>
        <w:rPr>
          <w:rFonts w:hAnsi="Book Antiqua" w:hint="default"/>
          <w:rtl w:val="0"/>
          <w:lang w:val="it-IT"/>
        </w:rPr>
        <w:t xml:space="preserve">” </w:t>
      </w:r>
      <w:r>
        <w:rPr>
          <w:rFonts w:ascii="Book Antiqua"/>
          <w:rtl w:val="0"/>
          <w:lang w:val="it-IT"/>
        </w:rPr>
        <w:t xml:space="preserve">future previste nel </w:t>
      </w:r>
      <w:r>
        <w:rPr>
          <w:rFonts w:hAnsi="Book Antiqua" w:hint="default"/>
          <w:rtl w:val="0"/>
          <w:lang w:val="it-IT"/>
        </w:rPr>
        <w:t>“</w:t>
      </w:r>
      <w:r>
        <w:rPr>
          <w:rFonts w:ascii="Book Antiqua"/>
          <w:rtl w:val="0"/>
          <w:lang w:val="it-IT"/>
        </w:rPr>
        <w:t>Piano per la riduzione e la gestione dei materiali post-consumo di Roma Capitale 2017-2021</w:t>
      </w:r>
      <w:r>
        <w:rPr>
          <w:rFonts w:hAnsi="Book Antiqua" w:hint="default"/>
          <w:rtl w:val="0"/>
          <w:lang w:val="it-IT"/>
        </w:rPr>
        <w:t>”</w:t>
      </w:r>
      <w:r>
        <w:rPr>
          <w:rFonts w:ascii="Book Antiqua"/>
          <w:rtl w:val="0"/>
          <w:lang w:val="it-IT"/>
        </w:rPr>
        <w:t>; la regione Lazio ha nel frattempo affrontato normativamente la questione della tariffazione puntuale, quale strumento per incentivare la riduzione della produzione di rifiuti e potenziare l</w:t>
      </w:r>
      <w:r>
        <w:rPr>
          <w:rFonts w:hAnsi="Book Antiqua" w:hint="default"/>
          <w:rtl w:val="0"/>
          <w:lang w:val="it-IT"/>
        </w:rPr>
        <w:t>’</w:t>
      </w:r>
      <w:r>
        <w:rPr>
          <w:rFonts w:ascii="Book Antiqua"/>
          <w:rtl w:val="0"/>
          <w:lang w:val="it-IT"/>
        </w:rPr>
        <w:t>invio a riciclaggio delle diverse frazioni di rifiuti, tramite la raccolta differenziata, con la L.R. n. 12 del 10 agosto 2016, e le successive linee guida</w:t>
      </w:r>
      <w:r>
        <w:rPr>
          <w:rFonts w:ascii="Book Antiqua" w:cs="Book Antiqua" w:hAnsi="Book Antiqua" w:eastAsia="Book Antiqua"/>
          <w:vertAlign w:val="superscript"/>
          <w:rtl w:val="0"/>
        </w:rPr>
        <w:footnoteReference w:id="116"/>
      </w:r>
      <w:r>
        <w:rPr>
          <w:rFonts w:ascii="Book Antiqua"/>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Un dato significativo riguarda l</w:t>
      </w:r>
      <w:r>
        <w:rPr>
          <w:rFonts w:hAnsi="Book Antiqua" w:hint="default"/>
          <w:rtl w:val="0"/>
          <w:lang w:val="it-IT"/>
        </w:rPr>
        <w:t>’</w:t>
      </w:r>
      <w:r>
        <w:rPr>
          <w:rFonts w:ascii="Book Antiqua"/>
          <w:rtl w:val="0"/>
          <w:lang w:val="it-IT"/>
        </w:rPr>
        <w:t>andamento dei costi totali del servizio e delle tariffe rifiuti</w:t>
      </w:r>
      <w:r>
        <w:rPr>
          <w:rFonts w:ascii="Book Antiqua" w:cs="Book Antiqua" w:hAnsi="Book Antiqua" w:eastAsia="Book Antiqua"/>
          <w:vertAlign w:val="superscript"/>
          <w:rtl w:val="0"/>
        </w:rPr>
        <w:footnoteReference w:id="117"/>
      </w:r>
      <w:r>
        <w:rPr>
          <w:rFonts w:ascii="Book Antiqua"/>
          <w:rtl w:val="0"/>
          <w:lang w:val="it-IT"/>
        </w:rPr>
        <w:t xml:space="preserve"> nel periodo 2003/2016; il grafico seguente mostra l'evoluzione del costo complessivo del servizio e delle tariffe domestica e non domestica. </w:t>
      </w:r>
    </w:p>
    <w:p>
      <w:pPr>
        <w:pStyle w:val="Normal"/>
        <w:ind w:left="567" w:right="567" w:firstLine="0"/>
        <w:jc w:val="both"/>
        <w:rPr>
          <w:rFonts w:ascii="Book Antiqua" w:cs="Book Antiqua" w:hAnsi="Book Antiqua" w:eastAsia="Book Antiqua"/>
        </w:rPr>
      </w:pPr>
      <w:r>
        <w:rPr>
          <w:rFonts w:ascii="Book Antiqua"/>
          <w:rtl w:val="0"/>
          <w:lang w:val="it-IT"/>
        </w:rPr>
        <w:t>Nell</w:t>
      </w:r>
      <w:r>
        <w:rPr>
          <w:rFonts w:hAnsi="Book Antiqua" w:hint="default"/>
          <w:rtl w:val="0"/>
          <w:lang w:val="it-IT"/>
        </w:rPr>
        <w:t>’</w:t>
      </w:r>
      <w:r>
        <w:rPr>
          <w:rFonts w:ascii="Book Antiqua"/>
          <w:rtl w:val="0"/>
          <w:lang w:val="it-IT"/>
        </w:rPr>
        <w:t>arco di tredici anni, i costi del servizio sono pi</w:t>
      </w:r>
      <w:r>
        <w:rPr>
          <w:rFonts w:hAnsi="Book Antiqua" w:hint="default"/>
          <w:rtl w:val="0"/>
          <w:lang w:val="it-IT"/>
        </w:rPr>
        <w:t xml:space="preserve">ù </w:t>
      </w:r>
      <w:r>
        <w:rPr>
          <w:rFonts w:ascii="Book Antiqua"/>
          <w:rtl w:val="0"/>
          <w:lang w:val="it-IT"/>
        </w:rPr>
        <w:t>che raddoppiati, mentre le tariffe hanno toccato un massimo nel 2014 (+80 per cento quella</w:t>
      </w:r>
      <w:r>
        <w:rPr>
          <w:rFonts w:hAnsi="Book Antiqua" w:hint="default"/>
          <w:rtl w:val="0"/>
          <w:lang w:val="it-IT"/>
        </w:rPr>
        <w:t> </w:t>
      </w:r>
      <w:r>
        <w:rPr>
          <w:rFonts w:ascii="Book Antiqua"/>
          <w:rtl w:val="0"/>
          <w:lang w:val="it-IT"/>
        </w:rPr>
        <w:t>non domestica e +68 per cento quella domestica) seguendo poi -</w:t>
      </w:r>
      <w:r>
        <w:rPr>
          <w:rFonts w:hAnsi="Book Antiqua" w:hint="default"/>
          <w:rtl w:val="0"/>
          <w:lang w:val="it-IT"/>
        </w:rPr>
        <w:t> </w:t>
      </w:r>
      <w:r>
        <w:rPr>
          <w:rFonts w:ascii="Book Antiqua"/>
          <w:rtl w:val="0"/>
          <w:lang w:val="it-IT"/>
        </w:rPr>
        <w:t>nonostante il lieve ulteriore aumento dei costi -</w:t>
      </w:r>
      <w:r>
        <w:rPr>
          <w:rFonts w:hAnsi="Book Antiqua" w:hint="default"/>
          <w:rtl w:val="0"/>
          <w:lang w:val="it-IT"/>
        </w:rPr>
        <w:t> </w:t>
      </w:r>
      <w:r>
        <w:rPr>
          <w:rFonts w:ascii="Book Antiqua"/>
          <w:rtl w:val="0"/>
          <w:lang w:val="it-IT"/>
        </w:rPr>
        <w:t>un andamento decrescente da imputare al recupero dell'evasione</w:t>
      </w:r>
      <w:r>
        <w:rPr>
          <w:rFonts w:ascii="Book Antiqua" w:cs="Book Antiqua" w:hAnsi="Book Antiqua" w:eastAsia="Book Antiqua"/>
          <w:vertAlign w:val="superscript"/>
          <w:rtl w:val="0"/>
        </w:rPr>
        <w:footnoteReference w:id="118"/>
      </w:r>
      <w:r>
        <w:rPr>
          <w:rFonts w:ascii="Book Antiqua"/>
          <w:rtl w:val="0"/>
          <w:lang w:val="it-IT"/>
        </w:rPr>
        <w:t>.</w:t>
      </w:r>
      <w:r>
        <w:rPr>
          <w:rFonts w:hAnsi="Book Antiqua" w:hint="default"/>
          <w:rtl w:val="0"/>
          <w:lang w:val="it-IT"/>
        </w:rPr>
        <w:t> </w:t>
      </w:r>
    </w:p>
    <w:p>
      <w:pPr>
        <w:pStyle w:val="Normal"/>
        <w:ind w:left="567" w:right="567" w:firstLine="0"/>
        <w:jc w:val="both"/>
        <w:rPr>
          <w:rFonts w:ascii="Book Antiqua" w:cs="Book Antiqua" w:hAnsi="Book Antiqua" w:eastAsia="Book Antiqua"/>
        </w:rPr>
      </w:pPr>
    </w:p>
    <w:p>
      <w:pPr>
        <w:pStyle w:val="Normal"/>
        <w:jc w:val="both"/>
        <w:rPr>
          <w:rFonts w:ascii="Book Antiqua" w:cs="Book Antiqua" w:hAnsi="Book Antiqua" w:eastAsia="Book Antiqua"/>
        </w:rPr>
      </w:pPr>
      <w:r>
        <w:rPr>
          <w:rFonts w:ascii="Book Antiqua" w:cs="Book Antiqua" w:hAnsi="Book Antiqua" w:eastAsia="Book Antiqua"/>
          <w:rtl w:val="0"/>
        </w:rPr>
        <w:drawing>
          <wp:inline distT="0" distB="0" distL="0" distR="0">
            <wp:extent cx="6108700" cy="3403600"/>
            <wp:effectExtent l="0" t="0" r="0" b="0"/>
            <wp:docPr id="1073741854" name="officeArt object" descr="0001_costi_e_tariffe_2016.png"/>
            <wp:cNvGraphicFramePr/>
            <a:graphic xmlns:a="http://schemas.openxmlformats.org/drawingml/2006/main">
              <a:graphicData uri="http://schemas.openxmlformats.org/drawingml/2006/picture">
                <pic:pic xmlns:pic="http://schemas.openxmlformats.org/drawingml/2006/picture">
                  <pic:nvPicPr>
                    <pic:cNvPr id="1073741854" name="image30.png" descr="0001_costi_e_tariffe_2016.png"/>
                    <pic:cNvPicPr/>
                  </pic:nvPicPr>
                  <pic:blipFill>
                    <a:blip r:embed="rId38">
                      <a:extLst/>
                    </a:blip>
                    <a:stretch>
                      <a:fillRect/>
                    </a:stretch>
                  </pic:blipFill>
                  <pic:spPr>
                    <a:xfrm>
                      <a:off x="0" y="0"/>
                      <a:ext cx="6108700" cy="3403600"/>
                    </a:xfrm>
                    <a:prstGeom prst="rect">
                      <a:avLst/>
                    </a:prstGeom>
                    <a:ln w="12700" cap="flat">
                      <a:noFill/>
                      <a:miter lim="400000"/>
                    </a:ln>
                    <a:effectLst/>
                  </pic:spPr>
                </pic:pic>
              </a:graphicData>
            </a:graphic>
          </wp:inline>
        </w:drawing>
      </w:r>
    </w:p>
    <w:p>
      <w:pPr>
        <w:pStyle w:val="Normal"/>
        <w:ind w:left="567" w:right="567" w:firstLine="0"/>
        <w:jc w:val="both"/>
        <w:rPr>
          <w:rFonts w:ascii="Book Antiqua" w:cs="Book Antiqua" w:hAnsi="Book Antiqua" w:eastAsia="Book Antiqua"/>
        </w:rPr>
      </w:pPr>
      <w:r>
        <w:rPr>
          <w:rFonts w:ascii="Book Antiqua"/>
          <w:rtl w:val="0"/>
          <w:lang w:val="it-IT"/>
        </w:rPr>
        <w:t>L'approvazione del nuovo affidamento ad AMA d</w:t>
      </w:r>
      <w:r>
        <w:rPr>
          <w:rFonts w:hAnsi="Book Antiqua" w:hint="default"/>
          <w:rtl w:val="0"/>
          <w:lang w:val="it-IT"/>
        </w:rPr>
        <w:t xml:space="preserve">à </w:t>
      </w:r>
      <w:r>
        <w:rPr>
          <w:rFonts w:ascii="Book Antiqua"/>
          <w:rtl w:val="0"/>
          <w:lang w:val="it-IT"/>
        </w:rPr>
        <w:t>l'occasione di mettere in relazione l'andamento dei costi nel periodo tariffario (2003/2015) con la programmazione economico-finanziaria</w:t>
      </w:r>
      <w:r>
        <w:rPr>
          <w:rFonts w:hAnsi="Book Antiqua" w:hint="default"/>
          <w:rtl w:val="0"/>
          <w:lang w:val="it-IT"/>
        </w:rPr>
        <w:t> </w:t>
      </w:r>
      <w:r>
        <w:rPr>
          <w:rFonts w:ascii="Book Antiqua"/>
          <w:rtl w:val="0"/>
          <w:lang w:val="it-IT"/>
        </w:rPr>
        <w:t>del servizio fino al 2029, evidenziando continuit</w:t>
      </w:r>
      <w:r>
        <w:rPr>
          <w:rFonts w:hAnsi="Book Antiqua" w:hint="default"/>
          <w:rtl w:val="0"/>
          <w:lang w:val="it-IT"/>
        </w:rPr>
        <w:t xml:space="preserve">à </w:t>
      </w:r>
      <w:r>
        <w:rPr>
          <w:rFonts w:ascii="Book Antiqua"/>
          <w:rtl w:val="0"/>
          <w:lang w:val="it-IT"/>
        </w:rPr>
        <w:t>e discontinuit</w:t>
      </w:r>
      <w:r>
        <w:rPr>
          <w:rFonts w:hAnsi="Book Antiqua" w:hint="default"/>
          <w:rtl w:val="0"/>
          <w:lang w:val="it-IT"/>
        </w:rPr>
        <w:t>à</w:t>
      </w:r>
      <w:r>
        <w:rPr>
          <w:rFonts w:ascii="Book Antiqua" w:cs="Book Antiqua" w:hAnsi="Book Antiqua" w:eastAsia="Book Antiqua"/>
          <w:vertAlign w:val="superscript"/>
          <w:rtl w:val="0"/>
        </w:rPr>
        <w:footnoteReference w:id="119"/>
      </w:r>
      <w:r>
        <w:rPr>
          <w:rFonts w:ascii="Book Antiqua"/>
          <w:rtl w:val="0"/>
          <w:lang w:val="it-IT"/>
        </w:rPr>
        <w:t>. Per il passato, la documentazione di riferimento sono</w:t>
      </w:r>
      <w:r>
        <w:rPr>
          <w:rFonts w:hAnsi="Book Antiqua" w:hint="default"/>
          <w:rtl w:val="0"/>
          <w:lang w:val="it-IT"/>
        </w:rPr>
        <w:t> </w:t>
      </w:r>
      <w:r>
        <w:rPr>
          <w:rFonts w:ascii="Book Antiqua"/>
          <w:rtl w:val="0"/>
          <w:lang w:val="it-IT"/>
        </w:rPr>
        <w:t>i Piani finanziari per la determinazione della tariffa (PF, fino al 2015) e</w:t>
      </w:r>
      <w:r>
        <w:rPr>
          <w:rFonts w:hAnsi="Book Antiqua" w:hint="default"/>
          <w:rtl w:val="0"/>
          <w:lang w:val="it-IT"/>
        </w:rPr>
        <w:t> </w:t>
      </w:r>
      <w:r>
        <w:rPr>
          <w:rFonts w:ascii="Book Antiqua"/>
          <w:rtl w:val="0"/>
          <w:lang w:val="it-IT"/>
        </w:rPr>
        <w:t>i bilanci AMA (fino al 2014); per il futuro,</w:t>
      </w:r>
      <w:r>
        <w:rPr>
          <w:rFonts w:hAnsi="Book Antiqua" w:hint="default"/>
          <w:rtl w:val="0"/>
          <w:lang w:val="it-IT"/>
        </w:rPr>
        <w:t> </w:t>
      </w:r>
      <w:r>
        <w:rPr>
          <w:rFonts w:ascii="Book Antiqua"/>
          <w:rtl w:val="0"/>
          <w:lang w:val="it-IT"/>
        </w:rPr>
        <w:t>quella prospettica desumibile dal piano economico-finanziario (PEF,</w:t>
      </w:r>
      <w:r>
        <w:rPr>
          <w:rFonts w:hAnsi="Book Antiqua" w:hint="default"/>
          <w:rtl w:val="0"/>
          <w:lang w:val="it-IT"/>
        </w:rPr>
        <w:t> </w:t>
      </w:r>
      <w:r>
        <w:rPr>
          <w:rFonts w:ascii="Book Antiqua"/>
          <w:rtl w:val="0"/>
          <w:lang w:val="it-IT"/>
        </w:rPr>
        <w:t>2015/2029), allegato alla deliberazione di affidamento.</w:t>
      </w:r>
    </w:p>
    <w:p>
      <w:pPr>
        <w:pStyle w:val="Normal"/>
        <w:ind w:left="567" w:right="567" w:firstLine="0"/>
        <w:jc w:val="both"/>
        <w:rPr>
          <w:rFonts w:ascii="Book Antiqua" w:cs="Book Antiqua" w:hAnsi="Book Antiqua" w:eastAsia="Book Antiqua"/>
        </w:rPr>
      </w:pPr>
      <w:r>
        <w:rPr>
          <w:rFonts w:ascii="Book Antiqua"/>
          <w:rtl w:val="0"/>
          <w:lang w:val="it-IT"/>
        </w:rPr>
        <w:t>L</w:t>
      </w:r>
      <w:r>
        <w:rPr>
          <w:rFonts w:hAnsi="Book Antiqua" w:hint="default"/>
          <w:rtl w:val="0"/>
          <w:lang w:val="it-IT"/>
        </w:rPr>
        <w:t>’</w:t>
      </w:r>
      <w:r>
        <w:rPr>
          <w:rFonts w:ascii="Book Antiqua"/>
          <w:rtl w:val="0"/>
          <w:lang w:val="it-IT"/>
        </w:rPr>
        <w:t>insieme dei servizi istituzionali</w:t>
      </w:r>
      <w:r>
        <w:rPr>
          <w:rFonts w:hAnsi="Book Antiqua" w:hint="default"/>
          <w:rtl w:val="0"/>
          <w:lang w:val="it-IT"/>
        </w:rPr>
        <w:t> </w:t>
      </w:r>
      <w:r>
        <w:rPr>
          <w:rFonts w:ascii="Book Antiqua"/>
          <w:rtl w:val="0"/>
          <w:lang w:val="it-IT"/>
        </w:rPr>
        <w:t xml:space="preserve">di igiene urbana finanziati direttamente in tariffa dai cittadini, oggetto del nuovo affidamento, </w:t>
      </w:r>
      <w:r>
        <w:rPr>
          <w:rFonts w:hAnsi="Book Antiqua" w:hint="default"/>
          <w:rtl w:val="0"/>
          <w:lang w:val="it-IT"/>
        </w:rPr>
        <w:t xml:space="preserve">è </w:t>
      </w:r>
      <w:r>
        <w:rPr>
          <w:rFonts w:ascii="Book Antiqua"/>
          <w:rtl w:val="0"/>
          <w:lang w:val="it-IT"/>
        </w:rPr>
        <w:t>stato modificato rispetto al passato, escludendo alcune voci come la pulizia in seguito alle manifestazioni e agli eventi che Roma organizza in quanto Capitale (i cui costi sono stati quantificati in 40-45 milioni/anno) o come la pulizia delle banchine del Tevere, che in futuro saranno pagate a parte dall</w:t>
      </w:r>
      <w:r>
        <w:rPr>
          <w:rFonts w:hAnsi="Book Antiqua" w:hint="default"/>
          <w:rtl w:val="0"/>
          <w:lang w:val="it-IT"/>
        </w:rPr>
        <w:t>’</w:t>
      </w:r>
      <w:r>
        <w:rPr>
          <w:rFonts w:ascii="Book Antiqua"/>
          <w:rtl w:val="0"/>
          <w:lang w:val="it-IT"/>
        </w:rPr>
        <w:t>amministrazione di Roma.</w:t>
      </w:r>
      <w:r>
        <w:rPr>
          <w:rFonts w:hAnsi="Book Antiqua" w:hint="default"/>
          <w:rtl w:val="0"/>
          <w:lang w:val="it-IT"/>
        </w:rPr>
        <w:t> </w:t>
      </w:r>
    </w:p>
    <w:p>
      <w:pPr>
        <w:pStyle w:val="Normal"/>
        <w:ind w:left="567" w:right="567" w:firstLine="0"/>
        <w:jc w:val="both"/>
        <w:rPr>
          <w:rFonts w:ascii="Book Antiqua" w:cs="Book Antiqua" w:hAnsi="Book Antiqua" w:eastAsia="Book Antiqua"/>
        </w:rPr>
      </w:pPr>
      <w:r>
        <w:rPr>
          <w:rFonts w:ascii="Book Antiqua"/>
          <w:rtl w:val="0"/>
          <w:lang w:val="it-IT"/>
        </w:rPr>
        <w:t>I grafici che seguono mostrano l'andamento delle previsioni relative alle principali voci di costo in tutto il periodo 2003/2029, mettendole in relazione con le quantit</w:t>
      </w:r>
      <w:r>
        <w:rPr>
          <w:rFonts w:hAnsi="Book Antiqua" w:hint="default"/>
          <w:rtl w:val="0"/>
          <w:lang w:val="it-IT"/>
        </w:rPr>
        <w:t xml:space="preserve">à </w:t>
      </w:r>
      <w:r>
        <w:rPr>
          <w:rFonts w:ascii="Book Antiqua"/>
          <w:rtl w:val="0"/>
          <w:lang w:val="it-IT"/>
        </w:rPr>
        <w:t>differenziate e indifferenziate effettivamente raccolte fino al 2014 e quelle previste fino al 2029.</w:t>
      </w:r>
      <w:r>
        <w:rPr>
          <w:rFonts w:hAnsi="Book Antiqua" w:hint="default"/>
          <w:rtl w:val="0"/>
          <w:lang w:val="it-IT"/>
        </w:rPr>
        <w:t> </w:t>
      </w:r>
    </w:p>
    <w:p>
      <w:pPr>
        <w:pStyle w:val="Normal"/>
        <w:ind w:left="567" w:right="567" w:firstLine="0"/>
        <w:jc w:val="both"/>
        <w:rPr>
          <w:rFonts w:ascii="Book Antiqua" w:cs="Book Antiqua" w:hAnsi="Book Antiqua" w:eastAsia="Book Antiqua"/>
        </w:rPr>
      </w:pPr>
      <w:r>
        <w:rPr>
          <w:rFonts w:ascii="Book Antiqua"/>
          <w:rtl w:val="0"/>
          <w:lang w:val="it-IT"/>
        </w:rPr>
        <w:t>Nel grafico dei costi, a sinistra</w:t>
      </w:r>
      <w:r>
        <w:rPr>
          <w:rFonts w:hAnsi="Book Antiqua" w:hint="default"/>
          <w:rtl w:val="0"/>
          <w:lang w:val="it-IT"/>
        </w:rPr>
        <w:t> </w:t>
      </w:r>
      <w:r>
        <w:rPr>
          <w:rFonts w:ascii="Book Antiqua"/>
          <w:rtl w:val="0"/>
          <w:lang w:val="it-IT"/>
        </w:rPr>
        <w:t>si trovano le previsioni contenute nei</w:t>
      </w:r>
      <w:r>
        <w:rPr>
          <w:rFonts w:hAnsi="Book Antiqua" w:hint="default"/>
          <w:rtl w:val="0"/>
          <w:lang w:val="it-IT"/>
        </w:rPr>
        <w:t> </w:t>
      </w:r>
      <w:r>
        <w:rPr>
          <w:rFonts w:ascii="Book Antiqua"/>
          <w:rtl w:val="0"/>
          <w:lang w:val="it-IT"/>
        </w:rPr>
        <w:t>Piani finanziari in base alle quali sono stati approvati annualmente il gettito e la misura delle tariffe in questi anni, cui corrisponde</w:t>
      </w:r>
      <w:r>
        <w:rPr>
          <w:rFonts w:hAnsi="Book Antiqua" w:hint="default"/>
          <w:rtl w:val="0"/>
          <w:lang w:val="it-IT"/>
        </w:rPr>
        <w:t> </w:t>
      </w:r>
      <w:r>
        <w:rPr>
          <w:rFonts w:ascii="Book Antiqua"/>
          <w:rtl w:val="0"/>
          <w:lang w:val="it-IT"/>
        </w:rPr>
        <w:t>un progressivo incremento delle quantit</w:t>
      </w:r>
      <w:r>
        <w:rPr>
          <w:rFonts w:hAnsi="Book Antiqua" w:hint="default"/>
          <w:rtl w:val="0"/>
          <w:lang w:val="it-IT"/>
        </w:rPr>
        <w:t xml:space="preserve">à </w:t>
      </w:r>
      <w:r>
        <w:rPr>
          <w:rFonts w:ascii="Book Antiqua"/>
          <w:rtl w:val="0"/>
          <w:lang w:val="it-IT"/>
        </w:rPr>
        <w:t>differenziate (pi</w:t>
      </w:r>
      <w:r>
        <w:rPr>
          <w:rFonts w:hAnsi="Book Antiqua" w:hint="default"/>
          <w:rtl w:val="0"/>
          <w:lang w:val="it-IT"/>
        </w:rPr>
        <w:t xml:space="preserve">ù </w:t>
      </w:r>
      <w:r>
        <w:rPr>
          <w:rFonts w:ascii="Book Antiqua"/>
          <w:rtl w:val="0"/>
          <w:lang w:val="it-IT"/>
        </w:rPr>
        <w:t>marcato a partire dal 2012) e una contemporanea diminuzione della raccolta indifferenziata. A destra le previsioni per il prossimo affidamento.</w:t>
      </w:r>
    </w:p>
    <w:p>
      <w:pPr>
        <w:pStyle w:val="Normal"/>
        <w:ind w:left="567" w:right="567" w:firstLine="0"/>
        <w:jc w:val="both"/>
        <w:rPr>
          <w:rFonts w:ascii="Book Antiqua" w:cs="Book Antiqua" w:hAnsi="Book Antiqua" w:eastAsia="Book Antiqua"/>
        </w:rPr>
      </w:pPr>
    </w:p>
    <w:p>
      <w:pPr>
        <w:pStyle w:val="Normal"/>
        <w:jc w:val="both"/>
        <w:rPr>
          <w:rFonts w:ascii="Book Antiqua" w:cs="Book Antiqua" w:hAnsi="Book Antiqua" w:eastAsia="Book Antiqua"/>
        </w:rPr>
      </w:pPr>
      <w:r>
        <w:rPr>
          <w:rFonts w:ascii="Book Antiqua" w:cs="Book Antiqua" w:hAnsi="Book Antiqua" w:eastAsia="Book Antiqua"/>
          <w:rtl w:val="0"/>
        </w:rPr>
        <w:drawing>
          <wp:inline distT="0" distB="0" distL="0" distR="0">
            <wp:extent cx="6121400" cy="4800600"/>
            <wp:effectExtent l="0" t="0" r="0" b="0"/>
            <wp:docPr id="1073741855" name="officeArt object" descr="00_pf_pef_costi_e_quantita_1.png"/>
            <wp:cNvGraphicFramePr/>
            <a:graphic xmlns:a="http://schemas.openxmlformats.org/drawingml/2006/main">
              <a:graphicData uri="http://schemas.openxmlformats.org/drawingml/2006/picture">
                <pic:pic xmlns:pic="http://schemas.openxmlformats.org/drawingml/2006/picture">
                  <pic:nvPicPr>
                    <pic:cNvPr id="1073741855" name="image31.png" descr="00_pf_pef_costi_e_quantita_1.png"/>
                    <pic:cNvPicPr/>
                  </pic:nvPicPr>
                  <pic:blipFill>
                    <a:blip r:embed="rId39">
                      <a:extLst/>
                    </a:blip>
                    <a:stretch>
                      <a:fillRect/>
                    </a:stretch>
                  </pic:blipFill>
                  <pic:spPr>
                    <a:xfrm>
                      <a:off x="0" y="0"/>
                      <a:ext cx="6121400" cy="4800600"/>
                    </a:xfrm>
                    <a:prstGeom prst="rect">
                      <a:avLst/>
                    </a:prstGeom>
                    <a:ln w="12700" cap="flat">
                      <a:noFill/>
                      <a:miter lim="400000"/>
                    </a:ln>
                    <a:effectLst/>
                  </pic:spPr>
                </pic:pic>
              </a:graphicData>
            </a:graphic>
          </wp:inline>
        </w:drawing>
      </w:r>
    </w:p>
    <w:p>
      <w:pPr>
        <w:pStyle w:val="Normal"/>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rPr>
      </w:pPr>
      <w:r>
        <w:rPr>
          <w:rFonts w:ascii="Book Antiqua"/>
          <w:rtl w:val="0"/>
          <w:lang w:val="it-IT"/>
        </w:rPr>
        <w:t>Il costo totale del servizio, rappresentato dal gettito tariffario, fin dall</w:t>
      </w:r>
      <w:r>
        <w:rPr>
          <w:rFonts w:hAnsi="Book Antiqua" w:hint="default"/>
          <w:rtl w:val="0"/>
          <w:lang w:val="it-IT"/>
        </w:rPr>
        <w:t>’</w:t>
      </w:r>
      <w:r>
        <w:rPr>
          <w:rFonts w:ascii="Book Antiqua"/>
          <w:rtl w:val="0"/>
          <w:lang w:val="it-IT"/>
        </w:rPr>
        <w:t xml:space="preserve">inizio del periodo </w:t>
      </w:r>
      <w:r>
        <w:rPr>
          <w:rFonts w:hAnsi="Book Antiqua" w:hint="default"/>
          <w:rtl w:val="0"/>
          <w:lang w:val="it-IT"/>
        </w:rPr>
        <w:t xml:space="preserve">è </w:t>
      </w:r>
      <w:r>
        <w:rPr>
          <w:rFonts w:ascii="Book Antiqua"/>
          <w:rtl w:val="0"/>
          <w:lang w:val="it-IT"/>
        </w:rPr>
        <w:t>andato crescendo a ritmi molto sostenuti, tanto che al 2015 si registra un incremento di circa il 120 per cento rispetto al 2003, pari ad un aumento medio annuo del 10 per cento.</w:t>
      </w:r>
      <w:r>
        <w:rPr>
          <w:rFonts w:hAnsi="Book Antiqua" w:hint="default"/>
          <w:rtl w:val="0"/>
          <w:lang w:val="it-IT"/>
        </w:rPr>
        <w:t> </w:t>
      </w:r>
      <w:r>
        <w:rPr>
          <w:rFonts w:ascii="Book Antiqua"/>
          <w:rtl w:val="0"/>
          <w:lang w:val="it-IT"/>
        </w:rPr>
        <w:t xml:space="preserve">Questo andamento nel passato va messo in relazione con un andamento crescente dei costi di entrambe le gestioni </w:t>
      </w:r>
      <w:r>
        <w:rPr>
          <w:rFonts w:hAnsi="Book Antiqua" w:hint="default"/>
          <w:rtl w:val="0"/>
          <w:lang w:val="it-IT"/>
        </w:rPr>
        <w:t xml:space="preserve">– </w:t>
      </w:r>
      <w:r>
        <w:rPr>
          <w:rFonts w:ascii="Book Antiqua"/>
          <w:rtl w:val="0"/>
          <w:lang w:val="it-IT"/>
        </w:rPr>
        <w:t>raccolta differenziata e indifferenziata - indipendentemente dal fatto che le quantit</w:t>
      </w:r>
      <w:r>
        <w:rPr>
          <w:rFonts w:hAnsi="Book Antiqua" w:hint="default"/>
          <w:rtl w:val="0"/>
          <w:lang w:val="it-IT"/>
        </w:rPr>
        <w:t xml:space="preserve">à </w:t>
      </w:r>
      <w:r>
        <w:rPr>
          <w:rFonts w:ascii="Book Antiqua"/>
          <w:rtl w:val="0"/>
          <w:lang w:val="it-IT"/>
        </w:rPr>
        <w:t>indifferenziate siano andate diminuendo. In effetti, mentre la raccolta differenziata risulta direttamente e fortemente correlata alla spesa programmata (IC=0,99), questa relazione appare inversa per l</w:t>
      </w:r>
      <w:r>
        <w:rPr>
          <w:rFonts w:hAnsi="Book Antiqua" w:hint="default"/>
          <w:rtl w:val="0"/>
          <w:lang w:val="it-IT"/>
        </w:rPr>
        <w:t>’</w:t>
      </w:r>
      <w:r>
        <w:rPr>
          <w:rFonts w:ascii="Book Antiqua"/>
          <w:rtl w:val="0"/>
          <w:lang w:val="it-IT"/>
        </w:rPr>
        <w:t>indifferenziato (IC=-0,72), il cui costo di raccolta, trasporto, trattamento e smaltimento aumenta nonostante le quantit</w:t>
      </w:r>
      <w:r>
        <w:rPr>
          <w:rFonts w:hAnsi="Book Antiqua" w:hint="default"/>
          <w:rtl w:val="0"/>
          <w:lang w:val="it-IT"/>
        </w:rPr>
        <w:t xml:space="preserve">à </w:t>
      </w:r>
      <w:r>
        <w:rPr>
          <w:rFonts w:ascii="Book Antiqua"/>
          <w:rtl w:val="0"/>
          <w:lang w:val="it-IT"/>
        </w:rPr>
        <w:t>diminuiscano.</w:t>
      </w:r>
    </w:p>
    <w:p>
      <w:pPr>
        <w:pStyle w:val="Normal"/>
        <w:ind w:left="567" w:right="567" w:firstLine="0"/>
        <w:jc w:val="both"/>
        <w:rPr>
          <w:rFonts w:ascii="Book Antiqua" w:cs="Book Antiqua" w:hAnsi="Book Antiqua" w:eastAsia="Book Antiqua"/>
        </w:rPr>
      </w:pPr>
      <w:r>
        <w:rPr>
          <w:rFonts w:ascii="Book Antiqua"/>
          <w:rtl w:val="0"/>
          <w:lang w:val="it-IT"/>
        </w:rPr>
        <w:t>Se le previsioni del PEF saranno rispettate, nel corso del nuovo affidamento si dovrebbe verificare un</w:t>
      </w:r>
      <w:r>
        <w:rPr>
          <w:rFonts w:hAnsi="Book Antiqua" w:hint="default"/>
          <w:rtl w:val="0"/>
          <w:lang w:val="it-IT"/>
        </w:rPr>
        <w:t>’</w:t>
      </w:r>
      <w:r>
        <w:rPr>
          <w:rFonts w:ascii="Book Antiqua"/>
          <w:rtl w:val="0"/>
          <w:lang w:val="it-IT"/>
        </w:rPr>
        <w:t xml:space="preserve">iniziale riduzione dei costi </w:t>
      </w:r>
      <w:r>
        <w:rPr>
          <w:rFonts w:hAnsi="Book Antiqua" w:hint="default"/>
          <w:rtl w:val="0"/>
          <w:lang w:val="it-IT"/>
        </w:rPr>
        <w:t xml:space="preserve">– </w:t>
      </w:r>
      <w:r>
        <w:rPr>
          <w:rFonts w:ascii="Book Antiqua"/>
          <w:rtl w:val="0"/>
          <w:lang w:val="it-IT"/>
        </w:rPr>
        <w:t>prima della gestione indifferenziata (come effetto della riduzione dei rifiuti indifferenziati) e poi della differenziata (grazie all</w:t>
      </w:r>
      <w:r>
        <w:rPr>
          <w:rFonts w:hAnsi="Book Antiqua" w:hint="default"/>
          <w:rtl w:val="0"/>
          <w:lang w:val="it-IT"/>
        </w:rPr>
        <w:t>’</w:t>
      </w:r>
      <w:r>
        <w:rPr>
          <w:rFonts w:ascii="Book Antiqua"/>
          <w:rtl w:val="0"/>
          <w:lang w:val="it-IT"/>
        </w:rPr>
        <w:t xml:space="preserve">aumento dei ricavi della vendita dei materiali recuperati) </w:t>
      </w:r>
      <w:r>
        <w:rPr>
          <w:rFonts w:hAnsi="Book Antiqua" w:hint="default"/>
          <w:rtl w:val="0"/>
          <w:lang w:val="it-IT"/>
        </w:rPr>
        <w:t xml:space="preserve">– </w:t>
      </w:r>
      <w:r>
        <w:rPr>
          <w:rFonts w:ascii="Book Antiqua"/>
          <w:rtl w:val="0"/>
          <w:lang w:val="it-IT"/>
        </w:rPr>
        <w:t>seguita da una sostanziale stabilizzazione.</w:t>
      </w:r>
      <w:r>
        <w:rPr>
          <w:rFonts w:hAnsi="Book Antiqua" w:hint="default"/>
          <w:rtl w:val="0"/>
          <w:lang w:val="it-IT"/>
        </w:rPr>
        <w:t> </w:t>
      </w:r>
    </w:p>
    <w:p>
      <w:pPr>
        <w:pStyle w:val="Normal"/>
        <w:ind w:left="567" w:right="567" w:firstLine="0"/>
        <w:jc w:val="both"/>
        <w:rPr>
          <w:rFonts w:ascii="Book Antiqua" w:cs="Book Antiqua" w:hAnsi="Book Antiqua" w:eastAsia="Book Antiqua"/>
        </w:rPr>
      </w:pPr>
      <w:r>
        <w:rPr>
          <w:rFonts w:ascii="Book Antiqua"/>
          <w:rtl w:val="0"/>
          <w:lang w:val="it-IT"/>
        </w:rPr>
        <w:t>E</w:t>
      </w:r>
      <w:r>
        <w:rPr>
          <w:rFonts w:hAnsi="Book Antiqua" w:hint="default"/>
          <w:rtl w:val="0"/>
          <w:lang w:val="it-IT"/>
        </w:rPr>
        <w:t xml:space="preserve">’ </w:t>
      </w:r>
      <w:r>
        <w:rPr>
          <w:rFonts w:ascii="Book Antiqua"/>
          <w:rtl w:val="0"/>
          <w:lang w:val="it-IT"/>
        </w:rPr>
        <w:t xml:space="preserve">chiaro che queste previsioni </w:t>
      </w:r>
      <w:r>
        <w:rPr>
          <w:rFonts w:hAnsi="Book Antiqua" w:hint="default"/>
          <w:rtl w:val="0"/>
          <w:lang w:val="it-IT"/>
        </w:rPr>
        <w:t xml:space="preserve">– </w:t>
      </w:r>
      <w:r>
        <w:rPr>
          <w:rFonts w:ascii="Book Antiqua"/>
          <w:rtl w:val="0"/>
          <w:lang w:val="it-IT"/>
        </w:rPr>
        <w:t>come, si vedr</w:t>
      </w:r>
      <w:r>
        <w:rPr>
          <w:rFonts w:hAnsi="Book Antiqua" w:hint="default"/>
          <w:rtl w:val="0"/>
          <w:lang w:val="it-IT"/>
        </w:rPr>
        <w:t xml:space="preserve">à </w:t>
      </w:r>
      <w:r>
        <w:rPr>
          <w:rFonts w:ascii="Book Antiqua"/>
          <w:rtl w:val="0"/>
          <w:lang w:val="it-IT"/>
        </w:rPr>
        <w:t xml:space="preserve">oltre, quelle di prospettiva generale </w:t>
      </w:r>
      <w:r>
        <w:rPr>
          <w:rFonts w:hAnsi="Book Antiqua" w:hint="default"/>
          <w:rtl w:val="0"/>
          <w:lang w:val="it-IT"/>
        </w:rPr>
        <w:t xml:space="preserve">– </w:t>
      </w:r>
      <w:r>
        <w:rPr>
          <w:rFonts w:ascii="Book Antiqua"/>
          <w:rtl w:val="0"/>
          <w:lang w:val="it-IT"/>
        </w:rPr>
        <w:t>sono fortemente condizionate dall</w:t>
      </w:r>
      <w:r>
        <w:rPr>
          <w:rFonts w:hAnsi="Book Antiqua" w:hint="default"/>
          <w:rtl w:val="0"/>
          <w:lang w:val="it-IT"/>
        </w:rPr>
        <w:t>’</w:t>
      </w:r>
      <w:r>
        <w:rPr>
          <w:rFonts w:ascii="Book Antiqua"/>
          <w:rtl w:val="0"/>
          <w:lang w:val="it-IT"/>
        </w:rPr>
        <w:t>attesa di incremento della raccolta differenziata e di capacit</w:t>
      </w:r>
      <w:r>
        <w:rPr>
          <w:rFonts w:hAnsi="Book Antiqua" w:hint="default"/>
          <w:rtl w:val="0"/>
          <w:lang w:val="it-IT"/>
        </w:rPr>
        <w:t xml:space="preserve">à </w:t>
      </w:r>
      <w:r>
        <w:rPr>
          <w:rFonts w:ascii="Book Antiqua"/>
          <w:rtl w:val="0"/>
          <w:lang w:val="it-IT"/>
        </w:rPr>
        <w:t>di trattamento.</w:t>
      </w:r>
    </w:p>
    <w:p>
      <w:pPr>
        <w:pStyle w:val="Normal"/>
        <w:ind w:left="567" w:right="567" w:firstLine="0"/>
        <w:jc w:val="both"/>
        <w:rPr>
          <w:rFonts w:ascii="Book Antiqua" w:cs="Book Antiqua" w:hAnsi="Book Antiqua" w:eastAsia="Book Antiqua"/>
        </w:rPr>
      </w:pPr>
      <w:r>
        <w:rPr>
          <w:rFonts w:ascii="Book Antiqua"/>
          <w:rtl w:val="0"/>
          <w:lang w:val="it-IT"/>
        </w:rPr>
        <w:t>La voce su cui influir</w:t>
      </w:r>
      <w:r>
        <w:rPr>
          <w:rFonts w:hAnsi="Book Antiqua" w:hint="default"/>
          <w:rtl w:val="0"/>
          <w:lang w:val="it-IT"/>
        </w:rPr>
        <w:t xml:space="preserve">à </w:t>
      </w:r>
      <w:r>
        <w:rPr>
          <w:rFonts w:ascii="Book Antiqua"/>
          <w:rtl w:val="0"/>
          <w:lang w:val="it-IT"/>
        </w:rPr>
        <w:t>di pi</w:t>
      </w:r>
      <w:r>
        <w:rPr>
          <w:rFonts w:hAnsi="Book Antiqua" w:hint="default"/>
          <w:rtl w:val="0"/>
          <w:lang w:val="it-IT"/>
        </w:rPr>
        <w:t xml:space="preserve">ù </w:t>
      </w:r>
      <w:r>
        <w:rPr>
          <w:rFonts w:ascii="Book Antiqua"/>
          <w:rtl w:val="0"/>
          <w:lang w:val="it-IT"/>
        </w:rPr>
        <w:t xml:space="preserve">la sottrazione di alcuni servizi al regime tariffario </w:t>
      </w:r>
      <w:r>
        <w:rPr>
          <w:rFonts w:hAnsi="Book Antiqua" w:hint="default"/>
          <w:rtl w:val="0"/>
          <w:lang w:val="it-IT"/>
        </w:rPr>
        <w:t xml:space="preserve">è </w:t>
      </w:r>
      <w:r>
        <w:rPr>
          <w:rFonts w:ascii="Book Antiqua"/>
          <w:rtl w:val="0"/>
          <w:lang w:val="it-IT"/>
        </w:rPr>
        <w:t>quella dello spazzamento, le cui risorse sono andate diminuendo dal 2011 al 2015. La sottrazione di alcuni servizi di pulizia mantenendo i costi inalterati, come previsto nel PEF, dovrebbe infatti avere lo stesso effetto di aumentare di nuovo le risorse dedicate al servizio, che peraltro andrebbe programmato con la massima efficacia nell</w:t>
      </w:r>
      <w:r>
        <w:rPr>
          <w:rFonts w:hAnsi="Book Antiqua" w:hint="default"/>
          <w:rtl w:val="0"/>
          <w:lang w:val="it-IT"/>
        </w:rPr>
        <w:t>’</w:t>
      </w:r>
      <w:r>
        <w:rPr>
          <w:rFonts w:ascii="Book Antiqua"/>
          <w:rtl w:val="0"/>
          <w:lang w:val="it-IT"/>
        </w:rPr>
        <w:t>ambito del nuovo contratto di servizio, con l'obiettivo prioritario di</w:t>
      </w:r>
      <w:r>
        <w:rPr>
          <w:rFonts w:hAnsi="Book Antiqua" w:hint="default"/>
          <w:rtl w:val="0"/>
          <w:lang w:val="it-IT"/>
        </w:rPr>
        <w:t> </w:t>
      </w:r>
      <w:r>
        <w:rPr>
          <w:rFonts w:ascii="Book Antiqua"/>
          <w:rtl w:val="0"/>
          <w:lang w:val="it-IT"/>
        </w:rPr>
        <w:t>risolvere uno degli aspetti percepiti pi</w:t>
      </w:r>
      <w:r>
        <w:rPr>
          <w:rFonts w:hAnsi="Book Antiqua" w:hint="default"/>
          <w:rtl w:val="0"/>
          <w:lang w:val="it-IT"/>
        </w:rPr>
        <w:t xml:space="preserve">ù </w:t>
      </w:r>
      <w:r>
        <w:rPr>
          <w:rFonts w:ascii="Book Antiqua"/>
          <w:rtl w:val="0"/>
          <w:lang w:val="it-IT"/>
        </w:rPr>
        <w:t>criticamente dalla popolazione</w:t>
      </w:r>
      <w:r>
        <w:rPr>
          <w:rFonts w:ascii="Book Antiqua" w:cs="Book Antiqua" w:hAnsi="Book Antiqua" w:eastAsia="Book Antiqua"/>
          <w:vertAlign w:val="superscript"/>
          <w:rtl w:val="0"/>
        </w:rPr>
        <w:footnoteReference w:id="120"/>
      </w:r>
      <w:r>
        <w:rPr>
          <w:rFonts w:ascii="Book Antiqua"/>
          <w:rtl w:val="0"/>
          <w:lang w:val="it-IT"/>
        </w:rPr>
        <w:t>.</w:t>
      </w:r>
      <w:r>
        <w:rPr>
          <w:rFonts w:hAnsi="Book Antiqua" w:hint="default"/>
          <w:rtl w:val="0"/>
          <w:lang w:val="it-IT"/>
        </w:rPr>
        <w:t> </w:t>
      </w:r>
    </w:p>
    <w:p>
      <w:pPr>
        <w:pStyle w:val="Normal"/>
        <w:ind w:left="567" w:right="567" w:firstLine="0"/>
        <w:jc w:val="both"/>
        <w:rPr>
          <w:rFonts w:ascii="Book Antiqua" w:cs="Book Antiqua" w:hAnsi="Book Antiqua" w:eastAsia="Book Antiqua"/>
        </w:rPr>
      </w:pPr>
      <w:r>
        <w:rPr>
          <w:rFonts w:ascii="Book Antiqua"/>
          <w:rtl w:val="0"/>
          <w:lang w:val="it-IT"/>
        </w:rPr>
        <w:t>La tabella seguente</w:t>
      </w:r>
      <w:r>
        <w:rPr>
          <w:rFonts w:ascii="Book Antiqua" w:cs="Book Antiqua" w:hAnsi="Book Antiqua" w:eastAsia="Book Antiqua"/>
          <w:vertAlign w:val="superscript"/>
          <w:rtl w:val="0"/>
        </w:rPr>
        <w:footnoteReference w:id="121"/>
      </w:r>
      <w:r>
        <w:rPr>
          <w:rFonts w:ascii="Book Antiqua"/>
          <w:rtl w:val="0"/>
          <w:lang w:val="it-IT"/>
        </w:rPr>
        <w:t xml:space="preserve"> confronta i costi previsti nei piani finanziari 2015</w:t>
      </w:r>
      <w:r>
        <w:rPr>
          <w:rFonts w:hAnsi="Book Antiqua" w:hint="default"/>
          <w:rtl w:val="0"/>
          <w:lang w:val="it-IT"/>
        </w:rPr>
        <w:t> </w:t>
      </w:r>
      <w:r>
        <w:rPr>
          <w:rFonts w:ascii="Book Antiqua"/>
          <w:rtl w:val="0"/>
          <w:lang w:val="it-IT"/>
        </w:rPr>
        <w:t>e 2016 e il consuntivo 2015</w:t>
      </w:r>
      <w:r>
        <w:rPr>
          <w:rFonts w:hAnsi="Book Antiqua" w:hint="default"/>
          <w:rtl w:val="0"/>
          <w:lang w:val="it-IT"/>
        </w:rPr>
        <w:t> </w:t>
      </w:r>
      <w:r>
        <w:rPr>
          <w:rFonts w:ascii="Book Antiqua"/>
          <w:rtl w:val="0"/>
          <w:lang w:val="it-IT"/>
        </w:rPr>
        <w:t>con la previsione di costo approvata per gli stessi anni nella DAC 52/2015 di affidamento</w:t>
      </w: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rPr>
      </w:pPr>
    </w:p>
    <w:tbl>
      <w:tblPr>
        <w:tblW w:w="8647" w:type="dxa"/>
        <w:jc w:val="left"/>
        <w:tblInd w:w="779" w:type="dxa"/>
        <w:tblBorders>
          <w:top w:val="single" w:color="000000" w:sz="2" w:space="0" w:shadow="0" w:frame="0"/>
          <w:left w:val="single" w:color="000000" w:sz="2" w:space="0" w:shadow="0" w:frame="0"/>
          <w:bottom w:val="single" w:color="000000" w:sz="2" w:space="0" w:shadow="0" w:frame="0"/>
          <w:right w:val="single" w:color="000000" w:sz="2" w:space="0" w:shadow="0" w:frame="0"/>
          <w:insideH w:val="single" w:color="000000" w:sz="2" w:space="0" w:shadow="0" w:frame="0"/>
          <w:insideV w:val="single" w:color="000000" w:sz="2" w:space="0" w:shadow="0" w:frame="0"/>
        </w:tblBorders>
        <w:shd w:val="clear" w:color="auto" w:fill="auto"/>
        <w:tblLayout w:type="fixed"/>
      </w:tblPr>
      <w:tblGrid>
        <w:gridCol w:w="1845"/>
        <w:gridCol w:w="1134"/>
        <w:gridCol w:w="961"/>
        <w:gridCol w:w="1327"/>
        <w:gridCol w:w="1243"/>
        <w:gridCol w:w="1153"/>
        <w:gridCol w:w="984"/>
      </w:tblGrid>
      <w:tr>
        <w:tblPrEx>
          <w:shd w:val="clear" w:color="auto" w:fill="auto"/>
        </w:tblPrEx>
        <w:trPr>
          <w:trHeight w:val="255" w:hRule="atLeast"/>
        </w:trPr>
        <w:tc>
          <w:tcPr>
            <w:tcW w:type="dxa" w:w="1845"/>
            <w:vMerge w:val="restart"/>
            <w:tcBorders>
              <w:top w:val="single" w:color="ffffff" w:sz="6" w:space="0" w:shadow="0" w:frame="0"/>
              <w:left w:val="single" w:color="ffffff" w:sz="6" w:space="0" w:shadow="0" w:frame="0"/>
              <w:bottom w:val="single" w:color="ffffff" w:sz="6" w:space="0" w:shadow="0" w:frame="0"/>
              <w:right w:val="single" w:color="ffffff" w:sz="6" w:space="0" w:shadow="0" w:frame="0"/>
            </w:tcBorders>
            <w:shd w:val="clear" w:color="auto" w:fill="6699cc"/>
            <w:tcMar>
              <w:top w:type="dxa" w:w="80"/>
              <w:left w:type="dxa" w:w="80"/>
              <w:bottom w:type="dxa" w:w="80"/>
              <w:right w:type="dxa" w:w="80"/>
            </w:tcMar>
            <w:vAlign w:val="center"/>
          </w:tcPr>
          <w:p>
            <w:pPr>
              <w:pStyle w:val="Normal"/>
              <w:spacing w:before="240" w:after="240"/>
            </w:pPr>
            <w:r>
              <w:rPr>
                <w:rFonts w:ascii="Arial"/>
                <w:caps w:val="0"/>
                <w:smallCaps w:val="0"/>
                <w:strike w:val="0"/>
                <w:dstrike w:val="0"/>
                <w:outline w:val="0"/>
                <w:color w:val="000000"/>
                <w:spacing w:val="0"/>
                <w:kern w:val="0"/>
                <w:position w:val="0"/>
                <w:sz w:val="19"/>
                <w:szCs w:val="19"/>
                <w:u w:val="none" w:color="000000"/>
                <w:vertAlign w:val="baseline"/>
                <w:rtl w:val="0"/>
                <w:lang w:val="it-IT"/>
              </w:rPr>
              <w:t>MILIONI DI EURO</w:t>
            </w:r>
          </w:p>
        </w:tc>
        <w:tc>
          <w:tcPr>
            <w:tcW w:type="dxa" w:w="3422"/>
            <w:gridSpan w:val="3"/>
            <w:tcBorders>
              <w:top w:val="single" w:color="ffffff" w:sz="6" w:space="0" w:shadow="0" w:frame="0"/>
              <w:left w:val="single" w:color="ffffff" w:sz="6" w:space="0" w:shadow="0" w:frame="0"/>
              <w:bottom w:val="single" w:color="ffffff" w:sz="6" w:space="0" w:shadow="0" w:frame="0"/>
              <w:right w:val="single" w:color="ffffff" w:sz="6" w:space="0" w:shadow="0" w:frame="0"/>
            </w:tcBorders>
            <w:shd w:val="clear" w:color="auto" w:fill="6699cc"/>
            <w:tcMar>
              <w:top w:type="dxa" w:w="80"/>
              <w:left w:type="dxa" w:w="80"/>
              <w:bottom w:type="dxa" w:w="80"/>
              <w:right w:type="dxa" w:w="80"/>
            </w:tcMar>
            <w:vAlign w:val="center"/>
          </w:tcPr>
          <w:p>
            <w:pPr>
              <w:pStyle w:val="Normal"/>
              <w:spacing w:before="240" w:after="240"/>
              <w:jc w:val="center"/>
            </w:pPr>
            <w:r>
              <w:rPr>
                <w:rFonts w:ascii="Arial"/>
                <w:caps w:val="0"/>
                <w:smallCaps w:val="0"/>
                <w:strike w:val="0"/>
                <w:dstrike w:val="0"/>
                <w:outline w:val="0"/>
                <w:color w:val="000000"/>
                <w:spacing w:val="0"/>
                <w:kern w:val="0"/>
                <w:position w:val="0"/>
                <w:sz w:val="19"/>
                <w:szCs w:val="19"/>
                <w:u w:val="none" w:color="000000"/>
                <w:vertAlign w:val="baseline"/>
                <w:rtl w:val="0"/>
                <w:lang w:val="it-IT"/>
              </w:rPr>
              <w:t>2015</w:t>
            </w:r>
          </w:p>
        </w:tc>
        <w:tc>
          <w:tcPr>
            <w:tcW w:type="dxa" w:w="2396"/>
            <w:gridSpan w:val="2"/>
            <w:tcBorders>
              <w:top w:val="single" w:color="ffffff" w:sz="6" w:space="0" w:shadow="0" w:frame="0"/>
              <w:left w:val="single" w:color="ffffff" w:sz="6" w:space="0" w:shadow="0" w:frame="0"/>
              <w:bottom w:val="single" w:color="ffffff" w:sz="6" w:space="0" w:shadow="0" w:frame="0"/>
              <w:right w:val="single" w:color="ffffff" w:sz="6" w:space="0" w:shadow="0" w:frame="0"/>
            </w:tcBorders>
            <w:shd w:val="clear" w:color="auto" w:fill="6699cc"/>
            <w:tcMar>
              <w:top w:type="dxa" w:w="80"/>
              <w:left w:type="dxa" w:w="80"/>
              <w:bottom w:type="dxa" w:w="80"/>
              <w:right w:type="dxa" w:w="80"/>
            </w:tcMar>
            <w:vAlign w:val="center"/>
          </w:tcPr>
          <w:p>
            <w:pPr>
              <w:pStyle w:val="Normal"/>
              <w:spacing w:before="240" w:after="240"/>
              <w:jc w:val="center"/>
            </w:pPr>
            <w:r>
              <w:rPr>
                <w:rFonts w:ascii="Arial"/>
                <w:caps w:val="0"/>
                <w:smallCaps w:val="0"/>
                <w:strike w:val="0"/>
                <w:dstrike w:val="0"/>
                <w:outline w:val="0"/>
                <w:color w:val="000000"/>
                <w:spacing w:val="0"/>
                <w:kern w:val="0"/>
                <w:position w:val="0"/>
                <w:sz w:val="19"/>
                <w:szCs w:val="19"/>
                <w:u w:val="none" w:color="000000"/>
                <w:vertAlign w:val="baseline"/>
                <w:rtl w:val="0"/>
                <w:lang w:val="it-IT"/>
              </w:rPr>
              <w:t>2016</w:t>
            </w:r>
          </w:p>
        </w:tc>
        <w:tc>
          <w:tcPr>
            <w:tcW w:type="dxa" w:w="984"/>
            <w:vMerge w:val="restart"/>
            <w:tcBorders>
              <w:top w:val="single" w:color="ffffff" w:sz="6" w:space="0" w:shadow="0" w:frame="0"/>
              <w:left w:val="single" w:color="ffffff" w:sz="6" w:space="0" w:shadow="0" w:frame="0"/>
              <w:bottom w:val="single" w:color="ffffff" w:sz="6" w:space="0" w:shadow="0" w:frame="0"/>
              <w:right w:val="single" w:color="ffffff" w:sz="6" w:space="0" w:shadow="0" w:frame="0"/>
            </w:tcBorders>
            <w:shd w:val="clear" w:color="auto" w:fill="6699cc"/>
            <w:tcMar>
              <w:top w:type="dxa" w:w="80"/>
              <w:left w:type="dxa" w:w="80"/>
              <w:bottom w:type="dxa" w:w="80"/>
              <w:right w:type="dxa" w:w="80"/>
            </w:tcMar>
            <w:vAlign w:val="center"/>
          </w:tcPr>
          <w:p>
            <w:pPr>
              <w:pStyle w:val="Normal"/>
              <w:spacing w:before="240" w:after="240"/>
              <w:jc w:val="center"/>
            </w:pPr>
            <w:r>
              <w:rPr>
                <w:rFonts w:ascii="Arial"/>
                <w:caps w:val="0"/>
                <w:smallCaps w:val="0"/>
                <w:strike w:val="0"/>
                <w:dstrike w:val="0"/>
                <w:outline w:val="0"/>
                <w:color w:val="000000"/>
                <w:spacing w:val="0"/>
                <w:kern w:val="0"/>
                <w:position w:val="0"/>
                <w:sz w:val="19"/>
                <w:szCs w:val="19"/>
                <w:u w:val="none" w:color="000000"/>
                <w:vertAlign w:val="baseline"/>
                <w:rtl w:val="0"/>
                <w:lang w:val="it-IT"/>
              </w:rPr>
              <w:t>Variazione PF 2016 rispetto al PEF</w:t>
            </w:r>
          </w:p>
        </w:tc>
      </w:tr>
      <w:tr>
        <w:tblPrEx>
          <w:shd w:val="clear" w:color="auto" w:fill="auto"/>
        </w:tblPrEx>
        <w:trPr>
          <w:trHeight w:val="889" w:hRule="atLeast"/>
        </w:trPr>
        <w:tc>
          <w:tcPr>
            <w:tcW w:type="dxa" w:w="1845"/>
            <w:vMerge w:val="continue"/>
            <w:tcBorders>
              <w:top w:val="single" w:color="ffffff" w:sz="6" w:space="0" w:shadow="0" w:frame="0"/>
              <w:left w:val="single" w:color="ffffff" w:sz="6" w:space="0" w:shadow="0" w:frame="0"/>
              <w:bottom w:val="single" w:color="ffffff" w:sz="6" w:space="0" w:shadow="0" w:frame="0"/>
              <w:right w:val="single" w:color="ffffff" w:sz="6" w:space="0" w:shadow="0" w:frame="0"/>
            </w:tcBorders>
            <w:shd w:val="clear" w:color="auto" w:fill="6699cc"/>
          </w:tcPr>
          <w:p/>
        </w:tc>
        <w:tc>
          <w:tcPr>
            <w:tcW w:type="dxa" w:w="1134"/>
            <w:tcBorders>
              <w:top w:val="single" w:color="ffffff" w:sz="6" w:space="0" w:shadow="0" w:frame="0"/>
              <w:left w:val="single" w:color="ffffff" w:sz="6" w:space="0" w:shadow="0" w:frame="0"/>
              <w:bottom w:val="single" w:color="ffffff" w:sz="6" w:space="0" w:shadow="0" w:frame="0"/>
              <w:right w:val="single" w:color="ffffff" w:sz="6" w:space="0" w:shadow="0" w:frame="0"/>
            </w:tcBorders>
            <w:shd w:val="clear" w:color="auto" w:fill="6699cc"/>
            <w:tcMar>
              <w:top w:type="dxa" w:w="80"/>
              <w:left w:type="dxa" w:w="80"/>
              <w:bottom w:type="dxa" w:w="80"/>
              <w:right w:type="dxa" w:w="80"/>
            </w:tcMar>
            <w:vAlign w:val="center"/>
          </w:tcPr>
          <w:p>
            <w:pPr>
              <w:pStyle w:val="Normal"/>
              <w:spacing w:before="240" w:after="240"/>
              <w:jc w:val="center"/>
            </w:pPr>
            <w:r>
              <w:rPr>
                <w:rFonts w:ascii="Arial"/>
                <w:caps w:val="0"/>
                <w:smallCaps w:val="0"/>
                <w:strike w:val="0"/>
                <w:dstrike w:val="0"/>
                <w:outline w:val="0"/>
                <w:color w:val="000000"/>
                <w:spacing w:val="0"/>
                <w:kern w:val="0"/>
                <w:position w:val="0"/>
                <w:sz w:val="19"/>
                <w:szCs w:val="19"/>
                <w:u w:val="none" w:color="000000"/>
                <w:vertAlign w:val="baseline"/>
                <w:rtl w:val="0"/>
                <w:lang w:val="it-IT"/>
              </w:rPr>
              <w:t>PEF affidamento (DAC 52/2015)</w:t>
            </w:r>
          </w:p>
        </w:tc>
        <w:tc>
          <w:tcPr>
            <w:tcW w:type="dxa" w:w="961"/>
            <w:tcBorders>
              <w:top w:val="single" w:color="ffffff" w:sz="6" w:space="0" w:shadow="0" w:frame="0"/>
              <w:left w:val="single" w:color="ffffff" w:sz="6" w:space="0" w:shadow="0" w:frame="0"/>
              <w:bottom w:val="single" w:color="ffffff" w:sz="6" w:space="0" w:shadow="0" w:frame="0"/>
              <w:right w:val="single" w:color="ffffff" w:sz="6" w:space="0" w:shadow="0" w:frame="0"/>
            </w:tcBorders>
            <w:shd w:val="clear" w:color="auto" w:fill="6699cc"/>
            <w:tcMar>
              <w:top w:type="dxa" w:w="80"/>
              <w:left w:type="dxa" w:w="80"/>
              <w:bottom w:type="dxa" w:w="80"/>
              <w:right w:type="dxa" w:w="80"/>
            </w:tcMar>
            <w:vAlign w:val="center"/>
          </w:tcPr>
          <w:p>
            <w:pPr>
              <w:pStyle w:val="Normal"/>
              <w:spacing w:before="240" w:after="240"/>
              <w:jc w:val="center"/>
            </w:pPr>
            <w:r>
              <w:rPr>
                <w:rFonts w:ascii="Arial"/>
                <w:caps w:val="0"/>
                <w:smallCaps w:val="0"/>
                <w:strike w:val="0"/>
                <w:dstrike w:val="0"/>
                <w:outline w:val="0"/>
                <w:color w:val="000000"/>
                <w:spacing w:val="0"/>
                <w:kern w:val="0"/>
                <w:position w:val="0"/>
                <w:sz w:val="19"/>
                <w:szCs w:val="19"/>
                <w:u w:val="none" w:color="000000"/>
                <w:vertAlign w:val="baseline"/>
                <w:rtl w:val="0"/>
                <w:lang w:val="it-IT"/>
              </w:rPr>
              <w:t>PF 2015 (DAC 15/2015)</w:t>
            </w:r>
          </w:p>
        </w:tc>
        <w:tc>
          <w:tcPr>
            <w:tcW w:type="dxa" w:w="1327"/>
            <w:tcBorders>
              <w:top w:val="single" w:color="ffffff" w:sz="6" w:space="0" w:shadow="0" w:frame="0"/>
              <w:left w:val="single" w:color="ffffff" w:sz="6" w:space="0" w:shadow="0" w:frame="0"/>
              <w:bottom w:val="single" w:color="ffffff" w:sz="6" w:space="0" w:shadow="0" w:frame="0"/>
              <w:right w:val="single" w:color="ffffff" w:sz="6" w:space="0" w:shadow="0" w:frame="0"/>
            </w:tcBorders>
            <w:shd w:val="clear" w:color="auto" w:fill="6699cc"/>
            <w:tcMar>
              <w:top w:type="dxa" w:w="80"/>
              <w:left w:type="dxa" w:w="80"/>
              <w:bottom w:type="dxa" w:w="80"/>
              <w:right w:type="dxa" w:w="80"/>
            </w:tcMar>
            <w:vAlign w:val="center"/>
          </w:tcPr>
          <w:p>
            <w:pPr>
              <w:pStyle w:val="Normal"/>
              <w:spacing w:before="240" w:after="240"/>
              <w:jc w:val="center"/>
            </w:pPr>
            <w:r>
              <w:rPr>
                <w:rFonts w:ascii="Arial"/>
                <w:caps w:val="0"/>
                <w:smallCaps w:val="0"/>
                <w:strike w:val="0"/>
                <w:dstrike w:val="0"/>
                <w:outline w:val="0"/>
                <w:color w:val="000000"/>
                <w:spacing w:val="0"/>
                <w:kern w:val="0"/>
                <w:position w:val="0"/>
                <w:sz w:val="19"/>
                <w:szCs w:val="19"/>
                <w:u w:val="none" w:color="000000"/>
                <w:vertAlign w:val="baseline"/>
                <w:rtl w:val="0"/>
                <w:lang w:val="it-IT"/>
              </w:rPr>
              <w:t>Consuntivo 2015 (in PF 2016)</w:t>
            </w:r>
          </w:p>
        </w:tc>
        <w:tc>
          <w:tcPr>
            <w:tcW w:type="dxa" w:w="1243"/>
            <w:tcBorders>
              <w:top w:val="single" w:color="ffffff" w:sz="6" w:space="0" w:shadow="0" w:frame="0"/>
              <w:left w:val="single" w:color="ffffff" w:sz="6" w:space="0" w:shadow="0" w:frame="0"/>
              <w:bottom w:val="single" w:color="ffffff" w:sz="6" w:space="0" w:shadow="0" w:frame="0"/>
              <w:right w:val="single" w:color="ffffff" w:sz="6" w:space="0" w:shadow="0" w:frame="0"/>
            </w:tcBorders>
            <w:shd w:val="clear" w:color="auto" w:fill="6699cc"/>
            <w:tcMar>
              <w:top w:type="dxa" w:w="80"/>
              <w:left w:type="dxa" w:w="80"/>
              <w:bottom w:type="dxa" w:w="80"/>
              <w:right w:type="dxa" w:w="80"/>
            </w:tcMar>
            <w:vAlign w:val="center"/>
          </w:tcPr>
          <w:p>
            <w:pPr>
              <w:pStyle w:val="Normal"/>
              <w:spacing w:before="240" w:after="240"/>
              <w:jc w:val="center"/>
            </w:pPr>
            <w:r>
              <w:rPr>
                <w:rFonts w:ascii="Arial"/>
                <w:caps w:val="0"/>
                <w:smallCaps w:val="0"/>
                <w:strike w:val="0"/>
                <w:dstrike w:val="0"/>
                <w:outline w:val="0"/>
                <w:color w:val="000000"/>
                <w:spacing w:val="0"/>
                <w:kern w:val="0"/>
                <w:position w:val="0"/>
                <w:sz w:val="19"/>
                <w:szCs w:val="19"/>
                <w:u w:val="none" w:color="000000"/>
                <w:vertAlign w:val="baseline"/>
                <w:rtl w:val="0"/>
                <w:lang w:val="it-IT"/>
              </w:rPr>
              <w:t>PEF affidamento (DAC 52/2015)</w:t>
            </w:r>
          </w:p>
        </w:tc>
        <w:tc>
          <w:tcPr>
            <w:tcW w:type="dxa" w:w="1153"/>
            <w:tcBorders>
              <w:top w:val="single" w:color="ffffff" w:sz="6" w:space="0" w:shadow="0" w:frame="0"/>
              <w:left w:val="single" w:color="ffffff" w:sz="6" w:space="0" w:shadow="0" w:frame="0"/>
              <w:bottom w:val="single" w:color="ffffff" w:sz="6" w:space="0" w:shadow="0" w:frame="0"/>
              <w:right w:val="single" w:color="ffffff" w:sz="6" w:space="0" w:shadow="0" w:frame="0"/>
            </w:tcBorders>
            <w:shd w:val="clear" w:color="auto" w:fill="6699cc"/>
            <w:tcMar>
              <w:top w:type="dxa" w:w="80"/>
              <w:left w:type="dxa" w:w="80"/>
              <w:bottom w:type="dxa" w:w="80"/>
              <w:right w:type="dxa" w:w="80"/>
            </w:tcMar>
            <w:vAlign w:val="center"/>
          </w:tcPr>
          <w:p>
            <w:pPr>
              <w:pStyle w:val="Normal"/>
              <w:spacing w:before="240" w:after="240"/>
              <w:jc w:val="center"/>
            </w:pPr>
            <w:r>
              <w:rPr>
                <w:rFonts w:ascii="Arial"/>
                <w:caps w:val="0"/>
                <w:smallCaps w:val="0"/>
                <w:strike w:val="0"/>
                <w:dstrike w:val="0"/>
                <w:outline w:val="0"/>
                <w:color w:val="000000"/>
                <w:spacing w:val="0"/>
                <w:kern w:val="0"/>
                <w:position w:val="0"/>
                <w:sz w:val="19"/>
                <w:szCs w:val="19"/>
                <w:u w:val="none" w:color="000000"/>
                <w:vertAlign w:val="baseline"/>
                <w:rtl w:val="0"/>
                <w:lang w:val="it-IT"/>
              </w:rPr>
              <w:t>PF 2016 (DCS-AC 7/2016)</w:t>
            </w:r>
          </w:p>
        </w:tc>
        <w:tc>
          <w:tcPr>
            <w:tcW w:type="dxa" w:w="984"/>
            <w:vMerge w:val="continue"/>
            <w:tcBorders>
              <w:top w:val="single" w:color="ffffff" w:sz="6" w:space="0" w:shadow="0" w:frame="0"/>
              <w:left w:val="single" w:color="ffffff" w:sz="6" w:space="0" w:shadow="0" w:frame="0"/>
              <w:bottom w:val="single" w:color="ffffff" w:sz="6" w:space="0" w:shadow="0" w:frame="0"/>
              <w:right w:val="single" w:color="ffffff" w:sz="6" w:space="0" w:shadow="0" w:frame="0"/>
            </w:tcBorders>
            <w:shd w:val="clear" w:color="auto" w:fill="6699cc"/>
          </w:tcPr>
          <w:p/>
        </w:tc>
      </w:tr>
      <w:tr>
        <w:tblPrEx>
          <w:shd w:val="clear" w:color="auto" w:fill="auto"/>
        </w:tblPrEx>
        <w:trPr>
          <w:trHeight w:val="669" w:hRule="atLeast"/>
        </w:trPr>
        <w:tc>
          <w:tcPr>
            <w:tcW w:type="dxa" w:w="1845"/>
            <w:tcBorders>
              <w:top w:val="single" w:color="ffffff" w:sz="6" w:space="0" w:shadow="0" w:frame="0"/>
              <w:left w:val="single" w:color="ffffff" w:sz="6" w:space="0" w:shadow="0" w:frame="0"/>
              <w:bottom w:val="single" w:color="ffffff" w:sz="6" w:space="0" w:shadow="0" w:frame="0"/>
              <w:right w:val="single" w:color="ffffff" w:sz="6" w:space="0" w:shadow="0" w:frame="0"/>
            </w:tcBorders>
            <w:shd w:val="clear" w:color="auto" w:fill="cc99ff"/>
            <w:tcMar>
              <w:top w:type="dxa" w:w="80"/>
              <w:left w:type="dxa" w:w="80"/>
              <w:bottom w:type="dxa" w:w="80"/>
              <w:right w:type="dxa" w:w="80"/>
            </w:tcMar>
            <w:vAlign w:val="center"/>
          </w:tcPr>
          <w:p>
            <w:pPr>
              <w:pStyle w:val="Normal"/>
              <w:spacing w:before="240" w:after="240"/>
            </w:pPr>
            <w:r>
              <w:rPr>
                <w:rFonts w:ascii="Arial"/>
                <w:caps w:val="0"/>
                <w:smallCaps w:val="0"/>
                <w:strike w:val="0"/>
                <w:dstrike w:val="0"/>
                <w:outline w:val="0"/>
                <w:color w:val="000000"/>
                <w:spacing w:val="0"/>
                <w:kern w:val="0"/>
                <w:position w:val="0"/>
                <w:sz w:val="19"/>
                <w:szCs w:val="19"/>
                <w:u w:val="none" w:color="000000"/>
                <w:vertAlign w:val="baseline"/>
                <w:rtl w:val="0"/>
                <w:lang w:val="it-IT"/>
              </w:rPr>
              <w:t>GETTITO TARIFFARIO (iva inclusa)</w:t>
            </w:r>
          </w:p>
        </w:tc>
        <w:tc>
          <w:tcPr>
            <w:tcW w:type="dxa" w:w="1134"/>
            <w:tcBorders>
              <w:top w:val="single" w:color="ffffff" w:sz="6" w:space="0" w:shadow="0" w:frame="0"/>
              <w:left w:val="single" w:color="ffffff" w:sz="6" w:space="0" w:shadow="0" w:frame="0"/>
              <w:bottom w:val="single" w:color="ffffff" w:sz="6" w:space="0" w:shadow="0" w:frame="0"/>
              <w:right w:val="single" w:color="ffffff" w:sz="6" w:space="0" w:shadow="0" w:frame="0"/>
            </w:tcBorders>
            <w:shd w:val="clear" w:color="auto" w:fill="cc99ff"/>
            <w:tcMar>
              <w:top w:type="dxa" w:w="80"/>
              <w:left w:type="dxa" w:w="80"/>
              <w:bottom w:type="dxa" w:w="80"/>
              <w:right w:type="dxa" w:w="80"/>
            </w:tcMar>
            <w:vAlign w:val="center"/>
          </w:tcPr>
          <w:p>
            <w:pPr>
              <w:pStyle w:val="Normal"/>
              <w:spacing w:before="240" w:after="240"/>
              <w:jc w:val="center"/>
            </w:pPr>
            <w:r>
              <w:rPr>
                <w:rFonts w:ascii="Arial"/>
                <w:caps w:val="0"/>
                <w:smallCaps w:val="0"/>
                <w:strike w:val="0"/>
                <w:dstrike w:val="0"/>
                <w:outline w:val="0"/>
                <w:color w:val="000000"/>
                <w:spacing w:val="0"/>
                <w:kern w:val="0"/>
                <w:position w:val="0"/>
                <w:sz w:val="19"/>
                <w:szCs w:val="19"/>
                <w:u w:val="none" w:color="000000"/>
                <w:vertAlign w:val="baseline"/>
                <w:rtl w:val="0"/>
                <w:lang w:val="it-IT"/>
              </w:rPr>
              <w:t>792,2</w:t>
            </w:r>
          </w:p>
        </w:tc>
        <w:tc>
          <w:tcPr>
            <w:tcW w:type="dxa" w:w="961"/>
            <w:tcBorders>
              <w:top w:val="single" w:color="ffffff" w:sz="6" w:space="0" w:shadow="0" w:frame="0"/>
              <w:left w:val="single" w:color="ffffff" w:sz="6" w:space="0" w:shadow="0" w:frame="0"/>
              <w:bottom w:val="single" w:color="ffffff" w:sz="6" w:space="0" w:shadow="0" w:frame="0"/>
              <w:right w:val="single" w:color="ffffff" w:sz="6" w:space="0" w:shadow="0" w:frame="0"/>
            </w:tcBorders>
            <w:shd w:val="clear" w:color="auto" w:fill="cc99ff"/>
            <w:tcMar>
              <w:top w:type="dxa" w:w="80"/>
              <w:left w:type="dxa" w:w="80"/>
              <w:bottom w:type="dxa" w:w="80"/>
              <w:right w:type="dxa" w:w="80"/>
            </w:tcMar>
            <w:vAlign w:val="center"/>
          </w:tcPr>
          <w:p>
            <w:pPr>
              <w:pStyle w:val="Normal"/>
              <w:spacing w:before="240" w:after="240"/>
              <w:jc w:val="center"/>
            </w:pPr>
            <w:r>
              <w:rPr>
                <w:rFonts w:ascii="Arial"/>
                <w:caps w:val="0"/>
                <w:smallCaps w:val="0"/>
                <w:strike w:val="0"/>
                <w:dstrike w:val="0"/>
                <w:outline w:val="0"/>
                <w:color w:val="000000"/>
                <w:spacing w:val="0"/>
                <w:kern w:val="0"/>
                <w:position w:val="0"/>
                <w:sz w:val="19"/>
                <w:szCs w:val="19"/>
                <w:u w:val="none" w:color="000000"/>
                <w:vertAlign w:val="baseline"/>
                <w:rtl w:val="0"/>
                <w:lang w:val="it-IT"/>
              </w:rPr>
              <w:t>793,7</w:t>
            </w:r>
          </w:p>
        </w:tc>
        <w:tc>
          <w:tcPr>
            <w:tcW w:type="dxa" w:w="1327"/>
            <w:tcBorders>
              <w:top w:val="single" w:color="ffffff" w:sz="6" w:space="0" w:shadow="0" w:frame="0"/>
              <w:left w:val="single" w:color="ffffff" w:sz="6" w:space="0" w:shadow="0" w:frame="0"/>
              <w:bottom w:val="single" w:color="ffffff" w:sz="6" w:space="0" w:shadow="0" w:frame="0"/>
              <w:right w:val="single" w:color="ffffff" w:sz="6" w:space="0" w:shadow="0" w:frame="0"/>
            </w:tcBorders>
            <w:shd w:val="clear" w:color="auto" w:fill="cc99ff"/>
            <w:tcMar>
              <w:top w:type="dxa" w:w="80"/>
              <w:left w:type="dxa" w:w="80"/>
              <w:bottom w:type="dxa" w:w="80"/>
              <w:right w:type="dxa" w:w="80"/>
            </w:tcMar>
            <w:vAlign w:val="center"/>
          </w:tcPr>
          <w:p>
            <w:pPr>
              <w:pStyle w:val="Normal"/>
              <w:spacing w:before="240" w:after="240"/>
              <w:jc w:val="center"/>
            </w:pPr>
            <w:r>
              <w:rPr>
                <w:rFonts w:ascii="Arial"/>
                <w:caps w:val="0"/>
                <w:smallCaps w:val="0"/>
                <w:strike w:val="0"/>
                <w:dstrike w:val="0"/>
                <w:outline w:val="0"/>
                <w:color w:val="000000"/>
                <w:spacing w:val="0"/>
                <w:kern w:val="0"/>
                <w:position w:val="0"/>
                <w:sz w:val="19"/>
                <w:szCs w:val="19"/>
                <w:u w:val="none" w:color="000000"/>
                <w:vertAlign w:val="baseline"/>
                <w:rtl w:val="0"/>
                <w:lang w:val="it-IT"/>
              </w:rPr>
              <w:t>793,7</w:t>
            </w:r>
          </w:p>
        </w:tc>
        <w:tc>
          <w:tcPr>
            <w:tcW w:type="dxa" w:w="1243"/>
            <w:tcBorders>
              <w:top w:val="single" w:color="ffffff" w:sz="6" w:space="0" w:shadow="0" w:frame="0"/>
              <w:left w:val="single" w:color="ffffff" w:sz="6" w:space="0" w:shadow="0" w:frame="0"/>
              <w:bottom w:val="single" w:color="ffffff" w:sz="6" w:space="0" w:shadow="0" w:frame="0"/>
              <w:right w:val="single" w:color="ffffff" w:sz="6" w:space="0" w:shadow="0" w:frame="0"/>
            </w:tcBorders>
            <w:shd w:val="clear" w:color="auto" w:fill="cc99ff"/>
            <w:tcMar>
              <w:top w:type="dxa" w:w="80"/>
              <w:left w:type="dxa" w:w="80"/>
              <w:bottom w:type="dxa" w:w="80"/>
              <w:right w:type="dxa" w:w="80"/>
            </w:tcMar>
            <w:vAlign w:val="center"/>
          </w:tcPr>
          <w:p>
            <w:pPr>
              <w:pStyle w:val="Normal"/>
              <w:spacing w:before="240" w:after="240"/>
              <w:jc w:val="center"/>
            </w:pPr>
            <w:r>
              <w:rPr>
                <w:rFonts w:ascii="Arial"/>
                <w:caps w:val="0"/>
                <w:smallCaps w:val="0"/>
                <w:strike w:val="0"/>
                <w:dstrike w:val="0"/>
                <w:outline w:val="0"/>
                <w:color w:val="000000"/>
                <w:spacing w:val="0"/>
                <w:kern w:val="0"/>
                <w:position w:val="0"/>
                <w:sz w:val="19"/>
                <w:szCs w:val="19"/>
                <w:u w:val="none" w:color="000000"/>
                <w:vertAlign w:val="baseline"/>
                <w:rtl w:val="0"/>
                <w:lang w:val="it-IT"/>
              </w:rPr>
              <w:t>778,3</w:t>
            </w:r>
          </w:p>
        </w:tc>
        <w:tc>
          <w:tcPr>
            <w:tcW w:type="dxa" w:w="1153"/>
            <w:tcBorders>
              <w:top w:val="single" w:color="ffffff" w:sz="6" w:space="0" w:shadow="0" w:frame="0"/>
              <w:left w:val="single" w:color="ffffff" w:sz="6" w:space="0" w:shadow="0" w:frame="0"/>
              <w:bottom w:val="single" w:color="ffffff" w:sz="6" w:space="0" w:shadow="0" w:frame="0"/>
              <w:right w:val="single" w:color="ffffff" w:sz="6" w:space="0" w:shadow="0" w:frame="0"/>
            </w:tcBorders>
            <w:shd w:val="clear" w:color="auto" w:fill="cc99ff"/>
            <w:tcMar>
              <w:top w:type="dxa" w:w="80"/>
              <w:left w:type="dxa" w:w="80"/>
              <w:bottom w:type="dxa" w:w="80"/>
              <w:right w:type="dxa" w:w="80"/>
            </w:tcMar>
            <w:vAlign w:val="center"/>
          </w:tcPr>
          <w:p>
            <w:pPr>
              <w:pStyle w:val="Normal"/>
              <w:spacing w:before="240" w:after="240"/>
              <w:jc w:val="center"/>
            </w:pPr>
            <w:r>
              <w:rPr>
                <w:rFonts w:ascii="Arial"/>
                <w:caps w:val="0"/>
                <w:smallCaps w:val="0"/>
                <w:strike w:val="0"/>
                <w:dstrike w:val="0"/>
                <w:outline w:val="0"/>
                <w:color w:val="000000"/>
                <w:spacing w:val="0"/>
                <w:kern w:val="0"/>
                <w:position w:val="0"/>
                <w:sz w:val="19"/>
                <w:szCs w:val="19"/>
                <w:u w:val="none" w:color="000000"/>
                <w:vertAlign w:val="baseline"/>
                <w:rtl w:val="0"/>
                <w:lang w:val="it-IT"/>
              </w:rPr>
              <w:t>798,7</w:t>
            </w:r>
          </w:p>
        </w:tc>
        <w:tc>
          <w:tcPr>
            <w:tcW w:type="dxa" w:w="984"/>
            <w:tcBorders>
              <w:top w:val="single" w:color="ffffff" w:sz="6" w:space="0" w:shadow="0" w:frame="0"/>
              <w:left w:val="single" w:color="ffffff" w:sz="6" w:space="0" w:shadow="0" w:frame="0"/>
              <w:bottom w:val="single" w:color="ffffff" w:sz="6" w:space="0" w:shadow="0" w:frame="0"/>
              <w:right w:val="single" w:color="ffffff" w:sz="6" w:space="0" w:shadow="0" w:frame="0"/>
            </w:tcBorders>
            <w:shd w:val="clear" w:color="auto" w:fill="cc99ff"/>
            <w:tcMar>
              <w:top w:type="dxa" w:w="80"/>
              <w:left w:type="dxa" w:w="80"/>
              <w:bottom w:type="dxa" w:w="80"/>
              <w:right w:type="dxa" w:w="80"/>
            </w:tcMar>
            <w:vAlign w:val="center"/>
          </w:tcPr>
          <w:p>
            <w:pPr>
              <w:pStyle w:val="Normal"/>
              <w:spacing w:before="240" w:after="240"/>
              <w:jc w:val="center"/>
            </w:pPr>
            <w:r>
              <w:rPr>
                <w:rFonts w:ascii="Arial"/>
                <w:caps w:val="0"/>
                <w:smallCaps w:val="0"/>
                <w:strike w:val="0"/>
                <w:dstrike w:val="0"/>
                <w:outline w:val="0"/>
                <w:color w:val="000000"/>
                <w:spacing w:val="0"/>
                <w:kern w:val="0"/>
                <w:position w:val="0"/>
                <w:sz w:val="19"/>
                <w:szCs w:val="19"/>
                <w:u w:val="none" w:color="000000"/>
                <w:vertAlign w:val="baseline"/>
                <w:rtl w:val="0"/>
                <w:lang w:val="it-IT"/>
              </w:rPr>
              <w:t>2,6%</w:t>
            </w:r>
          </w:p>
        </w:tc>
      </w:tr>
      <w:tr>
        <w:tblPrEx>
          <w:shd w:val="clear" w:color="auto" w:fill="auto"/>
        </w:tblPrEx>
        <w:trPr>
          <w:trHeight w:val="669" w:hRule="atLeast"/>
        </w:trPr>
        <w:tc>
          <w:tcPr>
            <w:tcW w:type="dxa" w:w="1845"/>
            <w:tcBorders>
              <w:top w:val="single" w:color="ffffff" w:sz="6" w:space="0" w:shadow="0" w:frame="0"/>
              <w:left w:val="single" w:color="ffffff" w:sz="6" w:space="0" w:shadow="0" w:frame="0"/>
              <w:bottom w:val="single" w:color="ffffff" w:sz="6" w:space="0" w:shadow="0" w:frame="0"/>
              <w:right w:val="single" w:color="ffffff" w:sz="6" w:space="0" w:shadow="0" w:frame="0"/>
            </w:tcBorders>
            <w:shd w:val="clear" w:color="auto" w:fill="6699cc"/>
            <w:tcMar>
              <w:top w:type="dxa" w:w="80"/>
              <w:left w:type="dxa" w:w="80"/>
              <w:bottom w:type="dxa" w:w="80"/>
              <w:right w:type="dxa" w:w="80"/>
            </w:tcMar>
            <w:vAlign w:val="center"/>
          </w:tcPr>
          <w:p>
            <w:pPr>
              <w:pStyle w:val="Normal"/>
              <w:spacing w:before="240" w:after="240"/>
            </w:pPr>
            <w:r>
              <w:rPr>
                <w:rFonts w:ascii="Arial"/>
                <w:caps w:val="0"/>
                <w:smallCaps w:val="0"/>
                <w:strike w:val="0"/>
                <w:dstrike w:val="0"/>
                <w:outline w:val="0"/>
                <w:color w:val="000000"/>
                <w:spacing w:val="0"/>
                <w:kern w:val="0"/>
                <w:position w:val="0"/>
                <w:sz w:val="19"/>
                <w:szCs w:val="19"/>
                <w:u w:val="none" w:color="000000"/>
                <w:vertAlign w:val="baseline"/>
                <w:rtl w:val="0"/>
                <w:lang w:val="it-IT"/>
              </w:rPr>
              <w:t>GESTIONE INDIFFERENZIATA, di cui:</w:t>
            </w:r>
          </w:p>
        </w:tc>
        <w:tc>
          <w:tcPr>
            <w:tcW w:type="dxa" w:w="1134"/>
            <w:tcBorders>
              <w:top w:val="single" w:color="ffffff" w:sz="6" w:space="0" w:shadow="0" w:frame="0"/>
              <w:left w:val="single" w:color="ffffff" w:sz="6" w:space="0" w:shadow="0" w:frame="0"/>
              <w:bottom w:val="single" w:color="ffffff" w:sz="6" w:space="0" w:shadow="0" w:frame="0"/>
              <w:right w:val="single" w:color="ffffff" w:sz="6" w:space="0" w:shadow="0" w:frame="0"/>
            </w:tcBorders>
            <w:shd w:val="clear" w:color="auto" w:fill="6699cc"/>
            <w:tcMar>
              <w:top w:type="dxa" w:w="80"/>
              <w:left w:type="dxa" w:w="80"/>
              <w:bottom w:type="dxa" w:w="80"/>
              <w:right w:type="dxa" w:w="80"/>
            </w:tcMar>
            <w:vAlign w:val="center"/>
          </w:tcPr>
          <w:p>
            <w:pPr>
              <w:pStyle w:val="Normal"/>
              <w:spacing w:before="240" w:after="240"/>
              <w:jc w:val="center"/>
            </w:pPr>
            <w:r>
              <w:rPr>
                <w:rFonts w:ascii="Arial"/>
                <w:caps w:val="0"/>
                <w:smallCaps w:val="0"/>
                <w:strike w:val="0"/>
                <w:dstrike w:val="0"/>
                <w:outline w:val="0"/>
                <w:color w:val="000000"/>
                <w:spacing w:val="0"/>
                <w:kern w:val="0"/>
                <w:position w:val="0"/>
                <w:sz w:val="19"/>
                <w:szCs w:val="19"/>
                <w:u w:val="none" w:color="000000"/>
                <w:vertAlign w:val="baseline"/>
                <w:rtl w:val="0"/>
                <w:lang w:val="it-IT"/>
              </w:rPr>
              <w:t>437,0</w:t>
            </w:r>
          </w:p>
        </w:tc>
        <w:tc>
          <w:tcPr>
            <w:tcW w:type="dxa" w:w="961"/>
            <w:tcBorders>
              <w:top w:val="single" w:color="ffffff" w:sz="6" w:space="0" w:shadow="0" w:frame="0"/>
              <w:left w:val="single" w:color="ffffff" w:sz="6" w:space="0" w:shadow="0" w:frame="0"/>
              <w:bottom w:val="single" w:color="ffffff" w:sz="6" w:space="0" w:shadow="0" w:frame="0"/>
              <w:right w:val="single" w:color="ffffff" w:sz="6" w:space="0" w:shadow="0" w:frame="0"/>
            </w:tcBorders>
            <w:shd w:val="clear" w:color="auto" w:fill="6699cc"/>
            <w:tcMar>
              <w:top w:type="dxa" w:w="80"/>
              <w:left w:type="dxa" w:w="80"/>
              <w:bottom w:type="dxa" w:w="80"/>
              <w:right w:type="dxa" w:w="80"/>
            </w:tcMar>
            <w:vAlign w:val="center"/>
          </w:tcPr>
          <w:p>
            <w:pPr>
              <w:pStyle w:val="Normal"/>
              <w:spacing w:before="240" w:after="240"/>
              <w:jc w:val="center"/>
            </w:pPr>
            <w:r>
              <w:rPr>
                <w:rFonts w:ascii="Arial"/>
                <w:caps w:val="0"/>
                <w:smallCaps w:val="0"/>
                <w:strike w:val="0"/>
                <w:dstrike w:val="0"/>
                <w:outline w:val="0"/>
                <w:color w:val="000000"/>
                <w:spacing w:val="0"/>
                <w:kern w:val="0"/>
                <w:position w:val="0"/>
                <w:sz w:val="19"/>
                <w:szCs w:val="19"/>
                <w:u w:val="none" w:color="000000"/>
                <w:vertAlign w:val="baseline"/>
                <w:rtl w:val="0"/>
                <w:lang w:val="it-IT"/>
              </w:rPr>
              <w:t>399,1</w:t>
            </w:r>
          </w:p>
        </w:tc>
        <w:tc>
          <w:tcPr>
            <w:tcW w:type="dxa" w:w="1327"/>
            <w:tcBorders>
              <w:top w:val="single" w:color="ffffff" w:sz="6" w:space="0" w:shadow="0" w:frame="0"/>
              <w:left w:val="single" w:color="ffffff" w:sz="6" w:space="0" w:shadow="0" w:frame="0"/>
              <w:bottom w:val="single" w:color="ffffff" w:sz="6" w:space="0" w:shadow="0" w:frame="0"/>
              <w:right w:val="single" w:color="ffffff" w:sz="6" w:space="0" w:shadow="0" w:frame="0"/>
            </w:tcBorders>
            <w:shd w:val="clear" w:color="auto" w:fill="6699cc"/>
            <w:tcMar>
              <w:top w:type="dxa" w:w="80"/>
              <w:left w:type="dxa" w:w="80"/>
              <w:bottom w:type="dxa" w:w="80"/>
              <w:right w:type="dxa" w:w="80"/>
            </w:tcMar>
            <w:vAlign w:val="center"/>
          </w:tcPr>
          <w:p>
            <w:pPr>
              <w:pStyle w:val="Normal"/>
              <w:spacing w:before="240" w:after="240"/>
              <w:jc w:val="center"/>
            </w:pPr>
            <w:r>
              <w:rPr>
                <w:rFonts w:ascii="Arial"/>
                <w:caps w:val="0"/>
                <w:smallCaps w:val="0"/>
                <w:strike w:val="0"/>
                <w:dstrike w:val="0"/>
                <w:outline w:val="0"/>
                <w:color w:val="000000"/>
                <w:spacing w:val="0"/>
                <w:kern w:val="0"/>
                <w:position w:val="0"/>
                <w:sz w:val="19"/>
                <w:szCs w:val="19"/>
                <w:u w:val="none" w:color="000000"/>
                <w:vertAlign w:val="baseline"/>
                <w:rtl w:val="0"/>
                <w:lang w:val="it-IT"/>
              </w:rPr>
              <w:t>370,0</w:t>
            </w:r>
          </w:p>
        </w:tc>
        <w:tc>
          <w:tcPr>
            <w:tcW w:type="dxa" w:w="1243"/>
            <w:tcBorders>
              <w:top w:val="single" w:color="ffffff" w:sz="6" w:space="0" w:shadow="0" w:frame="0"/>
              <w:left w:val="single" w:color="ffffff" w:sz="6" w:space="0" w:shadow="0" w:frame="0"/>
              <w:bottom w:val="single" w:color="ffffff" w:sz="6" w:space="0" w:shadow="0" w:frame="0"/>
              <w:right w:val="single" w:color="ffffff" w:sz="6" w:space="0" w:shadow="0" w:frame="0"/>
            </w:tcBorders>
            <w:shd w:val="clear" w:color="auto" w:fill="6699cc"/>
            <w:tcMar>
              <w:top w:type="dxa" w:w="80"/>
              <w:left w:type="dxa" w:w="80"/>
              <w:bottom w:type="dxa" w:w="80"/>
              <w:right w:type="dxa" w:w="80"/>
            </w:tcMar>
            <w:vAlign w:val="center"/>
          </w:tcPr>
          <w:p>
            <w:pPr>
              <w:pStyle w:val="Normal"/>
              <w:spacing w:before="240" w:after="240"/>
              <w:jc w:val="center"/>
            </w:pPr>
            <w:r>
              <w:rPr>
                <w:rFonts w:ascii="Arial"/>
                <w:caps w:val="0"/>
                <w:smallCaps w:val="0"/>
                <w:strike w:val="0"/>
                <w:dstrike w:val="0"/>
                <w:outline w:val="0"/>
                <w:color w:val="000000"/>
                <w:spacing w:val="0"/>
                <w:kern w:val="0"/>
                <w:position w:val="0"/>
                <w:sz w:val="19"/>
                <w:szCs w:val="19"/>
                <w:u w:val="none" w:color="000000"/>
                <w:vertAlign w:val="baseline"/>
                <w:rtl w:val="0"/>
                <w:lang w:val="it-IT"/>
              </w:rPr>
              <w:t>410,8</w:t>
            </w:r>
          </w:p>
        </w:tc>
        <w:tc>
          <w:tcPr>
            <w:tcW w:type="dxa" w:w="1153"/>
            <w:tcBorders>
              <w:top w:val="single" w:color="ffffff" w:sz="6" w:space="0" w:shadow="0" w:frame="0"/>
              <w:left w:val="single" w:color="ffffff" w:sz="6" w:space="0" w:shadow="0" w:frame="0"/>
              <w:bottom w:val="single" w:color="ffffff" w:sz="6" w:space="0" w:shadow="0" w:frame="0"/>
              <w:right w:val="single" w:color="ffffff" w:sz="6" w:space="0" w:shadow="0" w:frame="0"/>
            </w:tcBorders>
            <w:shd w:val="clear" w:color="auto" w:fill="6699cc"/>
            <w:tcMar>
              <w:top w:type="dxa" w:w="80"/>
              <w:left w:type="dxa" w:w="80"/>
              <w:bottom w:type="dxa" w:w="80"/>
              <w:right w:type="dxa" w:w="80"/>
            </w:tcMar>
            <w:vAlign w:val="center"/>
          </w:tcPr>
          <w:p>
            <w:pPr>
              <w:pStyle w:val="Normal"/>
              <w:spacing w:before="240" w:after="240"/>
              <w:jc w:val="center"/>
            </w:pPr>
            <w:r>
              <w:rPr>
                <w:rFonts w:ascii="Arial"/>
                <w:caps w:val="0"/>
                <w:smallCaps w:val="0"/>
                <w:strike w:val="0"/>
                <w:dstrike w:val="0"/>
                <w:outline w:val="0"/>
                <w:color w:val="000000"/>
                <w:spacing w:val="0"/>
                <w:kern w:val="0"/>
                <w:position w:val="0"/>
                <w:sz w:val="19"/>
                <w:szCs w:val="19"/>
                <w:u w:val="none" w:color="000000"/>
                <w:vertAlign w:val="baseline"/>
                <w:rtl w:val="0"/>
                <w:lang w:val="it-IT"/>
              </w:rPr>
              <w:t>365,4</w:t>
            </w:r>
          </w:p>
        </w:tc>
        <w:tc>
          <w:tcPr>
            <w:tcW w:type="dxa" w:w="984"/>
            <w:tcBorders>
              <w:top w:val="single" w:color="ffffff" w:sz="6" w:space="0" w:shadow="0" w:frame="0"/>
              <w:left w:val="single" w:color="ffffff" w:sz="6" w:space="0" w:shadow="0" w:frame="0"/>
              <w:bottom w:val="single" w:color="ffffff" w:sz="6" w:space="0" w:shadow="0" w:frame="0"/>
              <w:right w:val="single" w:color="ffffff" w:sz="6" w:space="0" w:shadow="0" w:frame="0"/>
            </w:tcBorders>
            <w:shd w:val="clear" w:color="auto" w:fill="6699cc"/>
            <w:tcMar>
              <w:top w:type="dxa" w:w="80"/>
              <w:left w:type="dxa" w:w="80"/>
              <w:bottom w:type="dxa" w:w="80"/>
              <w:right w:type="dxa" w:w="80"/>
            </w:tcMar>
            <w:vAlign w:val="center"/>
          </w:tcPr>
          <w:p>
            <w:pPr>
              <w:pStyle w:val="Normal"/>
              <w:spacing w:before="240" w:after="240"/>
              <w:jc w:val="center"/>
            </w:pPr>
            <w:r>
              <w:rPr>
                <w:rFonts w:ascii="Arial"/>
                <w:caps w:val="0"/>
                <w:smallCaps w:val="0"/>
                <w:strike w:val="0"/>
                <w:dstrike w:val="0"/>
                <w:outline w:val="0"/>
                <w:color w:val="000000"/>
                <w:spacing w:val="0"/>
                <w:kern w:val="0"/>
                <w:position w:val="0"/>
                <w:sz w:val="19"/>
                <w:szCs w:val="19"/>
                <w:u w:val="none" w:color="000000"/>
                <w:vertAlign w:val="baseline"/>
                <w:rtl w:val="0"/>
                <w:lang w:val="it-IT"/>
              </w:rPr>
              <w:t>-11,1%</w:t>
            </w:r>
          </w:p>
        </w:tc>
      </w:tr>
      <w:tr>
        <w:tblPrEx>
          <w:shd w:val="clear" w:color="auto" w:fill="auto"/>
        </w:tblPrEx>
        <w:trPr>
          <w:trHeight w:val="449" w:hRule="atLeast"/>
        </w:trPr>
        <w:tc>
          <w:tcPr>
            <w:tcW w:type="dxa" w:w="1845"/>
            <w:tcBorders>
              <w:top w:val="single" w:color="ffffff" w:sz="6" w:space="0" w:shadow="0" w:frame="0"/>
              <w:left w:val="single" w:color="ffffff" w:sz="6" w:space="0" w:shadow="0" w:frame="0"/>
              <w:bottom w:val="single" w:color="ffffff" w:sz="6" w:space="0" w:shadow="0" w:frame="0"/>
              <w:right w:val="single" w:color="ffffff" w:sz="6" w:space="0" w:shadow="0" w:frame="0"/>
            </w:tcBorders>
            <w:shd w:val="clear" w:color="auto" w:fill="99ccff"/>
            <w:tcMar>
              <w:top w:type="dxa" w:w="80"/>
              <w:left w:type="dxa" w:w="80"/>
              <w:bottom w:type="dxa" w:w="80"/>
              <w:right w:type="dxa" w:w="80"/>
            </w:tcMar>
            <w:vAlign w:val="center"/>
          </w:tcPr>
          <w:p>
            <w:pPr>
              <w:pStyle w:val="Normal"/>
              <w:spacing w:before="240" w:after="240"/>
              <w:jc w:val="right"/>
            </w:pPr>
            <w:r>
              <w:rPr>
                <w:rFonts w:ascii="Arial"/>
                <w:i w:val="1"/>
                <w:iCs w:val="1"/>
                <w:caps w:val="0"/>
                <w:smallCaps w:val="0"/>
                <w:strike w:val="0"/>
                <w:dstrike w:val="0"/>
                <w:outline w:val="0"/>
                <w:color w:val="000000"/>
                <w:spacing w:val="0"/>
                <w:kern w:val="0"/>
                <w:position w:val="0"/>
                <w:sz w:val="19"/>
                <w:szCs w:val="19"/>
                <w:u w:val="none" w:color="000000"/>
                <w:vertAlign w:val="baseline"/>
                <w:rtl w:val="0"/>
                <w:lang w:val="it-IT"/>
              </w:rPr>
              <w:t>spazzamento e lavaggio</w:t>
            </w:r>
          </w:p>
        </w:tc>
        <w:tc>
          <w:tcPr>
            <w:tcW w:type="dxa" w:w="1134"/>
            <w:tcBorders>
              <w:top w:val="single" w:color="ffffff" w:sz="6" w:space="0" w:shadow="0" w:frame="0"/>
              <w:left w:val="single" w:color="ffffff" w:sz="6" w:space="0" w:shadow="0" w:frame="0"/>
              <w:bottom w:val="single" w:color="ffffff" w:sz="6" w:space="0" w:shadow="0" w:frame="0"/>
              <w:right w:val="single" w:color="ffffff" w:sz="6" w:space="0" w:shadow="0" w:frame="0"/>
            </w:tcBorders>
            <w:shd w:val="clear" w:color="auto" w:fill="99ccff"/>
            <w:tcMar>
              <w:top w:type="dxa" w:w="80"/>
              <w:left w:type="dxa" w:w="80"/>
              <w:bottom w:type="dxa" w:w="80"/>
              <w:right w:type="dxa" w:w="80"/>
            </w:tcMar>
            <w:vAlign w:val="center"/>
          </w:tcPr>
          <w:p>
            <w:pPr>
              <w:pStyle w:val="Normal"/>
              <w:spacing w:before="240" w:after="240"/>
              <w:jc w:val="center"/>
            </w:pPr>
            <w:r>
              <w:rPr>
                <w:rFonts w:ascii="Arial"/>
                <w:i w:val="1"/>
                <w:iCs w:val="1"/>
                <w:caps w:val="0"/>
                <w:smallCaps w:val="0"/>
                <w:strike w:val="0"/>
                <w:dstrike w:val="0"/>
                <w:outline w:val="0"/>
                <w:color w:val="000000"/>
                <w:spacing w:val="0"/>
                <w:kern w:val="0"/>
                <w:position w:val="0"/>
                <w:sz w:val="19"/>
                <w:szCs w:val="19"/>
                <w:u w:val="none" w:color="000000"/>
                <w:vertAlign w:val="baseline"/>
                <w:rtl w:val="0"/>
                <w:lang w:val="it-IT"/>
              </w:rPr>
              <w:t>137,4</w:t>
            </w:r>
          </w:p>
        </w:tc>
        <w:tc>
          <w:tcPr>
            <w:tcW w:type="dxa" w:w="961"/>
            <w:tcBorders>
              <w:top w:val="single" w:color="ffffff" w:sz="6" w:space="0" w:shadow="0" w:frame="0"/>
              <w:left w:val="single" w:color="ffffff" w:sz="6" w:space="0" w:shadow="0" w:frame="0"/>
              <w:bottom w:val="single" w:color="ffffff" w:sz="6" w:space="0" w:shadow="0" w:frame="0"/>
              <w:right w:val="single" w:color="ffffff" w:sz="6" w:space="0" w:shadow="0" w:frame="0"/>
            </w:tcBorders>
            <w:shd w:val="clear" w:color="auto" w:fill="99ccff"/>
            <w:tcMar>
              <w:top w:type="dxa" w:w="80"/>
              <w:left w:type="dxa" w:w="80"/>
              <w:bottom w:type="dxa" w:w="80"/>
              <w:right w:type="dxa" w:w="80"/>
            </w:tcMar>
            <w:vAlign w:val="center"/>
          </w:tcPr>
          <w:p>
            <w:pPr>
              <w:pStyle w:val="Normal"/>
              <w:spacing w:before="240" w:after="240"/>
              <w:jc w:val="center"/>
            </w:pPr>
            <w:r>
              <w:rPr>
                <w:rFonts w:ascii="Arial"/>
                <w:i w:val="1"/>
                <w:iCs w:val="1"/>
                <w:caps w:val="0"/>
                <w:smallCaps w:val="0"/>
                <w:strike w:val="0"/>
                <w:dstrike w:val="0"/>
                <w:outline w:val="0"/>
                <w:color w:val="000000"/>
                <w:spacing w:val="0"/>
                <w:kern w:val="0"/>
                <w:position w:val="0"/>
                <w:sz w:val="19"/>
                <w:szCs w:val="19"/>
                <w:u w:val="none" w:color="000000"/>
                <w:vertAlign w:val="baseline"/>
                <w:rtl w:val="0"/>
                <w:lang w:val="it-IT"/>
              </w:rPr>
              <w:t>129,6</w:t>
            </w:r>
          </w:p>
        </w:tc>
        <w:tc>
          <w:tcPr>
            <w:tcW w:type="dxa" w:w="1327"/>
            <w:tcBorders>
              <w:top w:val="single" w:color="ffffff" w:sz="6" w:space="0" w:shadow="0" w:frame="0"/>
              <w:left w:val="single" w:color="ffffff" w:sz="6" w:space="0" w:shadow="0" w:frame="0"/>
              <w:bottom w:val="single" w:color="ffffff" w:sz="6" w:space="0" w:shadow="0" w:frame="0"/>
              <w:right w:val="single" w:color="ffffff" w:sz="6" w:space="0" w:shadow="0" w:frame="0"/>
            </w:tcBorders>
            <w:shd w:val="clear" w:color="auto" w:fill="99ccff"/>
            <w:tcMar>
              <w:top w:type="dxa" w:w="80"/>
              <w:left w:type="dxa" w:w="80"/>
              <w:bottom w:type="dxa" w:w="80"/>
              <w:right w:type="dxa" w:w="80"/>
            </w:tcMar>
            <w:vAlign w:val="center"/>
          </w:tcPr>
          <w:p>
            <w:pPr>
              <w:pStyle w:val="Normal"/>
              <w:spacing w:before="240" w:after="240"/>
              <w:jc w:val="center"/>
            </w:pPr>
            <w:r>
              <w:rPr>
                <w:rFonts w:ascii="Arial"/>
                <w:i w:val="1"/>
                <w:iCs w:val="1"/>
                <w:caps w:val="0"/>
                <w:smallCaps w:val="0"/>
                <w:strike w:val="0"/>
                <w:dstrike w:val="0"/>
                <w:outline w:val="0"/>
                <w:color w:val="000000"/>
                <w:spacing w:val="0"/>
                <w:kern w:val="0"/>
                <w:position w:val="0"/>
                <w:sz w:val="19"/>
                <w:szCs w:val="19"/>
                <w:u w:val="none" w:color="000000"/>
                <w:vertAlign w:val="baseline"/>
                <w:rtl w:val="0"/>
                <w:lang w:val="it-IT"/>
              </w:rPr>
              <w:t>116,9</w:t>
            </w:r>
          </w:p>
        </w:tc>
        <w:tc>
          <w:tcPr>
            <w:tcW w:type="dxa" w:w="1243"/>
            <w:tcBorders>
              <w:top w:val="single" w:color="ffffff" w:sz="6" w:space="0" w:shadow="0" w:frame="0"/>
              <w:left w:val="single" w:color="ffffff" w:sz="6" w:space="0" w:shadow="0" w:frame="0"/>
              <w:bottom w:val="single" w:color="ffffff" w:sz="6" w:space="0" w:shadow="0" w:frame="0"/>
              <w:right w:val="single" w:color="ffffff" w:sz="6" w:space="0" w:shadow="0" w:frame="0"/>
            </w:tcBorders>
            <w:shd w:val="clear" w:color="auto" w:fill="99ccff"/>
            <w:tcMar>
              <w:top w:type="dxa" w:w="80"/>
              <w:left w:type="dxa" w:w="80"/>
              <w:bottom w:type="dxa" w:w="80"/>
              <w:right w:type="dxa" w:w="80"/>
            </w:tcMar>
            <w:vAlign w:val="center"/>
          </w:tcPr>
          <w:p>
            <w:pPr>
              <w:pStyle w:val="Normal"/>
              <w:spacing w:before="240" w:after="240"/>
              <w:jc w:val="center"/>
            </w:pPr>
            <w:r>
              <w:rPr>
                <w:rFonts w:ascii="Arial"/>
                <w:i w:val="1"/>
                <w:iCs w:val="1"/>
                <w:caps w:val="0"/>
                <w:smallCaps w:val="0"/>
                <w:strike w:val="0"/>
                <w:dstrike w:val="0"/>
                <w:outline w:val="0"/>
                <w:color w:val="000000"/>
                <w:spacing w:val="0"/>
                <w:kern w:val="0"/>
                <w:position w:val="0"/>
                <w:sz w:val="19"/>
                <w:szCs w:val="19"/>
                <w:u w:val="none" w:color="000000"/>
                <w:vertAlign w:val="baseline"/>
                <w:rtl w:val="0"/>
                <w:lang w:val="it-IT"/>
              </w:rPr>
              <w:t>135,7</w:t>
            </w:r>
          </w:p>
        </w:tc>
        <w:tc>
          <w:tcPr>
            <w:tcW w:type="dxa" w:w="1153"/>
            <w:tcBorders>
              <w:top w:val="single" w:color="ffffff" w:sz="6" w:space="0" w:shadow="0" w:frame="0"/>
              <w:left w:val="single" w:color="ffffff" w:sz="6" w:space="0" w:shadow="0" w:frame="0"/>
              <w:bottom w:val="single" w:color="ffffff" w:sz="6" w:space="0" w:shadow="0" w:frame="0"/>
              <w:right w:val="single" w:color="ffffff" w:sz="6" w:space="0" w:shadow="0" w:frame="0"/>
            </w:tcBorders>
            <w:shd w:val="clear" w:color="auto" w:fill="99ccff"/>
            <w:tcMar>
              <w:top w:type="dxa" w:w="80"/>
              <w:left w:type="dxa" w:w="80"/>
              <w:bottom w:type="dxa" w:w="80"/>
              <w:right w:type="dxa" w:w="80"/>
            </w:tcMar>
            <w:vAlign w:val="center"/>
          </w:tcPr>
          <w:p>
            <w:pPr>
              <w:pStyle w:val="Normal"/>
              <w:spacing w:before="240" w:after="240"/>
              <w:jc w:val="center"/>
            </w:pPr>
            <w:r>
              <w:rPr>
                <w:rFonts w:ascii="Arial"/>
                <w:i w:val="1"/>
                <w:iCs w:val="1"/>
                <w:caps w:val="0"/>
                <w:smallCaps w:val="0"/>
                <w:strike w:val="0"/>
                <w:dstrike w:val="0"/>
                <w:outline w:val="0"/>
                <w:color w:val="000000"/>
                <w:spacing w:val="0"/>
                <w:kern w:val="0"/>
                <w:position w:val="0"/>
                <w:sz w:val="19"/>
                <w:szCs w:val="19"/>
                <w:u w:val="none" w:color="000000"/>
                <w:vertAlign w:val="baseline"/>
                <w:rtl w:val="0"/>
                <w:lang w:val="it-IT"/>
              </w:rPr>
              <w:t>126,2</w:t>
            </w:r>
          </w:p>
        </w:tc>
        <w:tc>
          <w:tcPr>
            <w:tcW w:type="dxa" w:w="984"/>
            <w:tcBorders>
              <w:top w:val="single" w:color="ffffff" w:sz="6" w:space="0" w:shadow="0" w:frame="0"/>
              <w:left w:val="single" w:color="ffffff" w:sz="6" w:space="0" w:shadow="0" w:frame="0"/>
              <w:bottom w:val="single" w:color="ffffff" w:sz="6" w:space="0" w:shadow="0" w:frame="0"/>
              <w:right w:val="single" w:color="ffffff" w:sz="6" w:space="0" w:shadow="0" w:frame="0"/>
            </w:tcBorders>
            <w:shd w:val="clear" w:color="auto" w:fill="99ccff"/>
            <w:tcMar>
              <w:top w:type="dxa" w:w="80"/>
              <w:left w:type="dxa" w:w="80"/>
              <w:bottom w:type="dxa" w:w="80"/>
              <w:right w:type="dxa" w:w="80"/>
            </w:tcMar>
            <w:vAlign w:val="center"/>
          </w:tcPr>
          <w:p>
            <w:pPr>
              <w:pStyle w:val="Normal"/>
              <w:spacing w:before="240" w:after="240"/>
              <w:jc w:val="center"/>
            </w:pPr>
            <w:r>
              <w:rPr>
                <w:rFonts w:ascii="Arial"/>
                <w:i w:val="1"/>
                <w:iCs w:val="1"/>
                <w:caps w:val="0"/>
                <w:smallCaps w:val="0"/>
                <w:strike w:val="0"/>
                <w:dstrike w:val="0"/>
                <w:outline w:val="0"/>
                <w:color w:val="000000"/>
                <w:spacing w:val="0"/>
                <w:kern w:val="0"/>
                <w:position w:val="0"/>
                <w:sz w:val="19"/>
                <w:szCs w:val="19"/>
                <w:u w:val="none" w:color="000000"/>
                <w:vertAlign w:val="baseline"/>
                <w:rtl w:val="0"/>
                <w:lang w:val="it-IT"/>
              </w:rPr>
              <w:t>-7,0%</w:t>
            </w:r>
          </w:p>
        </w:tc>
      </w:tr>
      <w:tr>
        <w:tblPrEx>
          <w:shd w:val="clear" w:color="auto" w:fill="auto"/>
        </w:tblPrEx>
        <w:trPr>
          <w:trHeight w:val="449" w:hRule="atLeast"/>
        </w:trPr>
        <w:tc>
          <w:tcPr>
            <w:tcW w:type="dxa" w:w="1845"/>
            <w:tcBorders>
              <w:top w:val="single" w:color="ffffff" w:sz="6" w:space="0" w:shadow="0" w:frame="0"/>
              <w:left w:val="single" w:color="ffffff" w:sz="6" w:space="0" w:shadow="0" w:frame="0"/>
              <w:bottom w:val="single" w:color="ffffff" w:sz="6" w:space="0" w:shadow="0" w:frame="0"/>
              <w:right w:val="single" w:color="ffffff" w:sz="6" w:space="0" w:shadow="0" w:frame="0"/>
            </w:tcBorders>
            <w:shd w:val="clear" w:color="auto" w:fill="99ccff"/>
            <w:tcMar>
              <w:top w:type="dxa" w:w="80"/>
              <w:left w:type="dxa" w:w="80"/>
              <w:bottom w:type="dxa" w:w="80"/>
              <w:right w:type="dxa" w:w="80"/>
            </w:tcMar>
            <w:vAlign w:val="center"/>
          </w:tcPr>
          <w:p>
            <w:pPr>
              <w:pStyle w:val="Normal"/>
              <w:spacing w:before="240" w:after="240"/>
              <w:jc w:val="right"/>
            </w:pPr>
            <w:r>
              <w:rPr>
                <w:rFonts w:ascii="Arial"/>
                <w:i w:val="1"/>
                <w:iCs w:val="1"/>
                <w:caps w:val="0"/>
                <w:smallCaps w:val="0"/>
                <w:strike w:val="0"/>
                <w:dstrike w:val="0"/>
                <w:outline w:val="0"/>
                <w:color w:val="000000"/>
                <w:spacing w:val="0"/>
                <w:kern w:val="0"/>
                <w:position w:val="0"/>
                <w:sz w:val="19"/>
                <w:szCs w:val="19"/>
                <w:u w:val="none" w:color="000000"/>
                <w:vertAlign w:val="baseline"/>
                <w:rtl w:val="0"/>
                <w:lang w:val="it-IT"/>
              </w:rPr>
              <w:t>raccolta e trasporto</w:t>
            </w:r>
          </w:p>
        </w:tc>
        <w:tc>
          <w:tcPr>
            <w:tcW w:type="dxa" w:w="1134"/>
            <w:tcBorders>
              <w:top w:val="single" w:color="ffffff" w:sz="6" w:space="0" w:shadow="0" w:frame="0"/>
              <w:left w:val="single" w:color="ffffff" w:sz="6" w:space="0" w:shadow="0" w:frame="0"/>
              <w:bottom w:val="single" w:color="ffffff" w:sz="6" w:space="0" w:shadow="0" w:frame="0"/>
              <w:right w:val="single" w:color="ffffff" w:sz="6" w:space="0" w:shadow="0" w:frame="0"/>
            </w:tcBorders>
            <w:shd w:val="clear" w:color="auto" w:fill="99ccff"/>
            <w:tcMar>
              <w:top w:type="dxa" w:w="80"/>
              <w:left w:type="dxa" w:w="80"/>
              <w:bottom w:type="dxa" w:w="80"/>
              <w:right w:type="dxa" w:w="80"/>
            </w:tcMar>
            <w:vAlign w:val="center"/>
          </w:tcPr>
          <w:p>
            <w:pPr>
              <w:pStyle w:val="Normal"/>
              <w:spacing w:before="240" w:after="240"/>
              <w:jc w:val="center"/>
            </w:pPr>
            <w:r>
              <w:rPr>
                <w:rFonts w:ascii="Arial"/>
                <w:i w:val="1"/>
                <w:iCs w:val="1"/>
                <w:caps w:val="0"/>
                <w:smallCaps w:val="0"/>
                <w:strike w:val="0"/>
                <w:dstrike w:val="0"/>
                <w:outline w:val="0"/>
                <w:color w:val="000000"/>
                <w:spacing w:val="0"/>
                <w:kern w:val="0"/>
                <w:position w:val="0"/>
                <w:sz w:val="19"/>
                <w:szCs w:val="19"/>
                <w:u w:val="none" w:color="000000"/>
                <w:vertAlign w:val="baseline"/>
                <w:rtl w:val="0"/>
                <w:lang w:val="it-IT"/>
              </w:rPr>
              <w:t>163,7</w:t>
            </w:r>
          </w:p>
        </w:tc>
        <w:tc>
          <w:tcPr>
            <w:tcW w:type="dxa" w:w="961"/>
            <w:tcBorders>
              <w:top w:val="single" w:color="ffffff" w:sz="6" w:space="0" w:shadow="0" w:frame="0"/>
              <w:left w:val="single" w:color="ffffff" w:sz="6" w:space="0" w:shadow="0" w:frame="0"/>
              <w:bottom w:val="single" w:color="ffffff" w:sz="6" w:space="0" w:shadow="0" w:frame="0"/>
              <w:right w:val="single" w:color="ffffff" w:sz="6" w:space="0" w:shadow="0" w:frame="0"/>
            </w:tcBorders>
            <w:shd w:val="clear" w:color="auto" w:fill="99ccff"/>
            <w:tcMar>
              <w:top w:type="dxa" w:w="80"/>
              <w:left w:type="dxa" w:w="80"/>
              <w:bottom w:type="dxa" w:w="80"/>
              <w:right w:type="dxa" w:w="80"/>
            </w:tcMar>
            <w:vAlign w:val="center"/>
          </w:tcPr>
          <w:p>
            <w:pPr>
              <w:pStyle w:val="Normal"/>
              <w:spacing w:before="240" w:after="240"/>
              <w:jc w:val="center"/>
            </w:pPr>
            <w:r>
              <w:rPr>
                <w:rFonts w:ascii="Arial"/>
                <w:i w:val="1"/>
                <w:iCs w:val="1"/>
                <w:caps w:val="0"/>
                <w:smallCaps w:val="0"/>
                <w:strike w:val="0"/>
                <w:dstrike w:val="0"/>
                <w:outline w:val="0"/>
                <w:color w:val="000000"/>
                <w:spacing w:val="0"/>
                <w:kern w:val="0"/>
                <w:position w:val="0"/>
                <w:sz w:val="19"/>
                <w:szCs w:val="19"/>
                <w:u w:val="none" w:color="000000"/>
                <w:vertAlign w:val="baseline"/>
                <w:rtl w:val="0"/>
                <w:lang w:val="it-IT"/>
              </w:rPr>
              <w:t>136,3</w:t>
            </w:r>
          </w:p>
        </w:tc>
        <w:tc>
          <w:tcPr>
            <w:tcW w:type="dxa" w:w="1327"/>
            <w:tcBorders>
              <w:top w:val="single" w:color="ffffff" w:sz="6" w:space="0" w:shadow="0" w:frame="0"/>
              <w:left w:val="single" w:color="ffffff" w:sz="6" w:space="0" w:shadow="0" w:frame="0"/>
              <w:bottom w:val="single" w:color="ffffff" w:sz="6" w:space="0" w:shadow="0" w:frame="0"/>
              <w:right w:val="single" w:color="ffffff" w:sz="6" w:space="0" w:shadow="0" w:frame="0"/>
            </w:tcBorders>
            <w:shd w:val="clear" w:color="auto" w:fill="99ccff"/>
            <w:tcMar>
              <w:top w:type="dxa" w:w="80"/>
              <w:left w:type="dxa" w:w="80"/>
              <w:bottom w:type="dxa" w:w="80"/>
              <w:right w:type="dxa" w:w="80"/>
            </w:tcMar>
            <w:vAlign w:val="center"/>
          </w:tcPr>
          <w:p>
            <w:pPr>
              <w:pStyle w:val="Normal"/>
              <w:spacing w:before="240" w:after="240"/>
              <w:jc w:val="center"/>
            </w:pPr>
            <w:r>
              <w:rPr>
                <w:rFonts w:ascii="Arial"/>
                <w:i w:val="1"/>
                <w:iCs w:val="1"/>
                <w:caps w:val="0"/>
                <w:smallCaps w:val="0"/>
                <w:strike w:val="0"/>
                <w:dstrike w:val="0"/>
                <w:outline w:val="0"/>
                <w:color w:val="000000"/>
                <w:spacing w:val="0"/>
                <w:kern w:val="0"/>
                <w:position w:val="0"/>
                <w:sz w:val="19"/>
                <w:szCs w:val="19"/>
                <w:u w:val="none" w:color="000000"/>
                <w:vertAlign w:val="baseline"/>
                <w:rtl w:val="0"/>
                <w:lang w:val="it-IT"/>
              </w:rPr>
              <w:t>128,7</w:t>
            </w:r>
          </w:p>
        </w:tc>
        <w:tc>
          <w:tcPr>
            <w:tcW w:type="dxa" w:w="1243"/>
            <w:tcBorders>
              <w:top w:val="single" w:color="ffffff" w:sz="6" w:space="0" w:shadow="0" w:frame="0"/>
              <w:left w:val="single" w:color="ffffff" w:sz="6" w:space="0" w:shadow="0" w:frame="0"/>
              <w:bottom w:val="single" w:color="ffffff" w:sz="6" w:space="0" w:shadow="0" w:frame="0"/>
              <w:right w:val="single" w:color="ffffff" w:sz="6" w:space="0" w:shadow="0" w:frame="0"/>
            </w:tcBorders>
            <w:shd w:val="clear" w:color="auto" w:fill="99ccff"/>
            <w:tcMar>
              <w:top w:type="dxa" w:w="80"/>
              <w:left w:type="dxa" w:w="80"/>
              <w:bottom w:type="dxa" w:w="80"/>
              <w:right w:type="dxa" w:w="80"/>
            </w:tcMar>
            <w:vAlign w:val="center"/>
          </w:tcPr>
          <w:p>
            <w:pPr>
              <w:pStyle w:val="Normal"/>
              <w:spacing w:before="240" w:after="240"/>
              <w:jc w:val="center"/>
            </w:pPr>
            <w:r>
              <w:rPr>
                <w:rFonts w:ascii="Arial"/>
                <w:i w:val="1"/>
                <w:iCs w:val="1"/>
                <w:caps w:val="0"/>
                <w:smallCaps w:val="0"/>
                <w:strike w:val="0"/>
                <w:dstrike w:val="0"/>
                <w:outline w:val="0"/>
                <w:color w:val="000000"/>
                <w:spacing w:val="0"/>
                <w:kern w:val="0"/>
                <w:position w:val="0"/>
                <w:sz w:val="19"/>
                <w:szCs w:val="19"/>
                <w:u w:val="none" w:color="000000"/>
                <w:vertAlign w:val="baseline"/>
                <w:rtl w:val="0"/>
                <w:lang w:val="it-IT"/>
              </w:rPr>
              <w:t>157,2</w:t>
            </w:r>
          </w:p>
        </w:tc>
        <w:tc>
          <w:tcPr>
            <w:tcW w:type="dxa" w:w="1153"/>
            <w:tcBorders>
              <w:top w:val="single" w:color="ffffff" w:sz="6" w:space="0" w:shadow="0" w:frame="0"/>
              <w:left w:val="single" w:color="ffffff" w:sz="6" w:space="0" w:shadow="0" w:frame="0"/>
              <w:bottom w:val="single" w:color="ffffff" w:sz="6" w:space="0" w:shadow="0" w:frame="0"/>
              <w:right w:val="single" w:color="ffffff" w:sz="6" w:space="0" w:shadow="0" w:frame="0"/>
            </w:tcBorders>
            <w:shd w:val="clear" w:color="auto" w:fill="99ccff"/>
            <w:tcMar>
              <w:top w:type="dxa" w:w="80"/>
              <w:left w:type="dxa" w:w="80"/>
              <w:bottom w:type="dxa" w:w="80"/>
              <w:right w:type="dxa" w:w="80"/>
            </w:tcMar>
            <w:vAlign w:val="center"/>
          </w:tcPr>
          <w:p>
            <w:pPr>
              <w:pStyle w:val="Normal"/>
              <w:spacing w:before="240" w:after="240"/>
              <w:jc w:val="center"/>
            </w:pPr>
            <w:r>
              <w:rPr>
                <w:rFonts w:ascii="Arial"/>
                <w:i w:val="1"/>
                <w:iCs w:val="1"/>
                <w:caps w:val="0"/>
                <w:smallCaps w:val="0"/>
                <w:strike w:val="0"/>
                <w:dstrike w:val="0"/>
                <w:outline w:val="0"/>
                <w:color w:val="000000"/>
                <w:spacing w:val="0"/>
                <w:kern w:val="0"/>
                <w:position w:val="0"/>
                <w:sz w:val="19"/>
                <w:szCs w:val="19"/>
                <w:u w:val="none" w:color="000000"/>
                <w:vertAlign w:val="baseline"/>
                <w:rtl w:val="0"/>
                <w:lang w:val="it-IT"/>
              </w:rPr>
              <w:t>104,5</w:t>
            </w:r>
          </w:p>
        </w:tc>
        <w:tc>
          <w:tcPr>
            <w:tcW w:type="dxa" w:w="984"/>
            <w:tcBorders>
              <w:top w:val="single" w:color="ffffff" w:sz="6" w:space="0" w:shadow="0" w:frame="0"/>
              <w:left w:val="single" w:color="ffffff" w:sz="6" w:space="0" w:shadow="0" w:frame="0"/>
              <w:bottom w:val="single" w:color="ffffff" w:sz="6" w:space="0" w:shadow="0" w:frame="0"/>
              <w:right w:val="single" w:color="ffffff" w:sz="6" w:space="0" w:shadow="0" w:frame="0"/>
            </w:tcBorders>
            <w:shd w:val="clear" w:color="auto" w:fill="99ccff"/>
            <w:tcMar>
              <w:top w:type="dxa" w:w="80"/>
              <w:left w:type="dxa" w:w="80"/>
              <w:bottom w:type="dxa" w:w="80"/>
              <w:right w:type="dxa" w:w="80"/>
            </w:tcMar>
            <w:vAlign w:val="center"/>
          </w:tcPr>
          <w:p>
            <w:pPr>
              <w:pStyle w:val="Normal"/>
              <w:spacing w:before="240" w:after="240"/>
              <w:jc w:val="center"/>
            </w:pPr>
            <w:r>
              <w:rPr>
                <w:rFonts w:ascii="Arial"/>
                <w:i w:val="1"/>
                <w:iCs w:val="1"/>
                <w:caps w:val="0"/>
                <w:smallCaps w:val="0"/>
                <w:strike w:val="0"/>
                <w:dstrike w:val="0"/>
                <w:outline w:val="0"/>
                <w:color w:val="000000"/>
                <w:spacing w:val="0"/>
                <w:kern w:val="0"/>
                <w:position w:val="0"/>
                <w:sz w:val="19"/>
                <w:szCs w:val="19"/>
                <w:u w:val="none" w:color="000000"/>
                <w:vertAlign w:val="baseline"/>
                <w:rtl w:val="0"/>
                <w:lang w:val="it-IT"/>
              </w:rPr>
              <w:t>-33,5%</w:t>
            </w:r>
          </w:p>
        </w:tc>
      </w:tr>
      <w:tr>
        <w:tblPrEx>
          <w:shd w:val="clear" w:color="auto" w:fill="auto"/>
        </w:tblPrEx>
        <w:trPr>
          <w:trHeight w:val="449" w:hRule="atLeast"/>
        </w:trPr>
        <w:tc>
          <w:tcPr>
            <w:tcW w:type="dxa" w:w="1845"/>
            <w:tcBorders>
              <w:top w:val="single" w:color="ffffff" w:sz="6" w:space="0" w:shadow="0" w:frame="0"/>
              <w:left w:val="single" w:color="ffffff" w:sz="6" w:space="0" w:shadow="0" w:frame="0"/>
              <w:bottom w:val="single" w:color="ffffff" w:sz="6" w:space="0" w:shadow="0" w:frame="0"/>
              <w:right w:val="single" w:color="ffffff" w:sz="6" w:space="0" w:shadow="0" w:frame="0"/>
            </w:tcBorders>
            <w:shd w:val="clear" w:color="auto" w:fill="99ccff"/>
            <w:tcMar>
              <w:top w:type="dxa" w:w="80"/>
              <w:left w:type="dxa" w:w="80"/>
              <w:bottom w:type="dxa" w:w="80"/>
              <w:right w:type="dxa" w:w="80"/>
            </w:tcMar>
            <w:vAlign w:val="center"/>
          </w:tcPr>
          <w:p>
            <w:pPr>
              <w:pStyle w:val="Normal"/>
              <w:spacing w:before="240" w:after="240"/>
              <w:jc w:val="right"/>
            </w:pPr>
            <w:r>
              <w:rPr>
                <w:rFonts w:ascii="Arial"/>
                <w:i w:val="1"/>
                <w:iCs w:val="1"/>
                <w:caps w:val="0"/>
                <w:smallCaps w:val="0"/>
                <w:strike w:val="0"/>
                <w:dstrike w:val="0"/>
                <w:outline w:val="0"/>
                <w:color w:val="000000"/>
                <w:spacing w:val="0"/>
                <w:kern w:val="0"/>
                <w:position w:val="0"/>
                <w:sz w:val="19"/>
                <w:szCs w:val="19"/>
                <w:u w:val="none" w:color="000000"/>
                <w:vertAlign w:val="baseline"/>
                <w:rtl w:val="0"/>
                <w:lang w:val="it-IT"/>
              </w:rPr>
              <w:t>trattamento e smaltimento</w:t>
            </w:r>
          </w:p>
        </w:tc>
        <w:tc>
          <w:tcPr>
            <w:tcW w:type="dxa" w:w="1134"/>
            <w:tcBorders>
              <w:top w:val="single" w:color="ffffff" w:sz="6" w:space="0" w:shadow="0" w:frame="0"/>
              <w:left w:val="single" w:color="ffffff" w:sz="6" w:space="0" w:shadow="0" w:frame="0"/>
              <w:bottom w:val="single" w:color="ffffff" w:sz="6" w:space="0" w:shadow="0" w:frame="0"/>
              <w:right w:val="single" w:color="ffffff" w:sz="6" w:space="0" w:shadow="0" w:frame="0"/>
            </w:tcBorders>
            <w:shd w:val="clear" w:color="auto" w:fill="99ccff"/>
            <w:tcMar>
              <w:top w:type="dxa" w:w="80"/>
              <w:left w:type="dxa" w:w="80"/>
              <w:bottom w:type="dxa" w:w="80"/>
              <w:right w:type="dxa" w:w="80"/>
            </w:tcMar>
            <w:vAlign w:val="center"/>
          </w:tcPr>
          <w:p>
            <w:pPr>
              <w:pStyle w:val="Normal"/>
              <w:spacing w:before="240" w:after="240"/>
              <w:jc w:val="center"/>
            </w:pPr>
            <w:r>
              <w:rPr>
                <w:rFonts w:ascii="Arial"/>
                <w:i w:val="1"/>
                <w:iCs w:val="1"/>
                <w:caps w:val="0"/>
                <w:smallCaps w:val="0"/>
                <w:strike w:val="0"/>
                <w:dstrike w:val="0"/>
                <w:outline w:val="0"/>
                <w:color w:val="000000"/>
                <w:spacing w:val="0"/>
                <w:kern w:val="0"/>
                <w:position w:val="0"/>
                <w:sz w:val="19"/>
                <w:szCs w:val="19"/>
                <w:u w:val="none" w:color="000000"/>
                <w:vertAlign w:val="baseline"/>
                <w:rtl w:val="0"/>
                <w:lang w:val="it-IT"/>
              </w:rPr>
              <w:t>136,0</w:t>
            </w:r>
          </w:p>
        </w:tc>
        <w:tc>
          <w:tcPr>
            <w:tcW w:type="dxa" w:w="961"/>
            <w:tcBorders>
              <w:top w:val="single" w:color="ffffff" w:sz="6" w:space="0" w:shadow="0" w:frame="0"/>
              <w:left w:val="single" w:color="ffffff" w:sz="6" w:space="0" w:shadow="0" w:frame="0"/>
              <w:bottom w:val="single" w:color="ffffff" w:sz="6" w:space="0" w:shadow="0" w:frame="0"/>
              <w:right w:val="single" w:color="ffffff" w:sz="6" w:space="0" w:shadow="0" w:frame="0"/>
            </w:tcBorders>
            <w:shd w:val="clear" w:color="auto" w:fill="99ccff"/>
            <w:tcMar>
              <w:top w:type="dxa" w:w="80"/>
              <w:left w:type="dxa" w:w="80"/>
              <w:bottom w:type="dxa" w:w="80"/>
              <w:right w:type="dxa" w:w="80"/>
            </w:tcMar>
            <w:vAlign w:val="center"/>
          </w:tcPr>
          <w:p>
            <w:pPr>
              <w:pStyle w:val="Normal"/>
              <w:spacing w:before="240" w:after="240"/>
              <w:jc w:val="center"/>
            </w:pPr>
            <w:r>
              <w:rPr>
                <w:rFonts w:ascii="Arial"/>
                <w:i w:val="1"/>
                <w:iCs w:val="1"/>
                <w:caps w:val="0"/>
                <w:smallCaps w:val="0"/>
                <w:strike w:val="0"/>
                <w:dstrike w:val="0"/>
                <w:outline w:val="0"/>
                <w:color w:val="000000"/>
                <w:spacing w:val="0"/>
                <w:kern w:val="0"/>
                <w:position w:val="0"/>
                <w:sz w:val="19"/>
                <w:szCs w:val="19"/>
                <w:u w:val="none" w:color="000000"/>
                <w:vertAlign w:val="baseline"/>
                <w:rtl w:val="0"/>
                <w:lang w:val="it-IT"/>
              </w:rPr>
              <w:t>127,5</w:t>
            </w:r>
          </w:p>
        </w:tc>
        <w:tc>
          <w:tcPr>
            <w:tcW w:type="dxa" w:w="1327"/>
            <w:tcBorders>
              <w:top w:val="single" w:color="ffffff" w:sz="6" w:space="0" w:shadow="0" w:frame="0"/>
              <w:left w:val="single" w:color="ffffff" w:sz="6" w:space="0" w:shadow="0" w:frame="0"/>
              <w:bottom w:val="single" w:color="ffffff" w:sz="6" w:space="0" w:shadow="0" w:frame="0"/>
              <w:right w:val="single" w:color="ffffff" w:sz="6" w:space="0" w:shadow="0" w:frame="0"/>
            </w:tcBorders>
            <w:shd w:val="clear" w:color="auto" w:fill="99ccff"/>
            <w:tcMar>
              <w:top w:type="dxa" w:w="80"/>
              <w:left w:type="dxa" w:w="80"/>
              <w:bottom w:type="dxa" w:w="80"/>
              <w:right w:type="dxa" w:w="80"/>
            </w:tcMar>
            <w:vAlign w:val="center"/>
          </w:tcPr>
          <w:p>
            <w:pPr>
              <w:pStyle w:val="Normal"/>
              <w:spacing w:before="240" w:after="240"/>
              <w:jc w:val="center"/>
            </w:pPr>
            <w:r>
              <w:rPr>
                <w:rFonts w:ascii="Arial"/>
                <w:i w:val="1"/>
                <w:iCs w:val="1"/>
                <w:caps w:val="0"/>
                <w:smallCaps w:val="0"/>
                <w:strike w:val="0"/>
                <w:dstrike w:val="0"/>
                <w:outline w:val="0"/>
                <w:color w:val="000000"/>
                <w:spacing w:val="0"/>
                <w:kern w:val="0"/>
                <w:position w:val="0"/>
                <w:sz w:val="19"/>
                <w:szCs w:val="19"/>
                <w:u w:val="none" w:color="000000"/>
                <w:vertAlign w:val="baseline"/>
                <w:rtl w:val="0"/>
                <w:lang w:val="it-IT"/>
              </w:rPr>
              <w:t>118,8</w:t>
            </w:r>
          </w:p>
        </w:tc>
        <w:tc>
          <w:tcPr>
            <w:tcW w:type="dxa" w:w="1243"/>
            <w:tcBorders>
              <w:top w:val="single" w:color="ffffff" w:sz="6" w:space="0" w:shadow="0" w:frame="0"/>
              <w:left w:val="single" w:color="ffffff" w:sz="6" w:space="0" w:shadow="0" w:frame="0"/>
              <w:bottom w:val="single" w:color="ffffff" w:sz="6" w:space="0" w:shadow="0" w:frame="0"/>
              <w:right w:val="single" w:color="ffffff" w:sz="6" w:space="0" w:shadow="0" w:frame="0"/>
            </w:tcBorders>
            <w:shd w:val="clear" w:color="auto" w:fill="99ccff"/>
            <w:tcMar>
              <w:top w:type="dxa" w:w="80"/>
              <w:left w:type="dxa" w:w="80"/>
              <w:bottom w:type="dxa" w:w="80"/>
              <w:right w:type="dxa" w:w="80"/>
            </w:tcMar>
            <w:vAlign w:val="center"/>
          </w:tcPr>
          <w:p>
            <w:pPr>
              <w:pStyle w:val="Normal"/>
              <w:spacing w:before="240" w:after="240"/>
              <w:jc w:val="center"/>
            </w:pPr>
            <w:r>
              <w:rPr>
                <w:rFonts w:ascii="Arial"/>
                <w:i w:val="1"/>
                <w:iCs w:val="1"/>
                <w:caps w:val="0"/>
                <w:smallCaps w:val="0"/>
                <w:strike w:val="0"/>
                <w:dstrike w:val="0"/>
                <w:outline w:val="0"/>
                <w:color w:val="000000"/>
                <w:spacing w:val="0"/>
                <w:kern w:val="0"/>
                <w:position w:val="0"/>
                <w:sz w:val="19"/>
                <w:szCs w:val="19"/>
                <w:u w:val="none" w:color="000000"/>
                <w:vertAlign w:val="baseline"/>
                <w:rtl w:val="0"/>
                <w:lang w:val="it-IT"/>
              </w:rPr>
              <w:t>118,0</w:t>
            </w:r>
          </w:p>
        </w:tc>
        <w:tc>
          <w:tcPr>
            <w:tcW w:type="dxa" w:w="1153"/>
            <w:tcBorders>
              <w:top w:val="single" w:color="ffffff" w:sz="6" w:space="0" w:shadow="0" w:frame="0"/>
              <w:left w:val="single" w:color="ffffff" w:sz="6" w:space="0" w:shadow="0" w:frame="0"/>
              <w:bottom w:val="single" w:color="ffffff" w:sz="6" w:space="0" w:shadow="0" w:frame="0"/>
              <w:right w:val="single" w:color="ffffff" w:sz="6" w:space="0" w:shadow="0" w:frame="0"/>
            </w:tcBorders>
            <w:shd w:val="clear" w:color="auto" w:fill="99ccff"/>
            <w:tcMar>
              <w:top w:type="dxa" w:w="80"/>
              <w:left w:type="dxa" w:w="80"/>
              <w:bottom w:type="dxa" w:w="80"/>
              <w:right w:type="dxa" w:w="80"/>
            </w:tcMar>
            <w:vAlign w:val="center"/>
          </w:tcPr>
          <w:p>
            <w:pPr>
              <w:pStyle w:val="Normal"/>
              <w:spacing w:before="240" w:after="240"/>
              <w:jc w:val="center"/>
            </w:pPr>
            <w:r>
              <w:rPr>
                <w:rFonts w:ascii="Arial"/>
                <w:i w:val="1"/>
                <w:iCs w:val="1"/>
                <w:caps w:val="0"/>
                <w:smallCaps w:val="0"/>
                <w:strike w:val="0"/>
                <w:dstrike w:val="0"/>
                <w:outline w:val="0"/>
                <w:color w:val="000000"/>
                <w:spacing w:val="0"/>
                <w:kern w:val="0"/>
                <w:position w:val="0"/>
                <w:sz w:val="19"/>
                <w:szCs w:val="19"/>
                <w:u w:val="none" w:color="000000"/>
                <w:vertAlign w:val="baseline"/>
                <w:rtl w:val="0"/>
                <w:lang w:val="it-IT"/>
              </w:rPr>
              <w:t>127,0</w:t>
            </w:r>
          </w:p>
        </w:tc>
        <w:tc>
          <w:tcPr>
            <w:tcW w:type="dxa" w:w="984"/>
            <w:tcBorders>
              <w:top w:val="single" w:color="ffffff" w:sz="6" w:space="0" w:shadow="0" w:frame="0"/>
              <w:left w:val="single" w:color="ffffff" w:sz="6" w:space="0" w:shadow="0" w:frame="0"/>
              <w:bottom w:val="single" w:color="ffffff" w:sz="6" w:space="0" w:shadow="0" w:frame="0"/>
              <w:right w:val="single" w:color="ffffff" w:sz="6" w:space="0" w:shadow="0" w:frame="0"/>
            </w:tcBorders>
            <w:shd w:val="clear" w:color="auto" w:fill="99ccff"/>
            <w:tcMar>
              <w:top w:type="dxa" w:w="80"/>
              <w:left w:type="dxa" w:w="80"/>
              <w:bottom w:type="dxa" w:w="80"/>
              <w:right w:type="dxa" w:w="80"/>
            </w:tcMar>
            <w:vAlign w:val="center"/>
          </w:tcPr>
          <w:p>
            <w:pPr>
              <w:pStyle w:val="Normal"/>
              <w:spacing w:before="240" w:after="240"/>
              <w:jc w:val="center"/>
            </w:pPr>
            <w:r>
              <w:rPr>
                <w:rFonts w:ascii="Arial"/>
                <w:i w:val="1"/>
                <w:iCs w:val="1"/>
                <w:caps w:val="0"/>
                <w:smallCaps w:val="0"/>
                <w:strike w:val="0"/>
                <w:dstrike w:val="0"/>
                <w:outline w:val="0"/>
                <w:color w:val="000000"/>
                <w:spacing w:val="0"/>
                <w:kern w:val="0"/>
                <w:position w:val="0"/>
                <w:sz w:val="19"/>
                <w:szCs w:val="19"/>
                <w:u w:val="none" w:color="000000"/>
                <w:vertAlign w:val="baseline"/>
                <w:rtl w:val="0"/>
                <w:lang w:val="it-IT"/>
              </w:rPr>
              <w:t>7,7%</w:t>
            </w:r>
          </w:p>
        </w:tc>
      </w:tr>
      <w:tr>
        <w:tblPrEx>
          <w:shd w:val="clear" w:color="auto" w:fill="auto"/>
        </w:tblPrEx>
        <w:trPr>
          <w:trHeight w:val="229" w:hRule="atLeast"/>
        </w:trPr>
        <w:tc>
          <w:tcPr>
            <w:tcW w:type="dxa" w:w="1845"/>
            <w:tcBorders>
              <w:top w:val="single" w:color="ffffff" w:sz="6" w:space="0" w:shadow="0" w:frame="0"/>
              <w:left w:val="single" w:color="ffffff" w:sz="6" w:space="0" w:shadow="0" w:frame="0"/>
              <w:bottom w:val="single" w:color="ffffff" w:sz="6" w:space="0" w:shadow="0" w:frame="0"/>
              <w:right w:val="single" w:color="ffffff" w:sz="6" w:space="0" w:shadow="0" w:frame="0"/>
            </w:tcBorders>
            <w:shd w:val="clear" w:color="auto" w:fill="99ccff"/>
            <w:tcMar>
              <w:top w:type="dxa" w:w="80"/>
              <w:left w:type="dxa" w:w="80"/>
              <w:bottom w:type="dxa" w:w="80"/>
              <w:right w:type="dxa" w:w="80"/>
            </w:tcMar>
            <w:vAlign w:val="center"/>
          </w:tcPr>
          <w:p>
            <w:pPr>
              <w:pStyle w:val="Normal"/>
              <w:spacing w:before="240" w:after="240"/>
              <w:jc w:val="right"/>
            </w:pPr>
            <w:r>
              <w:rPr>
                <w:rFonts w:ascii="Arial"/>
                <w:i w:val="1"/>
                <w:iCs w:val="1"/>
                <w:caps w:val="0"/>
                <w:smallCaps w:val="0"/>
                <w:strike w:val="0"/>
                <w:dstrike w:val="0"/>
                <w:outline w:val="0"/>
                <w:color w:val="000000"/>
                <w:spacing w:val="0"/>
                <w:kern w:val="0"/>
                <w:position w:val="0"/>
                <w:sz w:val="19"/>
                <w:szCs w:val="19"/>
                <w:u w:val="none" w:color="000000"/>
                <w:vertAlign w:val="baseline"/>
                <w:rtl w:val="0"/>
                <w:lang w:val="it-IT"/>
              </w:rPr>
              <w:t>altri costi</w:t>
            </w:r>
          </w:p>
        </w:tc>
        <w:tc>
          <w:tcPr>
            <w:tcW w:type="dxa" w:w="1134"/>
            <w:tcBorders>
              <w:top w:val="single" w:color="ffffff" w:sz="6" w:space="0" w:shadow="0" w:frame="0"/>
              <w:left w:val="single" w:color="ffffff" w:sz="6" w:space="0" w:shadow="0" w:frame="0"/>
              <w:bottom w:val="single" w:color="ffffff" w:sz="6" w:space="0" w:shadow="0" w:frame="0"/>
              <w:right w:val="single" w:color="ffffff" w:sz="6" w:space="0" w:shadow="0" w:frame="0"/>
            </w:tcBorders>
            <w:shd w:val="clear" w:color="auto" w:fill="99ccff"/>
            <w:tcMar>
              <w:top w:type="dxa" w:w="80"/>
              <w:left w:type="dxa" w:w="80"/>
              <w:bottom w:type="dxa" w:w="80"/>
              <w:right w:type="dxa" w:w="80"/>
            </w:tcMar>
            <w:vAlign w:val="center"/>
          </w:tcPr>
          <w:p>
            <w:pPr>
              <w:pStyle w:val="Normal"/>
              <w:spacing w:before="240" w:after="240"/>
              <w:jc w:val="center"/>
            </w:pPr>
            <w:r>
              <w:rPr>
                <w:rFonts w:ascii="Arial"/>
                <w:caps w:val="0"/>
                <w:smallCaps w:val="0"/>
                <w:strike w:val="0"/>
                <w:dstrike w:val="0"/>
                <w:outline w:val="0"/>
                <w:color w:val="000000"/>
                <w:spacing w:val="0"/>
                <w:kern w:val="0"/>
                <w:position w:val="0"/>
                <w:sz w:val="19"/>
                <w:szCs w:val="19"/>
                <w:u w:val="none" w:color="000000"/>
                <w:vertAlign w:val="baseline"/>
                <w:rtl w:val="0"/>
                <w:lang w:val="it-IT"/>
              </w:rPr>
              <w:t>-</w:t>
            </w:r>
          </w:p>
        </w:tc>
        <w:tc>
          <w:tcPr>
            <w:tcW w:type="dxa" w:w="961"/>
            <w:tcBorders>
              <w:top w:val="single" w:color="ffffff" w:sz="6" w:space="0" w:shadow="0" w:frame="0"/>
              <w:left w:val="single" w:color="ffffff" w:sz="6" w:space="0" w:shadow="0" w:frame="0"/>
              <w:bottom w:val="single" w:color="ffffff" w:sz="6" w:space="0" w:shadow="0" w:frame="0"/>
              <w:right w:val="single" w:color="ffffff" w:sz="6" w:space="0" w:shadow="0" w:frame="0"/>
            </w:tcBorders>
            <w:shd w:val="clear" w:color="auto" w:fill="99ccff"/>
            <w:tcMar>
              <w:top w:type="dxa" w:w="80"/>
              <w:left w:type="dxa" w:w="80"/>
              <w:bottom w:type="dxa" w:w="80"/>
              <w:right w:type="dxa" w:w="80"/>
            </w:tcMar>
            <w:vAlign w:val="center"/>
          </w:tcPr>
          <w:p>
            <w:pPr>
              <w:pStyle w:val="Normal"/>
              <w:spacing w:before="240" w:after="240"/>
              <w:jc w:val="center"/>
            </w:pPr>
            <w:r>
              <w:rPr>
                <w:rFonts w:ascii="Arial"/>
                <w:caps w:val="0"/>
                <w:smallCaps w:val="0"/>
                <w:strike w:val="0"/>
                <w:dstrike w:val="0"/>
                <w:outline w:val="0"/>
                <w:color w:val="000000"/>
                <w:spacing w:val="0"/>
                <w:kern w:val="0"/>
                <w:position w:val="0"/>
                <w:sz w:val="19"/>
                <w:szCs w:val="19"/>
                <w:u w:val="none" w:color="000000"/>
                <w:vertAlign w:val="baseline"/>
                <w:rtl w:val="0"/>
                <w:lang w:val="it-IT"/>
              </w:rPr>
              <w:t>5,7</w:t>
            </w:r>
          </w:p>
        </w:tc>
        <w:tc>
          <w:tcPr>
            <w:tcW w:type="dxa" w:w="1327"/>
            <w:tcBorders>
              <w:top w:val="single" w:color="ffffff" w:sz="6" w:space="0" w:shadow="0" w:frame="0"/>
              <w:left w:val="single" w:color="ffffff" w:sz="6" w:space="0" w:shadow="0" w:frame="0"/>
              <w:bottom w:val="single" w:color="ffffff" w:sz="6" w:space="0" w:shadow="0" w:frame="0"/>
              <w:right w:val="single" w:color="ffffff" w:sz="6" w:space="0" w:shadow="0" w:frame="0"/>
            </w:tcBorders>
            <w:shd w:val="clear" w:color="auto" w:fill="99ccff"/>
            <w:tcMar>
              <w:top w:type="dxa" w:w="80"/>
              <w:left w:type="dxa" w:w="80"/>
              <w:bottom w:type="dxa" w:w="80"/>
              <w:right w:type="dxa" w:w="80"/>
            </w:tcMar>
            <w:vAlign w:val="center"/>
          </w:tcPr>
          <w:p>
            <w:pPr>
              <w:pStyle w:val="Normal"/>
              <w:spacing w:before="240" w:after="240"/>
              <w:jc w:val="center"/>
            </w:pPr>
            <w:r>
              <w:rPr>
                <w:rFonts w:ascii="Arial"/>
                <w:caps w:val="0"/>
                <w:smallCaps w:val="0"/>
                <w:strike w:val="0"/>
                <w:dstrike w:val="0"/>
                <w:outline w:val="0"/>
                <w:color w:val="000000"/>
                <w:spacing w:val="0"/>
                <w:kern w:val="0"/>
                <w:position w:val="0"/>
                <w:sz w:val="19"/>
                <w:szCs w:val="19"/>
                <w:u w:val="none" w:color="000000"/>
                <w:vertAlign w:val="baseline"/>
                <w:rtl w:val="0"/>
                <w:lang w:val="it-IT"/>
              </w:rPr>
              <w:t>5,6</w:t>
            </w:r>
          </w:p>
        </w:tc>
        <w:tc>
          <w:tcPr>
            <w:tcW w:type="dxa" w:w="1243"/>
            <w:tcBorders>
              <w:top w:val="single" w:color="ffffff" w:sz="6" w:space="0" w:shadow="0" w:frame="0"/>
              <w:left w:val="single" w:color="ffffff" w:sz="6" w:space="0" w:shadow="0" w:frame="0"/>
              <w:bottom w:val="single" w:color="ffffff" w:sz="6" w:space="0" w:shadow="0" w:frame="0"/>
              <w:right w:val="single" w:color="ffffff" w:sz="6" w:space="0" w:shadow="0" w:frame="0"/>
            </w:tcBorders>
            <w:shd w:val="clear" w:color="auto" w:fill="99ccff"/>
            <w:tcMar>
              <w:top w:type="dxa" w:w="80"/>
              <w:left w:type="dxa" w:w="80"/>
              <w:bottom w:type="dxa" w:w="80"/>
              <w:right w:type="dxa" w:w="80"/>
            </w:tcMar>
            <w:vAlign w:val="center"/>
          </w:tcPr>
          <w:p>
            <w:pPr>
              <w:pStyle w:val="Normal"/>
              <w:spacing w:before="240" w:after="240"/>
              <w:jc w:val="center"/>
            </w:pPr>
            <w:r>
              <w:rPr>
                <w:rFonts w:ascii="Arial"/>
                <w:caps w:val="0"/>
                <w:smallCaps w:val="0"/>
                <w:strike w:val="0"/>
                <w:dstrike w:val="0"/>
                <w:outline w:val="0"/>
                <w:color w:val="000000"/>
                <w:spacing w:val="0"/>
                <w:kern w:val="0"/>
                <w:position w:val="0"/>
                <w:sz w:val="19"/>
                <w:szCs w:val="19"/>
                <w:u w:val="none" w:color="000000"/>
                <w:vertAlign w:val="baseline"/>
                <w:rtl w:val="0"/>
                <w:lang w:val="it-IT"/>
              </w:rPr>
              <w:t>-</w:t>
            </w:r>
          </w:p>
        </w:tc>
        <w:tc>
          <w:tcPr>
            <w:tcW w:type="dxa" w:w="1153"/>
            <w:tcBorders>
              <w:top w:val="single" w:color="ffffff" w:sz="6" w:space="0" w:shadow="0" w:frame="0"/>
              <w:left w:val="single" w:color="ffffff" w:sz="6" w:space="0" w:shadow="0" w:frame="0"/>
              <w:bottom w:val="single" w:color="ffffff" w:sz="6" w:space="0" w:shadow="0" w:frame="0"/>
              <w:right w:val="single" w:color="ffffff" w:sz="6" w:space="0" w:shadow="0" w:frame="0"/>
            </w:tcBorders>
            <w:shd w:val="clear" w:color="auto" w:fill="99ccff"/>
            <w:tcMar>
              <w:top w:type="dxa" w:w="80"/>
              <w:left w:type="dxa" w:w="80"/>
              <w:bottom w:type="dxa" w:w="80"/>
              <w:right w:type="dxa" w:w="80"/>
            </w:tcMar>
            <w:vAlign w:val="center"/>
          </w:tcPr>
          <w:p>
            <w:pPr>
              <w:pStyle w:val="Normal"/>
              <w:spacing w:before="240" w:after="240"/>
              <w:jc w:val="center"/>
            </w:pPr>
            <w:r>
              <w:rPr>
                <w:rFonts w:ascii="Arial"/>
                <w:caps w:val="0"/>
                <w:smallCaps w:val="0"/>
                <w:strike w:val="0"/>
                <w:dstrike w:val="0"/>
                <w:outline w:val="0"/>
                <w:color w:val="000000"/>
                <w:spacing w:val="0"/>
                <w:kern w:val="0"/>
                <w:position w:val="0"/>
                <w:sz w:val="19"/>
                <w:szCs w:val="19"/>
                <w:u w:val="none" w:color="000000"/>
                <w:vertAlign w:val="baseline"/>
                <w:rtl w:val="0"/>
                <w:lang w:val="it-IT"/>
              </w:rPr>
              <w:t>7,6</w:t>
            </w:r>
          </w:p>
        </w:tc>
        <w:tc>
          <w:tcPr>
            <w:tcW w:type="dxa" w:w="984"/>
            <w:tcBorders>
              <w:top w:val="single" w:color="ffffff" w:sz="6" w:space="0" w:shadow="0" w:frame="0"/>
              <w:left w:val="single" w:color="ffffff" w:sz="6" w:space="0" w:shadow="0" w:frame="0"/>
              <w:bottom w:val="single" w:color="ffffff" w:sz="6" w:space="0" w:shadow="0" w:frame="0"/>
              <w:right w:val="single" w:color="ffffff" w:sz="6" w:space="0" w:shadow="0" w:frame="0"/>
            </w:tcBorders>
            <w:shd w:val="clear" w:color="auto" w:fill="99ccff"/>
            <w:tcMar>
              <w:top w:type="dxa" w:w="80"/>
              <w:left w:type="dxa" w:w="80"/>
              <w:bottom w:type="dxa" w:w="80"/>
              <w:right w:type="dxa" w:w="80"/>
            </w:tcMar>
            <w:vAlign w:val="center"/>
          </w:tcPr>
          <w:p>
            <w:pPr>
              <w:pStyle w:val="Normal"/>
              <w:spacing w:before="240" w:after="240"/>
              <w:jc w:val="center"/>
            </w:pPr>
            <w:r>
              <w:rPr>
                <w:rFonts w:ascii="Arial"/>
                <w:caps w:val="0"/>
                <w:smallCaps w:val="0"/>
                <w:strike w:val="0"/>
                <w:dstrike w:val="0"/>
                <w:outline w:val="0"/>
                <w:color w:val="000000"/>
                <w:spacing w:val="0"/>
                <w:kern w:val="0"/>
                <w:position w:val="0"/>
                <w:sz w:val="19"/>
                <w:szCs w:val="19"/>
                <w:u w:val="none" w:color="000000"/>
                <w:vertAlign w:val="baseline"/>
                <w:rtl w:val="0"/>
                <w:lang w:val="it-IT"/>
              </w:rPr>
              <w:t>100,0%</w:t>
            </w:r>
          </w:p>
        </w:tc>
      </w:tr>
      <w:tr>
        <w:tblPrEx>
          <w:shd w:val="clear" w:color="auto" w:fill="auto"/>
        </w:tblPrEx>
        <w:trPr>
          <w:trHeight w:val="669" w:hRule="atLeast"/>
        </w:trPr>
        <w:tc>
          <w:tcPr>
            <w:tcW w:type="dxa" w:w="1845"/>
            <w:tcBorders>
              <w:top w:val="single" w:color="ffffff" w:sz="6" w:space="0" w:shadow="0" w:frame="0"/>
              <w:left w:val="single" w:color="ffffff" w:sz="6" w:space="0" w:shadow="0" w:frame="0"/>
              <w:bottom w:val="single" w:color="ffffff" w:sz="6" w:space="0" w:shadow="0" w:frame="0"/>
              <w:right w:val="single" w:color="ffffff" w:sz="6" w:space="0" w:shadow="0" w:frame="0"/>
            </w:tcBorders>
            <w:shd w:val="clear" w:color="auto" w:fill="6699cc"/>
            <w:tcMar>
              <w:top w:type="dxa" w:w="80"/>
              <w:left w:type="dxa" w:w="80"/>
              <w:bottom w:type="dxa" w:w="80"/>
              <w:right w:type="dxa" w:w="80"/>
            </w:tcMar>
            <w:vAlign w:val="center"/>
          </w:tcPr>
          <w:p>
            <w:pPr>
              <w:pStyle w:val="Normal"/>
              <w:spacing w:before="240" w:after="240"/>
            </w:pPr>
            <w:r>
              <w:rPr>
                <w:rFonts w:ascii="Arial"/>
                <w:caps w:val="0"/>
                <w:smallCaps w:val="0"/>
                <w:strike w:val="0"/>
                <w:dstrike w:val="0"/>
                <w:outline w:val="0"/>
                <w:color w:val="000000"/>
                <w:spacing w:val="0"/>
                <w:kern w:val="0"/>
                <w:position w:val="0"/>
                <w:sz w:val="19"/>
                <w:szCs w:val="19"/>
                <w:u w:val="none" w:color="000000"/>
                <w:vertAlign w:val="baseline"/>
                <w:rtl w:val="0"/>
                <w:lang w:val="it-IT"/>
              </w:rPr>
              <w:t>GESTIONE DIFFERENZIATA, di cui:</w:t>
            </w:r>
          </w:p>
        </w:tc>
        <w:tc>
          <w:tcPr>
            <w:tcW w:type="dxa" w:w="1134"/>
            <w:tcBorders>
              <w:top w:val="single" w:color="ffffff" w:sz="6" w:space="0" w:shadow="0" w:frame="0"/>
              <w:left w:val="single" w:color="ffffff" w:sz="6" w:space="0" w:shadow="0" w:frame="0"/>
              <w:bottom w:val="single" w:color="ffffff" w:sz="6" w:space="0" w:shadow="0" w:frame="0"/>
              <w:right w:val="single" w:color="ffffff" w:sz="6" w:space="0" w:shadow="0" w:frame="0"/>
            </w:tcBorders>
            <w:shd w:val="clear" w:color="auto" w:fill="6699cc"/>
            <w:tcMar>
              <w:top w:type="dxa" w:w="80"/>
              <w:left w:type="dxa" w:w="80"/>
              <w:bottom w:type="dxa" w:w="80"/>
              <w:right w:type="dxa" w:w="80"/>
            </w:tcMar>
            <w:vAlign w:val="center"/>
          </w:tcPr>
          <w:p>
            <w:pPr>
              <w:pStyle w:val="Normal"/>
              <w:spacing w:before="240" w:after="240"/>
              <w:jc w:val="center"/>
            </w:pPr>
            <w:r>
              <w:rPr>
                <w:rFonts w:ascii="Arial"/>
                <w:caps w:val="0"/>
                <w:smallCaps w:val="0"/>
                <w:strike w:val="0"/>
                <w:dstrike w:val="0"/>
                <w:outline w:val="0"/>
                <w:color w:val="000000"/>
                <w:spacing w:val="0"/>
                <w:kern w:val="0"/>
                <w:position w:val="0"/>
                <w:sz w:val="19"/>
                <w:szCs w:val="19"/>
                <w:u w:val="none" w:color="000000"/>
                <w:vertAlign w:val="baseline"/>
                <w:rtl w:val="0"/>
                <w:lang w:val="it-IT"/>
              </w:rPr>
              <w:t>259,5</w:t>
            </w:r>
          </w:p>
        </w:tc>
        <w:tc>
          <w:tcPr>
            <w:tcW w:type="dxa" w:w="961"/>
            <w:tcBorders>
              <w:top w:val="single" w:color="ffffff" w:sz="6" w:space="0" w:shadow="0" w:frame="0"/>
              <w:left w:val="single" w:color="ffffff" w:sz="6" w:space="0" w:shadow="0" w:frame="0"/>
              <w:bottom w:val="single" w:color="ffffff" w:sz="6" w:space="0" w:shadow="0" w:frame="0"/>
              <w:right w:val="single" w:color="ffffff" w:sz="6" w:space="0" w:shadow="0" w:frame="0"/>
            </w:tcBorders>
            <w:shd w:val="clear" w:color="auto" w:fill="6699cc"/>
            <w:tcMar>
              <w:top w:type="dxa" w:w="80"/>
              <w:left w:type="dxa" w:w="80"/>
              <w:bottom w:type="dxa" w:w="80"/>
              <w:right w:type="dxa" w:w="80"/>
            </w:tcMar>
            <w:vAlign w:val="center"/>
          </w:tcPr>
          <w:p>
            <w:pPr>
              <w:pStyle w:val="Normal"/>
              <w:spacing w:before="240" w:after="240"/>
              <w:jc w:val="center"/>
            </w:pPr>
            <w:r>
              <w:rPr>
                <w:rFonts w:ascii="Arial"/>
                <w:caps w:val="0"/>
                <w:smallCaps w:val="0"/>
                <w:strike w:val="0"/>
                <w:dstrike w:val="0"/>
                <w:outline w:val="0"/>
                <w:color w:val="000000"/>
                <w:spacing w:val="0"/>
                <w:kern w:val="0"/>
                <w:position w:val="0"/>
                <w:sz w:val="19"/>
                <w:szCs w:val="19"/>
                <w:u w:val="none" w:color="000000"/>
                <w:vertAlign w:val="baseline"/>
                <w:rtl w:val="0"/>
                <w:lang w:val="it-IT"/>
              </w:rPr>
              <w:t>207,5</w:t>
            </w:r>
          </w:p>
        </w:tc>
        <w:tc>
          <w:tcPr>
            <w:tcW w:type="dxa" w:w="1327"/>
            <w:tcBorders>
              <w:top w:val="single" w:color="ffffff" w:sz="6" w:space="0" w:shadow="0" w:frame="0"/>
              <w:left w:val="single" w:color="ffffff" w:sz="6" w:space="0" w:shadow="0" w:frame="0"/>
              <w:bottom w:val="single" w:color="ffffff" w:sz="6" w:space="0" w:shadow="0" w:frame="0"/>
              <w:right w:val="single" w:color="ffffff" w:sz="6" w:space="0" w:shadow="0" w:frame="0"/>
            </w:tcBorders>
            <w:shd w:val="clear" w:color="auto" w:fill="6699cc"/>
            <w:tcMar>
              <w:top w:type="dxa" w:w="80"/>
              <w:left w:type="dxa" w:w="80"/>
              <w:bottom w:type="dxa" w:w="80"/>
              <w:right w:type="dxa" w:w="80"/>
            </w:tcMar>
            <w:vAlign w:val="center"/>
          </w:tcPr>
          <w:p>
            <w:pPr>
              <w:pStyle w:val="Normal"/>
              <w:spacing w:before="240" w:after="240"/>
              <w:jc w:val="center"/>
            </w:pPr>
            <w:r>
              <w:rPr>
                <w:rFonts w:ascii="Arial"/>
                <w:caps w:val="0"/>
                <w:smallCaps w:val="0"/>
                <w:strike w:val="0"/>
                <w:dstrike w:val="0"/>
                <w:outline w:val="0"/>
                <w:color w:val="000000"/>
                <w:spacing w:val="0"/>
                <w:kern w:val="0"/>
                <w:position w:val="0"/>
                <w:sz w:val="19"/>
                <w:szCs w:val="19"/>
                <w:u w:val="none" w:color="000000"/>
                <w:vertAlign w:val="baseline"/>
                <w:rtl w:val="0"/>
                <w:lang w:val="it-IT"/>
              </w:rPr>
              <w:t>194,0</w:t>
            </w:r>
          </w:p>
        </w:tc>
        <w:tc>
          <w:tcPr>
            <w:tcW w:type="dxa" w:w="1243"/>
            <w:tcBorders>
              <w:top w:val="single" w:color="ffffff" w:sz="6" w:space="0" w:shadow="0" w:frame="0"/>
              <w:left w:val="single" w:color="ffffff" w:sz="6" w:space="0" w:shadow="0" w:frame="0"/>
              <w:bottom w:val="single" w:color="ffffff" w:sz="6" w:space="0" w:shadow="0" w:frame="0"/>
              <w:right w:val="single" w:color="ffffff" w:sz="6" w:space="0" w:shadow="0" w:frame="0"/>
            </w:tcBorders>
            <w:shd w:val="clear" w:color="auto" w:fill="6699cc"/>
            <w:tcMar>
              <w:top w:type="dxa" w:w="80"/>
              <w:left w:type="dxa" w:w="80"/>
              <w:bottom w:type="dxa" w:w="80"/>
              <w:right w:type="dxa" w:w="80"/>
            </w:tcMar>
            <w:vAlign w:val="center"/>
          </w:tcPr>
          <w:p>
            <w:pPr>
              <w:pStyle w:val="Normal"/>
              <w:spacing w:before="240" w:after="240"/>
              <w:jc w:val="center"/>
            </w:pPr>
            <w:r>
              <w:rPr>
                <w:rFonts w:ascii="Arial"/>
                <w:caps w:val="0"/>
                <w:smallCaps w:val="0"/>
                <w:strike w:val="0"/>
                <w:dstrike w:val="0"/>
                <w:outline w:val="0"/>
                <w:color w:val="000000"/>
                <w:spacing w:val="0"/>
                <w:kern w:val="0"/>
                <w:position w:val="0"/>
                <w:sz w:val="19"/>
                <w:szCs w:val="19"/>
                <w:u w:val="none" w:color="000000"/>
                <w:vertAlign w:val="baseline"/>
                <w:rtl w:val="0"/>
                <w:lang w:val="it-IT"/>
              </w:rPr>
              <w:t>274,0</w:t>
            </w:r>
          </w:p>
        </w:tc>
        <w:tc>
          <w:tcPr>
            <w:tcW w:type="dxa" w:w="1153"/>
            <w:tcBorders>
              <w:top w:val="single" w:color="ffffff" w:sz="6" w:space="0" w:shadow="0" w:frame="0"/>
              <w:left w:val="single" w:color="ffffff" w:sz="6" w:space="0" w:shadow="0" w:frame="0"/>
              <w:bottom w:val="single" w:color="ffffff" w:sz="6" w:space="0" w:shadow="0" w:frame="0"/>
              <w:right w:val="single" w:color="ffffff" w:sz="6" w:space="0" w:shadow="0" w:frame="0"/>
            </w:tcBorders>
            <w:shd w:val="clear" w:color="auto" w:fill="6699cc"/>
            <w:tcMar>
              <w:top w:type="dxa" w:w="80"/>
              <w:left w:type="dxa" w:w="80"/>
              <w:bottom w:type="dxa" w:w="80"/>
              <w:right w:type="dxa" w:w="80"/>
            </w:tcMar>
            <w:vAlign w:val="center"/>
          </w:tcPr>
          <w:p>
            <w:pPr>
              <w:pStyle w:val="Normal"/>
              <w:spacing w:before="240" w:after="240"/>
              <w:jc w:val="center"/>
            </w:pPr>
            <w:r>
              <w:rPr>
                <w:rFonts w:ascii="Arial"/>
                <w:caps w:val="0"/>
                <w:smallCaps w:val="0"/>
                <w:strike w:val="0"/>
                <w:dstrike w:val="0"/>
                <w:outline w:val="0"/>
                <w:color w:val="000000"/>
                <w:spacing w:val="0"/>
                <w:kern w:val="0"/>
                <w:position w:val="0"/>
                <w:sz w:val="19"/>
                <w:szCs w:val="19"/>
                <w:u w:val="none" w:color="000000"/>
                <w:vertAlign w:val="baseline"/>
                <w:rtl w:val="0"/>
                <w:lang w:val="it-IT"/>
              </w:rPr>
              <w:t>250,1</w:t>
            </w:r>
          </w:p>
        </w:tc>
        <w:tc>
          <w:tcPr>
            <w:tcW w:type="dxa" w:w="984"/>
            <w:tcBorders>
              <w:top w:val="single" w:color="ffffff" w:sz="6" w:space="0" w:shadow="0" w:frame="0"/>
              <w:left w:val="single" w:color="ffffff" w:sz="6" w:space="0" w:shadow="0" w:frame="0"/>
              <w:bottom w:val="single" w:color="ffffff" w:sz="6" w:space="0" w:shadow="0" w:frame="0"/>
              <w:right w:val="single" w:color="ffffff" w:sz="6" w:space="0" w:shadow="0" w:frame="0"/>
            </w:tcBorders>
            <w:shd w:val="clear" w:color="auto" w:fill="6699cc"/>
            <w:tcMar>
              <w:top w:type="dxa" w:w="80"/>
              <w:left w:type="dxa" w:w="80"/>
              <w:bottom w:type="dxa" w:w="80"/>
              <w:right w:type="dxa" w:w="80"/>
            </w:tcMar>
            <w:vAlign w:val="center"/>
          </w:tcPr>
          <w:p>
            <w:pPr>
              <w:pStyle w:val="Normal"/>
              <w:spacing w:before="240" w:after="240"/>
              <w:jc w:val="center"/>
            </w:pPr>
            <w:r>
              <w:rPr>
                <w:rFonts w:ascii="Arial"/>
                <w:caps w:val="0"/>
                <w:smallCaps w:val="0"/>
                <w:strike w:val="0"/>
                <w:dstrike w:val="0"/>
                <w:outline w:val="0"/>
                <w:color w:val="000000"/>
                <w:spacing w:val="0"/>
                <w:kern w:val="0"/>
                <w:position w:val="0"/>
                <w:sz w:val="19"/>
                <w:szCs w:val="19"/>
                <w:u w:val="none" w:color="000000"/>
                <w:vertAlign w:val="baseline"/>
                <w:rtl w:val="0"/>
                <w:lang w:val="it-IT"/>
              </w:rPr>
              <w:t>-8,7%</w:t>
            </w:r>
          </w:p>
        </w:tc>
      </w:tr>
      <w:tr>
        <w:tblPrEx>
          <w:shd w:val="clear" w:color="auto" w:fill="auto"/>
        </w:tblPrEx>
        <w:trPr>
          <w:trHeight w:val="449" w:hRule="atLeast"/>
        </w:trPr>
        <w:tc>
          <w:tcPr>
            <w:tcW w:type="dxa" w:w="1845"/>
            <w:tcBorders>
              <w:top w:val="single" w:color="ffffff" w:sz="6" w:space="0" w:shadow="0" w:frame="0"/>
              <w:left w:val="single" w:color="ffffff" w:sz="6" w:space="0" w:shadow="0" w:frame="0"/>
              <w:bottom w:val="single" w:color="ffffff" w:sz="6" w:space="0" w:shadow="0" w:frame="0"/>
              <w:right w:val="single" w:color="ffffff" w:sz="6" w:space="0" w:shadow="0" w:frame="0"/>
            </w:tcBorders>
            <w:shd w:val="clear" w:color="auto" w:fill="99ccff"/>
            <w:tcMar>
              <w:top w:type="dxa" w:w="80"/>
              <w:left w:type="dxa" w:w="80"/>
              <w:bottom w:type="dxa" w:w="80"/>
              <w:right w:type="dxa" w:w="80"/>
            </w:tcMar>
            <w:vAlign w:val="center"/>
          </w:tcPr>
          <w:p>
            <w:pPr>
              <w:pStyle w:val="Normal"/>
              <w:spacing w:before="240" w:after="240"/>
              <w:jc w:val="right"/>
            </w:pPr>
            <w:r>
              <w:rPr>
                <w:rFonts w:ascii="Arial"/>
                <w:i w:val="1"/>
                <w:iCs w:val="1"/>
                <w:caps w:val="0"/>
                <w:smallCaps w:val="0"/>
                <w:strike w:val="0"/>
                <w:dstrike w:val="0"/>
                <w:outline w:val="0"/>
                <w:color w:val="000000"/>
                <w:spacing w:val="0"/>
                <w:kern w:val="0"/>
                <w:position w:val="0"/>
                <w:sz w:val="19"/>
                <w:szCs w:val="19"/>
                <w:u w:val="none" w:color="000000"/>
                <w:vertAlign w:val="baseline"/>
                <w:rtl w:val="0"/>
                <w:lang w:val="it-IT"/>
              </w:rPr>
              <w:t>raccolta differenziata (RD)</w:t>
            </w:r>
          </w:p>
        </w:tc>
        <w:tc>
          <w:tcPr>
            <w:tcW w:type="dxa" w:w="1134"/>
            <w:tcBorders>
              <w:top w:val="single" w:color="ffffff" w:sz="6" w:space="0" w:shadow="0" w:frame="0"/>
              <w:left w:val="single" w:color="ffffff" w:sz="6" w:space="0" w:shadow="0" w:frame="0"/>
              <w:bottom w:val="single" w:color="ffffff" w:sz="6" w:space="0" w:shadow="0" w:frame="0"/>
              <w:right w:val="single" w:color="ffffff" w:sz="6" w:space="0" w:shadow="0" w:frame="0"/>
            </w:tcBorders>
            <w:shd w:val="clear" w:color="auto" w:fill="99ccff"/>
            <w:tcMar>
              <w:top w:type="dxa" w:w="80"/>
              <w:left w:type="dxa" w:w="80"/>
              <w:bottom w:type="dxa" w:w="80"/>
              <w:right w:type="dxa" w:w="80"/>
            </w:tcMar>
            <w:vAlign w:val="center"/>
          </w:tcPr>
          <w:p>
            <w:pPr>
              <w:pStyle w:val="Normal"/>
              <w:spacing w:before="240" w:after="240"/>
              <w:jc w:val="center"/>
            </w:pPr>
            <w:r>
              <w:rPr>
                <w:rFonts w:ascii="Arial"/>
                <w:i w:val="1"/>
                <w:iCs w:val="1"/>
                <w:caps w:val="0"/>
                <w:smallCaps w:val="0"/>
                <w:strike w:val="0"/>
                <w:dstrike w:val="0"/>
                <w:outline w:val="0"/>
                <w:color w:val="000000"/>
                <w:spacing w:val="0"/>
                <w:kern w:val="0"/>
                <w:position w:val="0"/>
                <w:sz w:val="19"/>
                <w:szCs w:val="19"/>
                <w:u w:val="none" w:color="000000"/>
                <w:vertAlign w:val="baseline"/>
                <w:rtl w:val="0"/>
                <w:lang w:val="it-IT"/>
              </w:rPr>
              <w:t>270,4</w:t>
            </w:r>
          </w:p>
        </w:tc>
        <w:tc>
          <w:tcPr>
            <w:tcW w:type="dxa" w:w="961"/>
            <w:tcBorders>
              <w:top w:val="single" w:color="ffffff" w:sz="6" w:space="0" w:shadow="0" w:frame="0"/>
              <w:left w:val="single" w:color="ffffff" w:sz="6" w:space="0" w:shadow="0" w:frame="0"/>
              <w:bottom w:val="single" w:color="ffffff" w:sz="6" w:space="0" w:shadow="0" w:frame="0"/>
              <w:right w:val="single" w:color="ffffff" w:sz="6" w:space="0" w:shadow="0" w:frame="0"/>
            </w:tcBorders>
            <w:shd w:val="clear" w:color="auto" w:fill="99ccff"/>
            <w:tcMar>
              <w:top w:type="dxa" w:w="80"/>
              <w:left w:type="dxa" w:w="80"/>
              <w:bottom w:type="dxa" w:w="80"/>
              <w:right w:type="dxa" w:w="80"/>
            </w:tcMar>
            <w:vAlign w:val="center"/>
          </w:tcPr>
          <w:p>
            <w:pPr>
              <w:pStyle w:val="Normal"/>
              <w:spacing w:before="240" w:after="240"/>
              <w:jc w:val="center"/>
            </w:pPr>
            <w:r>
              <w:rPr>
                <w:rFonts w:ascii="Arial"/>
                <w:i w:val="1"/>
                <w:iCs w:val="1"/>
                <w:caps w:val="0"/>
                <w:smallCaps w:val="0"/>
                <w:strike w:val="0"/>
                <w:dstrike w:val="0"/>
                <w:outline w:val="0"/>
                <w:color w:val="000000"/>
                <w:spacing w:val="0"/>
                <w:kern w:val="0"/>
                <w:position w:val="0"/>
                <w:sz w:val="19"/>
                <w:szCs w:val="19"/>
                <w:u w:val="none" w:color="000000"/>
                <w:vertAlign w:val="baseline"/>
                <w:rtl w:val="0"/>
                <w:lang w:val="it-IT"/>
              </w:rPr>
              <w:t>225,2</w:t>
            </w:r>
          </w:p>
        </w:tc>
        <w:tc>
          <w:tcPr>
            <w:tcW w:type="dxa" w:w="1327"/>
            <w:tcBorders>
              <w:top w:val="single" w:color="ffffff" w:sz="6" w:space="0" w:shadow="0" w:frame="0"/>
              <w:left w:val="single" w:color="ffffff" w:sz="6" w:space="0" w:shadow="0" w:frame="0"/>
              <w:bottom w:val="single" w:color="ffffff" w:sz="6" w:space="0" w:shadow="0" w:frame="0"/>
              <w:right w:val="single" w:color="ffffff" w:sz="6" w:space="0" w:shadow="0" w:frame="0"/>
            </w:tcBorders>
            <w:shd w:val="clear" w:color="auto" w:fill="99ccff"/>
            <w:tcMar>
              <w:top w:type="dxa" w:w="80"/>
              <w:left w:type="dxa" w:w="80"/>
              <w:bottom w:type="dxa" w:w="80"/>
              <w:right w:type="dxa" w:w="80"/>
            </w:tcMar>
            <w:vAlign w:val="center"/>
          </w:tcPr>
          <w:p>
            <w:pPr>
              <w:pStyle w:val="Normal"/>
              <w:spacing w:before="240" w:after="240"/>
              <w:jc w:val="center"/>
            </w:pPr>
            <w:r>
              <w:rPr>
                <w:rFonts w:ascii="Arial"/>
                <w:i w:val="1"/>
                <w:iCs w:val="1"/>
                <w:caps w:val="0"/>
                <w:smallCaps w:val="0"/>
                <w:strike w:val="0"/>
                <w:dstrike w:val="0"/>
                <w:outline w:val="0"/>
                <w:color w:val="000000"/>
                <w:spacing w:val="0"/>
                <w:kern w:val="0"/>
                <w:position w:val="0"/>
                <w:sz w:val="19"/>
                <w:szCs w:val="19"/>
                <w:u w:val="none" w:color="000000"/>
                <w:vertAlign w:val="baseline"/>
                <w:rtl w:val="0"/>
                <w:lang w:val="it-IT"/>
              </w:rPr>
              <w:t>211,6</w:t>
            </w:r>
          </w:p>
        </w:tc>
        <w:tc>
          <w:tcPr>
            <w:tcW w:type="dxa" w:w="1243"/>
            <w:tcBorders>
              <w:top w:val="single" w:color="ffffff" w:sz="6" w:space="0" w:shadow="0" w:frame="0"/>
              <w:left w:val="single" w:color="ffffff" w:sz="6" w:space="0" w:shadow="0" w:frame="0"/>
              <w:bottom w:val="single" w:color="ffffff" w:sz="6" w:space="0" w:shadow="0" w:frame="0"/>
              <w:right w:val="single" w:color="ffffff" w:sz="6" w:space="0" w:shadow="0" w:frame="0"/>
            </w:tcBorders>
            <w:shd w:val="clear" w:color="auto" w:fill="99ccff"/>
            <w:tcMar>
              <w:top w:type="dxa" w:w="80"/>
              <w:left w:type="dxa" w:w="80"/>
              <w:bottom w:type="dxa" w:w="80"/>
              <w:right w:type="dxa" w:w="80"/>
            </w:tcMar>
            <w:vAlign w:val="center"/>
          </w:tcPr>
          <w:p>
            <w:pPr>
              <w:pStyle w:val="Normal"/>
              <w:spacing w:before="240" w:after="240"/>
              <w:jc w:val="center"/>
            </w:pPr>
            <w:r>
              <w:rPr>
                <w:rFonts w:ascii="Arial"/>
                <w:i w:val="1"/>
                <w:iCs w:val="1"/>
                <w:caps w:val="0"/>
                <w:smallCaps w:val="0"/>
                <w:strike w:val="0"/>
                <w:dstrike w:val="0"/>
                <w:outline w:val="0"/>
                <w:color w:val="000000"/>
                <w:spacing w:val="0"/>
                <w:kern w:val="0"/>
                <w:position w:val="0"/>
                <w:sz w:val="19"/>
                <w:szCs w:val="19"/>
                <w:u w:val="none" w:color="000000"/>
                <w:vertAlign w:val="baseline"/>
                <w:rtl w:val="0"/>
                <w:lang w:val="it-IT"/>
              </w:rPr>
              <w:t>288,6</w:t>
            </w:r>
          </w:p>
        </w:tc>
        <w:tc>
          <w:tcPr>
            <w:tcW w:type="dxa" w:w="1153"/>
            <w:tcBorders>
              <w:top w:val="single" w:color="ffffff" w:sz="6" w:space="0" w:shadow="0" w:frame="0"/>
              <w:left w:val="single" w:color="ffffff" w:sz="6" w:space="0" w:shadow="0" w:frame="0"/>
              <w:bottom w:val="single" w:color="ffffff" w:sz="6" w:space="0" w:shadow="0" w:frame="0"/>
              <w:right w:val="single" w:color="ffffff" w:sz="6" w:space="0" w:shadow="0" w:frame="0"/>
            </w:tcBorders>
            <w:shd w:val="clear" w:color="auto" w:fill="99ccff"/>
            <w:tcMar>
              <w:top w:type="dxa" w:w="80"/>
              <w:left w:type="dxa" w:w="80"/>
              <w:bottom w:type="dxa" w:w="80"/>
              <w:right w:type="dxa" w:w="80"/>
            </w:tcMar>
            <w:vAlign w:val="center"/>
          </w:tcPr>
          <w:p>
            <w:pPr>
              <w:pStyle w:val="Normal"/>
              <w:spacing w:before="240" w:after="240"/>
              <w:jc w:val="center"/>
            </w:pPr>
            <w:r>
              <w:rPr>
                <w:rFonts w:ascii="Arial"/>
                <w:i w:val="1"/>
                <w:iCs w:val="1"/>
                <w:caps w:val="0"/>
                <w:smallCaps w:val="0"/>
                <w:strike w:val="0"/>
                <w:dstrike w:val="0"/>
                <w:outline w:val="0"/>
                <w:color w:val="000000"/>
                <w:spacing w:val="0"/>
                <w:kern w:val="0"/>
                <w:position w:val="0"/>
                <w:sz w:val="19"/>
                <w:szCs w:val="19"/>
                <w:u w:val="none" w:color="000000"/>
                <w:vertAlign w:val="baseline"/>
                <w:rtl w:val="0"/>
                <w:lang w:val="it-IT"/>
              </w:rPr>
              <w:t>269,9</w:t>
            </w:r>
          </w:p>
        </w:tc>
        <w:tc>
          <w:tcPr>
            <w:tcW w:type="dxa" w:w="984"/>
            <w:tcBorders>
              <w:top w:val="single" w:color="ffffff" w:sz="6" w:space="0" w:shadow="0" w:frame="0"/>
              <w:left w:val="single" w:color="ffffff" w:sz="6" w:space="0" w:shadow="0" w:frame="0"/>
              <w:bottom w:val="single" w:color="ffffff" w:sz="6" w:space="0" w:shadow="0" w:frame="0"/>
              <w:right w:val="single" w:color="ffffff" w:sz="6" w:space="0" w:shadow="0" w:frame="0"/>
            </w:tcBorders>
            <w:shd w:val="clear" w:color="auto" w:fill="99ccff"/>
            <w:tcMar>
              <w:top w:type="dxa" w:w="80"/>
              <w:left w:type="dxa" w:w="80"/>
              <w:bottom w:type="dxa" w:w="80"/>
              <w:right w:type="dxa" w:w="80"/>
            </w:tcMar>
            <w:vAlign w:val="center"/>
          </w:tcPr>
          <w:p>
            <w:pPr>
              <w:pStyle w:val="Normal"/>
              <w:spacing w:before="240" w:after="240"/>
              <w:jc w:val="center"/>
            </w:pPr>
            <w:r>
              <w:rPr>
                <w:rFonts w:ascii="Arial"/>
                <w:i w:val="1"/>
                <w:iCs w:val="1"/>
                <w:caps w:val="0"/>
                <w:smallCaps w:val="0"/>
                <w:strike w:val="0"/>
                <w:dstrike w:val="0"/>
                <w:outline w:val="0"/>
                <w:color w:val="000000"/>
                <w:spacing w:val="0"/>
                <w:kern w:val="0"/>
                <w:position w:val="0"/>
                <w:sz w:val="19"/>
                <w:szCs w:val="19"/>
                <w:u w:val="none" w:color="000000"/>
                <w:vertAlign w:val="baseline"/>
                <w:rtl w:val="0"/>
                <w:lang w:val="it-IT"/>
              </w:rPr>
              <w:t>-6,5%</w:t>
            </w:r>
          </w:p>
        </w:tc>
      </w:tr>
      <w:tr>
        <w:tblPrEx>
          <w:shd w:val="clear" w:color="auto" w:fill="auto"/>
        </w:tblPrEx>
        <w:trPr>
          <w:trHeight w:val="449" w:hRule="atLeast"/>
        </w:trPr>
        <w:tc>
          <w:tcPr>
            <w:tcW w:type="dxa" w:w="1845"/>
            <w:tcBorders>
              <w:top w:val="single" w:color="ffffff" w:sz="6" w:space="0" w:shadow="0" w:frame="0"/>
              <w:left w:val="single" w:color="ffffff" w:sz="6" w:space="0" w:shadow="0" w:frame="0"/>
              <w:bottom w:val="single" w:color="ffffff" w:sz="6" w:space="0" w:shadow="0" w:frame="0"/>
              <w:right w:val="single" w:color="ffffff" w:sz="6" w:space="0" w:shadow="0" w:frame="0"/>
            </w:tcBorders>
            <w:shd w:val="clear" w:color="auto" w:fill="99ccff"/>
            <w:tcMar>
              <w:top w:type="dxa" w:w="80"/>
              <w:left w:type="dxa" w:w="80"/>
              <w:bottom w:type="dxa" w:w="80"/>
              <w:right w:type="dxa" w:w="80"/>
            </w:tcMar>
            <w:vAlign w:val="center"/>
          </w:tcPr>
          <w:p>
            <w:pPr>
              <w:pStyle w:val="Normal"/>
              <w:spacing w:before="240" w:after="240"/>
              <w:jc w:val="right"/>
            </w:pPr>
            <w:r>
              <w:rPr>
                <w:rFonts w:ascii="Arial"/>
                <w:i w:val="1"/>
                <w:iCs w:val="1"/>
                <w:caps w:val="0"/>
                <w:smallCaps w:val="0"/>
                <w:strike w:val="0"/>
                <w:dstrike w:val="0"/>
                <w:outline w:val="0"/>
                <w:color w:val="000000"/>
                <w:spacing w:val="0"/>
                <w:kern w:val="0"/>
                <w:position w:val="0"/>
                <w:sz w:val="19"/>
                <w:szCs w:val="19"/>
                <w:u w:val="none" w:color="000000"/>
                <w:vertAlign w:val="baseline"/>
                <w:rtl w:val="0"/>
                <w:lang w:val="it-IT"/>
              </w:rPr>
              <w:t>ricavi da valorizzazione RD</w:t>
            </w:r>
          </w:p>
        </w:tc>
        <w:tc>
          <w:tcPr>
            <w:tcW w:type="dxa" w:w="1134"/>
            <w:tcBorders>
              <w:top w:val="single" w:color="ffffff" w:sz="6" w:space="0" w:shadow="0" w:frame="0"/>
              <w:left w:val="single" w:color="ffffff" w:sz="6" w:space="0" w:shadow="0" w:frame="0"/>
              <w:bottom w:val="single" w:color="ffffff" w:sz="6" w:space="0" w:shadow="0" w:frame="0"/>
              <w:right w:val="single" w:color="ffffff" w:sz="6" w:space="0" w:shadow="0" w:frame="0"/>
            </w:tcBorders>
            <w:shd w:val="clear" w:color="auto" w:fill="99ccff"/>
            <w:tcMar>
              <w:top w:type="dxa" w:w="80"/>
              <w:left w:type="dxa" w:w="80"/>
              <w:bottom w:type="dxa" w:w="80"/>
              <w:right w:type="dxa" w:w="80"/>
            </w:tcMar>
            <w:vAlign w:val="center"/>
          </w:tcPr>
          <w:p>
            <w:pPr>
              <w:pStyle w:val="Normal"/>
              <w:spacing w:before="240" w:after="240"/>
              <w:jc w:val="center"/>
            </w:pPr>
            <w:r>
              <w:rPr>
                <w:rFonts w:ascii="Arial"/>
                <w:i w:val="1"/>
                <w:iCs w:val="1"/>
                <w:caps w:val="0"/>
                <w:smallCaps w:val="0"/>
                <w:strike w:val="0"/>
                <w:dstrike w:val="0"/>
                <w:outline w:val="0"/>
                <w:color w:val="000000"/>
                <w:spacing w:val="0"/>
                <w:kern w:val="0"/>
                <w:position w:val="0"/>
                <w:sz w:val="19"/>
                <w:szCs w:val="19"/>
                <w:u w:val="none" w:color="000000"/>
                <w:vertAlign w:val="baseline"/>
                <w:rtl w:val="0"/>
                <w:lang w:val="it-IT"/>
              </w:rPr>
              <w:t>-10,9</w:t>
            </w:r>
          </w:p>
        </w:tc>
        <w:tc>
          <w:tcPr>
            <w:tcW w:type="dxa" w:w="961"/>
            <w:tcBorders>
              <w:top w:val="single" w:color="ffffff" w:sz="6" w:space="0" w:shadow="0" w:frame="0"/>
              <w:left w:val="single" w:color="ffffff" w:sz="6" w:space="0" w:shadow="0" w:frame="0"/>
              <w:bottom w:val="single" w:color="ffffff" w:sz="6" w:space="0" w:shadow="0" w:frame="0"/>
              <w:right w:val="single" w:color="ffffff" w:sz="6" w:space="0" w:shadow="0" w:frame="0"/>
            </w:tcBorders>
            <w:shd w:val="clear" w:color="auto" w:fill="99ccff"/>
            <w:tcMar>
              <w:top w:type="dxa" w:w="80"/>
              <w:left w:type="dxa" w:w="80"/>
              <w:bottom w:type="dxa" w:w="80"/>
              <w:right w:type="dxa" w:w="80"/>
            </w:tcMar>
            <w:vAlign w:val="center"/>
          </w:tcPr>
          <w:p>
            <w:pPr>
              <w:pStyle w:val="Normal"/>
              <w:spacing w:before="240" w:after="240"/>
              <w:jc w:val="center"/>
            </w:pPr>
            <w:r>
              <w:rPr>
                <w:rFonts w:ascii="Arial"/>
                <w:i w:val="1"/>
                <w:iCs w:val="1"/>
                <w:caps w:val="0"/>
                <w:smallCaps w:val="0"/>
                <w:strike w:val="0"/>
                <w:dstrike w:val="0"/>
                <w:outline w:val="0"/>
                <w:color w:val="000000"/>
                <w:spacing w:val="0"/>
                <w:kern w:val="0"/>
                <w:position w:val="0"/>
                <w:sz w:val="19"/>
                <w:szCs w:val="19"/>
                <w:u w:val="none" w:color="000000"/>
                <w:vertAlign w:val="baseline"/>
                <w:rtl w:val="0"/>
                <w:lang w:val="it-IT"/>
              </w:rPr>
              <w:t>-17,6</w:t>
            </w:r>
          </w:p>
        </w:tc>
        <w:tc>
          <w:tcPr>
            <w:tcW w:type="dxa" w:w="1327"/>
            <w:tcBorders>
              <w:top w:val="single" w:color="ffffff" w:sz="6" w:space="0" w:shadow="0" w:frame="0"/>
              <w:left w:val="single" w:color="ffffff" w:sz="6" w:space="0" w:shadow="0" w:frame="0"/>
              <w:bottom w:val="single" w:color="ffffff" w:sz="6" w:space="0" w:shadow="0" w:frame="0"/>
              <w:right w:val="single" w:color="ffffff" w:sz="6" w:space="0" w:shadow="0" w:frame="0"/>
            </w:tcBorders>
            <w:shd w:val="clear" w:color="auto" w:fill="99ccff"/>
            <w:tcMar>
              <w:top w:type="dxa" w:w="80"/>
              <w:left w:type="dxa" w:w="80"/>
              <w:bottom w:type="dxa" w:w="80"/>
              <w:right w:type="dxa" w:w="80"/>
            </w:tcMar>
            <w:vAlign w:val="center"/>
          </w:tcPr>
          <w:p>
            <w:pPr>
              <w:pStyle w:val="Normal"/>
              <w:spacing w:before="240" w:after="240"/>
              <w:jc w:val="center"/>
            </w:pPr>
            <w:r>
              <w:rPr>
                <w:rFonts w:ascii="Arial"/>
                <w:i w:val="1"/>
                <w:iCs w:val="1"/>
                <w:caps w:val="0"/>
                <w:smallCaps w:val="0"/>
                <w:strike w:val="0"/>
                <w:dstrike w:val="0"/>
                <w:outline w:val="0"/>
                <w:color w:val="000000"/>
                <w:spacing w:val="0"/>
                <w:kern w:val="0"/>
                <w:position w:val="0"/>
                <w:sz w:val="19"/>
                <w:szCs w:val="19"/>
                <w:u w:val="none" w:color="000000"/>
                <w:vertAlign w:val="baseline"/>
                <w:rtl w:val="0"/>
                <w:lang w:val="it-IT"/>
              </w:rPr>
              <w:t>-17,6</w:t>
            </w:r>
          </w:p>
        </w:tc>
        <w:tc>
          <w:tcPr>
            <w:tcW w:type="dxa" w:w="1243"/>
            <w:tcBorders>
              <w:top w:val="single" w:color="ffffff" w:sz="6" w:space="0" w:shadow="0" w:frame="0"/>
              <w:left w:val="single" w:color="ffffff" w:sz="6" w:space="0" w:shadow="0" w:frame="0"/>
              <w:bottom w:val="single" w:color="ffffff" w:sz="6" w:space="0" w:shadow="0" w:frame="0"/>
              <w:right w:val="single" w:color="ffffff" w:sz="6" w:space="0" w:shadow="0" w:frame="0"/>
            </w:tcBorders>
            <w:shd w:val="clear" w:color="auto" w:fill="99ccff"/>
            <w:tcMar>
              <w:top w:type="dxa" w:w="80"/>
              <w:left w:type="dxa" w:w="80"/>
              <w:bottom w:type="dxa" w:w="80"/>
              <w:right w:type="dxa" w:w="80"/>
            </w:tcMar>
            <w:vAlign w:val="center"/>
          </w:tcPr>
          <w:p>
            <w:pPr>
              <w:pStyle w:val="Normal"/>
              <w:spacing w:before="240" w:after="240"/>
              <w:jc w:val="center"/>
            </w:pPr>
            <w:r>
              <w:rPr>
                <w:rFonts w:ascii="Arial"/>
                <w:i w:val="1"/>
                <w:iCs w:val="1"/>
                <w:caps w:val="0"/>
                <w:smallCaps w:val="0"/>
                <w:strike w:val="0"/>
                <w:dstrike w:val="0"/>
                <w:outline w:val="0"/>
                <w:color w:val="000000"/>
                <w:spacing w:val="0"/>
                <w:kern w:val="0"/>
                <w:position w:val="0"/>
                <w:sz w:val="19"/>
                <w:szCs w:val="19"/>
                <w:u w:val="none" w:color="000000"/>
                <w:vertAlign w:val="baseline"/>
                <w:rtl w:val="0"/>
                <w:lang w:val="it-IT"/>
              </w:rPr>
              <w:t>-14,7</w:t>
            </w:r>
          </w:p>
        </w:tc>
        <w:tc>
          <w:tcPr>
            <w:tcW w:type="dxa" w:w="1153"/>
            <w:tcBorders>
              <w:top w:val="single" w:color="ffffff" w:sz="6" w:space="0" w:shadow="0" w:frame="0"/>
              <w:left w:val="single" w:color="ffffff" w:sz="6" w:space="0" w:shadow="0" w:frame="0"/>
              <w:bottom w:val="single" w:color="ffffff" w:sz="6" w:space="0" w:shadow="0" w:frame="0"/>
              <w:right w:val="single" w:color="ffffff" w:sz="6" w:space="0" w:shadow="0" w:frame="0"/>
            </w:tcBorders>
            <w:shd w:val="clear" w:color="auto" w:fill="99ccff"/>
            <w:tcMar>
              <w:top w:type="dxa" w:w="80"/>
              <w:left w:type="dxa" w:w="80"/>
              <w:bottom w:type="dxa" w:w="80"/>
              <w:right w:type="dxa" w:w="80"/>
            </w:tcMar>
            <w:vAlign w:val="center"/>
          </w:tcPr>
          <w:p>
            <w:pPr>
              <w:pStyle w:val="Normal"/>
              <w:spacing w:before="240" w:after="240"/>
              <w:jc w:val="center"/>
            </w:pPr>
            <w:r>
              <w:rPr>
                <w:rFonts w:ascii="Arial"/>
                <w:i w:val="1"/>
                <w:iCs w:val="1"/>
                <w:caps w:val="0"/>
                <w:smallCaps w:val="0"/>
                <w:strike w:val="0"/>
                <w:dstrike w:val="0"/>
                <w:outline w:val="0"/>
                <w:color w:val="000000"/>
                <w:spacing w:val="0"/>
                <w:kern w:val="0"/>
                <w:position w:val="0"/>
                <w:sz w:val="19"/>
                <w:szCs w:val="19"/>
                <w:u w:val="none" w:color="000000"/>
                <w:vertAlign w:val="baseline"/>
                <w:rtl w:val="0"/>
                <w:lang w:val="it-IT"/>
              </w:rPr>
              <w:t>-19,8</w:t>
            </w:r>
          </w:p>
        </w:tc>
        <w:tc>
          <w:tcPr>
            <w:tcW w:type="dxa" w:w="984"/>
            <w:tcBorders>
              <w:top w:val="single" w:color="ffffff" w:sz="6" w:space="0" w:shadow="0" w:frame="0"/>
              <w:left w:val="single" w:color="ffffff" w:sz="6" w:space="0" w:shadow="0" w:frame="0"/>
              <w:bottom w:val="single" w:color="ffffff" w:sz="6" w:space="0" w:shadow="0" w:frame="0"/>
              <w:right w:val="single" w:color="ffffff" w:sz="6" w:space="0" w:shadow="0" w:frame="0"/>
            </w:tcBorders>
            <w:shd w:val="clear" w:color="auto" w:fill="99ccff"/>
            <w:tcMar>
              <w:top w:type="dxa" w:w="80"/>
              <w:left w:type="dxa" w:w="80"/>
              <w:bottom w:type="dxa" w:w="80"/>
              <w:right w:type="dxa" w:w="80"/>
            </w:tcMar>
            <w:vAlign w:val="center"/>
          </w:tcPr>
          <w:p>
            <w:pPr>
              <w:pStyle w:val="Normal"/>
              <w:spacing w:before="240" w:after="240"/>
              <w:jc w:val="center"/>
            </w:pPr>
            <w:r>
              <w:rPr>
                <w:rFonts w:ascii="Arial"/>
                <w:caps w:val="0"/>
                <w:smallCaps w:val="0"/>
                <w:strike w:val="0"/>
                <w:dstrike w:val="0"/>
                <w:outline w:val="0"/>
                <w:color w:val="000000"/>
                <w:spacing w:val="0"/>
                <w:kern w:val="0"/>
                <w:position w:val="0"/>
                <w:sz w:val="19"/>
                <w:szCs w:val="19"/>
                <w:u w:val="none" w:color="000000"/>
                <w:vertAlign w:val="baseline"/>
                <w:rtl w:val="0"/>
                <w:lang w:val="it-IT"/>
              </w:rPr>
              <w:t>35,1%</w:t>
            </w:r>
          </w:p>
        </w:tc>
      </w:tr>
      <w:tr>
        <w:tblPrEx>
          <w:shd w:val="clear" w:color="auto" w:fill="auto"/>
        </w:tblPrEx>
        <w:trPr>
          <w:trHeight w:val="449" w:hRule="atLeast"/>
        </w:trPr>
        <w:tc>
          <w:tcPr>
            <w:tcW w:type="dxa" w:w="1845"/>
            <w:tcBorders>
              <w:top w:val="single" w:color="ffffff" w:sz="6" w:space="0" w:shadow="0" w:frame="0"/>
              <w:left w:val="single" w:color="ffffff" w:sz="6" w:space="0" w:shadow="0" w:frame="0"/>
              <w:bottom w:val="single" w:color="ffffff" w:sz="6" w:space="0" w:shadow="0" w:frame="0"/>
              <w:right w:val="single" w:color="ffffff" w:sz="6" w:space="0" w:shadow="0" w:frame="0"/>
            </w:tcBorders>
            <w:shd w:val="clear" w:color="auto" w:fill="6699cc"/>
            <w:tcMar>
              <w:top w:type="dxa" w:w="80"/>
              <w:left w:type="dxa" w:w="80"/>
              <w:bottom w:type="dxa" w:w="80"/>
              <w:right w:type="dxa" w:w="80"/>
            </w:tcMar>
            <w:vAlign w:val="center"/>
          </w:tcPr>
          <w:p>
            <w:pPr>
              <w:pStyle w:val="Normal"/>
              <w:spacing w:before="240" w:after="240"/>
            </w:pPr>
            <w:r>
              <w:rPr>
                <w:rFonts w:ascii="Arial"/>
                <w:caps w:val="0"/>
                <w:smallCaps w:val="0"/>
                <w:strike w:val="0"/>
                <w:dstrike w:val="0"/>
                <w:outline w:val="0"/>
                <w:color w:val="000000"/>
                <w:spacing w:val="0"/>
                <w:kern w:val="0"/>
                <w:position w:val="0"/>
                <w:sz w:val="19"/>
                <w:szCs w:val="19"/>
                <w:u w:val="none" w:color="000000"/>
                <w:vertAlign w:val="baseline"/>
                <w:rtl w:val="0"/>
                <w:lang w:val="it-IT"/>
              </w:rPr>
              <w:t>CARC (riscossione tariffa)</w:t>
            </w:r>
          </w:p>
        </w:tc>
        <w:tc>
          <w:tcPr>
            <w:tcW w:type="dxa" w:w="1134"/>
            <w:tcBorders>
              <w:top w:val="single" w:color="ffffff" w:sz="6" w:space="0" w:shadow="0" w:frame="0"/>
              <w:left w:val="single" w:color="ffffff" w:sz="6" w:space="0" w:shadow="0" w:frame="0"/>
              <w:bottom w:val="single" w:color="ffffff" w:sz="6" w:space="0" w:shadow="0" w:frame="0"/>
              <w:right w:val="single" w:color="ffffff" w:sz="6" w:space="0" w:shadow="0" w:frame="0"/>
            </w:tcBorders>
            <w:shd w:val="clear" w:color="auto" w:fill="6699cc"/>
            <w:tcMar>
              <w:top w:type="dxa" w:w="80"/>
              <w:left w:type="dxa" w:w="80"/>
              <w:bottom w:type="dxa" w:w="80"/>
              <w:right w:type="dxa" w:w="80"/>
            </w:tcMar>
            <w:vAlign w:val="center"/>
          </w:tcPr>
          <w:p>
            <w:pPr>
              <w:pStyle w:val="Normal"/>
              <w:spacing w:before="240" w:after="240"/>
              <w:jc w:val="center"/>
            </w:pPr>
            <w:r>
              <w:rPr>
                <w:rFonts w:ascii="Arial"/>
                <w:caps w:val="0"/>
                <w:smallCaps w:val="0"/>
                <w:strike w:val="0"/>
                <w:dstrike w:val="0"/>
                <w:outline w:val="0"/>
                <w:color w:val="000000"/>
                <w:spacing w:val="0"/>
                <w:kern w:val="0"/>
                <w:position w:val="0"/>
                <w:sz w:val="19"/>
                <w:szCs w:val="19"/>
                <w:u w:val="none" w:color="000000"/>
                <w:vertAlign w:val="baseline"/>
                <w:rtl w:val="0"/>
                <w:lang w:val="it-IT"/>
              </w:rPr>
              <w:t>16,5</w:t>
            </w:r>
          </w:p>
        </w:tc>
        <w:tc>
          <w:tcPr>
            <w:tcW w:type="dxa" w:w="961"/>
            <w:tcBorders>
              <w:top w:val="single" w:color="ffffff" w:sz="6" w:space="0" w:shadow="0" w:frame="0"/>
              <w:left w:val="single" w:color="ffffff" w:sz="6" w:space="0" w:shadow="0" w:frame="0"/>
              <w:bottom w:val="single" w:color="ffffff" w:sz="6" w:space="0" w:shadow="0" w:frame="0"/>
              <w:right w:val="single" w:color="ffffff" w:sz="6" w:space="0" w:shadow="0" w:frame="0"/>
            </w:tcBorders>
            <w:shd w:val="clear" w:color="auto" w:fill="6699cc"/>
            <w:tcMar>
              <w:top w:type="dxa" w:w="80"/>
              <w:left w:type="dxa" w:w="80"/>
              <w:bottom w:type="dxa" w:w="80"/>
              <w:right w:type="dxa" w:w="80"/>
            </w:tcMar>
            <w:vAlign w:val="center"/>
          </w:tcPr>
          <w:p>
            <w:pPr>
              <w:pStyle w:val="Normal"/>
              <w:spacing w:before="240" w:after="240"/>
              <w:jc w:val="center"/>
            </w:pPr>
            <w:r>
              <w:rPr>
                <w:rFonts w:ascii="Arial"/>
                <w:caps w:val="0"/>
                <w:smallCaps w:val="0"/>
                <w:strike w:val="0"/>
                <w:dstrike w:val="0"/>
                <w:outline w:val="0"/>
                <w:color w:val="000000"/>
                <w:spacing w:val="0"/>
                <w:kern w:val="0"/>
                <w:position w:val="0"/>
                <w:sz w:val="19"/>
                <w:szCs w:val="19"/>
                <w:u w:val="none" w:color="000000"/>
                <w:vertAlign w:val="baseline"/>
                <w:rtl w:val="0"/>
                <w:lang w:val="it-IT"/>
              </w:rPr>
              <w:t>12,8</w:t>
            </w:r>
          </w:p>
        </w:tc>
        <w:tc>
          <w:tcPr>
            <w:tcW w:type="dxa" w:w="1327"/>
            <w:tcBorders>
              <w:top w:val="single" w:color="ffffff" w:sz="6" w:space="0" w:shadow="0" w:frame="0"/>
              <w:left w:val="single" w:color="ffffff" w:sz="6" w:space="0" w:shadow="0" w:frame="0"/>
              <w:bottom w:val="single" w:color="ffffff" w:sz="6" w:space="0" w:shadow="0" w:frame="0"/>
              <w:right w:val="single" w:color="ffffff" w:sz="6" w:space="0" w:shadow="0" w:frame="0"/>
            </w:tcBorders>
            <w:shd w:val="clear" w:color="auto" w:fill="6699cc"/>
            <w:tcMar>
              <w:top w:type="dxa" w:w="80"/>
              <w:left w:type="dxa" w:w="80"/>
              <w:bottom w:type="dxa" w:w="80"/>
              <w:right w:type="dxa" w:w="80"/>
            </w:tcMar>
            <w:vAlign w:val="center"/>
          </w:tcPr>
          <w:p>
            <w:pPr>
              <w:pStyle w:val="Normal"/>
              <w:spacing w:before="240" w:after="240"/>
              <w:jc w:val="center"/>
            </w:pPr>
            <w:r>
              <w:rPr>
                <w:rFonts w:ascii="Arial"/>
                <w:caps w:val="0"/>
                <w:smallCaps w:val="0"/>
                <w:strike w:val="0"/>
                <w:dstrike w:val="0"/>
                <w:outline w:val="0"/>
                <w:color w:val="000000"/>
                <w:spacing w:val="0"/>
                <w:kern w:val="0"/>
                <w:position w:val="0"/>
                <w:sz w:val="19"/>
                <w:szCs w:val="19"/>
                <w:u w:val="none" w:color="000000"/>
                <w:vertAlign w:val="baseline"/>
                <w:rtl w:val="0"/>
                <w:lang w:val="it-IT"/>
              </w:rPr>
              <w:t>12,1</w:t>
            </w:r>
          </w:p>
        </w:tc>
        <w:tc>
          <w:tcPr>
            <w:tcW w:type="dxa" w:w="1243"/>
            <w:tcBorders>
              <w:top w:val="single" w:color="ffffff" w:sz="6" w:space="0" w:shadow="0" w:frame="0"/>
              <w:left w:val="single" w:color="ffffff" w:sz="6" w:space="0" w:shadow="0" w:frame="0"/>
              <w:bottom w:val="single" w:color="ffffff" w:sz="6" w:space="0" w:shadow="0" w:frame="0"/>
              <w:right w:val="single" w:color="ffffff" w:sz="6" w:space="0" w:shadow="0" w:frame="0"/>
            </w:tcBorders>
            <w:shd w:val="clear" w:color="auto" w:fill="6699cc"/>
            <w:tcMar>
              <w:top w:type="dxa" w:w="80"/>
              <w:left w:type="dxa" w:w="80"/>
              <w:bottom w:type="dxa" w:w="80"/>
              <w:right w:type="dxa" w:w="80"/>
            </w:tcMar>
            <w:vAlign w:val="center"/>
          </w:tcPr>
          <w:p>
            <w:pPr>
              <w:pStyle w:val="Normal"/>
              <w:spacing w:before="240" w:after="240"/>
              <w:jc w:val="center"/>
            </w:pPr>
            <w:r>
              <w:rPr>
                <w:rFonts w:ascii="Arial"/>
                <w:caps w:val="0"/>
                <w:smallCaps w:val="0"/>
                <w:strike w:val="0"/>
                <w:dstrike w:val="0"/>
                <w:outline w:val="0"/>
                <w:color w:val="000000"/>
                <w:spacing w:val="0"/>
                <w:kern w:val="0"/>
                <w:position w:val="0"/>
                <w:sz w:val="19"/>
                <w:szCs w:val="19"/>
                <w:u w:val="none" w:color="000000"/>
                <w:vertAlign w:val="baseline"/>
                <w:rtl w:val="0"/>
                <w:lang w:val="it-IT"/>
              </w:rPr>
              <w:t>-</w:t>
            </w:r>
          </w:p>
        </w:tc>
        <w:tc>
          <w:tcPr>
            <w:tcW w:type="dxa" w:w="1153"/>
            <w:tcBorders>
              <w:top w:val="single" w:color="ffffff" w:sz="6" w:space="0" w:shadow="0" w:frame="0"/>
              <w:left w:val="single" w:color="ffffff" w:sz="6" w:space="0" w:shadow="0" w:frame="0"/>
              <w:bottom w:val="single" w:color="ffffff" w:sz="6" w:space="0" w:shadow="0" w:frame="0"/>
              <w:right w:val="single" w:color="ffffff" w:sz="6" w:space="0" w:shadow="0" w:frame="0"/>
            </w:tcBorders>
            <w:shd w:val="clear" w:color="auto" w:fill="6699cc"/>
            <w:tcMar>
              <w:top w:type="dxa" w:w="80"/>
              <w:left w:type="dxa" w:w="80"/>
              <w:bottom w:type="dxa" w:w="80"/>
              <w:right w:type="dxa" w:w="80"/>
            </w:tcMar>
            <w:vAlign w:val="center"/>
          </w:tcPr>
          <w:p>
            <w:pPr>
              <w:pStyle w:val="Normal"/>
              <w:spacing w:before="240" w:after="240"/>
              <w:jc w:val="center"/>
            </w:pPr>
            <w:r>
              <w:rPr>
                <w:rFonts w:ascii="Arial"/>
                <w:caps w:val="0"/>
                <w:smallCaps w:val="0"/>
                <w:strike w:val="0"/>
                <w:dstrike w:val="0"/>
                <w:outline w:val="0"/>
                <w:color w:val="000000"/>
                <w:spacing w:val="0"/>
                <w:kern w:val="0"/>
                <w:position w:val="0"/>
                <w:sz w:val="19"/>
                <w:szCs w:val="19"/>
                <w:u w:val="none" w:color="000000"/>
                <w:vertAlign w:val="baseline"/>
                <w:rtl w:val="0"/>
                <w:lang w:val="it-IT"/>
              </w:rPr>
              <w:t>16,7</w:t>
            </w:r>
          </w:p>
        </w:tc>
        <w:tc>
          <w:tcPr>
            <w:tcW w:type="dxa" w:w="984"/>
            <w:tcBorders>
              <w:top w:val="single" w:color="ffffff" w:sz="6" w:space="0" w:shadow="0" w:frame="0"/>
              <w:left w:val="single" w:color="ffffff" w:sz="6" w:space="0" w:shadow="0" w:frame="0"/>
              <w:bottom w:val="single" w:color="ffffff" w:sz="6" w:space="0" w:shadow="0" w:frame="0"/>
              <w:right w:val="single" w:color="ffffff" w:sz="6" w:space="0" w:shadow="0" w:frame="0"/>
            </w:tcBorders>
            <w:shd w:val="clear" w:color="auto" w:fill="6699cc"/>
            <w:tcMar>
              <w:top w:type="dxa" w:w="80"/>
              <w:left w:type="dxa" w:w="80"/>
              <w:bottom w:type="dxa" w:w="80"/>
              <w:right w:type="dxa" w:w="80"/>
            </w:tcMar>
            <w:vAlign w:val="center"/>
          </w:tcPr>
          <w:p>
            <w:pPr>
              <w:pStyle w:val="Normal"/>
              <w:spacing w:before="240" w:after="240"/>
              <w:jc w:val="center"/>
            </w:pPr>
            <w:r>
              <w:rPr>
                <w:rFonts w:ascii="Arial"/>
                <w:caps w:val="0"/>
                <w:smallCaps w:val="0"/>
                <w:strike w:val="0"/>
                <w:dstrike w:val="0"/>
                <w:outline w:val="0"/>
                <w:color w:val="000000"/>
                <w:spacing w:val="0"/>
                <w:kern w:val="0"/>
                <w:position w:val="0"/>
                <w:sz w:val="19"/>
                <w:szCs w:val="19"/>
                <w:u w:val="none" w:color="000000"/>
                <w:vertAlign w:val="baseline"/>
                <w:rtl w:val="0"/>
                <w:lang w:val="it-IT"/>
              </w:rPr>
              <w:t>100,0%</w:t>
            </w:r>
          </w:p>
        </w:tc>
      </w:tr>
      <w:tr>
        <w:tblPrEx>
          <w:shd w:val="clear" w:color="auto" w:fill="auto"/>
        </w:tblPrEx>
        <w:trPr>
          <w:trHeight w:val="669" w:hRule="atLeast"/>
        </w:trPr>
        <w:tc>
          <w:tcPr>
            <w:tcW w:type="dxa" w:w="1845"/>
            <w:tcBorders>
              <w:top w:val="single" w:color="ffffff" w:sz="6" w:space="0" w:shadow="0" w:frame="0"/>
              <w:left w:val="single" w:color="ffffff" w:sz="6" w:space="0" w:shadow="0" w:frame="0"/>
              <w:bottom w:val="single" w:color="ffffff" w:sz="6" w:space="0" w:shadow="0" w:frame="0"/>
              <w:right w:val="single" w:color="ffffff" w:sz="6" w:space="0" w:shadow="0" w:frame="0"/>
            </w:tcBorders>
            <w:shd w:val="clear" w:color="auto" w:fill="99ccff"/>
            <w:tcMar>
              <w:top w:type="dxa" w:w="80"/>
              <w:left w:type="dxa" w:w="80"/>
              <w:bottom w:type="dxa" w:w="80"/>
              <w:right w:type="dxa" w:w="80"/>
            </w:tcMar>
            <w:vAlign w:val="center"/>
          </w:tcPr>
          <w:p>
            <w:pPr>
              <w:pStyle w:val="Normal"/>
              <w:spacing w:before="240" w:after="240"/>
            </w:pPr>
            <w:r>
              <w:rPr>
                <w:rFonts w:ascii="Arial"/>
                <w:caps w:val="0"/>
                <w:smallCaps w:val="0"/>
                <w:strike w:val="0"/>
                <w:dstrike w:val="0"/>
                <w:outline w:val="0"/>
                <w:color w:val="000000"/>
                <w:spacing w:val="0"/>
                <w:kern w:val="0"/>
                <w:position w:val="0"/>
                <w:sz w:val="19"/>
                <w:szCs w:val="19"/>
                <w:u w:val="none" w:color="000000"/>
                <w:vertAlign w:val="baseline"/>
                <w:rtl w:val="0"/>
                <w:lang w:val="it-IT"/>
              </w:rPr>
              <w:t>CGG (costi generali di gestione)</w:t>
            </w:r>
          </w:p>
        </w:tc>
        <w:tc>
          <w:tcPr>
            <w:tcW w:type="dxa" w:w="1134"/>
            <w:vMerge w:val="restart"/>
            <w:tcBorders>
              <w:top w:val="single" w:color="ffffff" w:sz="6" w:space="0" w:shadow="0" w:frame="0"/>
              <w:left w:val="single" w:color="ffffff" w:sz="6" w:space="0" w:shadow="0" w:frame="0"/>
              <w:bottom w:val="dotted" w:color="ffffff" w:sz="6" w:space="0" w:shadow="0" w:frame="0"/>
              <w:right w:val="single" w:color="ffffff" w:sz="6" w:space="0" w:shadow="0" w:frame="0"/>
            </w:tcBorders>
            <w:shd w:val="clear" w:color="auto" w:fill="99ccff"/>
            <w:tcMar>
              <w:top w:type="dxa" w:w="80"/>
              <w:left w:type="dxa" w:w="80"/>
              <w:bottom w:type="dxa" w:w="80"/>
              <w:right w:type="dxa" w:w="80"/>
            </w:tcMar>
            <w:vAlign w:val="center"/>
          </w:tcPr>
          <w:p>
            <w:pPr>
              <w:pStyle w:val="Normal"/>
              <w:spacing w:before="240" w:after="240"/>
              <w:jc w:val="center"/>
            </w:pPr>
            <w:r>
              <w:rPr>
                <w:rFonts w:ascii="Arial"/>
                <w:caps w:val="0"/>
                <w:smallCaps w:val="0"/>
                <w:strike w:val="0"/>
                <w:dstrike w:val="0"/>
                <w:outline w:val="0"/>
                <w:color w:val="000000"/>
                <w:spacing w:val="0"/>
                <w:kern w:val="0"/>
                <w:position w:val="0"/>
                <w:sz w:val="19"/>
                <w:szCs w:val="19"/>
                <w:u w:val="none" w:color="000000"/>
                <w:vertAlign w:val="baseline"/>
                <w:rtl w:val="0"/>
                <w:lang w:val="it-IT"/>
              </w:rPr>
              <w:t>7,1</w:t>
            </w:r>
          </w:p>
        </w:tc>
        <w:tc>
          <w:tcPr>
            <w:tcW w:type="dxa" w:w="961"/>
            <w:tcBorders>
              <w:top w:val="single" w:color="ffffff" w:sz="6" w:space="0" w:shadow="0" w:frame="0"/>
              <w:left w:val="single" w:color="ffffff" w:sz="6" w:space="0" w:shadow="0" w:frame="0"/>
              <w:bottom w:val="single" w:color="ffffff" w:sz="6" w:space="0" w:shadow="0" w:frame="0"/>
              <w:right w:val="single" w:color="ffffff" w:sz="6" w:space="0" w:shadow="0" w:frame="0"/>
            </w:tcBorders>
            <w:shd w:val="clear" w:color="auto" w:fill="99ccff"/>
            <w:tcMar>
              <w:top w:type="dxa" w:w="80"/>
              <w:left w:type="dxa" w:w="80"/>
              <w:bottom w:type="dxa" w:w="80"/>
              <w:right w:type="dxa" w:w="80"/>
            </w:tcMar>
            <w:vAlign w:val="center"/>
          </w:tcPr>
          <w:p>
            <w:pPr>
              <w:pStyle w:val="Normal"/>
              <w:spacing w:before="240" w:after="240"/>
              <w:jc w:val="center"/>
            </w:pPr>
            <w:r>
              <w:rPr>
                <w:rFonts w:ascii="Arial"/>
                <w:caps w:val="0"/>
                <w:smallCaps w:val="0"/>
                <w:strike w:val="0"/>
                <w:dstrike w:val="0"/>
                <w:outline w:val="0"/>
                <w:color w:val="000000"/>
                <w:spacing w:val="0"/>
                <w:kern w:val="0"/>
                <w:position w:val="0"/>
                <w:sz w:val="19"/>
                <w:szCs w:val="19"/>
                <w:u w:val="none" w:color="000000"/>
                <w:vertAlign w:val="baseline"/>
                <w:rtl w:val="0"/>
                <w:lang w:val="it-IT"/>
              </w:rPr>
              <w:t>26,1</w:t>
            </w:r>
          </w:p>
        </w:tc>
        <w:tc>
          <w:tcPr>
            <w:tcW w:type="dxa" w:w="1327"/>
            <w:tcBorders>
              <w:top w:val="single" w:color="ffffff" w:sz="6" w:space="0" w:shadow="0" w:frame="0"/>
              <w:left w:val="single" w:color="ffffff" w:sz="6" w:space="0" w:shadow="0" w:frame="0"/>
              <w:bottom w:val="single" w:color="ffffff" w:sz="6" w:space="0" w:shadow="0" w:frame="0"/>
              <w:right w:val="single" w:color="ffffff" w:sz="6" w:space="0" w:shadow="0" w:frame="0"/>
            </w:tcBorders>
            <w:shd w:val="clear" w:color="auto" w:fill="99ccff"/>
            <w:tcMar>
              <w:top w:type="dxa" w:w="80"/>
              <w:left w:type="dxa" w:w="80"/>
              <w:bottom w:type="dxa" w:w="80"/>
              <w:right w:type="dxa" w:w="80"/>
            </w:tcMar>
            <w:vAlign w:val="center"/>
          </w:tcPr>
          <w:p>
            <w:pPr>
              <w:pStyle w:val="Normal"/>
              <w:spacing w:before="240" w:after="240"/>
              <w:jc w:val="center"/>
            </w:pPr>
            <w:r>
              <w:rPr>
                <w:rFonts w:ascii="Arial"/>
                <w:caps w:val="0"/>
                <w:smallCaps w:val="0"/>
                <w:strike w:val="0"/>
                <w:dstrike w:val="0"/>
                <w:outline w:val="0"/>
                <w:color w:val="000000"/>
                <w:spacing w:val="0"/>
                <w:kern w:val="0"/>
                <w:position w:val="0"/>
                <w:sz w:val="19"/>
                <w:szCs w:val="19"/>
                <w:u w:val="none" w:color="000000"/>
                <w:vertAlign w:val="baseline"/>
                <w:rtl w:val="0"/>
                <w:lang w:val="it-IT"/>
              </w:rPr>
              <w:t>24,9</w:t>
            </w:r>
          </w:p>
        </w:tc>
        <w:tc>
          <w:tcPr>
            <w:tcW w:type="dxa" w:w="1243"/>
            <w:vMerge w:val="restart"/>
            <w:tcBorders>
              <w:top w:val="single" w:color="ffffff" w:sz="6" w:space="0" w:shadow="0" w:frame="0"/>
              <w:left w:val="single" w:color="ffffff" w:sz="6" w:space="0" w:shadow="0" w:frame="0"/>
              <w:bottom w:val="dotted" w:color="ffffff" w:sz="6" w:space="0" w:shadow="0" w:frame="0"/>
              <w:right w:val="single" w:color="ffffff" w:sz="6" w:space="0" w:shadow="0" w:frame="0"/>
            </w:tcBorders>
            <w:shd w:val="clear" w:color="auto" w:fill="99ccff"/>
            <w:tcMar>
              <w:top w:type="dxa" w:w="80"/>
              <w:left w:type="dxa" w:w="80"/>
              <w:bottom w:type="dxa" w:w="80"/>
              <w:right w:type="dxa" w:w="80"/>
            </w:tcMar>
            <w:vAlign w:val="center"/>
          </w:tcPr>
          <w:p>
            <w:pPr>
              <w:pStyle w:val="Normal"/>
              <w:spacing w:before="240" w:after="240"/>
              <w:jc w:val="center"/>
            </w:pPr>
            <w:r>
              <w:rPr>
                <w:rFonts w:ascii="Arial"/>
                <w:caps w:val="0"/>
                <w:smallCaps w:val="0"/>
                <w:strike w:val="0"/>
                <w:dstrike w:val="0"/>
                <w:outline w:val="0"/>
                <w:color w:val="000000"/>
                <w:spacing w:val="0"/>
                <w:kern w:val="0"/>
                <w:position w:val="0"/>
                <w:sz w:val="19"/>
                <w:szCs w:val="19"/>
                <w:u w:val="none" w:color="000000"/>
                <w:vertAlign w:val="baseline"/>
                <w:rtl w:val="0"/>
                <w:lang w:val="it-IT"/>
              </w:rPr>
              <w:t>7,3</w:t>
            </w:r>
          </w:p>
        </w:tc>
        <w:tc>
          <w:tcPr>
            <w:tcW w:type="dxa" w:w="1153"/>
            <w:tcBorders>
              <w:top w:val="single" w:color="ffffff" w:sz="6" w:space="0" w:shadow="0" w:frame="0"/>
              <w:left w:val="single" w:color="ffffff" w:sz="6" w:space="0" w:shadow="0" w:frame="0"/>
              <w:bottom w:val="single" w:color="ffffff" w:sz="6" w:space="0" w:shadow="0" w:frame="0"/>
              <w:right w:val="single" w:color="ffffff" w:sz="6" w:space="0" w:shadow="0" w:frame="0"/>
            </w:tcBorders>
            <w:shd w:val="clear" w:color="auto" w:fill="99ccff"/>
            <w:tcMar>
              <w:top w:type="dxa" w:w="80"/>
              <w:left w:type="dxa" w:w="80"/>
              <w:bottom w:type="dxa" w:w="80"/>
              <w:right w:type="dxa" w:w="80"/>
            </w:tcMar>
            <w:vAlign w:val="center"/>
          </w:tcPr>
          <w:p>
            <w:pPr>
              <w:pStyle w:val="Normal"/>
              <w:spacing w:before="240" w:after="240"/>
              <w:jc w:val="center"/>
            </w:pPr>
            <w:r>
              <w:rPr>
                <w:rFonts w:ascii="Arial"/>
                <w:caps w:val="0"/>
                <w:smallCaps w:val="0"/>
                <w:strike w:val="0"/>
                <w:dstrike w:val="0"/>
                <w:outline w:val="0"/>
                <w:color w:val="000000"/>
                <w:spacing w:val="0"/>
                <w:kern w:val="0"/>
                <w:position w:val="0"/>
                <w:sz w:val="19"/>
                <w:szCs w:val="19"/>
                <w:u w:val="none" w:color="000000"/>
                <w:vertAlign w:val="baseline"/>
                <w:rtl w:val="0"/>
                <w:lang w:val="it-IT"/>
              </w:rPr>
              <w:t>24,6</w:t>
            </w:r>
          </w:p>
        </w:tc>
        <w:tc>
          <w:tcPr>
            <w:tcW w:type="dxa" w:w="984"/>
            <w:vMerge w:val="restart"/>
            <w:tcBorders>
              <w:top w:val="single" w:color="ffffff" w:sz="6" w:space="0" w:shadow="0" w:frame="0"/>
              <w:left w:val="single" w:color="ffffff" w:sz="6" w:space="0" w:shadow="0" w:frame="0"/>
              <w:bottom w:val="dotted" w:color="ffffff" w:sz="6" w:space="0" w:shadow="0" w:frame="0"/>
              <w:right w:val="single" w:color="ffffff" w:sz="6" w:space="0" w:shadow="0" w:frame="0"/>
            </w:tcBorders>
            <w:shd w:val="clear" w:color="auto" w:fill="99ccff"/>
            <w:tcMar>
              <w:top w:type="dxa" w:w="80"/>
              <w:left w:type="dxa" w:w="80"/>
              <w:bottom w:type="dxa" w:w="80"/>
              <w:right w:type="dxa" w:w="80"/>
            </w:tcMar>
            <w:vAlign w:val="center"/>
          </w:tcPr>
          <w:p>
            <w:pPr>
              <w:pStyle w:val="Normal"/>
              <w:spacing w:before="240" w:after="240"/>
              <w:jc w:val="center"/>
            </w:pPr>
            <w:r>
              <w:rPr>
                <w:rFonts w:ascii="Arial"/>
                <w:caps w:val="0"/>
                <w:smallCaps w:val="0"/>
                <w:strike w:val="0"/>
                <w:dstrike w:val="0"/>
                <w:outline w:val="0"/>
                <w:color w:val="000000"/>
                <w:spacing w:val="0"/>
                <w:kern w:val="0"/>
                <w:position w:val="0"/>
                <w:sz w:val="19"/>
                <w:szCs w:val="19"/>
                <w:u w:val="none" w:color="000000"/>
                <w:vertAlign w:val="baseline"/>
                <w:rtl w:val="0"/>
                <w:lang w:val="it-IT"/>
              </w:rPr>
              <w:t>1.173,2%</w:t>
            </w:r>
          </w:p>
        </w:tc>
      </w:tr>
      <w:tr>
        <w:tblPrEx>
          <w:shd w:val="clear" w:color="auto" w:fill="auto"/>
        </w:tblPrEx>
        <w:trPr>
          <w:trHeight w:val="449" w:hRule="atLeast"/>
        </w:trPr>
        <w:tc>
          <w:tcPr>
            <w:tcW w:type="dxa" w:w="1845"/>
            <w:tcBorders>
              <w:top w:val="single" w:color="ffffff" w:sz="6" w:space="0" w:shadow="0" w:frame="0"/>
              <w:left w:val="single" w:color="ffffff" w:sz="6" w:space="0" w:shadow="0" w:frame="0"/>
              <w:bottom w:val="nil"/>
              <w:right w:val="single" w:color="ffffff" w:sz="6" w:space="0" w:shadow="0" w:frame="0"/>
            </w:tcBorders>
            <w:shd w:val="clear" w:color="auto" w:fill="6699cc"/>
            <w:tcMar>
              <w:top w:type="dxa" w:w="80"/>
              <w:left w:type="dxa" w:w="80"/>
              <w:bottom w:type="dxa" w:w="80"/>
              <w:right w:type="dxa" w:w="80"/>
            </w:tcMar>
            <w:vAlign w:val="center"/>
          </w:tcPr>
          <w:p>
            <w:pPr>
              <w:pStyle w:val="Normal"/>
              <w:spacing w:before="240" w:after="240"/>
            </w:pPr>
            <w:r>
              <w:rPr>
                <w:rFonts w:ascii="Arial"/>
                <w:caps w:val="0"/>
                <w:smallCaps w:val="0"/>
                <w:strike w:val="0"/>
                <w:dstrike w:val="0"/>
                <w:outline w:val="0"/>
                <w:color w:val="000000"/>
                <w:spacing w:val="0"/>
                <w:kern w:val="0"/>
                <w:position w:val="0"/>
                <w:sz w:val="19"/>
                <w:szCs w:val="19"/>
                <w:u w:val="none" w:color="000000"/>
                <w:vertAlign w:val="baseline"/>
                <w:rtl w:val="0"/>
                <w:lang w:val="it-IT"/>
              </w:rPr>
              <w:t>CCD (costi comuni diversi)</w:t>
            </w:r>
          </w:p>
        </w:tc>
        <w:tc>
          <w:tcPr>
            <w:tcW w:type="dxa" w:w="1134"/>
            <w:vMerge w:val="continue"/>
            <w:tcBorders>
              <w:top w:val="single" w:color="ffffff" w:sz="6" w:space="0" w:shadow="0" w:frame="0"/>
              <w:left w:val="single" w:color="ffffff" w:sz="6" w:space="0" w:shadow="0" w:frame="0"/>
              <w:bottom w:val="dotted" w:color="ffffff" w:sz="6" w:space="0" w:shadow="0" w:frame="0"/>
              <w:right w:val="single" w:color="ffffff" w:sz="6" w:space="0" w:shadow="0" w:frame="0"/>
            </w:tcBorders>
            <w:shd w:val="clear" w:color="auto" w:fill="99ccff"/>
          </w:tcPr>
          <w:p/>
        </w:tc>
        <w:tc>
          <w:tcPr>
            <w:tcW w:type="dxa" w:w="961"/>
            <w:tcBorders>
              <w:top w:val="single" w:color="ffffff" w:sz="6" w:space="0" w:shadow="0" w:frame="0"/>
              <w:left w:val="single" w:color="ffffff" w:sz="6" w:space="0" w:shadow="0" w:frame="0"/>
              <w:bottom w:val="nil"/>
              <w:right w:val="single" w:color="ffffff" w:sz="6" w:space="0" w:shadow="0" w:frame="0"/>
            </w:tcBorders>
            <w:shd w:val="clear" w:color="auto" w:fill="6699cc"/>
            <w:tcMar>
              <w:top w:type="dxa" w:w="80"/>
              <w:left w:type="dxa" w:w="80"/>
              <w:bottom w:type="dxa" w:w="80"/>
              <w:right w:type="dxa" w:w="80"/>
            </w:tcMar>
            <w:vAlign w:val="center"/>
          </w:tcPr>
          <w:p>
            <w:pPr>
              <w:pStyle w:val="Normal"/>
              <w:spacing w:before="240" w:after="240"/>
              <w:jc w:val="center"/>
            </w:pPr>
            <w:r>
              <w:rPr>
                <w:rFonts w:ascii="Arial"/>
                <w:caps w:val="0"/>
                <w:smallCaps w:val="0"/>
                <w:strike w:val="0"/>
                <w:dstrike w:val="0"/>
                <w:outline w:val="0"/>
                <w:color w:val="000000"/>
                <w:spacing w:val="0"/>
                <w:kern w:val="0"/>
                <w:position w:val="0"/>
                <w:sz w:val="19"/>
                <w:szCs w:val="19"/>
                <w:u w:val="none" w:color="000000"/>
                <w:vertAlign w:val="baseline"/>
                <w:rtl w:val="0"/>
                <w:lang w:val="it-IT"/>
              </w:rPr>
              <w:t>53,4</w:t>
            </w:r>
          </w:p>
        </w:tc>
        <w:tc>
          <w:tcPr>
            <w:tcW w:type="dxa" w:w="1327"/>
            <w:tcBorders>
              <w:top w:val="single" w:color="ffffff" w:sz="6" w:space="0" w:shadow="0" w:frame="0"/>
              <w:left w:val="single" w:color="ffffff" w:sz="6" w:space="0" w:shadow="0" w:frame="0"/>
              <w:bottom w:val="nil"/>
              <w:right w:val="single" w:color="ffffff" w:sz="6" w:space="0" w:shadow="0" w:frame="0"/>
            </w:tcBorders>
            <w:shd w:val="clear" w:color="auto" w:fill="6699cc"/>
            <w:tcMar>
              <w:top w:type="dxa" w:w="80"/>
              <w:left w:type="dxa" w:w="80"/>
              <w:bottom w:type="dxa" w:w="80"/>
              <w:right w:type="dxa" w:w="80"/>
            </w:tcMar>
            <w:vAlign w:val="center"/>
          </w:tcPr>
          <w:p>
            <w:pPr>
              <w:pStyle w:val="Normal"/>
              <w:spacing w:before="240" w:after="240"/>
              <w:jc w:val="center"/>
            </w:pPr>
            <w:r>
              <w:rPr>
                <w:rFonts w:ascii="Arial"/>
                <w:caps w:val="0"/>
                <w:smallCaps w:val="0"/>
                <w:strike w:val="0"/>
                <w:dstrike w:val="0"/>
                <w:outline w:val="0"/>
                <w:color w:val="000000"/>
                <w:spacing w:val="0"/>
                <w:kern w:val="0"/>
                <w:position w:val="0"/>
                <w:sz w:val="19"/>
                <w:szCs w:val="19"/>
                <w:u w:val="none" w:color="000000"/>
                <w:vertAlign w:val="baseline"/>
                <w:rtl w:val="0"/>
                <w:lang w:val="it-IT"/>
              </w:rPr>
              <w:t>52,2</w:t>
            </w:r>
          </w:p>
        </w:tc>
        <w:tc>
          <w:tcPr>
            <w:tcW w:type="dxa" w:w="1243"/>
            <w:vMerge w:val="continue"/>
            <w:tcBorders>
              <w:top w:val="single" w:color="ffffff" w:sz="6" w:space="0" w:shadow="0" w:frame="0"/>
              <w:left w:val="single" w:color="ffffff" w:sz="6" w:space="0" w:shadow="0" w:frame="0"/>
              <w:bottom w:val="dotted" w:color="ffffff" w:sz="6" w:space="0" w:shadow="0" w:frame="0"/>
              <w:right w:val="single" w:color="ffffff" w:sz="6" w:space="0" w:shadow="0" w:frame="0"/>
            </w:tcBorders>
            <w:shd w:val="clear" w:color="auto" w:fill="99ccff"/>
          </w:tcPr>
          <w:p/>
        </w:tc>
        <w:tc>
          <w:tcPr>
            <w:tcW w:type="dxa" w:w="1153"/>
            <w:tcBorders>
              <w:top w:val="single" w:color="ffffff" w:sz="6" w:space="0" w:shadow="0" w:frame="0"/>
              <w:left w:val="single" w:color="ffffff" w:sz="6" w:space="0" w:shadow="0" w:frame="0"/>
              <w:bottom w:val="nil"/>
              <w:right w:val="single" w:color="ffffff" w:sz="6" w:space="0" w:shadow="0" w:frame="0"/>
            </w:tcBorders>
            <w:shd w:val="clear" w:color="auto" w:fill="6699cc"/>
            <w:tcMar>
              <w:top w:type="dxa" w:w="80"/>
              <w:left w:type="dxa" w:w="80"/>
              <w:bottom w:type="dxa" w:w="80"/>
              <w:right w:type="dxa" w:w="80"/>
            </w:tcMar>
            <w:vAlign w:val="center"/>
          </w:tcPr>
          <w:p>
            <w:pPr>
              <w:pStyle w:val="Normal"/>
              <w:spacing w:before="240" w:after="240"/>
              <w:jc w:val="center"/>
            </w:pPr>
            <w:r>
              <w:rPr>
                <w:rFonts w:ascii="Arial"/>
                <w:caps w:val="0"/>
                <w:smallCaps w:val="0"/>
                <w:strike w:val="0"/>
                <w:dstrike w:val="0"/>
                <w:outline w:val="0"/>
                <w:color w:val="000000"/>
                <w:spacing w:val="0"/>
                <w:kern w:val="0"/>
                <w:position w:val="0"/>
                <w:sz w:val="19"/>
                <w:szCs w:val="19"/>
                <w:u w:val="none" w:color="000000"/>
                <w:vertAlign w:val="baseline"/>
                <w:rtl w:val="0"/>
                <w:lang w:val="it-IT"/>
              </w:rPr>
              <w:t>68,0</w:t>
            </w:r>
          </w:p>
        </w:tc>
        <w:tc>
          <w:tcPr>
            <w:tcW w:type="dxa" w:w="984"/>
            <w:vMerge w:val="continue"/>
            <w:tcBorders>
              <w:top w:val="single" w:color="ffffff" w:sz="6" w:space="0" w:shadow="0" w:frame="0"/>
              <w:left w:val="single" w:color="ffffff" w:sz="6" w:space="0" w:shadow="0" w:frame="0"/>
              <w:bottom w:val="dotted" w:color="ffffff" w:sz="6" w:space="0" w:shadow="0" w:frame="0"/>
              <w:right w:val="single" w:color="ffffff" w:sz="6" w:space="0" w:shadow="0" w:frame="0"/>
            </w:tcBorders>
            <w:shd w:val="clear" w:color="auto" w:fill="99ccff"/>
          </w:tcPr>
          <w:p/>
        </w:tc>
      </w:tr>
    </w:tbl>
    <w:p>
      <w:pPr>
        <w:pStyle w:val="Normal"/>
        <w:ind w:left="671" w:right="567" w:hanging="104"/>
        <w:jc w:val="both"/>
        <w:rPr>
          <w:rFonts w:ascii="Book Antiqua" w:cs="Book Antiqua" w:hAnsi="Book Antiqua" w:eastAsia="Book Antiqua"/>
        </w:rPr>
      </w:pPr>
    </w:p>
    <w:p>
      <w:pPr>
        <w:pStyle w:val="Normal"/>
        <w:shd w:val="clear" w:color="auto" w:fill="f1f1f1"/>
        <w:jc w:val="both"/>
        <w:rPr>
          <w:rFonts w:ascii="Arial" w:cs="Arial" w:hAnsi="Arial" w:eastAsia="Arial"/>
          <w:color w:val="666666"/>
          <w:sz w:val="30"/>
          <w:szCs w:val="30"/>
          <w:u w:color="666666"/>
        </w:rPr>
      </w:pPr>
    </w:p>
    <w:p>
      <w:pPr>
        <w:pStyle w:val="Normal"/>
        <w:ind w:left="567" w:right="567" w:firstLine="0"/>
        <w:jc w:val="both"/>
        <w:rPr>
          <w:rFonts w:ascii="Book Antiqua" w:cs="Book Antiqua" w:hAnsi="Book Antiqua" w:eastAsia="Book Antiqua"/>
        </w:rPr>
      </w:pPr>
      <w:r>
        <w:rPr>
          <w:rFonts w:ascii="Book Antiqua"/>
          <w:rtl w:val="0"/>
          <w:lang w:val="it-IT"/>
        </w:rPr>
        <w:t>Dal confronto emerge che:</w:t>
      </w:r>
    </w:p>
    <w:p>
      <w:pPr>
        <w:pStyle w:val="Elenco a colori - Colore 11"/>
        <w:numPr>
          <w:ilvl w:val="0"/>
          <w:numId w:val="88"/>
        </w:numPr>
        <w:tabs>
          <w:tab w:val="num" w:pos="696"/>
          <w:tab w:val="clear" w:pos="567"/>
        </w:tabs>
        <w:bidi w:val="0"/>
        <w:spacing w:after="0" w:line="240" w:lineRule="auto"/>
        <w:ind w:left="555" w:right="567" w:firstLine="12"/>
        <w:jc w:val="both"/>
        <w:rPr>
          <w:rFonts w:ascii="Book Antiqua" w:cs="Book Antiqua" w:hAnsi="Book Antiqua" w:eastAsia="Book Antiqua"/>
          <w:position w:val="0"/>
          <w:sz w:val="24"/>
          <w:szCs w:val="24"/>
          <w:rtl w:val="0"/>
        </w:rPr>
      </w:pPr>
      <w:r>
        <w:rPr>
          <w:rFonts w:ascii="Book Antiqua"/>
          <w:sz w:val="24"/>
          <w:szCs w:val="24"/>
          <w:rtl w:val="0"/>
          <w:lang w:val="it-IT"/>
        </w:rPr>
        <w:t xml:space="preserve">i singoli costi per le gestioni specifiche, differenziata e indifferenziata, nei piani finanziari annuali sono inferiori a quanto preventivato nella deliberazione di affidamento, con la sola eccezione della voce 'trattamento e smaltimento (indifferenziati)', in aumento data la carenza impiantistica di chiusura del ciclo dei rifiuti; </w:t>
      </w:r>
    </w:p>
    <w:p>
      <w:pPr>
        <w:pStyle w:val="Elenco a colori - Colore 11"/>
        <w:numPr>
          <w:ilvl w:val="0"/>
          <w:numId w:val="88"/>
        </w:numPr>
        <w:tabs>
          <w:tab w:val="num" w:pos="696"/>
          <w:tab w:val="clear" w:pos="567"/>
        </w:tabs>
        <w:bidi w:val="0"/>
        <w:spacing w:after="0" w:line="240" w:lineRule="auto"/>
        <w:ind w:left="555" w:right="567" w:firstLine="12"/>
        <w:jc w:val="both"/>
        <w:rPr>
          <w:rFonts w:ascii="Book Antiqua" w:cs="Book Antiqua" w:hAnsi="Book Antiqua" w:eastAsia="Book Antiqua"/>
          <w:position w:val="0"/>
          <w:sz w:val="24"/>
          <w:szCs w:val="24"/>
          <w:rtl w:val="0"/>
        </w:rPr>
      </w:pPr>
      <w:r>
        <w:rPr>
          <w:rFonts w:ascii="Book Antiqua"/>
          <w:sz w:val="24"/>
          <w:szCs w:val="24"/>
          <w:rtl w:val="0"/>
          <w:lang w:val="it-IT"/>
        </w:rPr>
        <w:t xml:space="preserve">la voce 'Costi Comuni' nei piani finanziari </w:t>
      </w:r>
      <w:r>
        <w:rPr>
          <w:rFonts w:hAnsi="Book Antiqua" w:hint="default"/>
          <w:sz w:val="24"/>
          <w:szCs w:val="24"/>
          <w:rtl w:val="0"/>
          <w:lang w:val="it-IT"/>
        </w:rPr>
        <w:t xml:space="preserve">è </w:t>
      </w:r>
      <w:r>
        <w:rPr>
          <w:rFonts w:ascii="Book Antiqua"/>
          <w:sz w:val="24"/>
          <w:szCs w:val="24"/>
          <w:rtl w:val="0"/>
          <w:lang w:val="it-IT"/>
        </w:rPr>
        <w:t>invece molto pi</w:t>
      </w:r>
      <w:r>
        <w:rPr>
          <w:rFonts w:hAnsi="Book Antiqua" w:hint="default"/>
          <w:sz w:val="24"/>
          <w:szCs w:val="24"/>
          <w:rtl w:val="0"/>
          <w:lang w:val="it-IT"/>
        </w:rPr>
        <w:t xml:space="preserve">ù </w:t>
      </w:r>
      <w:r>
        <w:rPr>
          <w:rFonts w:ascii="Book Antiqua"/>
          <w:sz w:val="24"/>
          <w:szCs w:val="24"/>
          <w:rtl w:val="0"/>
          <w:lang w:val="it-IT"/>
        </w:rPr>
        <w:t>alta di quanto previsto nel PEF, con un importo tale da assorbire tutti i risparmi sulle gestioni specifiche ed oltre, dando luogo ad un gettito necessario superiore alle previsioni.</w:t>
      </w:r>
    </w:p>
    <w:p>
      <w:pPr>
        <w:pStyle w:val="Normal"/>
        <w:ind w:left="567" w:right="567" w:firstLine="0"/>
        <w:jc w:val="both"/>
        <w:rPr>
          <w:rFonts w:ascii="Book Antiqua" w:cs="Book Antiqua" w:hAnsi="Book Antiqua" w:eastAsia="Book Antiqua"/>
        </w:rPr>
      </w:pPr>
      <w:r>
        <w:rPr>
          <w:rFonts w:ascii="Book Antiqua"/>
          <w:rtl w:val="0"/>
          <w:lang w:val="it-IT"/>
        </w:rPr>
        <w:t xml:space="preserve">In sintesi, la spesa </w:t>
      </w:r>
      <w:r>
        <w:rPr>
          <w:rFonts w:hAnsi="Book Antiqua" w:hint="default"/>
          <w:rtl w:val="0"/>
          <w:lang w:val="it-IT"/>
        </w:rPr>
        <w:t xml:space="preserve">è </w:t>
      </w:r>
      <w:r>
        <w:rPr>
          <w:rFonts w:ascii="Book Antiqua"/>
          <w:rtl w:val="0"/>
          <w:lang w:val="it-IT"/>
        </w:rPr>
        <w:t>solo leggermente pi</w:t>
      </w:r>
      <w:r>
        <w:rPr>
          <w:rFonts w:hAnsi="Book Antiqua" w:hint="default"/>
          <w:rtl w:val="0"/>
          <w:lang w:val="it-IT"/>
        </w:rPr>
        <w:t xml:space="preserve">ù </w:t>
      </w:r>
      <w:r>
        <w:rPr>
          <w:rFonts w:ascii="Book Antiqua"/>
          <w:rtl w:val="0"/>
          <w:lang w:val="it-IT"/>
        </w:rPr>
        <w:t>alta di quanto preventivato, ma l'equilibrio viene trovato sottraendo risorse alla raccolta e alla pulizia e destinandole ad aumentare quelle per il trattamento e lo smaltimento dei rifiuti indifferenziati (che vengono spediti fuori regione) e per i costi comuni, divisi fra costi per la gestione della tariffa (costi amministrativi di accertamento, riscossione e contenzioso, CARC, attivit</w:t>
      </w:r>
      <w:r>
        <w:rPr>
          <w:rFonts w:hAnsi="Book Antiqua" w:hint="default"/>
          <w:rtl w:val="0"/>
          <w:lang w:val="it-IT"/>
        </w:rPr>
        <w:t xml:space="preserve">à </w:t>
      </w:r>
      <w:r>
        <w:rPr>
          <w:rFonts w:ascii="Book Antiqua"/>
          <w:rtl w:val="0"/>
          <w:lang w:val="it-IT"/>
        </w:rPr>
        <w:t>che secondo l'affidamento dovevano essere affidate</w:t>
      </w:r>
      <w:r>
        <w:rPr>
          <w:rFonts w:hAnsi="Book Antiqua" w:hint="default"/>
          <w:rtl w:val="0"/>
          <w:lang w:val="it-IT"/>
        </w:rPr>
        <w:t> </w:t>
      </w:r>
      <w:r>
        <w:rPr>
          <w:rFonts w:ascii="Book Antiqua"/>
          <w:rtl w:val="0"/>
          <w:lang w:val="it-IT"/>
        </w:rPr>
        <w:t>a un soggetto terzo), costi generali di gestione (CGG)</w:t>
      </w:r>
      <w:r>
        <w:rPr>
          <w:rFonts w:hAnsi="Book Antiqua" w:hint="default"/>
          <w:rtl w:val="0"/>
          <w:lang w:val="it-IT"/>
        </w:rPr>
        <w:t> </w:t>
      </w:r>
      <w:r>
        <w:rPr>
          <w:rFonts w:ascii="Book Antiqua"/>
          <w:rtl w:val="0"/>
          <w:lang w:val="it-IT"/>
        </w:rPr>
        <w:t xml:space="preserve">e costi comuni diversi (CCD). </w:t>
      </w:r>
    </w:p>
    <w:p>
      <w:pPr>
        <w:pStyle w:val="Normal"/>
        <w:ind w:left="567" w:right="567" w:firstLine="0"/>
        <w:jc w:val="both"/>
        <w:rPr>
          <w:rFonts w:ascii="Book Antiqua Bold" w:cs="Book Antiqua Bold" w:hAnsi="Book Antiqua Bold" w:eastAsia="Book Antiqua Bold"/>
          <w:b w:val="1"/>
          <w:bCs w:val="1"/>
        </w:rPr>
      </w:pPr>
      <w:r>
        <w:rPr>
          <w:rFonts w:ascii="Book Antiqua"/>
          <w:rtl w:val="0"/>
          <w:lang w:val="it-IT"/>
        </w:rPr>
        <w:t>Il focus sui costi comuni AMA, condotto dall</w:t>
      </w:r>
      <w:r>
        <w:rPr>
          <w:rFonts w:hAnsi="Book Antiqua" w:hint="default"/>
          <w:rtl w:val="0"/>
          <w:lang w:val="it-IT"/>
        </w:rPr>
        <w:t>’</w:t>
      </w:r>
      <w:r>
        <w:rPr>
          <w:rFonts w:ascii="Book Antiqua"/>
          <w:rtl w:val="0"/>
          <w:lang w:val="it-IT"/>
        </w:rPr>
        <w:t>Agenzia</w:t>
      </w:r>
      <w:r>
        <w:rPr>
          <w:rFonts w:ascii="Book Antiqua" w:cs="Book Antiqua" w:hAnsi="Book Antiqua" w:eastAsia="Book Antiqua"/>
          <w:vertAlign w:val="superscript"/>
          <w:rtl w:val="0"/>
        </w:rPr>
        <w:footnoteReference w:id="122"/>
      </w:r>
      <w:r>
        <w:rPr>
          <w:rFonts w:ascii="Book Antiqua"/>
          <w:rtl w:val="0"/>
          <w:lang w:val="it-IT"/>
        </w:rPr>
        <w:t xml:space="preserve"> pone a confronto la situazione di Roma con le medie nazionali tratte da fonte ISPRA.</w:t>
      </w:r>
    </w:p>
    <w:p>
      <w:pPr>
        <w:pStyle w:val="Normal"/>
        <w:ind w:left="567" w:right="567" w:firstLine="0"/>
        <w:jc w:val="both"/>
        <w:rPr>
          <w:rFonts w:ascii="Book Antiqua" w:cs="Book Antiqua" w:hAnsi="Book Antiqua" w:eastAsia="Book Antiqua"/>
        </w:rPr>
      </w:pPr>
      <w:r>
        <w:rPr>
          <w:rFonts w:ascii="Book Antiqua"/>
          <w:rtl w:val="0"/>
          <w:lang w:val="it-IT"/>
        </w:rPr>
        <w:t>Come sotto risulta dal grafico seguente, la quota dei costi comuni sui costi totali a copertura tariffaria resta sempre elevata, fra l'11 per cento e il 16 per cento, con una media del 14 per cento nel periodo: confrontando il dato AMA con quello</w:t>
      </w:r>
      <w:r>
        <w:rPr>
          <w:rFonts w:hAnsi="Book Antiqua" w:hint="default"/>
          <w:rtl w:val="0"/>
          <w:lang w:val="it-IT"/>
        </w:rPr>
        <w:t> </w:t>
      </w:r>
      <w:r>
        <w:rPr>
          <w:rFonts w:ascii="Book Antiqua"/>
          <w:rtl w:val="0"/>
          <w:lang w:val="it-IT"/>
        </w:rPr>
        <w:t xml:space="preserve">nazionale si nota che questa voce di costo nella capitale </w:t>
      </w:r>
      <w:r>
        <w:rPr>
          <w:rFonts w:hAnsi="Book Antiqua" w:hint="default"/>
          <w:rtl w:val="0"/>
          <w:lang w:val="it-IT"/>
        </w:rPr>
        <w:t xml:space="preserve">è </w:t>
      </w:r>
      <w:r>
        <w:rPr>
          <w:rFonts w:ascii="Book Antiqua"/>
          <w:rtl w:val="0"/>
          <w:lang w:val="it-IT"/>
        </w:rPr>
        <w:t>sempre stata inferiore alla media riferita alle citt</w:t>
      </w:r>
      <w:r>
        <w:rPr>
          <w:rFonts w:hAnsi="Book Antiqua" w:hint="default"/>
          <w:rtl w:val="0"/>
          <w:lang w:val="it-IT"/>
        </w:rPr>
        <w:t xml:space="preserve">à </w:t>
      </w:r>
      <w:r>
        <w:rPr>
          <w:rFonts w:ascii="Book Antiqua"/>
          <w:rtl w:val="0"/>
          <w:lang w:val="it-IT"/>
        </w:rPr>
        <w:t>di grandi dimensioni (classe comunale D, con pi</w:t>
      </w:r>
      <w:r>
        <w:rPr>
          <w:rFonts w:hAnsi="Book Antiqua" w:hint="default"/>
          <w:rtl w:val="0"/>
          <w:lang w:val="it-IT"/>
        </w:rPr>
        <w:t xml:space="preserve">ù </w:t>
      </w:r>
      <w:r>
        <w:rPr>
          <w:rFonts w:ascii="Book Antiqua"/>
          <w:rtl w:val="0"/>
          <w:lang w:val="it-IT"/>
        </w:rPr>
        <w:t>di 50 mila abitanti), sia per quanto riguarda l'incidenza sui costi totali, sia in termini di costi unitari (centesimi di euro per kg di rifiuto)</w:t>
      </w:r>
    </w:p>
    <w:p>
      <w:pPr>
        <w:pStyle w:val="Normal"/>
        <w:jc w:val="both"/>
        <w:rPr>
          <w:rFonts w:ascii="Book Antiqua" w:cs="Book Antiqua" w:hAnsi="Book Antiqua" w:eastAsia="Book Antiqua"/>
        </w:rPr>
      </w:pPr>
    </w:p>
    <w:p>
      <w:pPr>
        <w:pStyle w:val="Normal"/>
        <w:jc w:val="both"/>
        <w:rPr>
          <w:rFonts w:ascii="Book Antiqua" w:cs="Book Antiqua" w:hAnsi="Book Antiqua" w:eastAsia="Book Antiqua"/>
        </w:rPr>
      </w:pPr>
    </w:p>
    <w:p>
      <w:pPr>
        <w:pStyle w:val="Normal"/>
        <w:jc w:val="both"/>
        <w:rPr>
          <w:rtl w:val="0"/>
        </w:rPr>
      </w:pPr>
      <w:r>
        <w:rPr>
          <w:rtl w:val="0"/>
        </w:rPr>
        <w:drawing>
          <wp:inline distT="0" distB="0" distL="0" distR="0">
            <wp:extent cx="6382093" cy="5349241"/>
            <wp:effectExtent l="0" t="0" r="0" b="0"/>
            <wp:docPr id="1073741856" name="officeArt object" descr="focus_costi_comuni1.png"/>
            <wp:cNvGraphicFramePr/>
            <a:graphic xmlns:a="http://schemas.openxmlformats.org/drawingml/2006/main">
              <a:graphicData uri="http://schemas.openxmlformats.org/drawingml/2006/picture">
                <pic:pic xmlns:pic="http://schemas.openxmlformats.org/drawingml/2006/picture">
                  <pic:nvPicPr>
                    <pic:cNvPr id="1073741856" name="image32.png" descr="focus_costi_comuni1.png"/>
                    <pic:cNvPicPr/>
                  </pic:nvPicPr>
                  <pic:blipFill>
                    <a:blip r:embed="rId40">
                      <a:extLst/>
                    </a:blip>
                    <a:stretch>
                      <a:fillRect/>
                    </a:stretch>
                  </pic:blipFill>
                  <pic:spPr>
                    <a:xfrm>
                      <a:off x="0" y="0"/>
                      <a:ext cx="6382093" cy="5349241"/>
                    </a:xfrm>
                    <a:prstGeom prst="rect">
                      <a:avLst/>
                    </a:prstGeom>
                    <a:ln w="12700" cap="flat">
                      <a:noFill/>
                      <a:miter lim="400000"/>
                    </a:ln>
                    <a:effectLst/>
                  </pic:spPr>
                </pic:pic>
              </a:graphicData>
            </a:graphic>
          </wp:inline>
        </w:drawing>
      </w:r>
    </w:p>
    <w:p>
      <w:pPr>
        <w:pStyle w:val="Normal"/>
        <w:jc w:val="both"/>
        <w:rPr>
          <w:rFonts w:ascii="Times New Roman Bold" w:cs="Times New Roman Bold" w:hAnsi="Times New Roman Bold" w:eastAsia="Times New Roman Bold"/>
        </w:rPr>
      </w:pPr>
    </w:p>
    <w:p>
      <w:pPr>
        <w:pStyle w:val="Normal"/>
        <w:ind w:left="567" w:right="567" w:firstLine="0"/>
        <w:jc w:val="both"/>
        <w:rPr>
          <w:rFonts w:ascii="Book Antiqua Bold" w:cs="Book Antiqua Bold" w:hAnsi="Book Antiqua Bold" w:eastAsia="Book Antiqua Bold"/>
          <w:b w:val="1"/>
          <w:bCs w:val="1"/>
        </w:rPr>
      </w:pPr>
    </w:p>
    <w:p>
      <w:pPr>
        <w:pStyle w:val="Normal"/>
        <w:ind w:left="567" w:right="567" w:firstLine="0"/>
        <w:jc w:val="both"/>
        <w:rPr>
          <w:rFonts w:ascii="Book Antiqua" w:cs="Book Antiqua" w:hAnsi="Book Antiqua" w:eastAsia="Book Antiqua"/>
        </w:rPr>
      </w:pPr>
      <w:r>
        <w:rPr>
          <w:rFonts w:ascii="Book Antiqua"/>
          <w:rtl w:val="0"/>
          <w:lang w:val="it-IT"/>
        </w:rPr>
        <w:t>I grafici che seguono sintetizzano dati gestionali AMA nel periodo 2003-2016, utili a valutare quanto progressivamente si dir</w:t>
      </w:r>
      <w:r>
        <w:rPr>
          <w:rFonts w:hAnsi="Book Antiqua" w:hint="default"/>
          <w:rtl w:val="0"/>
          <w:lang w:val="it-IT"/>
        </w:rPr>
        <w:t xml:space="preserve">à </w:t>
      </w:r>
      <w:r>
        <w:rPr>
          <w:rFonts w:ascii="Book Antiqua"/>
          <w:rtl w:val="0"/>
          <w:lang w:val="it-IT"/>
        </w:rPr>
        <w:t>sull</w:t>
      </w:r>
      <w:r>
        <w:rPr>
          <w:rFonts w:hAnsi="Book Antiqua" w:hint="default"/>
          <w:rtl w:val="0"/>
          <w:lang w:val="it-IT"/>
        </w:rPr>
        <w:t>’</w:t>
      </w:r>
      <w:r>
        <w:rPr>
          <w:rFonts w:ascii="Book Antiqua"/>
          <w:rtl w:val="0"/>
          <w:lang w:val="it-IT"/>
        </w:rPr>
        <w:t>evoluzione delle scelte dell</w:t>
      </w:r>
      <w:r>
        <w:rPr>
          <w:rFonts w:hAnsi="Book Antiqua" w:hint="default"/>
          <w:rtl w:val="0"/>
          <w:lang w:val="it-IT"/>
        </w:rPr>
        <w:t>’</w:t>
      </w:r>
      <w:r>
        <w:rPr>
          <w:rFonts w:ascii="Book Antiqua"/>
          <w:rtl w:val="0"/>
          <w:lang w:val="it-IT"/>
        </w:rPr>
        <w:t>azienda, sino al nuovo Piano industriale del maggio 2017</w:t>
      </w: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Bold" w:cs="Book Antiqua Bold" w:hAnsi="Book Antiqua Bold" w:eastAsia="Book Antiqua Bold"/>
          <w:b w:val="1"/>
          <w:bCs w:val="1"/>
        </w:rPr>
      </w:pPr>
      <w:r>
        <w:rPr>
          <w:rFonts w:ascii="Book Antiqua Bold"/>
          <w:b w:val="1"/>
          <w:bCs w:val="1"/>
          <w:rtl w:val="0"/>
          <w:lang w:val="it-IT"/>
        </w:rPr>
        <w:t>Investimenti programmati e realizzati</w:t>
      </w:r>
      <w:r>
        <w:rPr>
          <w:rFonts w:ascii="Book Antiqua Bold" w:cs="Book Antiqua Bold" w:hAnsi="Book Antiqua Bold" w:eastAsia="Book Antiqua Bold"/>
          <w:b w:val="1"/>
          <w:bCs w:val="1"/>
          <w:vertAlign w:val="superscript"/>
          <w:rtl w:val="0"/>
        </w:rPr>
        <w:footnoteReference w:id="123"/>
      </w:r>
    </w:p>
    <w:p>
      <w:pPr>
        <w:pStyle w:val="Normal"/>
        <w:ind w:left="567" w:right="567" w:firstLine="0"/>
        <w:jc w:val="both"/>
        <w:rPr>
          <w:rFonts w:ascii="Book Antiqua Bold" w:cs="Book Antiqua Bold" w:hAnsi="Book Antiqua Bold" w:eastAsia="Book Antiqua Bold"/>
          <w:b w:val="1"/>
          <w:bCs w:val="1"/>
        </w:rPr>
      </w:pPr>
    </w:p>
    <w:p>
      <w:pPr>
        <w:pStyle w:val="Normal"/>
        <w:tabs>
          <w:tab w:val="left" w:pos="1830"/>
        </w:tabs>
        <w:rPr>
          <w:rtl w:val="0"/>
        </w:rPr>
      </w:pPr>
      <w:r>
        <w:rPr>
          <w:rtl w:val="0"/>
        </w:rPr>
        <w:drawing>
          <wp:inline distT="0" distB="0" distL="0" distR="0">
            <wp:extent cx="6559122" cy="6962141"/>
            <wp:effectExtent l="0" t="0" r="0" b="0"/>
            <wp:docPr id="1073741857" name="officeArt object" descr="investimenti_programmati_e_realizzati.png"/>
            <wp:cNvGraphicFramePr/>
            <a:graphic xmlns:a="http://schemas.openxmlformats.org/drawingml/2006/main">
              <a:graphicData uri="http://schemas.openxmlformats.org/drawingml/2006/picture">
                <pic:pic xmlns:pic="http://schemas.openxmlformats.org/drawingml/2006/picture">
                  <pic:nvPicPr>
                    <pic:cNvPr id="1073741857" name="image33.png" descr="investimenti_programmati_e_realizzati.png"/>
                    <pic:cNvPicPr/>
                  </pic:nvPicPr>
                  <pic:blipFill>
                    <a:blip r:embed="rId41">
                      <a:extLst/>
                    </a:blip>
                    <a:stretch>
                      <a:fillRect/>
                    </a:stretch>
                  </pic:blipFill>
                  <pic:spPr>
                    <a:xfrm>
                      <a:off x="0" y="0"/>
                      <a:ext cx="6559122" cy="6962141"/>
                    </a:xfrm>
                    <a:prstGeom prst="rect">
                      <a:avLst/>
                    </a:prstGeom>
                    <a:ln w="12700" cap="flat">
                      <a:noFill/>
                      <a:miter lim="400000"/>
                    </a:ln>
                    <a:effectLst/>
                  </pic:spPr>
                </pic:pic>
              </a:graphicData>
            </a:graphic>
          </wp:inline>
        </w:drawing>
      </w:r>
    </w:p>
    <w:p>
      <w:pPr>
        <w:pStyle w:val="Normal"/>
        <w:rPr>
          <w:rFonts w:ascii="Times New Roman Bold" w:cs="Times New Roman Bold" w:hAnsi="Times New Roman Bold" w:eastAsia="Times New Roman Bold"/>
        </w:rPr>
      </w:pPr>
    </w:p>
    <w:p>
      <w:pPr>
        <w:pStyle w:val="Normal"/>
        <w:rPr>
          <w:rFonts w:ascii="Times New Roman Bold" w:cs="Times New Roman Bold" w:hAnsi="Times New Roman Bold" w:eastAsia="Times New Roman Bold"/>
        </w:rPr>
      </w:pPr>
    </w:p>
    <w:p>
      <w:pPr>
        <w:pStyle w:val="Normal"/>
        <w:rPr>
          <w:rFonts w:ascii="Times New Roman Bold" w:cs="Times New Roman Bold" w:hAnsi="Times New Roman Bold" w:eastAsia="Times New Roman Bold"/>
        </w:rPr>
      </w:pPr>
    </w:p>
    <w:p>
      <w:pPr>
        <w:pStyle w:val="Normal"/>
        <w:rPr>
          <w:rFonts w:ascii="Times New Roman Bold" w:cs="Times New Roman Bold" w:hAnsi="Times New Roman Bold" w:eastAsia="Times New Roman Bold"/>
        </w:rPr>
      </w:pPr>
    </w:p>
    <w:p>
      <w:pPr>
        <w:pStyle w:val="Normal"/>
        <w:rPr>
          <w:rFonts w:ascii="Times New Roman Bold" w:cs="Times New Roman Bold" w:hAnsi="Times New Roman Bold" w:eastAsia="Times New Roman Bold"/>
        </w:rPr>
      </w:pPr>
    </w:p>
    <w:p>
      <w:pPr>
        <w:pStyle w:val="Normal"/>
        <w:rPr>
          <w:rFonts w:ascii="Times New Roman Bold" w:cs="Times New Roman Bold" w:hAnsi="Times New Roman Bold" w:eastAsia="Times New Roman Bold"/>
        </w:rPr>
      </w:pPr>
    </w:p>
    <w:p>
      <w:pPr>
        <w:pStyle w:val="Normal"/>
        <w:rPr>
          <w:rFonts w:ascii="Times New Roman Bold" w:cs="Times New Roman Bold" w:hAnsi="Times New Roman Bold" w:eastAsia="Times New Roman Bold"/>
        </w:rPr>
      </w:pPr>
    </w:p>
    <w:p>
      <w:pPr>
        <w:pStyle w:val="Normal"/>
        <w:rPr>
          <w:rFonts w:ascii="Times New Roman Bold" w:cs="Times New Roman Bold" w:hAnsi="Times New Roman Bold" w:eastAsia="Times New Roman Bold"/>
        </w:rPr>
      </w:pPr>
      <w:r>
        <w:rPr>
          <w:rFonts w:ascii="Times New Roman Bold"/>
          <w:rtl w:val="0"/>
          <w:lang w:val="it-IT"/>
        </w:rPr>
        <w:t>Investimenti in impianti, trattamento AMA, costi e ricavi unitari</w:t>
      </w:r>
      <w:r>
        <w:rPr>
          <w:rFonts w:ascii="Times New Roman Bold" w:cs="Times New Roman Bold" w:hAnsi="Times New Roman Bold" w:eastAsia="Times New Roman Bold"/>
          <w:vertAlign w:val="superscript"/>
          <w:rtl w:val="0"/>
        </w:rPr>
        <w:footnoteReference w:id="124"/>
      </w:r>
    </w:p>
    <w:p>
      <w:pPr>
        <w:pStyle w:val="Normal"/>
        <w:rPr>
          <w:rFonts w:ascii="Times New Roman Bold" w:cs="Times New Roman Bold" w:hAnsi="Times New Roman Bold" w:eastAsia="Times New Roman Bold"/>
        </w:rPr>
      </w:pPr>
    </w:p>
    <w:p>
      <w:pPr>
        <w:pStyle w:val="Normal"/>
        <w:tabs>
          <w:tab w:val="left" w:pos="1830"/>
        </w:tabs>
        <w:rPr>
          <w:rtl w:val="0"/>
        </w:rPr>
      </w:pPr>
      <w:r>
        <w:rPr>
          <w:rtl w:val="0"/>
        </w:rPr>
        <w:drawing>
          <wp:inline distT="0" distB="0" distL="0" distR="0">
            <wp:extent cx="5961169" cy="4182913"/>
            <wp:effectExtent l="0" t="0" r="0" b="0"/>
            <wp:docPr id="1073741858" name="officeArt object" descr="investimenti_trattamento_costi.png"/>
            <wp:cNvGraphicFramePr/>
            <a:graphic xmlns:a="http://schemas.openxmlformats.org/drawingml/2006/main">
              <a:graphicData uri="http://schemas.openxmlformats.org/drawingml/2006/picture">
                <pic:pic xmlns:pic="http://schemas.openxmlformats.org/drawingml/2006/picture">
                  <pic:nvPicPr>
                    <pic:cNvPr id="1073741858" name="image6.png" descr="investimenti_trattamento_costi.png"/>
                    <pic:cNvPicPr/>
                  </pic:nvPicPr>
                  <pic:blipFill>
                    <a:blip r:embed="rId42">
                      <a:extLst/>
                    </a:blip>
                    <a:stretch>
                      <a:fillRect/>
                    </a:stretch>
                  </pic:blipFill>
                  <pic:spPr>
                    <a:xfrm>
                      <a:off x="0" y="0"/>
                      <a:ext cx="5961169" cy="4182913"/>
                    </a:xfrm>
                    <a:prstGeom prst="rect">
                      <a:avLst/>
                    </a:prstGeom>
                    <a:ln w="12700" cap="flat">
                      <a:noFill/>
                      <a:miter lim="400000"/>
                    </a:ln>
                    <a:effectLst/>
                  </pic:spPr>
                </pic:pic>
              </a:graphicData>
            </a:graphic>
          </wp:inline>
        </w:drawing>
      </w:r>
    </w:p>
    <w:p>
      <w:pPr>
        <w:pStyle w:val="Normal"/>
        <w:rPr>
          <w:rFonts w:ascii="Times New Roman Bold" w:cs="Times New Roman Bold" w:hAnsi="Times New Roman Bold" w:eastAsia="Times New Roman Bold"/>
        </w:rPr>
      </w:pPr>
    </w:p>
    <w:p>
      <w:pPr>
        <w:pStyle w:val="Normal"/>
        <w:rPr>
          <w:rFonts w:ascii="Times New Roman Bold" w:cs="Times New Roman Bold" w:hAnsi="Times New Roman Bold" w:eastAsia="Times New Roman Bold"/>
        </w:rPr>
      </w:pPr>
      <w:r>
        <w:rPr>
          <w:rFonts w:ascii="Times New Roman Bold"/>
          <w:rtl w:val="0"/>
          <w:lang w:val="it-IT"/>
        </w:rPr>
        <w:t>Costi unitari dei servizi a ROMA: andamento</w:t>
      </w:r>
      <w:r>
        <w:rPr>
          <w:rFonts w:ascii="Times New Roman Bold" w:cs="Times New Roman Bold" w:hAnsi="Times New Roman Bold" w:eastAsia="Times New Roman Bold"/>
          <w:vertAlign w:val="superscript"/>
          <w:rtl w:val="0"/>
        </w:rPr>
        <w:footnoteReference w:id="125"/>
      </w:r>
    </w:p>
    <w:p>
      <w:pPr>
        <w:pStyle w:val="Normal"/>
        <w:rPr>
          <w:rFonts w:ascii="Times New Roman Bold" w:cs="Times New Roman Bold" w:hAnsi="Times New Roman Bold" w:eastAsia="Times New Roman Bold"/>
        </w:rPr>
      </w:pPr>
    </w:p>
    <w:p>
      <w:pPr>
        <w:pStyle w:val="Normal"/>
        <w:tabs>
          <w:tab w:val="left" w:pos="1830"/>
        </w:tabs>
        <w:rPr>
          <w:rtl w:val="0"/>
        </w:rPr>
      </w:pPr>
      <w:r>
        <w:rPr>
          <w:rtl w:val="0"/>
        </w:rPr>
        <w:drawing>
          <wp:inline distT="0" distB="0" distL="0" distR="0">
            <wp:extent cx="4703868" cy="2993372"/>
            <wp:effectExtent l="0" t="0" r="0" b="0"/>
            <wp:docPr id="1073741859" name="officeArt object" descr="costi_unitari_andamento_2007_2.png"/>
            <wp:cNvGraphicFramePr/>
            <a:graphic xmlns:a="http://schemas.openxmlformats.org/drawingml/2006/main">
              <a:graphicData uri="http://schemas.openxmlformats.org/drawingml/2006/picture">
                <pic:pic xmlns:pic="http://schemas.openxmlformats.org/drawingml/2006/picture">
                  <pic:nvPicPr>
                    <pic:cNvPr id="1073741859" name="image34.png" descr="costi_unitari_andamento_2007_2.png"/>
                    <pic:cNvPicPr/>
                  </pic:nvPicPr>
                  <pic:blipFill>
                    <a:blip r:embed="rId43">
                      <a:extLst/>
                    </a:blip>
                    <a:stretch>
                      <a:fillRect/>
                    </a:stretch>
                  </pic:blipFill>
                  <pic:spPr>
                    <a:xfrm>
                      <a:off x="0" y="0"/>
                      <a:ext cx="4703868" cy="2993372"/>
                    </a:xfrm>
                    <a:prstGeom prst="rect">
                      <a:avLst/>
                    </a:prstGeom>
                    <a:ln w="12700" cap="flat">
                      <a:noFill/>
                      <a:miter lim="400000"/>
                    </a:ln>
                    <a:effectLst/>
                  </pic:spPr>
                </pic:pic>
              </a:graphicData>
            </a:graphic>
          </wp:inline>
        </w:drawing>
      </w:r>
    </w:p>
    <w:p>
      <w:pPr>
        <w:pStyle w:val="Normal"/>
        <w:rPr>
          <w:rFonts w:ascii="Times New Roman Bold" w:cs="Times New Roman Bold" w:hAnsi="Times New Roman Bold" w:eastAsia="Times New Roman Bold"/>
        </w:rPr>
      </w:pPr>
    </w:p>
    <w:p>
      <w:pPr>
        <w:pStyle w:val="Normal"/>
        <w:rPr>
          <w:rFonts w:ascii="Times New Roman Bold" w:cs="Times New Roman Bold" w:hAnsi="Times New Roman Bold" w:eastAsia="Times New Roman Bold"/>
        </w:rPr>
      </w:pPr>
      <w:r>
        <w:rPr>
          <w:rFonts w:ascii="Times New Roman Bold"/>
          <w:rtl w:val="0"/>
          <w:lang w:val="it-IT"/>
        </w:rPr>
        <w:t>Costo e percentuale di raccolta differenziata, qualit</w:t>
      </w:r>
      <w:r>
        <w:rPr>
          <w:rFonts w:hAnsi="Times New Roman Bold" w:hint="default"/>
          <w:rtl w:val="0"/>
          <w:lang w:val="it-IT"/>
        </w:rPr>
        <w:t xml:space="preserve">à </w:t>
      </w:r>
      <w:r>
        <w:rPr>
          <w:rFonts w:ascii="Times New Roman Bold"/>
          <w:rtl w:val="0"/>
          <w:lang w:val="it-IT"/>
        </w:rPr>
        <w:t>erogata e percepita</w:t>
      </w:r>
      <w:r>
        <w:rPr>
          <w:rFonts w:ascii="Times New Roman Bold" w:cs="Times New Roman Bold" w:hAnsi="Times New Roman Bold" w:eastAsia="Times New Roman Bold"/>
          <w:vertAlign w:val="superscript"/>
          <w:rtl w:val="0"/>
        </w:rPr>
        <w:footnoteReference w:id="126"/>
      </w:r>
    </w:p>
    <w:p>
      <w:pPr>
        <w:pStyle w:val="Normal"/>
        <w:rPr>
          <w:rFonts w:ascii="Times New Roman Bold" w:cs="Times New Roman Bold" w:hAnsi="Times New Roman Bold" w:eastAsia="Times New Roman Bold"/>
        </w:rPr>
      </w:pPr>
    </w:p>
    <w:p>
      <w:pPr>
        <w:pStyle w:val="Normal"/>
        <w:tabs>
          <w:tab w:val="left" w:pos="1830"/>
        </w:tabs>
        <w:rPr>
          <w:rtl w:val="0"/>
        </w:rPr>
      </w:pPr>
      <w:r>
        <w:rPr>
          <w:rtl w:val="0"/>
        </w:rPr>
        <w:drawing>
          <wp:inline distT="0" distB="0" distL="0" distR="0">
            <wp:extent cx="5961168" cy="4842608"/>
            <wp:effectExtent l="0" t="0" r="0" b="0"/>
            <wp:docPr id="1073741860" name="officeArt object" descr="battaglia_rd.png"/>
            <wp:cNvGraphicFramePr/>
            <a:graphic xmlns:a="http://schemas.openxmlformats.org/drawingml/2006/main">
              <a:graphicData uri="http://schemas.openxmlformats.org/drawingml/2006/picture">
                <pic:pic xmlns:pic="http://schemas.openxmlformats.org/drawingml/2006/picture">
                  <pic:nvPicPr>
                    <pic:cNvPr id="1073741860" name="image3.png" descr="battaglia_rd.png"/>
                    <pic:cNvPicPr/>
                  </pic:nvPicPr>
                  <pic:blipFill>
                    <a:blip r:embed="rId44">
                      <a:extLst/>
                    </a:blip>
                    <a:stretch>
                      <a:fillRect/>
                    </a:stretch>
                  </pic:blipFill>
                  <pic:spPr>
                    <a:xfrm>
                      <a:off x="0" y="0"/>
                      <a:ext cx="5961168" cy="4842608"/>
                    </a:xfrm>
                    <a:prstGeom prst="rect">
                      <a:avLst/>
                    </a:prstGeom>
                    <a:ln w="12700" cap="flat">
                      <a:noFill/>
                      <a:miter lim="400000"/>
                    </a:ln>
                    <a:effectLst/>
                  </pic:spPr>
                </pic:pic>
              </a:graphicData>
            </a:graphic>
          </wp:inline>
        </w:drawing>
      </w: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rPr>
      </w:pPr>
      <w:r>
        <w:rPr>
          <w:rFonts w:ascii="Book Antiqua"/>
          <w:rtl w:val="0"/>
          <w:lang w:val="it-IT"/>
        </w:rPr>
        <w:t xml:space="preserve">Per contribuire a contestualizzare le considerazioni che precedono, </w:t>
      </w:r>
      <w:r>
        <w:rPr>
          <w:rFonts w:hAnsi="Book Antiqua" w:hint="default"/>
          <w:rtl w:val="0"/>
          <w:lang w:val="it-IT"/>
        </w:rPr>
        <w:t xml:space="preserve">è </w:t>
      </w:r>
      <w:r>
        <w:rPr>
          <w:rFonts w:ascii="Book Antiqua"/>
          <w:rtl w:val="0"/>
          <w:lang w:val="it-IT"/>
        </w:rPr>
        <w:t>utile il riferimento all</w:t>
      </w:r>
      <w:r>
        <w:rPr>
          <w:rFonts w:hAnsi="Book Antiqua" w:hint="default"/>
          <w:rtl w:val="0"/>
          <w:lang w:val="it-IT"/>
        </w:rPr>
        <w:t>’</w:t>
      </w:r>
      <w:r>
        <w:rPr>
          <w:rFonts w:ascii="Book Antiqua"/>
          <w:rtl w:val="0"/>
          <w:lang w:val="it-IT"/>
        </w:rPr>
        <w:t>indagine conoscitiva che l</w:t>
      </w:r>
      <w:r>
        <w:rPr>
          <w:rFonts w:hAnsi="Book Antiqua" w:hint="default"/>
          <w:rtl w:val="0"/>
          <w:lang w:val="it-IT"/>
        </w:rPr>
        <w:t>’</w:t>
      </w:r>
      <w:r>
        <w:rPr>
          <w:rFonts w:ascii="Book Antiqua"/>
          <w:rtl w:val="0"/>
          <w:lang w:val="it-IT"/>
        </w:rPr>
        <w:t>Autorit</w:t>
      </w:r>
      <w:r>
        <w:rPr>
          <w:rFonts w:hAnsi="Book Antiqua" w:hint="default"/>
          <w:rtl w:val="0"/>
          <w:lang w:val="it-IT"/>
        </w:rPr>
        <w:t xml:space="preserve">à </w:t>
      </w:r>
      <w:r>
        <w:rPr>
          <w:rFonts w:ascii="Book Antiqua"/>
          <w:rtl w:val="0"/>
          <w:lang w:val="it-IT"/>
        </w:rPr>
        <w:t>garante della concorrenza e del mercato ha avviato nell</w:t>
      </w:r>
      <w:r>
        <w:rPr>
          <w:rFonts w:hAnsi="Book Antiqua" w:hint="default"/>
          <w:rtl w:val="0"/>
          <w:lang w:val="it-IT"/>
        </w:rPr>
        <w:t>’</w:t>
      </w:r>
      <w:r>
        <w:rPr>
          <w:rFonts w:ascii="Book Antiqua"/>
          <w:rtl w:val="0"/>
          <w:lang w:val="it-IT"/>
        </w:rPr>
        <w:t>agosto 2014 nel settore della gestione dei rifiuti urbani</w:t>
      </w:r>
      <w:r>
        <w:rPr>
          <w:rFonts w:ascii="Book Antiqua" w:cs="Book Antiqua" w:hAnsi="Book Antiqua" w:eastAsia="Book Antiqua"/>
          <w:vertAlign w:val="superscript"/>
          <w:rtl w:val="0"/>
        </w:rPr>
        <w:footnoteReference w:id="127"/>
      </w:r>
      <w:r>
        <w:rPr>
          <w:rFonts w:ascii="Book Antiqua"/>
          <w:rtl w:val="0"/>
          <w:lang w:val="it-IT"/>
        </w:rPr>
        <w:t>, al fine di verificare il livello di concorrenza ed efficienza del settore.</w:t>
      </w:r>
      <w:r>
        <w:rPr>
          <w:rFonts w:hAnsi="Book Antiqua" w:hint="default"/>
          <w:rtl w:val="0"/>
          <w:lang w:val="it-IT"/>
        </w:rPr>
        <w:t xml:space="preserve">  </w:t>
      </w:r>
    </w:p>
    <w:p>
      <w:pPr>
        <w:pStyle w:val="Normal"/>
        <w:ind w:left="567" w:right="567" w:firstLine="0"/>
        <w:jc w:val="both"/>
        <w:rPr>
          <w:rFonts w:ascii="Book Antiqua" w:cs="Book Antiqua" w:hAnsi="Book Antiqua" w:eastAsia="Book Antiqua"/>
        </w:rPr>
      </w:pPr>
      <w:r>
        <w:rPr>
          <w:rFonts w:ascii="Book Antiqua"/>
          <w:rtl w:val="0"/>
          <w:lang w:val="it-IT"/>
        </w:rPr>
        <w:t xml:space="preserve">Ne </w:t>
      </w:r>
      <w:r>
        <w:rPr>
          <w:rFonts w:hAnsi="Book Antiqua" w:hint="default"/>
          <w:rtl w:val="0"/>
          <w:lang w:val="it-IT"/>
        </w:rPr>
        <w:t xml:space="preserve">è </w:t>
      </w:r>
      <w:r>
        <w:rPr>
          <w:rFonts w:ascii="Book Antiqua"/>
          <w:rtl w:val="0"/>
          <w:lang w:val="it-IT"/>
        </w:rPr>
        <w:t>emerso un quadro caratterizzato da alcune criticit</w:t>
      </w:r>
      <w:r>
        <w:rPr>
          <w:rFonts w:hAnsi="Book Antiqua" w:hint="default"/>
          <w:rtl w:val="0"/>
          <w:lang w:val="it-IT"/>
        </w:rPr>
        <w:t xml:space="preserve">à </w:t>
      </w:r>
      <w:r>
        <w:rPr>
          <w:rFonts w:ascii="Book Antiqua"/>
          <w:rtl w:val="0"/>
          <w:lang w:val="it-IT"/>
        </w:rPr>
        <w:t>ricorrenti, cui l'AGCM ha affiancato alcune proposte, riassunte nello schema sotto riportato</w:t>
      </w: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rPr>
      </w:pPr>
    </w:p>
    <w:p>
      <w:pPr>
        <w:pStyle w:val="Normal"/>
        <w:jc w:val="both"/>
        <w:rPr>
          <w:rFonts w:ascii="Book Antiqua" w:cs="Book Antiqua" w:hAnsi="Book Antiqua" w:eastAsia="Book Antiqua"/>
        </w:rPr>
      </w:pPr>
    </w:p>
    <w:tbl>
      <w:tblPr>
        <w:tblW w:w="8505" w:type="dxa"/>
        <w:jc w:val="center"/>
        <w:tblInd w:w="108" w:type="dxa"/>
        <w:tblBorders>
          <w:top w:val="single" w:color="000000" w:sz="2" w:space="0" w:shadow="0" w:frame="0"/>
          <w:left w:val="single" w:color="000000" w:sz="2" w:space="0" w:shadow="0" w:frame="0"/>
          <w:bottom w:val="single" w:color="000000" w:sz="2" w:space="0" w:shadow="0" w:frame="0"/>
          <w:right w:val="single" w:color="000000" w:sz="2" w:space="0" w:shadow="0" w:frame="0"/>
          <w:insideH w:val="single" w:color="000000" w:sz="2" w:space="0" w:shadow="0" w:frame="0"/>
          <w:insideV w:val="single" w:color="000000" w:sz="2" w:space="0" w:shadow="0" w:frame="0"/>
        </w:tblBorders>
        <w:shd w:val="clear" w:color="auto" w:fill="auto"/>
        <w:tblLayout w:type="fixed"/>
      </w:tblPr>
      <w:tblGrid>
        <w:gridCol w:w="4022"/>
        <w:gridCol w:w="4483"/>
      </w:tblGrid>
      <w:tr>
        <w:tblPrEx>
          <w:shd w:val="clear" w:color="auto" w:fill="auto"/>
        </w:tblPrEx>
        <w:trPr>
          <w:trHeight w:val="582" w:hRule="atLeast"/>
        </w:trPr>
        <w:tc>
          <w:tcPr>
            <w:tcW w:type="dxa" w:w="4022"/>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center"/>
          </w:tcPr>
          <w:p>
            <w:pPr>
              <w:pStyle w:val="Normal"/>
              <w:spacing w:before="240" w:after="240"/>
              <w:jc w:val="center"/>
            </w:pPr>
            <w:r>
              <w:rPr>
                <w:rFonts w:ascii="Arial Bold"/>
                <w:caps w:val="0"/>
                <w:smallCaps w:val="0"/>
                <w:strike w:val="0"/>
                <w:dstrike w:val="0"/>
                <w:outline w:val="0"/>
                <w:color w:val="000000"/>
                <w:spacing w:val="0"/>
                <w:kern w:val="0"/>
                <w:position w:val="0"/>
                <w:sz w:val="22"/>
                <w:szCs w:val="22"/>
                <w:u w:val="none" w:color="000000"/>
                <w:vertAlign w:val="baseline"/>
                <w:rtl w:val="0"/>
                <w:lang w:val="it-IT"/>
              </w:rPr>
              <w:t>Criticit</w:t>
            </w:r>
            <w:r>
              <w:rPr>
                <w:rFonts w:hAnsi="Arial Bold" w:hint="default"/>
                <w:caps w:val="0"/>
                <w:smallCaps w:val="0"/>
                <w:strike w:val="0"/>
                <w:dstrike w:val="0"/>
                <w:outline w:val="0"/>
                <w:color w:val="000000"/>
                <w:spacing w:val="0"/>
                <w:kern w:val="0"/>
                <w:position w:val="0"/>
                <w:sz w:val="22"/>
                <w:szCs w:val="22"/>
                <w:u w:val="none" w:color="000000"/>
                <w:vertAlign w:val="baseline"/>
                <w:rtl w:val="0"/>
                <w:lang w:val="it-IT"/>
              </w:rPr>
              <w:t xml:space="preserve">à </w:t>
            </w:r>
            <w:r>
              <w:rPr>
                <w:rFonts w:ascii="Arial Bold"/>
                <w:caps w:val="0"/>
                <w:smallCaps w:val="0"/>
                <w:strike w:val="0"/>
                <w:dstrike w:val="0"/>
                <w:outline w:val="0"/>
                <w:color w:val="000000"/>
                <w:spacing w:val="0"/>
                <w:kern w:val="0"/>
                <w:position w:val="0"/>
                <w:sz w:val="22"/>
                <w:szCs w:val="22"/>
                <w:u w:val="none" w:color="000000"/>
                <w:vertAlign w:val="baseline"/>
                <w:rtl w:val="0"/>
                <w:lang w:val="it-IT"/>
              </w:rPr>
              <w:t>riscontrate</w:t>
            </w:r>
          </w:p>
        </w:tc>
        <w:tc>
          <w:tcPr>
            <w:tcW w:type="dxa" w:w="4483"/>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center"/>
          </w:tcPr>
          <w:p>
            <w:pPr>
              <w:pStyle w:val="Normal"/>
              <w:spacing w:before="240" w:after="240"/>
              <w:jc w:val="center"/>
            </w:pPr>
            <w:r>
              <w:rPr>
                <w:rFonts w:ascii="Arial Bold"/>
                <w:caps w:val="0"/>
                <w:smallCaps w:val="0"/>
                <w:strike w:val="0"/>
                <w:dstrike w:val="0"/>
                <w:outline w:val="0"/>
                <w:color w:val="000000"/>
                <w:spacing w:val="0"/>
                <w:kern w:val="0"/>
                <w:position w:val="0"/>
                <w:sz w:val="22"/>
                <w:szCs w:val="22"/>
                <w:u w:val="none" w:color="000000"/>
                <w:vertAlign w:val="baseline"/>
                <w:rtl w:val="0"/>
                <w:lang w:val="it-IT"/>
              </w:rPr>
              <w:t>Proposta Agcm</w:t>
            </w:r>
            <w:r>
              <w:rPr>
                <w:rFonts w:hAnsi="Arial Bold" w:hint="default"/>
                <w:caps w:val="0"/>
                <w:smallCaps w:val="0"/>
                <w:strike w:val="0"/>
                <w:dstrike w:val="0"/>
                <w:outline w:val="0"/>
                <w:color w:val="000000"/>
                <w:spacing w:val="0"/>
                <w:kern w:val="0"/>
                <w:position w:val="0"/>
                <w:sz w:val="22"/>
                <w:szCs w:val="22"/>
                <w:u w:val="none" w:color="000000"/>
                <w:vertAlign w:val="baseline"/>
                <w:rtl w:val="0"/>
                <w:lang w:val="it-IT"/>
              </w:rPr>
              <w:t> </w:t>
            </w:r>
          </w:p>
        </w:tc>
      </w:tr>
      <w:tr>
        <w:tblPrEx>
          <w:shd w:val="clear" w:color="auto" w:fill="auto"/>
        </w:tblPrEx>
        <w:trPr>
          <w:trHeight w:val="1015" w:hRule="atLeast"/>
        </w:trPr>
        <w:tc>
          <w:tcPr>
            <w:tcW w:type="dxa" w:w="4022"/>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center"/>
          </w:tcPr>
          <w:p>
            <w:pPr>
              <w:pStyle w:val="Normal"/>
              <w:spacing w:before="240" w:after="240"/>
              <w:jc w:val="center"/>
            </w:pPr>
            <w:r>
              <w:rPr>
                <w:rFonts w:ascii="Arial"/>
                <w:caps w:val="0"/>
                <w:smallCaps w:val="0"/>
                <w:strike w:val="0"/>
                <w:dstrike w:val="0"/>
                <w:outline w:val="0"/>
                <w:color w:val="000000"/>
                <w:spacing w:val="0"/>
                <w:kern w:val="0"/>
                <w:position w:val="0"/>
                <w:sz w:val="19"/>
                <w:szCs w:val="19"/>
                <w:u w:val="none" w:color="000000"/>
                <w:vertAlign w:val="baseline"/>
                <w:rtl w:val="0"/>
                <w:lang w:val="it-IT"/>
              </w:rPr>
              <w:t>eccessivo ricorso all'affidamento diretto in house</w:t>
            </w:r>
          </w:p>
        </w:tc>
        <w:tc>
          <w:tcPr>
            <w:tcW w:type="dxa" w:w="4483"/>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center"/>
          </w:tcPr>
          <w:p>
            <w:pPr>
              <w:pStyle w:val="Normal"/>
              <w:spacing w:before="240" w:after="240"/>
              <w:jc w:val="center"/>
            </w:pPr>
            <w:r>
              <w:rPr>
                <w:rFonts w:ascii="Arial"/>
                <w:caps w:val="0"/>
                <w:smallCaps w:val="0"/>
                <w:strike w:val="0"/>
                <w:dstrike w:val="0"/>
                <w:outline w:val="0"/>
                <w:color w:val="000000"/>
                <w:spacing w:val="0"/>
                <w:kern w:val="0"/>
                <w:position w:val="0"/>
                <w:sz w:val="19"/>
                <w:szCs w:val="19"/>
                <w:u w:val="none" w:color="000000"/>
                <w:vertAlign w:val="baseline"/>
                <w:rtl w:val="0"/>
                <w:lang w:val="it-IT"/>
              </w:rPr>
              <w:t>preferibile il regime di gara, cui si dovrebbe derogare solo nel rispetto della normativa UE e previo benchmarking di efficienza</w:t>
            </w:r>
          </w:p>
        </w:tc>
      </w:tr>
      <w:tr>
        <w:tblPrEx>
          <w:shd w:val="clear" w:color="auto" w:fill="auto"/>
        </w:tblPrEx>
        <w:trPr>
          <w:trHeight w:val="1015" w:hRule="atLeast"/>
        </w:trPr>
        <w:tc>
          <w:tcPr>
            <w:tcW w:type="dxa" w:w="4022"/>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center"/>
          </w:tcPr>
          <w:p>
            <w:pPr>
              <w:pStyle w:val="Normal"/>
              <w:spacing w:before="240" w:after="240"/>
              <w:jc w:val="center"/>
            </w:pPr>
            <w:r>
              <w:rPr>
                <w:rFonts w:ascii="Arial"/>
                <w:caps w:val="0"/>
                <w:smallCaps w:val="0"/>
                <w:strike w:val="0"/>
                <w:dstrike w:val="0"/>
                <w:outline w:val="0"/>
                <w:color w:val="000000"/>
                <w:spacing w:val="0"/>
                <w:kern w:val="0"/>
                <w:position w:val="0"/>
                <w:sz w:val="19"/>
                <w:szCs w:val="19"/>
                <w:u w:val="none" w:color="000000"/>
                <w:vertAlign w:val="baseline"/>
                <w:rtl w:val="0"/>
                <w:lang w:val="it-IT"/>
              </w:rPr>
              <w:t>durata eccessiva degli affidamenti (15-20 anni)</w:t>
            </w:r>
          </w:p>
        </w:tc>
        <w:tc>
          <w:tcPr>
            <w:tcW w:type="dxa" w:w="4483"/>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center"/>
          </w:tcPr>
          <w:p>
            <w:pPr>
              <w:pStyle w:val="Normal"/>
              <w:spacing w:before="240" w:after="240"/>
              <w:jc w:val="center"/>
            </w:pPr>
            <w:r>
              <w:rPr>
                <w:rFonts w:ascii="Arial"/>
                <w:caps w:val="0"/>
                <w:smallCaps w:val="0"/>
                <w:strike w:val="0"/>
                <w:dstrike w:val="0"/>
                <w:outline w:val="0"/>
                <w:color w:val="000000"/>
                <w:spacing w:val="0"/>
                <w:kern w:val="0"/>
                <w:position w:val="0"/>
                <w:sz w:val="19"/>
                <w:szCs w:val="19"/>
                <w:u w:val="none" w:color="000000"/>
                <w:vertAlign w:val="baseline"/>
                <w:rtl w:val="0"/>
                <w:lang w:val="it-IT"/>
              </w:rPr>
              <w:t>la durata dovrebbe essere proporzionale al tempo di recupero degli investimenti, che per la sola attivit</w:t>
            </w:r>
            <w:r>
              <w:rPr>
                <w:rFonts w:hAnsi="Arial" w:hint="default"/>
                <w:caps w:val="0"/>
                <w:smallCaps w:val="0"/>
                <w:strike w:val="0"/>
                <w:dstrike w:val="0"/>
                <w:outline w:val="0"/>
                <w:color w:val="000000"/>
                <w:spacing w:val="0"/>
                <w:kern w:val="0"/>
                <w:position w:val="0"/>
                <w:sz w:val="19"/>
                <w:szCs w:val="19"/>
                <w:u w:val="none" w:color="000000"/>
                <w:vertAlign w:val="baseline"/>
                <w:rtl w:val="0"/>
                <w:lang w:val="it-IT"/>
              </w:rPr>
              <w:t xml:space="preserve">à </w:t>
            </w:r>
            <w:r>
              <w:rPr>
                <w:rFonts w:ascii="Arial"/>
                <w:caps w:val="0"/>
                <w:smallCaps w:val="0"/>
                <w:strike w:val="0"/>
                <w:dstrike w:val="0"/>
                <w:outline w:val="0"/>
                <w:color w:val="000000"/>
                <w:spacing w:val="0"/>
                <w:kern w:val="0"/>
                <w:position w:val="0"/>
                <w:sz w:val="19"/>
                <w:szCs w:val="19"/>
                <w:u w:val="none" w:color="000000"/>
                <w:vertAlign w:val="baseline"/>
                <w:rtl w:val="0"/>
                <w:lang w:val="it-IT"/>
              </w:rPr>
              <w:t xml:space="preserve">di raccolta </w:t>
            </w:r>
            <w:r>
              <w:rPr>
                <w:rFonts w:hAnsi="Arial" w:hint="default"/>
                <w:caps w:val="0"/>
                <w:smallCaps w:val="0"/>
                <w:strike w:val="0"/>
                <w:dstrike w:val="0"/>
                <w:outline w:val="0"/>
                <w:color w:val="000000"/>
                <w:spacing w:val="0"/>
                <w:kern w:val="0"/>
                <w:position w:val="0"/>
                <w:sz w:val="19"/>
                <w:szCs w:val="19"/>
                <w:u w:val="none" w:color="000000"/>
                <w:vertAlign w:val="baseline"/>
                <w:rtl w:val="0"/>
                <w:lang w:val="it-IT"/>
              </w:rPr>
              <w:t xml:space="preserve">è </w:t>
            </w:r>
            <w:r>
              <w:rPr>
                <w:rFonts w:ascii="Arial"/>
                <w:caps w:val="0"/>
                <w:smallCaps w:val="0"/>
                <w:strike w:val="0"/>
                <w:dstrike w:val="0"/>
                <w:outline w:val="0"/>
                <w:color w:val="000000"/>
                <w:spacing w:val="0"/>
                <w:kern w:val="0"/>
                <w:position w:val="0"/>
                <w:sz w:val="19"/>
                <w:szCs w:val="19"/>
                <w:u w:val="none" w:color="000000"/>
                <w:vertAlign w:val="baseline"/>
                <w:rtl w:val="0"/>
                <w:lang w:val="it-IT"/>
              </w:rPr>
              <w:t>stimato dall'Agcm in 5 anni</w:t>
            </w:r>
          </w:p>
        </w:tc>
      </w:tr>
      <w:tr>
        <w:tblPrEx>
          <w:shd w:val="clear" w:color="auto" w:fill="auto"/>
        </w:tblPrEx>
        <w:trPr>
          <w:trHeight w:val="1015" w:hRule="atLeast"/>
        </w:trPr>
        <w:tc>
          <w:tcPr>
            <w:tcW w:type="dxa" w:w="4022"/>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center"/>
          </w:tcPr>
          <w:p>
            <w:pPr>
              <w:pStyle w:val="Normal"/>
              <w:spacing w:before="240" w:after="240"/>
              <w:jc w:val="center"/>
            </w:pPr>
            <w:r>
              <w:rPr>
                <w:rFonts w:ascii="Arial"/>
                <w:caps w:val="0"/>
                <w:smallCaps w:val="0"/>
                <w:strike w:val="0"/>
                <w:dstrike w:val="0"/>
                <w:outline w:val="0"/>
                <w:color w:val="000000"/>
                <w:spacing w:val="0"/>
                <w:kern w:val="0"/>
                <w:position w:val="0"/>
                <w:sz w:val="19"/>
                <w:szCs w:val="19"/>
                <w:u w:val="none" w:color="000000"/>
                <w:vertAlign w:val="baseline"/>
                <w:rtl w:val="0"/>
                <w:lang w:val="it-IT"/>
              </w:rPr>
              <w:t>eterogeneit</w:t>
            </w:r>
            <w:r>
              <w:rPr>
                <w:rFonts w:hAnsi="Arial" w:hint="default"/>
                <w:caps w:val="0"/>
                <w:smallCaps w:val="0"/>
                <w:strike w:val="0"/>
                <w:dstrike w:val="0"/>
                <w:outline w:val="0"/>
                <w:color w:val="000000"/>
                <w:spacing w:val="0"/>
                <w:kern w:val="0"/>
                <w:position w:val="0"/>
                <w:sz w:val="19"/>
                <w:szCs w:val="19"/>
                <w:u w:val="none" w:color="000000"/>
                <w:vertAlign w:val="baseline"/>
                <w:rtl w:val="0"/>
                <w:lang w:val="it-IT"/>
              </w:rPr>
              <w:t xml:space="preserve">à </w:t>
            </w:r>
            <w:r>
              <w:rPr>
                <w:rFonts w:ascii="Arial"/>
                <w:caps w:val="0"/>
                <w:smallCaps w:val="0"/>
                <w:strike w:val="0"/>
                <w:dstrike w:val="0"/>
                <w:outline w:val="0"/>
                <w:color w:val="000000"/>
                <w:spacing w:val="0"/>
                <w:kern w:val="0"/>
                <w:position w:val="0"/>
                <w:sz w:val="19"/>
                <w:szCs w:val="19"/>
                <w:u w:val="none" w:color="000000"/>
                <w:vertAlign w:val="baseline"/>
                <w:rtl w:val="0"/>
                <w:lang w:val="it-IT"/>
              </w:rPr>
              <w:t>dimensionale degli Ato (da infraprovinciale a regionale)</w:t>
            </w:r>
          </w:p>
        </w:tc>
        <w:tc>
          <w:tcPr>
            <w:tcW w:type="dxa" w:w="4483"/>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center"/>
          </w:tcPr>
          <w:p>
            <w:pPr>
              <w:pStyle w:val="Normal"/>
              <w:spacing w:before="240" w:after="240"/>
              <w:jc w:val="center"/>
            </w:pPr>
            <w:r>
              <w:rPr>
                <w:rFonts w:ascii="Arial"/>
                <w:caps w:val="0"/>
                <w:smallCaps w:val="0"/>
                <w:strike w:val="0"/>
                <w:dstrike w:val="0"/>
                <w:outline w:val="0"/>
                <w:color w:val="000000"/>
                <w:spacing w:val="0"/>
                <w:kern w:val="0"/>
                <w:position w:val="0"/>
                <w:sz w:val="19"/>
                <w:szCs w:val="19"/>
                <w:u w:val="none" w:color="000000"/>
                <w:vertAlign w:val="baseline"/>
                <w:rtl w:val="0"/>
                <w:lang w:val="it-IT"/>
              </w:rPr>
              <w:t xml:space="preserve">la dimensione regionale </w:t>
            </w:r>
            <w:r>
              <w:rPr>
                <w:rFonts w:hAnsi="Arial" w:hint="default"/>
                <w:caps w:val="0"/>
                <w:smallCaps w:val="0"/>
                <w:strike w:val="0"/>
                <w:dstrike w:val="0"/>
                <w:outline w:val="0"/>
                <w:color w:val="000000"/>
                <w:spacing w:val="0"/>
                <w:kern w:val="0"/>
                <w:position w:val="0"/>
                <w:sz w:val="19"/>
                <w:szCs w:val="19"/>
                <w:u w:val="none" w:color="000000"/>
                <w:vertAlign w:val="baseline"/>
                <w:rtl w:val="0"/>
                <w:lang w:val="it-IT"/>
              </w:rPr>
              <w:t xml:space="preserve">è </w:t>
            </w:r>
            <w:r>
              <w:rPr>
                <w:rFonts w:ascii="Arial"/>
                <w:caps w:val="0"/>
                <w:smallCaps w:val="0"/>
                <w:strike w:val="0"/>
                <w:dstrike w:val="0"/>
                <w:outline w:val="0"/>
                <w:color w:val="000000"/>
                <w:spacing w:val="0"/>
                <w:kern w:val="0"/>
                <w:position w:val="0"/>
                <w:sz w:val="19"/>
                <w:szCs w:val="19"/>
                <w:u w:val="none" w:color="000000"/>
                <w:vertAlign w:val="baseline"/>
                <w:rtl w:val="0"/>
                <w:lang w:val="it-IT"/>
              </w:rPr>
              <w:t>valutata pi</w:t>
            </w:r>
            <w:r>
              <w:rPr>
                <w:rFonts w:hAnsi="Arial" w:hint="default"/>
                <w:caps w:val="0"/>
                <w:smallCaps w:val="0"/>
                <w:strike w:val="0"/>
                <w:dstrike w:val="0"/>
                <w:outline w:val="0"/>
                <w:color w:val="000000"/>
                <w:spacing w:val="0"/>
                <w:kern w:val="0"/>
                <w:position w:val="0"/>
                <w:sz w:val="19"/>
                <w:szCs w:val="19"/>
                <w:u w:val="none" w:color="000000"/>
                <w:vertAlign w:val="baseline"/>
                <w:rtl w:val="0"/>
                <w:lang w:val="it-IT"/>
              </w:rPr>
              <w:t xml:space="preserve">ù </w:t>
            </w:r>
            <w:r>
              <w:rPr>
                <w:rFonts w:ascii="Arial"/>
                <w:caps w:val="0"/>
                <w:smallCaps w:val="0"/>
                <w:strike w:val="0"/>
                <w:dstrike w:val="0"/>
                <w:outline w:val="0"/>
                <w:color w:val="000000"/>
                <w:spacing w:val="0"/>
                <w:kern w:val="0"/>
                <w:position w:val="0"/>
                <w:sz w:val="19"/>
                <w:szCs w:val="19"/>
                <w:u w:val="none" w:color="000000"/>
                <w:vertAlign w:val="baseline"/>
                <w:rtl w:val="0"/>
                <w:lang w:val="it-IT"/>
              </w:rPr>
              <w:t>efficiente per la chiusura del ciclo dei rifiuti, compreso il recupero energetico e lo smaltimento</w:t>
            </w:r>
          </w:p>
        </w:tc>
      </w:tr>
      <w:tr>
        <w:tblPrEx>
          <w:shd w:val="clear" w:color="auto" w:fill="auto"/>
        </w:tblPrEx>
        <w:trPr>
          <w:trHeight w:val="1225" w:hRule="atLeast"/>
        </w:trPr>
        <w:tc>
          <w:tcPr>
            <w:tcW w:type="dxa" w:w="4022"/>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center"/>
          </w:tcPr>
          <w:p>
            <w:pPr>
              <w:pStyle w:val="Normal"/>
              <w:spacing w:before="240" w:after="240"/>
              <w:jc w:val="center"/>
            </w:pPr>
            <w:r>
              <w:rPr>
                <w:rFonts w:ascii="Arial"/>
                <w:caps w:val="0"/>
                <w:smallCaps w:val="0"/>
                <w:strike w:val="0"/>
                <w:dstrike w:val="0"/>
                <w:outline w:val="0"/>
                <w:color w:val="000000"/>
                <w:spacing w:val="0"/>
                <w:kern w:val="0"/>
                <w:position w:val="0"/>
                <w:sz w:val="19"/>
                <w:szCs w:val="19"/>
                <w:u w:val="none" w:color="000000"/>
                <w:vertAlign w:val="baseline"/>
                <w:rtl w:val="0"/>
                <w:lang w:val="it-IT"/>
              </w:rPr>
              <w:t>bacini di raccolta non calibrati sulla dimensione ottimale, spesso troppo piccoli, ma in alcuni casi eccessivamente ampi</w:t>
            </w:r>
          </w:p>
        </w:tc>
        <w:tc>
          <w:tcPr>
            <w:tcW w:type="dxa" w:w="4483"/>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center"/>
          </w:tcPr>
          <w:p>
            <w:pPr>
              <w:pStyle w:val="Normal"/>
              <w:spacing w:before="240" w:after="240"/>
              <w:jc w:val="center"/>
            </w:pPr>
            <w:r>
              <w:rPr>
                <w:rFonts w:ascii="Arial"/>
                <w:caps w:val="0"/>
                <w:smallCaps w:val="0"/>
                <w:strike w:val="0"/>
                <w:dstrike w:val="0"/>
                <w:outline w:val="0"/>
                <w:color w:val="000000"/>
                <w:spacing w:val="0"/>
                <w:kern w:val="0"/>
                <w:position w:val="0"/>
                <w:sz w:val="19"/>
                <w:szCs w:val="19"/>
                <w:u w:val="none" w:color="000000"/>
                <w:vertAlign w:val="baseline"/>
                <w:rtl w:val="0"/>
                <w:lang w:val="it-IT"/>
              </w:rPr>
              <w:t>favorire accorpamenti e suddivisioni per raggiungere la dimensione ottimale, stimata dall'Agcm in volumi di raccolta annui fra 80mila-90mila tonnellate e una popolazione servita fra 30mila e 100mila abitanti</w:t>
            </w:r>
          </w:p>
        </w:tc>
      </w:tr>
      <w:tr>
        <w:tblPrEx>
          <w:shd w:val="clear" w:color="auto" w:fill="auto"/>
        </w:tblPrEx>
        <w:trPr>
          <w:trHeight w:val="1238" w:hRule="atLeast"/>
        </w:trPr>
        <w:tc>
          <w:tcPr>
            <w:tcW w:type="dxa" w:w="4022"/>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center"/>
          </w:tcPr>
          <w:p>
            <w:pPr>
              <w:pStyle w:val="Normal"/>
              <w:spacing w:before="240" w:after="240"/>
              <w:jc w:val="center"/>
            </w:pPr>
            <w:r>
              <w:rPr>
                <w:rFonts w:ascii="Arial"/>
                <w:caps w:val="0"/>
                <w:smallCaps w:val="0"/>
                <w:strike w:val="0"/>
                <w:dstrike w:val="0"/>
                <w:outline w:val="0"/>
                <w:color w:val="000000"/>
                <w:spacing w:val="0"/>
                <w:kern w:val="0"/>
                <w:position w:val="0"/>
                <w:sz w:val="19"/>
                <w:szCs w:val="19"/>
                <w:u w:val="none" w:color="000000"/>
                <w:vertAlign w:val="baseline"/>
                <w:rtl w:val="0"/>
                <w:lang w:val="it-IT"/>
              </w:rPr>
              <w:t xml:space="preserve">la privativa comunale </w:t>
            </w:r>
            <w:r>
              <w:rPr>
                <w:rFonts w:hAnsi="Arial" w:hint="default"/>
                <w:caps w:val="0"/>
                <w:smallCaps w:val="0"/>
                <w:strike w:val="0"/>
                <w:dstrike w:val="0"/>
                <w:outline w:val="0"/>
                <w:color w:val="000000"/>
                <w:spacing w:val="0"/>
                <w:kern w:val="0"/>
                <w:position w:val="0"/>
                <w:sz w:val="19"/>
                <w:szCs w:val="19"/>
                <w:u w:val="none" w:color="000000"/>
                <w:vertAlign w:val="baseline"/>
                <w:rtl w:val="0"/>
                <w:lang w:val="it-IT"/>
              </w:rPr>
              <w:t xml:space="preserve">è </w:t>
            </w:r>
            <w:r>
              <w:rPr>
                <w:rFonts w:ascii="Arial"/>
                <w:caps w:val="0"/>
                <w:smallCaps w:val="0"/>
                <w:strike w:val="0"/>
                <w:dstrike w:val="0"/>
                <w:outline w:val="0"/>
                <w:color w:val="000000"/>
                <w:spacing w:val="0"/>
                <w:kern w:val="0"/>
                <w:position w:val="0"/>
                <w:sz w:val="19"/>
                <w:szCs w:val="19"/>
                <w:u w:val="none" w:color="000000"/>
                <w:vertAlign w:val="baseline"/>
                <w:rtl w:val="0"/>
                <w:lang w:val="it-IT"/>
              </w:rPr>
              <w:t>troppo estesa sia verticalmente (gestione integrata del servizio) sia orizzontalmente (assimilazione discrezionale dei rifiuti speciali agli urbani da parte dei Comuni)</w:t>
            </w:r>
          </w:p>
        </w:tc>
        <w:tc>
          <w:tcPr>
            <w:tcW w:type="dxa" w:w="4483"/>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center"/>
          </w:tcPr>
          <w:p>
            <w:pPr>
              <w:pStyle w:val="Normal"/>
              <w:spacing w:before="240" w:after="240"/>
              <w:jc w:val="center"/>
            </w:pPr>
            <w:r>
              <w:rPr>
                <w:rFonts w:ascii="Arial"/>
                <w:caps w:val="0"/>
                <w:smallCaps w:val="0"/>
                <w:strike w:val="0"/>
                <w:dstrike w:val="0"/>
                <w:outline w:val="0"/>
                <w:color w:val="000000"/>
                <w:spacing w:val="0"/>
                <w:kern w:val="0"/>
                <w:position w:val="0"/>
                <w:sz w:val="19"/>
                <w:szCs w:val="19"/>
                <w:u w:val="none" w:color="000000"/>
                <w:vertAlign w:val="baseline"/>
                <w:rtl w:val="0"/>
                <w:lang w:val="it-IT"/>
              </w:rPr>
              <w:t>evitare la gestione integrata della raccolta con le fasi a valle</w:t>
            </w:r>
            <w:r>
              <w:rPr>
                <w:rFonts w:ascii="Arial" w:cs="Arial" w:hAnsi="Arial" w:eastAsia="Arial"/>
                <w:caps w:val="0"/>
                <w:smallCaps w:val="0"/>
                <w:strike w:val="0"/>
                <w:dstrike w:val="0"/>
                <w:outline w:val="0"/>
                <w:color w:val="000000"/>
                <w:spacing w:val="0"/>
                <w:kern w:val="0"/>
                <w:position w:val="0"/>
                <w:sz w:val="19"/>
                <w:szCs w:val="19"/>
                <w:u w:val="none" w:color="000000"/>
                <w:vertAlign w:val="baseline"/>
                <w:rtl w:val="0"/>
                <w:lang w:val="it-IT"/>
              </w:rPr>
              <w:br w:type="textWrapping"/>
            </w:r>
            <w:r>
              <w:rPr>
                <w:rFonts w:ascii="Arial"/>
                <w:caps w:val="0"/>
                <w:smallCaps w:val="0"/>
                <w:strike w:val="0"/>
                <w:dstrike w:val="0"/>
                <w:outline w:val="0"/>
                <w:color w:val="000000"/>
                <w:spacing w:val="0"/>
                <w:kern w:val="0"/>
                <w:position w:val="0"/>
                <w:sz w:val="19"/>
                <w:szCs w:val="19"/>
                <w:u w:val="none" w:color="000000"/>
                <w:vertAlign w:val="baseline"/>
                <w:rtl w:val="0"/>
                <w:lang w:val="it-IT"/>
              </w:rPr>
              <w:t>eliminare la discrezionalit</w:t>
            </w:r>
            <w:r>
              <w:rPr>
                <w:rFonts w:hAnsi="Arial" w:hint="default"/>
                <w:caps w:val="0"/>
                <w:smallCaps w:val="0"/>
                <w:strike w:val="0"/>
                <w:dstrike w:val="0"/>
                <w:outline w:val="0"/>
                <w:color w:val="000000"/>
                <w:spacing w:val="0"/>
                <w:kern w:val="0"/>
                <w:position w:val="0"/>
                <w:sz w:val="19"/>
                <w:szCs w:val="19"/>
                <w:u w:val="none" w:color="000000"/>
                <w:vertAlign w:val="baseline"/>
                <w:rtl w:val="0"/>
                <w:lang w:val="it-IT"/>
              </w:rPr>
              <w:t xml:space="preserve">à </w:t>
            </w:r>
            <w:r>
              <w:rPr>
                <w:rFonts w:ascii="Arial"/>
                <w:caps w:val="0"/>
                <w:smallCaps w:val="0"/>
                <w:strike w:val="0"/>
                <w:dstrike w:val="0"/>
                <w:outline w:val="0"/>
                <w:color w:val="000000"/>
                <w:spacing w:val="0"/>
                <w:kern w:val="0"/>
                <w:position w:val="0"/>
                <w:sz w:val="19"/>
                <w:szCs w:val="19"/>
                <w:u w:val="none" w:color="000000"/>
                <w:vertAlign w:val="baseline"/>
                <w:rtl w:val="0"/>
                <w:lang w:val="it-IT"/>
              </w:rPr>
              <w:t>comunale nell'assimilazione</w:t>
            </w:r>
          </w:p>
        </w:tc>
      </w:tr>
      <w:tr>
        <w:tblPrEx>
          <w:shd w:val="clear" w:color="auto" w:fill="auto"/>
        </w:tblPrEx>
        <w:trPr>
          <w:trHeight w:val="792" w:hRule="atLeast"/>
        </w:trPr>
        <w:tc>
          <w:tcPr>
            <w:tcW w:type="dxa" w:w="4022"/>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center"/>
          </w:tcPr>
          <w:p>
            <w:pPr>
              <w:pStyle w:val="Normal"/>
              <w:spacing w:before="240" w:after="240"/>
              <w:jc w:val="center"/>
            </w:pPr>
            <w:r>
              <w:rPr>
                <w:rFonts w:ascii="Arial"/>
                <w:caps w:val="0"/>
                <w:smallCaps w:val="0"/>
                <w:strike w:val="0"/>
                <w:dstrike w:val="0"/>
                <w:outline w:val="0"/>
                <w:color w:val="000000"/>
                <w:spacing w:val="0"/>
                <w:kern w:val="0"/>
                <w:position w:val="0"/>
                <w:sz w:val="19"/>
                <w:szCs w:val="19"/>
                <w:u w:val="none" w:color="000000"/>
                <w:vertAlign w:val="baseline"/>
                <w:rtl w:val="0"/>
                <w:lang w:val="it-IT"/>
              </w:rPr>
              <w:t>Ciclo indifferenziati: troppa poca termovalorizzazione, troppa discarica</w:t>
            </w:r>
          </w:p>
        </w:tc>
        <w:tc>
          <w:tcPr>
            <w:tcW w:type="dxa" w:w="4483"/>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center"/>
          </w:tcPr>
          <w:p>
            <w:pPr>
              <w:pStyle w:val="Normal"/>
              <w:spacing w:before="240" w:after="240"/>
              <w:jc w:val="center"/>
            </w:pPr>
            <w:r>
              <w:rPr>
                <w:rFonts w:ascii="Arial"/>
                <w:caps w:val="0"/>
                <w:smallCaps w:val="0"/>
                <w:strike w:val="0"/>
                <w:dstrike w:val="0"/>
                <w:outline w:val="0"/>
                <w:color w:val="000000"/>
                <w:spacing w:val="0"/>
                <w:kern w:val="0"/>
                <w:position w:val="0"/>
                <w:sz w:val="19"/>
                <w:szCs w:val="19"/>
                <w:u w:val="none" w:color="000000"/>
                <w:vertAlign w:val="baseline"/>
                <w:rtl w:val="0"/>
                <w:lang w:val="it-IT"/>
              </w:rPr>
              <w:t>incentivare e liberalizzare il recupero energetico</w:t>
            </w:r>
            <w:r>
              <w:rPr>
                <w:rFonts w:ascii="Arial" w:cs="Arial" w:hAnsi="Arial" w:eastAsia="Arial"/>
                <w:caps w:val="0"/>
                <w:smallCaps w:val="0"/>
                <w:strike w:val="0"/>
                <w:dstrike w:val="0"/>
                <w:outline w:val="0"/>
                <w:color w:val="000000"/>
                <w:spacing w:val="0"/>
                <w:kern w:val="0"/>
                <w:position w:val="0"/>
                <w:sz w:val="19"/>
                <w:szCs w:val="19"/>
                <w:u w:val="none" w:color="000000"/>
                <w:vertAlign w:val="baseline"/>
                <w:rtl w:val="0"/>
                <w:lang w:val="it-IT"/>
              </w:rPr>
              <w:br w:type="textWrapping"/>
            </w:r>
            <w:r>
              <w:rPr>
                <w:rFonts w:ascii="Arial"/>
                <w:caps w:val="0"/>
                <w:smallCaps w:val="0"/>
                <w:strike w:val="0"/>
                <w:dstrike w:val="0"/>
                <w:outline w:val="0"/>
                <w:color w:val="000000"/>
                <w:spacing w:val="0"/>
                <w:kern w:val="0"/>
                <w:position w:val="0"/>
                <w:sz w:val="19"/>
                <w:szCs w:val="19"/>
                <w:u w:val="none" w:color="000000"/>
                <w:vertAlign w:val="baseline"/>
                <w:rtl w:val="0"/>
                <w:lang w:val="it-IT"/>
              </w:rPr>
              <w:t>aumentare le ecotasse sulla discarica</w:t>
            </w:r>
          </w:p>
        </w:tc>
      </w:tr>
      <w:tr>
        <w:tblPrEx>
          <w:shd w:val="clear" w:color="auto" w:fill="auto"/>
        </w:tblPrEx>
        <w:trPr>
          <w:trHeight w:val="805" w:hRule="atLeast"/>
        </w:trPr>
        <w:tc>
          <w:tcPr>
            <w:tcW w:type="dxa" w:w="4022"/>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center"/>
          </w:tcPr>
          <w:p>
            <w:pPr>
              <w:pStyle w:val="Normal"/>
              <w:spacing w:before="240" w:after="240"/>
              <w:jc w:val="center"/>
            </w:pPr>
            <w:r>
              <w:rPr>
                <w:rFonts w:ascii="Arial"/>
                <w:caps w:val="0"/>
                <w:smallCaps w:val="0"/>
                <w:strike w:val="0"/>
                <w:dstrike w:val="0"/>
                <w:outline w:val="0"/>
                <w:color w:val="000000"/>
                <w:spacing w:val="0"/>
                <w:kern w:val="0"/>
                <w:position w:val="0"/>
                <w:sz w:val="19"/>
                <w:szCs w:val="19"/>
                <w:u w:val="none" w:color="000000"/>
                <w:vertAlign w:val="baseline"/>
                <w:rtl w:val="0"/>
                <w:lang w:val="it-IT"/>
              </w:rPr>
              <w:t>Raccolta differenziata: riciclo degli imballaggi insufficiente ed inefficiente</w:t>
            </w:r>
          </w:p>
        </w:tc>
        <w:tc>
          <w:tcPr>
            <w:tcW w:type="dxa" w:w="4483"/>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center"/>
          </w:tcPr>
          <w:p>
            <w:pPr>
              <w:pStyle w:val="Normal"/>
              <w:spacing w:before="240" w:after="240"/>
              <w:jc w:val="center"/>
            </w:pPr>
            <w:r>
              <w:rPr>
                <w:rFonts w:ascii="Arial"/>
                <w:caps w:val="0"/>
                <w:smallCaps w:val="0"/>
                <w:strike w:val="0"/>
                <w:dstrike w:val="0"/>
                <w:outline w:val="0"/>
                <w:color w:val="000000"/>
                <w:spacing w:val="0"/>
                <w:kern w:val="0"/>
                <w:position w:val="0"/>
                <w:sz w:val="19"/>
                <w:szCs w:val="19"/>
                <w:u w:val="none" w:color="000000"/>
                <w:vertAlign w:val="baseline"/>
                <w:rtl w:val="0"/>
                <w:lang w:val="it-IT"/>
              </w:rPr>
              <w:t>liberalizzazione del sistema consortile di recupero e riciclo</w:t>
            </w:r>
          </w:p>
        </w:tc>
      </w:tr>
      <w:tr>
        <w:tblPrEx>
          <w:shd w:val="clear" w:color="auto" w:fill="auto"/>
        </w:tblPrEx>
        <w:trPr>
          <w:trHeight w:val="1225" w:hRule="atLeast"/>
        </w:trPr>
        <w:tc>
          <w:tcPr>
            <w:tcW w:type="dxa" w:w="4022"/>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center"/>
          </w:tcPr>
          <w:p>
            <w:pPr>
              <w:pStyle w:val="Normal"/>
              <w:spacing w:before="240" w:after="240"/>
              <w:jc w:val="center"/>
            </w:pPr>
            <w:r>
              <w:rPr>
                <w:rFonts w:ascii="Arial"/>
                <w:caps w:val="0"/>
                <w:smallCaps w:val="0"/>
                <w:strike w:val="0"/>
                <w:dstrike w:val="0"/>
                <w:outline w:val="0"/>
                <w:color w:val="000000"/>
                <w:spacing w:val="0"/>
                <w:kern w:val="0"/>
                <w:position w:val="0"/>
                <w:sz w:val="19"/>
                <w:szCs w:val="19"/>
                <w:u w:val="none" w:color="000000"/>
                <w:vertAlign w:val="baseline"/>
                <w:rtl w:val="0"/>
                <w:lang w:val="it-IT"/>
              </w:rPr>
              <w:t>Inefficienza della regolazione diffusa</w:t>
            </w:r>
          </w:p>
        </w:tc>
        <w:tc>
          <w:tcPr>
            <w:tcW w:type="dxa" w:w="4483"/>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center"/>
          </w:tcPr>
          <w:p>
            <w:pPr>
              <w:pStyle w:val="Normal"/>
              <w:spacing w:before="240" w:after="240"/>
              <w:jc w:val="center"/>
            </w:pPr>
            <w:r>
              <w:rPr>
                <w:rFonts w:ascii="Arial"/>
                <w:caps w:val="0"/>
                <w:smallCaps w:val="0"/>
                <w:strike w:val="0"/>
                <w:dstrike w:val="0"/>
                <w:outline w:val="0"/>
                <w:color w:val="000000"/>
                <w:spacing w:val="0"/>
                <w:kern w:val="0"/>
                <w:position w:val="0"/>
                <w:sz w:val="19"/>
                <w:szCs w:val="19"/>
                <w:u w:val="none" w:color="000000"/>
                <w:vertAlign w:val="baseline"/>
                <w:rtl w:val="0"/>
                <w:lang w:val="it-IT"/>
              </w:rPr>
              <w:t>modello di regolazione centralizzata come nel caso dell</w:t>
            </w:r>
            <w:r>
              <w:rPr>
                <w:rFonts w:hAnsi="Arial" w:hint="default"/>
                <w:caps w:val="0"/>
                <w:smallCaps w:val="0"/>
                <w:strike w:val="0"/>
                <w:dstrike w:val="0"/>
                <w:outline w:val="0"/>
                <w:color w:val="000000"/>
                <w:spacing w:val="0"/>
                <w:kern w:val="0"/>
                <w:position w:val="0"/>
                <w:sz w:val="19"/>
                <w:szCs w:val="19"/>
                <w:u w:val="none" w:color="000000"/>
                <w:vertAlign w:val="baseline"/>
                <w:rtl w:val="0"/>
                <w:lang w:val="it-IT"/>
              </w:rPr>
              <w:t>’</w:t>
            </w:r>
            <w:r>
              <w:rPr>
                <w:rFonts w:ascii="Arial"/>
                <w:caps w:val="0"/>
                <w:smallCaps w:val="0"/>
                <w:strike w:val="0"/>
                <w:dstrike w:val="0"/>
                <w:outline w:val="0"/>
                <w:color w:val="000000"/>
                <w:spacing w:val="0"/>
                <w:kern w:val="0"/>
                <w:position w:val="0"/>
                <w:sz w:val="19"/>
                <w:szCs w:val="19"/>
                <w:u w:val="none" w:color="000000"/>
                <w:vertAlign w:val="baseline"/>
                <w:rtl w:val="0"/>
                <w:lang w:val="it-IT"/>
              </w:rPr>
              <w:t>Autorit</w:t>
            </w:r>
            <w:r>
              <w:rPr>
                <w:rFonts w:hAnsi="Arial" w:hint="default"/>
                <w:caps w:val="0"/>
                <w:smallCaps w:val="0"/>
                <w:strike w:val="0"/>
                <w:dstrike w:val="0"/>
                <w:outline w:val="0"/>
                <w:color w:val="000000"/>
                <w:spacing w:val="0"/>
                <w:kern w:val="0"/>
                <w:position w:val="0"/>
                <w:sz w:val="19"/>
                <w:szCs w:val="19"/>
                <w:u w:val="none" w:color="000000"/>
                <w:vertAlign w:val="baseline"/>
                <w:rtl w:val="0"/>
                <w:lang w:val="it-IT"/>
              </w:rPr>
              <w:t xml:space="preserve">à </w:t>
            </w:r>
            <w:r>
              <w:rPr>
                <w:rFonts w:ascii="Arial"/>
                <w:caps w:val="0"/>
                <w:smallCaps w:val="0"/>
                <w:strike w:val="0"/>
                <w:dstrike w:val="0"/>
                <w:outline w:val="0"/>
                <w:color w:val="000000"/>
                <w:spacing w:val="0"/>
                <w:kern w:val="0"/>
                <w:position w:val="0"/>
                <w:sz w:val="19"/>
                <w:szCs w:val="19"/>
                <w:u w:val="none" w:color="000000"/>
                <w:vertAlign w:val="baseline"/>
                <w:rtl w:val="0"/>
                <w:lang w:val="it-IT"/>
              </w:rPr>
              <w:t>per l</w:t>
            </w:r>
            <w:r>
              <w:rPr>
                <w:rFonts w:hAnsi="Arial" w:hint="default"/>
                <w:caps w:val="0"/>
                <w:smallCaps w:val="0"/>
                <w:strike w:val="0"/>
                <w:dstrike w:val="0"/>
                <w:outline w:val="0"/>
                <w:color w:val="000000"/>
                <w:spacing w:val="0"/>
                <w:kern w:val="0"/>
                <w:position w:val="0"/>
                <w:sz w:val="19"/>
                <w:szCs w:val="19"/>
                <w:u w:val="none" w:color="000000"/>
                <w:vertAlign w:val="baseline"/>
                <w:rtl w:val="0"/>
                <w:lang w:val="it-IT"/>
              </w:rPr>
              <w:t>’</w:t>
            </w:r>
            <w:r>
              <w:rPr>
                <w:rFonts w:ascii="Arial"/>
                <w:caps w:val="0"/>
                <w:smallCaps w:val="0"/>
                <w:strike w:val="0"/>
                <w:dstrike w:val="0"/>
                <w:outline w:val="0"/>
                <w:color w:val="000000"/>
                <w:spacing w:val="0"/>
                <w:kern w:val="0"/>
                <w:position w:val="0"/>
                <w:sz w:val="19"/>
                <w:szCs w:val="19"/>
                <w:u w:val="none" w:color="000000"/>
                <w:vertAlign w:val="baseline"/>
                <w:rtl w:val="0"/>
                <w:lang w:val="it-IT"/>
              </w:rPr>
              <w:t>energia (definizione parametri efficienza, vigilanza su enti locali, contratti-tipo, criteri per massimali tariffari)</w:t>
            </w:r>
          </w:p>
        </w:tc>
      </w:tr>
    </w:tbl>
    <w:p>
      <w:pPr>
        <w:pStyle w:val="Normal"/>
        <w:jc w:val="center"/>
        <w:rPr>
          <w:rFonts w:ascii="Book Antiqua" w:cs="Book Antiqua" w:hAnsi="Book Antiqua" w:eastAsia="Book Antiqua"/>
        </w:rPr>
      </w:pP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rPr>
      </w:pPr>
      <w:r>
        <w:rPr>
          <w:rFonts w:ascii="Book Antiqua"/>
          <w:rtl w:val="0"/>
          <w:lang w:val="it-IT"/>
        </w:rPr>
        <w:t xml:space="preserve">In merito alla questione AMA S.p.A. appare rilevante riportare alcune dichiarazioni di diversi soggetti istituzionali auditi dalla Commissione. </w:t>
      </w:r>
    </w:p>
    <w:p>
      <w:pPr>
        <w:pStyle w:val="Normal"/>
        <w:ind w:left="567" w:right="567" w:firstLine="0"/>
        <w:jc w:val="both"/>
        <w:rPr>
          <w:rFonts w:ascii="Book Antiqua" w:cs="Book Antiqua" w:hAnsi="Book Antiqua" w:eastAsia="Book Antiqua"/>
        </w:rPr>
      </w:pPr>
      <w:r>
        <w:rPr>
          <w:rFonts w:ascii="Book Antiqua"/>
          <w:rtl w:val="0"/>
          <w:lang w:val="it-IT"/>
        </w:rPr>
        <w:t>Alessandro Filippi</w:t>
      </w:r>
      <w:r>
        <w:rPr>
          <w:rFonts w:ascii="Book Antiqua"/>
          <w:i w:val="1"/>
          <w:iCs w:val="1"/>
          <w:rtl w:val="0"/>
          <w:lang w:val="it-IT"/>
        </w:rPr>
        <w:t xml:space="preserve">, </w:t>
      </w:r>
      <w:r>
        <w:rPr>
          <w:rFonts w:ascii="Book Antiqua"/>
          <w:rtl w:val="0"/>
          <w:lang w:val="it-IT"/>
        </w:rPr>
        <w:t>ex direttore generale di AMA S.p.A., audito il 26 ottobre 2016, parla di diversi argomenti importanti per l</w:t>
      </w:r>
      <w:r>
        <w:rPr>
          <w:rFonts w:hAnsi="Book Antiqua" w:hint="default"/>
          <w:rtl w:val="0"/>
          <w:lang w:val="it-IT"/>
        </w:rPr>
        <w:t>’</w:t>
      </w:r>
      <w:r>
        <w:rPr>
          <w:rFonts w:ascii="Book Antiqua"/>
          <w:rtl w:val="0"/>
          <w:lang w:val="it-IT"/>
        </w:rPr>
        <w:t xml:space="preserve">azienda. Uno dei maggiori problemi riguardava la mancanza di gare a favore di affidamenti diretti: </w:t>
      </w:r>
    </w:p>
    <w:p>
      <w:pPr>
        <w:pStyle w:val="Normal"/>
        <w:ind w:left="567" w:right="567" w:firstLine="0"/>
        <w:jc w:val="both"/>
        <w:rPr>
          <w:rFonts w:ascii="Book Antiqua" w:cs="Book Antiqua" w:hAnsi="Book Antiqua" w:eastAsia="Book Antiqua"/>
        </w:rPr>
      </w:pPr>
      <w:r>
        <w:rPr>
          <w:rFonts w:hAnsi="Book Antiqua" w:hint="default"/>
          <w:i w:val="1"/>
          <w:iCs w:val="1"/>
          <w:rtl w:val="0"/>
          <w:lang w:val="it-IT"/>
        </w:rPr>
        <w:t>“</w:t>
      </w:r>
      <w:r>
        <w:rPr>
          <w:rFonts w:ascii="Book Antiqua"/>
          <w:rtl w:val="0"/>
          <w:lang w:val="it-IT"/>
        </w:rPr>
        <w:t>AMA ha un bilancio che determina costi appaltati che variano nell</w:t>
      </w:r>
      <w:r>
        <w:rPr>
          <w:rFonts w:hAnsi="Book Antiqua" w:hint="default"/>
          <w:rtl w:val="0"/>
          <w:lang w:val="it-IT"/>
        </w:rPr>
        <w:t>’</w:t>
      </w:r>
      <w:r>
        <w:rPr>
          <w:rFonts w:ascii="Book Antiqua"/>
          <w:rtl w:val="0"/>
          <w:lang w:val="it-IT"/>
        </w:rPr>
        <w:t>ordine dei 300-350 milioni di euro l</w:t>
      </w:r>
      <w:r>
        <w:rPr>
          <w:rFonts w:hAnsi="Book Antiqua" w:hint="default"/>
          <w:rtl w:val="0"/>
          <w:lang w:val="it-IT"/>
        </w:rPr>
        <w:t>’</w:t>
      </w:r>
      <w:r>
        <w:rPr>
          <w:rFonts w:ascii="Book Antiqua"/>
          <w:rtl w:val="0"/>
          <w:lang w:val="it-IT"/>
        </w:rPr>
        <w:t>anno. Si interviene sulle modalit</w:t>
      </w:r>
      <w:r>
        <w:rPr>
          <w:rFonts w:hAnsi="Book Antiqua" w:hint="default"/>
          <w:rtl w:val="0"/>
          <w:lang w:val="it-IT"/>
        </w:rPr>
        <w:t xml:space="preserve">à </w:t>
      </w:r>
      <w:r>
        <w:rPr>
          <w:rFonts w:ascii="Book Antiqua"/>
          <w:rtl w:val="0"/>
          <w:lang w:val="it-IT"/>
        </w:rPr>
        <w:t>con cui questo processo veniva gestito, andando a verificare quali anomalie in questo processo potevano essere rinvenute, in particolare modalit</w:t>
      </w:r>
      <w:r>
        <w:rPr>
          <w:rFonts w:hAnsi="Book Antiqua" w:hint="default"/>
          <w:rtl w:val="0"/>
          <w:lang w:val="it-IT"/>
        </w:rPr>
        <w:t xml:space="preserve">à </w:t>
      </w:r>
      <w:r>
        <w:rPr>
          <w:rFonts w:ascii="Book Antiqua"/>
          <w:rtl w:val="0"/>
          <w:lang w:val="it-IT"/>
        </w:rPr>
        <w:t xml:space="preserve">di affidamento diretto, di </w:t>
      </w:r>
      <w:r>
        <w:rPr>
          <w:rFonts w:ascii="Book Antiqua"/>
          <w:i w:val="1"/>
          <w:iCs w:val="1"/>
          <w:rtl w:val="0"/>
          <w:lang w:val="it-IT"/>
        </w:rPr>
        <w:t>prorogatio</w:t>
      </w:r>
      <w:r>
        <w:rPr>
          <w:rFonts w:ascii="Book Antiqua"/>
          <w:rtl w:val="0"/>
          <w:lang w:val="it-IT"/>
        </w:rPr>
        <w:t xml:space="preserve"> degli ordini, di trattative al di fuori delle procedure previste dalla normativa sui lavori pubblici. Svolgo quest</w:t>
      </w:r>
      <w:r>
        <w:rPr>
          <w:rFonts w:hAnsi="Book Antiqua" w:hint="default"/>
          <w:rtl w:val="0"/>
          <w:lang w:val="it-IT"/>
        </w:rPr>
        <w:t>’</w:t>
      </w:r>
      <w:r>
        <w:rPr>
          <w:rFonts w:ascii="Book Antiqua"/>
          <w:rtl w:val="0"/>
          <w:lang w:val="it-IT"/>
        </w:rPr>
        <w:t>attivit</w:t>
      </w:r>
      <w:r>
        <w:rPr>
          <w:rFonts w:hAnsi="Book Antiqua" w:hint="default"/>
          <w:rtl w:val="0"/>
          <w:lang w:val="it-IT"/>
        </w:rPr>
        <w:t xml:space="preserve">à </w:t>
      </w:r>
      <w:r>
        <w:rPr>
          <w:rFonts w:ascii="Book Antiqua"/>
          <w:rtl w:val="0"/>
          <w:lang w:val="it-IT"/>
        </w:rPr>
        <w:t>immediatamente dopo l</w:t>
      </w:r>
      <w:r>
        <w:rPr>
          <w:rFonts w:hAnsi="Book Antiqua" w:hint="default"/>
          <w:rtl w:val="0"/>
          <w:lang w:val="it-IT"/>
        </w:rPr>
        <w:t>’</w:t>
      </w:r>
      <w:r>
        <w:rPr>
          <w:rFonts w:ascii="Book Antiqua"/>
          <w:rtl w:val="0"/>
          <w:lang w:val="it-IT"/>
        </w:rPr>
        <w:t>insediamento, ritenendola di importanza fondamentale anche nella logica di presidio gestionale. Ci porta a identificare un valore percentuale di circa l</w:t>
      </w:r>
      <w:r>
        <w:rPr>
          <w:rFonts w:hAnsi="Book Antiqua" w:hint="default"/>
          <w:rtl w:val="0"/>
          <w:lang w:val="it-IT"/>
        </w:rPr>
        <w:t>’</w:t>
      </w:r>
      <w:r>
        <w:rPr>
          <w:rFonts w:ascii="Book Antiqua"/>
          <w:rtl w:val="0"/>
          <w:lang w:val="it-IT"/>
        </w:rPr>
        <w:t>80 per cento delle procedure che erano fuori dal modello di affidamento secondo la normativa dei lavori pubblici. Su questo, peraltro, presentiamo, dandone comunicazione al presidente, che li fa propri e li presenta agli organi competenti, degli esposti sui casi che erano da attenzionare dalla procura della Repubblica. Questo porta a un</w:t>
      </w:r>
      <w:r>
        <w:rPr>
          <w:rFonts w:hAnsi="Book Antiqua" w:hint="default"/>
          <w:rtl w:val="0"/>
          <w:lang w:val="it-IT"/>
        </w:rPr>
        <w:t>’</w:t>
      </w:r>
      <w:r>
        <w:rPr>
          <w:rFonts w:ascii="Book Antiqua"/>
          <w:rtl w:val="0"/>
          <w:lang w:val="it-IT"/>
        </w:rPr>
        <w:t>azione di presidio del processo, di analisi di quanto doveva essere fatto. Sostanzialmente, questo ci consente di arrivare, alla fine del 2015, a un</w:t>
      </w:r>
      <w:r>
        <w:rPr>
          <w:rFonts w:hAnsi="Book Antiqua" w:hint="default"/>
          <w:rtl w:val="0"/>
          <w:lang w:val="it-IT"/>
        </w:rPr>
        <w:t>’</w:t>
      </w:r>
      <w:r>
        <w:rPr>
          <w:rFonts w:ascii="Book Antiqua"/>
          <w:rtl w:val="0"/>
          <w:lang w:val="it-IT"/>
        </w:rPr>
        <w:t>inversione di tendenza, in cui un</w:t>
      </w:r>
      <w:r>
        <w:rPr>
          <w:rFonts w:hAnsi="Book Antiqua" w:hint="default"/>
          <w:rtl w:val="0"/>
          <w:lang w:val="it-IT"/>
        </w:rPr>
        <w:t>’</w:t>
      </w:r>
      <w:r>
        <w:rPr>
          <w:rFonts w:ascii="Book Antiqua"/>
          <w:rtl w:val="0"/>
          <w:lang w:val="it-IT"/>
        </w:rPr>
        <w:t>alta percentuale delle procedure rientra nei parametri previsti dalla normativa pubblica, come d</w:t>
      </w:r>
      <w:r>
        <w:rPr>
          <w:rFonts w:hAnsi="Book Antiqua" w:hint="default"/>
          <w:rtl w:val="0"/>
          <w:lang w:val="it-IT"/>
        </w:rPr>
        <w:t>’</w:t>
      </w:r>
      <w:r>
        <w:rPr>
          <w:rFonts w:ascii="Book Antiqua"/>
          <w:rtl w:val="0"/>
          <w:lang w:val="it-IT"/>
        </w:rPr>
        <w:t>altronde non pu</w:t>
      </w:r>
      <w:r>
        <w:rPr>
          <w:rFonts w:hAnsi="Book Antiqua" w:hint="default"/>
          <w:rtl w:val="0"/>
          <w:lang w:val="it-IT"/>
        </w:rPr>
        <w:t xml:space="preserve">ò </w:t>
      </w:r>
      <w:r>
        <w:rPr>
          <w:rFonts w:ascii="Book Antiqua"/>
          <w:rtl w:val="0"/>
          <w:lang w:val="it-IT"/>
        </w:rPr>
        <w:t>che essere, al netto di casi che rimangono nella privativa industriale.  Chiaramente, questo va anche con una tracciabilit</w:t>
      </w:r>
      <w:r>
        <w:rPr>
          <w:rFonts w:hAnsi="Book Antiqua" w:hint="default"/>
          <w:rtl w:val="0"/>
          <w:lang w:val="it-IT"/>
        </w:rPr>
        <w:t xml:space="preserve">à </w:t>
      </w:r>
      <w:r>
        <w:rPr>
          <w:rFonts w:ascii="Book Antiqua"/>
          <w:rtl w:val="0"/>
          <w:lang w:val="it-IT"/>
        </w:rPr>
        <w:t>documentale delle modalit</w:t>
      </w:r>
      <w:r>
        <w:rPr>
          <w:rFonts w:hAnsi="Book Antiqua" w:hint="default"/>
          <w:rtl w:val="0"/>
          <w:lang w:val="it-IT"/>
        </w:rPr>
        <w:t xml:space="preserve">à </w:t>
      </w:r>
      <w:r>
        <w:rPr>
          <w:rFonts w:ascii="Book Antiqua"/>
          <w:rtl w:val="0"/>
          <w:lang w:val="it-IT"/>
        </w:rPr>
        <w:t>di definizione del processo d</w:t>
      </w:r>
      <w:r>
        <w:rPr>
          <w:rFonts w:hAnsi="Book Antiqua" w:hint="default"/>
          <w:rtl w:val="0"/>
          <w:lang w:val="it-IT"/>
        </w:rPr>
        <w:t>’</w:t>
      </w:r>
      <w:r>
        <w:rPr>
          <w:rFonts w:ascii="Book Antiqua"/>
          <w:rtl w:val="0"/>
          <w:lang w:val="it-IT"/>
        </w:rPr>
        <w:t>acquisto e, quindi, si introduce all</w:t>
      </w:r>
      <w:r>
        <w:rPr>
          <w:rFonts w:hAnsi="Book Antiqua" w:hint="default"/>
          <w:rtl w:val="0"/>
          <w:lang w:val="it-IT"/>
        </w:rPr>
        <w:t>’</w:t>
      </w:r>
      <w:r>
        <w:rPr>
          <w:rFonts w:ascii="Book Antiqua"/>
          <w:rtl w:val="0"/>
          <w:lang w:val="it-IT"/>
        </w:rPr>
        <w:t>interno dei processi di evidenza un processo che porti, intanto, a tracciare chi sta facendo cosa, da dove nasce l</w:t>
      </w:r>
      <w:r>
        <w:rPr>
          <w:rFonts w:hAnsi="Book Antiqua" w:hint="default"/>
          <w:rtl w:val="0"/>
          <w:lang w:val="it-IT"/>
        </w:rPr>
        <w:t>’</w:t>
      </w:r>
      <w:r>
        <w:rPr>
          <w:rFonts w:ascii="Book Antiqua"/>
          <w:rtl w:val="0"/>
          <w:lang w:val="it-IT"/>
        </w:rPr>
        <w:t>esigenza dell</w:t>
      </w:r>
      <w:r>
        <w:rPr>
          <w:rFonts w:hAnsi="Book Antiqua" w:hint="default"/>
          <w:rtl w:val="0"/>
          <w:lang w:val="it-IT"/>
        </w:rPr>
        <w:t>’</w:t>
      </w:r>
      <w:r>
        <w:rPr>
          <w:rFonts w:ascii="Book Antiqua"/>
          <w:rtl w:val="0"/>
          <w:lang w:val="it-IT"/>
        </w:rPr>
        <w:t>acquisto, chi ha quest</w:t>
      </w:r>
      <w:r>
        <w:rPr>
          <w:rFonts w:hAnsi="Book Antiqua" w:hint="default"/>
          <w:rtl w:val="0"/>
          <w:lang w:val="it-IT"/>
        </w:rPr>
        <w:t>’</w:t>
      </w:r>
      <w:r>
        <w:rPr>
          <w:rFonts w:ascii="Book Antiqua"/>
          <w:rtl w:val="0"/>
          <w:lang w:val="it-IT"/>
        </w:rPr>
        <w:t>esigenza e come si fa ci</w:t>
      </w:r>
      <w:r>
        <w:rPr>
          <w:rFonts w:hAnsi="Book Antiqua" w:hint="default"/>
          <w:rtl w:val="0"/>
          <w:lang w:val="it-IT"/>
        </w:rPr>
        <w:t>ò</w:t>
      </w:r>
      <w:r>
        <w:rPr>
          <w:rFonts w:ascii="Book Antiqua"/>
          <w:rtl w:val="0"/>
          <w:lang w:val="it-IT"/>
        </w:rPr>
        <w:t>. C</w:t>
      </w:r>
      <w:r>
        <w:rPr>
          <w:rFonts w:hAnsi="Book Antiqua" w:hint="default"/>
          <w:rtl w:val="0"/>
          <w:lang w:val="it-IT"/>
        </w:rPr>
        <w:t xml:space="preserve">’è </w:t>
      </w:r>
      <w:r>
        <w:rPr>
          <w:rFonts w:ascii="Book Antiqua"/>
          <w:rtl w:val="0"/>
          <w:lang w:val="it-IT"/>
        </w:rPr>
        <w:t>l</w:t>
      </w:r>
      <w:r>
        <w:rPr>
          <w:rFonts w:hAnsi="Book Antiqua" w:hint="default"/>
          <w:rtl w:val="0"/>
          <w:lang w:val="it-IT"/>
        </w:rPr>
        <w:t>’</w:t>
      </w:r>
      <w:r>
        <w:rPr>
          <w:rFonts w:ascii="Book Antiqua"/>
          <w:rtl w:val="0"/>
          <w:lang w:val="it-IT"/>
        </w:rPr>
        <w:t>introduzione del meccanismo di congruit</w:t>
      </w:r>
      <w:r>
        <w:rPr>
          <w:rFonts w:hAnsi="Book Antiqua" w:hint="default"/>
          <w:rtl w:val="0"/>
          <w:lang w:val="it-IT"/>
        </w:rPr>
        <w:t xml:space="preserve">à </w:t>
      </w:r>
      <w:r>
        <w:rPr>
          <w:rFonts w:ascii="Book Antiqua"/>
          <w:rtl w:val="0"/>
          <w:lang w:val="it-IT"/>
        </w:rPr>
        <w:t>dei prezzi. Faccio solo una riflessione. Effettivamente, da una prima analisi dei prezzi della gara, avevamo riscontrato che, ad esempio, relativamente alla congruit</w:t>
      </w:r>
      <w:r>
        <w:rPr>
          <w:rFonts w:hAnsi="Book Antiqua" w:hint="default"/>
          <w:rtl w:val="0"/>
          <w:lang w:val="it-IT"/>
        </w:rPr>
        <w:t xml:space="preserve">à </w:t>
      </w:r>
      <w:r>
        <w:rPr>
          <w:rFonts w:ascii="Book Antiqua"/>
          <w:rtl w:val="0"/>
          <w:lang w:val="it-IT"/>
        </w:rPr>
        <w:t xml:space="preserve">della raccolta differenziata delle utenze commerciali, i valori posti a base di gara non erano in linea con i prezzi di mercato. Quella gara di cui vi ho raccontato, che ci ha portato a risparmiare il 30 per cento, </w:t>
      </w:r>
      <w:r>
        <w:rPr>
          <w:rFonts w:hAnsi="Book Antiqua" w:hint="default"/>
          <w:rtl w:val="0"/>
          <w:lang w:val="it-IT"/>
        </w:rPr>
        <w:t xml:space="preserve">è </w:t>
      </w:r>
      <w:r>
        <w:rPr>
          <w:rFonts w:ascii="Book Antiqua"/>
          <w:rtl w:val="0"/>
          <w:lang w:val="it-IT"/>
        </w:rPr>
        <w:t>partita da un abbattimento dei costi originari proprio grazie a un</w:t>
      </w:r>
      <w:r>
        <w:rPr>
          <w:rFonts w:hAnsi="Book Antiqua" w:hint="default"/>
          <w:rtl w:val="0"/>
          <w:lang w:val="it-IT"/>
        </w:rPr>
        <w:t>’</w:t>
      </w:r>
      <w:r>
        <w:rPr>
          <w:rFonts w:ascii="Book Antiqua"/>
          <w:rtl w:val="0"/>
          <w:lang w:val="it-IT"/>
        </w:rPr>
        <w:t>analisi di mercato che avevamo condotto. All</w:t>
      </w:r>
      <w:r>
        <w:rPr>
          <w:rFonts w:hAnsi="Book Antiqua" w:hint="default"/>
          <w:rtl w:val="0"/>
          <w:lang w:val="it-IT"/>
        </w:rPr>
        <w:t>’</w:t>
      </w:r>
      <w:r>
        <w:rPr>
          <w:rFonts w:ascii="Book Antiqua"/>
          <w:rtl w:val="0"/>
          <w:lang w:val="it-IT"/>
        </w:rPr>
        <w:t>interno della tracciabilit</w:t>
      </w:r>
      <w:r>
        <w:rPr>
          <w:rFonts w:hAnsi="Book Antiqua" w:hint="default"/>
          <w:rtl w:val="0"/>
          <w:lang w:val="it-IT"/>
        </w:rPr>
        <w:t xml:space="preserve">à </w:t>
      </w:r>
      <w:r>
        <w:rPr>
          <w:rFonts w:ascii="Book Antiqua"/>
          <w:rtl w:val="0"/>
          <w:lang w:val="it-IT"/>
        </w:rPr>
        <w:t>dei flussi di acquisto, quindi, si evidenzia chi fa che cosa, come lo si fa, nonch</w:t>
      </w:r>
      <w:r>
        <w:rPr>
          <w:rFonts w:hAnsi="Book Antiqua" w:hint="default"/>
          <w:rtl w:val="0"/>
          <w:lang w:val="it-IT"/>
        </w:rPr>
        <w:t xml:space="preserve">é </w:t>
      </w:r>
      <w:r>
        <w:rPr>
          <w:rFonts w:ascii="Book Antiqua"/>
          <w:rtl w:val="0"/>
          <w:lang w:val="it-IT"/>
        </w:rPr>
        <w:t>la congruit</w:t>
      </w:r>
      <w:r>
        <w:rPr>
          <w:rFonts w:hAnsi="Book Antiqua" w:hint="default"/>
          <w:rtl w:val="0"/>
          <w:lang w:val="it-IT"/>
        </w:rPr>
        <w:t xml:space="preserve">à </w:t>
      </w:r>
      <w:r>
        <w:rPr>
          <w:rFonts w:ascii="Book Antiqua"/>
          <w:rtl w:val="0"/>
          <w:lang w:val="it-IT"/>
        </w:rPr>
        <w:t>dei prezzi. Tutto questo, anche se sembra normale, era, in una situazione come quella che abbiamo trovato, un elemento di chiarezza che porta sia a ripristinare condizioni normali di gestione, ma anche, in futuro, ad avere, per effetto delle procedure indotte e del controllo di gestione portato, un risparmio che si tradurr</w:t>
      </w:r>
      <w:r>
        <w:rPr>
          <w:rFonts w:hAnsi="Book Antiqua" w:hint="default"/>
          <w:rtl w:val="0"/>
          <w:lang w:val="it-IT"/>
        </w:rPr>
        <w:t xml:space="preserve">à </w:t>
      </w:r>
      <w:r>
        <w:rPr>
          <w:rFonts w:ascii="Book Antiqua"/>
          <w:rtl w:val="0"/>
          <w:lang w:val="it-IT"/>
        </w:rPr>
        <w:t>nell</w:t>
      </w:r>
      <w:r>
        <w:rPr>
          <w:rFonts w:hAnsi="Book Antiqua" w:hint="default"/>
          <w:rtl w:val="0"/>
          <w:lang w:val="it-IT"/>
        </w:rPr>
        <w:t>’</w:t>
      </w:r>
      <w:r>
        <w:rPr>
          <w:rFonts w:ascii="Book Antiqua"/>
          <w:rtl w:val="0"/>
          <w:lang w:val="it-IT"/>
        </w:rPr>
        <w:t>abbattimento della TARI, che gi</w:t>
      </w:r>
      <w:r>
        <w:rPr>
          <w:rFonts w:hAnsi="Book Antiqua" w:hint="default"/>
          <w:rtl w:val="0"/>
          <w:lang w:val="it-IT"/>
        </w:rPr>
        <w:t xml:space="preserve">à </w:t>
      </w:r>
      <w:r>
        <w:rPr>
          <w:rFonts w:ascii="Book Antiqua"/>
          <w:rtl w:val="0"/>
          <w:lang w:val="it-IT"/>
        </w:rPr>
        <w:t>nel 2015 era stato di 1,5 punti percentuali e nel 2016 era di 2 punti percentuali. Guardavo una recente indagine su Il Sole 24 Ore, che proprio su Roma faceva vedere come, effettivamente, nel 2015 e nel 2016 c</w:t>
      </w:r>
      <w:r>
        <w:rPr>
          <w:rFonts w:hAnsi="Book Antiqua" w:hint="default"/>
          <w:rtl w:val="0"/>
          <w:lang w:val="it-IT"/>
        </w:rPr>
        <w:t>’</w:t>
      </w:r>
      <w:r>
        <w:rPr>
          <w:rFonts w:ascii="Book Antiqua"/>
          <w:rtl w:val="0"/>
          <w:lang w:val="it-IT"/>
        </w:rPr>
        <w:t>era stato un abbattimento complessivo della TARI, proprio perch</w:t>
      </w:r>
      <w:r>
        <w:rPr>
          <w:rFonts w:hAnsi="Book Antiqua" w:hint="default"/>
          <w:rtl w:val="0"/>
          <w:lang w:val="it-IT"/>
        </w:rPr>
        <w:t xml:space="preserve">é </w:t>
      </w:r>
      <w:r>
        <w:rPr>
          <w:rFonts w:ascii="Book Antiqua"/>
          <w:rtl w:val="0"/>
          <w:lang w:val="it-IT"/>
        </w:rPr>
        <w:t>si stava intervenendo. Abbiamo risparmi nell</w:t>
      </w:r>
      <w:r>
        <w:rPr>
          <w:rFonts w:hAnsi="Book Antiqua" w:hint="default"/>
          <w:rtl w:val="0"/>
          <w:lang w:val="it-IT"/>
        </w:rPr>
        <w:t>’</w:t>
      </w:r>
      <w:r>
        <w:rPr>
          <w:rFonts w:ascii="Book Antiqua"/>
          <w:rtl w:val="0"/>
          <w:lang w:val="it-IT"/>
        </w:rPr>
        <w:t>ordine delle decine di milioni di euro sui costi del conto economico.</w:t>
      </w:r>
      <w:r>
        <w:rPr>
          <w:rFonts w:hAnsi="Book Antiqua" w:hint="default"/>
          <w:rtl w:val="0"/>
          <w:lang w:val="it-IT"/>
        </w:rPr>
        <w:t xml:space="preserve">” </w:t>
      </w:r>
    </w:p>
    <w:p>
      <w:pPr>
        <w:pStyle w:val="Normal"/>
        <w:ind w:left="567" w:right="567" w:firstLine="0"/>
        <w:jc w:val="both"/>
        <w:rPr>
          <w:rFonts w:ascii="Book Antiqua" w:cs="Book Antiqua" w:hAnsi="Book Antiqua" w:eastAsia="Book Antiqua"/>
        </w:rPr>
      </w:pPr>
      <w:r>
        <w:rPr>
          <w:rFonts w:ascii="Book Antiqua"/>
          <w:rtl w:val="0"/>
          <w:lang w:val="it-IT"/>
        </w:rPr>
        <w:t>Una situazione molto critica dal punto di vista della legalit</w:t>
      </w:r>
      <w:r>
        <w:rPr>
          <w:rFonts w:hAnsi="Book Antiqua" w:hint="default"/>
          <w:rtl w:val="0"/>
          <w:lang w:val="it-IT"/>
        </w:rPr>
        <w:t xml:space="preserve">à </w:t>
      </w:r>
      <w:r>
        <w:rPr>
          <w:rFonts w:ascii="Book Antiqua"/>
          <w:rtl w:val="0"/>
          <w:lang w:val="it-IT"/>
        </w:rPr>
        <w:t>che aveva conseguenze anche sulla TARI. Un altro punto importante riguardava la cosiddetta macrostruttura dell</w:t>
      </w:r>
      <w:r>
        <w:rPr>
          <w:rFonts w:hAnsi="Book Antiqua" w:hint="default"/>
          <w:rtl w:val="0"/>
          <w:lang w:val="it-IT"/>
        </w:rPr>
        <w:t>’</w:t>
      </w:r>
      <w:r>
        <w:rPr>
          <w:rFonts w:ascii="Book Antiqua"/>
          <w:rtl w:val="0"/>
          <w:lang w:val="it-IT"/>
        </w:rPr>
        <w:t>azienda, su questo l</w:t>
      </w:r>
      <w:r>
        <w:rPr>
          <w:rFonts w:hAnsi="Book Antiqua" w:hint="default"/>
          <w:rtl w:val="0"/>
          <w:lang w:val="it-IT"/>
        </w:rPr>
        <w:t>’</w:t>
      </w:r>
      <w:r>
        <w:rPr>
          <w:rFonts w:ascii="Book Antiqua"/>
          <w:rtl w:val="0"/>
          <w:lang w:val="it-IT"/>
        </w:rPr>
        <w:t xml:space="preserve">ex direttore generale di AMA S.p.A., ha dichiarato: </w:t>
      </w:r>
    </w:p>
    <w:p>
      <w:pPr>
        <w:pStyle w:val="Normal"/>
        <w:ind w:left="567" w:right="567" w:firstLine="0"/>
        <w:jc w:val="both"/>
        <w:rPr>
          <w:rFonts w:ascii="Book Antiqua" w:cs="Book Antiqua" w:hAnsi="Book Antiqua" w:eastAsia="Book Antiqua"/>
        </w:rPr>
      </w:pPr>
      <w:r>
        <w:rPr>
          <w:rFonts w:hAnsi="Book Antiqua" w:hint="default"/>
          <w:rtl w:val="0"/>
          <w:lang w:val="it-IT"/>
        </w:rPr>
        <w:t>“</w:t>
      </w:r>
      <w:r>
        <w:rPr>
          <w:rFonts w:ascii="Book Antiqua"/>
          <w:rtl w:val="0"/>
          <w:lang w:val="it-IT"/>
        </w:rPr>
        <w:t>nel gennaio 2015 viene emanata anche una microstruttura che individua la responsabilit</w:t>
      </w:r>
      <w:r>
        <w:rPr>
          <w:rFonts w:hAnsi="Book Antiqua" w:hint="default"/>
          <w:rtl w:val="0"/>
          <w:lang w:val="it-IT"/>
        </w:rPr>
        <w:t xml:space="preserve">à </w:t>
      </w:r>
      <w:r>
        <w:rPr>
          <w:rFonts w:ascii="Book Antiqua"/>
          <w:rtl w:val="0"/>
          <w:lang w:val="it-IT"/>
        </w:rPr>
        <w:t>specifica per le varie unit</w:t>
      </w:r>
      <w:r>
        <w:rPr>
          <w:rFonts w:hAnsi="Book Antiqua" w:hint="default"/>
          <w:rtl w:val="0"/>
          <w:lang w:val="it-IT"/>
        </w:rPr>
        <w:t xml:space="preserve">à </w:t>
      </w:r>
      <w:r>
        <w:rPr>
          <w:rFonts w:ascii="Book Antiqua"/>
          <w:rtl w:val="0"/>
          <w:lang w:val="it-IT"/>
        </w:rPr>
        <w:t xml:space="preserve">operative in cui </w:t>
      </w:r>
      <w:r>
        <w:rPr>
          <w:rFonts w:hAnsi="Book Antiqua" w:hint="default"/>
          <w:rtl w:val="0"/>
          <w:lang w:val="it-IT"/>
        </w:rPr>
        <w:t xml:space="preserve">è </w:t>
      </w:r>
      <w:r>
        <w:rPr>
          <w:rFonts w:ascii="Book Antiqua"/>
          <w:rtl w:val="0"/>
          <w:lang w:val="it-IT"/>
        </w:rPr>
        <w:t>articolata una struttura di circa 8.000 persone (ricordo, ma la Commissione lo sa benissimo, che AMA ha 8.000 dipendenti). Vengono definite responsabilit</w:t>
      </w:r>
      <w:r>
        <w:rPr>
          <w:rFonts w:hAnsi="Book Antiqua" w:hint="default"/>
          <w:rtl w:val="0"/>
          <w:lang w:val="it-IT"/>
        </w:rPr>
        <w:t>à</w:t>
      </w:r>
      <w:r>
        <w:rPr>
          <w:rFonts w:ascii="Book Antiqua"/>
          <w:rtl w:val="0"/>
          <w:lang w:val="it-IT"/>
        </w:rPr>
        <w:t>,  competenze e questo anche nella logica di azioni che vanno a ridurre il personale. In particolare, agiamo sui dirigenti, di cui tre vengono avviati in esodo. Vengono anche effettuati concorsi perch</w:t>
      </w:r>
      <w:r>
        <w:rPr>
          <w:rFonts w:hAnsi="Book Antiqua" w:hint="default"/>
          <w:rtl w:val="0"/>
          <w:lang w:val="it-IT"/>
        </w:rPr>
        <w:t xml:space="preserve">é </w:t>
      </w:r>
      <w:r>
        <w:rPr>
          <w:rFonts w:ascii="Book Antiqua"/>
          <w:rtl w:val="0"/>
          <w:lang w:val="it-IT"/>
        </w:rPr>
        <w:t>si possano ricoprire le posizioni. Si cercano di individuare, anche all</w:t>
      </w:r>
      <w:r>
        <w:rPr>
          <w:rFonts w:hAnsi="Book Antiqua" w:hint="default"/>
          <w:rtl w:val="0"/>
          <w:lang w:val="it-IT"/>
        </w:rPr>
        <w:t>’</w:t>
      </w:r>
      <w:r>
        <w:rPr>
          <w:rFonts w:ascii="Book Antiqua"/>
          <w:rtl w:val="0"/>
          <w:lang w:val="it-IT"/>
        </w:rPr>
        <w:t>interno della macrostruttura, posizioni che siano di importanza per la societ</w:t>
      </w:r>
      <w:r>
        <w:rPr>
          <w:rFonts w:hAnsi="Book Antiqua" w:hint="default"/>
          <w:rtl w:val="0"/>
          <w:lang w:val="it-IT"/>
        </w:rPr>
        <w:t>à</w:t>
      </w:r>
      <w:r>
        <w:rPr>
          <w:rFonts w:ascii="Book Antiqua"/>
          <w:rtl w:val="0"/>
          <w:lang w:val="it-IT"/>
        </w:rPr>
        <w:t>, sempre con l</w:t>
      </w:r>
      <w:r>
        <w:rPr>
          <w:rFonts w:hAnsi="Book Antiqua" w:hint="default"/>
          <w:rtl w:val="0"/>
          <w:lang w:val="it-IT"/>
        </w:rPr>
        <w:t>’</w:t>
      </w:r>
      <w:r>
        <w:rPr>
          <w:rFonts w:ascii="Book Antiqua"/>
          <w:rtl w:val="0"/>
          <w:lang w:val="it-IT"/>
        </w:rPr>
        <w:t>obiettivo di liberare AMA da ogni dipendenza, anche da quella di consulenti strutturali, che nel tempo possono aver prestato la propria attivit</w:t>
      </w:r>
      <w:r>
        <w:rPr>
          <w:rFonts w:hAnsi="Book Antiqua" w:hint="default"/>
          <w:rtl w:val="0"/>
          <w:lang w:val="it-IT"/>
        </w:rPr>
        <w:t xml:space="preserve">à </w:t>
      </w:r>
      <w:r>
        <w:rPr>
          <w:rFonts w:ascii="Book Antiqua"/>
          <w:rtl w:val="0"/>
          <w:lang w:val="it-IT"/>
        </w:rPr>
        <w:t>alla societ</w:t>
      </w:r>
      <w:r>
        <w:rPr>
          <w:rFonts w:hAnsi="Book Antiqua" w:hint="default"/>
          <w:rtl w:val="0"/>
          <w:lang w:val="it-IT"/>
        </w:rPr>
        <w:t>à</w:t>
      </w:r>
      <w:r>
        <w:rPr>
          <w:rFonts w:ascii="Book Antiqua"/>
          <w:rtl w:val="0"/>
          <w:lang w:val="it-IT"/>
        </w:rPr>
        <w:t>. Nel processo di riorganizzazione viene portata avanti anche un</w:t>
      </w:r>
      <w:r>
        <w:rPr>
          <w:rFonts w:hAnsi="Book Antiqua" w:hint="default"/>
          <w:rtl w:val="0"/>
          <w:lang w:val="it-IT"/>
        </w:rPr>
        <w:t>’</w:t>
      </w:r>
      <w:r>
        <w:rPr>
          <w:rFonts w:ascii="Book Antiqua"/>
          <w:rtl w:val="0"/>
          <w:lang w:val="it-IT"/>
        </w:rPr>
        <w:t>azione relativa al tema della produttivit</w:t>
      </w:r>
      <w:r>
        <w:rPr>
          <w:rFonts w:hAnsi="Book Antiqua" w:hint="default"/>
          <w:rtl w:val="0"/>
          <w:lang w:val="it-IT"/>
        </w:rPr>
        <w:t xml:space="preserve">à </w:t>
      </w:r>
      <w:r>
        <w:rPr>
          <w:rFonts w:ascii="Book Antiqua"/>
          <w:rtl w:val="0"/>
          <w:lang w:val="it-IT"/>
        </w:rPr>
        <w:t>e, quindi, al presidio delle attivit</w:t>
      </w:r>
      <w:r>
        <w:rPr>
          <w:rFonts w:hAnsi="Book Antiqua" w:hint="default"/>
          <w:rtl w:val="0"/>
          <w:lang w:val="it-IT"/>
        </w:rPr>
        <w:t>à</w:t>
      </w:r>
      <w:r>
        <w:rPr>
          <w:rFonts w:ascii="Book Antiqua"/>
          <w:rtl w:val="0"/>
          <w:lang w:val="it-IT"/>
        </w:rPr>
        <w:t>.</w:t>
      </w:r>
      <w:r>
        <w:rPr>
          <w:rFonts w:hAnsi="Book Antiqua" w:hint="default"/>
          <w:rtl w:val="0"/>
          <w:lang w:val="it-IT"/>
        </w:rPr>
        <w:t>”</w:t>
      </w:r>
      <w:r>
        <w:rPr>
          <w:rFonts w:ascii="Book Antiqua"/>
          <w:rtl w:val="0"/>
          <w:lang w:val="it-IT"/>
        </w:rPr>
        <w:t xml:space="preserve"> </w:t>
      </w:r>
    </w:p>
    <w:p>
      <w:pPr>
        <w:pStyle w:val="Normal"/>
        <w:ind w:left="567" w:right="567" w:firstLine="0"/>
        <w:jc w:val="both"/>
        <w:rPr>
          <w:rFonts w:ascii="Book Antiqua" w:cs="Book Antiqua" w:hAnsi="Book Antiqua" w:eastAsia="Book Antiqua"/>
        </w:rPr>
      </w:pPr>
      <w:r>
        <w:rPr>
          <w:rFonts w:ascii="Book Antiqua"/>
          <w:rtl w:val="0"/>
          <w:lang w:val="it-IT"/>
        </w:rPr>
        <w:t xml:space="preserve">Altro tema interessante </w:t>
      </w:r>
      <w:r>
        <w:rPr>
          <w:rFonts w:hAnsi="Book Antiqua" w:hint="default"/>
          <w:rtl w:val="0"/>
          <w:lang w:val="it-IT"/>
        </w:rPr>
        <w:t xml:space="preserve">è </w:t>
      </w:r>
      <w:r>
        <w:rPr>
          <w:rFonts w:ascii="Book Antiqua"/>
          <w:rtl w:val="0"/>
          <w:lang w:val="it-IT"/>
        </w:rPr>
        <w:t>quello relativo al parco mezzi in dotazione dell</w:t>
      </w:r>
      <w:r>
        <w:rPr>
          <w:rFonts w:hAnsi="Book Antiqua" w:hint="default"/>
          <w:rtl w:val="0"/>
          <w:lang w:val="it-IT"/>
        </w:rPr>
        <w:t>’</w:t>
      </w:r>
      <w:r>
        <w:rPr>
          <w:rFonts w:ascii="Book Antiqua"/>
          <w:rtl w:val="0"/>
          <w:lang w:val="it-IT"/>
        </w:rPr>
        <w:t>AMA S.p.A.:</w:t>
      </w:r>
    </w:p>
    <w:p>
      <w:pPr>
        <w:pStyle w:val="Normal"/>
        <w:ind w:left="567" w:right="567" w:firstLine="0"/>
        <w:jc w:val="both"/>
        <w:rPr>
          <w:rFonts w:ascii="Book Antiqua" w:cs="Book Antiqua" w:hAnsi="Book Antiqua" w:eastAsia="Book Antiqua"/>
        </w:rPr>
      </w:pPr>
      <w:r>
        <w:rPr>
          <w:rFonts w:hAnsi="Book Antiqua" w:hint="default"/>
          <w:rtl w:val="0"/>
          <w:lang w:val="it-IT"/>
        </w:rPr>
        <w:t>“</w:t>
      </w:r>
      <w:r>
        <w:rPr>
          <w:rFonts w:ascii="Book Antiqua"/>
          <w:rtl w:val="0"/>
          <w:lang w:val="it-IT"/>
        </w:rPr>
        <w:t>AMA</w:t>
      </w:r>
      <w:r>
        <w:rPr>
          <w:rFonts w:hAnsi="Book Antiqua" w:hint="default"/>
          <w:rtl w:val="0"/>
          <w:lang w:val="it-IT"/>
        </w:rPr>
        <w:t xml:space="preserve"> è </w:t>
      </w:r>
      <w:r>
        <w:rPr>
          <w:rFonts w:ascii="Book Antiqua"/>
          <w:rtl w:val="0"/>
          <w:lang w:val="it-IT"/>
        </w:rPr>
        <w:t>un</w:t>
      </w:r>
      <w:r>
        <w:rPr>
          <w:rFonts w:hAnsi="Book Antiqua" w:hint="default"/>
          <w:rtl w:val="0"/>
          <w:lang w:val="it-IT"/>
        </w:rPr>
        <w:t>’</w:t>
      </w:r>
      <w:r>
        <w:rPr>
          <w:rFonts w:ascii="Book Antiqua"/>
          <w:rtl w:val="0"/>
          <w:lang w:val="it-IT"/>
        </w:rPr>
        <w:t>azienda semplice, anche nella sua complicazione, ma funziona se ogni giorno riesco a far uscire dalle sedi i mezzi che possono poi andare a prendere i rifiuti. AMA aveva una disponibilit</w:t>
      </w:r>
      <w:r>
        <w:rPr>
          <w:rFonts w:hAnsi="Book Antiqua" w:hint="default"/>
          <w:rtl w:val="0"/>
          <w:lang w:val="it-IT"/>
        </w:rPr>
        <w:t xml:space="preserve">à </w:t>
      </w:r>
      <w:r>
        <w:rPr>
          <w:rFonts w:ascii="Book Antiqua"/>
          <w:rtl w:val="0"/>
          <w:lang w:val="it-IT"/>
        </w:rPr>
        <w:t>di mezzi di circa il 45 per cento sul parco macchine totale. Questo significava che, ogni giorno, di tutte le macchine che avevo, la met</w:t>
      </w:r>
      <w:r>
        <w:rPr>
          <w:rFonts w:hAnsi="Book Antiqua" w:hint="default"/>
          <w:rtl w:val="0"/>
          <w:lang w:val="it-IT"/>
        </w:rPr>
        <w:t xml:space="preserve">à </w:t>
      </w:r>
      <w:r>
        <w:rPr>
          <w:rFonts w:ascii="Book Antiqua"/>
          <w:rtl w:val="0"/>
          <w:lang w:val="it-IT"/>
        </w:rPr>
        <w:t xml:space="preserve">stava ferma. Riusciamo a raggiungere, anche grazie alle persone che in AMA lavorano </w:t>
      </w:r>
      <w:r>
        <w:rPr>
          <w:rFonts w:hAnsi="Book Antiqua" w:hint="default"/>
          <w:rtl w:val="0"/>
          <w:lang w:val="it-IT"/>
        </w:rPr>
        <w:t xml:space="preserve">– </w:t>
      </w:r>
      <w:r>
        <w:rPr>
          <w:rFonts w:ascii="Book Antiqua"/>
          <w:rtl w:val="0"/>
          <w:lang w:val="it-IT"/>
        </w:rPr>
        <w:t>che hanno una grande professionalit</w:t>
      </w:r>
      <w:r>
        <w:rPr>
          <w:rFonts w:hAnsi="Book Antiqua" w:hint="default"/>
          <w:rtl w:val="0"/>
          <w:lang w:val="it-IT"/>
        </w:rPr>
        <w:t xml:space="preserve">à </w:t>
      </w:r>
      <w:r>
        <w:rPr>
          <w:rFonts w:ascii="Book Antiqua"/>
          <w:rtl w:val="0"/>
          <w:lang w:val="it-IT"/>
        </w:rPr>
        <w:t>e una grande capacit</w:t>
      </w:r>
      <w:r>
        <w:rPr>
          <w:rFonts w:hAnsi="Book Antiqua" w:hint="default"/>
          <w:rtl w:val="0"/>
          <w:lang w:val="it-IT"/>
        </w:rPr>
        <w:t xml:space="preserve">à – </w:t>
      </w:r>
      <w:r>
        <w:rPr>
          <w:rFonts w:ascii="Book Antiqua"/>
          <w:rtl w:val="0"/>
          <w:lang w:val="it-IT"/>
        </w:rPr>
        <w:t xml:space="preserve">il 75 per cento, con punte al 25 dicembre 2015 </w:t>
      </w:r>
      <w:r>
        <w:rPr>
          <w:rFonts w:hAnsi="Book Antiqua" w:hint="default"/>
          <w:rtl w:val="0"/>
          <w:lang w:val="it-IT"/>
        </w:rPr>
        <w:t xml:space="preserve">– </w:t>
      </w:r>
      <w:r>
        <w:rPr>
          <w:rFonts w:ascii="Book Antiqua"/>
          <w:rtl w:val="0"/>
          <w:lang w:val="it-IT"/>
        </w:rPr>
        <w:t xml:space="preserve">lo ricordo </w:t>
      </w:r>
      <w:r>
        <w:rPr>
          <w:rFonts w:hAnsi="Book Antiqua" w:hint="default"/>
          <w:rtl w:val="0"/>
          <w:lang w:val="it-IT"/>
        </w:rPr>
        <w:t xml:space="preserve">– </w:t>
      </w:r>
      <w:r>
        <w:rPr>
          <w:rFonts w:ascii="Book Antiqua"/>
          <w:rtl w:val="0"/>
          <w:lang w:val="it-IT"/>
        </w:rPr>
        <w:t>e dell</w:t>
      </w:r>
      <w:r>
        <w:rPr>
          <w:rFonts w:hAnsi="Book Antiqua" w:hint="default"/>
          <w:rtl w:val="0"/>
          <w:lang w:val="it-IT"/>
        </w:rPr>
        <w:t>’</w:t>
      </w:r>
      <w:r>
        <w:rPr>
          <w:rFonts w:ascii="Book Antiqua"/>
          <w:rtl w:val="0"/>
          <w:lang w:val="it-IT"/>
        </w:rPr>
        <w:t xml:space="preserve">85 per cento. </w:t>
      </w:r>
      <w:r>
        <w:rPr>
          <w:rFonts w:hAnsi="Book Antiqua" w:hint="default"/>
          <w:rtl w:val="0"/>
          <w:lang w:val="it-IT"/>
        </w:rPr>
        <w:t xml:space="preserve">È </w:t>
      </w:r>
      <w:r>
        <w:rPr>
          <w:rFonts w:ascii="Book Antiqua"/>
          <w:rtl w:val="0"/>
          <w:lang w:val="it-IT"/>
        </w:rPr>
        <w:t>chiaro che pi</w:t>
      </w:r>
      <w:r>
        <w:rPr>
          <w:rFonts w:hAnsi="Book Antiqua" w:hint="default"/>
          <w:rtl w:val="0"/>
          <w:lang w:val="it-IT"/>
        </w:rPr>
        <w:t xml:space="preserve">ù </w:t>
      </w:r>
      <w:r>
        <w:rPr>
          <w:rFonts w:ascii="Book Antiqua"/>
          <w:rtl w:val="0"/>
          <w:lang w:val="it-IT"/>
        </w:rPr>
        <w:t xml:space="preserve">macchine ho disponibili, meno succede che si rallentino i servizi, meno servizi saltano [...] quello di AMA </w:t>
      </w:r>
      <w:r>
        <w:rPr>
          <w:rFonts w:hAnsi="Book Antiqua" w:hint="default"/>
          <w:rtl w:val="0"/>
          <w:lang w:val="it-IT"/>
        </w:rPr>
        <w:t xml:space="preserve">è </w:t>
      </w:r>
      <w:r>
        <w:rPr>
          <w:rFonts w:ascii="Book Antiqua"/>
          <w:rtl w:val="0"/>
          <w:lang w:val="it-IT"/>
        </w:rPr>
        <w:t>un parco di circa 1.600 mezzi (vado a memoria, potrei sbagliare sulle unit</w:t>
      </w:r>
      <w:r>
        <w:rPr>
          <w:rFonts w:hAnsi="Book Antiqua" w:hint="default"/>
          <w:rtl w:val="0"/>
          <w:lang w:val="it-IT"/>
        </w:rPr>
        <w:t>à</w:t>
      </w:r>
      <w:r>
        <w:rPr>
          <w:rFonts w:ascii="Book Antiqua"/>
          <w:rtl w:val="0"/>
          <w:lang w:val="it-IT"/>
        </w:rPr>
        <w:t xml:space="preserve">). </w:t>
      </w:r>
      <w:r>
        <w:rPr>
          <w:rFonts w:hAnsi="Book Antiqua" w:hint="default"/>
          <w:rtl w:val="0"/>
          <w:lang w:val="it-IT"/>
        </w:rPr>
        <w:t xml:space="preserve">È </w:t>
      </w:r>
      <w:r>
        <w:rPr>
          <w:rFonts w:ascii="Book Antiqua"/>
          <w:rtl w:val="0"/>
          <w:lang w:val="it-IT"/>
        </w:rPr>
        <w:t>chiaro che il servizio quotidiano di AMA ha bisogno di un tot di mezzi. Se i mezzi sono fermi in officina, quel tot potrebbe anche essere zero, ma si deve intervenire perch</w:t>
      </w:r>
      <w:r>
        <w:rPr>
          <w:rFonts w:hAnsi="Book Antiqua" w:hint="default"/>
          <w:rtl w:val="0"/>
          <w:lang w:val="it-IT"/>
        </w:rPr>
        <w:t xml:space="preserve">é </w:t>
      </w:r>
      <w:r>
        <w:rPr>
          <w:rFonts w:ascii="Book Antiqua"/>
          <w:rtl w:val="0"/>
          <w:lang w:val="it-IT"/>
        </w:rPr>
        <w:t>la percentuale di mezzi funzionanti sia adeguata al servizio. Quando per</w:t>
      </w:r>
      <w:r>
        <w:rPr>
          <w:rFonts w:hAnsi="Book Antiqua" w:hint="default"/>
          <w:rtl w:val="0"/>
          <w:lang w:val="it-IT"/>
        </w:rPr>
        <w:t xml:space="preserve">ò </w:t>
      </w:r>
      <w:r>
        <w:rPr>
          <w:rFonts w:ascii="Book Antiqua"/>
          <w:rtl w:val="0"/>
          <w:lang w:val="it-IT"/>
        </w:rPr>
        <w:t xml:space="preserve">arrivo, trovo che la percentuale di mezzi disponibili </w:t>
      </w:r>
      <w:r>
        <w:rPr>
          <w:rFonts w:hAnsi="Book Antiqua" w:hint="default"/>
          <w:rtl w:val="0"/>
          <w:lang w:val="it-IT"/>
        </w:rPr>
        <w:t xml:space="preserve">è </w:t>
      </w:r>
      <w:r>
        <w:rPr>
          <w:rFonts w:ascii="Book Antiqua"/>
          <w:rtl w:val="0"/>
          <w:lang w:val="it-IT"/>
        </w:rPr>
        <w:t>intorno al 50 per cento. Questo determinava dei costi aggiuntivi. Per coprire la quota parte di mezzi non funzionanti, si noleggiavano, infatti, dei mezzi. Pertanto, l</w:t>
      </w:r>
      <w:r>
        <w:rPr>
          <w:rFonts w:hAnsi="Book Antiqua" w:hint="default"/>
          <w:rtl w:val="0"/>
          <w:lang w:val="it-IT"/>
        </w:rPr>
        <w:t>’</w:t>
      </w:r>
      <w:r>
        <w:rPr>
          <w:rFonts w:ascii="Book Antiqua"/>
          <w:rtl w:val="0"/>
          <w:lang w:val="it-IT"/>
        </w:rPr>
        <w:t xml:space="preserve">obiettivo che ci si </w:t>
      </w:r>
      <w:r>
        <w:rPr>
          <w:rFonts w:hAnsi="Book Antiqua" w:hint="default"/>
          <w:rtl w:val="0"/>
          <w:lang w:val="it-IT"/>
        </w:rPr>
        <w:t xml:space="preserve">è </w:t>
      </w:r>
      <w:r>
        <w:rPr>
          <w:rFonts w:ascii="Book Antiqua"/>
          <w:rtl w:val="0"/>
          <w:lang w:val="it-IT"/>
        </w:rPr>
        <w:t xml:space="preserve">posti </w:t>
      </w:r>
      <w:r>
        <w:rPr>
          <w:rFonts w:hAnsi="Book Antiqua" w:hint="default"/>
          <w:rtl w:val="0"/>
          <w:lang w:val="it-IT"/>
        </w:rPr>
        <w:t xml:space="preserve">è </w:t>
      </w:r>
      <w:r>
        <w:rPr>
          <w:rFonts w:ascii="Book Antiqua"/>
          <w:rtl w:val="0"/>
          <w:lang w:val="it-IT"/>
        </w:rPr>
        <w:t>stato quello di annullare i costi di noleggio perch</w:t>
      </w:r>
      <w:r>
        <w:rPr>
          <w:rFonts w:hAnsi="Book Antiqua" w:hint="default"/>
          <w:rtl w:val="0"/>
          <w:lang w:val="it-IT"/>
        </w:rPr>
        <w:t>é</w:t>
      </w:r>
      <w:r>
        <w:rPr>
          <w:rFonts w:ascii="Book Antiqua"/>
          <w:rtl w:val="0"/>
          <w:lang w:val="it-IT"/>
        </w:rPr>
        <w:t>, se ci sono mezzi fermi, prima di tutto devono funzionare i mezzi di AMA; inoltre abbiamo puntato ad aumentare i mezzi disponibili perch</w:t>
      </w:r>
      <w:r>
        <w:rPr>
          <w:rFonts w:hAnsi="Book Antiqua" w:hint="default"/>
          <w:rtl w:val="0"/>
          <w:lang w:val="it-IT"/>
        </w:rPr>
        <w:t>é</w:t>
      </w:r>
      <w:r>
        <w:rPr>
          <w:rFonts w:ascii="Book Antiqua"/>
          <w:rtl w:val="0"/>
          <w:lang w:val="it-IT"/>
        </w:rPr>
        <w:t>, se li ho, significa che posso incrementare i passaggi, fare una politica di svuotamento pi</w:t>
      </w:r>
      <w:r>
        <w:rPr>
          <w:rFonts w:hAnsi="Book Antiqua" w:hint="default"/>
          <w:rtl w:val="0"/>
          <w:lang w:val="it-IT"/>
        </w:rPr>
        <w:t xml:space="preserve">ù </w:t>
      </w:r>
      <w:r>
        <w:rPr>
          <w:rFonts w:ascii="Book Antiqua"/>
          <w:rtl w:val="0"/>
          <w:lang w:val="it-IT"/>
        </w:rPr>
        <w:t>efficace, dedicarli alla raccolta differenziata. Questo ci porta a migliorare la qualit</w:t>
      </w:r>
      <w:r>
        <w:rPr>
          <w:rFonts w:hAnsi="Book Antiqua" w:hint="default"/>
          <w:rtl w:val="0"/>
          <w:lang w:val="it-IT"/>
        </w:rPr>
        <w:t xml:space="preserve">à </w:t>
      </w:r>
      <w:r>
        <w:rPr>
          <w:rFonts w:ascii="Book Antiqua"/>
          <w:rtl w:val="0"/>
          <w:lang w:val="it-IT"/>
        </w:rPr>
        <w:t>della raccolta che, chiaramente, incide sulla qualit</w:t>
      </w:r>
      <w:r>
        <w:rPr>
          <w:rFonts w:hAnsi="Book Antiqua" w:hint="default"/>
          <w:rtl w:val="0"/>
          <w:lang w:val="it-IT"/>
        </w:rPr>
        <w:t xml:space="preserve">à </w:t>
      </w:r>
      <w:r>
        <w:rPr>
          <w:rFonts w:ascii="Book Antiqua"/>
          <w:rtl w:val="0"/>
          <w:lang w:val="it-IT"/>
        </w:rPr>
        <w:t>dello spazzamento. Se io non raccolgo il rifiuto dai cassonetti, purtroppo, per l</w:t>
      </w:r>
      <w:r>
        <w:rPr>
          <w:rFonts w:hAnsi="Book Antiqua" w:hint="default"/>
          <w:rtl w:val="0"/>
          <w:lang w:val="it-IT"/>
        </w:rPr>
        <w:t>’</w:t>
      </w:r>
      <w:r>
        <w:rPr>
          <w:rFonts w:ascii="Book Antiqua"/>
          <w:rtl w:val="0"/>
          <w:lang w:val="it-IT"/>
        </w:rPr>
        <w:t>indisponibilit</w:t>
      </w:r>
      <w:r>
        <w:rPr>
          <w:rFonts w:hAnsi="Book Antiqua" w:hint="default"/>
          <w:rtl w:val="0"/>
          <w:lang w:val="it-IT"/>
        </w:rPr>
        <w:t xml:space="preserve">à </w:t>
      </w:r>
      <w:r>
        <w:rPr>
          <w:rFonts w:ascii="Book Antiqua"/>
          <w:rtl w:val="0"/>
          <w:lang w:val="it-IT"/>
        </w:rPr>
        <w:t xml:space="preserve">del cassonetto </w:t>
      </w:r>
      <w:r>
        <w:rPr>
          <w:rFonts w:hAnsi="Book Antiqua" w:hint="default"/>
          <w:rtl w:val="0"/>
          <w:lang w:val="it-IT"/>
        </w:rPr>
        <w:t xml:space="preserve">– </w:t>
      </w:r>
      <w:r>
        <w:rPr>
          <w:rFonts w:ascii="Book Antiqua"/>
          <w:rtl w:val="0"/>
          <w:lang w:val="it-IT"/>
        </w:rPr>
        <w:t>e a volte anche un po</w:t>
      </w:r>
      <w:r>
        <w:rPr>
          <w:rFonts w:hAnsi="Book Antiqua" w:hint="default"/>
          <w:rtl w:val="0"/>
          <w:lang w:val="it-IT"/>
        </w:rPr>
        <w:t xml:space="preserve">’ </w:t>
      </w:r>
      <w:r>
        <w:rPr>
          <w:rFonts w:ascii="Book Antiqua"/>
          <w:rtl w:val="0"/>
          <w:lang w:val="it-IT"/>
        </w:rPr>
        <w:t xml:space="preserve">per la pigrizia dei cittadini </w:t>
      </w:r>
      <w:r>
        <w:rPr>
          <w:rFonts w:hAnsi="Book Antiqua" w:hint="default"/>
          <w:rtl w:val="0"/>
          <w:lang w:val="it-IT"/>
        </w:rPr>
        <w:t xml:space="preserve">– </w:t>
      </w:r>
      <w:r>
        <w:rPr>
          <w:rFonts w:ascii="Book Antiqua"/>
          <w:rtl w:val="0"/>
          <w:lang w:val="it-IT"/>
        </w:rPr>
        <w:t xml:space="preserve">succede che il cittadino lasci il rifiuto accanto al cassonetto (magari poi succede che il gabbiano lo apre e ci si trova il rifiuto su tutta la via). </w:t>
      </w:r>
      <w:r>
        <w:rPr>
          <w:rFonts w:hAnsi="Book Antiqua" w:hint="default"/>
          <w:rtl w:val="0"/>
          <w:lang w:val="it-IT"/>
        </w:rPr>
        <w:t xml:space="preserve">È </w:t>
      </w:r>
      <w:r>
        <w:rPr>
          <w:rFonts w:ascii="Book Antiqua"/>
          <w:rtl w:val="0"/>
          <w:lang w:val="it-IT"/>
        </w:rPr>
        <w:t>questo, quindi, un elemento di attenzione, cio</w:t>
      </w:r>
      <w:r>
        <w:rPr>
          <w:rFonts w:hAnsi="Book Antiqua" w:hint="default"/>
          <w:rtl w:val="0"/>
          <w:lang w:val="it-IT"/>
        </w:rPr>
        <w:t xml:space="preserve">è </w:t>
      </w:r>
      <w:r>
        <w:rPr>
          <w:rFonts w:ascii="Book Antiqua"/>
          <w:rtl w:val="0"/>
          <w:lang w:val="it-IT"/>
        </w:rPr>
        <w:t>quello che punta all</w:t>
      </w:r>
      <w:r>
        <w:rPr>
          <w:rFonts w:hAnsi="Book Antiqua" w:hint="default"/>
          <w:rtl w:val="0"/>
          <w:lang w:val="it-IT"/>
        </w:rPr>
        <w:t>’</w:t>
      </w:r>
      <w:r>
        <w:rPr>
          <w:rFonts w:ascii="Book Antiqua"/>
          <w:rtl w:val="0"/>
          <w:lang w:val="it-IT"/>
        </w:rPr>
        <w:t>incremento di percentuale di disponibilit</w:t>
      </w:r>
      <w:r>
        <w:rPr>
          <w:rFonts w:hAnsi="Book Antiqua" w:hint="default"/>
          <w:rtl w:val="0"/>
          <w:lang w:val="it-IT"/>
        </w:rPr>
        <w:t>à</w:t>
      </w:r>
      <w:r>
        <w:rPr>
          <w:rFonts w:ascii="Book Antiqua"/>
          <w:rtl w:val="0"/>
          <w:lang w:val="it-IT"/>
        </w:rPr>
        <w:t>. Ci</w:t>
      </w:r>
      <w:r>
        <w:rPr>
          <w:rFonts w:hAnsi="Book Antiqua" w:hint="default"/>
          <w:rtl w:val="0"/>
          <w:lang w:val="it-IT"/>
        </w:rPr>
        <w:t xml:space="preserve">ò </w:t>
      </w:r>
      <w:r>
        <w:rPr>
          <w:rFonts w:ascii="Book Antiqua"/>
          <w:rtl w:val="0"/>
          <w:lang w:val="it-IT"/>
        </w:rPr>
        <w:t>agisce sui mezzi, come abbiamo detto anche con un</w:t>
      </w:r>
      <w:r>
        <w:rPr>
          <w:rFonts w:hAnsi="Book Antiqua" w:hint="default"/>
          <w:rtl w:val="0"/>
          <w:lang w:val="it-IT"/>
        </w:rPr>
        <w:t>’</w:t>
      </w:r>
      <w:r>
        <w:rPr>
          <w:rFonts w:ascii="Book Antiqua"/>
          <w:rtl w:val="0"/>
          <w:lang w:val="it-IT"/>
        </w:rPr>
        <w:t>organizzazione del servizio in cui si richiama la responsabilit</w:t>
      </w:r>
      <w:r>
        <w:rPr>
          <w:rFonts w:hAnsi="Book Antiqua" w:hint="default"/>
          <w:rtl w:val="0"/>
          <w:lang w:val="it-IT"/>
        </w:rPr>
        <w:t xml:space="preserve">à </w:t>
      </w:r>
      <w:r>
        <w:rPr>
          <w:rFonts w:ascii="Book Antiqua"/>
          <w:rtl w:val="0"/>
          <w:lang w:val="it-IT"/>
        </w:rPr>
        <w:t>puntuale e territoriale. Si agisce, poi, anche sul presidio delle frequenze e sul completamento dei servizi.</w:t>
      </w:r>
      <w:r>
        <w:rPr>
          <w:rFonts w:hAnsi="Book Antiqua" w:hint="default"/>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In merito al contratto di servizio tra Roma Capitale e AMA S.p.A., forti critiche sono state espresse da Paola Muraro, assessora pro tempore alla sostenibilit</w:t>
      </w:r>
      <w:r>
        <w:rPr>
          <w:rFonts w:hAnsi="Book Antiqua" w:hint="default"/>
          <w:rtl w:val="0"/>
          <w:lang w:val="it-IT"/>
        </w:rPr>
        <w:t xml:space="preserve">à </w:t>
      </w:r>
      <w:r>
        <w:rPr>
          <w:rFonts w:ascii="Book Antiqua"/>
          <w:rtl w:val="0"/>
          <w:lang w:val="it-IT"/>
        </w:rPr>
        <w:t>ambientale di Roma Capitale, la quale durante l</w:t>
      </w:r>
      <w:r>
        <w:rPr>
          <w:rFonts w:hAnsi="Book Antiqua" w:hint="default"/>
          <w:rtl w:val="0"/>
          <w:lang w:val="it-IT"/>
        </w:rPr>
        <w:t xml:space="preserve">’ </w:t>
      </w:r>
      <w:r>
        <w:rPr>
          <w:rFonts w:ascii="Book Antiqua"/>
          <w:rtl w:val="0"/>
          <w:lang w:val="it-IT"/>
        </w:rPr>
        <w:t xml:space="preserve">audizione del 5 settembre 2016 ha dichiarato: </w:t>
      </w:r>
    </w:p>
    <w:p>
      <w:pPr>
        <w:pStyle w:val="Normal"/>
        <w:ind w:left="567" w:right="567" w:firstLine="0"/>
        <w:jc w:val="both"/>
        <w:rPr>
          <w:rFonts w:ascii="Book Antiqua" w:cs="Book Antiqua" w:hAnsi="Book Antiqua" w:eastAsia="Book Antiqua"/>
        </w:rPr>
      </w:pPr>
      <w:r>
        <w:rPr>
          <w:rFonts w:hAnsi="Book Antiqua" w:hint="default"/>
          <w:rtl w:val="0"/>
          <w:lang w:val="it-IT"/>
        </w:rPr>
        <w:t>“</w:t>
      </w:r>
      <w:r>
        <w:rPr>
          <w:rFonts w:ascii="Book Antiqua"/>
          <w:rtl w:val="0"/>
          <w:lang w:val="it-IT"/>
        </w:rPr>
        <w:t>Stiamo valutando il contratto di servizio: tutto completamente da rifare. Non esistono nemmeno le sanzioni come intendiamo noi: sono sanzioni erogate tramite altri servizi. In pratica, se l</w:t>
      </w:r>
      <w:r>
        <w:rPr>
          <w:rFonts w:hAnsi="Book Antiqua" w:hint="default"/>
          <w:rtl w:val="0"/>
          <w:lang w:val="it-IT"/>
        </w:rPr>
        <w:t>’</w:t>
      </w:r>
      <w:r>
        <w:rPr>
          <w:rFonts w:ascii="Book Antiqua"/>
          <w:rtl w:val="0"/>
          <w:lang w:val="it-IT"/>
        </w:rPr>
        <w:t>AMA non garantisce uno, due o tre servizi, c</w:t>
      </w:r>
      <w:r>
        <w:rPr>
          <w:rFonts w:hAnsi="Book Antiqua" w:hint="default"/>
          <w:rtl w:val="0"/>
          <w:lang w:val="it-IT"/>
        </w:rPr>
        <w:t xml:space="preserve">’è </w:t>
      </w:r>
      <w:r>
        <w:rPr>
          <w:rFonts w:ascii="Book Antiqua"/>
          <w:rtl w:val="0"/>
          <w:lang w:val="it-IT"/>
        </w:rPr>
        <w:t>un organo di controllo, che per</w:t>
      </w:r>
      <w:r>
        <w:rPr>
          <w:rFonts w:hAnsi="Book Antiqua" w:hint="default"/>
          <w:rtl w:val="0"/>
          <w:lang w:val="it-IT"/>
        </w:rPr>
        <w:t xml:space="preserve">ò </w:t>
      </w:r>
      <w:r>
        <w:rPr>
          <w:rFonts w:ascii="Book Antiqua"/>
          <w:rtl w:val="0"/>
          <w:lang w:val="it-IT"/>
        </w:rPr>
        <w:t>non c</w:t>
      </w:r>
      <w:r>
        <w:rPr>
          <w:rFonts w:hAnsi="Book Antiqua" w:hint="default"/>
          <w:rtl w:val="0"/>
          <w:lang w:val="it-IT"/>
        </w:rPr>
        <w:t>’è</w:t>
      </w:r>
      <w:r>
        <w:rPr>
          <w:rFonts w:ascii="Book Antiqua"/>
          <w:rtl w:val="0"/>
          <w:lang w:val="it-IT"/>
        </w:rPr>
        <w:t xml:space="preserve">: il contratto di servizio </w:t>
      </w:r>
      <w:r>
        <w:rPr>
          <w:rFonts w:hAnsi="Book Antiqua" w:hint="default"/>
          <w:rtl w:val="0"/>
          <w:lang w:val="it-IT"/>
        </w:rPr>
        <w:t xml:space="preserve">è </w:t>
      </w:r>
      <w:r>
        <w:rPr>
          <w:rFonts w:ascii="Book Antiqua"/>
          <w:rtl w:val="0"/>
          <w:lang w:val="it-IT"/>
        </w:rPr>
        <w:t>stato siglato a maggio, ma l</w:t>
      </w:r>
      <w:r>
        <w:rPr>
          <w:rFonts w:hAnsi="Book Antiqua" w:hint="default"/>
          <w:rtl w:val="0"/>
          <w:lang w:val="it-IT"/>
        </w:rPr>
        <w:t>’</w:t>
      </w:r>
      <w:r>
        <w:rPr>
          <w:rFonts w:ascii="Book Antiqua"/>
          <w:rtl w:val="0"/>
          <w:lang w:val="it-IT"/>
        </w:rPr>
        <w:t>organo di controllo ancora non c</w:t>
      </w:r>
      <w:r>
        <w:rPr>
          <w:rFonts w:hAnsi="Book Antiqua" w:hint="default"/>
          <w:rtl w:val="0"/>
          <w:lang w:val="it-IT"/>
        </w:rPr>
        <w:t>’è</w:t>
      </w:r>
      <w:r>
        <w:rPr>
          <w:rFonts w:ascii="Book Antiqua"/>
          <w:rtl w:val="0"/>
          <w:lang w:val="it-IT"/>
        </w:rPr>
        <w:t xml:space="preserve">, nessuno si </w:t>
      </w:r>
      <w:r>
        <w:rPr>
          <w:rFonts w:hAnsi="Book Antiqua" w:hint="default"/>
          <w:rtl w:val="0"/>
          <w:lang w:val="it-IT"/>
        </w:rPr>
        <w:t xml:space="preserve">è </w:t>
      </w:r>
      <w:r>
        <w:rPr>
          <w:rFonts w:ascii="Book Antiqua"/>
          <w:rtl w:val="0"/>
          <w:lang w:val="it-IT"/>
        </w:rPr>
        <w:t xml:space="preserve">occupato di organizzarlo. La sanzione non </w:t>
      </w:r>
      <w:r>
        <w:rPr>
          <w:rFonts w:hAnsi="Book Antiqua" w:hint="default"/>
          <w:rtl w:val="0"/>
          <w:lang w:val="it-IT"/>
        </w:rPr>
        <w:t xml:space="preserve">è </w:t>
      </w:r>
      <w:r>
        <w:rPr>
          <w:rFonts w:ascii="Book Antiqua"/>
          <w:rtl w:val="0"/>
          <w:lang w:val="it-IT"/>
        </w:rPr>
        <w:t xml:space="preserve">pecuniaria, ovvero tale da avvantaggiare il cittadino, che </w:t>
      </w:r>
      <w:r>
        <w:rPr>
          <w:rFonts w:hAnsi="Book Antiqua" w:hint="default"/>
          <w:rtl w:val="0"/>
          <w:lang w:val="it-IT"/>
        </w:rPr>
        <w:t xml:space="preserve">è </w:t>
      </w:r>
      <w:r>
        <w:rPr>
          <w:rFonts w:ascii="Book Antiqua"/>
          <w:rtl w:val="0"/>
          <w:lang w:val="it-IT"/>
        </w:rPr>
        <w:t xml:space="preserve">quello penalizzato. </w:t>
      </w:r>
      <w:r>
        <w:rPr>
          <w:rFonts w:hAnsi="Book Antiqua" w:hint="default"/>
          <w:rtl w:val="0"/>
          <w:lang w:val="it-IT"/>
        </w:rPr>
        <w:t xml:space="preserve">È </w:t>
      </w:r>
      <w:r>
        <w:rPr>
          <w:rFonts w:ascii="Book Antiqua"/>
          <w:rtl w:val="0"/>
          <w:lang w:val="it-IT"/>
        </w:rPr>
        <w:t xml:space="preserve">proprio in questi termini: non hai erogato un servizio, datti da fare a rifare il servizio! Non ci siamo. Non </w:t>
      </w:r>
      <w:r>
        <w:rPr>
          <w:rFonts w:hAnsi="Book Antiqua" w:hint="default"/>
          <w:rtl w:val="0"/>
          <w:lang w:val="it-IT"/>
        </w:rPr>
        <w:t xml:space="preserve">è </w:t>
      </w:r>
      <w:r>
        <w:rPr>
          <w:rFonts w:ascii="Book Antiqua"/>
          <w:rtl w:val="0"/>
          <w:lang w:val="it-IT"/>
        </w:rPr>
        <w:t xml:space="preserve">nel nostro spirito tutto questo, quindi dobbiamo rivedere il contratto di servizio. </w:t>
      </w:r>
      <w:r>
        <w:rPr>
          <w:rFonts w:hAnsi="Book Antiqua" w:hint="default"/>
          <w:rtl w:val="0"/>
          <w:lang w:val="it-IT"/>
        </w:rPr>
        <w:t xml:space="preserve">È </w:t>
      </w:r>
      <w:r>
        <w:rPr>
          <w:rFonts w:ascii="Book Antiqua"/>
          <w:rtl w:val="0"/>
          <w:lang w:val="it-IT"/>
        </w:rPr>
        <w:t xml:space="preserve">un percorso che comunque ci siamo detti di dover fare e dati anche in termini temporali. Stiamo mettendoci mano. Il grosso del contratto di servizio non </w:t>
      </w:r>
      <w:r>
        <w:rPr>
          <w:rFonts w:hAnsi="Book Antiqua" w:hint="default"/>
          <w:rtl w:val="0"/>
          <w:lang w:val="it-IT"/>
        </w:rPr>
        <w:t xml:space="preserve">è </w:t>
      </w:r>
      <w:r>
        <w:rPr>
          <w:rFonts w:ascii="Book Antiqua"/>
          <w:rtl w:val="0"/>
          <w:lang w:val="it-IT"/>
        </w:rPr>
        <w:t>solo questo. Ci sono tanti altri aspetti</w:t>
      </w:r>
      <w:r>
        <w:rPr>
          <w:rFonts w:hAnsi="Book Antiqua" w:hint="default"/>
          <w:rtl w:val="0"/>
          <w:lang w:val="it-IT"/>
        </w:rPr>
        <w:t>”</w:t>
      </w:r>
      <w:r>
        <w:rPr>
          <w:rFonts w:ascii="Book Antiqua"/>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 xml:space="preserve">Sullo stesso tema durante la medesima audizione </w:t>
      </w:r>
      <w:r>
        <w:rPr>
          <w:rFonts w:hAnsi="Book Antiqua" w:hint="default"/>
          <w:rtl w:val="0"/>
          <w:lang w:val="it-IT"/>
        </w:rPr>
        <w:t xml:space="preserve">è </w:t>
      </w:r>
      <w:r>
        <w:rPr>
          <w:rFonts w:ascii="Book Antiqua"/>
          <w:rtl w:val="0"/>
          <w:lang w:val="it-IT"/>
        </w:rPr>
        <w:t xml:space="preserve">intervenuta anche la sindaca di Roma, Virginia Raggi, affermando: </w:t>
      </w:r>
    </w:p>
    <w:p>
      <w:pPr>
        <w:pStyle w:val="Normal"/>
        <w:ind w:left="567" w:right="567" w:firstLine="0"/>
        <w:jc w:val="both"/>
        <w:rPr>
          <w:rFonts w:ascii="Book Antiqua" w:cs="Book Antiqua" w:hAnsi="Book Antiqua" w:eastAsia="Book Antiqua"/>
        </w:rPr>
      </w:pPr>
      <w:r>
        <w:rPr>
          <w:rFonts w:hAnsi="Book Antiqua" w:hint="default"/>
          <w:rtl w:val="0"/>
          <w:lang w:val="it-IT"/>
        </w:rPr>
        <w:t>“</w:t>
      </w:r>
      <w:r>
        <w:rPr>
          <w:rFonts w:ascii="Book Antiqua"/>
          <w:rtl w:val="0"/>
          <w:lang w:val="it-IT"/>
        </w:rPr>
        <w:t>L</w:t>
      </w:r>
      <w:r>
        <w:rPr>
          <w:rFonts w:hAnsi="Book Antiqua" w:hint="default"/>
          <w:rtl w:val="0"/>
          <w:lang w:val="it-IT"/>
        </w:rPr>
        <w:t>’</w:t>
      </w:r>
      <w:r>
        <w:rPr>
          <w:rFonts w:ascii="Book Antiqua"/>
          <w:rtl w:val="0"/>
          <w:lang w:val="it-IT"/>
        </w:rPr>
        <w:t>assessore parlava delle penali: vi dico cosa accade sulle penali quando AMA non esegue correttamente il contratto di servizio, quindi le attivit</w:t>
      </w:r>
      <w:r>
        <w:rPr>
          <w:rFonts w:hAnsi="Book Antiqua" w:hint="default"/>
          <w:rtl w:val="0"/>
          <w:lang w:val="it-IT"/>
        </w:rPr>
        <w:t xml:space="preserve">à </w:t>
      </w:r>
      <w:r>
        <w:rPr>
          <w:rFonts w:ascii="Book Antiqua"/>
          <w:rtl w:val="0"/>
          <w:lang w:val="it-IT"/>
        </w:rPr>
        <w:t>previste. AMA fece un discorso molto serio nel corso del tempo: caro comune di Roma, se tu mi fai pagare le penali, poi sono costretto a riversare in tariffa i soldi che do in pi</w:t>
      </w:r>
      <w:r>
        <w:rPr>
          <w:rFonts w:hAnsi="Book Antiqua" w:hint="default"/>
          <w:rtl w:val="0"/>
          <w:lang w:val="it-IT"/>
        </w:rPr>
        <w:t>ù</w:t>
      </w:r>
      <w:r>
        <w:rPr>
          <w:rFonts w:ascii="Book Antiqua"/>
          <w:rtl w:val="0"/>
          <w:lang w:val="it-IT"/>
        </w:rPr>
        <w:t>, quindi questi li pagano i cittadini. Facciamo un</w:t>
      </w:r>
      <w:r>
        <w:rPr>
          <w:rFonts w:hAnsi="Book Antiqua" w:hint="default"/>
          <w:rtl w:val="0"/>
          <w:lang w:val="it-IT"/>
        </w:rPr>
        <w:t>’</w:t>
      </w:r>
      <w:r>
        <w:rPr>
          <w:rFonts w:ascii="Book Antiqua"/>
          <w:rtl w:val="0"/>
          <w:lang w:val="it-IT"/>
        </w:rPr>
        <w:t xml:space="preserve">altra cosa: tu quantifichi il peso del mio inadempimento e io lo trasformo in servizi aggiuntivi, per cui mi dispiace se ho dimenticato di fare qualcosa e riparo offrendo dei servizi aggiuntivi. Cosa si </w:t>
      </w:r>
      <w:r>
        <w:rPr>
          <w:rFonts w:hAnsi="Book Antiqua" w:hint="default"/>
          <w:rtl w:val="0"/>
          <w:lang w:val="it-IT"/>
        </w:rPr>
        <w:t xml:space="preserve">è </w:t>
      </w:r>
      <w:r>
        <w:rPr>
          <w:rFonts w:ascii="Book Antiqua"/>
          <w:rtl w:val="0"/>
          <w:lang w:val="it-IT"/>
        </w:rPr>
        <w:t xml:space="preserve">visto nel corso del tempo? Che questi servizi aggiuntivi costavano ore e uomini in termini di ore lavoro e queste ore lavoro vanno a finire in tariffa, tanto che dal 2003 ad oggi la tariffa </w:t>
      </w:r>
      <w:r>
        <w:rPr>
          <w:rFonts w:hAnsi="Book Antiqua" w:hint="default"/>
          <w:rtl w:val="0"/>
          <w:lang w:val="it-IT"/>
        </w:rPr>
        <w:t xml:space="preserve">è </w:t>
      </w:r>
      <w:r>
        <w:rPr>
          <w:rFonts w:ascii="Book Antiqua"/>
          <w:rtl w:val="0"/>
          <w:lang w:val="it-IT"/>
        </w:rPr>
        <w:t xml:space="preserve">passata da circa </w:t>
      </w:r>
      <w:r>
        <w:rPr>
          <w:rFonts w:hAnsi="Book Antiqua" w:hint="default"/>
          <w:rtl w:val="0"/>
          <w:lang w:val="it-IT"/>
        </w:rPr>
        <w:t xml:space="preserve">– </w:t>
      </w:r>
      <w:r>
        <w:rPr>
          <w:rFonts w:ascii="Book Antiqua"/>
          <w:rtl w:val="0"/>
          <w:lang w:val="it-IT"/>
        </w:rPr>
        <w:t xml:space="preserve">vado a memoria </w:t>
      </w:r>
      <w:r>
        <w:rPr>
          <w:rFonts w:hAnsi="Book Antiqua" w:hint="default"/>
          <w:rtl w:val="0"/>
          <w:lang w:val="it-IT"/>
        </w:rPr>
        <w:t xml:space="preserve">– </w:t>
      </w:r>
      <w:r>
        <w:rPr>
          <w:rFonts w:ascii="Book Antiqua"/>
          <w:rtl w:val="0"/>
          <w:lang w:val="it-IT"/>
        </w:rPr>
        <w:t xml:space="preserve">300 milioni di euro a oltre 7-800 milioni, quindi capite bene che anche il  discorso delle penali </w:t>
      </w:r>
      <w:r>
        <w:rPr>
          <w:rFonts w:hAnsi="Book Antiqua" w:hint="default"/>
          <w:rtl w:val="0"/>
          <w:lang w:val="it-IT"/>
        </w:rPr>
        <w:t xml:space="preserve">è </w:t>
      </w:r>
      <w:r>
        <w:rPr>
          <w:rFonts w:ascii="Book Antiqua"/>
          <w:rtl w:val="0"/>
          <w:lang w:val="it-IT"/>
        </w:rPr>
        <w:t>molto delicato. Il contratto di servizio deve essere completamente rivisto. Generalmente le amministrazioni precedenti ci hanno messo mesi e mesi. Io so che l</w:t>
      </w:r>
      <w:r>
        <w:rPr>
          <w:rFonts w:hAnsi="Book Antiqua" w:hint="default"/>
          <w:rtl w:val="0"/>
          <w:lang w:val="it-IT"/>
        </w:rPr>
        <w:t>’</w:t>
      </w:r>
      <w:r>
        <w:rPr>
          <w:rFonts w:ascii="Book Antiqua"/>
          <w:rtl w:val="0"/>
          <w:lang w:val="it-IT"/>
        </w:rPr>
        <w:t>assessore e il dipartimento stanno iniziando a lavorarci, ma credo che comunque ci vorranno due o tre mesi, perch</w:t>
      </w:r>
      <w:r>
        <w:rPr>
          <w:rFonts w:hAnsi="Book Antiqua" w:hint="default"/>
          <w:rtl w:val="0"/>
          <w:lang w:val="it-IT"/>
        </w:rPr>
        <w:t xml:space="preserve">é </w:t>
      </w:r>
      <w:r>
        <w:rPr>
          <w:rFonts w:ascii="Book Antiqua"/>
          <w:rtl w:val="0"/>
          <w:lang w:val="it-IT"/>
        </w:rPr>
        <w:t xml:space="preserve">bisogna riprendere il contratto, vedere, capire e, soprattutto, dobbiamo delimitare bene il perimetro delle competenze tra tutti i soggetti che a Roma, di fatto, si occupano non solo della gestione dei rifiuti (quella </w:t>
      </w:r>
      <w:r>
        <w:rPr>
          <w:rFonts w:hAnsi="Book Antiqua" w:hint="default"/>
          <w:rtl w:val="0"/>
          <w:lang w:val="it-IT"/>
        </w:rPr>
        <w:t xml:space="preserve">è </w:t>
      </w:r>
      <w:r>
        <w:rPr>
          <w:rFonts w:ascii="Book Antiqua"/>
          <w:rtl w:val="0"/>
          <w:lang w:val="it-IT"/>
        </w:rPr>
        <w:t>di AMA, non c</w:t>
      </w:r>
      <w:r>
        <w:rPr>
          <w:rFonts w:hAnsi="Book Antiqua" w:hint="default"/>
          <w:rtl w:val="0"/>
          <w:lang w:val="it-IT"/>
        </w:rPr>
        <w:t xml:space="preserve">’è </w:t>
      </w:r>
      <w:r>
        <w:rPr>
          <w:rFonts w:ascii="Book Antiqua"/>
          <w:rtl w:val="0"/>
          <w:lang w:val="it-IT"/>
        </w:rPr>
        <w:t>dubbio), ma anche dello spazzamento delle strade, della gestione del verde. Abbiamo un perimetro estremamente esteso ma molto frastagliato, che non consente all</w:t>
      </w:r>
      <w:r>
        <w:rPr>
          <w:rFonts w:hAnsi="Book Antiqua" w:hint="default"/>
          <w:rtl w:val="0"/>
          <w:lang w:val="it-IT"/>
        </w:rPr>
        <w:t>’</w:t>
      </w:r>
      <w:r>
        <w:rPr>
          <w:rFonts w:ascii="Book Antiqua"/>
          <w:rtl w:val="0"/>
          <w:lang w:val="it-IT"/>
        </w:rPr>
        <w:t xml:space="preserve">amministrazione di capire bene chi debba fare cosa, ma soprattutto non consente neanche ai cittadini di capire chi debbono chiamare quando si trovano di fronte a un ramo che pende, quindi </w:t>
      </w:r>
      <w:r>
        <w:rPr>
          <w:rFonts w:hAnsi="Book Antiqua" w:hint="default"/>
          <w:rtl w:val="0"/>
          <w:lang w:val="it-IT"/>
        </w:rPr>
        <w:t xml:space="preserve">è </w:t>
      </w:r>
      <w:r>
        <w:rPr>
          <w:rFonts w:ascii="Book Antiqua"/>
          <w:rtl w:val="0"/>
          <w:lang w:val="it-IT"/>
        </w:rPr>
        <w:t xml:space="preserve">fondamentale farlo bene e credo che ci voglia qualche mese. </w:t>
      </w:r>
      <w:r>
        <w:rPr>
          <w:rFonts w:hAnsi="Book Antiqua" w:hint="default"/>
          <w:rtl w:val="0"/>
          <w:lang w:val="it-IT"/>
        </w:rPr>
        <w:t xml:space="preserve">È </w:t>
      </w:r>
      <w:r>
        <w:rPr>
          <w:rFonts w:ascii="Book Antiqua"/>
          <w:rtl w:val="0"/>
          <w:lang w:val="it-IT"/>
        </w:rPr>
        <w:t xml:space="preserve">chiaro che per noi </w:t>
      </w:r>
      <w:r>
        <w:rPr>
          <w:rFonts w:hAnsi="Book Antiqua" w:hint="default"/>
          <w:rtl w:val="0"/>
          <w:lang w:val="it-IT"/>
        </w:rPr>
        <w:t xml:space="preserve">è </w:t>
      </w:r>
      <w:r>
        <w:rPr>
          <w:rFonts w:ascii="Book Antiqua"/>
          <w:rtl w:val="0"/>
          <w:lang w:val="it-IT"/>
        </w:rPr>
        <w:t>comunque una priorit</w:t>
      </w:r>
      <w:r>
        <w:rPr>
          <w:rFonts w:hAnsi="Book Antiqua" w:hint="default"/>
          <w:rtl w:val="0"/>
          <w:lang w:val="it-IT"/>
        </w:rPr>
        <w:t>à</w:t>
      </w:r>
      <w:r>
        <w:rPr>
          <w:rFonts w:ascii="Book Antiqua"/>
          <w:rtl w:val="0"/>
          <w:lang w:val="it-IT"/>
        </w:rPr>
        <w:t>, quindi cercheremo di metterci il meno possibile, per</w:t>
      </w:r>
      <w:r>
        <w:rPr>
          <w:rFonts w:hAnsi="Book Antiqua" w:hint="default"/>
          <w:rtl w:val="0"/>
          <w:lang w:val="it-IT"/>
        </w:rPr>
        <w:t xml:space="preserve">ò </w:t>
      </w:r>
      <w:r>
        <w:rPr>
          <w:rFonts w:ascii="Book Antiqua"/>
          <w:rtl w:val="0"/>
          <w:lang w:val="it-IT"/>
        </w:rPr>
        <w:t>vogliamo fare le cose per bene.</w:t>
      </w:r>
      <w:r>
        <w:rPr>
          <w:rFonts w:hAnsi="Book Antiqua" w:hint="default"/>
          <w:rtl w:val="0"/>
          <w:lang w:val="it-IT"/>
        </w:rPr>
        <w:t xml:space="preserve">”  </w:t>
      </w:r>
    </w:p>
    <w:p>
      <w:pPr>
        <w:pStyle w:val="Normal"/>
        <w:ind w:left="567" w:right="567" w:firstLine="0"/>
        <w:jc w:val="both"/>
        <w:rPr>
          <w:rFonts w:ascii="Book Antiqua" w:cs="Book Antiqua" w:hAnsi="Book Antiqua" w:eastAsia="Book Antiqua"/>
        </w:rPr>
      </w:pPr>
      <w:r>
        <w:rPr>
          <w:rFonts w:ascii="Book Antiqua"/>
          <w:rtl w:val="0"/>
          <w:lang w:val="it-IT"/>
        </w:rPr>
        <w:t xml:space="preserve">Il nuovo </w:t>
      </w:r>
      <w:r>
        <w:rPr>
          <w:rFonts w:ascii="Book Antiqua"/>
          <w:i w:val="1"/>
          <w:iCs w:val="1"/>
          <w:rtl w:val="0"/>
          <w:lang w:val="it-IT"/>
        </w:rPr>
        <w:t>management</w:t>
      </w:r>
      <w:r>
        <w:rPr>
          <w:rFonts w:ascii="Book Antiqua"/>
          <w:rtl w:val="0"/>
          <w:lang w:val="it-IT"/>
        </w:rPr>
        <w:t xml:space="preserve"> dell</w:t>
      </w:r>
      <w:r>
        <w:rPr>
          <w:rFonts w:hAnsi="Book Antiqua" w:hint="default"/>
          <w:rtl w:val="0"/>
          <w:lang w:val="it-IT"/>
        </w:rPr>
        <w:t>’</w:t>
      </w:r>
      <w:r>
        <w:rPr>
          <w:rFonts w:ascii="Book Antiqua"/>
          <w:rtl w:val="0"/>
          <w:lang w:val="it-IT"/>
        </w:rPr>
        <w:t xml:space="preserve">AMA S.p.A </w:t>
      </w:r>
      <w:r>
        <w:rPr>
          <w:rFonts w:hAnsi="Book Antiqua" w:hint="default"/>
          <w:rtl w:val="0"/>
          <w:lang w:val="it-IT"/>
        </w:rPr>
        <w:t xml:space="preserve">è </w:t>
      </w:r>
      <w:r>
        <w:rPr>
          <w:rFonts w:ascii="Book Antiqua"/>
          <w:rtl w:val="0"/>
          <w:lang w:val="it-IT"/>
        </w:rPr>
        <w:t xml:space="preserve">stato audito dalla Commissione il 28 giugno 2017. </w:t>
      </w:r>
    </w:p>
    <w:p>
      <w:pPr>
        <w:pStyle w:val="Normal"/>
        <w:ind w:left="567" w:right="567" w:firstLine="0"/>
        <w:jc w:val="both"/>
        <w:rPr>
          <w:rFonts w:ascii="Book Antiqua" w:cs="Book Antiqua" w:hAnsi="Book Antiqua" w:eastAsia="Book Antiqua"/>
          <w:shd w:val="clear" w:color="auto" w:fill="ffffff"/>
        </w:rPr>
      </w:pPr>
      <w:r>
        <w:rPr>
          <w:rFonts w:ascii="Book Antiqua"/>
          <w:shd w:val="clear" w:color="auto" w:fill="ffffff"/>
          <w:rtl w:val="0"/>
          <w:lang w:val="it-IT"/>
        </w:rPr>
        <w:t>Lorenzo Bacagnani presidente ed amministratore delegato di AMA S.p.A, sul numero dei dipendenti dell</w:t>
      </w:r>
      <w:r>
        <w:rPr>
          <w:rFonts w:hAnsi="Book Antiqua" w:hint="default"/>
          <w:shd w:val="clear" w:color="auto" w:fill="ffffff"/>
          <w:rtl w:val="0"/>
          <w:lang w:val="it-IT"/>
        </w:rPr>
        <w:t>’</w:t>
      </w:r>
      <w:r>
        <w:rPr>
          <w:rFonts w:ascii="Book Antiqua"/>
          <w:shd w:val="clear" w:color="auto" w:fill="ffffff"/>
          <w:rtl w:val="0"/>
          <w:lang w:val="it-IT"/>
        </w:rPr>
        <w:t xml:space="preserve">azienda, ha dichiarato: </w:t>
      </w:r>
    </w:p>
    <w:p>
      <w:pPr>
        <w:pStyle w:val="Normal"/>
        <w:ind w:left="567" w:right="567" w:firstLine="0"/>
        <w:jc w:val="both"/>
        <w:rPr>
          <w:rFonts w:ascii="Book Antiqua" w:cs="Book Antiqua" w:hAnsi="Book Antiqua" w:eastAsia="Book Antiqua"/>
        </w:rPr>
      </w:pPr>
      <w:r>
        <w:rPr>
          <w:rFonts w:hAnsi="Book Antiqua" w:hint="default"/>
          <w:shd w:val="clear" w:color="auto" w:fill="ffffff"/>
          <w:rtl w:val="0"/>
          <w:lang w:val="it-IT"/>
        </w:rPr>
        <w:t>“</w:t>
      </w:r>
      <w:r>
        <w:rPr>
          <w:rFonts w:ascii="Book Antiqua"/>
          <w:rtl w:val="0"/>
          <w:lang w:val="it-IT"/>
        </w:rPr>
        <w:t xml:space="preserve">Noi abbiamo quasi 8.000 dipendenti e il </w:t>
      </w:r>
      <w:r>
        <w:rPr>
          <w:rFonts w:ascii="Book Antiqua"/>
          <w:i w:val="1"/>
          <w:iCs w:val="1"/>
          <w:rtl w:val="0"/>
          <w:lang w:val="it-IT"/>
        </w:rPr>
        <w:t>benchmark</w:t>
      </w:r>
      <w:r>
        <w:rPr>
          <w:rFonts w:ascii="Book Antiqua"/>
          <w:rtl w:val="0"/>
          <w:lang w:val="it-IT"/>
        </w:rPr>
        <w:t xml:space="preserve"> di mercato suggerirebbe che per una dimensione come Roma ne basterebbero circa la met</w:t>
      </w:r>
      <w:r>
        <w:rPr>
          <w:rFonts w:hAnsi="Book Antiqua" w:hint="default"/>
          <w:rtl w:val="0"/>
          <w:lang w:val="it-IT"/>
        </w:rPr>
        <w:t>à</w:t>
      </w:r>
      <w:r>
        <w:rPr>
          <w:rFonts w:ascii="Book Antiqua"/>
          <w:rtl w:val="0"/>
          <w:lang w:val="it-IT"/>
        </w:rPr>
        <w:t xml:space="preserve">. Il tema, naturalmente, visto in chiave positiva, </w:t>
      </w:r>
      <w:r>
        <w:rPr>
          <w:rFonts w:hAnsi="Book Antiqua" w:hint="default"/>
          <w:rtl w:val="0"/>
          <w:lang w:val="it-IT"/>
        </w:rPr>
        <w:t xml:space="preserve">è </w:t>
      </w:r>
      <w:r>
        <w:rPr>
          <w:rFonts w:ascii="Book Antiqua"/>
          <w:rtl w:val="0"/>
          <w:lang w:val="it-IT"/>
        </w:rPr>
        <w:t>che abbiamo un numero di dipendenti che, organizzati al meglio, consentiranno sicuramente alla nostra azienda, in un modello organizzativo efficientato, di rendere un servizio di altissima qualit</w:t>
      </w:r>
      <w:r>
        <w:rPr>
          <w:rFonts w:hAnsi="Book Antiqua" w:hint="default"/>
          <w:rtl w:val="0"/>
          <w:lang w:val="it-IT"/>
        </w:rPr>
        <w:t>à</w:t>
      </w:r>
      <w:r>
        <w:rPr>
          <w:rFonts w:ascii="Book Antiqua"/>
          <w:rtl w:val="0"/>
          <w:lang w:val="it-IT"/>
        </w:rPr>
        <w:t xml:space="preserve">. Questo, naturalmente, </w:t>
      </w:r>
      <w:r>
        <w:rPr>
          <w:rFonts w:hAnsi="Book Antiqua" w:hint="default"/>
          <w:rtl w:val="0"/>
          <w:lang w:val="it-IT"/>
        </w:rPr>
        <w:t xml:space="preserve">è </w:t>
      </w:r>
      <w:r>
        <w:rPr>
          <w:rFonts w:ascii="Book Antiqua"/>
          <w:rtl w:val="0"/>
          <w:lang w:val="it-IT"/>
        </w:rPr>
        <w:t xml:space="preserve">un obiettivo verso cui tendere [...] Secondo i </w:t>
      </w:r>
      <w:r>
        <w:rPr>
          <w:rFonts w:ascii="Book Antiqua"/>
          <w:i w:val="1"/>
          <w:iCs w:val="1"/>
          <w:rtl w:val="0"/>
          <w:lang w:val="it-IT"/>
        </w:rPr>
        <w:t>benchmark</w:t>
      </w:r>
      <w:r>
        <w:rPr>
          <w:rFonts w:ascii="Book Antiqua"/>
          <w:rtl w:val="0"/>
          <w:lang w:val="it-IT"/>
        </w:rPr>
        <w:t xml:space="preserve"> nazionali, il servizio richiede un dipendente ogni 1.000 abitanti, mentre qui abbiamo circa un dipendente ogni 400 abitanti. Questo </w:t>
      </w:r>
      <w:r>
        <w:rPr>
          <w:rFonts w:hAnsi="Book Antiqua" w:hint="default"/>
          <w:rtl w:val="0"/>
          <w:lang w:val="it-IT"/>
        </w:rPr>
        <w:t xml:space="preserve">è </w:t>
      </w:r>
      <w:r>
        <w:rPr>
          <w:rFonts w:ascii="Book Antiqua"/>
          <w:rtl w:val="0"/>
          <w:lang w:val="it-IT"/>
        </w:rPr>
        <w:t>un grande numero che ci d</w:t>
      </w:r>
      <w:r>
        <w:rPr>
          <w:rFonts w:hAnsi="Book Antiqua" w:hint="default"/>
          <w:rtl w:val="0"/>
          <w:lang w:val="it-IT"/>
        </w:rPr>
        <w:t xml:space="preserve">à </w:t>
      </w:r>
      <w:r>
        <w:rPr>
          <w:rFonts w:ascii="Book Antiqua"/>
          <w:rtl w:val="0"/>
          <w:lang w:val="it-IT"/>
        </w:rPr>
        <w:t>un</w:t>
      </w:r>
      <w:r>
        <w:rPr>
          <w:rFonts w:hAnsi="Book Antiqua" w:hint="default"/>
          <w:rtl w:val="0"/>
          <w:lang w:val="it-IT"/>
        </w:rPr>
        <w:t>’</w:t>
      </w:r>
      <w:r>
        <w:rPr>
          <w:rFonts w:ascii="Book Antiqua"/>
          <w:rtl w:val="0"/>
          <w:lang w:val="it-IT"/>
        </w:rPr>
        <w:t>idea, ma poi ogni realt</w:t>
      </w:r>
      <w:r>
        <w:rPr>
          <w:rFonts w:hAnsi="Book Antiqua" w:hint="default"/>
          <w:rtl w:val="0"/>
          <w:lang w:val="it-IT"/>
        </w:rPr>
        <w:t xml:space="preserve">à è </w:t>
      </w:r>
      <w:r>
        <w:rPr>
          <w:rFonts w:ascii="Book Antiqua"/>
          <w:rtl w:val="0"/>
          <w:lang w:val="it-IT"/>
        </w:rPr>
        <w:t>una realt</w:t>
      </w:r>
      <w:r>
        <w:rPr>
          <w:rFonts w:hAnsi="Book Antiqua" w:hint="default"/>
          <w:rtl w:val="0"/>
          <w:lang w:val="it-IT"/>
        </w:rPr>
        <w:t xml:space="preserve">à </w:t>
      </w:r>
      <w:r>
        <w:rPr>
          <w:rFonts w:ascii="Book Antiqua"/>
          <w:rtl w:val="0"/>
          <w:lang w:val="it-IT"/>
        </w:rPr>
        <w:t>a s</w:t>
      </w:r>
      <w:r>
        <w:rPr>
          <w:rFonts w:hAnsi="Book Antiqua" w:hint="default"/>
          <w:rtl w:val="0"/>
          <w:lang w:val="it-IT"/>
        </w:rPr>
        <w:t>é</w:t>
      </w:r>
      <w:r>
        <w:rPr>
          <w:rFonts w:ascii="Book Antiqua"/>
          <w:rtl w:val="0"/>
          <w:lang w:val="it-IT"/>
        </w:rPr>
        <w:t>. Se noi oggi volessimo estendere la raccolta differenziata a tutto il territorio con il sistema di raccolta che attualmente abbiamo, questi quasi 8.000 dipendenti non sarebbero abbastanza perch</w:t>
      </w:r>
      <w:r>
        <w:rPr>
          <w:rFonts w:hAnsi="Book Antiqua" w:hint="default"/>
          <w:rtl w:val="0"/>
          <w:lang w:val="it-IT"/>
        </w:rPr>
        <w:t xml:space="preserve">é è </w:t>
      </w:r>
      <w:r>
        <w:rPr>
          <w:rFonts w:ascii="Book Antiqua"/>
          <w:rtl w:val="0"/>
          <w:lang w:val="it-IT"/>
        </w:rPr>
        <w:t xml:space="preserve">il modello che ha implicitamente alcune cose sbagliate. Pertanto, il tema di AMA non </w:t>
      </w:r>
      <w:r>
        <w:rPr>
          <w:rFonts w:hAnsi="Book Antiqua" w:hint="default"/>
          <w:rtl w:val="0"/>
          <w:lang w:val="it-IT"/>
        </w:rPr>
        <w:t xml:space="preserve">è </w:t>
      </w:r>
      <w:r>
        <w:rPr>
          <w:rFonts w:ascii="Book Antiqua"/>
          <w:rtl w:val="0"/>
          <w:lang w:val="it-IT"/>
        </w:rPr>
        <w:t>quello dei dipendenti in pi</w:t>
      </w:r>
      <w:r>
        <w:rPr>
          <w:rFonts w:hAnsi="Book Antiqua" w:hint="default"/>
          <w:rtl w:val="0"/>
          <w:lang w:val="it-IT"/>
        </w:rPr>
        <w:t xml:space="preserve">ù </w:t>
      </w:r>
      <w:r>
        <w:rPr>
          <w:rFonts w:ascii="Book Antiqua"/>
          <w:rtl w:val="0"/>
          <w:lang w:val="it-IT"/>
        </w:rPr>
        <w:t xml:space="preserve">di cui deve liberarsi, anzi, </w:t>
      </w:r>
      <w:r>
        <w:rPr>
          <w:rFonts w:hAnsi="Book Antiqua" w:hint="default"/>
          <w:rtl w:val="0"/>
          <w:lang w:val="it-IT"/>
        </w:rPr>
        <w:t xml:space="preserve">è </w:t>
      </w:r>
      <w:r>
        <w:rPr>
          <w:rFonts w:ascii="Book Antiqua"/>
          <w:rtl w:val="0"/>
          <w:lang w:val="it-IT"/>
        </w:rPr>
        <w:t>quello opposto. AMA ha, rispetto a una prospettiva, una bella opportunit</w:t>
      </w:r>
      <w:r>
        <w:rPr>
          <w:rFonts w:hAnsi="Book Antiqua" w:hint="default"/>
          <w:rtl w:val="0"/>
          <w:lang w:val="it-IT"/>
        </w:rPr>
        <w:t>à</w:t>
      </w:r>
      <w:r>
        <w:rPr>
          <w:rFonts w:ascii="Book Antiqua"/>
          <w:rtl w:val="0"/>
          <w:lang w:val="it-IT"/>
        </w:rPr>
        <w:t>: abbiamo un</w:t>
      </w:r>
      <w:r>
        <w:rPr>
          <w:rFonts w:hAnsi="Book Antiqua" w:hint="default"/>
          <w:rtl w:val="0"/>
          <w:lang w:val="it-IT"/>
        </w:rPr>
        <w:t>’</w:t>
      </w:r>
      <w:r>
        <w:rPr>
          <w:rFonts w:ascii="Book Antiqua"/>
          <w:rtl w:val="0"/>
          <w:lang w:val="it-IT"/>
        </w:rPr>
        <w:t>egregia dotazione di dipendenti e se noi cambiamo il modello operativo, allora possiamo rendere al meglio il servizio a tutti i territori invece di vivere le criticit</w:t>
      </w:r>
      <w:r>
        <w:rPr>
          <w:rFonts w:hAnsi="Book Antiqua" w:hint="default"/>
          <w:rtl w:val="0"/>
          <w:lang w:val="it-IT"/>
        </w:rPr>
        <w:t xml:space="preserve">à </w:t>
      </w:r>
      <w:r>
        <w:rPr>
          <w:rFonts w:ascii="Book Antiqua"/>
          <w:rtl w:val="0"/>
          <w:lang w:val="it-IT"/>
        </w:rPr>
        <w:t>attuali. Vi do un dato: oggi, sul sistema porta a porta, abbiamo staffato 250 unit</w:t>
      </w:r>
      <w:r>
        <w:rPr>
          <w:rFonts w:hAnsi="Book Antiqua" w:hint="default"/>
          <w:rtl w:val="0"/>
          <w:lang w:val="it-IT"/>
        </w:rPr>
        <w:t xml:space="preserve">à </w:t>
      </w:r>
      <w:r>
        <w:rPr>
          <w:rFonts w:ascii="Book Antiqua"/>
          <w:rtl w:val="0"/>
          <w:lang w:val="it-IT"/>
        </w:rPr>
        <w:t xml:space="preserve">ogni 100.000 abitanti. Questo </w:t>
      </w:r>
      <w:r>
        <w:rPr>
          <w:rFonts w:hAnsi="Book Antiqua" w:hint="default"/>
          <w:rtl w:val="0"/>
          <w:lang w:val="it-IT"/>
        </w:rPr>
        <w:t xml:space="preserve">è </w:t>
      </w:r>
      <w:r>
        <w:rPr>
          <w:rFonts w:ascii="Book Antiqua"/>
          <w:rtl w:val="0"/>
          <w:lang w:val="it-IT"/>
        </w:rPr>
        <w:t>un numero molto elevato. Voi capite che nella risposta a questa inefficienza sta la possibilit</w:t>
      </w:r>
      <w:r>
        <w:rPr>
          <w:rFonts w:hAnsi="Book Antiqua" w:hint="default"/>
          <w:rtl w:val="0"/>
          <w:lang w:val="it-IT"/>
        </w:rPr>
        <w:t xml:space="preserve">à </w:t>
      </w:r>
      <w:r>
        <w:rPr>
          <w:rFonts w:ascii="Book Antiqua"/>
          <w:rtl w:val="0"/>
          <w:lang w:val="it-IT"/>
        </w:rPr>
        <w:t>di gestire al meglio il servizio dove lo stiamo offrendo, migliorando quello che c</w:t>
      </w:r>
      <w:r>
        <w:rPr>
          <w:rFonts w:hAnsi="Book Antiqua" w:hint="default"/>
          <w:rtl w:val="0"/>
          <w:lang w:val="it-IT"/>
        </w:rPr>
        <w:t>’è</w:t>
      </w:r>
      <w:r>
        <w:rPr>
          <w:rFonts w:ascii="Book Antiqua"/>
          <w:rtl w:val="0"/>
          <w:lang w:val="it-IT"/>
        </w:rPr>
        <w:t xml:space="preserve">, ma anche distraendo una parte di questa quota di dipendenti per gli altri 100.000 abitanti, sui quali oggi non possiamo estendere la raccolta porta a porta. Il concetto generale </w:t>
      </w:r>
      <w:r>
        <w:rPr>
          <w:rFonts w:hAnsi="Book Antiqua" w:hint="default"/>
          <w:rtl w:val="0"/>
          <w:lang w:val="it-IT"/>
        </w:rPr>
        <w:t xml:space="preserve">è </w:t>
      </w:r>
      <w:r>
        <w:rPr>
          <w:rFonts w:ascii="Book Antiqua"/>
          <w:rtl w:val="0"/>
          <w:lang w:val="it-IT"/>
        </w:rPr>
        <w:t>la ristrutturazione dell</w:t>
      </w:r>
      <w:r>
        <w:rPr>
          <w:rFonts w:hAnsi="Book Antiqua" w:hint="default"/>
          <w:rtl w:val="0"/>
          <w:lang w:val="it-IT"/>
        </w:rPr>
        <w:t>’</w:t>
      </w:r>
      <w:r>
        <w:rPr>
          <w:rFonts w:ascii="Book Antiqua"/>
          <w:rtl w:val="0"/>
          <w:lang w:val="it-IT"/>
        </w:rPr>
        <w:t>azienda e anche la ristrutturazione dei processi, riportandoci a degli standard industriali che possano garantire il buon utilizzo delle risorse. Questo vuol dire dare qualit</w:t>
      </w:r>
      <w:r>
        <w:rPr>
          <w:rFonts w:hAnsi="Book Antiqua" w:hint="default"/>
          <w:rtl w:val="0"/>
          <w:lang w:val="it-IT"/>
        </w:rPr>
        <w:t>à</w:t>
      </w:r>
      <w:r>
        <w:rPr>
          <w:rFonts w:ascii="Book Antiqua"/>
          <w:rtl w:val="0"/>
          <w:lang w:val="it-IT"/>
        </w:rPr>
        <w:t>, dare risposte, dare un servizio</w:t>
      </w:r>
      <w:r>
        <w:rPr>
          <w:rFonts w:hAnsi="Book Antiqua" w:hint="default"/>
          <w:rtl w:val="0"/>
          <w:lang w:val="it-IT"/>
        </w:rPr>
        <w:t>”</w:t>
      </w:r>
      <w:r>
        <w:rPr>
          <w:rFonts w:ascii="Book Antiqua" w:cs="Book Antiqua" w:hAnsi="Book Antiqua" w:eastAsia="Book Antiqua"/>
          <w:vertAlign w:val="superscript"/>
          <w:rtl w:val="0"/>
        </w:rPr>
        <w:footnoteReference w:id="128"/>
      </w:r>
    </w:p>
    <w:p>
      <w:pPr>
        <w:pStyle w:val="Normal"/>
        <w:ind w:left="567" w:right="567" w:firstLine="0"/>
        <w:jc w:val="both"/>
        <w:rPr>
          <w:rFonts w:ascii="Book Antiqua" w:cs="Book Antiqua" w:hAnsi="Book Antiqua" w:eastAsia="Book Antiqua"/>
        </w:rPr>
      </w:pPr>
      <w:r>
        <w:rPr>
          <w:rFonts w:ascii="Book Antiqua"/>
          <w:rtl w:val="0"/>
          <w:lang w:val="it-IT"/>
        </w:rPr>
        <w:t>Altro tema al centro dell</w:t>
      </w:r>
      <w:r>
        <w:rPr>
          <w:rFonts w:hAnsi="Book Antiqua" w:hint="default"/>
          <w:rtl w:val="0"/>
          <w:lang w:val="it-IT"/>
        </w:rPr>
        <w:t>’</w:t>
      </w:r>
      <w:r>
        <w:rPr>
          <w:rFonts w:ascii="Book Antiqua"/>
          <w:rtl w:val="0"/>
          <w:lang w:val="it-IT"/>
        </w:rPr>
        <w:t xml:space="preserve">audizione </w:t>
      </w:r>
      <w:r>
        <w:rPr>
          <w:rFonts w:hAnsi="Book Antiqua" w:hint="default"/>
          <w:rtl w:val="0"/>
          <w:lang w:val="it-IT"/>
        </w:rPr>
        <w:t xml:space="preserve">è </w:t>
      </w:r>
      <w:r>
        <w:rPr>
          <w:rFonts w:ascii="Book Antiqua"/>
          <w:rtl w:val="0"/>
          <w:lang w:val="it-IT"/>
        </w:rPr>
        <w:t>stato quello relativo al nuovo Piano industriale dell</w:t>
      </w:r>
      <w:r>
        <w:rPr>
          <w:rFonts w:hAnsi="Book Antiqua" w:hint="default"/>
          <w:rtl w:val="0"/>
          <w:lang w:val="it-IT"/>
        </w:rPr>
        <w:t>’</w:t>
      </w:r>
      <w:r>
        <w:rPr>
          <w:rFonts w:ascii="Book Antiqua"/>
          <w:rtl w:val="0"/>
          <w:lang w:val="it-IT"/>
        </w:rPr>
        <w:t>Azienda</w:t>
      </w:r>
      <w:r>
        <w:rPr>
          <w:rFonts w:ascii="Book Antiqua" w:cs="Book Antiqua" w:hAnsi="Book Antiqua" w:eastAsia="Book Antiqua"/>
          <w:vertAlign w:val="superscript"/>
          <w:rtl w:val="0"/>
        </w:rPr>
        <w:footnoteReference w:id="129"/>
      </w:r>
      <w:r>
        <w:rPr>
          <w:rFonts w:ascii="Book Antiqua"/>
          <w:rtl w:val="0"/>
          <w:lang w:val="it-IT"/>
        </w:rPr>
        <w:t xml:space="preserve">. Su questo sempre il presidente Bacagnani ha dichiarato: </w:t>
      </w:r>
      <w:r>
        <w:rPr>
          <w:rFonts w:hAnsi="Book Antiqua" w:hint="default"/>
          <w:rtl w:val="0"/>
          <w:lang w:val="it-IT"/>
        </w:rPr>
        <w:t>“</w:t>
      </w:r>
      <w:r>
        <w:rPr>
          <w:rFonts w:ascii="Book Antiqua"/>
          <w:rtl w:val="0"/>
          <w:lang w:val="it-IT"/>
        </w:rPr>
        <w:t>Entrando nel merito del nostro piano industriale, c</w:t>
      </w:r>
      <w:r>
        <w:rPr>
          <w:rFonts w:hAnsi="Book Antiqua" w:hint="default"/>
          <w:rtl w:val="0"/>
          <w:lang w:val="it-IT"/>
        </w:rPr>
        <w:t xml:space="preserve">’è </w:t>
      </w:r>
      <w:r>
        <w:rPr>
          <w:rFonts w:ascii="Book Antiqua"/>
          <w:rtl w:val="0"/>
          <w:lang w:val="it-IT"/>
        </w:rPr>
        <w:t xml:space="preserve">un altro elemento che voglio rappresentare, che </w:t>
      </w:r>
      <w:r>
        <w:rPr>
          <w:rFonts w:hAnsi="Book Antiqua" w:hint="default"/>
          <w:rtl w:val="0"/>
          <w:lang w:val="it-IT"/>
        </w:rPr>
        <w:t xml:space="preserve">è </w:t>
      </w:r>
      <w:r>
        <w:rPr>
          <w:rFonts w:ascii="Book Antiqua"/>
          <w:rtl w:val="0"/>
          <w:lang w:val="it-IT"/>
        </w:rPr>
        <w:t xml:space="preserve">molto importante per capire le ragioni dei nostri obiettivi. </w:t>
      </w:r>
      <w:r>
        <w:rPr>
          <w:rFonts w:hAnsi="Book Antiqua" w:hint="default"/>
          <w:rtl w:val="0"/>
          <w:lang w:val="it-IT"/>
        </w:rPr>
        <w:t xml:space="preserve">È </w:t>
      </w:r>
      <w:r>
        <w:rPr>
          <w:rFonts w:ascii="Book Antiqua"/>
          <w:rtl w:val="0"/>
          <w:lang w:val="it-IT"/>
        </w:rPr>
        <w:t>stata fatta un</w:t>
      </w:r>
      <w:r>
        <w:rPr>
          <w:rFonts w:hAnsi="Book Antiqua" w:hint="default"/>
          <w:rtl w:val="0"/>
          <w:lang w:val="it-IT"/>
        </w:rPr>
        <w:t>’</w:t>
      </w:r>
      <w:r>
        <w:rPr>
          <w:rFonts w:ascii="Book Antiqua"/>
          <w:rtl w:val="0"/>
          <w:lang w:val="it-IT"/>
        </w:rPr>
        <w:t>analisi molto dettagliata dei flussi e della composizione dei nostri rifiuti. Se noi analizziamo la composizione dei nostri rifiuti, vediamo che nell</w:t>
      </w:r>
      <w:r>
        <w:rPr>
          <w:rFonts w:hAnsi="Book Antiqua" w:hint="default"/>
          <w:rtl w:val="0"/>
          <w:lang w:val="it-IT"/>
        </w:rPr>
        <w:t>’</w:t>
      </w:r>
      <w:r>
        <w:rPr>
          <w:rFonts w:ascii="Book Antiqua"/>
          <w:rtl w:val="0"/>
          <w:lang w:val="it-IT"/>
        </w:rPr>
        <w:t xml:space="preserve">indifferenziato, che </w:t>
      </w:r>
      <w:r>
        <w:rPr>
          <w:rFonts w:hAnsi="Book Antiqua" w:hint="default"/>
          <w:rtl w:val="0"/>
          <w:lang w:val="it-IT"/>
        </w:rPr>
        <w:t xml:space="preserve">è </w:t>
      </w:r>
      <w:r>
        <w:rPr>
          <w:rFonts w:ascii="Book Antiqua"/>
          <w:rtl w:val="0"/>
          <w:lang w:val="it-IT"/>
        </w:rPr>
        <w:t>la parte predominante al momento, abbiamo il 28,1 per cento di carta e cartone, un materiale che, se intercettato, ridurrebbe in modo significativo la quantit</w:t>
      </w:r>
      <w:r>
        <w:rPr>
          <w:rFonts w:hAnsi="Book Antiqua" w:hint="default"/>
          <w:rtl w:val="0"/>
          <w:lang w:val="it-IT"/>
        </w:rPr>
        <w:t xml:space="preserve">à </w:t>
      </w:r>
      <w:r>
        <w:rPr>
          <w:rFonts w:ascii="Book Antiqua"/>
          <w:rtl w:val="0"/>
          <w:lang w:val="it-IT"/>
        </w:rPr>
        <w:t>di rifiuto indifferenziato. Inoltre, se andiamo ad analizzare anche i valori economici, vediamo che intercettare questa frazione e sottrarla dallo smaltimento significa anche creare un beneficio economico, in quanto ci</w:t>
      </w:r>
      <w:r>
        <w:rPr>
          <w:rFonts w:hAnsi="Book Antiqua" w:hint="default"/>
          <w:rtl w:val="0"/>
          <w:lang w:val="it-IT"/>
        </w:rPr>
        <w:t xml:space="preserve">ò </w:t>
      </w:r>
      <w:r>
        <w:rPr>
          <w:rFonts w:ascii="Book Antiqua"/>
          <w:rtl w:val="0"/>
          <w:lang w:val="it-IT"/>
        </w:rPr>
        <w:t xml:space="preserve">diventa da costo un ricavo. Il percorso di efficienza che vi descrivevo prima, trova in questo uno dei suoi elementi fondanti. In questa logica, avendo chiaro a quanto ammonta la produzione di carta e cartone, almeno la parte stimata, che </w:t>
      </w:r>
      <w:r>
        <w:rPr>
          <w:rFonts w:hAnsi="Book Antiqua" w:hint="default"/>
          <w:rtl w:val="0"/>
          <w:lang w:val="it-IT"/>
        </w:rPr>
        <w:t xml:space="preserve">è </w:t>
      </w:r>
      <w:r>
        <w:rPr>
          <w:rFonts w:ascii="Book Antiqua"/>
          <w:rtl w:val="0"/>
          <w:lang w:val="it-IT"/>
        </w:rPr>
        <w:t>deducibile anche dalle nostre analisi merceologiche, nella citt</w:t>
      </w:r>
      <w:r>
        <w:rPr>
          <w:rFonts w:hAnsi="Book Antiqua" w:hint="default"/>
          <w:rtl w:val="0"/>
          <w:lang w:val="it-IT"/>
        </w:rPr>
        <w:t xml:space="preserve">à </w:t>
      </w:r>
      <w:r>
        <w:rPr>
          <w:rFonts w:ascii="Book Antiqua"/>
          <w:rtl w:val="0"/>
          <w:lang w:val="it-IT"/>
        </w:rPr>
        <w:t>di Roma, stiamo collaborando con COMIECO, con cui sar</w:t>
      </w:r>
      <w:r>
        <w:rPr>
          <w:rFonts w:hAnsi="Book Antiqua" w:hint="default"/>
          <w:rtl w:val="0"/>
          <w:lang w:val="it-IT"/>
        </w:rPr>
        <w:t xml:space="preserve">à </w:t>
      </w:r>
      <w:r>
        <w:rPr>
          <w:rFonts w:ascii="Book Antiqua"/>
          <w:rtl w:val="0"/>
          <w:lang w:val="it-IT"/>
        </w:rPr>
        <w:t>presto siglato anche un protocollo d</w:t>
      </w:r>
      <w:r>
        <w:rPr>
          <w:rFonts w:hAnsi="Book Antiqua" w:hint="default"/>
          <w:rtl w:val="0"/>
          <w:lang w:val="it-IT"/>
        </w:rPr>
        <w:t>’</w:t>
      </w:r>
      <w:r>
        <w:rPr>
          <w:rFonts w:ascii="Book Antiqua"/>
          <w:rtl w:val="0"/>
          <w:lang w:val="it-IT"/>
        </w:rPr>
        <w:t>intesa. Abbiamo l</w:t>
      </w:r>
      <w:r>
        <w:rPr>
          <w:rFonts w:hAnsi="Book Antiqua" w:hint="default"/>
          <w:rtl w:val="0"/>
          <w:lang w:val="it-IT"/>
        </w:rPr>
        <w:t>’</w:t>
      </w:r>
      <w:r>
        <w:rPr>
          <w:rFonts w:ascii="Book Antiqua"/>
          <w:rtl w:val="0"/>
          <w:lang w:val="it-IT"/>
        </w:rPr>
        <w:t>idea di creare un sistema dedicato sulle dorsali del commercio, ossia sulle utenze non domestiche, in modo tale da intercettare quotidianamente tutta la carta e il cartone e sottrarli a quel flusso di rifiuto indifferenziato. C</w:t>
      </w:r>
      <w:r>
        <w:rPr>
          <w:rFonts w:hAnsi="Book Antiqua" w:hint="default"/>
          <w:rtl w:val="0"/>
          <w:lang w:val="it-IT"/>
        </w:rPr>
        <w:t xml:space="preserve">’è </w:t>
      </w:r>
      <w:r>
        <w:rPr>
          <w:rFonts w:ascii="Book Antiqua"/>
          <w:rtl w:val="0"/>
          <w:lang w:val="it-IT"/>
        </w:rPr>
        <w:t xml:space="preserve">poi un altro aspetto molto importante, che </w:t>
      </w:r>
      <w:r>
        <w:rPr>
          <w:rFonts w:hAnsi="Book Antiqua" w:hint="default"/>
          <w:rtl w:val="0"/>
          <w:lang w:val="it-IT"/>
        </w:rPr>
        <w:t xml:space="preserve">è </w:t>
      </w:r>
      <w:r>
        <w:rPr>
          <w:rFonts w:ascii="Book Antiqua"/>
          <w:rtl w:val="0"/>
          <w:lang w:val="it-IT"/>
        </w:rPr>
        <w:t>quello del decoro. A tutti voi sar</w:t>
      </w:r>
      <w:r>
        <w:rPr>
          <w:rFonts w:hAnsi="Book Antiqua" w:hint="default"/>
          <w:rtl w:val="0"/>
          <w:lang w:val="it-IT"/>
        </w:rPr>
        <w:t xml:space="preserve">à </w:t>
      </w:r>
      <w:r>
        <w:rPr>
          <w:rFonts w:ascii="Book Antiqua"/>
          <w:rtl w:val="0"/>
          <w:lang w:val="it-IT"/>
        </w:rPr>
        <w:t>capitato di trovare alcune zone di Roma con un po</w:t>
      </w:r>
      <w:r>
        <w:rPr>
          <w:rFonts w:hAnsi="Book Antiqua" w:hint="default"/>
          <w:rtl w:val="0"/>
          <w:lang w:val="it-IT"/>
        </w:rPr>
        <w:t xml:space="preserve">’ </w:t>
      </w:r>
      <w:r>
        <w:rPr>
          <w:rFonts w:ascii="Book Antiqua"/>
          <w:rtl w:val="0"/>
          <w:lang w:val="it-IT"/>
        </w:rPr>
        <w:t>di rifiuti ammassati. Vedrete che la quantit</w:t>
      </w:r>
      <w:r>
        <w:rPr>
          <w:rFonts w:hAnsi="Book Antiqua" w:hint="default"/>
          <w:rtl w:val="0"/>
          <w:lang w:val="it-IT"/>
        </w:rPr>
        <w:t xml:space="preserve">à </w:t>
      </w:r>
      <w:r>
        <w:rPr>
          <w:rFonts w:ascii="Book Antiqua"/>
          <w:rtl w:val="0"/>
          <w:lang w:val="it-IT"/>
        </w:rPr>
        <w:t>di carta e cartone messa nell</w:t>
      </w:r>
      <w:r>
        <w:rPr>
          <w:rFonts w:hAnsi="Book Antiqua" w:hint="default"/>
          <w:rtl w:val="0"/>
          <w:lang w:val="it-IT"/>
        </w:rPr>
        <w:t>’</w:t>
      </w:r>
      <w:r>
        <w:rPr>
          <w:rFonts w:ascii="Book Antiqua"/>
          <w:rtl w:val="0"/>
          <w:lang w:val="it-IT"/>
        </w:rPr>
        <w:t xml:space="preserve">indifferenziato </w:t>
      </w:r>
      <w:r>
        <w:rPr>
          <w:rFonts w:hAnsi="Book Antiqua" w:hint="default"/>
          <w:rtl w:val="0"/>
          <w:lang w:val="it-IT"/>
        </w:rPr>
        <w:t xml:space="preserve">è </w:t>
      </w:r>
      <w:r>
        <w:rPr>
          <w:rFonts w:ascii="Book Antiqua"/>
          <w:rtl w:val="0"/>
          <w:lang w:val="it-IT"/>
        </w:rPr>
        <w:t>molto significativa, quindi, per scomporre l</w:t>
      </w:r>
      <w:r>
        <w:rPr>
          <w:rFonts w:hAnsi="Book Antiqua" w:hint="default"/>
          <w:rtl w:val="0"/>
          <w:lang w:val="it-IT"/>
        </w:rPr>
        <w:t>’</w:t>
      </w:r>
      <w:r>
        <w:rPr>
          <w:rFonts w:ascii="Book Antiqua"/>
          <w:rtl w:val="0"/>
          <w:lang w:val="it-IT"/>
        </w:rPr>
        <w:t>intero problema in piccole componenti, cio</w:t>
      </w:r>
      <w:r>
        <w:rPr>
          <w:rFonts w:hAnsi="Book Antiqua" w:hint="default"/>
          <w:rtl w:val="0"/>
          <w:lang w:val="it-IT"/>
        </w:rPr>
        <w:t xml:space="preserve">è </w:t>
      </w:r>
      <w:r>
        <w:rPr>
          <w:rFonts w:ascii="Book Antiqua"/>
          <w:rtl w:val="0"/>
          <w:lang w:val="it-IT"/>
        </w:rPr>
        <w:t xml:space="preserve">in piccole risposte, che danno poi una soluzione complessiva, il tema della carta e cartone </w:t>
      </w:r>
      <w:r>
        <w:rPr>
          <w:rFonts w:hAnsi="Book Antiqua" w:hint="default"/>
          <w:rtl w:val="0"/>
          <w:lang w:val="it-IT"/>
        </w:rPr>
        <w:t xml:space="preserve">è </w:t>
      </w:r>
      <w:r>
        <w:rPr>
          <w:rFonts w:ascii="Book Antiqua"/>
          <w:rtl w:val="0"/>
          <w:lang w:val="it-IT"/>
        </w:rPr>
        <w:t xml:space="preserve">molto importante. Le analisi merceologiche ci dicono che il 19 per cento del nostro rifiuto indifferenziato </w:t>
      </w:r>
      <w:r>
        <w:rPr>
          <w:rFonts w:hAnsi="Book Antiqua" w:hint="default"/>
          <w:rtl w:val="0"/>
          <w:lang w:val="it-IT"/>
        </w:rPr>
        <w:t xml:space="preserve">è </w:t>
      </w:r>
      <w:r>
        <w:rPr>
          <w:rFonts w:ascii="Book Antiqua"/>
          <w:rtl w:val="0"/>
          <w:lang w:val="it-IT"/>
        </w:rPr>
        <w:t xml:space="preserve">plastica. Questo </w:t>
      </w:r>
      <w:r>
        <w:rPr>
          <w:rFonts w:hAnsi="Book Antiqua" w:hint="default"/>
          <w:rtl w:val="0"/>
          <w:lang w:val="it-IT"/>
        </w:rPr>
        <w:t xml:space="preserve">è </w:t>
      </w:r>
      <w:r>
        <w:rPr>
          <w:rFonts w:ascii="Book Antiqua"/>
          <w:rtl w:val="0"/>
          <w:lang w:val="it-IT"/>
        </w:rPr>
        <w:t>un altro spreco, dovuto all</w:t>
      </w:r>
      <w:r>
        <w:rPr>
          <w:rFonts w:hAnsi="Book Antiqua" w:hint="default"/>
          <w:rtl w:val="0"/>
          <w:lang w:val="it-IT"/>
        </w:rPr>
        <w:t>’</w:t>
      </w:r>
      <w:r>
        <w:rPr>
          <w:rFonts w:ascii="Book Antiqua"/>
          <w:rtl w:val="0"/>
          <w:lang w:val="it-IT"/>
        </w:rPr>
        <w:t>attuale incapacit</w:t>
      </w:r>
      <w:r>
        <w:rPr>
          <w:rFonts w:hAnsi="Book Antiqua" w:hint="default"/>
          <w:rtl w:val="0"/>
          <w:lang w:val="it-IT"/>
        </w:rPr>
        <w:t xml:space="preserve">à </w:t>
      </w:r>
      <w:r>
        <w:rPr>
          <w:rFonts w:ascii="Book Antiqua"/>
          <w:rtl w:val="0"/>
          <w:lang w:val="it-IT"/>
        </w:rPr>
        <w:t xml:space="preserve">di intercettare questa parte di materiale post-consumo, che impropriamente oggi </w:t>
      </w:r>
      <w:r>
        <w:rPr>
          <w:rFonts w:hAnsi="Book Antiqua" w:hint="default"/>
          <w:rtl w:val="0"/>
          <w:lang w:val="it-IT"/>
        </w:rPr>
        <w:t xml:space="preserve">è </w:t>
      </w:r>
      <w:r>
        <w:rPr>
          <w:rFonts w:ascii="Book Antiqua"/>
          <w:rtl w:val="0"/>
          <w:lang w:val="it-IT"/>
        </w:rPr>
        <w:t>destinato allo smaltimento. Inoltre, abbiamo l</w:t>
      </w:r>
      <w:r>
        <w:rPr>
          <w:rFonts w:hAnsi="Book Antiqua" w:hint="default"/>
          <w:rtl w:val="0"/>
          <w:lang w:val="it-IT"/>
        </w:rPr>
        <w:t>’</w:t>
      </w:r>
      <w:r>
        <w:rPr>
          <w:rFonts w:ascii="Book Antiqua"/>
          <w:rtl w:val="0"/>
          <w:lang w:val="it-IT"/>
        </w:rPr>
        <w:t>organico, che nella parte indifferenziata ammonta al 15,9 per cento. L</w:t>
      </w:r>
      <w:r>
        <w:rPr>
          <w:rFonts w:hAnsi="Book Antiqua" w:hint="default"/>
          <w:rtl w:val="0"/>
          <w:lang w:val="it-IT"/>
        </w:rPr>
        <w:t>’</w:t>
      </w:r>
      <w:r>
        <w:rPr>
          <w:rFonts w:ascii="Book Antiqua"/>
          <w:rtl w:val="0"/>
          <w:lang w:val="it-IT"/>
        </w:rPr>
        <w:t xml:space="preserve">organico, come </w:t>
      </w:r>
      <w:r>
        <w:rPr>
          <w:rFonts w:hAnsi="Book Antiqua" w:hint="default"/>
          <w:rtl w:val="0"/>
          <w:lang w:val="it-IT"/>
        </w:rPr>
        <w:t xml:space="preserve">è </w:t>
      </w:r>
      <w:r>
        <w:rPr>
          <w:rFonts w:ascii="Book Antiqua"/>
          <w:rtl w:val="0"/>
          <w:lang w:val="it-IT"/>
        </w:rPr>
        <w:t>ben consigliato dal pacchetto sull</w:t>
      </w:r>
      <w:r>
        <w:rPr>
          <w:rFonts w:hAnsi="Book Antiqua" w:hint="default"/>
          <w:rtl w:val="0"/>
          <w:lang w:val="it-IT"/>
        </w:rPr>
        <w:t>’</w:t>
      </w:r>
      <w:r>
        <w:rPr>
          <w:rFonts w:ascii="Book Antiqua"/>
          <w:rtl w:val="0"/>
          <w:lang w:val="it-IT"/>
        </w:rPr>
        <w:t xml:space="preserve">economia circolare, </w:t>
      </w:r>
      <w:r>
        <w:rPr>
          <w:rFonts w:hAnsi="Book Antiqua" w:hint="default"/>
          <w:rtl w:val="0"/>
          <w:lang w:val="it-IT"/>
        </w:rPr>
        <w:t xml:space="preserve">è </w:t>
      </w:r>
      <w:r>
        <w:rPr>
          <w:rFonts w:ascii="Book Antiqua"/>
          <w:rtl w:val="0"/>
          <w:lang w:val="it-IT"/>
        </w:rPr>
        <w:t>un materiale che deve essere intercettato nel suo insieme perch</w:t>
      </w:r>
      <w:r>
        <w:rPr>
          <w:rFonts w:hAnsi="Book Antiqua" w:hint="default"/>
          <w:rtl w:val="0"/>
          <w:lang w:val="it-IT"/>
        </w:rPr>
        <w:t xml:space="preserve">é </w:t>
      </w:r>
      <w:r>
        <w:rPr>
          <w:rFonts w:ascii="Book Antiqua"/>
          <w:rtl w:val="0"/>
          <w:lang w:val="it-IT"/>
        </w:rPr>
        <w:t>ha dei destini nobili, in quanto pu</w:t>
      </w:r>
      <w:r>
        <w:rPr>
          <w:rFonts w:hAnsi="Book Antiqua" w:hint="default"/>
          <w:rtl w:val="0"/>
          <w:lang w:val="it-IT"/>
        </w:rPr>
        <w:t xml:space="preserve">ò </w:t>
      </w:r>
      <w:r>
        <w:rPr>
          <w:rFonts w:ascii="Book Antiqua"/>
          <w:rtl w:val="0"/>
          <w:lang w:val="it-IT"/>
        </w:rPr>
        <w:t xml:space="preserve">ritornare alla terra, con un vero processo virtuoso di economia circolare. Questo </w:t>
      </w:r>
      <w:r>
        <w:rPr>
          <w:rFonts w:hAnsi="Book Antiqua" w:hint="default"/>
          <w:rtl w:val="0"/>
          <w:lang w:val="it-IT"/>
        </w:rPr>
        <w:t xml:space="preserve">è </w:t>
      </w:r>
      <w:r>
        <w:rPr>
          <w:rFonts w:ascii="Book Antiqua"/>
          <w:rtl w:val="0"/>
          <w:lang w:val="it-IT"/>
        </w:rPr>
        <w:t xml:space="preserve">un altro elemento che noi prendiamo in considerazione. Non vado avanti nel dettaglio, ma vi do un dato che </w:t>
      </w:r>
      <w:r>
        <w:rPr>
          <w:rFonts w:hAnsi="Book Antiqua" w:hint="default"/>
          <w:rtl w:val="0"/>
          <w:lang w:val="it-IT"/>
        </w:rPr>
        <w:t xml:space="preserve">è </w:t>
      </w:r>
      <w:r>
        <w:rPr>
          <w:rFonts w:ascii="Book Antiqua"/>
          <w:rtl w:val="0"/>
          <w:lang w:val="it-IT"/>
        </w:rPr>
        <w:t>eloquente. Del nostro rifiuto indifferenziato attuale, quello che va ai nostri impianti, che giudichiamo appena sufficienti ma nei quali, appena capita qualcosa, abbiamo una criticit</w:t>
      </w:r>
      <w:r>
        <w:rPr>
          <w:rFonts w:hAnsi="Book Antiqua" w:hint="default"/>
          <w:rtl w:val="0"/>
          <w:lang w:val="it-IT"/>
        </w:rPr>
        <w:t xml:space="preserve">à </w:t>
      </w:r>
      <w:r>
        <w:rPr>
          <w:rFonts w:ascii="Book Antiqua"/>
          <w:rtl w:val="0"/>
          <w:lang w:val="it-IT"/>
        </w:rPr>
        <w:t>immediata che si ripercuote, c</w:t>
      </w:r>
      <w:r>
        <w:rPr>
          <w:rFonts w:hAnsi="Book Antiqua" w:hint="default"/>
          <w:rtl w:val="0"/>
          <w:lang w:val="it-IT"/>
        </w:rPr>
        <w:t xml:space="preserve">’è </w:t>
      </w:r>
      <w:r>
        <w:rPr>
          <w:rFonts w:ascii="Book Antiqua"/>
          <w:rtl w:val="0"/>
          <w:lang w:val="it-IT"/>
        </w:rPr>
        <w:t>il 74 per cento di materiale differenziabile. Visto che abbiamo detto inizialmente che dobbiamo dare una risposta di brevissimo periodo per creare una situazione di normalit</w:t>
      </w:r>
      <w:r>
        <w:rPr>
          <w:rFonts w:hAnsi="Book Antiqua" w:hint="default"/>
          <w:rtl w:val="0"/>
          <w:lang w:val="it-IT"/>
        </w:rPr>
        <w:t>à</w:t>
      </w:r>
      <w:r>
        <w:rPr>
          <w:rFonts w:ascii="Book Antiqua"/>
          <w:rtl w:val="0"/>
          <w:lang w:val="it-IT"/>
        </w:rPr>
        <w:t>, per poi ragionare sulla solidit</w:t>
      </w:r>
      <w:r>
        <w:rPr>
          <w:rFonts w:hAnsi="Book Antiqua" w:hint="default"/>
          <w:rtl w:val="0"/>
          <w:lang w:val="it-IT"/>
        </w:rPr>
        <w:t xml:space="preserve">à </w:t>
      </w:r>
      <w:r>
        <w:rPr>
          <w:rFonts w:ascii="Book Antiqua"/>
          <w:rtl w:val="0"/>
          <w:lang w:val="it-IT"/>
        </w:rPr>
        <w:t xml:space="preserve">industriale di medio periodo, </w:t>
      </w:r>
      <w:r>
        <w:rPr>
          <w:rFonts w:hAnsi="Book Antiqua" w:hint="default"/>
          <w:rtl w:val="0"/>
          <w:lang w:val="it-IT"/>
        </w:rPr>
        <w:t xml:space="preserve">è </w:t>
      </w:r>
      <w:r>
        <w:rPr>
          <w:rFonts w:ascii="Book Antiqua"/>
          <w:rtl w:val="0"/>
          <w:lang w:val="it-IT"/>
        </w:rPr>
        <w:t>evidente che le risposte rispetto a queste analisi stanno a dire che noi, qui a Roma, abbiamo il dovere di progettare dei sistemi di raccolta differenziata capaci e efficaci, che funzionino con delle regole precise e che l</w:t>
      </w:r>
      <w:r>
        <w:rPr>
          <w:rFonts w:hAnsi="Book Antiqua" w:hint="default"/>
          <w:rtl w:val="0"/>
          <w:lang w:val="it-IT"/>
        </w:rPr>
        <w:t>’</w:t>
      </w:r>
      <w:r>
        <w:rPr>
          <w:rFonts w:ascii="Book Antiqua"/>
          <w:rtl w:val="0"/>
          <w:lang w:val="it-IT"/>
        </w:rPr>
        <w:t>azienda deve rispettare nelle modalit</w:t>
      </w:r>
      <w:r>
        <w:rPr>
          <w:rFonts w:hAnsi="Book Antiqua" w:hint="default"/>
          <w:rtl w:val="0"/>
          <w:lang w:val="it-IT"/>
        </w:rPr>
        <w:t xml:space="preserve">à </w:t>
      </w:r>
      <w:r>
        <w:rPr>
          <w:rFonts w:ascii="Book Antiqua"/>
          <w:rtl w:val="0"/>
          <w:lang w:val="it-IT"/>
        </w:rPr>
        <w:t>di ritiro dei materiali, ma che anche i cittadini e le utenze non domestiche devono rispettare nei conferimenti. Si potrebbe cos</w:t>
      </w:r>
      <w:r>
        <w:rPr>
          <w:rFonts w:hAnsi="Book Antiqua" w:hint="default"/>
          <w:rtl w:val="0"/>
          <w:lang w:val="it-IT"/>
        </w:rPr>
        <w:t xml:space="preserve">ì </w:t>
      </w:r>
      <w:r>
        <w:rPr>
          <w:rFonts w:ascii="Book Antiqua"/>
          <w:rtl w:val="0"/>
          <w:lang w:val="it-IT"/>
        </w:rPr>
        <w:t xml:space="preserve">creare un sistema normale di conferimento e di raccolta che consenta a noi di intercettare queste frazioni. Questa </w:t>
      </w:r>
      <w:r>
        <w:rPr>
          <w:rFonts w:hAnsi="Book Antiqua" w:hint="default"/>
          <w:rtl w:val="0"/>
          <w:lang w:val="it-IT"/>
        </w:rPr>
        <w:t xml:space="preserve">è </w:t>
      </w:r>
      <w:r>
        <w:rPr>
          <w:rFonts w:ascii="Book Antiqua"/>
          <w:rtl w:val="0"/>
          <w:lang w:val="it-IT"/>
        </w:rPr>
        <w:t>l</w:t>
      </w:r>
      <w:r>
        <w:rPr>
          <w:rFonts w:hAnsi="Book Antiqua" w:hint="default"/>
          <w:rtl w:val="0"/>
          <w:lang w:val="it-IT"/>
        </w:rPr>
        <w:t>’</w:t>
      </w:r>
      <w:r>
        <w:rPr>
          <w:rFonts w:ascii="Book Antiqua"/>
          <w:rtl w:val="0"/>
          <w:lang w:val="it-IT"/>
        </w:rPr>
        <w:t>azione pi</w:t>
      </w:r>
      <w:r>
        <w:rPr>
          <w:rFonts w:hAnsi="Book Antiqua" w:hint="default"/>
          <w:rtl w:val="0"/>
          <w:lang w:val="it-IT"/>
        </w:rPr>
        <w:t xml:space="preserve">ù </w:t>
      </w:r>
      <w:r>
        <w:rPr>
          <w:rFonts w:ascii="Book Antiqua"/>
          <w:rtl w:val="0"/>
          <w:lang w:val="it-IT"/>
        </w:rPr>
        <w:t>immediata possibile che si pu</w:t>
      </w:r>
      <w:r>
        <w:rPr>
          <w:rFonts w:hAnsi="Book Antiqua" w:hint="default"/>
          <w:rtl w:val="0"/>
          <w:lang w:val="it-IT"/>
        </w:rPr>
        <w:t xml:space="preserve">ò </w:t>
      </w:r>
      <w:r>
        <w:rPr>
          <w:rFonts w:ascii="Book Antiqua"/>
          <w:rtl w:val="0"/>
          <w:lang w:val="it-IT"/>
        </w:rPr>
        <w:t xml:space="preserve">fare rispetto a un </w:t>
      </w:r>
      <w:r>
        <w:rPr>
          <w:rFonts w:ascii="Book Antiqua"/>
          <w:i w:val="1"/>
          <w:iCs w:val="1"/>
          <w:rtl w:val="0"/>
          <w:lang w:val="it-IT"/>
        </w:rPr>
        <w:t>panel</w:t>
      </w:r>
      <w:r>
        <w:rPr>
          <w:rFonts w:ascii="Book Antiqua"/>
          <w:rtl w:val="0"/>
          <w:lang w:val="it-IT"/>
        </w:rPr>
        <w:t xml:space="preserve"> di azioni che prendiamo in considerazione nell</w:t>
      </w:r>
      <w:r>
        <w:rPr>
          <w:rFonts w:hAnsi="Book Antiqua" w:hint="default"/>
          <w:rtl w:val="0"/>
          <w:lang w:val="it-IT"/>
        </w:rPr>
        <w:t>’</w:t>
      </w:r>
      <w:r>
        <w:rPr>
          <w:rFonts w:ascii="Book Antiqua"/>
          <w:rtl w:val="0"/>
          <w:lang w:val="it-IT"/>
        </w:rPr>
        <w:t>insieme: le prendiamo in considerazione tutte, ma se tracciamo un asse cronologico rispetto alle potenzialit</w:t>
      </w:r>
      <w:r>
        <w:rPr>
          <w:rFonts w:hAnsi="Book Antiqua" w:hint="default"/>
          <w:rtl w:val="0"/>
          <w:lang w:val="it-IT"/>
        </w:rPr>
        <w:t xml:space="preserve">à </w:t>
      </w:r>
      <w:r>
        <w:rPr>
          <w:rFonts w:ascii="Book Antiqua"/>
          <w:rtl w:val="0"/>
          <w:lang w:val="it-IT"/>
        </w:rPr>
        <w:t xml:space="preserve">nel breve, nel medio e nel lungo, </w:t>
      </w:r>
      <w:r>
        <w:rPr>
          <w:rFonts w:hAnsi="Book Antiqua" w:hint="default"/>
          <w:rtl w:val="0"/>
          <w:lang w:val="it-IT"/>
        </w:rPr>
        <w:t xml:space="preserve">è </w:t>
      </w:r>
      <w:r>
        <w:rPr>
          <w:rFonts w:ascii="Book Antiqua"/>
          <w:rtl w:val="0"/>
          <w:lang w:val="it-IT"/>
        </w:rPr>
        <w:t xml:space="preserve">chiaro che il primo dovere che noi abbiamo </w:t>
      </w:r>
      <w:r>
        <w:rPr>
          <w:rFonts w:hAnsi="Book Antiqua" w:hint="default"/>
          <w:rtl w:val="0"/>
          <w:lang w:val="it-IT"/>
        </w:rPr>
        <w:t xml:space="preserve">è </w:t>
      </w:r>
      <w:r>
        <w:rPr>
          <w:rFonts w:ascii="Book Antiqua"/>
          <w:rtl w:val="0"/>
          <w:lang w:val="it-IT"/>
        </w:rPr>
        <w:t>quello di modificare radicalmente il sistema di raccolta differenziata, che oggi vive una criticit</w:t>
      </w:r>
      <w:r>
        <w:rPr>
          <w:rFonts w:hAnsi="Book Antiqua" w:hint="default"/>
          <w:rtl w:val="0"/>
          <w:lang w:val="it-IT"/>
        </w:rPr>
        <w:t xml:space="preserve">à </w:t>
      </w:r>
      <w:r>
        <w:rPr>
          <w:rFonts w:ascii="Book Antiqua"/>
          <w:rtl w:val="0"/>
          <w:lang w:val="it-IT"/>
        </w:rPr>
        <w:t>importante.</w:t>
      </w:r>
      <w:r>
        <w:rPr>
          <w:rFonts w:hAnsi="Book Antiqua" w:hint="default"/>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Appare evidente come sia il modello che gli obiettivi riguardanti la raccolta differenziata assumano carattere strategico rispetto all</w:t>
      </w:r>
      <w:r>
        <w:rPr>
          <w:rFonts w:hAnsi="Book Antiqua" w:hint="default"/>
          <w:rtl w:val="0"/>
          <w:lang w:val="it-IT"/>
        </w:rPr>
        <w:t>’</w:t>
      </w:r>
      <w:r>
        <w:rPr>
          <w:rFonts w:ascii="Book Antiqua"/>
          <w:rtl w:val="0"/>
          <w:lang w:val="it-IT"/>
        </w:rPr>
        <w:t xml:space="preserve">intero ciclo dei rifiuti di Roma, per questo la Commissione si </w:t>
      </w:r>
      <w:r>
        <w:rPr>
          <w:rFonts w:hAnsi="Book Antiqua" w:hint="default"/>
          <w:rtl w:val="0"/>
          <w:lang w:val="it-IT"/>
        </w:rPr>
        <w:t xml:space="preserve">è </w:t>
      </w:r>
      <w:r>
        <w:rPr>
          <w:rFonts w:ascii="Book Antiqua"/>
          <w:rtl w:val="0"/>
          <w:lang w:val="it-IT"/>
        </w:rPr>
        <w:t xml:space="preserve">soffermata ripetutamente su questo aspetto. Nel merito il Presidente Bacagnani ha dichiarato: </w:t>
      </w:r>
      <w:r>
        <w:rPr>
          <w:rFonts w:hAnsi="Book Antiqua" w:hint="default"/>
          <w:rtl w:val="0"/>
          <w:lang w:val="it-IT"/>
        </w:rPr>
        <w:t>“</w:t>
      </w:r>
      <w:r>
        <w:rPr>
          <w:rFonts w:ascii="Book Antiqua"/>
          <w:rtl w:val="0"/>
          <w:lang w:val="it-IT"/>
        </w:rPr>
        <w:t xml:space="preserve"> Nel 2016 abbiamo raccolto un totale di 1.691.000 tonnellate di rifiuti, di cui 725.000 tonnellate in modo differenziato (che corrisponde a una percentuale del 43 per cento di raccolta differenziata) e 966.000 tonnellate, che </w:t>
      </w:r>
      <w:r>
        <w:rPr>
          <w:rFonts w:hAnsi="Book Antiqua" w:hint="default"/>
          <w:rtl w:val="0"/>
          <w:lang w:val="it-IT"/>
        </w:rPr>
        <w:t xml:space="preserve">è </w:t>
      </w:r>
      <w:r>
        <w:rPr>
          <w:rFonts w:ascii="Book Antiqua"/>
          <w:rtl w:val="0"/>
          <w:lang w:val="it-IT"/>
        </w:rPr>
        <w:t>la parte rimanente, di rifiuto indifferenziato destinato alle varie impiantistiche. Il dato della differenziata nel periodo gennaio-maggio del 2017 indica un incremento. Nello stesso periodo dello scorso anno avevamo il 42,5 per cento e oggi siamo al 44,2 per cento, quindi c</w:t>
      </w:r>
      <w:r>
        <w:rPr>
          <w:rFonts w:hAnsi="Book Antiqua" w:hint="default"/>
          <w:rtl w:val="0"/>
          <w:lang w:val="it-IT"/>
        </w:rPr>
        <w:t xml:space="preserve">’è </w:t>
      </w:r>
      <w:r>
        <w:rPr>
          <w:rFonts w:ascii="Book Antiqua"/>
          <w:rtl w:val="0"/>
          <w:lang w:val="it-IT"/>
        </w:rPr>
        <w:t xml:space="preserve">un trend di crescita delle raccolte differenziate. Naturalmente, il trend di crescita nel piano industriale </w:t>
      </w:r>
      <w:r>
        <w:rPr>
          <w:rFonts w:hAnsi="Book Antiqua" w:hint="default"/>
          <w:rtl w:val="0"/>
          <w:lang w:val="it-IT"/>
        </w:rPr>
        <w:t xml:space="preserve">è </w:t>
      </w:r>
      <w:r>
        <w:rPr>
          <w:rFonts w:ascii="Book Antiqua"/>
          <w:rtl w:val="0"/>
          <w:lang w:val="it-IT"/>
        </w:rPr>
        <w:t>molto pi</w:t>
      </w:r>
      <w:r>
        <w:rPr>
          <w:rFonts w:hAnsi="Book Antiqua" w:hint="default"/>
          <w:rtl w:val="0"/>
          <w:lang w:val="it-IT"/>
        </w:rPr>
        <w:t xml:space="preserve">ù </w:t>
      </w:r>
      <w:r>
        <w:rPr>
          <w:rFonts w:ascii="Book Antiqua"/>
          <w:rtl w:val="0"/>
          <w:lang w:val="it-IT"/>
        </w:rPr>
        <w:t>ambizioso [...] A questo proposito, in base all</w:t>
      </w:r>
      <w:r>
        <w:rPr>
          <w:rFonts w:hAnsi="Book Antiqua" w:hint="default"/>
          <w:rtl w:val="0"/>
          <w:lang w:val="it-IT"/>
        </w:rPr>
        <w:t>’</w:t>
      </w:r>
      <w:r>
        <w:rPr>
          <w:rFonts w:ascii="Book Antiqua"/>
          <w:rtl w:val="0"/>
          <w:lang w:val="it-IT"/>
        </w:rPr>
        <w:t>analisi dei flussi e all</w:t>
      </w:r>
      <w:r>
        <w:rPr>
          <w:rFonts w:hAnsi="Book Antiqua" w:hint="default"/>
          <w:rtl w:val="0"/>
          <w:lang w:val="it-IT"/>
        </w:rPr>
        <w:t>’</w:t>
      </w:r>
      <w:r>
        <w:rPr>
          <w:rFonts w:ascii="Book Antiqua"/>
          <w:rtl w:val="0"/>
          <w:lang w:val="it-IT"/>
        </w:rPr>
        <w:t xml:space="preserve">analisi delle </w:t>
      </w:r>
      <w:r>
        <w:rPr>
          <w:rFonts w:ascii="Book Antiqua"/>
          <w:i w:val="1"/>
          <w:iCs w:val="1"/>
          <w:rtl w:val="0"/>
          <w:lang w:val="it-IT"/>
        </w:rPr>
        <w:t>technicality</w:t>
      </w:r>
      <w:r>
        <w:rPr>
          <w:rFonts w:ascii="Book Antiqua"/>
          <w:rtl w:val="0"/>
          <w:lang w:val="it-IT"/>
        </w:rPr>
        <w:t xml:space="preserve"> industriali e organizzative, abbiamo conteggiato la possibilit</w:t>
      </w:r>
      <w:r>
        <w:rPr>
          <w:rFonts w:hAnsi="Book Antiqua" w:hint="default"/>
          <w:rtl w:val="0"/>
          <w:lang w:val="it-IT"/>
        </w:rPr>
        <w:t xml:space="preserve">à </w:t>
      </w:r>
      <w:r>
        <w:rPr>
          <w:rFonts w:ascii="Book Antiqua"/>
          <w:rtl w:val="0"/>
          <w:lang w:val="it-IT"/>
        </w:rPr>
        <w:t>reale di raggiungere l</w:t>
      </w:r>
      <w:r>
        <w:rPr>
          <w:rFonts w:hAnsi="Book Antiqua" w:hint="default"/>
          <w:rtl w:val="0"/>
          <w:lang w:val="it-IT"/>
        </w:rPr>
        <w:t>’</w:t>
      </w:r>
      <w:r>
        <w:rPr>
          <w:rFonts w:ascii="Book Antiqua"/>
          <w:rtl w:val="0"/>
          <w:lang w:val="it-IT"/>
        </w:rPr>
        <w:t>obiettivo di raccolta differenziata del 70 per cento al 2021, modificando significativamente e non semplicemente estendendo progetti di raccolta porta a porta, anche rivisitando il modello esistente, in quanto proprio in ci</w:t>
      </w:r>
      <w:r>
        <w:rPr>
          <w:rFonts w:hAnsi="Book Antiqua" w:hint="default"/>
          <w:rtl w:val="0"/>
          <w:lang w:val="it-IT"/>
        </w:rPr>
        <w:t xml:space="preserve">ò </w:t>
      </w:r>
      <w:r>
        <w:rPr>
          <w:rFonts w:ascii="Book Antiqua"/>
          <w:rtl w:val="0"/>
          <w:lang w:val="it-IT"/>
        </w:rPr>
        <w:t xml:space="preserve">che vi </w:t>
      </w:r>
      <w:r>
        <w:rPr>
          <w:rFonts w:hAnsi="Book Antiqua" w:hint="default"/>
          <w:rtl w:val="0"/>
          <w:lang w:val="it-IT"/>
        </w:rPr>
        <w:t>è</w:t>
      </w:r>
      <w:r>
        <w:rPr>
          <w:rFonts w:ascii="Book Antiqua"/>
          <w:rtl w:val="0"/>
          <w:lang w:val="it-IT"/>
        </w:rPr>
        <w:t>, ci sono delle inefficienze. La risposta non deve essere che una chiamata di inefficienza richiede nuove risorse per colmare il deficit, ma deve essere creata una situazione razionale ed efficiente. Le risorse, che abbondano, a quel punto possono essere utilizzate su tutto il territorio nella misura corretta.</w:t>
      </w:r>
      <w:r>
        <w:rPr>
          <w:rFonts w:hAnsi="Book Antiqua" w:hint="default"/>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Altri temi al centro dell</w:t>
      </w:r>
      <w:r>
        <w:rPr>
          <w:rFonts w:hAnsi="Book Antiqua" w:hint="default"/>
          <w:rtl w:val="0"/>
          <w:lang w:val="it-IT"/>
        </w:rPr>
        <w:t>’</w:t>
      </w:r>
      <w:r>
        <w:rPr>
          <w:rFonts w:ascii="Book Antiqua"/>
          <w:rtl w:val="0"/>
          <w:lang w:val="it-IT"/>
        </w:rPr>
        <w:t xml:space="preserve">audizione sono stati la collaborazione con ACEA, il posizionamento attuale dei TMB e la programmazione ovvero la costruzione di nuovi impianti. </w:t>
      </w:r>
    </w:p>
    <w:p>
      <w:pPr>
        <w:pStyle w:val="Normal"/>
        <w:ind w:left="567" w:right="567" w:firstLine="0"/>
        <w:jc w:val="both"/>
        <w:rPr>
          <w:rFonts w:ascii="Book Antiqua" w:cs="Book Antiqua" w:hAnsi="Book Antiqua" w:eastAsia="Book Antiqua"/>
          <w:shd w:val="clear" w:color="auto" w:fill="ffffff"/>
        </w:rPr>
      </w:pPr>
      <w:r>
        <w:rPr>
          <w:rFonts w:ascii="Book Antiqua"/>
          <w:rtl w:val="0"/>
          <w:lang w:val="it-IT"/>
        </w:rPr>
        <w:t>Sul primo tema</w:t>
      </w:r>
      <w:r>
        <w:rPr>
          <w:rFonts w:ascii="Book Antiqua"/>
          <w:shd w:val="clear" w:color="auto" w:fill="ffffff"/>
          <w:rtl w:val="0"/>
          <w:lang w:val="it-IT"/>
        </w:rPr>
        <w:t xml:space="preserve"> Lorenzo Bacagnani. presidente ed amministratore delegato di AMA S.p.A., ha dichiarato: </w:t>
      </w:r>
    </w:p>
    <w:p>
      <w:pPr>
        <w:pStyle w:val="Normal"/>
        <w:ind w:left="567" w:right="567" w:firstLine="0"/>
        <w:jc w:val="both"/>
        <w:rPr>
          <w:rFonts w:ascii="Book Antiqua" w:cs="Book Antiqua" w:hAnsi="Book Antiqua" w:eastAsia="Book Antiqua"/>
        </w:rPr>
      </w:pPr>
      <w:r>
        <w:rPr>
          <w:rFonts w:hAnsi="Book Antiqua" w:hint="default"/>
          <w:shd w:val="clear" w:color="auto" w:fill="ffffff"/>
          <w:rtl w:val="0"/>
          <w:lang w:val="it-IT"/>
        </w:rPr>
        <w:t>“</w:t>
      </w:r>
      <w:r>
        <w:rPr>
          <w:rFonts w:ascii="Book Antiqua"/>
          <w:shd w:val="clear" w:color="auto" w:fill="ffffff"/>
          <w:rtl w:val="0"/>
          <w:lang w:val="it-IT"/>
        </w:rPr>
        <w:t>I</w:t>
      </w:r>
      <w:r>
        <w:rPr>
          <w:rFonts w:ascii="Book Antiqua"/>
          <w:rtl w:val="0"/>
          <w:lang w:val="it-IT"/>
        </w:rPr>
        <w:t>n un ragionamento che guarda alla citt</w:t>
      </w:r>
      <w:r>
        <w:rPr>
          <w:rFonts w:hAnsi="Book Antiqua" w:hint="default"/>
          <w:rtl w:val="0"/>
          <w:lang w:val="it-IT"/>
        </w:rPr>
        <w:t xml:space="preserve">à </w:t>
      </w:r>
      <w:r>
        <w:rPr>
          <w:rFonts w:ascii="Book Antiqua"/>
          <w:rtl w:val="0"/>
          <w:lang w:val="it-IT"/>
        </w:rPr>
        <w:t xml:space="preserve">di Roma e a questo territorio, dove noi siamo un protagonista principale nella filiera della gestione dei rifiuti, penso si debba colloquiare in modo trasparente, nel rispetto delle regole e con tutte le premesse del caso, con altri </w:t>
      </w:r>
      <w:r>
        <w:rPr>
          <w:rFonts w:ascii="Book Antiqua"/>
          <w:i w:val="1"/>
          <w:iCs w:val="1"/>
          <w:rtl w:val="0"/>
          <w:lang w:val="it-IT"/>
        </w:rPr>
        <w:t>player</w:t>
      </w:r>
      <w:r>
        <w:rPr>
          <w:rFonts w:ascii="Book Antiqua"/>
          <w:rtl w:val="0"/>
          <w:lang w:val="it-IT"/>
        </w:rPr>
        <w:t xml:space="preserve"> locali, in particolare con un </w:t>
      </w:r>
      <w:r>
        <w:rPr>
          <w:rFonts w:ascii="Book Antiqua"/>
          <w:i w:val="1"/>
          <w:iCs w:val="1"/>
          <w:rtl w:val="0"/>
          <w:lang w:val="it-IT"/>
        </w:rPr>
        <w:t>player</w:t>
      </w:r>
      <w:r>
        <w:rPr>
          <w:rFonts w:ascii="Book Antiqua"/>
          <w:rtl w:val="0"/>
          <w:lang w:val="it-IT"/>
        </w:rPr>
        <w:t xml:space="preserve"> locale importante come ACEA. C</w:t>
      </w:r>
      <w:r>
        <w:rPr>
          <w:rFonts w:hAnsi="Book Antiqua" w:hint="default"/>
          <w:rtl w:val="0"/>
          <w:lang w:val="it-IT"/>
        </w:rPr>
        <w:t xml:space="preserve">’è </w:t>
      </w:r>
      <w:r>
        <w:rPr>
          <w:rFonts w:ascii="Book Antiqua"/>
          <w:rtl w:val="0"/>
          <w:lang w:val="it-IT"/>
        </w:rPr>
        <w:t>quindi un dialogo aperto con il presidente di ACEA, Lanzalone, con l</w:t>
      </w:r>
      <w:r>
        <w:rPr>
          <w:rFonts w:hAnsi="Book Antiqua" w:hint="default"/>
          <w:rtl w:val="0"/>
          <w:lang w:val="it-IT"/>
        </w:rPr>
        <w:t>’</w:t>
      </w:r>
      <w:r>
        <w:rPr>
          <w:rFonts w:ascii="Book Antiqua"/>
          <w:rtl w:val="0"/>
          <w:lang w:val="it-IT"/>
        </w:rPr>
        <w:t>obiettivo di capire, nella sinergia dei ruoli, come possiamo garantire la normalit</w:t>
      </w:r>
      <w:r>
        <w:rPr>
          <w:rFonts w:hAnsi="Book Antiqua" w:hint="default"/>
          <w:rtl w:val="0"/>
          <w:lang w:val="it-IT"/>
        </w:rPr>
        <w:t xml:space="preserve">à </w:t>
      </w:r>
      <w:r>
        <w:rPr>
          <w:rFonts w:ascii="Book Antiqua"/>
          <w:rtl w:val="0"/>
          <w:lang w:val="it-IT"/>
        </w:rPr>
        <w:t>a questo territorio nella corretta gestione dei rifiuti lungo la sua filiera. Penso, anzi, che il nostro stimolo debba essere quello di trasformare una criticit</w:t>
      </w:r>
      <w:r>
        <w:rPr>
          <w:rFonts w:hAnsi="Book Antiqua" w:hint="default"/>
          <w:rtl w:val="0"/>
          <w:lang w:val="it-IT"/>
        </w:rPr>
        <w:t xml:space="preserve">à </w:t>
      </w:r>
      <w:r>
        <w:rPr>
          <w:rFonts w:ascii="Book Antiqua"/>
          <w:rtl w:val="0"/>
          <w:lang w:val="it-IT"/>
        </w:rPr>
        <w:t>in un</w:t>
      </w:r>
      <w:r>
        <w:rPr>
          <w:rFonts w:hAnsi="Book Antiqua" w:hint="default"/>
          <w:rtl w:val="0"/>
          <w:lang w:val="it-IT"/>
        </w:rPr>
        <w:t>’</w:t>
      </w:r>
      <w:r>
        <w:rPr>
          <w:rFonts w:ascii="Book Antiqua"/>
          <w:rtl w:val="0"/>
          <w:lang w:val="it-IT"/>
        </w:rPr>
        <w:t xml:space="preserve">eccellenza. Mi auguro che questo dialogo, che </w:t>
      </w:r>
      <w:r>
        <w:rPr>
          <w:rFonts w:hAnsi="Book Antiqua" w:hint="default"/>
          <w:rtl w:val="0"/>
          <w:lang w:val="it-IT"/>
        </w:rPr>
        <w:t xml:space="preserve">è </w:t>
      </w:r>
      <w:r>
        <w:rPr>
          <w:rFonts w:ascii="Book Antiqua"/>
          <w:rtl w:val="0"/>
          <w:lang w:val="it-IT"/>
        </w:rPr>
        <w:t>appena iniziato, possa produrre i propri frutti. Io sono molto fiducioso perch</w:t>
      </w:r>
      <w:r>
        <w:rPr>
          <w:rFonts w:hAnsi="Book Antiqua" w:hint="default"/>
          <w:rtl w:val="0"/>
          <w:lang w:val="it-IT"/>
        </w:rPr>
        <w:t xml:space="preserve">é </w:t>
      </w:r>
      <w:r>
        <w:rPr>
          <w:rFonts w:ascii="Book Antiqua"/>
          <w:rtl w:val="0"/>
          <w:lang w:val="it-IT"/>
        </w:rPr>
        <w:t>ci sono ragioni territoriali e industriali per cui, nell</w:t>
      </w:r>
      <w:r>
        <w:rPr>
          <w:rFonts w:hAnsi="Book Antiqua" w:hint="default"/>
          <w:rtl w:val="0"/>
          <w:lang w:val="it-IT"/>
        </w:rPr>
        <w:t>’</w:t>
      </w:r>
      <w:r>
        <w:rPr>
          <w:rFonts w:ascii="Book Antiqua"/>
          <w:rtl w:val="0"/>
          <w:lang w:val="it-IT"/>
        </w:rPr>
        <w:t>eventuale complementariet</w:t>
      </w:r>
      <w:r>
        <w:rPr>
          <w:rFonts w:hAnsi="Book Antiqua" w:hint="default"/>
          <w:rtl w:val="0"/>
          <w:lang w:val="it-IT"/>
        </w:rPr>
        <w:t xml:space="preserve">à </w:t>
      </w:r>
      <w:r>
        <w:rPr>
          <w:rFonts w:ascii="Book Antiqua"/>
          <w:rtl w:val="0"/>
          <w:lang w:val="it-IT"/>
        </w:rPr>
        <w:t>o sinergia dei ruoli, si possono e si debbono trovare dei punti di forza per consentirci un cambiamento importante.</w:t>
      </w:r>
      <w:r>
        <w:rPr>
          <w:rFonts w:hAnsi="Book Antiqua" w:hint="default"/>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Sulla questione degli impianti, Stefano Bina, direttore generale di AMA S.p.A. ha detto:</w:t>
      </w:r>
    </w:p>
    <w:p>
      <w:pPr>
        <w:pStyle w:val="Normal"/>
        <w:ind w:left="567" w:right="567" w:firstLine="0"/>
        <w:jc w:val="both"/>
        <w:rPr>
          <w:rFonts w:ascii="Book Antiqua" w:cs="Book Antiqua" w:hAnsi="Book Antiqua" w:eastAsia="Book Antiqua"/>
        </w:rPr>
      </w:pPr>
      <w:r>
        <w:rPr>
          <w:rFonts w:hAnsi="Book Antiqua" w:hint="default"/>
          <w:rtl w:val="0"/>
          <w:lang w:val="it-IT"/>
        </w:rPr>
        <w:t>“</w:t>
      </w:r>
      <w:r>
        <w:rPr>
          <w:rFonts w:ascii="Book Antiqua"/>
          <w:rtl w:val="0"/>
          <w:lang w:val="it-IT"/>
        </w:rPr>
        <w:t>C</w:t>
      </w:r>
      <w:r>
        <w:rPr>
          <w:rFonts w:hAnsi="Book Antiqua" w:hint="default"/>
          <w:rtl w:val="0"/>
          <w:lang w:val="it-IT"/>
        </w:rPr>
        <w:t xml:space="preserve">’è </w:t>
      </w:r>
      <w:r>
        <w:rPr>
          <w:rFonts w:ascii="Book Antiqua"/>
          <w:rtl w:val="0"/>
          <w:lang w:val="it-IT"/>
        </w:rPr>
        <w:t xml:space="preserve">un problema oggettivo, la cui soluzione, purtroppo, necessita di tempo. Tale problema </w:t>
      </w:r>
      <w:r>
        <w:rPr>
          <w:rFonts w:hAnsi="Book Antiqua" w:hint="default"/>
          <w:rtl w:val="0"/>
          <w:lang w:val="it-IT"/>
        </w:rPr>
        <w:t xml:space="preserve">è </w:t>
      </w:r>
      <w:r>
        <w:rPr>
          <w:rFonts w:ascii="Book Antiqua"/>
          <w:rtl w:val="0"/>
          <w:lang w:val="it-IT"/>
        </w:rPr>
        <w:t xml:space="preserve">legato alla posizione degli impianti, che in un caso particolare </w:t>
      </w:r>
      <w:r>
        <w:rPr>
          <w:rFonts w:hAnsi="Book Antiqua" w:hint="default"/>
          <w:rtl w:val="0"/>
          <w:lang w:val="it-IT"/>
        </w:rPr>
        <w:t xml:space="preserve">è </w:t>
      </w:r>
      <w:r>
        <w:rPr>
          <w:rFonts w:ascii="Book Antiqua"/>
          <w:rtl w:val="0"/>
          <w:lang w:val="it-IT"/>
        </w:rPr>
        <w:t xml:space="preserve">assolutamente infelice. </w:t>
      </w:r>
      <w:r>
        <w:rPr>
          <w:rFonts w:hAnsi="Book Antiqua" w:hint="default"/>
          <w:rtl w:val="0"/>
          <w:lang w:val="it-IT"/>
        </w:rPr>
        <w:t xml:space="preserve">È </w:t>
      </w:r>
      <w:r>
        <w:rPr>
          <w:rFonts w:ascii="Book Antiqua"/>
          <w:rtl w:val="0"/>
          <w:lang w:val="it-IT"/>
        </w:rPr>
        <w:t>infatti innegabile che almeno uno dei due impianti TMB che eserciamo, non sia nel posto migliore possibile rispetto a Roma. Peraltro, in questo momento, non possiamo fare a meno di quella capacit</w:t>
      </w:r>
      <w:r>
        <w:rPr>
          <w:rFonts w:hAnsi="Book Antiqua" w:hint="default"/>
          <w:rtl w:val="0"/>
          <w:lang w:val="it-IT"/>
        </w:rPr>
        <w:t xml:space="preserve">à </w:t>
      </w:r>
      <w:r>
        <w:rPr>
          <w:rFonts w:ascii="Book Antiqua"/>
          <w:rtl w:val="0"/>
          <w:lang w:val="it-IT"/>
        </w:rPr>
        <w:t>di trattamento, salvo costringere Roma a sopportare condizioni di emergenza. L</w:t>
      </w:r>
      <w:r>
        <w:rPr>
          <w:rFonts w:hAnsi="Book Antiqua" w:hint="default"/>
          <w:rtl w:val="0"/>
          <w:lang w:val="it-IT"/>
        </w:rPr>
        <w:t>’</w:t>
      </w:r>
      <w:r>
        <w:rPr>
          <w:rFonts w:ascii="Book Antiqua"/>
          <w:rtl w:val="0"/>
          <w:lang w:val="it-IT"/>
        </w:rPr>
        <w:t xml:space="preserve">impegno, anche nel piano industriale, </w:t>
      </w:r>
      <w:r>
        <w:rPr>
          <w:rFonts w:hAnsi="Book Antiqua" w:hint="default"/>
          <w:rtl w:val="0"/>
          <w:lang w:val="it-IT"/>
        </w:rPr>
        <w:t xml:space="preserve">è </w:t>
      </w:r>
      <w:r>
        <w:rPr>
          <w:rFonts w:ascii="Book Antiqua"/>
          <w:rtl w:val="0"/>
          <w:lang w:val="it-IT"/>
        </w:rPr>
        <w:t>quello di dismettere questo impianto non appena le quantit</w:t>
      </w:r>
      <w:r>
        <w:rPr>
          <w:rFonts w:hAnsi="Book Antiqua" w:hint="default"/>
          <w:rtl w:val="0"/>
          <w:lang w:val="it-IT"/>
        </w:rPr>
        <w:t xml:space="preserve">à </w:t>
      </w:r>
      <w:r>
        <w:rPr>
          <w:rFonts w:ascii="Book Antiqua"/>
          <w:rtl w:val="0"/>
          <w:lang w:val="it-IT"/>
        </w:rPr>
        <w:t>di rifiuti raccolti consentiranno di farlo. Esso ha una capacit</w:t>
      </w:r>
      <w:r>
        <w:rPr>
          <w:rFonts w:hAnsi="Book Antiqua" w:hint="default"/>
          <w:rtl w:val="0"/>
          <w:lang w:val="it-IT"/>
        </w:rPr>
        <w:t xml:space="preserve">à </w:t>
      </w:r>
      <w:r>
        <w:rPr>
          <w:rFonts w:ascii="Book Antiqua"/>
          <w:rtl w:val="0"/>
          <w:lang w:val="it-IT"/>
        </w:rPr>
        <w:t>di trattamento di circa 750 tonnellate al giorno e, a seconda delle necessit</w:t>
      </w:r>
      <w:r>
        <w:rPr>
          <w:rFonts w:hAnsi="Book Antiqua" w:hint="default"/>
          <w:rtl w:val="0"/>
          <w:lang w:val="it-IT"/>
        </w:rPr>
        <w:t>à</w:t>
      </w:r>
      <w:r>
        <w:rPr>
          <w:rFonts w:ascii="Book Antiqua"/>
          <w:rtl w:val="0"/>
          <w:lang w:val="it-IT"/>
        </w:rPr>
        <w:t>, pu</w:t>
      </w:r>
      <w:r>
        <w:rPr>
          <w:rFonts w:hAnsi="Book Antiqua" w:hint="default"/>
          <w:rtl w:val="0"/>
          <w:lang w:val="it-IT"/>
        </w:rPr>
        <w:t xml:space="preserve">ò </w:t>
      </w:r>
      <w:r>
        <w:rPr>
          <w:rFonts w:ascii="Book Antiqua"/>
          <w:rtl w:val="0"/>
          <w:lang w:val="it-IT"/>
        </w:rPr>
        <w:t xml:space="preserve">lavorare dalle 500 alle 600 tonnellate, o anche meno. La questione </w:t>
      </w:r>
      <w:r>
        <w:rPr>
          <w:rFonts w:hAnsi="Book Antiqua" w:hint="default"/>
          <w:rtl w:val="0"/>
          <w:lang w:val="it-IT"/>
        </w:rPr>
        <w:t xml:space="preserve">è </w:t>
      </w:r>
      <w:r>
        <w:rPr>
          <w:rFonts w:ascii="Book Antiqua"/>
          <w:rtl w:val="0"/>
          <w:lang w:val="it-IT"/>
        </w:rPr>
        <w:t>molto delicata perch</w:t>
      </w:r>
      <w:r>
        <w:rPr>
          <w:rFonts w:hAnsi="Book Antiqua" w:hint="default"/>
          <w:rtl w:val="0"/>
          <w:lang w:val="it-IT"/>
        </w:rPr>
        <w:t xml:space="preserve">é è </w:t>
      </w:r>
      <w:r>
        <w:rPr>
          <w:rFonts w:ascii="Book Antiqua"/>
          <w:rtl w:val="0"/>
          <w:lang w:val="it-IT"/>
        </w:rPr>
        <w:t>evidente che, a livello industriale e anche a livello di responsabilit</w:t>
      </w:r>
      <w:r>
        <w:rPr>
          <w:rFonts w:hAnsi="Book Antiqua" w:hint="default"/>
          <w:rtl w:val="0"/>
          <w:lang w:val="it-IT"/>
        </w:rPr>
        <w:t>à</w:t>
      </w:r>
      <w:r>
        <w:rPr>
          <w:rFonts w:ascii="Book Antiqua"/>
          <w:rtl w:val="0"/>
          <w:lang w:val="it-IT"/>
        </w:rPr>
        <w:t>, nell</w:t>
      </w:r>
      <w:r>
        <w:rPr>
          <w:rFonts w:hAnsi="Book Antiqua" w:hint="default"/>
          <w:rtl w:val="0"/>
          <w:lang w:val="it-IT"/>
        </w:rPr>
        <w:t>’</w:t>
      </w:r>
      <w:r>
        <w:rPr>
          <w:rFonts w:ascii="Book Antiqua"/>
          <w:rtl w:val="0"/>
          <w:lang w:val="it-IT"/>
        </w:rPr>
        <w:t>uso corretto delle risorse dei cittadini dobbiamo esaurire la capacit</w:t>
      </w:r>
      <w:r>
        <w:rPr>
          <w:rFonts w:hAnsi="Book Antiqua" w:hint="default"/>
          <w:rtl w:val="0"/>
          <w:lang w:val="it-IT"/>
        </w:rPr>
        <w:t xml:space="preserve">à </w:t>
      </w:r>
      <w:r>
        <w:rPr>
          <w:rFonts w:ascii="Book Antiqua"/>
          <w:rtl w:val="0"/>
          <w:lang w:val="it-IT"/>
        </w:rPr>
        <w:t>di trattamento dei nostri impianti prima di pagare terzi per trattare rifiuti, altrimenti risponderemo di questo agli organi di controllo economico della nostra societ</w:t>
      </w:r>
      <w:r>
        <w:rPr>
          <w:rFonts w:hAnsi="Book Antiqua" w:hint="default"/>
          <w:rtl w:val="0"/>
          <w:lang w:val="it-IT"/>
        </w:rPr>
        <w:t xml:space="preserve">à </w:t>
      </w:r>
      <w:r>
        <w:rPr>
          <w:rFonts w:ascii="Book Antiqua"/>
          <w:rtl w:val="0"/>
          <w:lang w:val="it-IT"/>
        </w:rPr>
        <w:t>(alla fine, infatti, usiamo soldi dei cittadini romani) [...] Per quanto riguarda il discorso di Salario, anche qui devo ricordare che l</w:t>
      </w:r>
      <w:r>
        <w:rPr>
          <w:rFonts w:hAnsi="Book Antiqua" w:hint="default"/>
          <w:rtl w:val="0"/>
          <w:lang w:val="it-IT"/>
        </w:rPr>
        <w:t>’</w:t>
      </w:r>
      <w:r>
        <w:rPr>
          <w:rFonts w:ascii="Book Antiqua"/>
          <w:rtl w:val="0"/>
          <w:lang w:val="it-IT"/>
        </w:rPr>
        <w:t>impianto di Salario non l</w:t>
      </w:r>
      <w:r>
        <w:rPr>
          <w:rFonts w:hAnsi="Book Antiqua" w:hint="default"/>
          <w:rtl w:val="0"/>
          <w:lang w:val="it-IT"/>
        </w:rPr>
        <w:t>’</w:t>
      </w:r>
      <w:r>
        <w:rPr>
          <w:rFonts w:ascii="Book Antiqua"/>
          <w:rtl w:val="0"/>
          <w:lang w:val="it-IT"/>
        </w:rPr>
        <w:t xml:space="preserve">abbiamo costruito noi e che costruire un impianto di trattamento meccanico biologico a Roma non </w:t>
      </w:r>
      <w:r>
        <w:rPr>
          <w:rFonts w:hAnsi="Book Antiqua" w:hint="default"/>
          <w:rtl w:val="0"/>
          <w:lang w:val="it-IT"/>
        </w:rPr>
        <w:t xml:space="preserve">è </w:t>
      </w:r>
      <w:r>
        <w:rPr>
          <w:rFonts w:ascii="Book Antiqua"/>
          <w:rtl w:val="0"/>
          <w:lang w:val="it-IT"/>
        </w:rPr>
        <w:t>un gioco, quindi, quand</w:t>
      </w:r>
      <w:r>
        <w:rPr>
          <w:rFonts w:hAnsi="Book Antiqua" w:hint="default"/>
          <w:rtl w:val="0"/>
          <w:lang w:val="it-IT"/>
        </w:rPr>
        <w:t>’</w:t>
      </w:r>
      <w:r>
        <w:rPr>
          <w:rFonts w:ascii="Book Antiqua"/>
          <w:rtl w:val="0"/>
          <w:lang w:val="it-IT"/>
        </w:rPr>
        <w:t>anche si condivida che Salario si trovi in una posizione in cui non dovrebbe stare, non si pu</w:t>
      </w:r>
      <w:r>
        <w:rPr>
          <w:rFonts w:hAnsi="Book Antiqua" w:hint="default"/>
          <w:rtl w:val="0"/>
          <w:lang w:val="it-IT"/>
        </w:rPr>
        <w:t xml:space="preserve">ò </w:t>
      </w:r>
      <w:r>
        <w:rPr>
          <w:rFonts w:ascii="Book Antiqua"/>
          <w:rtl w:val="0"/>
          <w:lang w:val="it-IT"/>
        </w:rPr>
        <w:t>decidere di spostarlo dall</w:t>
      </w:r>
      <w:r>
        <w:rPr>
          <w:rFonts w:hAnsi="Book Antiqua" w:hint="default"/>
          <w:rtl w:val="0"/>
          <w:lang w:val="it-IT"/>
        </w:rPr>
        <w:t>’</w:t>
      </w:r>
      <w:r>
        <w:rPr>
          <w:rFonts w:ascii="Book Antiqua"/>
          <w:rtl w:val="0"/>
          <w:lang w:val="it-IT"/>
        </w:rPr>
        <w:t>oggi al domani senza colpo ferire, come non si pu</w:t>
      </w:r>
      <w:r>
        <w:rPr>
          <w:rFonts w:hAnsi="Book Antiqua" w:hint="default"/>
          <w:rtl w:val="0"/>
          <w:lang w:val="it-IT"/>
        </w:rPr>
        <w:t xml:space="preserve">ò </w:t>
      </w:r>
      <w:r>
        <w:rPr>
          <w:rFonts w:ascii="Book Antiqua"/>
          <w:rtl w:val="0"/>
          <w:lang w:val="it-IT"/>
        </w:rPr>
        <w:t>decidere di fare a meno della sua capacit</w:t>
      </w:r>
      <w:r>
        <w:rPr>
          <w:rFonts w:hAnsi="Book Antiqua" w:hint="default"/>
          <w:rtl w:val="0"/>
          <w:lang w:val="it-IT"/>
        </w:rPr>
        <w:t xml:space="preserve">à </w:t>
      </w:r>
      <w:r>
        <w:rPr>
          <w:rFonts w:ascii="Book Antiqua"/>
          <w:rtl w:val="0"/>
          <w:lang w:val="it-IT"/>
        </w:rPr>
        <w:t>di trattamento per i motivi che dicevo: c</w:t>
      </w:r>
      <w:r>
        <w:rPr>
          <w:rFonts w:hAnsi="Book Antiqua" w:hint="default"/>
          <w:rtl w:val="0"/>
          <w:lang w:val="it-IT"/>
        </w:rPr>
        <w:t xml:space="preserve">’è </w:t>
      </w:r>
      <w:r>
        <w:rPr>
          <w:rFonts w:ascii="Book Antiqua"/>
          <w:rtl w:val="0"/>
          <w:lang w:val="it-IT"/>
        </w:rPr>
        <w:t>una responsabilit</w:t>
      </w:r>
      <w:r>
        <w:rPr>
          <w:rFonts w:hAnsi="Book Antiqua" w:hint="default"/>
          <w:rtl w:val="0"/>
          <w:lang w:val="it-IT"/>
        </w:rPr>
        <w:t xml:space="preserve">à </w:t>
      </w:r>
      <w:r>
        <w:rPr>
          <w:rFonts w:ascii="Book Antiqua"/>
          <w:rtl w:val="0"/>
          <w:lang w:val="it-IT"/>
        </w:rPr>
        <w:t>erariale di chi gestisce gli impianti per sfruttarli al meglio possibile, a prescindere da qualsiasi considerazione e condivisione di problematica ambientale che da questo possa nascere. Detto questo, nel piano industriale c</w:t>
      </w:r>
      <w:r>
        <w:rPr>
          <w:rFonts w:hAnsi="Book Antiqua" w:hint="default"/>
          <w:rtl w:val="0"/>
          <w:lang w:val="it-IT"/>
        </w:rPr>
        <w:t xml:space="preserve">’è </w:t>
      </w:r>
      <w:r>
        <w:rPr>
          <w:rFonts w:ascii="Book Antiqua"/>
          <w:rtl w:val="0"/>
          <w:lang w:val="it-IT"/>
        </w:rPr>
        <w:t>una previsione per cui, non appena possibile, si far</w:t>
      </w:r>
      <w:r>
        <w:rPr>
          <w:rFonts w:hAnsi="Book Antiqua" w:hint="default"/>
          <w:rtl w:val="0"/>
          <w:lang w:val="it-IT"/>
        </w:rPr>
        <w:t xml:space="preserve">à </w:t>
      </w:r>
      <w:r>
        <w:rPr>
          <w:rFonts w:ascii="Book Antiqua"/>
          <w:rtl w:val="0"/>
          <w:lang w:val="it-IT"/>
        </w:rPr>
        <w:t>a meno del trasporto di rifiuti verso l</w:t>
      </w:r>
      <w:r>
        <w:rPr>
          <w:rFonts w:hAnsi="Book Antiqua" w:hint="default"/>
          <w:rtl w:val="0"/>
          <w:lang w:val="it-IT"/>
        </w:rPr>
        <w:t>’</w:t>
      </w:r>
      <w:r>
        <w:rPr>
          <w:rFonts w:ascii="Book Antiqua"/>
          <w:rtl w:val="0"/>
          <w:lang w:val="it-IT"/>
        </w:rPr>
        <w:t>estero. Prevediamo che nel 2018 questo fabbisogno venga meno e non debba pi</w:t>
      </w:r>
      <w:r>
        <w:rPr>
          <w:rFonts w:hAnsi="Book Antiqua" w:hint="default"/>
          <w:rtl w:val="0"/>
          <w:lang w:val="it-IT"/>
        </w:rPr>
        <w:t xml:space="preserve">ù </w:t>
      </w:r>
      <w:r>
        <w:rPr>
          <w:rFonts w:ascii="Book Antiqua"/>
          <w:rtl w:val="0"/>
          <w:lang w:val="it-IT"/>
        </w:rPr>
        <w:t>essere riprodotto, quindi, nel 2018 cesser</w:t>
      </w:r>
      <w:r>
        <w:rPr>
          <w:rFonts w:hAnsi="Book Antiqua" w:hint="default"/>
          <w:rtl w:val="0"/>
          <w:lang w:val="it-IT"/>
        </w:rPr>
        <w:t xml:space="preserve">à </w:t>
      </w:r>
      <w:r>
        <w:rPr>
          <w:rFonts w:ascii="Book Antiqua"/>
          <w:rtl w:val="0"/>
          <w:lang w:val="it-IT"/>
        </w:rPr>
        <w:t>il trasporto di rifiuti verso l</w:t>
      </w:r>
      <w:r>
        <w:rPr>
          <w:rFonts w:hAnsi="Book Antiqua" w:hint="default"/>
          <w:rtl w:val="0"/>
          <w:lang w:val="it-IT"/>
        </w:rPr>
        <w:t>’</w:t>
      </w:r>
      <w:r>
        <w:rPr>
          <w:rFonts w:ascii="Book Antiqua"/>
          <w:rtl w:val="0"/>
          <w:lang w:val="it-IT"/>
        </w:rPr>
        <w:t>estero ed entro il 2019 cesser</w:t>
      </w:r>
      <w:r>
        <w:rPr>
          <w:rFonts w:hAnsi="Book Antiqua" w:hint="default"/>
          <w:rtl w:val="0"/>
          <w:lang w:val="it-IT"/>
        </w:rPr>
        <w:t xml:space="preserve">à </w:t>
      </w:r>
      <w:r>
        <w:rPr>
          <w:rFonts w:ascii="Book Antiqua"/>
          <w:rtl w:val="0"/>
          <w:lang w:val="it-IT"/>
        </w:rPr>
        <w:t>l</w:t>
      </w:r>
      <w:r>
        <w:rPr>
          <w:rFonts w:hAnsi="Book Antiqua" w:hint="default"/>
          <w:rtl w:val="0"/>
          <w:lang w:val="it-IT"/>
        </w:rPr>
        <w:t>’</w:t>
      </w:r>
      <w:r>
        <w:rPr>
          <w:rFonts w:ascii="Book Antiqua"/>
          <w:rtl w:val="0"/>
          <w:lang w:val="it-IT"/>
        </w:rPr>
        <w:t>utilizzo dell</w:t>
      </w:r>
      <w:r>
        <w:rPr>
          <w:rFonts w:hAnsi="Book Antiqua" w:hint="default"/>
          <w:rtl w:val="0"/>
          <w:lang w:val="it-IT"/>
        </w:rPr>
        <w:t>’</w:t>
      </w:r>
      <w:r>
        <w:rPr>
          <w:rFonts w:ascii="Book Antiqua"/>
          <w:rtl w:val="0"/>
          <w:lang w:val="it-IT"/>
        </w:rPr>
        <w:t>impianto Salario come impianto di trattamento rifiuti. Comunque, l</w:t>
      </w:r>
      <w:r>
        <w:rPr>
          <w:rFonts w:hAnsi="Book Antiqua" w:hint="default"/>
          <w:rtl w:val="0"/>
          <w:lang w:val="it-IT"/>
        </w:rPr>
        <w:t>’</w:t>
      </w:r>
      <w:r>
        <w:rPr>
          <w:rFonts w:ascii="Book Antiqua"/>
          <w:rtl w:val="0"/>
          <w:lang w:val="it-IT"/>
        </w:rPr>
        <w:t xml:space="preserve">impianto Salario </w:t>
      </w:r>
      <w:r>
        <w:rPr>
          <w:rFonts w:hAnsi="Book Antiqua" w:hint="default"/>
          <w:rtl w:val="0"/>
          <w:lang w:val="it-IT"/>
        </w:rPr>
        <w:t xml:space="preserve">è </w:t>
      </w:r>
      <w:r>
        <w:rPr>
          <w:rFonts w:ascii="Book Antiqua"/>
          <w:rtl w:val="0"/>
          <w:lang w:val="it-IT"/>
        </w:rPr>
        <w:t>uno stabilimento, quindi un bene di propriet</w:t>
      </w:r>
      <w:r>
        <w:rPr>
          <w:rFonts w:hAnsi="Book Antiqua" w:hint="default"/>
          <w:rtl w:val="0"/>
          <w:lang w:val="it-IT"/>
        </w:rPr>
        <w:t xml:space="preserve">à </w:t>
      </w:r>
      <w:r>
        <w:rPr>
          <w:rFonts w:ascii="Book Antiqua"/>
          <w:rtl w:val="0"/>
          <w:lang w:val="it-IT"/>
        </w:rPr>
        <w:t>AMA che abbiamo a bilancio per milioni di euro di valore: non potremo non utilizzarlo per svolgerci attivit</w:t>
      </w:r>
      <w:r>
        <w:rPr>
          <w:rFonts w:hAnsi="Book Antiqua" w:hint="default"/>
          <w:rtl w:val="0"/>
          <w:lang w:val="it-IT"/>
        </w:rPr>
        <w:t xml:space="preserve">à </w:t>
      </w:r>
      <w:r>
        <w:rPr>
          <w:rFonts w:ascii="Book Antiqua"/>
          <w:rtl w:val="0"/>
          <w:lang w:val="it-IT"/>
        </w:rPr>
        <w:t>che non abbiano impatti che incidano sulla qualit</w:t>
      </w:r>
      <w:r>
        <w:rPr>
          <w:rFonts w:hAnsi="Book Antiqua" w:hint="default"/>
          <w:rtl w:val="0"/>
          <w:lang w:val="it-IT"/>
        </w:rPr>
        <w:t xml:space="preserve">à </w:t>
      </w:r>
      <w:r>
        <w:rPr>
          <w:rFonts w:ascii="Book Antiqua"/>
          <w:rtl w:val="0"/>
          <w:lang w:val="it-IT"/>
        </w:rPr>
        <w:t>della vita della popolazione che vi risiede intorno, quindi abbiamo pensato, in collaborazione con l</w:t>
      </w:r>
      <w:r>
        <w:rPr>
          <w:rFonts w:hAnsi="Book Antiqua" w:hint="default"/>
          <w:rtl w:val="0"/>
          <w:lang w:val="it-IT"/>
        </w:rPr>
        <w:t>’</w:t>
      </w:r>
      <w:r>
        <w:rPr>
          <w:rFonts w:ascii="Book Antiqua"/>
          <w:rtl w:val="0"/>
          <w:lang w:val="it-IT"/>
        </w:rPr>
        <w:t>assessorato all</w:t>
      </w:r>
      <w:r>
        <w:rPr>
          <w:rFonts w:hAnsi="Book Antiqua" w:hint="default"/>
          <w:rtl w:val="0"/>
          <w:lang w:val="it-IT"/>
        </w:rPr>
        <w:t>’</w:t>
      </w:r>
      <w:r>
        <w:rPr>
          <w:rFonts w:ascii="Book Antiqua"/>
          <w:rtl w:val="0"/>
          <w:lang w:val="it-IT"/>
        </w:rPr>
        <w:t>ambiente, ad una serie di destinazioni che non comportino effetti negativi sulla qualit</w:t>
      </w:r>
      <w:r>
        <w:rPr>
          <w:rFonts w:hAnsi="Book Antiqua" w:hint="default"/>
          <w:rtl w:val="0"/>
          <w:lang w:val="it-IT"/>
        </w:rPr>
        <w:t xml:space="preserve">à </w:t>
      </w:r>
      <w:r>
        <w:rPr>
          <w:rFonts w:ascii="Book Antiqua"/>
          <w:rtl w:val="0"/>
          <w:lang w:val="it-IT"/>
        </w:rPr>
        <w:t>della vita delle persone [...] In realt</w:t>
      </w:r>
      <w:r>
        <w:rPr>
          <w:rFonts w:hAnsi="Book Antiqua" w:hint="default"/>
          <w:rtl w:val="0"/>
          <w:lang w:val="it-IT"/>
        </w:rPr>
        <w:t>à</w:t>
      </w:r>
      <w:r>
        <w:rPr>
          <w:rFonts w:ascii="Book Antiqua"/>
          <w:rtl w:val="0"/>
          <w:lang w:val="it-IT"/>
        </w:rPr>
        <w:t xml:space="preserve">, a una domanda non </w:t>
      </w:r>
      <w:r>
        <w:rPr>
          <w:rFonts w:hAnsi="Book Antiqua" w:hint="default"/>
          <w:rtl w:val="0"/>
          <w:lang w:val="it-IT"/>
        </w:rPr>
        <w:t xml:space="preserve">è </w:t>
      </w:r>
      <w:r>
        <w:rPr>
          <w:rFonts w:ascii="Book Antiqua"/>
          <w:rtl w:val="0"/>
          <w:lang w:val="it-IT"/>
        </w:rPr>
        <w:t>stata data risposta, cio</w:t>
      </w:r>
      <w:r>
        <w:rPr>
          <w:rFonts w:hAnsi="Book Antiqua" w:hint="default"/>
          <w:rtl w:val="0"/>
          <w:lang w:val="it-IT"/>
        </w:rPr>
        <w:t xml:space="preserve">è </w:t>
      </w:r>
      <w:r>
        <w:rPr>
          <w:rFonts w:ascii="Book Antiqua"/>
          <w:rtl w:val="0"/>
          <w:lang w:val="it-IT"/>
        </w:rPr>
        <w:t>noi abbiamo previsto nel piano industriale di realizzare due impianti di trattamento della frazione organica del rifiuto solido urbano e un impianto di valorizzazione della frazione multimateriale da raccolta differenziata; stiamo ora individuando i siti pi</w:t>
      </w:r>
      <w:r>
        <w:rPr>
          <w:rFonts w:hAnsi="Book Antiqua" w:hint="default"/>
          <w:rtl w:val="0"/>
          <w:lang w:val="it-IT"/>
        </w:rPr>
        <w:t xml:space="preserve">ù </w:t>
      </w:r>
      <w:r>
        <w:rPr>
          <w:rFonts w:ascii="Book Antiqua"/>
          <w:rtl w:val="0"/>
          <w:lang w:val="it-IT"/>
        </w:rPr>
        <w:t>idonei all</w:t>
      </w:r>
      <w:r>
        <w:rPr>
          <w:rFonts w:hAnsi="Book Antiqua" w:hint="default"/>
          <w:rtl w:val="0"/>
          <w:lang w:val="it-IT"/>
        </w:rPr>
        <w:t>’</w:t>
      </w:r>
      <w:r>
        <w:rPr>
          <w:rFonts w:ascii="Book Antiqua"/>
          <w:rtl w:val="0"/>
          <w:lang w:val="it-IT"/>
        </w:rPr>
        <w:t>interno di tutto il territorio di Roma Capitale per realizzare questi impianti, la cui progettazione non pu</w:t>
      </w:r>
      <w:r>
        <w:rPr>
          <w:rFonts w:hAnsi="Book Antiqua" w:hint="default"/>
          <w:rtl w:val="0"/>
          <w:lang w:val="it-IT"/>
        </w:rPr>
        <w:t xml:space="preserve">ò </w:t>
      </w:r>
      <w:r>
        <w:rPr>
          <w:rFonts w:ascii="Book Antiqua"/>
          <w:rtl w:val="0"/>
          <w:lang w:val="it-IT"/>
        </w:rPr>
        <w:t>non tener conto della localizzazione, ma in questo siamo veramente a buon punto. Naturalmente, una volta individuati questi siti, bisogner</w:t>
      </w:r>
      <w:r>
        <w:rPr>
          <w:rFonts w:hAnsi="Book Antiqua" w:hint="default"/>
          <w:rtl w:val="0"/>
          <w:lang w:val="it-IT"/>
        </w:rPr>
        <w:t xml:space="preserve">à </w:t>
      </w:r>
      <w:r>
        <w:rPr>
          <w:rFonts w:ascii="Book Antiqua"/>
          <w:rtl w:val="0"/>
          <w:lang w:val="it-IT"/>
        </w:rPr>
        <w:t xml:space="preserve">che il percorso di realizzazione degli impianti passi anche attraverso una comunicazione e una condivisione della scelta rispetto al territorio e alla popolazione interessata. </w:t>
      </w:r>
      <w:r>
        <w:rPr>
          <w:rFonts w:hAnsi="Book Antiqua" w:hint="default"/>
          <w:rtl w:val="0"/>
          <w:lang w:val="it-IT"/>
        </w:rPr>
        <w:t xml:space="preserve">È </w:t>
      </w:r>
      <w:r>
        <w:rPr>
          <w:rFonts w:ascii="Book Antiqua"/>
          <w:rtl w:val="0"/>
          <w:lang w:val="it-IT"/>
        </w:rPr>
        <w:t>certo che nel momento in cui, soprattutto facendo raccolta differenziata, produrremo queste frazioni di rifiuti recuperabili, se vorremo veramente completare il ciclo virtuoso della raccolta, quindi ottenere davvero i benefici dalla raccolta differenziata, non possiamo che puntare ad avere un</w:t>
      </w:r>
      <w:r>
        <w:rPr>
          <w:rFonts w:hAnsi="Book Antiqua" w:hint="default"/>
          <w:rtl w:val="0"/>
          <w:lang w:val="it-IT"/>
        </w:rPr>
        <w:t>’</w:t>
      </w:r>
      <w:r>
        <w:rPr>
          <w:rFonts w:ascii="Book Antiqua"/>
          <w:rtl w:val="0"/>
          <w:lang w:val="it-IT"/>
        </w:rPr>
        <w:t>impiantistica propria, che consenta di ottenere tutti i benefici possibili. L</w:t>
      </w:r>
      <w:r>
        <w:rPr>
          <w:rFonts w:hAnsi="Book Antiqua" w:hint="default"/>
          <w:rtl w:val="0"/>
          <w:lang w:val="it-IT"/>
        </w:rPr>
        <w:t>’</w:t>
      </w:r>
      <w:r>
        <w:rPr>
          <w:rFonts w:ascii="Book Antiqua"/>
          <w:rtl w:val="0"/>
          <w:lang w:val="it-IT"/>
        </w:rPr>
        <w:t xml:space="preserve">obiettivo, quindi, </w:t>
      </w:r>
      <w:r>
        <w:rPr>
          <w:rFonts w:hAnsi="Book Antiqua" w:hint="default"/>
          <w:rtl w:val="0"/>
          <w:lang w:val="it-IT"/>
        </w:rPr>
        <w:t xml:space="preserve">è </w:t>
      </w:r>
      <w:r>
        <w:rPr>
          <w:rFonts w:ascii="Book Antiqua"/>
          <w:rtl w:val="0"/>
          <w:lang w:val="it-IT"/>
        </w:rPr>
        <w:t>questo e la volont</w:t>
      </w:r>
      <w:r>
        <w:rPr>
          <w:rFonts w:hAnsi="Book Antiqua" w:hint="default"/>
          <w:rtl w:val="0"/>
          <w:lang w:val="it-IT"/>
        </w:rPr>
        <w:t xml:space="preserve">à </w:t>
      </w:r>
      <w:r>
        <w:rPr>
          <w:rFonts w:ascii="Book Antiqua"/>
          <w:rtl w:val="0"/>
          <w:lang w:val="it-IT"/>
        </w:rPr>
        <w:t xml:space="preserve">concreta di arrivarci </w:t>
      </w:r>
      <w:r>
        <w:rPr>
          <w:rFonts w:hAnsi="Book Antiqua" w:hint="default"/>
          <w:rtl w:val="0"/>
          <w:lang w:val="it-IT"/>
        </w:rPr>
        <w:t xml:space="preserve">è </w:t>
      </w:r>
      <w:r>
        <w:rPr>
          <w:rFonts w:ascii="Book Antiqua"/>
          <w:rtl w:val="0"/>
          <w:lang w:val="it-IT"/>
        </w:rPr>
        <w:t xml:space="preserve">contenuta nel piano [...] In merito alle localizzazioni, il percorso </w:t>
      </w:r>
      <w:r>
        <w:rPr>
          <w:rFonts w:hAnsi="Book Antiqua" w:hint="default"/>
          <w:rtl w:val="0"/>
          <w:lang w:val="it-IT"/>
        </w:rPr>
        <w:t xml:space="preserve">è </w:t>
      </w:r>
      <w:r>
        <w:rPr>
          <w:rFonts w:ascii="Book Antiqua"/>
          <w:rtl w:val="0"/>
          <w:lang w:val="it-IT"/>
        </w:rPr>
        <w:t>molto avanzato e non c</w:t>
      </w:r>
      <w:r>
        <w:rPr>
          <w:rFonts w:hAnsi="Book Antiqua" w:hint="default"/>
          <w:rtl w:val="0"/>
          <w:lang w:val="it-IT"/>
        </w:rPr>
        <w:t xml:space="preserve">’è </w:t>
      </w:r>
      <w:r>
        <w:rPr>
          <w:rFonts w:ascii="Book Antiqua"/>
          <w:rtl w:val="0"/>
          <w:lang w:val="it-IT"/>
        </w:rPr>
        <w:t>ancora una posizione definitiva, ma siamo molto vicini alla definizione delle posizioni migliori [...] Sicuramente entro il mese di luglio.</w:t>
      </w:r>
      <w:r>
        <w:rPr>
          <w:rFonts w:hAnsi="Book Antiqua" w:hint="default"/>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E</w:t>
      </w:r>
      <w:r>
        <w:rPr>
          <w:rFonts w:hAnsi="Book Antiqua" w:hint="default"/>
          <w:rtl w:val="0"/>
          <w:lang w:val="it-IT"/>
        </w:rPr>
        <w:t xml:space="preserve">’ </w:t>
      </w:r>
      <w:r>
        <w:rPr>
          <w:rFonts w:ascii="Book Antiqua"/>
          <w:rtl w:val="0"/>
          <w:lang w:val="it-IT"/>
        </w:rPr>
        <w:t xml:space="preserve">evidente che la </w:t>
      </w:r>
      <w:r>
        <w:rPr>
          <w:rFonts w:ascii="Book Antiqua"/>
          <w:i w:val="1"/>
          <w:iCs w:val="1"/>
          <w:rtl w:val="0"/>
          <w:lang w:val="it-IT"/>
        </w:rPr>
        <w:t>governance</w:t>
      </w:r>
      <w:r>
        <w:rPr>
          <w:rFonts w:ascii="Book Antiqua"/>
          <w:rtl w:val="0"/>
          <w:lang w:val="it-IT"/>
        </w:rPr>
        <w:t xml:space="preserve"> di AMA S.p.A. cos</w:t>
      </w:r>
      <w:r>
        <w:rPr>
          <w:rFonts w:hAnsi="Book Antiqua" w:hint="default"/>
          <w:rtl w:val="0"/>
          <w:lang w:val="it-IT"/>
        </w:rPr>
        <w:t xml:space="preserve">ì </w:t>
      </w:r>
      <w:r>
        <w:rPr>
          <w:rFonts w:ascii="Book Antiqua"/>
          <w:rtl w:val="0"/>
          <w:lang w:val="it-IT"/>
        </w:rPr>
        <w:t xml:space="preserve">come gli obiettivi strutturali, siano centrali nella gestione dei rifiuti di Roma Capitale: nel successivo </w:t>
      </w:r>
      <w:r>
        <w:rPr>
          <w:rFonts w:hAnsi="Book Antiqua" w:hint="default"/>
          <w:rtl w:val="0"/>
          <w:lang w:val="it-IT"/>
        </w:rPr>
        <w:t xml:space="preserve">§ </w:t>
      </w:r>
      <w:r>
        <w:rPr>
          <w:rFonts w:ascii="Book Antiqua"/>
          <w:rtl w:val="0"/>
          <w:lang w:val="it-IT"/>
        </w:rPr>
        <w:t>2.3.4 riguardante i programmi della nuova giunta tali argomenti verranno ulteriormente approfonditi, anche alla luce dei dati specifici contenuti nel nuovo piano industriale AMA, citato nelle dichiarazioni di cui s</w:t>
      </w:r>
      <w:r>
        <w:rPr>
          <w:rFonts w:hAnsi="Book Antiqua" w:hint="default"/>
          <w:rtl w:val="0"/>
          <w:lang w:val="it-IT"/>
        </w:rPr>
        <w:t xml:space="preserve">’è </w:t>
      </w:r>
      <w:r>
        <w:rPr>
          <w:rFonts w:ascii="Book Antiqua"/>
          <w:rtl w:val="0"/>
          <w:lang w:val="it-IT"/>
        </w:rPr>
        <w:t>dato ora conto.</w:t>
      </w:r>
    </w:p>
    <w:p>
      <w:pPr>
        <w:pStyle w:val="Normal"/>
        <w:ind w:left="567" w:right="567" w:firstLine="282"/>
        <w:jc w:val="both"/>
        <w:rPr>
          <w:rFonts w:ascii="Book Antiqua" w:cs="Book Antiqua" w:hAnsi="Book Antiqua" w:eastAsia="Book Antiqua"/>
        </w:rPr>
      </w:pPr>
    </w:p>
    <w:p>
      <w:pPr>
        <w:pStyle w:val="Normal"/>
        <w:ind w:left="567" w:right="567" w:firstLine="282"/>
        <w:jc w:val="both"/>
        <w:rPr>
          <w:rFonts w:ascii="Book Antiqua" w:cs="Book Antiqua" w:hAnsi="Book Antiqua" w:eastAsia="Book Antiqua"/>
        </w:rPr>
      </w:pPr>
    </w:p>
    <w:p>
      <w:pPr>
        <w:pStyle w:val="Normal"/>
        <w:ind w:right="567" w:firstLine="567"/>
        <w:jc w:val="both"/>
        <w:rPr>
          <w:rFonts w:ascii="Book Antiqua" w:cs="Book Antiqua" w:hAnsi="Book Antiqua" w:eastAsia="Book Antiqua"/>
          <w:sz w:val="28"/>
          <w:szCs w:val="28"/>
        </w:rPr>
      </w:pPr>
      <w:r>
        <w:rPr>
          <w:rFonts w:ascii="Book Antiqua"/>
          <w:sz w:val="28"/>
          <w:szCs w:val="28"/>
          <w:rtl w:val="0"/>
          <w:lang w:val="it-IT"/>
        </w:rPr>
        <w:t xml:space="preserve">2.3.3 Il progetto degli ecodistretti </w:t>
      </w:r>
    </w:p>
    <w:p>
      <w:pPr>
        <w:pStyle w:val="Normal"/>
        <w:ind w:left="567" w:right="567" w:firstLine="282"/>
        <w:jc w:val="both"/>
        <w:rPr>
          <w:rFonts w:ascii="Book Antiqua" w:cs="Book Antiqua" w:hAnsi="Book Antiqua" w:eastAsia="Book Antiqua"/>
        </w:rPr>
      </w:pPr>
      <w:r>
        <w:rPr>
          <w:rFonts w:ascii="Book Antiqua" w:cs="Book Antiqua" w:hAnsi="Book Antiqua" w:eastAsia="Book Antiqua"/>
          <w:rtl w:val="0"/>
        </w:rPr>
        <w:tab/>
        <w:tab/>
      </w:r>
    </w:p>
    <w:p>
      <w:pPr>
        <w:pStyle w:val="Normal"/>
        <w:ind w:left="567" w:right="567" w:firstLine="0"/>
        <w:jc w:val="both"/>
        <w:rPr>
          <w:rFonts w:ascii="Book Antiqua" w:cs="Book Antiqua" w:hAnsi="Book Antiqua" w:eastAsia="Book Antiqua"/>
        </w:rPr>
      </w:pPr>
      <w:r>
        <w:rPr>
          <w:rFonts w:ascii="Book Antiqua"/>
          <w:rtl w:val="0"/>
          <w:lang w:val="it-IT"/>
        </w:rPr>
        <w:t>Al fine di superare la grave crisi dei rifiuti a Roma, la Giunta dell</w:t>
      </w:r>
      <w:r>
        <w:rPr>
          <w:rFonts w:hAnsi="Book Antiqua" w:hint="default"/>
          <w:rtl w:val="0"/>
          <w:lang w:val="it-IT"/>
        </w:rPr>
        <w:t>’</w:t>
      </w:r>
      <w:r>
        <w:rPr>
          <w:rFonts w:ascii="Book Antiqua"/>
          <w:rtl w:val="0"/>
          <w:lang w:val="it-IT"/>
        </w:rPr>
        <w:t xml:space="preserve">ex sindaco Ignazio Marino, in accordo con AMA, aveva come obiettivo la costruzione di quattro ecodistretti. </w:t>
      </w:r>
    </w:p>
    <w:p>
      <w:pPr>
        <w:pStyle w:val="Normal"/>
        <w:ind w:left="567" w:right="567" w:firstLine="0"/>
        <w:jc w:val="both"/>
        <w:rPr>
          <w:rFonts w:ascii="Book Antiqua" w:cs="Book Antiqua" w:hAnsi="Book Antiqua" w:eastAsia="Book Antiqua"/>
        </w:rPr>
      </w:pPr>
      <w:r>
        <w:rPr>
          <w:rFonts w:ascii="Book Antiqua"/>
          <w:rtl w:val="0"/>
          <w:lang w:val="it-IT"/>
        </w:rPr>
        <w:t>Il mutamento di amministrazione e di dirigenti di AMA ha comportato l</w:t>
      </w:r>
      <w:r>
        <w:rPr>
          <w:rFonts w:hAnsi="Book Antiqua" w:hint="default"/>
          <w:rtl w:val="0"/>
          <w:lang w:val="it-IT"/>
        </w:rPr>
        <w:t>’</w:t>
      </w:r>
      <w:r>
        <w:rPr>
          <w:rFonts w:ascii="Book Antiqua"/>
          <w:rtl w:val="0"/>
          <w:lang w:val="it-IT"/>
        </w:rPr>
        <w:t>abbandono del progetto, la cui discussione, recepita nelle acquisizioni della Commissione, contiene peraltro spunti di riflessione sulle persistenti criticit</w:t>
      </w:r>
      <w:r>
        <w:rPr>
          <w:rFonts w:hAnsi="Book Antiqua" w:hint="default"/>
          <w:rtl w:val="0"/>
          <w:lang w:val="it-IT"/>
        </w:rPr>
        <w:t xml:space="preserve">à </w:t>
      </w:r>
      <w:r>
        <w:rPr>
          <w:rFonts w:ascii="Book Antiqua"/>
          <w:rtl w:val="0"/>
          <w:lang w:val="it-IT"/>
        </w:rPr>
        <w:t>del ciclo dei rifiuti, di cui si d</w:t>
      </w:r>
      <w:r>
        <w:rPr>
          <w:rFonts w:hAnsi="Book Antiqua" w:hint="default"/>
          <w:rtl w:val="0"/>
          <w:lang w:val="it-IT"/>
        </w:rPr>
        <w:t xml:space="preserve">à </w:t>
      </w:r>
      <w:r>
        <w:rPr>
          <w:rFonts w:ascii="Book Antiqua"/>
          <w:rtl w:val="0"/>
          <w:lang w:val="it-IT"/>
        </w:rPr>
        <w:t>di seguito brevemente conto.</w:t>
      </w:r>
    </w:p>
    <w:p>
      <w:pPr>
        <w:pStyle w:val="Normal"/>
        <w:ind w:left="567" w:right="567" w:firstLine="0"/>
        <w:jc w:val="both"/>
        <w:rPr>
          <w:rFonts w:ascii="Book Antiqua" w:cs="Book Antiqua" w:hAnsi="Book Antiqua" w:eastAsia="Book Antiqua"/>
        </w:rPr>
      </w:pPr>
      <w:r>
        <w:rPr>
          <w:rFonts w:ascii="Book Antiqua"/>
          <w:rtl w:val="0"/>
          <w:lang w:val="it-IT"/>
        </w:rPr>
        <w:t>Elementi essenziali del progetto erano:</w:t>
      </w:r>
    </w:p>
    <w:p>
      <w:pPr>
        <w:pStyle w:val="List Paragraph"/>
        <w:numPr>
          <w:ilvl w:val="0"/>
          <w:numId w:val="91"/>
        </w:numPr>
        <w:tabs>
          <w:tab w:val="num" w:pos="567"/>
          <w:tab w:val="clear" w:pos="0"/>
        </w:tabs>
        <w:bidi w:val="0"/>
        <w:ind w:left="567" w:right="567" w:hanging="360"/>
        <w:jc w:val="both"/>
        <w:rPr>
          <w:rFonts w:ascii="Book Antiqua" w:cs="Book Antiqua" w:hAnsi="Book Antiqua" w:eastAsia="Book Antiqua"/>
          <w:position w:val="0"/>
          <w:sz w:val="24"/>
          <w:szCs w:val="24"/>
          <w:rtl w:val="0"/>
        </w:rPr>
      </w:pPr>
      <w:r>
        <w:rPr>
          <w:rFonts w:ascii="Book Antiqua"/>
          <w:rtl w:val="0"/>
          <w:lang w:val="it-IT"/>
        </w:rPr>
        <w:t>realizzazione di aree industriali attrezzate al ricevimento di rifiuti urbani provenienti dalla raccolta differenziata del rifiuto residuo (avvio a valorizzazione della totalit</w:t>
      </w:r>
      <w:r>
        <w:rPr>
          <w:rFonts w:hAnsi="Book Antiqua" w:hint="default"/>
          <w:rtl w:val="0"/>
          <w:lang w:val="it-IT"/>
        </w:rPr>
        <w:t xml:space="preserve">à </w:t>
      </w:r>
      <w:r>
        <w:rPr>
          <w:rFonts w:ascii="Book Antiqua"/>
          <w:rtl w:val="0"/>
          <w:lang w:val="it-IT"/>
        </w:rPr>
        <w:t>dei rifiuti prodotti nel territorio di Roma Capitale);</w:t>
      </w:r>
    </w:p>
    <w:p>
      <w:pPr>
        <w:pStyle w:val="List Paragraph"/>
        <w:numPr>
          <w:ilvl w:val="0"/>
          <w:numId w:val="92"/>
        </w:numPr>
        <w:tabs>
          <w:tab w:val="num" w:pos="567"/>
          <w:tab w:val="clear" w:pos="0"/>
        </w:tabs>
        <w:bidi w:val="0"/>
        <w:ind w:left="567" w:right="567" w:hanging="360"/>
        <w:jc w:val="both"/>
        <w:rPr>
          <w:rFonts w:ascii="Book Antiqua" w:cs="Book Antiqua" w:hAnsi="Book Antiqua" w:eastAsia="Book Antiqua"/>
          <w:position w:val="0"/>
          <w:sz w:val="24"/>
          <w:szCs w:val="24"/>
          <w:rtl w:val="0"/>
        </w:rPr>
      </w:pPr>
      <w:r>
        <w:rPr>
          <w:rFonts w:ascii="Book Antiqua"/>
          <w:rtl w:val="0"/>
          <w:lang w:val="it-IT"/>
        </w:rPr>
        <w:t xml:space="preserve">presidio integrato da parte di AMA delle filiere del recupero dei materiali; </w:t>
      </w:r>
    </w:p>
    <w:p>
      <w:pPr>
        <w:pStyle w:val="List Paragraph"/>
        <w:numPr>
          <w:ilvl w:val="0"/>
          <w:numId w:val="93"/>
        </w:numPr>
        <w:tabs>
          <w:tab w:val="num" w:pos="567"/>
          <w:tab w:val="clear" w:pos="0"/>
        </w:tabs>
        <w:bidi w:val="0"/>
        <w:ind w:left="567" w:right="567" w:hanging="360"/>
        <w:jc w:val="both"/>
        <w:rPr>
          <w:rFonts w:ascii="Book Antiqua" w:cs="Book Antiqua" w:hAnsi="Book Antiqua" w:eastAsia="Book Antiqua"/>
          <w:position w:val="0"/>
          <w:sz w:val="24"/>
          <w:szCs w:val="24"/>
          <w:rtl w:val="0"/>
        </w:rPr>
      </w:pPr>
      <w:r>
        <w:rPr>
          <w:rFonts w:ascii="Book Antiqua"/>
          <w:rtl w:val="0"/>
          <w:lang w:val="it-IT"/>
        </w:rPr>
        <w:t xml:space="preserve">completa riconversione dei materiali (trasformazione in "prodotto" di tutti i rifiuti in ingresso): </w:t>
      </w:r>
    </w:p>
    <w:p>
      <w:pPr>
        <w:pStyle w:val="Normal"/>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Il processo autorizzativo era stato avviato per l'impianto di compostaggio con digestione anaerobica di Rocca Cencia con:</w:t>
      </w:r>
    </w:p>
    <w:p>
      <w:pPr>
        <w:pStyle w:val="List Paragraph"/>
        <w:numPr>
          <w:ilvl w:val="0"/>
          <w:numId w:val="96"/>
        </w:numPr>
        <w:tabs>
          <w:tab w:val="num" w:pos="567"/>
          <w:tab w:val="clear" w:pos="0"/>
        </w:tabs>
        <w:bidi w:val="0"/>
        <w:ind w:left="567" w:right="567" w:hanging="360"/>
        <w:jc w:val="both"/>
        <w:rPr>
          <w:rFonts w:ascii="Book Antiqua" w:cs="Book Antiqua" w:hAnsi="Book Antiqua" w:eastAsia="Book Antiqua"/>
          <w:color w:val="000000"/>
          <w:position w:val="0"/>
          <w:sz w:val="24"/>
          <w:szCs w:val="24"/>
          <w:u w:color="000000"/>
          <w:rtl w:val="0"/>
        </w:rPr>
      </w:pPr>
      <w:r>
        <w:rPr>
          <w:rFonts w:ascii="Book Antiqua"/>
          <w:color w:val="000000"/>
          <w:u w:color="000000"/>
          <w:rtl w:val="0"/>
          <w:lang w:val="it-IT"/>
        </w:rPr>
        <w:t xml:space="preserve">richiesta di VIA ("Valutazione Impatto Ambientale") trasmessa </w:t>
      </w:r>
      <w:r>
        <w:rPr>
          <w:rFonts w:ascii="Book Antiqua"/>
          <w:rtl w:val="0"/>
          <w:lang w:val="it-IT"/>
        </w:rPr>
        <w:t>il</w:t>
      </w:r>
      <w:r>
        <w:rPr>
          <w:rFonts w:ascii="Book Antiqua"/>
          <w:color w:val="b56255"/>
          <w:u w:color="b56255"/>
          <w:rtl w:val="0"/>
          <w:lang w:val="it-IT"/>
        </w:rPr>
        <w:t xml:space="preserve"> </w:t>
      </w:r>
      <w:r>
        <w:rPr>
          <w:rFonts w:ascii="Book Antiqua"/>
          <w:color w:val="000000"/>
          <w:u w:color="000000"/>
          <w:rtl w:val="0"/>
          <w:lang w:val="it-IT"/>
        </w:rPr>
        <w:t>3 aprile 2015 all</w:t>
      </w:r>
      <w:r>
        <w:rPr>
          <w:rFonts w:hAnsi="Book Antiqua" w:hint="default"/>
          <w:color w:val="000000"/>
          <w:u w:color="000000"/>
          <w:rtl w:val="0"/>
          <w:lang w:val="it-IT"/>
        </w:rPr>
        <w:t>’</w:t>
      </w:r>
      <w:r>
        <w:rPr>
          <w:rFonts w:ascii="Book Antiqua"/>
          <w:color w:val="000000"/>
          <w:u w:color="000000"/>
          <w:rtl w:val="0"/>
          <w:lang w:val="it-IT"/>
        </w:rPr>
        <w:t>Autorit</w:t>
      </w:r>
      <w:r>
        <w:rPr>
          <w:rFonts w:hAnsi="Book Antiqua" w:hint="default"/>
          <w:color w:val="000000"/>
          <w:u w:color="000000"/>
          <w:rtl w:val="0"/>
          <w:lang w:val="it-IT"/>
        </w:rPr>
        <w:t xml:space="preserve">à </w:t>
      </w:r>
      <w:r>
        <w:rPr>
          <w:rFonts w:ascii="Book Antiqua"/>
          <w:color w:val="000000"/>
          <w:u w:color="000000"/>
          <w:rtl w:val="0"/>
          <w:lang w:val="it-IT"/>
        </w:rPr>
        <w:t>competente (regione Lazio);</w:t>
      </w:r>
    </w:p>
    <w:p>
      <w:pPr>
        <w:pStyle w:val="List Paragraph"/>
        <w:numPr>
          <w:ilvl w:val="0"/>
          <w:numId w:val="97"/>
        </w:numPr>
        <w:tabs>
          <w:tab w:val="num" w:pos="567"/>
          <w:tab w:val="clear" w:pos="0"/>
        </w:tabs>
        <w:bidi w:val="0"/>
        <w:ind w:left="567" w:right="567" w:hanging="360"/>
        <w:jc w:val="both"/>
        <w:rPr>
          <w:rFonts w:ascii="Book Antiqua" w:cs="Book Antiqua" w:hAnsi="Book Antiqua" w:eastAsia="Book Antiqua"/>
          <w:color w:val="000000"/>
          <w:position w:val="0"/>
          <w:sz w:val="24"/>
          <w:szCs w:val="24"/>
          <w:u w:color="000000"/>
          <w:rtl w:val="0"/>
        </w:rPr>
      </w:pPr>
      <w:r>
        <w:rPr>
          <w:rFonts w:ascii="Book Antiqua"/>
          <w:color w:val="000000"/>
          <w:u w:color="000000"/>
          <w:rtl w:val="0"/>
          <w:lang w:val="it-IT"/>
        </w:rPr>
        <w:t xml:space="preserve">istanza di AIA ("Autorizzazione Integrata Ambientale") depositata in data 15 maggio 2015. </w:t>
      </w:r>
    </w:p>
    <w:p>
      <w:pPr>
        <w:pStyle w:val="Normal"/>
        <w:ind w:left="567" w:right="567" w:firstLine="0"/>
        <w:jc w:val="both"/>
        <w:rPr>
          <w:rFonts w:ascii="Book Antiqua" w:cs="Book Antiqua" w:hAnsi="Book Antiqua" w:eastAsia="Book Antiqua"/>
          <w:color w:val="000000"/>
          <w:u w:color="000000"/>
          <w:shd w:val="clear" w:color="auto" w:fill="ffffff"/>
        </w:rPr>
      </w:pPr>
      <w:r>
        <w:rPr>
          <w:rFonts w:ascii="Book Antiqua"/>
          <w:rtl w:val="0"/>
          <w:lang w:val="it-IT"/>
        </w:rPr>
        <w:t>AMA aveva pubblicato il bando di gara l</w:t>
      </w:r>
      <w:r>
        <w:rPr>
          <w:rFonts w:hAnsi="Book Antiqua" w:hint="default"/>
          <w:rtl w:val="0"/>
          <w:lang w:val="it-IT"/>
        </w:rPr>
        <w:t>’</w:t>
      </w:r>
      <w:r>
        <w:rPr>
          <w:rFonts w:ascii="Book Antiqua"/>
          <w:rtl w:val="0"/>
          <w:lang w:val="it-IT"/>
        </w:rPr>
        <w:t>8 luglio 2015 per quanto riguarda la progettazione e la realizzazione dell</w:t>
      </w:r>
      <w:r>
        <w:rPr>
          <w:rFonts w:hAnsi="Book Antiqua" w:hint="default"/>
          <w:rtl w:val="0"/>
          <w:lang w:val="it-IT"/>
        </w:rPr>
        <w:t>’</w:t>
      </w:r>
      <w:r>
        <w:rPr>
          <w:rFonts w:ascii="Book Antiqua"/>
          <w:rtl w:val="0"/>
          <w:lang w:val="it-IT"/>
        </w:rPr>
        <w:t xml:space="preserve">Ecodistretto di Rocca Cencia: il primo tassello doveva essere proprio la costruzione di un impianto di compostaggio. </w:t>
      </w:r>
      <w:r>
        <w:rPr>
          <w:rFonts w:ascii="Book Antiqua"/>
          <w:color w:val="000000"/>
          <w:u w:color="000000"/>
          <w:shd w:val="clear" w:color="auto" w:fill="ffffff"/>
          <w:rtl w:val="0"/>
          <w:lang w:val="it-IT"/>
        </w:rPr>
        <w:t>Era un bando aperto e a lotto unico, la gara non prevedeva il progetto esecutivo perch</w:t>
      </w:r>
      <w:r>
        <w:rPr>
          <w:rFonts w:hAnsi="Book Antiqua" w:hint="default"/>
          <w:color w:val="000000"/>
          <w:u w:color="000000"/>
          <w:shd w:val="clear" w:color="auto" w:fill="ffffff"/>
          <w:rtl w:val="0"/>
          <w:lang w:val="it-IT"/>
        </w:rPr>
        <w:t xml:space="preserve">é – </w:t>
      </w:r>
      <w:r>
        <w:rPr>
          <w:rFonts w:ascii="Book Antiqua"/>
          <w:color w:val="000000"/>
          <w:u w:color="000000"/>
          <w:shd w:val="clear" w:color="auto" w:fill="ffffff"/>
          <w:rtl w:val="0"/>
          <w:lang w:val="it-IT"/>
        </w:rPr>
        <w:t>secondo quanto riferito da AMA - individuare la tecnologia avrebbe significato gi</w:t>
      </w:r>
      <w:r>
        <w:rPr>
          <w:rFonts w:hAnsi="Book Antiqua" w:hint="default"/>
          <w:color w:val="000000"/>
          <w:u w:color="000000"/>
          <w:shd w:val="clear" w:color="auto" w:fill="ffffff"/>
          <w:rtl w:val="0"/>
          <w:lang w:val="it-IT"/>
        </w:rPr>
        <w:t xml:space="preserve">à </w:t>
      </w:r>
      <w:r>
        <w:rPr>
          <w:rFonts w:ascii="Book Antiqua"/>
          <w:color w:val="000000"/>
          <w:u w:color="000000"/>
          <w:shd w:val="clear" w:color="auto" w:fill="ffffff"/>
          <w:rtl w:val="0"/>
          <w:lang w:val="it-IT"/>
        </w:rPr>
        <w:t>selezionare il soggetto aggiudicatario mentre invece si voleva sollecitare il mercato. Infine il bando prevedeva un appalto integrato che includeva le attivit</w:t>
      </w:r>
      <w:r>
        <w:rPr>
          <w:rFonts w:hAnsi="Book Antiqua" w:hint="default"/>
          <w:color w:val="000000"/>
          <w:u w:color="000000"/>
          <w:shd w:val="clear" w:color="auto" w:fill="ffffff"/>
          <w:rtl w:val="0"/>
          <w:lang w:val="it-IT"/>
        </w:rPr>
        <w:t xml:space="preserve">à </w:t>
      </w:r>
      <w:r>
        <w:rPr>
          <w:rFonts w:ascii="Book Antiqua"/>
          <w:color w:val="000000"/>
          <w:u w:color="000000"/>
          <w:shd w:val="clear" w:color="auto" w:fill="ffffff"/>
          <w:rtl w:val="0"/>
          <w:lang w:val="it-IT"/>
        </w:rPr>
        <w:t xml:space="preserve">di progettazione esecutiva e realizzazione dell'impianto, compresa la gestione per il primo anno. </w:t>
      </w:r>
      <w:r>
        <w:rPr>
          <w:rFonts w:ascii="Book Antiqua"/>
          <w:rtl w:val="0"/>
          <w:lang w:val="it-IT"/>
        </w:rPr>
        <w:t>L</w:t>
      </w:r>
      <w:r>
        <w:rPr>
          <w:rFonts w:hAnsi="Book Antiqua" w:hint="default"/>
          <w:rtl w:val="0"/>
          <w:lang w:val="it-IT"/>
        </w:rPr>
        <w:t>’</w:t>
      </w:r>
      <w:r>
        <w:rPr>
          <w:rFonts w:ascii="Book Antiqua"/>
          <w:rtl w:val="0"/>
          <w:lang w:val="it-IT"/>
        </w:rPr>
        <w:t>avvio dei lavori era previsto per dicembre 2015 e l</w:t>
      </w:r>
      <w:r>
        <w:rPr>
          <w:rFonts w:hAnsi="Book Antiqua" w:hint="default"/>
          <w:rtl w:val="0"/>
          <w:lang w:val="it-IT"/>
        </w:rPr>
        <w:t>’</w:t>
      </w:r>
      <w:r>
        <w:rPr>
          <w:rFonts w:ascii="Book Antiqua"/>
          <w:rtl w:val="0"/>
          <w:lang w:val="it-IT"/>
        </w:rPr>
        <w:t xml:space="preserve">impianto avrebbe potuto entrare in esercizio nel 2016. </w:t>
      </w:r>
      <w:r>
        <w:rPr>
          <w:rFonts w:ascii="Book Antiqua"/>
          <w:color w:val="000000"/>
          <w:u w:color="000000"/>
          <w:shd w:val="clear" w:color="auto" w:fill="ffffff"/>
          <w:rtl w:val="0"/>
          <w:lang w:val="it-IT"/>
        </w:rPr>
        <w:t>L</w:t>
      </w:r>
      <w:r>
        <w:rPr>
          <w:rFonts w:hAnsi="Book Antiqua" w:hint="default"/>
          <w:color w:val="000000"/>
          <w:u w:color="000000"/>
          <w:shd w:val="clear" w:color="auto" w:fill="ffffff"/>
          <w:rtl w:val="0"/>
          <w:lang w:val="it-IT"/>
        </w:rPr>
        <w:t>’</w:t>
      </w:r>
      <w:r>
        <w:rPr>
          <w:rFonts w:ascii="Book Antiqua"/>
          <w:color w:val="000000"/>
          <w:u w:color="000000"/>
          <w:shd w:val="clear" w:color="auto" w:fill="ffffff"/>
          <w:rtl w:val="0"/>
          <w:lang w:val="it-IT"/>
        </w:rPr>
        <w:t>impianto avrebbe dovuto trattare ogni anno circa 40 mila tonnellate di scarti alimentari organici e circa 10 mila tonnellate di residui di potatura e sfalci. Tonnellate che sommate alle 20 mila di Maccarese (dove esiste un altro impianto di compostaggio sempre di propriet</w:t>
      </w:r>
      <w:r>
        <w:rPr>
          <w:rFonts w:hAnsi="Book Antiqua" w:hint="default"/>
          <w:color w:val="000000"/>
          <w:u w:color="000000"/>
          <w:shd w:val="clear" w:color="auto" w:fill="ffffff"/>
          <w:rtl w:val="0"/>
          <w:lang w:val="it-IT"/>
        </w:rPr>
        <w:t xml:space="preserve">à </w:t>
      </w:r>
      <w:r>
        <w:rPr>
          <w:rFonts w:ascii="Book Antiqua"/>
          <w:color w:val="000000"/>
          <w:u w:color="000000"/>
          <w:shd w:val="clear" w:color="auto" w:fill="ffffff"/>
          <w:rtl w:val="0"/>
          <w:lang w:val="it-IT"/>
        </w:rPr>
        <w:t>dell</w:t>
      </w:r>
      <w:r>
        <w:rPr>
          <w:rFonts w:hAnsi="Book Antiqua" w:hint="default"/>
          <w:color w:val="000000"/>
          <w:u w:color="000000"/>
          <w:shd w:val="clear" w:color="auto" w:fill="ffffff"/>
          <w:rtl w:val="0"/>
          <w:lang w:val="it-IT"/>
        </w:rPr>
        <w:t>’</w:t>
      </w:r>
      <w:r>
        <w:rPr>
          <w:rFonts w:ascii="Book Antiqua"/>
          <w:color w:val="000000"/>
          <w:u w:color="000000"/>
          <w:shd w:val="clear" w:color="auto" w:fill="ffffff"/>
          <w:rtl w:val="0"/>
          <w:lang w:val="it-IT"/>
        </w:rPr>
        <w:t>AMA) avrebbero dovuto far raggiungere a Roma una capacit</w:t>
      </w:r>
      <w:r>
        <w:rPr>
          <w:rFonts w:hAnsi="Book Antiqua" w:hint="default"/>
          <w:color w:val="000000"/>
          <w:u w:color="000000"/>
          <w:shd w:val="clear" w:color="auto" w:fill="ffffff"/>
          <w:rtl w:val="0"/>
          <w:lang w:val="it-IT"/>
        </w:rPr>
        <w:t xml:space="preserve">à </w:t>
      </w:r>
      <w:r>
        <w:rPr>
          <w:rFonts w:ascii="Book Antiqua"/>
          <w:color w:val="000000"/>
          <w:u w:color="000000"/>
          <w:shd w:val="clear" w:color="auto" w:fill="ffffff"/>
          <w:rtl w:val="0"/>
          <w:lang w:val="it-IT"/>
        </w:rPr>
        <w:t xml:space="preserve">di trattamento di 70 mila tonnellate all'anno. </w:t>
      </w:r>
    </w:p>
    <w:p>
      <w:pPr>
        <w:pStyle w:val="Normal"/>
        <w:ind w:left="567" w:right="567" w:firstLine="0"/>
        <w:jc w:val="both"/>
        <w:rPr>
          <w:rFonts w:ascii="Book Antiqua" w:cs="Book Antiqua" w:hAnsi="Book Antiqua" w:eastAsia="Book Antiqua"/>
        </w:rPr>
      </w:pPr>
      <w:r>
        <w:rPr>
          <w:rFonts w:ascii="Book Antiqua"/>
          <w:rtl w:val="0"/>
          <w:lang w:val="it-IT"/>
        </w:rPr>
        <w:t>L</w:t>
      </w:r>
      <w:r>
        <w:rPr>
          <w:rFonts w:hAnsi="Book Antiqua" w:hint="default"/>
          <w:rtl w:val="0"/>
          <w:lang w:val="it-IT"/>
        </w:rPr>
        <w:t>’</w:t>
      </w:r>
      <w:r>
        <w:rPr>
          <w:rFonts w:ascii="Book Antiqua"/>
          <w:rtl w:val="0"/>
          <w:lang w:val="it-IT"/>
        </w:rPr>
        <w:t>ecodistretto di Rocca Cencia, avrebbe dovuto in futuro contenere impianti meccanici e biologici per:</w:t>
      </w:r>
    </w:p>
    <w:p>
      <w:pPr>
        <w:pStyle w:val="Normal"/>
        <w:numPr>
          <w:ilvl w:val="0"/>
          <w:numId w:val="100"/>
        </w:numPr>
        <w:shd w:val="clear" w:color="auto" w:fill="ffffff"/>
        <w:tabs>
          <w:tab w:val="left" w:pos="720"/>
          <w:tab w:val="num" w:pos="1134"/>
          <w:tab w:val="clear" w:pos="0"/>
        </w:tabs>
        <w:bidi w:val="0"/>
        <w:ind w:left="1134" w:right="567" w:hanging="141"/>
        <w:jc w:val="both"/>
        <w:rPr>
          <w:rFonts w:ascii="Book Antiqua" w:cs="Book Antiqua" w:hAnsi="Book Antiqua" w:eastAsia="Book Antiqua"/>
          <w:position w:val="0"/>
          <w:sz w:val="24"/>
          <w:szCs w:val="24"/>
          <w:rtl w:val="0"/>
        </w:rPr>
      </w:pPr>
      <w:r>
        <w:rPr>
          <w:rFonts w:ascii="Book Antiqua"/>
          <w:rtl w:val="0"/>
          <w:lang w:val="it-IT"/>
        </w:rPr>
        <w:t>recupero e riciclo plastiche</w:t>
      </w:r>
    </w:p>
    <w:p>
      <w:pPr>
        <w:pStyle w:val="Normal"/>
        <w:numPr>
          <w:ilvl w:val="0"/>
          <w:numId w:val="101"/>
        </w:numPr>
        <w:shd w:val="clear" w:color="auto" w:fill="ffffff"/>
        <w:tabs>
          <w:tab w:val="left" w:pos="720"/>
          <w:tab w:val="num" w:pos="1134"/>
          <w:tab w:val="clear" w:pos="0"/>
        </w:tabs>
        <w:bidi w:val="0"/>
        <w:ind w:left="1134" w:right="567" w:hanging="141"/>
        <w:jc w:val="both"/>
        <w:rPr>
          <w:rFonts w:ascii="Book Antiqua" w:cs="Book Antiqua" w:hAnsi="Book Antiqua" w:eastAsia="Book Antiqua"/>
          <w:position w:val="0"/>
          <w:sz w:val="24"/>
          <w:szCs w:val="24"/>
          <w:rtl w:val="0"/>
        </w:rPr>
      </w:pPr>
      <w:r>
        <w:rPr>
          <w:rFonts w:ascii="Book Antiqua"/>
          <w:rtl w:val="0"/>
          <w:lang w:val="it-IT"/>
        </w:rPr>
        <w:t>recupero e riciclo carta</w:t>
      </w:r>
    </w:p>
    <w:p>
      <w:pPr>
        <w:pStyle w:val="Normal"/>
        <w:numPr>
          <w:ilvl w:val="0"/>
          <w:numId w:val="102"/>
        </w:numPr>
        <w:shd w:val="clear" w:color="auto" w:fill="ffffff"/>
        <w:tabs>
          <w:tab w:val="left" w:pos="720"/>
          <w:tab w:val="num" w:pos="1134"/>
          <w:tab w:val="clear" w:pos="0"/>
        </w:tabs>
        <w:bidi w:val="0"/>
        <w:ind w:left="1134" w:right="567" w:hanging="141"/>
        <w:jc w:val="both"/>
        <w:rPr>
          <w:rFonts w:ascii="Book Antiqua" w:cs="Book Antiqua" w:hAnsi="Book Antiqua" w:eastAsia="Book Antiqua"/>
          <w:position w:val="0"/>
          <w:sz w:val="24"/>
          <w:szCs w:val="24"/>
          <w:rtl w:val="0"/>
        </w:rPr>
      </w:pPr>
      <w:r>
        <w:rPr>
          <w:rFonts w:ascii="Book Antiqua"/>
          <w:rtl w:val="0"/>
          <w:lang w:val="it-IT"/>
        </w:rPr>
        <w:t>recupero e riciclo metalli (alluminio, ferro, ecc</w:t>
      </w:r>
      <w:r>
        <w:rPr>
          <w:rFonts w:hAnsi="Book Antiqua" w:hint="default"/>
          <w:rtl w:val="0"/>
          <w:lang w:val="it-IT"/>
        </w:rPr>
        <w:t>…</w:t>
      </w:r>
      <w:r>
        <w:rPr>
          <w:rFonts w:ascii="Book Antiqua"/>
          <w:rtl w:val="0"/>
          <w:lang w:val="it-IT"/>
        </w:rPr>
        <w:t>)</w:t>
      </w:r>
    </w:p>
    <w:p>
      <w:pPr>
        <w:pStyle w:val="Normal"/>
        <w:numPr>
          <w:ilvl w:val="0"/>
          <w:numId w:val="103"/>
        </w:numPr>
        <w:shd w:val="clear" w:color="auto" w:fill="ffffff"/>
        <w:tabs>
          <w:tab w:val="left" w:pos="720"/>
          <w:tab w:val="num" w:pos="1134"/>
          <w:tab w:val="clear" w:pos="0"/>
        </w:tabs>
        <w:bidi w:val="0"/>
        <w:ind w:left="1134" w:right="567" w:hanging="141"/>
        <w:jc w:val="both"/>
        <w:rPr>
          <w:rFonts w:ascii="Book Antiqua" w:cs="Book Antiqua" w:hAnsi="Book Antiqua" w:eastAsia="Book Antiqua"/>
          <w:position w:val="0"/>
          <w:sz w:val="24"/>
          <w:szCs w:val="24"/>
          <w:rtl w:val="0"/>
        </w:rPr>
      </w:pPr>
      <w:r>
        <w:rPr>
          <w:rFonts w:ascii="Book Antiqua"/>
          <w:rtl w:val="0"/>
          <w:lang w:val="it-IT"/>
        </w:rPr>
        <w:t>recupero e riciclo RAEE</w:t>
      </w:r>
    </w:p>
    <w:p>
      <w:pPr>
        <w:pStyle w:val="Normal"/>
        <w:numPr>
          <w:ilvl w:val="0"/>
          <w:numId w:val="104"/>
        </w:numPr>
        <w:shd w:val="clear" w:color="auto" w:fill="ffffff"/>
        <w:tabs>
          <w:tab w:val="left" w:pos="720"/>
          <w:tab w:val="num" w:pos="1134"/>
          <w:tab w:val="clear" w:pos="0"/>
        </w:tabs>
        <w:bidi w:val="0"/>
        <w:ind w:left="1134" w:right="567" w:hanging="141"/>
        <w:jc w:val="both"/>
        <w:rPr>
          <w:rFonts w:ascii="Book Antiqua" w:cs="Book Antiqua" w:hAnsi="Book Antiqua" w:eastAsia="Book Antiqua"/>
          <w:position w:val="0"/>
          <w:sz w:val="24"/>
          <w:szCs w:val="24"/>
          <w:rtl w:val="0"/>
        </w:rPr>
      </w:pPr>
      <w:r>
        <w:rPr>
          <w:rFonts w:ascii="Book Antiqua"/>
          <w:rtl w:val="0"/>
          <w:lang w:val="it-IT"/>
        </w:rPr>
        <w:t>recupero e trasformazione rifiuto organico in compost di qualit</w:t>
      </w:r>
      <w:r>
        <w:rPr>
          <w:rFonts w:hAnsi="Book Antiqua" w:hint="default"/>
          <w:rtl w:val="0"/>
          <w:lang w:val="it-IT"/>
        </w:rPr>
        <w:t>à</w:t>
      </w:r>
    </w:p>
    <w:p>
      <w:pPr>
        <w:pStyle w:val="Normal"/>
        <w:numPr>
          <w:ilvl w:val="0"/>
          <w:numId w:val="105"/>
        </w:numPr>
        <w:shd w:val="clear" w:color="auto" w:fill="ffffff"/>
        <w:tabs>
          <w:tab w:val="left" w:pos="720"/>
          <w:tab w:val="num" w:pos="1134"/>
          <w:tab w:val="clear" w:pos="0"/>
        </w:tabs>
        <w:bidi w:val="0"/>
        <w:ind w:left="1134" w:right="567" w:hanging="141"/>
        <w:jc w:val="both"/>
        <w:rPr>
          <w:rFonts w:ascii="Book Antiqua" w:cs="Book Antiqua" w:hAnsi="Book Antiqua" w:eastAsia="Book Antiqua"/>
          <w:position w:val="0"/>
          <w:sz w:val="24"/>
          <w:szCs w:val="24"/>
          <w:rtl w:val="0"/>
        </w:rPr>
      </w:pPr>
      <w:r>
        <w:rPr>
          <w:rFonts w:ascii="Book Antiqua"/>
          <w:rtl w:val="0"/>
          <w:lang w:val="it-IT"/>
        </w:rPr>
        <w:t>atelier dei materiali (insediamento di imprese, di ricerca e di sviluppo per l</w:t>
      </w:r>
      <w:r>
        <w:rPr>
          <w:rFonts w:hAnsi="Book Antiqua" w:hint="default"/>
          <w:rtl w:val="0"/>
          <w:lang w:val="it-IT"/>
        </w:rPr>
        <w:t>’</w:t>
      </w:r>
      <w:r>
        <w:rPr>
          <w:rFonts w:ascii="Book Antiqua"/>
          <w:rtl w:val="0"/>
          <w:lang w:val="it-IT"/>
        </w:rPr>
        <w:t>utilizzo dei materiali provenienti dal recupero) e percorsi educativi.</w:t>
      </w:r>
    </w:p>
    <w:p>
      <w:pPr>
        <w:pStyle w:val="Normal"/>
        <w:ind w:left="567" w:right="567" w:firstLine="0"/>
        <w:jc w:val="both"/>
        <w:rPr>
          <w:rFonts w:ascii="Book Antiqua" w:cs="Book Antiqua" w:hAnsi="Book Antiqua" w:eastAsia="Book Antiqua"/>
        </w:rPr>
      </w:pPr>
      <w:r>
        <w:rPr>
          <w:rFonts w:ascii="Book Antiqua"/>
          <w:rtl w:val="0"/>
          <w:lang w:val="it-IT"/>
        </w:rPr>
        <w:t xml:space="preserve">Il progetto, come si </w:t>
      </w:r>
      <w:r>
        <w:rPr>
          <w:rFonts w:hAnsi="Book Antiqua" w:hint="default"/>
          <w:rtl w:val="0"/>
          <w:lang w:val="it-IT"/>
        </w:rPr>
        <w:t xml:space="preserve">è </w:t>
      </w:r>
      <w:r>
        <w:rPr>
          <w:rFonts w:ascii="Book Antiqua"/>
          <w:rtl w:val="0"/>
          <w:lang w:val="it-IT"/>
        </w:rPr>
        <w:t xml:space="preserve">detto, non </w:t>
      </w:r>
      <w:r>
        <w:rPr>
          <w:rFonts w:hAnsi="Book Antiqua" w:hint="default"/>
          <w:rtl w:val="0"/>
          <w:lang w:val="it-IT"/>
        </w:rPr>
        <w:t xml:space="preserve">è </w:t>
      </w:r>
      <w:r>
        <w:rPr>
          <w:rFonts w:ascii="Book Antiqua"/>
          <w:rtl w:val="0"/>
          <w:lang w:val="it-IT"/>
        </w:rPr>
        <w:t>stato mai attuato.</w:t>
      </w:r>
    </w:p>
    <w:p>
      <w:pPr>
        <w:pStyle w:val="Normal"/>
        <w:ind w:left="567" w:right="567" w:firstLine="0"/>
        <w:jc w:val="both"/>
        <w:rPr>
          <w:rFonts w:ascii="Book Antiqua" w:cs="Book Antiqua" w:hAnsi="Book Antiqua" w:eastAsia="Book Antiqua"/>
        </w:rPr>
      </w:pPr>
      <w:r>
        <w:rPr>
          <w:rFonts w:ascii="Book Antiqua"/>
          <w:rtl w:val="0"/>
          <w:lang w:val="it-IT"/>
        </w:rPr>
        <w:t>Se le motivazioni principali dell</w:t>
      </w:r>
      <w:r>
        <w:rPr>
          <w:rFonts w:hAnsi="Book Antiqua" w:hint="default"/>
          <w:rtl w:val="0"/>
          <w:lang w:val="it-IT"/>
        </w:rPr>
        <w:t>’</w:t>
      </w:r>
      <w:r>
        <w:rPr>
          <w:rFonts w:ascii="Book Antiqua"/>
          <w:rtl w:val="0"/>
          <w:lang w:val="it-IT"/>
        </w:rPr>
        <w:t xml:space="preserve">abbandono possono essere individuate nel cambio di amministrazione e di </w:t>
      </w:r>
      <w:r>
        <w:rPr>
          <w:rFonts w:ascii="Book Antiqua"/>
          <w:i w:val="1"/>
          <w:iCs w:val="1"/>
          <w:rtl w:val="0"/>
          <w:lang w:val="it-IT"/>
        </w:rPr>
        <w:t>governance</w:t>
      </w:r>
      <w:r>
        <w:rPr>
          <w:rFonts w:ascii="Book Antiqua"/>
          <w:rtl w:val="0"/>
          <w:lang w:val="it-IT"/>
        </w:rPr>
        <w:t xml:space="preserve"> di AMA, gi</w:t>
      </w:r>
      <w:r>
        <w:rPr>
          <w:rFonts w:hAnsi="Book Antiqua" w:hint="default"/>
          <w:rtl w:val="0"/>
          <w:lang w:val="it-IT"/>
        </w:rPr>
        <w:t xml:space="preserve">à </w:t>
      </w:r>
      <w:r>
        <w:rPr>
          <w:rFonts w:ascii="Book Antiqua"/>
          <w:rtl w:val="0"/>
          <w:lang w:val="it-IT"/>
        </w:rPr>
        <w:t>in precedenza vi erano stati nei ritardi nella presentazione dei progetti e nel rilascio delle autorizzazioni, e dispute sull</w:t>
      </w:r>
      <w:r>
        <w:rPr>
          <w:rFonts w:hAnsi="Book Antiqua" w:hint="default"/>
          <w:rtl w:val="0"/>
          <w:lang w:val="it-IT"/>
        </w:rPr>
        <w:t>’</w:t>
      </w:r>
      <w:r>
        <w:rPr>
          <w:rFonts w:ascii="Book Antiqua"/>
          <w:rtl w:val="0"/>
          <w:lang w:val="it-IT"/>
        </w:rPr>
        <w:t xml:space="preserve">ubicazione del primo impianto di compostaggio a Rocca Cencia. </w:t>
      </w:r>
    </w:p>
    <w:p>
      <w:pPr>
        <w:pStyle w:val="Normal"/>
        <w:ind w:left="567" w:right="567" w:firstLine="0"/>
        <w:jc w:val="both"/>
        <w:rPr>
          <w:rFonts w:ascii="Book Antiqua" w:cs="Book Antiqua" w:hAnsi="Book Antiqua" w:eastAsia="Book Antiqua"/>
        </w:rPr>
      </w:pPr>
      <w:r>
        <w:rPr>
          <w:rFonts w:ascii="Book Antiqua"/>
          <w:rtl w:val="0"/>
          <w:lang w:val="it-IT"/>
        </w:rPr>
        <w:t>Eppure diverse erano state le dichiarazioni in Commissione che sottolineavano come la costruzione dei quattro ecodistretti assumeva importanza strategica affinch</w:t>
      </w:r>
      <w:r>
        <w:rPr>
          <w:rFonts w:hAnsi="Book Antiqua" w:hint="default"/>
          <w:rtl w:val="0"/>
          <w:lang w:val="it-IT"/>
        </w:rPr>
        <w:t xml:space="preserve">é </w:t>
      </w:r>
      <w:r>
        <w:rPr>
          <w:rFonts w:ascii="Book Antiqua"/>
          <w:rtl w:val="0"/>
          <w:lang w:val="it-IT"/>
        </w:rPr>
        <w:t xml:space="preserve">ci fosse un miglioramento significativo del ciclo dei rifiuti a Roma. Infatti, Daniele Fortini, presidente pro tempore del consiglio di amministrazione di AMA Spa, in Commissione il 2 agosto 2016, dichiarava: </w:t>
      </w:r>
    </w:p>
    <w:p>
      <w:pPr>
        <w:pStyle w:val="Normal"/>
        <w:ind w:left="567" w:right="567" w:firstLine="0"/>
        <w:jc w:val="both"/>
        <w:rPr>
          <w:rFonts w:ascii="Book Antiqua" w:cs="Book Antiqua" w:hAnsi="Book Antiqua" w:eastAsia="Book Antiqua"/>
        </w:rPr>
      </w:pPr>
      <w:r>
        <w:rPr>
          <w:rFonts w:hAnsi="Book Antiqua" w:hint="default"/>
          <w:rtl w:val="0"/>
          <w:lang w:val="it-IT"/>
        </w:rPr>
        <w:t>“</w:t>
      </w:r>
      <w:r>
        <w:rPr>
          <w:rFonts w:ascii="Book Antiqua"/>
          <w:rtl w:val="0"/>
          <w:lang w:val="it-IT"/>
        </w:rPr>
        <w:t>L</w:t>
      </w:r>
      <w:r>
        <w:rPr>
          <w:rFonts w:hAnsi="Book Antiqua" w:hint="default"/>
          <w:rtl w:val="0"/>
          <w:lang w:val="it-IT"/>
        </w:rPr>
        <w:t>’</w:t>
      </w:r>
      <w:r>
        <w:rPr>
          <w:rFonts w:ascii="Book Antiqua"/>
          <w:rtl w:val="0"/>
          <w:lang w:val="it-IT"/>
        </w:rPr>
        <w:t xml:space="preserve">inversione che noi stiamo tentando di imprimere rispetto a un sistema che </w:t>
      </w:r>
      <w:r>
        <w:rPr>
          <w:rFonts w:hAnsi="Book Antiqua" w:hint="default"/>
          <w:rtl w:val="0"/>
          <w:lang w:val="it-IT"/>
        </w:rPr>
        <w:t xml:space="preserve">è </w:t>
      </w:r>
      <w:r>
        <w:rPr>
          <w:rFonts w:ascii="Book Antiqua"/>
          <w:rtl w:val="0"/>
          <w:lang w:val="it-IT"/>
        </w:rPr>
        <w:t>stato costruito negli ultimi quarant</w:t>
      </w:r>
      <w:r>
        <w:rPr>
          <w:rFonts w:hAnsi="Book Antiqua" w:hint="default"/>
          <w:rtl w:val="0"/>
          <w:lang w:val="it-IT"/>
        </w:rPr>
        <w:t>’</w:t>
      </w:r>
      <w:r>
        <w:rPr>
          <w:rFonts w:ascii="Book Antiqua"/>
          <w:rtl w:val="0"/>
          <w:lang w:val="it-IT"/>
        </w:rPr>
        <w:t xml:space="preserve">anni in questo modo </w:t>
      </w:r>
      <w:r>
        <w:rPr>
          <w:rFonts w:hAnsi="Book Antiqua" w:hint="default"/>
          <w:rtl w:val="0"/>
          <w:lang w:val="it-IT"/>
        </w:rPr>
        <w:t xml:space="preserve">è </w:t>
      </w:r>
      <w:r>
        <w:rPr>
          <w:rFonts w:ascii="Book Antiqua"/>
          <w:rtl w:val="0"/>
          <w:lang w:val="it-IT"/>
        </w:rPr>
        <w:t>piuttosto faticosa, difficile da realizzare e, nel contempo, molto osteggiata. Essa fa premio essenzialmente su un fatto: sviluppo della raccolta differenziata e una dotazione impiantistica necessaria a recuperare materia da rifiuti in modo da evitare il pi</w:t>
      </w:r>
      <w:r>
        <w:rPr>
          <w:rFonts w:hAnsi="Book Antiqua" w:hint="default"/>
          <w:rtl w:val="0"/>
          <w:lang w:val="it-IT"/>
        </w:rPr>
        <w:t xml:space="preserve">ù </w:t>
      </w:r>
      <w:r>
        <w:rPr>
          <w:rFonts w:ascii="Book Antiqua"/>
          <w:rtl w:val="0"/>
          <w:lang w:val="it-IT"/>
        </w:rPr>
        <w:t xml:space="preserve">possibile il ricorso alle forme di smaltimento. Nel nostro piano industriale abbiamo previsto, attraverso gli ecodistretti, dei </w:t>
      </w:r>
      <w:r>
        <w:rPr>
          <w:rFonts w:ascii="Book Antiqua"/>
          <w:i w:val="1"/>
          <w:iCs w:val="1"/>
          <w:rtl w:val="0"/>
          <w:lang w:val="it-IT"/>
        </w:rPr>
        <w:t xml:space="preserve">compound </w:t>
      </w:r>
      <w:r>
        <w:rPr>
          <w:rFonts w:ascii="Book Antiqua"/>
          <w:rtl w:val="0"/>
          <w:lang w:val="it-IT"/>
        </w:rPr>
        <w:t xml:space="preserve">di stabilimenti in cui arrivano rifiuti, sia differenziati, sia indifferenziati, per essere poi trattati ai fini dei processi </w:t>
      </w:r>
      <w:r>
        <w:rPr>
          <w:rFonts w:ascii="Book Antiqua"/>
          <w:i w:val="1"/>
          <w:iCs w:val="1"/>
          <w:rtl w:val="0"/>
          <w:lang w:val="it-IT"/>
        </w:rPr>
        <w:t xml:space="preserve">end of waste, </w:t>
      </w:r>
      <w:r>
        <w:rPr>
          <w:rFonts w:ascii="Book Antiqua"/>
          <w:rtl w:val="0"/>
          <w:lang w:val="it-IT"/>
        </w:rPr>
        <w:t>raccomandati dall</w:t>
      </w:r>
      <w:r>
        <w:rPr>
          <w:rFonts w:hAnsi="Book Antiqua" w:hint="default"/>
          <w:rtl w:val="0"/>
          <w:lang w:val="it-IT"/>
        </w:rPr>
        <w:t>’</w:t>
      </w:r>
      <w:r>
        <w:rPr>
          <w:rFonts w:ascii="Book Antiqua"/>
          <w:rtl w:val="0"/>
          <w:lang w:val="it-IT"/>
        </w:rPr>
        <w:t>Unione europea, ivi compresi rifiuti indifferenziati con dotazioni di equipaggiamenti tecnici gi</w:t>
      </w:r>
      <w:r>
        <w:rPr>
          <w:rFonts w:hAnsi="Book Antiqua" w:hint="default"/>
          <w:rtl w:val="0"/>
          <w:lang w:val="it-IT"/>
        </w:rPr>
        <w:t xml:space="preserve">à </w:t>
      </w:r>
      <w:r>
        <w:rPr>
          <w:rFonts w:ascii="Book Antiqua"/>
          <w:rtl w:val="0"/>
          <w:lang w:val="it-IT"/>
        </w:rPr>
        <w:t>disponibili sul mercato, per fare in modo che il trattamento di quei rifiuti non sia finalizzato alla generazione di nuovi rifiuti, bens</w:t>
      </w:r>
      <w:r>
        <w:rPr>
          <w:rFonts w:hAnsi="Book Antiqua" w:hint="default"/>
          <w:rtl w:val="0"/>
          <w:lang w:val="it-IT"/>
        </w:rPr>
        <w:t xml:space="preserve">ì </w:t>
      </w:r>
      <w:r>
        <w:rPr>
          <w:rFonts w:ascii="Book Antiqua"/>
          <w:rtl w:val="0"/>
          <w:lang w:val="it-IT"/>
        </w:rPr>
        <w:t>di prodotti ovvero di materie che possano essere reimpiegati sul mercato. [...]</w:t>
      </w:r>
      <w:r>
        <w:rPr>
          <w:rFonts w:ascii="Book Antiqua Bold"/>
          <w:b w:val="1"/>
          <w:bCs w:val="1"/>
          <w:i w:val="1"/>
          <w:iCs w:val="1"/>
          <w:rtl w:val="0"/>
          <w:lang w:val="it-IT"/>
        </w:rPr>
        <w:t xml:space="preserve"> </w:t>
      </w:r>
      <w:r>
        <w:rPr>
          <w:rFonts w:ascii="Book Antiqua"/>
          <w:rtl w:val="0"/>
          <w:lang w:val="it-IT"/>
        </w:rPr>
        <w:t>Noi siamo depositari di un brevetto, che abbiamo studiato insieme all</w:t>
      </w:r>
      <w:r>
        <w:rPr>
          <w:rFonts w:hAnsi="Book Antiqua" w:hint="default"/>
          <w:rtl w:val="0"/>
          <w:lang w:val="it-IT"/>
        </w:rPr>
        <w:t>’</w:t>
      </w:r>
      <w:r>
        <w:rPr>
          <w:rFonts w:ascii="Book Antiqua"/>
          <w:rtl w:val="0"/>
          <w:lang w:val="it-IT"/>
        </w:rPr>
        <w:t>Universit</w:t>
      </w:r>
      <w:r>
        <w:rPr>
          <w:rFonts w:hAnsi="Book Antiqua" w:hint="default"/>
          <w:rtl w:val="0"/>
          <w:lang w:val="it-IT"/>
        </w:rPr>
        <w:t xml:space="preserve">à </w:t>
      </w:r>
      <w:r>
        <w:rPr>
          <w:rFonts w:ascii="Book Antiqua"/>
          <w:rtl w:val="0"/>
          <w:lang w:val="it-IT"/>
        </w:rPr>
        <w:t xml:space="preserve">La Sapienza, per il quale </w:t>
      </w:r>
      <w:r>
        <w:rPr>
          <w:rFonts w:hAnsi="Book Antiqua" w:hint="default"/>
          <w:rtl w:val="0"/>
          <w:lang w:val="it-IT"/>
        </w:rPr>
        <w:t xml:space="preserve">è </w:t>
      </w:r>
      <w:r>
        <w:rPr>
          <w:rFonts w:ascii="Book Antiqua"/>
          <w:rtl w:val="0"/>
          <w:lang w:val="it-IT"/>
        </w:rPr>
        <w:t xml:space="preserve">possibile accelerare i processi di mineralizzazione della frazione organica stabilizzata ottenuta da un preciso trattamento in impianti di trattamento meccanico-biologico di nuova generazione, in modo tale che la frazione organica stabilizzata possa non essere per forza destinata a discarica. Nello stesso tempo, immaginiamo che quello che oggi </w:t>
      </w:r>
      <w:r>
        <w:rPr>
          <w:rFonts w:hAnsi="Book Antiqua" w:hint="default"/>
          <w:rtl w:val="0"/>
          <w:lang w:val="it-IT"/>
        </w:rPr>
        <w:t xml:space="preserve">è </w:t>
      </w:r>
      <w:r>
        <w:rPr>
          <w:rFonts w:ascii="Book Antiqua"/>
          <w:rtl w:val="0"/>
          <w:lang w:val="it-IT"/>
        </w:rPr>
        <w:t>combustibile derivato da rifiuti possa diventare combustibile solido secondario (CSS), che per sua natura, in quanto prodotto, pu</w:t>
      </w:r>
      <w:r>
        <w:rPr>
          <w:rFonts w:hAnsi="Book Antiqua" w:hint="default"/>
          <w:rtl w:val="0"/>
          <w:lang w:val="it-IT"/>
        </w:rPr>
        <w:t xml:space="preserve">ò </w:t>
      </w:r>
      <w:r>
        <w:rPr>
          <w:rFonts w:ascii="Book Antiqua"/>
          <w:rtl w:val="0"/>
          <w:lang w:val="it-IT"/>
        </w:rPr>
        <w:t>essere affidato alle centrali di generazione elettrica ovvero ai forni dei cementifici e, quindi, escludere, se non proprio rallentare, il conferimento negli impianti di termovalorizzazione. D</w:t>
      </w:r>
      <w:r>
        <w:rPr>
          <w:rFonts w:hAnsi="Book Antiqua" w:hint="default"/>
          <w:rtl w:val="0"/>
          <w:lang w:val="it-IT"/>
        </w:rPr>
        <w:t>’</w:t>
      </w:r>
      <w:r>
        <w:rPr>
          <w:rFonts w:ascii="Book Antiqua"/>
          <w:rtl w:val="0"/>
          <w:lang w:val="it-IT"/>
        </w:rPr>
        <w:t xml:space="preserve">altra parte, </w:t>
      </w:r>
      <w:r>
        <w:rPr>
          <w:rFonts w:hAnsi="Book Antiqua" w:hint="default"/>
          <w:rtl w:val="0"/>
          <w:lang w:val="it-IT"/>
        </w:rPr>
        <w:t xml:space="preserve">è </w:t>
      </w:r>
      <w:r>
        <w:rPr>
          <w:rFonts w:ascii="Book Antiqua"/>
          <w:rtl w:val="0"/>
          <w:lang w:val="it-IT"/>
        </w:rPr>
        <w:t>evidente che, bench</w:t>
      </w:r>
      <w:r>
        <w:rPr>
          <w:rFonts w:hAnsi="Book Antiqua" w:hint="default"/>
          <w:rtl w:val="0"/>
          <w:lang w:val="it-IT"/>
        </w:rPr>
        <w:t xml:space="preserve">é </w:t>
      </w:r>
      <w:r>
        <w:rPr>
          <w:rFonts w:ascii="Book Antiqua"/>
          <w:rtl w:val="0"/>
          <w:lang w:val="it-IT"/>
        </w:rPr>
        <w:t xml:space="preserve">tutti i nostri rifiuti vengano convogliati verso il recupero di materia, come sappiamo, nel nostro sistema, che </w:t>
      </w:r>
      <w:r>
        <w:rPr>
          <w:rFonts w:hAnsi="Book Antiqua" w:hint="default"/>
          <w:rtl w:val="0"/>
          <w:lang w:val="it-IT"/>
        </w:rPr>
        <w:t xml:space="preserve">è </w:t>
      </w:r>
      <w:r>
        <w:rPr>
          <w:rFonts w:ascii="Book Antiqua"/>
          <w:rtl w:val="0"/>
          <w:lang w:val="it-IT"/>
        </w:rPr>
        <w:t>anche il pi</w:t>
      </w:r>
      <w:r>
        <w:rPr>
          <w:rFonts w:hAnsi="Book Antiqua" w:hint="default"/>
          <w:rtl w:val="0"/>
          <w:lang w:val="it-IT"/>
        </w:rPr>
        <w:t xml:space="preserve">ù </w:t>
      </w:r>
      <w:r>
        <w:rPr>
          <w:rFonts w:ascii="Book Antiqua"/>
          <w:rtl w:val="0"/>
          <w:lang w:val="it-IT"/>
        </w:rPr>
        <w:t>virtuoso tra quelli presenti in Europa, per ogni tonnellata di frazioni in plastica che noi consegniamo agli impianti di recupero delle plastiche il 45 per cento del materiale viene incenerito perch</w:t>
      </w:r>
      <w:r>
        <w:rPr>
          <w:rFonts w:hAnsi="Book Antiqua" w:hint="default"/>
          <w:rtl w:val="0"/>
          <w:lang w:val="it-IT"/>
        </w:rPr>
        <w:t xml:space="preserve">é </w:t>
      </w:r>
      <w:r>
        <w:rPr>
          <w:rFonts w:ascii="Book Antiqua"/>
          <w:rtl w:val="0"/>
          <w:lang w:val="it-IT"/>
        </w:rPr>
        <w:t xml:space="preserve">non </w:t>
      </w:r>
      <w:r>
        <w:rPr>
          <w:rFonts w:hAnsi="Book Antiqua" w:hint="default"/>
          <w:rtl w:val="0"/>
          <w:lang w:val="it-IT"/>
        </w:rPr>
        <w:t xml:space="preserve">è </w:t>
      </w:r>
      <w:r>
        <w:rPr>
          <w:rFonts w:ascii="Book Antiqua"/>
          <w:rtl w:val="0"/>
          <w:lang w:val="it-IT"/>
        </w:rPr>
        <w:t xml:space="preserve">possibile recuperarlo come materia. Il nostro </w:t>
      </w:r>
      <w:r>
        <w:rPr>
          <w:rFonts w:hAnsi="Book Antiqua" w:hint="default"/>
          <w:rtl w:val="0"/>
          <w:lang w:val="it-IT"/>
        </w:rPr>
        <w:t xml:space="preserve">è </w:t>
      </w:r>
      <w:r>
        <w:rPr>
          <w:rFonts w:ascii="Book Antiqua"/>
          <w:rtl w:val="0"/>
          <w:lang w:val="it-IT"/>
        </w:rPr>
        <w:t>il sistema pi</w:t>
      </w:r>
      <w:r>
        <w:rPr>
          <w:rFonts w:hAnsi="Book Antiqua" w:hint="default"/>
          <w:rtl w:val="0"/>
          <w:lang w:val="it-IT"/>
        </w:rPr>
        <w:t xml:space="preserve">ù </w:t>
      </w:r>
      <w:r>
        <w:rPr>
          <w:rFonts w:ascii="Book Antiqua"/>
          <w:rtl w:val="0"/>
          <w:lang w:val="it-IT"/>
        </w:rPr>
        <w:t xml:space="preserve">virtuoso. In Germania </w:t>
      </w:r>
      <w:r>
        <w:rPr>
          <w:rFonts w:hAnsi="Book Antiqua" w:hint="default"/>
          <w:rtl w:val="0"/>
          <w:lang w:val="it-IT"/>
        </w:rPr>
        <w:t xml:space="preserve">è </w:t>
      </w:r>
      <w:r>
        <w:rPr>
          <w:rFonts w:ascii="Book Antiqua"/>
          <w:rtl w:val="0"/>
          <w:lang w:val="it-IT"/>
        </w:rPr>
        <w:t>il 60 per cento la plastica che viene raccolta in modo differenziato trattata al fine del recupero del PET, dell</w:t>
      </w:r>
      <w:r>
        <w:rPr>
          <w:rFonts w:hAnsi="Book Antiqua" w:hint="default"/>
          <w:rtl w:val="0"/>
          <w:lang w:val="it-IT"/>
        </w:rPr>
        <w:t>’</w:t>
      </w:r>
      <w:r>
        <w:rPr>
          <w:rFonts w:ascii="Book Antiqua"/>
          <w:rtl w:val="0"/>
          <w:lang w:val="it-IT"/>
        </w:rPr>
        <w:t>HDPE e dei polimeri pi</w:t>
      </w:r>
      <w:r>
        <w:rPr>
          <w:rFonts w:hAnsi="Book Antiqua" w:hint="default"/>
          <w:rtl w:val="0"/>
          <w:lang w:val="it-IT"/>
        </w:rPr>
        <w:t xml:space="preserve">ù </w:t>
      </w:r>
      <w:r>
        <w:rPr>
          <w:rFonts w:ascii="Book Antiqua"/>
          <w:rtl w:val="0"/>
          <w:lang w:val="it-IT"/>
        </w:rPr>
        <w:t>leggeri, ma poi c</w:t>
      </w:r>
      <w:r>
        <w:rPr>
          <w:rFonts w:hAnsi="Book Antiqua" w:hint="default"/>
          <w:rtl w:val="0"/>
          <w:lang w:val="it-IT"/>
        </w:rPr>
        <w:t xml:space="preserve">’è </w:t>
      </w:r>
      <w:r>
        <w:rPr>
          <w:rFonts w:ascii="Book Antiqua"/>
          <w:rtl w:val="0"/>
          <w:lang w:val="it-IT"/>
        </w:rPr>
        <w:t>una componente che va a incenerimento. Peggio ancora succede in Olanda e altrove. Questo detto, nelle condizioni attuali noi siamo costretti a operare facendo ricorso ampio a soggetti terzi che ci possono aiutare nella sostenibilit</w:t>
      </w:r>
      <w:r>
        <w:rPr>
          <w:rFonts w:hAnsi="Book Antiqua" w:hint="default"/>
          <w:rtl w:val="0"/>
          <w:lang w:val="it-IT"/>
        </w:rPr>
        <w:t xml:space="preserve">à </w:t>
      </w:r>
      <w:r>
        <w:rPr>
          <w:rFonts w:ascii="Book Antiqua"/>
          <w:rtl w:val="0"/>
          <w:lang w:val="it-IT"/>
        </w:rPr>
        <w:t>della gestione del ciclo attualmente, in previsione che gli ecodistretti, ovvero gli apparati per il recupero di materia nel corso dei prossimi anni possano consolidarsi, impiantarsi ed estendersi. [</w:t>
      </w:r>
      <w:r>
        <w:rPr>
          <w:rFonts w:hAnsi="Book Antiqua" w:hint="default"/>
          <w:rtl w:val="0"/>
          <w:lang w:val="it-IT"/>
        </w:rPr>
        <w:t>…</w:t>
      </w:r>
      <w:r>
        <w:rPr>
          <w:rFonts w:ascii="Book Antiqua"/>
          <w:rtl w:val="0"/>
          <w:lang w:val="it-IT"/>
        </w:rPr>
        <w:t xml:space="preserve">] Per quanto riguarda, invece, le materie secche, vale a dire tutti gli imballaggi riciclabili, la dotazione impiantistica di Roma Capitale </w:t>
      </w:r>
      <w:r>
        <w:rPr>
          <w:rFonts w:hAnsi="Book Antiqua" w:hint="default"/>
          <w:rtl w:val="0"/>
          <w:lang w:val="it-IT"/>
        </w:rPr>
        <w:t xml:space="preserve">è </w:t>
      </w:r>
      <w:r>
        <w:rPr>
          <w:rFonts w:ascii="Book Antiqua"/>
          <w:rtl w:val="0"/>
          <w:lang w:val="it-IT"/>
        </w:rPr>
        <w:t>autosufficiente. Ad oggi consente di collocare tutti questi materiali senza ricorso all</w:t>
      </w:r>
      <w:r>
        <w:rPr>
          <w:rFonts w:hAnsi="Book Antiqua" w:hint="default"/>
          <w:rtl w:val="0"/>
          <w:lang w:val="it-IT"/>
        </w:rPr>
        <w:t>’</w:t>
      </w:r>
      <w:r>
        <w:rPr>
          <w:rFonts w:ascii="Book Antiqua"/>
          <w:rtl w:val="0"/>
          <w:lang w:val="it-IT"/>
        </w:rPr>
        <w:t xml:space="preserve">extraregione, ma </w:t>
      </w:r>
      <w:r>
        <w:rPr>
          <w:rFonts w:hAnsi="Book Antiqua" w:hint="default"/>
          <w:rtl w:val="0"/>
          <w:lang w:val="it-IT"/>
        </w:rPr>
        <w:t xml:space="preserve">è </w:t>
      </w:r>
      <w:r>
        <w:rPr>
          <w:rFonts w:ascii="Book Antiqua"/>
          <w:rtl w:val="0"/>
          <w:lang w:val="it-IT"/>
        </w:rPr>
        <w:t>evidente che, crescendo la raccolta differenziata e avendo tanti pi</w:t>
      </w:r>
      <w:r>
        <w:rPr>
          <w:rFonts w:hAnsi="Book Antiqua" w:hint="default"/>
          <w:rtl w:val="0"/>
          <w:lang w:val="it-IT"/>
        </w:rPr>
        <w:t xml:space="preserve">ù </w:t>
      </w:r>
      <w:r>
        <w:rPr>
          <w:rFonts w:ascii="Book Antiqua"/>
          <w:rtl w:val="0"/>
          <w:lang w:val="it-IT"/>
        </w:rPr>
        <w:t>quantitativi, dovremo, anche in questo caso, pensare che gli ecodistretti debbano provvedere a garantire il corretto smaltimento del ciclo.</w:t>
      </w:r>
      <w:r>
        <w:rPr>
          <w:rFonts w:hAnsi="Book Antiqua" w:hint="default"/>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In questa prospettiva, secondo l</w:t>
      </w:r>
      <w:r>
        <w:rPr>
          <w:rFonts w:hAnsi="Book Antiqua" w:hint="default"/>
          <w:rtl w:val="0"/>
          <w:lang w:val="it-IT"/>
        </w:rPr>
        <w:t>’</w:t>
      </w:r>
      <w:r>
        <w:rPr>
          <w:rFonts w:ascii="Book Antiqua"/>
          <w:rtl w:val="0"/>
          <w:lang w:val="it-IT"/>
        </w:rPr>
        <w:t xml:space="preserve">audito si sarebbe contenuto decisamente il ricorso alla termovalorizzazione: </w:t>
      </w:r>
    </w:p>
    <w:p>
      <w:pPr>
        <w:pStyle w:val="Normal"/>
        <w:ind w:left="567" w:right="567" w:firstLine="0"/>
        <w:jc w:val="both"/>
        <w:rPr>
          <w:rFonts w:ascii="Book Antiqua" w:cs="Book Antiqua" w:hAnsi="Book Antiqua" w:eastAsia="Book Antiqua"/>
        </w:rPr>
      </w:pPr>
      <w:r>
        <w:rPr>
          <w:rFonts w:hAnsi="Book Antiqua" w:hint="default"/>
          <w:rtl w:val="0"/>
          <w:lang w:val="it-IT"/>
        </w:rPr>
        <w:t>“</w:t>
      </w:r>
      <w:r>
        <w:rPr>
          <w:rFonts w:ascii="Book Antiqua"/>
          <w:rtl w:val="0"/>
          <w:lang w:val="it-IT"/>
        </w:rPr>
        <w:t>n</w:t>
      </w:r>
      <w:r>
        <w:rPr>
          <w:rFonts w:hAnsi="Book Antiqua" w:hint="default"/>
          <w:rtl w:val="0"/>
          <w:lang w:val="it-IT"/>
        </w:rPr>
        <w:t xml:space="preserve">é </w:t>
      </w:r>
      <w:r>
        <w:rPr>
          <w:rFonts w:ascii="Book Antiqua"/>
          <w:rtl w:val="0"/>
          <w:lang w:val="it-IT"/>
        </w:rPr>
        <w:t>linee per il CDR, n</w:t>
      </w:r>
      <w:r>
        <w:rPr>
          <w:rFonts w:hAnsi="Book Antiqua" w:hint="default"/>
          <w:rtl w:val="0"/>
          <w:lang w:val="it-IT"/>
        </w:rPr>
        <w:t xml:space="preserve">é </w:t>
      </w:r>
      <w:r>
        <w:rPr>
          <w:rFonts w:ascii="Book Antiqua"/>
          <w:rtl w:val="0"/>
          <w:lang w:val="it-IT"/>
        </w:rPr>
        <w:t>linee di incenerimento per il tal quale. Nella prospettiva noi confidiamo nel fatto che l</w:t>
      </w:r>
      <w:r>
        <w:rPr>
          <w:rFonts w:hAnsi="Book Antiqua" w:hint="default"/>
          <w:rtl w:val="0"/>
          <w:lang w:val="it-IT"/>
        </w:rPr>
        <w:t>’</w:t>
      </w:r>
      <w:r>
        <w:rPr>
          <w:rFonts w:ascii="Book Antiqua"/>
          <w:rtl w:val="0"/>
          <w:lang w:val="it-IT"/>
        </w:rPr>
        <w:t>impiantamento degli ecodistretti ci porti nella condizione, ripeto, di avere soltanto il 15 per cento di materiali da smaltire, di cui una parte dovr</w:t>
      </w:r>
      <w:r>
        <w:rPr>
          <w:rFonts w:hAnsi="Book Antiqua" w:hint="default"/>
          <w:rtl w:val="0"/>
          <w:lang w:val="it-IT"/>
        </w:rPr>
        <w:t xml:space="preserve">à </w:t>
      </w:r>
      <w:r>
        <w:rPr>
          <w:rFonts w:ascii="Book Antiqua"/>
          <w:rtl w:val="0"/>
          <w:lang w:val="it-IT"/>
        </w:rPr>
        <w:t>essere destinata, ovviamente, al recupero di energia. Rispetto a quanto oggi utilizziamo in termini di apparati di termovalorizzazione sarebbe, per</w:t>
      </w:r>
      <w:r>
        <w:rPr>
          <w:rFonts w:hAnsi="Book Antiqua" w:hint="default"/>
          <w:rtl w:val="0"/>
          <w:lang w:val="it-IT"/>
        </w:rPr>
        <w:t>ò</w:t>
      </w:r>
      <w:r>
        <w:rPr>
          <w:rFonts w:ascii="Book Antiqua"/>
          <w:rtl w:val="0"/>
          <w:lang w:val="it-IT"/>
        </w:rPr>
        <w:t>, una percentuale infinitesimale. Questo si tradurrebbe nel fatto che il fabbisogno di discariche sarebbe esattamente come quello di oggi della Germania, cio</w:t>
      </w:r>
      <w:r>
        <w:rPr>
          <w:rFonts w:hAnsi="Book Antiqua" w:hint="default"/>
          <w:rtl w:val="0"/>
          <w:lang w:val="it-IT"/>
        </w:rPr>
        <w:t xml:space="preserve">è </w:t>
      </w:r>
      <w:r>
        <w:rPr>
          <w:rFonts w:ascii="Book Antiqua"/>
          <w:rtl w:val="0"/>
          <w:lang w:val="it-IT"/>
        </w:rPr>
        <w:t>il 5 per cento, o della Svezia, il 3 per cento, perch</w:t>
      </w:r>
      <w:r>
        <w:rPr>
          <w:rFonts w:hAnsi="Book Antiqua" w:hint="default"/>
          <w:rtl w:val="0"/>
          <w:lang w:val="it-IT"/>
        </w:rPr>
        <w:t xml:space="preserve">é </w:t>
      </w:r>
      <w:r>
        <w:rPr>
          <w:rFonts w:ascii="Book Antiqua"/>
          <w:rtl w:val="0"/>
          <w:lang w:val="it-IT"/>
        </w:rPr>
        <w:t xml:space="preserve">in discarica vanno soltanto le scorie finali non recuperabili degli inceneritori. Il meccanismo che noi vogliamo dispiegare </w:t>
      </w:r>
      <w:r>
        <w:rPr>
          <w:rFonts w:hAnsi="Book Antiqua" w:hint="default"/>
          <w:rtl w:val="0"/>
          <w:lang w:val="it-IT"/>
        </w:rPr>
        <w:t xml:space="preserve">è </w:t>
      </w:r>
      <w:r>
        <w:rPr>
          <w:rFonts w:ascii="Book Antiqua"/>
          <w:rtl w:val="0"/>
          <w:lang w:val="it-IT"/>
        </w:rPr>
        <w:t>questo e fa premere sugli ecodistretti, cio</w:t>
      </w:r>
      <w:r>
        <w:rPr>
          <w:rFonts w:hAnsi="Book Antiqua" w:hint="default"/>
          <w:rtl w:val="0"/>
          <w:lang w:val="it-IT"/>
        </w:rPr>
        <w:t xml:space="preserve">è </w:t>
      </w:r>
      <w:r>
        <w:rPr>
          <w:rFonts w:ascii="Book Antiqua"/>
          <w:rtl w:val="0"/>
          <w:lang w:val="it-IT"/>
        </w:rPr>
        <w:t>sulla possibilit</w:t>
      </w:r>
      <w:r>
        <w:rPr>
          <w:rFonts w:hAnsi="Book Antiqua" w:hint="default"/>
          <w:rtl w:val="0"/>
          <w:lang w:val="it-IT"/>
        </w:rPr>
        <w:t xml:space="preserve">à </w:t>
      </w:r>
      <w:r>
        <w:rPr>
          <w:rFonts w:ascii="Book Antiqua"/>
          <w:rtl w:val="0"/>
          <w:lang w:val="it-IT"/>
        </w:rPr>
        <w:t xml:space="preserve">di recuperare materia dai rifiuti. Questo </w:t>
      </w:r>
      <w:r>
        <w:rPr>
          <w:rFonts w:hAnsi="Book Antiqua" w:hint="default"/>
          <w:rtl w:val="0"/>
          <w:lang w:val="it-IT"/>
        </w:rPr>
        <w:t xml:space="preserve">è </w:t>
      </w:r>
      <w:r>
        <w:rPr>
          <w:rFonts w:ascii="Book Antiqua"/>
          <w:rtl w:val="0"/>
          <w:lang w:val="it-IT"/>
        </w:rPr>
        <w:t>il senso per il quale noi diciamo che nel tempo avremo sempre minor bisogno di impianti di termovalorizzazione. Per quanto ci riguarda, quindi, non avvertiamo la necessit</w:t>
      </w:r>
      <w:r>
        <w:rPr>
          <w:rFonts w:hAnsi="Book Antiqua" w:hint="default"/>
          <w:rtl w:val="0"/>
          <w:lang w:val="it-IT"/>
        </w:rPr>
        <w:t xml:space="preserve">à </w:t>
      </w:r>
      <w:r>
        <w:rPr>
          <w:rFonts w:ascii="Book Antiqua"/>
          <w:rtl w:val="0"/>
          <w:lang w:val="it-IT"/>
        </w:rPr>
        <w:t>di avere attivo l</w:t>
      </w:r>
      <w:r>
        <w:rPr>
          <w:rFonts w:hAnsi="Book Antiqua" w:hint="default"/>
          <w:rtl w:val="0"/>
          <w:lang w:val="it-IT"/>
        </w:rPr>
        <w:t>’</w:t>
      </w:r>
      <w:r>
        <w:rPr>
          <w:rFonts w:ascii="Book Antiqua"/>
          <w:rtl w:val="0"/>
          <w:lang w:val="it-IT"/>
        </w:rPr>
        <w:t>impianto di Albano, autorizzato, o quello di Malagrotta, autorizzato. Per quanto ci riguarda, noi riteniamo che siano inutili e ridondanti rispetto al fabbisogno attuale. Riteniamo anche che gli impianti TMB, cos</w:t>
      </w:r>
      <w:r>
        <w:rPr>
          <w:rFonts w:hAnsi="Book Antiqua" w:hint="default"/>
          <w:rtl w:val="0"/>
          <w:lang w:val="it-IT"/>
        </w:rPr>
        <w:t xml:space="preserve">ì </w:t>
      </w:r>
      <w:r>
        <w:rPr>
          <w:rFonts w:ascii="Book Antiqua"/>
          <w:rtl w:val="0"/>
          <w:lang w:val="it-IT"/>
        </w:rPr>
        <w:t>come oggi presenti nella regione Lazio, siano ridondanti ed eccessivi perch</w:t>
      </w:r>
      <w:r>
        <w:rPr>
          <w:rFonts w:hAnsi="Book Antiqua" w:hint="default"/>
          <w:rtl w:val="0"/>
          <w:lang w:val="it-IT"/>
        </w:rPr>
        <w:t xml:space="preserve">é </w:t>
      </w:r>
      <w:r>
        <w:rPr>
          <w:rFonts w:ascii="Book Antiqua"/>
          <w:rtl w:val="0"/>
          <w:lang w:val="it-IT"/>
        </w:rPr>
        <w:t>sono finalizzati a quella vecchia logica che serviva ad alimentare le discariche e gli inceneritori.</w:t>
      </w:r>
      <w:r>
        <w:rPr>
          <w:rFonts w:hAnsi="Book Antiqua" w:hint="default"/>
          <w:rtl w:val="0"/>
          <w:lang w:val="it-IT"/>
        </w:rPr>
        <w:t xml:space="preserve">” </w:t>
      </w:r>
    </w:p>
    <w:p>
      <w:pPr>
        <w:pStyle w:val="Normal"/>
        <w:ind w:left="567" w:right="567" w:firstLine="0"/>
        <w:jc w:val="both"/>
        <w:rPr>
          <w:rFonts w:ascii="Book Antiqua" w:cs="Book Antiqua" w:hAnsi="Book Antiqua" w:eastAsia="Book Antiqua"/>
        </w:rPr>
      </w:pPr>
      <w:r>
        <w:rPr>
          <w:rFonts w:ascii="Book Antiqua"/>
          <w:rtl w:val="0"/>
          <w:lang w:val="it-IT"/>
        </w:rPr>
        <w:t>In Commissione anche il sindaco pro tempore di Roma, Ignazio Marino, l</w:t>
      </w:r>
      <w:r>
        <w:rPr>
          <w:rFonts w:hAnsi="Book Antiqua" w:hint="default"/>
          <w:rtl w:val="0"/>
          <w:lang w:val="it-IT"/>
        </w:rPr>
        <w:t>’</w:t>
      </w:r>
      <w:r>
        <w:rPr>
          <w:rFonts w:ascii="Book Antiqua"/>
          <w:rtl w:val="0"/>
          <w:lang w:val="it-IT"/>
        </w:rPr>
        <w:t>8 settembre 2015, era intervenuto sull</w:t>
      </w:r>
      <w:r>
        <w:rPr>
          <w:rFonts w:hAnsi="Book Antiqua" w:hint="default"/>
          <w:rtl w:val="0"/>
          <w:lang w:val="it-IT"/>
        </w:rPr>
        <w:t>’</w:t>
      </w:r>
      <w:r>
        <w:rPr>
          <w:rFonts w:ascii="Book Antiqua"/>
          <w:rtl w:val="0"/>
          <w:lang w:val="it-IT"/>
        </w:rPr>
        <w:t xml:space="preserve">argomento ecodistretti, dichiarando: </w:t>
      </w:r>
    </w:p>
    <w:p>
      <w:pPr>
        <w:pStyle w:val="Normal"/>
        <w:ind w:left="567" w:right="567" w:firstLine="0"/>
        <w:jc w:val="both"/>
        <w:rPr>
          <w:rFonts w:ascii="Book Antiqua" w:cs="Book Antiqua" w:hAnsi="Book Antiqua" w:eastAsia="Book Antiqua"/>
        </w:rPr>
      </w:pPr>
      <w:r>
        <w:rPr>
          <w:rFonts w:hAnsi="Book Antiqua" w:hint="default"/>
          <w:rtl w:val="0"/>
          <w:lang w:val="it-IT"/>
        </w:rPr>
        <w:t>“</w:t>
      </w:r>
      <w:r>
        <w:rPr>
          <w:rFonts w:ascii="Book Antiqua"/>
          <w:rtl w:val="0"/>
          <w:lang w:val="it-IT"/>
        </w:rPr>
        <w:t>Il dispiegamento delle previsioni contenute nel piano industriale pluriennale adottato nel mese di luglio 2014, produrr</w:t>
      </w:r>
      <w:r>
        <w:rPr>
          <w:rFonts w:hAnsi="Book Antiqua" w:hint="default"/>
          <w:rtl w:val="0"/>
          <w:lang w:val="it-IT"/>
        </w:rPr>
        <w:t>à</w:t>
      </w:r>
      <w:r>
        <w:rPr>
          <w:rFonts w:ascii="Book Antiqua"/>
          <w:rtl w:val="0"/>
          <w:lang w:val="it-IT"/>
        </w:rPr>
        <w:t>, come effetto, entro il 2016, il superamento del 55 per cento di raccolta differenziata, l</w:t>
      </w:r>
      <w:r>
        <w:rPr>
          <w:rFonts w:hAnsi="Book Antiqua" w:hint="default"/>
          <w:rtl w:val="0"/>
          <w:lang w:val="it-IT"/>
        </w:rPr>
        <w:t>’</w:t>
      </w:r>
      <w:r>
        <w:rPr>
          <w:rFonts w:ascii="Book Antiqua"/>
          <w:rtl w:val="0"/>
          <w:lang w:val="it-IT"/>
        </w:rPr>
        <w:t>attivazione di nuove linee di compostaggio per 50.000 tonnellate all</w:t>
      </w:r>
      <w:r>
        <w:rPr>
          <w:rFonts w:hAnsi="Book Antiqua" w:hint="default"/>
          <w:rtl w:val="0"/>
          <w:lang w:val="it-IT"/>
        </w:rPr>
        <w:t>’</w:t>
      </w:r>
      <w:r>
        <w:rPr>
          <w:rFonts w:ascii="Book Antiqua"/>
          <w:rtl w:val="0"/>
          <w:lang w:val="it-IT"/>
        </w:rPr>
        <w:t>anno di rifiuti urbani biodegradabili e dei cosiddetti rifiuti verdi, il reperimento sul mercato di prossimit</w:t>
      </w:r>
      <w:r>
        <w:rPr>
          <w:rFonts w:hAnsi="Book Antiqua" w:hint="default"/>
          <w:rtl w:val="0"/>
          <w:lang w:val="it-IT"/>
        </w:rPr>
        <w:t>à</w:t>
      </w:r>
      <w:r>
        <w:rPr>
          <w:rFonts w:ascii="Book Antiqua"/>
          <w:rtl w:val="0"/>
          <w:lang w:val="it-IT"/>
        </w:rPr>
        <w:t>, con procedure a evidenza pubblica, di ulteriori quantit</w:t>
      </w:r>
      <w:r>
        <w:rPr>
          <w:rFonts w:hAnsi="Book Antiqua" w:hint="default"/>
          <w:rtl w:val="0"/>
          <w:lang w:val="it-IT"/>
        </w:rPr>
        <w:t xml:space="preserve">à </w:t>
      </w:r>
      <w:r>
        <w:rPr>
          <w:rFonts w:ascii="Book Antiqua"/>
          <w:rtl w:val="0"/>
          <w:lang w:val="it-IT"/>
        </w:rPr>
        <w:t>di rifiuti urbani biodegradabili da conferire a impianti di compostaggio privati e il potenziamento della dotazione di selezione per la valorizzazione di materie cellulosiche, plastiche e alluminio nell</w:t>
      </w:r>
      <w:r>
        <w:rPr>
          <w:rFonts w:hAnsi="Book Antiqua" w:hint="default"/>
          <w:rtl w:val="0"/>
          <w:lang w:val="it-IT"/>
        </w:rPr>
        <w:t>’</w:t>
      </w:r>
      <w:r>
        <w:rPr>
          <w:rFonts w:ascii="Book Antiqua"/>
          <w:rtl w:val="0"/>
          <w:lang w:val="it-IT"/>
        </w:rPr>
        <w:t>ecodistretto di Rocca Cencia. Invece, entro il 2017 vorremmo raggiungere la trasformazione dell</w:t>
      </w:r>
      <w:r>
        <w:rPr>
          <w:rFonts w:hAnsi="Book Antiqua" w:hint="default"/>
          <w:rtl w:val="0"/>
          <w:lang w:val="it-IT"/>
        </w:rPr>
        <w:t>’</w:t>
      </w:r>
      <w:r>
        <w:rPr>
          <w:rFonts w:ascii="Book Antiqua"/>
          <w:rtl w:val="0"/>
          <w:lang w:val="it-IT"/>
        </w:rPr>
        <w:t>impianto di trattamento meccanico-biologico sulla via Salaria in un impianto per la riparazione e il riuso di beni cedibili e per il recupero di materia da rifiuti ingombranti. Dalle iniziative dispiegate ci si attende una forte riduzione dei rifiuti urbani residui da trattare e smaltire (meno di 800.000 tonnellate l</w:t>
      </w:r>
      <w:r>
        <w:rPr>
          <w:rFonts w:hAnsi="Book Antiqua" w:hint="default"/>
          <w:rtl w:val="0"/>
          <w:lang w:val="it-IT"/>
        </w:rPr>
        <w:t>’</w:t>
      </w:r>
      <w:r>
        <w:rPr>
          <w:rFonts w:ascii="Book Antiqua"/>
          <w:rtl w:val="0"/>
          <w:lang w:val="it-IT"/>
        </w:rPr>
        <w:t xml:space="preserve">anno dal 2016 e decrescenti negli anni successivi), maggiore valorizzazione diretta da parte di AMA dei rifiuti riciclabili e, dunque, un minor fabbisogno di termovalorizzazione e di uso di discariche. Negli anni successivi </w:t>
      </w:r>
      <w:r>
        <w:rPr>
          <w:rFonts w:hAnsi="Book Antiqua" w:hint="default"/>
          <w:rtl w:val="0"/>
          <w:lang w:val="it-IT"/>
        </w:rPr>
        <w:t xml:space="preserve">è </w:t>
      </w:r>
      <w:r>
        <w:rPr>
          <w:rFonts w:ascii="Book Antiqua"/>
          <w:rtl w:val="0"/>
          <w:lang w:val="it-IT"/>
        </w:rPr>
        <w:t>previsto dal piano industriale pluriennale che la dismissione progressiva degli attuali impianti sia completata cedendo il passo a tecnologie che possono ricavare combustibile solido secondario dai rifiuti e mineralizzare la frazione organica stabilizzata procurata dal trattamento dei rifiuti urbani in regresso.</w:t>
      </w:r>
      <w:r>
        <w:rPr>
          <w:rFonts w:hAnsi="Book Antiqua" w:hint="default"/>
          <w:rtl w:val="0"/>
          <w:lang w:val="it-IT"/>
        </w:rPr>
        <w:t>”</w:t>
      </w: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rPr>
      </w:pPr>
    </w:p>
    <w:p>
      <w:pPr>
        <w:pStyle w:val="Normal"/>
        <w:ind w:right="567" w:firstLine="567"/>
        <w:jc w:val="both"/>
        <w:rPr>
          <w:rFonts w:ascii="Book Antiqua" w:cs="Book Antiqua" w:hAnsi="Book Antiqua" w:eastAsia="Book Antiqua"/>
          <w:sz w:val="28"/>
          <w:szCs w:val="28"/>
        </w:rPr>
      </w:pPr>
      <w:r>
        <w:rPr>
          <w:rFonts w:ascii="Book Antiqua"/>
          <w:sz w:val="28"/>
          <w:szCs w:val="28"/>
          <w:rtl w:val="0"/>
          <w:lang w:val="it-IT"/>
        </w:rPr>
        <w:t xml:space="preserve">2.3.4 I programmi della giunta di Roma Capitale </w:t>
      </w:r>
    </w:p>
    <w:p>
      <w:pPr>
        <w:pStyle w:val="Normal"/>
        <w:ind w:right="567"/>
        <w:jc w:val="both"/>
        <w:rPr>
          <w:rFonts w:ascii="Book Antiqua" w:cs="Book Antiqua" w:hAnsi="Book Antiqua" w:eastAsia="Book Antiqua"/>
          <w:sz w:val="28"/>
          <w:szCs w:val="28"/>
        </w:rPr>
      </w:pPr>
    </w:p>
    <w:p>
      <w:pPr>
        <w:pStyle w:val="Normal"/>
        <w:ind w:left="567" w:right="567" w:firstLine="0"/>
        <w:jc w:val="both"/>
        <w:rPr>
          <w:rFonts w:ascii="Book Antiqua" w:cs="Book Antiqua" w:hAnsi="Book Antiqua" w:eastAsia="Book Antiqua"/>
        </w:rPr>
      </w:pPr>
      <w:r>
        <w:rPr>
          <w:rFonts w:ascii="Book Antiqua"/>
          <w:rtl w:val="0"/>
          <w:lang w:val="it-IT"/>
        </w:rPr>
        <w:t>La sindaca e l</w:t>
      </w:r>
      <w:r>
        <w:rPr>
          <w:rFonts w:hAnsi="Book Antiqua" w:hint="default"/>
          <w:rtl w:val="0"/>
          <w:lang w:val="it-IT"/>
        </w:rPr>
        <w:t>’</w:t>
      </w:r>
      <w:r>
        <w:rPr>
          <w:rFonts w:ascii="Book Antiqua"/>
          <w:rtl w:val="0"/>
          <w:lang w:val="it-IT"/>
        </w:rPr>
        <w:t>assessora alla sostenibilit</w:t>
      </w:r>
      <w:r>
        <w:rPr>
          <w:rFonts w:hAnsi="Book Antiqua" w:hint="default"/>
          <w:rtl w:val="0"/>
          <w:lang w:val="it-IT"/>
        </w:rPr>
        <w:t xml:space="preserve">à </w:t>
      </w:r>
      <w:r>
        <w:rPr>
          <w:rFonts w:ascii="Book Antiqua"/>
          <w:rtl w:val="0"/>
          <w:lang w:val="it-IT"/>
        </w:rPr>
        <w:t>ambientale di Roma Capitale, nell</w:t>
      </w:r>
      <w:r>
        <w:rPr>
          <w:rFonts w:hAnsi="Book Antiqua" w:hint="default"/>
          <w:rtl w:val="0"/>
          <w:lang w:val="it-IT"/>
        </w:rPr>
        <w:t>’</w:t>
      </w:r>
      <w:r>
        <w:rPr>
          <w:rFonts w:ascii="Book Antiqua"/>
          <w:rtl w:val="0"/>
          <w:lang w:val="it-IT"/>
        </w:rPr>
        <w:t>audizione del 5 settembre 2016, hanno illustrato le linee programmatiche della Giunta per la soluzione delle criticit</w:t>
      </w:r>
      <w:r>
        <w:rPr>
          <w:rFonts w:hAnsi="Book Antiqua" w:hint="default"/>
          <w:rtl w:val="0"/>
          <w:lang w:val="it-IT"/>
        </w:rPr>
        <w:t xml:space="preserve">à </w:t>
      </w:r>
      <w:r>
        <w:rPr>
          <w:rFonts w:ascii="Book Antiqua"/>
          <w:rtl w:val="0"/>
          <w:lang w:val="it-IT"/>
        </w:rPr>
        <w:t>sul ciclo di gestione dei rifiuti urbani della citt</w:t>
      </w:r>
      <w:r>
        <w:rPr>
          <w:rFonts w:hAnsi="Book Antiqua" w:hint="default"/>
          <w:rtl w:val="0"/>
          <w:lang w:val="it-IT"/>
        </w:rPr>
        <w:t xml:space="preserve">à </w:t>
      </w:r>
      <w:r>
        <w:rPr>
          <w:rFonts w:ascii="Book Antiqua"/>
          <w:rtl w:val="0"/>
          <w:lang w:val="it-IT"/>
        </w:rPr>
        <w:t>di Roma. Secondo le audite l</w:t>
      </w:r>
      <w:r>
        <w:rPr>
          <w:rFonts w:hAnsi="Book Antiqua" w:hint="default"/>
          <w:rtl w:val="0"/>
          <w:lang w:val="it-IT"/>
        </w:rPr>
        <w:t>’</w:t>
      </w:r>
      <w:r>
        <w:rPr>
          <w:rFonts w:ascii="Book Antiqua"/>
          <w:rtl w:val="0"/>
          <w:lang w:val="it-IT"/>
        </w:rPr>
        <w:t>obiettivo principale della programmazione, con la realizzazione dei primi interventi entro il dicembre 2016, sarebbe stato teso a modificare la gestione esistente e ad evitare comportamenti illeciti agendo in primo luogo sull</w:t>
      </w:r>
      <w:r>
        <w:rPr>
          <w:rFonts w:hAnsi="Book Antiqua" w:hint="default"/>
          <w:rtl w:val="0"/>
          <w:lang w:val="it-IT"/>
        </w:rPr>
        <w:t>’</w:t>
      </w:r>
      <w:r>
        <w:rPr>
          <w:rFonts w:ascii="Book Antiqua"/>
          <w:rtl w:val="0"/>
          <w:lang w:val="it-IT"/>
        </w:rPr>
        <w:t xml:space="preserve">azienda municipalizzata che gestisce il servizio. </w:t>
      </w:r>
    </w:p>
    <w:p>
      <w:pPr>
        <w:pStyle w:val="Normal"/>
        <w:ind w:left="567" w:right="567" w:firstLine="0"/>
        <w:jc w:val="both"/>
        <w:rPr>
          <w:rFonts w:ascii="Book Antiqua" w:cs="Book Antiqua" w:hAnsi="Book Antiqua" w:eastAsia="Book Antiqua"/>
        </w:rPr>
      </w:pPr>
      <w:r>
        <w:rPr>
          <w:rFonts w:ascii="Book Antiqua"/>
          <w:rtl w:val="0"/>
          <w:lang w:val="it-IT"/>
        </w:rPr>
        <w:t xml:space="preserve">Il sindaco ha, infatti, evidenziato: </w:t>
      </w:r>
    </w:p>
    <w:p>
      <w:pPr>
        <w:pStyle w:val="Normal"/>
        <w:ind w:left="567" w:right="567" w:firstLine="0"/>
        <w:jc w:val="both"/>
        <w:rPr>
          <w:rFonts w:ascii="Book Antiqua" w:cs="Book Antiqua" w:hAnsi="Book Antiqua" w:eastAsia="Book Antiqua"/>
        </w:rPr>
      </w:pPr>
      <w:r>
        <w:rPr>
          <w:rFonts w:hAnsi="Book Antiqua" w:hint="default"/>
          <w:rtl w:val="0"/>
          <w:lang w:val="it-IT"/>
        </w:rPr>
        <w:t>“</w:t>
      </w:r>
      <w:r>
        <w:rPr>
          <w:rFonts w:ascii="Book Antiqua"/>
          <w:rtl w:val="0"/>
          <w:lang w:val="it-IT"/>
        </w:rPr>
        <w:t xml:space="preserve">come tutti sicuramente sapete la situazione che abbiamo trovato </w:t>
      </w:r>
      <w:r>
        <w:rPr>
          <w:rFonts w:hAnsi="Book Antiqua" w:hint="default"/>
          <w:rtl w:val="0"/>
          <w:lang w:val="it-IT"/>
        </w:rPr>
        <w:t>è</w:t>
      </w:r>
      <w:r>
        <w:rPr>
          <w:rFonts w:ascii="Book Antiqua"/>
          <w:rtl w:val="0"/>
          <w:lang w:val="it-IT"/>
        </w:rPr>
        <w:t xml:space="preserve"> molto critica. Il nostro obiettivo </w:t>
      </w:r>
      <w:r>
        <w:rPr>
          <w:rFonts w:hAnsi="Book Antiqua" w:hint="default"/>
          <w:rtl w:val="0"/>
          <w:lang w:val="it-IT"/>
        </w:rPr>
        <w:t xml:space="preserve">è </w:t>
      </w:r>
      <w:r>
        <w:rPr>
          <w:rFonts w:ascii="Book Antiqua"/>
          <w:rtl w:val="0"/>
          <w:lang w:val="it-IT"/>
        </w:rPr>
        <w:t xml:space="preserve">quello di tendere verso il modello </w:t>
      </w:r>
      <w:r>
        <w:rPr>
          <w:rFonts w:hAnsi="Book Antiqua" w:hint="default"/>
          <w:rtl w:val="0"/>
          <w:lang w:val="it-IT"/>
        </w:rPr>
        <w:t>“</w:t>
      </w:r>
      <w:r>
        <w:rPr>
          <w:rFonts w:ascii="Book Antiqua"/>
          <w:rtl w:val="0"/>
          <w:lang w:val="it-IT"/>
        </w:rPr>
        <w:t>rifiuti zero</w:t>
      </w:r>
      <w:r>
        <w:rPr>
          <w:rFonts w:hAnsi="Book Antiqua" w:hint="default"/>
          <w:rtl w:val="0"/>
          <w:lang w:val="it-IT"/>
        </w:rPr>
        <w:t>”</w:t>
      </w:r>
      <w:r>
        <w:rPr>
          <w:rFonts w:ascii="Book Antiqua"/>
          <w:rtl w:val="0"/>
          <w:lang w:val="it-IT"/>
        </w:rPr>
        <w:t xml:space="preserve"> e verso quella che viene definita un</w:t>
      </w:r>
      <w:r>
        <w:rPr>
          <w:rFonts w:hAnsi="Book Antiqua" w:hint="default"/>
          <w:rtl w:val="0"/>
          <w:lang w:val="it-IT"/>
        </w:rPr>
        <w:t>’</w:t>
      </w:r>
      <w:r>
        <w:rPr>
          <w:rFonts w:ascii="Book Antiqua"/>
          <w:rtl w:val="0"/>
          <w:lang w:val="it-IT"/>
        </w:rPr>
        <w:t>economia circolare, economia nella quale qualunque prodotto viene gi</w:t>
      </w:r>
      <w:r>
        <w:rPr>
          <w:rFonts w:hAnsi="Book Antiqua" w:hint="default"/>
          <w:rtl w:val="0"/>
          <w:lang w:val="it-IT"/>
        </w:rPr>
        <w:t xml:space="preserve">à </w:t>
      </w:r>
      <w:r>
        <w:rPr>
          <w:rFonts w:ascii="Book Antiqua"/>
          <w:rtl w:val="0"/>
          <w:lang w:val="it-IT"/>
        </w:rPr>
        <w:t xml:space="preserve">concepito all'interno di un ciclo che ne consente il completo smaltimento o la rifunzionalizzazione alla fine del ciclo di vita. </w:t>
      </w:r>
    </w:p>
    <w:p>
      <w:pPr>
        <w:pStyle w:val="Normal"/>
        <w:ind w:left="567" w:right="567" w:firstLine="0"/>
        <w:jc w:val="both"/>
        <w:rPr>
          <w:rFonts w:ascii="Book Antiqua" w:cs="Book Antiqua" w:hAnsi="Book Antiqua" w:eastAsia="Book Antiqua"/>
        </w:rPr>
      </w:pPr>
      <w:r>
        <w:rPr>
          <w:rFonts w:ascii="Book Antiqua"/>
          <w:rtl w:val="0"/>
          <w:lang w:val="it-IT"/>
        </w:rPr>
        <w:t>In questo modo, progressivamente, si va ad abbattere il carico di rifiuti presenti e si reintroducono questi beni, magari sotto altra forma, con un diverso utilizzo all</w:t>
      </w:r>
      <w:r>
        <w:rPr>
          <w:rFonts w:hAnsi="Book Antiqua" w:hint="default"/>
          <w:rtl w:val="0"/>
          <w:lang w:val="it-IT"/>
        </w:rPr>
        <w:t>’</w:t>
      </w:r>
      <w:r>
        <w:rPr>
          <w:rFonts w:ascii="Book Antiqua"/>
          <w:rtl w:val="0"/>
          <w:lang w:val="it-IT"/>
        </w:rPr>
        <w:t>interno del mercato, all</w:t>
      </w:r>
      <w:r>
        <w:rPr>
          <w:rFonts w:hAnsi="Book Antiqua" w:hint="default"/>
          <w:rtl w:val="0"/>
          <w:lang w:val="it-IT"/>
        </w:rPr>
        <w:t>’</w:t>
      </w:r>
      <w:r>
        <w:rPr>
          <w:rFonts w:ascii="Book Antiqua"/>
          <w:rtl w:val="0"/>
          <w:lang w:val="it-IT"/>
        </w:rPr>
        <w:t>interno del ciclo di vita. Questo consentir</w:t>
      </w:r>
      <w:r>
        <w:rPr>
          <w:rFonts w:hAnsi="Book Antiqua" w:hint="default"/>
          <w:rtl w:val="0"/>
          <w:lang w:val="it-IT"/>
        </w:rPr>
        <w:t>à</w:t>
      </w:r>
      <w:r>
        <w:rPr>
          <w:rFonts w:ascii="Book Antiqua"/>
          <w:rtl w:val="0"/>
          <w:lang w:val="it-IT"/>
        </w:rPr>
        <w:t>, secondo tutte le moderne teorie, di realizzare quella che viene definita economia circolare o modello rifiuti zero.</w:t>
      </w:r>
    </w:p>
    <w:p>
      <w:pPr>
        <w:pStyle w:val="Normal"/>
        <w:ind w:left="567" w:right="567" w:firstLine="0"/>
        <w:jc w:val="both"/>
        <w:rPr>
          <w:rFonts w:ascii="Book Antiqua" w:cs="Book Antiqua" w:hAnsi="Book Antiqua" w:eastAsia="Book Antiqua"/>
        </w:rPr>
      </w:pPr>
      <w:r>
        <w:rPr>
          <w:rFonts w:ascii="Book Antiqua"/>
          <w:rtl w:val="0"/>
          <w:lang w:val="it-IT"/>
        </w:rPr>
        <w:t>Ovviamente, per fare questo abbiamo necessit</w:t>
      </w:r>
      <w:r>
        <w:rPr>
          <w:rFonts w:hAnsi="Book Antiqua" w:hint="default"/>
          <w:rtl w:val="0"/>
          <w:lang w:val="it-IT"/>
        </w:rPr>
        <w:t xml:space="preserve">à </w:t>
      </w:r>
      <w:r>
        <w:rPr>
          <w:rFonts w:ascii="Book Antiqua"/>
          <w:rtl w:val="0"/>
          <w:lang w:val="it-IT"/>
        </w:rPr>
        <w:t>di prevedere una serie di azioni progressive. Attualmente l</w:t>
      </w:r>
      <w:r>
        <w:rPr>
          <w:rFonts w:hAnsi="Book Antiqua" w:hint="default"/>
          <w:rtl w:val="0"/>
          <w:lang w:val="it-IT"/>
        </w:rPr>
        <w:t>’</w:t>
      </w:r>
      <w:r>
        <w:rPr>
          <w:rFonts w:ascii="Book Antiqua"/>
          <w:rtl w:val="0"/>
          <w:lang w:val="it-IT"/>
        </w:rPr>
        <w:t xml:space="preserve">AMA, che </w:t>
      </w:r>
      <w:r>
        <w:rPr>
          <w:rFonts w:hAnsi="Book Antiqua" w:hint="default"/>
          <w:rtl w:val="0"/>
          <w:lang w:val="it-IT"/>
        </w:rPr>
        <w:t xml:space="preserve">è </w:t>
      </w:r>
      <w:r>
        <w:rPr>
          <w:rFonts w:ascii="Book Antiqua"/>
          <w:rtl w:val="0"/>
          <w:lang w:val="it-IT"/>
        </w:rPr>
        <w:t>l'azienda municipalizzata, la societ</w:t>
      </w:r>
      <w:r>
        <w:rPr>
          <w:rFonts w:hAnsi="Book Antiqua" w:hint="default"/>
          <w:rtl w:val="0"/>
          <w:lang w:val="it-IT"/>
        </w:rPr>
        <w:t xml:space="preserve">à </w:t>
      </w:r>
      <w:r>
        <w:rPr>
          <w:rFonts w:ascii="Book Antiqua"/>
          <w:i w:val="1"/>
          <w:iCs w:val="1"/>
          <w:rtl w:val="0"/>
          <w:lang w:val="it-IT"/>
        </w:rPr>
        <w:t>in house</w:t>
      </w:r>
      <w:r>
        <w:rPr>
          <w:rFonts w:ascii="Book Antiqua"/>
          <w:rtl w:val="0"/>
          <w:lang w:val="it-IT"/>
        </w:rPr>
        <w:t xml:space="preserve"> che svolge per conto di Roma Capitale tutta la gestione e il trattamento dei rifiuti, </w:t>
      </w:r>
      <w:r>
        <w:rPr>
          <w:rFonts w:hAnsi="Book Antiqua" w:hint="default"/>
          <w:rtl w:val="0"/>
          <w:lang w:val="it-IT"/>
        </w:rPr>
        <w:t xml:space="preserve">è </w:t>
      </w:r>
      <w:r>
        <w:rPr>
          <w:rFonts w:ascii="Book Antiqua"/>
          <w:rtl w:val="0"/>
          <w:lang w:val="it-IT"/>
        </w:rPr>
        <w:t>una societ</w:t>
      </w:r>
      <w:r>
        <w:rPr>
          <w:rFonts w:hAnsi="Book Antiqua" w:hint="default"/>
          <w:rtl w:val="0"/>
          <w:lang w:val="it-IT"/>
        </w:rPr>
        <w:t xml:space="preserve">à </w:t>
      </w:r>
      <w:r>
        <w:rPr>
          <w:rFonts w:ascii="Book Antiqua"/>
          <w:rtl w:val="0"/>
          <w:lang w:val="it-IT"/>
        </w:rPr>
        <w:t>che, a nostro avviso (in realt</w:t>
      </w:r>
      <w:r>
        <w:rPr>
          <w:rFonts w:hAnsi="Book Antiqua" w:hint="default"/>
          <w:rtl w:val="0"/>
          <w:lang w:val="it-IT"/>
        </w:rPr>
        <w:t xml:space="preserve">à </w:t>
      </w:r>
      <w:r>
        <w:rPr>
          <w:rFonts w:ascii="Book Antiqua"/>
          <w:rtl w:val="0"/>
          <w:lang w:val="it-IT"/>
        </w:rPr>
        <w:t xml:space="preserve">lo dimostrano anche i fatti), non funziona in maniera egregia e, soprattutto, non tende verso questo modello. </w:t>
      </w:r>
    </w:p>
    <w:p>
      <w:pPr>
        <w:pStyle w:val="Normal"/>
        <w:ind w:left="567" w:right="567" w:firstLine="0"/>
        <w:jc w:val="both"/>
        <w:rPr>
          <w:rFonts w:ascii="Book Antiqua" w:cs="Book Antiqua" w:hAnsi="Book Antiqua" w:eastAsia="Book Antiqua"/>
        </w:rPr>
      </w:pPr>
      <w:r>
        <w:rPr>
          <w:rFonts w:ascii="Book Antiqua"/>
          <w:rtl w:val="0"/>
          <w:lang w:val="it-IT"/>
        </w:rPr>
        <w:t xml:space="preserve">Il nostro obiettivo su AMA, quindi, per quanto riguarda la gestione dei rifiuti </w:t>
      </w:r>
      <w:r>
        <w:rPr>
          <w:rFonts w:hAnsi="Book Antiqua" w:hint="default"/>
          <w:rtl w:val="0"/>
          <w:lang w:val="it-IT"/>
        </w:rPr>
        <w:t xml:space="preserve">– </w:t>
      </w:r>
      <w:r>
        <w:rPr>
          <w:rFonts w:ascii="Book Antiqua"/>
          <w:rtl w:val="0"/>
          <w:lang w:val="it-IT"/>
        </w:rPr>
        <w:t xml:space="preserve">non mi riferisco al lato economico, che pure va anch'esso risanato </w:t>
      </w:r>
      <w:r>
        <w:rPr>
          <w:rFonts w:hAnsi="Book Antiqua" w:hint="default"/>
          <w:rtl w:val="0"/>
          <w:lang w:val="it-IT"/>
        </w:rPr>
        <w:t xml:space="preserve">– è </w:t>
      </w:r>
      <w:r>
        <w:rPr>
          <w:rFonts w:ascii="Book Antiqua"/>
          <w:rtl w:val="0"/>
          <w:lang w:val="it-IT"/>
        </w:rPr>
        <w:t>quello di chiudere il ciclo. Ad oggi, infatti, AMA si occupa della parte probabilmente pi</w:t>
      </w:r>
      <w:r>
        <w:rPr>
          <w:rFonts w:hAnsi="Book Antiqua" w:hint="default"/>
          <w:rtl w:val="0"/>
          <w:lang w:val="it-IT"/>
        </w:rPr>
        <w:t xml:space="preserve">ù </w:t>
      </w:r>
      <w:r>
        <w:rPr>
          <w:rFonts w:ascii="Book Antiqua"/>
          <w:rtl w:val="0"/>
          <w:lang w:val="it-IT"/>
        </w:rPr>
        <w:t>onerosa e pi</w:t>
      </w:r>
      <w:r>
        <w:rPr>
          <w:rFonts w:hAnsi="Book Antiqua" w:hint="default"/>
          <w:rtl w:val="0"/>
          <w:lang w:val="it-IT"/>
        </w:rPr>
        <w:t xml:space="preserve">ù </w:t>
      </w:r>
      <w:r>
        <w:rPr>
          <w:rFonts w:ascii="Book Antiqua"/>
          <w:rtl w:val="0"/>
          <w:lang w:val="it-IT"/>
        </w:rPr>
        <w:t>complessa del processo, che riguarda esattamente la raccolta dei rifiuti; poi, sostanzialmente, AMA paga degli operatori privati affinch</w:t>
      </w:r>
      <w:r>
        <w:rPr>
          <w:rFonts w:hAnsi="Book Antiqua" w:hint="default"/>
          <w:rtl w:val="0"/>
          <w:lang w:val="it-IT"/>
        </w:rPr>
        <w:t xml:space="preserve">é </w:t>
      </w:r>
      <w:r>
        <w:rPr>
          <w:rFonts w:ascii="Book Antiqua"/>
          <w:rtl w:val="0"/>
          <w:lang w:val="it-IT"/>
        </w:rPr>
        <w:t>trattino questi rifiuti e li rivendano sul mercato (detto in modo molto semplice).</w:t>
      </w:r>
    </w:p>
    <w:p>
      <w:pPr>
        <w:pStyle w:val="Normal"/>
        <w:ind w:left="567" w:right="567" w:firstLine="0"/>
        <w:jc w:val="both"/>
        <w:rPr>
          <w:rFonts w:ascii="Book Antiqua" w:cs="Book Antiqua" w:hAnsi="Book Antiqua" w:eastAsia="Book Antiqua"/>
        </w:rPr>
      </w:pPr>
      <w:r>
        <w:rPr>
          <w:rFonts w:ascii="Book Antiqua"/>
          <w:rtl w:val="0"/>
          <w:lang w:val="it-IT"/>
        </w:rPr>
        <w:t>In realt</w:t>
      </w:r>
      <w:r>
        <w:rPr>
          <w:rFonts w:hAnsi="Book Antiqua" w:hint="default"/>
          <w:rtl w:val="0"/>
          <w:lang w:val="it-IT"/>
        </w:rPr>
        <w:t xml:space="preserve">à </w:t>
      </w:r>
      <w:r>
        <w:rPr>
          <w:rFonts w:ascii="Book Antiqua"/>
          <w:rtl w:val="0"/>
          <w:lang w:val="it-IT"/>
        </w:rPr>
        <w:t xml:space="preserve">il nostro obiettivo </w:t>
      </w:r>
      <w:r>
        <w:rPr>
          <w:rFonts w:hAnsi="Book Antiqua" w:hint="default"/>
          <w:rtl w:val="0"/>
          <w:lang w:val="it-IT"/>
        </w:rPr>
        <w:t xml:space="preserve">è </w:t>
      </w:r>
      <w:r>
        <w:rPr>
          <w:rFonts w:ascii="Book Antiqua"/>
          <w:rtl w:val="0"/>
          <w:lang w:val="it-IT"/>
        </w:rPr>
        <w:t>quello di portare AMA a chiudere completamente il ciclo, quindi a diventare titolare non solo della parte relativa alla raccolta, ma anche della parte relativa a tutto il trattamento, affinch</w:t>
      </w:r>
      <w:r>
        <w:rPr>
          <w:rFonts w:hAnsi="Book Antiqua" w:hint="default"/>
          <w:rtl w:val="0"/>
          <w:lang w:val="it-IT"/>
        </w:rPr>
        <w:t xml:space="preserve">é </w:t>
      </w:r>
      <w:r>
        <w:rPr>
          <w:rFonts w:ascii="Book Antiqua"/>
          <w:rtl w:val="0"/>
          <w:lang w:val="it-IT"/>
        </w:rPr>
        <w:t>AMA stessa possa andare a vendere sul mercato quella che viene definita materia prima seconda e quindi possa trarre utilit</w:t>
      </w:r>
      <w:r>
        <w:rPr>
          <w:rFonts w:hAnsi="Book Antiqua" w:hint="default"/>
          <w:rtl w:val="0"/>
          <w:lang w:val="it-IT"/>
        </w:rPr>
        <w:t xml:space="preserve">à </w:t>
      </w:r>
      <w:r>
        <w:rPr>
          <w:rFonts w:ascii="Book Antiqua"/>
          <w:rtl w:val="0"/>
          <w:lang w:val="it-IT"/>
        </w:rPr>
        <w:t>da questa attivit</w:t>
      </w:r>
      <w:r>
        <w:rPr>
          <w:rFonts w:hAnsi="Book Antiqua" w:hint="default"/>
          <w:rtl w:val="0"/>
          <w:lang w:val="it-IT"/>
        </w:rPr>
        <w:t>à</w:t>
      </w:r>
      <w:r>
        <w:rPr>
          <w:rFonts w:ascii="Book Antiqua"/>
          <w:rtl w:val="0"/>
          <w:lang w:val="it-IT"/>
        </w:rPr>
        <w:t xml:space="preserve">. Oggi, sostanzialmente, AMA paga due volte e per noi questo </w:t>
      </w:r>
      <w:r>
        <w:rPr>
          <w:rFonts w:hAnsi="Book Antiqua" w:hint="default"/>
          <w:rtl w:val="0"/>
          <w:lang w:val="it-IT"/>
        </w:rPr>
        <w:t xml:space="preserve">è </w:t>
      </w:r>
      <w:r>
        <w:rPr>
          <w:rFonts w:ascii="Book Antiqua"/>
          <w:rtl w:val="0"/>
          <w:lang w:val="it-IT"/>
        </w:rPr>
        <w:t>decisamente intollerabile. Per fare questo quindi dobbiamo agire sicuramente sul lato aziendale, sul lato della gestione di AMA.</w:t>
      </w:r>
      <w:r>
        <w:rPr>
          <w:rFonts w:hAnsi="Book Antiqua" w:hint="default"/>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Nella stessa audizione del 5 settembre 2016, in merito ai progetti su AMA, Paola Muraro allora assessora alla sostenibilit</w:t>
      </w:r>
      <w:r>
        <w:rPr>
          <w:rFonts w:hAnsi="Book Antiqua" w:hint="default"/>
          <w:rtl w:val="0"/>
          <w:lang w:val="it-IT"/>
        </w:rPr>
        <w:t xml:space="preserve">à </w:t>
      </w:r>
      <w:r>
        <w:rPr>
          <w:rFonts w:ascii="Book Antiqua"/>
          <w:rtl w:val="0"/>
          <w:lang w:val="it-IT"/>
        </w:rPr>
        <w:t xml:space="preserve">ambientale di Roma Capitale ha, inoltre, dichiarato:  </w:t>
      </w:r>
      <w:r>
        <w:rPr>
          <w:rFonts w:hAnsi="Book Antiqua" w:hint="default"/>
          <w:rtl w:val="0"/>
          <w:lang w:val="it-IT"/>
        </w:rPr>
        <w:t>“</w:t>
      </w:r>
      <w:r>
        <w:rPr>
          <w:rFonts w:ascii="Book Antiqua"/>
          <w:rtl w:val="0"/>
          <w:lang w:val="it-IT"/>
        </w:rPr>
        <w:t>Qui c</w:t>
      </w:r>
      <w:r>
        <w:rPr>
          <w:rFonts w:hAnsi="Book Antiqua" w:hint="default"/>
          <w:rtl w:val="0"/>
          <w:lang w:val="it-IT"/>
        </w:rPr>
        <w:t xml:space="preserve">’è </w:t>
      </w:r>
      <w:r>
        <w:rPr>
          <w:rFonts w:ascii="Book Antiqua"/>
          <w:rtl w:val="0"/>
          <w:lang w:val="it-IT"/>
        </w:rPr>
        <w:t>da fare chiarezza sul contratto di servizio perch</w:t>
      </w:r>
      <w:r>
        <w:rPr>
          <w:rFonts w:hAnsi="Book Antiqua" w:hint="default"/>
          <w:rtl w:val="0"/>
          <w:lang w:val="it-IT"/>
        </w:rPr>
        <w:t xml:space="preserve">é </w:t>
      </w:r>
      <w:r>
        <w:rPr>
          <w:rFonts w:ascii="Book Antiqua"/>
          <w:rtl w:val="0"/>
          <w:lang w:val="it-IT"/>
        </w:rPr>
        <w:t>nel 2015 c</w:t>
      </w:r>
      <w:r>
        <w:rPr>
          <w:rFonts w:hAnsi="Book Antiqua" w:hint="default"/>
          <w:rtl w:val="0"/>
          <w:lang w:val="it-IT"/>
        </w:rPr>
        <w:t xml:space="preserve">’è </w:t>
      </w:r>
      <w:r>
        <w:rPr>
          <w:rFonts w:ascii="Book Antiqua"/>
          <w:rtl w:val="0"/>
          <w:lang w:val="it-IT"/>
        </w:rPr>
        <w:t>un affidamento ad AMA su un piano industriale, un affidamento per 15 anni del servizio di igiene urbana e di raccolta; dopodich</w:t>
      </w:r>
      <w:r>
        <w:rPr>
          <w:rFonts w:hAnsi="Book Antiqua" w:hint="default"/>
          <w:rtl w:val="0"/>
          <w:lang w:val="it-IT"/>
        </w:rPr>
        <w:t xml:space="preserve">é </w:t>
      </w:r>
      <w:r>
        <w:rPr>
          <w:rFonts w:ascii="Book Antiqua"/>
          <w:rtl w:val="0"/>
          <w:lang w:val="it-IT"/>
        </w:rPr>
        <w:t xml:space="preserve">segue il contratto di maggio 2016, per 3 anni. </w:t>
      </w:r>
      <w:r>
        <w:rPr>
          <w:rFonts w:hAnsi="Book Antiqua" w:hint="default"/>
          <w:rtl w:val="0"/>
          <w:lang w:val="it-IT"/>
        </w:rPr>
        <w:t>È</w:t>
      </w:r>
      <w:r>
        <w:rPr>
          <w:rFonts w:ascii="Book Antiqua"/>
          <w:rtl w:val="0"/>
          <w:lang w:val="it-IT"/>
        </w:rPr>
        <w:t xml:space="preserve"> ovvio che l</w:t>
      </w:r>
      <w:r>
        <w:rPr>
          <w:rFonts w:hAnsi="Book Antiqua" w:hint="default"/>
          <w:rtl w:val="0"/>
          <w:lang w:val="it-IT"/>
        </w:rPr>
        <w:t>’</w:t>
      </w:r>
      <w:r>
        <w:rPr>
          <w:rFonts w:ascii="Book Antiqua"/>
          <w:rtl w:val="0"/>
          <w:lang w:val="it-IT"/>
        </w:rPr>
        <w:t>affidamento fa riferimento a un piano industriale di AMA in cui c</w:t>
      </w:r>
      <w:r>
        <w:rPr>
          <w:rFonts w:hAnsi="Book Antiqua" w:hint="default"/>
          <w:rtl w:val="0"/>
          <w:lang w:val="it-IT"/>
        </w:rPr>
        <w:t>’</w:t>
      </w:r>
      <w:r>
        <w:rPr>
          <w:rFonts w:ascii="Book Antiqua"/>
          <w:rtl w:val="0"/>
          <w:lang w:val="it-IT"/>
        </w:rPr>
        <w:t>era un</w:t>
      </w:r>
      <w:r>
        <w:rPr>
          <w:rFonts w:hAnsi="Book Antiqua" w:hint="default"/>
          <w:rtl w:val="0"/>
          <w:lang w:val="it-IT"/>
        </w:rPr>
        <w:t>’</w:t>
      </w:r>
      <w:r>
        <w:rPr>
          <w:rFonts w:ascii="Book Antiqua"/>
          <w:rtl w:val="0"/>
          <w:lang w:val="it-IT"/>
        </w:rPr>
        <w:t>impiantistica di riferimento che prevedeva l</w:t>
      </w:r>
      <w:r>
        <w:rPr>
          <w:rFonts w:hAnsi="Book Antiqua" w:hint="default"/>
          <w:rtl w:val="0"/>
          <w:lang w:val="it-IT"/>
        </w:rPr>
        <w:t>’</w:t>
      </w:r>
      <w:r>
        <w:rPr>
          <w:rFonts w:ascii="Book Antiqua"/>
          <w:rtl w:val="0"/>
          <w:lang w:val="it-IT"/>
        </w:rPr>
        <w:t>avvio di un impianto di compostaggio a fine 2015 (Ponte Malnome e altri due impianti, o Ponte Malnome e Salario, adesso non ricordo), cio</w:t>
      </w:r>
      <w:r>
        <w:rPr>
          <w:rFonts w:hAnsi="Book Antiqua" w:hint="default"/>
          <w:rtl w:val="0"/>
          <w:lang w:val="it-IT"/>
        </w:rPr>
        <w:t>è</w:t>
      </w:r>
      <w:r>
        <w:rPr>
          <w:rFonts w:ascii="Book Antiqua"/>
          <w:rtl w:val="0"/>
          <w:lang w:val="it-IT"/>
        </w:rPr>
        <w:t>, comunque, con due tipi di impianti di multimateriale in avviamento e un terzo nel 2018. [</w:t>
      </w:r>
      <w:r>
        <w:rPr>
          <w:rFonts w:hAnsi="Book Antiqua" w:hint="default"/>
          <w:rtl w:val="0"/>
          <w:lang w:val="it-IT"/>
        </w:rPr>
        <w:t>…</w:t>
      </w:r>
      <w:r>
        <w:rPr>
          <w:rFonts w:ascii="Book Antiqua"/>
          <w:rtl w:val="0"/>
          <w:lang w:val="it-IT"/>
        </w:rPr>
        <w:t>] Dobbiamo riprendere in mano il piano industriale [di AMA] perch</w:t>
      </w:r>
      <w:r>
        <w:rPr>
          <w:rFonts w:hAnsi="Book Antiqua" w:hint="default"/>
          <w:rtl w:val="0"/>
          <w:lang w:val="it-IT"/>
        </w:rPr>
        <w:t xml:space="preserve">é è </w:t>
      </w:r>
      <w:r>
        <w:rPr>
          <w:rFonts w:ascii="Book Antiqua"/>
          <w:rtl w:val="0"/>
          <w:lang w:val="it-IT"/>
        </w:rPr>
        <w:t>legato a un affidamento, quindi c'</w:t>
      </w:r>
      <w:r>
        <w:rPr>
          <w:rFonts w:hAnsi="Book Antiqua" w:hint="default"/>
          <w:rtl w:val="0"/>
          <w:lang w:val="it-IT"/>
        </w:rPr>
        <w:t xml:space="preserve">è </w:t>
      </w:r>
      <w:r>
        <w:rPr>
          <w:rFonts w:ascii="Book Antiqua"/>
          <w:rtl w:val="0"/>
          <w:lang w:val="it-IT"/>
        </w:rPr>
        <w:t>un problema di altro genere e dobbiamo comunque passare per l'Assemblea capitolina. C'</w:t>
      </w:r>
      <w:r>
        <w:rPr>
          <w:rFonts w:hAnsi="Book Antiqua" w:hint="default"/>
          <w:rtl w:val="0"/>
          <w:lang w:val="it-IT"/>
        </w:rPr>
        <w:t xml:space="preserve">è </w:t>
      </w:r>
      <w:r>
        <w:rPr>
          <w:rFonts w:ascii="Book Antiqua"/>
          <w:rtl w:val="0"/>
          <w:lang w:val="it-IT"/>
        </w:rPr>
        <w:t>tutto un</w:t>
      </w:r>
      <w:r>
        <w:rPr>
          <w:rFonts w:ascii="Book Antiqua"/>
          <w:i w:val="1"/>
          <w:iCs w:val="1"/>
          <w:rtl w:val="0"/>
          <w:lang w:val="it-IT"/>
        </w:rPr>
        <w:t xml:space="preserve"> iter</w:t>
      </w:r>
      <w:r>
        <w:rPr>
          <w:rFonts w:ascii="Book Antiqua"/>
          <w:rtl w:val="0"/>
          <w:lang w:val="it-IT"/>
        </w:rPr>
        <w:t xml:space="preserve"> da rimettere in piedi, quindi, iniziamo a lavorare : questo </w:t>
      </w:r>
      <w:r>
        <w:rPr>
          <w:rFonts w:hAnsi="Book Antiqua" w:hint="default"/>
          <w:rtl w:val="0"/>
          <w:lang w:val="it-IT"/>
        </w:rPr>
        <w:t>è”</w:t>
      </w:r>
      <w:r>
        <w:rPr>
          <w:rFonts w:ascii="Book Antiqua"/>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In merito all</w:t>
      </w:r>
      <w:r>
        <w:rPr>
          <w:rFonts w:hAnsi="Book Antiqua" w:hint="default"/>
          <w:rtl w:val="0"/>
          <w:lang w:val="it-IT"/>
        </w:rPr>
        <w:t>’</w:t>
      </w:r>
      <w:r>
        <w:rPr>
          <w:rFonts w:ascii="Book Antiqua"/>
          <w:rtl w:val="0"/>
          <w:lang w:val="it-IT"/>
        </w:rPr>
        <w:t xml:space="preserve">impiantistica disponibile la sindaca Raggi, allora a pochi mesi dal suo insediamento, aveva inoltre delineato le intenzioni della nuova Giunta: </w:t>
      </w:r>
      <w:r>
        <w:rPr>
          <w:rFonts w:hAnsi="Book Antiqua" w:hint="default"/>
          <w:rtl w:val="0"/>
          <w:lang w:val="it-IT"/>
        </w:rPr>
        <w:t>“</w:t>
      </w:r>
      <w:r>
        <w:rPr>
          <w:rFonts w:ascii="Book Antiqua"/>
          <w:rtl w:val="0"/>
          <w:lang w:val="it-IT"/>
        </w:rPr>
        <w:t>Noi abbiamo visto che AMA aveva predisposto e aveva l'intenzione di aprire altre 30 o 32 isole ecologiche; siamo tuttavia arrivati in queste piazzole gi</w:t>
      </w:r>
      <w:r>
        <w:rPr>
          <w:rFonts w:hAnsi="Book Antiqua" w:hint="default"/>
          <w:rtl w:val="0"/>
          <w:lang w:val="it-IT"/>
        </w:rPr>
        <w:t xml:space="preserve">à </w:t>
      </w:r>
      <w:r>
        <w:rPr>
          <w:rFonts w:ascii="Book Antiqua"/>
          <w:rtl w:val="0"/>
          <w:lang w:val="it-IT"/>
        </w:rPr>
        <w:t>esistenti e abbiamo trovato delle vere e proprie discariche abusive, quindi abbiamo proceduto immediatamente a sollecitare AMA alla bonifica di queste aree perch</w:t>
      </w:r>
      <w:r>
        <w:rPr>
          <w:rFonts w:hAnsi="Book Antiqua" w:hint="default"/>
          <w:rtl w:val="0"/>
          <w:lang w:val="it-IT"/>
        </w:rPr>
        <w:t xml:space="preserve">é è </w:t>
      </w:r>
      <w:r>
        <w:rPr>
          <w:rFonts w:ascii="Book Antiqua"/>
          <w:rtl w:val="0"/>
          <w:lang w:val="it-IT"/>
        </w:rPr>
        <w:t>evidente che se sono delle discariche non ci si pu</w:t>
      </w:r>
      <w:r>
        <w:rPr>
          <w:rFonts w:hAnsi="Book Antiqua" w:hint="default"/>
          <w:rtl w:val="0"/>
          <w:lang w:val="it-IT"/>
        </w:rPr>
        <w:t xml:space="preserve">ò </w:t>
      </w:r>
      <w:r>
        <w:rPr>
          <w:rFonts w:ascii="Book Antiqua"/>
          <w:rtl w:val="0"/>
          <w:lang w:val="it-IT"/>
        </w:rPr>
        <w:t>fare niente, quindi dobbiamo bonificarle e iniziare a costruire mini-isole ecologiche in ogni municipio.</w:t>
      </w:r>
    </w:p>
    <w:p>
      <w:pPr>
        <w:pStyle w:val="Normal"/>
        <w:ind w:left="567" w:right="567" w:firstLine="0"/>
        <w:jc w:val="both"/>
        <w:rPr>
          <w:rFonts w:ascii="Book Antiqua" w:cs="Book Antiqua" w:hAnsi="Book Antiqua" w:eastAsia="Book Antiqua"/>
        </w:rPr>
      </w:pPr>
      <w:r>
        <w:rPr>
          <w:rFonts w:ascii="Book Antiqua"/>
          <w:rtl w:val="0"/>
          <w:lang w:val="it-IT"/>
        </w:rPr>
        <w:t>[</w:t>
      </w:r>
      <w:r>
        <w:rPr>
          <w:rFonts w:hAnsi="Book Antiqua" w:hint="default"/>
          <w:rtl w:val="0"/>
          <w:lang w:val="it-IT"/>
        </w:rPr>
        <w:t>…</w:t>
      </w:r>
      <w:r>
        <w:rPr>
          <w:rFonts w:ascii="Book Antiqua"/>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Dobbiamo verificare i contratti di conferimento presso impianti di terzi, verificare le capacit</w:t>
      </w:r>
      <w:r>
        <w:rPr>
          <w:rFonts w:hAnsi="Book Antiqua" w:hint="default"/>
          <w:rtl w:val="0"/>
          <w:lang w:val="it-IT"/>
        </w:rPr>
        <w:t xml:space="preserve">à </w:t>
      </w:r>
      <w:r>
        <w:rPr>
          <w:rFonts w:ascii="Book Antiqua"/>
          <w:rtl w:val="0"/>
          <w:lang w:val="it-IT"/>
        </w:rPr>
        <w:t>incrementali di ricezione degli stessi, soprattutto in occasione di eventuali eventi critici come ad esempio uno sciopero; dobbiamo ampliare la platea dei siti finali per lo smaltimento e il recupero, dobbiamo attivare  contratti di conferimento verso altri impianti di nostra propriet</w:t>
      </w:r>
      <w:r>
        <w:rPr>
          <w:rFonts w:hAnsi="Book Antiqua" w:hint="default"/>
          <w:rtl w:val="0"/>
          <w:lang w:val="it-IT"/>
        </w:rPr>
        <w:t xml:space="preserve">à </w:t>
      </w:r>
      <w:r>
        <w:rPr>
          <w:rFonts w:ascii="Book Antiqua"/>
          <w:rtl w:val="0"/>
          <w:lang w:val="it-IT"/>
        </w:rPr>
        <w:t xml:space="preserve">e dobbiamo soprattutto intervenire, unitamente alla regione e al Ministero, per rielaborare o comunque ammodernare il nuovo piano di smaltimento dei rifiuti. Attualmente, mi sembra che quello regionale sia fermo al 2012. Questo </w:t>
      </w:r>
      <w:r>
        <w:rPr>
          <w:rFonts w:hAnsi="Book Antiqua" w:hint="default"/>
          <w:rtl w:val="0"/>
          <w:lang w:val="it-IT"/>
        </w:rPr>
        <w:t xml:space="preserve">è </w:t>
      </w:r>
      <w:r>
        <w:rPr>
          <w:rFonts w:ascii="Book Antiqua"/>
          <w:rtl w:val="0"/>
          <w:lang w:val="it-IT"/>
        </w:rPr>
        <w:t>un po</w:t>
      </w:r>
      <w:r>
        <w:rPr>
          <w:rFonts w:hAnsi="Book Antiqua" w:hint="default"/>
          <w:rtl w:val="0"/>
          <w:lang w:val="it-IT"/>
        </w:rPr>
        <w:t xml:space="preserve">’ </w:t>
      </w:r>
      <w:r>
        <w:rPr>
          <w:rFonts w:ascii="Book Antiqua"/>
          <w:rtl w:val="0"/>
          <w:lang w:val="it-IT"/>
        </w:rPr>
        <w:t>il nostro obiettivo.</w:t>
      </w:r>
    </w:p>
    <w:p>
      <w:pPr>
        <w:pStyle w:val="Normal"/>
        <w:ind w:left="567" w:right="567" w:firstLine="0"/>
        <w:jc w:val="both"/>
        <w:rPr>
          <w:rFonts w:ascii="Book Antiqua" w:cs="Book Antiqua" w:hAnsi="Book Antiqua" w:eastAsia="Book Antiqua"/>
        </w:rPr>
      </w:pPr>
      <w:r>
        <w:rPr>
          <w:rFonts w:ascii="Book Antiqua"/>
          <w:rtl w:val="0"/>
          <w:lang w:val="it-IT"/>
        </w:rPr>
        <w:t>[</w:t>
      </w:r>
      <w:r>
        <w:rPr>
          <w:rFonts w:hAnsi="Book Antiqua" w:hint="default"/>
          <w:rtl w:val="0"/>
          <w:lang w:val="it-IT"/>
        </w:rPr>
        <w:t>…</w:t>
      </w:r>
      <w:r>
        <w:rPr>
          <w:rFonts w:ascii="Book Antiqua"/>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 xml:space="preserve">Che il sistema sia vetusto e sottodimensionato, soprattutto per la nostra idea di gestione dei rifiuti, </w:t>
      </w:r>
      <w:r>
        <w:rPr>
          <w:rFonts w:hAnsi="Book Antiqua" w:hint="default"/>
          <w:rtl w:val="0"/>
          <w:lang w:val="it-IT"/>
        </w:rPr>
        <w:t xml:space="preserve">è </w:t>
      </w:r>
      <w:r>
        <w:rPr>
          <w:rFonts w:ascii="Book Antiqua"/>
          <w:rtl w:val="0"/>
          <w:lang w:val="it-IT"/>
        </w:rPr>
        <w:t>senza dubbio vero: ve l</w:t>
      </w:r>
      <w:r>
        <w:rPr>
          <w:rFonts w:hAnsi="Book Antiqua" w:hint="default"/>
          <w:rtl w:val="0"/>
          <w:lang w:val="it-IT"/>
        </w:rPr>
        <w:t>’</w:t>
      </w:r>
      <w:r>
        <w:rPr>
          <w:rFonts w:ascii="Book Antiqua"/>
          <w:rtl w:val="0"/>
          <w:lang w:val="it-IT"/>
        </w:rPr>
        <w:t xml:space="preserve">ho detto prima. La nostra idea </w:t>
      </w:r>
      <w:r>
        <w:rPr>
          <w:rFonts w:hAnsi="Book Antiqua" w:hint="default"/>
          <w:rtl w:val="0"/>
          <w:lang w:val="it-IT"/>
        </w:rPr>
        <w:t xml:space="preserve">è </w:t>
      </w:r>
      <w:r>
        <w:rPr>
          <w:rFonts w:ascii="Book Antiqua"/>
          <w:rtl w:val="0"/>
          <w:lang w:val="it-IT"/>
        </w:rPr>
        <w:t>proprio quella di aumentare le isole ecologiche, costruire centri di riuso, riparazione e riciclo, aumentare i centri di compostaggio (oggi ne abbiamo praticamente uno, che peraltro non produce compost di ottima qualit</w:t>
      </w:r>
      <w:r>
        <w:rPr>
          <w:rFonts w:hAnsi="Book Antiqua" w:hint="default"/>
          <w:rtl w:val="0"/>
          <w:lang w:val="it-IT"/>
        </w:rPr>
        <w:t>à</w:t>
      </w:r>
      <w:r>
        <w:rPr>
          <w:rFonts w:ascii="Book Antiqua"/>
          <w:rtl w:val="0"/>
          <w:lang w:val="it-IT"/>
        </w:rPr>
        <w:t>). Dobbiamo imparare tutti a fare un po</w:t>
      </w:r>
      <w:r>
        <w:rPr>
          <w:rFonts w:hAnsi="Book Antiqua" w:hint="default"/>
          <w:rtl w:val="0"/>
          <w:lang w:val="it-IT"/>
        </w:rPr>
        <w:t xml:space="preserve">’ </w:t>
      </w:r>
      <w:r>
        <w:rPr>
          <w:rFonts w:ascii="Book Antiqua"/>
          <w:rtl w:val="0"/>
          <w:lang w:val="it-IT"/>
        </w:rPr>
        <w:t xml:space="preserve">meglio la differenziata. </w:t>
      </w:r>
      <w:r>
        <w:rPr>
          <w:rFonts w:hAnsi="Book Antiqua" w:hint="default"/>
          <w:rtl w:val="0"/>
          <w:lang w:val="it-IT"/>
        </w:rPr>
        <w:t xml:space="preserve">È </w:t>
      </w:r>
      <w:r>
        <w:rPr>
          <w:rFonts w:ascii="Book Antiqua"/>
          <w:rtl w:val="0"/>
          <w:lang w:val="it-IT"/>
        </w:rPr>
        <w:t>chiaro che pi</w:t>
      </w:r>
      <w:r>
        <w:rPr>
          <w:rFonts w:hAnsi="Book Antiqua" w:hint="default"/>
          <w:rtl w:val="0"/>
          <w:lang w:val="it-IT"/>
        </w:rPr>
        <w:t xml:space="preserve">ù </w:t>
      </w:r>
      <w:r>
        <w:rPr>
          <w:rFonts w:ascii="Book Antiqua"/>
          <w:rtl w:val="0"/>
          <w:lang w:val="it-IT"/>
        </w:rPr>
        <w:t>differenziamo, pi</w:t>
      </w:r>
      <w:r>
        <w:rPr>
          <w:rFonts w:hAnsi="Book Antiqua" w:hint="default"/>
          <w:rtl w:val="0"/>
          <w:lang w:val="it-IT"/>
        </w:rPr>
        <w:t xml:space="preserve">ù </w:t>
      </w:r>
      <w:r>
        <w:rPr>
          <w:rFonts w:ascii="Book Antiqua"/>
          <w:rtl w:val="0"/>
          <w:lang w:val="it-IT"/>
        </w:rPr>
        <w:t xml:space="preserve">possiamo abbattere la frazione non riciclabile dei rifiuti. Ripeto che auspichiamo </w:t>
      </w:r>
      <w:r>
        <w:rPr>
          <w:rFonts w:hAnsi="Book Antiqua" w:hint="default"/>
          <w:rtl w:val="0"/>
          <w:lang w:val="it-IT"/>
        </w:rPr>
        <w:t xml:space="preserve">– </w:t>
      </w:r>
      <w:r>
        <w:rPr>
          <w:rFonts w:ascii="Book Antiqua"/>
          <w:rtl w:val="0"/>
          <w:lang w:val="it-IT"/>
        </w:rPr>
        <w:t>auspicherei un intervento in tal senso anche del Governo, ma non credo sia questa la sede, ma ne parler</w:t>
      </w:r>
      <w:r>
        <w:rPr>
          <w:rFonts w:hAnsi="Book Antiqua" w:hint="default"/>
          <w:rtl w:val="0"/>
          <w:lang w:val="it-IT"/>
        </w:rPr>
        <w:t>ò</w:t>
      </w:r>
      <w:r>
        <w:rPr>
          <w:rFonts w:ascii="Book Antiqua"/>
          <w:rtl w:val="0"/>
          <w:lang w:val="it-IT"/>
        </w:rPr>
        <w:t>, poi, direttamente con chi di dovere che si possa sostenere la ricerca di tutte quelle societ</w:t>
      </w:r>
      <w:r>
        <w:rPr>
          <w:rFonts w:hAnsi="Book Antiqua" w:hint="default"/>
          <w:rtl w:val="0"/>
          <w:lang w:val="it-IT"/>
        </w:rPr>
        <w:t>à</w:t>
      </w:r>
      <w:r>
        <w:rPr>
          <w:rFonts w:ascii="Book Antiqua"/>
          <w:rtl w:val="0"/>
          <w:lang w:val="it-IT"/>
        </w:rPr>
        <w:t>, di quelle imprese, che vogliono provare a trovare nuovi utilizzi anche per la frazione non recuperabile dei rifiuti. Ovviamente, noi come comune faremo il nostro.</w:t>
      </w:r>
    </w:p>
    <w:p>
      <w:pPr>
        <w:pStyle w:val="Normal"/>
        <w:ind w:left="567" w:right="567" w:firstLine="0"/>
        <w:jc w:val="both"/>
        <w:rPr>
          <w:rFonts w:ascii="Book Antiqua" w:cs="Book Antiqua" w:hAnsi="Book Antiqua" w:eastAsia="Book Antiqua"/>
        </w:rPr>
      </w:pPr>
      <w:r>
        <w:rPr>
          <w:rFonts w:ascii="Book Antiqua"/>
          <w:rtl w:val="0"/>
          <w:lang w:val="it-IT"/>
        </w:rPr>
        <w:t>[</w:t>
      </w:r>
      <w:r>
        <w:rPr>
          <w:rFonts w:hAnsi="Book Antiqua" w:hint="default"/>
          <w:rtl w:val="0"/>
          <w:lang w:val="it-IT"/>
        </w:rPr>
        <w:t>…</w:t>
      </w:r>
      <w:r>
        <w:rPr>
          <w:rFonts w:ascii="Book Antiqua"/>
          <w:rtl w:val="0"/>
          <w:lang w:val="it-IT"/>
        </w:rPr>
        <w:t>]</w:t>
      </w:r>
    </w:p>
    <w:p>
      <w:pPr>
        <w:pStyle w:val="Normal"/>
        <w:ind w:left="567" w:right="567" w:firstLine="0"/>
        <w:jc w:val="both"/>
        <w:rPr>
          <w:rFonts w:ascii="Book Antiqua" w:cs="Book Antiqua" w:hAnsi="Book Antiqua" w:eastAsia="Book Antiqua"/>
        </w:rPr>
      </w:pPr>
      <w:r>
        <w:rPr>
          <w:rFonts w:hAnsi="Book Antiqua" w:hint="default"/>
          <w:rtl w:val="0"/>
          <w:lang w:val="it-IT"/>
        </w:rPr>
        <w:t xml:space="preserve">è </w:t>
      </w:r>
      <w:r>
        <w:rPr>
          <w:rFonts w:ascii="Book Antiqua"/>
          <w:rtl w:val="0"/>
          <w:lang w:val="it-IT"/>
        </w:rPr>
        <w:t>chiaro che, pi</w:t>
      </w:r>
      <w:r>
        <w:rPr>
          <w:rFonts w:hAnsi="Book Antiqua" w:hint="default"/>
          <w:rtl w:val="0"/>
          <w:lang w:val="it-IT"/>
        </w:rPr>
        <w:t xml:space="preserve">ù </w:t>
      </w:r>
      <w:r>
        <w:rPr>
          <w:rFonts w:ascii="Book Antiqua"/>
          <w:rtl w:val="0"/>
          <w:lang w:val="it-IT"/>
        </w:rPr>
        <w:t>noi agiamo sul fronte della prevenzione, sul fronte del riciclo, sul fronte del riutilizzo, pi</w:t>
      </w:r>
      <w:r>
        <w:rPr>
          <w:rFonts w:hAnsi="Book Antiqua" w:hint="default"/>
          <w:rtl w:val="0"/>
          <w:lang w:val="it-IT"/>
        </w:rPr>
        <w:t xml:space="preserve">ù </w:t>
      </w:r>
      <w:r>
        <w:rPr>
          <w:rFonts w:ascii="Book Antiqua"/>
          <w:rtl w:val="0"/>
          <w:lang w:val="it-IT"/>
        </w:rPr>
        <w:t>abbattiamo, parallelamente, la quota di rifiuti indifferenziati che oggi viene trattata nei nostri impianti, cio</w:t>
      </w:r>
      <w:r>
        <w:rPr>
          <w:rFonts w:hAnsi="Book Antiqua" w:hint="default"/>
          <w:rtl w:val="0"/>
          <w:lang w:val="it-IT"/>
        </w:rPr>
        <w:t xml:space="preserve">è </w:t>
      </w:r>
      <w:r>
        <w:rPr>
          <w:rFonts w:ascii="Book Antiqua"/>
          <w:rtl w:val="0"/>
          <w:lang w:val="it-IT"/>
        </w:rPr>
        <w:t>nell</w:t>
      </w:r>
      <w:r>
        <w:rPr>
          <w:rFonts w:hAnsi="Book Antiqua" w:hint="default"/>
          <w:rtl w:val="0"/>
          <w:lang w:val="it-IT"/>
        </w:rPr>
        <w:t>’</w:t>
      </w:r>
      <w:r>
        <w:rPr>
          <w:rFonts w:ascii="Book Antiqua"/>
          <w:rtl w:val="0"/>
          <w:lang w:val="it-IT"/>
        </w:rPr>
        <w:t>impianto di Co.La.Ri., di Malagrotta, che vede il CDR smaltito nei termovalorizzatori e la FOS, la frazione umida, tendenzialmente utilizzata nelle discariche e seppellita, mentre sappiamo che ci sono aziende e societ</w:t>
      </w:r>
      <w:r>
        <w:rPr>
          <w:rFonts w:hAnsi="Book Antiqua" w:hint="default"/>
          <w:rtl w:val="0"/>
          <w:lang w:val="it-IT"/>
        </w:rPr>
        <w:t xml:space="preserve">à </w:t>
      </w:r>
      <w:r>
        <w:rPr>
          <w:rFonts w:ascii="Book Antiqua"/>
          <w:rtl w:val="0"/>
          <w:lang w:val="it-IT"/>
        </w:rPr>
        <w:t>che si occupano di ricerca per riutilizzare il pi</w:t>
      </w:r>
      <w:r>
        <w:rPr>
          <w:rFonts w:hAnsi="Book Antiqua" w:hint="default"/>
          <w:rtl w:val="0"/>
          <w:lang w:val="it-IT"/>
        </w:rPr>
        <w:t>ù</w:t>
      </w:r>
      <w:r>
        <w:rPr>
          <w:rFonts w:ascii="Book Antiqua"/>
          <w:rtl w:val="0"/>
          <w:lang w:val="it-IT"/>
        </w:rPr>
        <w:t xml:space="preserve"> possibile sia il CDR che la FOS. Dobbiamo in qualche modo incentivare la ricerca di tutte quelle attivit</w:t>
      </w:r>
      <w:r>
        <w:rPr>
          <w:rFonts w:hAnsi="Book Antiqua" w:hint="default"/>
          <w:rtl w:val="0"/>
          <w:lang w:val="it-IT"/>
        </w:rPr>
        <w:t xml:space="preserve">à </w:t>
      </w:r>
      <w:r>
        <w:rPr>
          <w:rFonts w:ascii="Book Antiqua"/>
          <w:rtl w:val="0"/>
          <w:lang w:val="it-IT"/>
        </w:rPr>
        <w:t>che ci consentano di abbattere la quota di rifiuti conferiti all</w:t>
      </w:r>
      <w:r>
        <w:rPr>
          <w:rFonts w:hAnsi="Book Antiqua" w:hint="default"/>
          <w:rtl w:val="0"/>
          <w:lang w:val="it-IT"/>
        </w:rPr>
        <w:t>’</w:t>
      </w:r>
      <w:r>
        <w:rPr>
          <w:rFonts w:ascii="Book Antiqua"/>
          <w:rtl w:val="0"/>
          <w:lang w:val="it-IT"/>
        </w:rPr>
        <w:t xml:space="preserve">interno dei TMB, quindi la quota di rifiuti indifferenziati, proprio per riutilizzare anche quella parte. Questo, a grandi linee, </w:t>
      </w:r>
      <w:r>
        <w:rPr>
          <w:rFonts w:hAnsi="Book Antiqua" w:hint="default"/>
          <w:rtl w:val="0"/>
          <w:lang w:val="it-IT"/>
        </w:rPr>
        <w:t>è</w:t>
      </w:r>
      <w:r>
        <w:rPr>
          <w:rFonts w:ascii="Book Antiqua"/>
          <w:rtl w:val="0"/>
          <w:lang w:val="it-IT"/>
        </w:rPr>
        <w:t xml:space="preserve"> il nostro il nostro programma.</w:t>
      </w:r>
    </w:p>
    <w:p>
      <w:pPr>
        <w:pStyle w:val="Normal"/>
        <w:ind w:left="567" w:right="567" w:firstLine="0"/>
        <w:jc w:val="both"/>
        <w:rPr>
          <w:rFonts w:ascii="Book Antiqua" w:cs="Book Antiqua" w:hAnsi="Book Antiqua" w:eastAsia="Book Antiqua"/>
        </w:rPr>
      </w:pPr>
      <w:r>
        <w:rPr>
          <w:rFonts w:ascii="Book Antiqua"/>
          <w:rtl w:val="0"/>
          <w:lang w:val="it-IT"/>
        </w:rPr>
        <w:t>[</w:t>
      </w:r>
      <w:r>
        <w:rPr>
          <w:rFonts w:hAnsi="Book Antiqua" w:hint="default"/>
          <w:rtl w:val="0"/>
          <w:lang w:val="it-IT"/>
        </w:rPr>
        <w:t>…</w:t>
      </w:r>
      <w:r>
        <w:rPr>
          <w:rFonts w:ascii="Book Antiqua"/>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Per quanto riguarda proprio gli impianti di propriet</w:t>
      </w:r>
      <w:r>
        <w:rPr>
          <w:rFonts w:hAnsi="Book Antiqua" w:hint="default"/>
          <w:rtl w:val="0"/>
          <w:lang w:val="it-IT"/>
        </w:rPr>
        <w:t xml:space="preserve">à </w:t>
      </w:r>
      <w:r>
        <w:rPr>
          <w:rFonts w:ascii="Book Antiqua"/>
          <w:rtl w:val="0"/>
          <w:lang w:val="it-IT"/>
        </w:rPr>
        <w:t xml:space="preserve">AMA, Ponte Malnome e Rocca Cencia, dobbiamo entro dicembre 2016 </w:t>
      </w:r>
      <w:r>
        <w:rPr>
          <w:rFonts w:hAnsi="Book Antiqua" w:hint="default"/>
          <w:rtl w:val="0"/>
          <w:lang w:val="it-IT"/>
        </w:rPr>
        <w:t xml:space="preserve">– </w:t>
      </w:r>
      <w:r>
        <w:rPr>
          <w:rFonts w:ascii="Book Antiqua"/>
          <w:rtl w:val="0"/>
          <w:lang w:val="it-IT"/>
        </w:rPr>
        <w:t xml:space="preserve">riguarda le azioni che stavo leggendo prima </w:t>
      </w:r>
      <w:r>
        <w:rPr>
          <w:rFonts w:hAnsi="Book Antiqua" w:hint="default"/>
          <w:rtl w:val="0"/>
          <w:lang w:val="it-IT"/>
        </w:rPr>
        <w:t xml:space="preserve">– </w:t>
      </w:r>
      <w:r>
        <w:rPr>
          <w:rFonts w:ascii="Book Antiqua"/>
          <w:rtl w:val="0"/>
          <w:lang w:val="it-IT"/>
        </w:rPr>
        <w:t>presentare tutte le istanze autorizzative per il recupero di circa 300 tonnellate al giorno di frazione secca di multimateriale. Anche questo ci consentir</w:t>
      </w:r>
      <w:r>
        <w:rPr>
          <w:rFonts w:hAnsi="Book Antiqua" w:hint="default"/>
          <w:rtl w:val="0"/>
          <w:lang w:val="it-IT"/>
        </w:rPr>
        <w:t xml:space="preserve">à </w:t>
      </w:r>
      <w:r>
        <w:rPr>
          <w:rFonts w:ascii="Book Antiqua"/>
          <w:rtl w:val="0"/>
          <w:lang w:val="it-IT"/>
        </w:rPr>
        <w:t>di aumentare gli impianti attualmente coinvolti nella gestione del ciclo dei rifiuti. Questo andrebbe fatto entro dicembre.</w:t>
      </w:r>
    </w:p>
    <w:p>
      <w:pPr>
        <w:pStyle w:val="Normal"/>
        <w:ind w:left="567" w:right="567" w:firstLine="0"/>
        <w:jc w:val="both"/>
        <w:rPr>
          <w:rFonts w:ascii="Book Antiqua" w:cs="Book Antiqua" w:hAnsi="Book Antiqua" w:eastAsia="Book Antiqua"/>
        </w:rPr>
      </w:pPr>
      <w:r>
        <w:rPr>
          <w:rFonts w:ascii="Book Antiqua"/>
          <w:rtl w:val="0"/>
          <w:lang w:val="it-IT"/>
        </w:rPr>
        <w:t>[</w:t>
      </w:r>
      <w:r>
        <w:rPr>
          <w:rFonts w:hAnsi="Book Antiqua" w:hint="default"/>
          <w:rtl w:val="0"/>
          <w:lang w:val="it-IT"/>
        </w:rPr>
        <w:t>…</w:t>
      </w:r>
      <w:r>
        <w:rPr>
          <w:rFonts w:ascii="Book Antiqua"/>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Noi vogliamo proprio che AMA diventi padrone dell'intero ciclo dei rifiuti, quindi, sostanzialmente, vogliamo togliere i privati per quanto riguarda anche il trattamento del materiale e vogliamo essere noi a venderlo al mercato</w:t>
      </w:r>
      <w:r>
        <w:rPr>
          <w:rFonts w:hAnsi="Book Antiqua" w:hint="default"/>
          <w:rtl w:val="0"/>
          <w:lang w:val="it-IT"/>
        </w:rPr>
        <w:t>”</w:t>
      </w:r>
      <w:r>
        <w:rPr>
          <w:rFonts w:ascii="Book Antiqua" w:cs="Book Antiqua" w:hAnsi="Book Antiqua" w:eastAsia="Book Antiqua"/>
          <w:vertAlign w:val="superscript"/>
          <w:rtl w:val="0"/>
        </w:rPr>
        <w:footnoteReference w:id="130"/>
      </w:r>
    </w:p>
    <w:p>
      <w:pPr>
        <w:pStyle w:val="Normal"/>
        <w:ind w:left="567" w:right="567" w:firstLine="0"/>
        <w:jc w:val="both"/>
        <w:rPr>
          <w:rFonts w:ascii="Book Antiqua" w:cs="Book Antiqua" w:hAnsi="Book Antiqua" w:eastAsia="Book Antiqua"/>
        </w:rPr>
      </w:pPr>
      <w:r>
        <w:rPr>
          <w:rFonts w:ascii="Book Antiqua"/>
          <w:rtl w:val="0"/>
          <w:lang w:val="it-IT"/>
        </w:rPr>
        <w:t>Sempre il 5 settembre 2016 anche l</w:t>
      </w:r>
      <w:r>
        <w:rPr>
          <w:rFonts w:hAnsi="Book Antiqua" w:hint="default"/>
          <w:rtl w:val="0"/>
          <w:lang w:val="it-IT"/>
        </w:rPr>
        <w:t>’</w:t>
      </w:r>
      <w:r>
        <w:rPr>
          <w:rFonts w:ascii="Book Antiqua"/>
          <w:rtl w:val="0"/>
          <w:lang w:val="it-IT"/>
        </w:rPr>
        <w:t xml:space="preserve">assessora Muraro </w:t>
      </w:r>
      <w:r>
        <w:rPr>
          <w:rFonts w:hAnsi="Book Antiqua" w:hint="default"/>
          <w:rtl w:val="0"/>
          <w:lang w:val="it-IT"/>
        </w:rPr>
        <w:t xml:space="preserve">è </w:t>
      </w:r>
      <w:r>
        <w:rPr>
          <w:rFonts w:ascii="Book Antiqua"/>
          <w:rtl w:val="0"/>
          <w:lang w:val="it-IT"/>
        </w:rPr>
        <w:t>intervenuta sul tema dell</w:t>
      </w:r>
      <w:r>
        <w:rPr>
          <w:rFonts w:hAnsi="Book Antiqua" w:hint="default"/>
          <w:rtl w:val="0"/>
          <w:lang w:val="it-IT"/>
        </w:rPr>
        <w:t>’</w:t>
      </w:r>
      <w:r>
        <w:rPr>
          <w:rFonts w:ascii="Book Antiqua"/>
          <w:rtl w:val="0"/>
          <w:lang w:val="it-IT"/>
        </w:rPr>
        <w:t>impiantistica, dettagliando cos</w:t>
      </w:r>
      <w:r>
        <w:rPr>
          <w:rFonts w:hAnsi="Book Antiqua" w:hint="default"/>
          <w:rtl w:val="0"/>
          <w:lang w:val="it-IT"/>
        </w:rPr>
        <w:t xml:space="preserve">ì </w:t>
      </w:r>
      <w:r>
        <w:rPr>
          <w:rFonts w:ascii="Book Antiqua"/>
          <w:rtl w:val="0"/>
          <w:lang w:val="it-IT"/>
        </w:rPr>
        <w:t>le intenzioni dell</w:t>
      </w:r>
      <w:r>
        <w:rPr>
          <w:rFonts w:hAnsi="Book Antiqua" w:hint="default"/>
          <w:rtl w:val="0"/>
          <w:lang w:val="it-IT"/>
        </w:rPr>
        <w:t>’</w:t>
      </w:r>
      <w:r>
        <w:rPr>
          <w:rFonts w:ascii="Book Antiqua"/>
          <w:rtl w:val="0"/>
          <w:lang w:val="it-IT"/>
        </w:rPr>
        <w:t xml:space="preserve">amministrazione: </w:t>
      </w:r>
    </w:p>
    <w:p>
      <w:pPr>
        <w:pStyle w:val="Normal"/>
        <w:ind w:left="567" w:right="567" w:firstLine="0"/>
        <w:jc w:val="both"/>
        <w:rPr>
          <w:rFonts w:ascii="Book Antiqua" w:cs="Book Antiqua" w:hAnsi="Book Antiqua" w:eastAsia="Book Antiqua"/>
        </w:rPr>
      </w:pPr>
      <w:r>
        <w:rPr>
          <w:rFonts w:hAnsi="Book Antiqua" w:hint="default"/>
          <w:rtl w:val="0"/>
          <w:lang w:val="it-IT"/>
        </w:rPr>
        <w:t>“</w:t>
      </w:r>
      <w:r>
        <w:rPr>
          <w:rFonts w:ascii="Book Antiqua"/>
          <w:rtl w:val="0"/>
          <w:lang w:val="it-IT"/>
        </w:rPr>
        <w:t>Per quanto riguarda invece l</w:t>
      </w:r>
      <w:r>
        <w:rPr>
          <w:rFonts w:hAnsi="Book Antiqua" w:hint="default"/>
          <w:rtl w:val="0"/>
          <w:lang w:val="it-IT"/>
        </w:rPr>
        <w:t>’</w:t>
      </w:r>
      <w:r>
        <w:rPr>
          <w:rFonts w:ascii="Book Antiqua"/>
          <w:rtl w:val="0"/>
          <w:lang w:val="it-IT"/>
        </w:rPr>
        <w:t>impiantistica, a parte le idee strane che aveva l</w:t>
      </w:r>
      <w:r>
        <w:rPr>
          <w:rFonts w:hAnsi="Book Antiqua" w:hint="default"/>
          <w:rtl w:val="0"/>
          <w:lang w:val="it-IT"/>
        </w:rPr>
        <w:t>’</w:t>
      </w:r>
      <w:r>
        <w:rPr>
          <w:rFonts w:ascii="Book Antiqua"/>
          <w:rtl w:val="0"/>
          <w:lang w:val="it-IT"/>
        </w:rPr>
        <w:t>azienda di posizionare un impianto di compostaggio in una zona dove non ci stava minimamente, cos</w:t>
      </w:r>
      <w:r>
        <w:rPr>
          <w:rFonts w:hAnsi="Book Antiqua" w:hint="default"/>
          <w:rtl w:val="0"/>
          <w:lang w:val="it-IT"/>
        </w:rPr>
        <w:t xml:space="preserve">ì </w:t>
      </w:r>
      <w:r>
        <w:rPr>
          <w:rFonts w:ascii="Book Antiqua"/>
          <w:rtl w:val="0"/>
          <w:lang w:val="it-IT"/>
        </w:rPr>
        <w:t xml:space="preserve">come abbiamo verificato, quella di Rocca Cencia </w:t>
      </w:r>
      <w:r>
        <w:rPr>
          <w:rFonts w:hAnsi="Book Antiqua" w:hint="default"/>
          <w:rtl w:val="0"/>
          <w:lang w:val="it-IT"/>
        </w:rPr>
        <w:t xml:space="preserve">è </w:t>
      </w:r>
      <w:r>
        <w:rPr>
          <w:rFonts w:ascii="Book Antiqua"/>
          <w:rtl w:val="0"/>
          <w:lang w:val="it-IT"/>
        </w:rPr>
        <w:t>una zona dove gi</w:t>
      </w:r>
      <w:r>
        <w:rPr>
          <w:rFonts w:hAnsi="Book Antiqua" w:hint="default"/>
          <w:rtl w:val="0"/>
          <w:lang w:val="it-IT"/>
        </w:rPr>
        <w:t xml:space="preserve">à </w:t>
      </w:r>
      <w:r>
        <w:rPr>
          <w:rFonts w:ascii="Book Antiqua"/>
          <w:rtl w:val="0"/>
          <w:lang w:val="it-IT"/>
        </w:rPr>
        <w:t>ci sono dei problemi che non sono stati rilevati nella documentazione, che per</w:t>
      </w:r>
      <w:r>
        <w:rPr>
          <w:rFonts w:hAnsi="Book Antiqua" w:hint="default"/>
          <w:rtl w:val="0"/>
          <w:lang w:val="it-IT"/>
        </w:rPr>
        <w:t xml:space="preserve">ò </w:t>
      </w:r>
      <w:r>
        <w:rPr>
          <w:rFonts w:ascii="Book Antiqua"/>
          <w:rtl w:val="0"/>
          <w:lang w:val="it-IT"/>
        </w:rPr>
        <w:t>non ho; come assessore ho dovuto parlare con il dipartimento e loro mi hanno sottolineato che c</w:t>
      </w:r>
      <w:r>
        <w:rPr>
          <w:rFonts w:hAnsi="Book Antiqua" w:hint="default"/>
          <w:rtl w:val="0"/>
          <w:lang w:val="it-IT"/>
        </w:rPr>
        <w:t>’</w:t>
      </w:r>
      <w:r>
        <w:rPr>
          <w:rFonts w:ascii="Book Antiqua"/>
          <w:rtl w:val="0"/>
          <w:lang w:val="it-IT"/>
        </w:rPr>
        <w:t>erano dei problemi di emissioni, quindi, ricordando il problema dell</w:t>
      </w:r>
      <w:r>
        <w:rPr>
          <w:rFonts w:hAnsi="Book Antiqua" w:hint="default"/>
          <w:rtl w:val="0"/>
          <w:lang w:val="it-IT"/>
        </w:rPr>
        <w:t>’</w:t>
      </w:r>
      <w:r>
        <w:rPr>
          <w:rFonts w:ascii="Book Antiqua"/>
          <w:rtl w:val="0"/>
          <w:lang w:val="it-IT"/>
        </w:rPr>
        <w:t>impianto di TMB che gi</w:t>
      </w:r>
      <w:r>
        <w:rPr>
          <w:rFonts w:hAnsi="Book Antiqua" w:hint="default"/>
          <w:rtl w:val="0"/>
          <w:lang w:val="it-IT"/>
        </w:rPr>
        <w:t>à</w:t>
      </w:r>
      <w:r>
        <w:rPr>
          <w:rFonts w:ascii="Book Antiqua"/>
          <w:rtl w:val="0"/>
          <w:lang w:val="it-IT"/>
        </w:rPr>
        <w:t xml:space="preserve"> c</w:t>
      </w:r>
      <w:r>
        <w:rPr>
          <w:rFonts w:hAnsi="Book Antiqua" w:hint="default"/>
          <w:rtl w:val="0"/>
          <w:lang w:val="it-IT"/>
        </w:rPr>
        <w:t>’</w:t>
      </w:r>
      <w:r>
        <w:rPr>
          <w:rFonts w:ascii="Book Antiqua"/>
          <w:rtl w:val="0"/>
          <w:lang w:val="it-IT"/>
        </w:rPr>
        <w:t>era, in cui erano stati riscontrati dei problemi di emissioni e quindi di stoccaggi aperti, stiamo valutando ci</w:t>
      </w:r>
      <w:r>
        <w:rPr>
          <w:rFonts w:hAnsi="Book Antiqua" w:hint="default"/>
          <w:rtl w:val="0"/>
          <w:lang w:val="it-IT"/>
        </w:rPr>
        <w:t xml:space="preserve">ò </w:t>
      </w:r>
      <w:r>
        <w:rPr>
          <w:rFonts w:ascii="Book Antiqua"/>
          <w:rtl w:val="0"/>
          <w:lang w:val="it-IT"/>
        </w:rPr>
        <w:t>per mettere mano all</w:t>
      </w:r>
      <w:r>
        <w:rPr>
          <w:rFonts w:hAnsi="Book Antiqua" w:hint="default"/>
          <w:rtl w:val="0"/>
          <w:lang w:val="it-IT"/>
        </w:rPr>
        <w:t>’</w:t>
      </w:r>
      <w:r>
        <w:rPr>
          <w:rFonts w:ascii="Book Antiqua"/>
          <w:rtl w:val="0"/>
          <w:lang w:val="it-IT"/>
        </w:rPr>
        <w:t>impiantistica. Tuttavia, l</w:t>
      </w:r>
      <w:r>
        <w:rPr>
          <w:rFonts w:hAnsi="Book Antiqua" w:hint="default"/>
          <w:rtl w:val="0"/>
          <w:lang w:val="it-IT"/>
        </w:rPr>
        <w:t xml:space="preserve">ì </w:t>
      </w:r>
      <w:r>
        <w:rPr>
          <w:rFonts w:ascii="Book Antiqua"/>
          <w:rtl w:val="0"/>
          <w:lang w:val="it-IT"/>
        </w:rPr>
        <w:t>l</w:t>
      </w:r>
      <w:r>
        <w:rPr>
          <w:rFonts w:hAnsi="Book Antiqua" w:hint="default"/>
          <w:rtl w:val="0"/>
          <w:lang w:val="it-IT"/>
        </w:rPr>
        <w:t>’</w:t>
      </w:r>
      <w:r>
        <w:rPr>
          <w:rFonts w:ascii="Book Antiqua"/>
          <w:rtl w:val="0"/>
          <w:lang w:val="it-IT"/>
        </w:rPr>
        <w:t>impianto di compostaggio da 50.000 tonnellate non ci sta proprio, neanche come viabilit</w:t>
      </w:r>
      <w:r>
        <w:rPr>
          <w:rFonts w:hAnsi="Book Antiqua" w:hint="default"/>
          <w:rtl w:val="0"/>
          <w:lang w:val="it-IT"/>
        </w:rPr>
        <w:t>à</w:t>
      </w:r>
      <w:r>
        <w:rPr>
          <w:rFonts w:ascii="Book Antiqua"/>
          <w:rtl w:val="0"/>
          <w:lang w:val="it-IT"/>
        </w:rPr>
        <w:t>. Su quell</w:t>
      </w:r>
      <w:r>
        <w:rPr>
          <w:rFonts w:hAnsi="Book Antiqua" w:hint="default"/>
          <w:rtl w:val="0"/>
          <w:lang w:val="it-IT"/>
        </w:rPr>
        <w:t>’</w:t>
      </w:r>
      <w:r>
        <w:rPr>
          <w:rFonts w:ascii="Book Antiqua"/>
          <w:rtl w:val="0"/>
          <w:lang w:val="it-IT"/>
        </w:rPr>
        <w:t>area sono gi</w:t>
      </w:r>
      <w:r>
        <w:rPr>
          <w:rFonts w:hAnsi="Book Antiqua" w:hint="default"/>
          <w:rtl w:val="0"/>
          <w:lang w:val="it-IT"/>
        </w:rPr>
        <w:t xml:space="preserve">à </w:t>
      </w:r>
      <w:r>
        <w:rPr>
          <w:rFonts w:ascii="Book Antiqua"/>
          <w:rtl w:val="0"/>
          <w:lang w:val="it-IT"/>
        </w:rPr>
        <w:t>autorizzati gli stoccaggi e l</w:t>
      </w:r>
      <w:r>
        <w:rPr>
          <w:rFonts w:hAnsi="Book Antiqua" w:hint="default"/>
          <w:rtl w:val="0"/>
          <w:lang w:val="it-IT"/>
        </w:rPr>
        <w:t>’</w:t>
      </w:r>
      <w:r>
        <w:rPr>
          <w:rFonts w:ascii="Book Antiqua"/>
          <w:rtl w:val="0"/>
          <w:lang w:val="it-IT"/>
        </w:rPr>
        <w:t>ampliamento di un impianto di multimateriale, quindi gi</w:t>
      </w:r>
      <w:r>
        <w:rPr>
          <w:rFonts w:hAnsi="Book Antiqua" w:hint="default"/>
          <w:rtl w:val="0"/>
          <w:lang w:val="it-IT"/>
        </w:rPr>
        <w:t xml:space="preserve">à </w:t>
      </w:r>
      <w:r>
        <w:rPr>
          <w:rFonts w:ascii="Book Antiqua"/>
          <w:rtl w:val="0"/>
          <w:lang w:val="it-IT"/>
        </w:rPr>
        <w:t>ci si pu</w:t>
      </w:r>
      <w:r>
        <w:rPr>
          <w:rFonts w:hAnsi="Book Antiqua" w:hint="default"/>
          <w:rtl w:val="0"/>
          <w:lang w:val="it-IT"/>
        </w:rPr>
        <w:t xml:space="preserve">ò </w:t>
      </w:r>
      <w:r>
        <w:rPr>
          <w:rFonts w:ascii="Book Antiqua"/>
          <w:rtl w:val="0"/>
          <w:lang w:val="it-IT"/>
        </w:rPr>
        <w:t>muovere; pertanto abbiamo scelto questa strada. Adesso sono in atto le conferenze dei servizi dell</w:t>
      </w:r>
      <w:r>
        <w:rPr>
          <w:rFonts w:hAnsi="Book Antiqua" w:hint="default"/>
          <w:rtl w:val="0"/>
          <w:lang w:val="it-IT"/>
        </w:rPr>
        <w:t>’</w:t>
      </w:r>
      <w:r>
        <w:rPr>
          <w:rFonts w:ascii="Book Antiqua"/>
          <w:rtl w:val="0"/>
          <w:lang w:val="it-IT"/>
        </w:rPr>
        <w:t>Ecodistretto famoso, quindi bisogner</w:t>
      </w:r>
      <w:r>
        <w:rPr>
          <w:rFonts w:hAnsi="Book Antiqua" w:hint="default"/>
          <w:rtl w:val="0"/>
          <w:lang w:val="it-IT"/>
        </w:rPr>
        <w:t xml:space="preserve">à </w:t>
      </w:r>
      <w:r>
        <w:rPr>
          <w:rFonts w:ascii="Book Antiqua"/>
          <w:rtl w:val="0"/>
          <w:lang w:val="it-IT"/>
        </w:rPr>
        <w:t>capire bene in che modo muoversi, ovvero ritirare l</w:t>
      </w:r>
      <w:r>
        <w:rPr>
          <w:rFonts w:hAnsi="Book Antiqua" w:hint="default"/>
          <w:rtl w:val="0"/>
          <w:lang w:val="it-IT"/>
        </w:rPr>
        <w:t>’</w:t>
      </w:r>
      <w:r>
        <w:rPr>
          <w:rFonts w:ascii="Book Antiqua"/>
          <w:rtl w:val="0"/>
          <w:lang w:val="it-IT"/>
        </w:rPr>
        <w:t>autorizzazione e dare seguito a quello attualmente autorizzato, quindi un impianto maggiore, ampliato dell</w:t>
      </w:r>
      <w:r>
        <w:rPr>
          <w:rFonts w:hAnsi="Book Antiqua" w:hint="default"/>
          <w:rtl w:val="0"/>
          <w:lang w:val="it-IT"/>
        </w:rPr>
        <w:t>’</w:t>
      </w:r>
      <w:r>
        <w:rPr>
          <w:rFonts w:ascii="Book Antiqua"/>
          <w:rtl w:val="0"/>
          <w:lang w:val="it-IT"/>
        </w:rPr>
        <w:t>impianto di multimateriale attualmente esistente. Per quanto riguarda gli impianti di compostaggio, stiamo facendo una ricognizione a livello regionale perch</w:t>
      </w:r>
      <w:r>
        <w:rPr>
          <w:rFonts w:hAnsi="Book Antiqua" w:hint="default"/>
          <w:rtl w:val="0"/>
          <w:lang w:val="it-IT"/>
        </w:rPr>
        <w:t xml:space="preserve">é </w:t>
      </w:r>
      <w:r>
        <w:rPr>
          <w:rFonts w:ascii="Book Antiqua"/>
          <w:rtl w:val="0"/>
          <w:lang w:val="it-IT"/>
        </w:rPr>
        <w:t>non ha senso far nascere impianti di compostaggio come funghi quando poi si verrebbe a creare un problema. Abbiamo verificato che tutti gli impianti di compostaggio attualmente in itinere in regione Lazio, hanno nelle premesse la richiesta di autorizzazione per i rifiuti organici di Roma: ne prendiamo atto, per cui ci sono parecchi impianti gi</w:t>
      </w:r>
      <w:r>
        <w:rPr>
          <w:rFonts w:hAnsi="Book Antiqua" w:hint="default"/>
          <w:rtl w:val="0"/>
          <w:lang w:val="it-IT"/>
        </w:rPr>
        <w:t xml:space="preserve">à </w:t>
      </w:r>
      <w:r>
        <w:rPr>
          <w:rFonts w:ascii="Book Antiqua"/>
          <w:rtl w:val="0"/>
          <w:lang w:val="it-IT"/>
        </w:rPr>
        <w:t>con avviamento e iter autorizzatorio a buon punto. Sono poco distanti da Roma, quindi vediamo. Ci avvarremo, per</w:t>
      </w:r>
      <w:r>
        <w:rPr>
          <w:rFonts w:hAnsi="Book Antiqua" w:hint="default"/>
          <w:rtl w:val="0"/>
          <w:lang w:val="it-IT"/>
        </w:rPr>
        <w:t>ò</w:t>
      </w:r>
      <w:r>
        <w:rPr>
          <w:rFonts w:ascii="Book Antiqua"/>
          <w:rtl w:val="0"/>
          <w:lang w:val="it-IT"/>
        </w:rPr>
        <w:t>, anche dell</w:t>
      </w:r>
      <w:r>
        <w:rPr>
          <w:rFonts w:hAnsi="Book Antiqua" w:hint="default"/>
          <w:rtl w:val="0"/>
          <w:lang w:val="it-IT"/>
        </w:rPr>
        <w:t>’</w:t>
      </w:r>
      <w:r>
        <w:rPr>
          <w:rFonts w:ascii="Book Antiqua"/>
          <w:rtl w:val="0"/>
          <w:lang w:val="it-IT"/>
        </w:rPr>
        <w:t xml:space="preserve">impianto di ACEA. ACEA ha impianti di compostaggio e, per forza di cose, deve iniziare a lavorare anche per il 51 per cento della sua compagine societaria. </w:t>
      </w:r>
    </w:p>
    <w:p>
      <w:pPr>
        <w:pStyle w:val="Normal"/>
        <w:ind w:left="567" w:right="567" w:firstLine="0"/>
        <w:jc w:val="both"/>
        <w:rPr>
          <w:rFonts w:ascii="Book Antiqua" w:cs="Book Antiqua" w:hAnsi="Book Antiqua" w:eastAsia="Book Antiqua"/>
        </w:rPr>
      </w:pPr>
      <w:r>
        <w:rPr>
          <w:rFonts w:ascii="Book Antiqua"/>
          <w:rtl w:val="0"/>
          <w:lang w:val="it-IT"/>
        </w:rPr>
        <w:t>[</w:t>
      </w:r>
      <w:r>
        <w:rPr>
          <w:rFonts w:hAnsi="Book Antiqua" w:hint="default"/>
          <w:rtl w:val="0"/>
          <w:lang w:val="it-IT"/>
        </w:rPr>
        <w:t>…</w:t>
      </w:r>
      <w:r>
        <w:rPr>
          <w:rFonts w:ascii="Book Antiqua"/>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 xml:space="preserve">Per quanto riguarda, invece, l'altro discorso degli impianti, effettivamente </w:t>
      </w:r>
      <w:r>
        <w:rPr>
          <w:rFonts w:hAnsi="Book Antiqua" w:hint="default"/>
          <w:rtl w:val="0"/>
          <w:lang w:val="it-IT"/>
        </w:rPr>
        <w:t xml:space="preserve">– </w:t>
      </w:r>
      <w:r>
        <w:rPr>
          <w:rFonts w:ascii="Book Antiqua"/>
          <w:rtl w:val="0"/>
          <w:lang w:val="it-IT"/>
        </w:rPr>
        <w:t>mi riferisco al sito di discarica</w:t>
      </w:r>
      <w:r>
        <w:rPr>
          <w:rFonts w:hAnsi="Book Antiqua" w:hint="default"/>
          <w:rtl w:val="0"/>
          <w:lang w:val="it-IT"/>
        </w:rPr>
        <w:t xml:space="preserve"> – </w:t>
      </w:r>
      <w:r>
        <w:rPr>
          <w:rFonts w:ascii="Book Antiqua"/>
          <w:rtl w:val="0"/>
          <w:lang w:val="it-IT"/>
        </w:rPr>
        <w:t>stiamo valutando intanto che cosa abbiamo trovato. Mi riferisco alla percentuale di raccolta differenziata. Per capire se ci vuole un sito di discarica e capirne soprattutto la volumetria, dobbiamo fare riferimento a ci</w:t>
      </w:r>
      <w:r>
        <w:rPr>
          <w:rFonts w:hAnsi="Book Antiqua" w:hint="default"/>
          <w:rtl w:val="0"/>
          <w:lang w:val="it-IT"/>
        </w:rPr>
        <w:t xml:space="preserve">ò </w:t>
      </w:r>
      <w:r>
        <w:rPr>
          <w:rFonts w:ascii="Book Antiqua"/>
          <w:rtl w:val="0"/>
          <w:lang w:val="it-IT"/>
        </w:rPr>
        <w:t xml:space="preserve">a cui andremo incontro, quindi a una proiezione. Attualmente la raccolta differenziata </w:t>
      </w:r>
      <w:r>
        <w:rPr>
          <w:rFonts w:hAnsi="Book Antiqua" w:hint="default"/>
          <w:rtl w:val="0"/>
          <w:lang w:val="it-IT"/>
        </w:rPr>
        <w:t xml:space="preserve">è </w:t>
      </w:r>
      <w:r>
        <w:rPr>
          <w:rFonts w:ascii="Book Antiqua"/>
          <w:rtl w:val="0"/>
          <w:lang w:val="it-IT"/>
        </w:rPr>
        <w:t>un 41-42 per cento, come ha sempre detto Fortini. Stiamo valutando questo, perch</w:t>
      </w:r>
      <w:r>
        <w:rPr>
          <w:rFonts w:hAnsi="Book Antiqua" w:hint="default"/>
          <w:rtl w:val="0"/>
          <w:lang w:val="it-IT"/>
        </w:rPr>
        <w:t xml:space="preserve">é </w:t>
      </w:r>
      <w:r>
        <w:rPr>
          <w:rFonts w:ascii="Book Antiqua"/>
          <w:rtl w:val="0"/>
          <w:lang w:val="it-IT"/>
        </w:rPr>
        <w:t xml:space="preserve">non ci tornano i conti. ISPRA dice qualcos'altro. Alla fine, dobbiamo valutare quello che abbiamo. </w:t>
      </w:r>
    </w:p>
    <w:p>
      <w:pPr>
        <w:pStyle w:val="Normal"/>
        <w:ind w:left="567" w:right="567" w:firstLine="0"/>
        <w:jc w:val="both"/>
        <w:rPr>
          <w:rFonts w:ascii="Book Antiqua" w:cs="Book Antiqua" w:hAnsi="Book Antiqua" w:eastAsia="Book Antiqua"/>
        </w:rPr>
      </w:pPr>
      <w:r>
        <w:rPr>
          <w:rFonts w:ascii="Book Antiqua"/>
          <w:rtl w:val="0"/>
          <w:lang w:val="it-IT"/>
        </w:rPr>
        <w:t xml:space="preserve">Stiamo facendo un </w:t>
      </w:r>
      <w:r>
        <w:rPr>
          <w:rFonts w:ascii="Book Antiqua"/>
          <w:i w:val="1"/>
          <w:iCs w:val="1"/>
          <w:rtl w:val="0"/>
          <w:lang w:val="it-IT"/>
        </w:rPr>
        <w:t>audit</w:t>
      </w:r>
      <w:r>
        <w:rPr>
          <w:rFonts w:ascii="Book Antiqua"/>
          <w:rtl w:val="0"/>
          <w:lang w:val="it-IT"/>
        </w:rPr>
        <w:t xml:space="preserve"> sulla percentuale di raccolta differenziata perch</w:t>
      </w:r>
      <w:r>
        <w:rPr>
          <w:rFonts w:hAnsi="Book Antiqua" w:hint="default"/>
          <w:rtl w:val="0"/>
          <w:lang w:val="it-IT"/>
        </w:rPr>
        <w:t xml:space="preserve">é </w:t>
      </w:r>
      <w:r>
        <w:rPr>
          <w:rFonts w:ascii="Book Antiqua"/>
          <w:rtl w:val="0"/>
          <w:lang w:val="it-IT"/>
        </w:rPr>
        <w:t xml:space="preserve">non ci accontentiamo di verificare la percentuale, ma dobbiamo verificare dove va a finire il materiale, che cosa viene fatto di questo materiale e come </w:t>
      </w:r>
      <w:r>
        <w:rPr>
          <w:rFonts w:hAnsi="Book Antiqua" w:hint="default"/>
          <w:rtl w:val="0"/>
          <w:lang w:val="it-IT"/>
        </w:rPr>
        <w:t xml:space="preserve">è </w:t>
      </w:r>
      <w:r>
        <w:rPr>
          <w:rFonts w:ascii="Book Antiqua"/>
          <w:rtl w:val="0"/>
          <w:lang w:val="it-IT"/>
        </w:rPr>
        <w:t>impostata la raccolta differenziata dell'organico in tutta la citt</w:t>
      </w:r>
      <w:r>
        <w:rPr>
          <w:rFonts w:hAnsi="Book Antiqua" w:hint="default"/>
          <w:rtl w:val="0"/>
          <w:lang w:val="it-IT"/>
        </w:rPr>
        <w:t>à</w:t>
      </w:r>
      <w:r>
        <w:rPr>
          <w:rFonts w:ascii="Book Antiqua"/>
          <w:rtl w:val="0"/>
          <w:lang w:val="it-IT"/>
        </w:rPr>
        <w:t>. [</w:t>
      </w:r>
      <w:r>
        <w:rPr>
          <w:rFonts w:hAnsi="Book Antiqua" w:hint="default"/>
          <w:rtl w:val="0"/>
          <w:lang w:val="it-IT"/>
        </w:rPr>
        <w:t>…</w:t>
      </w:r>
      <w:r>
        <w:rPr>
          <w:rFonts w:ascii="Book Antiqua"/>
          <w:rtl w:val="0"/>
          <w:lang w:val="it-IT"/>
        </w:rPr>
        <w:t>] Sulla base di quello che troviamo, di quello che andremo a fare e che vogliamo fare nel recuperare molto la parte di secco, vedremo le volumetrie necessarie.</w:t>
      </w:r>
    </w:p>
    <w:p>
      <w:pPr>
        <w:pStyle w:val="Normal"/>
        <w:ind w:left="567" w:right="567" w:firstLine="0"/>
        <w:jc w:val="both"/>
        <w:rPr>
          <w:rFonts w:ascii="Book Antiqua" w:cs="Book Antiqua" w:hAnsi="Book Antiqua" w:eastAsia="Book Antiqua"/>
        </w:rPr>
      </w:pPr>
      <w:r>
        <w:rPr>
          <w:rFonts w:ascii="Book Antiqua"/>
          <w:rtl w:val="0"/>
          <w:lang w:val="it-IT"/>
        </w:rPr>
        <w:t>[</w:t>
      </w:r>
      <w:r>
        <w:rPr>
          <w:rFonts w:hAnsi="Book Antiqua" w:hint="default"/>
          <w:rtl w:val="0"/>
          <w:lang w:val="it-IT"/>
        </w:rPr>
        <w:t>…</w:t>
      </w:r>
      <w:r>
        <w:rPr>
          <w:rFonts w:ascii="Book Antiqua"/>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Salario</w:t>
      </w:r>
      <w:r>
        <w:rPr>
          <w:rFonts w:hAnsi="Book Antiqua" w:hint="default"/>
          <w:rtl w:val="0"/>
          <w:lang w:val="it-IT"/>
        </w:rPr>
        <w:t xml:space="preserve"> è </w:t>
      </w:r>
      <w:r>
        <w:rPr>
          <w:rFonts w:ascii="Book Antiqua"/>
          <w:rtl w:val="0"/>
          <w:lang w:val="it-IT"/>
        </w:rPr>
        <w:t>un tema pesante. In effetti va fatta la modifica dell'autorizzazione per non prendere in giro, ancora una volta, i cittadini. Noi dobbiamo fare questo. Mi sono data un cronoprogramma: entro fine anno dobbiamo depositare un progetto, quello a cui si riferiva la sindaca; su quella base, presentando il progetto, si va a modificare l'autorizzazione.</w:t>
      </w:r>
    </w:p>
    <w:p>
      <w:pPr>
        <w:pStyle w:val="Normal"/>
        <w:ind w:left="567" w:right="567" w:firstLine="0"/>
        <w:jc w:val="both"/>
        <w:rPr>
          <w:rFonts w:ascii="Book Antiqua" w:cs="Book Antiqua" w:hAnsi="Book Antiqua" w:eastAsia="Book Antiqua"/>
        </w:rPr>
      </w:pPr>
      <w:r>
        <w:rPr>
          <w:rFonts w:ascii="Book Antiqua"/>
          <w:rtl w:val="0"/>
          <w:lang w:val="it-IT"/>
        </w:rPr>
        <w:t xml:space="preserve">Quello </w:t>
      </w:r>
      <w:r>
        <w:rPr>
          <w:rFonts w:hAnsi="Book Antiqua" w:hint="default"/>
          <w:rtl w:val="0"/>
          <w:lang w:val="it-IT"/>
        </w:rPr>
        <w:t xml:space="preserve">è </w:t>
      </w:r>
      <w:r>
        <w:rPr>
          <w:rFonts w:ascii="Book Antiqua"/>
          <w:rtl w:val="0"/>
          <w:lang w:val="it-IT"/>
        </w:rPr>
        <w:t>un impianto di propriet</w:t>
      </w:r>
      <w:r>
        <w:rPr>
          <w:rFonts w:hAnsi="Book Antiqua" w:hint="default"/>
          <w:rtl w:val="0"/>
          <w:lang w:val="it-IT"/>
        </w:rPr>
        <w:t xml:space="preserve">à </w:t>
      </w:r>
      <w:r>
        <w:rPr>
          <w:rFonts w:ascii="Book Antiqua"/>
          <w:rtl w:val="0"/>
          <w:lang w:val="it-IT"/>
        </w:rPr>
        <w:t>AMA, per cui non possiamo, come vorrebbero i cittadini, chiuderlo definitivamente. Anch'io auspicherei che non ce ne fosse bisogno, per</w:t>
      </w:r>
      <w:r>
        <w:rPr>
          <w:rFonts w:hAnsi="Book Antiqua" w:hint="default"/>
          <w:rtl w:val="0"/>
          <w:lang w:val="it-IT"/>
        </w:rPr>
        <w:t xml:space="preserve">ò </w:t>
      </w:r>
      <w:r>
        <w:rPr>
          <w:rFonts w:ascii="Book Antiqua"/>
          <w:rtl w:val="0"/>
          <w:lang w:val="it-IT"/>
        </w:rPr>
        <w:t xml:space="preserve">non </w:t>
      </w:r>
      <w:r>
        <w:rPr>
          <w:rFonts w:hAnsi="Book Antiqua" w:hint="default"/>
          <w:rtl w:val="0"/>
          <w:lang w:val="it-IT"/>
        </w:rPr>
        <w:t xml:space="preserve">è </w:t>
      </w:r>
      <w:r>
        <w:rPr>
          <w:rFonts w:ascii="Book Antiqua"/>
          <w:rtl w:val="0"/>
          <w:lang w:val="it-IT"/>
        </w:rPr>
        <w:t>possibile. Bisogna essere chiari e dire la verit</w:t>
      </w:r>
      <w:r>
        <w:rPr>
          <w:rFonts w:hAnsi="Book Antiqua" w:hint="default"/>
          <w:rtl w:val="0"/>
          <w:lang w:val="it-IT"/>
        </w:rPr>
        <w:t>à</w:t>
      </w:r>
      <w:r>
        <w:rPr>
          <w:rFonts w:ascii="Book Antiqua"/>
          <w:rtl w:val="0"/>
          <w:lang w:val="it-IT"/>
        </w:rPr>
        <w:t>. Verr</w:t>
      </w:r>
      <w:r>
        <w:rPr>
          <w:rFonts w:hAnsi="Book Antiqua" w:hint="default"/>
          <w:rtl w:val="0"/>
          <w:lang w:val="it-IT"/>
        </w:rPr>
        <w:t>à</w:t>
      </w:r>
      <w:r>
        <w:rPr>
          <w:rFonts w:ascii="Book Antiqua"/>
          <w:rtl w:val="0"/>
          <w:lang w:val="it-IT"/>
        </w:rPr>
        <w:t>, per</w:t>
      </w:r>
      <w:r>
        <w:rPr>
          <w:rFonts w:hAnsi="Book Antiqua" w:hint="default"/>
          <w:rtl w:val="0"/>
          <w:lang w:val="it-IT"/>
        </w:rPr>
        <w:t>ò</w:t>
      </w:r>
      <w:r>
        <w:rPr>
          <w:rFonts w:ascii="Book Antiqua"/>
          <w:rtl w:val="0"/>
          <w:lang w:val="it-IT"/>
        </w:rPr>
        <w:t xml:space="preserve">, utilizzato, ad esempio, per il recupero dei materassi, di ingombranti, per i quali, in questo momento, AMA paga molto e anzi il flusso </w:t>
      </w:r>
      <w:r>
        <w:rPr>
          <w:rFonts w:hAnsi="Book Antiqua" w:hint="default"/>
          <w:rtl w:val="0"/>
          <w:lang w:val="it-IT"/>
        </w:rPr>
        <w:t xml:space="preserve">è </w:t>
      </w:r>
      <w:r>
        <w:rPr>
          <w:rFonts w:ascii="Book Antiqua"/>
          <w:rtl w:val="0"/>
          <w:lang w:val="it-IT"/>
        </w:rPr>
        <w:t>chiuso, quindi abbiamo un problema rilevante. C'</w:t>
      </w:r>
      <w:r>
        <w:rPr>
          <w:rFonts w:hAnsi="Book Antiqua" w:hint="default"/>
          <w:rtl w:val="0"/>
          <w:lang w:val="it-IT"/>
        </w:rPr>
        <w:t xml:space="preserve">è </w:t>
      </w:r>
      <w:r>
        <w:rPr>
          <w:rFonts w:ascii="Book Antiqua"/>
          <w:rtl w:val="0"/>
          <w:lang w:val="it-IT"/>
        </w:rPr>
        <w:t>un problema di occupazione e si potrebbe incentivare benissimo l'occupazione. L'impianto del Salario diventer</w:t>
      </w:r>
      <w:r>
        <w:rPr>
          <w:rFonts w:hAnsi="Book Antiqua" w:hint="default"/>
          <w:rtl w:val="0"/>
          <w:lang w:val="it-IT"/>
        </w:rPr>
        <w:t xml:space="preserve">à </w:t>
      </w:r>
      <w:r>
        <w:rPr>
          <w:rFonts w:ascii="Book Antiqua"/>
          <w:rtl w:val="0"/>
          <w:lang w:val="it-IT"/>
        </w:rPr>
        <w:t>un polo tecnologico di materia prima seconda.</w:t>
      </w:r>
    </w:p>
    <w:p>
      <w:pPr>
        <w:pStyle w:val="Normal"/>
        <w:ind w:left="567" w:right="567" w:firstLine="0"/>
        <w:jc w:val="both"/>
        <w:rPr>
          <w:rFonts w:ascii="Book Antiqua" w:cs="Book Antiqua" w:hAnsi="Book Antiqua" w:eastAsia="Book Antiqua"/>
        </w:rPr>
      </w:pPr>
      <w:r>
        <w:rPr>
          <w:rFonts w:ascii="Book Antiqua"/>
          <w:rtl w:val="0"/>
          <w:lang w:val="it-IT"/>
        </w:rPr>
        <w:t>[</w:t>
      </w:r>
      <w:r>
        <w:rPr>
          <w:rFonts w:hAnsi="Book Antiqua" w:hint="default"/>
          <w:rtl w:val="0"/>
          <w:lang w:val="it-IT"/>
        </w:rPr>
        <w:t>…</w:t>
      </w:r>
      <w:r>
        <w:rPr>
          <w:rFonts w:ascii="Book Antiqua"/>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 xml:space="preserve">Per quanto riguarda Orvieto, l'elenco che </w:t>
      </w:r>
      <w:r>
        <w:rPr>
          <w:rFonts w:hAnsi="Book Antiqua" w:hint="default"/>
          <w:rtl w:val="0"/>
          <w:lang w:val="it-IT"/>
        </w:rPr>
        <w:t xml:space="preserve">è </w:t>
      </w:r>
      <w:r>
        <w:rPr>
          <w:rFonts w:ascii="Book Antiqua"/>
          <w:rtl w:val="0"/>
          <w:lang w:val="it-IT"/>
        </w:rPr>
        <w:t xml:space="preserve">stato inserito in quel discorso dell'onorevole sindaca nell'assemblea capitolina straordinaria era l'elenco dell'impiantistica di riferimento di ACEA. </w:t>
      </w:r>
      <w:r>
        <w:rPr>
          <w:rFonts w:hAnsi="Book Antiqua" w:hint="default"/>
          <w:rtl w:val="0"/>
          <w:lang w:val="it-IT"/>
        </w:rPr>
        <w:t xml:space="preserve">È </w:t>
      </w:r>
      <w:r>
        <w:rPr>
          <w:rFonts w:ascii="Book Antiqua"/>
          <w:rtl w:val="0"/>
          <w:lang w:val="it-IT"/>
        </w:rPr>
        <w:t>ovvio che prima d'andare a Orvieto dobbiamo saturare la nostra impiantistica.</w:t>
      </w:r>
    </w:p>
    <w:p>
      <w:pPr>
        <w:pStyle w:val="Normal"/>
        <w:ind w:left="567" w:right="567" w:firstLine="0"/>
        <w:jc w:val="both"/>
        <w:rPr>
          <w:rFonts w:ascii="Book Antiqua" w:cs="Book Antiqua" w:hAnsi="Book Antiqua" w:eastAsia="Book Antiqua"/>
        </w:rPr>
      </w:pPr>
      <w:r>
        <w:rPr>
          <w:rFonts w:ascii="Book Antiqua"/>
          <w:rtl w:val="0"/>
          <w:lang w:val="it-IT"/>
        </w:rPr>
        <w:t>[</w:t>
      </w:r>
      <w:r>
        <w:rPr>
          <w:rFonts w:hAnsi="Book Antiqua" w:hint="default"/>
          <w:rtl w:val="0"/>
          <w:lang w:val="it-IT"/>
        </w:rPr>
        <w:t>…</w:t>
      </w:r>
      <w:r>
        <w:rPr>
          <w:rFonts w:ascii="Book Antiqua"/>
          <w:rtl w:val="0"/>
          <w:lang w:val="it-IT"/>
        </w:rPr>
        <w:t>]</w:t>
      </w:r>
    </w:p>
    <w:p>
      <w:pPr>
        <w:pStyle w:val="intervento"/>
        <w:spacing w:before="0" w:after="0"/>
        <w:ind w:left="567" w:right="567" w:firstLine="0"/>
        <w:jc w:val="both"/>
        <w:rPr>
          <w:rFonts w:ascii="Book Antiqua" w:cs="Book Antiqua" w:hAnsi="Book Antiqua" w:eastAsia="Book Antiqua"/>
        </w:rPr>
      </w:pPr>
      <w:r>
        <w:rPr>
          <w:rFonts w:ascii="Book Antiqua"/>
          <w:rtl w:val="0"/>
          <w:lang w:val="it-IT"/>
        </w:rPr>
        <w:t xml:space="preserve">il TMB [Salario] in quanto tipologia di impianto di trattamento meccanico biologico si chiude e viene trasformato in polo tecnologico di materia prima seconda. Questo vuol dire che si parte da un multimateriale, quindi ingombranti, materassi, questa </w:t>
      </w:r>
      <w:r>
        <w:rPr>
          <w:rFonts w:hAnsi="Book Antiqua" w:hint="default"/>
          <w:rtl w:val="0"/>
          <w:lang w:val="it-IT"/>
        </w:rPr>
        <w:t xml:space="preserve">è </w:t>
      </w:r>
      <w:r>
        <w:rPr>
          <w:rFonts w:ascii="Book Antiqua"/>
          <w:rtl w:val="0"/>
          <w:lang w:val="it-IT"/>
        </w:rPr>
        <w:t>la tipologia di impianto di recupero.</w:t>
      </w:r>
    </w:p>
    <w:p>
      <w:pPr>
        <w:pStyle w:val="intervento"/>
        <w:spacing w:before="0" w:after="0"/>
        <w:ind w:left="567" w:right="567" w:firstLine="0"/>
        <w:jc w:val="both"/>
        <w:rPr>
          <w:rFonts w:ascii="Book Antiqua" w:cs="Book Antiqua" w:hAnsi="Book Antiqua" w:eastAsia="Book Antiqua"/>
        </w:rPr>
      </w:pPr>
      <w:r>
        <w:rPr>
          <w:rFonts w:ascii="Book Antiqua"/>
          <w:rtl w:val="0"/>
          <w:lang w:val="it-IT"/>
        </w:rPr>
        <w:t>Sui tempi abbiamo detto che da qui a fine anno presenteremo il progetto, una volta ottenuta l'autorizzazione, perch</w:t>
      </w:r>
      <w:r>
        <w:rPr>
          <w:rFonts w:hAnsi="Book Antiqua" w:hint="default"/>
          <w:rtl w:val="0"/>
          <w:lang w:val="it-IT"/>
        </w:rPr>
        <w:t xml:space="preserve">é </w:t>
      </w:r>
      <w:r>
        <w:rPr>
          <w:rFonts w:ascii="Book Antiqua"/>
          <w:rtl w:val="0"/>
          <w:lang w:val="it-IT"/>
        </w:rPr>
        <w:t>siamo legati all'autorizzazione, cosa che non era mai stata richiesta da quando la precedente amministrazione aveva fatto i proclami di chiusura dell'impianto.</w:t>
      </w:r>
      <w:r>
        <w:rPr>
          <w:rFonts w:hAnsi="Book Antiqua" w:hint="default"/>
          <w:rtl w:val="0"/>
          <w:lang w:val="it-IT"/>
        </w:rPr>
        <w:t>”</w:t>
      </w:r>
    </w:p>
    <w:p>
      <w:pPr>
        <w:pStyle w:val="intervento"/>
        <w:spacing w:before="0" w:after="0"/>
        <w:ind w:left="567" w:right="567" w:firstLine="0"/>
        <w:jc w:val="both"/>
        <w:rPr>
          <w:rFonts w:ascii="Book Antiqua" w:cs="Book Antiqua" w:hAnsi="Book Antiqua" w:eastAsia="Book Antiqua"/>
        </w:rPr>
      </w:pPr>
    </w:p>
    <w:p>
      <w:pPr>
        <w:pStyle w:val="intervento"/>
        <w:spacing w:before="0" w:after="0"/>
        <w:ind w:left="567" w:right="567" w:firstLine="0"/>
        <w:jc w:val="both"/>
        <w:rPr>
          <w:rFonts w:ascii="Book Antiqua" w:cs="Book Antiqua" w:hAnsi="Book Antiqua" w:eastAsia="Book Antiqua"/>
          <w:color w:val="262626"/>
          <w:u w:color="262626"/>
        </w:rPr>
      </w:pPr>
      <w:r>
        <w:rPr>
          <w:rFonts w:ascii="Book Antiqua"/>
          <w:rtl w:val="0"/>
          <w:lang w:val="it-IT"/>
        </w:rPr>
        <w:t>Sul tema della necessit</w:t>
      </w:r>
      <w:r>
        <w:rPr>
          <w:rFonts w:hAnsi="Book Antiqua" w:hint="default"/>
          <w:rtl w:val="0"/>
          <w:lang w:val="it-IT"/>
        </w:rPr>
        <w:t xml:space="preserve">à </w:t>
      </w:r>
      <w:r>
        <w:rPr>
          <w:rFonts w:ascii="Book Antiqua"/>
          <w:rtl w:val="0"/>
          <w:lang w:val="it-IT"/>
        </w:rPr>
        <w:t>di una discarica di servizio, cinque mesi pi</w:t>
      </w:r>
      <w:r>
        <w:rPr>
          <w:rFonts w:hAnsi="Book Antiqua" w:hint="default"/>
          <w:rtl w:val="0"/>
          <w:lang w:val="it-IT"/>
        </w:rPr>
        <w:t xml:space="preserve">ù </w:t>
      </w:r>
      <w:r>
        <w:rPr>
          <w:rFonts w:ascii="Book Antiqua"/>
          <w:rtl w:val="0"/>
          <w:lang w:val="it-IT"/>
        </w:rPr>
        <w:t>tardi, il 31 gennaio 2017, la subentrata assessora alla sostenibilit</w:t>
      </w:r>
      <w:r>
        <w:rPr>
          <w:rFonts w:hAnsi="Book Antiqua" w:hint="default"/>
          <w:rtl w:val="0"/>
          <w:lang w:val="it-IT"/>
        </w:rPr>
        <w:t xml:space="preserve">à </w:t>
      </w:r>
      <w:r>
        <w:rPr>
          <w:rFonts w:ascii="Book Antiqua"/>
          <w:rtl w:val="0"/>
          <w:lang w:val="it-IT"/>
        </w:rPr>
        <w:t xml:space="preserve">ambientale, Giuseppina Montanari, a specifica domanda della Commissione, ha risposto con un auspicio futuro: </w:t>
      </w:r>
      <w:r>
        <w:rPr>
          <w:rFonts w:hAnsi="Book Antiqua" w:hint="default"/>
          <w:rtl w:val="0"/>
          <w:lang w:val="it-IT"/>
        </w:rPr>
        <w:t>“</w:t>
      </w:r>
      <w:r>
        <w:rPr>
          <w:rFonts w:ascii="Book Antiqua"/>
          <w:color w:val="262626"/>
          <w:u w:color="262626"/>
          <w:rtl w:val="0"/>
          <w:lang w:val="it-IT"/>
        </w:rPr>
        <w:t xml:space="preserve">il nostro orientamento </w:t>
      </w:r>
      <w:r>
        <w:rPr>
          <w:rFonts w:hAnsi="Book Antiqua" w:hint="default"/>
          <w:color w:val="262626"/>
          <w:u w:color="262626"/>
          <w:rtl w:val="0"/>
          <w:lang w:val="it-IT"/>
        </w:rPr>
        <w:t xml:space="preserve">è </w:t>
      </w:r>
      <w:r>
        <w:rPr>
          <w:rFonts w:ascii="Book Antiqua"/>
          <w:color w:val="262626"/>
          <w:u w:color="262626"/>
          <w:rtl w:val="0"/>
          <w:lang w:val="it-IT"/>
        </w:rPr>
        <w:t>che confidiamo di avere un sistema di gestione dei materiali post-consumo che non ci obblighi a intervenire in questa direzione</w:t>
      </w:r>
      <w:r>
        <w:rPr>
          <w:rFonts w:hAnsi="Book Antiqua" w:hint="default"/>
          <w:color w:val="262626"/>
          <w:u w:color="262626"/>
          <w:rtl w:val="0"/>
          <w:lang w:val="it-IT"/>
        </w:rPr>
        <w:t xml:space="preserve">” </w:t>
      </w:r>
      <w:r>
        <w:rPr>
          <w:rFonts w:ascii="Book Antiqua"/>
          <w:color w:val="262626"/>
          <w:u w:color="262626"/>
          <w:rtl w:val="0"/>
          <w:lang w:val="it-IT"/>
        </w:rPr>
        <w:t>(si intende dunque: a non realizzare una discarica di servizio per i rifiuti di Roma Capitale); mentre sullo stesso tema l</w:t>
      </w:r>
      <w:r>
        <w:rPr>
          <w:rFonts w:hAnsi="Book Antiqua" w:hint="default"/>
          <w:color w:val="262626"/>
          <w:u w:color="262626"/>
          <w:rtl w:val="0"/>
          <w:lang w:val="it-IT"/>
        </w:rPr>
        <w:t>’</w:t>
      </w:r>
      <w:r>
        <w:rPr>
          <w:rFonts w:ascii="Book Antiqua"/>
          <w:color w:val="262626"/>
          <w:u w:color="262626"/>
          <w:rtl w:val="0"/>
          <w:lang w:val="it-IT"/>
        </w:rPr>
        <w:t>assessore regionale all</w:t>
      </w:r>
      <w:r>
        <w:rPr>
          <w:rFonts w:hAnsi="Book Antiqua" w:hint="default"/>
          <w:color w:val="262626"/>
          <w:u w:color="262626"/>
          <w:rtl w:val="0"/>
          <w:lang w:val="it-IT"/>
        </w:rPr>
        <w:t>’</w:t>
      </w:r>
      <w:r>
        <w:rPr>
          <w:rFonts w:ascii="Book Antiqua"/>
          <w:color w:val="262626"/>
          <w:u w:color="262626"/>
          <w:rtl w:val="0"/>
          <w:lang w:val="it-IT"/>
        </w:rPr>
        <w:t>ambiente, Mauro Buschini, audito nella seduta del 1</w:t>
      </w:r>
      <w:r>
        <w:rPr>
          <w:rFonts w:hAnsi="Book Antiqua" w:hint="default"/>
          <w:color w:val="262626"/>
          <w:u w:color="262626"/>
          <w:rtl w:val="0"/>
          <w:lang w:val="it-IT"/>
        </w:rPr>
        <w:t xml:space="preserve">° </w:t>
      </w:r>
      <w:r>
        <w:rPr>
          <w:rFonts w:ascii="Book Antiqua"/>
          <w:color w:val="262626"/>
          <w:u w:color="262626"/>
          <w:rtl w:val="0"/>
          <w:lang w:val="it-IT"/>
        </w:rPr>
        <w:t xml:space="preserve">febbraio 2017 solo un mese dopo ha ribadito una posizione netta: </w:t>
      </w:r>
    </w:p>
    <w:p>
      <w:pPr>
        <w:pStyle w:val="intervento"/>
        <w:spacing w:before="0" w:after="0"/>
        <w:ind w:left="567" w:right="567" w:firstLine="0"/>
        <w:jc w:val="both"/>
        <w:rPr>
          <w:rFonts w:ascii="Book Antiqua" w:cs="Book Antiqua" w:hAnsi="Book Antiqua" w:eastAsia="Book Antiqua"/>
        </w:rPr>
      </w:pPr>
      <w:r>
        <w:rPr>
          <w:rFonts w:hAnsi="Book Antiqua" w:hint="default"/>
          <w:color w:val="262626"/>
          <w:u w:color="262626"/>
          <w:rtl w:val="0"/>
          <w:lang w:val="it-IT"/>
        </w:rPr>
        <w:t>“</w:t>
      </w:r>
      <w:r>
        <w:rPr>
          <w:rFonts w:ascii="Book Antiqua"/>
          <w:color w:val="262626"/>
          <w:u w:color="262626"/>
          <w:rtl w:val="0"/>
          <w:lang w:val="it-IT"/>
        </w:rPr>
        <w:t>Signor presidente e signori membri della Commissione, io credo fermamente nello sviluppo della raccolta differenziata, nel riuso e nel riciclo dei rifiuti e spero davvero che Roma e il Lazio raggiungano l'80 per cento di raccolta differenziata e si approssimino a rifiuti zero. Quando ci</w:t>
      </w:r>
      <w:r>
        <w:rPr>
          <w:rFonts w:hAnsi="Book Antiqua" w:hint="default"/>
          <w:color w:val="262626"/>
          <w:u w:color="262626"/>
          <w:rtl w:val="0"/>
          <w:lang w:val="it-IT"/>
        </w:rPr>
        <w:t xml:space="preserve">ò </w:t>
      </w:r>
      <w:r>
        <w:rPr>
          <w:rFonts w:ascii="Book Antiqua"/>
          <w:color w:val="262626"/>
          <w:u w:color="262626"/>
          <w:rtl w:val="0"/>
          <w:lang w:val="it-IT"/>
        </w:rPr>
        <w:t>accadr</w:t>
      </w:r>
      <w:r>
        <w:rPr>
          <w:rFonts w:hAnsi="Book Antiqua" w:hint="default"/>
          <w:color w:val="262626"/>
          <w:u w:color="262626"/>
          <w:rtl w:val="0"/>
          <w:lang w:val="it-IT"/>
        </w:rPr>
        <w:t>à</w:t>
      </w:r>
      <w:r>
        <w:rPr>
          <w:rFonts w:ascii="Book Antiqua"/>
          <w:color w:val="262626"/>
          <w:u w:color="262626"/>
          <w:rtl w:val="0"/>
          <w:lang w:val="it-IT"/>
        </w:rPr>
        <w:t>, non avremo pi</w:t>
      </w:r>
      <w:r>
        <w:rPr>
          <w:rFonts w:hAnsi="Book Antiqua" w:hint="default"/>
          <w:color w:val="262626"/>
          <w:u w:color="262626"/>
          <w:rtl w:val="0"/>
          <w:lang w:val="it-IT"/>
        </w:rPr>
        <w:t xml:space="preserve">ù </w:t>
      </w:r>
      <w:r>
        <w:rPr>
          <w:rFonts w:ascii="Book Antiqua"/>
          <w:color w:val="262626"/>
          <w:u w:color="262626"/>
          <w:rtl w:val="0"/>
          <w:lang w:val="it-IT"/>
        </w:rPr>
        <w:t>bisogno di discariche e neanche di TMB; tuttavia, fintanto che questo obiettivo non sar</w:t>
      </w:r>
      <w:r>
        <w:rPr>
          <w:rFonts w:hAnsi="Book Antiqua" w:hint="default"/>
          <w:color w:val="262626"/>
          <w:u w:color="262626"/>
          <w:rtl w:val="0"/>
          <w:lang w:val="it-IT"/>
        </w:rPr>
        <w:t xml:space="preserve">à </w:t>
      </w:r>
      <w:r>
        <w:rPr>
          <w:rFonts w:ascii="Book Antiqua"/>
          <w:color w:val="262626"/>
          <w:u w:color="262626"/>
          <w:rtl w:val="0"/>
          <w:lang w:val="it-IT"/>
        </w:rPr>
        <w:t>conseguito, Roma non pu</w:t>
      </w:r>
      <w:r>
        <w:rPr>
          <w:rFonts w:hAnsi="Book Antiqua" w:hint="default"/>
          <w:color w:val="262626"/>
          <w:u w:color="262626"/>
          <w:rtl w:val="0"/>
          <w:lang w:val="it-IT"/>
        </w:rPr>
        <w:t xml:space="preserve">ò </w:t>
      </w:r>
      <w:r>
        <w:rPr>
          <w:rFonts w:ascii="Book Antiqua"/>
          <w:color w:val="262626"/>
          <w:u w:color="262626"/>
          <w:rtl w:val="0"/>
          <w:lang w:val="it-IT"/>
        </w:rPr>
        <w:t>dire di non avere bisogno di discariche perch</w:t>
      </w:r>
      <w:r>
        <w:rPr>
          <w:rFonts w:hAnsi="Book Antiqua" w:hint="default"/>
          <w:color w:val="262626"/>
          <w:u w:color="262626"/>
          <w:rtl w:val="0"/>
          <w:lang w:val="it-IT"/>
        </w:rPr>
        <w:t xml:space="preserve">é </w:t>
      </w:r>
      <w:r>
        <w:rPr>
          <w:rFonts w:ascii="Book Antiqua"/>
          <w:color w:val="262626"/>
          <w:u w:color="262626"/>
          <w:rtl w:val="0"/>
          <w:lang w:val="it-IT"/>
        </w:rPr>
        <w:t xml:space="preserve">sta usando quelle di altri. Il giusto percorso, al contrario, </w:t>
      </w:r>
      <w:r>
        <w:rPr>
          <w:rFonts w:hAnsi="Book Antiqua" w:hint="default"/>
          <w:color w:val="262626"/>
          <w:u w:color="262626"/>
          <w:rtl w:val="0"/>
          <w:lang w:val="it-IT"/>
        </w:rPr>
        <w:t xml:space="preserve">è </w:t>
      </w:r>
      <w:r>
        <w:rPr>
          <w:rFonts w:ascii="Book Antiqua"/>
          <w:color w:val="262626"/>
          <w:u w:color="262626"/>
          <w:rtl w:val="0"/>
          <w:lang w:val="it-IT"/>
        </w:rPr>
        <w:t>quello di organizzarsi la propria discarica e, contemporaneamente, accelerare lo sviluppo della raccolta differenziata in modo che di quella discarica ci sia sempre meno bisogno [</w:t>
      </w:r>
      <w:r>
        <w:rPr>
          <w:rFonts w:hAnsi="Book Antiqua" w:hint="default"/>
          <w:color w:val="262626"/>
          <w:u w:color="262626"/>
          <w:rtl w:val="0"/>
          <w:lang w:val="it-IT"/>
        </w:rPr>
        <w:t>…</w:t>
      </w:r>
      <w:r>
        <w:rPr>
          <w:rFonts w:ascii="Book Antiqua"/>
          <w:color w:val="262626"/>
          <w:u w:color="262626"/>
          <w:rtl w:val="0"/>
          <w:lang w:val="it-IT"/>
        </w:rPr>
        <w:t xml:space="preserve">] La discarica di Roma </w:t>
      </w:r>
      <w:r>
        <w:rPr>
          <w:rFonts w:hAnsi="Book Antiqua" w:hint="default"/>
          <w:color w:val="262626"/>
          <w:u w:color="262626"/>
          <w:rtl w:val="0"/>
          <w:lang w:val="it-IT"/>
        </w:rPr>
        <w:t xml:space="preserve">è </w:t>
      </w:r>
      <w:r>
        <w:rPr>
          <w:rFonts w:ascii="Book Antiqua"/>
          <w:color w:val="262626"/>
          <w:u w:color="262626"/>
          <w:rtl w:val="0"/>
          <w:lang w:val="it-IT"/>
        </w:rPr>
        <w:t>sempre stata urgente [</w:t>
      </w:r>
      <w:r>
        <w:rPr>
          <w:rFonts w:hAnsi="Book Antiqua" w:hint="default"/>
          <w:color w:val="262626"/>
          <w:u w:color="262626"/>
          <w:rtl w:val="0"/>
          <w:lang w:val="it-IT"/>
        </w:rPr>
        <w:t>…</w:t>
      </w:r>
      <w:r>
        <w:rPr>
          <w:rFonts w:ascii="Book Antiqua"/>
          <w:color w:val="262626"/>
          <w:u w:color="262626"/>
          <w:rtl w:val="0"/>
          <w:lang w:val="it-IT"/>
        </w:rPr>
        <w:t>] da quando si diceva che ne dovevamo trovare un'altra perch</w:t>
      </w:r>
      <w:r>
        <w:rPr>
          <w:rFonts w:hAnsi="Book Antiqua" w:hint="default"/>
          <w:color w:val="262626"/>
          <w:u w:color="262626"/>
          <w:rtl w:val="0"/>
          <w:lang w:val="it-IT"/>
        </w:rPr>
        <w:t xml:space="preserve">é </w:t>
      </w:r>
      <w:r>
        <w:rPr>
          <w:rFonts w:ascii="Book Antiqua"/>
          <w:color w:val="262626"/>
          <w:u w:color="262626"/>
          <w:rtl w:val="0"/>
          <w:lang w:val="it-IT"/>
        </w:rPr>
        <w:t xml:space="preserve">andava chiusa Malagrotta, fino a quando si </w:t>
      </w:r>
      <w:r>
        <w:rPr>
          <w:rFonts w:hAnsi="Book Antiqua" w:hint="default"/>
          <w:color w:val="262626"/>
          <w:u w:color="262626"/>
          <w:rtl w:val="0"/>
          <w:lang w:val="it-IT"/>
        </w:rPr>
        <w:t xml:space="preserve">è </w:t>
      </w:r>
      <w:r>
        <w:rPr>
          <w:rFonts w:ascii="Book Antiqua"/>
          <w:color w:val="262626"/>
          <w:u w:color="262626"/>
          <w:rtl w:val="0"/>
          <w:lang w:val="it-IT"/>
        </w:rPr>
        <w:t>chiusa Malagrotta. Oggi passiamo dall'urgente al non pi</w:t>
      </w:r>
      <w:r>
        <w:rPr>
          <w:rFonts w:hAnsi="Book Antiqua" w:hint="default"/>
          <w:color w:val="262626"/>
          <w:u w:color="262626"/>
          <w:rtl w:val="0"/>
          <w:lang w:val="it-IT"/>
        </w:rPr>
        <w:t xml:space="preserve">ù </w:t>
      </w:r>
      <w:r>
        <w:rPr>
          <w:rFonts w:ascii="Book Antiqua"/>
          <w:color w:val="262626"/>
          <w:u w:color="262626"/>
          <w:rtl w:val="0"/>
          <w:lang w:val="it-IT"/>
        </w:rPr>
        <w:t>rinviabile, anche perch</w:t>
      </w:r>
      <w:r>
        <w:rPr>
          <w:rFonts w:hAnsi="Book Antiqua" w:hint="default"/>
          <w:color w:val="262626"/>
          <w:u w:color="262626"/>
          <w:rtl w:val="0"/>
          <w:lang w:val="it-IT"/>
        </w:rPr>
        <w:t>é</w:t>
      </w:r>
      <w:r>
        <w:rPr>
          <w:rFonts w:ascii="Book Antiqua"/>
          <w:color w:val="262626"/>
          <w:u w:color="262626"/>
          <w:rtl w:val="0"/>
          <w:lang w:val="it-IT"/>
        </w:rPr>
        <w:t>, dopo la chiusura di Malagrotta, continuando cos</w:t>
      </w:r>
      <w:r>
        <w:rPr>
          <w:rFonts w:hAnsi="Book Antiqua" w:hint="default"/>
          <w:color w:val="262626"/>
          <w:u w:color="262626"/>
          <w:rtl w:val="0"/>
          <w:lang w:val="it-IT"/>
        </w:rPr>
        <w:t>ì</w:t>
      </w:r>
      <w:r>
        <w:rPr>
          <w:rFonts w:ascii="Book Antiqua"/>
          <w:color w:val="262626"/>
          <w:u w:color="262626"/>
          <w:rtl w:val="0"/>
          <w:lang w:val="it-IT"/>
        </w:rPr>
        <w:t>, di fatto abbiamo riempito quasi tutte le discariche del Lazio. Immaginerete che la regione pu</w:t>
      </w:r>
      <w:r>
        <w:rPr>
          <w:rFonts w:hAnsi="Book Antiqua" w:hint="default"/>
          <w:color w:val="262626"/>
          <w:u w:color="262626"/>
          <w:rtl w:val="0"/>
          <w:lang w:val="it-IT"/>
        </w:rPr>
        <w:t xml:space="preserve">ò </w:t>
      </w:r>
      <w:r>
        <w:rPr>
          <w:rFonts w:ascii="Book Antiqua"/>
          <w:color w:val="262626"/>
          <w:u w:color="262626"/>
          <w:rtl w:val="0"/>
          <w:lang w:val="it-IT"/>
        </w:rPr>
        <w:t>quindi avere una difficolt</w:t>
      </w:r>
      <w:r>
        <w:rPr>
          <w:rFonts w:hAnsi="Book Antiqua" w:hint="default"/>
          <w:color w:val="262626"/>
          <w:u w:color="262626"/>
          <w:rtl w:val="0"/>
          <w:lang w:val="it-IT"/>
        </w:rPr>
        <w:t xml:space="preserve">à </w:t>
      </w:r>
      <w:r>
        <w:rPr>
          <w:rFonts w:ascii="Book Antiqua"/>
          <w:color w:val="262626"/>
          <w:u w:color="262626"/>
          <w:rtl w:val="0"/>
          <w:lang w:val="it-IT"/>
        </w:rPr>
        <w:t>a dire ora a una provincia, la quale ha avuto gi</w:t>
      </w:r>
      <w:r>
        <w:rPr>
          <w:rFonts w:hAnsi="Book Antiqua" w:hint="default"/>
          <w:color w:val="262626"/>
          <w:u w:color="262626"/>
          <w:rtl w:val="0"/>
          <w:lang w:val="it-IT"/>
        </w:rPr>
        <w:t xml:space="preserve">à </w:t>
      </w:r>
      <w:r>
        <w:rPr>
          <w:rFonts w:ascii="Book Antiqua"/>
          <w:color w:val="262626"/>
          <w:u w:color="262626"/>
          <w:rtl w:val="0"/>
          <w:lang w:val="it-IT"/>
        </w:rPr>
        <w:t xml:space="preserve">l'onere di costruire una discarica, che quella discarica si </w:t>
      </w:r>
      <w:r>
        <w:rPr>
          <w:rFonts w:hAnsi="Book Antiqua" w:hint="default"/>
          <w:color w:val="262626"/>
          <w:u w:color="262626"/>
          <w:rtl w:val="0"/>
          <w:lang w:val="it-IT"/>
        </w:rPr>
        <w:t xml:space="preserve">è </w:t>
      </w:r>
      <w:r>
        <w:rPr>
          <w:rFonts w:ascii="Book Antiqua"/>
          <w:color w:val="262626"/>
          <w:u w:color="262626"/>
          <w:rtl w:val="0"/>
          <w:lang w:val="it-IT"/>
        </w:rPr>
        <w:t>riempita per i rifiuti di Roma ed ora bisogna immaginarne un'altra, quando poi Roma stessa ci dice che della discarica non c'</w:t>
      </w:r>
      <w:r>
        <w:rPr>
          <w:rFonts w:hAnsi="Book Antiqua" w:hint="default"/>
          <w:color w:val="262626"/>
          <w:u w:color="262626"/>
          <w:rtl w:val="0"/>
          <w:lang w:val="it-IT"/>
        </w:rPr>
        <w:t xml:space="preserve">è </w:t>
      </w:r>
      <w:r>
        <w:rPr>
          <w:rFonts w:ascii="Book Antiqua"/>
          <w:color w:val="262626"/>
          <w:u w:color="262626"/>
          <w:rtl w:val="0"/>
          <w:lang w:val="it-IT"/>
        </w:rPr>
        <w:t xml:space="preserve">bisogno. Senza alcuna polemica, io credo che noi abbiamo bisogno di affrontare la questione per quella che </w:t>
      </w:r>
      <w:r>
        <w:rPr>
          <w:rFonts w:hAnsi="Book Antiqua" w:hint="default"/>
          <w:color w:val="262626"/>
          <w:u w:color="262626"/>
          <w:rtl w:val="0"/>
          <w:lang w:val="it-IT"/>
        </w:rPr>
        <w:t>è</w:t>
      </w:r>
      <w:r>
        <w:rPr>
          <w:rFonts w:ascii="Book Antiqua"/>
          <w:color w:val="262626"/>
          <w:u w:color="262626"/>
          <w:rtl w:val="0"/>
          <w:lang w:val="it-IT"/>
        </w:rPr>
        <w:t>: va bene la crescita della differenziata [</w:t>
      </w:r>
      <w:r>
        <w:rPr>
          <w:rFonts w:hAnsi="Book Antiqua" w:hint="default"/>
          <w:color w:val="262626"/>
          <w:u w:color="262626"/>
          <w:rtl w:val="0"/>
          <w:lang w:val="it-IT"/>
        </w:rPr>
        <w:t>…</w:t>
      </w:r>
      <w:r>
        <w:rPr>
          <w:rFonts w:ascii="Book Antiqua"/>
          <w:color w:val="262626"/>
          <w:u w:color="262626"/>
          <w:rtl w:val="0"/>
          <w:lang w:val="it-IT"/>
        </w:rPr>
        <w:t>] per</w:t>
      </w:r>
      <w:r>
        <w:rPr>
          <w:rFonts w:hAnsi="Book Antiqua" w:hint="default"/>
          <w:color w:val="262626"/>
          <w:u w:color="262626"/>
          <w:rtl w:val="0"/>
          <w:lang w:val="it-IT"/>
        </w:rPr>
        <w:t>ò</w:t>
      </w:r>
      <w:r>
        <w:rPr>
          <w:rFonts w:ascii="Book Antiqua"/>
          <w:color w:val="262626"/>
          <w:u w:color="262626"/>
          <w:rtl w:val="0"/>
          <w:lang w:val="it-IT"/>
        </w:rPr>
        <w:t xml:space="preserve"> ora, nella fase impellente, c</w:t>
      </w:r>
      <w:r>
        <w:rPr>
          <w:rFonts w:hAnsi="Book Antiqua" w:hint="default"/>
          <w:color w:val="262626"/>
          <w:u w:color="262626"/>
          <w:rtl w:val="0"/>
          <w:lang w:val="it-IT"/>
        </w:rPr>
        <w:t xml:space="preserve">’è </w:t>
      </w:r>
      <w:r>
        <w:rPr>
          <w:rFonts w:ascii="Book Antiqua"/>
          <w:color w:val="262626"/>
          <w:u w:color="262626"/>
          <w:rtl w:val="0"/>
          <w:lang w:val="it-IT"/>
        </w:rPr>
        <w:t>bisogno di una piccola discarica di servizio</w:t>
      </w:r>
      <w:r>
        <w:rPr>
          <w:rFonts w:hAnsi="Book Antiqua" w:hint="default"/>
          <w:color w:val="262626"/>
          <w:u w:color="262626"/>
          <w:rtl w:val="0"/>
          <w:lang w:val="it-IT"/>
        </w:rPr>
        <w:t>”</w:t>
      </w:r>
      <w:r>
        <w:rPr>
          <w:rFonts w:ascii="Book Antiqua"/>
          <w:color w:val="262626"/>
          <w:u w:color="262626"/>
          <w:rtl w:val="0"/>
          <w:lang w:val="it-IT"/>
        </w:rPr>
        <w:t>.</w:t>
      </w:r>
    </w:p>
    <w:p>
      <w:pPr>
        <w:pStyle w:val="intervento"/>
        <w:spacing w:before="0" w:after="0"/>
        <w:ind w:left="567" w:right="567" w:firstLine="0"/>
        <w:jc w:val="both"/>
        <w:rPr>
          <w:rFonts w:ascii="Book Antiqua" w:cs="Book Antiqua" w:hAnsi="Book Antiqua" w:eastAsia="Book Antiqua"/>
          <w:color w:val="262626"/>
          <w:u w:color="262626"/>
        </w:rPr>
      </w:pPr>
      <w:r>
        <w:rPr>
          <w:rFonts w:ascii="Book Antiqua"/>
          <w:rtl w:val="0"/>
          <w:lang w:val="it-IT"/>
        </w:rPr>
        <w:t>Nella stessa seduta del 1</w:t>
      </w:r>
      <w:r>
        <w:rPr>
          <w:rFonts w:hAnsi="Book Antiqua" w:hint="default"/>
          <w:rtl w:val="0"/>
          <w:lang w:val="it-IT"/>
        </w:rPr>
        <w:t xml:space="preserve">° </w:t>
      </w:r>
      <w:r>
        <w:rPr>
          <w:rFonts w:ascii="Book Antiqua"/>
          <w:rtl w:val="0"/>
          <w:lang w:val="it-IT"/>
        </w:rPr>
        <w:t>febbraio 2017 l</w:t>
      </w:r>
      <w:r>
        <w:rPr>
          <w:rFonts w:hAnsi="Book Antiqua" w:hint="default"/>
          <w:rtl w:val="0"/>
          <w:lang w:val="it-IT"/>
        </w:rPr>
        <w:t>’</w:t>
      </w:r>
      <w:r>
        <w:rPr>
          <w:rFonts w:ascii="Book Antiqua"/>
          <w:rtl w:val="0"/>
          <w:lang w:val="it-IT"/>
        </w:rPr>
        <w:t>assessore Buschini sottolineava inoltre il tema della trasferenza dei rifiuti urbani prodotti nel territorio della Capitale verso l</w:t>
      </w:r>
      <w:r>
        <w:rPr>
          <w:rFonts w:hAnsi="Book Antiqua" w:hint="default"/>
          <w:rtl w:val="0"/>
          <w:lang w:val="it-IT"/>
        </w:rPr>
        <w:t>’</w:t>
      </w:r>
      <w:r>
        <w:rPr>
          <w:rFonts w:ascii="Book Antiqua"/>
          <w:rtl w:val="0"/>
          <w:lang w:val="it-IT"/>
        </w:rPr>
        <w:t xml:space="preserve">estero: </w:t>
      </w:r>
      <w:r>
        <w:rPr>
          <w:rFonts w:hAnsi="Book Antiqua" w:hint="default"/>
          <w:rtl w:val="0"/>
          <w:lang w:val="it-IT"/>
        </w:rPr>
        <w:t>“</w:t>
      </w:r>
      <w:r>
        <w:rPr>
          <w:rFonts w:ascii="Book Antiqua"/>
          <w:rtl w:val="0"/>
          <w:lang w:val="it-IT"/>
        </w:rPr>
        <w:t>la regione Lazio ha autorizzato il trasporto transfrontaliero di rifiuti urbani indifferenziati di Roma Capitale soltanto come misura straordinaria e temporanea, per il tempo strettamente necessario a Roma Capitale ad adottare le misure infrastrutturali per la chiusura del ciclo dei rifiuti nel perimetro metropolitano.</w:t>
      </w:r>
      <w:r>
        <w:rPr>
          <w:rFonts w:ascii="Times New Roman"/>
          <w:rtl w:val="0"/>
          <w:lang w:val="it-IT"/>
        </w:rPr>
        <w:t xml:space="preserve"> </w:t>
      </w:r>
      <w:r>
        <w:rPr>
          <w:rFonts w:ascii="Book Antiqua"/>
          <w:rtl w:val="0"/>
          <w:lang w:val="it-IT"/>
        </w:rPr>
        <w:t xml:space="preserve">Le procedure di notifica finora pervenute e autorizzate attengono a 70.000 tonnellate in Austria via ferrovia, al ritmo di circa 2.500 tonnellate spedite con quattro treni settimanali. </w:t>
      </w:r>
      <w:r>
        <w:rPr>
          <w:rFonts w:hAnsi="Book Antiqua" w:hint="default"/>
          <w:rtl w:val="0"/>
          <w:lang w:val="it-IT"/>
        </w:rPr>
        <w:t xml:space="preserve">È </w:t>
      </w:r>
      <w:r>
        <w:rPr>
          <w:rFonts w:ascii="Book Antiqua"/>
          <w:rtl w:val="0"/>
          <w:lang w:val="it-IT"/>
        </w:rPr>
        <w:t>presumibile che il quantitativo sar</w:t>
      </w:r>
      <w:r>
        <w:rPr>
          <w:rFonts w:hAnsi="Book Antiqua" w:hint="default"/>
          <w:rtl w:val="0"/>
          <w:lang w:val="it-IT"/>
        </w:rPr>
        <w:t xml:space="preserve">à </w:t>
      </w:r>
      <w:r>
        <w:rPr>
          <w:rFonts w:ascii="Book Antiqua"/>
          <w:rtl w:val="0"/>
          <w:lang w:val="it-IT"/>
        </w:rPr>
        <w:t>esaurito in circa 7-8 mesi. Riteniamo che questo tempo sia sufficiente a Roma Capitale per localizzare la discarica di servizio, di cui essa ha assoluta necessit</w:t>
      </w:r>
      <w:r>
        <w:rPr>
          <w:rFonts w:hAnsi="Book Antiqua" w:hint="default"/>
          <w:rtl w:val="0"/>
          <w:lang w:val="it-IT"/>
        </w:rPr>
        <w:t>à</w:t>
      </w:r>
      <w:r>
        <w:rPr>
          <w:rFonts w:ascii="Book Antiqua"/>
          <w:rtl w:val="0"/>
          <w:lang w:val="it-IT"/>
        </w:rPr>
        <w:t>, nonch</w:t>
      </w:r>
      <w:r>
        <w:rPr>
          <w:rFonts w:hAnsi="Book Antiqua" w:hint="default"/>
          <w:rtl w:val="0"/>
          <w:lang w:val="it-IT"/>
        </w:rPr>
        <w:t xml:space="preserve">é </w:t>
      </w:r>
      <w:r>
        <w:rPr>
          <w:rFonts w:ascii="Book Antiqua"/>
          <w:rtl w:val="0"/>
          <w:lang w:val="it-IT"/>
        </w:rPr>
        <w:t>per allestire il progetto costruttivo e avviare l</w:t>
      </w:r>
      <w:r>
        <w:rPr>
          <w:rFonts w:hAnsi="Book Antiqua" w:hint="default"/>
          <w:rtl w:val="0"/>
          <w:lang w:val="it-IT"/>
        </w:rPr>
        <w:t>’</w:t>
      </w:r>
      <w:r>
        <w:rPr>
          <w:rFonts w:ascii="Book Antiqua"/>
          <w:rtl w:val="0"/>
          <w:lang w:val="it-IT"/>
        </w:rPr>
        <w:t>iter autorizzativo. Se questo accadr</w:t>
      </w:r>
      <w:r>
        <w:rPr>
          <w:rFonts w:hAnsi="Book Antiqua" w:hint="default"/>
          <w:rtl w:val="0"/>
          <w:lang w:val="it-IT"/>
        </w:rPr>
        <w:t>à</w:t>
      </w:r>
      <w:r>
        <w:rPr>
          <w:rFonts w:ascii="Book Antiqua"/>
          <w:rtl w:val="0"/>
          <w:lang w:val="it-IT"/>
        </w:rPr>
        <w:t>, potremmo considerare un ulteriore breve conferimento all'estero di rifiuti indifferenziati destinati al recupero di energia e con ci</w:t>
      </w:r>
      <w:r>
        <w:rPr>
          <w:rFonts w:hAnsi="Book Antiqua" w:hint="default"/>
          <w:rtl w:val="0"/>
          <w:lang w:val="it-IT"/>
        </w:rPr>
        <w:t xml:space="preserve">ò </w:t>
      </w:r>
      <w:r>
        <w:rPr>
          <w:rFonts w:ascii="Book Antiqua"/>
          <w:rtl w:val="0"/>
          <w:lang w:val="it-IT"/>
        </w:rPr>
        <w:t>potremmo interloquire con la Commissione europea affinch</w:t>
      </w:r>
      <w:r>
        <w:rPr>
          <w:rFonts w:hAnsi="Book Antiqua" w:hint="default"/>
          <w:rtl w:val="0"/>
          <w:lang w:val="it-IT"/>
        </w:rPr>
        <w:t xml:space="preserve">é </w:t>
      </w:r>
      <w:r>
        <w:rPr>
          <w:rFonts w:ascii="Book Antiqua"/>
          <w:rtl w:val="0"/>
          <w:lang w:val="it-IT"/>
        </w:rPr>
        <w:t>vi sia comprensione e collaborazione. Diversamente, non saremmo credibili e il rischio di incappare in nuovi procedimenti di infrazione alle direttive dell'Unione europea sarebbe assai elevato. D'altra parte, il confronto sulla localizzazione della discarica di servizio per Roma Capitale</w:t>
      </w:r>
      <w:r>
        <w:rPr>
          <w:rFonts w:hAnsi="Book Antiqua" w:hint="default"/>
          <w:rtl w:val="0"/>
          <w:lang w:val="it-IT"/>
        </w:rPr>
        <w:t xml:space="preserve"> è </w:t>
      </w:r>
      <w:r>
        <w:rPr>
          <w:rFonts w:ascii="Book Antiqua"/>
          <w:rtl w:val="0"/>
          <w:lang w:val="it-IT"/>
        </w:rPr>
        <w:t>in corso fin dal 2006, quando gi</w:t>
      </w:r>
      <w:r>
        <w:rPr>
          <w:rFonts w:hAnsi="Book Antiqua" w:hint="default"/>
          <w:rtl w:val="0"/>
          <w:lang w:val="it-IT"/>
        </w:rPr>
        <w:t xml:space="preserve">à </w:t>
      </w:r>
      <w:r>
        <w:rPr>
          <w:rFonts w:ascii="Book Antiqua"/>
          <w:rtl w:val="0"/>
          <w:lang w:val="it-IT"/>
        </w:rPr>
        <w:t>da allora si prevedeva la chiusura della discarica di Malagrotta. Con tutte le amministrazioni di Roma Capitale, la regione Lazio ha, nel tempo, discusso e confrontato ipotesi e opzioni. Dopo la chiusura effettiva di Malagrotta, per</w:t>
      </w:r>
      <w:r>
        <w:rPr>
          <w:rFonts w:hAnsi="Book Antiqua" w:hint="default"/>
          <w:rtl w:val="0"/>
          <w:lang w:val="it-IT"/>
        </w:rPr>
        <w:t>ò</w:t>
      </w:r>
      <w:r>
        <w:rPr>
          <w:rFonts w:ascii="Book Antiqua"/>
          <w:rtl w:val="0"/>
          <w:lang w:val="it-IT"/>
        </w:rPr>
        <w:t xml:space="preserve">, la questione si </w:t>
      </w:r>
      <w:r>
        <w:rPr>
          <w:rFonts w:hAnsi="Book Antiqua" w:hint="default"/>
          <w:rtl w:val="0"/>
          <w:lang w:val="it-IT"/>
        </w:rPr>
        <w:t xml:space="preserve">è </w:t>
      </w:r>
      <w:r>
        <w:rPr>
          <w:rFonts w:ascii="Book Antiqua"/>
          <w:rtl w:val="0"/>
          <w:lang w:val="it-IT"/>
        </w:rPr>
        <w:t>fatta impellente. Gi</w:t>
      </w:r>
      <w:r>
        <w:rPr>
          <w:rFonts w:hAnsi="Book Antiqua" w:hint="default"/>
          <w:rtl w:val="0"/>
          <w:lang w:val="it-IT"/>
        </w:rPr>
        <w:t xml:space="preserve">à </w:t>
      </w:r>
      <w:r>
        <w:rPr>
          <w:rFonts w:ascii="Book Antiqua"/>
          <w:rtl w:val="0"/>
          <w:lang w:val="it-IT"/>
        </w:rPr>
        <w:t>con l'amministrazione di Ignazio Marino la regione ha ripetutamente insistito affinch</w:t>
      </w:r>
      <w:r>
        <w:rPr>
          <w:rFonts w:hAnsi="Book Antiqua" w:hint="default"/>
          <w:rtl w:val="0"/>
          <w:lang w:val="it-IT"/>
        </w:rPr>
        <w:t xml:space="preserve">é </w:t>
      </w:r>
      <w:r>
        <w:rPr>
          <w:rFonts w:ascii="Book Antiqua"/>
          <w:rtl w:val="0"/>
          <w:lang w:val="it-IT"/>
        </w:rPr>
        <w:t xml:space="preserve">Roma Capitale si esprimesse sul punto. Per tutta la fase commissariale, guidata dal prefetto Tronca, il tema </w:t>
      </w:r>
      <w:r>
        <w:rPr>
          <w:rFonts w:hAnsi="Book Antiqua" w:hint="default"/>
          <w:rtl w:val="0"/>
          <w:lang w:val="it-IT"/>
        </w:rPr>
        <w:t xml:space="preserve">è </w:t>
      </w:r>
      <w:r>
        <w:rPr>
          <w:rFonts w:ascii="Book Antiqua"/>
          <w:rtl w:val="0"/>
          <w:lang w:val="it-IT"/>
        </w:rPr>
        <w:t>rimasto comprensibilmente sospeso; tuttavia, ora, mentre 10.000 tonnellate al mese di rifiuti tal quali valicano le Alpi e mentre altre 10.000 tonnellate al mese ingombrano impianti e suoli di altre province del Lazio, che fanno il loro dovere (mentre, cio</w:t>
      </w:r>
      <w:r>
        <w:rPr>
          <w:rFonts w:hAnsi="Book Antiqua" w:hint="default"/>
          <w:rtl w:val="0"/>
          <w:lang w:val="it-IT"/>
        </w:rPr>
        <w:t>è</w:t>
      </w:r>
      <w:r>
        <w:rPr>
          <w:rFonts w:ascii="Book Antiqua"/>
          <w:rtl w:val="0"/>
          <w:lang w:val="it-IT"/>
        </w:rPr>
        <w:t>, 20.000 tonnellate al mese di rifiuti tal quali generati a Roma vengono affidati alla responsabilit</w:t>
      </w:r>
      <w:r>
        <w:rPr>
          <w:rFonts w:hAnsi="Book Antiqua" w:hint="default"/>
          <w:rtl w:val="0"/>
          <w:lang w:val="it-IT"/>
        </w:rPr>
        <w:t xml:space="preserve">à </w:t>
      </w:r>
      <w:r>
        <w:rPr>
          <w:rFonts w:ascii="Book Antiqua"/>
          <w:rtl w:val="0"/>
          <w:lang w:val="it-IT"/>
        </w:rPr>
        <w:t>di altri), sarebbe inopportuno pensare che questa possa essere la configurazione a regime del ciclo dei rifiuti della capitale d'Italia</w:t>
      </w:r>
      <w:r>
        <w:rPr>
          <w:rFonts w:ascii="Book Antiqua"/>
          <w:color w:val="262626"/>
          <w:u w:color="262626"/>
          <w:rtl w:val="0"/>
          <w:lang w:val="it-IT"/>
        </w:rPr>
        <w:t xml:space="preserve"> [</w:t>
      </w:r>
      <w:r>
        <w:rPr>
          <w:rFonts w:hAnsi="Book Antiqua" w:hint="default"/>
          <w:color w:val="262626"/>
          <w:u w:color="262626"/>
          <w:rtl w:val="0"/>
          <w:lang w:val="it-IT"/>
        </w:rPr>
        <w:t>…</w:t>
      </w:r>
      <w:r>
        <w:rPr>
          <w:rFonts w:ascii="Book Antiqua"/>
          <w:color w:val="262626"/>
          <w:u w:color="262626"/>
          <w:rtl w:val="0"/>
          <w:lang w:val="it-IT"/>
        </w:rPr>
        <w:t>]</w:t>
      </w:r>
    </w:p>
    <w:p>
      <w:pPr>
        <w:pStyle w:val="intervento"/>
        <w:spacing w:before="0" w:after="0"/>
        <w:ind w:left="567" w:right="567" w:firstLine="0"/>
        <w:jc w:val="both"/>
        <w:rPr>
          <w:rFonts w:ascii="Book Antiqua" w:cs="Book Antiqua" w:hAnsi="Book Antiqua" w:eastAsia="Book Antiqua"/>
        </w:rPr>
      </w:pPr>
      <w:r>
        <w:rPr>
          <w:rFonts w:ascii="Book Antiqua"/>
          <w:rtl w:val="0"/>
          <w:lang w:val="it-IT"/>
        </w:rPr>
        <w:t>Roma, oggi, ha bisogno dei TMB di Colfelice, di Aprilia e di Aielli; ha bisogno degli inceneritori di Colleferro e San Vittore, cos</w:t>
      </w:r>
      <w:r>
        <w:rPr>
          <w:rFonts w:hAnsi="Book Antiqua" w:hint="default"/>
          <w:rtl w:val="0"/>
          <w:lang w:val="it-IT"/>
        </w:rPr>
        <w:t xml:space="preserve">ì </w:t>
      </w:r>
      <w:r>
        <w:rPr>
          <w:rFonts w:ascii="Book Antiqua"/>
          <w:rtl w:val="0"/>
          <w:lang w:val="it-IT"/>
        </w:rPr>
        <w:t xml:space="preserve">come ha bisogno di altri 49 impianti dislocati in dieci regioni italiane e in tre Stati esteri, mentre usa anche inceneritori austriaci. Senza questi soccorsi sarebbe in permanente emergenza ed </w:t>
      </w:r>
      <w:r>
        <w:rPr>
          <w:rFonts w:hAnsi="Book Antiqua" w:hint="default"/>
          <w:rtl w:val="0"/>
          <w:lang w:val="it-IT"/>
        </w:rPr>
        <w:t xml:space="preserve">è </w:t>
      </w:r>
      <w:r>
        <w:rPr>
          <w:rFonts w:ascii="Book Antiqua"/>
          <w:rtl w:val="0"/>
          <w:lang w:val="it-IT"/>
        </w:rPr>
        <w:t>assai difficile persuadere i cittadini di altri territori laziali, mentre Roma dichiara di non aver bisogno di nessun impianto di recupero o smaltimento.</w:t>
      </w:r>
      <w:r>
        <w:rPr>
          <w:rFonts w:hAnsi="Book Antiqua" w:hint="default"/>
          <w:rtl w:val="0"/>
          <w:lang w:val="it-IT"/>
        </w:rPr>
        <w:t>”</w:t>
      </w:r>
    </w:p>
    <w:p>
      <w:pPr>
        <w:pStyle w:val="intervento"/>
        <w:spacing w:before="0" w:after="0"/>
        <w:ind w:left="567" w:right="567" w:firstLine="0"/>
        <w:jc w:val="both"/>
        <w:rPr>
          <w:rFonts w:ascii="Book Antiqua" w:cs="Book Antiqua" w:hAnsi="Book Antiqua" w:eastAsia="Book Antiqua"/>
        </w:rPr>
      </w:pPr>
      <w:r>
        <w:rPr>
          <w:rFonts w:ascii="Book Antiqua"/>
          <w:rtl w:val="0"/>
          <w:lang w:val="it-IT"/>
        </w:rPr>
        <w:t>Esiste quindi un evidente diversit</w:t>
      </w:r>
      <w:r>
        <w:rPr>
          <w:rFonts w:hAnsi="Book Antiqua" w:hint="default"/>
          <w:rtl w:val="0"/>
          <w:lang w:val="it-IT"/>
        </w:rPr>
        <w:t xml:space="preserve">à </w:t>
      </w:r>
      <w:r>
        <w:rPr>
          <w:rFonts w:ascii="Book Antiqua"/>
          <w:rtl w:val="0"/>
          <w:lang w:val="it-IT"/>
        </w:rPr>
        <w:t>di vedute fra la regione Lazio, ente deputato alla emanazione della pianificazione regionale e l</w:t>
      </w:r>
      <w:r>
        <w:rPr>
          <w:rFonts w:hAnsi="Book Antiqua" w:hint="default"/>
          <w:rtl w:val="0"/>
          <w:lang w:val="it-IT"/>
        </w:rPr>
        <w:t>’</w:t>
      </w:r>
      <w:r>
        <w:rPr>
          <w:rFonts w:ascii="Book Antiqua"/>
          <w:rtl w:val="0"/>
          <w:lang w:val="it-IT"/>
        </w:rPr>
        <w:t>approccio invece indicato dalla dall</w:t>
      </w:r>
      <w:r>
        <w:rPr>
          <w:rFonts w:hAnsi="Book Antiqua" w:hint="default"/>
          <w:rtl w:val="0"/>
          <w:lang w:val="it-IT"/>
        </w:rPr>
        <w:t>’</w:t>
      </w:r>
      <w:r>
        <w:rPr>
          <w:rFonts w:ascii="Book Antiqua"/>
          <w:rtl w:val="0"/>
          <w:lang w:val="it-IT"/>
        </w:rPr>
        <w:t>amministrazione capitolina segnata, peraltro, da contrasti e avvicendamenti di posizioni, con una situazione ambientale oggetto di polemiche.  Nella seduta</w:t>
      </w:r>
      <w:r>
        <w:rPr>
          <w:rFonts w:hAnsi="Book Antiqua" w:hint="default"/>
          <w:rtl w:val="0"/>
          <w:lang w:val="it-IT"/>
        </w:rPr>
        <w:t xml:space="preserve"> – </w:t>
      </w:r>
      <w:r>
        <w:rPr>
          <w:rFonts w:ascii="Book Antiqua"/>
          <w:rtl w:val="0"/>
          <w:lang w:val="it-IT"/>
        </w:rPr>
        <w:t>tenutasi il 31 gennaio 2017 - dedicata alle audizioni della nuova assessora alla sostenibilit</w:t>
      </w:r>
      <w:r>
        <w:rPr>
          <w:rFonts w:hAnsi="Book Antiqua" w:hint="default"/>
          <w:rtl w:val="0"/>
          <w:lang w:val="it-IT"/>
        </w:rPr>
        <w:t xml:space="preserve">à </w:t>
      </w:r>
      <w:r>
        <w:rPr>
          <w:rFonts w:ascii="Book Antiqua"/>
          <w:rtl w:val="0"/>
          <w:lang w:val="it-IT"/>
        </w:rPr>
        <w:t>ambientale di Roma Capitale, Giuseppina Montanari, dell'assessore alla riorganizzazione delle societ</w:t>
      </w:r>
      <w:r>
        <w:rPr>
          <w:rFonts w:hAnsi="Book Antiqua" w:hint="default"/>
          <w:rtl w:val="0"/>
          <w:lang w:val="it-IT"/>
        </w:rPr>
        <w:t xml:space="preserve">à </w:t>
      </w:r>
      <w:r>
        <w:rPr>
          <w:rFonts w:ascii="Book Antiqua"/>
          <w:rtl w:val="0"/>
          <w:lang w:val="it-IT"/>
        </w:rPr>
        <w:t>partecipate di Roma Capitale, Massimo Colomban, di Antonella Giglio, nuovo amministratrice unica di AMA S.p.A., di Stefano Bina, nuovo direttore generale di AMA S.p.A.</w:t>
      </w:r>
      <w:r>
        <w:rPr>
          <w:rFonts w:ascii="Book Antiqua" w:cs="Book Antiqua" w:hAnsi="Book Antiqua" w:eastAsia="Book Antiqua"/>
          <w:vertAlign w:val="superscript"/>
          <w:rtl w:val="0"/>
        </w:rPr>
        <w:footnoteReference w:id="131"/>
      </w:r>
      <w:r>
        <w:rPr>
          <w:rFonts w:ascii="Book Antiqua"/>
          <w:rtl w:val="0"/>
          <w:lang w:val="it-IT"/>
        </w:rPr>
        <w:t>,</w:t>
      </w:r>
    </w:p>
    <w:p>
      <w:pPr>
        <w:pStyle w:val="intervento"/>
        <w:spacing w:before="0" w:after="0"/>
        <w:ind w:left="567" w:right="567" w:firstLine="0"/>
        <w:jc w:val="both"/>
        <w:rPr>
          <w:rFonts w:ascii="Book Antiqua" w:cs="Book Antiqua" w:hAnsi="Book Antiqua" w:eastAsia="Book Antiqua"/>
        </w:rPr>
      </w:pPr>
      <w:r>
        <w:rPr>
          <w:rFonts w:ascii="Book Antiqua"/>
          <w:rtl w:val="0"/>
          <w:lang w:val="it-IT"/>
        </w:rPr>
        <w:t>l</w:t>
      </w:r>
      <w:r>
        <w:rPr>
          <w:rFonts w:hAnsi="Book Antiqua" w:hint="default"/>
          <w:rtl w:val="0"/>
          <w:lang w:val="it-IT"/>
        </w:rPr>
        <w:t>’</w:t>
      </w:r>
      <w:r>
        <w:rPr>
          <w:rFonts w:ascii="Book Antiqua"/>
          <w:rtl w:val="0"/>
          <w:lang w:val="it-IT"/>
        </w:rPr>
        <w:t>assessora Montanari ha illustrato i piani dell</w:t>
      </w:r>
      <w:r>
        <w:rPr>
          <w:rFonts w:hAnsi="Book Antiqua" w:hint="default"/>
          <w:rtl w:val="0"/>
          <w:lang w:val="it-IT"/>
        </w:rPr>
        <w:t>’</w:t>
      </w:r>
      <w:r>
        <w:rPr>
          <w:rFonts w:ascii="Book Antiqua"/>
          <w:rtl w:val="0"/>
          <w:lang w:val="it-IT"/>
        </w:rPr>
        <w:t>amministrazione sul</w:t>
      </w:r>
      <w:r>
        <w:rPr>
          <w:rFonts w:ascii="Book Antiqua"/>
          <w:color w:val="262626"/>
          <w:u w:color="262626"/>
          <w:rtl w:val="0"/>
          <w:lang w:val="it-IT"/>
        </w:rPr>
        <w:t xml:space="preserve">la </w:t>
      </w:r>
      <w:r>
        <w:rPr>
          <w:rFonts w:hAnsi="Book Antiqua" w:hint="default"/>
          <w:rtl w:val="0"/>
          <w:lang w:val="it-IT"/>
        </w:rPr>
        <w:t>“</w:t>
      </w:r>
      <w:r>
        <w:rPr>
          <w:rFonts w:ascii="Book Antiqua"/>
          <w:rtl w:val="0"/>
          <w:lang w:val="it-IT"/>
        </w:rPr>
        <w:t>gestione sostenibile dei materiali post-consumo</w:t>
      </w:r>
      <w:r>
        <w:rPr>
          <w:rFonts w:hAnsi="Book Antiqua" w:hint="default"/>
          <w:rtl w:val="0"/>
          <w:lang w:val="it-IT"/>
        </w:rPr>
        <w:t>”</w:t>
      </w:r>
      <w:r>
        <w:rPr>
          <w:rFonts w:ascii="Book Antiqua"/>
          <w:rtl w:val="0"/>
          <w:lang w:val="it-IT"/>
        </w:rPr>
        <w:t xml:space="preserve"> e sulla riduzione dei rifiuti, indicando, come obiettivo a breve termine, quello definito </w:t>
      </w:r>
      <w:r>
        <w:rPr>
          <w:rFonts w:hAnsi="Book Antiqua" w:hint="default"/>
          <w:rtl w:val="0"/>
          <w:lang w:val="it-IT"/>
        </w:rPr>
        <w:t>“</w:t>
      </w:r>
      <w:r>
        <w:rPr>
          <w:rFonts w:ascii="Book Antiqua"/>
          <w:rtl w:val="0"/>
          <w:lang w:val="it-IT"/>
        </w:rPr>
        <w:t>Roma citt</w:t>
      </w:r>
      <w:r>
        <w:rPr>
          <w:rFonts w:hAnsi="Book Antiqua" w:hint="default"/>
          <w:rtl w:val="0"/>
          <w:lang w:val="it-IT"/>
        </w:rPr>
        <w:t xml:space="preserve">à </w:t>
      </w:r>
      <w:r>
        <w:rPr>
          <w:rFonts w:ascii="Book Antiqua"/>
          <w:rtl w:val="0"/>
          <w:lang w:val="it-IT"/>
        </w:rPr>
        <w:t>pulita</w:t>
      </w:r>
      <w:r>
        <w:rPr>
          <w:rFonts w:hAnsi="Book Antiqua" w:hint="default"/>
          <w:rtl w:val="0"/>
          <w:lang w:val="it-IT"/>
        </w:rPr>
        <w:t>”</w:t>
      </w:r>
      <w:r>
        <w:rPr>
          <w:rFonts w:ascii="Book Antiqua"/>
          <w:rtl w:val="0"/>
          <w:lang w:val="it-IT"/>
        </w:rPr>
        <w:t>, da perseguire con analisi e interventi organizzativi su AMA, e con un richiamo alle indicazioni dell</w:t>
      </w:r>
      <w:r>
        <w:rPr>
          <w:rFonts w:hAnsi="Book Antiqua" w:hint="default"/>
          <w:rtl w:val="0"/>
          <w:lang w:val="it-IT"/>
        </w:rPr>
        <w:t>’</w:t>
      </w:r>
      <w:r>
        <w:rPr>
          <w:rFonts w:ascii="Book Antiqua"/>
          <w:rtl w:val="0"/>
          <w:lang w:val="it-IT"/>
        </w:rPr>
        <w:t xml:space="preserve">Unione europea: </w:t>
      </w:r>
      <w:r>
        <w:rPr>
          <w:rFonts w:hAnsi="Book Antiqua" w:hint="default"/>
          <w:rtl w:val="0"/>
          <w:lang w:val="it-IT"/>
        </w:rPr>
        <w:t>“</w:t>
      </w:r>
      <w:r>
        <w:rPr>
          <w:rFonts w:ascii="Book Antiqua"/>
          <w:rtl w:val="0"/>
          <w:lang w:val="it-IT"/>
        </w:rPr>
        <w:t xml:space="preserve">riteniamo che sia essenziale definire lo stato dell'arte, ed </w:t>
      </w:r>
      <w:r>
        <w:rPr>
          <w:rFonts w:hAnsi="Book Antiqua" w:hint="default"/>
          <w:rtl w:val="0"/>
          <w:lang w:val="it-IT"/>
        </w:rPr>
        <w:t xml:space="preserve">è </w:t>
      </w:r>
      <w:r>
        <w:rPr>
          <w:rFonts w:ascii="Book Antiqua"/>
          <w:rtl w:val="0"/>
          <w:lang w:val="it-IT"/>
        </w:rPr>
        <w:t xml:space="preserve">quello che stiamo cercando di fare, della gestione di AMA con una </w:t>
      </w:r>
      <w:r>
        <w:rPr>
          <w:rFonts w:ascii="Book Antiqua"/>
          <w:i w:val="1"/>
          <w:iCs w:val="1"/>
          <w:rtl w:val="0"/>
          <w:lang w:val="it-IT"/>
        </w:rPr>
        <w:t>due diligence</w:t>
      </w:r>
      <w:r>
        <w:rPr>
          <w:rFonts w:ascii="Book Antiqua"/>
          <w:rtl w:val="0"/>
          <w:lang w:val="it-IT"/>
        </w:rPr>
        <w:t xml:space="preserve"> aziendale, che ha come obiettivo quello di una valutazione della situazione finanziaria e di una valutazione dell'assetto tecnico-organizzativo, ovviamente in una relazione attiva con la normativa nazionale ed europea e, in generale, una valutazione complessiva dell'ottimizzazione della logistica aziendale. Ci tengo molto a dire che un altro orientamento fondamentale per noi </w:t>
      </w:r>
      <w:r>
        <w:rPr>
          <w:rFonts w:hAnsi="Book Antiqua" w:hint="default"/>
          <w:rtl w:val="0"/>
          <w:lang w:val="it-IT"/>
        </w:rPr>
        <w:t xml:space="preserve">è </w:t>
      </w:r>
      <w:r>
        <w:rPr>
          <w:rFonts w:ascii="Book Antiqua"/>
          <w:rtl w:val="0"/>
          <w:lang w:val="it-IT"/>
        </w:rPr>
        <w:t>l'applicazione della gerarchia dei rifiuti indicata dalla Commissione europea, che mette al primo posto la riduzione della preparazione dei rifiuti e al secondo posto la preparazione per il riutilizzo. Sappiamo tutti della raccolta differenziata e del riuso, ma credo che tradurre in indicazioni di tipo industriale e anche di tipo gestionale, questo orientamento della Commissione europea e della direttiva europea, sia fondamentale. Preparazione per il riutilizzo significa individuare le filiere che devono essere sviluppate e potenziate. Dicevo che un altro obiettivo metodologico [</w:t>
      </w:r>
      <w:r>
        <w:rPr>
          <w:rFonts w:hAnsi="Book Antiqua" w:hint="default"/>
          <w:rtl w:val="0"/>
          <w:lang w:val="it-IT"/>
        </w:rPr>
        <w:t>…</w:t>
      </w:r>
      <w:r>
        <w:rPr>
          <w:rFonts w:ascii="Book Antiqua"/>
          <w:rtl w:val="0"/>
          <w:lang w:val="it-IT"/>
        </w:rPr>
        <w:t xml:space="preserve">] riguarda l'ottimizzazione della logistica aziendale attraverso un'analisi, una razionalizzazione </w:t>
      </w:r>
      <w:r>
        <w:rPr>
          <w:rFonts w:hAnsi="Book Antiqua" w:hint="default"/>
          <w:rtl w:val="0"/>
          <w:lang w:val="it-IT"/>
        </w:rPr>
        <w:t xml:space="preserve">– </w:t>
      </w:r>
      <w:r>
        <w:rPr>
          <w:rFonts w:ascii="Book Antiqua"/>
          <w:rtl w:val="0"/>
          <w:lang w:val="it-IT"/>
        </w:rPr>
        <w:t>e sar</w:t>
      </w:r>
      <w:r>
        <w:rPr>
          <w:rFonts w:hAnsi="Book Antiqua" w:hint="default"/>
          <w:rtl w:val="0"/>
          <w:lang w:val="it-IT"/>
        </w:rPr>
        <w:t xml:space="preserve">à </w:t>
      </w:r>
      <w:r>
        <w:rPr>
          <w:rFonts w:ascii="Book Antiqua"/>
          <w:rtl w:val="0"/>
          <w:lang w:val="it-IT"/>
        </w:rPr>
        <w:t xml:space="preserve">quello che faremo nei prossimi mesi </w:t>
      </w:r>
      <w:r>
        <w:rPr>
          <w:rFonts w:hAnsi="Book Antiqua" w:hint="default"/>
          <w:rtl w:val="0"/>
          <w:lang w:val="it-IT"/>
        </w:rPr>
        <w:t xml:space="preserve">– </w:t>
      </w:r>
      <w:r>
        <w:rPr>
          <w:rFonts w:ascii="Book Antiqua"/>
          <w:rtl w:val="0"/>
          <w:lang w:val="it-IT"/>
        </w:rPr>
        <w:t>che riguardano generalmente l'organizzazione della gestione, che per la citt</w:t>
      </w:r>
      <w:r>
        <w:rPr>
          <w:rFonts w:hAnsi="Book Antiqua" w:hint="default"/>
          <w:rtl w:val="0"/>
          <w:lang w:val="it-IT"/>
        </w:rPr>
        <w:t xml:space="preserve">à </w:t>
      </w:r>
      <w:r>
        <w:rPr>
          <w:rFonts w:ascii="Book Antiqua"/>
          <w:rtl w:val="0"/>
          <w:lang w:val="it-IT"/>
        </w:rPr>
        <w:t xml:space="preserve">di Roma </w:t>
      </w:r>
      <w:r>
        <w:rPr>
          <w:rFonts w:hAnsi="Book Antiqua" w:hint="default"/>
          <w:rtl w:val="0"/>
          <w:lang w:val="it-IT"/>
        </w:rPr>
        <w:t xml:space="preserve">è </w:t>
      </w:r>
      <w:r>
        <w:rPr>
          <w:rFonts w:ascii="Book Antiqua"/>
          <w:rtl w:val="0"/>
          <w:lang w:val="it-IT"/>
        </w:rPr>
        <w:t xml:space="preserve">un problema molto importante, la razionalizzazione dei costi di trasposto; l'analisi delle riduzioni delle emissioni inquinanti e dei mezzi per la raccolta, il trasporto e l'impatto della flotta AMA sul traffico urbano ed extraurbano; la revisione di tutto il modello gestionale organizzativo di spazzamento e di raccolta, per trasformarli in un modello efficiente, che funzioni, che faccia di Roma </w:t>
      </w:r>
      <w:r>
        <w:rPr>
          <w:rFonts w:hAnsi="Book Antiqua" w:hint="default"/>
          <w:rtl w:val="0"/>
          <w:lang w:val="it-IT"/>
        </w:rPr>
        <w:t>«</w:t>
      </w:r>
      <w:r>
        <w:rPr>
          <w:rFonts w:ascii="Book Antiqua"/>
          <w:rtl w:val="0"/>
          <w:lang w:val="it-IT"/>
        </w:rPr>
        <w:t>Roma citt</w:t>
      </w:r>
      <w:r>
        <w:rPr>
          <w:rFonts w:hAnsi="Book Antiqua" w:hint="default"/>
          <w:rtl w:val="0"/>
          <w:lang w:val="it-IT"/>
        </w:rPr>
        <w:t xml:space="preserve">à </w:t>
      </w:r>
      <w:r>
        <w:rPr>
          <w:rFonts w:ascii="Book Antiqua"/>
          <w:rtl w:val="0"/>
          <w:lang w:val="it-IT"/>
        </w:rPr>
        <w:t>pulita</w:t>
      </w:r>
      <w:r>
        <w:rPr>
          <w:rFonts w:hAnsi="Book Antiqua" w:hint="default"/>
          <w:rtl w:val="0"/>
          <w:lang w:val="it-IT"/>
        </w:rPr>
        <w:t>»”</w:t>
      </w:r>
      <w:r>
        <w:rPr>
          <w:rFonts w:ascii="Book Antiqua"/>
          <w:rtl w:val="0"/>
          <w:lang w:val="it-IT"/>
        </w:rPr>
        <w:t>.</w:t>
      </w:r>
    </w:p>
    <w:p>
      <w:pPr>
        <w:pStyle w:val="intervento"/>
        <w:spacing w:before="0" w:after="0"/>
        <w:ind w:left="567" w:right="567" w:firstLine="0"/>
        <w:jc w:val="both"/>
        <w:rPr>
          <w:rFonts w:ascii="Book Antiqua" w:cs="Book Antiqua" w:hAnsi="Book Antiqua" w:eastAsia="Book Antiqua"/>
        </w:rPr>
      </w:pPr>
      <w:r>
        <w:rPr>
          <w:rFonts w:ascii="Book Antiqua"/>
          <w:rtl w:val="0"/>
          <w:lang w:val="it-IT"/>
        </w:rPr>
        <w:t xml:space="preserve">Successivamente, con la deliberazione di Giunta comunale n. 47 del 30 marzo 2017 </w:t>
      </w:r>
      <w:r>
        <w:rPr>
          <w:rFonts w:hAnsi="Book Antiqua" w:hint="default"/>
          <w:rtl w:val="0"/>
          <w:lang w:val="it-IT"/>
        </w:rPr>
        <w:t xml:space="preserve">è </w:t>
      </w:r>
      <w:r>
        <w:rPr>
          <w:rFonts w:ascii="Book Antiqua"/>
          <w:rtl w:val="0"/>
          <w:lang w:val="it-IT"/>
        </w:rPr>
        <w:t xml:space="preserve">stato approvato il </w:t>
      </w:r>
      <w:r>
        <w:rPr>
          <w:rFonts w:hAnsi="Book Antiqua" w:hint="default"/>
          <w:rtl w:val="0"/>
          <w:lang w:val="it-IT"/>
        </w:rPr>
        <w:t>“</w:t>
      </w:r>
      <w:r>
        <w:rPr>
          <w:rFonts w:ascii="Book Antiqua"/>
          <w:rtl w:val="0"/>
          <w:lang w:val="it-IT"/>
        </w:rPr>
        <w:t xml:space="preserve">Piano per la gestione dei materiali post-consumo 2017 </w:t>
      </w:r>
      <w:r>
        <w:rPr>
          <w:rFonts w:hAnsi="Book Antiqua" w:hint="default"/>
          <w:rtl w:val="0"/>
          <w:lang w:val="it-IT"/>
        </w:rPr>
        <w:t xml:space="preserve">– </w:t>
      </w:r>
      <w:r>
        <w:rPr>
          <w:rFonts w:ascii="Book Antiqua"/>
          <w:rtl w:val="0"/>
          <w:lang w:val="it-IT"/>
        </w:rPr>
        <w:t>2021 del comune di Roma. Il piano individua 12 azioni di riduzione dei materiali post-consumo (rifiuti) finalizzate a riportare Roma nella media nazionale in termini di produzione pro capite di RU.</w:t>
      </w:r>
    </w:p>
    <w:p>
      <w:pPr>
        <w:pStyle w:val="intervento"/>
        <w:spacing w:before="0" w:after="0"/>
        <w:ind w:left="567" w:right="567" w:firstLine="0"/>
        <w:jc w:val="both"/>
        <w:rPr>
          <w:rFonts w:ascii="Book Antiqua" w:cs="Book Antiqua" w:hAnsi="Book Antiqua" w:eastAsia="Book Antiqua"/>
        </w:rPr>
      </w:pPr>
      <w:r>
        <w:rPr>
          <w:rFonts w:ascii="Book Antiqua"/>
          <w:rtl w:val="0"/>
          <w:lang w:val="it-IT"/>
        </w:rPr>
        <w:t xml:space="preserve">Infatti, la  produzione di rifiuti pro capite a Roma, allo stato attuale, </w:t>
      </w:r>
      <w:r>
        <w:rPr>
          <w:rFonts w:hAnsi="Book Antiqua" w:hint="default"/>
          <w:rtl w:val="0"/>
          <w:lang w:val="it-IT"/>
        </w:rPr>
        <w:t xml:space="preserve">è </w:t>
      </w:r>
      <w:r>
        <w:rPr>
          <w:rFonts w:ascii="Book Antiqua"/>
          <w:rtl w:val="0"/>
          <w:lang w:val="it-IT"/>
        </w:rPr>
        <w:t>di circa 600 kg/abitante*anno, contro una media nazionale di 486,7 kg/abitante*anno e di 543,2 kg/abitante*anno per il Centro Italia in parte a causa del pendolarismo dei lavoratori impiegati nella Capitale, in parte a causa delle presenze turistiche che sono massicce durante tutto l</w:t>
      </w:r>
      <w:r>
        <w:rPr>
          <w:rFonts w:hAnsi="Book Antiqua" w:hint="default"/>
          <w:rtl w:val="0"/>
          <w:lang w:val="it-IT"/>
        </w:rPr>
        <w:t>’</w:t>
      </w:r>
      <w:r>
        <w:rPr>
          <w:rFonts w:ascii="Book Antiqua"/>
          <w:rtl w:val="0"/>
          <w:lang w:val="it-IT"/>
        </w:rPr>
        <w:t>anno, nonch</w:t>
      </w:r>
      <w:r>
        <w:rPr>
          <w:rFonts w:hAnsi="Book Antiqua" w:hint="default"/>
          <w:rtl w:val="0"/>
          <w:lang w:val="it-IT"/>
        </w:rPr>
        <w:t xml:space="preserve">é </w:t>
      </w:r>
      <w:r>
        <w:rPr>
          <w:rFonts w:ascii="Book Antiqua"/>
          <w:rtl w:val="0"/>
          <w:lang w:val="it-IT"/>
        </w:rPr>
        <w:t>per la presenza di studenti universitari impegnati nei diversi atenei della citt</w:t>
      </w:r>
      <w:r>
        <w:rPr>
          <w:rFonts w:hAnsi="Book Antiqua" w:hint="default"/>
          <w:rtl w:val="0"/>
          <w:lang w:val="it-IT"/>
        </w:rPr>
        <w:t>à</w:t>
      </w:r>
      <w:r>
        <w:rPr>
          <w:rFonts w:ascii="Book Antiqua"/>
          <w:rtl w:val="0"/>
          <w:lang w:val="it-IT"/>
        </w:rPr>
        <w:t>.</w:t>
      </w:r>
    </w:p>
    <w:p>
      <w:pPr>
        <w:pStyle w:val="intervento"/>
        <w:spacing w:before="0" w:after="0"/>
        <w:ind w:left="567" w:right="567" w:firstLine="0"/>
        <w:jc w:val="both"/>
        <w:rPr>
          <w:rFonts w:ascii="Book Antiqua" w:cs="Book Antiqua" w:hAnsi="Book Antiqua" w:eastAsia="Book Antiqua"/>
        </w:rPr>
      </w:pPr>
      <w:r>
        <w:rPr>
          <w:rFonts w:ascii="Book Antiqua"/>
          <w:rtl w:val="0"/>
          <w:lang w:val="it-IT"/>
        </w:rPr>
        <w:t>L</w:t>
      </w:r>
      <w:r>
        <w:rPr>
          <w:rFonts w:hAnsi="Book Antiqua" w:hint="default"/>
          <w:rtl w:val="0"/>
          <w:lang w:val="it-IT"/>
        </w:rPr>
        <w:t>’</w:t>
      </w:r>
      <w:r>
        <w:rPr>
          <w:rFonts w:ascii="Book Antiqua"/>
          <w:rtl w:val="0"/>
          <w:lang w:val="it-IT"/>
        </w:rPr>
        <w:t>assessora alla sostenibilit</w:t>
      </w:r>
      <w:r>
        <w:rPr>
          <w:rFonts w:hAnsi="Book Antiqua" w:hint="default"/>
          <w:rtl w:val="0"/>
          <w:lang w:val="it-IT"/>
        </w:rPr>
        <w:t xml:space="preserve">à </w:t>
      </w:r>
      <w:r>
        <w:rPr>
          <w:rFonts w:ascii="Book Antiqua"/>
          <w:rtl w:val="0"/>
          <w:lang w:val="it-IT"/>
        </w:rPr>
        <w:t xml:space="preserve">ambientale di Roma Capitale, Giuseppina Montanari, in audizione davanti alla Commissione il 31 gennaio 2017 aveva chiarito gli obiettivi del piano in via di approvazione </w:t>
      </w:r>
      <w:r>
        <w:rPr>
          <w:rFonts w:hAnsi="Book Antiqua" w:hint="default"/>
          <w:rtl w:val="0"/>
          <w:lang w:val="it-IT"/>
        </w:rPr>
        <w:t>“</w:t>
      </w:r>
      <w:r>
        <w:rPr>
          <w:rFonts w:ascii="Book Antiqua"/>
          <w:rtl w:val="0"/>
          <w:lang w:val="it-IT"/>
        </w:rPr>
        <w:t>Vorremmo gi</w:t>
      </w:r>
      <w:r>
        <w:rPr>
          <w:rFonts w:hAnsi="Book Antiqua" w:hint="default"/>
          <w:rtl w:val="0"/>
          <w:lang w:val="it-IT"/>
        </w:rPr>
        <w:t xml:space="preserve">à </w:t>
      </w:r>
      <w:r>
        <w:rPr>
          <w:rFonts w:ascii="Book Antiqua"/>
          <w:rtl w:val="0"/>
          <w:lang w:val="it-IT"/>
        </w:rPr>
        <w:t>subito dare una chiave di lettura a quello che stiamo facendo, cio</w:t>
      </w:r>
      <w:r>
        <w:rPr>
          <w:rFonts w:hAnsi="Book Antiqua" w:hint="default"/>
          <w:rtl w:val="0"/>
          <w:lang w:val="it-IT"/>
        </w:rPr>
        <w:t xml:space="preserve">è </w:t>
      </w:r>
      <w:r>
        <w:rPr>
          <w:rFonts w:ascii="Book Antiqua"/>
          <w:rtl w:val="0"/>
          <w:lang w:val="it-IT"/>
        </w:rPr>
        <w:t>ragionando sui rifiuti come una grande opportunit</w:t>
      </w:r>
      <w:r>
        <w:rPr>
          <w:rFonts w:hAnsi="Book Antiqua" w:hint="default"/>
          <w:rtl w:val="0"/>
          <w:lang w:val="it-IT"/>
        </w:rPr>
        <w:t xml:space="preserve">à </w:t>
      </w:r>
      <w:r>
        <w:rPr>
          <w:rFonts w:ascii="Book Antiqua"/>
          <w:rtl w:val="0"/>
          <w:lang w:val="it-IT"/>
        </w:rPr>
        <w:t>per il territorio [</w:t>
      </w:r>
      <w:r>
        <w:rPr>
          <w:rFonts w:hAnsi="Book Antiqua" w:hint="default"/>
          <w:rtl w:val="0"/>
          <w:lang w:val="it-IT"/>
        </w:rPr>
        <w:t>…</w:t>
      </w:r>
      <w:r>
        <w:rPr>
          <w:rFonts w:ascii="Book Antiqua"/>
          <w:rtl w:val="0"/>
          <w:lang w:val="it-IT"/>
        </w:rPr>
        <w:t>] Io mi vorrei gi</w:t>
      </w:r>
      <w:r>
        <w:rPr>
          <w:rFonts w:hAnsi="Book Antiqua" w:hint="default"/>
          <w:rtl w:val="0"/>
          <w:lang w:val="it-IT"/>
        </w:rPr>
        <w:t xml:space="preserve">à </w:t>
      </w:r>
      <w:r>
        <w:rPr>
          <w:rFonts w:ascii="Book Antiqua"/>
          <w:rtl w:val="0"/>
          <w:lang w:val="it-IT"/>
        </w:rPr>
        <w:t>soffermare sui nostri obiettivi, sull</w:t>
      </w:r>
      <w:r>
        <w:rPr>
          <w:rFonts w:hAnsi="Book Antiqua" w:hint="default"/>
          <w:rtl w:val="0"/>
          <w:lang w:val="it-IT"/>
        </w:rPr>
        <w:t>’</w:t>
      </w:r>
      <w:r>
        <w:rPr>
          <w:rFonts w:ascii="Book Antiqua"/>
          <w:rtl w:val="0"/>
          <w:lang w:val="it-IT"/>
        </w:rPr>
        <w:t>analisi attuale della situazione e sulle prospettive dal punto di vista sia del piano di riduzione dei rifiuti sia della raccolta differenziata domiciliarizzata, poi dedicata alle utenze domestiche e non domestiche, sia allo sviluppo di un</w:t>
      </w:r>
      <w:r>
        <w:rPr>
          <w:rFonts w:hAnsi="Book Antiqua" w:hint="default"/>
          <w:rtl w:val="0"/>
          <w:lang w:val="it-IT"/>
        </w:rPr>
        <w:t>’</w:t>
      </w:r>
      <w:r>
        <w:rPr>
          <w:rFonts w:ascii="Book Antiqua"/>
          <w:rtl w:val="0"/>
          <w:lang w:val="it-IT"/>
        </w:rPr>
        <w:t xml:space="preserve">impiantistica che va nella direzione della valorizzazione di quello che, purtroppo, oggi nel nostro Paese </w:t>
      </w:r>
      <w:r>
        <w:rPr>
          <w:rFonts w:hAnsi="Book Antiqua" w:hint="default"/>
          <w:rtl w:val="0"/>
          <w:lang w:val="it-IT"/>
        </w:rPr>
        <w:t xml:space="preserve">è </w:t>
      </w:r>
      <w:r>
        <w:rPr>
          <w:rFonts w:ascii="Book Antiqua"/>
          <w:rtl w:val="0"/>
          <w:lang w:val="it-IT"/>
        </w:rPr>
        <w:t xml:space="preserve">ancora valore perso. Quando noi creiamo rifiuti, creiamo valore perso che purtroppo finisce prevalentemente in discarica in questo nostro Paese. Naturalmente, questo </w:t>
      </w:r>
      <w:r>
        <w:rPr>
          <w:rFonts w:hAnsi="Book Antiqua" w:hint="default"/>
          <w:rtl w:val="0"/>
          <w:lang w:val="it-IT"/>
        </w:rPr>
        <w:t xml:space="preserve">è </w:t>
      </w:r>
      <w:r>
        <w:rPr>
          <w:rFonts w:ascii="Book Antiqua"/>
          <w:rtl w:val="0"/>
          <w:lang w:val="it-IT"/>
        </w:rPr>
        <w:t>causa di una perdita anche economica, di una perdita per l</w:t>
      </w:r>
      <w:r>
        <w:rPr>
          <w:rFonts w:hAnsi="Book Antiqua" w:hint="default"/>
          <w:rtl w:val="0"/>
          <w:lang w:val="it-IT"/>
        </w:rPr>
        <w:t>’</w:t>
      </w:r>
      <w:r>
        <w:rPr>
          <w:rFonts w:ascii="Book Antiqua"/>
          <w:rtl w:val="0"/>
          <w:lang w:val="it-IT"/>
        </w:rPr>
        <w:t xml:space="preserve">ambiente e di una perdita anche dal punto di vista sociale. Questa </w:t>
      </w:r>
      <w:r>
        <w:rPr>
          <w:rFonts w:hAnsi="Book Antiqua" w:hint="default"/>
          <w:rtl w:val="0"/>
          <w:lang w:val="it-IT"/>
        </w:rPr>
        <w:t xml:space="preserve">è </w:t>
      </w:r>
      <w:r>
        <w:rPr>
          <w:rFonts w:ascii="Book Antiqua"/>
          <w:rtl w:val="0"/>
          <w:lang w:val="it-IT"/>
        </w:rPr>
        <w:t>un po</w:t>
      </w:r>
      <w:r>
        <w:rPr>
          <w:rFonts w:hAnsi="Book Antiqua" w:hint="default"/>
          <w:rtl w:val="0"/>
          <w:lang w:val="it-IT"/>
        </w:rPr>
        <w:t xml:space="preserve">’ </w:t>
      </w:r>
      <w:r>
        <w:rPr>
          <w:rFonts w:ascii="Book Antiqua"/>
          <w:rtl w:val="0"/>
          <w:lang w:val="it-IT"/>
        </w:rPr>
        <w:t>la chiave di lettura che sta dietro al nostro impegno.</w:t>
      </w:r>
      <w:r>
        <w:rPr>
          <w:rFonts w:hAnsi="Book Antiqua" w:hint="default"/>
          <w:rtl w:val="0"/>
          <w:lang w:val="it-IT"/>
        </w:rPr>
        <w:t>”</w:t>
      </w:r>
    </w:p>
    <w:p>
      <w:pPr>
        <w:pStyle w:val="intervento"/>
        <w:spacing w:before="0" w:after="0"/>
        <w:ind w:left="567" w:right="567" w:firstLine="0"/>
        <w:jc w:val="both"/>
        <w:rPr>
          <w:rFonts w:ascii="Book Antiqua" w:cs="Book Antiqua" w:hAnsi="Book Antiqua" w:eastAsia="Book Antiqua"/>
        </w:rPr>
      </w:pPr>
      <w:r>
        <w:rPr>
          <w:rFonts w:ascii="Book Antiqua"/>
          <w:rtl w:val="0"/>
          <w:lang w:val="it-IT"/>
        </w:rPr>
        <w:t>Le 12 azioni di prevenzione individuate nel piano, e di seguito riportate, hanno ognuna un obiettivo specifico e, nelle intenzioni dell</w:t>
      </w:r>
      <w:r>
        <w:rPr>
          <w:rFonts w:hAnsi="Book Antiqua" w:hint="default"/>
          <w:rtl w:val="0"/>
          <w:lang w:val="it-IT"/>
        </w:rPr>
        <w:t>’</w:t>
      </w:r>
      <w:r>
        <w:rPr>
          <w:rFonts w:ascii="Book Antiqua"/>
          <w:rtl w:val="0"/>
          <w:lang w:val="it-IT"/>
        </w:rPr>
        <w:t>amministrazione, dovrebbero permettere una riduzione complessiva del 16,5 per cento della produzione totale di rifiuti urbani nel territorio romano:</w:t>
      </w:r>
    </w:p>
    <w:p>
      <w:pPr>
        <w:pStyle w:val="intervento"/>
        <w:spacing w:before="0" w:after="0"/>
        <w:ind w:left="567" w:right="567" w:firstLine="0"/>
        <w:jc w:val="both"/>
        <w:rPr>
          <w:rFonts w:ascii="Book Antiqua" w:cs="Book Antiqua" w:hAnsi="Book Antiqua" w:eastAsia="Book Antiqua"/>
        </w:rPr>
      </w:pPr>
    </w:p>
    <w:p>
      <w:pPr>
        <w:pStyle w:val="intervento"/>
        <w:spacing w:before="0" w:after="0"/>
        <w:ind w:left="567" w:right="567" w:firstLine="0"/>
        <w:jc w:val="both"/>
        <w:rPr>
          <w:rFonts w:ascii="Book Antiqua" w:cs="Book Antiqua" w:hAnsi="Book Antiqua" w:eastAsia="Book Antiqua"/>
          <w:sz w:val="22"/>
          <w:szCs w:val="22"/>
        </w:rPr>
      </w:pPr>
      <w:r>
        <w:rPr>
          <w:rFonts w:ascii="Book Antiqua"/>
          <w:sz w:val="22"/>
          <w:szCs w:val="22"/>
          <w:rtl w:val="0"/>
          <w:lang w:val="it-IT"/>
        </w:rPr>
        <w:t xml:space="preserve">1. Ecoacquisti attraverso la Green Card </w:t>
      </w:r>
    </w:p>
    <w:p>
      <w:pPr>
        <w:pStyle w:val="intervento"/>
        <w:spacing w:before="0" w:after="0"/>
        <w:ind w:left="567" w:right="567" w:firstLine="0"/>
        <w:jc w:val="both"/>
        <w:rPr>
          <w:rFonts w:ascii="Book Antiqua" w:cs="Book Antiqua" w:hAnsi="Book Antiqua" w:eastAsia="Book Antiqua"/>
          <w:sz w:val="22"/>
          <w:szCs w:val="22"/>
        </w:rPr>
      </w:pPr>
      <w:r>
        <w:rPr>
          <w:rFonts w:ascii="Book Antiqua"/>
          <w:sz w:val="22"/>
          <w:szCs w:val="22"/>
          <w:rtl w:val="0"/>
          <w:lang w:val="it-IT"/>
        </w:rPr>
        <w:t xml:space="preserve">2. Programma per la riduzione degli imballaggi: Progetto </w:t>
      </w:r>
      <w:r>
        <w:rPr>
          <w:rFonts w:hAnsi="Book Antiqua" w:hint="default"/>
          <w:sz w:val="22"/>
          <w:szCs w:val="22"/>
          <w:rtl w:val="0"/>
          <w:lang w:val="it-IT"/>
        </w:rPr>
        <w:t>“</w:t>
      </w:r>
      <w:r>
        <w:rPr>
          <w:rFonts w:ascii="Book Antiqua"/>
          <w:sz w:val="22"/>
          <w:szCs w:val="22"/>
          <w:rtl w:val="0"/>
          <w:lang w:val="it-IT"/>
        </w:rPr>
        <w:t>Acque di Roma</w:t>
      </w:r>
      <w:r>
        <w:rPr>
          <w:rFonts w:hAnsi="Book Antiqua" w:hint="default"/>
          <w:sz w:val="22"/>
          <w:szCs w:val="22"/>
          <w:rtl w:val="0"/>
          <w:lang w:val="it-IT"/>
        </w:rPr>
        <w:t xml:space="preserve">” </w:t>
      </w:r>
    </w:p>
    <w:p>
      <w:pPr>
        <w:pStyle w:val="intervento"/>
        <w:spacing w:before="0" w:after="0"/>
        <w:ind w:left="567" w:right="567" w:firstLine="0"/>
        <w:jc w:val="both"/>
        <w:rPr>
          <w:rFonts w:ascii="Book Antiqua" w:cs="Book Antiqua" w:hAnsi="Book Antiqua" w:eastAsia="Book Antiqua"/>
          <w:sz w:val="22"/>
          <w:szCs w:val="22"/>
        </w:rPr>
      </w:pPr>
      <w:r>
        <w:rPr>
          <w:rFonts w:ascii="Book Antiqua"/>
          <w:sz w:val="22"/>
          <w:szCs w:val="22"/>
          <w:rtl w:val="0"/>
          <w:lang w:val="it-IT"/>
        </w:rPr>
        <w:t xml:space="preserve">3. Programma per la riduzione degli imballaggi: Incentivazione del ricorso a prodotti alla spina </w:t>
      </w:r>
    </w:p>
    <w:p>
      <w:pPr>
        <w:pStyle w:val="intervento"/>
        <w:spacing w:before="0" w:after="0"/>
        <w:ind w:left="567" w:right="567" w:firstLine="0"/>
        <w:jc w:val="both"/>
        <w:rPr>
          <w:rFonts w:ascii="Book Antiqua" w:cs="Book Antiqua" w:hAnsi="Book Antiqua" w:eastAsia="Book Antiqua"/>
          <w:sz w:val="22"/>
          <w:szCs w:val="22"/>
        </w:rPr>
      </w:pPr>
      <w:r>
        <w:rPr>
          <w:rFonts w:ascii="Book Antiqua"/>
          <w:sz w:val="22"/>
          <w:szCs w:val="22"/>
          <w:rtl w:val="0"/>
          <w:lang w:val="it-IT"/>
        </w:rPr>
        <w:t xml:space="preserve">4. Programma contro lo spreco alimentare nella ristorazione e nella distribuzione  </w:t>
      </w:r>
    </w:p>
    <w:p>
      <w:pPr>
        <w:pStyle w:val="intervento"/>
        <w:spacing w:before="0" w:after="0"/>
        <w:ind w:left="567" w:right="567" w:firstLine="0"/>
        <w:jc w:val="both"/>
        <w:rPr>
          <w:rFonts w:ascii="Book Antiqua" w:cs="Book Antiqua" w:hAnsi="Book Antiqua" w:eastAsia="Book Antiqua"/>
          <w:sz w:val="22"/>
          <w:szCs w:val="22"/>
        </w:rPr>
      </w:pPr>
      <w:r>
        <w:rPr>
          <w:rFonts w:ascii="Book Antiqua"/>
          <w:sz w:val="22"/>
          <w:szCs w:val="22"/>
          <w:rtl w:val="0"/>
          <w:lang w:val="it-IT"/>
        </w:rPr>
        <w:t>5. Promozione del compostaggio domestico e introduzione del compostaggio di comunit</w:t>
      </w:r>
      <w:r>
        <w:rPr>
          <w:rFonts w:hAnsi="Book Antiqua" w:hint="default"/>
          <w:sz w:val="22"/>
          <w:szCs w:val="22"/>
          <w:rtl w:val="0"/>
          <w:lang w:val="it-IT"/>
        </w:rPr>
        <w:t xml:space="preserve">à </w:t>
      </w:r>
    </w:p>
    <w:p>
      <w:pPr>
        <w:pStyle w:val="intervento"/>
        <w:spacing w:before="0" w:after="0"/>
        <w:ind w:left="567" w:right="567" w:firstLine="0"/>
        <w:jc w:val="both"/>
        <w:rPr>
          <w:rFonts w:ascii="Book Antiqua" w:cs="Book Antiqua" w:hAnsi="Book Antiqua" w:eastAsia="Book Antiqua"/>
          <w:sz w:val="22"/>
          <w:szCs w:val="22"/>
        </w:rPr>
      </w:pPr>
      <w:r>
        <w:rPr>
          <w:rFonts w:ascii="Book Antiqua"/>
          <w:sz w:val="22"/>
          <w:szCs w:val="22"/>
          <w:rtl w:val="0"/>
          <w:lang w:val="it-IT"/>
        </w:rPr>
        <w:t>6. Promozione dell</w:t>
      </w:r>
      <w:r>
        <w:rPr>
          <w:rFonts w:hAnsi="Book Antiqua" w:hint="default"/>
          <w:sz w:val="22"/>
          <w:szCs w:val="22"/>
          <w:rtl w:val="0"/>
          <w:lang w:val="it-IT"/>
        </w:rPr>
        <w:t>’</w:t>
      </w:r>
      <w:r>
        <w:rPr>
          <w:rFonts w:ascii="Book Antiqua"/>
          <w:sz w:val="22"/>
          <w:szCs w:val="22"/>
          <w:rtl w:val="0"/>
          <w:lang w:val="it-IT"/>
        </w:rPr>
        <w:t xml:space="preserve">uso di pannolini riutilizzabili per neonati </w:t>
      </w:r>
    </w:p>
    <w:p>
      <w:pPr>
        <w:pStyle w:val="intervento"/>
        <w:spacing w:before="0" w:after="0"/>
        <w:ind w:left="567" w:right="567" w:firstLine="0"/>
        <w:jc w:val="both"/>
        <w:rPr>
          <w:rFonts w:ascii="Book Antiqua" w:cs="Book Antiqua" w:hAnsi="Book Antiqua" w:eastAsia="Book Antiqua"/>
          <w:sz w:val="22"/>
          <w:szCs w:val="22"/>
        </w:rPr>
      </w:pPr>
      <w:r>
        <w:rPr>
          <w:rFonts w:ascii="Book Antiqua"/>
          <w:sz w:val="22"/>
          <w:szCs w:val="22"/>
          <w:rtl w:val="0"/>
          <w:lang w:val="it-IT"/>
        </w:rPr>
        <w:t xml:space="preserve">7. Promozione dei centri di riparazione e riuso </w:t>
      </w:r>
    </w:p>
    <w:p>
      <w:pPr>
        <w:pStyle w:val="intervento"/>
        <w:spacing w:before="0" w:after="0"/>
        <w:ind w:left="567" w:right="567" w:firstLine="0"/>
        <w:jc w:val="both"/>
        <w:rPr>
          <w:rFonts w:ascii="Book Antiqua" w:cs="Book Antiqua" w:hAnsi="Book Antiqua" w:eastAsia="Book Antiqua"/>
          <w:sz w:val="22"/>
          <w:szCs w:val="22"/>
        </w:rPr>
      </w:pPr>
      <w:r>
        <w:rPr>
          <w:rFonts w:ascii="Book Antiqua"/>
          <w:sz w:val="22"/>
          <w:szCs w:val="22"/>
          <w:rtl w:val="0"/>
          <w:lang w:val="it-IT"/>
        </w:rPr>
        <w:t>8. Programma</w:t>
      </w:r>
      <w:r>
        <w:rPr>
          <w:rFonts w:hAnsi="Book Antiqua" w:hint="default"/>
          <w:sz w:val="22"/>
          <w:szCs w:val="22"/>
          <w:rtl w:val="0"/>
          <w:lang w:val="it-IT"/>
        </w:rPr>
        <w:t xml:space="preserve"> “</w:t>
      </w:r>
      <w:r>
        <w:rPr>
          <w:rFonts w:ascii="Book Antiqua"/>
          <w:sz w:val="22"/>
          <w:szCs w:val="22"/>
          <w:rtl w:val="0"/>
          <w:lang w:val="it-IT"/>
        </w:rPr>
        <w:t>acquisti verdi</w:t>
      </w:r>
      <w:r>
        <w:rPr>
          <w:rFonts w:hAnsi="Book Antiqua" w:hint="default"/>
          <w:sz w:val="22"/>
          <w:szCs w:val="22"/>
          <w:rtl w:val="0"/>
          <w:lang w:val="it-IT"/>
        </w:rPr>
        <w:t>”</w:t>
      </w:r>
      <w:r>
        <w:rPr>
          <w:rFonts w:ascii="Book Antiqua"/>
          <w:sz w:val="22"/>
          <w:szCs w:val="22"/>
          <w:rtl w:val="0"/>
          <w:lang w:val="it-IT"/>
        </w:rPr>
        <w:t xml:space="preserve"> (Green Public Procurement) </w:t>
      </w:r>
    </w:p>
    <w:p>
      <w:pPr>
        <w:pStyle w:val="intervento"/>
        <w:spacing w:before="0" w:after="0"/>
        <w:ind w:left="567" w:right="567" w:firstLine="0"/>
        <w:jc w:val="both"/>
        <w:rPr>
          <w:rFonts w:ascii="Book Antiqua" w:cs="Book Antiqua" w:hAnsi="Book Antiqua" w:eastAsia="Book Antiqua"/>
          <w:sz w:val="22"/>
          <w:szCs w:val="22"/>
        </w:rPr>
      </w:pPr>
      <w:r>
        <w:rPr>
          <w:rFonts w:ascii="Book Antiqua"/>
          <w:sz w:val="22"/>
          <w:szCs w:val="22"/>
          <w:rtl w:val="0"/>
          <w:lang w:val="it-IT"/>
        </w:rPr>
        <w:t xml:space="preserve">9. Regolamento Ecofeste </w:t>
      </w:r>
    </w:p>
    <w:p>
      <w:pPr>
        <w:pStyle w:val="intervento"/>
        <w:spacing w:before="0" w:after="0"/>
        <w:ind w:left="567" w:right="567" w:firstLine="0"/>
        <w:jc w:val="both"/>
        <w:rPr>
          <w:rFonts w:ascii="Book Antiqua" w:cs="Book Antiqua" w:hAnsi="Book Antiqua" w:eastAsia="Book Antiqua"/>
          <w:sz w:val="22"/>
          <w:szCs w:val="22"/>
        </w:rPr>
      </w:pPr>
      <w:r>
        <w:rPr>
          <w:rFonts w:ascii="Book Antiqua"/>
          <w:sz w:val="22"/>
          <w:szCs w:val="22"/>
          <w:rtl w:val="0"/>
          <w:lang w:val="it-IT"/>
        </w:rPr>
        <w:t>10. Incentivazione alla riduzione dei rifiuti attraverso l</w:t>
      </w:r>
      <w:r>
        <w:rPr>
          <w:rFonts w:hAnsi="Book Antiqua" w:hint="default"/>
          <w:sz w:val="22"/>
          <w:szCs w:val="22"/>
          <w:rtl w:val="0"/>
          <w:lang w:val="it-IT"/>
        </w:rPr>
        <w:t>’</w:t>
      </w:r>
      <w:r>
        <w:rPr>
          <w:rFonts w:ascii="Book Antiqua"/>
          <w:sz w:val="22"/>
          <w:szCs w:val="22"/>
          <w:rtl w:val="0"/>
          <w:lang w:val="it-IT"/>
        </w:rPr>
        <w:t xml:space="preserve">applicazione della tariffazione puntuale della produzione di rifiuto secco residuale </w:t>
      </w:r>
    </w:p>
    <w:p>
      <w:pPr>
        <w:pStyle w:val="intervento"/>
        <w:spacing w:before="0" w:after="0"/>
        <w:ind w:left="567" w:right="567" w:firstLine="0"/>
        <w:jc w:val="both"/>
        <w:rPr>
          <w:rFonts w:ascii="Book Antiqua" w:cs="Book Antiqua" w:hAnsi="Book Antiqua" w:eastAsia="Book Antiqua"/>
          <w:sz w:val="22"/>
          <w:szCs w:val="22"/>
        </w:rPr>
      </w:pPr>
      <w:r>
        <w:rPr>
          <w:rFonts w:ascii="Book Antiqua"/>
          <w:sz w:val="22"/>
          <w:szCs w:val="22"/>
          <w:rtl w:val="0"/>
          <w:lang w:val="it-IT"/>
        </w:rPr>
        <w:t xml:space="preserve">11. Progetto di valorizzazione degli scarti verdi di Roma </w:t>
      </w:r>
    </w:p>
    <w:p>
      <w:pPr>
        <w:pStyle w:val="intervento"/>
        <w:spacing w:before="0" w:after="0"/>
        <w:ind w:left="567" w:right="567" w:firstLine="0"/>
        <w:jc w:val="both"/>
        <w:rPr>
          <w:rFonts w:ascii="Book Antiqua" w:cs="Book Antiqua" w:hAnsi="Book Antiqua" w:eastAsia="Book Antiqua"/>
        </w:rPr>
      </w:pPr>
      <w:r>
        <w:rPr>
          <w:rFonts w:ascii="Book Antiqua"/>
          <w:sz w:val="22"/>
          <w:szCs w:val="22"/>
          <w:rtl w:val="0"/>
          <w:lang w:val="it-IT"/>
        </w:rPr>
        <w:t>12. Protocollo per la gestione dei rifiuti dell</w:t>
      </w:r>
      <w:r>
        <w:rPr>
          <w:rFonts w:hAnsi="Book Antiqua" w:hint="default"/>
          <w:sz w:val="22"/>
          <w:szCs w:val="22"/>
          <w:rtl w:val="0"/>
          <w:lang w:val="it-IT"/>
        </w:rPr>
        <w:t>’</w:t>
      </w:r>
      <w:r>
        <w:rPr>
          <w:rFonts w:ascii="Book Antiqua"/>
          <w:sz w:val="22"/>
          <w:szCs w:val="22"/>
          <w:rtl w:val="0"/>
          <w:lang w:val="it-IT"/>
        </w:rPr>
        <w:t>edilizia</w:t>
      </w:r>
      <w:r>
        <w:rPr>
          <w:rFonts w:ascii="Book Antiqua"/>
          <w:rtl w:val="0"/>
          <w:lang w:val="it-IT"/>
        </w:rPr>
        <w:t xml:space="preserve"> </w:t>
      </w:r>
    </w:p>
    <w:p>
      <w:pPr>
        <w:pStyle w:val="intervento"/>
        <w:spacing w:before="0" w:after="0"/>
        <w:ind w:left="567" w:right="567" w:firstLine="0"/>
        <w:jc w:val="both"/>
        <w:rPr>
          <w:rFonts w:ascii="Book Antiqua" w:cs="Book Antiqua" w:hAnsi="Book Antiqua" w:eastAsia="Book Antiqua"/>
        </w:rPr>
      </w:pPr>
    </w:p>
    <w:p>
      <w:pPr>
        <w:pStyle w:val="intervento"/>
        <w:spacing w:before="0" w:after="0"/>
        <w:ind w:left="567" w:right="567" w:firstLine="0"/>
        <w:jc w:val="both"/>
        <w:rPr>
          <w:rFonts w:ascii="Book Antiqua" w:cs="Book Antiqua" w:hAnsi="Book Antiqua" w:eastAsia="Book Antiqua"/>
        </w:rPr>
      </w:pPr>
      <w:r>
        <w:rPr>
          <w:rFonts w:ascii="Book Antiqua"/>
          <w:rtl w:val="0"/>
          <w:lang w:val="it-IT"/>
        </w:rPr>
        <w:t>Il piano stima che l</w:t>
      </w:r>
      <w:r>
        <w:rPr>
          <w:rFonts w:hAnsi="Book Antiqua" w:hint="default"/>
          <w:rtl w:val="0"/>
          <w:lang w:val="it-IT"/>
        </w:rPr>
        <w:t>’</w:t>
      </w:r>
      <w:r>
        <w:rPr>
          <w:rFonts w:ascii="Book Antiqua"/>
          <w:rtl w:val="0"/>
          <w:lang w:val="it-IT"/>
        </w:rPr>
        <w:t>insieme delle strategie di prevenzione dei rifiuti sopra dettagliate porteranno ad una riduzione della produzione di 170.000 tonnellate al 2021 e al raggiungimento di una percentuale di raccolta differenziata, al 2021, del 70 per cento, partendo da un valore medio registrato nel 2016 pari al 43 per cento.</w:t>
      </w:r>
    </w:p>
    <w:p>
      <w:pPr>
        <w:pStyle w:val="intervento"/>
        <w:spacing w:before="0" w:after="0"/>
        <w:ind w:left="567" w:right="567" w:firstLine="0"/>
        <w:jc w:val="both"/>
        <w:rPr>
          <w:rFonts w:ascii="Book Antiqua" w:cs="Book Antiqua" w:hAnsi="Book Antiqua" w:eastAsia="Book Antiqua"/>
        </w:rPr>
      </w:pPr>
      <w:r>
        <w:rPr>
          <w:rFonts w:ascii="Book Antiqua"/>
          <w:rtl w:val="0"/>
          <w:lang w:val="it-IT"/>
        </w:rPr>
        <w:t>Per il raggiungimento del 70 per cento di raccolta differenziata l</w:t>
      </w:r>
      <w:r>
        <w:rPr>
          <w:rFonts w:hAnsi="Book Antiqua" w:hint="default"/>
          <w:rtl w:val="0"/>
          <w:lang w:val="it-IT"/>
        </w:rPr>
        <w:t>’</w:t>
      </w:r>
      <w:r>
        <w:rPr>
          <w:rFonts w:ascii="Book Antiqua"/>
          <w:rtl w:val="0"/>
          <w:lang w:val="it-IT"/>
        </w:rPr>
        <w:t>amministrazione  prevede l</w:t>
      </w:r>
      <w:r>
        <w:rPr>
          <w:rFonts w:hAnsi="Book Antiqua" w:hint="default"/>
          <w:rtl w:val="0"/>
          <w:lang w:val="it-IT"/>
        </w:rPr>
        <w:t>’</w:t>
      </w:r>
      <w:r>
        <w:rPr>
          <w:rFonts w:ascii="Book Antiqua"/>
          <w:rtl w:val="0"/>
          <w:lang w:val="it-IT"/>
        </w:rPr>
        <w:t>estensione del servizio porta a porta a tutta la citt</w:t>
      </w:r>
      <w:r>
        <w:rPr>
          <w:rFonts w:hAnsi="Book Antiqua" w:hint="default"/>
          <w:rtl w:val="0"/>
          <w:lang w:val="it-IT"/>
        </w:rPr>
        <w:t xml:space="preserve">à </w:t>
      </w:r>
      <w:r>
        <w:rPr>
          <w:rFonts w:ascii="Book Antiqua"/>
          <w:rtl w:val="0"/>
          <w:lang w:val="it-IT"/>
        </w:rPr>
        <w:t xml:space="preserve">realizzando, laddove gli spazi condominiali non consentano il posizionamento di bidoncini e mastelli, le </w:t>
      </w:r>
      <w:r>
        <w:rPr>
          <w:rFonts w:hAnsi="Book Antiqua" w:hint="default"/>
          <w:rtl w:val="0"/>
          <w:lang w:val="it-IT"/>
        </w:rPr>
        <w:t>“</w:t>
      </w:r>
      <w:r>
        <w:rPr>
          <w:rFonts w:ascii="Book Antiqua"/>
          <w:rtl w:val="0"/>
          <w:lang w:val="it-IT"/>
        </w:rPr>
        <w:t>Domus ecologiche</w:t>
      </w:r>
      <w:r>
        <w:rPr>
          <w:rFonts w:hAnsi="Book Antiqua" w:hint="default"/>
          <w:rtl w:val="0"/>
          <w:lang w:val="it-IT"/>
        </w:rPr>
        <w:t>”</w:t>
      </w:r>
      <w:r>
        <w:rPr>
          <w:rFonts w:ascii="Book Antiqua"/>
          <w:rtl w:val="0"/>
          <w:lang w:val="it-IT"/>
        </w:rPr>
        <w:t xml:space="preserve"> cio</w:t>
      </w:r>
      <w:r>
        <w:rPr>
          <w:rFonts w:hAnsi="Book Antiqua" w:hint="default"/>
          <w:rtl w:val="0"/>
          <w:lang w:val="it-IT"/>
        </w:rPr>
        <w:t xml:space="preserve">è </w:t>
      </w:r>
      <w:r>
        <w:rPr>
          <w:rFonts w:ascii="Book Antiqua"/>
          <w:rtl w:val="0"/>
          <w:lang w:val="it-IT"/>
        </w:rPr>
        <w:t>spazi recintati con accesso controllato ad uso dei residenti afferenti allo specifico condominio, dove poter collocare i contenitori destinati alla raccolta dei rifiuti</w:t>
      </w:r>
      <w:r>
        <w:rPr>
          <w:rFonts w:ascii="Book Antiqua" w:cs="Book Antiqua" w:hAnsi="Book Antiqua" w:eastAsia="Book Antiqua"/>
          <w:vertAlign w:val="superscript"/>
          <w:rtl w:val="0"/>
        </w:rPr>
        <w:footnoteReference w:id="132"/>
      </w:r>
      <w:r>
        <w:rPr>
          <w:rFonts w:ascii="Book Antiqua"/>
          <w:rtl w:val="0"/>
          <w:lang w:val="it-IT"/>
        </w:rPr>
        <w:t>.</w:t>
      </w:r>
    </w:p>
    <w:p>
      <w:pPr>
        <w:pStyle w:val="intervento"/>
        <w:spacing w:before="0" w:after="0"/>
        <w:ind w:left="567" w:right="567" w:firstLine="0"/>
        <w:jc w:val="both"/>
        <w:rPr>
          <w:rFonts w:ascii="Book Antiqua" w:cs="Book Antiqua" w:hAnsi="Book Antiqua" w:eastAsia="Book Antiqua"/>
        </w:rPr>
      </w:pPr>
      <w:r>
        <w:rPr>
          <w:rFonts w:ascii="Book Antiqua"/>
          <w:rtl w:val="0"/>
          <w:lang w:val="it-IT"/>
        </w:rPr>
        <w:t>Per le utenze non domestiche, che contribuiscono per circa il 40 per cento al totale dei rifiuti urbani del comune di Roma, l</w:t>
      </w:r>
      <w:r>
        <w:rPr>
          <w:rFonts w:hAnsi="Book Antiqua" w:hint="default"/>
          <w:rtl w:val="0"/>
          <w:lang w:val="it-IT"/>
        </w:rPr>
        <w:t>’</w:t>
      </w:r>
      <w:r>
        <w:rPr>
          <w:rFonts w:ascii="Book Antiqua"/>
          <w:rtl w:val="0"/>
          <w:lang w:val="it-IT"/>
        </w:rPr>
        <w:t>amministrazione prevede un progetto dedicato avente per obiettivo l</w:t>
      </w:r>
      <w:r>
        <w:rPr>
          <w:rFonts w:hAnsi="Book Antiqua" w:hint="default"/>
          <w:rtl w:val="0"/>
          <w:lang w:val="it-IT"/>
        </w:rPr>
        <w:t>’</w:t>
      </w:r>
      <w:r>
        <w:rPr>
          <w:rFonts w:ascii="Book Antiqua"/>
          <w:rtl w:val="0"/>
          <w:lang w:val="it-IT"/>
        </w:rPr>
        <w:t>estensione  della raccolta dedicata (porta a porta) per gli esercizi commerciali su tutto il territorio comunale.</w:t>
      </w:r>
    </w:p>
    <w:p>
      <w:pPr>
        <w:pStyle w:val="intervento"/>
        <w:spacing w:before="0" w:after="0"/>
        <w:ind w:left="567" w:right="567" w:firstLine="0"/>
        <w:jc w:val="both"/>
        <w:rPr>
          <w:rFonts w:ascii="Book Antiqua" w:cs="Book Antiqua" w:hAnsi="Book Antiqua" w:eastAsia="Book Antiqua"/>
        </w:rPr>
      </w:pPr>
      <w:r>
        <w:rPr>
          <w:rFonts w:ascii="Book Antiqua"/>
          <w:rtl w:val="0"/>
          <w:lang w:val="it-IT"/>
        </w:rPr>
        <w:t>Nelle intenzioni dell</w:t>
      </w:r>
      <w:r>
        <w:rPr>
          <w:rFonts w:hAnsi="Book Antiqua" w:hint="default"/>
          <w:rtl w:val="0"/>
          <w:lang w:val="it-IT"/>
        </w:rPr>
        <w:t>’</w:t>
      </w:r>
      <w:r>
        <w:rPr>
          <w:rFonts w:ascii="Book Antiqua"/>
          <w:rtl w:val="0"/>
          <w:lang w:val="it-IT"/>
        </w:rPr>
        <w:t>amministrazione chiaramente riportate nel piano (azione 5) la gestione dei rifiuti organici sar</w:t>
      </w:r>
      <w:r>
        <w:rPr>
          <w:rFonts w:hAnsi="Book Antiqua" w:hint="default"/>
          <w:rtl w:val="0"/>
          <w:lang w:val="it-IT"/>
        </w:rPr>
        <w:t xml:space="preserve">à </w:t>
      </w:r>
      <w:r>
        <w:rPr>
          <w:rFonts w:ascii="Book Antiqua"/>
          <w:rtl w:val="0"/>
          <w:lang w:val="it-IT"/>
        </w:rPr>
        <w:t>effettuata mediante:</w:t>
      </w:r>
    </w:p>
    <w:p>
      <w:pPr>
        <w:pStyle w:val="intervento"/>
        <w:spacing w:before="0" w:after="0"/>
        <w:ind w:left="567" w:right="567" w:firstLine="0"/>
        <w:jc w:val="both"/>
        <w:rPr>
          <w:rFonts w:ascii="Book Antiqua" w:cs="Book Antiqua" w:hAnsi="Book Antiqua" w:eastAsia="Book Antiqua"/>
        </w:rPr>
      </w:pPr>
      <w:r>
        <w:rPr>
          <w:rFonts w:ascii="Book Antiqua"/>
          <w:rtl w:val="0"/>
          <w:lang w:val="it-IT"/>
        </w:rPr>
        <w:t>raccolta differenziata ed avvio ad impianti di recupero specifici (digestione aerobica e/o compostaggio);</w:t>
      </w:r>
    </w:p>
    <w:p>
      <w:pPr>
        <w:pStyle w:val="intervento"/>
        <w:spacing w:before="0" w:after="0"/>
        <w:ind w:left="567" w:right="567" w:firstLine="0"/>
        <w:jc w:val="both"/>
        <w:rPr>
          <w:rFonts w:ascii="Book Antiqua" w:cs="Book Antiqua" w:hAnsi="Book Antiqua" w:eastAsia="Book Antiqua"/>
        </w:rPr>
      </w:pPr>
      <w:r>
        <w:rPr>
          <w:rFonts w:ascii="Book Antiqua"/>
          <w:rtl w:val="0"/>
          <w:lang w:val="it-IT"/>
        </w:rPr>
        <w:t>compostaggio collettivo (es. di quartiere o di condominio);</w:t>
      </w:r>
    </w:p>
    <w:p>
      <w:pPr>
        <w:pStyle w:val="intervento"/>
        <w:spacing w:before="0" w:after="0"/>
        <w:ind w:left="567" w:right="567" w:firstLine="0"/>
        <w:jc w:val="both"/>
        <w:rPr>
          <w:rFonts w:ascii="Book Antiqua" w:cs="Book Antiqua" w:hAnsi="Book Antiqua" w:eastAsia="Book Antiqua"/>
        </w:rPr>
      </w:pPr>
      <w:r>
        <w:rPr>
          <w:rFonts w:ascii="Book Antiqua"/>
          <w:rtl w:val="0"/>
          <w:lang w:val="it-IT"/>
        </w:rPr>
        <w:t>autocompostaggio per utenze domestiche e non domestiche.</w:t>
      </w:r>
    </w:p>
    <w:p>
      <w:pPr>
        <w:pStyle w:val="intervento"/>
        <w:spacing w:before="0" w:after="0"/>
        <w:ind w:left="567" w:right="567" w:firstLine="0"/>
        <w:jc w:val="both"/>
        <w:rPr>
          <w:rFonts w:ascii="Book Antiqua" w:cs="Book Antiqua" w:hAnsi="Book Antiqua" w:eastAsia="Book Antiqua"/>
        </w:rPr>
      </w:pPr>
      <w:r>
        <w:rPr>
          <w:rFonts w:ascii="Book Antiqua"/>
          <w:rtl w:val="0"/>
          <w:lang w:val="it-IT"/>
        </w:rPr>
        <w:t>Con riferimento alle soluzioni individuate per la gestione dei rifiuti organici di Roma, l</w:t>
      </w:r>
      <w:r>
        <w:rPr>
          <w:rFonts w:hAnsi="Book Antiqua" w:hint="default"/>
          <w:rtl w:val="0"/>
          <w:lang w:val="it-IT"/>
        </w:rPr>
        <w:t>’</w:t>
      </w:r>
      <w:r>
        <w:rPr>
          <w:rFonts w:ascii="Book Antiqua"/>
          <w:rtl w:val="0"/>
          <w:lang w:val="it-IT"/>
        </w:rPr>
        <w:t xml:space="preserve">assessora ha dichiarato che </w:t>
      </w:r>
      <w:r>
        <w:rPr>
          <w:rFonts w:hAnsi="Book Antiqua" w:hint="default"/>
          <w:rtl w:val="0"/>
          <w:lang w:val="it-IT"/>
        </w:rPr>
        <w:t>“</w:t>
      </w:r>
      <w:r>
        <w:rPr>
          <w:rFonts w:ascii="Book Antiqua"/>
          <w:rtl w:val="0"/>
          <w:lang w:val="it-IT"/>
        </w:rPr>
        <w:t xml:space="preserve">prima di fare delle proposte di modifiche o di </w:t>
      </w:r>
      <w:r>
        <w:rPr>
          <w:rFonts w:ascii="Book Antiqua"/>
          <w:i w:val="1"/>
          <w:iCs w:val="1"/>
          <w:rtl w:val="0"/>
          <w:lang w:val="it-IT"/>
        </w:rPr>
        <w:t>revamping</w:t>
      </w:r>
      <w:r>
        <w:rPr>
          <w:rFonts w:ascii="Book Antiqua"/>
          <w:rtl w:val="0"/>
          <w:lang w:val="it-IT"/>
        </w:rPr>
        <w:t xml:space="preserve"> degli impianti, vorremmo avere, con la collaborazione anche di soggetti che sono enti morali, come la Scuola agraria del Parco di Monza, una progressiva modifica dell</w:t>
      </w:r>
      <w:r>
        <w:rPr>
          <w:rFonts w:hAnsi="Book Antiqua" w:hint="default"/>
          <w:rtl w:val="0"/>
          <w:lang w:val="it-IT"/>
        </w:rPr>
        <w:t>’</w:t>
      </w:r>
      <w:r>
        <w:rPr>
          <w:rFonts w:ascii="Book Antiqua"/>
          <w:rtl w:val="0"/>
          <w:lang w:val="it-IT"/>
        </w:rPr>
        <w:t>assetto impiantistico che valuti sia le criticit</w:t>
      </w:r>
      <w:r>
        <w:rPr>
          <w:rFonts w:hAnsi="Book Antiqua" w:hint="default"/>
          <w:rtl w:val="0"/>
          <w:lang w:val="it-IT"/>
        </w:rPr>
        <w:t xml:space="preserve">à </w:t>
      </w:r>
      <w:r>
        <w:rPr>
          <w:rFonts w:ascii="Book Antiqua"/>
          <w:rtl w:val="0"/>
          <w:lang w:val="it-IT"/>
        </w:rPr>
        <w:t>osservate sia gli eventuali elementi virtuosi, tutte le performance complessive degli impianti e gli spazi di miglioramento.</w:t>
      </w:r>
    </w:p>
    <w:p>
      <w:pPr>
        <w:pStyle w:val="intervento"/>
        <w:spacing w:before="0" w:after="0"/>
        <w:ind w:left="567" w:right="567" w:firstLine="0"/>
        <w:jc w:val="both"/>
        <w:rPr>
          <w:rFonts w:ascii="Book Antiqua" w:cs="Book Antiqua" w:hAnsi="Book Antiqua" w:eastAsia="Book Antiqua"/>
        </w:rPr>
      </w:pPr>
      <w:r>
        <w:rPr>
          <w:rFonts w:ascii="Book Antiqua"/>
          <w:rtl w:val="0"/>
          <w:lang w:val="it-IT"/>
        </w:rPr>
        <w:t>In ogni caso, l</w:t>
      </w:r>
      <w:r>
        <w:rPr>
          <w:rFonts w:hAnsi="Book Antiqua" w:hint="default"/>
          <w:rtl w:val="0"/>
          <w:lang w:val="it-IT"/>
        </w:rPr>
        <w:t>’</w:t>
      </w:r>
      <w:r>
        <w:rPr>
          <w:rFonts w:ascii="Book Antiqua"/>
          <w:rtl w:val="0"/>
          <w:lang w:val="it-IT"/>
        </w:rPr>
        <w:t xml:space="preserve">obiettivo </w:t>
      </w:r>
      <w:r>
        <w:rPr>
          <w:rFonts w:hAnsi="Book Antiqua" w:hint="default"/>
          <w:rtl w:val="0"/>
          <w:lang w:val="it-IT"/>
        </w:rPr>
        <w:t>è</w:t>
      </w:r>
      <w:r>
        <w:rPr>
          <w:rFonts w:ascii="Book Antiqua"/>
          <w:rtl w:val="0"/>
          <w:lang w:val="it-IT"/>
        </w:rPr>
        <w:t>, per il rifiuto urbano, la diminuzione del 48 per cento; per l</w:t>
      </w:r>
      <w:r>
        <w:rPr>
          <w:rFonts w:hAnsi="Book Antiqua" w:hint="default"/>
          <w:rtl w:val="0"/>
          <w:lang w:val="it-IT"/>
        </w:rPr>
        <w:t>’</w:t>
      </w:r>
      <w:r>
        <w:rPr>
          <w:rFonts w:ascii="Book Antiqua"/>
          <w:rtl w:val="0"/>
          <w:lang w:val="it-IT"/>
        </w:rPr>
        <w:t>organico, che credo molto importante, il 48 per cento; con un</w:t>
      </w:r>
      <w:r>
        <w:rPr>
          <w:rFonts w:hAnsi="Book Antiqua" w:hint="default"/>
          <w:rtl w:val="0"/>
          <w:lang w:val="it-IT"/>
        </w:rPr>
        <w:t>’</w:t>
      </w:r>
      <w:r>
        <w:rPr>
          <w:rFonts w:ascii="Book Antiqua"/>
          <w:rtl w:val="0"/>
          <w:lang w:val="it-IT"/>
        </w:rPr>
        <w:t>attenta analisi, ma mi riservo valutazioni pi</w:t>
      </w:r>
      <w:r>
        <w:rPr>
          <w:rFonts w:hAnsi="Book Antiqua" w:hint="default"/>
          <w:rtl w:val="0"/>
          <w:lang w:val="it-IT"/>
        </w:rPr>
        <w:t xml:space="preserve">ù </w:t>
      </w:r>
      <w:r>
        <w:rPr>
          <w:rFonts w:ascii="Book Antiqua"/>
          <w:rtl w:val="0"/>
          <w:lang w:val="it-IT"/>
        </w:rPr>
        <w:t>specifiche quando avremo la documentazione, il raddoppio delle capacit</w:t>
      </w:r>
      <w:r>
        <w:rPr>
          <w:rFonts w:hAnsi="Book Antiqua" w:hint="default"/>
          <w:rtl w:val="0"/>
          <w:lang w:val="it-IT"/>
        </w:rPr>
        <w:t xml:space="preserve">à </w:t>
      </w:r>
      <w:r>
        <w:rPr>
          <w:rFonts w:ascii="Book Antiqua"/>
          <w:rtl w:val="0"/>
          <w:lang w:val="it-IT"/>
        </w:rPr>
        <w:t>di Maccarese, da 20.000 a 40.000 tonnellate all</w:t>
      </w:r>
      <w:r>
        <w:rPr>
          <w:rFonts w:hAnsi="Book Antiqua" w:hint="default"/>
          <w:rtl w:val="0"/>
          <w:lang w:val="it-IT"/>
        </w:rPr>
        <w:t>’</w:t>
      </w:r>
      <w:r>
        <w:rPr>
          <w:rFonts w:ascii="Book Antiqua"/>
          <w:rtl w:val="0"/>
          <w:lang w:val="it-IT"/>
        </w:rPr>
        <w:t>anno; l</w:t>
      </w:r>
      <w:r>
        <w:rPr>
          <w:rFonts w:hAnsi="Book Antiqua" w:hint="default"/>
          <w:rtl w:val="0"/>
          <w:lang w:val="it-IT"/>
        </w:rPr>
        <w:t>’</w:t>
      </w:r>
      <w:r>
        <w:rPr>
          <w:rFonts w:ascii="Book Antiqua"/>
          <w:rtl w:val="0"/>
          <w:lang w:val="it-IT"/>
        </w:rPr>
        <w:t>eventuale realizzazione di due nuovi impianti da 40.000 tonnellate. In realt</w:t>
      </w:r>
      <w:r>
        <w:rPr>
          <w:rFonts w:hAnsi="Book Antiqua" w:hint="default"/>
          <w:rtl w:val="0"/>
          <w:lang w:val="it-IT"/>
        </w:rPr>
        <w:t>à</w:t>
      </w:r>
      <w:r>
        <w:rPr>
          <w:rFonts w:ascii="Book Antiqua"/>
          <w:rtl w:val="0"/>
          <w:lang w:val="it-IT"/>
        </w:rPr>
        <w:t xml:space="preserve">, questo </w:t>
      </w:r>
      <w:r>
        <w:rPr>
          <w:rFonts w:hAnsi="Book Antiqua" w:hint="default"/>
          <w:rtl w:val="0"/>
          <w:lang w:val="it-IT"/>
        </w:rPr>
        <w:t xml:space="preserve">è </w:t>
      </w:r>
      <w:r>
        <w:rPr>
          <w:rFonts w:ascii="Book Antiqua"/>
          <w:rtl w:val="0"/>
          <w:lang w:val="it-IT"/>
        </w:rPr>
        <w:t>da valutare sulla base di queste criticit</w:t>
      </w:r>
      <w:r>
        <w:rPr>
          <w:rFonts w:hAnsi="Book Antiqua" w:hint="default"/>
          <w:rtl w:val="0"/>
          <w:lang w:val="it-IT"/>
        </w:rPr>
        <w:t>à</w:t>
      </w:r>
      <w:r>
        <w:rPr>
          <w:rFonts w:ascii="Book Antiqua"/>
          <w:rtl w:val="0"/>
          <w:lang w:val="it-IT"/>
        </w:rPr>
        <w:t xml:space="preserve">, ma il nostro obiettivo </w:t>
      </w:r>
      <w:r>
        <w:rPr>
          <w:rFonts w:hAnsi="Book Antiqua" w:hint="default"/>
          <w:rtl w:val="0"/>
          <w:lang w:val="it-IT"/>
        </w:rPr>
        <w:t xml:space="preserve">è </w:t>
      </w:r>
      <w:r>
        <w:rPr>
          <w:rFonts w:ascii="Book Antiqua"/>
          <w:rtl w:val="0"/>
          <w:lang w:val="it-IT"/>
        </w:rPr>
        <w:t>sviluppare gli impianti di comunit</w:t>
      </w:r>
      <w:r>
        <w:rPr>
          <w:rFonts w:hAnsi="Book Antiqua" w:hint="default"/>
          <w:rtl w:val="0"/>
          <w:lang w:val="it-IT"/>
        </w:rPr>
        <w:t>à</w:t>
      </w:r>
      <w:r>
        <w:rPr>
          <w:rFonts w:ascii="Book Antiqua"/>
          <w:rtl w:val="0"/>
          <w:lang w:val="it-IT"/>
        </w:rPr>
        <w:t>. Crediamo che l</w:t>
      </w:r>
      <w:r>
        <w:rPr>
          <w:rFonts w:hAnsi="Book Antiqua" w:hint="default"/>
          <w:rtl w:val="0"/>
          <w:lang w:val="it-IT"/>
        </w:rPr>
        <w:t>’</w:t>
      </w:r>
      <w:r>
        <w:rPr>
          <w:rFonts w:ascii="Book Antiqua"/>
          <w:rtl w:val="0"/>
          <w:lang w:val="it-IT"/>
        </w:rPr>
        <w:t>abbattimento e la capacit</w:t>
      </w:r>
      <w:r>
        <w:rPr>
          <w:rFonts w:hAnsi="Book Antiqua" w:hint="default"/>
          <w:rtl w:val="0"/>
          <w:lang w:val="it-IT"/>
        </w:rPr>
        <w:t xml:space="preserve">à </w:t>
      </w:r>
      <w:r>
        <w:rPr>
          <w:rFonts w:ascii="Book Antiqua"/>
          <w:rtl w:val="0"/>
          <w:lang w:val="it-IT"/>
        </w:rPr>
        <w:t>di valorizzare questa frazione merceologica dei materiali post-consumo sia soprattutto nella realizzazione degli impianti di comunit</w:t>
      </w:r>
      <w:r>
        <w:rPr>
          <w:rFonts w:hAnsi="Book Antiqua" w:hint="default"/>
          <w:rtl w:val="0"/>
          <w:lang w:val="it-IT"/>
        </w:rPr>
        <w:t>à</w:t>
      </w:r>
      <w:r>
        <w:rPr>
          <w:rFonts w:ascii="Book Antiqua"/>
          <w:rtl w:val="0"/>
          <w:lang w:val="it-IT"/>
        </w:rPr>
        <w:t>. Solo, per</w:t>
      </w:r>
      <w:r>
        <w:rPr>
          <w:rFonts w:hAnsi="Book Antiqua" w:hint="default"/>
          <w:rtl w:val="0"/>
          <w:lang w:val="it-IT"/>
        </w:rPr>
        <w:t>ò</w:t>
      </w:r>
      <w:r>
        <w:rPr>
          <w:rFonts w:ascii="Book Antiqua"/>
          <w:rtl w:val="0"/>
          <w:lang w:val="it-IT"/>
        </w:rPr>
        <w:t>, quando avremo a disposizione un</w:t>
      </w:r>
      <w:r>
        <w:rPr>
          <w:rFonts w:hAnsi="Book Antiqua" w:hint="default"/>
          <w:rtl w:val="0"/>
          <w:lang w:val="it-IT"/>
        </w:rPr>
        <w:t>’</w:t>
      </w:r>
      <w:r>
        <w:rPr>
          <w:rFonts w:ascii="Book Antiqua"/>
          <w:rtl w:val="0"/>
          <w:lang w:val="it-IT"/>
        </w:rPr>
        <w:t>attenta analisi impiantistica delle potenzialit</w:t>
      </w:r>
      <w:r>
        <w:rPr>
          <w:rFonts w:hAnsi="Book Antiqua" w:hint="default"/>
          <w:rtl w:val="0"/>
          <w:lang w:val="it-IT"/>
        </w:rPr>
        <w:t>à</w:t>
      </w:r>
      <w:r>
        <w:rPr>
          <w:rFonts w:ascii="Book Antiqua"/>
          <w:rtl w:val="0"/>
          <w:lang w:val="it-IT"/>
        </w:rPr>
        <w:t>, saremo in grado di rispondere.</w:t>
      </w:r>
      <w:r>
        <w:rPr>
          <w:rFonts w:hAnsi="Book Antiqua" w:hint="default"/>
          <w:rtl w:val="0"/>
          <w:lang w:val="it-IT"/>
        </w:rPr>
        <w:t>”</w:t>
      </w:r>
    </w:p>
    <w:p>
      <w:pPr>
        <w:pStyle w:val="intervento"/>
        <w:spacing w:before="0" w:after="0"/>
        <w:ind w:left="567" w:right="567" w:firstLine="0"/>
        <w:jc w:val="both"/>
        <w:rPr>
          <w:rFonts w:ascii="Book Antiqua" w:cs="Book Antiqua" w:hAnsi="Book Antiqua" w:eastAsia="Book Antiqua"/>
        </w:rPr>
      </w:pPr>
      <w:r>
        <w:rPr>
          <w:rFonts w:ascii="Book Antiqua"/>
          <w:rtl w:val="0"/>
          <w:lang w:val="it-IT"/>
        </w:rPr>
        <w:t xml:space="preserve">Ed ancora Antonella Giglio, Amministratore unico di AMA S.p.A. in audizione il 31 gennaio 2017: </w:t>
      </w:r>
      <w:r>
        <w:rPr>
          <w:rFonts w:hAnsi="Book Antiqua" w:hint="default"/>
          <w:rtl w:val="0"/>
          <w:lang w:val="it-IT"/>
        </w:rPr>
        <w:t>“</w:t>
      </w:r>
      <w:r>
        <w:rPr>
          <w:rFonts w:ascii="Book Antiqua"/>
          <w:rtl w:val="0"/>
          <w:lang w:val="it-IT"/>
        </w:rPr>
        <w:t>Noi stiamo facendo uno studio sul problema [</w:t>
      </w:r>
      <w:r>
        <w:rPr>
          <w:rFonts w:hAnsi="Book Antiqua" w:hint="default"/>
          <w:rtl w:val="0"/>
          <w:lang w:val="it-IT"/>
        </w:rPr>
        <w:t>…</w:t>
      </w:r>
      <w:r>
        <w:rPr>
          <w:rFonts w:ascii="Book Antiqua"/>
          <w:rtl w:val="0"/>
          <w:lang w:val="it-IT"/>
        </w:rPr>
        <w:t>] in modo da poter avere dei risultati di fattibilit</w:t>
      </w:r>
      <w:r>
        <w:rPr>
          <w:rFonts w:hAnsi="Book Antiqua" w:hint="default"/>
          <w:rtl w:val="0"/>
          <w:lang w:val="it-IT"/>
        </w:rPr>
        <w:t>à</w:t>
      </w:r>
      <w:r>
        <w:rPr>
          <w:rFonts w:ascii="Book Antiqua"/>
          <w:rtl w:val="0"/>
          <w:lang w:val="it-IT"/>
        </w:rPr>
        <w:t>. Appena sar</w:t>
      </w:r>
      <w:r>
        <w:rPr>
          <w:rFonts w:hAnsi="Book Antiqua" w:hint="default"/>
          <w:rtl w:val="0"/>
          <w:lang w:val="it-IT"/>
        </w:rPr>
        <w:t xml:space="preserve">à </w:t>
      </w:r>
      <w:r>
        <w:rPr>
          <w:rFonts w:ascii="Book Antiqua"/>
          <w:rtl w:val="0"/>
          <w:lang w:val="it-IT"/>
        </w:rPr>
        <w:t>pronto questo studio, lo trasmetteremo e avremo modo di valutarlo con la dovuta attenzione.</w:t>
      </w:r>
      <w:r>
        <w:rPr>
          <w:rFonts w:hAnsi="Book Antiqua" w:hint="default"/>
          <w:rtl w:val="0"/>
          <w:lang w:val="it-IT"/>
        </w:rPr>
        <w:t xml:space="preserve">” </w:t>
      </w:r>
    </w:p>
    <w:p>
      <w:pPr>
        <w:pStyle w:val="intervento"/>
        <w:spacing w:before="0" w:after="0"/>
        <w:ind w:left="567" w:right="567" w:firstLine="0"/>
        <w:jc w:val="both"/>
        <w:rPr>
          <w:rFonts w:ascii="Book Antiqua" w:cs="Book Antiqua" w:hAnsi="Book Antiqua" w:eastAsia="Book Antiqua"/>
        </w:rPr>
      </w:pPr>
      <w:r>
        <w:rPr>
          <w:rFonts w:ascii="Book Antiqua"/>
          <w:rtl w:val="0"/>
          <w:lang w:val="it-IT"/>
        </w:rPr>
        <w:t>Tale studio, nelle aspettative dell</w:t>
      </w:r>
      <w:r>
        <w:rPr>
          <w:rFonts w:hAnsi="Book Antiqua" w:hint="default"/>
          <w:rtl w:val="0"/>
          <w:lang w:val="it-IT"/>
        </w:rPr>
        <w:t>’</w:t>
      </w:r>
      <w:r>
        <w:rPr>
          <w:rFonts w:ascii="Book Antiqua"/>
          <w:rtl w:val="0"/>
          <w:lang w:val="it-IT"/>
        </w:rPr>
        <w:t xml:space="preserve">allora amministratore unico, sarebbe stato pronto entro due o tre mesi. </w:t>
      </w:r>
    </w:p>
    <w:p>
      <w:pPr>
        <w:pStyle w:val="intervento"/>
        <w:spacing w:before="0" w:after="0"/>
        <w:ind w:left="567" w:right="567" w:firstLine="0"/>
        <w:jc w:val="both"/>
        <w:rPr>
          <w:rFonts w:ascii="Book Antiqua" w:cs="Book Antiqua" w:hAnsi="Book Antiqua" w:eastAsia="Book Antiqua"/>
        </w:rPr>
      </w:pPr>
      <w:r>
        <w:rPr>
          <w:rFonts w:ascii="Book Antiqua"/>
          <w:rtl w:val="0"/>
          <w:lang w:val="it-IT"/>
        </w:rPr>
        <w:t>Nel rispondere alle domande della Commissione circa i livelli di raccolta differenziata stimati nel piano, l</w:t>
      </w:r>
      <w:r>
        <w:rPr>
          <w:rFonts w:hAnsi="Book Antiqua" w:hint="default"/>
          <w:rtl w:val="0"/>
          <w:lang w:val="it-IT"/>
        </w:rPr>
        <w:t>’</w:t>
      </w:r>
      <w:r>
        <w:rPr>
          <w:rFonts w:ascii="Book Antiqua"/>
          <w:rtl w:val="0"/>
          <w:lang w:val="it-IT"/>
        </w:rPr>
        <w:t xml:space="preserve">assessora, nel corso della citata audizione, chiarisce: </w:t>
      </w:r>
      <w:r>
        <w:rPr>
          <w:rFonts w:hAnsi="Book Antiqua" w:hint="default"/>
          <w:rtl w:val="0"/>
          <w:lang w:val="it-IT"/>
        </w:rPr>
        <w:t>“</w:t>
      </w:r>
      <w:r>
        <w:rPr>
          <w:rFonts w:ascii="Book Antiqua"/>
          <w:rtl w:val="0"/>
          <w:lang w:val="it-IT"/>
        </w:rPr>
        <w:t>Il dato deve essere sempre parametrato alla riduzione della produzione di rifiuti. Da 1.700 passiamo a 1.500</w:t>
      </w:r>
      <w:r>
        <w:rPr>
          <w:rFonts w:ascii="Book Antiqua" w:cs="Book Antiqua" w:hAnsi="Book Antiqua" w:eastAsia="Book Antiqua"/>
          <w:vertAlign w:val="superscript"/>
          <w:rtl w:val="0"/>
        </w:rPr>
        <w:footnoteReference w:id="133"/>
      </w:r>
      <w:r>
        <w:rPr>
          <w:rFonts w:ascii="Book Antiqua"/>
          <w:rtl w:val="0"/>
          <w:lang w:val="it-IT"/>
        </w:rPr>
        <w:t>, che significa che in sostanza abbiamo la possibilit</w:t>
      </w:r>
      <w:r>
        <w:rPr>
          <w:rFonts w:hAnsi="Book Antiqua" w:hint="default"/>
          <w:rtl w:val="0"/>
          <w:lang w:val="it-IT"/>
        </w:rPr>
        <w:t xml:space="preserve">à </w:t>
      </w:r>
      <w:r>
        <w:rPr>
          <w:rFonts w:ascii="Book Antiqua"/>
          <w:rtl w:val="0"/>
          <w:lang w:val="it-IT"/>
        </w:rPr>
        <w:t>di aumentare di circa 316.000 tonnellate la raccolta differenziata al 2021. Abbiamo fatto anche un</w:t>
      </w:r>
      <w:r>
        <w:rPr>
          <w:rFonts w:hAnsi="Book Antiqua" w:hint="default"/>
          <w:rtl w:val="0"/>
          <w:lang w:val="it-IT"/>
        </w:rPr>
        <w:t>’</w:t>
      </w:r>
      <w:r>
        <w:rPr>
          <w:rFonts w:ascii="Book Antiqua"/>
          <w:rtl w:val="0"/>
          <w:lang w:val="it-IT"/>
        </w:rPr>
        <w:t>analisi specifica, anche grazie al lavoro di AMA e del dottor Bina, dell</w:t>
      </w:r>
      <w:r>
        <w:rPr>
          <w:rFonts w:hAnsi="Book Antiqua" w:hint="default"/>
          <w:rtl w:val="0"/>
          <w:lang w:val="it-IT"/>
        </w:rPr>
        <w:t>’</w:t>
      </w:r>
      <w:r>
        <w:rPr>
          <w:rFonts w:ascii="Book Antiqua"/>
          <w:rtl w:val="0"/>
          <w:lang w:val="it-IT"/>
        </w:rPr>
        <w:t xml:space="preserve">incremento suddiviso in termini percentuali sulle diverse filiere di raccolta. Il risultato finale dovrebbe essere questo: un incremento potenziale che ci porta a 1.051.000 tonnellate di raccolta differenziata al 2021. Ovviamente, </w:t>
      </w:r>
      <w:r>
        <w:rPr>
          <w:rFonts w:hAnsi="Book Antiqua" w:hint="default"/>
          <w:rtl w:val="0"/>
          <w:lang w:val="it-IT"/>
        </w:rPr>
        <w:t xml:space="preserve">è </w:t>
      </w:r>
      <w:r>
        <w:rPr>
          <w:rFonts w:ascii="Book Antiqua"/>
          <w:rtl w:val="0"/>
          <w:lang w:val="it-IT"/>
        </w:rPr>
        <w:t>un dato prudenziale e tendenziale, nel senso che per ogni anno abbiamo indicato le dimensioni di questa prospettiva e di questo sviluppo. (</w:t>
      </w:r>
      <w:r>
        <w:rPr>
          <w:rFonts w:hAnsi="Book Antiqua" w:hint="default"/>
          <w:rtl w:val="0"/>
          <w:lang w:val="it-IT"/>
        </w:rPr>
        <w:t>…</w:t>
      </w:r>
      <w:r>
        <w:rPr>
          <w:rFonts w:ascii="Book Antiqua"/>
          <w:rtl w:val="0"/>
          <w:lang w:val="it-IT"/>
        </w:rPr>
        <w:t>) Rimarrebbero 449.000 tonnellate, s</w:t>
      </w:r>
      <w:r>
        <w:rPr>
          <w:rFonts w:hAnsi="Book Antiqua" w:hint="default"/>
          <w:rtl w:val="0"/>
          <w:lang w:val="it-IT"/>
        </w:rPr>
        <w:t>ì</w:t>
      </w:r>
      <w:r>
        <w:rPr>
          <w:rFonts w:ascii="Book Antiqua"/>
          <w:rtl w:val="0"/>
          <w:lang w:val="it-IT"/>
        </w:rPr>
        <w:t xml:space="preserve">, il dato </w:t>
      </w:r>
      <w:r>
        <w:rPr>
          <w:rFonts w:hAnsi="Book Antiqua" w:hint="default"/>
          <w:rtl w:val="0"/>
          <w:lang w:val="it-IT"/>
        </w:rPr>
        <w:t xml:space="preserve">è </w:t>
      </w:r>
      <w:r>
        <w:rPr>
          <w:rFonts w:ascii="Book Antiqua"/>
          <w:rtl w:val="0"/>
          <w:lang w:val="it-IT"/>
        </w:rPr>
        <w:t>quello, ovviamente su 1,5 milioni... Esatto. Sarebbe un incremento della raccolta differenziata del 70 per cento.</w:t>
      </w:r>
      <w:r>
        <w:rPr>
          <w:rFonts w:hAnsi="Book Antiqua" w:hint="default"/>
          <w:rtl w:val="0"/>
          <w:lang w:val="it-IT"/>
        </w:rPr>
        <w:t>”</w:t>
      </w:r>
    </w:p>
    <w:p>
      <w:pPr>
        <w:pStyle w:val="Normal"/>
        <w:widowControl w:val="0"/>
        <w:ind w:left="567" w:right="567" w:firstLine="0"/>
        <w:jc w:val="both"/>
        <w:rPr>
          <w:rFonts w:ascii="Book Antiqua" w:cs="Book Antiqua" w:hAnsi="Book Antiqua" w:eastAsia="Book Antiqua"/>
        </w:rPr>
      </w:pPr>
      <w:r>
        <w:rPr>
          <w:rFonts w:ascii="Book Antiqua"/>
          <w:rtl w:val="0"/>
          <w:lang w:val="it-IT"/>
        </w:rPr>
        <w:t xml:space="preserve">Alle 12 azioni di prevenzione descritte si affiancano 5 progetti: </w:t>
      </w:r>
      <w:r>
        <w:rPr>
          <w:rFonts w:hAnsi="Book Antiqua" w:hint="default"/>
          <w:rtl w:val="0"/>
          <w:lang w:val="it-IT"/>
        </w:rPr>
        <w:t>“</w:t>
      </w:r>
      <w:r>
        <w:rPr>
          <w:rFonts w:ascii="Book Antiqua"/>
          <w:rtl w:val="0"/>
          <w:lang w:val="it-IT"/>
        </w:rPr>
        <w:t>mercati a impatto zero</w:t>
      </w:r>
      <w:r>
        <w:rPr>
          <w:rFonts w:hAnsi="Book Antiqua" w:hint="default"/>
          <w:rtl w:val="0"/>
          <w:lang w:val="it-IT"/>
        </w:rPr>
        <w:t xml:space="preserve">” </w:t>
      </w:r>
      <w:r>
        <w:rPr>
          <w:rFonts w:ascii="Book Antiqua"/>
          <w:rtl w:val="0"/>
          <w:lang w:val="it-IT"/>
        </w:rPr>
        <w:t>che prevede l</w:t>
      </w:r>
      <w:r>
        <w:rPr>
          <w:rFonts w:hAnsi="Book Antiqua" w:hint="default"/>
          <w:rtl w:val="0"/>
          <w:lang w:val="it-IT"/>
        </w:rPr>
        <w:t>’</w:t>
      </w:r>
      <w:r>
        <w:rPr>
          <w:rFonts w:ascii="Book Antiqua"/>
          <w:rtl w:val="0"/>
          <w:lang w:val="it-IT"/>
        </w:rPr>
        <w:t>ottimizzazione  delle  attivit</w:t>
      </w:r>
      <w:r>
        <w:rPr>
          <w:rFonts w:hAnsi="Book Antiqua" w:hint="default"/>
          <w:rtl w:val="0"/>
          <w:lang w:val="it-IT"/>
        </w:rPr>
        <w:t xml:space="preserve">à </w:t>
      </w:r>
      <w:r>
        <w:rPr>
          <w:rFonts w:ascii="Book Antiqua"/>
          <w:rtl w:val="0"/>
          <w:lang w:val="it-IT"/>
        </w:rPr>
        <w:t xml:space="preserve">mercato per  mercato,  al  fine  di  ridurre  la  produzione  ed  ottimizzare  la raccolta ed il conferimento differenziato delle diverse frazioni di materiali post consumo,  con  particolare  attenzione  alla  frazione  organica,  intercettando i cibi ancora edibili, da avviare a cittadini bisognosi, e conferendo correttamente gli scarti alimentari non edibili; </w:t>
      </w:r>
      <w:r>
        <w:rPr>
          <w:rFonts w:hAnsi="Book Antiqua" w:hint="default"/>
          <w:rtl w:val="0"/>
          <w:lang w:val="it-IT"/>
        </w:rPr>
        <w:t>“</w:t>
      </w:r>
      <w:r>
        <w:rPr>
          <w:rFonts w:ascii="Book Antiqua"/>
          <w:rtl w:val="0"/>
          <w:lang w:val="it-IT"/>
        </w:rPr>
        <w:t>scuole rifiuti zero</w:t>
      </w:r>
      <w:r>
        <w:rPr>
          <w:rFonts w:hAnsi="Book Antiqua" w:hint="default"/>
          <w:rtl w:val="0"/>
          <w:lang w:val="it-IT"/>
        </w:rPr>
        <w:t xml:space="preserve">” </w:t>
      </w:r>
      <w:r>
        <w:rPr>
          <w:rFonts w:ascii="Book Antiqua"/>
          <w:rtl w:val="0"/>
          <w:lang w:val="it-IT"/>
        </w:rPr>
        <w:t>per l</w:t>
      </w:r>
      <w:r>
        <w:rPr>
          <w:rFonts w:hAnsi="Book Antiqua" w:hint="default"/>
          <w:rtl w:val="0"/>
          <w:lang w:val="it-IT"/>
        </w:rPr>
        <w:t>’</w:t>
      </w:r>
      <w:r>
        <w:rPr>
          <w:rFonts w:ascii="Book Antiqua"/>
          <w:rtl w:val="0"/>
          <w:lang w:val="it-IT"/>
        </w:rPr>
        <w:t xml:space="preserve">estensione  del porta a porta a tutte le scuole romane con un programma dedicato che tenga presente le specifiche problematiche dei diversi istituti, compresa quella del conferimento di materiali ingombranti; </w:t>
      </w:r>
      <w:r>
        <w:rPr>
          <w:rFonts w:hAnsi="Book Antiqua" w:hint="default"/>
          <w:rtl w:val="0"/>
          <w:lang w:val="it-IT"/>
        </w:rPr>
        <w:t>“</w:t>
      </w:r>
      <w:r>
        <w:rPr>
          <w:rFonts w:ascii="Book Antiqua"/>
          <w:rtl w:val="0"/>
          <w:lang w:val="it-IT"/>
        </w:rPr>
        <w:t>piccoli RAEE</w:t>
      </w:r>
      <w:r>
        <w:rPr>
          <w:rFonts w:hAnsi="Book Antiqua" w:hint="default"/>
          <w:rtl w:val="0"/>
          <w:lang w:val="it-IT"/>
        </w:rPr>
        <w:t xml:space="preserve">” </w:t>
      </w:r>
      <w:r>
        <w:rPr>
          <w:rFonts w:ascii="Book Antiqua"/>
          <w:rtl w:val="0"/>
          <w:lang w:val="it-IT"/>
        </w:rPr>
        <w:t>per l</w:t>
      </w:r>
      <w:r>
        <w:rPr>
          <w:rFonts w:hAnsi="Book Antiqua" w:hint="default"/>
          <w:rtl w:val="0"/>
          <w:lang w:val="it-IT"/>
        </w:rPr>
        <w:t>’</w:t>
      </w:r>
      <w:r>
        <w:rPr>
          <w:rFonts w:ascii="Book Antiqua"/>
          <w:rtl w:val="0"/>
          <w:lang w:val="it-IT"/>
        </w:rPr>
        <w:t xml:space="preserve">attivazione di una rete di raccolta dei  piccoli elettrodomestici con la collaborazione degli esercizi commerciali, incentivando i cittadini con i </w:t>
      </w:r>
      <w:r>
        <w:rPr>
          <w:rFonts w:ascii="Book Antiqua"/>
          <w:i w:val="1"/>
          <w:iCs w:val="1"/>
          <w:rtl w:val="0"/>
          <w:lang w:val="it-IT"/>
        </w:rPr>
        <w:t>crediti green</w:t>
      </w:r>
      <w:r>
        <w:rPr>
          <w:rFonts w:ascii="Book Antiqua"/>
          <w:rtl w:val="0"/>
          <w:lang w:val="it-IT"/>
        </w:rPr>
        <w:t xml:space="preserve">; </w:t>
      </w:r>
      <w:r>
        <w:rPr>
          <w:rFonts w:hAnsi="Book Antiqua" w:hint="default"/>
          <w:rtl w:val="0"/>
          <w:lang w:val="it-IT"/>
        </w:rPr>
        <w:t>“</w:t>
      </w:r>
      <w:r>
        <w:rPr>
          <w:rFonts w:ascii="Book Antiqua"/>
          <w:rtl w:val="0"/>
          <w:lang w:val="it-IT"/>
        </w:rPr>
        <w:t>metalli non di imballaggio</w:t>
      </w:r>
      <w:r>
        <w:rPr>
          <w:rFonts w:hAnsi="Book Antiqua" w:hint="default"/>
          <w:rtl w:val="0"/>
          <w:lang w:val="it-IT"/>
        </w:rPr>
        <w:t xml:space="preserve">” </w:t>
      </w:r>
      <w:r>
        <w:rPr>
          <w:rFonts w:ascii="Book Antiqua"/>
          <w:rtl w:val="0"/>
          <w:lang w:val="it-IT"/>
        </w:rPr>
        <w:t>con lo scopo di realizzare all</w:t>
      </w:r>
      <w:r>
        <w:rPr>
          <w:rFonts w:hAnsi="Book Antiqua" w:hint="default"/>
          <w:rtl w:val="0"/>
          <w:lang w:val="it-IT"/>
        </w:rPr>
        <w:t>’</w:t>
      </w:r>
      <w:r>
        <w:rPr>
          <w:rFonts w:ascii="Book Antiqua"/>
          <w:rtl w:val="0"/>
          <w:lang w:val="it-IT"/>
        </w:rPr>
        <w:t xml:space="preserve">interno dei  Centri di raccolta AMA delle postazioni dedicate al ritiro dei metalli; </w:t>
      </w:r>
      <w:r>
        <w:rPr>
          <w:rFonts w:hAnsi="Book Antiqua" w:hint="default"/>
          <w:rtl w:val="0"/>
          <w:lang w:val="it-IT"/>
        </w:rPr>
        <w:t>“</w:t>
      </w:r>
      <w:r>
        <w:rPr>
          <w:rFonts w:ascii="Book Antiqua"/>
          <w:rtl w:val="0"/>
          <w:lang w:val="it-IT"/>
        </w:rPr>
        <w:t>oli vegetali esausti</w:t>
      </w:r>
      <w:r>
        <w:rPr>
          <w:rFonts w:hAnsi="Book Antiqua" w:hint="default"/>
          <w:rtl w:val="0"/>
          <w:lang w:val="it-IT"/>
        </w:rPr>
        <w:t xml:space="preserve">” </w:t>
      </w:r>
      <w:r>
        <w:rPr>
          <w:rFonts w:ascii="Book Antiqua"/>
          <w:rtl w:val="0"/>
          <w:lang w:val="it-IT"/>
        </w:rPr>
        <w:t xml:space="preserve">finalizzato a individuare una rete di punti di raccolta in spazi privati, andando a valorizzare anche economicamente gli oli vegetali esausti. </w:t>
      </w:r>
    </w:p>
    <w:p>
      <w:pPr>
        <w:pStyle w:val="Normal"/>
        <w:widowControl w:val="0"/>
        <w:ind w:left="567" w:right="567" w:firstLine="0"/>
        <w:jc w:val="both"/>
        <w:rPr>
          <w:rFonts w:ascii="Book Antiqua" w:cs="Book Antiqua" w:hAnsi="Book Antiqua" w:eastAsia="Book Antiqua"/>
        </w:rPr>
      </w:pPr>
      <w:r>
        <w:rPr>
          <w:rFonts w:ascii="Book Antiqua"/>
          <w:rtl w:val="0"/>
          <w:lang w:val="it-IT"/>
        </w:rPr>
        <w:t>Nel merito dei progetti previsti, nel corso dell</w:t>
      </w:r>
      <w:r>
        <w:rPr>
          <w:rFonts w:hAnsi="Book Antiqua" w:hint="default"/>
          <w:rtl w:val="0"/>
          <w:lang w:val="it-IT"/>
        </w:rPr>
        <w:t>’</w:t>
      </w:r>
      <w:r>
        <w:rPr>
          <w:rFonts w:ascii="Book Antiqua"/>
          <w:rtl w:val="0"/>
          <w:lang w:val="it-IT"/>
        </w:rPr>
        <w:t>audizione l</w:t>
      </w:r>
      <w:r>
        <w:rPr>
          <w:rFonts w:hAnsi="Book Antiqua" w:hint="default"/>
          <w:rtl w:val="0"/>
          <w:lang w:val="it-IT"/>
        </w:rPr>
        <w:t>’</w:t>
      </w:r>
      <w:r>
        <w:rPr>
          <w:rFonts w:ascii="Book Antiqua"/>
          <w:rtl w:val="0"/>
          <w:lang w:val="it-IT"/>
        </w:rPr>
        <w:t xml:space="preserve">assessora Montanari ha riferito: </w:t>
      </w:r>
    </w:p>
    <w:p>
      <w:pPr>
        <w:pStyle w:val="Normal"/>
        <w:widowControl w:val="0"/>
        <w:ind w:left="567" w:right="567" w:firstLine="0"/>
        <w:jc w:val="both"/>
        <w:rPr>
          <w:rFonts w:ascii="Book Antiqua" w:cs="Book Antiqua" w:hAnsi="Book Antiqua" w:eastAsia="Book Antiqua"/>
        </w:rPr>
      </w:pPr>
      <w:r>
        <w:rPr>
          <w:rFonts w:hAnsi="Book Antiqua" w:hint="default"/>
          <w:rtl w:val="0"/>
          <w:lang w:val="it-IT"/>
        </w:rPr>
        <w:t>“</w:t>
      </w:r>
      <w:r>
        <w:rPr>
          <w:rFonts w:ascii="Book Antiqua"/>
          <w:rtl w:val="0"/>
          <w:lang w:val="it-IT"/>
        </w:rPr>
        <w:t>Come sapete, quando finiscono i mercati si raccolgono tantissimi rifiuti. L</w:t>
      </w:r>
      <w:r>
        <w:rPr>
          <w:rFonts w:hAnsi="Book Antiqua" w:hint="default"/>
          <w:rtl w:val="0"/>
          <w:lang w:val="it-IT"/>
        </w:rPr>
        <w:t>’</w:t>
      </w:r>
      <w:r>
        <w:rPr>
          <w:rFonts w:ascii="Book Antiqua"/>
          <w:rtl w:val="0"/>
          <w:lang w:val="it-IT"/>
        </w:rPr>
        <w:t>utilizzo delle cassette ripiegabili, ad esempio, e anche altre azioni rientrano nell</w:t>
      </w:r>
      <w:r>
        <w:rPr>
          <w:rFonts w:hAnsi="Book Antiqua" w:hint="default"/>
          <w:rtl w:val="0"/>
          <w:lang w:val="it-IT"/>
        </w:rPr>
        <w:t>’</w:t>
      </w:r>
      <w:r>
        <w:rPr>
          <w:rFonts w:ascii="Book Antiqua"/>
          <w:rtl w:val="0"/>
          <w:lang w:val="it-IT"/>
        </w:rPr>
        <w:t>elaborazione di questo progetto di raccolta differenziata presso i mercati e mercati a rifiuto zero, progetto che intendiamo realizzare a partire anche da subito. Anche la tariffazione puntuale costituisce un elemento centrale per la riduzione, non solo perch</w:t>
      </w:r>
      <w:r>
        <w:rPr>
          <w:rFonts w:hAnsi="Book Antiqua" w:hint="default"/>
          <w:rtl w:val="0"/>
          <w:lang w:val="it-IT"/>
        </w:rPr>
        <w:t xml:space="preserve">é </w:t>
      </w:r>
      <w:r>
        <w:rPr>
          <w:rFonts w:ascii="Book Antiqua"/>
          <w:rtl w:val="0"/>
          <w:lang w:val="it-IT"/>
        </w:rPr>
        <w:t xml:space="preserve">aiuta il cittadino a produrre meno rifiuti e a pagare meno </w:t>
      </w:r>
      <w:r>
        <w:rPr>
          <w:rFonts w:hAnsi="Book Antiqua" w:hint="default"/>
          <w:rtl w:val="0"/>
          <w:lang w:val="it-IT"/>
        </w:rPr>
        <w:t xml:space="preserve">– </w:t>
      </w:r>
      <w:r>
        <w:rPr>
          <w:rFonts w:ascii="Book Antiqua"/>
          <w:rtl w:val="0"/>
          <w:lang w:val="it-IT"/>
        </w:rPr>
        <w:t xml:space="preserve">si paga solo quello che si conferisce </w:t>
      </w:r>
      <w:r>
        <w:rPr>
          <w:rFonts w:hAnsi="Book Antiqua" w:hint="default"/>
          <w:rtl w:val="0"/>
          <w:lang w:val="it-IT"/>
        </w:rPr>
        <w:t xml:space="preserve">– </w:t>
      </w:r>
      <w:r>
        <w:rPr>
          <w:rFonts w:ascii="Book Antiqua"/>
          <w:rtl w:val="0"/>
          <w:lang w:val="it-IT"/>
        </w:rPr>
        <w:t>ma perch</w:t>
      </w:r>
      <w:r>
        <w:rPr>
          <w:rFonts w:hAnsi="Book Antiqua" w:hint="default"/>
          <w:rtl w:val="0"/>
          <w:lang w:val="it-IT"/>
        </w:rPr>
        <w:t xml:space="preserve">é </w:t>
      </w:r>
      <w:r>
        <w:rPr>
          <w:rFonts w:ascii="Book Antiqua"/>
          <w:rtl w:val="0"/>
          <w:lang w:val="it-IT"/>
        </w:rPr>
        <w:t>consente di ottenere anche in questo caso un risultato molto concreto. Sono molto importanti gli acquisti verdi delle pubbliche amministrazioni. Io credo moltissimo e sono convinta che, dal punto di vista politico e strategico, visto che c</w:t>
      </w:r>
      <w:r>
        <w:rPr>
          <w:rFonts w:hAnsi="Book Antiqua" w:hint="default"/>
          <w:rtl w:val="0"/>
          <w:lang w:val="it-IT"/>
        </w:rPr>
        <w:t xml:space="preserve">’è </w:t>
      </w:r>
      <w:r>
        <w:rPr>
          <w:rFonts w:ascii="Book Antiqua"/>
          <w:rtl w:val="0"/>
          <w:lang w:val="it-IT"/>
        </w:rPr>
        <w:t>un obbligo di legge, tutte le pubbliche amministrazioni debbano cominciare davvero a prendere sul serio questa norma di legge, a partire da noi, mentre ancora oggi purtroppo si vede l</w:t>
      </w:r>
      <w:r>
        <w:rPr>
          <w:rFonts w:hAnsi="Book Antiqua" w:hint="default"/>
          <w:rtl w:val="0"/>
          <w:lang w:val="it-IT"/>
        </w:rPr>
        <w:t>’</w:t>
      </w:r>
      <w:r>
        <w:rPr>
          <w:rFonts w:ascii="Book Antiqua"/>
          <w:rtl w:val="0"/>
          <w:lang w:val="it-IT"/>
        </w:rPr>
        <w:t xml:space="preserve">utilizzo di materiali non biodegradabili, non riutilizzabili. Se tutte le pubbliche amministrazioni italiane, a partire da quella di Roma </w:t>
      </w:r>
      <w:r>
        <w:rPr>
          <w:rFonts w:hAnsi="Book Antiqua" w:hint="default"/>
          <w:rtl w:val="0"/>
          <w:lang w:val="it-IT"/>
        </w:rPr>
        <w:t xml:space="preserve">– </w:t>
      </w:r>
      <w:r>
        <w:rPr>
          <w:rFonts w:ascii="Book Antiqua"/>
          <w:rtl w:val="0"/>
          <w:lang w:val="it-IT"/>
        </w:rPr>
        <w:t xml:space="preserve">noi abbiamo una delibera che approveremo a breve </w:t>
      </w:r>
      <w:r>
        <w:rPr>
          <w:rFonts w:hAnsi="Book Antiqua" w:hint="default"/>
          <w:rtl w:val="0"/>
          <w:lang w:val="it-IT"/>
        </w:rPr>
        <w:t xml:space="preserve">– </w:t>
      </w:r>
      <w:r>
        <w:rPr>
          <w:rFonts w:ascii="Book Antiqua"/>
          <w:rtl w:val="0"/>
          <w:lang w:val="it-IT"/>
        </w:rPr>
        <w:t xml:space="preserve">non riprendono le indicazioni normative di questo Parlamento, da questo punto di vista importantissimo, se non si riprendono questi orientamenti sugli acquisti cosiddetti </w:t>
      </w:r>
      <w:r>
        <w:rPr>
          <w:rFonts w:ascii="Book Antiqua"/>
          <w:i w:val="1"/>
          <w:iCs w:val="1"/>
          <w:rtl w:val="0"/>
          <w:lang w:val="it-IT"/>
        </w:rPr>
        <w:t>green public procurement</w:t>
      </w:r>
      <w:r>
        <w:rPr>
          <w:rFonts w:ascii="Book Antiqua"/>
          <w:rtl w:val="0"/>
          <w:lang w:val="it-IT"/>
        </w:rPr>
        <w:t>, gli acquisti verdi della pubblica amministrazione, noi crediamo che questo non possa poi prescindere dal fatto che purtroppo poi i rifiuti finiscono dove non devono. Alla fine, il calcolo di questo nostro piano ci dovrebbe portare almeno al 19 per cento di riduzione della produzione dei rifiuti, che potrebbe portare anche a pi</w:t>
      </w:r>
      <w:r>
        <w:rPr>
          <w:rFonts w:hAnsi="Book Antiqua" w:hint="default"/>
          <w:rtl w:val="0"/>
          <w:lang w:val="it-IT"/>
        </w:rPr>
        <w:t xml:space="preserve">ù </w:t>
      </w:r>
      <w:r>
        <w:rPr>
          <w:rFonts w:ascii="Book Antiqua"/>
          <w:rtl w:val="0"/>
          <w:lang w:val="it-IT"/>
        </w:rPr>
        <w:t>di 300.000 tonnellate. Nell</w:t>
      </w:r>
      <w:r>
        <w:rPr>
          <w:rFonts w:hAnsi="Book Antiqua" w:hint="default"/>
          <w:rtl w:val="0"/>
          <w:lang w:val="it-IT"/>
        </w:rPr>
        <w:t>’</w:t>
      </w:r>
      <w:r>
        <w:rPr>
          <w:rFonts w:ascii="Book Antiqua"/>
          <w:rtl w:val="0"/>
          <w:lang w:val="it-IT"/>
        </w:rPr>
        <w:t>attuale bozza di piano, abbiamo individuato 200.000 tonnellate al 2021</w:t>
      </w:r>
      <w:r>
        <w:rPr>
          <w:rFonts w:hAnsi="Book Antiqua" w:hint="default"/>
          <w:rtl w:val="0"/>
          <w:lang w:val="it-IT"/>
        </w:rPr>
        <w:t>”</w:t>
      </w:r>
      <w:r>
        <w:rPr>
          <w:rFonts w:ascii="Book Antiqua"/>
          <w:rtl w:val="0"/>
          <w:lang w:val="it-IT"/>
        </w:rPr>
        <w:t>.</w:t>
      </w:r>
    </w:p>
    <w:p>
      <w:pPr>
        <w:pStyle w:val="Normal"/>
        <w:widowControl w:val="0"/>
        <w:ind w:left="567" w:right="567" w:firstLine="0"/>
        <w:jc w:val="both"/>
        <w:rPr>
          <w:rFonts w:ascii="Book Antiqua" w:cs="Book Antiqua" w:hAnsi="Book Antiqua" w:eastAsia="Book Antiqua"/>
        </w:rPr>
      </w:pPr>
      <w:r>
        <w:rPr>
          <w:rFonts w:ascii="Book Antiqua"/>
          <w:rtl w:val="0"/>
          <w:lang w:val="it-IT"/>
        </w:rPr>
        <w:t>Il piano individua, inoltre, il VI Municipio di Roma Capitale</w:t>
      </w:r>
      <w:r>
        <w:rPr>
          <w:rFonts w:ascii="Book Antiqua" w:cs="Book Antiqua" w:hAnsi="Book Antiqua" w:eastAsia="Book Antiqua"/>
          <w:vertAlign w:val="superscript"/>
          <w:rtl w:val="0"/>
        </w:rPr>
        <w:footnoteReference w:id="134"/>
      </w:r>
      <w:r>
        <w:rPr>
          <w:rFonts w:ascii="Book Antiqua"/>
          <w:rtl w:val="0"/>
          <w:lang w:val="it-IT"/>
        </w:rPr>
        <w:t xml:space="preserve"> quale territorio di riferimento per dare attuazione alle misure delineate sia in termini di prevenzione della produzione dei rifiuti che di ottimizzazione della raccolta differenziata, con l</w:t>
      </w:r>
      <w:r>
        <w:rPr>
          <w:rFonts w:hAnsi="Book Antiqua" w:hint="default"/>
          <w:rtl w:val="0"/>
          <w:lang w:val="it-IT"/>
        </w:rPr>
        <w:t>’</w:t>
      </w:r>
      <w:r>
        <w:rPr>
          <w:rFonts w:ascii="Book Antiqua"/>
          <w:rtl w:val="0"/>
          <w:lang w:val="it-IT"/>
        </w:rPr>
        <w:t>obiettivo del 70 per cento. Il VI Municipio costituir</w:t>
      </w:r>
      <w:r>
        <w:rPr>
          <w:rFonts w:hAnsi="Book Antiqua" w:hint="default"/>
          <w:rtl w:val="0"/>
          <w:lang w:val="it-IT"/>
        </w:rPr>
        <w:t xml:space="preserve">à </w:t>
      </w:r>
      <w:r>
        <w:rPr>
          <w:rFonts w:ascii="Book Antiqua"/>
          <w:rtl w:val="0"/>
          <w:lang w:val="it-IT"/>
        </w:rPr>
        <w:t xml:space="preserve">negli obiettivi del piano un modello di base da trasferire, con le adeguate misure di adattamento, agli altri Municipi della Capitale. </w:t>
      </w:r>
    </w:p>
    <w:p>
      <w:pPr>
        <w:pStyle w:val="Normal"/>
        <w:widowControl w:val="0"/>
        <w:ind w:left="567" w:right="567" w:firstLine="0"/>
        <w:jc w:val="both"/>
        <w:rPr>
          <w:rFonts w:ascii="Book Antiqua" w:cs="Book Antiqua" w:hAnsi="Book Antiqua" w:eastAsia="Book Antiqua"/>
        </w:rPr>
      </w:pPr>
      <w:r>
        <w:rPr>
          <w:rFonts w:ascii="Book Antiqua"/>
          <w:rtl w:val="0"/>
          <w:lang w:val="it-IT"/>
        </w:rPr>
        <w:t>Il piano di ampliamento della raccolta differenziata domiciliare prevede un incremento di 100.000 nuove utenze ogni anno iniziando, come evidenziato, dal  Municipio VI.  Attualmente 951.500 sono gli abitanti serviti dal porta a porta.</w:t>
      </w:r>
    </w:p>
    <w:p>
      <w:pPr>
        <w:pStyle w:val="Normal"/>
        <w:widowControl w:val="0"/>
        <w:ind w:left="567" w:right="567" w:firstLine="0"/>
        <w:jc w:val="both"/>
        <w:rPr>
          <w:rFonts w:ascii="Book Antiqua" w:cs="Book Antiqua" w:hAnsi="Book Antiqua" w:eastAsia="Book Antiqua"/>
          <w:color w:val="262626"/>
          <w:u w:color="262626"/>
        </w:rPr>
      </w:pPr>
      <w:r>
        <w:rPr>
          <w:rFonts w:ascii="Book Antiqua"/>
          <w:rtl w:val="0"/>
          <w:lang w:val="it-IT"/>
        </w:rPr>
        <w:t>Sulle tempistiche previste l</w:t>
      </w:r>
      <w:r>
        <w:rPr>
          <w:rFonts w:hAnsi="Book Antiqua" w:hint="default"/>
          <w:rtl w:val="0"/>
          <w:lang w:val="it-IT"/>
        </w:rPr>
        <w:t>’</w:t>
      </w:r>
      <w:r>
        <w:rPr>
          <w:rFonts w:ascii="Book Antiqua"/>
          <w:rtl w:val="0"/>
          <w:lang w:val="it-IT"/>
        </w:rPr>
        <w:t>assessora Montanari aveva evidenziato durante l</w:t>
      </w:r>
      <w:r>
        <w:rPr>
          <w:rFonts w:hAnsi="Book Antiqua" w:hint="default"/>
          <w:rtl w:val="0"/>
          <w:lang w:val="it-IT"/>
        </w:rPr>
        <w:t>’</w:t>
      </w:r>
      <w:r>
        <w:rPr>
          <w:rFonts w:ascii="Book Antiqua"/>
          <w:rtl w:val="0"/>
          <w:lang w:val="it-IT"/>
        </w:rPr>
        <w:t xml:space="preserve">audizione del 31 gennaio 2017 che </w:t>
      </w:r>
      <w:r>
        <w:rPr>
          <w:rFonts w:hAnsi="Book Antiqua" w:hint="default"/>
          <w:rtl w:val="0"/>
          <w:lang w:val="it-IT"/>
        </w:rPr>
        <w:t>“</w:t>
      </w:r>
      <w:r>
        <w:rPr>
          <w:rFonts w:ascii="Book Antiqua"/>
          <w:rtl w:val="0"/>
          <w:lang w:val="it-IT"/>
        </w:rPr>
        <w:t>ci sar</w:t>
      </w:r>
      <w:r>
        <w:rPr>
          <w:rFonts w:hAnsi="Book Antiqua" w:hint="default"/>
          <w:rtl w:val="0"/>
          <w:lang w:val="it-IT"/>
        </w:rPr>
        <w:t>à</w:t>
      </w:r>
      <w:r>
        <w:rPr>
          <w:rFonts w:ascii="Book Antiqua"/>
          <w:rtl w:val="0"/>
          <w:lang w:val="it-IT"/>
        </w:rPr>
        <w:t>, tra la fine di febbraio e l</w:t>
      </w:r>
      <w:r>
        <w:rPr>
          <w:rFonts w:hAnsi="Book Antiqua" w:hint="default"/>
          <w:rtl w:val="0"/>
          <w:lang w:val="it-IT"/>
        </w:rPr>
        <w:t>’</w:t>
      </w:r>
      <w:r>
        <w:rPr>
          <w:rFonts w:ascii="Book Antiqua"/>
          <w:rtl w:val="0"/>
          <w:lang w:val="it-IT"/>
        </w:rPr>
        <w:t>inizio di marzo, la partenza del progetto di raccolta porta a porta nel VI Municipio; l</w:t>
      </w:r>
      <w:r>
        <w:rPr>
          <w:rFonts w:hAnsi="Book Antiqua" w:hint="default"/>
          <w:rtl w:val="0"/>
          <w:lang w:val="it-IT"/>
        </w:rPr>
        <w:t>’</w:t>
      </w:r>
      <w:r>
        <w:rPr>
          <w:rFonts w:ascii="Book Antiqua"/>
          <w:rtl w:val="0"/>
          <w:lang w:val="it-IT"/>
        </w:rPr>
        <w:t>incremento delle raccolte stradali attuali; soprattutto, come dicevo, lo sviluppo delle oasi ecologiche dedicate condominiali; il potenziamento di alcuni servizi, come la raccolta ingombranti, che consentir</w:t>
      </w:r>
      <w:r>
        <w:rPr>
          <w:rFonts w:hAnsi="Book Antiqua" w:hint="default"/>
          <w:rtl w:val="0"/>
          <w:lang w:val="it-IT"/>
        </w:rPr>
        <w:t xml:space="preserve">à </w:t>
      </w:r>
      <w:r>
        <w:rPr>
          <w:rFonts w:ascii="Book Antiqua"/>
          <w:rtl w:val="0"/>
          <w:lang w:val="it-IT"/>
        </w:rPr>
        <w:t>un aumento di raccolta differenziata dello 0,8 per cento; la raccolta abiti usati, per lo 0,8 per cento; la raccolta carta e cartone, in questo caso con un protocollo avviato con Comieco e che intendiamo sviluppare; il potenziamento dei centri di raccolta. Vi lasceremo anche il nostro piano di sviluppo delle isole ecologiche. Sono 32 quelle che intendiamo a breve realizzare. Sono gi</w:t>
      </w:r>
      <w:r>
        <w:rPr>
          <w:rFonts w:hAnsi="Book Antiqua" w:hint="default"/>
          <w:rtl w:val="0"/>
          <w:lang w:val="it-IT"/>
        </w:rPr>
        <w:t xml:space="preserve">à </w:t>
      </w:r>
      <w:r>
        <w:rPr>
          <w:rFonts w:ascii="Book Antiqua"/>
          <w:rtl w:val="0"/>
          <w:lang w:val="it-IT"/>
        </w:rPr>
        <w:t>in fase di progettazione con un</w:t>
      </w:r>
      <w:r>
        <w:rPr>
          <w:rFonts w:hAnsi="Book Antiqua" w:hint="default"/>
          <w:rtl w:val="0"/>
          <w:lang w:val="it-IT"/>
        </w:rPr>
        <w:t>’</w:t>
      </w:r>
      <w:r>
        <w:rPr>
          <w:rFonts w:ascii="Book Antiqua"/>
          <w:rtl w:val="0"/>
          <w:lang w:val="it-IT"/>
        </w:rPr>
        <w:t>individuazione esatta, e abbiamo portato anche il materiale. Questo ci consente, attraverso le isole ecologiche, di promuovere la raccolta differenziata anche dei materiali che possono essere pericolosi.</w:t>
      </w:r>
      <w:r>
        <w:rPr>
          <w:rFonts w:ascii="Book Antiqua"/>
          <w:color w:val="262626"/>
          <w:u w:color="262626"/>
          <w:rtl w:val="0"/>
          <w:lang w:val="it-IT"/>
        </w:rPr>
        <w:t xml:space="preserve"> Infine, ci sar</w:t>
      </w:r>
      <w:r>
        <w:rPr>
          <w:rFonts w:hAnsi="Book Antiqua" w:hint="default"/>
          <w:color w:val="262626"/>
          <w:u w:color="262626"/>
          <w:rtl w:val="0"/>
          <w:lang w:val="it-IT"/>
        </w:rPr>
        <w:t xml:space="preserve">à </w:t>
      </w:r>
      <w:r>
        <w:rPr>
          <w:rFonts w:ascii="Book Antiqua"/>
          <w:color w:val="262626"/>
          <w:u w:color="262626"/>
          <w:rtl w:val="0"/>
          <w:lang w:val="it-IT"/>
        </w:rPr>
        <w:t>lo sviluppo di un progetto, che partir</w:t>
      </w:r>
      <w:r>
        <w:rPr>
          <w:rFonts w:hAnsi="Book Antiqua" w:hint="default"/>
          <w:color w:val="262626"/>
          <w:u w:color="262626"/>
          <w:rtl w:val="0"/>
          <w:lang w:val="it-IT"/>
        </w:rPr>
        <w:t xml:space="preserve">à </w:t>
      </w:r>
      <w:r>
        <w:rPr>
          <w:rFonts w:ascii="Book Antiqua"/>
          <w:color w:val="262626"/>
          <w:u w:color="262626"/>
          <w:rtl w:val="0"/>
          <w:lang w:val="it-IT"/>
        </w:rPr>
        <w:t>anche questo a breve, per le utenze non domestiche [</w:t>
      </w:r>
      <w:r>
        <w:rPr>
          <w:rFonts w:hAnsi="Book Antiqua" w:hint="default"/>
          <w:color w:val="262626"/>
          <w:u w:color="262626"/>
          <w:rtl w:val="0"/>
          <w:lang w:val="it-IT"/>
        </w:rPr>
        <w:t>…</w:t>
      </w:r>
      <w:r>
        <w:rPr>
          <w:rFonts w:ascii="Book Antiqua"/>
          <w:color w:val="262626"/>
          <w:u w:color="262626"/>
          <w:rtl w:val="0"/>
          <w:lang w:val="it-IT"/>
        </w:rPr>
        <w:t>]: consolidamento del servizio porta a porta; aumento delle frequenze medie di svuotamento; nuovo servizio di raccolta condominiale con le oasi ecologiche dedicate</w:t>
      </w:r>
      <w:r>
        <w:rPr>
          <w:rFonts w:ascii="Book Antiqua" w:cs="Book Antiqua" w:hAnsi="Book Antiqua" w:eastAsia="Book Antiqua"/>
          <w:color w:val="262626"/>
          <w:u w:color="262626"/>
          <w:vertAlign w:val="superscript"/>
          <w:rtl w:val="0"/>
        </w:rPr>
        <w:footnoteReference w:id="135"/>
      </w:r>
      <w:r>
        <w:rPr>
          <w:rFonts w:ascii="Book Antiqua"/>
          <w:color w:val="262626"/>
          <w:u w:color="262626"/>
          <w:rtl w:val="0"/>
          <w:lang w:val="it-IT"/>
        </w:rPr>
        <w:t>; ripresa del servizio di raccolta ingombranti e domiciliati e dei RAEE, i rifiuti elettrici ed elettronici, con un progetto che stiamo mettendo in campo con EcoRaee [</w:t>
      </w:r>
      <w:r>
        <w:rPr>
          <w:rFonts w:hAnsi="Book Antiqua" w:hint="default"/>
          <w:color w:val="262626"/>
          <w:u w:color="262626"/>
          <w:rtl w:val="0"/>
          <w:lang w:val="it-IT"/>
        </w:rPr>
        <w:t>…</w:t>
      </w:r>
      <w:r>
        <w:rPr>
          <w:rFonts w:ascii="Book Antiqua"/>
          <w:color w:val="262626"/>
          <w:u w:color="262626"/>
          <w:rtl w:val="0"/>
          <w:lang w:val="it-IT"/>
        </w:rPr>
        <w:t>] Un altro impegno di prossima realizzazione riguarda, per circa 175.000 tonnellate al 2021, la  realizzazione di un</w:t>
      </w:r>
      <w:r>
        <w:rPr>
          <w:rFonts w:hAnsi="Book Antiqua" w:hint="default"/>
          <w:color w:val="262626"/>
          <w:u w:color="262626"/>
          <w:rtl w:val="0"/>
          <w:lang w:val="it-IT"/>
        </w:rPr>
        <w:t>’</w:t>
      </w:r>
      <w:r>
        <w:rPr>
          <w:rFonts w:ascii="Book Antiqua"/>
          <w:color w:val="262626"/>
          <w:u w:color="262626"/>
          <w:rtl w:val="0"/>
          <w:lang w:val="it-IT"/>
        </w:rPr>
        <w:t>isola del recupero dei materiali post-consumo, in sostanza la realizzazione di un centro di separazione spinta del multimateriale</w:t>
      </w:r>
      <w:r>
        <w:rPr>
          <w:rFonts w:ascii="Book Antiqua" w:cs="Book Antiqua" w:hAnsi="Book Antiqua" w:eastAsia="Book Antiqua"/>
          <w:color w:val="262626"/>
          <w:u w:color="262626"/>
          <w:vertAlign w:val="superscript"/>
          <w:rtl w:val="0"/>
        </w:rPr>
        <w:footnoteReference w:id="136"/>
      </w:r>
      <w:r>
        <w:rPr>
          <w:rFonts w:ascii="Book Antiqua"/>
          <w:color w:val="262626"/>
          <w:u w:color="262626"/>
          <w:rtl w:val="0"/>
          <w:lang w:val="it-IT"/>
        </w:rPr>
        <w:t>, sempre per valorizzare quello che resta dalla raccolta differenziata, con annesso un centro di selezione per polimeri delle plastiche monomateriali: +48 per cento per l</w:t>
      </w:r>
      <w:r>
        <w:rPr>
          <w:rFonts w:hAnsi="Book Antiqua" w:hint="default"/>
          <w:color w:val="262626"/>
          <w:u w:color="262626"/>
          <w:rtl w:val="0"/>
          <w:lang w:val="it-IT"/>
        </w:rPr>
        <w:t>’</w:t>
      </w:r>
      <w:r>
        <w:rPr>
          <w:rFonts w:ascii="Book Antiqua"/>
          <w:color w:val="262626"/>
          <w:u w:color="262626"/>
          <w:rtl w:val="0"/>
          <w:lang w:val="it-IT"/>
        </w:rPr>
        <w:t>organico, uno sviluppo di filiera del 37 per cento per carta e cartone, lo sviluppo del 14 per cento per la raccolta del vetro e +35 per cento di multimateriali.</w:t>
      </w:r>
      <w:r>
        <w:rPr>
          <w:rFonts w:hAnsi="Book Antiqua" w:hint="default"/>
          <w:color w:val="262626"/>
          <w:u w:color="262626"/>
          <w:rtl w:val="0"/>
          <w:lang w:val="it-IT"/>
        </w:rPr>
        <w:t>”</w:t>
      </w:r>
    </w:p>
    <w:p>
      <w:pPr>
        <w:pStyle w:val="Normal"/>
        <w:widowControl w:val="0"/>
        <w:ind w:left="567" w:right="567" w:firstLine="0"/>
        <w:jc w:val="both"/>
        <w:rPr>
          <w:rFonts w:ascii="Book Antiqua" w:cs="Book Antiqua" w:hAnsi="Book Antiqua" w:eastAsia="Book Antiqua"/>
        </w:rPr>
      </w:pPr>
      <w:r>
        <w:rPr>
          <w:rFonts w:ascii="Book Antiqua"/>
          <w:rtl w:val="0"/>
          <w:lang w:val="it-IT"/>
        </w:rPr>
        <w:t xml:space="preserve">Davanti alla Commissione era stata annunciata una serie di azioni di immediato avvio: </w:t>
      </w:r>
    </w:p>
    <w:p>
      <w:pPr>
        <w:pStyle w:val="Normal"/>
        <w:widowControl w:val="0"/>
        <w:ind w:left="567" w:right="567" w:firstLine="0"/>
        <w:jc w:val="both"/>
        <w:rPr>
          <w:rFonts w:ascii="Book Antiqua" w:cs="Book Antiqua" w:hAnsi="Book Antiqua" w:eastAsia="Book Antiqua"/>
        </w:rPr>
      </w:pPr>
      <w:r>
        <w:rPr>
          <w:rFonts w:hAnsi="Book Antiqua" w:hint="default"/>
          <w:rtl w:val="0"/>
          <w:lang w:val="it-IT"/>
        </w:rPr>
        <w:t>“</w:t>
      </w:r>
      <w:r>
        <w:rPr>
          <w:rFonts w:ascii="Book Antiqua"/>
          <w:color w:val="262626"/>
          <w:u w:color="262626"/>
          <w:rtl w:val="0"/>
          <w:lang w:val="it-IT"/>
        </w:rPr>
        <w:t>Innanzitutto, attraverso il compostaggio domestico individuale, che deve essere per</w:t>
      </w:r>
      <w:r>
        <w:rPr>
          <w:rFonts w:hAnsi="Book Antiqua" w:hint="default"/>
          <w:color w:val="262626"/>
          <w:u w:color="262626"/>
          <w:rtl w:val="0"/>
          <w:lang w:val="it-IT"/>
        </w:rPr>
        <w:t xml:space="preserve">ò </w:t>
      </w:r>
      <w:r>
        <w:rPr>
          <w:rFonts w:ascii="Book Antiqua"/>
          <w:color w:val="262626"/>
          <w:u w:color="262626"/>
          <w:rtl w:val="0"/>
          <w:lang w:val="it-IT"/>
        </w:rPr>
        <w:t>promosso e sviluppato, soprattutto nelle grandi citt</w:t>
      </w:r>
      <w:r>
        <w:rPr>
          <w:rFonts w:hAnsi="Book Antiqua" w:hint="default"/>
          <w:color w:val="262626"/>
          <w:u w:color="262626"/>
          <w:rtl w:val="0"/>
          <w:lang w:val="it-IT"/>
        </w:rPr>
        <w:t xml:space="preserve">à </w:t>
      </w:r>
      <w:r>
        <w:rPr>
          <w:rFonts w:ascii="Book Antiqua"/>
          <w:color w:val="262626"/>
          <w:u w:color="262626"/>
          <w:rtl w:val="0"/>
          <w:lang w:val="it-IT"/>
        </w:rPr>
        <w:t>[</w:t>
      </w:r>
      <w:r>
        <w:rPr>
          <w:rFonts w:hAnsi="Book Antiqua" w:hint="default"/>
          <w:color w:val="262626"/>
          <w:u w:color="262626"/>
          <w:rtl w:val="0"/>
          <w:lang w:val="it-IT"/>
        </w:rPr>
        <w:t>…</w:t>
      </w:r>
      <w:r>
        <w:rPr>
          <w:rFonts w:ascii="Book Antiqua"/>
          <w:color w:val="262626"/>
          <w:u w:color="262626"/>
          <w:rtl w:val="0"/>
          <w:lang w:val="it-IT"/>
        </w:rPr>
        <w:t>] anche nella citt</w:t>
      </w:r>
      <w:r>
        <w:rPr>
          <w:rFonts w:hAnsi="Book Antiqua" w:hint="default"/>
          <w:color w:val="262626"/>
          <w:u w:color="262626"/>
          <w:rtl w:val="0"/>
          <w:lang w:val="it-IT"/>
        </w:rPr>
        <w:t xml:space="preserve">à </w:t>
      </w:r>
      <w:r>
        <w:rPr>
          <w:rFonts w:ascii="Book Antiqua"/>
          <w:color w:val="262626"/>
          <w:u w:color="262626"/>
          <w:rtl w:val="0"/>
          <w:lang w:val="it-IT"/>
        </w:rPr>
        <w:t xml:space="preserve">di Roma </w:t>
      </w:r>
      <w:r>
        <w:rPr>
          <w:rFonts w:hAnsi="Book Antiqua" w:hint="default"/>
          <w:color w:val="262626"/>
          <w:u w:color="262626"/>
          <w:rtl w:val="0"/>
          <w:lang w:val="it-IT"/>
        </w:rPr>
        <w:t xml:space="preserve">è </w:t>
      </w:r>
      <w:r>
        <w:rPr>
          <w:rFonts w:ascii="Book Antiqua"/>
          <w:color w:val="262626"/>
          <w:u w:color="262626"/>
          <w:rtl w:val="0"/>
          <w:lang w:val="it-IT"/>
        </w:rPr>
        <w:t>possibile potenziare questa dimensione. Tutto questo ci consentirebbe di ottenere un 2,58 in termini percentuali di riduzione. Col compostaggio domestico collettivo potremmo ottenere un risultato significativo in termini percentuali. Anche il cosiddetto compostaggio di comunit</w:t>
      </w:r>
      <w:r>
        <w:rPr>
          <w:rFonts w:hAnsi="Book Antiqua" w:hint="default"/>
          <w:color w:val="262626"/>
          <w:u w:color="262626"/>
          <w:rtl w:val="0"/>
          <w:lang w:val="it-IT"/>
        </w:rPr>
        <w:t xml:space="preserve">à </w:t>
      </w:r>
      <w:r>
        <w:rPr>
          <w:rFonts w:ascii="Book Antiqua"/>
          <w:color w:val="262626"/>
          <w:u w:color="262626"/>
          <w:rtl w:val="0"/>
          <w:lang w:val="it-IT"/>
        </w:rPr>
        <w:t>ci pu</w:t>
      </w:r>
      <w:r>
        <w:rPr>
          <w:rFonts w:hAnsi="Book Antiqua" w:hint="default"/>
          <w:color w:val="262626"/>
          <w:u w:color="262626"/>
          <w:rtl w:val="0"/>
          <w:lang w:val="it-IT"/>
        </w:rPr>
        <w:t xml:space="preserve">ò </w:t>
      </w:r>
      <w:r>
        <w:rPr>
          <w:rFonts w:ascii="Book Antiqua"/>
          <w:color w:val="262626"/>
          <w:u w:color="262626"/>
          <w:rtl w:val="0"/>
          <w:lang w:val="it-IT"/>
        </w:rPr>
        <w:t>consentire di avere un risultato almeno dello 0,5 per cento di riduzione. Poi c'</w:t>
      </w:r>
      <w:r>
        <w:rPr>
          <w:rFonts w:hAnsi="Book Antiqua" w:hint="default"/>
          <w:color w:val="262626"/>
          <w:u w:color="262626"/>
          <w:rtl w:val="0"/>
          <w:lang w:val="it-IT"/>
        </w:rPr>
        <w:t xml:space="preserve">è </w:t>
      </w:r>
      <w:r>
        <w:rPr>
          <w:rFonts w:ascii="Book Antiqua"/>
          <w:color w:val="262626"/>
          <w:u w:color="262626"/>
          <w:rtl w:val="0"/>
          <w:lang w:val="it-IT"/>
        </w:rPr>
        <w:t>un'altra serie di azioni: la creazione dei centri di riuso; la creazione degli ecocentri. Parliamo di luoghi dove non solo si riducono i rifiuti, si rimettono in movimento i materiali post-consumo, ma dove si possono conferire materiali (carta, cartone, plastica dura, vetro e altro materiale) che possono essere recuperati. Un altro progetto riguarda i cosiddetti mercati a rifiuti zero. Come sapete, quando finiscono i mercati si raccolgono tantissimi rifiuti. L'utilizzo delle cassette ripiegabili, ad esempio, e anche altre azioni rientrano nell'elaborazione di questo progetto di raccolta differenziata presso i mercati e mercati a rifiuto zero, progetto che intendiamo realizzare a partire anche da subito</w:t>
      </w:r>
      <w:r>
        <w:rPr>
          <w:rFonts w:hAnsi="Book Antiqua" w:hint="default"/>
          <w:color w:val="262626"/>
          <w:u w:color="262626"/>
          <w:rtl w:val="0"/>
          <w:lang w:val="it-IT"/>
        </w:rPr>
        <w:t>”</w:t>
      </w:r>
      <w:r>
        <w:rPr>
          <w:rFonts w:ascii="Book Antiqua"/>
          <w:rtl w:val="0"/>
          <w:lang w:val="it-IT"/>
        </w:rPr>
        <w:t>; a queste iniziative si associano negli effetti, secondo la prospettiva indicata dall</w:t>
      </w:r>
      <w:r>
        <w:rPr>
          <w:rFonts w:hAnsi="Book Antiqua" w:hint="default"/>
          <w:rtl w:val="0"/>
          <w:lang w:val="it-IT"/>
        </w:rPr>
        <w:t>’</w:t>
      </w:r>
      <w:r>
        <w:rPr>
          <w:rFonts w:ascii="Book Antiqua"/>
          <w:rtl w:val="0"/>
          <w:lang w:val="it-IT"/>
        </w:rPr>
        <w:t xml:space="preserve">assessore, gli acquisti </w:t>
      </w:r>
      <w:r>
        <w:rPr>
          <w:rFonts w:hAnsi="Book Antiqua" w:hint="default"/>
          <w:rtl w:val="0"/>
          <w:lang w:val="it-IT"/>
        </w:rPr>
        <w:t>“</w:t>
      </w:r>
      <w:r>
        <w:rPr>
          <w:rFonts w:ascii="Book Antiqua"/>
          <w:rtl w:val="0"/>
          <w:lang w:val="it-IT"/>
        </w:rPr>
        <w:t>verdi</w:t>
      </w:r>
      <w:r>
        <w:rPr>
          <w:rFonts w:hAnsi="Book Antiqua" w:hint="default"/>
          <w:rtl w:val="0"/>
          <w:lang w:val="it-IT"/>
        </w:rPr>
        <w:t xml:space="preserve">” </w:t>
      </w:r>
      <w:r>
        <w:rPr>
          <w:rFonts w:ascii="Book Antiqua"/>
          <w:rtl w:val="0"/>
          <w:lang w:val="it-IT"/>
        </w:rPr>
        <w:t>delle pubbliche amministrazioni e la tariffazione puntuale</w:t>
      </w:r>
      <w:r>
        <w:rPr>
          <w:rFonts w:ascii="Book Antiqua" w:cs="Book Antiqua" w:hAnsi="Book Antiqua" w:eastAsia="Book Antiqua"/>
          <w:vertAlign w:val="superscript"/>
          <w:rtl w:val="0"/>
        </w:rPr>
        <w:footnoteReference w:id="137"/>
      </w:r>
      <w:r>
        <w:rPr>
          <w:rFonts w:ascii="Book Antiqua"/>
          <w:rtl w:val="0"/>
          <w:lang w:val="it-IT"/>
        </w:rPr>
        <w:t>.</w:t>
      </w:r>
    </w:p>
    <w:p>
      <w:pPr>
        <w:pStyle w:val="Normal"/>
        <w:widowControl w:val="0"/>
        <w:ind w:left="567" w:right="567" w:firstLine="0"/>
        <w:jc w:val="both"/>
        <w:rPr>
          <w:rFonts w:ascii="Book Antiqua" w:cs="Book Antiqua" w:hAnsi="Book Antiqua" w:eastAsia="Book Antiqua"/>
          <w:color w:val="262626"/>
          <w:u w:color="262626"/>
        </w:rPr>
      </w:pPr>
      <w:r>
        <w:rPr>
          <w:rFonts w:ascii="Book Antiqua"/>
          <w:color w:val="262626"/>
          <w:u w:color="262626"/>
          <w:rtl w:val="0"/>
          <w:lang w:val="it-IT"/>
        </w:rPr>
        <w:t>In merito all</w:t>
      </w:r>
      <w:r>
        <w:rPr>
          <w:rFonts w:hAnsi="Book Antiqua" w:hint="default"/>
          <w:color w:val="262626"/>
          <w:u w:color="262626"/>
          <w:rtl w:val="0"/>
          <w:lang w:val="it-IT"/>
        </w:rPr>
        <w:t>’</w:t>
      </w:r>
      <w:r>
        <w:rPr>
          <w:rFonts w:ascii="Book Antiqua"/>
          <w:color w:val="262626"/>
          <w:u w:color="262626"/>
          <w:rtl w:val="0"/>
          <w:lang w:val="it-IT"/>
        </w:rPr>
        <w:t>assetto e alla disponibilit</w:t>
      </w:r>
      <w:r>
        <w:rPr>
          <w:rFonts w:hAnsi="Book Antiqua" w:hint="default"/>
          <w:color w:val="262626"/>
          <w:u w:color="262626"/>
          <w:rtl w:val="0"/>
          <w:lang w:val="it-IT"/>
        </w:rPr>
        <w:t xml:space="preserve">à </w:t>
      </w:r>
      <w:r>
        <w:rPr>
          <w:rFonts w:ascii="Book Antiqua"/>
          <w:color w:val="262626"/>
          <w:u w:color="262626"/>
          <w:rtl w:val="0"/>
          <w:lang w:val="it-IT"/>
        </w:rPr>
        <w:t>impiantistica, Stefano Bina, direttore generale di AMA S.p.A. nel corso dell</w:t>
      </w:r>
      <w:r>
        <w:rPr>
          <w:rFonts w:hAnsi="Book Antiqua" w:hint="default"/>
          <w:color w:val="262626"/>
          <w:u w:color="262626"/>
          <w:rtl w:val="0"/>
          <w:lang w:val="it-IT"/>
        </w:rPr>
        <w:t>’</w:t>
      </w:r>
      <w:r>
        <w:rPr>
          <w:rFonts w:ascii="Book Antiqua"/>
          <w:color w:val="262626"/>
          <w:u w:color="262626"/>
          <w:rtl w:val="0"/>
          <w:lang w:val="it-IT"/>
        </w:rPr>
        <w:t xml:space="preserve">audizione del 31 gennaio 2017 ha dichiarato che </w:t>
      </w:r>
      <w:r>
        <w:rPr>
          <w:rFonts w:hAnsi="Book Antiqua" w:hint="default"/>
          <w:color w:val="262626"/>
          <w:u w:color="262626"/>
          <w:rtl w:val="0"/>
          <w:lang w:val="it-IT"/>
        </w:rPr>
        <w:t>“</w:t>
      </w:r>
      <w:r>
        <w:rPr>
          <w:rFonts w:ascii="Book Antiqua"/>
          <w:color w:val="262626"/>
          <w:u w:color="262626"/>
          <w:rtl w:val="0"/>
          <w:lang w:val="it-IT"/>
        </w:rPr>
        <w:t>dal punto di vista impiantistico e parlando solo di numeri, quindi integrando quello che ha detto l</w:t>
      </w:r>
      <w:r>
        <w:rPr>
          <w:rFonts w:hAnsi="Book Antiqua" w:hint="default"/>
          <w:color w:val="262626"/>
          <w:u w:color="262626"/>
          <w:rtl w:val="0"/>
          <w:lang w:val="it-IT"/>
        </w:rPr>
        <w:t>’</w:t>
      </w:r>
      <w:r>
        <w:rPr>
          <w:rFonts w:ascii="Book Antiqua"/>
          <w:color w:val="262626"/>
          <w:u w:color="262626"/>
          <w:rtl w:val="0"/>
          <w:lang w:val="it-IT"/>
        </w:rPr>
        <w:t>assessore, i punti salienti della nostra previsione, che poi sar</w:t>
      </w:r>
      <w:r>
        <w:rPr>
          <w:rFonts w:hAnsi="Book Antiqua" w:hint="default"/>
          <w:color w:val="262626"/>
          <w:u w:color="262626"/>
          <w:rtl w:val="0"/>
          <w:lang w:val="it-IT"/>
        </w:rPr>
        <w:t xml:space="preserve">à </w:t>
      </w:r>
      <w:r>
        <w:rPr>
          <w:rFonts w:ascii="Book Antiqua"/>
          <w:color w:val="262626"/>
          <w:u w:color="262626"/>
          <w:rtl w:val="0"/>
          <w:lang w:val="it-IT"/>
        </w:rPr>
        <w:t>alla base del piano industriale di AMA, sia delle prospettive di investimento della societ</w:t>
      </w:r>
      <w:r>
        <w:rPr>
          <w:rFonts w:hAnsi="Book Antiqua" w:hint="default"/>
          <w:color w:val="262626"/>
          <w:u w:color="262626"/>
          <w:rtl w:val="0"/>
          <w:lang w:val="it-IT"/>
        </w:rPr>
        <w:t xml:space="preserve">à </w:t>
      </w:r>
      <w:r>
        <w:rPr>
          <w:rFonts w:ascii="Book Antiqua"/>
          <w:color w:val="262626"/>
          <w:u w:color="262626"/>
          <w:rtl w:val="0"/>
          <w:lang w:val="it-IT"/>
        </w:rPr>
        <w:t>sia della futura strutturazione dei piani finanziari tariffa del servizio ambientale per quanto riguarda l</w:t>
      </w:r>
      <w:r>
        <w:rPr>
          <w:rFonts w:hAnsi="Book Antiqua" w:hint="default"/>
          <w:color w:val="262626"/>
          <w:u w:color="262626"/>
          <w:rtl w:val="0"/>
          <w:lang w:val="it-IT"/>
        </w:rPr>
        <w:t>’</w:t>
      </w:r>
      <w:r>
        <w:rPr>
          <w:rFonts w:ascii="Book Antiqua"/>
          <w:color w:val="262626"/>
          <w:u w:color="262626"/>
          <w:rtl w:val="0"/>
          <w:lang w:val="it-IT"/>
        </w:rPr>
        <w:t>utenza del comune di Roma, sono basati su tre presupposti principali.</w:t>
      </w:r>
    </w:p>
    <w:p>
      <w:pPr>
        <w:pStyle w:val="Normal"/>
        <w:widowControl w:val="0"/>
        <w:ind w:left="567" w:right="567" w:firstLine="0"/>
        <w:jc w:val="both"/>
        <w:rPr>
          <w:rFonts w:ascii="Book Antiqua" w:cs="Book Antiqua" w:hAnsi="Book Antiqua" w:eastAsia="Book Antiqua"/>
          <w:color w:val="262626"/>
          <w:u w:color="262626"/>
        </w:rPr>
      </w:pPr>
      <w:r>
        <w:rPr>
          <w:rFonts w:ascii="Book Antiqua"/>
          <w:color w:val="262626"/>
          <w:u w:color="262626"/>
          <w:rtl w:val="0"/>
          <w:lang w:val="it-IT"/>
        </w:rPr>
        <w:t xml:space="preserve">Il primo </w:t>
      </w:r>
      <w:r>
        <w:rPr>
          <w:rFonts w:hAnsi="Book Antiqua" w:hint="default"/>
          <w:color w:val="262626"/>
          <w:u w:color="262626"/>
          <w:rtl w:val="0"/>
          <w:lang w:val="it-IT"/>
        </w:rPr>
        <w:t xml:space="preserve">è </w:t>
      </w:r>
      <w:r>
        <w:rPr>
          <w:rFonts w:ascii="Book Antiqua"/>
          <w:color w:val="262626"/>
          <w:u w:color="262626"/>
          <w:rtl w:val="0"/>
          <w:lang w:val="it-IT"/>
        </w:rPr>
        <w:t>la previsione di una forte riduzione delle quantit</w:t>
      </w:r>
      <w:r>
        <w:rPr>
          <w:rFonts w:hAnsi="Book Antiqua" w:hint="default"/>
          <w:color w:val="262626"/>
          <w:u w:color="262626"/>
          <w:rtl w:val="0"/>
          <w:lang w:val="it-IT"/>
        </w:rPr>
        <w:t xml:space="preserve">à </w:t>
      </w:r>
      <w:r>
        <w:rPr>
          <w:rFonts w:ascii="Book Antiqua"/>
          <w:color w:val="262626"/>
          <w:u w:color="262626"/>
          <w:rtl w:val="0"/>
          <w:lang w:val="it-IT"/>
        </w:rPr>
        <w:t>di rifiuto urbano indifferenziato di RUR, rifiuto urbano residuo, che sar</w:t>
      </w:r>
      <w:r>
        <w:rPr>
          <w:rFonts w:hAnsi="Book Antiqua" w:hint="default"/>
          <w:color w:val="262626"/>
          <w:u w:color="262626"/>
          <w:rtl w:val="0"/>
          <w:lang w:val="it-IT"/>
        </w:rPr>
        <w:t xml:space="preserve">à </w:t>
      </w:r>
      <w:r>
        <w:rPr>
          <w:rFonts w:ascii="Book Antiqua"/>
          <w:color w:val="262626"/>
          <w:u w:color="262626"/>
          <w:rtl w:val="0"/>
          <w:lang w:val="it-IT"/>
        </w:rPr>
        <w:t>necessario trattare. Nel 2016, abbiamo trattato 970[000] tonnellate in un anno. Prevediamo di dimezzare all</w:t>
      </w:r>
      <w:r>
        <w:rPr>
          <w:rFonts w:hAnsi="Book Antiqua" w:hint="default"/>
          <w:color w:val="262626"/>
          <w:u w:color="262626"/>
          <w:rtl w:val="0"/>
          <w:lang w:val="it-IT"/>
        </w:rPr>
        <w:t>’</w:t>
      </w:r>
      <w:r>
        <w:rPr>
          <w:rFonts w:ascii="Book Antiqua"/>
          <w:color w:val="262626"/>
          <w:u w:color="262626"/>
          <w:rtl w:val="0"/>
          <w:lang w:val="it-IT"/>
        </w:rPr>
        <w:t>incirca questa quantit</w:t>
      </w:r>
      <w:r>
        <w:rPr>
          <w:rFonts w:hAnsi="Book Antiqua" w:hint="default"/>
          <w:color w:val="262626"/>
          <w:u w:color="262626"/>
          <w:rtl w:val="0"/>
          <w:lang w:val="it-IT"/>
        </w:rPr>
        <w:t xml:space="preserve">à </w:t>
      </w:r>
      <w:r>
        <w:rPr>
          <w:rFonts w:ascii="Book Antiqua"/>
          <w:color w:val="262626"/>
          <w:u w:color="262626"/>
          <w:rtl w:val="0"/>
          <w:lang w:val="it-IT"/>
        </w:rPr>
        <w:t>e, a questo fine, di essere in condizione di eliminare completamente la trasferenza all</w:t>
      </w:r>
      <w:r>
        <w:rPr>
          <w:rFonts w:hAnsi="Book Antiqua" w:hint="default"/>
          <w:color w:val="262626"/>
          <w:u w:color="262626"/>
          <w:rtl w:val="0"/>
          <w:lang w:val="it-IT"/>
        </w:rPr>
        <w:t>’</w:t>
      </w:r>
      <w:r>
        <w:rPr>
          <w:rFonts w:ascii="Book Antiqua"/>
          <w:color w:val="262626"/>
          <w:u w:color="262626"/>
          <w:rtl w:val="0"/>
          <w:lang w:val="it-IT"/>
        </w:rPr>
        <w:t>estero, di diminuire pesantemente la dipendenza da impianti terzi in Italia, sicuramente di eliminare tutta la dipendenza da impianti che sono al di fuori del Lazio per quanto riguarda il rifiuto urbano indifferenziato. Delle scelte potranno essere fatte anche in corso, comunque prevediamo di eliminare completamente il trattamento di rifiuti presso l</w:t>
      </w:r>
      <w:r>
        <w:rPr>
          <w:rFonts w:hAnsi="Book Antiqua" w:hint="default"/>
          <w:color w:val="262626"/>
          <w:u w:color="262626"/>
          <w:rtl w:val="0"/>
          <w:lang w:val="it-IT"/>
        </w:rPr>
        <w:t>’</w:t>
      </w:r>
      <w:r>
        <w:rPr>
          <w:rFonts w:ascii="Book Antiqua"/>
          <w:color w:val="262626"/>
          <w:u w:color="262626"/>
          <w:rtl w:val="0"/>
          <w:lang w:val="it-IT"/>
        </w:rPr>
        <w:t>impianto di via Salaria, cos</w:t>
      </w:r>
      <w:r>
        <w:rPr>
          <w:rFonts w:hAnsi="Book Antiqua" w:hint="default"/>
          <w:color w:val="262626"/>
          <w:u w:color="262626"/>
          <w:rtl w:val="0"/>
          <w:lang w:val="it-IT"/>
        </w:rPr>
        <w:t xml:space="preserve">ì </w:t>
      </w:r>
      <w:r>
        <w:rPr>
          <w:rFonts w:ascii="Book Antiqua"/>
          <w:color w:val="262626"/>
          <w:u w:color="262626"/>
          <w:rtl w:val="0"/>
          <w:lang w:val="it-IT"/>
        </w:rPr>
        <w:t>che quest</w:t>
      </w:r>
      <w:r>
        <w:rPr>
          <w:rFonts w:hAnsi="Book Antiqua" w:hint="default"/>
          <w:color w:val="262626"/>
          <w:u w:color="262626"/>
          <w:rtl w:val="0"/>
          <w:lang w:val="it-IT"/>
        </w:rPr>
        <w:t>’</w:t>
      </w:r>
      <w:r>
        <w:rPr>
          <w:rFonts w:ascii="Book Antiqua"/>
          <w:color w:val="262626"/>
          <w:u w:color="262626"/>
          <w:rtl w:val="0"/>
          <w:lang w:val="it-IT"/>
        </w:rPr>
        <w:t>impianto possa essere recuperato ad altri utilizzi, per esempio a una centrale di riuso o di recupero di materia invece di rifiuti, e anche di gestire l</w:t>
      </w:r>
      <w:r>
        <w:rPr>
          <w:rFonts w:hAnsi="Book Antiqua" w:hint="default"/>
          <w:color w:val="262626"/>
          <w:u w:color="262626"/>
          <w:rtl w:val="0"/>
          <w:lang w:val="it-IT"/>
        </w:rPr>
        <w:t>’</w:t>
      </w:r>
      <w:r>
        <w:rPr>
          <w:rFonts w:ascii="Book Antiqua"/>
          <w:color w:val="262626"/>
          <w:u w:color="262626"/>
          <w:rtl w:val="0"/>
          <w:lang w:val="it-IT"/>
        </w:rPr>
        <w:t>impianto di Rocca Cencia in funzione dei fabbisogni di smaltimento che emergeranno.</w:t>
      </w:r>
    </w:p>
    <w:p>
      <w:pPr>
        <w:pStyle w:val="Normal"/>
        <w:widowControl w:val="0"/>
        <w:ind w:left="567" w:right="567" w:firstLine="0"/>
        <w:jc w:val="both"/>
        <w:rPr>
          <w:rFonts w:ascii="Book Antiqua" w:cs="Book Antiqua" w:hAnsi="Book Antiqua" w:eastAsia="Book Antiqua"/>
          <w:color w:val="262626"/>
          <w:u w:color="262626"/>
        </w:rPr>
      </w:pPr>
      <w:r>
        <w:rPr>
          <w:rFonts w:ascii="Book Antiqua"/>
          <w:color w:val="262626"/>
          <w:u w:color="262626"/>
          <w:rtl w:val="0"/>
          <w:lang w:val="it-IT"/>
        </w:rPr>
        <w:t>Per quanto riguarda l</w:t>
      </w:r>
      <w:r>
        <w:rPr>
          <w:rFonts w:hAnsi="Book Antiqua" w:hint="default"/>
          <w:color w:val="262626"/>
          <w:u w:color="262626"/>
          <w:rtl w:val="0"/>
          <w:lang w:val="it-IT"/>
        </w:rPr>
        <w:t>’</w:t>
      </w:r>
      <w:r>
        <w:rPr>
          <w:rFonts w:ascii="Book Antiqua"/>
          <w:color w:val="262626"/>
          <w:u w:color="262626"/>
          <w:rtl w:val="0"/>
          <w:lang w:val="it-IT"/>
        </w:rPr>
        <w:t>organico, prevediamo, come ha detto l</w:t>
      </w:r>
      <w:r>
        <w:rPr>
          <w:rFonts w:hAnsi="Book Antiqua" w:hint="default"/>
          <w:color w:val="262626"/>
          <w:u w:color="262626"/>
          <w:rtl w:val="0"/>
          <w:lang w:val="it-IT"/>
        </w:rPr>
        <w:t>’</w:t>
      </w:r>
      <w:r>
        <w:rPr>
          <w:rFonts w:ascii="Book Antiqua"/>
          <w:color w:val="262626"/>
          <w:u w:color="262626"/>
          <w:rtl w:val="0"/>
          <w:lang w:val="it-IT"/>
        </w:rPr>
        <w:t>assessore, di ampliare la capacit</w:t>
      </w:r>
      <w:r>
        <w:rPr>
          <w:rFonts w:hAnsi="Book Antiqua" w:hint="default"/>
          <w:color w:val="262626"/>
          <w:u w:color="262626"/>
          <w:rtl w:val="0"/>
          <w:lang w:val="it-IT"/>
        </w:rPr>
        <w:t xml:space="preserve">à </w:t>
      </w:r>
      <w:r>
        <w:rPr>
          <w:rFonts w:ascii="Book Antiqua"/>
          <w:color w:val="262626"/>
          <w:u w:color="262626"/>
          <w:rtl w:val="0"/>
          <w:lang w:val="it-IT"/>
        </w:rPr>
        <w:t>di trattamento dell</w:t>
      </w:r>
      <w:r>
        <w:rPr>
          <w:rFonts w:hAnsi="Book Antiqua" w:hint="default"/>
          <w:color w:val="262626"/>
          <w:u w:color="262626"/>
          <w:rtl w:val="0"/>
          <w:lang w:val="it-IT"/>
        </w:rPr>
        <w:t>’</w:t>
      </w:r>
      <w:r>
        <w:rPr>
          <w:rFonts w:ascii="Book Antiqua"/>
          <w:color w:val="262626"/>
          <w:u w:color="262626"/>
          <w:rtl w:val="0"/>
          <w:lang w:val="it-IT"/>
        </w:rPr>
        <w:t>impianto Maccarese. Questo non vorr</w:t>
      </w:r>
      <w:r>
        <w:rPr>
          <w:rFonts w:hAnsi="Book Antiqua" w:hint="default"/>
          <w:color w:val="262626"/>
          <w:u w:color="262626"/>
          <w:rtl w:val="0"/>
          <w:lang w:val="it-IT"/>
        </w:rPr>
        <w:t xml:space="preserve">à </w:t>
      </w:r>
      <w:r>
        <w:rPr>
          <w:rFonts w:ascii="Book Antiqua"/>
          <w:color w:val="262626"/>
          <w:u w:color="262626"/>
          <w:rtl w:val="0"/>
          <w:lang w:val="it-IT"/>
        </w:rPr>
        <w:t>dire, per</w:t>
      </w:r>
      <w:r>
        <w:rPr>
          <w:rFonts w:hAnsi="Book Antiqua" w:hint="default"/>
          <w:color w:val="262626"/>
          <w:u w:color="262626"/>
          <w:rtl w:val="0"/>
          <w:lang w:val="it-IT"/>
        </w:rPr>
        <w:t>ò</w:t>
      </w:r>
      <w:r>
        <w:rPr>
          <w:rFonts w:ascii="Book Antiqua"/>
          <w:color w:val="262626"/>
          <w:u w:color="262626"/>
          <w:rtl w:val="0"/>
          <w:lang w:val="it-IT"/>
        </w:rPr>
        <w:t>, aumentare i flussi verso quest</w:t>
      </w:r>
      <w:r>
        <w:rPr>
          <w:rFonts w:hAnsi="Book Antiqua" w:hint="default"/>
          <w:color w:val="262626"/>
          <w:u w:color="262626"/>
          <w:rtl w:val="0"/>
          <w:lang w:val="it-IT"/>
        </w:rPr>
        <w:t>’</w:t>
      </w:r>
      <w:r>
        <w:rPr>
          <w:rFonts w:ascii="Book Antiqua"/>
          <w:color w:val="262626"/>
          <w:u w:color="262626"/>
          <w:rtl w:val="0"/>
          <w:lang w:val="it-IT"/>
        </w:rPr>
        <w:t xml:space="preserve">impianto. Oggi, buona parte dei flussi </w:t>
      </w:r>
      <w:r>
        <w:rPr>
          <w:rFonts w:hAnsi="Book Antiqua" w:hint="default"/>
          <w:color w:val="262626"/>
          <w:u w:color="262626"/>
          <w:rtl w:val="0"/>
          <w:lang w:val="it-IT"/>
        </w:rPr>
        <w:t xml:space="preserve">è </w:t>
      </w:r>
      <w:r>
        <w:rPr>
          <w:rFonts w:ascii="Book Antiqua"/>
          <w:color w:val="262626"/>
          <w:u w:color="262626"/>
          <w:rtl w:val="0"/>
          <w:lang w:val="it-IT"/>
        </w:rPr>
        <w:t>legata alla trasferenza che da quest</w:t>
      </w:r>
      <w:r>
        <w:rPr>
          <w:rFonts w:hAnsi="Book Antiqua" w:hint="default"/>
          <w:color w:val="262626"/>
          <w:u w:color="262626"/>
          <w:rtl w:val="0"/>
          <w:lang w:val="it-IT"/>
        </w:rPr>
        <w:t>’</w:t>
      </w:r>
      <w:r>
        <w:rPr>
          <w:rFonts w:ascii="Book Antiqua"/>
          <w:color w:val="262626"/>
          <w:u w:color="262626"/>
          <w:rtl w:val="0"/>
          <w:lang w:val="it-IT"/>
        </w:rPr>
        <w:t>impianto viene avviata verso i paesi del nord Italia, che di fatto riguarda oltre 100.000 tonnellate all</w:t>
      </w:r>
      <w:r>
        <w:rPr>
          <w:rFonts w:hAnsi="Book Antiqua" w:hint="default"/>
          <w:color w:val="262626"/>
          <w:u w:color="262626"/>
          <w:rtl w:val="0"/>
          <w:lang w:val="it-IT"/>
        </w:rPr>
        <w:t>’</w:t>
      </w:r>
      <w:r>
        <w:rPr>
          <w:rFonts w:ascii="Book Antiqua"/>
          <w:color w:val="262626"/>
          <w:u w:color="262626"/>
          <w:rtl w:val="0"/>
          <w:lang w:val="it-IT"/>
        </w:rPr>
        <w:t>anno. Prevediamo di ridurre drasticamente le quantit</w:t>
      </w:r>
      <w:r>
        <w:rPr>
          <w:rFonts w:hAnsi="Book Antiqua" w:hint="default"/>
          <w:color w:val="262626"/>
          <w:u w:color="262626"/>
          <w:rtl w:val="0"/>
          <w:lang w:val="it-IT"/>
        </w:rPr>
        <w:t xml:space="preserve">à </w:t>
      </w:r>
      <w:r>
        <w:rPr>
          <w:rFonts w:ascii="Book Antiqua"/>
          <w:color w:val="262626"/>
          <w:u w:color="262626"/>
          <w:rtl w:val="0"/>
          <w:lang w:val="it-IT"/>
        </w:rPr>
        <w:t>conferite a Maccarese pur potenziando il trattamento in loco dei materiali. Prevediamo di dotare AMA di una capacit</w:t>
      </w:r>
      <w:r>
        <w:rPr>
          <w:rFonts w:hAnsi="Book Antiqua" w:hint="default"/>
          <w:color w:val="262626"/>
          <w:u w:color="262626"/>
          <w:rtl w:val="0"/>
          <w:lang w:val="it-IT"/>
        </w:rPr>
        <w:t xml:space="preserve">à </w:t>
      </w:r>
      <w:r>
        <w:rPr>
          <w:rFonts w:ascii="Book Antiqua"/>
          <w:color w:val="262626"/>
          <w:u w:color="262626"/>
          <w:rtl w:val="0"/>
          <w:lang w:val="it-IT"/>
        </w:rPr>
        <w:t>di trattamento per 80.000 tonnellate, compatibilmente con l'accettabilit</w:t>
      </w:r>
      <w:r>
        <w:rPr>
          <w:rFonts w:hAnsi="Book Antiqua" w:hint="default"/>
          <w:color w:val="262626"/>
          <w:u w:color="262626"/>
          <w:rtl w:val="0"/>
          <w:lang w:val="it-IT"/>
        </w:rPr>
        <w:t xml:space="preserve">à </w:t>
      </w:r>
      <w:r>
        <w:rPr>
          <w:rFonts w:ascii="Book Antiqua"/>
          <w:color w:val="262626"/>
          <w:u w:color="262626"/>
          <w:rtl w:val="0"/>
          <w:lang w:val="it-IT"/>
        </w:rPr>
        <w:t>del territorio rispetto a questa prospettiva</w:t>
      </w:r>
      <w:r>
        <w:rPr>
          <w:rFonts w:ascii="Book Antiqua" w:cs="Book Antiqua" w:hAnsi="Book Antiqua" w:eastAsia="Book Antiqua"/>
          <w:color w:val="262626"/>
          <w:u w:color="262626"/>
          <w:vertAlign w:val="superscript"/>
          <w:rtl w:val="0"/>
        </w:rPr>
        <w:footnoteReference w:id="138"/>
      </w:r>
      <w:r>
        <w:rPr>
          <w:rFonts w:ascii="Book Antiqua"/>
          <w:color w:val="262626"/>
          <w:u w:color="262626"/>
          <w:rtl w:val="0"/>
          <w:lang w:val="it-IT"/>
        </w:rPr>
        <w:t>.</w:t>
      </w:r>
    </w:p>
    <w:p>
      <w:pPr>
        <w:pStyle w:val="Normal"/>
        <w:widowControl w:val="0"/>
        <w:ind w:left="567" w:right="567" w:firstLine="0"/>
        <w:jc w:val="both"/>
        <w:rPr>
          <w:rFonts w:ascii="Book Antiqua" w:cs="Book Antiqua" w:hAnsi="Book Antiqua" w:eastAsia="Book Antiqua"/>
          <w:color w:val="262626"/>
          <w:u w:color="262626"/>
        </w:rPr>
      </w:pPr>
      <w:r>
        <w:rPr>
          <w:rFonts w:ascii="Book Antiqua"/>
          <w:color w:val="262626"/>
          <w:u w:color="262626"/>
          <w:rtl w:val="0"/>
          <w:lang w:val="it-IT"/>
        </w:rPr>
        <w:t>Per quanto riguarda la quantit</w:t>
      </w:r>
      <w:r>
        <w:rPr>
          <w:rFonts w:hAnsi="Book Antiqua" w:hint="default"/>
          <w:color w:val="262626"/>
          <w:u w:color="262626"/>
          <w:rtl w:val="0"/>
          <w:lang w:val="it-IT"/>
        </w:rPr>
        <w:t xml:space="preserve">à </w:t>
      </w:r>
      <w:r>
        <w:rPr>
          <w:rFonts w:ascii="Book Antiqua"/>
          <w:color w:val="262626"/>
          <w:u w:color="262626"/>
          <w:rtl w:val="0"/>
          <w:lang w:val="it-IT"/>
        </w:rPr>
        <w:t>di organico che diventer</w:t>
      </w:r>
      <w:r>
        <w:rPr>
          <w:rFonts w:hAnsi="Book Antiqua" w:hint="default"/>
          <w:color w:val="262626"/>
          <w:u w:color="262626"/>
          <w:rtl w:val="0"/>
          <w:lang w:val="it-IT"/>
        </w:rPr>
        <w:t xml:space="preserve">à </w:t>
      </w:r>
      <w:r>
        <w:rPr>
          <w:rFonts w:ascii="Book Antiqua"/>
          <w:color w:val="262626"/>
          <w:u w:color="262626"/>
          <w:rtl w:val="0"/>
          <w:lang w:val="it-IT"/>
        </w:rPr>
        <w:t>importante, diventeranno 300.000 tonnellate all</w:t>
      </w:r>
      <w:r>
        <w:rPr>
          <w:rFonts w:hAnsi="Book Antiqua" w:hint="default"/>
          <w:color w:val="262626"/>
          <w:u w:color="262626"/>
          <w:rtl w:val="0"/>
          <w:lang w:val="it-IT"/>
        </w:rPr>
        <w:t>’</w:t>
      </w:r>
      <w:r>
        <w:rPr>
          <w:rFonts w:ascii="Book Antiqua"/>
          <w:color w:val="262626"/>
          <w:u w:color="262626"/>
          <w:rtl w:val="0"/>
          <w:lang w:val="it-IT"/>
        </w:rPr>
        <w:t>anno secondo le nostre previsioni. Oltre le 120.000 che potranno essere trattate autonomamente da AMA anche con impianti di prossimit</w:t>
      </w:r>
      <w:r>
        <w:rPr>
          <w:rFonts w:hAnsi="Book Antiqua" w:hint="default"/>
          <w:color w:val="262626"/>
          <w:u w:color="262626"/>
          <w:rtl w:val="0"/>
          <w:lang w:val="it-IT"/>
        </w:rPr>
        <w:t xml:space="preserve">à </w:t>
      </w:r>
      <w:r>
        <w:rPr>
          <w:rFonts w:ascii="Book Antiqua"/>
          <w:color w:val="262626"/>
          <w:u w:color="262626"/>
          <w:rtl w:val="0"/>
          <w:lang w:val="it-IT"/>
        </w:rPr>
        <w:t>e impianti di compostaggio domestico, quindi con discorsi pi</w:t>
      </w:r>
      <w:r>
        <w:rPr>
          <w:rFonts w:hAnsi="Book Antiqua" w:hint="default"/>
          <w:color w:val="262626"/>
          <w:u w:color="262626"/>
          <w:rtl w:val="0"/>
          <w:lang w:val="it-IT"/>
        </w:rPr>
        <w:t xml:space="preserve">ù </w:t>
      </w:r>
      <w:r>
        <w:rPr>
          <w:rFonts w:ascii="Book Antiqua"/>
          <w:color w:val="262626"/>
          <w:u w:color="262626"/>
          <w:rtl w:val="0"/>
          <w:lang w:val="it-IT"/>
        </w:rPr>
        <w:t>localizzati, peraltro in affiancamento alle nostre isole ecologiche, che realizzeremo su tutto il territorio, c</w:t>
      </w:r>
      <w:r>
        <w:rPr>
          <w:rFonts w:hAnsi="Book Antiqua" w:hint="default"/>
          <w:color w:val="262626"/>
          <w:u w:color="262626"/>
          <w:rtl w:val="0"/>
          <w:lang w:val="it-IT"/>
        </w:rPr>
        <w:t xml:space="preserve">’è </w:t>
      </w:r>
      <w:r>
        <w:rPr>
          <w:rFonts w:ascii="Book Antiqua"/>
          <w:color w:val="262626"/>
          <w:u w:color="262626"/>
          <w:rtl w:val="0"/>
          <w:lang w:val="it-IT"/>
        </w:rPr>
        <w:t>anche una previsione di appoggiarsi a impianti terzi. In questo caso, abbiamo sviluppato un</w:t>
      </w:r>
      <w:r>
        <w:rPr>
          <w:rFonts w:hAnsi="Book Antiqua" w:hint="default"/>
          <w:color w:val="262626"/>
          <w:u w:color="262626"/>
          <w:rtl w:val="0"/>
          <w:lang w:val="it-IT"/>
        </w:rPr>
        <w:t>’</w:t>
      </w:r>
      <w:r>
        <w:rPr>
          <w:rFonts w:ascii="Book Antiqua"/>
          <w:color w:val="262626"/>
          <w:u w:color="262626"/>
          <w:rtl w:val="0"/>
          <w:lang w:val="it-IT"/>
        </w:rPr>
        <w:t>ipotesi, per ora appunto solo un</w:t>
      </w:r>
      <w:r>
        <w:rPr>
          <w:rFonts w:hAnsi="Book Antiqua" w:hint="default"/>
          <w:color w:val="262626"/>
          <w:u w:color="262626"/>
          <w:rtl w:val="0"/>
          <w:lang w:val="it-IT"/>
        </w:rPr>
        <w:t>’</w:t>
      </w:r>
      <w:r>
        <w:rPr>
          <w:rFonts w:ascii="Book Antiqua"/>
          <w:color w:val="262626"/>
          <w:u w:color="262626"/>
          <w:rtl w:val="0"/>
          <w:lang w:val="it-IT"/>
        </w:rPr>
        <w:t>ipotesi, ma che secondo me pu</w:t>
      </w:r>
      <w:r>
        <w:rPr>
          <w:rFonts w:hAnsi="Book Antiqua" w:hint="default"/>
          <w:color w:val="262626"/>
          <w:u w:color="262626"/>
          <w:rtl w:val="0"/>
          <w:lang w:val="it-IT"/>
        </w:rPr>
        <w:t xml:space="preserve">ò </w:t>
      </w:r>
      <w:r>
        <w:rPr>
          <w:rFonts w:ascii="Book Antiqua"/>
          <w:color w:val="262626"/>
          <w:u w:color="262626"/>
          <w:rtl w:val="0"/>
          <w:lang w:val="it-IT"/>
        </w:rPr>
        <w:t>essere interessante, di prevedere un rapporto sinergico con ACEA, l</w:t>
      </w:r>
      <w:r>
        <w:rPr>
          <w:rFonts w:hAnsi="Book Antiqua" w:hint="default"/>
          <w:color w:val="262626"/>
          <w:u w:color="262626"/>
          <w:rtl w:val="0"/>
          <w:lang w:val="it-IT"/>
        </w:rPr>
        <w:t>’</w:t>
      </w:r>
      <w:r>
        <w:rPr>
          <w:rFonts w:ascii="Book Antiqua"/>
          <w:color w:val="262626"/>
          <w:u w:color="262626"/>
          <w:rtl w:val="0"/>
          <w:lang w:val="it-IT"/>
        </w:rPr>
        <w:t>altra societ</w:t>
      </w:r>
      <w:r>
        <w:rPr>
          <w:rFonts w:hAnsi="Book Antiqua" w:hint="default"/>
          <w:color w:val="262626"/>
          <w:u w:color="262626"/>
          <w:rtl w:val="0"/>
          <w:lang w:val="it-IT"/>
        </w:rPr>
        <w:t xml:space="preserve">à </w:t>
      </w:r>
      <w:r>
        <w:rPr>
          <w:rFonts w:ascii="Book Antiqua"/>
          <w:color w:val="262626"/>
          <w:u w:color="262626"/>
          <w:rtl w:val="0"/>
          <w:lang w:val="it-IT"/>
        </w:rPr>
        <w:t>partecipata dal comune di Roma. Insieme potremmo sviluppare una progettazione dedicata a impianti che possono servire per trattare i rifiuti di Roma.</w:t>
      </w:r>
    </w:p>
    <w:p>
      <w:pPr>
        <w:pStyle w:val="Normal"/>
        <w:widowControl w:val="0"/>
        <w:ind w:left="567" w:right="567" w:firstLine="0"/>
        <w:jc w:val="both"/>
        <w:rPr>
          <w:rFonts w:ascii="Book Antiqua" w:cs="Book Antiqua" w:hAnsi="Book Antiqua" w:eastAsia="Book Antiqua"/>
          <w:color w:val="262626"/>
          <w:u w:color="262626"/>
        </w:rPr>
      </w:pPr>
      <w:r>
        <w:rPr>
          <w:rFonts w:ascii="Book Antiqua"/>
          <w:color w:val="262626"/>
          <w:u w:color="262626"/>
          <w:rtl w:val="0"/>
          <w:lang w:val="it-IT"/>
        </w:rPr>
        <w:t>L</w:t>
      </w:r>
      <w:r>
        <w:rPr>
          <w:rFonts w:hAnsi="Book Antiqua" w:hint="default"/>
          <w:color w:val="262626"/>
          <w:u w:color="262626"/>
          <w:rtl w:val="0"/>
          <w:lang w:val="it-IT"/>
        </w:rPr>
        <w:t>’</w:t>
      </w:r>
      <w:r>
        <w:rPr>
          <w:rFonts w:ascii="Book Antiqua"/>
          <w:color w:val="262626"/>
          <w:u w:color="262626"/>
          <w:rtl w:val="0"/>
          <w:lang w:val="it-IT"/>
        </w:rPr>
        <w:t>ulteriore variazione importante riguarda la selezione del multimateriale da raccolta differenziata. Noi prevediamo di potenziare la quantit</w:t>
      </w:r>
      <w:r>
        <w:rPr>
          <w:rFonts w:hAnsi="Book Antiqua" w:hint="default"/>
          <w:color w:val="262626"/>
          <w:u w:color="262626"/>
          <w:rtl w:val="0"/>
          <w:lang w:val="it-IT"/>
        </w:rPr>
        <w:t xml:space="preserve">à </w:t>
      </w:r>
      <w:r>
        <w:rPr>
          <w:rFonts w:ascii="Book Antiqua"/>
          <w:color w:val="262626"/>
          <w:u w:color="262626"/>
          <w:rtl w:val="0"/>
          <w:lang w:val="it-IT"/>
        </w:rPr>
        <w:t>di trattamento dei nostri impianti a Rocca Cencia e a Laurentino e di prevedere un aumento di utilizzo da parte di impianti terzi per le quantit</w:t>
      </w:r>
      <w:r>
        <w:rPr>
          <w:rFonts w:hAnsi="Book Antiqua" w:hint="default"/>
          <w:color w:val="262626"/>
          <w:u w:color="262626"/>
          <w:rtl w:val="0"/>
          <w:lang w:val="it-IT"/>
        </w:rPr>
        <w:t>à</w:t>
      </w:r>
      <w:r>
        <w:rPr>
          <w:rFonts w:ascii="Book Antiqua"/>
          <w:color w:val="262626"/>
          <w:u w:color="262626"/>
          <w:rtl w:val="0"/>
          <w:lang w:val="it-IT"/>
        </w:rPr>
        <w:t>, che aumenteranno drasticamente.</w:t>
      </w:r>
    </w:p>
    <w:p>
      <w:pPr>
        <w:pStyle w:val="Normal"/>
        <w:widowControl w:val="0"/>
        <w:ind w:left="567" w:right="567" w:firstLine="0"/>
        <w:jc w:val="both"/>
        <w:rPr>
          <w:rFonts w:ascii="Book Antiqua" w:cs="Book Antiqua" w:hAnsi="Book Antiqua" w:eastAsia="Book Antiqua"/>
          <w:color w:val="262626"/>
          <w:u w:color="262626"/>
        </w:rPr>
      </w:pPr>
      <w:r>
        <w:rPr>
          <w:rFonts w:ascii="Book Antiqua"/>
          <w:color w:val="262626"/>
          <w:u w:color="262626"/>
          <w:rtl w:val="0"/>
          <w:lang w:val="it-IT"/>
        </w:rPr>
        <w:t>Anche in questo caso, ipotizziamo, ripeto in maniera per ora in termini solo di ipotesi, di studi di fattibilit</w:t>
      </w:r>
      <w:r>
        <w:rPr>
          <w:rFonts w:hAnsi="Book Antiqua" w:hint="default"/>
          <w:color w:val="262626"/>
          <w:u w:color="262626"/>
          <w:rtl w:val="0"/>
          <w:lang w:val="it-IT"/>
        </w:rPr>
        <w:t>à</w:t>
      </w:r>
      <w:r>
        <w:rPr>
          <w:rFonts w:ascii="Book Antiqua"/>
          <w:color w:val="262626"/>
          <w:u w:color="262626"/>
          <w:rtl w:val="0"/>
          <w:lang w:val="it-IT"/>
        </w:rPr>
        <w:t>, di appoggiarci alla capacit</w:t>
      </w:r>
      <w:r>
        <w:rPr>
          <w:rFonts w:hAnsi="Book Antiqua" w:hint="default"/>
          <w:color w:val="262626"/>
          <w:u w:color="262626"/>
          <w:rtl w:val="0"/>
          <w:lang w:val="it-IT"/>
        </w:rPr>
        <w:t xml:space="preserve">à </w:t>
      </w:r>
      <w:r>
        <w:rPr>
          <w:rFonts w:ascii="Book Antiqua"/>
          <w:color w:val="262626"/>
          <w:u w:color="262626"/>
          <w:rtl w:val="0"/>
          <w:lang w:val="it-IT"/>
        </w:rPr>
        <w:t>impiantistica, alla capacit</w:t>
      </w:r>
      <w:r>
        <w:rPr>
          <w:rFonts w:hAnsi="Book Antiqua" w:hint="default"/>
          <w:color w:val="262626"/>
          <w:u w:color="262626"/>
          <w:rtl w:val="0"/>
          <w:lang w:val="it-IT"/>
        </w:rPr>
        <w:t xml:space="preserve">à </w:t>
      </w:r>
      <w:r>
        <w:rPr>
          <w:rFonts w:ascii="Book Antiqua"/>
          <w:color w:val="262626"/>
          <w:u w:color="262626"/>
          <w:rtl w:val="0"/>
          <w:lang w:val="it-IT"/>
        </w:rPr>
        <w:t>di investimento che potrebbe metterci a disposizione ACEA</w:t>
      </w:r>
      <w:r>
        <w:rPr>
          <w:rFonts w:ascii="Book Antiqua" w:cs="Book Antiqua" w:hAnsi="Book Antiqua" w:eastAsia="Book Antiqua"/>
          <w:color w:val="262626"/>
          <w:u w:color="262626"/>
          <w:vertAlign w:val="superscript"/>
          <w:rtl w:val="0"/>
        </w:rPr>
        <w:footnoteReference w:id="139"/>
      </w:r>
      <w:r>
        <w:rPr>
          <w:rFonts w:ascii="Book Antiqua"/>
          <w:color w:val="262626"/>
          <w:u w:color="262626"/>
          <w:rtl w:val="0"/>
          <w:lang w:val="it-IT"/>
        </w:rPr>
        <w:t>.</w:t>
      </w:r>
      <w:r>
        <w:rPr>
          <w:rFonts w:hAnsi="Book Antiqua" w:hint="default"/>
          <w:color w:val="262626"/>
          <w:u w:color="262626"/>
          <w:rtl w:val="0"/>
          <w:lang w:val="it-IT"/>
        </w:rPr>
        <w:t>”</w:t>
      </w:r>
    </w:p>
    <w:p>
      <w:pPr>
        <w:pStyle w:val="intervento"/>
        <w:spacing w:before="0" w:after="0"/>
        <w:ind w:left="567" w:right="567" w:firstLine="0"/>
        <w:jc w:val="both"/>
        <w:rPr>
          <w:rFonts w:ascii="Book Antiqua" w:cs="Book Antiqua" w:hAnsi="Book Antiqua" w:eastAsia="Book Antiqua"/>
          <w:color w:val="262626"/>
          <w:u w:color="262626"/>
        </w:rPr>
      </w:pPr>
      <w:r>
        <w:rPr>
          <w:rFonts w:ascii="Book Antiqua"/>
          <w:color w:val="262626"/>
          <w:u w:color="262626"/>
          <w:rtl w:val="0"/>
          <w:lang w:val="it-IT"/>
        </w:rPr>
        <w:t>Il 15 marzo 2017, invece, l</w:t>
      </w:r>
      <w:r>
        <w:rPr>
          <w:rFonts w:hAnsi="Book Antiqua" w:hint="default"/>
          <w:color w:val="262626"/>
          <w:u w:color="262626"/>
          <w:rtl w:val="0"/>
          <w:lang w:val="it-IT"/>
        </w:rPr>
        <w:t>’</w:t>
      </w:r>
      <w:r>
        <w:rPr>
          <w:rFonts w:ascii="Book Antiqua"/>
          <w:color w:val="262626"/>
          <w:u w:color="262626"/>
          <w:rtl w:val="0"/>
          <w:lang w:val="it-IT"/>
        </w:rPr>
        <w:t xml:space="preserve">assessore regionale Buschini, in merito alla gestione dei rifiuti organici dichiarava: </w:t>
      </w:r>
      <w:r>
        <w:rPr>
          <w:rFonts w:hAnsi="Book Antiqua" w:hint="default"/>
          <w:color w:val="262626"/>
          <w:u w:color="262626"/>
          <w:rtl w:val="0"/>
          <w:lang w:val="it-IT"/>
        </w:rPr>
        <w:t>“</w:t>
      </w:r>
      <w:r>
        <w:rPr>
          <w:rFonts w:ascii="Book Antiqua"/>
          <w:color w:val="262626"/>
          <w:u w:color="262626"/>
          <w:rtl w:val="0"/>
          <w:lang w:val="it-IT"/>
        </w:rPr>
        <w:t xml:space="preserve">Il caso della trasferenza dei rifiuti organici di Roma Capitale che avviene nel comune di Fiumicino da oltre due anni </w:t>
      </w:r>
      <w:r>
        <w:rPr>
          <w:rFonts w:hAnsi="Book Antiqua" w:hint="default"/>
          <w:color w:val="262626"/>
          <w:u w:color="262626"/>
          <w:rtl w:val="0"/>
          <w:lang w:val="it-IT"/>
        </w:rPr>
        <w:t xml:space="preserve">è </w:t>
      </w:r>
      <w:r>
        <w:rPr>
          <w:rFonts w:ascii="Book Antiqua"/>
          <w:color w:val="262626"/>
          <w:u w:color="262626"/>
          <w:rtl w:val="0"/>
          <w:lang w:val="it-IT"/>
        </w:rPr>
        <w:t>emblematico. In quel comune ogni anno transitano oltre 100.000 tonnellate di rifiuti organici di Roma, destinati al compostaggio in Veneto e in Friuli Venezia Giulia, migliaia di camion di giorno e di notte percorrono strade strette e dissestate. L</w:t>
      </w:r>
      <w:r>
        <w:rPr>
          <w:rFonts w:hAnsi="Book Antiqua" w:hint="default"/>
          <w:color w:val="262626"/>
          <w:u w:color="262626"/>
          <w:rtl w:val="0"/>
          <w:lang w:val="it-IT"/>
        </w:rPr>
        <w:t>’</w:t>
      </w:r>
      <w:r>
        <w:rPr>
          <w:rFonts w:ascii="Book Antiqua"/>
          <w:color w:val="262626"/>
          <w:u w:color="262626"/>
          <w:rtl w:val="0"/>
          <w:lang w:val="it-IT"/>
        </w:rPr>
        <w:t xml:space="preserve">esasperazione dei cittadini </w:t>
      </w:r>
      <w:r>
        <w:rPr>
          <w:rFonts w:hAnsi="Book Antiqua" w:hint="default"/>
          <w:color w:val="262626"/>
          <w:u w:color="262626"/>
          <w:rtl w:val="0"/>
          <w:lang w:val="it-IT"/>
        </w:rPr>
        <w:t xml:space="preserve">è </w:t>
      </w:r>
      <w:r>
        <w:rPr>
          <w:rFonts w:ascii="Book Antiqua"/>
          <w:color w:val="262626"/>
          <w:u w:color="262626"/>
          <w:rtl w:val="0"/>
          <w:lang w:val="it-IT"/>
        </w:rPr>
        <w:t>al culmine e una soluzione alternativa, equa ed efficace deve essere trovata. Quei rifiuti potrebbero essere trasbordati in pi</w:t>
      </w:r>
      <w:r>
        <w:rPr>
          <w:rFonts w:hAnsi="Book Antiqua" w:hint="default"/>
          <w:color w:val="262626"/>
          <w:u w:color="262626"/>
          <w:rtl w:val="0"/>
          <w:lang w:val="it-IT"/>
        </w:rPr>
        <w:t xml:space="preserve">ù </w:t>
      </w:r>
      <w:r>
        <w:rPr>
          <w:rFonts w:ascii="Book Antiqua"/>
          <w:color w:val="262626"/>
          <w:u w:color="262626"/>
          <w:rtl w:val="0"/>
          <w:lang w:val="it-IT"/>
        </w:rPr>
        <w:t>aree e in prossimit</w:t>
      </w:r>
      <w:r>
        <w:rPr>
          <w:rFonts w:hAnsi="Book Antiqua" w:hint="default"/>
          <w:color w:val="262626"/>
          <w:u w:color="262626"/>
          <w:rtl w:val="0"/>
          <w:lang w:val="it-IT"/>
        </w:rPr>
        <w:t xml:space="preserve">à </w:t>
      </w:r>
      <w:r>
        <w:rPr>
          <w:rFonts w:ascii="Book Antiqua"/>
          <w:color w:val="262626"/>
          <w:u w:color="262626"/>
          <w:rtl w:val="0"/>
          <w:lang w:val="it-IT"/>
        </w:rPr>
        <w:t>dei luoghi in cui vengono raccolti, creando minori impatti sull</w:t>
      </w:r>
      <w:r>
        <w:rPr>
          <w:rFonts w:hAnsi="Book Antiqua" w:hint="default"/>
          <w:color w:val="262626"/>
          <w:u w:color="262626"/>
          <w:rtl w:val="0"/>
          <w:lang w:val="it-IT"/>
        </w:rPr>
        <w:t>’</w:t>
      </w:r>
      <w:r>
        <w:rPr>
          <w:rFonts w:ascii="Book Antiqua"/>
          <w:color w:val="262626"/>
          <w:u w:color="262626"/>
          <w:rtl w:val="0"/>
          <w:lang w:val="it-IT"/>
        </w:rPr>
        <w:t xml:space="preserve">ambiente e realizzando migliori efficienze. </w:t>
      </w:r>
      <w:r>
        <w:rPr>
          <w:rFonts w:hAnsi="Book Antiqua" w:hint="default"/>
          <w:color w:val="262626"/>
          <w:u w:color="262626"/>
          <w:rtl w:val="0"/>
          <w:lang w:val="it-IT"/>
        </w:rPr>
        <w:t xml:space="preserve">È </w:t>
      </w:r>
      <w:r>
        <w:rPr>
          <w:rFonts w:ascii="Book Antiqua"/>
          <w:color w:val="262626"/>
          <w:u w:color="262626"/>
          <w:rtl w:val="0"/>
          <w:lang w:val="it-IT"/>
        </w:rPr>
        <w:t xml:space="preserve">quindi giusto e saggio </w:t>
      </w:r>
      <w:r>
        <w:rPr>
          <w:rFonts w:hAnsi="Book Antiqua" w:hint="default"/>
          <w:color w:val="262626"/>
          <w:u w:color="262626"/>
          <w:rtl w:val="0"/>
          <w:lang w:val="it-IT"/>
        </w:rPr>
        <w:t xml:space="preserve">– </w:t>
      </w:r>
      <w:r>
        <w:rPr>
          <w:rFonts w:ascii="Book Antiqua"/>
          <w:color w:val="262626"/>
          <w:u w:color="262626"/>
          <w:rtl w:val="0"/>
          <w:lang w:val="it-IT"/>
        </w:rPr>
        <w:t xml:space="preserve">io credo </w:t>
      </w:r>
      <w:r>
        <w:rPr>
          <w:rFonts w:hAnsi="Book Antiqua" w:hint="default"/>
          <w:color w:val="262626"/>
          <w:u w:color="262626"/>
          <w:rtl w:val="0"/>
          <w:lang w:val="it-IT"/>
        </w:rPr>
        <w:t xml:space="preserve">– </w:t>
      </w:r>
      <w:r>
        <w:rPr>
          <w:rFonts w:ascii="Book Antiqua"/>
          <w:color w:val="262626"/>
          <w:u w:color="262626"/>
          <w:rtl w:val="0"/>
          <w:lang w:val="it-IT"/>
        </w:rPr>
        <w:t>adoperarsi per vincere inerzie e pigrizie, perch</w:t>
      </w:r>
      <w:r>
        <w:rPr>
          <w:rFonts w:hAnsi="Book Antiqua" w:hint="default"/>
          <w:color w:val="262626"/>
          <w:u w:color="262626"/>
          <w:rtl w:val="0"/>
          <w:lang w:val="it-IT"/>
        </w:rPr>
        <w:t xml:space="preserve">é è </w:t>
      </w:r>
      <w:r>
        <w:rPr>
          <w:rFonts w:ascii="Book Antiqua"/>
          <w:color w:val="262626"/>
          <w:u w:color="262626"/>
          <w:rtl w:val="0"/>
          <w:lang w:val="it-IT"/>
        </w:rPr>
        <w:t>possibile coniugare una buona gestione con il rispetto delle istanze sociali, che i cittadini civilmente espongono. Rimangono dunque obiettivi primari per la sicurezza e per la salute e la salvaguardia ecologica della gestione dei rifiuti da realizzarsi contestualmente all</w:t>
      </w:r>
      <w:r>
        <w:rPr>
          <w:rFonts w:hAnsi="Book Antiqua" w:hint="default"/>
          <w:color w:val="262626"/>
          <w:u w:color="262626"/>
          <w:rtl w:val="0"/>
          <w:lang w:val="it-IT"/>
        </w:rPr>
        <w:t>’</w:t>
      </w:r>
      <w:r>
        <w:rPr>
          <w:rFonts w:ascii="Book Antiqua"/>
          <w:color w:val="262626"/>
          <w:u w:color="262626"/>
          <w:rtl w:val="0"/>
          <w:lang w:val="it-IT"/>
        </w:rPr>
        <w:t>equa distribuzione dei carichi ambientali per la sostenibilit</w:t>
      </w:r>
      <w:r>
        <w:rPr>
          <w:rFonts w:hAnsi="Book Antiqua" w:hint="default"/>
          <w:color w:val="262626"/>
          <w:u w:color="262626"/>
          <w:rtl w:val="0"/>
          <w:lang w:val="it-IT"/>
        </w:rPr>
        <w:t xml:space="preserve">à </w:t>
      </w:r>
      <w:r>
        <w:rPr>
          <w:rFonts w:ascii="Book Antiqua"/>
          <w:color w:val="262626"/>
          <w:u w:color="262626"/>
          <w:rtl w:val="0"/>
          <w:lang w:val="it-IT"/>
        </w:rPr>
        <w:t>del ciclo e anche per i costi che le popolazioni debbono sopportare</w:t>
      </w:r>
      <w:r>
        <w:rPr>
          <w:rFonts w:hAnsi="Book Antiqua" w:hint="default"/>
          <w:color w:val="262626"/>
          <w:u w:color="262626"/>
          <w:rtl w:val="0"/>
          <w:lang w:val="it-IT"/>
        </w:rPr>
        <w:t>”</w:t>
      </w:r>
      <w:r>
        <w:rPr>
          <w:rFonts w:ascii="Book Antiqua"/>
          <w:color w:val="262626"/>
          <w:u w:color="262626"/>
          <w:rtl w:val="0"/>
          <w:lang w:val="it-IT"/>
        </w:rPr>
        <w:t>; con ci</w:t>
      </w:r>
      <w:r>
        <w:rPr>
          <w:rFonts w:hAnsi="Book Antiqua" w:hint="default"/>
          <w:color w:val="262626"/>
          <w:u w:color="262626"/>
          <w:rtl w:val="0"/>
          <w:lang w:val="it-IT"/>
        </w:rPr>
        <w:t xml:space="preserve">ò </w:t>
      </w:r>
      <w:r>
        <w:rPr>
          <w:rFonts w:ascii="Book Antiqua"/>
          <w:color w:val="262626"/>
          <w:u w:color="262626"/>
          <w:rtl w:val="0"/>
          <w:lang w:val="it-IT"/>
        </w:rPr>
        <w:t>ribadendo il dovere di Roma Capitale di dotarsi degli impianti necessari al trattamento reale dei rifiuti prodotti.</w:t>
      </w:r>
      <w:r>
        <w:rPr>
          <w:rFonts w:ascii="Book Antiqua"/>
          <w:rtl w:val="0"/>
          <w:lang w:val="it-IT"/>
        </w:rPr>
        <w:t xml:space="preserve"> Peraltro, nel corso della sua audizione davanti alla Commissione anche l</w:t>
      </w:r>
      <w:r>
        <w:rPr>
          <w:rFonts w:hAnsi="Book Antiqua" w:hint="default"/>
          <w:rtl w:val="0"/>
          <w:lang w:val="it-IT"/>
        </w:rPr>
        <w:t>’</w:t>
      </w:r>
      <w:r>
        <w:rPr>
          <w:rFonts w:ascii="Book Antiqua"/>
          <w:rtl w:val="0"/>
          <w:lang w:val="it-IT"/>
        </w:rPr>
        <w:t xml:space="preserve">assessora Montanari ha rimarcato che </w:t>
      </w:r>
      <w:r>
        <w:rPr>
          <w:rFonts w:hAnsi="Book Antiqua" w:hint="default"/>
          <w:rtl w:val="0"/>
          <w:lang w:val="it-IT"/>
        </w:rPr>
        <w:t>“</w:t>
      </w:r>
      <w:r>
        <w:rPr>
          <w:rFonts w:ascii="Book Antiqua"/>
          <w:color w:val="262626"/>
          <w:u w:color="262626"/>
          <w:rtl w:val="0"/>
          <w:lang w:val="it-IT"/>
        </w:rPr>
        <w:t>la sinergia con la regione sar</w:t>
      </w:r>
      <w:r>
        <w:rPr>
          <w:rFonts w:hAnsi="Book Antiqua" w:hint="default"/>
          <w:color w:val="262626"/>
          <w:u w:color="262626"/>
          <w:rtl w:val="0"/>
          <w:lang w:val="it-IT"/>
        </w:rPr>
        <w:t xml:space="preserve">à </w:t>
      </w:r>
      <w:r>
        <w:rPr>
          <w:rFonts w:ascii="Book Antiqua"/>
          <w:color w:val="262626"/>
          <w:u w:color="262626"/>
          <w:rtl w:val="0"/>
          <w:lang w:val="it-IT"/>
        </w:rPr>
        <w:t>importantissima</w:t>
      </w:r>
      <w:r>
        <w:rPr>
          <w:rFonts w:hAnsi="Book Antiqua" w:hint="default"/>
          <w:color w:val="262626"/>
          <w:u w:color="262626"/>
          <w:rtl w:val="0"/>
          <w:lang w:val="it-IT"/>
        </w:rPr>
        <w:t>”</w:t>
      </w:r>
      <w:r>
        <w:rPr>
          <w:rFonts w:ascii="Book Antiqua"/>
          <w:color w:val="262626"/>
          <w:u w:color="262626"/>
          <w:rtl w:val="0"/>
          <w:lang w:val="it-IT"/>
        </w:rPr>
        <w:t xml:space="preserve">, tornando poi a definirla </w:t>
      </w:r>
      <w:r>
        <w:rPr>
          <w:rFonts w:hAnsi="Book Antiqua" w:hint="default"/>
          <w:color w:val="262626"/>
          <w:u w:color="262626"/>
          <w:rtl w:val="0"/>
          <w:lang w:val="it-IT"/>
        </w:rPr>
        <w:t>“</w:t>
      </w:r>
      <w:r>
        <w:rPr>
          <w:rFonts w:ascii="Book Antiqua"/>
          <w:color w:val="262626"/>
          <w:u w:color="262626"/>
          <w:rtl w:val="0"/>
          <w:lang w:val="it-IT"/>
        </w:rPr>
        <w:t>fondamentale</w:t>
      </w:r>
      <w:r>
        <w:rPr>
          <w:rFonts w:hAnsi="Book Antiqua" w:hint="default"/>
          <w:color w:val="262626"/>
          <w:u w:color="262626"/>
          <w:rtl w:val="0"/>
          <w:lang w:val="it-IT"/>
        </w:rPr>
        <w:t>”</w:t>
      </w:r>
      <w:r>
        <w:rPr>
          <w:rFonts w:ascii="Book Antiqua" w:cs="Book Antiqua" w:hAnsi="Book Antiqua" w:eastAsia="Book Antiqua"/>
          <w:color w:val="262626"/>
          <w:u w:color="262626"/>
          <w:vertAlign w:val="superscript"/>
          <w:rtl w:val="0"/>
        </w:rPr>
        <w:footnoteReference w:id="140"/>
      </w:r>
      <w:r>
        <w:rPr>
          <w:rFonts w:ascii="Book Antiqua"/>
          <w:color w:val="262626"/>
          <w:u w:color="262626"/>
          <w:rtl w:val="0"/>
          <w:lang w:val="it-IT"/>
        </w:rPr>
        <w:t>.</w:t>
      </w:r>
    </w:p>
    <w:p>
      <w:pPr>
        <w:pStyle w:val="intervento"/>
        <w:spacing w:before="0" w:after="0"/>
        <w:ind w:left="567" w:right="567" w:firstLine="0"/>
        <w:jc w:val="both"/>
        <w:rPr>
          <w:rFonts w:ascii="Book Antiqua" w:cs="Book Antiqua" w:hAnsi="Book Antiqua" w:eastAsia="Book Antiqua"/>
          <w:color w:val="262626"/>
          <w:u w:color="262626"/>
        </w:rPr>
      </w:pPr>
      <w:r>
        <w:rPr>
          <w:rFonts w:ascii="Book Antiqua"/>
          <w:rtl w:val="0"/>
          <w:lang w:val="it-IT"/>
        </w:rPr>
        <w:t xml:space="preserve">Conseguentemente alle citate audizioni, </w:t>
      </w:r>
      <w:r>
        <w:rPr>
          <w:rFonts w:hAnsi="Book Antiqua" w:hint="default"/>
          <w:rtl w:val="0"/>
          <w:lang w:val="it-IT"/>
        </w:rPr>
        <w:t xml:space="preserve">è </w:t>
      </w:r>
      <w:r>
        <w:rPr>
          <w:rFonts w:ascii="Book Antiqua"/>
          <w:rtl w:val="0"/>
          <w:lang w:val="it-IT"/>
        </w:rPr>
        <w:t>stata formulata al sindaco di Roma la richiesta di conoscere quale fosse lo stato di avanzamento degli interventi annunciati nel settembre 2016 e relativi all</w:t>
      </w:r>
      <w:r>
        <w:rPr>
          <w:rFonts w:hAnsi="Book Antiqua" w:hint="default"/>
          <w:rtl w:val="0"/>
          <w:lang w:val="it-IT"/>
        </w:rPr>
        <w:t>’</w:t>
      </w:r>
      <w:r>
        <w:rPr>
          <w:rFonts w:ascii="Book Antiqua"/>
          <w:rtl w:val="0"/>
          <w:lang w:val="it-IT"/>
        </w:rPr>
        <w:t xml:space="preserve">arco temporale giugno </w:t>
      </w:r>
      <w:r>
        <w:rPr>
          <w:rFonts w:hAnsi="Book Antiqua" w:hint="default"/>
          <w:rtl w:val="0"/>
          <w:lang w:val="it-IT"/>
        </w:rPr>
        <w:t xml:space="preserve">– </w:t>
      </w:r>
      <w:r>
        <w:rPr>
          <w:rFonts w:ascii="Book Antiqua"/>
          <w:rtl w:val="0"/>
          <w:lang w:val="it-IT"/>
        </w:rPr>
        <w:t xml:space="preserve">dicembre 2016. Gli obiettivi ribaditi nella risposta, pervenuta il 24 gennaio 2017, riguardano la </w:t>
      </w:r>
      <w:r>
        <w:rPr>
          <w:rFonts w:ascii="Book Antiqua"/>
          <w:i w:val="1"/>
          <w:iCs w:val="1"/>
          <w:rtl w:val="0"/>
          <w:lang w:val="it-IT"/>
        </w:rPr>
        <w:t>due diligence</w:t>
      </w:r>
      <w:r>
        <w:rPr>
          <w:rFonts w:ascii="Book Antiqua"/>
          <w:rtl w:val="0"/>
          <w:lang w:val="it-IT"/>
        </w:rPr>
        <w:t xml:space="preserve"> aziendale, l</w:t>
      </w:r>
      <w:r>
        <w:rPr>
          <w:rFonts w:hAnsi="Book Antiqua" w:hint="default"/>
          <w:rtl w:val="0"/>
          <w:lang w:val="it-IT"/>
        </w:rPr>
        <w:t>’</w:t>
      </w:r>
      <w:r>
        <w:rPr>
          <w:rFonts w:ascii="Book Antiqua"/>
          <w:rtl w:val="0"/>
          <w:lang w:val="it-IT"/>
        </w:rPr>
        <w:t>ottimizzazione della logistica aziendale, la generalizzazione della raccolta differenziata domiciliarizzata, l</w:t>
      </w:r>
      <w:r>
        <w:rPr>
          <w:rFonts w:hAnsi="Book Antiqua" w:hint="default"/>
          <w:rtl w:val="0"/>
          <w:lang w:val="it-IT"/>
        </w:rPr>
        <w:t>’</w:t>
      </w:r>
      <w:r>
        <w:rPr>
          <w:rFonts w:ascii="Book Antiqua"/>
          <w:rtl w:val="0"/>
          <w:lang w:val="it-IT"/>
        </w:rPr>
        <w:t>ampliamento del mercato di prodotti e servizi AMA, le politiche di riduzione di rifiuti e implementazione della raccolta differenziata</w:t>
      </w:r>
      <w:r>
        <w:rPr>
          <w:rFonts w:ascii="Book Antiqua" w:cs="Book Antiqua" w:hAnsi="Book Antiqua" w:eastAsia="Book Antiqua"/>
          <w:vertAlign w:val="superscript"/>
          <w:rtl w:val="0"/>
        </w:rPr>
        <w:footnoteReference w:id="141"/>
      </w:r>
      <w:r>
        <w:rPr>
          <w:rFonts w:ascii="Book Antiqua"/>
          <w:rtl w:val="0"/>
          <w:lang w:val="it-IT"/>
        </w:rPr>
        <w:t xml:space="preserve">. Come si </w:t>
      </w:r>
      <w:r>
        <w:rPr>
          <w:rFonts w:hAnsi="Book Antiqua" w:hint="default"/>
          <w:rtl w:val="0"/>
          <w:lang w:val="it-IT"/>
        </w:rPr>
        <w:t xml:space="preserve">è </w:t>
      </w:r>
      <w:r>
        <w:rPr>
          <w:rFonts w:ascii="Book Antiqua"/>
          <w:rtl w:val="0"/>
          <w:lang w:val="it-IT"/>
        </w:rPr>
        <w:t>gi</w:t>
      </w:r>
      <w:r>
        <w:rPr>
          <w:rFonts w:hAnsi="Book Antiqua" w:hint="default"/>
          <w:rtl w:val="0"/>
          <w:lang w:val="it-IT"/>
        </w:rPr>
        <w:t xml:space="preserve">à </w:t>
      </w:r>
      <w:r>
        <w:rPr>
          <w:rFonts w:ascii="Book Antiqua"/>
          <w:rtl w:val="0"/>
          <w:lang w:val="it-IT"/>
        </w:rPr>
        <w:t>detto, le prospettive dell</w:t>
      </w:r>
      <w:r>
        <w:rPr>
          <w:rFonts w:hAnsi="Book Antiqua" w:hint="default"/>
          <w:rtl w:val="0"/>
          <w:lang w:val="it-IT"/>
        </w:rPr>
        <w:t>’</w:t>
      </w:r>
      <w:r>
        <w:rPr>
          <w:rFonts w:ascii="Book Antiqua"/>
          <w:rtl w:val="0"/>
          <w:lang w:val="it-IT"/>
        </w:rPr>
        <w:t>amministrazione di Roma Capitale sono state da ultimo ribadite nella nota 24 novembre 2017 dell</w:t>
      </w:r>
      <w:r>
        <w:rPr>
          <w:rFonts w:hAnsi="Book Antiqua" w:hint="default"/>
          <w:rtl w:val="0"/>
          <w:lang w:val="it-IT"/>
        </w:rPr>
        <w:t>’</w:t>
      </w:r>
      <w:r>
        <w:rPr>
          <w:rFonts w:ascii="Book Antiqua"/>
          <w:rtl w:val="0"/>
          <w:lang w:val="it-IT"/>
        </w:rPr>
        <w:t xml:space="preserve">assessora Giuseppina Montanari: </w:t>
      </w:r>
      <w:r>
        <w:rPr>
          <w:rFonts w:hAnsi="Book Antiqua" w:hint="default"/>
          <w:rtl w:val="0"/>
          <w:lang w:val="it-IT"/>
        </w:rPr>
        <w:t>“</w:t>
      </w:r>
      <w:r>
        <w:rPr>
          <w:rFonts w:ascii="Book Antiqua"/>
          <w:rtl w:val="0"/>
          <w:lang w:val="it-IT"/>
        </w:rPr>
        <w:t>l</w:t>
      </w:r>
      <w:r>
        <w:rPr>
          <w:rFonts w:hAnsi="Book Antiqua" w:hint="default"/>
          <w:rtl w:val="0"/>
          <w:lang w:val="it-IT"/>
        </w:rPr>
        <w:t>’</w:t>
      </w:r>
      <w:r>
        <w:rPr>
          <w:rFonts w:ascii="Book Antiqua"/>
          <w:rtl w:val="0"/>
          <w:lang w:val="it-IT"/>
        </w:rPr>
        <w:t xml:space="preserve">amministrazione di Roma Capitale </w:t>
      </w:r>
      <w:r>
        <w:rPr>
          <w:rFonts w:hAnsi="Book Antiqua" w:hint="default"/>
          <w:rtl w:val="0"/>
          <w:lang w:val="it-IT"/>
        </w:rPr>
        <w:t xml:space="preserve">è </w:t>
      </w:r>
      <w:r>
        <w:rPr>
          <w:rFonts w:ascii="Book Antiqua"/>
          <w:rtl w:val="0"/>
          <w:lang w:val="it-IT"/>
        </w:rPr>
        <w:t>in seguito intervenuta sul ciclo dei rifiuti, in particolare con l</w:t>
      </w:r>
      <w:r>
        <w:rPr>
          <w:rFonts w:hAnsi="Book Antiqua" w:hint="default"/>
          <w:rtl w:val="0"/>
          <w:lang w:val="it-IT"/>
        </w:rPr>
        <w:t>’</w:t>
      </w:r>
      <w:r>
        <w:rPr>
          <w:rFonts w:ascii="Book Antiqua"/>
          <w:rtl w:val="0"/>
          <w:lang w:val="it-IT"/>
        </w:rPr>
        <w:t>approvazione del Piano per la gestione dei materiali post-consumo 2017-2021 del comune di Roma con deliberazione di Giunta n. 47 del 30 marzo 2017 [</w:t>
      </w:r>
      <w:r>
        <w:rPr>
          <w:rFonts w:hAnsi="Book Antiqua" w:hint="default"/>
          <w:rtl w:val="0"/>
          <w:lang w:val="it-IT"/>
        </w:rPr>
        <w:t>…</w:t>
      </w:r>
      <w:r>
        <w:rPr>
          <w:rFonts w:ascii="Book Antiqua"/>
          <w:rtl w:val="0"/>
          <w:lang w:val="it-IT"/>
        </w:rPr>
        <w:t>] e con l</w:t>
      </w:r>
      <w:r>
        <w:rPr>
          <w:rFonts w:hAnsi="Book Antiqua" w:hint="default"/>
          <w:rtl w:val="0"/>
          <w:lang w:val="it-IT"/>
        </w:rPr>
        <w:t>’</w:t>
      </w:r>
      <w:r>
        <w:rPr>
          <w:rFonts w:ascii="Book Antiqua"/>
          <w:rtl w:val="0"/>
          <w:lang w:val="it-IT"/>
        </w:rPr>
        <w:t>approvazione del nuovo piano industriale AMA</w:t>
      </w:r>
      <w:r>
        <w:rPr>
          <w:rFonts w:hAnsi="Book Antiqua" w:hint="default"/>
          <w:rtl w:val="0"/>
          <w:lang w:val="it-IT"/>
        </w:rPr>
        <w:t>”</w:t>
      </w:r>
      <w:r>
        <w:rPr>
          <w:rFonts w:ascii="Book Antiqua"/>
          <w:vertAlign w:val="superscript"/>
          <w:rtl w:val="0"/>
          <w:lang w:val="it-IT"/>
        </w:rPr>
        <w:t xml:space="preserve"> </w:t>
      </w:r>
      <w:r>
        <w:rPr>
          <w:rFonts w:ascii="Book Antiqua" w:cs="Book Antiqua" w:hAnsi="Book Antiqua" w:eastAsia="Book Antiqua"/>
          <w:vertAlign w:val="superscript"/>
          <w:rtl w:val="0"/>
        </w:rPr>
        <w:footnoteReference w:id="142"/>
      </w:r>
      <w:r>
        <w:rPr>
          <w:rFonts w:ascii="Book Antiqua"/>
          <w:rtl w:val="0"/>
          <w:lang w:val="it-IT"/>
        </w:rPr>
        <w:t>.</w:t>
      </w:r>
    </w:p>
    <w:p>
      <w:pPr>
        <w:pStyle w:val="Normal"/>
        <w:ind w:left="567" w:right="567" w:firstLine="0"/>
        <w:jc w:val="both"/>
        <w:rPr>
          <w:rFonts w:ascii="Book Antiqua" w:cs="Book Antiqua" w:hAnsi="Book Antiqua" w:eastAsia="Book Antiqua"/>
          <w:shd w:val="clear" w:color="auto" w:fill="ffffff"/>
        </w:rPr>
      </w:pPr>
      <w:r>
        <w:rPr>
          <w:rFonts w:ascii="Book Antiqua"/>
          <w:rtl w:val="0"/>
          <w:lang w:val="it-IT"/>
        </w:rPr>
        <w:t xml:space="preserve">Un ulteriore cambio nella </w:t>
      </w:r>
      <w:r>
        <w:rPr>
          <w:rFonts w:ascii="Book Antiqua"/>
          <w:i w:val="1"/>
          <w:iCs w:val="1"/>
          <w:rtl w:val="0"/>
          <w:lang w:val="it-IT"/>
        </w:rPr>
        <w:t>governance</w:t>
      </w:r>
      <w:r>
        <w:rPr>
          <w:rFonts w:ascii="Book Antiqua"/>
          <w:rtl w:val="0"/>
          <w:lang w:val="it-IT"/>
        </w:rPr>
        <w:t xml:space="preserve"> di AMA S.p.A., voluto dall</w:t>
      </w:r>
      <w:r>
        <w:rPr>
          <w:rFonts w:hAnsi="Book Antiqua" w:hint="default"/>
          <w:rtl w:val="0"/>
          <w:lang w:val="it-IT"/>
        </w:rPr>
        <w:t>’</w:t>
      </w:r>
      <w:r>
        <w:rPr>
          <w:rFonts w:ascii="Book Antiqua"/>
          <w:rtl w:val="0"/>
          <w:lang w:val="it-IT"/>
        </w:rPr>
        <w:t>amministrazione di Roma Capitale in epoca pi</w:t>
      </w:r>
      <w:r>
        <w:rPr>
          <w:rFonts w:hAnsi="Book Antiqua" w:hint="default"/>
          <w:rtl w:val="0"/>
          <w:lang w:val="it-IT"/>
        </w:rPr>
        <w:t xml:space="preserve">ù </w:t>
      </w:r>
      <w:r>
        <w:rPr>
          <w:rFonts w:ascii="Book Antiqua"/>
          <w:rtl w:val="0"/>
          <w:lang w:val="it-IT"/>
        </w:rPr>
        <w:t xml:space="preserve">recente, ha indotto la Commissione ad audire il nuovo </w:t>
      </w:r>
      <w:r>
        <w:rPr>
          <w:rFonts w:ascii="Book Antiqua"/>
          <w:shd w:val="clear" w:color="auto" w:fill="ffffff"/>
          <w:rtl w:val="0"/>
          <w:lang w:val="it-IT"/>
        </w:rPr>
        <w:t>presidente e amministratore delegato di AMA S.p.A., Lorenzo Bacagnani</w:t>
      </w:r>
      <w:r>
        <w:rPr>
          <w:rFonts w:ascii="Book Antiqua" w:cs="Book Antiqua" w:hAnsi="Book Antiqua" w:eastAsia="Book Antiqua"/>
          <w:shd w:val="clear" w:color="auto" w:fill="ffffff"/>
          <w:vertAlign w:val="superscript"/>
          <w:rtl w:val="0"/>
        </w:rPr>
        <w:footnoteReference w:id="143"/>
      </w:r>
      <w:r>
        <w:rPr>
          <w:rFonts w:ascii="Book Antiqua"/>
          <w:shd w:val="clear" w:color="auto" w:fill="ffffff"/>
          <w:rtl w:val="0"/>
          <w:lang w:val="it-IT"/>
        </w:rPr>
        <w:t>,  il 28 giugno 2017.</w:t>
      </w:r>
    </w:p>
    <w:p>
      <w:pPr>
        <w:pStyle w:val="Normal"/>
        <w:ind w:left="567" w:right="567" w:firstLine="0"/>
        <w:jc w:val="both"/>
        <w:rPr>
          <w:rFonts w:ascii="Book Antiqua" w:cs="Book Antiqua" w:hAnsi="Book Antiqua" w:eastAsia="Book Antiqua"/>
          <w:shd w:val="clear" w:color="auto" w:fill="ffffff"/>
        </w:rPr>
      </w:pPr>
      <w:r>
        <w:rPr>
          <w:rFonts w:ascii="Book Antiqua"/>
          <w:shd w:val="clear" w:color="auto" w:fill="ffffff"/>
          <w:rtl w:val="0"/>
          <w:lang w:val="it-IT"/>
        </w:rPr>
        <w:t xml:space="preserve">Il programma di AMA, al giugno 2017, </w:t>
      </w:r>
      <w:r>
        <w:rPr>
          <w:rFonts w:hAnsi="Book Antiqua" w:hint="default"/>
          <w:shd w:val="clear" w:color="auto" w:fill="ffffff"/>
          <w:rtl w:val="0"/>
          <w:lang w:val="it-IT"/>
        </w:rPr>
        <w:t xml:space="preserve">è </w:t>
      </w:r>
      <w:r>
        <w:rPr>
          <w:rFonts w:ascii="Book Antiqua"/>
          <w:shd w:val="clear" w:color="auto" w:fill="ffffff"/>
          <w:rtl w:val="0"/>
          <w:lang w:val="it-IT"/>
        </w:rPr>
        <w:t>stato cos</w:t>
      </w:r>
      <w:r>
        <w:rPr>
          <w:rFonts w:hAnsi="Book Antiqua" w:hint="default"/>
          <w:shd w:val="clear" w:color="auto" w:fill="ffffff"/>
          <w:rtl w:val="0"/>
          <w:lang w:val="it-IT"/>
        </w:rPr>
        <w:t xml:space="preserve">ì </w:t>
      </w:r>
      <w:r>
        <w:rPr>
          <w:rFonts w:ascii="Book Antiqua"/>
          <w:shd w:val="clear" w:color="auto" w:fill="ffffff"/>
          <w:rtl w:val="0"/>
          <w:lang w:val="it-IT"/>
        </w:rPr>
        <w:t xml:space="preserve">testualmente sintetizzato dal nuovo presidente: </w:t>
      </w:r>
    </w:p>
    <w:p>
      <w:pPr>
        <w:pStyle w:val="Normal"/>
        <w:ind w:left="567" w:right="567" w:firstLine="0"/>
        <w:jc w:val="both"/>
        <w:rPr>
          <w:rFonts w:ascii="Book Antiqua" w:cs="Book Antiqua" w:hAnsi="Book Antiqua" w:eastAsia="Book Antiqua"/>
          <w:shd w:val="clear" w:color="auto" w:fill="ffffff"/>
        </w:rPr>
      </w:pPr>
      <w:r>
        <w:rPr>
          <w:rFonts w:hAnsi="Book Antiqua" w:hint="default"/>
          <w:shd w:val="clear" w:color="auto" w:fill="ffffff"/>
          <w:rtl w:val="0"/>
          <w:lang w:val="it-IT"/>
        </w:rPr>
        <w:t>“</w:t>
      </w:r>
      <w:r>
        <w:rPr>
          <w:rFonts w:ascii="Book Antiqua"/>
          <w:shd w:val="clear" w:color="auto" w:fill="ffffff"/>
          <w:rtl w:val="0"/>
          <w:lang w:val="it-IT"/>
        </w:rPr>
        <w:t>Stiamo infatti lavorando per definire, nel breve periodo, una situazione di stabilit</w:t>
      </w:r>
      <w:r>
        <w:rPr>
          <w:rFonts w:hAnsi="Book Antiqua" w:hint="default"/>
          <w:shd w:val="clear" w:color="auto" w:fill="ffffff"/>
          <w:rtl w:val="0"/>
          <w:lang w:val="it-IT"/>
        </w:rPr>
        <w:t>à</w:t>
      </w:r>
      <w:r>
        <w:rPr>
          <w:rFonts w:ascii="Book Antiqua"/>
          <w:shd w:val="clear" w:color="auto" w:fill="ffffff"/>
          <w:rtl w:val="0"/>
          <w:lang w:val="it-IT"/>
        </w:rPr>
        <w:t>, per poi proseguire con un progetto di medio periodo coincidente con il nostro piano industriale, che sar</w:t>
      </w:r>
      <w:r>
        <w:rPr>
          <w:rFonts w:hAnsi="Book Antiqua" w:hint="default"/>
          <w:shd w:val="clear" w:color="auto" w:fill="ffffff"/>
          <w:rtl w:val="0"/>
          <w:lang w:val="it-IT"/>
        </w:rPr>
        <w:t xml:space="preserve">à </w:t>
      </w:r>
      <w:r>
        <w:rPr>
          <w:rFonts w:ascii="Book Antiqua"/>
          <w:shd w:val="clear" w:color="auto" w:fill="ffffff"/>
          <w:rtl w:val="0"/>
          <w:lang w:val="it-IT"/>
        </w:rPr>
        <w:t>in grado di restituire solidit</w:t>
      </w:r>
      <w:r>
        <w:rPr>
          <w:rFonts w:hAnsi="Book Antiqua" w:hint="default"/>
          <w:shd w:val="clear" w:color="auto" w:fill="ffffff"/>
          <w:rtl w:val="0"/>
          <w:lang w:val="it-IT"/>
        </w:rPr>
        <w:t xml:space="preserve">à </w:t>
      </w:r>
      <w:r>
        <w:rPr>
          <w:rFonts w:ascii="Book Antiqua"/>
          <w:shd w:val="clear" w:color="auto" w:fill="ffffff"/>
          <w:rtl w:val="0"/>
          <w:lang w:val="it-IT"/>
        </w:rPr>
        <w:t>industriale all'azienda sia rispetto al modello organizzativo e operativo, sia rispetto all'impiantistica, facendo tesoro, come dati di</w:t>
      </w:r>
      <w:r>
        <w:rPr>
          <w:rFonts w:ascii="Book Antiqua"/>
          <w:rtl w:val="0"/>
          <w:lang w:val="it-IT"/>
        </w:rPr>
        <w:t xml:space="preserve"> </w:t>
      </w:r>
      <w:r>
        <w:rPr>
          <w:rFonts w:ascii="Book Antiqua"/>
          <w:i w:val="1"/>
          <w:iCs w:val="1"/>
          <w:rtl w:val="0"/>
          <w:lang w:val="it-IT"/>
        </w:rPr>
        <w:t>input</w:t>
      </w:r>
      <w:r>
        <w:rPr>
          <w:rFonts w:ascii="Book Antiqua"/>
          <w:shd w:val="clear" w:color="auto" w:fill="ffffff"/>
          <w:rtl w:val="0"/>
          <w:lang w:val="it-IT"/>
        </w:rPr>
        <w:t>, dei flussi di rifiuti da noi prodotti in termini merceologici e in termini di listino, in modo tale da creare una situazione tale affinch</w:t>
      </w:r>
      <w:r>
        <w:rPr>
          <w:rFonts w:hAnsi="Book Antiqua" w:hint="default"/>
          <w:shd w:val="clear" w:color="auto" w:fill="ffffff"/>
          <w:rtl w:val="0"/>
          <w:lang w:val="it-IT"/>
        </w:rPr>
        <w:t xml:space="preserve">é </w:t>
      </w:r>
      <w:r>
        <w:rPr>
          <w:rFonts w:ascii="Book Antiqua"/>
          <w:shd w:val="clear" w:color="auto" w:fill="ffffff"/>
          <w:rtl w:val="0"/>
          <w:lang w:val="it-IT"/>
        </w:rPr>
        <w:t>AMA possa costituire una realt</w:t>
      </w:r>
      <w:r>
        <w:rPr>
          <w:rFonts w:hAnsi="Book Antiqua" w:hint="default"/>
          <w:shd w:val="clear" w:color="auto" w:fill="ffffff"/>
          <w:rtl w:val="0"/>
          <w:lang w:val="it-IT"/>
        </w:rPr>
        <w:t xml:space="preserve">à </w:t>
      </w:r>
      <w:r>
        <w:rPr>
          <w:rFonts w:ascii="Book Antiqua"/>
          <w:shd w:val="clear" w:color="auto" w:fill="ffffff"/>
          <w:rtl w:val="0"/>
          <w:lang w:val="it-IT"/>
        </w:rPr>
        <w:t>normale, dove i rifiuti vengono prodotti, raccolti e gestiti all'interno del territorio</w:t>
      </w:r>
      <w:r>
        <w:rPr>
          <w:rFonts w:hAnsi="Book Antiqua" w:hint="default"/>
          <w:shd w:val="clear" w:color="auto" w:fill="ffffff"/>
          <w:rtl w:val="0"/>
          <w:lang w:val="it-IT"/>
        </w:rPr>
        <w:t>”</w:t>
      </w:r>
      <w:r>
        <w:rPr>
          <w:rFonts w:ascii="Book Antiqua"/>
          <w:shd w:val="clear" w:color="auto" w:fill="ffffff"/>
          <w:rtl w:val="0"/>
          <w:lang w:val="it-IT"/>
        </w:rPr>
        <w:t>.</w:t>
      </w:r>
    </w:p>
    <w:p>
      <w:pPr>
        <w:pStyle w:val="Normal"/>
        <w:ind w:left="567" w:right="567" w:firstLine="0"/>
        <w:jc w:val="both"/>
        <w:rPr>
          <w:rFonts w:ascii="Book Antiqua" w:cs="Book Antiqua" w:hAnsi="Book Antiqua" w:eastAsia="Book Antiqua"/>
          <w:shd w:val="clear" w:color="auto" w:fill="ffffff"/>
        </w:rPr>
      </w:pPr>
      <w:r>
        <w:rPr>
          <w:rFonts w:ascii="Book Antiqua"/>
          <w:shd w:val="clear" w:color="auto" w:fill="ffffff"/>
          <w:rtl w:val="0"/>
          <w:lang w:val="it-IT"/>
        </w:rPr>
        <w:t>In buona sostanza, e al di l</w:t>
      </w:r>
      <w:r>
        <w:rPr>
          <w:rFonts w:hAnsi="Book Antiqua" w:hint="default"/>
          <w:shd w:val="clear" w:color="auto" w:fill="ffffff"/>
          <w:rtl w:val="0"/>
          <w:lang w:val="it-IT"/>
        </w:rPr>
        <w:t xml:space="preserve">à </w:t>
      </w:r>
      <w:r>
        <w:rPr>
          <w:rFonts w:ascii="Book Antiqua"/>
          <w:shd w:val="clear" w:color="auto" w:fill="ffffff"/>
          <w:rtl w:val="0"/>
          <w:lang w:val="it-IT"/>
        </w:rPr>
        <w:t xml:space="preserve">della terminologia </w:t>
      </w:r>
      <w:r>
        <w:rPr>
          <w:rFonts w:hAnsi="Book Antiqua" w:hint="default"/>
          <w:shd w:val="clear" w:color="auto" w:fill="ffffff"/>
          <w:rtl w:val="0"/>
          <w:lang w:val="it-IT"/>
        </w:rPr>
        <w:t>“</w:t>
      </w:r>
      <w:r>
        <w:rPr>
          <w:rFonts w:ascii="Book Antiqua"/>
          <w:shd w:val="clear" w:color="auto" w:fill="ffffff"/>
          <w:rtl w:val="0"/>
          <w:lang w:val="it-IT"/>
        </w:rPr>
        <w:t>ampia</w:t>
      </w:r>
      <w:r>
        <w:rPr>
          <w:rFonts w:hAnsi="Book Antiqua" w:hint="default"/>
          <w:shd w:val="clear" w:color="auto" w:fill="ffffff"/>
          <w:rtl w:val="0"/>
          <w:lang w:val="it-IT"/>
        </w:rPr>
        <w:t xml:space="preserve">” </w:t>
      </w:r>
      <w:r>
        <w:rPr>
          <w:rFonts w:ascii="Book Antiqua"/>
          <w:shd w:val="clear" w:color="auto" w:fill="ffffff"/>
          <w:rtl w:val="0"/>
          <w:lang w:val="it-IT"/>
        </w:rPr>
        <w:t>si tratta dell</w:t>
      </w:r>
      <w:r>
        <w:rPr>
          <w:rFonts w:hAnsi="Book Antiqua" w:hint="default"/>
          <w:shd w:val="clear" w:color="auto" w:fill="ffffff"/>
          <w:rtl w:val="0"/>
          <w:lang w:val="it-IT"/>
        </w:rPr>
        <w:t>’</w:t>
      </w:r>
      <w:r>
        <w:rPr>
          <w:rFonts w:ascii="Book Antiqua"/>
          <w:shd w:val="clear" w:color="auto" w:fill="ffffff"/>
          <w:rtl w:val="0"/>
          <w:lang w:val="it-IT"/>
        </w:rPr>
        <w:t>indispensabile ritorno a una possibile chiusura ciclo dei rifiuti di Roma Capitale che non vada a gravare sul resto della regione, sul resto del territorio nazionale, su altri Paesi europei.</w:t>
      </w:r>
    </w:p>
    <w:p>
      <w:pPr>
        <w:pStyle w:val="Normal"/>
        <w:ind w:left="567" w:right="567" w:firstLine="0"/>
        <w:jc w:val="both"/>
        <w:rPr>
          <w:rFonts w:ascii="Book Antiqua" w:cs="Book Antiqua" w:hAnsi="Book Antiqua" w:eastAsia="Book Antiqua"/>
        </w:rPr>
      </w:pPr>
      <w:r>
        <w:rPr>
          <w:rFonts w:ascii="Book Antiqua"/>
          <w:shd w:val="clear" w:color="auto" w:fill="ffffff"/>
          <w:rtl w:val="0"/>
          <w:lang w:val="it-IT"/>
        </w:rPr>
        <w:t xml:space="preserve">Un dato riferito dal presidente di AMA </w:t>
      </w:r>
      <w:r>
        <w:rPr>
          <w:rFonts w:hAnsi="Book Antiqua" w:hint="default"/>
          <w:shd w:val="clear" w:color="auto" w:fill="ffffff"/>
          <w:rtl w:val="0"/>
          <w:lang w:val="it-IT"/>
        </w:rPr>
        <w:t xml:space="preserve">è </w:t>
      </w:r>
      <w:r>
        <w:rPr>
          <w:rFonts w:ascii="Book Antiqua"/>
          <w:shd w:val="clear" w:color="auto" w:fill="ffffff"/>
          <w:rtl w:val="0"/>
          <w:lang w:val="it-IT"/>
        </w:rPr>
        <w:t>quello dell</w:t>
      </w:r>
      <w:r>
        <w:rPr>
          <w:rFonts w:hAnsi="Book Antiqua" w:hint="default"/>
          <w:shd w:val="clear" w:color="auto" w:fill="ffffff"/>
          <w:rtl w:val="0"/>
          <w:lang w:val="it-IT"/>
        </w:rPr>
        <w:t>’</w:t>
      </w:r>
      <w:r>
        <w:rPr>
          <w:rFonts w:ascii="Book Antiqua"/>
          <w:shd w:val="clear" w:color="auto" w:fill="ffffff"/>
          <w:rtl w:val="0"/>
          <w:lang w:val="it-IT"/>
        </w:rPr>
        <w:t xml:space="preserve">aumento della raccolta differenziata: </w:t>
      </w:r>
      <w:r>
        <w:rPr>
          <w:rFonts w:hAnsi="Book Antiqua" w:hint="default"/>
          <w:shd w:val="clear" w:color="auto" w:fill="ffffff"/>
          <w:rtl w:val="0"/>
          <w:lang w:val="it-IT"/>
        </w:rPr>
        <w:t>“</w:t>
      </w:r>
      <w:r>
        <w:rPr>
          <w:rFonts w:ascii="Book Antiqua"/>
          <w:shd w:val="clear" w:color="auto" w:fill="ffffff"/>
          <w:rtl w:val="0"/>
          <w:lang w:val="it-IT"/>
        </w:rPr>
        <w:t xml:space="preserve">serviamo un numero di abitanti pari a 3,3 milioni, composti da 2,8 milioni di abitanti residenti e da 500.000 soggetti tra turisti e pendolari. Nel 2016 abbiamo raccolto un totale di 1.691.000 tonnellate di rifiuti, di cui 725.000 tonnellate in modo differenziato (che corrisponde a una percentuale del 43 per cento di raccolta differenziata) e 966.000 tonnellate, che </w:t>
      </w:r>
      <w:r>
        <w:rPr>
          <w:rFonts w:hAnsi="Book Antiqua" w:hint="default"/>
          <w:shd w:val="clear" w:color="auto" w:fill="ffffff"/>
          <w:rtl w:val="0"/>
          <w:lang w:val="it-IT"/>
        </w:rPr>
        <w:t xml:space="preserve">è </w:t>
      </w:r>
      <w:r>
        <w:rPr>
          <w:rFonts w:ascii="Book Antiqua"/>
          <w:shd w:val="clear" w:color="auto" w:fill="ffffff"/>
          <w:rtl w:val="0"/>
          <w:lang w:val="it-IT"/>
        </w:rPr>
        <w:t>la parte rimanente, di rifiuto indifferenziato destinato alle varie impiantistiche. Il dato della differenziata nel periodo gennaio-maggio del 2017 indica un incremento. Nello stesso periodo dello scorso anno avevamo</w:t>
      </w:r>
      <w:r>
        <w:rPr>
          <w:rFonts w:ascii="Book Antiqua Bold"/>
          <w:b w:val="1"/>
          <w:bCs w:val="1"/>
          <w:rtl w:val="0"/>
          <w:lang w:val="it-IT"/>
        </w:rPr>
        <w:t xml:space="preserve"> </w:t>
      </w:r>
      <w:r>
        <w:rPr>
          <w:rFonts w:ascii="Book Antiqua"/>
          <w:shd w:val="clear" w:color="auto" w:fill="ffffff"/>
          <w:rtl w:val="0"/>
          <w:lang w:val="it-IT"/>
        </w:rPr>
        <w:t>42,5 per cento e oggi siamo al 44,2 per cento, quindi c'</w:t>
      </w:r>
      <w:r>
        <w:rPr>
          <w:rFonts w:hAnsi="Book Antiqua" w:hint="default"/>
          <w:shd w:val="clear" w:color="auto" w:fill="ffffff"/>
          <w:rtl w:val="0"/>
          <w:lang w:val="it-IT"/>
        </w:rPr>
        <w:t xml:space="preserve">è </w:t>
      </w:r>
      <w:r>
        <w:rPr>
          <w:rFonts w:ascii="Book Antiqua"/>
          <w:shd w:val="clear" w:color="auto" w:fill="ffffff"/>
          <w:rtl w:val="0"/>
          <w:lang w:val="it-IT"/>
        </w:rPr>
        <w:t>un</w:t>
      </w:r>
      <w:r>
        <w:rPr>
          <w:rFonts w:hAnsi="Book Antiqua" w:hint="default"/>
          <w:rtl w:val="0"/>
          <w:lang w:val="it-IT"/>
        </w:rPr>
        <w:t> </w:t>
      </w:r>
      <w:r>
        <w:rPr>
          <w:rFonts w:ascii="Book Antiqua"/>
          <w:rtl w:val="0"/>
          <w:lang w:val="it-IT"/>
        </w:rPr>
        <w:t>trend</w:t>
      </w:r>
      <w:r>
        <w:rPr>
          <w:rFonts w:hAnsi="Book Antiqua" w:hint="default"/>
          <w:rtl w:val="0"/>
          <w:lang w:val="it-IT"/>
        </w:rPr>
        <w:t> </w:t>
      </w:r>
      <w:r>
        <w:rPr>
          <w:rFonts w:ascii="Book Antiqua"/>
          <w:shd w:val="clear" w:color="auto" w:fill="ffffff"/>
          <w:rtl w:val="0"/>
          <w:lang w:val="it-IT"/>
        </w:rPr>
        <w:t>di crescita delle raccolte differenziate</w:t>
      </w:r>
      <w:r>
        <w:rPr>
          <w:rFonts w:hAnsi="Book Antiqua" w:hint="default"/>
          <w:rtl w:val="0"/>
          <w:lang w:val="it-IT"/>
        </w:rPr>
        <w:t>“</w:t>
      </w:r>
      <w:r>
        <w:rPr>
          <w:rFonts w:ascii="Book Antiqua"/>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 xml:space="preserve">La situazione impiantistica e di devoluzione fuori territorio dei rifiuti prodotti da Roma Capitale </w:t>
      </w:r>
      <w:r>
        <w:rPr>
          <w:rFonts w:hAnsi="Book Antiqua" w:hint="default"/>
          <w:rtl w:val="0"/>
          <w:lang w:val="it-IT"/>
        </w:rPr>
        <w:t xml:space="preserve">è </w:t>
      </w:r>
      <w:r>
        <w:rPr>
          <w:rFonts w:ascii="Book Antiqua"/>
          <w:rtl w:val="0"/>
          <w:lang w:val="it-IT"/>
        </w:rPr>
        <w:t>a sua volta cos</w:t>
      </w:r>
      <w:r>
        <w:rPr>
          <w:rFonts w:hAnsi="Book Antiqua" w:hint="default"/>
          <w:rtl w:val="0"/>
          <w:lang w:val="it-IT"/>
        </w:rPr>
        <w:t xml:space="preserve">ì </w:t>
      </w:r>
      <w:r>
        <w:rPr>
          <w:rFonts w:ascii="Book Antiqua"/>
          <w:rtl w:val="0"/>
          <w:lang w:val="it-IT"/>
        </w:rPr>
        <w:t>descritta:</w:t>
      </w:r>
    </w:p>
    <w:p>
      <w:pPr>
        <w:pStyle w:val="Normal"/>
        <w:ind w:left="567" w:right="567" w:firstLine="0"/>
        <w:jc w:val="both"/>
        <w:rPr>
          <w:rFonts w:ascii="Book Antiqua" w:cs="Book Antiqua" w:hAnsi="Book Antiqua" w:eastAsia="Book Antiqua"/>
        </w:rPr>
      </w:pPr>
      <w:r>
        <w:rPr>
          <w:rFonts w:hAnsi="Book Antiqua" w:hint="default"/>
          <w:rtl w:val="0"/>
          <w:lang w:val="it-IT"/>
        </w:rPr>
        <w:t>“</w:t>
      </w:r>
      <w:r>
        <w:rPr>
          <w:rFonts w:ascii="Book Antiqua"/>
          <w:shd w:val="clear" w:color="auto" w:fill="ffffff"/>
          <w:rtl w:val="0"/>
          <w:lang w:val="it-IT"/>
        </w:rPr>
        <w:t>raccogliamo in media circa 5.000 tonnellate di rifiuto, di cui 2.700 tonnellate al giorno sono di indifferenziato e 2.300 di differenziato. Se dobbiamo fotografare quella che ho definito prima come fragilit</w:t>
      </w:r>
      <w:r>
        <w:rPr>
          <w:rFonts w:hAnsi="Book Antiqua" w:hint="default"/>
          <w:shd w:val="clear" w:color="auto" w:fill="ffffff"/>
          <w:rtl w:val="0"/>
          <w:lang w:val="it-IT"/>
        </w:rPr>
        <w:t xml:space="preserve">à </w:t>
      </w:r>
      <w:r>
        <w:rPr>
          <w:rFonts w:ascii="Book Antiqua"/>
          <w:shd w:val="clear" w:color="auto" w:fill="ffffff"/>
          <w:rtl w:val="0"/>
          <w:lang w:val="it-IT"/>
        </w:rPr>
        <w:t xml:space="preserve">del sistema di breve periodo, </w:t>
      </w:r>
      <w:r>
        <w:rPr>
          <w:rFonts w:hAnsi="Book Antiqua" w:hint="default"/>
          <w:shd w:val="clear" w:color="auto" w:fill="ffffff"/>
          <w:rtl w:val="0"/>
          <w:lang w:val="it-IT"/>
        </w:rPr>
        <w:t xml:space="preserve">è </w:t>
      </w:r>
      <w:r>
        <w:rPr>
          <w:rFonts w:ascii="Book Antiqua"/>
          <w:shd w:val="clear" w:color="auto" w:fill="ffffff"/>
          <w:rtl w:val="0"/>
          <w:lang w:val="it-IT"/>
        </w:rPr>
        <w:t>evidente che le analisi debbono ricondursi alle dotazioni impiantistiche attuali. Noi, come AMA, indicativamente trattiamo con i nostri impianti (che sono gli impianti di Salario e Rocca Cencia) circa 1.200 tonnellate al giorno di rifiuti, ma una parte molto significativa viene gestita dall'impianto Co.La.Ri., oggi soggetto a commissariamento. Parliamo di 1.250 tonnellate di rifiuti al giorno.</w:t>
      </w:r>
      <w:r>
        <w:rPr>
          <w:rFonts w:hAnsi="Book Antiqua" w:hint="default"/>
          <w:rtl w:val="0"/>
          <w:lang w:val="it-IT"/>
        </w:rPr>
        <w:t> </w:t>
      </w:r>
      <w:r>
        <w:rPr>
          <w:rFonts w:ascii="Book Antiqua"/>
          <w:shd w:val="clear" w:color="auto" w:fill="ffffff"/>
          <w:rtl w:val="0"/>
          <w:lang w:val="it-IT"/>
        </w:rPr>
        <w:t>Ci sono, poi, altri conferimenti minori ma comunque importanti rispetto alla variabilit</w:t>
      </w:r>
      <w:r>
        <w:rPr>
          <w:rFonts w:hAnsi="Book Antiqua" w:hint="default"/>
          <w:shd w:val="clear" w:color="auto" w:fill="ffffff"/>
          <w:rtl w:val="0"/>
          <w:lang w:val="it-IT"/>
        </w:rPr>
        <w:t xml:space="preserve">à </w:t>
      </w:r>
      <w:r>
        <w:rPr>
          <w:rFonts w:ascii="Book Antiqua"/>
          <w:shd w:val="clear" w:color="auto" w:fill="ffffff"/>
          <w:rtl w:val="0"/>
          <w:lang w:val="it-IT"/>
        </w:rPr>
        <w:t>di contesto: dalle 150 alle 230 tonnellate al giorno all'impianto RIDA ad Aprilia, dalle 100 alle 300 tonnellate al giorno al TMB (trattamento meccanico-biologico) di SAF a Frosinone e dalle 150 alle 200 tonnellate al giorno ad ACIAM in Abruzzo. Questi sono i bacini potenziali. Abbiamo poi una piccola quantit</w:t>
      </w:r>
      <w:r>
        <w:rPr>
          <w:rFonts w:hAnsi="Book Antiqua" w:hint="default"/>
          <w:shd w:val="clear" w:color="auto" w:fill="ffffff"/>
          <w:rtl w:val="0"/>
          <w:lang w:val="it-IT"/>
        </w:rPr>
        <w:t xml:space="preserve">à </w:t>
      </w:r>
      <w:r>
        <w:rPr>
          <w:rFonts w:ascii="Book Antiqua"/>
          <w:shd w:val="clear" w:color="auto" w:fill="ffffff"/>
          <w:rtl w:val="0"/>
          <w:lang w:val="it-IT"/>
        </w:rPr>
        <w:t xml:space="preserve">che viene destinata all'estero. A regime pieno </w:t>
      </w:r>
      <w:r>
        <w:rPr>
          <w:rFonts w:hAnsi="Book Antiqua" w:hint="default"/>
          <w:shd w:val="clear" w:color="auto" w:fill="ffffff"/>
          <w:rtl w:val="0"/>
          <w:lang w:val="it-IT"/>
        </w:rPr>
        <w:t xml:space="preserve">– </w:t>
      </w:r>
      <w:r>
        <w:rPr>
          <w:rFonts w:ascii="Book Antiqua"/>
          <w:shd w:val="clear" w:color="auto" w:fill="ffffff"/>
          <w:rtl w:val="0"/>
          <w:lang w:val="it-IT"/>
        </w:rPr>
        <w:t xml:space="preserve">ma nella nostra storia questo regime pieno deve ancora verificarsi in modo costante </w:t>
      </w:r>
      <w:r>
        <w:rPr>
          <w:rFonts w:hAnsi="Book Antiqua" w:hint="default"/>
          <w:shd w:val="clear" w:color="auto" w:fill="ffffff"/>
          <w:rtl w:val="0"/>
          <w:lang w:val="it-IT"/>
        </w:rPr>
        <w:t xml:space="preserve">– </w:t>
      </w:r>
      <w:r>
        <w:rPr>
          <w:rFonts w:ascii="Book Antiqua"/>
          <w:shd w:val="clear" w:color="auto" w:fill="ffffff"/>
          <w:rtl w:val="0"/>
          <w:lang w:val="it-IT"/>
        </w:rPr>
        <w:t>sarebbero dalle 700 alle 2.100 tonnellate a settimana</w:t>
      </w:r>
      <w:r>
        <w:rPr>
          <w:rFonts w:hAnsi="Book Antiqua" w:hint="default"/>
          <w:rtl w:val="0"/>
          <w:lang w:val="it-IT"/>
        </w:rPr>
        <w:t>“</w:t>
      </w:r>
      <w:r>
        <w:rPr>
          <w:rFonts w:ascii="Book Antiqua"/>
          <w:rtl w:val="0"/>
          <w:lang w:val="it-IT"/>
        </w:rPr>
        <w:t>.</w:t>
      </w:r>
    </w:p>
    <w:p>
      <w:pPr>
        <w:pStyle w:val="Normal"/>
        <w:widowControl w:val="0"/>
        <w:ind w:left="567" w:right="567" w:firstLine="0"/>
        <w:jc w:val="both"/>
        <w:rPr>
          <w:rFonts w:ascii="Book Antiqua" w:cs="Book Antiqua" w:hAnsi="Book Antiqua" w:eastAsia="Book Antiqua"/>
          <w:color w:val="262626"/>
          <w:u w:color="262626"/>
          <w:shd w:val="clear" w:color="auto" w:fill="ffff00"/>
        </w:rPr>
      </w:pPr>
      <w:r>
        <w:rPr>
          <w:rFonts w:ascii="Book Antiqua"/>
          <w:color w:val="262626"/>
          <w:u w:color="262626"/>
          <w:rtl w:val="0"/>
          <w:lang w:val="it-IT"/>
        </w:rPr>
        <w:t xml:space="preserve">Sul punto ha dichiarato Stefano Bina direttore generale di AMA S.p.A.: </w:t>
      </w:r>
      <w:r>
        <w:rPr>
          <w:rFonts w:hAnsi="Book Antiqua" w:hint="default"/>
          <w:color w:val="262626"/>
          <w:u w:color="262626"/>
          <w:rtl w:val="0"/>
          <w:lang w:val="it-IT"/>
        </w:rPr>
        <w:t>“</w:t>
      </w:r>
      <w:r>
        <w:rPr>
          <w:rFonts w:ascii="Book Antiqua"/>
          <w:color w:val="262626"/>
          <w:u w:color="262626"/>
          <w:rtl w:val="0"/>
          <w:lang w:val="it-IT"/>
        </w:rPr>
        <w:t>nel piano industriale c</w:t>
      </w:r>
      <w:r>
        <w:rPr>
          <w:rFonts w:hAnsi="Book Antiqua" w:hint="default"/>
          <w:color w:val="262626"/>
          <w:u w:color="262626"/>
          <w:rtl w:val="0"/>
          <w:lang w:val="it-IT"/>
        </w:rPr>
        <w:t xml:space="preserve">’è </w:t>
      </w:r>
      <w:r>
        <w:rPr>
          <w:rFonts w:ascii="Book Antiqua"/>
          <w:color w:val="262626"/>
          <w:u w:color="262626"/>
          <w:rtl w:val="0"/>
          <w:lang w:val="it-IT"/>
        </w:rPr>
        <w:t>una previsione per cui, non appena possibile, si far</w:t>
      </w:r>
      <w:r>
        <w:rPr>
          <w:rFonts w:hAnsi="Book Antiqua" w:hint="default"/>
          <w:color w:val="262626"/>
          <w:u w:color="262626"/>
          <w:rtl w:val="0"/>
          <w:lang w:val="it-IT"/>
        </w:rPr>
        <w:t xml:space="preserve">à </w:t>
      </w:r>
      <w:r>
        <w:rPr>
          <w:rFonts w:ascii="Book Antiqua"/>
          <w:color w:val="262626"/>
          <w:u w:color="262626"/>
          <w:rtl w:val="0"/>
          <w:lang w:val="it-IT"/>
        </w:rPr>
        <w:t>a meno del trasporto di rifiuti verso l</w:t>
      </w:r>
      <w:r>
        <w:rPr>
          <w:rFonts w:hAnsi="Book Antiqua" w:hint="default"/>
          <w:color w:val="262626"/>
          <w:u w:color="262626"/>
          <w:rtl w:val="0"/>
          <w:lang w:val="it-IT"/>
        </w:rPr>
        <w:t>’</w:t>
      </w:r>
      <w:r>
        <w:rPr>
          <w:rFonts w:ascii="Book Antiqua"/>
          <w:color w:val="262626"/>
          <w:u w:color="262626"/>
          <w:rtl w:val="0"/>
          <w:lang w:val="it-IT"/>
        </w:rPr>
        <w:t>estero. Prevediamo che nel 2018 questo fabbisogno venga meno e non debba pi</w:t>
      </w:r>
      <w:r>
        <w:rPr>
          <w:rFonts w:hAnsi="Book Antiqua" w:hint="default"/>
          <w:color w:val="262626"/>
          <w:u w:color="262626"/>
          <w:rtl w:val="0"/>
          <w:lang w:val="it-IT"/>
        </w:rPr>
        <w:t xml:space="preserve">ù </w:t>
      </w:r>
      <w:r>
        <w:rPr>
          <w:rFonts w:ascii="Book Antiqua"/>
          <w:color w:val="262626"/>
          <w:u w:color="262626"/>
          <w:rtl w:val="0"/>
          <w:lang w:val="it-IT"/>
        </w:rPr>
        <w:t>essere riprodotto, quindi, nel 2018 cesser</w:t>
      </w:r>
      <w:r>
        <w:rPr>
          <w:rFonts w:hAnsi="Book Antiqua" w:hint="default"/>
          <w:color w:val="262626"/>
          <w:u w:color="262626"/>
          <w:rtl w:val="0"/>
          <w:lang w:val="it-IT"/>
        </w:rPr>
        <w:t xml:space="preserve">à </w:t>
      </w:r>
      <w:r>
        <w:rPr>
          <w:rFonts w:ascii="Book Antiqua"/>
          <w:color w:val="262626"/>
          <w:u w:color="262626"/>
          <w:rtl w:val="0"/>
          <w:lang w:val="it-IT"/>
        </w:rPr>
        <w:t>il trasporto di rifiuti verso l</w:t>
      </w:r>
      <w:r>
        <w:rPr>
          <w:rFonts w:hAnsi="Book Antiqua" w:hint="default"/>
          <w:color w:val="262626"/>
          <w:u w:color="262626"/>
          <w:rtl w:val="0"/>
          <w:lang w:val="it-IT"/>
        </w:rPr>
        <w:t>’</w:t>
      </w:r>
      <w:r>
        <w:rPr>
          <w:rFonts w:ascii="Book Antiqua"/>
          <w:color w:val="262626"/>
          <w:u w:color="262626"/>
          <w:rtl w:val="0"/>
          <w:lang w:val="it-IT"/>
        </w:rPr>
        <w:t>estero ed entro il 2019 cesser</w:t>
      </w:r>
      <w:r>
        <w:rPr>
          <w:rFonts w:hAnsi="Book Antiqua" w:hint="default"/>
          <w:color w:val="262626"/>
          <w:u w:color="262626"/>
          <w:rtl w:val="0"/>
          <w:lang w:val="it-IT"/>
        </w:rPr>
        <w:t xml:space="preserve">à </w:t>
      </w:r>
      <w:r>
        <w:rPr>
          <w:rFonts w:ascii="Book Antiqua"/>
          <w:color w:val="262626"/>
          <w:u w:color="262626"/>
          <w:rtl w:val="0"/>
          <w:lang w:val="it-IT"/>
        </w:rPr>
        <w:t>l</w:t>
      </w:r>
      <w:r>
        <w:rPr>
          <w:rFonts w:hAnsi="Book Antiqua" w:hint="default"/>
          <w:color w:val="262626"/>
          <w:u w:color="262626"/>
          <w:rtl w:val="0"/>
          <w:lang w:val="it-IT"/>
        </w:rPr>
        <w:t>’</w:t>
      </w:r>
      <w:r>
        <w:rPr>
          <w:rFonts w:ascii="Book Antiqua"/>
          <w:color w:val="262626"/>
          <w:u w:color="262626"/>
          <w:rtl w:val="0"/>
          <w:lang w:val="it-IT"/>
        </w:rPr>
        <w:t>utilizzo dell</w:t>
      </w:r>
      <w:r>
        <w:rPr>
          <w:rFonts w:hAnsi="Book Antiqua" w:hint="default"/>
          <w:color w:val="262626"/>
          <w:u w:color="262626"/>
          <w:rtl w:val="0"/>
          <w:lang w:val="it-IT"/>
        </w:rPr>
        <w:t>’</w:t>
      </w:r>
      <w:r>
        <w:rPr>
          <w:rFonts w:ascii="Book Antiqua"/>
          <w:color w:val="262626"/>
          <w:u w:color="262626"/>
          <w:rtl w:val="0"/>
          <w:lang w:val="it-IT"/>
        </w:rPr>
        <w:t>impianto Salario come impianto di trattamento rifiuti.</w:t>
      </w:r>
      <w:r>
        <w:rPr>
          <w:rFonts w:hAnsi="Book Antiqua" w:hint="default"/>
          <w:color w:val="262626"/>
          <w:u w:color="262626"/>
          <w:rtl w:val="0"/>
          <w:lang w:val="it-IT"/>
        </w:rPr>
        <w:t>”</w:t>
      </w:r>
    </w:p>
    <w:p>
      <w:pPr>
        <w:pStyle w:val="Normal"/>
        <w:widowControl w:val="0"/>
        <w:ind w:left="567" w:right="567" w:firstLine="0"/>
        <w:jc w:val="both"/>
        <w:rPr>
          <w:rFonts w:ascii="Book Antiqua" w:cs="Book Antiqua" w:hAnsi="Book Antiqua" w:eastAsia="Book Antiqua"/>
          <w:color w:val="262626"/>
          <w:u w:color="163291"/>
        </w:rPr>
      </w:pPr>
      <w:r>
        <w:rPr>
          <w:rFonts w:ascii="Book Antiqua"/>
          <w:rtl w:val="0"/>
          <w:lang w:val="it-IT"/>
        </w:rPr>
        <w:t>Sull</w:t>
      </w:r>
      <w:r>
        <w:rPr>
          <w:rFonts w:hAnsi="Book Antiqua" w:hint="default"/>
          <w:rtl w:val="0"/>
          <w:lang w:val="it-IT"/>
        </w:rPr>
        <w:t>’</w:t>
      </w:r>
      <w:r>
        <w:rPr>
          <w:rFonts w:ascii="Book Antiqua"/>
          <w:rtl w:val="0"/>
          <w:lang w:val="it-IT"/>
        </w:rPr>
        <w:t xml:space="preserve">impiantistica il direttore generale Stefano Bina a domande specifiche della Commissione in merito alla localizzazione degli impianti per il trattamento dei rifiuti organici per la selezione della raccolta multimateriale ha fornito dati temporalmente precisi: </w:t>
      </w:r>
      <w:r>
        <w:rPr>
          <w:rFonts w:hAnsi="Book Antiqua" w:hint="default"/>
          <w:rtl w:val="0"/>
          <w:lang w:val="it-IT"/>
        </w:rPr>
        <w:t>“</w:t>
      </w:r>
      <w:r>
        <w:rPr>
          <w:rFonts w:ascii="Book Antiqua"/>
          <w:rtl w:val="0"/>
          <w:lang w:val="it-IT"/>
        </w:rPr>
        <w:t>i</w:t>
      </w:r>
      <w:r>
        <w:rPr>
          <w:rFonts w:ascii="Book Antiqua"/>
          <w:color w:val="262626"/>
          <w:u w:color="262626"/>
          <w:rtl w:val="0"/>
          <w:lang w:val="it-IT"/>
        </w:rPr>
        <w:t xml:space="preserve">n merito alle localizzazioni, il percorso </w:t>
      </w:r>
      <w:r>
        <w:rPr>
          <w:rFonts w:hAnsi="Book Antiqua" w:hint="default"/>
          <w:color w:val="262626"/>
          <w:u w:color="262626"/>
          <w:rtl w:val="0"/>
          <w:lang w:val="it-IT"/>
        </w:rPr>
        <w:t xml:space="preserve">è </w:t>
      </w:r>
      <w:r>
        <w:rPr>
          <w:rFonts w:ascii="Book Antiqua"/>
          <w:color w:val="262626"/>
          <w:u w:color="262626"/>
          <w:rtl w:val="0"/>
          <w:lang w:val="it-IT"/>
        </w:rPr>
        <w:t>molto avanzato e non c'</w:t>
      </w:r>
      <w:r>
        <w:rPr>
          <w:rFonts w:hAnsi="Book Antiqua" w:hint="default"/>
          <w:color w:val="262626"/>
          <w:u w:color="262626"/>
          <w:rtl w:val="0"/>
          <w:lang w:val="it-IT"/>
        </w:rPr>
        <w:t xml:space="preserve">è </w:t>
      </w:r>
      <w:r>
        <w:rPr>
          <w:rFonts w:ascii="Book Antiqua"/>
          <w:color w:val="262626"/>
          <w:u w:color="262626"/>
          <w:rtl w:val="0"/>
          <w:lang w:val="it-IT"/>
        </w:rPr>
        <w:t>ancora una posizione definitiva, ma siamo molto vicini alla definizione delle posizioni migliori [</w:t>
      </w:r>
      <w:r>
        <w:rPr>
          <w:rFonts w:hAnsi="Book Antiqua" w:hint="default"/>
          <w:color w:val="262626"/>
          <w:u w:color="262626"/>
          <w:rtl w:val="0"/>
          <w:lang w:val="it-IT"/>
        </w:rPr>
        <w:t>…</w:t>
      </w:r>
      <w:r>
        <w:rPr>
          <w:rFonts w:ascii="Book Antiqua"/>
          <w:color w:val="262626"/>
          <w:u w:color="262626"/>
          <w:rtl w:val="0"/>
          <w:lang w:val="it-IT"/>
        </w:rPr>
        <w:t xml:space="preserve">] </w:t>
      </w:r>
      <w:r>
        <w:rPr>
          <w:rFonts w:ascii="Book Antiqua"/>
          <w:color w:val="262626"/>
          <w:u w:color="163291"/>
          <w:rtl w:val="0"/>
          <w:lang w:val="it-IT"/>
        </w:rPr>
        <w:t>sicuramente entro il mese di luglio</w:t>
      </w:r>
      <w:r>
        <w:rPr>
          <w:rFonts w:hAnsi="Book Antiqua" w:hint="default"/>
          <w:color w:val="262626"/>
          <w:u w:color="163291"/>
          <w:rtl w:val="0"/>
          <w:lang w:val="it-IT"/>
        </w:rPr>
        <w:t>”</w:t>
      </w:r>
      <w:r>
        <w:rPr>
          <w:rFonts w:ascii="Book Antiqua"/>
          <w:color w:val="262626"/>
          <w:u w:color="163291"/>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 xml:space="preserve">Un elemento significativo offerto alla valutazione da parte del nuovo presidente e amministratore delegato di AMA </w:t>
      </w:r>
      <w:r>
        <w:rPr>
          <w:rFonts w:hAnsi="Book Antiqua" w:hint="default"/>
          <w:rtl w:val="0"/>
          <w:lang w:val="it-IT"/>
        </w:rPr>
        <w:t xml:space="preserve">è </w:t>
      </w:r>
      <w:r>
        <w:rPr>
          <w:rFonts w:ascii="Book Antiqua"/>
          <w:rtl w:val="0"/>
          <w:lang w:val="it-IT"/>
        </w:rPr>
        <w:t>la presenza percentuale di frazioni recuperabili all</w:t>
      </w:r>
      <w:r>
        <w:rPr>
          <w:rFonts w:hAnsi="Book Antiqua" w:hint="default"/>
          <w:rtl w:val="0"/>
          <w:lang w:val="it-IT"/>
        </w:rPr>
        <w:t>’</w:t>
      </w:r>
      <w:r>
        <w:rPr>
          <w:rFonts w:ascii="Book Antiqua"/>
          <w:rtl w:val="0"/>
          <w:lang w:val="it-IT"/>
        </w:rPr>
        <w:t>interno dei rifiuti indifferenziati: 28,1 per cento di carta e cartone; 19 per cento di plastica; 15,9 per cento di organico; pi</w:t>
      </w:r>
      <w:r>
        <w:rPr>
          <w:rFonts w:hAnsi="Book Antiqua" w:hint="default"/>
          <w:rtl w:val="0"/>
          <w:lang w:val="it-IT"/>
        </w:rPr>
        <w:t xml:space="preserve">ù </w:t>
      </w:r>
      <w:r>
        <w:rPr>
          <w:rFonts w:ascii="Book Antiqua"/>
          <w:rtl w:val="0"/>
          <w:lang w:val="it-IT"/>
        </w:rPr>
        <w:t>altre frazioni, per un totale dichiarato dal presidente di AMA del 74 per cento di materiale differenziabile.</w:t>
      </w:r>
    </w:p>
    <w:p>
      <w:pPr>
        <w:pStyle w:val="Normal"/>
        <w:ind w:left="567" w:right="567" w:firstLine="0"/>
        <w:jc w:val="both"/>
        <w:rPr>
          <w:rFonts w:ascii="Book Antiqua" w:cs="Book Antiqua" w:hAnsi="Book Antiqua" w:eastAsia="Book Antiqua"/>
        </w:rPr>
      </w:pPr>
      <w:r>
        <w:rPr>
          <w:rFonts w:ascii="Book Antiqua"/>
          <w:rtl w:val="0"/>
          <w:lang w:val="it-IT"/>
        </w:rPr>
        <w:t>Da questa situazione viene fatta derivare l</w:t>
      </w:r>
      <w:r>
        <w:rPr>
          <w:rFonts w:hAnsi="Book Antiqua" w:hint="default"/>
          <w:rtl w:val="0"/>
          <w:lang w:val="it-IT"/>
        </w:rPr>
        <w:t>’</w:t>
      </w:r>
      <w:r>
        <w:rPr>
          <w:rFonts w:ascii="Book Antiqua"/>
          <w:rtl w:val="0"/>
          <w:lang w:val="it-IT"/>
        </w:rPr>
        <w:t>azione pi</w:t>
      </w:r>
      <w:r>
        <w:rPr>
          <w:rFonts w:hAnsi="Book Antiqua" w:hint="default"/>
          <w:rtl w:val="0"/>
          <w:lang w:val="it-IT"/>
        </w:rPr>
        <w:t xml:space="preserve">ù </w:t>
      </w:r>
      <w:r>
        <w:rPr>
          <w:rFonts w:ascii="Book Antiqua"/>
          <w:rtl w:val="0"/>
          <w:lang w:val="it-IT"/>
        </w:rPr>
        <w:t xml:space="preserve">immediata da porre in essere nella gestione del ciclo dei rifiuti per prevenire le incombenti emergenze: </w:t>
      </w:r>
      <w:r>
        <w:rPr>
          <w:rFonts w:hAnsi="Book Antiqua" w:hint="default"/>
          <w:rtl w:val="0"/>
          <w:lang w:val="it-IT"/>
        </w:rPr>
        <w:t>“</w:t>
      </w:r>
      <w:r>
        <w:rPr>
          <w:rFonts w:ascii="Book Antiqua"/>
          <w:rtl w:val="0"/>
          <w:lang w:val="it-IT"/>
        </w:rPr>
        <w:t>del nostro rifiuto indifferenziato attuale, quello che va ai nostri impianti, che giudichiamo appena sufficienti ma nei quali, appena capita qualcosa, abbiamo una criticit</w:t>
      </w:r>
      <w:r>
        <w:rPr>
          <w:rFonts w:hAnsi="Book Antiqua" w:hint="default"/>
          <w:rtl w:val="0"/>
          <w:lang w:val="it-IT"/>
        </w:rPr>
        <w:t xml:space="preserve">à </w:t>
      </w:r>
      <w:r>
        <w:rPr>
          <w:rFonts w:ascii="Book Antiqua"/>
          <w:rtl w:val="0"/>
          <w:lang w:val="it-IT"/>
        </w:rPr>
        <w:t>immediata che si ripercuote, c</w:t>
      </w:r>
      <w:r>
        <w:rPr>
          <w:rFonts w:hAnsi="Book Antiqua" w:hint="default"/>
          <w:rtl w:val="0"/>
          <w:lang w:val="it-IT"/>
        </w:rPr>
        <w:t xml:space="preserve">’è </w:t>
      </w:r>
      <w:r>
        <w:rPr>
          <w:rFonts w:ascii="Book Antiqua"/>
          <w:rtl w:val="0"/>
          <w:lang w:val="it-IT"/>
        </w:rPr>
        <w:t>il 74 per cento di materiale differenziabile. Visto che abbiamo detto inizialmente che dobbiamo dare una risposta di brevissimo periodo per creare una situazione di normalit</w:t>
      </w:r>
      <w:r>
        <w:rPr>
          <w:rFonts w:hAnsi="Book Antiqua" w:hint="default"/>
          <w:rtl w:val="0"/>
          <w:lang w:val="it-IT"/>
        </w:rPr>
        <w:t>à</w:t>
      </w:r>
      <w:r>
        <w:rPr>
          <w:rFonts w:ascii="Book Antiqua"/>
          <w:rtl w:val="0"/>
          <w:lang w:val="it-IT"/>
        </w:rPr>
        <w:t>, per poi ragionare sulla solidit</w:t>
      </w:r>
      <w:r>
        <w:rPr>
          <w:rFonts w:hAnsi="Book Antiqua" w:hint="default"/>
          <w:rtl w:val="0"/>
          <w:lang w:val="it-IT"/>
        </w:rPr>
        <w:t xml:space="preserve">à </w:t>
      </w:r>
      <w:r>
        <w:rPr>
          <w:rFonts w:ascii="Book Antiqua"/>
          <w:rtl w:val="0"/>
          <w:lang w:val="it-IT"/>
        </w:rPr>
        <w:t xml:space="preserve">industriale di medio periodo, </w:t>
      </w:r>
      <w:r>
        <w:rPr>
          <w:rFonts w:hAnsi="Book Antiqua" w:hint="default"/>
          <w:rtl w:val="0"/>
          <w:lang w:val="it-IT"/>
        </w:rPr>
        <w:t xml:space="preserve">è </w:t>
      </w:r>
      <w:r>
        <w:rPr>
          <w:rFonts w:ascii="Book Antiqua"/>
          <w:rtl w:val="0"/>
          <w:lang w:val="it-IT"/>
        </w:rPr>
        <w:t>evidente che le risposte rispetto a queste analisi stanno a dire che noi, qui a Roma, abbiamo il dovere di progettare dei sistemi di raccolta differenziata capaci e efficaci, che funzionino con delle regole precise e che l'azienda deve rispettare nelle modalit</w:t>
      </w:r>
      <w:r>
        <w:rPr>
          <w:rFonts w:hAnsi="Book Antiqua" w:hint="default"/>
          <w:rtl w:val="0"/>
          <w:lang w:val="it-IT"/>
        </w:rPr>
        <w:t xml:space="preserve">à </w:t>
      </w:r>
      <w:r>
        <w:rPr>
          <w:rFonts w:ascii="Book Antiqua"/>
          <w:rtl w:val="0"/>
          <w:lang w:val="it-IT"/>
        </w:rPr>
        <w:t>di ritiro dei materiali, ma che anche i cittadini e le utenze non domestiche devono rispettare nei conferimenti. Si potrebbe cos</w:t>
      </w:r>
      <w:r>
        <w:rPr>
          <w:rFonts w:hAnsi="Book Antiqua" w:hint="default"/>
          <w:rtl w:val="0"/>
          <w:lang w:val="it-IT"/>
        </w:rPr>
        <w:t xml:space="preserve">ì </w:t>
      </w:r>
      <w:r>
        <w:rPr>
          <w:rFonts w:ascii="Book Antiqua"/>
          <w:rtl w:val="0"/>
          <w:lang w:val="it-IT"/>
        </w:rPr>
        <w:t xml:space="preserve">creare un sistema normale di conferimento e di raccolta che consenta a noi di intercettare queste frazioni. Questa </w:t>
      </w:r>
      <w:r>
        <w:rPr>
          <w:rFonts w:hAnsi="Book Antiqua" w:hint="default"/>
          <w:rtl w:val="0"/>
          <w:lang w:val="it-IT"/>
        </w:rPr>
        <w:t xml:space="preserve">è </w:t>
      </w:r>
      <w:r>
        <w:rPr>
          <w:rFonts w:ascii="Book Antiqua"/>
          <w:rtl w:val="0"/>
          <w:lang w:val="it-IT"/>
        </w:rPr>
        <w:t>l'azione pi</w:t>
      </w:r>
      <w:r>
        <w:rPr>
          <w:rFonts w:hAnsi="Book Antiqua" w:hint="default"/>
          <w:rtl w:val="0"/>
          <w:lang w:val="it-IT"/>
        </w:rPr>
        <w:t xml:space="preserve">ù </w:t>
      </w:r>
      <w:r>
        <w:rPr>
          <w:rFonts w:ascii="Book Antiqua"/>
          <w:rtl w:val="0"/>
          <w:lang w:val="it-IT"/>
        </w:rPr>
        <w:t>immediata possibile che si pu</w:t>
      </w:r>
      <w:r>
        <w:rPr>
          <w:rFonts w:hAnsi="Book Antiqua" w:hint="default"/>
          <w:rtl w:val="0"/>
          <w:lang w:val="it-IT"/>
        </w:rPr>
        <w:t xml:space="preserve">ò </w:t>
      </w:r>
      <w:r>
        <w:rPr>
          <w:rFonts w:ascii="Book Antiqua"/>
          <w:rtl w:val="0"/>
          <w:lang w:val="it-IT"/>
        </w:rPr>
        <w:t>fare</w:t>
      </w:r>
      <w:r>
        <w:rPr>
          <w:rFonts w:hAnsi="Book Antiqua" w:hint="default"/>
          <w:rtl w:val="0"/>
          <w:lang w:val="it-IT"/>
        </w:rPr>
        <w:t>”</w:t>
      </w:r>
      <w:r>
        <w:rPr>
          <w:rFonts w:ascii="Book Antiqua"/>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In sintesi il presidente di AMA individua come obiettivo finale il governo dei flussi all</w:t>
      </w:r>
      <w:r>
        <w:rPr>
          <w:rFonts w:hAnsi="Book Antiqua" w:hint="default"/>
          <w:rtl w:val="0"/>
          <w:lang w:val="it-IT"/>
        </w:rPr>
        <w:t>’</w:t>
      </w:r>
      <w:r>
        <w:rPr>
          <w:rFonts w:ascii="Book Antiqua"/>
          <w:rtl w:val="0"/>
          <w:lang w:val="it-IT"/>
        </w:rPr>
        <w:t>interno dell</w:t>
      </w:r>
      <w:r>
        <w:rPr>
          <w:rFonts w:hAnsi="Book Antiqua" w:hint="default"/>
          <w:rtl w:val="0"/>
          <w:lang w:val="it-IT"/>
        </w:rPr>
        <w:t>’</w:t>
      </w:r>
      <w:r>
        <w:rPr>
          <w:rFonts w:ascii="Book Antiqua"/>
          <w:rtl w:val="0"/>
          <w:lang w:val="it-IT"/>
        </w:rPr>
        <w:t>azienda, senza necessit</w:t>
      </w:r>
      <w:r>
        <w:rPr>
          <w:rFonts w:hAnsi="Book Antiqua" w:hint="default"/>
          <w:rtl w:val="0"/>
          <w:lang w:val="it-IT"/>
        </w:rPr>
        <w:t xml:space="preserve">à </w:t>
      </w:r>
      <w:r>
        <w:rPr>
          <w:rFonts w:ascii="Book Antiqua"/>
          <w:rtl w:val="0"/>
          <w:lang w:val="it-IT"/>
        </w:rPr>
        <w:t xml:space="preserve">di impiantistica esterna; una gestione dei rifiuti di Roma a Roma, </w:t>
      </w:r>
      <w:r>
        <w:rPr>
          <w:rFonts w:hAnsi="Book Antiqua" w:hint="default"/>
          <w:rtl w:val="0"/>
          <w:lang w:val="it-IT"/>
        </w:rPr>
        <w:t>“</w:t>
      </w:r>
      <w:r>
        <w:rPr>
          <w:rFonts w:ascii="Book Antiqua"/>
          <w:rtl w:val="0"/>
          <w:lang w:val="it-IT"/>
        </w:rPr>
        <w:t>in modo consapevole, responsabile e totalitario</w:t>
      </w:r>
      <w:r>
        <w:rPr>
          <w:rFonts w:hAnsi="Book Antiqua" w:hint="default"/>
          <w:rtl w:val="0"/>
          <w:lang w:val="it-IT"/>
        </w:rPr>
        <w:t>”</w:t>
      </w:r>
      <w:r>
        <w:rPr>
          <w:rFonts w:ascii="Book Antiqua"/>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La Commissione ha peraltro fatto notare al nuovo presidente di AMA S.p.A. che il suo predecessore, Antonella Giglio - durata in carica dal novembre 2016 al maggio 2017</w:t>
      </w:r>
      <w:r>
        <w:rPr>
          <w:rFonts w:ascii="Book Antiqua" w:cs="Book Antiqua" w:hAnsi="Book Antiqua" w:eastAsia="Book Antiqua"/>
          <w:vertAlign w:val="superscript"/>
          <w:rtl w:val="0"/>
        </w:rPr>
        <w:footnoteReference w:id="144"/>
      </w:r>
      <w:r>
        <w:rPr>
          <w:rFonts w:hAnsi="Book Antiqua" w:hint="default"/>
          <w:rtl w:val="0"/>
          <w:lang w:val="it-IT"/>
        </w:rPr>
        <w:t xml:space="preserve"> – </w:t>
      </w:r>
      <w:r>
        <w:rPr>
          <w:rFonts w:ascii="Book Antiqua"/>
          <w:rtl w:val="0"/>
          <w:lang w:val="it-IT"/>
        </w:rPr>
        <w:t>aveva approvato un piano in cui l'autonomia industriale cio</w:t>
      </w:r>
      <w:r>
        <w:rPr>
          <w:rFonts w:hAnsi="Book Antiqua" w:hint="default"/>
          <w:rtl w:val="0"/>
          <w:lang w:val="it-IT"/>
        </w:rPr>
        <w:t xml:space="preserve">è </w:t>
      </w:r>
      <w:r>
        <w:rPr>
          <w:rFonts w:ascii="Book Antiqua"/>
          <w:rtl w:val="0"/>
          <w:lang w:val="it-IT"/>
        </w:rPr>
        <w:t>la capacit</w:t>
      </w:r>
      <w:r>
        <w:rPr>
          <w:rFonts w:hAnsi="Book Antiqua" w:hint="default"/>
          <w:rtl w:val="0"/>
          <w:lang w:val="it-IT"/>
        </w:rPr>
        <w:t xml:space="preserve">à </w:t>
      </w:r>
      <w:r>
        <w:rPr>
          <w:rFonts w:ascii="Book Antiqua"/>
          <w:rtl w:val="0"/>
          <w:lang w:val="it-IT"/>
        </w:rPr>
        <w:t>di chiusura del ciclo dei rifiuti da parte di AMA passava dal 20 al 29 per cento (mentre nel piano della precedente gestione era prevista una spinta per arrivare sino all'80 per cento): Lorenzo Bacagnani ha cos</w:t>
      </w:r>
      <w:r>
        <w:rPr>
          <w:rFonts w:hAnsi="Book Antiqua" w:hint="default"/>
          <w:rtl w:val="0"/>
          <w:lang w:val="it-IT"/>
        </w:rPr>
        <w:t xml:space="preserve">ì </w:t>
      </w:r>
      <w:r>
        <w:rPr>
          <w:rFonts w:ascii="Book Antiqua"/>
          <w:rtl w:val="0"/>
          <w:lang w:val="it-IT"/>
        </w:rPr>
        <w:t xml:space="preserve">risposto: </w:t>
      </w:r>
      <w:r>
        <w:rPr>
          <w:rFonts w:hAnsi="Book Antiqua" w:hint="default"/>
          <w:rtl w:val="0"/>
          <w:lang w:val="it-IT"/>
        </w:rPr>
        <w:t>“</w:t>
      </w:r>
      <w:r>
        <w:rPr>
          <w:rFonts w:ascii="Book Antiqua"/>
          <w:rtl w:val="0"/>
          <w:lang w:val="it-IT"/>
        </w:rPr>
        <w:t>Penso che sia un principio di responsabilit</w:t>
      </w:r>
      <w:r>
        <w:rPr>
          <w:rFonts w:hAnsi="Book Antiqua" w:hint="default"/>
          <w:rtl w:val="0"/>
          <w:lang w:val="it-IT"/>
        </w:rPr>
        <w:t xml:space="preserve">à </w:t>
      </w:r>
      <w:r>
        <w:rPr>
          <w:rFonts w:ascii="Book Antiqua"/>
          <w:rtl w:val="0"/>
          <w:lang w:val="it-IT"/>
        </w:rPr>
        <w:t>quello di gestire i flussi al meglio, con responsabilit</w:t>
      </w:r>
      <w:r>
        <w:rPr>
          <w:rFonts w:hAnsi="Book Antiqua" w:hint="default"/>
          <w:rtl w:val="0"/>
          <w:lang w:val="it-IT"/>
        </w:rPr>
        <w:t xml:space="preserve">à </w:t>
      </w:r>
      <w:r>
        <w:rPr>
          <w:rFonts w:ascii="Book Antiqua"/>
          <w:rtl w:val="0"/>
          <w:lang w:val="it-IT"/>
        </w:rPr>
        <w:t>a casa nostra; non dobbiamo, quindi, gravare su altri; c'</w:t>
      </w:r>
      <w:r>
        <w:rPr>
          <w:rFonts w:hAnsi="Book Antiqua" w:hint="default"/>
          <w:rtl w:val="0"/>
          <w:lang w:val="it-IT"/>
        </w:rPr>
        <w:t xml:space="preserve">è </w:t>
      </w:r>
      <w:r>
        <w:rPr>
          <w:rFonts w:ascii="Book Antiqua"/>
          <w:rtl w:val="0"/>
          <w:lang w:val="it-IT"/>
        </w:rPr>
        <w:t xml:space="preserve">poi da distinguere un periodo transitorio, che </w:t>
      </w:r>
      <w:r>
        <w:rPr>
          <w:rFonts w:hAnsi="Book Antiqua" w:hint="default"/>
          <w:rtl w:val="0"/>
          <w:lang w:val="it-IT"/>
        </w:rPr>
        <w:t xml:space="preserve">è </w:t>
      </w:r>
      <w:r>
        <w:rPr>
          <w:rFonts w:ascii="Book Antiqua"/>
          <w:rtl w:val="0"/>
          <w:lang w:val="it-IT"/>
        </w:rPr>
        <w:t>legittimo, da un periodo a regime definitivo. La mia ambizione (al momento la definisco tale ma, avendo il ruolo di presidente e amministratore delegato, ho anche gli strumenti per trasformare l'ambizione in una realt</w:t>
      </w:r>
      <w:r>
        <w:rPr>
          <w:rFonts w:hAnsi="Book Antiqua" w:hint="default"/>
          <w:rtl w:val="0"/>
          <w:lang w:val="it-IT"/>
        </w:rPr>
        <w:t>à</w:t>
      </w:r>
      <w:r>
        <w:rPr>
          <w:rFonts w:ascii="Book Antiqua"/>
          <w:rtl w:val="0"/>
          <w:lang w:val="it-IT"/>
        </w:rPr>
        <w:t xml:space="preserve">) </w:t>
      </w:r>
      <w:r>
        <w:rPr>
          <w:rFonts w:hAnsi="Book Antiqua" w:hint="default"/>
          <w:rtl w:val="0"/>
          <w:lang w:val="it-IT"/>
        </w:rPr>
        <w:t xml:space="preserve">è </w:t>
      </w:r>
      <w:r>
        <w:rPr>
          <w:rFonts w:ascii="Book Antiqua"/>
          <w:rtl w:val="0"/>
          <w:lang w:val="it-IT"/>
        </w:rPr>
        <w:t>quella di incrementare la capacit</w:t>
      </w:r>
      <w:r>
        <w:rPr>
          <w:rFonts w:hAnsi="Book Antiqua" w:hint="default"/>
          <w:rtl w:val="0"/>
          <w:lang w:val="it-IT"/>
        </w:rPr>
        <w:t xml:space="preserve">à </w:t>
      </w:r>
      <w:r>
        <w:rPr>
          <w:rFonts w:ascii="Book Antiqua"/>
          <w:rtl w:val="0"/>
          <w:lang w:val="it-IT"/>
        </w:rPr>
        <w:t>di trattamento dei nostri rifiuti oltre questo 29 per cento</w:t>
      </w:r>
      <w:r>
        <w:rPr>
          <w:rFonts w:hAnsi="Book Antiqua" w:hint="default"/>
          <w:rtl w:val="0"/>
          <w:lang w:val="it-IT"/>
        </w:rPr>
        <w:t>”</w:t>
      </w:r>
      <w:r>
        <w:rPr>
          <w:rFonts w:ascii="Book Antiqua"/>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In definitiva l</w:t>
      </w:r>
      <w:r>
        <w:rPr>
          <w:rFonts w:hAnsi="Book Antiqua" w:hint="default"/>
          <w:rtl w:val="0"/>
          <w:lang w:val="it-IT"/>
        </w:rPr>
        <w:t>’</w:t>
      </w:r>
      <w:r>
        <w:rPr>
          <w:rFonts w:ascii="Book Antiqua"/>
          <w:rtl w:val="0"/>
          <w:lang w:val="it-IT"/>
        </w:rPr>
        <w:t>orizzonte di restituzione a normalit</w:t>
      </w:r>
      <w:r>
        <w:rPr>
          <w:rFonts w:hAnsi="Book Antiqua" w:hint="default"/>
          <w:rtl w:val="0"/>
          <w:lang w:val="it-IT"/>
        </w:rPr>
        <w:t xml:space="preserve">à </w:t>
      </w:r>
      <w:r>
        <w:rPr>
          <w:rFonts w:ascii="Book Antiqua"/>
          <w:rtl w:val="0"/>
          <w:lang w:val="it-IT"/>
        </w:rPr>
        <w:t xml:space="preserve">del ciclo dei rifiuti di Roma Capitale </w:t>
      </w:r>
      <w:r>
        <w:rPr>
          <w:rFonts w:hAnsi="Book Antiqua" w:hint="default"/>
          <w:rtl w:val="0"/>
          <w:lang w:val="it-IT"/>
        </w:rPr>
        <w:t xml:space="preserve">è </w:t>
      </w:r>
      <w:r>
        <w:rPr>
          <w:rFonts w:ascii="Book Antiqua"/>
          <w:rtl w:val="0"/>
          <w:lang w:val="it-IT"/>
        </w:rPr>
        <w:t xml:space="preserve">collocata, dal presidente di AMA S.p.A., al 2021, ma condizionatamente al raggiungimento di obiettivi elevati di raccolta differenziata e di riorganizzazione aziendale: </w:t>
      </w:r>
    </w:p>
    <w:p>
      <w:pPr>
        <w:pStyle w:val="Normal"/>
        <w:ind w:left="567" w:right="567" w:firstLine="0"/>
        <w:jc w:val="both"/>
        <w:rPr>
          <w:rFonts w:ascii="Book Antiqua" w:cs="Book Antiqua" w:hAnsi="Book Antiqua" w:eastAsia="Book Antiqua"/>
        </w:rPr>
      </w:pPr>
      <w:r>
        <w:rPr>
          <w:rFonts w:hAnsi="Book Antiqua" w:hint="default"/>
          <w:rtl w:val="0"/>
          <w:lang w:val="it-IT"/>
        </w:rPr>
        <w:t>“</w:t>
      </w:r>
      <w:r>
        <w:rPr>
          <w:rFonts w:ascii="Book Antiqua"/>
          <w:rtl w:val="0"/>
          <w:lang w:val="it-IT"/>
        </w:rPr>
        <w:t>abbiamo un'AMA che nel 2021 ha un quantitativo di rifiuti complessivi da trattare di 1 milione e 500.000 tonnellate, anzich</w:t>
      </w:r>
      <w:r>
        <w:rPr>
          <w:rFonts w:hAnsi="Book Antiqua" w:hint="default"/>
          <w:rtl w:val="0"/>
          <w:lang w:val="it-IT"/>
        </w:rPr>
        <w:t xml:space="preserve">é </w:t>
      </w:r>
      <w:r>
        <w:rPr>
          <w:rFonts w:ascii="Book Antiqua"/>
          <w:rtl w:val="0"/>
          <w:lang w:val="it-IT"/>
        </w:rPr>
        <w:t>1 milione e 691.000; avremo una raccolta differenziata che, per ragioni industrialmente sostenibili, che ho spiegato, dal 43 per cento raggiunger</w:t>
      </w:r>
      <w:r>
        <w:rPr>
          <w:rFonts w:hAnsi="Book Antiqua" w:hint="default"/>
          <w:rtl w:val="0"/>
          <w:lang w:val="it-IT"/>
        </w:rPr>
        <w:t xml:space="preserve">à </w:t>
      </w:r>
      <w:r>
        <w:rPr>
          <w:rFonts w:ascii="Book Antiqua"/>
          <w:rtl w:val="0"/>
          <w:lang w:val="it-IT"/>
        </w:rPr>
        <w:t>il 70 per cento; avremo un'AMA che, con l'organizzazione dei municipi e tutto quello che ho descritto, avr</w:t>
      </w:r>
      <w:r>
        <w:rPr>
          <w:rFonts w:hAnsi="Book Antiqua" w:hint="default"/>
          <w:rtl w:val="0"/>
          <w:lang w:val="it-IT"/>
        </w:rPr>
        <w:t xml:space="preserve">à </w:t>
      </w:r>
      <w:r>
        <w:rPr>
          <w:rFonts w:ascii="Book Antiqua"/>
          <w:rtl w:val="0"/>
          <w:lang w:val="it-IT"/>
        </w:rPr>
        <w:t>la capacit</w:t>
      </w:r>
      <w:r>
        <w:rPr>
          <w:rFonts w:hAnsi="Book Antiqua" w:hint="default"/>
          <w:rtl w:val="0"/>
          <w:lang w:val="it-IT"/>
        </w:rPr>
        <w:t xml:space="preserve">à </w:t>
      </w:r>
      <w:r>
        <w:rPr>
          <w:rFonts w:ascii="Book Antiqua"/>
          <w:rtl w:val="0"/>
          <w:lang w:val="it-IT"/>
        </w:rPr>
        <w:t>di regolarit</w:t>
      </w:r>
      <w:r>
        <w:rPr>
          <w:rFonts w:hAnsi="Book Antiqua" w:hint="default"/>
          <w:rtl w:val="0"/>
          <w:lang w:val="it-IT"/>
        </w:rPr>
        <w:t xml:space="preserve">à </w:t>
      </w:r>
      <w:r>
        <w:rPr>
          <w:rFonts w:ascii="Book Antiqua"/>
          <w:rtl w:val="0"/>
          <w:lang w:val="it-IT"/>
        </w:rPr>
        <w:t>nel servizio (cosa che viene evidenziata e quindi daremo questo tipo di risposta); avremo un contratto di servizio pi</w:t>
      </w:r>
      <w:r>
        <w:rPr>
          <w:rFonts w:hAnsi="Book Antiqua" w:hint="default"/>
          <w:rtl w:val="0"/>
          <w:lang w:val="it-IT"/>
        </w:rPr>
        <w:t xml:space="preserve">ù </w:t>
      </w:r>
      <w:r>
        <w:rPr>
          <w:rFonts w:ascii="Book Antiqua"/>
          <w:rtl w:val="0"/>
          <w:lang w:val="it-IT"/>
        </w:rPr>
        <w:t>efficiente perch</w:t>
      </w:r>
      <w:r>
        <w:rPr>
          <w:rFonts w:hAnsi="Book Antiqua" w:hint="default"/>
          <w:rtl w:val="0"/>
          <w:lang w:val="it-IT"/>
        </w:rPr>
        <w:t xml:space="preserve">é </w:t>
      </w:r>
      <w:r>
        <w:rPr>
          <w:rFonts w:ascii="Book Antiqua"/>
          <w:rtl w:val="0"/>
          <w:lang w:val="it-IT"/>
        </w:rPr>
        <w:t xml:space="preserve">renderemo servizi migliori ricavando meno (questo </w:t>
      </w:r>
      <w:r>
        <w:rPr>
          <w:rFonts w:hAnsi="Book Antiqua" w:hint="default"/>
          <w:rtl w:val="0"/>
          <w:lang w:val="it-IT"/>
        </w:rPr>
        <w:t xml:space="preserve">è </w:t>
      </w:r>
      <w:r>
        <w:rPr>
          <w:rFonts w:ascii="Book Antiqua"/>
          <w:rtl w:val="0"/>
          <w:lang w:val="it-IT"/>
        </w:rPr>
        <w:t>l'obiettivo); avremo comunque un indebitamento finanziario drasticamente ridotto, trovando anche le risorse, grazie al nostro efficientamento, per cui da 503 milioni passeremo a 270 milioni di euro</w:t>
      </w:r>
      <w:r>
        <w:rPr>
          <w:rFonts w:hAnsi="Book Antiqua" w:hint="default"/>
          <w:rtl w:val="0"/>
          <w:lang w:val="it-IT"/>
        </w:rPr>
        <w:t>”</w:t>
      </w:r>
      <w:r>
        <w:rPr>
          <w:rFonts w:ascii="Book Antiqua"/>
          <w:rtl w:val="0"/>
          <w:lang w:val="it-IT"/>
        </w:rPr>
        <w:t>.</w:t>
      </w:r>
    </w:p>
    <w:p>
      <w:pPr>
        <w:pStyle w:val="Normal"/>
        <w:ind w:left="567" w:right="567" w:firstLine="0"/>
        <w:jc w:val="both"/>
        <w:rPr>
          <w:rFonts w:ascii="Book Antiqua" w:cs="Book Antiqua" w:hAnsi="Book Antiqua" w:eastAsia="Book Antiqua"/>
          <w:shd w:val="clear" w:color="auto" w:fill="ffffff"/>
        </w:rPr>
      </w:pPr>
      <w:r>
        <w:rPr>
          <w:rFonts w:ascii="Book Antiqua"/>
          <w:shd w:val="clear" w:color="auto" w:fill="ffffff"/>
          <w:rtl w:val="0"/>
          <w:lang w:val="it-IT"/>
        </w:rPr>
        <w:t>L</w:t>
      </w:r>
      <w:r>
        <w:rPr>
          <w:rFonts w:hAnsi="Book Antiqua" w:hint="default"/>
          <w:shd w:val="clear" w:color="auto" w:fill="ffffff"/>
          <w:rtl w:val="0"/>
          <w:lang w:val="it-IT"/>
        </w:rPr>
        <w:t>’</w:t>
      </w:r>
      <w:r>
        <w:rPr>
          <w:rFonts w:ascii="Book Antiqua"/>
          <w:shd w:val="clear" w:color="auto" w:fill="ffffff"/>
          <w:rtl w:val="0"/>
          <w:lang w:val="it-IT"/>
        </w:rPr>
        <w:t>analisi del piano industriale di AMA per questi profili segnala dunque come dato essenziale questo incremento della capacit</w:t>
      </w:r>
      <w:r>
        <w:rPr>
          <w:rFonts w:hAnsi="Book Antiqua" w:hint="default"/>
          <w:shd w:val="clear" w:color="auto" w:fill="ffffff"/>
          <w:rtl w:val="0"/>
          <w:lang w:val="it-IT"/>
        </w:rPr>
        <w:t xml:space="preserve">à </w:t>
      </w:r>
      <w:r>
        <w:rPr>
          <w:rFonts w:ascii="Book Antiqua"/>
          <w:shd w:val="clear" w:color="auto" w:fill="ffffff"/>
          <w:rtl w:val="0"/>
          <w:lang w:val="it-IT"/>
        </w:rPr>
        <w:t>di trattamento diretto da parte di AMA del 9 per cento, nel giro di cinque anni, e dunque al 2021.</w:t>
      </w:r>
    </w:p>
    <w:p>
      <w:pPr>
        <w:pStyle w:val="Normal"/>
        <w:ind w:left="567" w:right="567" w:firstLine="0"/>
        <w:jc w:val="both"/>
        <w:rPr>
          <w:rFonts w:ascii="Book Antiqua" w:cs="Book Antiqua" w:hAnsi="Book Antiqua" w:eastAsia="Book Antiqua"/>
          <w:shd w:val="clear" w:color="auto" w:fill="ffffff"/>
        </w:rPr>
      </w:pPr>
      <w:r>
        <w:rPr>
          <w:rFonts w:ascii="Book Antiqua"/>
          <w:shd w:val="clear" w:color="auto" w:fill="ffffff"/>
          <w:rtl w:val="0"/>
          <w:lang w:val="it-IT"/>
        </w:rPr>
        <w:t>Di seguito vengono riportati i contenuti del piano industriale AMA rilevanti ad illustrare i temi affrontati nella presente relazione: si tratta, in particolare, delle tabella e grafici rinvenibili nel piano industriale AMA 4 maggio 2017, acquisito dalla Commissione come Doc. n. 2333/2, alle pagine 53; 50, 51, 52, 54, 91.</w:t>
      </w:r>
    </w:p>
    <w:p>
      <w:pPr>
        <w:pStyle w:val="Normal"/>
        <w:ind w:left="567" w:right="567" w:firstLine="0"/>
        <w:jc w:val="both"/>
        <w:rPr>
          <w:rFonts w:ascii="Book Antiqua Bold" w:cs="Book Antiqua Bold" w:hAnsi="Book Antiqua Bold" w:eastAsia="Book Antiqua Bold"/>
          <w:b w:val="1"/>
          <w:bCs w:val="1"/>
          <w:i w:val="1"/>
          <w:iCs w:val="1"/>
          <w:shd w:val="clear" w:color="auto" w:fill="ffffff"/>
        </w:rPr>
      </w:pPr>
      <w:r>
        <w:rPr>
          <w:rFonts w:ascii="Book Antiqua"/>
          <w:shd w:val="clear" w:color="auto" w:fill="ffffff"/>
          <w:rtl w:val="0"/>
          <w:lang w:val="it-IT"/>
        </w:rPr>
        <w:t xml:space="preserve">Va rilevato, come seguito di quanto in precedenza detto nel </w:t>
      </w:r>
      <w:r>
        <w:rPr>
          <w:rFonts w:hAnsi="Book Antiqua" w:hint="default"/>
          <w:shd w:val="clear" w:color="auto" w:fill="ffffff"/>
          <w:rtl w:val="0"/>
          <w:lang w:val="it-IT"/>
        </w:rPr>
        <w:t xml:space="preserve">§ </w:t>
      </w:r>
      <w:r>
        <w:rPr>
          <w:rFonts w:ascii="Book Antiqua"/>
          <w:shd w:val="clear" w:color="auto" w:fill="ffffff"/>
          <w:rtl w:val="0"/>
          <w:lang w:val="it-IT"/>
        </w:rPr>
        <w:t>2.2.2.6 sulla situazione impiantistica, che, nella nuova visione di AMA e dell</w:t>
      </w:r>
      <w:r>
        <w:rPr>
          <w:rFonts w:hAnsi="Book Antiqua" w:hint="default"/>
          <w:shd w:val="clear" w:color="auto" w:fill="ffffff"/>
          <w:rtl w:val="0"/>
          <w:lang w:val="it-IT"/>
        </w:rPr>
        <w:t>’</w:t>
      </w:r>
      <w:r>
        <w:rPr>
          <w:rFonts w:ascii="Book Antiqua"/>
          <w:shd w:val="clear" w:color="auto" w:fill="ffffff"/>
          <w:rtl w:val="0"/>
          <w:lang w:val="it-IT"/>
        </w:rPr>
        <w:t>amministrazione capitolina, sarebbero in futuro l</w:t>
      </w:r>
      <w:r>
        <w:rPr>
          <w:rFonts w:hAnsi="Book Antiqua" w:hint="default"/>
          <w:shd w:val="clear" w:color="auto" w:fill="ffffff"/>
          <w:rtl w:val="0"/>
          <w:lang w:val="it-IT"/>
        </w:rPr>
        <w:t>’</w:t>
      </w:r>
      <w:r>
        <w:rPr>
          <w:rFonts w:ascii="Book Antiqua"/>
          <w:shd w:val="clear" w:color="auto" w:fill="ffffff"/>
          <w:rtl w:val="0"/>
          <w:lang w:val="it-IT"/>
        </w:rPr>
        <w:t>ipotizzata riduzione dei rifiuti prodotti e l</w:t>
      </w:r>
      <w:r>
        <w:rPr>
          <w:rFonts w:hAnsi="Book Antiqua" w:hint="default"/>
          <w:shd w:val="clear" w:color="auto" w:fill="ffffff"/>
          <w:rtl w:val="0"/>
          <w:lang w:val="it-IT"/>
        </w:rPr>
        <w:t>’</w:t>
      </w:r>
      <w:r>
        <w:rPr>
          <w:rFonts w:ascii="Book Antiqua"/>
          <w:shd w:val="clear" w:color="auto" w:fill="ffffff"/>
          <w:rtl w:val="0"/>
          <w:lang w:val="it-IT"/>
        </w:rPr>
        <w:t>ipotizzato aumento della percentuale di raccolta differenziata a far superare in massima parte i problemi dell</w:t>
      </w:r>
      <w:r>
        <w:rPr>
          <w:rFonts w:hAnsi="Book Antiqua" w:hint="default"/>
          <w:shd w:val="clear" w:color="auto" w:fill="ffffff"/>
          <w:rtl w:val="0"/>
          <w:lang w:val="it-IT"/>
        </w:rPr>
        <w:t>’</w:t>
      </w:r>
      <w:r>
        <w:rPr>
          <w:rFonts w:ascii="Book Antiqua"/>
          <w:shd w:val="clear" w:color="auto" w:fill="ffffff"/>
          <w:rtl w:val="0"/>
          <w:lang w:val="it-IT"/>
        </w:rPr>
        <w:t>impiantistica romana: di talch</w:t>
      </w:r>
      <w:r>
        <w:rPr>
          <w:rFonts w:hAnsi="Book Antiqua" w:hint="default"/>
          <w:shd w:val="clear" w:color="auto" w:fill="ffffff"/>
          <w:rtl w:val="0"/>
          <w:lang w:val="it-IT"/>
        </w:rPr>
        <w:t xml:space="preserve">é </w:t>
      </w:r>
      <w:r>
        <w:rPr>
          <w:rFonts w:ascii="Book Antiqua"/>
          <w:shd w:val="clear" w:color="auto" w:fill="ffffff"/>
          <w:rtl w:val="0"/>
          <w:lang w:val="it-IT"/>
        </w:rPr>
        <w:t xml:space="preserve">come </w:t>
      </w:r>
      <w:r>
        <w:rPr>
          <w:rFonts w:hAnsi="Book Antiqua" w:hint="default"/>
          <w:shd w:val="clear" w:color="auto" w:fill="ffffff"/>
          <w:rtl w:val="0"/>
          <w:lang w:val="it-IT"/>
        </w:rPr>
        <w:t>“</w:t>
      </w:r>
      <w:r>
        <w:rPr>
          <w:rFonts w:ascii="Book Antiqua"/>
          <w:shd w:val="clear" w:color="auto" w:fill="ffffff"/>
          <w:rtl w:val="0"/>
          <w:lang w:val="it-IT"/>
        </w:rPr>
        <w:t>nuovi impianti AMA</w:t>
      </w:r>
      <w:r>
        <w:rPr>
          <w:rFonts w:hAnsi="Book Antiqua" w:hint="default"/>
          <w:shd w:val="clear" w:color="auto" w:fill="ffffff"/>
          <w:rtl w:val="0"/>
          <w:lang w:val="it-IT"/>
        </w:rPr>
        <w:t xml:space="preserve">” </w:t>
      </w:r>
      <w:r>
        <w:rPr>
          <w:rFonts w:ascii="Book Antiqua"/>
          <w:shd w:val="clear" w:color="auto" w:fill="ffffff"/>
          <w:rtl w:val="0"/>
          <w:lang w:val="it-IT"/>
        </w:rPr>
        <w:t xml:space="preserve">sino al 2021 vengono indicati soltanto un impianto multi materiale da 80.000 tonnellate/anno e </w:t>
      </w:r>
      <w:r>
        <w:rPr>
          <w:rFonts w:hAnsi="Book Antiqua" w:hint="default"/>
          <w:shd w:val="clear" w:color="auto" w:fill="ffffff"/>
          <w:rtl w:val="0"/>
          <w:lang w:val="it-IT"/>
        </w:rPr>
        <w:t>“</w:t>
      </w:r>
      <w:r>
        <w:rPr>
          <w:rFonts w:ascii="Book Antiqua"/>
          <w:shd w:val="clear" w:color="auto" w:fill="ffffff"/>
          <w:rtl w:val="0"/>
          <w:lang w:val="it-IT"/>
        </w:rPr>
        <w:t>impianti volti al trattamento della frazione organica dei rifiuti solidi urbani derivanti da raccolta differenziata</w:t>
      </w:r>
      <w:r>
        <w:rPr>
          <w:rFonts w:hAnsi="Book Antiqua" w:hint="default"/>
          <w:shd w:val="clear" w:color="auto" w:fill="ffffff"/>
          <w:rtl w:val="0"/>
          <w:lang w:val="it-IT"/>
        </w:rPr>
        <w:t xml:space="preserve">” </w:t>
      </w:r>
      <w:r>
        <w:rPr>
          <w:rFonts w:ascii="Book Antiqua"/>
          <w:shd w:val="clear" w:color="auto" w:fill="ffffff"/>
          <w:rtl w:val="0"/>
          <w:lang w:val="it-IT"/>
        </w:rPr>
        <w:t>per complessive 100.000 tonnellate/anno (si deve presumere comprensive delle attuali 30.000 tonnellate/anno  dell</w:t>
      </w:r>
      <w:r>
        <w:rPr>
          <w:rFonts w:hAnsi="Book Antiqua" w:hint="default"/>
          <w:shd w:val="clear" w:color="auto" w:fill="ffffff"/>
          <w:rtl w:val="0"/>
          <w:lang w:val="it-IT"/>
        </w:rPr>
        <w:t>’</w:t>
      </w:r>
      <w:r>
        <w:rPr>
          <w:rFonts w:ascii="Book Antiqua"/>
          <w:shd w:val="clear" w:color="auto" w:fill="ffffff"/>
          <w:rtl w:val="0"/>
          <w:lang w:val="it-IT"/>
        </w:rPr>
        <w:t>esistente impianto di Maccarese).</w:t>
      </w:r>
    </w:p>
    <w:p>
      <w:pPr>
        <w:pStyle w:val="Normal"/>
        <w:ind w:left="567" w:right="567" w:firstLine="0"/>
        <w:jc w:val="both"/>
        <w:rPr>
          <w:rFonts w:ascii="Book Antiqua" w:cs="Book Antiqua" w:hAnsi="Book Antiqua" w:eastAsia="Book Antiqua"/>
          <w:color w:val="333333"/>
          <w:u w:color="333333"/>
          <w:shd w:val="clear" w:color="auto" w:fill="ffffff"/>
        </w:rPr>
      </w:pPr>
    </w:p>
    <w:p>
      <w:pPr>
        <w:pStyle w:val="Normal"/>
        <w:ind w:left="567" w:right="567" w:firstLine="0"/>
        <w:jc w:val="both"/>
        <w:rPr>
          <w:rFonts w:ascii="Book Antiqua" w:cs="Book Antiqua" w:hAnsi="Book Antiqua" w:eastAsia="Book Antiqua"/>
          <w:color w:val="333333"/>
          <w:u w:color="333333"/>
          <w:shd w:val="clear" w:color="auto" w:fill="ffffff"/>
        </w:rPr>
      </w:pPr>
    </w:p>
    <w:p>
      <w:pPr>
        <w:pStyle w:val="Normal"/>
        <w:ind w:left="567" w:right="567" w:firstLine="0"/>
        <w:jc w:val="both"/>
        <w:rPr>
          <w:rFonts w:ascii="Book Antiqua" w:cs="Book Antiqua" w:hAnsi="Book Antiqua" w:eastAsia="Book Antiqua"/>
          <w:color w:val="333333"/>
          <w:u w:color="333333"/>
          <w:shd w:val="clear" w:color="auto" w:fill="ffffff"/>
        </w:rPr>
      </w:pPr>
      <w:r>
        <w:rPr>
          <w:rFonts w:ascii="Book Antiqua" w:cs="Book Antiqua" w:hAnsi="Book Antiqua" w:eastAsia="Book Antiqua"/>
          <w:color w:val="333333"/>
          <w:u w:color="333333"/>
          <w:shd w:val="clear" w:color="auto" w:fill="ffffff"/>
          <w:rtl w:val="0"/>
        </w:rPr>
        <w:drawing>
          <wp:inline distT="0" distB="0" distL="0" distR="0">
            <wp:extent cx="6332228" cy="4011508"/>
            <wp:effectExtent l="0" t="0" r="0" b="0"/>
            <wp:docPr id="1073741861" name="officeArt object" descr=":AMA 53.png"/>
            <wp:cNvGraphicFramePr/>
            <a:graphic xmlns:a="http://schemas.openxmlformats.org/drawingml/2006/main">
              <a:graphicData uri="http://schemas.openxmlformats.org/drawingml/2006/picture">
                <pic:pic xmlns:pic="http://schemas.openxmlformats.org/drawingml/2006/picture">
                  <pic:nvPicPr>
                    <pic:cNvPr id="1073741861" name="image35.png" descr=":AMA 53.png"/>
                    <pic:cNvPicPr/>
                  </pic:nvPicPr>
                  <pic:blipFill>
                    <a:blip r:embed="rId45">
                      <a:extLst/>
                    </a:blip>
                    <a:stretch>
                      <a:fillRect/>
                    </a:stretch>
                  </pic:blipFill>
                  <pic:spPr>
                    <a:xfrm>
                      <a:off x="0" y="0"/>
                      <a:ext cx="6332228" cy="4011508"/>
                    </a:xfrm>
                    <a:prstGeom prst="rect">
                      <a:avLst/>
                    </a:prstGeom>
                    <a:ln w="12700" cap="flat">
                      <a:noFill/>
                      <a:miter lim="400000"/>
                    </a:ln>
                    <a:effectLst/>
                  </pic:spPr>
                </pic:pic>
              </a:graphicData>
            </a:graphic>
          </wp:inline>
        </w:drawing>
      </w:r>
    </w:p>
    <w:p>
      <w:pPr>
        <w:pStyle w:val="Normal"/>
        <w:ind w:left="567" w:right="567" w:firstLine="0"/>
        <w:jc w:val="both"/>
        <w:rPr>
          <w:rFonts w:ascii="Book Antiqua Bold" w:cs="Book Antiqua Bold" w:hAnsi="Book Antiqua Bold" w:eastAsia="Book Antiqua Bold"/>
          <w:b w:val="1"/>
          <w:bCs w:val="1"/>
          <w:i w:val="1"/>
          <w:iCs w:val="1"/>
          <w:color w:val="333333"/>
          <w:u w:color="333333"/>
          <w:shd w:val="clear" w:color="auto" w:fill="ffffff"/>
        </w:rPr>
      </w:pPr>
    </w:p>
    <w:p>
      <w:pPr>
        <w:pStyle w:val="Normal"/>
        <w:ind w:left="567" w:right="567" w:firstLine="0"/>
        <w:jc w:val="both"/>
        <w:rPr>
          <w:rFonts w:ascii="Book Antiqua Bold" w:cs="Book Antiqua Bold" w:hAnsi="Book Antiqua Bold" w:eastAsia="Book Antiqua Bold"/>
          <w:b w:val="1"/>
          <w:bCs w:val="1"/>
          <w:i w:val="1"/>
          <w:iCs w:val="1"/>
          <w:color w:val="333333"/>
          <w:u w:color="333333"/>
          <w:shd w:val="clear" w:color="auto" w:fill="ffffff"/>
        </w:rPr>
      </w:pPr>
    </w:p>
    <w:p>
      <w:pPr>
        <w:pStyle w:val="Normal"/>
        <w:ind w:left="567" w:right="567" w:firstLine="0"/>
        <w:jc w:val="both"/>
        <w:rPr>
          <w:rFonts w:ascii="Book Antiqua Bold" w:cs="Book Antiqua Bold" w:hAnsi="Book Antiqua Bold" w:eastAsia="Book Antiqua Bold"/>
          <w:b w:val="1"/>
          <w:bCs w:val="1"/>
          <w:i w:val="1"/>
          <w:iCs w:val="1"/>
          <w:color w:val="333333"/>
          <w:u w:color="333333"/>
          <w:shd w:val="clear" w:color="auto" w:fill="ffffff"/>
        </w:rPr>
      </w:pPr>
    </w:p>
    <w:p>
      <w:pPr>
        <w:pStyle w:val="Normal"/>
        <w:ind w:left="567" w:right="567" w:firstLine="0"/>
        <w:jc w:val="both"/>
        <w:rPr>
          <w:rFonts w:ascii="Book Antiqua Bold" w:cs="Book Antiqua Bold" w:hAnsi="Book Antiqua Bold" w:eastAsia="Book Antiqua Bold"/>
          <w:b w:val="1"/>
          <w:bCs w:val="1"/>
          <w:i w:val="1"/>
          <w:iCs w:val="1"/>
          <w:color w:val="333333"/>
          <w:u w:color="333333"/>
          <w:shd w:val="clear" w:color="auto" w:fill="ffffff"/>
        </w:rPr>
      </w:pPr>
      <w:r>
        <w:rPr>
          <w:rFonts w:ascii="Book Antiqua Bold" w:cs="Book Antiqua Bold" w:hAnsi="Book Antiqua Bold" w:eastAsia="Book Antiqua Bold"/>
          <w:b w:val="1"/>
          <w:bCs w:val="1"/>
          <w:i w:val="1"/>
          <w:iCs w:val="1"/>
          <w:color w:val="333333"/>
          <w:u w:color="333333"/>
          <w:shd w:val="clear" w:color="auto" w:fill="ffffff"/>
          <w:rtl w:val="0"/>
        </w:rPr>
        <w:drawing>
          <wp:inline distT="0" distB="0" distL="0" distR="0">
            <wp:extent cx="6121400" cy="3954146"/>
            <wp:effectExtent l="0" t="0" r="0" b="0"/>
            <wp:docPr id="1073741862" name="officeArt object" descr=":AMA 50.png"/>
            <wp:cNvGraphicFramePr/>
            <a:graphic xmlns:a="http://schemas.openxmlformats.org/drawingml/2006/main">
              <a:graphicData uri="http://schemas.openxmlformats.org/drawingml/2006/picture">
                <pic:pic xmlns:pic="http://schemas.openxmlformats.org/drawingml/2006/picture">
                  <pic:nvPicPr>
                    <pic:cNvPr id="1073741862" name="image36.png" descr=":AMA 50.png"/>
                    <pic:cNvPicPr/>
                  </pic:nvPicPr>
                  <pic:blipFill>
                    <a:blip r:embed="rId46">
                      <a:extLst/>
                    </a:blip>
                    <a:stretch>
                      <a:fillRect/>
                    </a:stretch>
                  </pic:blipFill>
                  <pic:spPr>
                    <a:xfrm>
                      <a:off x="0" y="0"/>
                      <a:ext cx="6121400" cy="3954146"/>
                    </a:xfrm>
                    <a:prstGeom prst="rect">
                      <a:avLst/>
                    </a:prstGeom>
                    <a:ln w="12700" cap="flat">
                      <a:noFill/>
                      <a:miter lim="400000"/>
                    </a:ln>
                    <a:effectLst/>
                  </pic:spPr>
                </pic:pic>
              </a:graphicData>
            </a:graphic>
          </wp:inline>
        </w:drawing>
      </w:r>
    </w:p>
    <w:p>
      <w:pPr>
        <w:pStyle w:val="Normal"/>
        <w:ind w:left="567" w:right="567" w:firstLine="0"/>
        <w:jc w:val="both"/>
        <w:rPr>
          <w:rFonts w:ascii="Book Antiqua Bold" w:cs="Book Antiqua Bold" w:hAnsi="Book Antiqua Bold" w:eastAsia="Book Antiqua Bold"/>
          <w:b w:val="1"/>
          <w:bCs w:val="1"/>
          <w:i w:val="1"/>
          <w:iCs w:val="1"/>
          <w:color w:val="333333"/>
          <w:u w:color="333333"/>
          <w:shd w:val="clear" w:color="auto" w:fill="ffffff"/>
        </w:rPr>
      </w:pPr>
    </w:p>
    <w:p>
      <w:pPr>
        <w:pStyle w:val="Normal"/>
        <w:ind w:left="567" w:right="567" w:firstLine="0"/>
        <w:jc w:val="both"/>
        <w:rPr>
          <w:rFonts w:ascii="Book Antiqua Bold" w:cs="Book Antiqua Bold" w:hAnsi="Book Antiqua Bold" w:eastAsia="Book Antiqua Bold"/>
          <w:b w:val="1"/>
          <w:bCs w:val="1"/>
          <w:i w:val="1"/>
          <w:iCs w:val="1"/>
          <w:color w:val="333333"/>
          <w:u w:color="333333"/>
          <w:shd w:val="clear" w:color="auto" w:fill="ffffff"/>
        </w:rPr>
      </w:pPr>
    </w:p>
    <w:p>
      <w:pPr>
        <w:pStyle w:val="Normal"/>
        <w:ind w:left="567" w:right="567" w:firstLine="0"/>
        <w:jc w:val="both"/>
        <w:rPr>
          <w:rFonts w:ascii="Book Antiqua Bold" w:cs="Book Antiqua Bold" w:hAnsi="Book Antiqua Bold" w:eastAsia="Book Antiqua Bold"/>
          <w:b w:val="1"/>
          <w:bCs w:val="1"/>
          <w:i w:val="1"/>
          <w:iCs w:val="1"/>
          <w:color w:val="333333"/>
          <w:u w:color="333333"/>
          <w:shd w:val="clear" w:color="auto" w:fill="ffffff"/>
        </w:rPr>
      </w:pPr>
    </w:p>
    <w:p>
      <w:pPr>
        <w:pStyle w:val="Normal"/>
        <w:ind w:left="567" w:right="567" w:firstLine="0"/>
        <w:jc w:val="both"/>
        <w:rPr>
          <w:rFonts w:ascii="Book Antiqua" w:cs="Book Antiqua" w:hAnsi="Book Antiqua" w:eastAsia="Book Antiqua"/>
          <w:color w:val="333333"/>
          <w:u w:color="333333"/>
          <w:shd w:val="clear" w:color="auto" w:fill="ffffff"/>
        </w:rPr>
      </w:pPr>
      <w:r>
        <w:rPr>
          <w:rFonts w:ascii="Book Antiqua" w:cs="Book Antiqua" w:hAnsi="Book Antiqua" w:eastAsia="Book Antiqua"/>
          <w:color w:val="333333"/>
          <w:u w:color="333333"/>
          <w:shd w:val="clear" w:color="auto" w:fill="ffffff"/>
          <w:rtl w:val="0"/>
        </w:rPr>
        <w:drawing>
          <wp:inline distT="0" distB="0" distL="0" distR="0">
            <wp:extent cx="6104255" cy="4402455"/>
            <wp:effectExtent l="0" t="0" r="0" b="0"/>
            <wp:docPr id="1073741863" name="officeArt object" descr=":AMA 51.png"/>
            <wp:cNvGraphicFramePr/>
            <a:graphic xmlns:a="http://schemas.openxmlformats.org/drawingml/2006/main">
              <a:graphicData uri="http://schemas.openxmlformats.org/drawingml/2006/picture">
                <pic:pic xmlns:pic="http://schemas.openxmlformats.org/drawingml/2006/picture">
                  <pic:nvPicPr>
                    <pic:cNvPr id="1073741863" name="image37.png" descr=":AMA 51.png"/>
                    <pic:cNvPicPr/>
                  </pic:nvPicPr>
                  <pic:blipFill>
                    <a:blip r:embed="rId47">
                      <a:extLst/>
                    </a:blip>
                    <a:stretch>
                      <a:fillRect/>
                    </a:stretch>
                  </pic:blipFill>
                  <pic:spPr>
                    <a:xfrm>
                      <a:off x="0" y="0"/>
                      <a:ext cx="6104255" cy="4402455"/>
                    </a:xfrm>
                    <a:prstGeom prst="rect">
                      <a:avLst/>
                    </a:prstGeom>
                    <a:ln w="12700" cap="flat">
                      <a:noFill/>
                      <a:miter lim="400000"/>
                    </a:ln>
                    <a:effectLst/>
                  </pic:spPr>
                </pic:pic>
              </a:graphicData>
            </a:graphic>
          </wp:inline>
        </w:drawing>
      </w:r>
    </w:p>
    <w:p>
      <w:pPr>
        <w:pStyle w:val="Normal"/>
        <w:ind w:left="567" w:right="567" w:firstLine="0"/>
        <w:jc w:val="both"/>
        <w:rPr>
          <w:rFonts w:ascii="Book Antiqua" w:cs="Book Antiqua" w:hAnsi="Book Antiqua" w:eastAsia="Book Antiqua"/>
          <w:color w:val="333333"/>
          <w:u w:color="333333"/>
          <w:shd w:val="clear" w:color="auto" w:fill="ffffff"/>
        </w:rPr>
      </w:pPr>
    </w:p>
    <w:p>
      <w:pPr>
        <w:pStyle w:val="Normal"/>
        <w:ind w:left="567" w:right="567" w:firstLine="0"/>
        <w:jc w:val="both"/>
        <w:rPr>
          <w:rFonts w:ascii="Book Antiqua" w:cs="Book Antiqua" w:hAnsi="Book Antiqua" w:eastAsia="Book Antiqua"/>
          <w:color w:val="333333"/>
          <w:u w:color="333333"/>
          <w:shd w:val="clear" w:color="auto" w:fill="ffffff"/>
        </w:rPr>
      </w:pPr>
    </w:p>
    <w:p>
      <w:pPr>
        <w:pStyle w:val="Normal"/>
        <w:ind w:left="567" w:right="567" w:firstLine="0"/>
        <w:jc w:val="both"/>
        <w:rPr>
          <w:rFonts w:ascii="Book Antiqua" w:cs="Book Antiqua" w:hAnsi="Book Antiqua" w:eastAsia="Book Antiqua"/>
          <w:color w:val="333333"/>
          <w:u w:color="333333"/>
          <w:shd w:val="clear" w:color="auto" w:fill="ffffff"/>
        </w:rPr>
      </w:pPr>
    </w:p>
    <w:p>
      <w:pPr>
        <w:pStyle w:val="Normal"/>
        <w:ind w:left="567" w:right="567" w:firstLine="0"/>
        <w:jc w:val="both"/>
        <w:rPr>
          <w:rFonts w:ascii="Book Antiqua" w:cs="Book Antiqua" w:hAnsi="Book Antiqua" w:eastAsia="Book Antiqua"/>
          <w:color w:val="333333"/>
          <w:u w:color="333333"/>
          <w:shd w:val="clear" w:color="auto" w:fill="ffffff"/>
        </w:rPr>
      </w:pPr>
      <w:r>
        <w:rPr>
          <w:rFonts w:ascii="Book Antiqua" w:cs="Book Antiqua" w:hAnsi="Book Antiqua" w:eastAsia="Book Antiqua"/>
          <w:color w:val="333333"/>
          <w:u w:color="333333"/>
          <w:shd w:val="clear" w:color="auto" w:fill="ffffff"/>
          <w:rtl w:val="0"/>
        </w:rPr>
        <w:drawing>
          <wp:inline distT="0" distB="0" distL="0" distR="0">
            <wp:extent cx="6121400" cy="3903346"/>
            <wp:effectExtent l="0" t="0" r="0" b="0"/>
            <wp:docPr id="1073741864" name="officeArt object" descr=":AMA 52.png"/>
            <wp:cNvGraphicFramePr/>
            <a:graphic xmlns:a="http://schemas.openxmlformats.org/drawingml/2006/main">
              <a:graphicData uri="http://schemas.openxmlformats.org/drawingml/2006/picture">
                <pic:pic xmlns:pic="http://schemas.openxmlformats.org/drawingml/2006/picture">
                  <pic:nvPicPr>
                    <pic:cNvPr id="1073741864" name="image38.png" descr=":AMA 52.png"/>
                    <pic:cNvPicPr/>
                  </pic:nvPicPr>
                  <pic:blipFill>
                    <a:blip r:embed="rId48">
                      <a:extLst/>
                    </a:blip>
                    <a:stretch>
                      <a:fillRect/>
                    </a:stretch>
                  </pic:blipFill>
                  <pic:spPr>
                    <a:xfrm>
                      <a:off x="0" y="0"/>
                      <a:ext cx="6121400" cy="3903346"/>
                    </a:xfrm>
                    <a:prstGeom prst="rect">
                      <a:avLst/>
                    </a:prstGeom>
                    <a:ln w="12700" cap="flat">
                      <a:noFill/>
                      <a:miter lim="400000"/>
                    </a:ln>
                    <a:effectLst/>
                  </pic:spPr>
                </pic:pic>
              </a:graphicData>
            </a:graphic>
          </wp:inline>
        </w:drawing>
      </w:r>
    </w:p>
    <w:p>
      <w:pPr>
        <w:pStyle w:val="Normal"/>
        <w:ind w:left="567" w:right="567" w:firstLine="0"/>
        <w:jc w:val="both"/>
        <w:rPr>
          <w:rFonts w:ascii="Book Antiqua" w:cs="Book Antiqua" w:hAnsi="Book Antiqua" w:eastAsia="Book Antiqua"/>
          <w:color w:val="333333"/>
          <w:u w:color="333333"/>
          <w:shd w:val="clear" w:color="auto" w:fill="ffffff"/>
        </w:rPr>
      </w:pPr>
      <w:r>
        <w:rPr>
          <w:rFonts w:ascii="Book Antiqua" w:cs="Book Antiqua" w:hAnsi="Book Antiqua" w:eastAsia="Book Antiqua"/>
          <w:color w:val="333333"/>
          <w:u w:color="333333"/>
          <w:shd w:val="clear" w:color="auto" w:fill="ffffff"/>
          <w:rtl w:val="0"/>
        </w:rPr>
        <w:drawing>
          <wp:inline distT="0" distB="0" distL="0" distR="0">
            <wp:extent cx="6113146" cy="3937000"/>
            <wp:effectExtent l="0" t="0" r="0" b="0"/>
            <wp:docPr id="1073741865" name="officeArt object" descr=":AMA 54.png"/>
            <wp:cNvGraphicFramePr/>
            <a:graphic xmlns:a="http://schemas.openxmlformats.org/drawingml/2006/main">
              <a:graphicData uri="http://schemas.openxmlformats.org/drawingml/2006/picture">
                <pic:pic xmlns:pic="http://schemas.openxmlformats.org/drawingml/2006/picture">
                  <pic:nvPicPr>
                    <pic:cNvPr id="1073741865" name="image39.png" descr=":AMA 54.png"/>
                    <pic:cNvPicPr/>
                  </pic:nvPicPr>
                  <pic:blipFill>
                    <a:blip r:embed="rId49">
                      <a:extLst/>
                    </a:blip>
                    <a:stretch>
                      <a:fillRect/>
                    </a:stretch>
                  </pic:blipFill>
                  <pic:spPr>
                    <a:xfrm>
                      <a:off x="0" y="0"/>
                      <a:ext cx="6113146" cy="3937000"/>
                    </a:xfrm>
                    <a:prstGeom prst="rect">
                      <a:avLst/>
                    </a:prstGeom>
                    <a:ln w="12700" cap="flat">
                      <a:noFill/>
                      <a:miter lim="400000"/>
                    </a:ln>
                    <a:effectLst/>
                  </pic:spPr>
                </pic:pic>
              </a:graphicData>
            </a:graphic>
          </wp:inline>
        </w:drawing>
      </w:r>
    </w:p>
    <w:p>
      <w:pPr>
        <w:pStyle w:val="Normal"/>
        <w:ind w:left="567" w:right="567" w:firstLine="0"/>
        <w:jc w:val="both"/>
        <w:rPr>
          <w:rFonts w:ascii="Book Antiqua" w:cs="Book Antiqua" w:hAnsi="Book Antiqua" w:eastAsia="Book Antiqua"/>
          <w:color w:val="333333"/>
          <w:u w:color="333333"/>
          <w:shd w:val="clear" w:color="auto" w:fill="ffffff"/>
        </w:rPr>
      </w:pPr>
    </w:p>
    <w:p>
      <w:pPr>
        <w:pStyle w:val="Normal"/>
        <w:ind w:left="567" w:right="567" w:firstLine="0"/>
        <w:jc w:val="both"/>
        <w:rPr>
          <w:rFonts w:ascii="Book Antiqua" w:cs="Book Antiqua" w:hAnsi="Book Antiqua" w:eastAsia="Book Antiqua"/>
          <w:color w:val="333333"/>
          <w:sz w:val="28"/>
          <w:szCs w:val="28"/>
          <w:u w:color="333333"/>
          <w:shd w:val="clear" w:color="auto" w:fill="ffffff"/>
        </w:rPr>
      </w:pPr>
    </w:p>
    <w:p>
      <w:pPr>
        <w:pStyle w:val="Normal"/>
        <w:ind w:left="567" w:right="567" w:firstLine="0"/>
        <w:jc w:val="both"/>
        <w:rPr>
          <w:rFonts w:ascii="Book Antiqua" w:cs="Book Antiqua" w:hAnsi="Book Antiqua" w:eastAsia="Book Antiqua"/>
          <w:color w:val="333333"/>
          <w:sz w:val="28"/>
          <w:szCs w:val="28"/>
          <w:u w:color="333333"/>
          <w:shd w:val="clear" w:color="auto" w:fill="ffffff"/>
        </w:rPr>
      </w:pPr>
      <w:r>
        <w:rPr>
          <w:rFonts w:ascii="Book Antiqua" w:cs="Book Antiqua" w:hAnsi="Book Antiqua" w:eastAsia="Book Antiqua"/>
          <w:color w:val="333333"/>
          <w:sz w:val="28"/>
          <w:szCs w:val="28"/>
          <w:u w:color="333333"/>
          <w:shd w:val="clear" w:color="auto" w:fill="ffffff"/>
          <w:rtl w:val="0"/>
        </w:rPr>
        <w:drawing>
          <wp:inline distT="0" distB="0" distL="0" distR="0">
            <wp:extent cx="6341427" cy="4142740"/>
            <wp:effectExtent l="0" t="0" r="0" b="0"/>
            <wp:docPr id="1073741866" name="officeArt object" descr=":AMA 91.png"/>
            <wp:cNvGraphicFramePr/>
            <a:graphic xmlns:a="http://schemas.openxmlformats.org/drawingml/2006/main">
              <a:graphicData uri="http://schemas.openxmlformats.org/drawingml/2006/picture">
                <pic:pic xmlns:pic="http://schemas.openxmlformats.org/drawingml/2006/picture">
                  <pic:nvPicPr>
                    <pic:cNvPr id="1073741866" name="image40.png" descr=":AMA 91.png"/>
                    <pic:cNvPicPr/>
                  </pic:nvPicPr>
                  <pic:blipFill>
                    <a:blip r:embed="rId50">
                      <a:extLst/>
                    </a:blip>
                    <a:stretch>
                      <a:fillRect/>
                    </a:stretch>
                  </pic:blipFill>
                  <pic:spPr>
                    <a:xfrm>
                      <a:off x="0" y="0"/>
                      <a:ext cx="6341427" cy="4142740"/>
                    </a:xfrm>
                    <a:prstGeom prst="rect">
                      <a:avLst/>
                    </a:prstGeom>
                    <a:ln w="12700" cap="flat">
                      <a:noFill/>
                      <a:miter lim="400000"/>
                    </a:ln>
                    <a:effectLst/>
                  </pic:spPr>
                </pic:pic>
              </a:graphicData>
            </a:graphic>
          </wp:inline>
        </w:drawing>
      </w:r>
    </w:p>
    <w:p>
      <w:pPr>
        <w:pStyle w:val="Normal"/>
        <w:ind w:left="567" w:right="567" w:firstLine="0"/>
        <w:jc w:val="both"/>
        <w:rPr>
          <w:rFonts w:ascii="Book Antiqua" w:cs="Book Antiqua" w:hAnsi="Book Antiqua" w:eastAsia="Book Antiqua"/>
          <w:color w:val="333333"/>
          <w:sz w:val="28"/>
          <w:szCs w:val="28"/>
          <w:u w:color="333333"/>
          <w:shd w:val="clear" w:color="auto" w:fill="ffffff"/>
        </w:rPr>
      </w:pPr>
    </w:p>
    <w:p>
      <w:pPr>
        <w:pStyle w:val="Normal"/>
        <w:ind w:left="567" w:right="567" w:firstLine="0"/>
        <w:jc w:val="both"/>
        <w:rPr>
          <w:rFonts w:ascii="Book Antiqua" w:cs="Book Antiqua" w:hAnsi="Book Antiqua" w:eastAsia="Book Antiqua"/>
          <w:color w:val="333333"/>
          <w:sz w:val="28"/>
          <w:szCs w:val="28"/>
          <w:u w:color="333333"/>
          <w:shd w:val="clear" w:color="auto" w:fill="ffffff"/>
        </w:rPr>
      </w:pPr>
    </w:p>
    <w:p>
      <w:pPr>
        <w:pStyle w:val="Normal"/>
        <w:ind w:left="567" w:right="567" w:firstLine="0"/>
        <w:jc w:val="both"/>
        <w:rPr>
          <w:rFonts w:ascii="Book Antiqua" w:cs="Book Antiqua" w:hAnsi="Book Antiqua" w:eastAsia="Book Antiqua"/>
          <w:color w:val="333333"/>
          <w:sz w:val="28"/>
          <w:szCs w:val="28"/>
          <w:u w:color="333333"/>
          <w:shd w:val="clear" w:color="auto" w:fill="ffffff"/>
        </w:rPr>
      </w:pPr>
    </w:p>
    <w:p>
      <w:pPr>
        <w:pStyle w:val="Normal"/>
        <w:ind w:left="567" w:right="567" w:firstLine="0"/>
        <w:jc w:val="both"/>
        <w:rPr>
          <w:rFonts w:ascii="Book Antiqua" w:cs="Book Antiqua" w:hAnsi="Book Antiqua" w:eastAsia="Book Antiqua"/>
          <w:color w:val="333333"/>
          <w:sz w:val="28"/>
          <w:szCs w:val="28"/>
          <w:u w:color="333333"/>
          <w:shd w:val="clear" w:color="auto" w:fill="ffffff"/>
        </w:rPr>
      </w:pPr>
      <w:r>
        <w:rPr>
          <w:rFonts w:ascii="Book Antiqua"/>
          <w:color w:val="333333"/>
          <w:sz w:val="28"/>
          <w:szCs w:val="28"/>
          <w:u w:color="333333"/>
          <w:shd w:val="clear" w:color="auto" w:fill="ffffff"/>
          <w:rtl w:val="0"/>
          <w:lang w:val="it-IT"/>
        </w:rPr>
        <w:t>2.3.5 L</w:t>
      </w:r>
      <w:r>
        <w:rPr>
          <w:rFonts w:hAnsi="Book Antiqua" w:hint="default"/>
          <w:color w:val="333333"/>
          <w:sz w:val="28"/>
          <w:szCs w:val="28"/>
          <w:u w:color="333333"/>
          <w:shd w:val="clear" w:color="auto" w:fill="ffffff"/>
          <w:rtl w:val="0"/>
          <w:lang w:val="it-IT"/>
        </w:rPr>
        <w:t>’</w:t>
      </w:r>
      <w:r>
        <w:rPr>
          <w:rFonts w:ascii="Book Antiqua"/>
          <w:color w:val="333333"/>
          <w:sz w:val="28"/>
          <w:szCs w:val="28"/>
          <w:u w:color="333333"/>
          <w:shd w:val="clear" w:color="auto" w:fill="ffffff"/>
          <w:rtl w:val="0"/>
          <w:lang w:val="it-IT"/>
        </w:rPr>
        <w:t>eredit</w:t>
      </w:r>
      <w:r>
        <w:rPr>
          <w:rFonts w:hAnsi="Book Antiqua" w:hint="default"/>
          <w:color w:val="333333"/>
          <w:sz w:val="28"/>
          <w:szCs w:val="28"/>
          <w:u w:color="333333"/>
          <w:shd w:val="clear" w:color="auto" w:fill="ffffff"/>
          <w:rtl w:val="0"/>
          <w:lang w:val="it-IT"/>
        </w:rPr>
        <w:t xml:space="preserve">à </w:t>
      </w:r>
      <w:r>
        <w:rPr>
          <w:rFonts w:ascii="Book Antiqua"/>
          <w:color w:val="333333"/>
          <w:sz w:val="28"/>
          <w:szCs w:val="28"/>
          <w:u w:color="333333"/>
          <w:shd w:val="clear" w:color="auto" w:fill="ffffff"/>
          <w:rtl w:val="0"/>
          <w:lang w:val="it-IT"/>
        </w:rPr>
        <w:t>contenziosa</w:t>
      </w: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sz w:val="28"/>
          <w:szCs w:val="28"/>
        </w:rPr>
      </w:pPr>
      <w:r>
        <w:rPr>
          <w:rFonts w:ascii="Book Antiqua"/>
          <w:sz w:val="28"/>
          <w:szCs w:val="28"/>
          <w:rtl w:val="0"/>
          <w:lang w:val="it-IT"/>
        </w:rPr>
        <w:t>2.3.5.1</w:t>
        <w:tab/>
        <w:t xml:space="preserve">Il contenzioso AMA-Co.La.Ri. </w:t>
      </w:r>
    </w:p>
    <w:p>
      <w:pPr>
        <w:pStyle w:val="Normal"/>
        <w:ind w:left="567" w:right="567" w:firstLine="0"/>
        <w:jc w:val="both"/>
        <w:rPr>
          <w:rFonts w:ascii="Book Antiqua" w:cs="Book Antiqua" w:hAnsi="Book Antiqua" w:eastAsia="Book Antiqua"/>
          <w:sz w:val="28"/>
          <w:szCs w:val="28"/>
        </w:rPr>
      </w:pPr>
    </w:p>
    <w:p>
      <w:pPr>
        <w:pStyle w:val="Plain Text"/>
        <w:ind w:left="567" w:right="567" w:firstLine="0"/>
        <w:jc w:val="both"/>
        <w:rPr>
          <w:rFonts w:ascii="Book Antiqua" w:cs="Book Antiqua" w:hAnsi="Book Antiqua" w:eastAsia="Book Antiqua"/>
        </w:rPr>
      </w:pPr>
      <w:r>
        <w:rPr>
          <w:rFonts w:ascii="Book Antiqua"/>
          <w:rtl w:val="0"/>
          <w:lang w:val="it-IT"/>
        </w:rPr>
        <w:t>Le vicende pregresse di AMA, per diversi profili, gi</w:t>
      </w:r>
      <w:r>
        <w:rPr>
          <w:rFonts w:hAnsi="Book Antiqua" w:hint="default"/>
          <w:rtl w:val="0"/>
          <w:lang w:val="it-IT"/>
        </w:rPr>
        <w:t xml:space="preserve">à </w:t>
      </w:r>
      <w:r>
        <w:rPr>
          <w:rFonts w:ascii="Book Antiqua"/>
          <w:rtl w:val="0"/>
          <w:lang w:val="it-IT"/>
        </w:rPr>
        <w:t>in parte esaminati, comportano un</w:t>
      </w:r>
      <w:r>
        <w:rPr>
          <w:rFonts w:hAnsi="Book Antiqua" w:hint="default"/>
          <w:rtl w:val="0"/>
          <w:lang w:val="it-IT"/>
        </w:rPr>
        <w:t>’</w:t>
      </w:r>
      <w:r>
        <w:rPr>
          <w:rFonts w:ascii="Book Antiqua"/>
          <w:rtl w:val="0"/>
          <w:lang w:val="it-IT"/>
        </w:rPr>
        <w:t>eredit</w:t>
      </w:r>
      <w:r>
        <w:rPr>
          <w:rFonts w:hAnsi="Book Antiqua" w:hint="default"/>
          <w:rtl w:val="0"/>
          <w:lang w:val="it-IT"/>
        </w:rPr>
        <w:t xml:space="preserve">à </w:t>
      </w:r>
      <w:r>
        <w:rPr>
          <w:rFonts w:ascii="Book Antiqua"/>
          <w:rtl w:val="0"/>
          <w:lang w:val="it-IT"/>
        </w:rPr>
        <w:t>di rapporti giuridici che hanno dato origine a contenziosi, tuttora non definitivamente risolti, destinati comunque a gravare sullo sviluppo dell</w:t>
      </w:r>
      <w:r>
        <w:rPr>
          <w:rFonts w:hAnsi="Book Antiqua" w:hint="default"/>
          <w:rtl w:val="0"/>
          <w:lang w:val="it-IT"/>
        </w:rPr>
        <w:t>’</w:t>
      </w:r>
      <w:r>
        <w:rPr>
          <w:rFonts w:ascii="Book Antiqua"/>
          <w:rtl w:val="0"/>
          <w:lang w:val="it-IT"/>
        </w:rPr>
        <w:t>attivit</w:t>
      </w:r>
      <w:r>
        <w:rPr>
          <w:rFonts w:hAnsi="Book Antiqua" w:hint="default"/>
          <w:rtl w:val="0"/>
          <w:lang w:val="it-IT"/>
        </w:rPr>
        <w:t xml:space="preserve">à </w:t>
      </w:r>
      <w:r>
        <w:rPr>
          <w:rFonts w:ascii="Book Antiqua"/>
          <w:rtl w:val="0"/>
          <w:lang w:val="it-IT"/>
        </w:rPr>
        <w:t>dell</w:t>
      </w:r>
      <w:r>
        <w:rPr>
          <w:rFonts w:hAnsi="Book Antiqua" w:hint="default"/>
          <w:rtl w:val="0"/>
          <w:lang w:val="it-IT"/>
        </w:rPr>
        <w:t>’</w:t>
      </w:r>
      <w:r>
        <w:rPr>
          <w:rFonts w:ascii="Book Antiqua"/>
          <w:rtl w:val="0"/>
          <w:lang w:val="it-IT"/>
        </w:rPr>
        <w:t>azienda pubblica.</w:t>
      </w:r>
    </w:p>
    <w:p>
      <w:pPr>
        <w:pStyle w:val="Plain Text"/>
        <w:ind w:left="567" w:right="567" w:firstLine="0"/>
        <w:jc w:val="both"/>
        <w:rPr>
          <w:rFonts w:ascii="Book Antiqua" w:cs="Book Antiqua" w:hAnsi="Book Antiqua" w:eastAsia="Book Antiqua"/>
        </w:rPr>
      </w:pPr>
      <w:r>
        <w:rPr>
          <w:rFonts w:ascii="Book Antiqua"/>
          <w:rtl w:val="0"/>
          <w:lang w:val="it-IT"/>
        </w:rPr>
        <w:t xml:space="preserve">Si sono citati nel </w:t>
      </w:r>
      <w:r>
        <w:rPr>
          <w:rFonts w:hAnsi="Book Antiqua" w:hint="default"/>
          <w:rtl w:val="0"/>
          <w:lang w:val="it-IT"/>
        </w:rPr>
        <w:t xml:space="preserve">§ </w:t>
      </w:r>
      <w:r>
        <w:rPr>
          <w:rFonts w:ascii="Book Antiqua"/>
          <w:rtl w:val="0"/>
          <w:lang w:val="it-IT"/>
        </w:rPr>
        <w:t>1.2 i due contenziosi aperti da Co.La.Ri nei confronti di AMA.  Ne riportiamo in sintesi le domande:</w:t>
      </w:r>
    </w:p>
    <w:p>
      <w:pPr>
        <w:pStyle w:val="Plain Text"/>
        <w:ind w:left="567" w:right="567" w:firstLine="0"/>
        <w:jc w:val="both"/>
        <w:rPr>
          <w:rFonts w:ascii="Book Antiqua" w:cs="Book Antiqua" w:hAnsi="Book Antiqua" w:eastAsia="Book Antiqua"/>
        </w:rPr>
      </w:pPr>
      <w:r>
        <w:rPr>
          <w:rFonts w:ascii="Book Antiqua"/>
          <w:rtl w:val="0"/>
          <w:lang w:val="it-IT"/>
        </w:rPr>
        <w:t>I</w:t>
      </w:r>
    </w:p>
    <w:p>
      <w:pPr>
        <w:pStyle w:val="Plain Text"/>
        <w:ind w:left="567" w:right="567" w:firstLine="0"/>
        <w:jc w:val="both"/>
        <w:rPr>
          <w:rFonts w:ascii="Book Antiqua" w:cs="Book Antiqua" w:hAnsi="Book Antiqua" w:eastAsia="Book Antiqua"/>
        </w:rPr>
      </w:pPr>
      <w:r>
        <w:rPr>
          <w:rFonts w:ascii="Book Antiqua"/>
          <w:rtl w:val="0"/>
          <w:lang w:val="it-IT"/>
        </w:rPr>
        <w:t>Con domanda di arbitrato e nomina di arbitro notificata in data 11 maggio 2001, e successive integrazioni, il COLARI ha predisposto un arbitrato contro AMA, formulando le seguenti domande:</w:t>
      </w:r>
    </w:p>
    <w:p>
      <w:pPr>
        <w:pStyle w:val="List Paragraph"/>
        <w:ind w:left="567" w:right="567" w:firstLine="0"/>
        <w:jc w:val="both"/>
        <w:rPr>
          <w:rFonts w:ascii="Book Antiqua" w:cs="Book Antiqua" w:hAnsi="Book Antiqua" w:eastAsia="Book Antiqua"/>
        </w:rPr>
      </w:pPr>
      <w:r>
        <w:rPr>
          <w:rFonts w:ascii="Book Antiqua"/>
          <w:rtl w:val="0"/>
          <w:lang w:val="it-IT"/>
        </w:rPr>
        <w:t>condanna di AMA al pagamento dei maggiori costi, riferiti al periodo 1996-settembre 2002, sopportati in conseguenza dell</w:t>
      </w:r>
      <w:r>
        <w:rPr>
          <w:rFonts w:hAnsi="Book Antiqua" w:hint="default"/>
          <w:rtl w:val="0"/>
          <w:lang w:val="it-IT"/>
        </w:rPr>
        <w:t>’</w:t>
      </w:r>
      <w:r>
        <w:rPr>
          <w:rFonts w:ascii="Book Antiqua"/>
          <w:rtl w:val="0"/>
          <w:lang w:val="it-IT"/>
        </w:rPr>
        <w:t>imprevisto incremento dei prezzi di alcuni dei fattori di produzione sul presupposto di maggiori e imprevisti oneri sofferti in dipendenza dell</w:t>
      </w:r>
      <w:r>
        <w:rPr>
          <w:rFonts w:hAnsi="Book Antiqua" w:hint="default"/>
          <w:rtl w:val="0"/>
          <w:lang w:val="it-IT"/>
        </w:rPr>
        <w:t>’</w:t>
      </w:r>
      <w:r>
        <w:rPr>
          <w:rFonts w:ascii="Book Antiqua"/>
          <w:rtl w:val="0"/>
          <w:lang w:val="it-IT"/>
        </w:rPr>
        <w:t>incremento dei costi di esecuzione del servizio.</w:t>
      </w:r>
    </w:p>
    <w:p>
      <w:pPr>
        <w:pStyle w:val="List Paragraph"/>
        <w:ind w:left="567" w:right="567" w:firstLine="0"/>
        <w:jc w:val="both"/>
        <w:rPr>
          <w:rFonts w:ascii="Book Antiqua" w:cs="Book Antiqua" w:hAnsi="Book Antiqua" w:eastAsia="Book Antiqua"/>
        </w:rPr>
      </w:pPr>
      <w:r>
        <w:rPr>
          <w:rFonts w:ascii="Book Antiqua"/>
          <w:rtl w:val="0"/>
          <w:lang w:val="it-IT"/>
        </w:rPr>
        <w:t>condanna di AMA al pagamento dei maggiori costi sopportati in conseguenza delle limitazioni temporali poste dall</w:t>
      </w:r>
      <w:r>
        <w:rPr>
          <w:rFonts w:hAnsi="Book Antiqua" w:hint="default"/>
          <w:rtl w:val="0"/>
          <w:lang w:val="it-IT"/>
        </w:rPr>
        <w:t>’</w:t>
      </w:r>
      <w:r>
        <w:rPr>
          <w:rFonts w:ascii="Book Antiqua"/>
          <w:rtl w:val="0"/>
          <w:lang w:val="it-IT"/>
        </w:rPr>
        <w:t>ordinanza sindacale n. 64 del 2 marzo 1999, con la quale, a dire dell</w:t>
      </w:r>
      <w:r>
        <w:rPr>
          <w:rFonts w:hAnsi="Book Antiqua" w:hint="default"/>
          <w:rtl w:val="0"/>
          <w:lang w:val="it-IT"/>
        </w:rPr>
        <w:t>’</w:t>
      </w:r>
      <w:r>
        <w:rPr>
          <w:rFonts w:ascii="Book Antiqua"/>
          <w:rtl w:val="0"/>
          <w:lang w:val="it-IT"/>
        </w:rPr>
        <w:t xml:space="preserve">attrice, il consorzio </w:t>
      </w:r>
      <w:r>
        <w:rPr>
          <w:rFonts w:hAnsi="Book Antiqua" w:hint="default"/>
          <w:rtl w:val="0"/>
          <w:lang w:val="it-IT"/>
        </w:rPr>
        <w:t xml:space="preserve">è </w:t>
      </w:r>
      <w:r>
        <w:rPr>
          <w:rFonts w:ascii="Book Antiqua"/>
          <w:rtl w:val="0"/>
          <w:lang w:val="it-IT"/>
        </w:rPr>
        <w:t>stato costretto ad istituire turni completi di lavoro nei giorni festivi;</w:t>
      </w:r>
    </w:p>
    <w:p>
      <w:pPr>
        <w:pStyle w:val="List Paragraph"/>
        <w:ind w:left="567" w:right="567" w:firstLine="0"/>
        <w:jc w:val="both"/>
        <w:rPr>
          <w:rFonts w:ascii="Book Antiqua" w:cs="Book Antiqua" w:hAnsi="Book Antiqua" w:eastAsia="Book Antiqua"/>
          <w:i w:val="1"/>
          <w:iCs w:val="1"/>
        </w:rPr>
      </w:pPr>
      <w:r>
        <w:rPr>
          <w:rFonts w:ascii="Book Antiqua"/>
          <w:rtl w:val="0"/>
          <w:lang w:val="it-IT"/>
        </w:rPr>
        <w:t xml:space="preserve">condanna di AMA al pagamento dei maggiori oneri sostenendi per la gestione </w:t>
      </w:r>
      <w:r>
        <w:rPr>
          <w:rFonts w:ascii="Book Antiqua"/>
          <w:i w:val="1"/>
          <w:iCs w:val="1"/>
          <w:rtl w:val="0"/>
          <w:lang w:val="it-IT"/>
        </w:rPr>
        <w:t xml:space="preserve">post mortem </w:t>
      </w:r>
      <w:r>
        <w:rPr>
          <w:rFonts w:ascii="Book Antiqua"/>
          <w:rtl w:val="0"/>
          <w:lang w:val="it-IT"/>
        </w:rPr>
        <w:t>della discarica, a seguito del prolungamento da 10 a 30 anni del periodo post gestione in base alla normativa comunitaria, implementata in Italia;</w:t>
      </w:r>
    </w:p>
    <w:p>
      <w:pPr>
        <w:pStyle w:val="List Paragraph"/>
        <w:ind w:left="567" w:right="567" w:firstLine="0"/>
        <w:jc w:val="both"/>
        <w:rPr>
          <w:rFonts w:ascii="Book Antiqua" w:cs="Book Antiqua" w:hAnsi="Book Antiqua" w:eastAsia="Book Antiqua"/>
          <w:i w:val="1"/>
          <w:iCs w:val="1"/>
        </w:rPr>
      </w:pPr>
      <w:r>
        <w:rPr>
          <w:rFonts w:ascii="Book Antiqua"/>
          <w:rtl w:val="0"/>
          <w:lang w:val="it-IT"/>
        </w:rPr>
        <w:t>richiesta del COLARI di applicazione della revisione dei prezzi contrattuali a far data dal mese di ottobre 2002;</w:t>
      </w:r>
    </w:p>
    <w:p>
      <w:pPr>
        <w:pStyle w:val="List Paragraph"/>
        <w:ind w:left="567" w:right="567" w:firstLine="0"/>
        <w:jc w:val="both"/>
        <w:rPr>
          <w:rFonts w:ascii="Book Antiqua" w:cs="Book Antiqua" w:hAnsi="Book Antiqua" w:eastAsia="Book Antiqua"/>
        </w:rPr>
      </w:pPr>
      <w:r>
        <w:rPr>
          <w:rFonts w:ascii="Book Antiqua"/>
          <w:rtl w:val="0"/>
          <w:lang w:val="it-IT"/>
        </w:rPr>
        <w:t>condanna di AMA al pagamento dei maggiori costi sopportati in conseguenza dei conferimenti notturni conseguenti all</w:t>
      </w:r>
      <w:r>
        <w:rPr>
          <w:rFonts w:hAnsi="Book Antiqua" w:hint="default"/>
          <w:rtl w:val="0"/>
          <w:lang w:val="it-IT"/>
        </w:rPr>
        <w:t>’</w:t>
      </w:r>
      <w:r>
        <w:rPr>
          <w:rFonts w:ascii="Book Antiqua"/>
          <w:rtl w:val="0"/>
          <w:lang w:val="it-IT"/>
        </w:rPr>
        <w:t>obbligata istituzione del turno lavorativo notturno.</w:t>
      </w:r>
    </w:p>
    <w:p>
      <w:pPr>
        <w:pStyle w:val="List Paragraph"/>
        <w:ind w:left="567" w:right="567" w:firstLine="0"/>
        <w:jc w:val="both"/>
        <w:rPr>
          <w:rFonts w:ascii="Book Antiqua" w:cs="Book Antiqua" w:hAnsi="Book Antiqua" w:eastAsia="Book Antiqua"/>
        </w:rPr>
      </w:pPr>
      <w:r>
        <w:rPr>
          <w:rFonts w:ascii="Book Antiqua"/>
          <w:rtl w:val="0"/>
          <w:lang w:val="it-IT"/>
        </w:rPr>
        <w:t>II</w:t>
      </w:r>
    </w:p>
    <w:p>
      <w:pPr>
        <w:pStyle w:val="List Paragraph"/>
        <w:ind w:left="567" w:right="567" w:firstLine="0"/>
        <w:jc w:val="both"/>
        <w:rPr>
          <w:rFonts w:ascii="Book Antiqua" w:cs="Book Antiqua" w:hAnsi="Book Antiqua" w:eastAsia="Book Antiqua"/>
        </w:rPr>
      </w:pPr>
      <w:r>
        <w:rPr>
          <w:rFonts w:ascii="Book Antiqua"/>
          <w:rtl w:val="0"/>
          <w:lang w:val="it-IT"/>
        </w:rPr>
        <w:t>Con domanda di arbitrato e nomina di arbitro, notificata in data 19 novembre 2012, COLARI ha promosso un giudizio arbitrale,</w:t>
      </w:r>
      <w:r>
        <w:rPr>
          <w:rFonts w:ascii="Book Antiqua Bold"/>
          <w:b w:val="1"/>
          <w:bCs w:val="1"/>
          <w:rtl w:val="0"/>
          <w:lang w:val="it-IT"/>
        </w:rPr>
        <w:t xml:space="preserve"> </w:t>
      </w:r>
      <w:r>
        <w:rPr>
          <w:rFonts w:ascii="Book Antiqua"/>
          <w:rtl w:val="0"/>
          <w:lang w:val="it-IT"/>
        </w:rPr>
        <w:t>ai sensi dell</w:t>
      </w:r>
      <w:r>
        <w:rPr>
          <w:rFonts w:hAnsi="Book Antiqua" w:hint="default"/>
          <w:rtl w:val="0"/>
          <w:lang w:val="it-IT"/>
        </w:rPr>
        <w:t>’</w:t>
      </w:r>
      <w:r>
        <w:rPr>
          <w:rFonts w:ascii="Book Antiqua"/>
          <w:rtl w:val="0"/>
          <w:lang w:val="it-IT"/>
        </w:rPr>
        <w:t xml:space="preserve">articolo 6 del contratto stipulato tra AMA e la medesima COLARI in data 30 giugno 2009, sottoponendo al vaglio del costituendo collegio la questione relativa alla stipula ed ai contenuti di un nuovo contratto avente ad oggetto il conferimento ed il trattamento dei rifiuti urbani indifferenziati prodotti nel territorio di Roma Capitale presso gli impianti di trattamento meccanico biologico denominati Malagrotta 1 e Malagrotta 2. </w:t>
      </w:r>
    </w:p>
    <w:p>
      <w:pPr>
        <w:pStyle w:val="List Paragraph"/>
        <w:ind w:left="567" w:right="567" w:firstLine="0"/>
        <w:jc w:val="both"/>
        <w:rPr>
          <w:rFonts w:ascii="Book Antiqua" w:cs="Book Antiqua" w:hAnsi="Book Antiqua" w:eastAsia="Book Antiqua"/>
        </w:rPr>
      </w:pPr>
      <w:r>
        <w:rPr>
          <w:rFonts w:ascii="Book Antiqua"/>
          <w:rtl w:val="0"/>
          <w:lang w:val="it-IT"/>
        </w:rPr>
        <w:t xml:space="preserve">In particolare, sono stati sottoposti al costituendo collegio arbitrale i seguenti quesiti: </w:t>
      </w:r>
    </w:p>
    <w:p>
      <w:pPr>
        <w:pStyle w:val="List Paragraph"/>
        <w:ind w:left="567" w:right="567" w:firstLine="0"/>
        <w:jc w:val="both"/>
        <w:rPr>
          <w:rFonts w:ascii="Book Antiqua" w:cs="Book Antiqua" w:hAnsi="Book Antiqua" w:eastAsia="Book Antiqua"/>
        </w:rPr>
      </w:pPr>
      <w:r>
        <w:rPr>
          <w:rFonts w:ascii="Book Antiqua"/>
          <w:rtl w:val="0"/>
          <w:lang w:val="it-IT"/>
        </w:rPr>
        <w:t>accertamento dell</w:t>
      </w:r>
      <w:r>
        <w:rPr>
          <w:rFonts w:hAnsi="Book Antiqua" w:hint="default"/>
          <w:rtl w:val="0"/>
          <w:lang w:val="it-IT"/>
        </w:rPr>
        <w:t>’</w:t>
      </w:r>
      <w:r>
        <w:rPr>
          <w:rFonts w:ascii="Book Antiqua"/>
          <w:rtl w:val="0"/>
          <w:lang w:val="it-IT"/>
        </w:rPr>
        <w:t xml:space="preserve">obbligo delle parti di stabilire un nuovo </w:t>
      </w:r>
      <w:r>
        <w:rPr>
          <w:rFonts w:hAnsi="Book Antiqua" w:hint="default"/>
          <w:rtl w:val="0"/>
          <w:lang w:val="it-IT"/>
        </w:rPr>
        <w:t>“</w:t>
      </w:r>
      <w:r>
        <w:rPr>
          <w:rFonts w:ascii="Book Antiqua"/>
          <w:rtl w:val="0"/>
          <w:lang w:val="it-IT"/>
        </w:rPr>
        <w:t>oggetto</w:t>
      </w:r>
      <w:r>
        <w:rPr>
          <w:rFonts w:hAnsi="Book Antiqua" w:hint="default"/>
          <w:rtl w:val="0"/>
          <w:lang w:val="it-IT"/>
        </w:rPr>
        <w:t xml:space="preserve">” </w:t>
      </w:r>
      <w:r>
        <w:rPr>
          <w:rFonts w:ascii="Book Antiqua"/>
          <w:rtl w:val="0"/>
          <w:lang w:val="it-IT"/>
        </w:rPr>
        <w:t>(articolo 2) ed una nuova durata (articolo 4) del contratto in conformit</w:t>
      </w:r>
      <w:r>
        <w:rPr>
          <w:rFonts w:hAnsi="Book Antiqua" w:hint="default"/>
          <w:rtl w:val="0"/>
          <w:lang w:val="it-IT"/>
        </w:rPr>
        <w:t xml:space="preserve">à </w:t>
      </w:r>
      <w:r>
        <w:rPr>
          <w:rFonts w:ascii="Book Antiqua"/>
          <w:rtl w:val="0"/>
          <w:lang w:val="it-IT"/>
        </w:rPr>
        <w:t>alle disposizioni vigenti (e quindi con un minimo di 1.500 tonnellate di rifiuti giornalieri, quanto all</w:t>
      </w:r>
      <w:r>
        <w:rPr>
          <w:rFonts w:hAnsi="Book Antiqua" w:hint="default"/>
          <w:rtl w:val="0"/>
          <w:lang w:val="it-IT"/>
        </w:rPr>
        <w:t>’</w:t>
      </w:r>
      <w:r>
        <w:rPr>
          <w:rFonts w:ascii="Book Antiqua"/>
          <w:rtl w:val="0"/>
          <w:lang w:val="it-IT"/>
        </w:rPr>
        <w:t>oggetto, e da almeno dieci anni del raggiungimento del nuovo accordo, quanto alla durata);</w:t>
      </w:r>
    </w:p>
    <w:p>
      <w:pPr>
        <w:pStyle w:val="List Paragraph"/>
        <w:ind w:left="567" w:right="567" w:firstLine="0"/>
        <w:jc w:val="both"/>
        <w:rPr>
          <w:rFonts w:ascii="Book Antiqua" w:cs="Book Antiqua" w:hAnsi="Book Antiqua" w:eastAsia="Book Antiqua"/>
        </w:rPr>
      </w:pPr>
      <w:r>
        <w:rPr>
          <w:rFonts w:ascii="Book Antiqua"/>
          <w:rtl w:val="0"/>
          <w:lang w:val="it-IT"/>
        </w:rPr>
        <w:t>in alternativa, accertamento della nullit</w:t>
      </w:r>
      <w:r>
        <w:rPr>
          <w:rFonts w:hAnsi="Book Antiqua" w:hint="default"/>
          <w:rtl w:val="0"/>
          <w:lang w:val="it-IT"/>
        </w:rPr>
        <w:t xml:space="preserve">à </w:t>
      </w:r>
      <w:r>
        <w:rPr>
          <w:rFonts w:ascii="Book Antiqua"/>
          <w:rtl w:val="0"/>
          <w:lang w:val="it-IT"/>
        </w:rPr>
        <w:t>delle clausole di cui agli articoli 2 (oggetto) e 4 (durata) del contratto e l</w:t>
      </w:r>
      <w:r>
        <w:rPr>
          <w:rFonts w:hAnsi="Book Antiqua" w:hint="default"/>
          <w:rtl w:val="0"/>
          <w:lang w:val="it-IT"/>
        </w:rPr>
        <w:t>’</w:t>
      </w:r>
      <w:r>
        <w:rPr>
          <w:rFonts w:ascii="Book Antiqua"/>
          <w:rtl w:val="0"/>
          <w:lang w:val="it-IT"/>
        </w:rPr>
        <w:t>integrazione delle stesse con clausole conformi alle disposizioni vigenti;</w:t>
      </w:r>
    </w:p>
    <w:p>
      <w:pPr>
        <w:pStyle w:val="List Paragraph"/>
        <w:ind w:left="567" w:right="567" w:firstLine="0"/>
        <w:jc w:val="both"/>
        <w:rPr>
          <w:rFonts w:ascii="Book Antiqua" w:cs="Book Antiqua" w:hAnsi="Book Antiqua" w:eastAsia="Book Antiqua"/>
        </w:rPr>
      </w:pPr>
      <w:r>
        <w:rPr>
          <w:rFonts w:ascii="Book Antiqua"/>
          <w:rtl w:val="0"/>
          <w:lang w:val="it-IT"/>
        </w:rPr>
        <w:t>accertamento degli ulteriori profili di inadempimento e/o responsabilit</w:t>
      </w:r>
      <w:r>
        <w:rPr>
          <w:rFonts w:hAnsi="Book Antiqua" w:hint="default"/>
          <w:rtl w:val="0"/>
          <w:lang w:val="it-IT"/>
        </w:rPr>
        <w:t xml:space="preserve">à </w:t>
      </w:r>
      <w:r>
        <w:rPr>
          <w:rFonts w:ascii="Book Antiqua"/>
          <w:rtl w:val="0"/>
          <w:lang w:val="it-IT"/>
        </w:rPr>
        <w:t>dell</w:t>
      </w:r>
      <w:r>
        <w:rPr>
          <w:rFonts w:hAnsi="Book Antiqua" w:hint="default"/>
          <w:rtl w:val="0"/>
          <w:lang w:val="it-IT"/>
        </w:rPr>
        <w:t>’</w:t>
      </w:r>
      <w:r>
        <w:rPr>
          <w:rFonts w:ascii="Book Antiqua"/>
          <w:rtl w:val="0"/>
          <w:lang w:val="it-IT"/>
        </w:rPr>
        <w:t>AMA nei confronti di Co.La.Ri, come verranno precisati nel corso del giudizio e che si indicano, salva integrazione nell</w:t>
      </w:r>
      <w:r>
        <w:rPr>
          <w:rFonts w:hAnsi="Book Antiqua" w:hint="default"/>
          <w:rtl w:val="0"/>
          <w:lang w:val="it-IT"/>
        </w:rPr>
        <w:t>’</w:t>
      </w:r>
      <w:r>
        <w:rPr>
          <w:rFonts w:ascii="Book Antiqua"/>
          <w:rtl w:val="0"/>
          <w:lang w:val="it-IT"/>
        </w:rPr>
        <w:t>abuso di dipendenza economica, nell</w:t>
      </w:r>
      <w:r>
        <w:rPr>
          <w:rFonts w:hAnsi="Book Antiqua" w:hint="default"/>
          <w:rtl w:val="0"/>
          <w:lang w:val="it-IT"/>
        </w:rPr>
        <w:t>’</w:t>
      </w:r>
      <w:r>
        <w:rPr>
          <w:rFonts w:ascii="Book Antiqua"/>
          <w:rtl w:val="0"/>
          <w:lang w:val="it-IT"/>
        </w:rPr>
        <w:t>abuso di posizione dominante, nella violazione dell</w:t>
      </w:r>
      <w:r>
        <w:rPr>
          <w:rFonts w:hAnsi="Book Antiqua" w:hint="default"/>
          <w:rtl w:val="0"/>
          <w:lang w:val="it-IT"/>
        </w:rPr>
        <w:t>’</w:t>
      </w:r>
      <w:r>
        <w:rPr>
          <w:rFonts w:ascii="Book Antiqua"/>
          <w:rtl w:val="0"/>
          <w:lang w:val="it-IT"/>
        </w:rPr>
        <w:t>obbligo di buona fede, nella interpretazione e nella esecuzione del contratto, nella violazione dei doveri di correttezza nella concorrenza, nella violazione dell</w:t>
      </w:r>
      <w:r>
        <w:rPr>
          <w:rFonts w:hAnsi="Book Antiqua" w:hint="default"/>
          <w:rtl w:val="0"/>
          <w:lang w:val="it-IT"/>
        </w:rPr>
        <w:t>’</w:t>
      </w:r>
      <w:r>
        <w:rPr>
          <w:rFonts w:ascii="Book Antiqua"/>
          <w:rtl w:val="0"/>
          <w:lang w:val="it-IT"/>
        </w:rPr>
        <w:t>obbligo di rinegoziazione;</w:t>
      </w:r>
    </w:p>
    <w:p>
      <w:pPr>
        <w:pStyle w:val="List Paragraph"/>
        <w:ind w:left="567" w:right="567" w:firstLine="0"/>
        <w:jc w:val="both"/>
        <w:rPr>
          <w:rFonts w:ascii="Book Antiqua" w:cs="Book Antiqua" w:hAnsi="Book Antiqua" w:eastAsia="Book Antiqua"/>
        </w:rPr>
      </w:pPr>
      <w:r>
        <w:rPr>
          <w:rFonts w:ascii="Book Antiqua"/>
          <w:rtl w:val="0"/>
          <w:lang w:val="it-IT"/>
        </w:rPr>
        <w:t xml:space="preserve">condanna di AMA a rifondere a Co.La.Ri tutti i costi e le spese del procedimento ivi inclusi i compensi degli arbitri e gli onerari sostenuti dalla difesa. </w:t>
      </w:r>
    </w:p>
    <w:p>
      <w:pPr>
        <w:pStyle w:val="Plain Text"/>
        <w:ind w:left="567" w:right="567" w:firstLine="0"/>
        <w:jc w:val="both"/>
        <w:rPr>
          <w:rFonts w:ascii="Book Antiqua" w:cs="Book Antiqua" w:hAnsi="Book Antiqua" w:eastAsia="Book Antiqua"/>
        </w:rPr>
      </w:pPr>
      <w:r>
        <w:rPr>
          <w:rFonts w:ascii="Book Antiqua"/>
          <w:rtl w:val="0"/>
          <w:lang w:val="it-IT"/>
        </w:rPr>
        <w:t xml:space="preserve">Per quanto riguarda il contenzioso con il gruppo Co.La.Ri., il </w:t>
      </w:r>
      <w:r>
        <w:rPr>
          <w:rFonts w:hAnsi="Book Antiqua" w:hint="default"/>
          <w:rtl w:val="0"/>
          <w:lang w:val="it-IT"/>
        </w:rPr>
        <w:t>“</w:t>
      </w:r>
      <w:r>
        <w:rPr>
          <w:rFonts w:ascii="Book Antiqua"/>
          <w:rtl w:val="0"/>
          <w:lang w:val="it-IT"/>
        </w:rPr>
        <w:t>lodo 1</w:t>
      </w:r>
      <w:r>
        <w:rPr>
          <w:rFonts w:hAnsi="Book Antiqua" w:hint="default"/>
          <w:rtl w:val="0"/>
          <w:lang w:val="it-IT"/>
        </w:rPr>
        <w:t xml:space="preserve">” </w:t>
      </w:r>
      <w:r>
        <w:rPr>
          <w:rFonts w:ascii="Book Antiqua"/>
          <w:rtl w:val="0"/>
          <w:lang w:val="it-IT"/>
        </w:rPr>
        <w:t xml:space="preserve">si </w:t>
      </w:r>
      <w:r>
        <w:rPr>
          <w:rFonts w:hAnsi="Book Antiqua" w:hint="default"/>
          <w:rtl w:val="0"/>
          <w:lang w:val="it-IT"/>
        </w:rPr>
        <w:t xml:space="preserve">è </w:t>
      </w:r>
      <w:r>
        <w:rPr>
          <w:rFonts w:ascii="Book Antiqua"/>
          <w:rtl w:val="0"/>
          <w:lang w:val="it-IT"/>
        </w:rPr>
        <w:t xml:space="preserve">concluso, in appello, con la condanna di AMA e Roma Capitale al pagamento di 89 milioni di euro al gruppo Co.La.Ri.; </w:t>
      </w:r>
      <w:r>
        <w:rPr>
          <w:rFonts w:hAnsi="Book Antiqua" w:hint="default"/>
          <w:rtl w:val="0"/>
          <w:lang w:val="it-IT"/>
        </w:rPr>
        <w:t xml:space="preserve">è </w:t>
      </w:r>
      <w:r>
        <w:rPr>
          <w:rFonts w:ascii="Book Antiqua"/>
          <w:rtl w:val="0"/>
          <w:lang w:val="it-IT"/>
        </w:rPr>
        <w:t xml:space="preserve">stato proposto ricorso in Cassazione; la somma con gli interessi, pari a circa 98 milioni di euro, </w:t>
      </w:r>
      <w:r>
        <w:rPr>
          <w:rFonts w:hAnsi="Book Antiqua" w:hint="default"/>
          <w:rtl w:val="0"/>
          <w:lang w:val="it-IT"/>
        </w:rPr>
        <w:t xml:space="preserve">è </w:t>
      </w:r>
      <w:r>
        <w:rPr>
          <w:rFonts w:ascii="Book Antiqua"/>
          <w:rtl w:val="0"/>
          <w:lang w:val="it-IT"/>
        </w:rPr>
        <w:t>stata inserita nel bilancio del comune di Roma Capitale dell</w:t>
      </w:r>
      <w:r>
        <w:rPr>
          <w:rFonts w:hAnsi="Book Antiqua" w:hint="default"/>
          <w:rtl w:val="0"/>
          <w:lang w:val="it-IT"/>
        </w:rPr>
        <w:t>’</w:t>
      </w:r>
      <w:r>
        <w:rPr>
          <w:rFonts w:ascii="Book Antiqua"/>
          <w:rtl w:val="0"/>
          <w:lang w:val="it-IT"/>
        </w:rPr>
        <w:t>anno 2014, in quanto Co.La.Ri. potrebbe esigere le somme da AMA, ma AMA le recupererebbe poi da Roma Capitale; si tratta peraltro di un</w:t>
      </w:r>
      <w:r>
        <w:rPr>
          <w:rFonts w:hAnsi="Book Antiqua" w:hint="default"/>
          <w:rtl w:val="0"/>
          <w:lang w:val="it-IT"/>
        </w:rPr>
        <w:t>’</w:t>
      </w:r>
      <w:r>
        <w:rPr>
          <w:rFonts w:ascii="Book Antiqua"/>
          <w:rtl w:val="0"/>
          <w:lang w:val="it-IT"/>
        </w:rPr>
        <w:t>evenienza che viene a prodursi in ragione della gestione commissariale, perch</w:t>
      </w:r>
      <w:r>
        <w:rPr>
          <w:rFonts w:hAnsi="Book Antiqua" w:hint="default"/>
          <w:rtl w:val="0"/>
          <w:lang w:val="it-IT"/>
        </w:rPr>
        <w:t xml:space="preserve">é </w:t>
      </w:r>
      <w:r>
        <w:rPr>
          <w:rFonts w:ascii="Book Antiqua"/>
          <w:rtl w:val="0"/>
          <w:lang w:val="it-IT"/>
        </w:rPr>
        <w:t>i fatti lamentati nel lodo risalgono all</w:t>
      </w:r>
      <w:r>
        <w:rPr>
          <w:rFonts w:hAnsi="Book Antiqua" w:hint="default"/>
          <w:rtl w:val="0"/>
          <w:lang w:val="it-IT"/>
        </w:rPr>
        <w:t>’</w:t>
      </w:r>
      <w:r>
        <w:rPr>
          <w:rFonts w:ascii="Book Antiqua"/>
          <w:rtl w:val="0"/>
          <w:lang w:val="it-IT"/>
        </w:rPr>
        <w:t xml:space="preserve">anno 2008, ossia alla gestione commissariale; il comune di Roma li ha inseriti nel proprio bilancio. </w:t>
      </w:r>
    </w:p>
    <w:p>
      <w:pPr>
        <w:pStyle w:val="Normal"/>
        <w:ind w:left="567" w:right="567" w:firstLine="0"/>
        <w:jc w:val="both"/>
        <w:rPr>
          <w:rFonts w:ascii="Book Antiqua" w:cs="Book Antiqua" w:hAnsi="Book Antiqua" w:eastAsia="Book Antiqua"/>
        </w:rPr>
      </w:pPr>
      <w:r>
        <w:rPr>
          <w:rFonts w:ascii="Book Antiqua"/>
          <w:rtl w:val="0"/>
          <w:lang w:val="it-IT"/>
        </w:rPr>
        <w:t xml:space="preserve">Per quanto riguarda il </w:t>
      </w:r>
      <w:r>
        <w:rPr>
          <w:rFonts w:hAnsi="Book Antiqua" w:hint="default"/>
          <w:rtl w:val="0"/>
          <w:lang w:val="it-IT"/>
        </w:rPr>
        <w:t>“</w:t>
      </w:r>
      <w:r>
        <w:rPr>
          <w:rFonts w:ascii="Book Antiqua"/>
          <w:rtl w:val="0"/>
          <w:lang w:val="it-IT"/>
        </w:rPr>
        <w:t>lodo 2</w:t>
      </w:r>
      <w:r>
        <w:rPr>
          <w:rFonts w:hAnsi="Book Antiqua" w:hint="default"/>
          <w:rtl w:val="0"/>
          <w:lang w:val="it-IT"/>
        </w:rPr>
        <w:t xml:space="preserve">” </w:t>
      </w:r>
      <w:r>
        <w:rPr>
          <w:rFonts w:ascii="Book Antiqua"/>
          <w:rtl w:val="0"/>
          <w:lang w:val="it-IT"/>
        </w:rPr>
        <w:t>AMA ha vinto il primo arbitrato e confida in una conferma anche in sede di appello.</w:t>
      </w:r>
    </w:p>
    <w:p>
      <w:pPr>
        <w:pStyle w:val="Normal"/>
        <w:ind w:left="567" w:right="567" w:firstLine="0"/>
        <w:jc w:val="both"/>
        <w:rPr>
          <w:rFonts w:ascii="Book Antiqua" w:cs="Book Antiqua" w:hAnsi="Book Antiqua" w:eastAsia="Book Antiqua"/>
        </w:rPr>
      </w:pPr>
      <w:r>
        <w:rPr>
          <w:rFonts w:ascii="Book Antiqua"/>
          <w:rtl w:val="0"/>
          <w:lang w:val="it-IT"/>
        </w:rPr>
        <w:t>In maggiore dettaglio, quanto allo svolgimento del primo arbitrato:</w:t>
      </w:r>
    </w:p>
    <w:p>
      <w:pPr>
        <w:pStyle w:val="Normal"/>
        <w:ind w:left="567" w:right="567" w:firstLine="0"/>
        <w:jc w:val="both"/>
        <w:rPr>
          <w:rFonts w:ascii="Book Antiqua" w:cs="Book Antiqua" w:hAnsi="Book Antiqua" w:eastAsia="Book Antiqua"/>
        </w:rPr>
      </w:pPr>
      <w:r>
        <w:rPr>
          <w:rFonts w:ascii="Book Antiqua"/>
          <w:rtl w:val="0"/>
          <w:lang w:val="it-IT"/>
        </w:rPr>
        <w:t>AMA ha stipulato in data 26 gennaio 1996 con il Co.La.Ri. un contratto concernente l</w:t>
      </w:r>
      <w:r>
        <w:rPr>
          <w:rFonts w:hAnsi="Book Antiqua" w:hint="default"/>
          <w:rtl w:val="0"/>
          <w:lang w:val="it-IT"/>
        </w:rPr>
        <w:t>’</w:t>
      </w:r>
      <w:r>
        <w:rPr>
          <w:rFonts w:ascii="Book Antiqua"/>
          <w:rtl w:val="0"/>
          <w:lang w:val="it-IT"/>
        </w:rPr>
        <w:t>affidamento e lo smaltimento dei RSU presso la discarica di Malagrotta. Con atto di nomina di arbitro notificato in data 11 maggio 2001, e successive integrazioni, il Co.La.Ri. ha proposto un arbitrato contro AMA formulando le seguenti domande:</w:t>
      </w:r>
    </w:p>
    <w:p>
      <w:pPr>
        <w:pStyle w:val="Normal"/>
        <w:ind w:left="567" w:right="567" w:firstLine="0"/>
        <w:jc w:val="both"/>
        <w:rPr>
          <w:rFonts w:ascii="Book Antiqua" w:cs="Book Antiqua" w:hAnsi="Book Antiqua" w:eastAsia="Book Antiqua"/>
        </w:rPr>
      </w:pPr>
      <w:r>
        <w:rPr>
          <w:rFonts w:ascii="Book Antiqua"/>
          <w:rtl w:val="0"/>
          <w:lang w:val="it-IT"/>
        </w:rPr>
        <w:t>1) domanda di condanna di AMA al pagamento dei maggiori costi, riferiti al periodo 1996-settembre 2002, sopportati in conseguenza dell'imprevisto incremento dei prezzi di alcuni dei fattori di produzione sul presupposto di maggiori e imprevisti oneri sofferti in dipendenza dell</w:t>
      </w:r>
      <w:r>
        <w:rPr>
          <w:rFonts w:hAnsi="Book Antiqua" w:hint="default"/>
          <w:rtl w:val="0"/>
          <w:lang w:val="it-IT"/>
        </w:rPr>
        <w:t>’</w:t>
      </w:r>
      <w:r>
        <w:rPr>
          <w:rFonts w:ascii="Book Antiqua"/>
          <w:rtl w:val="0"/>
          <w:lang w:val="it-IT"/>
        </w:rPr>
        <w:t>incremento dei costi di esecuzione del servizio;</w:t>
      </w:r>
    </w:p>
    <w:p>
      <w:pPr>
        <w:pStyle w:val="Normal"/>
        <w:ind w:left="567" w:right="567" w:firstLine="0"/>
        <w:jc w:val="both"/>
        <w:rPr>
          <w:rFonts w:ascii="Book Antiqua" w:cs="Book Antiqua" w:hAnsi="Book Antiqua" w:eastAsia="Book Antiqua"/>
        </w:rPr>
      </w:pPr>
      <w:r>
        <w:rPr>
          <w:rFonts w:ascii="Book Antiqua"/>
          <w:rtl w:val="0"/>
          <w:lang w:val="it-IT"/>
        </w:rPr>
        <w:t>2) domanda di condanna di AMA al pagamento dei maggiori costi sopportati in conseguenza delle limitazioni temporali poste dall'ordinanza sindacale n. 64 del 2 marzo 1999, con la quale, a dire dell</w:t>
      </w:r>
      <w:r>
        <w:rPr>
          <w:rFonts w:hAnsi="Book Antiqua" w:hint="default"/>
          <w:rtl w:val="0"/>
          <w:lang w:val="it-IT"/>
        </w:rPr>
        <w:t>’</w:t>
      </w:r>
      <w:r>
        <w:rPr>
          <w:rFonts w:ascii="Book Antiqua"/>
          <w:rtl w:val="0"/>
          <w:lang w:val="it-IT"/>
        </w:rPr>
        <w:t xml:space="preserve">attrice, il consorzio </w:t>
      </w:r>
      <w:r>
        <w:rPr>
          <w:rFonts w:hAnsi="Book Antiqua" w:hint="default"/>
          <w:rtl w:val="0"/>
          <w:lang w:val="it-IT"/>
        </w:rPr>
        <w:t xml:space="preserve">è </w:t>
      </w:r>
      <w:r>
        <w:rPr>
          <w:rFonts w:ascii="Book Antiqua"/>
          <w:rtl w:val="0"/>
          <w:lang w:val="it-IT"/>
        </w:rPr>
        <w:t>stato costretto ad istituire turni completi di lavoro nei giorni festivi;</w:t>
      </w:r>
    </w:p>
    <w:p>
      <w:pPr>
        <w:pStyle w:val="Normal"/>
        <w:ind w:left="567" w:right="567" w:firstLine="0"/>
        <w:jc w:val="both"/>
        <w:rPr>
          <w:rFonts w:ascii="Book Antiqua" w:cs="Book Antiqua" w:hAnsi="Book Antiqua" w:eastAsia="Book Antiqua"/>
        </w:rPr>
      </w:pPr>
      <w:r>
        <w:rPr>
          <w:rFonts w:ascii="Book Antiqua"/>
          <w:rtl w:val="0"/>
          <w:lang w:val="it-IT"/>
        </w:rPr>
        <w:t xml:space="preserve">3) domanda di condanna di AMA al pagamento dei maggiori oneri sostenendi per la gestione post mortem della discarica, a seguito del prolungamento da 10 a 30 anni del periodo di post-gestione in base alla normativa comunitaria, implementata in Italia; </w:t>
      </w:r>
    </w:p>
    <w:p>
      <w:pPr>
        <w:pStyle w:val="Normal"/>
        <w:ind w:left="567" w:right="567" w:firstLine="0"/>
        <w:jc w:val="both"/>
        <w:rPr>
          <w:rFonts w:ascii="Book Antiqua" w:cs="Book Antiqua" w:hAnsi="Book Antiqua" w:eastAsia="Book Antiqua"/>
        </w:rPr>
      </w:pPr>
      <w:r>
        <w:rPr>
          <w:rFonts w:ascii="Book Antiqua"/>
          <w:rtl w:val="0"/>
          <w:lang w:val="it-IT"/>
        </w:rPr>
        <w:t xml:space="preserve">4) richiesta del Co.La.Ri. di applicazione della revisione dei prezzi contrattuali a far data dal mese di ottobre 2002; </w:t>
      </w:r>
    </w:p>
    <w:p>
      <w:pPr>
        <w:pStyle w:val="Normal"/>
        <w:ind w:left="567" w:right="567" w:firstLine="0"/>
        <w:jc w:val="both"/>
        <w:rPr>
          <w:rFonts w:ascii="Book Antiqua" w:cs="Book Antiqua" w:hAnsi="Book Antiqua" w:eastAsia="Book Antiqua"/>
        </w:rPr>
      </w:pPr>
      <w:r>
        <w:rPr>
          <w:rFonts w:ascii="Book Antiqua"/>
          <w:rtl w:val="0"/>
          <w:lang w:val="it-IT"/>
        </w:rPr>
        <w:t>5) domanda di condanna di AMA al pagamento dei maggiori costi sopportati in conseguenza dei conferimenti notturni conseguenti all</w:t>
      </w:r>
      <w:r>
        <w:rPr>
          <w:rFonts w:hAnsi="Book Antiqua" w:hint="default"/>
          <w:rtl w:val="0"/>
          <w:lang w:val="it-IT"/>
        </w:rPr>
        <w:t>’</w:t>
      </w:r>
      <w:r>
        <w:rPr>
          <w:rFonts w:ascii="Book Antiqua"/>
          <w:rtl w:val="0"/>
          <w:lang w:val="it-IT"/>
        </w:rPr>
        <w:t xml:space="preserve">obbligata istituzione del turno lavorativo notturno. </w:t>
      </w:r>
    </w:p>
    <w:p>
      <w:pPr>
        <w:pStyle w:val="Normal"/>
        <w:ind w:left="567" w:right="567" w:firstLine="0"/>
        <w:jc w:val="both"/>
        <w:rPr>
          <w:rFonts w:ascii="Book Antiqua" w:cs="Book Antiqua" w:hAnsi="Book Antiqua" w:eastAsia="Book Antiqua"/>
        </w:rPr>
      </w:pPr>
      <w:r>
        <w:rPr>
          <w:rFonts w:hAnsi="Book Antiqua" w:hint="default"/>
          <w:rtl w:val="0"/>
          <w:lang w:val="it-IT"/>
        </w:rPr>
        <w:t xml:space="preserve">È </w:t>
      </w:r>
      <w:r>
        <w:rPr>
          <w:rFonts w:ascii="Book Antiqua"/>
          <w:rtl w:val="0"/>
          <w:lang w:val="it-IT"/>
        </w:rPr>
        <w:t xml:space="preserve">stato validamente costituito e si </w:t>
      </w:r>
      <w:r>
        <w:rPr>
          <w:rFonts w:hAnsi="Book Antiqua" w:hint="default"/>
          <w:rtl w:val="0"/>
          <w:lang w:val="it-IT"/>
        </w:rPr>
        <w:t xml:space="preserve">è </w:t>
      </w:r>
      <w:r>
        <w:rPr>
          <w:rFonts w:ascii="Book Antiqua"/>
          <w:rtl w:val="0"/>
          <w:lang w:val="it-IT"/>
        </w:rPr>
        <w:t>insediato il collegio arbitrale, che, a sua volta, ha nominato tre consulenti tecnici, i quali hanno depositato diversi elaborati peritali. I consulenti nominati hanno depositato un primo elaborato e successive perizie integrative (l</w:t>
      </w:r>
      <w:r>
        <w:rPr>
          <w:rFonts w:hAnsi="Book Antiqua" w:hint="default"/>
          <w:rtl w:val="0"/>
          <w:lang w:val="it-IT"/>
        </w:rPr>
        <w:t>’</w:t>
      </w:r>
      <w:r>
        <w:rPr>
          <w:rFonts w:ascii="Book Antiqua"/>
          <w:rtl w:val="0"/>
          <w:lang w:val="it-IT"/>
        </w:rPr>
        <w:t>ultima in data 10 dicembre 2006), riducendo sostanzialmente la quantificazione delle domande di Co.La.Ri.</w:t>
      </w:r>
    </w:p>
    <w:p>
      <w:pPr>
        <w:pStyle w:val="Normal"/>
        <w:ind w:left="567" w:right="567" w:firstLine="0"/>
        <w:jc w:val="both"/>
        <w:rPr>
          <w:rFonts w:ascii="Book Antiqua" w:cs="Book Antiqua" w:hAnsi="Book Antiqua" w:eastAsia="Book Antiqua"/>
        </w:rPr>
      </w:pPr>
      <w:r>
        <w:rPr>
          <w:rFonts w:ascii="Book Antiqua"/>
          <w:rtl w:val="0"/>
          <w:lang w:val="it-IT"/>
        </w:rPr>
        <w:t>Successivamente, con lodo dell</w:t>
      </w:r>
      <w:r>
        <w:rPr>
          <w:rFonts w:hAnsi="Book Antiqua" w:hint="default"/>
          <w:rtl w:val="0"/>
          <w:lang w:val="it-IT"/>
        </w:rPr>
        <w:t>’</w:t>
      </w:r>
      <w:r>
        <w:rPr>
          <w:rFonts w:ascii="Book Antiqua"/>
          <w:rtl w:val="0"/>
          <w:lang w:val="it-IT"/>
        </w:rPr>
        <w:t xml:space="preserve">8 febbraio 2012, il collegio arbitrale ha definito il giudizio come di seguito: </w:t>
      </w:r>
    </w:p>
    <w:p>
      <w:pPr>
        <w:pStyle w:val="Normal"/>
        <w:ind w:left="567" w:right="567" w:firstLine="0"/>
        <w:jc w:val="both"/>
        <w:rPr>
          <w:rFonts w:ascii="Book Antiqua" w:cs="Book Antiqua" w:hAnsi="Book Antiqua" w:eastAsia="Book Antiqua"/>
        </w:rPr>
      </w:pPr>
      <w:r>
        <w:rPr>
          <w:rFonts w:ascii="Book Antiqua"/>
          <w:rtl w:val="0"/>
          <w:lang w:val="it-IT"/>
        </w:rPr>
        <w:t xml:space="preserve">1) ha respinto la domanda oggetto del primo quesito formulato dal Co.La.Ri.; </w:t>
      </w:r>
    </w:p>
    <w:p>
      <w:pPr>
        <w:pStyle w:val="Normal"/>
        <w:ind w:left="567" w:right="567" w:firstLine="0"/>
        <w:jc w:val="both"/>
        <w:rPr>
          <w:rFonts w:ascii="Book Antiqua" w:cs="Book Antiqua" w:hAnsi="Book Antiqua" w:eastAsia="Book Antiqua"/>
        </w:rPr>
      </w:pPr>
      <w:r>
        <w:rPr>
          <w:rFonts w:ascii="Book Antiqua"/>
          <w:rtl w:val="0"/>
          <w:lang w:val="it-IT"/>
        </w:rPr>
        <w:t xml:space="preserve">2) ha accolto la domanda oggetto del secondo quesito nei limiti di cui in motivazione, condannando AMA al pagamento in favore del Co.La.Ri. della somma di euro 847.067,91, oltre interessi e rivalutazione; </w:t>
      </w:r>
    </w:p>
    <w:p>
      <w:pPr>
        <w:pStyle w:val="Normal"/>
        <w:ind w:left="567" w:right="567" w:firstLine="0"/>
        <w:jc w:val="both"/>
        <w:rPr>
          <w:rFonts w:ascii="Book Antiqua" w:cs="Book Antiqua" w:hAnsi="Book Antiqua" w:eastAsia="Book Antiqua"/>
        </w:rPr>
      </w:pPr>
      <w:r>
        <w:rPr>
          <w:rFonts w:ascii="Book Antiqua"/>
          <w:rtl w:val="0"/>
          <w:lang w:val="it-IT"/>
        </w:rPr>
        <w:t xml:space="preserve">3) ha accolto la domanda oggetto del terzo quesito nei limiti di cui in motivazione, condannando AMA al pagamento in favore del Co.La.Ri. della somma di euro 76.391.533,29, (oltre interessi per euro 11.108.166,11 come da nota del Co.La.Ri. pervenuta in azienda il 24 luglio 2014); </w:t>
      </w:r>
    </w:p>
    <w:p>
      <w:pPr>
        <w:pStyle w:val="Normal"/>
        <w:ind w:left="567" w:right="567" w:firstLine="0"/>
        <w:jc w:val="both"/>
        <w:rPr>
          <w:rFonts w:ascii="Book Antiqua" w:cs="Book Antiqua" w:hAnsi="Book Antiqua" w:eastAsia="Book Antiqua"/>
        </w:rPr>
      </w:pPr>
      <w:r>
        <w:rPr>
          <w:rFonts w:ascii="Book Antiqua"/>
          <w:rtl w:val="0"/>
          <w:lang w:val="it-IT"/>
        </w:rPr>
        <w:t xml:space="preserve">4) ha preso atto della rinuncia, da parte del Co.La.Ri., alla domanda oggetto del quarto quesito, dichiarando cessata la materia del contendere; </w:t>
      </w:r>
    </w:p>
    <w:p>
      <w:pPr>
        <w:pStyle w:val="Normal"/>
        <w:ind w:left="567" w:right="567" w:firstLine="0"/>
        <w:jc w:val="both"/>
        <w:rPr>
          <w:rFonts w:ascii="Book Antiqua" w:cs="Book Antiqua" w:hAnsi="Book Antiqua" w:eastAsia="Book Antiqua"/>
        </w:rPr>
      </w:pPr>
      <w:r>
        <w:rPr>
          <w:rFonts w:ascii="Book Antiqua"/>
          <w:rtl w:val="0"/>
          <w:lang w:val="it-IT"/>
        </w:rPr>
        <w:t xml:space="preserve">5) ha accolto la domanda oggetto del quinto quesito nei limiti di cui in motivazione, condannando AMA al pagamento in favore del Co.La.Ri.  della somma di euro 1.133.115,49, oltre interessi e rivalutazione come in motivazione; </w:t>
      </w:r>
    </w:p>
    <w:p>
      <w:pPr>
        <w:pStyle w:val="Normal"/>
        <w:ind w:left="567" w:right="567" w:firstLine="0"/>
        <w:jc w:val="both"/>
        <w:rPr>
          <w:rFonts w:ascii="Book Antiqua" w:cs="Book Antiqua" w:hAnsi="Book Antiqua" w:eastAsia="Book Antiqua"/>
        </w:rPr>
      </w:pPr>
      <w:r>
        <w:rPr>
          <w:rFonts w:ascii="Book Antiqua"/>
          <w:rtl w:val="0"/>
          <w:lang w:val="it-IT"/>
        </w:rPr>
        <w:t xml:space="preserve">6) ha dichiarato inammissibile la domanda formulata dal Co.La.Ri. nella memoria del 20 ottobre 2005; </w:t>
      </w:r>
    </w:p>
    <w:p>
      <w:pPr>
        <w:pStyle w:val="Normal"/>
        <w:ind w:left="567" w:right="567" w:firstLine="0"/>
        <w:jc w:val="both"/>
        <w:rPr>
          <w:rFonts w:ascii="Book Antiqua" w:cs="Book Antiqua" w:hAnsi="Book Antiqua" w:eastAsia="Book Antiqua"/>
        </w:rPr>
      </w:pPr>
      <w:r>
        <w:rPr>
          <w:rFonts w:ascii="Book Antiqua"/>
          <w:rtl w:val="0"/>
          <w:lang w:val="it-IT"/>
        </w:rPr>
        <w:t>7) ha liquidato con separata ordinanza gli onorari degli arbitri, gli onorari dei periti, il compenso del segretario e le spese per il funzionamento del collegio arbitrale, ponendo l</w:t>
      </w:r>
      <w:r>
        <w:rPr>
          <w:rFonts w:hAnsi="Book Antiqua" w:hint="default"/>
          <w:rtl w:val="0"/>
          <w:lang w:val="it-IT"/>
        </w:rPr>
        <w:t>’</w:t>
      </w:r>
      <w:r>
        <w:rPr>
          <w:rFonts w:ascii="Book Antiqua"/>
          <w:rtl w:val="0"/>
          <w:lang w:val="it-IT"/>
        </w:rPr>
        <w:t xml:space="preserve">importo complessivo a carico di entrambe le parti nella misura del 50 per cento; </w:t>
      </w:r>
    </w:p>
    <w:p>
      <w:pPr>
        <w:pStyle w:val="Normal"/>
        <w:ind w:left="567" w:right="567" w:firstLine="0"/>
        <w:jc w:val="both"/>
        <w:rPr>
          <w:rFonts w:ascii="Book Antiqua" w:cs="Book Antiqua" w:hAnsi="Book Antiqua" w:eastAsia="Book Antiqua"/>
        </w:rPr>
      </w:pPr>
      <w:r>
        <w:rPr>
          <w:rFonts w:ascii="Book Antiqua"/>
          <w:rtl w:val="0"/>
          <w:lang w:val="it-IT"/>
        </w:rPr>
        <w:t>8) ha compensato le spese di lite e gli onorari di avvocato.</w:t>
      </w:r>
    </w:p>
    <w:p>
      <w:pPr>
        <w:pStyle w:val="Normal"/>
        <w:ind w:left="567" w:right="567" w:firstLine="0"/>
        <w:jc w:val="both"/>
        <w:rPr>
          <w:rFonts w:ascii="Book Antiqua" w:cs="Book Antiqua" w:hAnsi="Book Antiqua" w:eastAsia="Book Antiqua"/>
        </w:rPr>
      </w:pPr>
      <w:r>
        <w:rPr>
          <w:rFonts w:ascii="Book Antiqua"/>
          <w:rtl w:val="0"/>
          <w:lang w:val="it-IT"/>
        </w:rPr>
        <w:t>E</w:t>
      </w:r>
      <w:r>
        <w:rPr>
          <w:rFonts w:hAnsi="Book Antiqua" w:hint="default"/>
          <w:rtl w:val="0"/>
          <w:lang w:val="it-IT"/>
        </w:rPr>
        <w:t xml:space="preserve">’ </w:t>
      </w:r>
      <w:r>
        <w:rPr>
          <w:rFonts w:ascii="Book Antiqua"/>
          <w:rtl w:val="0"/>
          <w:lang w:val="it-IT"/>
        </w:rPr>
        <w:t xml:space="preserve">stato redatto da parte di AMA S.p.A. atto di impugnazione del lodo arbitrale che </w:t>
      </w:r>
      <w:r>
        <w:rPr>
          <w:rFonts w:hAnsi="Book Antiqua" w:hint="default"/>
          <w:rtl w:val="0"/>
          <w:lang w:val="it-IT"/>
        </w:rPr>
        <w:t xml:space="preserve">è </w:t>
      </w:r>
      <w:r>
        <w:rPr>
          <w:rFonts w:ascii="Book Antiqua"/>
          <w:rtl w:val="0"/>
          <w:lang w:val="it-IT"/>
        </w:rPr>
        <w:t xml:space="preserve">stato notificato a Co.La.Ri. ed il procedimento </w:t>
      </w:r>
      <w:r>
        <w:rPr>
          <w:rFonts w:hAnsi="Book Antiqua" w:hint="default"/>
          <w:rtl w:val="0"/>
          <w:lang w:val="it-IT"/>
        </w:rPr>
        <w:t xml:space="preserve">è </w:t>
      </w:r>
      <w:r>
        <w:rPr>
          <w:rFonts w:ascii="Book Antiqua"/>
          <w:rtl w:val="0"/>
          <w:lang w:val="it-IT"/>
        </w:rPr>
        <w:t xml:space="preserve">stato iscritto a ruolo in Corte di appello. Co.La.Ri. si </w:t>
      </w:r>
      <w:r>
        <w:rPr>
          <w:rFonts w:hAnsi="Book Antiqua" w:hint="default"/>
          <w:rtl w:val="0"/>
          <w:lang w:val="it-IT"/>
        </w:rPr>
        <w:t xml:space="preserve">è </w:t>
      </w:r>
      <w:r>
        <w:rPr>
          <w:rFonts w:ascii="Book Antiqua"/>
          <w:rtl w:val="0"/>
          <w:lang w:val="it-IT"/>
        </w:rPr>
        <w:t>costituita con comparsa del 4 giugno 2013, chiedendo l</w:t>
      </w:r>
      <w:r>
        <w:rPr>
          <w:rFonts w:hAnsi="Book Antiqua" w:hint="default"/>
          <w:rtl w:val="0"/>
          <w:lang w:val="it-IT"/>
        </w:rPr>
        <w:t>’</w:t>
      </w:r>
      <w:r>
        <w:rPr>
          <w:rFonts w:ascii="Book Antiqua"/>
          <w:rtl w:val="0"/>
          <w:lang w:val="it-IT"/>
        </w:rPr>
        <w:t>integrale rigetto dell</w:t>
      </w:r>
      <w:r>
        <w:rPr>
          <w:rFonts w:hAnsi="Book Antiqua" w:hint="default"/>
          <w:rtl w:val="0"/>
          <w:lang w:val="it-IT"/>
        </w:rPr>
        <w:t>’</w:t>
      </w:r>
      <w:r>
        <w:rPr>
          <w:rFonts w:ascii="Book Antiqua"/>
          <w:rtl w:val="0"/>
          <w:lang w:val="it-IT"/>
        </w:rPr>
        <w:t>impugnazione proposta e la conferma del lodo. All</w:t>
      </w:r>
      <w:r>
        <w:rPr>
          <w:rFonts w:hAnsi="Book Antiqua" w:hint="default"/>
          <w:rtl w:val="0"/>
          <w:lang w:val="it-IT"/>
        </w:rPr>
        <w:t>’</w:t>
      </w:r>
      <w:r>
        <w:rPr>
          <w:rFonts w:ascii="Book Antiqua"/>
          <w:rtl w:val="0"/>
          <w:lang w:val="it-IT"/>
        </w:rPr>
        <w:t>udienza del 25 giugno 2013, le parti hanno precisato le conclusioni gi</w:t>
      </w:r>
      <w:r>
        <w:rPr>
          <w:rFonts w:hAnsi="Book Antiqua" w:hint="default"/>
          <w:rtl w:val="0"/>
          <w:lang w:val="it-IT"/>
        </w:rPr>
        <w:t xml:space="preserve">à </w:t>
      </w:r>
      <w:r>
        <w:rPr>
          <w:rFonts w:ascii="Book Antiqua"/>
          <w:rtl w:val="0"/>
          <w:lang w:val="it-IT"/>
        </w:rPr>
        <w:t>rassegnate e la Corte ha trattenuto in decisione il giudizio. E</w:t>
      </w:r>
      <w:r>
        <w:rPr>
          <w:rFonts w:hAnsi="Book Antiqua" w:hint="default"/>
          <w:rtl w:val="0"/>
          <w:lang w:val="it-IT"/>
        </w:rPr>
        <w:t xml:space="preserve">’ </w:t>
      </w:r>
      <w:r>
        <w:rPr>
          <w:rFonts w:ascii="Book Antiqua"/>
          <w:rtl w:val="0"/>
          <w:lang w:val="it-IT"/>
        </w:rPr>
        <w:t>seguito il deposito delle comparse conclusionali e di replica. La Corte d</w:t>
      </w:r>
      <w:r>
        <w:rPr>
          <w:rFonts w:hAnsi="Book Antiqua" w:hint="default"/>
          <w:rtl w:val="0"/>
          <w:lang w:val="it-IT"/>
        </w:rPr>
        <w:t>’</w:t>
      </w:r>
      <w:r>
        <w:rPr>
          <w:rFonts w:ascii="Book Antiqua"/>
          <w:rtl w:val="0"/>
          <w:lang w:val="it-IT"/>
        </w:rPr>
        <w:t>appello di Roma, con sentenza n. 2668/2014 depositata in data 22 aprile 2014, ha rigettato l</w:t>
      </w:r>
      <w:r>
        <w:rPr>
          <w:rFonts w:hAnsi="Book Antiqua" w:hint="default"/>
          <w:rtl w:val="0"/>
          <w:lang w:val="it-IT"/>
        </w:rPr>
        <w:t>’</w:t>
      </w:r>
      <w:r>
        <w:rPr>
          <w:rFonts w:ascii="Book Antiqua"/>
          <w:rtl w:val="0"/>
          <w:lang w:val="it-IT"/>
        </w:rPr>
        <w:t>impugnazione e condannato l</w:t>
      </w:r>
      <w:r>
        <w:rPr>
          <w:rFonts w:hAnsi="Book Antiqua" w:hint="default"/>
          <w:rtl w:val="0"/>
          <w:lang w:val="it-IT"/>
        </w:rPr>
        <w:t>’</w:t>
      </w:r>
      <w:r>
        <w:rPr>
          <w:rFonts w:ascii="Book Antiqua"/>
          <w:rtl w:val="0"/>
          <w:lang w:val="it-IT"/>
        </w:rPr>
        <w:t>AMA al rimborso in favore del Co.La.Ri. delle spese di questo grado del giudizio liquidate in euro 100.000,00 oltre accessori di legge. Con ricorso notificato in data 3 dicembre 2014, AMA ha impugnato la sentenza della Corte d</w:t>
      </w:r>
      <w:r>
        <w:rPr>
          <w:rFonts w:hAnsi="Book Antiqua" w:hint="default"/>
          <w:rtl w:val="0"/>
          <w:lang w:val="it-IT"/>
        </w:rPr>
        <w:t>’</w:t>
      </w:r>
      <w:r>
        <w:rPr>
          <w:rFonts w:ascii="Book Antiqua"/>
          <w:rtl w:val="0"/>
          <w:lang w:val="it-IT"/>
        </w:rPr>
        <w:t>appello del 22 aprile 2014 davanti alla Corte di cassazione rilevandone l</w:t>
      </w:r>
      <w:r>
        <w:rPr>
          <w:rFonts w:hAnsi="Book Antiqua" w:hint="default"/>
          <w:rtl w:val="0"/>
          <w:lang w:val="it-IT"/>
        </w:rPr>
        <w:t>’</w:t>
      </w:r>
      <w:r>
        <w:rPr>
          <w:rFonts w:ascii="Book Antiqua"/>
          <w:rtl w:val="0"/>
          <w:lang w:val="it-IT"/>
        </w:rPr>
        <w:t>illegittimit</w:t>
      </w:r>
      <w:r>
        <w:rPr>
          <w:rFonts w:hAnsi="Book Antiqua" w:hint="default"/>
          <w:rtl w:val="0"/>
          <w:lang w:val="it-IT"/>
        </w:rPr>
        <w:t xml:space="preserve">à </w:t>
      </w:r>
      <w:r>
        <w:rPr>
          <w:rFonts w:ascii="Book Antiqua"/>
          <w:rtl w:val="0"/>
          <w:lang w:val="it-IT"/>
        </w:rPr>
        <w:t>e chiedendone, in via principale, l</w:t>
      </w:r>
      <w:r>
        <w:rPr>
          <w:rFonts w:hAnsi="Book Antiqua" w:hint="default"/>
          <w:rtl w:val="0"/>
          <w:lang w:val="it-IT"/>
        </w:rPr>
        <w:t>’</w:t>
      </w:r>
      <w:r>
        <w:rPr>
          <w:rFonts w:ascii="Book Antiqua"/>
          <w:rtl w:val="0"/>
          <w:lang w:val="it-IT"/>
        </w:rPr>
        <w:t>integrale cassazione, con rinvio a diverso giudice di merito. In via subordinata, qualora la Corte di cassazione avesse dovuto ritenere che il decreto legislativo 36/2003 preveda, agli articoli 15 e 17, l</w:t>
      </w:r>
      <w:r>
        <w:rPr>
          <w:rFonts w:hAnsi="Book Antiqua" w:hint="default"/>
          <w:rtl w:val="0"/>
          <w:lang w:val="it-IT"/>
        </w:rPr>
        <w:t>’</w:t>
      </w:r>
      <w:r>
        <w:rPr>
          <w:rFonts w:ascii="Book Antiqua"/>
          <w:rtl w:val="0"/>
          <w:lang w:val="it-IT"/>
        </w:rPr>
        <w:t>estensione degli obblighi relativi al post mortem alle discariche gi</w:t>
      </w:r>
      <w:r>
        <w:rPr>
          <w:rFonts w:hAnsi="Book Antiqua" w:hint="default"/>
          <w:rtl w:val="0"/>
          <w:lang w:val="it-IT"/>
        </w:rPr>
        <w:t xml:space="preserve">à </w:t>
      </w:r>
      <w:r>
        <w:rPr>
          <w:rFonts w:ascii="Book Antiqua"/>
          <w:rtl w:val="0"/>
          <w:lang w:val="it-IT"/>
        </w:rPr>
        <w:t>operative anche per i rifiuti in precedenza conferiti, AMA ha richiesto che detti articoli venissero disapplicati poich</w:t>
      </w:r>
      <w:r>
        <w:rPr>
          <w:rFonts w:hAnsi="Book Antiqua" w:hint="default"/>
          <w:rtl w:val="0"/>
          <w:lang w:val="it-IT"/>
        </w:rPr>
        <w:t xml:space="preserve">é </w:t>
      </w:r>
      <w:r>
        <w:rPr>
          <w:rFonts w:ascii="Book Antiqua"/>
          <w:rtl w:val="0"/>
          <w:lang w:val="it-IT"/>
        </w:rPr>
        <w:t>in contrasto con la direttiva CEE n. 1999/31, in particolare con gli articoli 10 e 14, nonch</w:t>
      </w:r>
      <w:r>
        <w:rPr>
          <w:rFonts w:hAnsi="Book Antiqua" w:hint="default"/>
          <w:rtl w:val="0"/>
          <w:lang w:val="it-IT"/>
        </w:rPr>
        <w:t xml:space="preserve">é </w:t>
      </w:r>
      <w:r>
        <w:rPr>
          <w:rFonts w:ascii="Book Antiqua"/>
          <w:rtl w:val="0"/>
          <w:lang w:val="it-IT"/>
        </w:rPr>
        <w:t xml:space="preserve">con principi fondamentali che sono alla base del diritto europeo e del nostro ordinamento costituzionale. </w:t>
      </w:r>
    </w:p>
    <w:p>
      <w:pPr>
        <w:pStyle w:val="Normal"/>
        <w:ind w:left="567" w:right="567" w:firstLine="0"/>
        <w:jc w:val="both"/>
        <w:rPr>
          <w:rFonts w:ascii="Book Antiqua" w:cs="Book Antiqua" w:hAnsi="Book Antiqua" w:eastAsia="Book Antiqua"/>
        </w:rPr>
      </w:pPr>
      <w:r>
        <w:rPr>
          <w:rFonts w:ascii="Book Antiqua"/>
          <w:rtl w:val="0"/>
          <w:lang w:val="it-IT"/>
        </w:rPr>
        <w:t>In via di ulteriore subordine, AMA ha richiesto alla Corte di cassazione, ove ritenuto necessario, di rinviare, in via pregiudiziale, la questione alla Corte di giustizia dell</w:t>
      </w:r>
      <w:r>
        <w:rPr>
          <w:rFonts w:hAnsi="Book Antiqua" w:hint="default"/>
          <w:rtl w:val="0"/>
          <w:lang w:val="it-IT"/>
        </w:rPr>
        <w:t>’</w:t>
      </w:r>
      <w:r>
        <w:rPr>
          <w:rFonts w:ascii="Book Antiqua"/>
          <w:rtl w:val="0"/>
          <w:lang w:val="it-IT"/>
        </w:rPr>
        <w:t>Unione europea, ex articolo 267 TFUE, per la corretta interpretazione della direttiva CEE n. 1999/31 e, in particolare, degli articoli 10 e 14, ed, infine, ancora in via subordinata, di rimettere alla Corte costituzionale la questione di legittimit</w:t>
      </w:r>
      <w:r>
        <w:rPr>
          <w:rFonts w:hAnsi="Book Antiqua" w:hint="default"/>
          <w:rtl w:val="0"/>
          <w:lang w:val="it-IT"/>
        </w:rPr>
        <w:t xml:space="preserve">à </w:t>
      </w:r>
      <w:r>
        <w:rPr>
          <w:rFonts w:ascii="Book Antiqua"/>
          <w:rtl w:val="0"/>
          <w:lang w:val="it-IT"/>
        </w:rPr>
        <w:t>costituzionale degli articoli 15 e 17 del decreto legislativo n. 36 del 2003 e, per quanto di rilievo, dell</w:t>
      </w:r>
      <w:r>
        <w:rPr>
          <w:rFonts w:hAnsi="Book Antiqua" w:hint="default"/>
          <w:rtl w:val="0"/>
          <w:lang w:val="it-IT"/>
        </w:rPr>
        <w:t>’</w:t>
      </w:r>
      <w:r>
        <w:rPr>
          <w:rFonts w:ascii="Book Antiqua"/>
          <w:rtl w:val="0"/>
          <w:lang w:val="it-IT"/>
        </w:rPr>
        <w:t>intero decreto legislativo n. 36 del 2003, nonch</w:t>
      </w:r>
      <w:r>
        <w:rPr>
          <w:rFonts w:hAnsi="Book Antiqua" w:hint="default"/>
          <w:rtl w:val="0"/>
          <w:lang w:val="it-IT"/>
        </w:rPr>
        <w:t xml:space="preserve">é </w:t>
      </w:r>
      <w:r>
        <w:rPr>
          <w:rFonts w:ascii="Book Antiqua"/>
          <w:rtl w:val="0"/>
          <w:lang w:val="it-IT"/>
        </w:rPr>
        <w:t xml:space="preserve">della normativa regionale di settore, di cui alla L.R. Lazio 27/1998 </w:t>
      </w:r>
      <w:r>
        <w:rPr>
          <w:rFonts w:hAnsi="Book Antiqua" w:hint="default"/>
          <w:rtl w:val="0"/>
          <w:lang w:val="it-IT"/>
        </w:rPr>
        <w:t xml:space="preserve">– </w:t>
      </w:r>
      <w:r>
        <w:rPr>
          <w:rFonts w:ascii="Book Antiqua"/>
          <w:rtl w:val="0"/>
          <w:lang w:val="it-IT"/>
        </w:rPr>
        <w:t xml:space="preserve">nella parte in cui non ha disciplinato nessuna misura transitoria in relazione al prolungamento del periodo di gestione post-operativa </w:t>
      </w:r>
      <w:r>
        <w:rPr>
          <w:rFonts w:hAnsi="Book Antiqua" w:hint="default"/>
          <w:rtl w:val="0"/>
          <w:lang w:val="it-IT"/>
        </w:rPr>
        <w:t>–</w:t>
      </w:r>
      <w:r>
        <w:rPr>
          <w:rFonts w:ascii="Book Antiqua"/>
          <w:rtl w:val="0"/>
          <w:lang w:val="it-IT"/>
        </w:rPr>
        <w:t xml:space="preserve">, per violazione degli articoli 1, 3, 41 e 76 della Costituzione. </w:t>
      </w:r>
    </w:p>
    <w:p>
      <w:pPr>
        <w:pStyle w:val="Normal"/>
        <w:ind w:left="567" w:right="567" w:firstLine="0"/>
        <w:jc w:val="both"/>
        <w:rPr>
          <w:rFonts w:ascii="Book Antiqua" w:cs="Book Antiqua" w:hAnsi="Book Antiqua" w:eastAsia="Book Antiqua"/>
        </w:rPr>
      </w:pPr>
      <w:r>
        <w:rPr>
          <w:rFonts w:ascii="Book Antiqua"/>
          <w:rtl w:val="0"/>
          <w:lang w:val="it-IT"/>
        </w:rPr>
        <w:t xml:space="preserve">La controversia </w:t>
      </w:r>
      <w:r>
        <w:rPr>
          <w:rFonts w:hAnsi="Book Antiqua" w:hint="default"/>
          <w:rtl w:val="0"/>
          <w:lang w:val="it-IT"/>
        </w:rPr>
        <w:t xml:space="preserve">è </w:t>
      </w:r>
      <w:r>
        <w:rPr>
          <w:rFonts w:ascii="Book Antiqua"/>
          <w:rtl w:val="0"/>
          <w:lang w:val="it-IT"/>
        </w:rPr>
        <w:t>stata assegnata alla I Sezione civile della Corte di cassazione con RG. n. 28510/14.</w:t>
      </w:r>
    </w:p>
    <w:p>
      <w:pPr>
        <w:pStyle w:val="Normal"/>
        <w:ind w:left="567" w:right="567" w:firstLine="0"/>
        <w:jc w:val="both"/>
        <w:rPr>
          <w:rFonts w:ascii="Book Antiqua" w:cs="Book Antiqua" w:hAnsi="Book Antiqua" w:eastAsia="Book Antiqua"/>
        </w:rPr>
      </w:pPr>
      <w:r>
        <w:rPr>
          <w:rFonts w:ascii="Book Antiqua"/>
          <w:rtl w:val="0"/>
          <w:lang w:val="it-IT"/>
        </w:rPr>
        <w:t xml:space="preserve">Il Co.La.Ri. si </w:t>
      </w:r>
      <w:r>
        <w:rPr>
          <w:rFonts w:hAnsi="Book Antiqua" w:hint="default"/>
          <w:rtl w:val="0"/>
          <w:lang w:val="it-IT"/>
        </w:rPr>
        <w:t xml:space="preserve">è </w:t>
      </w:r>
      <w:r>
        <w:rPr>
          <w:rFonts w:ascii="Book Antiqua"/>
          <w:rtl w:val="0"/>
          <w:lang w:val="it-IT"/>
        </w:rPr>
        <w:t>costituito con controricorso notificato in data 13 gennaio 2015, chiedendo l</w:t>
      </w:r>
      <w:r>
        <w:rPr>
          <w:rFonts w:hAnsi="Book Antiqua" w:hint="default"/>
          <w:rtl w:val="0"/>
          <w:lang w:val="it-IT"/>
        </w:rPr>
        <w:t>’</w:t>
      </w:r>
      <w:r>
        <w:rPr>
          <w:rFonts w:ascii="Book Antiqua"/>
          <w:rtl w:val="0"/>
          <w:lang w:val="it-IT"/>
        </w:rPr>
        <w:t xml:space="preserve">integrale rigetto del ricorso AMA. </w:t>
      </w:r>
    </w:p>
    <w:p>
      <w:pPr>
        <w:pStyle w:val="Normal"/>
        <w:ind w:left="567" w:right="567" w:firstLine="0"/>
        <w:jc w:val="both"/>
        <w:rPr>
          <w:rFonts w:ascii="Book Antiqua" w:cs="Book Antiqua" w:hAnsi="Book Antiqua" w:eastAsia="Book Antiqua"/>
        </w:rPr>
      </w:pPr>
      <w:r>
        <w:rPr>
          <w:rFonts w:ascii="Book Antiqua"/>
          <w:rtl w:val="0"/>
          <w:lang w:val="it-IT"/>
        </w:rPr>
        <w:t xml:space="preserve">Si </w:t>
      </w:r>
      <w:r>
        <w:rPr>
          <w:rFonts w:hAnsi="Book Antiqua" w:hint="default"/>
          <w:rtl w:val="0"/>
          <w:lang w:val="it-IT"/>
        </w:rPr>
        <w:t xml:space="preserve">è </w:t>
      </w:r>
      <w:r>
        <w:rPr>
          <w:rFonts w:ascii="Book Antiqua"/>
          <w:rtl w:val="0"/>
          <w:lang w:val="it-IT"/>
        </w:rPr>
        <w:t>ora in attesa di fissazione dell</w:t>
      </w:r>
      <w:r>
        <w:rPr>
          <w:rFonts w:hAnsi="Book Antiqua" w:hint="default"/>
          <w:rtl w:val="0"/>
          <w:lang w:val="it-IT"/>
        </w:rPr>
        <w:t>’</w:t>
      </w:r>
      <w:r>
        <w:rPr>
          <w:rFonts w:ascii="Book Antiqua"/>
          <w:rtl w:val="0"/>
          <w:lang w:val="it-IT"/>
        </w:rPr>
        <w:t>udienza da parte della Corte. Nel frattempo, in data 15 febbraio 2017, su istanza del Co.La.Ri, il tribunale di Roma ha dichiarato esecutivo il lodo arbitrale, come da comunicazione pervenuta alla Societ</w:t>
      </w:r>
      <w:r>
        <w:rPr>
          <w:rFonts w:hAnsi="Book Antiqua" w:hint="default"/>
          <w:rtl w:val="0"/>
          <w:lang w:val="it-IT"/>
        </w:rPr>
        <w:t xml:space="preserve">à </w:t>
      </w:r>
      <w:r>
        <w:rPr>
          <w:rFonts w:ascii="Book Antiqua"/>
          <w:rtl w:val="0"/>
          <w:lang w:val="it-IT"/>
        </w:rPr>
        <w:t xml:space="preserve">in data 10 marzo 2017. </w:t>
      </w:r>
    </w:p>
    <w:p>
      <w:pPr>
        <w:pStyle w:val="Normal"/>
        <w:ind w:left="567" w:right="567" w:firstLine="0"/>
        <w:jc w:val="both"/>
        <w:rPr>
          <w:rFonts w:ascii="Book Antiqua" w:cs="Book Antiqua" w:hAnsi="Book Antiqua" w:eastAsia="Book Antiqua"/>
        </w:rPr>
      </w:pPr>
      <w:r>
        <w:rPr>
          <w:rFonts w:ascii="Book Antiqua"/>
          <w:rtl w:val="0"/>
          <w:lang w:val="it-IT"/>
        </w:rPr>
        <w:t xml:space="preserve">Con nota del 9 marzo 2007 prot. 16165/E, Roma Capitale </w:t>
      </w:r>
      <w:r>
        <w:rPr>
          <w:rFonts w:hAnsi="Book Antiqua" w:hint="default"/>
          <w:rtl w:val="0"/>
          <w:lang w:val="it-IT"/>
        </w:rPr>
        <w:t xml:space="preserve">– </w:t>
      </w:r>
      <w:r>
        <w:rPr>
          <w:rFonts w:ascii="Book Antiqua"/>
          <w:rtl w:val="0"/>
          <w:lang w:val="it-IT"/>
        </w:rPr>
        <w:t xml:space="preserve">assessorato alle politiche economiche finanziarie e di bilancio </w:t>
      </w:r>
      <w:r>
        <w:rPr>
          <w:rFonts w:hAnsi="Book Antiqua" w:hint="default"/>
          <w:rtl w:val="0"/>
          <w:lang w:val="it-IT"/>
        </w:rPr>
        <w:t xml:space="preserve">– </w:t>
      </w:r>
      <w:r>
        <w:rPr>
          <w:rFonts w:ascii="Book Antiqua"/>
          <w:rtl w:val="0"/>
          <w:lang w:val="it-IT"/>
        </w:rPr>
        <w:t>manlevava AMA, facendosene carico, di quanto sarebbe stato deciso giudizialmente in sede di arbitrato</w:t>
      </w:r>
      <w:r>
        <w:rPr>
          <w:rFonts w:ascii="Book Antiqua" w:cs="Book Antiqua" w:hAnsi="Book Antiqua" w:eastAsia="Book Antiqua"/>
          <w:vertAlign w:val="superscript"/>
          <w:rtl w:val="0"/>
        </w:rPr>
        <w:footnoteReference w:id="145"/>
      </w:r>
      <w:r>
        <w:rPr>
          <w:rFonts w:ascii="Book Antiqua"/>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In maggiore dettaglio, quanto allo svolgimento del secondo arbitrato:</w:t>
      </w:r>
    </w:p>
    <w:p>
      <w:pPr>
        <w:pStyle w:val="Normal"/>
        <w:ind w:left="567" w:right="567" w:firstLine="0"/>
        <w:jc w:val="both"/>
        <w:rPr>
          <w:rFonts w:ascii="Book Antiqua" w:cs="Book Antiqua" w:hAnsi="Book Antiqua" w:eastAsia="Book Antiqua"/>
        </w:rPr>
      </w:pPr>
      <w:r>
        <w:rPr>
          <w:rFonts w:ascii="Book Antiqua"/>
          <w:rtl w:val="0"/>
          <w:lang w:val="it-IT"/>
        </w:rPr>
        <w:t>Con domanda di arbitrato e contestuale nomina di arbitro, notificata ad AMA in data 19 novembre 2012, Co.La.Ri. ha promosso un giudizio arbitrale, ai sensi dell</w:t>
      </w:r>
      <w:r>
        <w:rPr>
          <w:rFonts w:hAnsi="Book Antiqua" w:hint="default"/>
          <w:rtl w:val="0"/>
          <w:lang w:val="it-IT"/>
        </w:rPr>
        <w:t>’</w:t>
      </w:r>
      <w:r>
        <w:rPr>
          <w:rFonts w:ascii="Book Antiqua"/>
          <w:rtl w:val="0"/>
          <w:lang w:val="it-IT"/>
        </w:rPr>
        <w:t>articolo 6 del Contratto del 30 giugno 2009, sottoponendo al collegio arbitrale i seguenti quesiti:</w:t>
      </w:r>
    </w:p>
    <w:p>
      <w:pPr>
        <w:pStyle w:val="Normal"/>
        <w:ind w:left="567" w:right="567" w:firstLine="0"/>
        <w:jc w:val="both"/>
        <w:rPr>
          <w:rFonts w:ascii="Book Antiqua" w:cs="Book Antiqua" w:hAnsi="Book Antiqua" w:eastAsia="Book Antiqua"/>
        </w:rPr>
      </w:pPr>
      <w:r>
        <w:rPr>
          <w:rFonts w:ascii="Book Antiqua"/>
          <w:rtl w:val="0"/>
          <w:lang w:val="it-IT"/>
        </w:rPr>
        <w:t>a) con riferimento al contratto stipulato nel 2009 e scaduto il 31 dicembre dello stesso anno, l</w:t>
      </w:r>
      <w:r>
        <w:rPr>
          <w:rFonts w:hAnsi="Book Antiqua" w:hint="default"/>
          <w:rtl w:val="0"/>
          <w:lang w:val="it-IT"/>
        </w:rPr>
        <w:t>’</w:t>
      </w:r>
      <w:r>
        <w:rPr>
          <w:rFonts w:ascii="Book Antiqua"/>
          <w:rtl w:val="0"/>
          <w:lang w:val="it-IT"/>
        </w:rPr>
        <w:t>accertamento dell</w:t>
      </w:r>
      <w:r>
        <w:rPr>
          <w:rFonts w:hAnsi="Book Antiqua" w:hint="default"/>
          <w:rtl w:val="0"/>
          <w:lang w:val="it-IT"/>
        </w:rPr>
        <w:t>’</w:t>
      </w:r>
      <w:r>
        <w:rPr>
          <w:rFonts w:ascii="Book Antiqua"/>
          <w:rtl w:val="0"/>
          <w:lang w:val="it-IT"/>
        </w:rPr>
        <w:t xml:space="preserve">obbligo delle parti di stabilire (i) un nuovo </w:t>
      </w:r>
      <w:r>
        <w:rPr>
          <w:rFonts w:hAnsi="Book Antiqua" w:hint="default"/>
          <w:rtl w:val="0"/>
          <w:lang w:val="it-IT"/>
        </w:rPr>
        <w:t>“</w:t>
      </w:r>
      <w:r>
        <w:rPr>
          <w:rFonts w:ascii="Book Antiqua"/>
          <w:rtl w:val="0"/>
          <w:lang w:val="it-IT"/>
        </w:rPr>
        <w:t>oggetto</w:t>
      </w:r>
      <w:r>
        <w:rPr>
          <w:rFonts w:hAnsi="Book Antiqua" w:hint="default"/>
          <w:rtl w:val="0"/>
          <w:lang w:val="it-IT"/>
        </w:rPr>
        <w:t xml:space="preserve">” </w:t>
      </w:r>
      <w:r>
        <w:rPr>
          <w:rFonts w:ascii="Book Antiqua"/>
          <w:rtl w:val="0"/>
          <w:lang w:val="it-IT"/>
        </w:rPr>
        <w:t xml:space="preserve">(articolo 2) e, quindi, con un minimo di 1.500 tonnellate di rifiuti giornalieri e (ii) una nuova </w:t>
      </w:r>
      <w:r>
        <w:rPr>
          <w:rFonts w:hAnsi="Book Antiqua" w:hint="default"/>
          <w:rtl w:val="0"/>
          <w:lang w:val="it-IT"/>
        </w:rPr>
        <w:t>“</w:t>
      </w:r>
      <w:r>
        <w:rPr>
          <w:rFonts w:ascii="Book Antiqua"/>
          <w:rtl w:val="0"/>
          <w:lang w:val="it-IT"/>
        </w:rPr>
        <w:t>durata</w:t>
      </w:r>
      <w:r>
        <w:rPr>
          <w:rFonts w:hAnsi="Book Antiqua" w:hint="default"/>
          <w:rtl w:val="0"/>
          <w:lang w:val="it-IT"/>
        </w:rPr>
        <w:t xml:space="preserve">” </w:t>
      </w:r>
      <w:r>
        <w:rPr>
          <w:rFonts w:ascii="Book Antiqua"/>
          <w:rtl w:val="0"/>
          <w:lang w:val="it-IT"/>
        </w:rPr>
        <w:t>(articolo 4) di almeno 10 anni dal momento del raggiungimento del nuovo accordo;</w:t>
      </w:r>
    </w:p>
    <w:p>
      <w:pPr>
        <w:pStyle w:val="Normal"/>
        <w:ind w:left="567" w:right="567" w:firstLine="0"/>
        <w:jc w:val="both"/>
        <w:rPr>
          <w:rFonts w:ascii="Book Antiqua" w:cs="Book Antiqua" w:hAnsi="Book Antiqua" w:eastAsia="Book Antiqua"/>
        </w:rPr>
      </w:pPr>
      <w:r>
        <w:rPr>
          <w:rFonts w:ascii="Book Antiqua"/>
          <w:rtl w:val="0"/>
          <w:lang w:val="it-IT"/>
        </w:rPr>
        <w:t>b) in alternativa, l</w:t>
      </w:r>
      <w:r>
        <w:rPr>
          <w:rFonts w:hAnsi="Book Antiqua" w:hint="default"/>
          <w:rtl w:val="0"/>
          <w:lang w:val="it-IT"/>
        </w:rPr>
        <w:t>’</w:t>
      </w:r>
      <w:r>
        <w:rPr>
          <w:rFonts w:ascii="Book Antiqua"/>
          <w:rtl w:val="0"/>
          <w:lang w:val="it-IT"/>
        </w:rPr>
        <w:t>accertamento della nullit</w:t>
      </w:r>
      <w:r>
        <w:rPr>
          <w:rFonts w:hAnsi="Book Antiqua" w:hint="default"/>
          <w:rtl w:val="0"/>
          <w:lang w:val="it-IT"/>
        </w:rPr>
        <w:t xml:space="preserve">à </w:t>
      </w:r>
      <w:r>
        <w:rPr>
          <w:rFonts w:ascii="Book Antiqua"/>
          <w:rtl w:val="0"/>
          <w:lang w:val="it-IT"/>
        </w:rPr>
        <w:t>delle clausole di cui agli articoli 2 (oggetto) e 4 (durata) del citato contratto e l</w:t>
      </w:r>
      <w:r>
        <w:rPr>
          <w:rFonts w:hAnsi="Book Antiqua" w:hint="default"/>
          <w:rtl w:val="0"/>
          <w:lang w:val="it-IT"/>
        </w:rPr>
        <w:t>’</w:t>
      </w:r>
      <w:r>
        <w:rPr>
          <w:rFonts w:ascii="Book Antiqua"/>
          <w:rtl w:val="0"/>
          <w:lang w:val="it-IT"/>
        </w:rPr>
        <w:t>integrazione delle stesse con clausole conformi alle disposizioni vigenti;</w:t>
      </w:r>
    </w:p>
    <w:p>
      <w:pPr>
        <w:pStyle w:val="Normal"/>
        <w:ind w:left="567" w:right="567" w:firstLine="0"/>
        <w:jc w:val="both"/>
        <w:rPr>
          <w:rFonts w:ascii="Book Antiqua" w:cs="Book Antiqua" w:hAnsi="Book Antiqua" w:eastAsia="Book Antiqua"/>
        </w:rPr>
      </w:pPr>
      <w:r>
        <w:rPr>
          <w:rFonts w:ascii="Book Antiqua"/>
          <w:rtl w:val="0"/>
          <w:lang w:val="it-IT"/>
        </w:rPr>
        <w:t>c) in generale, l</w:t>
      </w:r>
      <w:r>
        <w:rPr>
          <w:rFonts w:hAnsi="Book Antiqua" w:hint="default"/>
          <w:rtl w:val="0"/>
          <w:lang w:val="it-IT"/>
        </w:rPr>
        <w:t>’</w:t>
      </w:r>
      <w:r>
        <w:rPr>
          <w:rFonts w:ascii="Book Antiqua"/>
          <w:rtl w:val="0"/>
          <w:lang w:val="it-IT"/>
        </w:rPr>
        <w:t>accertamento dell'inadempimento di AMA all'obbligo di interpretare, eseguire e rinegoziare il contratto secondo buona fede e, in particolare, l</w:t>
      </w:r>
      <w:r>
        <w:rPr>
          <w:rFonts w:hAnsi="Book Antiqua" w:hint="default"/>
          <w:rtl w:val="0"/>
          <w:lang w:val="it-IT"/>
        </w:rPr>
        <w:t>’</w:t>
      </w:r>
      <w:r>
        <w:rPr>
          <w:rFonts w:ascii="Book Antiqua"/>
          <w:rtl w:val="0"/>
          <w:lang w:val="it-IT"/>
        </w:rPr>
        <w:t>accertamento degli ulteriori profili di inadempimento e/o responsabilit</w:t>
      </w:r>
      <w:r>
        <w:rPr>
          <w:rFonts w:hAnsi="Book Antiqua" w:hint="default"/>
          <w:rtl w:val="0"/>
          <w:lang w:val="it-IT"/>
        </w:rPr>
        <w:t xml:space="preserve">à </w:t>
      </w:r>
      <w:r>
        <w:rPr>
          <w:rFonts w:ascii="Book Antiqua"/>
          <w:rtl w:val="0"/>
          <w:lang w:val="it-IT"/>
        </w:rPr>
        <w:t>di AMA nei confronti di Co.La.Ri., da precisare nel corso del giudizio ed indicati, salva integrazione, (i) nell</w:t>
      </w:r>
      <w:r>
        <w:rPr>
          <w:rFonts w:hAnsi="Book Antiqua" w:hint="default"/>
          <w:rtl w:val="0"/>
          <w:lang w:val="it-IT"/>
        </w:rPr>
        <w:t>’</w:t>
      </w:r>
      <w:r>
        <w:rPr>
          <w:rFonts w:ascii="Book Antiqua"/>
          <w:rtl w:val="0"/>
          <w:lang w:val="it-IT"/>
        </w:rPr>
        <w:t>abuso di dipendenza economica, (ii) nell</w:t>
      </w:r>
      <w:r>
        <w:rPr>
          <w:rFonts w:hAnsi="Book Antiqua" w:hint="default"/>
          <w:rtl w:val="0"/>
          <w:lang w:val="it-IT"/>
        </w:rPr>
        <w:t>’</w:t>
      </w:r>
      <w:r>
        <w:rPr>
          <w:rFonts w:ascii="Book Antiqua"/>
          <w:rtl w:val="0"/>
          <w:lang w:val="it-IT"/>
        </w:rPr>
        <w:t>abuso di posizione dominante, (iii) nella violazione dell</w:t>
      </w:r>
      <w:r>
        <w:rPr>
          <w:rFonts w:hAnsi="Book Antiqua" w:hint="default"/>
          <w:rtl w:val="0"/>
          <w:lang w:val="it-IT"/>
        </w:rPr>
        <w:t>’</w:t>
      </w:r>
      <w:r>
        <w:rPr>
          <w:rFonts w:ascii="Book Antiqua"/>
          <w:rtl w:val="0"/>
          <w:lang w:val="it-IT"/>
        </w:rPr>
        <w:t>obbligo di buona fede nella interpretazione e nella esecuzione del contratto, (iv) nella violazione dei doveri di correttezza nella concorrenza, (v) nella violazione dell</w:t>
      </w:r>
      <w:r>
        <w:rPr>
          <w:rFonts w:hAnsi="Book Antiqua" w:hint="default"/>
          <w:rtl w:val="0"/>
          <w:lang w:val="it-IT"/>
        </w:rPr>
        <w:t>’</w:t>
      </w:r>
      <w:r>
        <w:rPr>
          <w:rFonts w:ascii="Book Antiqua"/>
          <w:rtl w:val="0"/>
          <w:lang w:val="it-IT"/>
        </w:rPr>
        <w:t>obbligo di rinegoziazione;</w:t>
      </w:r>
    </w:p>
    <w:p>
      <w:pPr>
        <w:pStyle w:val="Normal"/>
        <w:ind w:left="567" w:right="567" w:firstLine="0"/>
        <w:jc w:val="both"/>
        <w:rPr>
          <w:rFonts w:ascii="Book Antiqua" w:cs="Book Antiqua" w:hAnsi="Book Antiqua" w:eastAsia="Book Antiqua"/>
        </w:rPr>
      </w:pPr>
      <w:r>
        <w:rPr>
          <w:rFonts w:ascii="Book Antiqua"/>
          <w:rtl w:val="0"/>
          <w:lang w:val="it-IT"/>
        </w:rPr>
        <w:t xml:space="preserve">d) la condanna di AMA al risarcimento di tutti i danni subiti e subendi a qualsiasi titolo da Co.La.Ri. come conseguenza dei detti comportamenti illegittimi, nella misura che il medesimo Co.La.Ri. si </w:t>
      </w:r>
      <w:r>
        <w:rPr>
          <w:rFonts w:hAnsi="Book Antiqua" w:hint="default"/>
          <w:rtl w:val="0"/>
          <w:lang w:val="it-IT"/>
        </w:rPr>
        <w:t xml:space="preserve">è </w:t>
      </w:r>
      <w:r>
        <w:rPr>
          <w:rFonts w:ascii="Book Antiqua"/>
          <w:rtl w:val="0"/>
          <w:lang w:val="it-IT"/>
        </w:rPr>
        <w:t>riservato di determinare nel corso del giudizio;</w:t>
      </w:r>
    </w:p>
    <w:p>
      <w:pPr>
        <w:pStyle w:val="Normal"/>
        <w:ind w:left="567" w:right="567" w:firstLine="0"/>
        <w:jc w:val="both"/>
        <w:rPr>
          <w:rFonts w:ascii="Book Antiqua" w:cs="Book Antiqua" w:hAnsi="Book Antiqua" w:eastAsia="Book Antiqua"/>
        </w:rPr>
      </w:pPr>
      <w:r>
        <w:rPr>
          <w:rFonts w:ascii="Book Antiqua"/>
          <w:rtl w:val="0"/>
          <w:lang w:val="it-IT"/>
        </w:rPr>
        <w:t>e) la condanna di AMA a rifondere a Co.La.Ri. tutti i costi e le spese del procedimento, ivi inclusi i compensi degli arbitri e gli onerari sostenuti per la difesa.</w:t>
      </w:r>
    </w:p>
    <w:p>
      <w:pPr>
        <w:pStyle w:val="Normal"/>
        <w:ind w:left="567" w:right="567" w:firstLine="0"/>
        <w:jc w:val="both"/>
        <w:rPr>
          <w:rFonts w:ascii="Book Antiqua" w:cs="Book Antiqua" w:hAnsi="Book Antiqua" w:eastAsia="Book Antiqua"/>
        </w:rPr>
      </w:pPr>
      <w:r>
        <w:rPr>
          <w:rFonts w:ascii="Book Antiqua"/>
          <w:rtl w:val="0"/>
          <w:lang w:val="it-IT"/>
        </w:rPr>
        <w:t>Con atto di resistenza e contestuale nomina di arbitro, notificato in data 10 dicembre 2012, AMA ha proposto al collegio i seguenti quesiti:</w:t>
      </w:r>
    </w:p>
    <w:p>
      <w:pPr>
        <w:pStyle w:val="Normal"/>
        <w:ind w:left="567" w:right="567" w:firstLine="0"/>
        <w:jc w:val="both"/>
        <w:rPr>
          <w:rFonts w:ascii="Book Antiqua" w:cs="Book Antiqua" w:hAnsi="Book Antiqua" w:eastAsia="Book Antiqua"/>
        </w:rPr>
      </w:pPr>
      <w:r>
        <w:rPr>
          <w:rFonts w:ascii="Book Antiqua"/>
          <w:rtl w:val="0"/>
          <w:lang w:val="it-IT"/>
        </w:rPr>
        <w:t xml:space="preserve">a) in via pregiudiziale, dicano gli arbitri che, ai sensi di legge e di contratto, il collegio arbitrale non ha la competenza a conoscere della presente controversia in quanto le domande e le richieste di Co.La.Ri. esorbitano dalla convenzione arbitrale per tutti i motivi dedotti nel proprio atto di resistenza e contestuale nomina di arbitro e, comunque, in quanto la domanda di arbitrato </w:t>
      </w:r>
      <w:r>
        <w:rPr>
          <w:rFonts w:hAnsi="Book Antiqua" w:hint="default"/>
          <w:rtl w:val="0"/>
          <w:lang w:val="it-IT"/>
        </w:rPr>
        <w:t xml:space="preserve">è </w:t>
      </w:r>
      <w:r>
        <w:rPr>
          <w:rFonts w:ascii="Book Antiqua"/>
          <w:rtl w:val="0"/>
          <w:lang w:val="it-IT"/>
        </w:rPr>
        <w:t>fondata su una clausola compromissoria contenuta nella scrittura privata del 30 giugno 2009 priva di efficacia inter partes perch</w:t>
      </w:r>
      <w:r>
        <w:rPr>
          <w:rFonts w:hAnsi="Book Antiqua" w:hint="default"/>
          <w:rtl w:val="0"/>
          <w:lang w:val="it-IT"/>
        </w:rPr>
        <w:t xml:space="preserve">é </w:t>
      </w:r>
      <w:r>
        <w:rPr>
          <w:rFonts w:ascii="Book Antiqua"/>
          <w:rtl w:val="0"/>
          <w:lang w:val="it-IT"/>
        </w:rPr>
        <w:t>scaduta;</w:t>
      </w:r>
    </w:p>
    <w:p>
      <w:pPr>
        <w:pStyle w:val="Normal"/>
        <w:ind w:left="567" w:right="567" w:firstLine="0"/>
        <w:jc w:val="both"/>
        <w:rPr>
          <w:rFonts w:ascii="Book Antiqua" w:cs="Book Antiqua" w:hAnsi="Book Antiqua" w:eastAsia="Book Antiqua"/>
        </w:rPr>
      </w:pPr>
      <w:r>
        <w:rPr>
          <w:rFonts w:ascii="Book Antiqua"/>
          <w:rtl w:val="0"/>
          <w:lang w:val="it-IT"/>
        </w:rPr>
        <w:t>b) sempre in via preliminare, dicano gli arbitri che, ai sensi di legge e di contratto, il collegio arbitrale non ha la competenza a conoscere delle domande proposte da Co.La.Ri. nei confronti di AMA volte ad accertare l</w:t>
      </w:r>
      <w:r>
        <w:rPr>
          <w:rFonts w:hAnsi="Book Antiqua" w:hint="default"/>
          <w:rtl w:val="0"/>
          <w:lang w:val="it-IT"/>
        </w:rPr>
        <w:t>’</w:t>
      </w:r>
      <w:r>
        <w:rPr>
          <w:rFonts w:ascii="Book Antiqua"/>
          <w:rtl w:val="0"/>
          <w:lang w:val="it-IT"/>
        </w:rPr>
        <w:t>asserita responsabilit</w:t>
      </w:r>
      <w:r>
        <w:rPr>
          <w:rFonts w:hAnsi="Book Antiqua" w:hint="default"/>
          <w:rtl w:val="0"/>
          <w:lang w:val="it-IT"/>
        </w:rPr>
        <w:t xml:space="preserve">à </w:t>
      </w:r>
      <w:r>
        <w:rPr>
          <w:rFonts w:ascii="Book Antiqua"/>
          <w:rtl w:val="0"/>
          <w:lang w:val="it-IT"/>
        </w:rPr>
        <w:t>precontrattuale e/o extracontrattuale della Societ</w:t>
      </w:r>
      <w:r>
        <w:rPr>
          <w:rFonts w:hAnsi="Book Antiqua" w:hint="default"/>
          <w:rtl w:val="0"/>
          <w:lang w:val="it-IT"/>
        </w:rPr>
        <w:t xml:space="preserve">à </w:t>
      </w:r>
      <w:r>
        <w:rPr>
          <w:rFonts w:ascii="Book Antiqua"/>
          <w:rtl w:val="0"/>
          <w:lang w:val="it-IT"/>
        </w:rPr>
        <w:t>convenuta, nonch</w:t>
      </w:r>
      <w:r>
        <w:rPr>
          <w:rFonts w:hAnsi="Book Antiqua" w:hint="default"/>
          <w:rtl w:val="0"/>
          <w:lang w:val="it-IT"/>
        </w:rPr>
        <w:t xml:space="preserve">é </w:t>
      </w:r>
      <w:r>
        <w:rPr>
          <w:rFonts w:ascii="Book Antiqua"/>
          <w:rtl w:val="0"/>
          <w:lang w:val="it-IT"/>
        </w:rPr>
        <w:t>l</w:t>
      </w:r>
      <w:r>
        <w:rPr>
          <w:rFonts w:hAnsi="Book Antiqua" w:hint="default"/>
          <w:rtl w:val="0"/>
          <w:lang w:val="it-IT"/>
        </w:rPr>
        <w:t>’</w:t>
      </w:r>
      <w:r>
        <w:rPr>
          <w:rFonts w:ascii="Book Antiqua"/>
          <w:rtl w:val="0"/>
          <w:lang w:val="it-IT"/>
        </w:rPr>
        <w:t xml:space="preserve">asserito abuso di dipendenza ovvero di posizione dominante ovvero il compimento di atti di concorrenza sleale da parte di AMA in quanto tali richieste esorbitano dalla convenzione arbitrale; </w:t>
      </w:r>
    </w:p>
    <w:p>
      <w:pPr>
        <w:pStyle w:val="Normal"/>
        <w:ind w:left="567" w:right="567" w:firstLine="0"/>
        <w:jc w:val="both"/>
        <w:rPr>
          <w:rFonts w:ascii="Book Antiqua" w:cs="Book Antiqua" w:hAnsi="Book Antiqua" w:eastAsia="Book Antiqua"/>
        </w:rPr>
      </w:pPr>
      <w:r>
        <w:rPr>
          <w:rFonts w:ascii="Book Antiqua"/>
          <w:rtl w:val="0"/>
          <w:lang w:val="it-IT"/>
        </w:rPr>
        <w:t>c) in via principale, dicano gli arbitri che, ai sensi di legge e di contratto, tutte le domande, ivi comprese quelle di natura risarcitoria, proposte da Co.La.Ri. nei confronti di AMA debbono essere respinte in quanto improcedibili, inammissibili e, comunque, infondate in fatto e diritto per i motivi dedotti e per quelli che verranno dedotti nel giudizio;</w:t>
      </w:r>
    </w:p>
    <w:p>
      <w:pPr>
        <w:pStyle w:val="Normal"/>
        <w:ind w:left="567" w:right="567" w:firstLine="0"/>
        <w:jc w:val="both"/>
        <w:rPr>
          <w:rFonts w:ascii="Book Antiqua" w:cs="Book Antiqua" w:hAnsi="Book Antiqua" w:eastAsia="Book Antiqua"/>
        </w:rPr>
      </w:pPr>
      <w:r>
        <w:rPr>
          <w:rFonts w:ascii="Book Antiqua"/>
          <w:rtl w:val="0"/>
          <w:lang w:val="it-IT"/>
        </w:rPr>
        <w:t xml:space="preserve">d) in ogni caso, con condanna di Co.La.Ri. al pagamento delle spese di funzionamento del collegio arbitrale e delle spese sostenute da AMA per la propria difesa, assistenza e rappresentanza nel presente procedimento. </w:t>
      </w:r>
    </w:p>
    <w:p>
      <w:pPr>
        <w:pStyle w:val="Normal"/>
        <w:ind w:left="567" w:right="567" w:firstLine="0"/>
        <w:jc w:val="both"/>
        <w:rPr>
          <w:rFonts w:ascii="Book Antiqua" w:cs="Book Antiqua" w:hAnsi="Book Antiqua" w:eastAsia="Book Antiqua"/>
        </w:rPr>
      </w:pPr>
      <w:r>
        <w:rPr>
          <w:rFonts w:ascii="Book Antiqua"/>
          <w:rtl w:val="0"/>
          <w:lang w:val="it-IT"/>
        </w:rPr>
        <w:t xml:space="preserve">In data 31 gennaio 2013 si </w:t>
      </w:r>
      <w:r>
        <w:rPr>
          <w:rFonts w:hAnsi="Book Antiqua" w:hint="default"/>
          <w:rtl w:val="0"/>
          <w:lang w:val="it-IT"/>
        </w:rPr>
        <w:t xml:space="preserve">è </w:t>
      </w:r>
      <w:r>
        <w:rPr>
          <w:rFonts w:ascii="Book Antiqua"/>
          <w:rtl w:val="0"/>
          <w:lang w:val="it-IT"/>
        </w:rPr>
        <w:t>costituito il collegio arbitrale e ha fissato l</w:t>
      </w:r>
      <w:r>
        <w:rPr>
          <w:rFonts w:hAnsi="Book Antiqua" w:hint="default"/>
          <w:rtl w:val="0"/>
          <w:lang w:val="it-IT"/>
        </w:rPr>
        <w:t>’</w:t>
      </w:r>
      <w:r>
        <w:rPr>
          <w:rFonts w:ascii="Book Antiqua"/>
          <w:rtl w:val="0"/>
          <w:lang w:val="it-IT"/>
        </w:rPr>
        <w:t>udienza del 20 febbraio 2013 per la comparizione delle parti e per concordare con i difensori delle stesse il calendario della procedura e le regole processuali da applicare alla stessa. Con ordinanza resa all</w:t>
      </w:r>
      <w:r>
        <w:rPr>
          <w:rFonts w:hAnsi="Book Antiqua" w:hint="default"/>
          <w:rtl w:val="0"/>
          <w:lang w:val="it-IT"/>
        </w:rPr>
        <w:t>’</w:t>
      </w:r>
      <w:r>
        <w:rPr>
          <w:rFonts w:ascii="Book Antiqua"/>
          <w:rtl w:val="0"/>
          <w:lang w:val="it-IT"/>
        </w:rPr>
        <w:t>udienza del 20 febbraio 2013, il collegio arbitrale ha concesso alle parti termini per il deposito di memorie e documenti ed ha fissato l</w:t>
      </w:r>
      <w:r>
        <w:rPr>
          <w:rFonts w:hAnsi="Book Antiqua" w:hint="default"/>
          <w:rtl w:val="0"/>
          <w:lang w:val="it-IT"/>
        </w:rPr>
        <w:t>’</w:t>
      </w:r>
      <w:r>
        <w:rPr>
          <w:rFonts w:ascii="Book Antiqua"/>
          <w:rtl w:val="0"/>
          <w:lang w:val="it-IT"/>
        </w:rPr>
        <w:t>udienza del 10 aprile 2013 per l</w:t>
      </w:r>
      <w:r>
        <w:rPr>
          <w:rFonts w:hAnsi="Book Antiqua" w:hint="default"/>
          <w:rtl w:val="0"/>
          <w:lang w:val="it-IT"/>
        </w:rPr>
        <w:t>’</w:t>
      </w:r>
      <w:r>
        <w:rPr>
          <w:rFonts w:ascii="Book Antiqua"/>
          <w:rtl w:val="0"/>
          <w:lang w:val="it-IT"/>
        </w:rPr>
        <w:t xml:space="preserve">esperimento del tentativo di conciliazione e, in caso di esito negativo dello stesso, per trattazione. Con memoria del 14 marzo 2013, Co.La.Ri. ha quantificato la domanda del risarcimento del preteso danno: </w:t>
      </w:r>
    </w:p>
    <w:p>
      <w:pPr>
        <w:pStyle w:val="Normal"/>
        <w:ind w:left="567" w:right="567" w:firstLine="0"/>
        <w:jc w:val="both"/>
        <w:rPr>
          <w:rFonts w:ascii="Book Antiqua" w:cs="Book Antiqua" w:hAnsi="Book Antiqua" w:eastAsia="Book Antiqua"/>
        </w:rPr>
      </w:pPr>
      <w:r>
        <w:rPr>
          <w:rFonts w:ascii="Book Antiqua"/>
          <w:rtl w:val="0"/>
          <w:lang w:val="it-IT"/>
        </w:rPr>
        <w:t>(i) costi sostenuti per l</w:t>
      </w:r>
      <w:r>
        <w:rPr>
          <w:rFonts w:hAnsi="Book Antiqua" w:hint="default"/>
          <w:rtl w:val="0"/>
          <w:lang w:val="it-IT"/>
        </w:rPr>
        <w:t>’</w:t>
      </w:r>
      <w:r>
        <w:rPr>
          <w:rFonts w:ascii="Book Antiqua"/>
          <w:rtl w:val="0"/>
          <w:lang w:val="it-IT"/>
        </w:rPr>
        <w:t>impianto di gassificazione a seguito dell</w:t>
      </w:r>
      <w:r>
        <w:rPr>
          <w:rFonts w:hAnsi="Book Antiqua" w:hint="default"/>
          <w:rtl w:val="0"/>
          <w:lang w:val="it-IT"/>
        </w:rPr>
        <w:t>’</w:t>
      </w:r>
      <w:r>
        <w:rPr>
          <w:rFonts w:ascii="Book Antiqua"/>
          <w:rtl w:val="0"/>
          <w:lang w:val="it-IT"/>
        </w:rPr>
        <w:t>impossibilit</w:t>
      </w:r>
      <w:r>
        <w:rPr>
          <w:rFonts w:hAnsi="Book Antiqua" w:hint="default"/>
          <w:rtl w:val="0"/>
          <w:lang w:val="it-IT"/>
        </w:rPr>
        <w:t xml:space="preserve">à </w:t>
      </w:r>
      <w:r>
        <w:rPr>
          <w:rFonts w:ascii="Book Antiqua"/>
          <w:rtl w:val="0"/>
          <w:lang w:val="it-IT"/>
        </w:rPr>
        <w:t>di completamento dell</w:t>
      </w:r>
      <w:r>
        <w:rPr>
          <w:rFonts w:hAnsi="Book Antiqua" w:hint="default"/>
          <w:rtl w:val="0"/>
          <w:lang w:val="it-IT"/>
        </w:rPr>
        <w:t>’</w:t>
      </w:r>
      <w:r>
        <w:rPr>
          <w:rFonts w:ascii="Book Antiqua"/>
          <w:rtl w:val="0"/>
          <w:lang w:val="it-IT"/>
        </w:rPr>
        <w:t xml:space="preserve">impianto stesso per </w:t>
      </w:r>
      <w:r>
        <w:rPr>
          <w:rFonts w:hAnsi="Book Antiqua" w:hint="default"/>
          <w:rtl w:val="0"/>
          <w:lang w:val="it-IT"/>
        </w:rPr>
        <w:t xml:space="preserve">€ </w:t>
      </w:r>
      <w:r>
        <w:rPr>
          <w:rFonts w:ascii="Book Antiqua"/>
          <w:rtl w:val="0"/>
          <w:lang w:val="it-IT"/>
        </w:rPr>
        <w:t>164.588.000,00;</w:t>
      </w:r>
    </w:p>
    <w:p>
      <w:pPr>
        <w:pStyle w:val="Normal"/>
        <w:ind w:left="567" w:right="567" w:firstLine="0"/>
        <w:jc w:val="both"/>
        <w:rPr>
          <w:rFonts w:ascii="Book Antiqua" w:cs="Book Antiqua" w:hAnsi="Book Antiqua" w:eastAsia="Book Antiqua"/>
        </w:rPr>
      </w:pPr>
      <w:r>
        <w:rPr>
          <w:rFonts w:ascii="Book Antiqua"/>
          <w:rtl w:val="0"/>
          <w:lang w:val="it-IT"/>
        </w:rPr>
        <w:t>(ii) costi per la progettazione e per tutte le attivit</w:t>
      </w:r>
      <w:r>
        <w:rPr>
          <w:rFonts w:hAnsi="Book Antiqua" w:hint="default"/>
          <w:rtl w:val="0"/>
          <w:lang w:val="it-IT"/>
        </w:rPr>
        <w:t xml:space="preserve">à </w:t>
      </w:r>
      <w:r>
        <w:rPr>
          <w:rFonts w:ascii="Book Antiqua"/>
          <w:rtl w:val="0"/>
          <w:lang w:val="it-IT"/>
        </w:rPr>
        <w:t>prodromiche all</w:t>
      </w:r>
      <w:r>
        <w:rPr>
          <w:rFonts w:hAnsi="Book Antiqua" w:hint="default"/>
          <w:rtl w:val="0"/>
          <w:lang w:val="it-IT"/>
        </w:rPr>
        <w:t>’</w:t>
      </w:r>
      <w:r>
        <w:rPr>
          <w:rFonts w:ascii="Book Antiqua"/>
          <w:rtl w:val="0"/>
          <w:lang w:val="it-IT"/>
        </w:rPr>
        <w:t>ottenimento dell</w:t>
      </w:r>
      <w:r>
        <w:rPr>
          <w:rFonts w:hAnsi="Book Antiqua" w:hint="default"/>
          <w:rtl w:val="0"/>
          <w:lang w:val="it-IT"/>
        </w:rPr>
        <w:t>’</w:t>
      </w:r>
      <w:r>
        <w:rPr>
          <w:rFonts w:ascii="Book Antiqua"/>
          <w:rtl w:val="0"/>
          <w:lang w:val="it-IT"/>
        </w:rPr>
        <w:t>AIA relativa all</w:t>
      </w:r>
      <w:r>
        <w:rPr>
          <w:rFonts w:hAnsi="Book Antiqua" w:hint="default"/>
          <w:rtl w:val="0"/>
          <w:lang w:val="it-IT"/>
        </w:rPr>
        <w:t>’</w:t>
      </w:r>
      <w:r>
        <w:rPr>
          <w:rFonts w:ascii="Book Antiqua"/>
          <w:rtl w:val="0"/>
          <w:lang w:val="it-IT"/>
        </w:rPr>
        <w:t>impianto di gassificazione, allo stato non quantificati;</w:t>
      </w:r>
    </w:p>
    <w:p>
      <w:pPr>
        <w:pStyle w:val="Normal"/>
        <w:ind w:left="567" w:right="567" w:firstLine="0"/>
        <w:jc w:val="both"/>
        <w:rPr>
          <w:rFonts w:ascii="Book Antiqua" w:cs="Book Antiqua" w:hAnsi="Book Antiqua" w:eastAsia="Book Antiqua"/>
        </w:rPr>
      </w:pPr>
      <w:r>
        <w:rPr>
          <w:rFonts w:ascii="Book Antiqua"/>
          <w:rtl w:val="0"/>
          <w:lang w:val="it-IT"/>
        </w:rPr>
        <w:t xml:space="preserve">(iii) perdita dei benefici CIP 6 per </w:t>
      </w:r>
      <w:r>
        <w:rPr>
          <w:rFonts w:hAnsi="Book Antiqua" w:hint="default"/>
          <w:rtl w:val="0"/>
          <w:lang w:val="it-IT"/>
        </w:rPr>
        <w:t xml:space="preserve">€ </w:t>
      </w:r>
      <w:r>
        <w:rPr>
          <w:rFonts w:ascii="Book Antiqua"/>
          <w:rtl w:val="0"/>
          <w:lang w:val="it-IT"/>
        </w:rPr>
        <w:t>400.000.000,00;</w:t>
      </w:r>
    </w:p>
    <w:p>
      <w:pPr>
        <w:pStyle w:val="Normal"/>
        <w:ind w:left="567" w:right="567" w:firstLine="0"/>
        <w:jc w:val="both"/>
        <w:rPr>
          <w:rFonts w:ascii="Book Antiqua" w:cs="Book Antiqua" w:hAnsi="Book Antiqua" w:eastAsia="Book Antiqua"/>
        </w:rPr>
      </w:pPr>
      <w:r>
        <w:rPr>
          <w:rFonts w:ascii="Book Antiqua"/>
          <w:rtl w:val="0"/>
          <w:lang w:val="it-IT"/>
        </w:rPr>
        <w:t xml:space="preserve">(iv) maggiori costi per il mancato trattamento avverso il processo di gassificazione del CDR per una somma pari ad </w:t>
      </w:r>
      <w:r>
        <w:rPr>
          <w:rFonts w:hAnsi="Book Antiqua" w:hint="default"/>
          <w:rtl w:val="0"/>
          <w:lang w:val="it-IT"/>
        </w:rPr>
        <w:t xml:space="preserve">€ </w:t>
      </w:r>
      <w:r>
        <w:rPr>
          <w:rFonts w:ascii="Book Antiqua"/>
          <w:rtl w:val="0"/>
          <w:lang w:val="it-IT"/>
        </w:rPr>
        <w:t>284.700.000,00;</w:t>
      </w:r>
    </w:p>
    <w:p>
      <w:pPr>
        <w:pStyle w:val="Normal"/>
        <w:ind w:left="567" w:right="567" w:firstLine="0"/>
        <w:jc w:val="both"/>
        <w:rPr>
          <w:rFonts w:ascii="Book Antiqua" w:cs="Book Antiqua" w:hAnsi="Book Antiqua" w:eastAsia="Book Antiqua"/>
        </w:rPr>
      </w:pPr>
      <w:r>
        <w:rPr>
          <w:rFonts w:ascii="Book Antiqua"/>
          <w:rtl w:val="0"/>
          <w:lang w:val="it-IT"/>
        </w:rPr>
        <w:t>(v) maggiori oneri di ammortamento dei TMB, allo stato non quantificati;</w:t>
      </w:r>
    </w:p>
    <w:p>
      <w:pPr>
        <w:pStyle w:val="Normal"/>
        <w:ind w:left="567" w:right="567" w:firstLine="0"/>
        <w:jc w:val="both"/>
        <w:rPr>
          <w:rFonts w:ascii="Book Antiqua" w:cs="Book Antiqua" w:hAnsi="Book Antiqua" w:eastAsia="Book Antiqua"/>
        </w:rPr>
      </w:pPr>
      <w:r>
        <w:rPr>
          <w:rFonts w:ascii="Book Antiqua"/>
          <w:rtl w:val="0"/>
          <w:lang w:val="it-IT"/>
        </w:rPr>
        <w:t>(vi) danni all</w:t>
      </w:r>
      <w:r>
        <w:rPr>
          <w:rFonts w:hAnsi="Book Antiqua" w:hint="default"/>
          <w:rtl w:val="0"/>
          <w:lang w:val="it-IT"/>
        </w:rPr>
        <w:t>’</w:t>
      </w:r>
      <w:r>
        <w:rPr>
          <w:rFonts w:ascii="Book Antiqua"/>
          <w:rtl w:val="0"/>
          <w:lang w:val="it-IT"/>
        </w:rPr>
        <w:t xml:space="preserve">immagine per una somma non inferiore ad </w:t>
      </w:r>
      <w:r>
        <w:rPr>
          <w:rFonts w:hAnsi="Book Antiqua" w:hint="default"/>
          <w:rtl w:val="0"/>
          <w:lang w:val="it-IT"/>
        </w:rPr>
        <w:t xml:space="preserve">€ </w:t>
      </w:r>
      <w:r>
        <w:rPr>
          <w:rFonts w:ascii="Book Antiqua"/>
          <w:rtl w:val="0"/>
          <w:lang w:val="it-IT"/>
        </w:rPr>
        <w:t>5.000.000,00;</w:t>
      </w:r>
    </w:p>
    <w:p>
      <w:pPr>
        <w:pStyle w:val="Normal"/>
        <w:ind w:left="567" w:right="567" w:firstLine="0"/>
        <w:jc w:val="both"/>
        <w:rPr>
          <w:rFonts w:ascii="Book Antiqua" w:cs="Book Antiqua" w:hAnsi="Book Antiqua" w:eastAsia="Book Antiqua"/>
        </w:rPr>
      </w:pPr>
      <w:r>
        <w:rPr>
          <w:rFonts w:ascii="Book Antiqua"/>
          <w:rtl w:val="0"/>
          <w:lang w:val="it-IT"/>
        </w:rPr>
        <w:t>(vii) tutte le perdite subite ed i mancati guadagni patiti in conseguenza di illegittimo comportamento di AMA, allo stato non quantificati.</w:t>
      </w:r>
    </w:p>
    <w:p>
      <w:pPr>
        <w:pStyle w:val="Normal"/>
        <w:ind w:left="567" w:right="567" w:firstLine="0"/>
        <w:jc w:val="both"/>
        <w:rPr>
          <w:rFonts w:ascii="Book Antiqua" w:cs="Book Antiqua" w:hAnsi="Book Antiqua" w:eastAsia="Book Antiqua"/>
        </w:rPr>
      </w:pPr>
      <w:r>
        <w:rPr>
          <w:rFonts w:ascii="Book Antiqua"/>
          <w:rtl w:val="0"/>
          <w:lang w:val="it-IT"/>
        </w:rPr>
        <w:t>All</w:t>
      </w:r>
      <w:r>
        <w:rPr>
          <w:rFonts w:hAnsi="Book Antiqua" w:hint="default"/>
          <w:rtl w:val="0"/>
          <w:lang w:val="it-IT"/>
        </w:rPr>
        <w:t>’</w:t>
      </w:r>
      <w:r>
        <w:rPr>
          <w:rFonts w:ascii="Book Antiqua"/>
          <w:rtl w:val="0"/>
          <w:lang w:val="it-IT"/>
        </w:rPr>
        <w:t>udienza del 10 aprile 2013 le parti hanno discusso la controversia ed il collegio ha rinnovato ad AMA e Co.La.Ri. l</w:t>
      </w:r>
      <w:r>
        <w:rPr>
          <w:rFonts w:hAnsi="Book Antiqua" w:hint="default"/>
          <w:rtl w:val="0"/>
          <w:lang w:val="it-IT"/>
        </w:rPr>
        <w:t>’</w:t>
      </w:r>
      <w:r>
        <w:rPr>
          <w:rFonts w:ascii="Book Antiqua"/>
          <w:rtl w:val="0"/>
          <w:lang w:val="it-IT"/>
        </w:rPr>
        <w:t>invito a valutare la possibilit</w:t>
      </w:r>
      <w:r>
        <w:rPr>
          <w:rFonts w:hAnsi="Book Antiqua" w:hint="default"/>
          <w:rtl w:val="0"/>
          <w:lang w:val="it-IT"/>
        </w:rPr>
        <w:t xml:space="preserve">à </w:t>
      </w:r>
      <w:r>
        <w:rPr>
          <w:rFonts w:ascii="Book Antiqua"/>
          <w:rtl w:val="0"/>
          <w:lang w:val="it-IT"/>
        </w:rPr>
        <w:t xml:space="preserve">di una definizione transattiva della lite rispetto alla quale entrambe le parti si sono dichiarate disponibili, in linea di principio. </w:t>
      </w:r>
    </w:p>
    <w:p>
      <w:pPr>
        <w:pStyle w:val="Normal"/>
        <w:ind w:left="567" w:right="567" w:firstLine="0"/>
        <w:jc w:val="both"/>
        <w:rPr>
          <w:rFonts w:ascii="Book Antiqua" w:cs="Book Antiqua" w:hAnsi="Book Antiqua" w:eastAsia="Book Antiqua"/>
          <w:i w:val="1"/>
          <w:iCs w:val="1"/>
        </w:rPr>
      </w:pPr>
      <w:r>
        <w:rPr>
          <w:rFonts w:ascii="Book Antiqua"/>
          <w:rtl w:val="0"/>
          <w:lang w:val="it-IT"/>
        </w:rPr>
        <w:t>Ci</w:t>
      </w:r>
      <w:r>
        <w:rPr>
          <w:rFonts w:hAnsi="Book Antiqua" w:hint="default"/>
          <w:rtl w:val="0"/>
          <w:lang w:val="it-IT"/>
        </w:rPr>
        <w:t xml:space="preserve">ò </w:t>
      </w:r>
      <w:r>
        <w:rPr>
          <w:rFonts w:ascii="Book Antiqua"/>
          <w:rtl w:val="0"/>
          <w:lang w:val="it-IT"/>
        </w:rPr>
        <w:t>posto, il collegio ha concesso alle parti ulteriori termini per il deposito di memorie istruttorie ed ha fissato l</w:t>
      </w:r>
      <w:r>
        <w:rPr>
          <w:rFonts w:hAnsi="Book Antiqua" w:hint="default"/>
          <w:rtl w:val="0"/>
          <w:lang w:val="it-IT"/>
        </w:rPr>
        <w:t>’</w:t>
      </w:r>
      <w:r>
        <w:rPr>
          <w:rFonts w:ascii="Book Antiqua"/>
          <w:rtl w:val="0"/>
          <w:lang w:val="it-IT"/>
        </w:rPr>
        <w:t>udienza del 12 giugno 2013 per l</w:t>
      </w:r>
      <w:r>
        <w:rPr>
          <w:rFonts w:hAnsi="Book Antiqua" w:hint="default"/>
          <w:rtl w:val="0"/>
          <w:lang w:val="it-IT"/>
        </w:rPr>
        <w:t>’</w:t>
      </w:r>
      <w:r>
        <w:rPr>
          <w:rFonts w:ascii="Book Antiqua"/>
          <w:rtl w:val="0"/>
          <w:lang w:val="it-IT"/>
        </w:rPr>
        <w:t>espletamento del tentativo di conciliazione e per la ulteriore trattazione della controversia. Depositate ritualmente le ulteriori memorie, all</w:t>
      </w:r>
      <w:r>
        <w:rPr>
          <w:rFonts w:hAnsi="Book Antiqua" w:hint="default"/>
          <w:rtl w:val="0"/>
          <w:lang w:val="it-IT"/>
        </w:rPr>
        <w:t>’</w:t>
      </w:r>
      <w:r>
        <w:rPr>
          <w:rFonts w:ascii="Book Antiqua"/>
          <w:rtl w:val="0"/>
          <w:lang w:val="it-IT"/>
        </w:rPr>
        <w:t>udienza del 12 giugno 2013, il collegio arbitrale ha disposto un rinvio all</w:t>
      </w:r>
      <w:r>
        <w:rPr>
          <w:rFonts w:hAnsi="Book Antiqua" w:hint="default"/>
          <w:rtl w:val="0"/>
          <w:lang w:val="it-IT"/>
        </w:rPr>
        <w:t>’</w:t>
      </w:r>
      <w:r>
        <w:rPr>
          <w:rFonts w:ascii="Book Antiqua"/>
          <w:rtl w:val="0"/>
          <w:lang w:val="it-IT"/>
        </w:rPr>
        <w:t>udienza 23 luglio 2013 (in seguito differita al 30 luglio 2013) per espletare il tentativo di conciliazione con termine fino al 15 luglio 2013 per l</w:t>
      </w:r>
      <w:r>
        <w:rPr>
          <w:rFonts w:hAnsi="Book Antiqua" w:hint="default"/>
          <w:rtl w:val="0"/>
          <w:lang w:val="it-IT"/>
        </w:rPr>
        <w:t>’</w:t>
      </w:r>
      <w:r>
        <w:rPr>
          <w:rFonts w:ascii="Book Antiqua"/>
          <w:rtl w:val="0"/>
          <w:lang w:val="it-IT"/>
        </w:rPr>
        <w:t>eventuale deposito di memoria integrativa dei mezzi istruttori.</w:t>
      </w:r>
    </w:p>
    <w:p>
      <w:pPr>
        <w:pStyle w:val="Normal"/>
        <w:ind w:left="567" w:right="567" w:firstLine="0"/>
        <w:jc w:val="both"/>
        <w:rPr>
          <w:rFonts w:ascii="Book Antiqua" w:cs="Book Antiqua" w:hAnsi="Book Antiqua" w:eastAsia="Book Antiqua"/>
        </w:rPr>
      </w:pPr>
      <w:r>
        <w:rPr>
          <w:rFonts w:ascii="Book Antiqua"/>
          <w:rtl w:val="0"/>
          <w:lang w:val="it-IT"/>
        </w:rPr>
        <w:t xml:space="preserve">Con successiva ordinanza del 25 luglio 2013, il collegio ha concesso alle parti </w:t>
      </w:r>
      <w:r>
        <w:rPr>
          <w:rFonts w:hAnsi="Book Antiqua" w:hint="default"/>
          <w:rtl w:val="0"/>
          <w:lang w:val="it-IT"/>
        </w:rPr>
        <w:t>“</w:t>
      </w:r>
      <w:r>
        <w:rPr>
          <w:rFonts w:ascii="Book Antiqua"/>
          <w:rtl w:val="0"/>
          <w:lang w:val="it-IT"/>
        </w:rPr>
        <w:t>termine fino al 10 settembre 2013 per il deposito di memorie e documenti, disponendo, altres</w:t>
      </w:r>
      <w:r>
        <w:rPr>
          <w:rFonts w:hAnsi="Book Antiqua" w:hint="default"/>
          <w:rtl w:val="0"/>
          <w:lang w:val="it-IT"/>
        </w:rPr>
        <w:t>ì</w:t>
      </w:r>
      <w:r>
        <w:rPr>
          <w:rFonts w:ascii="Book Antiqua"/>
          <w:rtl w:val="0"/>
          <w:lang w:val="it-IT"/>
        </w:rPr>
        <w:t>, che nelle stesse memorie le parti specifichino i quesiti da eventualmente rimettere a consulenza tecnica d</w:t>
      </w:r>
      <w:r>
        <w:rPr>
          <w:rFonts w:hAnsi="Book Antiqua" w:hint="default"/>
          <w:rtl w:val="0"/>
          <w:lang w:val="it-IT"/>
        </w:rPr>
        <w:t>’</w:t>
      </w:r>
      <w:r>
        <w:rPr>
          <w:rFonts w:ascii="Book Antiqua"/>
          <w:rtl w:val="0"/>
          <w:lang w:val="it-IT"/>
        </w:rPr>
        <w:t>ufficio, della quale il collegio si riserva di valutare l</w:t>
      </w:r>
      <w:r>
        <w:rPr>
          <w:rFonts w:hAnsi="Book Antiqua" w:hint="default"/>
          <w:rtl w:val="0"/>
          <w:lang w:val="it-IT"/>
        </w:rPr>
        <w:t>’</w:t>
      </w:r>
      <w:r>
        <w:rPr>
          <w:rFonts w:ascii="Book Antiqua"/>
          <w:rtl w:val="0"/>
          <w:lang w:val="it-IT"/>
        </w:rPr>
        <w:t>ammissione, nonch</w:t>
      </w:r>
      <w:r>
        <w:rPr>
          <w:rFonts w:hAnsi="Book Antiqua" w:hint="default"/>
          <w:rtl w:val="0"/>
          <w:lang w:val="it-IT"/>
        </w:rPr>
        <w:t xml:space="preserve">é </w:t>
      </w:r>
      <w:r>
        <w:rPr>
          <w:rFonts w:ascii="Book Antiqua"/>
          <w:rtl w:val="0"/>
          <w:lang w:val="it-IT"/>
        </w:rPr>
        <w:t>successivo termine fino al 25 settembre 2013 per replica</w:t>
      </w:r>
      <w:r>
        <w:rPr>
          <w:rFonts w:hAnsi="Book Antiqua" w:hint="default"/>
          <w:rtl w:val="0"/>
          <w:lang w:val="it-IT"/>
        </w:rPr>
        <w:t>”</w:t>
      </w:r>
      <w:r>
        <w:rPr>
          <w:rFonts w:ascii="Book Antiqua"/>
          <w:rtl w:val="0"/>
          <w:lang w:val="it-IT"/>
        </w:rPr>
        <w:t>. Il collegio ha, quindi, differito l</w:t>
      </w:r>
      <w:r>
        <w:rPr>
          <w:rFonts w:hAnsi="Book Antiqua" w:hint="default"/>
          <w:rtl w:val="0"/>
          <w:lang w:val="it-IT"/>
        </w:rPr>
        <w:t>’</w:t>
      </w:r>
      <w:r>
        <w:rPr>
          <w:rFonts w:ascii="Book Antiqua"/>
          <w:rtl w:val="0"/>
          <w:lang w:val="it-IT"/>
        </w:rPr>
        <w:t>udienza del 30 luglio 2013 al 2 ottobre 2013, successivamente rinviata al 17 ottobre 2013. In tale sede, su istanza delle parti, il collegio arbitrale ha concesso a Co.La.Ri. termine sino al 24 ottobre 2013 per il deposito dell</w:t>
      </w:r>
      <w:r>
        <w:rPr>
          <w:rFonts w:hAnsi="Book Antiqua" w:hint="default"/>
          <w:rtl w:val="0"/>
          <w:lang w:val="it-IT"/>
        </w:rPr>
        <w:t>’</w:t>
      </w:r>
      <w:r>
        <w:rPr>
          <w:rFonts w:ascii="Book Antiqua"/>
          <w:rtl w:val="0"/>
          <w:lang w:val="it-IT"/>
        </w:rPr>
        <w:t>atto costitutivo e dello statuto del consorzio, nonch</w:t>
      </w:r>
      <w:r>
        <w:rPr>
          <w:rFonts w:hAnsi="Book Antiqua" w:hint="default"/>
          <w:rtl w:val="0"/>
          <w:lang w:val="it-IT"/>
        </w:rPr>
        <w:t xml:space="preserve">é </w:t>
      </w:r>
      <w:r>
        <w:rPr>
          <w:rFonts w:ascii="Book Antiqua"/>
          <w:rtl w:val="0"/>
          <w:lang w:val="it-IT"/>
        </w:rPr>
        <w:t>ad entrambe le parti i termini del 31 ottobre 2013 e 7 novembre 2013 per il deposito di brevi memorie ed eventuali repliche. Con successiva ordinanza del 27 dicembre 2013, il collegio ha ammesso la consulenza tecnica d</w:t>
      </w:r>
      <w:r>
        <w:rPr>
          <w:rFonts w:hAnsi="Book Antiqua" w:hint="default"/>
          <w:rtl w:val="0"/>
          <w:lang w:val="it-IT"/>
        </w:rPr>
        <w:t>’</w:t>
      </w:r>
      <w:r>
        <w:rPr>
          <w:rFonts w:ascii="Book Antiqua"/>
          <w:rtl w:val="0"/>
          <w:lang w:val="it-IT"/>
        </w:rPr>
        <w:t>ufficio (CTU) richiesta ed ha rinviato la causa all</w:t>
      </w:r>
      <w:r>
        <w:rPr>
          <w:rFonts w:hAnsi="Book Antiqua" w:hint="default"/>
          <w:rtl w:val="0"/>
          <w:lang w:val="it-IT"/>
        </w:rPr>
        <w:t>’</w:t>
      </w:r>
      <w:r>
        <w:rPr>
          <w:rFonts w:ascii="Book Antiqua"/>
          <w:rtl w:val="0"/>
          <w:lang w:val="it-IT"/>
        </w:rPr>
        <w:t>udienza del 30 gennaio 2014 per il formale conferimento dell</w:t>
      </w:r>
      <w:r>
        <w:rPr>
          <w:rFonts w:hAnsi="Book Antiqua" w:hint="default"/>
          <w:rtl w:val="0"/>
          <w:lang w:val="it-IT"/>
        </w:rPr>
        <w:t>’</w:t>
      </w:r>
      <w:r>
        <w:rPr>
          <w:rFonts w:ascii="Book Antiqua"/>
          <w:rtl w:val="0"/>
          <w:lang w:val="it-IT"/>
        </w:rPr>
        <w:t xml:space="preserve">incarico al CTU e per la formulazione dei quesiti. </w:t>
      </w:r>
    </w:p>
    <w:p>
      <w:pPr>
        <w:pStyle w:val="Normal"/>
        <w:ind w:left="567" w:right="567" w:firstLine="0"/>
        <w:jc w:val="both"/>
        <w:rPr>
          <w:rFonts w:ascii="Book Antiqua" w:cs="Book Antiqua" w:hAnsi="Book Antiqua" w:eastAsia="Book Antiqua"/>
        </w:rPr>
      </w:pPr>
      <w:r>
        <w:rPr>
          <w:rFonts w:ascii="Book Antiqua"/>
          <w:rtl w:val="0"/>
          <w:lang w:val="it-IT"/>
        </w:rPr>
        <w:t>All</w:t>
      </w:r>
      <w:r>
        <w:rPr>
          <w:rFonts w:hAnsi="Book Antiqua" w:hint="default"/>
          <w:rtl w:val="0"/>
          <w:lang w:val="it-IT"/>
        </w:rPr>
        <w:t>’</w:t>
      </w:r>
      <w:r>
        <w:rPr>
          <w:rFonts w:ascii="Book Antiqua"/>
          <w:rtl w:val="0"/>
          <w:lang w:val="it-IT"/>
        </w:rPr>
        <w:t>udienza del 30 gennaio 2014, alla luce della documentazione prodotta in atti da AMA e delle nuove eccezioni formulate dalla sua difesa, il collegio arbitrale ha concesso alle parti termine fino al 3 marzo 2014 per il deposito di memorie e termine fino al 24 marzo 2014 per il deposito di eventuali repliche. Depositate ritualmente tali ulteriori memorie, con ordinanza del 10 aprile 2014, il collegio arbitrale ha comunicato alle parti di voler procedere alla decisione delle eccezioni preliminari e pregiudiziali proposte da AMA, assegnando alle parti termine fino al 23 aprile 2014 per il deposito del foglio di definitiva precisazione dei quesiti, in forma di specifiche conclusioni, sulle suddette questioni preliminari e pregiudiziali, riservandosi ogni altro provvedimento.</w:t>
      </w:r>
    </w:p>
    <w:p>
      <w:pPr>
        <w:pStyle w:val="Normal"/>
        <w:ind w:left="567" w:right="567" w:firstLine="0"/>
        <w:jc w:val="both"/>
        <w:rPr>
          <w:rFonts w:ascii="Book Antiqua" w:cs="Book Antiqua" w:hAnsi="Book Antiqua" w:eastAsia="Book Antiqua"/>
        </w:rPr>
      </w:pPr>
      <w:r>
        <w:rPr>
          <w:rFonts w:ascii="Book Antiqua"/>
          <w:rtl w:val="0"/>
          <w:lang w:val="it-IT"/>
        </w:rPr>
        <w:t xml:space="preserve">In data 23 aprile 2014 AMA ha depositato il foglio di definitiva precisazione dei quesiti e, in pari data, il Co.La.Ri. ha depositato il proprio foglio di precisazione delle conclusioni con cui ha chiesto il rigetto di tutte le eccezioni pregiudiziali e preliminari sollevate da AMA. </w:t>
      </w:r>
    </w:p>
    <w:p>
      <w:pPr>
        <w:pStyle w:val="Normal"/>
        <w:ind w:left="567" w:right="567" w:firstLine="0"/>
        <w:jc w:val="both"/>
        <w:rPr>
          <w:rFonts w:ascii="Book Antiqua" w:cs="Book Antiqua" w:hAnsi="Book Antiqua" w:eastAsia="Book Antiqua"/>
        </w:rPr>
      </w:pPr>
      <w:r>
        <w:rPr>
          <w:rFonts w:ascii="Book Antiqua"/>
          <w:rtl w:val="0"/>
          <w:lang w:val="it-IT"/>
        </w:rPr>
        <w:t>In data 1</w:t>
      </w:r>
      <w:r>
        <w:rPr>
          <w:rFonts w:hAnsi="Book Antiqua" w:hint="default"/>
          <w:rtl w:val="0"/>
          <w:lang w:val="it-IT"/>
        </w:rPr>
        <w:t xml:space="preserve">° </w:t>
      </w:r>
      <w:r>
        <w:rPr>
          <w:rFonts w:ascii="Book Antiqua"/>
          <w:rtl w:val="0"/>
          <w:lang w:val="it-IT"/>
        </w:rPr>
        <w:t xml:space="preserve">agosto 2014, il collegio arbitrale ha emesso un lodo arbitrale parziale e non definitivo richiesto da AMA. Il lodo parziale </w:t>
      </w:r>
      <w:r>
        <w:rPr>
          <w:rFonts w:hAnsi="Book Antiqua" w:hint="default"/>
          <w:rtl w:val="0"/>
          <w:lang w:val="it-IT"/>
        </w:rPr>
        <w:t xml:space="preserve">è </w:t>
      </w:r>
      <w:r>
        <w:rPr>
          <w:rFonts w:ascii="Book Antiqua"/>
          <w:rtl w:val="0"/>
          <w:lang w:val="it-IT"/>
        </w:rPr>
        <w:t>stato emesso a maggioranza, in quanto sottoscritto dal Presidente e dall</w:t>
      </w:r>
      <w:r>
        <w:rPr>
          <w:rFonts w:hAnsi="Book Antiqua" w:hint="default"/>
          <w:rtl w:val="0"/>
          <w:lang w:val="it-IT"/>
        </w:rPr>
        <w:t>’</w:t>
      </w:r>
      <w:r>
        <w:rPr>
          <w:rFonts w:ascii="Book Antiqua"/>
          <w:rtl w:val="0"/>
          <w:lang w:val="it-IT"/>
        </w:rPr>
        <w:t>arbitro nominato da Co.La.Ri., con il dissenso dell</w:t>
      </w:r>
      <w:r>
        <w:rPr>
          <w:rFonts w:hAnsi="Book Antiqua" w:hint="default"/>
          <w:rtl w:val="0"/>
          <w:lang w:val="it-IT"/>
        </w:rPr>
        <w:t>’</w:t>
      </w:r>
      <w:r>
        <w:rPr>
          <w:rFonts w:ascii="Book Antiqua"/>
          <w:rtl w:val="0"/>
          <w:lang w:val="it-IT"/>
        </w:rPr>
        <w:t xml:space="preserve">arbitro nominato da AMA il quale, in particolare, non ha sottoscritto il lodo medesimo riservandosi di esprimere in apposita relazione i motivi del proprio dissenso. Con il lodo parziale il collegio arbitrale ha accolto parzialmente le eccezioni pregiudiziali e preliminari formulate da AMA riconoscendo la propria </w:t>
      </w:r>
      <w:r>
        <w:rPr>
          <w:rFonts w:hAnsi="Book Antiqua" w:hint="default"/>
          <w:rtl w:val="0"/>
          <w:lang w:val="it-IT"/>
        </w:rPr>
        <w:t>“</w:t>
      </w:r>
      <w:r>
        <w:rPr>
          <w:rFonts w:ascii="Book Antiqua"/>
          <w:rtl w:val="0"/>
          <w:lang w:val="it-IT"/>
        </w:rPr>
        <w:t>incompetenza</w:t>
      </w:r>
      <w:r>
        <w:rPr>
          <w:rFonts w:hAnsi="Book Antiqua" w:hint="default"/>
          <w:rtl w:val="0"/>
          <w:lang w:val="it-IT"/>
        </w:rPr>
        <w:t xml:space="preserve">” </w:t>
      </w:r>
      <w:r>
        <w:rPr>
          <w:rFonts w:ascii="Book Antiqua"/>
          <w:rtl w:val="0"/>
          <w:lang w:val="it-IT"/>
        </w:rPr>
        <w:t>a conoscere di 9 domande su 12 di Co.La.Ri., che, dunque, sono state tutte rigettate.</w:t>
      </w:r>
    </w:p>
    <w:p>
      <w:pPr>
        <w:pStyle w:val="Normal"/>
        <w:ind w:left="567" w:right="567" w:firstLine="0"/>
        <w:jc w:val="both"/>
        <w:rPr>
          <w:rFonts w:ascii="Book Antiqua" w:cs="Book Antiqua" w:hAnsi="Book Antiqua" w:eastAsia="Book Antiqua"/>
        </w:rPr>
      </w:pPr>
      <w:r>
        <w:rPr>
          <w:rFonts w:ascii="Book Antiqua"/>
          <w:rtl w:val="0"/>
          <w:lang w:val="it-IT"/>
        </w:rPr>
        <w:t>Tuttavia, quanto ai restanti quesiti di Co.La.Ri. (segnatamente il n. 7 e il n. 11 con i quali Co.La.Ri. ha chiesto, rispettivamente, che venga accertato l</w:t>
      </w:r>
      <w:r>
        <w:rPr>
          <w:rFonts w:hAnsi="Book Antiqua" w:hint="default"/>
          <w:rtl w:val="0"/>
          <w:lang w:val="it-IT"/>
        </w:rPr>
        <w:t>’</w:t>
      </w:r>
      <w:r>
        <w:rPr>
          <w:rFonts w:ascii="Book Antiqua"/>
          <w:rtl w:val="0"/>
          <w:lang w:val="it-IT"/>
        </w:rPr>
        <w:t>inadempimento di AMA all</w:t>
      </w:r>
      <w:r>
        <w:rPr>
          <w:rFonts w:hAnsi="Book Antiqua" w:hint="default"/>
          <w:rtl w:val="0"/>
          <w:lang w:val="it-IT"/>
        </w:rPr>
        <w:t>’</w:t>
      </w:r>
      <w:r>
        <w:rPr>
          <w:rFonts w:ascii="Book Antiqua"/>
          <w:rtl w:val="0"/>
          <w:lang w:val="it-IT"/>
        </w:rPr>
        <w:t>obbligo di interpretare, eseguire e rinegoziare secondo buona fede il contratto stipulato nel 2009 e la conseguente responsabilit</w:t>
      </w:r>
      <w:r>
        <w:rPr>
          <w:rFonts w:hAnsi="Book Antiqua" w:hint="default"/>
          <w:rtl w:val="0"/>
          <w:lang w:val="it-IT"/>
        </w:rPr>
        <w:t xml:space="preserve">à </w:t>
      </w:r>
      <w:r>
        <w:rPr>
          <w:rFonts w:ascii="Book Antiqua"/>
          <w:rtl w:val="0"/>
          <w:lang w:val="it-IT"/>
        </w:rPr>
        <w:t>risarcitoria di AMA nei confronti di Co.La.Ri. per i danni da questo subiti e subendi, nonch</w:t>
      </w:r>
      <w:r>
        <w:rPr>
          <w:rFonts w:hAnsi="Book Antiqua" w:hint="default"/>
          <w:rtl w:val="0"/>
          <w:lang w:val="it-IT"/>
        </w:rPr>
        <w:t xml:space="preserve">é </w:t>
      </w:r>
      <w:r>
        <w:rPr>
          <w:rFonts w:ascii="Book Antiqua"/>
          <w:rtl w:val="0"/>
          <w:lang w:val="it-IT"/>
        </w:rPr>
        <w:t xml:space="preserve">il quesito n. 12 relativo alle spese), a seguito di una operazione di asserita riqualificazione, da parte del collegio arbitrale, </w:t>
      </w:r>
      <w:r>
        <w:rPr>
          <w:rFonts w:hAnsi="Book Antiqua" w:hint="default"/>
          <w:rtl w:val="0"/>
          <w:lang w:val="it-IT"/>
        </w:rPr>
        <w:t>“</w:t>
      </w:r>
      <w:r>
        <w:rPr>
          <w:rFonts w:ascii="Book Antiqua"/>
          <w:rtl w:val="0"/>
          <w:lang w:val="it-IT"/>
        </w:rPr>
        <w:t>del contenuto effettivo delle difese di Co.La.Ri. quali risultano, ai fini in discorso, dalle sue complessive difese e dal quesito 7 in particolare</w:t>
      </w:r>
      <w:r>
        <w:rPr>
          <w:rFonts w:hAnsi="Book Antiqua" w:hint="default"/>
          <w:rtl w:val="0"/>
          <w:lang w:val="it-IT"/>
        </w:rPr>
        <w:t>”</w:t>
      </w:r>
      <w:r>
        <w:rPr>
          <w:rFonts w:ascii="Book Antiqua"/>
          <w:rtl w:val="0"/>
          <w:lang w:val="it-IT"/>
        </w:rPr>
        <w:t xml:space="preserve">, il medesimo collegio arbitrale </w:t>
      </w:r>
      <w:r>
        <w:rPr>
          <w:rFonts w:hAnsi="Book Antiqua" w:hint="default"/>
          <w:rtl w:val="0"/>
          <w:lang w:val="it-IT"/>
        </w:rPr>
        <w:t xml:space="preserve">– </w:t>
      </w:r>
      <w:r>
        <w:rPr>
          <w:rFonts w:ascii="Book Antiqua"/>
          <w:rtl w:val="0"/>
          <w:lang w:val="it-IT"/>
        </w:rPr>
        <w:t>ha ritenuto in ogni caso ricompresa nella sfera della propria cognizione la valutazione del comportamento tenuto dalle Parti e, per quel che concerne le domande di Co.La.Ri., da AMA in particolare, rispetto all</w:t>
      </w:r>
      <w:r>
        <w:rPr>
          <w:rFonts w:hAnsi="Book Antiqua" w:hint="default"/>
          <w:rtl w:val="0"/>
          <w:lang w:val="it-IT"/>
        </w:rPr>
        <w:t>’</w:t>
      </w:r>
      <w:r>
        <w:rPr>
          <w:rFonts w:ascii="Book Antiqua"/>
          <w:rtl w:val="0"/>
          <w:lang w:val="it-IT"/>
        </w:rPr>
        <w:t xml:space="preserve">obbligo di interpretare ed eseguire il contratto stipulato nel 2009 secondo buona fede. </w:t>
      </w:r>
    </w:p>
    <w:p>
      <w:pPr>
        <w:pStyle w:val="Normal"/>
        <w:ind w:left="567" w:right="567" w:firstLine="0"/>
        <w:jc w:val="both"/>
        <w:rPr>
          <w:rFonts w:ascii="Book Antiqua" w:cs="Book Antiqua" w:hAnsi="Book Antiqua" w:eastAsia="Book Antiqua"/>
        </w:rPr>
      </w:pPr>
      <w:r>
        <w:rPr>
          <w:rFonts w:ascii="Book Antiqua"/>
          <w:rtl w:val="0"/>
          <w:lang w:val="it-IT"/>
        </w:rPr>
        <w:t xml:space="preserve">Il collegio arbitrale, dunque, ha ritenuto di poter </w:t>
      </w:r>
      <w:r>
        <w:rPr>
          <w:rFonts w:hAnsi="Book Antiqua" w:hint="default"/>
          <w:rtl w:val="0"/>
          <w:lang w:val="it-IT"/>
        </w:rPr>
        <w:t>“</w:t>
      </w:r>
      <w:r>
        <w:rPr>
          <w:rFonts w:ascii="Book Antiqua"/>
          <w:rtl w:val="0"/>
          <w:lang w:val="it-IT"/>
        </w:rPr>
        <w:t>valutare la fondatezza dell</w:t>
      </w:r>
      <w:r>
        <w:rPr>
          <w:rFonts w:hAnsi="Book Antiqua" w:hint="default"/>
          <w:rtl w:val="0"/>
          <w:lang w:val="it-IT"/>
        </w:rPr>
        <w:t>’</w:t>
      </w:r>
      <w:r>
        <w:rPr>
          <w:rFonts w:ascii="Book Antiqua"/>
          <w:rtl w:val="0"/>
          <w:lang w:val="it-IT"/>
        </w:rPr>
        <w:t>assunto di Co.La.Ri. per cui interpretazione ed esecuzione da parte di AMA non sarebbero state conformi al canone di buona fede</w:t>
      </w:r>
      <w:r>
        <w:rPr>
          <w:rFonts w:hAnsi="Book Antiqua" w:hint="default"/>
          <w:rtl w:val="0"/>
          <w:lang w:val="it-IT"/>
        </w:rPr>
        <w:t>”</w:t>
      </w:r>
      <w:r>
        <w:rPr>
          <w:rFonts w:ascii="Book Antiqua"/>
          <w:rtl w:val="0"/>
          <w:lang w:val="it-IT"/>
        </w:rPr>
        <w:t>. Su tali presupposti, il collegio arbitrale ha pertanto ritenuto di concludere come segue:</w:t>
      </w:r>
    </w:p>
    <w:p>
      <w:pPr>
        <w:pStyle w:val="Normal"/>
        <w:ind w:left="567" w:right="567" w:firstLine="0"/>
        <w:jc w:val="both"/>
        <w:rPr>
          <w:rFonts w:ascii="Book Antiqua" w:cs="Book Antiqua" w:hAnsi="Book Antiqua" w:eastAsia="Book Antiqua"/>
        </w:rPr>
      </w:pPr>
      <w:r>
        <w:rPr>
          <w:rFonts w:ascii="Book Antiqua"/>
          <w:rtl w:val="0"/>
          <w:lang w:val="it-IT"/>
        </w:rPr>
        <w:t xml:space="preserve">- </w:t>
      </w:r>
      <w:r>
        <w:rPr>
          <w:rFonts w:hAnsi="Book Antiqua" w:hint="default"/>
          <w:rtl w:val="0"/>
          <w:lang w:val="it-IT"/>
        </w:rPr>
        <w:t>“</w:t>
      </w:r>
      <w:r>
        <w:rPr>
          <w:rFonts w:ascii="Book Antiqua"/>
          <w:rtl w:val="0"/>
          <w:lang w:val="it-IT"/>
        </w:rPr>
        <w:t>accerta e dichiara, per le ragioni e nei limiti di cui in motivazione, la violazione da parte di AMA dell</w:t>
      </w:r>
      <w:r>
        <w:rPr>
          <w:rFonts w:hAnsi="Book Antiqua" w:hint="default"/>
          <w:rtl w:val="0"/>
          <w:lang w:val="it-IT"/>
        </w:rPr>
        <w:t>’</w:t>
      </w:r>
      <w:r>
        <w:rPr>
          <w:rFonts w:ascii="Book Antiqua"/>
          <w:rtl w:val="0"/>
          <w:lang w:val="it-IT"/>
        </w:rPr>
        <w:t>obbligo di buona fede e correttezza nell</w:t>
      </w:r>
      <w:r>
        <w:rPr>
          <w:rFonts w:hAnsi="Book Antiqua" w:hint="default"/>
          <w:rtl w:val="0"/>
          <w:lang w:val="it-IT"/>
        </w:rPr>
        <w:t>’</w:t>
      </w:r>
      <w:r>
        <w:rPr>
          <w:rFonts w:ascii="Book Antiqua"/>
          <w:rtl w:val="0"/>
          <w:lang w:val="it-IT"/>
        </w:rPr>
        <w:t>interpretazione ed esecuzione del contratto in data 30 giugno 2009, rispetto al fondato affidamento ingenerato in Co.La.Ri., cos</w:t>
      </w:r>
      <w:r>
        <w:rPr>
          <w:rFonts w:hAnsi="Book Antiqua" w:hint="default"/>
          <w:rtl w:val="0"/>
          <w:lang w:val="it-IT"/>
        </w:rPr>
        <w:t xml:space="preserve">ì </w:t>
      </w:r>
      <w:r>
        <w:rPr>
          <w:rFonts w:ascii="Book Antiqua"/>
          <w:rtl w:val="0"/>
          <w:lang w:val="it-IT"/>
        </w:rPr>
        <w:t>accogliendo il quesito di parte Co.La.Ri. distinto dal numero 7;</w:t>
      </w:r>
    </w:p>
    <w:p>
      <w:pPr>
        <w:pStyle w:val="Normal"/>
        <w:ind w:left="567" w:right="567" w:firstLine="0"/>
        <w:jc w:val="both"/>
        <w:rPr>
          <w:rFonts w:ascii="Book Antiqua" w:cs="Book Antiqua" w:hAnsi="Book Antiqua" w:eastAsia="Book Antiqua"/>
        </w:rPr>
      </w:pPr>
      <w:r>
        <w:rPr>
          <w:rFonts w:ascii="Book Antiqua"/>
          <w:rtl w:val="0"/>
          <w:lang w:val="it-IT"/>
        </w:rPr>
        <w:t>- accerta e dichiara, per le ragioni e nei limiti di cui in motivazione, che sussiste una responsabilit</w:t>
      </w:r>
      <w:r>
        <w:rPr>
          <w:rFonts w:hAnsi="Book Antiqua" w:hint="default"/>
          <w:rtl w:val="0"/>
          <w:lang w:val="it-IT"/>
        </w:rPr>
        <w:t xml:space="preserve">à </w:t>
      </w:r>
      <w:r>
        <w:rPr>
          <w:rFonts w:ascii="Book Antiqua"/>
          <w:rtl w:val="0"/>
          <w:lang w:val="it-IT"/>
        </w:rPr>
        <w:t>risarcitoria di AMA nei confronti di Co.La.Ri. per il danno da questo subito, cos</w:t>
      </w:r>
      <w:r>
        <w:rPr>
          <w:rFonts w:hAnsi="Book Antiqua" w:hint="default"/>
          <w:rtl w:val="0"/>
          <w:lang w:val="it-IT"/>
        </w:rPr>
        <w:t xml:space="preserve">ì </w:t>
      </w:r>
      <w:r>
        <w:rPr>
          <w:rFonts w:ascii="Book Antiqua"/>
          <w:rtl w:val="0"/>
          <w:lang w:val="it-IT"/>
        </w:rPr>
        <w:t>accogliendo il quesito di parte Co.La.Ri. distinto dal numero 11</w:t>
      </w:r>
      <w:r>
        <w:rPr>
          <w:rFonts w:hAnsi="Book Antiqua" w:hint="default"/>
          <w:rtl w:val="0"/>
          <w:lang w:val="it-IT"/>
        </w:rPr>
        <w:t>”</w:t>
      </w:r>
      <w:r>
        <w:rPr>
          <w:rFonts w:ascii="Book Antiqua"/>
          <w:rtl w:val="0"/>
          <w:lang w:val="it-IT"/>
        </w:rPr>
        <w:t xml:space="preserve">. </w:t>
      </w:r>
    </w:p>
    <w:p>
      <w:pPr>
        <w:pStyle w:val="Normal"/>
        <w:ind w:left="567" w:right="567" w:firstLine="0"/>
        <w:jc w:val="both"/>
        <w:rPr>
          <w:rFonts w:ascii="Book Antiqua" w:cs="Book Antiqua" w:hAnsi="Book Antiqua" w:eastAsia="Book Antiqua"/>
        </w:rPr>
      </w:pPr>
      <w:r>
        <w:rPr>
          <w:rFonts w:ascii="Book Antiqua"/>
          <w:rtl w:val="0"/>
          <w:lang w:val="it-IT"/>
        </w:rPr>
        <w:t xml:space="preserve">Tale lodo parziale </w:t>
      </w:r>
      <w:r>
        <w:rPr>
          <w:rFonts w:hAnsi="Book Antiqua" w:hint="default"/>
          <w:rtl w:val="0"/>
          <w:lang w:val="it-IT"/>
        </w:rPr>
        <w:t xml:space="preserve">è </w:t>
      </w:r>
      <w:r>
        <w:rPr>
          <w:rFonts w:ascii="Book Antiqua"/>
          <w:rtl w:val="0"/>
          <w:lang w:val="it-IT"/>
        </w:rPr>
        <w:t xml:space="preserve">stato poi cautelativamente impugnato da AMA con giudizio attualmente pendente innanzi alla Corte di Appello, Sez. III, rg. n. 1937/15, la cui discussione </w:t>
      </w:r>
      <w:r>
        <w:rPr>
          <w:rFonts w:hAnsi="Book Antiqua" w:hint="default"/>
          <w:rtl w:val="0"/>
          <w:lang w:val="it-IT"/>
        </w:rPr>
        <w:t xml:space="preserve">è </w:t>
      </w:r>
      <w:r>
        <w:rPr>
          <w:rFonts w:ascii="Book Antiqua"/>
          <w:rtl w:val="0"/>
          <w:lang w:val="it-IT"/>
        </w:rPr>
        <w:t>stata rinviata all</w:t>
      </w:r>
      <w:r>
        <w:rPr>
          <w:rFonts w:hAnsi="Book Antiqua" w:hint="default"/>
          <w:rtl w:val="0"/>
          <w:lang w:val="it-IT"/>
        </w:rPr>
        <w:t>’</w:t>
      </w:r>
      <w:r>
        <w:rPr>
          <w:rFonts w:ascii="Book Antiqua"/>
          <w:rtl w:val="0"/>
          <w:lang w:val="it-IT"/>
        </w:rPr>
        <w:t>udienza del 9 marzo 2018.</w:t>
      </w:r>
    </w:p>
    <w:p>
      <w:pPr>
        <w:pStyle w:val="Normal"/>
        <w:ind w:left="567" w:right="567" w:firstLine="0"/>
        <w:jc w:val="both"/>
        <w:rPr>
          <w:rFonts w:ascii="Book Antiqua" w:cs="Book Antiqua" w:hAnsi="Book Antiqua" w:eastAsia="Book Antiqua"/>
        </w:rPr>
      </w:pPr>
      <w:r>
        <w:rPr>
          <w:rFonts w:ascii="Book Antiqua"/>
          <w:rtl w:val="0"/>
          <w:lang w:val="it-IT"/>
        </w:rPr>
        <w:t>Con ordinanza comunicata in data 8 agosto 2014, il collegio arbitrale ha fissato l</w:t>
      </w:r>
      <w:r>
        <w:rPr>
          <w:rFonts w:hAnsi="Book Antiqua" w:hint="default"/>
          <w:rtl w:val="0"/>
          <w:lang w:val="it-IT"/>
        </w:rPr>
        <w:t>’</w:t>
      </w:r>
      <w:r>
        <w:rPr>
          <w:rFonts w:ascii="Book Antiqua"/>
          <w:rtl w:val="0"/>
          <w:lang w:val="it-IT"/>
        </w:rPr>
        <w:t>udienza dell</w:t>
      </w:r>
      <w:r>
        <w:rPr>
          <w:rFonts w:hAnsi="Book Antiqua" w:hint="default"/>
          <w:rtl w:val="0"/>
          <w:lang w:val="it-IT"/>
        </w:rPr>
        <w:t>’</w:t>
      </w:r>
      <w:r>
        <w:rPr>
          <w:rFonts w:ascii="Book Antiqua"/>
          <w:rtl w:val="0"/>
          <w:lang w:val="it-IT"/>
        </w:rPr>
        <w:t>11 settembre 2014, rinviata d</w:t>
      </w:r>
      <w:r>
        <w:rPr>
          <w:rFonts w:hAnsi="Book Antiqua" w:hint="default"/>
          <w:rtl w:val="0"/>
          <w:lang w:val="it-IT"/>
        </w:rPr>
        <w:t>’</w:t>
      </w:r>
      <w:r>
        <w:rPr>
          <w:rFonts w:ascii="Book Antiqua"/>
          <w:rtl w:val="0"/>
          <w:lang w:val="it-IT"/>
        </w:rPr>
        <w:t xml:space="preserve">ufficio prima al 6 ottobre 2014 e successivamente al 20 ottobre 2014, </w:t>
      </w:r>
      <w:r>
        <w:rPr>
          <w:rFonts w:hAnsi="Book Antiqua" w:hint="default"/>
          <w:rtl w:val="0"/>
          <w:lang w:val="it-IT"/>
        </w:rPr>
        <w:t>“</w:t>
      </w:r>
      <w:r>
        <w:rPr>
          <w:rFonts w:ascii="Book Antiqua"/>
          <w:rtl w:val="0"/>
          <w:lang w:val="it-IT"/>
        </w:rPr>
        <w:t>per la trattazione e per la formulazione dei quesiti da sottoporre al Consulente tecnico d</w:t>
      </w:r>
      <w:r>
        <w:rPr>
          <w:rFonts w:hAnsi="Book Antiqua" w:hint="default"/>
          <w:rtl w:val="0"/>
          <w:lang w:val="it-IT"/>
        </w:rPr>
        <w:t>’</w:t>
      </w:r>
      <w:r>
        <w:rPr>
          <w:rFonts w:ascii="Book Antiqua"/>
          <w:rtl w:val="0"/>
          <w:lang w:val="it-IT"/>
        </w:rPr>
        <w:t>ufficio gi</w:t>
      </w:r>
      <w:r>
        <w:rPr>
          <w:rFonts w:hAnsi="Book Antiqua" w:hint="default"/>
          <w:rtl w:val="0"/>
          <w:lang w:val="it-IT"/>
        </w:rPr>
        <w:t xml:space="preserve">à </w:t>
      </w:r>
      <w:r>
        <w:rPr>
          <w:rFonts w:ascii="Book Antiqua"/>
          <w:rtl w:val="0"/>
          <w:lang w:val="it-IT"/>
        </w:rPr>
        <w:t>nominato</w:t>
      </w:r>
      <w:r>
        <w:rPr>
          <w:rFonts w:hAnsi="Book Antiqua" w:hint="default"/>
          <w:rtl w:val="0"/>
          <w:lang w:val="it-IT"/>
        </w:rPr>
        <w:t>”</w:t>
      </w:r>
      <w:r>
        <w:rPr>
          <w:rFonts w:ascii="Book Antiqua"/>
          <w:rtl w:val="0"/>
          <w:lang w:val="it-IT"/>
        </w:rPr>
        <w:t xml:space="preserve"> (con la richiamata ordinanza istruttoria del 27 dicembre 2013, il collegio aveva disposto una CTU di natura economico-finanziaria, senza tuttavia formulare i relativi quesiti e, dunque, senza dare corso alle relative attivit</w:t>
      </w:r>
      <w:r>
        <w:rPr>
          <w:rFonts w:hAnsi="Book Antiqua" w:hint="default"/>
          <w:rtl w:val="0"/>
          <w:lang w:val="it-IT"/>
        </w:rPr>
        <w:t>à</w:t>
      </w:r>
      <w:r>
        <w:rPr>
          <w:rFonts w:ascii="Book Antiqua"/>
          <w:rtl w:val="0"/>
          <w:lang w:val="it-IT"/>
        </w:rPr>
        <w:t xml:space="preserve">). </w:t>
      </w:r>
    </w:p>
    <w:p>
      <w:pPr>
        <w:pStyle w:val="Normal"/>
        <w:ind w:left="567" w:right="567" w:firstLine="0"/>
        <w:jc w:val="both"/>
        <w:rPr>
          <w:rFonts w:ascii="Book Antiqua" w:cs="Book Antiqua" w:hAnsi="Book Antiqua" w:eastAsia="Book Antiqua"/>
        </w:rPr>
      </w:pPr>
      <w:r>
        <w:rPr>
          <w:rFonts w:ascii="Book Antiqua"/>
          <w:rtl w:val="0"/>
          <w:lang w:val="it-IT"/>
        </w:rPr>
        <w:t>All</w:t>
      </w:r>
      <w:r>
        <w:rPr>
          <w:rFonts w:hAnsi="Book Antiqua" w:hint="default"/>
          <w:rtl w:val="0"/>
          <w:lang w:val="it-IT"/>
        </w:rPr>
        <w:t>’</w:t>
      </w:r>
      <w:r>
        <w:rPr>
          <w:rFonts w:ascii="Book Antiqua"/>
          <w:rtl w:val="0"/>
          <w:lang w:val="it-IT"/>
        </w:rPr>
        <w:t>udienza del 20 ottobre 2014 dopo un</w:t>
      </w:r>
      <w:r>
        <w:rPr>
          <w:rFonts w:hAnsi="Book Antiqua" w:hint="default"/>
          <w:rtl w:val="0"/>
          <w:lang w:val="it-IT"/>
        </w:rPr>
        <w:t>’</w:t>
      </w:r>
      <w:r>
        <w:rPr>
          <w:rFonts w:ascii="Book Antiqua"/>
          <w:rtl w:val="0"/>
          <w:lang w:val="it-IT"/>
        </w:rPr>
        <w:t xml:space="preserve">articolata discussione orale, il Collegio arbitrale si </w:t>
      </w:r>
      <w:r>
        <w:rPr>
          <w:rFonts w:hAnsi="Book Antiqua" w:hint="default"/>
          <w:rtl w:val="0"/>
          <w:lang w:val="it-IT"/>
        </w:rPr>
        <w:t xml:space="preserve">è </w:t>
      </w:r>
      <w:r>
        <w:rPr>
          <w:rFonts w:ascii="Book Antiqua"/>
          <w:rtl w:val="0"/>
          <w:lang w:val="it-IT"/>
        </w:rPr>
        <w:t>riservato di adottare ogni provvedimento. Con ordinanza comunicata in data 5 novembre 2014 il collegio arbitrale, a maggioranza, in ragione del dissenso motivato dell</w:t>
      </w:r>
      <w:r>
        <w:rPr>
          <w:rFonts w:hAnsi="Book Antiqua" w:hint="default"/>
          <w:rtl w:val="0"/>
          <w:lang w:val="it-IT"/>
        </w:rPr>
        <w:t>’</w:t>
      </w:r>
      <w:r>
        <w:rPr>
          <w:rFonts w:ascii="Book Antiqua"/>
          <w:rtl w:val="0"/>
          <w:lang w:val="it-IT"/>
        </w:rPr>
        <w:t>arbitro Avv. Francesco Marotta, ha formulato al consulente tecnico d</w:t>
      </w:r>
      <w:r>
        <w:rPr>
          <w:rFonts w:hAnsi="Book Antiqua" w:hint="default"/>
          <w:rtl w:val="0"/>
          <w:lang w:val="it-IT"/>
        </w:rPr>
        <w:t>’</w:t>
      </w:r>
      <w:r>
        <w:rPr>
          <w:rFonts w:ascii="Book Antiqua"/>
          <w:rtl w:val="0"/>
          <w:lang w:val="it-IT"/>
        </w:rPr>
        <w:t xml:space="preserve">ufficio, Prof. Enrico Laghi, i seguenti quesiti: </w:t>
      </w:r>
      <w:r>
        <w:rPr>
          <w:rFonts w:hAnsi="Book Antiqua" w:hint="default"/>
          <w:rtl w:val="0"/>
          <w:lang w:val="it-IT"/>
        </w:rPr>
        <w:t>“</w:t>
      </w:r>
      <w:r>
        <w:rPr>
          <w:rFonts w:ascii="Book Antiqua"/>
          <w:rtl w:val="0"/>
          <w:lang w:val="it-IT"/>
        </w:rPr>
        <w:t xml:space="preserve">esaminati gli atti depositati ed i documenti prodotti dalle parti nel procedimento arbitrale, assunte le opportune informazioni ed effettuate le occorrenti verifiche, il tutto sempre nei contraddittorio delle parti, determini il CTU la misura del danno patrimoniale subito da Co.La.Ri. per: </w:t>
      </w:r>
    </w:p>
    <w:p>
      <w:pPr>
        <w:pStyle w:val="Normal"/>
        <w:ind w:left="567" w:right="567" w:firstLine="0"/>
        <w:jc w:val="both"/>
        <w:rPr>
          <w:rFonts w:ascii="Book Antiqua" w:cs="Book Antiqua" w:hAnsi="Book Antiqua" w:eastAsia="Book Antiqua"/>
        </w:rPr>
      </w:pPr>
      <w:r>
        <w:rPr>
          <w:rFonts w:ascii="Book Antiqua"/>
          <w:rtl w:val="0"/>
          <w:lang w:val="it-IT"/>
        </w:rPr>
        <w:t>(i) i costi e gli oneri sostenuti, individuando il momento in cui sono stati effettuati, tenuto anche conto della natura integrata del ciclo, per la progettazione, l</w:t>
      </w:r>
      <w:r>
        <w:rPr>
          <w:rFonts w:hAnsi="Book Antiqua" w:hint="default"/>
          <w:rtl w:val="0"/>
          <w:lang w:val="it-IT"/>
        </w:rPr>
        <w:t>’</w:t>
      </w:r>
      <w:r>
        <w:rPr>
          <w:rFonts w:ascii="Book Antiqua"/>
          <w:rtl w:val="0"/>
          <w:lang w:val="it-IT"/>
        </w:rPr>
        <w:t>esperimento delle pratiche burocratiche e la realizzazione dell'impianto di gassificazione, poi rivelatisi inutili in ragione della mancata prosecuzione del rapporto tra Co.La.Ri. e AMA di cui al contratto in data 30 giugno 2009;</w:t>
      </w:r>
    </w:p>
    <w:p>
      <w:pPr>
        <w:pStyle w:val="Normal"/>
        <w:ind w:left="567" w:right="567" w:firstLine="0"/>
        <w:jc w:val="both"/>
        <w:rPr>
          <w:rFonts w:ascii="Book Antiqua" w:cs="Book Antiqua" w:hAnsi="Book Antiqua" w:eastAsia="Book Antiqua"/>
        </w:rPr>
      </w:pPr>
      <w:r>
        <w:rPr>
          <w:rFonts w:ascii="Book Antiqua"/>
          <w:rtl w:val="0"/>
          <w:lang w:val="it-IT"/>
        </w:rPr>
        <w:t>(ii) gli effetti dell'alterazione, quanto meno parziale, della pianificazione industriale di Co.La.Ri., in termini di mancati o minori utili conseguiti rispetto a quelli ragionevolmente attesi, sulla base di parametri oggettivamente riscontrabili con riferimento al contratto de quo e agli affidamenti ingenerati in Co.La.Ri. su una durata ulteriore del rapporto</w:t>
      </w:r>
      <w:r>
        <w:rPr>
          <w:rFonts w:hAnsi="Book Antiqua" w:hint="default"/>
          <w:rtl w:val="0"/>
          <w:lang w:val="it-IT"/>
        </w:rPr>
        <w:t>”</w:t>
      </w:r>
      <w:r>
        <w:rPr>
          <w:rFonts w:ascii="Book Antiqua"/>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Il consulente tecnico d</w:t>
      </w:r>
      <w:r>
        <w:rPr>
          <w:rFonts w:hAnsi="Book Antiqua" w:hint="default"/>
          <w:rtl w:val="0"/>
          <w:lang w:val="it-IT"/>
        </w:rPr>
        <w:t>’</w:t>
      </w:r>
      <w:r>
        <w:rPr>
          <w:rFonts w:ascii="Book Antiqua"/>
          <w:rtl w:val="0"/>
          <w:lang w:val="it-IT"/>
        </w:rPr>
        <w:t>ufficio ha accettato l</w:t>
      </w:r>
      <w:r>
        <w:rPr>
          <w:rFonts w:hAnsi="Book Antiqua" w:hint="default"/>
          <w:rtl w:val="0"/>
          <w:lang w:val="it-IT"/>
        </w:rPr>
        <w:t>’</w:t>
      </w:r>
      <w:r>
        <w:rPr>
          <w:rFonts w:ascii="Book Antiqua"/>
          <w:rtl w:val="0"/>
          <w:lang w:val="it-IT"/>
        </w:rPr>
        <w:t>incarico ed ha fissato l</w:t>
      </w:r>
      <w:r>
        <w:rPr>
          <w:rFonts w:hAnsi="Book Antiqua" w:hint="default"/>
          <w:rtl w:val="0"/>
          <w:lang w:val="it-IT"/>
        </w:rPr>
        <w:t>’</w:t>
      </w:r>
      <w:r>
        <w:rPr>
          <w:rFonts w:ascii="Book Antiqua"/>
          <w:rtl w:val="0"/>
          <w:lang w:val="it-IT"/>
        </w:rPr>
        <w:t>inizio delle operazioni peritali per il giorno 14 novembre 2014; alla riunione in tale data AMA ha depositato una memoria con cui ha contestato l</w:t>
      </w:r>
      <w:r>
        <w:rPr>
          <w:rFonts w:hAnsi="Book Antiqua" w:hint="default"/>
          <w:rtl w:val="0"/>
          <w:lang w:val="it-IT"/>
        </w:rPr>
        <w:t>’</w:t>
      </w:r>
      <w:r>
        <w:rPr>
          <w:rFonts w:ascii="Book Antiqua"/>
          <w:rtl w:val="0"/>
          <w:lang w:val="it-IT"/>
        </w:rPr>
        <w:t>ordinanza del Collegio arbitrale ed i quesiti formulati al consulente tecnico d</w:t>
      </w:r>
      <w:r>
        <w:rPr>
          <w:rFonts w:hAnsi="Book Antiqua" w:hint="default"/>
          <w:rtl w:val="0"/>
          <w:lang w:val="it-IT"/>
        </w:rPr>
        <w:t>’</w:t>
      </w:r>
      <w:r>
        <w:rPr>
          <w:rFonts w:ascii="Book Antiqua"/>
          <w:rtl w:val="0"/>
          <w:lang w:val="it-IT"/>
        </w:rPr>
        <w:t>ufficio, nominando quali propri consulenti tecnici di parte la dott. Paola Muraro e il dott. Giovanni Pizzolla, mentre Co.La.Ri. ha nominato quale proprio consulente tecnico di parte il dott. Mario Civetta. All</w:t>
      </w:r>
      <w:r>
        <w:rPr>
          <w:rFonts w:hAnsi="Book Antiqua" w:hint="default"/>
          <w:rtl w:val="0"/>
          <w:lang w:val="it-IT"/>
        </w:rPr>
        <w:t>’</w:t>
      </w:r>
      <w:r>
        <w:rPr>
          <w:rFonts w:ascii="Book Antiqua"/>
          <w:rtl w:val="0"/>
          <w:lang w:val="it-IT"/>
        </w:rPr>
        <w:t>esito della riunione, il consulente tecnico d</w:t>
      </w:r>
      <w:r>
        <w:rPr>
          <w:rFonts w:hAnsi="Book Antiqua" w:hint="default"/>
          <w:rtl w:val="0"/>
          <w:lang w:val="it-IT"/>
        </w:rPr>
        <w:t>’</w:t>
      </w:r>
      <w:r>
        <w:rPr>
          <w:rFonts w:ascii="Book Antiqua"/>
          <w:rtl w:val="0"/>
          <w:lang w:val="it-IT"/>
        </w:rPr>
        <w:t>ufficio ha assegnato alle parti termine fino al 1</w:t>
      </w:r>
      <w:r>
        <w:rPr>
          <w:rFonts w:hAnsi="Book Antiqua" w:hint="default"/>
          <w:rtl w:val="0"/>
          <w:lang w:val="it-IT"/>
        </w:rPr>
        <w:t>°</w:t>
      </w:r>
      <w:r>
        <w:rPr>
          <w:rFonts w:ascii="Book Antiqua"/>
          <w:rtl w:val="0"/>
          <w:lang w:val="it-IT"/>
        </w:rPr>
        <w:t xml:space="preserve"> dicembre 2014 per il deposito di note tecniche ed ha fissato la riunione del 5 dicembre 2014 per il prosieguo delle operazioni peritali.</w:t>
      </w:r>
    </w:p>
    <w:p>
      <w:pPr>
        <w:pStyle w:val="Normal"/>
        <w:ind w:left="567" w:right="567" w:firstLine="0"/>
        <w:jc w:val="both"/>
        <w:rPr>
          <w:rFonts w:ascii="Book Antiqua" w:cs="Book Antiqua" w:hAnsi="Book Antiqua" w:eastAsia="Book Antiqua"/>
        </w:rPr>
      </w:pPr>
      <w:r>
        <w:rPr>
          <w:rFonts w:ascii="Book Antiqua"/>
          <w:rtl w:val="0"/>
          <w:lang w:val="it-IT"/>
        </w:rPr>
        <w:t xml:space="preserve">La riunione del 5 dicembre 2014 </w:t>
      </w:r>
      <w:r>
        <w:rPr>
          <w:rFonts w:hAnsi="Book Antiqua" w:hint="default"/>
          <w:rtl w:val="0"/>
          <w:lang w:val="it-IT"/>
        </w:rPr>
        <w:t xml:space="preserve">è </w:t>
      </w:r>
      <w:r>
        <w:rPr>
          <w:rFonts w:ascii="Book Antiqua"/>
          <w:rtl w:val="0"/>
          <w:lang w:val="it-IT"/>
        </w:rPr>
        <w:t>stata successivamente rinviata a data destinarsi e, con nota del 17 dicembre 2014, il consulente tecnico d</w:t>
      </w:r>
      <w:r>
        <w:rPr>
          <w:rFonts w:hAnsi="Book Antiqua" w:hint="default"/>
          <w:rtl w:val="0"/>
          <w:lang w:val="it-IT"/>
        </w:rPr>
        <w:t>’</w:t>
      </w:r>
      <w:r>
        <w:rPr>
          <w:rFonts w:ascii="Book Antiqua"/>
          <w:rtl w:val="0"/>
          <w:lang w:val="it-IT"/>
        </w:rPr>
        <w:t>ufficio ha invitato le parti a depositare  entro il 23 dicembre 2014 eventuali note tecniche di replica a quanto depositato dai consulenti tecnici di parte in data 1 dicembre 2014.</w:t>
      </w:r>
    </w:p>
    <w:p>
      <w:pPr>
        <w:pStyle w:val="Normal"/>
        <w:ind w:left="567" w:right="567" w:firstLine="0"/>
        <w:jc w:val="both"/>
        <w:rPr>
          <w:rFonts w:ascii="Book Antiqua" w:cs="Book Antiqua" w:hAnsi="Book Antiqua" w:eastAsia="Book Antiqua"/>
        </w:rPr>
      </w:pPr>
      <w:r>
        <w:rPr>
          <w:rFonts w:ascii="Book Antiqua"/>
          <w:rtl w:val="0"/>
          <w:lang w:val="it-IT"/>
        </w:rPr>
        <w:t xml:space="preserve">In data 30 gennaio 2015 </w:t>
      </w:r>
      <w:r>
        <w:rPr>
          <w:rFonts w:hAnsi="Book Antiqua" w:hint="default"/>
          <w:rtl w:val="0"/>
          <w:lang w:val="it-IT"/>
        </w:rPr>
        <w:t xml:space="preserve">è </w:t>
      </w:r>
      <w:r>
        <w:rPr>
          <w:rFonts w:ascii="Book Antiqua"/>
          <w:rtl w:val="0"/>
          <w:lang w:val="it-IT"/>
        </w:rPr>
        <w:t>stata depositata la consulenza tecnica d</w:t>
      </w:r>
      <w:r>
        <w:rPr>
          <w:rFonts w:hAnsi="Book Antiqua" w:hint="default"/>
          <w:rtl w:val="0"/>
          <w:lang w:val="it-IT"/>
        </w:rPr>
        <w:t>’</w:t>
      </w:r>
      <w:r>
        <w:rPr>
          <w:rFonts w:ascii="Book Antiqua"/>
          <w:rtl w:val="0"/>
          <w:lang w:val="it-IT"/>
        </w:rPr>
        <w:t xml:space="preserve">ufficio con cui il CTU ha concluso, sul quesito n. 1: di non essere </w:t>
      </w:r>
      <w:r>
        <w:rPr>
          <w:rFonts w:hAnsi="Book Antiqua" w:hint="default"/>
          <w:rtl w:val="0"/>
          <w:lang w:val="it-IT"/>
        </w:rPr>
        <w:t>“</w:t>
      </w:r>
      <w:r>
        <w:rPr>
          <w:rFonts w:ascii="Book Antiqua"/>
          <w:rtl w:val="0"/>
          <w:lang w:val="it-IT"/>
        </w:rPr>
        <w:t>in condizione di determinare la misura del danno patrimoniale subito da Co.La.Ri. per i costi e gli oneri sostenuti, individuando il momento in cui sono stati effettuati, tenuto anche conto della natura integrata del ciclo, per la progettazione, l'esperimento delle pratiche burocratiche e la realizzazione dell'impianto d</w:t>
      </w:r>
      <w:r>
        <w:rPr>
          <w:rFonts w:hAnsi="Book Antiqua" w:hint="default"/>
          <w:rtl w:val="0"/>
          <w:lang w:val="it-IT"/>
        </w:rPr>
        <w:t xml:space="preserve">ì </w:t>
      </w:r>
      <w:r>
        <w:rPr>
          <w:rFonts w:ascii="Book Antiqua"/>
          <w:rtl w:val="0"/>
          <w:lang w:val="it-IT"/>
        </w:rPr>
        <w:t xml:space="preserve">gassificazione poi rivelatisi inutili in ragione della mancata prosecuzione del rapporto tra Co.La.Ri. e AMA di cui al contratto in data 30 giugno 2009 in quanto: a) non risulta, sulla base della documentazione esaminata, </w:t>
      </w:r>
      <w:r>
        <w:rPr>
          <w:rFonts w:hAnsi="Book Antiqua" w:hint="default"/>
          <w:rtl w:val="0"/>
          <w:lang w:val="it-IT"/>
        </w:rPr>
        <w:t>…</w:t>
      </w:r>
      <w:r>
        <w:rPr>
          <w:rFonts w:ascii="Book Antiqua"/>
          <w:rtl w:val="0"/>
          <w:lang w:val="it-IT"/>
        </w:rPr>
        <w:t>possibile ricostruire con ragionevole certezza i costi rilevanti e i costi rilevanti sostenuti per la realizzazione del gassificatore; b) non risulta, sulla base della documentazione esaminata, ... possibile individuare, in modo ragionevolmente attendibile, la porzione dei costi rilevanti e dei costi rilevanti sostenuti (ma anche dei costi di investimento dichiarati dal CTP Co.La.Ri.) che abbia le caratteristiche per essere qualificata "inutile" in logica economico aziendale.</w:t>
      </w:r>
    </w:p>
    <w:p>
      <w:pPr>
        <w:pStyle w:val="Normal"/>
        <w:ind w:left="567" w:right="567" w:firstLine="0"/>
        <w:jc w:val="both"/>
        <w:rPr>
          <w:rFonts w:ascii="Book Antiqua" w:cs="Book Antiqua" w:hAnsi="Book Antiqua" w:eastAsia="Book Antiqua"/>
        </w:rPr>
      </w:pPr>
      <w:r>
        <w:rPr>
          <w:rFonts w:ascii="Book Antiqua"/>
          <w:rtl w:val="0"/>
          <w:lang w:val="it-IT"/>
        </w:rPr>
        <w:t>N</w:t>
      </w:r>
      <w:r>
        <w:rPr>
          <w:rFonts w:hAnsi="Book Antiqua" w:hint="default"/>
          <w:rtl w:val="0"/>
          <w:lang w:val="it-IT"/>
        </w:rPr>
        <w:t>é</w:t>
      </w:r>
      <w:r>
        <w:rPr>
          <w:rFonts w:ascii="Book Antiqua"/>
          <w:rtl w:val="0"/>
          <w:lang w:val="it-IT"/>
        </w:rPr>
        <w:t xml:space="preserve">, a maggior ragione, </w:t>
      </w:r>
      <w:r>
        <w:rPr>
          <w:rFonts w:hAnsi="Book Antiqua" w:hint="default"/>
          <w:rtl w:val="0"/>
          <w:lang w:val="it-IT"/>
        </w:rPr>
        <w:t xml:space="preserve">è </w:t>
      </w:r>
      <w:r>
        <w:rPr>
          <w:rFonts w:ascii="Book Antiqua"/>
          <w:rtl w:val="0"/>
          <w:lang w:val="it-IT"/>
        </w:rPr>
        <w:t>possibile in alcun modo, sulla base della documentazione esaminata, individuare le causali cui ascrivere la (eventuale) "inutilit</w:t>
      </w:r>
      <w:r>
        <w:rPr>
          <w:rFonts w:hAnsi="Book Antiqua" w:hint="default"/>
          <w:rtl w:val="0"/>
          <w:lang w:val="it-IT"/>
        </w:rPr>
        <w:t>à</w:t>
      </w:r>
      <w:r>
        <w:rPr>
          <w:rFonts w:ascii="Book Antiqua"/>
          <w:rtl w:val="0"/>
          <w:lang w:val="it-IT"/>
        </w:rPr>
        <w:t>" dei costi sopportati e, pertanto, valutare, .... se tale "inutilit</w:t>
      </w:r>
      <w:r>
        <w:rPr>
          <w:rFonts w:hAnsi="Book Antiqua" w:hint="default"/>
          <w:rtl w:val="0"/>
          <w:lang w:val="it-IT"/>
        </w:rPr>
        <w:t>à</w:t>
      </w:r>
      <w:r>
        <w:rPr>
          <w:rFonts w:ascii="Book Antiqua"/>
          <w:rtl w:val="0"/>
          <w:lang w:val="it-IT"/>
        </w:rPr>
        <w:t>" sia correlabile alla mancata prosecuzione del rapporto tra Co.La.Ri. e AMA di cui al contratto sottoscritto in data 30 giugno 2009</w:t>
      </w:r>
      <w:r>
        <w:rPr>
          <w:rFonts w:hAnsi="Book Antiqua" w:hint="default"/>
          <w:rtl w:val="0"/>
          <w:lang w:val="it-IT"/>
        </w:rPr>
        <w:t>”</w:t>
      </w:r>
      <w:r>
        <w:rPr>
          <w:rFonts w:ascii="Book Antiqua"/>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 xml:space="preserve">Sul quesito n. 2, di non essere </w:t>
      </w:r>
      <w:r>
        <w:rPr>
          <w:rFonts w:hAnsi="Book Antiqua" w:hint="default"/>
          <w:rtl w:val="0"/>
          <w:lang w:val="it-IT"/>
        </w:rPr>
        <w:t>“</w:t>
      </w:r>
      <w:r>
        <w:rPr>
          <w:rFonts w:ascii="Book Antiqua"/>
          <w:rtl w:val="0"/>
          <w:lang w:val="it-IT"/>
        </w:rPr>
        <w:t>in condizione di determinare la misura del danno patrimoniale subito da Co.La.Ri. per gli effetti dell'alterazione, quanto meno parziale, della pianificazione industriale di Co.La.Ri., in termini d</w:t>
      </w:r>
      <w:r>
        <w:rPr>
          <w:rFonts w:hAnsi="Book Antiqua" w:hint="default"/>
          <w:rtl w:val="0"/>
          <w:lang w:val="it-IT"/>
        </w:rPr>
        <w:t xml:space="preserve">ì </w:t>
      </w:r>
      <w:r>
        <w:rPr>
          <w:rFonts w:ascii="Book Antiqua"/>
          <w:rtl w:val="0"/>
          <w:lang w:val="it-IT"/>
        </w:rPr>
        <w:t>mancati o minori utili conseguiti rispetto a quelli ragionevolmente attesi, sulla base di parametri oggettivamente riscontrabili con riferimento al contratto de quo e agli affidamenti ingenerati in Co.La.Ri. su una durata ulteriore del rapporto, in quanto ... non appare in alcun modo possibile, sulla base di un ragionamento di stampo economico aziendale sufficientemente logico, dimostrabile e verificabile, giungere a identificare, secondo quanto richiesto dal punto 2 del quesito, in quale misura la pianificazione industriale di Co.La.Ri. sia stata alterata dal contratto del 30 giugno 2009 e dagli affidamenti ingenerati in Co.La.Ri. su una durata ulteriore del rapporto</w:t>
      </w:r>
      <w:r>
        <w:rPr>
          <w:rFonts w:hAnsi="Book Antiqua" w:hint="default"/>
          <w:rtl w:val="0"/>
          <w:lang w:val="it-IT"/>
        </w:rPr>
        <w:t>”</w:t>
      </w:r>
      <w:r>
        <w:rPr>
          <w:rFonts w:ascii="Book Antiqua"/>
          <w:rtl w:val="0"/>
          <w:lang w:val="it-IT"/>
        </w:rPr>
        <w:t xml:space="preserve">. </w:t>
      </w:r>
    </w:p>
    <w:p>
      <w:pPr>
        <w:pStyle w:val="Normal"/>
        <w:ind w:left="567" w:right="567" w:firstLine="0"/>
        <w:jc w:val="both"/>
        <w:rPr>
          <w:rFonts w:ascii="Book Antiqua" w:cs="Book Antiqua" w:hAnsi="Book Antiqua" w:eastAsia="Book Antiqua"/>
        </w:rPr>
      </w:pPr>
      <w:r>
        <w:rPr>
          <w:rFonts w:ascii="Book Antiqua"/>
          <w:rtl w:val="0"/>
          <w:lang w:val="it-IT"/>
        </w:rPr>
        <w:t xml:space="preserve">Con provvedimento del 9 febbraio 2014, il collegio arbitrale ha concesso alle parti termine fino al 27 febbraio 2015 per il deposito delle comparse conclusionali e fino al 16 marzo 2015 per il deposito delle note di replica. </w:t>
      </w:r>
    </w:p>
    <w:p>
      <w:pPr>
        <w:pStyle w:val="Normal"/>
        <w:ind w:left="567" w:right="567" w:firstLine="0"/>
        <w:jc w:val="both"/>
        <w:rPr>
          <w:rFonts w:ascii="Book Antiqua" w:cs="Book Antiqua" w:hAnsi="Book Antiqua" w:eastAsia="Book Antiqua"/>
        </w:rPr>
      </w:pPr>
      <w:r>
        <w:rPr>
          <w:rFonts w:ascii="Book Antiqua"/>
          <w:rtl w:val="0"/>
          <w:lang w:val="it-IT"/>
        </w:rPr>
        <w:t xml:space="preserve">In data 24 aprile 2015 il collegio arbitrale ha emesso il lodo definitivo con cui </w:t>
      </w:r>
      <w:r>
        <w:rPr>
          <w:rFonts w:hAnsi="Book Antiqua" w:hint="default"/>
          <w:rtl w:val="0"/>
          <w:lang w:val="it-IT"/>
        </w:rPr>
        <w:t xml:space="preserve">è </w:t>
      </w:r>
      <w:r>
        <w:rPr>
          <w:rFonts w:ascii="Book Antiqua"/>
          <w:rtl w:val="0"/>
          <w:lang w:val="it-IT"/>
        </w:rPr>
        <w:t xml:space="preserve">stato deciso il giudizio arbitrale e con il quale sono state respinte tutte le domande proposte da Co.La.Ri. nei confronti di AMA, con condanna di Co.La.Ri. al pagamento dei sei settimi delle spese di lite. </w:t>
      </w:r>
    </w:p>
    <w:p>
      <w:pPr>
        <w:pStyle w:val="Normal"/>
        <w:ind w:left="567" w:right="567" w:firstLine="0"/>
        <w:jc w:val="both"/>
        <w:rPr>
          <w:rFonts w:ascii="Book Antiqua" w:cs="Book Antiqua" w:hAnsi="Book Antiqua" w:eastAsia="Book Antiqua"/>
        </w:rPr>
      </w:pPr>
      <w:r>
        <w:rPr>
          <w:rFonts w:ascii="Book Antiqua"/>
          <w:rtl w:val="0"/>
          <w:lang w:val="it-IT"/>
        </w:rPr>
        <w:t>Pi</w:t>
      </w:r>
      <w:r>
        <w:rPr>
          <w:rFonts w:hAnsi="Book Antiqua" w:hint="default"/>
          <w:rtl w:val="0"/>
          <w:lang w:val="it-IT"/>
        </w:rPr>
        <w:t xml:space="preserve">ù </w:t>
      </w:r>
      <w:r>
        <w:rPr>
          <w:rFonts w:ascii="Book Antiqua"/>
          <w:rtl w:val="0"/>
          <w:lang w:val="it-IT"/>
        </w:rPr>
        <w:t>in particolare il collegio arbitrale - all</w:t>
      </w:r>
      <w:r>
        <w:rPr>
          <w:rFonts w:hAnsi="Book Antiqua" w:hint="default"/>
          <w:rtl w:val="0"/>
          <w:lang w:val="it-IT"/>
        </w:rPr>
        <w:t>’</w:t>
      </w:r>
      <w:r>
        <w:rPr>
          <w:rFonts w:ascii="Book Antiqua"/>
          <w:rtl w:val="0"/>
          <w:lang w:val="it-IT"/>
        </w:rPr>
        <w:t>unanimit</w:t>
      </w:r>
      <w:r>
        <w:rPr>
          <w:rFonts w:hAnsi="Book Antiqua" w:hint="default"/>
          <w:rtl w:val="0"/>
          <w:lang w:val="it-IT"/>
        </w:rPr>
        <w:t>à</w:t>
      </w:r>
      <w:r>
        <w:rPr>
          <w:rFonts w:ascii="Book Antiqua"/>
          <w:rtl w:val="0"/>
          <w:lang w:val="it-IT"/>
        </w:rPr>
        <w:t xml:space="preserve"> - ha cos</w:t>
      </w:r>
      <w:r>
        <w:rPr>
          <w:rFonts w:hAnsi="Book Antiqua" w:hint="default"/>
          <w:rtl w:val="0"/>
          <w:lang w:val="it-IT"/>
        </w:rPr>
        <w:t xml:space="preserve">ì </w:t>
      </w:r>
      <w:r>
        <w:rPr>
          <w:rFonts w:ascii="Book Antiqua"/>
          <w:rtl w:val="0"/>
          <w:lang w:val="it-IT"/>
        </w:rPr>
        <w:t>deciso:</w:t>
      </w:r>
    </w:p>
    <w:p>
      <w:pPr>
        <w:pStyle w:val="Normal"/>
        <w:ind w:left="567" w:right="567" w:firstLine="0"/>
        <w:jc w:val="both"/>
        <w:rPr>
          <w:rFonts w:ascii="Book Antiqua" w:cs="Book Antiqua" w:hAnsi="Book Antiqua" w:eastAsia="Book Antiqua"/>
        </w:rPr>
      </w:pPr>
      <w:r>
        <w:rPr>
          <w:rFonts w:hAnsi="Book Antiqua" w:hint="default"/>
          <w:rtl w:val="0"/>
          <w:lang w:val="it-IT"/>
        </w:rPr>
        <w:t>“</w:t>
      </w:r>
      <w:r>
        <w:rPr>
          <w:rFonts w:ascii="Book Antiqua"/>
          <w:rtl w:val="0"/>
          <w:lang w:val="it-IT"/>
        </w:rPr>
        <w:t>accerta e dichiara che parte Co.La.Ri. non ha diritto all</w:t>
      </w:r>
      <w:r>
        <w:rPr>
          <w:rFonts w:hAnsi="Book Antiqua" w:hint="default"/>
          <w:rtl w:val="0"/>
          <w:lang w:val="it-IT"/>
        </w:rPr>
        <w:t>’</w:t>
      </w:r>
      <w:r>
        <w:rPr>
          <w:rFonts w:ascii="Book Antiqua"/>
          <w:rtl w:val="0"/>
          <w:lang w:val="it-IT"/>
        </w:rPr>
        <w:t>indennizzo richiesto nell</w:t>
      </w:r>
      <w:r>
        <w:rPr>
          <w:rFonts w:hAnsi="Book Antiqua" w:hint="default"/>
          <w:rtl w:val="0"/>
          <w:lang w:val="it-IT"/>
        </w:rPr>
        <w:t>’</w:t>
      </w:r>
      <w:r>
        <w:rPr>
          <w:rFonts w:ascii="Book Antiqua"/>
          <w:rtl w:val="0"/>
          <w:lang w:val="it-IT"/>
        </w:rPr>
        <w:t>ambito del rapporto contrattuale cos</w:t>
      </w:r>
      <w:r>
        <w:rPr>
          <w:rFonts w:hAnsi="Book Antiqua" w:hint="default"/>
          <w:rtl w:val="0"/>
          <w:lang w:val="it-IT"/>
        </w:rPr>
        <w:t xml:space="preserve">ì </w:t>
      </w:r>
      <w:r>
        <w:rPr>
          <w:rFonts w:ascii="Book Antiqua"/>
          <w:rtl w:val="0"/>
          <w:lang w:val="it-IT"/>
        </w:rPr>
        <w:t>come delimitato temporalmente dal Collegio, e nei limiti della sua cognizione; respinta e/o assorbita ogni altra domanda, istanza o eccezione delle Parti. Le spese, i diritti e gli onorari di rappresentanza e di difesa sono integralmente compensati fra le parti</w:t>
      </w:r>
      <w:r>
        <w:rPr>
          <w:rFonts w:hAnsi="Book Antiqua" w:hint="default"/>
          <w:rtl w:val="0"/>
          <w:lang w:val="it-IT"/>
        </w:rPr>
        <w:t>”</w:t>
      </w:r>
      <w:r>
        <w:rPr>
          <w:rFonts w:ascii="Book Antiqua"/>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Con atto di citazione notificato ad AMA in data 24 novembre 2015, Co.La.Ri. ha impugnato dinanzi alla Corte d</w:t>
      </w:r>
      <w:r>
        <w:rPr>
          <w:rFonts w:hAnsi="Book Antiqua" w:hint="default"/>
          <w:rtl w:val="0"/>
          <w:lang w:val="it-IT"/>
        </w:rPr>
        <w:t>’</w:t>
      </w:r>
      <w:r>
        <w:rPr>
          <w:rFonts w:ascii="Book Antiqua"/>
          <w:rtl w:val="0"/>
          <w:lang w:val="it-IT"/>
        </w:rPr>
        <w:t>appello di Roma il predetto lodo definitivo, chiedendo l</w:t>
      </w:r>
      <w:r>
        <w:rPr>
          <w:rFonts w:hAnsi="Book Antiqua" w:hint="default"/>
          <w:rtl w:val="0"/>
          <w:lang w:val="it-IT"/>
        </w:rPr>
        <w:t>’</w:t>
      </w:r>
      <w:r>
        <w:rPr>
          <w:rFonts w:ascii="Book Antiqua"/>
          <w:rtl w:val="0"/>
          <w:lang w:val="it-IT"/>
        </w:rPr>
        <w:t>accoglimento delle seguenti conclusioni:</w:t>
      </w:r>
    </w:p>
    <w:p>
      <w:pPr>
        <w:pStyle w:val="Normal"/>
        <w:ind w:left="567" w:right="567" w:firstLine="0"/>
        <w:jc w:val="both"/>
        <w:rPr>
          <w:rFonts w:ascii="Book Antiqua" w:cs="Book Antiqua" w:hAnsi="Book Antiqua" w:eastAsia="Book Antiqua"/>
        </w:rPr>
      </w:pPr>
      <w:r>
        <w:rPr>
          <w:rFonts w:hAnsi="Book Antiqua" w:hint="default"/>
          <w:rtl w:val="0"/>
          <w:lang w:val="it-IT"/>
        </w:rPr>
        <w:t>“</w:t>
      </w:r>
      <w:r>
        <w:rPr>
          <w:rFonts w:ascii="Book Antiqua"/>
          <w:rtl w:val="0"/>
          <w:lang w:val="it-IT"/>
        </w:rPr>
        <w:t>Voglia l</w:t>
      </w:r>
      <w:r>
        <w:rPr>
          <w:rFonts w:hAnsi="Book Antiqua" w:hint="default"/>
          <w:rtl w:val="0"/>
          <w:lang w:val="it-IT"/>
        </w:rPr>
        <w:t>’</w:t>
      </w:r>
      <w:r>
        <w:rPr>
          <w:rFonts w:ascii="Book Antiqua"/>
          <w:rtl w:val="0"/>
          <w:lang w:val="it-IT"/>
        </w:rPr>
        <w:t>Ecc.ma Corte d</w:t>
      </w:r>
      <w:r>
        <w:rPr>
          <w:rFonts w:hAnsi="Book Antiqua" w:hint="default"/>
          <w:rtl w:val="0"/>
          <w:lang w:val="it-IT"/>
        </w:rPr>
        <w:t>’</w:t>
      </w:r>
      <w:r>
        <w:rPr>
          <w:rFonts w:ascii="Book Antiqua"/>
          <w:rtl w:val="0"/>
          <w:lang w:val="it-IT"/>
        </w:rPr>
        <w:t>appello dichiarare la nullit</w:t>
      </w:r>
      <w:r>
        <w:rPr>
          <w:rFonts w:hAnsi="Book Antiqua" w:hint="default"/>
          <w:rtl w:val="0"/>
          <w:lang w:val="it-IT"/>
        </w:rPr>
        <w:t xml:space="preserve">à </w:t>
      </w:r>
      <w:r>
        <w:rPr>
          <w:rFonts w:ascii="Book Antiqua"/>
          <w:rtl w:val="0"/>
          <w:lang w:val="it-IT"/>
        </w:rPr>
        <w:t>e/o riformare il lodo definitivo del 24 aprile 2015 per le ragioni dette in narrativa e per l</w:t>
      </w:r>
      <w:r>
        <w:rPr>
          <w:rFonts w:hAnsi="Book Antiqua" w:hint="default"/>
          <w:rtl w:val="0"/>
          <w:lang w:val="it-IT"/>
        </w:rPr>
        <w:t>’</w:t>
      </w:r>
      <w:r>
        <w:rPr>
          <w:rFonts w:ascii="Book Antiqua"/>
          <w:rtl w:val="0"/>
          <w:lang w:val="it-IT"/>
        </w:rPr>
        <w:t>effetto cos</w:t>
      </w:r>
      <w:r>
        <w:rPr>
          <w:rFonts w:hAnsi="Book Antiqua" w:hint="default"/>
          <w:rtl w:val="0"/>
          <w:lang w:val="it-IT"/>
        </w:rPr>
        <w:t xml:space="preserve">ì </w:t>
      </w:r>
      <w:r>
        <w:rPr>
          <w:rFonts w:ascii="Book Antiqua"/>
          <w:rtl w:val="0"/>
          <w:lang w:val="it-IT"/>
        </w:rPr>
        <w:t>decidere nel merito: - disporre la rinnovazione e/o la integrazione della consulenza tecnica d</w:t>
      </w:r>
      <w:r>
        <w:rPr>
          <w:rFonts w:hAnsi="Book Antiqua" w:hint="default"/>
          <w:rtl w:val="0"/>
          <w:lang w:val="it-IT"/>
        </w:rPr>
        <w:t>’</w:t>
      </w:r>
      <w:r>
        <w:rPr>
          <w:rFonts w:ascii="Book Antiqua"/>
          <w:rtl w:val="0"/>
          <w:lang w:val="it-IT"/>
        </w:rPr>
        <w:t>ufficio ovvero disporre la nomina di un nuovo consulente tecnico e disporre l</w:t>
      </w:r>
      <w:r>
        <w:rPr>
          <w:rFonts w:hAnsi="Book Antiqua" w:hint="default"/>
          <w:rtl w:val="0"/>
          <w:lang w:val="it-IT"/>
        </w:rPr>
        <w:t>’</w:t>
      </w:r>
      <w:r>
        <w:rPr>
          <w:rFonts w:ascii="Book Antiqua"/>
          <w:rtl w:val="0"/>
          <w:lang w:val="it-IT"/>
        </w:rPr>
        <w:t>ispezione dei luoghi nei quali a Malagrotta si trova il Gassificatore. - condannare AMA spa a risarcire a Co.La.Ri. il danno da questo subito comprensivo del danno emergente e del lucro cessante, come sopra quantificati o nella diversa misura anche maggiore che sar</w:t>
      </w:r>
      <w:r>
        <w:rPr>
          <w:rFonts w:hAnsi="Book Antiqua" w:hint="default"/>
          <w:rtl w:val="0"/>
          <w:lang w:val="it-IT"/>
        </w:rPr>
        <w:t xml:space="preserve">à </w:t>
      </w:r>
      <w:r>
        <w:rPr>
          <w:rFonts w:ascii="Book Antiqua"/>
          <w:rtl w:val="0"/>
          <w:lang w:val="it-IT"/>
        </w:rPr>
        <w:t>risultata all</w:t>
      </w:r>
      <w:r>
        <w:rPr>
          <w:rFonts w:hAnsi="Book Antiqua" w:hint="default"/>
          <w:rtl w:val="0"/>
          <w:lang w:val="it-IT"/>
        </w:rPr>
        <w:t>’</w:t>
      </w:r>
      <w:r>
        <w:rPr>
          <w:rFonts w:ascii="Book Antiqua"/>
          <w:rtl w:val="0"/>
          <w:lang w:val="it-IT"/>
        </w:rPr>
        <w:t>esito dell</w:t>
      </w:r>
      <w:r>
        <w:rPr>
          <w:rFonts w:hAnsi="Book Antiqua" w:hint="default"/>
          <w:rtl w:val="0"/>
          <w:lang w:val="it-IT"/>
        </w:rPr>
        <w:t>’</w:t>
      </w:r>
      <w:r>
        <w:rPr>
          <w:rFonts w:ascii="Book Antiqua"/>
          <w:rtl w:val="0"/>
          <w:lang w:val="it-IT"/>
        </w:rPr>
        <w:t>istruttoria ovvero che sar</w:t>
      </w:r>
      <w:r>
        <w:rPr>
          <w:rFonts w:hAnsi="Book Antiqua" w:hint="default"/>
          <w:rtl w:val="0"/>
          <w:lang w:val="it-IT"/>
        </w:rPr>
        <w:t xml:space="preserve">à </w:t>
      </w:r>
      <w:r>
        <w:rPr>
          <w:rFonts w:ascii="Book Antiqua"/>
          <w:rtl w:val="0"/>
          <w:lang w:val="it-IT"/>
        </w:rPr>
        <w:t>accertata da codesta Corte d</w:t>
      </w:r>
      <w:r>
        <w:rPr>
          <w:rFonts w:hAnsi="Book Antiqua" w:hint="default"/>
          <w:rtl w:val="0"/>
          <w:lang w:val="it-IT"/>
        </w:rPr>
        <w:t>’</w:t>
      </w:r>
      <w:r>
        <w:rPr>
          <w:rFonts w:ascii="Book Antiqua"/>
          <w:rtl w:val="0"/>
          <w:lang w:val="it-IT"/>
        </w:rPr>
        <w:t>appello, oltre interessi dal giorno del dovuto fino al soddisfo. Con vittoria di spese, anche del giudizio arbitrale</w:t>
      </w:r>
      <w:r>
        <w:rPr>
          <w:rFonts w:hAnsi="Book Antiqua" w:hint="default"/>
          <w:rtl w:val="0"/>
          <w:lang w:val="it-IT"/>
        </w:rPr>
        <w:t>”</w:t>
      </w:r>
      <w:r>
        <w:rPr>
          <w:rFonts w:ascii="Book Antiqua"/>
          <w:rtl w:val="0"/>
          <w:lang w:val="it-IT"/>
        </w:rPr>
        <w:t xml:space="preserve">. </w:t>
      </w:r>
    </w:p>
    <w:p>
      <w:pPr>
        <w:pStyle w:val="Normal"/>
        <w:ind w:left="567" w:right="567" w:firstLine="0"/>
        <w:jc w:val="both"/>
        <w:rPr>
          <w:rFonts w:ascii="Book Antiqua" w:cs="Book Antiqua" w:hAnsi="Book Antiqua" w:eastAsia="Book Antiqua"/>
        </w:rPr>
      </w:pPr>
      <w:r>
        <w:rPr>
          <w:rFonts w:ascii="Book Antiqua"/>
          <w:rtl w:val="0"/>
          <w:lang w:val="it-IT"/>
        </w:rPr>
        <w:t>Per quanto riguarda la quantificazione del danno asseritamente subito, Co.La.Ri. ha chiesto in particolare un risarcimento:</w:t>
      </w:r>
    </w:p>
    <w:p>
      <w:pPr>
        <w:pStyle w:val="Normal"/>
        <w:ind w:left="567" w:right="567" w:firstLine="0"/>
        <w:jc w:val="both"/>
        <w:rPr>
          <w:rFonts w:ascii="Book Antiqua" w:cs="Book Antiqua" w:hAnsi="Book Antiqua" w:eastAsia="Book Antiqua"/>
        </w:rPr>
      </w:pPr>
      <w:r>
        <w:rPr>
          <w:rFonts w:ascii="Book Antiqua"/>
          <w:rtl w:val="0"/>
          <w:lang w:val="it-IT"/>
        </w:rPr>
        <w:t>- a titolo di danno emergente (articolato in costi di progettazione, costi diretti sostenuti da E.Giovi, quota parte delle spese generali riferite a investimenti, costi per investimenti sostenuti in economia, interessi passivi) per un importo almeno pari ad euro 161.630.000,00 oltre gli interessi fino al saldo;</w:t>
      </w:r>
    </w:p>
    <w:p>
      <w:pPr>
        <w:pStyle w:val="Normal"/>
        <w:ind w:left="567" w:right="567" w:firstLine="0"/>
        <w:jc w:val="both"/>
        <w:rPr>
          <w:rFonts w:ascii="Book Antiqua" w:cs="Book Antiqua" w:hAnsi="Book Antiqua" w:eastAsia="Book Antiqua"/>
        </w:rPr>
      </w:pPr>
      <w:r>
        <w:rPr>
          <w:rFonts w:ascii="Book Antiqua"/>
          <w:rtl w:val="0"/>
          <w:lang w:val="it-IT"/>
        </w:rPr>
        <w:t>- a titolo di lucro cessante per un importo pari ad euro 172.456.980,00.</w:t>
      </w:r>
    </w:p>
    <w:p>
      <w:pPr>
        <w:pStyle w:val="Normal"/>
        <w:ind w:left="567" w:right="567" w:firstLine="0"/>
        <w:jc w:val="both"/>
        <w:rPr>
          <w:rFonts w:ascii="Book Antiqua" w:cs="Book Antiqua" w:hAnsi="Book Antiqua" w:eastAsia="Book Antiqua"/>
        </w:rPr>
      </w:pPr>
      <w:r>
        <w:rPr>
          <w:rFonts w:ascii="Book Antiqua"/>
          <w:rtl w:val="0"/>
          <w:lang w:val="it-IT"/>
        </w:rPr>
        <w:t>In alternativa, il Co.La.Ri. ha chiesto che il danno asseritamente subito venga quantificato mediante ricorso al criterio equitativo, indicando come congrua una misura di risarcimento non inferiore ad euro 100.000.000,00 quanto al danno emergente ed euro 50.000.000,00 quanto al lucro cessante. Il giudizio di impugnazione del lodo definitivo cos</w:t>
      </w:r>
      <w:r>
        <w:rPr>
          <w:rFonts w:hAnsi="Book Antiqua" w:hint="default"/>
          <w:rtl w:val="0"/>
          <w:lang w:val="it-IT"/>
        </w:rPr>
        <w:t xml:space="preserve">ì </w:t>
      </w:r>
      <w:r>
        <w:rPr>
          <w:rFonts w:ascii="Book Antiqua"/>
          <w:rtl w:val="0"/>
          <w:lang w:val="it-IT"/>
        </w:rPr>
        <w:t>introdotto da Co.La.Ri. risulta iscritto presso la Sez. II della Corte d</w:t>
      </w:r>
      <w:r>
        <w:rPr>
          <w:rFonts w:hAnsi="Book Antiqua" w:hint="default"/>
          <w:rtl w:val="0"/>
          <w:lang w:val="it-IT"/>
        </w:rPr>
        <w:t>’</w:t>
      </w:r>
      <w:r>
        <w:rPr>
          <w:rFonts w:ascii="Book Antiqua"/>
          <w:rtl w:val="0"/>
          <w:lang w:val="it-IT"/>
        </w:rPr>
        <w:t>appello, rg. n. 7497/2015, e l</w:t>
      </w:r>
      <w:r>
        <w:rPr>
          <w:rFonts w:hAnsi="Book Antiqua" w:hint="default"/>
          <w:rtl w:val="0"/>
          <w:lang w:val="it-IT"/>
        </w:rPr>
        <w:t>’</w:t>
      </w:r>
      <w:r>
        <w:rPr>
          <w:rFonts w:ascii="Book Antiqua"/>
          <w:rtl w:val="0"/>
          <w:lang w:val="it-IT"/>
        </w:rPr>
        <w:t xml:space="preserve">udienza di comparizione, inizialmente indicata in citazione al 21 marzo 2016, </w:t>
      </w:r>
      <w:r>
        <w:rPr>
          <w:rFonts w:hAnsi="Book Antiqua" w:hint="default"/>
          <w:rtl w:val="0"/>
          <w:lang w:val="it-IT"/>
        </w:rPr>
        <w:t xml:space="preserve">è </w:t>
      </w:r>
      <w:r>
        <w:rPr>
          <w:rFonts w:ascii="Book Antiqua"/>
          <w:rtl w:val="0"/>
          <w:lang w:val="it-IT"/>
        </w:rPr>
        <w:t>stata rinviata d</w:t>
      </w:r>
      <w:r>
        <w:rPr>
          <w:rFonts w:hAnsi="Book Antiqua" w:hint="default"/>
          <w:rtl w:val="0"/>
          <w:lang w:val="it-IT"/>
        </w:rPr>
        <w:t>’</w:t>
      </w:r>
      <w:r>
        <w:rPr>
          <w:rFonts w:ascii="Book Antiqua"/>
          <w:rtl w:val="0"/>
          <w:lang w:val="it-IT"/>
        </w:rPr>
        <w:t xml:space="preserve">ufficio al successivo 25 marzo 2016. </w:t>
      </w:r>
    </w:p>
    <w:p>
      <w:pPr>
        <w:pStyle w:val="Normal"/>
        <w:ind w:left="567" w:right="567" w:firstLine="0"/>
        <w:jc w:val="both"/>
        <w:rPr>
          <w:rFonts w:ascii="Book Antiqua" w:cs="Book Antiqua" w:hAnsi="Book Antiqua" w:eastAsia="Book Antiqua"/>
        </w:rPr>
      </w:pPr>
      <w:r>
        <w:rPr>
          <w:rFonts w:ascii="Book Antiqua"/>
          <w:rtl w:val="0"/>
          <w:lang w:val="it-IT"/>
        </w:rPr>
        <w:t xml:space="preserve">AMA si </w:t>
      </w:r>
      <w:r>
        <w:rPr>
          <w:rFonts w:hAnsi="Book Antiqua" w:hint="default"/>
          <w:rtl w:val="0"/>
          <w:lang w:val="it-IT"/>
        </w:rPr>
        <w:t xml:space="preserve">è </w:t>
      </w:r>
      <w:r>
        <w:rPr>
          <w:rFonts w:ascii="Book Antiqua"/>
          <w:rtl w:val="0"/>
          <w:lang w:val="it-IT"/>
        </w:rPr>
        <w:t>costituita nel giudizio con comparsa di costituzione e risposta del 29 febbraio 2016 e ha proposto altres</w:t>
      </w:r>
      <w:r>
        <w:rPr>
          <w:rFonts w:hAnsi="Book Antiqua" w:hint="default"/>
          <w:rtl w:val="0"/>
          <w:lang w:val="it-IT"/>
        </w:rPr>
        <w:t xml:space="preserve">ì </w:t>
      </w:r>
      <w:r>
        <w:rPr>
          <w:rFonts w:ascii="Book Antiqua"/>
          <w:rtl w:val="0"/>
          <w:lang w:val="it-IT"/>
        </w:rPr>
        <w:t>impugnazione incidentale, chiedendo alla Corte d</w:t>
      </w:r>
      <w:r>
        <w:rPr>
          <w:rFonts w:hAnsi="Book Antiqua" w:hint="default"/>
          <w:rtl w:val="0"/>
          <w:lang w:val="it-IT"/>
        </w:rPr>
        <w:t>’</w:t>
      </w:r>
      <w:r>
        <w:rPr>
          <w:rFonts w:ascii="Book Antiqua"/>
          <w:rtl w:val="0"/>
          <w:lang w:val="it-IT"/>
        </w:rPr>
        <w:t>appello</w:t>
      </w:r>
      <w:r>
        <w:rPr>
          <w:rFonts w:hAnsi="Book Antiqua" w:hint="default"/>
          <w:rtl w:val="0"/>
          <w:lang w:val="it-IT"/>
        </w:rPr>
        <w:t xml:space="preserve"> “</w:t>
      </w:r>
      <w:r>
        <w:rPr>
          <w:rFonts w:ascii="Book Antiqua"/>
          <w:rtl w:val="0"/>
          <w:lang w:val="it-IT"/>
        </w:rPr>
        <w:t>di voler anche in conseguenza del richiesto accoglimento dell</w:t>
      </w:r>
      <w:r>
        <w:rPr>
          <w:rFonts w:hAnsi="Book Antiqua" w:hint="default"/>
          <w:rtl w:val="0"/>
          <w:lang w:val="it-IT"/>
        </w:rPr>
        <w:t>’</w:t>
      </w:r>
      <w:r>
        <w:rPr>
          <w:rFonts w:ascii="Book Antiqua"/>
          <w:rtl w:val="0"/>
          <w:lang w:val="it-IT"/>
        </w:rPr>
        <w:t>impugnazione sul lodo parziale di cui al giudizio R.G. 1937/2015, e previa sospensione ex articolo 295 del codice di procedura civile del presente giudizio e/o riunione o trattazione congiunta con il primo, dichiarare inammissibili e comunque infondate tutte le conclusioni assunte da Co.La.Ri. nell</w:t>
      </w:r>
      <w:r>
        <w:rPr>
          <w:rFonts w:hAnsi="Book Antiqua" w:hint="default"/>
          <w:rtl w:val="0"/>
          <w:lang w:val="it-IT"/>
        </w:rPr>
        <w:t>’</w:t>
      </w:r>
      <w:r>
        <w:rPr>
          <w:rFonts w:ascii="Book Antiqua"/>
          <w:rtl w:val="0"/>
          <w:lang w:val="it-IT"/>
        </w:rPr>
        <w:t>atto di citazione cui si resiste; mentre anche in accoglimento dell</w:t>
      </w:r>
      <w:r>
        <w:rPr>
          <w:rFonts w:hAnsi="Book Antiqua" w:hint="default"/>
          <w:rtl w:val="0"/>
          <w:lang w:val="it-IT"/>
        </w:rPr>
        <w:t>’</w:t>
      </w:r>
      <w:r>
        <w:rPr>
          <w:rFonts w:ascii="Book Antiqua"/>
          <w:rtl w:val="0"/>
          <w:lang w:val="it-IT"/>
        </w:rPr>
        <w:t>impugnazione incidentale qui proposta dichiarare la nullit</w:t>
      </w:r>
      <w:r>
        <w:rPr>
          <w:rFonts w:hAnsi="Book Antiqua" w:hint="default"/>
          <w:rtl w:val="0"/>
          <w:lang w:val="it-IT"/>
        </w:rPr>
        <w:t xml:space="preserve">à </w:t>
      </w:r>
      <w:r>
        <w:rPr>
          <w:rFonts w:ascii="Book Antiqua"/>
          <w:rtl w:val="0"/>
          <w:lang w:val="it-IT"/>
        </w:rPr>
        <w:t>del lodo definitivo sia in ragione dell</w:t>
      </w:r>
      <w:r>
        <w:rPr>
          <w:rFonts w:hAnsi="Book Antiqua" w:hint="default"/>
          <w:rtl w:val="0"/>
          <w:lang w:val="it-IT"/>
        </w:rPr>
        <w:t>’</w:t>
      </w:r>
      <w:r>
        <w:rPr>
          <w:rFonts w:ascii="Book Antiqua"/>
          <w:rtl w:val="0"/>
          <w:lang w:val="it-IT"/>
        </w:rPr>
        <w:t>accoglimento dell</w:t>
      </w:r>
      <w:r>
        <w:rPr>
          <w:rFonts w:hAnsi="Book Antiqua" w:hint="default"/>
          <w:rtl w:val="0"/>
          <w:lang w:val="it-IT"/>
        </w:rPr>
        <w:t>’</w:t>
      </w:r>
      <w:r>
        <w:rPr>
          <w:rFonts w:ascii="Book Antiqua"/>
          <w:rtl w:val="0"/>
          <w:lang w:val="it-IT"/>
        </w:rPr>
        <w:t>impugnazione del lodo parziale proposta da AMA, sia con riguardo alla statuizione sulle spese, condannando Co.La.Ri. in favore di AMA a spese e onorari per rappresentanza e difesa legale nel giudizio arbitrale (pari ad euro 1.657.433 o la somma maggiore o minore ritenuta di giustizia salvo gravame), nonch</w:t>
      </w:r>
      <w:r>
        <w:rPr>
          <w:rFonts w:hAnsi="Book Antiqua" w:hint="default"/>
          <w:rtl w:val="0"/>
          <w:lang w:val="it-IT"/>
        </w:rPr>
        <w:t xml:space="preserve">é </w:t>
      </w:r>
      <w:r>
        <w:rPr>
          <w:rFonts w:ascii="Book Antiqua"/>
          <w:rtl w:val="0"/>
          <w:lang w:val="it-IT"/>
        </w:rPr>
        <w:t>integralmente alle spese per il funzionamento del collegio arbitrale; in subordine e salvo gravame disponendo la compensazione delle spese di rappresentanza e difesa in misura limitata pari a quella applicata per le spese di collegio (limitata ad un settimo). Con condanna di Co.La.Ri. alle spese del presente giudizio</w:t>
      </w:r>
      <w:r>
        <w:rPr>
          <w:rFonts w:hAnsi="Book Antiqua" w:hint="default"/>
          <w:rtl w:val="0"/>
          <w:lang w:val="it-IT"/>
        </w:rPr>
        <w:t>”</w:t>
      </w:r>
      <w:r>
        <w:rPr>
          <w:rFonts w:ascii="Book Antiqua"/>
          <w:rtl w:val="0"/>
          <w:lang w:val="it-IT"/>
        </w:rPr>
        <w:t xml:space="preserve">. </w:t>
      </w:r>
    </w:p>
    <w:p>
      <w:pPr>
        <w:pStyle w:val="Normal"/>
        <w:ind w:left="567" w:right="567" w:firstLine="0"/>
        <w:jc w:val="both"/>
        <w:rPr>
          <w:rFonts w:ascii="Book Antiqua" w:cs="Book Antiqua" w:hAnsi="Book Antiqua" w:eastAsia="Book Antiqua"/>
        </w:rPr>
      </w:pPr>
      <w:r>
        <w:rPr>
          <w:rFonts w:ascii="Book Antiqua"/>
          <w:rtl w:val="0"/>
          <w:lang w:val="it-IT"/>
        </w:rPr>
        <w:t>All</w:t>
      </w:r>
      <w:r>
        <w:rPr>
          <w:rFonts w:hAnsi="Book Antiqua" w:hint="default"/>
          <w:rtl w:val="0"/>
          <w:lang w:val="it-IT"/>
        </w:rPr>
        <w:t>’</w:t>
      </w:r>
      <w:r>
        <w:rPr>
          <w:rFonts w:ascii="Book Antiqua"/>
          <w:rtl w:val="0"/>
          <w:lang w:val="it-IT"/>
        </w:rPr>
        <w:t>udienza del 25 marzo 2016, accogliendo l</w:t>
      </w:r>
      <w:r>
        <w:rPr>
          <w:rFonts w:hAnsi="Book Antiqua" w:hint="default"/>
          <w:rtl w:val="0"/>
          <w:lang w:val="it-IT"/>
        </w:rPr>
        <w:t>’</w:t>
      </w:r>
      <w:r>
        <w:rPr>
          <w:rFonts w:ascii="Book Antiqua"/>
          <w:rtl w:val="0"/>
          <w:lang w:val="it-IT"/>
        </w:rPr>
        <w:t xml:space="preserve">eccezione proposta da AMA, la causa </w:t>
      </w:r>
      <w:r>
        <w:rPr>
          <w:rFonts w:hAnsi="Book Antiqua" w:hint="default"/>
          <w:rtl w:val="0"/>
          <w:lang w:val="it-IT"/>
        </w:rPr>
        <w:t xml:space="preserve">è </w:t>
      </w:r>
      <w:r>
        <w:rPr>
          <w:rFonts w:ascii="Book Antiqua"/>
          <w:rtl w:val="0"/>
          <w:lang w:val="it-IT"/>
        </w:rPr>
        <w:t>stata rimessa al Presidente della Corte d</w:t>
      </w:r>
      <w:r>
        <w:rPr>
          <w:rFonts w:hAnsi="Book Antiqua" w:hint="default"/>
          <w:rtl w:val="0"/>
          <w:lang w:val="it-IT"/>
        </w:rPr>
        <w:t>’</w:t>
      </w:r>
      <w:r>
        <w:rPr>
          <w:rFonts w:ascii="Book Antiqua"/>
          <w:rtl w:val="0"/>
          <w:lang w:val="it-IT"/>
        </w:rPr>
        <w:t>appello per la decisione sulla eventuale riunione con il giudizio riguardante l</w:t>
      </w:r>
      <w:r>
        <w:rPr>
          <w:rFonts w:hAnsi="Book Antiqua" w:hint="default"/>
          <w:rtl w:val="0"/>
          <w:lang w:val="it-IT"/>
        </w:rPr>
        <w:t>’</w:t>
      </w:r>
      <w:r>
        <w:rPr>
          <w:rFonts w:ascii="Book Antiqua"/>
          <w:rtl w:val="0"/>
          <w:lang w:val="it-IT"/>
        </w:rPr>
        <w:t>impugnazione del lodo parziale (rg. n. 1937/15), anch</w:t>
      </w:r>
      <w:r>
        <w:rPr>
          <w:rFonts w:hAnsi="Book Antiqua" w:hint="default"/>
          <w:rtl w:val="0"/>
          <w:lang w:val="it-IT"/>
        </w:rPr>
        <w:t>’</w:t>
      </w:r>
      <w:r>
        <w:rPr>
          <w:rFonts w:ascii="Book Antiqua"/>
          <w:rtl w:val="0"/>
          <w:lang w:val="it-IT"/>
        </w:rPr>
        <w:t>esso pendente dinanzi alla Corte d</w:t>
      </w:r>
      <w:r>
        <w:rPr>
          <w:rFonts w:hAnsi="Book Antiqua" w:hint="default"/>
          <w:rtl w:val="0"/>
          <w:lang w:val="it-IT"/>
        </w:rPr>
        <w:t>’</w:t>
      </w:r>
      <w:r>
        <w:rPr>
          <w:rFonts w:ascii="Book Antiqua"/>
          <w:rtl w:val="0"/>
          <w:lang w:val="it-IT"/>
        </w:rPr>
        <w:t>appello. Con provvedimento del 27 aprile 2016 il Presidente ha quindi disposto ex articolo 274 del codice di procedura civile la riunione del giudizio di impugnazione del lodo definitivo (RG. n. 7497/15) con quello relativo all</w:t>
      </w:r>
      <w:r>
        <w:rPr>
          <w:rFonts w:hAnsi="Book Antiqua" w:hint="default"/>
          <w:rtl w:val="0"/>
          <w:lang w:val="it-IT"/>
        </w:rPr>
        <w:t>’</w:t>
      </w:r>
      <w:r>
        <w:rPr>
          <w:rFonts w:ascii="Book Antiqua"/>
          <w:rtl w:val="0"/>
          <w:lang w:val="it-IT"/>
        </w:rPr>
        <w:t>impugnazione del lodo parziale (RG. n. 1937/15), designando il giudice relatore unico delle cause riunite e rinviando le parti per la precisazione delle conclusioni all</w:t>
      </w:r>
      <w:r>
        <w:rPr>
          <w:rFonts w:hAnsi="Book Antiqua" w:hint="default"/>
          <w:rtl w:val="0"/>
          <w:lang w:val="it-IT"/>
        </w:rPr>
        <w:t>’</w:t>
      </w:r>
      <w:r>
        <w:rPr>
          <w:rFonts w:ascii="Book Antiqua"/>
          <w:rtl w:val="0"/>
          <w:lang w:val="it-IT"/>
        </w:rPr>
        <w:t>udienza gi</w:t>
      </w:r>
      <w:r>
        <w:rPr>
          <w:rFonts w:hAnsi="Book Antiqua" w:hint="default"/>
          <w:rtl w:val="0"/>
          <w:lang w:val="it-IT"/>
        </w:rPr>
        <w:t xml:space="preserve">à </w:t>
      </w:r>
      <w:r>
        <w:rPr>
          <w:rFonts w:ascii="Book Antiqua"/>
          <w:rtl w:val="0"/>
          <w:lang w:val="it-IT"/>
        </w:rPr>
        <w:t xml:space="preserve">prefissata del 9 marzo 2018 dinanzi alla terza sezione civile. </w:t>
      </w:r>
    </w:p>
    <w:p>
      <w:pPr>
        <w:pStyle w:val="Normal"/>
        <w:jc w:val="both"/>
        <w:rPr>
          <w:rFonts w:ascii="Book Antiqua" w:cs="Book Antiqua" w:hAnsi="Book Antiqua" w:eastAsia="Book Antiqua"/>
        </w:rPr>
      </w:pPr>
    </w:p>
    <w:p>
      <w:pPr>
        <w:pStyle w:val="Normal"/>
      </w:pPr>
      <w:r>
        <w:rPr>
          <w:rFonts w:ascii="Book Antiqua" w:cs="Book Antiqua" w:hAnsi="Book Antiqua" w:eastAsia="Book Antiqua"/>
          <w:sz w:val="28"/>
          <w:szCs w:val="28"/>
          <w:rtl w:val="0"/>
        </w:rPr>
        <w:br w:type="page"/>
      </w:r>
    </w:p>
    <w:p>
      <w:pPr>
        <w:pStyle w:val="Normal"/>
        <w:rPr>
          <w:rFonts w:ascii="Book Antiqua" w:cs="Book Antiqua" w:hAnsi="Book Antiqua" w:eastAsia="Book Antiqua"/>
          <w:sz w:val="28"/>
          <w:szCs w:val="28"/>
        </w:rPr>
      </w:pPr>
    </w:p>
    <w:p>
      <w:pPr>
        <w:pStyle w:val="Normal"/>
        <w:ind w:left="567" w:right="567" w:firstLine="0"/>
        <w:jc w:val="both"/>
        <w:rPr>
          <w:rFonts w:ascii="Book Antiqua" w:cs="Book Antiqua" w:hAnsi="Book Antiqua" w:eastAsia="Book Antiqua"/>
          <w:sz w:val="28"/>
          <w:szCs w:val="28"/>
        </w:rPr>
      </w:pPr>
    </w:p>
    <w:p>
      <w:pPr>
        <w:pStyle w:val="Normal"/>
        <w:ind w:left="567" w:right="567" w:firstLine="0"/>
        <w:jc w:val="both"/>
        <w:rPr>
          <w:rFonts w:ascii="Book Antiqua" w:cs="Book Antiqua" w:hAnsi="Book Antiqua" w:eastAsia="Book Antiqua"/>
          <w:sz w:val="28"/>
          <w:szCs w:val="28"/>
        </w:rPr>
      </w:pPr>
      <w:r>
        <w:rPr>
          <w:rFonts w:ascii="Book Antiqua"/>
          <w:sz w:val="28"/>
          <w:szCs w:val="28"/>
          <w:rtl w:val="0"/>
          <w:lang w:val="it-IT"/>
        </w:rPr>
        <w:t>2.3.5.2 La determinazione delle tariffe</w:t>
      </w:r>
    </w:p>
    <w:p>
      <w:pPr>
        <w:pStyle w:val="Normal"/>
        <w:ind w:left="567" w:right="567" w:firstLine="0"/>
        <w:jc w:val="both"/>
        <w:rPr>
          <w:rFonts w:ascii="Book Antiqua" w:cs="Book Antiqua" w:hAnsi="Book Antiqua" w:eastAsia="Book Antiqua"/>
          <w:sz w:val="28"/>
          <w:szCs w:val="28"/>
        </w:rPr>
      </w:pPr>
    </w:p>
    <w:p>
      <w:pPr>
        <w:pStyle w:val="Default"/>
        <w:ind w:left="567" w:right="567" w:firstLine="0"/>
        <w:jc w:val="both"/>
        <w:rPr>
          <w:rFonts w:ascii="Book Antiqua" w:cs="Book Antiqua" w:hAnsi="Book Antiqua" w:eastAsia="Book Antiqua"/>
        </w:rPr>
      </w:pPr>
      <w:r>
        <w:rPr>
          <w:rFonts w:ascii="Book Antiqua"/>
          <w:rtl w:val="0"/>
          <w:lang w:val="it-IT"/>
        </w:rPr>
        <w:t>La sentenza del TAR Lazio, Sezione I-ter n. 3441/2012 aveva accolto il ricorso proposto dalla E. Giovi S.r.l. per l</w:t>
      </w:r>
      <w:r>
        <w:rPr>
          <w:rFonts w:hAnsi="Book Antiqua" w:hint="default"/>
          <w:rtl w:val="0"/>
          <w:lang w:val="it-IT"/>
        </w:rPr>
        <w:t>’</w:t>
      </w:r>
      <w:r>
        <w:rPr>
          <w:rFonts w:ascii="Book Antiqua"/>
          <w:rtl w:val="0"/>
          <w:lang w:val="it-IT"/>
        </w:rPr>
        <w:t>annullamento della determinazione n. B 7190 emessa in data 20 settembre 2011 dalla regione Lazio, dipartimento programmazione economica e sociale, direzione regionale attivit</w:t>
      </w:r>
      <w:r>
        <w:rPr>
          <w:rFonts w:hAnsi="Book Antiqua" w:hint="default"/>
          <w:rtl w:val="0"/>
          <w:lang w:val="it-IT"/>
        </w:rPr>
        <w:t xml:space="preserve">à </w:t>
      </w:r>
      <w:r>
        <w:rPr>
          <w:rFonts w:ascii="Book Antiqua"/>
          <w:rtl w:val="0"/>
          <w:lang w:val="it-IT"/>
        </w:rPr>
        <w:t>produttive e rifiuti, area ciclo integrato dei rifiuti nella parte in cui determinava la tariffa di accesso ai due impianti TMB denominati Malagrotta 1 e Malagrotta 2, nonch</w:t>
      </w:r>
      <w:r>
        <w:rPr>
          <w:rFonts w:hAnsi="Book Antiqua" w:hint="default"/>
          <w:rtl w:val="0"/>
          <w:lang w:val="it-IT"/>
        </w:rPr>
        <w:t xml:space="preserve">é </w:t>
      </w:r>
      <w:r>
        <w:rPr>
          <w:rFonts w:ascii="Book Antiqua"/>
          <w:rtl w:val="0"/>
          <w:lang w:val="it-IT"/>
        </w:rPr>
        <w:t>di ogni altro atto comunque presupposto, connesso ovvero conseguente, ivi compresa la valutazione di conformit</w:t>
      </w:r>
      <w:r>
        <w:rPr>
          <w:rFonts w:hAnsi="Book Antiqua" w:hint="default"/>
          <w:rtl w:val="0"/>
          <w:lang w:val="it-IT"/>
        </w:rPr>
        <w:t xml:space="preserve">à </w:t>
      </w:r>
      <w:r>
        <w:rPr>
          <w:rFonts w:ascii="Book Antiqua"/>
          <w:rtl w:val="0"/>
          <w:lang w:val="it-IT"/>
        </w:rPr>
        <w:t>del calcolo economico finanziario redatta dal dott. Paolo Pelino e dal dott. Andrea Pirrottina in data 25 luglio 2011, su un incarico della Societ</w:t>
      </w:r>
      <w:r>
        <w:rPr>
          <w:rFonts w:hAnsi="Book Antiqua" w:hint="default"/>
          <w:rtl w:val="0"/>
          <w:lang w:val="it-IT"/>
        </w:rPr>
        <w:t xml:space="preserve">à </w:t>
      </w:r>
      <w:r>
        <w:rPr>
          <w:rFonts w:ascii="Book Antiqua"/>
          <w:rtl w:val="0"/>
          <w:lang w:val="it-IT"/>
        </w:rPr>
        <w:t>Sviluppo Lazio S.p.A. .</w:t>
      </w:r>
    </w:p>
    <w:p>
      <w:pPr>
        <w:pStyle w:val="Default"/>
        <w:ind w:left="567" w:right="567" w:firstLine="0"/>
        <w:jc w:val="both"/>
        <w:rPr>
          <w:rFonts w:ascii="Book Antiqua" w:cs="Book Antiqua" w:hAnsi="Book Antiqua" w:eastAsia="Book Antiqua"/>
        </w:rPr>
      </w:pPr>
      <w:r>
        <w:rPr>
          <w:rFonts w:ascii="Book Antiqua"/>
          <w:rtl w:val="0"/>
          <w:lang w:val="it-IT"/>
        </w:rPr>
        <w:t>AMA S.p.A. ha proposto ricorso al Consiglio di Stato per la riforma della sentenza del TAR, concernente la revisione tariffa di accesso RSU alla discarica di Malagrotta, nel processo amministrativo contro Roma Capitale, in persona del sindaco pro tempore, prefetto di Roma - commissario delegato per il superamento della situazione di emergenza ambientale, regione Lazio in persona del presidente pro tempore, ed E. Giovi S.r.l. .</w:t>
      </w:r>
    </w:p>
    <w:p>
      <w:pPr>
        <w:pStyle w:val="heading 1"/>
        <w:spacing w:before="0" w:after="0"/>
        <w:ind w:left="567" w:right="567" w:firstLine="0"/>
        <w:jc w:val="both"/>
        <w:rPr>
          <w:rFonts w:ascii="Book Antiqua" w:cs="Book Antiqua" w:hAnsi="Book Antiqua" w:eastAsia="Book Antiqua"/>
        </w:rPr>
      </w:pPr>
      <w:r>
        <w:rPr>
          <w:rFonts w:ascii="Book Antiqua"/>
          <w:caps w:val="0"/>
          <w:smallCaps w:val="0"/>
          <w:rtl w:val="0"/>
          <w:lang w:val="it-IT"/>
        </w:rPr>
        <w:t>Con ordinanza n. 5750 del 21 novembre 2014, la quinta sezione del Consiglio di Stato ha disposto una verificazione, ai sensi dell</w:t>
      </w:r>
      <w:r>
        <w:rPr>
          <w:rFonts w:hAnsi="Book Antiqua" w:hint="default"/>
          <w:caps w:val="0"/>
          <w:smallCaps w:val="0"/>
          <w:rtl w:val="0"/>
          <w:lang w:val="it-IT"/>
        </w:rPr>
        <w:t>’</w:t>
      </w:r>
      <w:r>
        <w:rPr>
          <w:rFonts w:ascii="Book Antiqua"/>
          <w:caps w:val="0"/>
          <w:smallCaps w:val="0"/>
          <w:rtl w:val="0"/>
          <w:lang w:val="it-IT"/>
        </w:rPr>
        <w:t>articolo 66 del codice del processo amministrativo, sulla determinazione delle tariffa di accesso ai due impianti di trattamento meccanico biologico, incaricando il direttore della direzione generale per i rifiuti e l</w:t>
      </w:r>
      <w:r>
        <w:rPr>
          <w:rFonts w:hAnsi="Book Antiqua" w:hint="default"/>
          <w:caps w:val="0"/>
          <w:smallCaps w:val="0"/>
          <w:rtl w:val="0"/>
          <w:lang w:val="it-IT"/>
        </w:rPr>
        <w:t>’</w:t>
      </w:r>
      <w:r>
        <w:rPr>
          <w:rFonts w:ascii="Book Antiqua"/>
          <w:caps w:val="0"/>
          <w:smallCaps w:val="0"/>
          <w:rtl w:val="0"/>
          <w:lang w:val="it-IT"/>
        </w:rPr>
        <w:t>inquinamento del Ministero dell</w:t>
      </w:r>
      <w:r>
        <w:rPr>
          <w:rFonts w:hAnsi="Book Antiqua" w:hint="default"/>
          <w:caps w:val="0"/>
          <w:smallCaps w:val="0"/>
          <w:rtl w:val="0"/>
          <w:lang w:val="it-IT"/>
        </w:rPr>
        <w:t>’</w:t>
      </w:r>
      <w:r>
        <w:rPr>
          <w:rFonts w:ascii="Book Antiqua"/>
          <w:caps w:val="0"/>
          <w:smallCaps w:val="0"/>
          <w:rtl w:val="0"/>
          <w:lang w:val="it-IT"/>
        </w:rPr>
        <w:t>ambiente di rispondere a una serie di quesiti, sulla base della disciplina vigente ed in particolare del decreto del commissario delegato per l</w:t>
      </w:r>
      <w:r>
        <w:rPr>
          <w:rFonts w:hAnsi="Book Antiqua" w:hint="default"/>
          <w:caps w:val="0"/>
          <w:smallCaps w:val="0"/>
          <w:rtl w:val="0"/>
          <w:lang w:val="it-IT"/>
        </w:rPr>
        <w:t>’</w:t>
      </w:r>
      <w:r>
        <w:rPr>
          <w:rFonts w:ascii="Book Antiqua"/>
          <w:caps w:val="0"/>
          <w:smallCaps w:val="0"/>
          <w:rtl w:val="0"/>
          <w:lang w:val="it-IT"/>
        </w:rPr>
        <w:t>emergenza ambientale n. 15 dell</w:t>
      </w:r>
      <w:r>
        <w:rPr>
          <w:rFonts w:hAnsi="Book Antiqua" w:hint="default"/>
          <w:caps w:val="0"/>
          <w:smallCaps w:val="0"/>
          <w:rtl w:val="0"/>
          <w:lang w:val="it-IT"/>
        </w:rPr>
        <w:t>’</w:t>
      </w:r>
      <w:r>
        <w:rPr>
          <w:rFonts w:ascii="Book Antiqua"/>
          <w:caps w:val="0"/>
          <w:smallCaps w:val="0"/>
          <w:rtl w:val="0"/>
          <w:lang w:val="it-IT"/>
        </w:rPr>
        <w:t xml:space="preserve">11 marzo 2005, relativi alla determinazione della tariffa di accesso ai due impianti di trattamento meccanico biologico denominati Malagrotta 1 e Malagrotta 2. </w:t>
      </w:r>
    </w:p>
    <w:p>
      <w:pPr>
        <w:pStyle w:val="Normal"/>
        <w:ind w:left="567" w:right="567" w:firstLine="0"/>
        <w:jc w:val="both"/>
        <w:rPr>
          <w:rFonts w:ascii="Book Antiqua" w:cs="Book Antiqua" w:hAnsi="Book Antiqua" w:eastAsia="Book Antiqua"/>
        </w:rPr>
      </w:pPr>
      <w:r>
        <w:rPr>
          <w:rFonts w:ascii="Book Antiqua"/>
          <w:rtl w:val="0"/>
          <w:lang w:val="it-IT"/>
        </w:rPr>
        <w:t>Il dirigente del Ministero, con nota del 24 dicembre 2014, ha comunicato di avvalersi per l</w:t>
      </w:r>
      <w:r>
        <w:rPr>
          <w:rFonts w:hAnsi="Book Antiqua" w:hint="default"/>
          <w:rtl w:val="0"/>
          <w:lang w:val="it-IT"/>
        </w:rPr>
        <w:t>’</w:t>
      </w:r>
      <w:r>
        <w:rPr>
          <w:rFonts w:ascii="Book Antiqua"/>
          <w:rtl w:val="0"/>
          <w:lang w:val="it-IT"/>
        </w:rPr>
        <w:t>attivit</w:t>
      </w:r>
      <w:r>
        <w:rPr>
          <w:rFonts w:hAnsi="Book Antiqua" w:hint="default"/>
          <w:rtl w:val="0"/>
          <w:lang w:val="it-IT"/>
        </w:rPr>
        <w:t xml:space="preserve">à </w:t>
      </w:r>
      <w:r>
        <w:rPr>
          <w:rFonts w:ascii="Book Antiqua"/>
          <w:rtl w:val="0"/>
          <w:lang w:val="it-IT"/>
        </w:rPr>
        <w:t>di verificazione di tre ausiliari in supporto tecnico chiedendo, inoltre, un differimento del termine stabilito per il completamento dell</w:t>
      </w:r>
      <w:r>
        <w:rPr>
          <w:rFonts w:hAnsi="Book Antiqua" w:hint="default"/>
          <w:rtl w:val="0"/>
          <w:lang w:val="it-IT"/>
        </w:rPr>
        <w:t>’</w:t>
      </w:r>
      <w:r>
        <w:rPr>
          <w:rFonts w:ascii="Book Antiqua"/>
          <w:rtl w:val="0"/>
          <w:lang w:val="it-IT"/>
        </w:rPr>
        <w:t>attivit</w:t>
      </w:r>
      <w:r>
        <w:rPr>
          <w:rFonts w:hAnsi="Book Antiqua" w:hint="default"/>
          <w:rtl w:val="0"/>
          <w:lang w:val="it-IT"/>
        </w:rPr>
        <w:t xml:space="preserve">à </w:t>
      </w:r>
      <w:r>
        <w:rPr>
          <w:rFonts w:ascii="Book Antiqua"/>
          <w:rtl w:val="0"/>
          <w:lang w:val="it-IT"/>
        </w:rPr>
        <w:t>di verificazione. Il Consiglio di Stato, con ordinanza n. 536 del 2015, ha concesso una proroga dei termini,  fissando il deposito della verificazione per il giorno 30 aprile 2015.</w:t>
      </w:r>
    </w:p>
    <w:p>
      <w:pPr>
        <w:pStyle w:val="Normal"/>
        <w:ind w:left="567" w:right="567" w:firstLine="0"/>
        <w:jc w:val="both"/>
        <w:rPr>
          <w:rFonts w:ascii="Book Antiqua" w:cs="Book Antiqua" w:hAnsi="Book Antiqua" w:eastAsia="Book Antiqua"/>
        </w:rPr>
      </w:pPr>
      <w:r>
        <w:rPr>
          <w:rFonts w:ascii="Book Antiqua"/>
          <w:rtl w:val="0"/>
          <w:lang w:val="it-IT"/>
        </w:rPr>
        <w:t xml:space="preserve">La relazione di verificazione </w:t>
      </w:r>
      <w:r>
        <w:rPr>
          <w:rFonts w:hAnsi="Book Antiqua" w:hint="default"/>
          <w:rtl w:val="0"/>
          <w:lang w:val="it-IT"/>
        </w:rPr>
        <w:t xml:space="preserve">è </w:t>
      </w:r>
      <w:r>
        <w:rPr>
          <w:rFonts w:ascii="Book Antiqua"/>
          <w:rtl w:val="0"/>
          <w:lang w:val="it-IT"/>
        </w:rPr>
        <w:t>stata trasmessa al Consiglio di Stato con nota 4532/RIN del 29 aprile 2015; con nota 8228/RIN del 13 luglio 2015 Il DG del Ministero dell</w:t>
      </w:r>
      <w:r>
        <w:rPr>
          <w:rFonts w:hAnsi="Book Antiqua" w:hint="default"/>
          <w:rtl w:val="0"/>
          <w:lang w:val="it-IT"/>
        </w:rPr>
        <w:t>’</w:t>
      </w:r>
      <w:r>
        <w:rPr>
          <w:rFonts w:ascii="Book Antiqua"/>
          <w:rtl w:val="0"/>
          <w:lang w:val="it-IT"/>
        </w:rPr>
        <w:t>ambiente ha trasmesso al Consiglio di Stato la valutazione delle osservazioni prodotte dalle parti. Nel corso del procedimento giurisdizionale amministrativo la Commissione ha appreso dal direttore generale di AMA S.p.A., in audizione, dell</w:t>
      </w:r>
      <w:r>
        <w:rPr>
          <w:rFonts w:hAnsi="Book Antiqua" w:hint="default"/>
          <w:rtl w:val="0"/>
          <w:lang w:val="it-IT"/>
        </w:rPr>
        <w:t>’</w:t>
      </w:r>
      <w:r>
        <w:rPr>
          <w:rFonts w:ascii="Book Antiqua"/>
          <w:rtl w:val="0"/>
          <w:lang w:val="it-IT"/>
        </w:rPr>
        <w:t>avvenuta presentazione di esposti alla procura della Repubblica di Roma, inerenti la materia; le audizioni dei magistrati della procura della Repubblica non hanno portato all</w:t>
      </w:r>
      <w:r>
        <w:rPr>
          <w:rFonts w:hAnsi="Book Antiqua" w:hint="default"/>
          <w:rtl w:val="0"/>
          <w:lang w:val="it-IT"/>
        </w:rPr>
        <w:t>’</w:t>
      </w:r>
      <w:r>
        <w:rPr>
          <w:rFonts w:ascii="Book Antiqua"/>
          <w:rtl w:val="0"/>
          <w:lang w:val="it-IT"/>
        </w:rPr>
        <w:t>acquisizione di informazioni ostensibili.</w:t>
      </w:r>
    </w:p>
    <w:p>
      <w:pPr>
        <w:pStyle w:val="Normal"/>
        <w:ind w:left="567" w:right="567" w:firstLine="0"/>
        <w:jc w:val="both"/>
        <w:rPr>
          <w:rFonts w:ascii="Book Antiqua" w:cs="Book Antiqua" w:hAnsi="Book Antiqua" w:eastAsia="Book Antiqua"/>
        </w:rPr>
      </w:pPr>
      <w:r>
        <w:rPr>
          <w:rFonts w:ascii="Book Antiqua"/>
          <w:rtl w:val="0"/>
          <w:lang w:val="it-IT"/>
        </w:rPr>
        <w:t>Permane peraltro l</w:t>
      </w:r>
      <w:r>
        <w:rPr>
          <w:rFonts w:hAnsi="Book Antiqua" w:hint="default"/>
          <w:rtl w:val="0"/>
          <w:lang w:val="it-IT"/>
        </w:rPr>
        <w:t>’</w:t>
      </w:r>
      <w:r>
        <w:rPr>
          <w:rFonts w:ascii="Book Antiqua"/>
          <w:rtl w:val="0"/>
          <w:lang w:val="it-IT"/>
        </w:rPr>
        <w:t>interesse a dare conto in questa sede di questo contenzioso, sin qui sinteticamente richiamato.</w:t>
      </w:r>
    </w:p>
    <w:p>
      <w:pPr>
        <w:pStyle w:val="Normal"/>
        <w:ind w:left="567" w:right="567" w:firstLine="0"/>
        <w:jc w:val="both"/>
        <w:rPr>
          <w:rFonts w:ascii="Book Antiqua" w:cs="Book Antiqua" w:hAnsi="Book Antiqua" w:eastAsia="Book Antiqua"/>
        </w:rPr>
      </w:pPr>
      <w:r>
        <w:rPr>
          <w:rFonts w:ascii="Book Antiqua"/>
          <w:rtl w:val="0"/>
          <w:lang w:val="it-IT"/>
        </w:rPr>
        <w:t xml:space="preserve">La premessa della vicenda </w:t>
      </w:r>
      <w:r>
        <w:rPr>
          <w:rFonts w:hAnsi="Book Antiqua" w:hint="default"/>
          <w:rtl w:val="0"/>
          <w:lang w:val="it-IT"/>
        </w:rPr>
        <w:t xml:space="preserve">è </w:t>
      </w:r>
      <w:r>
        <w:rPr>
          <w:rFonts w:ascii="Book Antiqua"/>
          <w:rtl w:val="0"/>
          <w:lang w:val="it-IT"/>
        </w:rPr>
        <w:t>costituita dalla nota prot. n. 221 del 15 dicembre 2010, acquisita al prot. della regione Lazio n. 48552 del 16 dicembre 2010, con la quale la societ</w:t>
      </w:r>
      <w:r>
        <w:rPr>
          <w:rFonts w:hAnsi="Book Antiqua" w:hint="default"/>
          <w:rtl w:val="0"/>
          <w:lang w:val="it-IT"/>
        </w:rPr>
        <w:t xml:space="preserve">à </w:t>
      </w:r>
      <w:r>
        <w:rPr>
          <w:rFonts w:ascii="Book Antiqua"/>
          <w:rtl w:val="0"/>
          <w:lang w:val="it-IT"/>
        </w:rPr>
        <w:t>E. Giovi S.r.l. aveva chiesto la rideterminazione della tariffa di accesso, a consuntivo per l</w:t>
      </w:r>
      <w:r>
        <w:rPr>
          <w:rFonts w:hAnsi="Book Antiqua" w:hint="default"/>
          <w:rtl w:val="0"/>
          <w:lang w:val="it-IT"/>
        </w:rPr>
        <w:t>’</w:t>
      </w:r>
      <w:r>
        <w:rPr>
          <w:rFonts w:ascii="Book Antiqua"/>
          <w:rtl w:val="0"/>
          <w:lang w:val="it-IT"/>
        </w:rPr>
        <w:t xml:space="preserve">anno 2009, ai due impianti di trattamento meccanico biologico, denominati </w:t>
      </w:r>
      <w:r>
        <w:rPr>
          <w:rFonts w:hAnsi="Book Antiqua" w:hint="default"/>
          <w:rtl w:val="0"/>
          <w:lang w:val="it-IT"/>
        </w:rPr>
        <w:t>“</w:t>
      </w:r>
      <w:r>
        <w:rPr>
          <w:rFonts w:ascii="Book Antiqua"/>
          <w:rtl w:val="0"/>
          <w:lang w:val="it-IT"/>
        </w:rPr>
        <w:t xml:space="preserve">TMB 1 e </w:t>
      </w:r>
      <w:r>
        <w:rPr>
          <w:rFonts w:hAnsi="Book Antiqua" w:hint="default"/>
          <w:rtl w:val="0"/>
          <w:lang w:val="it-IT"/>
        </w:rPr>
        <w:t>“</w:t>
      </w:r>
      <w:r>
        <w:rPr>
          <w:rFonts w:ascii="Book Antiqua"/>
          <w:rtl w:val="0"/>
          <w:lang w:val="it-IT"/>
        </w:rPr>
        <w:t>TMB 2, siti in localit</w:t>
      </w:r>
      <w:r>
        <w:rPr>
          <w:rFonts w:hAnsi="Book Antiqua" w:hint="default"/>
          <w:rtl w:val="0"/>
          <w:lang w:val="it-IT"/>
        </w:rPr>
        <w:t xml:space="preserve">à </w:t>
      </w:r>
      <w:r>
        <w:rPr>
          <w:rFonts w:ascii="Book Antiqua"/>
          <w:rtl w:val="0"/>
          <w:lang w:val="it-IT"/>
        </w:rPr>
        <w:t>Malagrotta, per un importo pari ad euro 121,48/t, secondo le modalit</w:t>
      </w:r>
      <w:r>
        <w:rPr>
          <w:rFonts w:hAnsi="Book Antiqua" w:hint="default"/>
          <w:rtl w:val="0"/>
          <w:lang w:val="it-IT"/>
        </w:rPr>
        <w:t xml:space="preserve">à </w:t>
      </w:r>
      <w:r>
        <w:rPr>
          <w:rFonts w:ascii="Book Antiqua"/>
          <w:rtl w:val="0"/>
          <w:lang w:val="it-IT"/>
        </w:rPr>
        <w:t>indicate nell</w:t>
      </w:r>
      <w:r>
        <w:rPr>
          <w:rFonts w:hAnsi="Book Antiqua" w:hint="default"/>
          <w:rtl w:val="0"/>
          <w:lang w:val="it-IT"/>
        </w:rPr>
        <w:t>’</w:t>
      </w:r>
      <w:r>
        <w:rPr>
          <w:rFonts w:ascii="Book Antiqua"/>
          <w:rtl w:val="0"/>
          <w:lang w:val="it-IT"/>
        </w:rPr>
        <w:t>appendice B del decreto del commissario delegato per l</w:t>
      </w:r>
      <w:r>
        <w:rPr>
          <w:rFonts w:hAnsi="Book Antiqua" w:hint="default"/>
          <w:rtl w:val="0"/>
          <w:lang w:val="it-IT"/>
        </w:rPr>
        <w:t>’</w:t>
      </w:r>
      <w:r>
        <w:rPr>
          <w:rFonts w:ascii="Book Antiqua"/>
          <w:rtl w:val="0"/>
          <w:lang w:val="it-IT"/>
        </w:rPr>
        <w:t>emergenza ambientale nel territorio della regione Lazio n. 15 dell</w:t>
      </w:r>
      <w:r>
        <w:rPr>
          <w:rFonts w:hAnsi="Book Antiqua" w:hint="default"/>
          <w:rtl w:val="0"/>
          <w:lang w:val="it-IT"/>
        </w:rPr>
        <w:t>’</w:t>
      </w:r>
      <w:r>
        <w:rPr>
          <w:rFonts w:ascii="Book Antiqua"/>
          <w:rtl w:val="0"/>
          <w:lang w:val="it-IT"/>
        </w:rPr>
        <w:t>11 marzo 2005.</w:t>
      </w:r>
    </w:p>
    <w:p>
      <w:pPr>
        <w:pStyle w:val="Normal"/>
        <w:ind w:left="567" w:right="567" w:firstLine="0"/>
        <w:jc w:val="both"/>
        <w:rPr>
          <w:rFonts w:ascii="Book Antiqua" w:cs="Book Antiqua" w:hAnsi="Book Antiqua" w:eastAsia="Book Antiqua"/>
        </w:rPr>
      </w:pPr>
      <w:r>
        <w:rPr>
          <w:rFonts w:ascii="Book Antiqua"/>
          <w:rtl w:val="0"/>
          <w:lang w:val="it-IT"/>
        </w:rPr>
        <w:t>La E.Giovi (con nota prot. n. 59 del 31 marzo 2011) aveva successivamente presentato un</w:t>
      </w:r>
      <w:r>
        <w:rPr>
          <w:rFonts w:hAnsi="Book Antiqua" w:hint="default"/>
          <w:rtl w:val="0"/>
          <w:lang w:val="it-IT"/>
        </w:rPr>
        <w:t>’</w:t>
      </w:r>
      <w:r>
        <w:rPr>
          <w:rFonts w:ascii="Book Antiqua"/>
          <w:rtl w:val="0"/>
          <w:lang w:val="it-IT"/>
        </w:rPr>
        <w:t>istanza di revisione tariffaria integrando la documentazione a consuntivo sui costi sostenuti nell</w:t>
      </w:r>
      <w:r>
        <w:rPr>
          <w:rFonts w:hAnsi="Book Antiqua" w:hint="default"/>
          <w:rtl w:val="0"/>
          <w:lang w:val="it-IT"/>
        </w:rPr>
        <w:t>’</w:t>
      </w:r>
      <w:r>
        <w:rPr>
          <w:rFonts w:ascii="Book Antiqua"/>
          <w:rtl w:val="0"/>
          <w:lang w:val="it-IT"/>
        </w:rPr>
        <w:t>anno 2009, prevedendo una tariffa di accesso ai due TMB pari ad euro 121,84/t. Come previsto dal decreto commissariale del 2005, la societ</w:t>
      </w:r>
      <w:r>
        <w:rPr>
          <w:rFonts w:hAnsi="Book Antiqua" w:hint="default"/>
          <w:rtl w:val="0"/>
          <w:lang w:val="it-IT"/>
        </w:rPr>
        <w:t xml:space="preserve">à </w:t>
      </w:r>
      <w:r>
        <w:rPr>
          <w:rFonts w:ascii="Book Antiqua"/>
          <w:rtl w:val="0"/>
          <w:lang w:val="it-IT"/>
        </w:rPr>
        <w:t>Ria &amp; Patners S.p.A. ha analizzato e certificato la veridicit</w:t>
      </w:r>
      <w:r>
        <w:rPr>
          <w:rFonts w:hAnsi="Book Antiqua" w:hint="default"/>
          <w:rtl w:val="0"/>
          <w:lang w:val="it-IT"/>
        </w:rPr>
        <w:t xml:space="preserve">à </w:t>
      </w:r>
      <w:r>
        <w:rPr>
          <w:rFonts w:ascii="Book Antiqua"/>
          <w:rtl w:val="0"/>
          <w:lang w:val="it-IT"/>
        </w:rPr>
        <w:t>dei costi dichiarati entrambe le istanze presentate dalla E. Giovi. La regione Lazio, ritenendo di non avere al proprio interno professionalit</w:t>
      </w:r>
      <w:r>
        <w:rPr>
          <w:rFonts w:hAnsi="Book Antiqua" w:hint="default"/>
          <w:rtl w:val="0"/>
          <w:lang w:val="it-IT"/>
        </w:rPr>
        <w:t xml:space="preserve">à </w:t>
      </w:r>
      <w:r>
        <w:rPr>
          <w:rFonts w:ascii="Book Antiqua"/>
          <w:rtl w:val="0"/>
          <w:lang w:val="it-IT"/>
        </w:rPr>
        <w:t>adeguate per svolgere l</w:t>
      </w:r>
      <w:r>
        <w:rPr>
          <w:rFonts w:hAnsi="Book Antiqua" w:hint="default"/>
          <w:rtl w:val="0"/>
          <w:lang w:val="it-IT"/>
        </w:rPr>
        <w:t>’</w:t>
      </w:r>
      <w:r>
        <w:rPr>
          <w:rFonts w:ascii="Book Antiqua"/>
          <w:rtl w:val="0"/>
          <w:lang w:val="it-IT"/>
        </w:rPr>
        <w:t>attivit</w:t>
      </w:r>
      <w:r>
        <w:rPr>
          <w:rFonts w:hAnsi="Book Antiqua" w:hint="default"/>
          <w:rtl w:val="0"/>
          <w:lang w:val="it-IT"/>
        </w:rPr>
        <w:t>à</w:t>
      </w:r>
      <w:r>
        <w:rPr>
          <w:rFonts w:ascii="Book Antiqua"/>
          <w:rtl w:val="0"/>
          <w:lang w:val="it-IT"/>
        </w:rPr>
        <w:t>, ha incaricato la societ</w:t>
      </w:r>
      <w:r>
        <w:rPr>
          <w:rFonts w:hAnsi="Book Antiqua" w:hint="default"/>
          <w:rtl w:val="0"/>
          <w:lang w:val="it-IT"/>
        </w:rPr>
        <w:t xml:space="preserve">à </w:t>
      </w:r>
      <w:r>
        <w:rPr>
          <w:rFonts w:ascii="Book Antiqua"/>
          <w:rtl w:val="0"/>
          <w:lang w:val="it-IT"/>
        </w:rPr>
        <w:t>Sviluppo Lazio S.p.A. di effettuare la consulenza per la pre-istruttoria per la valutazione di conformit</w:t>
      </w:r>
      <w:r>
        <w:rPr>
          <w:rFonts w:hAnsi="Book Antiqua" w:hint="default"/>
          <w:rtl w:val="0"/>
          <w:lang w:val="it-IT"/>
        </w:rPr>
        <w:t xml:space="preserve">à </w:t>
      </w:r>
      <w:r>
        <w:rPr>
          <w:rFonts w:ascii="Book Antiqua"/>
          <w:rtl w:val="0"/>
          <w:lang w:val="it-IT"/>
        </w:rPr>
        <w:t>del calcolo economico e finanziario ai fini della determinazione delle tariffe di accesso ai due impianti di trattamento dei rifiuti urbani. Le risultanze delle valutazioni  di Sviluppo Lazio S.p.A. sono state trasmesse alla regione Lazio (nota prot. n. 2011/0013208 del 25 luglio 2011), allegando la relazione redatta dai dott. Paolo Pelino e Andrea Pirrottina, iscritti all</w:t>
      </w:r>
      <w:r>
        <w:rPr>
          <w:rFonts w:hAnsi="Book Antiqua" w:hint="default"/>
          <w:rtl w:val="0"/>
          <w:lang w:val="it-IT"/>
        </w:rPr>
        <w:t>’</w:t>
      </w:r>
      <w:r>
        <w:rPr>
          <w:rFonts w:ascii="Book Antiqua"/>
          <w:rtl w:val="0"/>
          <w:lang w:val="it-IT"/>
        </w:rPr>
        <w:t xml:space="preserve">Albo dei Dottori commercialisti di Roma ed al registro dei revisori contabili. A conclusione del procedimento, tenendo conto della pre-istruttoria prodotta dalla Sviluppo Lazio S.p.A., la regione Lazio ha fissato la tariffa di accesso ai due TMB 1 e TMB 2 pari ad euro 99,14/tonnellata di rifiuto urbano, al netto di ecotassa, benefit ambientale ed IVA (qualora dovuti), con determina n. B7190 del 20 settembre 2011. </w:t>
      </w:r>
    </w:p>
    <w:p>
      <w:pPr>
        <w:pStyle w:val="Normal"/>
        <w:ind w:left="567" w:right="567" w:firstLine="0"/>
        <w:jc w:val="both"/>
        <w:rPr>
          <w:rFonts w:ascii="Book Antiqua" w:cs="Book Antiqua" w:hAnsi="Book Antiqua" w:eastAsia="Book Antiqua"/>
        </w:rPr>
      </w:pPr>
      <w:r>
        <w:rPr>
          <w:rFonts w:ascii="Book Antiqua"/>
          <w:rtl w:val="0"/>
          <w:lang w:val="it-IT"/>
        </w:rPr>
        <w:t>La societ</w:t>
      </w:r>
      <w:r>
        <w:rPr>
          <w:rFonts w:hAnsi="Book Antiqua" w:hint="default"/>
          <w:rtl w:val="0"/>
          <w:lang w:val="it-IT"/>
        </w:rPr>
        <w:t xml:space="preserve">à </w:t>
      </w:r>
      <w:r>
        <w:rPr>
          <w:rFonts w:ascii="Book Antiqua"/>
          <w:rtl w:val="0"/>
          <w:lang w:val="it-IT"/>
        </w:rPr>
        <w:t>E. Giovi ha proposto ricorso innanzi il TAR Lazio-Roma, R.G. n. 10469 del 2011, chiedendo l</w:t>
      </w:r>
      <w:r>
        <w:rPr>
          <w:rFonts w:hAnsi="Book Antiqua" w:hint="default"/>
          <w:rtl w:val="0"/>
          <w:lang w:val="it-IT"/>
        </w:rPr>
        <w:t>’</w:t>
      </w:r>
      <w:r>
        <w:rPr>
          <w:rFonts w:ascii="Book Antiqua"/>
          <w:rtl w:val="0"/>
          <w:lang w:val="it-IT"/>
        </w:rPr>
        <w:t>annullamento della suddetta determina e la condanna della regione Lazio al risarcimento del danno con interessi e rivalutazione monetaria.</w:t>
      </w:r>
    </w:p>
    <w:p>
      <w:pPr>
        <w:pStyle w:val="Normal"/>
        <w:ind w:left="567" w:right="567" w:firstLine="0"/>
        <w:jc w:val="both"/>
        <w:rPr>
          <w:rFonts w:ascii="Book Antiqua" w:cs="Book Antiqua" w:hAnsi="Book Antiqua" w:eastAsia="Book Antiqua"/>
        </w:rPr>
      </w:pPr>
      <w:r>
        <w:rPr>
          <w:rFonts w:ascii="Book Antiqua"/>
          <w:rtl w:val="0"/>
          <w:lang w:val="it-IT"/>
        </w:rPr>
        <w:t xml:space="preserve">Come si </w:t>
      </w:r>
      <w:r>
        <w:rPr>
          <w:rFonts w:hAnsi="Book Antiqua" w:hint="default"/>
          <w:rtl w:val="0"/>
          <w:lang w:val="it-IT"/>
        </w:rPr>
        <w:t xml:space="preserve">è </w:t>
      </w:r>
      <w:r>
        <w:rPr>
          <w:rFonts w:ascii="Book Antiqua"/>
          <w:rtl w:val="0"/>
          <w:lang w:val="it-IT"/>
        </w:rPr>
        <w:t>detto in apertura, il TAR Lazio, con sentenza n. 3441 del 2012, ha annullato i provvedimenti impugnati, ed in particolare la determina n. B 7190 del 20 settembre 2011 della regione Lazio, avendo ritenuto che la  determinazione della tariffa di accesso ai due TMB fosse stata stabilita esclusivamente in base alle valutazioni contenute nella relazione dei due professionisti dott. Pelino e dott. Pirrottina soggetti estranei alla direzione regionale competente senza la previa certificazione della eccezionale mancanza di idonee competenze all</w:t>
      </w:r>
      <w:r>
        <w:rPr>
          <w:rFonts w:hAnsi="Book Antiqua" w:hint="default"/>
          <w:rtl w:val="0"/>
          <w:lang w:val="it-IT"/>
        </w:rPr>
        <w:t>’</w:t>
      </w:r>
      <w:r>
        <w:rPr>
          <w:rFonts w:ascii="Book Antiqua"/>
          <w:rtl w:val="0"/>
          <w:lang w:val="it-IT"/>
        </w:rPr>
        <w:t xml:space="preserve">interno della struttura pubblica. </w:t>
      </w:r>
    </w:p>
    <w:p>
      <w:pPr>
        <w:pStyle w:val="Normal"/>
        <w:ind w:left="567" w:right="567" w:firstLine="0"/>
        <w:jc w:val="both"/>
        <w:rPr>
          <w:rFonts w:ascii="Book Antiqua" w:cs="Book Antiqua" w:hAnsi="Book Antiqua" w:eastAsia="Book Antiqua"/>
        </w:rPr>
      </w:pPr>
      <w:r>
        <w:rPr>
          <w:rFonts w:ascii="Book Antiqua"/>
          <w:rtl w:val="0"/>
          <w:lang w:val="it-IT"/>
        </w:rPr>
        <w:t>L</w:t>
      </w:r>
      <w:r>
        <w:rPr>
          <w:rFonts w:hAnsi="Book Antiqua" w:hint="default"/>
          <w:rtl w:val="0"/>
          <w:lang w:val="it-IT"/>
        </w:rPr>
        <w:t>’</w:t>
      </w:r>
      <w:r>
        <w:rPr>
          <w:rFonts w:ascii="Book Antiqua"/>
          <w:rtl w:val="0"/>
          <w:lang w:val="it-IT"/>
        </w:rPr>
        <w:t>AMA S.p.A., con ricorso r.g. 9126 del 2014, ha quindi impugnato la sentenza del TAR Lazio n. 3441 del 2012 innanzi il Consiglio di Stato.</w:t>
      </w:r>
    </w:p>
    <w:p>
      <w:pPr>
        <w:pStyle w:val="Normal"/>
        <w:ind w:left="567" w:right="567" w:firstLine="0"/>
        <w:jc w:val="both"/>
        <w:rPr>
          <w:rFonts w:ascii="Book Antiqua" w:cs="Book Antiqua" w:hAnsi="Book Antiqua" w:eastAsia="Book Antiqua"/>
        </w:rPr>
      </w:pPr>
      <w:r>
        <w:rPr>
          <w:rFonts w:ascii="Book Antiqua"/>
          <w:rtl w:val="0"/>
          <w:lang w:val="it-IT"/>
        </w:rPr>
        <w:t>Il presidente del Consiglio di Stato, sez. V, con ordinanza n. 5750 del 2014, ha incaricato il direttore della direzione generale per i rifiuti e l</w:t>
      </w:r>
      <w:r>
        <w:rPr>
          <w:rFonts w:hAnsi="Book Antiqua" w:hint="default"/>
          <w:rtl w:val="0"/>
          <w:lang w:val="it-IT"/>
        </w:rPr>
        <w:t>’</w:t>
      </w:r>
      <w:r>
        <w:rPr>
          <w:rFonts w:ascii="Book Antiqua"/>
          <w:rtl w:val="0"/>
          <w:lang w:val="it-IT"/>
        </w:rPr>
        <w:t>inquinamento (ex direzione generale per la tutela del territorio e delle risorse idriche) del Ministero dell</w:t>
      </w:r>
      <w:r>
        <w:rPr>
          <w:rFonts w:hAnsi="Book Antiqua" w:hint="default"/>
          <w:rtl w:val="0"/>
          <w:lang w:val="it-IT"/>
        </w:rPr>
        <w:t>’</w:t>
      </w:r>
      <w:r>
        <w:rPr>
          <w:rFonts w:ascii="Book Antiqua"/>
          <w:rtl w:val="0"/>
          <w:lang w:val="it-IT"/>
        </w:rPr>
        <w:t>ambiente, di eseguire una verificazione, ai sensi dell</w:t>
      </w:r>
      <w:r>
        <w:rPr>
          <w:rFonts w:hAnsi="Book Antiqua" w:hint="default"/>
          <w:rtl w:val="0"/>
          <w:lang w:val="it-IT"/>
        </w:rPr>
        <w:t>’</w:t>
      </w:r>
      <w:r>
        <w:rPr>
          <w:rFonts w:ascii="Book Antiqua"/>
          <w:rtl w:val="0"/>
          <w:lang w:val="it-IT"/>
        </w:rPr>
        <w:t>articolo 66 del codice del processo amministrativo, al fine di accertare la determinazione delle tariffa di accesso ai due impianti di trattamento meccanico biologico, denominati Malagrotta 1 e Malagrotta 2 (in seguito rispettivamente TMB 1 e TMB 2), di rispondere ai seguenti quesiti, utilizzando la disciplina vigente ed in particolare il decreto del commissario delegato per l</w:t>
      </w:r>
      <w:r>
        <w:rPr>
          <w:rFonts w:hAnsi="Book Antiqua" w:hint="default"/>
          <w:rtl w:val="0"/>
          <w:lang w:val="it-IT"/>
        </w:rPr>
        <w:t>’</w:t>
      </w:r>
      <w:r>
        <w:rPr>
          <w:rFonts w:ascii="Book Antiqua"/>
          <w:rtl w:val="0"/>
          <w:lang w:val="it-IT"/>
        </w:rPr>
        <w:t>emergenza ambientale n. 15 dell</w:t>
      </w:r>
      <w:r>
        <w:rPr>
          <w:rFonts w:hAnsi="Book Antiqua" w:hint="default"/>
          <w:rtl w:val="0"/>
          <w:lang w:val="it-IT"/>
        </w:rPr>
        <w:t>’</w:t>
      </w:r>
      <w:r>
        <w:rPr>
          <w:rFonts w:ascii="Book Antiqua"/>
          <w:rtl w:val="0"/>
          <w:lang w:val="it-IT"/>
        </w:rPr>
        <w:t>11 marzo 2005:</w:t>
      </w:r>
    </w:p>
    <w:p>
      <w:pPr>
        <w:pStyle w:val="Normal"/>
        <w:ind w:left="567" w:right="567" w:firstLine="0"/>
        <w:jc w:val="both"/>
        <w:rPr>
          <w:rFonts w:ascii="Book Antiqua" w:cs="Book Antiqua" w:hAnsi="Book Antiqua" w:eastAsia="Book Antiqua"/>
        </w:rPr>
      </w:pPr>
      <w:r>
        <w:rPr>
          <w:rFonts w:hAnsi="Book Antiqua" w:hint="default"/>
          <w:rtl w:val="0"/>
          <w:lang w:val="it-IT"/>
        </w:rPr>
        <w:t>“</w:t>
      </w:r>
      <w:r>
        <w:rPr>
          <w:rFonts w:ascii="Book Antiqua"/>
          <w:rtl w:val="0"/>
          <w:lang w:val="it-IT"/>
        </w:rPr>
        <w:t xml:space="preserve">a) se la determinazione della tariffa di accesso ai due impianti di Trattamento Meccanico Biologico (T.M.B.), denominati Malagrotta 1 e Malagrotta 2 contenuta nel provvedimento impugnato </w:t>
      </w:r>
      <w:r>
        <w:rPr>
          <w:rFonts w:hAnsi="Book Antiqua" w:hint="default"/>
          <w:rtl w:val="0"/>
          <w:lang w:val="it-IT"/>
        </w:rPr>
        <w:t xml:space="preserve">è </w:t>
      </w:r>
      <w:r>
        <w:rPr>
          <w:rFonts w:ascii="Book Antiqua"/>
          <w:rtl w:val="0"/>
          <w:lang w:val="it-IT"/>
        </w:rPr>
        <w:t>corretta in relazione alla durata complessiva prevista delle attivit</w:t>
      </w:r>
      <w:r>
        <w:rPr>
          <w:rFonts w:hAnsi="Book Antiqua" w:hint="default"/>
          <w:rtl w:val="0"/>
          <w:lang w:val="it-IT"/>
        </w:rPr>
        <w:t>à</w:t>
      </w:r>
      <w:r>
        <w:rPr>
          <w:rFonts w:ascii="Book Antiqua"/>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 xml:space="preserve">b) se la determinazione della tariffa di accesso ai due impianti di Trattamento Meccanico Biologico (T.M.B.), denominati Malagrotta 1 e Malagrotta 2 contenuta nel provvedimento impugnato </w:t>
      </w:r>
      <w:r>
        <w:rPr>
          <w:rFonts w:hAnsi="Book Antiqua" w:hint="default"/>
          <w:rtl w:val="0"/>
          <w:lang w:val="it-IT"/>
        </w:rPr>
        <w:t xml:space="preserve">è </w:t>
      </w:r>
      <w:r>
        <w:rPr>
          <w:rFonts w:ascii="Book Antiqua"/>
          <w:rtl w:val="0"/>
          <w:lang w:val="it-IT"/>
        </w:rPr>
        <w:t>corretta in relazione al valore dei terreni asserviti all</w:t>
      </w:r>
      <w:r>
        <w:rPr>
          <w:rFonts w:hAnsi="Book Antiqua" w:hint="default"/>
          <w:rtl w:val="0"/>
          <w:lang w:val="it-IT"/>
        </w:rPr>
        <w:t>’</w:t>
      </w:r>
      <w:r>
        <w:rPr>
          <w:rFonts w:ascii="Book Antiqua"/>
          <w:rtl w:val="0"/>
          <w:lang w:val="it-IT"/>
        </w:rPr>
        <w:t>esercizio dell</w:t>
      </w:r>
      <w:r>
        <w:rPr>
          <w:rFonts w:hAnsi="Book Antiqua" w:hint="default"/>
          <w:rtl w:val="0"/>
          <w:lang w:val="it-IT"/>
        </w:rPr>
        <w:t>’</w:t>
      </w:r>
      <w:r>
        <w:rPr>
          <w:rFonts w:ascii="Book Antiqua"/>
          <w:rtl w:val="0"/>
          <w:lang w:val="it-IT"/>
        </w:rPr>
        <w:t>attivit</w:t>
      </w:r>
      <w:r>
        <w:rPr>
          <w:rFonts w:hAnsi="Book Antiqua" w:hint="default"/>
          <w:rtl w:val="0"/>
          <w:lang w:val="it-IT"/>
        </w:rPr>
        <w:t xml:space="preserve">à </w:t>
      </w:r>
      <w:r>
        <w:rPr>
          <w:rFonts w:ascii="Book Antiqua"/>
          <w:rtl w:val="0"/>
          <w:lang w:val="it-IT"/>
        </w:rPr>
        <w:t>ed alla loro effettiva destinazione urbanistica;</w:t>
      </w:r>
    </w:p>
    <w:p>
      <w:pPr>
        <w:pStyle w:val="Normal"/>
        <w:ind w:left="567" w:right="567" w:firstLine="0"/>
        <w:jc w:val="both"/>
        <w:rPr>
          <w:rFonts w:ascii="Book Antiqua" w:cs="Book Antiqua" w:hAnsi="Book Antiqua" w:eastAsia="Book Antiqua"/>
        </w:rPr>
      </w:pPr>
      <w:r>
        <w:rPr>
          <w:rFonts w:ascii="Book Antiqua"/>
          <w:rtl w:val="0"/>
          <w:lang w:val="it-IT"/>
        </w:rPr>
        <w:t xml:space="preserve">c) se la determinazione della tariffa di accesso ai due impianti di Trattamento Meccanico Biologico (T.M.B.), denominati Malagrotta 1 e Malagrotta 2 contenuta nel provvedimento impugnato </w:t>
      </w:r>
      <w:r>
        <w:rPr>
          <w:rFonts w:hAnsi="Book Antiqua" w:hint="default"/>
          <w:rtl w:val="0"/>
          <w:lang w:val="it-IT"/>
        </w:rPr>
        <w:t xml:space="preserve">è </w:t>
      </w:r>
      <w:r>
        <w:rPr>
          <w:rFonts w:ascii="Book Antiqua"/>
          <w:rtl w:val="0"/>
          <w:lang w:val="it-IT"/>
        </w:rPr>
        <w:t>corretta in relazione ai costi di gestione;</w:t>
      </w:r>
    </w:p>
    <w:p>
      <w:pPr>
        <w:pStyle w:val="Normal"/>
        <w:ind w:left="567" w:right="567" w:firstLine="0"/>
        <w:jc w:val="both"/>
        <w:rPr>
          <w:rFonts w:ascii="Book Antiqua" w:cs="Book Antiqua" w:hAnsi="Book Antiqua" w:eastAsia="Book Antiqua"/>
        </w:rPr>
      </w:pPr>
      <w:r>
        <w:rPr>
          <w:rFonts w:ascii="Book Antiqua"/>
          <w:rtl w:val="0"/>
          <w:lang w:val="it-IT"/>
        </w:rPr>
        <w:t xml:space="preserve">d) se la determinazione della tariffa di accesso ai due impianti di Trattamento Meccanico Biologico (T.M.B.), denominati Malagrotta 1 e Malagrotta 2 contenuta nel provvedimento impugnato </w:t>
      </w:r>
      <w:r>
        <w:rPr>
          <w:rFonts w:hAnsi="Book Antiqua" w:hint="default"/>
          <w:rtl w:val="0"/>
          <w:lang w:val="it-IT"/>
        </w:rPr>
        <w:t xml:space="preserve">è </w:t>
      </w:r>
      <w:r>
        <w:rPr>
          <w:rFonts w:ascii="Book Antiqua"/>
          <w:rtl w:val="0"/>
          <w:lang w:val="it-IT"/>
        </w:rPr>
        <w:t>corretta in relazione alla remunerazione del capitale investito</w:t>
      </w:r>
      <w:r>
        <w:rPr>
          <w:rFonts w:hAnsi="Book Antiqua" w:hint="default"/>
          <w:rtl w:val="0"/>
          <w:lang w:val="it-IT"/>
        </w:rPr>
        <w:t>”</w:t>
      </w:r>
      <w:r>
        <w:rPr>
          <w:rFonts w:ascii="Book Antiqua"/>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Quanto al contenuto della verificazione, in premessa il collegio di verificazione ha ritenuto utile chiarire che il decreto commissariale n. 15 del 2005 stabilisce al punto 3 le modalit</w:t>
      </w:r>
      <w:r>
        <w:rPr>
          <w:rFonts w:hAnsi="Book Antiqua" w:hint="default"/>
          <w:rtl w:val="0"/>
          <w:lang w:val="it-IT"/>
        </w:rPr>
        <w:t xml:space="preserve">à </w:t>
      </w:r>
      <w:r>
        <w:rPr>
          <w:rFonts w:ascii="Book Antiqua"/>
          <w:rtl w:val="0"/>
          <w:lang w:val="it-IT"/>
        </w:rPr>
        <w:t>con le quali i soggetti interessati devono dichiarare i costi preventivi di investimento e di gestione operativa e, nel caso di impianti di discarica, post-operativa, nonch</w:t>
      </w:r>
      <w:r>
        <w:rPr>
          <w:rFonts w:hAnsi="Book Antiqua" w:hint="default"/>
          <w:rtl w:val="0"/>
          <w:lang w:val="it-IT"/>
        </w:rPr>
        <w:t xml:space="preserve">é </w:t>
      </w:r>
      <w:r>
        <w:rPr>
          <w:rFonts w:ascii="Book Antiqua"/>
          <w:rtl w:val="0"/>
          <w:lang w:val="it-IT"/>
        </w:rPr>
        <w:t xml:space="preserve">le caratteristiche tecniche dell'impianto stesso, compilando le tabelle di cui all'Appendice A e/o B del decreto stesso. </w:t>
      </w:r>
    </w:p>
    <w:p>
      <w:pPr>
        <w:pStyle w:val="Normal"/>
        <w:ind w:left="567" w:right="567" w:firstLine="0"/>
        <w:jc w:val="both"/>
        <w:rPr>
          <w:rFonts w:ascii="Book Antiqua" w:cs="Book Antiqua" w:hAnsi="Book Antiqua" w:eastAsia="Book Antiqua"/>
        </w:rPr>
      </w:pPr>
      <w:r>
        <w:rPr>
          <w:rFonts w:ascii="Book Antiqua"/>
          <w:rtl w:val="0"/>
          <w:lang w:val="it-IT"/>
        </w:rPr>
        <w:t xml:space="preserve">Nel dettaglio: </w:t>
      </w:r>
    </w:p>
    <w:p>
      <w:pPr>
        <w:pStyle w:val="Normal"/>
        <w:ind w:left="567" w:right="567" w:firstLine="0"/>
        <w:jc w:val="both"/>
        <w:rPr>
          <w:rFonts w:ascii="Book Antiqua" w:cs="Book Antiqua" w:hAnsi="Book Antiqua" w:eastAsia="Book Antiqua"/>
        </w:rPr>
      </w:pPr>
      <w:r>
        <w:rPr>
          <w:rFonts w:hAnsi="Book Antiqua" w:hint="default"/>
          <w:rtl w:val="0"/>
          <w:lang w:val="it-IT"/>
        </w:rPr>
        <w:t>“</w:t>
      </w:r>
      <w:r>
        <w:rPr>
          <w:rFonts w:ascii="Book Antiqua"/>
          <w:rtl w:val="0"/>
          <w:lang w:val="it-IT"/>
        </w:rPr>
        <w:t xml:space="preserve">I soggetti interessati ai soli impianti di discarica dovranno compilare le tabelle dell'allegato A. </w:t>
      </w:r>
    </w:p>
    <w:p>
      <w:pPr>
        <w:pStyle w:val="Normal"/>
        <w:ind w:left="567" w:right="567" w:firstLine="0"/>
        <w:jc w:val="both"/>
        <w:rPr>
          <w:rFonts w:ascii="Book Antiqua" w:cs="Book Antiqua" w:hAnsi="Book Antiqua" w:eastAsia="Book Antiqua"/>
        </w:rPr>
      </w:pPr>
      <w:r>
        <w:rPr>
          <w:rFonts w:ascii="Book Antiqua"/>
          <w:rtl w:val="0"/>
          <w:lang w:val="it-IT"/>
        </w:rPr>
        <w:t>I soggetti interessati ai soli impianti di trattamento dovranno compilare le tabelle dell'allegato B. Per quanto attiene ai costi di avvio a discarica dei materiali in uscita dalla selezione dovranno fare riferimento a quanto definito dal gestore in ottemperanza alla procedura di cui al punto precedente.</w:t>
      </w:r>
    </w:p>
    <w:p>
      <w:pPr>
        <w:pStyle w:val="Normal"/>
        <w:ind w:left="567" w:right="567" w:firstLine="0"/>
        <w:jc w:val="both"/>
        <w:rPr>
          <w:rFonts w:ascii="Book Antiqua" w:cs="Book Antiqua" w:hAnsi="Book Antiqua" w:eastAsia="Book Antiqua"/>
        </w:rPr>
      </w:pPr>
      <w:r>
        <w:rPr>
          <w:rFonts w:ascii="Book Antiqua"/>
          <w:rtl w:val="0"/>
          <w:lang w:val="it-IT"/>
        </w:rPr>
        <w:t>I soggetti interessati a complessi impiantistici composti da impianti di trattamento e impianto di discarica dovranno compilare le tabelle di entrambi gli allegati.</w:t>
      </w:r>
      <w:r>
        <w:rPr>
          <w:rFonts w:hAnsi="Book Antiqua" w:hint="default"/>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Nel caso oggetto di verificazione  il procedimento prevede la rideterminazione della tariffa di accesso agli impianti TMB 1 e TMB 2, ma nello stesso sito come pi</w:t>
      </w:r>
      <w:r>
        <w:rPr>
          <w:rFonts w:hAnsi="Book Antiqua" w:hint="default"/>
          <w:rtl w:val="0"/>
          <w:lang w:val="it-IT"/>
        </w:rPr>
        <w:t xml:space="preserve">ù </w:t>
      </w:r>
      <w:r>
        <w:rPr>
          <w:rFonts w:ascii="Book Antiqua"/>
          <w:rtl w:val="0"/>
          <w:lang w:val="it-IT"/>
        </w:rPr>
        <w:t xml:space="preserve">volte evidenziato dallo stesso gestore insiste anche la discarica da esso gestita. </w:t>
      </w:r>
    </w:p>
    <w:p>
      <w:pPr>
        <w:pStyle w:val="Normal"/>
        <w:ind w:left="567" w:right="567" w:firstLine="0"/>
        <w:jc w:val="both"/>
        <w:rPr>
          <w:rFonts w:ascii="Book Antiqua" w:cs="Book Antiqua" w:hAnsi="Book Antiqua" w:eastAsia="Book Antiqua"/>
        </w:rPr>
      </w:pPr>
      <w:r>
        <w:rPr>
          <w:rFonts w:ascii="Book Antiqua"/>
          <w:rtl w:val="0"/>
          <w:lang w:val="it-IT"/>
        </w:rPr>
        <w:t xml:space="preserve">In tale caso, la norma avrebbe voluto che la definizione della tariffa avvenisse sulla base dei costi di investimento e di gestione operativa dichiarati dal soggetto gestore per entrambe le tipologie di impianto (trattamento e discarica) attraverso la compilazione di tutte le tabelle previste da entrambe le appendici (A e B). Solo in tal modo, infatti, sarebbe stato possibile assicurare la coerenza della dichiarazione dei costi attestati dal soggetto gestore, evitando anche eventuali possibili duplicazioni di voci di costo. </w:t>
      </w:r>
    </w:p>
    <w:p>
      <w:pPr>
        <w:pStyle w:val="Normal"/>
        <w:ind w:left="567" w:right="567" w:firstLine="0"/>
        <w:jc w:val="both"/>
        <w:rPr>
          <w:rFonts w:ascii="Book Antiqua" w:cs="Book Antiqua" w:hAnsi="Book Antiqua" w:eastAsia="Book Antiqua"/>
        </w:rPr>
      </w:pPr>
      <w:r>
        <w:rPr>
          <w:rFonts w:ascii="Book Antiqua"/>
          <w:rtl w:val="0"/>
          <w:lang w:val="it-IT"/>
        </w:rPr>
        <w:t>E. Giovi, pertanto, avrebbe dovuto presentare un</w:t>
      </w:r>
      <w:r>
        <w:rPr>
          <w:rFonts w:hAnsi="Book Antiqua" w:hint="default"/>
          <w:rtl w:val="0"/>
          <w:lang w:val="it-IT"/>
        </w:rPr>
        <w:t>’</w:t>
      </w:r>
      <w:r>
        <w:rPr>
          <w:rFonts w:ascii="Book Antiqua"/>
          <w:rtl w:val="0"/>
          <w:lang w:val="it-IT"/>
        </w:rPr>
        <w:t>unica istanza di revisione della tariffa in quanto proprietaria sia dei due TMB che della discarica, compilando sia le tabelle dell</w:t>
      </w:r>
      <w:r>
        <w:rPr>
          <w:rFonts w:hAnsi="Book Antiqua" w:hint="default"/>
          <w:rtl w:val="0"/>
          <w:lang w:val="it-IT"/>
        </w:rPr>
        <w:t>’</w:t>
      </w:r>
      <w:r>
        <w:rPr>
          <w:rFonts w:ascii="Book Antiqua"/>
          <w:rtl w:val="0"/>
          <w:lang w:val="it-IT"/>
        </w:rPr>
        <w:t>Appendice A che quelle dell</w:t>
      </w:r>
      <w:r>
        <w:rPr>
          <w:rFonts w:hAnsi="Book Antiqua" w:hint="default"/>
          <w:rtl w:val="0"/>
          <w:lang w:val="it-IT"/>
        </w:rPr>
        <w:t>’</w:t>
      </w:r>
      <w:r>
        <w:rPr>
          <w:rFonts w:ascii="Book Antiqua"/>
          <w:rtl w:val="0"/>
          <w:lang w:val="it-IT"/>
        </w:rPr>
        <w:t xml:space="preserve">Appendice B, in quanto si trattava di </w:t>
      </w:r>
      <w:r>
        <w:rPr>
          <w:rFonts w:hAnsi="Book Antiqua" w:hint="default"/>
          <w:rtl w:val="0"/>
          <w:lang w:val="it-IT"/>
        </w:rPr>
        <w:t>“</w:t>
      </w:r>
      <w:r>
        <w:rPr>
          <w:rFonts w:ascii="Book Antiqua"/>
          <w:rtl w:val="0"/>
          <w:lang w:val="it-IT"/>
        </w:rPr>
        <w:t>complessi impiantistici composti da impianto di trattamento e da impianto di discarica</w:t>
      </w:r>
      <w:r>
        <w:rPr>
          <w:rFonts w:hAnsi="Book Antiqua" w:hint="default"/>
          <w:rtl w:val="0"/>
          <w:lang w:val="it-IT"/>
        </w:rPr>
        <w:t>”</w:t>
      </w:r>
      <w:r>
        <w:rPr>
          <w:rFonts w:ascii="Book Antiqua"/>
          <w:rtl w:val="0"/>
          <w:lang w:val="it-IT"/>
        </w:rPr>
        <w:t>. Al contrario la societ</w:t>
      </w:r>
      <w:r>
        <w:rPr>
          <w:rFonts w:hAnsi="Book Antiqua" w:hint="default"/>
          <w:rtl w:val="0"/>
          <w:lang w:val="it-IT"/>
        </w:rPr>
        <w:t xml:space="preserve">à </w:t>
      </w:r>
      <w:r>
        <w:rPr>
          <w:rFonts w:ascii="Book Antiqua"/>
          <w:rtl w:val="0"/>
          <w:lang w:val="it-IT"/>
        </w:rPr>
        <w:t>ha presentato istanze di rideterminazione della tariffa in maniera autonoma per la discarica e per gli impianti di trattamento, anche se in tempi pressoch</w:t>
      </w:r>
      <w:r>
        <w:rPr>
          <w:rFonts w:hAnsi="Book Antiqua" w:hint="default"/>
          <w:rtl w:val="0"/>
          <w:lang w:val="it-IT"/>
        </w:rPr>
        <w:t xml:space="preserve">é </w:t>
      </w:r>
      <w:r>
        <w:rPr>
          <w:rFonts w:ascii="Book Antiqua"/>
          <w:rtl w:val="0"/>
          <w:lang w:val="it-IT"/>
        </w:rPr>
        <w:t xml:space="preserve">coincidenti (15 dicembre 2010 per gli impianti di trattamento e 13 dicembre 2010 per la discarica). </w:t>
      </w:r>
    </w:p>
    <w:p>
      <w:pPr>
        <w:pStyle w:val="Normal"/>
        <w:ind w:left="567" w:right="567" w:firstLine="0"/>
        <w:jc w:val="both"/>
        <w:rPr>
          <w:rFonts w:ascii="Book Antiqua" w:cs="Book Antiqua" w:hAnsi="Book Antiqua" w:eastAsia="Book Antiqua"/>
        </w:rPr>
      </w:pPr>
      <w:r>
        <w:rPr>
          <w:rFonts w:ascii="Book Antiqua"/>
          <w:rtl w:val="0"/>
          <w:lang w:val="it-IT"/>
        </w:rPr>
        <w:t>Tanto premesso, visto che l</w:t>
      </w:r>
      <w:r>
        <w:rPr>
          <w:rFonts w:hAnsi="Book Antiqua" w:hint="default"/>
          <w:rtl w:val="0"/>
          <w:lang w:val="it-IT"/>
        </w:rPr>
        <w:t>’</w:t>
      </w:r>
      <w:r>
        <w:rPr>
          <w:rFonts w:ascii="Book Antiqua"/>
          <w:rtl w:val="0"/>
          <w:lang w:val="it-IT"/>
        </w:rPr>
        <w:t>istanza oggetto di determinazione regionale attiene alla revisione della tariffa di accesso al TMB 1 e al TMB 2, necessariamente la verificazione ha potuto considerare solo l</w:t>
      </w:r>
      <w:r>
        <w:rPr>
          <w:rFonts w:hAnsi="Book Antiqua" w:hint="default"/>
          <w:rtl w:val="0"/>
          <w:lang w:val="it-IT"/>
        </w:rPr>
        <w:t>’</w:t>
      </w:r>
      <w:r>
        <w:rPr>
          <w:rFonts w:ascii="Book Antiqua"/>
          <w:rtl w:val="0"/>
          <w:lang w:val="it-IT"/>
        </w:rPr>
        <w:t xml:space="preserve">Appendice B del Decreto commissariale. </w:t>
      </w:r>
    </w:p>
    <w:p>
      <w:pPr>
        <w:pStyle w:val="Normal"/>
        <w:ind w:left="567" w:right="567" w:firstLine="0"/>
        <w:jc w:val="both"/>
        <w:rPr>
          <w:rFonts w:ascii="Book Antiqua" w:cs="Book Antiqua" w:hAnsi="Book Antiqua" w:eastAsia="Book Antiqua"/>
        </w:rPr>
      </w:pPr>
      <w:r>
        <w:rPr>
          <w:rFonts w:ascii="Book Antiqua"/>
          <w:rtl w:val="0"/>
          <w:lang w:val="it-IT"/>
        </w:rPr>
        <w:t>Con riferimento al primo quesito di verificazione l</w:t>
      </w:r>
      <w:r>
        <w:rPr>
          <w:rFonts w:hAnsi="Book Antiqua" w:hint="default"/>
          <w:rtl w:val="0"/>
          <w:lang w:val="it-IT"/>
        </w:rPr>
        <w:t>’</w:t>
      </w:r>
      <w:r>
        <w:rPr>
          <w:rFonts w:ascii="Book Antiqua"/>
          <w:rtl w:val="0"/>
          <w:lang w:val="it-IT"/>
        </w:rPr>
        <w:t xml:space="preserve">analisi ha riguardato la </w:t>
      </w:r>
      <w:r>
        <w:rPr>
          <w:rFonts w:hAnsi="Book Antiqua" w:hint="default"/>
          <w:rtl w:val="0"/>
          <w:lang w:val="it-IT"/>
        </w:rPr>
        <w:t>“</w:t>
      </w:r>
      <w:r>
        <w:rPr>
          <w:rFonts w:ascii="Book Antiqua"/>
          <w:rtl w:val="0"/>
          <w:lang w:val="it-IT"/>
        </w:rPr>
        <w:t>durata complessiva prevista delle attivit</w:t>
      </w:r>
      <w:r>
        <w:rPr>
          <w:rFonts w:hAnsi="Book Antiqua" w:hint="default"/>
          <w:rtl w:val="0"/>
          <w:lang w:val="it-IT"/>
        </w:rPr>
        <w:t xml:space="preserve">à” </w:t>
      </w:r>
      <w:r>
        <w:rPr>
          <w:rFonts w:ascii="Book Antiqua"/>
          <w:rtl w:val="0"/>
          <w:lang w:val="it-IT"/>
        </w:rPr>
        <w:t>nella misura in cui tale durata avrebbe inciso sul calcolo tariffario in quanto parametro temporale utilizzato ai fini della determinazione delle aliquote di ammortamento e del valore annuo dell</w:t>
      </w:r>
      <w:r>
        <w:rPr>
          <w:rFonts w:hAnsi="Book Antiqua" w:hint="default"/>
          <w:rtl w:val="0"/>
          <w:lang w:val="it-IT"/>
        </w:rPr>
        <w:t>’</w:t>
      </w:r>
      <w:r>
        <w:rPr>
          <w:rFonts w:ascii="Book Antiqua"/>
          <w:rtl w:val="0"/>
          <w:lang w:val="it-IT"/>
        </w:rPr>
        <w:t>ammortamento delle voci di costo.</w:t>
      </w:r>
    </w:p>
    <w:p>
      <w:pPr>
        <w:pStyle w:val="Normal"/>
        <w:ind w:left="567" w:right="567" w:firstLine="0"/>
        <w:jc w:val="both"/>
        <w:rPr>
          <w:rFonts w:ascii="Book Antiqua" w:cs="Book Antiqua" w:hAnsi="Book Antiqua" w:eastAsia="Book Antiqua"/>
        </w:rPr>
      </w:pPr>
      <w:r>
        <w:rPr>
          <w:rFonts w:ascii="Book Antiqua"/>
          <w:rtl w:val="0"/>
          <w:lang w:val="it-IT"/>
        </w:rPr>
        <w:t>Il verificatore chiarisce che l</w:t>
      </w:r>
      <w:r>
        <w:rPr>
          <w:rFonts w:hAnsi="Book Antiqua" w:hint="default"/>
          <w:rtl w:val="0"/>
          <w:lang w:val="it-IT"/>
        </w:rPr>
        <w:t>’</w:t>
      </w:r>
      <w:r>
        <w:rPr>
          <w:rFonts w:ascii="Book Antiqua"/>
          <w:rtl w:val="0"/>
          <w:lang w:val="it-IT"/>
        </w:rPr>
        <w:t>aliquota (o coefficiente) di ammortamento nell</w:t>
      </w:r>
      <w:r>
        <w:rPr>
          <w:rFonts w:hAnsi="Book Antiqua" w:hint="default"/>
          <w:rtl w:val="0"/>
          <w:lang w:val="it-IT"/>
        </w:rPr>
        <w:t>’</w:t>
      </w:r>
      <w:r>
        <w:rPr>
          <w:rFonts w:ascii="Book Antiqua"/>
          <w:rtl w:val="0"/>
          <w:lang w:val="it-IT"/>
        </w:rPr>
        <w:t xml:space="preserve">ambito della normativa contabile nazionale (decreto legislativo 127/1991) ed internazionale (principi contabili IAS/IFRS), </w:t>
      </w:r>
      <w:r>
        <w:rPr>
          <w:rFonts w:hAnsi="Book Antiqua" w:hint="default"/>
          <w:rtl w:val="0"/>
          <w:lang w:val="it-IT"/>
        </w:rPr>
        <w:t xml:space="preserve">è </w:t>
      </w:r>
      <w:r>
        <w:rPr>
          <w:rFonts w:ascii="Book Antiqua"/>
          <w:rtl w:val="0"/>
          <w:lang w:val="it-IT"/>
        </w:rPr>
        <w:t xml:space="preserve">commisurata alla </w:t>
      </w:r>
      <w:r>
        <w:rPr>
          <w:rFonts w:hAnsi="Book Antiqua" w:hint="default"/>
          <w:rtl w:val="0"/>
          <w:lang w:val="it-IT"/>
        </w:rPr>
        <w:t>“</w:t>
      </w:r>
      <w:r>
        <w:rPr>
          <w:rFonts w:ascii="Book Antiqua"/>
          <w:rtl w:val="0"/>
          <w:lang w:val="it-IT"/>
        </w:rPr>
        <w:t>residua possibilit</w:t>
      </w:r>
      <w:r>
        <w:rPr>
          <w:rFonts w:hAnsi="Book Antiqua" w:hint="default"/>
          <w:rtl w:val="0"/>
          <w:lang w:val="it-IT"/>
        </w:rPr>
        <w:t xml:space="preserve">à </w:t>
      </w:r>
      <w:r>
        <w:rPr>
          <w:rFonts w:ascii="Book Antiqua"/>
          <w:rtl w:val="0"/>
          <w:lang w:val="it-IT"/>
        </w:rPr>
        <w:t>di utilizzazione</w:t>
      </w:r>
      <w:r>
        <w:rPr>
          <w:rFonts w:hAnsi="Book Antiqua" w:hint="default"/>
          <w:rtl w:val="0"/>
          <w:lang w:val="it-IT"/>
        </w:rPr>
        <w:t xml:space="preserve">” </w:t>
      </w:r>
      <w:r>
        <w:rPr>
          <w:rFonts w:ascii="Book Antiqua"/>
          <w:rtl w:val="0"/>
          <w:lang w:val="it-IT"/>
        </w:rPr>
        <w:t>del costo dell</w:t>
      </w:r>
      <w:r>
        <w:rPr>
          <w:rFonts w:hAnsi="Book Antiqua" w:hint="default"/>
          <w:rtl w:val="0"/>
          <w:lang w:val="it-IT"/>
        </w:rPr>
        <w:t>’</w:t>
      </w:r>
      <w:r>
        <w:rPr>
          <w:rFonts w:ascii="Book Antiqua"/>
          <w:rtl w:val="0"/>
          <w:lang w:val="it-IT"/>
        </w:rPr>
        <w:t xml:space="preserve">immobilizzazione la cui utilizzazione </w:t>
      </w:r>
      <w:r>
        <w:rPr>
          <w:rFonts w:hAnsi="Book Antiqua" w:hint="default"/>
          <w:rtl w:val="0"/>
          <w:lang w:val="it-IT"/>
        </w:rPr>
        <w:t xml:space="preserve">è </w:t>
      </w:r>
      <w:r>
        <w:rPr>
          <w:rFonts w:ascii="Book Antiqua"/>
          <w:rtl w:val="0"/>
          <w:lang w:val="it-IT"/>
        </w:rPr>
        <w:t>limitata nel tempo. La residua possibilit</w:t>
      </w:r>
      <w:r>
        <w:rPr>
          <w:rFonts w:hAnsi="Book Antiqua" w:hint="default"/>
          <w:rtl w:val="0"/>
          <w:lang w:val="it-IT"/>
        </w:rPr>
        <w:t xml:space="preserve">à </w:t>
      </w:r>
      <w:r>
        <w:rPr>
          <w:rFonts w:ascii="Book Antiqua"/>
          <w:rtl w:val="0"/>
          <w:lang w:val="it-IT"/>
        </w:rPr>
        <w:t>di utilizzazione dell</w:t>
      </w:r>
      <w:r>
        <w:rPr>
          <w:rFonts w:hAnsi="Book Antiqua" w:hint="default"/>
          <w:rtl w:val="0"/>
          <w:lang w:val="it-IT"/>
        </w:rPr>
        <w:t>’</w:t>
      </w:r>
      <w:r>
        <w:rPr>
          <w:rFonts w:ascii="Book Antiqua"/>
          <w:rtl w:val="0"/>
          <w:lang w:val="it-IT"/>
        </w:rPr>
        <w:t xml:space="preserve">immobilizzazione </w:t>
      </w:r>
      <w:r>
        <w:rPr>
          <w:rFonts w:hAnsi="Book Antiqua" w:hint="default"/>
          <w:rtl w:val="0"/>
          <w:lang w:val="it-IT"/>
        </w:rPr>
        <w:t xml:space="preserve">è </w:t>
      </w:r>
      <w:r>
        <w:rPr>
          <w:rFonts w:ascii="Book Antiqua"/>
          <w:rtl w:val="0"/>
          <w:lang w:val="it-IT"/>
        </w:rPr>
        <w:t xml:space="preserve">legata pertanto </w:t>
      </w:r>
      <w:r>
        <w:rPr>
          <w:rFonts w:hAnsi="Book Antiqua" w:hint="default"/>
          <w:rtl w:val="0"/>
          <w:lang w:val="it-IT"/>
        </w:rPr>
        <w:t>“</w:t>
      </w:r>
      <w:r>
        <w:rPr>
          <w:rFonts w:ascii="Book Antiqua"/>
          <w:rtl w:val="0"/>
          <w:lang w:val="it-IT"/>
        </w:rPr>
        <w:t>al periodo in cui si prevede che il cespite sar</w:t>
      </w:r>
      <w:r>
        <w:rPr>
          <w:rFonts w:hAnsi="Book Antiqua" w:hint="default"/>
          <w:rtl w:val="0"/>
          <w:lang w:val="it-IT"/>
        </w:rPr>
        <w:t xml:space="preserve">à </w:t>
      </w:r>
      <w:r>
        <w:rPr>
          <w:rFonts w:ascii="Book Antiqua"/>
          <w:rtl w:val="0"/>
          <w:lang w:val="it-IT"/>
        </w:rPr>
        <w:t>utile alla societ</w:t>
      </w:r>
      <w:r>
        <w:rPr>
          <w:rFonts w:hAnsi="Book Antiqua" w:hint="default"/>
          <w:rtl w:val="0"/>
          <w:lang w:val="it-IT"/>
        </w:rPr>
        <w:t>à”</w:t>
      </w:r>
      <w:r>
        <w:rPr>
          <w:rFonts w:ascii="Book Antiqua"/>
          <w:rtl w:val="0"/>
          <w:lang w:val="it-IT"/>
        </w:rPr>
        <w:t xml:space="preserve">. La </w:t>
      </w:r>
      <w:r>
        <w:rPr>
          <w:rFonts w:hAnsi="Book Antiqua" w:hint="default"/>
          <w:rtl w:val="0"/>
          <w:lang w:val="it-IT"/>
        </w:rPr>
        <w:t>“</w:t>
      </w:r>
      <w:r>
        <w:rPr>
          <w:rFonts w:ascii="Book Antiqua"/>
          <w:rtl w:val="0"/>
          <w:lang w:val="it-IT"/>
        </w:rPr>
        <w:t>vita utile</w:t>
      </w:r>
      <w:r>
        <w:rPr>
          <w:rFonts w:hAnsi="Book Antiqua" w:hint="default"/>
          <w:rtl w:val="0"/>
          <w:lang w:val="it-IT"/>
        </w:rPr>
        <w:t xml:space="preserve">” è </w:t>
      </w:r>
      <w:r>
        <w:rPr>
          <w:rFonts w:ascii="Book Antiqua"/>
          <w:rtl w:val="0"/>
          <w:lang w:val="it-IT"/>
        </w:rPr>
        <w:t xml:space="preserve">il </w:t>
      </w:r>
      <w:r>
        <w:rPr>
          <w:rFonts w:hAnsi="Book Antiqua" w:hint="default"/>
          <w:rtl w:val="0"/>
          <w:lang w:val="it-IT"/>
        </w:rPr>
        <w:t>“</w:t>
      </w:r>
      <w:r>
        <w:rPr>
          <w:rFonts w:ascii="Book Antiqua"/>
          <w:rtl w:val="0"/>
          <w:lang w:val="it-IT"/>
        </w:rPr>
        <w:t>periodo di tempo durante il quale l</w:t>
      </w:r>
      <w:r>
        <w:rPr>
          <w:rFonts w:hAnsi="Book Antiqua" w:hint="default"/>
          <w:rtl w:val="0"/>
          <w:lang w:val="it-IT"/>
        </w:rPr>
        <w:t>’</w:t>
      </w:r>
      <w:r>
        <w:rPr>
          <w:rFonts w:ascii="Book Antiqua"/>
          <w:rtl w:val="0"/>
          <w:lang w:val="it-IT"/>
        </w:rPr>
        <w:t>impresa prevede di poter utilizzare l</w:t>
      </w:r>
      <w:r>
        <w:rPr>
          <w:rFonts w:hAnsi="Book Antiqua" w:hint="default"/>
          <w:rtl w:val="0"/>
          <w:lang w:val="it-IT"/>
        </w:rPr>
        <w:t>’</w:t>
      </w:r>
      <w:r>
        <w:rPr>
          <w:rFonts w:ascii="Book Antiqua"/>
          <w:rtl w:val="0"/>
          <w:lang w:val="it-IT"/>
        </w:rPr>
        <w:t>immobilizzazione</w:t>
      </w:r>
      <w:r>
        <w:rPr>
          <w:rFonts w:hAnsi="Book Antiqua" w:hint="default"/>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Nel preventivo allegato all</w:t>
      </w:r>
      <w:r>
        <w:rPr>
          <w:rFonts w:hAnsi="Book Antiqua" w:hint="default"/>
          <w:rtl w:val="0"/>
          <w:lang w:val="it-IT"/>
        </w:rPr>
        <w:t>’</w:t>
      </w:r>
      <w:r>
        <w:rPr>
          <w:rFonts w:ascii="Book Antiqua"/>
          <w:rtl w:val="0"/>
          <w:lang w:val="it-IT"/>
        </w:rPr>
        <w:t>istanza di revisione tariffaria degli impianti di TMB, E. Giovi ha utilizzato un</w:t>
      </w:r>
      <w:r>
        <w:rPr>
          <w:rFonts w:hAnsi="Book Antiqua" w:hint="default"/>
          <w:rtl w:val="0"/>
          <w:lang w:val="it-IT"/>
        </w:rPr>
        <w:t>’</w:t>
      </w:r>
      <w:r>
        <w:rPr>
          <w:rFonts w:ascii="Book Antiqua"/>
          <w:rtl w:val="0"/>
          <w:lang w:val="it-IT"/>
        </w:rPr>
        <w:t>aliquota di ammortamento pari al 16,6 per cento al fine di determinare il valore annuo dell</w:t>
      </w:r>
      <w:r>
        <w:rPr>
          <w:rFonts w:hAnsi="Book Antiqua" w:hint="default"/>
          <w:rtl w:val="0"/>
          <w:lang w:val="it-IT"/>
        </w:rPr>
        <w:t>’</w:t>
      </w:r>
      <w:r>
        <w:rPr>
          <w:rFonts w:ascii="Book Antiqua"/>
          <w:rtl w:val="0"/>
          <w:lang w:val="it-IT"/>
        </w:rPr>
        <w:t xml:space="preserve">ammortamento del </w:t>
      </w:r>
      <w:r>
        <w:rPr>
          <w:rFonts w:hAnsi="Book Antiqua" w:hint="default"/>
          <w:rtl w:val="0"/>
          <w:lang w:val="it-IT"/>
        </w:rPr>
        <w:t>“</w:t>
      </w:r>
      <w:r>
        <w:rPr>
          <w:rFonts w:ascii="Book Antiqua"/>
          <w:rtl w:val="0"/>
          <w:lang w:val="it-IT"/>
        </w:rPr>
        <w:t>costo di costruzione delle opere civili</w:t>
      </w:r>
      <w:r>
        <w:rPr>
          <w:rFonts w:hAnsi="Book Antiqua" w:hint="default"/>
          <w:rtl w:val="0"/>
          <w:lang w:val="it-IT"/>
        </w:rPr>
        <w:t xml:space="preserve">” </w:t>
      </w:r>
      <w:r>
        <w:rPr>
          <w:rFonts w:ascii="Book Antiqua"/>
          <w:rtl w:val="0"/>
          <w:lang w:val="it-IT"/>
        </w:rPr>
        <w:t xml:space="preserve">(voce C1) e del </w:t>
      </w:r>
      <w:r>
        <w:rPr>
          <w:rFonts w:hAnsi="Book Antiqua" w:hint="default"/>
          <w:rtl w:val="0"/>
          <w:lang w:val="it-IT"/>
        </w:rPr>
        <w:t>“</w:t>
      </w:r>
      <w:r>
        <w:rPr>
          <w:rFonts w:ascii="Book Antiqua"/>
          <w:rtl w:val="0"/>
          <w:lang w:val="it-IT"/>
        </w:rPr>
        <w:t>costo di costruzione delle opere elettromeccaniche</w:t>
      </w:r>
      <w:r>
        <w:rPr>
          <w:rFonts w:hAnsi="Book Antiqua" w:hint="default"/>
          <w:rtl w:val="0"/>
          <w:lang w:val="it-IT"/>
        </w:rPr>
        <w:t xml:space="preserve">” </w:t>
      </w:r>
      <w:r>
        <w:rPr>
          <w:rFonts w:ascii="Book Antiqua"/>
          <w:rtl w:val="0"/>
          <w:lang w:val="it-IT"/>
        </w:rPr>
        <w:t xml:space="preserve">(voce C2). Tale aliquota </w:t>
      </w:r>
      <w:r>
        <w:rPr>
          <w:rFonts w:hAnsi="Book Antiqua" w:hint="default"/>
          <w:rtl w:val="0"/>
          <w:lang w:val="it-IT"/>
        </w:rPr>
        <w:t xml:space="preserve">è </w:t>
      </w:r>
      <w:r>
        <w:rPr>
          <w:rFonts w:ascii="Book Antiqua"/>
          <w:rtl w:val="0"/>
          <w:lang w:val="it-IT"/>
        </w:rPr>
        <w:t>stata commisurata alla durata dell</w:t>
      </w:r>
      <w:r>
        <w:rPr>
          <w:rFonts w:hAnsi="Book Antiqua" w:hint="default"/>
          <w:rtl w:val="0"/>
          <w:lang w:val="it-IT"/>
        </w:rPr>
        <w:t>’</w:t>
      </w:r>
      <w:r>
        <w:rPr>
          <w:rFonts w:ascii="Book Antiqua"/>
          <w:rtl w:val="0"/>
          <w:lang w:val="it-IT"/>
        </w:rPr>
        <w:t xml:space="preserve">autorizzazione richiesta pari a 6 anni (1/6 = 16,6 per cento) e applicata al </w:t>
      </w:r>
      <w:r>
        <w:rPr>
          <w:rFonts w:hAnsi="Book Antiqua" w:hint="default"/>
          <w:rtl w:val="0"/>
          <w:lang w:val="it-IT"/>
        </w:rPr>
        <w:t>“</w:t>
      </w:r>
      <w:r>
        <w:rPr>
          <w:rFonts w:ascii="Book Antiqua"/>
          <w:rtl w:val="0"/>
          <w:lang w:val="it-IT"/>
        </w:rPr>
        <w:t>valore contabile netto</w:t>
      </w:r>
      <w:r>
        <w:rPr>
          <w:rFonts w:hAnsi="Book Antiqua" w:hint="default"/>
          <w:rtl w:val="0"/>
          <w:lang w:val="it-IT"/>
        </w:rPr>
        <w:t xml:space="preserve">” </w:t>
      </w:r>
      <w:r>
        <w:rPr>
          <w:rFonts w:ascii="Book Antiqua"/>
          <w:rtl w:val="0"/>
          <w:lang w:val="it-IT"/>
        </w:rPr>
        <w:t xml:space="preserve">delle voci di costo. La Ria &amp; Partners, nella sua certificazione prende semplicemente atto che </w:t>
      </w:r>
      <w:r>
        <w:rPr>
          <w:rFonts w:hAnsi="Book Antiqua" w:hint="default"/>
          <w:rtl w:val="0"/>
          <w:lang w:val="it-IT"/>
        </w:rPr>
        <w:t>“</w:t>
      </w:r>
      <w:r>
        <w:rPr>
          <w:rFonts w:ascii="Book Antiqua"/>
          <w:rtl w:val="0"/>
          <w:lang w:val="it-IT"/>
        </w:rPr>
        <w:t>nel calcolo degli ammortamenti effettuati ai fini della determinazione tariffaria E. Giovi ha considerato una vita utile rapportata alla durata residua dell</w:t>
      </w:r>
      <w:r>
        <w:rPr>
          <w:rFonts w:hAnsi="Book Antiqua" w:hint="default"/>
          <w:rtl w:val="0"/>
          <w:lang w:val="it-IT"/>
        </w:rPr>
        <w:t>’</w:t>
      </w:r>
      <w:r>
        <w:rPr>
          <w:rFonts w:ascii="Book Antiqua"/>
          <w:rtl w:val="0"/>
          <w:lang w:val="it-IT"/>
        </w:rPr>
        <w:t>autorizzazione pari a 6 anni</w:t>
      </w:r>
      <w:r>
        <w:rPr>
          <w:rFonts w:hAnsi="Book Antiqua" w:hint="default"/>
          <w:rtl w:val="0"/>
          <w:lang w:val="it-IT"/>
        </w:rPr>
        <w:t xml:space="preserve">” </w:t>
      </w:r>
      <w:r>
        <w:rPr>
          <w:rFonts w:ascii="Book Antiqua"/>
          <w:rtl w:val="0"/>
          <w:lang w:val="it-IT"/>
        </w:rPr>
        <w:t xml:space="preserve">e che il dato relativo ai </w:t>
      </w:r>
      <w:r>
        <w:rPr>
          <w:rFonts w:hAnsi="Book Antiqua" w:hint="default"/>
          <w:rtl w:val="0"/>
          <w:lang w:val="it-IT"/>
        </w:rPr>
        <w:t>“</w:t>
      </w:r>
      <w:r>
        <w:rPr>
          <w:rFonts w:ascii="Book Antiqua"/>
          <w:rtl w:val="0"/>
          <w:lang w:val="it-IT"/>
        </w:rPr>
        <w:t>costi di costruzione degli impianti (C) corrisponde a quello del bilancio 2009, al netto degli ammortamenti annuali determinati secondo la vita utile residua del bene</w:t>
      </w:r>
      <w:r>
        <w:rPr>
          <w:rFonts w:hAnsi="Book Antiqua" w:hint="default"/>
          <w:rtl w:val="0"/>
          <w:lang w:val="it-IT"/>
        </w:rPr>
        <w:t>”</w:t>
      </w:r>
      <w:r>
        <w:rPr>
          <w:rFonts w:ascii="Book Antiqua"/>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Diversamente, nel consuntivo 2009, E. Giovi indica un</w:t>
      </w:r>
      <w:r>
        <w:rPr>
          <w:rFonts w:hAnsi="Book Antiqua" w:hint="default"/>
          <w:rtl w:val="0"/>
          <w:lang w:val="it-IT"/>
        </w:rPr>
        <w:t>’</w:t>
      </w:r>
      <w:r>
        <w:rPr>
          <w:rFonts w:ascii="Book Antiqua"/>
          <w:rtl w:val="0"/>
          <w:lang w:val="it-IT"/>
        </w:rPr>
        <w:t>aliquota di ammortamento pari al 10 per cento (poi rettificata in relazione all</w:t>
      </w:r>
      <w:r>
        <w:rPr>
          <w:rFonts w:hAnsi="Book Antiqua" w:hint="default"/>
          <w:rtl w:val="0"/>
          <w:lang w:val="it-IT"/>
        </w:rPr>
        <w:t>’</w:t>
      </w:r>
      <w:r>
        <w:rPr>
          <w:rFonts w:ascii="Book Antiqua"/>
          <w:rtl w:val="0"/>
          <w:lang w:val="it-IT"/>
        </w:rPr>
        <w:t>effettivo utilizzo degli impianti) al fine di determinare il valore annuo dell</w:t>
      </w:r>
      <w:r>
        <w:rPr>
          <w:rFonts w:hAnsi="Book Antiqua" w:hint="default"/>
          <w:rtl w:val="0"/>
          <w:lang w:val="it-IT"/>
        </w:rPr>
        <w:t>’</w:t>
      </w:r>
      <w:r>
        <w:rPr>
          <w:rFonts w:ascii="Book Antiqua"/>
          <w:rtl w:val="0"/>
          <w:lang w:val="it-IT"/>
        </w:rPr>
        <w:t xml:space="preserve">ammortamento del </w:t>
      </w:r>
      <w:r>
        <w:rPr>
          <w:rFonts w:hAnsi="Book Antiqua" w:hint="default"/>
          <w:rtl w:val="0"/>
          <w:lang w:val="it-IT"/>
        </w:rPr>
        <w:t>“</w:t>
      </w:r>
      <w:r>
        <w:rPr>
          <w:rFonts w:ascii="Book Antiqua"/>
          <w:rtl w:val="0"/>
          <w:lang w:val="it-IT"/>
        </w:rPr>
        <w:t>costo di costruzione delle opere civili</w:t>
      </w:r>
      <w:r>
        <w:rPr>
          <w:rFonts w:hAnsi="Book Antiqua" w:hint="default"/>
          <w:rtl w:val="0"/>
          <w:lang w:val="it-IT"/>
        </w:rPr>
        <w:t xml:space="preserve">” </w:t>
      </w:r>
      <w:r>
        <w:rPr>
          <w:rFonts w:ascii="Book Antiqua"/>
          <w:rtl w:val="0"/>
          <w:lang w:val="it-IT"/>
        </w:rPr>
        <w:t xml:space="preserve">e del </w:t>
      </w:r>
      <w:r>
        <w:rPr>
          <w:rFonts w:hAnsi="Book Antiqua" w:hint="default"/>
          <w:rtl w:val="0"/>
          <w:lang w:val="it-IT"/>
        </w:rPr>
        <w:t>“</w:t>
      </w:r>
      <w:r>
        <w:rPr>
          <w:rFonts w:ascii="Book Antiqua"/>
          <w:rtl w:val="0"/>
          <w:lang w:val="it-IT"/>
        </w:rPr>
        <w:t>costo di costruzione delle opere elettromeccaniche</w:t>
      </w:r>
      <w:r>
        <w:rPr>
          <w:rFonts w:hAnsi="Book Antiqua" w:hint="default"/>
          <w:rtl w:val="0"/>
          <w:lang w:val="it-IT"/>
        </w:rPr>
        <w:t>”</w:t>
      </w:r>
      <w:r>
        <w:rPr>
          <w:rFonts w:ascii="Book Antiqua"/>
          <w:rtl w:val="0"/>
          <w:lang w:val="it-IT"/>
        </w:rPr>
        <w:t>. Anche in questo caso, l</w:t>
      </w:r>
      <w:r>
        <w:rPr>
          <w:rFonts w:hAnsi="Book Antiqua" w:hint="default"/>
          <w:rtl w:val="0"/>
          <w:lang w:val="it-IT"/>
        </w:rPr>
        <w:t>’</w:t>
      </w:r>
      <w:r>
        <w:rPr>
          <w:rFonts w:ascii="Book Antiqua"/>
          <w:rtl w:val="0"/>
          <w:lang w:val="it-IT"/>
        </w:rPr>
        <w:t>aliquota del 10 per cento risulta commisurata alla durata dell</w:t>
      </w:r>
      <w:r>
        <w:rPr>
          <w:rFonts w:hAnsi="Book Antiqua" w:hint="default"/>
          <w:rtl w:val="0"/>
          <w:lang w:val="it-IT"/>
        </w:rPr>
        <w:t>’</w:t>
      </w:r>
      <w:r>
        <w:rPr>
          <w:rFonts w:ascii="Book Antiqua"/>
          <w:rtl w:val="0"/>
          <w:lang w:val="it-IT"/>
        </w:rPr>
        <w:t xml:space="preserve">autorizzazione di 10 anni. La tariffa richiesta </w:t>
      </w:r>
      <w:r>
        <w:rPr>
          <w:rFonts w:hAnsi="Book Antiqua" w:hint="default"/>
          <w:rtl w:val="0"/>
          <w:lang w:val="it-IT"/>
        </w:rPr>
        <w:t xml:space="preserve">è </w:t>
      </w:r>
      <w:r>
        <w:rPr>
          <w:rFonts w:ascii="Book Antiqua"/>
          <w:rtl w:val="0"/>
          <w:lang w:val="it-IT"/>
        </w:rPr>
        <w:t>quindi fondata sull</w:t>
      </w:r>
      <w:r>
        <w:rPr>
          <w:rFonts w:hAnsi="Book Antiqua" w:hint="default"/>
          <w:rtl w:val="0"/>
          <w:lang w:val="it-IT"/>
        </w:rPr>
        <w:t>’</w:t>
      </w:r>
      <w:r>
        <w:rPr>
          <w:rFonts w:ascii="Book Antiqua"/>
          <w:rtl w:val="0"/>
          <w:lang w:val="it-IT"/>
        </w:rPr>
        <w:t>assunto che i beni materiali connessi agli impianti TMB 1 e TMB 2 esauriscono la loro residua possibilit</w:t>
      </w:r>
      <w:r>
        <w:rPr>
          <w:rFonts w:hAnsi="Book Antiqua" w:hint="default"/>
          <w:rtl w:val="0"/>
          <w:lang w:val="it-IT"/>
        </w:rPr>
        <w:t xml:space="preserve">à </w:t>
      </w:r>
      <w:r>
        <w:rPr>
          <w:rFonts w:ascii="Book Antiqua"/>
          <w:rtl w:val="0"/>
          <w:lang w:val="it-IT"/>
        </w:rPr>
        <w:t>di utilizzazione o vita utile al termine dei 6 anni di durata dell</w:t>
      </w:r>
      <w:r>
        <w:rPr>
          <w:rFonts w:hAnsi="Book Antiqua" w:hint="default"/>
          <w:rtl w:val="0"/>
          <w:lang w:val="it-IT"/>
        </w:rPr>
        <w:t>’</w:t>
      </w:r>
      <w:r>
        <w:rPr>
          <w:rFonts w:ascii="Book Antiqua"/>
          <w:rtl w:val="0"/>
          <w:lang w:val="it-IT"/>
        </w:rPr>
        <w:t>autorizzazione (2015).</w:t>
      </w:r>
    </w:p>
    <w:p>
      <w:pPr>
        <w:pStyle w:val="Normal"/>
        <w:ind w:left="567" w:right="567" w:firstLine="0"/>
        <w:jc w:val="both"/>
        <w:rPr>
          <w:rFonts w:ascii="Book Antiqua" w:cs="Book Antiqua" w:hAnsi="Book Antiqua" w:eastAsia="Book Antiqua"/>
        </w:rPr>
      </w:pPr>
      <w:r>
        <w:rPr>
          <w:rFonts w:ascii="Book Antiqua"/>
          <w:rtl w:val="0"/>
          <w:lang w:val="it-IT"/>
        </w:rPr>
        <w:t>La verificazione ha rilevato che commisurare, ai fini del calcolo tariffario, le aliquote (o il periodo) di ammortamento in relazione alla durata residua dell</w:t>
      </w:r>
      <w:r>
        <w:rPr>
          <w:rFonts w:hAnsi="Book Antiqua" w:hint="default"/>
          <w:rtl w:val="0"/>
          <w:lang w:val="it-IT"/>
        </w:rPr>
        <w:t>’</w:t>
      </w:r>
      <w:r>
        <w:rPr>
          <w:rFonts w:ascii="Book Antiqua"/>
          <w:rtl w:val="0"/>
          <w:lang w:val="it-IT"/>
        </w:rPr>
        <w:t>autorizzazione, significherebbe ipotizzare che gli investimenti (misurati in termini di costo delle opere civili, delle opere elettromeccaniche, delle opere complementari e accessori) esauriscano tutta la loro utilit</w:t>
      </w:r>
      <w:r>
        <w:rPr>
          <w:rFonts w:hAnsi="Book Antiqua" w:hint="default"/>
          <w:rtl w:val="0"/>
          <w:lang w:val="it-IT"/>
        </w:rPr>
        <w:t xml:space="preserve">à </w:t>
      </w:r>
      <w:r>
        <w:rPr>
          <w:rFonts w:ascii="Book Antiqua"/>
          <w:rtl w:val="0"/>
          <w:lang w:val="it-IT"/>
        </w:rPr>
        <w:t>in tale periodo. Tale assunzione non trova conferme nella pianificazione regionale sia il piano di gestione dei rifiuti della regione Lazio vigente dal 2002 sia l</w:t>
      </w:r>
      <w:r>
        <w:rPr>
          <w:rFonts w:hAnsi="Book Antiqua" w:hint="default"/>
          <w:rtl w:val="0"/>
          <w:lang w:val="it-IT"/>
        </w:rPr>
        <w:t>’</w:t>
      </w:r>
      <w:r>
        <w:rPr>
          <w:rFonts w:ascii="Book Antiqua"/>
          <w:rtl w:val="0"/>
          <w:lang w:val="it-IT"/>
        </w:rPr>
        <w:t>aggiornamento del 2010 (D.G.R. 19.11.2010 n. 523) che la successiva delibera del Consiglio Regionale del Lazio in data 18 gennaio 2012 individua fabbisogni, potenzialit</w:t>
      </w:r>
      <w:r>
        <w:rPr>
          <w:rFonts w:hAnsi="Book Antiqua" w:hint="default"/>
          <w:rtl w:val="0"/>
          <w:lang w:val="it-IT"/>
        </w:rPr>
        <w:t xml:space="preserve">à </w:t>
      </w:r>
      <w:r>
        <w:rPr>
          <w:rFonts w:ascii="Book Antiqua"/>
          <w:rtl w:val="0"/>
          <w:lang w:val="it-IT"/>
        </w:rPr>
        <w:t>impiantistiche e obiettivi programmatici sulla base degli impianti esistenti nel territorio (inclusi entrambi gli impianti di trattamento di E. Giovi). La verificazione, al contrario, ha rilevato che se fosse reale la possibilit</w:t>
      </w:r>
      <w:r>
        <w:rPr>
          <w:rFonts w:hAnsi="Book Antiqua" w:hint="default"/>
          <w:rtl w:val="0"/>
          <w:lang w:val="it-IT"/>
        </w:rPr>
        <w:t xml:space="preserve">à </w:t>
      </w:r>
      <w:r>
        <w:rPr>
          <w:rFonts w:ascii="Book Antiqua"/>
          <w:rtl w:val="0"/>
          <w:lang w:val="it-IT"/>
        </w:rPr>
        <w:t>di non poter utilizzare gli impianti TMB alla scadenza dell</w:t>
      </w:r>
      <w:r>
        <w:rPr>
          <w:rFonts w:hAnsi="Book Antiqua" w:hint="default"/>
          <w:rtl w:val="0"/>
          <w:lang w:val="it-IT"/>
        </w:rPr>
        <w:t>’</w:t>
      </w:r>
      <w:r>
        <w:rPr>
          <w:rFonts w:ascii="Book Antiqua"/>
          <w:rtl w:val="0"/>
          <w:lang w:val="it-IT"/>
        </w:rPr>
        <w:t>autorizzazione, tale circostanza, in virt</w:t>
      </w:r>
      <w:r>
        <w:rPr>
          <w:rFonts w:hAnsi="Book Antiqua" w:hint="default"/>
          <w:rtl w:val="0"/>
          <w:lang w:val="it-IT"/>
        </w:rPr>
        <w:t xml:space="preserve">ù </w:t>
      </w:r>
      <w:r>
        <w:rPr>
          <w:rFonts w:ascii="Book Antiqua"/>
          <w:rtl w:val="0"/>
          <w:lang w:val="it-IT"/>
        </w:rPr>
        <w:t>delle norme contabili vigenti, avrebbe dovuto trovare riscontro nei bilanci della E. Giovi (in termini di valori contabili riportati e/o di informativa sui rischi e sulle prospettive dell</w:t>
      </w:r>
      <w:r>
        <w:rPr>
          <w:rFonts w:hAnsi="Book Antiqua" w:hint="default"/>
          <w:rtl w:val="0"/>
          <w:lang w:val="it-IT"/>
        </w:rPr>
        <w:t>’</w:t>
      </w:r>
      <w:r>
        <w:rPr>
          <w:rFonts w:ascii="Book Antiqua"/>
          <w:rtl w:val="0"/>
          <w:lang w:val="it-IT"/>
        </w:rPr>
        <w:t>azienda esercitata).</w:t>
      </w:r>
    </w:p>
    <w:p>
      <w:pPr>
        <w:pStyle w:val="Normal"/>
        <w:ind w:left="567" w:right="567" w:firstLine="0"/>
        <w:jc w:val="both"/>
        <w:rPr>
          <w:rFonts w:ascii="Book Antiqua" w:cs="Book Antiqua" w:hAnsi="Book Antiqua" w:eastAsia="Book Antiqua"/>
        </w:rPr>
      </w:pPr>
      <w:r>
        <w:rPr>
          <w:rFonts w:ascii="Book Antiqua"/>
          <w:rtl w:val="0"/>
          <w:lang w:val="it-IT"/>
        </w:rPr>
        <w:t xml:space="preserve">In conclusione, per tutto quanto sopra riportato ed, in particolare, accertato che per alcuni beni materiali connessi ad uno dei due impianti di TMB la durata della loro vita utile residua </w:t>
      </w:r>
      <w:r>
        <w:rPr>
          <w:rFonts w:hAnsi="Book Antiqua" w:hint="default"/>
          <w:rtl w:val="0"/>
          <w:lang w:val="it-IT"/>
        </w:rPr>
        <w:t xml:space="preserve">è </w:t>
      </w:r>
      <w:r>
        <w:rPr>
          <w:rFonts w:ascii="Book Antiqua"/>
          <w:rtl w:val="0"/>
          <w:lang w:val="it-IT"/>
        </w:rPr>
        <w:t>superiore a sette anni, la verificazione ha giudicato la tariffa di accesso ai due impianti di trattamento, contenuta nella Determinazione della regione Lazio n. B 7190 del 20 settembre 2011, e fondata sulla valutazione di conformit</w:t>
      </w:r>
      <w:r>
        <w:rPr>
          <w:rFonts w:hAnsi="Book Antiqua" w:hint="default"/>
          <w:rtl w:val="0"/>
          <w:lang w:val="it-IT"/>
        </w:rPr>
        <w:t xml:space="preserve">à </w:t>
      </w:r>
      <w:r>
        <w:rPr>
          <w:rFonts w:ascii="Book Antiqua"/>
          <w:rtl w:val="0"/>
          <w:lang w:val="it-IT"/>
        </w:rPr>
        <w:t xml:space="preserve">redatta dai Revisori, non corretta in relazione al calcolo del valore degli ammortamenti commisurati ad una </w:t>
      </w:r>
      <w:r>
        <w:rPr>
          <w:rFonts w:hAnsi="Book Antiqua" w:hint="default"/>
          <w:rtl w:val="0"/>
          <w:lang w:val="it-IT"/>
        </w:rPr>
        <w:t>“</w:t>
      </w:r>
      <w:r>
        <w:rPr>
          <w:rFonts w:ascii="Book Antiqua"/>
          <w:rtl w:val="0"/>
          <w:lang w:val="it-IT"/>
        </w:rPr>
        <w:t>durata complessiva prevista delle attivit</w:t>
      </w:r>
      <w:r>
        <w:rPr>
          <w:rFonts w:hAnsi="Book Antiqua" w:hint="default"/>
          <w:rtl w:val="0"/>
          <w:lang w:val="it-IT"/>
        </w:rPr>
        <w:t xml:space="preserve">à” </w:t>
      </w:r>
      <w:r>
        <w:rPr>
          <w:rFonts w:ascii="Book Antiqua"/>
          <w:rtl w:val="0"/>
          <w:lang w:val="it-IT"/>
        </w:rPr>
        <w:t xml:space="preserve">di sette anni. </w:t>
      </w:r>
    </w:p>
    <w:p>
      <w:pPr>
        <w:pStyle w:val="Normal"/>
        <w:ind w:left="567" w:right="567" w:firstLine="0"/>
        <w:jc w:val="both"/>
        <w:rPr>
          <w:rFonts w:ascii="Book Antiqua" w:cs="Book Antiqua" w:hAnsi="Book Antiqua" w:eastAsia="Book Antiqua"/>
        </w:rPr>
      </w:pPr>
      <w:r>
        <w:rPr>
          <w:rFonts w:ascii="Book Antiqua"/>
          <w:rtl w:val="0"/>
          <w:lang w:val="it-IT"/>
        </w:rPr>
        <w:t>Con il secondo quesito il Consiglio di Stato chiede al verificatore di esaminare se la determinazione della tariffa di accesso ai due impianti fosse corretta in relazione al valore dei terreni asserviti all</w:t>
      </w:r>
      <w:r>
        <w:rPr>
          <w:rFonts w:hAnsi="Book Antiqua" w:hint="default"/>
          <w:rtl w:val="0"/>
          <w:lang w:val="it-IT"/>
        </w:rPr>
        <w:t>’</w:t>
      </w:r>
      <w:r>
        <w:rPr>
          <w:rFonts w:ascii="Book Antiqua"/>
          <w:rtl w:val="0"/>
          <w:lang w:val="it-IT"/>
        </w:rPr>
        <w:t>esercizio dell</w:t>
      </w:r>
      <w:r>
        <w:rPr>
          <w:rFonts w:hAnsi="Book Antiqua" w:hint="default"/>
          <w:rtl w:val="0"/>
          <w:lang w:val="it-IT"/>
        </w:rPr>
        <w:t>’</w:t>
      </w:r>
      <w:r>
        <w:rPr>
          <w:rFonts w:ascii="Book Antiqua"/>
          <w:rtl w:val="0"/>
          <w:lang w:val="it-IT"/>
        </w:rPr>
        <w:t>attivit</w:t>
      </w:r>
      <w:r>
        <w:rPr>
          <w:rFonts w:hAnsi="Book Antiqua" w:hint="default"/>
          <w:rtl w:val="0"/>
          <w:lang w:val="it-IT"/>
        </w:rPr>
        <w:t xml:space="preserve">à </w:t>
      </w:r>
      <w:r>
        <w:rPr>
          <w:rFonts w:ascii="Book Antiqua"/>
          <w:rtl w:val="0"/>
          <w:lang w:val="it-IT"/>
        </w:rPr>
        <w:t>ed alla loro effettiva destinazione urbanistica.</w:t>
      </w:r>
    </w:p>
    <w:p>
      <w:pPr>
        <w:pStyle w:val="Normal"/>
        <w:ind w:left="567" w:right="567" w:firstLine="0"/>
        <w:jc w:val="both"/>
        <w:rPr>
          <w:rFonts w:ascii="Book Antiqua" w:cs="Book Antiqua" w:hAnsi="Book Antiqua" w:eastAsia="Book Antiqua"/>
        </w:rPr>
      </w:pPr>
      <w:r>
        <w:rPr>
          <w:rFonts w:ascii="Book Antiqua"/>
          <w:rtl w:val="0"/>
          <w:lang w:val="it-IT"/>
        </w:rPr>
        <w:t>L</w:t>
      </w:r>
      <w:r>
        <w:rPr>
          <w:rFonts w:hAnsi="Book Antiqua" w:hint="default"/>
          <w:rtl w:val="0"/>
          <w:lang w:val="it-IT"/>
        </w:rPr>
        <w:t>’</w:t>
      </w:r>
      <w:r>
        <w:rPr>
          <w:rFonts w:ascii="Book Antiqua"/>
          <w:rtl w:val="0"/>
          <w:lang w:val="it-IT"/>
        </w:rPr>
        <w:t>attivit</w:t>
      </w:r>
      <w:r>
        <w:rPr>
          <w:rFonts w:hAnsi="Book Antiqua" w:hint="default"/>
          <w:rtl w:val="0"/>
          <w:lang w:val="it-IT"/>
        </w:rPr>
        <w:t xml:space="preserve">à </w:t>
      </w:r>
      <w:r>
        <w:rPr>
          <w:rFonts w:ascii="Book Antiqua"/>
          <w:rtl w:val="0"/>
          <w:lang w:val="it-IT"/>
        </w:rPr>
        <w:t>di verificazione ha riguardato quindi l</w:t>
      </w:r>
      <w:r>
        <w:rPr>
          <w:rFonts w:hAnsi="Book Antiqua" w:hint="default"/>
          <w:rtl w:val="0"/>
          <w:lang w:val="it-IT"/>
        </w:rPr>
        <w:t>’</w:t>
      </w:r>
      <w:r>
        <w:rPr>
          <w:rFonts w:ascii="Book Antiqua"/>
          <w:rtl w:val="0"/>
          <w:lang w:val="it-IT"/>
        </w:rPr>
        <w:t xml:space="preserve">accertamento del </w:t>
      </w:r>
      <w:r>
        <w:rPr>
          <w:rFonts w:hAnsi="Book Antiqua" w:hint="default"/>
          <w:rtl w:val="0"/>
          <w:lang w:val="it-IT"/>
        </w:rPr>
        <w:t>“</w:t>
      </w:r>
      <w:r>
        <w:rPr>
          <w:rFonts w:ascii="Book Antiqua"/>
          <w:rtl w:val="0"/>
          <w:lang w:val="it-IT"/>
        </w:rPr>
        <w:t>valore dei terreni asserviti all</w:t>
      </w:r>
      <w:r>
        <w:rPr>
          <w:rFonts w:hAnsi="Book Antiqua" w:hint="default"/>
          <w:rtl w:val="0"/>
          <w:lang w:val="it-IT"/>
        </w:rPr>
        <w:t>’</w:t>
      </w:r>
      <w:r>
        <w:rPr>
          <w:rFonts w:ascii="Book Antiqua"/>
          <w:rtl w:val="0"/>
          <w:lang w:val="it-IT"/>
        </w:rPr>
        <w:t>esercizio dell</w:t>
      </w:r>
      <w:r>
        <w:rPr>
          <w:rFonts w:hAnsi="Book Antiqua" w:hint="default"/>
          <w:rtl w:val="0"/>
          <w:lang w:val="it-IT"/>
        </w:rPr>
        <w:t>’</w:t>
      </w:r>
      <w:r>
        <w:rPr>
          <w:rFonts w:ascii="Book Antiqua"/>
          <w:rtl w:val="0"/>
          <w:lang w:val="it-IT"/>
        </w:rPr>
        <w:t>attivit</w:t>
      </w:r>
      <w:r>
        <w:rPr>
          <w:rFonts w:hAnsi="Book Antiqua" w:hint="default"/>
          <w:rtl w:val="0"/>
          <w:lang w:val="it-IT"/>
        </w:rPr>
        <w:t xml:space="preserve">à” </w:t>
      </w:r>
      <w:r>
        <w:rPr>
          <w:rFonts w:ascii="Book Antiqua"/>
          <w:rtl w:val="0"/>
          <w:lang w:val="it-IT"/>
        </w:rPr>
        <w:t>nella misura in cui tale valore inciderebbe sul calcolo tariffario</w:t>
      </w:r>
      <w:r>
        <w:rPr>
          <w:rFonts w:ascii="Book Antiqua" w:cs="Book Antiqua" w:hAnsi="Book Antiqua" w:eastAsia="Book Antiqua"/>
          <w:vertAlign w:val="superscript"/>
          <w:rtl w:val="0"/>
        </w:rPr>
        <w:footnoteReference w:id="146"/>
      </w:r>
      <w:r>
        <w:rPr>
          <w:rFonts w:ascii="Book Antiqua"/>
          <w:rtl w:val="0"/>
          <w:lang w:val="it-IT"/>
        </w:rPr>
        <w:t>. Il verificatore ha rilevato che ai fini della determinazione tariffaria, l</w:t>
      </w:r>
      <w:r>
        <w:rPr>
          <w:rFonts w:hAnsi="Book Antiqua" w:hint="default"/>
          <w:rtl w:val="0"/>
          <w:lang w:val="it-IT"/>
        </w:rPr>
        <w:t>’</w:t>
      </w:r>
      <w:r>
        <w:rPr>
          <w:rFonts w:ascii="Book Antiqua"/>
          <w:rtl w:val="0"/>
          <w:lang w:val="it-IT"/>
        </w:rPr>
        <w:t>imputazione, al costo di acquisizione dei terreni, di eventuali rivalutazioni basate su prezzi correnti (e contingenti) di mercato e su cambiamenti di destinazione urbanistica, comporterebbe la remunerazione tariffaria di un valore non corrispondente ad un onere effettivamente sostenuto dalla societ</w:t>
      </w:r>
      <w:r>
        <w:rPr>
          <w:rFonts w:hAnsi="Book Antiqua" w:hint="default"/>
          <w:rtl w:val="0"/>
          <w:lang w:val="it-IT"/>
        </w:rPr>
        <w:t>à</w:t>
      </w:r>
      <w:r>
        <w:rPr>
          <w:rFonts w:ascii="Book Antiqua"/>
          <w:rtl w:val="0"/>
          <w:lang w:val="it-IT"/>
        </w:rPr>
        <w:t>. Il valore dei terreni su cui insistono gli impianti di TMB avrebbe dovuto essere commisurato al costo effettivamente sostenuto da E. Giovi per procurarsi detti beni e rilevato nella contabilit</w:t>
      </w:r>
      <w:r>
        <w:rPr>
          <w:rFonts w:hAnsi="Book Antiqua" w:hint="default"/>
          <w:rtl w:val="0"/>
          <w:lang w:val="it-IT"/>
        </w:rPr>
        <w:t xml:space="preserve">à </w:t>
      </w:r>
      <w:r>
        <w:rPr>
          <w:rFonts w:ascii="Book Antiqua"/>
          <w:rtl w:val="0"/>
          <w:lang w:val="it-IT"/>
        </w:rPr>
        <w:t>generale della stessa conformemente alla disciplina contabile vigente. Nel corso delle attivit</w:t>
      </w:r>
      <w:r>
        <w:rPr>
          <w:rFonts w:hAnsi="Book Antiqua" w:hint="default"/>
          <w:rtl w:val="0"/>
          <w:lang w:val="it-IT"/>
        </w:rPr>
        <w:t xml:space="preserve">à </w:t>
      </w:r>
      <w:r>
        <w:rPr>
          <w:rFonts w:ascii="Book Antiqua"/>
          <w:rtl w:val="0"/>
          <w:lang w:val="it-IT"/>
        </w:rPr>
        <w:t xml:space="preserve">di verificazione, </w:t>
      </w:r>
      <w:r>
        <w:rPr>
          <w:rFonts w:hAnsi="Book Antiqua" w:hint="default"/>
          <w:rtl w:val="0"/>
          <w:lang w:val="it-IT"/>
        </w:rPr>
        <w:t xml:space="preserve">è </w:t>
      </w:r>
      <w:r>
        <w:rPr>
          <w:rFonts w:ascii="Book Antiqua"/>
          <w:rtl w:val="0"/>
          <w:lang w:val="it-IT"/>
        </w:rPr>
        <w:t>stato riscontrato, invece, che solo una parte del costo sostenuto per l</w:t>
      </w:r>
      <w:r>
        <w:rPr>
          <w:rFonts w:hAnsi="Book Antiqua" w:hint="default"/>
          <w:rtl w:val="0"/>
          <w:lang w:val="it-IT"/>
        </w:rPr>
        <w:t>’</w:t>
      </w:r>
      <w:r>
        <w:rPr>
          <w:rFonts w:ascii="Book Antiqua"/>
          <w:rtl w:val="0"/>
          <w:lang w:val="it-IT"/>
        </w:rPr>
        <w:t xml:space="preserve">acquisto dei terreni in parola </w:t>
      </w:r>
      <w:r>
        <w:rPr>
          <w:rFonts w:hAnsi="Book Antiqua" w:hint="default"/>
          <w:rtl w:val="0"/>
          <w:lang w:val="it-IT"/>
        </w:rPr>
        <w:t xml:space="preserve">è </w:t>
      </w:r>
      <w:r>
        <w:rPr>
          <w:rFonts w:ascii="Book Antiqua"/>
          <w:rtl w:val="0"/>
          <w:lang w:val="it-IT"/>
        </w:rPr>
        <w:t>imputabile agli impianti di TMB. Di conseguenza, il costo sostenuto per l</w:t>
      </w:r>
      <w:r>
        <w:rPr>
          <w:rFonts w:hAnsi="Book Antiqua" w:hint="default"/>
          <w:rtl w:val="0"/>
          <w:lang w:val="it-IT"/>
        </w:rPr>
        <w:t>’</w:t>
      </w:r>
      <w:r>
        <w:rPr>
          <w:rFonts w:ascii="Book Antiqua"/>
          <w:rtl w:val="0"/>
          <w:lang w:val="it-IT"/>
        </w:rPr>
        <w:t>acquisto delle aree (pari a complessivi euro 2.272.410) avrebbe dovuto essere allocato agli impianti di TMB in proporzione alla superficie da questi occupata (103.250 mq) rispetto alla superficie complessiva di 449.725 mq</w:t>
      </w:r>
      <w:r>
        <w:rPr>
          <w:rFonts w:ascii="Book Antiqua" w:cs="Book Antiqua" w:hAnsi="Book Antiqua" w:eastAsia="Book Antiqua"/>
          <w:vertAlign w:val="superscript"/>
          <w:rtl w:val="0"/>
        </w:rPr>
        <w:footnoteReference w:id="147"/>
      </w:r>
      <w:r>
        <w:rPr>
          <w:rFonts w:ascii="Book Antiqua"/>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In conclusione, per quanto sopra riportato, il verificatore ha ritenuto che la determinazione tariffaria di accesso ai due impianti di trattamento, bench</w:t>
      </w:r>
      <w:r>
        <w:rPr>
          <w:rFonts w:hAnsi="Book Antiqua" w:hint="default"/>
          <w:rtl w:val="0"/>
          <w:lang w:val="it-IT"/>
        </w:rPr>
        <w:t xml:space="preserve">é </w:t>
      </w:r>
      <w:r>
        <w:rPr>
          <w:rFonts w:ascii="Book Antiqua"/>
          <w:rtl w:val="0"/>
          <w:lang w:val="it-IT"/>
        </w:rPr>
        <w:t xml:space="preserve">ispirata da una corretta interpretazione della natura del costo da dichiarare alla voce </w:t>
      </w:r>
      <w:r>
        <w:rPr>
          <w:rFonts w:hAnsi="Book Antiqua" w:hint="default"/>
          <w:rtl w:val="0"/>
          <w:lang w:val="it-IT"/>
        </w:rPr>
        <w:t>“</w:t>
      </w:r>
      <w:r>
        <w:rPr>
          <w:rFonts w:ascii="Book Antiqua"/>
          <w:rtl w:val="0"/>
          <w:lang w:val="it-IT"/>
        </w:rPr>
        <w:t xml:space="preserve">B </w:t>
      </w:r>
      <w:r>
        <w:rPr>
          <w:rFonts w:hAnsi="Book Antiqua" w:hint="default"/>
          <w:rtl w:val="0"/>
          <w:lang w:val="it-IT"/>
        </w:rPr>
        <w:t xml:space="preserve">– </w:t>
      </w:r>
      <w:r>
        <w:rPr>
          <w:rFonts w:ascii="Book Antiqua"/>
          <w:rtl w:val="0"/>
          <w:lang w:val="it-IT"/>
        </w:rPr>
        <w:t>Costo di acquisizione dell</w:t>
      </w:r>
      <w:r>
        <w:rPr>
          <w:rFonts w:hAnsi="Book Antiqua" w:hint="default"/>
          <w:rtl w:val="0"/>
          <w:lang w:val="it-IT"/>
        </w:rPr>
        <w:t>’</w:t>
      </w:r>
      <w:r>
        <w:rPr>
          <w:rFonts w:ascii="Book Antiqua"/>
          <w:rtl w:val="0"/>
          <w:lang w:val="it-IT"/>
        </w:rPr>
        <w:t>area</w:t>
      </w:r>
      <w:r>
        <w:rPr>
          <w:rFonts w:hAnsi="Book Antiqua" w:hint="default"/>
          <w:rtl w:val="0"/>
          <w:lang w:val="it-IT"/>
        </w:rPr>
        <w:t xml:space="preserve">” </w:t>
      </w:r>
      <w:r>
        <w:rPr>
          <w:rFonts w:ascii="Book Antiqua"/>
          <w:rtl w:val="0"/>
          <w:lang w:val="it-IT"/>
        </w:rPr>
        <w:t>della Tabella 5 del Decreto, non fosse corretta in relazione al calcolo del valore complessivo dei terreni asserviti all</w:t>
      </w:r>
      <w:r>
        <w:rPr>
          <w:rFonts w:hAnsi="Book Antiqua" w:hint="default"/>
          <w:rtl w:val="0"/>
          <w:lang w:val="it-IT"/>
        </w:rPr>
        <w:t>’</w:t>
      </w:r>
      <w:r>
        <w:rPr>
          <w:rFonts w:ascii="Book Antiqua"/>
          <w:rtl w:val="0"/>
          <w:lang w:val="it-IT"/>
        </w:rPr>
        <w:t>esercizio dell</w:t>
      </w:r>
      <w:r>
        <w:rPr>
          <w:rFonts w:hAnsi="Book Antiqua" w:hint="default"/>
          <w:rtl w:val="0"/>
          <w:lang w:val="it-IT"/>
        </w:rPr>
        <w:t>’</w:t>
      </w:r>
      <w:r>
        <w:rPr>
          <w:rFonts w:ascii="Book Antiqua"/>
          <w:rtl w:val="0"/>
          <w:lang w:val="it-IT"/>
        </w:rPr>
        <w:t>attivit</w:t>
      </w:r>
      <w:r>
        <w:rPr>
          <w:rFonts w:hAnsi="Book Antiqua" w:hint="default"/>
          <w:rtl w:val="0"/>
          <w:lang w:val="it-IT"/>
        </w:rPr>
        <w:t xml:space="preserve">à </w:t>
      </w:r>
      <w:r>
        <w:rPr>
          <w:rFonts w:ascii="Book Antiqua"/>
          <w:rtl w:val="0"/>
          <w:lang w:val="it-IT"/>
        </w:rPr>
        <w:t>degli impianti di TMB.</w:t>
      </w:r>
    </w:p>
    <w:p>
      <w:pPr>
        <w:pStyle w:val="Normal"/>
        <w:ind w:left="567" w:right="567" w:firstLine="0"/>
        <w:jc w:val="both"/>
        <w:rPr>
          <w:rFonts w:ascii="Book Antiqua" w:cs="Book Antiqua" w:hAnsi="Book Antiqua" w:eastAsia="Book Antiqua"/>
        </w:rPr>
      </w:pPr>
      <w:r>
        <w:rPr>
          <w:rFonts w:ascii="Book Antiqua"/>
          <w:rtl w:val="0"/>
          <w:lang w:val="it-IT"/>
        </w:rPr>
        <w:t>Con il terzo quesito il Consiglio di Stato chiedeva se la determinazione della tariffa fosse corretta in relazione ai costi di gestione.</w:t>
      </w:r>
    </w:p>
    <w:p>
      <w:pPr>
        <w:pStyle w:val="Normal"/>
        <w:ind w:left="567" w:right="567" w:firstLine="0"/>
        <w:jc w:val="both"/>
        <w:rPr>
          <w:rFonts w:ascii="Book Antiqua" w:cs="Book Antiqua" w:hAnsi="Book Antiqua" w:eastAsia="Book Antiqua"/>
        </w:rPr>
      </w:pPr>
      <w:r>
        <w:rPr>
          <w:rFonts w:ascii="Book Antiqua"/>
          <w:rtl w:val="0"/>
          <w:lang w:val="it-IT"/>
        </w:rPr>
        <w:t>Come gi</w:t>
      </w:r>
      <w:r>
        <w:rPr>
          <w:rFonts w:hAnsi="Book Antiqua" w:hint="default"/>
          <w:rtl w:val="0"/>
          <w:lang w:val="it-IT"/>
        </w:rPr>
        <w:t xml:space="preserve">à </w:t>
      </w:r>
      <w:r>
        <w:rPr>
          <w:rFonts w:ascii="Book Antiqua"/>
          <w:rtl w:val="0"/>
          <w:lang w:val="it-IT"/>
        </w:rPr>
        <w:t>evidenziato, E.Giovi S.r.l. ha presentato istanza di rideterminazione della tariffa in maniera autonoma per la discarica e per gli impianti di trattamento, procedendo a richiedere la rideterminazione della tariffa di accesso ai due impianti di trattamento attraverso la compilazione delle tabelle di cui all'Appendice B e facendo riferimento, per quanto attiene ai costi di avvio in discarica dei materiali in uscita dalla selezione, a quanto definito nella contestuale richiesta di rideterminazione della tariffa per l'impianto di discarica; tutto ci</w:t>
      </w:r>
      <w:r>
        <w:rPr>
          <w:rFonts w:hAnsi="Book Antiqua" w:hint="default"/>
          <w:rtl w:val="0"/>
          <w:lang w:val="it-IT"/>
        </w:rPr>
        <w:t xml:space="preserve">ò </w:t>
      </w:r>
      <w:r>
        <w:rPr>
          <w:rFonts w:ascii="Book Antiqua"/>
          <w:rtl w:val="0"/>
          <w:lang w:val="it-IT"/>
        </w:rPr>
        <w:t>come se il gestore della discarica non fosse la E.Giovi S.r.l. stessa, ma un soggetto terzo. La modalit</w:t>
      </w:r>
      <w:r>
        <w:rPr>
          <w:rFonts w:hAnsi="Book Antiqua" w:hint="default"/>
          <w:rtl w:val="0"/>
          <w:lang w:val="it-IT"/>
        </w:rPr>
        <w:t xml:space="preserve">à </w:t>
      </w:r>
      <w:r>
        <w:rPr>
          <w:rFonts w:ascii="Book Antiqua"/>
          <w:rtl w:val="0"/>
          <w:lang w:val="it-IT"/>
        </w:rPr>
        <w:t xml:space="preserve">adottata ha di fatto comportato il frazionamento di un unico procedimento in due.   </w:t>
      </w:r>
    </w:p>
    <w:p>
      <w:pPr>
        <w:pStyle w:val="Normal"/>
        <w:ind w:left="567" w:right="567" w:firstLine="0"/>
        <w:jc w:val="both"/>
        <w:rPr>
          <w:rFonts w:ascii="Book Antiqua" w:cs="Book Antiqua" w:hAnsi="Book Antiqua" w:eastAsia="Book Antiqua"/>
        </w:rPr>
      </w:pPr>
      <w:r>
        <w:rPr>
          <w:rFonts w:ascii="Book Antiqua"/>
          <w:rtl w:val="0"/>
          <w:lang w:val="it-IT"/>
        </w:rPr>
        <w:t>Vista la procedura adottata nella presentazione delle istanze di rideterminazione dalla Societ</w:t>
      </w:r>
      <w:r>
        <w:rPr>
          <w:rFonts w:hAnsi="Book Antiqua" w:hint="default"/>
          <w:rtl w:val="0"/>
          <w:lang w:val="it-IT"/>
        </w:rPr>
        <w:t xml:space="preserve">à </w:t>
      </w:r>
      <w:r>
        <w:rPr>
          <w:rFonts w:ascii="Book Antiqua"/>
          <w:rtl w:val="0"/>
          <w:lang w:val="it-IT"/>
        </w:rPr>
        <w:t>E.Giovi S.r.l, il verificatore non ha potuto disporre degli elementi sufficienti a confermare la congruit</w:t>
      </w:r>
      <w:r>
        <w:rPr>
          <w:rFonts w:hAnsi="Book Antiqua" w:hint="default"/>
          <w:rtl w:val="0"/>
          <w:lang w:val="it-IT"/>
        </w:rPr>
        <w:t xml:space="preserve">à </w:t>
      </w:r>
      <w:r>
        <w:rPr>
          <w:rFonts w:ascii="Book Antiqua"/>
          <w:rtl w:val="0"/>
          <w:lang w:val="it-IT"/>
        </w:rPr>
        <w:t>del valore dei costi di smaltimento che non erano nella disponibilit</w:t>
      </w:r>
      <w:r>
        <w:rPr>
          <w:rFonts w:hAnsi="Book Antiqua" w:hint="default"/>
          <w:rtl w:val="0"/>
          <w:lang w:val="it-IT"/>
        </w:rPr>
        <w:t xml:space="preserve">à </w:t>
      </w:r>
      <w:r>
        <w:rPr>
          <w:rFonts w:ascii="Book Antiqua"/>
          <w:rtl w:val="0"/>
          <w:lang w:val="it-IT"/>
        </w:rPr>
        <w:t>del collegio di verificazione.</w:t>
      </w:r>
    </w:p>
    <w:p>
      <w:pPr>
        <w:pStyle w:val="Normal"/>
        <w:ind w:left="567" w:right="567" w:firstLine="0"/>
        <w:jc w:val="both"/>
        <w:rPr>
          <w:rFonts w:ascii="Book Antiqua" w:cs="Book Antiqua" w:hAnsi="Book Antiqua" w:eastAsia="Book Antiqua"/>
        </w:rPr>
      </w:pPr>
      <w:r>
        <w:rPr>
          <w:rFonts w:ascii="Book Antiqua"/>
          <w:rtl w:val="0"/>
          <w:lang w:val="it-IT"/>
        </w:rPr>
        <w:t>Nonostante questo, il collegio di verificazione ha avuto modo di sollevare alcune importanti censure;</w:t>
      </w:r>
      <w:r>
        <w:rPr>
          <w:rFonts w:ascii="Book Antiqua"/>
          <w:rtl w:val="0"/>
          <w:lang w:val="it-IT"/>
        </w:rPr>
        <w:t xml:space="preserve"> infatti, i verificatori hanno evidenziato che nella dichiarazione di E.Giovi S.r.l.  sui costi a preventivo 2011 di smaltimento dei materiali in uscita dai due TMB (pari a 19.428.591 euro), la voce relativa alla frazione organica stabilizzata </w:t>
      </w:r>
      <w:r>
        <w:rPr>
          <w:rFonts w:hAnsi="Book Antiqua" w:hint="default"/>
          <w:rtl w:val="0"/>
          <w:lang w:val="it-IT"/>
        </w:rPr>
        <w:t>è “</w:t>
      </w:r>
      <w:r>
        <w:rPr>
          <w:rFonts w:ascii="Book Antiqua"/>
          <w:rtl w:val="0"/>
          <w:lang w:val="it-IT"/>
        </w:rPr>
        <w:t>frazionata in due: al 75 per cento della quantit</w:t>
      </w:r>
      <w:r>
        <w:rPr>
          <w:rFonts w:hAnsi="Book Antiqua" w:hint="default"/>
          <w:rtl w:val="0"/>
          <w:lang w:val="it-IT"/>
        </w:rPr>
        <w:t xml:space="preserve">à è </w:t>
      </w:r>
      <w:r>
        <w:rPr>
          <w:rFonts w:ascii="Book Antiqua"/>
          <w:rtl w:val="0"/>
          <w:lang w:val="it-IT"/>
        </w:rPr>
        <w:t>stata applicata una tariffa pari a 65,81 euro tonnellata, mentre al 25 per cento della quantit</w:t>
      </w:r>
      <w:r>
        <w:rPr>
          <w:rFonts w:hAnsi="Book Antiqua" w:hint="default"/>
          <w:rtl w:val="0"/>
          <w:lang w:val="it-IT"/>
        </w:rPr>
        <w:t xml:space="preserve">à è </w:t>
      </w:r>
      <w:r>
        <w:rPr>
          <w:rFonts w:ascii="Book Antiqua"/>
          <w:rtl w:val="0"/>
          <w:lang w:val="it-IT"/>
        </w:rPr>
        <w:t>stata applicata una tariffa pari a 32,91 euro</w:t>
      </w:r>
      <w:r>
        <w:rPr>
          <w:rFonts w:hAnsi="Book Antiqua" w:hint="default"/>
          <w:rtl w:val="0"/>
          <w:lang w:val="it-IT"/>
        </w:rPr>
        <w:t>”</w:t>
      </w:r>
      <w:r>
        <w:rPr>
          <w:rFonts w:ascii="Book Antiqua"/>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 xml:space="preserve">Tale frazionamento </w:t>
      </w:r>
      <w:r>
        <w:rPr>
          <w:rFonts w:hAnsi="Book Antiqua" w:hint="default"/>
          <w:rtl w:val="0"/>
          <w:lang w:val="it-IT"/>
        </w:rPr>
        <w:t xml:space="preserve">è </w:t>
      </w:r>
      <w:r>
        <w:rPr>
          <w:rFonts w:ascii="Book Antiqua"/>
          <w:rtl w:val="0"/>
          <w:lang w:val="it-IT"/>
        </w:rPr>
        <w:t xml:space="preserve">stato ricondotto dai verificatori ad una autonoma determinazione del gestore che avrebbe applicato una </w:t>
      </w:r>
      <w:r>
        <w:rPr>
          <w:rFonts w:hAnsi="Book Antiqua" w:hint="default"/>
          <w:rtl w:val="0"/>
          <w:lang w:val="it-IT"/>
        </w:rPr>
        <w:t>“</w:t>
      </w:r>
      <w:r>
        <w:rPr>
          <w:rFonts w:ascii="Book Antiqua"/>
          <w:rtl w:val="0"/>
          <w:lang w:val="it-IT"/>
        </w:rPr>
        <w:t>tariffa ridotta in relazione al riutilizzo come materiale di copertura</w:t>
      </w:r>
      <w:r>
        <w:rPr>
          <w:rFonts w:hAnsi="Book Antiqua" w:hint="default"/>
          <w:rtl w:val="0"/>
          <w:lang w:val="it-IT"/>
        </w:rPr>
        <w:t>”</w:t>
      </w:r>
      <w:r>
        <w:rPr>
          <w:rFonts w:ascii="Book Antiqua"/>
          <w:rtl w:val="0"/>
          <w:lang w:val="it-IT"/>
        </w:rPr>
        <w:t>, nonostante questa possibilit</w:t>
      </w:r>
      <w:r>
        <w:rPr>
          <w:rFonts w:hAnsi="Book Antiqua" w:hint="default"/>
          <w:rtl w:val="0"/>
          <w:lang w:val="it-IT"/>
        </w:rPr>
        <w:t xml:space="preserve">à </w:t>
      </w:r>
      <w:r>
        <w:rPr>
          <w:rFonts w:ascii="Book Antiqua"/>
          <w:rtl w:val="0"/>
          <w:lang w:val="it-IT"/>
        </w:rPr>
        <w:t>non fosse prevista n</w:t>
      </w:r>
      <w:r>
        <w:rPr>
          <w:rFonts w:hAnsi="Book Antiqua" w:hint="default"/>
          <w:rtl w:val="0"/>
          <w:lang w:val="it-IT"/>
        </w:rPr>
        <w:t xml:space="preserve">é </w:t>
      </w:r>
      <w:r>
        <w:rPr>
          <w:rFonts w:ascii="Book Antiqua"/>
          <w:rtl w:val="0"/>
          <w:lang w:val="it-IT"/>
        </w:rPr>
        <w:t>nel decreto n. 15/2005, n</w:t>
      </w:r>
      <w:r>
        <w:rPr>
          <w:rFonts w:hAnsi="Book Antiqua" w:hint="default"/>
          <w:rtl w:val="0"/>
          <w:lang w:val="it-IT"/>
        </w:rPr>
        <w:t xml:space="preserve">é </w:t>
      </w:r>
      <w:r>
        <w:rPr>
          <w:rFonts w:ascii="Book Antiqua"/>
          <w:rtl w:val="0"/>
          <w:lang w:val="it-IT"/>
        </w:rPr>
        <w:t>nel provvedimento di approvazione della precedente tariffa decreto n. 91 del 5 dicembre 2006.</w:t>
      </w:r>
    </w:p>
    <w:p>
      <w:pPr>
        <w:pStyle w:val="Normal"/>
        <w:ind w:left="567" w:right="567" w:firstLine="0"/>
        <w:jc w:val="both"/>
        <w:rPr>
          <w:rFonts w:ascii="Book Antiqua" w:cs="Book Antiqua" w:hAnsi="Book Antiqua" w:eastAsia="Book Antiqua"/>
        </w:rPr>
      </w:pPr>
      <w:r>
        <w:rPr>
          <w:rFonts w:ascii="Book Antiqua"/>
          <w:rtl w:val="0"/>
          <w:lang w:val="it-IT"/>
        </w:rPr>
        <w:t>Le autorizzazioni rilasciate alla E.Giovi S.r.l. consentivano l</w:t>
      </w:r>
      <w:r>
        <w:rPr>
          <w:rFonts w:hAnsi="Book Antiqua" w:hint="default"/>
          <w:rtl w:val="0"/>
          <w:lang w:val="it-IT"/>
        </w:rPr>
        <w:t>’</w:t>
      </w:r>
      <w:r>
        <w:rPr>
          <w:rFonts w:ascii="Book Antiqua"/>
          <w:rtl w:val="0"/>
          <w:lang w:val="it-IT"/>
        </w:rPr>
        <w:t>utilizzo della frazione organica stabilizzata (FOS), conforme a determinate caratteristiche tecniche, in attivit</w:t>
      </w:r>
      <w:r>
        <w:rPr>
          <w:rFonts w:hAnsi="Book Antiqua" w:hint="default"/>
          <w:rtl w:val="0"/>
          <w:lang w:val="it-IT"/>
        </w:rPr>
        <w:t xml:space="preserve">à </w:t>
      </w:r>
      <w:r>
        <w:rPr>
          <w:rFonts w:ascii="Book Antiqua"/>
          <w:rtl w:val="0"/>
          <w:lang w:val="it-IT"/>
        </w:rPr>
        <w:t>di ricopertura dei rifiuti smaltiti in discarica che, tuttavia, a parere del collegio di verificazione sarebbe da ricondurre ad attivit</w:t>
      </w:r>
      <w:r>
        <w:rPr>
          <w:rFonts w:hAnsi="Book Antiqua" w:hint="default"/>
          <w:rtl w:val="0"/>
          <w:lang w:val="it-IT"/>
        </w:rPr>
        <w:t xml:space="preserve">à </w:t>
      </w:r>
      <w:r>
        <w:rPr>
          <w:rFonts w:ascii="Book Antiqua"/>
          <w:rtl w:val="0"/>
          <w:lang w:val="it-IT"/>
        </w:rPr>
        <w:t xml:space="preserve">di recupero per la quale non dovrebbe essere prevista una tariffa di smaltimento. </w:t>
      </w:r>
    </w:p>
    <w:p>
      <w:pPr>
        <w:pStyle w:val="Normal"/>
        <w:ind w:left="567" w:right="567" w:firstLine="0"/>
        <w:jc w:val="both"/>
        <w:rPr>
          <w:rFonts w:ascii="Book Antiqua" w:cs="Book Antiqua" w:hAnsi="Book Antiqua" w:eastAsia="Book Antiqua"/>
        </w:rPr>
      </w:pPr>
      <w:r>
        <w:rPr>
          <w:rFonts w:ascii="Book Antiqua"/>
          <w:rtl w:val="0"/>
          <w:lang w:val="it-IT"/>
        </w:rPr>
        <w:t>L</w:t>
      </w:r>
      <w:r>
        <w:rPr>
          <w:rFonts w:hAnsi="Book Antiqua" w:hint="default"/>
          <w:rtl w:val="0"/>
          <w:lang w:val="it-IT"/>
        </w:rPr>
        <w:t>’</w:t>
      </w:r>
      <w:r>
        <w:rPr>
          <w:rFonts w:ascii="Book Antiqua"/>
          <w:rtl w:val="0"/>
          <w:lang w:val="it-IT"/>
        </w:rPr>
        <w:t xml:space="preserve">ultimo quesito posto dal Consiglio di Stato chiede al verificatore di valutare se la determinazione della tariffa </w:t>
      </w:r>
      <w:r>
        <w:rPr>
          <w:rFonts w:hAnsi="Book Antiqua" w:hint="default"/>
          <w:rtl w:val="0"/>
          <w:lang w:val="it-IT"/>
        </w:rPr>
        <w:t xml:space="preserve">è </w:t>
      </w:r>
      <w:r>
        <w:rPr>
          <w:rFonts w:ascii="Book Antiqua"/>
          <w:rtl w:val="0"/>
          <w:lang w:val="it-IT"/>
        </w:rPr>
        <w:t xml:space="preserve">corretta in relazione alla remunerazione del capitale investito. </w:t>
      </w:r>
    </w:p>
    <w:p>
      <w:pPr>
        <w:pStyle w:val="Normal"/>
        <w:ind w:left="567" w:right="567" w:firstLine="0"/>
        <w:jc w:val="both"/>
        <w:rPr>
          <w:rFonts w:ascii="Book Antiqua" w:cs="Book Antiqua" w:hAnsi="Book Antiqua" w:eastAsia="Book Antiqua"/>
        </w:rPr>
      </w:pPr>
      <w:r>
        <w:rPr>
          <w:rFonts w:ascii="Book Antiqua"/>
          <w:rtl w:val="0"/>
          <w:lang w:val="it-IT"/>
        </w:rPr>
        <w:t>La verificazione ha evidenziato che la metodologia di calcolo non corrisponde a quella individuata nel decreto del commissario delegato per l</w:t>
      </w:r>
      <w:r>
        <w:rPr>
          <w:rFonts w:hAnsi="Book Antiqua" w:hint="default"/>
          <w:rtl w:val="0"/>
          <w:lang w:val="it-IT"/>
        </w:rPr>
        <w:t>’</w:t>
      </w:r>
      <w:r>
        <w:rPr>
          <w:rFonts w:ascii="Book Antiqua"/>
          <w:rtl w:val="0"/>
          <w:lang w:val="it-IT"/>
        </w:rPr>
        <w:t>emergenza ambientale n. 15/2005. In particolare i revisori avrebbero dovuto calcolare il valore del capitale investito netto, sottraendo al capitale investito annuo il valore dell</w:t>
      </w:r>
      <w:r>
        <w:rPr>
          <w:rFonts w:hAnsi="Book Antiqua" w:hint="default"/>
          <w:rtl w:val="0"/>
          <w:lang w:val="it-IT"/>
        </w:rPr>
        <w:t>’</w:t>
      </w:r>
      <w:r>
        <w:rPr>
          <w:rFonts w:ascii="Book Antiqua"/>
          <w:rtl w:val="0"/>
          <w:lang w:val="it-IT"/>
        </w:rPr>
        <w:t xml:space="preserve">ammortamento indicato nella tabella 6. Inoltre, il valore della remunerazione del capitale investito dichiarato da Giovi non </w:t>
      </w:r>
      <w:r>
        <w:rPr>
          <w:rFonts w:hAnsi="Book Antiqua" w:hint="default"/>
          <w:rtl w:val="0"/>
          <w:lang w:val="it-IT"/>
        </w:rPr>
        <w:t xml:space="preserve">è </w:t>
      </w:r>
      <w:r>
        <w:rPr>
          <w:rFonts w:ascii="Book Antiqua"/>
          <w:rtl w:val="0"/>
          <w:lang w:val="it-IT"/>
        </w:rPr>
        <w:t>conforme alla normativa vigente.</w:t>
      </w:r>
    </w:p>
    <w:p>
      <w:pPr>
        <w:pStyle w:val="Normal"/>
        <w:ind w:left="567" w:right="567" w:firstLine="0"/>
        <w:jc w:val="both"/>
        <w:rPr>
          <w:rFonts w:ascii="Book Antiqua" w:cs="Book Antiqua" w:hAnsi="Book Antiqua" w:eastAsia="Book Antiqua"/>
        </w:rPr>
      </w:pPr>
      <w:r>
        <w:rPr>
          <w:rFonts w:ascii="Book Antiqua"/>
          <w:rtl w:val="0"/>
          <w:lang w:val="it-IT"/>
        </w:rPr>
        <w:t>Il decreto commissariale n. 15/2005 stabilisce che la societ</w:t>
      </w:r>
      <w:r>
        <w:rPr>
          <w:rFonts w:hAnsi="Book Antiqua" w:hint="default"/>
          <w:rtl w:val="0"/>
          <w:lang w:val="it-IT"/>
        </w:rPr>
        <w:t xml:space="preserve">à </w:t>
      </w:r>
      <w:r>
        <w:rPr>
          <w:rFonts w:ascii="Book Antiqua"/>
          <w:rtl w:val="0"/>
          <w:lang w:val="it-IT"/>
        </w:rPr>
        <w:t>istante venga remunerata per l</w:t>
      </w:r>
      <w:r>
        <w:rPr>
          <w:rFonts w:hAnsi="Book Antiqua" w:hint="default"/>
          <w:rtl w:val="0"/>
          <w:lang w:val="it-IT"/>
        </w:rPr>
        <w:t>’</w:t>
      </w:r>
      <w:r>
        <w:rPr>
          <w:rFonts w:ascii="Book Antiqua"/>
          <w:rtl w:val="0"/>
          <w:lang w:val="it-IT"/>
        </w:rPr>
        <w:t>impegno finanziario corrispondente al costo dell</w:t>
      </w:r>
      <w:r>
        <w:rPr>
          <w:rFonts w:hAnsi="Book Antiqua" w:hint="default"/>
          <w:rtl w:val="0"/>
          <w:lang w:val="it-IT"/>
        </w:rPr>
        <w:t>’</w:t>
      </w:r>
      <w:r>
        <w:rPr>
          <w:rFonts w:ascii="Book Antiqua"/>
          <w:rtl w:val="0"/>
          <w:lang w:val="it-IT"/>
        </w:rPr>
        <w:t xml:space="preserve">investimento sostenuto e non rimborsato dalla tariffa. </w:t>
      </w:r>
    </w:p>
    <w:p>
      <w:pPr>
        <w:pStyle w:val="Normal"/>
        <w:ind w:left="567" w:right="567" w:firstLine="0"/>
        <w:jc w:val="both"/>
        <w:rPr>
          <w:rFonts w:ascii="Book Antiqua" w:cs="Book Antiqua" w:hAnsi="Book Antiqua" w:eastAsia="Book Antiqua"/>
        </w:rPr>
      </w:pPr>
      <w:r>
        <w:rPr>
          <w:rFonts w:ascii="Book Antiqua"/>
          <w:rtl w:val="0"/>
          <w:lang w:val="it-IT"/>
        </w:rPr>
        <w:t>Infatti, gli ammortamenti sono gi</w:t>
      </w:r>
      <w:r>
        <w:rPr>
          <w:rFonts w:hAnsi="Book Antiqua" w:hint="default"/>
          <w:rtl w:val="0"/>
          <w:lang w:val="it-IT"/>
        </w:rPr>
        <w:t xml:space="preserve">à </w:t>
      </w:r>
      <w:r>
        <w:rPr>
          <w:rFonts w:ascii="Book Antiqua"/>
          <w:rtl w:val="0"/>
          <w:lang w:val="it-IT"/>
        </w:rPr>
        <w:t>coperti dalla tariffa, quindi, la remunerazione del capitale deve essere calcolata sul valore del costo dell</w:t>
      </w:r>
      <w:r>
        <w:rPr>
          <w:rFonts w:hAnsi="Book Antiqua" w:hint="default"/>
          <w:rtl w:val="0"/>
          <w:lang w:val="it-IT"/>
        </w:rPr>
        <w:t>’</w:t>
      </w:r>
      <w:r>
        <w:rPr>
          <w:rFonts w:ascii="Book Antiqua"/>
          <w:rtl w:val="0"/>
          <w:lang w:val="it-IT"/>
        </w:rPr>
        <w:t>investimento detratti gli ammortamenti dell</w:t>
      </w:r>
      <w:r>
        <w:rPr>
          <w:rFonts w:hAnsi="Book Antiqua" w:hint="default"/>
          <w:rtl w:val="0"/>
          <w:lang w:val="it-IT"/>
        </w:rPr>
        <w:t>’</w:t>
      </w:r>
      <w:r>
        <w:rPr>
          <w:rFonts w:ascii="Book Antiqua"/>
          <w:rtl w:val="0"/>
          <w:lang w:val="it-IT"/>
        </w:rPr>
        <w:t>anno e di quelli degli anni precedenti (che rappresentano, appunto, i costi coperti dalla tariffa e quindi non pi</w:t>
      </w:r>
      <w:r>
        <w:rPr>
          <w:rFonts w:hAnsi="Book Antiqua" w:hint="default"/>
          <w:rtl w:val="0"/>
          <w:lang w:val="it-IT"/>
        </w:rPr>
        <w:t xml:space="preserve">ù </w:t>
      </w:r>
      <w:r>
        <w:rPr>
          <w:rFonts w:ascii="Book Antiqua"/>
          <w:rtl w:val="0"/>
          <w:lang w:val="it-IT"/>
        </w:rPr>
        <w:t>remunerabili).</w:t>
      </w:r>
    </w:p>
    <w:p>
      <w:pPr>
        <w:pStyle w:val="Normal"/>
        <w:ind w:left="567" w:right="567" w:firstLine="0"/>
        <w:jc w:val="both"/>
        <w:rPr>
          <w:rFonts w:ascii="Book Antiqua" w:cs="Book Antiqua" w:hAnsi="Book Antiqua" w:eastAsia="Book Antiqua"/>
        </w:rPr>
      </w:pPr>
      <w:r>
        <w:rPr>
          <w:rFonts w:ascii="Book Antiqua"/>
          <w:rtl w:val="0"/>
          <w:lang w:val="it-IT"/>
        </w:rPr>
        <w:t>La finalit</w:t>
      </w:r>
      <w:r>
        <w:rPr>
          <w:rFonts w:hAnsi="Book Antiqua" w:hint="default"/>
          <w:rtl w:val="0"/>
          <w:lang w:val="it-IT"/>
        </w:rPr>
        <w:t xml:space="preserve">à </w:t>
      </w:r>
      <w:r>
        <w:rPr>
          <w:rFonts w:ascii="Book Antiqua"/>
          <w:rtl w:val="0"/>
          <w:lang w:val="it-IT"/>
        </w:rPr>
        <w:t xml:space="preserve">della tariffa, infatti, (sentenze 64 e 65 del 2014 del Consiglio di Stato)  </w:t>
      </w:r>
      <w:r>
        <w:rPr>
          <w:rFonts w:hAnsi="Book Antiqua" w:hint="default"/>
          <w:rtl w:val="0"/>
          <w:lang w:val="it-IT"/>
        </w:rPr>
        <w:t xml:space="preserve">è </w:t>
      </w:r>
      <w:r>
        <w:rPr>
          <w:rFonts w:ascii="Book Antiqua"/>
          <w:rtl w:val="0"/>
          <w:lang w:val="it-IT"/>
        </w:rPr>
        <w:t>assicurare al gestore l</w:t>
      </w:r>
      <w:r>
        <w:rPr>
          <w:rFonts w:hAnsi="Book Antiqua" w:hint="default"/>
          <w:rtl w:val="0"/>
          <w:lang w:val="it-IT"/>
        </w:rPr>
        <w:t>’</w:t>
      </w:r>
      <w:r>
        <w:rPr>
          <w:rFonts w:ascii="Book Antiqua"/>
          <w:rtl w:val="0"/>
          <w:lang w:val="it-IT"/>
        </w:rPr>
        <w:t>introito di una somma che ristori i costi sostenuti nel corso della attivit</w:t>
      </w:r>
      <w:r>
        <w:rPr>
          <w:rFonts w:hAnsi="Book Antiqua" w:hint="default"/>
          <w:rtl w:val="0"/>
          <w:lang w:val="it-IT"/>
        </w:rPr>
        <w:t>à</w:t>
      </w:r>
      <w:r>
        <w:rPr>
          <w:rFonts w:ascii="Book Antiqua"/>
          <w:rtl w:val="0"/>
          <w:lang w:val="it-IT"/>
        </w:rPr>
        <w:t xml:space="preserve">. Il ristoro del capitale investito  </w:t>
      </w:r>
      <w:r>
        <w:rPr>
          <w:rFonts w:hAnsi="Book Antiqua" w:hint="default"/>
          <w:rtl w:val="0"/>
          <w:lang w:val="it-IT"/>
        </w:rPr>
        <w:t xml:space="preserve">è </w:t>
      </w:r>
      <w:r>
        <w:rPr>
          <w:rFonts w:ascii="Book Antiqua"/>
          <w:rtl w:val="0"/>
          <w:lang w:val="it-IT"/>
        </w:rPr>
        <w:t>rappresentato dalla remunerazione del capitale immobilizzato cio</w:t>
      </w:r>
      <w:r>
        <w:rPr>
          <w:rFonts w:hAnsi="Book Antiqua" w:hint="default"/>
          <w:rtl w:val="0"/>
          <w:lang w:val="it-IT"/>
        </w:rPr>
        <w:t xml:space="preserve">è </w:t>
      </w:r>
      <w:r>
        <w:rPr>
          <w:rFonts w:ascii="Book Antiqua"/>
          <w:rtl w:val="0"/>
          <w:lang w:val="it-IT"/>
        </w:rPr>
        <w:t>della parte di costo sostenuto per l</w:t>
      </w:r>
      <w:r>
        <w:rPr>
          <w:rFonts w:hAnsi="Book Antiqua" w:hint="default"/>
          <w:rtl w:val="0"/>
          <w:lang w:val="it-IT"/>
        </w:rPr>
        <w:t>’</w:t>
      </w:r>
      <w:r>
        <w:rPr>
          <w:rFonts w:ascii="Book Antiqua"/>
          <w:rtl w:val="0"/>
          <w:lang w:val="it-IT"/>
        </w:rPr>
        <w:t xml:space="preserve">acquisto dei beni durevoli e non ancora rimborsato.  </w:t>
      </w:r>
    </w:p>
    <w:p>
      <w:pPr>
        <w:pStyle w:val="Normal"/>
        <w:ind w:left="567" w:right="567" w:firstLine="0"/>
        <w:jc w:val="both"/>
        <w:rPr>
          <w:rFonts w:ascii="Book Antiqua" w:cs="Book Antiqua" w:hAnsi="Book Antiqua" w:eastAsia="Book Antiqua"/>
        </w:rPr>
      </w:pPr>
      <w:r>
        <w:rPr>
          <w:rFonts w:ascii="Book Antiqua"/>
          <w:rtl w:val="0"/>
          <w:lang w:val="it-IT"/>
        </w:rPr>
        <w:t>La metodologia applicata dai revisori, invece, aveva utilizzato un valore di ammortamento determinato dividendo il valore globale del capitale investito per l</w:t>
      </w:r>
      <w:r>
        <w:rPr>
          <w:rFonts w:hAnsi="Book Antiqua" w:hint="default"/>
          <w:rtl w:val="0"/>
          <w:lang w:val="it-IT"/>
        </w:rPr>
        <w:t>’</w:t>
      </w:r>
      <w:r>
        <w:rPr>
          <w:rFonts w:ascii="Book Antiqua"/>
          <w:rtl w:val="0"/>
          <w:lang w:val="it-IT"/>
        </w:rPr>
        <w:t>arco di tempo di sei anni relativo alla durata dell</w:t>
      </w:r>
      <w:r>
        <w:rPr>
          <w:rFonts w:hAnsi="Book Antiqua" w:hint="default"/>
          <w:rtl w:val="0"/>
          <w:lang w:val="it-IT"/>
        </w:rPr>
        <w:t>’</w:t>
      </w:r>
      <w:r>
        <w:rPr>
          <w:rFonts w:ascii="Book Antiqua"/>
          <w:rtl w:val="0"/>
          <w:lang w:val="it-IT"/>
        </w:rPr>
        <w:t>autorizzazione. Assumendo, in tale modo, che il costo complessivo dell</w:t>
      </w:r>
      <w:r>
        <w:rPr>
          <w:rFonts w:hAnsi="Book Antiqua" w:hint="default"/>
          <w:rtl w:val="0"/>
          <w:lang w:val="it-IT"/>
        </w:rPr>
        <w:t>’</w:t>
      </w:r>
      <w:r>
        <w:rPr>
          <w:rFonts w:ascii="Book Antiqua"/>
          <w:rtl w:val="0"/>
          <w:lang w:val="it-IT"/>
        </w:rPr>
        <w:t xml:space="preserve">investimento dovesse essere </w:t>
      </w:r>
      <w:r>
        <w:rPr>
          <w:rFonts w:hAnsi="Book Antiqua" w:hint="default"/>
          <w:rtl w:val="0"/>
          <w:lang w:val="it-IT"/>
        </w:rPr>
        <w:t>“</w:t>
      </w:r>
      <w:r>
        <w:rPr>
          <w:rFonts w:ascii="Book Antiqua"/>
          <w:rtl w:val="0"/>
          <w:lang w:val="it-IT"/>
        </w:rPr>
        <w:t>spalmato</w:t>
      </w:r>
      <w:r>
        <w:rPr>
          <w:rFonts w:hAnsi="Book Antiqua" w:hint="default"/>
          <w:rtl w:val="0"/>
          <w:lang w:val="it-IT"/>
        </w:rPr>
        <w:t xml:space="preserve">” </w:t>
      </w:r>
      <w:r>
        <w:rPr>
          <w:rFonts w:ascii="Book Antiqua"/>
          <w:rtl w:val="0"/>
          <w:lang w:val="it-IT"/>
        </w:rPr>
        <w:t>lungo un arco temporale corrispondete alla durata dell</w:t>
      </w:r>
      <w:r>
        <w:rPr>
          <w:rFonts w:hAnsi="Book Antiqua" w:hint="default"/>
          <w:rtl w:val="0"/>
          <w:lang w:val="it-IT"/>
        </w:rPr>
        <w:t>’</w:t>
      </w:r>
      <w:r>
        <w:rPr>
          <w:rFonts w:ascii="Book Antiqua"/>
          <w:rtl w:val="0"/>
          <w:lang w:val="it-IT"/>
        </w:rPr>
        <w:t xml:space="preserve">autorizzazione  </w:t>
      </w:r>
    </w:p>
    <w:p>
      <w:pPr>
        <w:pStyle w:val="Normal"/>
        <w:ind w:left="567" w:right="567" w:firstLine="0"/>
        <w:jc w:val="both"/>
        <w:rPr>
          <w:rFonts w:ascii="Book Antiqua" w:cs="Book Antiqua" w:hAnsi="Book Antiqua" w:eastAsia="Book Antiqua"/>
        </w:rPr>
      </w:pPr>
      <w:r>
        <w:rPr>
          <w:rFonts w:ascii="Book Antiqua"/>
          <w:rtl w:val="0"/>
          <w:lang w:val="it-IT"/>
        </w:rPr>
        <w:t>Con sentenza n. 248 del 25 gennaio 2016 il Consiglio di Stato, facendo proprie le argomentazioni esposte nella relazione di verificazione, ha accolto l</w:t>
      </w:r>
      <w:r>
        <w:rPr>
          <w:rFonts w:hAnsi="Book Antiqua" w:hint="default"/>
          <w:rtl w:val="0"/>
          <w:lang w:val="it-IT"/>
        </w:rPr>
        <w:t>’</w:t>
      </w:r>
      <w:r>
        <w:rPr>
          <w:rFonts w:ascii="Book Antiqua"/>
          <w:rtl w:val="0"/>
          <w:lang w:val="it-IT"/>
        </w:rPr>
        <w:t>appello di AMA S.p.A. e, in riforma della sentenza impugnata, respinto  il ricorso di primo grado.</w:t>
      </w:r>
    </w:p>
    <w:p>
      <w:pPr>
        <w:pStyle w:val="Normal"/>
        <w:ind w:left="567" w:right="567" w:firstLine="0"/>
        <w:jc w:val="both"/>
        <w:rPr>
          <w:rFonts w:ascii="Book Antiqua" w:cs="Book Antiqua" w:hAnsi="Book Antiqua" w:eastAsia="Book Antiqua"/>
        </w:rPr>
      </w:pPr>
      <w:r>
        <w:rPr>
          <w:rFonts w:ascii="Book Antiqua"/>
          <w:rtl w:val="0"/>
          <w:lang w:val="it-IT"/>
        </w:rPr>
        <w:t>A seguito della sentenza del Consiglio di Stato 00248/2016 la regione Lazio ha avviato il procedimento di revisione della tariffa gi</w:t>
      </w:r>
      <w:r>
        <w:rPr>
          <w:rFonts w:hAnsi="Book Antiqua" w:hint="default"/>
          <w:rtl w:val="0"/>
          <w:lang w:val="it-IT"/>
        </w:rPr>
        <w:t xml:space="preserve">à </w:t>
      </w:r>
      <w:r>
        <w:rPr>
          <w:rFonts w:ascii="Book Antiqua"/>
          <w:rtl w:val="0"/>
          <w:lang w:val="it-IT"/>
        </w:rPr>
        <w:t>fissata per i due impianti TMB1 e TMB2 siti in localit</w:t>
      </w:r>
      <w:r>
        <w:rPr>
          <w:rFonts w:hAnsi="Book Antiqua" w:hint="default"/>
          <w:rtl w:val="0"/>
          <w:lang w:val="it-IT"/>
        </w:rPr>
        <w:t xml:space="preserve">à </w:t>
      </w:r>
      <w:r>
        <w:rPr>
          <w:rFonts w:ascii="Book Antiqua"/>
          <w:rtl w:val="0"/>
          <w:lang w:val="it-IT"/>
        </w:rPr>
        <w:t xml:space="preserve">Malagrotta nel comune di Roma e gestiti dalla E.Giovi Srl con la determinazione B7190 emessa il 20 settembre 2011. Alla base del calcolo per la determinazione della nuova tariffa </w:t>
      </w:r>
      <w:r>
        <w:rPr>
          <w:rFonts w:hAnsi="Book Antiqua" w:hint="default"/>
          <w:rtl w:val="0"/>
          <w:lang w:val="it-IT"/>
        </w:rPr>
        <w:t xml:space="preserve">è </w:t>
      </w:r>
      <w:r>
        <w:rPr>
          <w:rFonts w:ascii="Book Antiqua"/>
          <w:rtl w:val="0"/>
          <w:lang w:val="it-IT"/>
        </w:rPr>
        <w:t xml:space="preserve">stata utilizzata relazione redatta dai revisori modificando gli elementi ritenuti non corretti dalla verificazione ordinata del Consiglio di Stato. La rideterminazione </w:t>
      </w:r>
      <w:r>
        <w:rPr>
          <w:rFonts w:hAnsi="Book Antiqua" w:hint="default"/>
          <w:rtl w:val="0"/>
          <w:lang w:val="it-IT"/>
        </w:rPr>
        <w:t xml:space="preserve">è </w:t>
      </w:r>
      <w:r>
        <w:rPr>
          <w:rFonts w:ascii="Book Antiqua"/>
          <w:rtl w:val="0"/>
          <w:lang w:val="it-IT"/>
        </w:rPr>
        <w:t>avvenuta con determinazione n. G14973 del 14/12/2016 che ha stabilito le seguenti tariffe di acceso ai due impianti di trattamento meccanico biologico:</w:t>
      </w:r>
    </w:p>
    <w:p>
      <w:pPr>
        <w:pStyle w:val="Normal"/>
        <w:ind w:left="567" w:right="567" w:firstLine="0"/>
        <w:jc w:val="both"/>
        <w:rPr>
          <w:rFonts w:ascii="Book Antiqua" w:cs="Book Antiqua" w:hAnsi="Book Antiqua" w:eastAsia="Book Antiqua"/>
        </w:rPr>
      </w:pPr>
      <w:r>
        <w:rPr>
          <w:rFonts w:ascii="Book Antiqua"/>
          <w:rtl w:val="0"/>
          <w:lang w:val="it-IT"/>
        </w:rPr>
        <w:t>- 92,22 euro a tonnellata dal 20 settembre 2011 e fino al 30 settembre 2013;</w:t>
      </w:r>
    </w:p>
    <w:p>
      <w:pPr>
        <w:pStyle w:val="Normal"/>
        <w:ind w:left="567" w:right="567" w:firstLine="0"/>
        <w:jc w:val="both"/>
        <w:rPr>
          <w:rFonts w:ascii="Book Antiqua" w:cs="Book Antiqua" w:hAnsi="Book Antiqua" w:eastAsia="Book Antiqua"/>
        </w:rPr>
      </w:pPr>
      <w:r>
        <w:rPr>
          <w:rFonts w:ascii="Book Antiqua"/>
          <w:rtl w:val="0"/>
          <w:lang w:val="it-IT"/>
        </w:rPr>
        <w:t>- 122,08 euro a tonnellata tariffa dal 1</w:t>
      </w:r>
      <w:r>
        <w:rPr>
          <w:rFonts w:hAnsi="Book Antiqua" w:hint="default"/>
          <w:rtl w:val="0"/>
          <w:lang w:val="it-IT"/>
        </w:rPr>
        <w:t xml:space="preserve">° </w:t>
      </w:r>
      <w:r>
        <w:rPr>
          <w:rFonts w:ascii="Book Antiqua"/>
          <w:rtl w:val="0"/>
          <w:lang w:val="it-IT"/>
        </w:rPr>
        <w:t>ottobre 2013, dopo la chiusura della discarica di Malagrotta.</w:t>
      </w:r>
    </w:p>
    <w:p>
      <w:pPr>
        <w:pStyle w:val="Default"/>
        <w:ind w:left="567" w:right="567" w:firstLine="0"/>
        <w:jc w:val="both"/>
        <w:rPr>
          <w:rFonts w:ascii="Book Antiqua" w:cs="Book Antiqua" w:hAnsi="Book Antiqua" w:eastAsia="Book Antiqua"/>
          <w:color w:val="000000"/>
          <w:u w:color="000000"/>
        </w:rPr>
      </w:pPr>
      <w:r>
        <w:rPr>
          <w:rFonts w:ascii="Book Antiqua"/>
          <w:rtl w:val="0"/>
          <w:lang w:val="it-IT"/>
        </w:rPr>
        <w:t xml:space="preserve">Nella relazione istruttoria per il calcolo della tariffa di accesso al sistema impiantistico di Malagrotta, allegata alla suddetta determinazione, Flaminia Tosini, dirigente della regione Lazio,  evidenzia: </w:t>
      </w:r>
      <w:r>
        <w:rPr>
          <w:rFonts w:hAnsi="Book Antiqua" w:hint="default"/>
          <w:rtl w:val="0"/>
          <w:lang w:val="it-IT"/>
        </w:rPr>
        <w:t>“</w:t>
      </w:r>
      <w:r>
        <w:rPr>
          <w:rFonts w:ascii="Book Antiqua"/>
          <w:rtl w:val="0"/>
          <w:lang w:val="it-IT"/>
        </w:rPr>
        <w:t xml:space="preserve">Agli atti </w:t>
      </w:r>
      <w:r>
        <w:rPr>
          <w:rFonts w:hAnsi="Book Antiqua" w:hint="default"/>
          <w:rtl w:val="0"/>
          <w:lang w:val="it-IT"/>
        </w:rPr>
        <w:t xml:space="preserve">è </w:t>
      </w:r>
      <w:r>
        <w:rPr>
          <w:rFonts w:ascii="Book Antiqua"/>
          <w:rtl w:val="0"/>
          <w:lang w:val="it-IT"/>
        </w:rPr>
        <w:t xml:space="preserve">stata trovata una relazione dei dottori Pelino e Pirottina nella quale veniva esaminata la tariffa di </w:t>
      </w:r>
      <w:r>
        <w:rPr>
          <w:rFonts w:ascii="Book Antiqua"/>
          <w:color w:val="000000"/>
          <w:u w:color="000000"/>
          <w:rtl w:val="0"/>
          <w:lang w:val="it-IT"/>
        </w:rPr>
        <w:t>accesso della discarica di Malagrotta e concluso che non si poteva procedere a variazione perch</w:t>
      </w:r>
      <w:r>
        <w:rPr>
          <w:rFonts w:hAnsi="Book Antiqua" w:hint="default"/>
          <w:color w:val="000000"/>
          <w:u w:color="000000"/>
          <w:rtl w:val="0"/>
          <w:lang w:val="it-IT"/>
        </w:rPr>
        <w:t xml:space="preserve">é </w:t>
      </w:r>
      <w:r>
        <w:rPr>
          <w:rFonts w:ascii="Book Antiqua"/>
          <w:color w:val="000000"/>
          <w:u w:color="000000"/>
          <w:rtl w:val="0"/>
          <w:lang w:val="it-IT"/>
        </w:rPr>
        <w:t>la nuova determinazione era inferiore al 10 per cento. Non si comprende perch</w:t>
      </w:r>
      <w:r>
        <w:rPr>
          <w:rFonts w:hAnsi="Book Antiqua" w:hint="default"/>
          <w:color w:val="000000"/>
          <w:u w:color="000000"/>
          <w:rtl w:val="0"/>
          <w:lang w:val="it-IT"/>
        </w:rPr>
        <w:t xml:space="preserve">é </w:t>
      </w:r>
      <w:r>
        <w:rPr>
          <w:rFonts w:ascii="Book Antiqua"/>
          <w:color w:val="000000"/>
          <w:u w:color="000000"/>
          <w:rtl w:val="0"/>
          <w:lang w:val="it-IT"/>
        </w:rPr>
        <w:t>all</w:t>
      </w:r>
      <w:r>
        <w:rPr>
          <w:rFonts w:hAnsi="Book Antiqua" w:hint="default"/>
          <w:color w:val="000000"/>
          <w:u w:color="000000"/>
          <w:rtl w:val="0"/>
          <w:lang w:val="it-IT"/>
        </w:rPr>
        <w:t>’</w:t>
      </w:r>
      <w:r>
        <w:rPr>
          <w:rFonts w:ascii="Book Antiqua"/>
          <w:color w:val="000000"/>
          <w:u w:color="000000"/>
          <w:rtl w:val="0"/>
          <w:lang w:val="it-IT"/>
        </w:rPr>
        <w:t>epoca l</w:t>
      </w:r>
      <w:r>
        <w:rPr>
          <w:rFonts w:hAnsi="Book Antiqua" w:hint="default"/>
          <w:color w:val="000000"/>
          <w:u w:color="000000"/>
          <w:rtl w:val="0"/>
          <w:lang w:val="it-IT"/>
        </w:rPr>
        <w:t>’</w:t>
      </w:r>
      <w:r>
        <w:rPr>
          <w:rFonts w:ascii="Book Antiqua"/>
          <w:color w:val="000000"/>
          <w:u w:color="000000"/>
          <w:rtl w:val="0"/>
          <w:lang w:val="it-IT"/>
        </w:rPr>
        <w:t>ufficio non ha dato seguito a tale relazione ed ha portato alla condanna da parte del TAR e del Consiglio di Stato sull</w:t>
      </w:r>
      <w:r>
        <w:rPr>
          <w:rFonts w:hAnsi="Book Antiqua" w:hint="default"/>
          <w:color w:val="000000"/>
          <w:u w:color="000000"/>
          <w:rtl w:val="0"/>
          <w:lang w:val="it-IT"/>
        </w:rPr>
        <w:t>’</w:t>
      </w:r>
      <w:r>
        <w:rPr>
          <w:rFonts w:ascii="Book Antiqua"/>
          <w:color w:val="000000"/>
          <w:u w:color="000000"/>
          <w:rtl w:val="0"/>
          <w:lang w:val="it-IT"/>
        </w:rPr>
        <w:t>inerzia della regione</w:t>
      </w:r>
      <w:r>
        <w:rPr>
          <w:rFonts w:hAnsi="Book Antiqua" w:hint="default"/>
          <w:color w:val="000000"/>
          <w:u w:color="000000"/>
          <w:rtl w:val="0"/>
          <w:lang w:val="it-IT"/>
        </w:rPr>
        <w:t>”</w:t>
      </w:r>
      <w:r>
        <w:rPr>
          <w:rFonts w:ascii="Book Antiqua"/>
          <w:color w:val="000000"/>
          <w:u w:color="000000"/>
          <w:rtl w:val="0"/>
          <w:lang w:val="it-IT"/>
        </w:rPr>
        <w:t xml:space="preserve">. Ancora, nella medesima relazione, si precisa che </w:t>
      </w:r>
      <w:r>
        <w:rPr>
          <w:rFonts w:hAnsi="Book Antiqua" w:hint="default"/>
          <w:color w:val="000000"/>
          <w:u w:color="000000"/>
          <w:rtl w:val="0"/>
          <w:lang w:val="it-IT"/>
        </w:rPr>
        <w:t>“</w:t>
      </w:r>
      <w:r>
        <w:rPr>
          <w:rFonts w:ascii="Book Antiqua"/>
          <w:color w:val="000000"/>
          <w:u w:color="000000"/>
          <w:rtl w:val="0"/>
          <w:lang w:val="it-IT"/>
        </w:rPr>
        <w:t>nell</w:t>
      </w:r>
      <w:r>
        <w:rPr>
          <w:rFonts w:hAnsi="Book Antiqua" w:hint="default"/>
          <w:color w:val="000000"/>
          <w:u w:color="000000"/>
          <w:rtl w:val="0"/>
          <w:lang w:val="it-IT"/>
        </w:rPr>
        <w:t>’</w:t>
      </w:r>
      <w:r>
        <w:rPr>
          <w:rFonts w:ascii="Book Antiqua"/>
          <w:color w:val="000000"/>
          <w:u w:color="000000"/>
          <w:rtl w:val="0"/>
          <w:lang w:val="it-IT"/>
        </w:rPr>
        <w:t>applicazione dei costi per lo smaltimento dovr</w:t>
      </w:r>
      <w:r>
        <w:rPr>
          <w:rFonts w:hAnsi="Book Antiqua" w:hint="default"/>
          <w:color w:val="000000"/>
          <w:u w:color="000000"/>
          <w:rtl w:val="0"/>
          <w:lang w:val="it-IT"/>
        </w:rPr>
        <w:t xml:space="preserve">à </w:t>
      </w:r>
      <w:r>
        <w:rPr>
          <w:rFonts w:ascii="Book Antiqua"/>
          <w:color w:val="000000"/>
          <w:u w:color="000000"/>
          <w:rtl w:val="0"/>
          <w:lang w:val="it-IT"/>
        </w:rPr>
        <w:t xml:space="preserve">essere contemplato anche il costo per il </w:t>
      </w:r>
      <w:r>
        <w:rPr>
          <w:rFonts w:ascii="Book Antiqua"/>
          <w:i w:val="1"/>
          <w:iCs w:val="1"/>
          <w:color w:val="000000"/>
          <w:u w:color="000000"/>
          <w:rtl w:val="0"/>
          <w:lang w:val="it-IT"/>
        </w:rPr>
        <w:t>post mortem</w:t>
      </w:r>
      <w:r>
        <w:rPr>
          <w:rFonts w:ascii="Book Antiqua"/>
          <w:color w:val="000000"/>
          <w:u w:color="000000"/>
          <w:rtl w:val="0"/>
          <w:lang w:val="it-IT"/>
        </w:rPr>
        <w:t xml:space="preserve"> che </w:t>
      </w:r>
      <w:r>
        <w:rPr>
          <w:rFonts w:hAnsi="Book Antiqua" w:hint="default"/>
          <w:color w:val="000000"/>
          <w:u w:color="000000"/>
          <w:rtl w:val="0"/>
          <w:lang w:val="it-IT"/>
        </w:rPr>
        <w:t xml:space="preserve">è </w:t>
      </w:r>
      <w:r>
        <w:rPr>
          <w:rFonts w:ascii="Book Antiqua"/>
          <w:color w:val="000000"/>
          <w:u w:color="000000"/>
          <w:rtl w:val="0"/>
          <w:lang w:val="it-IT"/>
        </w:rPr>
        <w:t>stato fissato dalla regione Lazio con la deliberazione della Giunta regionale 630/2004 in 13,925 euro a tonnellata. Pertanto il gestore dovr</w:t>
      </w:r>
      <w:r>
        <w:rPr>
          <w:rFonts w:hAnsi="Book Antiqua" w:hint="default"/>
          <w:color w:val="000000"/>
          <w:u w:color="000000"/>
          <w:rtl w:val="0"/>
          <w:lang w:val="it-IT"/>
        </w:rPr>
        <w:t xml:space="preserve">à </w:t>
      </w:r>
      <w:r>
        <w:rPr>
          <w:rFonts w:ascii="Book Antiqua"/>
          <w:color w:val="000000"/>
          <w:u w:color="000000"/>
          <w:rtl w:val="0"/>
          <w:lang w:val="it-IT"/>
        </w:rPr>
        <w:t>attribuire al conferitore, per ogni tonnellata conferita, tali somme che vanno sommate alla determinazione della tariffa suddetta. Tale importo viene determinato ai fini del calcolo della tariffa di ingresso ai TMB 1 e 2 che l</w:t>
      </w:r>
      <w:r>
        <w:rPr>
          <w:rFonts w:hAnsi="Book Antiqua" w:hint="default"/>
          <w:color w:val="000000"/>
          <w:u w:color="000000"/>
          <w:rtl w:val="0"/>
          <w:lang w:val="it-IT"/>
        </w:rPr>
        <w:t>’</w:t>
      </w:r>
      <w:r>
        <w:rPr>
          <w:rFonts w:ascii="Book Antiqua"/>
          <w:color w:val="000000"/>
          <w:u w:color="000000"/>
          <w:rtl w:val="0"/>
          <w:lang w:val="it-IT"/>
        </w:rPr>
        <w:t>unica tariffa di accesso da considerare in quanto l</w:t>
      </w:r>
      <w:r>
        <w:rPr>
          <w:rFonts w:hAnsi="Book Antiqua" w:hint="default"/>
          <w:color w:val="000000"/>
          <w:u w:color="000000"/>
          <w:rtl w:val="0"/>
          <w:lang w:val="it-IT"/>
        </w:rPr>
        <w:t>’</w:t>
      </w:r>
      <w:r>
        <w:rPr>
          <w:rFonts w:ascii="Book Antiqua"/>
          <w:color w:val="000000"/>
          <w:u w:color="000000"/>
          <w:rtl w:val="0"/>
          <w:lang w:val="it-IT"/>
        </w:rPr>
        <w:t xml:space="preserve">istanza del 2010 andava presentata in tale maniera. </w:t>
      </w:r>
    </w:p>
    <w:p>
      <w:pPr>
        <w:pStyle w:val="Normal"/>
        <w:ind w:left="567" w:right="567" w:firstLine="0"/>
        <w:jc w:val="both"/>
        <w:rPr>
          <w:rFonts w:ascii="Book Antiqua" w:cs="Book Antiqua" w:hAnsi="Book Antiqua" w:eastAsia="Book Antiqua"/>
        </w:rPr>
      </w:pPr>
      <w:r>
        <w:rPr>
          <w:rFonts w:ascii="Book Antiqua"/>
          <w:rtl w:val="0"/>
          <w:lang w:val="it-IT"/>
        </w:rPr>
        <w:t>Anche questo elemento doveva essere contestato dagli uffici nelle modalit</w:t>
      </w:r>
      <w:r>
        <w:rPr>
          <w:rFonts w:hAnsi="Book Antiqua" w:hint="default"/>
          <w:rtl w:val="0"/>
          <w:lang w:val="it-IT"/>
        </w:rPr>
        <w:t xml:space="preserve">à </w:t>
      </w:r>
      <w:r>
        <w:rPr>
          <w:rFonts w:ascii="Book Antiqua"/>
          <w:rtl w:val="0"/>
          <w:lang w:val="it-IT"/>
        </w:rPr>
        <w:t>di presentazione della richiesta di tariffa.</w:t>
      </w:r>
      <w:r>
        <w:rPr>
          <w:rFonts w:hAnsi="Book Antiqua" w:hint="default"/>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La regione Lazio ha poi in effetti provveduto</w:t>
      </w:r>
      <w:r>
        <w:rPr>
          <w:rFonts w:ascii="Book Antiqua" w:cs="Book Antiqua" w:hAnsi="Book Antiqua" w:eastAsia="Book Antiqua"/>
          <w:vertAlign w:val="superscript"/>
          <w:rtl w:val="0"/>
        </w:rPr>
        <w:footnoteReference w:id="148"/>
      </w:r>
      <w:r>
        <w:rPr>
          <w:rFonts w:ascii="Book Antiqua"/>
          <w:rtl w:val="0"/>
          <w:lang w:val="it-IT"/>
        </w:rPr>
        <w:t xml:space="preserve"> alla determinazione delle tariffe, con determinazioni G10586 del 21 settembre 2016 (decreto commissariale 15/2007 - Modifica determinazioni B7190/2011 e G9974/2015 - Approvazione tariffa definizione tariffa di accesso agli impianti denominati TMB Malagrotta 1 e 2 siti in loc. Malagrotta nel comune di Roma e gestiti dalla E.Giovi S.r.l.), G10587 del 27 settembre 2016, G14973 del 14 dicembre 2016 (decreto commissariale 15/2005 - Modifica determinazioni B7190/2011 e G9974/2015 - Approvazione tariffa di accesso agli impianti denominati TMB Malagrotta 1 e 2 siti in loc. Malagrotta nel comune di Roma e gestiti dalla E.Giovi Srl </w:t>
      </w:r>
      <w:r>
        <w:rPr>
          <w:rFonts w:hAnsi="Book Antiqua" w:hint="default"/>
          <w:rtl w:val="0"/>
          <w:lang w:val="it-IT"/>
        </w:rPr>
        <w:t xml:space="preserve">– </w:t>
      </w:r>
      <w:r>
        <w:rPr>
          <w:rFonts w:ascii="Book Antiqua"/>
          <w:rtl w:val="0"/>
          <w:lang w:val="it-IT"/>
        </w:rPr>
        <w:t>Revoca determinazione n. G10586/2016 e G10857/2016), G07159 del 22 maggio 2017 (Approvazione tariffa di ingresso agli impianti di trattamento meccanico biologico</w:t>
      </w:r>
      <w:r>
        <w:rPr>
          <w:rFonts w:hAnsi="Book Antiqua" w:hint="default"/>
          <w:rtl w:val="0"/>
          <w:lang w:val="it-IT"/>
        </w:rPr>
        <w:t> </w:t>
      </w:r>
      <w:r>
        <w:rPr>
          <w:rFonts w:ascii="Book Antiqua"/>
          <w:rtl w:val="0"/>
          <w:lang w:val="it-IT"/>
        </w:rPr>
        <w:t>denominati Malagrotta 1 e Malagrotta 2 siti in Via di Malagrotta n. 257 in Roma e gestiti dalla E. Giovi Srl con sede legale in</w:t>
      </w:r>
      <w:r>
        <w:rPr>
          <w:rFonts w:hAnsi="Book Antiqua" w:hint="default"/>
          <w:rtl w:val="0"/>
          <w:lang w:val="it-IT"/>
        </w:rPr>
        <w:t> </w:t>
      </w:r>
      <w:r>
        <w:rPr>
          <w:rFonts w:ascii="Book Antiqua"/>
          <w:rtl w:val="0"/>
          <w:lang w:val="it-IT"/>
        </w:rPr>
        <w:t>Roma, Via Portuense n. 881, a far data dal 23 dicembre 2016).</w:t>
      </w:r>
    </w:p>
    <w:p>
      <w:pPr>
        <w:pStyle w:val="Normal"/>
        <w:ind w:left="567" w:right="567" w:firstLine="0"/>
        <w:jc w:val="both"/>
        <w:rPr>
          <w:rFonts w:ascii="Book Antiqua" w:cs="Book Antiqua" w:hAnsi="Book Antiqua" w:eastAsia="Book Antiqua"/>
          <w:color w:val="333333"/>
          <w:u w:color="333333"/>
          <w:shd w:val="clear" w:color="auto" w:fill="ffffff"/>
        </w:rPr>
      </w:pPr>
    </w:p>
    <w:p>
      <w:pPr>
        <w:pStyle w:val="Normal"/>
        <w:ind w:left="567" w:right="567" w:firstLine="0"/>
        <w:jc w:val="both"/>
        <w:rPr>
          <w:rFonts w:ascii="Book Antiqua" w:cs="Book Antiqua" w:hAnsi="Book Antiqua" w:eastAsia="Book Antiqua"/>
          <w:color w:val="333333"/>
          <w:u w:color="333333"/>
          <w:shd w:val="clear" w:color="auto" w:fill="ffffff"/>
        </w:rPr>
      </w:pPr>
    </w:p>
    <w:p>
      <w:pPr>
        <w:pStyle w:val="Normal"/>
        <w:ind w:left="567" w:right="567" w:firstLine="0"/>
        <w:jc w:val="both"/>
        <w:rPr>
          <w:rFonts w:ascii="Book Antiqua" w:cs="Book Antiqua" w:hAnsi="Book Antiqua" w:eastAsia="Book Antiqua"/>
          <w:color w:val="333333"/>
          <w:sz w:val="28"/>
          <w:szCs w:val="28"/>
          <w:u w:color="333333"/>
          <w:shd w:val="clear" w:color="auto" w:fill="ffffff"/>
        </w:rPr>
      </w:pPr>
      <w:r>
        <w:rPr>
          <w:rFonts w:ascii="Book Antiqua"/>
          <w:color w:val="333333"/>
          <w:sz w:val="28"/>
          <w:szCs w:val="28"/>
          <w:u w:color="333333"/>
          <w:shd w:val="clear" w:color="auto" w:fill="ffffff"/>
          <w:rtl w:val="0"/>
          <w:lang w:val="it-IT"/>
        </w:rPr>
        <w:t>2.3.5.3 Il contratto ponte</w:t>
      </w:r>
    </w:p>
    <w:p>
      <w:pPr>
        <w:pStyle w:val="Normal"/>
        <w:ind w:left="567" w:right="567" w:firstLine="0"/>
        <w:jc w:val="both"/>
        <w:rPr>
          <w:rFonts w:ascii="Book Antiqua" w:cs="Book Antiqua" w:hAnsi="Book Antiqua" w:eastAsia="Book Antiqua"/>
          <w:shd w:val="clear" w:color="auto" w:fill="ffffff"/>
        </w:rPr>
      </w:pP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Le questioni aperte tra AMA e Co.La.Ri. e determinate dalla carenza di una regolamentazione contrattuale formale sull</w:t>
      </w:r>
      <w:r>
        <w:rPr>
          <w:rFonts w:hAnsi="Book Antiqua" w:hint="default"/>
          <w:color w:val="000000"/>
          <w:u w:color="000000"/>
          <w:rtl w:val="0"/>
          <w:lang w:val="it-IT"/>
        </w:rPr>
        <w:t>’</w:t>
      </w:r>
      <w:r>
        <w:rPr>
          <w:rFonts w:ascii="Book Antiqua"/>
          <w:color w:val="000000"/>
          <w:u w:color="000000"/>
          <w:rtl w:val="0"/>
          <w:lang w:val="it-IT"/>
        </w:rPr>
        <w:t>utilizzo degli impianti TMB di Malagrotta di propriet</w:t>
      </w:r>
      <w:r>
        <w:rPr>
          <w:rFonts w:hAnsi="Book Antiqua" w:hint="default"/>
          <w:color w:val="000000"/>
          <w:u w:color="000000"/>
          <w:rtl w:val="0"/>
          <w:lang w:val="it-IT"/>
        </w:rPr>
        <w:t xml:space="preserve">à </w:t>
      </w:r>
      <w:r>
        <w:rPr>
          <w:rFonts w:ascii="Book Antiqua"/>
          <w:color w:val="000000"/>
          <w:u w:color="000000"/>
          <w:rtl w:val="0"/>
          <w:lang w:val="it-IT"/>
        </w:rPr>
        <w:t xml:space="preserve">Co.La.Ri </w:t>
      </w:r>
      <w:r>
        <w:rPr>
          <w:rFonts w:hAnsi="Book Antiqua" w:hint="default"/>
          <w:color w:val="000000"/>
          <w:u w:color="000000"/>
          <w:rtl w:val="0"/>
          <w:lang w:val="it-IT"/>
        </w:rPr>
        <w:t xml:space="preserve">– </w:t>
      </w:r>
      <w:r>
        <w:rPr>
          <w:rFonts w:ascii="Book Antiqua"/>
          <w:color w:val="000000"/>
          <w:u w:color="000000"/>
          <w:rtl w:val="0"/>
          <w:lang w:val="it-IT"/>
        </w:rPr>
        <w:t xml:space="preserve">come si </w:t>
      </w:r>
      <w:r>
        <w:rPr>
          <w:rFonts w:hAnsi="Book Antiqua" w:hint="default"/>
          <w:color w:val="000000"/>
          <w:u w:color="000000"/>
          <w:rtl w:val="0"/>
          <w:lang w:val="it-IT"/>
        </w:rPr>
        <w:t xml:space="preserve">è </w:t>
      </w:r>
      <w:r>
        <w:rPr>
          <w:rFonts w:ascii="Book Antiqua"/>
          <w:color w:val="000000"/>
          <w:u w:color="000000"/>
          <w:rtl w:val="0"/>
          <w:lang w:val="it-IT"/>
        </w:rPr>
        <w:t>visto tuttora fondamentali nell</w:t>
      </w:r>
      <w:r>
        <w:rPr>
          <w:rFonts w:hAnsi="Book Antiqua" w:hint="default"/>
          <w:color w:val="000000"/>
          <w:u w:color="000000"/>
          <w:rtl w:val="0"/>
          <w:lang w:val="it-IT"/>
        </w:rPr>
        <w:t>’</w:t>
      </w:r>
      <w:r>
        <w:rPr>
          <w:rFonts w:ascii="Book Antiqua"/>
          <w:color w:val="000000"/>
          <w:u w:color="000000"/>
          <w:rtl w:val="0"/>
          <w:lang w:val="it-IT"/>
        </w:rPr>
        <w:t xml:space="preserve">inadeguato ciclo dei rifiuti di Roma Capitale </w:t>
      </w:r>
      <w:r>
        <w:rPr>
          <w:rFonts w:hAnsi="Book Antiqua" w:hint="default"/>
          <w:color w:val="000000"/>
          <w:u w:color="000000"/>
          <w:rtl w:val="0"/>
          <w:lang w:val="it-IT"/>
        </w:rPr>
        <w:t xml:space="preserve">– </w:t>
      </w:r>
      <w:r>
        <w:rPr>
          <w:rFonts w:ascii="Book Antiqua"/>
          <w:color w:val="000000"/>
          <w:u w:color="000000"/>
          <w:rtl w:val="0"/>
          <w:lang w:val="it-IT"/>
        </w:rPr>
        <w:t>hanno trovato un recente punto di svolta a fronte della sostituzione della legale rappresentanza del Co.La.Ri con il commissario prefettizio</w:t>
      </w:r>
      <w:r>
        <w:rPr>
          <w:rFonts w:ascii="Book Antiqua" w:cs="Book Antiqua" w:hAnsi="Book Antiqua" w:eastAsia="Book Antiqua"/>
          <w:color w:val="000000"/>
          <w:u w:color="000000"/>
          <w:vertAlign w:val="superscript"/>
          <w:rtl w:val="0"/>
        </w:rPr>
        <w:footnoteReference w:id="149"/>
      </w:r>
      <w:r>
        <w:rPr>
          <w:rFonts w:ascii="Book Antiqua"/>
          <w:color w:val="000000"/>
          <w:u w:color="000000"/>
          <w:rtl w:val="0"/>
          <w:lang w:val="it-IT"/>
        </w:rPr>
        <w:t>.</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 xml:space="preserve">Il 27 settembre 2017 </w:t>
      </w:r>
      <w:r>
        <w:rPr>
          <w:rFonts w:hAnsi="Book Antiqua" w:hint="default"/>
          <w:color w:val="000000"/>
          <w:u w:color="000000"/>
          <w:rtl w:val="0"/>
          <w:lang w:val="it-IT"/>
        </w:rPr>
        <w:t xml:space="preserve">è </w:t>
      </w:r>
      <w:r>
        <w:rPr>
          <w:rFonts w:ascii="Book Antiqua"/>
          <w:color w:val="000000"/>
          <w:u w:color="000000"/>
          <w:rtl w:val="0"/>
          <w:lang w:val="it-IT"/>
        </w:rPr>
        <w:t xml:space="preserve">stato sottoscritto il contratto-ponte di diciotto mesi fra AMA e il commissario prefettizio per l'utilizzo degli impianti TMB di Malagrotta. </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 xml:space="preserve">Della vicenda si </w:t>
      </w:r>
      <w:r>
        <w:rPr>
          <w:rFonts w:hAnsi="Book Antiqua" w:hint="default"/>
          <w:color w:val="000000"/>
          <w:u w:color="000000"/>
          <w:rtl w:val="0"/>
          <w:lang w:val="it-IT"/>
        </w:rPr>
        <w:t xml:space="preserve">è </w:t>
      </w:r>
      <w:r>
        <w:rPr>
          <w:rFonts w:ascii="Book Antiqua"/>
          <w:color w:val="000000"/>
          <w:u w:color="000000"/>
          <w:rtl w:val="0"/>
          <w:lang w:val="it-IT"/>
        </w:rPr>
        <w:t>occupata l</w:t>
      </w:r>
      <w:r>
        <w:rPr>
          <w:rFonts w:hAnsi="Book Antiqua" w:hint="default"/>
          <w:color w:val="000000"/>
          <w:u w:color="000000"/>
          <w:rtl w:val="0"/>
          <w:lang w:val="it-IT"/>
        </w:rPr>
        <w:t>’</w:t>
      </w:r>
      <w:r>
        <w:rPr>
          <w:rFonts w:ascii="Book Antiqua"/>
          <w:color w:val="000000"/>
          <w:u w:color="000000"/>
          <w:rtl w:val="0"/>
          <w:lang w:val="it-IT"/>
        </w:rPr>
        <w:t>Autorit</w:t>
      </w:r>
      <w:r>
        <w:rPr>
          <w:rFonts w:hAnsi="Book Antiqua" w:hint="default"/>
          <w:color w:val="000000"/>
          <w:u w:color="000000"/>
          <w:rtl w:val="0"/>
          <w:lang w:val="it-IT"/>
        </w:rPr>
        <w:t xml:space="preserve">à </w:t>
      </w:r>
      <w:r>
        <w:rPr>
          <w:rFonts w:ascii="Book Antiqua"/>
          <w:color w:val="000000"/>
          <w:u w:color="000000"/>
          <w:rtl w:val="0"/>
          <w:lang w:val="it-IT"/>
        </w:rPr>
        <w:t>nazionale anticorruzione, che ne ha riferito alla Commissione nell</w:t>
      </w:r>
      <w:r>
        <w:rPr>
          <w:rFonts w:hAnsi="Book Antiqua" w:hint="default"/>
          <w:color w:val="000000"/>
          <w:u w:color="000000"/>
          <w:rtl w:val="0"/>
          <w:lang w:val="it-IT"/>
        </w:rPr>
        <w:t>’</w:t>
      </w:r>
      <w:r>
        <w:rPr>
          <w:rFonts w:ascii="Book Antiqua"/>
          <w:color w:val="000000"/>
          <w:u w:color="000000"/>
          <w:rtl w:val="0"/>
          <w:lang w:val="it-IT"/>
        </w:rPr>
        <w:t>ambito dell</w:t>
      </w:r>
      <w:r>
        <w:rPr>
          <w:rFonts w:hAnsi="Book Antiqua" w:hint="default"/>
          <w:color w:val="000000"/>
          <w:u w:color="000000"/>
          <w:rtl w:val="0"/>
          <w:lang w:val="it-IT"/>
        </w:rPr>
        <w:t>’</w:t>
      </w:r>
      <w:r>
        <w:rPr>
          <w:rFonts w:ascii="Book Antiqua"/>
          <w:color w:val="000000"/>
          <w:u w:color="000000"/>
          <w:rtl w:val="0"/>
          <w:lang w:val="it-IT"/>
        </w:rPr>
        <w:t>audizione del suo presidente, il 4 ottobre 2017, nonch</w:t>
      </w:r>
      <w:r>
        <w:rPr>
          <w:rFonts w:hAnsi="Book Antiqua" w:hint="default"/>
          <w:color w:val="000000"/>
          <w:u w:color="000000"/>
          <w:rtl w:val="0"/>
          <w:lang w:val="it-IT"/>
        </w:rPr>
        <w:t xml:space="preserve">é </w:t>
      </w:r>
      <w:r>
        <w:rPr>
          <w:rFonts w:ascii="Book Antiqua"/>
          <w:color w:val="000000"/>
          <w:u w:color="000000"/>
          <w:rtl w:val="0"/>
          <w:lang w:val="it-IT"/>
        </w:rPr>
        <w:t>mediante una nota depositata nella stessa data</w:t>
      </w:r>
      <w:r>
        <w:rPr>
          <w:rFonts w:ascii="Book Antiqua" w:cs="Book Antiqua" w:hAnsi="Book Antiqua" w:eastAsia="Book Antiqua"/>
          <w:color w:val="000000"/>
          <w:u w:color="000000"/>
          <w:vertAlign w:val="superscript"/>
          <w:rtl w:val="0"/>
        </w:rPr>
        <w:footnoteReference w:id="150"/>
      </w:r>
      <w:r>
        <w:rPr>
          <w:rFonts w:ascii="Book Antiqua"/>
          <w:color w:val="000000"/>
          <w:u w:color="000000"/>
          <w:rtl w:val="0"/>
          <w:lang w:val="it-IT"/>
        </w:rPr>
        <w:t>.</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 xml:space="preserve">Riportiamo di seguito la parte del documento dedicata alla vicenda qui esaminata, in quanto particolarmente significativa sia per la ricostruzione dei fatti che per delineare i ruoli dei soggetti coinvolti (compresa la stessa ANAC): </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u w:color="000000"/>
        </w:rPr>
      </w:pPr>
      <w:r>
        <w:rPr>
          <w:rFonts w:hAnsi="Book Antiqua" w:hint="default"/>
          <w:color w:val="000000"/>
          <w:u w:color="000000"/>
          <w:rtl w:val="0"/>
          <w:lang w:val="it-IT"/>
        </w:rPr>
        <w:t>“</w:t>
      </w:r>
      <w:r>
        <w:rPr>
          <w:rFonts w:ascii="Book Antiqua"/>
          <w:color w:val="000000"/>
          <w:u w:color="000000"/>
          <w:rtl w:val="0"/>
          <w:lang w:val="it-IT"/>
        </w:rPr>
        <w:t>Come affermato in occasione della sottoscrizione del contratto, si tratta di un momento importante per il ripristino della legalit</w:t>
      </w:r>
      <w:r>
        <w:rPr>
          <w:rFonts w:hAnsi="Book Antiqua" w:hint="default"/>
          <w:color w:val="000000"/>
          <w:u w:color="000000"/>
          <w:rtl w:val="0"/>
          <w:lang w:val="it-IT"/>
        </w:rPr>
        <w:t xml:space="preserve">à </w:t>
      </w:r>
      <w:r>
        <w:rPr>
          <w:rFonts w:ascii="Book Antiqua"/>
          <w:color w:val="000000"/>
          <w:u w:color="000000"/>
          <w:rtl w:val="0"/>
          <w:lang w:val="it-IT"/>
        </w:rPr>
        <w:t>in quanto fino ad ora a Roma non esisteva alcun accordo scritto che regolasse lo smaltimento rifiuti, ma soprattutto perch</w:t>
      </w:r>
      <w:r>
        <w:rPr>
          <w:rFonts w:hAnsi="Book Antiqua" w:hint="default"/>
          <w:color w:val="000000"/>
          <w:u w:color="000000"/>
          <w:rtl w:val="0"/>
          <w:lang w:val="it-IT"/>
        </w:rPr>
        <w:t xml:space="preserve">é </w:t>
      </w:r>
      <w:r>
        <w:rPr>
          <w:rFonts w:ascii="Book Antiqua"/>
          <w:color w:val="000000"/>
          <w:u w:color="000000"/>
          <w:rtl w:val="0"/>
          <w:lang w:val="it-IT"/>
        </w:rPr>
        <w:t>al termine del periodo previsto il servizio verr</w:t>
      </w:r>
      <w:r>
        <w:rPr>
          <w:rFonts w:hAnsi="Book Antiqua" w:hint="default"/>
          <w:color w:val="000000"/>
          <w:u w:color="000000"/>
          <w:rtl w:val="0"/>
          <w:lang w:val="it-IT"/>
        </w:rPr>
        <w:t xml:space="preserve">à </w:t>
      </w:r>
      <w:r>
        <w:rPr>
          <w:rFonts w:ascii="Book Antiqua"/>
          <w:color w:val="000000"/>
          <w:u w:color="000000"/>
          <w:rtl w:val="0"/>
          <w:lang w:val="it-IT"/>
        </w:rPr>
        <w:t>finalmente assegnato, in maniera trasparente, tramite una gara pubblica.</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L'accordo di cui sopra giunge alla sua realizzazione dopo lunghe vicende che hanno caratterizzato il sistema di gestioni dei rifiuti nella Capitale d'Italia e che si vanno sinteticamente di seguito rappresentando.</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Il 24 gennaio 2014 la prefettura di Roma adottava un provvedimento interdittivo antimafia nei confronti di Co.La.Ri-Consorzio Laziale Rifiuti. Infatti, nell'ambito del territorio di Roma Capitale, il trattamento dei rifiuti urbani prima del loro conferimento in discarica, ai sensi dell'articolo 7 del decreto legislativo 13 gennaio 2003, n. 36, veniva effettuato attraverso n. 4 impianti di trattamento meccanico biologico (TMB), di cui 2, denominati Malagrotta 1 e Malagrotta 2, riconducibili al consorzio Co.La.Ri e gestiti dalla E. Giovi S.r.l..</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A seguito delle sentenze del Consiglio di Stato n. 982 del 2 marzo 2017 e n. 1315 del 22 marzo 2017 - che hanno accolto il ricorso proposto dal Ministero dell'interno e dalla prefettura di Roma avverso le sentenze di primo grado e hanno ripristinato gli effetti del provvedimento interdittivo antimafia nei confronti del Gruppo Co.La.Ri e della societ</w:t>
      </w:r>
      <w:r>
        <w:rPr>
          <w:rFonts w:hAnsi="Book Antiqua" w:hint="default"/>
          <w:color w:val="000000"/>
          <w:u w:color="000000"/>
          <w:rtl w:val="0"/>
          <w:lang w:val="it-IT"/>
        </w:rPr>
        <w:t xml:space="preserve">à </w:t>
      </w:r>
      <w:r>
        <w:rPr>
          <w:rFonts w:ascii="Book Antiqua"/>
          <w:color w:val="000000"/>
          <w:u w:color="000000"/>
          <w:rtl w:val="0"/>
          <w:lang w:val="it-IT"/>
        </w:rPr>
        <w:t xml:space="preserve">E. Giovi - si </w:t>
      </w:r>
      <w:r>
        <w:rPr>
          <w:rFonts w:hAnsi="Book Antiqua" w:hint="default"/>
          <w:color w:val="000000"/>
          <w:u w:color="000000"/>
          <w:rtl w:val="0"/>
          <w:lang w:val="it-IT"/>
        </w:rPr>
        <w:t xml:space="preserve">è </w:t>
      </w:r>
      <w:r>
        <w:rPr>
          <w:rFonts w:ascii="Book Antiqua"/>
          <w:color w:val="000000"/>
          <w:u w:color="000000"/>
          <w:rtl w:val="0"/>
          <w:lang w:val="it-IT"/>
        </w:rPr>
        <w:t>determinata una situazione di forte criticit</w:t>
      </w:r>
      <w:r>
        <w:rPr>
          <w:rFonts w:hAnsi="Book Antiqua" w:hint="default"/>
          <w:color w:val="000000"/>
          <w:u w:color="000000"/>
          <w:rtl w:val="0"/>
          <w:lang w:val="it-IT"/>
        </w:rPr>
        <w:t>à</w:t>
      </w:r>
      <w:r>
        <w:rPr>
          <w:rFonts w:ascii="Book Antiqua"/>
          <w:color w:val="000000"/>
          <w:u w:color="000000"/>
          <w:rtl w:val="0"/>
          <w:lang w:val="it-IT"/>
        </w:rPr>
        <w:t>, attesa la pressoch</w:t>
      </w:r>
      <w:r>
        <w:rPr>
          <w:rFonts w:hAnsi="Book Antiqua" w:hint="default"/>
          <w:color w:val="000000"/>
          <w:u w:color="000000"/>
          <w:rtl w:val="0"/>
          <w:lang w:val="it-IT"/>
        </w:rPr>
        <w:t xml:space="preserve">é </w:t>
      </w:r>
      <w:r>
        <w:rPr>
          <w:rFonts w:ascii="Book Antiqua"/>
          <w:color w:val="000000"/>
          <w:u w:color="000000"/>
          <w:rtl w:val="0"/>
          <w:lang w:val="it-IT"/>
        </w:rPr>
        <w:t>totale coincidenza tra la capacit</w:t>
      </w:r>
      <w:r>
        <w:rPr>
          <w:rFonts w:hAnsi="Book Antiqua" w:hint="default"/>
          <w:color w:val="000000"/>
          <w:u w:color="000000"/>
          <w:rtl w:val="0"/>
          <w:lang w:val="it-IT"/>
        </w:rPr>
        <w:t xml:space="preserve">à </w:t>
      </w:r>
      <w:r>
        <w:rPr>
          <w:rFonts w:ascii="Book Antiqua"/>
          <w:color w:val="000000"/>
          <w:u w:color="000000"/>
          <w:rtl w:val="0"/>
          <w:lang w:val="it-IT"/>
        </w:rPr>
        <w:t>complessiva autorizzata di trattamento giornaliero di rifiuti indifferenziati nell'ambito dell'impiantistica autorizzata e disponibile [</w:t>
      </w:r>
      <w:r>
        <w:rPr>
          <w:rFonts w:hAnsi="Book Antiqua" w:hint="default"/>
          <w:color w:val="000000"/>
          <w:u w:color="000000"/>
          <w:rtl w:val="0"/>
          <w:lang w:val="it-IT"/>
        </w:rPr>
        <w:t>…</w:t>
      </w:r>
      <w:r>
        <w:rPr>
          <w:rFonts w:ascii="Book Antiqua"/>
          <w:color w:val="000000"/>
          <w:u w:color="000000"/>
          <w:rtl w:val="0"/>
          <w:lang w:val="it-IT"/>
        </w:rPr>
        <w:t>] e la quantit</w:t>
      </w:r>
      <w:r>
        <w:rPr>
          <w:rFonts w:hAnsi="Book Antiqua" w:hint="default"/>
          <w:color w:val="000000"/>
          <w:u w:color="000000"/>
          <w:rtl w:val="0"/>
          <w:lang w:val="it-IT"/>
        </w:rPr>
        <w:t xml:space="preserve">à </w:t>
      </w:r>
      <w:r>
        <w:rPr>
          <w:rFonts w:ascii="Book Antiqua"/>
          <w:color w:val="000000"/>
          <w:u w:color="000000"/>
          <w:rtl w:val="0"/>
          <w:lang w:val="it-IT"/>
        </w:rPr>
        <w:t>giornaliera di rifiuti indifferenziati prodotti nella citt</w:t>
      </w:r>
      <w:r>
        <w:rPr>
          <w:rFonts w:hAnsi="Book Antiqua" w:hint="default"/>
          <w:color w:val="000000"/>
          <w:u w:color="000000"/>
          <w:rtl w:val="0"/>
          <w:lang w:val="it-IT"/>
        </w:rPr>
        <w:t xml:space="preserve">à </w:t>
      </w:r>
      <w:r>
        <w:rPr>
          <w:rFonts w:ascii="Book Antiqua"/>
          <w:color w:val="000000"/>
          <w:u w:color="000000"/>
          <w:rtl w:val="0"/>
          <w:lang w:val="it-IT"/>
        </w:rPr>
        <w:t>di Roma.</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 xml:space="preserve">Tale situazione ha condotto all'adozione, da parte della Sindaca di Roma, dell'ordinanza sindacale n. 53 del 6 aprile 2017, nella quale si dava atto del fatto che la situazione </w:t>
      </w:r>
      <w:r>
        <w:rPr>
          <w:rFonts w:hAnsi="Book Antiqua" w:hint="default"/>
          <w:color w:val="000000"/>
          <w:u w:color="000000"/>
          <w:rtl w:val="0"/>
          <w:lang w:val="it-IT"/>
        </w:rPr>
        <w:t xml:space="preserve">è </w:t>
      </w:r>
      <w:r>
        <w:rPr>
          <w:rFonts w:ascii="Book Antiqua"/>
          <w:color w:val="000000"/>
          <w:u w:color="000000"/>
          <w:rtl w:val="0"/>
          <w:lang w:val="it-IT"/>
        </w:rPr>
        <w:t xml:space="preserve">fonte di </w:t>
      </w:r>
      <w:r>
        <w:rPr>
          <w:rFonts w:hAnsi="Book Antiqua" w:hint="default"/>
          <w:color w:val="000000"/>
          <w:u w:color="000000"/>
          <w:rtl w:val="0"/>
          <w:lang w:val="it-IT"/>
        </w:rPr>
        <w:t>‘</w:t>
      </w:r>
      <w:r>
        <w:rPr>
          <w:rFonts w:ascii="Book Antiqua"/>
          <w:color w:val="000000"/>
          <w:u w:color="000000"/>
          <w:rtl w:val="0"/>
          <w:lang w:val="it-IT"/>
        </w:rPr>
        <w:t>rallentamenti e disagi del servizio di raccolta nella citt</w:t>
      </w:r>
      <w:r>
        <w:rPr>
          <w:rFonts w:hAnsi="Book Antiqua" w:hint="default"/>
          <w:color w:val="000000"/>
          <w:u w:color="000000"/>
          <w:rtl w:val="0"/>
          <w:lang w:val="it-IT"/>
        </w:rPr>
        <w:t>à</w:t>
      </w:r>
      <w:r>
        <w:rPr>
          <w:rFonts w:ascii="Book Antiqua"/>
          <w:color w:val="000000"/>
          <w:u w:color="000000"/>
          <w:rtl w:val="0"/>
          <w:lang w:val="it-IT"/>
        </w:rPr>
        <w:t>, oltre che situazioni di congestione nelle operazioni di scarico e ritardi nel riutilizzo dei mezzi, con ricadute sull'ordinario servizio di igiene urbana</w:t>
      </w:r>
      <w:r>
        <w:rPr>
          <w:rFonts w:hAnsi="Book Antiqua" w:hint="default"/>
          <w:color w:val="000000"/>
          <w:u w:color="000000"/>
          <w:rtl w:val="0"/>
          <w:lang w:val="it-IT"/>
        </w:rPr>
        <w:t>’</w:t>
      </w:r>
      <w:r>
        <w:rPr>
          <w:rFonts w:ascii="Book Antiqua"/>
          <w:color w:val="000000"/>
          <w:u w:color="000000"/>
          <w:rtl w:val="0"/>
          <w:lang w:val="it-IT"/>
        </w:rPr>
        <w:t xml:space="preserve"> e si evidenziava che il protrarsi della situazione avrebbe potuto determinare, in tempi brevissimi, </w:t>
      </w:r>
      <w:r>
        <w:rPr>
          <w:rFonts w:hAnsi="Book Antiqua" w:hint="default"/>
          <w:color w:val="000000"/>
          <w:u w:color="000000"/>
          <w:rtl w:val="0"/>
          <w:lang w:val="it-IT"/>
        </w:rPr>
        <w:t>‘</w:t>
      </w:r>
      <w:r>
        <w:rPr>
          <w:rFonts w:ascii="Book Antiqua"/>
          <w:color w:val="000000"/>
          <w:u w:color="000000"/>
          <w:rtl w:val="0"/>
          <w:lang w:val="it-IT"/>
        </w:rPr>
        <w:t>uno stato di severa criticit</w:t>
      </w:r>
      <w:r>
        <w:rPr>
          <w:rFonts w:hAnsi="Book Antiqua" w:hint="default"/>
          <w:color w:val="000000"/>
          <w:u w:color="000000"/>
          <w:rtl w:val="0"/>
          <w:lang w:val="it-IT"/>
        </w:rPr>
        <w:t xml:space="preserve">à </w:t>
      </w:r>
      <w:r>
        <w:rPr>
          <w:rFonts w:ascii="Book Antiqua"/>
          <w:color w:val="000000"/>
          <w:u w:color="000000"/>
          <w:rtl w:val="0"/>
          <w:lang w:val="it-IT"/>
        </w:rPr>
        <w:t>nella Capitale, con grave rischio per la salute pubblica ed immediata ripercussione sulle condizioni igienico sanitarie della citt</w:t>
      </w:r>
      <w:r>
        <w:rPr>
          <w:rFonts w:hAnsi="Book Antiqua" w:hint="default"/>
          <w:color w:val="000000"/>
          <w:u w:color="000000"/>
          <w:rtl w:val="0"/>
          <w:lang w:val="it-IT"/>
        </w:rPr>
        <w:t>à’</w:t>
      </w:r>
      <w:r>
        <w:rPr>
          <w:rFonts w:ascii="Book Antiqua"/>
          <w:color w:val="000000"/>
          <w:u w:color="000000"/>
          <w:rtl w:val="0"/>
          <w:lang w:val="it-IT"/>
        </w:rPr>
        <w:t>. A fronte di tale pericolo, la Sindaca ha ordinato all'AMA di continuare a conferire i rifiuti urbani raccolti nella citt</w:t>
      </w:r>
      <w:r>
        <w:rPr>
          <w:rFonts w:hAnsi="Book Antiqua" w:hint="default"/>
          <w:color w:val="000000"/>
          <w:u w:color="000000"/>
          <w:rtl w:val="0"/>
          <w:lang w:val="it-IT"/>
        </w:rPr>
        <w:t xml:space="preserve">à </w:t>
      </w:r>
      <w:r>
        <w:rPr>
          <w:rFonts w:ascii="Book Antiqua"/>
          <w:color w:val="000000"/>
          <w:u w:color="000000"/>
          <w:rtl w:val="0"/>
          <w:lang w:val="it-IT"/>
        </w:rPr>
        <w:t>di Roma presso i TMB Malagrotta 1 e Malagrotta 2 e al Consorzio Co.La.Ri. e alla societ</w:t>
      </w:r>
      <w:r>
        <w:rPr>
          <w:rFonts w:hAnsi="Book Antiqua" w:hint="default"/>
          <w:color w:val="000000"/>
          <w:u w:color="000000"/>
          <w:rtl w:val="0"/>
          <w:lang w:val="it-IT"/>
        </w:rPr>
        <w:t xml:space="preserve">à </w:t>
      </w:r>
      <w:r>
        <w:rPr>
          <w:rFonts w:ascii="Book Antiqua"/>
          <w:color w:val="000000"/>
          <w:u w:color="000000"/>
          <w:rtl w:val="0"/>
          <w:lang w:val="it-IT"/>
        </w:rPr>
        <w:t>E. Giovi S.r.l. di assicurare la piena operativit</w:t>
      </w:r>
      <w:r>
        <w:rPr>
          <w:rFonts w:hAnsi="Book Antiqua" w:hint="default"/>
          <w:color w:val="000000"/>
          <w:u w:color="000000"/>
          <w:rtl w:val="0"/>
          <w:lang w:val="it-IT"/>
        </w:rPr>
        <w:t xml:space="preserve">à </w:t>
      </w:r>
      <w:r>
        <w:rPr>
          <w:rFonts w:ascii="Book Antiqua"/>
          <w:color w:val="000000"/>
          <w:u w:color="000000"/>
          <w:rtl w:val="0"/>
          <w:lang w:val="it-IT"/>
        </w:rPr>
        <w:t>dei citati impianti TMB e di accettare le "quantit</w:t>
      </w:r>
      <w:r>
        <w:rPr>
          <w:rFonts w:hAnsi="Book Antiqua" w:hint="default"/>
          <w:color w:val="000000"/>
          <w:u w:color="000000"/>
          <w:rtl w:val="0"/>
          <w:lang w:val="it-IT"/>
        </w:rPr>
        <w:t xml:space="preserve">à </w:t>
      </w:r>
      <w:r>
        <w:rPr>
          <w:rFonts w:ascii="Book Antiqua"/>
          <w:color w:val="000000"/>
          <w:u w:color="000000"/>
          <w:rtl w:val="0"/>
          <w:lang w:val="it-IT"/>
        </w:rPr>
        <w:t>di rifiuti conferite da AMA S.pa., fino, ove richiesto, alla massima capacit</w:t>
      </w:r>
      <w:r>
        <w:rPr>
          <w:rFonts w:hAnsi="Book Antiqua" w:hint="default"/>
          <w:color w:val="000000"/>
          <w:u w:color="000000"/>
          <w:rtl w:val="0"/>
          <w:lang w:val="it-IT"/>
        </w:rPr>
        <w:t xml:space="preserve">à </w:t>
      </w:r>
      <w:r>
        <w:rPr>
          <w:rFonts w:ascii="Book Antiqua"/>
          <w:color w:val="000000"/>
          <w:u w:color="000000"/>
          <w:rtl w:val="0"/>
          <w:lang w:val="it-IT"/>
        </w:rPr>
        <w:t>ricettiva degli impianti autorizzati dalla regione Lazio".</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u w:color="000000"/>
        </w:rPr>
      </w:pP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L'occasione di intervento dell</w:t>
      </w:r>
      <w:r>
        <w:rPr>
          <w:rFonts w:hAnsi="Book Antiqua" w:hint="default"/>
          <w:color w:val="000000"/>
          <w:u w:color="000000"/>
          <w:rtl w:val="0"/>
          <w:lang w:val="it-IT"/>
        </w:rPr>
        <w:t>’</w:t>
      </w:r>
      <w:r>
        <w:rPr>
          <w:rFonts w:ascii="Book Antiqua"/>
          <w:color w:val="000000"/>
          <w:u w:color="000000"/>
          <w:rtl w:val="0"/>
          <w:lang w:val="it-IT"/>
        </w:rPr>
        <w:t xml:space="preserve">ANAC </w:t>
      </w:r>
      <w:r>
        <w:rPr>
          <w:rFonts w:hAnsi="Book Antiqua" w:hint="default"/>
          <w:color w:val="000000"/>
          <w:u w:color="000000"/>
          <w:rtl w:val="0"/>
          <w:lang w:val="it-IT"/>
        </w:rPr>
        <w:t xml:space="preserve">è </w:t>
      </w:r>
      <w:r>
        <w:rPr>
          <w:rFonts w:ascii="Book Antiqua"/>
          <w:color w:val="000000"/>
          <w:u w:color="000000"/>
          <w:rtl w:val="0"/>
          <w:lang w:val="it-IT"/>
        </w:rPr>
        <w:t>stato il coinvolgimento dell</w:t>
      </w:r>
      <w:r>
        <w:rPr>
          <w:rFonts w:hAnsi="Book Antiqua" w:hint="default"/>
          <w:color w:val="000000"/>
          <w:u w:color="000000"/>
          <w:rtl w:val="0"/>
          <w:lang w:val="it-IT"/>
        </w:rPr>
        <w:t>’</w:t>
      </w:r>
      <w:r>
        <w:rPr>
          <w:rFonts w:ascii="Book Antiqua"/>
          <w:color w:val="000000"/>
          <w:u w:color="000000"/>
          <w:rtl w:val="0"/>
          <w:lang w:val="it-IT"/>
        </w:rPr>
        <w:t>Autorit</w:t>
      </w:r>
      <w:r>
        <w:rPr>
          <w:rFonts w:hAnsi="Book Antiqua" w:hint="default"/>
          <w:color w:val="000000"/>
          <w:u w:color="000000"/>
          <w:rtl w:val="0"/>
          <w:lang w:val="it-IT"/>
        </w:rPr>
        <w:t xml:space="preserve">à </w:t>
      </w:r>
      <w:r>
        <w:rPr>
          <w:rFonts w:ascii="Book Antiqua"/>
          <w:color w:val="000000"/>
          <w:u w:color="000000"/>
          <w:rtl w:val="0"/>
          <w:lang w:val="it-IT"/>
        </w:rPr>
        <w:t>nella verifica dei presupposti per l'applicazione delle misure straordinarie di gestione, sostegno e monitoraggio di cui all'articolo 32, comma 10, del decreto legge n. 90/2014; in questa occasione, l</w:t>
      </w:r>
      <w:r>
        <w:rPr>
          <w:rFonts w:hAnsi="Book Antiqua" w:hint="default"/>
          <w:color w:val="000000"/>
          <w:u w:color="000000"/>
          <w:rtl w:val="0"/>
          <w:lang w:val="it-IT"/>
        </w:rPr>
        <w:t>’</w:t>
      </w:r>
      <w:r>
        <w:rPr>
          <w:rFonts w:ascii="Book Antiqua"/>
          <w:color w:val="000000"/>
          <w:u w:color="000000"/>
          <w:rtl w:val="0"/>
          <w:lang w:val="it-IT"/>
        </w:rPr>
        <w:t>Autorit</w:t>
      </w:r>
      <w:r>
        <w:rPr>
          <w:rFonts w:hAnsi="Book Antiqua" w:hint="default"/>
          <w:color w:val="000000"/>
          <w:u w:color="000000"/>
          <w:rtl w:val="0"/>
          <w:lang w:val="it-IT"/>
        </w:rPr>
        <w:t xml:space="preserve">à </w:t>
      </w:r>
      <w:r>
        <w:rPr>
          <w:rFonts w:ascii="Book Antiqua"/>
          <w:color w:val="000000"/>
          <w:u w:color="000000"/>
          <w:rtl w:val="0"/>
          <w:lang w:val="it-IT"/>
        </w:rPr>
        <w:t>ha rilevato che il problema pi</w:t>
      </w:r>
      <w:r>
        <w:rPr>
          <w:rFonts w:hAnsi="Book Antiqua" w:hint="default"/>
          <w:color w:val="000000"/>
          <w:u w:color="000000"/>
          <w:rtl w:val="0"/>
          <w:lang w:val="it-IT"/>
        </w:rPr>
        <w:t xml:space="preserve">ù </w:t>
      </w:r>
      <w:r>
        <w:rPr>
          <w:rFonts w:ascii="Book Antiqua"/>
          <w:color w:val="000000"/>
          <w:u w:color="000000"/>
          <w:rtl w:val="0"/>
          <w:lang w:val="it-IT"/>
        </w:rPr>
        <w:t xml:space="preserve">significativo (a monte) era l'assenza di una fonte negoziale di regolamentazione del rapporto tra la parte pubblica, AMA S.p.A. e l'operatore economico privato Co.La.Ri. </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Cos</w:t>
      </w:r>
      <w:r>
        <w:rPr>
          <w:rFonts w:hAnsi="Book Antiqua" w:hint="default"/>
          <w:color w:val="000000"/>
          <w:u w:color="000000"/>
          <w:rtl w:val="0"/>
          <w:lang w:val="it-IT"/>
        </w:rPr>
        <w:t xml:space="preserve">ì </w:t>
      </w:r>
      <w:r>
        <w:rPr>
          <w:rFonts w:ascii="Book Antiqua"/>
          <w:color w:val="000000"/>
          <w:u w:color="000000"/>
          <w:rtl w:val="0"/>
          <w:lang w:val="it-IT"/>
        </w:rPr>
        <w:t>prosegue il documento citato:</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u w:color="000000"/>
        </w:rPr>
      </w:pP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u w:color="000000"/>
        </w:rPr>
      </w:pPr>
      <w:r>
        <w:rPr>
          <w:rFonts w:hAnsi="Book Antiqua" w:hint="default"/>
          <w:color w:val="000000"/>
          <w:u w:color="000000"/>
          <w:rtl w:val="0"/>
          <w:lang w:val="it-IT"/>
        </w:rPr>
        <w:t>“</w:t>
      </w:r>
      <w:r>
        <w:rPr>
          <w:rFonts w:ascii="Book Antiqua"/>
          <w:color w:val="000000"/>
          <w:u w:color="000000"/>
          <w:rtl w:val="0"/>
          <w:lang w:val="it-IT"/>
        </w:rPr>
        <w:t>L'attivit</w:t>
      </w:r>
      <w:r>
        <w:rPr>
          <w:rFonts w:hAnsi="Book Antiqua" w:hint="default"/>
          <w:color w:val="000000"/>
          <w:u w:color="000000"/>
          <w:rtl w:val="0"/>
          <w:lang w:val="it-IT"/>
        </w:rPr>
        <w:t xml:space="preserve">à </w:t>
      </w:r>
      <w:r>
        <w:rPr>
          <w:rFonts w:ascii="Book Antiqua"/>
          <w:color w:val="000000"/>
          <w:u w:color="000000"/>
          <w:rtl w:val="0"/>
          <w:lang w:val="it-IT"/>
        </w:rPr>
        <w:t>istruttoria ha reso evidente che il rapporto era gestito in via di mero fatto, senza la stipulazione formale di un contratto di affidamento del servizio.</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Ci</w:t>
      </w:r>
      <w:r>
        <w:rPr>
          <w:rFonts w:hAnsi="Book Antiqua" w:hint="default"/>
          <w:color w:val="000000"/>
          <w:u w:color="000000"/>
          <w:rtl w:val="0"/>
          <w:lang w:val="it-IT"/>
        </w:rPr>
        <w:t xml:space="preserve">ò </w:t>
      </w:r>
      <w:r>
        <w:rPr>
          <w:rFonts w:ascii="Book Antiqua"/>
          <w:color w:val="000000"/>
          <w:u w:color="000000"/>
          <w:rtl w:val="0"/>
          <w:lang w:val="it-IT"/>
        </w:rPr>
        <w:t xml:space="preserve">posto, si </w:t>
      </w:r>
      <w:r>
        <w:rPr>
          <w:rFonts w:hAnsi="Book Antiqua" w:hint="default"/>
          <w:color w:val="000000"/>
          <w:u w:color="000000"/>
          <w:rtl w:val="0"/>
          <w:lang w:val="it-IT"/>
        </w:rPr>
        <w:t xml:space="preserve">è </w:t>
      </w:r>
      <w:r>
        <w:rPr>
          <w:rFonts w:ascii="Book Antiqua"/>
          <w:color w:val="000000"/>
          <w:u w:color="000000"/>
          <w:rtl w:val="0"/>
          <w:lang w:val="it-IT"/>
        </w:rPr>
        <w:t>ritenuto che la questione della sussistenza dei presupposti applicativi delle misure ex articolo 32, comma 10 dovesse essere affrontata unitamente alla delimitazione dell'ambito oggettivo di efficacia delle stesse e sulla scorta di quanto previsto nell'ordinanza contingibile ed urgente.</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L'esercizio, da parte del sindaco, del potere di ordinanza contingibile ed urgente presuppone, infatti, la necessit</w:t>
      </w:r>
      <w:r>
        <w:rPr>
          <w:rFonts w:hAnsi="Book Antiqua" w:hint="default"/>
          <w:color w:val="000000"/>
          <w:u w:color="000000"/>
          <w:rtl w:val="0"/>
          <w:lang w:val="it-IT"/>
        </w:rPr>
        <w:t xml:space="preserve">à </w:t>
      </w:r>
      <w:r>
        <w:rPr>
          <w:rFonts w:ascii="Book Antiqua"/>
          <w:color w:val="000000"/>
          <w:u w:color="000000"/>
          <w:rtl w:val="0"/>
          <w:lang w:val="it-IT"/>
        </w:rPr>
        <w:t xml:space="preserve">di provvedere con immediatezza a situazioni di natura eccezionale ed imprevedibile, cui non </w:t>
      </w:r>
      <w:r>
        <w:rPr>
          <w:rFonts w:hAnsi="Book Antiqua" w:hint="default"/>
          <w:color w:val="000000"/>
          <w:u w:color="000000"/>
          <w:rtl w:val="0"/>
          <w:lang w:val="it-IT"/>
        </w:rPr>
        <w:t xml:space="preserve">è </w:t>
      </w:r>
      <w:r>
        <w:rPr>
          <w:rFonts w:ascii="Book Antiqua"/>
          <w:color w:val="000000"/>
          <w:u w:color="000000"/>
          <w:rtl w:val="0"/>
          <w:lang w:val="it-IT"/>
        </w:rPr>
        <w:t>possibile far fronte con ricorso agli strumenti ordinari apprestati dall'ordinamento. Ci</w:t>
      </w:r>
      <w:r>
        <w:rPr>
          <w:rFonts w:hAnsi="Book Antiqua" w:hint="default"/>
          <w:color w:val="000000"/>
          <w:u w:color="000000"/>
          <w:rtl w:val="0"/>
          <w:lang w:val="it-IT"/>
        </w:rPr>
        <w:t xml:space="preserve">ò </w:t>
      </w:r>
      <w:r>
        <w:rPr>
          <w:rFonts w:ascii="Book Antiqua"/>
          <w:color w:val="000000"/>
          <w:u w:color="000000"/>
          <w:rtl w:val="0"/>
          <w:lang w:val="it-IT"/>
        </w:rPr>
        <w:t>implica che il pericolo di arrecare nocumento all'igiene e alla salute pubblica, giustifica, eccezionalmente, la possibilit</w:t>
      </w:r>
      <w:r>
        <w:rPr>
          <w:rFonts w:hAnsi="Book Antiqua" w:hint="default"/>
          <w:color w:val="000000"/>
          <w:u w:color="000000"/>
          <w:rtl w:val="0"/>
          <w:lang w:val="it-IT"/>
        </w:rPr>
        <w:t xml:space="preserve">à </w:t>
      </w:r>
      <w:r>
        <w:rPr>
          <w:rFonts w:ascii="Book Antiqua"/>
          <w:color w:val="000000"/>
          <w:u w:color="000000"/>
          <w:rtl w:val="0"/>
          <w:lang w:val="it-IT"/>
        </w:rPr>
        <w:t>di derogare alla disciplina generale vigente nei limiti e per il tempo strettamente necessario a fronteggiare l'emergenza. Tenuto conto di quanto appena detto, ne consegue che l'assenza di un modello negoziale di regolamentazione del rapporto deve ritenersi superata dall'ordinanza medesima che, facendo espresso richiamo a tutti gli atti amministrativi che ineriscono al servizio de quo, ne ordina l'espletamento nei termini ivi stabiliti e d</w:t>
      </w:r>
      <w:r>
        <w:rPr>
          <w:rFonts w:hAnsi="Book Antiqua" w:hint="default"/>
          <w:color w:val="000000"/>
          <w:u w:color="000000"/>
          <w:rtl w:val="0"/>
          <w:lang w:val="it-IT"/>
        </w:rPr>
        <w:t xml:space="preserve">à </w:t>
      </w:r>
      <w:r>
        <w:rPr>
          <w:rFonts w:ascii="Book Antiqua"/>
          <w:color w:val="000000"/>
          <w:u w:color="000000"/>
          <w:rtl w:val="0"/>
          <w:lang w:val="it-IT"/>
        </w:rPr>
        <w:t>atto, inequivocabilmente, della necessit</w:t>
      </w:r>
      <w:r>
        <w:rPr>
          <w:rFonts w:hAnsi="Book Antiqua" w:hint="default"/>
          <w:color w:val="000000"/>
          <w:u w:color="000000"/>
          <w:rtl w:val="0"/>
          <w:lang w:val="it-IT"/>
        </w:rPr>
        <w:t xml:space="preserve">à </w:t>
      </w:r>
      <w:r>
        <w:rPr>
          <w:rFonts w:ascii="Book Antiqua"/>
          <w:color w:val="000000"/>
          <w:u w:color="000000"/>
          <w:rtl w:val="0"/>
          <w:lang w:val="it-IT"/>
        </w:rPr>
        <w:t>e dell'urgenza della sua prosecuzione, pena l'esposizione a grave pericolo dei beni fondamentali della salute pubblica e dell'igiene.</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Sulla base di queste valutazioni, l'Autorit</w:t>
      </w:r>
      <w:r>
        <w:rPr>
          <w:rFonts w:hAnsi="Book Antiqua" w:hint="default"/>
          <w:color w:val="000000"/>
          <w:u w:color="000000"/>
          <w:rtl w:val="0"/>
          <w:lang w:val="it-IT"/>
        </w:rPr>
        <w:t xml:space="preserve">à </w:t>
      </w:r>
      <w:r>
        <w:rPr>
          <w:rFonts w:ascii="Book Antiqua"/>
          <w:color w:val="000000"/>
          <w:u w:color="000000"/>
          <w:rtl w:val="0"/>
          <w:lang w:val="it-IT"/>
        </w:rPr>
        <w:t xml:space="preserve">si </w:t>
      </w:r>
      <w:r>
        <w:rPr>
          <w:rFonts w:hAnsi="Book Antiqua" w:hint="default"/>
          <w:color w:val="000000"/>
          <w:u w:color="000000"/>
          <w:rtl w:val="0"/>
          <w:lang w:val="it-IT"/>
        </w:rPr>
        <w:t xml:space="preserve">è </w:t>
      </w:r>
      <w:r>
        <w:rPr>
          <w:rFonts w:ascii="Book Antiqua"/>
          <w:color w:val="000000"/>
          <w:u w:color="000000"/>
          <w:rtl w:val="0"/>
          <w:lang w:val="it-IT"/>
        </w:rPr>
        <w:t>espressa nel senso che devono ritenersi sussistenti, nel caso di specie, i presupposti per l'applicazione della misura della straordinaria e temporanea gestione ex 32, comma 10 citato, al Consorzio Colari e alla E. Giovi S.r.l., limitatamente ai servizi che attengono al conferimento dei rifiuti da parte di AMA S.p.A. presso i due impianti di TMB citati, sia sotto il profilo della urgenza di provvedere sia in ordine alla essenzialit</w:t>
      </w:r>
      <w:r>
        <w:rPr>
          <w:rFonts w:hAnsi="Book Antiqua" w:hint="default"/>
          <w:color w:val="000000"/>
          <w:u w:color="000000"/>
          <w:rtl w:val="0"/>
          <w:lang w:val="it-IT"/>
        </w:rPr>
        <w:t xml:space="preserve">à </w:t>
      </w:r>
      <w:r>
        <w:rPr>
          <w:rFonts w:ascii="Book Antiqua"/>
          <w:color w:val="000000"/>
          <w:u w:color="000000"/>
          <w:rtl w:val="0"/>
          <w:lang w:val="it-IT"/>
        </w:rPr>
        <w:t xml:space="preserve">del servizio di cui occorre garantire la prosecuzione. Di conseguenza la durata del commissariamento </w:t>
      </w:r>
      <w:r>
        <w:rPr>
          <w:rFonts w:hAnsi="Book Antiqua" w:hint="default"/>
          <w:color w:val="000000"/>
          <w:u w:color="000000"/>
          <w:rtl w:val="0"/>
          <w:lang w:val="it-IT"/>
        </w:rPr>
        <w:t xml:space="preserve">è </w:t>
      </w:r>
      <w:r>
        <w:rPr>
          <w:rFonts w:ascii="Book Antiqua"/>
          <w:color w:val="000000"/>
          <w:u w:color="000000"/>
          <w:rtl w:val="0"/>
          <w:lang w:val="it-IT"/>
        </w:rPr>
        <w:t>stata imprescindibilmente legata alla ordinanza e alla sua efficacia.</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 xml:space="preserve">Con decreto del prefetto di Roma, dell'8 aprile 2017 </w:t>
      </w:r>
      <w:r>
        <w:rPr>
          <w:rFonts w:hAnsi="Book Antiqua" w:hint="default"/>
          <w:color w:val="000000"/>
          <w:u w:color="000000"/>
          <w:rtl w:val="0"/>
          <w:lang w:val="it-IT"/>
        </w:rPr>
        <w:t xml:space="preserve">è </w:t>
      </w:r>
      <w:r>
        <w:rPr>
          <w:rFonts w:ascii="Book Antiqua"/>
          <w:color w:val="000000"/>
          <w:u w:color="000000"/>
          <w:rtl w:val="0"/>
          <w:lang w:val="it-IT"/>
        </w:rPr>
        <w:t>stata, quindi, disposta la straordinaria e temporanea gestione del Consorzio Colari e della Societ</w:t>
      </w:r>
      <w:r>
        <w:rPr>
          <w:rFonts w:hAnsi="Book Antiqua" w:hint="default"/>
          <w:color w:val="000000"/>
          <w:u w:color="000000"/>
          <w:rtl w:val="0"/>
          <w:lang w:val="it-IT"/>
        </w:rPr>
        <w:t xml:space="preserve">à </w:t>
      </w:r>
      <w:r>
        <w:rPr>
          <w:rFonts w:ascii="Book Antiqua"/>
          <w:color w:val="000000"/>
          <w:u w:color="000000"/>
          <w:rtl w:val="0"/>
          <w:lang w:val="it-IT"/>
        </w:rPr>
        <w:t>E. Giovi S.r.l..</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 xml:space="preserve">Nel mese di luglio u.s. si </w:t>
      </w:r>
      <w:r>
        <w:rPr>
          <w:rFonts w:hAnsi="Book Antiqua" w:hint="default"/>
          <w:color w:val="000000"/>
          <w:u w:color="000000"/>
          <w:rtl w:val="0"/>
          <w:lang w:val="it-IT"/>
        </w:rPr>
        <w:t xml:space="preserve">è </w:t>
      </w:r>
      <w:r>
        <w:rPr>
          <w:rFonts w:ascii="Book Antiqua"/>
          <w:color w:val="000000"/>
          <w:u w:color="000000"/>
          <w:rtl w:val="0"/>
          <w:lang w:val="it-IT"/>
        </w:rPr>
        <w:t xml:space="preserve">posto il problema del termine dell'efficacia dell'ordinanza contingibile ed urgente adottata dalla Sindaca di Roma Capitale ed alla conseguente scadenza della gestione commissariale in atto. </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 xml:space="preserve">A tal fine - considerata l'esigenza imprescindibile di individuare una soluzione compatibile con il Codice degli appalti - si </w:t>
      </w:r>
      <w:r>
        <w:rPr>
          <w:rFonts w:hAnsi="Book Antiqua" w:hint="default"/>
          <w:color w:val="000000"/>
          <w:u w:color="000000"/>
          <w:rtl w:val="0"/>
          <w:lang w:val="it-IT"/>
        </w:rPr>
        <w:t xml:space="preserve">è </w:t>
      </w:r>
      <w:r>
        <w:rPr>
          <w:rFonts w:ascii="Book Antiqua"/>
          <w:color w:val="000000"/>
          <w:u w:color="000000"/>
          <w:rtl w:val="0"/>
          <w:lang w:val="it-IT"/>
        </w:rPr>
        <w:t xml:space="preserve">ritenuto di optare per la sottoscrizione di un "contratto ponte" nel quale riprodurre la situazione esistente in termini di quantitativi di rifiuti e di tariffe applicate (peraltro fissate dalla regione), con una scadenza contrattuale che non superi il 2018. Tale soluzione </w:t>
      </w:r>
      <w:r>
        <w:rPr>
          <w:rFonts w:hAnsi="Book Antiqua" w:hint="default"/>
          <w:color w:val="000000"/>
          <w:u w:color="000000"/>
          <w:rtl w:val="0"/>
          <w:lang w:val="it-IT"/>
        </w:rPr>
        <w:t xml:space="preserve">è </w:t>
      </w:r>
      <w:r>
        <w:rPr>
          <w:rFonts w:ascii="Book Antiqua"/>
          <w:color w:val="000000"/>
          <w:u w:color="000000"/>
          <w:rtl w:val="0"/>
          <w:lang w:val="it-IT"/>
        </w:rPr>
        <w:t>stata ipotizzata solo al fine di consentire ad AMA di gestire il servizio nelle more dell'espletamento delle procedure di gara ad evidenza pubblica, necessarie per l'individuazione di un nuovo affidatario del servizio</w:t>
      </w:r>
      <w:r>
        <w:rPr>
          <w:rFonts w:hAnsi="Book Antiqua" w:hint="default"/>
          <w:color w:val="000000"/>
          <w:u w:color="000000"/>
          <w:rtl w:val="0"/>
          <w:lang w:val="it-IT"/>
        </w:rPr>
        <w:t>”</w:t>
      </w:r>
      <w:r>
        <w:rPr>
          <w:rFonts w:ascii="Book Antiqua"/>
          <w:color w:val="000000"/>
          <w:u w:color="000000"/>
          <w:rtl w:val="0"/>
          <w:lang w:val="it-IT"/>
        </w:rPr>
        <w:t>.</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u w:color="000000"/>
        </w:rPr>
      </w:pP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Si prospetta quindi, a questo punto, con la prospettiva di un recupero di quadro formale e di tutela della legalit</w:t>
      </w:r>
      <w:r>
        <w:rPr>
          <w:rFonts w:hAnsi="Book Antiqua" w:hint="default"/>
          <w:color w:val="000000"/>
          <w:u w:color="000000"/>
          <w:rtl w:val="0"/>
          <w:lang w:val="it-IT"/>
        </w:rPr>
        <w:t>à</w:t>
      </w:r>
      <w:r>
        <w:rPr>
          <w:rFonts w:ascii="Book Antiqua"/>
          <w:color w:val="000000"/>
          <w:u w:color="000000"/>
          <w:rtl w:val="0"/>
          <w:lang w:val="it-IT"/>
        </w:rPr>
        <w:t xml:space="preserve">, una definitiva regolarizzazione della gestione del servizio, che </w:t>
      </w:r>
      <w:r>
        <w:rPr>
          <w:rFonts w:hAnsi="Book Antiqua" w:hint="default"/>
          <w:color w:val="000000"/>
          <w:u w:color="000000"/>
          <w:rtl w:val="0"/>
          <w:lang w:val="it-IT"/>
        </w:rPr>
        <w:t xml:space="preserve">è </w:t>
      </w:r>
      <w:r>
        <w:rPr>
          <w:rFonts w:ascii="Book Antiqua"/>
          <w:color w:val="000000"/>
          <w:u w:color="000000"/>
          <w:rtl w:val="0"/>
          <w:lang w:val="it-IT"/>
        </w:rPr>
        <w:t>affidata alla responsabilit</w:t>
      </w:r>
      <w:r>
        <w:rPr>
          <w:rFonts w:hAnsi="Book Antiqua" w:hint="default"/>
          <w:color w:val="000000"/>
          <w:u w:color="000000"/>
          <w:rtl w:val="0"/>
          <w:lang w:val="it-IT"/>
        </w:rPr>
        <w:t xml:space="preserve">à </w:t>
      </w:r>
      <w:r>
        <w:rPr>
          <w:rFonts w:ascii="Book Antiqua"/>
          <w:color w:val="000000"/>
          <w:u w:color="000000"/>
          <w:rtl w:val="0"/>
          <w:lang w:val="it-IT"/>
        </w:rPr>
        <w:t xml:space="preserve">politica e giuridica della parte pubblica, in vista della scadenza del contratto-ponte. </w:t>
      </w:r>
    </w:p>
    <w:p>
      <w:pPr>
        <w:pStyle w:val="Normal"/>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Il commissario prefettizio ha rilasciato un parere sulla bozza di contratto predisposta e sulla sua sostenibilit</w:t>
      </w:r>
      <w:r>
        <w:rPr>
          <w:rFonts w:hAnsi="Book Antiqua" w:hint="default"/>
          <w:color w:val="000000"/>
          <w:u w:color="000000"/>
          <w:rtl w:val="0"/>
          <w:lang w:val="it-IT"/>
        </w:rPr>
        <w:t xml:space="preserve">à </w:t>
      </w:r>
      <w:r>
        <w:rPr>
          <w:rFonts w:ascii="Book Antiqua"/>
          <w:color w:val="000000"/>
          <w:u w:color="000000"/>
          <w:rtl w:val="0"/>
          <w:lang w:val="it-IT"/>
        </w:rPr>
        <w:t xml:space="preserve">economico-finanziaria, ed </w:t>
      </w:r>
      <w:r>
        <w:rPr>
          <w:rFonts w:hAnsi="Book Antiqua" w:hint="default"/>
          <w:color w:val="000000"/>
          <w:u w:color="000000"/>
          <w:rtl w:val="0"/>
          <w:lang w:val="it-IT"/>
        </w:rPr>
        <w:t xml:space="preserve">è </w:t>
      </w:r>
      <w:r>
        <w:rPr>
          <w:rFonts w:ascii="Book Antiqua"/>
          <w:color w:val="000000"/>
          <w:u w:color="000000"/>
          <w:rtl w:val="0"/>
          <w:lang w:val="it-IT"/>
        </w:rPr>
        <w:t>stata altres</w:t>
      </w:r>
      <w:r>
        <w:rPr>
          <w:rFonts w:hAnsi="Book Antiqua" w:hint="default"/>
          <w:color w:val="000000"/>
          <w:u w:color="000000"/>
          <w:rtl w:val="0"/>
          <w:lang w:val="it-IT"/>
        </w:rPr>
        <w:t>ì</w:t>
      </w:r>
      <w:r>
        <w:rPr>
          <w:rFonts w:ascii="Book Antiqua"/>
          <w:color w:val="000000"/>
          <w:u w:color="000000"/>
          <w:rtl w:val="0"/>
          <w:lang w:val="it-IT"/>
        </w:rPr>
        <w:t xml:space="preserve"> chiarita sia la legittimazione del commissario alla sottoscrizione del contratto, nella sua veste di amministratore straordinario pro-tempore, in luogo dei legali rappresentanti delle imprese interdette, sia la sostenibilit</w:t>
      </w:r>
      <w:r>
        <w:rPr>
          <w:rFonts w:hAnsi="Book Antiqua" w:hint="default"/>
          <w:color w:val="000000"/>
          <w:u w:color="000000"/>
          <w:rtl w:val="0"/>
          <w:lang w:val="it-IT"/>
        </w:rPr>
        <w:t xml:space="preserve">à </w:t>
      </w:r>
      <w:r>
        <w:rPr>
          <w:rFonts w:ascii="Book Antiqua"/>
          <w:color w:val="000000"/>
          <w:u w:color="000000"/>
          <w:rtl w:val="0"/>
          <w:lang w:val="it-IT"/>
        </w:rPr>
        <w:t>economico-finanziaria della bozza predisposta.</w:t>
      </w:r>
    </w:p>
    <w:p>
      <w:pPr>
        <w:pStyle w:val="Normal"/>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Si legge dunque nel documento citato:</w:t>
      </w:r>
    </w:p>
    <w:p>
      <w:pPr>
        <w:pStyle w:val="Normal"/>
        <w:ind w:left="567" w:right="567" w:firstLine="0"/>
        <w:jc w:val="both"/>
        <w:rPr>
          <w:rFonts w:ascii="Book Antiqua" w:cs="Book Antiqua" w:hAnsi="Book Antiqua" w:eastAsia="Book Antiqua"/>
          <w:color w:val="000000"/>
          <w:u w:color="000000"/>
        </w:rPr>
      </w:pP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u w:color="000000"/>
        </w:rPr>
      </w:pPr>
      <w:r>
        <w:rPr>
          <w:rFonts w:hAnsi="Book Antiqua" w:hint="default"/>
          <w:color w:val="000000"/>
          <w:u w:color="000000"/>
          <w:rtl w:val="0"/>
          <w:lang w:val="it-IT"/>
        </w:rPr>
        <w:t>“</w:t>
      </w:r>
      <w:r>
        <w:rPr>
          <w:rFonts w:ascii="Book Antiqua"/>
          <w:color w:val="000000"/>
          <w:u w:color="000000"/>
          <w:rtl w:val="0"/>
          <w:lang w:val="it-IT"/>
        </w:rPr>
        <w:t xml:space="preserve">La legittimazione dell'amministratore straordinario alla sottoscrizione del contratto </w:t>
      </w:r>
      <w:r>
        <w:rPr>
          <w:rFonts w:hAnsi="Book Antiqua" w:hint="default"/>
          <w:color w:val="000000"/>
          <w:u w:color="000000"/>
          <w:rtl w:val="0"/>
          <w:lang w:val="it-IT"/>
        </w:rPr>
        <w:t xml:space="preserve">è </w:t>
      </w:r>
      <w:r>
        <w:rPr>
          <w:rFonts w:ascii="Book Antiqua"/>
          <w:color w:val="000000"/>
          <w:u w:color="000000"/>
          <w:rtl w:val="0"/>
          <w:lang w:val="it-IT"/>
        </w:rPr>
        <w:t xml:space="preserve">stata ancorata alla </w:t>
      </w:r>
      <w:r>
        <w:rPr>
          <w:rFonts w:ascii="Book Antiqua"/>
          <w:i w:val="1"/>
          <w:iCs w:val="1"/>
          <w:color w:val="000000"/>
          <w:u w:color="000000"/>
          <w:rtl w:val="0"/>
          <w:lang w:val="it-IT"/>
        </w:rPr>
        <w:t>ratio</w:t>
      </w:r>
      <w:r>
        <w:rPr>
          <w:rFonts w:ascii="Book Antiqua"/>
          <w:color w:val="000000"/>
          <w:u w:color="000000"/>
          <w:rtl w:val="0"/>
          <w:lang w:val="it-IT"/>
        </w:rPr>
        <w:t xml:space="preserve"> dell'istituto del commissariamento in caso di interdittiva antimafia e alle conseguenze che scaturiscono per gli operatori economici raggiunti dal provvedimento inibitorio. In tale ottica, il commissariamento per finalit</w:t>
      </w:r>
      <w:r>
        <w:rPr>
          <w:rFonts w:hAnsi="Book Antiqua" w:hint="default"/>
          <w:color w:val="000000"/>
          <w:u w:color="000000"/>
          <w:rtl w:val="0"/>
          <w:lang w:val="it-IT"/>
        </w:rPr>
        <w:t xml:space="preserve">à </w:t>
      </w:r>
      <w:r>
        <w:rPr>
          <w:rFonts w:ascii="Book Antiqua"/>
          <w:color w:val="000000"/>
          <w:u w:color="000000"/>
          <w:rtl w:val="0"/>
          <w:lang w:val="it-IT"/>
        </w:rPr>
        <w:t>antimafia rappresenta lo strumento atto a consentire, in via del tutto straordinaria e temporanea, la prosecuzione di un rapporto contrattuale, allorch</w:t>
      </w:r>
      <w:r>
        <w:rPr>
          <w:rFonts w:hAnsi="Book Antiqua" w:hint="default"/>
          <w:color w:val="000000"/>
          <w:u w:color="000000"/>
          <w:rtl w:val="0"/>
          <w:lang w:val="it-IT"/>
        </w:rPr>
        <w:t xml:space="preserve">é </w:t>
      </w:r>
      <w:r>
        <w:rPr>
          <w:rFonts w:ascii="Book Antiqua"/>
          <w:color w:val="000000"/>
          <w:u w:color="000000"/>
          <w:rtl w:val="0"/>
          <w:lang w:val="it-IT"/>
        </w:rPr>
        <w:t>sussista l'urgente necessit</w:t>
      </w:r>
      <w:r>
        <w:rPr>
          <w:rFonts w:hAnsi="Book Antiqua" w:hint="default"/>
          <w:color w:val="000000"/>
          <w:u w:color="000000"/>
          <w:rtl w:val="0"/>
          <w:lang w:val="it-IT"/>
        </w:rPr>
        <w:t xml:space="preserve">à </w:t>
      </w:r>
      <w:r>
        <w:rPr>
          <w:rFonts w:ascii="Book Antiqua"/>
          <w:color w:val="000000"/>
          <w:u w:color="000000"/>
          <w:rtl w:val="0"/>
          <w:lang w:val="it-IT"/>
        </w:rPr>
        <w:t>di salvaguardare opere e servizi indifferibili, a tutela degli interessi di rango pi</w:t>
      </w:r>
      <w:r>
        <w:rPr>
          <w:rFonts w:hAnsi="Book Antiqua" w:hint="default"/>
          <w:color w:val="000000"/>
          <w:u w:color="000000"/>
          <w:rtl w:val="0"/>
          <w:lang w:val="it-IT"/>
        </w:rPr>
        <w:t xml:space="preserve">ù </w:t>
      </w:r>
      <w:r>
        <w:rPr>
          <w:rFonts w:ascii="Book Antiqua"/>
          <w:color w:val="000000"/>
          <w:u w:color="000000"/>
          <w:rtl w:val="0"/>
          <w:lang w:val="it-IT"/>
        </w:rPr>
        <w:t xml:space="preserve">elevato tassativamente individuati dalla norma. Ed </w:t>
      </w:r>
      <w:r>
        <w:rPr>
          <w:rFonts w:hAnsi="Book Antiqua" w:hint="default"/>
          <w:color w:val="000000"/>
          <w:u w:color="000000"/>
          <w:rtl w:val="0"/>
          <w:lang w:val="it-IT"/>
        </w:rPr>
        <w:t xml:space="preserve">è </w:t>
      </w:r>
      <w:r>
        <w:rPr>
          <w:rFonts w:ascii="Book Antiqua"/>
          <w:color w:val="000000"/>
          <w:u w:color="000000"/>
          <w:rtl w:val="0"/>
          <w:lang w:val="it-IT"/>
        </w:rPr>
        <w:t>proprio a salvaguardia dell'interesse superiore alla prestazione del servizio che l'ordinamento dispone la nomina di amministratori straordinari e la sospensione dell'esercizio dei poteri di disposizione e gestione dei titolari dell'impresa. Tale approccio trova la condivisione dell'Autorit</w:t>
      </w:r>
      <w:r>
        <w:rPr>
          <w:rFonts w:hAnsi="Book Antiqua" w:hint="default"/>
          <w:color w:val="000000"/>
          <w:u w:color="000000"/>
          <w:rtl w:val="0"/>
          <w:lang w:val="it-IT"/>
        </w:rPr>
        <w:t xml:space="preserve">à </w:t>
      </w:r>
      <w:r>
        <w:rPr>
          <w:rFonts w:ascii="Book Antiqua"/>
          <w:color w:val="000000"/>
          <w:u w:color="000000"/>
          <w:rtl w:val="0"/>
          <w:lang w:val="it-IT"/>
        </w:rPr>
        <w:t>che ha costantemente evidenziato come le misure straordinarie ex articolo 32 del decreto legge n. 90 del 2014 assumano, nel caso di interdittiva antimafia, una accezione totalmente diversa rispetto alle fattispecie di matrice corruttiva, in quanto preordinate a soddisfare l'esigenza di contrastare il pericolo di inquinamento mafioso nella prestazione di servizi e lavori indifferibili, mediante la estromissione dal perimetro della contrattazione pubblica degli operatori economici che hanno perso quella fiducia nelle istituzioni che costituisce il presupposto indefettibile per l'esecuzione di prestazioni contrattuali in favore di pubbliche amministrazioni.</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 xml:space="preserve">Appaiono, pertanto, condivisibili le conclusioni del parere, nella parte in cui evidenzia come </w:t>
      </w:r>
      <w:r>
        <w:rPr>
          <w:rFonts w:hAnsi="Book Antiqua" w:hint="default"/>
          <w:color w:val="000000"/>
          <w:u w:color="000000"/>
          <w:rtl w:val="0"/>
          <w:lang w:val="it-IT"/>
        </w:rPr>
        <w:t>‘</w:t>
      </w:r>
      <w:r>
        <w:rPr>
          <w:rFonts w:ascii="Book Antiqua"/>
          <w:color w:val="000000"/>
          <w:u w:color="000000"/>
          <w:rtl w:val="0"/>
          <w:lang w:val="it-IT"/>
        </w:rPr>
        <w:t>l'amministratore straordinario di Co.La.Ri ed E. Giovi assommi su di s</w:t>
      </w:r>
      <w:r>
        <w:rPr>
          <w:rFonts w:hAnsi="Book Antiqua" w:hint="default"/>
          <w:color w:val="000000"/>
          <w:u w:color="000000"/>
          <w:rtl w:val="0"/>
          <w:lang w:val="it-IT"/>
        </w:rPr>
        <w:t xml:space="preserve">é </w:t>
      </w:r>
      <w:r>
        <w:rPr>
          <w:rFonts w:ascii="Book Antiqua"/>
          <w:color w:val="000000"/>
          <w:u w:color="000000"/>
          <w:rtl w:val="0"/>
          <w:lang w:val="it-IT"/>
        </w:rPr>
        <w:t>tutti i poteri di gestione e dispositivi, propri di un organo di amministrazione ordinaria, in relazione agli impianti TMB di Malagrotta 1 e Malagrotta 2</w:t>
      </w:r>
      <w:r>
        <w:rPr>
          <w:rFonts w:hAnsi="Book Antiqua" w:hint="default"/>
          <w:color w:val="000000"/>
          <w:u w:color="000000"/>
          <w:rtl w:val="0"/>
          <w:lang w:val="it-IT"/>
        </w:rPr>
        <w:t xml:space="preserve">’ </w:t>
      </w:r>
      <w:r>
        <w:rPr>
          <w:rFonts w:ascii="Book Antiqua"/>
          <w:color w:val="000000"/>
          <w:u w:color="000000"/>
          <w:rtl w:val="0"/>
          <w:lang w:val="it-IT"/>
        </w:rPr>
        <w:t xml:space="preserve">ed in quanto tale egli </w:t>
      </w:r>
      <w:r>
        <w:rPr>
          <w:rFonts w:hAnsi="Book Antiqua" w:hint="default"/>
          <w:color w:val="000000"/>
          <w:u w:color="000000"/>
          <w:rtl w:val="0"/>
          <w:lang w:val="it-IT"/>
        </w:rPr>
        <w:t xml:space="preserve">è </w:t>
      </w:r>
      <w:r>
        <w:rPr>
          <w:rFonts w:ascii="Book Antiqua"/>
          <w:color w:val="000000"/>
          <w:u w:color="000000"/>
          <w:rtl w:val="0"/>
          <w:lang w:val="it-IT"/>
        </w:rPr>
        <w:t xml:space="preserve">titolato ad assumere autonome determinazioni </w:t>
      </w:r>
      <w:r>
        <w:rPr>
          <w:rFonts w:hAnsi="Book Antiqua" w:hint="default"/>
          <w:color w:val="000000"/>
          <w:u w:color="000000"/>
          <w:rtl w:val="0"/>
          <w:lang w:val="it-IT"/>
        </w:rPr>
        <w:t xml:space="preserve">— </w:t>
      </w:r>
      <w:r>
        <w:rPr>
          <w:rFonts w:ascii="Book Antiqua"/>
          <w:color w:val="000000"/>
          <w:u w:color="000000"/>
          <w:rtl w:val="0"/>
          <w:lang w:val="it-IT"/>
        </w:rPr>
        <w:t xml:space="preserve">in esse compresa la stipula di un contratto - ove queste siano funzionali al perseguimento degli interessi pubblici cui </w:t>
      </w:r>
      <w:r>
        <w:rPr>
          <w:rFonts w:hAnsi="Book Antiqua" w:hint="default"/>
          <w:color w:val="000000"/>
          <w:u w:color="000000"/>
          <w:rtl w:val="0"/>
          <w:lang w:val="it-IT"/>
        </w:rPr>
        <w:t xml:space="preserve">è </w:t>
      </w:r>
      <w:r>
        <w:rPr>
          <w:rFonts w:ascii="Book Antiqua"/>
          <w:color w:val="000000"/>
          <w:u w:color="000000"/>
          <w:rtl w:val="0"/>
          <w:lang w:val="it-IT"/>
        </w:rPr>
        <w:t xml:space="preserve">preordinato il suo incarico. La sottoscrizione del contratto - di cui si </w:t>
      </w:r>
      <w:r>
        <w:rPr>
          <w:rFonts w:hAnsi="Book Antiqua" w:hint="default"/>
          <w:color w:val="000000"/>
          <w:u w:color="000000"/>
          <w:rtl w:val="0"/>
          <w:lang w:val="it-IT"/>
        </w:rPr>
        <w:t xml:space="preserve">è </w:t>
      </w:r>
      <w:r>
        <w:rPr>
          <w:rFonts w:ascii="Book Antiqua"/>
          <w:color w:val="000000"/>
          <w:u w:color="000000"/>
          <w:rtl w:val="0"/>
          <w:lang w:val="it-IT"/>
        </w:rPr>
        <w:t xml:space="preserve">detto in premessa - si </w:t>
      </w:r>
      <w:r>
        <w:rPr>
          <w:rFonts w:hAnsi="Book Antiqua" w:hint="default"/>
          <w:color w:val="000000"/>
          <w:u w:color="000000"/>
          <w:rtl w:val="0"/>
          <w:lang w:val="it-IT"/>
        </w:rPr>
        <w:t xml:space="preserve">è </w:t>
      </w:r>
      <w:r>
        <w:rPr>
          <w:rFonts w:ascii="Book Antiqua"/>
          <w:color w:val="000000"/>
          <w:u w:color="000000"/>
          <w:rtl w:val="0"/>
          <w:lang w:val="it-IT"/>
        </w:rPr>
        <w:t>resa urgente in maniera da consentire alla prefettura di Roma di avviare il procedimento prodromico alla straordinaria e temporanea gestione del Consorzio Colari e della societ</w:t>
      </w:r>
      <w:r>
        <w:rPr>
          <w:rFonts w:hAnsi="Book Antiqua" w:hint="default"/>
          <w:color w:val="000000"/>
          <w:u w:color="000000"/>
          <w:rtl w:val="0"/>
          <w:lang w:val="it-IT"/>
        </w:rPr>
        <w:t xml:space="preserve">à </w:t>
      </w:r>
      <w:r>
        <w:rPr>
          <w:rFonts w:ascii="Book Antiqua"/>
          <w:color w:val="000000"/>
          <w:u w:color="000000"/>
          <w:rtl w:val="0"/>
          <w:lang w:val="it-IT"/>
        </w:rPr>
        <w:t>E. Giovi, limitatamente alla completa esecuzione del neo stipulato contratto. Con riferimento alla sostenibilit</w:t>
      </w:r>
      <w:r>
        <w:rPr>
          <w:rFonts w:hAnsi="Book Antiqua" w:hint="default"/>
          <w:color w:val="000000"/>
          <w:u w:color="000000"/>
          <w:rtl w:val="0"/>
          <w:lang w:val="it-IT"/>
        </w:rPr>
        <w:t xml:space="preserve">à </w:t>
      </w:r>
      <w:r>
        <w:rPr>
          <w:rFonts w:ascii="Book Antiqua"/>
          <w:color w:val="000000"/>
          <w:u w:color="000000"/>
          <w:rtl w:val="0"/>
          <w:lang w:val="it-IT"/>
        </w:rPr>
        <w:t>economico-finanziaria del contratto, nel predetto parere sono state evidenziate criticit</w:t>
      </w:r>
      <w:r>
        <w:rPr>
          <w:rFonts w:hAnsi="Book Antiqua" w:hint="default"/>
          <w:color w:val="000000"/>
          <w:u w:color="000000"/>
          <w:rtl w:val="0"/>
          <w:lang w:val="it-IT"/>
        </w:rPr>
        <w:t xml:space="preserve">à </w:t>
      </w:r>
      <w:r>
        <w:rPr>
          <w:rFonts w:ascii="Book Antiqua"/>
          <w:color w:val="000000"/>
          <w:u w:color="000000"/>
          <w:rtl w:val="0"/>
          <w:lang w:val="it-IT"/>
        </w:rPr>
        <w:t>concernenti la carenza di liquidit</w:t>
      </w:r>
      <w:r>
        <w:rPr>
          <w:rFonts w:hAnsi="Book Antiqua" w:hint="default"/>
          <w:color w:val="000000"/>
          <w:u w:color="000000"/>
          <w:rtl w:val="0"/>
          <w:lang w:val="it-IT"/>
        </w:rPr>
        <w:t xml:space="preserve">à </w:t>
      </w:r>
      <w:r>
        <w:rPr>
          <w:rFonts w:ascii="Book Antiqua"/>
          <w:color w:val="000000"/>
          <w:u w:color="000000"/>
          <w:rtl w:val="0"/>
          <w:lang w:val="it-IT"/>
        </w:rPr>
        <w:t>e la imprescindibile necessit</w:t>
      </w:r>
      <w:r>
        <w:rPr>
          <w:rFonts w:hAnsi="Book Antiqua" w:hint="default"/>
          <w:color w:val="000000"/>
          <w:u w:color="000000"/>
          <w:rtl w:val="0"/>
          <w:lang w:val="it-IT"/>
        </w:rPr>
        <w:t xml:space="preserve">à </w:t>
      </w:r>
      <w:r>
        <w:rPr>
          <w:rFonts w:ascii="Book Antiqua"/>
          <w:color w:val="000000"/>
          <w:u w:color="000000"/>
          <w:rtl w:val="0"/>
          <w:lang w:val="it-IT"/>
        </w:rPr>
        <w:t>di disporre delle somme derivanti dall'adeguamento tariffario di cui alla determinazione della regione Lazio del 16 agosto scorso, al fine di poter appianare le posizioni debitorie pregresse e garantire la necessaria manutenzione ordinaria degli impianti. L'Autorit</w:t>
      </w:r>
      <w:r>
        <w:rPr>
          <w:rFonts w:hAnsi="Book Antiqua" w:hint="default"/>
          <w:color w:val="000000"/>
          <w:u w:color="000000"/>
          <w:rtl w:val="0"/>
          <w:lang w:val="it-IT"/>
        </w:rPr>
        <w:t xml:space="preserve">à </w:t>
      </w:r>
      <w:r>
        <w:rPr>
          <w:rFonts w:ascii="Book Antiqua"/>
          <w:color w:val="000000"/>
          <w:u w:color="000000"/>
          <w:rtl w:val="0"/>
          <w:lang w:val="it-IT"/>
        </w:rPr>
        <w:t xml:space="preserve">sul punto si </w:t>
      </w:r>
      <w:r>
        <w:rPr>
          <w:rFonts w:hAnsi="Book Antiqua" w:hint="default"/>
          <w:color w:val="000000"/>
          <w:u w:color="000000"/>
          <w:rtl w:val="0"/>
          <w:lang w:val="it-IT"/>
        </w:rPr>
        <w:t xml:space="preserve">è </w:t>
      </w:r>
      <w:r>
        <w:rPr>
          <w:rFonts w:ascii="Book Antiqua"/>
          <w:color w:val="000000"/>
          <w:u w:color="000000"/>
          <w:rtl w:val="0"/>
          <w:lang w:val="it-IT"/>
        </w:rPr>
        <w:t>espressa nel senso di verificare con tutte le istituzioni coinvolte sia gli importi che AMA</w:t>
      </w:r>
      <w:r>
        <w:rPr>
          <w:rFonts w:hAnsi="Book Antiqua" w:hint="default"/>
          <w:color w:val="000000"/>
          <w:u w:color="000000"/>
          <w:rtl w:val="0"/>
          <w:lang w:val="it-IT"/>
        </w:rPr>
        <w:t xml:space="preserve"> è </w:t>
      </w:r>
      <w:r>
        <w:rPr>
          <w:rFonts w:ascii="Book Antiqua"/>
          <w:color w:val="000000"/>
          <w:u w:color="000000"/>
          <w:rtl w:val="0"/>
          <w:lang w:val="it-IT"/>
        </w:rPr>
        <w:t>tenuta a versare e la tempistica che la societ</w:t>
      </w:r>
      <w:r>
        <w:rPr>
          <w:rFonts w:hAnsi="Book Antiqua" w:hint="default"/>
          <w:color w:val="000000"/>
          <w:u w:color="000000"/>
          <w:rtl w:val="0"/>
          <w:lang w:val="it-IT"/>
        </w:rPr>
        <w:t xml:space="preserve">à </w:t>
      </w:r>
      <w:r>
        <w:rPr>
          <w:rFonts w:ascii="Book Antiqua"/>
          <w:color w:val="000000"/>
          <w:u w:color="000000"/>
          <w:rtl w:val="0"/>
          <w:lang w:val="it-IT"/>
        </w:rPr>
        <w:t>ha programmato per l'adempimento sia la legittimazione dell'amministratore prefettizio ad incassare una quota parte del corrispettivo delle prestazioni rese dagli operatori economici interdetti in epoca antecedente al commissariamento</w:t>
      </w:r>
      <w:r>
        <w:rPr>
          <w:rFonts w:hAnsi="Book Antiqua" w:hint="default"/>
          <w:color w:val="000000"/>
          <w:u w:color="000000"/>
          <w:rtl w:val="0"/>
          <w:lang w:val="it-IT"/>
        </w:rPr>
        <w:t>”</w:t>
      </w:r>
      <w:r>
        <w:rPr>
          <w:rFonts w:ascii="Book Antiqua"/>
          <w:color w:val="000000"/>
          <w:u w:color="000000"/>
          <w:rtl w:val="0"/>
          <w:lang w:val="it-IT"/>
        </w:rPr>
        <w:t>.</w:t>
      </w:r>
    </w:p>
    <w:p>
      <w:pPr>
        <w:pStyle w:val="Normal"/>
        <w:ind w:left="567" w:right="567" w:firstLine="0"/>
        <w:jc w:val="both"/>
        <w:rPr>
          <w:rFonts w:ascii="Book Antiqua" w:cs="Book Antiqua" w:hAnsi="Book Antiqua" w:eastAsia="Book Antiqua"/>
          <w:color w:val="333333"/>
          <w:u w:color="333333"/>
          <w:shd w:val="clear" w:color="auto" w:fill="ffffff"/>
        </w:rPr>
      </w:pPr>
    </w:p>
    <w:p>
      <w:pPr>
        <w:pStyle w:val="Normal"/>
        <w:ind w:left="567" w:right="567" w:firstLine="0"/>
        <w:jc w:val="both"/>
        <w:rPr>
          <w:rFonts w:ascii="Book Antiqua" w:cs="Book Antiqua" w:hAnsi="Book Antiqua" w:eastAsia="Book Antiqua"/>
          <w:color w:val="333333"/>
          <w:u w:color="333333"/>
          <w:shd w:val="clear" w:color="auto" w:fill="ffffff"/>
        </w:rPr>
      </w:pPr>
    </w:p>
    <w:p>
      <w:pPr>
        <w:pStyle w:val="Normal"/>
        <w:ind w:right="567" w:firstLine="567"/>
        <w:jc w:val="both"/>
        <w:rPr>
          <w:rFonts w:ascii="Book Antiqua" w:cs="Book Antiqua" w:hAnsi="Book Antiqua" w:eastAsia="Book Antiqua"/>
          <w:sz w:val="28"/>
          <w:szCs w:val="28"/>
        </w:rPr>
      </w:pPr>
      <w:r>
        <w:rPr>
          <w:rFonts w:ascii="Book Antiqua"/>
          <w:sz w:val="28"/>
          <w:szCs w:val="28"/>
          <w:rtl w:val="0"/>
          <w:lang w:val="it-IT"/>
        </w:rPr>
        <w:t>2.3.6 La situazione delle societ</w:t>
      </w:r>
      <w:r>
        <w:rPr>
          <w:rFonts w:hAnsi="Book Antiqua" w:hint="default"/>
          <w:sz w:val="28"/>
          <w:szCs w:val="28"/>
          <w:rtl w:val="0"/>
          <w:lang w:val="it-IT"/>
        </w:rPr>
        <w:t xml:space="preserve">à </w:t>
      </w:r>
      <w:r>
        <w:rPr>
          <w:rFonts w:ascii="Book Antiqua"/>
          <w:sz w:val="28"/>
          <w:szCs w:val="28"/>
          <w:rtl w:val="0"/>
          <w:lang w:val="it-IT"/>
        </w:rPr>
        <w:t>partecipate</w:t>
      </w:r>
    </w:p>
    <w:p>
      <w:pPr>
        <w:pStyle w:val="Normal"/>
        <w:ind w:left="567" w:right="567" w:firstLine="282"/>
        <w:jc w:val="both"/>
        <w:rPr>
          <w:rFonts w:ascii="Book Antiqua" w:cs="Book Antiqua" w:hAnsi="Book Antiqua" w:eastAsia="Book Antiqua"/>
          <w:i w:val="1"/>
          <w:iCs w:val="1"/>
        </w:rPr>
      </w:pPr>
    </w:p>
    <w:p>
      <w:pPr>
        <w:pStyle w:val="Normal"/>
        <w:widowControl w:val="0"/>
        <w:ind w:left="567" w:right="567" w:firstLine="0"/>
        <w:jc w:val="both"/>
        <w:rPr>
          <w:rFonts w:ascii="Book Antiqua" w:cs="Book Antiqua" w:hAnsi="Book Antiqua" w:eastAsia="Book Antiqua"/>
          <w:color w:val="262626"/>
          <w:u w:color="262626"/>
        </w:rPr>
      </w:pPr>
      <w:r>
        <w:rPr>
          <w:rFonts w:ascii="Book Antiqua"/>
          <w:rtl w:val="0"/>
          <w:lang w:val="it-IT"/>
        </w:rPr>
        <w:t xml:space="preserve">Come si </w:t>
      </w:r>
      <w:r>
        <w:rPr>
          <w:rFonts w:hAnsi="Book Antiqua" w:hint="default"/>
          <w:rtl w:val="0"/>
          <w:lang w:val="it-IT"/>
        </w:rPr>
        <w:t xml:space="preserve">è </w:t>
      </w:r>
      <w:r>
        <w:rPr>
          <w:rFonts w:ascii="Book Antiqua"/>
          <w:rtl w:val="0"/>
          <w:lang w:val="it-IT"/>
        </w:rPr>
        <w:t xml:space="preserve">visto, il precedente </w:t>
      </w:r>
      <w:r>
        <w:rPr>
          <w:rFonts w:ascii="Book Antiqua"/>
          <w:i w:val="1"/>
          <w:iCs w:val="1"/>
          <w:rtl w:val="0"/>
          <w:lang w:val="it-IT"/>
        </w:rPr>
        <w:t>management</w:t>
      </w:r>
      <w:r>
        <w:rPr>
          <w:rFonts w:ascii="Book Antiqua"/>
          <w:rtl w:val="0"/>
          <w:lang w:val="it-IT"/>
        </w:rPr>
        <w:t xml:space="preserve"> di AMA </w:t>
      </w:r>
      <w:r>
        <w:rPr>
          <w:rFonts w:ascii="Book Antiqua"/>
          <w:color w:val="262626"/>
          <w:u w:color="262626"/>
          <w:rtl w:val="0"/>
          <w:lang w:val="it-IT"/>
        </w:rPr>
        <w:t xml:space="preserve">S.p.A. </w:t>
      </w:r>
      <w:r>
        <w:rPr>
          <w:rFonts w:ascii="Book Antiqua"/>
          <w:rtl w:val="0"/>
          <w:lang w:val="it-IT"/>
        </w:rPr>
        <w:t>aveva individuato una linea di politica industriale che prevedeva lo sviluppo della capacit</w:t>
      </w:r>
      <w:r>
        <w:rPr>
          <w:rFonts w:hAnsi="Book Antiqua" w:hint="default"/>
          <w:rtl w:val="0"/>
          <w:lang w:val="it-IT"/>
        </w:rPr>
        <w:t xml:space="preserve">à </w:t>
      </w:r>
      <w:r>
        <w:rPr>
          <w:rFonts w:ascii="Book Antiqua"/>
          <w:rtl w:val="0"/>
          <w:lang w:val="it-IT"/>
        </w:rPr>
        <w:t>impiantistica a servizio di Roma Capitale. A prescindere dal dettaglio delle scelte impiantistiche, peraltro, anche i nuovi decisori politici si sono collocati, nelle dichiarazioni rese alla Commissione, su posizioni di difesa dell</w:t>
      </w:r>
      <w:r>
        <w:rPr>
          <w:rFonts w:hAnsi="Book Antiqua" w:hint="default"/>
          <w:rtl w:val="0"/>
          <w:lang w:val="it-IT"/>
        </w:rPr>
        <w:t>’</w:t>
      </w:r>
      <w:r>
        <w:rPr>
          <w:rFonts w:ascii="Book Antiqua"/>
          <w:rtl w:val="0"/>
          <w:lang w:val="it-IT"/>
        </w:rPr>
        <w:t>azienda. Ancora nell</w:t>
      </w:r>
      <w:r>
        <w:rPr>
          <w:rFonts w:hAnsi="Book Antiqua" w:hint="default"/>
          <w:rtl w:val="0"/>
          <w:lang w:val="it-IT"/>
        </w:rPr>
        <w:t>’</w:t>
      </w:r>
      <w:r>
        <w:rPr>
          <w:rFonts w:ascii="Book Antiqua"/>
          <w:rtl w:val="0"/>
          <w:lang w:val="it-IT"/>
        </w:rPr>
        <w:t>audizione del 31 gennaio 2017, l</w:t>
      </w:r>
      <w:r>
        <w:rPr>
          <w:rFonts w:hAnsi="Book Antiqua" w:hint="default"/>
          <w:rtl w:val="0"/>
          <w:lang w:val="it-IT"/>
        </w:rPr>
        <w:t>’</w:t>
      </w:r>
      <w:r>
        <w:rPr>
          <w:rFonts w:ascii="Book Antiqua"/>
          <w:rtl w:val="0"/>
          <w:lang w:val="it-IT"/>
        </w:rPr>
        <w:t>assessora alla sostenibilit</w:t>
      </w:r>
      <w:r>
        <w:rPr>
          <w:rFonts w:hAnsi="Book Antiqua" w:hint="default"/>
          <w:rtl w:val="0"/>
          <w:lang w:val="it-IT"/>
        </w:rPr>
        <w:t xml:space="preserve">à </w:t>
      </w:r>
      <w:r>
        <w:rPr>
          <w:rFonts w:ascii="Book Antiqua"/>
          <w:rtl w:val="0"/>
          <w:lang w:val="it-IT"/>
        </w:rPr>
        <w:t xml:space="preserve">ambientale Giuseppina Montanari parlava di </w:t>
      </w:r>
      <w:r>
        <w:rPr>
          <w:rFonts w:hAnsi="Book Antiqua" w:hint="default"/>
          <w:rtl w:val="0"/>
          <w:lang w:val="it-IT"/>
        </w:rPr>
        <w:t>“</w:t>
      </w:r>
      <w:r>
        <w:rPr>
          <w:rFonts w:ascii="Book Antiqua"/>
          <w:color w:val="262626"/>
          <w:u w:color="262626"/>
          <w:rtl w:val="0"/>
          <w:lang w:val="it-IT"/>
        </w:rPr>
        <w:t>ricchezza e [</w:t>
      </w:r>
      <w:r>
        <w:rPr>
          <w:rFonts w:hAnsi="Book Antiqua" w:hint="default"/>
          <w:color w:val="262626"/>
          <w:u w:color="262626"/>
          <w:rtl w:val="0"/>
          <w:lang w:val="it-IT"/>
        </w:rPr>
        <w:t>…</w:t>
      </w:r>
      <w:r>
        <w:rPr>
          <w:rFonts w:ascii="Book Antiqua"/>
          <w:color w:val="262626"/>
          <w:u w:color="262626"/>
          <w:rtl w:val="0"/>
          <w:lang w:val="it-IT"/>
        </w:rPr>
        <w:t>] potenzialit</w:t>
      </w:r>
      <w:r>
        <w:rPr>
          <w:rFonts w:hAnsi="Book Antiqua" w:hint="default"/>
          <w:color w:val="262626"/>
          <w:u w:color="262626"/>
          <w:rtl w:val="0"/>
          <w:lang w:val="it-IT"/>
        </w:rPr>
        <w:t xml:space="preserve">à </w:t>
      </w:r>
      <w:r>
        <w:rPr>
          <w:rFonts w:ascii="Book Antiqua"/>
          <w:color w:val="262626"/>
          <w:u w:color="262626"/>
          <w:rtl w:val="0"/>
          <w:lang w:val="it-IT"/>
        </w:rPr>
        <w:t>del mercato dei prodotti e dei servizi AMA</w:t>
      </w:r>
      <w:r>
        <w:rPr>
          <w:rFonts w:hAnsi="Book Antiqua" w:hint="default"/>
          <w:color w:val="262626"/>
          <w:u w:color="262626"/>
          <w:rtl w:val="0"/>
          <w:lang w:val="it-IT"/>
        </w:rPr>
        <w:t>”</w:t>
      </w:r>
      <w:r>
        <w:rPr>
          <w:rFonts w:ascii="Book Antiqua"/>
          <w:color w:val="262626"/>
          <w:u w:color="262626"/>
          <w:rtl w:val="0"/>
          <w:lang w:val="it-IT"/>
        </w:rPr>
        <w:t xml:space="preserve">, ritenendo necessario </w:t>
      </w:r>
      <w:r>
        <w:rPr>
          <w:rFonts w:hAnsi="Book Antiqua" w:hint="default"/>
          <w:color w:val="262626"/>
          <w:u w:color="262626"/>
          <w:rtl w:val="0"/>
          <w:lang w:val="it-IT"/>
        </w:rPr>
        <w:t>“</w:t>
      </w:r>
      <w:r>
        <w:rPr>
          <w:rFonts w:ascii="Book Antiqua"/>
          <w:color w:val="262626"/>
          <w:u w:color="262626"/>
          <w:rtl w:val="0"/>
          <w:lang w:val="it-IT"/>
        </w:rPr>
        <w:t>individuare dei segmenti di mercato in termini sia territoriali sia di prodotti e anche in termini di tipologia di servizio, che valorizzino una cultura che c'</w:t>
      </w:r>
      <w:r>
        <w:rPr>
          <w:rFonts w:hAnsi="Book Antiqua" w:hint="default"/>
          <w:color w:val="262626"/>
          <w:u w:color="262626"/>
          <w:rtl w:val="0"/>
          <w:lang w:val="it-IT"/>
        </w:rPr>
        <w:t xml:space="preserve">è </w:t>
      </w:r>
      <w:r>
        <w:rPr>
          <w:rFonts w:ascii="Book Antiqua"/>
          <w:color w:val="262626"/>
          <w:u w:color="262626"/>
          <w:rtl w:val="0"/>
          <w:lang w:val="it-IT"/>
        </w:rPr>
        <w:t>nelle aziende, cultura, ma anche risorse umane, anche esperienze tecnico-gestionali aziendali, che ci sono nelle aziende e che possono costituire un cosiddetto valore aggiunto</w:t>
      </w:r>
      <w:r>
        <w:rPr>
          <w:rFonts w:hAnsi="Book Antiqua" w:hint="default"/>
          <w:color w:val="262626"/>
          <w:u w:color="262626"/>
          <w:rtl w:val="0"/>
          <w:lang w:val="it-IT"/>
        </w:rPr>
        <w:t>”</w:t>
      </w:r>
      <w:r>
        <w:rPr>
          <w:rFonts w:ascii="Book Antiqua"/>
          <w:color w:val="262626"/>
          <w:u w:color="262626"/>
          <w:rtl w:val="0"/>
          <w:lang w:val="it-IT"/>
        </w:rPr>
        <w:t>. Una difesa, quindi del valore intrinseco di AMA S.p.A. e della prospettiva di mantenerla come centro della politica industriale sul ciclo dei rifiuti.</w:t>
      </w:r>
    </w:p>
    <w:p>
      <w:pPr>
        <w:pStyle w:val="Normal"/>
        <w:widowControl w:val="0"/>
        <w:ind w:left="567" w:right="567" w:firstLine="0"/>
        <w:jc w:val="both"/>
        <w:rPr>
          <w:rFonts w:ascii="Book Antiqua" w:cs="Book Antiqua" w:hAnsi="Book Antiqua" w:eastAsia="Book Antiqua"/>
          <w:color w:val="262626"/>
          <w:u w:color="262626"/>
        </w:rPr>
      </w:pPr>
      <w:r>
        <w:rPr>
          <w:rFonts w:ascii="Book Antiqua"/>
          <w:color w:val="262626"/>
          <w:u w:color="262626"/>
          <w:rtl w:val="0"/>
          <w:lang w:val="it-IT"/>
        </w:rPr>
        <w:t>Una posizione non dissimile da quella espressa dalla precedente amministrazione di Roma Capitale e dall</w:t>
      </w:r>
      <w:r>
        <w:rPr>
          <w:rFonts w:hAnsi="Book Antiqua" w:hint="default"/>
          <w:color w:val="262626"/>
          <w:u w:color="262626"/>
          <w:rtl w:val="0"/>
          <w:lang w:val="it-IT"/>
        </w:rPr>
        <w:t>’</w:t>
      </w:r>
      <w:r>
        <w:rPr>
          <w:rFonts w:ascii="Book Antiqua"/>
          <w:color w:val="262626"/>
          <w:u w:color="262626"/>
          <w:rtl w:val="0"/>
          <w:lang w:val="it-IT"/>
        </w:rPr>
        <w:t>allora presidente di AMA, Daniele Fortini, di cui s</w:t>
      </w:r>
      <w:r>
        <w:rPr>
          <w:rFonts w:hAnsi="Book Antiqua" w:hint="default"/>
          <w:color w:val="262626"/>
          <w:u w:color="262626"/>
          <w:rtl w:val="0"/>
          <w:lang w:val="it-IT"/>
        </w:rPr>
        <w:t xml:space="preserve">’è </w:t>
      </w:r>
      <w:r>
        <w:rPr>
          <w:rFonts w:ascii="Book Antiqua"/>
          <w:color w:val="262626"/>
          <w:u w:color="262626"/>
          <w:rtl w:val="0"/>
          <w:lang w:val="it-IT"/>
        </w:rPr>
        <w:t>dato conto in precedenza.</w:t>
      </w:r>
    </w:p>
    <w:p>
      <w:pPr>
        <w:pStyle w:val="Normal"/>
        <w:widowControl w:val="0"/>
        <w:ind w:left="567" w:right="567" w:firstLine="0"/>
        <w:jc w:val="both"/>
        <w:rPr>
          <w:rFonts w:ascii="Book Antiqua" w:cs="Book Antiqua" w:hAnsi="Book Antiqua" w:eastAsia="Book Antiqua"/>
          <w:color w:val="262626"/>
          <w:u w:color="262626"/>
        </w:rPr>
      </w:pPr>
      <w:r>
        <w:rPr>
          <w:rFonts w:ascii="Book Antiqua"/>
          <w:color w:val="262626"/>
          <w:u w:color="262626"/>
          <w:rtl w:val="0"/>
          <w:lang w:val="it-IT"/>
        </w:rPr>
        <w:t xml:space="preserve">Ma parallelamente a queste affermazioni, altri scenari si delineano: nella medesima seduta, il direttore generale di AMA S.p.A., Stefano Bina, annunciava: </w:t>
      </w:r>
      <w:r>
        <w:rPr>
          <w:rFonts w:hAnsi="Book Antiqua" w:hint="default"/>
          <w:color w:val="262626"/>
          <w:u w:color="262626"/>
          <w:rtl w:val="0"/>
          <w:lang w:val="it-IT"/>
        </w:rPr>
        <w:t>“</w:t>
      </w:r>
      <w:r>
        <w:rPr>
          <w:rFonts w:ascii="Book Antiqua"/>
          <w:color w:val="262626"/>
          <w:u w:color="262626"/>
          <w:rtl w:val="0"/>
          <w:lang w:val="it-IT"/>
        </w:rPr>
        <w:t>abbiamo sviluppato un'ipotesi, per ora appunto solo un'ipotesi, ma che secondo me pu</w:t>
      </w:r>
      <w:r>
        <w:rPr>
          <w:rFonts w:hAnsi="Book Antiqua" w:hint="default"/>
          <w:color w:val="262626"/>
          <w:u w:color="262626"/>
          <w:rtl w:val="0"/>
          <w:lang w:val="it-IT"/>
        </w:rPr>
        <w:t xml:space="preserve">ò </w:t>
      </w:r>
      <w:r>
        <w:rPr>
          <w:rFonts w:ascii="Book Antiqua"/>
          <w:color w:val="262626"/>
          <w:u w:color="262626"/>
          <w:rtl w:val="0"/>
          <w:lang w:val="it-IT"/>
        </w:rPr>
        <w:t>essere interessante, di prevedere un rapporto sinergico con ACEA, l'altra societ</w:t>
      </w:r>
      <w:r>
        <w:rPr>
          <w:rFonts w:hAnsi="Book Antiqua" w:hint="default"/>
          <w:color w:val="262626"/>
          <w:u w:color="262626"/>
          <w:rtl w:val="0"/>
          <w:lang w:val="it-IT"/>
        </w:rPr>
        <w:t xml:space="preserve">à </w:t>
      </w:r>
      <w:r>
        <w:rPr>
          <w:rFonts w:ascii="Book Antiqua"/>
          <w:color w:val="262626"/>
          <w:u w:color="262626"/>
          <w:rtl w:val="0"/>
          <w:lang w:val="it-IT"/>
        </w:rPr>
        <w:t>partecipata dal comune di Roma. Insieme potremmo sviluppare una progettazione dedicata a impianti che possono servire per trattare i rifiuti di Roma</w:t>
      </w:r>
      <w:r>
        <w:rPr>
          <w:rFonts w:hAnsi="Book Antiqua" w:hint="default"/>
          <w:color w:val="262626"/>
          <w:u w:color="262626"/>
          <w:rtl w:val="0"/>
          <w:lang w:val="it-IT"/>
        </w:rPr>
        <w:t xml:space="preserve">” </w:t>
      </w:r>
      <w:r>
        <w:rPr>
          <w:rFonts w:ascii="Book Antiqua"/>
          <w:color w:val="262626"/>
          <w:u w:color="262626"/>
          <w:rtl w:val="0"/>
          <w:lang w:val="it-IT"/>
        </w:rPr>
        <w:t>e aggiungeva, quanto al multimateriale da raccolta differenziata, l</w:t>
      </w:r>
      <w:r>
        <w:rPr>
          <w:rFonts w:hAnsi="Book Antiqua" w:hint="default"/>
          <w:color w:val="262626"/>
          <w:u w:color="262626"/>
          <w:rtl w:val="0"/>
          <w:lang w:val="it-IT"/>
        </w:rPr>
        <w:t>’</w:t>
      </w:r>
      <w:r>
        <w:rPr>
          <w:rFonts w:ascii="Book Antiqua"/>
          <w:color w:val="262626"/>
          <w:u w:color="262626"/>
          <w:rtl w:val="0"/>
          <w:lang w:val="it-IT"/>
        </w:rPr>
        <w:t xml:space="preserve">ipotesi di </w:t>
      </w:r>
      <w:r>
        <w:rPr>
          <w:rFonts w:hAnsi="Book Antiqua" w:hint="default"/>
          <w:color w:val="262626"/>
          <w:u w:color="262626"/>
          <w:rtl w:val="0"/>
          <w:lang w:val="it-IT"/>
        </w:rPr>
        <w:t>“</w:t>
      </w:r>
      <w:r>
        <w:rPr>
          <w:rFonts w:ascii="Book Antiqua"/>
          <w:color w:val="262626"/>
          <w:u w:color="262626"/>
          <w:rtl w:val="0"/>
          <w:lang w:val="it-IT"/>
        </w:rPr>
        <w:t>appoggiarci alla capacit</w:t>
      </w:r>
      <w:r>
        <w:rPr>
          <w:rFonts w:hAnsi="Book Antiqua" w:hint="default"/>
          <w:color w:val="262626"/>
          <w:u w:color="262626"/>
          <w:rtl w:val="0"/>
          <w:lang w:val="it-IT"/>
        </w:rPr>
        <w:t xml:space="preserve">à </w:t>
      </w:r>
      <w:r>
        <w:rPr>
          <w:rFonts w:ascii="Book Antiqua"/>
          <w:color w:val="262626"/>
          <w:u w:color="262626"/>
          <w:rtl w:val="0"/>
          <w:lang w:val="it-IT"/>
        </w:rPr>
        <w:t>impiantistica, alla capacit</w:t>
      </w:r>
      <w:r>
        <w:rPr>
          <w:rFonts w:hAnsi="Book Antiqua" w:hint="default"/>
          <w:color w:val="262626"/>
          <w:u w:color="262626"/>
          <w:rtl w:val="0"/>
          <w:lang w:val="it-IT"/>
        </w:rPr>
        <w:t xml:space="preserve">à </w:t>
      </w:r>
      <w:r>
        <w:rPr>
          <w:rFonts w:ascii="Book Antiqua"/>
          <w:color w:val="262626"/>
          <w:u w:color="262626"/>
          <w:rtl w:val="0"/>
          <w:lang w:val="it-IT"/>
        </w:rPr>
        <w:t>di investimento</w:t>
      </w:r>
      <w:r>
        <w:rPr>
          <w:rFonts w:hAnsi="Book Antiqua" w:hint="default"/>
          <w:color w:val="262626"/>
          <w:u w:color="262626"/>
          <w:rtl w:val="0"/>
          <w:lang w:val="it-IT"/>
        </w:rPr>
        <w:t xml:space="preserve">” </w:t>
      </w:r>
      <w:r>
        <w:rPr>
          <w:rFonts w:ascii="Book Antiqua"/>
          <w:color w:val="262626"/>
          <w:u w:color="262626"/>
          <w:rtl w:val="0"/>
          <w:lang w:val="it-IT"/>
        </w:rPr>
        <w:t xml:space="preserve">di ACEA S.p.A., prefigurando un ruolo di questa azienda </w:t>
      </w:r>
      <w:r>
        <w:rPr>
          <w:rFonts w:hAnsi="Book Antiqua" w:hint="default"/>
          <w:color w:val="262626"/>
          <w:u w:color="262626"/>
          <w:rtl w:val="0"/>
          <w:lang w:val="it-IT"/>
        </w:rPr>
        <w:t xml:space="preserve">– </w:t>
      </w:r>
      <w:r>
        <w:rPr>
          <w:rFonts w:ascii="Book Antiqua"/>
          <w:color w:val="262626"/>
          <w:u w:color="262626"/>
          <w:rtl w:val="0"/>
          <w:lang w:val="it-IT"/>
        </w:rPr>
        <w:t>a prevalente capitale pubblico ma partecipata da privati - nelle strutture industriali del ciclo dei rifiuti, senza coinvolgimento nelle attivit</w:t>
      </w:r>
      <w:r>
        <w:rPr>
          <w:rFonts w:hAnsi="Book Antiqua" w:hint="default"/>
          <w:color w:val="262626"/>
          <w:u w:color="262626"/>
          <w:rtl w:val="0"/>
          <w:lang w:val="it-IT"/>
        </w:rPr>
        <w:t xml:space="preserve">à </w:t>
      </w:r>
      <w:r>
        <w:rPr>
          <w:rFonts w:ascii="Book Antiqua"/>
          <w:color w:val="262626"/>
          <w:u w:color="262626"/>
          <w:rtl w:val="0"/>
          <w:lang w:val="it-IT"/>
        </w:rPr>
        <w:t>a basso valore aggiunto e a minimo livello tecnologico, che in questa prospettiva sarebbero integralmente riservate ad una AMA operaia e povera, attiva soprattutto nello spazzamento delle strade e nella raccolta di rifiuti</w:t>
      </w:r>
      <w:r>
        <w:rPr>
          <w:rFonts w:ascii="Book Antiqua" w:cs="Book Antiqua" w:hAnsi="Book Antiqua" w:eastAsia="Book Antiqua"/>
          <w:color w:val="262626"/>
          <w:u w:color="262626"/>
          <w:vertAlign w:val="superscript"/>
          <w:rtl w:val="0"/>
        </w:rPr>
        <w:footnoteReference w:id="151"/>
      </w:r>
      <w:r>
        <w:rPr>
          <w:rFonts w:ascii="Book Antiqua"/>
          <w:color w:val="262626"/>
          <w:u w:color="262626"/>
          <w:rtl w:val="0"/>
          <w:lang w:val="it-IT"/>
        </w:rPr>
        <w:t>.</w:t>
      </w:r>
    </w:p>
    <w:p>
      <w:pPr>
        <w:pStyle w:val="Normal"/>
        <w:widowControl w:val="0"/>
        <w:ind w:left="567" w:right="567" w:firstLine="0"/>
        <w:jc w:val="both"/>
        <w:rPr>
          <w:rFonts w:ascii="Book Antiqua" w:cs="Book Antiqua" w:hAnsi="Book Antiqua" w:eastAsia="Book Antiqua"/>
          <w:i w:val="1"/>
          <w:iCs w:val="1"/>
        </w:rPr>
      </w:pPr>
      <w:r>
        <w:rPr>
          <w:rFonts w:ascii="Book Antiqua"/>
          <w:color w:val="262626"/>
          <w:u w:color="262626"/>
          <w:rtl w:val="0"/>
          <w:lang w:val="it-IT"/>
        </w:rPr>
        <w:t>Pi</w:t>
      </w:r>
      <w:r>
        <w:rPr>
          <w:rFonts w:hAnsi="Book Antiqua" w:hint="default"/>
          <w:color w:val="262626"/>
          <w:u w:color="262626"/>
          <w:rtl w:val="0"/>
          <w:lang w:val="it-IT"/>
        </w:rPr>
        <w:t xml:space="preserve">ù </w:t>
      </w:r>
      <w:r>
        <w:rPr>
          <w:rFonts w:ascii="Book Antiqua"/>
          <w:color w:val="262626"/>
          <w:u w:color="262626"/>
          <w:rtl w:val="0"/>
          <w:lang w:val="it-IT"/>
        </w:rPr>
        <w:t>generico era stato nell</w:t>
      </w:r>
      <w:r>
        <w:rPr>
          <w:rFonts w:hAnsi="Book Antiqua" w:hint="default"/>
          <w:color w:val="262626"/>
          <w:u w:color="262626"/>
          <w:rtl w:val="0"/>
          <w:lang w:val="it-IT"/>
        </w:rPr>
        <w:t>’</w:t>
      </w:r>
      <w:r>
        <w:rPr>
          <w:rFonts w:ascii="Book Antiqua"/>
          <w:color w:val="262626"/>
          <w:u w:color="262626"/>
          <w:rtl w:val="0"/>
          <w:lang w:val="it-IT"/>
        </w:rPr>
        <w:t>audizione del 31 gennaio 2017 l</w:t>
      </w:r>
      <w:r>
        <w:rPr>
          <w:rFonts w:hAnsi="Book Antiqua" w:hint="default"/>
          <w:color w:val="262626"/>
          <w:u w:color="262626"/>
          <w:rtl w:val="0"/>
          <w:lang w:val="it-IT"/>
        </w:rPr>
        <w:t>’</w:t>
      </w:r>
      <w:r>
        <w:rPr>
          <w:rFonts w:ascii="Book Antiqua"/>
          <w:color w:val="262626"/>
          <w:u w:color="262626"/>
          <w:rtl w:val="0"/>
          <w:lang w:val="it-IT"/>
        </w:rPr>
        <w:t>assessore alla riorganizzazione delle societ</w:t>
      </w:r>
      <w:r>
        <w:rPr>
          <w:rFonts w:hAnsi="Book Antiqua" w:hint="default"/>
          <w:color w:val="262626"/>
          <w:u w:color="262626"/>
          <w:rtl w:val="0"/>
          <w:lang w:val="it-IT"/>
        </w:rPr>
        <w:t xml:space="preserve">à </w:t>
      </w:r>
      <w:r>
        <w:rPr>
          <w:rFonts w:ascii="Book Antiqua"/>
          <w:color w:val="262626"/>
          <w:u w:color="262626"/>
          <w:rtl w:val="0"/>
          <w:lang w:val="it-IT"/>
        </w:rPr>
        <w:t xml:space="preserve">partecipate di Roma Capitale, Massimo Colomban, il quale, dopo avere presentato la sua </w:t>
      </w:r>
      <w:r>
        <w:rPr>
          <w:rFonts w:ascii="Book Antiqua"/>
          <w:i w:val="1"/>
          <w:iCs w:val="1"/>
          <w:color w:val="262626"/>
          <w:u w:color="262626"/>
          <w:rtl w:val="0"/>
          <w:lang w:val="it-IT"/>
        </w:rPr>
        <w:t>mission</w:t>
      </w:r>
      <w:r>
        <w:rPr>
          <w:rFonts w:ascii="Book Antiqua"/>
          <w:color w:val="262626"/>
          <w:u w:color="262626"/>
          <w:rtl w:val="0"/>
          <w:lang w:val="it-IT"/>
        </w:rPr>
        <w:t xml:space="preserve"> a breve termine secondo le indicazioni politiche della giunta di Roma Capitale</w:t>
      </w:r>
      <w:r>
        <w:rPr>
          <w:rFonts w:ascii="Book Antiqua" w:cs="Book Antiqua" w:hAnsi="Book Antiqua" w:eastAsia="Book Antiqua"/>
          <w:color w:val="262626"/>
          <w:u w:color="262626"/>
          <w:vertAlign w:val="superscript"/>
          <w:rtl w:val="0"/>
        </w:rPr>
        <w:footnoteReference w:id="152"/>
      </w:r>
      <w:r>
        <w:rPr>
          <w:rFonts w:ascii="Book Antiqua"/>
          <w:color w:val="262626"/>
          <w:u w:color="262626"/>
          <w:rtl w:val="0"/>
          <w:lang w:val="it-IT"/>
        </w:rPr>
        <w:t xml:space="preserve">, ha affermato: </w:t>
      </w:r>
      <w:r>
        <w:rPr>
          <w:rFonts w:hAnsi="Book Antiqua" w:hint="default"/>
          <w:color w:val="262626"/>
          <w:u w:color="262626"/>
          <w:rtl w:val="0"/>
          <w:lang w:val="it-IT"/>
        </w:rPr>
        <w:t>“</w:t>
      </w:r>
      <w:r>
        <w:rPr>
          <w:rFonts w:ascii="Book Antiqua"/>
          <w:color w:val="262626"/>
          <w:u w:color="262626"/>
          <w:rtl w:val="0"/>
          <w:lang w:val="it-IT"/>
        </w:rPr>
        <w:t xml:space="preserve">abbiamo creato un gruppo </w:t>
      </w:r>
      <w:r>
        <w:rPr>
          <w:rFonts w:ascii="Book Antiqua"/>
          <w:rtl w:val="0"/>
          <w:lang w:val="it-IT"/>
        </w:rPr>
        <w:t>di lavoro con personale dell'ACEA e personale di AMA, di ATAC e di altre partecipate. Stiamo finendo la mappatura di tutte le potenziali sinergie</w:t>
      </w:r>
      <w:r>
        <w:rPr>
          <w:rFonts w:hAnsi="Book Antiqua" w:hint="default"/>
          <w:rtl w:val="0"/>
          <w:lang w:val="it-IT"/>
        </w:rPr>
        <w:t>”</w:t>
      </w:r>
      <w:r>
        <w:rPr>
          <w:rFonts w:ascii="Book Antiqua" w:cs="Book Antiqua" w:hAnsi="Book Antiqua" w:eastAsia="Book Antiqua"/>
          <w:vertAlign w:val="superscript"/>
          <w:rtl w:val="0"/>
        </w:rPr>
        <w:footnoteReference w:id="153"/>
      </w:r>
      <w:r>
        <w:rPr>
          <w:rFonts w:ascii="Book Antiqua"/>
          <w:rtl w:val="0"/>
          <w:lang w:val="it-IT"/>
        </w:rPr>
        <w:t>.</w:t>
      </w:r>
    </w:p>
    <w:p>
      <w:pPr>
        <w:pStyle w:val="Normal"/>
        <w:ind w:left="567" w:right="567" w:firstLine="0"/>
        <w:jc w:val="both"/>
        <w:rPr>
          <w:rFonts w:ascii="Book Antiqua" w:cs="Book Antiqua" w:hAnsi="Book Antiqua" w:eastAsia="Book Antiqua"/>
          <w:shd w:val="clear" w:color="auto" w:fill="ffffff"/>
        </w:rPr>
      </w:pPr>
      <w:r>
        <w:rPr>
          <w:rFonts w:ascii="Book Antiqua"/>
          <w:rtl w:val="0"/>
          <w:lang w:val="it-IT"/>
        </w:rPr>
        <w:t>In realt</w:t>
      </w:r>
      <w:r>
        <w:rPr>
          <w:rFonts w:hAnsi="Book Antiqua" w:hint="default"/>
          <w:rtl w:val="0"/>
          <w:lang w:val="it-IT"/>
        </w:rPr>
        <w:t>à</w:t>
      </w:r>
      <w:r>
        <w:rPr>
          <w:rFonts w:ascii="Book Antiqua"/>
          <w:rtl w:val="0"/>
          <w:lang w:val="it-IT"/>
        </w:rPr>
        <w:t>, come ha dichiarato il nuovo presidente e amministratore delegato di AMA, Lorenzo Bacagnani, nell</w:t>
      </w:r>
      <w:r>
        <w:rPr>
          <w:rFonts w:hAnsi="Book Antiqua" w:hint="default"/>
          <w:rtl w:val="0"/>
          <w:lang w:val="it-IT"/>
        </w:rPr>
        <w:t>’</w:t>
      </w:r>
      <w:r>
        <w:rPr>
          <w:rFonts w:ascii="Book Antiqua"/>
          <w:rtl w:val="0"/>
          <w:lang w:val="it-IT"/>
        </w:rPr>
        <w:t>audizione del 28 giugno 2017, grava sull</w:t>
      </w:r>
      <w:r>
        <w:rPr>
          <w:rFonts w:hAnsi="Book Antiqua" w:hint="default"/>
          <w:rtl w:val="0"/>
          <w:lang w:val="it-IT"/>
        </w:rPr>
        <w:t>’</w:t>
      </w:r>
      <w:r>
        <w:rPr>
          <w:rFonts w:ascii="Book Antiqua"/>
          <w:rtl w:val="0"/>
          <w:lang w:val="it-IT"/>
        </w:rPr>
        <w:t xml:space="preserve">azienda </w:t>
      </w:r>
      <w:r>
        <w:rPr>
          <w:rFonts w:ascii="Book Antiqua"/>
          <w:shd w:val="clear" w:color="auto" w:fill="ffffff"/>
          <w:rtl w:val="0"/>
          <w:lang w:val="it-IT"/>
        </w:rPr>
        <w:t xml:space="preserve">un debito  </w:t>
      </w:r>
      <w:r>
        <w:rPr>
          <w:rFonts w:hAnsi="Book Antiqua" w:hint="default"/>
          <w:shd w:val="clear" w:color="auto" w:fill="ffffff"/>
          <w:rtl w:val="0"/>
          <w:lang w:val="it-IT"/>
        </w:rPr>
        <w:t>“</w:t>
      </w:r>
      <w:r>
        <w:rPr>
          <w:rFonts w:ascii="Book Antiqua"/>
          <w:shd w:val="clear" w:color="auto" w:fill="ffffff"/>
          <w:rtl w:val="0"/>
          <w:lang w:val="it-IT"/>
        </w:rPr>
        <w:t xml:space="preserve">che </w:t>
      </w:r>
      <w:r>
        <w:rPr>
          <w:rFonts w:hAnsi="Book Antiqua" w:hint="default"/>
          <w:shd w:val="clear" w:color="auto" w:fill="ffffff"/>
          <w:rtl w:val="0"/>
          <w:lang w:val="it-IT"/>
        </w:rPr>
        <w:t xml:space="preserve">è </w:t>
      </w:r>
      <w:r>
        <w:rPr>
          <w:rFonts w:ascii="Book Antiqua"/>
          <w:shd w:val="clear" w:color="auto" w:fill="ffffff"/>
          <w:rtl w:val="0"/>
          <w:lang w:val="it-IT"/>
        </w:rPr>
        <w:t>complessivamente di oltre un miliardo di euro, di cui poco pi</w:t>
      </w:r>
      <w:r>
        <w:rPr>
          <w:rFonts w:hAnsi="Book Antiqua" w:hint="default"/>
          <w:shd w:val="clear" w:color="auto" w:fill="ffffff"/>
          <w:rtl w:val="0"/>
          <w:lang w:val="it-IT"/>
        </w:rPr>
        <w:t xml:space="preserve">ù </w:t>
      </w:r>
      <w:r>
        <w:rPr>
          <w:rFonts w:ascii="Book Antiqua"/>
          <w:shd w:val="clear" w:color="auto" w:fill="ffffff"/>
          <w:rtl w:val="0"/>
          <w:lang w:val="it-IT"/>
        </w:rPr>
        <w:t>di 500 milioni di euro con le banche e 240 milioni di euro circa con i fornitori</w:t>
      </w:r>
      <w:r>
        <w:rPr>
          <w:rFonts w:hAnsi="Book Antiqua" w:hint="default"/>
          <w:shd w:val="clear" w:color="auto" w:fill="ffffff"/>
          <w:rtl w:val="0"/>
          <w:lang w:val="it-IT"/>
        </w:rPr>
        <w:t>”</w:t>
      </w:r>
      <w:r>
        <w:rPr>
          <w:rFonts w:ascii="Book Antiqua"/>
          <w:shd w:val="clear" w:color="auto" w:fill="ffffff"/>
          <w:rtl w:val="0"/>
          <w:lang w:val="it-IT"/>
        </w:rPr>
        <w:t xml:space="preserve">. Inoltre il numero di dipendenti non </w:t>
      </w:r>
      <w:r>
        <w:rPr>
          <w:rFonts w:hAnsi="Book Antiqua" w:hint="default"/>
          <w:shd w:val="clear" w:color="auto" w:fill="ffffff"/>
          <w:rtl w:val="0"/>
          <w:lang w:val="it-IT"/>
        </w:rPr>
        <w:t xml:space="preserve">è </w:t>
      </w:r>
      <w:r>
        <w:rPr>
          <w:rFonts w:ascii="Book Antiqua"/>
          <w:shd w:val="clear" w:color="auto" w:fill="ffffff"/>
          <w:rtl w:val="0"/>
          <w:lang w:val="it-IT"/>
        </w:rPr>
        <w:t xml:space="preserve">proporzionato ai servizi: </w:t>
      </w:r>
      <w:r>
        <w:rPr>
          <w:rFonts w:hAnsi="Book Antiqua" w:hint="default"/>
          <w:shd w:val="clear" w:color="auto" w:fill="ffffff"/>
          <w:rtl w:val="0"/>
          <w:lang w:val="it-IT"/>
        </w:rPr>
        <w:t>“</w:t>
      </w:r>
      <w:r>
        <w:rPr>
          <w:rFonts w:ascii="Book Antiqua"/>
          <w:shd w:val="clear" w:color="auto" w:fill="ffffff"/>
          <w:rtl w:val="0"/>
          <w:lang w:val="it-IT"/>
        </w:rPr>
        <w:t>abbiamo quasi 8.000 dipendenti e il</w:t>
      </w:r>
      <w:r>
        <w:rPr>
          <w:rFonts w:hAnsi="Book Antiqua" w:hint="default"/>
          <w:rtl w:val="0"/>
          <w:lang w:val="it-IT"/>
        </w:rPr>
        <w:t> </w:t>
      </w:r>
      <w:r>
        <w:rPr>
          <w:rFonts w:ascii="Book Antiqua"/>
          <w:i w:val="1"/>
          <w:iCs w:val="1"/>
          <w:rtl w:val="0"/>
          <w:lang w:val="it-IT"/>
        </w:rPr>
        <w:t>benchmark</w:t>
      </w:r>
      <w:r>
        <w:rPr>
          <w:rFonts w:hAnsi="Book Antiqua" w:hint="default"/>
          <w:rtl w:val="0"/>
          <w:lang w:val="it-IT"/>
        </w:rPr>
        <w:t> </w:t>
      </w:r>
      <w:r>
        <w:rPr>
          <w:rFonts w:ascii="Book Antiqua"/>
          <w:shd w:val="clear" w:color="auto" w:fill="ffffff"/>
          <w:rtl w:val="0"/>
          <w:lang w:val="it-IT"/>
        </w:rPr>
        <w:t>di mercato suggerirebbe che per una dimensione come Roma ne basterebbero circa la met</w:t>
      </w:r>
      <w:r>
        <w:rPr>
          <w:rFonts w:hAnsi="Book Antiqua" w:hint="default"/>
          <w:shd w:val="clear" w:color="auto" w:fill="ffffff"/>
          <w:rtl w:val="0"/>
          <w:lang w:val="it-IT"/>
        </w:rPr>
        <w:t>à”</w:t>
      </w:r>
      <w:r>
        <w:rPr>
          <w:rFonts w:ascii="Book Antiqua"/>
          <w:shd w:val="clear" w:color="auto" w:fill="ffffff"/>
          <w:rtl w:val="0"/>
          <w:lang w:val="it-IT"/>
        </w:rPr>
        <w:t xml:space="preserve">; anche se, come lo stesso presidente ha ricordato </w:t>
      </w:r>
      <w:r>
        <w:rPr>
          <w:rFonts w:hAnsi="Book Antiqua" w:hint="default"/>
          <w:shd w:val="clear" w:color="auto" w:fill="ffffff"/>
          <w:rtl w:val="0"/>
          <w:lang w:val="it-IT"/>
        </w:rPr>
        <w:t>“</w:t>
      </w:r>
      <w:r>
        <w:rPr>
          <w:rFonts w:ascii="Book Antiqua"/>
          <w:shd w:val="clear" w:color="auto" w:fill="ffffff"/>
          <w:rtl w:val="0"/>
          <w:lang w:val="it-IT"/>
        </w:rPr>
        <w:t>visto in chiave positiva [</w:t>
      </w:r>
      <w:r>
        <w:rPr>
          <w:rFonts w:hAnsi="Book Antiqua" w:hint="default"/>
          <w:shd w:val="clear" w:color="auto" w:fill="ffffff"/>
          <w:rtl w:val="0"/>
          <w:lang w:val="it-IT"/>
        </w:rPr>
        <w:t>…</w:t>
      </w:r>
      <w:r>
        <w:rPr>
          <w:rFonts w:ascii="Book Antiqua"/>
          <w:shd w:val="clear" w:color="auto" w:fill="ffffff"/>
          <w:rtl w:val="0"/>
          <w:lang w:val="it-IT"/>
        </w:rPr>
        <w:t>] abbiamo un numero di dipendenti che, organizzati al meglio, consentiranno sicuramente alla nostra azienda, in un modello organizzativo efficientato, di rendere un servizio di altissima qualit</w:t>
      </w:r>
      <w:r>
        <w:rPr>
          <w:rFonts w:hAnsi="Book Antiqua" w:hint="default"/>
          <w:shd w:val="clear" w:color="auto" w:fill="ffffff"/>
          <w:rtl w:val="0"/>
          <w:lang w:val="it-IT"/>
        </w:rPr>
        <w:t>à”</w:t>
      </w:r>
      <w:r>
        <w:rPr>
          <w:rFonts w:ascii="Book Antiqua" w:cs="Book Antiqua" w:hAnsi="Book Antiqua" w:eastAsia="Book Antiqua"/>
          <w:shd w:val="clear" w:color="auto" w:fill="ffffff"/>
          <w:vertAlign w:val="superscript"/>
          <w:rtl w:val="0"/>
        </w:rPr>
        <w:footnoteReference w:id="154"/>
      </w:r>
      <w:r>
        <w:rPr>
          <w:rFonts w:ascii="Book Antiqua"/>
          <w:shd w:val="clear" w:color="auto" w:fill="ffffff"/>
          <w:rtl w:val="0"/>
          <w:lang w:val="it-IT"/>
        </w:rPr>
        <w:t>.</w:t>
      </w:r>
    </w:p>
    <w:p>
      <w:pPr>
        <w:pStyle w:val="Normal"/>
        <w:ind w:left="567" w:right="567" w:firstLine="0"/>
        <w:jc w:val="both"/>
        <w:rPr>
          <w:rFonts w:ascii="Book Antiqua" w:cs="Book Antiqua" w:hAnsi="Book Antiqua" w:eastAsia="Book Antiqua"/>
          <w:color w:val="262626"/>
          <w:u w:color="262626"/>
        </w:rPr>
      </w:pPr>
      <w:r>
        <w:rPr>
          <w:rFonts w:ascii="Book Antiqua"/>
          <w:rtl w:val="0"/>
          <w:lang w:val="it-IT"/>
        </w:rPr>
        <w:t>Lorenzo Bacagnani</w:t>
      </w:r>
      <w:r>
        <w:rPr>
          <w:rFonts w:ascii="Book Antiqua"/>
          <w:shd w:val="clear" w:color="auto" w:fill="ffffff"/>
          <w:rtl w:val="0"/>
          <w:lang w:val="it-IT"/>
        </w:rPr>
        <w:t xml:space="preserve"> ha ribadito l</w:t>
      </w:r>
      <w:r>
        <w:rPr>
          <w:rFonts w:hAnsi="Book Antiqua" w:hint="default"/>
          <w:shd w:val="clear" w:color="auto" w:fill="ffffff"/>
          <w:rtl w:val="0"/>
          <w:lang w:val="it-IT"/>
        </w:rPr>
        <w:t>’</w:t>
      </w:r>
      <w:r>
        <w:rPr>
          <w:rFonts w:ascii="Book Antiqua"/>
          <w:shd w:val="clear" w:color="auto" w:fill="ffffff"/>
          <w:rtl w:val="0"/>
          <w:lang w:val="it-IT"/>
        </w:rPr>
        <w:t xml:space="preserve">ipotesi di accordo con ACEA, pur restando ad affermazioni generiche: </w:t>
      </w:r>
      <w:r>
        <w:rPr>
          <w:rFonts w:hAnsi="Book Antiqua" w:hint="default"/>
          <w:shd w:val="clear" w:color="auto" w:fill="ffffff"/>
          <w:rtl w:val="0"/>
          <w:lang w:val="it-IT"/>
        </w:rPr>
        <w:t>“</w:t>
      </w:r>
      <w:r>
        <w:rPr>
          <w:rFonts w:ascii="Book Antiqua"/>
          <w:rtl w:val="0"/>
          <w:lang w:val="it-IT"/>
        </w:rPr>
        <w:t xml:space="preserve">penso si debba colloquiare in modo trasparente, nel rispetto delle regole e con tutte le premesse del caso, con altri </w:t>
      </w:r>
      <w:r>
        <w:rPr>
          <w:rFonts w:ascii="Book Antiqua"/>
          <w:i w:val="1"/>
          <w:iCs w:val="1"/>
          <w:rtl w:val="0"/>
          <w:lang w:val="it-IT"/>
        </w:rPr>
        <w:t>player</w:t>
      </w:r>
      <w:r>
        <w:rPr>
          <w:rFonts w:ascii="Book Antiqua"/>
          <w:rtl w:val="0"/>
          <w:lang w:val="it-IT"/>
        </w:rPr>
        <w:t xml:space="preserve"> locali, in particolare con un </w:t>
      </w:r>
      <w:r>
        <w:rPr>
          <w:rFonts w:ascii="Book Antiqua"/>
          <w:i w:val="1"/>
          <w:iCs w:val="1"/>
          <w:rtl w:val="0"/>
          <w:lang w:val="it-IT"/>
        </w:rPr>
        <w:t>player</w:t>
      </w:r>
      <w:r>
        <w:rPr>
          <w:rFonts w:ascii="Book Antiqua"/>
          <w:rtl w:val="0"/>
          <w:lang w:val="it-IT"/>
        </w:rPr>
        <w:t xml:space="preserve"> locale importante come </w:t>
      </w:r>
      <w:r>
        <w:rPr>
          <w:rFonts w:ascii="Book Antiqua"/>
          <w:shd w:val="clear" w:color="auto" w:fill="ffffff"/>
          <w:rtl w:val="0"/>
          <w:lang w:val="it-IT"/>
        </w:rPr>
        <w:t>ACEA</w:t>
      </w:r>
      <w:r>
        <w:rPr>
          <w:rFonts w:ascii="Book Antiqua"/>
          <w:rtl w:val="0"/>
          <w:lang w:val="it-IT"/>
        </w:rPr>
        <w:t>. C'</w:t>
      </w:r>
      <w:r>
        <w:rPr>
          <w:rFonts w:hAnsi="Book Antiqua" w:hint="default"/>
          <w:rtl w:val="0"/>
          <w:lang w:val="it-IT"/>
        </w:rPr>
        <w:t xml:space="preserve">è </w:t>
      </w:r>
      <w:r>
        <w:rPr>
          <w:rFonts w:ascii="Book Antiqua"/>
          <w:rtl w:val="0"/>
          <w:lang w:val="it-IT"/>
        </w:rPr>
        <w:t xml:space="preserve">quindi un dialogo aperto con il presidente di </w:t>
      </w:r>
      <w:r>
        <w:rPr>
          <w:rFonts w:ascii="Book Antiqua"/>
          <w:shd w:val="clear" w:color="auto" w:fill="ffffff"/>
          <w:rtl w:val="0"/>
          <w:lang w:val="it-IT"/>
        </w:rPr>
        <w:t>ACEA</w:t>
      </w:r>
      <w:r>
        <w:rPr>
          <w:rFonts w:ascii="Book Antiqua"/>
          <w:rtl w:val="0"/>
          <w:lang w:val="it-IT"/>
        </w:rPr>
        <w:t>, Lanzalone, con l'obiettivo di capire, nella sinergia dei ruoli, come possiamo garantire la normalit</w:t>
      </w:r>
      <w:r>
        <w:rPr>
          <w:rFonts w:hAnsi="Book Antiqua" w:hint="default"/>
          <w:rtl w:val="0"/>
          <w:lang w:val="it-IT"/>
        </w:rPr>
        <w:t xml:space="preserve">à </w:t>
      </w:r>
      <w:r>
        <w:rPr>
          <w:rFonts w:ascii="Book Antiqua"/>
          <w:rtl w:val="0"/>
          <w:lang w:val="it-IT"/>
        </w:rPr>
        <w:t>a questo territorio nella corretta gestione dei rifiuti lungo la sua filiera. Penso, anzi, che il nostro stimolo debba essere quello di trasformare una criticit</w:t>
      </w:r>
      <w:r>
        <w:rPr>
          <w:rFonts w:hAnsi="Book Antiqua" w:hint="default"/>
          <w:rtl w:val="0"/>
          <w:lang w:val="it-IT"/>
        </w:rPr>
        <w:t xml:space="preserve">à </w:t>
      </w:r>
      <w:r>
        <w:rPr>
          <w:rFonts w:ascii="Book Antiqua"/>
          <w:rtl w:val="0"/>
          <w:lang w:val="it-IT"/>
        </w:rPr>
        <w:t xml:space="preserve">in un'eccellenza. Mi auguro che questo dialogo, che </w:t>
      </w:r>
      <w:r>
        <w:rPr>
          <w:rFonts w:hAnsi="Book Antiqua" w:hint="default"/>
          <w:rtl w:val="0"/>
          <w:lang w:val="it-IT"/>
        </w:rPr>
        <w:t xml:space="preserve">è </w:t>
      </w:r>
      <w:r>
        <w:rPr>
          <w:rFonts w:ascii="Book Antiqua"/>
          <w:rtl w:val="0"/>
          <w:lang w:val="it-IT"/>
        </w:rPr>
        <w:t>appena iniziato, possa produrre i propri frutti. Io sono molto fiducioso perch</w:t>
      </w:r>
      <w:r>
        <w:rPr>
          <w:rFonts w:hAnsi="Book Antiqua" w:hint="default"/>
          <w:rtl w:val="0"/>
          <w:lang w:val="it-IT"/>
        </w:rPr>
        <w:t xml:space="preserve">é </w:t>
      </w:r>
      <w:r>
        <w:rPr>
          <w:rFonts w:ascii="Book Antiqua"/>
          <w:rtl w:val="0"/>
          <w:lang w:val="it-IT"/>
        </w:rPr>
        <w:t>ci sono ragioni territoriali e industriali per cui, nell'eventuale complementariet</w:t>
      </w:r>
      <w:r>
        <w:rPr>
          <w:rFonts w:hAnsi="Book Antiqua" w:hint="default"/>
          <w:rtl w:val="0"/>
          <w:lang w:val="it-IT"/>
        </w:rPr>
        <w:t xml:space="preserve">à </w:t>
      </w:r>
      <w:r>
        <w:rPr>
          <w:rFonts w:ascii="Book Antiqua"/>
          <w:rtl w:val="0"/>
          <w:lang w:val="it-IT"/>
        </w:rPr>
        <w:t>o sinergia dei ruoli, si possono e si debbono</w:t>
      </w:r>
      <w:r>
        <w:rPr>
          <w:rFonts w:ascii="Book Antiqua"/>
          <w:color w:val="262626"/>
          <w:u w:color="262626"/>
          <w:rtl w:val="0"/>
          <w:lang w:val="it-IT"/>
        </w:rPr>
        <w:t xml:space="preserve"> trovare dei punti di forza per consentirci un cambiamento importante.</w:t>
      </w:r>
      <w:r>
        <w:rPr>
          <w:rFonts w:hAnsi="Book Antiqua" w:hint="default"/>
          <w:color w:val="262626"/>
          <w:u w:color="262626"/>
          <w:rtl w:val="0"/>
          <w:lang w:val="it-IT"/>
        </w:rPr>
        <w:t>”</w:t>
      </w:r>
    </w:p>
    <w:p>
      <w:pPr>
        <w:pStyle w:val="Normal"/>
        <w:ind w:left="567" w:right="567" w:firstLine="0"/>
        <w:jc w:val="both"/>
        <w:rPr>
          <w:rFonts w:ascii="Book Antiqua" w:cs="Book Antiqua" w:hAnsi="Book Antiqua" w:eastAsia="Book Antiqua"/>
          <w:color w:val="262626"/>
          <w:u w:color="163291"/>
        </w:rPr>
      </w:pPr>
      <w:r>
        <w:rPr>
          <w:rFonts w:ascii="Book Antiqua"/>
          <w:color w:val="262626"/>
          <w:u w:color="262626"/>
          <w:rtl w:val="0"/>
          <w:lang w:val="it-IT"/>
        </w:rPr>
        <w:t>L</w:t>
      </w:r>
      <w:r>
        <w:rPr>
          <w:rFonts w:hAnsi="Book Antiqua" w:hint="default"/>
          <w:color w:val="262626"/>
          <w:u w:color="262626"/>
          <w:rtl w:val="0"/>
          <w:lang w:val="it-IT"/>
        </w:rPr>
        <w:t>’</w:t>
      </w:r>
      <w:r>
        <w:rPr>
          <w:rFonts w:ascii="Book Antiqua"/>
          <w:color w:val="262626"/>
          <w:u w:color="262626"/>
          <w:rtl w:val="0"/>
          <w:lang w:val="it-IT"/>
        </w:rPr>
        <w:t xml:space="preserve">ipotesi di un coinvolgimento della partecipata ACEA nel ciclo dei rifiuti </w:t>
      </w:r>
      <w:r>
        <w:rPr>
          <w:rFonts w:hAnsi="Book Antiqua" w:hint="default"/>
          <w:color w:val="262626"/>
          <w:u w:color="262626"/>
          <w:rtl w:val="0"/>
          <w:lang w:val="it-IT"/>
        </w:rPr>
        <w:t xml:space="preserve">– </w:t>
      </w:r>
      <w:r>
        <w:rPr>
          <w:rFonts w:ascii="Book Antiqua"/>
          <w:color w:val="262626"/>
          <w:u w:color="262626"/>
          <w:rtl w:val="0"/>
          <w:lang w:val="it-IT"/>
        </w:rPr>
        <w:t>in particolare in settori ad alta tecnologia e redditivit</w:t>
      </w:r>
      <w:r>
        <w:rPr>
          <w:rFonts w:hAnsi="Book Antiqua" w:hint="default"/>
          <w:color w:val="262626"/>
          <w:u w:color="262626"/>
          <w:rtl w:val="0"/>
          <w:lang w:val="it-IT"/>
        </w:rPr>
        <w:t xml:space="preserve">à – </w:t>
      </w:r>
      <w:r>
        <w:rPr>
          <w:rFonts w:ascii="Book Antiqua"/>
          <w:color w:val="262626"/>
          <w:u w:color="262626"/>
          <w:rtl w:val="0"/>
          <w:lang w:val="it-IT"/>
        </w:rPr>
        <w:t>pu</w:t>
      </w:r>
      <w:r>
        <w:rPr>
          <w:rFonts w:hAnsi="Book Antiqua" w:hint="default"/>
          <w:color w:val="262626"/>
          <w:u w:color="262626"/>
          <w:rtl w:val="0"/>
          <w:lang w:val="it-IT"/>
        </w:rPr>
        <w:t xml:space="preserve">ò </w:t>
      </w:r>
      <w:r>
        <w:rPr>
          <w:rFonts w:ascii="Book Antiqua"/>
          <w:color w:val="262626"/>
          <w:u w:color="262626"/>
          <w:rtl w:val="0"/>
          <w:lang w:val="it-IT"/>
        </w:rPr>
        <w:t xml:space="preserve">dirsi ricorrente, in quanto ad essa aveva fatto riferimento il precedente management, audito dalla Commissione il 10 gennaio 2017, nelle persone di </w:t>
      </w:r>
      <w:r>
        <w:rPr>
          <w:rFonts w:ascii="Book Antiqua"/>
          <w:rtl w:val="0"/>
          <w:lang w:val="it-IT"/>
        </w:rPr>
        <w:t>Catia Tomasetti,</w:t>
      </w:r>
      <w:r>
        <w:rPr>
          <w:rFonts w:ascii="Book Antiqua"/>
          <w:color w:val="262626"/>
          <w:u w:color="163291"/>
          <w:rtl w:val="0"/>
          <w:lang w:val="it-IT"/>
        </w:rPr>
        <w:t xml:space="preserve"> presidente del consiglio di amministrazione di ACEA S.p.A., </w:t>
      </w:r>
      <w:r>
        <w:rPr>
          <w:rFonts w:ascii="Book Antiqua"/>
          <w:rtl w:val="0"/>
          <w:lang w:val="it-IT"/>
        </w:rPr>
        <w:t>Alberto Irace,</w:t>
      </w:r>
      <w:r>
        <w:rPr>
          <w:rFonts w:ascii="Book Antiqua"/>
          <w:color w:val="262626"/>
          <w:u w:color="163291"/>
          <w:rtl w:val="0"/>
          <w:lang w:val="it-IT"/>
        </w:rPr>
        <w:t xml:space="preserve"> amministratore delegato, </w:t>
      </w:r>
      <w:r>
        <w:rPr>
          <w:rFonts w:ascii="Book Antiqua"/>
          <w:rtl w:val="0"/>
          <w:lang w:val="it-IT"/>
        </w:rPr>
        <w:t xml:space="preserve">Giovanni Vivarelli, </w:t>
      </w:r>
      <w:r>
        <w:rPr>
          <w:rFonts w:ascii="Book Antiqua"/>
          <w:color w:val="262626"/>
          <w:u w:color="163291"/>
          <w:rtl w:val="0"/>
          <w:lang w:val="it-IT"/>
        </w:rPr>
        <w:t>direttore area ambiente di ACEA.</w:t>
      </w:r>
    </w:p>
    <w:p>
      <w:pPr>
        <w:pStyle w:val="Normal"/>
        <w:ind w:left="567" w:right="567" w:firstLine="0"/>
        <w:jc w:val="both"/>
        <w:rPr>
          <w:rFonts w:ascii="Book Antiqua" w:cs="Book Antiqua" w:hAnsi="Book Antiqua" w:eastAsia="Book Antiqua"/>
        </w:rPr>
      </w:pPr>
      <w:r>
        <w:rPr>
          <w:rFonts w:ascii="Book Antiqua"/>
          <w:color w:val="262626"/>
          <w:u w:color="262626"/>
          <w:rtl w:val="0"/>
          <w:lang w:val="it-IT"/>
        </w:rPr>
        <w:t>In sostanza pu</w:t>
      </w:r>
      <w:r>
        <w:rPr>
          <w:rFonts w:hAnsi="Book Antiqua" w:hint="default"/>
          <w:color w:val="262626"/>
          <w:u w:color="262626"/>
          <w:rtl w:val="0"/>
          <w:lang w:val="it-IT"/>
        </w:rPr>
        <w:t xml:space="preserve">ò </w:t>
      </w:r>
      <w:r>
        <w:rPr>
          <w:rFonts w:ascii="Book Antiqua"/>
          <w:color w:val="262626"/>
          <w:u w:color="262626"/>
          <w:rtl w:val="0"/>
          <w:lang w:val="it-IT"/>
        </w:rPr>
        <w:t>dirsi esservi una costante linea di politica industriale di ACEA, indipendente dai mutamenti politico amministrativi dell</w:t>
      </w:r>
      <w:r>
        <w:rPr>
          <w:rFonts w:hAnsi="Book Antiqua" w:hint="default"/>
          <w:color w:val="262626"/>
          <w:u w:color="262626"/>
          <w:rtl w:val="0"/>
          <w:lang w:val="it-IT"/>
        </w:rPr>
        <w:t>’</w:t>
      </w:r>
      <w:r>
        <w:rPr>
          <w:rFonts w:ascii="Book Antiqua"/>
          <w:color w:val="262626"/>
          <w:u w:color="262626"/>
          <w:rtl w:val="0"/>
          <w:lang w:val="it-IT"/>
        </w:rPr>
        <w:t>azionista di maggioranza, Roma Capitale, dal mutamento di dirigenti (l</w:t>
      </w:r>
      <w:r>
        <w:rPr>
          <w:rFonts w:hAnsi="Book Antiqua" w:hint="default"/>
          <w:color w:val="262626"/>
          <w:u w:color="262626"/>
          <w:rtl w:val="0"/>
          <w:lang w:val="it-IT"/>
        </w:rPr>
        <w:t>’</w:t>
      </w:r>
      <w:r>
        <w:rPr>
          <w:rFonts w:ascii="Book Antiqua"/>
          <w:color w:val="262626"/>
          <w:u w:color="262626"/>
          <w:rtl w:val="0"/>
          <w:lang w:val="it-IT"/>
        </w:rPr>
        <w:t>attuale giunta di Roma ha sostituito i vertici di ACEA nell</w:t>
      </w:r>
      <w:r>
        <w:rPr>
          <w:rFonts w:hAnsi="Book Antiqua" w:hint="default"/>
          <w:color w:val="262626"/>
          <w:u w:color="262626"/>
          <w:rtl w:val="0"/>
          <w:lang w:val="it-IT"/>
        </w:rPr>
        <w:t>’</w:t>
      </w:r>
      <w:r>
        <w:rPr>
          <w:rFonts w:ascii="Book Antiqua"/>
          <w:color w:val="262626"/>
          <w:u w:color="262626"/>
          <w:rtl w:val="0"/>
          <w:lang w:val="it-IT"/>
        </w:rPr>
        <w:t>aprile 2017, con la nomina di Luca Lanzalone nel ruolo di presidente e di Stefano Antonio Donnarumma nel ruolo di amministratore delegato) e dal mutamento degli assetti societari (con il recente scambio reciproco di azioni tra Caltagirone e Suez</w:t>
      </w:r>
      <w:r>
        <w:rPr>
          <w:rFonts w:ascii="Book Antiqua" w:cs="Book Antiqua" w:hAnsi="Book Antiqua" w:eastAsia="Book Antiqua"/>
          <w:color w:val="262626"/>
          <w:u w:color="262626"/>
          <w:vertAlign w:val="superscript"/>
          <w:rtl w:val="0"/>
        </w:rPr>
        <w:footnoteReference w:id="155"/>
      </w:r>
      <w:r>
        <w:rPr>
          <w:rFonts w:ascii="Book Antiqua"/>
          <w:color w:val="262626"/>
          <w:u w:color="262626"/>
          <w:rtl w:val="0"/>
          <w:lang w:val="it-IT"/>
        </w:rPr>
        <w:t>)</w:t>
      </w:r>
      <w:r>
        <w:rPr>
          <w:rFonts w:ascii="Book Antiqua"/>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Nell</w:t>
      </w:r>
      <w:r>
        <w:rPr>
          <w:rFonts w:hAnsi="Book Antiqua" w:hint="default"/>
          <w:rtl w:val="0"/>
          <w:lang w:val="it-IT"/>
        </w:rPr>
        <w:t>’</w:t>
      </w:r>
      <w:r>
        <w:rPr>
          <w:rFonts w:ascii="Book Antiqua"/>
          <w:rtl w:val="0"/>
          <w:lang w:val="it-IT"/>
        </w:rPr>
        <w:t>a</w:t>
      </w:r>
      <w:r>
        <w:rPr>
          <w:rFonts w:ascii="Book Antiqua"/>
          <w:color w:val="262626"/>
          <w:u w:color="262626"/>
          <w:rtl w:val="0"/>
          <w:lang w:val="it-IT"/>
        </w:rPr>
        <w:t xml:space="preserve">udizione del 10 gennaio 2017 </w:t>
      </w:r>
      <w:r>
        <w:rPr>
          <w:rFonts w:ascii="Book Antiqua"/>
          <w:rtl w:val="0"/>
          <w:lang w:val="it-IT"/>
        </w:rPr>
        <w:t xml:space="preserve">i vertici di ACEA avevano sottolineato davanti alla Commissione il </w:t>
      </w:r>
      <w:r>
        <w:rPr>
          <w:rFonts w:hAnsi="Book Antiqua" w:hint="default"/>
          <w:rtl w:val="0"/>
          <w:lang w:val="it-IT"/>
        </w:rPr>
        <w:t>“</w:t>
      </w:r>
      <w:r>
        <w:rPr>
          <w:rFonts w:ascii="Book Antiqua"/>
          <w:rtl w:val="0"/>
          <w:lang w:val="it-IT"/>
        </w:rPr>
        <w:t>peso</w:t>
      </w:r>
      <w:r>
        <w:rPr>
          <w:rFonts w:hAnsi="Book Antiqua" w:hint="default"/>
          <w:rtl w:val="0"/>
          <w:lang w:val="it-IT"/>
        </w:rPr>
        <w:t xml:space="preserve">” </w:t>
      </w:r>
      <w:r>
        <w:rPr>
          <w:rFonts w:ascii="Book Antiqua"/>
          <w:rtl w:val="0"/>
          <w:lang w:val="it-IT"/>
        </w:rPr>
        <w:t>della societ</w:t>
      </w:r>
      <w:r>
        <w:rPr>
          <w:rFonts w:hAnsi="Book Antiqua" w:hint="default"/>
          <w:rtl w:val="0"/>
          <w:lang w:val="it-IT"/>
        </w:rPr>
        <w:t xml:space="preserve">à </w:t>
      </w:r>
      <w:r>
        <w:rPr>
          <w:rFonts w:ascii="Book Antiqua"/>
          <w:rtl w:val="0"/>
          <w:lang w:val="it-IT"/>
        </w:rPr>
        <w:t>nel settore dei rifiuti e la prospettiva di interesse ulteriore per il mercato dei rifiuti.</w:t>
      </w:r>
    </w:p>
    <w:p>
      <w:pPr>
        <w:pStyle w:val="Normal"/>
        <w:ind w:left="567" w:right="567" w:firstLine="0"/>
        <w:jc w:val="both"/>
        <w:rPr>
          <w:rFonts w:ascii="Book Antiqua" w:cs="Book Antiqua" w:hAnsi="Book Antiqua" w:eastAsia="Book Antiqua"/>
          <w:color w:val="262626"/>
          <w:u w:color="163291"/>
        </w:rPr>
      </w:pPr>
      <w:r>
        <w:rPr>
          <w:rFonts w:ascii="Book Antiqua"/>
          <w:rtl w:val="0"/>
          <w:lang w:val="it-IT"/>
        </w:rPr>
        <w:t xml:space="preserve">Come ha subito puntualizzato la presidente Catia Tomasetti, </w:t>
      </w:r>
      <w:r>
        <w:rPr>
          <w:rFonts w:hAnsi="Book Antiqua" w:hint="default"/>
          <w:color w:val="262626"/>
          <w:u w:color="163291"/>
          <w:rtl w:val="0"/>
          <w:lang w:val="it-IT"/>
        </w:rPr>
        <w:t>“</w:t>
      </w:r>
      <w:r>
        <w:rPr>
          <w:rFonts w:ascii="Book Antiqua"/>
          <w:color w:val="262626"/>
          <w:u w:color="163291"/>
          <w:rtl w:val="0"/>
          <w:lang w:val="it-IT"/>
        </w:rPr>
        <w:t xml:space="preserve">il gruppo ACEA </w:t>
      </w:r>
      <w:r>
        <w:rPr>
          <w:rFonts w:hAnsi="Book Antiqua" w:hint="default"/>
          <w:color w:val="262626"/>
          <w:u w:color="163291"/>
          <w:rtl w:val="0"/>
          <w:lang w:val="it-IT"/>
        </w:rPr>
        <w:t xml:space="preserve">è </w:t>
      </w:r>
      <w:r>
        <w:rPr>
          <w:rFonts w:ascii="Book Antiqua"/>
          <w:color w:val="262626"/>
          <w:u w:color="163291"/>
          <w:rtl w:val="0"/>
          <w:lang w:val="it-IT"/>
        </w:rPr>
        <w:t>il quinto operatore nei rifiuti in Italia</w:t>
      </w:r>
      <w:r>
        <w:rPr>
          <w:rFonts w:hAnsi="Book Antiqua" w:hint="default"/>
          <w:color w:val="262626"/>
          <w:u w:color="163291"/>
          <w:rtl w:val="0"/>
          <w:lang w:val="it-IT"/>
        </w:rPr>
        <w:t xml:space="preserve">” </w:t>
      </w:r>
      <w:r>
        <w:rPr>
          <w:rFonts w:ascii="Book Antiqua"/>
          <w:color w:val="262626"/>
          <w:u w:color="163291"/>
          <w:rtl w:val="0"/>
          <w:lang w:val="it-IT"/>
        </w:rPr>
        <w:t xml:space="preserve">che opera nel Lazio, in Umbria, in Toscana e in Campania. </w:t>
      </w:r>
    </w:p>
    <w:p>
      <w:pPr>
        <w:pStyle w:val="Normal"/>
        <w:ind w:left="567" w:right="567" w:firstLine="0"/>
        <w:jc w:val="both"/>
        <w:rPr>
          <w:rFonts w:ascii="Book Antiqua" w:cs="Book Antiqua" w:hAnsi="Book Antiqua" w:eastAsia="Book Antiqua"/>
          <w:color w:val="262626"/>
          <w:u w:color="163291"/>
        </w:rPr>
      </w:pPr>
      <w:r>
        <w:rPr>
          <w:rFonts w:ascii="Book Antiqua"/>
          <w:color w:val="262626"/>
          <w:u w:color="163291"/>
          <w:rtl w:val="0"/>
          <w:lang w:val="it-IT"/>
        </w:rPr>
        <w:t>L</w:t>
      </w:r>
      <w:r>
        <w:rPr>
          <w:rFonts w:hAnsi="Book Antiqua" w:hint="default"/>
          <w:color w:val="262626"/>
          <w:u w:color="163291"/>
          <w:rtl w:val="0"/>
          <w:lang w:val="it-IT"/>
        </w:rPr>
        <w:t>’</w:t>
      </w:r>
      <w:r>
        <w:rPr>
          <w:rFonts w:ascii="Book Antiqua"/>
          <w:i w:val="1"/>
          <w:iCs w:val="1"/>
          <w:color w:val="262626"/>
          <w:u w:color="163291"/>
          <w:rtl w:val="0"/>
          <w:lang w:val="it-IT"/>
        </w:rPr>
        <w:t>asset</w:t>
      </w:r>
      <w:r>
        <w:rPr>
          <w:rFonts w:ascii="Book Antiqua"/>
          <w:color w:val="262626"/>
          <w:u w:color="163291"/>
          <w:rtl w:val="0"/>
          <w:lang w:val="it-IT"/>
        </w:rPr>
        <w:t xml:space="preserve"> impiantistico comprende quattro linee di termovalorizzazione (due nel Lazio, a San Vittore, due in Umbria, a Terni), impianti di produzione di CDR e compostaggio, una discarica di rifiuti non pericolosi a Orvieto. </w:t>
      </w:r>
    </w:p>
    <w:p>
      <w:pPr>
        <w:pStyle w:val="Normal"/>
        <w:widowControl w:val="0"/>
        <w:ind w:left="567" w:right="567" w:firstLine="0"/>
        <w:jc w:val="both"/>
        <w:rPr>
          <w:rFonts w:ascii="Book Antiqua" w:cs="Book Antiqua" w:hAnsi="Book Antiqua" w:eastAsia="Book Antiqua"/>
          <w:color w:val="262626"/>
          <w:u w:color="163291"/>
        </w:rPr>
      </w:pPr>
      <w:r>
        <w:rPr>
          <w:rFonts w:ascii="Book Antiqua"/>
          <w:color w:val="262626"/>
          <w:u w:color="163291"/>
          <w:rtl w:val="0"/>
          <w:lang w:val="it-IT"/>
        </w:rPr>
        <w:t>L</w:t>
      </w:r>
      <w:r>
        <w:rPr>
          <w:rFonts w:hAnsi="Book Antiqua" w:hint="default"/>
          <w:color w:val="262626"/>
          <w:u w:color="163291"/>
          <w:rtl w:val="0"/>
          <w:lang w:val="it-IT"/>
        </w:rPr>
        <w:t>’</w:t>
      </w:r>
      <w:r>
        <w:rPr>
          <w:rFonts w:ascii="Book Antiqua"/>
          <w:color w:val="262626"/>
          <w:u w:color="163291"/>
          <w:rtl w:val="0"/>
          <w:lang w:val="it-IT"/>
        </w:rPr>
        <w:t>amministratore delegato Irace ha delineato le linee di sviluppo strategico dell</w:t>
      </w:r>
      <w:r>
        <w:rPr>
          <w:rFonts w:hAnsi="Book Antiqua" w:hint="default"/>
          <w:color w:val="262626"/>
          <w:u w:color="163291"/>
          <w:rtl w:val="0"/>
          <w:lang w:val="it-IT"/>
        </w:rPr>
        <w:t>’</w:t>
      </w:r>
      <w:r>
        <w:rPr>
          <w:rFonts w:ascii="Book Antiqua"/>
          <w:color w:val="262626"/>
          <w:u w:color="163291"/>
          <w:rtl w:val="0"/>
          <w:lang w:val="it-IT"/>
        </w:rPr>
        <w:t>azienda:</w:t>
      </w:r>
    </w:p>
    <w:p>
      <w:pPr>
        <w:pStyle w:val="Normal"/>
        <w:widowControl w:val="0"/>
        <w:ind w:left="567" w:right="567" w:firstLine="0"/>
        <w:jc w:val="both"/>
        <w:rPr>
          <w:rFonts w:ascii="Book Antiqua" w:cs="Book Antiqua" w:hAnsi="Book Antiqua" w:eastAsia="Book Antiqua"/>
          <w:i w:val="1"/>
          <w:iCs w:val="1"/>
          <w:color w:val="262626"/>
          <w:u w:color="163291"/>
        </w:rPr>
      </w:pPr>
      <w:r>
        <w:rPr>
          <w:rFonts w:hAnsi="Book Antiqua" w:hint="default"/>
          <w:color w:val="262626"/>
          <w:u w:color="163291"/>
          <w:rtl w:val="0"/>
          <w:lang w:val="it-IT"/>
        </w:rPr>
        <w:t>“</w:t>
      </w:r>
      <w:r>
        <w:rPr>
          <w:rFonts w:ascii="Book Antiqua"/>
          <w:color w:val="262626"/>
          <w:u w:color="163291"/>
          <w:rtl w:val="0"/>
          <w:lang w:val="it-IT"/>
        </w:rPr>
        <w:t xml:space="preserve">Sostanzialmente le direttrici sono tre. La prima </w:t>
      </w:r>
      <w:r>
        <w:rPr>
          <w:rFonts w:hAnsi="Book Antiqua" w:hint="default"/>
          <w:color w:val="262626"/>
          <w:u w:color="163291"/>
          <w:rtl w:val="0"/>
          <w:lang w:val="it-IT"/>
        </w:rPr>
        <w:t xml:space="preserve">è </w:t>
      </w:r>
      <w:r>
        <w:rPr>
          <w:rFonts w:ascii="Book Antiqua"/>
          <w:color w:val="262626"/>
          <w:u w:color="163291"/>
          <w:rtl w:val="0"/>
          <w:lang w:val="it-IT"/>
        </w:rPr>
        <w:t xml:space="preserve">la termovalorizzazione, con il nostro principale impianto, che </w:t>
      </w:r>
      <w:r>
        <w:rPr>
          <w:rFonts w:hAnsi="Book Antiqua" w:hint="default"/>
          <w:color w:val="262626"/>
          <w:u w:color="163291"/>
          <w:rtl w:val="0"/>
          <w:lang w:val="it-IT"/>
        </w:rPr>
        <w:t xml:space="preserve">è </w:t>
      </w:r>
      <w:r>
        <w:rPr>
          <w:rFonts w:ascii="Book Antiqua"/>
          <w:color w:val="262626"/>
          <w:u w:color="163291"/>
          <w:rtl w:val="0"/>
          <w:lang w:val="it-IT"/>
        </w:rPr>
        <w:t xml:space="preserve">quello di San Vittore. Recentemente </w:t>
      </w:r>
      <w:r>
        <w:rPr>
          <w:rFonts w:hAnsi="Book Antiqua" w:hint="default"/>
          <w:color w:val="262626"/>
          <w:u w:color="163291"/>
          <w:rtl w:val="0"/>
          <w:lang w:val="it-IT"/>
        </w:rPr>
        <w:t xml:space="preserve">è </w:t>
      </w:r>
      <w:r>
        <w:rPr>
          <w:rFonts w:ascii="Book Antiqua"/>
          <w:color w:val="262626"/>
          <w:u w:color="163291"/>
          <w:rtl w:val="0"/>
          <w:lang w:val="it-IT"/>
        </w:rPr>
        <w:t>entrata in esercizio la terza linea di questo impianto. L'impianto gestisce circa 400.000 tonnellate annue e viene condotto con una certa efficienza in termini di ore di esercizio all'anno</w:t>
      </w:r>
      <w:r>
        <w:rPr>
          <w:rFonts w:ascii="Book Antiqua" w:cs="Book Antiqua" w:hAnsi="Book Antiqua" w:eastAsia="Book Antiqua"/>
          <w:color w:val="262626"/>
          <w:u w:color="163291"/>
          <w:vertAlign w:val="superscript"/>
          <w:rtl w:val="0"/>
        </w:rPr>
        <w:footnoteReference w:id="156"/>
      </w:r>
      <w:r>
        <w:rPr>
          <w:rFonts w:ascii="Book Antiqua"/>
          <w:color w:val="262626"/>
          <w:u w:color="163291"/>
          <w:rtl w:val="0"/>
          <w:lang w:val="it-IT"/>
        </w:rPr>
        <w:t xml:space="preserve">. In rapporto al </w:t>
      </w:r>
      <w:r>
        <w:rPr>
          <w:rFonts w:ascii="Book Antiqua"/>
          <w:i w:val="1"/>
          <w:iCs w:val="1"/>
          <w:color w:val="262626"/>
          <w:u w:color="163291"/>
          <w:rtl w:val="0"/>
          <w:lang w:val="it-IT"/>
        </w:rPr>
        <w:t>benchmark</w:t>
      </w:r>
      <w:r>
        <w:rPr>
          <w:rFonts w:ascii="Book Antiqua"/>
          <w:color w:val="262626"/>
          <w:u w:color="163291"/>
          <w:rtl w:val="0"/>
          <w:lang w:val="it-IT"/>
        </w:rPr>
        <w:t xml:space="preserve"> italiano ed europeo, </w:t>
      </w:r>
      <w:r>
        <w:rPr>
          <w:rFonts w:hAnsi="Book Antiqua" w:hint="default"/>
          <w:color w:val="262626"/>
          <w:u w:color="163291"/>
          <w:rtl w:val="0"/>
          <w:lang w:val="it-IT"/>
        </w:rPr>
        <w:t xml:space="preserve">è </w:t>
      </w:r>
      <w:r>
        <w:rPr>
          <w:rFonts w:ascii="Book Antiqua"/>
          <w:color w:val="262626"/>
          <w:u w:color="163291"/>
          <w:rtl w:val="0"/>
          <w:lang w:val="it-IT"/>
        </w:rPr>
        <w:t>quindi un impianto efficiente sia nella capacit</w:t>
      </w:r>
      <w:r>
        <w:rPr>
          <w:rFonts w:hAnsi="Book Antiqua" w:hint="default"/>
          <w:color w:val="262626"/>
          <w:u w:color="163291"/>
          <w:rtl w:val="0"/>
          <w:lang w:val="it-IT"/>
        </w:rPr>
        <w:t xml:space="preserve">à </w:t>
      </w:r>
      <w:r>
        <w:rPr>
          <w:rFonts w:ascii="Book Antiqua"/>
          <w:color w:val="262626"/>
          <w:u w:color="163291"/>
          <w:rtl w:val="0"/>
          <w:lang w:val="it-IT"/>
        </w:rPr>
        <w:t>di produrre che nella capacit</w:t>
      </w:r>
      <w:r>
        <w:rPr>
          <w:rFonts w:hAnsi="Book Antiqua" w:hint="default"/>
          <w:color w:val="262626"/>
          <w:u w:color="163291"/>
          <w:rtl w:val="0"/>
          <w:lang w:val="it-IT"/>
        </w:rPr>
        <w:t xml:space="preserve">à </w:t>
      </w:r>
      <w:r>
        <w:rPr>
          <w:rFonts w:ascii="Book Antiqua"/>
          <w:color w:val="262626"/>
          <w:u w:color="163291"/>
          <w:rtl w:val="0"/>
          <w:lang w:val="it-IT"/>
        </w:rPr>
        <w:t>di garantire un'alta qualit</w:t>
      </w:r>
      <w:r>
        <w:rPr>
          <w:rFonts w:hAnsi="Book Antiqua" w:hint="default"/>
          <w:color w:val="262626"/>
          <w:u w:color="163291"/>
          <w:rtl w:val="0"/>
          <w:lang w:val="it-IT"/>
        </w:rPr>
        <w:t xml:space="preserve">à </w:t>
      </w:r>
      <w:r>
        <w:rPr>
          <w:rFonts w:ascii="Book Antiqua"/>
          <w:color w:val="262626"/>
          <w:u w:color="163291"/>
          <w:rtl w:val="0"/>
          <w:lang w:val="it-IT"/>
        </w:rPr>
        <w:t xml:space="preserve">della prestazione, con emissioni che, come </w:t>
      </w:r>
      <w:r>
        <w:rPr>
          <w:rFonts w:hAnsi="Book Antiqua" w:hint="default"/>
          <w:color w:val="262626"/>
          <w:u w:color="163291"/>
          <w:rtl w:val="0"/>
          <w:lang w:val="it-IT"/>
        </w:rPr>
        <w:t xml:space="preserve">è </w:t>
      </w:r>
      <w:r>
        <w:rPr>
          <w:rFonts w:ascii="Book Antiqua"/>
          <w:color w:val="262626"/>
          <w:u w:color="163291"/>
          <w:rtl w:val="0"/>
          <w:lang w:val="it-IT"/>
        </w:rPr>
        <w:t>stato gi</w:t>
      </w:r>
      <w:r>
        <w:rPr>
          <w:rFonts w:hAnsi="Book Antiqua" w:hint="default"/>
          <w:color w:val="262626"/>
          <w:u w:color="163291"/>
          <w:rtl w:val="0"/>
          <w:lang w:val="it-IT"/>
        </w:rPr>
        <w:t xml:space="preserve">à </w:t>
      </w:r>
      <w:r>
        <w:rPr>
          <w:rFonts w:ascii="Book Antiqua"/>
          <w:color w:val="262626"/>
          <w:u w:color="163291"/>
          <w:rtl w:val="0"/>
          <w:lang w:val="it-IT"/>
        </w:rPr>
        <w:t>detto, sono ben al di sotto dei limiti di legge di pi</w:t>
      </w:r>
      <w:r>
        <w:rPr>
          <w:rFonts w:hAnsi="Book Antiqua" w:hint="default"/>
          <w:color w:val="262626"/>
          <w:u w:color="163291"/>
          <w:rtl w:val="0"/>
          <w:lang w:val="it-IT"/>
        </w:rPr>
        <w:t xml:space="preserve">ù </w:t>
      </w:r>
      <w:r>
        <w:rPr>
          <w:rFonts w:ascii="Book Antiqua"/>
          <w:color w:val="262626"/>
          <w:u w:color="163291"/>
          <w:rtl w:val="0"/>
          <w:lang w:val="it-IT"/>
        </w:rPr>
        <w:t xml:space="preserve">di una dimensione. Inoltre, siamo impegnati nel trattamento dei rifiuti organici, gestendo sia impianti aerobici che impianti anaerobici di diversa tecnologia. Questo </w:t>
      </w:r>
      <w:r>
        <w:rPr>
          <w:rFonts w:hAnsi="Book Antiqua" w:hint="default"/>
          <w:color w:val="262626"/>
          <w:u w:color="163291"/>
          <w:rtl w:val="0"/>
          <w:lang w:val="it-IT"/>
        </w:rPr>
        <w:t xml:space="preserve">è </w:t>
      </w:r>
      <w:r>
        <w:rPr>
          <w:rFonts w:ascii="Book Antiqua"/>
          <w:color w:val="262626"/>
          <w:u w:color="163291"/>
          <w:rtl w:val="0"/>
          <w:lang w:val="it-IT"/>
        </w:rPr>
        <w:t xml:space="preserve">un settore nel quale siamo cresciuti recentemente e intendiamo crescere nel futuro, ma dove, naturalmente, ci confrontiamo con diversi operatori. Come abbiamo detto, noi siamo concentrati su Lazio, Toscana e Umbria. Abbiamo diversi impianti anche in questo settore, molti dei quali sono oggetto di ampliamenti in corso. Sono impianti costruiti con una dimensione intorno a 50.000-60.000 tonnellate e che stiamo ampliando (abbiamo ottenuto le autorizzazioni). Grosso modo la logica </w:t>
      </w:r>
      <w:r>
        <w:rPr>
          <w:rFonts w:hAnsi="Book Antiqua" w:hint="default"/>
          <w:color w:val="262626"/>
          <w:u w:color="163291"/>
          <w:rtl w:val="0"/>
          <w:lang w:val="it-IT"/>
        </w:rPr>
        <w:t xml:space="preserve">è </w:t>
      </w:r>
      <w:r>
        <w:rPr>
          <w:rFonts w:ascii="Book Antiqua"/>
          <w:color w:val="262626"/>
          <w:u w:color="163291"/>
          <w:rtl w:val="0"/>
          <w:lang w:val="it-IT"/>
        </w:rPr>
        <w:t>quella di raggiungere la dimensione delle 100.000 tonnellate a impianto, per ragioni di efficienza, di sinergia e di maggior controllo della qualit</w:t>
      </w:r>
      <w:r>
        <w:rPr>
          <w:rFonts w:hAnsi="Book Antiqua" w:hint="default"/>
          <w:color w:val="262626"/>
          <w:u w:color="163291"/>
          <w:rtl w:val="0"/>
          <w:lang w:val="it-IT"/>
        </w:rPr>
        <w:t xml:space="preserve">à </w:t>
      </w:r>
      <w:r>
        <w:rPr>
          <w:rFonts w:ascii="Book Antiqua"/>
          <w:color w:val="262626"/>
          <w:u w:color="163291"/>
          <w:rtl w:val="0"/>
          <w:lang w:val="it-IT"/>
        </w:rPr>
        <w:t xml:space="preserve">del prodotto dell'impianto, che come sapete </w:t>
      </w:r>
      <w:r>
        <w:rPr>
          <w:rFonts w:hAnsi="Book Antiqua" w:hint="default"/>
          <w:color w:val="262626"/>
          <w:u w:color="163291"/>
          <w:rtl w:val="0"/>
          <w:lang w:val="it-IT"/>
        </w:rPr>
        <w:t xml:space="preserve">è </w:t>
      </w:r>
      <w:r>
        <w:rPr>
          <w:rFonts w:ascii="Book Antiqua"/>
          <w:color w:val="262626"/>
          <w:u w:color="163291"/>
          <w:rtl w:val="0"/>
          <w:lang w:val="it-IT"/>
        </w:rPr>
        <w:t>l</w:t>
      </w:r>
      <w:r>
        <w:rPr>
          <w:rFonts w:hAnsi="Book Antiqua" w:hint="default"/>
          <w:color w:val="262626"/>
          <w:u w:color="163291"/>
          <w:rtl w:val="0"/>
          <w:lang w:val="it-IT"/>
        </w:rPr>
        <w:t>’</w:t>
      </w:r>
      <w:r>
        <w:rPr>
          <w:rFonts w:ascii="Book Antiqua"/>
          <w:color w:val="262626"/>
          <w:u w:color="163291"/>
          <w:rtl w:val="0"/>
          <w:lang w:val="it-IT"/>
        </w:rPr>
        <w:t>ammendante o l'energia nel caso di impianti di tipologia anaerobica</w:t>
      </w:r>
      <w:r>
        <w:rPr>
          <w:rFonts w:ascii="Book Antiqua" w:cs="Book Antiqua" w:hAnsi="Book Antiqua" w:eastAsia="Book Antiqua"/>
          <w:color w:val="262626"/>
          <w:u w:color="163291"/>
          <w:vertAlign w:val="superscript"/>
          <w:rtl w:val="0"/>
        </w:rPr>
        <w:footnoteReference w:id="157"/>
      </w:r>
      <w:r>
        <w:rPr>
          <w:rFonts w:ascii="Book Antiqua"/>
          <w:color w:val="262626"/>
          <w:u w:color="163291"/>
          <w:rtl w:val="0"/>
          <w:lang w:val="it-IT"/>
        </w:rPr>
        <w:t xml:space="preserve">. Abbiamo poi sviluppato una </w:t>
      </w:r>
      <w:r>
        <w:rPr>
          <w:rFonts w:hAnsi="Book Antiqua" w:hint="default"/>
          <w:color w:val="262626"/>
          <w:u w:color="163291"/>
          <w:rtl w:val="0"/>
          <w:lang w:val="it-IT"/>
        </w:rPr>
        <w:t>«</w:t>
      </w:r>
      <w:r>
        <w:rPr>
          <w:rFonts w:ascii="Book Antiqua"/>
          <w:color w:val="262626"/>
          <w:u w:color="163291"/>
          <w:rtl w:val="0"/>
          <w:lang w:val="it-IT"/>
        </w:rPr>
        <w:t>linea di attivit</w:t>
      </w:r>
      <w:r>
        <w:rPr>
          <w:rFonts w:hAnsi="Book Antiqua" w:hint="default"/>
          <w:color w:val="262626"/>
          <w:u w:color="163291"/>
          <w:rtl w:val="0"/>
          <w:lang w:val="it-IT"/>
        </w:rPr>
        <w:t xml:space="preserve">à </w:t>
      </w:r>
      <w:r>
        <w:rPr>
          <w:rFonts w:ascii="Book Antiqua"/>
          <w:color w:val="262626"/>
          <w:u w:color="163291"/>
          <w:rtl w:val="0"/>
          <w:lang w:val="it-IT"/>
        </w:rPr>
        <w:t>imprenditoriale</w:t>
      </w:r>
      <w:r>
        <w:rPr>
          <w:rFonts w:hAnsi="Book Antiqua" w:hint="default"/>
          <w:color w:val="262626"/>
          <w:u w:color="163291"/>
          <w:rtl w:val="0"/>
          <w:lang w:val="it-IT"/>
        </w:rPr>
        <w:t xml:space="preserve">» </w:t>
      </w:r>
      <w:r>
        <w:rPr>
          <w:rFonts w:ascii="Book Antiqua"/>
          <w:color w:val="262626"/>
          <w:u w:color="163291"/>
          <w:rtl w:val="0"/>
          <w:lang w:val="it-IT"/>
        </w:rPr>
        <w:t xml:space="preserve">connessa al mercato </w:t>
      </w:r>
      <w:r>
        <w:rPr>
          <w:rFonts w:ascii="Book Antiqua"/>
          <w:i w:val="1"/>
          <w:iCs w:val="1"/>
          <w:color w:val="262626"/>
          <w:u w:color="163291"/>
          <w:rtl w:val="0"/>
          <w:lang w:val="it-IT"/>
        </w:rPr>
        <w:t>captive</w:t>
      </w:r>
      <w:r>
        <w:rPr>
          <w:rFonts w:ascii="Book Antiqua"/>
          <w:color w:val="262626"/>
          <w:u w:color="163291"/>
          <w:rtl w:val="0"/>
          <w:lang w:val="it-IT"/>
        </w:rPr>
        <w:t xml:space="preserve"> e alla gestione dei fanghi. Infatti, avendo la conduzione degli impianti di depurazione, gestiamo il trattamento dei fanghi che derivano dall'attivit</w:t>
      </w:r>
      <w:r>
        <w:rPr>
          <w:rFonts w:hAnsi="Book Antiqua" w:hint="default"/>
          <w:color w:val="262626"/>
          <w:u w:color="163291"/>
          <w:rtl w:val="0"/>
          <w:lang w:val="it-IT"/>
        </w:rPr>
        <w:t xml:space="preserve">à </w:t>
      </w:r>
      <w:r>
        <w:rPr>
          <w:rFonts w:ascii="Book Antiqua"/>
          <w:color w:val="262626"/>
          <w:u w:color="163291"/>
          <w:rtl w:val="0"/>
          <w:lang w:val="it-IT"/>
        </w:rPr>
        <w:t>depurativa, nell'attivit</w:t>
      </w:r>
      <w:r>
        <w:rPr>
          <w:rFonts w:hAnsi="Book Antiqua" w:hint="default"/>
          <w:color w:val="262626"/>
          <w:u w:color="163291"/>
          <w:rtl w:val="0"/>
          <w:lang w:val="it-IT"/>
        </w:rPr>
        <w:t xml:space="preserve">à </w:t>
      </w:r>
      <w:r>
        <w:rPr>
          <w:rFonts w:ascii="Book Antiqua"/>
          <w:color w:val="262626"/>
          <w:u w:color="163291"/>
          <w:rtl w:val="0"/>
          <w:lang w:val="it-IT"/>
        </w:rPr>
        <w:t>di compostaggio e con altre tipologie di trattamento, disponendo del rifiuto e potendolo trattare direttamente. Abbiamo quindi sviluppato nella filiera una capacit</w:t>
      </w:r>
      <w:r>
        <w:rPr>
          <w:rFonts w:hAnsi="Book Antiqua" w:hint="default"/>
          <w:color w:val="262626"/>
          <w:u w:color="163291"/>
          <w:rtl w:val="0"/>
          <w:lang w:val="it-IT"/>
        </w:rPr>
        <w:t xml:space="preserve">à </w:t>
      </w:r>
      <w:r>
        <w:rPr>
          <w:rFonts w:ascii="Book Antiqua"/>
          <w:color w:val="262626"/>
          <w:u w:color="163291"/>
          <w:rtl w:val="0"/>
          <w:lang w:val="it-IT"/>
        </w:rPr>
        <w:t>di trattamento di questi rifiuti anche per quanto attiene alle componenti di trasporto. Abbiamo ritenuto, nel corso degli anni, di internalizzare, cio</w:t>
      </w:r>
      <w:r>
        <w:rPr>
          <w:rFonts w:hAnsi="Book Antiqua" w:hint="default"/>
          <w:color w:val="262626"/>
          <w:u w:color="163291"/>
          <w:rtl w:val="0"/>
          <w:lang w:val="it-IT"/>
        </w:rPr>
        <w:t xml:space="preserve">è </w:t>
      </w:r>
      <w:r>
        <w:rPr>
          <w:rFonts w:ascii="Book Antiqua"/>
          <w:color w:val="262626"/>
          <w:u w:color="163291"/>
          <w:rtl w:val="0"/>
          <w:lang w:val="it-IT"/>
        </w:rPr>
        <w:t>di gestire in proprio e quanto pi</w:t>
      </w:r>
      <w:r>
        <w:rPr>
          <w:rFonts w:hAnsi="Book Antiqua" w:hint="default"/>
          <w:color w:val="262626"/>
          <w:u w:color="163291"/>
          <w:rtl w:val="0"/>
          <w:lang w:val="it-IT"/>
        </w:rPr>
        <w:t xml:space="preserve">ù </w:t>
      </w:r>
      <w:r>
        <w:rPr>
          <w:rFonts w:ascii="Book Antiqua"/>
          <w:color w:val="262626"/>
          <w:u w:color="163291"/>
          <w:rtl w:val="0"/>
          <w:lang w:val="it-IT"/>
        </w:rPr>
        <w:t>possibile la filiera. Su questa linea ci siamo mossi nel corso degli ultimi anni. Abbiamo acquisito il controllo al cento per cento delle societ</w:t>
      </w:r>
      <w:r>
        <w:rPr>
          <w:rFonts w:hAnsi="Book Antiqua" w:hint="default"/>
          <w:color w:val="262626"/>
          <w:u w:color="163291"/>
          <w:rtl w:val="0"/>
          <w:lang w:val="it-IT"/>
        </w:rPr>
        <w:t xml:space="preserve">à </w:t>
      </w:r>
      <w:r>
        <w:rPr>
          <w:rFonts w:ascii="Book Antiqua"/>
          <w:color w:val="262626"/>
          <w:u w:color="163291"/>
          <w:rtl w:val="0"/>
          <w:lang w:val="it-IT"/>
        </w:rPr>
        <w:t xml:space="preserve">che gestivano questi impianti. Molti di questi impianti sono stati realizzati talvolta da promotori, ossia da aziende che ne hanno promosso la realizzazione. Nel corso degli anni queste </w:t>
      </w:r>
      <w:r>
        <w:rPr>
          <w:rFonts w:ascii="Book Antiqua"/>
          <w:i w:val="1"/>
          <w:iCs w:val="1"/>
          <w:color w:val="262626"/>
          <w:u w:color="163291"/>
          <w:rtl w:val="0"/>
          <w:lang w:val="it-IT"/>
        </w:rPr>
        <w:t>partnership</w:t>
      </w:r>
      <w:r>
        <w:rPr>
          <w:rFonts w:ascii="Book Antiqua"/>
          <w:color w:val="262626"/>
          <w:u w:color="163291"/>
          <w:rtl w:val="0"/>
          <w:lang w:val="it-IT"/>
        </w:rPr>
        <w:t xml:space="preserve"> hanno continuato a operare nella forma di relazione con soci che a volte hanno realizzato gli impianti e sono stati nostri </w:t>
      </w:r>
      <w:r>
        <w:rPr>
          <w:rFonts w:ascii="Book Antiqua"/>
          <w:i w:val="1"/>
          <w:iCs w:val="1"/>
          <w:color w:val="262626"/>
          <w:u w:color="163291"/>
          <w:rtl w:val="0"/>
          <w:lang w:val="it-IT"/>
        </w:rPr>
        <w:t>partner</w:t>
      </w:r>
      <w:r>
        <w:rPr>
          <w:rFonts w:ascii="Book Antiqua"/>
          <w:color w:val="262626"/>
          <w:u w:color="163291"/>
          <w:rtl w:val="0"/>
          <w:lang w:val="it-IT"/>
        </w:rPr>
        <w:t xml:space="preserve"> per un certo numero di anni. Nel corso degli ultimi due anni abbiamo consolidato queste partecipazioni, rilevando praticamente tutte le partecipazioni di minoranza detenute da imprenditori privati in questi impianti, anche perch</w:t>
      </w:r>
      <w:r>
        <w:rPr>
          <w:rFonts w:hAnsi="Book Antiqua" w:hint="default"/>
          <w:color w:val="262626"/>
          <w:u w:color="163291"/>
          <w:rtl w:val="0"/>
          <w:lang w:val="it-IT"/>
        </w:rPr>
        <w:t xml:space="preserve">é </w:t>
      </w:r>
      <w:r>
        <w:rPr>
          <w:rFonts w:ascii="Book Antiqua"/>
          <w:color w:val="262626"/>
          <w:u w:color="163291"/>
          <w:rtl w:val="0"/>
          <w:lang w:val="it-IT"/>
        </w:rPr>
        <w:t>nel corso della nostra esperienza abbiamo riscontrato che la presenza di imprenditori privati costituiva un impedimento alla necessit</w:t>
      </w:r>
      <w:r>
        <w:rPr>
          <w:rFonts w:hAnsi="Book Antiqua" w:hint="default"/>
          <w:color w:val="262626"/>
          <w:u w:color="163291"/>
          <w:rtl w:val="0"/>
          <w:lang w:val="it-IT"/>
        </w:rPr>
        <w:t xml:space="preserve">à </w:t>
      </w:r>
      <w:r>
        <w:rPr>
          <w:rFonts w:ascii="Book Antiqua"/>
          <w:color w:val="262626"/>
          <w:u w:color="163291"/>
          <w:rtl w:val="0"/>
          <w:lang w:val="it-IT"/>
        </w:rPr>
        <w:t>di perseguire la nostra capacit</w:t>
      </w:r>
      <w:r>
        <w:rPr>
          <w:rFonts w:hAnsi="Book Antiqua" w:hint="default"/>
          <w:color w:val="262626"/>
          <w:u w:color="163291"/>
          <w:rtl w:val="0"/>
          <w:lang w:val="it-IT"/>
        </w:rPr>
        <w:t xml:space="preserve">à </w:t>
      </w:r>
      <w:r>
        <w:rPr>
          <w:rFonts w:ascii="Book Antiqua"/>
          <w:color w:val="262626"/>
          <w:u w:color="163291"/>
          <w:rtl w:val="0"/>
          <w:lang w:val="it-IT"/>
        </w:rPr>
        <w:t>di investimento. Gli imprenditori privati difficilmente si sono dimostrati pronti a sostenere gli sforzi finanziari necessari all'ammodernamento e alla crescita di questi impianti</w:t>
      </w:r>
      <w:r>
        <w:rPr>
          <w:rFonts w:ascii="Book Antiqua" w:cs="Book Antiqua" w:hAnsi="Book Antiqua" w:eastAsia="Book Antiqua"/>
          <w:color w:val="262626"/>
          <w:u w:color="163291"/>
          <w:vertAlign w:val="superscript"/>
          <w:rtl w:val="0"/>
        </w:rPr>
        <w:footnoteReference w:id="158"/>
      </w:r>
      <w:r>
        <w:rPr>
          <w:rFonts w:ascii="Book Antiqua"/>
          <w:color w:val="262626"/>
          <w:u w:color="163291"/>
          <w:rtl w:val="0"/>
          <w:lang w:val="it-IT"/>
        </w:rPr>
        <w:t xml:space="preserve">. La strategia nel corso degli anni, quindi, </w:t>
      </w:r>
      <w:r>
        <w:rPr>
          <w:rFonts w:hAnsi="Book Antiqua" w:hint="default"/>
          <w:color w:val="262626"/>
          <w:u w:color="163291"/>
          <w:rtl w:val="0"/>
          <w:lang w:val="it-IT"/>
        </w:rPr>
        <w:t xml:space="preserve">è </w:t>
      </w:r>
      <w:r>
        <w:rPr>
          <w:rFonts w:ascii="Book Antiqua"/>
          <w:color w:val="262626"/>
          <w:u w:color="163291"/>
          <w:rtl w:val="0"/>
          <w:lang w:val="it-IT"/>
        </w:rPr>
        <w:t>stata quella di acquisire il controllo al cento per cento di queste societ</w:t>
      </w:r>
      <w:r>
        <w:rPr>
          <w:rFonts w:hAnsi="Book Antiqua" w:hint="default"/>
          <w:color w:val="262626"/>
          <w:u w:color="163291"/>
          <w:rtl w:val="0"/>
          <w:lang w:val="it-IT"/>
        </w:rPr>
        <w:t>à</w:t>
      </w:r>
      <w:r>
        <w:rPr>
          <w:rFonts w:ascii="Book Antiqua"/>
          <w:color w:val="262626"/>
          <w:u w:color="163291"/>
          <w:rtl w:val="0"/>
          <w:lang w:val="it-IT"/>
        </w:rPr>
        <w:t xml:space="preserve">, cosa che abbiamo fatto e che ci ha permesso anche di semplificare la struttura societaria di questa nostra </w:t>
      </w:r>
      <w:r>
        <w:rPr>
          <w:rFonts w:ascii="Book Antiqua"/>
          <w:i w:val="1"/>
          <w:iCs w:val="1"/>
          <w:color w:val="262626"/>
          <w:u w:color="163291"/>
          <w:rtl w:val="0"/>
          <w:lang w:val="it-IT"/>
        </w:rPr>
        <w:t>business unit</w:t>
      </w:r>
      <w:r>
        <w:rPr>
          <w:rFonts w:ascii="Book Antiqua"/>
          <w:color w:val="262626"/>
          <w:u w:color="163291"/>
          <w:rtl w:val="0"/>
          <w:lang w:val="it-IT"/>
        </w:rPr>
        <w:t xml:space="preserve"> [</w:t>
      </w:r>
      <w:r>
        <w:rPr>
          <w:rFonts w:hAnsi="Book Antiqua" w:hint="default"/>
          <w:color w:val="262626"/>
          <w:u w:color="163291"/>
          <w:rtl w:val="0"/>
          <w:lang w:val="it-IT"/>
        </w:rPr>
        <w:t>…</w:t>
      </w:r>
      <w:r>
        <w:rPr>
          <w:rFonts w:ascii="Book Antiqua"/>
          <w:color w:val="262626"/>
          <w:u w:color="163291"/>
          <w:rtl w:val="0"/>
          <w:lang w:val="it-IT"/>
        </w:rPr>
        <w:t>]</w:t>
      </w:r>
    </w:p>
    <w:p>
      <w:pPr>
        <w:pStyle w:val="Normal"/>
        <w:widowControl w:val="0"/>
        <w:ind w:left="567" w:right="567" w:firstLine="0"/>
        <w:jc w:val="both"/>
        <w:rPr>
          <w:rFonts w:ascii="Book Antiqua" w:cs="Book Antiqua" w:hAnsi="Book Antiqua" w:eastAsia="Book Antiqua"/>
          <w:color w:val="262626"/>
          <w:u w:color="163291"/>
        </w:rPr>
      </w:pPr>
      <w:r>
        <w:rPr>
          <w:rFonts w:ascii="Book Antiqua"/>
          <w:color w:val="262626"/>
          <w:u w:color="163291"/>
          <w:rtl w:val="0"/>
          <w:lang w:val="it-IT"/>
        </w:rPr>
        <w:t xml:space="preserve">Noi abbiamo mantenuto un approccio saldamente ancorato alla gestione del trattamento dei rifiuti, per una ragione di strategia industriale del gruppo. ACEA </w:t>
      </w:r>
      <w:r>
        <w:rPr>
          <w:rFonts w:hAnsi="Book Antiqua" w:hint="default"/>
          <w:color w:val="262626"/>
          <w:u w:color="163291"/>
          <w:rtl w:val="0"/>
          <w:lang w:val="it-IT"/>
        </w:rPr>
        <w:t xml:space="preserve">è </w:t>
      </w:r>
      <w:r>
        <w:rPr>
          <w:rFonts w:ascii="Book Antiqua"/>
          <w:color w:val="262626"/>
          <w:u w:color="163291"/>
          <w:rtl w:val="0"/>
          <w:lang w:val="it-IT"/>
        </w:rPr>
        <w:t xml:space="preserve">una </w:t>
      </w:r>
      <w:r>
        <w:rPr>
          <w:rFonts w:ascii="Book Antiqua"/>
          <w:i w:val="1"/>
          <w:iCs w:val="1"/>
          <w:color w:val="262626"/>
          <w:u w:color="163291"/>
          <w:rtl w:val="0"/>
          <w:lang w:val="it-IT"/>
        </w:rPr>
        <w:t>multiutility</w:t>
      </w:r>
      <w:r>
        <w:rPr>
          <w:rFonts w:ascii="Book Antiqua"/>
          <w:color w:val="262626"/>
          <w:u w:color="163291"/>
          <w:rtl w:val="0"/>
          <w:lang w:val="it-IT"/>
        </w:rPr>
        <w:t xml:space="preserve"> che gestisce diversi </w:t>
      </w:r>
      <w:r>
        <w:rPr>
          <w:rFonts w:ascii="Book Antiqua"/>
          <w:i w:val="1"/>
          <w:iCs w:val="1"/>
          <w:color w:val="262626"/>
          <w:u w:color="163291"/>
          <w:rtl w:val="0"/>
          <w:lang w:val="it-IT"/>
        </w:rPr>
        <w:t>business</w:t>
      </w:r>
      <w:r>
        <w:rPr>
          <w:rFonts w:ascii="Book Antiqua"/>
          <w:color w:val="262626"/>
          <w:u w:color="163291"/>
          <w:rtl w:val="0"/>
          <w:lang w:val="it-IT"/>
        </w:rPr>
        <w:t xml:space="preserve">, dalla produzione di energia, seppure in maniera limitata, alla vendita e alla distribuzione elettrica, dall'acqua a questa </w:t>
      </w:r>
      <w:r>
        <w:rPr>
          <w:rFonts w:ascii="Book Antiqua"/>
          <w:i w:val="1"/>
          <w:iCs w:val="1"/>
          <w:color w:val="262626"/>
          <w:u w:color="163291"/>
          <w:rtl w:val="0"/>
          <w:lang w:val="it-IT"/>
        </w:rPr>
        <w:t>business unit</w:t>
      </w:r>
      <w:r>
        <w:rPr>
          <w:rFonts w:ascii="Book Antiqua"/>
          <w:color w:val="262626"/>
          <w:u w:color="163291"/>
          <w:rtl w:val="0"/>
          <w:lang w:val="it-IT"/>
        </w:rPr>
        <w:t xml:space="preserve"> che si occupa di rifiuti. C'</w:t>
      </w:r>
      <w:r>
        <w:rPr>
          <w:rFonts w:hAnsi="Book Antiqua" w:hint="default"/>
          <w:color w:val="262626"/>
          <w:u w:color="163291"/>
          <w:rtl w:val="0"/>
          <w:lang w:val="it-IT"/>
        </w:rPr>
        <w:t xml:space="preserve">è </w:t>
      </w:r>
      <w:r>
        <w:rPr>
          <w:rFonts w:ascii="Book Antiqua"/>
          <w:color w:val="262626"/>
          <w:u w:color="163291"/>
          <w:rtl w:val="0"/>
          <w:lang w:val="it-IT"/>
        </w:rPr>
        <w:t xml:space="preserve">un tema inerente al </w:t>
      </w:r>
      <w:r>
        <w:rPr>
          <w:rFonts w:ascii="Book Antiqua"/>
          <w:i w:val="1"/>
          <w:iCs w:val="1"/>
          <w:color w:val="262626"/>
          <w:u w:color="163291"/>
          <w:rtl w:val="0"/>
          <w:lang w:val="it-IT"/>
        </w:rPr>
        <w:t>focus</w:t>
      </w:r>
      <w:r>
        <w:rPr>
          <w:rFonts w:ascii="Book Antiqua"/>
          <w:color w:val="262626"/>
          <w:u w:color="163291"/>
          <w:rtl w:val="0"/>
          <w:lang w:val="it-IT"/>
        </w:rPr>
        <w:t xml:space="preserve"> nella conduzione di un'azienda cos</w:t>
      </w:r>
      <w:r>
        <w:rPr>
          <w:rFonts w:hAnsi="Book Antiqua" w:hint="default"/>
          <w:color w:val="262626"/>
          <w:u w:color="163291"/>
          <w:rtl w:val="0"/>
          <w:lang w:val="it-IT"/>
        </w:rPr>
        <w:t xml:space="preserve">ì </w:t>
      </w:r>
      <w:r>
        <w:rPr>
          <w:rFonts w:ascii="Book Antiqua"/>
          <w:color w:val="262626"/>
          <w:u w:color="163291"/>
          <w:rtl w:val="0"/>
          <w:lang w:val="it-IT"/>
        </w:rPr>
        <w:t xml:space="preserve">complessa. Infatti, riteniamo che mentre quello del trattamento </w:t>
      </w:r>
      <w:r>
        <w:rPr>
          <w:rFonts w:hAnsi="Book Antiqua" w:hint="default"/>
          <w:color w:val="262626"/>
          <w:u w:color="163291"/>
          <w:rtl w:val="0"/>
          <w:lang w:val="it-IT"/>
        </w:rPr>
        <w:t xml:space="preserve">è </w:t>
      </w:r>
      <w:r>
        <w:rPr>
          <w:rFonts w:ascii="Book Antiqua"/>
          <w:color w:val="262626"/>
          <w:u w:color="163291"/>
          <w:rtl w:val="0"/>
          <w:lang w:val="it-IT"/>
        </w:rPr>
        <w:t xml:space="preserve">un </w:t>
      </w:r>
      <w:r>
        <w:rPr>
          <w:rFonts w:ascii="Book Antiqua"/>
          <w:i w:val="1"/>
          <w:iCs w:val="1"/>
          <w:color w:val="262626"/>
          <w:u w:color="163291"/>
          <w:rtl w:val="0"/>
          <w:lang w:val="it-IT"/>
        </w:rPr>
        <w:t>business</w:t>
      </w:r>
      <w:r>
        <w:rPr>
          <w:rFonts w:ascii="Book Antiqua"/>
          <w:color w:val="262626"/>
          <w:u w:color="163291"/>
          <w:rtl w:val="0"/>
          <w:lang w:val="it-IT"/>
        </w:rPr>
        <w:t xml:space="preserve"> che richiede una competenza industriale molto specifica ed </w:t>
      </w:r>
      <w:r>
        <w:rPr>
          <w:rFonts w:hAnsi="Book Antiqua" w:hint="default"/>
          <w:color w:val="262626"/>
          <w:u w:color="163291"/>
          <w:rtl w:val="0"/>
          <w:lang w:val="it-IT"/>
        </w:rPr>
        <w:t xml:space="preserve">è </w:t>
      </w:r>
      <w:r>
        <w:rPr>
          <w:rFonts w:ascii="Book Antiqua"/>
          <w:color w:val="262626"/>
          <w:u w:color="163291"/>
          <w:rtl w:val="0"/>
          <w:lang w:val="it-IT"/>
        </w:rPr>
        <w:t xml:space="preserve">per certi versi simile ai </w:t>
      </w:r>
      <w:r>
        <w:rPr>
          <w:rFonts w:ascii="Book Antiqua"/>
          <w:i w:val="1"/>
          <w:iCs w:val="1"/>
          <w:color w:val="262626"/>
          <w:u w:color="163291"/>
          <w:rtl w:val="0"/>
          <w:lang w:val="it-IT"/>
        </w:rPr>
        <w:t>business capital intensive</w:t>
      </w:r>
      <w:r>
        <w:rPr>
          <w:rFonts w:ascii="Book Antiqua"/>
          <w:color w:val="262626"/>
          <w:u w:color="163291"/>
          <w:rtl w:val="0"/>
          <w:lang w:val="it-IT"/>
        </w:rPr>
        <w:t xml:space="preserve"> (nei quali noi crediamo di avere un'esperienza molto consolidata, come il </w:t>
      </w:r>
      <w:r>
        <w:rPr>
          <w:rFonts w:ascii="Book Antiqua"/>
          <w:i w:val="1"/>
          <w:iCs w:val="1"/>
          <w:color w:val="262626"/>
          <w:u w:color="163291"/>
          <w:rtl w:val="0"/>
          <w:lang w:val="it-IT"/>
        </w:rPr>
        <w:t>business</w:t>
      </w:r>
      <w:r>
        <w:rPr>
          <w:rFonts w:ascii="Book Antiqua"/>
          <w:color w:val="262626"/>
          <w:u w:color="163291"/>
          <w:rtl w:val="0"/>
          <w:lang w:val="it-IT"/>
        </w:rPr>
        <w:t xml:space="preserve"> di gestione della rete), non abbiamo assolutamente </w:t>
      </w:r>
      <w:r>
        <w:rPr>
          <w:rFonts w:ascii="Book Antiqua"/>
          <w:i w:val="1"/>
          <w:iCs w:val="1"/>
          <w:color w:val="262626"/>
          <w:u w:color="163291"/>
          <w:rtl w:val="0"/>
          <w:lang w:val="it-IT"/>
        </w:rPr>
        <w:t>know how</w:t>
      </w:r>
      <w:r>
        <w:rPr>
          <w:rFonts w:ascii="Book Antiqua"/>
          <w:color w:val="262626"/>
          <w:u w:color="163291"/>
          <w:rtl w:val="0"/>
          <w:lang w:val="it-IT"/>
        </w:rPr>
        <w:t xml:space="preserve"> nella gestione del collettamento e dello spazzamento dei rifiuti. In pi</w:t>
      </w:r>
      <w:r>
        <w:rPr>
          <w:rFonts w:hAnsi="Book Antiqua" w:hint="default"/>
          <w:color w:val="262626"/>
          <w:u w:color="163291"/>
          <w:rtl w:val="0"/>
          <w:lang w:val="it-IT"/>
        </w:rPr>
        <w:t xml:space="preserve">ù </w:t>
      </w:r>
      <w:r>
        <w:rPr>
          <w:rFonts w:ascii="Book Antiqua"/>
          <w:color w:val="262626"/>
          <w:u w:color="163291"/>
          <w:rtl w:val="0"/>
          <w:lang w:val="it-IT"/>
        </w:rPr>
        <w:t>occasioni e in varie circostanze siamo stati sollecitati a occuparci anche della parte di raccolta e spazzamento, ma non riteniamo che questo sia un settore nel quale ACEA possa disporre delle competenze specifiche. Peraltro, riteniamo che questo settore sia strutturalmente diverso. Nel settore del trattamento prevale la componente di valore dell</w:t>
      </w:r>
      <w:r>
        <w:rPr>
          <w:rFonts w:hAnsi="Book Antiqua" w:hint="default"/>
          <w:color w:val="262626"/>
          <w:u w:color="163291"/>
          <w:rtl w:val="0"/>
          <w:lang w:val="it-IT"/>
        </w:rPr>
        <w:t>’</w:t>
      </w:r>
      <w:r>
        <w:rPr>
          <w:rFonts w:ascii="Book Antiqua"/>
          <w:i w:val="1"/>
          <w:iCs w:val="1"/>
          <w:color w:val="262626"/>
          <w:u w:color="163291"/>
          <w:rtl w:val="0"/>
          <w:lang w:val="it-IT"/>
        </w:rPr>
        <w:t>asset</w:t>
      </w:r>
      <w:r>
        <w:rPr>
          <w:rFonts w:ascii="Book Antiqua"/>
          <w:color w:val="262626"/>
          <w:u w:color="163291"/>
          <w:rtl w:val="0"/>
          <w:lang w:val="it-IT"/>
        </w:rPr>
        <w:t xml:space="preserve"> di capitale investito e quindi di impiego in un lungo periodo di capitale allocato in </w:t>
      </w:r>
      <w:r>
        <w:rPr>
          <w:rFonts w:ascii="Book Antiqua"/>
          <w:i w:val="1"/>
          <w:iCs w:val="1"/>
          <w:color w:val="262626"/>
          <w:u w:color="163291"/>
          <w:rtl w:val="0"/>
          <w:lang w:val="it-IT"/>
        </w:rPr>
        <w:t>asset</w:t>
      </w:r>
      <w:r>
        <w:rPr>
          <w:rFonts w:ascii="Book Antiqua"/>
          <w:color w:val="262626"/>
          <w:u w:color="163291"/>
          <w:rtl w:val="0"/>
          <w:lang w:val="it-IT"/>
        </w:rPr>
        <w:t xml:space="preserve">. Nella gestione della raccolta, invece, l'approccio del </w:t>
      </w:r>
      <w:r>
        <w:rPr>
          <w:rFonts w:ascii="Book Antiqua"/>
          <w:i w:val="1"/>
          <w:iCs w:val="1"/>
          <w:color w:val="262626"/>
          <w:u w:color="163291"/>
          <w:rtl w:val="0"/>
          <w:lang w:val="it-IT"/>
        </w:rPr>
        <w:t>business</w:t>
      </w:r>
      <w:r>
        <w:rPr>
          <w:rFonts w:ascii="Book Antiqua"/>
          <w:color w:val="262626"/>
          <w:u w:color="163291"/>
          <w:rtl w:val="0"/>
          <w:lang w:val="it-IT"/>
        </w:rPr>
        <w:t xml:space="preserve"> strategico </w:t>
      </w:r>
      <w:r>
        <w:rPr>
          <w:rFonts w:hAnsi="Book Antiqua" w:hint="default"/>
          <w:color w:val="262626"/>
          <w:u w:color="163291"/>
          <w:rtl w:val="0"/>
          <w:lang w:val="it-IT"/>
        </w:rPr>
        <w:t xml:space="preserve">è </w:t>
      </w:r>
      <w:r>
        <w:rPr>
          <w:rFonts w:ascii="Book Antiqua"/>
          <w:color w:val="262626"/>
          <w:u w:color="163291"/>
          <w:rtl w:val="0"/>
          <w:lang w:val="it-IT"/>
        </w:rPr>
        <w:t xml:space="preserve">molto diversa: </w:t>
      </w:r>
      <w:r>
        <w:rPr>
          <w:rFonts w:hAnsi="Book Antiqua" w:hint="default"/>
          <w:color w:val="262626"/>
          <w:u w:color="163291"/>
          <w:rtl w:val="0"/>
          <w:lang w:val="it-IT"/>
        </w:rPr>
        <w:t xml:space="preserve">è </w:t>
      </w:r>
      <w:r>
        <w:rPr>
          <w:rFonts w:ascii="Book Antiqua"/>
          <w:color w:val="262626"/>
          <w:u w:color="163291"/>
          <w:rtl w:val="0"/>
          <w:lang w:val="it-IT"/>
        </w:rPr>
        <w:t xml:space="preserve">un </w:t>
      </w:r>
      <w:r>
        <w:rPr>
          <w:rFonts w:ascii="Book Antiqua"/>
          <w:i w:val="1"/>
          <w:iCs w:val="1"/>
          <w:color w:val="262626"/>
          <w:u w:color="163291"/>
          <w:rtl w:val="0"/>
          <w:lang w:val="it-IT"/>
        </w:rPr>
        <w:t>business labor intensive,</w:t>
      </w:r>
      <w:r>
        <w:rPr>
          <w:rFonts w:ascii="Book Antiqua"/>
          <w:color w:val="262626"/>
          <w:u w:color="163291"/>
          <w:rtl w:val="0"/>
          <w:lang w:val="it-IT"/>
        </w:rPr>
        <w:t xml:space="preserve"> dove prevale l'aspetto organizzativo delle relazioni industriali ed </w:t>
      </w:r>
      <w:r>
        <w:rPr>
          <w:rFonts w:hAnsi="Book Antiqua" w:hint="default"/>
          <w:color w:val="262626"/>
          <w:u w:color="163291"/>
          <w:rtl w:val="0"/>
          <w:lang w:val="it-IT"/>
        </w:rPr>
        <w:t xml:space="preserve">è </w:t>
      </w:r>
      <w:r>
        <w:rPr>
          <w:rFonts w:ascii="Book Antiqua"/>
          <w:color w:val="262626"/>
          <w:u w:color="163291"/>
          <w:rtl w:val="0"/>
          <w:lang w:val="it-IT"/>
        </w:rPr>
        <w:t xml:space="preserve">un </w:t>
      </w:r>
      <w:r>
        <w:rPr>
          <w:rFonts w:ascii="Book Antiqua"/>
          <w:i w:val="1"/>
          <w:iCs w:val="1"/>
          <w:color w:val="262626"/>
          <w:u w:color="163291"/>
          <w:rtl w:val="0"/>
          <w:lang w:val="it-IT"/>
        </w:rPr>
        <w:t>business,</w:t>
      </w:r>
      <w:r>
        <w:rPr>
          <w:rFonts w:ascii="Book Antiqua"/>
          <w:color w:val="262626"/>
          <w:u w:color="163291"/>
          <w:rtl w:val="0"/>
          <w:lang w:val="it-IT"/>
        </w:rPr>
        <w:t xml:space="preserve"> per certi versi, divergente rispetto alla maggioranza delle nostre attivit</w:t>
      </w:r>
      <w:r>
        <w:rPr>
          <w:rFonts w:hAnsi="Book Antiqua" w:hint="default"/>
          <w:color w:val="262626"/>
          <w:u w:color="163291"/>
          <w:rtl w:val="0"/>
          <w:lang w:val="it-IT"/>
        </w:rPr>
        <w:t>à</w:t>
      </w:r>
      <w:r>
        <w:rPr>
          <w:rFonts w:ascii="Book Antiqua"/>
          <w:color w:val="262626"/>
          <w:u w:color="163291"/>
          <w:rtl w:val="0"/>
          <w:lang w:val="it-IT"/>
        </w:rPr>
        <w:t xml:space="preserve">. </w:t>
      </w:r>
      <w:r>
        <w:rPr>
          <w:rFonts w:ascii="Book Antiqua" w:cs="Book Antiqua" w:hAnsi="Book Antiqua" w:eastAsia="Book Antiqua"/>
          <w:color w:val="262626"/>
          <w:u w:color="163291"/>
          <w:rtl w:val="0"/>
          <w:lang w:val="it-IT"/>
        </w:rPr>
        <w:br w:type="textWrapping"/>
      </w:r>
      <w:r>
        <w:rPr>
          <w:rFonts w:ascii="Book Antiqua"/>
          <w:color w:val="262626"/>
          <w:u w:color="163291"/>
          <w:rtl w:val="0"/>
          <w:lang w:val="it-IT"/>
        </w:rPr>
        <w:t xml:space="preserve">Per avere un ordine di grandezza, ACEA </w:t>
      </w:r>
      <w:r>
        <w:rPr>
          <w:rFonts w:hAnsi="Book Antiqua" w:hint="default"/>
          <w:color w:val="262626"/>
          <w:u w:color="163291"/>
          <w:rtl w:val="0"/>
          <w:lang w:val="it-IT"/>
        </w:rPr>
        <w:t xml:space="preserve">è </w:t>
      </w:r>
      <w:r>
        <w:rPr>
          <w:rFonts w:ascii="Book Antiqua"/>
          <w:color w:val="262626"/>
          <w:u w:color="163291"/>
          <w:rtl w:val="0"/>
          <w:lang w:val="it-IT"/>
        </w:rPr>
        <w:t>una societ</w:t>
      </w:r>
      <w:r>
        <w:rPr>
          <w:rFonts w:hAnsi="Book Antiqua" w:hint="default"/>
          <w:color w:val="262626"/>
          <w:u w:color="163291"/>
          <w:rtl w:val="0"/>
          <w:lang w:val="it-IT"/>
        </w:rPr>
        <w:t xml:space="preserve">à </w:t>
      </w:r>
      <w:r>
        <w:rPr>
          <w:rFonts w:ascii="Book Antiqua"/>
          <w:color w:val="262626"/>
          <w:u w:color="163291"/>
          <w:rtl w:val="0"/>
          <w:lang w:val="it-IT"/>
        </w:rPr>
        <w:t xml:space="preserve">che gestisce </w:t>
      </w:r>
      <w:r>
        <w:rPr>
          <w:rFonts w:ascii="Book Antiqua"/>
          <w:i w:val="1"/>
          <w:iCs w:val="1"/>
          <w:color w:val="262626"/>
          <w:u w:color="163291"/>
          <w:rtl w:val="0"/>
          <w:lang w:val="it-IT"/>
        </w:rPr>
        <w:t>business</w:t>
      </w:r>
      <w:r>
        <w:rPr>
          <w:rFonts w:ascii="Book Antiqua"/>
          <w:color w:val="262626"/>
          <w:u w:color="163291"/>
          <w:rtl w:val="0"/>
          <w:lang w:val="it-IT"/>
        </w:rPr>
        <w:t xml:space="preserve"> per un valore, grosso modo, di 3,5 miliardi di valore di </w:t>
      </w:r>
      <w:r>
        <w:rPr>
          <w:rFonts w:ascii="Book Antiqua"/>
          <w:i w:val="1"/>
          <w:iCs w:val="1"/>
          <w:color w:val="262626"/>
          <w:u w:color="163291"/>
          <w:rtl w:val="0"/>
          <w:lang w:val="it-IT"/>
        </w:rPr>
        <w:t>asset</w:t>
      </w:r>
      <w:r>
        <w:rPr>
          <w:rFonts w:ascii="Book Antiqua"/>
          <w:color w:val="262626"/>
          <w:u w:color="163291"/>
          <w:rtl w:val="0"/>
          <w:lang w:val="it-IT"/>
        </w:rPr>
        <w:t xml:space="preserve"> regolati con 5.000 dipendenti. Ritengo, quindi, che questa nel lungo periodo continuer</w:t>
      </w:r>
      <w:r>
        <w:rPr>
          <w:rFonts w:hAnsi="Book Antiqua" w:hint="default"/>
          <w:color w:val="262626"/>
          <w:u w:color="163291"/>
          <w:rtl w:val="0"/>
          <w:lang w:val="it-IT"/>
        </w:rPr>
        <w:t xml:space="preserve">à </w:t>
      </w:r>
      <w:r>
        <w:rPr>
          <w:rFonts w:ascii="Book Antiqua"/>
          <w:color w:val="262626"/>
          <w:u w:color="163291"/>
          <w:rtl w:val="0"/>
          <w:lang w:val="it-IT"/>
        </w:rPr>
        <w:t>a essere la strategia del gruppo per ragioni obiettive perch</w:t>
      </w:r>
      <w:r>
        <w:rPr>
          <w:rFonts w:hAnsi="Book Antiqua" w:hint="default"/>
          <w:color w:val="262626"/>
          <w:u w:color="163291"/>
          <w:rtl w:val="0"/>
          <w:lang w:val="it-IT"/>
        </w:rPr>
        <w:t xml:space="preserve">é </w:t>
      </w:r>
      <w:r>
        <w:rPr>
          <w:rFonts w:ascii="Book Antiqua"/>
          <w:color w:val="262626"/>
          <w:u w:color="163291"/>
          <w:rtl w:val="0"/>
          <w:lang w:val="it-IT"/>
        </w:rPr>
        <w:t>c'</w:t>
      </w:r>
      <w:r>
        <w:rPr>
          <w:rFonts w:hAnsi="Book Antiqua" w:hint="default"/>
          <w:color w:val="262626"/>
          <w:u w:color="163291"/>
          <w:rtl w:val="0"/>
          <w:lang w:val="it-IT"/>
        </w:rPr>
        <w:t xml:space="preserve">è </w:t>
      </w:r>
      <w:r>
        <w:rPr>
          <w:rFonts w:ascii="Book Antiqua"/>
          <w:color w:val="262626"/>
          <w:u w:color="163291"/>
          <w:rtl w:val="0"/>
          <w:lang w:val="it-IT"/>
        </w:rPr>
        <w:t xml:space="preserve">sia un tema di </w:t>
      </w:r>
      <w:r>
        <w:rPr>
          <w:rFonts w:ascii="Book Antiqua"/>
          <w:i w:val="1"/>
          <w:iCs w:val="1"/>
          <w:color w:val="262626"/>
          <w:u w:color="163291"/>
          <w:rtl w:val="0"/>
          <w:lang w:val="it-IT"/>
        </w:rPr>
        <w:t>focus,</w:t>
      </w:r>
      <w:r>
        <w:rPr>
          <w:rFonts w:ascii="Book Antiqua"/>
          <w:color w:val="262626"/>
          <w:u w:color="163291"/>
          <w:rtl w:val="0"/>
          <w:lang w:val="it-IT"/>
        </w:rPr>
        <w:t xml:space="preserve"> sia un tema di disponibilit</w:t>
      </w:r>
      <w:r>
        <w:rPr>
          <w:rFonts w:hAnsi="Book Antiqua" w:hint="default"/>
          <w:color w:val="262626"/>
          <w:u w:color="163291"/>
          <w:rtl w:val="0"/>
          <w:lang w:val="it-IT"/>
        </w:rPr>
        <w:t xml:space="preserve">à </w:t>
      </w:r>
      <w:r>
        <w:rPr>
          <w:rFonts w:ascii="Book Antiqua"/>
          <w:color w:val="262626"/>
          <w:u w:color="163291"/>
          <w:rtl w:val="0"/>
          <w:lang w:val="it-IT"/>
        </w:rPr>
        <w:t>di competenze e di saperi, che non si inventano in questi settori, saperi che da un lato abbiamo sviluppato nel trattamento, cos</w:t>
      </w:r>
      <w:r>
        <w:rPr>
          <w:rFonts w:hAnsi="Book Antiqua" w:hint="default"/>
          <w:color w:val="262626"/>
          <w:u w:color="163291"/>
          <w:rtl w:val="0"/>
          <w:lang w:val="it-IT"/>
        </w:rPr>
        <w:t xml:space="preserve">ì </w:t>
      </w:r>
      <w:r>
        <w:rPr>
          <w:rFonts w:ascii="Book Antiqua"/>
          <w:color w:val="262626"/>
          <w:u w:color="163291"/>
          <w:rtl w:val="0"/>
          <w:lang w:val="it-IT"/>
        </w:rPr>
        <w:t xml:space="preserve">da avere un </w:t>
      </w:r>
      <w:r>
        <w:rPr>
          <w:rFonts w:ascii="Book Antiqua"/>
          <w:i w:val="1"/>
          <w:iCs w:val="1"/>
          <w:color w:val="262626"/>
          <w:u w:color="163291"/>
          <w:rtl w:val="0"/>
          <w:lang w:val="it-IT"/>
        </w:rPr>
        <w:t>track record</w:t>
      </w:r>
      <w:r>
        <w:rPr>
          <w:rFonts w:ascii="Book Antiqua"/>
          <w:color w:val="262626"/>
          <w:u w:color="163291"/>
          <w:rtl w:val="0"/>
          <w:lang w:val="it-IT"/>
        </w:rPr>
        <w:t xml:space="preserve"> di esperienza, ma che in altri segmenti del ciclo non abbiamo e per questa ragione non credo sia ragionevole inventare in pochi mesi</w:t>
      </w:r>
      <w:r>
        <w:rPr>
          <w:rFonts w:hAnsi="Book Antiqua" w:hint="default"/>
          <w:color w:val="262626"/>
          <w:u w:color="163291"/>
          <w:rtl w:val="0"/>
          <w:lang w:val="it-IT"/>
        </w:rPr>
        <w:t>”</w:t>
      </w:r>
      <w:r>
        <w:rPr>
          <w:rFonts w:ascii="Book Antiqua"/>
          <w:color w:val="262626"/>
          <w:u w:color="163291"/>
          <w:rtl w:val="0"/>
          <w:lang w:val="it-IT"/>
        </w:rPr>
        <w:t>.</w:t>
      </w:r>
    </w:p>
    <w:p>
      <w:pPr>
        <w:pStyle w:val="Normal"/>
        <w:widowControl w:val="0"/>
        <w:ind w:left="567" w:right="567" w:firstLine="0"/>
        <w:jc w:val="both"/>
        <w:rPr>
          <w:rFonts w:ascii="Book Antiqua" w:cs="Book Antiqua" w:hAnsi="Book Antiqua" w:eastAsia="Book Antiqua"/>
          <w:color w:val="262626"/>
          <w:u w:color="163291"/>
        </w:rPr>
      </w:pPr>
      <w:r>
        <w:rPr>
          <w:rFonts w:ascii="Book Antiqua"/>
          <w:color w:val="262626"/>
          <w:u w:color="163291"/>
          <w:rtl w:val="0"/>
          <w:lang w:val="it-IT"/>
        </w:rPr>
        <w:t xml:space="preserve">Si tratta di affermazioni nette e chiare, non smentite dalle acquisizioni istruttorie successive, che indicano in ACEA un </w:t>
      </w:r>
      <w:r>
        <w:rPr>
          <w:rFonts w:ascii="Book Antiqua"/>
          <w:i w:val="1"/>
          <w:iCs w:val="1"/>
          <w:color w:val="262626"/>
          <w:u w:color="163291"/>
          <w:rtl w:val="0"/>
          <w:lang w:val="it-IT"/>
        </w:rPr>
        <w:t>player</w:t>
      </w:r>
      <w:r>
        <w:rPr>
          <w:rFonts w:ascii="Book Antiqua"/>
          <w:color w:val="262626"/>
          <w:u w:color="163291"/>
          <w:rtl w:val="0"/>
          <w:lang w:val="it-IT"/>
        </w:rPr>
        <w:t xml:space="preserve"> intenzionato ad avere un ruolo attivo nella gestione dei rifiuti di Roma e del Lazio, per la sola parte impiantistica che pu</w:t>
      </w:r>
      <w:r>
        <w:rPr>
          <w:rFonts w:hAnsi="Book Antiqua" w:hint="default"/>
          <w:color w:val="262626"/>
          <w:u w:color="163291"/>
          <w:rtl w:val="0"/>
          <w:lang w:val="it-IT"/>
        </w:rPr>
        <w:t xml:space="preserve">ò </w:t>
      </w:r>
      <w:r>
        <w:rPr>
          <w:rFonts w:ascii="Book Antiqua"/>
          <w:color w:val="262626"/>
          <w:u w:color="163291"/>
          <w:rtl w:val="0"/>
          <w:lang w:val="it-IT"/>
        </w:rPr>
        <w:t>garantire utili agli azionisti privati</w:t>
      </w:r>
      <w:r>
        <w:rPr>
          <w:rFonts w:ascii="Book Antiqua" w:cs="Book Antiqua" w:hAnsi="Book Antiqua" w:eastAsia="Book Antiqua"/>
          <w:color w:val="262626"/>
          <w:u w:color="163291"/>
          <w:vertAlign w:val="superscript"/>
          <w:rtl w:val="0"/>
        </w:rPr>
        <w:footnoteReference w:id="159"/>
      </w:r>
      <w:r>
        <w:rPr>
          <w:rFonts w:ascii="Book Antiqua"/>
          <w:color w:val="262626"/>
          <w:u w:color="163291"/>
          <w:rtl w:val="0"/>
          <w:lang w:val="it-IT"/>
        </w:rPr>
        <w:t xml:space="preserve"> e pubblico, e la cui debolezza, nota a management e azionisti di ACEA, pu</w:t>
      </w:r>
      <w:r>
        <w:rPr>
          <w:rFonts w:hAnsi="Book Antiqua" w:hint="default"/>
          <w:color w:val="262626"/>
          <w:u w:color="163291"/>
          <w:rtl w:val="0"/>
          <w:lang w:val="it-IT"/>
        </w:rPr>
        <w:t xml:space="preserve">ò </w:t>
      </w:r>
      <w:r>
        <w:rPr>
          <w:rFonts w:ascii="Book Antiqua"/>
          <w:color w:val="262626"/>
          <w:u w:color="163291"/>
          <w:rtl w:val="0"/>
          <w:lang w:val="it-IT"/>
        </w:rPr>
        <w:t>favorire l</w:t>
      </w:r>
      <w:r>
        <w:rPr>
          <w:rFonts w:hAnsi="Book Antiqua" w:hint="default"/>
          <w:color w:val="262626"/>
          <w:u w:color="163291"/>
          <w:rtl w:val="0"/>
          <w:lang w:val="it-IT"/>
        </w:rPr>
        <w:t>’</w:t>
      </w:r>
      <w:r>
        <w:rPr>
          <w:rFonts w:ascii="Book Antiqua"/>
          <w:color w:val="262626"/>
          <w:u w:color="163291"/>
          <w:rtl w:val="0"/>
          <w:lang w:val="it-IT"/>
        </w:rPr>
        <w:t xml:space="preserve">acquisizione di </w:t>
      </w:r>
      <w:r>
        <w:rPr>
          <w:rFonts w:ascii="Book Antiqua"/>
          <w:i w:val="1"/>
          <w:iCs w:val="1"/>
          <w:color w:val="262626"/>
          <w:u w:color="163291"/>
          <w:rtl w:val="0"/>
          <w:lang w:val="it-IT"/>
        </w:rPr>
        <w:t>business</w:t>
      </w:r>
      <w:r>
        <w:rPr>
          <w:rFonts w:ascii="Book Antiqua"/>
          <w:color w:val="262626"/>
          <w:u w:color="163291"/>
          <w:rtl w:val="0"/>
          <w:lang w:val="it-IT"/>
        </w:rPr>
        <w:t>; ed infatti:</w:t>
      </w:r>
    </w:p>
    <w:p>
      <w:pPr>
        <w:pStyle w:val="Normal"/>
        <w:widowControl w:val="0"/>
        <w:ind w:left="567" w:right="567" w:firstLine="0"/>
        <w:jc w:val="both"/>
        <w:rPr>
          <w:rFonts w:ascii="Book Antiqua" w:cs="Book Antiqua" w:hAnsi="Book Antiqua" w:eastAsia="Book Antiqua"/>
          <w:color w:val="262626"/>
          <w:u w:color="163291"/>
        </w:rPr>
      </w:pPr>
      <w:r>
        <w:rPr>
          <w:rFonts w:hAnsi="Book Antiqua" w:hint="default"/>
          <w:color w:val="262626"/>
          <w:u w:color="163291"/>
          <w:rtl w:val="0"/>
          <w:lang w:val="it-IT"/>
        </w:rPr>
        <w:t>“</w:t>
      </w:r>
      <w:r>
        <w:rPr>
          <w:rFonts w:ascii="Book Antiqua"/>
          <w:color w:val="262626"/>
          <w:u w:color="163291"/>
          <w:rtl w:val="0"/>
          <w:lang w:val="it-IT"/>
        </w:rPr>
        <w:t xml:space="preserve">In questo solco, la strategia del gruppo </w:t>
      </w:r>
      <w:r>
        <w:rPr>
          <w:rFonts w:hAnsi="Book Antiqua" w:hint="default"/>
          <w:color w:val="262626"/>
          <w:u w:color="163291"/>
          <w:rtl w:val="0"/>
          <w:lang w:val="it-IT"/>
        </w:rPr>
        <w:t>è</w:t>
      </w:r>
      <w:r>
        <w:rPr>
          <w:rFonts w:ascii="Book Antiqua"/>
          <w:color w:val="262626"/>
          <w:u w:color="163291"/>
          <w:rtl w:val="0"/>
          <w:lang w:val="it-IT"/>
        </w:rPr>
        <w:t>, ovviamente, quella di crescere nelle aree di riferimento, assecondando anche le esigenze, che noi consideriamo come un'opportunit</w:t>
      </w:r>
      <w:r>
        <w:rPr>
          <w:rFonts w:hAnsi="Book Antiqua" w:hint="default"/>
          <w:color w:val="262626"/>
          <w:u w:color="163291"/>
          <w:rtl w:val="0"/>
          <w:lang w:val="it-IT"/>
        </w:rPr>
        <w:t xml:space="preserve">à </w:t>
      </w:r>
      <w:r>
        <w:rPr>
          <w:rFonts w:ascii="Book Antiqua"/>
          <w:color w:val="262626"/>
          <w:u w:color="163291"/>
          <w:rtl w:val="0"/>
          <w:lang w:val="it-IT"/>
        </w:rPr>
        <w:t>di crescita e di creazione di valore. Riteniamo che nel Lazio, in Umbria e in Toscana ci siano spazi, che corrispondono al fabbisogno e al deficit impiantistico, quest'ultimo, d'altra parte, ampiamente noto in tutte le pianificazioni regionali. Concorriamo, quindi, a realizzare questa componente impiantistica. Abbiamo allocato nei nostri piani strategici una consistente disponibilit</w:t>
      </w:r>
      <w:r>
        <w:rPr>
          <w:rFonts w:hAnsi="Book Antiqua" w:hint="default"/>
          <w:color w:val="262626"/>
          <w:u w:color="163291"/>
          <w:rtl w:val="0"/>
          <w:lang w:val="it-IT"/>
        </w:rPr>
        <w:t>à</w:t>
      </w:r>
      <w:r>
        <w:rPr>
          <w:rFonts w:ascii="Book Antiqua"/>
          <w:color w:val="262626"/>
          <w:u w:color="163291"/>
          <w:rtl w:val="0"/>
          <w:lang w:val="it-IT"/>
        </w:rPr>
        <w:t>. Allo stato, da qui al 2020, abbiamo ipotizzato di investire circa 250 milioni di euro ulteriori rispetto agli investimenti che abbiamo gi</w:t>
      </w:r>
      <w:r>
        <w:rPr>
          <w:rFonts w:hAnsi="Book Antiqua" w:hint="default"/>
          <w:color w:val="262626"/>
          <w:u w:color="163291"/>
          <w:rtl w:val="0"/>
          <w:lang w:val="it-IT"/>
        </w:rPr>
        <w:t xml:space="preserve">à </w:t>
      </w:r>
      <w:r>
        <w:rPr>
          <w:rFonts w:ascii="Book Antiqua"/>
          <w:color w:val="262626"/>
          <w:u w:color="163291"/>
          <w:rtl w:val="0"/>
          <w:lang w:val="it-IT"/>
        </w:rPr>
        <w:t>realizzato, che concentreremo prevalentemente nelle filiere di trattamento, in particolare nel trattamento dell'organico. In parte questi investimenti sono gi</w:t>
      </w:r>
      <w:r>
        <w:rPr>
          <w:rFonts w:hAnsi="Book Antiqua" w:hint="default"/>
          <w:color w:val="262626"/>
          <w:u w:color="163291"/>
          <w:rtl w:val="0"/>
          <w:lang w:val="it-IT"/>
        </w:rPr>
        <w:t xml:space="preserve">à </w:t>
      </w:r>
      <w:r>
        <w:rPr>
          <w:rFonts w:ascii="Book Antiqua"/>
          <w:color w:val="262626"/>
          <w:u w:color="163291"/>
          <w:rtl w:val="0"/>
          <w:lang w:val="it-IT"/>
        </w:rPr>
        <w:t>allocati, come dicevo, su ampliamenti di impianti esistenti; in parte siamo disponibili a valutare le opportunit</w:t>
      </w:r>
      <w:r>
        <w:rPr>
          <w:rFonts w:hAnsi="Book Antiqua" w:hint="default"/>
          <w:color w:val="262626"/>
          <w:u w:color="163291"/>
          <w:rtl w:val="0"/>
          <w:lang w:val="it-IT"/>
        </w:rPr>
        <w:t xml:space="preserve">à </w:t>
      </w:r>
      <w:r>
        <w:rPr>
          <w:rFonts w:ascii="Book Antiqua"/>
          <w:color w:val="262626"/>
          <w:u w:color="163291"/>
          <w:rtl w:val="0"/>
          <w:lang w:val="it-IT"/>
        </w:rPr>
        <w:t xml:space="preserve">che dovessero presentarsi nel mercato di acquisire ulteriori impianti. Ovviamente, stiamo guardando anche altre ipotesi e ci muoveremo in questo modo. In questo quadro si inserisce l'ipotesi, a cui qui </w:t>
      </w:r>
      <w:r>
        <w:rPr>
          <w:rFonts w:hAnsi="Book Antiqua" w:hint="default"/>
          <w:color w:val="262626"/>
          <w:u w:color="163291"/>
          <w:rtl w:val="0"/>
          <w:lang w:val="it-IT"/>
        </w:rPr>
        <w:t xml:space="preserve">è </w:t>
      </w:r>
      <w:r>
        <w:rPr>
          <w:rFonts w:ascii="Book Antiqua"/>
          <w:color w:val="262626"/>
          <w:u w:color="163291"/>
          <w:rtl w:val="0"/>
          <w:lang w:val="it-IT"/>
        </w:rPr>
        <w:t>stato fatto cenno, di acquisizione degli impianti attualmente detenuti, attraverso Lazio Ambiente e altre societ</w:t>
      </w:r>
      <w:r>
        <w:rPr>
          <w:rFonts w:hAnsi="Book Antiqua" w:hint="default"/>
          <w:color w:val="262626"/>
          <w:u w:color="163291"/>
          <w:rtl w:val="0"/>
          <w:lang w:val="it-IT"/>
        </w:rPr>
        <w:t xml:space="preserve">à </w:t>
      </w:r>
      <w:r>
        <w:rPr>
          <w:rFonts w:ascii="Book Antiqua"/>
          <w:color w:val="262626"/>
          <w:u w:color="163291"/>
          <w:rtl w:val="0"/>
          <w:lang w:val="it-IT"/>
        </w:rPr>
        <w:t>dalla regione Lazio. Ci</w:t>
      </w:r>
      <w:r>
        <w:rPr>
          <w:rFonts w:hAnsi="Book Antiqua" w:hint="default"/>
          <w:color w:val="262626"/>
          <w:u w:color="163291"/>
          <w:rtl w:val="0"/>
          <w:lang w:val="it-IT"/>
        </w:rPr>
        <w:t xml:space="preserve">ò </w:t>
      </w:r>
      <w:r>
        <w:rPr>
          <w:rFonts w:ascii="Book Antiqua"/>
          <w:color w:val="262626"/>
          <w:u w:color="163291"/>
          <w:rtl w:val="0"/>
          <w:lang w:val="it-IT"/>
        </w:rPr>
        <w:t>dipende da una ragione di ottimizzazione. Quegli impianti sono stati realizzati dallo stesso costruttore e sono della stessa tecnologia degli impianti che noi abbiamo a San Vittore e a Terni; impianti che abbiamo gi</w:t>
      </w:r>
      <w:r>
        <w:rPr>
          <w:rFonts w:hAnsi="Book Antiqua" w:hint="default"/>
          <w:color w:val="262626"/>
          <w:u w:color="163291"/>
          <w:rtl w:val="0"/>
          <w:lang w:val="it-IT"/>
        </w:rPr>
        <w:t xml:space="preserve">à </w:t>
      </w:r>
      <w:r>
        <w:rPr>
          <w:rFonts w:ascii="Book Antiqua"/>
          <w:color w:val="262626"/>
          <w:u w:color="163291"/>
          <w:rtl w:val="0"/>
          <w:lang w:val="it-IT"/>
        </w:rPr>
        <w:t xml:space="preserve">ristrutturato nel corso degli ultimi dieci anni, a nostro avviso con successo. Sono impianti che, come dicevo, sono stati resi moderni ed efficienti e dove si conseguono </w:t>
      </w:r>
      <w:r>
        <w:rPr>
          <w:rFonts w:ascii="Book Antiqua"/>
          <w:i w:val="1"/>
          <w:iCs w:val="1"/>
          <w:color w:val="262626"/>
          <w:u w:color="163291"/>
          <w:rtl w:val="0"/>
          <w:lang w:val="it-IT"/>
        </w:rPr>
        <w:t>performance</w:t>
      </w:r>
      <w:r>
        <w:rPr>
          <w:rFonts w:ascii="Book Antiqua"/>
          <w:color w:val="262626"/>
          <w:u w:color="163291"/>
          <w:rtl w:val="0"/>
          <w:lang w:val="it-IT"/>
        </w:rPr>
        <w:t xml:space="preserve"> e gestionali e di contenimento delle emissioni assolutamente di eccellenza. Proprio perch</w:t>
      </w:r>
      <w:r>
        <w:rPr>
          <w:rFonts w:hAnsi="Book Antiqua" w:hint="default"/>
          <w:color w:val="262626"/>
          <w:u w:color="163291"/>
          <w:rtl w:val="0"/>
          <w:lang w:val="it-IT"/>
        </w:rPr>
        <w:t xml:space="preserve">é </w:t>
      </w:r>
      <w:r>
        <w:rPr>
          <w:rFonts w:ascii="Book Antiqua"/>
          <w:color w:val="262626"/>
          <w:u w:color="163291"/>
          <w:rtl w:val="0"/>
          <w:lang w:val="it-IT"/>
        </w:rPr>
        <w:t>si tratta della medesima tecnologia, in quanto gli impianti di Colleferro furono realizzati dallo stesso costruttore sulla base della stessa identica tecnologia di quelli di San Vittore e Terni, avevamo manifestato alla regione Lazio il nostro interesse a utilizzare questa esperienza per ristrutturarli, riammodernarli e renderli efficienti. Se non ricordo male, questi impianti oggi sono nella fase finale del loro ciclo di vita e, pertanto, al contrario di quelli che gestiamo noi o altri operatori, garantiscono una capacit</w:t>
      </w:r>
      <w:r>
        <w:rPr>
          <w:rFonts w:hAnsi="Book Antiqua" w:hint="default"/>
          <w:color w:val="262626"/>
          <w:u w:color="163291"/>
          <w:rtl w:val="0"/>
          <w:lang w:val="it-IT"/>
        </w:rPr>
        <w:t xml:space="preserve">à </w:t>
      </w:r>
      <w:r>
        <w:rPr>
          <w:rFonts w:ascii="Book Antiqua"/>
          <w:color w:val="262626"/>
          <w:u w:color="163291"/>
          <w:rtl w:val="0"/>
          <w:lang w:val="it-IT"/>
        </w:rPr>
        <w:t xml:space="preserve">di trattamento che, per quanto ne so io, non supera il 50 per cento dei volumi autorizzati. Questa intenzione resta, nel senso che, se la regione dovesse procedere a una dismissione di questi impianti </w:t>
      </w:r>
      <w:r>
        <w:rPr>
          <w:rFonts w:hAnsi="Book Antiqua" w:hint="default"/>
          <w:color w:val="262626"/>
          <w:u w:color="163291"/>
          <w:rtl w:val="0"/>
          <w:lang w:val="it-IT"/>
        </w:rPr>
        <w:t xml:space="preserve">– </w:t>
      </w:r>
      <w:r>
        <w:rPr>
          <w:rFonts w:ascii="Book Antiqua"/>
          <w:color w:val="262626"/>
          <w:u w:color="163291"/>
          <w:rtl w:val="0"/>
          <w:lang w:val="it-IT"/>
        </w:rPr>
        <w:t>mi risulta che la regione Lazio sia orientata in questo senso e voglio credere che, naturalmente, si muover</w:t>
      </w:r>
      <w:r>
        <w:rPr>
          <w:rFonts w:hAnsi="Book Antiqua" w:hint="default"/>
          <w:color w:val="262626"/>
          <w:u w:color="163291"/>
          <w:rtl w:val="0"/>
          <w:lang w:val="it-IT"/>
        </w:rPr>
        <w:t xml:space="preserve">à </w:t>
      </w:r>
      <w:r>
        <w:rPr>
          <w:rFonts w:ascii="Book Antiqua"/>
          <w:color w:val="262626"/>
          <w:u w:color="163291"/>
          <w:rtl w:val="0"/>
          <w:lang w:val="it-IT"/>
        </w:rPr>
        <w:t xml:space="preserve">con una procedura di evidenza pubblica </w:t>
      </w:r>
      <w:r>
        <w:rPr>
          <w:rFonts w:hAnsi="Book Antiqua" w:hint="default"/>
          <w:color w:val="262626"/>
          <w:u w:color="163291"/>
          <w:rtl w:val="0"/>
          <w:lang w:val="it-IT"/>
        </w:rPr>
        <w:t xml:space="preserve">– </w:t>
      </w:r>
      <w:r>
        <w:rPr>
          <w:rFonts w:ascii="Book Antiqua"/>
          <w:color w:val="262626"/>
          <w:u w:color="163291"/>
          <w:rtl w:val="0"/>
          <w:lang w:val="it-IT"/>
        </w:rPr>
        <w:t>noi valuteremo l'opportunit</w:t>
      </w:r>
      <w:r>
        <w:rPr>
          <w:rFonts w:hAnsi="Book Antiqua" w:hint="default"/>
          <w:color w:val="262626"/>
          <w:u w:color="163291"/>
          <w:rtl w:val="0"/>
          <w:lang w:val="it-IT"/>
        </w:rPr>
        <w:t xml:space="preserve">à </w:t>
      </w:r>
      <w:r>
        <w:rPr>
          <w:rFonts w:ascii="Book Antiqua"/>
          <w:color w:val="262626"/>
          <w:u w:color="163291"/>
          <w:rtl w:val="0"/>
          <w:lang w:val="it-IT"/>
        </w:rPr>
        <w:t>di partecipare a questa gara. Dico subito che questa opportunit</w:t>
      </w:r>
      <w:r>
        <w:rPr>
          <w:rFonts w:hAnsi="Book Antiqua" w:hint="default"/>
          <w:color w:val="262626"/>
          <w:u w:color="163291"/>
          <w:rtl w:val="0"/>
          <w:lang w:val="it-IT"/>
        </w:rPr>
        <w:t xml:space="preserve">à </w:t>
      </w:r>
      <w:r>
        <w:rPr>
          <w:rFonts w:ascii="Book Antiqua"/>
          <w:color w:val="262626"/>
          <w:u w:color="163291"/>
          <w:rtl w:val="0"/>
          <w:lang w:val="it-IT"/>
        </w:rPr>
        <w:t>sar</w:t>
      </w:r>
      <w:r>
        <w:rPr>
          <w:rFonts w:hAnsi="Book Antiqua" w:hint="default"/>
          <w:color w:val="262626"/>
          <w:u w:color="163291"/>
          <w:rtl w:val="0"/>
          <w:lang w:val="it-IT"/>
        </w:rPr>
        <w:t xml:space="preserve">à </w:t>
      </w:r>
      <w:r>
        <w:rPr>
          <w:rFonts w:ascii="Book Antiqua"/>
          <w:color w:val="262626"/>
          <w:u w:color="163291"/>
          <w:rtl w:val="0"/>
          <w:lang w:val="it-IT"/>
        </w:rPr>
        <w:t>ovviamente coerente con le strategie che ho cercato di indicare. In altri termini, se la regione Lazio dovesse porre a gara un perimetro di attivit</w:t>
      </w:r>
      <w:r>
        <w:rPr>
          <w:rFonts w:hAnsi="Book Antiqua" w:hint="default"/>
          <w:color w:val="262626"/>
          <w:u w:color="163291"/>
          <w:rtl w:val="0"/>
          <w:lang w:val="it-IT"/>
        </w:rPr>
        <w:t xml:space="preserve">à </w:t>
      </w:r>
      <w:r>
        <w:rPr>
          <w:rFonts w:ascii="Book Antiqua"/>
          <w:color w:val="262626"/>
          <w:u w:color="163291"/>
          <w:rtl w:val="0"/>
          <w:lang w:val="it-IT"/>
        </w:rPr>
        <w:t xml:space="preserve">coerente con questa strategia, ovvero solo gli </w:t>
      </w:r>
      <w:r>
        <w:rPr>
          <w:rFonts w:ascii="Book Antiqua"/>
          <w:i w:val="1"/>
          <w:iCs w:val="1"/>
          <w:color w:val="262626"/>
          <w:u w:color="163291"/>
          <w:rtl w:val="0"/>
          <w:lang w:val="it-IT"/>
        </w:rPr>
        <w:t>asset</w:t>
      </w:r>
      <w:r>
        <w:rPr>
          <w:rFonts w:ascii="Book Antiqua"/>
          <w:color w:val="262626"/>
          <w:u w:color="163291"/>
          <w:rtl w:val="0"/>
          <w:lang w:val="it-IT"/>
        </w:rPr>
        <w:t xml:space="preserve"> relativi al trattamento, noi valuteremo e faremo le nostre considerazioni in coerenza con le strategie che ho indicato. Viceversa, se la regione dovesse ritenere, come qualcuno ha prospettato recentemente, di vendere un perimetro di attivit</w:t>
      </w:r>
      <w:r>
        <w:rPr>
          <w:rFonts w:hAnsi="Book Antiqua" w:hint="default"/>
          <w:color w:val="262626"/>
          <w:u w:color="163291"/>
          <w:rtl w:val="0"/>
          <w:lang w:val="it-IT"/>
        </w:rPr>
        <w:t xml:space="preserve">à </w:t>
      </w:r>
      <w:r>
        <w:rPr>
          <w:rFonts w:ascii="Book Antiqua"/>
          <w:color w:val="262626"/>
          <w:u w:color="163291"/>
          <w:rtl w:val="0"/>
          <w:lang w:val="it-IT"/>
        </w:rPr>
        <w:t>che comprende anche l'attivit</w:t>
      </w:r>
      <w:r>
        <w:rPr>
          <w:rFonts w:hAnsi="Book Antiqua" w:hint="default"/>
          <w:color w:val="262626"/>
          <w:u w:color="163291"/>
          <w:rtl w:val="0"/>
          <w:lang w:val="it-IT"/>
        </w:rPr>
        <w:t xml:space="preserve">à </w:t>
      </w:r>
      <w:r>
        <w:rPr>
          <w:rFonts w:ascii="Book Antiqua"/>
          <w:color w:val="262626"/>
          <w:u w:color="163291"/>
          <w:rtl w:val="0"/>
          <w:lang w:val="it-IT"/>
        </w:rPr>
        <w:t xml:space="preserve">di raccolta e spazzamento, che rientra nel perimetro della ex Gaia, che fu acquisita ed </w:t>
      </w:r>
      <w:r>
        <w:rPr>
          <w:rFonts w:hAnsi="Book Antiqua" w:hint="default"/>
          <w:color w:val="262626"/>
          <w:u w:color="163291"/>
          <w:rtl w:val="0"/>
          <w:lang w:val="it-IT"/>
        </w:rPr>
        <w:t xml:space="preserve">è </w:t>
      </w:r>
      <w:r>
        <w:rPr>
          <w:rFonts w:ascii="Book Antiqua"/>
          <w:color w:val="262626"/>
          <w:u w:color="163291"/>
          <w:rtl w:val="0"/>
          <w:lang w:val="it-IT"/>
        </w:rPr>
        <w:t>oggi divenuta Lazio Ambiente, questo per noi costituirebbe con tutta probabilit</w:t>
      </w:r>
      <w:r>
        <w:rPr>
          <w:rFonts w:hAnsi="Book Antiqua" w:hint="default"/>
          <w:color w:val="262626"/>
          <w:u w:color="163291"/>
          <w:rtl w:val="0"/>
          <w:lang w:val="it-IT"/>
        </w:rPr>
        <w:t xml:space="preserve">à </w:t>
      </w:r>
      <w:r>
        <w:rPr>
          <w:rFonts w:ascii="Book Antiqua"/>
          <w:color w:val="262626"/>
          <w:u w:color="163291"/>
          <w:rtl w:val="0"/>
          <w:lang w:val="it-IT"/>
        </w:rPr>
        <w:t>un impedimento perch</w:t>
      </w:r>
      <w:r>
        <w:rPr>
          <w:rFonts w:hAnsi="Book Antiqua" w:hint="default"/>
          <w:color w:val="262626"/>
          <w:u w:color="163291"/>
          <w:rtl w:val="0"/>
          <w:lang w:val="it-IT"/>
        </w:rPr>
        <w:t xml:space="preserve">é </w:t>
      </w:r>
      <w:r>
        <w:rPr>
          <w:rFonts w:ascii="Book Antiqua"/>
          <w:color w:val="262626"/>
          <w:u w:color="163291"/>
          <w:rtl w:val="0"/>
          <w:lang w:val="it-IT"/>
        </w:rPr>
        <w:t>non riteniamo di avere la competenza per gestire la parte di raccolta e spazzamento. Tuttavia allo stato queste sono solo intenzioni perch</w:t>
      </w:r>
      <w:r>
        <w:rPr>
          <w:rFonts w:hAnsi="Book Antiqua" w:hint="default"/>
          <w:color w:val="262626"/>
          <w:u w:color="163291"/>
          <w:rtl w:val="0"/>
          <w:lang w:val="it-IT"/>
        </w:rPr>
        <w:t xml:space="preserve">é </w:t>
      </w:r>
      <w:r>
        <w:rPr>
          <w:rFonts w:ascii="Book Antiqua"/>
          <w:color w:val="262626"/>
          <w:u w:color="163291"/>
          <w:rtl w:val="0"/>
          <w:lang w:val="it-IT"/>
        </w:rPr>
        <w:t>molto dipender</w:t>
      </w:r>
      <w:r>
        <w:rPr>
          <w:rFonts w:hAnsi="Book Antiqua" w:hint="default"/>
          <w:color w:val="262626"/>
          <w:u w:color="163291"/>
          <w:rtl w:val="0"/>
          <w:lang w:val="it-IT"/>
        </w:rPr>
        <w:t xml:space="preserve">à </w:t>
      </w:r>
      <w:r>
        <w:rPr>
          <w:rFonts w:ascii="Book Antiqua"/>
          <w:color w:val="262626"/>
          <w:u w:color="163291"/>
          <w:rtl w:val="0"/>
          <w:lang w:val="it-IT"/>
        </w:rPr>
        <w:t>da come e quando la regione Lazio proceder</w:t>
      </w:r>
      <w:r>
        <w:rPr>
          <w:rFonts w:hAnsi="Book Antiqua" w:hint="default"/>
          <w:color w:val="262626"/>
          <w:u w:color="163291"/>
          <w:rtl w:val="0"/>
          <w:lang w:val="it-IT"/>
        </w:rPr>
        <w:t xml:space="preserve">à </w:t>
      </w:r>
      <w:r>
        <w:rPr>
          <w:rFonts w:ascii="Book Antiqua"/>
          <w:color w:val="262626"/>
          <w:u w:color="163291"/>
          <w:rtl w:val="0"/>
          <w:lang w:val="it-IT"/>
        </w:rPr>
        <w:t>a questa cessione</w:t>
      </w:r>
      <w:r>
        <w:rPr>
          <w:rFonts w:hAnsi="Book Antiqua" w:hint="default"/>
          <w:color w:val="262626"/>
          <w:u w:color="163291"/>
          <w:rtl w:val="0"/>
          <w:lang w:val="it-IT"/>
        </w:rPr>
        <w:t>”</w:t>
      </w:r>
      <w:r>
        <w:rPr>
          <w:rFonts w:ascii="Book Antiqua"/>
          <w:color w:val="262626"/>
          <w:u w:color="163291"/>
          <w:rtl w:val="0"/>
          <w:lang w:val="it-IT"/>
        </w:rPr>
        <w:t>.</w:t>
      </w:r>
    </w:p>
    <w:p>
      <w:pPr>
        <w:pStyle w:val="Normal"/>
        <w:widowControl w:val="0"/>
        <w:ind w:left="567" w:right="567" w:firstLine="0"/>
        <w:jc w:val="both"/>
        <w:rPr>
          <w:rFonts w:ascii="Book Antiqua" w:cs="Book Antiqua" w:hAnsi="Book Antiqua" w:eastAsia="Book Antiqua"/>
          <w:color w:val="262626"/>
          <w:u w:color="163291"/>
        </w:rPr>
      </w:pPr>
      <w:r>
        <w:rPr>
          <w:rFonts w:ascii="Book Antiqua"/>
          <w:color w:val="262626"/>
          <w:u w:color="163291"/>
          <w:rtl w:val="0"/>
          <w:lang w:val="it-IT"/>
        </w:rPr>
        <w:t xml:space="preserve">Il focus </w:t>
      </w:r>
      <w:r>
        <w:rPr>
          <w:rFonts w:hAnsi="Book Antiqua" w:hint="default"/>
          <w:color w:val="262626"/>
          <w:u w:color="163291"/>
          <w:rtl w:val="0"/>
          <w:lang w:val="it-IT"/>
        </w:rPr>
        <w:t xml:space="preserve">è </w:t>
      </w:r>
      <w:r>
        <w:rPr>
          <w:rFonts w:ascii="Book Antiqua"/>
          <w:color w:val="262626"/>
          <w:u w:color="163291"/>
          <w:rtl w:val="0"/>
          <w:lang w:val="it-IT"/>
        </w:rPr>
        <w:t>peraltro sempre su Roma Capitale, e sull</w:t>
      </w:r>
      <w:r>
        <w:rPr>
          <w:rFonts w:hAnsi="Book Antiqua" w:hint="default"/>
          <w:color w:val="262626"/>
          <w:u w:color="163291"/>
          <w:rtl w:val="0"/>
          <w:lang w:val="it-IT"/>
        </w:rPr>
        <w:t>’</w:t>
      </w:r>
      <w:r>
        <w:rPr>
          <w:rFonts w:ascii="Book Antiqua"/>
          <w:color w:val="262626"/>
          <w:u w:color="163291"/>
          <w:rtl w:val="0"/>
          <w:lang w:val="it-IT"/>
        </w:rPr>
        <w:t>attesa della definizione di indirizzi e strategie concrete, da parte della sua amministrazione: la situazione definita dai vertici di ACEA nel corso dell</w:t>
      </w:r>
      <w:r>
        <w:rPr>
          <w:rFonts w:hAnsi="Book Antiqua" w:hint="default"/>
          <w:color w:val="262626"/>
          <w:u w:color="163291"/>
          <w:rtl w:val="0"/>
          <w:lang w:val="it-IT"/>
        </w:rPr>
        <w:t>’</w:t>
      </w:r>
      <w:r>
        <w:rPr>
          <w:rFonts w:ascii="Book Antiqua"/>
          <w:color w:val="262626"/>
          <w:u w:color="163291"/>
          <w:rtl w:val="0"/>
          <w:lang w:val="it-IT"/>
        </w:rPr>
        <w:t xml:space="preserve">audizione non sembra nel frattempo mutata, in mancanza di indirizzi concreti di breve periodo e di immediato avvio, e dunque si deve ritenere che la spinta rimanga attiva nei medesimi termini: </w:t>
      </w:r>
      <w:r>
        <w:rPr>
          <w:rFonts w:hAnsi="Book Antiqua" w:hint="default"/>
          <w:color w:val="262626"/>
          <w:u w:color="163291"/>
          <w:rtl w:val="0"/>
          <w:lang w:val="it-IT"/>
        </w:rPr>
        <w:t>“</w:t>
      </w:r>
      <w:r>
        <w:rPr>
          <w:rFonts w:ascii="Book Antiqua"/>
          <w:color w:val="262626"/>
          <w:u w:color="163291"/>
          <w:rtl w:val="0"/>
          <w:lang w:val="it-IT"/>
        </w:rPr>
        <w:t xml:space="preserve">il nostro approccio </w:t>
      </w:r>
      <w:r>
        <w:rPr>
          <w:rFonts w:hAnsi="Book Antiqua" w:hint="default"/>
          <w:color w:val="262626"/>
          <w:u w:color="163291"/>
          <w:rtl w:val="0"/>
          <w:lang w:val="it-IT"/>
        </w:rPr>
        <w:t xml:space="preserve">è </w:t>
      </w:r>
      <w:r>
        <w:rPr>
          <w:rFonts w:ascii="Book Antiqua"/>
          <w:color w:val="262626"/>
          <w:u w:color="163291"/>
          <w:rtl w:val="0"/>
          <w:lang w:val="it-IT"/>
        </w:rPr>
        <w:t>quello di specializzare le funzioni delle realt</w:t>
      </w:r>
      <w:r>
        <w:rPr>
          <w:rFonts w:hAnsi="Book Antiqua" w:hint="default"/>
          <w:color w:val="262626"/>
          <w:u w:color="163291"/>
          <w:rtl w:val="0"/>
          <w:lang w:val="it-IT"/>
        </w:rPr>
        <w:t xml:space="preserve">à </w:t>
      </w:r>
      <w:r>
        <w:rPr>
          <w:rFonts w:ascii="Book Antiqua"/>
          <w:color w:val="262626"/>
          <w:u w:color="163291"/>
          <w:rtl w:val="0"/>
          <w:lang w:val="it-IT"/>
        </w:rPr>
        <w:t>operanti a Roma. Se AMA, a nostro giudizio, dovrebbe concentrarsi sul migliorare la capacit</w:t>
      </w:r>
      <w:r>
        <w:rPr>
          <w:rFonts w:hAnsi="Book Antiqua" w:hint="default"/>
          <w:color w:val="262626"/>
          <w:u w:color="163291"/>
          <w:rtl w:val="0"/>
          <w:lang w:val="it-IT"/>
        </w:rPr>
        <w:t xml:space="preserve">à </w:t>
      </w:r>
      <w:r>
        <w:rPr>
          <w:rFonts w:ascii="Book Antiqua"/>
          <w:color w:val="262626"/>
          <w:u w:color="163291"/>
          <w:rtl w:val="0"/>
          <w:lang w:val="it-IT"/>
        </w:rPr>
        <w:t>di raccolta e spazzamento, rendendo questa parte sempre pi</w:t>
      </w:r>
      <w:r>
        <w:rPr>
          <w:rFonts w:hAnsi="Book Antiqua" w:hint="default"/>
          <w:color w:val="262626"/>
          <w:u w:color="163291"/>
          <w:rtl w:val="0"/>
          <w:lang w:val="it-IT"/>
        </w:rPr>
        <w:t xml:space="preserve">ù </w:t>
      </w:r>
      <w:r>
        <w:rPr>
          <w:rFonts w:ascii="Book Antiqua"/>
          <w:color w:val="262626"/>
          <w:u w:color="163291"/>
          <w:rtl w:val="0"/>
          <w:lang w:val="it-IT"/>
        </w:rPr>
        <w:t>efficiente, ACEA potrebbe, in maniera sinergica, sviluppare sempre di pi</w:t>
      </w:r>
      <w:r>
        <w:rPr>
          <w:rFonts w:hAnsi="Book Antiqua" w:hint="default"/>
          <w:color w:val="262626"/>
          <w:u w:color="163291"/>
          <w:rtl w:val="0"/>
          <w:lang w:val="it-IT"/>
        </w:rPr>
        <w:t xml:space="preserve">ù </w:t>
      </w:r>
      <w:r>
        <w:rPr>
          <w:rFonts w:ascii="Book Antiqua"/>
          <w:color w:val="262626"/>
          <w:u w:color="163291"/>
          <w:rtl w:val="0"/>
          <w:lang w:val="it-IT"/>
        </w:rPr>
        <w:t>la capacit</w:t>
      </w:r>
      <w:r>
        <w:rPr>
          <w:rFonts w:hAnsi="Book Antiqua" w:hint="default"/>
          <w:color w:val="262626"/>
          <w:u w:color="163291"/>
          <w:rtl w:val="0"/>
          <w:lang w:val="it-IT"/>
        </w:rPr>
        <w:t xml:space="preserve">à </w:t>
      </w:r>
      <w:r>
        <w:rPr>
          <w:rFonts w:ascii="Book Antiqua"/>
          <w:color w:val="262626"/>
          <w:u w:color="163291"/>
          <w:rtl w:val="0"/>
          <w:lang w:val="it-IT"/>
        </w:rPr>
        <w:t xml:space="preserve">di trattare il rifiuto, evitando aree di sovrapposizione (non dico </w:t>
      </w:r>
      <w:r>
        <w:rPr>
          <w:rFonts w:hAnsi="Book Antiqua" w:hint="default"/>
          <w:color w:val="262626"/>
          <w:u w:color="163291"/>
          <w:rtl w:val="0"/>
          <w:lang w:val="it-IT"/>
        </w:rPr>
        <w:t>«</w:t>
      </w:r>
      <w:r>
        <w:rPr>
          <w:rFonts w:ascii="Book Antiqua"/>
          <w:color w:val="262626"/>
          <w:u w:color="163291"/>
          <w:rtl w:val="0"/>
          <w:lang w:val="it-IT"/>
        </w:rPr>
        <w:t>competizione</w:t>
      </w:r>
      <w:r>
        <w:rPr>
          <w:rFonts w:hAnsi="Book Antiqua" w:hint="default"/>
          <w:color w:val="262626"/>
          <w:u w:color="163291"/>
          <w:rtl w:val="0"/>
          <w:lang w:val="it-IT"/>
        </w:rPr>
        <w:t xml:space="preserve">» </w:t>
      </w:r>
      <w:r>
        <w:rPr>
          <w:rFonts w:ascii="Book Antiqua"/>
          <w:color w:val="262626"/>
          <w:u w:color="163291"/>
          <w:rtl w:val="0"/>
          <w:lang w:val="it-IT"/>
        </w:rPr>
        <w:t>perch</w:t>
      </w:r>
      <w:r>
        <w:rPr>
          <w:rFonts w:hAnsi="Book Antiqua" w:hint="default"/>
          <w:color w:val="262626"/>
          <w:u w:color="163291"/>
          <w:rtl w:val="0"/>
          <w:lang w:val="it-IT"/>
        </w:rPr>
        <w:t xml:space="preserve">é è </w:t>
      </w:r>
      <w:r>
        <w:rPr>
          <w:rFonts w:ascii="Book Antiqua"/>
          <w:color w:val="262626"/>
          <w:u w:color="163291"/>
          <w:rtl w:val="0"/>
          <w:lang w:val="it-IT"/>
        </w:rPr>
        <w:t>tale il deficit impiantistico che non si pu</w:t>
      </w:r>
      <w:r>
        <w:rPr>
          <w:rFonts w:hAnsi="Book Antiqua" w:hint="default"/>
          <w:color w:val="262626"/>
          <w:u w:color="163291"/>
          <w:rtl w:val="0"/>
          <w:lang w:val="it-IT"/>
        </w:rPr>
        <w:t xml:space="preserve">ò </w:t>
      </w:r>
      <w:r>
        <w:rPr>
          <w:rFonts w:ascii="Book Antiqua"/>
          <w:color w:val="262626"/>
          <w:u w:color="163291"/>
          <w:rtl w:val="0"/>
          <w:lang w:val="it-IT"/>
        </w:rPr>
        <w:t>certo parlare di competizione): quanto pi</w:t>
      </w:r>
      <w:r>
        <w:rPr>
          <w:rFonts w:hAnsi="Book Antiqua" w:hint="default"/>
          <w:color w:val="262626"/>
          <w:u w:color="163291"/>
          <w:rtl w:val="0"/>
          <w:lang w:val="it-IT"/>
        </w:rPr>
        <w:t xml:space="preserve">ù </w:t>
      </w:r>
      <w:r>
        <w:rPr>
          <w:rFonts w:ascii="Book Antiqua"/>
          <w:color w:val="262626"/>
          <w:u w:color="163291"/>
          <w:rtl w:val="0"/>
          <w:lang w:val="it-IT"/>
        </w:rPr>
        <w:t>ce n'</w:t>
      </w:r>
      <w:r>
        <w:rPr>
          <w:rFonts w:hAnsi="Book Antiqua" w:hint="default"/>
          <w:color w:val="262626"/>
          <w:u w:color="163291"/>
          <w:rtl w:val="0"/>
          <w:lang w:val="it-IT"/>
        </w:rPr>
        <w:t>è</w:t>
      </w:r>
      <w:r>
        <w:rPr>
          <w:rFonts w:ascii="Book Antiqua"/>
          <w:color w:val="262626"/>
          <w:u w:color="163291"/>
          <w:rtl w:val="0"/>
          <w:lang w:val="it-IT"/>
        </w:rPr>
        <w:t xml:space="preserve">, meglio </w:t>
      </w:r>
      <w:r>
        <w:rPr>
          <w:rFonts w:hAnsi="Book Antiqua" w:hint="default"/>
          <w:color w:val="262626"/>
          <w:u w:color="163291"/>
          <w:rtl w:val="0"/>
          <w:lang w:val="it-IT"/>
        </w:rPr>
        <w:t>è</w:t>
      </w:r>
      <w:r>
        <w:rPr>
          <w:rFonts w:ascii="Book Antiqua"/>
          <w:color w:val="262626"/>
          <w:u w:color="163291"/>
          <w:rtl w:val="0"/>
          <w:lang w:val="it-IT"/>
        </w:rPr>
        <w:t xml:space="preserve">. Almeno a oggi e fino ai prossimi dieci anni, il Lazio non vive, come altre regioni, quello che dal punto di vista di chi alloca capitale </w:t>
      </w:r>
      <w:r>
        <w:rPr>
          <w:rFonts w:hAnsi="Book Antiqua" w:hint="default"/>
          <w:color w:val="262626"/>
          <w:u w:color="163291"/>
          <w:rtl w:val="0"/>
          <w:lang w:val="it-IT"/>
        </w:rPr>
        <w:t xml:space="preserve">è </w:t>
      </w:r>
      <w:r>
        <w:rPr>
          <w:rFonts w:ascii="Book Antiqua"/>
          <w:color w:val="262626"/>
          <w:u w:color="163291"/>
          <w:rtl w:val="0"/>
          <w:lang w:val="it-IT"/>
        </w:rPr>
        <w:t>un rischio: il rischio del volume. Alcuni degli operatori che lavorano in questo settore, soprattutto quelli che lavorano nel trattamento dei rifiuti industriali, stanno fronteggiando momenti difficili perch</w:t>
      </w:r>
      <w:r>
        <w:rPr>
          <w:rFonts w:hAnsi="Book Antiqua" w:hint="default"/>
          <w:color w:val="262626"/>
          <w:u w:color="163291"/>
          <w:rtl w:val="0"/>
          <w:lang w:val="it-IT"/>
        </w:rPr>
        <w:t>é</w:t>
      </w:r>
      <w:r>
        <w:rPr>
          <w:rFonts w:ascii="Book Antiqua"/>
          <w:color w:val="262626"/>
          <w:u w:color="163291"/>
          <w:rtl w:val="0"/>
          <w:lang w:val="it-IT"/>
        </w:rPr>
        <w:t xml:space="preserve">, per effetto della crisi economica, una parte dei volumi su cui si sono fatti i piani economico-finanziari per realizzare quegli impianti viene meno, essendoci una minore produzione. Questa non </w:t>
      </w:r>
      <w:r>
        <w:rPr>
          <w:rFonts w:hAnsi="Book Antiqua" w:hint="default"/>
          <w:color w:val="262626"/>
          <w:u w:color="163291"/>
          <w:rtl w:val="0"/>
          <w:lang w:val="it-IT"/>
        </w:rPr>
        <w:t xml:space="preserve">è </w:t>
      </w:r>
      <w:r>
        <w:rPr>
          <w:rFonts w:ascii="Book Antiqua"/>
          <w:color w:val="262626"/>
          <w:u w:color="163291"/>
          <w:rtl w:val="0"/>
          <w:lang w:val="it-IT"/>
        </w:rPr>
        <w:t xml:space="preserve">la situazione del Lazio. La situazione da questo punto di vista </w:t>
      </w:r>
      <w:r>
        <w:rPr>
          <w:rFonts w:hAnsi="Book Antiqua" w:hint="default"/>
          <w:color w:val="262626"/>
          <w:u w:color="163291"/>
          <w:rtl w:val="0"/>
          <w:lang w:val="it-IT"/>
        </w:rPr>
        <w:t xml:space="preserve">è </w:t>
      </w:r>
      <w:r>
        <w:rPr>
          <w:rFonts w:ascii="Book Antiqua"/>
          <w:color w:val="262626"/>
          <w:u w:color="163291"/>
          <w:rtl w:val="0"/>
          <w:lang w:val="it-IT"/>
        </w:rPr>
        <w:t>semplificata, cio</w:t>
      </w:r>
      <w:r>
        <w:rPr>
          <w:rFonts w:hAnsi="Book Antiqua" w:hint="default"/>
          <w:color w:val="262626"/>
          <w:u w:color="163291"/>
          <w:rtl w:val="0"/>
          <w:lang w:val="it-IT"/>
        </w:rPr>
        <w:t xml:space="preserve">è </w:t>
      </w:r>
      <w:r>
        <w:rPr>
          <w:rFonts w:ascii="Book Antiqua"/>
          <w:color w:val="262626"/>
          <w:u w:color="163291"/>
          <w:rtl w:val="0"/>
          <w:lang w:val="it-IT"/>
        </w:rPr>
        <w:t>c'</w:t>
      </w:r>
      <w:r>
        <w:rPr>
          <w:rFonts w:hAnsi="Book Antiqua" w:hint="default"/>
          <w:color w:val="262626"/>
          <w:u w:color="163291"/>
          <w:rtl w:val="0"/>
          <w:lang w:val="it-IT"/>
        </w:rPr>
        <w:t xml:space="preserve">è </w:t>
      </w:r>
      <w:r>
        <w:rPr>
          <w:rFonts w:ascii="Book Antiqua"/>
          <w:color w:val="262626"/>
          <w:u w:color="163291"/>
          <w:rtl w:val="0"/>
          <w:lang w:val="it-IT"/>
        </w:rPr>
        <w:t>una tale quantit</w:t>
      </w:r>
      <w:r>
        <w:rPr>
          <w:rFonts w:hAnsi="Book Antiqua" w:hint="default"/>
          <w:color w:val="262626"/>
          <w:u w:color="163291"/>
          <w:rtl w:val="0"/>
          <w:lang w:val="it-IT"/>
        </w:rPr>
        <w:t xml:space="preserve">à </w:t>
      </w:r>
      <w:r>
        <w:rPr>
          <w:rFonts w:ascii="Book Antiqua"/>
          <w:color w:val="262626"/>
          <w:u w:color="163291"/>
          <w:rtl w:val="0"/>
          <w:lang w:val="it-IT"/>
        </w:rPr>
        <w:t>di rifiuto disponibile che gli investimenti in impianti sono particolarmente sicuri perch</w:t>
      </w:r>
      <w:r>
        <w:rPr>
          <w:rFonts w:hAnsi="Book Antiqua" w:hint="default"/>
          <w:color w:val="262626"/>
          <w:u w:color="163291"/>
          <w:rtl w:val="0"/>
          <w:lang w:val="it-IT"/>
        </w:rPr>
        <w:t xml:space="preserve">é </w:t>
      </w:r>
      <w:r>
        <w:rPr>
          <w:rFonts w:ascii="Book Antiqua"/>
          <w:color w:val="262626"/>
          <w:u w:color="163291"/>
          <w:rtl w:val="0"/>
          <w:lang w:val="it-IT"/>
        </w:rPr>
        <w:t>si sa che si potr</w:t>
      </w:r>
      <w:r>
        <w:rPr>
          <w:rFonts w:hAnsi="Book Antiqua" w:hint="default"/>
          <w:color w:val="262626"/>
          <w:u w:color="163291"/>
          <w:rtl w:val="0"/>
          <w:lang w:val="it-IT"/>
        </w:rPr>
        <w:t xml:space="preserve">à </w:t>
      </w:r>
      <w:r>
        <w:rPr>
          <w:rFonts w:ascii="Book Antiqua"/>
          <w:color w:val="262626"/>
          <w:u w:color="163291"/>
          <w:rtl w:val="0"/>
          <w:lang w:val="it-IT"/>
        </w:rPr>
        <w:t xml:space="preserve">contare sul volume disponibile. Un'ipotesi che noi abbiamo prospettato e che abbiamo anche rinnovato all'amministrazione Raggi, che ovviamente </w:t>
      </w:r>
      <w:r>
        <w:rPr>
          <w:rFonts w:hAnsi="Book Antiqua" w:hint="default"/>
          <w:color w:val="262626"/>
          <w:u w:color="163291"/>
          <w:rtl w:val="0"/>
          <w:lang w:val="it-IT"/>
        </w:rPr>
        <w:t xml:space="preserve">è </w:t>
      </w:r>
      <w:r>
        <w:rPr>
          <w:rFonts w:ascii="Book Antiqua"/>
          <w:color w:val="262626"/>
          <w:u w:color="163291"/>
          <w:rtl w:val="0"/>
          <w:lang w:val="it-IT"/>
        </w:rPr>
        <w:t xml:space="preserve">nella sua fase iniziale, anche di definizione dell'impostazione strategica, </w:t>
      </w:r>
      <w:r>
        <w:rPr>
          <w:rFonts w:hAnsi="Book Antiqua" w:hint="default"/>
          <w:color w:val="262626"/>
          <w:u w:color="163291"/>
          <w:rtl w:val="0"/>
          <w:lang w:val="it-IT"/>
        </w:rPr>
        <w:t xml:space="preserve">è </w:t>
      </w:r>
      <w:r>
        <w:rPr>
          <w:rFonts w:ascii="Book Antiqua"/>
          <w:color w:val="262626"/>
          <w:u w:color="163291"/>
          <w:rtl w:val="0"/>
          <w:lang w:val="it-IT"/>
        </w:rPr>
        <w:t>quella di utilizzare sempre di pi</w:t>
      </w:r>
      <w:r>
        <w:rPr>
          <w:rFonts w:hAnsi="Book Antiqua" w:hint="default"/>
          <w:color w:val="262626"/>
          <w:u w:color="163291"/>
          <w:rtl w:val="0"/>
          <w:lang w:val="it-IT"/>
        </w:rPr>
        <w:t xml:space="preserve">ù </w:t>
      </w:r>
      <w:r>
        <w:rPr>
          <w:rFonts w:ascii="Book Antiqua"/>
          <w:color w:val="262626"/>
          <w:u w:color="163291"/>
          <w:rtl w:val="0"/>
          <w:lang w:val="it-IT"/>
        </w:rPr>
        <w:t>ACEA nella sua capacit</w:t>
      </w:r>
      <w:r>
        <w:rPr>
          <w:rFonts w:hAnsi="Book Antiqua" w:hint="default"/>
          <w:color w:val="262626"/>
          <w:u w:color="163291"/>
          <w:rtl w:val="0"/>
          <w:lang w:val="it-IT"/>
        </w:rPr>
        <w:t xml:space="preserve">à </w:t>
      </w:r>
      <w:r>
        <w:rPr>
          <w:rFonts w:ascii="Book Antiqua"/>
          <w:color w:val="262626"/>
          <w:u w:color="163291"/>
          <w:rtl w:val="0"/>
          <w:lang w:val="it-IT"/>
        </w:rPr>
        <w:t>di gestire in maniera efficiente gli impianti di trattamento, concentrando AMA pi</w:t>
      </w:r>
      <w:r>
        <w:rPr>
          <w:rFonts w:hAnsi="Book Antiqua" w:hint="default"/>
          <w:color w:val="262626"/>
          <w:u w:color="163291"/>
          <w:rtl w:val="0"/>
          <w:lang w:val="it-IT"/>
        </w:rPr>
        <w:t xml:space="preserve">ù </w:t>
      </w:r>
      <w:r>
        <w:rPr>
          <w:rFonts w:ascii="Book Antiqua"/>
          <w:color w:val="262626"/>
          <w:u w:color="163291"/>
          <w:rtl w:val="0"/>
          <w:lang w:val="it-IT"/>
        </w:rPr>
        <w:t>sulla parte della raccolta [</w:t>
      </w:r>
      <w:r>
        <w:rPr>
          <w:rFonts w:hAnsi="Book Antiqua" w:hint="default"/>
          <w:color w:val="262626"/>
          <w:u w:color="163291"/>
          <w:rtl w:val="0"/>
          <w:lang w:val="it-IT"/>
        </w:rPr>
        <w:t>…</w:t>
      </w:r>
      <w:r>
        <w:rPr>
          <w:rFonts w:ascii="Book Antiqua"/>
          <w:color w:val="262626"/>
          <w:u w:color="163291"/>
          <w:rtl w:val="0"/>
          <w:lang w:val="it-IT"/>
        </w:rPr>
        <w:t xml:space="preserve">] </w:t>
      </w:r>
      <w:r>
        <w:rPr>
          <w:rFonts w:hAnsi="Book Antiqua" w:hint="default"/>
          <w:color w:val="262626"/>
          <w:u w:color="163291"/>
          <w:rtl w:val="0"/>
          <w:lang w:val="it-IT"/>
        </w:rPr>
        <w:t xml:space="preserve">è </w:t>
      </w:r>
      <w:r>
        <w:rPr>
          <w:rFonts w:ascii="Book Antiqua"/>
          <w:color w:val="262626"/>
          <w:u w:color="163291"/>
          <w:rtl w:val="0"/>
          <w:lang w:val="it-IT"/>
        </w:rPr>
        <w:t>una scelta che riguarda la propriet</w:t>
      </w:r>
      <w:r>
        <w:rPr>
          <w:rFonts w:hAnsi="Book Antiqua" w:hint="default"/>
          <w:color w:val="262626"/>
          <w:u w:color="163291"/>
          <w:rtl w:val="0"/>
          <w:lang w:val="it-IT"/>
        </w:rPr>
        <w:t xml:space="preserve">à </w:t>
      </w:r>
      <w:r>
        <w:rPr>
          <w:rFonts w:ascii="Book Antiqua"/>
          <w:color w:val="262626"/>
          <w:u w:color="163291"/>
          <w:rtl w:val="0"/>
          <w:lang w:val="it-IT"/>
        </w:rPr>
        <w:t>di AMA: continuare a dare indirizzo ad AMA di sviluppare anche la parte impiantistica, oppure ragionare in un'ottica di specializzazione di funzioni. Noi siamo pronti a farlo, se serve e ACEA, compatibilmente con le complesse procedure con le parti correlate, potrebbe impegnare capitali e competenze per rimodernare l'impiantistica esistente di AMA, contribuendo ad aumentare la capacit</w:t>
      </w:r>
      <w:r>
        <w:rPr>
          <w:rFonts w:hAnsi="Book Antiqua" w:hint="default"/>
          <w:color w:val="262626"/>
          <w:u w:color="163291"/>
          <w:rtl w:val="0"/>
          <w:lang w:val="it-IT"/>
        </w:rPr>
        <w:t xml:space="preserve">à </w:t>
      </w:r>
      <w:r>
        <w:rPr>
          <w:rFonts w:ascii="Book Antiqua"/>
          <w:color w:val="262626"/>
          <w:u w:color="163291"/>
          <w:rtl w:val="0"/>
          <w:lang w:val="it-IT"/>
        </w:rPr>
        <w:t>di trattamento</w:t>
      </w:r>
      <w:r>
        <w:rPr>
          <w:rFonts w:hAnsi="Book Antiqua" w:hint="default"/>
          <w:color w:val="262626"/>
          <w:u w:color="163291"/>
          <w:rtl w:val="0"/>
          <w:lang w:val="it-IT"/>
        </w:rPr>
        <w:t>”</w:t>
      </w:r>
      <w:r>
        <w:rPr>
          <w:rFonts w:ascii="Book Antiqua"/>
          <w:color w:val="262626"/>
          <w:u w:color="163291"/>
          <w:rtl w:val="0"/>
          <w:lang w:val="it-IT"/>
        </w:rPr>
        <w:t>.</w:t>
      </w:r>
    </w:p>
    <w:p>
      <w:pPr>
        <w:pStyle w:val="Normal"/>
        <w:widowControl w:val="0"/>
        <w:ind w:left="567" w:right="567" w:firstLine="0"/>
        <w:jc w:val="both"/>
        <w:rPr>
          <w:rFonts w:ascii="Book Antiqua" w:cs="Book Antiqua" w:hAnsi="Book Antiqua" w:eastAsia="Book Antiqua"/>
          <w:color w:val="262626"/>
          <w:u w:color="163291"/>
        </w:rPr>
      </w:pPr>
    </w:p>
    <w:p>
      <w:pPr>
        <w:pStyle w:val="Normal"/>
        <w:widowControl w:val="0"/>
        <w:ind w:left="567" w:right="567" w:firstLine="0"/>
        <w:jc w:val="both"/>
        <w:rPr>
          <w:rFonts w:ascii="Book Antiqua" w:cs="Book Antiqua" w:hAnsi="Book Antiqua" w:eastAsia="Book Antiqua"/>
          <w:color w:val="262626"/>
          <w:u w:color="163291"/>
        </w:rPr>
      </w:pPr>
    </w:p>
    <w:p>
      <w:pPr>
        <w:pStyle w:val="Normal"/>
      </w:pPr>
      <w:r>
        <w:rPr>
          <w:rFonts w:ascii="Book Antiqua" w:cs="Book Antiqua" w:hAnsi="Book Antiqua" w:eastAsia="Book Antiqua"/>
          <w:color w:val="262626"/>
          <w:u w:color="163291"/>
          <w:rtl w:val="0"/>
        </w:rPr>
        <w:br w:type="page"/>
      </w:r>
    </w:p>
    <w:p>
      <w:pPr>
        <w:pStyle w:val="Normal"/>
        <w:rPr>
          <w:rFonts w:ascii="Book Antiqua" w:cs="Book Antiqua" w:hAnsi="Book Antiqua" w:eastAsia="Book Antiqua"/>
          <w:color w:val="262626"/>
          <w:u w:color="163291"/>
        </w:rPr>
      </w:pPr>
    </w:p>
    <w:p>
      <w:pPr>
        <w:pStyle w:val="Normal"/>
        <w:widowControl w:val="0"/>
        <w:ind w:left="567" w:right="567" w:firstLine="0"/>
        <w:jc w:val="both"/>
        <w:rPr>
          <w:rFonts w:ascii="Book Antiqua" w:cs="Book Antiqua" w:hAnsi="Book Antiqua" w:eastAsia="Book Antiqua"/>
          <w:color w:val="262626"/>
          <w:u w:color="163291"/>
        </w:rPr>
      </w:pPr>
    </w:p>
    <w:p>
      <w:pPr>
        <w:pStyle w:val="Normal"/>
        <w:numPr>
          <w:ilvl w:val="2"/>
          <w:numId w:val="107"/>
        </w:numPr>
        <w:tabs>
          <w:tab w:val="num" w:pos="688"/>
          <w:tab w:val="clear" w:pos="567"/>
        </w:tabs>
        <w:bidi w:val="0"/>
        <w:ind w:left="547" w:right="567" w:firstLine="20"/>
        <w:jc w:val="both"/>
        <w:rPr>
          <w:rFonts w:ascii="Book Antiqua" w:cs="Book Antiqua" w:hAnsi="Book Antiqua" w:eastAsia="Book Antiqua"/>
          <w:position w:val="0"/>
          <w:sz w:val="28"/>
          <w:szCs w:val="28"/>
          <w:rtl w:val="0"/>
        </w:rPr>
      </w:pPr>
      <w:r>
        <w:rPr>
          <w:rFonts w:ascii="Book Antiqua"/>
          <w:sz w:val="28"/>
          <w:szCs w:val="28"/>
          <w:rtl w:val="0"/>
          <w:lang w:val="it-IT"/>
        </w:rPr>
        <w:t>I programmi della regione Lazio e l</w:t>
      </w:r>
      <w:r>
        <w:rPr>
          <w:rFonts w:hAnsi="Book Antiqua" w:hint="default"/>
          <w:sz w:val="28"/>
          <w:szCs w:val="28"/>
          <w:rtl w:val="0"/>
          <w:lang w:val="it-IT"/>
        </w:rPr>
        <w:t>’</w:t>
      </w:r>
      <w:r>
        <w:rPr>
          <w:rFonts w:ascii="Book Antiqua"/>
          <w:sz w:val="28"/>
          <w:szCs w:val="28"/>
          <w:rtl w:val="0"/>
          <w:lang w:val="it-IT"/>
        </w:rPr>
        <w:t>attuale uscita di rifiuti da Roma Capitale</w:t>
      </w:r>
    </w:p>
    <w:p>
      <w:pPr>
        <w:pStyle w:val="Normal"/>
        <w:ind w:left="567" w:right="567" w:firstLine="0"/>
        <w:jc w:val="both"/>
        <w:rPr>
          <w:rFonts w:ascii="Book Antiqua" w:cs="Book Antiqua" w:hAnsi="Book Antiqua" w:eastAsia="Book Antiqua"/>
          <w:i w:val="1"/>
          <w:iCs w:val="1"/>
        </w:rPr>
      </w:pPr>
    </w:p>
    <w:p>
      <w:pPr>
        <w:pStyle w:val="Normal"/>
        <w:ind w:left="567" w:right="567" w:firstLine="0"/>
        <w:jc w:val="both"/>
        <w:rPr>
          <w:rFonts w:ascii="Book Antiqua" w:cs="Book Antiqua" w:hAnsi="Book Antiqua" w:eastAsia="Book Antiqua"/>
        </w:rPr>
      </w:pPr>
      <w:r>
        <w:rPr>
          <w:rFonts w:ascii="Book Antiqua"/>
          <w:rtl w:val="0"/>
          <w:lang w:val="it-IT"/>
        </w:rPr>
        <w:t xml:space="preserve">Come si </w:t>
      </w:r>
      <w:r>
        <w:rPr>
          <w:rFonts w:hAnsi="Book Antiqua" w:hint="default"/>
          <w:rtl w:val="0"/>
          <w:lang w:val="it-IT"/>
        </w:rPr>
        <w:t xml:space="preserve">è </w:t>
      </w:r>
      <w:r>
        <w:rPr>
          <w:rFonts w:ascii="Book Antiqua"/>
          <w:rtl w:val="0"/>
          <w:lang w:val="it-IT"/>
        </w:rPr>
        <w:t xml:space="preserve">visto, il ciclo dei rifiuti a Roma </w:t>
      </w:r>
      <w:r>
        <w:rPr>
          <w:rFonts w:hAnsi="Book Antiqua" w:hint="default"/>
          <w:rtl w:val="0"/>
          <w:lang w:val="it-IT"/>
        </w:rPr>
        <w:t xml:space="preserve">è </w:t>
      </w:r>
      <w:r>
        <w:rPr>
          <w:rFonts w:ascii="Book Antiqua"/>
          <w:rtl w:val="0"/>
          <w:lang w:val="it-IT"/>
        </w:rPr>
        <w:t>rigido e precario soprattutto perch</w:t>
      </w:r>
      <w:r>
        <w:rPr>
          <w:rFonts w:hAnsi="Book Antiqua" w:hint="default"/>
          <w:rtl w:val="0"/>
          <w:lang w:val="it-IT"/>
        </w:rPr>
        <w:t xml:space="preserve">é </w:t>
      </w:r>
      <w:r>
        <w:rPr>
          <w:rFonts w:ascii="Book Antiqua"/>
          <w:rtl w:val="0"/>
          <w:lang w:val="it-IT"/>
        </w:rPr>
        <w:t>si affida a discariche, inceneritori e impianti di compostaggio per larga parte ubicati fuori regione. Dopodich</w:t>
      </w:r>
      <w:r>
        <w:rPr>
          <w:rFonts w:hAnsi="Book Antiqua" w:hint="default"/>
          <w:rtl w:val="0"/>
          <w:lang w:val="it-IT"/>
        </w:rPr>
        <w:t xml:space="preserve">é </w:t>
      </w:r>
      <w:r>
        <w:rPr>
          <w:rFonts w:ascii="Book Antiqua"/>
          <w:rtl w:val="0"/>
          <w:lang w:val="it-IT"/>
        </w:rPr>
        <w:t xml:space="preserve">appare evidente come esista un </w:t>
      </w:r>
      <w:r>
        <w:rPr>
          <w:rFonts w:ascii="Book Antiqua"/>
          <w:i w:val="1"/>
          <w:iCs w:val="1"/>
          <w:rtl w:val="0"/>
          <w:lang w:val="it-IT"/>
        </w:rPr>
        <w:t>vulnus</w:t>
      </w:r>
      <w:r>
        <w:rPr>
          <w:rFonts w:ascii="Book Antiqua"/>
          <w:rtl w:val="0"/>
          <w:lang w:val="it-IT"/>
        </w:rPr>
        <w:t xml:space="preserve"> rispetto alla programmazione che non attiene solo alla Capitale ma che interessa l</w:t>
      </w:r>
      <w:r>
        <w:rPr>
          <w:rFonts w:hAnsi="Book Antiqua" w:hint="default"/>
          <w:rtl w:val="0"/>
          <w:lang w:val="it-IT"/>
        </w:rPr>
        <w:t>’</w:t>
      </w:r>
      <w:r>
        <w:rPr>
          <w:rFonts w:ascii="Book Antiqua"/>
          <w:rtl w:val="0"/>
          <w:lang w:val="it-IT"/>
        </w:rPr>
        <w:t>intera regione Lazio. A tal proposito basta evidenziare come ancora oggi sia in vigore un Piano regionale dei rifiuti che, tra le altre cose, contempla ancora la discarica di Malagrotta. Parliamo di un testo del gennaio del 2012 dove - oltre alla presenza dell</w:t>
      </w:r>
      <w:r>
        <w:rPr>
          <w:rFonts w:hAnsi="Book Antiqua" w:hint="default"/>
          <w:rtl w:val="0"/>
          <w:lang w:val="it-IT"/>
        </w:rPr>
        <w:t>’</w:t>
      </w:r>
      <w:r>
        <w:rPr>
          <w:rFonts w:ascii="Book Antiqua"/>
          <w:rtl w:val="0"/>
          <w:lang w:val="it-IT"/>
        </w:rPr>
        <w:t xml:space="preserve">invaso della Valle Galeria </w:t>
      </w:r>
      <w:r>
        <w:rPr>
          <w:rFonts w:hAnsi="Book Antiqua" w:hint="default"/>
          <w:rtl w:val="0"/>
          <w:lang w:val="it-IT"/>
        </w:rPr>
        <w:t xml:space="preserve">– </w:t>
      </w:r>
      <w:r>
        <w:rPr>
          <w:rFonts w:ascii="Book Antiqua"/>
          <w:rtl w:val="0"/>
          <w:lang w:val="it-IT"/>
        </w:rPr>
        <w:t>sono previsti impianti mai utilizzati ovvero mai costruiti: il gassificatore di Malagrotta e l</w:t>
      </w:r>
      <w:r>
        <w:rPr>
          <w:rFonts w:hAnsi="Book Antiqua" w:hint="default"/>
          <w:rtl w:val="0"/>
          <w:lang w:val="it-IT"/>
        </w:rPr>
        <w:t>’</w:t>
      </w:r>
      <w:r>
        <w:rPr>
          <w:rFonts w:ascii="Book Antiqua"/>
          <w:rtl w:val="0"/>
          <w:lang w:val="it-IT"/>
        </w:rPr>
        <w:t xml:space="preserve">inceneritore di Albano. Quindi un Piano obsoleto che non fornisce nessuna indicazione utile. Nonostante questo la Giunta Zingaretti non ha approvato un nuovo Piano ma si </w:t>
      </w:r>
      <w:r>
        <w:rPr>
          <w:rFonts w:hAnsi="Book Antiqua" w:hint="default"/>
          <w:rtl w:val="0"/>
          <w:lang w:val="it-IT"/>
        </w:rPr>
        <w:t xml:space="preserve">è </w:t>
      </w:r>
      <w:r>
        <w:rPr>
          <w:rFonts w:ascii="Book Antiqua"/>
          <w:rtl w:val="0"/>
          <w:lang w:val="it-IT"/>
        </w:rPr>
        <w:t xml:space="preserve">limitata ad deliberare la </w:t>
      </w:r>
      <w:r>
        <w:rPr>
          <w:rFonts w:hAnsi="Book Antiqua" w:hint="default"/>
          <w:rtl w:val="0"/>
          <w:lang w:val="it-IT"/>
        </w:rPr>
        <w:t>“</w:t>
      </w:r>
      <w:r>
        <w:rPr>
          <w:rFonts w:ascii="Book Antiqua"/>
          <w:rtl w:val="0"/>
          <w:lang w:val="it-IT"/>
        </w:rPr>
        <w:t>determinazione del fabbisogno</w:t>
      </w:r>
      <w:r>
        <w:rPr>
          <w:rFonts w:hAnsi="Book Antiqua" w:hint="default"/>
          <w:rtl w:val="0"/>
          <w:lang w:val="it-IT"/>
        </w:rPr>
        <w:t>”</w:t>
      </w:r>
      <w:r>
        <w:rPr>
          <w:rFonts w:ascii="Book Antiqua"/>
          <w:rtl w:val="0"/>
          <w:lang w:val="it-IT"/>
        </w:rPr>
        <w:t xml:space="preserve">. Bisogna segnalare, inoltre, come la legge regionale che disciplina la gestione dei rifiuti nel Lazio risale addirittura al 1998, ossia </w:t>
      </w:r>
      <w:r>
        <w:rPr>
          <w:rFonts w:hAnsi="Book Antiqua" w:hint="default"/>
          <w:rtl w:val="0"/>
          <w:lang w:val="it-IT"/>
        </w:rPr>
        <w:t xml:space="preserve">è </w:t>
      </w:r>
      <w:r>
        <w:rPr>
          <w:rFonts w:ascii="Book Antiqua"/>
          <w:rtl w:val="0"/>
          <w:lang w:val="it-IT"/>
        </w:rPr>
        <w:t xml:space="preserve">antecedente al Testo Unico Ambientale. </w:t>
      </w:r>
    </w:p>
    <w:p>
      <w:pPr>
        <w:pStyle w:val="Normal"/>
        <w:ind w:left="567" w:right="567" w:firstLine="0"/>
        <w:jc w:val="both"/>
        <w:rPr>
          <w:rFonts w:ascii="Book Antiqua" w:cs="Book Antiqua" w:hAnsi="Book Antiqua" w:eastAsia="Book Antiqua"/>
        </w:rPr>
      </w:pPr>
      <w:r>
        <w:rPr>
          <w:rFonts w:ascii="Book Antiqua"/>
          <w:rtl w:val="0"/>
          <w:lang w:val="it-IT"/>
        </w:rPr>
        <w:t xml:space="preserve">Uno dei problemi che, per decenni, ha riguardato Roma </w:t>
      </w:r>
      <w:r>
        <w:rPr>
          <w:rFonts w:hAnsi="Book Antiqua" w:hint="default"/>
          <w:rtl w:val="0"/>
          <w:lang w:val="it-IT"/>
        </w:rPr>
        <w:t xml:space="preserve">è </w:t>
      </w:r>
      <w:r>
        <w:rPr>
          <w:rFonts w:ascii="Book Antiqua"/>
          <w:rtl w:val="0"/>
          <w:lang w:val="it-IT"/>
        </w:rPr>
        <w:t xml:space="preserve">stato lo smisurato ricorso alla discarica come unico metodo di gestione dei rifiuti. Tale </w:t>
      </w:r>
      <w:r>
        <w:rPr>
          <w:rFonts w:ascii="Book Antiqua"/>
          <w:i w:val="1"/>
          <w:iCs w:val="1"/>
          <w:rtl w:val="0"/>
          <w:lang w:val="it-IT"/>
        </w:rPr>
        <w:t>modus operandi</w:t>
      </w:r>
      <w:r>
        <w:rPr>
          <w:rFonts w:ascii="Book Antiqua"/>
          <w:rtl w:val="0"/>
          <w:lang w:val="it-IT"/>
        </w:rPr>
        <w:t>, con le dovute proporzioni, riguarda l</w:t>
      </w:r>
      <w:r>
        <w:rPr>
          <w:rFonts w:hAnsi="Book Antiqua" w:hint="default"/>
          <w:rtl w:val="0"/>
          <w:lang w:val="it-IT"/>
        </w:rPr>
        <w:t>’</w:t>
      </w:r>
      <w:r>
        <w:rPr>
          <w:rFonts w:ascii="Book Antiqua"/>
          <w:rtl w:val="0"/>
          <w:lang w:val="it-IT"/>
        </w:rPr>
        <w:t xml:space="preserve">intera regione Lazio. Tanto </w:t>
      </w:r>
      <w:r>
        <w:rPr>
          <w:rFonts w:hAnsi="Book Antiqua" w:hint="default"/>
          <w:rtl w:val="0"/>
          <w:lang w:val="it-IT"/>
        </w:rPr>
        <w:t xml:space="preserve">è </w:t>
      </w:r>
      <w:r>
        <w:rPr>
          <w:rFonts w:ascii="Book Antiqua"/>
          <w:rtl w:val="0"/>
          <w:lang w:val="it-IT"/>
        </w:rPr>
        <w:t>vero che il decreto attuativo</w:t>
      </w:r>
      <w:r>
        <w:rPr>
          <w:rFonts w:ascii="Book Antiqua" w:cs="Book Antiqua" w:hAnsi="Book Antiqua" w:eastAsia="Book Antiqua"/>
          <w:vertAlign w:val="superscript"/>
          <w:rtl w:val="0"/>
        </w:rPr>
        <w:footnoteReference w:id="160"/>
      </w:r>
      <w:r>
        <w:rPr>
          <w:rFonts w:ascii="Book Antiqua"/>
          <w:rtl w:val="0"/>
          <w:lang w:val="it-IT"/>
        </w:rPr>
        <w:t xml:space="preserve"> dell'articolo 35, comma 1, del decreto legge n. 133 del 2014 (cosiddetto decreto sblocca Italia) che individua</w:t>
      </w:r>
      <w:r>
        <w:rPr>
          <w:rFonts w:hAnsi="Book Antiqua" w:hint="default"/>
          <w:rtl w:val="0"/>
          <w:lang w:val="it-IT"/>
        </w:rPr>
        <w:t> </w:t>
      </w:r>
      <w:r>
        <w:rPr>
          <w:rFonts w:ascii="Book Antiqua"/>
          <w:rtl w:val="0"/>
          <w:lang w:val="it-IT"/>
        </w:rPr>
        <w:t>gli</w:t>
      </w:r>
      <w:r>
        <w:rPr>
          <w:rFonts w:hAnsi="Book Antiqua" w:hint="default"/>
          <w:rtl w:val="0"/>
          <w:lang w:val="it-IT"/>
        </w:rPr>
        <w:t> </w:t>
      </w:r>
      <w:r>
        <w:rPr>
          <w:rFonts w:ascii="Book Antiqua"/>
          <w:rtl w:val="0"/>
          <w:lang w:val="it-IT"/>
        </w:rPr>
        <w:t xml:space="preserve">impianti di incenerimento con recupero di rifiuti urbani e assimilati da realizzare sul territorio nazionale riguarda anche il Lazio. </w:t>
      </w:r>
    </w:p>
    <w:p>
      <w:pPr>
        <w:pStyle w:val="Normal"/>
        <w:ind w:left="567" w:right="567" w:firstLine="0"/>
        <w:jc w:val="both"/>
        <w:rPr>
          <w:rFonts w:ascii="Book Antiqua" w:cs="Book Antiqua" w:hAnsi="Book Antiqua" w:eastAsia="Book Antiqua"/>
        </w:rPr>
      </w:pPr>
      <w:r>
        <w:rPr>
          <w:rFonts w:ascii="Book Antiqua"/>
          <w:rtl w:val="0"/>
          <w:lang w:val="it-IT"/>
        </w:rPr>
        <w:t>L'articolo 35 del decreto legge n. 133 del 2014</w:t>
      </w:r>
      <w:r>
        <w:rPr>
          <w:rFonts w:ascii="Book Antiqua" w:cs="Book Antiqua" w:hAnsi="Book Antiqua" w:eastAsia="Book Antiqua"/>
          <w:vertAlign w:val="superscript"/>
          <w:rtl w:val="0"/>
        </w:rPr>
        <w:footnoteReference w:id="161"/>
      </w:r>
      <w:r>
        <w:rPr>
          <w:rFonts w:ascii="Book Antiqua"/>
          <w:rtl w:val="0"/>
          <w:lang w:val="it-IT"/>
        </w:rPr>
        <w:t xml:space="preserve"> contiene una serie di disposizioni finalizzate alla realizzazione di un sistema per le cui finalit</w:t>
      </w:r>
      <w:r>
        <w:rPr>
          <w:rFonts w:hAnsi="Book Antiqua" w:hint="default"/>
          <w:rtl w:val="0"/>
          <w:lang w:val="it-IT"/>
        </w:rPr>
        <w:t xml:space="preserve">à </w:t>
      </w:r>
      <w:r>
        <w:rPr>
          <w:rFonts w:ascii="Book Antiqua"/>
          <w:rtl w:val="0"/>
          <w:lang w:val="it-IT"/>
        </w:rPr>
        <w:t>era prevista l</w:t>
      </w:r>
      <w:r>
        <w:rPr>
          <w:rFonts w:hAnsi="Book Antiqua" w:hint="default"/>
          <w:rtl w:val="0"/>
          <w:lang w:val="it-IT"/>
        </w:rPr>
        <w:t>’</w:t>
      </w:r>
      <w:r>
        <w:rPr>
          <w:rFonts w:ascii="Book Antiqua"/>
          <w:rtl w:val="0"/>
          <w:lang w:val="it-IT"/>
        </w:rPr>
        <w:t>emanazione, entro il 10 febbraio 2015 (cio</w:t>
      </w:r>
      <w:r>
        <w:rPr>
          <w:rFonts w:hAnsi="Book Antiqua" w:hint="default"/>
          <w:rtl w:val="0"/>
          <w:lang w:val="it-IT"/>
        </w:rPr>
        <w:t xml:space="preserve">è </w:t>
      </w:r>
      <w:r>
        <w:rPr>
          <w:rFonts w:ascii="Book Antiqua"/>
          <w:rtl w:val="0"/>
          <w:lang w:val="it-IT"/>
        </w:rPr>
        <w:t>entro 90 giorni dall'entrata in vigore della legge di conversione), di un decreto del Presidente del Consiglio dei ministri</w:t>
      </w:r>
      <w:r>
        <w:rPr>
          <w:rFonts w:hAnsi="Book Antiqua" w:hint="default"/>
          <w:rtl w:val="0"/>
          <w:lang w:val="it-IT"/>
        </w:rPr>
        <w:t> </w:t>
      </w:r>
      <w:r>
        <w:rPr>
          <w:rFonts w:ascii="Book Antiqua"/>
          <w:rtl w:val="0"/>
          <w:lang w:val="it-IT"/>
        </w:rPr>
        <w:t>che,</w:t>
      </w:r>
      <w:r>
        <w:rPr>
          <w:rFonts w:hAnsi="Book Antiqua" w:hint="default"/>
          <w:rtl w:val="0"/>
          <w:lang w:val="it-IT"/>
        </w:rPr>
        <w:t> </w:t>
      </w:r>
      <w:r>
        <w:rPr>
          <w:rFonts w:ascii="Book Antiqua"/>
          <w:rtl w:val="0"/>
          <w:lang w:val="it-IT"/>
        </w:rPr>
        <w:t>sentita la conferenza Stato-Regioni, avrebbe dovuto individuare gli impianti di incenerimento</w:t>
      </w:r>
      <w:r>
        <w:rPr>
          <w:rFonts w:hAnsi="Book Antiqua" w:hint="default"/>
          <w:rtl w:val="0"/>
          <w:lang w:val="it-IT"/>
        </w:rPr>
        <w:t> </w:t>
      </w:r>
      <w:r>
        <w:rPr>
          <w:rFonts w:ascii="Book Antiqua"/>
          <w:rtl w:val="0"/>
          <w:lang w:val="it-IT"/>
        </w:rPr>
        <w:t>in esercizio o autorizzati a livello nazionale, nonch</w:t>
      </w:r>
      <w:r>
        <w:rPr>
          <w:rFonts w:hAnsi="Book Antiqua" w:hint="default"/>
          <w:rtl w:val="0"/>
          <w:lang w:val="it-IT"/>
        </w:rPr>
        <w:t xml:space="preserve">é </w:t>
      </w:r>
      <w:r>
        <w:rPr>
          <w:rFonts w:ascii="Book Antiqua"/>
          <w:rtl w:val="0"/>
          <w:lang w:val="it-IT"/>
        </w:rPr>
        <w:t>gli</w:t>
      </w:r>
      <w:r>
        <w:rPr>
          <w:rFonts w:hAnsi="Book Antiqua" w:hint="default"/>
          <w:rtl w:val="0"/>
          <w:lang w:val="it-IT"/>
        </w:rPr>
        <w:t> </w:t>
      </w:r>
      <w:r>
        <w:rPr>
          <w:rFonts w:ascii="Book Antiqua"/>
          <w:rtl w:val="0"/>
          <w:lang w:val="it-IT"/>
        </w:rPr>
        <w:t>impianti di incenerimento con recupero energetico di rifiuti urbani</w:t>
      </w:r>
      <w:r>
        <w:rPr>
          <w:rFonts w:hAnsi="Book Antiqua" w:hint="default"/>
          <w:rtl w:val="0"/>
          <w:lang w:val="it-IT"/>
        </w:rPr>
        <w:t> </w:t>
      </w:r>
      <w:r>
        <w:rPr>
          <w:rFonts w:ascii="Book Antiqua"/>
          <w:rtl w:val="0"/>
          <w:lang w:val="it-IT"/>
        </w:rPr>
        <w:t xml:space="preserve">e assimilati da realizzare per coprire il fabbisogno residuo di trattamento di tali rifiuti (comma 1). </w:t>
      </w:r>
    </w:p>
    <w:p>
      <w:pPr>
        <w:pStyle w:val="Normal"/>
        <w:ind w:left="567" w:right="567" w:firstLine="0"/>
        <w:jc w:val="both"/>
        <w:rPr>
          <w:rFonts w:ascii="Book Antiqua" w:cs="Book Antiqua" w:hAnsi="Book Antiqua" w:eastAsia="Book Antiqua"/>
        </w:rPr>
      </w:pPr>
      <w:r>
        <w:rPr>
          <w:rFonts w:ascii="Book Antiqua"/>
          <w:rtl w:val="0"/>
          <w:lang w:val="it-IT"/>
        </w:rPr>
        <w:t xml:space="preserve">Il decreto attuativo decreto del Presidente del Consiglio dei ministri 10 agosto 2016 </w:t>
      </w:r>
      <w:r>
        <w:rPr>
          <w:rFonts w:hAnsi="Book Antiqua" w:hint="default"/>
          <w:rtl w:val="0"/>
          <w:lang w:val="it-IT"/>
        </w:rPr>
        <w:t xml:space="preserve">è </w:t>
      </w:r>
      <w:r>
        <w:rPr>
          <w:rFonts w:ascii="Book Antiqua"/>
          <w:rtl w:val="0"/>
          <w:lang w:val="it-IT"/>
        </w:rPr>
        <w:t>stato</w:t>
      </w:r>
      <w:r>
        <w:rPr>
          <w:rFonts w:hAnsi="Book Antiqua" w:hint="default"/>
          <w:rtl w:val="0"/>
          <w:lang w:val="it-IT"/>
        </w:rPr>
        <w:t> </w:t>
      </w:r>
      <w:r>
        <w:rPr>
          <w:rFonts w:ascii="Book Antiqua"/>
          <w:rtl w:val="0"/>
          <w:lang w:val="it-IT"/>
        </w:rPr>
        <w:t>pubblicato nella G.U.</w:t>
      </w:r>
      <w:r>
        <w:rPr>
          <w:rFonts w:hAnsi="Book Antiqua" w:hint="default"/>
          <w:rtl w:val="0"/>
          <w:lang w:val="it-IT"/>
        </w:rPr>
        <w:t> </w:t>
      </w:r>
      <w:r>
        <w:rPr>
          <w:rFonts w:ascii="Book Antiqua"/>
          <w:rtl w:val="0"/>
          <w:lang w:val="it-IT"/>
        </w:rPr>
        <w:t>del 5 ottobre 2016. Tale decreto provvede all'individuazione, a livello nazionale:</w:t>
      </w:r>
    </w:p>
    <w:p>
      <w:pPr>
        <w:pStyle w:val="List Paragraph"/>
        <w:numPr>
          <w:ilvl w:val="0"/>
          <w:numId w:val="110"/>
        </w:numPr>
        <w:tabs>
          <w:tab w:val="num" w:pos="708"/>
          <w:tab w:val="clear" w:pos="0"/>
        </w:tabs>
        <w:bidi w:val="0"/>
        <w:ind w:left="567" w:right="567" w:firstLine="0"/>
        <w:jc w:val="both"/>
        <w:rPr>
          <w:rFonts w:ascii="Book Antiqua" w:cs="Book Antiqua" w:hAnsi="Book Antiqua" w:eastAsia="Book Antiqua"/>
          <w:position w:val="0"/>
          <w:sz w:val="24"/>
          <w:szCs w:val="24"/>
          <w:rtl w:val="0"/>
        </w:rPr>
      </w:pPr>
      <w:r>
        <w:rPr>
          <w:rFonts w:ascii="Book Antiqua"/>
          <w:rtl w:val="0"/>
          <w:lang w:val="it-IT"/>
        </w:rPr>
        <w:t>della capacit</w:t>
      </w:r>
      <w:r>
        <w:rPr>
          <w:rFonts w:hAnsi="Book Antiqua" w:hint="default"/>
          <w:rtl w:val="0"/>
          <w:lang w:val="it-IT"/>
        </w:rPr>
        <w:t xml:space="preserve">à </w:t>
      </w:r>
      <w:r>
        <w:rPr>
          <w:rFonts w:ascii="Book Antiqua"/>
          <w:rtl w:val="0"/>
          <w:lang w:val="it-IT"/>
        </w:rPr>
        <w:t>complessiva di trattamento degli</w:t>
      </w:r>
      <w:r>
        <w:rPr>
          <w:rFonts w:hAnsi="Book Antiqua" w:hint="default"/>
          <w:rtl w:val="0"/>
          <w:lang w:val="it-IT"/>
        </w:rPr>
        <w:t> </w:t>
      </w:r>
      <w:r>
        <w:rPr>
          <w:rFonts w:ascii="Book Antiqua"/>
          <w:rtl w:val="0"/>
          <w:lang w:val="it-IT"/>
        </w:rPr>
        <w:t>impianti</w:t>
      </w:r>
      <w:r>
        <w:rPr>
          <w:rFonts w:hAnsi="Book Antiqua" w:hint="default"/>
          <w:rtl w:val="0"/>
          <w:lang w:val="it-IT"/>
        </w:rPr>
        <w:t> </w:t>
      </w:r>
      <w:r>
        <w:rPr>
          <w:rFonts w:ascii="Book Antiqua"/>
          <w:rtl w:val="0"/>
          <w:lang w:val="it-IT"/>
        </w:rPr>
        <w:t>di incenerimento di rifiuti urbani e assimilabili</w:t>
      </w:r>
      <w:r>
        <w:rPr>
          <w:rFonts w:hAnsi="Book Antiqua" w:hint="default"/>
          <w:rtl w:val="0"/>
          <w:lang w:val="it-IT"/>
        </w:rPr>
        <w:t> </w:t>
      </w:r>
      <w:r>
        <w:rPr>
          <w:rFonts w:ascii="Book Antiqua"/>
          <w:rtl w:val="0"/>
          <w:lang w:val="it-IT"/>
        </w:rPr>
        <w:t>in esercizio</w:t>
      </w:r>
      <w:r>
        <w:rPr>
          <w:rFonts w:hAnsi="Book Antiqua" w:hint="default"/>
          <w:rtl w:val="0"/>
          <w:lang w:val="it-IT"/>
        </w:rPr>
        <w:t> </w:t>
      </w:r>
      <w:r>
        <w:rPr>
          <w:rFonts w:ascii="Book Antiqua"/>
          <w:rtl w:val="0"/>
          <w:lang w:val="it-IT"/>
        </w:rPr>
        <w:t xml:space="preserve">(quantificata nella tabella A in 5,9 milioni di tonnellate annue); </w:t>
      </w:r>
    </w:p>
    <w:p>
      <w:pPr>
        <w:pStyle w:val="List Paragraph"/>
        <w:numPr>
          <w:ilvl w:val="0"/>
          <w:numId w:val="111"/>
        </w:numPr>
        <w:tabs>
          <w:tab w:val="num" w:pos="708"/>
          <w:tab w:val="clear" w:pos="0"/>
        </w:tabs>
        <w:bidi w:val="0"/>
        <w:ind w:left="567" w:right="567" w:firstLine="0"/>
        <w:jc w:val="both"/>
        <w:rPr>
          <w:rFonts w:ascii="Book Antiqua" w:cs="Book Antiqua" w:hAnsi="Book Antiqua" w:eastAsia="Book Antiqua"/>
          <w:position w:val="0"/>
          <w:sz w:val="24"/>
          <w:szCs w:val="24"/>
          <w:rtl w:val="0"/>
        </w:rPr>
      </w:pPr>
      <w:r>
        <w:rPr>
          <w:rFonts w:ascii="Book Antiqua"/>
          <w:rtl w:val="0"/>
          <w:lang w:val="it-IT"/>
        </w:rPr>
        <w:t>della capacit</w:t>
      </w:r>
      <w:r>
        <w:rPr>
          <w:rFonts w:hAnsi="Book Antiqua" w:hint="default"/>
          <w:rtl w:val="0"/>
          <w:lang w:val="it-IT"/>
        </w:rPr>
        <w:t xml:space="preserve">à </w:t>
      </w:r>
      <w:r>
        <w:rPr>
          <w:rFonts w:ascii="Book Antiqua"/>
          <w:rtl w:val="0"/>
          <w:lang w:val="it-IT"/>
        </w:rPr>
        <w:t>complessiva di trattamento degli</w:t>
      </w:r>
      <w:r>
        <w:rPr>
          <w:rFonts w:hAnsi="Book Antiqua" w:hint="default"/>
          <w:rtl w:val="0"/>
          <w:lang w:val="it-IT"/>
        </w:rPr>
        <w:t> </w:t>
      </w:r>
      <w:r>
        <w:rPr>
          <w:rFonts w:ascii="Book Antiqua"/>
          <w:rtl w:val="0"/>
          <w:lang w:val="it-IT"/>
        </w:rPr>
        <w:t>impianti</w:t>
      </w:r>
      <w:r>
        <w:rPr>
          <w:rFonts w:hAnsi="Book Antiqua" w:hint="default"/>
          <w:rtl w:val="0"/>
          <w:lang w:val="it-IT"/>
        </w:rPr>
        <w:t> </w:t>
      </w:r>
      <w:r>
        <w:rPr>
          <w:rFonts w:ascii="Book Antiqua"/>
          <w:rtl w:val="0"/>
          <w:lang w:val="it-IT"/>
        </w:rPr>
        <w:t>di incenerimento di rifiuti urbani e assimilabili</w:t>
      </w:r>
      <w:r>
        <w:rPr>
          <w:rFonts w:hAnsi="Book Antiqua" w:hint="default"/>
          <w:rtl w:val="0"/>
          <w:lang w:val="it-IT"/>
        </w:rPr>
        <w:t> </w:t>
      </w:r>
      <w:r>
        <w:rPr>
          <w:rFonts w:ascii="Book Antiqua"/>
          <w:rtl w:val="0"/>
          <w:lang w:val="it-IT"/>
        </w:rPr>
        <w:t>autorizzati, ma non ancora in esercizio</w:t>
      </w:r>
      <w:r>
        <w:rPr>
          <w:rFonts w:hAnsi="Book Antiqua" w:hint="default"/>
          <w:rtl w:val="0"/>
          <w:lang w:val="it-IT"/>
        </w:rPr>
        <w:t> </w:t>
      </w:r>
      <w:r>
        <w:rPr>
          <w:rFonts w:ascii="Book Antiqua"/>
          <w:rtl w:val="0"/>
          <w:lang w:val="it-IT"/>
        </w:rPr>
        <w:t xml:space="preserve">(quantificata nella tabella B in 665.650 tonnellate/anno ); </w:t>
      </w:r>
    </w:p>
    <w:p>
      <w:pPr>
        <w:pStyle w:val="List Paragraph"/>
        <w:numPr>
          <w:ilvl w:val="0"/>
          <w:numId w:val="112"/>
        </w:numPr>
        <w:tabs>
          <w:tab w:val="num" w:pos="708"/>
          <w:tab w:val="clear" w:pos="0"/>
        </w:tabs>
        <w:bidi w:val="0"/>
        <w:ind w:left="567" w:right="567" w:firstLine="0"/>
        <w:jc w:val="both"/>
        <w:rPr>
          <w:rFonts w:ascii="Book Antiqua" w:cs="Book Antiqua" w:hAnsi="Book Antiqua" w:eastAsia="Book Antiqua"/>
          <w:position w:val="0"/>
          <w:sz w:val="24"/>
          <w:szCs w:val="24"/>
          <w:rtl w:val="0"/>
        </w:rPr>
      </w:pPr>
      <w:r>
        <w:rPr>
          <w:rFonts w:ascii="Book Antiqua"/>
          <w:rtl w:val="0"/>
          <w:lang w:val="it-IT"/>
        </w:rPr>
        <w:t>del</w:t>
      </w:r>
      <w:r>
        <w:rPr>
          <w:rFonts w:hAnsi="Book Antiqua" w:hint="default"/>
          <w:rtl w:val="0"/>
          <w:lang w:val="it-IT"/>
        </w:rPr>
        <w:t> </w:t>
      </w:r>
      <w:r>
        <w:rPr>
          <w:rFonts w:ascii="Book Antiqua"/>
          <w:rtl w:val="0"/>
          <w:lang w:val="it-IT"/>
        </w:rPr>
        <w:t>fabbisogno</w:t>
      </w:r>
      <w:r>
        <w:rPr>
          <w:rFonts w:hAnsi="Book Antiqua" w:hint="default"/>
          <w:rtl w:val="0"/>
          <w:lang w:val="it-IT"/>
        </w:rPr>
        <w:t> </w:t>
      </w:r>
      <w:r>
        <w:rPr>
          <w:rFonts w:ascii="Book Antiqua"/>
          <w:rtl w:val="0"/>
          <w:lang w:val="it-IT"/>
        </w:rPr>
        <w:t>residuo</w:t>
      </w:r>
      <w:r>
        <w:rPr>
          <w:rFonts w:hAnsi="Book Antiqua" w:hint="default"/>
          <w:rtl w:val="0"/>
          <w:lang w:val="it-IT"/>
        </w:rPr>
        <w:t> </w:t>
      </w:r>
      <w:r>
        <w:rPr>
          <w:rFonts w:ascii="Book Antiqua"/>
          <w:rtl w:val="0"/>
          <w:lang w:val="it-IT"/>
        </w:rPr>
        <w:t>da coprire mediante la realizzazione di impianti di incenerimento con recupero</w:t>
      </w:r>
      <w:r>
        <w:rPr>
          <w:rFonts w:hAnsi="Book Antiqua" w:hint="default"/>
          <w:rtl w:val="0"/>
          <w:lang w:val="it-IT"/>
        </w:rPr>
        <w:t> </w:t>
      </w:r>
      <w:r>
        <w:rPr>
          <w:rFonts w:ascii="Book Antiqua"/>
          <w:rtl w:val="0"/>
          <w:lang w:val="it-IT"/>
        </w:rPr>
        <w:t>di rifiuti urbani e assimilati (quantificato nella tabella C in 1,8 milioni de tonnellate/anno ).</w:t>
      </w:r>
    </w:p>
    <w:p>
      <w:pPr>
        <w:pStyle w:val="Normal"/>
        <w:ind w:left="567" w:right="567" w:firstLine="0"/>
        <w:jc w:val="both"/>
        <w:rPr>
          <w:rFonts w:ascii="Book Antiqua" w:cs="Book Antiqua" w:hAnsi="Book Antiqua" w:eastAsia="Book Antiqua"/>
        </w:rPr>
      </w:pPr>
      <w:r>
        <w:rPr>
          <w:rFonts w:ascii="Book Antiqua"/>
          <w:rtl w:val="0"/>
          <w:lang w:val="it-IT"/>
        </w:rPr>
        <w:t>In ragione di tale fabbisogno viene prevista la</w:t>
      </w:r>
      <w:r>
        <w:rPr>
          <w:rFonts w:hAnsi="Book Antiqua" w:hint="default"/>
          <w:rtl w:val="0"/>
          <w:lang w:val="it-IT"/>
        </w:rPr>
        <w:t> </w:t>
      </w:r>
      <w:r>
        <w:rPr>
          <w:rFonts w:ascii="Book Antiqua"/>
          <w:rtl w:val="0"/>
          <w:lang w:val="it-IT"/>
        </w:rPr>
        <w:t>realizzazione di otto nuovi impianti di incenerimento sul territorio nazionale, collocati</w:t>
      </w:r>
      <w:r>
        <w:rPr>
          <w:rFonts w:hAnsi="Book Antiqua" w:hint="default"/>
          <w:rtl w:val="0"/>
          <w:lang w:val="it-IT"/>
        </w:rPr>
        <w:t> </w:t>
      </w:r>
      <w:r>
        <w:rPr>
          <w:rFonts w:ascii="Book Antiqua"/>
          <w:rtl w:val="0"/>
          <w:lang w:val="it-IT"/>
        </w:rPr>
        <w:t>nelle seguenti regioni: Umbria (con una capacit</w:t>
      </w:r>
      <w:r>
        <w:rPr>
          <w:rFonts w:hAnsi="Book Antiqua" w:hint="default"/>
          <w:rtl w:val="0"/>
          <w:lang w:val="it-IT"/>
        </w:rPr>
        <w:t xml:space="preserve">à </w:t>
      </w:r>
      <w:r>
        <w:rPr>
          <w:rFonts w:ascii="Book Antiqua"/>
          <w:rtl w:val="0"/>
          <w:lang w:val="it-IT"/>
        </w:rPr>
        <w:t>di 130.000 tonnellate/anno ); Marche (190.000 tonnellate/anno); Lazio (210.000 tonnellate/anno); Campania (300.000 tonnellate/anno); Abruzzo (120.000 tonnellate/anno); Sardegna (101.000 tonnellate/anno) e Sicilia (in cui sono previsti 2 impianti, con una capacit</w:t>
      </w:r>
      <w:r>
        <w:rPr>
          <w:rFonts w:hAnsi="Book Antiqua" w:hint="default"/>
          <w:rtl w:val="0"/>
          <w:lang w:val="it-IT"/>
        </w:rPr>
        <w:t xml:space="preserve">à </w:t>
      </w:r>
      <w:r>
        <w:rPr>
          <w:rFonts w:ascii="Book Antiqua"/>
          <w:rtl w:val="0"/>
          <w:lang w:val="it-IT"/>
        </w:rPr>
        <w:t>complessiva di 690.000 tonnellate/anno). Viene altres</w:t>
      </w:r>
      <w:r>
        <w:rPr>
          <w:rFonts w:hAnsi="Book Antiqua" w:hint="default"/>
          <w:rtl w:val="0"/>
          <w:lang w:val="it-IT"/>
        </w:rPr>
        <w:t xml:space="preserve">ì </w:t>
      </w:r>
      <w:r>
        <w:rPr>
          <w:rFonts w:ascii="Book Antiqua"/>
          <w:rtl w:val="0"/>
          <w:lang w:val="it-IT"/>
        </w:rPr>
        <w:t xml:space="preserve">previsto il potenziamento di 70.000 tonnellate/anno  per gli impianti della regione Puglia e di 20.000 tonnellate/anno  per la Sardegna. </w:t>
      </w:r>
    </w:p>
    <w:p>
      <w:pPr>
        <w:pStyle w:val="Normal"/>
        <w:ind w:left="567" w:right="567" w:firstLine="0"/>
        <w:jc w:val="both"/>
        <w:rPr>
          <w:rFonts w:ascii="Book Antiqua" w:cs="Book Antiqua" w:hAnsi="Book Antiqua" w:eastAsia="Book Antiqua"/>
        </w:rPr>
      </w:pPr>
      <w:r>
        <w:rPr>
          <w:rFonts w:ascii="Book Antiqua"/>
          <w:rtl w:val="0"/>
          <w:lang w:val="it-IT"/>
        </w:rPr>
        <w:t xml:space="preserve">Occorre ricordare che la Corte costituzionale, con la sentenza n. 244 del 5 ottobre </w:t>
      </w:r>
      <w:r>
        <w:rPr>
          <w:rFonts w:hAnsi="Book Antiqua" w:hint="default"/>
          <w:rtl w:val="0"/>
          <w:lang w:val="it-IT"/>
        </w:rPr>
        <w:t xml:space="preserve">– </w:t>
      </w:r>
      <w:r>
        <w:rPr>
          <w:rFonts w:ascii="Book Antiqua"/>
          <w:rtl w:val="0"/>
          <w:lang w:val="it-IT"/>
        </w:rPr>
        <w:t>22 novembre 2016 ha dichiarato infondate le questioni di legittimit</w:t>
      </w:r>
      <w:r>
        <w:rPr>
          <w:rFonts w:hAnsi="Book Antiqua" w:hint="default"/>
          <w:rtl w:val="0"/>
          <w:lang w:val="it-IT"/>
        </w:rPr>
        <w:t xml:space="preserve">à </w:t>
      </w:r>
      <w:r>
        <w:rPr>
          <w:rFonts w:ascii="Book Antiqua"/>
          <w:rtl w:val="0"/>
          <w:lang w:val="it-IT"/>
        </w:rPr>
        <w:t>costituzionale dell'articolo 35 del decreto legge n. 133 del 2014 sollevate da alcune regioni.</w:t>
      </w:r>
    </w:p>
    <w:p>
      <w:pPr>
        <w:pStyle w:val="Normal"/>
        <w:ind w:left="567" w:right="567" w:firstLine="0"/>
        <w:jc w:val="both"/>
        <w:rPr>
          <w:rFonts w:ascii="Book Antiqua" w:cs="Book Antiqua" w:hAnsi="Book Antiqua" w:eastAsia="Book Antiqua"/>
        </w:rPr>
      </w:pPr>
      <w:r>
        <w:rPr>
          <w:rFonts w:ascii="Book Antiqua"/>
          <w:rtl w:val="0"/>
          <w:lang w:val="it-IT"/>
        </w:rPr>
        <w:t xml:space="preserve">Secondo quanto previsto nel decreto la regione Lazio dovrebbe programmare la costruzione di due nuovi inceneritori e autorizzare la messa in esercizio del gassificatore di Malagrotta. </w:t>
      </w:r>
    </w:p>
    <w:p>
      <w:pPr>
        <w:pStyle w:val="Normal"/>
        <w:ind w:left="567" w:right="567" w:firstLine="0"/>
        <w:jc w:val="both"/>
        <w:rPr>
          <w:rFonts w:ascii="Book Antiqua" w:cs="Book Antiqua" w:hAnsi="Book Antiqua" w:eastAsia="Book Antiqua"/>
        </w:rPr>
      </w:pPr>
      <w:r>
        <w:rPr>
          <w:rFonts w:ascii="Book Antiqua"/>
          <w:rtl w:val="0"/>
          <w:lang w:val="it-IT"/>
        </w:rPr>
        <w:t xml:space="preserve">Il presidente della regione Lazio - in occasione dello </w:t>
      </w:r>
      <w:r>
        <w:rPr>
          <w:rFonts w:ascii="Book Antiqua"/>
          <w:shd w:val="clear" w:color="auto" w:fill="ffffff"/>
          <w:rtl w:val="0"/>
          <w:lang w:val="it-IT"/>
        </w:rPr>
        <w:t>svolgimento della verifica di assoggettabilit</w:t>
      </w:r>
      <w:r>
        <w:rPr>
          <w:rFonts w:hAnsi="Book Antiqua" w:hint="default"/>
          <w:shd w:val="clear" w:color="auto" w:fill="ffffff"/>
          <w:rtl w:val="0"/>
          <w:lang w:val="it-IT"/>
        </w:rPr>
        <w:t xml:space="preserve">à </w:t>
      </w:r>
      <w:r>
        <w:rPr>
          <w:rFonts w:ascii="Book Antiqua"/>
          <w:shd w:val="clear" w:color="auto" w:fill="ffffff"/>
          <w:rtl w:val="0"/>
          <w:lang w:val="it-IT"/>
        </w:rPr>
        <w:t>a VAS del Programma recante l'individuazione della capacit</w:t>
      </w:r>
      <w:r>
        <w:rPr>
          <w:rFonts w:hAnsi="Book Antiqua" w:hint="default"/>
          <w:shd w:val="clear" w:color="auto" w:fill="ffffff"/>
          <w:rtl w:val="0"/>
          <w:lang w:val="it-IT"/>
        </w:rPr>
        <w:t xml:space="preserve">à </w:t>
      </w:r>
      <w:r>
        <w:rPr>
          <w:rFonts w:ascii="Book Antiqua"/>
          <w:shd w:val="clear" w:color="auto" w:fill="ffffff"/>
          <w:rtl w:val="0"/>
          <w:lang w:val="it-IT"/>
        </w:rPr>
        <w:t>complessiva di trattamento degli impianti di incenerimento di rifiuti urbani e assimilati in esercizio o autorizzati a livello nazionale, nonch</w:t>
      </w:r>
      <w:r>
        <w:rPr>
          <w:rFonts w:hAnsi="Book Antiqua" w:hint="default"/>
          <w:shd w:val="clear" w:color="auto" w:fill="ffffff"/>
          <w:rtl w:val="0"/>
          <w:lang w:val="it-IT"/>
        </w:rPr>
        <w:t xml:space="preserve">é </w:t>
      </w:r>
      <w:r>
        <w:rPr>
          <w:rFonts w:ascii="Book Antiqua"/>
          <w:shd w:val="clear" w:color="auto" w:fill="ffffff"/>
          <w:rtl w:val="0"/>
          <w:lang w:val="it-IT"/>
        </w:rPr>
        <w:t xml:space="preserve">l'individuazione del fabbisogno residuo da coprire mediante la realizzazione di impianti di incenerimento con recupero di rifiuti urbani e assimilati </w:t>
      </w:r>
      <w:r>
        <w:rPr>
          <w:rFonts w:hAnsi="Book Antiqua" w:hint="default"/>
          <w:shd w:val="clear" w:color="auto" w:fill="ffffff"/>
          <w:rtl w:val="0"/>
          <w:lang w:val="it-IT"/>
        </w:rPr>
        <w:t xml:space="preserve">– </w:t>
      </w:r>
      <w:r>
        <w:rPr>
          <w:rFonts w:ascii="Book Antiqua"/>
          <w:shd w:val="clear" w:color="auto" w:fill="ffffff"/>
          <w:rtl w:val="0"/>
          <w:lang w:val="it-IT"/>
        </w:rPr>
        <w:t>rispose alle richieste del Ministero dell</w:t>
      </w:r>
      <w:r>
        <w:rPr>
          <w:rFonts w:hAnsi="Book Antiqua" w:hint="default"/>
          <w:shd w:val="clear" w:color="auto" w:fill="ffffff"/>
          <w:rtl w:val="0"/>
          <w:lang w:val="it-IT"/>
        </w:rPr>
        <w:t>’</w:t>
      </w:r>
      <w:r>
        <w:rPr>
          <w:rFonts w:ascii="Book Antiqua"/>
          <w:shd w:val="clear" w:color="auto" w:fill="ffffff"/>
          <w:rtl w:val="0"/>
          <w:lang w:val="it-IT"/>
        </w:rPr>
        <w:t xml:space="preserve">ambiente </w:t>
      </w:r>
      <w:r>
        <w:rPr>
          <w:rFonts w:ascii="Book Antiqua"/>
          <w:rtl w:val="0"/>
          <w:lang w:val="it-IT"/>
        </w:rPr>
        <w:t>attraverso la deliberazione della Giunta regionale - numero 199 del 22 aprile 2016</w:t>
      </w:r>
      <w:r>
        <w:rPr>
          <w:rFonts w:ascii="Book Antiqua" w:cs="Book Antiqua" w:hAnsi="Book Antiqua" w:eastAsia="Book Antiqua"/>
          <w:vertAlign w:val="superscript"/>
          <w:rtl w:val="0"/>
        </w:rPr>
        <w:footnoteReference w:id="162"/>
      </w:r>
      <w:r>
        <w:rPr>
          <w:rFonts w:ascii="Book Antiqua"/>
          <w:rtl w:val="0"/>
          <w:lang w:val="it-IT"/>
        </w:rPr>
        <w:t xml:space="preserve"> concernente: </w:t>
      </w:r>
      <w:r>
        <w:rPr>
          <w:rFonts w:hAnsi="Book Antiqua" w:hint="default"/>
          <w:rtl w:val="0"/>
          <w:lang w:val="it-IT"/>
        </w:rPr>
        <w:t>“</w:t>
      </w:r>
      <w:r>
        <w:rPr>
          <w:rFonts w:ascii="Book Antiqua"/>
          <w:rtl w:val="0"/>
          <w:lang w:val="it-IT"/>
        </w:rPr>
        <w:t>Determinazione del fabbisogno</w:t>
      </w:r>
      <w:r>
        <w:rPr>
          <w:rFonts w:hAnsi="Book Antiqua" w:hint="default"/>
          <w:rtl w:val="0"/>
          <w:lang w:val="it-IT"/>
        </w:rPr>
        <w:t xml:space="preserve">” </w:t>
      </w:r>
      <w:r>
        <w:rPr>
          <w:rFonts w:ascii="Book Antiqua"/>
          <w:rtl w:val="0"/>
          <w:lang w:val="it-IT"/>
        </w:rPr>
        <w:t>documento che sostituisce il paragrafo 10.7 del vigente piano regionale dei rifiuti di cui alla deliberazione di Consiglio 18 gennaio 2012, n. 14 cos</w:t>
      </w:r>
      <w:r>
        <w:rPr>
          <w:rFonts w:hAnsi="Book Antiqua" w:hint="default"/>
          <w:rtl w:val="0"/>
          <w:lang w:val="it-IT"/>
        </w:rPr>
        <w:t xml:space="preserve">ì </w:t>
      </w:r>
      <w:r>
        <w:rPr>
          <w:rFonts w:ascii="Book Antiqua"/>
          <w:rtl w:val="0"/>
          <w:lang w:val="it-IT"/>
        </w:rPr>
        <w:t>come modificato dalla deliberazione di Consiglio 24 luglio 2013, n. 8</w:t>
      </w:r>
      <w:r>
        <w:rPr>
          <w:rFonts w:ascii="Book Antiqua"/>
          <w:vertAlign w:val="superscript"/>
          <w:rtl w:val="0"/>
          <w:lang w:val="it-IT"/>
        </w:rPr>
        <w:t xml:space="preserve"> </w:t>
      </w:r>
      <w:r>
        <w:rPr>
          <w:rFonts w:ascii="Book Antiqua" w:cs="Book Antiqua" w:hAnsi="Book Antiqua" w:eastAsia="Book Antiqua"/>
          <w:vertAlign w:val="superscript"/>
          <w:rtl w:val="0"/>
        </w:rPr>
        <w:footnoteReference w:id="163"/>
      </w:r>
      <w:r>
        <w:rPr>
          <w:rFonts w:ascii="Book Antiqua"/>
          <w:rtl w:val="0"/>
          <w:lang w:val="it-IT"/>
        </w:rPr>
        <w:t xml:space="preserve"> .</w:t>
      </w:r>
    </w:p>
    <w:p>
      <w:pPr>
        <w:pStyle w:val="Normal"/>
        <w:ind w:left="567" w:right="567" w:firstLine="0"/>
        <w:jc w:val="both"/>
        <w:rPr>
          <w:rFonts w:ascii="Book Antiqua" w:cs="Book Antiqua" w:hAnsi="Book Antiqua" w:eastAsia="Book Antiqua"/>
        </w:rPr>
      </w:pPr>
      <w:r>
        <w:rPr>
          <w:rFonts w:ascii="Book Antiqua"/>
          <w:rtl w:val="0"/>
          <w:lang w:val="it-IT"/>
        </w:rPr>
        <w:t xml:space="preserve">Il testo, sulla questione degli inceneritori riporta: </w:t>
      </w:r>
      <w:r>
        <w:rPr>
          <w:rFonts w:hAnsi="Book Antiqua" w:hint="default"/>
          <w:rtl w:val="0"/>
          <w:lang w:val="it-IT"/>
        </w:rPr>
        <w:t>“</w:t>
      </w:r>
      <w:r>
        <w:rPr>
          <w:rFonts w:ascii="Book Antiqua"/>
          <w:rtl w:val="0"/>
          <w:lang w:val="it-IT"/>
        </w:rPr>
        <w:t>Gli impianti di termovalorizzazione al momento insufficienti, raggiungono il pareggio al nell</w:t>
      </w:r>
      <w:r>
        <w:rPr>
          <w:rFonts w:hAnsi="Book Antiqua" w:hint="default"/>
          <w:rtl w:val="0"/>
          <w:lang w:val="it-IT"/>
        </w:rPr>
        <w:t>’</w:t>
      </w:r>
      <w:r>
        <w:rPr>
          <w:rFonts w:ascii="Book Antiqua"/>
          <w:rtl w:val="0"/>
          <w:lang w:val="it-IT"/>
        </w:rPr>
        <w:t>anno 2019 della 1</w:t>
      </w:r>
      <w:r>
        <w:rPr>
          <w:rFonts w:hAnsi="Book Antiqua" w:hint="default"/>
          <w:rtl w:val="0"/>
          <w:lang w:val="it-IT"/>
        </w:rPr>
        <w:t xml:space="preserve">° </w:t>
      </w:r>
      <w:r>
        <w:rPr>
          <w:rFonts w:ascii="Book Antiqua"/>
          <w:rtl w:val="0"/>
          <w:lang w:val="it-IT"/>
        </w:rPr>
        <w:t>ipotesi e nell</w:t>
      </w:r>
      <w:r>
        <w:rPr>
          <w:rFonts w:hAnsi="Book Antiqua" w:hint="default"/>
          <w:rtl w:val="0"/>
          <w:lang w:val="it-IT"/>
        </w:rPr>
        <w:t>’</w:t>
      </w:r>
      <w:r>
        <w:rPr>
          <w:rFonts w:ascii="Book Antiqua"/>
          <w:rtl w:val="0"/>
          <w:lang w:val="it-IT"/>
        </w:rPr>
        <w:t>anno 2020 della 2</w:t>
      </w:r>
      <w:r>
        <w:rPr>
          <w:rFonts w:hAnsi="Book Antiqua" w:hint="default"/>
          <w:rtl w:val="0"/>
          <w:lang w:val="it-IT"/>
        </w:rPr>
        <w:t xml:space="preserve">° </w:t>
      </w:r>
      <w:r>
        <w:rPr>
          <w:rFonts w:ascii="Book Antiqua"/>
          <w:rtl w:val="0"/>
          <w:lang w:val="it-IT"/>
        </w:rPr>
        <w:t>ipotesi. In entrambi i casi la necessit</w:t>
      </w:r>
      <w:r>
        <w:rPr>
          <w:rFonts w:hAnsi="Book Antiqua" w:hint="default"/>
          <w:rtl w:val="0"/>
          <w:lang w:val="it-IT"/>
        </w:rPr>
        <w:t xml:space="preserve">à </w:t>
      </w:r>
      <w:r>
        <w:rPr>
          <w:rFonts w:ascii="Book Antiqua"/>
          <w:rtl w:val="0"/>
          <w:lang w:val="it-IT"/>
        </w:rPr>
        <w:t>della realizzazione di ogni ulteriore impianto, per il quale occorre un periodo tra iter amministrativo e realizzativo superiore ai 3 anni, viene annullata proprio per l</w:t>
      </w:r>
      <w:r>
        <w:rPr>
          <w:rFonts w:hAnsi="Book Antiqua" w:hint="default"/>
          <w:rtl w:val="0"/>
          <w:lang w:val="it-IT"/>
        </w:rPr>
        <w:t>’</w:t>
      </w:r>
      <w:r>
        <w:rPr>
          <w:rFonts w:ascii="Book Antiqua"/>
          <w:rtl w:val="0"/>
          <w:lang w:val="it-IT"/>
        </w:rPr>
        <w:t>aumento della raccolta differenziata. Per questo non si prevede in alcun modo la necessit</w:t>
      </w:r>
      <w:r>
        <w:rPr>
          <w:rFonts w:hAnsi="Book Antiqua" w:hint="default"/>
          <w:rtl w:val="0"/>
          <w:lang w:val="it-IT"/>
        </w:rPr>
        <w:t xml:space="preserve">à </w:t>
      </w:r>
      <w:r>
        <w:rPr>
          <w:rFonts w:ascii="Book Antiqua"/>
          <w:rtl w:val="0"/>
          <w:lang w:val="it-IT"/>
        </w:rPr>
        <w:t>di ulteriore impianto oltre quelli gi</w:t>
      </w:r>
      <w:r>
        <w:rPr>
          <w:rFonts w:hAnsi="Book Antiqua" w:hint="default"/>
          <w:rtl w:val="0"/>
          <w:lang w:val="it-IT"/>
        </w:rPr>
        <w:t xml:space="preserve">à </w:t>
      </w:r>
      <w:r>
        <w:rPr>
          <w:rFonts w:ascii="Book Antiqua"/>
          <w:rtl w:val="0"/>
          <w:lang w:val="it-IT"/>
        </w:rPr>
        <w:t>in esercizio. Sar</w:t>
      </w:r>
      <w:r>
        <w:rPr>
          <w:rFonts w:hAnsi="Book Antiqua" w:hint="default"/>
          <w:rtl w:val="0"/>
          <w:lang w:val="it-IT"/>
        </w:rPr>
        <w:t xml:space="preserve">à </w:t>
      </w:r>
      <w:r>
        <w:rPr>
          <w:rFonts w:ascii="Book Antiqua"/>
          <w:rtl w:val="0"/>
          <w:lang w:val="it-IT"/>
        </w:rPr>
        <w:t>invece valutato l</w:t>
      </w:r>
      <w:r>
        <w:rPr>
          <w:rFonts w:hAnsi="Book Antiqua" w:hint="default"/>
          <w:rtl w:val="0"/>
          <w:lang w:val="it-IT"/>
        </w:rPr>
        <w:t>’</w:t>
      </w:r>
      <w:r>
        <w:rPr>
          <w:rFonts w:ascii="Book Antiqua"/>
          <w:rtl w:val="0"/>
          <w:lang w:val="it-IT"/>
        </w:rPr>
        <w:t xml:space="preserve">eventuale adeguamento a carico termico degli impianti di Colleferro in sede di </w:t>
      </w:r>
      <w:r>
        <w:rPr>
          <w:rFonts w:ascii="Book Antiqua"/>
          <w:i w:val="1"/>
          <w:iCs w:val="1"/>
          <w:rtl w:val="0"/>
          <w:lang w:val="it-IT"/>
        </w:rPr>
        <w:t>revamping</w:t>
      </w:r>
      <w:r>
        <w:rPr>
          <w:rFonts w:ascii="Book Antiqua"/>
          <w:rtl w:val="0"/>
          <w:lang w:val="it-IT"/>
        </w:rPr>
        <w:t xml:space="preserve"> dei medesimi. [...] Si ricorda che nel 2017 entrer</w:t>
      </w:r>
      <w:r>
        <w:rPr>
          <w:rFonts w:hAnsi="Book Antiqua" w:hint="default"/>
          <w:rtl w:val="0"/>
          <w:lang w:val="it-IT"/>
        </w:rPr>
        <w:t xml:space="preserve">à </w:t>
      </w:r>
      <w:r>
        <w:rPr>
          <w:rFonts w:ascii="Book Antiqua"/>
          <w:rtl w:val="0"/>
          <w:lang w:val="it-IT"/>
        </w:rPr>
        <w:t>in esercizio la terza linea di San Vittore</w:t>
      </w:r>
      <w:r>
        <w:rPr>
          <w:rFonts w:hAnsi="Book Antiqua" w:hint="default"/>
          <w:rtl w:val="0"/>
          <w:lang w:val="it-IT"/>
        </w:rPr>
        <w:t>”</w:t>
      </w:r>
    </w:p>
    <w:p>
      <w:pPr>
        <w:pStyle w:val="Normal"/>
        <w:ind w:left="567" w:right="567" w:firstLine="0"/>
        <w:jc w:val="both"/>
        <w:rPr>
          <w:rFonts w:ascii="Book Antiqua Bold" w:cs="Book Antiqua Bold" w:hAnsi="Book Antiqua Bold" w:eastAsia="Book Antiqua Bold"/>
          <w:b w:val="1"/>
          <w:bCs w:val="1"/>
          <w:u w:val="single"/>
        </w:rPr>
      </w:pPr>
      <w:r>
        <w:rPr>
          <w:rFonts w:ascii="Book Antiqua"/>
          <w:rtl w:val="0"/>
          <w:lang w:val="it-IT"/>
        </w:rPr>
        <w:t>Tesi confermata davanti alla Commissione da Flaminia Tosini, dirigente dell</w:t>
      </w:r>
      <w:r>
        <w:rPr>
          <w:rFonts w:hAnsi="Book Antiqua" w:hint="default"/>
          <w:rtl w:val="0"/>
          <w:lang w:val="it-IT"/>
        </w:rPr>
        <w:t>’</w:t>
      </w:r>
      <w:r>
        <w:rPr>
          <w:rFonts w:ascii="Book Antiqua"/>
          <w:rtl w:val="0"/>
          <w:lang w:val="it-IT"/>
        </w:rPr>
        <w:t>area ciclo integrato rifiuti della regione Lazio che, durante l</w:t>
      </w:r>
      <w:r>
        <w:rPr>
          <w:rFonts w:hAnsi="Book Antiqua" w:hint="default"/>
          <w:rtl w:val="0"/>
          <w:lang w:val="it-IT"/>
        </w:rPr>
        <w:t>’</w:t>
      </w:r>
      <w:r>
        <w:rPr>
          <w:rFonts w:ascii="Book Antiqua"/>
          <w:rtl w:val="0"/>
          <w:lang w:val="it-IT"/>
        </w:rPr>
        <w:t>audizione dell</w:t>
      </w:r>
      <w:r>
        <w:rPr>
          <w:rFonts w:hAnsi="Book Antiqua" w:hint="default"/>
          <w:rtl w:val="0"/>
          <w:lang w:val="it-IT"/>
        </w:rPr>
        <w:t>’</w:t>
      </w:r>
      <w:r>
        <w:rPr>
          <w:rFonts w:ascii="Book Antiqua"/>
          <w:rtl w:val="0"/>
          <w:lang w:val="it-IT"/>
        </w:rPr>
        <w:t xml:space="preserve">11 luglio 2016, ha dichiarato: </w:t>
      </w:r>
      <w:r>
        <w:rPr>
          <w:rFonts w:hAnsi="Book Antiqua" w:hint="default"/>
          <w:rtl w:val="0"/>
          <w:lang w:val="it-IT"/>
        </w:rPr>
        <w:t>“</w:t>
      </w:r>
      <w:r>
        <w:rPr>
          <w:rFonts w:ascii="Book Antiqua"/>
          <w:rtl w:val="0"/>
          <w:lang w:val="it-IT"/>
        </w:rPr>
        <w:t>L</w:t>
      </w:r>
      <w:r>
        <w:rPr>
          <w:rFonts w:hAnsi="Book Antiqua" w:hint="default"/>
          <w:rtl w:val="0"/>
          <w:lang w:val="it-IT"/>
        </w:rPr>
        <w:t>’</w:t>
      </w:r>
      <w:r>
        <w:rPr>
          <w:rFonts w:ascii="Book Antiqua"/>
          <w:rtl w:val="0"/>
          <w:lang w:val="it-IT"/>
        </w:rPr>
        <w:t xml:space="preserve">elemento che oggi si </w:t>
      </w:r>
      <w:r>
        <w:rPr>
          <w:rFonts w:hAnsi="Book Antiqua" w:hint="default"/>
          <w:rtl w:val="0"/>
          <w:lang w:val="it-IT"/>
        </w:rPr>
        <w:t xml:space="preserve">è </w:t>
      </w:r>
      <w:r>
        <w:rPr>
          <w:rFonts w:ascii="Book Antiqua"/>
          <w:rtl w:val="0"/>
          <w:lang w:val="it-IT"/>
        </w:rPr>
        <w:t xml:space="preserve">evidenziato e che risulta essere mancante </w:t>
      </w:r>
      <w:r>
        <w:rPr>
          <w:rFonts w:hAnsi="Book Antiqua" w:hint="default"/>
          <w:rtl w:val="0"/>
          <w:lang w:val="it-IT"/>
        </w:rPr>
        <w:t xml:space="preserve">è </w:t>
      </w:r>
      <w:r>
        <w:rPr>
          <w:rFonts w:ascii="Book Antiqua"/>
          <w:rtl w:val="0"/>
          <w:lang w:val="it-IT"/>
        </w:rPr>
        <w:t>la disponibilit</w:t>
      </w:r>
      <w:r>
        <w:rPr>
          <w:rFonts w:hAnsi="Book Antiqua" w:hint="default"/>
          <w:rtl w:val="0"/>
          <w:lang w:val="it-IT"/>
        </w:rPr>
        <w:t xml:space="preserve">à </w:t>
      </w:r>
      <w:r>
        <w:rPr>
          <w:rFonts w:ascii="Book Antiqua"/>
          <w:rtl w:val="0"/>
          <w:lang w:val="it-IT"/>
        </w:rPr>
        <w:t>ad effettuare la termovalorizzazione dei rifiuti nel Lazio. Abbiamo tre impianti autorizzati, realizzati e in esercizio, che sono quelli di Colleferro, di Lazio Ambiente e di ACEA a San Vittore. L</w:t>
      </w:r>
      <w:r>
        <w:rPr>
          <w:rFonts w:hAnsi="Book Antiqua" w:hint="default"/>
          <w:rtl w:val="0"/>
          <w:lang w:val="it-IT"/>
        </w:rPr>
        <w:t>’</w:t>
      </w:r>
      <w:r>
        <w:rPr>
          <w:rFonts w:ascii="Book Antiqua"/>
          <w:rtl w:val="0"/>
          <w:lang w:val="it-IT"/>
        </w:rPr>
        <w:t>impianto si chiama ARIA. Questi tre impianti non sono sufficienti per la produzione di CDR del Lazio. Quindi l</w:t>
      </w:r>
      <w:r>
        <w:rPr>
          <w:rFonts w:hAnsi="Book Antiqua" w:hint="default"/>
          <w:rtl w:val="0"/>
          <w:lang w:val="it-IT"/>
        </w:rPr>
        <w:t>’</w:t>
      </w:r>
      <w:r>
        <w:rPr>
          <w:rFonts w:ascii="Book Antiqua"/>
          <w:rtl w:val="0"/>
          <w:lang w:val="it-IT"/>
        </w:rPr>
        <w:t>ipotesi da valutare era, cos</w:t>
      </w:r>
      <w:r>
        <w:rPr>
          <w:rFonts w:hAnsi="Book Antiqua" w:hint="default"/>
          <w:rtl w:val="0"/>
          <w:lang w:val="it-IT"/>
        </w:rPr>
        <w:t xml:space="preserve">ì </w:t>
      </w:r>
      <w:r>
        <w:rPr>
          <w:rFonts w:ascii="Book Antiqua"/>
          <w:rtl w:val="0"/>
          <w:lang w:val="it-IT"/>
        </w:rPr>
        <w:t>come dice il Ministero, se serva un altro impianto nel Lazio oppure se non serva. L</w:t>
      </w:r>
      <w:r>
        <w:rPr>
          <w:rFonts w:hAnsi="Book Antiqua" w:hint="default"/>
          <w:rtl w:val="0"/>
          <w:lang w:val="it-IT"/>
        </w:rPr>
        <w:t>’</w:t>
      </w:r>
      <w:r>
        <w:rPr>
          <w:rFonts w:ascii="Book Antiqua"/>
          <w:rtl w:val="0"/>
          <w:lang w:val="it-IT"/>
        </w:rPr>
        <w:t xml:space="preserve">ipotesi fatta, se lo scenario </w:t>
      </w:r>
      <w:r>
        <w:rPr>
          <w:rFonts w:hAnsi="Book Antiqua" w:hint="default"/>
          <w:rtl w:val="0"/>
          <w:lang w:val="it-IT"/>
        </w:rPr>
        <w:t xml:space="preserve">– </w:t>
      </w:r>
      <w:r>
        <w:rPr>
          <w:rFonts w:ascii="Book Antiqua"/>
          <w:rtl w:val="0"/>
          <w:lang w:val="it-IT"/>
        </w:rPr>
        <w:t>cos</w:t>
      </w:r>
      <w:r>
        <w:rPr>
          <w:rFonts w:hAnsi="Book Antiqua" w:hint="default"/>
          <w:rtl w:val="0"/>
          <w:lang w:val="it-IT"/>
        </w:rPr>
        <w:t xml:space="preserve">ì </w:t>
      </w:r>
      <w:r>
        <w:rPr>
          <w:rFonts w:ascii="Book Antiqua"/>
          <w:rtl w:val="0"/>
          <w:lang w:val="it-IT"/>
        </w:rPr>
        <w:t xml:space="preserve">come </w:t>
      </w:r>
      <w:r>
        <w:rPr>
          <w:rFonts w:hAnsi="Book Antiqua" w:hint="default"/>
          <w:rtl w:val="0"/>
          <w:lang w:val="it-IT"/>
        </w:rPr>
        <w:t xml:space="preserve">è </w:t>
      </w:r>
      <w:r>
        <w:rPr>
          <w:rFonts w:ascii="Book Antiqua"/>
          <w:rtl w:val="0"/>
          <w:lang w:val="it-IT"/>
        </w:rPr>
        <w:t xml:space="preserve">stato costruito </w:t>
      </w:r>
      <w:r>
        <w:rPr>
          <w:rFonts w:hAnsi="Book Antiqua" w:hint="default"/>
          <w:rtl w:val="0"/>
          <w:lang w:val="it-IT"/>
        </w:rPr>
        <w:t xml:space="preserve">– </w:t>
      </w:r>
      <w:r>
        <w:rPr>
          <w:rFonts w:ascii="Book Antiqua"/>
          <w:rtl w:val="0"/>
          <w:lang w:val="it-IT"/>
        </w:rPr>
        <w:t xml:space="preserve">porta a un miglioramento della raccolta differenziata e, contemporaneamente, alla riduzione della produzione di rifiuti, </w:t>
      </w:r>
      <w:r>
        <w:rPr>
          <w:rFonts w:hAnsi="Book Antiqua" w:hint="default"/>
          <w:rtl w:val="0"/>
          <w:lang w:val="it-IT"/>
        </w:rPr>
        <w:t xml:space="preserve">è </w:t>
      </w:r>
      <w:r>
        <w:rPr>
          <w:rFonts w:ascii="Book Antiqua"/>
          <w:rtl w:val="0"/>
          <w:lang w:val="it-IT"/>
        </w:rPr>
        <w:t>di una quantit</w:t>
      </w:r>
      <w:r>
        <w:rPr>
          <w:rFonts w:hAnsi="Book Antiqua" w:hint="default"/>
          <w:rtl w:val="0"/>
          <w:lang w:val="it-IT"/>
        </w:rPr>
        <w:t xml:space="preserve">à </w:t>
      </w:r>
      <w:r>
        <w:rPr>
          <w:rFonts w:ascii="Book Antiqua"/>
          <w:rtl w:val="0"/>
          <w:lang w:val="it-IT"/>
        </w:rPr>
        <w:t>di rifiuti da inviare alla termovalorizzazione, di qui a tre anni, che si equivale con le disponibilit</w:t>
      </w:r>
      <w:r>
        <w:rPr>
          <w:rFonts w:hAnsi="Book Antiqua" w:hint="default"/>
          <w:rtl w:val="0"/>
          <w:lang w:val="it-IT"/>
        </w:rPr>
        <w:t xml:space="preserve">à </w:t>
      </w:r>
      <w:r>
        <w:rPr>
          <w:rFonts w:ascii="Book Antiqua"/>
          <w:rtl w:val="0"/>
          <w:lang w:val="it-IT"/>
        </w:rPr>
        <w:t>degli impianti rispetto a quello che sar</w:t>
      </w:r>
      <w:r>
        <w:rPr>
          <w:rFonts w:hAnsi="Book Antiqua" w:hint="default"/>
          <w:rtl w:val="0"/>
          <w:lang w:val="it-IT"/>
        </w:rPr>
        <w:t xml:space="preserve">à </w:t>
      </w:r>
      <w:r>
        <w:rPr>
          <w:rFonts w:ascii="Book Antiqua"/>
          <w:rtl w:val="0"/>
          <w:lang w:val="it-IT"/>
        </w:rPr>
        <w:t>il fabbisogno da bruciare. Quindi, da qui a tre anni, siamo sicuramente in carenza ma, se le prospettive vengono mantenute, tra tre anni non servir</w:t>
      </w:r>
      <w:r>
        <w:rPr>
          <w:rFonts w:hAnsi="Book Antiqua" w:hint="default"/>
          <w:rtl w:val="0"/>
          <w:lang w:val="it-IT"/>
        </w:rPr>
        <w:t xml:space="preserve">à </w:t>
      </w:r>
      <w:r>
        <w:rPr>
          <w:rFonts w:ascii="Book Antiqua"/>
          <w:rtl w:val="0"/>
          <w:lang w:val="it-IT"/>
        </w:rPr>
        <w:t>pi</w:t>
      </w:r>
      <w:r>
        <w:rPr>
          <w:rFonts w:hAnsi="Book Antiqua" w:hint="default"/>
          <w:rtl w:val="0"/>
          <w:lang w:val="it-IT"/>
        </w:rPr>
        <w:t xml:space="preserve">ù </w:t>
      </w:r>
      <w:r>
        <w:rPr>
          <w:rFonts w:ascii="Book Antiqua"/>
          <w:rtl w:val="0"/>
          <w:lang w:val="it-IT"/>
        </w:rPr>
        <w:t>l</w:t>
      </w:r>
      <w:r>
        <w:rPr>
          <w:rFonts w:hAnsi="Book Antiqua" w:hint="default"/>
          <w:rtl w:val="0"/>
          <w:lang w:val="it-IT"/>
        </w:rPr>
        <w:t>’</w:t>
      </w:r>
      <w:r>
        <w:rPr>
          <w:rFonts w:ascii="Book Antiqua"/>
          <w:rtl w:val="0"/>
          <w:lang w:val="it-IT"/>
        </w:rPr>
        <w:t xml:space="preserve">impianto. Pertanto la scelta della regione </w:t>
      </w:r>
      <w:r>
        <w:rPr>
          <w:rFonts w:hAnsi="Book Antiqua" w:hint="default"/>
          <w:rtl w:val="0"/>
          <w:lang w:val="it-IT"/>
        </w:rPr>
        <w:t xml:space="preserve">è </w:t>
      </w:r>
      <w:r>
        <w:rPr>
          <w:rFonts w:ascii="Book Antiqua"/>
          <w:rtl w:val="0"/>
          <w:lang w:val="it-IT"/>
        </w:rPr>
        <w:t>stata di non costruire un nuovo impianto, logicamente se rispettiamo la riduzione della produzione di rifiuti e l</w:t>
      </w:r>
      <w:r>
        <w:rPr>
          <w:rFonts w:hAnsi="Book Antiqua" w:hint="default"/>
          <w:rtl w:val="0"/>
          <w:lang w:val="it-IT"/>
        </w:rPr>
        <w:t>’</w:t>
      </w:r>
      <w:r>
        <w:rPr>
          <w:rFonts w:ascii="Book Antiqua"/>
          <w:rtl w:val="0"/>
          <w:lang w:val="it-IT"/>
        </w:rPr>
        <w:t>aumento della raccolta differenziata. Ad oggi, per</w:t>
      </w:r>
      <w:r>
        <w:rPr>
          <w:rFonts w:hAnsi="Book Antiqua" w:hint="default"/>
          <w:rtl w:val="0"/>
          <w:lang w:val="it-IT"/>
        </w:rPr>
        <w:t>ò</w:t>
      </w:r>
      <w:r>
        <w:rPr>
          <w:rFonts w:ascii="Book Antiqua"/>
          <w:rtl w:val="0"/>
          <w:lang w:val="it-IT"/>
        </w:rPr>
        <w:t>, da qui a tre anni, siamo in difetto.</w:t>
      </w:r>
      <w:r>
        <w:rPr>
          <w:rFonts w:hAnsi="Book Antiqua" w:hint="default"/>
          <w:rtl w:val="0"/>
          <w:lang w:val="it-IT"/>
        </w:rPr>
        <w:t>”</w:t>
      </w:r>
    </w:p>
    <w:p>
      <w:pPr>
        <w:pStyle w:val="Normal"/>
        <w:ind w:left="567" w:right="567" w:firstLine="0"/>
        <w:jc w:val="both"/>
        <w:rPr>
          <w:rFonts w:ascii="Book Antiqua" w:cs="Book Antiqua" w:hAnsi="Book Antiqua" w:eastAsia="Book Antiqua"/>
        </w:rPr>
      </w:pPr>
      <w:r>
        <w:rPr>
          <w:rFonts w:ascii="Book Antiqua"/>
          <w:shd w:val="clear" w:color="auto" w:fill="ffffff"/>
          <w:rtl w:val="0"/>
          <w:lang w:val="it-IT"/>
        </w:rPr>
        <w:t>Nonostante i rilievi avanzati da parte della regione Lazio in fase di assoggettablit</w:t>
      </w:r>
      <w:r>
        <w:rPr>
          <w:rFonts w:hAnsi="Book Antiqua" w:hint="default"/>
          <w:shd w:val="clear" w:color="auto" w:fill="ffffff"/>
          <w:rtl w:val="0"/>
          <w:lang w:val="it-IT"/>
        </w:rPr>
        <w:t xml:space="preserve">à </w:t>
      </w:r>
      <w:r>
        <w:rPr>
          <w:rFonts w:ascii="Book Antiqua"/>
          <w:shd w:val="clear" w:color="auto" w:fill="ffffff"/>
          <w:rtl w:val="0"/>
          <w:lang w:val="it-IT"/>
        </w:rPr>
        <w:t xml:space="preserve">a VAS, come si </w:t>
      </w:r>
      <w:r>
        <w:rPr>
          <w:rFonts w:hAnsi="Book Antiqua" w:hint="default"/>
          <w:shd w:val="clear" w:color="auto" w:fill="ffffff"/>
          <w:rtl w:val="0"/>
          <w:lang w:val="it-IT"/>
        </w:rPr>
        <w:t xml:space="preserve">è </w:t>
      </w:r>
      <w:r>
        <w:rPr>
          <w:rFonts w:ascii="Book Antiqua"/>
          <w:shd w:val="clear" w:color="auto" w:fill="ffffff"/>
          <w:rtl w:val="0"/>
          <w:lang w:val="it-IT"/>
        </w:rPr>
        <w:t>visto il decreto del Presidente del Consiglio dei ministri del 10 agosto 2016</w:t>
      </w:r>
      <w:r>
        <w:rPr>
          <w:rFonts w:ascii="Book Antiqua"/>
          <w:rtl w:val="0"/>
          <w:lang w:val="it-IT"/>
        </w:rPr>
        <w:t xml:space="preserve"> prevede la realizzazione di impianti di incenerimento per una portata totale di 210.000 tonnellate/anno. Ora a distanza di oltre un anno dalla pubblicazione del decreto ministeriale, viene da chiedersi quali siano stati gli effetti derivanti dall</w:t>
      </w:r>
      <w:r>
        <w:rPr>
          <w:rFonts w:hAnsi="Book Antiqua" w:hint="default"/>
          <w:rtl w:val="0"/>
          <w:lang w:val="it-IT"/>
        </w:rPr>
        <w:t>’</w:t>
      </w:r>
      <w:r>
        <w:rPr>
          <w:rFonts w:ascii="Book Antiqua"/>
          <w:rtl w:val="0"/>
          <w:lang w:val="it-IT"/>
        </w:rPr>
        <w:t xml:space="preserve">intervento normativo. La risposta </w:t>
      </w:r>
      <w:r>
        <w:rPr>
          <w:rFonts w:hAnsi="Book Antiqua" w:hint="default"/>
          <w:rtl w:val="0"/>
          <w:lang w:val="it-IT"/>
        </w:rPr>
        <w:t xml:space="preserve">è </w:t>
      </w:r>
      <w:r>
        <w:rPr>
          <w:rFonts w:ascii="Book Antiqua"/>
          <w:rtl w:val="0"/>
          <w:lang w:val="it-IT"/>
        </w:rPr>
        <w:t xml:space="preserve">nessuno. </w:t>
      </w:r>
    </w:p>
    <w:p>
      <w:pPr>
        <w:pStyle w:val="Normal"/>
        <w:ind w:left="567" w:right="567" w:firstLine="0"/>
        <w:jc w:val="both"/>
        <w:rPr>
          <w:rFonts w:ascii="Book Antiqua" w:cs="Book Antiqua" w:hAnsi="Book Antiqua" w:eastAsia="Book Antiqua"/>
        </w:rPr>
      </w:pPr>
      <w:r>
        <w:rPr>
          <w:rFonts w:ascii="Book Antiqua"/>
          <w:rtl w:val="0"/>
          <w:lang w:val="it-IT"/>
        </w:rPr>
        <w:t xml:space="preserve">Sulla determinazione del fabbisogno della regione Lazio, infine, </w:t>
      </w:r>
      <w:r>
        <w:rPr>
          <w:rFonts w:hAnsi="Book Antiqua" w:hint="default"/>
          <w:rtl w:val="0"/>
          <w:lang w:val="it-IT"/>
        </w:rPr>
        <w:t xml:space="preserve">è </w:t>
      </w:r>
      <w:r>
        <w:rPr>
          <w:rFonts w:ascii="Book Antiqua"/>
          <w:rtl w:val="0"/>
          <w:lang w:val="it-IT"/>
        </w:rPr>
        <w:t>importante riportare quanto detto il 2 agosto 2016, dall</w:t>
      </w:r>
      <w:r>
        <w:rPr>
          <w:rFonts w:hAnsi="Book Antiqua" w:hint="default"/>
          <w:rtl w:val="0"/>
          <w:lang w:val="it-IT"/>
        </w:rPr>
        <w:t>’</w:t>
      </w:r>
      <w:r>
        <w:rPr>
          <w:rFonts w:ascii="Book Antiqua"/>
          <w:rtl w:val="0"/>
          <w:lang w:val="it-IT"/>
        </w:rPr>
        <w:t>allora presidente di AMA S.p.A. Daniele Fortini dinanzi alla Commissione, poich</w:t>
      </w:r>
      <w:r>
        <w:rPr>
          <w:rFonts w:hAnsi="Book Antiqua" w:hint="default"/>
          <w:rtl w:val="0"/>
          <w:lang w:val="it-IT"/>
        </w:rPr>
        <w:t xml:space="preserve">é </w:t>
      </w:r>
      <w:r>
        <w:rPr>
          <w:rFonts w:ascii="Book Antiqua"/>
          <w:rtl w:val="0"/>
          <w:lang w:val="it-IT"/>
        </w:rPr>
        <w:t>dalle sue parole si evincono dei rilievi critici nei confronti dell</w:t>
      </w:r>
      <w:r>
        <w:rPr>
          <w:rFonts w:hAnsi="Book Antiqua" w:hint="default"/>
          <w:rtl w:val="0"/>
          <w:lang w:val="it-IT"/>
        </w:rPr>
        <w:t>’</w:t>
      </w:r>
      <w:r>
        <w:rPr>
          <w:rFonts w:ascii="Book Antiqua"/>
          <w:rtl w:val="0"/>
          <w:lang w:val="it-IT"/>
        </w:rPr>
        <w:t>organizzazione impiantistica della regione (ancora una volta l</w:t>
      </w:r>
      <w:r>
        <w:rPr>
          <w:rFonts w:hAnsi="Book Antiqua" w:hint="default"/>
          <w:rtl w:val="0"/>
          <w:lang w:val="it-IT"/>
        </w:rPr>
        <w:t>’</w:t>
      </w:r>
      <w:r>
        <w:rPr>
          <w:rFonts w:ascii="Book Antiqua"/>
          <w:rtl w:val="0"/>
          <w:lang w:val="it-IT"/>
        </w:rPr>
        <w:t xml:space="preserve">attenzione si appunta sui TMB): </w:t>
      </w:r>
    </w:p>
    <w:p>
      <w:pPr>
        <w:pStyle w:val="Normal"/>
        <w:ind w:left="567" w:right="567" w:firstLine="0"/>
        <w:jc w:val="both"/>
        <w:rPr>
          <w:rFonts w:ascii="Book Antiqua" w:cs="Book Antiqua" w:hAnsi="Book Antiqua" w:eastAsia="Book Antiqua"/>
        </w:rPr>
      </w:pPr>
      <w:r>
        <w:rPr>
          <w:rFonts w:hAnsi="Book Antiqua" w:hint="default"/>
          <w:rtl w:val="0"/>
          <w:lang w:val="it-IT"/>
        </w:rPr>
        <w:t>“</w:t>
      </w:r>
      <w:r>
        <w:rPr>
          <w:rFonts w:ascii="Book Antiqua"/>
          <w:rtl w:val="0"/>
          <w:lang w:val="it-IT"/>
        </w:rPr>
        <w:t xml:space="preserve">Con la delibera n. 199 del 22 aprile del 2016, lo scenario di riferimento della pianificazione regionale </w:t>
      </w:r>
      <w:r>
        <w:rPr>
          <w:rFonts w:hAnsi="Book Antiqua" w:hint="default"/>
          <w:rtl w:val="0"/>
          <w:lang w:val="it-IT"/>
        </w:rPr>
        <w:t xml:space="preserve">è </w:t>
      </w:r>
      <w:r>
        <w:rPr>
          <w:rFonts w:ascii="Book Antiqua"/>
          <w:rtl w:val="0"/>
          <w:lang w:val="it-IT"/>
        </w:rPr>
        <w:t>mutato. L</w:t>
      </w:r>
      <w:r>
        <w:rPr>
          <w:rFonts w:hAnsi="Book Antiqua" w:hint="default"/>
          <w:rtl w:val="0"/>
          <w:lang w:val="it-IT"/>
        </w:rPr>
        <w:t>’</w:t>
      </w:r>
      <w:r>
        <w:rPr>
          <w:rFonts w:ascii="Book Antiqua"/>
          <w:rtl w:val="0"/>
          <w:lang w:val="it-IT"/>
        </w:rPr>
        <w:t>impianto di gassificazione previsto ad Albano Laziale non c</w:t>
      </w:r>
      <w:r>
        <w:rPr>
          <w:rFonts w:hAnsi="Book Antiqua" w:hint="default"/>
          <w:rtl w:val="0"/>
          <w:lang w:val="it-IT"/>
        </w:rPr>
        <w:t xml:space="preserve">’è </w:t>
      </w:r>
      <w:r>
        <w:rPr>
          <w:rFonts w:ascii="Book Antiqua"/>
          <w:rtl w:val="0"/>
          <w:lang w:val="it-IT"/>
        </w:rPr>
        <w:t>pi</w:t>
      </w:r>
      <w:r>
        <w:rPr>
          <w:rFonts w:hAnsi="Book Antiqua" w:hint="default"/>
          <w:rtl w:val="0"/>
          <w:lang w:val="it-IT"/>
        </w:rPr>
        <w:t>ù</w:t>
      </w:r>
      <w:r>
        <w:rPr>
          <w:rFonts w:ascii="Book Antiqua"/>
          <w:rtl w:val="0"/>
          <w:lang w:val="it-IT"/>
        </w:rPr>
        <w:t>; l</w:t>
      </w:r>
      <w:r>
        <w:rPr>
          <w:rFonts w:hAnsi="Book Antiqua" w:hint="default"/>
          <w:rtl w:val="0"/>
          <w:lang w:val="it-IT"/>
        </w:rPr>
        <w:t>’</w:t>
      </w:r>
      <w:r>
        <w:rPr>
          <w:rFonts w:ascii="Book Antiqua"/>
          <w:rtl w:val="0"/>
          <w:lang w:val="it-IT"/>
        </w:rPr>
        <w:t xml:space="preserve">impianto di gassificazione previsto a Malagrotta non </w:t>
      </w:r>
      <w:r>
        <w:rPr>
          <w:rFonts w:hAnsi="Book Antiqua" w:hint="default"/>
          <w:rtl w:val="0"/>
          <w:lang w:val="it-IT"/>
        </w:rPr>
        <w:t xml:space="preserve">è </w:t>
      </w:r>
      <w:r>
        <w:rPr>
          <w:rFonts w:ascii="Book Antiqua"/>
          <w:rtl w:val="0"/>
          <w:lang w:val="it-IT"/>
        </w:rPr>
        <w:t>pi</w:t>
      </w:r>
      <w:r>
        <w:rPr>
          <w:rFonts w:hAnsi="Book Antiqua" w:hint="default"/>
          <w:rtl w:val="0"/>
          <w:lang w:val="it-IT"/>
        </w:rPr>
        <w:t xml:space="preserve">ù </w:t>
      </w:r>
      <w:r>
        <w:rPr>
          <w:rFonts w:ascii="Book Antiqua"/>
          <w:rtl w:val="0"/>
          <w:lang w:val="it-IT"/>
        </w:rPr>
        <w:t>progettabile e realizzabile. Nel nuovo scenario di riferimento la regione Lazio assume che la crescita della raccolta differenziata, la disponibilit</w:t>
      </w:r>
      <w:r>
        <w:rPr>
          <w:rFonts w:hAnsi="Book Antiqua" w:hint="default"/>
          <w:rtl w:val="0"/>
          <w:lang w:val="it-IT"/>
        </w:rPr>
        <w:t xml:space="preserve">à </w:t>
      </w:r>
      <w:r>
        <w:rPr>
          <w:rFonts w:ascii="Book Antiqua"/>
          <w:rtl w:val="0"/>
          <w:lang w:val="it-IT"/>
        </w:rPr>
        <w:t xml:space="preserve">degli impianti di riciclaggio, soprattutto la capienza degli impianti di trattamento meccanico biologico </w:t>
      </w:r>
      <w:r>
        <w:rPr>
          <w:rFonts w:hAnsi="Book Antiqua" w:hint="default"/>
          <w:rtl w:val="0"/>
          <w:lang w:val="it-IT"/>
        </w:rPr>
        <w:t xml:space="preserve">– </w:t>
      </w:r>
      <w:r>
        <w:rPr>
          <w:rFonts w:ascii="Book Antiqua"/>
          <w:rtl w:val="0"/>
          <w:lang w:val="it-IT"/>
        </w:rPr>
        <w:t xml:space="preserve">impianti che non distruggono e non fanno sparire i rifiuti, ma impianti intermedi di trattamento </w:t>
      </w:r>
      <w:r>
        <w:rPr>
          <w:rFonts w:hAnsi="Book Antiqua" w:hint="default"/>
          <w:rtl w:val="0"/>
          <w:lang w:val="it-IT"/>
        </w:rPr>
        <w:t xml:space="preserve">– </w:t>
      </w:r>
      <w:r>
        <w:rPr>
          <w:rFonts w:ascii="Book Antiqua"/>
          <w:rtl w:val="0"/>
          <w:lang w:val="it-IT"/>
        </w:rPr>
        <w:t>siano sufficienti a garantire la possibilit</w:t>
      </w:r>
      <w:r>
        <w:rPr>
          <w:rFonts w:hAnsi="Book Antiqua" w:hint="default"/>
          <w:rtl w:val="0"/>
          <w:lang w:val="it-IT"/>
        </w:rPr>
        <w:t xml:space="preserve">à </w:t>
      </w:r>
      <w:r>
        <w:rPr>
          <w:rFonts w:ascii="Book Antiqua"/>
          <w:rtl w:val="0"/>
          <w:lang w:val="it-IT"/>
        </w:rPr>
        <w:t xml:space="preserve">che tutti i rifiuti indifferenziati generati nella regione Lazio </w:t>
      </w:r>
      <w:r>
        <w:rPr>
          <w:rFonts w:hAnsi="Book Antiqua" w:hint="default"/>
          <w:rtl w:val="0"/>
          <w:lang w:val="it-IT"/>
        </w:rPr>
        <w:t xml:space="preserve">– </w:t>
      </w:r>
      <w:r>
        <w:rPr>
          <w:rFonts w:ascii="Book Antiqua"/>
          <w:rtl w:val="0"/>
          <w:lang w:val="it-IT"/>
        </w:rPr>
        <w:t>dunque, anche nella Capitale d</w:t>
      </w:r>
      <w:r>
        <w:rPr>
          <w:rFonts w:hAnsi="Book Antiqua" w:hint="default"/>
          <w:rtl w:val="0"/>
          <w:lang w:val="it-IT"/>
        </w:rPr>
        <w:t>’</w:t>
      </w:r>
      <w:r>
        <w:rPr>
          <w:rFonts w:ascii="Book Antiqua"/>
          <w:rtl w:val="0"/>
          <w:lang w:val="it-IT"/>
        </w:rPr>
        <w:t xml:space="preserve">Italia </w:t>
      </w:r>
      <w:r>
        <w:rPr>
          <w:rFonts w:hAnsi="Book Antiqua" w:hint="default"/>
          <w:rtl w:val="0"/>
          <w:lang w:val="it-IT"/>
        </w:rPr>
        <w:t xml:space="preserve">– </w:t>
      </w:r>
      <w:r>
        <w:rPr>
          <w:rFonts w:ascii="Book Antiqua"/>
          <w:rtl w:val="0"/>
          <w:lang w:val="it-IT"/>
        </w:rPr>
        <w:t>possano trovare soddisfazione di adeguato trattamento in queste apparecchiature. Dice anche, la regione Lazio, che le linee di incenerimento installate a Colleferro e a San Vittore saranno sufficienti, nella previsione, appunto, di una diminuzione dei rifiuti indifferenziati, ovviamente incoraggiata da una crescita delle raccolte differenziate, e che quindi di nuove linee di termovalorizzazione non ve n</w:t>
      </w:r>
      <w:r>
        <w:rPr>
          <w:rFonts w:hAnsi="Book Antiqua" w:hint="default"/>
          <w:rtl w:val="0"/>
          <w:lang w:val="it-IT"/>
        </w:rPr>
        <w:t xml:space="preserve">’è </w:t>
      </w:r>
      <w:r>
        <w:rPr>
          <w:rFonts w:ascii="Book Antiqua"/>
          <w:rtl w:val="0"/>
          <w:lang w:val="it-IT"/>
        </w:rPr>
        <w:t>bisogno nella regione Lazio. Credo che queste previsioni siano condivisibili, laddove per</w:t>
      </w:r>
      <w:r>
        <w:rPr>
          <w:rFonts w:hAnsi="Book Antiqua" w:hint="default"/>
          <w:rtl w:val="0"/>
          <w:lang w:val="it-IT"/>
        </w:rPr>
        <w:t xml:space="preserve">ò </w:t>
      </w:r>
      <w:r>
        <w:rPr>
          <w:rFonts w:ascii="Book Antiqua"/>
          <w:rtl w:val="0"/>
          <w:lang w:val="it-IT"/>
        </w:rPr>
        <w:t>si abbia presente che la stessa presenza degli impianti di trattamento meccanico biologico condiziona la identit</w:t>
      </w:r>
      <w:r>
        <w:rPr>
          <w:rFonts w:hAnsi="Book Antiqua" w:hint="default"/>
          <w:rtl w:val="0"/>
          <w:lang w:val="it-IT"/>
        </w:rPr>
        <w:t xml:space="preserve">à </w:t>
      </w:r>
      <w:r>
        <w:rPr>
          <w:rFonts w:ascii="Book Antiqua"/>
          <w:rtl w:val="0"/>
          <w:lang w:val="it-IT"/>
        </w:rPr>
        <w:t>del ciclo integrato dei rifiuti della Capitale e del Lazio. Vale a dire, gli impianti di trattamento meccanico biologico sono impianti che generano rifiuti da rifiuti: non sono impianti che fanno uscire dalle lavorazioni e dai trattamenti prodotti, sottoprodotti o materie seconde. Entrano rifiuti con codice CER 200301 e ne escono rifiuti che possono essere 191211 (combustibili), 191212 (speciali), 190503 (frazione organica stabilizzata per copertura delle discariche), 190301 (frazione organica stabilizzata da smaltire in discarica) ed altri codici. Sono impianti di trattamento meccanico biologico: separano la parte combustibile dei rifiuti da quella pi</w:t>
      </w:r>
      <w:r>
        <w:rPr>
          <w:rFonts w:hAnsi="Book Antiqua" w:hint="default"/>
          <w:rtl w:val="0"/>
          <w:lang w:val="it-IT"/>
        </w:rPr>
        <w:t xml:space="preserve">ù  </w:t>
      </w:r>
      <w:r>
        <w:rPr>
          <w:rFonts w:ascii="Book Antiqua"/>
          <w:rtl w:val="0"/>
          <w:lang w:val="it-IT"/>
        </w:rPr>
        <w:t>umida e generano scarti che dovranno successivamente essere trattati o smaltiti. La presenza di impianti di trattamento meccanico biologico, dunque, obbliga ad avere in uscita, per garantire che il ciclo sia integrato, inceneritori e discariche, inevitabilmente. Se restano gli impianti TMB come oggi sono configurati e previsti nella pianificazione regionale, cos</w:t>
      </w:r>
      <w:r>
        <w:rPr>
          <w:rFonts w:hAnsi="Book Antiqua" w:hint="default"/>
          <w:rtl w:val="0"/>
          <w:lang w:val="it-IT"/>
        </w:rPr>
        <w:t xml:space="preserve">ì </w:t>
      </w:r>
      <w:r>
        <w:rPr>
          <w:rFonts w:ascii="Book Antiqua"/>
          <w:rtl w:val="0"/>
          <w:lang w:val="it-IT"/>
        </w:rPr>
        <w:t>come accade in qualunque altra parte del mondo, si avr</w:t>
      </w:r>
      <w:r>
        <w:rPr>
          <w:rFonts w:hAnsi="Book Antiqua" w:hint="default"/>
          <w:rtl w:val="0"/>
          <w:lang w:val="it-IT"/>
        </w:rPr>
        <w:t xml:space="preserve">à </w:t>
      </w:r>
      <w:r>
        <w:rPr>
          <w:rFonts w:ascii="Book Antiqua"/>
          <w:rtl w:val="0"/>
          <w:lang w:val="it-IT"/>
        </w:rPr>
        <w:t xml:space="preserve">bisogno di discariche e di inceneritori. Se </w:t>
      </w:r>
      <w:r>
        <w:rPr>
          <w:rFonts w:hAnsi="Book Antiqua" w:hint="default"/>
          <w:rtl w:val="0"/>
          <w:lang w:val="it-IT"/>
        </w:rPr>
        <w:t xml:space="preserve">è </w:t>
      </w:r>
      <w:r>
        <w:rPr>
          <w:rFonts w:ascii="Book Antiqua"/>
          <w:rtl w:val="0"/>
          <w:lang w:val="it-IT"/>
        </w:rPr>
        <w:t>vero che le linee di incenerimento di San Vittore e Colleferro potranno essere in progressione capienti per assicurare che il combustibile derivato dai rifiuti trovi un</w:t>
      </w:r>
      <w:r>
        <w:rPr>
          <w:rFonts w:hAnsi="Book Antiqua" w:hint="default"/>
          <w:rtl w:val="0"/>
          <w:lang w:val="it-IT"/>
        </w:rPr>
        <w:t>’</w:t>
      </w:r>
      <w:r>
        <w:rPr>
          <w:rFonts w:ascii="Book Antiqua"/>
          <w:rtl w:val="0"/>
          <w:lang w:val="it-IT"/>
        </w:rPr>
        <w:t>allocazione intelligente, cio</w:t>
      </w:r>
      <w:r>
        <w:rPr>
          <w:rFonts w:hAnsi="Book Antiqua" w:hint="default"/>
          <w:rtl w:val="0"/>
          <w:lang w:val="it-IT"/>
        </w:rPr>
        <w:t xml:space="preserve">è </w:t>
      </w:r>
      <w:r>
        <w:rPr>
          <w:rFonts w:ascii="Book Antiqua"/>
          <w:rtl w:val="0"/>
          <w:lang w:val="it-IT"/>
        </w:rPr>
        <w:t xml:space="preserve">con recupero di energia, </w:t>
      </w:r>
      <w:r>
        <w:rPr>
          <w:rFonts w:hAnsi="Book Antiqua" w:hint="default"/>
          <w:rtl w:val="0"/>
          <w:lang w:val="it-IT"/>
        </w:rPr>
        <w:t xml:space="preserve">è </w:t>
      </w:r>
      <w:r>
        <w:rPr>
          <w:rFonts w:ascii="Book Antiqua"/>
          <w:rtl w:val="0"/>
          <w:lang w:val="it-IT"/>
        </w:rPr>
        <w:t>anche vero che la frazione organica stabilizzata che viene generata da quegli impianti avr</w:t>
      </w:r>
      <w:r>
        <w:rPr>
          <w:rFonts w:hAnsi="Book Antiqua" w:hint="default"/>
          <w:rtl w:val="0"/>
          <w:lang w:val="it-IT"/>
        </w:rPr>
        <w:t xml:space="preserve">à </w:t>
      </w:r>
      <w:r>
        <w:rPr>
          <w:rFonts w:ascii="Book Antiqua"/>
          <w:rtl w:val="0"/>
          <w:lang w:val="it-IT"/>
        </w:rPr>
        <w:t>comunque bisogno di essere allocata in impianti di nuovo trattamento, ovvero in discarica. C</w:t>
      </w:r>
      <w:r>
        <w:rPr>
          <w:rFonts w:hAnsi="Book Antiqua" w:hint="default"/>
          <w:rtl w:val="0"/>
          <w:lang w:val="it-IT"/>
        </w:rPr>
        <w:t xml:space="preserve">’è </w:t>
      </w:r>
      <w:r>
        <w:rPr>
          <w:rFonts w:ascii="Book Antiqua"/>
          <w:rtl w:val="0"/>
          <w:lang w:val="it-IT"/>
        </w:rPr>
        <w:t>un punto, qui, che vale la pena ricordare. Mentre l</w:t>
      </w:r>
      <w:r>
        <w:rPr>
          <w:rFonts w:hAnsi="Book Antiqua" w:hint="default"/>
          <w:rtl w:val="0"/>
          <w:lang w:val="it-IT"/>
        </w:rPr>
        <w:t>’</w:t>
      </w:r>
      <w:r>
        <w:rPr>
          <w:rFonts w:ascii="Book Antiqua"/>
          <w:rtl w:val="0"/>
          <w:lang w:val="it-IT"/>
        </w:rPr>
        <w:t xml:space="preserve">impianto di San Vittore </w:t>
      </w:r>
      <w:r>
        <w:rPr>
          <w:rFonts w:hAnsi="Book Antiqua" w:hint="default"/>
          <w:rtl w:val="0"/>
          <w:lang w:val="it-IT"/>
        </w:rPr>
        <w:t xml:space="preserve">è </w:t>
      </w:r>
      <w:r>
        <w:rPr>
          <w:rFonts w:ascii="Book Antiqua"/>
          <w:rtl w:val="0"/>
          <w:lang w:val="it-IT"/>
        </w:rPr>
        <w:t>un impianto ammodernato e che avr</w:t>
      </w:r>
      <w:r>
        <w:rPr>
          <w:rFonts w:hAnsi="Book Antiqua" w:hint="default"/>
          <w:rtl w:val="0"/>
          <w:lang w:val="it-IT"/>
        </w:rPr>
        <w:t>à</w:t>
      </w:r>
      <w:r>
        <w:rPr>
          <w:rFonts w:ascii="Book Antiqua"/>
          <w:rtl w:val="0"/>
          <w:lang w:val="it-IT"/>
        </w:rPr>
        <w:t>, entro la fine di quest</w:t>
      </w:r>
      <w:r>
        <w:rPr>
          <w:rFonts w:hAnsi="Book Antiqua" w:hint="default"/>
          <w:rtl w:val="0"/>
          <w:lang w:val="it-IT"/>
        </w:rPr>
        <w:t>’</w:t>
      </w:r>
      <w:r>
        <w:rPr>
          <w:rFonts w:ascii="Book Antiqua"/>
          <w:rtl w:val="0"/>
          <w:lang w:val="it-IT"/>
        </w:rPr>
        <w:t>anno, una terza linea in esercizio, l</w:t>
      </w:r>
      <w:r>
        <w:rPr>
          <w:rFonts w:hAnsi="Book Antiqua" w:hint="default"/>
          <w:rtl w:val="0"/>
          <w:lang w:val="it-IT"/>
        </w:rPr>
        <w:t>’</w:t>
      </w:r>
      <w:r>
        <w:rPr>
          <w:rFonts w:ascii="Book Antiqua"/>
          <w:rtl w:val="0"/>
          <w:lang w:val="it-IT"/>
        </w:rPr>
        <w:t xml:space="preserve">impianto di Colleferro </w:t>
      </w:r>
      <w:r>
        <w:rPr>
          <w:rFonts w:hAnsi="Book Antiqua" w:hint="default"/>
          <w:rtl w:val="0"/>
          <w:lang w:val="it-IT"/>
        </w:rPr>
        <w:t xml:space="preserve">è </w:t>
      </w:r>
      <w:r>
        <w:rPr>
          <w:rFonts w:ascii="Book Antiqua"/>
          <w:rtl w:val="0"/>
          <w:lang w:val="it-IT"/>
        </w:rPr>
        <w:t xml:space="preserve">un rottame: non riesce a marciare le ore previste dal tabellare di funzionamento ed </w:t>
      </w:r>
      <w:r>
        <w:rPr>
          <w:rFonts w:hAnsi="Book Antiqua" w:hint="default"/>
          <w:rtl w:val="0"/>
          <w:lang w:val="it-IT"/>
        </w:rPr>
        <w:t xml:space="preserve">è </w:t>
      </w:r>
      <w:r>
        <w:rPr>
          <w:rFonts w:ascii="Book Antiqua"/>
          <w:rtl w:val="0"/>
          <w:lang w:val="it-IT"/>
        </w:rPr>
        <w:t xml:space="preserve">un impianto che si rompe spesso, insomma, </w:t>
      </w:r>
      <w:r>
        <w:rPr>
          <w:rFonts w:hAnsi="Book Antiqua" w:hint="default"/>
          <w:rtl w:val="0"/>
          <w:lang w:val="it-IT"/>
        </w:rPr>
        <w:t xml:space="preserve">è </w:t>
      </w:r>
      <w:r>
        <w:rPr>
          <w:rFonts w:ascii="Book Antiqua"/>
          <w:rtl w:val="0"/>
          <w:lang w:val="it-IT"/>
        </w:rPr>
        <w:t xml:space="preserve">un impianto vecchio. </w:t>
      </w:r>
      <w:r>
        <w:rPr>
          <w:rFonts w:hAnsi="Book Antiqua" w:hint="default"/>
          <w:rtl w:val="0"/>
          <w:lang w:val="it-IT"/>
        </w:rPr>
        <w:t xml:space="preserve">È’ </w:t>
      </w:r>
      <w:r>
        <w:rPr>
          <w:rFonts w:ascii="Book Antiqua"/>
          <w:rtl w:val="0"/>
          <w:lang w:val="it-IT"/>
        </w:rPr>
        <w:t>un impianto gestito addirittura da due societ</w:t>
      </w:r>
      <w:r>
        <w:rPr>
          <w:rFonts w:hAnsi="Book Antiqua" w:hint="default"/>
          <w:rtl w:val="0"/>
          <w:lang w:val="it-IT"/>
        </w:rPr>
        <w:t>à</w:t>
      </w:r>
      <w:r>
        <w:rPr>
          <w:rFonts w:ascii="Book Antiqua"/>
          <w:rtl w:val="0"/>
          <w:lang w:val="it-IT"/>
        </w:rPr>
        <w:t>, che dentro lo stesso impianto gestiscono in modo diverso: l</w:t>
      </w:r>
      <w:r>
        <w:rPr>
          <w:rFonts w:hAnsi="Book Antiqua" w:hint="default"/>
          <w:rtl w:val="0"/>
          <w:lang w:val="it-IT"/>
        </w:rPr>
        <w:t>’</w:t>
      </w:r>
      <w:r>
        <w:rPr>
          <w:rFonts w:ascii="Book Antiqua"/>
          <w:rtl w:val="0"/>
          <w:lang w:val="it-IT"/>
        </w:rPr>
        <w:t>una gestisce una linea di caricamento, di incenerimento e di generazione di energia, l</w:t>
      </w:r>
      <w:r>
        <w:rPr>
          <w:rFonts w:hAnsi="Book Antiqua" w:hint="default"/>
          <w:rtl w:val="0"/>
          <w:lang w:val="it-IT"/>
        </w:rPr>
        <w:t>’</w:t>
      </w:r>
      <w:r>
        <w:rPr>
          <w:rFonts w:ascii="Book Antiqua"/>
          <w:rtl w:val="0"/>
          <w:lang w:val="it-IT"/>
        </w:rPr>
        <w:t>altra gestisce addirittura l</w:t>
      </w:r>
      <w:r>
        <w:rPr>
          <w:rFonts w:hAnsi="Book Antiqua" w:hint="default"/>
          <w:rtl w:val="0"/>
          <w:lang w:val="it-IT"/>
        </w:rPr>
        <w:t>’</w:t>
      </w:r>
      <w:r>
        <w:rPr>
          <w:rFonts w:ascii="Book Antiqua"/>
          <w:rtl w:val="0"/>
          <w:lang w:val="it-IT"/>
        </w:rPr>
        <w:t xml:space="preserve">altra linea. </w:t>
      </w:r>
      <w:r>
        <w:rPr>
          <w:rFonts w:hAnsi="Book Antiqua" w:hint="default"/>
          <w:rtl w:val="0"/>
          <w:lang w:val="it-IT"/>
        </w:rPr>
        <w:t xml:space="preserve">È </w:t>
      </w:r>
      <w:r>
        <w:rPr>
          <w:rFonts w:ascii="Book Antiqua"/>
          <w:rtl w:val="0"/>
          <w:lang w:val="it-IT"/>
        </w:rPr>
        <w:t xml:space="preserve">un impianto che ha bisogno di un </w:t>
      </w:r>
      <w:r>
        <w:rPr>
          <w:rFonts w:ascii="Book Antiqua"/>
          <w:i w:val="1"/>
          <w:iCs w:val="1"/>
          <w:rtl w:val="0"/>
          <w:lang w:val="it-IT"/>
        </w:rPr>
        <w:t>revamping</w:t>
      </w:r>
      <w:r>
        <w:rPr>
          <w:rFonts w:ascii="Book Antiqua"/>
          <w:rtl w:val="0"/>
          <w:lang w:val="it-IT"/>
        </w:rPr>
        <w:t xml:space="preserve"> importante ed </w:t>
      </w:r>
      <w:r>
        <w:rPr>
          <w:rFonts w:hAnsi="Book Antiqua" w:hint="default"/>
          <w:rtl w:val="0"/>
          <w:lang w:val="it-IT"/>
        </w:rPr>
        <w:t xml:space="preserve">è </w:t>
      </w:r>
      <w:r>
        <w:rPr>
          <w:rFonts w:ascii="Book Antiqua"/>
          <w:rtl w:val="0"/>
          <w:lang w:val="it-IT"/>
        </w:rPr>
        <w:t xml:space="preserve">assolutamente ragionevole immaginare che quel </w:t>
      </w:r>
      <w:r>
        <w:rPr>
          <w:rFonts w:ascii="Book Antiqua"/>
          <w:i w:val="1"/>
          <w:iCs w:val="1"/>
          <w:rtl w:val="0"/>
          <w:lang w:val="it-IT"/>
        </w:rPr>
        <w:t>revamping</w:t>
      </w:r>
      <w:r>
        <w:rPr>
          <w:rFonts w:ascii="Book Antiqua"/>
          <w:rtl w:val="0"/>
          <w:lang w:val="it-IT"/>
        </w:rPr>
        <w:t xml:space="preserve"> possa essere realizzato anche ampliando l</w:t>
      </w:r>
      <w:r>
        <w:rPr>
          <w:rFonts w:hAnsi="Book Antiqua" w:hint="default"/>
          <w:rtl w:val="0"/>
          <w:lang w:val="it-IT"/>
        </w:rPr>
        <w:t>’</w:t>
      </w:r>
      <w:r>
        <w:rPr>
          <w:rFonts w:ascii="Book Antiqua"/>
          <w:rtl w:val="0"/>
          <w:lang w:val="it-IT"/>
        </w:rPr>
        <w:t>efficienza termica di quell</w:t>
      </w:r>
      <w:r>
        <w:rPr>
          <w:rFonts w:hAnsi="Book Antiqua" w:hint="default"/>
          <w:rtl w:val="0"/>
          <w:lang w:val="it-IT"/>
        </w:rPr>
        <w:t>’</w:t>
      </w:r>
      <w:r>
        <w:rPr>
          <w:rFonts w:ascii="Book Antiqua"/>
          <w:rtl w:val="0"/>
          <w:lang w:val="it-IT"/>
        </w:rPr>
        <w:t>impianto, proprio al fine di dare soddisfazione a un ciclo, per questa parte almeno, integrato dei rifiuti, in cui tutti i rifiuti prodotti dai TMB possano trovare utile sfogo in questi impianti con l</w:t>
      </w:r>
      <w:r>
        <w:rPr>
          <w:rFonts w:hAnsi="Book Antiqua" w:hint="default"/>
          <w:rtl w:val="0"/>
          <w:lang w:val="it-IT"/>
        </w:rPr>
        <w:t>’</w:t>
      </w:r>
      <w:r>
        <w:rPr>
          <w:rFonts w:ascii="Book Antiqua"/>
          <w:rtl w:val="0"/>
          <w:lang w:val="it-IT"/>
        </w:rPr>
        <w:t>utilit</w:t>
      </w:r>
      <w:r>
        <w:rPr>
          <w:rFonts w:hAnsi="Book Antiqua" w:hint="default"/>
          <w:rtl w:val="0"/>
          <w:lang w:val="it-IT"/>
        </w:rPr>
        <w:t xml:space="preserve">à </w:t>
      </w:r>
      <w:r>
        <w:rPr>
          <w:rFonts w:ascii="Book Antiqua"/>
          <w:rtl w:val="0"/>
          <w:lang w:val="it-IT"/>
        </w:rPr>
        <w:t>di generare energia.</w:t>
      </w:r>
      <w:r>
        <w:rPr>
          <w:rFonts w:hAnsi="Book Antiqua" w:hint="default"/>
          <w:rtl w:val="0"/>
          <w:lang w:val="it-IT"/>
        </w:rPr>
        <w:t>”</w:t>
      </w:r>
    </w:p>
    <w:p>
      <w:pPr>
        <w:pStyle w:val="Normal"/>
        <w:ind w:left="567" w:right="567" w:firstLine="0"/>
        <w:jc w:val="both"/>
        <w:rPr>
          <w:rFonts w:ascii="Book Antiqua" w:cs="Book Antiqua" w:hAnsi="Book Antiqua" w:eastAsia="Book Antiqua"/>
          <w:shd w:val="clear" w:color="auto" w:fill="ffffff"/>
        </w:rPr>
      </w:pPr>
      <w:r>
        <w:rPr>
          <w:rFonts w:ascii="Book Antiqua"/>
          <w:rtl w:val="0"/>
          <w:lang w:val="it-IT"/>
        </w:rPr>
        <w:t>Gli effetti dell'articolo 35 del decreto legge n. 133 del 2014 riguardano anche Roma. Infatti al comma 6 del citato articolo viene disposta l</w:t>
      </w:r>
      <w:r>
        <w:rPr>
          <w:rFonts w:hAnsi="Book Antiqua" w:hint="default"/>
          <w:rtl w:val="0"/>
          <w:lang w:val="it-IT"/>
        </w:rPr>
        <w:t>’</w:t>
      </w:r>
      <w:r>
        <w:rPr>
          <w:rFonts w:ascii="Book Antiqua"/>
          <w:rtl w:val="0"/>
          <w:lang w:val="it-IT"/>
        </w:rPr>
        <w:t>a</w:t>
      </w:r>
      <w:r>
        <w:rPr>
          <w:rFonts w:ascii="Book Antiqua"/>
          <w:shd w:val="clear" w:color="auto" w:fill="ffffff"/>
          <w:rtl w:val="0"/>
          <w:lang w:val="it-IT"/>
        </w:rPr>
        <w:t>ssenza di vincoli di bacino al trattamento dei rifiuti urbani in impianti di recupero energetico. Presupposto fondamentale all'applicazione delle disposizioni contenuto nell'articolo 35 (ed in particolare, lo sfruttamento di tutta la capacit</w:t>
      </w:r>
      <w:r>
        <w:rPr>
          <w:rFonts w:hAnsi="Book Antiqua" w:hint="default"/>
          <w:shd w:val="clear" w:color="auto" w:fill="ffffff"/>
          <w:rtl w:val="0"/>
          <w:lang w:val="it-IT"/>
        </w:rPr>
        <w:t xml:space="preserve">à </w:t>
      </w:r>
      <w:r>
        <w:rPr>
          <w:rFonts w:ascii="Book Antiqua"/>
          <w:shd w:val="clear" w:color="auto" w:fill="ffffff"/>
          <w:rtl w:val="0"/>
          <w:lang w:val="it-IT"/>
        </w:rPr>
        <w:t xml:space="preserve">di trattamento nazionale ai fini della gestione dei rifiuti urbani) </w:t>
      </w:r>
      <w:r>
        <w:rPr>
          <w:rFonts w:hAnsi="Book Antiqua" w:hint="default"/>
          <w:shd w:val="clear" w:color="auto" w:fill="ffffff"/>
          <w:rtl w:val="0"/>
          <w:lang w:val="it-IT"/>
        </w:rPr>
        <w:t xml:space="preserve">è </w:t>
      </w:r>
      <w:r>
        <w:rPr>
          <w:rFonts w:ascii="Book Antiqua"/>
          <w:shd w:val="clear" w:color="auto" w:fill="ffffff"/>
          <w:rtl w:val="0"/>
          <w:lang w:val="it-IT"/>
        </w:rPr>
        <w:t>l'assenza dei vincoli di bacino al trattamento dei rifiuti urbani in impianti di recupero energetico. Tale requisito viene chiarito all'interno del comma 6 esplicitando quanto previsto in tal senso all'interno del decreto legislativo 3 aprile 2006, n. 152. I rifiuti urbani non trattati potranno, pertanto, varcare i confini regionali senza bisogno di accordi territoriali ove siano destinati ad un impianto di incenerimento classificato quale impianto di recupero energetico di cui al punto R1, allegato C, decreto legislativo 3 aprile 2006, n. 152. Tale assenza di vincoli di bacino non poteva che favorire, almeno sulla carta, il ciclo dei rifiuti a Roma, poich</w:t>
      </w:r>
      <w:r>
        <w:rPr>
          <w:rFonts w:hAnsi="Book Antiqua" w:hint="default"/>
          <w:shd w:val="clear" w:color="auto" w:fill="ffffff"/>
          <w:rtl w:val="0"/>
          <w:lang w:val="it-IT"/>
        </w:rPr>
        <w:t xml:space="preserve">é – </w:t>
      </w:r>
      <w:r>
        <w:rPr>
          <w:rFonts w:ascii="Book Antiqua"/>
          <w:shd w:val="clear" w:color="auto" w:fill="ffffff"/>
          <w:rtl w:val="0"/>
          <w:lang w:val="it-IT"/>
        </w:rPr>
        <w:t xml:space="preserve">come ampiamente riportato </w:t>
      </w:r>
      <w:r>
        <w:rPr>
          <w:rFonts w:hAnsi="Book Antiqua" w:hint="default"/>
          <w:shd w:val="clear" w:color="auto" w:fill="ffffff"/>
          <w:rtl w:val="0"/>
          <w:lang w:val="it-IT"/>
        </w:rPr>
        <w:t xml:space="preserve">– </w:t>
      </w:r>
      <w:r>
        <w:rPr>
          <w:rFonts w:ascii="Book Antiqua"/>
          <w:shd w:val="clear" w:color="auto" w:fill="ffffff"/>
          <w:rtl w:val="0"/>
          <w:lang w:val="it-IT"/>
        </w:rPr>
        <w:t>uno dei gravi problemi della Capitale consiste proprio nell</w:t>
      </w:r>
      <w:r>
        <w:rPr>
          <w:rFonts w:hAnsi="Book Antiqua" w:hint="default"/>
          <w:shd w:val="clear" w:color="auto" w:fill="ffffff"/>
          <w:rtl w:val="0"/>
          <w:lang w:val="it-IT"/>
        </w:rPr>
        <w:t>’</w:t>
      </w:r>
      <w:r>
        <w:rPr>
          <w:rFonts w:ascii="Book Antiqua"/>
          <w:shd w:val="clear" w:color="auto" w:fill="ffffff"/>
          <w:rtl w:val="0"/>
          <w:lang w:val="it-IT"/>
        </w:rPr>
        <w:t xml:space="preserve">eccessiva dipendenza dai quattro attuali impianti di trattamento meccanico biologico. </w:t>
      </w:r>
    </w:p>
    <w:p>
      <w:pPr>
        <w:pStyle w:val="Normal"/>
        <w:ind w:left="567" w:right="567" w:firstLine="0"/>
        <w:jc w:val="both"/>
        <w:rPr>
          <w:rFonts w:ascii="Book Antiqua" w:cs="Book Antiqua" w:hAnsi="Book Antiqua" w:eastAsia="Book Antiqua"/>
        </w:rPr>
      </w:pPr>
      <w:r>
        <w:rPr>
          <w:rFonts w:ascii="Book Antiqua"/>
          <w:shd w:val="clear" w:color="auto" w:fill="ffffff"/>
          <w:rtl w:val="0"/>
          <w:lang w:val="it-IT"/>
        </w:rPr>
        <w:t xml:space="preserve">Tale occasione non era sfuggita alla </w:t>
      </w:r>
      <w:r>
        <w:rPr>
          <w:rFonts w:ascii="Book Antiqua"/>
          <w:i w:val="1"/>
          <w:iCs w:val="1"/>
          <w:shd w:val="clear" w:color="auto" w:fill="ffffff"/>
          <w:rtl w:val="0"/>
          <w:lang w:val="it-IT"/>
        </w:rPr>
        <w:t>governance</w:t>
      </w:r>
      <w:r>
        <w:rPr>
          <w:rFonts w:ascii="Book Antiqua"/>
          <w:shd w:val="clear" w:color="auto" w:fill="ffffff"/>
          <w:rtl w:val="0"/>
          <w:lang w:val="it-IT"/>
        </w:rPr>
        <w:t xml:space="preserve"> di AMA; Daniele Fortini, allora </w:t>
      </w:r>
      <w:r>
        <w:rPr>
          <w:rFonts w:ascii="Book Antiqua"/>
          <w:rtl w:val="0"/>
          <w:lang w:val="it-IT"/>
        </w:rPr>
        <w:t>presidente di AMA S.p.A., il 2 agosto 2016 durante un</w:t>
      </w:r>
      <w:r>
        <w:rPr>
          <w:rFonts w:hAnsi="Book Antiqua" w:hint="default"/>
          <w:rtl w:val="0"/>
          <w:lang w:val="it-IT"/>
        </w:rPr>
        <w:t>’</w:t>
      </w:r>
      <w:r>
        <w:rPr>
          <w:rFonts w:ascii="Book Antiqua"/>
          <w:rtl w:val="0"/>
          <w:lang w:val="it-IT"/>
        </w:rPr>
        <w:t>audizione in Commissione, sull</w:t>
      </w:r>
      <w:r>
        <w:rPr>
          <w:rFonts w:hAnsi="Book Antiqua" w:hint="default"/>
          <w:rtl w:val="0"/>
          <w:lang w:val="it-IT"/>
        </w:rPr>
        <w:t>’</w:t>
      </w:r>
      <w:r>
        <w:rPr>
          <w:rFonts w:ascii="Book Antiqua"/>
          <w:rtl w:val="0"/>
          <w:lang w:val="it-IT"/>
        </w:rPr>
        <w:t xml:space="preserve">argomento aveva affermato: </w:t>
      </w:r>
    </w:p>
    <w:p>
      <w:pPr>
        <w:pStyle w:val="Normal"/>
        <w:ind w:left="567" w:right="567" w:firstLine="0"/>
        <w:jc w:val="both"/>
        <w:rPr>
          <w:rFonts w:ascii="Book Antiqua" w:cs="Book Antiqua" w:hAnsi="Book Antiqua" w:eastAsia="Book Antiqua"/>
        </w:rPr>
      </w:pPr>
      <w:r>
        <w:rPr>
          <w:rFonts w:hAnsi="Book Antiqua" w:hint="default"/>
          <w:rtl w:val="0"/>
          <w:lang w:val="it-IT"/>
        </w:rPr>
        <w:t>“</w:t>
      </w:r>
      <w:r>
        <w:rPr>
          <w:rFonts w:ascii="Book Antiqua"/>
          <w:rtl w:val="0"/>
          <w:lang w:val="it-IT"/>
        </w:rPr>
        <w:t>Poich</w:t>
      </w:r>
      <w:r>
        <w:rPr>
          <w:rFonts w:hAnsi="Book Antiqua" w:hint="default"/>
          <w:rtl w:val="0"/>
          <w:lang w:val="it-IT"/>
        </w:rPr>
        <w:t xml:space="preserve">é </w:t>
      </w:r>
      <w:r>
        <w:rPr>
          <w:rFonts w:ascii="Book Antiqua"/>
          <w:rtl w:val="0"/>
          <w:lang w:val="it-IT"/>
        </w:rPr>
        <w:t>questa situazione [la crisi dei rifiuti] si produce ogni anno, nell</w:t>
      </w:r>
      <w:r>
        <w:rPr>
          <w:rFonts w:hAnsi="Book Antiqua" w:hint="default"/>
          <w:rtl w:val="0"/>
          <w:lang w:val="it-IT"/>
        </w:rPr>
        <w:t>’</w:t>
      </w:r>
      <w:r>
        <w:rPr>
          <w:rFonts w:ascii="Book Antiqua"/>
          <w:rtl w:val="0"/>
          <w:lang w:val="it-IT"/>
        </w:rPr>
        <w:t>estate del 2015, proprio durante una di queste criticit</w:t>
      </w:r>
      <w:r>
        <w:rPr>
          <w:rFonts w:hAnsi="Book Antiqua" w:hint="default"/>
          <w:rtl w:val="0"/>
          <w:lang w:val="it-IT"/>
        </w:rPr>
        <w:t>à</w:t>
      </w:r>
      <w:r>
        <w:rPr>
          <w:rFonts w:ascii="Book Antiqua"/>
          <w:rtl w:val="0"/>
          <w:lang w:val="it-IT"/>
        </w:rPr>
        <w:t>, abbiamo deciso di bandire una gara europea per collocare sul mercato rifiuti freschi, ossia il tal quale indifferenziato dei cassonetti svuotati o dei bidoncini della differenziata domestica svuotati, per ottenere un risultato: collocare per quattro anni sul mercato europeo un quantitativo importante di rifiuti urbani, cio</w:t>
      </w:r>
      <w:r>
        <w:rPr>
          <w:rFonts w:hAnsi="Book Antiqua" w:hint="default"/>
          <w:rtl w:val="0"/>
          <w:lang w:val="it-IT"/>
        </w:rPr>
        <w:t xml:space="preserve">è </w:t>
      </w:r>
      <w:r>
        <w:rPr>
          <w:rFonts w:ascii="Book Antiqua"/>
          <w:rtl w:val="0"/>
          <w:lang w:val="it-IT"/>
        </w:rPr>
        <w:t>660.000 tonnellate all</w:t>
      </w:r>
      <w:r>
        <w:rPr>
          <w:rFonts w:hAnsi="Book Antiqua" w:hint="default"/>
          <w:rtl w:val="0"/>
          <w:lang w:val="it-IT"/>
        </w:rPr>
        <w:t>’</w:t>
      </w:r>
      <w:r>
        <w:rPr>
          <w:rFonts w:ascii="Book Antiqua"/>
          <w:rtl w:val="0"/>
          <w:lang w:val="it-IT"/>
        </w:rPr>
        <w:t>anno per quattro anni, in modo da poter chiudere prima di tutto l</w:t>
      </w:r>
      <w:r>
        <w:rPr>
          <w:rFonts w:hAnsi="Book Antiqua" w:hint="default"/>
          <w:rtl w:val="0"/>
          <w:lang w:val="it-IT"/>
        </w:rPr>
        <w:t>’</w:t>
      </w:r>
      <w:r>
        <w:rPr>
          <w:rFonts w:ascii="Book Antiqua"/>
          <w:rtl w:val="0"/>
          <w:lang w:val="it-IT"/>
        </w:rPr>
        <w:t>impianto del Salario e poi anche quello di Rocca Cencia (impianti TMB) e sostituirli con gli ecodistretti [...] Abbiamo quindi bandito, nell</w:t>
      </w:r>
      <w:r>
        <w:rPr>
          <w:rFonts w:hAnsi="Book Antiqua" w:hint="default"/>
          <w:rtl w:val="0"/>
          <w:lang w:val="it-IT"/>
        </w:rPr>
        <w:t>’</w:t>
      </w:r>
      <w:r>
        <w:rPr>
          <w:rFonts w:ascii="Book Antiqua"/>
          <w:rtl w:val="0"/>
          <w:lang w:val="it-IT"/>
        </w:rPr>
        <w:t>estate del 2015, una gara europea per 660.000 tonnellate all</w:t>
      </w:r>
      <w:r>
        <w:rPr>
          <w:rFonts w:hAnsi="Book Antiqua" w:hint="default"/>
          <w:rtl w:val="0"/>
          <w:lang w:val="it-IT"/>
        </w:rPr>
        <w:t>’</w:t>
      </w:r>
      <w:r>
        <w:rPr>
          <w:rFonts w:ascii="Book Antiqua"/>
          <w:rtl w:val="0"/>
          <w:lang w:val="it-IT"/>
        </w:rPr>
        <w:t xml:space="preserve">anno di rifiuti urbani residui. Abbiamo intrapreso un </w:t>
      </w:r>
      <w:r>
        <w:rPr>
          <w:rFonts w:ascii="Book Antiqua"/>
          <w:i w:val="1"/>
          <w:iCs w:val="1"/>
          <w:rtl w:val="0"/>
          <w:lang w:val="it-IT"/>
        </w:rPr>
        <w:t>roadshow</w:t>
      </w:r>
      <w:r>
        <w:rPr>
          <w:rFonts w:ascii="Book Antiqua"/>
          <w:rtl w:val="0"/>
          <w:lang w:val="it-IT"/>
        </w:rPr>
        <w:t xml:space="preserve"> sia verso Utilitalia, sia verso Confindustria per invitare le imprese pubbliche e private a partecipare a questa gara. Premetto che, dalle ricognizioni del Ministero dell</w:t>
      </w:r>
      <w:r>
        <w:rPr>
          <w:rFonts w:hAnsi="Book Antiqua" w:hint="default"/>
          <w:rtl w:val="0"/>
          <w:lang w:val="it-IT"/>
        </w:rPr>
        <w:t>’</w:t>
      </w:r>
      <w:r>
        <w:rPr>
          <w:rFonts w:ascii="Book Antiqua"/>
          <w:rtl w:val="0"/>
          <w:lang w:val="it-IT"/>
        </w:rPr>
        <w:t>ambiente, vi era capienza per centinaia di migliaia di tonnellate negli impianti italiani e che, nel contempo, grazie all</w:t>
      </w:r>
      <w:r>
        <w:rPr>
          <w:rFonts w:hAnsi="Book Antiqua" w:hint="default"/>
          <w:rtl w:val="0"/>
          <w:lang w:val="it-IT"/>
        </w:rPr>
        <w:t>’</w:t>
      </w:r>
      <w:r>
        <w:rPr>
          <w:rFonts w:ascii="Book Antiqua"/>
          <w:rtl w:val="0"/>
          <w:lang w:val="it-IT"/>
        </w:rPr>
        <w:t>articolo 35 dello Sblocca Italia, sarebbe stato possibile portare in impianti capienti (R1 della formula europea, ossia recupero di energia con alto tasso di efficienza) rifiuti tal quali. Abbiamo bandito la gara con un contratto valido quattro anni, per 366 milioni di euro complessivi. Superata l</w:t>
      </w:r>
      <w:r>
        <w:rPr>
          <w:rFonts w:hAnsi="Book Antiqua" w:hint="default"/>
          <w:rtl w:val="0"/>
          <w:lang w:val="it-IT"/>
        </w:rPr>
        <w:t>’</w:t>
      </w:r>
      <w:r>
        <w:rPr>
          <w:rFonts w:ascii="Book Antiqua"/>
          <w:rtl w:val="0"/>
          <w:lang w:val="it-IT"/>
        </w:rPr>
        <w:t xml:space="preserve">estate del 2015 il bando </w:t>
      </w:r>
      <w:r>
        <w:rPr>
          <w:rFonts w:hAnsi="Book Antiqua" w:hint="default"/>
          <w:rtl w:val="0"/>
          <w:lang w:val="it-IT"/>
        </w:rPr>
        <w:t xml:space="preserve">è </w:t>
      </w:r>
      <w:r>
        <w:rPr>
          <w:rFonts w:ascii="Book Antiqua"/>
          <w:rtl w:val="0"/>
          <w:lang w:val="it-IT"/>
        </w:rPr>
        <w:t>stato pubblicato. Abbiamo avuto una sola offerta di un contratto, quello che abbiamo proposto al mercato a consumo. Non abbiamo detto al mercato che avremmo certamente fornito determinati quantitativi di rifiuti e di farci il prezzo, ma abbiamo detto che, ogni qualvolta avessimo avuto necessit</w:t>
      </w:r>
      <w:r>
        <w:rPr>
          <w:rFonts w:hAnsi="Book Antiqua" w:hint="default"/>
          <w:rtl w:val="0"/>
          <w:lang w:val="it-IT"/>
        </w:rPr>
        <w:t xml:space="preserve">à </w:t>
      </w:r>
      <w:r>
        <w:rPr>
          <w:rFonts w:ascii="Book Antiqua"/>
          <w:rtl w:val="0"/>
          <w:lang w:val="it-IT"/>
        </w:rPr>
        <w:t xml:space="preserve">di usare il quantitativo messo a disposizione, lo avremmo fatto per nostre esigenze, secondo nostri programmi e alle nostre condizioni. Arriva una sola offerta. </w:t>
      </w:r>
      <w:r>
        <w:rPr>
          <w:rFonts w:hAnsi="Book Antiqua" w:hint="default"/>
          <w:rtl w:val="0"/>
          <w:lang w:val="it-IT"/>
        </w:rPr>
        <w:t xml:space="preserve">È </w:t>
      </w:r>
      <w:r>
        <w:rPr>
          <w:rFonts w:ascii="Book Antiqua"/>
          <w:rtl w:val="0"/>
          <w:lang w:val="it-IT"/>
        </w:rPr>
        <w:t>quella del raggruppamento Enki di Leutesdorf, che mette a disposizione impianti di recupero di energia R1, i pi</w:t>
      </w:r>
      <w:r>
        <w:rPr>
          <w:rFonts w:hAnsi="Book Antiqua" w:hint="default"/>
          <w:rtl w:val="0"/>
          <w:lang w:val="it-IT"/>
        </w:rPr>
        <w:t xml:space="preserve">ù </w:t>
      </w:r>
      <w:r>
        <w:rPr>
          <w:rFonts w:ascii="Book Antiqua"/>
          <w:rtl w:val="0"/>
          <w:lang w:val="it-IT"/>
        </w:rPr>
        <w:t xml:space="preserve">moderni che possano esistere oggi in Europa. Enki ci offre un contratto di quattro anni </w:t>
      </w:r>
      <w:r>
        <w:rPr>
          <w:rFonts w:hAnsi="Book Antiqua" w:hint="default"/>
          <w:rtl w:val="0"/>
          <w:lang w:val="it-IT"/>
        </w:rPr>
        <w:t xml:space="preserve">– </w:t>
      </w:r>
      <w:r>
        <w:rPr>
          <w:rFonts w:ascii="Book Antiqua"/>
          <w:rtl w:val="0"/>
          <w:lang w:val="it-IT"/>
        </w:rPr>
        <w:t xml:space="preserve">contratto, ripeto, a consumo </w:t>
      </w:r>
      <w:r>
        <w:rPr>
          <w:rFonts w:hAnsi="Book Antiqua" w:hint="default"/>
          <w:rtl w:val="0"/>
          <w:lang w:val="it-IT"/>
        </w:rPr>
        <w:t xml:space="preserve">– </w:t>
      </w:r>
      <w:r>
        <w:rPr>
          <w:rFonts w:ascii="Book Antiqua"/>
          <w:rtl w:val="0"/>
          <w:lang w:val="it-IT"/>
        </w:rPr>
        <w:t>per 160.000 tonnellate all</w:t>
      </w:r>
      <w:r>
        <w:rPr>
          <w:rFonts w:hAnsi="Book Antiqua" w:hint="default"/>
          <w:rtl w:val="0"/>
          <w:lang w:val="it-IT"/>
        </w:rPr>
        <w:t>’</w:t>
      </w:r>
      <w:r>
        <w:rPr>
          <w:rFonts w:ascii="Book Antiqua"/>
          <w:rtl w:val="0"/>
          <w:lang w:val="it-IT"/>
        </w:rPr>
        <w:t>anno, vale a dire 500 tonnellate al giorno, al prezzo di 138,5 euro a tonnellata. Si tratta di rifiuti trasportabili via treno con caricamento a Roma e svuotamento negli impianti di recupero di energia. Il mese successivo all</w:t>
      </w:r>
      <w:r>
        <w:rPr>
          <w:rFonts w:hAnsi="Book Antiqua" w:hint="default"/>
          <w:rtl w:val="0"/>
          <w:lang w:val="it-IT"/>
        </w:rPr>
        <w:t>’</w:t>
      </w:r>
      <w:r>
        <w:rPr>
          <w:rFonts w:ascii="Book Antiqua"/>
          <w:rtl w:val="0"/>
          <w:lang w:val="it-IT"/>
        </w:rPr>
        <w:t>aggiudicazione della gara, cosa che era prevista nel bando europeo, Enki formula una proposta migliorativa e ci offre 240.000 tonnellate all</w:t>
      </w:r>
      <w:r>
        <w:rPr>
          <w:rFonts w:hAnsi="Book Antiqua" w:hint="default"/>
          <w:rtl w:val="0"/>
          <w:lang w:val="it-IT"/>
        </w:rPr>
        <w:t>’</w:t>
      </w:r>
      <w:r>
        <w:rPr>
          <w:rFonts w:ascii="Book Antiqua"/>
          <w:rtl w:val="0"/>
          <w:lang w:val="it-IT"/>
        </w:rPr>
        <w:t xml:space="preserve">anno al prezzo di 136 euro la tonnellata. I rifiuti che oggi AMA consegna agli impianti TMB del gruppo Co.La.Ri li paghiamo 143 euro a tonnellata, per effetto di una tariffa regionale, giustamente stabilita dalla regione, come soggetto terzo indipendente rispetto ai soggetti di mercato. AMA </w:t>
      </w:r>
      <w:r>
        <w:rPr>
          <w:rFonts w:hAnsi="Book Antiqua" w:hint="default"/>
          <w:rtl w:val="0"/>
          <w:lang w:val="it-IT"/>
        </w:rPr>
        <w:t xml:space="preserve">è </w:t>
      </w:r>
      <w:r>
        <w:rPr>
          <w:rFonts w:ascii="Book Antiqua"/>
          <w:rtl w:val="0"/>
          <w:lang w:val="it-IT"/>
        </w:rPr>
        <w:t xml:space="preserve">obbligata a portare i rifiuti ai TMB di Malagrotta e Co.La.Ri </w:t>
      </w:r>
      <w:r>
        <w:rPr>
          <w:rFonts w:hAnsi="Book Antiqua" w:hint="default"/>
          <w:rtl w:val="0"/>
          <w:lang w:val="it-IT"/>
        </w:rPr>
        <w:t xml:space="preserve">è </w:t>
      </w:r>
      <w:r>
        <w:rPr>
          <w:rFonts w:ascii="Book Antiqua"/>
          <w:rtl w:val="0"/>
          <w:lang w:val="it-IT"/>
        </w:rPr>
        <w:t>obbligato a prenderli. Giustamente, la regione regola gli obblighi tra soggetti che essa ha indicato come vincolati all</w:t>
      </w:r>
      <w:r>
        <w:rPr>
          <w:rFonts w:hAnsi="Book Antiqua" w:hint="default"/>
          <w:rtl w:val="0"/>
          <w:lang w:val="it-IT"/>
        </w:rPr>
        <w:t>’</w:t>
      </w:r>
      <w:r>
        <w:rPr>
          <w:rFonts w:ascii="Book Antiqua"/>
          <w:rtl w:val="0"/>
          <w:lang w:val="it-IT"/>
        </w:rPr>
        <w:t>uso degli impianti esistenti e, dunque, fissa il prezzo: 143 paghiamo sotto casa e 136 pagheremo, nel caso di accettazione dell</w:t>
      </w:r>
      <w:r>
        <w:rPr>
          <w:rFonts w:hAnsi="Book Antiqua" w:hint="default"/>
          <w:rtl w:val="0"/>
          <w:lang w:val="it-IT"/>
        </w:rPr>
        <w:t>’</w:t>
      </w:r>
      <w:r>
        <w:rPr>
          <w:rFonts w:ascii="Book Antiqua"/>
          <w:rtl w:val="0"/>
          <w:lang w:val="it-IT"/>
        </w:rPr>
        <w:t xml:space="preserve">offerta migliorativa per come ci </w:t>
      </w:r>
      <w:r>
        <w:rPr>
          <w:rFonts w:hAnsi="Book Antiqua" w:hint="default"/>
          <w:rtl w:val="0"/>
          <w:lang w:val="it-IT"/>
        </w:rPr>
        <w:t xml:space="preserve">è </w:t>
      </w:r>
      <w:r>
        <w:rPr>
          <w:rFonts w:ascii="Book Antiqua"/>
          <w:rtl w:val="0"/>
          <w:lang w:val="it-IT"/>
        </w:rPr>
        <w:t>arrivata da Enki. Enki presenta la richiesta di notifica nel processo di trasferimento transfrontaliero di questi rifiuti.</w:t>
      </w:r>
      <w:r>
        <w:rPr>
          <w:rFonts w:hAnsi="Book Antiqua" w:hint="default"/>
          <w:rtl w:val="0"/>
          <w:lang w:val="it-IT"/>
        </w:rPr>
        <w:t xml:space="preserve">” </w:t>
      </w:r>
    </w:p>
    <w:p>
      <w:pPr>
        <w:pStyle w:val="Normal"/>
        <w:ind w:left="567" w:right="567" w:firstLine="0"/>
        <w:jc w:val="both"/>
        <w:rPr>
          <w:rFonts w:ascii="Book Antiqua" w:cs="Book Antiqua" w:hAnsi="Book Antiqua" w:eastAsia="Book Antiqua"/>
        </w:rPr>
      </w:pPr>
      <w:r>
        <w:rPr>
          <w:rFonts w:ascii="Book Antiqua"/>
          <w:rtl w:val="0"/>
          <w:lang w:val="it-IT"/>
        </w:rPr>
        <w:t>L</w:t>
      </w:r>
      <w:r>
        <w:rPr>
          <w:rFonts w:hAnsi="Book Antiqua" w:hint="default"/>
          <w:rtl w:val="0"/>
          <w:lang w:val="it-IT"/>
        </w:rPr>
        <w:t>’</w:t>
      </w:r>
      <w:r>
        <w:rPr>
          <w:rFonts w:ascii="Book Antiqua"/>
          <w:rtl w:val="0"/>
          <w:lang w:val="it-IT"/>
        </w:rPr>
        <w:t>audito, su questa gara rivolta evidentemente anche alle imprese italiane, ha precisato:</w:t>
      </w:r>
    </w:p>
    <w:p>
      <w:pPr>
        <w:pStyle w:val="Normal"/>
        <w:ind w:left="567" w:right="567" w:firstLine="0"/>
        <w:jc w:val="both"/>
        <w:rPr>
          <w:rFonts w:ascii="Book Antiqua" w:cs="Book Antiqua" w:hAnsi="Book Antiqua" w:eastAsia="Book Antiqua"/>
        </w:rPr>
      </w:pPr>
      <w:r>
        <w:rPr>
          <w:rFonts w:hAnsi="Book Antiqua" w:hint="default"/>
          <w:rtl w:val="0"/>
          <w:lang w:val="it-IT"/>
        </w:rPr>
        <w:t>“</w:t>
      </w:r>
      <w:r>
        <w:rPr>
          <w:rFonts w:ascii="Book Antiqua"/>
          <w:rtl w:val="0"/>
          <w:lang w:val="it-IT"/>
        </w:rPr>
        <w:t>Mi preme sottolineare una questione. Alla gara europea, poi aggiudicata a Enki, le imprese italiane non hanno partecipato; non hanno partecipato non perch</w:t>
      </w:r>
      <w:r>
        <w:rPr>
          <w:rFonts w:hAnsi="Book Antiqua" w:hint="default"/>
          <w:rtl w:val="0"/>
          <w:lang w:val="it-IT"/>
        </w:rPr>
        <w:t xml:space="preserve">é </w:t>
      </w:r>
      <w:r>
        <w:rPr>
          <w:rFonts w:ascii="Book Antiqua"/>
          <w:rtl w:val="0"/>
          <w:lang w:val="it-IT"/>
        </w:rPr>
        <w:t>non avessero capacit</w:t>
      </w:r>
      <w:r>
        <w:rPr>
          <w:rFonts w:hAnsi="Book Antiqua" w:hint="default"/>
          <w:rtl w:val="0"/>
          <w:lang w:val="it-IT"/>
        </w:rPr>
        <w:t xml:space="preserve">à </w:t>
      </w:r>
      <w:r>
        <w:rPr>
          <w:rFonts w:ascii="Book Antiqua"/>
          <w:rtl w:val="0"/>
          <w:lang w:val="it-IT"/>
        </w:rPr>
        <w:t>nei propri impianti e neanche perch</w:t>
      </w:r>
      <w:r>
        <w:rPr>
          <w:rFonts w:hAnsi="Book Antiqua" w:hint="default"/>
          <w:rtl w:val="0"/>
          <w:lang w:val="it-IT"/>
        </w:rPr>
        <w:t xml:space="preserve">é </w:t>
      </w:r>
      <w:r>
        <w:rPr>
          <w:rFonts w:ascii="Book Antiqua"/>
          <w:rtl w:val="0"/>
          <w:lang w:val="it-IT"/>
        </w:rPr>
        <w:t>il prezzo posto a base di gara fosse per loro insostenibile. Le imprese italiane non partecipano perch</w:t>
      </w:r>
      <w:r>
        <w:rPr>
          <w:rFonts w:hAnsi="Book Antiqua" w:hint="default"/>
          <w:rtl w:val="0"/>
          <w:lang w:val="it-IT"/>
        </w:rPr>
        <w:t xml:space="preserve">é </w:t>
      </w:r>
      <w:r>
        <w:rPr>
          <w:rFonts w:ascii="Book Antiqua"/>
          <w:rtl w:val="0"/>
          <w:lang w:val="it-IT"/>
        </w:rPr>
        <w:t>temono che nei loro territori l</w:t>
      </w:r>
      <w:r>
        <w:rPr>
          <w:rFonts w:hAnsi="Book Antiqua" w:hint="default"/>
          <w:rtl w:val="0"/>
          <w:lang w:val="it-IT"/>
        </w:rPr>
        <w:t>’</w:t>
      </w:r>
      <w:r>
        <w:rPr>
          <w:rFonts w:ascii="Book Antiqua"/>
          <w:rtl w:val="0"/>
          <w:lang w:val="it-IT"/>
        </w:rPr>
        <w:t>arrivo dei rifiuti dalla Capitale possa generare manifestazioni, contestazioni e proteste tali da poter pregiudicare anche il funzionamento degli impianti per le loro necessit</w:t>
      </w:r>
      <w:r>
        <w:rPr>
          <w:rFonts w:hAnsi="Book Antiqua" w:hint="default"/>
          <w:rtl w:val="0"/>
          <w:lang w:val="it-IT"/>
        </w:rPr>
        <w:t>à</w:t>
      </w:r>
      <w:r>
        <w:rPr>
          <w:rFonts w:ascii="Book Antiqua"/>
          <w:rtl w:val="0"/>
          <w:lang w:val="it-IT"/>
        </w:rPr>
        <w:t>. La gara viene ribandita per i quantitativi che non sono stati attribuiti, ossia circa 440.000 tonnellate. Vengono fatti 15 lotti pi</w:t>
      </w:r>
      <w:r>
        <w:rPr>
          <w:rFonts w:hAnsi="Book Antiqua" w:hint="default"/>
          <w:rtl w:val="0"/>
          <w:lang w:val="it-IT"/>
        </w:rPr>
        <w:t xml:space="preserve">ù </w:t>
      </w:r>
      <w:r>
        <w:rPr>
          <w:rFonts w:ascii="Book Antiqua"/>
          <w:rtl w:val="0"/>
          <w:lang w:val="it-IT"/>
        </w:rPr>
        <w:t>piccoli per spacchettare le 440.000 tonnellate e, quindi, consentire anche a impianti pi</w:t>
      </w:r>
      <w:r>
        <w:rPr>
          <w:rFonts w:hAnsi="Book Antiqua" w:hint="default"/>
          <w:rtl w:val="0"/>
          <w:lang w:val="it-IT"/>
        </w:rPr>
        <w:t xml:space="preserve">ù </w:t>
      </w:r>
      <w:r>
        <w:rPr>
          <w:rFonts w:ascii="Book Antiqua"/>
          <w:rtl w:val="0"/>
          <w:lang w:val="it-IT"/>
        </w:rPr>
        <w:t>piccoli di partecipare. Il prezzo a base d</w:t>
      </w:r>
      <w:r>
        <w:rPr>
          <w:rFonts w:hAnsi="Book Antiqua" w:hint="default"/>
          <w:rtl w:val="0"/>
          <w:lang w:val="it-IT"/>
        </w:rPr>
        <w:t>’</w:t>
      </w:r>
      <w:r>
        <w:rPr>
          <w:rFonts w:ascii="Book Antiqua"/>
          <w:rtl w:val="0"/>
          <w:lang w:val="it-IT"/>
        </w:rPr>
        <w:t>asta viene abbassato a quello espunto con la gara precedente. La gara va deserta.</w:t>
      </w:r>
      <w:r>
        <w:rPr>
          <w:rFonts w:hAnsi="Book Antiqua" w:hint="default"/>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In realt</w:t>
      </w:r>
      <w:r>
        <w:rPr>
          <w:rFonts w:hAnsi="Book Antiqua" w:hint="default"/>
          <w:rtl w:val="0"/>
          <w:lang w:val="it-IT"/>
        </w:rPr>
        <w:t xml:space="preserve">à </w:t>
      </w:r>
      <w:r>
        <w:rPr>
          <w:rFonts w:ascii="Book Antiqua"/>
          <w:rtl w:val="0"/>
          <w:lang w:val="it-IT"/>
        </w:rPr>
        <w:t>questa gara europea aveva un ulteriore obiettivo:</w:t>
      </w:r>
      <w:r>
        <w:rPr>
          <w:rFonts w:hAnsi="Book Antiqua" w:hint="default"/>
          <w:rtl w:val="0"/>
          <w:lang w:val="it-IT"/>
        </w:rPr>
        <w:t xml:space="preserve"> è </w:t>
      </w:r>
      <w:r>
        <w:rPr>
          <w:rFonts w:ascii="Book Antiqua"/>
          <w:rtl w:val="0"/>
          <w:lang w:val="it-IT"/>
        </w:rPr>
        <w:t xml:space="preserve">Alessandro Filippi, ex direttore generale di AMA S.p.A., audito il 26 ottobre 2016, che lo svela: </w:t>
      </w:r>
    </w:p>
    <w:p>
      <w:pPr>
        <w:pStyle w:val="Normal"/>
        <w:ind w:left="567" w:right="567" w:firstLine="0"/>
        <w:jc w:val="both"/>
        <w:rPr>
          <w:rFonts w:ascii="Book Antiqua" w:cs="Book Antiqua" w:hAnsi="Book Antiqua" w:eastAsia="Book Antiqua"/>
        </w:rPr>
      </w:pPr>
      <w:r>
        <w:rPr>
          <w:rFonts w:hAnsi="Book Antiqua" w:hint="default"/>
          <w:rtl w:val="0"/>
          <w:lang w:val="it-IT"/>
        </w:rPr>
        <w:t>“</w:t>
      </w:r>
      <w:r>
        <w:rPr>
          <w:rFonts w:ascii="Book Antiqua"/>
          <w:rtl w:val="0"/>
          <w:lang w:val="it-IT"/>
        </w:rPr>
        <w:t>C</w:t>
      </w:r>
      <w:r>
        <w:rPr>
          <w:rFonts w:hAnsi="Book Antiqua" w:hint="default"/>
          <w:rtl w:val="0"/>
          <w:lang w:val="it-IT"/>
        </w:rPr>
        <w:t xml:space="preserve">’è </w:t>
      </w:r>
      <w:r>
        <w:rPr>
          <w:rFonts w:ascii="Book Antiqua"/>
          <w:rtl w:val="0"/>
          <w:lang w:val="it-IT"/>
        </w:rPr>
        <w:t>poi un tema di copertura delle esigenze di trattamento di quei flussi indifferenziati che residuano dalla crescita di raccolta differenziata. Su questo ricordo - se n</w:t>
      </w:r>
      <w:r>
        <w:rPr>
          <w:rFonts w:hAnsi="Book Antiqua" w:hint="default"/>
          <w:rtl w:val="0"/>
          <w:lang w:val="it-IT"/>
        </w:rPr>
        <w:t xml:space="preserve">’è </w:t>
      </w:r>
      <w:r>
        <w:rPr>
          <w:rFonts w:ascii="Book Antiqua"/>
          <w:rtl w:val="0"/>
          <w:lang w:val="it-IT"/>
        </w:rPr>
        <w:t xml:space="preserve">parlato molto </w:t>
      </w:r>
      <w:r>
        <w:rPr>
          <w:rFonts w:hAnsi="Book Antiqua" w:hint="default"/>
          <w:rtl w:val="0"/>
          <w:lang w:val="it-IT"/>
        </w:rPr>
        <w:t xml:space="preserve">– </w:t>
      </w:r>
      <w:r>
        <w:rPr>
          <w:rFonts w:ascii="Book Antiqua"/>
          <w:rtl w:val="0"/>
          <w:lang w:val="it-IT"/>
        </w:rPr>
        <w:t>che gli effetti non si sono ancora espletati, ma noi creiamo le condizioni attraverso una procedura di evidenza pubblica per garantire la copertura di flussi di indifferenziato, utilizzando l</w:t>
      </w:r>
      <w:r>
        <w:rPr>
          <w:rFonts w:hAnsi="Book Antiqua" w:hint="default"/>
          <w:rtl w:val="0"/>
          <w:lang w:val="it-IT"/>
        </w:rPr>
        <w:t>’</w:t>
      </w:r>
      <w:r>
        <w:rPr>
          <w:rFonts w:ascii="Book Antiqua"/>
          <w:rtl w:val="0"/>
          <w:lang w:val="it-IT"/>
        </w:rPr>
        <w:t>articolo 35 dello Sblocca Italia, che consente di trattare direttamente l</w:t>
      </w:r>
      <w:r>
        <w:rPr>
          <w:rFonts w:hAnsi="Book Antiqua" w:hint="default"/>
          <w:rtl w:val="0"/>
          <w:lang w:val="it-IT"/>
        </w:rPr>
        <w:t>’</w:t>
      </w:r>
      <w:r>
        <w:rPr>
          <w:rFonts w:ascii="Book Antiqua"/>
          <w:rtl w:val="0"/>
          <w:lang w:val="it-IT"/>
        </w:rPr>
        <w:t xml:space="preserve">indifferenziato. Questa </w:t>
      </w:r>
      <w:r>
        <w:rPr>
          <w:rFonts w:hAnsi="Book Antiqua" w:hint="default"/>
          <w:rtl w:val="0"/>
          <w:lang w:val="it-IT"/>
        </w:rPr>
        <w:t xml:space="preserve">è </w:t>
      </w:r>
      <w:r>
        <w:rPr>
          <w:rFonts w:ascii="Book Antiqua"/>
          <w:rtl w:val="0"/>
          <w:lang w:val="it-IT"/>
        </w:rPr>
        <w:t>la gara che porter</w:t>
      </w:r>
      <w:r>
        <w:rPr>
          <w:rFonts w:hAnsi="Book Antiqua" w:hint="default"/>
          <w:rtl w:val="0"/>
          <w:lang w:val="it-IT"/>
        </w:rPr>
        <w:t xml:space="preserve">à </w:t>
      </w:r>
      <w:r>
        <w:rPr>
          <w:rFonts w:ascii="Book Antiqua"/>
          <w:rtl w:val="0"/>
          <w:lang w:val="it-IT"/>
        </w:rPr>
        <w:t>poi all</w:t>
      </w:r>
      <w:r>
        <w:rPr>
          <w:rFonts w:hAnsi="Book Antiqua" w:hint="default"/>
          <w:rtl w:val="0"/>
          <w:lang w:val="it-IT"/>
        </w:rPr>
        <w:t>’</w:t>
      </w:r>
      <w:r>
        <w:rPr>
          <w:rFonts w:ascii="Book Antiqua"/>
          <w:rtl w:val="0"/>
          <w:lang w:val="it-IT"/>
        </w:rPr>
        <w:t>aggiudicazione di un quantitativo di 163.000 tonnellate, comunque considerevole all</w:t>
      </w:r>
      <w:r>
        <w:rPr>
          <w:rFonts w:hAnsi="Book Antiqua" w:hint="default"/>
          <w:rtl w:val="0"/>
          <w:lang w:val="it-IT"/>
        </w:rPr>
        <w:t>’</w:t>
      </w:r>
      <w:r>
        <w:rPr>
          <w:rFonts w:ascii="Book Antiqua"/>
          <w:rtl w:val="0"/>
          <w:lang w:val="it-IT"/>
        </w:rPr>
        <w:t>interno dell</w:t>
      </w:r>
      <w:r>
        <w:rPr>
          <w:rFonts w:hAnsi="Book Antiqua" w:hint="default"/>
          <w:rtl w:val="0"/>
          <w:lang w:val="it-IT"/>
        </w:rPr>
        <w:t>’</w:t>
      </w:r>
      <w:r>
        <w:rPr>
          <w:rFonts w:ascii="Book Antiqua"/>
          <w:rtl w:val="0"/>
          <w:lang w:val="it-IT"/>
        </w:rPr>
        <w:t>economia complessiva dei flussi di rifiuti da gestire, che poi porta all</w:t>
      </w:r>
      <w:r>
        <w:rPr>
          <w:rFonts w:hAnsi="Book Antiqua" w:hint="default"/>
          <w:rtl w:val="0"/>
          <w:lang w:val="it-IT"/>
        </w:rPr>
        <w:t>’</w:t>
      </w:r>
      <w:r>
        <w:rPr>
          <w:rFonts w:ascii="Book Antiqua"/>
          <w:rtl w:val="0"/>
          <w:lang w:val="it-IT"/>
        </w:rPr>
        <w:t>aggiudicazione alla Enki, cio</w:t>
      </w:r>
      <w:r>
        <w:rPr>
          <w:rFonts w:hAnsi="Book Antiqua" w:hint="default"/>
          <w:rtl w:val="0"/>
          <w:lang w:val="it-IT"/>
        </w:rPr>
        <w:t xml:space="preserve">è </w:t>
      </w:r>
      <w:r>
        <w:rPr>
          <w:rFonts w:ascii="Book Antiqua"/>
          <w:rtl w:val="0"/>
          <w:lang w:val="it-IT"/>
        </w:rPr>
        <w:t>quella che se attivata consente di avere un percorso di autonomia. Queste attivit</w:t>
      </w:r>
      <w:r>
        <w:rPr>
          <w:rFonts w:hAnsi="Book Antiqua" w:hint="default"/>
          <w:rtl w:val="0"/>
          <w:lang w:val="it-IT"/>
        </w:rPr>
        <w:t xml:space="preserve">à </w:t>
      </w:r>
      <w:r>
        <w:rPr>
          <w:rFonts w:ascii="Book Antiqua"/>
          <w:rtl w:val="0"/>
          <w:lang w:val="it-IT"/>
        </w:rPr>
        <w:t>sull</w:t>
      </w:r>
      <w:r>
        <w:rPr>
          <w:rFonts w:hAnsi="Book Antiqua" w:hint="default"/>
          <w:rtl w:val="0"/>
          <w:lang w:val="it-IT"/>
        </w:rPr>
        <w:t>’</w:t>
      </w:r>
      <w:r>
        <w:rPr>
          <w:rFonts w:ascii="Book Antiqua"/>
          <w:rtl w:val="0"/>
          <w:lang w:val="it-IT"/>
        </w:rPr>
        <w:t>indifferenziato avevano anche un obiettivo, cio</w:t>
      </w:r>
      <w:r>
        <w:rPr>
          <w:rFonts w:hAnsi="Book Antiqua" w:hint="default"/>
          <w:rtl w:val="0"/>
          <w:lang w:val="it-IT"/>
        </w:rPr>
        <w:t>è</w:t>
      </w:r>
      <w:r>
        <w:rPr>
          <w:rFonts w:ascii="Book Antiqua"/>
          <w:rtl w:val="0"/>
          <w:lang w:val="it-IT"/>
        </w:rPr>
        <w:t xml:space="preserve">, via via, quello di emanciparsi da una dipendenza, che </w:t>
      </w:r>
      <w:r>
        <w:rPr>
          <w:rFonts w:hAnsi="Book Antiqua" w:hint="default"/>
          <w:rtl w:val="0"/>
          <w:lang w:val="it-IT"/>
        </w:rPr>
        <w:t xml:space="preserve">è </w:t>
      </w:r>
      <w:r>
        <w:rPr>
          <w:rFonts w:ascii="Book Antiqua"/>
          <w:rtl w:val="0"/>
          <w:lang w:val="it-IT"/>
        </w:rPr>
        <w:t>quella che pi</w:t>
      </w:r>
      <w:r>
        <w:rPr>
          <w:rFonts w:hAnsi="Book Antiqua" w:hint="default"/>
          <w:rtl w:val="0"/>
          <w:lang w:val="it-IT"/>
        </w:rPr>
        <w:t xml:space="preserve">ù </w:t>
      </w:r>
      <w:r>
        <w:rPr>
          <w:rFonts w:ascii="Book Antiqua"/>
          <w:rtl w:val="0"/>
          <w:lang w:val="it-IT"/>
        </w:rPr>
        <w:t>ci preoccupa anche per l</w:t>
      </w:r>
      <w:r>
        <w:rPr>
          <w:rFonts w:hAnsi="Book Antiqua" w:hint="default"/>
          <w:rtl w:val="0"/>
          <w:lang w:val="it-IT"/>
        </w:rPr>
        <w:t>’</w:t>
      </w:r>
      <w:r>
        <w:rPr>
          <w:rFonts w:ascii="Book Antiqua"/>
          <w:rtl w:val="0"/>
          <w:lang w:val="it-IT"/>
        </w:rPr>
        <w:t>organizzazione dell</w:t>
      </w:r>
      <w:r>
        <w:rPr>
          <w:rFonts w:hAnsi="Book Antiqua" w:hint="default"/>
          <w:rtl w:val="0"/>
          <w:lang w:val="it-IT"/>
        </w:rPr>
        <w:t>’</w:t>
      </w:r>
      <w:r>
        <w:rPr>
          <w:rFonts w:ascii="Book Antiqua"/>
          <w:rtl w:val="0"/>
          <w:lang w:val="it-IT"/>
        </w:rPr>
        <w:t>affidamento al tritovaglio di Rocca Cencia. Ci</w:t>
      </w:r>
      <w:r>
        <w:rPr>
          <w:rFonts w:hAnsi="Book Antiqua" w:hint="default"/>
          <w:rtl w:val="0"/>
          <w:lang w:val="it-IT"/>
        </w:rPr>
        <w:t xml:space="preserve">ò </w:t>
      </w:r>
      <w:r>
        <w:rPr>
          <w:rFonts w:ascii="Book Antiqua"/>
          <w:rtl w:val="0"/>
          <w:lang w:val="it-IT"/>
        </w:rPr>
        <w:t>ci preoccupa perch</w:t>
      </w:r>
      <w:r>
        <w:rPr>
          <w:rFonts w:hAnsi="Book Antiqua" w:hint="default"/>
          <w:rtl w:val="0"/>
          <w:lang w:val="it-IT"/>
        </w:rPr>
        <w:t>é</w:t>
      </w:r>
      <w:r>
        <w:rPr>
          <w:rFonts w:ascii="Book Antiqua"/>
          <w:rtl w:val="0"/>
          <w:lang w:val="it-IT"/>
        </w:rPr>
        <w:t>, sulla base delle analisi svolte (su questo si sono presentate le dovute comunicazioni agli organi competenti), non ci convincevano le modalit</w:t>
      </w:r>
      <w:r>
        <w:rPr>
          <w:rFonts w:hAnsi="Book Antiqua" w:hint="default"/>
          <w:rtl w:val="0"/>
          <w:lang w:val="it-IT"/>
        </w:rPr>
        <w:t xml:space="preserve">à </w:t>
      </w:r>
      <w:r>
        <w:rPr>
          <w:rFonts w:ascii="Book Antiqua"/>
          <w:rtl w:val="0"/>
          <w:lang w:val="it-IT"/>
        </w:rPr>
        <w:t>dell</w:t>
      </w:r>
      <w:r>
        <w:rPr>
          <w:rFonts w:hAnsi="Book Antiqua" w:hint="default"/>
          <w:rtl w:val="0"/>
          <w:lang w:val="it-IT"/>
        </w:rPr>
        <w:t>’</w:t>
      </w:r>
      <w:r>
        <w:rPr>
          <w:rFonts w:ascii="Book Antiqua"/>
          <w:rtl w:val="0"/>
          <w:lang w:val="it-IT"/>
        </w:rPr>
        <w:t>affidamento, n</w:t>
      </w:r>
      <w:r>
        <w:rPr>
          <w:rFonts w:hAnsi="Book Antiqua" w:hint="default"/>
          <w:rtl w:val="0"/>
          <w:lang w:val="it-IT"/>
        </w:rPr>
        <w:t xml:space="preserve">é </w:t>
      </w:r>
      <w:r>
        <w:rPr>
          <w:rFonts w:ascii="Book Antiqua"/>
          <w:rtl w:val="0"/>
          <w:lang w:val="it-IT"/>
        </w:rPr>
        <w:t>dell</w:t>
      </w:r>
      <w:r>
        <w:rPr>
          <w:rFonts w:hAnsi="Book Antiqua" w:hint="default"/>
          <w:rtl w:val="0"/>
          <w:lang w:val="it-IT"/>
        </w:rPr>
        <w:t>’</w:t>
      </w:r>
      <w:r>
        <w:rPr>
          <w:rFonts w:ascii="Book Antiqua"/>
          <w:rtl w:val="0"/>
          <w:lang w:val="it-IT"/>
        </w:rPr>
        <w:t>imposto economico. Soprattutto, ci</w:t>
      </w:r>
      <w:r>
        <w:rPr>
          <w:rFonts w:hAnsi="Book Antiqua" w:hint="default"/>
          <w:rtl w:val="0"/>
          <w:lang w:val="it-IT"/>
        </w:rPr>
        <w:t xml:space="preserve">ò </w:t>
      </w:r>
      <w:r>
        <w:rPr>
          <w:rFonts w:ascii="Book Antiqua"/>
          <w:rtl w:val="0"/>
          <w:lang w:val="it-IT"/>
        </w:rPr>
        <w:t>rappresentava un elemento di dipendenza che andava superato. Su questo, quindi, lavoriamo fino a portare, nel febbraio 2016, ad azzerare il trito vaglio Co.La.Ri, sempre nella logica di rendere l</w:t>
      </w:r>
      <w:r>
        <w:rPr>
          <w:rFonts w:hAnsi="Book Antiqua" w:hint="default"/>
          <w:rtl w:val="0"/>
          <w:lang w:val="it-IT"/>
        </w:rPr>
        <w:t>’</w:t>
      </w:r>
      <w:r>
        <w:rPr>
          <w:rFonts w:ascii="Book Antiqua"/>
          <w:rtl w:val="0"/>
          <w:lang w:val="it-IT"/>
        </w:rPr>
        <w:t>azienda autonoma e indipendente da soggetti terzi, compito che giudico primario da parte dell</w:t>
      </w:r>
      <w:r>
        <w:rPr>
          <w:rFonts w:hAnsi="Book Antiqua" w:hint="default"/>
          <w:rtl w:val="0"/>
          <w:lang w:val="it-IT"/>
        </w:rPr>
        <w:t>’</w:t>
      </w:r>
      <w:r>
        <w:rPr>
          <w:rFonts w:ascii="Book Antiqua"/>
          <w:rtl w:val="0"/>
          <w:lang w:val="it-IT"/>
        </w:rPr>
        <w:t>amministratore di una societ</w:t>
      </w:r>
      <w:r>
        <w:rPr>
          <w:rFonts w:hAnsi="Book Antiqua" w:hint="default"/>
          <w:rtl w:val="0"/>
          <w:lang w:val="it-IT"/>
        </w:rPr>
        <w:t xml:space="preserve">à </w:t>
      </w:r>
      <w:r>
        <w:rPr>
          <w:rFonts w:ascii="Book Antiqua"/>
          <w:rtl w:val="0"/>
          <w:lang w:val="it-IT"/>
        </w:rPr>
        <w:t>pubblica.</w:t>
      </w:r>
      <w:r>
        <w:rPr>
          <w:rFonts w:hAnsi="Book Antiqua" w:hint="default"/>
          <w:rtl w:val="0"/>
          <w:lang w:val="it-IT"/>
        </w:rPr>
        <w:t>”</w:t>
      </w:r>
    </w:p>
    <w:p>
      <w:pPr>
        <w:pStyle w:val="Normal"/>
        <w:ind w:left="567" w:right="567" w:firstLine="0"/>
        <w:jc w:val="both"/>
        <w:rPr>
          <w:rFonts w:ascii="Book Antiqua" w:cs="Book Antiqua" w:hAnsi="Book Antiqua" w:eastAsia="Book Antiqua"/>
          <w:shd w:val="clear" w:color="auto" w:fill="ffffff"/>
        </w:rPr>
      </w:pPr>
      <w:r>
        <w:rPr>
          <w:rFonts w:ascii="Book Antiqua"/>
          <w:rtl w:val="0"/>
          <w:lang w:val="it-IT"/>
        </w:rPr>
        <w:t xml:space="preserve">In parole povere 127.000 tonnellate/anno  di rifiuti </w:t>
      </w:r>
      <w:r>
        <w:rPr>
          <w:rFonts w:hAnsi="Book Antiqua" w:hint="default"/>
          <w:rtl w:val="0"/>
          <w:lang w:val="it-IT"/>
        </w:rPr>
        <w:t>“</w:t>
      </w:r>
      <w:r>
        <w:rPr>
          <w:rFonts w:ascii="Book Antiqua"/>
          <w:rtl w:val="0"/>
          <w:lang w:val="it-IT"/>
        </w:rPr>
        <w:t>tal quale</w:t>
      </w:r>
      <w:r>
        <w:rPr>
          <w:rFonts w:hAnsi="Book Antiqua" w:hint="default"/>
          <w:rtl w:val="0"/>
          <w:lang w:val="it-IT"/>
        </w:rPr>
        <w:t xml:space="preserve">” </w:t>
      </w:r>
      <w:r>
        <w:rPr>
          <w:rFonts w:ascii="Book Antiqua"/>
          <w:rtl w:val="0"/>
          <w:lang w:val="it-IT"/>
        </w:rPr>
        <w:t xml:space="preserve">-  per il trattamento, recupero e smaltimento </w:t>
      </w:r>
      <w:r>
        <w:rPr>
          <w:rFonts w:hAnsi="Book Antiqua" w:hint="default"/>
          <w:rtl w:val="0"/>
          <w:lang w:val="it-IT"/>
        </w:rPr>
        <w:t xml:space="preserve">– </w:t>
      </w:r>
      <w:r>
        <w:rPr>
          <w:rFonts w:ascii="Book Antiqua"/>
          <w:rtl w:val="0"/>
          <w:lang w:val="it-IT"/>
        </w:rPr>
        <w:t>vengono affidati alla vincitrice del bando promosso nel 2015 dall</w:t>
      </w:r>
      <w:r>
        <w:rPr>
          <w:rFonts w:hAnsi="Book Antiqua" w:hint="default"/>
          <w:rtl w:val="0"/>
          <w:lang w:val="it-IT"/>
        </w:rPr>
        <w:t>’</w:t>
      </w:r>
      <w:r>
        <w:rPr>
          <w:rFonts w:ascii="Book Antiqua"/>
          <w:rtl w:val="0"/>
          <w:lang w:val="it-IT"/>
        </w:rPr>
        <w:t>AMA</w:t>
      </w:r>
      <w:r>
        <w:rPr>
          <w:rFonts w:ascii="Book Antiqua"/>
          <w:shd w:val="clear" w:color="auto" w:fill="ffffff"/>
          <w:rtl w:val="0"/>
          <w:lang w:val="it-IT"/>
        </w:rPr>
        <w:t xml:space="preserve"> ossia al raggruppamento Enki-Mag-Cite-Sangalli. Su questo bando Co.La.Ri aveva proposto ricorso al TAR del Lazio. Il Consorzio contestava sia l</w:t>
      </w:r>
      <w:r>
        <w:rPr>
          <w:rFonts w:hAnsi="Book Antiqua" w:hint="default"/>
          <w:shd w:val="clear" w:color="auto" w:fill="ffffff"/>
          <w:rtl w:val="0"/>
          <w:lang w:val="it-IT"/>
        </w:rPr>
        <w:t>’</w:t>
      </w:r>
      <w:r>
        <w:rPr>
          <w:rFonts w:ascii="Book Antiqua"/>
          <w:shd w:val="clear" w:color="auto" w:fill="ffffff"/>
          <w:rtl w:val="0"/>
          <w:lang w:val="it-IT"/>
        </w:rPr>
        <w:t>esclusione dal bando di gara che la violazione del principio di prossimit</w:t>
      </w:r>
      <w:r>
        <w:rPr>
          <w:rFonts w:hAnsi="Book Antiqua" w:hint="default"/>
          <w:shd w:val="clear" w:color="auto" w:fill="ffffff"/>
          <w:rtl w:val="0"/>
          <w:lang w:val="it-IT"/>
        </w:rPr>
        <w:t>à</w:t>
      </w:r>
      <w:r>
        <w:rPr>
          <w:rFonts w:ascii="Book Antiqua"/>
          <w:shd w:val="clear" w:color="auto" w:fill="ffffff"/>
          <w:rtl w:val="0"/>
          <w:lang w:val="it-IT"/>
        </w:rPr>
        <w:t xml:space="preserve">. Il riscorso </w:t>
      </w:r>
      <w:r>
        <w:rPr>
          <w:rFonts w:hAnsi="Book Antiqua" w:hint="default"/>
          <w:shd w:val="clear" w:color="auto" w:fill="ffffff"/>
          <w:rtl w:val="0"/>
          <w:lang w:val="it-IT"/>
        </w:rPr>
        <w:t xml:space="preserve">è </w:t>
      </w:r>
      <w:r>
        <w:rPr>
          <w:rFonts w:ascii="Book Antiqua"/>
          <w:shd w:val="clear" w:color="auto" w:fill="ffffff"/>
          <w:rtl w:val="0"/>
          <w:lang w:val="it-IT"/>
        </w:rPr>
        <w:t>stato respinto, e sulla questione relativa al principio di prossimit</w:t>
      </w:r>
      <w:r>
        <w:rPr>
          <w:rFonts w:hAnsi="Book Antiqua" w:hint="default"/>
          <w:shd w:val="clear" w:color="auto" w:fill="ffffff"/>
          <w:rtl w:val="0"/>
          <w:lang w:val="it-IT"/>
        </w:rPr>
        <w:t xml:space="preserve">à </w:t>
      </w:r>
      <w:r>
        <w:rPr>
          <w:rFonts w:ascii="Book Antiqua"/>
          <w:shd w:val="clear" w:color="auto" w:fill="ffffff"/>
          <w:rtl w:val="0"/>
          <w:lang w:val="it-IT"/>
        </w:rPr>
        <w:t xml:space="preserve">il TAR del Lazio, tra le altre cose, si </w:t>
      </w:r>
      <w:r>
        <w:rPr>
          <w:rFonts w:hAnsi="Book Antiqua" w:hint="default"/>
          <w:shd w:val="clear" w:color="auto" w:fill="ffffff"/>
          <w:rtl w:val="0"/>
          <w:lang w:val="it-IT"/>
        </w:rPr>
        <w:t xml:space="preserve">è </w:t>
      </w:r>
      <w:r>
        <w:rPr>
          <w:rFonts w:ascii="Book Antiqua"/>
          <w:shd w:val="clear" w:color="auto" w:fill="ffffff"/>
          <w:rtl w:val="0"/>
          <w:lang w:val="it-IT"/>
        </w:rPr>
        <w:t>cos</w:t>
      </w:r>
      <w:r>
        <w:rPr>
          <w:rFonts w:hAnsi="Book Antiqua" w:hint="default"/>
          <w:shd w:val="clear" w:color="auto" w:fill="ffffff"/>
          <w:rtl w:val="0"/>
          <w:lang w:val="it-IT"/>
        </w:rPr>
        <w:t xml:space="preserve">ì </w:t>
      </w:r>
      <w:r>
        <w:rPr>
          <w:rFonts w:ascii="Book Antiqua"/>
          <w:shd w:val="clear" w:color="auto" w:fill="ffffff"/>
          <w:rtl w:val="0"/>
          <w:lang w:val="it-IT"/>
        </w:rPr>
        <w:t xml:space="preserve">espresso (nella sentenza 00011/2016 del 4 gennaio 2016: </w:t>
      </w:r>
      <w:r>
        <w:rPr>
          <w:rFonts w:hAnsi="Book Antiqua" w:hint="default"/>
          <w:shd w:val="clear" w:color="auto" w:fill="ffffff"/>
          <w:rtl w:val="0"/>
          <w:lang w:val="it-IT"/>
        </w:rPr>
        <w:t>“</w:t>
      </w:r>
      <w:r>
        <w:rPr>
          <w:rFonts w:ascii="Book Antiqua"/>
          <w:rtl w:val="0"/>
          <w:lang w:val="it-IT"/>
        </w:rPr>
        <w:t>le indicazioni quantitative contenute nel</w:t>
      </w:r>
      <w:r>
        <w:rPr>
          <w:rFonts w:hAnsi="Book Antiqua" w:hint="default"/>
          <w:rtl w:val="0"/>
          <w:lang w:val="it-IT"/>
        </w:rPr>
        <w:t> </w:t>
      </w:r>
      <w:r>
        <w:rPr>
          <w:rFonts w:ascii="Book Antiqua"/>
          <w:rtl w:val="0"/>
          <w:lang w:val="it-IT"/>
        </w:rPr>
        <w:t>citato bando hanno un valore orientativo e non impegnano effettivamente l</w:t>
      </w:r>
      <w:r>
        <w:rPr>
          <w:rFonts w:hAnsi="Book Antiqua" w:hint="default"/>
          <w:rtl w:val="0"/>
          <w:lang w:val="it-IT"/>
        </w:rPr>
        <w:t>’</w:t>
      </w:r>
      <w:r>
        <w:rPr>
          <w:rFonts w:ascii="Book Antiqua"/>
          <w:rtl w:val="0"/>
          <w:lang w:val="it-IT"/>
        </w:rPr>
        <w:t xml:space="preserve">amministrazione, essendo sostanzialmente volte a determinare una sorta di </w:t>
      </w:r>
      <w:r>
        <w:rPr>
          <w:rFonts w:hAnsi="Book Antiqua" w:hint="default"/>
          <w:rtl w:val="0"/>
          <w:lang w:val="it-IT"/>
        </w:rPr>
        <w:t>’</w:t>
      </w:r>
      <w:r>
        <w:rPr>
          <w:rFonts w:ascii="Book Antiqua"/>
          <w:rtl w:val="0"/>
          <w:lang w:val="it-IT"/>
        </w:rPr>
        <w:t>prezziario</w:t>
      </w:r>
      <w:r>
        <w:rPr>
          <w:rFonts w:hAnsi="Book Antiqua" w:hint="default"/>
          <w:rtl w:val="0"/>
          <w:lang w:val="it-IT"/>
        </w:rPr>
        <w:t>‘</w:t>
      </w:r>
      <w:r>
        <w:rPr>
          <w:rFonts w:ascii="Book Antiqua"/>
          <w:rtl w:val="0"/>
          <w:lang w:val="it-IT"/>
        </w:rPr>
        <w:t xml:space="preserve"> del conferimento futuro, con ogni facolt</w:t>
      </w:r>
      <w:r>
        <w:rPr>
          <w:rFonts w:hAnsi="Book Antiqua" w:hint="default"/>
          <w:rtl w:val="0"/>
          <w:lang w:val="it-IT"/>
        </w:rPr>
        <w:t xml:space="preserve">à </w:t>
      </w:r>
      <w:r>
        <w:rPr>
          <w:rFonts w:ascii="Book Antiqua"/>
          <w:rtl w:val="0"/>
          <w:lang w:val="it-IT"/>
        </w:rPr>
        <w:t xml:space="preserve">di recedere, revocare o non stipulare gli accordi per AMA spa, </w:t>
      </w:r>
      <w:r>
        <w:rPr>
          <w:rFonts w:hAnsi="Book Antiqua" w:hint="default"/>
          <w:rtl w:val="0"/>
          <w:lang w:val="it-IT"/>
        </w:rPr>
        <w:t xml:space="preserve">è </w:t>
      </w:r>
      <w:r>
        <w:rPr>
          <w:rFonts w:ascii="Book Antiqua"/>
          <w:rtl w:val="0"/>
          <w:lang w:val="it-IT"/>
        </w:rPr>
        <w:t>evidente che i quantitativi di rifiuti effettivamente conferibili in impianti di recupero energetico a favore degli operatori selezionati dall</w:t>
      </w:r>
      <w:r>
        <w:rPr>
          <w:rFonts w:hAnsi="Book Antiqua" w:hint="default"/>
          <w:rtl w:val="0"/>
          <w:lang w:val="it-IT"/>
        </w:rPr>
        <w:t>’</w:t>
      </w:r>
      <w:r>
        <w:rPr>
          <w:rFonts w:ascii="Book Antiqua"/>
          <w:rtl w:val="0"/>
          <w:lang w:val="it-IT"/>
        </w:rPr>
        <w:t>accordo quadro dipenderanno in concreto anche dalle risultanze della capacit</w:t>
      </w:r>
      <w:r>
        <w:rPr>
          <w:rFonts w:hAnsi="Book Antiqua" w:hint="default"/>
          <w:rtl w:val="0"/>
          <w:lang w:val="it-IT"/>
        </w:rPr>
        <w:t xml:space="preserve">à </w:t>
      </w:r>
      <w:r>
        <w:rPr>
          <w:rFonts w:ascii="Book Antiqua"/>
          <w:rtl w:val="0"/>
          <w:lang w:val="it-IT"/>
        </w:rPr>
        <w:t>effettiva di smaltimento degli impianti di prossimit</w:t>
      </w:r>
      <w:r>
        <w:rPr>
          <w:rFonts w:hAnsi="Book Antiqua" w:hint="default"/>
          <w:rtl w:val="0"/>
          <w:lang w:val="it-IT"/>
        </w:rPr>
        <w:t xml:space="preserve">à </w:t>
      </w:r>
      <w:r>
        <w:rPr>
          <w:rFonts w:ascii="Book Antiqua"/>
          <w:rtl w:val="0"/>
          <w:lang w:val="it-IT"/>
        </w:rPr>
        <w:t>in esercizio sulla base della programmazione regionale; e dalle scelte di politica di organizzazione del servizio in attuazione delle regole di priorit</w:t>
      </w:r>
      <w:r>
        <w:rPr>
          <w:rFonts w:hAnsi="Book Antiqua" w:hint="default"/>
          <w:rtl w:val="0"/>
          <w:lang w:val="it-IT"/>
        </w:rPr>
        <w:t xml:space="preserve">à </w:t>
      </w:r>
      <w:r>
        <w:rPr>
          <w:rFonts w:ascii="Book Antiqua"/>
          <w:rtl w:val="0"/>
          <w:lang w:val="it-IT"/>
        </w:rPr>
        <w:t>tra i diversi metodi e presupposti di trattamento prescritti nell</w:t>
      </w:r>
      <w:r>
        <w:rPr>
          <w:rFonts w:hAnsi="Book Antiqua" w:hint="default"/>
          <w:rtl w:val="0"/>
          <w:lang w:val="it-IT"/>
        </w:rPr>
        <w:t>’</w:t>
      </w:r>
      <w:r>
        <w:rPr>
          <w:rFonts w:ascii="Book Antiqua"/>
          <w:rtl w:val="0"/>
          <w:lang w:val="it-IT"/>
        </w:rPr>
        <w:t xml:space="preserve">articolo 179 del decreto legislativo. 152 del 2006. </w:t>
      </w:r>
      <w:r>
        <w:rPr>
          <w:rFonts w:ascii="Book Antiqua"/>
          <w:shd w:val="clear" w:color="auto" w:fill="ffffff"/>
          <w:rtl w:val="0"/>
          <w:lang w:val="it-IT"/>
        </w:rPr>
        <w:t>Il principio di prossimit</w:t>
      </w:r>
      <w:r>
        <w:rPr>
          <w:rFonts w:hAnsi="Book Antiqua" w:hint="default"/>
          <w:shd w:val="clear" w:color="auto" w:fill="ffffff"/>
          <w:rtl w:val="0"/>
          <w:lang w:val="it-IT"/>
        </w:rPr>
        <w:t xml:space="preserve">à </w:t>
      </w:r>
      <w:r>
        <w:rPr>
          <w:rFonts w:ascii="Book Antiqua"/>
          <w:shd w:val="clear" w:color="auto" w:fill="ffffff"/>
          <w:rtl w:val="0"/>
          <w:lang w:val="it-IT"/>
        </w:rPr>
        <w:t>e quello di autosufficienza obbligano alla programmazione e realizzazione di un sistema ed una rete di trattamento dei rifiuti che assicuri la massima vicinanza possibile tra luogo di ricezione del rifiuto e luogo di produzione, ed al conferimento e trattamento dei rifiuti con priorit</w:t>
      </w:r>
      <w:r>
        <w:rPr>
          <w:rFonts w:hAnsi="Book Antiqua" w:hint="default"/>
          <w:shd w:val="clear" w:color="auto" w:fill="ffffff"/>
          <w:rtl w:val="0"/>
          <w:lang w:val="it-IT"/>
        </w:rPr>
        <w:t xml:space="preserve">à </w:t>
      </w:r>
      <w:r>
        <w:rPr>
          <w:rFonts w:ascii="Book Antiqua"/>
          <w:shd w:val="clear" w:color="auto" w:fill="ffffff"/>
          <w:rtl w:val="0"/>
          <w:lang w:val="it-IT"/>
        </w:rPr>
        <w:t>negli impianti locali; ma nelle more dell</w:t>
      </w:r>
      <w:r>
        <w:rPr>
          <w:rFonts w:hAnsi="Book Antiqua" w:hint="default"/>
          <w:shd w:val="clear" w:color="auto" w:fill="ffffff"/>
          <w:rtl w:val="0"/>
          <w:lang w:val="it-IT"/>
        </w:rPr>
        <w:t>’</w:t>
      </w:r>
      <w:r>
        <w:rPr>
          <w:rFonts w:ascii="Book Antiqua"/>
          <w:shd w:val="clear" w:color="auto" w:fill="ffffff"/>
          <w:rtl w:val="0"/>
          <w:lang w:val="it-IT"/>
        </w:rPr>
        <w:t xml:space="preserve">attuazione della rete e del suo funzionamento ottimale, il principio di efficienza comporta che </w:t>
      </w:r>
      <w:r>
        <w:rPr>
          <w:rFonts w:hAnsi="Book Antiqua" w:hint="default"/>
          <w:shd w:val="clear" w:color="auto" w:fill="ffffff"/>
          <w:rtl w:val="0"/>
          <w:lang w:val="it-IT"/>
        </w:rPr>
        <w:t>’</w:t>
      </w:r>
      <w:r>
        <w:rPr>
          <w:rFonts w:ascii="Book Antiqua"/>
          <w:shd w:val="clear" w:color="auto" w:fill="ffffff"/>
          <w:rtl w:val="0"/>
          <w:lang w:val="it-IT"/>
        </w:rPr>
        <w:t>gli aspetti territoriali e l</w:t>
      </w:r>
      <w:r>
        <w:rPr>
          <w:rFonts w:hAnsi="Book Antiqua" w:hint="default"/>
          <w:shd w:val="clear" w:color="auto" w:fill="ffffff"/>
          <w:rtl w:val="0"/>
          <w:lang w:val="it-IT"/>
        </w:rPr>
        <w:t>’</w:t>
      </w:r>
      <w:r>
        <w:rPr>
          <w:rFonts w:ascii="Book Antiqua"/>
          <w:shd w:val="clear" w:color="auto" w:fill="ffffff"/>
          <w:rtl w:val="0"/>
          <w:lang w:val="it-IT"/>
        </w:rPr>
        <w:t>opportunit</w:t>
      </w:r>
      <w:r>
        <w:rPr>
          <w:rFonts w:hAnsi="Book Antiqua" w:hint="default"/>
          <w:shd w:val="clear" w:color="auto" w:fill="ffffff"/>
          <w:rtl w:val="0"/>
          <w:lang w:val="it-IT"/>
        </w:rPr>
        <w:t xml:space="preserve">à </w:t>
      </w:r>
      <w:r>
        <w:rPr>
          <w:rFonts w:ascii="Book Antiqua"/>
          <w:shd w:val="clear" w:color="auto" w:fill="ffffff"/>
          <w:rtl w:val="0"/>
          <w:lang w:val="it-IT"/>
        </w:rPr>
        <w:t>tecnico economica di raggiungere livelli ottimali di utenza servita</w:t>
      </w:r>
      <w:r>
        <w:rPr>
          <w:rFonts w:hAnsi="Book Antiqua" w:hint="default"/>
          <w:shd w:val="clear" w:color="auto" w:fill="ffffff"/>
          <w:rtl w:val="0"/>
          <w:lang w:val="it-IT"/>
        </w:rPr>
        <w:t>‘</w:t>
      </w:r>
      <w:r>
        <w:rPr>
          <w:rFonts w:ascii="Book Antiqua"/>
          <w:shd w:val="clear" w:color="auto" w:fill="ffffff"/>
          <w:rtl w:val="0"/>
          <w:lang w:val="it-IT"/>
        </w:rPr>
        <w:t xml:space="preserve"> potranno giustificare il conferimento in ambito extraregionale alle condizioni ed ai limiti che sono specificati dall</w:t>
      </w:r>
      <w:r>
        <w:rPr>
          <w:rFonts w:hAnsi="Book Antiqua" w:hint="default"/>
          <w:shd w:val="clear" w:color="auto" w:fill="ffffff"/>
          <w:rtl w:val="0"/>
          <w:lang w:val="it-IT"/>
        </w:rPr>
        <w:t>’</w:t>
      </w:r>
      <w:r>
        <w:rPr>
          <w:rFonts w:ascii="Book Antiqua"/>
          <w:shd w:val="clear" w:color="auto" w:fill="ffffff"/>
          <w:rtl w:val="0"/>
          <w:lang w:val="it-IT"/>
        </w:rPr>
        <w:t>attuazione dell</w:t>
      </w:r>
      <w:r>
        <w:rPr>
          <w:rFonts w:hAnsi="Book Antiqua" w:hint="default"/>
          <w:shd w:val="clear" w:color="auto" w:fill="ffffff"/>
          <w:rtl w:val="0"/>
          <w:lang w:val="it-IT"/>
        </w:rPr>
        <w:t>’</w:t>
      </w:r>
      <w:r>
        <w:rPr>
          <w:rFonts w:ascii="Book Antiqua"/>
          <w:shd w:val="clear" w:color="auto" w:fill="ffffff"/>
          <w:rtl w:val="0"/>
          <w:lang w:val="it-IT"/>
        </w:rPr>
        <w:t>articolo 35 del decreto legge n. 133 del 2014.</w:t>
      </w:r>
      <w:r>
        <w:rPr>
          <w:rFonts w:hAnsi="Book Antiqua" w:hint="default"/>
          <w:shd w:val="clear" w:color="auto" w:fill="ffffff"/>
          <w:rtl w:val="0"/>
          <w:lang w:val="it-IT"/>
        </w:rPr>
        <w:t>”</w:t>
      </w:r>
    </w:p>
    <w:p>
      <w:pPr>
        <w:pStyle w:val="Normal"/>
        <w:ind w:left="567" w:right="567" w:firstLine="0"/>
        <w:jc w:val="both"/>
        <w:rPr>
          <w:rFonts w:ascii="Book Antiqua" w:cs="Book Antiqua" w:hAnsi="Book Antiqua" w:eastAsia="Book Antiqua"/>
          <w:shd w:val="clear" w:color="auto" w:fill="ffffff"/>
        </w:rPr>
      </w:pPr>
      <w:r>
        <w:rPr>
          <w:rFonts w:ascii="Book Antiqua"/>
          <w:shd w:val="clear" w:color="auto" w:fill="ffffff"/>
          <w:rtl w:val="0"/>
          <w:lang w:val="it-IT"/>
        </w:rPr>
        <w:t>Dunque, secondo il giudice amministrativo, non pare revocabile in dubbio che l</w:t>
      </w:r>
      <w:r>
        <w:rPr>
          <w:rFonts w:hAnsi="Book Antiqua" w:hint="default"/>
          <w:shd w:val="clear" w:color="auto" w:fill="ffffff"/>
          <w:rtl w:val="0"/>
          <w:lang w:val="it-IT"/>
        </w:rPr>
        <w:t>’</w:t>
      </w:r>
      <w:r>
        <w:rPr>
          <w:rFonts w:ascii="Book Antiqua"/>
          <w:shd w:val="clear" w:color="auto" w:fill="ffffff"/>
          <w:rtl w:val="0"/>
          <w:lang w:val="it-IT"/>
        </w:rPr>
        <w:t>articolo 35 del decreto legge n. 133 del 2014 consenta, senza violazione dei principi di prossimit</w:t>
      </w:r>
      <w:r>
        <w:rPr>
          <w:rFonts w:hAnsi="Book Antiqua" w:hint="default"/>
          <w:shd w:val="clear" w:color="auto" w:fill="ffffff"/>
          <w:rtl w:val="0"/>
          <w:lang w:val="it-IT"/>
        </w:rPr>
        <w:t xml:space="preserve">à </w:t>
      </w:r>
      <w:r>
        <w:rPr>
          <w:rFonts w:ascii="Book Antiqua"/>
          <w:shd w:val="clear" w:color="auto" w:fill="ffffff"/>
          <w:rtl w:val="0"/>
          <w:lang w:val="it-IT"/>
        </w:rPr>
        <w:t>e autosufficienza, il conferimento di rifiuti in impianti di recupero energetico situati in regioni diverse da quelle dove i rifiuti sono stati prodotti, anche se alle condizioni descritte, allo scopo di valorizzare in termini di efficienza l</w:t>
      </w:r>
      <w:r>
        <w:rPr>
          <w:rFonts w:hAnsi="Book Antiqua" w:hint="default"/>
          <w:shd w:val="clear" w:color="auto" w:fill="ffffff"/>
          <w:rtl w:val="0"/>
          <w:lang w:val="it-IT"/>
        </w:rPr>
        <w:t>’</w:t>
      </w:r>
      <w:r>
        <w:rPr>
          <w:rFonts w:ascii="Book Antiqua"/>
          <w:shd w:val="clear" w:color="auto" w:fill="ffffff"/>
          <w:rtl w:val="0"/>
          <w:lang w:val="it-IT"/>
        </w:rPr>
        <w:t>utilizzo di tale metodologia di trattamento, considerata maggiormente efficace ed efficiente di altri metodi; e che il legislatore abbia subordinato tale possibilit</w:t>
      </w:r>
      <w:r>
        <w:rPr>
          <w:rFonts w:hAnsi="Book Antiqua" w:hint="default"/>
          <w:shd w:val="clear" w:color="auto" w:fill="ffffff"/>
          <w:rtl w:val="0"/>
          <w:lang w:val="it-IT"/>
        </w:rPr>
        <w:t>à</w:t>
      </w:r>
      <w:r>
        <w:rPr>
          <w:rFonts w:ascii="Book Antiqua"/>
          <w:shd w:val="clear" w:color="auto" w:fill="ffffff"/>
          <w:rtl w:val="0"/>
          <w:lang w:val="it-IT"/>
        </w:rPr>
        <w:t>, a protezione anche dei rischi per l</w:t>
      </w:r>
      <w:r>
        <w:rPr>
          <w:rFonts w:hAnsi="Book Antiqua" w:hint="default"/>
          <w:shd w:val="clear" w:color="auto" w:fill="ffffff"/>
          <w:rtl w:val="0"/>
          <w:lang w:val="it-IT"/>
        </w:rPr>
        <w:t>’</w:t>
      </w:r>
      <w:r>
        <w:rPr>
          <w:rFonts w:ascii="Book Antiqua"/>
          <w:shd w:val="clear" w:color="auto" w:fill="ffffff"/>
          <w:rtl w:val="0"/>
          <w:lang w:val="it-IT"/>
        </w:rPr>
        <w:t>ambiente che sono immanenti al trasporto su lungo tragitto dei rifiuti, ad una serie di misure attuative, che sono quelle ampiamente sancite nella disposizione in esame.</w:t>
      </w:r>
    </w:p>
    <w:p>
      <w:pPr>
        <w:pStyle w:val="Normal"/>
        <w:ind w:left="567" w:right="567" w:firstLine="0"/>
        <w:jc w:val="both"/>
        <w:rPr>
          <w:rFonts w:ascii="Book Antiqua" w:cs="Book Antiqua" w:hAnsi="Book Antiqua" w:eastAsia="Book Antiqua"/>
        </w:rPr>
      </w:pPr>
      <w:r>
        <w:rPr>
          <w:rFonts w:ascii="Book Antiqua"/>
          <w:rtl w:val="0"/>
          <w:lang w:val="it-IT"/>
        </w:rPr>
        <w:t>Su questa vicenda Candido Saioni, presidente del consorzio Co.La.Ri, davanti alla Commissione, il 12 dicembre 2016, ha dichiarato:</w:t>
      </w:r>
      <w:r>
        <w:rPr>
          <w:rFonts w:hAnsi="Book Antiqua" w:hint="default"/>
          <w:i w:val="1"/>
          <w:iCs w:val="1"/>
          <w:rtl w:val="0"/>
          <w:lang w:val="it-IT"/>
        </w:rPr>
        <w:t xml:space="preserve"> “</w:t>
      </w:r>
      <w:r>
        <w:rPr>
          <w:rFonts w:ascii="Book Antiqua"/>
          <w:rtl w:val="0"/>
          <w:lang w:val="it-IT"/>
        </w:rPr>
        <w:t>Quanto all'indifferenziata, mi devo tacere. L'indifferenziata, secondo la normativa europea, deve essere conferita rispettando i princ</w:t>
      </w:r>
      <w:r>
        <w:rPr>
          <w:rFonts w:hAnsi="Book Antiqua" w:hint="default"/>
          <w:rtl w:val="0"/>
          <w:lang w:val="it-IT"/>
        </w:rPr>
        <w:t>ì</w:t>
      </w:r>
      <w:r>
        <w:rPr>
          <w:rFonts w:ascii="Book Antiqua"/>
          <w:rtl w:val="0"/>
          <w:lang w:val="it-IT"/>
        </w:rPr>
        <w:t>pi di prossimit</w:t>
      </w:r>
      <w:r>
        <w:rPr>
          <w:rFonts w:hAnsi="Book Antiqua" w:hint="default"/>
          <w:rtl w:val="0"/>
          <w:lang w:val="it-IT"/>
        </w:rPr>
        <w:t xml:space="preserve">à </w:t>
      </w:r>
      <w:r>
        <w:rPr>
          <w:rFonts w:ascii="Book Antiqua"/>
          <w:rtl w:val="0"/>
          <w:lang w:val="it-IT"/>
        </w:rPr>
        <w:t>e autosufficienza, che sono princ</w:t>
      </w:r>
      <w:r>
        <w:rPr>
          <w:rFonts w:hAnsi="Book Antiqua" w:hint="default"/>
          <w:rtl w:val="0"/>
          <w:lang w:val="it-IT"/>
        </w:rPr>
        <w:t>ì</w:t>
      </w:r>
      <w:r>
        <w:rPr>
          <w:rFonts w:ascii="Book Antiqua"/>
          <w:rtl w:val="0"/>
          <w:lang w:val="it-IT"/>
        </w:rPr>
        <w:t>pi fondamentali. L'AMA ha bandito nel 2014 una gara, esplicitamente facendo riferimento all'articolo 35, che voi conoscete benissimo, che ha come scopo di rafforzare il sistema di recupero energetico dei rifiuti in nazionale, ripeto nazionale: ma mi dite come si fa ad aggiudicare a una societ</w:t>
      </w:r>
      <w:r>
        <w:rPr>
          <w:rFonts w:hAnsi="Book Antiqua" w:hint="default"/>
          <w:rtl w:val="0"/>
          <w:lang w:val="it-IT"/>
        </w:rPr>
        <w:t xml:space="preserve">à </w:t>
      </w:r>
      <w:r>
        <w:rPr>
          <w:rFonts w:ascii="Book Antiqua"/>
          <w:rtl w:val="0"/>
          <w:lang w:val="it-IT"/>
        </w:rPr>
        <w:t>che esporta questi rifiuti in Austria!?</w:t>
      </w:r>
      <w:r>
        <w:rPr>
          <w:rFonts w:hAnsi="Book Antiqua" w:hint="default"/>
          <w:rtl w:val="0"/>
          <w:lang w:val="it-IT"/>
        </w:rPr>
        <w:t xml:space="preserve">  </w:t>
      </w:r>
      <w:r>
        <w:rPr>
          <w:rFonts w:ascii="Book Antiqua"/>
          <w:rtl w:val="0"/>
          <w:lang w:val="it-IT"/>
        </w:rPr>
        <w:t xml:space="preserve">Non solo si viola... Glielo dico io. </w:t>
      </w:r>
      <w:r>
        <w:rPr>
          <w:rFonts w:hAnsi="Book Antiqua" w:hint="default"/>
          <w:rtl w:val="0"/>
          <w:lang w:val="it-IT"/>
        </w:rPr>
        <w:t xml:space="preserve">È </w:t>
      </w:r>
      <w:r>
        <w:rPr>
          <w:rFonts w:ascii="Book Antiqua"/>
          <w:rtl w:val="0"/>
          <w:lang w:val="it-IT"/>
        </w:rPr>
        <w:t>stata aggiudicata alla societ</w:t>
      </w:r>
      <w:r>
        <w:rPr>
          <w:rFonts w:hAnsi="Book Antiqua" w:hint="default"/>
          <w:rtl w:val="0"/>
          <w:lang w:val="it-IT"/>
        </w:rPr>
        <w:t xml:space="preserve">à </w:t>
      </w:r>
      <w:r>
        <w:rPr>
          <w:rFonts w:ascii="Book Antiqua"/>
          <w:rtl w:val="0"/>
          <w:lang w:val="it-IT"/>
        </w:rPr>
        <w:t>Enki. L'indifferenziato deve essere conferito in impianti regionali, ma al massimo nazionali, a meno che non ci siano accordi [</w:t>
      </w:r>
      <w:r>
        <w:rPr>
          <w:rFonts w:hAnsi="Book Antiqua" w:hint="default"/>
          <w:rtl w:val="0"/>
          <w:lang w:val="it-IT"/>
        </w:rPr>
        <w:t>…</w:t>
      </w:r>
      <w:r>
        <w:rPr>
          <w:rFonts w:ascii="Book Antiqua"/>
          <w:rtl w:val="0"/>
          <w:lang w:val="it-IT"/>
        </w:rPr>
        <w:t xml:space="preserve">] Qui accordi regionali non ce ne sono stati. Qui si sta parlando </w:t>
      </w:r>
      <w:r>
        <w:rPr>
          <w:rFonts w:hAnsi="Book Antiqua" w:hint="default"/>
          <w:rtl w:val="0"/>
          <w:lang w:val="it-IT"/>
        </w:rPr>
        <w:t xml:space="preserve">– </w:t>
      </w:r>
      <w:r>
        <w:rPr>
          <w:rFonts w:ascii="Book Antiqua"/>
          <w:rtl w:val="0"/>
          <w:lang w:val="it-IT"/>
        </w:rPr>
        <w:t xml:space="preserve">non lo conosciamo, non lo vogliamo dire </w:t>
      </w:r>
      <w:r>
        <w:rPr>
          <w:rFonts w:hAnsi="Book Antiqua" w:hint="default"/>
          <w:rtl w:val="0"/>
          <w:lang w:val="it-IT"/>
        </w:rPr>
        <w:t xml:space="preserve">– </w:t>
      </w:r>
      <w:r>
        <w:rPr>
          <w:rFonts w:ascii="Book Antiqua"/>
          <w:rtl w:val="0"/>
          <w:lang w:val="it-IT"/>
        </w:rPr>
        <w:t xml:space="preserve">di un'aggiudicazione fatta in esecuzione di una norma che prevede il potenziamento del sistema di valorizzazione energetica dei rifiuti nazionali, e questi rifiuti si portano in Austria, dove non solo </w:t>
      </w:r>
      <w:r>
        <w:rPr>
          <w:rFonts w:hAnsi="Book Antiqua" w:hint="default"/>
          <w:rtl w:val="0"/>
          <w:lang w:val="it-IT"/>
        </w:rPr>
        <w:t xml:space="preserve">è </w:t>
      </w:r>
      <w:r>
        <w:rPr>
          <w:rFonts w:ascii="Book Antiqua"/>
          <w:rtl w:val="0"/>
          <w:lang w:val="it-IT"/>
        </w:rPr>
        <w:t>illegittima l'aggiudicazione, perch</w:t>
      </w:r>
      <w:r>
        <w:rPr>
          <w:rFonts w:hAnsi="Book Antiqua" w:hint="default"/>
          <w:rtl w:val="0"/>
          <w:lang w:val="it-IT"/>
        </w:rPr>
        <w:t xml:space="preserve">é è </w:t>
      </w:r>
      <w:r>
        <w:rPr>
          <w:rFonts w:ascii="Book Antiqua"/>
          <w:rtl w:val="0"/>
          <w:lang w:val="it-IT"/>
        </w:rPr>
        <w:t>stata fatta con un titolo di legge che non applicate, ma in questo modo non vengono rispettati i princ</w:t>
      </w:r>
      <w:r>
        <w:rPr>
          <w:rFonts w:hAnsi="Book Antiqua" w:hint="default"/>
          <w:rtl w:val="0"/>
          <w:lang w:val="it-IT"/>
        </w:rPr>
        <w:t>ì</w:t>
      </w:r>
      <w:r>
        <w:rPr>
          <w:rFonts w:ascii="Book Antiqua"/>
          <w:rtl w:val="0"/>
          <w:lang w:val="it-IT"/>
        </w:rPr>
        <w:t>pi assolutamente fondamentali della prossimit</w:t>
      </w:r>
      <w:r>
        <w:rPr>
          <w:rFonts w:hAnsi="Book Antiqua" w:hint="default"/>
          <w:rtl w:val="0"/>
          <w:lang w:val="it-IT"/>
        </w:rPr>
        <w:t>à</w:t>
      </w:r>
      <w:r>
        <w:rPr>
          <w:rFonts w:ascii="Book Antiqua"/>
          <w:rtl w:val="0"/>
          <w:lang w:val="it-IT"/>
        </w:rPr>
        <w:t>.  Quanto CO2 si produce con i camion per andare in giro... Abbiamo scritto anche al commissario europeo, che ha detto che vigileranno.</w:t>
      </w:r>
      <w:r>
        <w:rPr>
          <w:rFonts w:hAnsi="Book Antiqua" w:hint="default"/>
          <w:rtl w:val="0"/>
          <w:lang w:val="it-IT"/>
        </w:rPr>
        <w:t>”</w:t>
      </w:r>
    </w:p>
    <w:p>
      <w:pPr>
        <w:pStyle w:val="Normal"/>
        <w:ind w:left="567" w:right="567" w:firstLine="0"/>
        <w:jc w:val="both"/>
        <w:rPr>
          <w:rFonts w:ascii="Book Antiqua" w:cs="Book Antiqua" w:hAnsi="Book Antiqua" w:eastAsia="Book Antiqua"/>
          <w:shd w:val="clear" w:color="auto" w:fill="ffffff"/>
        </w:rPr>
      </w:pPr>
      <w:r>
        <w:rPr>
          <w:rFonts w:ascii="Book Antiqua"/>
          <w:rtl w:val="0"/>
          <w:lang w:val="it-IT"/>
        </w:rPr>
        <w:t>Infatti pi</w:t>
      </w:r>
      <w:r>
        <w:rPr>
          <w:rFonts w:hAnsi="Book Antiqua" w:hint="default"/>
          <w:rtl w:val="0"/>
          <w:lang w:val="it-IT"/>
        </w:rPr>
        <w:t xml:space="preserve">ù </w:t>
      </w:r>
      <w:r>
        <w:rPr>
          <w:rFonts w:ascii="Book Antiqua"/>
          <w:rtl w:val="0"/>
          <w:lang w:val="it-IT"/>
        </w:rPr>
        <w:t>che a problematiche riferibili al diritto interno ovvero nazionale, l</w:t>
      </w:r>
      <w:r>
        <w:rPr>
          <w:rFonts w:hAnsi="Book Antiqua" w:hint="default"/>
          <w:rtl w:val="0"/>
          <w:lang w:val="it-IT"/>
        </w:rPr>
        <w:t>’</w:t>
      </w:r>
      <w:r>
        <w:rPr>
          <w:rFonts w:ascii="Book Antiqua"/>
          <w:rtl w:val="0"/>
          <w:lang w:val="it-IT"/>
        </w:rPr>
        <w:t>esportazione dei rifiuti tal quale al di fuori del territorio regionale, potrebbe avere conseguenze a livello di diritto comunitario, soprattutto perch</w:t>
      </w:r>
      <w:r>
        <w:rPr>
          <w:rFonts w:hAnsi="Book Antiqua" w:hint="default"/>
          <w:rtl w:val="0"/>
          <w:lang w:val="it-IT"/>
        </w:rPr>
        <w:t xml:space="preserve">é </w:t>
      </w:r>
      <w:r>
        <w:rPr>
          <w:rFonts w:ascii="Book Antiqua"/>
          <w:rtl w:val="0"/>
          <w:lang w:val="it-IT"/>
        </w:rPr>
        <w:t>mentre si delineava la gara, sull</w:t>
      </w:r>
      <w:r>
        <w:rPr>
          <w:rFonts w:hAnsi="Book Antiqua" w:hint="default"/>
          <w:rtl w:val="0"/>
          <w:lang w:val="it-IT"/>
        </w:rPr>
        <w:t>’</w:t>
      </w:r>
      <w:r>
        <w:rPr>
          <w:rFonts w:ascii="Book Antiqua"/>
          <w:rtl w:val="0"/>
          <w:lang w:val="it-IT"/>
        </w:rPr>
        <w:t>Italia pendeva una sentenza della Corte di giustizia dell</w:t>
      </w:r>
      <w:r>
        <w:rPr>
          <w:rFonts w:hAnsi="Book Antiqua" w:hint="default"/>
          <w:rtl w:val="0"/>
          <w:lang w:val="it-IT"/>
        </w:rPr>
        <w:t>’</w:t>
      </w:r>
      <w:r>
        <w:rPr>
          <w:rFonts w:ascii="Book Antiqua"/>
          <w:rtl w:val="0"/>
          <w:lang w:val="it-IT"/>
        </w:rPr>
        <w:t>Unione europea datata ottobre 2014 in merito all</w:t>
      </w:r>
      <w:r>
        <w:rPr>
          <w:rFonts w:hAnsi="Book Antiqua" w:hint="default"/>
          <w:rtl w:val="0"/>
          <w:lang w:val="it-IT"/>
        </w:rPr>
        <w:t>’</w:t>
      </w:r>
      <w:r>
        <w:rPr>
          <w:rFonts w:ascii="Book Antiqua"/>
          <w:rtl w:val="0"/>
          <w:lang w:val="it-IT"/>
        </w:rPr>
        <w:t>ormai famosa procedura di infrazione 2011/4021. La condanna non riguardava solo il mancato trattamento dei rifiuti da destinare a discarica ma atteneva anche alla</w:t>
      </w:r>
      <w:r>
        <w:rPr>
          <w:rFonts w:ascii="Book Antiqua"/>
          <w:shd w:val="clear" w:color="auto" w:fill="ffffff"/>
          <w:rtl w:val="0"/>
          <w:lang w:val="it-IT"/>
        </w:rPr>
        <w:t xml:space="preserve"> mancata creazione, nella regione Lazio, di una rete integrata ed adeguata di impianti di gestione dei rifiuti, tenendo conto delle migliori tecniche disponibili. Quindi il bisogno di fare una gara per portare i rifiuti tal quale fuori regione </w:t>
      </w:r>
      <w:r>
        <w:rPr>
          <w:rFonts w:ascii="Book Antiqua"/>
          <w:rtl w:val="0"/>
          <w:lang w:val="it-IT"/>
        </w:rPr>
        <w:t xml:space="preserve">potrebbe </w:t>
      </w:r>
      <w:r>
        <w:rPr>
          <w:rFonts w:ascii="Book Antiqua"/>
          <w:shd w:val="clear" w:color="auto" w:fill="ffffff"/>
          <w:rtl w:val="0"/>
          <w:lang w:val="it-IT"/>
        </w:rPr>
        <w:t xml:space="preserve">dare ulteriori argomenti alla Commissione europea, con il rischio di un nuovo deferimento alla Corte ed in caso di nuova condanna al pagamento di ingenti sanzioni. </w:t>
      </w:r>
    </w:p>
    <w:p>
      <w:pPr>
        <w:pStyle w:val="Normal"/>
        <w:ind w:left="567" w:right="567" w:firstLine="0"/>
        <w:jc w:val="both"/>
        <w:rPr>
          <w:rFonts w:ascii="Book Antiqua" w:cs="Book Antiqua" w:hAnsi="Book Antiqua" w:eastAsia="Book Antiqua"/>
        </w:rPr>
      </w:pPr>
      <w:r>
        <w:rPr>
          <w:rFonts w:ascii="Book Antiqua"/>
          <w:shd w:val="clear" w:color="auto" w:fill="ffffff"/>
          <w:rtl w:val="0"/>
          <w:lang w:val="it-IT"/>
        </w:rPr>
        <w:t xml:space="preserve">Tale timore </w:t>
      </w:r>
      <w:r>
        <w:rPr>
          <w:rFonts w:hAnsi="Book Antiqua" w:hint="default"/>
          <w:shd w:val="clear" w:color="auto" w:fill="ffffff"/>
          <w:rtl w:val="0"/>
          <w:lang w:val="it-IT"/>
        </w:rPr>
        <w:t xml:space="preserve">è </w:t>
      </w:r>
      <w:r>
        <w:rPr>
          <w:rFonts w:ascii="Book Antiqua"/>
          <w:shd w:val="clear" w:color="auto" w:fill="ffffff"/>
          <w:rtl w:val="0"/>
          <w:lang w:val="it-IT"/>
        </w:rPr>
        <w:t>stato avanzato anche da F</w:t>
      </w:r>
      <w:r>
        <w:rPr>
          <w:rFonts w:ascii="Book Antiqua"/>
          <w:rtl w:val="0"/>
          <w:lang w:val="it-IT"/>
        </w:rPr>
        <w:t>laminia Tosini, Dirigente dell</w:t>
      </w:r>
      <w:r>
        <w:rPr>
          <w:rFonts w:hAnsi="Book Antiqua" w:hint="default"/>
          <w:rtl w:val="0"/>
          <w:lang w:val="it-IT"/>
        </w:rPr>
        <w:t>’</w:t>
      </w:r>
      <w:r>
        <w:rPr>
          <w:rFonts w:ascii="Book Antiqua"/>
          <w:rtl w:val="0"/>
          <w:lang w:val="it-IT"/>
        </w:rPr>
        <w:t>area ciclo integrato rifiuti della regione Lazio, che durante l</w:t>
      </w:r>
      <w:r>
        <w:rPr>
          <w:rFonts w:hAnsi="Book Antiqua" w:hint="default"/>
          <w:rtl w:val="0"/>
          <w:lang w:val="it-IT"/>
        </w:rPr>
        <w:t>’</w:t>
      </w:r>
      <w:r>
        <w:rPr>
          <w:rFonts w:ascii="Book Antiqua"/>
          <w:rtl w:val="0"/>
          <w:lang w:val="it-IT"/>
        </w:rPr>
        <w:t>audizione davanti alla Commissione dell</w:t>
      </w:r>
      <w:r>
        <w:rPr>
          <w:rFonts w:hAnsi="Book Antiqua" w:hint="default"/>
          <w:rtl w:val="0"/>
          <w:lang w:val="it-IT"/>
        </w:rPr>
        <w:t>’</w:t>
      </w:r>
      <w:r>
        <w:rPr>
          <w:rFonts w:ascii="Book Antiqua"/>
          <w:rtl w:val="0"/>
          <w:lang w:val="it-IT"/>
        </w:rPr>
        <w:t xml:space="preserve">11 luglio 2016, ha dichiarato: </w:t>
      </w:r>
      <w:r>
        <w:rPr>
          <w:rFonts w:hAnsi="Book Antiqua" w:hint="default"/>
          <w:rtl w:val="0"/>
          <w:lang w:val="it-IT"/>
        </w:rPr>
        <w:t>“</w:t>
      </w:r>
      <w:r>
        <w:rPr>
          <w:rFonts w:ascii="Book Antiqua"/>
          <w:rtl w:val="0"/>
          <w:lang w:val="it-IT"/>
        </w:rPr>
        <w:t>Per chiudere l</w:t>
      </w:r>
      <w:r>
        <w:rPr>
          <w:rFonts w:hAnsi="Book Antiqua" w:hint="default"/>
          <w:rtl w:val="0"/>
          <w:lang w:val="it-IT"/>
        </w:rPr>
        <w:t>’</w:t>
      </w:r>
      <w:r>
        <w:rPr>
          <w:rFonts w:ascii="Book Antiqua"/>
          <w:rtl w:val="0"/>
          <w:lang w:val="it-IT"/>
        </w:rPr>
        <w:t>argomento di Roma, c</w:t>
      </w:r>
      <w:r>
        <w:rPr>
          <w:rFonts w:hAnsi="Book Antiqua" w:hint="default"/>
          <w:rtl w:val="0"/>
          <w:lang w:val="it-IT"/>
        </w:rPr>
        <w:t xml:space="preserve">’è </w:t>
      </w:r>
      <w:r>
        <w:rPr>
          <w:rFonts w:ascii="Book Antiqua"/>
          <w:rtl w:val="0"/>
          <w:lang w:val="it-IT"/>
        </w:rPr>
        <w:t>stato il problema dei transfrontalieri. C</w:t>
      </w:r>
      <w:r>
        <w:rPr>
          <w:rFonts w:hAnsi="Book Antiqua" w:hint="default"/>
          <w:rtl w:val="0"/>
          <w:lang w:val="it-IT"/>
        </w:rPr>
        <w:t xml:space="preserve">’è </w:t>
      </w:r>
      <w:r>
        <w:rPr>
          <w:rFonts w:ascii="Book Antiqua"/>
          <w:rtl w:val="0"/>
          <w:lang w:val="it-IT"/>
        </w:rPr>
        <w:t xml:space="preserve">la richiesta, che </w:t>
      </w:r>
      <w:r>
        <w:rPr>
          <w:rFonts w:hAnsi="Book Antiqua" w:hint="default"/>
          <w:rtl w:val="0"/>
          <w:lang w:val="it-IT"/>
        </w:rPr>
        <w:t xml:space="preserve">è </w:t>
      </w:r>
      <w:r>
        <w:rPr>
          <w:rFonts w:ascii="Book Antiqua"/>
          <w:rtl w:val="0"/>
          <w:lang w:val="it-IT"/>
        </w:rPr>
        <w:t xml:space="preserve">stata presentata da parte di Enki </w:t>
      </w:r>
      <w:r>
        <w:rPr>
          <w:rFonts w:hAnsi="Book Antiqua" w:hint="default"/>
          <w:rtl w:val="0"/>
          <w:lang w:val="it-IT"/>
        </w:rPr>
        <w:t xml:space="preserve">– </w:t>
      </w:r>
      <w:r>
        <w:rPr>
          <w:rFonts w:ascii="Book Antiqua"/>
          <w:rtl w:val="0"/>
          <w:lang w:val="it-IT"/>
        </w:rPr>
        <w:t>non l</w:t>
      </w:r>
      <w:r>
        <w:rPr>
          <w:rFonts w:hAnsi="Book Antiqua" w:hint="default"/>
          <w:rtl w:val="0"/>
          <w:lang w:val="it-IT"/>
        </w:rPr>
        <w:t>’</w:t>
      </w:r>
      <w:r>
        <w:rPr>
          <w:rFonts w:ascii="Book Antiqua"/>
          <w:rtl w:val="0"/>
          <w:lang w:val="it-IT"/>
        </w:rPr>
        <w:t>ha presentata l</w:t>
      </w:r>
      <w:r>
        <w:rPr>
          <w:rFonts w:hAnsi="Book Antiqua" w:hint="default"/>
          <w:rtl w:val="0"/>
          <w:lang w:val="it-IT"/>
        </w:rPr>
        <w:t>’</w:t>
      </w:r>
      <w:r>
        <w:rPr>
          <w:rFonts w:ascii="Book Antiqua"/>
          <w:rtl w:val="0"/>
          <w:lang w:val="it-IT"/>
        </w:rPr>
        <w:t xml:space="preserve">AMA </w:t>
      </w:r>
      <w:r>
        <w:rPr>
          <w:rFonts w:hAnsi="Book Antiqua" w:hint="default"/>
          <w:rtl w:val="0"/>
          <w:lang w:val="it-IT"/>
        </w:rPr>
        <w:t xml:space="preserve">– </w:t>
      </w:r>
      <w:r>
        <w:rPr>
          <w:rFonts w:ascii="Book Antiqua"/>
          <w:rtl w:val="0"/>
          <w:lang w:val="it-IT"/>
        </w:rPr>
        <w:t xml:space="preserve">per il transfrontaliero fuori Stato. Il transfrontaliero </w:t>
      </w:r>
      <w:r>
        <w:rPr>
          <w:rFonts w:hAnsi="Book Antiqua" w:hint="default"/>
          <w:rtl w:val="0"/>
          <w:lang w:val="it-IT"/>
        </w:rPr>
        <w:t xml:space="preserve">è </w:t>
      </w:r>
      <w:r>
        <w:rPr>
          <w:rFonts w:ascii="Book Antiqua"/>
          <w:rtl w:val="0"/>
          <w:lang w:val="it-IT"/>
        </w:rPr>
        <w:t>una delle possibilit</w:t>
      </w:r>
      <w:r>
        <w:rPr>
          <w:rFonts w:hAnsi="Book Antiqua" w:hint="default"/>
          <w:rtl w:val="0"/>
          <w:lang w:val="it-IT"/>
        </w:rPr>
        <w:t>à</w:t>
      </w:r>
      <w:r>
        <w:rPr>
          <w:rFonts w:ascii="Book Antiqua"/>
          <w:rtl w:val="0"/>
          <w:lang w:val="it-IT"/>
        </w:rPr>
        <w:t>. C</w:t>
      </w:r>
      <w:r>
        <w:rPr>
          <w:rFonts w:hAnsi="Book Antiqua" w:hint="default"/>
          <w:rtl w:val="0"/>
          <w:lang w:val="it-IT"/>
        </w:rPr>
        <w:t xml:space="preserve">’è </w:t>
      </w:r>
      <w:r>
        <w:rPr>
          <w:rFonts w:ascii="Book Antiqua"/>
          <w:rtl w:val="0"/>
          <w:lang w:val="it-IT"/>
        </w:rPr>
        <w:t>un regolamento che prevede espressamente questo tipo di possibilit</w:t>
      </w:r>
      <w:r>
        <w:rPr>
          <w:rFonts w:hAnsi="Book Antiqua" w:hint="default"/>
          <w:rtl w:val="0"/>
          <w:lang w:val="it-IT"/>
        </w:rPr>
        <w:t>à</w:t>
      </w:r>
      <w:r>
        <w:rPr>
          <w:rFonts w:ascii="Book Antiqua"/>
          <w:rtl w:val="0"/>
          <w:lang w:val="it-IT"/>
        </w:rPr>
        <w:t xml:space="preserve">. Il CDR non </w:t>
      </w:r>
      <w:r>
        <w:rPr>
          <w:rFonts w:hAnsi="Book Antiqua" w:hint="default"/>
          <w:rtl w:val="0"/>
          <w:lang w:val="it-IT"/>
        </w:rPr>
        <w:t xml:space="preserve">è </w:t>
      </w:r>
      <w:r>
        <w:rPr>
          <w:rFonts w:ascii="Book Antiqua"/>
          <w:rtl w:val="0"/>
          <w:lang w:val="it-IT"/>
        </w:rPr>
        <w:t xml:space="preserve">in lista verde e quindi </w:t>
      </w:r>
      <w:r>
        <w:rPr>
          <w:rFonts w:hAnsi="Book Antiqua" w:hint="default"/>
          <w:rtl w:val="0"/>
          <w:lang w:val="it-IT"/>
        </w:rPr>
        <w:t xml:space="preserve">è </w:t>
      </w:r>
      <w:r>
        <w:rPr>
          <w:rFonts w:ascii="Book Antiqua"/>
          <w:rtl w:val="0"/>
          <w:lang w:val="it-IT"/>
        </w:rPr>
        <w:t xml:space="preserve">un rifiuto per il quale va fatta una procedura di notifica. La procedura di notifica prevede una serie di elementi e di valutazioni. Il fatto di esportare rifiuti urbani indifferenziati </w:t>
      </w:r>
      <w:r>
        <w:rPr>
          <w:rFonts w:hAnsi="Book Antiqua" w:hint="default"/>
          <w:rtl w:val="0"/>
          <w:lang w:val="it-IT"/>
        </w:rPr>
        <w:t xml:space="preserve">è </w:t>
      </w:r>
      <w:r>
        <w:rPr>
          <w:rFonts w:ascii="Book Antiqua"/>
          <w:rtl w:val="0"/>
          <w:lang w:val="it-IT"/>
        </w:rPr>
        <w:t>uno degli elementi di attenzione e di possibilit</w:t>
      </w:r>
      <w:r>
        <w:rPr>
          <w:rFonts w:hAnsi="Book Antiqua" w:hint="default"/>
          <w:rtl w:val="0"/>
          <w:lang w:val="it-IT"/>
        </w:rPr>
        <w:t xml:space="preserve">à </w:t>
      </w:r>
      <w:r>
        <w:rPr>
          <w:rFonts w:ascii="Book Antiqua"/>
          <w:rtl w:val="0"/>
          <w:lang w:val="it-IT"/>
        </w:rPr>
        <w:t>di diniego di ci</w:t>
      </w:r>
      <w:r>
        <w:rPr>
          <w:rFonts w:hAnsi="Book Antiqua" w:hint="default"/>
          <w:rtl w:val="0"/>
          <w:lang w:val="it-IT"/>
        </w:rPr>
        <w:t>ò</w:t>
      </w:r>
      <w:r>
        <w:rPr>
          <w:rFonts w:ascii="Book Antiqua"/>
          <w:rtl w:val="0"/>
          <w:lang w:val="it-IT"/>
        </w:rPr>
        <w:t>. Poich</w:t>
      </w:r>
      <w:r>
        <w:rPr>
          <w:rFonts w:hAnsi="Book Antiqua" w:hint="default"/>
          <w:rtl w:val="0"/>
          <w:lang w:val="it-IT"/>
        </w:rPr>
        <w:t xml:space="preserve">é </w:t>
      </w:r>
      <w:r>
        <w:rPr>
          <w:rFonts w:ascii="Book Antiqua"/>
          <w:rtl w:val="0"/>
          <w:lang w:val="it-IT"/>
        </w:rPr>
        <w:t xml:space="preserve">siamo in procedura di infrazione, </w:t>
      </w:r>
      <w:r>
        <w:rPr>
          <w:rFonts w:hAnsi="Book Antiqua" w:hint="default"/>
          <w:rtl w:val="0"/>
          <w:lang w:val="it-IT"/>
        </w:rPr>
        <w:t xml:space="preserve">è </w:t>
      </w:r>
      <w:r>
        <w:rPr>
          <w:rFonts w:ascii="Book Antiqua"/>
          <w:rtl w:val="0"/>
          <w:lang w:val="it-IT"/>
        </w:rPr>
        <w:t>evidente che se c</w:t>
      </w:r>
      <w:r>
        <w:rPr>
          <w:rFonts w:hAnsi="Book Antiqua" w:hint="default"/>
          <w:rtl w:val="0"/>
          <w:lang w:val="it-IT"/>
        </w:rPr>
        <w:t xml:space="preserve">’è </w:t>
      </w:r>
      <w:r>
        <w:rPr>
          <w:rFonts w:ascii="Book Antiqua"/>
          <w:rtl w:val="0"/>
          <w:lang w:val="it-IT"/>
        </w:rPr>
        <w:t>necessit</w:t>
      </w:r>
      <w:r>
        <w:rPr>
          <w:rFonts w:hAnsi="Book Antiqua" w:hint="default"/>
          <w:rtl w:val="0"/>
          <w:lang w:val="it-IT"/>
        </w:rPr>
        <w:t xml:space="preserve">à </w:t>
      </w:r>
      <w:r>
        <w:rPr>
          <w:rFonts w:ascii="Book Antiqua"/>
          <w:rtl w:val="0"/>
          <w:lang w:val="it-IT"/>
        </w:rPr>
        <w:t>di trattare fuori, significa che non siamo sufficienti. C</w:t>
      </w:r>
      <w:r>
        <w:rPr>
          <w:rFonts w:hAnsi="Book Antiqua" w:hint="default"/>
          <w:rtl w:val="0"/>
          <w:lang w:val="it-IT"/>
        </w:rPr>
        <w:t xml:space="preserve">’è </w:t>
      </w:r>
      <w:r>
        <w:rPr>
          <w:rFonts w:ascii="Book Antiqua"/>
          <w:rtl w:val="0"/>
          <w:lang w:val="it-IT"/>
        </w:rPr>
        <w:t>stata una valutazione importante in questo senso da parte dell</w:t>
      </w:r>
      <w:r>
        <w:rPr>
          <w:rFonts w:hAnsi="Book Antiqua" w:hint="default"/>
          <w:rtl w:val="0"/>
          <w:lang w:val="it-IT"/>
        </w:rPr>
        <w:t>’</w:t>
      </w:r>
      <w:r>
        <w:rPr>
          <w:rFonts w:ascii="Book Antiqua"/>
          <w:rtl w:val="0"/>
          <w:lang w:val="it-IT"/>
        </w:rPr>
        <w:t>ufficio e c</w:t>
      </w:r>
      <w:r>
        <w:rPr>
          <w:rFonts w:hAnsi="Book Antiqua" w:hint="default"/>
          <w:rtl w:val="0"/>
          <w:lang w:val="it-IT"/>
        </w:rPr>
        <w:t xml:space="preserve">’è </w:t>
      </w:r>
      <w:r>
        <w:rPr>
          <w:rFonts w:ascii="Book Antiqua"/>
          <w:rtl w:val="0"/>
          <w:lang w:val="it-IT"/>
        </w:rPr>
        <w:t>stata un</w:t>
      </w:r>
      <w:r>
        <w:rPr>
          <w:rFonts w:hAnsi="Book Antiqua" w:hint="default"/>
          <w:rtl w:val="0"/>
          <w:lang w:val="it-IT"/>
        </w:rPr>
        <w:t>’</w:t>
      </w:r>
      <w:r>
        <w:rPr>
          <w:rFonts w:ascii="Book Antiqua"/>
          <w:rtl w:val="0"/>
          <w:lang w:val="it-IT"/>
        </w:rPr>
        <w:t>interlocuzione con AMA. Al di l</w:t>
      </w:r>
      <w:r>
        <w:rPr>
          <w:rFonts w:hAnsi="Book Antiqua" w:hint="default"/>
          <w:rtl w:val="0"/>
          <w:lang w:val="it-IT"/>
        </w:rPr>
        <w:t xml:space="preserve">à </w:t>
      </w:r>
      <w:r>
        <w:rPr>
          <w:rFonts w:ascii="Book Antiqua"/>
          <w:rtl w:val="0"/>
          <w:lang w:val="it-IT"/>
        </w:rPr>
        <w:t xml:space="preserve">di quello che </w:t>
      </w:r>
      <w:r>
        <w:rPr>
          <w:rFonts w:hAnsi="Book Antiqua" w:hint="default"/>
          <w:rtl w:val="0"/>
          <w:lang w:val="it-IT"/>
        </w:rPr>
        <w:t xml:space="preserve">è </w:t>
      </w:r>
      <w:r>
        <w:rPr>
          <w:rFonts w:ascii="Book Antiqua"/>
          <w:rtl w:val="0"/>
          <w:lang w:val="it-IT"/>
        </w:rPr>
        <w:t>uscito, in realt</w:t>
      </w:r>
      <w:r>
        <w:rPr>
          <w:rFonts w:hAnsi="Book Antiqua" w:hint="default"/>
          <w:rtl w:val="0"/>
          <w:lang w:val="it-IT"/>
        </w:rPr>
        <w:t xml:space="preserve">à </w:t>
      </w:r>
      <w:r>
        <w:rPr>
          <w:rFonts w:ascii="Book Antiqua"/>
          <w:rtl w:val="0"/>
          <w:lang w:val="it-IT"/>
        </w:rPr>
        <w:t>AMA ha chiarito che questo transfrontaliero veniva lasciato come ipotesi residua in caso di difficolt</w:t>
      </w:r>
      <w:r>
        <w:rPr>
          <w:rFonts w:hAnsi="Book Antiqua" w:hint="default"/>
          <w:rtl w:val="0"/>
          <w:lang w:val="it-IT"/>
        </w:rPr>
        <w:t xml:space="preserve">à </w:t>
      </w:r>
      <w:r>
        <w:rPr>
          <w:rFonts w:ascii="Book Antiqua"/>
          <w:rtl w:val="0"/>
          <w:lang w:val="it-IT"/>
        </w:rPr>
        <w:t>o di altre situazioni, non come metodo sistematico e strutturale al sistema. I documenti di notifica sono stati consegnati al notificatore gi</w:t>
      </w:r>
      <w:r>
        <w:rPr>
          <w:rFonts w:hAnsi="Book Antiqua" w:hint="default"/>
          <w:rtl w:val="0"/>
          <w:lang w:val="it-IT"/>
        </w:rPr>
        <w:t xml:space="preserve">à </w:t>
      </w:r>
      <w:r>
        <w:rPr>
          <w:rFonts w:ascii="Book Antiqua"/>
          <w:rtl w:val="0"/>
          <w:lang w:val="it-IT"/>
        </w:rPr>
        <w:t>il 19 maggio 2016. Ad oggi sono passati pi</w:t>
      </w:r>
      <w:r>
        <w:rPr>
          <w:rFonts w:hAnsi="Book Antiqua" w:hint="default"/>
          <w:rtl w:val="0"/>
          <w:lang w:val="it-IT"/>
        </w:rPr>
        <w:t xml:space="preserve">ù </w:t>
      </w:r>
      <w:r>
        <w:rPr>
          <w:rFonts w:ascii="Book Antiqua"/>
          <w:rtl w:val="0"/>
          <w:lang w:val="it-IT"/>
        </w:rPr>
        <w:t>di due mesi ma non sono ancora arrivati i documenti consegnati. L</w:t>
      </w:r>
      <w:r>
        <w:rPr>
          <w:rFonts w:hAnsi="Book Antiqua" w:hint="default"/>
          <w:rtl w:val="0"/>
          <w:lang w:val="it-IT"/>
        </w:rPr>
        <w:t>’</w:t>
      </w:r>
      <w:r>
        <w:rPr>
          <w:rFonts w:ascii="Book Antiqua"/>
          <w:rtl w:val="0"/>
          <w:lang w:val="it-IT"/>
        </w:rPr>
        <w:t>ufficio non ha da svolgere nulla, ma siamo in attesa della consegna dei documenti, se questa avverr</w:t>
      </w:r>
      <w:r>
        <w:rPr>
          <w:rFonts w:hAnsi="Book Antiqua" w:hint="default"/>
          <w:rtl w:val="0"/>
          <w:lang w:val="it-IT"/>
        </w:rPr>
        <w:t>à</w:t>
      </w:r>
      <w:r>
        <w:rPr>
          <w:rFonts w:ascii="Book Antiqua"/>
          <w:rtl w:val="0"/>
          <w:lang w:val="it-IT"/>
        </w:rPr>
        <w:t>.</w:t>
      </w:r>
      <w:r>
        <w:rPr>
          <w:rFonts w:hAnsi="Book Antiqua" w:hint="default"/>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Sull</w:t>
      </w:r>
      <w:r>
        <w:rPr>
          <w:rFonts w:hAnsi="Book Antiqua" w:hint="default"/>
          <w:rtl w:val="0"/>
          <w:lang w:val="it-IT"/>
        </w:rPr>
        <w:t>’</w:t>
      </w:r>
      <w:r>
        <w:rPr>
          <w:rFonts w:ascii="Book Antiqua"/>
          <w:rtl w:val="0"/>
          <w:lang w:val="it-IT"/>
        </w:rPr>
        <w:t xml:space="preserve">argomento Daniele Fortini, il 2 agosto 2016, dichiarava: </w:t>
      </w:r>
    </w:p>
    <w:p>
      <w:pPr>
        <w:pStyle w:val="Normal"/>
        <w:ind w:left="567" w:right="567" w:firstLine="0"/>
        <w:jc w:val="both"/>
        <w:rPr>
          <w:rFonts w:ascii="Book Antiqua" w:cs="Book Antiqua" w:hAnsi="Book Antiqua" w:eastAsia="Book Antiqua"/>
        </w:rPr>
      </w:pPr>
      <w:r>
        <w:rPr>
          <w:rFonts w:hAnsi="Book Antiqua" w:hint="default"/>
          <w:rtl w:val="0"/>
          <w:lang w:val="it-IT"/>
        </w:rPr>
        <w:t>“</w:t>
      </w:r>
      <w:r>
        <w:rPr>
          <w:rFonts w:ascii="Book Antiqua"/>
          <w:rtl w:val="0"/>
          <w:lang w:val="it-IT"/>
        </w:rPr>
        <w:t xml:space="preserve">La regione obietta e osserva alcuni aspetti che attengono soprattutto alla procedura di infrazione europea che </w:t>
      </w:r>
      <w:r>
        <w:rPr>
          <w:rFonts w:hAnsi="Book Antiqua" w:hint="default"/>
          <w:rtl w:val="0"/>
          <w:lang w:val="it-IT"/>
        </w:rPr>
        <w:t xml:space="preserve">è </w:t>
      </w:r>
      <w:r>
        <w:rPr>
          <w:rFonts w:ascii="Book Antiqua"/>
          <w:rtl w:val="0"/>
          <w:lang w:val="it-IT"/>
        </w:rPr>
        <w:t>in corso (perch</w:t>
      </w:r>
      <w:r>
        <w:rPr>
          <w:rFonts w:hAnsi="Book Antiqua" w:hint="default"/>
          <w:rtl w:val="0"/>
          <w:lang w:val="it-IT"/>
        </w:rPr>
        <w:t xml:space="preserve">é è </w:t>
      </w:r>
      <w:r>
        <w:rPr>
          <w:rFonts w:ascii="Book Antiqua"/>
          <w:rtl w:val="0"/>
          <w:lang w:val="it-IT"/>
        </w:rPr>
        <w:t>del tutto ovvio che non si possa affermare di essere in regola nel momento in cui si mandano fuori rifiuti tal quali in un Paese diverso dal proprio) e, dunque, interpella il Ministero dell</w:t>
      </w:r>
      <w:r>
        <w:rPr>
          <w:rFonts w:hAnsi="Book Antiqua" w:hint="default"/>
          <w:rtl w:val="0"/>
          <w:lang w:val="it-IT"/>
        </w:rPr>
        <w:t>’</w:t>
      </w:r>
      <w:r>
        <w:rPr>
          <w:rFonts w:ascii="Book Antiqua"/>
          <w:rtl w:val="0"/>
          <w:lang w:val="it-IT"/>
        </w:rPr>
        <w:t>ambiente. Il Ministero dell</w:t>
      </w:r>
      <w:r>
        <w:rPr>
          <w:rFonts w:hAnsi="Book Antiqua" w:hint="default"/>
          <w:rtl w:val="0"/>
          <w:lang w:val="it-IT"/>
        </w:rPr>
        <w:t>’</w:t>
      </w:r>
      <w:r>
        <w:rPr>
          <w:rFonts w:ascii="Book Antiqua"/>
          <w:rtl w:val="0"/>
          <w:lang w:val="it-IT"/>
        </w:rPr>
        <w:t>ambiente risponde. La regione si dispone favorevolmente alla possibilit</w:t>
      </w:r>
      <w:r>
        <w:rPr>
          <w:rFonts w:hAnsi="Book Antiqua" w:hint="default"/>
          <w:rtl w:val="0"/>
          <w:lang w:val="it-IT"/>
        </w:rPr>
        <w:t xml:space="preserve">à </w:t>
      </w:r>
      <w:r>
        <w:rPr>
          <w:rFonts w:ascii="Book Antiqua"/>
          <w:rtl w:val="0"/>
          <w:lang w:val="it-IT"/>
        </w:rPr>
        <w:t>che questi rifiuti possano uscire, nel momento in cui, ovviamente, immagino vi sar</w:t>
      </w:r>
      <w:r>
        <w:rPr>
          <w:rFonts w:hAnsi="Book Antiqua" w:hint="default"/>
          <w:rtl w:val="0"/>
          <w:lang w:val="it-IT"/>
        </w:rPr>
        <w:t xml:space="preserve">à </w:t>
      </w:r>
      <w:r>
        <w:rPr>
          <w:rFonts w:ascii="Book Antiqua"/>
          <w:rtl w:val="0"/>
          <w:lang w:val="it-IT"/>
        </w:rPr>
        <w:t>un confronto con il Ministero dell</w:t>
      </w:r>
      <w:r>
        <w:rPr>
          <w:rFonts w:hAnsi="Book Antiqua" w:hint="default"/>
          <w:rtl w:val="0"/>
          <w:lang w:val="it-IT"/>
        </w:rPr>
        <w:t>’</w:t>
      </w:r>
      <w:r>
        <w:rPr>
          <w:rFonts w:ascii="Book Antiqua"/>
          <w:rtl w:val="0"/>
          <w:lang w:val="it-IT"/>
        </w:rPr>
        <w:t>ambiente e con l</w:t>
      </w:r>
      <w:r>
        <w:rPr>
          <w:rFonts w:hAnsi="Book Antiqua" w:hint="default"/>
          <w:rtl w:val="0"/>
          <w:lang w:val="it-IT"/>
        </w:rPr>
        <w:t>’</w:t>
      </w:r>
      <w:r>
        <w:rPr>
          <w:rFonts w:ascii="Book Antiqua"/>
          <w:rtl w:val="0"/>
          <w:lang w:val="it-IT"/>
        </w:rPr>
        <w:t>Unione europea. Trattasi di un intervento non strutturale, cos</w:t>
      </w:r>
      <w:r>
        <w:rPr>
          <w:rFonts w:hAnsi="Book Antiqua" w:hint="default"/>
          <w:rtl w:val="0"/>
          <w:lang w:val="it-IT"/>
        </w:rPr>
        <w:t xml:space="preserve">ì </w:t>
      </w:r>
      <w:r>
        <w:rPr>
          <w:rFonts w:ascii="Book Antiqua"/>
          <w:rtl w:val="0"/>
          <w:lang w:val="it-IT"/>
        </w:rPr>
        <w:t xml:space="preserve">come non lo </w:t>
      </w:r>
      <w:r>
        <w:rPr>
          <w:rFonts w:hAnsi="Book Antiqua" w:hint="default"/>
          <w:rtl w:val="0"/>
          <w:lang w:val="it-IT"/>
        </w:rPr>
        <w:t xml:space="preserve">è </w:t>
      </w:r>
      <w:r>
        <w:rPr>
          <w:rFonts w:ascii="Book Antiqua"/>
          <w:rtl w:val="0"/>
          <w:lang w:val="it-IT"/>
        </w:rPr>
        <w:t>stato l</w:t>
      </w:r>
      <w:r>
        <w:rPr>
          <w:rFonts w:hAnsi="Book Antiqua" w:hint="default"/>
          <w:rtl w:val="0"/>
          <w:lang w:val="it-IT"/>
        </w:rPr>
        <w:t>’</w:t>
      </w:r>
      <w:r>
        <w:rPr>
          <w:rFonts w:ascii="Book Antiqua"/>
          <w:rtl w:val="0"/>
          <w:lang w:val="it-IT"/>
        </w:rPr>
        <w:t>evacuazione dei rifiuti da Napoli quando, durante l</w:t>
      </w:r>
      <w:r>
        <w:rPr>
          <w:rFonts w:hAnsi="Book Antiqua" w:hint="default"/>
          <w:rtl w:val="0"/>
          <w:lang w:val="it-IT"/>
        </w:rPr>
        <w:t>’</w:t>
      </w:r>
      <w:r>
        <w:rPr>
          <w:rFonts w:ascii="Book Antiqua"/>
          <w:rtl w:val="0"/>
          <w:lang w:val="it-IT"/>
        </w:rPr>
        <w:t>emergenza della Lombardia nel 1992, i rifiuti si sono portati in Svizzera, o cos</w:t>
      </w:r>
      <w:r>
        <w:rPr>
          <w:rFonts w:hAnsi="Book Antiqua" w:hint="default"/>
          <w:rtl w:val="0"/>
          <w:lang w:val="it-IT"/>
        </w:rPr>
        <w:t xml:space="preserve">ì </w:t>
      </w:r>
      <w:r>
        <w:rPr>
          <w:rFonts w:ascii="Book Antiqua"/>
          <w:rtl w:val="0"/>
          <w:lang w:val="it-IT"/>
        </w:rPr>
        <w:t>come in altre realt</w:t>
      </w:r>
      <w:r>
        <w:rPr>
          <w:rFonts w:hAnsi="Book Antiqua" w:hint="default"/>
          <w:rtl w:val="0"/>
          <w:lang w:val="it-IT"/>
        </w:rPr>
        <w:t xml:space="preserve">à </w:t>
      </w:r>
      <w:r>
        <w:rPr>
          <w:rFonts w:ascii="Book Antiqua"/>
          <w:rtl w:val="0"/>
          <w:lang w:val="it-IT"/>
        </w:rPr>
        <w:t>del nostro Paese o anche europee di volta in volta accade. Come sapete, da cinque anni gli inglesi portano fuori dalla Gran Bretagna 8 milioni di tonnellate all</w:t>
      </w:r>
      <w:r>
        <w:rPr>
          <w:rFonts w:hAnsi="Book Antiqua" w:hint="default"/>
          <w:rtl w:val="0"/>
          <w:lang w:val="it-IT"/>
        </w:rPr>
        <w:t>’</w:t>
      </w:r>
      <w:r>
        <w:rPr>
          <w:rFonts w:ascii="Book Antiqua"/>
          <w:rtl w:val="0"/>
          <w:lang w:val="it-IT"/>
        </w:rPr>
        <w:t>anno, garantendo a tutti i Paesi rivieraschi del Mare del Nord l</w:t>
      </w:r>
      <w:r>
        <w:rPr>
          <w:rFonts w:hAnsi="Book Antiqua" w:hint="default"/>
          <w:rtl w:val="0"/>
          <w:lang w:val="it-IT"/>
        </w:rPr>
        <w:t>’</w:t>
      </w:r>
      <w:r>
        <w:rPr>
          <w:rFonts w:ascii="Book Antiqua"/>
          <w:rtl w:val="0"/>
          <w:lang w:val="it-IT"/>
        </w:rPr>
        <w:t>alimentazione di formidabili apparecchiature di termovalorizzazione. L</w:t>
      </w:r>
      <w:r>
        <w:rPr>
          <w:rFonts w:hAnsi="Book Antiqua" w:hint="default"/>
          <w:rtl w:val="0"/>
          <w:lang w:val="it-IT"/>
        </w:rPr>
        <w:t>’</w:t>
      </w:r>
      <w:r>
        <w:rPr>
          <w:rFonts w:ascii="Book Antiqua"/>
          <w:rtl w:val="0"/>
          <w:lang w:val="it-IT"/>
        </w:rPr>
        <w:t xml:space="preserve">ultimo nato </w:t>
      </w:r>
      <w:r>
        <w:rPr>
          <w:rFonts w:hAnsi="Book Antiqua" w:hint="default"/>
          <w:rtl w:val="0"/>
          <w:lang w:val="it-IT"/>
        </w:rPr>
        <w:t xml:space="preserve">è </w:t>
      </w:r>
      <w:r>
        <w:rPr>
          <w:rFonts w:ascii="Book Antiqua"/>
          <w:rtl w:val="0"/>
          <w:lang w:val="it-IT"/>
        </w:rPr>
        <w:t>l</w:t>
      </w:r>
      <w:r>
        <w:rPr>
          <w:rFonts w:hAnsi="Book Antiqua" w:hint="default"/>
          <w:rtl w:val="0"/>
          <w:lang w:val="it-IT"/>
        </w:rPr>
        <w:t>’</w:t>
      </w:r>
      <w:r>
        <w:rPr>
          <w:rFonts w:ascii="Book Antiqua"/>
          <w:rtl w:val="0"/>
          <w:lang w:val="it-IT"/>
        </w:rPr>
        <w:t>impianto di Copenaghen, che confida sui conferimenti dalla Gran Bretagna ancora per qualche tempo, in modo da poter ammortizzare i propri investimenti.</w:t>
      </w:r>
      <w:r>
        <w:rPr>
          <w:rFonts w:hAnsi="Book Antiqua" w:hint="default"/>
          <w:rtl w:val="0"/>
          <w:lang w:val="it-IT"/>
        </w:rPr>
        <w:t xml:space="preserve">” </w:t>
      </w:r>
    </w:p>
    <w:p>
      <w:pPr>
        <w:pStyle w:val="Normal"/>
        <w:ind w:left="567" w:right="567" w:firstLine="0"/>
        <w:jc w:val="both"/>
        <w:rPr>
          <w:rFonts w:ascii="Book Antiqua" w:cs="Book Antiqua" w:hAnsi="Book Antiqua" w:eastAsia="Book Antiqua"/>
        </w:rPr>
      </w:pPr>
      <w:r>
        <w:rPr>
          <w:rFonts w:ascii="Book Antiqua"/>
          <w:rtl w:val="0"/>
          <w:lang w:val="it-IT"/>
        </w:rPr>
        <w:t>La Commissione su questo argomento ha svolto un approfondimento, convocando in audizione, il 7 novembre 2016, Francesco Fallica, procuratore della societ</w:t>
      </w:r>
      <w:r>
        <w:rPr>
          <w:rFonts w:hAnsi="Book Antiqua" w:hint="default"/>
          <w:rtl w:val="0"/>
          <w:lang w:val="it-IT"/>
        </w:rPr>
        <w:t xml:space="preserve">à </w:t>
      </w:r>
      <w:r>
        <w:rPr>
          <w:rFonts w:ascii="Book Antiqua"/>
          <w:rtl w:val="0"/>
          <w:lang w:val="it-IT"/>
        </w:rPr>
        <w:t>Enki, il quale in merito alla composizione dell</w:t>
      </w:r>
      <w:r>
        <w:rPr>
          <w:rFonts w:hAnsi="Book Antiqua" w:hint="default"/>
          <w:rtl w:val="0"/>
          <w:lang w:val="it-IT"/>
        </w:rPr>
        <w:t>’</w:t>
      </w:r>
      <w:r>
        <w:rPr>
          <w:rFonts w:ascii="Book Antiqua"/>
          <w:rtl w:val="0"/>
          <w:lang w:val="it-IT"/>
        </w:rPr>
        <w:t xml:space="preserve">ATI ha dichiarato: </w:t>
      </w:r>
    </w:p>
    <w:p>
      <w:pPr>
        <w:pStyle w:val="Normal"/>
        <w:ind w:left="567" w:right="567" w:firstLine="0"/>
        <w:jc w:val="both"/>
        <w:rPr>
          <w:rFonts w:ascii="Book Antiqua" w:cs="Book Antiqua" w:hAnsi="Book Antiqua" w:eastAsia="Book Antiqua"/>
        </w:rPr>
      </w:pPr>
      <w:r>
        <w:rPr>
          <w:rFonts w:hAnsi="Book Antiqua" w:hint="default"/>
          <w:rtl w:val="0"/>
          <w:lang w:val="it-IT"/>
        </w:rPr>
        <w:t>“</w:t>
      </w:r>
      <w:r>
        <w:rPr>
          <w:rFonts w:ascii="Book Antiqua"/>
          <w:rtl w:val="0"/>
          <w:lang w:val="it-IT"/>
        </w:rPr>
        <w:t>Abbiamo partecipato a questa gara in associazione temporanea di impresa con altre tre societ</w:t>
      </w:r>
      <w:r>
        <w:rPr>
          <w:rFonts w:hAnsi="Book Antiqua" w:hint="default"/>
          <w:rtl w:val="0"/>
          <w:lang w:val="it-IT"/>
        </w:rPr>
        <w:t>à</w:t>
      </w:r>
      <w:r>
        <w:rPr>
          <w:rFonts w:ascii="Book Antiqua"/>
          <w:rtl w:val="0"/>
          <w:lang w:val="it-IT"/>
        </w:rPr>
        <w:t>, di cui due italiane, che sono una societ</w:t>
      </w:r>
      <w:r>
        <w:rPr>
          <w:rFonts w:hAnsi="Book Antiqua" w:hint="default"/>
          <w:rtl w:val="0"/>
          <w:lang w:val="it-IT"/>
        </w:rPr>
        <w:t xml:space="preserve">à </w:t>
      </w:r>
      <w:r>
        <w:rPr>
          <w:rFonts w:ascii="Book Antiqua"/>
          <w:rtl w:val="0"/>
          <w:lang w:val="it-IT"/>
        </w:rPr>
        <w:t>di Monza, l'impresa Sangalli, e un consorzio di trasportatori campano, che gi</w:t>
      </w:r>
      <w:r>
        <w:rPr>
          <w:rFonts w:hAnsi="Book Antiqua" w:hint="default"/>
          <w:rtl w:val="0"/>
          <w:lang w:val="it-IT"/>
        </w:rPr>
        <w:t xml:space="preserve">à </w:t>
      </w:r>
      <w:r>
        <w:rPr>
          <w:rFonts w:ascii="Book Antiqua"/>
          <w:rtl w:val="0"/>
          <w:lang w:val="it-IT"/>
        </w:rPr>
        <w:t>si occupa di questo tipo di servizi per le societ</w:t>
      </w:r>
      <w:r>
        <w:rPr>
          <w:rFonts w:hAnsi="Book Antiqua" w:hint="default"/>
          <w:rtl w:val="0"/>
          <w:lang w:val="it-IT"/>
        </w:rPr>
        <w:t xml:space="preserve">à </w:t>
      </w:r>
      <w:r>
        <w:rPr>
          <w:rFonts w:ascii="Book Antiqua"/>
          <w:rtl w:val="0"/>
          <w:lang w:val="it-IT"/>
        </w:rPr>
        <w:t>provinciali della regione Campania, il Consorzio CITE, e poi con una societ</w:t>
      </w:r>
      <w:r>
        <w:rPr>
          <w:rFonts w:hAnsi="Book Antiqua" w:hint="default"/>
          <w:rtl w:val="0"/>
          <w:lang w:val="it-IT"/>
        </w:rPr>
        <w:t xml:space="preserve">à </w:t>
      </w:r>
      <w:r>
        <w:rPr>
          <w:rFonts w:ascii="Book Antiqua"/>
          <w:rtl w:val="0"/>
          <w:lang w:val="it-IT"/>
        </w:rPr>
        <w:t>tedesca che si chiama Mag, che ha sede a Leutesdorf, vicino Bonn, la quale detiene rapporti con buona parte di societ</w:t>
      </w:r>
      <w:r>
        <w:rPr>
          <w:rFonts w:hAnsi="Book Antiqua" w:hint="default"/>
          <w:rtl w:val="0"/>
          <w:lang w:val="it-IT"/>
        </w:rPr>
        <w:t xml:space="preserve">à </w:t>
      </w:r>
      <w:r>
        <w:rPr>
          <w:rFonts w:ascii="Book Antiqua"/>
          <w:rtl w:val="0"/>
          <w:lang w:val="it-IT"/>
        </w:rPr>
        <w:t>di gestione di inceneritori sia in Germania che in Austria che nel nord Europa.</w:t>
      </w:r>
      <w:r>
        <w:rPr>
          <w:rFonts w:hAnsi="Book Antiqua" w:hint="default"/>
          <w:rtl w:val="0"/>
          <w:lang w:val="it-IT"/>
        </w:rPr>
        <w:t> </w:t>
      </w:r>
      <w:r>
        <w:rPr>
          <w:rFonts w:ascii="Book Antiqua"/>
          <w:rtl w:val="0"/>
          <w:lang w:val="it-IT"/>
        </w:rPr>
        <w:t xml:space="preserve">A parte l'impresa Sangalli che </w:t>
      </w:r>
      <w:r>
        <w:rPr>
          <w:rFonts w:hAnsi="Book Antiqua" w:hint="default"/>
          <w:rtl w:val="0"/>
          <w:lang w:val="it-IT"/>
        </w:rPr>
        <w:t xml:space="preserve">è </w:t>
      </w:r>
      <w:r>
        <w:rPr>
          <w:rFonts w:ascii="Book Antiqua"/>
          <w:rtl w:val="0"/>
          <w:lang w:val="it-IT"/>
        </w:rPr>
        <w:t>stata aggiunta qui su Roma perch</w:t>
      </w:r>
      <w:r>
        <w:rPr>
          <w:rFonts w:hAnsi="Book Antiqua" w:hint="default"/>
          <w:rtl w:val="0"/>
          <w:lang w:val="it-IT"/>
        </w:rPr>
        <w:t xml:space="preserve">é </w:t>
      </w:r>
      <w:r>
        <w:rPr>
          <w:rFonts w:ascii="Book Antiqua"/>
          <w:rtl w:val="0"/>
          <w:lang w:val="it-IT"/>
        </w:rPr>
        <w:t>la dimensione era tale che volevamo avere pi</w:t>
      </w:r>
      <w:r>
        <w:rPr>
          <w:rFonts w:hAnsi="Book Antiqua" w:hint="default"/>
          <w:rtl w:val="0"/>
          <w:lang w:val="it-IT"/>
        </w:rPr>
        <w:t xml:space="preserve">ù </w:t>
      </w:r>
      <w:r>
        <w:rPr>
          <w:rFonts w:ascii="Book Antiqua"/>
          <w:rtl w:val="0"/>
          <w:lang w:val="it-IT"/>
        </w:rPr>
        <w:t xml:space="preserve">garanzie, questa </w:t>
      </w:r>
      <w:r>
        <w:rPr>
          <w:rFonts w:hAnsi="Book Antiqua" w:hint="default"/>
          <w:rtl w:val="0"/>
          <w:lang w:val="it-IT"/>
        </w:rPr>
        <w:t xml:space="preserve">è </w:t>
      </w:r>
      <w:r>
        <w:rPr>
          <w:rFonts w:ascii="Book Antiqua"/>
          <w:rtl w:val="0"/>
          <w:lang w:val="it-IT"/>
        </w:rPr>
        <w:t>la squadra con cui di solito cooperiamo sulle gare per la regione Campania per fare lo stesso tipo di lavoro.</w:t>
      </w:r>
      <w:r>
        <w:rPr>
          <w:rFonts w:hAnsi="Book Antiqua" w:hint="default"/>
          <w:rtl w:val="0"/>
          <w:lang w:val="it-IT"/>
        </w:rPr>
        <w:t xml:space="preserve">” </w:t>
      </w:r>
    </w:p>
    <w:p>
      <w:pPr>
        <w:pStyle w:val="Normal"/>
        <w:ind w:left="567" w:right="567" w:firstLine="0"/>
        <w:jc w:val="both"/>
        <w:rPr>
          <w:rFonts w:ascii="Book Antiqua" w:cs="Book Antiqua" w:hAnsi="Book Antiqua" w:eastAsia="Book Antiqua"/>
        </w:rPr>
      </w:pPr>
      <w:r>
        <w:rPr>
          <w:rFonts w:ascii="Book Antiqua"/>
          <w:rtl w:val="0"/>
          <w:lang w:val="it-IT"/>
        </w:rPr>
        <w:t xml:space="preserve">Lo stesso audito </w:t>
      </w:r>
      <w:r>
        <w:rPr>
          <w:rFonts w:hAnsi="Book Antiqua" w:hint="default"/>
          <w:rtl w:val="0"/>
          <w:lang w:val="it-IT"/>
        </w:rPr>
        <w:t xml:space="preserve">è </w:t>
      </w:r>
      <w:r>
        <w:rPr>
          <w:rFonts w:ascii="Book Antiqua"/>
          <w:rtl w:val="0"/>
          <w:lang w:val="it-IT"/>
        </w:rPr>
        <w:t xml:space="preserve">intervenuto sulla questione Co.La.Ri, dichiarando: </w:t>
      </w:r>
      <w:r>
        <w:rPr>
          <w:rFonts w:hAnsi="Book Antiqua" w:hint="default"/>
          <w:rtl w:val="0"/>
          <w:lang w:val="it-IT"/>
        </w:rPr>
        <w:t>“</w:t>
      </w:r>
      <w:r>
        <w:rPr>
          <w:rFonts w:ascii="Book Antiqua"/>
          <w:rtl w:val="0"/>
          <w:lang w:val="it-IT"/>
        </w:rPr>
        <w:t>All'apertura delle buste era presente un nostro amministratore, che ha fatto presente alla Commissione che la cordata concorrente Co.La.Ri-Giovi non aveva alcun requisito richiesto dal bando, pertanto era una busta da escludere: non aveva presentato la fidejussione richiesta, aveva sbagliato la forma di associazione, perch</w:t>
      </w:r>
      <w:r>
        <w:rPr>
          <w:rFonts w:hAnsi="Book Antiqua" w:hint="default"/>
          <w:rtl w:val="0"/>
          <w:lang w:val="it-IT"/>
        </w:rPr>
        <w:t xml:space="preserve">é </w:t>
      </w:r>
      <w:r>
        <w:rPr>
          <w:rFonts w:ascii="Book Antiqua"/>
          <w:rtl w:val="0"/>
          <w:lang w:val="it-IT"/>
        </w:rPr>
        <w:t>aveva messo come mandataria la societ</w:t>
      </w:r>
      <w:r>
        <w:rPr>
          <w:rFonts w:hAnsi="Book Antiqua" w:hint="default"/>
          <w:rtl w:val="0"/>
          <w:lang w:val="it-IT"/>
        </w:rPr>
        <w:t xml:space="preserve">à </w:t>
      </w:r>
      <w:r>
        <w:rPr>
          <w:rFonts w:ascii="Book Antiqua"/>
          <w:rtl w:val="0"/>
          <w:lang w:val="it-IT"/>
        </w:rPr>
        <w:t>con meno percentuale dell'ATI, non aveva la titolarit</w:t>
      </w:r>
      <w:r>
        <w:rPr>
          <w:rFonts w:hAnsi="Book Antiqua" w:hint="default"/>
          <w:rtl w:val="0"/>
          <w:lang w:val="it-IT"/>
        </w:rPr>
        <w:t xml:space="preserve">à </w:t>
      </w:r>
      <w:r>
        <w:rPr>
          <w:rFonts w:ascii="Book Antiqua"/>
          <w:rtl w:val="0"/>
          <w:lang w:val="it-IT"/>
        </w:rPr>
        <w:t xml:space="preserve">dell'impianto di recupero energetico, cosa richiesta dal bando, e per ultimo non aveva nemmeno fatto il sopralluogo. Possiamo dire che forse quei luoghi li conosce a memoria ma, se </w:t>
      </w:r>
      <w:r>
        <w:rPr>
          <w:rFonts w:hAnsi="Book Antiqua" w:hint="default"/>
          <w:rtl w:val="0"/>
          <w:lang w:val="it-IT"/>
        </w:rPr>
        <w:t xml:space="preserve">è </w:t>
      </w:r>
      <w:r>
        <w:rPr>
          <w:rFonts w:ascii="Book Antiqua"/>
          <w:rtl w:val="0"/>
          <w:lang w:val="it-IT"/>
        </w:rPr>
        <w:t xml:space="preserve">previsto dal bando, bisogna farlo, quindi </w:t>
      </w:r>
      <w:r>
        <w:rPr>
          <w:rFonts w:hAnsi="Book Antiqua" w:hint="default"/>
          <w:rtl w:val="0"/>
          <w:lang w:val="it-IT"/>
        </w:rPr>
        <w:t xml:space="preserve">è </w:t>
      </w:r>
      <w:r>
        <w:rPr>
          <w:rFonts w:ascii="Book Antiqua"/>
          <w:rtl w:val="0"/>
          <w:lang w:val="it-IT"/>
        </w:rPr>
        <w:t>stata esclusa.</w:t>
      </w:r>
    </w:p>
    <w:p>
      <w:pPr>
        <w:pStyle w:val="Normal"/>
        <w:ind w:left="567" w:right="567" w:firstLine="0"/>
        <w:jc w:val="both"/>
        <w:rPr>
          <w:rFonts w:ascii="Book Antiqua" w:cs="Book Antiqua" w:hAnsi="Book Antiqua" w:eastAsia="Book Antiqua"/>
        </w:rPr>
      </w:pPr>
      <w:r>
        <w:rPr>
          <w:rFonts w:ascii="Book Antiqua"/>
          <w:rtl w:val="0"/>
          <w:lang w:val="it-IT"/>
        </w:rPr>
        <w:t xml:space="preserve">Da quel momento </w:t>
      </w:r>
      <w:r>
        <w:rPr>
          <w:rFonts w:hAnsi="Book Antiqua" w:hint="default"/>
          <w:rtl w:val="0"/>
          <w:lang w:val="it-IT"/>
        </w:rPr>
        <w:t xml:space="preserve">è </w:t>
      </w:r>
      <w:r>
        <w:rPr>
          <w:rFonts w:ascii="Book Antiqua"/>
          <w:rtl w:val="0"/>
          <w:lang w:val="it-IT"/>
        </w:rPr>
        <w:t>iniziato il calvario, perch</w:t>
      </w:r>
      <w:r>
        <w:rPr>
          <w:rFonts w:hAnsi="Book Antiqua" w:hint="default"/>
          <w:rtl w:val="0"/>
          <w:lang w:val="it-IT"/>
        </w:rPr>
        <w:t xml:space="preserve">é </w:t>
      </w:r>
      <w:r>
        <w:rPr>
          <w:rFonts w:ascii="Book Antiqua"/>
          <w:rtl w:val="0"/>
          <w:lang w:val="it-IT"/>
        </w:rPr>
        <w:t xml:space="preserve">sono stati fatti subito un ricorso al TAR contro il bando di gara e sei motivi aggiunti di ricorso sempre da parte di Co.La.Ri con svariate motivazioni nel corso del tempo contro l'aggiudicazione, contro AMA, contro tutto, contro l'aria! Questi ricorsi al TAR sono stati riunificati in un unico giudizio, che ha visto tutte le richieste di Colari respinte. Questo </w:t>
      </w:r>
      <w:r>
        <w:rPr>
          <w:rFonts w:hAnsi="Book Antiqua" w:hint="default"/>
          <w:rtl w:val="0"/>
          <w:lang w:val="it-IT"/>
        </w:rPr>
        <w:t xml:space="preserve">è </w:t>
      </w:r>
      <w:r>
        <w:rPr>
          <w:rFonts w:ascii="Book Antiqua"/>
          <w:rtl w:val="0"/>
          <w:lang w:val="it-IT"/>
        </w:rPr>
        <w:t>stato pubblicato nella prima settimana dell'anno in corso, a gennaio 2016. A valle di questo giudizio abbiamo siglato l</w:t>
      </w:r>
      <w:r>
        <w:rPr>
          <w:rFonts w:hAnsi="Book Antiqua" w:hint="default"/>
          <w:rtl w:val="0"/>
          <w:lang w:val="it-IT"/>
        </w:rPr>
        <w:t>’</w:t>
      </w:r>
      <w:r>
        <w:rPr>
          <w:rFonts w:ascii="Book Antiqua"/>
          <w:rtl w:val="0"/>
          <w:lang w:val="it-IT"/>
        </w:rPr>
        <w:t>accordo quadro con AMA il 27 gennaio.</w:t>
      </w:r>
      <w:r>
        <w:rPr>
          <w:rFonts w:hAnsi="Book Antiqua" w:hint="default"/>
          <w:rtl w:val="0"/>
          <w:lang w:val="it-IT"/>
        </w:rPr>
        <w:t xml:space="preserve">” </w:t>
      </w:r>
    </w:p>
    <w:p>
      <w:pPr>
        <w:pStyle w:val="Normal"/>
        <w:ind w:left="567" w:right="567" w:firstLine="0"/>
        <w:jc w:val="both"/>
        <w:rPr>
          <w:rFonts w:ascii="Book Antiqua" w:cs="Book Antiqua" w:hAnsi="Book Antiqua" w:eastAsia="Book Antiqua"/>
        </w:rPr>
      </w:pPr>
      <w:r>
        <w:rPr>
          <w:rFonts w:ascii="Book Antiqua"/>
          <w:rtl w:val="0"/>
          <w:lang w:val="it-IT"/>
        </w:rPr>
        <w:t xml:space="preserve">Per quanto riguarda dove verranno presi i rifiuti per portarli in Germania, Francesco Fallica ha dichiarato: </w:t>
      </w:r>
      <w:r>
        <w:rPr>
          <w:rFonts w:hAnsi="Book Antiqua" w:hint="default"/>
          <w:rtl w:val="0"/>
          <w:lang w:val="it-IT"/>
        </w:rPr>
        <w:t>“</w:t>
      </w:r>
      <w:r>
        <w:rPr>
          <w:rFonts w:ascii="Book Antiqua"/>
          <w:rtl w:val="0"/>
          <w:lang w:val="it-IT"/>
        </w:rPr>
        <w:t xml:space="preserve">In merito al quantitativo totale, i siti dai quali esitare rifiuti sono due, i due TMB di AMA, quello di via Salaria e quello di Rocca Cencia, quindi per esempio la distribuzione quantitativa sui siti, chi </w:t>
      </w:r>
      <w:r>
        <w:rPr>
          <w:rFonts w:hAnsi="Book Antiqua" w:hint="default"/>
          <w:rtl w:val="0"/>
          <w:lang w:val="it-IT"/>
        </w:rPr>
        <w:t xml:space="preserve">è </w:t>
      </w:r>
      <w:r>
        <w:rPr>
          <w:rFonts w:ascii="Book Antiqua"/>
          <w:rtl w:val="0"/>
          <w:lang w:val="it-IT"/>
        </w:rPr>
        <w:t>il responsabile legale che deve comparire nel riquadro del produttore dei rifiuti, quindi chi ha in AMA la delega per mettere la firma l</w:t>
      </w:r>
      <w:r>
        <w:rPr>
          <w:rFonts w:hAnsi="Book Antiqua" w:hint="default"/>
          <w:rtl w:val="0"/>
          <w:lang w:val="it-IT"/>
        </w:rPr>
        <w:t>ì</w:t>
      </w:r>
      <w:r>
        <w:rPr>
          <w:rFonts w:ascii="Book Antiqua"/>
          <w:rtl w:val="0"/>
          <w:lang w:val="it-IT"/>
        </w:rPr>
        <w:t>, tutte queste cose e non ultime le analisi di classificazione.</w:t>
      </w:r>
      <w:r>
        <w:rPr>
          <w:rFonts w:hAnsi="Book Antiqua" w:hint="default"/>
          <w:rtl w:val="0"/>
          <w:lang w:val="it-IT"/>
        </w:rPr>
        <w:t xml:space="preserve">” </w:t>
      </w:r>
      <w:r>
        <w:rPr>
          <w:rFonts w:ascii="Book Antiqua"/>
          <w:rtl w:val="0"/>
          <w:lang w:val="it-IT"/>
        </w:rPr>
        <w:t>Sulle ulteriori azioni messe in campo da Co.La.Ri per bloccare ovvero annullare il contratto tra AMA S.p.A. e Enki, l</w:t>
      </w:r>
      <w:r>
        <w:rPr>
          <w:rFonts w:hAnsi="Book Antiqua" w:hint="default"/>
          <w:rtl w:val="0"/>
          <w:lang w:val="it-IT"/>
        </w:rPr>
        <w:t>’</w:t>
      </w:r>
      <w:r>
        <w:rPr>
          <w:rFonts w:ascii="Book Antiqua"/>
          <w:rtl w:val="0"/>
          <w:lang w:val="it-IT"/>
        </w:rPr>
        <w:t xml:space="preserve">audito ha detto: </w:t>
      </w:r>
      <w:r>
        <w:rPr>
          <w:rFonts w:hAnsi="Book Antiqua" w:hint="default"/>
          <w:rtl w:val="0"/>
          <w:lang w:val="it-IT"/>
        </w:rPr>
        <w:t>“</w:t>
      </w:r>
      <w:r>
        <w:rPr>
          <w:rFonts w:ascii="Book Antiqua"/>
          <w:rtl w:val="0"/>
          <w:lang w:val="it-IT"/>
        </w:rPr>
        <w:t>Ora, finalmente l'ente austriaco, dopo tutte queste vicissitudini, perch</w:t>
      </w:r>
      <w:r>
        <w:rPr>
          <w:rFonts w:hAnsi="Book Antiqua" w:hint="default"/>
          <w:rtl w:val="0"/>
          <w:lang w:val="it-IT"/>
        </w:rPr>
        <w:t>é</w:t>
      </w:r>
      <w:r>
        <w:rPr>
          <w:rFonts w:ascii="Book Antiqua"/>
          <w:rtl w:val="0"/>
          <w:lang w:val="it-IT"/>
        </w:rPr>
        <w:t xml:space="preserve">, dopo aver presentato ricorso al TAR su quella lettera, Co.La.Ri non contento ha scritto alla Commissione europea, al Ministero austriaco, al Ministero tedesco, al Ministero dell'ambiente italiano, ha scritto a tutti questi enti dicendo che </w:t>
      </w:r>
      <w:r>
        <w:rPr>
          <w:rFonts w:hAnsi="Book Antiqua" w:hint="default"/>
          <w:rtl w:val="0"/>
          <w:lang w:val="it-IT"/>
        </w:rPr>
        <w:t xml:space="preserve">è </w:t>
      </w:r>
      <w:r>
        <w:rPr>
          <w:rFonts w:ascii="Book Antiqua"/>
          <w:rtl w:val="0"/>
          <w:lang w:val="it-IT"/>
        </w:rPr>
        <w:t>illegittimo quello che stanno facendo.</w:t>
      </w:r>
      <w:r>
        <w:rPr>
          <w:rFonts w:hAnsi="Book Antiqua" w:hint="default"/>
          <w:rtl w:val="0"/>
          <w:lang w:val="it-IT"/>
        </w:rPr>
        <w:t xml:space="preserve">  </w:t>
      </w:r>
      <w:r>
        <w:rPr>
          <w:rFonts w:ascii="Book Antiqua"/>
          <w:rtl w:val="0"/>
          <w:lang w:val="it-IT"/>
        </w:rPr>
        <w:t xml:space="preserve">Naturalmente il Ministero austriaco ha chiesto chiarimenti alla regione Lazio, che ha risposto in maniera non sibillina, ma molto asciutta, dicendo che, siccome il soggetto richiedente non </w:t>
      </w:r>
      <w:r>
        <w:rPr>
          <w:rFonts w:hAnsi="Book Antiqua" w:hint="default"/>
          <w:rtl w:val="0"/>
          <w:lang w:val="it-IT"/>
        </w:rPr>
        <w:t xml:space="preserve">è </w:t>
      </w:r>
      <w:r>
        <w:rPr>
          <w:rFonts w:ascii="Book Antiqua"/>
          <w:rtl w:val="0"/>
          <w:lang w:val="it-IT"/>
        </w:rPr>
        <w:t>titolato perch</w:t>
      </w:r>
      <w:r>
        <w:rPr>
          <w:rFonts w:hAnsi="Book Antiqua" w:hint="default"/>
          <w:rtl w:val="0"/>
          <w:lang w:val="it-IT"/>
        </w:rPr>
        <w:t xml:space="preserve">é </w:t>
      </w:r>
      <w:r>
        <w:rPr>
          <w:rFonts w:ascii="Book Antiqua"/>
          <w:rtl w:val="0"/>
          <w:lang w:val="it-IT"/>
        </w:rPr>
        <w:t xml:space="preserve">non </w:t>
      </w:r>
      <w:r>
        <w:rPr>
          <w:rFonts w:hAnsi="Book Antiqua" w:hint="default"/>
          <w:rtl w:val="0"/>
          <w:lang w:val="it-IT"/>
        </w:rPr>
        <w:t xml:space="preserve">è </w:t>
      </w:r>
      <w:r>
        <w:rPr>
          <w:rFonts w:ascii="Book Antiqua"/>
          <w:rtl w:val="0"/>
          <w:lang w:val="it-IT"/>
        </w:rPr>
        <w:t>parte di notifica, non deve dare alcuna risposta in merito a quello che questo signore ha scritto</w:t>
      </w:r>
      <w:r>
        <w:rPr>
          <w:rFonts w:hAnsi="Book Antiqua" w:hint="default"/>
          <w:rtl w:val="0"/>
          <w:lang w:val="it-IT"/>
        </w:rPr>
        <w:t> </w:t>
      </w:r>
      <w:r>
        <w:rPr>
          <w:rFonts w:ascii="Book Antiqua"/>
          <w:rtl w:val="0"/>
          <w:lang w:val="it-IT"/>
        </w:rPr>
        <w:t xml:space="preserve">[...] Per quale motivo Co.La.Ri abbia fatto questi errori marchiani: ironia a parte, che non credo Co.La.Ri abbia mai fatto gare, quindi non </w:t>
      </w:r>
      <w:r>
        <w:rPr>
          <w:rFonts w:hAnsi="Book Antiqua" w:hint="default"/>
          <w:rtl w:val="0"/>
          <w:lang w:val="it-IT"/>
        </w:rPr>
        <w:t xml:space="preserve">è </w:t>
      </w:r>
      <w:r>
        <w:rPr>
          <w:rFonts w:ascii="Book Antiqua"/>
          <w:rtl w:val="0"/>
          <w:lang w:val="it-IT"/>
        </w:rPr>
        <w:t>abituata, non ha vinto semplicemente perch</w:t>
      </w:r>
      <w:r>
        <w:rPr>
          <w:rFonts w:hAnsi="Book Antiqua" w:hint="default"/>
          <w:rtl w:val="0"/>
          <w:lang w:val="it-IT"/>
        </w:rPr>
        <w:t xml:space="preserve">é </w:t>
      </w:r>
      <w:r>
        <w:rPr>
          <w:rFonts w:ascii="Book Antiqua"/>
          <w:rtl w:val="0"/>
          <w:lang w:val="it-IT"/>
        </w:rPr>
        <w:t>non aveva la disponibilit</w:t>
      </w:r>
      <w:r>
        <w:rPr>
          <w:rFonts w:hAnsi="Book Antiqua" w:hint="default"/>
          <w:rtl w:val="0"/>
          <w:lang w:val="it-IT"/>
        </w:rPr>
        <w:t xml:space="preserve">à </w:t>
      </w:r>
      <w:r>
        <w:rPr>
          <w:rFonts w:ascii="Book Antiqua"/>
          <w:rtl w:val="0"/>
          <w:lang w:val="it-IT"/>
        </w:rPr>
        <w:t>dell'impianto di recupero energetico. Co.La.Ri in gara ha presentato i suoi impianti, i due TMB, che sono impianti che non c'entrano nulla con il testo del bando di gara europeo pubblicato, avrebbe dovuto farsi dare un impianto, come abbiamo fatto noi volendo partecipare alla gara.</w:t>
      </w:r>
      <w:r>
        <w:rPr>
          <w:rFonts w:hAnsi="Book Antiqua" w:hint="default"/>
          <w:rtl w:val="0"/>
          <w:lang w:val="it-IT"/>
        </w:rPr>
        <w:t xml:space="preserve">” </w:t>
      </w:r>
    </w:p>
    <w:p>
      <w:pPr>
        <w:pStyle w:val="Normal"/>
        <w:ind w:left="567" w:right="567" w:firstLine="0"/>
        <w:jc w:val="both"/>
        <w:rPr>
          <w:rFonts w:ascii="Book Antiqua" w:cs="Book Antiqua" w:hAnsi="Book Antiqua" w:eastAsia="Book Antiqua"/>
        </w:rPr>
      </w:pPr>
      <w:r>
        <w:rPr>
          <w:rFonts w:ascii="Book Antiqua"/>
          <w:rtl w:val="0"/>
          <w:lang w:val="it-IT"/>
        </w:rPr>
        <w:t>Infine sulle quantit</w:t>
      </w:r>
      <w:r>
        <w:rPr>
          <w:rFonts w:hAnsi="Book Antiqua" w:hint="default"/>
          <w:rtl w:val="0"/>
          <w:lang w:val="it-IT"/>
        </w:rPr>
        <w:t xml:space="preserve">à </w:t>
      </w:r>
      <w:r>
        <w:rPr>
          <w:rFonts w:ascii="Book Antiqua"/>
          <w:rtl w:val="0"/>
          <w:lang w:val="it-IT"/>
        </w:rPr>
        <w:t xml:space="preserve">e sugli altri appalti in Italia, il rappresentante di Enki ha aggiunto: </w:t>
      </w:r>
    </w:p>
    <w:p>
      <w:pPr>
        <w:pStyle w:val="Normal"/>
        <w:ind w:left="567" w:right="567" w:firstLine="0"/>
        <w:jc w:val="both"/>
        <w:rPr>
          <w:rFonts w:ascii="Book Antiqua" w:cs="Book Antiqua" w:hAnsi="Book Antiqua" w:eastAsia="Book Antiqua"/>
        </w:rPr>
      </w:pPr>
      <w:r>
        <w:rPr>
          <w:rFonts w:hAnsi="Book Antiqua" w:hint="default"/>
          <w:rtl w:val="0"/>
          <w:lang w:val="it-IT"/>
        </w:rPr>
        <w:t>“</w:t>
      </w:r>
      <w:r>
        <w:rPr>
          <w:rFonts w:ascii="Book Antiqua"/>
          <w:rtl w:val="0"/>
          <w:lang w:val="it-IT"/>
        </w:rPr>
        <w:t xml:space="preserve">Grosso modo </w:t>
      </w:r>
      <w:r>
        <w:rPr>
          <w:rFonts w:hAnsi="Book Antiqua" w:hint="default"/>
          <w:rtl w:val="0"/>
          <w:lang w:val="it-IT"/>
        </w:rPr>
        <w:t xml:space="preserve">è </w:t>
      </w:r>
      <w:r>
        <w:rPr>
          <w:rFonts w:ascii="Book Antiqua"/>
          <w:rtl w:val="0"/>
          <w:lang w:val="it-IT"/>
        </w:rPr>
        <w:t>un po</w:t>
      </w:r>
      <w:r>
        <w:rPr>
          <w:rFonts w:hAnsi="Book Antiqua" w:hint="default"/>
          <w:rtl w:val="0"/>
          <w:lang w:val="it-IT"/>
        </w:rPr>
        <w:t>’</w:t>
      </w:r>
      <w:r>
        <w:rPr>
          <w:rFonts w:ascii="Book Antiqua"/>
          <w:rtl w:val="0"/>
          <w:lang w:val="it-IT"/>
        </w:rPr>
        <w:t xml:space="preserve"> meno del 25 per cento, quindi di un quarto di quello messo a gara.</w:t>
      </w:r>
      <w:r>
        <w:rPr>
          <w:rFonts w:hAnsi="Book Antiqua" w:hint="default"/>
          <w:rtl w:val="0"/>
          <w:lang w:val="it-IT"/>
        </w:rPr>
        <w:t> </w:t>
      </w:r>
      <w:r>
        <w:rPr>
          <w:rFonts w:ascii="Book Antiqua"/>
          <w:rtl w:val="0"/>
          <w:lang w:val="it-IT"/>
        </w:rPr>
        <w:t>Aggiungo un particolare: AMA ha indetto un'altra gara, spezzettando i lotti, facendo molti lotti piccoli, la gara 50.</w:t>
      </w:r>
      <w:r>
        <w:rPr>
          <w:rFonts w:ascii="Book Antiqua Bold"/>
          <w:b w:val="1"/>
          <w:bCs w:val="1"/>
          <w:rtl w:val="0"/>
          <w:lang w:val="it-IT"/>
        </w:rPr>
        <w:t xml:space="preserve"> </w:t>
      </w:r>
      <w:r>
        <w:rPr>
          <w:rFonts w:ascii="Book Antiqua"/>
          <w:rtl w:val="0"/>
          <w:lang w:val="it-IT"/>
        </w:rPr>
        <w:t xml:space="preserve">Questa era la gara 2 del 2015 e la gara 50 del 2015, quindi indetta a fine anno per non so quanti lotti, </w:t>
      </w:r>
      <w:r>
        <w:rPr>
          <w:rFonts w:hAnsi="Book Antiqua" w:hint="default"/>
          <w:rtl w:val="0"/>
          <w:lang w:val="it-IT"/>
        </w:rPr>
        <w:t xml:space="preserve">è </w:t>
      </w:r>
      <w:r>
        <w:rPr>
          <w:rFonts w:ascii="Book Antiqua"/>
          <w:rtl w:val="0"/>
          <w:lang w:val="it-IT"/>
        </w:rPr>
        <w:t>stata indetta per coprire le quantit</w:t>
      </w:r>
      <w:r>
        <w:rPr>
          <w:rFonts w:hAnsi="Book Antiqua" w:hint="default"/>
          <w:rtl w:val="0"/>
          <w:lang w:val="it-IT"/>
        </w:rPr>
        <w:t xml:space="preserve">à </w:t>
      </w:r>
      <w:r>
        <w:rPr>
          <w:rFonts w:ascii="Book Antiqua"/>
          <w:rtl w:val="0"/>
          <w:lang w:val="it-IT"/>
        </w:rPr>
        <w:t>non aggiudicate, quindi il restante 75 per cento, per</w:t>
      </w:r>
      <w:r>
        <w:rPr>
          <w:rFonts w:hAnsi="Book Antiqua" w:hint="default"/>
          <w:rtl w:val="0"/>
          <w:lang w:val="it-IT"/>
        </w:rPr>
        <w:t xml:space="preserve">ò </w:t>
      </w:r>
      <w:r>
        <w:rPr>
          <w:rFonts w:ascii="Book Antiqua"/>
          <w:rtl w:val="0"/>
          <w:lang w:val="it-IT"/>
        </w:rPr>
        <w:t>spacchettato su tanti lotti piccoli.</w:t>
      </w:r>
      <w:r>
        <w:rPr>
          <w:rFonts w:hAnsi="Book Antiqua" w:hint="default"/>
          <w:rtl w:val="0"/>
          <w:lang w:val="it-IT"/>
        </w:rPr>
        <w:t xml:space="preserve">  </w:t>
      </w:r>
      <w:r>
        <w:rPr>
          <w:rFonts w:ascii="Book Antiqua"/>
          <w:rtl w:val="0"/>
          <w:lang w:val="it-IT"/>
        </w:rPr>
        <w:t>Nessuno ha partecipato, io non ho partecipato perch</w:t>
      </w:r>
      <w:r>
        <w:rPr>
          <w:rFonts w:hAnsi="Book Antiqua" w:hint="default"/>
          <w:rtl w:val="0"/>
          <w:lang w:val="it-IT"/>
        </w:rPr>
        <w:t xml:space="preserve">é </w:t>
      </w:r>
      <w:r>
        <w:rPr>
          <w:rFonts w:ascii="Book Antiqua"/>
          <w:rtl w:val="0"/>
          <w:lang w:val="it-IT"/>
        </w:rPr>
        <w:t>il bando di gara non dava possibilit</w:t>
      </w:r>
      <w:r>
        <w:rPr>
          <w:rFonts w:hAnsi="Book Antiqua" w:hint="default"/>
          <w:rtl w:val="0"/>
          <w:lang w:val="it-IT"/>
        </w:rPr>
        <w:t xml:space="preserve">à </w:t>
      </w:r>
      <w:r>
        <w:rPr>
          <w:rFonts w:ascii="Book Antiqua"/>
          <w:rtl w:val="0"/>
          <w:lang w:val="it-IT"/>
        </w:rPr>
        <w:t>di partecipazione, nel senso che, mentre nella prima gara bastava avere la titolarit</w:t>
      </w:r>
      <w:r>
        <w:rPr>
          <w:rFonts w:hAnsi="Book Antiqua" w:hint="default"/>
          <w:rtl w:val="0"/>
          <w:lang w:val="it-IT"/>
        </w:rPr>
        <w:t xml:space="preserve">à </w:t>
      </w:r>
      <w:r>
        <w:rPr>
          <w:rFonts w:ascii="Book Antiqua"/>
          <w:rtl w:val="0"/>
          <w:lang w:val="it-IT"/>
        </w:rPr>
        <w:t>di un impianto, ma non in grado di coprire tutta la quantit</w:t>
      </w:r>
      <w:r>
        <w:rPr>
          <w:rFonts w:hAnsi="Book Antiqua" w:hint="default"/>
          <w:rtl w:val="0"/>
          <w:lang w:val="it-IT"/>
        </w:rPr>
        <w:t xml:space="preserve">à </w:t>
      </w:r>
      <w:r>
        <w:rPr>
          <w:rFonts w:ascii="Book Antiqua"/>
          <w:rtl w:val="0"/>
          <w:lang w:val="it-IT"/>
        </w:rPr>
        <w:t>offerta, perch</w:t>
      </w:r>
      <w:r>
        <w:rPr>
          <w:rFonts w:hAnsi="Book Antiqua" w:hint="default"/>
          <w:rtl w:val="0"/>
          <w:lang w:val="it-IT"/>
        </w:rPr>
        <w:t xml:space="preserve">é </w:t>
      </w:r>
      <w:r>
        <w:rPr>
          <w:rFonts w:ascii="Book Antiqua"/>
          <w:rtl w:val="0"/>
          <w:lang w:val="it-IT"/>
        </w:rPr>
        <w:t>poi si poteva offrire impianti integrativi, presentandone solo le disponibilit</w:t>
      </w:r>
      <w:r>
        <w:rPr>
          <w:rFonts w:hAnsi="Book Antiqua" w:hint="default"/>
          <w:rtl w:val="0"/>
          <w:lang w:val="it-IT"/>
        </w:rPr>
        <w:t>à</w:t>
      </w:r>
      <w:r>
        <w:rPr>
          <w:rFonts w:ascii="Book Antiqua"/>
          <w:rtl w:val="0"/>
          <w:lang w:val="it-IT"/>
        </w:rPr>
        <w:t>, le dichiarazioni di accettazione, sulla seconda gara, quella di tutti i piccoli lotti, l'impianto doveva essere di titolarit</w:t>
      </w:r>
      <w:r>
        <w:rPr>
          <w:rFonts w:hAnsi="Book Antiqua" w:hint="default"/>
          <w:rtl w:val="0"/>
          <w:lang w:val="it-IT"/>
        </w:rPr>
        <w:t xml:space="preserve">à </w:t>
      </w:r>
      <w:r>
        <w:rPr>
          <w:rFonts w:ascii="Book Antiqua"/>
          <w:rtl w:val="0"/>
          <w:lang w:val="it-IT"/>
        </w:rPr>
        <w:t xml:space="preserve">e non si potevano integrare gli impianti, quindi per questo secondo me </w:t>
      </w:r>
      <w:r>
        <w:rPr>
          <w:rFonts w:hAnsi="Book Antiqua" w:hint="default"/>
          <w:rtl w:val="0"/>
          <w:lang w:val="it-IT"/>
        </w:rPr>
        <w:t xml:space="preserve">è </w:t>
      </w:r>
      <w:r>
        <w:rPr>
          <w:rFonts w:ascii="Book Antiqua"/>
          <w:rtl w:val="0"/>
          <w:lang w:val="it-IT"/>
        </w:rPr>
        <w:t>andata deserta. [..] CITE che altre gare ha? In regione Campania raccoglie da qualche comune e poi ha la maggioranza delle gare dei trasporti esterni dagli Stir sia di Sapna che di Gisec che di Ecoambiente Salerno, sia quelli interni alla regione, cio</w:t>
      </w:r>
      <w:r>
        <w:rPr>
          <w:rFonts w:hAnsi="Book Antiqua" w:hint="default"/>
          <w:rtl w:val="0"/>
          <w:lang w:val="it-IT"/>
        </w:rPr>
        <w:t xml:space="preserve">è </w:t>
      </w:r>
      <w:r>
        <w:rPr>
          <w:rFonts w:ascii="Book Antiqua"/>
          <w:rtl w:val="0"/>
          <w:lang w:val="it-IT"/>
        </w:rPr>
        <w:t>verso che l'inceneritore di Acerra, sia quelli esteri, che indice Sapna.</w:t>
      </w:r>
      <w:r>
        <w:rPr>
          <w:rFonts w:hAnsi="Book Antiqua" w:hint="default"/>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Le carenze strategiche nel ciclo dei rifiuti producono rischi di debolezze gestionali e di illegalit</w:t>
      </w:r>
      <w:r>
        <w:rPr>
          <w:rFonts w:hAnsi="Book Antiqua" w:hint="default"/>
          <w:rtl w:val="0"/>
          <w:lang w:val="it-IT"/>
        </w:rPr>
        <w:t>à</w:t>
      </w:r>
      <w:r>
        <w:rPr>
          <w:rFonts w:ascii="Book Antiqua"/>
          <w:rtl w:val="0"/>
          <w:lang w:val="it-IT"/>
        </w:rPr>
        <w:t xml:space="preserve">, ambientale e amministrativa: a quanto si </w:t>
      </w:r>
      <w:r>
        <w:rPr>
          <w:rFonts w:hAnsi="Book Antiqua" w:hint="default"/>
          <w:rtl w:val="0"/>
          <w:lang w:val="it-IT"/>
        </w:rPr>
        <w:t xml:space="preserve">è </w:t>
      </w:r>
      <w:r>
        <w:rPr>
          <w:rFonts w:ascii="Book Antiqua"/>
          <w:rtl w:val="0"/>
          <w:lang w:val="it-IT"/>
        </w:rPr>
        <w:t>detto nel presente paragrafo vanno associate le risultanze dell</w:t>
      </w:r>
      <w:r>
        <w:rPr>
          <w:rFonts w:hAnsi="Book Antiqua" w:hint="default"/>
          <w:rtl w:val="0"/>
          <w:lang w:val="it-IT"/>
        </w:rPr>
        <w:t>’</w:t>
      </w:r>
      <w:r>
        <w:rPr>
          <w:rFonts w:ascii="Book Antiqua"/>
          <w:rtl w:val="0"/>
          <w:lang w:val="it-IT"/>
        </w:rPr>
        <w:t xml:space="preserve">interlocuzione della Commissione con la regione Lazio, che, come si </w:t>
      </w:r>
      <w:r>
        <w:rPr>
          <w:rFonts w:hAnsi="Book Antiqua" w:hint="default"/>
          <w:rtl w:val="0"/>
          <w:lang w:val="it-IT"/>
        </w:rPr>
        <w:t xml:space="preserve">è </w:t>
      </w:r>
      <w:r>
        <w:rPr>
          <w:rFonts w:ascii="Book Antiqua"/>
          <w:rtl w:val="0"/>
          <w:lang w:val="it-IT"/>
        </w:rPr>
        <w:t>avuto modo di dire, solo in una fase recente ha trovato uno sviluppo utile, che ha corrisposto ai temi di interesse della Commissione. Infatti in una prima fase, centrata sull</w:t>
      </w:r>
      <w:r>
        <w:rPr>
          <w:rFonts w:hAnsi="Book Antiqua" w:hint="default"/>
          <w:rtl w:val="0"/>
          <w:lang w:val="it-IT"/>
        </w:rPr>
        <w:t>’</w:t>
      </w:r>
      <w:r>
        <w:rPr>
          <w:rFonts w:ascii="Book Antiqua"/>
          <w:rtl w:val="0"/>
          <w:lang w:val="it-IT"/>
        </w:rPr>
        <w:t xml:space="preserve">audizione </w:t>
      </w:r>
      <w:r>
        <w:rPr>
          <w:rFonts w:hAnsi="Book Antiqua" w:hint="default"/>
          <w:rtl w:val="0"/>
          <w:lang w:val="it-IT"/>
        </w:rPr>
        <w:t xml:space="preserve">– </w:t>
      </w:r>
      <w:r>
        <w:rPr>
          <w:rFonts w:ascii="Book Antiqua"/>
          <w:rtl w:val="0"/>
          <w:lang w:val="it-IT"/>
        </w:rPr>
        <w:t>l</w:t>
      </w:r>
      <w:r>
        <w:rPr>
          <w:rFonts w:hAnsi="Book Antiqua" w:hint="default"/>
          <w:rtl w:val="0"/>
          <w:lang w:val="it-IT"/>
        </w:rPr>
        <w:t>’</w:t>
      </w:r>
      <w:r>
        <w:rPr>
          <w:rFonts w:ascii="Book Antiqua"/>
          <w:rtl w:val="0"/>
          <w:lang w:val="it-IT"/>
        </w:rPr>
        <w:t xml:space="preserve">8 settembre 2015 </w:t>
      </w:r>
      <w:r>
        <w:rPr>
          <w:rFonts w:hAnsi="Book Antiqua" w:hint="default"/>
          <w:rtl w:val="0"/>
          <w:lang w:val="it-IT"/>
        </w:rPr>
        <w:t xml:space="preserve">– </w:t>
      </w:r>
      <w:r>
        <w:rPr>
          <w:rFonts w:ascii="Book Antiqua"/>
          <w:rtl w:val="0"/>
          <w:lang w:val="it-IT"/>
        </w:rPr>
        <w:t>del presidente della regione, Nicola Zingaretti e dell</w:t>
      </w:r>
      <w:r>
        <w:rPr>
          <w:rFonts w:hAnsi="Book Antiqua" w:hint="default"/>
          <w:rtl w:val="0"/>
          <w:lang w:val="it-IT"/>
        </w:rPr>
        <w:t>’</w:t>
      </w:r>
      <w:r>
        <w:rPr>
          <w:rFonts w:ascii="Book Antiqua"/>
          <w:rtl w:val="0"/>
          <w:lang w:val="it-IT"/>
        </w:rPr>
        <w:t>assessore all</w:t>
      </w:r>
      <w:r>
        <w:rPr>
          <w:rFonts w:hAnsi="Book Antiqua" w:hint="default"/>
          <w:rtl w:val="0"/>
          <w:lang w:val="it-IT"/>
        </w:rPr>
        <w:t>’</w:t>
      </w:r>
      <w:r>
        <w:rPr>
          <w:rFonts w:ascii="Book Antiqua"/>
          <w:rtl w:val="0"/>
          <w:lang w:val="it-IT"/>
        </w:rPr>
        <w:t>ambiente Michele Civita, sono mancate risposte esaurienti alle questioni e ai temi di interesse; in seguito, reiterate dalla Commissione le richieste, sono pervenute risposte effettivamente valutabili, dapprima attraverso l</w:t>
      </w:r>
      <w:r>
        <w:rPr>
          <w:rFonts w:hAnsi="Book Antiqua" w:hint="default"/>
          <w:rtl w:val="0"/>
          <w:lang w:val="it-IT"/>
        </w:rPr>
        <w:t>’</w:t>
      </w:r>
      <w:r>
        <w:rPr>
          <w:rFonts w:ascii="Book Antiqua"/>
          <w:rtl w:val="0"/>
          <w:lang w:val="it-IT"/>
        </w:rPr>
        <w:t xml:space="preserve">audizione, </w:t>
      </w:r>
      <w:r>
        <w:rPr>
          <w:rFonts w:ascii="Book Antiqua"/>
          <w:color w:val="262626"/>
          <w:u w:color="163291"/>
          <w:rtl w:val="0"/>
          <w:lang w:val="it-IT"/>
        </w:rPr>
        <w:t>l</w:t>
      </w:r>
      <w:r>
        <w:rPr>
          <w:rFonts w:hAnsi="Book Antiqua" w:hint="default"/>
          <w:color w:val="262626"/>
          <w:u w:color="163291"/>
          <w:rtl w:val="0"/>
          <w:lang w:val="it-IT"/>
        </w:rPr>
        <w:t>’</w:t>
      </w:r>
      <w:r>
        <w:rPr>
          <w:rFonts w:ascii="Book Antiqua"/>
          <w:color w:val="262626"/>
          <w:u w:color="163291"/>
          <w:rtl w:val="0"/>
          <w:lang w:val="it-IT"/>
        </w:rPr>
        <w:t xml:space="preserve">11 luglio 2016, </w:t>
      </w:r>
      <w:r>
        <w:rPr>
          <w:rFonts w:ascii="Book Antiqua"/>
          <w:rtl w:val="0"/>
          <w:lang w:val="it-IT"/>
        </w:rPr>
        <w:t xml:space="preserve">della dirigente </w:t>
      </w:r>
      <w:r>
        <w:rPr>
          <w:rFonts w:ascii="Book Antiqua"/>
          <w:color w:val="262626"/>
          <w:u w:color="163291"/>
          <w:rtl w:val="0"/>
          <w:lang w:val="it-IT"/>
        </w:rPr>
        <w:t>dell'area ciclo integrato rifiuti della regione Lazio, Flaminia</w:t>
      </w:r>
      <w:r>
        <w:rPr>
          <w:rFonts w:ascii="Book Antiqua"/>
          <w:rtl w:val="0"/>
          <w:lang w:val="it-IT"/>
        </w:rPr>
        <w:t xml:space="preserve"> Tosini, e poi attraverso l</w:t>
      </w:r>
      <w:r>
        <w:rPr>
          <w:rFonts w:hAnsi="Book Antiqua" w:hint="default"/>
          <w:rtl w:val="0"/>
          <w:lang w:val="it-IT"/>
        </w:rPr>
        <w:t>‘</w:t>
      </w:r>
      <w:r>
        <w:rPr>
          <w:rFonts w:ascii="Book Antiqua"/>
          <w:rtl w:val="0"/>
          <w:lang w:val="it-IT"/>
        </w:rPr>
        <w:t>audizione, il 1</w:t>
      </w:r>
      <w:r>
        <w:rPr>
          <w:rFonts w:hAnsi="Book Antiqua" w:hint="default"/>
          <w:rtl w:val="0"/>
          <w:lang w:val="it-IT"/>
        </w:rPr>
        <w:t xml:space="preserve">° </w:t>
      </w:r>
      <w:r>
        <w:rPr>
          <w:rFonts w:ascii="Book Antiqua"/>
          <w:rtl w:val="0"/>
          <w:lang w:val="it-IT"/>
        </w:rPr>
        <w:t xml:space="preserve">febbraio 2017, </w:t>
      </w:r>
      <w:r>
        <w:rPr>
          <w:rFonts w:ascii="Book Antiqua"/>
          <w:color w:val="262626"/>
          <w:u w:color="163291"/>
          <w:rtl w:val="0"/>
          <w:lang w:val="it-IT"/>
        </w:rPr>
        <w:t>del nuovo assessore all</w:t>
      </w:r>
      <w:r>
        <w:rPr>
          <w:rFonts w:hAnsi="Book Antiqua" w:hint="default"/>
          <w:color w:val="262626"/>
          <w:u w:color="163291"/>
          <w:rtl w:val="0"/>
          <w:lang w:val="it-IT"/>
        </w:rPr>
        <w:t>’</w:t>
      </w:r>
      <w:r>
        <w:rPr>
          <w:rFonts w:ascii="Book Antiqua"/>
          <w:rtl w:val="0"/>
          <w:lang w:val="it-IT"/>
        </w:rPr>
        <w:t>ambiente e rifiuti, Mauro Buschini e il contestuale deposito di esauriente documentazione.</w:t>
      </w:r>
    </w:p>
    <w:p>
      <w:pPr>
        <w:pStyle w:val="Normal"/>
        <w:ind w:left="567" w:right="567" w:firstLine="0"/>
        <w:jc w:val="both"/>
        <w:rPr>
          <w:rFonts w:ascii="Book Antiqua" w:cs="Book Antiqua" w:hAnsi="Book Antiqua" w:eastAsia="Book Antiqua"/>
          <w:color w:val="262626"/>
          <w:u w:color="163291"/>
        </w:rPr>
      </w:pPr>
      <w:r>
        <w:rPr>
          <w:rFonts w:ascii="Book Antiqua"/>
          <w:rtl w:val="0"/>
          <w:lang w:val="it-IT"/>
        </w:rPr>
        <w:t xml:space="preserve">Si riporta di seguito </w:t>
      </w:r>
      <w:r>
        <w:rPr>
          <w:rFonts w:ascii="Book Antiqua"/>
          <w:color w:val="262626"/>
          <w:u w:color="163291"/>
          <w:rtl w:val="0"/>
          <w:lang w:val="it-IT"/>
        </w:rPr>
        <w:t>una sintesi tematica della prima audizione della dottoressa Tosini</w:t>
      </w:r>
      <w:r>
        <w:rPr>
          <w:rFonts w:ascii="Book Antiqua" w:cs="Book Antiqua" w:hAnsi="Book Antiqua" w:eastAsia="Book Antiqua"/>
          <w:color w:val="262626"/>
          <w:u w:color="163291"/>
          <w:vertAlign w:val="superscript"/>
          <w:rtl w:val="0"/>
        </w:rPr>
        <w:footnoteReference w:id="164"/>
      </w:r>
      <w:r>
        <w:rPr>
          <w:rFonts w:ascii="Book Antiqua"/>
          <w:color w:val="262626"/>
          <w:u w:color="163291"/>
          <w:rtl w:val="0"/>
          <w:lang w:val="it-IT"/>
        </w:rPr>
        <w:t xml:space="preserve"> che evidenzia la posizione della regione Lazio su alcuni punti essenziali (il cui sviluppo </w:t>
      </w:r>
      <w:r>
        <w:rPr>
          <w:rFonts w:hAnsi="Book Antiqua" w:hint="default"/>
          <w:color w:val="262626"/>
          <w:u w:color="163291"/>
          <w:rtl w:val="0"/>
          <w:lang w:val="it-IT"/>
        </w:rPr>
        <w:t xml:space="preserve">è </w:t>
      </w:r>
      <w:r>
        <w:rPr>
          <w:rFonts w:ascii="Book Antiqua"/>
          <w:color w:val="262626"/>
          <w:u w:color="163291"/>
          <w:rtl w:val="0"/>
          <w:lang w:val="it-IT"/>
        </w:rPr>
        <w:t>contenuto nelle informazioni poi fornite dall</w:t>
      </w:r>
      <w:r>
        <w:rPr>
          <w:rFonts w:hAnsi="Book Antiqua" w:hint="default"/>
          <w:color w:val="262626"/>
          <w:u w:color="163291"/>
          <w:rtl w:val="0"/>
          <w:lang w:val="it-IT"/>
        </w:rPr>
        <w:t>’</w:t>
      </w:r>
      <w:r>
        <w:rPr>
          <w:rFonts w:ascii="Book Antiqua"/>
          <w:color w:val="262626"/>
          <w:u w:color="163291"/>
          <w:rtl w:val="0"/>
          <w:lang w:val="it-IT"/>
        </w:rPr>
        <w:t>assessore regionale Buschini, di cui si dar</w:t>
      </w:r>
      <w:r>
        <w:rPr>
          <w:rFonts w:hAnsi="Book Antiqua" w:hint="default"/>
          <w:color w:val="262626"/>
          <w:u w:color="163291"/>
          <w:rtl w:val="0"/>
          <w:lang w:val="it-IT"/>
        </w:rPr>
        <w:t xml:space="preserve">à </w:t>
      </w:r>
      <w:r>
        <w:rPr>
          <w:rFonts w:ascii="Book Antiqua"/>
          <w:color w:val="262626"/>
          <w:u w:color="163291"/>
          <w:rtl w:val="0"/>
          <w:lang w:val="it-IT"/>
        </w:rPr>
        <w:t>conto immediatamente dopo):</w:t>
      </w:r>
    </w:p>
    <w:p>
      <w:pPr>
        <w:pStyle w:val="Normal"/>
        <w:ind w:left="567" w:right="567" w:firstLine="0"/>
        <w:jc w:val="both"/>
        <w:rPr>
          <w:rFonts w:ascii="Book Antiqua" w:cs="Book Antiqua" w:hAnsi="Book Antiqua" w:eastAsia="Book Antiqua"/>
          <w:color w:val="262626"/>
          <w:u w:color="163291"/>
        </w:rPr>
      </w:pPr>
    </w:p>
    <w:p>
      <w:pPr>
        <w:pStyle w:val="Normal"/>
        <w:ind w:left="567" w:right="567" w:firstLine="0"/>
        <w:jc w:val="both"/>
        <w:rPr>
          <w:rFonts w:ascii="Book Antiqua" w:cs="Book Antiqua" w:hAnsi="Book Antiqua" w:eastAsia="Book Antiqua"/>
          <w:i w:val="1"/>
          <w:iCs w:val="1"/>
          <w:color w:val="262626"/>
          <w:u w:color="163291"/>
        </w:rPr>
      </w:pPr>
      <w:r>
        <w:rPr>
          <w:rFonts w:hAnsi="Book Antiqua" w:hint="default"/>
          <w:color w:val="262626"/>
          <w:u w:color="163291"/>
          <w:rtl w:val="0"/>
          <w:lang w:val="it-IT"/>
        </w:rPr>
        <w:t>“</w:t>
      </w:r>
      <w:r>
        <w:rPr>
          <w:rFonts w:ascii="Book Antiqua"/>
          <w:i w:val="1"/>
          <w:iCs w:val="1"/>
          <w:color w:val="262626"/>
          <w:u w:color="163291"/>
          <w:rtl w:val="0"/>
          <w:lang w:val="it-IT"/>
        </w:rPr>
        <w:t>Determinazione del fabbisogno e aggiornamento del piano</w:t>
      </w:r>
    </w:p>
    <w:p>
      <w:pPr>
        <w:pStyle w:val="Normal"/>
        <w:widowControl w:val="0"/>
        <w:ind w:left="567" w:right="567" w:firstLine="0"/>
        <w:jc w:val="both"/>
        <w:rPr>
          <w:rFonts w:ascii="Book Antiqua" w:cs="Book Antiqua" w:hAnsi="Book Antiqua" w:eastAsia="Book Antiqua"/>
          <w:color w:val="262626"/>
          <w:u w:color="262626"/>
        </w:rPr>
      </w:pPr>
      <w:r>
        <w:rPr>
          <w:rFonts w:ascii="Book Antiqua"/>
          <w:color w:val="262626"/>
          <w:u w:color="262626"/>
          <w:rtl w:val="0"/>
          <w:lang w:val="it-IT"/>
        </w:rPr>
        <w:t>La regione Lazio ha recentemente approvato [il 26 aprile 2016] la nuova determinazione del fabbisogno [</w:t>
      </w:r>
      <w:r>
        <w:rPr>
          <w:rFonts w:hAnsi="Book Antiqua" w:hint="default"/>
          <w:color w:val="262626"/>
          <w:u w:color="262626"/>
          <w:rtl w:val="0"/>
          <w:lang w:val="it-IT"/>
        </w:rPr>
        <w:t>…</w:t>
      </w:r>
      <w:r>
        <w:rPr>
          <w:rFonts w:ascii="Book Antiqua"/>
          <w:color w:val="262626"/>
          <w:u w:color="262626"/>
          <w:rtl w:val="0"/>
          <w:lang w:val="it-IT"/>
        </w:rPr>
        <w:t>] In questo momento si sta attivando la procedura di valutazione di assoggettabilit</w:t>
      </w:r>
      <w:r>
        <w:rPr>
          <w:rFonts w:hAnsi="Book Antiqua" w:hint="default"/>
          <w:color w:val="262626"/>
          <w:u w:color="262626"/>
          <w:rtl w:val="0"/>
          <w:lang w:val="it-IT"/>
        </w:rPr>
        <w:t xml:space="preserve">à </w:t>
      </w:r>
      <w:r>
        <w:rPr>
          <w:rFonts w:ascii="Book Antiqua"/>
          <w:color w:val="262626"/>
          <w:u w:color="262626"/>
          <w:rtl w:val="0"/>
          <w:lang w:val="it-IT"/>
        </w:rPr>
        <w:t xml:space="preserve">di questo fabbisogno, al termine della quale, se l'esito </w:t>
      </w:r>
      <w:r>
        <w:rPr>
          <w:rFonts w:hAnsi="Book Antiqua" w:hint="default"/>
          <w:color w:val="262626"/>
          <w:u w:color="262626"/>
          <w:rtl w:val="0"/>
          <w:lang w:val="it-IT"/>
        </w:rPr>
        <w:t xml:space="preserve">è </w:t>
      </w:r>
      <w:r>
        <w:rPr>
          <w:rFonts w:ascii="Book Antiqua"/>
          <w:color w:val="262626"/>
          <w:u w:color="262626"/>
          <w:rtl w:val="0"/>
          <w:lang w:val="it-IT"/>
        </w:rPr>
        <w:t>favorevole, avremo la determinazione del fabbisogno e quindi la pianificazione corretta per poter procedere all'autorizzazione di nuovi impianti. Quindi con riferimento all'attuale situazione di Latina, da una parte c'</w:t>
      </w:r>
      <w:r>
        <w:rPr>
          <w:rFonts w:hAnsi="Book Antiqua" w:hint="default"/>
          <w:color w:val="262626"/>
          <w:u w:color="262626"/>
          <w:rtl w:val="0"/>
          <w:lang w:val="it-IT"/>
        </w:rPr>
        <w:t xml:space="preserve">è </w:t>
      </w:r>
      <w:r>
        <w:rPr>
          <w:rFonts w:ascii="Book Antiqua"/>
          <w:color w:val="262626"/>
          <w:u w:color="262626"/>
          <w:rtl w:val="0"/>
          <w:lang w:val="it-IT"/>
        </w:rPr>
        <w:t>una discarica esaurita e sequestrata per aver superato le quote finali autorizzate, dall'altra parte, c</w:t>
      </w:r>
      <w:r>
        <w:rPr>
          <w:rFonts w:hAnsi="Book Antiqua" w:hint="default"/>
          <w:color w:val="262626"/>
          <w:u w:color="262626"/>
          <w:rtl w:val="0"/>
          <w:lang w:val="it-IT"/>
        </w:rPr>
        <w:t>’è</w:t>
      </w:r>
      <w:r>
        <w:rPr>
          <w:rFonts w:ascii="Book Antiqua"/>
          <w:color w:val="262626"/>
          <w:u w:color="262626"/>
          <w:rtl w:val="0"/>
          <w:lang w:val="it-IT"/>
        </w:rPr>
        <w:t xml:space="preserve"> l'esaurimento e quindi un termine dei conferimenti, in attesa di valutazione di impatto ambientale legata al nuovo fabbisogno di cui stiamo redigendo la valutazione di assoggettabilit</w:t>
      </w:r>
      <w:r>
        <w:rPr>
          <w:rFonts w:hAnsi="Book Antiqua" w:hint="default"/>
          <w:color w:val="262626"/>
          <w:u w:color="262626"/>
          <w:rtl w:val="0"/>
          <w:lang w:val="it-IT"/>
        </w:rPr>
        <w:t>à</w:t>
      </w:r>
      <w:r>
        <w:rPr>
          <w:rFonts w:ascii="Book Antiqua"/>
          <w:color w:val="262626"/>
          <w:u w:color="262626"/>
          <w:rtl w:val="0"/>
          <w:lang w:val="it-IT"/>
        </w:rPr>
        <w:t xml:space="preserve">. </w:t>
      </w:r>
      <w:r>
        <w:rPr>
          <w:rFonts w:hAnsi="Book Antiqua" w:hint="default"/>
          <w:color w:val="262626"/>
          <w:u w:color="262626"/>
          <w:rtl w:val="0"/>
          <w:lang w:val="it-IT"/>
        </w:rPr>
        <w:t>  </w:t>
      </w:r>
    </w:p>
    <w:p>
      <w:pPr>
        <w:pStyle w:val="Normal"/>
        <w:widowControl w:val="0"/>
        <w:ind w:left="567" w:right="567" w:firstLine="0"/>
        <w:jc w:val="both"/>
        <w:rPr>
          <w:rFonts w:ascii="Book Antiqua" w:cs="Book Antiqua" w:hAnsi="Book Antiqua" w:eastAsia="Book Antiqua"/>
          <w:color w:val="262626"/>
          <w:u w:color="262626"/>
        </w:rPr>
      </w:pPr>
      <w:r>
        <w:rPr>
          <w:rFonts w:ascii="Book Antiqua"/>
          <w:color w:val="262626"/>
          <w:u w:color="262626"/>
          <w:rtl w:val="0"/>
          <w:lang w:val="it-IT"/>
        </w:rPr>
        <w:t>Contemporaneamente, abbiamo attivato le procedure per l</w:t>
      </w:r>
      <w:r>
        <w:rPr>
          <w:rFonts w:hAnsi="Book Antiqua" w:hint="default"/>
          <w:color w:val="262626"/>
          <w:u w:color="262626"/>
          <w:rtl w:val="0"/>
          <w:lang w:val="it-IT"/>
        </w:rPr>
        <w:t>’</w:t>
      </w:r>
      <w:r>
        <w:rPr>
          <w:rFonts w:ascii="Book Antiqua"/>
          <w:color w:val="262626"/>
          <w:u w:color="262626"/>
          <w:rtl w:val="0"/>
          <w:lang w:val="it-IT"/>
        </w:rPr>
        <w:t>aggiornamento del piano, con la consultazione delle province, di cui aspettiamo le risposte verosimilmente entro i primi di settembre. Questi sono i termini assegnati. Ricevuta tutta la documentazione, partir</w:t>
      </w:r>
      <w:r>
        <w:rPr>
          <w:rFonts w:hAnsi="Book Antiqua" w:hint="default"/>
          <w:color w:val="262626"/>
          <w:u w:color="262626"/>
          <w:rtl w:val="0"/>
          <w:lang w:val="it-IT"/>
        </w:rPr>
        <w:t xml:space="preserve">à </w:t>
      </w:r>
      <w:r>
        <w:rPr>
          <w:rFonts w:ascii="Book Antiqua"/>
          <w:color w:val="262626"/>
          <w:u w:color="262626"/>
          <w:rtl w:val="0"/>
          <w:lang w:val="it-IT"/>
        </w:rPr>
        <w:t>l'aggiornamento del piano [regionale]</w:t>
      </w:r>
    </w:p>
    <w:p>
      <w:pPr>
        <w:pStyle w:val="Normal"/>
        <w:widowControl w:val="0"/>
        <w:ind w:left="567" w:right="567" w:firstLine="0"/>
        <w:jc w:val="both"/>
        <w:rPr>
          <w:rFonts w:ascii="Book Antiqua" w:cs="Book Antiqua" w:hAnsi="Book Antiqua" w:eastAsia="Book Antiqua"/>
          <w:color w:val="262626"/>
          <w:u w:color="163291"/>
        </w:rPr>
      </w:pPr>
      <w:r>
        <w:rPr>
          <w:rFonts w:ascii="Book Antiqua"/>
          <w:color w:val="262626"/>
          <w:u w:color="262626"/>
          <w:rtl w:val="0"/>
          <w:lang w:val="it-IT"/>
        </w:rPr>
        <w:t>[</w:t>
      </w:r>
      <w:r>
        <w:rPr>
          <w:rFonts w:hAnsi="Book Antiqua" w:hint="default"/>
          <w:color w:val="262626"/>
          <w:u w:color="262626"/>
          <w:rtl w:val="0"/>
          <w:lang w:val="it-IT"/>
        </w:rPr>
        <w:t>…</w:t>
      </w:r>
      <w:r>
        <w:rPr>
          <w:rFonts w:ascii="Book Antiqua"/>
          <w:color w:val="262626"/>
          <w:u w:color="262626"/>
          <w:rtl w:val="0"/>
          <w:lang w:val="it-IT"/>
        </w:rPr>
        <w:t>]</w:t>
      </w:r>
      <w:r>
        <w:rPr>
          <w:rFonts w:ascii="Book Antiqua"/>
          <w:color w:val="262626"/>
          <w:u w:color="163291"/>
          <w:rtl w:val="0"/>
          <w:lang w:val="it-IT"/>
        </w:rPr>
        <w:t xml:space="preserve"> Nel 2012 </w:t>
      </w:r>
      <w:r>
        <w:rPr>
          <w:rFonts w:hAnsi="Book Antiqua" w:hint="default"/>
          <w:color w:val="262626"/>
          <w:u w:color="163291"/>
          <w:rtl w:val="0"/>
          <w:lang w:val="it-IT"/>
        </w:rPr>
        <w:t xml:space="preserve">è </w:t>
      </w:r>
      <w:r>
        <w:rPr>
          <w:rFonts w:ascii="Book Antiqua"/>
          <w:color w:val="262626"/>
          <w:u w:color="163291"/>
          <w:rtl w:val="0"/>
          <w:lang w:val="it-IT"/>
        </w:rPr>
        <w:t xml:space="preserve">stato approvato il piano. Il piano aveva un capitolo che si chiamava </w:t>
      </w:r>
      <w:r>
        <w:rPr>
          <w:rFonts w:hAnsi="Book Antiqua" w:hint="default"/>
          <w:color w:val="262626"/>
          <w:u w:color="163291"/>
          <w:rtl w:val="0"/>
          <w:lang w:val="it-IT"/>
        </w:rPr>
        <w:t>«</w:t>
      </w:r>
      <w:r>
        <w:rPr>
          <w:rFonts w:ascii="Book Antiqua"/>
          <w:color w:val="262626"/>
          <w:u w:color="163291"/>
          <w:rtl w:val="0"/>
          <w:lang w:val="it-IT"/>
        </w:rPr>
        <w:t>Scenari di controllo</w:t>
      </w:r>
      <w:r>
        <w:rPr>
          <w:rFonts w:hAnsi="Book Antiqua" w:hint="default"/>
          <w:color w:val="262626"/>
          <w:u w:color="163291"/>
          <w:rtl w:val="0"/>
          <w:lang w:val="it-IT"/>
        </w:rPr>
        <w:t>»</w:t>
      </w:r>
      <w:r>
        <w:rPr>
          <w:rFonts w:ascii="Book Antiqua"/>
          <w:color w:val="262626"/>
          <w:u w:color="163291"/>
          <w:rtl w:val="0"/>
          <w:lang w:val="it-IT"/>
        </w:rPr>
        <w:t xml:space="preserve">, che </w:t>
      </w:r>
      <w:r>
        <w:rPr>
          <w:rFonts w:hAnsi="Book Antiqua" w:hint="default"/>
          <w:color w:val="262626"/>
          <w:u w:color="163291"/>
          <w:rtl w:val="0"/>
          <w:lang w:val="it-IT"/>
        </w:rPr>
        <w:t xml:space="preserve">è </w:t>
      </w:r>
      <w:r>
        <w:rPr>
          <w:rFonts w:ascii="Book Antiqua"/>
          <w:color w:val="262626"/>
          <w:u w:color="163291"/>
          <w:rtl w:val="0"/>
          <w:lang w:val="it-IT"/>
        </w:rPr>
        <w:t>stato sospeso dal consiglio regionale perch</w:t>
      </w:r>
      <w:r>
        <w:rPr>
          <w:rFonts w:hAnsi="Book Antiqua" w:hint="default"/>
          <w:color w:val="262626"/>
          <w:u w:color="163291"/>
          <w:rtl w:val="0"/>
          <w:lang w:val="it-IT"/>
        </w:rPr>
        <w:t xml:space="preserve">é </w:t>
      </w:r>
      <w:r>
        <w:rPr>
          <w:rFonts w:ascii="Book Antiqua"/>
          <w:color w:val="262626"/>
          <w:u w:color="163291"/>
          <w:rtl w:val="0"/>
          <w:lang w:val="it-IT"/>
        </w:rPr>
        <w:t>era basato su presupposti [non coerenti] con la normativa europea. Pertanto questo scenario era stato sospeso ed era stato domandato di rideterminare lo scenario sulla base dei presupposti corretti, ossia, da una parte, il raggiungimento della raccolta differenziata al 65 per cento e, dall'altra, la diminuzione dei rifiuti. [</w:t>
      </w:r>
      <w:r>
        <w:rPr>
          <w:rFonts w:hAnsi="Book Antiqua" w:hint="default"/>
          <w:color w:val="262626"/>
          <w:u w:color="163291"/>
          <w:rtl w:val="0"/>
          <w:lang w:val="it-IT"/>
        </w:rPr>
        <w:t>…</w:t>
      </w:r>
      <w:r>
        <w:rPr>
          <w:rFonts w:ascii="Book Antiqua"/>
          <w:color w:val="262626"/>
          <w:u w:color="163291"/>
          <w:rtl w:val="0"/>
          <w:lang w:val="it-IT"/>
        </w:rPr>
        <w:t xml:space="preserve">] Il fabbisogno che </w:t>
      </w:r>
      <w:r>
        <w:rPr>
          <w:rFonts w:hAnsi="Book Antiqua" w:hint="default"/>
          <w:color w:val="262626"/>
          <w:u w:color="163291"/>
          <w:rtl w:val="0"/>
          <w:lang w:val="it-IT"/>
        </w:rPr>
        <w:t xml:space="preserve">è </w:t>
      </w:r>
      <w:r>
        <w:rPr>
          <w:rFonts w:ascii="Book Antiqua"/>
          <w:color w:val="262626"/>
          <w:u w:color="163291"/>
          <w:rtl w:val="0"/>
          <w:lang w:val="it-IT"/>
        </w:rPr>
        <w:t xml:space="preserve">stato approvato </w:t>
      </w:r>
      <w:r>
        <w:rPr>
          <w:rFonts w:hAnsi="Book Antiqua" w:hint="default"/>
          <w:color w:val="262626"/>
          <w:u w:color="163291"/>
          <w:rtl w:val="0"/>
          <w:lang w:val="it-IT"/>
        </w:rPr>
        <w:t xml:space="preserve">è </w:t>
      </w:r>
      <w:r>
        <w:rPr>
          <w:rFonts w:ascii="Book Antiqua"/>
          <w:color w:val="262626"/>
          <w:u w:color="163291"/>
          <w:rtl w:val="0"/>
          <w:lang w:val="it-IT"/>
        </w:rPr>
        <w:t>proprio quello che va a sostituire tale scenario, basato su nuovi criteri di diminuzione della produzione di rifiuti e di aumento della raccolta differenziata, che ha avuto gi</w:t>
      </w:r>
      <w:r>
        <w:rPr>
          <w:rFonts w:hAnsi="Book Antiqua" w:hint="default"/>
          <w:color w:val="262626"/>
          <w:u w:color="163291"/>
          <w:rtl w:val="0"/>
          <w:lang w:val="it-IT"/>
        </w:rPr>
        <w:t xml:space="preserve">à </w:t>
      </w:r>
      <w:r>
        <w:rPr>
          <w:rFonts w:ascii="Book Antiqua"/>
          <w:color w:val="262626"/>
          <w:u w:color="163291"/>
          <w:rtl w:val="0"/>
          <w:lang w:val="it-IT"/>
        </w:rPr>
        <w:t>un'evoluzione. Va quindi a sostituire quella parte, per quanto riguarda il fabbisogno, dopodich</w:t>
      </w:r>
      <w:r>
        <w:rPr>
          <w:rFonts w:hAnsi="Book Antiqua" w:hint="default"/>
          <w:color w:val="262626"/>
          <w:u w:color="163291"/>
          <w:rtl w:val="0"/>
          <w:lang w:val="it-IT"/>
        </w:rPr>
        <w:t xml:space="preserve">é </w:t>
      </w:r>
      <w:r>
        <w:rPr>
          <w:rFonts w:ascii="Book Antiqua"/>
          <w:color w:val="262626"/>
          <w:u w:color="163291"/>
          <w:rtl w:val="0"/>
          <w:lang w:val="it-IT"/>
        </w:rPr>
        <w:t>ci sar</w:t>
      </w:r>
      <w:r>
        <w:rPr>
          <w:rFonts w:hAnsi="Book Antiqua" w:hint="default"/>
          <w:color w:val="262626"/>
          <w:u w:color="163291"/>
          <w:rtl w:val="0"/>
          <w:lang w:val="it-IT"/>
        </w:rPr>
        <w:t xml:space="preserve">à </w:t>
      </w:r>
      <w:r>
        <w:rPr>
          <w:rFonts w:ascii="Book Antiqua"/>
          <w:color w:val="262626"/>
          <w:u w:color="163291"/>
          <w:rtl w:val="0"/>
          <w:lang w:val="it-IT"/>
        </w:rPr>
        <w:t xml:space="preserve">l'aggiornamento del piano. </w:t>
      </w:r>
    </w:p>
    <w:p>
      <w:pPr>
        <w:pStyle w:val="Normal"/>
        <w:widowControl w:val="0"/>
        <w:ind w:left="567" w:right="567" w:firstLine="0"/>
        <w:jc w:val="both"/>
        <w:rPr>
          <w:rFonts w:ascii="Book Antiqua" w:cs="Book Antiqua" w:hAnsi="Book Antiqua" w:eastAsia="Book Antiqua"/>
          <w:color w:val="262626"/>
          <w:u w:color="163291"/>
        </w:rPr>
      </w:pPr>
      <w:r>
        <w:rPr>
          <w:rFonts w:ascii="Book Antiqua"/>
          <w:color w:val="262626"/>
          <w:u w:color="163291"/>
          <w:rtl w:val="0"/>
          <w:lang w:val="it-IT"/>
        </w:rPr>
        <w:t xml:space="preserve">Rispetto alla precedente audizione che avete avuto con il presidente Zingaretti, non ci sono stati altri tipi di interlocuzione [tra comune e regione]. </w:t>
      </w:r>
    </w:p>
    <w:p>
      <w:pPr>
        <w:pStyle w:val="Normal"/>
        <w:widowControl w:val="0"/>
        <w:ind w:left="567" w:right="567" w:firstLine="0"/>
        <w:jc w:val="both"/>
        <w:rPr>
          <w:rFonts w:ascii="Book Antiqua" w:cs="Book Antiqua" w:hAnsi="Book Antiqua" w:eastAsia="Book Antiqua"/>
          <w:color w:val="262626"/>
          <w:u w:color="163291"/>
        </w:rPr>
      </w:pPr>
      <w:r>
        <w:rPr>
          <w:rFonts w:ascii="Book Antiqua"/>
          <w:color w:val="262626"/>
          <w:u w:color="163291"/>
          <w:rtl w:val="0"/>
          <w:lang w:val="it-IT"/>
        </w:rPr>
        <w:t>Nel frattempo, per</w:t>
      </w:r>
      <w:r>
        <w:rPr>
          <w:rFonts w:hAnsi="Book Antiqua" w:hint="default"/>
          <w:color w:val="262626"/>
          <w:u w:color="163291"/>
          <w:rtl w:val="0"/>
          <w:lang w:val="it-IT"/>
        </w:rPr>
        <w:t>ò</w:t>
      </w:r>
      <w:r>
        <w:rPr>
          <w:rFonts w:ascii="Book Antiqua"/>
          <w:color w:val="262626"/>
          <w:u w:color="163291"/>
          <w:rtl w:val="0"/>
          <w:lang w:val="it-IT"/>
        </w:rPr>
        <w:t>, abbiamo approvato il fabbisogno sulla base dei dati che ci ha fornito il comune di Roma. Abbiamo convocato [</w:t>
      </w:r>
      <w:r>
        <w:rPr>
          <w:rFonts w:hAnsi="Book Antiqua" w:hint="default"/>
          <w:color w:val="262626"/>
          <w:u w:color="163291"/>
          <w:rtl w:val="0"/>
          <w:lang w:val="it-IT"/>
        </w:rPr>
        <w:t>…</w:t>
      </w:r>
      <w:r>
        <w:rPr>
          <w:rFonts w:ascii="Book Antiqua"/>
          <w:color w:val="262626"/>
          <w:u w:color="163291"/>
          <w:rtl w:val="0"/>
          <w:lang w:val="it-IT"/>
        </w:rPr>
        <w:t>] l'ufficio del dipartimento del comune di Roma, che ha portato dei dati. Abbiamo quindi fatto uno sviluppo e una proiezione di ci</w:t>
      </w:r>
      <w:r>
        <w:rPr>
          <w:rFonts w:hAnsi="Book Antiqua" w:hint="default"/>
          <w:color w:val="262626"/>
          <w:u w:color="163291"/>
          <w:rtl w:val="0"/>
          <w:lang w:val="it-IT"/>
        </w:rPr>
        <w:t xml:space="preserve">ò </w:t>
      </w:r>
      <w:r>
        <w:rPr>
          <w:rFonts w:ascii="Book Antiqua"/>
          <w:color w:val="262626"/>
          <w:u w:color="163291"/>
          <w:rtl w:val="0"/>
          <w:lang w:val="it-IT"/>
        </w:rPr>
        <w:t xml:space="preserve">sulla base del programma che ha approvato il comune di Roma a settembre del 2015 per il futuro, ossia il contratto di AMA, con tutta una serie di ipotesi che loro hanno fatto. </w:t>
      </w:r>
    </w:p>
    <w:p>
      <w:pPr>
        <w:pStyle w:val="Normal"/>
        <w:widowControl w:val="0"/>
        <w:ind w:left="567" w:right="567" w:firstLine="0"/>
        <w:jc w:val="both"/>
        <w:rPr>
          <w:rFonts w:ascii="Book Antiqua" w:cs="Book Antiqua" w:hAnsi="Book Antiqua" w:eastAsia="Book Antiqua"/>
          <w:color w:val="262626"/>
          <w:u w:color="163291"/>
        </w:rPr>
      </w:pPr>
      <w:r>
        <w:rPr>
          <w:rFonts w:ascii="Book Antiqua"/>
          <w:color w:val="262626"/>
          <w:u w:color="163291"/>
          <w:rtl w:val="0"/>
          <w:lang w:val="it-IT"/>
        </w:rPr>
        <w:t xml:space="preserve">Sulla base di questo contratto e degli scenari approvati in quel contratto </w:t>
      </w:r>
      <w:r>
        <w:rPr>
          <w:rFonts w:hAnsi="Book Antiqua" w:hint="default"/>
          <w:color w:val="262626"/>
          <w:u w:color="163291"/>
          <w:rtl w:val="0"/>
          <w:lang w:val="it-IT"/>
        </w:rPr>
        <w:t xml:space="preserve">è </w:t>
      </w:r>
      <w:r>
        <w:rPr>
          <w:rFonts w:ascii="Book Antiqua"/>
          <w:color w:val="262626"/>
          <w:u w:color="163291"/>
          <w:rtl w:val="0"/>
          <w:lang w:val="it-IT"/>
        </w:rPr>
        <w:t xml:space="preserve">stata fatta questa valutazione. </w:t>
      </w:r>
      <w:r>
        <w:rPr>
          <w:rFonts w:hAnsi="Book Antiqua" w:hint="default"/>
          <w:color w:val="262626"/>
          <w:u w:color="163291"/>
          <w:rtl w:val="0"/>
          <w:lang w:val="it-IT"/>
        </w:rPr>
        <w:t>  </w:t>
      </w:r>
    </w:p>
    <w:p>
      <w:pPr>
        <w:pStyle w:val="Normal"/>
        <w:widowControl w:val="0"/>
        <w:ind w:left="567" w:right="567" w:firstLine="0"/>
        <w:jc w:val="both"/>
        <w:rPr>
          <w:rFonts w:ascii="Book Antiqua" w:cs="Book Antiqua" w:hAnsi="Book Antiqua" w:eastAsia="Book Antiqua"/>
          <w:color w:val="262626"/>
          <w:u w:color="163291"/>
        </w:rPr>
      </w:pPr>
      <w:r>
        <w:rPr>
          <w:rFonts w:ascii="Book Antiqua"/>
          <w:color w:val="262626"/>
          <w:u w:color="163291"/>
          <w:rtl w:val="0"/>
          <w:lang w:val="it-IT"/>
        </w:rPr>
        <w:t>[</w:t>
      </w:r>
      <w:r>
        <w:rPr>
          <w:rFonts w:hAnsi="Book Antiqua" w:hint="default"/>
          <w:color w:val="262626"/>
          <w:u w:color="163291"/>
          <w:rtl w:val="0"/>
          <w:lang w:val="it-IT"/>
        </w:rPr>
        <w:t>…</w:t>
      </w:r>
      <w:r>
        <w:rPr>
          <w:rFonts w:ascii="Book Antiqua"/>
          <w:color w:val="262626"/>
          <w:u w:color="163291"/>
          <w:rtl w:val="0"/>
          <w:lang w:val="it-IT"/>
        </w:rPr>
        <w:t xml:space="preserve">] Il fabbisogno in questo momento </w:t>
      </w:r>
      <w:r>
        <w:rPr>
          <w:rFonts w:hAnsi="Book Antiqua" w:hint="default"/>
          <w:color w:val="262626"/>
          <w:u w:color="163291"/>
          <w:rtl w:val="0"/>
          <w:lang w:val="it-IT"/>
        </w:rPr>
        <w:t xml:space="preserve">è </w:t>
      </w:r>
      <w:r>
        <w:rPr>
          <w:rFonts w:ascii="Book Antiqua"/>
          <w:color w:val="262626"/>
          <w:u w:color="163291"/>
          <w:rtl w:val="0"/>
          <w:lang w:val="it-IT"/>
        </w:rPr>
        <w:t>in una fase di assoggettabilit</w:t>
      </w:r>
      <w:r>
        <w:rPr>
          <w:rFonts w:hAnsi="Book Antiqua" w:hint="default"/>
          <w:color w:val="262626"/>
          <w:u w:color="163291"/>
          <w:rtl w:val="0"/>
          <w:lang w:val="it-IT"/>
        </w:rPr>
        <w:t xml:space="preserve">à </w:t>
      </w:r>
      <w:r>
        <w:rPr>
          <w:rFonts w:ascii="Book Antiqua"/>
          <w:color w:val="262626"/>
          <w:u w:color="163291"/>
          <w:rtl w:val="0"/>
          <w:lang w:val="it-IT"/>
        </w:rPr>
        <w:t xml:space="preserve">VAS e, quindi, </w:t>
      </w:r>
      <w:r>
        <w:rPr>
          <w:rFonts w:hAnsi="Book Antiqua" w:hint="default"/>
          <w:color w:val="262626"/>
          <w:u w:color="163291"/>
          <w:rtl w:val="0"/>
          <w:lang w:val="it-IT"/>
        </w:rPr>
        <w:t xml:space="preserve">è </w:t>
      </w:r>
      <w:r>
        <w:rPr>
          <w:rFonts w:ascii="Book Antiqua"/>
          <w:color w:val="262626"/>
          <w:u w:color="163291"/>
          <w:rtl w:val="0"/>
          <w:lang w:val="it-IT"/>
        </w:rPr>
        <w:t xml:space="preserve">in discussione. Contemporaneamente, abbiamo fatto partire le richieste per l'aggiornamento del piano, cosa a cui dovrebbe rispondere anche il comune di Roma, nei tempi possibili. Praticamente, il comune si </w:t>
      </w:r>
      <w:r>
        <w:rPr>
          <w:rFonts w:hAnsi="Book Antiqua" w:hint="default"/>
          <w:color w:val="262626"/>
          <w:u w:color="163291"/>
          <w:rtl w:val="0"/>
          <w:lang w:val="it-IT"/>
        </w:rPr>
        <w:t xml:space="preserve">è </w:t>
      </w:r>
      <w:r>
        <w:rPr>
          <w:rFonts w:ascii="Book Antiqua"/>
          <w:color w:val="262626"/>
          <w:u w:color="163291"/>
          <w:rtl w:val="0"/>
          <w:lang w:val="it-IT"/>
        </w:rPr>
        <w:t>appena insediato e quindi dovr</w:t>
      </w:r>
      <w:r>
        <w:rPr>
          <w:rFonts w:hAnsi="Book Antiqua" w:hint="default"/>
          <w:color w:val="262626"/>
          <w:u w:color="163291"/>
          <w:rtl w:val="0"/>
          <w:lang w:val="it-IT"/>
        </w:rPr>
        <w:t xml:space="preserve">à </w:t>
      </w:r>
      <w:r>
        <w:rPr>
          <w:rFonts w:ascii="Book Antiqua"/>
          <w:color w:val="262626"/>
          <w:u w:color="163291"/>
          <w:rtl w:val="0"/>
          <w:lang w:val="it-IT"/>
        </w:rPr>
        <w:t>verificarlo. Entro settembre, per</w:t>
      </w:r>
      <w:r>
        <w:rPr>
          <w:rFonts w:hAnsi="Book Antiqua" w:hint="default"/>
          <w:color w:val="262626"/>
          <w:u w:color="163291"/>
          <w:rtl w:val="0"/>
          <w:lang w:val="it-IT"/>
        </w:rPr>
        <w:t>ò</w:t>
      </w:r>
      <w:r>
        <w:rPr>
          <w:rFonts w:ascii="Book Antiqua"/>
          <w:color w:val="262626"/>
          <w:u w:color="163291"/>
          <w:rtl w:val="0"/>
          <w:lang w:val="it-IT"/>
        </w:rPr>
        <w:t>, aspettiamo una risposta da parte degli enti di area vasta, ossia province, citt</w:t>
      </w:r>
      <w:r>
        <w:rPr>
          <w:rFonts w:hAnsi="Book Antiqua" w:hint="default"/>
          <w:color w:val="262626"/>
          <w:u w:color="163291"/>
          <w:rtl w:val="0"/>
          <w:lang w:val="it-IT"/>
        </w:rPr>
        <w:t xml:space="preserve">à </w:t>
      </w:r>
      <w:r>
        <w:rPr>
          <w:rFonts w:ascii="Book Antiqua"/>
          <w:color w:val="262626"/>
          <w:u w:color="163291"/>
          <w:rtl w:val="0"/>
          <w:lang w:val="it-IT"/>
        </w:rPr>
        <w:t xml:space="preserve">metropolitana e Roma Capitale, proprio per andare a disegnare l'aggiornamento del piano. </w:t>
      </w:r>
      <w:r>
        <w:rPr>
          <w:rFonts w:hAnsi="Book Antiqua" w:hint="default"/>
          <w:color w:val="262626"/>
          <w:u w:color="163291"/>
          <w:rtl w:val="0"/>
          <w:lang w:val="it-IT"/>
        </w:rPr>
        <w:t>  </w:t>
      </w:r>
    </w:p>
    <w:p>
      <w:pPr>
        <w:pStyle w:val="Normal"/>
        <w:widowControl w:val="0"/>
        <w:ind w:left="567" w:right="567" w:firstLine="0"/>
        <w:jc w:val="both"/>
        <w:rPr>
          <w:rFonts w:ascii="Book Antiqua" w:cs="Book Antiqua" w:hAnsi="Book Antiqua" w:eastAsia="Book Antiqua"/>
          <w:color w:val="262626"/>
          <w:u w:color="163291"/>
        </w:rPr>
      </w:pPr>
      <w:r>
        <w:rPr>
          <w:rFonts w:ascii="Book Antiqua"/>
          <w:color w:val="262626"/>
          <w:u w:color="163291"/>
          <w:rtl w:val="0"/>
          <w:lang w:val="it-IT"/>
        </w:rPr>
        <w:t xml:space="preserve">Il fabbisogno </w:t>
      </w:r>
      <w:r>
        <w:rPr>
          <w:rFonts w:hAnsi="Book Antiqua" w:hint="default"/>
          <w:color w:val="262626"/>
          <w:u w:color="163291"/>
          <w:rtl w:val="0"/>
          <w:lang w:val="it-IT"/>
        </w:rPr>
        <w:t xml:space="preserve">è </w:t>
      </w:r>
      <w:r>
        <w:rPr>
          <w:rFonts w:ascii="Book Antiqua"/>
          <w:color w:val="262626"/>
          <w:u w:color="163291"/>
          <w:rtl w:val="0"/>
          <w:lang w:val="it-IT"/>
        </w:rPr>
        <w:t>una soluzione traghetto, transitoria, che ci permette di arrivare da oggi all'approvazione del nuovo piano, per poi sottoporlo successivamente a procedure di VAS e di AIA. Comunque sia, anche per gli impianti che vanno in AIA, nella migliore delle ipotesi passano due anni e mezzo. Il fabbisogno ci serve ad arrivare a due anni e mezzo, ovvero tre. Successivamente ci sar</w:t>
      </w:r>
      <w:r>
        <w:rPr>
          <w:rFonts w:hAnsi="Book Antiqua" w:hint="default"/>
          <w:color w:val="262626"/>
          <w:u w:color="163291"/>
          <w:rtl w:val="0"/>
          <w:lang w:val="it-IT"/>
        </w:rPr>
        <w:t xml:space="preserve">à </w:t>
      </w:r>
      <w:r>
        <w:rPr>
          <w:rFonts w:ascii="Book Antiqua"/>
          <w:color w:val="262626"/>
          <w:u w:color="163291"/>
          <w:rtl w:val="0"/>
          <w:lang w:val="it-IT"/>
        </w:rPr>
        <w:t>il nuovo piano che diventer</w:t>
      </w:r>
      <w:r>
        <w:rPr>
          <w:rFonts w:hAnsi="Book Antiqua" w:hint="default"/>
          <w:color w:val="262626"/>
          <w:u w:color="163291"/>
          <w:rtl w:val="0"/>
          <w:lang w:val="it-IT"/>
        </w:rPr>
        <w:t xml:space="preserve">à </w:t>
      </w:r>
      <w:r>
        <w:rPr>
          <w:rFonts w:ascii="Book Antiqua"/>
          <w:color w:val="262626"/>
          <w:u w:color="163291"/>
          <w:rtl w:val="0"/>
          <w:lang w:val="it-IT"/>
        </w:rPr>
        <w:t>operativo.</w:t>
      </w:r>
    </w:p>
    <w:p>
      <w:pPr>
        <w:pStyle w:val="Normal"/>
        <w:widowControl w:val="0"/>
        <w:ind w:left="567" w:right="567" w:firstLine="0"/>
        <w:jc w:val="both"/>
        <w:rPr>
          <w:rFonts w:ascii="Book Antiqua" w:cs="Book Antiqua" w:hAnsi="Book Antiqua" w:eastAsia="Book Antiqua"/>
          <w:color w:val="262626"/>
          <w:u w:color="163291"/>
        </w:rPr>
      </w:pPr>
      <w:r>
        <w:rPr>
          <w:rFonts w:ascii="Book Antiqua"/>
          <w:color w:val="262626"/>
          <w:u w:color="163291"/>
          <w:rtl w:val="0"/>
          <w:lang w:val="it-IT"/>
        </w:rPr>
        <w:t xml:space="preserve">[Rispetto alla </w:t>
      </w:r>
      <w:r>
        <w:rPr>
          <w:rFonts w:ascii="Book Antiqua"/>
          <w:i w:val="1"/>
          <w:iCs w:val="1"/>
          <w:color w:val="262626"/>
          <w:u w:color="163291"/>
          <w:rtl w:val="0"/>
          <w:lang w:val="it-IT"/>
        </w:rPr>
        <w:t>governance</w:t>
      </w:r>
      <w:r>
        <w:rPr>
          <w:rFonts w:ascii="Book Antiqua"/>
          <w:color w:val="262626"/>
          <w:u w:color="163291"/>
          <w:rtl w:val="0"/>
          <w:lang w:val="it-IT"/>
        </w:rPr>
        <w:t>, ossia ATO unico o non] l'aggiornamento del piano va ad agire effettivamente su quella che sar</w:t>
      </w:r>
      <w:r>
        <w:rPr>
          <w:rFonts w:hAnsi="Book Antiqua" w:hint="default"/>
          <w:color w:val="262626"/>
          <w:u w:color="163291"/>
          <w:rtl w:val="0"/>
          <w:lang w:val="it-IT"/>
        </w:rPr>
        <w:t xml:space="preserve">à </w:t>
      </w:r>
      <w:r>
        <w:rPr>
          <w:rFonts w:ascii="Book Antiqua"/>
          <w:color w:val="262626"/>
          <w:u w:color="163291"/>
          <w:rtl w:val="0"/>
          <w:lang w:val="it-IT"/>
        </w:rPr>
        <w:t>l'organizzazione dei rifiuti. Individuare la sufficienza a livello regionale e provinciale ed effettuare, eventualmente, degli ambiti di raccolta, sono aspetti previsti nell'aggiornamento del piano. Aspettiamo queste prime informazioni da parte degli enti di area vasta e Roma per settembre e pensiamo di riuscire a redigere un programma per la fine dell'anno, dopodich</w:t>
      </w:r>
      <w:r>
        <w:rPr>
          <w:rFonts w:hAnsi="Book Antiqua" w:hint="default"/>
          <w:color w:val="262626"/>
          <w:u w:color="163291"/>
          <w:rtl w:val="0"/>
          <w:lang w:val="it-IT"/>
        </w:rPr>
        <w:t xml:space="preserve">é </w:t>
      </w:r>
      <w:r>
        <w:rPr>
          <w:rFonts w:ascii="Book Antiqua"/>
          <w:color w:val="262626"/>
          <w:u w:color="163291"/>
          <w:rtl w:val="0"/>
          <w:lang w:val="it-IT"/>
        </w:rPr>
        <w:t>si aprir</w:t>
      </w:r>
      <w:r>
        <w:rPr>
          <w:rFonts w:hAnsi="Book Antiqua" w:hint="default"/>
          <w:color w:val="262626"/>
          <w:u w:color="163291"/>
          <w:rtl w:val="0"/>
          <w:lang w:val="it-IT"/>
        </w:rPr>
        <w:t xml:space="preserve">à </w:t>
      </w:r>
      <w:r>
        <w:rPr>
          <w:rFonts w:ascii="Book Antiqua"/>
          <w:color w:val="262626"/>
          <w:u w:color="163291"/>
          <w:rtl w:val="0"/>
          <w:lang w:val="it-IT"/>
        </w:rPr>
        <w:t xml:space="preserve">la procedura di consultazione. Premetto che tutto questo lavoro </w:t>
      </w:r>
      <w:r>
        <w:rPr>
          <w:rFonts w:hAnsi="Book Antiqua" w:hint="default"/>
          <w:color w:val="262626"/>
          <w:u w:color="163291"/>
          <w:rtl w:val="0"/>
          <w:lang w:val="it-IT"/>
        </w:rPr>
        <w:t xml:space="preserve">è </w:t>
      </w:r>
      <w:r>
        <w:rPr>
          <w:rFonts w:ascii="Book Antiqua"/>
          <w:color w:val="262626"/>
          <w:u w:color="163291"/>
          <w:rtl w:val="0"/>
          <w:lang w:val="it-IT"/>
        </w:rPr>
        <w:t>stato fatto perch</w:t>
      </w:r>
      <w:r>
        <w:rPr>
          <w:rFonts w:hAnsi="Book Antiqua" w:hint="default"/>
          <w:color w:val="262626"/>
          <w:u w:color="163291"/>
          <w:rtl w:val="0"/>
          <w:lang w:val="it-IT"/>
        </w:rPr>
        <w:t xml:space="preserve">é </w:t>
      </w:r>
      <w:r>
        <w:rPr>
          <w:rFonts w:ascii="Book Antiqua"/>
          <w:color w:val="262626"/>
          <w:u w:color="163291"/>
          <w:rtl w:val="0"/>
          <w:lang w:val="it-IT"/>
        </w:rPr>
        <w:t xml:space="preserve">eravamo anche in procedura di infrazione. </w:t>
      </w:r>
    </w:p>
    <w:p>
      <w:pPr>
        <w:pStyle w:val="Normal"/>
        <w:widowControl w:val="0"/>
        <w:ind w:left="567" w:right="567" w:firstLine="0"/>
        <w:jc w:val="both"/>
        <w:rPr>
          <w:rFonts w:ascii="Book Antiqua" w:cs="Book Antiqua" w:hAnsi="Book Antiqua" w:eastAsia="Book Antiqua"/>
          <w:i w:val="1"/>
          <w:iCs w:val="1"/>
          <w:color w:val="262626"/>
          <w:u w:color="163291"/>
        </w:rPr>
      </w:pPr>
      <w:r>
        <w:rPr>
          <w:rFonts w:ascii="Book Antiqua"/>
          <w:i w:val="1"/>
          <w:iCs w:val="1"/>
          <w:color w:val="262626"/>
          <w:u w:color="163291"/>
          <w:rtl w:val="0"/>
          <w:lang w:val="it-IT"/>
        </w:rPr>
        <w:t>La situazione impiantistica</w:t>
      </w:r>
    </w:p>
    <w:p>
      <w:pPr>
        <w:pStyle w:val="Normal"/>
        <w:widowControl w:val="0"/>
        <w:ind w:left="567" w:right="567" w:firstLine="0"/>
        <w:jc w:val="both"/>
        <w:rPr>
          <w:rFonts w:ascii="Book Antiqua" w:cs="Book Antiqua" w:hAnsi="Book Antiqua" w:eastAsia="Book Antiqua"/>
          <w:color w:val="262626"/>
          <w:u w:color="163291"/>
        </w:rPr>
      </w:pPr>
      <w:r>
        <w:rPr>
          <w:rFonts w:ascii="Book Antiqua"/>
          <w:color w:val="262626"/>
          <w:u w:color="163291"/>
          <w:rtl w:val="0"/>
          <w:lang w:val="it-IT"/>
        </w:rPr>
        <w:t xml:space="preserve"> [</w:t>
      </w:r>
      <w:r>
        <w:rPr>
          <w:rFonts w:hAnsi="Book Antiqua" w:hint="default"/>
          <w:color w:val="262626"/>
          <w:u w:color="163291"/>
          <w:rtl w:val="0"/>
          <w:lang w:val="it-IT"/>
        </w:rPr>
        <w:t>…</w:t>
      </w:r>
      <w:r>
        <w:rPr>
          <w:rFonts w:ascii="Book Antiqua"/>
          <w:color w:val="262626"/>
          <w:u w:color="163291"/>
          <w:rtl w:val="0"/>
          <w:lang w:val="it-IT"/>
        </w:rPr>
        <w:t xml:space="preserve">] In questo momento le discariche in esercizio sono veramente poche: sono rimaste Viterbo, Colleferro e la discarica a servizio dell'ATO di Frosinone. Civitavecchia </w:t>
      </w:r>
      <w:r>
        <w:rPr>
          <w:rFonts w:hAnsi="Book Antiqua" w:hint="default"/>
          <w:color w:val="262626"/>
          <w:u w:color="163291"/>
          <w:rtl w:val="0"/>
          <w:lang w:val="it-IT"/>
        </w:rPr>
        <w:t xml:space="preserve">è </w:t>
      </w:r>
      <w:r>
        <w:rPr>
          <w:rFonts w:ascii="Book Antiqua"/>
          <w:color w:val="262626"/>
          <w:u w:color="163291"/>
          <w:rtl w:val="0"/>
          <w:lang w:val="it-IT"/>
        </w:rPr>
        <w:t xml:space="preserve">ferma per altre problematiche. Non ci sono altre discariche. </w:t>
      </w:r>
      <w:r>
        <w:rPr>
          <w:rFonts w:hAnsi="Book Antiqua" w:hint="default"/>
          <w:color w:val="262626"/>
          <w:u w:color="163291"/>
          <w:rtl w:val="0"/>
          <w:lang w:val="it-IT"/>
        </w:rPr>
        <w:t>  </w:t>
      </w:r>
    </w:p>
    <w:p>
      <w:pPr>
        <w:pStyle w:val="Normal"/>
        <w:widowControl w:val="0"/>
        <w:ind w:left="567" w:right="567" w:firstLine="0"/>
        <w:jc w:val="both"/>
        <w:rPr>
          <w:rFonts w:ascii="Book Antiqua" w:cs="Book Antiqua" w:hAnsi="Book Antiqua" w:eastAsia="Book Antiqua"/>
          <w:color w:val="262626"/>
          <w:u w:color="163291"/>
        </w:rPr>
      </w:pPr>
      <w:r>
        <w:rPr>
          <w:rFonts w:ascii="Book Antiqua"/>
          <w:color w:val="262626"/>
          <w:u w:color="163291"/>
          <w:rtl w:val="0"/>
          <w:lang w:val="it-IT"/>
        </w:rPr>
        <w:t>In pi</w:t>
      </w:r>
      <w:r>
        <w:rPr>
          <w:rFonts w:hAnsi="Book Antiqua" w:hint="default"/>
          <w:color w:val="262626"/>
          <w:u w:color="163291"/>
          <w:rtl w:val="0"/>
          <w:lang w:val="it-IT"/>
        </w:rPr>
        <w:t>ù</w:t>
      </w:r>
      <w:r>
        <w:rPr>
          <w:rFonts w:ascii="Book Antiqua"/>
          <w:color w:val="262626"/>
          <w:u w:color="163291"/>
          <w:rtl w:val="0"/>
          <w:lang w:val="it-IT"/>
        </w:rPr>
        <w:t>, c'</w:t>
      </w:r>
      <w:r>
        <w:rPr>
          <w:rFonts w:hAnsi="Book Antiqua" w:hint="default"/>
          <w:color w:val="262626"/>
          <w:u w:color="163291"/>
          <w:rtl w:val="0"/>
          <w:lang w:val="it-IT"/>
        </w:rPr>
        <w:t xml:space="preserve">è </w:t>
      </w:r>
      <w:r>
        <w:rPr>
          <w:rFonts w:ascii="Book Antiqua"/>
          <w:color w:val="262626"/>
          <w:u w:color="163291"/>
          <w:rtl w:val="0"/>
          <w:lang w:val="it-IT"/>
        </w:rPr>
        <w:t>Latina [Borgo Montello], che praticamente ha presentato degli ampliamenti [...] Sono in procedura di VIA e sono ferme in attesa del fabbisogno, lo strumento di pianificazione che permette eventuali implementi. Al momento questi non sono previsti perch</w:t>
      </w:r>
      <w:r>
        <w:rPr>
          <w:rFonts w:hAnsi="Book Antiqua" w:hint="default"/>
          <w:color w:val="262626"/>
          <w:u w:color="163291"/>
          <w:rtl w:val="0"/>
          <w:lang w:val="it-IT"/>
        </w:rPr>
        <w:t xml:space="preserve">é </w:t>
      </w:r>
      <w:r>
        <w:rPr>
          <w:rFonts w:ascii="Book Antiqua"/>
          <w:color w:val="262626"/>
          <w:u w:color="163291"/>
          <w:rtl w:val="0"/>
          <w:lang w:val="it-IT"/>
        </w:rPr>
        <w:t xml:space="preserve">il nostro strumento di pianificazione </w:t>
      </w:r>
      <w:r>
        <w:rPr>
          <w:rFonts w:hAnsi="Book Antiqua" w:hint="default"/>
          <w:color w:val="262626"/>
          <w:u w:color="163291"/>
          <w:rtl w:val="0"/>
          <w:lang w:val="it-IT"/>
        </w:rPr>
        <w:t xml:space="preserve">è </w:t>
      </w:r>
      <w:r>
        <w:rPr>
          <w:rFonts w:ascii="Book Antiqua"/>
          <w:color w:val="262626"/>
          <w:u w:color="163291"/>
          <w:rtl w:val="0"/>
          <w:lang w:val="it-IT"/>
        </w:rPr>
        <w:t>rimasto un po</w:t>
      </w:r>
      <w:r>
        <w:rPr>
          <w:rFonts w:hAnsi="Book Antiqua" w:hint="default"/>
          <w:color w:val="262626"/>
          <w:u w:color="163291"/>
          <w:rtl w:val="0"/>
          <w:lang w:val="it-IT"/>
        </w:rPr>
        <w:t xml:space="preserve">’ </w:t>
      </w:r>
      <w:r>
        <w:rPr>
          <w:rFonts w:ascii="Book Antiqua"/>
          <w:color w:val="262626"/>
          <w:u w:color="163291"/>
          <w:rtl w:val="0"/>
          <w:lang w:val="it-IT"/>
        </w:rPr>
        <w:t>indietro. Con questo strumento approvato adesso dovremmo riuscire a sbloccare la situazione.</w:t>
      </w:r>
    </w:p>
    <w:p>
      <w:pPr>
        <w:pStyle w:val="Normal"/>
        <w:widowControl w:val="0"/>
        <w:ind w:left="567" w:right="567" w:firstLine="0"/>
        <w:jc w:val="both"/>
        <w:rPr>
          <w:rFonts w:ascii="Book Antiqua" w:cs="Book Antiqua" w:hAnsi="Book Antiqua" w:eastAsia="Book Antiqua"/>
          <w:color w:val="262626"/>
          <w:u w:color="163291"/>
        </w:rPr>
      </w:pPr>
      <w:r>
        <w:rPr>
          <w:rFonts w:ascii="Book Antiqua"/>
          <w:color w:val="262626"/>
          <w:u w:color="163291"/>
          <w:rtl w:val="0"/>
          <w:lang w:val="it-IT"/>
        </w:rPr>
        <w:t>[</w:t>
      </w:r>
      <w:r>
        <w:rPr>
          <w:rFonts w:hAnsi="Book Antiqua" w:hint="default"/>
          <w:color w:val="262626"/>
          <w:u w:color="163291"/>
          <w:rtl w:val="0"/>
          <w:lang w:val="it-IT"/>
        </w:rPr>
        <w:t>…</w:t>
      </w:r>
      <w:r>
        <w:rPr>
          <w:rFonts w:ascii="Book Antiqua"/>
          <w:color w:val="262626"/>
          <w:u w:color="163291"/>
          <w:rtl w:val="0"/>
          <w:lang w:val="it-IT"/>
        </w:rPr>
        <w:t xml:space="preserve">]  </w:t>
      </w:r>
      <w:r>
        <w:rPr>
          <w:rFonts w:hAnsi="Book Antiqua" w:hint="default"/>
          <w:color w:val="262626"/>
          <w:u w:color="163291"/>
          <w:rtl w:val="0"/>
          <w:lang w:val="it-IT"/>
        </w:rPr>
        <w:t xml:space="preserve">È </w:t>
      </w:r>
      <w:r>
        <w:rPr>
          <w:rFonts w:ascii="Book Antiqua"/>
          <w:color w:val="262626"/>
          <w:u w:color="163291"/>
          <w:rtl w:val="0"/>
          <w:lang w:val="it-IT"/>
        </w:rPr>
        <w:t>in procedura di valutazione di assoggettabilit</w:t>
      </w:r>
      <w:r>
        <w:rPr>
          <w:rFonts w:hAnsi="Book Antiqua" w:hint="default"/>
          <w:color w:val="262626"/>
          <w:u w:color="163291"/>
          <w:rtl w:val="0"/>
          <w:lang w:val="it-IT"/>
        </w:rPr>
        <w:t>à</w:t>
      </w:r>
      <w:r>
        <w:rPr>
          <w:rFonts w:ascii="Book Antiqua"/>
          <w:color w:val="262626"/>
          <w:u w:color="163291"/>
          <w:rtl w:val="0"/>
          <w:lang w:val="it-IT"/>
        </w:rPr>
        <w:t>. Terminata questa fase si pu</w:t>
      </w:r>
      <w:r>
        <w:rPr>
          <w:rFonts w:hAnsi="Book Antiqua" w:hint="default"/>
          <w:color w:val="262626"/>
          <w:u w:color="163291"/>
          <w:rtl w:val="0"/>
          <w:lang w:val="it-IT"/>
        </w:rPr>
        <w:t xml:space="preserve">ò </w:t>
      </w:r>
      <w:r>
        <w:rPr>
          <w:rFonts w:ascii="Book Antiqua"/>
          <w:color w:val="262626"/>
          <w:u w:color="163291"/>
          <w:rtl w:val="0"/>
          <w:lang w:val="it-IT"/>
        </w:rPr>
        <w:t xml:space="preserve">procedere, ma questa fase </w:t>
      </w:r>
      <w:r>
        <w:rPr>
          <w:rFonts w:hAnsi="Book Antiqua" w:hint="default"/>
          <w:color w:val="262626"/>
          <w:u w:color="163291"/>
          <w:rtl w:val="0"/>
          <w:lang w:val="it-IT"/>
        </w:rPr>
        <w:t xml:space="preserve">è </w:t>
      </w:r>
      <w:r>
        <w:rPr>
          <w:rFonts w:ascii="Book Antiqua"/>
          <w:color w:val="262626"/>
          <w:u w:color="163291"/>
          <w:rtl w:val="0"/>
          <w:lang w:val="it-IT"/>
        </w:rPr>
        <w:t>limitata soltanto a uno scenario di tre anni perch</w:t>
      </w:r>
      <w:r>
        <w:rPr>
          <w:rFonts w:hAnsi="Book Antiqua" w:hint="default"/>
          <w:color w:val="262626"/>
          <w:u w:color="163291"/>
          <w:rtl w:val="0"/>
          <w:lang w:val="it-IT"/>
        </w:rPr>
        <w:t xml:space="preserve">é </w:t>
      </w:r>
      <w:r>
        <w:rPr>
          <w:rFonts w:ascii="Book Antiqua"/>
          <w:color w:val="262626"/>
          <w:u w:color="163291"/>
          <w:rtl w:val="0"/>
          <w:lang w:val="it-IT"/>
        </w:rPr>
        <w:t xml:space="preserve">poi l'aggiornamento del piano vero e proprio </w:t>
      </w:r>
      <w:r>
        <w:rPr>
          <w:rFonts w:hAnsi="Book Antiqua" w:hint="default"/>
          <w:color w:val="262626"/>
          <w:u w:color="163291"/>
          <w:rtl w:val="0"/>
          <w:lang w:val="it-IT"/>
        </w:rPr>
        <w:t xml:space="preserve">è </w:t>
      </w:r>
      <w:r>
        <w:rPr>
          <w:rFonts w:ascii="Book Antiqua"/>
          <w:color w:val="262626"/>
          <w:u w:color="163291"/>
          <w:rtl w:val="0"/>
          <w:lang w:val="it-IT"/>
        </w:rPr>
        <w:t>quello che permetter</w:t>
      </w:r>
      <w:r>
        <w:rPr>
          <w:rFonts w:hAnsi="Book Antiqua" w:hint="default"/>
          <w:color w:val="262626"/>
          <w:u w:color="163291"/>
          <w:rtl w:val="0"/>
          <w:lang w:val="it-IT"/>
        </w:rPr>
        <w:t xml:space="preserve">à </w:t>
      </w:r>
      <w:r>
        <w:rPr>
          <w:rFonts w:ascii="Book Antiqua"/>
          <w:color w:val="262626"/>
          <w:u w:color="163291"/>
          <w:rtl w:val="0"/>
          <w:lang w:val="it-IT"/>
        </w:rPr>
        <w:t>di superare la situazione e di fare una pianificazione corretta: il vecchio piano era 2012-2017.</w:t>
      </w:r>
    </w:p>
    <w:p>
      <w:pPr>
        <w:pStyle w:val="Normal"/>
        <w:widowControl w:val="0"/>
        <w:ind w:left="567" w:right="567" w:firstLine="0"/>
        <w:jc w:val="both"/>
        <w:rPr>
          <w:rFonts w:ascii="Book Antiqua" w:cs="Book Antiqua" w:hAnsi="Book Antiqua" w:eastAsia="Book Antiqua"/>
          <w:color w:val="262626"/>
          <w:u w:color="163291"/>
        </w:rPr>
      </w:pPr>
      <w:r>
        <w:rPr>
          <w:rFonts w:ascii="Book Antiqua"/>
          <w:color w:val="262626"/>
          <w:u w:color="163291"/>
          <w:rtl w:val="0"/>
          <w:lang w:val="it-IT"/>
        </w:rPr>
        <w:t xml:space="preserve">Per quanto concerne l'istanza di AMA, riguarda esclusivamente un impianto di compostaggio a Rocca Cencia. L'unica istanza effettivamente presentata </w:t>
      </w:r>
      <w:r>
        <w:rPr>
          <w:rFonts w:hAnsi="Book Antiqua" w:hint="default"/>
          <w:color w:val="262626"/>
          <w:u w:color="163291"/>
          <w:rtl w:val="0"/>
          <w:lang w:val="it-IT"/>
        </w:rPr>
        <w:t xml:space="preserve">è </w:t>
      </w:r>
      <w:r>
        <w:rPr>
          <w:rFonts w:ascii="Book Antiqua"/>
          <w:color w:val="262626"/>
          <w:u w:color="163291"/>
          <w:rtl w:val="0"/>
          <w:lang w:val="it-IT"/>
        </w:rPr>
        <w:t>questa [</w:t>
      </w:r>
      <w:r>
        <w:rPr>
          <w:rFonts w:hAnsi="Book Antiqua" w:hint="default"/>
          <w:color w:val="262626"/>
          <w:u w:color="163291"/>
          <w:rtl w:val="0"/>
          <w:lang w:val="it-IT"/>
        </w:rPr>
        <w:t>…</w:t>
      </w:r>
      <w:r>
        <w:rPr>
          <w:rFonts w:ascii="Book Antiqua"/>
          <w:color w:val="262626"/>
          <w:u w:color="163291"/>
          <w:rtl w:val="0"/>
          <w:lang w:val="it-IT"/>
        </w:rPr>
        <w:t xml:space="preserve">] In effetti </w:t>
      </w:r>
      <w:r>
        <w:rPr>
          <w:rFonts w:hAnsi="Book Antiqua" w:hint="default"/>
          <w:color w:val="262626"/>
          <w:u w:color="163291"/>
          <w:rtl w:val="0"/>
          <w:lang w:val="it-IT"/>
        </w:rPr>
        <w:t xml:space="preserve">è </w:t>
      </w:r>
      <w:r>
        <w:rPr>
          <w:rFonts w:ascii="Book Antiqua"/>
          <w:color w:val="262626"/>
          <w:u w:color="163291"/>
          <w:rtl w:val="0"/>
          <w:lang w:val="it-IT"/>
        </w:rPr>
        <w:t>gi</w:t>
      </w:r>
      <w:r>
        <w:rPr>
          <w:rFonts w:hAnsi="Book Antiqua" w:hint="default"/>
          <w:color w:val="262626"/>
          <w:u w:color="163291"/>
          <w:rtl w:val="0"/>
          <w:lang w:val="it-IT"/>
        </w:rPr>
        <w:t xml:space="preserve">à </w:t>
      </w:r>
      <w:r>
        <w:rPr>
          <w:rFonts w:ascii="Book Antiqua"/>
          <w:color w:val="262626"/>
          <w:u w:color="163291"/>
          <w:rtl w:val="0"/>
          <w:lang w:val="it-IT"/>
        </w:rPr>
        <w:t>stata presentata l'anno scorso. Purtroppo, l'ufficio VIA aveva dei ritardi. Adesso abbiamo cercato di ripartire pi</w:t>
      </w:r>
      <w:r>
        <w:rPr>
          <w:rFonts w:hAnsi="Book Antiqua" w:hint="default"/>
          <w:color w:val="262626"/>
          <w:u w:color="163291"/>
          <w:rtl w:val="0"/>
          <w:lang w:val="it-IT"/>
        </w:rPr>
        <w:t xml:space="preserve">ù </w:t>
      </w:r>
      <w:r>
        <w:rPr>
          <w:rFonts w:ascii="Book Antiqua"/>
          <w:color w:val="262626"/>
          <w:u w:color="163291"/>
          <w:rtl w:val="0"/>
          <w:lang w:val="it-IT"/>
        </w:rPr>
        <w:t xml:space="preserve">velocemente, ma l'unica istanza presentata </w:t>
      </w:r>
      <w:r>
        <w:rPr>
          <w:rFonts w:hAnsi="Book Antiqua" w:hint="default"/>
          <w:color w:val="262626"/>
          <w:u w:color="163291"/>
          <w:rtl w:val="0"/>
          <w:lang w:val="it-IT"/>
        </w:rPr>
        <w:t xml:space="preserve">è </w:t>
      </w:r>
      <w:r>
        <w:rPr>
          <w:rFonts w:ascii="Book Antiqua"/>
          <w:color w:val="262626"/>
          <w:u w:color="163291"/>
          <w:rtl w:val="0"/>
          <w:lang w:val="it-IT"/>
        </w:rPr>
        <w:t>un impianto di compostaggio da 30.000 tonnellate a Rocca Cencia: non c'</w:t>
      </w:r>
      <w:r>
        <w:rPr>
          <w:rFonts w:hAnsi="Book Antiqua" w:hint="default"/>
          <w:color w:val="262626"/>
          <w:u w:color="163291"/>
          <w:rtl w:val="0"/>
          <w:lang w:val="it-IT"/>
        </w:rPr>
        <w:t xml:space="preserve">è </w:t>
      </w:r>
      <w:r>
        <w:rPr>
          <w:rFonts w:ascii="Book Antiqua"/>
          <w:color w:val="262626"/>
          <w:u w:color="163291"/>
          <w:rtl w:val="0"/>
          <w:lang w:val="it-IT"/>
        </w:rPr>
        <w:t>altro.</w:t>
      </w:r>
    </w:p>
    <w:p>
      <w:pPr>
        <w:pStyle w:val="Normal"/>
        <w:widowControl w:val="0"/>
        <w:ind w:left="567" w:right="567" w:firstLine="0"/>
        <w:jc w:val="both"/>
        <w:rPr>
          <w:rFonts w:ascii="Book Antiqua" w:cs="Book Antiqua" w:hAnsi="Book Antiqua" w:eastAsia="Book Antiqua"/>
          <w:color w:val="262626"/>
          <w:u w:color="163291"/>
        </w:rPr>
      </w:pPr>
      <w:r>
        <w:rPr>
          <w:rFonts w:ascii="Book Antiqua"/>
          <w:color w:val="262626"/>
          <w:u w:color="163291"/>
          <w:rtl w:val="0"/>
          <w:lang w:val="it-IT"/>
        </w:rPr>
        <w:t>[</w:t>
      </w:r>
      <w:r>
        <w:rPr>
          <w:rFonts w:hAnsi="Book Antiqua" w:hint="default"/>
          <w:color w:val="262626"/>
          <w:u w:color="163291"/>
          <w:rtl w:val="0"/>
          <w:lang w:val="it-IT"/>
        </w:rPr>
        <w:t>…</w:t>
      </w:r>
      <w:r>
        <w:rPr>
          <w:rFonts w:ascii="Book Antiqua"/>
          <w:color w:val="262626"/>
          <w:u w:color="163291"/>
          <w:rtl w:val="0"/>
          <w:lang w:val="it-IT"/>
        </w:rPr>
        <w:t>] Ci sono anche altri impianti di compostaggio e di produzione di biogas fermi alla VIA, ma saranno affrontati a breve. Abbiamo iniziato a riconvocare le conferenze, quindi credo che a breve si inizino a rilasciare o a negare. Qualunque sia la risposta, ci saranno delle risposte: o positive o negative, ma ci saranno.</w:t>
      </w:r>
    </w:p>
    <w:p>
      <w:pPr>
        <w:pStyle w:val="Normal"/>
        <w:widowControl w:val="0"/>
        <w:ind w:left="567" w:right="567" w:firstLine="0"/>
        <w:jc w:val="both"/>
        <w:rPr>
          <w:rFonts w:ascii="Book Antiqua" w:cs="Book Antiqua" w:hAnsi="Book Antiqua" w:eastAsia="Book Antiqua"/>
          <w:color w:val="262626"/>
          <w:u w:color="163291"/>
        </w:rPr>
      </w:pPr>
      <w:r>
        <w:rPr>
          <w:rFonts w:ascii="Book Antiqua"/>
          <w:color w:val="262626"/>
          <w:u w:color="163291"/>
          <w:rtl w:val="0"/>
          <w:lang w:val="it-IT"/>
        </w:rPr>
        <w:t>Per quanto riguarda, invece, il TMB di Pontina c'</w:t>
      </w:r>
      <w:r>
        <w:rPr>
          <w:rFonts w:hAnsi="Book Antiqua" w:hint="default"/>
          <w:color w:val="262626"/>
          <w:u w:color="163291"/>
          <w:rtl w:val="0"/>
          <w:lang w:val="it-IT"/>
        </w:rPr>
        <w:t xml:space="preserve">è </w:t>
      </w:r>
      <w:r>
        <w:rPr>
          <w:rFonts w:ascii="Book Antiqua"/>
          <w:color w:val="262626"/>
          <w:u w:color="163291"/>
          <w:rtl w:val="0"/>
          <w:lang w:val="it-IT"/>
        </w:rPr>
        <w:t xml:space="preserve">stato un incendio il 30 giugno [2016] scoppiato intorno alle 19.30. A me la prima telefonata </w:t>
      </w:r>
      <w:r>
        <w:rPr>
          <w:rFonts w:hAnsi="Book Antiqua" w:hint="default"/>
          <w:color w:val="262626"/>
          <w:u w:color="163291"/>
          <w:rtl w:val="0"/>
          <w:lang w:val="it-IT"/>
        </w:rPr>
        <w:t xml:space="preserve">è </w:t>
      </w:r>
      <w:r>
        <w:rPr>
          <w:rFonts w:ascii="Book Antiqua"/>
          <w:color w:val="262626"/>
          <w:u w:color="163291"/>
          <w:rtl w:val="0"/>
          <w:lang w:val="it-IT"/>
        </w:rPr>
        <w:t>arrivata intorno alle 20.10  [</w:t>
      </w:r>
      <w:r>
        <w:rPr>
          <w:rFonts w:hAnsi="Book Antiqua" w:hint="default"/>
          <w:color w:val="262626"/>
          <w:u w:color="163291"/>
          <w:rtl w:val="0"/>
          <w:lang w:val="it-IT"/>
        </w:rPr>
        <w:t>…</w:t>
      </w:r>
      <w:r>
        <w:rPr>
          <w:rFonts w:ascii="Book Antiqua"/>
          <w:color w:val="262626"/>
          <w:u w:color="163291"/>
          <w:rtl w:val="0"/>
          <w:lang w:val="it-IT"/>
        </w:rPr>
        <w:t>] Questo fatto ha determinato, da una parte, un'attenzione riferita agli aspetti ambientali dell'incendio vero e proprio. Con l'ARPA abbiamo predisposto una serie di monitoraggi immediati sulle centraline fisse che erano gi</w:t>
      </w:r>
      <w:r>
        <w:rPr>
          <w:rFonts w:hAnsi="Book Antiqua" w:hint="default"/>
          <w:color w:val="262626"/>
          <w:u w:color="163291"/>
          <w:rtl w:val="0"/>
          <w:lang w:val="it-IT"/>
        </w:rPr>
        <w:t xml:space="preserve">à </w:t>
      </w:r>
      <w:r>
        <w:rPr>
          <w:rFonts w:ascii="Book Antiqua"/>
          <w:color w:val="262626"/>
          <w:u w:color="163291"/>
          <w:rtl w:val="0"/>
          <w:lang w:val="it-IT"/>
        </w:rPr>
        <w:t xml:space="preserve">disponibili nell'intorno </w:t>
      </w:r>
      <w:r>
        <w:rPr>
          <w:rFonts w:hAnsi="Book Antiqua" w:hint="default"/>
          <w:color w:val="262626"/>
          <w:u w:color="163291"/>
          <w:rtl w:val="0"/>
          <w:lang w:val="it-IT"/>
        </w:rPr>
        <w:t xml:space="preserve">– </w:t>
      </w:r>
      <w:r>
        <w:rPr>
          <w:rFonts w:ascii="Book Antiqua"/>
          <w:color w:val="262626"/>
          <w:u w:color="163291"/>
          <w:rtl w:val="0"/>
          <w:lang w:val="it-IT"/>
        </w:rPr>
        <w:t>per vedere se si leggevano gi</w:t>
      </w:r>
      <w:r>
        <w:rPr>
          <w:rFonts w:hAnsi="Book Antiqua" w:hint="default"/>
          <w:color w:val="262626"/>
          <w:u w:color="163291"/>
          <w:rtl w:val="0"/>
          <w:lang w:val="it-IT"/>
        </w:rPr>
        <w:t xml:space="preserve">à </w:t>
      </w:r>
      <w:r>
        <w:rPr>
          <w:rFonts w:ascii="Book Antiqua"/>
          <w:color w:val="262626"/>
          <w:u w:color="163291"/>
          <w:rtl w:val="0"/>
          <w:lang w:val="it-IT"/>
        </w:rPr>
        <w:t xml:space="preserve">variazioni sulla rete fissa </w:t>
      </w:r>
      <w:r>
        <w:rPr>
          <w:rFonts w:hAnsi="Book Antiqua" w:hint="default"/>
          <w:color w:val="262626"/>
          <w:u w:color="163291"/>
          <w:rtl w:val="0"/>
          <w:lang w:val="it-IT"/>
        </w:rPr>
        <w:t xml:space="preserve">– </w:t>
      </w:r>
      <w:r>
        <w:rPr>
          <w:rFonts w:ascii="Book Antiqua"/>
          <w:color w:val="262626"/>
          <w:u w:color="163291"/>
          <w:rtl w:val="0"/>
          <w:lang w:val="it-IT"/>
        </w:rPr>
        <w:t xml:space="preserve">e poi anche con una centralina mobile, che </w:t>
      </w:r>
      <w:r>
        <w:rPr>
          <w:rFonts w:hAnsi="Book Antiqua" w:hint="default"/>
          <w:color w:val="262626"/>
          <w:u w:color="163291"/>
          <w:rtl w:val="0"/>
          <w:lang w:val="it-IT"/>
        </w:rPr>
        <w:t xml:space="preserve">è </w:t>
      </w:r>
      <w:r>
        <w:rPr>
          <w:rFonts w:ascii="Book Antiqua"/>
          <w:color w:val="262626"/>
          <w:u w:color="163291"/>
          <w:rtl w:val="0"/>
          <w:lang w:val="it-IT"/>
        </w:rPr>
        <w:t xml:space="preserve">stata messa successivamente. </w:t>
      </w:r>
    </w:p>
    <w:p>
      <w:pPr>
        <w:pStyle w:val="Normal"/>
        <w:widowControl w:val="0"/>
        <w:ind w:left="567" w:right="567" w:firstLine="0"/>
        <w:jc w:val="both"/>
        <w:rPr>
          <w:rFonts w:ascii="Book Antiqua" w:cs="Book Antiqua" w:hAnsi="Book Antiqua" w:eastAsia="Book Antiqua"/>
          <w:color w:val="262626"/>
          <w:u w:color="163291"/>
        </w:rPr>
      </w:pPr>
      <w:r>
        <w:rPr>
          <w:rFonts w:ascii="Book Antiqua"/>
          <w:color w:val="262626"/>
          <w:u w:color="163291"/>
          <w:rtl w:val="0"/>
          <w:lang w:val="it-IT"/>
        </w:rPr>
        <w:t xml:space="preserve">Proprio oggi, insieme con l'ARPA, abbiamo fatto una riunione dalla quale non risultano superamenti su questi aspetti. </w:t>
      </w:r>
    </w:p>
    <w:p>
      <w:pPr>
        <w:pStyle w:val="Normal"/>
        <w:widowControl w:val="0"/>
        <w:ind w:left="567" w:right="567" w:firstLine="0"/>
        <w:jc w:val="both"/>
        <w:rPr>
          <w:rFonts w:ascii="Book Antiqua" w:cs="Book Antiqua" w:hAnsi="Book Antiqua" w:eastAsia="Book Antiqua"/>
          <w:color w:val="262626"/>
          <w:u w:color="163291"/>
        </w:rPr>
      </w:pPr>
      <w:r>
        <w:rPr>
          <w:rFonts w:ascii="Book Antiqua"/>
          <w:color w:val="262626"/>
          <w:u w:color="163291"/>
          <w:rtl w:val="0"/>
          <w:lang w:val="it-IT"/>
        </w:rPr>
        <w:t xml:space="preserve">L'ASL ha fatto fare dei campionamenti su alcune tipologie di ortaggi </w:t>
      </w:r>
      <w:r>
        <w:rPr>
          <w:rFonts w:hAnsi="Book Antiqua" w:hint="default"/>
          <w:color w:val="262626"/>
          <w:u w:color="163291"/>
          <w:rtl w:val="0"/>
          <w:lang w:val="it-IT"/>
        </w:rPr>
        <w:t xml:space="preserve">– </w:t>
      </w:r>
      <w:r>
        <w:rPr>
          <w:rFonts w:ascii="Book Antiqua"/>
          <w:color w:val="262626"/>
          <w:u w:color="163291"/>
          <w:rtl w:val="0"/>
          <w:lang w:val="it-IT"/>
        </w:rPr>
        <w:t>quelli a foglie larghe, pi</w:t>
      </w:r>
      <w:r>
        <w:rPr>
          <w:rFonts w:hAnsi="Book Antiqua" w:hint="default"/>
          <w:color w:val="262626"/>
          <w:u w:color="163291"/>
          <w:rtl w:val="0"/>
          <w:lang w:val="it-IT"/>
        </w:rPr>
        <w:t xml:space="preserve">ù </w:t>
      </w:r>
      <w:r>
        <w:rPr>
          <w:rFonts w:ascii="Book Antiqua"/>
          <w:color w:val="262626"/>
          <w:u w:color="163291"/>
          <w:rtl w:val="0"/>
          <w:lang w:val="it-IT"/>
        </w:rPr>
        <w:t xml:space="preserve">sensibili alla contaminazione </w:t>
      </w:r>
      <w:r>
        <w:rPr>
          <w:rFonts w:hAnsi="Book Antiqua" w:hint="default"/>
          <w:color w:val="262626"/>
          <w:u w:color="163291"/>
          <w:rtl w:val="0"/>
          <w:lang w:val="it-IT"/>
        </w:rPr>
        <w:t xml:space="preserve">– </w:t>
      </w:r>
      <w:r>
        <w:rPr>
          <w:rFonts w:ascii="Book Antiqua"/>
          <w:color w:val="262626"/>
          <w:u w:color="163291"/>
          <w:rtl w:val="0"/>
          <w:lang w:val="it-IT"/>
        </w:rPr>
        <w:t xml:space="preserve">e siamo in attesa delle analisi. </w:t>
      </w:r>
    </w:p>
    <w:p>
      <w:pPr>
        <w:pStyle w:val="Normal"/>
        <w:widowControl w:val="0"/>
        <w:ind w:left="567" w:right="567" w:firstLine="0"/>
        <w:jc w:val="both"/>
        <w:rPr>
          <w:rFonts w:ascii="Book Antiqua" w:cs="Book Antiqua" w:hAnsi="Book Antiqua" w:eastAsia="Book Antiqua"/>
          <w:color w:val="262626"/>
          <w:u w:color="163291"/>
        </w:rPr>
      </w:pPr>
      <w:r>
        <w:rPr>
          <w:rFonts w:ascii="Book Antiqua"/>
          <w:color w:val="262626"/>
          <w:u w:color="163291"/>
          <w:rtl w:val="0"/>
          <w:lang w:val="it-IT"/>
        </w:rPr>
        <w:t>[</w:t>
      </w:r>
      <w:r>
        <w:rPr>
          <w:rFonts w:hAnsi="Book Antiqua" w:hint="default"/>
          <w:color w:val="262626"/>
          <w:u w:color="163291"/>
          <w:rtl w:val="0"/>
          <w:lang w:val="it-IT"/>
        </w:rPr>
        <w:t>…</w:t>
      </w:r>
      <w:r>
        <w:rPr>
          <w:rFonts w:ascii="Book Antiqua"/>
          <w:color w:val="262626"/>
          <w:u w:color="163291"/>
          <w:rtl w:val="0"/>
          <w:lang w:val="it-IT"/>
        </w:rPr>
        <w:t>] I comuni che destinavano i propri rifiuti a quell'impianto erano 15, ossia quelli dei Colli, pi</w:t>
      </w:r>
      <w:r>
        <w:rPr>
          <w:rFonts w:hAnsi="Book Antiqua" w:hint="default"/>
          <w:color w:val="262626"/>
          <w:u w:color="163291"/>
          <w:rtl w:val="0"/>
          <w:lang w:val="it-IT"/>
        </w:rPr>
        <w:t xml:space="preserve">ù </w:t>
      </w:r>
      <w:r>
        <w:rPr>
          <w:rFonts w:ascii="Book Antiqua"/>
          <w:color w:val="262626"/>
          <w:u w:color="163291"/>
          <w:rtl w:val="0"/>
          <w:lang w:val="it-IT"/>
        </w:rPr>
        <w:t>alcuni che venivano dalla Valle dell</w:t>
      </w:r>
      <w:r>
        <w:rPr>
          <w:rFonts w:hAnsi="Book Antiqua" w:hint="default"/>
          <w:color w:val="262626"/>
          <w:u w:color="163291"/>
          <w:rtl w:val="0"/>
          <w:lang w:val="it-IT"/>
        </w:rPr>
        <w:t>’</w:t>
      </w:r>
      <w:r>
        <w:rPr>
          <w:rFonts w:ascii="Book Antiqua"/>
          <w:color w:val="262626"/>
          <w:u w:color="163291"/>
          <w:rtl w:val="0"/>
          <w:lang w:val="it-IT"/>
        </w:rPr>
        <w:t>Aniene, come Monterotondo, Monteflavio e altri comuni dall'altra parte.</w:t>
      </w:r>
    </w:p>
    <w:p>
      <w:pPr>
        <w:pStyle w:val="Normal"/>
        <w:widowControl w:val="0"/>
        <w:ind w:left="567" w:right="567" w:firstLine="0"/>
        <w:jc w:val="both"/>
        <w:rPr>
          <w:rFonts w:ascii="Book Antiqua" w:cs="Book Antiqua" w:hAnsi="Book Antiqua" w:eastAsia="Book Antiqua"/>
          <w:color w:val="262626"/>
          <w:u w:color="163291"/>
        </w:rPr>
      </w:pPr>
      <w:r>
        <w:rPr>
          <w:rFonts w:ascii="Book Antiqua"/>
          <w:color w:val="262626"/>
          <w:u w:color="163291"/>
          <w:rtl w:val="0"/>
          <w:lang w:val="it-IT"/>
        </w:rPr>
        <w:t>[</w:t>
      </w:r>
      <w:r>
        <w:rPr>
          <w:rFonts w:hAnsi="Book Antiqua" w:hint="default"/>
          <w:color w:val="262626"/>
          <w:u w:color="163291"/>
          <w:rtl w:val="0"/>
          <w:lang w:val="it-IT"/>
        </w:rPr>
        <w:t>…</w:t>
      </w:r>
      <w:r>
        <w:rPr>
          <w:rFonts w:ascii="Book Antiqua"/>
          <w:color w:val="262626"/>
          <w:u w:color="163291"/>
          <w:rtl w:val="0"/>
          <w:lang w:val="it-IT"/>
        </w:rPr>
        <w:t>] Noi disponibilit</w:t>
      </w:r>
      <w:r>
        <w:rPr>
          <w:rFonts w:hAnsi="Book Antiqua" w:hint="default"/>
          <w:color w:val="262626"/>
          <w:u w:color="163291"/>
          <w:rtl w:val="0"/>
          <w:lang w:val="it-IT"/>
        </w:rPr>
        <w:t xml:space="preserve">à </w:t>
      </w:r>
      <w:r>
        <w:rPr>
          <w:rFonts w:ascii="Book Antiqua"/>
          <w:color w:val="262626"/>
          <w:u w:color="163291"/>
          <w:rtl w:val="0"/>
          <w:lang w:val="it-IT"/>
        </w:rPr>
        <w:t>residua l'avevamo, ragion per cui sono stati dirottati nell'immediato sui due impianti di Viterbo e Rida, un impianto che si trova vicino ad Aprilia, per riuscire a garantire nell'immediato il trattamento dei rifiuti e non lasciare emergenze, posto che era un venerd</w:t>
      </w:r>
      <w:r>
        <w:rPr>
          <w:rFonts w:hAnsi="Book Antiqua" w:hint="default"/>
          <w:color w:val="262626"/>
          <w:u w:color="163291"/>
          <w:rtl w:val="0"/>
          <w:lang w:val="it-IT"/>
        </w:rPr>
        <w:t xml:space="preserve">ì </w:t>
      </w:r>
      <w:r>
        <w:rPr>
          <w:rFonts w:ascii="Book Antiqua"/>
          <w:color w:val="262626"/>
          <w:u w:color="163291"/>
          <w:rtl w:val="0"/>
          <w:lang w:val="it-IT"/>
        </w:rPr>
        <w:t>(il sabato e domenica, poi, avrebbero dato ulteriori problemi). Successivamente sono state fornite ai comuni tutte le informazioni corrette per individuare il nuovo impianto di riferimento. Pertanto sono stati messi a disposizione tutti gli impianti esistenti sul territorio della regione Lazio in modo che, contattando questi impianti, i comuni hanno trovato la nuova destinazione. [</w:t>
      </w:r>
      <w:r>
        <w:rPr>
          <w:rFonts w:hAnsi="Book Antiqua" w:hint="default"/>
          <w:color w:val="262626"/>
          <w:u w:color="163291"/>
          <w:rtl w:val="0"/>
          <w:lang w:val="it-IT"/>
        </w:rPr>
        <w:t>…</w:t>
      </w:r>
      <w:r>
        <w:rPr>
          <w:rFonts w:ascii="Book Antiqua"/>
          <w:color w:val="262626"/>
          <w:u w:color="163291"/>
          <w:rtl w:val="0"/>
          <w:lang w:val="it-IT"/>
        </w:rPr>
        <w:t>] Alcuni sono gi</w:t>
      </w:r>
      <w:r>
        <w:rPr>
          <w:rFonts w:hAnsi="Book Antiqua" w:hint="default"/>
          <w:color w:val="262626"/>
          <w:u w:color="163291"/>
          <w:rtl w:val="0"/>
          <w:lang w:val="it-IT"/>
        </w:rPr>
        <w:t xml:space="preserve">à </w:t>
      </w:r>
      <w:r>
        <w:rPr>
          <w:rFonts w:ascii="Book Antiqua"/>
          <w:color w:val="262626"/>
          <w:u w:color="163291"/>
          <w:rtl w:val="0"/>
          <w:lang w:val="it-IT"/>
        </w:rPr>
        <w:t>sistemati negli impianti pi</w:t>
      </w:r>
      <w:r>
        <w:rPr>
          <w:rFonts w:hAnsi="Book Antiqua" w:hint="default"/>
          <w:color w:val="262626"/>
          <w:u w:color="163291"/>
          <w:rtl w:val="0"/>
          <w:lang w:val="it-IT"/>
        </w:rPr>
        <w:t xml:space="preserve">ù </w:t>
      </w:r>
      <w:r>
        <w:rPr>
          <w:rFonts w:ascii="Book Antiqua"/>
          <w:color w:val="262626"/>
          <w:u w:color="163291"/>
          <w:rtl w:val="0"/>
          <w:lang w:val="it-IT"/>
        </w:rPr>
        <w:t xml:space="preserve">vicini; gli altri stanno finendo di effettuare le procedure di affidamento. Il problema che si </w:t>
      </w:r>
      <w:r>
        <w:rPr>
          <w:rFonts w:hAnsi="Book Antiqua" w:hint="default"/>
          <w:color w:val="262626"/>
          <w:u w:color="163291"/>
          <w:rtl w:val="0"/>
          <w:lang w:val="it-IT"/>
        </w:rPr>
        <w:t xml:space="preserve">è </w:t>
      </w:r>
      <w:r>
        <w:rPr>
          <w:rFonts w:ascii="Book Antiqua"/>
          <w:color w:val="262626"/>
          <w:u w:color="163291"/>
          <w:rtl w:val="0"/>
          <w:lang w:val="it-IT"/>
        </w:rPr>
        <w:t xml:space="preserve">verificato </w:t>
      </w:r>
      <w:r>
        <w:rPr>
          <w:rFonts w:hAnsi="Book Antiqua" w:hint="default"/>
          <w:color w:val="262626"/>
          <w:u w:color="163291"/>
          <w:rtl w:val="0"/>
          <w:lang w:val="it-IT"/>
        </w:rPr>
        <w:t xml:space="preserve">è </w:t>
      </w:r>
      <w:r>
        <w:rPr>
          <w:rFonts w:ascii="Book Antiqua"/>
          <w:color w:val="262626"/>
          <w:u w:color="163291"/>
          <w:rtl w:val="0"/>
          <w:lang w:val="it-IT"/>
        </w:rPr>
        <w:t>stato legato fondamentalmente alle uscite dei flussi di sottovaglio e sopravaglio degli impianti TMB perch</w:t>
      </w:r>
      <w:r>
        <w:rPr>
          <w:rFonts w:hAnsi="Book Antiqua" w:hint="default"/>
          <w:color w:val="262626"/>
          <w:u w:color="163291"/>
          <w:rtl w:val="0"/>
          <w:lang w:val="it-IT"/>
        </w:rPr>
        <w:t xml:space="preserve">é </w:t>
      </w:r>
      <w:r>
        <w:rPr>
          <w:rFonts w:ascii="Book Antiqua"/>
          <w:color w:val="262626"/>
          <w:u w:color="163291"/>
          <w:rtl w:val="0"/>
          <w:lang w:val="it-IT"/>
        </w:rPr>
        <w:t xml:space="preserve">si sono dovuti affrontare quantitativi che non erano nei loro contratti e nelle loro previsioni. Gli sbocchi che aveva Pontina Ambiente precedentemente sono stati dirottati sugli altri impianti che sono subentrati. In questo modo si </w:t>
      </w:r>
      <w:r>
        <w:rPr>
          <w:rFonts w:hAnsi="Book Antiqua" w:hint="default"/>
          <w:color w:val="262626"/>
          <w:u w:color="163291"/>
          <w:rtl w:val="0"/>
          <w:lang w:val="it-IT"/>
        </w:rPr>
        <w:t xml:space="preserve">è </w:t>
      </w:r>
      <w:r>
        <w:rPr>
          <w:rFonts w:ascii="Book Antiqua"/>
          <w:color w:val="262626"/>
          <w:u w:color="163291"/>
          <w:rtl w:val="0"/>
          <w:lang w:val="it-IT"/>
        </w:rPr>
        <w:t>ripartito il trattamento. Il disagio c'</w:t>
      </w:r>
      <w:r>
        <w:rPr>
          <w:rFonts w:hAnsi="Book Antiqua" w:hint="default"/>
          <w:color w:val="262626"/>
          <w:u w:color="163291"/>
          <w:rtl w:val="0"/>
          <w:lang w:val="it-IT"/>
        </w:rPr>
        <w:t xml:space="preserve">è </w:t>
      </w:r>
      <w:r>
        <w:rPr>
          <w:rFonts w:ascii="Book Antiqua"/>
          <w:color w:val="262626"/>
          <w:u w:color="163291"/>
          <w:rtl w:val="0"/>
          <w:lang w:val="it-IT"/>
        </w:rPr>
        <w:t>solamente per alcuni comuni, i quali si trovano, loro malgrado, a dover affrontare pi</w:t>
      </w:r>
      <w:r>
        <w:rPr>
          <w:rFonts w:hAnsi="Book Antiqua" w:hint="default"/>
          <w:color w:val="262626"/>
          <w:u w:color="163291"/>
          <w:rtl w:val="0"/>
          <w:lang w:val="it-IT"/>
        </w:rPr>
        <w:t xml:space="preserve">ù </w:t>
      </w:r>
      <w:r>
        <w:rPr>
          <w:rFonts w:ascii="Book Antiqua"/>
          <w:color w:val="262626"/>
          <w:u w:color="163291"/>
          <w:rtl w:val="0"/>
          <w:lang w:val="it-IT"/>
        </w:rPr>
        <w:t xml:space="preserve">chilometri per arrivare all'impianto disponibile, che </w:t>
      </w:r>
      <w:r>
        <w:rPr>
          <w:rFonts w:hAnsi="Book Antiqua" w:hint="default"/>
          <w:color w:val="262626"/>
          <w:u w:color="163291"/>
          <w:rtl w:val="0"/>
          <w:lang w:val="it-IT"/>
        </w:rPr>
        <w:t xml:space="preserve">è </w:t>
      </w:r>
      <w:r>
        <w:rPr>
          <w:rFonts w:ascii="Book Antiqua"/>
          <w:color w:val="262626"/>
          <w:u w:color="163291"/>
          <w:rtl w:val="0"/>
          <w:lang w:val="it-IT"/>
        </w:rPr>
        <w:t>un po</w:t>
      </w:r>
      <w:r>
        <w:rPr>
          <w:rFonts w:hAnsi="Book Antiqua" w:hint="default"/>
          <w:color w:val="262626"/>
          <w:u w:color="163291"/>
          <w:rtl w:val="0"/>
          <w:lang w:val="it-IT"/>
        </w:rPr>
        <w:t xml:space="preserve">’ </w:t>
      </w:r>
      <w:r>
        <w:rPr>
          <w:rFonts w:ascii="Book Antiqua"/>
          <w:color w:val="262626"/>
          <w:u w:color="163291"/>
          <w:rtl w:val="0"/>
          <w:lang w:val="it-IT"/>
        </w:rPr>
        <w:t>distante. La capacit</w:t>
      </w:r>
      <w:r>
        <w:rPr>
          <w:rFonts w:hAnsi="Book Antiqua" w:hint="default"/>
          <w:color w:val="262626"/>
          <w:u w:color="163291"/>
          <w:rtl w:val="0"/>
          <w:lang w:val="it-IT"/>
        </w:rPr>
        <w:t xml:space="preserve">à </w:t>
      </w:r>
      <w:r>
        <w:rPr>
          <w:rFonts w:ascii="Book Antiqua"/>
          <w:color w:val="262626"/>
          <w:u w:color="163291"/>
          <w:rtl w:val="0"/>
          <w:lang w:val="it-IT"/>
        </w:rPr>
        <w:t xml:space="preserve">di trattamento l'abbiamo, ma non </w:t>
      </w:r>
      <w:r>
        <w:rPr>
          <w:rFonts w:hAnsi="Book Antiqua" w:hint="default"/>
          <w:color w:val="262626"/>
          <w:u w:color="163291"/>
          <w:rtl w:val="0"/>
          <w:lang w:val="it-IT"/>
        </w:rPr>
        <w:t xml:space="preserve">è </w:t>
      </w:r>
      <w:r>
        <w:rPr>
          <w:rFonts w:ascii="Book Antiqua"/>
          <w:color w:val="262626"/>
          <w:u w:color="163291"/>
          <w:rtl w:val="0"/>
          <w:lang w:val="it-IT"/>
        </w:rPr>
        <w:t>dislocata nelle zone limitrofe ai comuni. [Sulla natura eventualmente dolosa dell</w:t>
      </w:r>
      <w:r>
        <w:rPr>
          <w:rFonts w:hAnsi="Book Antiqua" w:hint="default"/>
          <w:color w:val="262626"/>
          <w:u w:color="163291"/>
          <w:rtl w:val="0"/>
          <w:lang w:val="it-IT"/>
        </w:rPr>
        <w:t>’</w:t>
      </w:r>
      <w:r>
        <w:rPr>
          <w:rFonts w:ascii="Book Antiqua"/>
          <w:color w:val="262626"/>
          <w:u w:color="163291"/>
          <w:rtl w:val="0"/>
          <w:lang w:val="it-IT"/>
        </w:rPr>
        <w:t xml:space="preserve">incendio] al momento non ci sono notizie. Tra l'altro, l'impianto </w:t>
      </w:r>
      <w:r>
        <w:rPr>
          <w:rFonts w:hAnsi="Book Antiqua" w:hint="default"/>
          <w:color w:val="262626"/>
          <w:u w:color="163291"/>
          <w:rtl w:val="0"/>
          <w:lang w:val="it-IT"/>
        </w:rPr>
        <w:t xml:space="preserve">è </w:t>
      </w:r>
      <w:r>
        <w:rPr>
          <w:rFonts w:ascii="Book Antiqua"/>
          <w:color w:val="262626"/>
          <w:u w:color="163291"/>
          <w:rtl w:val="0"/>
          <w:lang w:val="it-IT"/>
        </w:rPr>
        <w:t>stato sottoposto a sequestro dall'autorit</w:t>
      </w:r>
      <w:r>
        <w:rPr>
          <w:rFonts w:hAnsi="Book Antiqua" w:hint="default"/>
          <w:color w:val="262626"/>
          <w:u w:color="163291"/>
          <w:rtl w:val="0"/>
          <w:lang w:val="it-IT"/>
        </w:rPr>
        <w:t xml:space="preserve">à </w:t>
      </w:r>
      <w:r>
        <w:rPr>
          <w:rFonts w:ascii="Book Antiqua"/>
          <w:color w:val="262626"/>
          <w:u w:color="163291"/>
          <w:rtl w:val="0"/>
          <w:lang w:val="it-IT"/>
        </w:rPr>
        <w:t>giudiziaria [</w:t>
      </w:r>
      <w:r>
        <w:rPr>
          <w:rFonts w:hAnsi="Book Antiqua" w:hint="default"/>
          <w:color w:val="262626"/>
          <w:u w:color="163291"/>
          <w:rtl w:val="0"/>
          <w:lang w:val="it-IT"/>
        </w:rPr>
        <w:t>…</w:t>
      </w:r>
      <w:r>
        <w:rPr>
          <w:rFonts w:ascii="Book Antiqua"/>
          <w:color w:val="262626"/>
          <w:u w:color="163291"/>
          <w:rtl w:val="0"/>
          <w:lang w:val="it-IT"/>
        </w:rPr>
        <w:t xml:space="preserve">] ed </w:t>
      </w:r>
      <w:r>
        <w:rPr>
          <w:rFonts w:hAnsi="Book Antiqua" w:hint="default"/>
          <w:color w:val="262626"/>
          <w:u w:color="163291"/>
          <w:rtl w:val="0"/>
          <w:lang w:val="it-IT"/>
        </w:rPr>
        <w:t xml:space="preserve">è </w:t>
      </w:r>
      <w:r>
        <w:rPr>
          <w:rFonts w:ascii="Book Antiqua"/>
          <w:color w:val="262626"/>
          <w:u w:color="163291"/>
          <w:rtl w:val="0"/>
          <w:lang w:val="it-IT"/>
        </w:rPr>
        <w:t>tuttora sotto sequestro proprio per verificare questo tipo di situazione.</w:t>
      </w:r>
    </w:p>
    <w:p>
      <w:pPr>
        <w:pStyle w:val="Normal"/>
        <w:widowControl w:val="0"/>
        <w:ind w:left="567" w:right="567" w:firstLine="0"/>
        <w:jc w:val="both"/>
        <w:rPr>
          <w:rFonts w:ascii="Book Antiqua" w:cs="Book Antiqua" w:hAnsi="Book Antiqua" w:eastAsia="Book Antiqua"/>
          <w:color w:val="262626"/>
          <w:u w:color="163291"/>
        </w:rPr>
      </w:pPr>
      <w:r>
        <w:rPr>
          <w:rFonts w:ascii="Book Antiqua"/>
          <w:color w:val="262626"/>
          <w:u w:color="163291"/>
          <w:rtl w:val="0"/>
          <w:lang w:val="it-IT"/>
        </w:rPr>
        <w:t>In realt</w:t>
      </w:r>
      <w:r>
        <w:rPr>
          <w:rFonts w:hAnsi="Book Antiqua" w:hint="default"/>
          <w:color w:val="262626"/>
          <w:u w:color="163291"/>
          <w:rtl w:val="0"/>
          <w:lang w:val="it-IT"/>
        </w:rPr>
        <w:t xml:space="preserve">à </w:t>
      </w:r>
      <w:r>
        <w:rPr>
          <w:rFonts w:ascii="Book Antiqua"/>
          <w:color w:val="262626"/>
          <w:u w:color="163291"/>
          <w:rtl w:val="0"/>
          <w:lang w:val="it-IT"/>
        </w:rPr>
        <w:t>il problema [gestionale, nel frattempo] l'abbiamo solamente su Roma Capitale e non sulle province perch</w:t>
      </w:r>
      <w:r>
        <w:rPr>
          <w:rFonts w:hAnsi="Book Antiqua" w:hint="default"/>
          <w:color w:val="262626"/>
          <w:u w:color="163291"/>
          <w:rtl w:val="0"/>
          <w:lang w:val="it-IT"/>
        </w:rPr>
        <w:t>é</w:t>
      </w:r>
      <w:r>
        <w:rPr>
          <w:rFonts w:ascii="Book Antiqua Bold"/>
          <w:b w:val="1"/>
          <w:bCs w:val="1"/>
          <w:color w:val="262626"/>
          <w:u w:color="163291"/>
          <w:rtl w:val="0"/>
          <w:lang w:val="it-IT"/>
        </w:rPr>
        <w:t xml:space="preserve"> </w:t>
      </w:r>
      <w:r>
        <w:rPr>
          <w:rFonts w:ascii="Book Antiqua"/>
          <w:color w:val="262626"/>
          <w:u w:color="163291"/>
          <w:rtl w:val="0"/>
          <w:lang w:val="it-IT"/>
        </w:rPr>
        <w:t>i vari ATO, al di l</w:t>
      </w:r>
      <w:r>
        <w:rPr>
          <w:rFonts w:hAnsi="Book Antiqua" w:hint="default"/>
          <w:color w:val="262626"/>
          <w:u w:color="163291"/>
          <w:rtl w:val="0"/>
          <w:lang w:val="it-IT"/>
        </w:rPr>
        <w:t xml:space="preserve">à </w:t>
      </w:r>
      <w:r>
        <w:rPr>
          <w:rFonts w:ascii="Book Antiqua"/>
          <w:color w:val="262626"/>
          <w:u w:color="163291"/>
          <w:rtl w:val="0"/>
          <w:lang w:val="it-IT"/>
        </w:rPr>
        <w:t>di Latina, che ha questa difficolt</w:t>
      </w:r>
      <w:r>
        <w:rPr>
          <w:rFonts w:hAnsi="Book Antiqua" w:hint="default"/>
          <w:color w:val="262626"/>
          <w:u w:color="163291"/>
          <w:rtl w:val="0"/>
          <w:lang w:val="it-IT"/>
        </w:rPr>
        <w:t xml:space="preserve">à </w:t>
      </w:r>
      <w:r>
        <w:rPr>
          <w:rFonts w:ascii="Book Antiqua"/>
          <w:color w:val="262626"/>
          <w:u w:color="163291"/>
          <w:rtl w:val="0"/>
          <w:lang w:val="it-IT"/>
        </w:rPr>
        <w:t xml:space="preserve">momentanea, sono sufficienti. Frosinone </w:t>
      </w:r>
      <w:r>
        <w:rPr>
          <w:rFonts w:hAnsi="Book Antiqua" w:hint="default"/>
          <w:color w:val="262626"/>
          <w:u w:color="163291"/>
          <w:rtl w:val="0"/>
          <w:lang w:val="it-IT"/>
        </w:rPr>
        <w:t xml:space="preserve">è </w:t>
      </w:r>
      <w:r>
        <w:rPr>
          <w:rFonts w:ascii="Book Antiqua"/>
          <w:color w:val="262626"/>
          <w:u w:color="163291"/>
          <w:rtl w:val="0"/>
          <w:lang w:val="it-IT"/>
        </w:rPr>
        <w:t>sufficiente e Rieti e Viterbo sono sufficienti perch</w:t>
      </w:r>
      <w:r>
        <w:rPr>
          <w:rFonts w:hAnsi="Book Antiqua" w:hint="default"/>
          <w:color w:val="262626"/>
          <w:u w:color="163291"/>
          <w:rtl w:val="0"/>
          <w:lang w:val="it-IT"/>
        </w:rPr>
        <w:t xml:space="preserve">é </w:t>
      </w:r>
      <w:r>
        <w:rPr>
          <w:rFonts w:ascii="Book Antiqua"/>
          <w:color w:val="262626"/>
          <w:u w:color="163291"/>
          <w:rtl w:val="0"/>
          <w:lang w:val="it-IT"/>
        </w:rPr>
        <w:t>hanno questo sfogo. Roma ha tre discariche perch</w:t>
      </w:r>
      <w:r>
        <w:rPr>
          <w:rFonts w:hAnsi="Book Antiqua" w:hint="default"/>
          <w:color w:val="262626"/>
          <w:u w:color="163291"/>
          <w:rtl w:val="0"/>
          <w:lang w:val="it-IT"/>
        </w:rPr>
        <w:t>é</w:t>
      </w:r>
      <w:r>
        <w:rPr>
          <w:rFonts w:ascii="Book Antiqua"/>
          <w:color w:val="262626"/>
          <w:u w:color="163291"/>
          <w:rtl w:val="0"/>
          <w:lang w:val="it-IT"/>
        </w:rPr>
        <w:t>, in realt</w:t>
      </w:r>
      <w:r>
        <w:rPr>
          <w:rFonts w:hAnsi="Book Antiqua" w:hint="default"/>
          <w:color w:val="262626"/>
          <w:u w:color="163291"/>
          <w:rtl w:val="0"/>
          <w:lang w:val="it-IT"/>
        </w:rPr>
        <w:t>à</w:t>
      </w:r>
      <w:r>
        <w:rPr>
          <w:rFonts w:ascii="Book Antiqua"/>
          <w:color w:val="262626"/>
          <w:u w:color="163291"/>
          <w:rtl w:val="0"/>
          <w:lang w:val="it-IT"/>
        </w:rPr>
        <w:t xml:space="preserve">, </w:t>
      </w:r>
      <w:r>
        <w:rPr>
          <w:rFonts w:hAnsi="Book Antiqua" w:hint="default"/>
          <w:color w:val="262626"/>
          <w:u w:color="163291"/>
          <w:rtl w:val="0"/>
          <w:lang w:val="it-IT"/>
        </w:rPr>
        <w:t xml:space="preserve">è </w:t>
      </w:r>
      <w:r>
        <w:rPr>
          <w:rFonts w:ascii="Book Antiqua"/>
          <w:color w:val="262626"/>
          <w:u w:color="163291"/>
          <w:rtl w:val="0"/>
          <w:lang w:val="it-IT"/>
        </w:rPr>
        <w:t xml:space="preserve">vero che Albano ha il TMB bruciato da una settimana, ma la discarica di Albano </w:t>
      </w:r>
      <w:r>
        <w:rPr>
          <w:rFonts w:hAnsi="Book Antiqua" w:hint="default"/>
          <w:color w:val="262626"/>
          <w:u w:color="163291"/>
          <w:rtl w:val="0"/>
          <w:lang w:val="it-IT"/>
        </w:rPr>
        <w:t xml:space="preserve">è </w:t>
      </w:r>
      <w:r>
        <w:rPr>
          <w:rFonts w:ascii="Book Antiqua"/>
          <w:color w:val="262626"/>
          <w:u w:color="163291"/>
          <w:rtl w:val="0"/>
          <w:lang w:val="it-IT"/>
        </w:rPr>
        <w:t>tuttora valida, tant'</w:t>
      </w:r>
      <w:r>
        <w:rPr>
          <w:rFonts w:hAnsi="Book Antiqua" w:hint="default"/>
          <w:color w:val="262626"/>
          <w:u w:color="163291"/>
          <w:rtl w:val="0"/>
          <w:lang w:val="it-IT"/>
        </w:rPr>
        <w:t xml:space="preserve">è </w:t>
      </w:r>
      <w:r>
        <w:rPr>
          <w:rFonts w:ascii="Book Antiqua"/>
          <w:color w:val="262626"/>
          <w:u w:color="163291"/>
          <w:rtl w:val="0"/>
          <w:lang w:val="it-IT"/>
        </w:rPr>
        <w:t xml:space="preserve">vero che i rifiuti trattati del comprensorio di Albano torneranno nella discarica di Albano. Colleferro </w:t>
      </w:r>
      <w:r>
        <w:rPr>
          <w:rFonts w:hAnsi="Book Antiqua" w:hint="default"/>
          <w:color w:val="262626"/>
          <w:u w:color="163291"/>
          <w:rtl w:val="0"/>
          <w:lang w:val="it-IT"/>
        </w:rPr>
        <w:t xml:space="preserve">è </w:t>
      </w:r>
      <w:r>
        <w:rPr>
          <w:rFonts w:ascii="Book Antiqua"/>
          <w:color w:val="262626"/>
          <w:u w:color="163291"/>
          <w:rtl w:val="0"/>
          <w:lang w:val="it-IT"/>
        </w:rPr>
        <w:t xml:space="preserve">una discarica che in questo momento sta supportando l'ATO di Latina. Quindi i rifiuti di Latina si stanno spostando su Colleferro. Civitavecchia ha una problematica specifica, che dovrebbe essere risolta a breve: non </w:t>
      </w:r>
      <w:r>
        <w:rPr>
          <w:rFonts w:hAnsi="Book Antiqua" w:hint="default"/>
          <w:color w:val="262626"/>
          <w:u w:color="163291"/>
          <w:rtl w:val="0"/>
          <w:lang w:val="it-IT"/>
        </w:rPr>
        <w:t xml:space="preserve">è </w:t>
      </w:r>
      <w:r>
        <w:rPr>
          <w:rFonts w:ascii="Book Antiqua"/>
          <w:color w:val="262626"/>
          <w:u w:color="163291"/>
          <w:rtl w:val="0"/>
          <w:lang w:val="it-IT"/>
        </w:rPr>
        <w:t xml:space="preserve">rimasto molto. Ci sono circa 160.000 tonnellate ma </w:t>
      </w:r>
      <w:r>
        <w:rPr>
          <w:rFonts w:hAnsi="Book Antiqua" w:hint="default"/>
          <w:color w:val="262626"/>
          <w:u w:color="163291"/>
          <w:rtl w:val="0"/>
          <w:lang w:val="it-IT"/>
        </w:rPr>
        <w:t xml:space="preserve">è </w:t>
      </w:r>
      <w:r>
        <w:rPr>
          <w:rFonts w:ascii="Book Antiqua"/>
          <w:color w:val="262626"/>
          <w:u w:color="163291"/>
          <w:rtl w:val="0"/>
          <w:lang w:val="it-IT"/>
        </w:rPr>
        <w:t xml:space="preserve">prevista anche questa realizzazione. L'unico punto che veramente non ha discariche di servizio </w:t>
      </w:r>
      <w:r>
        <w:rPr>
          <w:rFonts w:hAnsi="Book Antiqua" w:hint="default"/>
          <w:color w:val="262626"/>
          <w:u w:color="163291"/>
          <w:rtl w:val="0"/>
          <w:lang w:val="it-IT"/>
        </w:rPr>
        <w:t xml:space="preserve">è </w:t>
      </w:r>
      <w:r>
        <w:rPr>
          <w:rFonts w:ascii="Book Antiqua"/>
          <w:color w:val="262626"/>
          <w:u w:color="163291"/>
          <w:rtl w:val="0"/>
          <w:lang w:val="it-IT"/>
        </w:rPr>
        <w:t>Roma.</w:t>
      </w:r>
    </w:p>
    <w:p>
      <w:pPr>
        <w:pStyle w:val="Normal"/>
        <w:widowControl w:val="0"/>
        <w:ind w:left="567" w:right="567" w:firstLine="0"/>
        <w:jc w:val="both"/>
        <w:rPr>
          <w:rFonts w:ascii="Book Antiqua" w:cs="Book Antiqua" w:hAnsi="Book Antiqua" w:eastAsia="Book Antiqua"/>
          <w:color w:val="262626"/>
          <w:u w:color="163291"/>
        </w:rPr>
      </w:pPr>
      <w:r>
        <w:rPr>
          <w:rFonts w:ascii="Book Antiqua"/>
          <w:color w:val="262626"/>
          <w:u w:color="163291"/>
          <w:rtl w:val="0"/>
          <w:lang w:val="it-IT"/>
        </w:rPr>
        <w:t>[</w:t>
      </w:r>
      <w:r>
        <w:rPr>
          <w:rFonts w:hAnsi="Book Antiqua" w:hint="default"/>
          <w:color w:val="262626"/>
          <w:u w:color="163291"/>
          <w:rtl w:val="0"/>
          <w:lang w:val="it-IT"/>
        </w:rPr>
        <w:t>…</w:t>
      </w:r>
      <w:r>
        <w:rPr>
          <w:rFonts w:ascii="Book Antiqua"/>
          <w:color w:val="262626"/>
          <w:u w:color="163291"/>
          <w:rtl w:val="0"/>
          <w:lang w:val="it-IT"/>
        </w:rPr>
        <w:t xml:space="preserve">] </w:t>
      </w:r>
      <w:r>
        <w:rPr>
          <w:rFonts w:hAnsi="Book Antiqua" w:hint="default"/>
          <w:color w:val="262626"/>
          <w:u w:color="163291"/>
          <w:rtl w:val="0"/>
          <w:lang w:val="it-IT"/>
        </w:rPr>
        <w:t xml:space="preserve">È </w:t>
      </w:r>
      <w:r>
        <w:rPr>
          <w:rFonts w:ascii="Book Antiqua"/>
          <w:color w:val="262626"/>
          <w:u w:color="163291"/>
          <w:rtl w:val="0"/>
          <w:lang w:val="it-IT"/>
        </w:rPr>
        <w:t xml:space="preserve">vero che il tritovagliatore </w:t>
      </w:r>
      <w:r>
        <w:rPr>
          <w:rFonts w:hAnsi="Book Antiqua" w:hint="default"/>
          <w:color w:val="262626"/>
          <w:u w:color="163291"/>
          <w:rtl w:val="0"/>
          <w:lang w:val="it-IT"/>
        </w:rPr>
        <w:t xml:space="preserve">è </w:t>
      </w:r>
      <w:r>
        <w:rPr>
          <w:rFonts w:ascii="Book Antiqua"/>
          <w:color w:val="262626"/>
          <w:u w:color="163291"/>
          <w:rtl w:val="0"/>
          <w:lang w:val="it-IT"/>
        </w:rPr>
        <w:t xml:space="preserve">citato nel fabbisogno, ma non </w:t>
      </w:r>
      <w:r>
        <w:rPr>
          <w:rFonts w:hAnsi="Book Antiqua" w:hint="default"/>
          <w:color w:val="262626"/>
          <w:u w:color="163291"/>
          <w:rtl w:val="0"/>
          <w:lang w:val="it-IT"/>
        </w:rPr>
        <w:t xml:space="preserve">è </w:t>
      </w:r>
      <w:r>
        <w:rPr>
          <w:rFonts w:ascii="Book Antiqua"/>
          <w:color w:val="262626"/>
          <w:u w:color="163291"/>
          <w:rtl w:val="0"/>
          <w:lang w:val="it-IT"/>
        </w:rPr>
        <w:t xml:space="preserve">considerato come impianto al servizio. </w:t>
      </w:r>
      <w:r>
        <w:rPr>
          <w:rFonts w:hAnsi="Book Antiqua" w:hint="default"/>
          <w:color w:val="262626"/>
          <w:u w:color="163291"/>
          <w:rtl w:val="0"/>
          <w:lang w:val="it-IT"/>
        </w:rPr>
        <w:t xml:space="preserve">È </w:t>
      </w:r>
      <w:r>
        <w:rPr>
          <w:rFonts w:ascii="Book Antiqua"/>
          <w:color w:val="262626"/>
          <w:u w:color="163291"/>
          <w:rtl w:val="0"/>
          <w:lang w:val="it-IT"/>
        </w:rPr>
        <w:t>semplicemente citato perch</w:t>
      </w:r>
      <w:r>
        <w:rPr>
          <w:rFonts w:hAnsi="Book Antiqua" w:hint="default"/>
          <w:color w:val="262626"/>
          <w:u w:color="163291"/>
          <w:rtl w:val="0"/>
          <w:lang w:val="it-IT"/>
        </w:rPr>
        <w:t xml:space="preserve">é </w:t>
      </w:r>
      <w:r>
        <w:rPr>
          <w:rFonts w:ascii="Book Antiqua"/>
          <w:color w:val="262626"/>
          <w:u w:color="163291"/>
          <w:rtl w:val="0"/>
          <w:lang w:val="it-IT"/>
        </w:rPr>
        <w:t>c'</w:t>
      </w:r>
      <w:r>
        <w:rPr>
          <w:rFonts w:hAnsi="Book Antiqua" w:hint="default"/>
          <w:color w:val="262626"/>
          <w:u w:color="163291"/>
          <w:rtl w:val="0"/>
          <w:lang w:val="it-IT"/>
        </w:rPr>
        <w:t xml:space="preserve">è </w:t>
      </w:r>
      <w:r>
        <w:rPr>
          <w:rFonts w:ascii="Book Antiqua"/>
          <w:color w:val="262626"/>
          <w:u w:color="163291"/>
          <w:rtl w:val="0"/>
          <w:lang w:val="it-IT"/>
        </w:rPr>
        <w:t xml:space="preserve">un elenco di tutti gli impianti che esistono, ma non </w:t>
      </w:r>
      <w:r>
        <w:rPr>
          <w:rFonts w:hAnsi="Book Antiqua" w:hint="default"/>
          <w:color w:val="262626"/>
          <w:u w:color="163291"/>
          <w:rtl w:val="0"/>
          <w:lang w:val="it-IT"/>
        </w:rPr>
        <w:t xml:space="preserve">è </w:t>
      </w:r>
      <w:r>
        <w:rPr>
          <w:rFonts w:ascii="Book Antiqua"/>
          <w:color w:val="262626"/>
          <w:u w:color="163291"/>
          <w:rtl w:val="0"/>
          <w:lang w:val="it-IT"/>
        </w:rPr>
        <w:t xml:space="preserve">assolutamente calcolato per il fabbisogno: se ne valuta il fabbisogno esatto di trattamento di TMB, ma non </w:t>
      </w:r>
      <w:r>
        <w:rPr>
          <w:rFonts w:hAnsi="Book Antiqua" w:hint="default"/>
          <w:color w:val="262626"/>
          <w:u w:color="163291"/>
          <w:rtl w:val="0"/>
          <w:lang w:val="it-IT"/>
        </w:rPr>
        <w:t xml:space="preserve">è </w:t>
      </w:r>
      <w:r>
        <w:rPr>
          <w:rFonts w:ascii="Book Antiqua"/>
          <w:color w:val="262626"/>
          <w:u w:color="163291"/>
          <w:rtl w:val="0"/>
          <w:lang w:val="it-IT"/>
        </w:rPr>
        <w:t xml:space="preserve">assolutamente calcolato. </w:t>
      </w:r>
      <w:r>
        <w:rPr>
          <w:rFonts w:hAnsi="Book Antiqua" w:hint="default"/>
          <w:color w:val="262626"/>
          <w:u w:color="163291"/>
          <w:rtl w:val="0"/>
          <w:lang w:val="it-IT"/>
        </w:rPr>
        <w:t xml:space="preserve">È </w:t>
      </w:r>
      <w:r>
        <w:rPr>
          <w:rFonts w:ascii="Book Antiqua"/>
          <w:color w:val="262626"/>
          <w:u w:color="163291"/>
          <w:rtl w:val="0"/>
          <w:lang w:val="it-IT"/>
        </w:rPr>
        <w:t>citato perch</w:t>
      </w:r>
      <w:r>
        <w:rPr>
          <w:rFonts w:hAnsi="Book Antiqua" w:hint="default"/>
          <w:color w:val="262626"/>
          <w:u w:color="163291"/>
          <w:rtl w:val="0"/>
          <w:lang w:val="it-IT"/>
        </w:rPr>
        <w:t xml:space="preserve">é è </w:t>
      </w:r>
      <w:r>
        <w:rPr>
          <w:rFonts w:ascii="Book Antiqua"/>
          <w:color w:val="262626"/>
          <w:u w:color="163291"/>
          <w:rtl w:val="0"/>
          <w:lang w:val="it-IT"/>
        </w:rPr>
        <w:t>una realt</w:t>
      </w:r>
      <w:r>
        <w:rPr>
          <w:rFonts w:hAnsi="Book Antiqua" w:hint="default"/>
          <w:color w:val="262626"/>
          <w:u w:color="163291"/>
          <w:rtl w:val="0"/>
          <w:lang w:val="it-IT"/>
        </w:rPr>
        <w:t>à</w:t>
      </w:r>
      <w:r>
        <w:rPr>
          <w:rFonts w:ascii="Book Antiqua"/>
          <w:color w:val="262626"/>
          <w:u w:color="163291"/>
          <w:rtl w:val="0"/>
          <w:lang w:val="it-IT"/>
        </w:rPr>
        <w:t xml:space="preserve">: </w:t>
      </w:r>
      <w:r>
        <w:rPr>
          <w:rFonts w:hAnsi="Book Antiqua" w:hint="default"/>
          <w:color w:val="262626"/>
          <w:u w:color="163291"/>
          <w:rtl w:val="0"/>
          <w:lang w:val="it-IT"/>
        </w:rPr>
        <w:t xml:space="preserve">è </w:t>
      </w:r>
      <w:r>
        <w:rPr>
          <w:rFonts w:ascii="Book Antiqua"/>
          <w:color w:val="262626"/>
          <w:u w:color="163291"/>
          <w:rtl w:val="0"/>
          <w:lang w:val="it-IT"/>
        </w:rPr>
        <w:t>come se non dovessi citare che c'</w:t>
      </w:r>
      <w:r>
        <w:rPr>
          <w:rFonts w:hAnsi="Book Antiqua" w:hint="default"/>
          <w:color w:val="262626"/>
          <w:u w:color="163291"/>
          <w:rtl w:val="0"/>
          <w:lang w:val="it-IT"/>
        </w:rPr>
        <w:t xml:space="preserve">è </w:t>
      </w:r>
      <w:r>
        <w:rPr>
          <w:rFonts w:ascii="Book Antiqua"/>
          <w:color w:val="262626"/>
          <w:u w:color="163291"/>
          <w:rtl w:val="0"/>
          <w:lang w:val="it-IT"/>
        </w:rPr>
        <w:t xml:space="preserve">il gassificatore a Malagrotta, che esiste, ma poi il fatto che sia in funzione </w:t>
      </w:r>
      <w:r>
        <w:rPr>
          <w:rFonts w:hAnsi="Book Antiqua" w:hint="default"/>
          <w:color w:val="262626"/>
          <w:u w:color="163291"/>
          <w:rtl w:val="0"/>
          <w:lang w:val="it-IT"/>
        </w:rPr>
        <w:t xml:space="preserve">è </w:t>
      </w:r>
      <w:r>
        <w:rPr>
          <w:rFonts w:ascii="Book Antiqua"/>
          <w:color w:val="262626"/>
          <w:u w:color="163291"/>
          <w:rtl w:val="0"/>
          <w:lang w:val="it-IT"/>
        </w:rPr>
        <w:t xml:space="preserve">un altro discorso. Quindi, </w:t>
      </w:r>
      <w:r>
        <w:rPr>
          <w:rFonts w:hAnsi="Book Antiqua" w:hint="default"/>
          <w:color w:val="262626"/>
          <w:u w:color="163291"/>
          <w:rtl w:val="0"/>
          <w:lang w:val="it-IT"/>
        </w:rPr>
        <w:t xml:space="preserve">è </w:t>
      </w:r>
      <w:r>
        <w:rPr>
          <w:rFonts w:ascii="Book Antiqua"/>
          <w:color w:val="262626"/>
          <w:u w:color="163291"/>
          <w:rtl w:val="0"/>
          <w:lang w:val="it-IT"/>
        </w:rPr>
        <w:t xml:space="preserve">citato ed </w:t>
      </w:r>
      <w:r>
        <w:rPr>
          <w:rFonts w:hAnsi="Book Antiqua" w:hint="default"/>
          <w:color w:val="262626"/>
          <w:u w:color="163291"/>
          <w:rtl w:val="0"/>
          <w:lang w:val="it-IT"/>
        </w:rPr>
        <w:t xml:space="preserve">è </w:t>
      </w:r>
      <w:r>
        <w:rPr>
          <w:rFonts w:ascii="Book Antiqua"/>
          <w:color w:val="262626"/>
          <w:u w:color="163291"/>
          <w:rtl w:val="0"/>
          <w:lang w:val="it-IT"/>
        </w:rPr>
        <w:t xml:space="preserve">chiaramente indicato come tritovagliatore, ma non </w:t>
      </w:r>
      <w:r>
        <w:rPr>
          <w:rFonts w:hAnsi="Book Antiqua" w:hint="default"/>
          <w:color w:val="262626"/>
          <w:u w:color="163291"/>
          <w:rtl w:val="0"/>
          <w:lang w:val="it-IT"/>
        </w:rPr>
        <w:t xml:space="preserve">è </w:t>
      </w:r>
      <w:r>
        <w:rPr>
          <w:rFonts w:ascii="Book Antiqua"/>
          <w:color w:val="262626"/>
          <w:u w:color="163291"/>
          <w:rtl w:val="0"/>
          <w:lang w:val="it-IT"/>
        </w:rPr>
        <w:t>considerato nel fabbisogno al trattamento: ne sono certa.</w:t>
      </w:r>
    </w:p>
    <w:p>
      <w:pPr>
        <w:pStyle w:val="Normal"/>
        <w:widowControl w:val="0"/>
        <w:ind w:left="567" w:right="567" w:firstLine="0"/>
        <w:jc w:val="both"/>
        <w:rPr>
          <w:rFonts w:ascii="Book Antiqua" w:cs="Book Antiqua" w:hAnsi="Book Antiqua" w:eastAsia="Book Antiqua"/>
          <w:color w:val="262626"/>
          <w:u w:color="163291"/>
        </w:rPr>
      </w:pPr>
      <w:r>
        <w:rPr>
          <w:rFonts w:ascii="Book Antiqua"/>
          <w:color w:val="262626"/>
          <w:u w:color="163291"/>
          <w:rtl w:val="0"/>
          <w:lang w:val="it-IT"/>
        </w:rPr>
        <w:t>[</w:t>
      </w:r>
      <w:r>
        <w:rPr>
          <w:rFonts w:hAnsi="Book Antiqua" w:hint="default"/>
          <w:color w:val="262626"/>
          <w:u w:color="163291"/>
          <w:rtl w:val="0"/>
          <w:lang w:val="it-IT"/>
        </w:rPr>
        <w:t>…</w:t>
      </w:r>
      <w:r>
        <w:rPr>
          <w:rFonts w:ascii="Book Antiqua"/>
          <w:color w:val="262626"/>
          <w:u w:color="163291"/>
          <w:rtl w:val="0"/>
          <w:lang w:val="it-IT"/>
        </w:rPr>
        <w:t>]  L'elemento pi</w:t>
      </w:r>
      <w:r>
        <w:rPr>
          <w:rFonts w:hAnsi="Book Antiqua" w:hint="default"/>
          <w:color w:val="262626"/>
          <w:u w:color="163291"/>
          <w:rtl w:val="0"/>
          <w:lang w:val="it-IT"/>
        </w:rPr>
        <w:t xml:space="preserve">ù </w:t>
      </w:r>
      <w:r>
        <w:rPr>
          <w:rFonts w:ascii="Book Antiqua"/>
          <w:color w:val="262626"/>
          <w:u w:color="163291"/>
          <w:rtl w:val="0"/>
          <w:lang w:val="it-IT"/>
        </w:rPr>
        <w:t xml:space="preserve">debole </w:t>
      </w:r>
      <w:r>
        <w:rPr>
          <w:rFonts w:hAnsi="Book Antiqua" w:hint="default"/>
          <w:color w:val="262626"/>
          <w:u w:color="163291"/>
          <w:rtl w:val="0"/>
          <w:lang w:val="it-IT"/>
        </w:rPr>
        <w:t xml:space="preserve">è </w:t>
      </w:r>
      <w:r>
        <w:rPr>
          <w:rFonts w:ascii="Book Antiqua"/>
          <w:color w:val="262626"/>
          <w:u w:color="163291"/>
          <w:rtl w:val="0"/>
          <w:lang w:val="it-IT"/>
        </w:rPr>
        <w:t>proprio Roma perch</w:t>
      </w:r>
      <w:r>
        <w:rPr>
          <w:rFonts w:hAnsi="Book Antiqua" w:hint="default"/>
          <w:color w:val="262626"/>
          <w:u w:color="163291"/>
          <w:rtl w:val="0"/>
          <w:lang w:val="it-IT"/>
        </w:rPr>
        <w:t xml:space="preserve">é </w:t>
      </w:r>
      <w:r>
        <w:rPr>
          <w:rFonts w:ascii="Book Antiqua"/>
          <w:color w:val="262626"/>
          <w:u w:color="163291"/>
          <w:rtl w:val="0"/>
          <w:lang w:val="it-IT"/>
        </w:rPr>
        <w:t>ha una grossa quantit</w:t>
      </w:r>
      <w:r>
        <w:rPr>
          <w:rFonts w:hAnsi="Book Antiqua" w:hint="default"/>
          <w:color w:val="262626"/>
          <w:u w:color="163291"/>
          <w:rtl w:val="0"/>
          <w:lang w:val="it-IT"/>
        </w:rPr>
        <w:t xml:space="preserve">à </w:t>
      </w:r>
      <w:r>
        <w:rPr>
          <w:rFonts w:ascii="Book Antiqua"/>
          <w:color w:val="262626"/>
          <w:u w:color="163291"/>
          <w:rtl w:val="0"/>
          <w:lang w:val="it-IT"/>
        </w:rPr>
        <w:t>di rifiuti prodotti. In questo momento, a Roma, l'AMA utilizza i suoi impianti, anche se l'impianto di Rocca Cencia va utilizzato al massimo: circa 700 tonnellate giorno. A mia conoscenza so che non si sta mandando al massimo l'impianto di Salario perch</w:t>
      </w:r>
      <w:r>
        <w:rPr>
          <w:rFonts w:hAnsi="Book Antiqua" w:hint="default"/>
          <w:color w:val="262626"/>
          <w:u w:color="163291"/>
          <w:rtl w:val="0"/>
          <w:lang w:val="it-IT"/>
        </w:rPr>
        <w:t xml:space="preserve">é </w:t>
      </w:r>
      <w:r>
        <w:rPr>
          <w:rFonts w:ascii="Book Antiqua"/>
          <w:color w:val="262626"/>
          <w:u w:color="163291"/>
          <w:rtl w:val="0"/>
          <w:lang w:val="it-IT"/>
        </w:rPr>
        <w:t>si ritiene che sia collocato in una dimensione non idonea. Dovrebbero essere 800 tonnellate al giorno [</w:t>
      </w:r>
      <w:r>
        <w:rPr>
          <w:rFonts w:hAnsi="Book Antiqua" w:hint="default"/>
          <w:color w:val="262626"/>
          <w:u w:color="163291"/>
          <w:rtl w:val="0"/>
          <w:lang w:val="it-IT"/>
        </w:rPr>
        <w:t>…</w:t>
      </w:r>
      <w:r>
        <w:rPr>
          <w:rFonts w:ascii="Book Antiqua"/>
          <w:color w:val="262626"/>
          <w:u w:color="163291"/>
          <w:rtl w:val="0"/>
          <w:lang w:val="it-IT"/>
        </w:rPr>
        <w:t xml:space="preserve">] ma so che sta andando intorno a 350. [..] Poi abbiamo i due TMB di Malagrotta, che pure stanno andando. In parte AMA </w:t>
      </w:r>
      <w:r>
        <w:rPr>
          <w:rFonts w:hAnsi="Book Antiqua" w:hint="default"/>
          <w:color w:val="262626"/>
          <w:u w:color="163291"/>
          <w:rtl w:val="0"/>
          <w:lang w:val="it-IT"/>
        </w:rPr>
        <w:t xml:space="preserve">– </w:t>
      </w:r>
      <w:r>
        <w:rPr>
          <w:rFonts w:ascii="Book Antiqua"/>
          <w:color w:val="262626"/>
          <w:u w:color="163291"/>
          <w:rtl w:val="0"/>
          <w:lang w:val="it-IT"/>
        </w:rPr>
        <w:t xml:space="preserve">non </w:t>
      </w:r>
      <w:r>
        <w:rPr>
          <w:rFonts w:hAnsi="Book Antiqua" w:hint="default"/>
          <w:color w:val="262626"/>
          <w:u w:color="163291"/>
          <w:rtl w:val="0"/>
          <w:lang w:val="it-IT"/>
        </w:rPr>
        <w:t xml:space="preserve">è </w:t>
      </w:r>
      <w:r>
        <w:rPr>
          <w:rFonts w:ascii="Book Antiqua"/>
          <w:color w:val="262626"/>
          <w:u w:color="163291"/>
          <w:rtl w:val="0"/>
          <w:lang w:val="it-IT"/>
        </w:rPr>
        <w:t xml:space="preserve">una cosa segreta </w:t>
      </w:r>
      <w:r>
        <w:rPr>
          <w:rFonts w:hAnsi="Book Antiqua" w:hint="default"/>
          <w:color w:val="262626"/>
          <w:u w:color="163291"/>
          <w:rtl w:val="0"/>
          <w:lang w:val="it-IT"/>
        </w:rPr>
        <w:t xml:space="preserve">– </w:t>
      </w:r>
      <w:r>
        <w:rPr>
          <w:rFonts w:ascii="Book Antiqua"/>
          <w:color w:val="262626"/>
          <w:u w:color="163291"/>
          <w:rtl w:val="0"/>
          <w:lang w:val="it-IT"/>
        </w:rPr>
        <w:t>ha un accordo di programma. Abbiamo un accordo di programma con l'Abruzzo per circa 170 tonnellate giorno, che viene lasciato come elemento di emergenza qualora dovesse essere necessario. In pi</w:t>
      </w:r>
      <w:r>
        <w:rPr>
          <w:rFonts w:hAnsi="Book Antiqua" w:hint="default"/>
          <w:color w:val="262626"/>
          <w:u w:color="163291"/>
          <w:rtl w:val="0"/>
          <w:lang w:val="it-IT"/>
        </w:rPr>
        <w:t>ù</w:t>
      </w:r>
      <w:r>
        <w:rPr>
          <w:rFonts w:ascii="Book Antiqua"/>
          <w:color w:val="262626"/>
          <w:u w:color="163291"/>
          <w:rtl w:val="0"/>
          <w:lang w:val="it-IT"/>
        </w:rPr>
        <w:t>, secondo le punte, ci si rivolge anche agli altri due impianti della provincia di Latina e della provincia di Frosinone, per circa altre 200/300 tonnellate. Questi sono i trattamenti dei rifiuti.</w:t>
      </w:r>
    </w:p>
    <w:p>
      <w:pPr>
        <w:pStyle w:val="Normal"/>
        <w:widowControl w:val="0"/>
        <w:ind w:left="567" w:right="567" w:firstLine="0"/>
        <w:jc w:val="both"/>
        <w:rPr>
          <w:rFonts w:ascii="Book Antiqua" w:cs="Book Antiqua" w:hAnsi="Book Antiqua" w:eastAsia="Book Antiqua"/>
          <w:color w:val="262626"/>
          <w:u w:color="163291"/>
        </w:rPr>
      </w:pPr>
      <w:r>
        <w:rPr>
          <w:rFonts w:ascii="Book Antiqua"/>
          <w:color w:val="262626"/>
          <w:u w:color="163291"/>
          <w:rtl w:val="0"/>
          <w:lang w:val="it-IT"/>
        </w:rPr>
        <w:t>Dall'altra parte, invece, abbiamo le uscite dai TMB. Mentre il CDR pu</w:t>
      </w:r>
      <w:r>
        <w:rPr>
          <w:rFonts w:hAnsi="Book Antiqua" w:hint="default"/>
          <w:color w:val="262626"/>
          <w:u w:color="163291"/>
          <w:rtl w:val="0"/>
          <w:lang w:val="it-IT"/>
        </w:rPr>
        <w:t xml:space="preserve">ò </w:t>
      </w:r>
      <w:r>
        <w:rPr>
          <w:rFonts w:ascii="Book Antiqua"/>
          <w:color w:val="262626"/>
          <w:u w:color="163291"/>
          <w:rtl w:val="0"/>
          <w:lang w:val="it-IT"/>
        </w:rPr>
        <w:t xml:space="preserve">uscire tranquillamente, avevamo fatto un'istanza al Ministero dell'ambiente per conoscere se gli altri potessero circolare liberamente o se fossero legati all'ambito regionale, in quanto derivanti dal trattamento di rifiuti urbani. La risposta del Ministero </w:t>
      </w:r>
      <w:r>
        <w:rPr>
          <w:rFonts w:hAnsi="Book Antiqua" w:hint="default"/>
          <w:color w:val="262626"/>
          <w:u w:color="163291"/>
          <w:rtl w:val="0"/>
          <w:lang w:val="it-IT"/>
        </w:rPr>
        <w:t xml:space="preserve">è </w:t>
      </w:r>
      <w:r>
        <w:rPr>
          <w:rFonts w:ascii="Book Antiqua"/>
          <w:color w:val="262626"/>
          <w:u w:color="163291"/>
          <w:rtl w:val="0"/>
          <w:lang w:val="it-IT"/>
        </w:rPr>
        <w:t>stata che, se la natura del rifiuto cambia, si ha libera circolazione. Quindi AMA, praticamente, ha la possibilit</w:t>
      </w:r>
      <w:r>
        <w:rPr>
          <w:rFonts w:hAnsi="Book Antiqua" w:hint="default"/>
          <w:color w:val="262626"/>
          <w:u w:color="163291"/>
          <w:rtl w:val="0"/>
          <w:lang w:val="it-IT"/>
        </w:rPr>
        <w:t xml:space="preserve">à </w:t>
      </w:r>
      <w:r>
        <w:rPr>
          <w:rFonts w:ascii="Book Antiqua"/>
          <w:color w:val="262626"/>
          <w:u w:color="163291"/>
          <w:rtl w:val="0"/>
          <w:lang w:val="it-IT"/>
        </w:rPr>
        <w:t xml:space="preserve">di portare sia il 191210, sia il 1905901, sia il 190503, a seconda della produzione, fuori regione. Questo, in parte, so che sta avvenendo. Secondo la nostra valutazione, se tutto questo rifiuto dovesse rimanere nel Lazio, certamente servirebbe una discarica al servizio di Roma. </w:t>
      </w:r>
    </w:p>
    <w:p>
      <w:pPr>
        <w:pStyle w:val="Normal"/>
        <w:widowControl w:val="0"/>
        <w:ind w:left="567" w:right="567" w:firstLine="0"/>
        <w:jc w:val="both"/>
        <w:rPr>
          <w:rFonts w:ascii="Book Antiqua" w:cs="Book Antiqua" w:hAnsi="Book Antiqua" w:eastAsia="Book Antiqua"/>
          <w:color w:val="262626"/>
          <w:u w:color="163291"/>
        </w:rPr>
      </w:pPr>
      <w:r>
        <w:rPr>
          <w:rFonts w:ascii="Book Antiqua"/>
          <w:color w:val="262626"/>
          <w:u w:color="163291"/>
          <w:rtl w:val="0"/>
          <w:lang w:val="it-IT"/>
        </w:rPr>
        <w:t>Con le previsioni di raccolta differenziata al 65 per cento di qui a tre anni e mezzo, che sono le previsioni che abbiamo fatto, la capacit</w:t>
      </w:r>
      <w:r>
        <w:rPr>
          <w:rFonts w:hAnsi="Book Antiqua" w:hint="default"/>
          <w:color w:val="262626"/>
          <w:u w:color="163291"/>
          <w:rtl w:val="0"/>
          <w:lang w:val="it-IT"/>
        </w:rPr>
        <w:t xml:space="preserve">à </w:t>
      </w:r>
      <w:r>
        <w:rPr>
          <w:rFonts w:ascii="Book Antiqua"/>
          <w:color w:val="262626"/>
          <w:u w:color="163291"/>
          <w:rtl w:val="0"/>
          <w:lang w:val="it-IT"/>
        </w:rPr>
        <w:t xml:space="preserve">annuale diminuisce. Attualmente, su tutto il Lazio, abbiamo bisogno di circa un milione di metri cubi all'anno di discarica a servizio di tutti gli impianti. Logicamente, quello di oggi </w:t>
      </w:r>
      <w:r>
        <w:rPr>
          <w:rFonts w:hAnsi="Book Antiqua" w:hint="default"/>
          <w:color w:val="262626"/>
          <w:u w:color="163291"/>
          <w:rtl w:val="0"/>
          <w:lang w:val="it-IT"/>
        </w:rPr>
        <w:t xml:space="preserve">è </w:t>
      </w:r>
      <w:r>
        <w:rPr>
          <w:rFonts w:ascii="Book Antiqua"/>
          <w:color w:val="262626"/>
          <w:u w:color="163291"/>
          <w:rtl w:val="0"/>
          <w:lang w:val="it-IT"/>
        </w:rPr>
        <w:t>il dato pi</w:t>
      </w:r>
      <w:r>
        <w:rPr>
          <w:rFonts w:hAnsi="Book Antiqua" w:hint="default"/>
          <w:color w:val="262626"/>
          <w:u w:color="163291"/>
          <w:rtl w:val="0"/>
          <w:lang w:val="it-IT"/>
        </w:rPr>
        <w:t xml:space="preserve">ù </w:t>
      </w:r>
      <w:r>
        <w:rPr>
          <w:rFonts w:ascii="Book Antiqua"/>
          <w:color w:val="262626"/>
          <w:u w:color="163291"/>
          <w:rtl w:val="0"/>
          <w:lang w:val="it-IT"/>
        </w:rPr>
        <w:t xml:space="preserve">gravoso, ma a mano a mano che si va avanti, si scende. Quindi, se a Roma la raccolta differenziata raggiunge il 65 per cento, come </w:t>
      </w:r>
      <w:r>
        <w:rPr>
          <w:rFonts w:hAnsi="Book Antiqua" w:hint="default"/>
          <w:color w:val="262626"/>
          <w:u w:color="163291"/>
          <w:rtl w:val="0"/>
          <w:lang w:val="it-IT"/>
        </w:rPr>
        <w:t xml:space="preserve">è </w:t>
      </w:r>
      <w:r>
        <w:rPr>
          <w:rFonts w:ascii="Book Antiqua"/>
          <w:color w:val="262626"/>
          <w:u w:color="163291"/>
          <w:rtl w:val="0"/>
          <w:lang w:val="it-IT"/>
        </w:rPr>
        <w:t>nel piano di sviluppo di AMA, piano che ha approvato il comune, di qui a tre anni la capacit</w:t>
      </w:r>
      <w:r>
        <w:rPr>
          <w:rFonts w:hAnsi="Book Antiqua" w:hint="default"/>
          <w:color w:val="262626"/>
          <w:u w:color="163291"/>
          <w:rtl w:val="0"/>
          <w:lang w:val="it-IT"/>
        </w:rPr>
        <w:t xml:space="preserve">à </w:t>
      </w:r>
      <w:r>
        <w:rPr>
          <w:rFonts w:ascii="Book Antiqua"/>
          <w:color w:val="262626"/>
          <w:u w:color="163291"/>
          <w:rtl w:val="0"/>
          <w:lang w:val="it-IT"/>
        </w:rPr>
        <w:t>sar</w:t>
      </w:r>
      <w:r>
        <w:rPr>
          <w:rFonts w:hAnsi="Book Antiqua" w:hint="default"/>
          <w:color w:val="262626"/>
          <w:u w:color="163291"/>
          <w:rtl w:val="0"/>
          <w:lang w:val="it-IT"/>
        </w:rPr>
        <w:t xml:space="preserve">à </w:t>
      </w:r>
      <w:r>
        <w:rPr>
          <w:rFonts w:ascii="Book Antiqua"/>
          <w:color w:val="262626"/>
          <w:u w:color="163291"/>
          <w:rtl w:val="0"/>
          <w:lang w:val="it-IT"/>
        </w:rPr>
        <w:t>inferiore. [</w:t>
      </w:r>
      <w:r>
        <w:rPr>
          <w:rFonts w:hAnsi="Book Antiqua" w:hint="default"/>
          <w:color w:val="262626"/>
          <w:u w:color="163291"/>
          <w:rtl w:val="0"/>
          <w:lang w:val="it-IT"/>
        </w:rPr>
        <w:t>…</w:t>
      </w:r>
      <w:r>
        <w:rPr>
          <w:rFonts w:ascii="Book Antiqua"/>
          <w:color w:val="262626"/>
          <w:u w:color="163291"/>
          <w:rtl w:val="0"/>
          <w:lang w:val="it-IT"/>
        </w:rPr>
        <w:t>] In quel periodo, un periodo traghetto [</w:t>
      </w:r>
      <w:r>
        <w:rPr>
          <w:rFonts w:hAnsi="Book Antiqua" w:hint="default"/>
          <w:color w:val="262626"/>
          <w:u w:color="163291"/>
          <w:rtl w:val="0"/>
          <w:lang w:val="it-IT"/>
        </w:rPr>
        <w:t>…</w:t>
      </w:r>
      <w:r>
        <w:rPr>
          <w:rFonts w:ascii="Book Antiqua"/>
          <w:color w:val="262626"/>
          <w:u w:color="163291"/>
          <w:rtl w:val="0"/>
          <w:lang w:val="it-IT"/>
        </w:rPr>
        <w:t>] ci servono circa 2,7 milioni di metri cubi per i prossimi tre anni su tutto il Lazio.</w:t>
      </w:r>
    </w:p>
    <w:p>
      <w:pPr>
        <w:pStyle w:val="Normal"/>
        <w:widowControl w:val="0"/>
        <w:ind w:left="567" w:right="567" w:firstLine="0"/>
        <w:jc w:val="both"/>
        <w:rPr>
          <w:rFonts w:ascii="Book Antiqua" w:cs="Book Antiqua" w:hAnsi="Book Antiqua" w:eastAsia="Book Antiqua"/>
          <w:color w:val="262626"/>
          <w:u w:color="163291"/>
        </w:rPr>
      </w:pPr>
      <w:r>
        <w:rPr>
          <w:rFonts w:ascii="Book Antiqua"/>
          <w:color w:val="262626"/>
          <w:u w:color="163291"/>
          <w:rtl w:val="0"/>
          <w:lang w:val="it-IT"/>
        </w:rPr>
        <w:t xml:space="preserve">[Quindi serve una discarica di servizio a Roma] nell'ipotesi che Roma voglia lasciare i rifiuti sul territorio di Roma e non andare fuori: questo </w:t>
      </w:r>
      <w:r>
        <w:rPr>
          <w:rFonts w:hAnsi="Book Antiqua" w:hint="default"/>
          <w:color w:val="262626"/>
          <w:u w:color="163291"/>
          <w:rtl w:val="0"/>
          <w:lang w:val="it-IT"/>
        </w:rPr>
        <w:t xml:space="preserve">è </w:t>
      </w:r>
      <w:r>
        <w:rPr>
          <w:rFonts w:ascii="Book Antiqua"/>
          <w:color w:val="262626"/>
          <w:u w:color="163291"/>
          <w:rtl w:val="0"/>
          <w:lang w:val="it-IT"/>
        </w:rPr>
        <w:t>evidente. Si pu</w:t>
      </w:r>
      <w:r>
        <w:rPr>
          <w:rFonts w:hAnsi="Book Antiqua" w:hint="default"/>
          <w:color w:val="262626"/>
          <w:u w:color="163291"/>
          <w:rtl w:val="0"/>
          <w:lang w:val="it-IT"/>
        </w:rPr>
        <w:t xml:space="preserve">ò </w:t>
      </w:r>
      <w:r>
        <w:rPr>
          <w:rFonts w:ascii="Book Antiqua"/>
          <w:color w:val="262626"/>
          <w:u w:color="163291"/>
          <w:rtl w:val="0"/>
          <w:lang w:val="it-IT"/>
        </w:rPr>
        <w:t xml:space="preserve">andare fuori </w:t>
      </w:r>
      <w:r>
        <w:rPr>
          <w:rFonts w:hAnsi="Book Antiqua" w:hint="default"/>
          <w:color w:val="262626"/>
          <w:u w:color="163291"/>
          <w:rtl w:val="0"/>
          <w:lang w:val="it-IT"/>
        </w:rPr>
        <w:t xml:space="preserve">– </w:t>
      </w:r>
      <w:r>
        <w:rPr>
          <w:rFonts w:ascii="Book Antiqua"/>
          <w:color w:val="262626"/>
          <w:u w:color="163291"/>
          <w:rtl w:val="0"/>
          <w:lang w:val="it-IT"/>
        </w:rPr>
        <w:t xml:space="preserve">mi riferisco ai codici che dicevo prima </w:t>
      </w:r>
      <w:r>
        <w:rPr>
          <w:rFonts w:hAnsi="Book Antiqua" w:hint="default"/>
          <w:color w:val="262626"/>
          <w:u w:color="163291"/>
          <w:rtl w:val="0"/>
          <w:lang w:val="it-IT"/>
        </w:rPr>
        <w:t xml:space="preserve">– </w:t>
      </w:r>
      <w:r>
        <w:rPr>
          <w:rFonts w:ascii="Book Antiqua"/>
          <w:color w:val="262626"/>
          <w:u w:color="163291"/>
          <w:rtl w:val="0"/>
          <w:lang w:val="it-IT"/>
        </w:rPr>
        <w:t>con i rifiuti che hanno cambiato la natura perch</w:t>
      </w:r>
      <w:r>
        <w:rPr>
          <w:rFonts w:hAnsi="Book Antiqua" w:hint="default"/>
          <w:color w:val="262626"/>
          <w:u w:color="163291"/>
          <w:rtl w:val="0"/>
          <w:lang w:val="it-IT"/>
        </w:rPr>
        <w:t xml:space="preserve">é </w:t>
      </w:r>
      <w:r>
        <w:rPr>
          <w:rFonts w:ascii="Book Antiqua"/>
          <w:color w:val="262626"/>
          <w:u w:color="163291"/>
          <w:rtl w:val="0"/>
          <w:lang w:val="it-IT"/>
        </w:rPr>
        <w:t>sono stati soggetti a un trattamento vero e proprio, ossia non al tritovaglio. Tali rifiuti possono circolare liberamente sul territorio perch</w:t>
      </w:r>
      <w:r>
        <w:rPr>
          <w:rFonts w:hAnsi="Book Antiqua" w:hint="default"/>
          <w:color w:val="262626"/>
          <w:u w:color="163291"/>
          <w:rtl w:val="0"/>
          <w:lang w:val="it-IT"/>
        </w:rPr>
        <w:t xml:space="preserve">é </w:t>
      </w:r>
      <w:r>
        <w:rPr>
          <w:rFonts w:ascii="Book Antiqua"/>
          <w:color w:val="262626"/>
          <w:u w:color="163291"/>
          <w:rtl w:val="0"/>
          <w:lang w:val="it-IT"/>
        </w:rPr>
        <w:t xml:space="preserve">sono speciali a tutti gli effetti e quindi possono spostarsi fuori. Nel tritovaglio non va nulla: il rifiuto che sta nel Lazio </w:t>
      </w:r>
      <w:r>
        <w:rPr>
          <w:rFonts w:hAnsi="Book Antiqua" w:hint="default"/>
          <w:color w:val="262626"/>
          <w:u w:color="163291"/>
          <w:rtl w:val="0"/>
          <w:lang w:val="it-IT"/>
        </w:rPr>
        <w:t xml:space="preserve">è </w:t>
      </w:r>
      <w:r>
        <w:rPr>
          <w:rFonts w:ascii="Book Antiqua"/>
          <w:color w:val="262626"/>
          <w:u w:color="163291"/>
          <w:rtl w:val="0"/>
          <w:lang w:val="it-IT"/>
        </w:rPr>
        <w:t xml:space="preserve">tutto trattato. </w:t>
      </w:r>
    </w:p>
    <w:p>
      <w:pPr>
        <w:pStyle w:val="Normal"/>
        <w:widowControl w:val="0"/>
        <w:ind w:left="567" w:right="567" w:firstLine="0"/>
        <w:jc w:val="both"/>
        <w:rPr>
          <w:rFonts w:ascii="Book Antiqua" w:cs="Book Antiqua" w:hAnsi="Book Antiqua" w:eastAsia="Book Antiqua"/>
          <w:color w:val="262626"/>
          <w:u w:color="163291"/>
        </w:rPr>
      </w:pPr>
      <w:r>
        <w:rPr>
          <w:rFonts w:ascii="Book Antiqua"/>
          <w:color w:val="262626"/>
          <w:u w:color="163291"/>
          <w:rtl w:val="0"/>
          <w:lang w:val="it-IT"/>
        </w:rPr>
        <w:t xml:space="preserve">L'elemento che oggi si </w:t>
      </w:r>
      <w:r>
        <w:rPr>
          <w:rFonts w:hAnsi="Book Antiqua" w:hint="default"/>
          <w:color w:val="262626"/>
          <w:u w:color="163291"/>
          <w:rtl w:val="0"/>
          <w:lang w:val="it-IT"/>
        </w:rPr>
        <w:t xml:space="preserve">è </w:t>
      </w:r>
      <w:r>
        <w:rPr>
          <w:rFonts w:ascii="Book Antiqua"/>
          <w:color w:val="262626"/>
          <w:u w:color="163291"/>
          <w:rtl w:val="0"/>
          <w:lang w:val="it-IT"/>
        </w:rPr>
        <w:t xml:space="preserve">evidenziato e che risulta essere mancante </w:t>
      </w:r>
      <w:r>
        <w:rPr>
          <w:rFonts w:hAnsi="Book Antiqua" w:hint="default"/>
          <w:color w:val="262626"/>
          <w:u w:color="163291"/>
          <w:rtl w:val="0"/>
          <w:lang w:val="it-IT"/>
        </w:rPr>
        <w:t xml:space="preserve">è </w:t>
      </w:r>
      <w:r>
        <w:rPr>
          <w:rFonts w:ascii="Book Antiqua"/>
          <w:color w:val="262626"/>
          <w:u w:color="163291"/>
          <w:rtl w:val="0"/>
          <w:lang w:val="it-IT"/>
        </w:rPr>
        <w:t>la disponibilit</w:t>
      </w:r>
      <w:r>
        <w:rPr>
          <w:rFonts w:hAnsi="Book Antiqua" w:hint="default"/>
          <w:color w:val="262626"/>
          <w:u w:color="163291"/>
          <w:rtl w:val="0"/>
          <w:lang w:val="it-IT"/>
        </w:rPr>
        <w:t xml:space="preserve">à </w:t>
      </w:r>
      <w:r>
        <w:rPr>
          <w:rFonts w:ascii="Book Antiqua"/>
          <w:color w:val="262626"/>
          <w:u w:color="163291"/>
          <w:rtl w:val="0"/>
          <w:lang w:val="it-IT"/>
        </w:rPr>
        <w:t xml:space="preserve">ad effettuare la termovalorizzazione dei rifiuti nel Lazio. Abbiamo tre impianti autorizzati, realizzati e in esercizio, che sono quelli di Colleferro, di Lazio Ambiente e di ACEA a San Vittore. L'impianto si chiama ARIA. </w:t>
      </w:r>
    </w:p>
    <w:p>
      <w:pPr>
        <w:pStyle w:val="Normal"/>
        <w:widowControl w:val="0"/>
        <w:ind w:left="567" w:right="567" w:firstLine="0"/>
        <w:jc w:val="both"/>
        <w:rPr>
          <w:rFonts w:ascii="Book Antiqua" w:cs="Book Antiqua" w:hAnsi="Book Antiqua" w:eastAsia="Book Antiqua"/>
          <w:color w:val="262626"/>
          <w:u w:color="163291"/>
        </w:rPr>
      </w:pPr>
      <w:r>
        <w:rPr>
          <w:rFonts w:ascii="Book Antiqua"/>
          <w:color w:val="262626"/>
          <w:u w:color="163291"/>
          <w:rtl w:val="0"/>
          <w:lang w:val="it-IT"/>
        </w:rPr>
        <w:t>Questi tre impianti non sono sufficienti per la produzione di CDR del Lazio. Quindi l'ipotesi da valutare era, cos</w:t>
      </w:r>
      <w:r>
        <w:rPr>
          <w:rFonts w:hAnsi="Book Antiqua" w:hint="default"/>
          <w:color w:val="262626"/>
          <w:u w:color="163291"/>
          <w:rtl w:val="0"/>
          <w:lang w:val="it-IT"/>
        </w:rPr>
        <w:t xml:space="preserve">ì </w:t>
      </w:r>
      <w:r>
        <w:rPr>
          <w:rFonts w:ascii="Book Antiqua"/>
          <w:color w:val="262626"/>
          <w:u w:color="163291"/>
          <w:rtl w:val="0"/>
          <w:lang w:val="it-IT"/>
        </w:rPr>
        <w:t xml:space="preserve">come dice il Ministero, se serva un altro impianto nel Lazio oppure se non serva. </w:t>
      </w:r>
    </w:p>
    <w:p>
      <w:pPr>
        <w:pStyle w:val="Normal"/>
        <w:widowControl w:val="0"/>
        <w:ind w:left="567" w:right="567" w:firstLine="0"/>
        <w:jc w:val="both"/>
        <w:rPr>
          <w:rFonts w:ascii="Book Antiqua" w:cs="Book Antiqua" w:hAnsi="Book Antiqua" w:eastAsia="Book Antiqua"/>
          <w:color w:val="262626"/>
          <w:u w:color="163291"/>
        </w:rPr>
      </w:pPr>
      <w:r>
        <w:rPr>
          <w:rFonts w:ascii="Book Antiqua"/>
          <w:color w:val="262626"/>
          <w:u w:color="163291"/>
          <w:rtl w:val="0"/>
          <w:lang w:val="it-IT"/>
        </w:rPr>
        <w:t xml:space="preserve">L'ipotesi fatta, se lo scenario </w:t>
      </w:r>
      <w:r>
        <w:rPr>
          <w:rFonts w:hAnsi="Book Antiqua" w:hint="default"/>
          <w:color w:val="262626"/>
          <w:u w:color="163291"/>
          <w:rtl w:val="0"/>
          <w:lang w:val="it-IT"/>
        </w:rPr>
        <w:t xml:space="preserve">– </w:t>
      </w:r>
      <w:r>
        <w:rPr>
          <w:rFonts w:ascii="Book Antiqua"/>
          <w:color w:val="262626"/>
          <w:u w:color="163291"/>
          <w:rtl w:val="0"/>
          <w:lang w:val="it-IT"/>
        </w:rPr>
        <w:t>cos</w:t>
      </w:r>
      <w:r>
        <w:rPr>
          <w:rFonts w:hAnsi="Book Antiqua" w:hint="default"/>
          <w:color w:val="262626"/>
          <w:u w:color="163291"/>
          <w:rtl w:val="0"/>
          <w:lang w:val="it-IT"/>
        </w:rPr>
        <w:t xml:space="preserve">ì </w:t>
      </w:r>
      <w:r>
        <w:rPr>
          <w:rFonts w:ascii="Book Antiqua"/>
          <w:color w:val="262626"/>
          <w:u w:color="163291"/>
          <w:rtl w:val="0"/>
          <w:lang w:val="it-IT"/>
        </w:rPr>
        <w:t xml:space="preserve">come </w:t>
      </w:r>
      <w:r>
        <w:rPr>
          <w:rFonts w:hAnsi="Book Antiqua" w:hint="default"/>
          <w:color w:val="262626"/>
          <w:u w:color="163291"/>
          <w:rtl w:val="0"/>
          <w:lang w:val="it-IT"/>
        </w:rPr>
        <w:t xml:space="preserve">è </w:t>
      </w:r>
      <w:r>
        <w:rPr>
          <w:rFonts w:ascii="Book Antiqua"/>
          <w:color w:val="262626"/>
          <w:u w:color="163291"/>
          <w:rtl w:val="0"/>
          <w:lang w:val="it-IT"/>
        </w:rPr>
        <w:t xml:space="preserve">stato costruito </w:t>
      </w:r>
      <w:r>
        <w:rPr>
          <w:rFonts w:hAnsi="Book Antiqua" w:hint="default"/>
          <w:color w:val="262626"/>
          <w:u w:color="163291"/>
          <w:rtl w:val="0"/>
          <w:lang w:val="it-IT"/>
        </w:rPr>
        <w:t xml:space="preserve">– </w:t>
      </w:r>
      <w:r>
        <w:rPr>
          <w:rFonts w:ascii="Book Antiqua"/>
          <w:color w:val="262626"/>
          <w:u w:color="163291"/>
          <w:rtl w:val="0"/>
          <w:lang w:val="it-IT"/>
        </w:rPr>
        <w:t xml:space="preserve">porta a un miglioramento della raccolta differenziata e, contemporaneamente, alla riduzione della produzione di rifiuti, </w:t>
      </w:r>
      <w:r>
        <w:rPr>
          <w:rFonts w:hAnsi="Book Antiqua" w:hint="default"/>
          <w:color w:val="262626"/>
          <w:u w:color="163291"/>
          <w:rtl w:val="0"/>
          <w:lang w:val="it-IT"/>
        </w:rPr>
        <w:t xml:space="preserve">è </w:t>
      </w:r>
      <w:r>
        <w:rPr>
          <w:rFonts w:ascii="Book Antiqua"/>
          <w:color w:val="262626"/>
          <w:u w:color="163291"/>
          <w:rtl w:val="0"/>
          <w:lang w:val="it-IT"/>
        </w:rPr>
        <w:t>di una quantit</w:t>
      </w:r>
      <w:r>
        <w:rPr>
          <w:rFonts w:hAnsi="Book Antiqua" w:hint="default"/>
          <w:color w:val="262626"/>
          <w:u w:color="163291"/>
          <w:rtl w:val="0"/>
          <w:lang w:val="it-IT"/>
        </w:rPr>
        <w:t xml:space="preserve">à </w:t>
      </w:r>
      <w:r>
        <w:rPr>
          <w:rFonts w:ascii="Book Antiqua"/>
          <w:color w:val="262626"/>
          <w:u w:color="163291"/>
          <w:rtl w:val="0"/>
          <w:lang w:val="it-IT"/>
        </w:rPr>
        <w:t>di rifiuti da inviare alla termovalorizzazione, di qui a tre anni, che si equivale con le disponibilit</w:t>
      </w:r>
      <w:r>
        <w:rPr>
          <w:rFonts w:hAnsi="Book Antiqua" w:hint="default"/>
          <w:color w:val="262626"/>
          <w:u w:color="163291"/>
          <w:rtl w:val="0"/>
          <w:lang w:val="it-IT"/>
        </w:rPr>
        <w:t xml:space="preserve">à </w:t>
      </w:r>
      <w:r>
        <w:rPr>
          <w:rFonts w:ascii="Book Antiqua"/>
          <w:color w:val="262626"/>
          <w:u w:color="163291"/>
          <w:rtl w:val="0"/>
          <w:lang w:val="it-IT"/>
        </w:rPr>
        <w:t>degli impianti rispetto a quello che sar</w:t>
      </w:r>
      <w:r>
        <w:rPr>
          <w:rFonts w:hAnsi="Book Antiqua" w:hint="default"/>
          <w:color w:val="262626"/>
          <w:u w:color="163291"/>
          <w:rtl w:val="0"/>
          <w:lang w:val="it-IT"/>
        </w:rPr>
        <w:t xml:space="preserve">à </w:t>
      </w:r>
      <w:r>
        <w:rPr>
          <w:rFonts w:ascii="Book Antiqua"/>
          <w:color w:val="262626"/>
          <w:u w:color="163291"/>
          <w:rtl w:val="0"/>
          <w:lang w:val="it-IT"/>
        </w:rPr>
        <w:t>il fabbisogno da bruciare. Quindi, da qui a tre anni, siamo sicuramente in carenza ma, se le prospettive vengono mantenute, tra tre anni non servir</w:t>
      </w:r>
      <w:r>
        <w:rPr>
          <w:rFonts w:hAnsi="Book Antiqua" w:hint="default"/>
          <w:color w:val="262626"/>
          <w:u w:color="163291"/>
          <w:rtl w:val="0"/>
          <w:lang w:val="it-IT"/>
        </w:rPr>
        <w:t xml:space="preserve">à </w:t>
      </w:r>
      <w:r>
        <w:rPr>
          <w:rFonts w:ascii="Book Antiqua"/>
          <w:color w:val="262626"/>
          <w:u w:color="163291"/>
          <w:rtl w:val="0"/>
          <w:lang w:val="it-IT"/>
        </w:rPr>
        <w:t>pi</w:t>
      </w:r>
      <w:r>
        <w:rPr>
          <w:rFonts w:hAnsi="Book Antiqua" w:hint="default"/>
          <w:color w:val="262626"/>
          <w:u w:color="163291"/>
          <w:rtl w:val="0"/>
          <w:lang w:val="it-IT"/>
        </w:rPr>
        <w:t xml:space="preserve">ù </w:t>
      </w:r>
      <w:r>
        <w:rPr>
          <w:rFonts w:ascii="Book Antiqua"/>
          <w:color w:val="262626"/>
          <w:u w:color="163291"/>
          <w:rtl w:val="0"/>
          <w:lang w:val="it-IT"/>
        </w:rPr>
        <w:t xml:space="preserve">l'impianto. Pertanto la scelta della regione </w:t>
      </w:r>
      <w:r>
        <w:rPr>
          <w:rFonts w:hAnsi="Book Antiqua" w:hint="default"/>
          <w:color w:val="262626"/>
          <w:u w:color="163291"/>
          <w:rtl w:val="0"/>
          <w:lang w:val="it-IT"/>
        </w:rPr>
        <w:t xml:space="preserve">è </w:t>
      </w:r>
      <w:r>
        <w:rPr>
          <w:rFonts w:ascii="Book Antiqua"/>
          <w:color w:val="262626"/>
          <w:u w:color="163291"/>
          <w:rtl w:val="0"/>
          <w:lang w:val="it-IT"/>
        </w:rPr>
        <w:t>stata di non costruire un nuovo impianto, logicamente se rispettiamo la riduzione della produzione di rifiuti e l'aumento della raccolta differenziata. [</w:t>
      </w:r>
      <w:r>
        <w:rPr>
          <w:rFonts w:hAnsi="Book Antiqua" w:hint="default"/>
          <w:color w:val="262626"/>
          <w:u w:color="163291"/>
          <w:rtl w:val="0"/>
          <w:lang w:val="it-IT"/>
        </w:rPr>
        <w:t>…</w:t>
      </w:r>
      <w:r>
        <w:rPr>
          <w:rFonts w:ascii="Book Antiqua"/>
          <w:color w:val="262626"/>
          <w:u w:color="163291"/>
          <w:rtl w:val="0"/>
          <w:lang w:val="it-IT"/>
        </w:rPr>
        <w:t>] La curva si incontra a circa tre anni e mezzo con la sufficienza.</w:t>
      </w:r>
    </w:p>
    <w:p>
      <w:pPr>
        <w:pStyle w:val="Normal"/>
        <w:widowControl w:val="0"/>
        <w:ind w:left="567" w:right="567" w:firstLine="0"/>
        <w:jc w:val="both"/>
        <w:rPr>
          <w:rFonts w:ascii="Book Antiqua" w:cs="Book Antiqua" w:hAnsi="Book Antiqua" w:eastAsia="Book Antiqua"/>
          <w:color w:val="262626"/>
          <w:u w:color="163291"/>
        </w:rPr>
      </w:pPr>
      <w:r>
        <w:rPr>
          <w:rFonts w:ascii="Book Antiqua"/>
          <w:color w:val="262626"/>
          <w:u w:color="163291"/>
          <w:rtl w:val="0"/>
          <w:lang w:val="it-IT"/>
        </w:rPr>
        <w:t>[</w:t>
      </w:r>
      <w:r>
        <w:rPr>
          <w:rFonts w:hAnsi="Book Antiqua" w:hint="default"/>
          <w:color w:val="262626"/>
          <w:u w:color="163291"/>
          <w:rtl w:val="0"/>
          <w:lang w:val="it-IT"/>
        </w:rPr>
        <w:t>…</w:t>
      </w:r>
      <w:r>
        <w:rPr>
          <w:rFonts w:ascii="Book Antiqua"/>
          <w:color w:val="262626"/>
          <w:u w:color="163291"/>
          <w:rtl w:val="0"/>
          <w:lang w:val="it-IT"/>
        </w:rPr>
        <w:t>] Gli impianti di Colleferro sono totalmente CDR [</w:t>
      </w:r>
      <w:r>
        <w:rPr>
          <w:rFonts w:hAnsi="Book Antiqua" w:hint="default"/>
          <w:color w:val="262626"/>
          <w:u w:color="163291"/>
          <w:rtl w:val="0"/>
          <w:lang w:val="it-IT"/>
        </w:rPr>
        <w:t>…</w:t>
      </w:r>
      <w:r>
        <w:rPr>
          <w:rFonts w:ascii="Book Antiqua"/>
          <w:color w:val="262626"/>
          <w:u w:color="163291"/>
          <w:rtl w:val="0"/>
          <w:lang w:val="it-IT"/>
        </w:rPr>
        <w:t>] L'impianto di ACEA ha una parte destinata ai fanghi perch</w:t>
      </w:r>
      <w:r>
        <w:rPr>
          <w:rFonts w:hAnsi="Book Antiqua" w:hint="default"/>
          <w:color w:val="262626"/>
          <w:u w:color="163291"/>
          <w:rtl w:val="0"/>
          <w:lang w:val="it-IT"/>
        </w:rPr>
        <w:t xml:space="preserve">é </w:t>
      </w:r>
      <w:r>
        <w:rPr>
          <w:rFonts w:ascii="Book Antiqua"/>
          <w:color w:val="262626"/>
          <w:u w:color="163291"/>
          <w:rtl w:val="0"/>
          <w:lang w:val="it-IT"/>
        </w:rPr>
        <w:t>nasceva come ACEA [</w:t>
      </w:r>
      <w:r>
        <w:rPr>
          <w:rFonts w:hAnsi="Book Antiqua" w:hint="default"/>
          <w:color w:val="262626"/>
          <w:u w:color="163291"/>
          <w:rtl w:val="0"/>
          <w:lang w:val="it-IT"/>
        </w:rPr>
        <w:t>…</w:t>
      </w:r>
      <w:r>
        <w:rPr>
          <w:rFonts w:ascii="Book Antiqua"/>
          <w:color w:val="262626"/>
          <w:u w:color="163291"/>
          <w:rtl w:val="0"/>
          <w:lang w:val="it-IT"/>
        </w:rPr>
        <w:t>] In realt</w:t>
      </w:r>
      <w:r>
        <w:rPr>
          <w:rFonts w:hAnsi="Book Antiqua" w:hint="default"/>
          <w:color w:val="262626"/>
          <w:u w:color="163291"/>
          <w:rtl w:val="0"/>
          <w:lang w:val="it-IT"/>
        </w:rPr>
        <w:t>à</w:t>
      </w:r>
      <w:r>
        <w:rPr>
          <w:rFonts w:ascii="Book Antiqua"/>
          <w:color w:val="262626"/>
          <w:u w:color="163291"/>
          <w:rtl w:val="0"/>
          <w:lang w:val="it-IT"/>
        </w:rPr>
        <w:t xml:space="preserve">, hanno appena presentato un'istanza di VIA per il potenziamento a carico termico. Praticamente </w:t>
      </w:r>
      <w:r>
        <w:rPr>
          <w:rFonts w:hAnsi="Book Antiqua" w:hint="default"/>
          <w:color w:val="262626"/>
          <w:u w:color="163291"/>
          <w:rtl w:val="0"/>
          <w:lang w:val="it-IT"/>
        </w:rPr>
        <w:t xml:space="preserve">è </w:t>
      </w:r>
      <w:r>
        <w:rPr>
          <w:rFonts w:ascii="Book Antiqua"/>
          <w:color w:val="262626"/>
          <w:u w:color="163291"/>
          <w:rtl w:val="0"/>
          <w:lang w:val="it-IT"/>
        </w:rPr>
        <w:t>previsto che possa essere aumentata la disponibilit</w:t>
      </w:r>
      <w:r>
        <w:rPr>
          <w:rFonts w:hAnsi="Book Antiqua" w:hint="default"/>
          <w:color w:val="262626"/>
          <w:u w:color="163291"/>
          <w:rtl w:val="0"/>
          <w:lang w:val="it-IT"/>
        </w:rPr>
        <w:t xml:space="preserve">à </w:t>
      </w:r>
      <w:r>
        <w:rPr>
          <w:rFonts w:ascii="Book Antiqua"/>
          <w:color w:val="262626"/>
          <w:u w:color="163291"/>
          <w:rtl w:val="0"/>
          <w:lang w:val="it-IT"/>
        </w:rPr>
        <w:t>del carico termico. In questo momento sono in esercizio due linee perch</w:t>
      </w:r>
      <w:r>
        <w:rPr>
          <w:rFonts w:hAnsi="Book Antiqua" w:hint="default"/>
          <w:color w:val="262626"/>
          <w:u w:color="163291"/>
          <w:rtl w:val="0"/>
          <w:lang w:val="it-IT"/>
        </w:rPr>
        <w:t xml:space="preserve">é </w:t>
      </w:r>
      <w:r>
        <w:rPr>
          <w:rFonts w:ascii="Book Antiqua"/>
          <w:color w:val="262626"/>
          <w:u w:color="163291"/>
          <w:rtl w:val="0"/>
          <w:lang w:val="it-IT"/>
        </w:rPr>
        <w:t xml:space="preserve">la terza </w:t>
      </w:r>
      <w:r>
        <w:rPr>
          <w:rFonts w:hAnsi="Book Antiqua" w:hint="default"/>
          <w:color w:val="262626"/>
          <w:u w:color="163291"/>
          <w:rtl w:val="0"/>
          <w:lang w:val="it-IT"/>
        </w:rPr>
        <w:t xml:space="preserve">è </w:t>
      </w:r>
      <w:r>
        <w:rPr>
          <w:rFonts w:ascii="Book Antiqua"/>
          <w:color w:val="262626"/>
          <w:u w:color="163291"/>
          <w:rtl w:val="0"/>
          <w:lang w:val="it-IT"/>
        </w:rPr>
        <w:t xml:space="preserve">in </w:t>
      </w:r>
      <w:r>
        <w:rPr>
          <w:rFonts w:ascii="Book Antiqua"/>
          <w:i w:val="1"/>
          <w:iCs w:val="1"/>
          <w:color w:val="262626"/>
          <w:u w:color="163291"/>
          <w:rtl w:val="0"/>
          <w:lang w:val="it-IT"/>
        </w:rPr>
        <w:t>revamping.</w:t>
      </w:r>
      <w:r>
        <w:rPr>
          <w:rFonts w:ascii="Book Antiqua"/>
          <w:color w:val="262626"/>
          <w:u w:color="163291"/>
          <w:rtl w:val="0"/>
          <w:lang w:val="it-IT"/>
        </w:rPr>
        <w:t xml:space="preserve"> Il termine dei lavori </w:t>
      </w:r>
      <w:r>
        <w:rPr>
          <w:rFonts w:hAnsi="Book Antiqua" w:hint="default"/>
          <w:color w:val="262626"/>
          <w:u w:color="163291"/>
          <w:rtl w:val="0"/>
          <w:lang w:val="it-IT"/>
        </w:rPr>
        <w:t xml:space="preserve">è </w:t>
      </w:r>
      <w:r>
        <w:rPr>
          <w:rFonts w:ascii="Book Antiqua"/>
          <w:color w:val="262626"/>
          <w:u w:color="163291"/>
          <w:rtl w:val="0"/>
          <w:lang w:val="it-IT"/>
        </w:rPr>
        <w:t xml:space="preserve">previsto per ottobre di quest'anno e la messa in esercizio definitiva per marzo-aprile del 2017. Per quella data, quindi, dovrebbe essere stata esplicata la VIA che potenzia il carico termico di tutte e tre le linee. La nostra idea </w:t>
      </w:r>
      <w:r>
        <w:rPr>
          <w:rFonts w:hAnsi="Book Antiqua" w:hint="default"/>
          <w:color w:val="262626"/>
          <w:u w:color="163291"/>
          <w:rtl w:val="0"/>
          <w:lang w:val="it-IT"/>
        </w:rPr>
        <w:t xml:space="preserve">è </w:t>
      </w:r>
      <w:r>
        <w:rPr>
          <w:rFonts w:ascii="Book Antiqua"/>
          <w:color w:val="262626"/>
          <w:u w:color="163291"/>
          <w:rtl w:val="0"/>
          <w:lang w:val="it-IT"/>
        </w:rPr>
        <w:t>che questo potenziamento vada esclusivamente nei confronti dei CDR.</w:t>
      </w:r>
    </w:p>
    <w:p>
      <w:pPr>
        <w:pStyle w:val="Normal"/>
        <w:widowControl w:val="0"/>
        <w:ind w:left="567" w:right="567" w:firstLine="0"/>
        <w:jc w:val="both"/>
        <w:rPr>
          <w:rFonts w:ascii="Book Antiqua" w:cs="Book Antiqua" w:hAnsi="Book Antiqua" w:eastAsia="Book Antiqua"/>
          <w:i w:val="1"/>
          <w:iCs w:val="1"/>
          <w:color w:val="262626"/>
          <w:u w:color="163291"/>
        </w:rPr>
      </w:pPr>
      <w:r>
        <w:rPr>
          <w:rFonts w:ascii="Book Antiqua"/>
          <w:i w:val="1"/>
          <w:iCs w:val="1"/>
          <w:color w:val="262626"/>
          <w:u w:color="163291"/>
          <w:rtl w:val="0"/>
          <w:lang w:val="it-IT"/>
        </w:rPr>
        <w:t>Le tariffe</w:t>
      </w:r>
    </w:p>
    <w:p>
      <w:pPr>
        <w:pStyle w:val="Normal"/>
        <w:widowControl w:val="0"/>
        <w:ind w:left="567" w:right="567" w:firstLine="0"/>
        <w:jc w:val="both"/>
        <w:rPr>
          <w:rFonts w:ascii="Book Antiqua" w:cs="Book Antiqua" w:hAnsi="Book Antiqua" w:eastAsia="Book Antiqua"/>
          <w:color w:val="262626"/>
          <w:u w:color="163291"/>
        </w:rPr>
      </w:pPr>
      <w:r>
        <w:rPr>
          <w:rFonts w:ascii="Book Antiqua"/>
          <w:color w:val="262626"/>
          <w:u w:color="163291"/>
          <w:rtl w:val="0"/>
          <w:lang w:val="it-IT"/>
        </w:rPr>
        <w:t>[</w:t>
      </w:r>
      <w:r>
        <w:rPr>
          <w:rFonts w:hAnsi="Book Antiqua" w:hint="default"/>
          <w:color w:val="262626"/>
          <w:u w:color="163291"/>
          <w:rtl w:val="0"/>
          <w:lang w:val="it-IT"/>
        </w:rPr>
        <w:t>…</w:t>
      </w:r>
      <w:r>
        <w:rPr>
          <w:rFonts w:ascii="Book Antiqua"/>
          <w:color w:val="262626"/>
          <w:u w:color="163291"/>
          <w:rtl w:val="0"/>
          <w:lang w:val="it-IT"/>
        </w:rPr>
        <w:t xml:space="preserve">] Per quanto riguarda il discorso delle tariffe </w:t>
      </w:r>
      <w:r>
        <w:rPr>
          <w:rFonts w:hAnsi="Book Antiqua" w:hint="default"/>
          <w:color w:val="262626"/>
          <w:u w:color="163291"/>
          <w:rtl w:val="0"/>
          <w:lang w:val="it-IT"/>
        </w:rPr>
        <w:t xml:space="preserve">è </w:t>
      </w:r>
      <w:r>
        <w:rPr>
          <w:rFonts w:ascii="Book Antiqua"/>
          <w:color w:val="262626"/>
          <w:u w:color="163291"/>
          <w:rtl w:val="0"/>
          <w:lang w:val="it-IT"/>
        </w:rPr>
        <w:t xml:space="preserve">vero che il Consiglio di Stato ha espresso un parere su come era stata approvata la tariffa: appena </w:t>
      </w:r>
      <w:r>
        <w:rPr>
          <w:rFonts w:hAnsi="Book Antiqua" w:hint="default"/>
          <w:color w:val="262626"/>
          <w:u w:color="163291"/>
          <w:rtl w:val="0"/>
          <w:lang w:val="it-IT"/>
        </w:rPr>
        <w:t xml:space="preserve">è </w:t>
      </w:r>
      <w:r>
        <w:rPr>
          <w:rFonts w:ascii="Book Antiqua"/>
          <w:color w:val="262626"/>
          <w:u w:color="163291"/>
          <w:rtl w:val="0"/>
          <w:lang w:val="it-IT"/>
        </w:rPr>
        <w:t xml:space="preserve">stata notificata la sentenza, ho avviato il procedimento di revisione della tariffa. Il procedimento </w:t>
      </w:r>
      <w:r>
        <w:rPr>
          <w:rFonts w:hAnsi="Book Antiqua" w:hint="default"/>
          <w:color w:val="262626"/>
          <w:u w:color="163291"/>
          <w:rtl w:val="0"/>
          <w:lang w:val="it-IT"/>
        </w:rPr>
        <w:t xml:space="preserve">è </w:t>
      </w:r>
      <w:r>
        <w:rPr>
          <w:rFonts w:ascii="Book Antiqua"/>
          <w:color w:val="262626"/>
          <w:u w:color="163291"/>
          <w:rtl w:val="0"/>
          <w:lang w:val="it-IT"/>
        </w:rPr>
        <w:t xml:space="preserve">in corso ed </w:t>
      </w:r>
      <w:r>
        <w:rPr>
          <w:rFonts w:hAnsi="Book Antiqua" w:hint="default"/>
          <w:color w:val="262626"/>
          <w:u w:color="163291"/>
          <w:rtl w:val="0"/>
          <w:lang w:val="it-IT"/>
        </w:rPr>
        <w:t xml:space="preserve">è </w:t>
      </w:r>
      <w:r>
        <w:rPr>
          <w:rFonts w:ascii="Book Antiqua"/>
          <w:color w:val="262626"/>
          <w:u w:color="163291"/>
          <w:rtl w:val="0"/>
          <w:lang w:val="it-IT"/>
        </w:rPr>
        <w:t xml:space="preserve">in fase di conclusione. Nel frattempo, abbiamo avuto una modifica nella nostra direzione, che ha ritardato alcune cose ma </w:t>
      </w:r>
      <w:r>
        <w:rPr>
          <w:rFonts w:hAnsi="Book Antiqua" w:hint="default"/>
          <w:color w:val="262626"/>
          <w:u w:color="163291"/>
          <w:rtl w:val="0"/>
          <w:lang w:val="it-IT"/>
        </w:rPr>
        <w:t xml:space="preserve">è </w:t>
      </w:r>
      <w:r>
        <w:rPr>
          <w:rFonts w:ascii="Book Antiqua"/>
          <w:color w:val="262626"/>
          <w:u w:color="163291"/>
          <w:rtl w:val="0"/>
          <w:lang w:val="it-IT"/>
        </w:rPr>
        <w:t>veramente questione di giorni. Abbiamo veramente da poco un nuovo direttore, che sta verificando i procedimenti [</w:t>
      </w:r>
      <w:r>
        <w:rPr>
          <w:rFonts w:hAnsi="Book Antiqua" w:hint="default"/>
          <w:color w:val="262626"/>
          <w:u w:color="163291"/>
          <w:rtl w:val="0"/>
          <w:lang w:val="it-IT"/>
        </w:rPr>
        <w:t>…</w:t>
      </w:r>
      <w:r>
        <w:rPr>
          <w:rFonts w:ascii="Book Antiqua"/>
          <w:color w:val="262626"/>
          <w:u w:color="163291"/>
          <w:rtl w:val="0"/>
          <w:lang w:val="it-IT"/>
        </w:rPr>
        <w:t>]  Il TAR non ha proceduto sulla questione degli extra-costi, proprio perch</w:t>
      </w:r>
      <w:r>
        <w:rPr>
          <w:rFonts w:hAnsi="Book Antiqua" w:hint="default"/>
          <w:color w:val="262626"/>
          <w:u w:color="163291"/>
          <w:rtl w:val="0"/>
          <w:lang w:val="it-IT"/>
        </w:rPr>
        <w:t xml:space="preserve">é è </w:t>
      </w:r>
      <w:r>
        <w:rPr>
          <w:rFonts w:ascii="Book Antiqua"/>
          <w:color w:val="262626"/>
          <w:u w:color="163291"/>
          <w:rtl w:val="0"/>
          <w:lang w:val="it-IT"/>
        </w:rPr>
        <w:t>stata rimandata alla definizione degli altri aspetti: non ha riconosciuto l'errore dell'extra-costo quanto piuttosto l'opportunit</w:t>
      </w:r>
      <w:r>
        <w:rPr>
          <w:rFonts w:hAnsi="Book Antiqua" w:hint="default"/>
          <w:color w:val="262626"/>
          <w:u w:color="163291"/>
          <w:rtl w:val="0"/>
          <w:lang w:val="it-IT"/>
        </w:rPr>
        <w:t xml:space="preserve">à </w:t>
      </w:r>
      <w:r>
        <w:rPr>
          <w:rFonts w:ascii="Book Antiqua"/>
          <w:color w:val="262626"/>
          <w:u w:color="163291"/>
          <w:rtl w:val="0"/>
          <w:lang w:val="it-IT"/>
        </w:rPr>
        <w:t xml:space="preserve">di rifare tutta la tariffa. Abbiamo avviato il procedimento: l'ho avviato io a febbraio ed </w:t>
      </w:r>
      <w:r>
        <w:rPr>
          <w:rFonts w:hAnsi="Book Antiqua" w:hint="default"/>
          <w:color w:val="262626"/>
          <w:u w:color="163291"/>
          <w:rtl w:val="0"/>
          <w:lang w:val="it-IT"/>
        </w:rPr>
        <w:t xml:space="preserve">è </w:t>
      </w:r>
      <w:r>
        <w:rPr>
          <w:rFonts w:ascii="Book Antiqua"/>
          <w:color w:val="262626"/>
          <w:u w:color="163291"/>
          <w:rtl w:val="0"/>
          <w:lang w:val="it-IT"/>
        </w:rPr>
        <w:t xml:space="preserve">semplicemente da chiudere. Questo andava chiuso entro giugno ma abbiamo avuto questo cambio di direttore: </w:t>
      </w:r>
      <w:r>
        <w:rPr>
          <w:rFonts w:hAnsi="Book Antiqua" w:hint="default"/>
          <w:color w:val="262626"/>
          <w:u w:color="163291"/>
          <w:rtl w:val="0"/>
          <w:lang w:val="it-IT"/>
        </w:rPr>
        <w:t xml:space="preserve">è </w:t>
      </w:r>
      <w:r>
        <w:rPr>
          <w:rFonts w:ascii="Book Antiqua"/>
          <w:color w:val="262626"/>
          <w:u w:color="163291"/>
          <w:rtl w:val="0"/>
          <w:lang w:val="it-IT"/>
        </w:rPr>
        <w:t xml:space="preserve">veramente una questione imminente e credo che prima dell'estate avremo un riscontro in tal senso. Questo per quanto riguarda le tariffe di Malagrotta. </w:t>
      </w:r>
    </w:p>
    <w:p>
      <w:pPr>
        <w:pStyle w:val="Normal"/>
        <w:widowControl w:val="0"/>
        <w:ind w:left="567" w:right="567" w:firstLine="0"/>
        <w:jc w:val="both"/>
        <w:rPr>
          <w:rFonts w:ascii="Book Antiqua" w:cs="Book Antiqua" w:hAnsi="Book Antiqua" w:eastAsia="Book Antiqua"/>
          <w:i w:val="1"/>
          <w:iCs w:val="1"/>
          <w:color w:val="262626"/>
          <w:u w:color="163291"/>
        </w:rPr>
      </w:pPr>
      <w:r>
        <w:rPr>
          <w:rFonts w:ascii="Book Antiqua"/>
          <w:i w:val="1"/>
          <w:iCs w:val="1"/>
          <w:color w:val="262626"/>
          <w:u w:color="163291"/>
          <w:rtl w:val="0"/>
          <w:lang w:val="it-IT"/>
        </w:rPr>
        <w:t>La raccolta differenziata</w:t>
      </w:r>
    </w:p>
    <w:p>
      <w:pPr>
        <w:pStyle w:val="Normal"/>
        <w:widowControl w:val="0"/>
        <w:ind w:left="567" w:right="567" w:firstLine="0"/>
        <w:jc w:val="both"/>
        <w:rPr>
          <w:rFonts w:ascii="Book Antiqua" w:cs="Book Antiqua" w:hAnsi="Book Antiqua" w:eastAsia="Book Antiqua"/>
          <w:color w:val="262626"/>
          <w:u w:color="163291"/>
        </w:rPr>
      </w:pPr>
      <w:r>
        <w:rPr>
          <w:rFonts w:ascii="Book Antiqua"/>
          <w:color w:val="262626"/>
          <w:u w:color="163291"/>
          <w:rtl w:val="0"/>
          <w:lang w:val="it-IT"/>
        </w:rPr>
        <w:t>Per quanto riguarda la raccolta differenziata, come Regione c'erano stati diversi impegni triennali. Negli ultimi tre anni, questi in corso, ci sono circa 114 milioni di euro di raccolta differenziata destinati alle province, quindi ai comuni. A differenza di prima, quando c'era una sorta di difficolt</w:t>
      </w:r>
      <w:r>
        <w:rPr>
          <w:rFonts w:hAnsi="Book Antiqua" w:hint="default"/>
          <w:color w:val="262626"/>
          <w:u w:color="163291"/>
          <w:rtl w:val="0"/>
          <w:lang w:val="it-IT"/>
        </w:rPr>
        <w:t xml:space="preserve">à </w:t>
      </w:r>
      <w:r>
        <w:rPr>
          <w:rFonts w:ascii="Book Antiqua"/>
          <w:color w:val="262626"/>
          <w:u w:color="163291"/>
          <w:rtl w:val="0"/>
          <w:lang w:val="it-IT"/>
        </w:rPr>
        <w:t>nella liquidazione, praticamente, con quest'anno, abbiamo liquidato tutti questi importi alle province e quindi, di conseguenza, anche ai comuni. Ci aspettiamo che per il 2015 ci sia una grossa differenza della raccolta differenziata perch</w:t>
      </w:r>
      <w:r>
        <w:rPr>
          <w:rFonts w:hAnsi="Book Antiqua" w:hint="default"/>
          <w:color w:val="262626"/>
          <w:u w:color="163291"/>
          <w:rtl w:val="0"/>
          <w:lang w:val="it-IT"/>
        </w:rPr>
        <w:t xml:space="preserve">é </w:t>
      </w:r>
      <w:r>
        <w:rPr>
          <w:rFonts w:ascii="Book Antiqua"/>
          <w:color w:val="262626"/>
          <w:u w:color="163291"/>
          <w:rtl w:val="0"/>
          <w:lang w:val="it-IT"/>
        </w:rPr>
        <w:t xml:space="preserve">il primo vero intervento operativo </w:t>
      </w:r>
      <w:r>
        <w:rPr>
          <w:rFonts w:hAnsi="Book Antiqua" w:hint="default"/>
          <w:color w:val="262626"/>
          <w:u w:color="163291"/>
          <w:rtl w:val="0"/>
          <w:lang w:val="it-IT"/>
        </w:rPr>
        <w:t xml:space="preserve">è </w:t>
      </w:r>
      <w:r>
        <w:rPr>
          <w:rFonts w:ascii="Book Antiqua"/>
          <w:color w:val="262626"/>
          <w:u w:color="163291"/>
          <w:rtl w:val="0"/>
          <w:lang w:val="it-IT"/>
        </w:rPr>
        <w:t>arrivato proprio nel corso del 2015; tra quest'anno e l'anno scorso pensiamo di far partire veramente parecchi comuni con la raccolta differenziata. Abbiamo infatti la certezza che siano partiti i comuni, ma non abbiamo ancora il dato. [</w:t>
      </w:r>
      <w:r>
        <w:rPr>
          <w:rFonts w:hAnsi="Book Antiqua" w:hint="default"/>
          <w:color w:val="262626"/>
          <w:u w:color="163291"/>
          <w:rtl w:val="0"/>
          <w:lang w:val="it-IT"/>
        </w:rPr>
        <w:t>…</w:t>
      </w:r>
      <w:r>
        <w:rPr>
          <w:rFonts w:ascii="Book Antiqua"/>
          <w:color w:val="262626"/>
          <w:u w:color="163291"/>
          <w:rtl w:val="0"/>
          <w:lang w:val="it-IT"/>
        </w:rPr>
        <w:t>]</w:t>
      </w:r>
      <w:r>
        <w:rPr>
          <w:rFonts w:hAnsi="Book Antiqua" w:hint="default"/>
          <w:color w:val="262626"/>
          <w:u w:color="163291"/>
          <w:rtl w:val="0"/>
          <w:lang w:val="it-IT"/>
        </w:rPr>
        <w:t> </w:t>
      </w:r>
      <w:r>
        <w:rPr>
          <w:rFonts w:ascii="Book Antiqua"/>
          <w:color w:val="262626"/>
          <w:u w:color="163291"/>
          <w:rtl w:val="0"/>
          <w:lang w:val="it-IT"/>
        </w:rPr>
        <w:t>Per quanto riguarda, invece, la riduzione dei rifiuti, l'abbiamo approvata, ma per diventare operativa deve andare in consiglio; tra l'altro, l'abbiamo anche trasmessa al Ministero (che per</w:t>
      </w:r>
      <w:r>
        <w:rPr>
          <w:rFonts w:hAnsi="Book Antiqua" w:hint="default"/>
          <w:color w:val="262626"/>
          <w:u w:color="163291"/>
          <w:rtl w:val="0"/>
          <w:lang w:val="it-IT"/>
        </w:rPr>
        <w:t xml:space="preserve">ò </w:t>
      </w:r>
      <w:r>
        <w:rPr>
          <w:rFonts w:ascii="Book Antiqua"/>
          <w:color w:val="262626"/>
          <w:u w:color="163291"/>
          <w:rtl w:val="0"/>
          <w:lang w:val="it-IT"/>
        </w:rPr>
        <w:t>non ce l'ha accettata come delibera di giunta regionale, dovendo diventare un atto di consiglio). Sar</w:t>
      </w:r>
      <w:r>
        <w:rPr>
          <w:rFonts w:hAnsi="Book Antiqua" w:hint="default"/>
          <w:color w:val="262626"/>
          <w:u w:color="163291"/>
          <w:rtl w:val="0"/>
          <w:lang w:val="it-IT"/>
        </w:rPr>
        <w:t xml:space="preserve">à </w:t>
      </w:r>
      <w:r>
        <w:rPr>
          <w:rFonts w:ascii="Book Antiqua"/>
          <w:color w:val="262626"/>
          <w:u w:color="163291"/>
          <w:rtl w:val="0"/>
          <w:lang w:val="it-IT"/>
        </w:rPr>
        <w:t>un allegato del piano che dobbiamo andare a rifare: questa era la collocazione corretta delle linee-guida, che peraltro abbiamo gi</w:t>
      </w:r>
      <w:r>
        <w:rPr>
          <w:rFonts w:hAnsi="Book Antiqua" w:hint="default"/>
          <w:color w:val="262626"/>
          <w:u w:color="163291"/>
          <w:rtl w:val="0"/>
          <w:lang w:val="it-IT"/>
        </w:rPr>
        <w:t xml:space="preserve">à </w:t>
      </w:r>
      <w:r>
        <w:rPr>
          <w:rFonts w:ascii="Book Antiqua"/>
          <w:color w:val="262626"/>
          <w:u w:color="163291"/>
          <w:rtl w:val="0"/>
          <w:lang w:val="it-IT"/>
        </w:rPr>
        <w:t>approvato</w:t>
      </w:r>
      <w:r>
        <w:rPr>
          <w:rFonts w:hAnsi="Book Antiqua" w:hint="default"/>
          <w:color w:val="262626"/>
          <w:u w:color="163291"/>
          <w:rtl w:val="0"/>
          <w:lang w:val="it-IT"/>
        </w:rPr>
        <w:t>”</w:t>
      </w:r>
      <w:r>
        <w:rPr>
          <w:rFonts w:ascii="Book Antiqua"/>
          <w:color w:val="262626"/>
          <w:u w:color="163291"/>
          <w:rtl w:val="0"/>
          <w:lang w:val="it-IT"/>
        </w:rPr>
        <w:t>.</w:t>
      </w:r>
    </w:p>
    <w:p>
      <w:pPr>
        <w:pStyle w:val="Normal"/>
        <w:widowControl w:val="0"/>
        <w:ind w:left="567" w:right="567" w:firstLine="0"/>
        <w:jc w:val="both"/>
        <w:rPr>
          <w:rFonts w:ascii="Book Antiqua" w:cs="Book Antiqua" w:hAnsi="Book Antiqua" w:eastAsia="Book Antiqua"/>
          <w:color w:val="262626"/>
          <w:u w:color="163291"/>
        </w:rPr>
      </w:pPr>
      <w:r>
        <w:rPr>
          <w:rFonts w:ascii="Book Antiqua"/>
          <w:rtl w:val="0"/>
          <w:lang w:val="it-IT"/>
        </w:rPr>
        <w:t xml:space="preserve">Come si </w:t>
      </w:r>
      <w:r>
        <w:rPr>
          <w:rFonts w:hAnsi="Book Antiqua" w:hint="default"/>
          <w:rtl w:val="0"/>
          <w:lang w:val="it-IT"/>
        </w:rPr>
        <w:t xml:space="preserve">è </w:t>
      </w:r>
      <w:r>
        <w:rPr>
          <w:rFonts w:ascii="Book Antiqua"/>
          <w:rtl w:val="0"/>
          <w:lang w:val="it-IT"/>
        </w:rPr>
        <w:t>detto, l</w:t>
      </w:r>
      <w:r>
        <w:rPr>
          <w:rFonts w:hAnsi="Book Antiqua" w:hint="default"/>
          <w:rtl w:val="0"/>
          <w:lang w:val="it-IT"/>
        </w:rPr>
        <w:t>’</w:t>
      </w:r>
      <w:r>
        <w:rPr>
          <w:rFonts w:ascii="Book Antiqua"/>
          <w:rtl w:val="0"/>
          <w:lang w:val="it-IT"/>
        </w:rPr>
        <w:t>audizione dell</w:t>
      </w:r>
      <w:r>
        <w:rPr>
          <w:rFonts w:hAnsi="Book Antiqua" w:hint="default"/>
          <w:rtl w:val="0"/>
          <w:lang w:val="it-IT"/>
        </w:rPr>
        <w:t>’</w:t>
      </w:r>
      <w:r>
        <w:rPr>
          <w:rFonts w:ascii="Book Antiqua"/>
          <w:rtl w:val="0"/>
          <w:lang w:val="it-IT"/>
        </w:rPr>
        <w:t>assessore regionale all</w:t>
      </w:r>
      <w:r>
        <w:rPr>
          <w:rFonts w:hAnsi="Book Antiqua" w:hint="default"/>
          <w:rtl w:val="0"/>
          <w:lang w:val="it-IT"/>
        </w:rPr>
        <w:t>’</w:t>
      </w:r>
      <w:r>
        <w:rPr>
          <w:rFonts w:ascii="Book Antiqua"/>
          <w:rtl w:val="0"/>
          <w:lang w:val="it-IT"/>
        </w:rPr>
        <w:t xml:space="preserve">ambiente Mauro Buschini </w:t>
      </w:r>
      <w:r>
        <w:rPr>
          <w:rFonts w:hAnsi="Book Antiqua" w:hint="default"/>
          <w:rtl w:val="0"/>
          <w:lang w:val="it-IT"/>
        </w:rPr>
        <w:t xml:space="preserve">– </w:t>
      </w:r>
      <w:r>
        <w:rPr>
          <w:rFonts w:ascii="Book Antiqua"/>
          <w:rtl w:val="0"/>
          <w:lang w:val="it-IT"/>
        </w:rPr>
        <w:t xml:space="preserve">in carica dal febbraio 2016 </w:t>
      </w:r>
      <w:r>
        <w:rPr>
          <w:rFonts w:hAnsi="Book Antiqua" w:hint="default"/>
          <w:rtl w:val="0"/>
          <w:lang w:val="it-IT"/>
        </w:rPr>
        <w:t xml:space="preserve">– </w:t>
      </w:r>
      <w:r>
        <w:rPr>
          <w:rFonts w:ascii="Book Antiqua"/>
          <w:rtl w:val="0"/>
          <w:lang w:val="it-IT"/>
        </w:rPr>
        <w:t>ha consentito di ottenere risposte ai quesiti a suo tempo posti ma anche di acquisire informazioni circa gli orientamenti della regione sul tema del ciclo dei rifiuti.</w:t>
      </w:r>
    </w:p>
    <w:p>
      <w:pPr>
        <w:pStyle w:val="Normal"/>
        <w:ind w:left="567" w:right="567" w:firstLine="0"/>
        <w:jc w:val="both"/>
        <w:rPr>
          <w:rFonts w:ascii="Book Antiqua" w:cs="Book Antiqua" w:hAnsi="Book Antiqua" w:eastAsia="Book Antiqua"/>
        </w:rPr>
      </w:pPr>
      <w:r>
        <w:rPr>
          <w:rFonts w:ascii="Book Antiqua"/>
          <w:rtl w:val="0"/>
          <w:lang w:val="it-IT"/>
        </w:rPr>
        <w:t>Si deve ribadire che sono proprio l</w:t>
      </w:r>
      <w:r>
        <w:rPr>
          <w:rFonts w:hAnsi="Book Antiqua" w:hint="default"/>
          <w:rtl w:val="0"/>
          <w:lang w:val="it-IT"/>
        </w:rPr>
        <w:t>’</w:t>
      </w:r>
      <w:r>
        <w:rPr>
          <w:rFonts w:ascii="Book Antiqua"/>
          <w:rtl w:val="0"/>
          <w:lang w:val="it-IT"/>
        </w:rPr>
        <w:t>esistenza di una visione generale, il suo coerente perseguimento e il dialogo realistico e fattivo tra tutti gli enti coinvolti i presupposti per evitare che si creino condizioni favorevoli a fenomeni illeciti.</w:t>
      </w:r>
    </w:p>
    <w:p>
      <w:pPr>
        <w:pStyle w:val="Normal"/>
        <w:ind w:left="567" w:right="567" w:firstLine="0"/>
        <w:jc w:val="both"/>
        <w:rPr>
          <w:rFonts w:ascii="Book Antiqua" w:cs="Book Antiqua" w:hAnsi="Book Antiqua" w:eastAsia="Book Antiqua"/>
        </w:rPr>
      </w:pPr>
      <w:r>
        <w:rPr>
          <w:rFonts w:ascii="Book Antiqua"/>
          <w:rtl w:val="0"/>
          <w:lang w:val="it-IT"/>
        </w:rPr>
        <w:t>Nell</w:t>
      </w:r>
      <w:r>
        <w:rPr>
          <w:rFonts w:hAnsi="Book Antiqua" w:hint="default"/>
          <w:rtl w:val="0"/>
          <w:lang w:val="it-IT"/>
        </w:rPr>
        <w:t>’</w:t>
      </w:r>
      <w:r>
        <w:rPr>
          <w:rFonts w:ascii="Book Antiqua"/>
          <w:rtl w:val="0"/>
          <w:lang w:val="it-IT"/>
        </w:rPr>
        <w:t>audizione del 1</w:t>
      </w:r>
      <w:r>
        <w:rPr>
          <w:rFonts w:hAnsi="Book Antiqua" w:hint="default"/>
          <w:rtl w:val="0"/>
          <w:lang w:val="it-IT"/>
        </w:rPr>
        <w:t xml:space="preserve">° </w:t>
      </w:r>
      <w:r>
        <w:rPr>
          <w:rFonts w:ascii="Book Antiqua"/>
          <w:rtl w:val="0"/>
          <w:lang w:val="it-IT"/>
        </w:rPr>
        <w:t>febbraio 2017 l</w:t>
      </w:r>
      <w:r>
        <w:rPr>
          <w:rFonts w:hAnsi="Book Antiqua" w:hint="default"/>
          <w:rtl w:val="0"/>
          <w:lang w:val="it-IT"/>
        </w:rPr>
        <w:t>’</w:t>
      </w:r>
      <w:r>
        <w:rPr>
          <w:rFonts w:ascii="Book Antiqua"/>
          <w:rtl w:val="0"/>
          <w:lang w:val="it-IT"/>
        </w:rPr>
        <w:t>assessore Buschini ha dunque affermato:</w:t>
      </w:r>
    </w:p>
    <w:p>
      <w:pPr>
        <w:pStyle w:val="Normal"/>
        <w:widowControl w:val="0"/>
        <w:ind w:left="567" w:right="567" w:firstLine="0"/>
        <w:jc w:val="both"/>
        <w:rPr>
          <w:rFonts w:ascii="Book Antiqua" w:cs="Book Antiqua" w:hAnsi="Book Antiqua" w:eastAsia="Book Antiqua"/>
          <w:color w:val="262626"/>
          <w:u w:color="262626"/>
        </w:rPr>
      </w:pPr>
      <w:r>
        <w:rPr>
          <w:rFonts w:hAnsi="Book Antiqua" w:hint="default"/>
          <w:color w:val="262626"/>
          <w:u w:color="262626"/>
          <w:rtl w:val="0"/>
          <w:lang w:val="it-IT"/>
        </w:rPr>
        <w:t xml:space="preserve"> “</w:t>
      </w:r>
      <w:r>
        <w:rPr>
          <w:rFonts w:ascii="Book Antiqua"/>
          <w:color w:val="262626"/>
          <w:u w:color="262626"/>
          <w:rtl w:val="0"/>
          <w:lang w:val="it-IT"/>
        </w:rPr>
        <w:t>Veniamo da un trascorso di tempo nel quale il dominio del trattamento e dello smaltimento dei rifiuti nel Lazio era proprio delle discariche e non possiamo dimenticare che, fino al 2011, in esse era consentito sversare anche rifiuti tal quali. Sulla permanenza delle discariche e sulla loro presunta insostituibilit</w:t>
      </w:r>
      <w:r>
        <w:rPr>
          <w:rFonts w:hAnsi="Book Antiqua" w:hint="default"/>
          <w:color w:val="262626"/>
          <w:u w:color="262626"/>
          <w:rtl w:val="0"/>
          <w:lang w:val="it-IT"/>
        </w:rPr>
        <w:t xml:space="preserve">à </w:t>
      </w:r>
      <w:r>
        <w:rPr>
          <w:rFonts w:ascii="Book Antiqua"/>
          <w:color w:val="262626"/>
          <w:u w:color="262626"/>
          <w:rtl w:val="0"/>
          <w:lang w:val="it-IT"/>
        </w:rPr>
        <w:t xml:space="preserve">si </w:t>
      </w:r>
      <w:r>
        <w:rPr>
          <w:rFonts w:hAnsi="Book Antiqua" w:hint="default"/>
          <w:color w:val="262626"/>
          <w:u w:color="262626"/>
          <w:rtl w:val="0"/>
          <w:lang w:val="it-IT"/>
        </w:rPr>
        <w:t xml:space="preserve">è </w:t>
      </w:r>
      <w:r>
        <w:rPr>
          <w:rFonts w:ascii="Book Antiqua"/>
          <w:color w:val="262626"/>
          <w:u w:color="262626"/>
          <w:rtl w:val="0"/>
          <w:lang w:val="it-IT"/>
        </w:rPr>
        <w:t xml:space="preserve">innestato un apparato industriale che ha compresso e mortificato le raccolte differenziate, evitato la costruzione di stabilimenti del riciclo, originato fabbriche che producono rifiuti da rifiuti, mentre le discariche venivano creando enormi problemi ambientali e gli impianti di termovalorizzazione si dimostravano insufficienti. </w:t>
      </w:r>
      <w:r>
        <w:rPr>
          <w:rFonts w:hAnsi="Book Antiqua" w:hint="default"/>
          <w:color w:val="262626"/>
          <w:u w:color="262626"/>
          <w:rtl w:val="0"/>
          <w:lang w:val="it-IT"/>
        </w:rPr>
        <w:t xml:space="preserve">È </w:t>
      </w:r>
      <w:r>
        <w:rPr>
          <w:rFonts w:ascii="Book Antiqua"/>
          <w:color w:val="262626"/>
          <w:u w:color="262626"/>
          <w:rtl w:val="0"/>
          <w:lang w:val="it-IT"/>
        </w:rPr>
        <w:t>a tutti nota la problematica degli effetti derivanti dalla coltivazione pluridecennale della discarica di Malagrotta, ma possiamo riscontrare problematiche simili in tante discariche esaurite e chiuse, cos</w:t>
      </w:r>
      <w:r>
        <w:rPr>
          <w:rFonts w:hAnsi="Book Antiqua" w:hint="default"/>
          <w:color w:val="262626"/>
          <w:u w:color="262626"/>
          <w:rtl w:val="0"/>
          <w:lang w:val="it-IT"/>
        </w:rPr>
        <w:t xml:space="preserve">ì </w:t>
      </w:r>
      <w:r>
        <w:rPr>
          <w:rFonts w:ascii="Book Antiqua"/>
          <w:color w:val="262626"/>
          <w:u w:color="262626"/>
          <w:rtl w:val="0"/>
          <w:lang w:val="it-IT"/>
        </w:rPr>
        <w:t>come in talune ancora in esercizio. Ogni invaso ha caratteristiche specifiche e richiede considerazioni circostanziate, misure adeguate e interventi risolutivi che necessitano di tempi e risorse economiche importanti. Alle problematiche ambientali si sommano quelle amministrative e talvolta anche questioni di legalit</w:t>
      </w:r>
      <w:r>
        <w:rPr>
          <w:rFonts w:hAnsi="Book Antiqua" w:hint="default"/>
          <w:color w:val="262626"/>
          <w:u w:color="262626"/>
          <w:rtl w:val="0"/>
          <w:lang w:val="it-IT"/>
        </w:rPr>
        <w:t>à</w:t>
      </w:r>
      <w:r>
        <w:rPr>
          <w:rFonts w:ascii="Book Antiqua"/>
          <w:color w:val="262626"/>
          <w:u w:color="262626"/>
          <w:rtl w:val="0"/>
          <w:lang w:val="it-IT"/>
        </w:rPr>
        <w:t xml:space="preserve">. </w:t>
      </w:r>
      <w:r>
        <w:rPr>
          <w:rFonts w:hAnsi="Book Antiqua" w:hint="default"/>
          <w:color w:val="262626"/>
          <w:u w:color="262626"/>
          <w:rtl w:val="0"/>
          <w:lang w:val="it-IT"/>
        </w:rPr>
        <w:t xml:space="preserve">È </w:t>
      </w:r>
      <w:r>
        <w:rPr>
          <w:rFonts w:ascii="Book Antiqua"/>
          <w:color w:val="262626"/>
          <w:u w:color="262626"/>
          <w:rtl w:val="0"/>
          <w:lang w:val="it-IT"/>
        </w:rPr>
        <w:t>un lavoro difficile e complesso, che stiamo cercando di svolgere con la massima attenzione e il massimo rigore. [</w:t>
      </w:r>
      <w:r>
        <w:rPr>
          <w:rFonts w:hAnsi="Book Antiqua" w:hint="default"/>
          <w:color w:val="262626"/>
          <w:u w:color="262626"/>
          <w:rtl w:val="0"/>
          <w:lang w:val="it-IT"/>
        </w:rPr>
        <w:t>…</w:t>
      </w:r>
      <w:r>
        <w:rPr>
          <w:rFonts w:ascii="Book Antiqua"/>
          <w:color w:val="262626"/>
          <w:u w:color="262626"/>
          <w:rtl w:val="0"/>
          <w:lang w:val="it-IT"/>
        </w:rPr>
        <w:t>]</w:t>
      </w:r>
    </w:p>
    <w:p>
      <w:pPr>
        <w:pStyle w:val="Normal"/>
        <w:widowControl w:val="0"/>
        <w:ind w:left="567" w:right="567" w:firstLine="0"/>
        <w:jc w:val="both"/>
        <w:rPr>
          <w:rFonts w:ascii="Book Antiqua" w:cs="Book Antiqua" w:hAnsi="Book Antiqua" w:eastAsia="Book Antiqua"/>
          <w:color w:val="262626"/>
          <w:u w:color="262626"/>
        </w:rPr>
      </w:pPr>
      <w:r>
        <w:rPr>
          <w:rFonts w:ascii="Book Antiqua"/>
          <w:color w:val="262626"/>
          <w:u w:color="262626"/>
          <w:rtl w:val="0"/>
          <w:lang w:val="it-IT"/>
        </w:rPr>
        <w:t>Il fallimento della societ</w:t>
      </w:r>
      <w:r>
        <w:rPr>
          <w:rFonts w:hAnsi="Book Antiqua" w:hint="default"/>
          <w:color w:val="262626"/>
          <w:u w:color="262626"/>
          <w:rtl w:val="0"/>
          <w:lang w:val="it-IT"/>
        </w:rPr>
        <w:t xml:space="preserve">à </w:t>
      </w:r>
      <w:r>
        <w:rPr>
          <w:rFonts w:ascii="Book Antiqua"/>
          <w:color w:val="262626"/>
          <w:u w:color="262626"/>
          <w:rtl w:val="0"/>
          <w:lang w:val="it-IT"/>
        </w:rPr>
        <w:t>Bracciano Ambiente, che gestiva la discarica di Cupinoro, le difficolt</w:t>
      </w:r>
      <w:r>
        <w:rPr>
          <w:rFonts w:hAnsi="Book Antiqua" w:hint="default"/>
          <w:color w:val="262626"/>
          <w:u w:color="262626"/>
          <w:rtl w:val="0"/>
          <w:lang w:val="it-IT"/>
        </w:rPr>
        <w:t xml:space="preserve">à </w:t>
      </w:r>
      <w:r>
        <w:rPr>
          <w:rFonts w:ascii="Book Antiqua"/>
          <w:color w:val="262626"/>
          <w:u w:color="262626"/>
          <w:rtl w:val="0"/>
          <w:lang w:val="it-IT"/>
        </w:rPr>
        <w:t xml:space="preserve">della Latina Ambiente, come quella in cui </w:t>
      </w:r>
      <w:r>
        <w:rPr>
          <w:rFonts w:hAnsi="Book Antiqua" w:hint="default"/>
          <w:color w:val="262626"/>
          <w:u w:color="262626"/>
          <w:rtl w:val="0"/>
          <w:lang w:val="it-IT"/>
        </w:rPr>
        <w:t xml:space="preserve">è </w:t>
      </w:r>
      <w:r>
        <w:rPr>
          <w:rFonts w:ascii="Book Antiqua"/>
          <w:color w:val="262626"/>
          <w:u w:color="262626"/>
          <w:rtl w:val="0"/>
          <w:lang w:val="it-IT"/>
        </w:rPr>
        <w:t>incappata, con un</w:t>
      </w:r>
      <w:r>
        <w:rPr>
          <w:rFonts w:hAnsi="Book Antiqua" w:hint="default"/>
          <w:color w:val="262626"/>
          <w:u w:color="262626"/>
          <w:rtl w:val="0"/>
          <w:lang w:val="it-IT"/>
        </w:rPr>
        <w:t>’</w:t>
      </w:r>
      <w:r>
        <w:rPr>
          <w:rFonts w:ascii="Book Antiqua"/>
          <w:color w:val="262626"/>
          <w:u w:color="262626"/>
          <w:rtl w:val="0"/>
          <w:lang w:val="it-IT"/>
        </w:rPr>
        <w:t>interdizione prefettizia, la IPI S.r.l., che gestiva i rifiuti del comune di Nettuno, ogni giorno ci segnalano un nuovo e allarmante problema sul quale intervenire. In ultimo, c</w:t>
      </w:r>
      <w:r>
        <w:rPr>
          <w:rFonts w:hAnsi="Book Antiqua" w:hint="default"/>
          <w:color w:val="262626"/>
          <w:u w:color="262626"/>
          <w:rtl w:val="0"/>
          <w:lang w:val="it-IT"/>
        </w:rPr>
        <w:t xml:space="preserve">’è </w:t>
      </w:r>
      <w:r>
        <w:rPr>
          <w:rFonts w:ascii="Book Antiqua"/>
          <w:color w:val="262626"/>
          <w:u w:color="262626"/>
          <w:rtl w:val="0"/>
          <w:lang w:val="it-IT"/>
        </w:rPr>
        <w:t>stato l</w:t>
      </w:r>
      <w:r>
        <w:rPr>
          <w:rFonts w:hAnsi="Book Antiqua" w:hint="default"/>
          <w:color w:val="262626"/>
          <w:u w:color="262626"/>
          <w:rtl w:val="0"/>
          <w:lang w:val="it-IT"/>
        </w:rPr>
        <w:t>’</w:t>
      </w:r>
      <w:r>
        <w:rPr>
          <w:rFonts w:ascii="Book Antiqua"/>
          <w:color w:val="262626"/>
          <w:u w:color="262626"/>
          <w:rtl w:val="0"/>
          <w:lang w:val="it-IT"/>
        </w:rPr>
        <w:t>intervento della direzione distrettuale antimafia, che ha ordinato il sequestro di impianti in tre province della nostra regione, contestando gravi reati [</w:t>
      </w:r>
      <w:r>
        <w:rPr>
          <w:rFonts w:hAnsi="Book Antiqua" w:hint="default"/>
          <w:color w:val="262626"/>
          <w:u w:color="262626"/>
          <w:rtl w:val="0"/>
          <w:lang w:val="it-IT"/>
        </w:rPr>
        <w:t>…</w:t>
      </w:r>
      <w:r>
        <w:rPr>
          <w:rFonts w:ascii="Book Antiqua"/>
          <w:color w:val="262626"/>
          <w:u w:color="262626"/>
          <w:rtl w:val="0"/>
          <w:lang w:val="it-IT"/>
        </w:rPr>
        <w:t>] Non meno preoccupazioni desta, d</w:t>
      </w:r>
      <w:r>
        <w:rPr>
          <w:rFonts w:hAnsi="Book Antiqua" w:hint="default"/>
          <w:color w:val="262626"/>
          <w:u w:color="262626"/>
          <w:rtl w:val="0"/>
          <w:lang w:val="it-IT"/>
        </w:rPr>
        <w:t>’</w:t>
      </w:r>
      <w:r>
        <w:rPr>
          <w:rFonts w:ascii="Book Antiqua"/>
          <w:color w:val="262626"/>
          <w:u w:color="262626"/>
          <w:rtl w:val="0"/>
          <w:lang w:val="it-IT"/>
        </w:rPr>
        <w:t>altra parte, l'emersione di reati contro la pubblica amministrazione, a Roma come altrove, nella gestione degli appalti e delle forniture, in un settore, come quello della gestione dei rifiuti, che si conferma particolarmente esposto a condizionamenti e vessazioni, purtroppo ancora rese possibili anche dall'inerzia e dall'inefficacia amministrativa di taluni enti locali.</w:t>
      </w:r>
      <w:r>
        <w:rPr>
          <w:rFonts w:hAnsi="Book Antiqua" w:hint="default"/>
          <w:color w:val="262626"/>
          <w:u w:color="262626"/>
          <w:rtl w:val="0"/>
          <w:lang w:val="it-IT"/>
        </w:rPr>
        <w:t>”</w:t>
      </w:r>
    </w:p>
    <w:p>
      <w:pPr>
        <w:pStyle w:val="Normal"/>
        <w:widowControl w:val="0"/>
        <w:ind w:left="567" w:right="567" w:firstLine="0"/>
        <w:jc w:val="both"/>
        <w:rPr>
          <w:rFonts w:ascii="Book Antiqua" w:cs="Book Antiqua" w:hAnsi="Book Antiqua" w:eastAsia="Book Antiqua"/>
          <w:color w:val="262626"/>
          <w:u w:color="262626"/>
        </w:rPr>
      </w:pPr>
      <w:r>
        <w:rPr>
          <w:rFonts w:ascii="Book Antiqua"/>
          <w:color w:val="262626"/>
          <w:u w:color="262626"/>
          <w:rtl w:val="0"/>
          <w:lang w:val="it-IT"/>
        </w:rPr>
        <w:t>Secondo l</w:t>
      </w:r>
      <w:r>
        <w:rPr>
          <w:rFonts w:hAnsi="Book Antiqua" w:hint="default"/>
          <w:color w:val="262626"/>
          <w:u w:color="262626"/>
          <w:rtl w:val="0"/>
          <w:lang w:val="it-IT"/>
        </w:rPr>
        <w:t>’</w:t>
      </w:r>
      <w:r>
        <w:rPr>
          <w:rFonts w:ascii="Book Antiqua"/>
          <w:color w:val="262626"/>
          <w:u w:color="262626"/>
          <w:rtl w:val="0"/>
          <w:lang w:val="it-IT"/>
        </w:rPr>
        <w:t>assessore all</w:t>
      </w:r>
      <w:r>
        <w:rPr>
          <w:rFonts w:hAnsi="Book Antiqua" w:hint="default"/>
          <w:color w:val="262626"/>
          <w:u w:color="262626"/>
          <w:rtl w:val="0"/>
          <w:lang w:val="it-IT"/>
        </w:rPr>
        <w:t>’</w:t>
      </w:r>
      <w:r>
        <w:rPr>
          <w:rFonts w:ascii="Book Antiqua"/>
          <w:color w:val="262626"/>
          <w:u w:color="262626"/>
          <w:rtl w:val="0"/>
          <w:lang w:val="it-IT"/>
        </w:rPr>
        <w:t>ambiente, poste queste criticit</w:t>
      </w:r>
      <w:r>
        <w:rPr>
          <w:rFonts w:hAnsi="Book Antiqua" w:hint="default"/>
          <w:color w:val="262626"/>
          <w:u w:color="262626"/>
          <w:rtl w:val="0"/>
          <w:lang w:val="it-IT"/>
        </w:rPr>
        <w:t>à</w:t>
      </w:r>
      <w:r>
        <w:rPr>
          <w:rFonts w:ascii="Book Antiqua"/>
          <w:color w:val="262626"/>
          <w:u w:color="262626"/>
          <w:rtl w:val="0"/>
          <w:lang w:val="it-IT"/>
        </w:rPr>
        <w:t>, la regione agisce su tre fronti:</w:t>
      </w:r>
    </w:p>
    <w:p>
      <w:pPr>
        <w:pStyle w:val="Normal"/>
        <w:widowControl w:val="0"/>
        <w:ind w:left="567" w:right="567" w:firstLine="0"/>
        <w:jc w:val="both"/>
        <w:rPr>
          <w:rFonts w:ascii="Book Antiqua" w:cs="Book Antiqua" w:hAnsi="Book Antiqua" w:eastAsia="Book Antiqua"/>
          <w:color w:val="262626"/>
          <w:u w:color="262626"/>
        </w:rPr>
      </w:pPr>
      <w:r>
        <w:rPr>
          <w:rFonts w:hAnsi="Book Antiqua" w:hint="default"/>
          <w:color w:val="262626"/>
          <w:u w:color="262626"/>
          <w:rtl w:val="0"/>
          <w:lang w:val="it-IT"/>
        </w:rPr>
        <w:t xml:space="preserve"> “</w:t>
      </w:r>
      <w:r>
        <w:rPr>
          <w:rFonts w:ascii="Book Antiqua"/>
          <w:color w:val="262626"/>
          <w:u w:color="262626"/>
          <w:rtl w:val="0"/>
          <w:lang w:val="it-IT"/>
        </w:rPr>
        <w:t xml:space="preserve">Il primo </w:t>
      </w:r>
      <w:r>
        <w:rPr>
          <w:rFonts w:hAnsi="Book Antiqua" w:hint="default"/>
          <w:color w:val="262626"/>
          <w:u w:color="262626"/>
          <w:rtl w:val="0"/>
          <w:lang w:val="it-IT"/>
        </w:rPr>
        <w:t xml:space="preserve">è </w:t>
      </w:r>
      <w:r>
        <w:rPr>
          <w:rFonts w:ascii="Book Antiqua"/>
          <w:color w:val="262626"/>
          <w:u w:color="262626"/>
          <w:rtl w:val="0"/>
          <w:lang w:val="it-IT"/>
        </w:rPr>
        <w:t>mettere in sicurezza i territori su cui insistono discariche e ricercare la massima efficienza, anche dal punto di vista della salubrit</w:t>
      </w:r>
      <w:r>
        <w:rPr>
          <w:rFonts w:hAnsi="Book Antiqua" w:hint="default"/>
          <w:color w:val="262626"/>
          <w:u w:color="262626"/>
          <w:rtl w:val="0"/>
          <w:lang w:val="it-IT"/>
        </w:rPr>
        <w:t>à</w:t>
      </w:r>
      <w:r>
        <w:rPr>
          <w:rFonts w:ascii="Book Antiqua"/>
          <w:color w:val="262626"/>
          <w:u w:color="262626"/>
          <w:rtl w:val="0"/>
          <w:lang w:val="it-IT"/>
        </w:rPr>
        <w:t xml:space="preserve">, di tutti gli apparati che lavorano rifiuti. Il secondo </w:t>
      </w:r>
      <w:r>
        <w:rPr>
          <w:rFonts w:hAnsi="Book Antiqua" w:hint="default"/>
          <w:color w:val="262626"/>
          <w:u w:color="262626"/>
          <w:rtl w:val="0"/>
          <w:lang w:val="it-IT"/>
        </w:rPr>
        <w:t xml:space="preserve">è </w:t>
      </w:r>
      <w:r>
        <w:rPr>
          <w:rFonts w:ascii="Book Antiqua"/>
          <w:color w:val="262626"/>
          <w:u w:color="262626"/>
          <w:rtl w:val="0"/>
          <w:lang w:val="it-IT"/>
        </w:rPr>
        <w:t>dispiegare ogni possibile e legittima iniziativa per prevenire crisi ed emergenze sempre incombenti, in un assetto cos</w:t>
      </w:r>
      <w:r>
        <w:rPr>
          <w:rFonts w:hAnsi="Book Antiqua" w:hint="default"/>
          <w:color w:val="262626"/>
          <w:u w:color="262626"/>
          <w:rtl w:val="0"/>
          <w:lang w:val="it-IT"/>
        </w:rPr>
        <w:t xml:space="preserve">ì </w:t>
      </w:r>
      <w:r>
        <w:rPr>
          <w:rFonts w:ascii="Book Antiqua"/>
          <w:color w:val="262626"/>
          <w:u w:color="262626"/>
          <w:rtl w:val="0"/>
          <w:lang w:val="it-IT"/>
        </w:rPr>
        <w:t xml:space="preserve">fragile e precario come quello attuale, che deve qualificarsi come transitorio. Il terzo </w:t>
      </w:r>
      <w:r>
        <w:rPr>
          <w:rFonts w:hAnsi="Book Antiqua" w:hint="default"/>
          <w:color w:val="262626"/>
          <w:u w:color="262626"/>
          <w:rtl w:val="0"/>
          <w:lang w:val="it-IT"/>
        </w:rPr>
        <w:t xml:space="preserve">è </w:t>
      </w:r>
      <w:r>
        <w:rPr>
          <w:rFonts w:ascii="Book Antiqua"/>
          <w:color w:val="262626"/>
          <w:u w:color="262626"/>
          <w:rtl w:val="0"/>
          <w:lang w:val="it-IT"/>
        </w:rPr>
        <w:t>pianificare soluzioni definitive nel contesto dell</w:t>
      </w:r>
      <w:r>
        <w:rPr>
          <w:rFonts w:hAnsi="Book Antiqua" w:hint="default"/>
          <w:color w:val="262626"/>
          <w:u w:color="262626"/>
          <w:rtl w:val="0"/>
          <w:lang w:val="it-IT"/>
        </w:rPr>
        <w:t>’</w:t>
      </w:r>
      <w:r>
        <w:rPr>
          <w:rFonts w:ascii="Book Antiqua"/>
          <w:color w:val="262626"/>
          <w:u w:color="262626"/>
          <w:rtl w:val="0"/>
          <w:lang w:val="it-IT"/>
        </w:rPr>
        <w:t>economia circolare, puntando sulla prevenzione e incoraggiando le buone pratiche del riciclo e del recupero, prevalentemente di materia, in modo da minimizzare il ricorso a discariche e inceneritori.</w:t>
      </w:r>
      <w:r>
        <w:rPr>
          <w:rFonts w:hAnsi="Book Antiqua" w:hint="default"/>
          <w:color w:val="262626"/>
          <w:u w:color="262626"/>
          <w:rtl w:val="0"/>
          <w:lang w:val="it-IT"/>
        </w:rPr>
        <w:t>”</w:t>
      </w:r>
    </w:p>
    <w:p>
      <w:pPr>
        <w:pStyle w:val="Normal"/>
        <w:widowControl w:val="0"/>
        <w:ind w:left="567" w:right="567" w:firstLine="0"/>
        <w:jc w:val="both"/>
        <w:rPr>
          <w:rFonts w:ascii="Book Antiqua" w:cs="Book Antiqua" w:hAnsi="Book Antiqua" w:eastAsia="Book Antiqua"/>
          <w:color w:val="262626"/>
          <w:u w:color="262626"/>
        </w:rPr>
      </w:pPr>
      <w:r>
        <w:rPr>
          <w:rFonts w:ascii="Book Antiqua"/>
          <w:color w:val="262626"/>
          <w:u w:color="262626"/>
          <w:rtl w:val="0"/>
          <w:lang w:val="it-IT"/>
        </w:rPr>
        <w:t>Come la Commissione ha rilevato anche da altre fonti, gli effetti positivi eventualmente conseguibili da questi piani di azione sono subordinati a una seria e condivisa programmazione, che tenga conto dei dati effettivi di produzione e destinazione dei rifiuti.</w:t>
      </w:r>
    </w:p>
    <w:p>
      <w:pPr>
        <w:pStyle w:val="Normal"/>
        <w:widowControl w:val="0"/>
        <w:ind w:left="567" w:right="567" w:firstLine="0"/>
        <w:jc w:val="both"/>
        <w:rPr>
          <w:rFonts w:ascii="Book Antiqua" w:cs="Book Antiqua" w:hAnsi="Book Antiqua" w:eastAsia="Book Antiqua"/>
          <w:color w:val="262626"/>
          <w:u w:color="262626"/>
        </w:rPr>
      </w:pPr>
      <w:r>
        <w:rPr>
          <w:rFonts w:ascii="Book Antiqua"/>
          <w:color w:val="262626"/>
          <w:u w:color="262626"/>
          <w:rtl w:val="0"/>
          <w:lang w:val="it-IT"/>
        </w:rPr>
        <w:t>In tal senso l</w:t>
      </w:r>
      <w:r>
        <w:rPr>
          <w:rFonts w:hAnsi="Book Antiqua" w:hint="default"/>
          <w:color w:val="262626"/>
          <w:u w:color="262626"/>
          <w:rtl w:val="0"/>
          <w:lang w:val="it-IT"/>
        </w:rPr>
        <w:t>’</w:t>
      </w:r>
      <w:r>
        <w:rPr>
          <w:rFonts w:ascii="Book Antiqua"/>
          <w:color w:val="262626"/>
          <w:u w:color="262626"/>
          <w:rtl w:val="0"/>
          <w:lang w:val="it-IT"/>
        </w:rPr>
        <w:t>assessore regionale all</w:t>
      </w:r>
      <w:r>
        <w:rPr>
          <w:rFonts w:hAnsi="Book Antiqua" w:hint="default"/>
          <w:color w:val="262626"/>
          <w:u w:color="262626"/>
          <w:rtl w:val="0"/>
          <w:lang w:val="it-IT"/>
        </w:rPr>
        <w:t>’</w:t>
      </w:r>
      <w:r>
        <w:rPr>
          <w:rFonts w:ascii="Book Antiqua"/>
          <w:color w:val="262626"/>
          <w:u w:color="262626"/>
          <w:rtl w:val="0"/>
          <w:lang w:val="it-IT"/>
        </w:rPr>
        <w:t>ambiente ha riferito:</w:t>
      </w:r>
    </w:p>
    <w:p>
      <w:pPr>
        <w:pStyle w:val="Normal"/>
        <w:widowControl w:val="0"/>
        <w:ind w:left="567" w:right="567" w:firstLine="0"/>
        <w:jc w:val="both"/>
        <w:rPr>
          <w:rFonts w:ascii="Book Antiqua" w:cs="Book Antiqua" w:hAnsi="Book Antiqua" w:eastAsia="Book Antiqua"/>
          <w:color w:val="262626"/>
          <w:u w:color="262626"/>
        </w:rPr>
      </w:pPr>
      <w:r>
        <w:rPr>
          <w:rFonts w:hAnsi="Book Antiqua" w:hint="default"/>
          <w:color w:val="262626"/>
          <w:u w:color="262626"/>
          <w:rtl w:val="0"/>
          <w:lang w:val="it-IT"/>
        </w:rPr>
        <w:t>“</w:t>
      </w:r>
      <w:r>
        <w:rPr>
          <w:rFonts w:ascii="Book Antiqua"/>
          <w:color w:val="262626"/>
          <w:u w:color="262626"/>
          <w:rtl w:val="0"/>
          <w:lang w:val="it-IT"/>
        </w:rPr>
        <w:t xml:space="preserve">la raccolta differenziata negli ultimi tre anni </w:t>
      </w:r>
      <w:r>
        <w:rPr>
          <w:rFonts w:hAnsi="Book Antiqua" w:hint="default"/>
          <w:color w:val="262626"/>
          <w:u w:color="262626"/>
          <w:rtl w:val="0"/>
          <w:lang w:val="it-IT"/>
        </w:rPr>
        <w:t xml:space="preserve">è </w:t>
      </w:r>
      <w:r>
        <w:rPr>
          <w:rFonts w:ascii="Book Antiqua"/>
          <w:color w:val="262626"/>
          <w:u w:color="262626"/>
          <w:rtl w:val="0"/>
          <w:lang w:val="it-IT"/>
        </w:rPr>
        <w:t xml:space="preserve">cresciuta intensamente. L'Istituto superiore per la protezione e la ricerca ambientale (ISPRA), nel rapporto sulla gestione dei rifiuti urbani, presentato a dicembre scorso, ha rilevato che la raccolta differenziata nel Lazio si </w:t>
      </w:r>
      <w:r>
        <w:rPr>
          <w:rFonts w:hAnsi="Book Antiqua" w:hint="default"/>
          <w:color w:val="262626"/>
          <w:u w:color="262626"/>
          <w:rtl w:val="0"/>
          <w:lang w:val="it-IT"/>
        </w:rPr>
        <w:t xml:space="preserve">è </w:t>
      </w:r>
      <w:r>
        <w:rPr>
          <w:rFonts w:ascii="Book Antiqua"/>
          <w:color w:val="262626"/>
          <w:u w:color="262626"/>
          <w:rtl w:val="0"/>
          <w:lang w:val="it-IT"/>
        </w:rPr>
        <w:t xml:space="preserve">attestata nel 2015 al 37,5 per cento, mentre nel 2013 era al 26,5. L'incremento percentuale dell'11 per cento in assoluto equivale al +41 per cento di progressione nel triennio. Nel 2013 l'incremento annuo </w:t>
      </w:r>
      <w:r>
        <w:rPr>
          <w:rFonts w:hAnsi="Book Antiqua" w:hint="default"/>
          <w:color w:val="262626"/>
          <w:u w:color="262626"/>
          <w:rtl w:val="0"/>
          <w:lang w:val="it-IT"/>
        </w:rPr>
        <w:t xml:space="preserve">è </w:t>
      </w:r>
      <w:r>
        <w:rPr>
          <w:rFonts w:ascii="Book Antiqua"/>
          <w:color w:val="262626"/>
          <w:u w:color="262626"/>
          <w:rtl w:val="0"/>
          <w:lang w:val="it-IT"/>
        </w:rPr>
        <w:t>di oltre il 6 per cento, il che giustifica la stima per la quale nel 2016 si ritiene superata la percentuale del 40 per cento. Ci</w:t>
      </w:r>
      <w:r>
        <w:rPr>
          <w:rFonts w:hAnsi="Book Antiqua" w:hint="default"/>
          <w:color w:val="262626"/>
          <w:u w:color="262626"/>
          <w:rtl w:val="0"/>
          <w:lang w:val="it-IT"/>
        </w:rPr>
        <w:t xml:space="preserve">ò </w:t>
      </w:r>
      <w:r>
        <w:rPr>
          <w:rFonts w:ascii="Book Antiqua"/>
          <w:color w:val="262626"/>
          <w:u w:color="262626"/>
          <w:rtl w:val="0"/>
          <w:lang w:val="it-IT"/>
        </w:rPr>
        <w:t xml:space="preserve">ha permesso di deviare oltre 1,2 milioni di tonnellate di rifiuti prodotti nel 2015 dal circuito delle discariche e degli inceneritori, per essere invece avviati a riciclo e recupero. Nel 2015 1.133.775 tonnellate di rifiuti sono state raccolte in modo differenziato e avviate a riciclo, mentre 1.889.627 tonnellate di rifiuti indifferenziati sono stati tutti trattati negli impianti di trattamento meccanico-biologico (TMB) della regione o in altri impianti extraregionali (meno del 2 per cento). I rifiuti combustibili in uscita dai TMB sono stati indirizzati a termovalorizzazione per 566.000 tonnellate: in impianti regionali per l'85 per cento, in impianti extraregionali per il 15 per cento circa. I rifiuti da smaltire post-trattamento nei TMB sono stati conferiti nelle discariche laziali per 403.000 tonnellate, corrispondenti a circa il 60 per cento del fabbisogno. Gli scarti di lavorazione di TMB non allocati in discariche o in impianti di ulteriore trattamento siti nella nostra regione, sono stati avviati a trattamento o a recupero in altre siti extraregionali per circa 700.000 tonnellate. </w:t>
      </w:r>
      <w:r>
        <w:rPr>
          <w:rFonts w:ascii="Book Antiqua" w:cs="Book Antiqua" w:hAnsi="Book Antiqua" w:eastAsia="Book Antiqua"/>
          <w:color w:val="262626"/>
          <w:u w:color="262626"/>
          <w:rtl w:val="0"/>
          <w:lang w:val="it-IT"/>
        </w:rPr>
        <w:br w:type="textWrapping"/>
      </w:r>
      <w:r>
        <w:rPr>
          <w:rFonts w:ascii="Book Antiqua"/>
          <w:color w:val="262626"/>
          <w:u w:color="262626"/>
          <w:rtl w:val="0"/>
          <w:lang w:val="it-IT"/>
        </w:rPr>
        <w:t>Tra il 2013 e il 2015 i rifiuti indifferenziati sono diminuiti di 433.807 tonnellate, cio</w:t>
      </w:r>
      <w:r>
        <w:rPr>
          <w:rFonts w:hAnsi="Book Antiqua" w:hint="default"/>
          <w:color w:val="262626"/>
          <w:u w:color="262626"/>
          <w:rtl w:val="0"/>
          <w:lang w:val="it-IT"/>
        </w:rPr>
        <w:t xml:space="preserve">è </w:t>
      </w:r>
      <w:r>
        <w:rPr>
          <w:rFonts w:ascii="Book Antiqua"/>
          <w:color w:val="262626"/>
          <w:u w:color="262626"/>
          <w:rtl w:val="0"/>
          <w:lang w:val="it-IT"/>
        </w:rPr>
        <w:t xml:space="preserve">del 18,7 per cento, sia per effetto della contrazione dei consumi, sia grazie allo sviluppo della raccolta differenziata. La copertura di trattamento meccanico-biologico di questi rifiuti </w:t>
      </w:r>
      <w:r>
        <w:rPr>
          <w:rFonts w:hAnsi="Book Antiqua" w:hint="default"/>
          <w:color w:val="262626"/>
          <w:u w:color="262626"/>
          <w:rtl w:val="0"/>
          <w:lang w:val="it-IT"/>
        </w:rPr>
        <w:t xml:space="preserve">è </w:t>
      </w:r>
      <w:r>
        <w:rPr>
          <w:rFonts w:ascii="Book Antiqua"/>
          <w:color w:val="262626"/>
          <w:u w:color="262626"/>
          <w:rtl w:val="0"/>
          <w:lang w:val="it-IT"/>
        </w:rPr>
        <w:t>ora del 100 per cento. Era del 55 per cento nel 2012, l'ultimo anno di pieno esercizio della discarica di Malagrotta. In quell'anno, difatti, si seppellirono nelle discariche laziali 2.184.695 tonnellate di rifiuti, contro le 403.000 tonnellate del 2015. Il contributo allo sviluppo della differenziata della citt</w:t>
      </w:r>
      <w:r>
        <w:rPr>
          <w:rFonts w:hAnsi="Book Antiqua" w:hint="default"/>
          <w:color w:val="262626"/>
          <w:u w:color="262626"/>
          <w:rtl w:val="0"/>
          <w:lang w:val="it-IT"/>
        </w:rPr>
        <w:t xml:space="preserve">à </w:t>
      </w:r>
      <w:r>
        <w:rPr>
          <w:rFonts w:ascii="Book Antiqua"/>
          <w:color w:val="262626"/>
          <w:u w:color="262626"/>
          <w:rtl w:val="0"/>
          <w:lang w:val="it-IT"/>
        </w:rPr>
        <w:t xml:space="preserve">di Roma </w:t>
      </w:r>
      <w:r>
        <w:rPr>
          <w:rFonts w:hAnsi="Book Antiqua" w:hint="default"/>
          <w:color w:val="262626"/>
          <w:u w:color="262626"/>
          <w:rtl w:val="0"/>
          <w:lang w:val="it-IT"/>
        </w:rPr>
        <w:t xml:space="preserve">è </w:t>
      </w:r>
      <w:r>
        <w:rPr>
          <w:rFonts w:ascii="Book Antiqua"/>
          <w:color w:val="262626"/>
          <w:u w:color="262626"/>
          <w:rtl w:val="0"/>
          <w:lang w:val="it-IT"/>
        </w:rPr>
        <w:t xml:space="preserve">apprezzabile, ma in tutta la regione si sta compiendo uno sforzo sincero e che viene conseguendo risultati tangibili. La raccolta differenziata </w:t>
      </w:r>
      <w:r>
        <w:rPr>
          <w:rFonts w:hAnsi="Book Antiqua" w:hint="default"/>
          <w:color w:val="262626"/>
          <w:u w:color="262626"/>
          <w:rtl w:val="0"/>
          <w:lang w:val="it-IT"/>
        </w:rPr>
        <w:t xml:space="preserve">è </w:t>
      </w:r>
      <w:r>
        <w:rPr>
          <w:rFonts w:ascii="Book Antiqua"/>
          <w:color w:val="262626"/>
          <w:u w:color="262626"/>
          <w:rtl w:val="0"/>
          <w:lang w:val="it-IT"/>
        </w:rPr>
        <w:t>la prima misura basilare per ridurre i rifiuti da trattare e smaltire.</w:t>
      </w:r>
      <w:r>
        <w:rPr>
          <w:rFonts w:hAnsi="Book Antiqua" w:hint="default"/>
          <w:color w:val="262626"/>
          <w:u w:color="262626"/>
          <w:rtl w:val="0"/>
          <w:lang w:val="it-IT"/>
        </w:rPr>
        <w:t xml:space="preserve">” </w:t>
      </w:r>
    </w:p>
    <w:p>
      <w:pPr>
        <w:pStyle w:val="Normal"/>
        <w:widowControl w:val="0"/>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 xml:space="preserve">Altra questione centrale per una corretta programmazione e gestione </w:t>
      </w:r>
      <w:r>
        <w:rPr>
          <w:rFonts w:hAnsi="Book Antiqua" w:hint="default"/>
          <w:color w:val="000000"/>
          <w:u w:color="000000"/>
          <w:rtl w:val="0"/>
          <w:lang w:val="it-IT"/>
        </w:rPr>
        <w:t xml:space="preserve">è </w:t>
      </w:r>
      <w:r>
        <w:rPr>
          <w:rFonts w:ascii="Book Antiqua"/>
          <w:color w:val="000000"/>
          <w:u w:color="000000"/>
          <w:rtl w:val="0"/>
          <w:lang w:val="it-IT"/>
        </w:rPr>
        <w:t>quella della definizione degli ATO, su cui l</w:t>
      </w:r>
      <w:r>
        <w:rPr>
          <w:rFonts w:hAnsi="Book Antiqua" w:hint="default"/>
          <w:color w:val="000000"/>
          <w:u w:color="000000"/>
          <w:rtl w:val="0"/>
          <w:lang w:val="it-IT"/>
        </w:rPr>
        <w:t>’</w:t>
      </w:r>
      <w:r>
        <w:rPr>
          <w:rFonts w:ascii="Book Antiqua"/>
          <w:color w:val="000000"/>
          <w:u w:color="000000"/>
          <w:rtl w:val="0"/>
          <w:lang w:val="it-IT"/>
        </w:rPr>
        <w:t xml:space="preserve">orientamento </w:t>
      </w:r>
      <w:r>
        <w:rPr>
          <w:rFonts w:hAnsi="Book Antiqua" w:hint="default"/>
          <w:color w:val="000000"/>
          <w:u w:color="000000"/>
          <w:rtl w:val="0"/>
          <w:lang w:val="it-IT"/>
        </w:rPr>
        <w:t xml:space="preserve">è </w:t>
      </w:r>
      <w:r>
        <w:rPr>
          <w:rFonts w:ascii="Book Antiqua"/>
          <w:color w:val="000000"/>
          <w:u w:color="000000"/>
          <w:rtl w:val="0"/>
          <w:lang w:val="it-IT"/>
        </w:rPr>
        <w:t xml:space="preserve">diventato quello di </w:t>
      </w:r>
      <w:r>
        <w:rPr>
          <w:rFonts w:hAnsi="Book Antiqua" w:hint="default"/>
          <w:color w:val="000000"/>
          <w:u w:color="000000"/>
          <w:rtl w:val="0"/>
          <w:lang w:val="it-IT"/>
        </w:rPr>
        <w:t>“</w:t>
      </w:r>
      <w:r>
        <w:rPr>
          <w:rFonts w:ascii="Book Antiqua"/>
          <w:color w:val="000000"/>
          <w:u w:color="000000"/>
          <w:rtl w:val="0"/>
          <w:lang w:val="it-IT"/>
        </w:rPr>
        <w:t>adottare l</w:t>
      </w:r>
      <w:r>
        <w:rPr>
          <w:rFonts w:hAnsi="Book Antiqua" w:hint="default"/>
          <w:color w:val="000000"/>
          <w:u w:color="000000"/>
          <w:rtl w:val="0"/>
          <w:lang w:val="it-IT"/>
        </w:rPr>
        <w:t>’</w:t>
      </w:r>
      <w:r>
        <w:rPr>
          <w:rFonts w:ascii="Book Antiqua"/>
          <w:color w:val="000000"/>
          <w:u w:color="000000"/>
          <w:rtl w:val="0"/>
          <w:lang w:val="it-IT"/>
        </w:rPr>
        <w:t>ambito unico ottimale, disegnato sul perimetro della regione Lazio, certamente articolato su base territoriale ma con le competenze di programmazione, regolazione e controllo affidate a un unico e autonomo soggetto di dimensioni regionali. La chiusura del ciclo attraverso il fabbisogno impiantistico, dovr</w:t>
      </w:r>
      <w:r>
        <w:rPr>
          <w:rFonts w:hAnsi="Book Antiqua" w:hint="default"/>
          <w:color w:val="000000"/>
          <w:u w:color="000000"/>
          <w:rtl w:val="0"/>
          <w:lang w:val="it-IT"/>
        </w:rPr>
        <w:t xml:space="preserve">à </w:t>
      </w:r>
      <w:r>
        <w:rPr>
          <w:rFonts w:ascii="Book Antiqua"/>
          <w:color w:val="000000"/>
          <w:u w:color="000000"/>
          <w:rtl w:val="0"/>
          <w:lang w:val="it-IT"/>
        </w:rPr>
        <w:t>poi avvenire nei bacini provinciali [</w:t>
      </w:r>
      <w:r>
        <w:rPr>
          <w:rFonts w:hAnsi="Book Antiqua" w:hint="default"/>
          <w:color w:val="000000"/>
          <w:u w:color="000000"/>
          <w:rtl w:val="0"/>
          <w:lang w:val="it-IT"/>
        </w:rPr>
        <w:t>…</w:t>
      </w:r>
      <w:r>
        <w:rPr>
          <w:rFonts w:ascii="Book Antiqua"/>
          <w:color w:val="000000"/>
          <w:u w:color="000000"/>
          <w:rtl w:val="0"/>
          <w:lang w:val="it-IT"/>
        </w:rPr>
        <w:t>]</w:t>
      </w:r>
    </w:p>
    <w:p>
      <w:pPr>
        <w:pStyle w:val="Normal"/>
        <w:widowControl w:val="0"/>
        <w:ind w:left="567" w:right="567" w:firstLine="0"/>
        <w:jc w:val="both"/>
        <w:rPr>
          <w:rFonts w:ascii="Book Antiqua" w:cs="Book Antiqua" w:hAnsi="Book Antiqua" w:eastAsia="Book Antiqua"/>
          <w:color w:val="000000"/>
          <w:u w:color="000000"/>
        </w:rPr>
      </w:pPr>
      <w:r>
        <w:rPr>
          <w:rFonts w:hAnsi="Book Antiqua" w:hint="default"/>
          <w:color w:val="000000"/>
          <w:u w:color="000000"/>
          <w:rtl w:val="0"/>
          <w:lang w:val="it-IT"/>
        </w:rPr>
        <w:t xml:space="preserve">È </w:t>
      </w:r>
      <w:r>
        <w:rPr>
          <w:rFonts w:ascii="Book Antiqua"/>
          <w:color w:val="000000"/>
          <w:u w:color="000000"/>
          <w:rtl w:val="0"/>
          <w:lang w:val="it-IT"/>
        </w:rPr>
        <w:t>mia intenzione sottoporre alla giunta una proposta di legge da presentare rapidamente al consiglio regionale, affinch</w:t>
      </w:r>
      <w:r>
        <w:rPr>
          <w:rFonts w:hAnsi="Book Antiqua" w:hint="default"/>
          <w:color w:val="000000"/>
          <w:u w:color="000000"/>
          <w:rtl w:val="0"/>
          <w:lang w:val="it-IT"/>
        </w:rPr>
        <w:t xml:space="preserve">é </w:t>
      </w:r>
      <w:r>
        <w:rPr>
          <w:rFonts w:ascii="Book Antiqua"/>
          <w:color w:val="000000"/>
          <w:u w:color="000000"/>
          <w:rtl w:val="0"/>
          <w:lang w:val="it-IT"/>
        </w:rPr>
        <w:t>l</w:t>
      </w:r>
      <w:r>
        <w:rPr>
          <w:rFonts w:hAnsi="Book Antiqua" w:hint="default"/>
          <w:color w:val="000000"/>
          <w:u w:color="000000"/>
          <w:rtl w:val="0"/>
          <w:lang w:val="it-IT"/>
        </w:rPr>
        <w:t>’</w:t>
      </w:r>
      <w:r>
        <w:rPr>
          <w:rFonts w:ascii="Book Antiqua"/>
          <w:color w:val="000000"/>
          <w:u w:color="000000"/>
          <w:rtl w:val="0"/>
          <w:lang w:val="it-IT"/>
        </w:rPr>
        <w:t xml:space="preserve">ambito unico regionale possa costituirsi e iniziare a operare prima della fine del mandato di questa amministrazione, anche in anticipo rispetto all'adozione del piano. La questione della </w:t>
      </w:r>
      <w:r>
        <w:rPr>
          <w:rFonts w:ascii="Book Antiqua"/>
          <w:i w:val="1"/>
          <w:iCs w:val="1"/>
          <w:color w:val="000000"/>
          <w:u w:color="000000"/>
          <w:rtl w:val="0"/>
          <w:lang w:val="it-IT"/>
        </w:rPr>
        <w:t>governance</w:t>
      </w:r>
      <w:r>
        <w:rPr>
          <w:rFonts w:ascii="Book Antiqua"/>
          <w:color w:val="000000"/>
          <w:u w:color="000000"/>
          <w:rtl w:val="0"/>
          <w:lang w:val="it-IT"/>
        </w:rPr>
        <w:t xml:space="preserve"> di sistema, affrontata in questa stessa Commissione in precedenti audizioni, </w:t>
      </w:r>
      <w:r>
        <w:rPr>
          <w:rFonts w:hAnsi="Book Antiqua" w:hint="default"/>
          <w:color w:val="000000"/>
          <w:u w:color="000000"/>
          <w:rtl w:val="0"/>
          <w:lang w:val="it-IT"/>
        </w:rPr>
        <w:t xml:space="preserve">è </w:t>
      </w:r>
      <w:r>
        <w:rPr>
          <w:rFonts w:ascii="Book Antiqua"/>
          <w:color w:val="000000"/>
          <w:u w:color="000000"/>
          <w:rtl w:val="0"/>
          <w:lang w:val="it-IT"/>
        </w:rPr>
        <w:t>fondamentale e strategica [..] Perci</w:t>
      </w:r>
      <w:r>
        <w:rPr>
          <w:rFonts w:hAnsi="Book Antiqua" w:hint="default"/>
          <w:color w:val="000000"/>
          <w:u w:color="000000"/>
          <w:rtl w:val="0"/>
          <w:lang w:val="it-IT"/>
        </w:rPr>
        <w:t>ò</w:t>
      </w:r>
      <w:r>
        <w:rPr>
          <w:rFonts w:ascii="Book Antiqua"/>
          <w:color w:val="000000"/>
          <w:u w:color="000000"/>
          <w:rtl w:val="0"/>
          <w:lang w:val="it-IT"/>
        </w:rPr>
        <w:t>, con legge regionale, lo stralcio e l</w:t>
      </w:r>
      <w:r>
        <w:rPr>
          <w:rFonts w:hAnsi="Book Antiqua" w:hint="default"/>
          <w:color w:val="000000"/>
          <w:u w:color="000000"/>
          <w:rtl w:val="0"/>
          <w:lang w:val="it-IT"/>
        </w:rPr>
        <w:t>’</w:t>
      </w:r>
      <w:r>
        <w:rPr>
          <w:rFonts w:ascii="Book Antiqua"/>
          <w:color w:val="000000"/>
          <w:u w:color="000000"/>
          <w:rtl w:val="0"/>
          <w:lang w:val="it-IT"/>
        </w:rPr>
        <w:t>anticipazione della costituzione dell'ATO (ambito territoriale ottimale) unico regionale, risponde a una esigenza per troppo tempo elusa. Gli ATO nel Lazio non sono mai stati costituiti e riuscire a farlo adesso ha il sapore di una svolta storica.</w:t>
      </w:r>
      <w:r>
        <w:rPr>
          <w:rFonts w:hAnsi="Book Antiqua" w:hint="default"/>
          <w:color w:val="000000"/>
          <w:u w:color="000000"/>
          <w:rtl w:val="0"/>
          <w:lang w:val="it-IT"/>
        </w:rPr>
        <w:t>”</w:t>
      </w:r>
    </w:p>
    <w:p>
      <w:pPr>
        <w:pStyle w:val="Normal"/>
        <w:widowControl w:val="0"/>
        <w:ind w:left="567" w:right="567" w:firstLine="0"/>
        <w:jc w:val="both"/>
        <w:rPr>
          <w:rFonts w:ascii="Book Antiqua" w:cs="Book Antiqua" w:hAnsi="Book Antiqua" w:eastAsia="Book Antiqua"/>
          <w:color w:val="262626"/>
          <w:u w:color="262626"/>
        </w:rPr>
      </w:pPr>
      <w:r>
        <w:rPr>
          <w:rFonts w:ascii="Book Antiqua"/>
          <w:color w:val="262626"/>
          <w:u w:color="262626"/>
          <w:rtl w:val="0"/>
          <w:lang w:val="it-IT"/>
        </w:rPr>
        <w:t>Dal punto di vista programmatico l</w:t>
      </w:r>
      <w:r>
        <w:rPr>
          <w:rFonts w:hAnsi="Book Antiqua" w:hint="default"/>
          <w:color w:val="262626"/>
          <w:u w:color="262626"/>
          <w:rtl w:val="0"/>
          <w:lang w:val="it-IT"/>
        </w:rPr>
        <w:t>’</w:t>
      </w:r>
      <w:r>
        <w:rPr>
          <w:rFonts w:ascii="Book Antiqua"/>
          <w:color w:val="262626"/>
          <w:u w:color="262626"/>
          <w:rtl w:val="0"/>
          <w:lang w:val="it-IT"/>
        </w:rPr>
        <w:t>assessore ha poi annunciato l</w:t>
      </w:r>
      <w:r>
        <w:rPr>
          <w:rFonts w:hAnsi="Book Antiqua" w:hint="default"/>
          <w:color w:val="262626"/>
          <w:u w:color="262626"/>
          <w:rtl w:val="0"/>
          <w:lang w:val="it-IT"/>
        </w:rPr>
        <w:t>’</w:t>
      </w:r>
      <w:r>
        <w:rPr>
          <w:rFonts w:ascii="Book Antiqua"/>
          <w:color w:val="262626"/>
          <w:u w:color="262626"/>
          <w:rtl w:val="0"/>
          <w:lang w:val="it-IT"/>
        </w:rPr>
        <w:t xml:space="preserve">intenzione di mettere a disposizione dei comuni, mediante appositi bandi, risorse finanziarie per sollecitare investimenti sia in attrezzature che in infrastrutture specialmente per le matrici organiche. </w:t>
      </w:r>
    </w:p>
    <w:p>
      <w:pPr>
        <w:pStyle w:val="Normal"/>
        <w:widowControl w:val="0"/>
        <w:ind w:left="567" w:right="567" w:firstLine="0"/>
        <w:jc w:val="both"/>
        <w:rPr>
          <w:rFonts w:ascii="Book Antiqua" w:cs="Book Antiqua" w:hAnsi="Book Antiqua" w:eastAsia="Book Antiqua"/>
          <w:color w:val="262626"/>
          <w:u w:color="262626"/>
        </w:rPr>
      </w:pPr>
      <w:r>
        <w:rPr>
          <w:rFonts w:hAnsi="Book Antiqua" w:hint="default"/>
          <w:color w:val="262626"/>
          <w:u w:color="262626"/>
          <w:rtl w:val="0"/>
          <w:lang w:val="it-IT"/>
        </w:rPr>
        <w:t xml:space="preserve"> “</w:t>
      </w:r>
      <w:r>
        <w:rPr>
          <w:rFonts w:ascii="Book Antiqua"/>
          <w:color w:val="262626"/>
          <w:u w:color="262626"/>
          <w:rtl w:val="0"/>
          <w:lang w:val="it-IT"/>
        </w:rPr>
        <w:t xml:space="preserve">Dalle compostiere domestiche fino agli impianti industriali di compostaggio, intendiamo marcare un impegno deciso verso il raggiungimento delle soglie di legge per la raccolta differenziata. Il fabbisogno di compostaggio </w:t>
      </w:r>
      <w:r>
        <w:rPr>
          <w:rFonts w:hAnsi="Book Antiqua" w:hint="default"/>
          <w:color w:val="262626"/>
          <w:u w:color="262626"/>
          <w:rtl w:val="0"/>
          <w:lang w:val="it-IT"/>
        </w:rPr>
        <w:t xml:space="preserve">è </w:t>
      </w:r>
      <w:r>
        <w:rPr>
          <w:rFonts w:ascii="Book Antiqua"/>
          <w:color w:val="262626"/>
          <w:u w:color="262626"/>
          <w:rtl w:val="0"/>
          <w:lang w:val="it-IT"/>
        </w:rPr>
        <w:t xml:space="preserve">evidenziato dalla ricognizione svolta dalla regione nei mesi scorsi ed </w:t>
      </w:r>
      <w:r>
        <w:rPr>
          <w:rFonts w:hAnsi="Book Antiqua" w:hint="default"/>
          <w:color w:val="262626"/>
          <w:u w:color="262626"/>
          <w:rtl w:val="0"/>
          <w:lang w:val="it-IT"/>
        </w:rPr>
        <w:t xml:space="preserve">è </w:t>
      </w:r>
      <w:r>
        <w:rPr>
          <w:rFonts w:ascii="Book Antiqua"/>
          <w:color w:val="262626"/>
          <w:u w:color="262626"/>
          <w:rtl w:val="0"/>
          <w:lang w:val="it-IT"/>
        </w:rPr>
        <w:t xml:space="preserve">certa l'urgenza di costruire impianti nel territorio regionale, a superamento dell'attuale situazione che registra un </w:t>
      </w:r>
      <w:r>
        <w:rPr>
          <w:rFonts w:ascii="Book Antiqua"/>
          <w:i w:val="1"/>
          <w:iCs w:val="1"/>
          <w:color w:val="262626"/>
          <w:u w:color="262626"/>
          <w:rtl w:val="0"/>
          <w:lang w:val="it-IT"/>
        </w:rPr>
        <w:t>gap</w:t>
      </w:r>
      <w:r>
        <w:rPr>
          <w:rFonts w:ascii="Book Antiqua"/>
          <w:color w:val="262626"/>
          <w:u w:color="262626"/>
          <w:rtl w:val="0"/>
          <w:lang w:val="it-IT"/>
        </w:rPr>
        <w:t xml:space="preserve"> impiantistico e di trasferimento massivo extraregionale.</w:t>
      </w:r>
    </w:p>
    <w:p>
      <w:pPr>
        <w:pStyle w:val="Normal"/>
        <w:widowControl w:val="0"/>
        <w:ind w:left="567" w:right="567" w:firstLine="0"/>
        <w:jc w:val="both"/>
        <w:rPr>
          <w:rFonts w:ascii="Book Antiqua" w:cs="Book Antiqua" w:hAnsi="Book Antiqua" w:eastAsia="Book Antiqua"/>
          <w:color w:val="262626"/>
          <w:u w:color="262626"/>
        </w:rPr>
      </w:pPr>
      <w:r>
        <w:rPr>
          <w:rFonts w:ascii="Book Antiqua"/>
          <w:color w:val="262626"/>
          <w:u w:color="262626"/>
          <w:rtl w:val="0"/>
          <w:lang w:val="it-IT"/>
        </w:rPr>
        <w:t>Peraltro, sono in attesa di autorizzazione impianti anche a Roma, su cui per</w:t>
      </w:r>
      <w:r>
        <w:rPr>
          <w:rFonts w:hAnsi="Book Antiqua" w:hint="default"/>
          <w:color w:val="262626"/>
          <w:u w:color="262626"/>
          <w:rtl w:val="0"/>
          <w:lang w:val="it-IT"/>
        </w:rPr>
        <w:t xml:space="preserve">ò </w:t>
      </w:r>
      <w:r>
        <w:rPr>
          <w:rFonts w:ascii="Book Antiqua"/>
          <w:color w:val="262626"/>
          <w:u w:color="262626"/>
          <w:rtl w:val="0"/>
          <w:lang w:val="it-IT"/>
        </w:rPr>
        <w:t>l'amministrazione di Roma Capitale sembra ora volersi esprimere in senso negativo. Vedremo quali azioni intender</w:t>
      </w:r>
      <w:r>
        <w:rPr>
          <w:rFonts w:hAnsi="Book Antiqua" w:hint="default"/>
          <w:color w:val="262626"/>
          <w:u w:color="262626"/>
          <w:rtl w:val="0"/>
          <w:lang w:val="it-IT"/>
        </w:rPr>
        <w:t xml:space="preserve">à </w:t>
      </w:r>
      <w:r>
        <w:rPr>
          <w:rFonts w:ascii="Book Antiqua"/>
          <w:color w:val="262626"/>
          <w:u w:color="262626"/>
          <w:rtl w:val="0"/>
          <w:lang w:val="it-IT"/>
        </w:rPr>
        <w:t>adottare l'amministrazione capitolina, ma lascia perplessi l'annuncio di voler rinunciare a impianti pubblici progettati su aree pubbliche e gestiti da una municipalizzata, come quello progettato a Rocca Cencia</w:t>
      </w:r>
      <w:r>
        <w:rPr>
          <w:rFonts w:ascii="Book Antiqua" w:cs="Book Antiqua" w:hAnsi="Book Antiqua" w:eastAsia="Book Antiqua"/>
          <w:color w:val="262626"/>
          <w:u w:color="262626"/>
          <w:vertAlign w:val="superscript"/>
          <w:rtl w:val="0"/>
        </w:rPr>
        <w:footnoteReference w:id="165"/>
      </w:r>
      <w:r>
        <w:rPr>
          <w:rFonts w:ascii="Book Antiqua"/>
          <w:color w:val="262626"/>
          <w:u w:color="262626"/>
          <w:rtl w:val="0"/>
          <w:lang w:val="it-IT"/>
        </w:rPr>
        <w:t>, continuando a esportare verso imprese private di altre regioni oltre 100.000 tonnellate all'anno di rifiuti organici, con un forte impatto ambientale, oltre che economico. La regione Lazio, in coordinamento tra l'assessorato all'ambiente e l'assessorato all'agricoltura, adotter</w:t>
      </w:r>
      <w:r>
        <w:rPr>
          <w:rFonts w:hAnsi="Book Antiqua" w:hint="default"/>
          <w:color w:val="262626"/>
          <w:u w:color="262626"/>
          <w:rtl w:val="0"/>
          <w:lang w:val="it-IT"/>
        </w:rPr>
        <w:t xml:space="preserve">à </w:t>
      </w:r>
      <w:r>
        <w:rPr>
          <w:rFonts w:ascii="Book Antiqua"/>
          <w:color w:val="262626"/>
          <w:u w:color="262626"/>
          <w:rtl w:val="0"/>
          <w:lang w:val="it-IT"/>
        </w:rPr>
        <w:t xml:space="preserve">una normativa </w:t>
      </w:r>
      <w:r>
        <w:rPr>
          <w:rFonts w:ascii="Book Antiqua"/>
          <w:i w:val="1"/>
          <w:iCs w:val="1"/>
          <w:color w:val="262626"/>
          <w:u w:color="262626"/>
          <w:rtl w:val="0"/>
          <w:lang w:val="it-IT"/>
        </w:rPr>
        <w:t>ad hoc</w:t>
      </w:r>
      <w:r>
        <w:rPr>
          <w:rFonts w:ascii="Book Antiqua"/>
          <w:color w:val="262626"/>
          <w:u w:color="262626"/>
          <w:rtl w:val="0"/>
          <w:lang w:val="it-IT"/>
        </w:rPr>
        <w:t xml:space="preserve"> per la valorizzazione del </w:t>
      </w:r>
      <w:r>
        <w:rPr>
          <w:rFonts w:ascii="Book Antiqua"/>
          <w:i w:val="1"/>
          <w:iCs w:val="1"/>
          <w:color w:val="262626"/>
          <w:u w:color="262626"/>
          <w:rtl w:val="0"/>
          <w:lang w:val="it-IT"/>
        </w:rPr>
        <w:t>compost</w:t>
      </w:r>
      <w:r>
        <w:rPr>
          <w:rFonts w:ascii="Book Antiqua"/>
          <w:color w:val="262626"/>
          <w:u w:color="262626"/>
          <w:rtl w:val="0"/>
          <w:lang w:val="it-IT"/>
        </w:rPr>
        <w:t xml:space="preserve"> di qualit</w:t>
      </w:r>
      <w:r>
        <w:rPr>
          <w:rFonts w:hAnsi="Book Antiqua" w:hint="default"/>
          <w:color w:val="262626"/>
          <w:u w:color="262626"/>
          <w:rtl w:val="0"/>
          <w:lang w:val="it-IT"/>
        </w:rPr>
        <w:t xml:space="preserve">à </w:t>
      </w:r>
      <w:r>
        <w:rPr>
          <w:rFonts w:ascii="Book Antiqua"/>
          <w:color w:val="262626"/>
          <w:u w:color="262626"/>
          <w:rtl w:val="0"/>
          <w:lang w:val="it-IT"/>
        </w:rPr>
        <w:t>prodotto nel territorio regionale. Intendiamo inserire nei piani annuali di aiuti all'agricoltura incentivi per l'utilizzo di ammendanti provenienti dal recupero dei rifiuti, creando un albo degli impianti di compostaggio regionali e un marchio di qualit</w:t>
      </w:r>
      <w:r>
        <w:rPr>
          <w:rFonts w:hAnsi="Book Antiqua" w:hint="default"/>
          <w:color w:val="262626"/>
          <w:u w:color="262626"/>
          <w:rtl w:val="0"/>
          <w:lang w:val="it-IT"/>
        </w:rPr>
        <w:t xml:space="preserve">à </w:t>
      </w:r>
      <w:r>
        <w:rPr>
          <w:rFonts w:ascii="Book Antiqua"/>
          <w:color w:val="262626"/>
          <w:u w:color="262626"/>
          <w:rtl w:val="0"/>
          <w:lang w:val="it-IT"/>
        </w:rPr>
        <w:t xml:space="preserve">per il </w:t>
      </w:r>
      <w:r>
        <w:rPr>
          <w:rFonts w:ascii="Book Antiqua"/>
          <w:i w:val="1"/>
          <w:iCs w:val="1"/>
          <w:color w:val="262626"/>
          <w:u w:color="262626"/>
          <w:rtl w:val="0"/>
          <w:lang w:val="it-IT"/>
        </w:rPr>
        <w:t>compost</w:t>
      </w:r>
      <w:r>
        <w:rPr>
          <w:rFonts w:ascii="Book Antiqua"/>
          <w:color w:val="262626"/>
          <w:u w:color="262626"/>
          <w:rtl w:val="0"/>
          <w:lang w:val="it-IT"/>
        </w:rPr>
        <w:t xml:space="preserve"> della regione Lazio. Come per le frazioni organiche, sar</w:t>
      </w:r>
      <w:r>
        <w:rPr>
          <w:rFonts w:hAnsi="Book Antiqua" w:hint="default"/>
          <w:color w:val="262626"/>
          <w:u w:color="262626"/>
          <w:rtl w:val="0"/>
          <w:lang w:val="it-IT"/>
        </w:rPr>
        <w:t xml:space="preserve">à </w:t>
      </w:r>
      <w:r>
        <w:rPr>
          <w:rFonts w:ascii="Book Antiqua"/>
          <w:color w:val="262626"/>
          <w:u w:color="262626"/>
          <w:rtl w:val="0"/>
          <w:lang w:val="it-IT"/>
        </w:rPr>
        <w:t>pubblicato un bando per sostenere l'utilizzo di ogni equipaggiamento, cos</w:t>
      </w:r>
      <w:r>
        <w:rPr>
          <w:rFonts w:hAnsi="Book Antiqua" w:hint="default"/>
          <w:color w:val="262626"/>
          <w:u w:color="262626"/>
          <w:rtl w:val="0"/>
          <w:lang w:val="it-IT"/>
        </w:rPr>
        <w:t xml:space="preserve">ì </w:t>
      </w:r>
      <w:r>
        <w:rPr>
          <w:rFonts w:ascii="Book Antiqua"/>
          <w:color w:val="262626"/>
          <w:u w:color="262626"/>
          <w:rtl w:val="0"/>
          <w:lang w:val="it-IT"/>
        </w:rPr>
        <w:t>come di ogni pratica tesa a estrarre le frazioni secche riciclabili dai rifiuti urbani da trattare e da smaltire.</w:t>
      </w:r>
      <w:r>
        <w:rPr>
          <w:rFonts w:hAnsi="Book Antiqua" w:hint="default"/>
          <w:color w:val="262626"/>
          <w:u w:color="262626"/>
          <w:rtl w:val="0"/>
          <w:lang w:val="it-IT"/>
        </w:rPr>
        <w:t>”</w:t>
      </w:r>
    </w:p>
    <w:p>
      <w:pPr>
        <w:pStyle w:val="Normal"/>
        <w:widowControl w:val="0"/>
        <w:ind w:left="567" w:right="567" w:firstLine="0"/>
        <w:jc w:val="both"/>
        <w:rPr>
          <w:rFonts w:ascii="Book Antiqua" w:cs="Book Antiqua" w:hAnsi="Book Antiqua" w:eastAsia="Book Antiqua"/>
          <w:color w:val="262626"/>
          <w:u w:color="262626"/>
        </w:rPr>
      </w:pPr>
      <w:r>
        <w:rPr>
          <w:rFonts w:ascii="Book Antiqua"/>
          <w:color w:val="262626"/>
          <w:u w:color="262626"/>
          <w:rtl w:val="0"/>
          <w:lang w:val="it-IT"/>
        </w:rPr>
        <w:t xml:space="preserve">La regione Lazio si </w:t>
      </w:r>
      <w:r>
        <w:rPr>
          <w:rFonts w:hAnsi="Book Antiqua" w:hint="default"/>
          <w:color w:val="262626"/>
          <w:u w:color="262626"/>
          <w:rtl w:val="0"/>
          <w:lang w:val="it-IT"/>
        </w:rPr>
        <w:t xml:space="preserve">è </w:t>
      </w:r>
      <w:r>
        <w:rPr>
          <w:rFonts w:ascii="Book Antiqua"/>
          <w:color w:val="262626"/>
          <w:u w:color="262626"/>
          <w:rtl w:val="0"/>
          <w:lang w:val="it-IT"/>
        </w:rPr>
        <w:t>dunque posta l</w:t>
      </w:r>
      <w:r>
        <w:rPr>
          <w:rFonts w:hAnsi="Book Antiqua" w:hint="default"/>
          <w:color w:val="262626"/>
          <w:u w:color="262626"/>
          <w:rtl w:val="0"/>
          <w:lang w:val="it-IT"/>
        </w:rPr>
        <w:t>’</w:t>
      </w:r>
      <w:r>
        <w:rPr>
          <w:rFonts w:ascii="Book Antiqua"/>
          <w:color w:val="262626"/>
          <w:u w:color="262626"/>
          <w:rtl w:val="0"/>
          <w:lang w:val="it-IT"/>
        </w:rPr>
        <w:t>obiettivo principale di diminuire la quantit</w:t>
      </w:r>
      <w:r>
        <w:rPr>
          <w:rFonts w:hAnsi="Book Antiqua" w:hint="default"/>
          <w:color w:val="262626"/>
          <w:u w:color="262626"/>
          <w:rtl w:val="0"/>
          <w:lang w:val="it-IT"/>
        </w:rPr>
        <w:t xml:space="preserve">à </w:t>
      </w:r>
      <w:r>
        <w:rPr>
          <w:rFonts w:ascii="Book Antiqua"/>
          <w:color w:val="262626"/>
          <w:u w:color="262626"/>
          <w:rtl w:val="0"/>
          <w:lang w:val="it-IT"/>
        </w:rPr>
        <w:t>e qualit</w:t>
      </w:r>
      <w:r>
        <w:rPr>
          <w:rFonts w:hAnsi="Book Antiqua" w:hint="default"/>
          <w:color w:val="262626"/>
          <w:u w:color="262626"/>
          <w:rtl w:val="0"/>
          <w:lang w:val="it-IT"/>
        </w:rPr>
        <w:t xml:space="preserve">à </w:t>
      </w:r>
      <w:r>
        <w:rPr>
          <w:rFonts w:ascii="Book Antiqua"/>
          <w:color w:val="262626"/>
          <w:u w:color="262626"/>
          <w:rtl w:val="0"/>
          <w:lang w:val="it-IT"/>
        </w:rPr>
        <w:t>dei rifiuti residui.</w:t>
      </w:r>
    </w:p>
    <w:p>
      <w:pPr>
        <w:pStyle w:val="Normal"/>
        <w:widowControl w:val="0"/>
        <w:ind w:left="567" w:right="567" w:firstLine="0"/>
        <w:jc w:val="both"/>
        <w:rPr>
          <w:rFonts w:ascii="Book Antiqua" w:cs="Book Antiqua" w:hAnsi="Book Antiqua" w:eastAsia="Book Antiqua"/>
          <w:color w:val="262626"/>
          <w:u w:color="262626"/>
        </w:rPr>
      </w:pPr>
      <w:r>
        <w:rPr>
          <w:rFonts w:ascii="Book Antiqua"/>
          <w:color w:val="262626"/>
          <w:u w:color="262626"/>
          <w:rtl w:val="0"/>
          <w:lang w:val="it-IT"/>
        </w:rPr>
        <w:t>E</w:t>
      </w:r>
      <w:r>
        <w:rPr>
          <w:rFonts w:hAnsi="Book Antiqua" w:hint="default"/>
          <w:color w:val="262626"/>
          <w:u w:color="262626"/>
          <w:rtl w:val="0"/>
          <w:lang w:val="it-IT"/>
        </w:rPr>
        <w:t xml:space="preserve">’ </w:t>
      </w:r>
      <w:r>
        <w:rPr>
          <w:rFonts w:ascii="Book Antiqua"/>
          <w:color w:val="262626"/>
          <w:u w:color="262626"/>
          <w:rtl w:val="0"/>
          <w:lang w:val="it-IT"/>
        </w:rPr>
        <w:t xml:space="preserve">comunque evidente, al fine di prevenire fenomeni illeciti diretti ovvero conseguenti a un permanente </w:t>
      </w:r>
      <w:r>
        <w:rPr>
          <w:rFonts w:hAnsi="Book Antiqua" w:hint="default"/>
          <w:color w:val="262626"/>
          <w:u w:color="262626"/>
          <w:rtl w:val="0"/>
          <w:lang w:val="it-IT"/>
        </w:rPr>
        <w:t>“</w:t>
      </w:r>
      <w:r>
        <w:rPr>
          <w:rFonts w:ascii="Book Antiqua"/>
          <w:color w:val="262626"/>
          <w:u w:color="262626"/>
          <w:rtl w:val="0"/>
          <w:lang w:val="it-IT"/>
        </w:rPr>
        <w:t>stato di temuta emergenza</w:t>
      </w:r>
      <w:r>
        <w:rPr>
          <w:rFonts w:hAnsi="Book Antiqua" w:hint="default"/>
          <w:color w:val="262626"/>
          <w:u w:color="262626"/>
          <w:rtl w:val="0"/>
          <w:lang w:val="it-IT"/>
        </w:rPr>
        <w:t xml:space="preserve">” </w:t>
      </w:r>
      <w:r>
        <w:rPr>
          <w:rFonts w:ascii="Book Antiqua"/>
          <w:color w:val="262626"/>
          <w:u w:color="262626"/>
          <w:rtl w:val="0"/>
          <w:lang w:val="it-IT"/>
        </w:rPr>
        <w:t>la necessit</w:t>
      </w:r>
      <w:r>
        <w:rPr>
          <w:rFonts w:hAnsi="Book Antiqua" w:hint="default"/>
          <w:color w:val="262626"/>
          <w:u w:color="262626"/>
          <w:rtl w:val="0"/>
          <w:lang w:val="it-IT"/>
        </w:rPr>
        <w:t xml:space="preserve">à </w:t>
      </w:r>
      <w:r>
        <w:rPr>
          <w:rFonts w:ascii="Book Antiqua"/>
          <w:color w:val="262626"/>
          <w:u w:color="262626"/>
          <w:rtl w:val="0"/>
          <w:lang w:val="it-IT"/>
        </w:rPr>
        <w:t>di inversione di tendenza che tenga irrevocabilmente conto non solo del venir meno della discarica di Malagrotta, ma anche della necessit</w:t>
      </w:r>
      <w:r>
        <w:rPr>
          <w:rFonts w:hAnsi="Book Antiqua" w:hint="default"/>
          <w:color w:val="262626"/>
          <w:u w:color="262626"/>
          <w:rtl w:val="0"/>
          <w:lang w:val="it-IT"/>
        </w:rPr>
        <w:t xml:space="preserve">à </w:t>
      </w:r>
      <w:r>
        <w:rPr>
          <w:rFonts w:ascii="Book Antiqua"/>
          <w:color w:val="262626"/>
          <w:u w:color="262626"/>
          <w:rtl w:val="0"/>
          <w:lang w:val="it-IT"/>
        </w:rPr>
        <w:t>di programmare a livello gestionale e impiantistico una chiusura del ciclo dei rifiuti coerente con le norme nazionali e sovranazionali.</w:t>
      </w:r>
    </w:p>
    <w:p>
      <w:pPr>
        <w:pStyle w:val="Normal"/>
        <w:widowControl w:val="0"/>
        <w:ind w:left="567" w:right="567" w:firstLine="0"/>
        <w:jc w:val="both"/>
        <w:rPr>
          <w:rFonts w:ascii="Book Antiqua" w:cs="Book Antiqua" w:hAnsi="Book Antiqua" w:eastAsia="Book Antiqua"/>
          <w:color w:val="262626"/>
          <w:u w:color="262626"/>
        </w:rPr>
      </w:pPr>
      <w:r>
        <w:rPr>
          <w:rFonts w:ascii="Book Antiqua"/>
          <w:color w:val="262626"/>
          <w:u w:color="262626"/>
          <w:rtl w:val="0"/>
          <w:lang w:val="it-IT"/>
        </w:rPr>
        <w:t>Afferma l</w:t>
      </w:r>
      <w:r>
        <w:rPr>
          <w:rFonts w:hAnsi="Book Antiqua" w:hint="default"/>
          <w:color w:val="262626"/>
          <w:u w:color="262626"/>
          <w:rtl w:val="0"/>
          <w:lang w:val="it-IT"/>
        </w:rPr>
        <w:t>’</w:t>
      </w:r>
      <w:r>
        <w:rPr>
          <w:rFonts w:ascii="Book Antiqua"/>
          <w:color w:val="262626"/>
          <w:u w:color="262626"/>
          <w:rtl w:val="0"/>
          <w:lang w:val="it-IT"/>
        </w:rPr>
        <w:t>assessore:</w:t>
      </w:r>
    </w:p>
    <w:p>
      <w:pPr>
        <w:pStyle w:val="Normal"/>
        <w:widowControl w:val="0"/>
        <w:ind w:left="567" w:right="567" w:firstLine="0"/>
        <w:jc w:val="both"/>
        <w:rPr>
          <w:rFonts w:ascii="Book Antiqua" w:cs="Book Antiqua" w:hAnsi="Book Antiqua" w:eastAsia="Book Antiqua"/>
          <w:color w:val="262626"/>
          <w:u w:color="262626"/>
        </w:rPr>
      </w:pPr>
      <w:r>
        <w:rPr>
          <w:rFonts w:hAnsi="Book Antiqua" w:hint="default"/>
          <w:color w:val="262626"/>
          <w:u w:color="262626"/>
          <w:rtl w:val="0"/>
          <w:lang w:val="it-IT"/>
        </w:rPr>
        <w:t xml:space="preserve"> “</w:t>
      </w:r>
      <w:r>
        <w:rPr>
          <w:rFonts w:ascii="Book Antiqua"/>
          <w:color w:val="262626"/>
          <w:u w:color="262626"/>
          <w:rtl w:val="0"/>
          <w:lang w:val="it-IT"/>
        </w:rPr>
        <w:t>Certamente sappiamo che arriviamo in ritardo rispetto ad altre regioni italiane, proprio per l</w:t>
      </w:r>
      <w:r>
        <w:rPr>
          <w:rFonts w:hAnsi="Book Antiqua" w:hint="default"/>
          <w:color w:val="262626"/>
          <w:u w:color="262626"/>
          <w:rtl w:val="0"/>
          <w:lang w:val="it-IT"/>
        </w:rPr>
        <w:t>’</w:t>
      </w:r>
      <w:r>
        <w:rPr>
          <w:rFonts w:ascii="Book Antiqua"/>
          <w:color w:val="262626"/>
          <w:u w:color="262626"/>
          <w:rtl w:val="0"/>
          <w:lang w:val="it-IT"/>
        </w:rPr>
        <w:t>azione dominante esercitata dal comodo passato di seppellimento di rifiuti in discarica, ma i progressi sono in accelerazione e confidiamo di terminare il mandato amministrativo nella primavera del 2018 con risultati accostabili a quelli delle migliori regioni del Paese. La seconda osservazione, da cui discendono azioni correttive, che vogliamo incisive, riguarda il funzionamento dell'impiantistica di trattamento e di smaltimento dei rifiuti residui. Ad oggi il sistema industriale disponibile consente di evitare la collocazione in discarica di rifiuti tal quali, cos</w:t>
      </w:r>
      <w:r>
        <w:rPr>
          <w:rFonts w:hAnsi="Book Antiqua" w:hint="default"/>
          <w:color w:val="262626"/>
          <w:u w:color="262626"/>
          <w:rtl w:val="0"/>
          <w:lang w:val="it-IT"/>
        </w:rPr>
        <w:t xml:space="preserve">ì </w:t>
      </w:r>
      <w:r>
        <w:rPr>
          <w:rFonts w:ascii="Book Antiqua"/>
          <w:color w:val="262626"/>
          <w:u w:color="262626"/>
          <w:rtl w:val="0"/>
          <w:lang w:val="it-IT"/>
        </w:rPr>
        <w:t>come accaduto fino al 2013. Gli impianti di trattamento meccanico-biologico hanno la capacit</w:t>
      </w:r>
      <w:r>
        <w:rPr>
          <w:rFonts w:hAnsi="Book Antiqua" w:hint="default"/>
          <w:color w:val="262626"/>
          <w:u w:color="262626"/>
          <w:rtl w:val="0"/>
          <w:lang w:val="it-IT"/>
        </w:rPr>
        <w:t xml:space="preserve">à </w:t>
      </w:r>
      <w:r>
        <w:rPr>
          <w:rFonts w:ascii="Book Antiqua"/>
          <w:color w:val="262626"/>
          <w:u w:color="262626"/>
          <w:rtl w:val="0"/>
          <w:lang w:val="it-IT"/>
        </w:rPr>
        <w:t>di trattare la totalit</w:t>
      </w:r>
      <w:r>
        <w:rPr>
          <w:rFonts w:hAnsi="Book Antiqua" w:hint="default"/>
          <w:color w:val="262626"/>
          <w:u w:color="262626"/>
          <w:rtl w:val="0"/>
          <w:lang w:val="it-IT"/>
        </w:rPr>
        <w:t xml:space="preserve">à </w:t>
      </w:r>
      <w:r>
        <w:rPr>
          <w:rFonts w:ascii="Book Antiqua"/>
          <w:color w:val="262626"/>
          <w:u w:color="262626"/>
          <w:rtl w:val="0"/>
          <w:lang w:val="it-IT"/>
        </w:rPr>
        <w:t xml:space="preserve">dei rifiuti generati dalla regione; anche questo </w:t>
      </w:r>
      <w:r>
        <w:rPr>
          <w:rFonts w:hAnsi="Book Antiqua" w:hint="default"/>
          <w:color w:val="262626"/>
          <w:u w:color="262626"/>
          <w:rtl w:val="0"/>
          <w:lang w:val="it-IT"/>
        </w:rPr>
        <w:t xml:space="preserve">è </w:t>
      </w:r>
      <w:r>
        <w:rPr>
          <w:rFonts w:ascii="Book Antiqua"/>
          <w:color w:val="262626"/>
          <w:u w:color="262626"/>
          <w:rtl w:val="0"/>
          <w:lang w:val="it-IT"/>
        </w:rPr>
        <w:t>un risultato, che abbassa il rischio di inquinamento rispetto all</w:t>
      </w:r>
      <w:r>
        <w:rPr>
          <w:rFonts w:hAnsi="Book Antiqua" w:hint="default"/>
          <w:color w:val="262626"/>
          <w:u w:color="262626"/>
          <w:rtl w:val="0"/>
          <w:lang w:val="it-IT"/>
        </w:rPr>
        <w:t>’</w:t>
      </w:r>
      <w:r>
        <w:rPr>
          <w:rFonts w:ascii="Book Antiqua"/>
          <w:color w:val="262626"/>
          <w:u w:color="262626"/>
          <w:rtl w:val="0"/>
          <w:lang w:val="it-IT"/>
        </w:rPr>
        <w:t>epoca in cui si seppellivano i rifiuti rovesciati dai cassonetti nei compattatori della raccolta e da questi in discarica. Detto questo, per</w:t>
      </w:r>
      <w:r>
        <w:rPr>
          <w:rFonts w:hAnsi="Book Antiqua" w:hint="default"/>
          <w:color w:val="262626"/>
          <w:u w:color="262626"/>
          <w:rtl w:val="0"/>
          <w:lang w:val="it-IT"/>
        </w:rPr>
        <w:t>ò</w:t>
      </w:r>
      <w:r>
        <w:rPr>
          <w:rFonts w:ascii="Book Antiqua"/>
          <w:color w:val="262626"/>
          <w:u w:color="262626"/>
          <w:rtl w:val="0"/>
          <w:lang w:val="it-IT"/>
        </w:rPr>
        <w:t>, occorre aver presente che gli impianti devono essere gestiti nel pieno rispetto delle autorizzazioni e delle norme; deve inoltre migliorare, in ogni caso, la gestione degli impianti di trattamento meccanico-biologico ora in esercizio perch</w:t>
      </w:r>
      <w:r>
        <w:rPr>
          <w:rFonts w:hAnsi="Book Antiqua" w:hint="default"/>
          <w:color w:val="262626"/>
          <w:u w:color="262626"/>
          <w:rtl w:val="0"/>
          <w:lang w:val="it-IT"/>
        </w:rPr>
        <w:t xml:space="preserve">é </w:t>
      </w:r>
      <w:r>
        <w:rPr>
          <w:rFonts w:ascii="Book Antiqua"/>
          <w:color w:val="262626"/>
          <w:u w:color="262626"/>
          <w:rtl w:val="0"/>
          <w:lang w:val="it-IT"/>
        </w:rPr>
        <w:t xml:space="preserve">non tutti assicurano al meglio le </w:t>
      </w:r>
      <w:r>
        <w:rPr>
          <w:rFonts w:ascii="Book Antiqua"/>
          <w:i w:val="1"/>
          <w:iCs w:val="1"/>
          <w:color w:val="262626"/>
          <w:u w:color="262626"/>
          <w:rtl w:val="0"/>
          <w:lang w:val="it-IT"/>
        </w:rPr>
        <w:t>performance</w:t>
      </w:r>
      <w:r>
        <w:rPr>
          <w:rFonts w:ascii="Book Antiqua"/>
          <w:color w:val="262626"/>
          <w:u w:color="262626"/>
          <w:rtl w:val="0"/>
          <w:lang w:val="it-IT"/>
        </w:rPr>
        <w:t xml:space="preserve"> prescritte.</w:t>
      </w:r>
      <w:r>
        <w:rPr>
          <w:rFonts w:hAnsi="Book Antiqua" w:hint="default"/>
          <w:color w:val="262626"/>
          <w:u w:color="262626"/>
          <w:rtl w:val="0"/>
          <w:lang w:val="it-IT"/>
        </w:rPr>
        <w:t>”</w:t>
      </w:r>
    </w:p>
    <w:p>
      <w:pPr>
        <w:pStyle w:val="Normal"/>
        <w:widowControl w:val="0"/>
        <w:ind w:left="567" w:right="567" w:firstLine="0"/>
        <w:jc w:val="both"/>
        <w:rPr>
          <w:rFonts w:ascii="Book Antiqua" w:cs="Book Antiqua" w:hAnsi="Book Antiqua" w:eastAsia="Book Antiqua"/>
          <w:color w:val="262626"/>
          <w:u w:color="262626"/>
        </w:rPr>
      </w:pPr>
      <w:r>
        <w:rPr>
          <w:rFonts w:ascii="Book Antiqua"/>
          <w:color w:val="262626"/>
          <w:u w:color="262626"/>
          <w:rtl w:val="0"/>
          <w:lang w:val="it-IT"/>
        </w:rPr>
        <w:t>L</w:t>
      </w:r>
      <w:r>
        <w:rPr>
          <w:rFonts w:hAnsi="Book Antiqua" w:hint="default"/>
          <w:color w:val="262626"/>
          <w:u w:color="262626"/>
          <w:rtl w:val="0"/>
          <w:lang w:val="it-IT"/>
        </w:rPr>
        <w:t>’</w:t>
      </w:r>
      <w:r>
        <w:rPr>
          <w:rFonts w:ascii="Book Antiqua"/>
          <w:color w:val="262626"/>
          <w:u w:color="262626"/>
          <w:rtl w:val="0"/>
          <w:lang w:val="it-IT"/>
        </w:rPr>
        <w:t>attivit</w:t>
      </w:r>
      <w:r>
        <w:rPr>
          <w:rFonts w:hAnsi="Book Antiqua" w:hint="default"/>
          <w:color w:val="262626"/>
          <w:u w:color="262626"/>
          <w:rtl w:val="0"/>
          <w:lang w:val="it-IT"/>
        </w:rPr>
        <w:t xml:space="preserve">à </w:t>
      </w:r>
      <w:r>
        <w:rPr>
          <w:rFonts w:ascii="Book Antiqua"/>
          <w:color w:val="262626"/>
          <w:u w:color="262626"/>
          <w:rtl w:val="0"/>
          <w:lang w:val="it-IT"/>
        </w:rPr>
        <w:t xml:space="preserve">di controllo su questi impianti </w:t>
      </w:r>
      <w:r>
        <w:rPr>
          <w:rFonts w:hAnsi="Book Antiqua" w:hint="default"/>
          <w:color w:val="262626"/>
          <w:u w:color="262626"/>
          <w:rtl w:val="0"/>
          <w:lang w:val="it-IT"/>
        </w:rPr>
        <w:t xml:space="preserve">è </w:t>
      </w:r>
      <w:r>
        <w:rPr>
          <w:rFonts w:ascii="Book Antiqua"/>
          <w:color w:val="262626"/>
          <w:u w:color="262626"/>
          <w:rtl w:val="0"/>
          <w:lang w:val="it-IT"/>
        </w:rPr>
        <w:t>stata esercitata dall</w:t>
      </w:r>
      <w:r>
        <w:rPr>
          <w:rFonts w:hAnsi="Book Antiqua" w:hint="default"/>
          <w:color w:val="262626"/>
          <w:u w:color="262626"/>
          <w:rtl w:val="0"/>
          <w:lang w:val="it-IT"/>
        </w:rPr>
        <w:t>’</w:t>
      </w:r>
      <w:r>
        <w:rPr>
          <w:rFonts w:ascii="Book Antiqua"/>
          <w:color w:val="262626"/>
          <w:u w:color="262626"/>
          <w:rtl w:val="0"/>
          <w:lang w:val="it-IT"/>
        </w:rPr>
        <w:t>ARPA in forma ulteriore rispetto all</w:t>
      </w:r>
      <w:r>
        <w:rPr>
          <w:rFonts w:hAnsi="Book Antiqua" w:hint="default"/>
          <w:color w:val="262626"/>
          <w:u w:color="262626"/>
          <w:rtl w:val="0"/>
          <w:lang w:val="it-IT"/>
        </w:rPr>
        <w:t>’</w:t>
      </w:r>
      <w:r>
        <w:rPr>
          <w:rFonts w:ascii="Book Antiqua"/>
          <w:color w:val="262626"/>
          <w:u w:color="262626"/>
          <w:rtl w:val="0"/>
          <w:lang w:val="it-IT"/>
        </w:rPr>
        <w:t xml:space="preserve">ordinaria azione di monitoraggio e controllo ai fini ambientali e sanitari, ha prodotto indagini giudiziarie in corso e, come si </w:t>
      </w:r>
      <w:r>
        <w:rPr>
          <w:rFonts w:hAnsi="Book Antiqua" w:hint="default"/>
          <w:color w:val="262626"/>
          <w:u w:color="262626"/>
          <w:rtl w:val="0"/>
          <w:lang w:val="it-IT"/>
        </w:rPr>
        <w:t xml:space="preserve">è </w:t>
      </w:r>
      <w:r>
        <w:rPr>
          <w:rFonts w:ascii="Book Antiqua"/>
          <w:color w:val="262626"/>
          <w:u w:color="262626"/>
          <w:rtl w:val="0"/>
          <w:lang w:val="it-IT"/>
        </w:rPr>
        <w:t xml:space="preserve">visto, ha indotto anche la Commissione ad esercitare i suoi poteri di cui </w:t>
      </w:r>
      <w:r>
        <w:rPr>
          <w:rFonts w:ascii="Book Antiqua"/>
          <w:rtl w:val="0"/>
          <w:lang w:val="it-IT"/>
        </w:rPr>
        <w:t>all</w:t>
      </w:r>
      <w:r>
        <w:rPr>
          <w:rFonts w:hAnsi="Book Antiqua" w:hint="default"/>
          <w:rtl w:val="0"/>
          <w:lang w:val="it-IT"/>
        </w:rPr>
        <w:t>’</w:t>
      </w:r>
      <w:r>
        <w:rPr>
          <w:rFonts w:ascii="Book Antiqua"/>
          <w:rtl w:val="0"/>
          <w:lang w:val="it-IT"/>
        </w:rPr>
        <w:t>articolo 82, secondo comma, della Costituzione</w:t>
      </w:r>
      <w:r>
        <w:rPr>
          <w:rFonts w:ascii="Book Antiqua"/>
          <w:color w:val="262626"/>
          <w:u w:color="262626"/>
          <w:rtl w:val="0"/>
          <w:lang w:val="it-IT"/>
        </w:rPr>
        <w:t xml:space="preserve"> con atti di natura processuale penale</w:t>
      </w:r>
      <w:r>
        <w:rPr>
          <w:rFonts w:ascii="Book Antiqua" w:cs="Book Antiqua" w:hAnsi="Book Antiqua" w:eastAsia="Book Antiqua"/>
          <w:color w:val="262626"/>
          <w:u w:color="262626"/>
          <w:vertAlign w:val="superscript"/>
          <w:rtl w:val="0"/>
        </w:rPr>
        <w:footnoteReference w:id="166"/>
      </w:r>
      <w:r>
        <w:rPr>
          <w:rFonts w:ascii="Book Antiqua"/>
          <w:color w:val="262626"/>
          <w:u w:color="262626"/>
          <w:rtl w:val="0"/>
          <w:lang w:val="it-IT"/>
        </w:rPr>
        <w:t>.</w:t>
      </w:r>
    </w:p>
    <w:p>
      <w:pPr>
        <w:pStyle w:val="Normal"/>
        <w:widowControl w:val="0"/>
        <w:ind w:left="567" w:right="567" w:firstLine="0"/>
        <w:jc w:val="both"/>
        <w:rPr>
          <w:rFonts w:ascii="Book Antiqua" w:cs="Book Antiqua" w:hAnsi="Book Antiqua" w:eastAsia="Book Antiqua"/>
          <w:color w:val="262626"/>
          <w:u w:color="262626"/>
        </w:rPr>
      </w:pPr>
      <w:r>
        <w:rPr>
          <w:rFonts w:ascii="Book Antiqua"/>
          <w:color w:val="262626"/>
          <w:u w:color="262626"/>
          <w:rtl w:val="0"/>
          <w:lang w:val="it-IT"/>
        </w:rPr>
        <w:t>Come l</w:t>
      </w:r>
      <w:r>
        <w:rPr>
          <w:rFonts w:hAnsi="Book Antiqua" w:hint="default"/>
          <w:color w:val="262626"/>
          <w:u w:color="262626"/>
          <w:rtl w:val="0"/>
          <w:lang w:val="it-IT"/>
        </w:rPr>
        <w:t>’</w:t>
      </w:r>
      <w:r>
        <w:rPr>
          <w:rFonts w:ascii="Book Antiqua"/>
          <w:color w:val="262626"/>
          <w:u w:color="262626"/>
          <w:rtl w:val="0"/>
          <w:lang w:val="it-IT"/>
        </w:rPr>
        <w:t>assessore ha chiarito, quanto agli strumenti d</w:t>
      </w:r>
      <w:r>
        <w:rPr>
          <w:rFonts w:hAnsi="Book Antiqua" w:hint="default"/>
          <w:color w:val="262626"/>
          <w:u w:color="262626"/>
          <w:rtl w:val="0"/>
          <w:lang w:val="it-IT"/>
        </w:rPr>
        <w:t>’</w:t>
      </w:r>
      <w:r>
        <w:rPr>
          <w:rFonts w:ascii="Book Antiqua"/>
          <w:color w:val="262626"/>
          <w:u w:color="262626"/>
          <w:rtl w:val="0"/>
          <w:lang w:val="it-IT"/>
        </w:rPr>
        <w:t xml:space="preserve">intervento a disposizione della regione, </w:t>
      </w:r>
      <w:r>
        <w:rPr>
          <w:rFonts w:hAnsi="Book Antiqua" w:hint="default"/>
          <w:color w:val="262626"/>
          <w:u w:color="262626"/>
          <w:rtl w:val="0"/>
          <w:lang w:val="it-IT"/>
        </w:rPr>
        <w:t>“</w:t>
      </w:r>
      <w:r>
        <w:rPr>
          <w:rFonts w:ascii="Book Antiqua"/>
          <w:color w:val="262626"/>
          <w:u w:color="262626"/>
          <w:rtl w:val="0"/>
          <w:lang w:val="it-IT"/>
        </w:rPr>
        <w:t xml:space="preserve">sopralluoghi, sollecitazioni e diffide sono gli strumenti di cui disponiamo e che usiamo tutte le volte che </w:t>
      </w:r>
      <w:r>
        <w:rPr>
          <w:rFonts w:hAnsi="Book Antiqua" w:hint="default"/>
          <w:color w:val="262626"/>
          <w:u w:color="262626"/>
          <w:rtl w:val="0"/>
          <w:lang w:val="it-IT"/>
        </w:rPr>
        <w:t xml:space="preserve">è </w:t>
      </w:r>
      <w:r>
        <w:rPr>
          <w:rFonts w:ascii="Book Antiqua"/>
          <w:color w:val="262626"/>
          <w:u w:color="262626"/>
          <w:rtl w:val="0"/>
          <w:lang w:val="it-IT"/>
        </w:rPr>
        <w:t>necessario, fino ad arrivare a procedure di riesame delle autorizzazioni integrate ambientali (AIA), senza escludere che queste possano anche essere revocate. A ottobre 2015, infatti, la regione ha rilevato le criticit</w:t>
      </w:r>
      <w:r>
        <w:rPr>
          <w:rFonts w:hAnsi="Book Antiqua" w:hint="default"/>
          <w:color w:val="262626"/>
          <w:u w:color="262626"/>
          <w:rtl w:val="0"/>
          <w:lang w:val="it-IT"/>
        </w:rPr>
        <w:t xml:space="preserve">à </w:t>
      </w:r>
      <w:r>
        <w:rPr>
          <w:rFonts w:ascii="Book Antiqua"/>
          <w:color w:val="262626"/>
          <w:u w:color="262626"/>
          <w:rtl w:val="0"/>
          <w:lang w:val="it-IT"/>
        </w:rPr>
        <w:t>del funzionamento del TMB della SAF, aprendo al riesame dell'AIA a suo tempo rilasciata. La procedura di riesame si concluder</w:t>
      </w:r>
      <w:r>
        <w:rPr>
          <w:rFonts w:hAnsi="Book Antiqua" w:hint="default"/>
          <w:color w:val="262626"/>
          <w:u w:color="262626"/>
          <w:rtl w:val="0"/>
          <w:lang w:val="it-IT"/>
        </w:rPr>
        <w:t>à</w:t>
      </w:r>
      <w:r>
        <w:rPr>
          <w:rFonts w:ascii="Book Antiqua"/>
          <w:color w:val="262626"/>
          <w:u w:color="262626"/>
          <w:rtl w:val="0"/>
          <w:lang w:val="it-IT"/>
        </w:rPr>
        <w:t>, come da normativa vigente, entro questo mese, in un confronto anche con il commissario nominato dall'autorit</w:t>
      </w:r>
      <w:r>
        <w:rPr>
          <w:rFonts w:hAnsi="Book Antiqua" w:hint="default"/>
          <w:color w:val="262626"/>
          <w:u w:color="262626"/>
          <w:rtl w:val="0"/>
          <w:lang w:val="it-IT"/>
        </w:rPr>
        <w:t xml:space="preserve">à </w:t>
      </w:r>
      <w:r>
        <w:rPr>
          <w:rFonts w:ascii="Book Antiqua"/>
          <w:color w:val="262626"/>
          <w:u w:color="262626"/>
          <w:rtl w:val="0"/>
          <w:lang w:val="it-IT"/>
        </w:rPr>
        <w:t xml:space="preserve">giudiziaria per introdurre le correzioni, anche infrastrutturali, di cui vi </w:t>
      </w:r>
      <w:r>
        <w:rPr>
          <w:rFonts w:hAnsi="Book Antiqua" w:hint="default"/>
          <w:color w:val="262626"/>
          <w:u w:color="262626"/>
          <w:rtl w:val="0"/>
          <w:lang w:val="it-IT"/>
        </w:rPr>
        <w:t xml:space="preserve">è </w:t>
      </w:r>
      <w:r>
        <w:rPr>
          <w:rFonts w:ascii="Book Antiqua"/>
          <w:color w:val="262626"/>
          <w:u w:color="262626"/>
          <w:rtl w:val="0"/>
          <w:lang w:val="it-IT"/>
        </w:rPr>
        <w:t>bisogno</w:t>
      </w:r>
      <w:r>
        <w:rPr>
          <w:rFonts w:hAnsi="Book Antiqua" w:hint="default"/>
          <w:color w:val="262626"/>
          <w:u w:color="262626"/>
          <w:rtl w:val="0"/>
          <w:lang w:val="it-IT"/>
        </w:rPr>
        <w:t>”</w:t>
      </w:r>
      <w:r>
        <w:rPr>
          <w:rFonts w:ascii="Book Antiqua"/>
          <w:color w:val="262626"/>
          <w:u w:color="262626"/>
          <w:rtl w:val="0"/>
          <w:lang w:val="it-IT"/>
        </w:rPr>
        <w:t>.</w:t>
      </w:r>
    </w:p>
    <w:p>
      <w:pPr>
        <w:pStyle w:val="Normal"/>
        <w:widowControl w:val="0"/>
        <w:ind w:left="567" w:right="567" w:firstLine="0"/>
        <w:jc w:val="both"/>
        <w:rPr>
          <w:rFonts w:ascii="Book Antiqua" w:cs="Book Antiqua" w:hAnsi="Book Antiqua" w:eastAsia="Book Antiqua"/>
          <w:color w:val="262626"/>
          <w:u w:color="262626"/>
        </w:rPr>
      </w:pPr>
      <w:r>
        <w:rPr>
          <w:rFonts w:ascii="Book Antiqua"/>
          <w:color w:val="262626"/>
          <w:u w:color="262626"/>
          <w:rtl w:val="0"/>
          <w:lang w:val="it-IT"/>
        </w:rPr>
        <w:t>Anche sui TMB come dotazione impiantistica tradizionale ad avviso dell</w:t>
      </w:r>
      <w:r>
        <w:rPr>
          <w:rFonts w:hAnsi="Book Antiqua" w:hint="default"/>
          <w:color w:val="262626"/>
          <w:u w:color="262626"/>
          <w:rtl w:val="0"/>
          <w:lang w:val="it-IT"/>
        </w:rPr>
        <w:t>’</w:t>
      </w:r>
      <w:r>
        <w:rPr>
          <w:rFonts w:ascii="Book Antiqua"/>
          <w:color w:val="262626"/>
          <w:u w:color="262626"/>
          <w:rtl w:val="0"/>
          <w:lang w:val="it-IT"/>
        </w:rPr>
        <w:t xml:space="preserve">assessore regionale </w:t>
      </w:r>
      <w:r>
        <w:rPr>
          <w:rFonts w:hAnsi="Book Antiqua" w:hint="default"/>
          <w:color w:val="262626"/>
          <w:u w:color="262626"/>
          <w:rtl w:val="0"/>
          <w:lang w:val="it-IT"/>
        </w:rPr>
        <w:t xml:space="preserve">è </w:t>
      </w:r>
      <w:r>
        <w:rPr>
          <w:rFonts w:ascii="Book Antiqua"/>
          <w:color w:val="262626"/>
          <w:u w:color="262626"/>
          <w:rtl w:val="0"/>
          <w:lang w:val="it-IT"/>
        </w:rPr>
        <w:t>tuttavia necessaria una riflessione:</w:t>
      </w:r>
    </w:p>
    <w:p>
      <w:pPr>
        <w:pStyle w:val="Normal"/>
        <w:widowControl w:val="0"/>
        <w:ind w:left="567" w:right="567" w:firstLine="0"/>
        <w:jc w:val="both"/>
        <w:rPr>
          <w:rFonts w:ascii="Book Antiqua" w:cs="Book Antiqua" w:hAnsi="Book Antiqua" w:eastAsia="Book Antiqua"/>
          <w:color w:val="000000"/>
          <w:u w:color="000000"/>
        </w:rPr>
      </w:pPr>
      <w:r>
        <w:rPr>
          <w:rFonts w:hAnsi="Book Antiqua" w:hint="default"/>
          <w:color w:val="000000"/>
          <w:u w:color="000000"/>
          <w:rtl w:val="0"/>
          <w:lang w:val="it-IT"/>
        </w:rPr>
        <w:t xml:space="preserve"> “</w:t>
      </w:r>
      <w:r>
        <w:rPr>
          <w:rFonts w:ascii="Book Antiqua"/>
          <w:color w:val="000000"/>
          <w:u w:color="000000"/>
          <w:rtl w:val="0"/>
          <w:lang w:val="it-IT"/>
        </w:rPr>
        <w:t>Resta il fatto che i TMB svolgono funzioni ora importanti, quella di separare i rifiuti recuperabili ai fini della generazione energetica e quella di minimizzare il potenziale di inquinamento dei rifiuti da abbancare in discarica, ma restano macchine di vecchia concezione, riconducibili a un ciclo dei rifiuti arcaico e da superare. Gli impianti che noi abbiamo disponibili, peraltro, sono stati concepiti alla fine degli anni 1990 del secolo scorso, sono stati costruiti circa quindici anni fa e gestiti, come abbiamo visto, non senza criticit</w:t>
      </w:r>
      <w:r>
        <w:rPr>
          <w:rFonts w:hAnsi="Book Antiqua" w:hint="default"/>
          <w:color w:val="000000"/>
          <w:u w:color="000000"/>
          <w:rtl w:val="0"/>
          <w:lang w:val="it-IT"/>
        </w:rPr>
        <w:t>à</w:t>
      </w:r>
      <w:r>
        <w:rPr>
          <w:rFonts w:ascii="Book Antiqua"/>
          <w:color w:val="000000"/>
          <w:u w:color="000000"/>
          <w:rtl w:val="0"/>
          <w:lang w:val="it-IT"/>
        </w:rPr>
        <w:t>. Cause accidentali forse hanno determinato l'incendio al TMB di via Salaria a Roma nel maggio 2015, con l'impossibilit</w:t>
      </w:r>
      <w:r>
        <w:rPr>
          <w:rFonts w:hAnsi="Book Antiqua" w:hint="default"/>
          <w:color w:val="000000"/>
          <w:u w:color="000000"/>
          <w:rtl w:val="0"/>
          <w:lang w:val="it-IT"/>
        </w:rPr>
        <w:t xml:space="preserve">à </w:t>
      </w:r>
      <w:r>
        <w:rPr>
          <w:rFonts w:ascii="Book Antiqua"/>
          <w:color w:val="000000"/>
          <w:u w:color="000000"/>
          <w:rtl w:val="0"/>
          <w:lang w:val="it-IT"/>
        </w:rPr>
        <w:t>di usare quel TMB fino all'ottobre 2015, nonch</w:t>
      </w:r>
      <w:r>
        <w:rPr>
          <w:rFonts w:hAnsi="Book Antiqua" w:hint="default"/>
          <w:color w:val="000000"/>
          <w:u w:color="000000"/>
          <w:rtl w:val="0"/>
          <w:lang w:val="it-IT"/>
        </w:rPr>
        <w:t xml:space="preserve">é </w:t>
      </w:r>
      <w:r>
        <w:rPr>
          <w:rFonts w:ascii="Book Antiqua"/>
          <w:color w:val="000000"/>
          <w:u w:color="000000"/>
          <w:rtl w:val="0"/>
          <w:lang w:val="it-IT"/>
        </w:rPr>
        <w:t xml:space="preserve">l'incendio al TMB di Albano Laziale del giugno 2016, che ancora adesso </w:t>
      </w:r>
      <w:r>
        <w:rPr>
          <w:rFonts w:hAnsi="Book Antiqua" w:hint="default"/>
          <w:color w:val="000000"/>
          <w:u w:color="000000"/>
          <w:rtl w:val="0"/>
          <w:lang w:val="it-IT"/>
        </w:rPr>
        <w:t xml:space="preserve">è </w:t>
      </w:r>
      <w:r>
        <w:rPr>
          <w:rFonts w:ascii="Book Antiqua"/>
          <w:color w:val="000000"/>
          <w:u w:color="000000"/>
          <w:rtl w:val="0"/>
          <w:lang w:val="it-IT"/>
        </w:rPr>
        <w:t>posto sotto sequestro dalla magistratura. Ci sono indagini in corso su pi</w:t>
      </w:r>
      <w:r>
        <w:rPr>
          <w:rFonts w:hAnsi="Book Antiqua" w:hint="default"/>
          <w:color w:val="000000"/>
          <w:u w:color="000000"/>
          <w:rtl w:val="0"/>
          <w:lang w:val="it-IT"/>
        </w:rPr>
        <w:t xml:space="preserve">ù </w:t>
      </w:r>
      <w:r>
        <w:rPr>
          <w:rFonts w:ascii="Book Antiqua"/>
          <w:color w:val="000000"/>
          <w:u w:color="000000"/>
          <w:rtl w:val="0"/>
          <w:lang w:val="it-IT"/>
        </w:rPr>
        <w:t>fronti e speriamo di conoscere presto la verit</w:t>
      </w:r>
      <w:r>
        <w:rPr>
          <w:rFonts w:hAnsi="Book Antiqua" w:hint="default"/>
          <w:color w:val="000000"/>
          <w:u w:color="000000"/>
          <w:rtl w:val="0"/>
          <w:lang w:val="it-IT"/>
        </w:rPr>
        <w:t>à</w:t>
      </w:r>
      <w:r>
        <w:rPr>
          <w:rFonts w:ascii="Book Antiqua"/>
          <w:color w:val="000000"/>
          <w:u w:color="000000"/>
          <w:rtl w:val="0"/>
          <w:lang w:val="it-IT"/>
        </w:rPr>
        <w:t xml:space="preserve">, ma </w:t>
      </w:r>
      <w:r>
        <w:rPr>
          <w:rFonts w:hAnsi="Book Antiqua" w:hint="default"/>
          <w:color w:val="000000"/>
          <w:u w:color="000000"/>
          <w:rtl w:val="0"/>
          <w:lang w:val="it-IT"/>
        </w:rPr>
        <w:t xml:space="preserve">è </w:t>
      </w:r>
      <w:r>
        <w:rPr>
          <w:rFonts w:ascii="Book Antiqua"/>
          <w:color w:val="000000"/>
          <w:u w:color="000000"/>
          <w:rtl w:val="0"/>
          <w:lang w:val="it-IT"/>
        </w:rPr>
        <w:t>fuor di dubbio che taluni impianti TMB non corrispondono pi</w:t>
      </w:r>
      <w:r>
        <w:rPr>
          <w:rFonts w:hAnsi="Book Antiqua" w:hint="default"/>
          <w:color w:val="000000"/>
          <w:u w:color="000000"/>
          <w:rtl w:val="0"/>
          <w:lang w:val="it-IT"/>
        </w:rPr>
        <w:t>ù</w:t>
      </w:r>
      <w:r>
        <w:rPr>
          <w:rFonts w:ascii="Book Antiqua"/>
          <w:color w:val="000000"/>
          <w:u w:color="000000"/>
          <w:rtl w:val="0"/>
          <w:lang w:val="it-IT"/>
        </w:rPr>
        <w:t>, sia per le tecnologie installate, sia per le finalit</w:t>
      </w:r>
      <w:r>
        <w:rPr>
          <w:rFonts w:hAnsi="Book Antiqua" w:hint="default"/>
          <w:color w:val="000000"/>
          <w:u w:color="000000"/>
          <w:rtl w:val="0"/>
          <w:lang w:val="it-IT"/>
        </w:rPr>
        <w:t>à</w:t>
      </w:r>
      <w:r>
        <w:rPr>
          <w:rFonts w:ascii="Book Antiqua"/>
          <w:color w:val="000000"/>
          <w:u w:color="000000"/>
          <w:rtl w:val="0"/>
          <w:lang w:val="it-IT"/>
        </w:rPr>
        <w:t>, a ci</w:t>
      </w:r>
      <w:r>
        <w:rPr>
          <w:rFonts w:hAnsi="Book Antiqua" w:hint="default"/>
          <w:color w:val="000000"/>
          <w:u w:color="000000"/>
          <w:rtl w:val="0"/>
          <w:lang w:val="it-IT"/>
        </w:rPr>
        <w:t xml:space="preserve">ò </w:t>
      </w:r>
      <w:r>
        <w:rPr>
          <w:rFonts w:ascii="Book Antiqua"/>
          <w:color w:val="000000"/>
          <w:u w:color="000000"/>
          <w:rtl w:val="0"/>
          <w:lang w:val="it-IT"/>
        </w:rPr>
        <w:t xml:space="preserve">di cui abbiamo bisogno. Il TMB di via Salaria a Roma </w:t>
      </w:r>
      <w:r>
        <w:rPr>
          <w:rFonts w:hAnsi="Book Antiqua" w:hint="default"/>
          <w:color w:val="000000"/>
          <w:u w:color="000000"/>
          <w:rtl w:val="0"/>
          <w:lang w:val="it-IT"/>
        </w:rPr>
        <w:t xml:space="preserve">è </w:t>
      </w:r>
      <w:r>
        <w:rPr>
          <w:rFonts w:ascii="Book Antiqua"/>
          <w:color w:val="000000"/>
          <w:u w:color="000000"/>
          <w:rtl w:val="0"/>
          <w:lang w:val="it-IT"/>
        </w:rPr>
        <w:t xml:space="preserve">ora in esercizio, mentre quello di Albano Laziale </w:t>
      </w:r>
      <w:r>
        <w:rPr>
          <w:rFonts w:hAnsi="Book Antiqua" w:hint="default"/>
          <w:color w:val="000000"/>
          <w:u w:color="000000"/>
          <w:rtl w:val="0"/>
          <w:lang w:val="it-IT"/>
        </w:rPr>
        <w:t xml:space="preserve">è </w:t>
      </w:r>
      <w:r>
        <w:rPr>
          <w:rFonts w:ascii="Book Antiqua"/>
          <w:color w:val="000000"/>
          <w:u w:color="000000"/>
          <w:rtl w:val="0"/>
          <w:lang w:val="it-IT"/>
        </w:rPr>
        <w:t>gravemente danneggiato e rester</w:t>
      </w:r>
      <w:r>
        <w:rPr>
          <w:rFonts w:hAnsi="Book Antiqua" w:hint="default"/>
          <w:color w:val="000000"/>
          <w:u w:color="000000"/>
          <w:rtl w:val="0"/>
          <w:lang w:val="it-IT"/>
        </w:rPr>
        <w:t xml:space="preserve">à </w:t>
      </w:r>
      <w:r>
        <w:rPr>
          <w:rFonts w:ascii="Book Antiqua"/>
          <w:color w:val="000000"/>
          <w:u w:color="000000"/>
          <w:rtl w:val="0"/>
          <w:lang w:val="it-IT"/>
        </w:rPr>
        <w:t xml:space="preserve">fuori uso ancora per molto tempo. Contemporaneamente, il TMB di Guidonia </w:t>
      </w:r>
      <w:r>
        <w:rPr>
          <w:rFonts w:hAnsi="Book Antiqua" w:hint="default"/>
          <w:color w:val="000000"/>
          <w:u w:color="000000"/>
          <w:rtl w:val="0"/>
          <w:lang w:val="it-IT"/>
        </w:rPr>
        <w:t xml:space="preserve">è </w:t>
      </w:r>
      <w:r>
        <w:rPr>
          <w:rFonts w:ascii="Book Antiqua"/>
          <w:color w:val="000000"/>
          <w:u w:color="000000"/>
          <w:rtl w:val="0"/>
          <w:lang w:val="it-IT"/>
        </w:rPr>
        <w:t xml:space="preserve">indisponibile a causa di un sequestro giudiziario ancora in corso, mentre il pianificato TMB di Bracciano </w:t>
      </w:r>
      <w:r>
        <w:rPr>
          <w:rFonts w:hAnsi="Book Antiqua" w:hint="default"/>
          <w:color w:val="000000"/>
          <w:u w:color="000000"/>
          <w:rtl w:val="0"/>
          <w:lang w:val="it-IT"/>
        </w:rPr>
        <w:t xml:space="preserve">è </w:t>
      </w:r>
      <w:r>
        <w:rPr>
          <w:rFonts w:ascii="Book Antiqua"/>
          <w:color w:val="000000"/>
          <w:u w:color="000000"/>
          <w:rtl w:val="0"/>
          <w:lang w:val="it-IT"/>
        </w:rPr>
        <w:t>ora osteggiato dalle amministrazioni comunali alle prese con il fallimento della societ</w:t>
      </w:r>
      <w:r>
        <w:rPr>
          <w:rFonts w:hAnsi="Book Antiqua" w:hint="default"/>
          <w:color w:val="000000"/>
          <w:u w:color="000000"/>
          <w:rtl w:val="0"/>
          <w:lang w:val="it-IT"/>
        </w:rPr>
        <w:t xml:space="preserve">à </w:t>
      </w:r>
      <w:r>
        <w:rPr>
          <w:rFonts w:ascii="Book Antiqua"/>
          <w:color w:val="000000"/>
          <w:u w:color="000000"/>
          <w:rtl w:val="0"/>
          <w:lang w:val="it-IT"/>
        </w:rPr>
        <w:t>Bracciano Ambiente. Il venir meno del TMB di Albano Laziale ha costretto alla deviazione dei rifiuti che in esso convergevano verso il TMB di Aprilia; da qui, le frazioni trattate e destinate a discarica sono state dirottate verso l'invaso di Colleferro. Nel mentre ci si sta adoperando affinch</w:t>
      </w:r>
      <w:r>
        <w:rPr>
          <w:rFonts w:hAnsi="Book Antiqua" w:hint="default"/>
          <w:color w:val="000000"/>
          <w:u w:color="000000"/>
          <w:rtl w:val="0"/>
          <w:lang w:val="it-IT"/>
        </w:rPr>
        <w:t xml:space="preserve">é </w:t>
      </w:r>
      <w:r>
        <w:rPr>
          <w:rFonts w:ascii="Book Antiqua"/>
          <w:color w:val="000000"/>
          <w:u w:color="000000"/>
          <w:rtl w:val="0"/>
          <w:lang w:val="it-IT"/>
        </w:rPr>
        <w:t xml:space="preserve">quei flussi tornino a essere collocati nella discarica di Pontina Ambiente, come ordinariamente previsto. Se la dotazione di TMB </w:t>
      </w:r>
      <w:r>
        <w:rPr>
          <w:rFonts w:hAnsi="Book Antiqua" w:hint="default"/>
          <w:color w:val="000000"/>
          <w:u w:color="000000"/>
          <w:rtl w:val="0"/>
          <w:lang w:val="it-IT"/>
        </w:rPr>
        <w:t>è</w:t>
      </w:r>
      <w:r>
        <w:rPr>
          <w:rFonts w:ascii="Book Antiqua"/>
          <w:color w:val="000000"/>
          <w:u w:color="000000"/>
          <w:rtl w:val="0"/>
          <w:lang w:val="it-IT"/>
        </w:rPr>
        <w:t>, come visto, autorizzata in modo sufficiente ad accogliere i flussi residui della regione, la realt</w:t>
      </w:r>
      <w:r>
        <w:rPr>
          <w:rFonts w:hAnsi="Book Antiqua" w:hint="default"/>
          <w:color w:val="000000"/>
          <w:u w:color="000000"/>
          <w:rtl w:val="0"/>
          <w:lang w:val="it-IT"/>
        </w:rPr>
        <w:t xml:space="preserve">à </w:t>
      </w:r>
      <w:r>
        <w:rPr>
          <w:rFonts w:ascii="Book Antiqua"/>
          <w:color w:val="000000"/>
          <w:u w:color="000000"/>
          <w:rtl w:val="0"/>
          <w:lang w:val="it-IT"/>
        </w:rPr>
        <w:t xml:space="preserve">ci dice che non </w:t>
      </w:r>
      <w:r>
        <w:rPr>
          <w:rFonts w:hAnsi="Book Antiqua" w:hint="default"/>
          <w:color w:val="000000"/>
          <w:u w:color="000000"/>
          <w:rtl w:val="0"/>
          <w:lang w:val="it-IT"/>
        </w:rPr>
        <w:t xml:space="preserve">è </w:t>
      </w:r>
      <w:r>
        <w:rPr>
          <w:rFonts w:ascii="Book Antiqua"/>
          <w:color w:val="000000"/>
          <w:u w:color="000000"/>
          <w:rtl w:val="0"/>
          <w:lang w:val="it-IT"/>
        </w:rPr>
        <w:t>comunque abbastanza per scongiurare minacce di blocco e rischi imprevedibili come gli incendi di cui ho fatto menzione. Si conferma oltremodo l'interdipendenza impiantistica tra i territori della regione. I TMB in esercizio accolgono flussi provenienti da territori che non sono quelli di strettissimo interesse del bacino in cui i TMB sono collocati, dimostrando una sussidiariet</w:t>
      </w:r>
      <w:r>
        <w:rPr>
          <w:rFonts w:hAnsi="Book Antiqua" w:hint="default"/>
          <w:color w:val="000000"/>
          <w:u w:color="000000"/>
          <w:rtl w:val="0"/>
          <w:lang w:val="it-IT"/>
        </w:rPr>
        <w:t xml:space="preserve">à </w:t>
      </w:r>
      <w:r>
        <w:rPr>
          <w:rFonts w:ascii="Book Antiqua"/>
          <w:color w:val="000000"/>
          <w:u w:color="000000"/>
          <w:rtl w:val="0"/>
          <w:lang w:val="it-IT"/>
        </w:rPr>
        <w:t>che sar</w:t>
      </w:r>
      <w:r>
        <w:rPr>
          <w:rFonts w:hAnsi="Book Antiqua" w:hint="default"/>
          <w:color w:val="000000"/>
          <w:u w:color="000000"/>
          <w:rtl w:val="0"/>
          <w:lang w:val="it-IT"/>
        </w:rPr>
        <w:t xml:space="preserve">à </w:t>
      </w:r>
      <w:r>
        <w:rPr>
          <w:rFonts w:ascii="Book Antiqua"/>
          <w:color w:val="000000"/>
          <w:u w:color="000000"/>
          <w:rtl w:val="0"/>
          <w:lang w:val="it-IT"/>
        </w:rPr>
        <w:t>oggetto delle valutazioni della nostra amministrazione nel momento in cui adotteremo il nostro nuovo piano regionale dei rifiuti urbani.</w:t>
      </w:r>
      <w:r>
        <w:rPr>
          <w:rFonts w:hAnsi="Book Antiqua" w:hint="default"/>
          <w:color w:val="000000"/>
          <w:u w:color="000000"/>
          <w:rtl w:val="0"/>
          <w:lang w:val="it-IT"/>
        </w:rPr>
        <w:t xml:space="preserve">” </w:t>
      </w:r>
    </w:p>
    <w:p>
      <w:pPr>
        <w:pStyle w:val="Normal"/>
        <w:widowControl w:val="0"/>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Si devono riprendere in questo contesto le considerazioni sulla fragilit</w:t>
      </w:r>
      <w:r>
        <w:rPr>
          <w:rFonts w:hAnsi="Book Antiqua" w:hint="default"/>
          <w:color w:val="000000"/>
          <w:u w:color="000000"/>
          <w:rtl w:val="0"/>
          <w:lang w:val="it-IT"/>
        </w:rPr>
        <w:t xml:space="preserve">à </w:t>
      </w:r>
      <w:r>
        <w:rPr>
          <w:rFonts w:ascii="Book Antiqua"/>
          <w:color w:val="000000"/>
          <w:u w:color="000000"/>
          <w:rtl w:val="0"/>
          <w:lang w:val="it-IT"/>
        </w:rPr>
        <w:t>di sistema da pi</w:t>
      </w:r>
      <w:r>
        <w:rPr>
          <w:rFonts w:hAnsi="Book Antiqua" w:hint="default"/>
          <w:color w:val="000000"/>
          <w:u w:color="000000"/>
          <w:rtl w:val="0"/>
          <w:lang w:val="it-IT"/>
        </w:rPr>
        <w:t xml:space="preserve">ù </w:t>
      </w:r>
      <w:r>
        <w:rPr>
          <w:rFonts w:ascii="Book Antiqua"/>
          <w:color w:val="000000"/>
          <w:u w:color="000000"/>
          <w:rtl w:val="0"/>
          <w:lang w:val="it-IT"/>
        </w:rPr>
        <w:t>parti sottolineata, cos</w:t>
      </w:r>
      <w:r>
        <w:rPr>
          <w:rFonts w:hAnsi="Book Antiqua" w:hint="default"/>
          <w:color w:val="000000"/>
          <w:u w:color="000000"/>
          <w:rtl w:val="0"/>
          <w:lang w:val="it-IT"/>
        </w:rPr>
        <w:t xml:space="preserve">ì </w:t>
      </w:r>
      <w:r>
        <w:rPr>
          <w:rFonts w:ascii="Book Antiqua"/>
          <w:color w:val="000000"/>
          <w:u w:color="000000"/>
          <w:rtl w:val="0"/>
          <w:lang w:val="it-IT"/>
        </w:rPr>
        <w:t>come ha fatto lo stesso assessore regionale:</w:t>
      </w:r>
    </w:p>
    <w:p>
      <w:pPr>
        <w:pStyle w:val="Normal"/>
        <w:widowControl w:val="0"/>
        <w:ind w:left="567" w:right="567" w:firstLine="0"/>
        <w:jc w:val="both"/>
        <w:rPr>
          <w:rFonts w:ascii="Book Antiqua" w:cs="Book Antiqua" w:hAnsi="Book Antiqua" w:eastAsia="Book Antiqua"/>
          <w:color w:val="000000"/>
          <w:u w:color="000000"/>
        </w:rPr>
      </w:pPr>
      <w:r>
        <w:rPr>
          <w:rFonts w:hAnsi="Book Antiqua" w:hint="default"/>
          <w:color w:val="000000"/>
          <w:u w:color="000000"/>
          <w:rtl w:val="0"/>
          <w:lang w:val="it-IT"/>
        </w:rPr>
        <w:t xml:space="preserve"> “</w:t>
      </w:r>
      <w:r>
        <w:rPr>
          <w:rFonts w:ascii="Book Antiqua"/>
          <w:color w:val="000000"/>
          <w:u w:color="000000"/>
          <w:rtl w:val="0"/>
          <w:lang w:val="it-IT"/>
        </w:rPr>
        <w:t>L</w:t>
      </w:r>
      <w:r>
        <w:rPr>
          <w:rFonts w:hAnsi="Book Antiqua" w:hint="default"/>
          <w:color w:val="000000"/>
          <w:u w:color="000000"/>
          <w:rtl w:val="0"/>
          <w:lang w:val="it-IT"/>
        </w:rPr>
        <w:t>’</w:t>
      </w:r>
      <w:r>
        <w:rPr>
          <w:rFonts w:ascii="Book Antiqua"/>
          <w:color w:val="000000"/>
          <w:u w:color="000000"/>
          <w:rtl w:val="0"/>
          <w:lang w:val="it-IT"/>
        </w:rPr>
        <w:t>oscillazione delle disponibilit</w:t>
      </w:r>
      <w:r>
        <w:rPr>
          <w:rFonts w:hAnsi="Book Antiqua" w:hint="default"/>
          <w:color w:val="000000"/>
          <w:u w:color="000000"/>
          <w:rtl w:val="0"/>
          <w:lang w:val="it-IT"/>
        </w:rPr>
        <w:t xml:space="preserve">à </w:t>
      </w:r>
      <w:r>
        <w:rPr>
          <w:rFonts w:ascii="Book Antiqua"/>
          <w:color w:val="000000"/>
          <w:u w:color="000000"/>
          <w:rtl w:val="0"/>
          <w:lang w:val="it-IT"/>
        </w:rPr>
        <w:t>di TMB, dovuta a rotture, a incidenti e talora a problematiche amministrative o investigative, costringe all</w:t>
      </w:r>
      <w:r>
        <w:rPr>
          <w:rFonts w:hAnsi="Book Antiqua" w:hint="default"/>
          <w:color w:val="000000"/>
          <w:u w:color="000000"/>
          <w:rtl w:val="0"/>
          <w:lang w:val="it-IT"/>
        </w:rPr>
        <w:t>’</w:t>
      </w:r>
      <w:r>
        <w:rPr>
          <w:rFonts w:ascii="Book Antiqua"/>
          <w:color w:val="000000"/>
          <w:u w:color="000000"/>
          <w:rtl w:val="0"/>
          <w:lang w:val="it-IT"/>
        </w:rPr>
        <w:t>individuazione di soluzioni alternative immediate ed efficaci. L</w:t>
      </w:r>
      <w:r>
        <w:rPr>
          <w:rFonts w:hAnsi="Book Antiqua" w:hint="default"/>
          <w:color w:val="000000"/>
          <w:u w:color="000000"/>
          <w:rtl w:val="0"/>
          <w:lang w:val="it-IT"/>
        </w:rPr>
        <w:t>’</w:t>
      </w:r>
      <w:r>
        <w:rPr>
          <w:rFonts w:ascii="Book Antiqua"/>
          <w:color w:val="000000"/>
          <w:u w:color="000000"/>
          <w:rtl w:val="0"/>
          <w:lang w:val="it-IT"/>
        </w:rPr>
        <w:t>accordo con la regione Abruzzo richiesto da AMA per consegnare a un TMB di quella regione fino a 170 tonnellate al giorno di rifiuti residui, rinnovato nello scorso ottobre dalla nostra regione fino a ottobre 2017, va considerato in questo quadro, cos</w:t>
      </w:r>
      <w:r>
        <w:rPr>
          <w:rFonts w:hAnsi="Book Antiqua" w:hint="default"/>
          <w:color w:val="000000"/>
          <w:u w:color="000000"/>
          <w:rtl w:val="0"/>
          <w:lang w:val="it-IT"/>
        </w:rPr>
        <w:t xml:space="preserve">ì </w:t>
      </w:r>
      <w:r>
        <w:rPr>
          <w:rFonts w:ascii="Book Antiqua"/>
          <w:color w:val="000000"/>
          <w:u w:color="000000"/>
          <w:rtl w:val="0"/>
          <w:lang w:val="it-IT"/>
        </w:rPr>
        <w:t>come l'esercizio del tritovagliatore mobile della stessa AMA da noi autorizzato e azionato da qualche settimana dalla municipalizzata per fronteggiare la maggior produzione di rifiuti residui manifestatasi nelle festivit</w:t>
      </w:r>
      <w:r>
        <w:rPr>
          <w:rFonts w:hAnsi="Book Antiqua" w:hint="default"/>
          <w:color w:val="000000"/>
          <w:u w:color="000000"/>
          <w:rtl w:val="0"/>
          <w:lang w:val="it-IT"/>
        </w:rPr>
        <w:t xml:space="preserve">à </w:t>
      </w:r>
      <w:r>
        <w:rPr>
          <w:rFonts w:ascii="Book Antiqua"/>
          <w:color w:val="000000"/>
          <w:u w:color="000000"/>
          <w:rtl w:val="0"/>
          <w:lang w:val="it-IT"/>
        </w:rPr>
        <w:t xml:space="preserve">di fine anno. </w:t>
      </w:r>
      <w:r>
        <w:rPr>
          <w:rFonts w:hAnsi="Book Antiqua" w:hint="default"/>
          <w:color w:val="000000"/>
          <w:u w:color="000000"/>
          <w:rtl w:val="0"/>
          <w:lang w:val="it-IT"/>
        </w:rPr>
        <w:t xml:space="preserve">È </w:t>
      </w:r>
      <w:r>
        <w:rPr>
          <w:rFonts w:ascii="Book Antiqua"/>
          <w:color w:val="000000"/>
          <w:u w:color="000000"/>
          <w:rtl w:val="0"/>
          <w:lang w:val="it-IT"/>
        </w:rPr>
        <w:t>noto a tutti che Roma Capitale, pur avendo superato la soglia del 40 per cento di raccolta differenziata, ogni giorno genera 3.000 tonnellate di rifiuti residui e ne tratta nei quattro TMB autorizzati circa 2.300 tonnellate, mentre le rimanenti tonnellate sono inviate ai TMB di Colfelice e di Aprilia, nelle province di Latina e Frosinone, oltre che in Abruzzo.</w:t>
      </w:r>
      <w:r>
        <w:rPr>
          <w:rFonts w:ascii="Book Antiqua Bold"/>
          <w:b w:val="1"/>
          <w:bCs w:val="1"/>
          <w:color w:val="000000"/>
          <w:u w:color="000000"/>
          <w:rtl w:val="0"/>
          <w:lang w:val="it-IT"/>
        </w:rPr>
        <w:t xml:space="preserve"> </w:t>
      </w:r>
      <w:r>
        <w:rPr>
          <w:rFonts w:ascii="Book Antiqua"/>
          <w:color w:val="000000"/>
          <w:u w:color="000000"/>
          <w:rtl w:val="0"/>
          <w:lang w:val="it-IT"/>
        </w:rPr>
        <w:t>La citt</w:t>
      </w:r>
      <w:r>
        <w:rPr>
          <w:rFonts w:hAnsi="Book Antiqua" w:hint="default"/>
          <w:color w:val="000000"/>
          <w:u w:color="000000"/>
          <w:rtl w:val="0"/>
          <w:lang w:val="it-IT"/>
        </w:rPr>
        <w:t xml:space="preserve">à </w:t>
      </w:r>
      <w:r>
        <w:rPr>
          <w:rFonts w:ascii="Book Antiqua"/>
          <w:color w:val="000000"/>
          <w:u w:color="000000"/>
          <w:rtl w:val="0"/>
          <w:lang w:val="it-IT"/>
        </w:rPr>
        <w:t>di Roma ha autorizzato e installato nei suoi TMB una capacit</w:t>
      </w:r>
      <w:r>
        <w:rPr>
          <w:rFonts w:hAnsi="Book Antiqua" w:hint="default"/>
          <w:color w:val="000000"/>
          <w:u w:color="000000"/>
          <w:rtl w:val="0"/>
          <w:lang w:val="it-IT"/>
        </w:rPr>
        <w:t xml:space="preserve">à </w:t>
      </w:r>
      <w:r>
        <w:rPr>
          <w:rFonts w:ascii="Book Antiqua"/>
          <w:color w:val="000000"/>
          <w:u w:color="000000"/>
          <w:rtl w:val="0"/>
          <w:lang w:val="it-IT"/>
        </w:rPr>
        <w:t>di trattamento meccanico-biologico appena sufficiente al suo fabbisogno, ma la ridotta lavorazione al TMB di via Salaria, associata a episodi di momentanea interruzione degli altri siti, fa invocare a Roma Capitale la necessit</w:t>
      </w:r>
      <w:r>
        <w:rPr>
          <w:rFonts w:hAnsi="Book Antiqua" w:hint="default"/>
          <w:color w:val="000000"/>
          <w:u w:color="000000"/>
          <w:rtl w:val="0"/>
          <w:lang w:val="it-IT"/>
        </w:rPr>
        <w:t xml:space="preserve">à </w:t>
      </w:r>
      <w:r>
        <w:rPr>
          <w:rFonts w:ascii="Book Antiqua"/>
          <w:color w:val="000000"/>
          <w:u w:color="000000"/>
          <w:rtl w:val="0"/>
          <w:lang w:val="it-IT"/>
        </w:rPr>
        <w:t>di soccorsi esterni. Capiremo meglio nei prossimi giorni se il TMB della SAF potr</w:t>
      </w:r>
      <w:r>
        <w:rPr>
          <w:rFonts w:hAnsi="Book Antiqua" w:hint="default"/>
          <w:color w:val="000000"/>
          <w:u w:color="000000"/>
          <w:rtl w:val="0"/>
          <w:lang w:val="it-IT"/>
        </w:rPr>
        <w:t xml:space="preserve">à </w:t>
      </w:r>
      <w:r>
        <w:rPr>
          <w:rFonts w:ascii="Book Antiqua"/>
          <w:color w:val="000000"/>
          <w:u w:color="000000"/>
          <w:rtl w:val="0"/>
          <w:lang w:val="it-IT"/>
        </w:rPr>
        <w:t>continuare ad accogliere i rifiuti di Roma, ma gi</w:t>
      </w:r>
      <w:r>
        <w:rPr>
          <w:rFonts w:hAnsi="Book Antiqua" w:hint="default"/>
          <w:color w:val="000000"/>
          <w:u w:color="000000"/>
          <w:rtl w:val="0"/>
          <w:lang w:val="it-IT"/>
        </w:rPr>
        <w:t xml:space="preserve">à </w:t>
      </w:r>
      <w:r>
        <w:rPr>
          <w:rFonts w:ascii="Book Antiqua"/>
          <w:color w:val="000000"/>
          <w:u w:color="000000"/>
          <w:rtl w:val="0"/>
          <w:lang w:val="it-IT"/>
        </w:rPr>
        <w:t>adesso abbiamo sollecitato l'amministrazione capitolina a individuare ogni possibile soluzione, nell'evenienza che la SAF non possa pi</w:t>
      </w:r>
      <w:r>
        <w:rPr>
          <w:rFonts w:hAnsi="Book Antiqua" w:hint="default"/>
          <w:color w:val="000000"/>
          <w:u w:color="000000"/>
          <w:rtl w:val="0"/>
          <w:lang w:val="it-IT"/>
        </w:rPr>
        <w:t xml:space="preserve">ù </w:t>
      </w:r>
      <w:r>
        <w:rPr>
          <w:rFonts w:ascii="Book Antiqua"/>
          <w:color w:val="000000"/>
          <w:u w:color="000000"/>
          <w:rtl w:val="0"/>
          <w:lang w:val="it-IT"/>
        </w:rPr>
        <w:t>accogliere circa 200 tonnellate al giorno di rifiuti provenienti da Roma Capitale.</w:t>
      </w:r>
      <w:r>
        <w:rPr>
          <w:rFonts w:hAnsi="Book Antiqua" w:hint="default"/>
          <w:color w:val="000000"/>
          <w:u w:color="000000"/>
          <w:rtl w:val="0"/>
          <w:lang w:val="it-IT"/>
        </w:rPr>
        <w:t xml:space="preserve">” </w:t>
      </w:r>
    </w:p>
    <w:p>
      <w:pPr>
        <w:pStyle w:val="Normal"/>
        <w:widowControl w:val="0"/>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 xml:space="preserve">Un punto critico </w:t>
      </w:r>
      <w:r>
        <w:rPr>
          <w:rFonts w:hAnsi="Book Antiqua" w:hint="default"/>
          <w:color w:val="000000"/>
          <w:u w:color="000000"/>
          <w:rtl w:val="0"/>
          <w:lang w:val="it-IT"/>
        </w:rPr>
        <w:t xml:space="preserve">è </w:t>
      </w:r>
      <w:r>
        <w:rPr>
          <w:rFonts w:ascii="Book Antiqua"/>
          <w:color w:val="000000"/>
          <w:u w:color="000000"/>
          <w:rtl w:val="0"/>
          <w:lang w:val="it-IT"/>
        </w:rPr>
        <w:t>certamente costituito dalla possibile divaricazione di obiettivi tra amministrazione di Roma Capitale e governo regionale.</w:t>
      </w:r>
    </w:p>
    <w:p>
      <w:pPr>
        <w:pStyle w:val="Normal"/>
        <w:widowControl w:val="0"/>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A questo proposito la posizione e le preoccupazioni della regione sono state espresse traendo spunto dalla situazione dell</w:t>
      </w:r>
      <w:r>
        <w:rPr>
          <w:rFonts w:hAnsi="Book Antiqua" w:hint="default"/>
          <w:color w:val="000000"/>
          <w:u w:color="000000"/>
          <w:rtl w:val="0"/>
          <w:lang w:val="it-IT"/>
        </w:rPr>
        <w:t>’</w:t>
      </w:r>
      <w:r>
        <w:rPr>
          <w:rFonts w:ascii="Book Antiqua"/>
          <w:color w:val="000000"/>
          <w:u w:color="000000"/>
          <w:rtl w:val="0"/>
          <w:lang w:val="it-IT"/>
        </w:rPr>
        <w:t>impianto di via Salaria, di cui da parte capitolina viene ricorrentemente ipotizzata la chiusura</w:t>
      </w:r>
      <w:r>
        <w:rPr>
          <w:rFonts w:ascii="Book Antiqua" w:cs="Book Antiqua" w:hAnsi="Book Antiqua" w:eastAsia="Book Antiqua"/>
          <w:color w:val="000000"/>
          <w:u w:color="000000"/>
          <w:vertAlign w:val="superscript"/>
          <w:rtl w:val="0"/>
        </w:rPr>
        <w:footnoteReference w:id="167"/>
      </w:r>
      <w:r>
        <w:rPr>
          <w:rFonts w:ascii="Book Antiqua"/>
          <w:color w:val="000000"/>
          <w:u w:color="000000"/>
          <w:rtl w:val="0"/>
          <w:lang w:val="it-IT"/>
        </w:rPr>
        <w:t>:</w:t>
      </w:r>
    </w:p>
    <w:p>
      <w:pPr>
        <w:pStyle w:val="Normal"/>
        <w:widowControl w:val="0"/>
        <w:ind w:left="567" w:right="567" w:firstLine="0"/>
        <w:jc w:val="both"/>
        <w:rPr>
          <w:rFonts w:ascii="Book Antiqua Bold" w:cs="Book Antiqua Bold" w:hAnsi="Book Antiqua Bold" w:eastAsia="Book Antiqua Bold"/>
          <w:b w:val="1"/>
          <w:bCs w:val="1"/>
          <w:color w:val="000000"/>
          <w:u w:color="000000"/>
        </w:rPr>
      </w:pPr>
      <w:r>
        <w:rPr>
          <w:rFonts w:hAnsi="Book Antiqua" w:hint="default"/>
          <w:color w:val="000000"/>
          <w:u w:color="000000"/>
          <w:rtl w:val="0"/>
          <w:lang w:val="it-IT"/>
        </w:rPr>
        <w:t>“</w:t>
      </w:r>
      <w:r>
        <w:rPr>
          <w:rFonts w:ascii="Book Antiqua"/>
          <w:color w:val="000000"/>
          <w:u w:color="000000"/>
          <w:rtl w:val="0"/>
          <w:lang w:val="it-IT"/>
        </w:rPr>
        <w:t xml:space="preserve">una cosa </w:t>
      </w:r>
      <w:r>
        <w:rPr>
          <w:rFonts w:hAnsi="Book Antiqua" w:hint="default"/>
          <w:color w:val="000000"/>
          <w:u w:color="000000"/>
          <w:rtl w:val="0"/>
          <w:lang w:val="it-IT"/>
        </w:rPr>
        <w:t xml:space="preserve">è </w:t>
      </w:r>
      <w:r>
        <w:rPr>
          <w:rFonts w:ascii="Book Antiqua"/>
          <w:color w:val="000000"/>
          <w:u w:color="000000"/>
          <w:rtl w:val="0"/>
          <w:lang w:val="it-IT"/>
        </w:rPr>
        <w:t>certa: Roma Capitale non pu</w:t>
      </w:r>
      <w:r>
        <w:rPr>
          <w:rFonts w:hAnsi="Book Antiqua" w:hint="default"/>
          <w:color w:val="000000"/>
          <w:u w:color="000000"/>
          <w:rtl w:val="0"/>
          <w:lang w:val="it-IT"/>
        </w:rPr>
        <w:t xml:space="preserve">ò </w:t>
      </w:r>
      <w:r>
        <w:rPr>
          <w:rFonts w:ascii="Book Antiqua"/>
          <w:color w:val="000000"/>
          <w:u w:color="000000"/>
          <w:rtl w:val="0"/>
          <w:lang w:val="it-IT"/>
        </w:rPr>
        <w:t>pensare di fermarsi agli slogan, mentre la regione e tutto il territorio nazionale devono risolvergli i problemi. L</w:t>
      </w:r>
      <w:r>
        <w:rPr>
          <w:rFonts w:hAnsi="Book Antiqua" w:hint="default"/>
          <w:color w:val="000000"/>
          <w:u w:color="000000"/>
          <w:rtl w:val="0"/>
          <w:lang w:val="it-IT"/>
        </w:rPr>
        <w:t>’</w:t>
      </w:r>
      <w:r>
        <w:rPr>
          <w:rFonts w:ascii="Book Antiqua"/>
          <w:color w:val="000000"/>
          <w:u w:color="000000"/>
          <w:rtl w:val="0"/>
          <w:lang w:val="it-IT"/>
        </w:rPr>
        <w:t xml:space="preserve">ubicazione in via Salaria di un importante stabilimento di trattamento dei rifiuti urbani non </w:t>
      </w:r>
      <w:r>
        <w:rPr>
          <w:rFonts w:hAnsi="Book Antiqua" w:hint="default"/>
          <w:color w:val="000000"/>
          <w:u w:color="000000"/>
          <w:rtl w:val="0"/>
          <w:lang w:val="it-IT"/>
        </w:rPr>
        <w:t xml:space="preserve">è </w:t>
      </w:r>
      <w:r>
        <w:rPr>
          <w:rFonts w:ascii="Book Antiqua"/>
          <w:color w:val="000000"/>
          <w:u w:color="000000"/>
          <w:rtl w:val="0"/>
          <w:lang w:val="it-IT"/>
        </w:rPr>
        <w:t>certo stata una scelta felice; ipotizzarne la delocalizzazione, quindi, non trova ostilit</w:t>
      </w:r>
      <w:r>
        <w:rPr>
          <w:rFonts w:hAnsi="Book Antiqua" w:hint="default"/>
          <w:color w:val="000000"/>
          <w:u w:color="000000"/>
          <w:rtl w:val="0"/>
          <w:lang w:val="it-IT"/>
        </w:rPr>
        <w:t xml:space="preserve">à </w:t>
      </w:r>
      <w:r>
        <w:rPr>
          <w:rFonts w:ascii="Book Antiqua"/>
          <w:color w:val="000000"/>
          <w:u w:color="000000"/>
          <w:rtl w:val="0"/>
          <w:lang w:val="it-IT"/>
        </w:rPr>
        <w:t>da parte della regione. Un conto, per</w:t>
      </w:r>
      <w:r>
        <w:rPr>
          <w:rFonts w:hAnsi="Book Antiqua" w:hint="default"/>
          <w:color w:val="000000"/>
          <w:u w:color="000000"/>
          <w:rtl w:val="0"/>
          <w:lang w:val="it-IT"/>
        </w:rPr>
        <w:t>ò</w:t>
      </w:r>
      <w:r>
        <w:rPr>
          <w:rFonts w:ascii="Book Antiqua"/>
          <w:color w:val="000000"/>
          <w:u w:color="000000"/>
          <w:rtl w:val="0"/>
          <w:lang w:val="it-IT"/>
        </w:rPr>
        <w:t xml:space="preserve">, </w:t>
      </w:r>
      <w:r>
        <w:rPr>
          <w:rFonts w:hAnsi="Book Antiqua" w:hint="default"/>
          <w:color w:val="000000"/>
          <w:u w:color="000000"/>
          <w:rtl w:val="0"/>
          <w:lang w:val="it-IT"/>
        </w:rPr>
        <w:t xml:space="preserve">è </w:t>
      </w:r>
      <w:r>
        <w:rPr>
          <w:rFonts w:ascii="Book Antiqua"/>
          <w:color w:val="000000"/>
          <w:u w:color="000000"/>
          <w:rtl w:val="0"/>
          <w:lang w:val="it-IT"/>
        </w:rPr>
        <w:t>parlare di delocalizzazione, cio</w:t>
      </w:r>
      <w:r>
        <w:rPr>
          <w:rFonts w:hAnsi="Book Antiqua" w:hint="default"/>
          <w:color w:val="000000"/>
          <w:u w:color="000000"/>
          <w:rtl w:val="0"/>
          <w:lang w:val="it-IT"/>
        </w:rPr>
        <w:t xml:space="preserve">è </w:t>
      </w:r>
      <w:r>
        <w:rPr>
          <w:rFonts w:ascii="Book Antiqua"/>
          <w:color w:val="000000"/>
          <w:u w:color="000000"/>
          <w:rtl w:val="0"/>
          <w:lang w:val="it-IT"/>
        </w:rPr>
        <w:t xml:space="preserve">dello spostamento di quelle lavorazioni, ovvero alternative di pronto impiego, altro conto </w:t>
      </w:r>
      <w:r>
        <w:rPr>
          <w:rFonts w:hAnsi="Book Antiqua" w:hint="default"/>
          <w:color w:val="000000"/>
          <w:u w:color="000000"/>
          <w:rtl w:val="0"/>
          <w:lang w:val="it-IT"/>
        </w:rPr>
        <w:t xml:space="preserve">è </w:t>
      </w:r>
      <w:r>
        <w:rPr>
          <w:rFonts w:ascii="Book Antiqua"/>
          <w:color w:val="000000"/>
          <w:u w:color="000000"/>
          <w:rtl w:val="0"/>
          <w:lang w:val="it-IT"/>
        </w:rPr>
        <w:t xml:space="preserve">pensare a un immediato smantellamento dell'apparato industriale di via Salaria, che dovrebbe trattare fino a 750 tonnellate al giorno. In buona sostanza, dismettere le lavorazioni di trattamento meccanico-biologico a via Salaria </w:t>
      </w:r>
      <w:r>
        <w:rPr>
          <w:rFonts w:hAnsi="Book Antiqua" w:hint="default"/>
          <w:color w:val="000000"/>
          <w:u w:color="000000"/>
          <w:rtl w:val="0"/>
          <w:lang w:val="it-IT"/>
        </w:rPr>
        <w:t xml:space="preserve">è </w:t>
      </w:r>
      <w:r>
        <w:rPr>
          <w:rFonts w:ascii="Book Antiqua"/>
          <w:color w:val="000000"/>
          <w:u w:color="000000"/>
          <w:rtl w:val="0"/>
          <w:lang w:val="it-IT"/>
        </w:rPr>
        <w:t>ragionevole, ma a condizione che si sappia dove saranno collocate le centinaia di tonnellate di rifiuti residui che, ogni giorno, vanno smaltite in quel TMB. Affermare che quelle tonnellate saranno raccolte in modo differenziato e che, per questo, non avranno pi</w:t>
      </w:r>
      <w:r>
        <w:rPr>
          <w:rFonts w:hAnsi="Book Antiqua" w:hint="default"/>
          <w:color w:val="000000"/>
          <w:u w:color="000000"/>
          <w:rtl w:val="0"/>
          <w:lang w:val="it-IT"/>
        </w:rPr>
        <w:t xml:space="preserve">ù </w:t>
      </w:r>
      <w:r>
        <w:rPr>
          <w:rFonts w:ascii="Book Antiqua"/>
          <w:color w:val="000000"/>
          <w:u w:color="000000"/>
          <w:rtl w:val="0"/>
          <w:lang w:val="it-IT"/>
        </w:rPr>
        <w:t xml:space="preserve">bisogno di un TMB, </w:t>
      </w:r>
      <w:r>
        <w:rPr>
          <w:rFonts w:hAnsi="Book Antiqua" w:hint="default"/>
          <w:color w:val="000000"/>
          <w:u w:color="000000"/>
          <w:rtl w:val="0"/>
          <w:lang w:val="it-IT"/>
        </w:rPr>
        <w:t xml:space="preserve">è </w:t>
      </w:r>
      <w:r>
        <w:rPr>
          <w:rFonts w:ascii="Book Antiqua"/>
          <w:color w:val="000000"/>
          <w:u w:color="000000"/>
          <w:rtl w:val="0"/>
          <w:lang w:val="it-IT"/>
        </w:rPr>
        <w:t>auspicabile ma non pare essere un obiettivo alla portata nel breve periodo. In ogni caso, resterebbe la problematica legata alle 700 tonnellate al giorno di rifiuti residui che Roma Capitale esporta negli altri TMB della regione e pure fuori regione. Fintanto che</w:t>
      </w:r>
      <w:r>
        <w:rPr>
          <w:rFonts w:ascii="Book Antiqua Bold"/>
          <w:b w:val="1"/>
          <w:bCs w:val="1"/>
          <w:color w:val="000000"/>
          <w:u w:color="000000"/>
          <w:rtl w:val="0"/>
          <w:lang w:val="it-IT"/>
        </w:rPr>
        <w:t xml:space="preserve"> </w:t>
      </w:r>
      <w:r>
        <w:rPr>
          <w:rFonts w:ascii="Book Antiqua"/>
          <w:color w:val="000000"/>
          <w:u w:color="000000"/>
          <w:rtl w:val="0"/>
          <w:lang w:val="it-IT"/>
        </w:rPr>
        <w:t xml:space="preserve">non vi saranno tangibili progressi nella raccolta differenziata, ovvero nella riduzione dei rifiuti da mandare a TMB, sembra assai difficile prefigurare lo smantellamento dell'impianto di via Salaria, cui pure la regione non </w:t>
      </w:r>
      <w:r>
        <w:rPr>
          <w:rFonts w:hAnsi="Book Antiqua" w:hint="default"/>
          <w:color w:val="000000"/>
          <w:u w:color="000000"/>
          <w:rtl w:val="0"/>
          <w:lang w:val="it-IT"/>
        </w:rPr>
        <w:t xml:space="preserve">è – </w:t>
      </w:r>
      <w:r>
        <w:rPr>
          <w:rFonts w:ascii="Book Antiqua"/>
          <w:color w:val="000000"/>
          <w:u w:color="000000"/>
          <w:rtl w:val="0"/>
          <w:lang w:val="it-IT"/>
        </w:rPr>
        <w:t xml:space="preserve">ripeto </w:t>
      </w:r>
      <w:r>
        <w:rPr>
          <w:rFonts w:hAnsi="Book Antiqua" w:hint="default"/>
          <w:color w:val="000000"/>
          <w:u w:color="000000"/>
          <w:rtl w:val="0"/>
          <w:lang w:val="it-IT"/>
        </w:rPr>
        <w:t xml:space="preserve">– </w:t>
      </w:r>
      <w:r>
        <w:rPr>
          <w:rFonts w:ascii="Book Antiqua"/>
          <w:color w:val="000000"/>
          <w:u w:color="000000"/>
          <w:rtl w:val="0"/>
          <w:lang w:val="it-IT"/>
        </w:rPr>
        <w:t>pregiudizialmente contraria.</w:t>
      </w:r>
      <w:r>
        <w:rPr>
          <w:rFonts w:hAnsi="Book Antiqua" w:hint="default"/>
          <w:color w:val="000000"/>
          <w:u w:color="000000"/>
          <w:rtl w:val="0"/>
          <w:lang w:val="it-IT"/>
        </w:rPr>
        <w:t xml:space="preserve">” </w:t>
      </w:r>
    </w:p>
    <w:p>
      <w:pPr>
        <w:pStyle w:val="Normal"/>
        <w:widowControl w:val="0"/>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In definitiva, nella prospettiva regionale, e comunque in quella di una programmazione del ciclo dei rifiuti giuridicamente legittima e ambientalmente sostenibile, le singole questioni sono del tutto interconnesse.</w:t>
      </w:r>
    </w:p>
    <w:p>
      <w:pPr>
        <w:pStyle w:val="Normal"/>
        <w:widowControl w:val="0"/>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Cos</w:t>
      </w:r>
      <w:r>
        <w:rPr>
          <w:rFonts w:hAnsi="Book Antiqua" w:hint="default"/>
          <w:color w:val="000000"/>
          <w:u w:color="000000"/>
          <w:rtl w:val="0"/>
          <w:lang w:val="it-IT"/>
        </w:rPr>
        <w:t xml:space="preserve">ì è </w:t>
      </w:r>
      <w:r>
        <w:rPr>
          <w:rFonts w:ascii="Book Antiqua"/>
          <w:color w:val="000000"/>
          <w:u w:color="000000"/>
          <w:rtl w:val="0"/>
          <w:lang w:val="it-IT"/>
        </w:rPr>
        <w:t>a dirsi, a completamento del quadro, dell</w:t>
      </w:r>
      <w:r>
        <w:rPr>
          <w:rFonts w:hAnsi="Book Antiqua" w:hint="default"/>
          <w:color w:val="000000"/>
          <w:u w:color="000000"/>
          <w:rtl w:val="0"/>
          <w:lang w:val="it-IT"/>
        </w:rPr>
        <w:t>’</w:t>
      </w:r>
      <w:r>
        <w:rPr>
          <w:rFonts w:ascii="Book Antiqua"/>
          <w:color w:val="000000"/>
          <w:u w:color="000000"/>
          <w:rtl w:val="0"/>
          <w:lang w:val="it-IT"/>
        </w:rPr>
        <w:t>attuale trasporto transfrontaliero di rifiuti e della necessit</w:t>
      </w:r>
      <w:r>
        <w:rPr>
          <w:rFonts w:hAnsi="Book Antiqua" w:hint="default"/>
          <w:color w:val="000000"/>
          <w:u w:color="000000"/>
          <w:rtl w:val="0"/>
          <w:lang w:val="it-IT"/>
        </w:rPr>
        <w:t xml:space="preserve">à </w:t>
      </w:r>
      <w:r>
        <w:rPr>
          <w:rFonts w:ascii="Book Antiqua"/>
          <w:color w:val="000000"/>
          <w:u w:color="000000"/>
          <w:rtl w:val="0"/>
          <w:lang w:val="it-IT"/>
        </w:rPr>
        <w:t>di una discarica di servizio per Roma Capitale, temi sui quali l</w:t>
      </w:r>
      <w:r>
        <w:rPr>
          <w:rFonts w:hAnsi="Book Antiqua" w:hint="default"/>
          <w:color w:val="000000"/>
          <w:u w:color="000000"/>
          <w:rtl w:val="0"/>
          <w:lang w:val="it-IT"/>
        </w:rPr>
        <w:t>’</w:t>
      </w:r>
      <w:r>
        <w:rPr>
          <w:rFonts w:ascii="Book Antiqua"/>
          <w:color w:val="000000"/>
          <w:u w:color="000000"/>
          <w:rtl w:val="0"/>
          <w:lang w:val="it-IT"/>
        </w:rPr>
        <w:t xml:space="preserve">assessore regionale si </w:t>
      </w:r>
      <w:r>
        <w:rPr>
          <w:rFonts w:hAnsi="Book Antiqua" w:hint="default"/>
          <w:color w:val="000000"/>
          <w:u w:color="000000"/>
          <w:rtl w:val="0"/>
          <w:lang w:val="it-IT"/>
        </w:rPr>
        <w:t xml:space="preserve">è </w:t>
      </w:r>
      <w:r>
        <w:rPr>
          <w:rFonts w:ascii="Book Antiqua"/>
          <w:color w:val="000000"/>
          <w:u w:color="000000"/>
          <w:rtl w:val="0"/>
          <w:lang w:val="it-IT"/>
        </w:rPr>
        <w:t>cos</w:t>
      </w:r>
      <w:r>
        <w:rPr>
          <w:rFonts w:hAnsi="Book Antiqua" w:hint="default"/>
          <w:color w:val="000000"/>
          <w:u w:color="000000"/>
          <w:rtl w:val="0"/>
          <w:lang w:val="it-IT"/>
        </w:rPr>
        <w:t xml:space="preserve">ì </w:t>
      </w:r>
      <w:r>
        <w:rPr>
          <w:rFonts w:ascii="Book Antiqua"/>
          <w:color w:val="000000"/>
          <w:u w:color="000000"/>
          <w:rtl w:val="0"/>
          <w:lang w:val="it-IT"/>
        </w:rPr>
        <w:t>espresso:</w:t>
      </w:r>
    </w:p>
    <w:p>
      <w:pPr>
        <w:pStyle w:val="Normal"/>
        <w:ind w:left="567" w:right="567" w:firstLine="0"/>
        <w:jc w:val="both"/>
        <w:rPr>
          <w:rFonts w:ascii="Book Antiqua" w:cs="Book Antiqua" w:hAnsi="Book Antiqua" w:eastAsia="Book Antiqua"/>
        </w:rPr>
      </w:pPr>
      <w:r>
        <w:rPr>
          <w:rFonts w:hAnsi="Book Antiqua" w:hint="default"/>
          <w:color w:val="000000"/>
          <w:u w:color="000000"/>
          <w:rtl w:val="0"/>
          <w:lang w:val="it-IT"/>
        </w:rPr>
        <w:t xml:space="preserve"> “</w:t>
      </w:r>
      <w:r>
        <w:rPr>
          <w:rFonts w:ascii="Book Antiqua"/>
          <w:color w:val="000000"/>
          <w:u w:color="000000"/>
          <w:rtl w:val="0"/>
          <w:lang w:val="it-IT"/>
        </w:rPr>
        <w:t xml:space="preserve">La regione Lazio ha autorizzato il trasporto transfrontaliero di rifiuti urbani indifferenziati di Roma Capitale soltanto come misura straordinaria e temporanea, per il tempo strettamente necessario a Roma Capitale ad adottare le misure infrastrutturali per la chiusura del ciclo dei rifiuti nel perimetro metropolitano. Le procedure di notifica finora pervenute e autorizzate attengono a 70.000 tonnellate in Austria via ferrovia, al ritmo di circa 2.500 tonnellate spedite con quattro treni settimanali. </w:t>
      </w:r>
      <w:r>
        <w:rPr>
          <w:rFonts w:hAnsi="Book Antiqua" w:hint="default"/>
          <w:color w:val="000000"/>
          <w:u w:color="000000"/>
          <w:rtl w:val="0"/>
          <w:lang w:val="it-IT"/>
        </w:rPr>
        <w:t xml:space="preserve">È </w:t>
      </w:r>
      <w:r>
        <w:rPr>
          <w:rFonts w:ascii="Book Antiqua"/>
          <w:color w:val="000000"/>
          <w:u w:color="000000"/>
          <w:rtl w:val="0"/>
          <w:lang w:val="it-IT"/>
        </w:rPr>
        <w:t>presumibile che il quantitativo sar</w:t>
      </w:r>
      <w:r>
        <w:rPr>
          <w:rFonts w:hAnsi="Book Antiqua" w:hint="default"/>
          <w:color w:val="000000"/>
          <w:u w:color="000000"/>
          <w:rtl w:val="0"/>
          <w:lang w:val="it-IT"/>
        </w:rPr>
        <w:t xml:space="preserve">à </w:t>
      </w:r>
      <w:r>
        <w:rPr>
          <w:rFonts w:ascii="Book Antiqua"/>
          <w:color w:val="000000"/>
          <w:u w:color="000000"/>
          <w:rtl w:val="0"/>
          <w:lang w:val="it-IT"/>
        </w:rPr>
        <w:t>esaurito in circa 7-8 mesi. Riteniamo che questo tempo sia sufficiente a Roma Capitale per localizzare la discarica di servizio, di cui essa ha assoluta necessit</w:t>
      </w:r>
      <w:r>
        <w:rPr>
          <w:rFonts w:hAnsi="Book Antiqua" w:hint="default"/>
          <w:color w:val="000000"/>
          <w:u w:color="000000"/>
          <w:rtl w:val="0"/>
          <w:lang w:val="it-IT"/>
        </w:rPr>
        <w:t>à</w:t>
      </w:r>
      <w:r>
        <w:rPr>
          <w:rFonts w:ascii="Book Antiqua"/>
          <w:color w:val="000000"/>
          <w:u w:color="000000"/>
          <w:rtl w:val="0"/>
          <w:lang w:val="it-IT"/>
        </w:rPr>
        <w:t>, nonch</w:t>
      </w:r>
      <w:r>
        <w:rPr>
          <w:rFonts w:hAnsi="Book Antiqua" w:hint="default"/>
          <w:color w:val="000000"/>
          <w:u w:color="000000"/>
          <w:rtl w:val="0"/>
          <w:lang w:val="it-IT"/>
        </w:rPr>
        <w:t xml:space="preserve">é </w:t>
      </w:r>
      <w:r>
        <w:rPr>
          <w:rFonts w:ascii="Book Antiqua"/>
          <w:color w:val="000000"/>
          <w:u w:color="000000"/>
          <w:rtl w:val="0"/>
          <w:lang w:val="it-IT"/>
        </w:rPr>
        <w:t>per allestire il progetto costruttivo e avviare l</w:t>
      </w:r>
      <w:r>
        <w:rPr>
          <w:rFonts w:hAnsi="Book Antiqua" w:hint="default"/>
          <w:color w:val="000000"/>
          <w:u w:color="000000"/>
          <w:rtl w:val="0"/>
          <w:lang w:val="it-IT"/>
        </w:rPr>
        <w:t>’</w:t>
      </w:r>
      <w:r>
        <w:rPr>
          <w:rFonts w:ascii="Book Antiqua"/>
          <w:i w:val="1"/>
          <w:iCs w:val="1"/>
          <w:color w:val="000000"/>
          <w:u w:color="000000"/>
          <w:rtl w:val="0"/>
          <w:lang w:val="it-IT"/>
        </w:rPr>
        <w:t>iter</w:t>
      </w:r>
      <w:r>
        <w:rPr>
          <w:rFonts w:ascii="Book Antiqua"/>
          <w:color w:val="000000"/>
          <w:u w:color="000000"/>
          <w:rtl w:val="0"/>
          <w:lang w:val="it-IT"/>
        </w:rPr>
        <w:t xml:space="preserve"> autorizzativo. Se questo accadr</w:t>
      </w:r>
      <w:r>
        <w:rPr>
          <w:rFonts w:hAnsi="Book Antiqua" w:hint="default"/>
          <w:color w:val="000000"/>
          <w:u w:color="000000"/>
          <w:rtl w:val="0"/>
          <w:lang w:val="it-IT"/>
        </w:rPr>
        <w:t>à</w:t>
      </w:r>
      <w:r>
        <w:rPr>
          <w:rFonts w:ascii="Book Antiqua"/>
          <w:color w:val="000000"/>
          <w:u w:color="000000"/>
          <w:rtl w:val="0"/>
          <w:lang w:val="it-IT"/>
        </w:rPr>
        <w:t>, potremmo considerare un ulteriore breve conferimento all'estero di rifiuti indifferenziati destinati al recupero di energia e con ci</w:t>
      </w:r>
      <w:r>
        <w:rPr>
          <w:rFonts w:hAnsi="Book Antiqua" w:hint="default"/>
          <w:color w:val="000000"/>
          <w:u w:color="000000"/>
          <w:rtl w:val="0"/>
          <w:lang w:val="it-IT"/>
        </w:rPr>
        <w:t xml:space="preserve">ò </w:t>
      </w:r>
      <w:r>
        <w:rPr>
          <w:rFonts w:ascii="Book Antiqua"/>
          <w:color w:val="000000"/>
          <w:u w:color="000000"/>
          <w:rtl w:val="0"/>
          <w:lang w:val="it-IT"/>
        </w:rPr>
        <w:t>potremmo interloquire con la Commissione europea affinch</w:t>
      </w:r>
      <w:r>
        <w:rPr>
          <w:rFonts w:hAnsi="Book Antiqua" w:hint="default"/>
          <w:color w:val="000000"/>
          <w:u w:color="000000"/>
          <w:rtl w:val="0"/>
          <w:lang w:val="it-IT"/>
        </w:rPr>
        <w:t xml:space="preserve">é </w:t>
      </w:r>
      <w:r>
        <w:rPr>
          <w:rFonts w:ascii="Book Antiqua"/>
          <w:color w:val="000000"/>
          <w:u w:color="000000"/>
          <w:rtl w:val="0"/>
          <w:lang w:val="it-IT"/>
        </w:rPr>
        <w:t>vi sia comprensione e collaborazione. Diversamente, non saremmo credibili e il rischio di incappare in nuovi procedimenti di infrazione alle direttive dell'Unione europea sarebbe assai elevato. D'altra parte, il confronto sulla localizzazione della discarica di servizio per Roma Capitale</w:t>
      </w:r>
      <w:r>
        <w:rPr>
          <w:rFonts w:hAnsi="Book Antiqua" w:hint="default"/>
          <w:color w:val="000000"/>
          <w:u w:color="000000"/>
          <w:rtl w:val="0"/>
          <w:lang w:val="it-IT"/>
        </w:rPr>
        <w:t xml:space="preserve"> è </w:t>
      </w:r>
      <w:r>
        <w:rPr>
          <w:rFonts w:ascii="Book Antiqua"/>
          <w:color w:val="000000"/>
          <w:u w:color="000000"/>
          <w:rtl w:val="0"/>
          <w:lang w:val="it-IT"/>
        </w:rPr>
        <w:t>in corso fin dal 2006, quando gi</w:t>
      </w:r>
      <w:r>
        <w:rPr>
          <w:rFonts w:hAnsi="Book Antiqua" w:hint="default"/>
          <w:color w:val="000000"/>
          <w:u w:color="000000"/>
          <w:rtl w:val="0"/>
          <w:lang w:val="it-IT"/>
        </w:rPr>
        <w:t xml:space="preserve">à </w:t>
      </w:r>
      <w:r>
        <w:rPr>
          <w:rFonts w:ascii="Book Antiqua"/>
          <w:color w:val="000000"/>
          <w:u w:color="000000"/>
          <w:rtl w:val="0"/>
          <w:lang w:val="it-IT"/>
        </w:rPr>
        <w:t>da allora si prevedeva la chiusura della discarica di Malagrotta. Con tutte le amministrazioni di Roma Capitale, la regione Lazio ha, nel tempo, discusso e confrontato ipotesi e opzioni. Dopo la chiusura effettiva di Malagrotta, per</w:t>
      </w:r>
      <w:r>
        <w:rPr>
          <w:rFonts w:hAnsi="Book Antiqua" w:hint="default"/>
          <w:color w:val="000000"/>
          <w:u w:color="000000"/>
          <w:rtl w:val="0"/>
          <w:lang w:val="it-IT"/>
        </w:rPr>
        <w:t>ò</w:t>
      </w:r>
      <w:r>
        <w:rPr>
          <w:rFonts w:ascii="Book Antiqua"/>
          <w:color w:val="000000"/>
          <w:u w:color="000000"/>
          <w:rtl w:val="0"/>
          <w:lang w:val="it-IT"/>
        </w:rPr>
        <w:t xml:space="preserve">, la questione si </w:t>
      </w:r>
      <w:r>
        <w:rPr>
          <w:rFonts w:hAnsi="Book Antiqua" w:hint="default"/>
          <w:color w:val="000000"/>
          <w:u w:color="000000"/>
          <w:rtl w:val="0"/>
          <w:lang w:val="it-IT"/>
        </w:rPr>
        <w:t xml:space="preserve">è </w:t>
      </w:r>
      <w:r>
        <w:rPr>
          <w:rFonts w:ascii="Book Antiqua"/>
          <w:color w:val="000000"/>
          <w:u w:color="000000"/>
          <w:rtl w:val="0"/>
          <w:lang w:val="it-IT"/>
        </w:rPr>
        <w:t>fatta impellente. Gi</w:t>
      </w:r>
      <w:r>
        <w:rPr>
          <w:rFonts w:hAnsi="Book Antiqua" w:hint="default"/>
          <w:color w:val="000000"/>
          <w:u w:color="000000"/>
          <w:rtl w:val="0"/>
          <w:lang w:val="it-IT"/>
        </w:rPr>
        <w:t xml:space="preserve">à </w:t>
      </w:r>
      <w:r>
        <w:rPr>
          <w:rFonts w:ascii="Book Antiqua"/>
          <w:color w:val="000000"/>
          <w:u w:color="000000"/>
          <w:rtl w:val="0"/>
          <w:lang w:val="it-IT"/>
        </w:rPr>
        <w:t>con l</w:t>
      </w:r>
      <w:r>
        <w:rPr>
          <w:rFonts w:hAnsi="Book Antiqua" w:hint="default"/>
          <w:color w:val="000000"/>
          <w:u w:color="000000"/>
          <w:rtl w:val="0"/>
          <w:lang w:val="it-IT"/>
        </w:rPr>
        <w:t>’</w:t>
      </w:r>
      <w:r>
        <w:rPr>
          <w:rFonts w:ascii="Book Antiqua"/>
          <w:color w:val="000000"/>
          <w:u w:color="000000"/>
          <w:rtl w:val="0"/>
          <w:lang w:val="it-IT"/>
        </w:rPr>
        <w:t>amministrazione di Ignazio Marino la regione ha ripetutamente insistito affinch</w:t>
      </w:r>
      <w:r>
        <w:rPr>
          <w:rFonts w:hAnsi="Book Antiqua" w:hint="default"/>
          <w:color w:val="000000"/>
          <w:u w:color="000000"/>
          <w:rtl w:val="0"/>
          <w:lang w:val="it-IT"/>
        </w:rPr>
        <w:t xml:space="preserve">é </w:t>
      </w:r>
      <w:r>
        <w:rPr>
          <w:rFonts w:ascii="Book Antiqua"/>
          <w:color w:val="000000"/>
          <w:u w:color="000000"/>
          <w:rtl w:val="0"/>
          <w:lang w:val="it-IT"/>
        </w:rPr>
        <w:t>Roma Capitale si</w:t>
      </w:r>
      <w:r>
        <w:rPr>
          <w:rFonts w:ascii="Book Antiqua Bold"/>
          <w:b w:val="1"/>
          <w:bCs w:val="1"/>
          <w:color w:val="000000"/>
          <w:u w:color="000000"/>
          <w:rtl w:val="0"/>
          <w:lang w:val="it-IT"/>
        </w:rPr>
        <w:t xml:space="preserve"> </w:t>
      </w:r>
      <w:r>
        <w:rPr>
          <w:rFonts w:ascii="Book Antiqua"/>
          <w:color w:val="000000"/>
          <w:u w:color="000000"/>
          <w:rtl w:val="0"/>
          <w:lang w:val="it-IT"/>
        </w:rPr>
        <w:t xml:space="preserve">esprimesse sul punto. Per tutta la fase commissariale, guidata dal prefetto Tronca, il tema </w:t>
      </w:r>
      <w:r>
        <w:rPr>
          <w:rFonts w:hAnsi="Book Antiqua" w:hint="default"/>
          <w:color w:val="000000"/>
          <w:u w:color="000000"/>
          <w:rtl w:val="0"/>
          <w:lang w:val="it-IT"/>
        </w:rPr>
        <w:t xml:space="preserve">è </w:t>
      </w:r>
      <w:r>
        <w:rPr>
          <w:rFonts w:ascii="Book Antiqua"/>
          <w:color w:val="000000"/>
          <w:u w:color="000000"/>
          <w:rtl w:val="0"/>
          <w:lang w:val="it-IT"/>
        </w:rPr>
        <w:t>rimasto comprensibilmente sospeso; tuttavia, ora, mentre 10.000 tonnellate al mese di rifiuti tal quali valicano le Alpi e mentre altre 10.000 tonnellate al mese ingombrano impianti e suoli di altre province del Lazio, che fanno il loro dovere (mentre, cio</w:t>
      </w:r>
      <w:r>
        <w:rPr>
          <w:rFonts w:hAnsi="Book Antiqua" w:hint="default"/>
          <w:color w:val="000000"/>
          <w:u w:color="000000"/>
          <w:rtl w:val="0"/>
          <w:lang w:val="it-IT"/>
        </w:rPr>
        <w:t>è</w:t>
      </w:r>
      <w:r>
        <w:rPr>
          <w:rFonts w:ascii="Book Antiqua"/>
          <w:color w:val="000000"/>
          <w:u w:color="000000"/>
          <w:rtl w:val="0"/>
          <w:lang w:val="it-IT"/>
        </w:rPr>
        <w:t>, 20.000 tonnellate al mese di rifiuti tal quali generati a Roma vengono affidati alla responsabilit</w:t>
      </w:r>
      <w:r>
        <w:rPr>
          <w:rFonts w:hAnsi="Book Antiqua" w:hint="default"/>
          <w:color w:val="000000"/>
          <w:u w:color="000000"/>
          <w:rtl w:val="0"/>
          <w:lang w:val="it-IT"/>
        </w:rPr>
        <w:t xml:space="preserve">à </w:t>
      </w:r>
      <w:r>
        <w:rPr>
          <w:rFonts w:ascii="Book Antiqua"/>
          <w:color w:val="000000"/>
          <w:u w:color="000000"/>
          <w:rtl w:val="0"/>
          <w:lang w:val="it-IT"/>
        </w:rPr>
        <w:t>di altri), sarebbe inopportuno pensare che questa possa essere la configurazione a regime del ciclo dei rifiuti della capitale d'Italia. La regione ha il compito di pianificare il ciclo integrato, individuando flussi e destini di rifiuti residui, incoraggiando la differenziata e la costruzione di impianti di riciclo e recupero; la regione, per</w:t>
      </w:r>
      <w:r>
        <w:rPr>
          <w:rFonts w:hAnsi="Book Antiqua" w:hint="default"/>
          <w:color w:val="000000"/>
          <w:u w:color="000000"/>
          <w:rtl w:val="0"/>
          <w:lang w:val="it-IT"/>
        </w:rPr>
        <w:t>ò</w:t>
      </w:r>
      <w:r>
        <w:rPr>
          <w:rFonts w:ascii="Book Antiqua"/>
          <w:color w:val="000000"/>
          <w:u w:color="000000"/>
          <w:rtl w:val="0"/>
          <w:lang w:val="it-IT"/>
        </w:rPr>
        <w:t>, non pu</w:t>
      </w:r>
      <w:r>
        <w:rPr>
          <w:rFonts w:hAnsi="Book Antiqua" w:hint="default"/>
          <w:color w:val="000000"/>
          <w:u w:color="000000"/>
          <w:rtl w:val="0"/>
          <w:lang w:val="it-IT"/>
        </w:rPr>
        <w:t xml:space="preserve">ò </w:t>
      </w:r>
      <w:r>
        <w:rPr>
          <w:rFonts w:ascii="Book Antiqua"/>
          <w:color w:val="000000"/>
          <w:u w:color="000000"/>
          <w:rtl w:val="0"/>
          <w:lang w:val="it-IT"/>
        </w:rPr>
        <w:t>far ci</w:t>
      </w:r>
      <w:r>
        <w:rPr>
          <w:rFonts w:hAnsi="Book Antiqua" w:hint="default"/>
          <w:color w:val="000000"/>
          <w:u w:color="000000"/>
          <w:rtl w:val="0"/>
          <w:lang w:val="it-IT"/>
        </w:rPr>
        <w:t xml:space="preserve">ò </w:t>
      </w:r>
      <w:r>
        <w:rPr>
          <w:rFonts w:ascii="Book Antiqua"/>
          <w:color w:val="000000"/>
          <w:u w:color="000000"/>
          <w:rtl w:val="0"/>
          <w:lang w:val="it-IT"/>
        </w:rPr>
        <w:t>senza il protagonismo di tutti gli enti locali, Roma Capitale e area metropolitana comprese. Roma, oggi, ha bisogno dei TMB di Colfelice, di Aprilia e di Aielli; ha bisogno degli inceneritori di Colleferro e San Vittore, cos</w:t>
      </w:r>
      <w:r>
        <w:rPr>
          <w:rFonts w:hAnsi="Book Antiqua" w:hint="default"/>
          <w:color w:val="000000"/>
          <w:u w:color="000000"/>
          <w:rtl w:val="0"/>
          <w:lang w:val="it-IT"/>
        </w:rPr>
        <w:t xml:space="preserve">ì </w:t>
      </w:r>
      <w:r>
        <w:rPr>
          <w:rFonts w:ascii="Book Antiqua"/>
          <w:color w:val="000000"/>
          <w:u w:color="000000"/>
          <w:rtl w:val="0"/>
          <w:lang w:val="it-IT"/>
        </w:rPr>
        <w:t xml:space="preserve">come ha bisogno di altri 49 impianti dislocati in dieci regioni italiane e in tre Stati esteri, mentre usa anche inceneritori austriaci. Senza questi soccorsi sarebbe in permanente emergenza ed </w:t>
      </w:r>
      <w:r>
        <w:rPr>
          <w:rFonts w:hAnsi="Book Antiqua" w:hint="default"/>
          <w:color w:val="000000"/>
          <w:u w:color="000000"/>
          <w:rtl w:val="0"/>
          <w:lang w:val="it-IT"/>
        </w:rPr>
        <w:t xml:space="preserve">è </w:t>
      </w:r>
      <w:r>
        <w:rPr>
          <w:rFonts w:ascii="Book Antiqua"/>
          <w:color w:val="000000"/>
          <w:u w:color="000000"/>
          <w:rtl w:val="0"/>
          <w:lang w:val="it-IT"/>
        </w:rPr>
        <w:t>assai difficile persuadere i cittadini di altri territori laziali, mentre Roma dichiara di non aver bisogno di nessun impianto di recupero o smaltimento. A loro, invece, tocca ricevere centinaia di tonnellate di rifiuti romani. Il confronto con Roma Capitale e con la sua area metropolitana dovr</w:t>
      </w:r>
      <w:r>
        <w:rPr>
          <w:rFonts w:hAnsi="Book Antiqua" w:hint="default"/>
          <w:color w:val="000000"/>
          <w:u w:color="000000"/>
          <w:rtl w:val="0"/>
          <w:lang w:val="it-IT"/>
        </w:rPr>
        <w:t>à</w:t>
      </w:r>
      <w:r>
        <w:rPr>
          <w:rFonts w:ascii="Book Antiqua"/>
          <w:color w:val="000000"/>
          <w:u w:color="000000"/>
          <w:rtl w:val="0"/>
          <w:lang w:val="it-IT"/>
        </w:rPr>
        <w:t>, perci</w:t>
      </w:r>
      <w:r>
        <w:rPr>
          <w:rFonts w:hAnsi="Book Antiqua" w:hint="default"/>
          <w:color w:val="000000"/>
          <w:u w:color="000000"/>
          <w:rtl w:val="0"/>
          <w:lang w:val="it-IT"/>
        </w:rPr>
        <w:t>ò</w:t>
      </w:r>
      <w:r>
        <w:rPr>
          <w:rFonts w:ascii="Book Antiqua"/>
          <w:color w:val="000000"/>
          <w:u w:color="000000"/>
          <w:rtl w:val="0"/>
          <w:lang w:val="it-IT"/>
        </w:rPr>
        <w:t>, subire una forte accelerazione e concludersi con decisioni e azioni che saranno assunte nel piano regionale.</w:t>
      </w:r>
      <w:r>
        <w:rPr>
          <w:rFonts w:hAnsi="Book Antiqua" w:hint="default"/>
          <w:color w:val="000000"/>
          <w:u w:color="000000"/>
          <w:rtl w:val="0"/>
          <w:lang w:val="it-IT"/>
        </w:rPr>
        <w:t>”</w:t>
      </w: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sz w:val="32"/>
          <w:szCs w:val="32"/>
        </w:rPr>
      </w:pPr>
      <w:r>
        <w:rPr>
          <w:rFonts w:ascii="Book Antiqua"/>
          <w:sz w:val="32"/>
          <w:szCs w:val="32"/>
          <w:rtl w:val="0"/>
          <w:lang w:val="it-IT"/>
        </w:rPr>
        <w:t>3. Le criticit</w:t>
      </w:r>
      <w:r>
        <w:rPr>
          <w:rFonts w:hAnsi="Book Antiqua" w:hint="default"/>
          <w:sz w:val="32"/>
          <w:szCs w:val="32"/>
          <w:rtl w:val="0"/>
          <w:lang w:val="it-IT"/>
        </w:rPr>
        <w:t xml:space="preserve">à </w:t>
      </w:r>
      <w:r>
        <w:rPr>
          <w:rFonts w:ascii="Book Antiqua"/>
          <w:sz w:val="32"/>
          <w:szCs w:val="32"/>
          <w:rtl w:val="0"/>
          <w:lang w:val="it-IT"/>
        </w:rPr>
        <w:t xml:space="preserve">emergenti da vicende giudiziarie </w:t>
      </w:r>
    </w:p>
    <w:p>
      <w:pPr>
        <w:pStyle w:val="Normal"/>
        <w:ind w:left="567" w:right="567" w:firstLine="0"/>
        <w:jc w:val="both"/>
        <w:rPr>
          <w:rFonts w:ascii="Book Antiqua" w:cs="Book Antiqua" w:hAnsi="Book Antiqua" w:eastAsia="Book Antiqua"/>
          <w:sz w:val="28"/>
          <w:szCs w:val="28"/>
        </w:rPr>
      </w:pPr>
    </w:p>
    <w:p>
      <w:pPr>
        <w:pStyle w:val="Normal"/>
        <w:ind w:left="567" w:right="567" w:firstLine="0"/>
        <w:jc w:val="both"/>
        <w:rPr>
          <w:rFonts w:ascii="Book Antiqua" w:cs="Book Antiqua" w:hAnsi="Book Antiqua" w:eastAsia="Book Antiqua"/>
          <w:sz w:val="28"/>
          <w:szCs w:val="28"/>
        </w:rPr>
      </w:pPr>
    </w:p>
    <w:p>
      <w:pPr>
        <w:pStyle w:val="Normal"/>
        <w:ind w:left="567" w:right="567" w:firstLine="0"/>
        <w:jc w:val="both"/>
        <w:rPr>
          <w:rFonts w:ascii="Book Antiqua" w:cs="Book Antiqua" w:hAnsi="Book Antiqua" w:eastAsia="Book Antiqua"/>
          <w:sz w:val="28"/>
          <w:szCs w:val="28"/>
        </w:rPr>
      </w:pPr>
      <w:r>
        <w:rPr>
          <w:rFonts w:ascii="Book Antiqua"/>
          <w:sz w:val="28"/>
          <w:szCs w:val="28"/>
          <w:rtl w:val="0"/>
          <w:lang w:val="it-IT"/>
        </w:rPr>
        <w:t xml:space="preserve">3.1 </w:t>
        <w:tab/>
        <w:t>Considerazioni generali</w:t>
      </w:r>
    </w:p>
    <w:p>
      <w:pPr>
        <w:pStyle w:val="Normal"/>
        <w:ind w:left="567" w:right="567" w:firstLine="0"/>
        <w:jc w:val="both"/>
        <w:rPr>
          <w:rFonts w:ascii="Book Antiqua" w:cs="Book Antiqua" w:hAnsi="Book Antiqua" w:eastAsia="Book Antiqua"/>
          <w:sz w:val="28"/>
          <w:szCs w:val="28"/>
        </w:rPr>
      </w:pPr>
    </w:p>
    <w:p>
      <w:pPr>
        <w:pStyle w:val="Normal"/>
        <w:ind w:left="567" w:right="567" w:firstLine="0"/>
        <w:jc w:val="both"/>
        <w:rPr>
          <w:rFonts w:ascii="Book Antiqua" w:cs="Book Antiqua" w:hAnsi="Book Antiqua" w:eastAsia="Book Antiqua"/>
        </w:rPr>
      </w:pPr>
      <w:r>
        <w:rPr>
          <w:rFonts w:ascii="Book Antiqua"/>
          <w:rtl w:val="0"/>
          <w:lang w:val="it-IT"/>
        </w:rPr>
        <w:t>L</w:t>
      </w:r>
      <w:r>
        <w:rPr>
          <w:rFonts w:hAnsi="Book Antiqua" w:hint="default"/>
          <w:rtl w:val="0"/>
          <w:lang w:val="it-IT"/>
        </w:rPr>
        <w:t>’</w:t>
      </w:r>
      <w:r>
        <w:rPr>
          <w:rFonts w:ascii="Book Antiqua"/>
          <w:rtl w:val="0"/>
          <w:lang w:val="it-IT"/>
        </w:rPr>
        <w:t xml:space="preserve">obiettiva rilevanza, per dimensioni gestionali e storia, del ciclo dei rifiuti nella regione Lazio e a Roma Capitale, si </w:t>
      </w:r>
      <w:r>
        <w:rPr>
          <w:rFonts w:hAnsi="Book Antiqua" w:hint="default"/>
          <w:rtl w:val="0"/>
          <w:lang w:val="it-IT"/>
        </w:rPr>
        <w:t xml:space="preserve">è </w:t>
      </w:r>
      <w:r>
        <w:rPr>
          <w:rFonts w:ascii="Book Antiqua"/>
          <w:rtl w:val="0"/>
          <w:lang w:val="it-IT"/>
        </w:rPr>
        <w:t>associata, nel recente periodo, a vicende giudiziarie che hanno portato alla luce ipotesi di illeciti collegati a quella complessit</w:t>
      </w:r>
      <w:r>
        <w:rPr>
          <w:rFonts w:hAnsi="Book Antiqua" w:hint="default"/>
          <w:rtl w:val="0"/>
          <w:lang w:val="it-IT"/>
        </w:rPr>
        <w:t xml:space="preserve">à </w:t>
      </w:r>
      <w:r>
        <w:rPr>
          <w:rFonts w:ascii="Book Antiqua"/>
          <w:rtl w:val="0"/>
          <w:lang w:val="it-IT"/>
        </w:rPr>
        <w:t xml:space="preserve">e alle scelte politico-amministrative compiute </w:t>
      </w:r>
      <w:r>
        <w:rPr>
          <w:rFonts w:hAnsi="Book Antiqua" w:hint="default"/>
          <w:rtl w:val="0"/>
          <w:lang w:val="it-IT"/>
        </w:rPr>
        <w:t xml:space="preserve">– </w:t>
      </w:r>
      <w:r>
        <w:rPr>
          <w:rFonts w:ascii="Book Antiqua"/>
          <w:rtl w:val="0"/>
          <w:lang w:val="it-IT"/>
        </w:rPr>
        <w:t xml:space="preserve">o omesse </w:t>
      </w:r>
      <w:r>
        <w:rPr>
          <w:rFonts w:hAnsi="Book Antiqua" w:hint="default"/>
          <w:rtl w:val="0"/>
          <w:lang w:val="it-IT"/>
        </w:rPr>
        <w:t xml:space="preserve">– </w:t>
      </w:r>
      <w:r>
        <w:rPr>
          <w:rFonts w:ascii="Book Antiqua"/>
          <w:rtl w:val="0"/>
          <w:lang w:val="it-IT"/>
        </w:rPr>
        <w:t>nel corso del tempo.</w:t>
      </w:r>
    </w:p>
    <w:p>
      <w:pPr>
        <w:pStyle w:val="Normal"/>
        <w:ind w:left="567" w:right="567" w:firstLine="0"/>
        <w:jc w:val="both"/>
        <w:rPr>
          <w:rFonts w:ascii="Book Antiqua" w:cs="Book Antiqua" w:hAnsi="Book Antiqua" w:eastAsia="Book Antiqua"/>
        </w:rPr>
      </w:pPr>
      <w:r>
        <w:rPr>
          <w:rFonts w:ascii="Book Antiqua"/>
          <w:rtl w:val="0"/>
          <w:lang w:val="it-IT"/>
        </w:rPr>
        <w:t>Le vicende giudiziarie recenti vengono qui analizzate sotto il profilo del manifestato interesse di organizzazioni criminali per la gestione di alcuni segmenti del ciclo dei rifiuti a Roma e nel Lazio; della rilevanza di illeciti ambientali che trovano il loro centro nella gestione della discarica di Malagrotta e della ramificazione di strutture e interessi che verranno descritti con un</w:t>
      </w:r>
      <w:r>
        <w:rPr>
          <w:rFonts w:hAnsi="Book Antiqua" w:hint="default"/>
          <w:rtl w:val="0"/>
          <w:lang w:val="it-IT"/>
        </w:rPr>
        <w:t>’</w:t>
      </w:r>
      <w:r>
        <w:rPr>
          <w:rFonts w:ascii="Book Antiqua"/>
          <w:rtl w:val="0"/>
          <w:lang w:val="it-IT"/>
        </w:rPr>
        <w:t xml:space="preserve">analisi societaria nel </w:t>
      </w:r>
      <w:r>
        <w:rPr>
          <w:rFonts w:hAnsi="Book Antiqua" w:hint="default"/>
          <w:rtl w:val="0"/>
          <w:lang w:val="it-IT"/>
        </w:rPr>
        <w:t xml:space="preserve">§ </w:t>
      </w:r>
      <w:r>
        <w:rPr>
          <w:rFonts w:ascii="Book Antiqua"/>
          <w:rtl w:val="0"/>
          <w:lang w:val="it-IT"/>
        </w:rPr>
        <w:t>4; l</w:t>
      </w:r>
      <w:r>
        <w:rPr>
          <w:rFonts w:hAnsi="Book Antiqua" w:hint="default"/>
          <w:rtl w:val="0"/>
          <w:lang w:val="it-IT"/>
        </w:rPr>
        <w:t>’</w:t>
      </w:r>
      <w:r>
        <w:rPr>
          <w:rFonts w:ascii="Book Antiqua"/>
          <w:rtl w:val="0"/>
          <w:lang w:val="it-IT"/>
        </w:rPr>
        <w:t xml:space="preserve">esame di altri significativi fenomeni illeciti e situazioni critiche nel Lazio, con attenzione al rischio di presenze criminali nella parte meridionale della regione, territorio particolarmente sensibile, </w:t>
      </w:r>
      <w:r>
        <w:rPr>
          <w:rFonts w:hAnsi="Book Antiqua" w:hint="default"/>
          <w:rtl w:val="0"/>
          <w:lang w:val="it-IT"/>
        </w:rPr>
        <w:t xml:space="preserve">è </w:t>
      </w:r>
      <w:r>
        <w:rPr>
          <w:rFonts w:ascii="Book Antiqua"/>
          <w:rtl w:val="0"/>
          <w:lang w:val="it-IT"/>
        </w:rPr>
        <w:t xml:space="preserve">invece oggetto dei </w:t>
      </w:r>
      <w:r>
        <w:rPr>
          <w:rFonts w:hAnsi="Book Antiqua" w:hint="default"/>
          <w:rtl w:val="0"/>
          <w:lang w:val="it-IT"/>
        </w:rPr>
        <w:t>§§</w:t>
      </w:r>
      <w:r>
        <w:rPr>
          <w:rFonts w:ascii="Book Antiqua"/>
          <w:rtl w:val="0"/>
          <w:lang w:val="it-IT"/>
        </w:rPr>
        <w:t xml:space="preserve"> 6 e 7. </w:t>
      </w: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i w:val="1"/>
          <w:iCs w:val="1"/>
        </w:rPr>
      </w:pPr>
      <w:r>
        <w:rPr>
          <w:rFonts w:ascii="Book Antiqua"/>
          <w:i w:val="1"/>
          <w:iCs w:val="1"/>
          <w:rtl w:val="0"/>
          <w:lang w:val="it-IT"/>
        </w:rPr>
        <w:t>Illegalit</w:t>
      </w:r>
      <w:r>
        <w:rPr>
          <w:rFonts w:hAnsi="Book Antiqua" w:hint="default"/>
          <w:i w:val="1"/>
          <w:iCs w:val="1"/>
          <w:rtl w:val="0"/>
          <w:lang w:val="it-IT"/>
        </w:rPr>
        <w:t xml:space="preserve">à </w:t>
      </w:r>
      <w:r>
        <w:rPr>
          <w:rFonts w:ascii="Book Antiqua"/>
          <w:i w:val="1"/>
          <w:iCs w:val="1"/>
          <w:rtl w:val="0"/>
          <w:lang w:val="it-IT"/>
        </w:rPr>
        <w:t>diffusa e degrado</w:t>
      </w:r>
    </w:p>
    <w:p>
      <w:pPr>
        <w:pStyle w:val="Normal"/>
        <w:ind w:left="567" w:right="567" w:firstLine="0"/>
        <w:jc w:val="both"/>
        <w:rPr>
          <w:rFonts w:ascii="Book Antiqua" w:cs="Book Antiqua" w:hAnsi="Book Antiqua" w:eastAsia="Book Antiqua"/>
        </w:rPr>
      </w:pPr>
      <w:r>
        <w:rPr>
          <w:rFonts w:ascii="Book Antiqua"/>
          <w:rtl w:val="0"/>
          <w:lang w:val="it-IT"/>
        </w:rPr>
        <w:t>La pi</w:t>
      </w:r>
      <w:r>
        <w:rPr>
          <w:rFonts w:hAnsi="Book Antiqua" w:hint="default"/>
          <w:rtl w:val="0"/>
          <w:lang w:val="it-IT"/>
        </w:rPr>
        <w:t xml:space="preserve">ù </w:t>
      </w:r>
      <w:r>
        <w:rPr>
          <w:rFonts w:ascii="Book Antiqua"/>
          <w:rtl w:val="0"/>
          <w:lang w:val="it-IT"/>
        </w:rPr>
        <w:t>recente audizione del procuratore della Repubblica di Roma e di magistrati di quell</w:t>
      </w:r>
      <w:r>
        <w:rPr>
          <w:rFonts w:hAnsi="Book Antiqua" w:hint="default"/>
          <w:rtl w:val="0"/>
          <w:lang w:val="it-IT"/>
        </w:rPr>
        <w:t>’</w:t>
      </w:r>
      <w:r>
        <w:rPr>
          <w:rFonts w:ascii="Book Antiqua"/>
          <w:rtl w:val="0"/>
          <w:lang w:val="it-IT"/>
        </w:rPr>
        <w:t xml:space="preserve">Ufficio, il 30 maggio 2017, </w:t>
      </w:r>
      <w:r>
        <w:rPr>
          <w:rFonts w:hAnsi="Book Antiqua" w:hint="default"/>
          <w:rtl w:val="0"/>
          <w:lang w:val="it-IT"/>
        </w:rPr>
        <w:t xml:space="preserve">è </w:t>
      </w:r>
      <w:r>
        <w:rPr>
          <w:rFonts w:ascii="Book Antiqua"/>
          <w:rtl w:val="0"/>
          <w:lang w:val="it-IT"/>
        </w:rPr>
        <w:t>stata occasione per acquisire considerazioni di ordine generale sull</w:t>
      </w:r>
      <w:r>
        <w:rPr>
          <w:rFonts w:hAnsi="Book Antiqua" w:hint="default"/>
          <w:rtl w:val="0"/>
          <w:lang w:val="it-IT"/>
        </w:rPr>
        <w:t>’</w:t>
      </w:r>
      <w:r>
        <w:rPr>
          <w:rFonts w:ascii="Book Antiqua"/>
          <w:rtl w:val="0"/>
          <w:lang w:val="it-IT"/>
        </w:rPr>
        <w:t>intervento dell</w:t>
      </w:r>
      <w:r>
        <w:rPr>
          <w:rFonts w:hAnsi="Book Antiqua" w:hint="default"/>
          <w:rtl w:val="0"/>
          <w:lang w:val="it-IT"/>
        </w:rPr>
        <w:t>’</w:t>
      </w:r>
      <w:r>
        <w:rPr>
          <w:rFonts w:ascii="Book Antiqua"/>
          <w:rtl w:val="0"/>
          <w:lang w:val="it-IT"/>
        </w:rPr>
        <w:t>autorit</w:t>
      </w:r>
      <w:r>
        <w:rPr>
          <w:rFonts w:hAnsi="Book Antiqua" w:hint="default"/>
          <w:rtl w:val="0"/>
          <w:lang w:val="it-IT"/>
        </w:rPr>
        <w:t xml:space="preserve">à </w:t>
      </w:r>
      <w:r>
        <w:rPr>
          <w:rFonts w:ascii="Book Antiqua"/>
          <w:rtl w:val="0"/>
          <w:lang w:val="it-IT"/>
        </w:rPr>
        <w:t>giudiziaria sugli illeciti ambientali e in particolare quelli connessi al ciclo dei rifiuti</w:t>
      </w:r>
      <w:r>
        <w:rPr>
          <w:rFonts w:ascii="Book Antiqua" w:cs="Book Antiqua" w:hAnsi="Book Antiqua" w:eastAsia="Book Antiqua"/>
          <w:vertAlign w:val="superscript"/>
          <w:rtl w:val="0"/>
        </w:rPr>
        <w:footnoteReference w:id="168"/>
      </w:r>
      <w:r>
        <w:rPr>
          <w:rFonts w:ascii="Book Antiqua"/>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Si osserva da parte dell</w:t>
      </w:r>
      <w:r>
        <w:rPr>
          <w:rFonts w:hAnsi="Book Antiqua" w:hint="default"/>
          <w:rtl w:val="0"/>
          <w:lang w:val="it-IT"/>
        </w:rPr>
        <w:t>’</w:t>
      </w:r>
      <w:r>
        <w:rPr>
          <w:rFonts w:ascii="Book Antiqua"/>
          <w:rtl w:val="0"/>
          <w:lang w:val="it-IT"/>
        </w:rPr>
        <w:t>autorit</w:t>
      </w:r>
      <w:r>
        <w:rPr>
          <w:rFonts w:hAnsi="Book Antiqua" w:hint="default"/>
          <w:rtl w:val="0"/>
          <w:lang w:val="it-IT"/>
        </w:rPr>
        <w:t xml:space="preserve">à </w:t>
      </w:r>
      <w:r>
        <w:rPr>
          <w:rFonts w:ascii="Book Antiqua"/>
          <w:rtl w:val="0"/>
          <w:lang w:val="it-IT"/>
        </w:rPr>
        <w:t>inquirente locale</w:t>
      </w:r>
      <w:r>
        <w:rPr>
          <w:rFonts w:ascii="Book Antiqua" w:cs="Book Antiqua" w:hAnsi="Book Antiqua" w:eastAsia="Book Antiqua"/>
          <w:vertAlign w:val="superscript"/>
          <w:rtl w:val="0"/>
        </w:rPr>
        <w:footnoteReference w:id="169"/>
      </w:r>
      <w:r>
        <w:rPr>
          <w:rFonts w:ascii="Book Antiqua"/>
          <w:rtl w:val="0"/>
          <w:lang w:val="it-IT"/>
        </w:rPr>
        <w:t xml:space="preserve"> che </w:t>
      </w:r>
      <w:r>
        <w:rPr>
          <w:rFonts w:hAnsi="Book Antiqua" w:hint="default"/>
          <w:rtl w:val="0"/>
          <w:lang w:val="it-IT"/>
        </w:rPr>
        <w:t>“</w:t>
      </w:r>
      <w:r>
        <w:rPr>
          <w:rFonts w:ascii="Book Antiqua"/>
          <w:rtl w:val="0"/>
          <w:lang w:val="it-IT"/>
        </w:rPr>
        <w:t>nel territorio capitolino non vi sono insediamenti di grandi strutture produttive ad alto impatto inquinante e, pertanto, gli illeciti di natura ambientale sono in gran parte collegati alla gestione dei rifiuti</w:t>
      </w:r>
      <w:r>
        <w:rPr>
          <w:rFonts w:hAnsi="Book Antiqua" w:hint="default"/>
          <w:rtl w:val="0"/>
          <w:lang w:val="it-IT"/>
        </w:rPr>
        <w:t>”</w:t>
      </w:r>
      <w:r>
        <w:rPr>
          <w:rFonts w:ascii="Book Antiqua"/>
          <w:rtl w:val="0"/>
          <w:lang w:val="it-IT"/>
        </w:rPr>
        <w:t>. La crescita dei fenomeni criminali in questo ambito, compresi quelli pi</w:t>
      </w:r>
      <w:r>
        <w:rPr>
          <w:rFonts w:hAnsi="Book Antiqua" w:hint="default"/>
          <w:rtl w:val="0"/>
          <w:lang w:val="it-IT"/>
        </w:rPr>
        <w:t>ù</w:t>
      </w:r>
      <w:r>
        <w:rPr>
          <w:rFonts w:ascii="Book Antiqua"/>
          <w:rtl w:val="0"/>
          <w:lang w:val="it-IT"/>
        </w:rPr>
        <w:t xml:space="preserve"> gravi di vero e proprio traffico illecito di rifiuti si colloca </w:t>
      </w:r>
      <w:r>
        <w:rPr>
          <w:rFonts w:hAnsi="Book Antiqua" w:hint="default"/>
          <w:rtl w:val="0"/>
          <w:lang w:val="it-IT"/>
        </w:rPr>
        <w:t>“</w:t>
      </w:r>
      <w:r>
        <w:rPr>
          <w:rFonts w:ascii="Book Antiqua"/>
          <w:rtl w:val="0"/>
          <w:lang w:val="it-IT"/>
        </w:rPr>
        <w:t>in un contesto gi</w:t>
      </w:r>
      <w:r>
        <w:rPr>
          <w:rFonts w:hAnsi="Book Antiqua" w:hint="default"/>
          <w:rtl w:val="0"/>
          <w:lang w:val="it-IT"/>
        </w:rPr>
        <w:t>à</w:t>
      </w:r>
      <w:r>
        <w:rPr>
          <w:rFonts w:ascii="Book Antiqua"/>
          <w:rtl w:val="0"/>
          <w:lang w:val="it-IT"/>
        </w:rPr>
        <w:t xml:space="preserve"> segnato da una situazione di illegalit</w:t>
      </w:r>
      <w:r>
        <w:rPr>
          <w:rFonts w:hAnsi="Book Antiqua" w:hint="default"/>
          <w:rtl w:val="0"/>
          <w:lang w:val="it-IT"/>
        </w:rPr>
        <w:t xml:space="preserve">à </w:t>
      </w:r>
      <w:r>
        <w:rPr>
          <w:rFonts w:ascii="Book Antiqua"/>
          <w:rtl w:val="0"/>
          <w:lang w:val="it-IT"/>
        </w:rPr>
        <w:t>diffusa connotata dalla reiterazione di condotte penalmente rilevanti: discariche non autorizzate, discariche da abbandono di rifiuti, gravi situazioni di degrado ambientale in aree ove sono presenti immobili abbandonati/pericolanti e correlate, sistematiche attivit</w:t>
      </w:r>
      <w:r>
        <w:rPr>
          <w:rFonts w:hAnsi="Book Antiqua" w:hint="default"/>
          <w:rtl w:val="0"/>
          <w:lang w:val="it-IT"/>
        </w:rPr>
        <w:t xml:space="preserve">à </w:t>
      </w:r>
      <w:r>
        <w:rPr>
          <w:rFonts w:ascii="Book Antiqua"/>
          <w:rtl w:val="0"/>
          <w:lang w:val="it-IT"/>
        </w:rPr>
        <w:t>di trasporto illecito di rifiuti.</w:t>
      </w:r>
      <w:r>
        <w:rPr>
          <w:rFonts w:hAnsi="Book Antiqua" w:hint="default"/>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Fenomeni, che, come gi</w:t>
      </w:r>
      <w:r>
        <w:rPr>
          <w:rFonts w:hAnsi="Book Antiqua" w:hint="default"/>
          <w:rtl w:val="0"/>
          <w:lang w:val="it-IT"/>
        </w:rPr>
        <w:t xml:space="preserve">à </w:t>
      </w:r>
      <w:r>
        <w:rPr>
          <w:rFonts w:ascii="Book Antiqua"/>
          <w:rtl w:val="0"/>
          <w:lang w:val="it-IT"/>
        </w:rPr>
        <w:t xml:space="preserve">osservava il prefetto di Roma in un passaggio, citato nel </w:t>
      </w:r>
      <w:r>
        <w:rPr>
          <w:rFonts w:hAnsi="Book Antiqua" w:hint="default"/>
          <w:rtl w:val="0"/>
          <w:lang w:val="it-IT"/>
        </w:rPr>
        <w:t xml:space="preserve">§ </w:t>
      </w:r>
      <w:r>
        <w:rPr>
          <w:rFonts w:ascii="Book Antiqua"/>
          <w:rtl w:val="0"/>
          <w:lang w:val="it-IT"/>
        </w:rPr>
        <w:t>1.2, della sua audizione del luglio 2015, si inseriscono nel tema del degrado urbano, peggiorando la qualit</w:t>
      </w:r>
      <w:r>
        <w:rPr>
          <w:rFonts w:hAnsi="Book Antiqua" w:hint="default"/>
          <w:rtl w:val="0"/>
          <w:lang w:val="it-IT"/>
        </w:rPr>
        <w:t xml:space="preserve">à </w:t>
      </w:r>
      <w:r>
        <w:rPr>
          <w:rFonts w:ascii="Book Antiqua"/>
          <w:rtl w:val="0"/>
          <w:lang w:val="it-IT"/>
        </w:rPr>
        <w:t>della vita dei cittadini, che dovrebbe essere oggetto di cura prioritaria da parte dell</w:t>
      </w:r>
      <w:r>
        <w:rPr>
          <w:rFonts w:hAnsi="Book Antiqua" w:hint="default"/>
          <w:rtl w:val="0"/>
          <w:lang w:val="it-IT"/>
        </w:rPr>
        <w:t>’</w:t>
      </w:r>
      <w:r>
        <w:rPr>
          <w:rFonts w:ascii="Book Antiqua"/>
          <w:rtl w:val="0"/>
          <w:lang w:val="it-IT"/>
        </w:rPr>
        <w:t xml:space="preserve">amministrazione pubblica locale, ad essa invece palesatasi impari, come fa rilevare la stessa procura della Repubblica di Roma, quando afferma: </w:t>
      </w:r>
      <w:r>
        <w:rPr>
          <w:rFonts w:hAnsi="Book Antiqua" w:hint="default"/>
          <w:rtl w:val="0"/>
          <w:lang w:val="it-IT"/>
        </w:rPr>
        <w:t>“</w:t>
      </w:r>
      <w:r>
        <w:rPr>
          <w:rFonts w:ascii="Book Antiqua"/>
          <w:rtl w:val="0"/>
          <w:lang w:val="it-IT"/>
        </w:rPr>
        <w:t>n</w:t>
      </w:r>
      <w:r>
        <w:rPr>
          <w:rFonts w:hAnsi="Book Antiqua" w:hint="default"/>
          <w:rtl w:val="0"/>
          <w:lang w:val="it-IT"/>
        </w:rPr>
        <w:t xml:space="preserve">é </w:t>
      </w:r>
      <w:r>
        <w:rPr>
          <w:rFonts w:ascii="Book Antiqua"/>
          <w:rtl w:val="0"/>
          <w:lang w:val="it-IT"/>
        </w:rPr>
        <w:t>pu</w:t>
      </w:r>
      <w:r>
        <w:rPr>
          <w:rFonts w:hAnsi="Book Antiqua" w:hint="default"/>
          <w:rtl w:val="0"/>
          <w:lang w:val="it-IT"/>
        </w:rPr>
        <w:t xml:space="preserve">ò </w:t>
      </w:r>
      <w:r>
        <w:rPr>
          <w:rFonts w:ascii="Book Antiqua"/>
          <w:rtl w:val="0"/>
          <w:lang w:val="it-IT"/>
        </w:rPr>
        <w:t>essere ignorata l</w:t>
      </w:r>
      <w:r>
        <w:rPr>
          <w:rFonts w:hAnsi="Book Antiqua" w:hint="default"/>
          <w:rtl w:val="0"/>
          <w:lang w:val="it-IT"/>
        </w:rPr>
        <w:t>’</w:t>
      </w:r>
      <w:r>
        <w:rPr>
          <w:rFonts w:ascii="Book Antiqua"/>
          <w:rtl w:val="0"/>
          <w:lang w:val="it-IT"/>
        </w:rPr>
        <w:t>incidenza che su tale situazione hanno avuto le scelte fatte negli ultimi anni dalla pubblica amministrazione, sia in relazione alla scarsit</w:t>
      </w:r>
      <w:r>
        <w:rPr>
          <w:rFonts w:hAnsi="Book Antiqua" w:hint="default"/>
          <w:rtl w:val="0"/>
          <w:lang w:val="it-IT"/>
        </w:rPr>
        <w:t xml:space="preserve">à </w:t>
      </w:r>
      <w:r>
        <w:rPr>
          <w:rFonts w:ascii="Book Antiqua"/>
          <w:rtl w:val="0"/>
          <w:lang w:val="it-IT"/>
        </w:rPr>
        <w:t>di risorse destinate al settore, sia con riguardo alla mancanza di un quadro di riferimento strategico e stabile</w:t>
      </w:r>
      <w:r>
        <w:rPr>
          <w:rFonts w:ascii="Book Antiqua"/>
          <w:i w:val="1"/>
          <w:iCs w:val="1"/>
          <w:rtl w:val="0"/>
          <w:lang w:val="it-IT"/>
        </w:rPr>
        <w:t xml:space="preserve"> </w:t>
      </w:r>
      <w:r>
        <w:rPr>
          <w:rFonts w:ascii="Book Antiqua"/>
          <w:rtl w:val="0"/>
          <w:lang w:val="it-IT"/>
        </w:rPr>
        <w:t>da parte delle amministrazioni locali</w:t>
      </w:r>
      <w:r>
        <w:rPr>
          <w:rFonts w:hAnsi="Book Antiqua" w:hint="default"/>
          <w:rtl w:val="0"/>
          <w:lang w:val="it-IT"/>
        </w:rPr>
        <w:t>”</w:t>
      </w:r>
      <w:r>
        <w:rPr>
          <w:rFonts w:ascii="Book Antiqua"/>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Sul fronte delle illegalit</w:t>
      </w:r>
      <w:r>
        <w:rPr>
          <w:rFonts w:hAnsi="Book Antiqua" w:hint="default"/>
          <w:rtl w:val="0"/>
          <w:lang w:val="it-IT"/>
        </w:rPr>
        <w:t xml:space="preserve">à </w:t>
      </w:r>
      <w:r>
        <w:rPr>
          <w:rFonts w:ascii="Book Antiqua"/>
          <w:rtl w:val="0"/>
          <w:lang w:val="it-IT"/>
        </w:rPr>
        <w:t>diffuse, le difficolt</w:t>
      </w:r>
      <w:r>
        <w:rPr>
          <w:rFonts w:hAnsi="Book Antiqua" w:hint="default"/>
          <w:rtl w:val="0"/>
          <w:lang w:val="it-IT"/>
        </w:rPr>
        <w:t xml:space="preserve">à </w:t>
      </w:r>
      <w:r>
        <w:rPr>
          <w:rFonts w:ascii="Book Antiqua"/>
          <w:rtl w:val="0"/>
          <w:lang w:val="it-IT"/>
        </w:rPr>
        <w:t xml:space="preserve">della pubblica amministrazione locale </w:t>
      </w:r>
      <w:r>
        <w:rPr>
          <w:rFonts w:hAnsi="Book Antiqua" w:hint="default"/>
          <w:rtl w:val="0"/>
          <w:lang w:val="it-IT"/>
        </w:rPr>
        <w:t>“</w:t>
      </w:r>
      <w:r>
        <w:rPr>
          <w:rFonts w:ascii="Book Antiqua"/>
          <w:rtl w:val="0"/>
          <w:lang w:val="it-IT"/>
        </w:rPr>
        <w:t>incidono direttamente anche nell</w:t>
      </w:r>
      <w:r>
        <w:rPr>
          <w:rFonts w:hAnsi="Book Antiqua" w:hint="default"/>
          <w:rtl w:val="0"/>
          <w:lang w:val="it-IT"/>
        </w:rPr>
        <w:t>’</w:t>
      </w:r>
      <w:r>
        <w:rPr>
          <w:rFonts w:ascii="Book Antiqua"/>
          <w:rtl w:val="0"/>
          <w:lang w:val="it-IT"/>
        </w:rPr>
        <w:t xml:space="preserve">ambito di procedimenti penali. Si pensi al caso delle discariche abusive ovvero di siti ove si accumulano rifiuti abbandonati, che, ovviamente, una volta individuati, dovrebbero essere oggetto di interventi volti al contenimento/risanamento dei medesimi: quando le discariche ovvero i rifiuti abbandonati insistono su terreno pubblico (o su terreno di un privato che non </w:t>
      </w:r>
      <w:r>
        <w:rPr>
          <w:rFonts w:hAnsi="Book Antiqua" w:hint="default"/>
          <w:rtl w:val="0"/>
          <w:lang w:val="it-IT"/>
        </w:rPr>
        <w:t xml:space="preserve">è </w:t>
      </w:r>
      <w:r>
        <w:rPr>
          <w:rFonts w:ascii="Book Antiqua"/>
          <w:rtl w:val="0"/>
          <w:lang w:val="it-IT"/>
        </w:rPr>
        <w:t>interessato ad investire il proprio capitale per bonificare quell'area di sua propriet</w:t>
      </w:r>
      <w:r>
        <w:rPr>
          <w:rFonts w:hAnsi="Book Antiqua" w:hint="default"/>
          <w:rtl w:val="0"/>
          <w:lang w:val="it-IT"/>
        </w:rPr>
        <w:t xml:space="preserve">à </w:t>
      </w:r>
      <w:r>
        <w:rPr>
          <w:rFonts w:ascii="Book Antiqua"/>
          <w:rtl w:val="0"/>
          <w:lang w:val="it-IT"/>
        </w:rPr>
        <w:t>ovvero non disponga dei mezzi economici necessari), gli interventi di bonifica/ripulitura sono soggetti alle difficolt</w:t>
      </w:r>
      <w:r>
        <w:rPr>
          <w:rFonts w:hAnsi="Book Antiqua" w:hint="default"/>
          <w:rtl w:val="0"/>
          <w:lang w:val="it-IT"/>
        </w:rPr>
        <w:t xml:space="preserve">à </w:t>
      </w:r>
      <w:r>
        <w:rPr>
          <w:rFonts w:ascii="Book Antiqua"/>
          <w:rtl w:val="0"/>
          <w:lang w:val="it-IT"/>
        </w:rPr>
        <w:t>burocratiche ed alla scarsit</w:t>
      </w:r>
      <w:r>
        <w:rPr>
          <w:rFonts w:hAnsi="Book Antiqua" w:hint="default"/>
          <w:rtl w:val="0"/>
          <w:lang w:val="it-IT"/>
        </w:rPr>
        <w:t xml:space="preserve">à </w:t>
      </w:r>
      <w:r>
        <w:rPr>
          <w:rFonts w:ascii="Book Antiqua"/>
          <w:rtl w:val="0"/>
          <w:lang w:val="it-IT"/>
        </w:rPr>
        <w:t>di risorse e spesso, pur in presenza di sequestri, la situazione resta inalterata anche per decenni.</w:t>
      </w:r>
      <w:r>
        <w:rPr>
          <w:rFonts w:hAnsi="Book Antiqua" w:hint="default"/>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Al di fuori dei casi rilevanti su cui ci si soffermer</w:t>
      </w:r>
      <w:r>
        <w:rPr>
          <w:rFonts w:hAnsi="Book Antiqua" w:hint="default"/>
          <w:rtl w:val="0"/>
          <w:lang w:val="it-IT"/>
        </w:rPr>
        <w:t xml:space="preserve">à </w:t>
      </w:r>
      <w:r>
        <w:rPr>
          <w:rFonts w:ascii="Book Antiqua"/>
          <w:rtl w:val="0"/>
          <w:lang w:val="it-IT"/>
        </w:rPr>
        <w:t>pi</w:t>
      </w:r>
      <w:r>
        <w:rPr>
          <w:rFonts w:hAnsi="Book Antiqua" w:hint="default"/>
          <w:rtl w:val="0"/>
          <w:lang w:val="it-IT"/>
        </w:rPr>
        <w:t xml:space="preserve">ù </w:t>
      </w:r>
      <w:r>
        <w:rPr>
          <w:rFonts w:ascii="Book Antiqua"/>
          <w:rtl w:val="0"/>
          <w:lang w:val="it-IT"/>
        </w:rPr>
        <w:t>oltre, i procedimenti aperti presso la procura della Repubblica di Roma per i nuovi delitti ambientali di cui alla legge n. 68 del 2015 sono stati indicati nel numero limitato di una decina, il che corrisponde alla prudenza nella qualificazione giuridica dei fatti e all</w:t>
      </w:r>
      <w:r>
        <w:rPr>
          <w:rFonts w:hAnsi="Book Antiqua" w:hint="default"/>
          <w:rtl w:val="0"/>
          <w:lang w:val="it-IT"/>
        </w:rPr>
        <w:t>’</w:t>
      </w:r>
      <w:r>
        <w:rPr>
          <w:rFonts w:ascii="Book Antiqua"/>
          <w:rtl w:val="0"/>
          <w:lang w:val="it-IT"/>
        </w:rPr>
        <w:t>accorto approfondimento d</w:t>
      </w:r>
      <w:r>
        <w:rPr>
          <w:rFonts w:hAnsi="Book Antiqua" w:hint="default"/>
          <w:rtl w:val="0"/>
          <w:lang w:val="it-IT"/>
        </w:rPr>
        <w:t>’</w:t>
      </w:r>
      <w:r>
        <w:rPr>
          <w:rFonts w:ascii="Book Antiqua"/>
          <w:rtl w:val="0"/>
          <w:lang w:val="it-IT"/>
        </w:rPr>
        <w:t>indagine che la Commissione ha riscontrato come fenomeno condiviso, a livello nazionale, nel suo lavoro</w:t>
      </w:r>
      <w:r>
        <w:rPr>
          <w:rFonts w:ascii="Book Antiqua" w:cs="Book Antiqua" w:hAnsi="Book Antiqua" w:eastAsia="Book Antiqua"/>
          <w:vertAlign w:val="superscript"/>
          <w:rtl w:val="0"/>
        </w:rPr>
        <w:footnoteReference w:id="170"/>
      </w:r>
      <w:r>
        <w:rPr>
          <w:rFonts w:ascii="Book Antiqua"/>
          <w:rtl w:val="0"/>
          <w:lang w:val="it-IT"/>
        </w:rPr>
        <w:t xml:space="preserve"> di verifica dell'attuazione della legge 22 maggio 2015, n. 68.</w:t>
      </w:r>
    </w:p>
    <w:p>
      <w:pPr>
        <w:pStyle w:val="Normal"/>
        <w:ind w:left="567" w:right="567" w:firstLine="0"/>
        <w:jc w:val="both"/>
        <w:rPr>
          <w:rFonts w:ascii="Book Antiqua" w:cs="Book Antiqua" w:hAnsi="Book Antiqua" w:eastAsia="Book Antiqua"/>
        </w:rPr>
      </w:pPr>
      <w:r>
        <w:rPr>
          <w:rFonts w:ascii="Book Antiqua"/>
          <w:rtl w:val="0"/>
          <w:lang w:val="it-IT"/>
        </w:rPr>
        <w:t>La procura della Repubblica di Roma sta avviando un</w:t>
      </w:r>
      <w:r>
        <w:rPr>
          <w:rFonts w:hAnsi="Book Antiqua" w:hint="default"/>
          <w:rtl w:val="0"/>
          <w:lang w:val="it-IT"/>
        </w:rPr>
        <w:t>’</w:t>
      </w:r>
      <w:r>
        <w:rPr>
          <w:rFonts w:ascii="Book Antiqua"/>
          <w:rtl w:val="0"/>
          <w:lang w:val="it-IT"/>
        </w:rPr>
        <w:t>attivit</w:t>
      </w:r>
      <w:r>
        <w:rPr>
          <w:rFonts w:hAnsi="Book Antiqua" w:hint="default"/>
          <w:rtl w:val="0"/>
          <w:lang w:val="it-IT"/>
        </w:rPr>
        <w:t xml:space="preserve">à </w:t>
      </w:r>
      <w:r>
        <w:rPr>
          <w:rFonts w:ascii="Book Antiqua"/>
          <w:rtl w:val="0"/>
          <w:lang w:val="it-IT"/>
        </w:rPr>
        <w:t>preliminare di coordinamento con tutte le polizie giudiziarie specializzate per agevolare le indagini che tengano conto delle nuove fattispecie di reato e pur dovendo lamentare un</w:t>
      </w:r>
      <w:r>
        <w:rPr>
          <w:rFonts w:hAnsi="Book Antiqua" w:hint="default"/>
          <w:rtl w:val="0"/>
          <w:lang w:val="it-IT"/>
        </w:rPr>
        <w:t>’</w:t>
      </w:r>
      <w:r>
        <w:rPr>
          <w:rFonts w:ascii="Book Antiqua"/>
          <w:rtl w:val="0"/>
          <w:lang w:val="it-IT"/>
        </w:rPr>
        <w:t>insufficienza di risorse investigative</w:t>
      </w:r>
      <w:r>
        <w:rPr>
          <w:rFonts w:ascii="Book Antiqua" w:cs="Book Antiqua" w:hAnsi="Book Antiqua" w:eastAsia="Book Antiqua"/>
          <w:vertAlign w:val="superscript"/>
          <w:rtl w:val="0"/>
        </w:rPr>
        <w:footnoteReference w:id="171"/>
      </w:r>
      <w:r>
        <w:rPr>
          <w:rFonts w:ascii="Book Antiqua"/>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Oltre all</w:t>
      </w:r>
      <w:r>
        <w:rPr>
          <w:rFonts w:hAnsi="Book Antiqua" w:hint="default"/>
          <w:rtl w:val="0"/>
          <w:lang w:val="it-IT"/>
        </w:rPr>
        <w:t>’</w:t>
      </w:r>
      <w:r>
        <w:rPr>
          <w:rFonts w:ascii="Book Antiqua"/>
          <w:rtl w:val="0"/>
          <w:lang w:val="it-IT"/>
        </w:rPr>
        <w:t>attivit</w:t>
      </w:r>
      <w:r>
        <w:rPr>
          <w:rFonts w:hAnsi="Book Antiqua" w:hint="default"/>
          <w:rtl w:val="0"/>
          <w:lang w:val="it-IT"/>
        </w:rPr>
        <w:t xml:space="preserve">à </w:t>
      </w:r>
      <w:r>
        <w:rPr>
          <w:rFonts w:ascii="Book Antiqua"/>
          <w:rtl w:val="0"/>
          <w:lang w:val="it-IT"/>
        </w:rPr>
        <w:t>di contrasto agli illeciti di carattere diffuso, la procura della Repubblica di Roma, secondo quanto riferito nell</w:t>
      </w:r>
      <w:r>
        <w:rPr>
          <w:rFonts w:hAnsi="Book Antiqua" w:hint="default"/>
          <w:rtl w:val="0"/>
          <w:lang w:val="it-IT"/>
        </w:rPr>
        <w:t>’</w:t>
      </w:r>
      <w:r>
        <w:rPr>
          <w:rFonts w:ascii="Book Antiqua"/>
          <w:rtl w:val="0"/>
          <w:lang w:val="it-IT"/>
        </w:rPr>
        <w:t>audizione del 30 maggio 2017, ha di recente avviato due iniziative specifiche, volte a contrastare fenomeni</w:t>
      </w:r>
      <w:r>
        <w:rPr>
          <w:rFonts w:hAnsi="Book Antiqua" w:hint="default"/>
          <w:rtl w:val="0"/>
          <w:lang w:val="it-IT"/>
        </w:rPr>
        <w:t xml:space="preserve"> “</w:t>
      </w:r>
      <w:r>
        <w:rPr>
          <w:rFonts w:ascii="Book Antiqua"/>
          <w:rtl w:val="0"/>
          <w:lang w:val="it-IT"/>
        </w:rPr>
        <w:t xml:space="preserve">parcellizzati e sparsi che tuttavia, nel peculiare contesto romano, assumono contorni tali da meritare interventi mirati e, in qualche modo </w:t>
      </w:r>
      <w:r>
        <w:rPr>
          <w:rFonts w:hAnsi="Book Antiqua" w:hint="default"/>
          <w:rtl w:val="0"/>
          <w:lang w:val="it-IT"/>
        </w:rPr>
        <w:t>‘</w:t>
      </w:r>
      <w:r>
        <w:rPr>
          <w:rFonts w:ascii="Book Antiqua"/>
          <w:rtl w:val="0"/>
          <w:lang w:val="it-IT"/>
        </w:rPr>
        <w:t>sistemici</w:t>
      </w:r>
      <w:r>
        <w:rPr>
          <w:rFonts w:hAnsi="Book Antiqua" w:hint="default"/>
          <w:rtl w:val="0"/>
          <w:lang w:val="it-IT"/>
        </w:rPr>
        <w:t>’</w:t>
      </w:r>
      <w:r>
        <w:rPr>
          <w:rFonts w:ascii="Book Antiqua"/>
          <w:rtl w:val="0"/>
          <w:lang w:val="it-IT"/>
        </w:rPr>
        <w:t>.</w:t>
      </w: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i w:val="1"/>
          <w:iCs w:val="1"/>
        </w:rPr>
      </w:pPr>
      <w:r>
        <w:rPr>
          <w:rFonts w:ascii="Book Antiqua"/>
          <w:i w:val="1"/>
          <w:iCs w:val="1"/>
          <w:rtl w:val="0"/>
          <w:lang w:val="it-IT"/>
        </w:rPr>
        <w:t>Autodemolitori</w:t>
      </w:r>
    </w:p>
    <w:p>
      <w:pPr>
        <w:pStyle w:val="Normal"/>
        <w:ind w:left="567" w:right="567" w:firstLine="0"/>
        <w:jc w:val="both"/>
        <w:rPr>
          <w:rFonts w:ascii="Book Antiqua" w:cs="Book Antiqua" w:hAnsi="Book Antiqua" w:eastAsia="Book Antiqua"/>
        </w:rPr>
      </w:pPr>
      <w:r>
        <w:rPr>
          <w:rFonts w:ascii="Book Antiqua"/>
          <w:rtl w:val="0"/>
          <w:lang w:val="it-IT"/>
        </w:rPr>
        <w:t>La prima riguarda l'avvio di interventi specificamente riferiti al consistente numero di attivit</w:t>
      </w:r>
      <w:r>
        <w:rPr>
          <w:rFonts w:hAnsi="Book Antiqua" w:hint="default"/>
          <w:rtl w:val="0"/>
          <w:lang w:val="it-IT"/>
        </w:rPr>
        <w:t xml:space="preserve">à </w:t>
      </w:r>
      <w:r>
        <w:rPr>
          <w:rFonts w:ascii="Book Antiqua"/>
          <w:rtl w:val="0"/>
          <w:lang w:val="it-IT"/>
        </w:rPr>
        <w:t>di autodemolizione che insistono nell'area urbana.</w:t>
      </w:r>
    </w:p>
    <w:p>
      <w:pPr>
        <w:pStyle w:val="Normal"/>
        <w:ind w:left="567" w:right="567" w:firstLine="0"/>
        <w:jc w:val="both"/>
        <w:rPr>
          <w:rFonts w:ascii="Book Antiqua" w:cs="Book Antiqua" w:hAnsi="Book Antiqua" w:eastAsia="Book Antiqua"/>
        </w:rPr>
      </w:pPr>
      <w:r>
        <w:rPr>
          <w:rFonts w:ascii="Book Antiqua"/>
          <w:rtl w:val="0"/>
          <w:lang w:val="it-IT"/>
        </w:rPr>
        <w:t>Attualmente le attivit</w:t>
      </w:r>
      <w:r>
        <w:rPr>
          <w:rFonts w:hAnsi="Book Antiqua" w:hint="default"/>
          <w:rtl w:val="0"/>
          <w:lang w:val="it-IT"/>
        </w:rPr>
        <w:t xml:space="preserve">à </w:t>
      </w:r>
      <w:r>
        <w:rPr>
          <w:rFonts w:ascii="Book Antiqua"/>
          <w:rtl w:val="0"/>
          <w:lang w:val="it-IT"/>
        </w:rPr>
        <w:t>di autodemolizione/rottamazione (non sempre le due attivit</w:t>
      </w:r>
      <w:r>
        <w:rPr>
          <w:rFonts w:hAnsi="Book Antiqua" w:hint="default"/>
          <w:rtl w:val="0"/>
          <w:lang w:val="it-IT"/>
        </w:rPr>
        <w:t xml:space="preserve">à </w:t>
      </w:r>
      <w:r>
        <w:rPr>
          <w:rFonts w:ascii="Book Antiqua"/>
          <w:rtl w:val="0"/>
          <w:lang w:val="it-IT"/>
        </w:rPr>
        <w:t>coincidono, ma le problematiche sono affini) presenti a Roma sono 106 ed operano per lo pi</w:t>
      </w:r>
      <w:r>
        <w:rPr>
          <w:rFonts w:hAnsi="Book Antiqua" w:hint="default"/>
          <w:rtl w:val="0"/>
          <w:lang w:val="it-IT"/>
        </w:rPr>
        <w:t xml:space="preserve">ù </w:t>
      </w:r>
      <w:r>
        <w:rPr>
          <w:rFonts w:ascii="Book Antiqua"/>
          <w:rtl w:val="0"/>
          <w:lang w:val="it-IT"/>
        </w:rPr>
        <w:t xml:space="preserve">in regime di </w:t>
      </w:r>
      <w:r>
        <w:rPr>
          <w:rFonts w:hAnsi="Book Antiqua" w:hint="default"/>
          <w:rtl w:val="0"/>
          <w:lang w:val="it-IT"/>
        </w:rPr>
        <w:t>‘</w:t>
      </w:r>
      <w:r>
        <w:rPr>
          <w:rFonts w:ascii="Book Antiqua"/>
          <w:rtl w:val="0"/>
          <w:lang w:val="it-IT"/>
        </w:rPr>
        <w:t>autorizzazione provvisoria</w:t>
      </w:r>
      <w:r>
        <w:rPr>
          <w:rFonts w:hAnsi="Book Antiqua" w:hint="default"/>
          <w:rtl w:val="0"/>
          <w:lang w:val="it-IT"/>
        </w:rPr>
        <w:t>’</w:t>
      </w:r>
      <w:r>
        <w:rPr>
          <w:rFonts w:ascii="Book Antiqua"/>
          <w:rtl w:val="0"/>
          <w:lang w:val="it-IT"/>
        </w:rPr>
        <w:t>, salvo alcune del tutto abusive.</w:t>
      </w:r>
    </w:p>
    <w:p>
      <w:pPr>
        <w:pStyle w:val="Normal"/>
        <w:ind w:left="567" w:right="567" w:firstLine="0"/>
        <w:jc w:val="both"/>
        <w:rPr>
          <w:rFonts w:ascii="Book Antiqua" w:cs="Book Antiqua" w:hAnsi="Book Antiqua" w:eastAsia="Book Antiqua"/>
        </w:rPr>
      </w:pPr>
      <w:r>
        <w:rPr>
          <w:rFonts w:ascii="Book Antiqua"/>
          <w:rtl w:val="0"/>
          <w:lang w:val="it-IT"/>
        </w:rPr>
        <w:t>Simili attivit</w:t>
      </w:r>
      <w:r>
        <w:rPr>
          <w:rFonts w:hAnsi="Book Antiqua" w:hint="default"/>
          <w:rtl w:val="0"/>
          <w:lang w:val="it-IT"/>
        </w:rPr>
        <w:t xml:space="preserve">à </w:t>
      </w:r>
      <w:r>
        <w:rPr>
          <w:rFonts w:ascii="Book Antiqua"/>
          <w:rtl w:val="0"/>
          <w:lang w:val="it-IT"/>
        </w:rPr>
        <w:t>divengono sovente epicentro di illeciti di vario tipo:</w:t>
      </w:r>
    </w:p>
    <w:p>
      <w:pPr>
        <w:pStyle w:val="Normal"/>
        <w:ind w:left="567" w:right="567" w:firstLine="0"/>
        <w:jc w:val="both"/>
        <w:rPr>
          <w:rFonts w:ascii="Book Antiqua" w:cs="Book Antiqua" w:hAnsi="Book Antiqua" w:eastAsia="Book Antiqua"/>
        </w:rPr>
      </w:pPr>
      <w:r>
        <w:rPr>
          <w:rFonts w:ascii="Book Antiqua"/>
          <w:rtl w:val="0"/>
          <w:lang w:val="it-IT"/>
        </w:rPr>
        <w:t>- ricettazione e riciclaggio di veicoli rubati (quotidianamente decine di veicoli vengono sottratti nell'area urbana ed una buona parte finiscono demoliti con conseguente riciclaggio dei pezzi di ricambio, vero e proprio mercato parallelo);</w:t>
      </w:r>
    </w:p>
    <w:p>
      <w:pPr>
        <w:pStyle w:val="Normal"/>
        <w:ind w:left="567" w:right="567" w:firstLine="0"/>
        <w:jc w:val="both"/>
        <w:rPr>
          <w:rFonts w:ascii="Book Antiqua" w:cs="Book Antiqua" w:hAnsi="Book Antiqua" w:eastAsia="Book Antiqua"/>
        </w:rPr>
      </w:pPr>
      <w:r>
        <w:rPr>
          <w:rFonts w:ascii="Book Antiqua"/>
          <w:rtl w:val="0"/>
          <w:lang w:val="it-IT"/>
        </w:rPr>
        <w:t>- traffico di materiali ferrosi e rame frutto di attivit</w:t>
      </w:r>
      <w:r>
        <w:rPr>
          <w:rFonts w:hAnsi="Book Antiqua" w:hint="default"/>
          <w:rtl w:val="0"/>
          <w:lang w:val="it-IT"/>
        </w:rPr>
        <w:t xml:space="preserve">à </w:t>
      </w:r>
      <w:r>
        <w:rPr>
          <w:rFonts w:ascii="Book Antiqua"/>
          <w:rtl w:val="0"/>
          <w:lang w:val="it-IT"/>
        </w:rPr>
        <w:t>predatorie sul territorio o comunque di attivit</w:t>
      </w:r>
      <w:r>
        <w:rPr>
          <w:rFonts w:hAnsi="Book Antiqua" w:hint="default"/>
          <w:rtl w:val="0"/>
          <w:lang w:val="it-IT"/>
        </w:rPr>
        <w:t xml:space="preserve">à </w:t>
      </w:r>
      <w:r>
        <w:rPr>
          <w:rFonts w:ascii="Book Antiqua"/>
          <w:rtl w:val="0"/>
          <w:lang w:val="it-IT"/>
        </w:rPr>
        <w:t>abusive di raccolta e trasporto di rifiuti;</w:t>
      </w:r>
    </w:p>
    <w:p>
      <w:pPr>
        <w:pStyle w:val="Normal"/>
        <w:ind w:left="567" w:right="567" w:firstLine="0"/>
        <w:jc w:val="both"/>
        <w:rPr>
          <w:rFonts w:ascii="Book Antiqua" w:cs="Book Antiqua" w:hAnsi="Book Antiqua" w:eastAsia="Book Antiqua"/>
        </w:rPr>
      </w:pPr>
      <w:r>
        <w:rPr>
          <w:rFonts w:ascii="Book Antiqua"/>
          <w:rtl w:val="0"/>
          <w:lang w:val="it-IT"/>
        </w:rPr>
        <w:t>- traffico organizzato di rifiuti: veicoli e altri materiali, non trattati con le modalit</w:t>
      </w:r>
      <w:r>
        <w:rPr>
          <w:rFonts w:hAnsi="Book Antiqua" w:hint="default"/>
          <w:rtl w:val="0"/>
          <w:lang w:val="it-IT"/>
        </w:rPr>
        <w:t>à</w:t>
      </w:r>
      <w:r>
        <w:rPr>
          <w:rFonts w:ascii="Book Antiqua"/>
          <w:rtl w:val="0"/>
          <w:lang w:val="it-IT"/>
        </w:rPr>
        <w:t xml:space="preserve"> prescritte e commercializzati con documentazione non rispondente alle effettive caratteristiche del prodotto, vengono concentrati in 'piattaforme' gestite da soggetti che successivamente inoltrano i rilevanti quantitativi di rifiuti raccolti dai diversi autodemolitori ad acciaierie in Italia e all'estero.</w:t>
      </w:r>
    </w:p>
    <w:p>
      <w:pPr>
        <w:pStyle w:val="Normal"/>
        <w:ind w:left="567" w:right="567" w:firstLine="0"/>
        <w:jc w:val="both"/>
        <w:rPr>
          <w:rFonts w:ascii="Book Antiqua" w:cs="Book Antiqua" w:hAnsi="Book Antiqua" w:eastAsia="Book Antiqua"/>
        </w:rPr>
      </w:pPr>
      <w:r>
        <w:rPr>
          <w:rFonts w:ascii="Book Antiqua"/>
          <w:rtl w:val="0"/>
          <w:lang w:val="it-IT"/>
        </w:rPr>
        <w:t>La maggior parte delle attivit</w:t>
      </w:r>
      <w:r>
        <w:rPr>
          <w:rFonts w:hAnsi="Book Antiqua" w:hint="default"/>
          <w:rtl w:val="0"/>
          <w:lang w:val="it-IT"/>
        </w:rPr>
        <w:t xml:space="preserve">à </w:t>
      </w:r>
      <w:r>
        <w:rPr>
          <w:rFonts w:ascii="Book Antiqua"/>
          <w:rtl w:val="0"/>
          <w:lang w:val="it-IT"/>
        </w:rPr>
        <w:t>opera in condizioni pessime dal punto di vista dei presidi ambientali, con effetti seri di contaminazione del terreno e talora della falda.</w:t>
      </w:r>
      <w:r>
        <w:rPr>
          <w:rFonts w:hAnsi="Book Antiqua" w:hint="default"/>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L</w:t>
      </w:r>
      <w:r>
        <w:rPr>
          <w:rFonts w:hAnsi="Book Antiqua" w:hint="default"/>
          <w:rtl w:val="0"/>
          <w:lang w:val="it-IT"/>
        </w:rPr>
        <w:t>’</w:t>
      </w:r>
      <w:r>
        <w:rPr>
          <w:rFonts w:ascii="Book Antiqua"/>
          <w:rtl w:val="0"/>
          <w:lang w:val="it-IT"/>
        </w:rPr>
        <w:t>apertura di diversi procedimenti penali, talora con sequestri di intere attivit</w:t>
      </w:r>
      <w:r>
        <w:rPr>
          <w:rFonts w:hAnsi="Book Antiqua" w:hint="default"/>
          <w:rtl w:val="0"/>
          <w:lang w:val="it-IT"/>
        </w:rPr>
        <w:t xml:space="preserve">à </w:t>
      </w:r>
      <w:r>
        <w:rPr>
          <w:rFonts w:ascii="Book Antiqua"/>
          <w:rtl w:val="0"/>
          <w:lang w:val="it-IT"/>
        </w:rPr>
        <w:t>o aree</w:t>
      </w:r>
      <w:r>
        <w:rPr>
          <w:rFonts w:ascii="Book Antiqua" w:cs="Book Antiqua" w:hAnsi="Book Antiqua" w:eastAsia="Book Antiqua"/>
          <w:vertAlign w:val="superscript"/>
          <w:rtl w:val="0"/>
        </w:rPr>
        <w:footnoteReference w:id="172"/>
      </w:r>
      <w:r>
        <w:rPr>
          <w:rFonts w:ascii="Book Antiqua"/>
          <w:rtl w:val="0"/>
          <w:lang w:val="it-IT"/>
        </w:rPr>
        <w:t xml:space="preserve">, rivela, secondo la procura della Repubblica di Roma, che </w:t>
      </w:r>
      <w:r>
        <w:rPr>
          <w:rFonts w:hAnsi="Book Antiqua" w:hint="default"/>
          <w:rtl w:val="0"/>
          <w:lang w:val="it-IT"/>
        </w:rPr>
        <w:t>“</w:t>
      </w:r>
      <w:r>
        <w:rPr>
          <w:rFonts w:ascii="Book Antiqua"/>
          <w:rtl w:val="0"/>
          <w:lang w:val="it-IT"/>
        </w:rPr>
        <w:t xml:space="preserve">lo scenario </w:t>
      </w:r>
      <w:r>
        <w:rPr>
          <w:rFonts w:hAnsi="Book Antiqua" w:hint="default"/>
          <w:rtl w:val="0"/>
          <w:lang w:val="it-IT"/>
        </w:rPr>
        <w:t xml:space="preserve">è </w:t>
      </w:r>
      <w:r>
        <w:rPr>
          <w:rFonts w:ascii="Book Antiqua"/>
          <w:rtl w:val="0"/>
          <w:lang w:val="it-IT"/>
        </w:rPr>
        <w:t xml:space="preserve">assai esteso ed il fenomeno articolato, mentre gli interventi effettuati sono ancora parziali; tuttavia </w:t>
      </w:r>
      <w:r>
        <w:rPr>
          <w:rFonts w:hAnsi="Book Antiqua" w:hint="default"/>
          <w:rtl w:val="0"/>
          <w:lang w:val="it-IT"/>
        </w:rPr>
        <w:t xml:space="preserve">è </w:t>
      </w:r>
      <w:r>
        <w:rPr>
          <w:rFonts w:ascii="Book Antiqua"/>
          <w:rtl w:val="0"/>
          <w:lang w:val="it-IT"/>
        </w:rPr>
        <w:t>chiaro, gi</w:t>
      </w:r>
      <w:r>
        <w:rPr>
          <w:rFonts w:hAnsi="Book Antiqua" w:hint="default"/>
          <w:rtl w:val="0"/>
          <w:lang w:val="it-IT"/>
        </w:rPr>
        <w:t xml:space="preserve">à </w:t>
      </w:r>
      <w:r>
        <w:rPr>
          <w:rFonts w:ascii="Book Antiqua"/>
          <w:rtl w:val="0"/>
          <w:lang w:val="it-IT"/>
        </w:rPr>
        <w:t>sulla base dei dati a disposizione, che si tratta di un settore fortemente permeato da forme di illecito sedimentate e compatibili con potenziali dinamiche di criminalit</w:t>
      </w:r>
      <w:r>
        <w:rPr>
          <w:rFonts w:hAnsi="Book Antiqua" w:hint="default"/>
          <w:rtl w:val="0"/>
          <w:lang w:val="it-IT"/>
        </w:rPr>
        <w:t xml:space="preserve">à </w:t>
      </w:r>
      <w:r>
        <w:rPr>
          <w:rFonts w:ascii="Book Antiqua"/>
          <w:rtl w:val="0"/>
          <w:lang w:val="it-IT"/>
        </w:rPr>
        <w:t>organizzata, considerato anche il considerevole giro d</w:t>
      </w:r>
      <w:r>
        <w:rPr>
          <w:rFonts w:hAnsi="Book Antiqua" w:hint="default"/>
          <w:rtl w:val="0"/>
          <w:lang w:val="it-IT"/>
        </w:rPr>
        <w:t>’</w:t>
      </w:r>
      <w:r>
        <w:rPr>
          <w:rFonts w:ascii="Book Antiqua"/>
          <w:rtl w:val="0"/>
          <w:lang w:val="it-IT"/>
        </w:rPr>
        <w:t>affari del settore</w:t>
      </w:r>
      <w:r>
        <w:rPr>
          <w:rFonts w:hAnsi="Book Antiqua" w:hint="default"/>
          <w:rtl w:val="0"/>
          <w:lang w:val="it-IT"/>
        </w:rPr>
        <w:t>”</w:t>
      </w:r>
      <w:r>
        <w:rPr>
          <w:rFonts w:ascii="Book Antiqua"/>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Su questo tema la Commissione, il 5 ottobre 2017, ha proceduto all</w:t>
      </w:r>
      <w:r>
        <w:rPr>
          <w:rFonts w:hAnsi="Book Antiqua" w:hint="default"/>
          <w:rtl w:val="0"/>
          <w:lang w:val="it-IT"/>
        </w:rPr>
        <w:t>’</w:t>
      </w:r>
      <w:r>
        <w:rPr>
          <w:rFonts w:ascii="Book Antiqua"/>
          <w:rtl w:val="0"/>
          <w:lang w:val="it-IT"/>
        </w:rPr>
        <w:t>audizione di rappresentanti dell'Associazione industriale riciclatori auto (AIRA), in particolare Mauro Grotto, presidente di AIRA, Angelo Colombo, vicepresidente, e Valerio Fiori, consigliere dell</w:t>
      </w:r>
      <w:r>
        <w:rPr>
          <w:rFonts w:hAnsi="Book Antiqua" w:hint="default"/>
          <w:rtl w:val="0"/>
          <w:lang w:val="it-IT"/>
        </w:rPr>
        <w:t>’</w:t>
      </w:r>
      <w:r>
        <w:rPr>
          <w:rFonts w:ascii="Book Antiqua"/>
          <w:rtl w:val="0"/>
          <w:lang w:val="it-IT"/>
        </w:rPr>
        <w:t>associazione.</w:t>
      </w:r>
    </w:p>
    <w:p>
      <w:pPr>
        <w:pStyle w:val="Normal"/>
        <w:ind w:left="567" w:right="567" w:firstLine="0"/>
        <w:jc w:val="both"/>
        <w:rPr>
          <w:rFonts w:ascii="Book Antiqua" w:cs="Book Antiqua" w:hAnsi="Book Antiqua" w:eastAsia="Book Antiqua"/>
        </w:rPr>
      </w:pPr>
      <w:r>
        <w:rPr>
          <w:rFonts w:ascii="Book Antiqua"/>
          <w:rtl w:val="0"/>
          <w:lang w:val="it-IT"/>
        </w:rPr>
        <w:t>E</w:t>
      </w:r>
      <w:r>
        <w:rPr>
          <w:rFonts w:hAnsi="Book Antiqua" w:hint="default"/>
          <w:rtl w:val="0"/>
          <w:lang w:val="it-IT"/>
        </w:rPr>
        <w:t xml:space="preserve">’ </w:t>
      </w:r>
      <w:r>
        <w:rPr>
          <w:rFonts w:ascii="Book Antiqua"/>
          <w:rtl w:val="0"/>
          <w:lang w:val="it-IT"/>
        </w:rPr>
        <w:t>utile citare in sintesi alcuni contenuti dell</w:t>
      </w:r>
      <w:r>
        <w:rPr>
          <w:rFonts w:hAnsi="Book Antiqua" w:hint="default"/>
          <w:rtl w:val="0"/>
          <w:lang w:val="it-IT"/>
        </w:rPr>
        <w:t>’</w:t>
      </w:r>
      <w:r>
        <w:rPr>
          <w:rFonts w:ascii="Book Antiqua"/>
          <w:rtl w:val="0"/>
          <w:lang w:val="it-IT"/>
        </w:rPr>
        <w:t xml:space="preserve">audizione </w:t>
      </w:r>
      <w:r>
        <w:rPr>
          <w:rFonts w:hAnsi="Book Antiqua" w:hint="default"/>
          <w:rtl w:val="0"/>
          <w:lang w:val="it-IT"/>
        </w:rPr>
        <w:t xml:space="preserve">– </w:t>
      </w:r>
      <w:r>
        <w:rPr>
          <w:rFonts w:ascii="Book Antiqua"/>
          <w:rtl w:val="0"/>
          <w:lang w:val="it-IT"/>
        </w:rPr>
        <w:t>che si colloca nell</w:t>
      </w:r>
      <w:r>
        <w:rPr>
          <w:rFonts w:hAnsi="Book Antiqua" w:hint="default"/>
          <w:rtl w:val="0"/>
          <w:lang w:val="it-IT"/>
        </w:rPr>
        <w:t>’</w:t>
      </w:r>
      <w:r>
        <w:rPr>
          <w:rFonts w:ascii="Book Antiqua"/>
          <w:rtl w:val="0"/>
          <w:lang w:val="it-IT"/>
        </w:rPr>
        <w:t>ambito dell</w:t>
      </w:r>
      <w:r>
        <w:rPr>
          <w:rFonts w:hAnsi="Book Antiqua" w:hint="default"/>
          <w:rtl w:val="0"/>
          <w:lang w:val="it-IT"/>
        </w:rPr>
        <w:t>’</w:t>
      </w:r>
      <w:r>
        <w:rPr>
          <w:rFonts w:ascii="Book Antiqua"/>
          <w:rtl w:val="0"/>
          <w:lang w:val="it-IT"/>
        </w:rPr>
        <w:t xml:space="preserve">approfondimento sul mercato del riciclo </w:t>
      </w:r>
      <w:r>
        <w:rPr>
          <w:rFonts w:hAnsi="Book Antiqua" w:hint="default"/>
          <w:rtl w:val="0"/>
          <w:lang w:val="it-IT"/>
        </w:rPr>
        <w:t xml:space="preserve">– </w:t>
      </w:r>
      <w:r>
        <w:rPr>
          <w:rFonts w:ascii="Book Antiqua"/>
          <w:rtl w:val="0"/>
          <w:lang w:val="it-IT"/>
        </w:rPr>
        <w:t xml:space="preserve">di interesse per quanto riguarda la situazione di Roma, sulla quale, come si </w:t>
      </w:r>
      <w:r>
        <w:rPr>
          <w:rFonts w:hAnsi="Book Antiqua" w:hint="default"/>
          <w:rtl w:val="0"/>
          <w:lang w:val="it-IT"/>
        </w:rPr>
        <w:t xml:space="preserve">è </w:t>
      </w:r>
      <w:r>
        <w:rPr>
          <w:rFonts w:ascii="Book Antiqua"/>
          <w:rtl w:val="0"/>
          <w:lang w:val="it-IT"/>
        </w:rPr>
        <w:t>visto, si sono soffermati i magistrati della locale procura della Repubblica.</w:t>
      </w:r>
    </w:p>
    <w:p>
      <w:pPr>
        <w:pStyle w:val="Normal"/>
        <w:ind w:left="567" w:right="567" w:firstLine="0"/>
        <w:jc w:val="both"/>
        <w:rPr>
          <w:rFonts w:ascii="Book Antiqua" w:cs="Book Antiqua" w:hAnsi="Book Antiqua" w:eastAsia="Book Antiqua"/>
        </w:rPr>
      </w:pPr>
      <w:r>
        <w:rPr>
          <w:rFonts w:ascii="Book Antiqua"/>
          <w:rtl w:val="0"/>
          <w:lang w:val="it-IT"/>
        </w:rPr>
        <w:t xml:space="preserve">La forte preoccupazione espressa dagli auditi, riguardante il </w:t>
      </w:r>
      <w:r>
        <w:rPr>
          <w:rFonts w:hAnsi="Book Antiqua" w:hint="default"/>
          <w:rtl w:val="0"/>
          <w:lang w:val="it-IT"/>
        </w:rPr>
        <w:t>“</w:t>
      </w:r>
      <w:r>
        <w:rPr>
          <w:rFonts w:ascii="Book Antiqua"/>
          <w:rtl w:val="0"/>
          <w:lang w:val="it-IT"/>
        </w:rPr>
        <w:t>rischio di sequestri giudiziari gli impianti di frantumazione di veicoli fuori uso e rottami metallici dei nostri associati</w:t>
      </w:r>
      <w:r>
        <w:rPr>
          <w:rFonts w:hAnsi="Book Antiqua" w:hint="default"/>
          <w:rtl w:val="0"/>
          <w:lang w:val="it-IT"/>
        </w:rPr>
        <w:t>”</w:t>
      </w:r>
      <w:r>
        <w:rPr>
          <w:rFonts w:ascii="Book Antiqua"/>
          <w:rtl w:val="0"/>
          <w:lang w:val="it-IT"/>
        </w:rPr>
        <w:t xml:space="preserve">, </w:t>
      </w:r>
      <w:r>
        <w:rPr>
          <w:rFonts w:hAnsi="Book Antiqua" w:hint="default"/>
          <w:rtl w:val="0"/>
          <w:lang w:val="it-IT"/>
        </w:rPr>
        <w:t xml:space="preserve">è </w:t>
      </w:r>
      <w:r>
        <w:rPr>
          <w:rFonts w:ascii="Book Antiqua"/>
          <w:rtl w:val="0"/>
          <w:lang w:val="it-IT"/>
        </w:rPr>
        <w:t>nata da un</w:t>
      </w:r>
      <w:r>
        <w:rPr>
          <w:rFonts w:hAnsi="Book Antiqua" w:hint="default"/>
          <w:rtl w:val="0"/>
          <w:lang w:val="it-IT"/>
        </w:rPr>
        <w:t>’</w:t>
      </w:r>
      <w:r>
        <w:rPr>
          <w:rFonts w:ascii="Book Antiqua"/>
          <w:rtl w:val="0"/>
          <w:lang w:val="it-IT"/>
        </w:rPr>
        <w:t>attivit</w:t>
      </w:r>
      <w:r>
        <w:rPr>
          <w:rFonts w:hAnsi="Book Antiqua" w:hint="default"/>
          <w:rtl w:val="0"/>
          <w:lang w:val="it-IT"/>
        </w:rPr>
        <w:t xml:space="preserve">à </w:t>
      </w:r>
      <w:r>
        <w:rPr>
          <w:rFonts w:ascii="Book Antiqua"/>
          <w:rtl w:val="0"/>
          <w:lang w:val="it-IT"/>
        </w:rPr>
        <w:t>di indagine del NOE Carabinieri, che, ricorrendone i presupposti e nell</w:t>
      </w:r>
      <w:r>
        <w:rPr>
          <w:rFonts w:hAnsi="Book Antiqua" w:hint="default"/>
          <w:rtl w:val="0"/>
          <w:lang w:val="it-IT"/>
        </w:rPr>
        <w:t>’</w:t>
      </w:r>
      <w:r>
        <w:rPr>
          <w:rFonts w:ascii="Book Antiqua"/>
          <w:rtl w:val="0"/>
          <w:lang w:val="it-IT"/>
        </w:rPr>
        <w:t>ambito dell</w:t>
      </w:r>
      <w:r>
        <w:rPr>
          <w:rFonts w:hAnsi="Book Antiqua" w:hint="default"/>
          <w:rtl w:val="0"/>
          <w:lang w:val="it-IT"/>
        </w:rPr>
        <w:t>’</w:t>
      </w:r>
      <w:r>
        <w:rPr>
          <w:rFonts w:ascii="Book Antiqua"/>
          <w:rtl w:val="0"/>
          <w:lang w:val="it-IT"/>
        </w:rPr>
        <w:t>aumentata attenzione alla legalit</w:t>
      </w:r>
      <w:r>
        <w:rPr>
          <w:rFonts w:hAnsi="Book Antiqua" w:hint="default"/>
          <w:rtl w:val="0"/>
          <w:lang w:val="it-IT"/>
        </w:rPr>
        <w:t xml:space="preserve">à </w:t>
      </w:r>
      <w:r>
        <w:rPr>
          <w:rFonts w:ascii="Book Antiqua"/>
          <w:rtl w:val="0"/>
          <w:lang w:val="it-IT"/>
        </w:rPr>
        <w:t>in questo settore, ha proceduto al sequestro di veicoli conferiti da autodemolitori presso un impianto di riciclo.</w:t>
      </w:r>
    </w:p>
    <w:p>
      <w:pPr>
        <w:pStyle w:val="Normal"/>
        <w:ind w:left="567" w:right="567" w:firstLine="0"/>
        <w:jc w:val="both"/>
        <w:rPr>
          <w:rFonts w:ascii="Book Antiqua" w:cs="Book Antiqua" w:hAnsi="Book Antiqua" w:eastAsia="Book Antiqua"/>
        </w:rPr>
      </w:pPr>
      <w:r>
        <w:rPr>
          <w:rFonts w:ascii="Book Antiqua"/>
          <w:rtl w:val="0"/>
          <w:lang w:val="it-IT"/>
        </w:rPr>
        <w:t>E</w:t>
      </w:r>
      <w:r>
        <w:rPr>
          <w:rFonts w:hAnsi="Book Antiqua" w:hint="default"/>
          <w:rtl w:val="0"/>
          <w:lang w:val="it-IT"/>
        </w:rPr>
        <w:t xml:space="preserve">’ </w:t>
      </w:r>
      <w:r>
        <w:rPr>
          <w:rFonts w:ascii="Book Antiqua"/>
          <w:rtl w:val="0"/>
          <w:lang w:val="it-IT"/>
        </w:rPr>
        <w:t xml:space="preserve">accaduto </w:t>
      </w:r>
      <w:r>
        <w:rPr>
          <w:rFonts w:hAnsi="Book Antiqua" w:hint="default"/>
          <w:rtl w:val="0"/>
          <w:lang w:val="it-IT"/>
        </w:rPr>
        <w:t xml:space="preserve">– </w:t>
      </w:r>
      <w:r>
        <w:rPr>
          <w:rFonts w:ascii="Book Antiqua"/>
          <w:rtl w:val="0"/>
          <w:lang w:val="it-IT"/>
        </w:rPr>
        <w:t xml:space="preserve">e accade </w:t>
      </w:r>
      <w:r>
        <w:rPr>
          <w:rFonts w:hAnsi="Book Antiqua" w:hint="default"/>
          <w:rtl w:val="0"/>
          <w:lang w:val="it-IT"/>
        </w:rPr>
        <w:t xml:space="preserve">– </w:t>
      </w:r>
      <w:r>
        <w:rPr>
          <w:rFonts w:ascii="Book Antiqua"/>
          <w:rtl w:val="0"/>
          <w:lang w:val="it-IT"/>
        </w:rPr>
        <w:t>che alcuni autodemolitori non compiano le operazioni per la messa in sicurezza del veicolo fuori uso (ai sensi dell'allegato 1.5-6-7 del decreto legislativo n. 209/2003) provvedendo a rimuovere e separare i materiali e i componenti pericolosi, in modo da non contaminare i successivi rifiuti frantumati; solo dopo avere espletato tutte queste operazioni, infatti, il veicolo fuori uso indicato con CER 16 01 04*, quindi rifiuto pericoloso, pu</w:t>
      </w:r>
      <w:r>
        <w:rPr>
          <w:rFonts w:hAnsi="Book Antiqua" w:hint="default"/>
          <w:rtl w:val="0"/>
          <w:lang w:val="it-IT"/>
        </w:rPr>
        <w:t xml:space="preserve">ò </w:t>
      </w:r>
      <w:r>
        <w:rPr>
          <w:rFonts w:ascii="Book Antiqua"/>
          <w:rtl w:val="0"/>
          <w:lang w:val="it-IT"/>
        </w:rPr>
        <w:t>essere riclassificato come veicolo fuori uso non contenente n</w:t>
      </w:r>
      <w:r>
        <w:rPr>
          <w:rFonts w:hAnsi="Book Antiqua" w:hint="default"/>
          <w:rtl w:val="0"/>
          <w:lang w:val="it-IT"/>
        </w:rPr>
        <w:t xml:space="preserve">é </w:t>
      </w:r>
      <w:r>
        <w:rPr>
          <w:rFonts w:ascii="Book Antiqua"/>
          <w:rtl w:val="0"/>
          <w:lang w:val="it-IT"/>
        </w:rPr>
        <w:t>liquidi n</w:t>
      </w:r>
      <w:r>
        <w:rPr>
          <w:rFonts w:hAnsi="Book Antiqua" w:hint="default"/>
          <w:rtl w:val="0"/>
          <w:lang w:val="it-IT"/>
        </w:rPr>
        <w:t xml:space="preserve">é </w:t>
      </w:r>
      <w:r>
        <w:rPr>
          <w:rFonts w:ascii="Book Antiqua"/>
          <w:rtl w:val="0"/>
          <w:lang w:val="it-IT"/>
        </w:rPr>
        <w:t>altre componenti pericolose certe (CER 16 01 06) ed essere consegnato a un impianto di frantumazione per il suo definitivo recupero e smaltimento.</w:t>
      </w:r>
    </w:p>
    <w:p>
      <w:pPr>
        <w:pStyle w:val="Normal"/>
        <w:ind w:left="567" w:right="567" w:firstLine="0"/>
        <w:jc w:val="both"/>
        <w:rPr>
          <w:rFonts w:ascii="Book Antiqua" w:cs="Book Antiqua" w:hAnsi="Book Antiqua" w:eastAsia="Book Antiqua"/>
        </w:rPr>
      </w:pPr>
      <w:r>
        <w:rPr>
          <w:rFonts w:ascii="Book Antiqua"/>
          <w:rtl w:val="0"/>
          <w:lang w:val="it-IT"/>
        </w:rPr>
        <w:t xml:space="preserve">Secondo i riciclatori la presenza di materiali pericolosi, e dunque il mancato compimento delle operazioni dovute, non sempre </w:t>
      </w:r>
      <w:r>
        <w:rPr>
          <w:rFonts w:hAnsi="Book Antiqua" w:hint="default"/>
          <w:rtl w:val="0"/>
          <w:lang w:val="it-IT"/>
        </w:rPr>
        <w:t xml:space="preserve">è </w:t>
      </w:r>
      <w:r>
        <w:rPr>
          <w:rFonts w:ascii="Book Antiqua"/>
          <w:rtl w:val="0"/>
          <w:lang w:val="it-IT"/>
        </w:rPr>
        <w:t>rilevabile dai titolari degli impianti riceventi, che quindi potrebbero incorrere in violazioni di legge.</w:t>
      </w:r>
    </w:p>
    <w:p>
      <w:pPr>
        <w:pStyle w:val="Normal"/>
        <w:ind w:left="567" w:right="567" w:firstLine="0"/>
        <w:jc w:val="both"/>
        <w:rPr>
          <w:rFonts w:ascii="Book Antiqua" w:cs="Book Antiqua" w:hAnsi="Book Antiqua" w:eastAsia="Book Antiqua"/>
        </w:rPr>
      </w:pPr>
      <w:r>
        <w:rPr>
          <w:rFonts w:ascii="Book Antiqua"/>
          <w:rtl w:val="0"/>
          <w:lang w:val="it-IT"/>
        </w:rPr>
        <w:t>Peraltro la proposta dell</w:t>
      </w:r>
      <w:r>
        <w:rPr>
          <w:rFonts w:hAnsi="Book Antiqua" w:hint="default"/>
          <w:rtl w:val="0"/>
          <w:lang w:val="it-IT"/>
        </w:rPr>
        <w:t>’</w:t>
      </w:r>
      <w:r>
        <w:rPr>
          <w:rFonts w:ascii="Book Antiqua"/>
          <w:rtl w:val="0"/>
          <w:lang w:val="it-IT"/>
        </w:rPr>
        <w:t xml:space="preserve">associazione </w:t>
      </w:r>
      <w:r>
        <w:rPr>
          <w:rFonts w:hAnsi="Book Antiqua" w:hint="default"/>
          <w:rtl w:val="0"/>
          <w:lang w:val="it-IT"/>
        </w:rPr>
        <w:t>“</w:t>
      </w:r>
      <w:r>
        <w:rPr>
          <w:rFonts w:ascii="Book Antiqua"/>
          <w:rtl w:val="0"/>
          <w:lang w:val="it-IT"/>
        </w:rPr>
        <w:t>di stilare un accordo nazionale con l'ISPRA e i vari enti di controllo, che abbia per oggetto il controllo dei rifiuti in ingresso nei nostri impianti di frantumazione</w:t>
      </w:r>
      <w:r>
        <w:rPr>
          <w:rFonts w:hAnsi="Book Antiqua" w:hint="default"/>
          <w:rtl w:val="0"/>
          <w:lang w:val="it-IT"/>
        </w:rPr>
        <w:t xml:space="preserve">” è </w:t>
      </w:r>
      <w:r>
        <w:rPr>
          <w:rFonts w:ascii="Book Antiqua"/>
          <w:rtl w:val="0"/>
          <w:lang w:val="it-IT"/>
        </w:rPr>
        <w:t>materialmente impraticabile, e non conforme a generali principi di responsabilit</w:t>
      </w:r>
      <w:r>
        <w:rPr>
          <w:rFonts w:hAnsi="Book Antiqua" w:hint="default"/>
          <w:rtl w:val="0"/>
          <w:lang w:val="it-IT"/>
        </w:rPr>
        <w:t xml:space="preserve">à </w:t>
      </w:r>
      <w:r>
        <w:rPr>
          <w:rFonts w:ascii="Book Antiqua"/>
          <w:rtl w:val="0"/>
          <w:lang w:val="it-IT"/>
        </w:rPr>
        <w:t>dei soggetti inseriti in questo ciclo, che sono tenuti a verificare i materiali in ingresso negli impianti, salvi i limiti del caso fortuito o dell</w:t>
      </w:r>
      <w:r>
        <w:rPr>
          <w:rFonts w:hAnsi="Book Antiqua" w:hint="default"/>
          <w:rtl w:val="0"/>
          <w:lang w:val="it-IT"/>
        </w:rPr>
        <w:t>’</w:t>
      </w:r>
      <w:r>
        <w:rPr>
          <w:rFonts w:ascii="Book Antiqua"/>
          <w:rtl w:val="0"/>
          <w:lang w:val="it-IT"/>
        </w:rPr>
        <w:t>inesigibilit</w:t>
      </w:r>
      <w:r>
        <w:rPr>
          <w:rFonts w:hAnsi="Book Antiqua" w:hint="default"/>
          <w:rtl w:val="0"/>
          <w:lang w:val="it-IT"/>
        </w:rPr>
        <w:t>à</w:t>
      </w:r>
      <w:r>
        <w:rPr>
          <w:rFonts w:ascii="Book Antiqua"/>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 xml:space="preserve">Del resto, come </w:t>
      </w:r>
      <w:r>
        <w:rPr>
          <w:rFonts w:hAnsi="Book Antiqua" w:hint="default"/>
          <w:rtl w:val="0"/>
          <w:lang w:val="it-IT"/>
        </w:rPr>
        <w:t xml:space="preserve">è </w:t>
      </w:r>
      <w:r>
        <w:rPr>
          <w:rFonts w:ascii="Book Antiqua"/>
          <w:rtl w:val="0"/>
          <w:lang w:val="it-IT"/>
        </w:rPr>
        <w:t>emerso durante l</w:t>
      </w:r>
      <w:r>
        <w:rPr>
          <w:rFonts w:hAnsi="Book Antiqua" w:hint="default"/>
          <w:rtl w:val="0"/>
          <w:lang w:val="it-IT"/>
        </w:rPr>
        <w:t>’</w:t>
      </w:r>
      <w:r>
        <w:rPr>
          <w:rFonts w:ascii="Book Antiqua"/>
          <w:rtl w:val="0"/>
          <w:lang w:val="it-IT"/>
        </w:rPr>
        <w:t xml:space="preserve">audizione - a seguito di specifiche sollecitazioni della Commissione agli auditi - ad essi </w:t>
      </w:r>
      <w:r>
        <w:rPr>
          <w:rFonts w:hAnsi="Book Antiqua" w:hint="default"/>
          <w:rtl w:val="0"/>
          <w:lang w:val="it-IT"/>
        </w:rPr>
        <w:t xml:space="preserve">è </w:t>
      </w:r>
      <w:r>
        <w:rPr>
          <w:rFonts w:ascii="Book Antiqua"/>
          <w:rtl w:val="0"/>
          <w:lang w:val="it-IT"/>
        </w:rPr>
        <w:t>possibile non solo respingere i materiali non conformi ma anche denunciare le violazioni di legge da parte dei soggetti conferenti, risolvere i contratti che ad essi li legano, promuovere cause nei loro confronti, laddove venga ricevuto del materiale che violi le previsioni del decreto legislativo n. 209/2003.</w:t>
      </w:r>
    </w:p>
    <w:p>
      <w:pPr>
        <w:pStyle w:val="Normal"/>
        <w:ind w:left="567" w:right="567" w:firstLine="0"/>
        <w:jc w:val="both"/>
        <w:rPr>
          <w:rFonts w:ascii="Book Antiqua" w:cs="Book Antiqua" w:hAnsi="Book Antiqua" w:eastAsia="Book Antiqua"/>
        </w:rPr>
      </w:pPr>
      <w:r>
        <w:rPr>
          <w:rFonts w:ascii="Book Antiqua"/>
          <w:rtl w:val="0"/>
          <w:lang w:val="it-IT"/>
        </w:rPr>
        <w:t>La Commissione ha audito il 21 novembre 2017 il presidente dell</w:t>
      </w:r>
      <w:r>
        <w:rPr>
          <w:rFonts w:hAnsi="Book Antiqua" w:hint="default"/>
          <w:rtl w:val="0"/>
          <w:lang w:val="it-IT"/>
        </w:rPr>
        <w:t>’</w:t>
      </w:r>
      <w:r>
        <w:rPr>
          <w:rFonts w:ascii="Book Antiqua"/>
          <w:rtl w:val="0"/>
          <w:lang w:val="it-IT"/>
        </w:rPr>
        <w:t>Associazione nazionale demolitori autoveicoli (A.D.A.), Rinaldo Ferrazzi, e il presidente della Confederazione autodemolitori riuniti, Alfonso Gifuni, che hanno inteso ricondurre gli episodi di violazioni della normativa da parte di singoli autodemolitori a percentuali minime e fisiologiche da parte di coloro che svolgono l</w:t>
      </w:r>
      <w:r>
        <w:rPr>
          <w:rFonts w:hAnsi="Book Antiqua" w:hint="default"/>
          <w:rtl w:val="0"/>
          <w:lang w:val="it-IT"/>
        </w:rPr>
        <w:t>’</w:t>
      </w:r>
      <w:r>
        <w:rPr>
          <w:rFonts w:ascii="Book Antiqua"/>
          <w:rtl w:val="0"/>
          <w:lang w:val="it-IT"/>
        </w:rPr>
        <w:t>attivit</w:t>
      </w:r>
      <w:r>
        <w:rPr>
          <w:rFonts w:hAnsi="Book Antiqua" w:hint="default"/>
          <w:rtl w:val="0"/>
          <w:lang w:val="it-IT"/>
        </w:rPr>
        <w:t xml:space="preserve">à </w:t>
      </w:r>
      <w:r>
        <w:rPr>
          <w:rFonts w:ascii="Book Antiqua"/>
          <w:rtl w:val="0"/>
          <w:lang w:val="it-IT"/>
        </w:rPr>
        <w:t>in maniera regolare, evidenziando a loro volta il problema dello svolgimento illecito dell</w:t>
      </w:r>
      <w:r>
        <w:rPr>
          <w:rFonts w:hAnsi="Book Antiqua" w:hint="default"/>
          <w:rtl w:val="0"/>
          <w:lang w:val="it-IT"/>
        </w:rPr>
        <w:t>’</w:t>
      </w:r>
      <w:r>
        <w:rPr>
          <w:rFonts w:ascii="Book Antiqua"/>
          <w:rtl w:val="0"/>
          <w:lang w:val="it-IT"/>
        </w:rPr>
        <w:t>attivit</w:t>
      </w:r>
      <w:r>
        <w:rPr>
          <w:rFonts w:hAnsi="Book Antiqua" w:hint="default"/>
          <w:rtl w:val="0"/>
          <w:lang w:val="it-IT"/>
        </w:rPr>
        <w:t xml:space="preserve">à </w:t>
      </w:r>
      <w:r>
        <w:rPr>
          <w:rFonts w:ascii="Book Antiqua"/>
          <w:rtl w:val="0"/>
          <w:lang w:val="it-IT"/>
        </w:rPr>
        <w:t>di autodemolizione da parte di soggetti talora contigui alla commissione di reati contro il patrimonio</w:t>
      </w:r>
      <w:r>
        <w:rPr>
          <w:rFonts w:ascii="Book Antiqua" w:cs="Book Antiqua" w:hAnsi="Book Antiqua" w:eastAsia="Book Antiqua"/>
          <w:vertAlign w:val="superscript"/>
          <w:rtl w:val="0"/>
        </w:rPr>
        <w:footnoteReference w:id="173"/>
      </w:r>
      <w:r>
        <w:rPr>
          <w:rFonts w:ascii="Book Antiqua"/>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La questione della legalit</w:t>
      </w:r>
      <w:r>
        <w:rPr>
          <w:rFonts w:hAnsi="Book Antiqua" w:hint="default"/>
          <w:rtl w:val="0"/>
          <w:lang w:val="it-IT"/>
        </w:rPr>
        <w:t xml:space="preserve">à </w:t>
      </w:r>
      <w:r>
        <w:rPr>
          <w:rFonts w:ascii="Book Antiqua"/>
          <w:rtl w:val="0"/>
          <w:lang w:val="it-IT"/>
        </w:rPr>
        <w:t>della presenza e dell</w:t>
      </w:r>
      <w:r>
        <w:rPr>
          <w:rFonts w:hAnsi="Book Antiqua" w:hint="default"/>
          <w:rtl w:val="0"/>
          <w:lang w:val="it-IT"/>
        </w:rPr>
        <w:t>’</w:t>
      </w:r>
      <w:r>
        <w:rPr>
          <w:rFonts w:ascii="Book Antiqua"/>
          <w:rtl w:val="0"/>
          <w:lang w:val="it-IT"/>
        </w:rPr>
        <w:t>attivit</w:t>
      </w:r>
      <w:r>
        <w:rPr>
          <w:rFonts w:hAnsi="Book Antiqua" w:hint="default"/>
          <w:rtl w:val="0"/>
          <w:lang w:val="it-IT"/>
        </w:rPr>
        <w:t xml:space="preserve">à </w:t>
      </w:r>
      <w:r>
        <w:rPr>
          <w:rFonts w:ascii="Book Antiqua"/>
          <w:rtl w:val="0"/>
          <w:lang w:val="it-IT"/>
        </w:rPr>
        <w:t xml:space="preserve">degli autodemolitori in Roma </w:t>
      </w:r>
      <w:r>
        <w:rPr>
          <w:rFonts w:hAnsi="Book Antiqua" w:hint="default"/>
          <w:rtl w:val="0"/>
          <w:lang w:val="it-IT"/>
        </w:rPr>
        <w:t xml:space="preserve">è </w:t>
      </w:r>
      <w:r>
        <w:rPr>
          <w:rFonts w:ascii="Book Antiqua"/>
          <w:rtl w:val="0"/>
          <w:lang w:val="it-IT"/>
        </w:rPr>
        <w:t>stata oggetto dell</w:t>
      </w:r>
      <w:r>
        <w:rPr>
          <w:rFonts w:hAnsi="Book Antiqua" w:hint="default"/>
          <w:rtl w:val="0"/>
          <w:lang w:val="it-IT"/>
        </w:rPr>
        <w:t>’</w:t>
      </w:r>
      <w:r>
        <w:rPr>
          <w:rFonts w:ascii="Book Antiqua"/>
          <w:rtl w:val="0"/>
          <w:lang w:val="it-IT"/>
        </w:rPr>
        <w:t>audizione dell'assessora alla sostenibilit</w:t>
      </w:r>
      <w:r>
        <w:rPr>
          <w:rFonts w:hAnsi="Book Antiqua" w:hint="default"/>
          <w:rtl w:val="0"/>
          <w:lang w:val="it-IT"/>
        </w:rPr>
        <w:t xml:space="preserve">à </w:t>
      </w:r>
      <w:r>
        <w:rPr>
          <w:rFonts w:ascii="Book Antiqua"/>
          <w:rtl w:val="0"/>
          <w:lang w:val="it-IT"/>
        </w:rPr>
        <w:t>ambientale di Roma Capitale, Giuseppina Montanari, svoltasi il 17 ottobre 2017</w:t>
      </w:r>
      <w:r>
        <w:rPr>
          <w:rFonts w:ascii="Book Antiqua" w:cs="Book Antiqua" w:hAnsi="Book Antiqua" w:eastAsia="Book Antiqua"/>
          <w:vertAlign w:val="superscript"/>
          <w:rtl w:val="0"/>
        </w:rPr>
        <w:footnoteReference w:id="174"/>
      </w:r>
      <w:r>
        <w:rPr>
          <w:rFonts w:ascii="Book Antiqua"/>
          <w:rtl w:val="0"/>
          <w:lang w:val="it-IT"/>
        </w:rPr>
        <w:t xml:space="preserve">.  </w:t>
      </w:r>
    </w:p>
    <w:p>
      <w:pPr>
        <w:pStyle w:val="Normal"/>
        <w:ind w:left="567" w:right="567" w:firstLine="0"/>
        <w:jc w:val="both"/>
        <w:rPr>
          <w:rFonts w:ascii="Book Antiqua" w:cs="Book Antiqua" w:hAnsi="Book Antiqua" w:eastAsia="Book Antiqua"/>
        </w:rPr>
      </w:pPr>
      <w:r>
        <w:rPr>
          <w:rFonts w:ascii="Book Antiqua"/>
          <w:rtl w:val="0"/>
          <w:lang w:val="it-IT"/>
        </w:rPr>
        <w:t xml:space="preserve">La giunta di Roma Capitale ha adottato sul tema due </w:t>
      </w:r>
      <w:r>
        <w:rPr>
          <w:rFonts w:hAnsi="Book Antiqua" w:hint="default"/>
          <w:rtl w:val="0"/>
          <w:lang w:val="it-IT"/>
        </w:rPr>
        <w:t>“</w:t>
      </w:r>
      <w:r>
        <w:rPr>
          <w:rFonts w:ascii="Book Antiqua"/>
          <w:rtl w:val="0"/>
          <w:lang w:val="it-IT"/>
        </w:rPr>
        <w:t>memorie</w:t>
      </w:r>
      <w:r>
        <w:rPr>
          <w:rFonts w:hAnsi="Book Antiqua" w:hint="default"/>
          <w:rtl w:val="0"/>
          <w:lang w:val="it-IT"/>
        </w:rPr>
        <w:t>”</w:t>
      </w:r>
      <w:r>
        <w:rPr>
          <w:rFonts w:ascii="Book Antiqua" w:cs="Book Antiqua" w:hAnsi="Book Antiqua" w:eastAsia="Book Antiqua"/>
          <w:vertAlign w:val="superscript"/>
          <w:rtl w:val="0"/>
        </w:rPr>
        <w:footnoteReference w:id="175"/>
      </w:r>
      <w:r>
        <w:rPr>
          <w:rFonts w:ascii="Book Antiqua"/>
          <w:rtl w:val="0"/>
          <w:lang w:val="it-IT"/>
        </w:rPr>
        <w:t>, del 18 ottobre 2016 e del 28 luglio 2017, con l</w:t>
      </w:r>
      <w:r>
        <w:rPr>
          <w:rFonts w:hAnsi="Book Antiqua" w:hint="default"/>
          <w:rtl w:val="0"/>
          <w:lang w:val="it-IT"/>
        </w:rPr>
        <w:t>’</w:t>
      </w:r>
      <w:r>
        <w:rPr>
          <w:rFonts w:ascii="Book Antiqua"/>
          <w:rtl w:val="0"/>
          <w:lang w:val="it-IT"/>
        </w:rPr>
        <w:t>obiettivo di superare la situazione di autorizzazioni a quelle attivit</w:t>
      </w:r>
      <w:r>
        <w:rPr>
          <w:rFonts w:hAnsi="Book Antiqua" w:hint="default"/>
          <w:rtl w:val="0"/>
          <w:lang w:val="it-IT"/>
        </w:rPr>
        <w:t xml:space="preserve">à </w:t>
      </w:r>
      <w:r>
        <w:rPr>
          <w:rFonts w:ascii="Book Antiqua"/>
          <w:rtl w:val="0"/>
          <w:lang w:val="it-IT"/>
        </w:rPr>
        <w:t>temporanee e prorogate (al momento 86) e prevederne la delocalizzazione, considerando l</w:t>
      </w:r>
      <w:r>
        <w:rPr>
          <w:rFonts w:hAnsi="Book Antiqua" w:hint="default"/>
          <w:rtl w:val="0"/>
          <w:lang w:val="it-IT"/>
        </w:rPr>
        <w:t>’</w:t>
      </w:r>
      <w:r>
        <w:rPr>
          <w:rFonts w:ascii="Book Antiqua"/>
          <w:rtl w:val="0"/>
          <w:lang w:val="it-IT"/>
        </w:rPr>
        <w:t>impatto della dismissione, sul territorio di Roma, di circa 85.000 veicoli l</w:t>
      </w:r>
      <w:r>
        <w:rPr>
          <w:rFonts w:hAnsi="Book Antiqua" w:hint="default"/>
          <w:rtl w:val="0"/>
          <w:lang w:val="it-IT"/>
        </w:rPr>
        <w:t>’</w:t>
      </w:r>
      <w:r>
        <w:rPr>
          <w:rFonts w:ascii="Book Antiqua"/>
          <w:rtl w:val="0"/>
          <w:lang w:val="it-IT"/>
        </w:rPr>
        <w:t>anno</w:t>
      </w:r>
      <w:r>
        <w:rPr>
          <w:rFonts w:ascii="Book Antiqua" w:cs="Book Antiqua" w:hAnsi="Book Antiqua" w:eastAsia="Book Antiqua"/>
          <w:vertAlign w:val="superscript"/>
          <w:rtl w:val="0"/>
        </w:rPr>
        <w:footnoteReference w:id="176"/>
      </w:r>
      <w:r>
        <w:rPr>
          <w:rFonts w:ascii="Book Antiqua"/>
          <w:rtl w:val="0"/>
          <w:lang w:val="it-IT"/>
        </w:rPr>
        <w:t xml:space="preserve">. Sul tema della delocalizzazione si </w:t>
      </w:r>
      <w:r>
        <w:rPr>
          <w:rFonts w:hAnsi="Book Antiqua" w:hint="default"/>
          <w:rtl w:val="0"/>
          <w:lang w:val="it-IT"/>
        </w:rPr>
        <w:t xml:space="preserve">è </w:t>
      </w:r>
      <w:r>
        <w:rPr>
          <w:rFonts w:ascii="Book Antiqua"/>
          <w:rtl w:val="0"/>
          <w:lang w:val="it-IT"/>
        </w:rPr>
        <w:t>di fatto in una situazione di partenza</w:t>
      </w:r>
      <w:r>
        <w:rPr>
          <w:rFonts w:ascii="Book Antiqua" w:cs="Book Antiqua" w:hAnsi="Book Antiqua" w:eastAsia="Book Antiqua"/>
          <w:vertAlign w:val="superscript"/>
          <w:rtl w:val="0"/>
        </w:rPr>
        <w:footnoteReference w:id="177"/>
      </w:r>
      <w:r>
        <w:rPr>
          <w:rFonts w:ascii="Book Antiqua"/>
          <w:rtl w:val="0"/>
          <w:lang w:val="it-IT"/>
        </w:rPr>
        <w:t xml:space="preserve">, nonostante la presenza, per tredici anni, sino al 2013, di un commissario </w:t>
      </w:r>
      <w:r>
        <w:rPr>
          <w:rFonts w:ascii="Book Antiqua"/>
          <w:i w:val="1"/>
          <w:iCs w:val="1"/>
          <w:rtl w:val="0"/>
          <w:lang w:val="it-IT"/>
        </w:rPr>
        <w:t>ad hoc</w:t>
      </w:r>
      <w:r>
        <w:rPr>
          <w:rFonts w:ascii="Book Antiqua"/>
          <w:rtl w:val="0"/>
          <w:lang w:val="it-IT"/>
        </w:rPr>
        <w:t xml:space="preserve"> e il riavvio del procedimento con la delibera di giunta n. 181 del 2014. </w:t>
      </w: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i w:val="1"/>
          <w:iCs w:val="1"/>
        </w:rPr>
      </w:pPr>
      <w:r>
        <w:rPr>
          <w:rFonts w:ascii="Book Antiqua"/>
          <w:i w:val="1"/>
          <w:iCs w:val="1"/>
          <w:rtl w:val="0"/>
          <w:lang w:val="it-IT"/>
        </w:rPr>
        <w:t>Campi nomadi: rinvio</w:t>
      </w:r>
    </w:p>
    <w:p>
      <w:pPr>
        <w:pStyle w:val="Normal"/>
        <w:ind w:left="567" w:right="567" w:firstLine="0"/>
        <w:jc w:val="both"/>
        <w:rPr>
          <w:rFonts w:ascii="Book Antiqua" w:cs="Book Antiqua" w:hAnsi="Book Antiqua" w:eastAsia="Book Antiqua"/>
        </w:rPr>
      </w:pPr>
      <w:r>
        <w:rPr>
          <w:rFonts w:ascii="Book Antiqua"/>
          <w:rtl w:val="0"/>
          <w:lang w:val="it-IT"/>
        </w:rPr>
        <w:t xml:space="preserve">Un secondo ambito di iniziativa della procura della Repubblica </w:t>
      </w:r>
      <w:r>
        <w:rPr>
          <w:rFonts w:hAnsi="Book Antiqua" w:hint="default"/>
          <w:rtl w:val="0"/>
          <w:lang w:val="it-IT"/>
        </w:rPr>
        <w:t xml:space="preserve">è </w:t>
      </w:r>
      <w:r>
        <w:rPr>
          <w:rFonts w:ascii="Book Antiqua"/>
          <w:rtl w:val="0"/>
          <w:lang w:val="it-IT"/>
        </w:rPr>
        <w:t xml:space="preserve">stato avviato </w:t>
      </w:r>
      <w:r>
        <w:rPr>
          <w:rFonts w:hAnsi="Book Antiqua" w:hint="default"/>
          <w:rtl w:val="0"/>
          <w:lang w:val="it-IT"/>
        </w:rPr>
        <w:t>“</w:t>
      </w:r>
      <w:r>
        <w:rPr>
          <w:rFonts w:ascii="Book Antiqua"/>
          <w:rtl w:val="0"/>
          <w:lang w:val="it-IT"/>
        </w:rPr>
        <w:t>con riferimento alle gravi situazioni di degrado ambientale che interessano i campi nomadi</w:t>
      </w:r>
      <w:r>
        <w:rPr>
          <w:rFonts w:ascii="Book Antiqua"/>
          <w:i w:val="1"/>
          <w:iCs w:val="1"/>
          <w:rtl w:val="0"/>
          <w:lang w:val="it-IT"/>
        </w:rPr>
        <w:t xml:space="preserve"> </w:t>
      </w:r>
      <w:r>
        <w:rPr>
          <w:rFonts w:ascii="Book Antiqua"/>
          <w:rtl w:val="0"/>
          <w:lang w:val="it-IT"/>
        </w:rPr>
        <w:t>ancora attivi, dove spesso si consumano eventi che mettono in pericolo la pubblica incolumit</w:t>
      </w:r>
      <w:r>
        <w:rPr>
          <w:rFonts w:hAnsi="Book Antiqua" w:hint="default"/>
          <w:rtl w:val="0"/>
          <w:lang w:val="it-IT"/>
        </w:rPr>
        <w:t>à</w:t>
      </w:r>
      <w:r>
        <w:rPr>
          <w:rFonts w:ascii="Book Antiqua"/>
          <w:rtl w:val="0"/>
          <w:lang w:val="it-IT"/>
        </w:rPr>
        <w:t>, in particolare raccolta illecita, abbandono ed incendi dei rifiuti, come metodo normale di smaltimento di quei rifiuti non utilizzabili.</w:t>
      </w:r>
      <w:r>
        <w:rPr>
          <w:rFonts w:hAnsi="Book Antiqua" w:hint="default"/>
          <w:rtl w:val="0"/>
          <w:lang w:val="it-IT"/>
        </w:rPr>
        <w:t>”</w:t>
      </w:r>
      <w:r>
        <w:rPr>
          <w:rFonts w:ascii="Book Antiqua"/>
          <w:rtl w:val="0"/>
          <w:lang w:val="it-IT"/>
        </w:rPr>
        <w:t xml:space="preserve"> </w:t>
      </w:r>
    </w:p>
    <w:p>
      <w:pPr>
        <w:pStyle w:val="Normal"/>
        <w:ind w:left="567" w:right="567" w:firstLine="0"/>
        <w:jc w:val="both"/>
        <w:rPr>
          <w:rFonts w:ascii="Book Antiqua" w:cs="Book Antiqua" w:hAnsi="Book Antiqua" w:eastAsia="Book Antiqua"/>
        </w:rPr>
      </w:pPr>
      <w:r>
        <w:rPr>
          <w:rFonts w:ascii="Book Antiqua"/>
          <w:rtl w:val="0"/>
          <w:lang w:val="it-IT"/>
        </w:rPr>
        <w:t xml:space="preserve">Del tema dei </w:t>
      </w:r>
      <w:r>
        <w:rPr>
          <w:rFonts w:hAnsi="Book Antiqua" w:hint="default"/>
          <w:rtl w:val="0"/>
          <w:lang w:val="it-IT"/>
        </w:rPr>
        <w:t>“</w:t>
      </w:r>
      <w:r>
        <w:rPr>
          <w:rFonts w:ascii="Book Antiqua"/>
          <w:rtl w:val="0"/>
          <w:lang w:val="it-IT"/>
        </w:rPr>
        <w:t>roghi tossici</w:t>
      </w:r>
      <w:r>
        <w:rPr>
          <w:rFonts w:hAnsi="Book Antiqua" w:hint="default"/>
          <w:rtl w:val="0"/>
          <w:lang w:val="it-IT"/>
        </w:rPr>
        <w:t xml:space="preserve">” </w:t>
      </w:r>
      <w:r>
        <w:rPr>
          <w:rFonts w:ascii="Book Antiqua"/>
          <w:rtl w:val="0"/>
          <w:lang w:val="it-IT"/>
        </w:rPr>
        <w:t>ci si occuper</w:t>
      </w:r>
      <w:r>
        <w:rPr>
          <w:rFonts w:hAnsi="Book Antiqua" w:hint="default"/>
          <w:rtl w:val="0"/>
          <w:lang w:val="it-IT"/>
        </w:rPr>
        <w:t>à</w:t>
      </w:r>
      <w:r>
        <w:rPr>
          <w:rFonts w:ascii="Book Antiqua"/>
          <w:rtl w:val="0"/>
          <w:lang w:val="it-IT"/>
        </w:rPr>
        <w:t xml:space="preserve"> successivamente ei paragrafi </w:t>
      </w:r>
      <w:r>
        <w:rPr>
          <w:rFonts w:hAnsi="Book Antiqua" w:hint="default"/>
          <w:rtl w:val="0"/>
          <w:lang w:val="it-IT"/>
        </w:rPr>
        <w:t xml:space="preserve">§ </w:t>
      </w:r>
      <w:r>
        <w:rPr>
          <w:rFonts w:ascii="Book Antiqua"/>
          <w:rtl w:val="0"/>
          <w:lang w:val="it-IT"/>
        </w:rPr>
        <w:t xml:space="preserve">5 e </w:t>
      </w:r>
      <w:r>
        <w:rPr>
          <w:rFonts w:hAnsi="Book Antiqua" w:hint="default"/>
          <w:rtl w:val="0"/>
          <w:lang w:val="it-IT"/>
        </w:rPr>
        <w:t xml:space="preserve">§ </w:t>
      </w:r>
      <w:r>
        <w:rPr>
          <w:rFonts w:ascii="Book Antiqua"/>
          <w:rtl w:val="0"/>
          <w:lang w:val="it-IT"/>
        </w:rPr>
        <w:t>6.2.</w:t>
      </w:r>
    </w:p>
    <w:p>
      <w:pPr>
        <w:pStyle w:val="Normal"/>
        <w:ind w:left="567" w:right="567" w:firstLine="0"/>
        <w:jc w:val="both"/>
        <w:rPr>
          <w:rFonts w:ascii="Book Antiqua" w:cs="Book Antiqua" w:hAnsi="Book Antiqua" w:eastAsia="Book Antiqua"/>
        </w:rPr>
      </w:pPr>
      <w:r>
        <w:rPr>
          <w:rFonts w:ascii="Book Antiqua"/>
          <w:rtl w:val="0"/>
          <w:lang w:val="it-IT"/>
        </w:rPr>
        <w:t>Si tratta di due temi che, al di l</w:t>
      </w:r>
      <w:r>
        <w:rPr>
          <w:rFonts w:hAnsi="Book Antiqua" w:hint="default"/>
          <w:rtl w:val="0"/>
          <w:lang w:val="it-IT"/>
        </w:rPr>
        <w:t xml:space="preserve">à </w:t>
      </w:r>
      <w:r>
        <w:rPr>
          <w:rFonts w:ascii="Book Antiqua"/>
          <w:rtl w:val="0"/>
          <w:lang w:val="it-IT"/>
        </w:rPr>
        <w:t>di apprezzabili iniziative investigative dell</w:t>
      </w:r>
      <w:r>
        <w:rPr>
          <w:rFonts w:hAnsi="Book Antiqua" w:hint="default"/>
          <w:rtl w:val="0"/>
          <w:lang w:val="it-IT"/>
        </w:rPr>
        <w:t>’</w:t>
      </w:r>
      <w:r>
        <w:rPr>
          <w:rFonts w:ascii="Book Antiqua"/>
          <w:rtl w:val="0"/>
          <w:lang w:val="it-IT"/>
        </w:rPr>
        <w:t>autorit</w:t>
      </w:r>
      <w:r>
        <w:rPr>
          <w:rFonts w:hAnsi="Book Antiqua" w:hint="default"/>
          <w:rtl w:val="0"/>
          <w:lang w:val="it-IT"/>
        </w:rPr>
        <w:t xml:space="preserve">à </w:t>
      </w:r>
      <w:r>
        <w:rPr>
          <w:rFonts w:ascii="Book Antiqua"/>
          <w:rtl w:val="0"/>
          <w:lang w:val="it-IT"/>
        </w:rPr>
        <w:t>giudiziaria e delle polizie giudiziarie, richiamano fortemente la responsabilit</w:t>
      </w:r>
      <w:r>
        <w:rPr>
          <w:rFonts w:hAnsi="Book Antiqua" w:hint="default"/>
          <w:rtl w:val="0"/>
          <w:lang w:val="it-IT"/>
        </w:rPr>
        <w:t xml:space="preserve">à </w:t>
      </w:r>
      <w:r>
        <w:rPr>
          <w:rFonts w:ascii="Book Antiqua"/>
          <w:rtl w:val="0"/>
          <w:lang w:val="it-IT"/>
        </w:rPr>
        <w:t>dei soggetti pubblici che hanno compiti di amministrazione attiva, di pianificazione e di controllo, non solo per quanto riguarda gli aspetti ambientali ma anche, a monte, per il governo delle attivit</w:t>
      </w:r>
      <w:r>
        <w:rPr>
          <w:rFonts w:hAnsi="Book Antiqua" w:hint="default"/>
          <w:rtl w:val="0"/>
          <w:lang w:val="it-IT"/>
        </w:rPr>
        <w:t xml:space="preserve">à </w:t>
      </w:r>
      <w:r>
        <w:rPr>
          <w:rFonts w:ascii="Book Antiqua"/>
          <w:rtl w:val="0"/>
          <w:lang w:val="it-IT"/>
        </w:rPr>
        <w:t>economiche e degli insediamenti antropici.</w:t>
      </w:r>
    </w:p>
    <w:p>
      <w:pPr>
        <w:pStyle w:val="Normal"/>
        <w:ind w:left="567" w:right="567" w:firstLine="0"/>
        <w:jc w:val="both"/>
        <w:rPr>
          <w:rFonts w:ascii="Book Antiqua" w:cs="Book Antiqua" w:hAnsi="Book Antiqua" w:eastAsia="Book Antiqua"/>
        </w:rPr>
      </w:pPr>
    </w:p>
    <w:p>
      <w:pPr>
        <w:pStyle w:val="Normal"/>
      </w:pPr>
      <w:r>
        <w:rPr>
          <w:rFonts w:ascii="Book Antiqua" w:cs="Book Antiqua" w:hAnsi="Book Antiqua" w:eastAsia="Book Antiqua"/>
          <w:rtl w:val="0"/>
        </w:rPr>
        <w:br w:type="page"/>
      </w:r>
    </w:p>
    <w:p>
      <w:pPr>
        <w:pStyle w:val="Normal"/>
        <w:rPr>
          <w:rFonts w:ascii="Book Antiqua" w:cs="Book Antiqua" w:hAnsi="Book Antiqua" w:eastAsia="Book Antiqua"/>
        </w:rPr>
      </w:pP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sz w:val="28"/>
          <w:szCs w:val="28"/>
        </w:rPr>
      </w:pPr>
      <w:r>
        <w:rPr>
          <w:rFonts w:ascii="Book Antiqua"/>
          <w:sz w:val="28"/>
          <w:szCs w:val="28"/>
          <w:rtl w:val="0"/>
          <w:lang w:val="it-IT"/>
        </w:rPr>
        <w:t xml:space="preserve">3.2 Mondo di Mezzo </w:t>
      </w: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color w:val="000000"/>
          <w:u w:color="000000"/>
        </w:rPr>
      </w:pPr>
      <w:r>
        <w:rPr>
          <w:rFonts w:ascii="Book Antiqua"/>
          <w:rtl w:val="0"/>
          <w:lang w:val="it-IT"/>
        </w:rPr>
        <w:t xml:space="preserve">Il procedimento penale n. 30546/10 RGNR </w:t>
      </w:r>
      <w:r>
        <w:rPr>
          <w:rFonts w:ascii="Book Antiqua"/>
          <w:color w:val="000000"/>
          <w:u w:color="000000"/>
          <w:rtl w:val="0"/>
          <w:lang w:val="it-IT"/>
        </w:rPr>
        <w:t>della procura della Repubblica di Roma viene a conoscenza dei cittadini a seguito dell</w:t>
      </w:r>
      <w:r>
        <w:rPr>
          <w:rFonts w:hAnsi="Book Antiqua" w:hint="default"/>
          <w:color w:val="000000"/>
          <w:u w:color="000000"/>
          <w:rtl w:val="0"/>
          <w:lang w:val="it-IT"/>
        </w:rPr>
        <w:t>’</w:t>
      </w:r>
      <w:r>
        <w:rPr>
          <w:rFonts w:ascii="Book Antiqua"/>
          <w:color w:val="000000"/>
          <w:u w:color="000000"/>
          <w:rtl w:val="0"/>
          <w:lang w:val="it-IT"/>
        </w:rPr>
        <w:t>esecuzione delle numerose misure cautelari personali disposte dal giudice per le indagini preliminari del tribunale di Roma con ordinanza del 28 novembre 2014.</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 xml:space="preserve">A carico di ventinove indagati </w:t>
      </w:r>
      <w:r>
        <w:rPr>
          <w:rFonts w:hAnsi="Book Antiqua" w:hint="default"/>
          <w:color w:val="000000"/>
          <w:u w:color="000000"/>
          <w:rtl w:val="0"/>
          <w:lang w:val="it-IT"/>
        </w:rPr>
        <w:t xml:space="preserve">è </w:t>
      </w:r>
      <w:r>
        <w:rPr>
          <w:rFonts w:ascii="Book Antiqua"/>
          <w:color w:val="000000"/>
          <w:u w:color="000000"/>
          <w:rtl w:val="0"/>
          <w:lang w:val="it-IT"/>
        </w:rPr>
        <w:t>stata disposta la custodia cautelare in carcere; a carico di otto gli arresti domiciliari; per due sono state respinte le richieste della procura della Repubblica.</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L</w:t>
      </w:r>
      <w:r>
        <w:rPr>
          <w:rFonts w:hAnsi="Book Antiqua" w:hint="default"/>
          <w:color w:val="000000"/>
          <w:u w:color="000000"/>
          <w:rtl w:val="0"/>
          <w:lang w:val="it-IT"/>
        </w:rPr>
        <w:t>’</w:t>
      </w:r>
      <w:r>
        <w:rPr>
          <w:rFonts w:ascii="Book Antiqua"/>
          <w:color w:val="000000"/>
          <w:u w:color="000000"/>
          <w:rtl w:val="0"/>
          <w:lang w:val="it-IT"/>
        </w:rPr>
        <w:t>ordinanza, particolarmente corposa, compendiava e valutava oltre sessantacinquemila pagine di atti d</w:t>
      </w:r>
      <w:r>
        <w:rPr>
          <w:rFonts w:hAnsi="Book Antiqua" w:hint="default"/>
          <w:color w:val="000000"/>
          <w:u w:color="000000"/>
          <w:rtl w:val="0"/>
          <w:lang w:val="it-IT"/>
        </w:rPr>
        <w:t>’</w:t>
      </w:r>
      <w:r>
        <w:rPr>
          <w:rFonts w:ascii="Book Antiqua"/>
          <w:color w:val="000000"/>
          <w:u w:color="000000"/>
          <w:rtl w:val="0"/>
          <w:lang w:val="it-IT"/>
        </w:rPr>
        <w:t>indagine.</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Il delitto principale per il quale si procedeva in quella fase era l</w:t>
      </w:r>
      <w:r>
        <w:rPr>
          <w:rFonts w:hAnsi="Book Antiqua" w:hint="default"/>
          <w:color w:val="000000"/>
          <w:u w:color="000000"/>
          <w:rtl w:val="0"/>
          <w:lang w:val="it-IT"/>
        </w:rPr>
        <w:t>’</w:t>
      </w:r>
      <w:r>
        <w:rPr>
          <w:rFonts w:ascii="Book Antiqua"/>
          <w:color w:val="000000"/>
          <w:u w:color="000000"/>
          <w:rtl w:val="0"/>
          <w:lang w:val="it-IT"/>
        </w:rPr>
        <w:t>associazione per delinquere di stampo mafioso (articolo 416-bis del codice penale)</w:t>
      </w:r>
      <w:r>
        <w:rPr>
          <w:rFonts w:ascii="Book Antiqua" w:cs="Book Antiqua" w:hAnsi="Book Antiqua" w:eastAsia="Book Antiqua"/>
          <w:color w:val="000000"/>
          <w:u w:color="000000"/>
          <w:vertAlign w:val="superscript"/>
          <w:rtl w:val="0"/>
        </w:rPr>
        <w:footnoteReference w:id="178"/>
      </w:r>
      <w:r>
        <w:rPr>
          <w:rFonts w:ascii="Book Antiqua"/>
          <w:color w:val="000000"/>
          <w:u w:color="000000"/>
          <w:rtl w:val="0"/>
          <w:lang w:val="it-IT"/>
        </w:rPr>
        <w:t xml:space="preserve">, qualificata come </w:t>
      </w:r>
      <w:r>
        <w:rPr>
          <w:rFonts w:hAnsi="Book Antiqua" w:hint="default"/>
          <w:color w:val="000000"/>
          <w:u w:color="000000"/>
          <w:rtl w:val="0"/>
          <w:lang w:val="it-IT"/>
        </w:rPr>
        <w:t>“</w:t>
      </w:r>
      <w:r>
        <w:rPr>
          <w:rFonts w:ascii="Book Antiqua"/>
          <w:color w:val="000000"/>
          <w:u w:color="000000"/>
          <w:rtl w:val="0"/>
          <w:lang w:val="it-IT"/>
        </w:rPr>
        <w:t>associazione di stampo mafioso operante su Roma e nel Lazio, che si avvale della forza di intimidazione derivante dal vincolo associativo e della condizione di assoggettamento e di omert</w:t>
      </w:r>
      <w:r>
        <w:rPr>
          <w:rFonts w:hAnsi="Book Antiqua" w:hint="default"/>
          <w:color w:val="000000"/>
          <w:u w:color="000000"/>
          <w:rtl w:val="0"/>
          <w:lang w:val="it-IT"/>
        </w:rPr>
        <w:t xml:space="preserve">à </w:t>
      </w:r>
      <w:r>
        <w:rPr>
          <w:rFonts w:ascii="Book Antiqua"/>
          <w:color w:val="000000"/>
          <w:u w:color="000000"/>
          <w:rtl w:val="0"/>
          <w:lang w:val="it-IT"/>
        </w:rPr>
        <w:t>che ne deriva per commettere delitti di estorsione, di usura, di riciclaggio, di corruzione di pubblici ufficiali e per acquisire in modo diretto o indiretto la gestione e il controllo di attivit</w:t>
      </w:r>
      <w:r>
        <w:rPr>
          <w:rFonts w:hAnsi="Book Antiqua" w:hint="default"/>
          <w:color w:val="000000"/>
          <w:u w:color="000000"/>
          <w:rtl w:val="0"/>
          <w:lang w:val="it-IT"/>
        </w:rPr>
        <w:t xml:space="preserve">à </w:t>
      </w:r>
      <w:r>
        <w:rPr>
          <w:rFonts w:ascii="Book Antiqua"/>
          <w:color w:val="000000"/>
          <w:u w:color="000000"/>
          <w:rtl w:val="0"/>
          <w:lang w:val="it-IT"/>
        </w:rPr>
        <w:t>economiche, di concessioni, autorizzazioni, appalti e servizi pubblici.</w:t>
      </w:r>
      <w:r>
        <w:rPr>
          <w:rFonts w:hAnsi="Book Antiqua" w:hint="default"/>
          <w:color w:val="000000"/>
          <w:u w:color="000000"/>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Una seconda ordinanza applicativa di misure cautelari personali, fondata sulla medesima ipotesi associativa ma con la contestazione di ulteriori reati-fine, veniva emessa dal giudice per le indagini preliminari del tribunale di Roma il 29 maggio 2015.</w:t>
      </w:r>
    </w:p>
    <w:p>
      <w:pPr>
        <w:pStyle w:val="Normal"/>
        <w:ind w:left="567" w:right="567" w:firstLine="0"/>
        <w:jc w:val="both"/>
        <w:rPr>
          <w:rFonts w:ascii="Book Antiqua" w:cs="Book Antiqua" w:hAnsi="Book Antiqua" w:eastAsia="Book Antiqua"/>
        </w:rPr>
      </w:pPr>
      <w:r>
        <w:rPr>
          <w:rFonts w:ascii="Book Antiqua"/>
          <w:rtl w:val="0"/>
          <w:lang w:val="it-IT"/>
        </w:rPr>
        <w:t>Di rilievo per l</w:t>
      </w:r>
      <w:r>
        <w:rPr>
          <w:rFonts w:hAnsi="Book Antiqua" w:hint="default"/>
          <w:rtl w:val="0"/>
          <w:lang w:val="it-IT"/>
        </w:rPr>
        <w:t>’</w:t>
      </w:r>
      <w:r>
        <w:rPr>
          <w:rFonts w:ascii="Book Antiqua"/>
          <w:rtl w:val="0"/>
          <w:lang w:val="it-IT"/>
        </w:rPr>
        <w:t>oggetto di indagine della Commissione l</w:t>
      </w:r>
      <w:r>
        <w:rPr>
          <w:rFonts w:hAnsi="Book Antiqua" w:hint="default"/>
          <w:rtl w:val="0"/>
          <w:lang w:val="it-IT"/>
        </w:rPr>
        <w:t>’</w:t>
      </w:r>
      <w:r>
        <w:rPr>
          <w:rFonts w:ascii="Book Antiqua"/>
          <w:rtl w:val="0"/>
          <w:lang w:val="it-IT"/>
        </w:rPr>
        <w:t>addebito provvisorio come di seguito formulato:</w:t>
      </w:r>
    </w:p>
    <w:p>
      <w:pPr>
        <w:pStyle w:val="Normal"/>
        <w:shd w:val="clear" w:color="auto" w:fill="ffffff"/>
        <w:ind w:left="567" w:right="567" w:firstLine="0"/>
        <w:jc w:val="both"/>
        <w:rPr>
          <w:rFonts w:ascii="Book Antiqua" w:cs="Book Antiqua" w:hAnsi="Book Antiqua" w:eastAsia="Book Antiqua"/>
          <w:sz w:val="20"/>
          <w:szCs w:val="20"/>
        </w:rPr>
      </w:pPr>
      <w:r>
        <w:rPr>
          <w:rFonts w:hAnsi="Book Antiqua" w:hint="default"/>
          <w:rtl w:val="0"/>
          <w:lang w:val="it-IT"/>
        </w:rPr>
        <w:t>“</w:t>
      </w:r>
      <w:r>
        <w:rPr>
          <w:rFonts w:ascii="Book Antiqua"/>
          <w:rtl w:val="0"/>
          <w:lang w:val="it-IT"/>
        </w:rPr>
        <w:t>Carminati, Buzzi, Coratti, Figurelli, Di Ninno, Cerrito, Garrone, Bolla</w:t>
      </w:r>
      <w:r>
        <w:rPr>
          <w:rFonts w:ascii="Book Antiqua" w:cs="Book Antiqua" w:hAnsi="Book Antiqua" w:eastAsia="Book Antiqua"/>
          <w:vertAlign w:val="superscript"/>
          <w:rtl w:val="0"/>
        </w:rPr>
        <w:footnoteReference w:id="179"/>
      </w:r>
      <w:r>
        <w:rPr>
          <w:rFonts w:ascii="Book Antiqua"/>
          <w:rtl w:val="0"/>
          <w:lang w:val="it-IT"/>
        </w:rPr>
        <w:t xml:space="preserve">: </w:t>
      </w:r>
    </w:p>
    <w:p>
      <w:pPr>
        <w:pStyle w:val="Normal"/>
        <w:shd w:val="clear" w:color="auto" w:fill="ffffff"/>
        <w:ind w:left="567" w:right="567" w:firstLine="0"/>
        <w:jc w:val="both"/>
        <w:rPr>
          <w:rFonts w:ascii="Book Antiqua" w:cs="Book Antiqua" w:hAnsi="Book Antiqua" w:eastAsia="Book Antiqua"/>
          <w:sz w:val="20"/>
          <w:szCs w:val="20"/>
        </w:rPr>
      </w:pPr>
      <w:r>
        <w:rPr>
          <w:rFonts w:ascii="Book Antiqua"/>
          <w:rtl w:val="0"/>
          <w:lang w:val="it-IT"/>
        </w:rPr>
        <w:t>2) del reato di cui agli articoli 81 capoverso,110, 318 e 319 del codice penale, 7 D. L. 13 maggio 1991, n. 152, convertito nella legge 12 luglio 1991, n. 203 perch</w:t>
      </w:r>
      <w:r>
        <w:rPr>
          <w:rFonts w:hAnsi="Book Antiqua" w:hint="default"/>
          <w:rtl w:val="0"/>
          <w:lang w:val="it-IT"/>
        </w:rPr>
        <w:t>é</w:t>
      </w:r>
      <w:r>
        <w:rPr>
          <w:rFonts w:ascii="Book Antiqua"/>
          <w:rtl w:val="0"/>
          <w:lang w:val="it-IT"/>
        </w:rPr>
        <w:t xml:space="preserve"> Coratti nella sua qualit</w:t>
      </w:r>
      <w:r>
        <w:rPr>
          <w:rFonts w:hAnsi="Book Antiqua" w:hint="default"/>
          <w:rtl w:val="0"/>
          <w:lang w:val="it-IT"/>
        </w:rPr>
        <w:t xml:space="preserve">à̀ </w:t>
      </w:r>
      <w:r>
        <w:rPr>
          <w:rFonts w:ascii="Book Antiqua"/>
          <w:rtl w:val="0"/>
          <w:lang w:val="it-IT"/>
        </w:rPr>
        <w:t>di Presidente dell</w:t>
      </w:r>
      <w:r>
        <w:rPr>
          <w:rFonts w:hAnsi="Book Antiqua" w:hint="default"/>
          <w:rtl w:val="0"/>
          <w:lang w:val="it-IT"/>
        </w:rPr>
        <w:t>’</w:t>
      </w:r>
      <w:r>
        <w:rPr>
          <w:rFonts w:ascii="Book Antiqua"/>
          <w:rtl w:val="0"/>
          <w:lang w:val="it-IT"/>
        </w:rPr>
        <w:t xml:space="preserve">assemblea del Consiglio comunale di Roma </w:t>
      </w:r>
      <w:r>
        <w:rPr>
          <w:rFonts w:hAnsi="Book Antiqua" w:hint="default"/>
          <w:rtl w:val="0"/>
          <w:lang w:val="it-IT"/>
        </w:rPr>
        <w:t xml:space="preserve">– </w:t>
      </w:r>
      <w:r>
        <w:rPr>
          <w:rFonts w:ascii="Book Antiqua"/>
          <w:rtl w:val="0"/>
          <w:lang w:val="it-IT"/>
        </w:rPr>
        <w:t>in concorso con Franco Figurelli, appartenente alla sua segreteria - dunque pubblico ufficiale, per porre la sua funzione di consigliere comunale e di Presidente dell</w:t>
      </w:r>
      <w:r>
        <w:rPr>
          <w:rFonts w:hAnsi="Book Antiqua" w:hint="default"/>
          <w:rtl w:val="0"/>
          <w:lang w:val="it-IT"/>
        </w:rPr>
        <w:t>’</w:t>
      </w:r>
      <w:r>
        <w:rPr>
          <w:rFonts w:ascii="Book Antiqua"/>
          <w:rtl w:val="0"/>
          <w:lang w:val="it-IT"/>
        </w:rPr>
        <w:t>assemblea comunale al servizio dei soggetti economici riconducibili al gruppo di Buzzi nonch</w:t>
      </w:r>
      <w:r>
        <w:rPr>
          <w:rFonts w:hAnsi="Book Antiqua" w:hint="default"/>
          <w:rtl w:val="0"/>
          <w:lang w:val="it-IT"/>
        </w:rPr>
        <w:t>é</w:t>
      </w:r>
      <w:r>
        <w:rPr>
          <w:rFonts w:ascii="Book Antiqua"/>
          <w:rtl w:val="0"/>
          <w:lang w:val="it-IT"/>
        </w:rPr>
        <w:t xml:space="preserve"> nel porre in essere specifici atti contrari ai doveri del suo ufficio, consistenti anche nel: </w:t>
      </w:r>
    </w:p>
    <w:p>
      <w:pPr>
        <w:pStyle w:val="Normal"/>
        <w:shd w:val="clear" w:color="auto" w:fill="ffffff"/>
        <w:ind w:left="567" w:right="567" w:firstLine="0"/>
        <w:jc w:val="both"/>
        <w:rPr>
          <w:rFonts w:ascii="Book Antiqua" w:cs="Book Antiqua" w:hAnsi="Book Antiqua" w:eastAsia="Book Antiqua"/>
          <w:sz w:val="20"/>
          <w:szCs w:val="20"/>
        </w:rPr>
      </w:pPr>
      <w:r>
        <w:rPr>
          <w:rFonts w:ascii="Book Antiqua"/>
          <w:rtl w:val="0"/>
          <w:lang w:val="it-IT"/>
        </w:rPr>
        <w:t>facilitare sul piano politico-istituzionale l</w:t>
      </w:r>
      <w:r>
        <w:rPr>
          <w:rFonts w:hAnsi="Book Antiqua" w:hint="default"/>
          <w:rtl w:val="0"/>
          <w:lang w:val="it-IT"/>
        </w:rPr>
        <w:t>’</w:t>
      </w:r>
      <w:r>
        <w:rPr>
          <w:rFonts w:ascii="Book Antiqua"/>
          <w:rtl w:val="0"/>
          <w:lang w:val="it-IT"/>
        </w:rPr>
        <w:t xml:space="preserve">aggiudicazione di gare indette da AMA a soggetti economici del gruppo di Buzzi, tra le altre la gara n. 30/2013 riguardante la raccolta del multimateriale; </w:t>
      </w:r>
    </w:p>
    <w:p>
      <w:pPr>
        <w:pStyle w:val="Normal"/>
        <w:shd w:val="clear" w:color="auto" w:fill="ffffff"/>
        <w:ind w:left="567" w:right="567" w:firstLine="0"/>
        <w:jc w:val="both"/>
        <w:rPr>
          <w:rFonts w:ascii="Book Antiqua" w:cs="Book Antiqua" w:hAnsi="Book Antiqua" w:eastAsia="Book Antiqua"/>
        </w:rPr>
      </w:pPr>
      <w:r>
        <w:rPr>
          <w:rFonts w:ascii="Book Antiqua"/>
          <w:rtl w:val="0"/>
          <w:lang w:val="it-IT"/>
        </w:rPr>
        <w:t>concorrere alla formazione del consenso politico e istituzionale necessario alla conferma nella qualit</w:t>
      </w:r>
      <w:r>
        <w:rPr>
          <w:rFonts w:hAnsi="Book Antiqua" w:hint="default"/>
          <w:rtl w:val="0"/>
          <w:lang w:val="it-IT"/>
        </w:rPr>
        <w:t>à</w:t>
      </w:r>
      <w:r>
        <w:rPr>
          <w:rFonts w:ascii="Book Antiqua"/>
          <w:rtl w:val="0"/>
          <w:lang w:val="it-IT"/>
        </w:rPr>
        <w:t xml:space="preserve"> di DG di AMA S.p.A., controllata da Roma Capitale, Fiscon, a fronte di una iniziativa dei vertici dell</w:t>
      </w:r>
      <w:r>
        <w:rPr>
          <w:rFonts w:hAnsi="Book Antiqua" w:hint="default"/>
          <w:rtl w:val="0"/>
          <w:lang w:val="it-IT"/>
        </w:rPr>
        <w:t>’</w:t>
      </w:r>
      <w:r>
        <w:rPr>
          <w:rFonts w:ascii="Book Antiqua"/>
          <w:rtl w:val="0"/>
          <w:lang w:val="it-IT"/>
        </w:rPr>
        <w:t>amministrazione intesa alla sua sostituzione [</w:t>
      </w:r>
      <w:r>
        <w:rPr>
          <w:rFonts w:hAnsi="Book Antiqua" w:hint="default"/>
          <w:rtl w:val="0"/>
          <w:lang w:val="it-IT"/>
        </w:rPr>
        <w:t>…</w:t>
      </w:r>
      <w:r>
        <w:rPr>
          <w:rFonts w:ascii="Book Antiqua"/>
          <w:rtl w:val="0"/>
          <w:lang w:val="it-IT"/>
        </w:rPr>
        <w:t>]</w:t>
      </w:r>
      <w:r>
        <w:rPr>
          <w:rFonts w:hAnsi="Book Antiqua" w:hint="default"/>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L</w:t>
      </w:r>
      <w:r>
        <w:rPr>
          <w:rFonts w:hAnsi="Book Antiqua" w:hint="default"/>
          <w:rtl w:val="0"/>
          <w:lang w:val="it-IT"/>
        </w:rPr>
        <w:t>’</w:t>
      </w:r>
      <w:r>
        <w:rPr>
          <w:rFonts w:ascii="Book Antiqua"/>
          <w:rtl w:val="0"/>
          <w:lang w:val="it-IT"/>
        </w:rPr>
        <w:t xml:space="preserve">azione penale </w:t>
      </w:r>
      <w:r>
        <w:rPr>
          <w:rFonts w:hAnsi="Book Antiqua" w:hint="default"/>
          <w:rtl w:val="0"/>
          <w:lang w:val="it-IT"/>
        </w:rPr>
        <w:t xml:space="preserve">è </w:t>
      </w:r>
      <w:r>
        <w:rPr>
          <w:rFonts w:ascii="Book Antiqua"/>
          <w:rtl w:val="0"/>
          <w:lang w:val="it-IT"/>
        </w:rPr>
        <w:t>stata esercitata dalla procura della Repubblica di Roma con richiesta di giudizio immediato a carico di trentaquattro imputati, tutti all</w:t>
      </w:r>
      <w:r>
        <w:rPr>
          <w:rFonts w:hAnsi="Book Antiqua" w:hint="default"/>
          <w:rtl w:val="0"/>
          <w:lang w:val="it-IT"/>
        </w:rPr>
        <w:t>’</w:t>
      </w:r>
      <w:r>
        <w:rPr>
          <w:rFonts w:ascii="Book Antiqua"/>
          <w:rtl w:val="0"/>
          <w:lang w:val="it-IT"/>
        </w:rPr>
        <w:t>epoca detenuti.</w:t>
      </w:r>
    </w:p>
    <w:p>
      <w:pPr>
        <w:pStyle w:val="Normal"/>
        <w:ind w:left="567" w:right="567" w:firstLine="0"/>
        <w:jc w:val="both"/>
        <w:rPr>
          <w:rFonts w:ascii="Book Antiqua" w:cs="Book Antiqua" w:hAnsi="Book Antiqua" w:eastAsia="Book Antiqua"/>
        </w:rPr>
      </w:pPr>
      <w:r>
        <w:rPr>
          <w:rFonts w:ascii="Book Antiqua"/>
          <w:rtl w:val="0"/>
          <w:lang w:val="it-IT"/>
        </w:rPr>
        <w:t>Il giudice per le indagini preliminari ha emesso il decreto di giudizio immediato il 29 maggio 2015.</w:t>
      </w:r>
    </w:p>
    <w:p>
      <w:pPr>
        <w:pStyle w:val="Normal"/>
        <w:ind w:left="567" w:right="567" w:firstLine="0"/>
        <w:jc w:val="both"/>
        <w:rPr>
          <w:rFonts w:ascii="Book Antiqua" w:cs="Book Antiqua" w:hAnsi="Book Antiqua" w:eastAsia="Book Antiqua"/>
        </w:rPr>
      </w:pPr>
      <w:r>
        <w:rPr>
          <w:rFonts w:ascii="Book Antiqua"/>
          <w:rtl w:val="0"/>
          <w:lang w:val="it-IT"/>
        </w:rPr>
        <w:t xml:space="preserve">La prima udienza avanti il tribunale di Roma in composizione collegiale </w:t>
      </w:r>
      <w:r>
        <w:rPr>
          <w:rFonts w:hAnsi="Book Antiqua" w:hint="default"/>
          <w:rtl w:val="0"/>
          <w:lang w:val="it-IT"/>
        </w:rPr>
        <w:t xml:space="preserve">è </w:t>
      </w:r>
      <w:r>
        <w:rPr>
          <w:rFonts w:ascii="Book Antiqua"/>
          <w:rtl w:val="0"/>
          <w:lang w:val="it-IT"/>
        </w:rPr>
        <w:t xml:space="preserve">stata fissata per il 5 novembre 2015 </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A proposito della fase cautelare va specificato che le indagini della procura della Repubblica di Roma offrivano al giudice per le indagini preliminari elementi indiziari e cristallizzati in base alle indagini gi</w:t>
      </w:r>
      <w:r>
        <w:rPr>
          <w:rFonts w:hAnsi="Book Antiqua" w:hint="default"/>
          <w:color w:val="000000"/>
          <w:u w:color="000000"/>
          <w:rtl w:val="0"/>
          <w:lang w:val="it-IT"/>
        </w:rPr>
        <w:t xml:space="preserve">à </w:t>
      </w:r>
      <w:r>
        <w:rPr>
          <w:rFonts w:ascii="Book Antiqua"/>
          <w:color w:val="000000"/>
          <w:u w:color="000000"/>
          <w:rtl w:val="0"/>
          <w:lang w:val="it-IT"/>
        </w:rPr>
        <w:t>svolte, i quali, nell</w:t>
      </w:r>
      <w:r>
        <w:rPr>
          <w:rFonts w:hAnsi="Book Antiqua" w:hint="default"/>
          <w:color w:val="000000"/>
          <w:u w:color="000000"/>
          <w:rtl w:val="0"/>
          <w:lang w:val="it-IT"/>
        </w:rPr>
        <w:t>’</w:t>
      </w:r>
      <w:r>
        <w:rPr>
          <w:rFonts w:ascii="Book Antiqua"/>
          <w:color w:val="000000"/>
          <w:u w:color="000000"/>
          <w:rtl w:val="0"/>
          <w:lang w:val="it-IT"/>
        </w:rPr>
        <w:t>ambito del processo penale conclusosi in primo grado avanti il tribunale di Roma il 20 luglio 2017</w:t>
      </w:r>
      <w:r>
        <w:rPr>
          <w:rFonts w:ascii="Book Antiqua" w:cs="Book Antiqua" w:hAnsi="Book Antiqua" w:eastAsia="Book Antiqua"/>
          <w:color w:val="000000"/>
          <w:u w:color="000000"/>
          <w:vertAlign w:val="superscript"/>
          <w:rtl w:val="0"/>
        </w:rPr>
        <w:footnoteReference w:id="180"/>
      </w:r>
      <w:r>
        <w:rPr>
          <w:rFonts w:ascii="Book Antiqua"/>
          <w:color w:val="000000"/>
          <w:u w:color="000000"/>
          <w:rtl w:val="0"/>
          <w:lang w:val="it-IT"/>
        </w:rPr>
        <w:t>, sono stati oggetto di riduzione nella qualificazione giuridica dei fatti, in particolare con l</w:t>
      </w:r>
      <w:r>
        <w:rPr>
          <w:rFonts w:hAnsi="Book Antiqua" w:hint="default"/>
          <w:color w:val="000000"/>
          <w:u w:color="000000"/>
          <w:rtl w:val="0"/>
          <w:lang w:val="it-IT"/>
        </w:rPr>
        <w:t>’</w:t>
      </w:r>
      <w:r>
        <w:rPr>
          <w:rFonts w:ascii="Book Antiqua"/>
          <w:color w:val="000000"/>
          <w:u w:color="000000"/>
          <w:rtl w:val="0"/>
          <w:lang w:val="it-IT"/>
        </w:rPr>
        <w:t>esclusione dell</w:t>
      </w:r>
      <w:r>
        <w:rPr>
          <w:rFonts w:hAnsi="Book Antiqua" w:hint="default"/>
          <w:color w:val="000000"/>
          <w:u w:color="000000"/>
          <w:rtl w:val="0"/>
          <w:lang w:val="it-IT"/>
        </w:rPr>
        <w:t>’</w:t>
      </w:r>
      <w:r>
        <w:rPr>
          <w:rFonts w:ascii="Book Antiqua"/>
          <w:color w:val="000000"/>
          <w:u w:color="000000"/>
          <w:rtl w:val="0"/>
          <w:lang w:val="it-IT"/>
        </w:rPr>
        <w:t>aggravante di cui all</w:t>
      </w:r>
      <w:r>
        <w:rPr>
          <w:rFonts w:hAnsi="Book Antiqua" w:hint="default"/>
          <w:color w:val="000000"/>
          <w:u w:color="000000"/>
          <w:rtl w:val="0"/>
          <w:lang w:val="it-IT"/>
        </w:rPr>
        <w:t>’</w:t>
      </w:r>
      <w:r>
        <w:rPr>
          <w:rFonts w:ascii="Book Antiqua"/>
          <w:color w:val="000000"/>
          <w:u w:color="000000"/>
          <w:rtl w:val="0"/>
          <w:lang w:val="it-IT"/>
        </w:rPr>
        <w:t>articolo 7 della legge 12 luglio 1991, n. 203, e della ricorrenza dell</w:t>
      </w:r>
      <w:r>
        <w:rPr>
          <w:rFonts w:hAnsi="Book Antiqua" w:hint="default"/>
          <w:color w:val="000000"/>
          <w:u w:color="000000"/>
          <w:rtl w:val="0"/>
          <w:lang w:val="it-IT"/>
        </w:rPr>
        <w:t>’</w:t>
      </w:r>
      <w:r>
        <w:rPr>
          <w:rFonts w:ascii="Book Antiqua"/>
          <w:color w:val="000000"/>
          <w:u w:color="000000"/>
          <w:rtl w:val="0"/>
          <w:lang w:val="it-IT"/>
        </w:rPr>
        <w:t>associazione di cui all</w:t>
      </w:r>
      <w:r>
        <w:rPr>
          <w:rFonts w:hAnsi="Book Antiqua" w:hint="default"/>
          <w:color w:val="000000"/>
          <w:u w:color="000000"/>
          <w:rtl w:val="0"/>
          <w:lang w:val="it-IT"/>
        </w:rPr>
        <w:t>’</w:t>
      </w:r>
      <w:r>
        <w:rPr>
          <w:rFonts w:ascii="Book Antiqua"/>
          <w:color w:val="000000"/>
          <w:u w:color="000000"/>
          <w:rtl w:val="0"/>
          <w:lang w:val="it-IT"/>
        </w:rPr>
        <w:t>articolo 416-bis del codice penale</w:t>
      </w:r>
      <w:r>
        <w:rPr>
          <w:rFonts w:ascii="Book Antiqua" w:cs="Book Antiqua" w:hAnsi="Book Antiqua" w:eastAsia="Book Antiqua"/>
          <w:color w:val="000000"/>
          <w:u w:color="000000"/>
          <w:vertAlign w:val="superscript"/>
          <w:rtl w:val="0"/>
        </w:rPr>
        <w:footnoteReference w:id="181"/>
      </w:r>
      <w:r>
        <w:rPr>
          <w:rFonts w:ascii="Book Antiqua"/>
          <w:color w:val="000000"/>
          <w:u w:color="000000"/>
          <w:rtl w:val="0"/>
          <w:lang w:val="it-IT"/>
        </w:rPr>
        <w:t xml:space="preserve">. </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Tuttavia, nella prospettiva della Commissione, di ricostruzione di fenomeni generali, il contenuto degli atti di indagine di cui di seguito si dar</w:t>
      </w:r>
      <w:r>
        <w:rPr>
          <w:rFonts w:hAnsi="Book Antiqua" w:hint="default"/>
          <w:color w:val="000000"/>
          <w:u w:color="000000"/>
          <w:rtl w:val="0"/>
          <w:lang w:val="it-IT"/>
        </w:rPr>
        <w:t xml:space="preserve">à </w:t>
      </w:r>
      <w:r>
        <w:rPr>
          <w:rFonts w:ascii="Book Antiqua"/>
          <w:color w:val="000000"/>
          <w:u w:color="000000"/>
          <w:rtl w:val="0"/>
          <w:lang w:val="it-IT"/>
        </w:rPr>
        <w:t>conto</w:t>
      </w:r>
      <w:r>
        <w:rPr>
          <w:rFonts w:hAnsi="Book Antiqua" w:hint="default"/>
          <w:color w:val="000000"/>
          <w:u w:color="000000"/>
          <w:rtl w:val="0"/>
          <w:lang w:val="it-IT"/>
        </w:rPr>
        <w:t xml:space="preserve"> è </w:t>
      </w:r>
      <w:r>
        <w:rPr>
          <w:rFonts w:ascii="Book Antiqua"/>
          <w:color w:val="000000"/>
          <w:u w:color="000000"/>
          <w:rtl w:val="0"/>
          <w:lang w:val="it-IT"/>
        </w:rPr>
        <w:t>di per s</w:t>
      </w:r>
      <w:r>
        <w:rPr>
          <w:rFonts w:hAnsi="Book Antiqua" w:hint="default"/>
          <w:color w:val="000000"/>
          <w:u w:color="000000"/>
          <w:rtl w:val="0"/>
          <w:lang w:val="it-IT"/>
        </w:rPr>
        <w:t xml:space="preserve">é </w:t>
      </w:r>
      <w:r>
        <w:rPr>
          <w:rFonts w:ascii="Book Antiqua"/>
          <w:color w:val="000000"/>
          <w:u w:color="000000"/>
          <w:rtl w:val="0"/>
          <w:lang w:val="it-IT"/>
        </w:rPr>
        <w:t xml:space="preserve">significativo nel rivelare come il ciclo dei rifiuti costituisse </w:t>
      </w:r>
      <w:r>
        <w:rPr>
          <w:rFonts w:hAnsi="Book Antiqua" w:hint="default"/>
          <w:color w:val="000000"/>
          <w:u w:color="000000"/>
          <w:rtl w:val="0"/>
          <w:lang w:val="it-IT"/>
        </w:rPr>
        <w:t xml:space="preserve">– </w:t>
      </w:r>
      <w:r>
        <w:rPr>
          <w:rFonts w:ascii="Book Antiqua"/>
          <w:color w:val="000000"/>
          <w:u w:color="000000"/>
          <w:rtl w:val="0"/>
          <w:lang w:val="it-IT"/>
        </w:rPr>
        <w:t xml:space="preserve">in un quadro di debolezza programmatoria e gestionale </w:t>
      </w:r>
      <w:r>
        <w:rPr>
          <w:rFonts w:hAnsi="Book Antiqua" w:hint="default"/>
          <w:color w:val="000000"/>
          <w:u w:color="000000"/>
          <w:rtl w:val="0"/>
          <w:lang w:val="it-IT"/>
        </w:rPr>
        <w:t xml:space="preserve">– </w:t>
      </w:r>
      <w:r>
        <w:rPr>
          <w:rFonts w:ascii="Book Antiqua"/>
          <w:color w:val="000000"/>
          <w:u w:color="000000"/>
          <w:rtl w:val="0"/>
          <w:lang w:val="it-IT"/>
        </w:rPr>
        <w:t>un campo di possibile interesse per attivit</w:t>
      </w:r>
      <w:r>
        <w:rPr>
          <w:rFonts w:hAnsi="Book Antiqua" w:hint="default"/>
          <w:color w:val="000000"/>
          <w:u w:color="000000"/>
          <w:rtl w:val="0"/>
          <w:lang w:val="it-IT"/>
        </w:rPr>
        <w:t xml:space="preserve">à </w:t>
      </w:r>
      <w:r>
        <w:rPr>
          <w:rFonts w:ascii="Book Antiqua"/>
          <w:color w:val="000000"/>
          <w:u w:color="000000"/>
          <w:rtl w:val="0"/>
          <w:lang w:val="it-IT"/>
        </w:rPr>
        <w:t>illecite strutturate.</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Nella fase cautelare i fatti di rilevanza penale erano, oltre al delitto associativo, contestati in numero di trentaquattro addebiti provvisori.</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Si trattava di: sette estorsioni o tentate estorsioni; un fatto di usura; otto violazioni di norme di prevenzione patrimoniale; sette fatti di corruzione; sei turbative d</w:t>
      </w:r>
      <w:r>
        <w:rPr>
          <w:rFonts w:hAnsi="Book Antiqua" w:hint="default"/>
          <w:color w:val="000000"/>
          <w:u w:color="000000"/>
          <w:rtl w:val="0"/>
          <w:lang w:val="it-IT"/>
        </w:rPr>
        <w:t>’</w:t>
      </w:r>
      <w:r>
        <w:rPr>
          <w:rFonts w:ascii="Book Antiqua"/>
          <w:color w:val="000000"/>
          <w:u w:color="000000"/>
          <w:rtl w:val="0"/>
          <w:lang w:val="it-IT"/>
        </w:rPr>
        <w:t>asta, una delle quali connessa a rivelazione di segreti di ufficio; tre reati fiscali; un fatto di riciclaggio; un favoreggiamento personale.</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Pu</w:t>
      </w:r>
      <w:r>
        <w:rPr>
          <w:rFonts w:hAnsi="Book Antiqua" w:hint="default"/>
          <w:color w:val="000000"/>
          <w:u w:color="000000"/>
          <w:rtl w:val="0"/>
          <w:lang w:val="it-IT"/>
        </w:rPr>
        <w:t xml:space="preserve">ò </w:t>
      </w:r>
      <w:r>
        <w:rPr>
          <w:rFonts w:ascii="Book Antiqua"/>
          <w:color w:val="000000"/>
          <w:u w:color="000000"/>
          <w:rtl w:val="0"/>
          <w:lang w:val="it-IT"/>
        </w:rPr>
        <w:t>essere opportuno evidenziare gli spunti di interesse per la Commissione in maniera indipendente dalle indagini e dagli esiti giudiziari, valorizzando progressivamente, a partire da queste prime considerazioni, le modalit</w:t>
      </w:r>
      <w:r>
        <w:rPr>
          <w:rFonts w:hAnsi="Book Antiqua" w:hint="default"/>
          <w:color w:val="000000"/>
          <w:u w:color="000000"/>
          <w:rtl w:val="0"/>
          <w:lang w:val="it-IT"/>
        </w:rPr>
        <w:t xml:space="preserve">à </w:t>
      </w:r>
      <w:r>
        <w:rPr>
          <w:rFonts w:ascii="Book Antiqua"/>
          <w:color w:val="000000"/>
          <w:u w:color="000000"/>
          <w:rtl w:val="0"/>
          <w:lang w:val="it-IT"/>
        </w:rPr>
        <w:t>con cui un</w:t>
      </w:r>
      <w:r>
        <w:rPr>
          <w:rFonts w:hAnsi="Book Antiqua" w:hint="default"/>
          <w:color w:val="000000"/>
          <w:u w:color="000000"/>
          <w:rtl w:val="0"/>
          <w:lang w:val="it-IT"/>
        </w:rPr>
        <w:t>’</w:t>
      </w:r>
      <w:r>
        <w:rPr>
          <w:rFonts w:ascii="Book Antiqua"/>
          <w:color w:val="000000"/>
          <w:u w:color="000000"/>
          <w:rtl w:val="0"/>
          <w:lang w:val="it-IT"/>
        </w:rPr>
        <w:t>associazione per delinquere si ritiene abbia potuto inserirsi [anche]</w:t>
      </w:r>
      <w:r>
        <w:rPr>
          <w:rFonts w:hAnsi="Book Antiqua" w:hint="default"/>
          <w:color w:val="000000"/>
          <w:u w:color="000000"/>
          <w:rtl w:val="0"/>
          <w:lang w:val="it-IT"/>
        </w:rPr>
        <w:t> </w:t>
      </w:r>
      <w:r>
        <w:rPr>
          <w:rFonts w:ascii="Book Antiqua"/>
          <w:color w:val="000000"/>
          <w:u w:color="000000"/>
          <w:rtl w:val="0"/>
          <w:lang w:val="it-IT"/>
        </w:rPr>
        <w:t>nel ciclo dei rifiuti.</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L</w:t>
      </w:r>
      <w:r>
        <w:rPr>
          <w:rFonts w:hAnsi="Book Antiqua" w:hint="default"/>
          <w:color w:val="000000"/>
          <w:u w:color="000000"/>
          <w:rtl w:val="0"/>
          <w:lang w:val="it-IT"/>
        </w:rPr>
        <w:t>’</w:t>
      </w:r>
      <w:r>
        <w:rPr>
          <w:rFonts w:ascii="Book Antiqua"/>
          <w:color w:val="000000"/>
          <w:u w:color="000000"/>
          <w:rtl w:val="0"/>
          <w:lang w:val="it-IT"/>
        </w:rPr>
        <w:t>associazione criminale, in base a quanto emerge dalle indagini, era contenuto nella richiesta della procura della Repubblica, recepito nell</w:t>
      </w:r>
      <w:r>
        <w:rPr>
          <w:rFonts w:hAnsi="Book Antiqua" w:hint="default"/>
          <w:color w:val="000000"/>
          <w:u w:color="000000"/>
          <w:rtl w:val="0"/>
          <w:lang w:val="it-IT"/>
        </w:rPr>
        <w:t>’</w:t>
      </w:r>
      <w:r>
        <w:rPr>
          <w:rFonts w:ascii="Book Antiqua"/>
          <w:color w:val="000000"/>
          <w:u w:color="000000"/>
          <w:rtl w:val="0"/>
          <w:lang w:val="it-IT"/>
        </w:rPr>
        <w:t xml:space="preserve">ordinanza e in effetti non smentito nella sentenza di primo grado, era caratterizzata da una </w:t>
      </w:r>
      <w:r>
        <w:rPr>
          <w:rFonts w:hAnsi="Book Antiqua" w:hint="default"/>
          <w:color w:val="000000"/>
          <w:u w:color="000000"/>
          <w:rtl w:val="0"/>
          <w:lang w:val="it-IT"/>
        </w:rPr>
        <w:t>“</w:t>
      </w:r>
      <w:r>
        <w:rPr>
          <w:rFonts w:ascii="Book Antiqua"/>
          <w:color w:val="000000"/>
          <w:u w:color="000000"/>
          <w:rtl w:val="0"/>
          <w:lang w:val="it-IT"/>
        </w:rPr>
        <w:t>struttura organizzativa a reticolo o a raggiera</w:t>
      </w:r>
      <w:r>
        <w:rPr>
          <w:rFonts w:hAnsi="Book Antiqua" w:hint="default"/>
          <w:color w:val="000000"/>
          <w:u w:color="000000"/>
          <w:rtl w:val="0"/>
          <w:lang w:val="it-IT"/>
        </w:rPr>
        <w:t>”</w:t>
      </w:r>
      <w:r>
        <w:rPr>
          <w:rFonts w:ascii="Book Antiqua"/>
          <w:color w:val="000000"/>
          <w:u w:color="000000"/>
          <w:rtl w:val="0"/>
          <w:lang w:val="it-IT"/>
        </w:rPr>
        <w:t xml:space="preserve">. </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I diversi settori di operativit</w:t>
      </w:r>
      <w:r>
        <w:rPr>
          <w:rFonts w:hAnsi="Book Antiqua" w:hint="default"/>
          <w:color w:val="000000"/>
          <w:u w:color="000000"/>
          <w:rtl w:val="0"/>
          <w:lang w:val="it-IT"/>
        </w:rPr>
        <w:t xml:space="preserve">à </w:t>
      </w:r>
      <w:r>
        <w:rPr>
          <w:rFonts w:ascii="Book Antiqua"/>
          <w:color w:val="000000"/>
          <w:u w:color="000000"/>
          <w:rtl w:val="0"/>
          <w:lang w:val="it-IT"/>
        </w:rPr>
        <w:t>dell</w:t>
      </w:r>
      <w:r>
        <w:rPr>
          <w:rFonts w:hAnsi="Book Antiqua" w:hint="default"/>
          <w:color w:val="000000"/>
          <w:u w:color="000000"/>
          <w:rtl w:val="0"/>
          <w:lang w:val="it-IT"/>
        </w:rPr>
        <w:t>’</w:t>
      </w:r>
      <w:r>
        <w:rPr>
          <w:rFonts w:ascii="Book Antiqua"/>
          <w:color w:val="000000"/>
          <w:u w:color="000000"/>
          <w:rtl w:val="0"/>
          <w:lang w:val="it-IT"/>
        </w:rPr>
        <w:t xml:space="preserve">associazione, sono collocati, come lo stesso indagato Carminati dice, con efficace metafora, ora nel </w:t>
      </w:r>
      <w:r>
        <w:rPr>
          <w:rFonts w:ascii="Book Antiqua"/>
          <w:i w:val="1"/>
          <w:iCs w:val="1"/>
          <w:color w:val="000000"/>
          <w:u w:color="000000"/>
          <w:rtl w:val="0"/>
          <w:lang w:val="it-IT"/>
        </w:rPr>
        <w:t>Mondo di Sopra</w:t>
      </w:r>
      <w:r>
        <w:rPr>
          <w:rFonts w:ascii="Book Antiqua"/>
          <w:color w:val="000000"/>
          <w:u w:color="000000"/>
          <w:rtl w:val="0"/>
          <w:lang w:val="it-IT"/>
        </w:rPr>
        <w:t xml:space="preserve">, ora nel </w:t>
      </w:r>
      <w:r>
        <w:rPr>
          <w:rFonts w:ascii="Book Antiqua"/>
          <w:i w:val="1"/>
          <w:iCs w:val="1"/>
          <w:color w:val="000000"/>
          <w:u w:color="000000"/>
          <w:rtl w:val="0"/>
          <w:lang w:val="it-IT"/>
        </w:rPr>
        <w:t>Mondo di Sotto</w:t>
      </w:r>
      <w:r>
        <w:rPr>
          <w:rFonts w:ascii="Book Antiqua"/>
          <w:color w:val="000000"/>
          <w:u w:color="000000"/>
          <w:rtl w:val="0"/>
          <w:lang w:val="it-IT"/>
        </w:rPr>
        <w:t xml:space="preserve">, ora nel </w:t>
      </w:r>
      <w:r>
        <w:rPr>
          <w:rFonts w:ascii="Book Antiqua"/>
          <w:i w:val="1"/>
          <w:iCs w:val="1"/>
          <w:color w:val="000000"/>
          <w:u w:color="000000"/>
          <w:rtl w:val="0"/>
          <w:lang w:val="it-IT"/>
        </w:rPr>
        <w:t>Mondo di Mezzo</w:t>
      </w:r>
      <w:r>
        <w:rPr>
          <w:rFonts w:ascii="Book Antiqua"/>
          <w:color w:val="000000"/>
          <w:u w:color="000000"/>
          <w:rtl w:val="0"/>
          <w:lang w:val="it-IT"/>
        </w:rPr>
        <w:t>.</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 xml:space="preserve">Detto altrimenti, il </w:t>
      </w:r>
      <w:r>
        <w:rPr>
          <w:rFonts w:ascii="Book Antiqua"/>
          <w:i w:val="1"/>
          <w:iCs w:val="1"/>
          <w:color w:val="000000"/>
          <w:u w:color="000000"/>
          <w:rtl w:val="0"/>
          <w:lang w:val="it-IT"/>
        </w:rPr>
        <w:t>Mondo di Mezzo</w:t>
      </w:r>
      <w:r>
        <w:rPr>
          <w:rFonts w:hAnsi="Book Antiqua" w:hint="default"/>
          <w:color w:val="000000"/>
          <w:u w:color="000000"/>
          <w:rtl w:val="0"/>
          <w:lang w:val="it-IT"/>
        </w:rPr>
        <w:t xml:space="preserve"> è </w:t>
      </w:r>
      <w:r>
        <w:rPr>
          <w:rFonts w:ascii="Book Antiqua"/>
          <w:color w:val="000000"/>
          <w:u w:color="000000"/>
          <w:rtl w:val="0"/>
          <w:lang w:val="it-IT"/>
        </w:rPr>
        <w:t xml:space="preserve">il contesto in cui, per effetto della forza intimidatrice, ma anche </w:t>
      </w:r>
      <w:r>
        <w:rPr>
          <w:rFonts w:hAnsi="Book Antiqua" w:hint="default"/>
          <w:color w:val="000000"/>
          <w:u w:color="000000"/>
          <w:rtl w:val="0"/>
          <w:lang w:val="it-IT"/>
        </w:rPr>
        <w:t>“</w:t>
      </w:r>
      <w:r>
        <w:rPr>
          <w:rFonts w:ascii="Book Antiqua"/>
          <w:color w:val="000000"/>
          <w:u w:color="000000"/>
          <w:rtl w:val="0"/>
          <w:lang w:val="it-IT"/>
        </w:rPr>
        <w:t>di garanzia</w:t>
      </w:r>
      <w:r>
        <w:rPr>
          <w:rFonts w:hAnsi="Book Antiqua" w:hint="default"/>
          <w:color w:val="000000"/>
          <w:u w:color="000000"/>
          <w:rtl w:val="0"/>
          <w:lang w:val="it-IT"/>
        </w:rPr>
        <w:t xml:space="preserve">” </w:t>
      </w:r>
      <w:r>
        <w:rPr>
          <w:rFonts w:ascii="Book Antiqua"/>
          <w:color w:val="000000"/>
          <w:u w:color="000000"/>
          <w:rtl w:val="0"/>
          <w:lang w:val="it-IT"/>
        </w:rPr>
        <w:t xml:space="preserve">degli associati, si realizzano affari e si compongono equilibri illeciti tra il </w:t>
      </w:r>
      <w:r>
        <w:rPr>
          <w:rFonts w:ascii="Book Antiqua"/>
          <w:i w:val="1"/>
          <w:iCs w:val="1"/>
          <w:color w:val="000000"/>
          <w:u w:color="000000"/>
          <w:rtl w:val="0"/>
          <w:lang w:val="it-IT"/>
        </w:rPr>
        <w:t>Mondo di Sopra</w:t>
      </w:r>
      <w:r>
        <w:rPr>
          <w:rFonts w:ascii="Book Antiqua"/>
          <w:color w:val="000000"/>
          <w:u w:color="000000"/>
          <w:rtl w:val="0"/>
          <w:lang w:val="it-IT"/>
        </w:rPr>
        <w:t xml:space="preserve">, fatto di colletti bianchi, e soggetti delle istituzioni, e il </w:t>
      </w:r>
      <w:r>
        <w:rPr>
          <w:rFonts w:ascii="Book Antiqua"/>
          <w:i w:val="1"/>
          <w:iCs w:val="1"/>
          <w:color w:val="000000"/>
          <w:u w:color="000000"/>
          <w:rtl w:val="0"/>
          <w:lang w:val="it-IT"/>
        </w:rPr>
        <w:t>Mondo di Sotto</w:t>
      </w:r>
      <w:r>
        <w:rPr>
          <w:rFonts w:ascii="Book Antiqua"/>
          <w:color w:val="000000"/>
          <w:u w:color="000000"/>
          <w:rtl w:val="0"/>
          <w:lang w:val="it-IT"/>
        </w:rPr>
        <w:t>, fatto di criminali comuni.</w:t>
      </w:r>
    </w:p>
    <w:p>
      <w:pPr>
        <w:pStyle w:val="Normal"/>
        <w:widowControl w:val="0"/>
        <w:tabs>
          <w:tab w:val="left" w:pos="709"/>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Le diverse articolazioni non sono necessariamente comunicanti tra loro, anzi spesso sono volutamente tenute separate, in modo da assicurare ai soli associati del nucleo pi</w:t>
      </w:r>
      <w:r>
        <w:rPr>
          <w:rFonts w:hAnsi="Book Antiqua" w:hint="default"/>
          <w:color w:val="000000"/>
          <w:u w:color="000000"/>
          <w:rtl w:val="0"/>
          <w:lang w:val="it-IT"/>
        </w:rPr>
        <w:t xml:space="preserve">ù </w:t>
      </w:r>
      <w:r>
        <w:rPr>
          <w:rFonts w:ascii="Book Antiqua"/>
          <w:color w:val="000000"/>
          <w:u w:color="000000"/>
          <w:rtl w:val="0"/>
          <w:lang w:val="it-IT"/>
        </w:rPr>
        <w:t>ristretto (individuati in Massimo Carminati, Riccardo Brugia, Fabrizio Franco Testa, Salvatore Buzzi), la conoscenza e il controllo su tutte le attivit</w:t>
      </w:r>
      <w:r>
        <w:rPr>
          <w:rFonts w:hAnsi="Book Antiqua" w:hint="default"/>
          <w:color w:val="000000"/>
          <w:u w:color="000000"/>
          <w:rtl w:val="0"/>
          <w:lang w:val="it-IT"/>
        </w:rPr>
        <w:t xml:space="preserve">à </w:t>
      </w:r>
      <w:r>
        <w:rPr>
          <w:rFonts w:ascii="Book Antiqua"/>
          <w:color w:val="000000"/>
          <w:u w:color="000000"/>
          <w:rtl w:val="0"/>
          <w:lang w:val="it-IT"/>
        </w:rPr>
        <w:t>dell</w:t>
      </w:r>
      <w:r>
        <w:rPr>
          <w:rFonts w:hAnsi="Book Antiqua" w:hint="default"/>
          <w:color w:val="000000"/>
          <w:u w:color="000000"/>
          <w:rtl w:val="0"/>
          <w:lang w:val="it-IT"/>
        </w:rPr>
        <w:t>’</w:t>
      </w:r>
      <w:r>
        <w:rPr>
          <w:rFonts w:ascii="Book Antiqua"/>
          <w:color w:val="000000"/>
          <w:u w:color="000000"/>
          <w:rtl w:val="0"/>
          <w:lang w:val="it-IT"/>
        </w:rPr>
        <w:t>associazione (che l</w:t>
      </w:r>
      <w:r>
        <w:rPr>
          <w:rFonts w:hAnsi="Book Antiqua" w:hint="default"/>
          <w:color w:val="000000"/>
          <w:u w:color="000000"/>
          <w:rtl w:val="0"/>
          <w:lang w:val="it-IT"/>
        </w:rPr>
        <w:t>’</w:t>
      </w:r>
      <w:r>
        <w:rPr>
          <w:rFonts w:ascii="Book Antiqua"/>
          <w:color w:val="000000"/>
          <w:u w:color="000000"/>
          <w:rtl w:val="0"/>
          <w:lang w:val="it-IT"/>
        </w:rPr>
        <w:t xml:space="preserve">ordinanza coerentemente definisce </w:t>
      </w:r>
      <w:r>
        <w:rPr>
          <w:rFonts w:hAnsi="Book Antiqua" w:hint="default"/>
          <w:color w:val="000000"/>
          <w:u w:color="000000"/>
          <w:rtl w:val="0"/>
          <w:lang w:val="it-IT"/>
        </w:rPr>
        <w:t>“</w:t>
      </w:r>
      <w:r>
        <w:rPr>
          <w:rFonts w:ascii="Book Antiqua"/>
          <w:color w:val="000000"/>
          <w:u w:color="000000"/>
          <w:rtl w:val="0"/>
          <w:lang w:val="it-IT"/>
        </w:rPr>
        <w:t>multiformi</w:t>
      </w:r>
      <w:r>
        <w:rPr>
          <w:rFonts w:hAnsi="Book Antiqua" w:hint="default"/>
          <w:color w:val="000000"/>
          <w:u w:color="000000"/>
          <w:rtl w:val="0"/>
          <w:lang w:val="it-IT"/>
        </w:rPr>
        <w:t>”</w:t>
      </w:r>
      <w:r>
        <w:rPr>
          <w:rFonts w:ascii="Book Antiqua"/>
          <w:color w:val="000000"/>
          <w:u w:color="000000"/>
          <w:rtl w:val="0"/>
          <w:lang w:val="it-IT"/>
        </w:rPr>
        <w:t>); costoro avrebbero raggiunto una forza tale da potersi rapportare contemporaneamente, nella realt</w:t>
      </w:r>
      <w:r>
        <w:rPr>
          <w:rFonts w:hAnsi="Book Antiqua" w:hint="default"/>
          <w:color w:val="000000"/>
          <w:u w:color="000000"/>
          <w:rtl w:val="0"/>
          <w:lang w:val="it-IT"/>
        </w:rPr>
        <w:t xml:space="preserve">à </w:t>
      </w:r>
      <w:r>
        <w:rPr>
          <w:rFonts w:ascii="Book Antiqua"/>
          <w:color w:val="000000"/>
          <w:u w:color="000000"/>
          <w:rtl w:val="0"/>
          <w:lang w:val="it-IT"/>
        </w:rPr>
        <w:t xml:space="preserve">romana, con esponenti di alto livello della pubblica amministrazione, con appartenenti ai servizi segreti, con appartenenti alle forze di polizia, con capi delle organizzazioni criminali </w:t>
      </w:r>
      <w:r>
        <w:rPr>
          <w:rFonts w:hAnsi="Book Antiqua" w:hint="default"/>
          <w:color w:val="000000"/>
          <w:u w:color="000000"/>
          <w:rtl w:val="0"/>
          <w:lang w:val="it-IT"/>
        </w:rPr>
        <w:t>“</w:t>
      </w:r>
      <w:r>
        <w:rPr>
          <w:rFonts w:ascii="Book Antiqua"/>
          <w:color w:val="000000"/>
          <w:u w:color="000000"/>
          <w:rtl w:val="0"/>
          <w:lang w:val="it-IT"/>
        </w:rPr>
        <w:t>storiche</w:t>
      </w:r>
      <w:r>
        <w:rPr>
          <w:rFonts w:hAnsi="Book Antiqua" w:hint="default"/>
          <w:color w:val="000000"/>
          <w:u w:color="000000"/>
          <w:rtl w:val="0"/>
          <w:lang w:val="it-IT"/>
        </w:rPr>
        <w:t xml:space="preserve">” </w:t>
      </w:r>
      <w:r>
        <w:rPr>
          <w:rFonts w:ascii="Book Antiqua"/>
          <w:color w:val="000000"/>
          <w:u w:color="000000"/>
          <w:rtl w:val="0"/>
          <w:lang w:val="it-IT"/>
        </w:rPr>
        <w:t xml:space="preserve">e </w:t>
      </w:r>
      <w:r>
        <w:rPr>
          <w:rFonts w:hAnsi="Book Antiqua" w:hint="default"/>
          <w:color w:val="000000"/>
          <w:u w:color="000000"/>
          <w:rtl w:val="0"/>
          <w:lang w:val="it-IT"/>
        </w:rPr>
        <w:t>“</w:t>
      </w:r>
      <w:r>
        <w:rPr>
          <w:rFonts w:ascii="Book Antiqua"/>
          <w:color w:val="000000"/>
          <w:u w:color="000000"/>
          <w:rtl w:val="0"/>
          <w:lang w:val="it-IT"/>
        </w:rPr>
        <w:t>nuovi</w:t>
      </w:r>
      <w:r>
        <w:rPr>
          <w:rFonts w:hAnsi="Book Antiqua" w:hint="default"/>
          <w:color w:val="000000"/>
          <w:u w:color="000000"/>
          <w:rtl w:val="0"/>
          <w:lang w:val="it-IT"/>
        </w:rPr>
        <w:t xml:space="preserve">” </w:t>
      </w:r>
      <w:r>
        <w:rPr>
          <w:rFonts w:ascii="Book Antiqua"/>
          <w:color w:val="000000"/>
          <w:u w:color="000000"/>
          <w:rtl w:val="0"/>
          <w:lang w:val="it-IT"/>
        </w:rPr>
        <w:t>criminali di strada.</w:t>
      </w:r>
    </w:p>
    <w:p>
      <w:pPr>
        <w:pStyle w:val="Normal"/>
        <w:widowControl w:val="0"/>
        <w:tabs>
          <w:tab w:val="left" w:pos="709"/>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Gli scopi attribuiti all</w:t>
      </w:r>
      <w:r>
        <w:rPr>
          <w:rFonts w:hAnsi="Book Antiqua" w:hint="default"/>
          <w:color w:val="000000"/>
          <w:u w:color="000000"/>
          <w:rtl w:val="0"/>
          <w:lang w:val="it-IT"/>
        </w:rPr>
        <w:t>’</w:t>
      </w:r>
      <w:r>
        <w:rPr>
          <w:rFonts w:ascii="Book Antiqua"/>
          <w:color w:val="000000"/>
          <w:u w:color="000000"/>
          <w:rtl w:val="0"/>
          <w:lang w:val="it-IT"/>
        </w:rPr>
        <w:t>associazione nelle indagini svolte si articolavano in pi</w:t>
      </w:r>
      <w:r>
        <w:rPr>
          <w:rFonts w:hAnsi="Book Antiqua" w:hint="default"/>
          <w:color w:val="000000"/>
          <w:u w:color="000000"/>
          <w:rtl w:val="0"/>
          <w:lang w:val="it-IT"/>
        </w:rPr>
        <w:t xml:space="preserve">ù </w:t>
      </w:r>
      <w:r>
        <w:rPr>
          <w:rFonts w:ascii="Book Antiqua"/>
          <w:color w:val="000000"/>
          <w:u w:color="000000"/>
          <w:rtl w:val="0"/>
          <w:lang w:val="it-IT"/>
        </w:rPr>
        <w:t>campi e pi</w:t>
      </w:r>
      <w:r>
        <w:rPr>
          <w:rFonts w:hAnsi="Book Antiqua" w:hint="default"/>
          <w:color w:val="000000"/>
          <w:u w:color="000000"/>
          <w:rtl w:val="0"/>
          <w:lang w:val="it-IT"/>
        </w:rPr>
        <w:t xml:space="preserve">ù </w:t>
      </w:r>
      <w:r>
        <w:rPr>
          <w:rFonts w:ascii="Book Antiqua"/>
          <w:color w:val="000000"/>
          <w:u w:color="000000"/>
          <w:rtl w:val="0"/>
          <w:lang w:val="it-IT"/>
        </w:rPr>
        <w:t>livelli, sommersi, grigi, emersi:</w:t>
      </w:r>
    </w:p>
    <w:p>
      <w:pPr>
        <w:pStyle w:val="Normal"/>
        <w:widowControl w:val="0"/>
        <w:tabs>
          <w:tab w:val="left" w:pos="709"/>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di natura criminale nel campo dell</w:t>
      </w:r>
      <w:r>
        <w:rPr>
          <w:rFonts w:hAnsi="Book Antiqua" w:hint="default"/>
          <w:color w:val="000000"/>
          <w:u w:color="000000"/>
          <w:rtl w:val="0"/>
          <w:lang w:val="it-IT"/>
        </w:rPr>
        <w:t>’</w:t>
      </w:r>
      <w:r>
        <w:rPr>
          <w:rFonts w:ascii="Book Antiqua"/>
          <w:color w:val="000000"/>
          <w:u w:color="000000"/>
          <w:rtl w:val="0"/>
          <w:lang w:val="it-IT"/>
        </w:rPr>
        <w:t>usura, del recupero crediti con metodi violenti, delle estorsioni;</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di natura imprenditoriale nel settore dell</w:t>
      </w:r>
      <w:r>
        <w:rPr>
          <w:rFonts w:hAnsi="Book Antiqua" w:hint="default"/>
          <w:color w:val="000000"/>
          <w:u w:color="000000"/>
          <w:rtl w:val="0"/>
          <w:lang w:val="it-IT"/>
        </w:rPr>
        <w:t>’</w:t>
      </w:r>
      <w:r>
        <w:rPr>
          <w:rFonts w:ascii="Book Antiqua"/>
          <w:color w:val="000000"/>
          <w:u w:color="000000"/>
          <w:rtl w:val="0"/>
          <w:lang w:val="it-IT"/>
        </w:rPr>
        <w:t>edilizia, del movimento terra, della somministrazione di pasti, attraverso imprenditori apparentemente insospettabili, in realt</w:t>
      </w:r>
      <w:r>
        <w:rPr>
          <w:rFonts w:hAnsi="Book Antiqua" w:hint="default"/>
          <w:color w:val="000000"/>
          <w:u w:color="000000"/>
          <w:rtl w:val="0"/>
          <w:lang w:val="it-IT"/>
        </w:rPr>
        <w:t xml:space="preserve">à </w:t>
      </w:r>
      <w:r>
        <w:rPr>
          <w:rFonts w:ascii="Book Antiqua"/>
          <w:color w:val="000000"/>
          <w:u w:color="000000"/>
          <w:rtl w:val="0"/>
          <w:lang w:val="it-IT"/>
        </w:rPr>
        <w:t>collegati al sodalizio;</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di natura amministrativa pubblica, nel quale operano soggetti che rivestono cariche pubbliche di natura elettiva o di governo di enti pubblici, tecnici, nonch</w:t>
      </w:r>
      <w:r>
        <w:rPr>
          <w:rFonts w:hAnsi="Book Antiqua" w:hint="default"/>
          <w:color w:val="000000"/>
          <w:u w:color="000000"/>
          <w:rtl w:val="0"/>
          <w:lang w:val="it-IT"/>
        </w:rPr>
        <w:t xml:space="preserve">é </w:t>
      </w:r>
      <w:r>
        <w:rPr>
          <w:rFonts w:ascii="Book Antiqua"/>
          <w:color w:val="000000"/>
          <w:u w:color="000000"/>
          <w:rtl w:val="0"/>
          <w:lang w:val="it-IT"/>
        </w:rPr>
        <w:t>imprenditori, in particolare nel settore cooperativo, che gestiscono appalti per le amministrazioni pubbliche nei settori dell</w:t>
      </w:r>
      <w:r>
        <w:rPr>
          <w:rFonts w:hAnsi="Book Antiqua" w:hint="default"/>
          <w:color w:val="000000"/>
          <w:u w:color="000000"/>
          <w:rtl w:val="0"/>
          <w:lang w:val="it-IT"/>
        </w:rPr>
        <w:t>’</w:t>
      </w:r>
      <w:r>
        <w:rPr>
          <w:rFonts w:ascii="Book Antiqua"/>
          <w:color w:val="000000"/>
          <w:u w:color="000000"/>
          <w:rtl w:val="0"/>
          <w:lang w:val="it-IT"/>
        </w:rPr>
        <w:t>emergenza abitativa e del ciclo dei rifiuti.</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 xml:space="preserve">Gli addebiti provvisori </w:t>
      </w:r>
      <w:r>
        <w:rPr>
          <w:rFonts w:hAnsi="Book Antiqua" w:hint="default"/>
          <w:color w:val="000000"/>
          <w:u w:color="000000"/>
          <w:rtl w:val="0"/>
          <w:lang w:val="it-IT"/>
        </w:rPr>
        <w:t xml:space="preserve">– </w:t>
      </w:r>
      <w:r>
        <w:rPr>
          <w:rFonts w:ascii="Book Antiqua"/>
          <w:color w:val="000000"/>
          <w:u w:color="000000"/>
          <w:rtl w:val="0"/>
          <w:lang w:val="it-IT"/>
        </w:rPr>
        <w:t>formulati nell</w:t>
      </w:r>
      <w:r>
        <w:rPr>
          <w:rFonts w:hAnsi="Book Antiqua" w:hint="default"/>
          <w:color w:val="000000"/>
          <w:u w:color="000000"/>
          <w:rtl w:val="0"/>
          <w:lang w:val="it-IT"/>
        </w:rPr>
        <w:t>’</w:t>
      </w:r>
      <w:r>
        <w:rPr>
          <w:rFonts w:ascii="Book Antiqua"/>
          <w:color w:val="000000"/>
          <w:u w:color="000000"/>
          <w:rtl w:val="0"/>
          <w:lang w:val="it-IT"/>
        </w:rPr>
        <w:t>ordinanza cautelare -  direttamente riguardanti materie di interesse della Commissione hanno ad oggetto:</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l</w:t>
      </w:r>
      <w:r>
        <w:rPr>
          <w:rFonts w:hAnsi="Book Antiqua" w:hint="default"/>
          <w:color w:val="000000"/>
          <w:u w:color="000000"/>
          <w:rtl w:val="0"/>
          <w:lang w:val="it-IT"/>
        </w:rPr>
        <w:t>’</w:t>
      </w:r>
      <w:r>
        <w:rPr>
          <w:rFonts w:ascii="Book Antiqua"/>
          <w:color w:val="000000"/>
          <w:u w:color="000000"/>
          <w:rtl w:val="0"/>
          <w:lang w:val="it-IT"/>
        </w:rPr>
        <w:t xml:space="preserve">assegnazione della raccolta differenziata per il comune di Roma di cui alla gara di AMA S.p.A. 18/11, aggiudicata il 5 dicembre 2012; </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l</w:t>
      </w:r>
      <w:r>
        <w:rPr>
          <w:rFonts w:hAnsi="Book Antiqua" w:hint="default"/>
          <w:color w:val="000000"/>
          <w:u w:color="000000"/>
          <w:rtl w:val="0"/>
          <w:lang w:val="it-IT"/>
        </w:rPr>
        <w:t>’</w:t>
      </w:r>
      <w:r>
        <w:rPr>
          <w:rFonts w:ascii="Book Antiqua"/>
          <w:color w:val="000000"/>
          <w:u w:color="000000"/>
          <w:rtl w:val="0"/>
          <w:lang w:val="it-IT"/>
        </w:rPr>
        <w:t>assegnazione dei lavori relativi alla raccolta delle foglie per il comune di Roma di cui al bando n. 11156382, aggiudicata l</w:t>
      </w:r>
      <w:r>
        <w:rPr>
          <w:rFonts w:hAnsi="Book Antiqua" w:hint="default"/>
          <w:color w:val="000000"/>
          <w:u w:color="000000"/>
          <w:rtl w:val="0"/>
          <w:lang w:val="it-IT"/>
        </w:rPr>
        <w:t>’</w:t>
      </w:r>
      <w:r>
        <w:rPr>
          <w:rFonts w:ascii="Book Antiqua"/>
          <w:color w:val="000000"/>
          <w:u w:color="000000"/>
          <w:rtl w:val="0"/>
          <w:lang w:val="it-IT"/>
        </w:rPr>
        <w:t xml:space="preserve">11 dicembre 2012; </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la gara di appalto n. 30/2013 indetta da AMA S.p.A. sulla raccolta differenziata del multimateriale;</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la gara per l</w:t>
      </w:r>
      <w:r>
        <w:rPr>
          <w:rFonts w:hAnsi="Book Antiqua" w:hint="default"/>
          <w:color w:val="000000"/>
          <w:u w:color="000000"/>
          <w:rtl w:val="0"/>
          <w:lang w:val="it-IT"/>
        </w:rPr>
        <w:t>’</w:t>
      </w:r>
      <w:r>
        <w:rPr>
          <w:rFonts w:ascii="Book Antiqua"/>
          <w:color w:val="000000"/>
          <w:u w:color="000000"/>
          <w:rtl w:val="0"/>
          <w:lang w:val="it-IT"/>
        </w:rPr>
        <w:t>affidamento dell</w:t>
      </w:r>
      <w:r>
        <w:rPr>
          <w:rFonts w:hAnsi="Book Antiqua" w:hint="default"/>
          <w:color w:val="000000"/>
          <w:u w:color="000000"/>
          <w:rtl w:val="0"/>
          <w:lang w:val="it-IT"/>
        </w:rPr>
        <w:t>’</w:t>
      </w:r>
      <w:r>
        <w:rPr>
          <w:rFonts w:ascii="Book Antiqua"/>
          <w:color w:val="000000"/>
          <w:u w:color="000000"/>
          <w:rtl w:val="0"/>
          <w:lang w:val="it-IT"/>
        </w:rPr>
        <w:t>appalto del servizio di igiene urbana, servizi vari accessori, e fornitura di attrezzature e materiali d</w:t>
      </w:r>
      <w:r>
        <w:rPr>
          <w:rFonts w:hAnsi="Book Antiqua" w:hint="default"/>
          <w:color w:val="000000"/>
          <w:u w:color="000000"/>
          <w:rtl w:val="0"/>
          <w:lang w:val="it-IT"/>
        </w:rPr>
        <w:t>’</w:t>
      </w:r>
      <w:r>
        <w:rPr>
          <w:rFonts w:ascii="Book Antiqua"/>
          <w:color w:val="000000"/>
          <w:u w:color="000000"/>
          <w:rtl w:val="0"/>
          <w:lang w:val="it-IT"/>
        </w:rPr>
        <w:t>uso per la raccolta differenziata CIG 560688865 indetta dal comune di S. Oreste;</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una turbativa di gara relativa all</w:t>
      </w:r>
      <w:r>
        <w:rPr>
          <w:rFonts w:hAnsi="Book Antiqua" w:hint="default"/>
          <w:color w:val="000000"/>
          <w:u w:color="000000"/>
          <w:rtl w:val="0"/>
          <w:lang w:val="it-IT"/>
        </w:rPr>
        <w:t>’</w:t>
      </w:r>
      <w:r>
        <w:rPr>
          <w:rFonts w:ascii="Book Antiqua"/>
          <w:color w:val="000000"/>
          <w:u w:color="000000"/>
          <w:rtl w:val="0"/>
          <w:lang w:val="it-IT"/>
        </w:rPr>
        <w:t xml:space="preserve">emergenza rifiuti, sempre di pertinenza di AMA; </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 xml:space="preserve">la realizzazione di un </w:t>
      </w:r>
      <w:r>
        <w:rPr>
          <w:rFonts w:hAnsi="Book Antiqua" w:hint="default"/>
          <w:color w:val="000000"/>
          <w:u w:color="000000"/>
          <w:rtl w:val="0"/>
          <w:lang w:val="it-IT"/>
        </w:rPr>
        <w:t>“</w:t>
      </w:r>
      <w:r>
        <w:rPr>
          <w:rFonts w:ascii="Book Antiqua"/>
          <w:color w:val="000000"/>
          <w:u w:color="000000"/>
          <w:rtl w:val="0"/>
          <w:lang w:val="it-IT"/>
        </w:rPr>
        <w:t xml:space="preserve">impianto per il trattamento e la valorizzazione dei rifiuti organici raccolti in modo differenziato con produzione di </w:t>
      </w:r>
      <w:r>
        <w:rPr>
          <w:rFonts w:ascii="Book Antiqua"/>
          <w:i w:val="1"/>
          <w:iCs w:val="1"/>
          <w:color w:val="000000"/>
          <w:u w:color="000000"/>
          <w:rtl w:val="0"/>
          <w:lang w:val="it-IT"/>
        </w:rPr>
        <w:t>compost</w:t>
      </w:r>
      <w:r>
        <w:rPr>
          <w:rFonts w:ascii="Book Antiqua"/>
          <w:color w:val="000000"/>
          <w:u w:color="000000"/>
          <w:rtl w:val="0"/>
          <w:lang w:val="it-IT"/>
        </w:rPr>
        <w:t xml:space="preserve"> di qualit</w:t>
      </w:r>
      <w:r>
        <w:rPr>
          <w:rFonts w:hAnsi="Book Antiqua" w:hint="default"/>
          <w:color w:val="000000"/>
          <w:u w:color="000000"/>
          <w:rtl w:val="0"/>
          <w:lang w:val="it-IT"/>
        </w:rPr>
        <w:t xml:space="preserve">à </w:t>
      </w:r>
      <w:r>
        <w:rPr>
          <w:rFonts w:ascii="Book Antiqua"/>
          <w:color w:val="000000"/>
          <w:u w:color="000000"/>
          <w:rtl w:val="0"/>
          <w:lang w:val="it-IT"/>
        </w:rPr>
        <w:t>ed energia elettrica</w:t>
      </w:r>
      <w:r>
        <w:rPr>
          <w:rFonts w:hAnsi="Book Antiqua" w:hint="default"/>
          <w:color w:val="000000"/>
          <w:u w:color="000000"/>
          <w:rtl w:val="0"/>
          <w:lang w:val="it-IT"/>
        </w:rPr>
        <w:t>”</w:t>
      </w:r>
      <w:r>
        <w:rPr>
          <w:rFonts w:ascii="Book Antiqua"/>
          <w:color w:val="000000"/>
          <w:u w:color="000000"/>
          <w:rtl w:val="0"/>
          <w:lang w:val="it-IT"/>
        </w:rPr>
        <w:t>, da creare nel comune di Morlupo (Roma) su un lotto di terreno di propriet</w:t>
      </w:r>
      <w:r>
        <w:rPr>
          <w:rFonts w:hAnsi="Book Antiqua" w:hint="default"/>
          <w:color w:val="000000"/>
          <w:u w:color="000000"/>
          <w:rtl w:val="0"/>
          <w:lang w:val="it-IT"/>
        </w:rPr>
        <w:t xml:space="preserve">à </w:t>
      </w:r>
      <w:r>
        <w:rPr>
          <w:rFonts w:ascii="Book Antiqua"/>
          <w:color w:val="000000"/>
          <w:u w:color="000000"/>
          <w:rtl w:val="0"/>
          <w:lang w:val="it-IT"/>
        </w:rPr>
        <w:t>comunale, sito in localit</w:t>
      </w:r>
      <w:r>
        <w:rPr>
          <w:rFonts w:hAnsi="Book Antiqua" w:hint="default"/>
          <w:color w:val="000000"/>
          <w:u w:color="000000"/>
          <w:rtl w:val="0"/>
          <w:lang w:val="it-IT"/>
        </w:rPr>
        <w:t xml:space="preserve">à </w:t>
      </w:r>
      <w:r>
        <w:rPr>
          <w:rFonts w:ascii="Book Antiqua"/>
          <w:color w:val="000000"/>
          <w:u w:color="000000"/>
          <w:rtl w:val="0"/>
          <w:lang w:val="it-IT"/>
        </w:rPr>
        <w:t>Assura;</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attivit</w:t>
      </w:r>
      <w:r>
        <w:rPr>
          <w:rFonts w:hAnsi="Book Antiqua" w:hint="default"/>
          <w:color w:val="000000"/>
          <w:u w:color="000000"/>
          <w:rtl w:val="0"/>
          <w:lang w:val="it-IT"/>
        </w:rPr>
        <w:t xml:space="preserve">à </w:t>
      </w:r>
      <w:r>
        <w:rPr>
          <w:rFonts w:ascii="Book Antiqua"/>
          <w:color w:val="000000"/>
          <w:u w:color="000000"/>
          <w:rtl w:val="0"/>
          <w:lang w:val="it-IT"/>
        </w:rPr>
        <w:t>di riciclaggio di plastiche e di vetri e smaltimento rifiuti, ovvero lavori relativi alla costruzione di strade nel comune di Montelibretti, frazione Borgo Santa Maria, funzionali a centri di raccolta di rifiuti.</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In appendice alla presente relazione sono riportati gli addebiti provvisori, cos</w:t>
      </w:r>
      <w:r>
        <w:rPr>
          <w:rFonts w:hAnsi="Book Antiqua" w:hint="default"/>
          <w:color w:val="000000"/>
          <w:u w:color="000000"/>
          <w:rtl w:val="0"/>
          <w:lang w:val="it-IT"/>
        </w:rPr>
        <w:t xml:space="preserve">ì </w:t>
      </w:r>
      <w:r>
        <w:rPr>
          <w:rFonts w:ascii="Book Antiqua"/>
          <w:color w:val="000000"/>
          <w:u w:color="000000"/>
          <w:rtl w:val="0"/>
          <w:lang w:val="it-IT"/>
        </w:rPr>
        <w:t>come formulati nell</w:t>
      </w:r>
      <w:r>
        <w:rPr>
          <w:rFonts w:hAnsi="Book Antiqua" w:hint="default"/>
          <w:color w:val="000000"/>
          <w:u w:color="000000"/>
          <w:rtl w:val="0"/>
          <w:lang w:val="it-IT"/>
        </w:rPr>
        <w:t>’</w:t>
      </w:r>
      <w:r>
        <w:rPr>
          <w:rFonts w:ascii="Book Antiqua"/>
          <w:color w:val="000000"/>
          <w:u w:color="000000"/>
          <w:rtl w:val="0"/>
          <w:lang w:val="it-IT"/>
        </w:rPr>
        <w:t>ordinanza cautelare, relativi ai fatti riguardanti materie di interesse della Commissione, sopra indicati, e stralci del contenuto dell</w:t>
      </w:r>
      <w:r>
        <w:rPr>
          <w:rFonts w:hAnsi="Book Antiqua" w:hint="default"/>
          <w:color w:val="000000"/>
          <w:u w:color="000000"/>
          <w:rtl w:val="0"/>
          <w:lang w:val="it-IT"/>
        </w:rPr>
        <w:t>’</w:t>
      </w:r>
      <w:r>
        <w:rPr>
          <w:rFonts w:ascii="Book Antiqua"/>
          <w:color w:val="000000"/>
          <w:u w:color="000000"/>
          <w:rtl w:val="0"/>
          <w:lang w:val="it-IT"/>
        </w:rPr>
        <w:t>ordinanza, nella medesima prospettiva.</w:t>
      </w:r>
    </w:p>
    <w:p>
      <w:pPr>
        <w:pStyle w:val="Normal"/>
        <w:ind w:left="567" w:right="567" w:firstLine="0"/>
        <w:jc w:val="both"/>
        <w:rPr>
          <w:rFonts w:ascii="Book Antiqua" w:cs="Book Antiqua" w:hAnsi="Book Antiqua" w:eastAsia="Book Antiqua"/>
        </w:rPr>
      </w:pPr>
      <w:r>
        <w:rPr>
          <w:rFonts w:ascii="Book Antiqua"/>
          <w:rtl w:val="0"/>
          <w:lang w:val="it-IT"/>
        </w:rPr>
        <w:t>Una seconda ordinanza applicativa di misure cautelari personali, fondata sulla medesima ipotesi associativa ma con la contestazione di ulteriori reati-fine, era stata emessa dal giudice per le indagini preliminari del tribunale di Roma il 29 maggio 2015.</w:t>
      </w:r>
    </w:p>
    <w:p>
      <w:pPr>
        <w:pStyle w:val="Normal"/>
        <w:ind w:left="567" w:right="567" w:firstLine="0"/>
        <w:jc w:val="both"/>
        <w:rPr>
          <w:rFonts w:ascii="Book Antiqua" w:cs="Book Antiqua" w:hAnsi="Book Antiqua" w:eastAsia="Book Antiqua"/>
        </w:rPr>
      </w:pPr>
      <w:r>
        <w:rPr>
          <w:rFonts w:ascii="Book Antiqua"/>
          <w:rtl w:val="0"/>
          <w:lang w:val="it-IT"/>
        </w:rPr>
        <w:t>Di rilievo per l</w:t>
      </w:r>
      <w:r>
        <w:rPr>
          <w:rFonts w:hAnsi="Book Antiqua" w:hint="default"/>
          <w:rtl w:val="0"/>
          <w:lang w:val="it-IT"/>
        </w:rPr>
        <w:t>’</w:t>
      </w:r>
      <w:r>
        <w:rPr>
          <w:rFonts w:ascii="Book Antiqua"/>
          <w:rtl w:val="0"/>
          <w:lang w:val="it-IT"/>
        </w:rPr>
        <w:t>oggetto di indagine della Commissione l</w:t>
      </w:r>
      <w:r>
        <w:rPr>
          <w:rFonts w:hAnsi="Book Antiqua" w:hint="default"/>
          <w:rtl w:val="0"/>
          <w:lang w:val="it-IT"/>
        </w:rPr>
        <w:t>’</w:t>
      </w:r>
      <w:r>
        <w:rPr>
          <w:rFonts w:ascii="Book Antiqua"/>
          <w:rtl w:val="0"/>
          <w:lang w:val="it-IT"/>
        </w:rPr>
        <w:t>addebito provvisorio come di seguito formulato:</w:t>
      </w:r>
    </w:p>
    <w:p>
      <w:pPr>
        <w:pStyle w:val="Normal"/>
        <w:shd w:val="clear" w:color="auto" w:fill="ffffff"/>
        <w:ind w:left="567" w:right="567" w:firstLine="0"/>
        <w:jc w:val="both"/>
        <w:rPr>
          <w:rFonts w:ascii="Book Antiqua" w:cs="Book Antiqua" w:hAnsi="Book Antiqua" w:eastAsia="Book Antiqua"/>
          <w:sz w:val="20"/>
          <w:szCs w:val="20"/>
        </w:rPr>
      </w:pPr>
      <w:r>
        <w:rPr>
          <w:rFonts w:hAnsi="Book Antiqua" w:hint="default"/>
          <w:rtl w:val="0"/>
          <w:lang w:val="it-IT"/>
        </w:rPr>
        <w:t>“</w:t>
      </w:r>
      <w:r>
        <w:rPr>
          <w:rFonts w:ascii="Book Antiqua"/>
          <w:rtl w:val="0"/>
          <w:lang w:val="it-IT"/>
        </w:rPr>
        <w:t>Carminati, Buzzi, Coratti, Figurelli, Di Ninno, Cerrito, Garrone, Bolla</w:t>
      </w:r>
      <w:r>
        <w:rPr>
          <w:rFonts w:ascii="Book Antiqua" w:cs="Book Antiqua" w:hAnsi="Book Antiqua" w:eastAsia="Book Antiqua"/>
          <w:vertAlign w:val="superscript"/>
          <w:rtl w:val="0"/>
        </w:rPr>
        <w:footnoteReference w:id="182"/>
      </w:r>
      <w:r>
        <w:rPr>
          <w:rFonts w:ascii="Book Antiqua"/>
          <w:rtl w:val="0"/>
          <w:lang w:val="it-IT"/>
        </w:rPr>
        <w:t xml:space="preserve">: </w:t>
      </w:r>
    </w:p>
    <w:p>
      <w:pPr>
        <w:pStyle w:val="Normal"/>
        <w:shd w:val="clear" w:color="auto" w:fill="ffffff"/>
        <w:ind w:left="567" w:right="567" w:firstLine="0"/>
        <w:jc w:val="both"/>
        <w:rPr>
          <w:rFonts w:ascii="Book Antiqua" w:cs="Book Antiqua" w:hAnsi="Book Antiqua" w:eastAsia="Book Antiqua"/>
          <w:sz w:val="20"/>
          <w:szCs w:val="20"/>
        </w:rPr>
      </w:pPr>
      <w:r>
        <w:rPr>
          <w:rFonts w:ascii="Book Antiqua"/>
          <w:rtl w:val="0"/>
          <w:lang w:val="it-IT"/>
        </w:rPr>
        <w:t>2) del reato di cui agli articoli 81 capoverso, 110, 318 e 319 del codice penale, 7 decreto legge n. 13 maggio 1991, n. 152, convertito nella legge 12 luglio 1991, n. 203 perch</w:t>
      </w:r>
      <w:r>
        <w:rPr>
          <w:rFonts w:hAnsi="Book Antiqua" w:hint="default"/>
          <w:rtl w:val="0"/>
          <w:lang w:val="it-IT"/>
        </w:rPr>
        <w:t xml:space="preserve">é́ </w:t>
      </w:r>
      <w:r>
        <w:rPr>
          <w:rFonts w:ascii="Book Antiqua"/>
          <w:rtl w:val="0"/>
          <w:lang w:val="it-IT"/>
        </w:rPr>
        <w:t>Coratti nella sua qualit</w:t>
      </w:r>
      <w:r>
        <w:rPr>
          <w:rFonts w:hAnsi="Book Antiqua" w:hint="default"/>
          <w:rtl w:val="0"/>
          <w:lang w:val="it-IT"/>
        </w:rPr>
        <w:t xml:space="preserve">à̀ </w:t>
      </w:r>
      <w:r>
        <w:rPr>
          <w:rFonts w:ascii="Book Antiqua"/>
          <w:rtl w:val="0"/>
          <w:lang w:val="it-IT"/>
        </w:rPr>
        <w:t>di presidente dell</w:t>
      </w:r>
      <w:r>
        <w:rPr>
          <w:rFonts w:hAnsi="Book Antiqua" w:hint="default"/>
          <w:rtl w:val="0"/>
          <w:lang w:val="it-IT"/>
        </w:rPr>
        <w:t>’</w:t>
      </w:r>
      <w:r>
        <w:rPr>
          <w:rFonts w:ascii="Book Antiqua"/>
          <w:rtl w:val="0"/>
          <w:lang w:val="it-IT"/>
        </w:rPr>
        <w:t xml:space="preserve">assemblea del Consiglio comunale di Roma </w:t>
      </w:r>
      <w:r>
        <w:rPr>
          <w:rFonts w:hAnsi="Book Antiqua" w:hint="default"/>
          <w:rtl w:val="0"/>
          <w:lang w:val="it-IT"/>
        </w:rPr>
        <w:t xml:space="preserve">– </w:t>
      </w:r>
      <w:r>
        <w:rPr>
          <w:rFonts w:ascii="Book Antiqua"/>
          <w:rtl w:val="0"/>
          <w:lang w:val="it-IT"/>
        </w:rPr>
        <w:t>in concorso con Franco Figurelli, appartenente alla sua segreteria - dunque pubblico ufficiale, per porre la sua funzione di consigliere comunale e di Presidente dell</w:t>
      </w:r>
      <w:r>
        <w:rPr>
          <w:rFonts w:hAnsi="Book Antiqua" w:hint="default"/>
          <w:rtl w:val="0"/>
          <w:lang w:val="it-IT"/>
        </w:rPr>
        <w:t>’</w:t>
      </w:r>
      <w:r>
        <w:rPr>
          <w:rFonts w:ascii="Book Antiqua"/>
          <w:rtl w:val="0"/>
          <w:lang w:val="it-IT"/>
        </w:rPr>
        <w:t>assemblea comunale al servizio dei soggetti economici riconducibili al gruppo di Buzzi nonch</w:t>
      </w:r>
      <w:r>
        <w:rPr>
          <w:rFonts w:hAnsi="Book Antiqua" w:hint="default"/>
          <w:rtl w:val="0"/>
          <w:lang w:val="it-IT"/>
        </w:rPr>
        <w:t xml:space="preserve">é́ </w:t>
      </w:r>
      <w:r>
        <w:rPr>
          <w:rFonts w:ascii="Book Antiqua"/>
          <w:rtl w:val="0"/>
          <w:lang w:val="it-IT"/>
        </w:rPr>
        <w:t xml:space="preserve">nel porre in essere specifici atti contrari ai doveri del suo ufficio, consistenti anche nel: </w:t>
      </w:r>
    </w:p>
    <w:p>
      <w:pPr>
        <w:pStyle w:val="Normal"/>
        <w:shd w:val="clear" w:color="auto" w:fill="ffffff"/>
        <w:ind w:left="567" w:right="567" w:firstLine="0"/>
        <w:jc w:val="both"/>
        <w:rPr>
          <w:rFonts w:ascii="Book Antiqua" w:cs="Book Antiqua" w:hAnsi="Book Antiqua" w:eastAsia="Book Antiqua"/>
          <w:sz w:val="20"/>
          <w:szCs w:val="20"/>
        </w:rPr>
      </w:pPr>
      <w:r>
        <w:rPr>
          <w:rFonts w:ascii="Book Antiqua"/>
          <w:rtl w:val="0"/>
          <w:lang w:val="it-IT"/>
        </w:rPr>
        <w:t>facilitare sul piano politico-istituzionale l</w:t>
      </w:r>
      <w:r>
        <w:rPr>
          <w:rFonts w:hAnsi="Book Antiqua" w:hint="default"/>
          <w:rtl w:val="0"/>
          <w:lang w:val="it-IT"/>
        </w:rPr>
        <w:t>’</w:t>
      </w:r>
      <w:r>
        <w:rPr>
          <w:rFonts w:ascii="Book Antiqua"/>
          <w:rtl w:val="0"/>
          <w:lang w:val="it-IT"/>
        </w:rPr>
        <w:t xml:space="preserve">aggiudicazione di gare indette da AMA a soggetti economici del gruppo di Buzzi, tra le altre la gara n. 30/2013 riguardante la raccolta del multimateriale; </w:t>
      </w:r>
    </w:p>
    <w:p>
      <w:pPr>
        <w:pStyle w:val="Normal"/>
        <w:shd w:val="clear" w:color="auto" w:fill="ffffff"/>
        <w:ind w:left="567" w:right="567" w:firstLine="0"/>
        <w:jc w:val="both"/>
        <w:rPr>
          <w:rFonts w:ascii="Book Antiqua" w:cs="Book Antiqua" w:hAnsi="Book Antiqua" w:eastAsia="Book Antiqua"/>
        </w:rPr>
      </w:pPr>
      <w:r>
        <w:rPr>
          <w:rFonts w:ascii="Book Antiqua"/>
          <w:rtl w:val="0"/>
          <w:lang w:val="it-IT"/>
        </w:rPr>
        <w:t>concorrere alla formazione del consenso politico e istituzionale necessario alla conferma nella qualit</w:t>
      </w:r>
      <w:r>
        <w:rPr>
          <w:rFonts w:hAnsi="Book Antiqua" w:hint="default"/>
          <w:rtl w:val="0"/>
          <w:lang w:val="it-IT"/>
        </w:rPr>
        <w:t xml:space="preserve">à̀ </w:t>
      </w:r>
      <w:r>
        <w:rPr>
          <w:rFonts w:ascii="Book Antiqua"/>
          <w:rtl w:val="0"/>
          <w:lang w:val="it-IT"/>
        </w:rPr>
        <w:t>di DG di AMA S.p.A., controllata da Roma Capitale, Fiscon, a fronte di una iniziativa dei vertici dell</w:t>
      </w:r>
      <w:r>
        <w:rPr>
          <w:rFonts w:hAnsi="Book Antiqua" w:hint="default"/>
          <w:rtl w:val="0"/>
          <w:lang w:val="it-IT"/>
        </w:rPr>
        <w:t>’</w:t>
      </w:r>
      <w:r>
        <w:rPr>
          <w:rFonts w:ascii="Book Antiqua"/>
          <w:rtl w:val="0"/>
          <w:lang w:val="it-IT"/>
        </w:rPr>
        <w:t>amministrazione intesa alla sua sostituzione [</w:t>
      </w:r>
      <w:r>
        <w:rPr>
          <w:rFonts w:hAnsi="Book Antiqua" w:hint="default"/>
          <w:rtl w:val="0"/>
          <w:lang w:val="it-IT"/>
        </w:rPr>
        <w:t>…</w:t>
      </w:r>
      <w:r>
        <w:rPr>
          <w:rFonts w:ascii="Book Antiqua"/>
          <w:rtl w:val="0"/>
          <w:lang w:val="it-IT"/>
        </w:rPr>
        <w:t>]</w:t>
      </w:r>
      <w:r>
        <w:rPr>
          <w:rFonts w:hAnsi="Book Antiqua" w:hint="default"/>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La capacit</w:t>
      </w:r>
      <w:r>
        <w:rPr>
          <w:rFonts w:hAnsi="Book Antiqua" w:hint="default"/>
          <w:rtl w:val="0"/>
          <w:lang w:val="it-IT"/>
        </w:rPr>
        <w:t xml:space="preserve">à </w:t>
      </w:r>
      <w:r>
        <w:rPr>
          <w:rFonts w:ascii="Book Antiqua"/>
          <w:rtl w:val="0"/>
          <w:lang w:val="it-IT"/>
        </w:rPr>
        <w:t>multiforme della realt</w:t>
      </w:r>
      <w:r>
        <w:rPr>
          <w:rFonts w:hAnsi="Book Antiqua" w:hint="default"/>
          <w:rtl w:val="0"/>
          <w:lang w:val="it-IT"/>
        </w:rPr>
        <w:t xml:space="preserve">à </w:t>
      </w:r>
      <w:r>
        <w:rPr>
          <w:rFonts w:ascii="Book Antiqua"/>
          <w:rtl w:val="0"/>
          <w:lang w:val="it-IT"/>
        </w:rPr>
        <w:t xml:space="preserve">criminale di cui qui si tratta di </w:t>
      </w:r>
      <w:r>
        <w:rPr>
          <w:rFonts w:hAnsi="Book Antiqua" w:hint="default"/>
          <w:rtl w:val="0"/>
          <w:lang w:val="it-IT"/>
        </w:rPr>
        <w:t>“</w:t>
      </w:r>
      <w:r>
        <w:rPr>
          <w:rFonts w:ascii="Book Antiqua"/>
          <w:rtl w:val="0"/>
          <w:lang w:val="it-IT"/>
        </w:rPr>
        <w:t>manifestare interesse</w:t>
      </w:r>
      <w:r>
        <w:rPr>
          <w:rFonts w:hAnsi="Book Antiqua" w:hint="default"/>
          <w:rtl w:val="0"/>
          <w:lang w:val="it-IT"/>
        </w:rPr>
        <w:t xml:space="preserve">” </w:t>
      </w:r>
      <w:r>
        <w:rPr>
          <w:rFonts w:ascii="Book Antiqua"/>
          <w:rtl w:val="0"/>
          <w:lang w:val="it-IT"/>
        </w:rPr>
        <w:t>in pi</w:t>
      </w:r>
      <w:r>
        <w:rPr>
          <w:rFonts w:hAnsi="Book Antiqua" w:hint="default"/>
          <w:rtl w:val="0"/>
          <w:lang w:val="it-IT"/>
        </w:rPr>
        <w:t xml:space="preserve">ù </w:t>
      </w:r>
      <w:r>
        <w:rPr>
          <w:rFonts w:ascii="Book Antiqua"/>
          <w:rtl w:val="0"/>
          <w:lang w:val="it-IT"/>
        </w:rPr>
        <w:t xml:space="preserve">settori, ivi compreso quello dei rifiuti, </w:t>
      </w:r>
      <w:r>
        <w:rPr>
          <w:rFonts w:hAnsi="Book Antiqua" w:hint="default"/>
          <w:rtl w:val="0"/>
          <w:lang w:val="it-IT"/>
        </w:rPr>
        <w:t xml:space="preserve">è </w:t>
      </w:r>
      <w:r>
        <w:rPr>
          <w:rFonts w:ascii="Book Antiqua"/>
          <w:rtl w:val="0"/>
          <w:lang w:val="it-IT"/>
        </w:rPr>
        <w:t>palesata da un ulteriore procedimento penale, derivato da quello principale, di cui ha riferito alla Commissione, nel corso dell</w:t>
      </w:r>
      <w:r>
        <w:rPr>
          <w:rFonts w:hAnsi="Book Antiqua" w:hint="default"/>
          <w:rtl w:val="0"/>
          <w:lang w:val="it-IT"/>
        </w:rPr>
        <w:t>’</w:t>
      </w:r>
      <w:r>
        <w:rPr>
          <w:rFonts w:ascii="Book Antiqua"/>
          <w:rtl w:val="0"/>
          <w:lang w:val="it-IT"/>
        </w:rPr>
        <w:t>audizione del 30 maggio 2017, il procuratore aggiunto della Repubblica di Roma, Michele Prestipino Giarritta:</w:t>
      </w:r>
    </w:p>
    <w:p>
      <w:pPr>
        <w:pStyle w:val="Normal"/>
        <w:widowControl w:val="0"/>
        <w:ind w:left="567" w:right="567" w:firstLine="0"/>
        <w:jc w:val="both"/>
        <w:rPr>
          <w:rFonts w:ascii="Book Antiqua Bold" w:cs="Book Antiqua Bold" w:hAnsi="Book Antiqua Bold" w:eastAsia="Book Antiqua Bold"/>
          <w:b w:val="1"/>
          <w:bCs w:val="1"/>
          <w:color w:val="262626"/>
          <w:u w:color="262626"/>
        </w:rPr>
      </w:pPr>
      <w:r>
        <w:rPr>
          <w:rFonts w:hAnsi="Book Antiqua" w:hint="default"/>
          <w:rtl w:val="0"/>
          <w:lang w:val="it-IT"/>
        </w:rPr>
        <w:t>“</w:t>
      </w:r>
      <w:r>
        <w:rPr>
          <w:rFonts w:ascii="Book Antiqua"/>
          <w:rtl w:val="0"/>
          <w:lang w:val="it-IT"/>
        </w:rPr>
        <w:t>i</w:t>
      </w:r>
      <w:r>
        <w:rPr>
          <w:rFonts w:ascii="Book Antiqua"/>
          <w:color w:val="262626"/>
          <w:u w:color="262626"/>
          <w:rtl w:val="0"/>
          <w:lang w:val="it-IT"/>
        </w:rPr>
        <w:t xml:space="preserve">l primo procedimento che intendo segnalare </w:t>
      </w:r>
      <w:r>
        <w:rPr>
          <w:rFonts w:hAnsi="Book Antiqua" w:hint="default"/>
          <w:color w:val="262626"/>
          <w:u w:color="262626"/>
          <w:rtl w:val="0"/>
          <w:lang w:val="it-IT"/>
        </w:rPr>
        <w:t xml:space="preserve">è </w:t>
      </w:r>
      <w:r>
        <w:rPr>
          <w:rFonts w:ascii="Book Antiqua"/>
          <w:color w:val="262626"/>
          <w:u w:color="262626"/>
          <w:rtl w:val="0"/>
          <w:lang w:val="it-IT"/>
        </w:rPr>
        <w:t xml:space="preserve">collegato, da un punto di vista di contesto investigativo, all'indagine </w:t>
      </w:r>
      <w:r>
        <w:rPr>
          <w:rFonts w:hAnsi="Book Antiqua" w:hint="default"/>
          <w:color w:val="262626"/>
          <w:u w:color="262626"/>
          <w:rtl w:val="0"/>
          <w:lang w:val="it-IT"/>
        </w:rPr>
        <w:t>«</w:t>
      </w:r>
      <w:r>
        <w:rPr>
          <w:rFonts w:ascii="Book Antiqua"/>
          <w:color w:val="262626"/>
          <w:u w:color="262626"/>
          <w:rtl w:val="0"/>
          <w:lang w:val="it-IT"/>
        </w:rPr>
        <w:t>Mondo di mezzo</w:t>
      </w:r>
      <w:r>
        <w:rPr>
          <w:rFonts w:hAnsi="Book Antiqua" w:hint="default"/>
          <w:color w:val="262626"/>
          <w:u w:color="262626"/>
          <w:rtl w:val="0"/>
          <w:lang w:val="it-IT"/>
        </w:rPr>
        <w:t>»</w:t>
      </w:r>
      <w:r>
        <w:rPr>
          <w:rFonts w:ascii="Book Antiqua"/>
          <w:color w:val="262626"/>
          <w:u w:color="262626"/>
          <w:rtl w:val="0"/>
          <w:lang w:val="it-IT"/>
        </w:rPr>
        <w:t xml:space="preserve">. </w:t>
      </w:r>
      <w:r>
        <w:rPr>
          <w:rFonts w:hAnsi="Book Antiqua" w:hint="default"/>
          <w:color w:val="262626"/>
          <w:u w:color="262626"/>
          <w:rtl w:val="0"/>
          <w:lang w:val="it-IT"/>
        </w:rPr>
        <w:t xml:space="preserve">È </w:t>
      </w:r>
      <w:r>
        <w:rPr>
          <w:rFonts w:ascii="Book Antiqua"/>
          <w:color w:val="262626"/>
          <w:u w:color="262626"/>
          <w:rtl w:val="0"/>
          <w:lang w:val="it-IT"/>
        </w:rPr>
        <w:t xml:space="preserve">un'indagine che ha avuto due momenti fin qui. </w:t>
      </w:r>
      <w:r>
        <w:rPr>
          <w:rFonts w:hAnsi="Book Antiqua" w:hint="default"/>
          <w:color w:val="262626"/>
          <w:u w:color="262626"/>
          <w:rtl w:val="0"/>
          <w:lang w:val="it-IT"/>
        </w:rPr>
        <w:t xml:space="preserve">È </w:t>
      </w:r>
      <w:r>
        <w:rPr>
          <w:rFonts w:ascii="Book Antiqua"/>
          <w:color w:val="262626"/>
          <w:u w:color="262626"/>
          <w:rtl w:val="0"/>
          <w:lang w:val="it-IT"/>
        </w:rPr>
        <w:t>dell'8 gennaio 2015 un sequestro preventivo di beni e di somme di denaro anche per equivalente, cospicue (parliamo di oltre 1.600.000 euro), che ha riguardato</w:t>
      </w:r>
      <w:r>
        <w:rPr>
          <w:rFonts w:ascii="Book Antiqua Bold"/>
          <w:b w:val="1"/>
          <w:bCs w:val="1"/>
          <w:color w:val="262626"/>
          <w:u w:color="262626"/>
          <w:rtl w:val="0"/>
          <w:lang w:val="it-IT"/>
        </w:rPr>
        <w:t xml:space="preserve"> </w:t>
      </w:r>
      <w:r>
        <w:rPr>
          <w:rFonts w:ascii="Book Antiqua"/>
          <w:color w:val="262626"/>
          <w:u w:color="262626"/>
          <w:rtl w:val="0"/>
          <w:lang w:val="it-IT"/>
        </w:rPr>
        <w:t xml:space="preserve">un traffico illecito di rifiuti speciali, tra le province di Roma e di Latina in particolare, e ha visto il coinvolgimento di un paio di cooperative collegate </w:t>
      </w:r>
      <w:r>
        <w:rPr>
          <w:rFonts w:hAnsi="Book Antiqua" w:hint="default"/>
          <w:color w:val="262626"/>
          <w:u w:color="262626"/>
          <w:rtl w:val="0"/>
          <w:lang w:val="it-IT"/>
        </w:rPr>
        <w:t xml:space="preserve">– </w:t>
      </w:r>
      <w:r>
        <w:rPr>
          <w:rFonts w:ascii="Book Antiqua"/>
          <w:color w:val="262626"/>
          <w:u w:color="262626"/>
          <w:rtl w:val="0"/>
          <w:lang w:val="it-IT"/>
        </w:rPr>
        <w:t xml:space="preserve">per questo dicevo del collegamento con il contesto investigativo di </w:t>
      </w:r>
      <w:r>
        <w:rPr>
          <w:rFonts w:hAnsi="Book Antiqua" w:hint="default"/>
          <w:color w:val="262626"/>
          <w:u w:color="262626"/>
          <w:rtl w:val="0"/>
          <w:lang w:val="it-IT"/>
        </w:rPr>
        <w:t>«</w:t>
      </w:r>
      <w:r>
        <w:rPr>
          <w:rFonts w:ascii="Book Antiqua"/>
          <w:color w:val="262626"/>
          <w:u w:color="262626"/>
          <w:rtl w:val="0"/>
          <w:lang w:val="it-IT"/>
        </w:rPr>
        <w:t>Mondo di mezzo</w:t>
      </w:r>
      <w:r>
        <w:rPr>
          <w:rFonts w:hAnsi="Book Antiqua" w:hint="default"/>
          <w:color w:val="262626"/>
          <w:u w:color="262626"/>
          <w:rtl w:val="0"/>
          <w:lang w:val="it-IT"/>
        </w:rPr>
        <w:t xml:space="preserve">» – </w:t>
      </w:r>
      <w:r>
        <w:rPr>
          <w:rFonts w:ascii="Book Antiqua"/>
          <w:color w:val="262626"/>
          <w:u w:color="262626"/>
          <w:rtl w:val="0"/>
          <w:lang w:val="it-IT"/>
        </w:rPr>
        <w:t>al mondo cooperativo, alle cooperative di Salvatore Buzzi. Quest'attivit</w:t>
      </w:r>
      <w:r>
        <w:rPr>
          <w:rFonts w:hAnsi="Book Antiqua" w:hint="default"/>
          <w:color w:val="262626"/>
          <w:u w:color="262626"/>
          <w:rtl w:val="0"/>
          <w:lang w:val="it-IT"/>
        </w:rPr>
        <w:t xml:space="preserve">à </w:t>
      </w:r>
      <w:r>
        <w:rPr>
          <w:rFonts w:ascii="Book Antiqua"/>
          <w:color w:val="262626"/>
          <w:u w:color="262626"/>
          <w:rtl w:val="0"/>
          <w:lang w:val="it-IT"/>
        </w:rPr>
        <w:t xml:space="preserve">illecita si </w:t>
      </w:r>
      <w:r>
        <w:rPr>
          <w:rFonts w:hAnsi="Book Antiqua" w:hint="default"/>
          <w:color w:val="262626"/>
          <w:u w:color="262626"/>
          <w:rtl w:val="0"/>
          <w:lang w:val="it-IT"/>
        </w:rPr>
        <w:t xml:space="preserve">è </w:t>
      </w:r>
      <w:r>
        <w:rPr>
          <w:rFonts w:ascii="Book Antiqua"/>
          <w:color w:val="262626"/>
          <w:u w:color="262626"/>
          <w:rtl w:val="0"/>
          <w:lang w:val="it-IT"/>
        </w:rPr>
        <w:t>concretizzata in un'attivit</w:t>
      </w:r>
      <w:r>
        <w:rPr>
          <w:rFonts w:hAnsi="Book Antiqua" w:hint="default"/>
          <w:color w:val="262626"/>
          <w:u w:color="262626"/>
          <w:rtl w:val="0"/>
          <w:lang w:val="it-IT"/>
        </w:rPr>
        <w:t xml:space="preserve">à </w:t>
      </w:r>
      <w:r>
        <w:rPr>
          <w:rFonts w:ascii="Book Antiqua"/>
          <w:color w:val="262626"/>
          <w:u w:color="262626"/>
          <w:rtl w:val="0"/>
          <w:lang w:val="it-IT"/>
        </w:rPr>
        <w:t>di tipo organizzato, di tipo seriale, di raccolta di rifiuti costituiti da indumenti, prodotti tessili, accessori di abbigliamento, ovviamente post-consumo, gi</w:t>
      </w:r>
      <w:r>
        <w:rPr>
          <w:rFonts w:hAnsi="Book Antiqua" w:hint="default"/>
          <w:color w:val="262626"/>
          <w:u w:color="262626"/>
          <w:rtl w:val="0"/>
          <w:lang w:val="it-IT"/>
        </w:rPr>
        <w:t xml:space="preserve">à </w:t>
      </w:r>
      <w:r>
        <w:rPr>
          <w:rFonts w:ascii="Book Antiqua"/>
          <w:color w:val="262626"/>
          <w:u w:color="262626"/>
          <w:rtl w:val="0"/>
          <w:lang w:val="it-IT"/>
        </w:rPr>
        <w:t>utilizzati che sono stati oggetto di commercializzazione senza che fossero effettuate tutte quelle attivit</w:t>
      </w:r>
      <w:r>
        <w:rPr>
          <w:rFonts w:hAnsi="Book Antiqua" w:hint="default"/>
          <w:color w:val="262626"/>
          <w:u w:color="262626"/>
          <w:rtl w:val="0"/>
          <w:lang w:val="it-IT"/>
        </w:rPr>
        <w:t xml:space="preserve">à </w:t>
      </w:r>
      <w:r>
        <w:rPr>
          <w:rFonts w:ascii="Book Antiqua"/>
          <w:color w:val="262626"/>
          <w:u w:color="262626"/>
          <w:rtl w:val="0"/>
          <w:lang w:val="it-IT"/>
        </w:rPr>
        <w:t>prescritte dalla legge di carattere preventivo e che riguardano diverse fasi di trattamento e recupero, tra cui l'igienizzazione degli ambienti e cos</w:t>
      </w:r>
      <w:r>
        <w:rPr>
          <w:rFonts w:hAnsi="Book Antiqua" w:hint="default"/>
          <w:color w:val="262626"/>
          <w:u w:color="262626"/>
          <w:rtl w:val="0"/>
          <w:lang w:val="it-IT"/>
        </w:rPr>
        <w:t xml:space="preserve">ì </w:t>
      </w:r>
      <w:r>
        <w:rPr>
          <w:rFonts w:ascii="Book Antiqua"/>
          <w:color w:val="262626"/>
          <w:u w:color="262626"/>
          <w:rtl w:val="0"/>
          <w:lang w:val="it-IT"/>
        </w:rPr>
        <w:t>via. Abbiamo scoperto questo commercio assai lucroso, fatto appunto in violazione delle norme sul trattamento di questo tipo di rifiuto speciale. Abbiamo provveduto al sequestro di societ</w:t>
      </w:r>
      <w:r>
        <w:rPr>
          <w:rFonts w:hAnsi="Book Antiqua" w:hint="default"/>
          <w:color w:val="262626"/>
          <w:u w:color="262626"/>
          <w:rtl w:val="0"/>
          <w:lang w:val="it-IT"/>
        </w:rPr>
        <w:t>à</w:t>
      </w:r>
      <w:r>
        <w:rPr>
          <w:rFonts w:ascii="Book Antiqua"/>
          <w:color w:val="262626"/>
          <w:u w:color="262626"/>
          <w:rtl w:val="0"/>
          <w:lang w:val="it-IT"/>
        </w:rPr>
        <w:t>, di aziende, di plessi aziendali e, come dicevo, di somme di denaro anche per equivalente, per un ammontare di oltre 1.600.000 euro. A questo procedimento ha fatto seguito la richiesta di rinvio a giudizio, intervenuta di recente, il 24 marzo 2016</w:t>
      </w:r>
      <w:r>
        <w:rPr>
          <w:rFonts w:hAnsi="Book Antiqua" w:hint="default"/>
          <w:color w:val="262626"/>
          <w:u w:color="262626"/>
          <w:rtl w:val="0"/>
          <w:lang w:val="it-IT"/>
        </w:rPr>
        <w:t>”</w:t>
      </w:r>
      <w:r>
        <w:rPr>
          <w:rFonts w:ascii="Book Antiqua" w:cs="Book Antiqua" w:hAnsi="Book Antiqua" w:eastAsia="Book Antiqua"/>
          <w:color w:val="262626"/>
          <w:u w:color="262626"/>
          <w:vertAlign w:val="superscript"/>
          <w:rtl w:val="0"/>
        </w:rPr>
        <w:footnoteReference w:id="183"/>
      </w:r>
    </w:p>
    <w:p>
      <w:pPr>
        <w:pStyle w:val="Normal"/>
        <w:ind w:left="567" w:right="567" w:firstLine="0"/>
        <w:jc w:val="both"/>
        <w:rPr>
          <w:rFonts w:ascii="Book Antiqua" w:cs="Book Antiqua" w:hAnsi="Book Antiqua" w:eastAsia="Book Antiqua"/>
          <w:color w:val="000000"/>
          <w:u w:color="000000"/>
        </w:rPr>
      </w:pPr>
      <w:r>
        <w:rPr>
          <w:rFonts w:ascii="Book Antiqua"/>
          <w:rtl w:val="0"/>
          <w:lang w:val="it-IT"/>
        </w:rPr>
        <w:t>Ben al di l</w:t>
      </w:r>
      <w:r>
        <w:rPr>
          <w:rFonts w:hAnsi="Book Antiqua" w:hint="default"/>
          <w:rtl w:val="0"/>
          <w:lang w:val="it-IT"/>
        </w:rPr>
        <w:t xml:space="preserve">à </w:t>
      </w:r>
      <w:r>
        <w:rPr>
          <w:rFonts w:ascii="Book Antiqua"/>
          <w:rtl w:val="0"/>
          <w:lang w:val="it-IT"/>
        </w:rPr>
        <w:t xml:space="preserve">dei singoli fatti di rilevanza penale, </w:t>
      </w:r>
      <w:r>
        <w:rPr>
          <w:rFonts w:hAnsi="Book Antiqua" w:hint="default"/>
          <w:rtl w:val="0"/>
          <w:lang w:val="it-IT"/>
        </w:rPr>
        <w:t xml:space="preserve">è </w:t>
      </w:r>
      <w:r>
        <w:rPr>
          <w:rFonts w:ascii="Book Antiqua"/>
          <w:rtl w:val="0"/>
          <w:lang w:val="it-IT"/>
        </w:rPr>
        <w:t xml:space="preserve">significativa la ricostruzione dei rapporti, collocati, come si </w:t>
      </w:r>
      <w:r>
        <w:rPr>
          <w:rFonts w:hAnsi="Book Antiqua" w:hint="default"/>
          <w:rtl w:val="0"/>
          <w:lang w:val="it-IT"/>
        </w:rPr>
        <w:t xml:space="preserve">è </w:t>
      </w:r>
      <w:r>
        <w:rPr>
          <w:rFonts w:ascii="Book Antiqua"/>
          <w:rtl w:val="0"/>
          <w:lang w:val="it-IT"/>
        </w:rPr>
        <w:t>visto, nel contesto associativo  - a prescindere dalla sua ulteriore qualificazione ai sensi dell</w:t>
      </w:r>
      <w:r>
        <w:rPr>
          <w:rFonts w:hAnsi="Book Antiqua" w:hint="default"/>
          <w:rtl w:val="0"/>
          <w:lang w:val="it-IT"/>
        </w:rPr>
        <w:t>’</w:t>
      </w:r>
      <w:r>
        <w:rPr>
          <w:rFonts w:ascii="Book Antiqua"/>
          <w:rtl w:val="0"/>
          <w:lang w:val="it-IT"/>
        </w:rPr>
        <w:t>articolo 416-bis del codice penale</w:t>
      </w:r>
      <w:r>
        <w:rPr>
          <w:rFonts w:hAnsi="Book Antiqua" w:hint="default"/>
          <w:rtl w:val="0"/>
          <w:lang w:val="it-IT"/>
        </w:rPr>
        <w:t xml:space="preserve"> – </w:t>
      </w:r>
      <w:r>
        <w:rPr>
          <w:rFonts w:ascii="Book Antiqua"/>
          <w:rtl w:val="0"/>
          <w:lang w:val="it-IT"/>
        </w:rPr>
        <w:t xml:space="preserve">in una </w:t>
      </w:r>
      <w:r>
        <w:rPr>
          <w:rFonts w:hAnsi="Book Antiqua" w:hint="default"/>
          <w:color w:val="000000"/>
          <w:u w:color="000000"/>
          <w:rtl w:val="0"/>
          <w:lang w:val="it-IT"/>
        </w:rPr>
        <w:t>“</w:t>
      </w:r>
      <w:r>
        <w:rPr>
          <w:rFonts w:ascii="Book Antiqua"/>
          <w:color w:val="000000"/>
          <w:u w:color="000000"/>
          <w:rtl w:val="0"/>
          <w:lang w:val="it-IT"/>
        </w:rPr>
        <w:t>struttura organizzativa a reticolo o a raggiera</w:t>
      </w:r>
      <w:r>
        <w:rPr>
          <w:rFonts w:hAnsi="Book Antiqua" w:hint="default"/>
          <w:color w:val="000000"/>
          <w:u w:color="000000"/>
          <w:rtl w:val="0"/>
          <w:lang w:val="it-IT"/>
        </w:rPr>
        <w:t>”</w:t>
      </w:r>
      <w:r>
        <w:rPr>
          <w:rFonts w:ascii="Book Antiqua"/>
          <w:color w:val="000000"/>
          <w:u w:color="000000"/>
          <w:rtl w:val="0"/>
          <w:lang w:val="it-IT"/>
        </w:rPr>
        <w:t>, con un riflesso sulla gestione del ciclo dei rifiuti attraverso l</w:t>
      </w:r>
      <w:r>
        <w:rPr>
          <w:rFonts w:hAnsi="Book Antiqua" w:hint="default"/>
          <w:color w:val="000000"/>
          <w:u w:color="000000"/>
          <w:rtl w:val="0"/>
          <w:lang w:val="it-IT"/>
        </w:rPr>
        <w:t>’</w:t>
      </w:r>
      <w:r>
        <w:rPr>
          <w:rFonts w:ascii="Book Antiqua"/>
          <w:color w:val="000000"/>
          <w:u w:color="000000"/>
          <w:rtl w:val="0"/>
          <w:lang w:val="it-IT"/>
        </w:rPr>
        <w:t>azienda partecipata in forma totalitaria dal comune di Roma, che il direttore generale di AMA chiamato all</w:t>
      </w:r>
      <w:r>
        <w:rPr>
          <w:rFonts w:hAnsi="Book Antiqua" w:hint="default"/>
          <w:color w:val="000000"/>
          <w:u w:color="000000"/>
          <w:rtl w:val="0"/>
          <w:lang w:val="it-IT"/>
        </w:rPr>
        <w:t>’</w:t>
      </w:r>
      <w:r>
        <w:rPr>
          <w:rFonts w:ascii="Book Antiqua"/>
          <w:color w:val="000000"/>
          <w:u w:color="000000"/>
          <w:rtl w:val="0"/>
          <w:lang w:val="it-IT"/>
        </w:rPr>
        <w:t>epoca dell</w:t>
      </w:r>
      <w:r>
        <w:rPr>
          <w:rFonts w:hAnsi="Book Antiqua" w:hint="default"/>
          <w:color w:val="000000"/>
          <w:u w:color="000000"/>
          <w:rtl w:val="0"/>
          <w:lang w:val="it-IT"/>
        </w:rPr>
        <w:t>’</w:t>
      </w:r>
      <w:r>
        <w:rPr>
          <w:rFonts w:ascii="Book Antiqua"/>
          <w:color w:val="000000"/>
          <w:u w:color="000000"/>
          <w:rtl w:val="0"/>
          <w:lang w:val="it-IT"/>
        </w:rPr>
        <w:t>emersione dell</w:t>
      </w:r>
      <w:r>
        <w:rPr>
          <w:rFonts w:hAnsi="Book Antiqua" w:hint="default"/>
          <w:color w:val="000000"/>
          <w:u w:color="000000"/>
          <w:rtl w:val="0"/>
          <w:lang w:val="it-IT"/>
        </w:rPr>
        <w:t>’</w:t>
      </w:r>
      <w:r>
        <w:rPr>
          <w:rFonts w:ascii="Book Antiqua"/>
          <w:color w:val="000000"/>
          <w:u w:color="000000"/>
          <w:rtl w:val="0"/>
          <w:lang w:val="it-IT"/>
        </w:rPr>
        <w:t>indagine, Alessandro Filippi, nell</w:t>
      </w:r>
      <w:r>
        <w:rPr>
          <w:rFonts w:hAnsi="Book Antiqua" w:hint="default"/>
          <w:color w:val="000000"/>
          <w:u w:color="000000"/>
          <w:rtl w:val="0"/>
          <w:lang w:val="it-IT"/>
        </w:rPr>
        <w:t>’</w:t>
      </w:r>
      <w:r>
        <w:rPr>
          <w:rFonts w:ascii="Book Antiqua"/>
          <w:color w:val="000000"/>
          <w:u w:color="000000"/>
          <w:rtl w:val="0"/>
          <w:lang w:val="it-IT"/>
        </w:rPr>
        <w:t>audizione del 26 ottobre 2016, ha cos</w:t>
      </w:r>
      <w:r>
        <w:rPr>
          <w:rFonts w:hAnsi="Book Antiqua" w:hint="default"/>
          <w:color w:val="000000"/>
          <w:u w:color="000000"/>
          <w:rtl w:val="0"/>
          <w:lang w:val="it-IT"/>
        </w:rPr>
        <w:t xml:space="preserve">ì </w:t>
      </w:r>
      <w:r>
        <w:rPr>
          <w:rFonts w:ascii="Book Antiqua"/>
          <w:color w:val="000000"/>
          <w:u w:color="000000"/>
          <w:rtl w:val="0"/>
          <w:lang w:val="it-IT"/>
        </w:rPr>
        <w:t xml:space="preserve">sintetizzato: </w:t>
      </w:r>
      <w:r>
        <w:rPr>
          <w:rFonts w:hAnsi="Book Antiqua" w:hint="default"/>
          <w:color w:val="000000"/>
          <w:u w:color="000000"/>
          <w:rtl w:val="0"/>
          <w:lang w:val="it-IT"/>
        </w:rPr>
        <w:t>“</w:t>
      </w:r>
      <w:r>
        <w:rPr>
          <w:rFonts w:ascii="Book Antiqua"/>
          <w:color w:val="262626"/>
          <w:u w:color="262626"/>
          <w:rtl w:val="0"/>
          <w:lang w:val="it-IT"/>
        </w:rPr>
        <w:t xml:space="preserve">entro in AMA nel dicembre 2014, all'indomani degli effetti restrittivi delle misure di </w:t>
      </w:r>
      <w:r>
        <w:rPr>
          <w:rFonts w:hAnsi="Book Antiqua" w:hint="default"/>
          <w:color w:val="262626"/>
          <w:u w:color="262626"/>
          <w:rtl w:val="0"/>
          <w:lang w:val="it-IT"/>
        </w:rPr>
        <w:t>«</w:t>
      </w:r>
      <w:r>
        <w:rPr>
          <w:rFonts w:ascii="Book Antiqua"/>
          <w:color w:val="262626"/>
          <w:u w:color="262626"/>
          <w:rtl w:val="0"/>
          <w:lang w:val="it-IT"/>
        </w:rPr>
        <w:t>Mafia capitale</w:t>
      </w:r>
      <w:r>
        <w:rPr>
          <w:rFonts w:hAnsi="Book Antiqua" w:hint="default"/>
          <w:color w:val="262626"/>
          <w:u w:color="262626"/>
          <w:rtl w:val="0"/>
          <w:lang w:val="it-IT"/>
        </w:rPr>
        <w:t>»</w:t>
      </w:r>
      <w:r>
        <w:rPr>
          <w:rFonts w:ascii="Book Antiqua"/>
          <w:color w:val="262626"/>
          <w:u w:color="262626"/>
          <w:rtl w:val="0"/>
          <w:lang w:val="it-IT"/>
        </w:rPr>
        <w:t>, che avevano colpito l'azienda, quindi, la mia attivit</w:t>
      </w:r>
      <w:r>
        <w:rPr>
          <w:rFonts w:hAnsi="Book Antiqua" w:hint="default"/>
          <w:color w:val="262626"/>
          <w:u w:color="262626"/>
          <w:rtl w:val="0"/>
          <w:lang w:val="it-IT"/>
        </w:rPr>
        <w:t xml:space="preserve">à </w:t>
      </w:r>
      <w:r>
        <w:rPr>
          <w:rFonts w:ascii="Book Antiqua"/>
          <w:color w:val="262626"/>
          <w:u w:color="262626"/>
          <w:rtl w:val="0"/>
          <w:lang w:val="it-IT"/>
        </w:rPr>
        <w:t>inizia dal dicembre 2014 e si conclude a fine febbraio 2016</w:t>
      </w:r>
      <w:r>
        <w:rPr>
          <w:rFonts w:ascii="Book Antiqua" w:cs="Book Antiqua" w:hAnsi="Book Antiqua" w:eastAsia="Book Antiqua"/>
          <w:color w:val="262626"/>
          <w:u w:color="262626"/>
          <w:vertAlign w:val="superscript"/>
          <w:rtl w:val="0"/>
        </w:rPr>
        <w:footnoteReference w:id="184"/>
      </w:r>
      <w:r>
        <w:rPr>
          <w:rFonts w:ascii="Book Antiqua"/>
          <w:color w:val="262626"/>
          <w:u w:color="262626"/>
          <w:rtl w:val="0"/>
          <w:lang w:val="it-IT"/>
        </w:rPr>
        <w:t>. In sintesi, le azioni che pongo in essere, chiaramente in linea con le indicazioni del consiglio di amministrazione e del presidente, vanno verso l'obiettivo di emancipare AMA da un sistema di condizionamenti e di soggezioni alle quali l</w:t>
      </w:r>
      <w:r>
        <w:rPr>
          <w:rFonts w:hAnsi="Book Antiqua" w:hint="default"/>
          <w:color w:val="262626"/>
          <w:u w:color="262626"/>
          <w:rtl w:val="0"/>
          <w:lang w:val="it-IT"/>
        </w:rPr>
        <w:t>’</w:t>
      </w:r>
      <w:r>
        <w:rPr>
          <w:rFonts w:ascii="Book Antiqua"/>
          <w:color w:val="262626"/>
          <w:u w:color="262626"/>
          <w:rtl w:val="0"/>
          <w:lang w:val="it-IT"/>
        </w:rPr>
        <w:t>azienda era soggetta</w:t>
      </w:r>
      <w:r>
        <w:rPr>
          <w:rFonts w:hAnsi="Book Antiqua" w:hint="default"/>
          <w:color w:val="262626"/>
          <w:u w:color="262626"/>
          <w:rtl w:val="0"/>
          <w:lang w:val="it-IT"/>
        </w:rPr>
        <w:t>”</w:t>
      </w:r>
      <w:r>
        <w:rPr>
          <w:rFonts w:ascii="Book Antiqua"/>
          <w:color w:val="262626"/>
          <w:u w:color="262626"/>
          <w:rtl w:val="0"/>
          <w:lang w:val="it-IT"/>
        </w:rPr>
        <w:t>.</w:t>
      </w:r>
    </w:p>
    <w:p>
      <w:pPr>
        <w:pStyle w:val="Normal"/>
        <w:ind w:left="567" w:right="567" w:firstLine="0"/>
        <w:jc w:val="both"/>
        <w:rPr>
          <w:rFonts w:ascii="Book Antiqua" w:cs="Book Antiqua" w:hAnsi="Book Antiqua" w:eastAsia="Book Antiqua"/>
          <w:color w:val="262626"/>
          <w:u w:color="262626"/>
        </w:rPr>
      </w:pPr>
      <w:r>
        <w:rPr>
          <w:rFonts w:ascii="Book Antiqua"/>
          <w:color w:val="262626"/>
          <w:u w:color="262626"/>
          <w:rtl w:val="0"/>
          <w:lang w:val="it-IT"/>
        </w:rPr>
        <w:t xml:space="preserve">Lo stesso audito aveva parlato di alcune anomalie gestionali da lui rilevate le quali, anche se apparentemente minori o comunque non espressive di eclatante intervento criminale, sono frutto di quel </w:t>
      </w:r>
      <w:r>
        <w:rPr>
          <w:rFonts w:hAnsi="Book Antiqua" w:hint="default"/>
          <w:color w:val="262626"/>
          <w:u w:color="262626"/>
          <w:rtl w:val="0"/>
          <w:lang w:val="it-IT"/>
        </w:rPr>
        <w:t>“</w:t>
      </w:r>
      <w:r>
        <w:rPr>
          <w:rFonts w:ascii="Book Antiqua"/>
          <w:color w:val="262626"/>
          <w:u w:color="262626"/>
          <w:rtl w:val="0"/>
          <w:lang w:val="it-IT"/>
        </w:rPr>
        <w:t>reticolo di condizionamenti</w:t>
      </w:r>
      <w:r>
        <w:rPr>
          <w:rFonts w:hAnsi="Book Antiqua" w:hint="default"/>
          <w:color w:val="262626"/>
          <w:u w:color="262626"/>
          <w:rtl w:val="0"/>
          <w:lang w:val="it-IT"/>
        </w:rPr>
        <w:t>”</w:t>
      </w:r>
      <w:r>
        <w:rPr>
          <w:rFonts w:ascii="Book Antiqua"/>
          <w:color w:val="262626"/>
          <w:u w:color="262626"/>
          <w:rtl w:val="0"/>
          <w:lang w:val="it-IT"/>
        </w:rPr>
        <w:t xml:space="preserve"> (</w:t>
      </w:r>
      <w:r>
        <w:rPr>
          <w:rFonts w:hAnsi="Book Antiqua" w:hint="default"/>
          <w:color w:val="262626"/>
          <w:u w:color="262626"/>
          <w:rtl w:val="0"/>
          <w:lang w:val="it-IT"/>
        </w:rPr>
        <w:t xml:space="preserve">è </w:t>
      </w:r>
      <w:r>
        <w:rPr>
          <w:rFonts w:ascii="Book Antiqua"/>
          <w:color w:val="262626"/>
          <w:u w:color="262626"/>
          <w:rtl w:val="0"/>
          <w:lang w:val="it-IT"/>
        </w:rPr>
        <w:t xml:space="preserve">possibile operare questa sintesi) dai quali AMA </w:t>
      </w:r>
      <w:r>
        <w:rPr>
          <w:rFonts w:hAnsi="Book Antiqua" w:hint="default"/>
          <w:color w:val="262626"/>
          <w:u w:color="262626"/>
          <w:rtl w:val="0"/>
          <w:lang w:val="it-IT"/>
        </w:rPr>
        <w:t>è</w:t>
      </w:r>
      <w:r>
        <w:rPr>
          <w:rFonts w:ascii="Book Antiqua"/>
          <w:color w:val="262626"/>
          <w:u w:color="262626"/>
          <w:rtl w:val="0"/>
          <w:lang w:val="it-IT"/>
        </w:rPr>
        <w:t xml:space="preserve"> stata gravata in una prolungata fase.</w:t>
      </w:r>
    </w:p>
    <w:p>
      <w:pPr>
        <w:pStyle w:val="Normal"/>
        <w:widowControl w:val="0"/>
        <w:ind w:left="567" w:right="567" w:firstLine="0"/>
        <w:jc w:val="both"/>
        <w:rPr>
          <w:rFonts w:ascii="Book Antiqua" w:cs="Book Antiqua" w:hAnsi="Book Antiqua" w:eastAsia="Book Antiqua"/>
          <w:color w:val="262626"/>
          <w:u w:color="262626"/>
        </w:rPr>
      </w:pPr>
      <w:r>
        <w:rPr>
          <w:rFonts w:hAnsi="Book Antiqua" w:hint="default"/>
          <w:rtl w:val="0"/>
          <w:lang w:val="it-IT"/>
        </w:rPr>
        <w:t>“</w:t>
      </w:r>
      <w:r>
        <w:rPr>
          <w:rFonts w:ascii="Book Antiqua"/>
          <w:rtl w:val="0"/>
          <w:lang w:val="it-IT"/>
        </w:rPr>
        <w:t>Casualmente, in AMA il costo della differenziata era sempre a perdere, anche sulla valorizzazione dei flussi secchi. La carta, ad esempio, che tradizionalmente rappresenta un rifiuto facilmente gestibile, rappresentava per AMA una marginalit</w:t>
      </w:r>
      <w:r>
        <w:rPr>
          <w:rFonts w:hAnsi="Book Antiqua" w:hint="default"/>
          <w:rtl w:val="0"/>
          <w:lang w:val="it-IT"/>
        </w:rPr>
        <w:t xml:space="preserve">à </w:t>
      </w:r>
      <w:r>
        <w:rPr>
          <w:rFonts w:ascii="Book Antiqua"/>
          <w:rtl w:val="0"/>
          <w:lang w:val="it-IT"/>
        </w:rPr>
        <w:t>negativa. Per effetto della nuova gara [</w:t>
      </w:r>
      <w:r>
        <w:rPr>
          <w:rFonts w:hAnsi="Book Antiqua" w:hint="default"/>
          <w:rtl w:val="0"/>
          <w:lang w:val="it-IT"/>
        </w:rPr>
        <w:t>…</w:t>
      </w:r>
      <w:r>
        <w:rPr>
          <w:rFonts w:ascii="Book Antiqua"/>
          <w:rtl w:val="0"/>
          <w:lang w:val="it-IT"/>
        </w:rPr>
        <w:t xml:space="preserve">] anche qui c'era un tema di affidamenti diretti successivi </w:t>
      </w:r>
      <w:r>
        <w:rPr>
          <w:rFonts w:hAnsi="Book Antiqua" w:hint="default"/>
          <w:rtl w:val="0"/>
          <w:lang w:val="it-IT"/>
        </w:rPr>
        <w:t xml:space="preserve">– </w:t>
      </w:r>
      <w:r>
        <w:rPr>
          <w:rFonts w:ascii="Book Antiqua"/>
          <w:rtl w:val="0"/>
          <w:lang w:val="it-IT"/>
        </w:rPr>
        <w:t>si determina un'inversione di questo paradigma e si passa da una marginalit</w:t>
      </w:r>
      <w:r>
        <w:rPr>
          <w:rFonts w:hAnsi="Book Antiqua" w:hint="default"/>
          <w:rtl w:val="0"/>
          <w:lang w:val="it-IT"/>
        </w:rPr>
        <w:t xml:space="preserve">à </w:t>
      </w:r>
      <w:r>
        <w:rPr>
          <w:rFonts w:ascii="Book Antiqua"/>
          <w:rtl w:val="0"/>
          <w:lang w:val="it-IT"/>
        </w:rPr>
        <w:t>negativa, di circa 1,5 milioni, a una positiva di 2 milioni [</w:t>
      </w:r>
      <w:r>
        <w:rPr>
          <w:rFonts w:hAnsi="Book Antiqua" w:hint="default"/>
          <w:rtl w:val="0"/>
          <w:lang w:val="it-IT"/>
        </w:rPr>
        <w:t>…</w:t>
      </w:r>
      <w:r>
        <w:rPr>
          <w:rFonts w:ascii="Book Antiqua"/>
          <w:rtl w:val="0"/>
          <w:lang w:val="it-IT"/>
        </w:rPr>
        <w:t>] Nei TMB scopriamo che [</w:t>
      </w:r>
      <w:r>
        <w:rPr>
          <w:rFonts w:hAnsi="Book Antiqua" w:hint="default"/>
          <w:rtl w:val="0"/>
          <w:lang w:val="it-IT"/>
        </w:rPr>
        <w:t>…</w:t>
      </w:r>
      <w:r>
        <w:rPr>
          <w:rFonts w:ascii="Book Antiqua"/>
          <w:rtl w:val="0"/>
          <w:lang w:val="it-IT"/>
        </w:rPr>
        <w:t>] la gestione della movimentazione dei rifiuti, movimentati attraverso macchine operatrici, era appaltata all'esterno. Su questo chiedo conto del perch</w:t>
      </w:r>
      <w:r>
        <w:rPr>
          <w:rFonts w:hAnsi="Book Antiqua" w:hint="default"/>
          <w:rtl w:val="0"/>
          <w:lang w:val="it-IT"/>
        </w:rPr>
        <w:t xml:space="preserve">é </w:t>
      </w:r>
      <w:r>
        <w:rPr>
          <w:rFonts w:ascii="Book Antiqua"/>
          <w:rtl w:val="0"/>
          <w:lang w:val="it-IT"/>
        </w:rPr>
        <w:t>ci fosse un meccanismo di affidamento, che rinvengo nel rallentamento di una procedura che avrebbe dovuto garantire ad AMA l'acquisizione in proprio dei mezzi d'opera; acceleriamo le procedure per concludere e perfezionare quella procedura di affidamento e, ottenuti i mezzi d'opera in propriet</w:t>
      </w:r>
      <w:r>
        <w:rPr>
          <w:rFonts w:hAnsi="Book Antiqua" w:hint="default"/>
          <w:rtl w:val="0"/>
          <w:lang w:val="it-IT"/>
        </w:rPr>
        <w:t>à</w:t>
      </w:r>
      <w:r>
        <w:rPr>
          <w:rFonts w:ascii="Book Antiqua"/>
          <w:rtl w:val="0"/>
          <w:lang w:val="it-IT"/>
        </w:rPr>
        <w:t>, si procede a ricondurre nell'autonomia gestionale della societ</w:t>
      </w:r>
      <w:r>
        <w:rPr>
          <w:rFonts w:hAnsi="Book Antiqua" w:hint="default"/>
          <w:rtl w:val="0"/>
          <w:lang w:val="it-IT"/>
        </w:rPr>
        <w:t xml:space="preserve">à </w:t>
      </w:r>
      <w:r>
        <w:rPr>
          <w:rFonts w:ascii="Book Antiqua"/>
          <w:rtl w:val="0"/>
          <w:lang w:val="it-IT"/>
        </w:rPr>
        <w:t>uno dei trattamenti che, se appaltato a terzi, poteva determinare una dipendenza. Quelle macchine, infatti, muovono i rifiuti. Se non avessero funzionato o chi le manuteneva avesse vinto al Totocalcio, si sarebbe potuto determinare un semplice fatto: che se ne sarebbe andato e ci avrebbe lasciato senza mezzi. Questo porta all'allontanamento del soggetto che era stato incaricato, peraltro con affidamenti successivi a trattativa diretta e, quindi, alla riconduzione nell'autonomia gestionale di AMA di quest'attivit</w:t>
      </w:r>
      <w:r>
        <w:rPr>
          <w:rFonts w:hAnsi="Book Antiqua" w:hint="default"/>
          <w:rtl w:val="0"/>
          <w:lang w:val="it-IT"/>
        </w:rPr>
        <w:t xml:space="preserve">à </w:t>
      </w:r>
      <w:r>
        <w:rPr>
          <w:rFonts w:ascii="Book Antiqua"/>
          <w:rtl w:val="0"/>
          <w:lang w:val="it-IT"/>
        </w:rPr>
        <w:t>[</w:t>
      </w:r>
      <w:r>
        <w:rPr>
          <w:rFonts w:hAnsi="Book Antiqua" w:hint="default"/>
          <w:rtl w:val="0"/>
          <w:lang w:val="it-IT"/>
        </w:rPr>
        <w:t>…</w:t>
      </w:r>
      <w:r>
        <w:rPr>
          <w:rFonts w:ascii="Book Antiqua"/>
          <w:rtl w:val="0"/>
          <w:lang w:val="it-IT"/>
        </w:rPr>
        <w:t>]</w:t>
      </w:r>
      <w:r>
        <w:rPr>
          <w:rFonts w:hAnsi="Book Antiqua" w:hint="default"/>
          <w:rtl w:val="0"/>
          <w:lang w:val="it-IT"/>
        </w:rPr>
        <w:t> </w:t>
      </w:r>
      <w:r>
        <w:rPr>
          <w:rFonts w:ascii="Book Antiqua"/>
          <w:rtl w:val="0"/>
          <w:lang w:val="it-IT"/>
        </w:rPr>
        <w:t xml:space="preserve">Si parte da una </w:t>
      </w:r>
      <w:r>
        <w:rPr>
          <w:rFonts w:ascii="Book Antiqua"/>
          <w:i w:val="1"/>
          <w:iCs w:val="1"/>
          <w:rtl w:val="0"/>
          <w:lang w:val="it-IT"/>
        </w:rPr>
        <w:t>due diligence</w:t>
      </w:r>
      <w:r>
        <w:rPr>
          <w:rFonts w:ascii="Book Antiqua"/>
          <w:rtl w:val="0"/>
          <w:lang w:val="it-IT"/>
        </w:rPr>
        <w:t xml:space="preserve"> condotta</w:t>
      </w:r>
      <w:r>
        <w:rPr>
          <w:rFonts w:ascii="Book Antiqua"/>
          <w:color w:val="262626"/>
          <w:u w:color="262626"/>
          <w:rtl w:val="0"/>
          <w:lang w:val="it-IT"/>
        </w:rPr>
        <w:t xml:space="preserve"> sulla modalit</w:t>
      </w:r>
      <w:r>
        <w:rPr>
          <w:rFonts w:hAnsi="Book Antiqua" w:hint="default"/>
          <w:color w:val="262626"/>
          <w:u w:color="262626"/>
          <w:rtl w:val="0"/>
          <w:lang w:val="it-IT"/>
        </w:rPr>
        <w:t xml:space="preserve">à </w:t>
      </w:r>
      <w:r>
        <w:rPr>
          <w:rFonts w:ascii="Book Antiqua"/>
          <w:color w:val="262626"/>
          <w:u w:color="262626"/>
          <w:rtl w:val="0"/>
          <w:lang w:val="it-IT"/>
        </w:rPr>
        <w:t>con cui AMA provvedeva all'acquisto dei propri servizi e materiali. AMA ha un bilancio che determina costi appaltati che variano nell'ordine dei 300-350 milioni di euro l'anno. Si interviene sulle modalit</w:t>
      </w:r>
      <w:r>
        <w:rPr>
          <w:rFonts w:hAnsi="Book Antiqua" w:hint="default"/>
          <w:color w:val="262626"/>
          <w:u w:color="262626"/>
          <w:rtl w:val="0"/>
          <w:lang w:val="it-IT"/>
        </w:rPr>
        <w:t xml:space="preserve">à </w:t>
      </w:r>
      <w:r>
        <w:rPr>
          <w:rFonts w:ascii="Book Antiqua"/>
          <w:color w:val="262626"/>
          <w:u w:color="262626"/>
          <w:rtl w:val="0"/>
          <w:lang w:val="it-IT"/>
        </w:rPr>
        <w:t>con cui questo processo veniva gestito, andando a verificare quali anomalie in questo processo potevano essere rinvenute, in particolare modalit</w:t>
      </w:r>
      <w:r>
        <w:rPr>
          <w:rFonts w:hAnsi="Book Antiqua" w:hint="default"/>
          <w:color w:val="262626"/>
          <w:u w:color="262626"/>
          <w:rtl w:val="0"/>
          <w:lang w:val="it-IT"/>
        </w:rPr>
        <w:t xml:space="preserve">à </w:t>
      </w:r>
      <w:r>
        <w:rPr>
          <w:rFonts w:ascii="Book Antiqua"/>
          <w:color w:val="262626"/>
          <w:u w:color="262626"/>
          <w:rtl w:val="0"/>
          <w:lang w:val="it-IT"/>
        </w:rPr>
        <w:t xml:space="preserve">di affidamento diretto, di </w:t>
      </w:r>
      <w:r>
        <w:rPr>
          <w:rFonts w:ascii="Book Antiqua"/>
          <w:i w:val="1"/>
          <w:iCs w:val="1"/>
          <w:color w:val="262626"/>
          <w:u w:color="262626"/>
          <w:rtl w:val="0"/>
          <w:lang w:val="it-IT"/>
        </w:rPr>
        <w:t>prorogatio</w:t>
      </w:r>
      <w:r>
        <w:rPr>
          <w:rFonts w:ascii="Book Antiqua"/>
          <w:color w:val="262626"/>
          <w:u w:color="262626"/>
          <w:rtl w:val="0"/>
          <w:lang w:val="it-IT"/>
        </w:rPr>
        <w:t xml:space="preserve"> degli ordini, di trattative al di fuori delle procedure previste dalla normativa sui lavori pubblici. Svolgo quest'attivit</w:t>
      </w:r>
      <w:r>
        <w:rPr>
          <w:rFonts w:hAnsi="Book Antiqua" w:hint="default"/>
          <w:color w:val="262626"/>
          <w:u w:color="262626"/>
          <w:rtl w:val="0"/>
          <w:lang w:val="it-IT"/>
        </w:rPr>
        <w:t xml:space="preserve">à </w:t>
      </w:r>
      <w:r>
        <w:rPr>
          <w:rFonts w:ascii="Book Antiqua"/>
          <w:color w:val="262626"/>
          <w:u w:color="262626"/>
          <w:rtl w:val="0"/>
          <w:lang w:val="it-IT"/>
        </w:rPr>
        <w:t>immediatamente dopo l'insediamento, ritenendola di importanza fondamentale anche nella logica di presidio gestionale. Ci porta a identificare un valore percentuale di circa l'80 per cento delle procedure che erano fuori dal modello di affidamento secondo la normativa dei lavori pubblici. Su questo, peraltro, presentiamo, dandone comunicazione al presidente, che li fa propri e li presenta agli organi competenti, degli esposti sui casi che erano da attenzionare dalla procura della Repubblica. Questo porta a un'azione di presidio del processo, di analisi di quanto doveva essere fatto. Sostanzialmente, questo ci consente di arrivare, alla fine del 2015, a un'inversione di tendenza, in cui un'alta percentuale delle procedure rientra nei parametri previsti dalla normativa pubblica, come d'altronde non pu</w:t>
      </w:r>
      <w:r>
        <w:rPr>
          <w:rFonts w:hAnsi="Book Antiqua" w:hint="default"/>
          <w:color w:val="262626"/>
          <w:u w:color="262626"/>
          <w:rtl w:val="0"/>
          <w:lang w:val="it-IT"/>
        </w:rPr>
        <w:t xml:space="preserve">ò </w:t>
      </w:r>
      <w:r>
        <w:rPr>
          <w:rFonts w:ascii="Book Antiqua"/>
          <w:color w:val="262626"/>
          <w:u w:color="262626"/>
          <w:rtl w:val="0"/>
          <w:lang w:val="it-IT"/>
        </w:rPr>
        <w:t>che essere, al netto di casi che rimangono nella privativa industriale. Chiaramente, questo va anche con una tracciabilit</w:t>
      </w:r>
      <w:r>
        <w:rPr>
          <w:rFonts w:hAnsi="Book Antiqua" w:hint="default"/>
          <w:color w:val="262626"/>
          <w:u w:color="262626"/>
          <w:rtl w:val="0"/>
          <w:lang w:val="it-IT"/>
        </w:rPr>
        <w:t xml:space="preserve">à </w:t>
      </w:r>
      <w:r>
        <w:rPr>
          <w:rFonts w:ascii="Book Antiqua"/>
          <w:color w:val="262626"/>
          <w:u w:color="262626"/>
          <w:rtl w:val="0"/>
          <w:lang w:val="it-IT"/>
        </w:rPr>
        <w:t>documentale delle modalit</w:t>
      </w:r>
      <w:r>
        <w:rPr>
          <w:rFonts w:hAnsi="Book Antiqua" w:hint="default"/>
          <w:color w:val="262626"/>
          <w:u w:color="262626"/>
          <w:rtl w:val="0"/>
          <w:lang w:val="it-IT"/>
        </w:rPr>
        <w:t xml:space="preserve">à </w:t>
      </w:r>
      <w:r>
        <w:rPr>
          <w:rFonts w:ascii="Book Antiqua"/>
          <w:color w:val="262626"/>
          <w:u w:color="262626"/>
          <w:rtl w:val="0"/>
          <w:lang w:val="it-IT"/>
        </w:rPr>
        <w:t>di definizione del processo d'acquisto e, quindi, si introduce all'interno dei processi di evidenza un processo che porti, intanto, a tracciare chi sta facendo cosa, da dove nasce l'esigenza dell'acquisto, chi ha quest'esigenza e come si fa ci</w:t>
      </w:r>
      <w:r>
        <w:rPr>
          <w:rFonts w:hAnsi="Book Antiqua" w:hint="default"/>
          <w:color w:val="262626"/>
          <w:u w:color="262626"/>
          <w:rtl w:val="0"/>
          <w:lang w:val="it-IT"/>
        </w:rPr>
        <w:t>ò</w:t>
      </w:r>
      <w:r>
        <w:rPr>
          <w:rFonts w:ascii="Book Antiqua"/>
          <w:color w:val="262626"/>
          <w:u w:color="262626"/>
          <w:rtl w:val="0"/>
          <w:lang w:val="it-IT"/>
        </w:rPr>
        <w:t>. C'</w:t>
      </w:r>
      <w:r>
        <w:rPr>
          <w:rFonts w:hAnsi="Book Antiqua" w:hint="default"/>
          <w:color w:val="262626"/>
          <w:u w:color="262626"/>
          <w:rtl w:val="0"/>
          <w:lang w:val="it-IT"/>
        </w:rPr>
        <w:t xml:space="preserve">è </w:t>
      </w:r>
      <w:r>
        <w:rPr>
          <w:rFonts w:ascii="Book Antiqua"/>
          <w:color w:val="262626"/>
          <w:u w:color="262626"/>
          <w:rtl w:val="0"/>
          <w:lang w:val="it-IT"/>
        </w:rPr>
        <w:t>l'introduzione del meccanismo di congruit</w:t>
      </w:r>
      <w:r>
        <w:rPr>
          <w:rFonts w:hAnsi="Book Antiqua" w:hint="default"/>
          <w:color w:val="262626"/>
          <w:u w:color="262626"/>
          <w:rtl w:val="0"/>
          <w:lang w:val="it-IT"/>
        </w:rPr>
        <w:t xml:space="preserve">à </w:t>
      </w:r>
      <w:r>
        <w:rPr>
          <w:rFonts w:ascii="Book Antiqua"/>
          <w:color w:val="262626"/>
          <w:u w:color="262626"/>
          <w:rtl w:val="0"/>
          <w:lang w:val="it-IT"/>
        </w:rPr>
        <w:t>dei prezzi [</w:t>
      </w:r>
      <w:r>
        <w:rPr>
          <w:rFonts w:hAnsi="Book Antiqua" w:hint="default"/>
          <w:color w:val="262626"/>
          <w:u w:color="262626"/>
          <w:rtl w:val="0"/>
          <w:lang w:val="it-IT"/>
        </w:rPr>
        <w:t>…</w:t>
      </w:r>
      <w:r>
        <w:rPr>
          <w:rFonts w:ascii="Book Antiqua"/>
          <w:color w:val="262626"/>
          <w:u w:color="262626"/>
          <w:rtl w:val="0"/>
          <w:lang w:val="it-IT"/>
        </w:rPr>
        <w:t>] da una prima analisi dei prezzi della gara, avevamo riscontrato che, ad esempio, relativamente alla congruit</w:t>
      </w:r>
      <w:r>
        <w:rPr>
          <w:rFonts w:hAnsi="Book Antiqua" w:hint="default"/>
          <w:color w:val="262626"/>
          <w:u w:color="262626"/>
          <w:rtl w:val="0"/>
          <w:lang w:val="it-IT"/>
        </w:rPr>
        <w:t xml:space="preserve">à </w:t>
      </w:r>
      <w:r>
        <w:rPr>
          <w:rFonts w:ascii="Book Antiqua"/>
          <w:color w:val="262626"/>
          <w:u w:color="262626"/>
          <w:rtl w:val="0"/>
          <w:lang w:val="it-IT"/>
        </w:rPr>
        <w:t xml:space="preserve">della raccolta differenziata delle utenze commerciali, i valori posti a base di gara non erano in linea con i prezzi di mercato. [La gara] che ci ha portato a risparmiare il 30 per cento, </w:t>
      </w:r>
      <w:r>
        <w:rPr>
          <w:rFonts w:hAnsi="Book Antiqua" w:hint="default"/>
          <w:color w:val="262626"/>
          <w:u w:color="262626"/>
          <w:rtl w:val="0"/>
          <w:lang w:val="it-IT"/>
        </w:rPr>
        <w:t xml:space="preserve">è </w:t>
      </w:r>
      <w:r>
        <w:rPr>
          <w:rFonts w:ascii="Book Antiqua"/>
          <w:color w:val="262626"/>
          <w:u w:color="262626"/>
          <w:rtl w:val="0"/>
          <w:lang w:val="it-IT"/>
        </w:rPr>
        <w:t>partita da un abbattimento dei costi originari proprio grazie a un'analisi di mercato</w:t>
      </w:r>
      <w:r>
        <w:rPr>
          <w:rFonts w:hAnsi="Book Antiqua" w:hint="default"/>
          <w:color w:val="262626"/>
          <w:u w:color="262626"/>
          <w:rtl w:val="0"/>
          <w:lang w:val="it-IT"/>
        </w:rPr>
        <w:t>”</w:t>
      </w:r>
      <w:r>
        <w:rPr>
          <w:rFonts w:ascii="Book Antiqua"/>
          <w:color w:val="262626"/>
          <w:u w:color="262626"/>
          <w:rtl w:val="0"/>
          <w:lang w:val="it-IT"/>
        </w:rPr>
        <w:t>.</w:t>
      </w: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sz w:val="28"/>
          <w:szCs w:val="28"/>
        </w:rPr>
      </w:pPr>
      <w:r>
        <w:rPr>
          <w:rFonts w:ascii="Book Antiqua"/>
          <w:sz w:val="28"/>
          <w:szCs w:val="28"/>
          <w:rtl w:val="0"/>
          <w:lang w:val="it-IT"/>
        </w:rPr>
        <w:t xml:space="preserve">3.3 </w:t>
        <w:tab/>
        <w:t xml:space="preserve">La discarica di Malagrotta e il </w:t>
      </w:r>
      <w:r>
        <w:rPr>
          <w:rFonts w:hAnsi="Book Antiqua" w:hint="default"/>
          <w:sz w:val="28"/>
          <w:szCs w:val="28"/>
          <w:rtl w:val="0"/>
          <w:lang w:val="it-IT"/>
        </w:rPr>
        <w:t>“</w:t>
      </w:r>
      <w:r>
        <w:rPr>
          <w:rFonts w:ascii="Book Antiqua"/>
          <w:sz w:val="28"/>
          <w:szCs w:val="28"/>
          <w:rtl w:val="0"/>
          <w:lang w:val="it-IT"/>
        </w:rPr>
        <w:t>sistema</w:t>
      </w:r>
      <w:r>
        <w:rPr>
          <w:rFonts w:hAnsi="Book Antiqua" w:hint="default"/>
          <w:sz w:val="28"/>
          <w:szCs w:val="28"/>
          <w:rtl w:val="0"/>
          <w:lang w:val="it-IT"/>
        </w:rPr>
        <w:t>”</w:t>
      </w:r>
    </w:p>
    <w:p>
      <w:pPr>
        <w:pStyle w:val="Normal"/>
        <w:ind w:left="567" w:right="567" w:firstLine="0"/>
        <w:rPr>
          <w:rFonts w:ascii="Book Antiqua" w:cs="Book Antiqua" w:hAnsi="Book Antiqua" w:eastAsia="Book Antiqua"/>
        </w:rPr>
      </w:pPr>
    </w:p>
    <w:p>
      <w:pPr>
        <w:pStyle w:val="Normal"/>
        <w:ind w:left="567" w:right="567" w:firstLine="0"/>
        <w:rPr>
          <w:rFonts w:ascii="Book Antiqua" w:cs="Book Antiqua" w:hAnsi="Book Antiqua" w:eastAsia="Book Antiqua"/>
        </w:rPr>
      </w:pPr>
    </w:p>
    <w:p>
      <w:pPr>
        <w:pStyle w:val="Normal"/>
        <w:ind w:left="567" w:right="567" w:firstLine="0"/>
        <w:rPr>
          <w:rFonts w:ascii="Book Antiqua" w:cs="Book Antiqua" w:hAnsi="Book Antiqua" w:eastAsia="Book Antiqua"/>
          <w:sz w:val="28"/>
          <w:szCs w:val="28"/>
        </w:rPr>
      </w:pPr>
      <w:r>
        <w:rPr>
          <w:rFonts w:ascii="Book Antiqua"/>
          <w:sz w:val="28"/>
          <w:szCs w:val="28"/>
          <w:rtl w:val="0"/>
          <w:lang w:val="it-IT"/>
        </w:rPr>
        <w:t>3.3.1 Cenni di storia della discarica di Malagrotta</w:t>
      </w:r>
    </w:p>
    <w:p>
      <w:pPr>
        <w:pStyle w:val="Normal"/>
        <w:ind w:left="567" w:right="567" w:firstLine="0"/>
        <w:rPr>
          <w:rFonts w:ascii="Book Antiqua" w:cs="Book Antiqua" w:hAnsi="Book Antiqua" w:eastAsia="Book Antiqua"/>
        </w:rPr>
      </w:pPr>
    </w:p>
    <w:p>
      <w:pPr>
        <w:pStyle w:val="Normal"/>
        <w:ind w:left="567" w:right="567" w:firstLine="0"/>
        <w:jc w:val="both"/>
        <w:rPr>
          <w:rFonts w:ascii="Book Antiqua" w:cs="Book Antiqua" w:hAnsi="Book Antiqua" w:eastAsia="Book Antiqua"/>
        </w:rPr>
      </w:pPr>
      <w:r>
        <w:rPr>
          <w:rFonts w:ascii="Book Antiqua"/>
          <w:rtl w:val="0"/>
          <w:lang w:val="it-IT"/>
        </w:rPr>
        <w:t>Le vicende relative alla fase finale di attivit</w:t>
      </w:r>
      <w:r>
        <w:rPr>
          <w:rFonts w:hAnsi="Book Antiqua" w:hint="default"/>
          <w:rtl w:val="0"/>
          <w:lang w:val="it-IT"/>
        </w:rPr>
        <w:t xml:space="preserve">à </w:t>
      </w:r>
      <w:r>
        <w:rPr>
          <w:rFonts w:ascii="Book Antiqua"/>
          <w:rtl w:val="0"/>
          <w:lang w:val="it-IT"/>
        </w:rPr>
        <w:t xml:space="preserve">della discarica di Malagrotta, alla sua chiusura e alla situazione successiva sono state esaminate nel </w:t>
      </w:r>
      <w:r>
        <w:rPr>
          <w:rFonts w:hAnsi="Book Antiqua" w:hint="default"/>
          <w:rtl w:val="0"/>
          <w:lang w:val="it-IT"/>
        </w:rPr>
        <w:t xml:space="preserve">§ </w:t>
      </w:r>
      <w:r>
        <w:rPr>
          <w:rFonts w:ascii="Book Antiqua"/>
          <w:rtl w:val="0"/>
          <w:lang w:val="it-IT"/>
        </w:rPr>
        <w:t>2.2.</w:t>
      </w:r>
    </w:p>
    <w:p>
      <w:pPr>
        <w:pStyle w:val="Normal"/>
        <w:ind w:left="567" w:right="567" w:firstLine="0"/>
        <w:jc w:val="both"/>
        <w:rPr>
          <w:rFonts w:ascii="Book Antiqua" w:cs="Book Antiqua" w:hAnsi="Book Antiqua" w:eastAsia="Book Antiqua"/>
        </w:rPr>
      </w:pPr>
      <w:r>
        <w:rPr>
          <w:rFonts w:ascii="Book Antiqua"/>
          <w:rtl w:val="0"/>
          <w:lang w:val="it-IT"/>
        </w:rPr>
        <w:t>Per meglio comprendere le vicende giudiziarie e amministrative che attualmente riguardano l</w:t>
      </w:r>
      <w:r>
        <w:rPr>
          <w:rFonts w:hAnsi="Book Antiqua" w:hint="default"/>
          <w:rtl w:val="0"/>
          <w:lang w:val="it-IT"/>
        </w:rPr>
        <w:t>’</w:t>
      </w:r>
      <w:r>
        <w:rPr>
          <w:rFonts w:ascii="Book Antiqua"/>
          <w:rtl w:val="0"/>
          <w:lang w:val="it-IT"/>
        </w:rPr>
        <w:t xml:space="preserve">impianto, </w:t>
      </w:r>
      <w:r>
        <w:rPr>
          <w:rFonts w:hAnsi="Book Antiqua" w:hint="default"/>
          <w:rtl w:val="0"/>
          <w:lang w:val="it-IT"/>
        </w:rPr>
        <w:t xml:space="preserve">è </w:t>
      </w:r>
      <w:r>
        <w:rPr>
          <w:rFonts w:ascii="Book Antiqua"/>
          <w:rtl w:val="0"/>
          <w:lang w:val="it-IT"/>
        </w:rPr>
        <w:t>utile qualche cenno alla sua storia.</w:t>
      </w:r>
    </w:p>
    <w:p>
      <w:pPr>
        <w:pStyle w:val="Normal"/>
        <w:ind w:left="567" w:right="567" w:firstLine="0"/>
        <w:jc w:val="both"/>
        <w:rPr>
          <w:rFonts w:ascii="Book Antiqua" w:cs="Book Antiqua" w:hAnsi="Book Antiqua" w:eastAsia="Book Antiqua"/>
        </w:rPr>
      </w:pPr>
      <w:r>
        <w:rPr>
          <w:rFonts w:ascii="Book Antiqua"/>
          <w:rtl w:val="0"/>
          <w:lang w:val="it-IT"/>
        </w:rPr>
        <w:t>La discarica per rifiuti non pericolosi di Malagrotta, gestita dalla societ</w:t>
      </w:r>
      <w:r>
        <w:rPr>
          <w:rFonts w:hAnsi="Book Antiqua" w:hint="default"/>
          <w:rtl w:val="0"/>
          <w:lang w:val="it-IT"/>
        </w:rPr>
        <w:t xml:space="preserve">à </w:t>
      </w:r>
      <w:r>
        <w:rPr>
          <w:rFonts w:ascii="Book Antiqua"/>
          <w:rtl w:val="0"/>
          <w:lang w:val="it-IT"/>
        </w:rPr>
        <w:t>E. Giovi S.r.l., fu attivata dal 1974, su un</w:t>
      </w:r>
      <w:r>
        <w:rPr>
          <w:rFonts w:hAnsi="Book Antiqua" w:hint="default"/>
          <w:rtl w:val="0"/>
          <w:lang w:val="it-IT"/>
        </w:rPr>
        <w:t>’</w:t>
      </w:r>
      <w:r>
        <w:rPr>
          <w:rFonts w:ascii="Book Antiqua"/>
          <w:rtl w:val="0"/>
          <w:lang w:val="it-IT"/>
        </w:rPr>
        <w:t>area precedentemente utilizzata come cava di inerti per l</w:t>
      </w:r>
      <w:r>
        <w:rPr>
          <w:rFonts w:hAnsi="Book Antiqua" w:hint="default"/>
          <w:rtl w:val="0"/>
          <w:lang w:val="it-IT"/>
        </w:rPr>
        <w:t>’</w:t>
      </w:r>
      <w:r>
        <w:rPr>
          <w:rFonts w:ascii="Book Antiqua"/>
          <w:rtl w:val="0"/>
          <w:lang w:val="it-IT"/>
        </w:rPr>
        <w:t>edilizia.</w:t>
      </w:r>
    </w:p>
    <w:p>
      <w:pPr>
        <w:pStyle w:val="Normal"/>
        <w:ind w:left="567" w:right="567" w:firstLine="0"/>
        <w:jc w:val="both"/>
        <w:rPr>
          <w:rFonts w:ascii="Book Antiqua" w:cs="Book Antiqua" w:hAnsi="Book Antiqua" w:eastAsia="Book Antiqua"/>
        </w:rPr>
      </w:pPr>
      <w:r>
        <w:rPr>
          <w:rFonts w:ascii="Book Antiqua"/>
          <w:rtl w:val="0"/>
          <w:lang w:val="it-IT"/>
        </w:rPr>
        <w:t xml:space="preserve">Autorizzata allo smaltimento dei rifiuti solidi urbani e dei fanghi provenienti dagli impianti di depurazione dei liquami urbani, </w:t>
      </w:r>
      <w:r>
        <w:rPr>
          <w:rFonts w:hAnsi="Book Antiqua" w:hint="default"/>
          <w:rtl w:val="0"/>
          <w:lang w:val="it-IT"/>
        </w:rPr>
        <w:t xml:space="preserve">è </w:t>
      </w:r>
      <w:r>
        <w:rPr>
          <w:rFonts w:ascii="Book Antiqua"/>
          <w:rtl w:val="0"/>
          <w:lang w:val="it-IT"/>
        </w:rPr>
        <w:t>stata in attivit</w:t>
      </w:r>
      <w:r>
        <w:rPr>
          <w:rFonts w:hAnsi="Book Antiqua" w:hint="default"/>
          <w:rtl w:val="0"/>
          <w:lang w:val="it-IT"/>
        </w:rPr>
        <w:t>à</w:t>
      </w:r>
      <w:r>
        <w:rPr>
          <w:rFonts w:ascii="Book Antiqua"/>
          <w:rtl w:val="0"/>
          <w:lang w:val="it-IT"/>
        </w:rPr>
        <w:t xml:space="preserve"> per circa quarant</w:t>
      </w:r>
      <w:r>
        <w:rPr>
          <w:rFonts w:hAnsi="Book Antiqua" w:hint="default"/>
          <w:rtl w:val="0"/>
          <w:lang w:val="it-IT"/>
        </w:rPr>
        <w:t>’</w:t>
      </w:r>
      <w:r>
        <w:rPr>
          <w:rFonts w:ascii="Book Antiqua"/>
          <w:rtl w:val="0"/>
          <w:lang w:val="it-IT"/>
        </w:rPr>
        <w:t>anni: il 1</w:t>
      </w:r>
      <w:r>
        <w:rPr>
          <w:rFonts w:hAnsi="Book Antiqua" w:hint="default"/>
          <w:rtl w:val="0"/>
          <w:lang w:val="it-IT"/>
        </w:rPr>
        <w:t xml:space="preserve">° </w:t>
      </w:r>
      <w:r>
        <w:rPr>
          <w:rFonts w:ascii="Book Antiqua"/>
          <w:rtl w:val="0"/>
          <w:lang w:val="it-IT"/>
        </w:rPr>
        <w:t>ottobre 2013 sono state interrotte le attivit</w:t>
      </w:r>
      <w:r>
        <w:rPr>
          <w:rFonts w:hAnsi="Book Antiqua" w:hint="default"/>
          <w:rtl w:val="0"/>
          <w:lang w:val="it-IT"/>
        </w:rPr>
        <w:t xml:space="preserve">à </w:t>
      </w:r>
      <w:r>
        <w:rPr>
          <w:rFonts w:ascii="Book Antiqua"/>
          <w:rtl w:val="0"/>
          <w:lang w:val="it-IT"/>
        </w:rPr>
        <w:t>di conferimento dei rifiuti.</w:t>
      </w:r>
    </w:p>
    <w:p>
      <w:pPr>
        <w:pStyle w:val="Normal"/>
        <w:ind w:left="567" w:right="567" w:firstLine="0"/>
        <w:jc w:val="both"/>
        <w:rPr>
          <w:rFonts w:ascii="Book Antiqua" w:cs="Book Antiqua" w:hAnsi="Book Antiqua" w:eastAsia="Book Antiqua"/>
        </w:rPr>
      </w:pPr>
      <w:r>
        <w:rPr>
          <w:rFonts w:ascii="Book Antiqua"/>
          <w:rtl w:val="0"/>
          <w:lang w:val="it-IT"/>
        </w:rPr>
        <w:t>Oltre alla discarica, all</w:t>
      </w:r>
      <w:r>
        <w:rPr>
          <w:rFonts w:hAnsi="Book Antiqua" w:hint="default"/>
          <w:rtl w:val="0"/>
          <w:lang w:val="it-IT"/>
        </w:rPr>
        <w:t>’</w:t>
      </w:r>
      <w:r>
        <w:rPr>
          <w:rFonts w:ascii="Book Antiqua"/>
          <w:rtl w:val="0"/>
          <w:lang w:val="it-IT"/>
        </w:rPr>
        <w:t>interno delle aree della propriet</w:t>
      </w:r>
      <w:r>
        <w:rPr>
          <w:rFonts w:hAnsi="Book Antiqua" w:hint="default"/>
          <w:rtl w:val="0"/>
          <w:lang w:val="it-IT"/>
        </w:rPr>
        <w:t xml:space="preserve">à </w:t>
      </w:r>
      <w:r>
        <w:rPr>
          <w:rFonts w:ascii="Book Antiqua"/>
          <w:rtl w:val="0"/>
          <w:lang w:val="it-IT"/>
        </w:rPr>
        <w:t>E. Giovi sono presenti altre attivit</w:t>
      </w:r>
      <w:r>
        <w:rPr>
          <w:rFonts w:hAnsi="Book Antiqua" w:hint="default"/>
          <w:rtl w:val="0"/>
          <w:lang w:val="it-IT"/>
        </w:rPr>
        <w:t>à</w:t>
      </w:r>
      <w:r>
        <w:rPr>
          <w:rFonts w:ascii="Book Antiqua"/>
          <w:rtl w:val="0"/>
          <w:lang w:val="it-IT"/>
        </w:rPr>
        <w:t xml:space="preserve"> collegate al ciclo dei rifiuti e cio</w:t>
      </w:r>
      <w:r>
        <w:rPr>
          <w:rFonts w:hAnsi="Book Antiqua" w:hint="default"/>
          <w:rtl w:val="0"/>
          <w:lang w:val="it-IT"/>
        </w:rPr>
        <w:t>è</w:t>
      </w:r>
      <w:r>
        <w:rPr>
          <w:rFonts w:ascii="Book Antiqua"/>
          <w:rtl w:val="0"/>
          <w:lang w:val="it-IT"/>
        </w:rPr>
        <w:t>: un gassificatore per combustibile derivato dai rifiuti (CDR) gestito dal Consorzio Laziale Rifiuti (Co.La.Ri); due impianti di trattamento meccanico biologico (TMB) dei rifiuti denominati Malagrotta 1 e Malagrotta 2 e gestiti dal consorzio Co.La.Ri .</w:t>
      </w:r>
    </w:p>
    <w:p>
      <w:pPr>
        <w:pStyle w:val="Normal"/>
        <w:ind w:left="567" w:right="567" w:firstLine="0"/>
        <w:jc w:val="both"/>
        <w:rPr>
          <w:rFonts w:ascii="Book Antiqua" w:cs="Book Antiqua" w:hAnsi="Book Antiqua" w:eastAsia="Book Antiqua"/>
        </w:rPr>
      </w:pPr>
      <w:r>
        <w:rPr>
          <w:rFonts w:ascii="Book Antiqua"/>
          <w:rtl w:val="0"/>
          <w:lang w:val="it-IT"/>
        </w:rPr>
        <w:t>Per circa quarant</w:t>
      </w:r>
      <w:r>
        <w:rPr>
          <w:rFonts w:hAnsi="Book Antiqua" w:hint="default"/>
          <w:rtl w:val="0"/>
          <w:lang w:val="it-IT"/>
        </w:rPr>
        <w:t>’</w:t>
      </w:r>
      <w:r>
        <w:rPr>
          <w:rFonts w:ascii="Book Antiqua"/>
          <w:rtl w:val="0"/>
          <w:lang w:val="it-IT"/>
        </w:rPr>
        <w:t xml:space="preserve">anni, dunque, nella discarica sono stati conferiti i rifiuti provenienti dal comune di Roma, fino ad epoca recente sversati </w:t>
      </w:r>
      <w:r>
        <w:rPr>
          <w:rFonts w:hAnsi="Book Antiqua" w:hint="default"/>
          <w:rtl w:val="0"/>
          <w:lang w:val="it-IT"/>
        </w:rPr>
        <w:t>“</w:t>
      </w:r>
      <w:r>
        <w:rPr>
          <w:rFonts w:ascii="Book Antiqua"/>
          <w:rtl w:val="0"/>
          <w:lang w:val="it-IT"/>
        </w:rPr>
        <w:t>tal quale</w:t>
      </w:r>
      <w:r>
        <w:rPr>
          <w:rFonts w:hAnsi="Book Antiqua" w:hint="default"/>
          <w:rtl w:val="0"/>
          <w:lang w:val="it-IT"/>
        </w:rPr>
        <w:t>”</w:t>
      </w:r>
      <w:r>
        <w:rPr>
          <w:rFonts w:ascii="Book Antiqua"/>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 xml:space="preserve">La discarica </w:t>
      </w:r>
      <w:r>
        <w:rPr>
          <w:rFonts w:hAnsi="Book Antiqua" w:hint="default"/>
          <w:rtl w:val="0"/>
          <w:lang w:val="it-IT"/>
        </w:rPr>
        <w:t xml:space="preserve">è </w:t>
      </w:r>
      <w:r>
        <w:rPr>
          <w:rFonts w:ascii="Book Antiqua"/>
          <w:rtl w:val="0"/>
          <w:lang w:val="it-IT"/>
        </w:rPr>
        <w:t>suddivisa in dieci lotti con lettere dalla A alla L.</w:t>
      </w:r>
    </w:p>
    <w:p>
      <w:pPr>
        <w:pStyle w:val="Normal"/>
        <w:ind w:left="567" w:right="567" w:firstLine="0"/>
        <w:jc w:val="both"/>
        <w:rPr>
          <w:rFonts w:ascii="Book Antiqua" w:cs="Book Antiqua" w:hAnsi="Book Antiqua" w:eastAsia="Book Antiqua"/>
        </w:rPr>
      </w:pPr>
      <w:r>
        <w:rPr>
          <w:rFonts w:ascii="Book Antiqua"/>
          <w:rtl w:val="0"/>
          <w:lang w:val="it-IT"/>
        </w:rPr>
        <w:t xml:space="preserve">Esiste poi un ulteriore lotto cosiddetto </w:t>
      </w:r>
      <w:r>
        <w:rPr>
          <w:rFonts w:hAnsi="Book Antiqua" w:hint="default"/>
          <w:rtl w:val="0"/>
          <w:lang w:val="it-IT"/>
        </w:rPr>
        <w:t>“</w:t>
      </w:r>
      <w:r>
        <w:rPr>
          <w:rFonts w:ascii="Book Antiqua"/>
          <w:rtl w:val="0"/>
          <w:lang w:val="it-IT"/>
        </w:rPr>
        <w:t>intercluso</w:t>
      </w:r>
      <w:r>
        <w:rPr>
          <w:rFonts w:hAnsi="Book Antiqua" w:hint="default"/>
          <w:rtl w:val="0"/>
          <w:lang w:val="it-IT"/>
        </w:rPr>
        <w:t xml:space="preserve">” </w:t>
      </w:r>
      <w:r>
        <w:rPr>
          <w:rFonts w:ascii="Book Antiqua"/>
          <w:rtl w:val="0"/>
          <w:lang w:val="it-IT"/>
        </w:rPr>
        <w:t>di volumetria 750.000 metri cubi, approvato nel contesto del piano di adeguamento di cui al decreto commissariale n. 266/2005.</w:t>
      </w:r>
    </w:p>
    <w:p>
      <w:pPr>
        <w:pStyle w:val="Normal"/>
        <w:ind w:left="567" w:right="567" w:firstLine="0"/>
        <w:jc w:val="both"/>
        <w:rPr>
          <w:rFonts w:ascii="Book Antiqua" w:cs="Book Antiqua" w:hAnsi="Book Antiqua" w:eastAsia="Book Antiqua"/>
        </w:rPr>
      </w:pPr>
      <w:r>
        <w:rPr>
          <w:rFonts w:ascii="Book Antiqua"/>
          <w:rtl w:val="0"/>
          <w:lang w:val="it-IT"/>
        </w:rPr>
        <w:t>I lotti per l'abbancamento sono stati costruiti utilizzando materiale di scarto dell'attivit</w:t>
      </w:r>
      <w:r>
        <w:rPr>
          <w:rFonts w:hAnsi="Book Antiqua" w:hint="default"/>
          <w:rtl w:val="0"/>
          <w:lang w:val="it-IT"/>
        </w:rPr>
        <w:t xml:space="preserve">à </w:t>
      </w:r>
      <w:r>
        <w:rPr>
          <w:rFonts w:ascii="Book Antiqua"/>
          <w:rtl w:val="0"/>
          <w:lang w:val="it-IT"/>
        </w:rPr>
        <w:t>di cava (la cosiddetta</w:t>
      </w:r>
      <w:r>
        <w:rPr>
          <w:rFonts w:hAnsi="Book Antiqua" w:hint="default"/>
          <w:rtl w:val="0"/>
          <w:lang w:val="it-IT"/>
        </w:rPr>
        <w:t xml:space="preserve"> “</w:t>
      </w:r>
      <w:r>
        <w:rPr>
          <w:rFonts w:ascii="Book Antiqua"/>
          <w:rtl w:val="0"/>
          <w:lang w:val="it-IT"/>
        </w:rPr>
        <w:t>scoperta</w:t>
      </w:r>
      <w:r>
        <w:rPr>
          <w:rFonts w:hAnsi="Book Antiqua" w:hint="default"/>
          <w:rtl w:val="0"/>
          <w:lang w:val="it-IT"/>
        </w:rPr>
        <w:t>”</w:t>
      </w:r>
      <w:r>
        <w:rPr>
          <w:rFonts w:ascii="Book Antiqua"/>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 xml:space="preserve">Al di sotto dei lotti, l'isolamento idraulico </w:t>
      </w:r>
      <w:r>
        <w:rPr>
          <w:rFonts w:hAnsi="Book Antiqua" w:hint="default"/>
          <w:rtl w:val="0"/>
          <w:lang w:val="it-IT"/>
        </w:rPr>
        <w:t xml:space="preserve">è </w:t>
      </w:r>
      <w:r>
        <w:rPr>
          <w:rFonts w:ascii="Book Antiqua"/>
          <w:rtl w:val="0"/>
          <w:lang w:val="it-IT"/>
        </w:rPr>
        <w:t>fornito dalla spessa coltre di argille plioceniche del Monte delle Piche. Nei primi anni di gestione della discarica ovvero quando erano coltivati esclusivamente i  lotti A, B e C, era assente un sistema di isolamento perimetrale, non previsto dalla normativa vigente al tempo. Con l</w:t>
      </w:r>
      <w:r>
        <w:rPr>
          <w:rFonts w:hAnsi="Book Antiqua" w:hint="default"/>
          <w:rtl w:val="0"/>
          <w:lang w:val="it-IT"/>
        </w:rPr>
        <w:t>’</w:t>
      </w:r>
      <w:r>
        <w:rPr>
          <w:rFonts w:ascii="Book Antiqua"/>
          <w:rtl w:val="0"/>
          <w:lang w:val="it-IT"/>
        </w:rPr>
        <w:t xml:space="preserve">entrata in vigore del  decreto del Presidente della Repubblica 10 dicembre 1982, n. 915, fu avviato il progetto di adeguamento al decreto, completato e realizzato nel 1987, che prevedeva la realizzazione di un diaframma plastico di contenimento detto </w:t>
      </w:r>
      <w:r>
        <w:rPr>
          <w:rFonts w:ascii="Book Antiqua"/>
          <w:i w:val="1"/>
          <w:iCs w:val="1"/>
          <w:rtl w:val="0"/>
          <w:lang w:val="it-IT"/>
        </w:rPr>
        <w:t>polder</w:t>
      </w:r>
      <w:r>
        <w:rPr>
          <w:rFonts w:ascii="Book Antiqua"/>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Con l'entrata in vigore del decreto legislativo n. 22 del 1997, fu presentato il piano di normalizzazione, approvato con decreto commissariale n. 155/01.  In seguito all'entrata in vigore del decreto legislativo 36/2003 fu presentato nel luglio 2004 un piano di adeguamento, approvato poi con decreto commissariale n. 26/2005, in forza del quale l'impianto viene classificato come discarica per rifiuti non pericolosi.</w:t>
      </w: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sz w:val="28"/>
          <w:szCs w:val="28"/>
        </w:rPr>
      </w:pPr>
      <w:r>
        <w:rPr>
          <w:rFonts w:ascii="Book Antiqua"/>
          <w:sz w:val="28"/>
          <w:szCs w:val="28"/>
          <w:rtl w:val="0"/>
          <w:lang w:val="it-IT"/>
        </w:rPr>
        <w:t>3.3.2 Le vicende giurisdizionali amministrative e la verificazione disposta dal Consiglio di Stato</w:t>
      </w: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rPr>
      </w:pPr>
      <w:r>
        <w:rPr>
          <w:rFonts w:ascii="Book Antiqua"/>
          <w:rtl w:val="0"/>
          <w:lang w:val="it-IT"/>
        </w:rPr>
        <w:t>Sulle questioni ambientali relative alla discarica di Malagrotta particolarmente rilevante risulta l</w:t>
      </w:r>
      <w:r>
        <w:rPr>
          <w:rFonts w:hAnsi="Book Antiqua" w:hint="default"/>
          <w:rtl w:val="0"/>
          <w:lang w:val="it-IT"/>
        </w:rPr>
        <w:t>’</w:t>
      </w:r>
      <w:r>
        <w:rPr>
          <w:rFonts w:ascii="Book Antiqua"/>
          <w:rtl w:val="0"/>
          <w:lang w:val="it-IT"/>
        </w:rPr>
        <w:t>intervento giurisdizionale del Consiglio di Stato, nell</w:t>
      </w:r>
      <w:r>
        <w:rPr>
          <w:rFonts w:hAnsi="Book Antiqua" w:hint="default"/>
          <w:rtl w:val="0"/>
          <w:lang w:val="it-IT"/>
        </w:rPr>
        <w:t>’</w:t>
      </w:r>
      <w:r>
        <w:rPr>
          <w:rFonts w:ascii="Book Antiqua"/>
          <w:rtl w:val="0"/>
          <w:lang w:val="it-IT"/>
        </w:rPr>
        <w:t xml:space="preserve">ambito del quale </w:t>
      </w:r>
      <w:r>
        <w:rPr>
          <w:rFonts w:hAnsi="Book Antiqua" w:hint="default"/>
          <w:rtl w:val="0"/>
          <w:lang w:val="it-IT"/>
        </w:rPr>
        <w:t xml:space="preserve">è </w:t>
      </w:r>
      <w:r>
        <w:rPr>
          <w:rFonts w:ascii="Book Antiqua"/>
          <w:rtl w:val="0"/>
          <w:lang w:val="it-IT"/>
        </w:rPr>
        <w:t xml:space="preserve">stata disposta una verificazione </w:t>
      </w:r>
      <w:r>
        <w:rPr>
          <w:rFonts w:hAnsi="Book Antiqua" w:hint="default"/>
          <w:rtl w:val="0"/>
          <w:lang w:val="it-IT"/>
        </w:rPr>
        <w:t xml:space="preserve">– </w:t>
      </w:r>
      <w:r>
        <w:rPr>
          <w:rFonts w:ascii="Book Antiqua"/>
          <w:rtl w:val="0"/>
          <w:lang w:val="it-IT"/>
        </w:rPr>
        <w:t>affidata ad esperti del Politecnico di Torino - i cui risultati sono di interesse per la presente relazione e hanno costituito uno dei presupposti per l</w:t>
      </w:r>
      <w:r>
        <w:rPr>
          <w:rFonts w:hAnsi="Book Antiqua" w:hint="default"/>
          <w:rtl w:val="0"/>
          <w:lang w:val="it-IT"/>
        </w:rPr>
        <w:t>’</w:t>
      </w:r>
      <w:r>
        <w:rPr>
          <w:rFonts w:ascii="Book Antiqua"/>
          <w:rtl w:val="0"/>
          <w:lang w:val="it-IT"/>
        </w:rPr>
        <w:t>intervento anche dell</w:t>
      </w:r>
      <w:r>
        <w:rPr>
          <w:rFonts w:hAnsi="Book Antiqua" w:hint="default"/>
          <w:rtl w:val="0"/>
          <w:lang w:val="it-IT"/>
        </w:rPr>
        <w:t>’</w:t>
      </w:r>
      <w:r>
        <w:rPr>
          <w:rFonts w:ascii="Book Antiqua"/>
          <w:rtl w:val="0"/>
          <w:lang w:val="it-IT"/>
        </w:rPr>
        <w:t>autorit</w:t>
      </w:r>
      <w:r>
        <w:rPr>
          <w:rFonts w:hAnsi="Book Antiqua" w:hint="default"/>
          <w:rtl w:val="0"/>
          <w:lang w:val="it-IT"/>
        </w:rPr>
        <w:t xml:space="preserve">à </w:t>
      </w:r>
      <w:r>
        <w:rPr>
          <w:rFonts w:ascii="Book Antiqua"/>
          <w:rtl w:val="0"/>
          <w:lang w:val="it-IT"/>
        </w:rPr>
        <w:t>giudiziaria ordinaria penale.</w:t>
      </w:r>
    </w:p>
    <w:p>
      <w:pPr>
        <w:pStyle w:val="Normal"/>
        <w:ind w:left="567" w:right="567" w:firstLine="0"/>
        <w:jc w:val="both"/>
        <w:rPr>
          <w:rFonts w:ascii="Book Antiqua" w:cs="Book Antiqua" w:hAnsi="Book Antiqua" w:eastAsia="Book Antiqua"/>
        </w:rPr>
      </w:pPr>
      <w:r>
        <w:rPr>
          <w:rFonts w:ascii="Book Antiqua"/>
          <w:rtl w:val="0"/>
          <w:lang w:val="it-IT"/>
        </w:rPr>
        <w:t>L</w:t>
      </w:r>
      <w:r>
        <w:rPr>
          <w:rFonts w:hAnsi="Book Antiqua" w:hint="default"/>
          <w:rtl w:val="0"/>
          <w:lang w:val="it-IT"/>
        </w:rPr>
        <w:t>’</w:t>
      </w:r>
      <w:r>
        <w:rPr>
          <w:rFonts w:ascii="Book Antiqua"/>
          <w:rtl w:val="0"/>
          <w:lang w:val="it-IT"/>
        </w:rPr>
        <w:t>iter amministrativo e processuale che ha dato il via all</w:t>
      </w:r>
      <w:r>
        <w:rPr>
          <w:rFonts w:hAnsi="Book Antiqua" w:hint="default"/>
          <w:rtl w:val="0"/>
          <w:lang w:val="it-IT"/>
        </w:rPr>
        <w:t>’</w:t>
      </w:r>
      <w:r>
        <w:rPr>
          <w:rFonts w:ascii="Book Antiqua"/>
          <w:rtl w:val="0"/>
          <w:lang w:val="it-IT"/>
        </w:rPr>
        <w:t>intervento del collegio dei verificatori pu</w:t>
      </w:r>
      <w:r>
        <w:rPr>
          <w:rFonts w:hAnsi="Book Antiqua" w:hint="default"/>
          <w:rtl w:val="0"/>
          <w:lang w:val="it-IT"/>
        </w:rPr>
        <w:t xml:space="preserve">ò </w:t>
      </w:r>
      <w:r>
        <w:rPr>
          <w:rFonts w:ascii="Book Antiqua"/>
          <w:rtl w:val="0"/>
          <w:lang w:val="it-IT"/>
        </w:rPr>
        <w:t>essere fatto risalire alla formale apertura del procedimento di bonifica del sito della discarica di Malagrotta, avviato il 25 marzo 2003 a seguito della comunicazione effettuata da ARPA Lazio ai sensi dell</w:t>
      </w:r>
      <w:r>
        <w:rPr>
          <w:rFonts w:hAnsi="Book Antiqua" w:hint="default"/>
          <w:rtl w:val="0"/>
          <w:lang w:val="it-IT"/>
        </w:rPr>
        <w:t>’</w:t>
      </w:r>
      <w:r>
        <w:rPr>
          <w:rFonts w:ascii="Book Antiqua"/>
          <w:rtl w:val="0"/>
          <w:lang w:val="it-IT"/>
        </w:rPr>
        <w:t>articolo 8 del decreto ministeriale 471 del 1999 allora vigente.</w:t>
      </w:r>
    </w:p>
    <w:p>
      <w:pPr>
        <w:pStyle w:val="Normal"/>
        <w:ind w:left="567" w:right="567" w:firstLine="0"/>
        <w:jc w:val="both"/>
        <w:rPr>
          <w:rFonts w:ascii="Book Antiqua" w:cs="Book Antiqua" w:hAnsi="Book Antiqua" w:eastAsia="Book Antiqua"/>
        </w:rPr>
      </w:pPr>
      <w:r>
        <w:rPr>
          <w:rFonts w:ascii="Book Antiqua"/>
          <w:rtl w:val="0"/>
          <w:lang w:val="it-IT"/>
        </w:rPr>
        <w:t>Con decreto commissariale n. 43 del 22 maggio 2007 il commissario delegato per l</w:t>
      </w:r>
      <w:r>
        <w:rPr>
          <w:rFonts w:hAnsi="Book Antiqua" w:hint="default"/>
          <w:rtl w:val="0"/>
          <w:lang w:val="it-IT"/>
        </w:rPr>
        <w:t>’</w:t>
      </w:r>
      <w:r>
        <w:rPr>
          <w:rFonts w:ascii="Book Antiqua"/>
          <w:rtl w:val="0"/>
          <w:lang w:val="it-IT"/>
        </w:rPr>
        <w:t>emergenza ambientale del territorio della regione Lazio approvava il piano di caratterizzazione della discarica di Malagrotta ai sensi del decreto ministeriale 25 ottobre 1999, n. 471, e del decreto legislativo 3 aprile 2006, n. 152, richiedendo alla societ</w:t>
      </w:r>
      <w:r>
        <w:rPr>
          <w:rFonts w:hAnsi="Book Antiqua" w:hint="default"/>
          <w:rtl w:val="0"/>
          <w:lang w:val="it-IT"/>
        </w:rPr>
        <w:t xml:space="preserve">à </w:t>
      </w:r>
      <w:r>
        <w:rPr>
          <w:rFonts w:ascii="Book Antiqua"/>
          <w:rtl w:val="0"/>
          <w:lang w:val="it-IT"/>
        </w:rPr>
        <w:t>E. Giovi S.r.l., gestore del sito, di porre in essere quanto prima tutti gli interventi di messa in sicurezza di emergenza (MISE) idonei a contrastare efficacemente la diffusione della contaminazione nel sottosuolo ed in particolare la sua eventuale propagazione verso le aree esterne dello stesso.</w:t>
      </w:r>
    </w:p>
    <w:p>
      <w:pPr>
        <w:pStyle w:val="Normal"/>
        <w:ind w:left="567" w:right="567" w:firstLine="0"/>
        <w:jc w:val="both"/>
        <w:rPr>
          <w:rFonts w:ascii="Book Antiqua" w:cs="Book Antiqua" w:hAnsi="Book Antiqua" w:eastAsia="Book Antiqua"/>
        </w:rPr>
      </w:pPr>
      <w:r>
        <w:rPr>
          <w:rFonts w:ascii="Book Antiqua"/>
          <w:rtl w:val="0"/>
          <w:lang w:val="it-IT"/>
        </w:rPr>
        <w:t>Le attivit</w:t>
      </w:r>
      <w:r>
        <w:rPr>
          <w:rFonts w:hAnsi="Book Antiqua" w:hint="default"/>
          <w:rtl w:val="0"/>
          <w:lang w:val="it-IT"/>
        </w:rPr>
        <w:t xml:space="preserve">à </w:t>
      </w:r>
      <w:r>
        <w:rPr>
          <w:rFonts w:ascii="Book Antiqua"/>
          <w:rtl w:val="0"/>
          <w:lang w:val="it-IT"/>
        </w:rPr>
        <w:t xml:space="preserve">di caratterizzazione venivano effettuate dalla Giovi S.r.l. nel periodo agosto-settembre 2007. </w:t>
      </w:r>
    </w:p>
    <w:p>
      <w:pPr>
        <w:pStyle w:val="Normal"/>
        <w:ind w:left="567" w:right="567" w:firstLine="0"/>
        <w:jc w:val="both"/>
        <w:rPr>
          <w:rFonts w:ascii="Book Antiqua" w:cs="Book Antiqua" w:hAnsi="Book Antiqua" w:eastAsia="Book Antiqua"/>
        </w:rPr>
      </w:pPr>
      <w:r>
        <w:rPr>
          <w:rFonts w:ascii="Book Antiqua"/>
          <w:rtl w:val="0"/>
          <w:lang w:val="it-IT"/>
        </w:rPr>
        <w:t>Negli anni dal 2003 al 2008, ARPA Lazio conduceva un monitoraggio delle acque sotterranee dell</w:t>
      </w:r>
      <w:r>
        <w:rPr>
          <w:rFonts w:hAnsi="Book Antiqua" w:hint="default"/>
          <w:rtl w:val="0"/>
          <w:lang w:val="it-IT"/>
        </w:rPr>
        <w:t>’</w:t>
      </w:r>
      <w:r>
        <w:rPr>
          <w:rFonts w:ascii="Book Antiqua"/>
          <w:rtl w:val="0"/>
          <w:lang w:val="it-IT"/>
        </w:rPr>
        <w:t xml:space="preserve">area della discarica di Malagrotta. I controlli nello specifico avevano riguardato i piezometri denominati Z1, Z2, Z3, Z4, Z5, Z6, e Z7, tutti posizionati esternamente al </w:t>
      </w:r>
      <w:r>
        <w:rPr>
          <w:rFonts w:hAnsi="Book Antiqua" w:hint="default"/>
          <w:rtl w:val="0"/>
          <w:lang w:val="it-IT"/>
        </w:rPr>
        <w:t>“</w:t>
      </w:r>
      <w:r>
        <w:rPr>
          <w:rFonts w:ascii="Book Antiqua"/>
          <w:rtl w:val="0"/>
          <w:lang w:val="it-IT"/>
        </w:rPr>
        <w:t>polder</w:t>
      </w:r>
      <w:r>
        <w:rPr>
          <w:rFonts w:hAnsi="Book Antiqua" w:hint="default"/>
          <w:rtl w:val="0"/>
          <w:lang w:val="it-IT"/>
        </w:rPr>
        <w:t xml:space="preserve">” </w:t>
      </w:r>
      <w:r>
        <w:rPr>
          <w:rFonts w:ascii="Book Antiqua"/>
          <w:rtl w:val="0"/>
          <w:lang w:val="it-IT"/>
        </w:rPr>
        <w:t>della discarica. Le campagne di monitoraggio avevano rilevato la presenza di arsenico, ferro, manganese, nichel e solfati in concentrazioni superiori ai limiti normativi.</w:t>
      </w:r>
    </w:p>
    <w:p>
      <w:pPr>
        <w:pStyle w:val="Normal"/>
        <w:ind w:left="567" w:right="567" w:firstLine="0"/>
        <w:jc w:val="both"/>
        <w:rPr>
          <w:rFonts w:ascii="Book Antiqua" w:cs="Book Antiqua" w:hAnsi="Book Antiqua" w:eastAsia="Book Antiqua"/>
        </w:rPr>
      </w:pPr>
      <w:r>
        <w:rPr>
          <w:rFonts w:ascii="Book Antiqua"/>
          <w:rtl w:val="0"/>
          <w:lang w:val="it-IT"/>
        </w:rPr>
        <w:t>Il 30 giugno 2008, dopo la dismissione della struttura commissariale, il procedimento amministrativo veniva formalmente trasferito nelle competenze del comune di Roma.</w:t>
      </w:r>
    </w:p>
    <w:p>
      <w:pPr>
        <w:pStyle w:val="Normal"/>
        <w:ind w:left="567" w:right="567" w:firstLine="0"/>
        <w:jc w:val="both"/>
        <w:rPr>
          <w:rFonts w:ascii="Book Antiqua" w:cs="Book Antiqua" w:hAnsi="Book Antiqua" w:eastAsia="Book Antiqua"/>
        </w:rPr>
      </w:pPr>
      <w:r>
        <w:rPr>
          <w:rFonts w:ascii="Book Antiqua"/>
          <w:rtl w:val="0"/>
          <w:lang w:val="it-IT"/>
        </w:rPr>
        <w:t>Nel 2009 la campagna di monitoraggio delle acque sotterranee condotta da ARPA Lazio fu estesa a tutti i piezometri realizzati nell</w:t>
      </w:r>
      <w:r>
        <w:rPr>
          <w:rFonts w:hAnsi="Book Antiqua" w:hint="default"/>
          <w:rtl w:val="0"/>
          <w:lang w:val="it-IT"/>
        </w:rPr>
        <w:t>’</w:t>
      </w:r>
      <w:r>
        <w:rPr>
          <w:rFonts w:ascii="Book Antiqua"/>
          <w:rtl w:val="0"/>
          <w:lang w:val="it-IT"/>
        </w:rPr>
        <w:t>area della discarica di Malagrotta. In estrema sintesi i risultati complessivi dell</w:t>
      </w:r>
      <w:r>
        <w:rPr>
          <w:rFonts w:hAnsi="Book Antiqua" w:hint="default"/>
          <w:rtl w:val="0"/>
          <w:lang w:val="it-IT"/>
        </w:rPr>
        <w:t>’</w:t>
      </w:r>
      <w:r>
        <w:rPr>
          <w:rFonts w:ascii="Book Antiqua"/>
          <w:rtl w:val="0"/>
          <w:lang w:val="it-IT"/>
        </w:rPr>
        <w:t>agenzia regionale avevano rilevato uno stato di contaminazione diffuso delle acque sotterranee, sia interne che soprattutto esterne al sito, per i metalli e per inquinanti organici, con la presenza in alcuni piezometri esterni di analisi in elevate concentrazioni rispetto ai limiti fissati dalla tabella 2 allegato V titolo V parte IV del decreto legislativo n. 152 del 2006.</w:t>
      </w:r>
    </w:p>
    <w:p>
      <w:pPr>
        <w:pStyle w:val="Normal"/>
        <w:ind w:left="567" w:right="567" w:firstLine="0"/>
        <w:jc w:val="both"/>
        <w:rPr>
          <w:rFonts w:ascii="Book Antiqua" w:cs="Book Antiqua" w:hAnsi="Book Antiqua" w:eastAsia="Book Antiqua"/>
        </w:rPr>
      </w:pPr>
      <w:r>
        <w:rPr>
          <w:rFonts w:ascii="Book Antiqua"/>
          <w:rtl w:val="0"/>
          <w:lang w:val="it-IT"/>
        </w:rPr>
        <w:t>In sede di conferenza dei servizi del 26 ottobre 2009, il comune di Roma conveniva che le azioni poste in essere dalla E. Giovi non erano da ritenersi sufficienti e pertanto prescriveva, con le note QL62916 del 9 settembre 2009 e QL73734 del 26 ottobre 2009, specifiche attivit</w:t>
      </w:r>
      <w:r>
        <w:rPr>
          <w:rFonts w:hAnsi="Book Antiqua" w:hint="default"/>
          <w:rtl w:val="0"/>
          <w:lang w:val="it-IT"/>
        </w:rPr>
        <w:t xml:space="preserve">à </w:t>
      </w:r>
      <w:r>
        <w:rPr>
          <w:rFonts w:ascii="Book Antiqua"/>
          <w:rtl w:val="0"/>
          <w:lang w:val="it-IT"/>
        </w:rPr>
        <w:t>integrative di messa in sicurezza del sito. Visto il mancato recepimento delle note da parte del gestore della discarica e in virt</w:t>
      </w:r>
      <w:r>
        <w:rPr>
          <w:rFonts w:hAnsi="Book Antiqua" w:hint="default"/>
          <w:rtl w:val="0"/>
          <w:lang w:val="it-IT"/>
        </w:rPr>
        <w:t xml:space="preserve">ù </w:t>
      </w:r>
      <w:r>
        <w:rPr>
          <w:rFonts w:ascii="Book Antiqua"/>
          <w:rtl w:val="0"/>
          <w:lang w:val="it-IT"/>
        </w:rPr>
        <w:t>della successiva nota n. 50653 del 9 luglio 2010 inviata da ARPA Lazio in cui anche quest</w:t>
      </w:r>
      <w:r>
        <w:rPr>
          <w:rFonts w:hAnsi="Book Antiqua" w:hint="default"/>
          <w:rtl w:val="0"/>
          <w:lang w:val="it-IT"/>
        </w:rPr>
        <w:t>’</w:t>
      </w:r>
      <w:r>
        <w:rPr>
          <w:rFonts w:ascii="Book Antiqua"/>
          <w:rtl w:val="0"/>
          <w:lang w:val="it-IT"/>
        </w:rPr>
        <w:t>ultima ribadiva la necessit</w:t>
      </w:r>
      <w:r>
        <w:rPr>
          <w:rFonts w:hAnsi="Book Antiqua" w:hint="default"/>
          <w:rtl w:val="0"/>
          <w:lang w:val="it-IT"/>
        </w:rPr>
        <w:t xml:space="preserve">à </w:t>
      </w:r>
      <w:r>
        <w:rPr>
          <w:rFonts w:ascii="Book Antiqua"/>
          <w:rtl w:val="0"/>
          <w:lang w:val="it-IT"/>
        </w:rPr>
        <w:t>di misure di messa in sicurezza del sito volte a contenere la diffusione della contaminazione, nonch</w:t>
      </w:r>
      <w:r>
        <w:rPr>
          <w:rFonts w:hAnsi="Book Antiqua" w:hint="default"/>
          <w:rtl w:val="0"/>
          <w:lang w:val="it-IT"/>
        </w:rPr>
        <w:t xml:space="preserve">é </w:t>
      </w:r>
      <w:r>
        <w:rPr>
          <w:rFonts w:ascii="Book Antiqua"/>
          <w:rtl w:val="0"/>
          <w:lang w:val="it-IT"/>
        </w:rPr>
        <w:t>di successivi interventi di bonifica,</w:t>
      </w:r>
      <w:r>
        <w:rPr>
          <w:rFonts w:ascii="Book Antiqua"/>
          <w:color w:val="ff0000"/>
          <w:u w:color="ff0000"/>
          <w:rtl w:val="0"/>
          <w:lang w:val="it-IT"/>
        </w:rPr>
        <w:t xml:space="preserve"> </w:t>
      </w:r>
      <w:r>
        <w:rPr>
          <w:rFonts w:ascii="Book Antiqua"/>
          <w:rtl w:val="0"/>
          <w:lang w:val="it-IT"/>
        </w:rPr>
        <w:t>il sindaco di Roma</w:t>
      </w:r>
      <w:r>
        <w:rPr>
          <w:rFonts w:ascii="Book Antiqua"/>
          <w:color w:val="ff0000"/>
          <w:u w:color="ff0000"/>
          <w:rtl w:val="0"/>
          <w:lang w:val="it-IT"/>
        </w:rPr>
        <w:t xml:space="preserve"> </w:t>
      </w:r>
      <w:r>
        <w:rPr>
          <w:rFonts w:ascii="Book Antiqua"/>
          <w:rtl w:val="0"/>
          <w:lang w:val="it-IT"/>
        </w:rPr>
        <w:t>emetteva ordinanza contingibile ed urgente n. 255 del 12 novembre 2010, ex articolo 54 del decreto legislativo n. 267 del 2000.</w:t>
      </w:r>
    </w:p>
    <w:p>
      <w:pPr>
        <w:pStyle w:val="Normal"/>
        <w:ind w:left="567" w:right="567" w:firstLine="0"/>
        <w:jc w:val="both"/>
        <w:rPr>
          <w:rFonts w:ascii="Book Antiqua" w:cs="Book Antiqua" w:hAnsi="Book Antiqua" w:eastAsia="Book Antiqua"/>
        </w:rPr>
      </w:pPr>
      <w:r>
        <w:rPr>
          <w:rFonts w:ascii="Book Antiqua"/>
          <w:rtl w:val="0"/>
          <w:lang w:val="it-IT"/>
        </w:rPr>
        <w:t>L</w:t>
      </w:r>
      <w:r>
        <w:rPr>
          <w:rFonts w:hAnsi="Book Antiqua" w:hint="default"/>
          <w:rtl w:val="0"/>
          <w:lang w:val="it-IT"/>
        </w:rPr>
        <w:t>’</w:t>
      </w:r>
      <w:r>
        <w:rPr>
          <w:rFonts w:ascii="Book Antiqua"/>
          <w:rtl w:val="0"/>
          <w:lang w:val="it-IT"/>
        </w:rPr>
        <w:t>ordinanza prescriveva di:</w:t>
      </w:r>
    </w:p>
    <w:p>
      <w:pPr>
        <w:pStyle w:val="Paragrafo elenco1"/>
        <w:spacing w:after="0" w:line="240" w:lineRule="auto"/>
        <w:ind w:left="567" w:right="567" w:firstLine="0"/>
        <w:jc w:val="both"/>
        <w:rPr>
          <w:rFonts w:ascii="Book Antiqua" w:cs="Book Antiqua" w:hAnsi="Book Antiqua" w:eastAsia="Book Antiqua"/>
          <w:sz w:val="24"/>
          <w:szCs w:val="24"/>
        </w:rPr>
      </w:pPr>
      <w:r>
        <w:rPr>
          <w:rFonts w:ascii="Book Antiqua"/>
          <w:sz w:val="24"/>
          <w:szCs w:val="24"/>
          <w:rtl w:val="0"/>
          <w:lang w:val="it-IT"/>
        </w:rPr>
        <w:t>provvedere all'inversione del livello piezometrico della falda interna alla discarica, per garantire livelli minimi di differenza piezometrica idonei ad evitare la veicolazione di acque inquinate da questa verso le falde esterne alla barriera artificiale (</w:t>
      </w:r>
      <w:r>
        <w:rPr>
          <w:rFonts w:ascii="Book Antiqua"/>
          <w:i w:val="1"/>
          <w:iCs w:val="1"/>
          <w:sz w:val="24"/>
          <w:szCs w:val="24"/>
          <w:rtl w:val="0"/>
          <w:lang w:val="it-IT"/>
        </w:rPr>
        <w:t>polder</w:t>
      </w:r>
      <w:r>
        <w:rPr>
          <w:rFonts w:ascii="Book Antiqua"/>
          <w:sz w:val="24"/>
          <w:szCs w:val="24"/>
          <w:rtl w:val="0"/>
          <w:lang w:val="it-IT"/>
        </w:rPr>
        <w:t>) nonch</w:t>
      </w:r>
      <w:r>
        <w:rPr>
          <w:rFonts w:hAnsi="Book Antiqua" w:hint="default"/>
          <w:sz w:val="24"/>
          <w:szCs w:val="24"/>
          <w:rtl w:val="0"/>
          <w:lang w:val="it-IT"/>
        </w:rPr>
        <w:t xml:space="preserve">é </w:t>
      </w:r>
      <w:r>
        <w:rPr>
          <w:rFonts w:ascii="Book Antiqua"/>
          <w:sz w:val="24"/>
          <w:szCs w:val="24"/>
          <w:rtl w:val="0"/>
          <w:lang w:val="it-IT"/>
        </w:rPr>
        <w:t>di occuparsi del trattamento delle acque emunte nel rispetto della normativa vigente;</w:t>
      </w:r>
    </w:p>
    <w:p>
      <w:pPr>
        <w:pStyle w:val="Paragrafo elenco1"/>
        <w:spacing w:after="0" w:line="240" w:lineRule="auto"/>
        <w:ind w:left="567" w:right="567" w:firstLine="0"/>
        <w:jc w:val="both"/>
        <w:rPr>
          <w:rFonts w:ascii="Book Antiqua" w:cs="Book Antiqua" w:hAnsi="Book Antiqua" w:eastAsia="Book Antiqua"/>
          <w:sz w:val="24"/>
          <w:szCs w:val="24"/>
        </w:rPr>
      </w:pPr>
      <w:r>
        <w:rPr>
          <w:rFonts w:ascii="Book Antiqua"/>
          <w:sz w:val="24"/>
          <w:szCs w:val="24"/>
          <w:rtl w:val="0"/>
          <w:lang w:val="it-IT"/>
        </w:rPr>
        <w:t>realizzare prove con traccianti come prescritto dal decreto commissariale n. 43/2007;</w:t>
      </w:r>
    </w:p>
    <w:p>
      <w:pPr>
        <w:pStyle w:val="Paragrafo elenco1"/>
        <w:spacing w:after="0" w:line="240" w:lineRule="auto"/>
        <w:ind w:left="567" w:right="567" w:firstLine="0"/>
        <w:jc w:val="both"/>
        <w:rPr>
          <w:rFonts w:ascii="Book Antiqua" w:cs="Book Antiqua" w:hAnsi="Book Antiqua" w:eastAsia="Book Antiqua"/>
          <w:sz w:val="24"/>
          <w:szCs w:val="24"/>
        </w:rPr>
      </w:pPr>
      <w:r>
        <w:rPr>
          <w:rFonts w:ascii="Book Antiqua"/>
          <w:sz w:val="24"/>
          <w:szCs w:val="24"/>
          <w:rtl w:val="0"/>
          <w:lang w:val="it-IT"/>
        </w:rPr>
        <w:t>monitorare l'intera rete dei piezometri e pozzi per verificare l'efficacia delle azioni poste in essere per la messa in sicurezza (misura livelli piezometrici, campionamenti, analisi raffrontabili alle metodiche ARPA, rilevazioni di campo per l'individuazione delle caratteristiche chimico-fisiche delle acque, integrazione della rete di pozzi, comunicazione del programma di monitoraggio e azioni aggiuntive, segnalazione della presenza di pozzi e/o sorgenti bersaglio entro 1000 metri dai confini della discarica, mantenimento costante flusso di informazioni in ottemperanza al deliberazione della Giunta regionale n. 451/2008 che contiene le linee guida sulla bonifica dei siti contaminati).</w:t>
      </w:r>
    </w:p>
    <w:p>
      <w:pPr>
        <w:pStyle w:val="Normal"/>
        <w:ind w:left="567" w:right="567" w:firstLine="0"/>
        <w:jc w:val="both"/>
        <w:rPr>
          <w:rFonts w:ascii="Book Antiqua" w:cs="Book Antiqua" w:hAnsi="Book Antiqua" w:eastAsia="Book Antiqua"/>
        </w:rPr>
      </w:pPr>
      <w:r>
        <w:rPr>
          <w:rFonts w:ascii="Book Antiqua"/>
          <w:rtl w:val="0"/>
          <w:lang w:val="it-IT"/>
        </w:rPr>
        <w:t>Il 16 dicembre 2010 la societ</w:t>
      </w:r>
      <w:r>
        <w:rPr>
          <w:rFonts w:hAnsi="Book Antiqua" w:hint="default"/>
          <w:rtl w:val="0"/>
          <w:lang w:val="it-IT"/>
        </w:rPr>
        <w:t xml:space="preserve">à </w:t>
      </w:r>
      <w:r>
        <w:rPr>
          <w:rFonts w:ascii="Book Antiqua"/>
          <w:rtl w:val="0"/>
          <w:lang w:val="it-IT"/>
        </w:rPr>
        <w:t>E. Giovi presentava ricorso n. 11577/2010 innanzi al TAR Lazio per l'annullamento dell</w:t>
      </w:r>
      <w:r>
        <w:rPr>
          <w:rFonts w:hAnsi="Book Antiqua" w:hint="default"/>
          <w:rtl w:val="0"/>
          <w:lang w:val="it-IT"/>
        </w:rPr>
        <w:t>’</w:t>
      </w:r>
      <w:r>
        <w:rPr>
          <w:rFonts w:ascii="Book Antiqua"/>
          <w:rtl w:val="0"/>
          <w:lang w:val="it-IT"/>
        </w:rPr>
        <w:t>ordinanza sindacale. Si costituivano in giudizio il comune di Roma, ARPA Lazio,  l</w:t>
      </w:r>
      <w:r>
        <w:rPr>
          <w:rFonts w:hAnsi="Book Antiqua" w:hint="default"/>
          <w:rtl w:val="0"/>
          <w:lang w:val="it-IT"/>
        </w:rPr>
        <w:t>’</w:t>
      </w:r>
      <w:r>
        <w:rPr>
          <w:rFonts w:ascii="Book Antiqua"/>
          <w:rtl w:val="0"/>
          <w:lang w:val="it-IT"/>
        </w:rPr>
        <w:t xml:space="preserve">Asl 104-Rm/D e la provincia di Roma. Intervenivano </w:t>
      </w:r>
      <w:r>
        <w:rPr>
          <w:rFonts w:ascii="Book Antiqua"/>
          <w:i w:val="1"/>
          <w:iCs w:val="1"/>
          <w:rtl w:val="0"/>
          <w:lang w:val="it-IT"/>
        </w:rPr>
        <w:t xml:space="preserve">ad opponendum </w:t>
      </w:r>
      <w:r>
        <w:rPr>
          <w:rFonts w:ascii="Book Antiqua"/>
          <w:rtl w:val="0"/>
          <w:lang w:val="it-IT"/>
        </w:rPr>
        <w:t>le associazioni Codici Centro, Codici Lazio, Codici Ambiente e il comitato Malagrotta.</w:t>
      </w:r>
    </w:p>
    <w:p>
      <w:pPr>
        <w:pStyle w:val="Normal"/>
        <w:ind w:left="567" w:right="567" w:firstLine="0"/>
        <w:jc w:val="both"/>
        <w:rPr>
          <w:rFonts w:ascii="Book Antiqua" w:cs="Book Antiqua" w:hAnsi="Book Antiqua" w:eastAsia="Book Antiqua"/>
        </w:rPr>
      </w:pPr>
      <w:r>
        <w:rPr>
          <w:rFonts w:ascii="Book Antiqua"/>
          <w:rtl w:val="0"/>
          <w:lang w:val="it-IT"/>
        </w:rPr>
        <w:t>Il TAR Lazio, in sede di ricorso, concedeva, con ordinanza n. 240 del 2011, la sospensione cautelare dell'esecuzione dell'ordinanza del sindaco di Roma, disponendo altres</w:t>
      </w:r>
      <w:r>
        <w:rPr>
          <w:rFonts w:hAnsi="Book Antiqua" w:hint="default"/>
          <w:rtl w:val="0"/>
          <w:lang w:val="it-IT"/>
        </w:rPr>
        <w:t xml:space="preserve">ì </w:t>
      </w:r>
      <w:r>
        <w:rPr>
          <w:rFonts w:ascii="Book Antiqua"/>
          <w:rtl w:val="0"/>
          <w:lang w:val="it-IT"/>
        </w:rPr>
        <w:t>una verificazione ai sensi dell</w:t>
      </w:r>
      <w:r>
        <w:rPr>
          <w:rFonts w:hAnsi="Book Antiqua" w:hint="default"/>
          <w:rtl w:val="0"/>
          <w:lang w:val="it-IT"/>
        </w:rPr>
        <w:t>’</w:t>
      </w:r>
      <w:r>
        <w:rPr>
          <w:rFonts w:ascii="Book Antiqua"/>
          <w:rtl w:val="0"/>
          <w:lang w:val="it-IT"/>
        </w:rPr>
        <w:t xml:space="preserve">articolo 66 del decreto legislativo 2 luglio 2010, n. 104 (Codice del processo amministrativo). </w:t>
      </w:r>
    </w:p>
    <w:p>
      <w:pPr>
        <w:pStyle w:val="Normal"/>
        <w:ind w:left="567" w:right="567" w:firstLine="0"/>
        <w:jc w:val="both"/>
        <w:rPr>
          <w:rFonts w:ascii="Book Antiqua" w:cs="Book Antiqua" w:hAnsi="Book Antiqua" w:eastAsia="Book Antiqua"/>
        </w:rPr>
      </w:pPr>
      <w:r>
        <w:rPr>
          <w:rFonts w:ascii="Book Antiqua"/>
          <w:rtl w:val="0"/>
          <w:lang w:val="it-IT"/>
        </w:rPr>
        <w:t xml:space="preserve">La verificazione veniva affidata dal tribunale amministrativo al Presidente del Consiglio superiore dei lavori pubblici ovvero ad altro suo componente delegato, identificato successivamente nel professore Massimo Grisolia, docente di geotecnica presso il dipartimento di </w:t>
      </w:r>
      <w:r>
        <w:rPr>
          <w:rFonts w:ascii="Book Antiqua"/>
          <w:rtl w:val="0"/>
          <w:lang w:val="it-IT"/>
        </w:rPr>
        <w:t>ingegneria civile, edile e ambientale del</w:t>
      </w:r>
      <w:r>
        <w:rPr>
          <w:rFonts w:ascii="Book Antiqua"/>
          <w:rtl w:val="0"/>
          <w:lang w:val="it-IT"/>
        </w:rPr>
        <w:t>l</w:t>
      </w:r>
      <w:r>
        <w:rPr>
          <w:rFonts w:hAnsi="Book Antiqua" w:hint="default"/>
          <w:rtl w:val="0"/>
          <w:lang w:val="it-IT"/>
        </w:rPr>
        <w:t>’</w:t>
      </w:r>
      <w:r>
        <w:rPr>
          <w:rFonts w:ascii="Book Antiqua"/>
          <w:rtl w:val="0"/>
          <w:lang w:val="it-IT"/>
        </w:rPr>
        <w:t>Universit</w:t>
      </w:r>
      <w:r>
        <w:rPr>
          <w:rFonts w:hAnsi="Book Antiqua" w:hint="default"/>
          <w:rtl w:val="0"/>
          <w:lang w:val="it-IT"/>
        </w:rPr>
        <w:t xml:space="preserve">à </w:t>
      </w:r>
      <w:r>
        <w:rPr>
          <w:rFonts w:ascii="Book Antiqua"/>
          <w:rtl w:val="0"/>
          <w:lang w:val="it-IT"/>
        </w:rPr>
        <w:t>La Sapienza di Roma.</w:t>
      </w:r>
    </w:p>
    <w:p>
      <w:pPr>
        <w:pStyle w:val="Normal"/>
        <w:ind w:left="567" w:right="567" w:firstLine="0"/>
        <w:jc w:val="both"/>
        <w:rPr>
          <w:rFonts w:ascii="Book Antiqua" w:cs="Book Antiqua" w:hAnsi="Book Antiqua" w:eastAsia="Book Antiqua"/>
        </w:rPr>
      </w:pPr>
      <w:r>
        <w:rPr>
          <w:rFonts w:ascii="Book Antiqua"/>
          <w:rtl w:val="0"/>
          <w:lang w:val="it-IT"/>
        </w:rPr>
        <w:t>Il professor Grisolia era chiamato ad esprimersi su tre specifici quesiti riguardanti:</w:t>
      </w:r>
    </w:p>
    <w:p>
      <w:pPr>
        <w:pStyle w:val="Normal"/>
        <w:ind w:left="567" w:right="567" w:firstLine="0"/>
        <w:jc w:val="both"/>
        <w:rPr>
          <w:rFonts w:ascii="Book Antiqua" w:cs="Book Antiqua" w:hAnsi="Book Antiqua" w:eastAsia="Book Antiqua"/>
        </w:rPr>
      </w:pPr>
      <w:r>
        <w:rPr>
          <w:rFonts w:ascii="Book Antiqua"/>
          <w:rtl w:val="0"/>
          <w:lang w:val="it-IT"/>
        </w:rPr>
        <w:t>1) l</w:t>
      </w:r>
      <w:r>
        <w:rPr>
          <w:rFonts w:hAnsi="Book Antiqua" w:hint="default"/>
          <w:rtl w:val="0"/>
          <w:lang w:val="it-IT"/>
        </w:rPr>
        <w:t>’</w:t>
      </w:r>
      <w:r>
        <w:rPr>
          <w:rFonts w:ascii="Book Antiqua"/>
          <w:rtl w:val="0"/>
          <w:lang w:val="it-IT"/>
        </w:rPr>
        <w:t>idoneit</w:t>
      </w:r>
      <w:r>
        <w:rPr>
          <w:rFonts w:hAnsi="Book Antiqua" w:hint="default"/>
          <w:rtl w:val="0"/>
          <w:lang w:val="it-IT"/>
        </w:rPr>
        <w:t xml:space="preserve">à </w:t>
      </w:r>
      <w:r>
        <w:rPr>
          <w:rFonts w:ascii="Book Antiqua"/>
          <w:rtl w:val="0"/>
          <w:lang w:val="it-IT"/>
        </w:rPr>
        <w:t>degli interventi imposti dall'ordinanza a soddisfare i pubblici interessi;</w:t>
      </w:r>
    </w:p>
    <w:p>
      <w:pPr>
        <w:pStyle w:val="Normal"/>
        <w:ind w:left="567" w:right="567" w:firstLine="0"/>
        <w:jc w:val="both"/>
        <w:rPr>
          <w:rFonts w:ascii="Book Antiqua" w:cs="Book Antiqua" w:hAnsi="Book Antiqua" w:eastAsia="Book Antiqua"/>
        </w:rPr>
      </w:pPr>
      <w:r>
        <w:rPr>
          <w:rFonts w:ascii="Book Antiqua"/>
          <w:rtl w:val="0"/>
          <w:lang w:val="it-IT"/>
        </w:rPr>
        <w:t>2) le condizioni di realizzabilit</w:t>
      </w:r>
      <w:r>
        <w:rPr>
          <w:rFonts w:hAnsi="Book Antiqua" w:hint="default"/>
          <w:rtl w:val="0"/>
          <w:lang w:val="it-IT"/>
        </w:rPr>
        <w:t xml:space="preserve">à </w:t>
      </w:r>
      <w:r>
        <w:rPr>
          <w:rFonts w:ascii="Book Antiqua"/>
          <w:rtl w:val="0"/>
          <w:lang w:val="it-IT"/>
        </w:rPr>
        <w:t>e fattibilit</w:t>
      </w:r>
      <w:r>
        <w:rPr>
          <w:rFonts w:hAnsi="Book Antiqua" w:hint="default"/>
          <w:rtl w:val="0"/>
          <w:lang w:val="it-IT"/>
        </w:rPr>
        <w:t xml:space="preserve">à </w:t>
      </w:r>
      <w:r>
        <w:rPr>
          <w:rFonts w:ascii="Book Antiqua"/>
          <w:rtl w:val="0"/>
          <w:lang w:val="it-IT"/>
        </w:rPr>
        <w:t>degli interventi;</w:t>
      </w:r>
    </w:p>
    <w:p>
      <w:pPr>
        <w:pStyle w:val="Normal"/>
        <w:ind w:left="567" w:right="567" w:firstLine="0"/>
        <w:jc w:val="both"/>
        <w:rPr>
          <w:rFonts w:ascii="Book Antiqua" w:cs="Book Antiqua" w:hAnsi="Book Antiqua" w:eastAsia="Book Antiqua"/>
        </w:rPr>
      </w:pPr>
      <w:r>
        <w:rPr>
          <w:rFonts w:ascii="Book Antiqua"/>
          <w:rtl w:val="0"/>
          <w:lang w:val="it-IT"/>
        </w:rPr>
        <w:t>3)  i margini di riconducibilit</w:t>
      </w:r>
      <w:r>
        <w:rPr>
          <w:rFonts w:hAnsi="Book Antiqua" w:hint="default"/>
          <w:rtl w:val="0"/>
          <w:lang w:val="it-IT"/>
        </w:rPr>
        <w:t xml:space="preserve">à </w:t>
      </w:r>
      <w:r>
        <w:rPr>
          <w:rFonts w:ascii="Book Antiqua"/>
          <w:rtl w:val="0"/>
          <w:lang w:val="it-IT"/>
        </w:rPr>
        <w:t>dei fenomeni di inquinamento.</w:t>
      </w:r>
    </w:p>
    <w:p>
      <w:pPr>
        <w:pStyle w:val="Normal"/>
        <w:ind w:left="567" w:right="567" w:firstLine="0"/>
        <w:jc w:val="both"/>
        <w:rPr>
          <w:rFonts w:ascii="Book Antiqua" w:cs="Book Antiqua" w:hAnsi="Book Antiqua" w:eastAsia="Book Antiqua"/>
        </w:rPr>
      </w:pPr>
      <w:r>
        <w:rPr>
          <w:rFonts w:ascii="Book Antiqua"/>
          <w:rtl w:val="0"/>
          <w:lang w:val="it-IT"/>
        </w:rPr>
        <w:t>In estrema sintesi, nella sua relazione, il verificatore dichiar</w:t>
      </w:r>
      <w:r>
        <w:rPr>
          <w:rFonts w:hAnsi="Book Antiqua" w:hint="default"/>
          <w:rtl w:val="0"/>
          <w:lang w:val="it-IT"/>
        </w:rPr>
        <w:t xml:space="preserve">ò </w:t>
      </w:r>
      <w:r>
        <w:rPr>
          <w:rFonts w:ascii="Book Antiqua"/>
          <w:rtl w:val="0"/>
          <w:lang w:val="it-IT"/>
        </w:rPr>
        <w:t xml:space="preserve">tra le altre cose che </w:t>
      </w:r>
      <w:r>
        <w:rPr>
          <w:rFonts w:hAnsi="Book Antiqua" w:hint="default"/>
          <w:rtl w:val="0"/>
          <w:lang w:val="it-IT"/>
        </w:rPr>
        <w:t>“</w:t>
      </w:r>
      <w:r>
        <w:rPr>
          <w:rFonts w:ascii="Book Antiqua"/>
          <w:rtl w:val="0"/>
          <w:lang w:val="it-IT"/>
        </w:rPr>
        <w:t>le prescrizioni contenute nell</w:t>
      </w:r>
      <w:r>
        <w:rPr>
          <w:rFonts w:hAnsi="Book Antiqua" w:hint="default"/>
          <w:rtl w:val="0"/>
          <w:lang w:val="it-IT"/>
        </w:rPr>
        <w:t>’</w:t>
      </w:r>
      <w:r>
        <w:rPr>
          <w:rFonts w:ascii="Book Antiqua"/>
          <w:rtl w:val="0"/>
          <w:lang w:val="it-IT"/>
        </w:rPr>
        <w:t>ordinanza del sindaco di Roma, sia pur ispirate da una ragionevole esigenza di salvaguardia ambientale, non sono da ritenere idonee al caso in quanto prive di pratica fattibilit</w:t>
      </w:r>
      <w:r>
        <w:rPr>
          <w:rFonts w:hAnsi="Book Antiqua" w:hint="default"/>
          <w:rtl w:val="0"/>
          <w:lang w:val="it-IT"/>
        </w:rPr>
        <w:t xml:space="preserve">à </w:t>
      </w:r>
      <w:r>
        <w:rPr>
          <w:rFonts w:ascii="Book Antiqua"/>
          <w:rtl w:val="0"/>
          <w:lang w:val="it-IT"/>
        </w:rPr>
        <w:t>nei termini in cui queste vengono enunciate</w:t>
      </w:r>
      <w:r>
        <w:rPr>
          <w:rFonts w:hAnsi="Book Antiqua" w:hint="default"/>
          <w:rtl w:val="0"/>
          <w:lang w:val="it-IT"/>
        </w:rPr>
        <w:t>”</w:t>
      </w:r>
      <w:r>
        <w:rPr>
          <w:rFonts w:ascii="Book Antiqua"/>
          <w:rtl w:val="0"/>
          <w:lang w:val="it-IT"/>
        </w:rPr>
        <w:t xml:space="preserve"> e</w:t>
      </w:r>
      <w:r>
        <w:rPr>
          <w:rFonts w:hAnsi="Book Antiqua" w:hint="default"/>
          <w:rtl w:val="0"/>
          <w:lang w:val="it-IT"/>
        </w:rPr>
        <w:t xml:space="preserve"> “</w:t>
      </w:r>
      <w:r>
        <w:rPr>
          <w:rFonts w:ascii="Book Antiqua"/>
          <w:rtl w:val="0"/>
          <w:lang w:val="it-IT"/>
        </w:rPr>
        <w:t>pur non potendo escludere un effetto indotto dalla discarica sul carico ambientale complessivo</w:t>
      </w:r>
      <w:r>
        <w:rPr>
          <w:rFonts w:hAnsi="Book Antiqua" w:hint="default"/>
          <w:rtl w:val="0"/>
          <w:lang w:val="it-IT"/>
        </w:rPr>
        <w:t xml:space="preserve">” </w:t>
      </w:r>
      <w:r>
        <w:rPr>
          <w:rFonts w:ascii="Book Antiqua"/>
          <w:rtl w:val="0"/>
          <w:lang w:val="it-IT"/>
        </w:rPr>
        <w:t>riteneva mancanti dati significativi sufficienti a ricondurre i presupposti di quel provvedimento amministrativo all</w:t>
      </w:r>
      <w:r>
        <w:rPr>
          <w:rFonts w:hAnsi="Book Antiqua" w:hint="default"/>
          <w:rtl w:val="0"/>
          <w:lang w:val="it-IT"/>
        </w:rPr>
        <w:t>’</w:t>
      </w:r>
      <w:r>
        <w:rPr>
          <w:rFonts w:ascii="Book Antiqua"/>
          <w:rtl w:val="0"/>
          <w:lang w:val="it-IT"/>
        </w:rPr>
        <w:t>attivit</w:t>
      </w:r>
      <w:r>
        <w:rPr>
          <w:rFonts w:hAnsi="Book Antiqua" w:hint="default"/>
          <w:rtl w:val="0"/>
          <w:lang w:val="it-IT"/>
        </w:rPr>
        <w:t xml:space="preserve">à </w:t>
      </w:r>
      <w:r>
        <w:rPr>
          <w:rFonts w:ascii="Book Antiqua"/>
          <w:rtl w:val="0"/>
          <w:lang w:val="it-IT"/>
        </w:rPr>
        <w:t>svolta nella discarica di Malagrotta.</w:t>
      </w:r>
    </w:p>
    <w:p>
      <w:pPr>
        <w:pStyle w:val="Normal"/>
        <w:ind w:left="567" w:right="567" w:firstLine="0"/>
        <w:jc w:val="both"/>
        <w:rPr>
          <w:rFonts w:ascii="Book Antiqua" w:cs="Book Antiqua" w:hAnsi="Book Antiqua" w:eastAsia="Book Antiqua"/>
        </w:rPr>
      </w:pPr>
      <w:r>
        <w:rPr>
          <w:rFonts w:ascii="Book Antiqua"/>
          <w:rtl w:val="0"/>
          <w:lang w:val="it-IT"/>
        </w:rPr>
        <w:t>Il TAR Lazio, aderendo alle conclusioni della verificazione, con sentenza n. 6617/2011, accoglieva il ricorso della E. Giovi S.r.l. e annullava l</w:t>
      </w:r>
      <w:r>
        <w:rPr>
          <w:rFonts w:hAnsi="Book Antiqua" w:hint="default"/>
          <w:rtl w:val="0"/>
          <w:lang w:val="it-IT"/>
        </w:rPr>
        <w:t>’</w:t>
      </w:r>
      <w:r>
        <w:rPr>
          <w:rFonts w:ascii="Book Antiqua"/>
          <w:rtl w:val="0"/>
          <w:lang w:val="it-IT"/>
        </w:rPr>
        <w:t>ordinanza sindacale n. 255/2010.</w:t>
      </w:r>
    </w:p>
    <w:p>
      <w:pPr>
        <w:pStyle w:val="Normal"/>
        <w:ind w:left="567" w:right="567" w:firstLine="0"/>
        <w:jc w:val="both"/>
        <w:rPr>
          <w:rFonts w:ascii="Book Antiqua" w:cs="Book Antiqua" w:hAnsi="Book Antiqua" w:eastAsia="Book Antiqua"/>
        </w:rPr>
      </w:pPr>
      <w:r>
        <w:rPr>
          <w:rFonts w:ascii="Book Antiqua"/>
          <w:rtl w:val="0"/>
          <w:lang w:val="it-IT"/>
        </w:rPr>
        <w:t>Contro questa pronuncia di primo grado il comune di Roma, l</w:t>
      </w:r>
      <w:r>
        <w:rPr>
          <w:rFonts w:hAnsi="Book Antiqua" w:hint="default"/>
          <w:rtl w:val="0"/>
          <w:lang w:val="it-IT"/>
        </w:rPr>
        <w:t>’</w:t>
      </w:r>
      <w:r>
        <w:rPr>
          <w:rFonts w:ascii="Book Antiqua"/>
          <w:rtl w:val="0"/>
          <w:lang w:val="it-IT"/>
        </w:rPr>
        <w:t>ARPA Lazio e le associazioni Codici Centro, Codici Lazio, Codici Ambiente e il comitato Malagrotta presentavano separati appelli, successivamente riuniti</w:t>
      </w:r>
      <w:r>
        <w:rPr>
          <w:rFonts w:ascii="Book Antiqua" w:cs="Book Antiqua" w:hAnsi="Book Antiqua" w:eastAsia="Book Antiqua"/>
          <w:vertAlign w:val="superscript"/>
          <w:rtl w:val="0"/>
        </w:rPr>
        <w:footnoteReference w:id="185"/>
      </w:r>
      <w:r>
        <w:rPr>
          <w:rFonts w:ascii="Book Antiqua"/>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Con sentenza 2539/2012 depositata in data 3 maggio 2012, la V Sezione del Consiglio di Stato, per ovviare tra le altre cose anche all</w:t>
      </w:r>
      <w:r>
        <w:rPr>
          <w:rFonts w:hAnsi="Book Antiqua" w:hint="default"/>
          <w:rtl w:val="0"/>
          <w:lang w:val="it-IT"/>
        </w:rPr>
        <w:t>’</w:t>
      </w:r>
      <w:r>
        <w:rPr>
          <w:rFonts w:ascii="Book Antiqua"/>
          <w:rtl w:val="0"/>
          <w:lang w:val="it-IT"/>
        </w:rPr>
        <w:t xml:space="preserve">elemento dei mancati sopralluoghi </w:t>
      </w:r>
      <w:r>
        <w:rPr>
          <w:rFonts w:ascii="Book Antiqua"/>
          <w:i w:val="1"/>
          <w:iCs w:val="1"/>
          <w:rtl w:val="0"/>
          <w:lang w:val="it-IT"/>
        </w:rPr>
        <w:t>in situ</w:t>
      </w:r>
      <w:r>
        <w:rPr>
          <w:rFonts w:ascii="Book Antiqua"/>
          <w:rtl w:val="0"/>
          <w:lang w:val="it-IT"/>
        </w:rPr>
        <w:t xml:space="preserve"> da parte del verificatore Grisolia e ritenendo necessario un rinnovato ed approfondito esame - considerata la complessit</w:t>
      </w:r>
      <w:r>
        <w:rPr>
          <w:rFonts w:hAnsi="Book Antiqua" w:hint="default"/>
          <w:rtl w:val="0"/>
          <w:lang w:val="it-IT"/>
        </w:rPr>
        <w:t xml:space="preserve">à </w:t>
      </w:r>
      <w:r>
        <w:rPr>
          <w:rFonts w:ascii="Book Antiqua"/>
          <w:rtl w:val="0"/>
          <w:lang w:val="it-IT"/>
        </w:rPr>
        <w:t>della problematica tecnica della controversia - incaricava un collegio di tre verificatori individuati dal rettore del Politecnico di Torino ad esprimersi in merito ai medesimi punti individuati precedentemente dal Tar nonch</w:t>
      </w:r>
      <w:r>
        <w:rPr>
          <w:rFonts w:hAnsi="Book Antiqua" w:hint="default"/>
          <w:rtl w:val="0"/>
          <w:lang w:val="it-IT"/>
        </w:rPr>
        <w:t xml:space="preserve">é </w:t>
      </w:r>
      <w:r>
        <w:rPr>
          <w:rFonts w:ascii="Book Antiqua"/>
          <w:rtl w:val="0"/>
          <w:lang w:val="it-IT"/>
        </w:rPr>
        <w:t>su altri tre nuovi quesiti, ovvero:</w:t>
      </w:r>
    </w:p>
    <w:p>
      <w:pPr>
        <w:pStyle w:val="Normal"/>
        <w:ind w:left="567" w:right="567" w:firstLine="0"/>
        <w:jc w:val="both"/>
        <w:rPr>
          <w:rFonts w:ascii="Book Antiqua" w:cs="Book Antiqua" w:hAnsi="Book Antiqua" w:eastAsia="Book Antiqua"/>
        </w:rPr>
      </w:pPr>
      <w:r>
        <w:rPr>
          <w:rFonts w:ascii="Book Antiqua"/>
          <w:rtl w:val="0"/>
          <w:lang w:val="it-IT"/>
        </w:rPr>
        <w:t xml:space="preserve">se </w:t>
      </w:r>
      <w:r>
        <w:rPr>
          <w:rFonts w:hAnsi="Book Antiqua" w:hint="default"/>
          <w:rtl w:val="0"/>
          <w:lang w:val="it-IT"/>
        </w:rPr>
        <w:t xml:space="preserve">è </w:t>
      </w:r>
      <w:r>
        <w:rPr>
          <w:rFonts w:ascii="Book Antiqua"/>
          <w:rtl w:val="0"/>
          <w:lang w:val="it-IT"/>
        </w:rPr>
        <w:t>vero che a monte della discarica, dove quindi questa non pu</w:t>
      </w:r>
      <w:r>
        <w:rPr>
          <w:rFonts w:hAnsi="Book Antiqua" w:hint="default"/>
          <w:rtl w:val="0"/>
          <w:lang w:val="it-IT"/>
        </w:rPr>
        <w:t xml:space="preserve">ò </w:t>
      </w:r>
      <w:r>
        <w:rPr>
          <w:rFonts w:ascii="Book Antiqua"/>
          <w:rtl w:val="0"/>
          <w:lang w:val="it-IT"/>
        </w:rPr>
        <w:t xml:space="preserve">esplicare la propria influenza, la falda sarebbe inquinata, mentre a valle della discarica la stessa falda sarebbe invece contaminata; </w:t>
      </w:r>
    </w:p>
    <w:p>
      <w:pPr>
        <w:pStyle w:val="Normal"/>
        <w:ind w:left="567" w:right="567" w:firstLine="0"/>
        <w:jc w:val="both"/>
        <w:rPr>
          <w:rFonts w:ascii="Book Antiqua" w:cs="Book Antiqua" w:hAnsi="Book Antiqua" w:eastAsia="Book Antiqua"/>
        </w:rPr>
      </w:pPr>
      <w:r>
        <w:rPr>
          <w:rFonts w:ascii="Book Antiqua"/>
          <w:rtl w:val="0"/>
          <w:lang w:val="it-IT"/>
        </w:rPr>
        <w:t xml:space="preserve">se </w:t>
      </w:r>
      <w:r>
        <w:rPr>
          <w:rFonts w:hAnsi="Book Antiqua" w:hint="default"/>
          <w:rtl w:val="0"/>
          <w:lang w:val="it-IT"/>
        </w:rPr>
        <w:t xml:space="preserve">è </w:t>
      </w:r>
      <w:r>
        <w:rPr>
          <w:rFonts w:ascii="Book Antiqua"/>
          <w:rtl w:val="0"/>
          <w:lang w:val="it-IT"/>
        </w:rPr>
        <w:t>vero che molti degli agenti inquinanti rinvenuti sarebbero componenti suscettibili di essere ragionevolmente considerate come caratteristiche del percolato e comunque dell'inquinamento da discarica;</w:t>
      </w:r>
    </w:p>
    <w:p>
      <w:pPr>
        <w:pStyle w:val="Normal"/>
        <w:ind w:left="567" w:right="567" w:firstLine="0"/>
        <w:jc w:val="both"/>
        <w:rPr>
          <w:rFonts w:ascii="Book Antiqua" w:cs="Book Antiqua" w:hAnsi="Book Antiqua" w:eastAsia="Book Antiqua"/>
        </w:rPr>
      </w:pPr>
      <w:r>
        <w:rPr>
          <w:rFonts w:ascii="Book Antiqua"/>
          <w:rtl w:val="0"/>
          <w:lang w:val="it-IT"/>
        </w:rPr>
        <w:t xml:space="preserve">se </w:t>
      </w:r>
      <w:r>
        <w:rPr>
          <w:rFonts w:hAnsi="Book Antiqua" w:hint="default"/>
          <w:rtl w:val="0"/>
          <w:lang w:val="it-IT"/>
        </w:rPr>
        <w:t xml:space="preserve">è </w:t>
      </w:r>
      <w:r>
        <w:rPr>
          <w:rFonts w:ascii="Book Antiqua"/>
          <w:rtl w:val="0"/>
          <w:lang w:val="it-IT"/>
        </w:rPr>
        <w:t>vero, infine, che nell'area si registrerebbe una concentrazione particolarmente elevata ma disomogenea di metalli nei vari punti di indagine, anche molto vicini tra loro.</w:t>
      </w:r>
    </w:p>
    <w:p>
      <w:pPr>
        <w:pStyle w:val="Paragrafo elenco1"/>
        <w:spacing w:after="0" w:line="240" w:lineRule="auto"/>
        <w:ind w:left="567" w:right="567" w:firstLine="0"/>
        <w:jc w:val="both"/>
        <w:rPr>
          <w:rFonts w:ascii="Book Antiqua" w:cs="Book Antiqua" w:hAnsi="Book Antiqua" w:eastAsia="Book Antiqua"/>
          <w:sz w:val="24"/>
          <w:szCs w:val="24"/>
        </w:rPr>
      </w:pPr>
      <w:r>
        <w:rPr>
          <w:rFonts w:ascii="Book Antiqua"/>
          <w:sz w:val="24"/>
          <w:szCs w:val="24"/>
          <w:rtl w:val="0"/>
          <w:lang w:val="it-IT"/>
        </w:rPr>
        <w:t>La sentenza del Consiglio di Stato n. 533 del 4 febbraio 2015, reca nel dispositivo:</w:t>
      </w:r>
    </w:p>
    <w:p>
      <w:pPr>
        <w:pStyle w:val="Normal"/>
        <w:ind w:left="567" w:right="567" w:firstLine="0"/>
        <w:jc w:val="both"/>
        <w:rPr>
          <w:rFonts w:ascii="Book Antiqua" w:cs="Book Antiqua" w:hAnsi="Book Antiqua" w:eastAsia="Book Antiqua"/>
        </w:rPr>
      </w:pPr>
      <w:r>
        <w:rPr>
          <w:rFonts w:hAnsi="Book Antiqua" w:hint="default"/>
          <w:rtl w:val="0"/>
          <w:lang w:val="it-IT"/>
        </w:rPr>
        <w:t xml:space="preserve"> “</w:t>
      </w:r>
      <w:r>
        <w:rPr>
          <w:rFonts w:ascii="Book Antiqua"/>
          <w:rtl w:val="0"/>
          <w:lang w:val="it-IT"/>
        </w:rPr>
        <w:t>a) [</w:t>
      </w:r>
      <w:r>
        <w:rPr>
          <w:rFonts w:hAnsi="Book Antiqua" w:hint="default"/>
          <w:rtl w:val="0"/>
          <w:lang w:val="it-IT"/>
        </w:rPr>
        <w:t>…</w:t>
      </w:r>
      <w:r>
        <w:rPr>
          <w:rFonts w:ascii="Book Antiqua"/>
          <w:rtl w:val="0"/>
          <w:lang w:val="it-IT"/>
        </w:rPr>
        <w:t>] accoglie [i ricorsi] e, per l'effetto, in riforma dell</w:t>
      </w:r>
      <w:r>
        <w:rPr>
          <w:rFonts w:hAnsi="Book Antiqua" w:hint="default"/>
          <w:rtl w:val="0"/>
          <w:lang w:val="it-IT"/>
        </w:rPr>
        <w:t>’</w:t>
      </w:r>
      <w:r>
        <w:rPr>
          <w:rFonts w:ascii="Book Antiqua"/>
          <w:rtl w:val="0"/>
          <w:lang w:val="it-IT"/>
        </w:rPr>
        <w:t>impugnata sentenza respinge il ricorso di primo grado;</w:t>
      </w:r>
    </w:p>
    <w:p>
      <w:pPr>
        <w:pStyle w:val="Normal"/>
        <w:ind w:left="567" w:right="567" w:firstLine="0"/>
        <w:jc w:val="both"/>
        <w:rPr>
          <w:rFonts w:ascii="Book Antiqua" w:cs="Book Antiqua" w:hAnsi="Book Antiqua" w:eastAsia="Book Antiqua"/>
        </w:rPr>
      </w:pPr>
      <w:r>
        <w:rPr>
          <w:rFonts w:ascii="Book Antiqua"/>
          <w:rtl w:val="0"/>
          <w:lang w:val="it-IT"/>
        </w:rPr>
        <w:t>b) condanna E. Giovi S.r.l. al pagamento delle spese del doppio grado di</w:t>
      </w:r>
    </w:p>
    <w:p>
      <w:pPr>
        <w:pStyle w:val="Normal"/>
        <w:ind w:left="567" w:right="567" w:firstLine="0"/>
        <w:jc w:val="both"/>
        <w:rPr>
          <w:rFonts w:ascii="Book Antiqua" w:cs="Book Antiqua" w:hAnsi="Book Antiqua" w:eastAsia="Book Antiqua"/>
        </w:rPr>
      </w:pPr>
      <w:r>
        <w:rPr>
          <w:rFonts w:ascii="Book Antiqua"/>
          <w:rtl w:val="0"/>
          <w:lang w:val="it-IT"/>
        </w:rPr>
        <w:t>giudizio che liquida in euro 10.000,00 (diecimila/00), oltre accessori di legge, a favore di ciascuna delle parti costituite, secondo quanto indicato in motivazione;</w:t>
      </w:r>
    </w:p>
    <w:p>
      <w:pPr>
        <w:pStyle w:val="Normal"/>
        <w:ind w:left="567" w:right="567" w:firstLine="0"/>
        <w:jc w:val="both"/>
        <w:rPr>
          <w:rFonts w:ascii="Book Antiqua" w:cs="Book Antiqua" w:hAnsi="Book Antiqua" w:eastAsia="Book Antiqua"/>
        </w:rPr>
      </w:pPr>
      <w:r>
        <w:rPr>
          <w:rFonts w:ascii="Book Antiqua"/>
          <w:rtl w:val="0"/>
          <w:lang w:val="it-IT"/>
        </w:rPr>
        <w:t>c) compensa le spese del doppio grado di giudizio tra E. Giovi S.r.l. e la</w:t>
      </w:r>
    </w:p>
    <w:p>
      <w:pPr>
        <w:pStyle w:val="Normal"/>
        <w:ind w:left="567" w:right="567" w:firstLine="0"/>
        <w:jc w:val="both"/>
        <w:rPr>
          <w:rFonts w:ascii="Book Antiqua" w:cs="Book Antiqua" w:hAnsi="Book Antiqua" w:eastAsia="Book Antiqua"/>
        </w:rPr>
      </w:pPr>
      <w:r>
        <w:rPr>
          <w:rFonts w:ascii="Book Antiqua"/>
          <w:rtl w:val="0"/>
          <w:lang w:val="it-IT"/>
        </w:rPr>
        <w:t>provincia di Roma;</w:t>
      </w:r>
    </w:p>
    <w:p>
      <w:pPr>
        <w:pStyle w:val="Normal"/>
        <w:ind w:left="567" w:right="567" w:firstLine="0"/>
        <w:jc w:val="both"/>
        <w:rPr>
          <w:rFonts w:ascii="Book Antiqua" w:cs="Book Antiqua" w:hAnsi="Book Antiqua" w:eastAsia="Book Antiqua"/>
        </w:rPr>
      </w:pPr>
      <w:r>
        <w:rPr>
          <w:rFonts w:ascii="Book Antiqua"/>
          <w:rtl w:val="0"/>
          <w:lang w:val="it-IT"/>
        </w:rPr>
        <w:t>d) pone a carico di E. Giovi S.r.l. le spese della verificazione del primo grado di giudizio;</w:t>
      </w:r>
    </w:p>
    <w:p>
      <w:pPr>
        <w:pStyle w:val="Normal"/>
        <w:ind w:left="567" w:right="567" w:firstLine="0"/>
        <w:jc w:val="both"/>
        <w:rPr>
          <w:rFonts w:ascii="Book Antiqua" w:cs="Book Antiqua" w:hAnsi="Book Antiqua" w:eastAsia="Book Antiqua"/>
        </w:rPr>
      </w:pPr>
      <w:r>
        <w:rPr>
          <w:rFonts w:ascii="Book Antiqua"/>
          <w:rtl w:val="0"/>
          <w:lang w:val="it-IT"/>
        </w:rPr>
        <w:t>e) pone a carico di E. Giovi S.r.l. le spese della verificazione del secondo grado di giudizio, che liquida in complessivi euro 60.000,00, oltre IVA e accessori di legge, secondo le modalit</w:t>
      </w:r>
      <w:r>
        <w:rPr>
          <w:rFonts w:hAnsi="Book Antiqua" w:hint="default"/>
          <w:rtl w:val="0"/>
          <w:lang w:val="it-IT"/>
        </w:rPr>
        <w:t xml:space="preserve">à </w:t>
      </w:r>
      <w:r>
        <w:rPr>
          <w:rFonts w:ascii="Book Antiqua"/>
          <w:rtl w:val="0"/>
          <w:lang w:val="it-IT"/>
        </w:rPr>
        <w:t>e i limiti indicati in motivazione;</w:t>
      </w:r>
    </w:p>
    <w:p>
      <w:pPr>
        <w:pStyle w:val="Normal"/>
        <w:ind w:left="567" w:right="567" w:firstLine="0"/>
        <w:jc w:val="both"/>
        <w:rPr>
          <w:rFonts w:ascii="Book Antiqua" w:cs="Book Antiqua" w:hAnsi="Book Antiqua" w:eastAsia="Book Antiqua"/>
        </w:rPr>
      </w:pPr>
      <w:r>
        <w:rPr>
          <w:rFonts w:ascii="Book Antiqua"/>
          <w:rtl w:val="0"/>
          <w:lang w:val="it-IT"/>
        </w:rPr>
        <w:t>f) manda alla segreteria di inviare alla procura della Repubblica presso il tribunale di Roma, per le eventuali determinazioni di sua competenza, copia della presente sentenza e della verificazione depositata in data 25 febbraio 2014</w:t>
      </w:r>
      <w:r>
        <w:rPr>
          <w:rFonts w:hAnsi="Book Antiqua" w:hint="default"/>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In sintesi dunque:</w:t>
      </w:r>
    </w:p>
    <w:p>
      <w:pPr>
        <w:pStyle w:val="Normal"/>
        <w:ind w:left="567" w:right="567" w:firstLine="0"/>
        <w:jc w:val="both"/>
        <w:rPr>
          <w:rFonts w:ascii="Book Antiqua" w:cs="Book Antiqua" w:hAnsi="Book Antiqua" w:eastAsia="Book Antiqua"/>
        </w:rPr>
      </w:pPr>
      <w:r>
        <w:rPr>
          <w:rFonts w:ascii="Book Antiqua"/>
          <w:rtl w:val="0"/>
          <w:lang w:val="it-IT"/>
        </w:rPr>
        <w:t>riconosce la legittimit</w:t>
      </w:r>
      <w:r>
        <w:rPr>
          <w:rFonts w:hAnsi="Book Antiqua" w:hint="default"/>
          <w:rtl w:val="0"/>
          <w:lang w:val="it-IT"/>
        </w:rPr>
        <w:t xml:space="preserve">à </w:t>
      </w:r>
      <w:r>
        <w:rPr>
          <w:rFonts w:ascii="Book Antiqua"/>
          <w:rtl w:val="0"/>
          <w:lang w:val="it-IT"/>
        </w:rPr>
        <w:t>dell</w:t>
      </w:r>
      <w:r>
        <w:rPr>
          <w:rFonts w:hAnsi="Book Antiqua" w:hint="default"/>
          <w:rtl w:val="0"/>
          <w:lang w:val="it-IT"/>
        </w:rPr>
        <w:t>’</w:t>
      </w:r>
      <w:r>
        <w:rPr>
          <w:rFonts w:ascii="Book Antiqua"/>
          <w:rtl w:val="0"/>
          <w:lang w:val="it-IT"/>
        </w:rPr>
        <w:t>ordinanza 255/2010 del sindaco di Roma che imponeva prescrizioni a E. Giovi S.r.l. relativamente all</w:t>
      </w:r>
      <w:r>
        <w:rPr>
          <w:rFonts w:hAnsi="Book Antiqua" w:hint="default"/>
          <w:rtl w:val="0"/>
          <w:lang w:val="it-IT"/>
        </w:rPr>
        <w:t>’</w:t>
      </w:r>
      <w:r>
        <w:rPr>
          <w:rFonts w:ascii="Book Antiqua"/>
          <w:rtl w:val="0"/>
          <w:lang w:val="it-IT"/>
        </w:rPr>
        <w:t>inquinamento derivante dalla discarica di Malagrotta;</w:t>
      </w:r>
    </w:p>
    <w:p>
      <w:pPr>
        <w:pStyle w:val="Normal"/>
        <w:ind w:left="567" w:right="567" w:firstLine="0"/>
        <w:jc w:val="both"/>
        <w:rPr>
          <w:rFonts w:ascii="Book Antiqua" w:cs="Book Antiqua" w:hAnsi="Book Antiqua" w:eastAsia="Book Antiqua"/>
        </w:rPr>
      </w:pPr>
      <w:r>
        <w:rPr>
          <w:rFonts w:ascii="Book Antiqua"/>
          <w:rtl w:val="0"/>
          <w:lang w:val="it-IT"/>
        </w:rPr>
        <w:t>provvede sulle spese del giudizio, con prevalenza a carico di E. Giovi S.r.l.;</w:t>
      </w:r>
    </w:p>
    <w:p>
      <w:pPr>
        <w:pStyle w:val="Normal"/>
        <w:ind w:left="567" w:right="567" w:firstLine="0"/>
        <w:jc w:val="both"/>
        <w:rPr>
          <w:rFonts w:ascii="Book Antiqua" w:cs="Book Antiqua" w:hAnsi="Book Antiqua" w:eastAsia="Book Antiqua"/>
        </w:rPr>
      </w:pPr>
      <w:r>
        <w:rPr>
          <w:rFonts w:ascii="Book Antiqua"/>
          <w:rtl w:val="0"/>
          <w:lang w:val="it-IT"/>
        </w:rPr>
        <w:t>dispone la trasmissione alla procura della Repubblica di Roma di copia della sentenza e della verificazione dei docenti del Politecnico ipotizzando che nelle condotte dei rappresentanti di E. Giovi S.r.l. possano ricorrere dei reati.</w:t>
      </w:r>
    </w:p>
    <w:p>
      <w:pPr>
        <w:pStyle w:val="Normal"/>
        <w:ind w:left="567" w:right="567" w:firstLine="0"/>
        <w:jc w:val="both"/>
        <w:rPr>
          <w:rFonts w:ascii="Book Antiqua" w:cs="Book Antiqua" w:hAnsi="Book Antiqua" w:eastAsia="Book Antiqua"/>
        </w:rPr>
      </w:pPr>
      <w:r>
        <w:rPr>
          <w:rFonts w:ascii="Book Antiqua"/>
          <w:rtl w:val="0"/>
          <w:lang w:val="it-IT"/>
        </w:rPr>
        <w:t>La Commissione ha disposto l</w:t>
      </w:r>
      <w:r>
        <w:rPr>
          <w:rFonts w:hAnsi="Book Antiqua" w:hint="default"/>
          <w:rtl w:val="0"/>
          <w:lang w:val="it-IT"/>
        </w:rPr>
        <w:t>’</w:t>
      </w:r>
      <w:r>
        <w:rPr>
          <w:rFonts w:ascii="Book Antiqua"/>
          <w:rtl w:val="0"/>
          <w:lang w:val="it-IT"/>
        </w:rPr>
        <w:t>audizione dei docenti del Politecnico di Torino, Mariachiara Zanetti e Rajandrea Sethi i quali unitamente al professore Giuseppe Genon sono stati incaricati dal Consiglio di Stato di rispondere a quesiti inerenti la discarica di Malagrotta, agendo quali verificatori per il Consiglio di Stato.</w:t>
      </w:r>
    </w:p>
    <w:p>
      <w:pPr>
        <w:pStyle w:val="Normal"/>
        <w:ind w:left="567" w:right="567" w:firstLine="0"/>
        <w:jc w:val="both"/>
        <w:rPr>
          <w:rFonts w:ascii="Book Antiqua" w:cs="Book Antiqua" w:hAnsi="Book Antiqua" w:eastAsia="Book Antiqua"/>
        </w:rPr>
      </w:pPr>
      <w:r>
        <w:rPr>
          <w:rFonts w:ascii="Book Antiqua"/>
          <w:rtl w:val="0"/>
          <w:lang w:val="it-IT"/>
        </w:rPr>
        <w:t>La relazione conclusiva, datata 14 febbraio 2014, redatta dal Collegio del Politecnico di Torino (riguardante i ricorsi riuniti n. 7675/2011, n. 8817/2011 e n. 9062/2011, nel processo amministrativo concluso con sentenza del Consiglio di Stato n. 533/2015, emessa a seguito all</w:t>
      </w:r>
      <w:r>
        <w:rPr>
          <w:rFonts w:hAnsi="Book Antiqua" w:hint="default"/>
          <w:rtl w:val="0"/>
          <w:lang w:val="it-IT"/>
        </w:rPr>
        <w:t>’</w:t>
      </w:r>
      <w:r>
        <w:rPr>
          <w:rFonts w:ascii="Book Antiqua"/>
          <w:rtl w:val="0"/>
          <w:lang w:val="it-IT"/>
        </w:rPr>
        <w:t>acquisizione della relazione del collegio dei verificatori, il 4 febbraio 2015) contiene valutazioni rilevanti sullo stato dell</w:t>
      </w:r>
      <w:r>
        <w:rPr>
          <w:rFonts w:hAnsi="Book Antiqua" w:hint="default"/>
          <w:rtl w:val="0"/>
          <w:lang w:val="it-IT"/>
        </w:rPr>
        <w:t>’</w:t>
      </w:r>
      <w:r>
        <w:rPr>
          <w:rFonts w:ascii="Book Antiqua"/>
          <w:rtl w:val="0"/>
          <w:lang w:val="it-IT"/>
        </w:rPr>
        <w:t>ambiente e sull</w:t>
      </w:r>
      <w:r>
        <w:rPr>
          <w:rFonts w:hAnsi="Book Antiqua" w:hint="default"/>
          <w:rtl w:val="0"/>
          <w:lang w:val="it-IT"/>
        </w:rPr>
        <w:t>’</w:t>
      </w:r>
      <w:r>
        <w:rPr>
          <w:rFonts w:ascii="Book Antiqua"/>
          <w:rtl w:val="0"/>
          <w:lang w:val="it-IT"/>
        </w:rPr>
        <w:t>impatto dell</w:t>
      </w:r>
      <w:r>
        <w:rPr>
          <w:rFonts w:hAnsi="Book Antiqua" w:hint="default"/>
          <w:rtl w:val="0"/>
          <w:lang w:val="it-IT"/>
        </w:rPr>
        <w:t>’</w:t>
      </w:r>
      <w:r>
        <w:rPr>
          <w:rFonts w:ascii="Book Antiqua"/>
          <w:rtl w:val="0"/>
          <w:lang w:val="it-IT"/>
        </w:rPr>
        <w:t>attivit</w:t>
      </w:r>
      <w:r>
        <w:rPr>
          <w:rFonts w:hAnsi="Book Antiqua" w:hint="default"/>
          <w:rtl w:val="0"/>
          <w:lang w:val="it-IT"/>
        </w:rPr>
        <w:t xml:space="preserve">à </w:t>
      </w:r>
      <w:r>
        <w:rPr>
          <w:rFonts w:ascii="Book Antiqua"/>
          <w:rtl w:val="0"/>
          <w:lang w:val="it-IT"/>
        </w:rPr>
        <w:t>svolta nella discarica di Malagrotta, nonch</w:t>
      </w:r>
      <w:r>
        <w:rPr>
          <w:rFonts w:hAnsi="Book Antiqua" w:hint="default"/>
          <w:rtl w:val="0"/>
          <w:lang w:val="it-IT"/>
        </w:rPr>
        <w:t xml:space="preserve">é </w:t>
      </w:r>
      <w:r>
        <w:rPr>
          <w:rFonts w:ascii="Book Antiqua"/>
          <w:rtl w:val="0"/>
          <w:lang w:val="it-IT"/>
        </w:rPr>
        <w:t>sull</w:t>
      </w:r>
      <w:r>
        <w:rPr>
          <w:rFonts w:hAnsi="Book Antiqua" w:hint="default"/>
          <w:rtl w:val="0"/>
          <w:lang w:val="it-IT"/>
        </w:rPr>
        <w:t>’</w:t>
      </w:r>
      <w:r>
        <w:rPr>
          <w:rFonts w:ascii="Book Antiqua"/>
          <w:rtl w:val="0"/>
          <w:lang w:val="it-IT"/>
        </w:rPr>
        <w:t>intero sito di Valle Galeria</w:t>
      </w:r>
      <w:r>
        <w:rPr>
          <w:rFonts w:ascii="Book Antiqua" w:cs="Book Antiqua" w:hAnsi="Book Antiqua" w:eastAsia="Book Antiqua"/>
          <w:vertAlign w:val="superscript"/>
          <w:rtl w:val="0"/>
        </w:rPr>
        <w:footnoteReference w:id="186"/>
      </w:r>
      <w:r>
        <w:rPr>
          <w:rFonts w:ascii="Book Antiqua"/>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Il documento redatto dal  collegio dei verificatori del Politecnico, si apre con la descrizione dell</w:t>
      </w:r>
      <w:r>
        <w:rPr>
          <w:rFonts w:hAnsi="Book Antiqua" w:hint="default"/>
          <w:rtl w:val="0"/>
          <w:lang w:val="it-IT"/>
        </w:rPr>
        <w:t>’</w:t>
      </w:r>
      <w:r>
        <w:rPr>
          <w:rFonts w:ascii="Book Antiqua"/>
          <w:i w:val="1"/>
          <w:iCs w:val="1"/>
          <w:rtl w:val="0"/>
          <w:lang w:val="it-IT"/>
        </w:rPr>
        <w:t>excursus</w:t>
      </w:r>
      <w:r>
        <w:rPr>
          <w:rFonts w:ascii="Book Antiqua"/>
          <w:rtl w:val="0"/>
          <w:lang w:val="it-IT"/>
        </w:rPr>
        <w:t xml:space="preserve"> relativo alla metodologia di lavoro adottata. </w:t>
      </w:r>
    </w:p>
    <w:p>
      <w:pPr>
        <w:pStyle w:val="Normal"/>
        <w:ind w:left="567" w:right="567" w:firstLine="0"/>
        <w:jc w:val="both"/>
        <w:rPr>
          <w:rFonts w:ascii="Book Antiqua" w:cs="Book Antiqua" w:hAnsi="Book Antiqua" w:eastAsia="Book Antiqua"/>
        </w:rPr>
      </w:pPr>
      <w:r>
        <w:rPr>
          <w:rFonts w:ascii="Book Antiqua"/>
          <w:rtl w:val="0"/>
          <w:lang w:val="it-IT"/>
        </w:rPr>
        <w:t>Le modalit</w:t>
      </w:r>
      <w:r>
        <w:rPr>
          <w:rFonts w:hAnsi="Book Antiqua" w:hint="default"/>
          <w:rtl w:val="0"/>
          <w:lang w:val="it-IT"/>
        </w:rPr>
        <w:t xml:space="preserve">à </w:t>
      </w:r>
      <w:r>
        <w:rPr>
          <w:rFonts w:ascii="Book Antiqua"/>
          <w:rtl w:val="0"/>
          <w:lang w:val="it-IT"/>
        </w:rPr>
        <w:t>di svolgimento della verificazione, che di seguito verranno sintetizzate, attestano l</w:t>
      </w:r>
      <w:r>
        <w:rPr>
          <w:rFonts w:hAnsi="Book Antiqua" w:hint="default"/>
          <w:rtl w:val="0"/>
          <w:lang w:val="it-IT"/>
        </w:rPr>
        <w:t>’</w:t>
      </w:r>
      <w:r>
        <w:rPr>
          <w:rFonts w:ascii="Book Antiqua"/>
          <w:rtl w:val="0"/>
          <w:lang w:val="it-IT"/>
        </w:rPr>
        <w:t>approfondimento del lavoro svolto e lo qualificano, per i fini che qui interessano, come adeguato presupposto per la valutazione del persistente impatto ambientale prodotto dalle modalit</w:t>
      </w:r>
      <w:r>
        <w:rPr>
          <w:rFonts w:hAnsi="Book Antiqua" w:hint="default"/>
          <w:rtl w:val="0"/>
          <w:lang w:val="it-IT"/>
        </w:rPr>
        <w:t xml:space="preserve">à </w:t>
      </w:r>
      <w:r>
        <w:rPr>
          <w:rFonts w:ascii="Book Antiqua"/>
          <w:rtl w:val="0"/>
          <w:lang w:val="it-IT"/>
        </w:rPr>
        <w:t>di gestione del ciclo dei rifiuti incentrate sulla discarica di Malagrotta.</w:t>
      </w:r>
    </w:p>
    <w:p>
      <w:pPr>
        <w:pStyle w:val="Normal"/>
        <w:ind w:left="567" w:right="567" w:firstLine="0"/>
        <w:jc w:val="both"/>
        <w:rPr>
          <w:rFonts w:ascii="Book Antiqua" w:cs="Book Antiqua" w:hAnsi="Book Antiqua" w:eastAsia="Book Antiqua"/>
        </w:rPr>
      </w:pPr>
      <w:r>
        <w:rPr>
          <w:rFonts w:ascii="Book Antiqua"/>
          <w:rtl w:val="0"/>
          <w:lang w:val="it-IT"/>
        </w:rPr>
        <w:t>Presso il Consiglio di Stato, durante un primo accesso diretto dei verificatori, veniva acquisita la documentazione gi</w:t>
      </w:r>
      <w:r>
        <w:rPr>
          <w:rFonts w:hAnsi="Book Antiqua" w:hint="default"/>
          <w:rtl w:val="0"/>
          <w:lang w:val="it-IT"/>
        </w:rPr>
        <w:t xml:space="preserve">à </w:t>
      </w:r>
      <w:r>
        <w:rPr>
          <w:rFonts w:ascii="Book Antiqua"/>
          <w:rtl w:val="0"/>
          <w:lang w:val="it-IT"/>
        </w:rPr>
        <w:t>presente in atti, come fornita dalle parti. In data 25 gennaio 2013 si teneva presso il Politecnico di Torino, una prima riunione del collegio dei verificatori in cui veniva stabilito di richiedere ulteriori documenti alle parti in causa e delineare la metodologia di lavoro. Con comunicazione del 2 febbraio 2013 i verificatori richiedevano al Consiglio di Stato, chiarimenti in merito alla collocazione temporale della verifica e cio</w:t>
      </w:r>
      <w:r>
        <w:rPr>
          <w:rFonts w:hAnsi="Book Antiqua" w:hint="default"/>
          <w:rtl w:val="0"/>
          <w:lang w:val="it-IT"/>
        </w:rPr>
        <w:t xml:space="preserve">è </w:t>
      </w:r>
      <w:r>
        <w:rPr>
          <w:rFonts w:ascii="Book Antiqua"/>
          <w:rtl w:val="0"/>
          <w:lang w:val="it-IT"/>
        </w:rPr>
        <w:t>se questa doveva riferirsi alla situazione esistente al momento dell</w:t>
      </w:r>
      <w:r>
        <w:rPr>
          <w:rFonts w:hAnsi="Book Antiqua" w:hint="default"/>
          <w:rtl w:val="0"/>
          <w:lang w:val="it-IT"/>
        </w:rPr>
        <w:t xml:space="preserve">’ </w:t>
      </w:r>
      <w:r>
        <w:rPr>
          <w:rFonts w:ascii="Book Antiqua"/>
          <w:rtl w:val="0"/>
          <w:lang w:val="it-IT"/>
        </w:rPr>
        <w:t>emanazione dell</w:t>
      </w:r>
      <w:r>
        <w:rPr>
          <w:rFonts w:hAnsi="Book Antiqua" w:hint="default"/>
          <w:rtl w:val="0"/>
          <w:lang w:val="it-IT"/>
        </w:rPr>
        <w:t xml:space="preserve">’ </w:t>
      </w:r>
      <w:r>
        <w:rPr>
          <w:rFonts w:ascii="Book Antiqua"/>
          <w:rtl w:val="0"/>
          <w:lang w:val="it-IT"/>
        </w:rPr>
        <w:t>ordinanza sindacale e cio</w:t>
      </w:r>
      <w:r>
        <w:rPr>
          <w:rFonts w:hAnsi="Book Antiqua" w:hint="default"/>
          <w:rtl w:val="0"/>
          <w:lang w:val="it-IT"/>
        </w:rPr>
        <w:t xml:space="preserve">è </w:t>
      </w:r>
      <w:r>
        <w:rPr>
          <w:rFonts w:ascii="Book Antiqua"/>
          <w:rtl w:val="0"/>
          <w:lang w:val="it-IT"/>
        </w:rPr>
        <w:t>fino al novembre 2010. Oltre ci</w:t>
      </w:r>
      <w:r>
        <w:rPr>
          <w:rFonts w:hAnsi="Book Antiqua" w:hint="default"/>
          <w:rtl w:val="0"/>
          <w:lang w:val="it-IT"/>
        </w:rPr>
        <w:t xml:space="preserve">ò </w:t>
      </w:r>
      <w:r>
        <w:rPr>
          <w:rFonts w:ascii="Book Antiqua"/>
          <w:rtl w:val="0"/>
          <w:lang w:val="it-IT"/>
        </w:rPr>
        <w:t>i verificatori chiesero lumi anche in merito al concetto di potabilit</w:t>
      </w:r>
      <w:r>
        <w:rPr>
          <w:rFonts w:hAnsi="Book Antiqua" w:hint="default"/>
          <w:rtl w:val="0"/>
          <w:lang w:val="it-IT"/>
        </w:rPr>
        <w:t>à</w:t>
      </w:r>
      <w:r>
        <w:rPr>
          <w:rFonts w:ascii="Book Antiqua"/>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In data 10 aprile 2013, il Consiglio di Stato rispondeva che il collegio era autorizzato a svolgere, vista la rilevanza della controversia in atto, un</w:t>
      </w:r>
      <w:r>
        <w:rPr>
          <w:rFonts w:hAnsi="Book Antiqua" w:hint="default"/>
          <w:rtl w:val="0"/>
          <w:lang w:val="it-IT"/>
        </w:rPr>
        <w:t>’</w:t>
      </w:r>
      <w:r>
        <w:rPr>
          <w:rFonts w:ascii="Book Antiqua"/>
          <w:rtl w:val="0"/>
          <w:lang w:val="it-IT"/>
        </w:rPr>
        <w:t>indagine adeguatamente approfondita che non poteva non prescindere dalle analisi in sito (mancanti nella precedente verificazione disposta dal TAR) nonch</w:t>
      </w:r>
      <w:r>
        <w:rPr>
          <w:rFonts w:hAnsi="Book Antiqua" w:hint="default"/>
          <w:rtl w:val="0"/>
          <w:lang w:val="it-IT"/>
        </w:rPr>
        <w:t xml:space="preserve">é </w:t>
      </w:r>
      <w:r>
        <w:rPr>
          <w:rFonts w:ascii="Book Antiqua"/>
          <w:rtl w:val="0"/>
          <w:lang w:val="it-IT"/>
        </w:rPr>
        <w:t>da tutti gli ulteriori studi analitici necessari per pervenire ad un giudizio il pi</w:t>
      </w:r>
      <w:r>
        <w:rPr>
          <w:rFonts w:hAnsi="Book Antiqua" w:hint="default"/>
          <w:rtl w:val="0"/>
          <w:lang w:val="it-IT"/>
        </w:rPr>
        <w:t xml:space="preserve">ù </w:t>
      </w:r>
      <w:r>
        <w:rPr>
          <w:rFonts w:ascii="Book Antiqua"/>
          <w:rtl w:val="0"/>
          <w:lang w:val="it-IT"/>
        </w:rPr>
        <w:t>possibile fondato. Oltre ci</w:t>
      </w:r>
      <w:r>
        <w:rPr>
          <w:rFonts w:hAnsi="Book Antiqua" w:hint="default"/>
          <w:rtl w:val="0"/>
          <w:lang w:val="it-IT"/>
        </w:rPr>
        <w:t xml:space="preserve">ò </w:t>
      </w:r>
      <w:r>
        <w:rPr>
          <w:rFonts w:ascii="Book Antiqua"/>
          <w:rtl w:val="0"/>
          <w:lang w:val="it-IT"/>
        </w:rPr>
        <w:t>il Consiglio di Stato dispose che il Collegio doveva riferirsi anche ai parametri di inquinamento della risorsa idrica oggetto delle istruttorie  dell'ordinanza sindacale.</w:t>
      </w:r>
    </w:p>
    <w:p>
      <w:pPr>
        <w:pStyle w:val="Normal"/>
        <w:ind w:left="567" w:right="567" w:firstLine="0"/>
        <w:jc w:val="both"/>
        <w:rPr>
          <w:rFonts w:ascii="Book Antiqua" w:cs="Book Antiqua" w:hAnsi="Book Antiqua" w:eastAsia="Book Antiqua"/>
        </w:rPr>
      </w:pPr>
      <w:r>
        <w:rPr>
          <w:rFonts w:ascii="Book Antiqua"/>
          <w:rtl w:val="0"/>
          <w:lang w:val="it-IT"/>
        </w:rPr>
        <w:t xml:space="preserve">In data 11 febbraio 2013 il professore Genon e l'ingegnere Casasso acquisivano ulteriore documentazione presso il comune di Roma; il 21 febbraio 2013 veniva effettuato un primo sopralluogo delle aree della discarica di Malagrotta; nelle giornate  del 21 e 22 febbraio 2013 venivano realizzate indagini </w:t>
      </w:r>
      <w:r>
        <w:rPr>
          <w:rFonts w:ascii="Book Antiqua"/>
          <w:i w:val="1"/>
          <w:iCs w:val="1"/>
          <w:rtl w:val="0"/>
          <w:lang w:val="it-IT"/>
        </w:rPr>
        <w:t>slug test</w:t>
      </w:r>
      <w:r>
        <w:rPr>
          <w:rFonts w:ascii="Book Antiqua"/>
          <w:rtl w:val="0"/>
          <w:lang w:val="it-IT"/>
        </w:rPr>
        <w:t xml:space="preserve"> per la caratterizzazione idrodinamica e la ricognizione dei pozzi e piezometri interni ed esterni all'area della discarica; il 22 luglio 2013 il collegio dei verificatori informava le parti relativamente alle ulteriori indagini che riteneva utile effettuare ovvero:</w:t>
      </w:r>
    </w:p>
    <w:p>
      <w:pPr>
        <w:pStyle w:val="Normal"/>
        <w:ind w:left="567" w:right="567" w:firstLine="0"/>
        <w:jc w:val="both"/>
        <w:rPr>
          <w:rFonts w:ascii="Book Antiqua" w:cs="Book Antiqua" w:hAnsi="Book Antiqua" w:eastAsia="Book Antiqua"/>
        </w:rPr>
      </w:pPr>
      <w:r>
        <w:rPr>
          <w:rFonts w:ascii="Book Antiqua"/>
          <w:rtl w:val="0"/>
          <w:lang w:val="it-IT"/>
        </w:rPr>
        <w:t>rilievo topografico plano-altimetrico e piezometrico dei pozzi e piezometri interni alla discarica e nell'area circostante per la comprensione delle direzioni di deflusso idrico in prossimit</w:t>
      </w:r>
      <w:r>
        <w:rPr>
          <w:rFonts w:hAnsi="Book Antiqua" w:hint="default"/>
          <w:rtl w:val="0"/>
          <w:lang w:val="it-IT"/>
        </w:rPr>
        <w:t xml:space="preserve">à </w:t>
      </w:r>
      <w:r>
        <w:rPr>
          <w:rFonts w:ascii="Book Antiqua"/>
          <w:rtl w:val="0"/>
          <w:lang w:val="it-IT"/>
        </w:rPr>
        <w:t>della discarica; perforazione di un pozzo pilota ed esecuzione di una prova di emungimento a gradini di portata.</w:t>
      </w:r>
    </w:p>
    <w:p>
      <w:pPr>
        <w:pStyle w:val="Normal"/>
        <w:ind w:left="567" w:right="567" w:firstLine="0"/>
        <w:jc w:val="both"/>
        <w:rPr>
          <w:rFonts w:ascii="Book Antiqua" w:cs="Book Antiqua" w:hAnsi="Book Antiqua" w:eastAsia="Book Antiqua"/>
        </w:rPr>
      </w:pPr>
      <w:r>
        <w:rPr>
          <w:rFonts w:ascii="Book Antiqua"/>
          <w:rtl w:val="0"/>
          <w:lang w:val="it-IT"/>
        </w:rPr>
        <w:t>L</w:t>
      </w:r>
      <w:r>
        <w:rPr>
          <w:rFonts w:hAnsi="Book Antiqua" w:hint="default"/>
          <w:rtl w:val="0"/>
          <w:lang w:val="it-IT"/>
        </w:rPr>
        <w:t>’</w:t>
      </w:r>
      <w:r>
        <w:rPr>
          <w:rFonts w:ascii="Book Antiqua"/>
          <w:rtl w:val="0"/>
          <w:lang w:val="it-IT"/>
        </w:rPr>
        <w:t>11 novembre 2013 si svolgeva a Roma una riunione per la pianificazione dei sopralluoghi e delle attivit</w:t>
      </w:r>
      <w:r>
        <w:rPr>
          <w:rFonts w:hAnsi="Book Antiqua" w:hint="default"/>
          <w:rtl w:val="0"/>
          <w:lang w:val="it-IT"/>
        </w:rPr>
        <w:t xml:space="preserve">à </w:t>
      </w:r>
      <w:r>
        <w:rPr>
          <w:rFonts w:ascii="Book Antiqua"/>
          <w:rtl w:val="0"/>
          <w:lang w:val="it-IT"/>
        </w:rPr>
        <w:t>di caratterizzazione della falda idrica; il rilievo topografico veniva concluso tra il 3 ed il 5 dicembre 2013; la perforazione del pozzo avveniva tra il 25 e il 27 novembre e la prova di emungimento veniva effettuata il 4 dicembre 2013.</w:t>
      </w:r>
    </w:p>
    <w:p>
      <w:pPr>
        <w:pStyle w:val="Normal"/>
        <w:ind w:left="567" w:right="567" w:firstLine="0"/>
        <w:jc w:val="both"/>
        <w:rPr>
          <w:rFonts w:ascii="Book Antiqua" w:cs="Book Antiqua" w:hAnsi="Book Antiqua" w:eastAsia="Book Antiqua"/>
        </w:rPr>
      </w:pPr>
      <w:r>
        <w:rPr>
          <w:rFonts w:ascii="Book Antiqua"/>
          <w:rtl w:val="0"/>
          <w:lang w:val="it-IT"/>
        </w:rPr>
        <w:t xml:space="preserve">Una versione preliminare della relazione dei verificatori veniva poi trasmessa alle parti il 20 gennaio 2014 per garantire loro il contraddittorio. </w:t>
      </w:r>
    </w:p>
    <w:p>
      <w:pPr>
        <w:pStyle w:val="Normal"/>
        <w:ind w:left="567" w:right="567" w:firstLine="0"/>
        <w:jc w:val="both"/>
        <w:rPr>
          <w:rFonts w:ascii="Book Antiqua" w:cs="Book Antiqua" w:hAnsi="Book Antiqua" w:eastAsia="Book Antiqua"/>
        </w:rPr>
      </w:pPr>
      <w:r>
        <w:rPr>
          <w:rFonts w:ascii="Book Antiqua"/>
          <w:rtl w:val="0"/>
          <w:lang w:val="it-IT"/>
        </w:rPr>
        <w:t>Successivamente e alla luce dei commenti ricevuti da alcune delle parti in causa, veniva redatta e consegnata la relazione conclusiva in data 14 febbraio 2014</w:t>
      </w:r>
      <w:r>
        <w:rPr>
          <w:rFonts w:ascii="Book Antiqua" w:cs="Book Antiqua" w:hAnsi="Book Antiqua" w:eastAsia="Book Antiqua"/>
          <w:vertAlign w:val="superscript"/>
          <w:rtl w:val="0"/>
        </w:rPr>
        <w:footnoteReference w:id="187"/>
      </w:r>
      <w:r>
        <w:rPr>
          <w:rFonts w:ascii="Book Antiqua"/>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Nella relazione i verificatori riportano le informazioni utilizzate per rispondere ai quesiti posti dal Consiglio di Stato, relative: all</w:t>
      </w:r>
      <w:r>
        <w:rPr>
          <w:rFonts w:hAnsi="Book Antiqua" w:hint="default"/>
          <w:rtl w:val="0"/>
          <w:lang w:val="it-IT"/>
        </w:rPr>
        <w:t>’</w:t>
      </w:r>
      <w:r>
        <w:rPr>
          <w:rFonts w:ascii="Book Antiqua"/>
          <w:rtl w:val="0"/>
          <w:lang w:val="it-IT"/>
        </w:rPr>
        <w:t>inquadramento dell</w:t>
      </w:r>
      <w:r>
        <w:rPr>
          <w:rFonts w:hAnsi="Book Antiqua" w:hint="default"/>
          <w:rtl w:val="0"/>
          <w:lang w:val="it-IT"/>
        </w:rPr>
        <w:t>’</w:t>
      </w:r>
      <w:r>
        <w:rPr>
          <w:rFonts w:ascii="Book Antiqua"/>
          <w:rtl w:val="0"/>
          <w:lang w:val="it-IT"/>
        </w:rPr>
        <w:t>area vasta; alla descrizione della discarica di Malagrotta; alla descrizione della stratigrafia e idrogeologia dell</w:t>
      </w:r>
      <w:r>
        <w:rPr>
          <w:rFonts w:hAnsi="Book Antiqua" w:hint="default"/>
          <w:rtl w:val="0"/>
          <w:lang w:val="it-IT"/>
        </w:rPr>
        <w:t>’</w:t>
      </w:r>
      <w:r>
        <w:rPr>
          <w:rFonts w:ascii="Book Antiqua"/>
          <w:rtl w:val="0"/>
          <w:lang w:val="it-IT"/>
        </w:rPr>
        <w:t>area di Malagrotta; ai dati di monitoraggio qualitativo dell</w:t>
      </w:r>
      <w:r>
        <w:rPr>
          <w:rFonts w:hAnsi="Book Antiqua" w:hint="default"/>
          <w:rtl w:val="0"/>
          <w:lang w:val="it-IT"/>
        </w:rPr>
        <w:t>’</w:t>
      </w:r>
      <w:r>
        <w:rPr>
          <w:rFonts w:ascii="Book Antiqua"/>
          <w:rtl w:val="0"/>
          <w:lang w:val="it-IT"/>
        </w:rPr>
        <w:t>acqua di falda.</w:t>
      </w:r>
    </w:p>
    <w:p>
      <w:pPr>
        <w:pStyle w:val="Paragrafo elenco1"/>
        <w:spacing w:after="0" w:line="240" w:lineRule="auto"/>
        <w:ind w:left="567" w:right="567" w:firstLine="0"/>
        <w:jc w:val="both"/>
        <w:rPr>
          <w:rFonts w:ascii="Book Antiqua" w:cs="Book Antiqua" w:hAnsi="Book Antiqua" w:eastAsia="Book Antiqua"/>
          <w:sz w:val="24"/>
          <w:szCs w:val="24"/>
        </w:rPr>
      </w:pPr>
    </w:p>
    <w:p>
      <w:pPr>
        <w:pStyle w:val="Paragrafo elenco1"/>
        <w:spacing w:after="0" w:line="240" w:lineRule="auto"/>
        <w:ind w:left="567" w:right="567" w:firstLine="0"/>
        <w:jc w:val="both"/>
        <w:rPr>
          <w:rFonts w:ascii="Book Antiqua" w:cs="Book Antiqua" w:hAnsi="Book Antiqua" w:eastAsia="Book Antiqua"/>
          <w:sz w:val="24"/>
          <w:szCs w:val="24"/>
        </w:rPr>
      </w:pPr>
      <w:r>
        <w:rPr>
          <w:rFonts w:ascii="Book Antiqua"/>
          <w:i w:val="1"/>
          <w:iCs w:val="1"/>
          <w:sz w:val="24"/>
          <w:szCs w:val="24"/>
          <w:u w:val="single"/>
          <w:rtl w:val="0"/>
          <w:lang w:val="it-IT"/>
        </w:rPr>
        <w:t>Inquadramento dell</w:t>
      </w:r>
      <w:r>
        <w:rPr>
          <w:rFonts w:hAnsi="Book Antiqua" w:hint="default"/>
          <w:i w:val="1"/>
          <w:iCs w:val="1"/>
          <w:sz w:val="24"/>
          <w:szCs w:val="24"/>
          <w:u w:val="single"/>
          <w:rtl w:val="0"/>
          <w:lang w:val="it-IT"/>
        </w:rPr>
        <w:t>’</w:t>
      </w:r>
      <w:r>
        <w:rPr>
          <w:rFonts w:ascii="Book Antiqua"/>
          <w:i w:val="1"/>
          <w:iCs w:val="1"/>
          <w:sz w:val="24"/>
          <w:szCs w:val="24"/>
          <w:u w:val="single"/>
          <w:rtl w:val="0"/>
          <w:lang w:val="it-IT"/>
        </w:rPr>
        <w:t>area vasta</w:t>
      </w:r>
    </w:p>
    <w:p>
      <w:pPr>
        <w:pStyle w:val="Normal"/>
        <w:ind w:left="567" w:right="567" w:firstLine="0"/>
        <w:jc w:val="both"/>
        <w:rPr>
          <w:rFonts w:ascii="Book Antiqua" w:cs="Book Antiqua" w:hAnsi="Book Antiqua" w:eastAsia="Book Antiqua"/>
        </w:rPr>
      </w:pPr>
      <w:r>
        <w:rPr>
          <w:rFonts w:ascii="Book Antiqua"/>
          <w:rtl w:val="0"/>
          <w:lang w:val="it-IT"/>
        </w:rPr>
        <w:t xml:space="preserve">La discarica di Malagrotta  </w:t>
      </w:r>
      <w:r>
        <w:rPr>
          <w:rFonts w:hAnsi="Book Antiqua" w:hint="default"/>
          <w:rtl w:val="0"/>
          <w:lang w:val="it-IT"/>
        </w:rPr>
        <w:t xml:space="preserve">è </w:t>
      </w:r>
      <w:r>
        <w:rPr>
          <w:rFonts w:ascii="Book Antiqua"/>
          <w:rtl w:val="0"/>
          <w:lang w:val="it-IT"/>
        </w:rPr>
        <w:t>situata all'interno del basso bacino del Rio Galeria.</w:t>
      </w:r>
    </w:p>
    <w:p>
      <w:pPr>
        <w:pStyle w:val="Normal"/>
        <w:ind w:left="567" w:right="567" w:firstLine="0"/>
        <w:jc w:val="both"/>
        <w:rPr>
          <w:rFonts w:ascii="Book Antiqua" w:cs="Book Antiqua" w:hAnsi="Book Antiqua" w:eastAsia="Book Antiqua"/>
        </w:rPr>
      </w:pPr>
      <w:r>
        <w:rPr>
          <w:rFonts w:ascii="Book Antiqua"/>
          <w:rtl w:val="0"/>
          <w:lang w:val="it-IT"/>
        </w:rPr>
        <w:t>Nelle vicinanze della discarica sono presenti i centri abitati di Massimina-Casal Lumbroso, Fontignani, Ponte Malnome oltre a case sparse e cascine ubicate lungo via di Malagrotta e via Cigliutti.</w:t>
      </w:r>
    </w:p>
    <w:p>
      <w:pPr>
        <w:pStyle w:val="Normal"/>
        <w:ind w:left="567" w:right="567" w:firstLine="0"/>
        <w:jc w:val="both"/>
        <w:rPr>
          <w:rFonts w:ascii="Book Antiqua" w:cs="Book Antiqua" w:hAnsi="Book Antiqua" w:eastAsia="Book Antiqua"/>
        </w:rPr>
      </w:pPr>
      <w:r>
        <w:rPr>
          <w:rFonts w:ascii="Book Antiqua"/>
          <w:rtl w:val="0"/>
          <w:lang w:val="it-IT"/>
        </w:rPr>
        <w:t>Nell'area vasta circostante la discarica di Malagrotta sono presenti impianti ed attivit</w:t>
      </w:r>
      <w:r>
        <w:rPr>
          <w:rFonts w:hAnsi="Book Antiqua" w:hint="default"/>
          <w:rtl w:val="0"/>
          <w:lang w:val="it-IT"/>
        </w:rPr>
        <w:t xml:space="preserve">à </w:t>
      </w:r>
      <w:r>
        <w:rPr>
          <w:rFonts w:ascii="Book Antiqua"/>
          <w:rtl w:val="0"/>
          <w:lang w:val="it-IT"/>
        </w:rPr>
        <w:t>industriali la cui natura e descrizione sono state cos</w:t>
      </w:r>
      <w:r>
        <w:rPr>
          <w:rFonts w:hAnsi="Book Antiqua" w:hint="default"/>
          <w:rtl w:val="0"/>
          <w:lang w:val="it-IT"/>
        </w:rPr>
        <w:t xml:space="preserve">ì </w:t>
      </w:r>
      <w:r>
        <w:rPr>
          <w:rFonts w:ascii="Book Antiqua"/>
          <w:rtl w:val="0"/>
          <w:lang w:val="it-IT"/>
        </w:rPr>
        <w:t>riportate nello studio ambientale condotto da Ispra negli anni 2010-2011:</w:t>
      </w:r>
    </w:p>
    <w:p>
      <w:pPr>
        <w:pStyle w:val="Normal"/>
        <w:ind w:left="567" w:right="567" w:firstLine="0"/>
        <w:jc w:val="both"/>
        <w:rPr>
          <w:rFonts w:ascii="Book Antiqua" w:cs="Book Antiqua" w:hAnsi="Book Antiqua" w:eastAsia="Book Antiqua"/>
        </w:rPr>
      </w:pPr>
      <w:r>
        <w:rPr>
          <w:rFonts w:hAnsi="Book Antiqua" w:hint="default"/>
          <w:rtl w:val="0"/>
          <w:lang w:val="it-IT"/>
        </w:rPr>
        <w:t xml:space="preserve">– </w:t>
      </w:r>
      <w:r>
        <w:rPr>
          <w:rFonts w:ascii="Book Antiqua"/>
          <w:rtl w:val="0"/>
          <w:lang w:val="it-IT"/>
        </w:rPr>
        <w:t>inceneritore di rifiuti ospedalieri (di propriet</w:t>
      </w:r>
      <w:r>
        <w:rPr>
          <w:rFonts w:hAnsi="Book Antiqua" w:hint="default"/>
          <w:rtl w:val="0"/>
          <w:lang w:val="it-IT"/>
        </w:rPr>
        <w:t xml:space="preserve">à </w:t>
      </w:r>
      <w:r>
        <w:rPr>
          <w:rFonts w:ascii="Book Antiqua"/>
          <w:rtl w:val="0"/>
          <w:lang w:val="it-IT"/>
        </w:rPr>
        <w:t>AMA), ubicato in localit</w:t>
      </w:r>
      <w:r>
        <w:rPr>
          <w:rFonts w:hAnsi="Book Antiqua" w:hint="default"/>
          <w:rtl w:val="0"/>
          <w:lang w:val="it-IT"/>
        </w:rPr>
        <w:t xml:space="preserve">à </w:t>
      </w:r>
      <w:r>
        <w:rPr>
          <w:rFonts w:ascii="Book Antiqua"/>
          <w:rtl w:val="0"/>
          <w:lang w:val="it-IT"/>
        </w:rPr>
        <w:t>Ponte Malnome. L</w:t>
      </w:r>
      <w:r>
        <w:rPr>
          <w:rFonts w:hAnsi="Book Antiqua" w:hint="default"/>
          <w:rtl w:val="0"/>
          <w:lang w:val="it-IT"/>
        </w:rPr>
        <w:t>’</w:t>
      </w:r>
      <w:r>
        <w:rPr>
          <w:rFonts w:ascii="Book Antiqua"/>
          <w:rtl w:val="0"/>
          <w:lang w:val="it-IT"/>
        </w:rPr>
        <w:t xml:space="preserve">inceneritore </w:t>
      </w:r>
      <w:r>
        <w:rPr>
          <w:rFonts w:hAnsi="Book Antiqua" w:hint="default"/>
          <w:rtl w:val="0"/>
          <w:lang w:val="it-IT"/>
        </w:rPr>
        <w:t xml:space="preserve">è </w:t>
      </w:r>
      <w:r>
        <w:rPr>
          <w:rFonts w:ascii="Book Antiqua"/>
          <w:rtl w:val="0"/>
          <w:lang w:val="it-IT"/>
        </w:rPr>
        <w:t>attivo dal 1996. Ha due linee di incenerimento che trattano fino a 100 tonnellate/giorno di rifiuti;</w:t>
      </w:r>
    </w:p>
    <w:p>
      <w:pPr>
        <w:pStyle w:val="Normal"/>
        <w:ind w:left="567" w:right="567" w:firstLine="0"/>
        <w:jc w:val="both"/>
        <w:rPr>
          <w:rFonts w:ascii="Book Antiqua" w:cs="Book Antiqua" w:hAnsi="Book Antiqua" w:eastAsia="Book Antiqua"/>
        </w:rPr>
      </w:pPr>
      <w:r>
        <w:rPr>
          <w:rFonts w:hAnsi="Book Antiqua" w:hint="default"/>
          <w:rtl w:val="0"/>
          <w:lang w:val="it-IT"/>
        </w:rPr>
        <w:t xml:space="preserve">– </w:t>
      </w:r>
      <w:r>
        <w:rPr>
          <w:rFonts w:ascii="Book Antiqua"/>
          <w:rtl w:val="0"/>
          <w:lang w:val="it-IT"/>
        </w:rPr>
        <w:t>Raffineria di Roma</w:t>
      </w:r>
      <w:r>
        <w:rPr>
          <w:rFonts w:hAnsi="Book Antiqua" w:hint="default"/>
          <w:rtl w:val="0"/>
          <w:lang w:val="it-IT"/>
        </w:rPr>
        <w:t xml:space="preserve"> è </w:t>
      </w:r>
      <w:r>
        <w:rPr>
          <w:rFonts w:ascii="Book Antiqua"/>
          <w:rtl w:val="0"/>
          <w:lang w:val="it-IT"/>
        </w:rPr>
        <w:t xml:space="preserve">un complesso industriale che si estende su una superficie di 93,3 ettari. In passato era dedicato alla trasformazione del greggio in diversi prodotti combustibili e carburanti (gpl, benzine, kerosene, gasoli, oli combustibili), ora utilizzato esclusivamente come deposito carburanti con parco serbatoi dal volume complessivo di 1.259.500 metri cubi. Essendo stata riscontrata la presenza di una contaminazione nel sottosuolo, il sito </w:t>
      </w:r>
      <w:r>
        <w:rPr>
          <w:rFonts w:hAnsi="Book Antiqua" w:hint="default"/>
          <w:rtl w:val="0"/>
          <w:lang w:val="it-IT"/>
        </w:rPr>
        <w:t xml:space="preserve">è </w:t>
      </w:r>
      <w:r>
        <w:rPr>
          <w:rFonts w:ascii="Book Antiqua"/>
          <w:rtl w:val="0"/>
          <w:lang w:val="it-IT"/>
        </w:rPr>
        <w:t>sottoposto a messa in sicurezza (MISOP) mediante barriera perimetrale costituita da pozzi di emungimento lungo la sponda destra del Rio Galeria;</w:t>
      </w:r>
    </w:p>
    <w:p>
      <w:pPr>
        <w:pStyle w:val="Normal"/>
        <w:ind w:left="567" w:right="567" w:firstLine="0"/>
        <w:jc w:val="both"/>
        <w:rPr>
          <w:rFonts w:ascii="Book Antiqua" w:cs="Book Antiqua" w:hAnsi="Book Antiqua" w:eastAsia="Book Antiqua"/>
        </w:rPr>
      </w:pPr>
      <w:r>
        <w:rPr>
          <w:rFonts w:hAnsi="Book Antiqua" w:hint="default"/>
          <w:rtl w:val="0"/>
          <w:lang w:val="it-IT"/>
        </w:rPr>
        <w:t xml:space="preserve">– </w:t>
      </w:r>
      <w:r>
        <w:rPr>
          <w:rFonts w:ascii="Book Antiqua"/>
          <w:rtl w:val="0"/>
          <w:lang w:val="it-IT"/>
        </w:rPr>
        <w:t>Deposito Comune (De.Co SCARL)</w:t>
      </w:r>
      <w:r>
        <w:rPr>
          <w:rFonts w:hAnsi="Book Antiqua" w:hint="default"/>
          <w:rtl w:val="0"/>
          <w:lang w:val="it-IT"/>
        </w:rPr>
        <w:t xml:space="preserve"> è </w:t>
      </w:r>
      <w:r>
        <w:rPr>
          <w:rFonts w:ascii="Book Antiqua"/>
          <w:rtl w:val="0"/>
          <w:lang w:val="it-IT"/>
        </w:rPr>
        <w:t>ubicato in localit</w:t>
      </w:r>
      <w:r>
        <w:rPr>
          <w:rFonts w:hAnsi="Book Antiqua" w:hint="default"/>
          <w:rtl w:val="0"/>
          <w:lang w:val="it-IT"/>
        </w:rPr>
        <w:t xml:space="preserve">à </w:t>
      </w:r>
      <w:r>
        <w:rPr>
          <w:rFonts w:ascii="Book Antiqua"/>
          <w:rtl w:val="0"/>
          <w:lang w:val="it-IT"/>
        </w:rPr>
        <w:t>Pantano di Grano, a nord-ovest della discarica e occupa un</w:t>
      </w:r>
      <w:r>
        <w:rPr>
          <w:rFonts w:hAnsi="Book Antiqua" w:hint="default"/>
          <w:rtl w:val="0"/>
          <w:lang w:val="it-IT"/>
        </w:rPr>
        <w:t>’</w:t>
      </w:r>
      <w:r>
        <w:rPr>
          <w:rFonts w:ascii="Book Antiqua"/>
          <w:rtl w:val="0"/>
          <w:lang w:val="it-IT"/>
        </w:rPr>
        <w:t>area di circa 22.000 metri quadrati, delimitata a sud dalla discarica di Malagrotta e a ovest con via di Malagrotta e il Rio Galeria. Le attivit</w:t>
      </w:r>
      <w:r>
        <w:rPr>
          <w:rFonts w:hAnsi="Book Antiqua" w:hint="default"/>
          <w:rtl w:val="0"/>
          <w:lang w:val="it-IT"/>
        </w:rPr>
        <w:t xml:space="preserve">à </w:t>
      </w:r>
      <w:r>
        <w:rPr>
          <w:rFonts w:ascii="Book Antiqua"/>
          <w:rtl w:val="0"/>
          <w:lang w:val="it-IT"/>
        </w:rPr>
        <w:t xml:space="preserve">del deposito consistono nella ricezione, transito, deposito, stoccaggio, trasformazione e miscelazione di prodotti petroliferi. Il deposito </w:t>
      </w:r>
      <w:r>
        <w:rPr>
          <w:rFonts w:hAnsi="Book Antiqua" w:hint="default"/>
          <w:rtl w:val="0"/>
          <w:lang w:val="it-IT"/>
        </w:rPr>
        <w:t xml:space="preserve">è </w:t>
      </w:r>
      <w:r>
        <w:rPr>
          <w:rFonts w:ascii="Book Antiqua"/>
          <w:rtl w:val="0"/>
          <w:lang w:val="it-IT"/>
        </w:rPr>
        <w:t>costituito da 4 oleodotti per la movimentazione dei carburanti dalla Raffineria di Roma, un parco serbatoi da 8500 metri cubi e un ponte di carico per le autobotti;</w:t>
      </w:r>
    </w:p>
    <w:p>
      <w:pPr>
        <w:pStyle w:val="Normal"/>
        <w:ind w:left="567" w:right="567" w:firstLine="0"/>
        <w:jc w:val="both"/>
        <w:rPr>
          <w:rFonts w:ascii="Book Antiqua" w:cs="Book Antiqua" w:hAnsi="Book Antiqua" w:eastAsia="Book Antiqua"/>
        </w:rPr>
      </w:pPr>
      <w:r>
        <w:rPr>
          <w:rFonts w:hAnsi="Book Antiqua" w:hint="default"/>
          <w:rtl w:val="0"/>
          <w:lang w:val="it-IT"/>
        </w:rPr>
        <w:t xml:space="preserve">– </w:t>
      </w:r>
      <w:r>
        <w:rPr>
          <w:rFonts w:ascii="Book Antiqua"/>
          <w:rtl w:val="0"/>
          <w:lang w:val="it-IT"/>
        </w:rPr>
        <w:t>Attivit</w:t>
      </w:r>
      <w:r>
        <w:rPr>
          <w:rFonts w:hAnsi="Book Antiqua" w:hint="default"/>
          <w:rtl w:val="0"/>
          <w:lang w:val="it-IT"/>
        </w:rPr>
        <w:t xml:space="preserve">à </w:t>
      </w:r>
      <w:r>
        <w:rPr>
          <w:rFonts w:ascii="Book Antiqua"/>
          <w:rtl w:val="0"/>
          <w:lang w:val="it-IT"/>
        </w:rPr>
        <w:t>estrattive di cui solo una parte ancora attiva.</w:t>
      </w: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Bold" w:cs="Book Antiqua Bold" w:hAnsi="Book Antiqua Bold" w:eastAsia="Book Antiqua Bold"/>
          <w:b w:val="1"/>
          <w:bCs w:val="1"/>
          <w:sz w:val="20"/>
          <w:szCs w:val="20"/>
        </w:rPr>
      </w:pPr>
      <w:r>
        <w:rPr>
          <w:rFonts w:ascii="Book Antiqua Bold"/>
          <w:b w:val="1"/>
          <w:bCs w:val="1"/>
          <w:sz w:val="20"/>
          <w:szCs w:val="20"/>
          <w:rtl w:val="0"/>
          <w:lang w:val="it-IT"/>
        </w:rPr>
        <w:t>Inquadramento di area vasta del sito</w:t>
      </w:r>
    </w:p>
    <w:p>
      <w:pPr>
        <w:pStyle w:val="Normal"/>
        <w:ind w:left="567" w:right="567" w:firstLine="0"/>
        <w:jc w:val="both"/>
        <w:rPr>
          <w:rFonts w:ascii="Book Antiqua" w:cs="Book Antiqua" w:hAnsi="Book Antiqua" w:eastAsia="Book Antiqua"/>
        </w:rPr>
      </w:pPr>
      <w:r>
        <w:rPr>
          <w:rFonts w:ascii="Book Antiqua" w:cs="Book Antiqua" w:hAnsi="Book Antiqua" w:eastAsia="Book Antiqua"/>
          <w:rtl w:val="0"/>
        </w:rPr>
        <w:drawing>
          <wp:inline distT="0" distB="0" distL="0" distR="0">
            <wp:extent cx="4800337" cy="4290060"/>
            <wp:effectExtent l="0" t="0" r="0" b="0"/>
            <wp:docPr id="1073741867" name="officeArt object"/>
            <wp:cNvGraphicFramePr/>
            <a:graphic xmlns:a="http://schemas.openxmlformats.org/drawingml/2006/main">
              <a:graphicData uri="http://schemas.openxmlformats.org/drawingml/2006/picture">
                <pic:pic xmlns:pic="http://schemas.openxmlformats.org/drawingml/2006/picture">
                  <pic:nvPicPr>
                    <pic:cNvPr id="1073741867" name="image41.png"/>
                    <pic:cNvPicPr/>
                  </pic:nvPicPr>
                  <pic:blipFill>
                    <a:blip r:embed="rId51">
                      <a:extLst/>
                    </a:blip>
                    <a:stretch>
                      <a:fillRect/>
                    </a:stretch>
                  </pic:blipFill>
                  <pic:spPr>
                    <a:xfrm>
                      <a:off x="0" y="0"/>
                      <a:ext cx="4800337" cy="4290060"/>
                    </a:xfrm>
                    <a:prstGeom prst="rect">
                      <a:avLst/>
                    </a:prstGeom>
                    <a:ln w="12700" cap="flat">
                      <a:noFill/>
                      <a:miter lim="400000"/>
                    </a:ln>
                    <a:effectLst/>
                  </pic:spPr>
                </pic:pic>
              </a:graphicData>
            </a:graphic>
          </wp:inline>
        </w:drawing>
      </w:r>
    </w:p>
    <w:p>
      <w:pPr>
        <w:pStyle w:val="Normal"/>
        <w:ind w:right="567" w:firstLine="567"/>
        <w:jc w:val="both"/>
        <w:rPr>
          <w:rFonts w:ascii="Book Antiqua" w:cs="Book Antiqua" w:hAnsi="Book Antiqua" w:eastAsia="Book Antiqua"/>
          <w:i w:val="1"/>
          <w:iCs w:val="1"/>
          <w:u w:val="single"/>
        </w:rPr>
      </w:pPr>
    </w:p>
    <w:p>
      <w:pPr>
        <w:pStyle w:val="Normal"/>
        <w:ind w:right="567" w:firstLine="567"/>
        <w:jc w:val="both"/>
        <w:rPr>
          <w:rFonts w:ascii="Book Antiqua" w:cs="Book Antiqua" w:hAnsi="Book Antiqua" w:eastAsia="Book Antiqua"/>
          <w:i w:val="1"/>
          <w:iCs w:val="1"/>
          <w:u w:val="single"/>
        </w:rPr>
      </w:pPr>
      <w:r>
        <w:rPr>
          <w:rFonts w:ascii="Book Antiqua"/>
          <w:i w:val="1"/>
          <w:iCs w:val="1"/>
          <w:u w:val="single"/>
          <w:rtl w:val="0"/>
          <w:lang w:val="it-IT"/>
        </w:rPr>
        <w:t>La discarica di Malagrotta e l</w:t>
      </w:r>
      <w:r>
        <w:rPr>
          <w:rFonts w:hAnsi="Book Antiqua" w:hint="default"/>
          <w:i w:val="1"/>
          <w:iCs w:val="1"/>
          <w:u w:val="single"/>
          <w:rtl w:val="0"/>
          <w:lang w:val="it-IT"/>
        </w:rPr>
        <w:t>’</w:t>
      </w:r>
      <w:r>
        <w:rPr>
          <w:rFonts w:ascii="Book Antiqua"/>
          <w:i w:val="1"/>
          <w:iCs w:val="1"/>
          <w:u w:val="single"/>
          <w:rtl w:val="0"/>
          <w:lang w:val="it-IT"/>
        </w:rPr>
        <w:t>isolamento idraulico</w:t>
      </w:r>
    </w:p>
    <w:p>
      <w:pPr>
        <w:pStyle w:val="Normal"/>
        <w:ind w:left="567" w:right="567" w:firstLine="0"/>
        <w:jc w:val="both"/>
        <w:rPr>
          <w:rFonts w:ascii="Book Antiqua" w:cs="Book Antiqua" w:hAnsi="Book Antiqua" w:eastAsia="Book Antiqua"/>
        </w:rPr>
      </w:pPr>
      <w:r>
        <w:rPr>
          <w:rFonts w:ascii="Book Antiqua"/>
          <w:rtl w:val="0"/>
          <w:lang w:val="it-IT"/>
        </w:rPr>
        <w:t xml:space="preserve">Come si </w:t>
      </w:r>
      <w:r>
        <w:rPr>
          <w:rFonts w:hAnsi="Book Antiqua" w:hint="default"/>
          <w:rtl w:val="0"/>
          <w:lang w:val="it-IT"/>
        </w:rPr>
        <w:t xml:space="preserve">è </w:t>
      </w:r>
      <w:r>
        <w:rPr>
          <w:rFonts w:ascii="Book Antiqua"/>
          <w:rtl w:val="0"/>
          <w:lang w:val="it-IT"/>
        </w:rPr>
        <w:t xml:space="preserve">detto, la discarica per rifiuti non pericolosi di Malagrotta </w:t>
      </w:r>
      <w:r>
        <w:rPr>
          <w:rFonts w:hAnsi="Book Antiqua" w:hint="default"/>
          <w:rtl w:val="0"/>
          <w:lang w:val="it-IT"/>
        </w:rPr>
        <w:t xml:space="preserve">è </w:t>
      </w:r>
      <w:r>
        <w:rPr>
          <w:rFonts w:ascii="Book Antiqua"/>
          <w:rtl w:val="0"/>
          <w:lang w:val="it-IT"/>
        </w:rPr>
        <w:t>stata attivata nel 1974 ed</w:t>
      </w:r>
      <w:r>
        <w:rPr>
          <w:rFonts w:hAnsi="Book Antiqua" w:hint="default"/>
          <w:rtl w:val="0"/>
          <w:lang w:val="it-IT"/>
        </w:rPr>
        <w:t xml:space="preserve"> è </w:t>
      </w:r>
      <w:r>
        <w:rPr>
          <w:rFonts w:ascii="Book Antiqua"/>
          <w:rtl w:val="0"/>
          <w:lang w:val="it-IT"/>
        </w:rPr>
        <w:t>stata in attivit</w:t>
      </w:r>
      <w:r>
        <w:rPr>
          <w:rFonts w:hAnsi="Book Antiqua" w:hint="default"/>
          <w:rtl w:val="0"/>
          <w:lang w:val="it-IT"/>
        </w:rPr>
        <w:t xml:space="preserve">à </w:t>
      </w:r>
      <w:r>
        <w:rPr>
          <w:rFonts w:ascii="Book Antiqua"/>
          <w:rtl w:val="0"/>
          <w:lang w:val="it-IT"/>
        </w:rPr>
        <w:t>fino al 1</w:t>
      </w:r>
      <w:r>
        <w:rPr>
          <w:rFonts w:hAnsi="Book Antiqua" w:hint="default"/>
          <w:rtl w:val="0"/>
          <w:lang w:val="it-IT"/>
        </w:rPr>
        <w:t xml:space="preserve">° </w:t>
      </w:r>
      <w:r>
        <w:rPr>
          <w:rFonts w:ascii="Book Antiqua"/>
          <w:rtl w:val="0"/>
          <w:lang w:val="it-IT"/>
        </w:rPr>
        <w:t>ottobre 2013.</w:t>
      </w:r>
    </w:p>
    <w:p>
      <w:pPr>
        <w:pStyle w:val="Normal"/>
        <w:ind w:left="567" w:right="567" w:firstLine="0"/>
        <w:jc w:val="both"/>
        <w:rPr>
          <w:rFonts w:ascii="Book Antiqua" w:cs="Book Antiqua" w:hAnsi="Book Antiqua" w:eastAsia="Book Antiqua"/>
        </w:rPr>
      </w:pPr>
      <w:r>
        <w:rPr>
          <w:rFonts w:ascii="Book Antiqua"/>
          <w:rtl w:val="0"/>
          <w:lang w:val="it-IT"/>
        </w:rPr>
        <w:t xml:space="preserve">L'isolamento idraulico </w:t>
      </w:r>
      <w:r>
        <w:rPr>
          <w:rFonts w:hAnsi="Book Antiqua" w:hint="default"/>
          <w:rtl w:val="0"/>
          <w:lang w:val="it-IT"/>
        </w:rPr>
        <w:t xml:space="preserve">è </w:t>
      </w:r>
      <w:r>
        <w:rPr>
          <w:rFonts w:ascii="Book Antiqua"/>
          <w:rtl w:val="0"/>
          <w:lang w:val="it-IT"/>
        </w:rPr>
        <w:t>fornito per via naturale dalla spessa coltre di argille plioceniche del Monte delle Piche; dopo l</w:t>
      </w:r>
      <w:r>
        <w:rPr>
          <w:rFonts w:hAnsi="Book Antiqua" w:hint="default"/>
          <w:rtl w:val="0"/>
          <w:lang w:val="it-IT"/>
        </w:rPr>
        <w:t>’</w:t>
      </w:r>
      <w:r>
        <w:rPr>
          <w:rFonts w:ascii="Book Antiqua"/>
          <w:rtl w:val="0"/>
          <w:lang w:val="it-IT"/>
        </w:rPr>
        <w:t>entrata in vigore del  decreto del Presidente della Repubblica 10 dicembre 1982, n. 915, fu avviato il progetto di adeguamento al decreto, completato e realizzato nel 1987, che prevedeva la realizzazione di un diaframma plastico di contenimento (</w:t>
      </w:r>
      <w:r>
        <w:rPr>
          <w:rFonts w:ascii="Book Antiqua"/>
          <w:i w:val="1"/>
          <w:iCs w:val="1"/>
          <w:rtl w:val="0"/>
          <w:lang w:val="it-IT"/>
        </w:rPr>
        <w:t>polder</w:t>
      </w:r>
      <w:r>
        <w:rPr>
          <w:rFonts w:ascii="Book Antiqua"/>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I tre sistemi di confinamento idraulico attualmente presenti ad isolamento della discarica sono:</w:t>
      </w:r>
    </w:p>
    <w:p>
      <w:pPr>
        <w:pStyle w:val="Normal"/>
        <w:ind w:left="567" w:right="567" w:firstLine="0"/>
        <w:jc w:val="both"/>
        <w:rPr>
          <w:rFonts w:ascii="Book Antiqua" w:cs="Book Antiqua" w:hAnsi="Book Antiqua" w:eastAsia="Book Antiqua"/>
        </w:rPr>
      </w:pPr>
      <w:r>
        <w:rPr>
          <w:rFonts w:ascii="Book Antiqua"/>
          <w:rtl w:val="0"/>
          <w:lang w:val="it-IT"/>
        </w:rPr>
        <w:t>confinamento di base costituito dalle argille plioceniche di Monte delle Piche;</w:t>
      </w:r>
    </w:p>
    <w:p>
      <w:pPr>
        <w:pStyle w:val="Normal"/>
        <w:ind w:left="567" w:right="567" w:firstLine="0"/>
        <w:jc w:val="both"/>
        <w:rPr>
          <w:rFonts w:ascii="Book Antiqua" w:cs="Book Antiqua" w:hAnsi="Book Antiqua" w:eastAsia="Book Antiqua"/>
        </w:rPr>
      </w:pPr>
      <w:r>
        <w:rPr>
          <w:rFonts w:ascii="Book Antiqua"/>
          <w:rtl w:val="0"/>
          <w:lang w:val="it-IT"/>
        </w:rPr>
        <w:t>confinamento laterale costituito dal diaframma plastico intestato nelle argille plioceniche;</w:t>
      </w:r>
    </w:p>
    <w:p>
      <w:pPr>
        <w:pStyle w:val="Normal"/>
        <w:ind w:left="567" w:right="567" w:firstLine="0"/>
        <w:jc w:val="both"/>
        <w:rPr>
          <w:rFonts w:ascii="Book Antiqua" w:cs="Book Antiqua" w:hAnsi="Book Antiqua" w:eastAsia="Book Antiqua"/>
        </w:rPr>
      </w:pPr>
      <w:r>
        <w:rPr>
          <w:rFonts w:ascii="Book Antiqua"/>
          <w:rtl w:val="0"/>
          <w:lang w:val="it-IT"/>
        </w:rPr>
        <w:t xml:space="preserve">confinamento sommitale costituito dal </w:t>
      </w:r>
      <w:r>
        <w:rPr>
          <w:rFonts w:ascii="Book Antiqua"/>
          <w:i w:val="1"/>
          <w:iCs w:val="1"/>
          <w:rtl w:val="0"/>
          <w:lang w:val="it-IT"/>
        </w:rPr>
        <w:t>capping</w:t>
      </w:r>
      <w:r>
        <w:rPr>
          <w:rFonts w:ascii="Book Antiqua"/>
          <w:rtl w:val="0"/>
          <w:lang w:val="it-IT"/>
        </w:rPr>
        <w:t xml:space="preserve"> nei lotti esauriti.</w:t>
      </w:r>
    </w:p>
    <w:p>
      <w:pPr>
        <w:pStyle w:val="Normal"/>
        <w:ind w:left="567" w:right="567" w:firstLine="0"/>
        <w:jc w:val="both"/>
        <w:rPr>
          <w:rFonts w:ascii="Book Antiqua" w:cs="Book Antiqua" w:hAnsi="Book Antiqua" w:eastAsia="Book Antiqua"/>
        </w:rPr>
      </w:pPr>
      <w:r>
        <w:rPr>
          <w:rFonts w:ascii="Book Antiqua"/>
          <w:rtl w:val="0"/>
          <w:lang w:val="it-IT"/>
        </w:rPr>
        <w:t>I lotti A, B e C sono stati coltivati nella fase antecedente alla costruzione del polder avvenuta nel 1987. Pertanto essi sono sprovvisti di sistema di captazione del percolato sul fondo, ad eccezione di parte del lotto B. Oltre ci</w:t>
      </w:r>
      <w:r>
        <w:rPr>
          <w:rFonts w:hAnsi="Book Antiqua" w:hint="default"/>
          <w:rtl w:val="0"/>
          <w:lang w:val="it-IT"/>
        </w:rPr>
        <w:t xml:space="preserve">ò </w:t>
      </w:r>
      <w:r>
        <w:rPr>
          <w:rFonts w:ascii="Book Antiqua"/>
          <w:rtl w:val="0"/>
          <w:lang w:val="it-IT"/>
        </w:rPr>
        <w:t xml:space="preserve">non </w:t>
      </w:r>
      <w:r>
        <w:rPr>
          <w:rFonts w:hAnsi="Book Antiqua" w:hint="default"/>
          <w:rtl w:val="0"/>
          <w:lang w:val="it-IT"/>
        </w:rPr>
        <w:t xml:space="preserve">è </w:t>
      </w:r>
      <w:r>
        <w:rPr>
          <w:rFonts w:ascii="Book Antiqua"/>
          <w:rtl w:val="0"/>
          <w:lang w:val="it-IT"/>
        </w:rPr>
        <w:t>nota la quota di progetto di fondo vasca che invece viene fornita per gli altri lotti.</w:t>
      </w:r>
    </w:p>
    <w:p>
      <w:pPr>
        <w:pStyle w:val="Normal"/>
        <w:ind w:left="567" w:right="567" w:firstLine="0"/>
        <w:jc w:val="both"/>
        <w:rPr>
          <w:rFonts w:ascii="Book Antiqua" w:cs="Book Antiqua" w:hAnsi="Book Antiqua" w:eastAsia="Book Antiqua"/>
        </w:rPr>
      </w:pPr>
      <w:r>
        <w:rPr>
          <w:rFonts w:ascii="Book Antiqua"/>
          <w:rtl w:val="0"/>
          <w:lang w:val="it-IT"/>
        </w:rPr>
        <w:t xml:space="preserve">Nel 1987 fu realizzato - su progetto dei professori Guido Calenda e Franco Esu - il </w:t>
      </w:r>
      <w:r>
        <w:rPr>
          <w:rFonts w:ascii="Book Antiqua"/>
          <w:i w:val="1"/>
          <w:iCs w:val="1"/>
          <w:rtl w:val="0"/>
          <w:lang w:val="it-IT"/>
        </w:rPr>
        <w:t>polder</w:t>
      </w:r>
      <w:r>
        <w:rPr>
          <w:rFonts w:ascii="Book Antiqua"/>
          <w:rtl w:val="0"/>
          <w:lang w:val="it-IT"/>
        </w:rPr>
        <w:t xml:space="preserve"> (diaframma plastico in calcestruzzo addizionato con bentonite). Il </w:t>
      </w:r>
      <w:r>
        <w:rPr>
          <w:rFonts w:ascii="Book Antiqua"/>
          <w:i w:val="1"/>
          <w:iCs w:val="1"/>
          <w:rtl w:val="0"/>
          <w:lang w:val="it-IT"/>
        </w:rPr>
        <w:t>polder</w:t>
      </w:r>
      <w:r>
        <w:rPr>
          <w:rFonts w:ascii="Book Antiqua"/>
          <w:rtl w:val="0"/>
          <w:lang w:val="it-IT"/>
        </w:rPr>
        <w:t>, che delimita 160 ettari di discarica, ha un perimetro di 5.423 metri ed uno spessore variabile tra 60 e 100 centimetri, crescente con la profondit</w:t>
      </w:r>
      <w:r>
        <w:rPr>
          <w:rFonts w:hAnsi="Book Antiqua" w:hint="default"/>
          <w:rtl w:val="0"/>
          <w:lang w:val="it-IT"/>
        </w:rPr>
        <w:t xml:space="preserve">à </w:t>
      </w:r>
      <w:r>
        <w:rPr>
          <w:rFonts w:ascii="Book Antiqua"/>
          <w:rtl w:val="0"/>
          <w:lang w:val="it-IT"/>
        </w:rPr>
        <w:t xml:space="preserve">(che </w:t>
      </w:r>
      <w:r>
        <w:rPr>
          <w:rFonts w:hAnsi="Book Antiqua" w:hint="default"/>
          <w:rtl w:val="0"/>
          <w:lang w:val="it-IT"/>
        </w:rPr>
        <w:t xml:space="preserve">è </w:t>
      </w:r>
      <w:r>
        <w:rPr>
          <w:rFonts w:ascii="Book Antiqua"/>
          <w:rtl w:val="0"/>
          <w:lang w:val="it-IT"/>
        </w:rPr>
        <w:t xml:space="preserve">compresa tra un minimo di 20 metri ed un massimo di 50 metri) ed </w:t>
      </w:r>
      <w:r>
        <w:rPr>
          <w:rFonts w:hAnsi="Book Antiqua" w:hint="default"/>
          <w:rtl w:val="0"/>
          <w:lang w:val="it-IT"/>
        </w:rPr>
        <w:t xml:space="preserve">è </w:t>
      </w:r>
      <w:r>
        <w:rPr>
          <w:rFonts w:ascii="Book Antiqua"/>
          <w:rtl w:val="0"/>
          <w:lang w:val="it-IT"/>
        </w:rPr>
        <w:t>intestato nello strato di argille di Monte delle Piche per uno spessore compreso tra 2 e 4 metri.</w:t>
      </w:r>
    </w:p>
    <w:p>
      <w:pPr>
        <w:pStyle w:val="Normal"/>
        <w:ind w:left="567" w:right="567" w:firstLine="0"/>
        <w:jc w:val="both"/>
        <w:rPr>
          <w:rFonts w:ascii="Book Antiqua" w:cs="Book Antiqua" w:hAnsi="Book Antiqua" w:eastAsia="Book Antiqua"/>
        </w:rPr>
      </w:pPr>
      <w:r>
        <w:rPr>
          <w:rFonts w:ascii="Book Antiqua"/>
          <w:rtl w:val="0"/>
          <w:lang w:val="it-IT"/>
        </w:rPr>
        <w:t>Secondo quanto accertato dal collegio dei verificatori, le verifiche di continuit</w:t>
      </w:r>
      <w:r>
        <w:rPr>
          <w:rFonts w:hAnsi="Book Antiqua" w:hint="default"/>
          <w:rtl w:val="0"/>
          <w:lang w:val="it-IT"/>
        </w:rPr>
        <w:t xml:space="preserve">à </w:t>
      </w:r>
      <w:r>
        <w:rPr>
          <w:rFonts w:ascii="Book Antiqua"/>
          <w:rtl w:val="0"/>
          <w:lang w:val="it-IT"/>
        </w:rPr>
        <w:t xml:space="preserve">del </w:t>
      </w:r>
      <w:r>
        <w:rPr>
          <w:rFonts w:ascii="Book Antiqua"/>
          <w:i w:val="1"/>
          <w:iCs w:val="1"/>
          <w:rtl w:val="0"/>
          <w:lang w:val="it-IT"/>
        </w:rPr>
        <w:t>polder</w:t>
      </w:r>
      <w:r>
        <w:rPr>
          <w:rFonts w:ascii="Book Antiqua"/>
          <w:rtl w:val="0"/>
          <w:lang w:val="it-IT"/>
        </w:rPr>
        <w:t xml:space="preserve"> effettuate negli anni, hanno sempre fornito esito positivo.</w:t>
      </w:r>
    </w:p>
    <w:p>
      <w:pPr>
        <w:pStyle w:val="Normal"/>
        <w:ind w:left="567" w:right="567" w:firstLine="0"/>
        <w:jc w:val="both"/>
        <w:rPr>
          <w:rFonts w:ascii="Book Antiqua" w:cs="Book Antiqua" w:hAnsi="Book Antiqua" w:eastAsia="Book Antiqua"/>
        </w:rPr>
      </w:pPr>
      <w:r>
        <w:rPr>
          <w:rFonts w:ascii="Book Antiqua"/>
          <w:rtl w:val="0"/>
          <w:lang w:val="it-IT"/>
        </w:rPr>
        <w:t>Nello specifico, nel 2004, fu commissionata dalla provincia di Roma alla societ</w:t>
      </w:r>
      <w:r>
        <w:rPr>
          <w:rFonts w:hAnsi="Book Antiqua" w:hint="default"/>
          <w:rtl w:val="0"/>
          <w:lang w:val="it-IT"/>
        </w:rPr>
        <w:t xml:space="preserve">à </w:t>
      </w:r>
      <w:r>
        <w:rPr>
          <w:rFonts w:ascii="Book Antiqua"/>
          <w:rtl w:val="0"/>
          <w:lang w:val="it-IT"/>
        </w:rPr>
        <w:t>IDEA, l</w:t>
      </w:r>
      <w:r>
        <w:rPr>
          <w:rFonts w:hAnsi="Book Antiqua" w:hint="default"/>
          <w:rtl w:val="0"/>
          <w:lang w:val="it-IT"/>
        </w:rPr>
        <w:t>’</w:t>
      </w:r>
      <w:r>
        <w:rPr>
          <w:rFonts w:ascii="Book Antiqua"/>
          <w:rtl w:val="0"/>
          <w:lang w:val="it-IT"/>
        </w:rPr>
        <w:t>esecuzione di uno studio sulla tenuta idraulica del diaframma perimetrale della discarica. Nel 2009, furono effettuate prove di immissione di tracciante (LiCl) nei piezometri V1, V2, V3 e V8 e misurate altres</w:t>
      </w:r>
      <w:r>
        <w:rPr>
          <w:rFonts w:hAnsi="Book Antiqua" w:hint="default"/>
          <w:rtl w:val="0"/>
          <w:lang w:val="it-IT"/>
        </w:rPr>
        <w:t xml:space="preserve">ì </w:t>
      </w:r>
      <w:r>
        <w:rPr>
          <w:rFonts w:ascii="Book Antiqua"/>
          <w:rtl w:val="0"/>
          <w:lang w:val="it-IT"/>
        </w:rPr>
        <w:t>le concentrazioni in quelli esterni ovvero Z1, Z2, Z3 e Z8, oltre che in Z9, Z16 e Z19, per un periodo di sessanta giorni dopo l</w:t>
      </w:r>
      <w:r>
        <w:rPr>
          <w:rFonts w:hAnsi="Book Antiqua" w:hint="default"/>
          <w:rtl w:val="0"/>
          <w:lang w:val="it-IT"/>
        </w:rPr>
        <w:t>’</w:t>
      </w:r>
      <w:r>
        <w:rPr>
          <w:rFonts w:ascii="Book Antiqua"/>
          <w:rtl w:val="0"/>
          <w:lang w:val="it-IT"/>
        </w:rPr>
        <w:t>immissione.</w:t>
      </w:r>
    </w:p>
    <w:p>
      <w:pPr>
        <w:pStyle w:val="Normal"/>
        <w:ind w:left="567" w:right="567" w:firstLine="0"/>
        <w:jc w:val="both"/>
        <w:rPr>
          <w:rFonts w:ascii="Book Antiqua" w:cs="Book Antiqua" w:hAnsi="Book Antiqua" w:eastAsia="Book Antiqua"/>
        </w:rPr>
      </w:pPr>
      <w:r>
        <w:rPr>
          <w:rFonts w:ascii="Book Antiqua"/>
          <w:rtl w:val="0"/>
          <w:lang w:val="it-IT"/>
        </w:rPr>
        <w:t xml:space="preserve">Presso la discarica </w:t>
      </w:r>
      <w:r>
        <w:rPr>
          <w:rFonts w:hAnsi="Book Antiqua" w:hint="default"/>
          <w:rtl w:val="0"/>
          <w:lang w:val="it-IT"/>
        </w:rPr>
        <w:t xml:space="preserve">è </w:t>
      </w:r>
      <w:r>
        <w:rPr>
          <w:rFonts w:ascii="Book Antiqua"/>
          <w:rtl w:val="0"/>
          <w:lang w:val="it-IT"/>
        </w:rPr>
        <w:t>presente un impianto di estrazione del biogas costituito da 1.450 pozzi di captazione collegati con circa 160 chilometri di tubazioni in polietilene al alta densit</w:t>
      </w:r>
      <w:r>
        <w:rPr>
          <w:rFonts w:hAnsi="Book Antiqua" w:hint="default"/>
          <w:rtl w:val="0"/>
          <w:lang w:val="it-IT"/>
        </w:rPr>
        <w:t xml:space="preserve">à </w:t>
      </w:r>
      <w:r>
        <w:rPr>
          <w:rFonts w:ascii="Book Antiqua"/>
          <w:rtl w:val="0"/>
          <w:lang w:val="it-IT"/>
        </w:rPr>
        <w:t>che trasportano il biogas estratto ad un impianto di trattamento dove viene raffinato, accumulato e utilizzato per autotrazione e per produzione di energia elettrica.</w:t>
      </w:r>
    </w:p>
    <w:p>
      <w:pPr>
        <w:pStyle w:val="Normal"/>
        <w:ind w:left="567" w:right="567" w:firstLine="0"/>
        <w:jc w:val="both"/>
        <w:rPr>
          <w:rFonts w:ascii="Book Antiqua" w:cs="Book Antiqua" w:hAnsi="Book Antiqua" w:eastAsia="Book Antiqua"/>
        </w:rPr>
      </w:pPr>
      <w:r>
        <w:rPr>
          <w:rFonts w:ascii="Book Antiqua"/>
          <w:rtl w:val="0"/>
          <w:lang w:val="it-IT"/>
        </w:rPr>
        <w:t xml:space="preserve">Il percolato viene estratto per condensazione in seguito al raffreddamento del biogas e con una rete di drenaggio sul fondo. Fino al 2007 il percolato veniva inertizzato in discarica e riutilizzato per la ricopertura. Attualmente il percolato </w:t>
      </w:r>
      <w:r>
        <w:rPr>
          <w:rFonts w:hAnsi="Book Antiqua" w:hint="default"/>
          <w:rtl w:val="0"/>
          <w:lang w:val="it-IT"/>
        </w:rPr>
        <w:t xml:space="preserve">è </w:t>
      </w:r>
      <w:r>
        <w:rPr>
          <w:rFonts w:ascii="Book Antiqua"/>
          <w:rtl w:val="0"/>
          <w:lang w:val="it-IT"/>
        </w:rPr>
        <w:t>stoccato in serbatoi in acciaio inox e successivamente conferito ad impianti di trattamento esterni alla discarica.</w:t>
      </w:r>
    </w:p>
    <w:p>
      <w:pPr>
        <w:pStyle w:val="Normal"/>
        <w:ind w:left="567" w:right="567" w:firstLine="0"/>
        <w:rPr>
          <w:rFonts w:ascii="Book Antiqua" w:cs="Book Antiqua" w:hAnsi="Book Antiqua" w:eastAsia="Book Antiqua"/>
        </w:rPr>
      </w:pPr>
    </w:p>
    <w:p>
      <w:pPr>
        <w:pStyle w:val="Normal"/>
        <w:ind w:right="567" w:firstLine="567"/>
        <w:rPr>
          <w:rFonts w:ascii="Book Antiqua" w:cs="Book Antiqua" w:hAnsi="Book Antiqua" w:eastAsia="Book Antiqua"/>
          <w:i w:val="1"/>
          <w:iCs w:val="1"/>
          <w:u w:val="single"/>
        </w:rPr>
      </w:pPr>
      <w:r>
        <w:rPr>
          <w:rFonts w:ascii="Book Antiqua"/>
          <w:i w:val="1"/>
          <w:iCs w:val="1"/>
          <w:u w:val="single"/>
          <w:rtl w:val="0"/>
          <w:lang w:val="it-IT"/>
        </w:rPr>
        <w:t>Idrografia e idrogeologia dell'area</w:t>
      </w:r>
    </w:p>
    <w:p>
      <w:pPr>
        <w:pStyle w:val="Normal"/>
        <w:ind w:left="567" w:right="567" w:firstLine="0"/>
        <w:jc w:val="both"/>
        <w:rPr>
          <w:rFonts w:ascii="Book Antiqua" w:cs="Book Antiqua" w:hAnsi="Book Antiqua" w:eastAsia="Book Antiqua"/>
        </w:rPr>
      </w:pPr>
      <w:r>
        <w:rPr>
          <w:rFonts w:ascii="Book Antiqua"/>
          <w:rtl w:val="0"/>
          <w:lang w:val="it-IT"/>
        </w:rPr>
        <w:t xml:space="preserve">La circolazione idrica superficiale e quella sotterranea insistono nella bassa valle del Rio Galeria, che </w:t>
      </w:r>
      <w:r>
        <w:rPr>
          <w:rFonts w:hAnsi="Book Antiqua" w:hint="default"/>
          <w:rtl w:val="0"/>
          <w:lang w:val="it-IT"/>
        </w:rPr>
        <w:t xml:space="preserve">è </w:t>
      </w:r>
      <w:r>
        <w:rPr>
          <w:rFonts w:ascii="Book Antiqua"/>
          <w:rtl w:val="0"/>
          <w:lang w:val="it-IT"/>
        </w:rPr>
        <w:t xml:space="preserve">un affluente del Tevere in destra orografica. Il tratto del Rio Galeria confinante con la discarica (che </w:t>
      </w:r>
      <w:r>
        <w:rPr>
          <w:rFonts w:hAnsi="Book Antiqua" w:hint="default"/>
          <w:rtl w:val="0"/>
          <w:lang w:val="it-IT"/>
        </w:rPr>
        <w:t xml:space="preserve">è </w:t>
      </w:r>
      <w:r>
        <w:rPr>
          <w:rFonts w:ascii="Book Antiqua"/>
          <w:rtl w:val="0"/>
          <w:lang w:val="it-IT"/>
        </w:rPr>
        <w:t xml:space="preserve">posta sulla sinistra orografica del Rio) </w:t>
      </w:r>
      <w:r>
        <w:rPr>
          <w:rFonts w:hAnsi="Book Antiqua" w:hint="default"/>
          <w:rtl w:val="0"/>
          <w:lang w:val="it-IT"/>
        </w:rPr>
        <w:t xml:space="preserve">è </w:t>
      </w:r>
      <w:r>
        <w:rPr>
          <w:rFonts w:ascii="Book Antiqua"/>
          <w:rtl w:val="0"/>
          <w:lang w:val="it-IT"/>
        </w:rPr>
        <w:t>compreso tra le confluenze con il fosso Pantano di Grano (destra orografica) e il fosso Santa Maria Nuova (sinistra orografica) nel quale confluisce il fosso di Fontignano.</w:t>
      </w:r>
    </w:p>
    <w:p>
      <w:pPr>
        <w:pStyle w:val="Normal"/>
        <w:ind w:left="567" w:right="567" w:firstLine="0"/>
        <w:jc w:val="both"/>
        <w:rPr>
          <w:rFonts w:ascii="Book Antiqua" w:cs="Book Antiqua" w:hAnsi="Book Antiqua" w:eastAsia="Book Antiqua"/>
        </w:rPr>
      </w:pPr>
      <w:r>
        <w:rPr>
          <w:rFonts w:ascii="Book Antiqua"/>
          <w:rtl w:val="0"/>
          <w:lang w:val="it-IT"/>
        </w:rPr>
        <w:t>Dal punto di vista geologico la stratigrafia del sottosuolo presenta dal basso verso l</w:t>
      </w:r>
      <w:r>
        <w:rPr>
          <w:rFonts w:hAnsi="Book Antiqua" w:hint="default"/>
          <w:rtl w:val="0"/>
          <w:lang w:val="it-IT"/>
        </w:rPr>
        <w:t>’</w:t>
      </w:r>
      <w:r>
        <w:rPr>
          <w:rFonts w:ascii="Book Antiqua"/>
          <w:rtl w:val="0"/>
          <w:lang w:val="it-IT"/>
        </w:rPr>
        <w:t>alto, le seguenti unit</w:t>
      </w:r>
      <w:r>
        <w:rPr>
          <w:rFonts w:hAnsi="Book Antiqua" w:hint="default"/>
          <w:rtl w:val="0"/>
          <w:lang w:val="it-IT"/>
        </w:rPr>
        <w:t xml:space="preserve">à </w:t>
      </w:r>
      <w:r>
        <w:rPr>
          <w:rFonts w:ascii="Book Antiqua"/>
          <w:rtl w:val="0"/>
          <w:lang w:val="it-IT"/>
        </w:rPr>
        <w:t>statigrafiche:</w:t>
      </w:r>
    </w:p>
    <w:p>
      <w:pPr>
        <w:pStyle w:val="Normal"/>
        <w:ind w:left="567" w:right="567" w:firstLine="0"/>
        <w:jc w:val="both"/>
        <w:rPr>
          <w:rFonts w:ascii="Book Antiqua" w:cs="Book Antiqua" w:hAnsi="Book Antiqua" w:eastAsia="Book Antiqua"/>
        </w:rPr>
      </w:pPr>
      <w:r>
        <w:rPr>
          <w:rFonts w:ascii="Book Antiqua"/>
          <w:rtl w:val="0"/>
          <w:lang w:val="it-IT"/>
        </w:rPr>
        <w:t>formazione di Monte Mario (MM)  composta da successioni di argille risalenti al pleistocene inferiore;</w:t>
      </w:r>
    </w:p>
    <w:p>
      <w:pPr>
        <w:pStyle w:val="Normal"/>
        <w:ind w:left="567" w:right="567" w:firstLine="0"/>
        <w:jc w:val="both"/>
        <w:rPr>
          <w:rFonts w:ascii="Book Antiqua" w:cs="Book Antiqua" w:hAnsi="Book Antiqua" w:eastAsia="Book Antiqua"/>
        </w:rPr>
      </w:pPr>
      <w:r>
        <w:rPr>
          <w:rFonts w:ascii="Book Antiqua"/>
          <w:rtl w:val="0"/>
          <w:lang w:val="it-IT"/>
        </w:rPr>
        <w:t>formazione di Monte delle Piche (MP), ovvero un deposito composto di argille e argille sabbiose grigio-verdastre formatosi nel pleistocene inferiore a causa della decomposizione di sedimenti marini. Le unit</w:t>
      </w:r>
      <w:r>
        <w:rPr>
          <w:rFonts w:hAnsi="Book Antiqua" w:hint="default"/>
          <w:rtl w:val="0"/>
          <w:lang w:val="it-IT"/>
        </w:rPr>
        <w:t xml:space="preserve">à </w:t>
      </w:r>
      <w:r>
        <w:rPr>
          <w:rFonts w:ascii="Book Antiqua"/>
          <w:rtl w:val="0"/>
          <w:lang w:val="it-IT"/>
        </w:rPr>
        <w:t>di Monte Mario e Monte delle Piche sono separate da una superficie di trasgressione detta Unit</w:t>
      </w:r>
      <w:r>
        <w:rPr>
          <w:rFonts w:hAnsi="Book Antiqua" w:hint="default"/>
          <w:rtl w:val="0"/>
          <w:lang w:val="it-IT"/>
        </w:rPr>
        <w:t xml:space="preserve">à </w:t>
      </w:r>
      <w:r>
        <w:rPr>
          <w:rFonts w:ascii="Book Antiqua"/>
          <w:rtl w:val="0"/>
          <w:lang w:val="it-IT"/>
        </w:rPr>
        <w:t>di Monte Ciocci;</w:t>
      </w:r>
    </w:p>
    <w:p>
      <w:pPr>
        <w:pStyle w:val="Normal"/>
        <w:ind w:left="567" w:right="567" w:firstLine="0"/>
        <w:jc w:val="both"/>
        <w:rPr>
          <w:rFonts w:ascii="Book Antiqua" w:cs="Book Antiqua" w:hAnsi="Book Antiqua" w:eastAsia="Book Antiqua"/>
        </w:rPr>
      </w:pPr>
      <w:r>
        <w:rPr>
          <w:rFonts w:ascii="Book Antiqua"/>
          <w:rtl w:val="0"/>
          <w:lang w:val="it-IT"/>
        </w:rPr>
        <w:t>sedimenti alluvionali (AL) formatisi durante l</w:t>
      </w:r>
      <w:r>
        <w:rPr>
          <w:rFonts w:hAnsi="Book Antiqua" w:hint="default"/>
          <w:rtl w:val="0"/>
          <w:lang w:val="it-IT"/>
        </w:rPr>
        <w:t>’</w:t>
      </w:r>
      <w:r>
        <w:rPr>
          <w:rFonts w:ascii="Book Antiqua"/>
          <w:rtl w:val="0"/>
          <w:lang w:val="it-IT"/>
        </w:rPr>
        <w:t>ultima glaciazione per effetto della regressione del livello del mare (inferiore di circa 100 metri rispetto all</w:t>
      </w:r>
      <w:r>
        <w:rPr>
          <w:rFonts w:hAnsi="Book Antiqua" w:hint="default"/>
          <w:rtl w:val="0"/>
          <w:lang w:val="it-IT"/>
        </w:rPr>
        <w:t>’</w:t>
      </w:r>
      <w:r>
        <w:rPr>
          <w:rFonts w:ascii="Book Antiqua"/>
          <w:rtl w:val="0"/>
          <w:lang w:val="it-IT"/>
        </w:rPr>
        <w:t>attuale);</w:t>
      </w:r>
    </w:p>
    <w:p>
      <w:pPr>
        <w:pStyle w:val="Normal"/>
        <w:ind w:left="567" w:right="567" w:firstLine="0"/>
        <w:jc w:val="both"/>
        <w:rPr>
          <w:rFonts w:ascii="Book Antiqua" w:cs="Book Antiqua" w:hAnsi="Book Antiqua" w:eastAsia="Book Antiqua"/>
        </w:rPr>
      </w:pPr>
      <w:r>
        <w:rPr>
          <w:rFonts w:ascii="Book Antiqua"/>
          <w:rtl w:val="0"/>
          <w:lang w:val="it-IT"/>
        </w:rPr>
        <w:t>formazione di Ponte Galeria, costituita da successione - potente da 30 a 50 metri - di depositi deltizi e di spiaggia nella quale si individuano sette strati dal basso verso l</w:t>
      </w:r>
      <w:r>
        <w:rPr>
          <w:rFonts w:hAnsi="Book Antiqua" w:hint="default"/>
          <w:rtl w:val="0"/>
          <w:lang w:val="it-IT"/>
        </w:rPr>
        <w:t>’</w:t>
      </w:r>
      <w:r>
        <w:rPr>
          <w:rFonts w:ascii="Book Antiqua"/>
          <w:rtl w:val="0"/>
          <w:lang w:val="it-IT"/>
        </w:rPr>
        <w:t>alto.</w:t>
      </w:r>
    </w:p>
    <w:p>
      <w:pPr>
        <w:pStyle w:val="Normal"/>
        <w:ind w:left="567" w:right="567" w:firstLine="0"/>
        <w:jc w:val="both"/>
        <w:rPr>
          <w:rFonts w:ascii="Book Antiqua" w:cs="Book Antiqua" w:hAnsi="Book Antiqua" w:eastAsia="Book Antiqua"/>
        </w:rPr>
      </w:pPr>
      <w:r>
        <w:rPr>
          <w:rFonts w:ascii="Book Antiqua"/>
          <w:rtl w:val="0"/>
          <w:lang w:val="it-IT"/>
        </w:rPr>
        <w:t>Gli strati pi</w:t>
      </w:r>
      <w:r>
        <w:rPr>
          <w:rFonts w:hAnsi="Book Antiqua" w:hint="default"/>
          <w:rtl w:val="0"/>
          <w:lang w:val="it-IT"/>
        </w:rPr>
        <w:t xml:space="preserve">ù </w:t>
      </w:r>
      <w:r>
        <w:rPr>
          <w:rFonts w:ascii="Book Antiqua"/>
          <w:rtl w:val="0"/>
          <w:lang w:val="it-IT"/>
        </w:rPr>
        <w:t>grossolani della formazione di Ponte Galeria, sono stati oggetto in passato di un intenso sfruttamento giacch</w:t>
      </w:r>
      <w:r>
        <w:rPr>
          <w:rFonts w:hAnsi="Book Antiqua" w:hint="default"/>
          <w:rtl w:val="0"/>
          <w:lang w:val="it-IT"/>
        </w:rPr>
        <w:t xml:space="preserve">é </w:t>
      </w:r>
      <w:r>
        <w:rPr>
          <w:rFonts w:ascii="Book Antiqua"/>
          <w:rtl w:val="0"/>
          <w:lang w:val="it-IT"/>
        </w:rPr>
        <w:t>le attivit</w:t>
      </w:r>
      <w:r>
        <w:rPr>
          <w:rFonts w:hAnsi="Book Antiqua" w:hint="default"/>
          <w:rtl w:val="0"/>
          <w:lang w:val="it-IT"/>
        </w:rPr>
        <w:t xml:space="preserve">à </w:t>
      </w:r>
      <w:r>
        <w:rPr>
          <w:rFonts w:ascii="Book Antiqua"/>
          <w:rtl w:val="0"/>
          <w:lang w:val="it-IT"/>
        </w:rPr>
        <w:t xml:space="preserve">di cava in particolare hanno riguardato quest'ultima formazione. </w:t>
      </w:r>
    </w:p>
    <w:p>
      <w:pPr>
        <w:pStyle w:val="Normal"/>
        <w:ind w:left="567" w:right="567" w:firstLine="0"/>
        <w:jc w:val="both"/>
        <w:rPr>
          <w:rFonts w:ascii="Book Antiqua" w:cs="Book Antiqua" w:hAnsi="Book Antiqua" w:eastAsia="Book Antiqua"/>
        </w:rPr>
      </w:pPr>
      <w:r>
        <w:rPr>
          <w:rFonts w:ascii="Book Antiqua"/>
          <w:rtl w:val="0"/>
          <w:lang w:val="it-IT"/>
        </w:rPr>
        <w:t>Nelle parti sommitali sono presenti terreni piroclastici, argille azzurre e depositi lacustri e palustri che formano la cosiddetta</w:t>
      </w:r>
      <w:r>
        <w:rPr>
          <w:rFonts w:hAnsi="Book Antiqua" w:hint="default"/>
          <w:rtl w:val="0"/>
          <w:lang w:val="it-IT"/>
        </w:rPr>
        <w:t xml:space="preserve"> “</w:t>
      </w:r>
      <w:r>
        <w:rPr>
          <w:rFonts w:ascii="Book Antiqua"/>
          <w:rtl w:val="0"/>
          <w:lang w:val="it-IT"/>
        </w:rPr>
        <w:t>scoperta</w:t>
      </w:r>
      <w:r>
        <w:rPr>
          <w:rFonts w:hAnsi="Book Antiqua" w:hint="default"/>
          <w:rtl w:val="0"/>
          <w:lang w:val="it-IT"/>
        </w:rPr>
        <w:t>”</w:t>
      </w:r>
      <w:r>
        <w:rPr>
          <w:rFonts w:ascii="Book Antiqua"/>
          <w:rtl w:val="0"/>
          <w:lang w:val="it-IT"/>
        </w:rPr>
        <w:t>( materiale di scarto dell</w:t>
      </w:r>
      <w:r>
        <w:rPr>
          <w:rFonts w:hAnsi="Book Antiqua" w:hint="default"/>
          <w:rtl w:val="0"/>
          <w:lang w:val="it-IT"/>
        </w:rPr>
        <w:t>’</w:t>
      </w:r>
      <w:r>
        <w:rPr>
          <w:rFonts w:ascii="Book Antiqua"/>
          <w:rtl w:val="0"/>
          <w:lang w:val="it-IT"/>
        </w:rPr>
        <w:t>attivit</w:t>
      </w:r>
      <w:r>
        <w:rPr>
          <w:rFonts w:hAnsi="Book Antiqua" w:hint="default"/>
          <w:rtl w:val="0"/>
          <w:lang w:val="it-IT"/>
        </w:rPr>
        <w:t xml:space="preserve">à </w:t>
      </w:r>
      <w:r>
        <w:rPr>
          <w:rFonts w:ascii="Book Antiqua"/>
          <w:rtl w:val="0"/>
          <w:lang w:val="it-IT"/>
        </w:rPr>
        <w:t>di cava) caratterizzata da ridotta conducibilit</w:t>
      </w:r>
      <w:r>
        <w:rPr>
          <w:rFonts w:hAnsi="Book Antiqua" w:hint="default"/>
          <w:rtl w:val="0"/>
          <w:lang w:val="it-IT"/>
        </w:rPr>
        <w:t xml:space="preserve">à </w:t>
      </w:r>
      <w:r>
        <w:rPr>
          <w:rFonts w:ascii="Book Antiqua"/>
          <w:rtl w:val="0"/>
          <w:lang w:val="it-IT"/>
        </w:rPr>
        <w:t>idraulica e utilizzata quindi quale materiale per la formazione del fondo dei lotti di discarica.</w:t>
      </w:r>
    </w:p>
    <w:p>
      <w:pPr>
        <w:pStyle w:val="Normal"/>
        <w:ind w:left="567" w:right="567" w:firstLine="0"/>
        <w:jc w:val="both"/>
        <w:rPr>
          <w:rFonts w:ascii="Book Antiqua" w:cs="Book Antiqua" w:hAnsi="Book Antiqua" w:eastAsia="Book Antiqua"/>
        </w:rPr>
      </w:pPr>
      <w:r>
        <w:rPr>
          <w:rFonts w:ascii="Book Antiqua"/>
          <w:rtl w:val="0"/>
          <w:lang w:val="it-IT"/>
        </w:rPr>
        <w:t>Lo strato pi</w:t>
      </w:r>
      <w:r>
        <w:rPr>
          <w:rFonts w:hAnsi="Book Antiqua" w:hint="default"/>
          <w:rtl w:val="0"/>
          <w:lang w:val="it-IT"/>
        </w:rPr>
        <w:t xml:space="preserve">ù </w:t>
      </w:r>
      <w:r>
        <w:rPr>
          <w:rFonts w:ascii="Book Antiqua"/>
          <w:rtl w:val="0"/>
          <w:lang w:val="it-IT"/>
        </w:rPr>
        <w:t xml:space="preserve">profondo della formazione di Ponte Galeria insieme ai sedimenti alluvionali (AL)  </w:t>
      </w:r>
      <w:r>
        <w:rPr>
          <w:rFonts w:hAnsi="Book Antiqua" w:hint="default"/>
          <w:rtl w:val="0"/>
          <w:lang w:val="it-IT"/>
        </w:rPr>
        <w:t xml:space="preserve">è </w:t>
      </w:r>
      <w:r>
        <w:rPr>
          <w:rFonts w:ascii="Book Antiqua"/>
          <w:rtl w:val="0"/>
          <w:lang w:val="it-IT"/>
        </w:rPr>
        <w:t>sede dell</w:t>
      </w:r>
      <w:r>
        <w:rPr>
          <w:rFonts w:hAnsi="Book Antiqua" w:hint="default"/>
          <w:rtl w:val="0"/>
          <w:lang w:val="it-IT"/>
        </w:rPr>
        <w:t>’</w:t>
      </w:r>
      <w:r>
        <w:rPr>
          <w:rFonts w:ascii="Book Antiqua"/>
          <w:rtl w:val="0"/>
          <w:lang w:val="it-IT"/>
        </w:rPr>
        <w:t>acquifero freatico che poggia sullo strato di argilla di Monte delle Piche dove il Rio Galeria nasce in localit</w:t>
      </w:r>
      <w:r>
        <w:rPr>
          <w:rFonts w:hAnsi="Book Antiqua" w:hint="default"/>
          <w:rtl w:val="0"/>
          <w:lang w:val="it-IT"/>
        </w:rPr>
        <w:t xml:space="preserve">à </w:t>
      </w:r>
      <w:r>
        <w:rPr>
          <w:rFonts w:ascii="Book Antiqua"/>
          <w:rtl w:val="0"/>
          <w:lang w:val="it-IT"/>
        </w:rPr>
        <w:t>Anguillara Sabazia, circa 30 chilometri pi</w:t>
      </w:r>
      <w:r>
        <w:rPr>
          <w:rFonts w:hAnsi="Book Antiqua" w:hint="default"/>
          <w:rtl w:val="0"/>
          <w:lang w:val="it-IT"/>
        </w:rPr>
        <w:t xml:space="preserve">ù </w:t>
      </w:r>
      <w:r>
        <w:rPr>
          <w:rFonts w:ascii="Book Antiqua"/>
          <w:rtl w:val="0"/>
          <w:lang w:val="it-IT"/>
        </w:rPr>
        <w:t xml:space="preserve">a nord. Il Rio Galeria </w:t>
      </w:r>
      <w:r>
        <w:rPr>
          <w:rFonts w:hAnsi="Book Antiqua" w:hint="default"/>
          <w:rtl w:val="0"/>
          <w:lang w:val="it-IT"/>
        </w:rPr>
        <w:t xml:space="preserve">è </w:t>
      </w:r>
      <w:r>
        <w:rPr>
          <w:rFonts w:ascii="Book Antiqua"/>
          <w:rtl w:val="0"/>
          <w:lang w:val="it-IT"/>
        </w:rPr>
        <w:t>il limite drenante nell</w:t>
      </w:r>
      <w:r>
        <w:rPr>
          <w:rFonts w:hAnsi="Book Antiqua" w:hint="default"/>
          <w:rtl w:val="0"/>
          <w:lang w:val="it-IT"/>
        </w:rPr>
        <w:t>’</w:t>
      </w:r>
      <w:r>
        <w:rPr>
          <w:rFonts w:ascii="Book Antiqua"/>
          <w:rtl w:val="0"/>
          <w:lang w:val="it-IT"/>
        </w:rPr>
        <w:t>area che separa la falda destra da quella alla sinistra orografica dove insiste Malagrotta.</w:t>
      </w:r>
    </w:p>
    <w:p>
      <w:pPr>
        <w:pStyle w:val="Normal"/>
        <w:ind w:left="567" w:right="567" w:firstLine="0"/>
        <w:jc w:val="both"/>
        <w:rPr>
          <w:rFonts w:ascii="Book Antiqua" w:cs="Book Antiqua" w:hAnsi="Book Antiqua" w:eastAsia="Book Antiqua"/>
        </w:rPr>
      </w:pPr>
      <w:r>
        <w:rPr>
          <w:rFonts w:ascii="Book Antiqua"/>
          <w:rtl w:val="0"/>
          <w:lang w:val="it-IT"/>
        </w:rPr>
        <w:t>I verificatori del Politecnico, con il supporto delle parti, per comprendere la dinamica della falda idrica nella zona limitrofa alla discarica ed all</w:t>
      </w:r>
      <w:r>
        <w:rPr>
          <w:rFonts w:hAnsi="Book Antiqua" w:hint="default"/>
          <w:rtl w:val="0"/>
          <w:lang w:val="it-IT"/>
        </w:rPr>
        <w:t>’</w:t>
      </w:r>
      <w:r>
        <w:rPr>
          <w:rFonts w:ascii="Book Antiqua"/>
          <w:rtl w:val="0"/>
          <w:lang w:val="it-IT"/>
        </w:rPr>
        <w:t xml:space="preserve">interno del </w:t>
      </w:r>
      <w:r>
        <w:rPr>
          <w:rFonts w:ascii="Book Antiqua"/>
          <w:i w:val="1"/>
          <w:iCs w:val="1"/>
          <w:rtl w:val="0"/>
          <w:lang w:val="it-IT"/>
        </w:rPr>
        <w:t>polder</w:t>
      </w:r>
      <w:r>
        <w:rPr>
          <w:rFonts w:ascii="Book Antiqua"/>
          <w:rtl w:val="0"/>
          <w:lang w:val="it-IT"/>
        </w:rPr>
        <w:t>, hanno proceduto tra il 3 ed il 5 dicembre 2013, all</w:t>
      </w:r>
      <w:r>
        <w:rPr>
          <w:rFonts w:hAnsi="Book Antiqua" w:hint="default"/>
          <w:rtl w:val="0"/>
          <w:lang w:val="it-IT"/>
        </w:rPr>
        <w:t>’</w:t>
      </w:r>
      <w:r>
        <w:rPr>
          <w:rFonts w:ascii="Book Antiqua"/>
          <w:rtl w:val="0"/>
          <w:lang w:val="it-IT"/>
        </w:rPr>
        <w:t xml:space="preserve">esecuzione di un rilievo plano-altimetrico di dettaglio e piezometrico. </w:t>
      </w:r>
    </w:p>
    <w:p>
      <w:pPr>
        <w:pStyle w:val="Normal"/>
        <w:ind w:left="567" w:right="567" w:firstLine="0"/>
        <w:jc w:val="both"/>
        <w:rPr>
          <w:rFonts w:ascii="Book Antiqua" w:cs="Book Antiqua" w:hAnsi="Book Antiqua" w:eastAsia="Book Antiqua"/>
        </w:rPr>
      </w:pPr>
      <w:r>
        <w:rPr>
          <w:rFonts w:ascii="Book Antiqua"/>
          <w:rtl w:val="0"/>
          <w:lang w:val="it-IT"/>
        </w:rPr>
        <w:t>L'andamento della falda mostra un deflusso sotterraneo diretto dalla zona topograficamente pi</w:t>
      </w:r>
      <w:r>
        <w:rPr>
          <w:rFonts w:hAnsi="Book Antiqua" w:hint="default"/>
          <w:rtl w:val="0"/>
          <w:lang w:val="it-IT"/>
        </w:rPr>
        <w:t xml:space="preserve">ù </w:t>
      </w:r>
      <w:r>
        <w:rPr>
          <w:rFonts w:ascii="Book Antiqua"/>
          <w:rtl w:val="0"/>
          <w:lang w:val="it-IT"/>
        </w:rPr>
        <w:t xml:space="preserve">elevata verso il Rio Galeria. </w:t>
      </w:r>
    </w:p>
    <w:p>
      <w:pPr>
        <w:pStyle w:val="Normal"/>
        <w:ind w:left="567" w:right="567" w:firstLine="0"/>
        <w:jc w:val="both"/>
        <w:rPr>
          <w:rFonts w:ascii="Book Antiqua" w:cs="Book Antiqua" w:hAnsi="Book Antiqua" w:eastAsia="Book Antiqua"/>
        </w:rPr>
      </w:pPr>
      <w:r>
        <w:rPr>
          <w:rFonts w:ascii="Book Antiqua"/>
          <w:rtl w:val="0"/>
          <w:lang w:val="it-IT"/>
        </w:rPr>
        <w:t xml:space="preserve">Si osserva inoltre un aggiramento del </w:t>
      </w:r>
      <w:r>
        <w:rPr>
          <w:rFonts w:ascii="Book Antiqua"/>
          <w:i w:val="1"/>
          <w:iCs w:val="1"/>
          <w:rtl w:val="0"/>
          <w:lang w:val="it-IT"/>
        </w:rPr>
        <w:t>polder</w:t>
      </w:r>
      <w:r>
        <w:rPr>
          <w:rFonts w:ascii="Book Antiqua"/>
          <w:rtl w:val="0"/>
          <w:lang w:val="it-IT"/>
        </w:rPr>
        <w:t xml:space="preserve"> che delimita la discarica all'interno del quale i livelli idrici risultano essere pi</w:t>
      </w:r>
      <w:r>
        <w:rPr>
          <w:rFonts w:hAnsi="Book Antiqua" w:hint="default"/>
          <w:rtl w:val="0"/>
          <w:lang w:val="it-IT"/>
        </w:rPr>
        <w:t xml:space="preserve">ù </w:t>
      </w:r>
      <w:r>
        <w:rPr>
          <w:rFonts w:ascii="Book Antiqua"/>
          <w:rtl w:val="0"/>
          <w:lang w:val="it-IT"/>
        </w:rPr>
        <w:t>elevati di quelli esterni, conformemente a quanto illustrato gi</w:t>
      </w:r>
      <w:r>
        <w:rPr>
          <w:rFonts w:hAnsi="Book Antiqua" w:hint="default"/>
          <w:rtl w:val="0"/>
          <w:lang w:val="it-IT"/>
        </w:rPr>
        <w:t xml:space="preserve">à </w:t>
      </w:r>
      <w:r>
        <w:rPr>
          <w:rFonts w:ascii="Book Antiqua"/>
          <w:rtl w:val="0"/>
          <w:lang w:val="it-IT"/>
        </w:rPr>
        <w:t>precedentemente da ARPA Lazio.</w:t>
      </w:r>
    </w:p>
    <w:p>
      <w:pPr>
        <w:pStyle w:val="Normal"/>
        <w:ind w:left="567" w:right="567" w:firstLine="0"/>
        <w:jc w:val="both"/>
        <w:rPr>
          <w:rFonts w:ascii="Book Antiqua" w:cs="Book Antiqua" w:hAnsi="Book Antiqua" w:eastAsia="Book Antiqua"/>
        </w:rPr>
      </w:pPr>
    </w:p>
    <w:p>
      <w:pPr>
        <w:pStyle w:val="Normal"/>
        <w:ind w:right="567" w:firstLine="567"/>
        <w:rPr>
          <w:rFonts w:ascii="Book Antiqua" w:cs="Book Antiqua" w:hAnsi="Book Antiqua" w:eastAsia="Book Antiqua"/>
          <w:i w:val="1"/>
          <w:iCs w:val="1"/>
          <w:u w:val="single"/>
        </w:rPr>
      </w:pPr>
      <w:r>
        <w:rPr>
          <w:rFonts w:ascii="Book Antiqua"/>
          <w:i w:val="1"/>
          <w:iCs w:val="1"/>
          <w:u w:val="single"/>
          <w:rtl w:val="0"/>
          <w:lang w:val="it-IT"/>
        </w:rPr>
        <w:t>Qualit</w:t>
      </w:r>
      <w:r>
        <w:rPr>
          <w:rFonts w:hAnsi="Book Antiqua" w:hint="default"/>
          <w:i w:val="1"/>
          <w:iCs w:val="1"/>
          <w:u w:val="single"/>
          <w:rtl w:val="0"/>
          <w:lang w:val="it-IT"/>
        </w:rPr>
        <w:t xml:space="preserve">à </w:t>
      </w:r>
      <w:r>
        <w:rPr>
          <w:rFonts w:ascii="Book Antiqua"/>
          <w:i w:val="1"/>
          <w:iCs w:val="1"/>
          <w:u w:val="single"/>
          <w:rtl w:val="0"/>
          <w:lang w:val="it-IT"/>
        </w:rPr>
        <w:t>delle acque di falda e del percolato</w:t>
      </w:r>
    </w:p>
    <w:p>
      <w:pPr>
        <w:pStyle w:val="Normal"/>
        <w:ind w:left="567" w:right="567" w:firstLine="0"/>
        <w:jc w:val="both"/>
        <w:rPr>
          <w:rFonts w:ascii="Book Antiqua" w:cs="Book Antiqua" w:hAnsi="Book Antiqua" w:eastAsia="Book Antiqua"/>
        </w:rPr>
      </w:pPr>
      <w:r>
        <w:rPr>
          <w:rFonts w:ascii="Book Antiqua"/>
          <w:rtl w:val="0"/>
          <w:lang w:val="it-IT"/>
        </w:rPr>
        <w:t xml:space="preserve">La discarica di Malagrotta </w:t>
      </w:r>
      <w:r>
        <w:rPr>
          <w:rFonts w:hAnsi="Book Antiqua" w:hint="default"/>
          <w:rtl w:val="0"/>
          <w:lang w:val="it-IT"/>
        </w:rPr>
        <w:t xml:space="preserve">è </w:t>
      </w:r>
      <w:r>
        <w:rPr>
          <w:rFonts w:ascii="Book Antiqua"/>
          <w:rtl w:val="0"/>
          <w:lang w:val="it-IT"/>
        </w:rPr>
        <w:t>sottoposta da circa venti anni a monitoraggio chimico dell</w:t>
      </w:r>
      <w:r>
        <w:rPr>
          <w:rFonts w:hAnsi="Book Antiqua" w:hint="default"/>
          <w:rtl w:val="0"/>
          <w:lang w:val="it-IT"/>
        </w:rPr>
        <w:t>’</w:t>
      </w:r>
      <w:r>
        <w:rPr>
          <w:rFonts w:ascii="Book Antiqua"/>
          <w:rtl w:val="0"/>
          <w:lang w:val="it-IT"/>
        </w:rPr>
        <w:t>acqua di falda.</w:t>
      </w:r>
    </w:p>
    <w:p>
      <w:pPr>
        <w:pStyle w:val="Normal"/>
        <w:ind w:left="567" w:right="567" w:firstLine="0"/>
        <w:jc w:val="both"/>
        <w:rPr>
          <w:rFonts w:ascii="Book Antiqua" w:cs="Book Antiqua" w:hAnsi="Book Antiqua" w:eastAsia="Book Antiqua"/>
        </w:rPr>
      </w:pPr>
      <w:r>
        <w:rPr>
          <w:rFonts w:ascii="Book Antiqua"/>
          <w:rtl w:val="0"/>
          <w:lang w:val="it-IT"/>
        </w:rPr>
        <w:t>I campionamenti vengono effettuati su una rete di piezometri, ubicati all</w:t>
      </w:r>
      <w:r>
        <w:rPr>
          <w:rFonts w:hAnsi="Book Antiqua" w:hint="default"/>
          <w:rtl w:val="0"/>
          <w:lang w:val="it-IT"/>
        </w:rPr>
        <w:t>’</w:t>
      </w:r>
      <w:r>
        <w:rPr>
          <w:rFonts w:ascii="Book Antiqua"/>
          <w:rtl w:val="0"/>
          <w:lang w:val="it-IT"/>
        </w:rPr>
        <w:t>interno dell</w:t>
      </w:r>
      <w:r>
        <w:rPr>
          <w:rFonts w:hAnsi="Book Antiqua" w:hint="default"/>
          <w:rtl w:val="0"/>
          <w:lang w:val="it-IT"/>
        </w:rPr>
        <w:t>’</w:t>
      </w:r>
      <w:r>
        <w:rPr>
          <w:rFonts w:ascii="Book Antiqua"/>
          <w:rtl w:val="0"/>
          <w:lang w:val="it-IT"/>
        </w:rPr>
        <w:t>area di propriet</w:t>
      </w:r>
      <w:r>
        <w:rPr>
          <w:rFonts w:hAnsi="Book Antiqua" w:hint="default"/>
          <w:rtl w:val="0"/>
          <w:lang w:val="it-IT"/>
        </w:rPr>
        <w:t xml:space="preserve">à </w:t>
      </w:r>
      <w:r>
        <w:rPr>
          <w:rFonts w:ascii="Book Antiqua"/>
          <w:rtl w:val="0"/>
          <w:lang w:val="it-IT"/>
        </w:rPr>
        <w:t>Giovi. Nello specifico i piezometri interni sono 9 ( V1, V2, V3, V4,V7,V8, V15, NP8, NP9), quelli esterni all'area del polder sono 30 ( Z1+Z23, NP1+NP7).</w:t>
      </w:r>
    </w:p>
    <w:p>
      <w:pPr>
        <w:pStyle w:val="Normal"/>
        <w:ind w:left="567" w:right="567" w:firstLine="0"/>
        <w:jc w:val="both"/>
        <w:rPr>
          <w:rFonts w:ascii="Book Antiqua" w:cs="Book Antiqua" w:hAnsi="Book Antiqua" w:eastAsia="Book Antiqua"/>
        </w:rPr>
      </w:pPr>
      <w:r>
        <w:rPr>
          <w:rFonts w:ascii="Book Antiqua"/>
          <w:rtl w:val="0"/>
          <w:lang w:val="it-IT"/>
        </w:rPr>
        <w:t>A questi si aggiungono 3 pozzi di captazione del percolato ( P1, PE, PG).</w:t>
      </w:r>
    </w:p>
    <w:p>
      <w:pPr>
        <w:pStyle w:val="Normal"/>
        <w:ind w:left="567" w:right="567" w:firstLine="0"/>
        <w:jc w:val="both"/>
        <w:rPr>
          <w:rFonts w:ascii="Book Antiqua" w:cs="Book Antiqua" w:hAnsi="Book Antiqua" w:eastAsia="Book Antiqua"/>
        </w:rPr>
      </w:pPr>
      <w:r>
        <w:rPr>
          <w:rFonts w:ascii="Book Antiqua"/>
          <w:rtl w:val="0"/>
          <w:lang w:val="it-IT"/>
        </w:rPr>
        <w:t>Le fonti dei dati analizzati dal Collegio dei verificatori sono costituiti da:</w:t>
      </w:r>
    </w:p>
    <w:p>
      <w:pPr>
        <w:pStyle w:val="Normal"/>
        <w:ind w:left="567" w:right="567" w:firstLine="0"/>
        <w:jc w:val="both"/>
        <w:rPr>
          <w:rFonts w:ascii="Book Antiqua" w:cs="Book Antiqua" w:hAnsi="Book Antiqua" w:eastAsia="Book Antiqua"/>
        </w:rPr>
      </w:pPr>
      <w:r>
        <w:rPr>
          <w:rFonts w:ascii="Book Antiqua"/>
          <w:rtl w:val="0"/>
          <w:lang w:val="it-IT"/>
        </w:rPr>
        <w:t>un documento redatto da ARPA Lazio che riporta i dati relativi alla qualit</w:t>
      </w:r>
      <w:r>
        <w:rPr>
          <w:rFonts w:hAnsi="Book Antiqua" w:hint="default"/>
          <w:rtl w:val="0"/>
          <w:lang w:val="it-IT"/>
        </w:rPr>
        <w:t xml:space="preserve">à </w:t>
      </w:r>
      <w:r>
        <w:rPr>
          <w:rFonts w:ascii="Book Antiqua"/>
          <w:rtl w:val="0"/>
          <w:lang w:val="it-IT"/>
        </w:rPr>
        <w:t>delle acque nei piezometri interni ed esterni all</w:t>
      </w:r>
      <w:r>
        <w:rPr>
          <w:rFonts w:hAnsi="Book Antiqua" w:hint="default"/>
          <w:rtl w:val="0"/>
          <w:lang w:val="it-IT"/>
        </w:rPr>
        <w:t>’</w:t>
      </w:r>
      <w:r>
        <w:rPr>
          <w:rFonts w:ascii="Book Antiqua"/>
          <w:rtl w:val="0"/>
          <w:lang w:val="it-IT"/>
        </w:rPr>
        <w:t>area di discarica. In particolare il documento ARPA, si sofferma anche sulla molecola NBBS (N-Butilbenzensulfonammide) che pur non essendo normata nella tabella 2, Allegato 5 del decreto legislativo n. 152 del 2006, viene considerata da alcuni studi di letteratura come un tracciante per  il monitoraggio delle discariche;</w:t>
      </w:r>
    </w:p>
    <w:p>
      <w:pPr>
        <w:pStyle w:val="Normal"/>
        <w:ind w:left="567" w:right="567" w:firstLine="0"/>
        <w:jc w:val="both"/>
        <w:rPr>
          <w:rFonts w:ascii="Book Antiqua" w:cs="Book Antiqua" w:hAnsi="Book Antiqua" w:eastAsia="Book Antiqua"/>
        </w:rPr>
      </w:pPr>
      <w:r>
        <w:rPr>
          <w:rFonts w:hAnsi="Book Antiqua" w:hint="default"/>
          <w:rtl w:val="0"/>
          <w:lang w:val="it-IT"/>
        </w:rPr>
        <w:t>“</w:t>
      </w:r>
      <w:r>
        <w:rPr>
          <w:rFonts w:ascii="Book Antiqua"/>
          <w:rtl w:val="0"/>
          <w:lang w:val="it-IT"/>
        </w:rPr>
        <w:t>studio Boccia</w:t>
      </w:r>
      <w:r>
        <w:rPr>
          <w:rFonts w:hAnsi="Book Antiqua" w:hint="default"/>
          <w:rtl w:val="0"/>
          <w:lang w:val="it-IT"/>
        </w:rPr>
        <w:t>”</w:t>
      </w:r>
      <w:r>
        <w:rPr>
          <w:rFonts w:ascii="Book Antiqua"/>
          <w:rtl w:val="0"/>
          <w:lang w:val="it-IT"/>
        </w:rPr>
        <w:t>, commissionato da E. Giovi S.r.l.,  che riporta i dati relativi alla qualit</w:t>
      </w:r>
      <w:r>
        <w:rPr>
          <w:rFonts w:hAnsi="Book Antiqua" w:hint="default"/>
          <w:rtl w:val="0"/>
          <w:lang w:val="it-IT"/>
        </w:rPr>
        <w:t xml:space="preserve">à </w:t>
      </w:r>
      <w:r>
        <w:rPr>
          <w:rFonts w:ascii="Book Antiqua"/>
          <w:rtl w:val="0"/>
          <w:lang w:val="it-IT"/>
        </w:rPr>
        <w:t>delle acque nei piezometri  interni  ed esterni all</w:t>
      </w:r>
      <w:r>
        <w:rPr>
          <w:rFonts w:hAnsi="Book Antiqua" w:hint="default"/>
          <w:rtl w:val="0"/>
          <w:lang w:val="it-IT"/>
        </w:rPr>
        <w:t>’</w:t>
      </w:r>
      <w:r>
        <w:rPr>
          <w:rFonts w:ascii="Book Antiqua"/>
          <w:rtl w:val="0"/>
          <w:lang w:val="it-IT"/>
        </w:rPr>
        <w:t>area di discarica e del percolato;</w:t>
      </w:r>
    </w:p>
    <w:p>
      <w:pPr>
        <w:pStyle w:val="Normal"/>
        <w:ind w:left="567" w:right="567" w:firstLine="0"/>
        <w:jc w:val="both"/>
        <w:rPr>
          <w:rFonts w:ascii="Book Antiqua" w:cs="Book Antiqua" w:hAnsi="Book Antiqua" w:eastAsia="Book Antiqua"/>
        </w:rPr>
      </w:pPr>
      <w:r>
        <w:rPr>
          <w:rFonts w:ascii="Book Antiqua"/>
          <w:rtl w:val="0"/>
          <w:lang w:val="it-IT"/>
        </w:rPr>
        <w:t>set di analisi commissionate da E. Giovi S.r.l. a G. Ortaggi, relative alla caratterizzazione qualitativa delle acque nei piezometri interni ed esterni all</w:t>
      </w:r>
      <w:r>
        <w:rPr>
          <w:rFonts w:hAnsi="Book Antiqua" w:hint="default"/>
          <w:rtl w:val="0"/>
          <w:lang w:val="it-IT"/>
        </w:rPr>
        <w:t>’</w:t>
      </w:r>
      <w:r>
        <w:rPr>
          <w:rFonts w:ascii="Book Antiqua"/>
          <w:rtl w:val="0"/>
          <w:lang w:val="it-IT"/>
        </w:rPr>
        <w:t>area di discarica e del percolato;</w:t>
      </w:r>
    </w:p>
    <w:p>
      <w:pPr>
        <w:pStyle w:val="Normal"/>
        <w:ind w:left="567" w:right="567" w:firstLine="0"/>
        <w:jc w:val="both"/>
        <w:rPr>
          <w:rFonts w:ascii="Book Antiqua" w:cs="Book Antiqua" w:hAnsi="Book Antiqua" w:eastAsia="Book Antiqua"/>
        </w:rPr>
      </w:pPr>
      <w:r>
        <w:rPr>
          <w:rFonts w:ascii="Book Antiqua"/>
          <w:rtl w:val="0"/>
          <w:lang w:val="it-IT"/>
        </w:rPr>
        <w:t>studio IRSA-CNR del 2011 che riporta i dati inerenti la caratterizzazione del fondo ambientale;</w:t>
      </w:r>
    </w:p>
    <w:p>
      <w:pPr>
        <w:pStyle w:val="Normal"/>
        <w:ind w:left="567" w:right="567" w:firstLine="0"/>
        <w:jc w:val="both"/>
        <w:rPr>
          <w:rFonts w:ascii="Book Antiqua" w:cs="Book Antiqua" w:hAnsi="Book Antiqua" w:eastAsia="Book Antiqua"/>
        </w:rPr>
      </w:pPr>
      <w:r>
        <w:rPr>
          <w:rFonts w:ascii="Book Antiqua"/>
          <w:rtl w:val="0"/>
          <w:lang w:val="it-IT"/>
        </w:rPr>
        <w:t>studio societ</w:t>
      </w:r>
      <w:r>
        <w:rPr>
          <w:rFonts w:hAnsi="Book Antiqua" w:hint="default"/>
          <w:rtl w:val="0"/>
          <w:lang w:val="it-IT"/>
        </w:rPr>
        <w:t xml:space="preserve">à </w:t>
      </w:r>
      <w:r>
        <w:rPr>
          <w:rFonts w:ascii="Book Antiqua"/>
          <w:rtl w:val="0"/>
          <w:lang w:val="it-IT"/>
        </w:rPr>
        <w:t xml:space="preserve">I.D.E.A.- Tecnologie Ambientali dal quale </w:t>
      </w:r>
      <w:r>
        <w:rPr>
          <w:rFonts w:hAnsi="Book Antiqua" w:hint="default"/>
          <w:rtl w:val="0"/>
          <w:lang w:val="it-IT"/>
        </w:rPr>
        <w:t xml:space="preserve">è </w:t>
      </w:r>
      <w:r>
        <w:rPr>
          <w:rFonts w:ascii="Book Antiqua"/>
          <w:rtl w:val="0"/>
          <w:lang w:val="it-IT"/>
        </w:rPr>
        <w:t>possibile ricavare la maggior parte dei dati sul potenziale redox;</w:t>
      </w:r>
    </w:p>
    <w:p>
      <w:pPr>
        <w:pStyle w:val="Normal"/>
        <w:ind w:left="567" w:right="567" w:firstLine="0"/>
        <w:jc w:val="both"/>
        <w:rPr>
          <w:rFonts w:ascii="Book Antiqua" w:cs="Book Antiqua" w:hAnsi="Book Antiqua" w:eastAsia="Book Antiqua"/>
        </w:rPr>
      </w:pPr>
      <w:r>
        <w:rPr>
          <w:rFonts w:ascii="Book Antiqua"/>
          <w:rtl w:val="0"/>
          <w:lang w:val="it-IT"/>
        </w:rPr>
        <w:t>analisi chimiche condotte dall</w:t>
      </w:r>
      <w:r>
        <w:rPr>
          <w:rFonts w:hAnsi="Book Antiqua" w:hint="default"/>
          <w:rtl w:val="0"/>
          <w:lang w:val="it-IT"/>
        </w:rPr>
        <w:t>’</w:t>
      </w:r>
      <w:r>
        <w:rPr>
          <w:rFonts w:ascii="Book Antiqua"/>
          <w:rtl w:val="0"/>
          <w:lang w:val="it-IT"/>
        </w:rPr>
        <w:t>ASL Roma C nel 2011 sull</w:t>
      </w:r>
      <w:r>
        <w:rPr>
          <w:rFonts w:hAnsi="Book Antiqua" w:hint="default"/>
          <w:rtl w:val="0"/>
          <w:lang w:val="it-IT"/>
        </w:rPr>
        <w:t>’</w:t>
      </w:r>
      <w:r>
        <w:rPr>
          <w:rFonts w:ascii="Book Antiqua"/>
          <w:rtl w:val="0"/>
          <w:lang w:val="it-IT"/>
        </w:rPr>
        <w:t xml:space="preserve">acqua prelevata da un pozzo ad uso potabile in via Fermat 37. </w:t>
      </w: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rPr>
      </w:pPr>
      <w:r>
        <w:rPr>
          <w:rFonts w:ascii="Book Antiqua" w:cs="Book Antiqua" w:hAnsi="Book Antiqua" w:eastAsia="Book Antiqua"/>
          <w:rtl w:val="0"/>
        </w:rPr>
        <w:drawing>
          <wp:inline distT="0" distB="0" distL="0" distR="0">
            <wp:extent cx="6201193" cy="4616873"/>
            <wp:effectExtent l="0" t="0" r="0" b="0"/>
            <wp:docPr id="1073741868" name="officeArt object"/>
            <wp:cNvGraphicFramePr/>
            <a:graphic xmlns:a="http://schemas.openxmlformats.org/drawingml/2006/main">
              <a:graphicData uri="http://schemas.openxmlformats.org/drawingml/2006/picture">
                <pic:pic xmlns:pic="http://schemas.openxmlformats.org/drawingml/2006/picture">
                  <pic:nvPicPr>
                    <pic:cNvPr id="1073741868" name="image42.png"/>
                    <pic:cNvPicPr/>
                  </pic:nvPicPr>
                  <pic:blipFill>
                    <a:blip r:embed="rId52">
                      <a:extLst/>
                    </a:blip>
                    <a:stretch>
                      <a:fillRect/>
                    </a:stretch>
                  </pic:blipFill>
                  <pic:spPr>
                    <a:xfrm>
                      <a:off x="0" y="0"/>
                      <a:ext cx="6201193" cy="4616873"/>
                    </a:xfrm>
                    <a:prstGeom prst="rect">
                      <a:avLst/>
                    </a:prstGeom>
                    <a:ln w="12700" cap="flat">
                      <a:noFill/>
                      <a:miter lim="400000"/>
                    </a:ln>
                    <a:effectLst/>
                  </pic:spPr>
                </pic:pic>
              </a:graphicData>
            </a:graphic>
          </wp:inline>
        </w:drawing>
      </w:r>
    </w:p>
    <w:p>
      <w:pPr>
        <w:pStyle w:val="Normal"/>
        <w:ind w:left="567" w:right="567" w:firstLine="0"/>
        <w:jc w:val="both"/>
        <w:rPr>
          <w:rFonts w:ascii="Book Antiqua" w:cs="Book Antiqua" w:hAnsi="Book Antiqua" w:eastAsia="Book Antiqua"/>
          <w:sz w:val="20"/>
          <w:szCs w:val="20"/>
        </w:rPr>
      </w:pPr>
      <w:r>
        <w:rPr>
          <w:rFonts w:ascii="Book Antiqua"/>
          <w:sz w:val="20"/>
          <w:szCs w:val="20"/>
          <w:rtl w:val="0"/>
          <w:lang w:val="it-IT"/>
        </w:rPr>
        <w:t>Elaborazione dell</w:t>
      </w:r>
      <w:r>
        <w:rPr>
          <w:rFonts w:hAnsi="Book Antiqua" w:hint="default"/>
          <w:sz w:val="20"/>
          <w:szCs w:val="20"/>
          <w:rtl w:val="0"/>
          <w:lang w:val="it-IT"/>
        </w:rPr>
        <w:t>’</w:t>
      </w:r>
      <w:r>
        <w:rPr>
          <w:rFonts w:ascii="Book Antiqua"/>
          <w:sz w:val="20"/>
          <w:szCs w:val="20"/>
          <w:rtl w:val="0"/>
          <w:lang w:val="it-IT"/>
        </w:rPr>
        <w:t>area della discarica di Malagrotta, che riporta la disposizione dei lotti e dei piezometri (fonte: ARPA Lazio)</w:t>
      </w:r>
    </w:p>
    <w:p>
      <w:pPr>
        <w:pStyle w:val="Normal"/>
        <w:ind w:left="567" w:right="567" w:firstLine="0"/>
        <w:jc w:val="both"/>
        <w:rPr>
          <w:rFonts w:ascii="Book Antiqua" w:cs="Book Antiqua" w:hAnsi="Book Antiqua" w:eastAsia="Book Antiqua"/>
          <w:sz w:val="20"/>
          <w:szCs w:val="20"/>
        </w:rPr>
      </w:pPr>
    </w:p>
    <w:p>
      <w:pPr>
        <w:pStyle w:val="Normal"/>
        <w:ind w:right="567" w:firstLine="567"/>
        <w:jc w:val="both"/>
        <w:rPr>
          <w:rFonts w:ascii="Book Antiqua" w:cs="Book Antiqua" w:hAnsi="Book Antiqua" w:eastAsia="Book Antiqua"/>
          <w:i w:val="1"/>
          <w:iCs w:val="1"/>
          <w:u w:val="single"/>
        </w:rPr>
      </w:pPr>
    </w:p>
    <w:p>
      <w:pPr>
        <w:pStyle w:val="Normal"/>
        <w:ind w:right="567" w:firstLine="567"/>
        <w:jc w:val="both"/>
        <w:rPr>
          <w:rFonts w:ascii="Book Antiqua" w:cs="Book Antiqua" w:hAnsi="Book Antiqua" w:eastAsia="Book Antiqua"/>
          <w:i w:val="1"/>
          <w:iCs w:val="1"/>
          <w:u w:val="single"/>
        </w:rPr>
      </w:pPr>
      <w:r>
        <w:rPr>
          <w:rFonts w:ascii="Book Antiqua"/>
          <w:i w:val="1"/>
          <w:iCs w:val="1"/>
          <w:u w:val="single"/>
          <w:rtl w:val="0"/>
          <w:lang w:val="it-IT"/>
        </w:rPr>
        <w:t>Le risposte ai quesiti posti dal Consiglio di Stato</w:t>
      </w:r>
    </w:p>
    <w:p>
      <w:pPr>
        <w:pStyle w:val="Normal"/>
        <w:ind w:left="567" w:right="567" w:firstLine="0"/>
        <w:jc w:val="both"/>
        <w:rPr>
          <w:rFonts w:ascii="Book Antiqua" w:cs="Book Antiqua" w:hAnsi="Book Antiqua" w:eastAsia="Book Antiqua"/>
        </w:rPr>
      </w:pPr>
      <w:r>
        <w:rPr>
          <w:rFonts w:ascii="Book Antiqua"/>
          <w:rtl w:val="0"/>
          <w:lang w:val="it-IT"/>
        </w:rPr>
        <w:t xml:space="preserve">Come si </w:t>
      </w:r>
      <w:r>
        <w:rPr>
          <w:rFonts w:hAnsi="Book Antiqua" w:hint="default"/>
          <w:rtl w:val="0"/>
          <w:lang w:val="it-IT"/>
        </w:rPr>
        <w:t xml:space="preserve">è </w:t>
      </w:r>
      <w:r>
        <w:rPr>
          <w:rFonts w:ascii="Book Antiqua"/>
          <w:rtl w:val="0"/>
          <w:lang w:val="it-IT"/>
        </w:rPr>
        <w:t>detto, il collegio dei verificatori era stato incaricato dal Consiglio di Stato di fornire risposta ai seguenti quesiti;</w:t>
      </w:r>
    </w:p>
    <w:p>
      <w:pPr>
        <w:pStyle w:val="Normal"/>
        <w:ind w:left="567" w:right="567" w:firstLine="0"/>
        <w:jc w:val="both"/>
        <w:rPr>
          <w:rFonts w:ascii="Book Antiqua" w:cs="Book Antiqua" w:hAnsi="Book Antiqua" w:eastAsia="Book Antiqua"/>
        </w:rPr>
      </w:pPr>
      <w:r>
        <w:rPr>
          <w:rFonts w:ascii="Book Antiqua"/>
          <w:rtl w:val="0"/>
          <w:lang w:val="it-IT"/>
        </w:rPr>
        <w:t>1) idoneit</w:t>
      </w:r>
      <w:r>
        <w:rPr>
          <w:rFonts w:hAnsi="Book Antiqua" w:hint="default"/>
          <w:rtl w:val="0"/>
          <w:lang w:val="it-IT"/>
        </w:rPr>
        <w:t xml:space="preserve">à </w:t>
      </w:r>
      <w:r>
        <w:rPr>
          <w:rFonts w:ascii="Book Antiqua"/>
          <w:rtl w:val="0"/>
          <w:lang w:val="it-IT"/>
        </w:rPr>
        <w:t>degli interventi imposti dall</w:t>
      </w:r>
      <w:r>
        <w:rPr>
          <w:rFonts w:hAnsi="Book Antiqua" w:hint="default"/>
          <w:rtl w:val="0"/>
          <w:lang w:val="it-IT"/>
        </w:rPr>
        <w:t>’</w:t>
      </w:r>
      <w:r>
        <w:rPr>
          <w:rFonts w:ascii="Book Antiqua"/>
          <w:rtl w:val="0"/>
          <w:lang w:val="it-IT"/>
        </w:rPr>
        <w:t>avversata ordinanza a soddisfare le esigenze di pubblico interesse espresse dallo stesso provvedimento;</w:t>
      </w:r>
    </w:p>
    <w:p>
      <w:pPr>
        <w:pStyle w:val="Normal"/>
        <w:ind w:left="567" w:right="567" w:firstLine="0"/>
        <w:jc w:val="both"/>
        <w:rPr>
          <w:rFonts w:ascii="Book Antiqua" w:cs="Book Antiqua" w:hAnsi="Book Antiqua" w:eastAsia="Book Antiqua"/>
        </w:rPr>
      </w:pPr>
      <w:r>
        <w:rPr>
          <w:rFonts w:ascii="Book Antiqua"/>
          <w:rtl w:val="0"/>
          <w:lang w:val="it-IT"/>
        </w:rPr>
        <w:t>2) condizioni della realizzabilit</w:t>
      </w:r>
      <w:r>
        <w:rPr>
          <w:rFonts w:hAnsi="Book Antiqua" w:hint="default"/>
          <w:rtl w:val="0"/>
          <w:lang w:val="it-IT"/>
        </w:rPr>
        <w:t xml:space="preserve">à </w:t>
      </w:r>
      <w:r>
        <w:rPr>
          <w:rFonts w:ascii="Book Antiqua"/>
          <w:rtl w:val="0"/>
          <w:lang w:val="it-IT"/>
        </w:rPr>
        <w:t>degli interventi e relativa fattibilit</w:t>
      </w:r>
      <w:r>
        <w:rPr>
          <w:rFonts w:hAnsi="Book Antiqua" w:hint="default"/>
          <w:rtl w:val="0"/>
          <w:lang w:val="it-IT"/>
        </w:rPr>
        <w:t>à</w:t>
      </w:r>
      <w:r>
        <w:rPr>
          <w:rFonts w:ascii="Book Antiqua"/>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3) margini di riconducibilit</w:t>
      </w:r>
      <w:r>
        <w:rPr>
          <w:rFonts w:hAnsi="Book Antiqua" w:hint="default"/>
          <w:rtl w:val="0"/>
          <w:lang w:val="it-IT"/>
        </w:rPr>
        <w:t xml:space="preserve">à </w:t>
      </w:r>
      <w:r>
        <w:rPr>
          <w:rFonts w:ascii="Book Antiqua"/>
          <w:rtl w:val="0"/>
          <w:lang w:val="it-IT"/>
        </w:rPr>
        <w:t>all</w:t>
      </w:r>
      <w:r>
        <w:rPr>
          <w:rFonts w:hAnsi="Book Antiqua" w:hint="default"/>
          <w:rtl w:val="0"/>
          <w:lang w:val="it-IT"/>
        </w:rPr>
        <w:t>’</w:t>
      </w:r>
      <w:r>
        <w:rPr>
          <w:rFonts w:ascii="Book Antiqua"/>
          <w:rtl w:val="0"/>
          <w:lang w:val="it-IT"/>
        </w:rPr>
        <w:t>attivit</w:t>
      </w:r>
      <w:r>
        <w:rPr>
          <w:rFonts w:hAnsi="Book Antiqua" w:hint="default"/>
          <w:rtl w:val="0"/>
          <w:lang w:val="it-IT"/>
        </w:rPr>
        <w:t xml:space="preserve">à </w:t>
      </w:r>
      <w:r>
        <w:rPr>
          <w:rFonts w:ascii="Book Antiqua"/>
          <w:rtl w:val="0"/>
          <w:lang w:val="it-IT"/>
        </w:rPr>
        <w:t>espletata dalla ricorrente dei fenomeni che avevano determinato l</w:t>
      </w:r>
      <w:r>
        <w:rPr>
          <w:rFonts w:hAnsi="Book Antiqua" w:hint="default"/>
          <w:rtl w:val="0"/>
          <w:lang w:val="it-IT"/>
        </w:rPr>
        <w:t>’</w:t>
      </w:r>
      <w:r>
        <w:rPr>
          <w:rFonts w:ascii="Book Antiqua"/>
          <w:rtl w:val="0"/>
          <w:lang w:val="it-IT"/>
        </w:rPr>
        <w:t>amministrazione ad adottare l</w:t>
      </w:r>
      <w:r>
        <w:rPr>
          <w:rFonts w:hAnsi="Book Antiqua" w:hint="default"/>
          <w:rtl w:val="0"/>
          <w:lang w:val="it-IT"/>
        </w:rPr>
        <w:t>’</w:t>
      </w:r>
      <w:r>
        <w:rPr>
          <w:rFonts w:ascii="Book Antiqua"/>
          <w:rtl w:val="0"/>
          <w:lang w:val="it-IT"/>
        </w:rPr>
        <w:t>ordinanza;</w:t>
      </w:r>
    </w:p>
    <w:p>
      <w:pPr>
        <w:pStyle w:val="Normal"/>
        <w:ind w:left="567" w:right="567" w:firstLine="0"/>
        <w:jc w:val="both"/>
        <w:rPr>
          <w:rFonts w:ascii="Book Antiqua" w:cs="Book Antiqua" w:hAnsi="Book Antiqua" w:eastAsia="Book Antiqua"/>
        </w:rPr>
      </w:pPr>
      <w:r>
        <w:rPr>
          <w:rFonts w:ascii="Book Antiqua"/>
          <w:rtl w:val="0"/>
          <w:lang w:val="it-IT"/>
        </w:rPr>
        <w:t xml:space="preserve">4) se </w:t>
      </w:r>
      <w:r>
        <w:rPr>
          <w:rFonts w:hAnsi="Book Antiqua" w:hint="default"/>
          <w:rtl w:val="0"/>
          <w:lang w:val="it-IT"/>
        </w:rPr>
        <w:t xml:space="preserve">è </w:t>
      </w:r>
      <w:r>
        <w:rPr>
          <w:rFonts w:ascii="Book Antiqua"/>
          <w:rtl w:val="0"/>
          <w:lang w:val="it-IT"/>
        </w:rPr>
        <w:t>vero che a monte della discarica, dove quindi questa non pu</w:t>
      </w:r>
      <w:r>
        <w:rPr>
          <w:rFonts w:hAnsi="Book Antiqua" w:hint="default"/>
          <w:rtl w:val="0"/>
          <w:lang w:val="it-IT"/>
        </w:rPr>
        <w:t xml:space="preserve">ò </w:t>
      </w:r>
      <w:r>
        <w:rPr>
          <w:rFonts w:ascii="Book Antiqua"/>
          <w:rtl w:val="0"/>
          <w:lang w:val="it-IT"/>
        </w:rPr>
        <w:t>esplicare la propria influenza, la falda non sarebbe inquinata, e quindi l</w:t>
      </w:r>
      <w:r>
        <w:rPr>
          <w:rFonts w:hAnsi="Book Antiqua" w:hint="default"/>
          <w:rtl w:val="0"/>
          <w:lang w:val="it-IT"/>
        </w:rPr>
        <w:t>’</w:t>
      </w:r>
      <w:r>
        <w:rPr>
          <w:rFonts w:ascii="Book Antiqua"/>
          <w:rtl w:val="0"/>
          <w:lang w:val="it-IT"/>
        </w:rPr>
        <w:t>acqua risulterebbe potabile, mentre a valle della discarica la stessa falda sarebbe invece contaminata;</w:t>
      </w:r>
    </w:p>
    <w:p>
      <w:pPr>
        <w:pStyle w:val="Normal"/>
        <w:ind w:left="567" w:right="567" w:firstLine="0"/>
        <w:jc w:val="both"/>
        <w:rPr>
          <w:rFonts w:ascii="Book Antiqua" w:cs="Book Antiqua" w:hAnsi="Book Antiqua" w:eastAsia="Book Antiqua"/>
        </w:rPr>
      </w:pPr>
      <w:r>
        <w:rPr>
          <w:rFonts w:ascii="Book Antiqua"/>
          <w:rtl w:val="0"/>
          <w:lang w:val="it-IT"/>
        </w:rPr>
        <w:t xml:space="preserve">5) se </w:t>
      </w:r>
      <w:r>
        <w:rPr>
          <w:rFonts w:hAnsi="Book Antiqua" w:hint="default"/>
          <w:rtl w:val="0"/>
          <w:lang w:val="it-IT"/>
        </w:rPr>
        <w:t xml:space="preserve">è </w:t>
      </w:r>
      <w:r>
        <w:rPr>
          <w:rFonts w:ascii="Book Antiqua"/>
          <w:rtl w:val="0"/>
          <w:lang w:val="it-IT"/>
        </w:rPr>
        <w:t>vero che molti degli agenti inquinanti rinvenuti sarebbero componenti suscettibili di essere ragionevolmente considerate come caratteristiche del percolato, e comunque dell</w:t>
      </w:r>
      <w:r>
        <w:rPr>
          <w:rFonts w:hAnsi="Book Antiqua" w:hint="default"/>
          <w:rtl w:val="0"/>
          <w:lang w:val="it-IT"/>
        </w:rPr>
        <w:t>’</w:t>
      </w:r>
      <w:r>
        <w:rPr>
          <w:rFonts w:ascii="Book Antiqua"/>
          <w:rtl w:val="0"/>
          <w:lang w:val="it-IT"/>
        </w:rPr>
        <w:t>inquinamento da discarica;</w:t>
      </w:r>
    </w:p>
    <w:p>
      <w:pPr>
        <w:pStyle w:val="Normal"/>
        <w:ind w:left="567" w:right="567" w:firstLine="0"/>
        <w:jc w:val="both"/>
        <w:rPr>
          <w:rFonts w:ascii="Book Antiqua" w:cs="Book Antiqua" w:hAnsi="Book Antiqua" w:eastAsia="Book Antiqua"/>
        </w:rPr>
      </w:pPr>
      <w:r>
        <w:rPr>
          <w:rFonts w:ascii="Book Antiqua"/>
          <w:rtl w:val="0"/>
          <w:lang w:val="it-IT"/>
        </w:rPr>
        <w:t xml:space="preserve">6) se </w:t>
      </w:r>
      <w:r>
        <w:rPr>
          <w:rFonts w:hAnsi="Book Antiqua" w:hint="default"/>
          <w:rtl w:val="0"/>
          <w:lang w:val="it-IT"/>
        </w:rPr>
        <w:t xml:space="preserve">è </w:t>
      </w:r>
      <w:r>
        <w:rPr>
          <w:rFonts w:ascii="Book Antiqua"/>
          <w:rtl w:val="0"/>
          <w:lang w:val="it-IT"/>
        </w:rPr>
        <w:t>vero, infine, che nell</w:t>
      </w:r>
      <w:r>
        <w:rPr>
          <w:rFonts w:hAnsi="Book Antiqua" w:hint="default"/>
          <w:rtl w:val="0"/>
          <w:lang w:val="it-IT"/>
        </w:rPr>
        <w:t>’</w:t>
      </w:r>
      <w:r>
        <w:rPr>
          <w:rFonts w:ascii="Book Antiqua"/>
          <w:rtl w:val="0"/>
          <w:lang w:val="it-IT"/>
        </w:rPr>
        <w:t>area si registrerebbe una concentrazione particolarmente elevata ma disomogenea di metalli nei vari punti di indagine, anche molto vicini tra loro.</w:t>
      </w:r>
    </w:p>
    <w:p>
      <w:pPr>
        <w:pStyle w:val="Normal"/>
        <w:ind w:left="567" w:right="567" w:firstLine="0"/>
        <w:jc w:val="both"/>
        <w:rPr>
          <w:rFonts w:ascii="Book Antiqua" w:cs="Book Antiqua" w:hAnsi="Book Antiqua" w:eastAsia="Book Antiqua"/>
        </w:rPr>
      </w:pPr>
    </w:p>
    <w:p>
      <w:pPr>
        <w:pStyle w:val="Normal"/>
        <w:ind w:right="567" w:firstLine="567"/>
        <w:jc w:val="both"/>
        <w:rPr>
          <w:rFonts w:ascii="Book Antiqua" w:cs="Book Antiqua" w:hAnsi="Book Antiqua" w:eastAsia="Book Antiqua"/>
          <w:i w:val="1"/>
          <w:iCs w:val="1"/>
          <w:u w:val="single"/>
        </w:rPr>
      </w:pPr>
      <w:r>
        <w:rPr>
          <w:rFonts w:ascii="Book Antiqua"/>
          <w:i w:val="1"/>
          <w:iCs w:val="1"/>
          <w:u w:val="single"/>
          <w:rtl w:val="0"/>
          <w:lang w:val="it-IT"/>
        </w:rPr>
        <w:t>Risposte al quesito 1</w:t>
      </w:r>
    </w:p>
    <w:p>
      <w:pPr>
        <w:pStyle w:val="Normal"/>
        <w:ind w:left="567" w:right="567" w:firstLine="0"/>
        <w:jc w:val="both"/>
        <w:rPr>
          <w:rFonts w:ascii="Book Antiqua" w:cs="Book Antiqua" w:hAnsi="Book Antiqua" w:eastAsia="Book Antiqua"/>
        </w:rPr>
      </w:pPr>
      <w:r>
        <w:rPr>
          <w:rFonts w:ascii="Book Antiqua"/>
          <w:rtl w:val="0"/>
          <w:lang w:val="it-IT"/>
        </w:rPr>
        <w:t>Il primo quesito posto ai verificatori era individuare se le otto prescrizioni imposte dall</w:t>
      </w:r>
      <w:r>
        <w:rPr>
          <w:rFonts w:hAnsi="Book Antiqua" w:hint="default"/>
          <w:rtl w:val="0"/>
          <w:lang w:val="it-IT"/>
        </w:rPr>
        <w:t>’</w:t>
      </w:r>
      <w:r>
        <w:rPr>
          <w:rFonts w:ascii="Book Antiqua"/>
          <w:rtl w:val="0"/>
          <w:lang w:val="it-IT"/>
        </w:rPr>
        <w:t>ordinanza sindacale 255/2010, fossero idonee a soddisfare le esigenze di pubblico interesse.</w:t>
      </w:r>
    </w:p>
    <w:p>
      <w:pPr>
        <w:pStyle w:val="Normal"/>
        <w:ind w:left="567" w:right="567" w:firstLine="0"/>
        <w:jc w:val="both"/>
        <w:rPr>
          <w:rFonts w:ascii="Book Antiqua" w:cs="Book Antiqua" w:hAnsi="Book Antiqua" w:eastAsia="Book Antiqua"/>
        </w:rPr>
      </w:pPr>
      <w:r>
        <w:rPr>
          <w:rFonts w:ascii="Book Antiqua"/>
          <w:rtl w:val="0"/>
          <w:lang w:val="it-IT"/>
        </w:rPr>
        <w:t>Le otto prescrizioni erano:</w:t>
      </w:r>
    </w:p>
    <w:p>
      <w:pPr>
        <w:pStyle w:val="Paragrafo elenco1"/>
        <w:numPr>
          <w:ilvl w:val="0"/>
          <w:numId w:val="115"/>
        </w:numPr>
        <w:tabs>
          <w:tab w:val="num" w:pos="537"/>
          <w:tab w:val="clear" w:pos="567"/>
        </w:tabs>
        <w:bidi w:val="0"/>
        <w:spacing w:after="0" w:line="240" w:lineRule="auto"/>
        <w:ind w:left="537" w:right="567" w:hanging="330"/>
        <w:jc w:val="both"/>
        <w:rPr>
          <w:rFonts w:ascii="Book Antiqua" w:cs="Book Antiqua" w:hAnsi="Book Antiqua" w:eastAsia="Book Antiqua"/>
          <w:position w:val="0"/>
          <w:sz w:val="24"/>
          <w:szCs w:val="24"/>
          <w:rtl w:val="0"/>
        </w:rPr>
      </w:pPr>
      <w:r>
        <w:rPr>
          <w:rFonts w:ascii="Book Antiqua"/>
          <w:color w:val="000000"/>
          <w:sz w:val="24"/>
          <w:szCs w:val="24"/>
          <w:u w:color="000000"/>
          <w:rtl w:val="0"/>
          <w:lang w:val="it-IT"/>
        </w:rPr>
        <w:t>provvedere all</w:t>
      </w:r>
      <w:r>
        <w:rPr>
          <w:rFonts w:hAnsi="Book Antiqua" w:hint="default"/>
          <w:color w:val="000000"/>
          <w:sz w:val="24"/>
          <w:szCs w:val="24"/>
          <w:u w:color="000000"/>
          <w:rtl w:val="0"/>
          <w:lang w:val="it-IT"/>
        </w:rPr>
        <w:t>’</w:t>
      </w:r>
      <w:r>
        <w:rPr>
          <w:rFonts w:ascii="Book Antiqua"/>
          <w:color w:val="000000"/>
          <w:sz w:val="24"/>
          <w:szCs w:val="24"/>
          <w:u w:color="000000"/>
          <w:rtl w:val="0"/>
          <w:lang w:val="it-IT"/>
        </w:rPr>
        <w:t>inversione del livello piezometrico presente all</w:t>
      </w:r>
      <w:r>
        <w:rPr>
          <w:rFonts w:hAnsi="Book Antiqua" w:hint="default"/>
          <w:color w:val="000000"/>
          <w:sz w:val="24"/>
          <w:szCs w:val="24"/>
          <w:u w:color="000000"/>
          <w:rtl w:val="0"/>
          <w:lang w:val="it-IT"/>
        </w:rPr>
        <w:t>’</w:t>
      </w:r>
      <w:r>
        <w:rPr>
          <w:rFonts w:ascii="Book Antiqua"/>
          <w:color w:val="000000"/>
          <w:sz w:val="24"/>
          <w:szCs w:val="24"/>
          <w:u w:color="000000"/>
          <w:rtl w:val="0"/>
          <w:lang w:val="it-IT"/>
        </w:rPr>
        <w:t>interno e all</w:t>
      </w:r>
      <w:r>
        <w:rPr>
          <w:rFonts w:hAnsi="Book Antiqua" w:hint="default"/>
          <w:color w:val="000000"/>
          <w:sz w:val="24"/>
          <w:szCs w:val="24"/>
          <w:u w:color="000000"/>
          <w:rtl w:val="0"/>
          <w:lang w:val="it-IT"/>
        </w:rPr>
        <w:t>’</w:t>
      </w:r>
      <w:r>
        <w:rPr>
          <w:rFonts w:ascii="Book Antiqua"/>
          <w:color w:val="000000"/>
          <w:sz w:val="24"/>
          <w:szCs w:val="24"/>
          <w:u w:color="000000"/>
          <w:rtl w:val="0"/>
          <w:lang w:val="it-IT"/>
        </w:rPr>
        <w:t xml:space="preserve">esterno del </w:t>
      </w:r>
      <w:r>
        <w:rPr>
          <w:rFonts w:ascii="Book Antiqua"/>
          <w:i w:val="1"/>
          <w:iCs w:val="1"/>
          <w:color w:val="000000"/>
          <w:sz w:val="24"/>
          <w:szCs w:val="24"/>
          <w:u w:color="000000"/>
          <w:rtl w:val="0"/>
          <w:lang w:val="it-IT"/>
        </w:rPr>
        <w:t>polder</w:t>
      </w:r>
      <w:r>
        <w:rPr>
          <w:rFonts w:ascii="Book Antiqua"/>
          <w:color w:val="000000"/>
          <w:sz w:val="24"/>
          <w:szCs w:val="24"/>
          <w:u w:color="000000"/>
          <w:rtl w:val="0"/>
          <w:lang w:val="it-IT"/>
        </w:rPr>
        <w:t>, attraverso l</w:t>
      </w:r>
      <w:r>
        <w:rPr>
          <w:rFonts w:hAnsi="Book Antiqua" w:hint="default"/>
          <w:color w:val="000000"/>
          <w:sz w:val="24"/>
          <w:szCs w:val="24"/>
          <w:u w:color="000000"/>
          <w:rtl w:val="0"/>
          <w:lang w:val="it-IT"/>
        </w:rPr>
        <w:t>’</w:t>
      </w:r>
      <w:r>
        <w:rPr>
          <w:rFonts w:ascii="Book Antiqua"/>
          <w:color w:val="000000"/>
          <w:sz w:val="24"/>
          <w:szCs w:val="24"/>
          <w:u w:color="000000"/>
          <w:rtl w:val="0"/>
          <w:lang w:val="it-IT"/>
        </w:rPr>
        <w:t xml:space="preserve">emungimento di pozzi/piezometri (dai pozzi V interni al </w:t>
      </w:r>
      <w:r>
        <w:rPr>
          <w:rFonts w:ascii="Book Antiqua"/>
          <w:i w:val="1"/>
          <w:iCs w:val="1"/>
          <w:color w:val="000000"/>
          <w:sz w:val="24"/>
          <w:szCs w:val="24"/>
          <w:u w:color="000000"/>
          <w:rtl w:val="0"/>
          <w:lang w:val="it-IT"/>
        </w:rPr>
        <w:t>polder</w:t>
      </w:r>
      <w:r>
        <w:rPr>
          <w:rFonts w:ascii="Book Antiqua"/>
          <w:color w:val="000000"/>
          <w:sz w:val="24"/>
          <w:szCs w:val="24"/>
          <w:u w:color="000000"/>
          <w:rtl w:val="0"/>
          <w:lang w:val="it-IT"/>
        </w:rPr>
        <w:t xml:space="preserve">, ubicati immediatamente a ridosso dello stesso) e, qualora non idonei da ulteriori pozzi appositamente trivellati, garantendo livelli minimi di differenza piezometrica tra esterno (pozzi </w:t>
      </w:r>
      <w:r>
        <w:rPr>
          <w:rFonts w:hAnsi="Book Antiqua" w:hint="default"/>
          <w:color w:val="000000"/>
          <w:sz w:val="24"/>
          <w:szCs w:val="24"/>
          <w:u w:color="000000"/>
          <w:rtl w:val="0"/>
          <w:lang w:val="it-IT"/>
        </w:rPr>
        <w:t>“</w:t>
      </w:r>
      <w:r>
        <w:rPr>
          <w:rFonts w:ascii="Book Antiqua"/>
          <w:color w:val="000000"/>
          <w:sz w:val="24"/>
          <w:szCs w:val="24"/>
          <w:u w:color="000000"/>
          <w:rtl w:val="0"/>
          <w:lang w:val="it-IT"/>
        </w:rPr>
        <w:t>Z</w:t>
      </w:r>
      <w:r>
        <w:rPr>
          <w:rFonts w:hAnsi="Book Antiqua" w:hint="default"/>
          <w:color w:val="000000"/>
          <w:sz w:val="24"/>
          <w:szCs w:val="24"/>
          <w:u w:color="000000"/>
          <w:rtl w:val="0"/>
          <w:lang w:val="it-IT"/>
        </w:rPr>
        <w:t>”</w:t>
      </w:r>
      <w:r>
        <w:rPr>
          <w:rFonts w:ascii="Book Antiqua"/>
          <w:color w:val="000000"/>
          <w:sz w:val="24"/>
          <w:szCs w:val="24"/>
          <w:u w:color="000000"/>
          <w:rtl w:val="0"/>
          <w:lang w:val="it-IT"/>
        </w:rPr>
        <w:t xml:space="preserve">) e interno </w:t>
      </w:r>
      <w:r>
        <w:rPr>
          <w:rFonts w:ascii="Book Antiqua"/>
          <w:i w:val="1"/>
          <w:iCs w:val="1"/>
          <w:color w:val="000000"/>
          <w:sz w:val="24"/>
          <w:szCs w:val="24"/>
          <w:u w:color="000000"/>
          <w:rtl w:val="0"/>
          <w:lang w:val="it-IT"/>
        </w:rPr>
        <w:t>polder</w:t>
      </w:r>
      <w:r>
        <w:rPr>
          <w:rFonts w:ascii="Book Antiqua"/>
          <w:color w:val="000000"/>
          <w:sz w:val="24"/>
          <w:szCs w:val="24"/>
          <w:u w:color="000000"/>
          <w:rtl w:val="0"/>
          <w:lang w:val="it-IT"/>
        </w:rPr>
        <w:t xml:space="preserve"> (pozzi </w:t>
      </w:r>
      <w:r>
        <w:rPr>
          <w:rFonts w:hAnsi="Book Antiqua" w:hint="default"/>
          <w:color w:val="000000"/>
          <w:sz w:val="24"/>
          <w:szCs w:val="24"/>
          <w:u w:color="000000"/>
          <w:rtl w:val="0"/>
          <w:lang w:val="it-IT"/>
        </w:rPr>
        <w:t>“</w:t>
      </w:r>
      <w:r>
        <w:rPr>
          <w:rFonts w:ascii="Book Antiqua"/>
          <w:color w:val="000000"/>
          <w:sz w:val="24"/>
          <w:szCs w:val="24"/>
          <w:u w:color="000000"/>
          <w:rtl w:val="0"/>
          <w:lang w:val="it-IT"/>
        </w:rPr>
        <w:t>V</w:t>
      </w:r>
      <w:r>
        <w:rPr>
          <w:rFonts w:hAnsi="Book Antiqua" w:hint="default"/>
          <w:color w:val="000000"/>
          <w:sz w:val="24"/>
          <w:szCs w:val="24"/>
          <w:u w:color="000000"/>
          <w:rtl w:val="0"/>
          <w:lang w:val="it-IT"/>
        </w:rPr>
        <w:t xml:space="preserve">” </w:t>
      </w:r>
      <w:r>
        <w:rPr>
          <w:rFonts w:ascii="Book Antiqua"/>
          <w:color w:val="000000"/>
          <w:sz w:val="24"/>
          <w:szCs w:val="24"/>
          <w:u w:color="000000"/>
          <w:rtl w:val="0"/>
          <w:lang w:val="it-IT"/>
        </w:rPr>
        <w:t xml:space="preserve">interni al </w:t>
      </w:r>
      <w:r>
        <w:rPr>
          <w:rFonts w:ascii="Book Antiqua"/>
          <w:i w:val="1"/>
          <w:iCs w:val="1"/>
          <w:color w:val="000000"/>
          <w:sz w:val="24"/>
          <w:szCs w:val="24"/>
          <w:u w:color="000000"/>
          <w:rtl w:val="0"/>
          <w:lang w:val="it-IT"/>
        </w:rPr>
        <w:t>polder</w:t>
      </w:r>
      <w:r>
        <w:rPr>
          <w:rFonts w:ascii="Book Antiqua"/>
          <w:color w:val="000000"/>
          <w:sz w:val="24"/>
          <w:szCs w:val="24"/>
          <w:u w:color="000000"/>
          <w:rtl w:val="0"/>
          <w:lang w:val="it-IT"/>
        </w:rPr>
        <w:t>) nonch</w:t>
      </w:r>
      <w:r>
        <w:rPr>
          <w:rFonts w:hAnsi="Book Antiqua" w:hint="default"/>
          <w:color w:val="000000"/>
          <w:sz w:val="24"/>
          <w:szCs w:val="24"/>
          <w:u w:color="000000"/>
          <w:rtl w:val="0"/>
          <w:lang w:val="it-IT"/>
        </w:rPr>
        <w:t xml:space="preserve">é </w:t>
      </w:r>
      <w:r>
        <w:rPr>
          <w:rFonts w:ascii="Book Antiqua"/>
          <w:color w:val="000000"/>
          <w:sz w:val="24"/>
          <w:szCs w:val="24"/>
          <w:u w:color="000000"/>
          <w:rtl w:val="0"/>
          <w:lang w:val="it-IT"/>
        </w:rPr>
        <w:t>provvedere al trattamento delle acque emunte ai sensi della normativa vigente;</w:t>
      </w:r>
    </w:p>
    <w:p>
      <w:pPr>
        <w:pStyle w:val="Paragrafo elenco1"/>
        <w:numPr>
          <w:ilvl w:val="0"/>
          <w:numId w:val="115"/>
        </w:numPr>
        <w:tabs>
          <w:tab w:val="num" w:pos="537"/>
          <w:tab w:val="clear" w:pos="567"/>
        </w:tabs>
        <w:bidi w:val="0"/>
        <w:spacing w:after="0" w:line="240" w:lineRule="auto"/>
        <w:ind w:left="537" w:right="567" w:hanging="330"/>
        <w:jc w:val="both"/>
        <w:rPr>
          <w:rFonts w:ascii="Book Antiqua" w:cs="Book Antiqua" w:hAnsi="Book Antiqua" w:eastAsia="Book Antiqua"/>
          <w:position w:val="0"/>
          <w:sz w:val="24"/>
          <w:szCs w:val="24"/>
          <w:rtl w:val="0"/>
        </w:rPr>
      </w:pPr>
      <w:r>
        <w:rPr>
          <w:rFonts w:ascii="Book Antiqua"/>
          <w:color w:val="000000"/>
          <w:sz w:val="24"/>
          <w:szCs w:val="24"/>
          <w:u w:color="000000"/>
          <w:rtl w:val="0"/>
          <w:lang w:val="it-IT"/>
        </w:rPr>
        <w:t>realizzare le prove con traccianti, gi</w:t>
      </w:r>
      <w:r>
        <w:rPr>
          <w:rFonts w:hAnsi="Book Antiqua" w:hint="default"/>
          <w:color w:val="000000"/>
          <w:sz w:val="24"/>
          <w:szCs w:val="24"/>
          <w:u w:color="000000"/>
          <w:rtl w:val="0"/>
          <w:lang w:val="it-IT"/>
        </w:rPr>
        <w:t xml:space="preserve">à </w:t>
      </w:r>
      <w:r>
        <w:rPr>
          <w:rFonts w:ascii="Book Antiqua"/>
          <w:color w:val="000000"/>
          <w:sz w:val="24"/>
          <w:szCs w:val="24"/>
          <w:u w:color="000000"/>
          <w:rtl w:val="0"/>
          <w:lang w:val="it-IT"/>
        </w:rPr>
        <w:t>prescritte dal decreto commissariale n. 43/2007;</w:t>
      </w:r>
    </w:p>
    <w:p>
      <w:pPr>
        <w:pStyle w:val="Paragrafo elenco1"/>
        <w:numPr>
          <w:ilvl w:val="0"/>
          <w:numId w:val="115"/>
        </w:numPr>
        <w:tabs>
          <w:tab w:val="num" w:pos="537"/>
          <w:tab w:val="clear" w:pos="567"/>
        </w:tabs>
        <w:bidi w:val="0"/>
        <w:spacing w:after="0" w:line="240" w:lineRule="auto"/>
        <w:ind w:left="537" w:right="567" w:hanging="330"/>
        <w:jc w:val="both"/>
        <w:rPr>
          <w:rFonts w:ascii="Book Antiqua" w:cs="Book Antiqua" w:hAnsi="Book Antiqua" w:eastAsia="Book Antiqua"/>
          <w:color w:val="000000"/>
          <w:position w:val="0"/>
          <w:sz w:val="24"/>
          <w:szCs w:val="24"/>
          <w:u w:color="000000"/>
          <w:rtl w:val="0"/>
        </w:rPr>
      </w:pPr>
      <w:r>
        <w:rPr>
          <w:rFonts w:ascii="Book Antiqua"/>
          <w:color w:val="000000"/>
          <w:sz w:val="24"/>
          <w:szCs w:val="24"/>
          <w:u w:color="000000"/>
          <w:rtl w:val="0"/>
          <w:lang w:val="it-IT"/>
        </w:rPr>
        <w:t>monitorare gli effetti delle azioni di messa in sicurezza, con rilievi sull</w:t>
      </w:r>
      <w:r>
        <w:rPr>
          <w:rFonts w:hAnsi="Book Antiqua" w:hint="default"/>
          <w:color w:val="000000"/>
          <w:sz w:val="24"/>
          <w:szCs w:val="24"/>
          <w:u w:color="000000"/>
          <w:rtl w:val="0"/>
          <w:lang w:val="it-IT"/>
        </w:rPr>
        <w:t>’</w:t>
      </w:r>
      <w:r>
        <w:rPr>
          <w:rFonts w:ascii="Book Antiqua"/>
          <w:color w:val="000000"/>
          <w:sz w:val="24"/>
          <w:szCs w:val="24"/>
          <w:u w:color="000000"/>
          <w:rtl w:val="0"/>
          <w:lang w:val="it-IT"/>
        </w:rPr>
        <w:t>intera rete di  piezometri/pozzi di monitoraggio esistenti, allo scopo di verificare l</w:t>
      </w:r>
      <w:r>
        <w:rPr>
          <w:rFonts w:hAnsi="Book Antiqua" w:hint="default"/>
          <w:color w:val="000000"/>
          <w:sz w:val="24"/>
          <w:szCs w:val="24"/>
          <w:u w:color="000000"/>
          <w:rtl w:val="0"/>
          <w:lang w:val="it-IT"/>
        </w:rPr>
        <w:t>’</w:t>
      </w:r>
      <w:r>
        <w:rPr>
          <w:rFonts w:ascii="Book Antiqua"/>
          <w:color w:val="000000"/>
          <w:sz w:val="24"/>
          <w:szCs w:val="24"/>
          <w:u w:color="000000"/>
          <w:rtl w:val="0"/>
          <w:lang w:val="it-IT"/>
        </w:rPr>
        <w:t>efficacia delle azioni poste in essere, che devono almeno comprendere:</w:t>
      </w:r>
      <w:r>
        <w:rPr>
          <w:rFonts w:ascii="Book Antiqua"/>
          <w:sz w:val="24"/>
          <w:szCs w:val="24"/>
          <w:rtl w:val="0"/>
          <w:lang w:val="it-IT"/>
        </w:rPr>
        <w:t xml:space="preserve"> </w:t>
      </w:r>
      <w:r>
        <w:rPr>
          <w:rFonts w:ascii="Book Antiqua"/>
          <w:color w:val="000000"/>
          <w:sz w:val="24"/>
          <w:szCs w:val="24"/>
          <w:u w:color="000000"/>
          <w:rtl w:val="0"/>
          <w:lang w:val="it-IT"/>
        </w:rPr>
        <w:t>a) misura dei livelli piezometrici ed eventuali spessori di fase separata LNPL o DNPL;</w:t>
      </w:r>
      <w:r>
        <w:rPr>
          <w:rFonts w:ascii="Book Antiqua"/>
          <w:sz w:val="24"/>
          <w:szCs w:val="24"/>
          <w:rtl w:val="0"/>
          <w:lang w:val="it-IT"/>
        </w:rPr>
        <w:t xml:space="preserve"> </w:t>
      </w:r>
      <w:r>
        <w:rPr>
          <w:rFonts w:ascii="Book Antiqua"/>
          <w:color w:val="000000"/>
          <w:sz w:val="24"/>
          <w:szCs w:val="24"/>
          <w:u w:color="000000"/>
          <w:rtl w:val="0"/>
          <w:lang w:val="it-IT"/>
        </w:rPr>
        <w:t>b) esecuzione di mirati e significativi campionamenti ed analisi assicurando che le metodiche analitiche utilizzate siano le stesse di quelle adottate da ARPA Lazio in modo da rendere confrontabili i risultati analitici con quelli dell</w:t>
      </w:r>
      <w:r>
        <w:rPr>
          <w:rFonts w:hAnsi="Book Antiqua" w:hint="default"/>
          <w:color w:val="000000"/>
          <w:sz w:val="24"/>
          <w:szCs w:val="24"/>
          <w:u w:color="000000"/>
          <w:rtl w:val="0"/>
          <w:lang w:val="it-IT"/>
        </w:rPr>
        <w:t>’</w:t>
      </w:r>
      <w:r>
        <w:rPr>
          <w:rFonts w:ascii="Book Antiqua"/>
          <w:color w:val="000000"/>
          <w:sz w:val="24"/>
          <w:szCs w:val="24"/>
          <w:u w:color="000000"/>
          <w:rtl w:val="0"/>
          <w:lang w:val="it-IT"/>
        </w:rPr>
        <w:t>ente di controllo; c) rilevazione di campo con sonde multiparametriche delle principali caratteristiche chimico fisiche delle acque (pH, conducibilit</w:t>
      </w:r>
      <w:r>
        <w:rPr>
          <w:rFonts w:hAnsi="Book Antiqua" w:hint="default"/>
          <w:color w:val="000000"/>
          <w:sz w:val="24"/>
          <w:szCs w:val="24"/>
          <w:u w:color="000000"/>
          <w:rtl w:val="0"/>
          <w:lang w:val="it-IT"/>
        </w:rPr>
        <w:t>à</w:t>
      </w:r>
      <w:r>
        <w:rPr>
          <w:rFonts w:ascii="Book Antiqua"/>
          <w:color w:val="000000"/>
          <w:sz w:val="24"/>
          <w:szCs w:val="24"/>
          <w:u w:color="000000"/>
          <w:rtl w:val="0"/>
          <w:lang w:val="it-IT"/>
        </w:rPr>
        <w:t>, ossigeno disciolto, ecc.);</w:t>
      </w:r>
    </w:p>
    <w:p>
      <w:pPr>
        <w:pStyle w:val="Paragrafo elenco1"/>
        <w:numPr>
          <w:ilvl w:val="0"/>
          <w:numId w:val="115"/>
        </w:numPr>
        <w:tabs>
          <w:tab w:val="num" w:pos="537"/>
          <w:tab w:val="clear" w:pos="567"/>
        </w:tabs>
        <w:bidi w:val="0"/>
        <w:spacing w:after="0" w:line="240" w:lineRule="auto"/>
        <w:ind w:left="537" w:right="567" w:hanging="330"/>
        <w:jc w:val="both"/>
        <w:rPr>
          <w:rFonts w:ascii="Book Antiqua" w:cs="Book Antiqua" w:hAnsi="Book Antiqua" w:eastAsia="Book Antiqua"/>
          <w:color w:val="000000"/>
          <w:position w:val="0"/>
          <w:sz w:val="24"/>
          <w:szCs w:val="24"/>
          <w:u w:color="000000"/>
          <w:rtl w:val="0"/>
        </w:rPr>
      </w:pPr>
      <w:r>
        <w:rPr>
          <w:rFonts w:ascii="Book Antiqua"/>
          <w:color w:val="000000"/>
          <w:sz w:val="24"/>
          <w:szCs w:val="24"/>
          <w:u w:color="000000"/>
          <w:rtl w:val="0"/>
          <w:lang w:val="it-IT"/>
        </w:rPr>
        <w:t>qualora la rete esistente di pozzi di monitoraggio/piezometri fosse ritenuta insufficiente ad ottenere un quadro completo ed esaustivo sull</w:t>
      </w:r>
      <w:r>
        <w:rPr>
          <w:rFonts w:hAnsi="Book Antiqua" w:hint="default"/>
          <w:color w:val="000000"/>
          <w:sz w:val="24"/>
          <w:szCs w:val="24"/>
          <w:u w:color="000000"/>
          <w:rtl w:val="0"/>
          <w:lang w:val="it-IT"/>
        </w:rPr>
        <w:t>’</w:t>
      </w:r>
      <w:r>
        <w:rPr>
          <w:rFonts w:ascii="Book Antiqua"/>
          <w:color w:val="000000"/>
          <w:sz w:val="24"/>
          <w:szCs w:val="24"/>
          <w:u w:color="000000"/>
          <w:rtl w:val="0"/>
          <w:lang w:val="it-IT"/>
        </w:rPr>
        <w:t>efficacia delle azioni intraprese eseguire la messa in opera in posizioni idonee di nuovi pozzi di monitoraggio ubicati nell</w:t>
      </w:r>
      <w:r>
        <w:rPr>
          <w:rFonts w:hAnsi="Book Antiqua" w:hint="default"/>
          <w:color w:val="000000"/>
          <w:sz w:val="24"/>
          <w:szCs w:val="24"/>
          <w:u w:color="000000"/>
          <w:rtl w:val="0"/>
          <w:lang w:val="it-IT"/>
        </w:rPr>
        <w:t>’</w:t>
      </w:r>
      <w:r>
        <w:rPr>
          <w:rFonts w:ascii="Book Antiqua"/>
          <w:color w:val="000000"/>
          <w:sz w:val="24"/>
          <w:szCs w:val="24"/>
          <w:u w:color="000000"/>
          <w:rtl w:val="0"/>
          <w:lang w:val="it-IT"/>
        </w:rPr>
        <w:t>immediato intorno dei presidi attivati ed estendere ad essi i monitoraggi di cui sopra;</w:t>
      </w:r>
    </w:p>
    <w:p>
      <w:pPr>
        <w:pStyle w:val="Paragrafo elenco1"/>
        <w:numPr>
          <w:ilvl w:val="0"/>
          <w:numId w:val="115"/>
        </w:numPr>
        <w:tabs>
          <w:tab w:val="num" w:pos="537"/>
          <w:tab w:val="clear" w:pos="567"/>
        </w:tabs>
        <w:bidi w:val="0"/>
        <w:spacing w:after="0" w:line="240" w:lineRule="auto"/>
        <w:ind w:left="537" w:right="567" w:hanging="330"/>
        <w:jc w:val="both"/>
        <w:rPr>
          <w:rFonts w:ascii="Book Antiqua" w:cs="Book Antiqua" w:hAnsi="Book Antiqua" w:eastAsia="Book Antiqua"/>
          <w:color w:val="000000"/>
          <w:position w:val="0"/>
          <w:sz w:val="24"/>
          <w:szCs w:val="24"/>
          <w:u w:color="000000"/>
          <w:rtl w:val="0"/>
        </w:rPr>
      </w:pPr>
      <w:r>
        <w:rPr>
          <w:rFonts w:ascii="Book Antiqua"/>
          <w:color w:val="000000"/>
          <w:sz w:val="24"/>
          <w:szCs w:val="24"/>
          <w:u w:color="000000"/>
          <w:rtl w:val="0"/>
          <w:lang w:val="it-IT"/>
        </w:rPr>
        <w:t>comunicare il programma di monitoraggio sulle predette azioni (modalit</w:t>
      </w:r>
      <w:r>
        <w:rPr>
          <w:rFonts w:hAnsi="Book Antiqua" w:hint="default"/>
          <w:color w:val="000000"/>
          <w:sz w:val="24"/>
          <w:szCs w:val="24"/>
          <w:u w:color="000000"/>
          <w:rtl w:val="0"/>
          <w:lang w:val="it-IT"/>
        </w:rPr>
        <w:t xml:space="preserve">à </w:t>
      </w:r>
      <w:r>
        <w:rPr>
          <w:rFonts w:ascii="Book Antiqua"/>
          <w:color w:val="000000"/>
          <w:sz w:val="24"/>
          <w:szCs w:val="24"/>
          <w:u w:color="000000"/>
          <w:rtl w:val="0"/>
          <w:lang w:val="it-IT"/>
        </w:rPr>
        <w:t>di campionamento, frequenza ecc.);</w:t>
      </w:r>
    </w:p>
    <w:p>
      <w:pPr>
        <w:pStyle w:val="Paragrafo elenco1"/>
        <w:numPr>
          <w:ilvl w:val="0"/>
          <w:numId w:val="115"/>
        </w:numPr>
        <w:tabs>
          <w:tab w:val="num" w:pos="537"/>
          <w:tab w:val="clear" w:pos="567"/>
        </w:tabs>
        <w:bidi w:val="0"/>
        <w:spacing w:after="0" w:line="240" w:lineRule="auto"/>
        <w:ind w:left="537" w:right="567" w:hanging="330"/>
        <w:jc w:val="both"/>
        <w:rPr>
          <w:rFonts w:ascii="Book Antiqua" w:cs="Book Antiqua" w:hAnsi="Book Antiqua" w:eastAsia="Book Antiqua"/>
          <w:color w:val="000000"/>
          <w:position w:val="0"/>
          <w:sz w:val="24"/>
          <w:szCs w:val="24"/>
          <w:u w:color="000000"/>
          <w:rtl w:val="0"/>
        </w:rPr>
      </w:pPr>
      <w:r>
        <w:rPr>
          <w:rFonts w:ascii="Book Antiqua"/>
          <w:color w:val="000000"/>
          <w:sz w:val="24"/>
          <w:szCs w:val="24"/>
          <w:u w:color="000000"/>
          <w:rtl w:val="0"/>
          <w:lang w:val="it-IT"/>
        </w:rPr>
        <w:t>comunicare agli enti competenti eventuali ulteriori azioni aggiuntive da attivare ritenute efficaci;</w:t>
      </w:r>
    </w:p>
    <w:p>
      <w:pPr>
        <w:pStyle w:val="Paragrafo elenco1"/>
        <w:numPr>
          <w:ilvl w:val="0"/>
          <w:numId w:val="115"/>
        </w:numPr>
        <w:tabs>
          <w:tab w:val="num" w:pos="537"/>
          <w:tab w:val="clear" w:pos="567"/>
        </w:tabs>
        <w:bidi w:val="0"/>
        <w:spacing w:after="0" w:line="240" w:lineRule="auto"/>
        <w:ind w:left="537" w:right="567" w:hanging="330"/>
        <w:jc w:val="both"/>
        <w:rPr>
          <w:rFonts w:ascii="Book Antiqua" w:cs="Book Antiqua" w:hAnsi="Book Antiqua" w:eastAsia="Book Antiqua"/>
          <w:color w:val="000000"/>
          <w:position w:val="0"/>
          <w:sz w:val="24"/>
          <w:szCs w:val="24"/>
          <w:u w:color="000000"/>
          <w:rtl w:val="0"/>
        </w:rPr>
      </w:pPr>
      <w:r>
        <w:rPr>
          <w:rFonts w:ascii="Book Antiqua"/>
          <w:color w:val="000000"/>
          <w:sz w:val="24"/>
          <w:szCs w:val="24"/>
          <w:u w:color="000000"/>
          <w:rtl w:val="0"/>
          <w:lang w:val="it-IT"/>
        </w:rPr>
        <w:t>segnalare, qualora a conoscenza, la presenza di eventuali altri pozzi e/o sorgenti bersaglio presenti in un intorno significativo del sito approssimativamente individuato, in circa 1000 metri dai confini dello stesso, anche al fine di consentire agli Enti competenti di effettuare alle necessarie verifiche nonch</w:t>
      </w:r>
      <w:r>
        <w:rPr>
          <w:rFonts w:hAnsi="Book Antiqua" w:hint="default"/>
          <w:color w:val="000000"/>
          <w:sz w:val="24"/>
          <w:szCs w:val="24"/>
          <w:u w:color="000000"/>
          <w:rtl w:val="0"/>
          <w:lang w:val="it-IT"/>
        </w:rPr>
        <w:t xml:space="preserve">é </w:t>
      </w:r>
      <w:r>
        <w:rPr>
          <w:rFonts w:ascii="Book Antiqua"/>
          <w:color w:val="000000"/>
          <w:sz w:val="24"/>
          <w:szCs w:val="24"/>
          <w:u w:color="000000"/>
          <w:rtl w:val="0"/>
          <w:lang w:val="it-IT"/>
        </w:rPr>
        <w:t>adottare i provvedimenti di competenza che dovessero essere necessari;</w:t>
      </w:r>
    </w:p>
    <w:p>
      <w:pPr>
        <w:pStyle w:val="Paragrafo elenco1"/>
        <w:numPr>
          <w:ilvl w:val="0"/>
          <w:numId w:val="115"/>
        </w:numPr>
        <w:tabs>
          <w:tab w:val="num" w:pos="537"/>
          <w:tab w:val="clear" w:pos="567"/>
        </w:tabs>
        <w:bidi w:val="0"/>
        <w:spacing w:after="0" w:line="240" w:lineRule="auto"/>
        <w:ind w:left="537" w:right="567" w:hanging="330"/>
        <w:jc w:val="both"/>
        <w:rPr>
          <w:rFonts w:ascii="Book Antiqua" w:cs="Book Antiqua" w:hAnsi="Book Antiqua" w:eastAsia="Book Antiqua"/>
          <w:color w:val="000000"/>
          <w:position w:val="0"/>
          <w:sz w:val="24"/>
          <w:szCs w:val="24"/>
          <w:u w:color="000000"/>
          <w:rtl w:val="0"/>
        </w:rPr>
      </w:pPr>
      <w:r>
        <w:rPr>
          <w:rFonts w:ascii="Book Antiqua"/>
          <w:color w:val="000000"/>
          <w:sz w:val="24"/>
          <w:szCs w:val="24"/>
          <w:u w:color="000000"/>
          <w:rtl w:val="0"/>
          <w:lang w:val="it-IT"/>
        </w:rPr>
        <w:t>mantenere un costante flusso di informazioni con gli enti competenti adeguando le comunicazioni a quanto disposto dalla deliberazione della Giunta regionale n. 451/2008 (modulistica linee guida regionali sulla bonifica dei siti contaminati).</w:t>
      </w:r>
    </w:p>
    <w:p>
      <w:pPr>
        <w:pStyle w:val="Normal"/>
        <w:ind w:left="567" w:right="567" w:firstLine="0"/>
        <w:jc w:val="both"/>
        <w:rPr>
          <w:rFonts w:ascii="Book Antiqua" w:cs="Book Antiqua" w:hAnsi="Book Antiqua" w:eastAsia="Book Antiqua"/>
        </w:rPr>
      </w:pPr>
    </w:p>
    <w:p>
      <w:pPr>
        <w:pStyle w:val="Paragrafo elenco1"/>
        <w:spacing w:after="0" w:line="240" w:lineRule="auto"/>
        <w:ind w:left="567" w:right="567" w:firstLine="0"/>
        <w:jc w:val="both"/>
        <w:rPr>
          <w:rFonts w:ascii="Book Antiqua" w:cs="Book Antiqua" w:hAnsi="Book Antiqua" w:eastAsia="Book Antiqua"/>
          <w:i w:val="1"/>
          <w:iCs w:val="1"/>
          <w:sz w:val="24"/>
          <w:szCs w:val="24"/>
        </w:rPr>
      </w:pPr>
      <w:r>
        <w:rPr>
          <w:rFonts w:ascii="Book Antiqua"/>
          <w:i w:val="1"/>
          <w:iCs w:val="1"/>
          <w:sz w:val="24"/>
          <w:szCs w:val="24"/>
          <w:u w:val="single"/>
          <w:rtl w:val="0"/>
          <w:lang w:val="it-IT"/>
        </w:rPr>
        <w:t>Inversione del livello piezometrico (prescrizione n.1)</w:t>
      </w:r>
      <w:r>
        <w:rPr>
          <w:rFonts w:ascii="Book Antiqua"/>
          <w:i w:val="1"/>
          <w:iCs w:val="1"/>
          <w:sz w:val="24"/>
          <w:szCs w:val="24"/>
          <w:rtl w:val="0"/>
          <w:lang w:val="it-IT"/>
        </w:rPr>
        <w:t xml:space="preserve"> </w:t>
      </w:r>
    </w:p>
    <w:p>
      <w:pPr>
        <w:pStyle w:val="Normal"/>
        <w:ind w:left="567" w:right="567" w:firstLine="0"/>
        <w:jc w:val="both"/>
        <w:rPr>
          <w:rFonts w:ascii="Book Antiqua" w:cs="Book Antiqua" w:hAnsi="Book Antiqua" w:eastAsia="Book Antiqua"/>
        </w:rPr>
      </w:pPr>
      <w:r>
        <w:rPr>
          <w:rFonts w:ascii="Book Antiqua"/>
          <w:rtl w:val="0"/>
          <w:lang w:val="it-IT"/>
        </w:rPr>
        <w:t>L</w:t>
      </w:r>
      <w:r>
        <w:rPr>
          <w:rFonts w:hAnsi="Book Antiqua" w:hint="default"/>
          <w:rtl w:val="0"/>
          <w:lang w:val="it-IT"/>
        </w:rPr>
        <w:t>’</w:t>
      </w:r>
      <w:r>
        <w:rPr>
          <w:rFonts w:ascii="Book Antiqua"/>
          <w:rtl w:val="0"/>
          <w:lang w:val="it-IT"/>
        </w:rPr>
        <w:t>area della discarica adibita all</w:t>
      </w:r>
      <w:r>
        <w:rPr>
          <w:rFonts w:hAnsi="Book Antiqua" w:hint="default"/>
          <w:rtl w:val="0"/>
          <w:lang w:val="it-IT"/>
        </w:rPr>
        <w:t>’</w:t>
      </w:r>
      <w:r>
        <w:rPr>
          <w:rFonts w:ascii="Book Antiqua"/>
          <w:rtl w:val="0"/>
          <w:lang w:val="it-IT"/>
        </w:rPr>
        <w:t xml:space="preserve">abbancamento di rifiuti </w:t>
      </w:r>
      <w:r>
        <w:rPr>
          <w:rFonts w:hAnsi="Book Antiqua" w:hint="default"/>
          <w:rtl w:val="0"/>
          <w:lang w:val="it-IT"/>
        </w:rPr>
        <w:t xml:space="preserve">è </w:t>
      </w:r>
      <w:r>
        <w:rPr>
          <w:rFonts w:ascii="Book Antiqua"/>
          <w:rtl w:val="0"/>
          <w:lang w:val="it-IT"/>
        </w:rPr>
        <w:t>delimitata da un diaframma a bassa permeabilit</w:t>
      </w:r>
      <w:r>
        <w:rPr>
          <w:rFonts w:hAnsi="Book Antiqua" w:hint="default"/>
          <w:rtl w:val="0"/>
          <w:lang w:val="it-IT"/>
        </w:rPr>
        <w:t>à</w:t>
      </w:r>
      <w:r>
        <w:rPr>
          <w:rFonts w:ascii="Book Antiqua"/>
          <w:rtl w:val="0"/>
          <w:lang w:val="it-IT"/>
        </w:rPr>
        <w:t xml:space="preserve">, denominato </w:t>
      </w:r>
      <w:r>
        <w:rPr>
          <w:rFonts w:ascii="Book Antiqua"/>
          <w:i w:val="1"/>
          <w:iCs w:val="1"/>
          <w:rtl w:val="0"/>
          <w:lang w:val="it-IT"/>
        </w:rPr>
        <w:t>polder</w:t>
      </w:r>
      <w:r>
        <w:rPr>
          <w:rFonts w:ascii="Book Antiqua"/>
          <w:rtl w:val="0"/>
          <w:lang w:val="it-IT"/>
        </w:rPr>
        <w:t>, sul quale sono state condotte alcune prove d</w:t>
      </w:r>
      <w:r>
        <w:rPr>
          <w:rFonts w:hAnsi="Book Antiqua" w:hint="default"/>
          <w:rtl w:val="0"/>
          <w:lang w:val="it-IT"/>
        </w:rPr>
        <w:t>’</w:t>
      </w:r>
      <w:r>
        <w:rPr>
          <w:rFonts w:ascii="Book Antiqua"/>
          <w:rtl w:val="0"/>
          <w:lang w:val="it-IT"/>
        </w:rPr>
        <w:t>integrit</w:t>
      </w:r>
      <w:r>
        <w:rPr>
          <w:rFonts w:hAnsi="Book Antiqua" w:hint="default"/>
          <w:rtl w:val="0"/>
          <w:lang w:val="it-IT"/>
        </w:rPr>
        <w:t>à</w:t>
      </w:r>
      <w:r>
        <w:rPr>
          <w:rFonts w:ascii="Book Antiqua"/>
          <w:rtl w:val="0"/>
          <w:lang w:val="it-IT"/>
        </w:rPr>
        <w:t xml:space="preserve">, che hanno dato sempre esito positivo. Pur tuttavia, come evidenziato anche da ARPA Lazio e confermato dal rilievo effettuato dal Politecnico, il </w:t>
      </w:r>
      <w:r>
        <w:rPr>
          <w:rFonts w:ascii="Book Antiqua"/>
          <w:i w:val="1"/>
          <w:iCs w:val="1"/>
          <w:rtl w:val="0"/>
          <w:lang w:val="it-IT"/>
        </w:rPr>
        <w:t>polder</w:t>
      </w:r>
      <w:r>
        <w:rPr>
          <w:rFonts w:ascii="Book Antiqua"/>
          <w:rtl w:val="0"/>
          <w:lang w:val="it-IT"/>
        </w:rPr>
        <w:t xml:space="preserve"> produce effetto sulla falda.</w:t>
      </w:r>
    </w:p>
    <w:p>
      <w:pPr>
        <w:pStyle w:val="Normal"/>
        <w:ind w:left="567" w:right="567" w:firstLine="0"/>
        <w:jc w:val="both"/>
        <w:rPr>
          <w:rFonts w:ascii="Book Antiqua" w:cs="Book Antiqua" w:hAnsi="Book Antiqua" w:eastAsia="Book Antiqua"/>
        </w:rPr>
      </w:pPr>
      <w:r>
        <w:rPr>
          <w:rFonts w:ascii="Book Antiqua"/>
          <w:rtl w:val="0"/>
          <w:lang w:val="it-IT"/>
        </w:rPr>
        <w:t>In particolare il collegio ha osservato un dislivello piezometrico positivo tra l'interno (livello maggiore) e l'esterno della discarica (livello minore). Tale dislivello secondo il Politecnico determina che, anche in presenza di un perfetto immorsamento del diaframma nell'orizzonte di argilla di Monte delle Piche, e in assenza di qualsiasi danneggiamento (crepe, fratturazioni e altre vie di migrazione preferenziale), pu</w:t>
      </w:r>
      <w:r>
        <w:rPr>
          <w:rFonts w:hAnsi="Book Antiqua" w:hint="default"/>
          <w:rtl w:val="0"/>
          <w:lang w:val="it-IT"/>
        </w:rPr>
        <w:t xml:space="preserve">ò </w:t>
      </w:r>
      <w:r>
        <w:rPr>
          <w:rFonts w:ascii="Book Antiqua"/>
          <w:rtl w:val="0"/>
          <w:lang w:val="it-IT"/>
        </w:rPr>
        <w:t>verificarsi una perdita di acqua contaminata attraverso il diaframma a bassa permeabilit</w:t>
      </w:r>
      <w:r>
        <w:rPr>
          <w:rFonts w:hAnsi="Book Antiqua" w:hint="default"/>
          <w:rtl w:val="0"/>
          <w:lang w:val="it-IT"/>
        </w:rPr>
        <w:t xml:space="preserve">à </w:t>
      </w:r>
      <w:r>
        <w:rPr>
          <w:rFonts w:ascii="Book Antiqua"/>
          <w:rtl w:val="0"/>
          <w:lang w:val="it-IT"/>
        </w:rPr>
        <w:t>(ma non impermeabile).</w:t>
      </w:r>
    </w:p>
    <w:p>
      <w:pPr>
        <w:pStyle w:val="Normal"/>
        <w:ind w:left="567" w:right="567" w:firstLine="0"/>
        <w:jc w:val="both"/>
        <w:rPr>
          <w:rFonts w:ascii="Book Antiqua" w:cs="Book Antiqua" w:hAnsi="Book Antiqua" w:eastAsia="Book Antiqua"/>
        </w:rPr>
      </w:pPr>
      <w:r>
        <w:rPr>
          <w:rFonts w:ascii="Book Antiqua"/>
          <w:rtl w:val="0"/>
          <w:lang w:val="it-IT"/>
        </w:rPr>
        <w:t>Inoltre, in  base ai dati verificati del dislivello attuale tra la falda interna ed esterna, la portata uscente sull</w:t>
      </w:r>
      <w:r>
        <w:rPr>
          <w:rFonts w:hAnsi="Book Antiqua" w:hint="default"/>
          <w:rtl w:val="0"/>
          <w:lang w:val="it-IT"/>
        </w:rPr>
        <w:t>’</w:t>
      </w:r>
      <w:r>
        <w:rPr>
          <w:rFonts w:ascii="Book Antiqua"/>
          <w:rtl w:val="0"/>
          <w:lang w:val="it-IT"/>
        </w:rPr>
        <w:t xml:space="preserve">intero perimetro del polder </w:t>
      </w:r>
      <w:r>
        <w:rPr>
          <w:rFonts w:hAnsi="Book Antiqua" w:hint="default"/>
          <w:rtl w:val="0"/>
          <w:lang w:val="it-IT"/>
        </w:rPr>
        <w:t xml:space="preserve">è </w:t>
      </w:r>
      <w:r>
        <w:rPr>
          <w:rFonts w:ascii="Book Antiqua"/>
          <w:rtl w:val="0"/>
          <w:lang w:val="it-IT"/>
        </w:rPr>
        <w:t>pari 9738 metri cubi l'anno di percolato.</w:t>
      </w:r>
    </w:p>
    <w:p>
      <w:pPr>
        <w:pStyle w:val="Normal"/>
        <w:ind w:left="567" w:right="567" w:firstLine="0"/>
        <w:jc w:val="both"/>
        <w:rPr>
          <w:rFonts w:ascii="Book Antiqua" w:cs="Book Antiqua" w:hAnsi="Book Antiqua" w:eastAsia="Book Antiqua"/>
        </w:rPr>
      </w:pPr>
      <w:r>
        <w:rPr>
          <w:rFonts w:ascii="Book Antiqua"/>
          <w:rtl w:val="0"/>
          <w:lang w:val="it-IT"/>
        </w:rPr>
        <w:t>L'assenza di dislivello tra interno ed esterno del polder annulla il flusso d'acqua contaminato in uscita e, se i dislivelli diminuissero ulteriormente, si otterrebbe una condizione ancora pi</w:t>
      </w:r>
      <w:r>
        <w:rPr>
          <w:rFonts w:hAnsi="Book Antiqua" w:hint="default"/>
          <w:rtl w:val="0"/>
          <w:lang w:val="it-IT"/>
        </w:rPr>
        <w:t xml:space="preserve">ù </w:t>
      </w:r>
      <w:r>
        <w:rPr>
          <w:rFonts w:ascii="Book Antiqua"/>
          <w:rtl w:val="0"/>
          <w:lang w:val="it-IT"/>
        </w:rPr>
        <w:t>cautelativa di inversione del flusso con acqua che dalla falda esterna si dirigerebbe verso l'interno della discarica.</w:t>
      </w:r>
    </w:p>
    <w:p>
      <w:pPr>
        <w:pStyle w:val="Normal"/>
        <w:ind w:left="567" w:right="567" w:firstLine="0"/>
        <w:jc w:val="both"/>
        <w:rPr>
          <w:rFonts w:ascii="Book Antiqua" w:cs="Book Antiqua" w:hAnsi="Book Antiqua" w:eastAsia="Book Antiqua"/>
        </w:rPr>
      </w:pPr>
      <w:r>
        <w:rPr>
          <w:rFonts w:ascii="Book Antiqua"/>
          <w:rtl w:val="0"/>
          <w:lang w:val="it-IT"/>
        </w:rPr>
        <w:t>I verificatori dunque ritengono che la prescrizione n.1 imposta dall</w:t>
      </w:r>
      <w:r>
        <w:rPr>
          <w:rFonts w:hAnsi="Book Antiqua" w:hint="default"/>
          <w:rtl w:val="0"/>
          <w:lang w:val="it-IT"/>
        </w:rPr>
        <w:t xml:space="preserve">’ </w:t>
      </w:r>
      <w:r>
        <w:rPr>
          <w:rFonts w:ascii="Book Antiqua"/>
          <w:rtl w:val="0"/>
          <w:lang w:val="it-IT"/>
        </w:rPr>
        <w:t xml:space="preserve">ordinanza sindacale 255/2010 sia idonea a soddisfare le esigenze di pubblico interesse </w:t>
      </w:r>
    </w:p>
    <w:p>
      <w:pPr>
        <w:pStyle w:val="Paragrafo elenco1"/>
        <w:spacing w:after="0" w:line="240" w:lineRule="auto"/>
        <w:ind w:left="567" w:right="567" w:firstLine="0"/>
        <w:jc w:val="both"/>
        <w:rPr>
          <w:rFonts w:ascii="Book Antiqua" w:cs="Book Antiqua" w:hAnsi="Book Antiqua" w:eastAsia="Book Antiqua"/>
          <w:sz w:val="24"/>
          <w:szCs w:val="24"/>
        </w:rPr>
      </w:pPr>
    </w:p>
    <w:p>
      <w:pPr>
        <w:pStyle w:val="Paragrafo elenco1"/>
        <w:spacing w:after="0" w:line="240" w:lineRule="auto"/>
        <w:ind w:left="567" w:right="567" w:firstLine="0"/>
        <w:jc w:val="both"/>
        <w:rPr>
          <w:rFonts w:ascii="Book Antiqua" w:cs="Book Antiqua" w:hAnsi="Book Antiqua" w:eastAsia="Book Antiqua"/>
          <w:i w:val="1"/>
          <w:iCs w:val="1"/>
          <w:sz w:val="24"/>
          <w:szCs w:val="24"/>
          <w:u w:val="single"/>
        </w:rPr>
      </w:pPr>
      <w:r>
        <w:rPr>
          <w:rFonts w:ascii="Book Antiqua"/>
          <w:i w:val="1"/>
          <w:iCs w:val="1"/>
          <w:sz w:val="24"/>
          <w:szCs w:val="24"/>
          <w:u w:val="single"/>
          <w:rtl w:val="0"/>
          <w:lang w:val="it-IT"/>
        </w:rPr>
        <w:t>Prove con traccianti (prescrizione n. 2)</w:t>
      </w:r>
    </w:p>
    <w:p>
      <w:pPr>
        <w:pStyle w:val="Normal"/>
        <w:ind w:left="567" w:right="567" w:firstLine="0"/>
        <w:jc w:val="both"/>
        <w:rPr>
          <w:rFonts w:ascii="Book Antiqua" w:cs="Book Antiqua" w:hAnsi="Book Antiqua" w:eastAsia="Book Antiqua"/>
          <w:u w:val="single"/>
        </w:rPr>
      </w:pPr>
      <w:r>
        <w:rPr>
          <w:rFonts w:ascii="Book Antiqua"/>
          <w:rtl w:val="0"/>
          <w:lang w:val="it-IT"/>
        </w:rPr>
        <w:t xml:space="preserve">Il decreto n. 43 del 2007 del commissario delegato all'emergenza ambientale nella regione Lazio prevedeva, alla lettera B punto 5, che fossero realizzate </w:t>
      </w:r>
      <w:r>
        <w:rPr>
          <w:rFonts w:hAnsi="Book Antiqua" w:hint="default"/>
          <w:rtl w:val="0"/>
          <w:lang w:val="it-IT"/>
        </w:rPr>
        <w:t>“</w:t>
      </w:r>
      <w:r>
        <w:rPr>
          <w:rFonts w:ascii="Book Antiqua"/>
          <w:rtl w:val="0"/>
          <w:lang w:val="it-IT"/>
        </w:rPr>
        <w:t>almeno quattro prove con traccianti in prossimit</w:t>
      </w:r>
      <w:r>
        <w:rPr>
          <w:rFonts w:hAnsi="Book Antiqua" w:hint="default"/>
          <w:rtl w:val="0"/>
          <w:lang w:val="it-IT"/>
        </w:rPr>
        <w:t xml:space="preserve">à </w:t>
      </w:r>
      <w:r>
        <w:rPr>
          <w:rFonts w:ascii="Book Antiqua"/>
          <w:rtl w:val="0"/>
          <w:lang w:val="it-IT"/>
        </w:rPr>
        <w:t>dei punti di prelievo interni ed esterni al polder, dove persiste nel tempo maggiore criticit</w:t>
      </w:r>
      <w:r>
        <w:rPr>
          <w:rFonts w:hAnsi="Book Antiqua" w:hint="default"/>
          <w:rtl w:val="0"/>
          <w:lang w:val="it-IT"/>
        </w:rPr>
        <w:t>à”</w:t>
      </w:r>
      <w:r>
        <w:rPr>
          <w:rFonts w:ascii="Book Antiqua"/>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Le prove furono eseguite nel mese di agosto 2009 da parte del  Centro interuniversitario di tecnologia e chimica dell</w:t>
      </w:r>
      <w:r>
        <w:rPr>
          <w:rFonts w:hAnsi="Book Antiqua" w:hint="default"/>
          <w:rtl w:val="0"/>
          <w:lang w:val="it-IT"/>
        </w:rPr>
        <w:t xml:space="preserve">’ </w:t>
      </w:r>
      <w:r>
        <w:rPr>
          <w:rFonts w:ascii="Book Antiqua"/>
          <w:rtl w:val="0"/>
          <w:lang w:val="it-IT"/>
        </w:rPr>
        <w:t>ambiente (CITCA) dell'Universit</w:t>
      </w:r>
      <w:r>
        <w:rPr>
          <w:rFonts w:hAnsi="Book Antiqua" w:hint="default"/>
          <w:rtl w:val="0"/>
          <w:lang w:val="it-IT"/>
        </w:rPr>
        <w:t xml:space="preserve">à </w:t>
      </w:r>
      <w:r>
        <w:rPr>
          <w:rFonts w:ascii="Book Antiqua"/>
          <w:rtl w:val="0"/>
          <w:lang w:val="it-IT"/>
        </w:rPr>
        <w:t>La Sapienza di Roma, su incarico della societ</w:t>
      </w:r>
      <w:r>
        <w:rPr>
          <w:rFonts w:hAnsi="Book Antiqua" w:hint="default"/>
          <w:rtl w:val="0"/>
          <w:lang w:val="it-IT"/>
        </w:rPr>
        <w:t xml:space="preserve">à </w:t>
      </w:r>
      <w:r>
        <w:rPr>
          <w:rFonts w:ascii="Book Antiqua"/>
          <w:rtl w:val="0"/>
          <w:lang w:val="it-IT"/>
        </w:rPr>
        <w:t>Giovi. Il CICTA specificatamente effettu</w:t>
      </w:r>
      <w:r>
        <w:rPr>
          <w:rFonts w:hAnsi="Book Antiqua" w:hint="default"/>
          <w:rtl w:val="0"/>
          <w:lang w:val="it-IT"/>
        </w:rPr>
        <w:t xml:space="preserve">ò </w:t>
      </w:r>
      <w:r>
        <w:rPr>
          <w:rFonts w:ascii="Book Antiqua"/>
          <w:rtl w:val="0"/>
          <w:lang w:val="it-IT"/>
        </w:rPr>
        <w:t>una prova di tracciamento con cloruro di litio all</w:t>
      </w:r>
      <w:r>
        <w:rPr>
          <w:rFonts w:hAnsi="Book Antiqua" w:hint="default"/>
          <w:rtl w:val="0"/>
          <w:lang w:val="it-IT"/>
        </w:rPr>
        <w:t>’</w:t>
      </w:r>
      <w:r>
        <w:rPr>
          <w:rFonts w:ascii="Book Antiqua"/>
          <w:rtl w:val="0"/>
          <w:lang w:val="it-IT"/>
        </w:rPr>
        <w:t>interno dei piezometri V1,V2, V3 e V8. La prova consisteva nell</w:t>
      </w:r>
      <w:r>
        <w:rPr>
          <w:rFonts w:hAnsi="Book Antiqua" w:hint="default"/>
          <w:rtl w:val="0"/>
          <w:lang w:val="it-IT"/>
        </w:rPr>
        <w:t>’</w:t>
      </w:r>
      <w:r>
        <w:rPr>
          <w:rFonts w:ascii="Book Antiqua"/>
          <w:rtl w:val="0"/>
          <w:lang w:val="it-IT"/>
        </w:rPr>
        <w:t>immissione in ciascun piezometro interno, di 70 litri di soluzione ad alta concentrazione (20 Kg di LiCl) e nella misurazione delle concentrazioni degli ioni Li</w:t>
      </w:r>
      <w:r>
        <w:rPr>
          <w:rFonts w:ascii="Book Antiqua"/>
          <w:vertAlign w:val="superscript"/>
          <w:rtl w:val="0"/>
          <w:lang w:val="it-IT"/>
        </w:rPr>
        <w:t>+</w:t>
      </w:r>
      <w:r>
        <w:rPr>
          <w:rFonts w:ascii="Book Antiqua"/>
          <w:rtl w:val="0"/>
          <w:lang w:val="it-IT"/>
        </w:rPr>
        <w:t xml:space="preserve"> e Cl</w:t>
      </w:r>
      <w:r>
        <w:rPr>
          <w:rFonts w:ascii="Book Antiqua"/>
          <w:vertAlign w:val="superscript"/>
          <w:rtl w:val="0"/>
          <w:lang w:val="it-IT"/>
        </w:rPr>
        <w:t>-</w:t>
      </w:r>
      <w:r>
        <w:rPr>
          <w:rFonts w:ascii="Book Antiqua"/>
          <w:rtl w:val="0"/>
          <w:lang w:val="it-IT"/>
        </w:rPr>
        <w:t xml:space="preserve"> negli stessi piezometri interni e nei piezometri esterni posti nelle vicinanze (Z1, Z2, Z3, Z8, Z9, Z16, Z19).</w:t>
      </w:r>
    </w:p>
    <w:p>
      <w:pPr>
        <w:pStyle w:val="Normal"/>
        <w:ind w:left="567" w:right="567" w:firstLine="0"/>
        <w:jc w:val="both"/>
        <w:rPr>
          <w:rFonts w:ascii="Book Antiqua" w:cs="Book Antiqua" w:hAnsi="Book Antiqua" w:eastAsia="Book Antiqua"/>
        </w:rPr>
      </w:pPr>
      <w:r>
        <w:rPr>
          <w:rFonts w:ascii="Book Antiqua"/>
          <w:rtl w:val="0"/>
          <w:lang w:val="it-IT"/>
        </w:rPr>
        <w:t>Le analisi chimiche effettuate nei mesi successivi (4 agosto 2009 - 28 settembre 2009) evidenziarono l</w:t>
      </w:r>
      <w:r>
        <w:rPr>
          <w:rFonts w:hAnsi="Book Antiqua" w:hint="default"/>
          <w:rtl w:val="0"/>
          <w:lang w:val="it-IT"/>
        </w:rPr>
        <w:t>’</w:t>
      </w:r>
      <w:r>
        <w:rPr>
          <w:rFonts w:ascii="Book Antiqua"/>
          <w:rtl w:val="0"/>
          <w:lang w:val="it-IT"/>
        </w:rPr>
        <w:t>assenza di incrementi apprezzabili della concentrazione degli ioni Li</w:t>
      </w:r>
      <w:r>
        <w:rPr>
          <w:rFonts w:ascii="Book Antiqua"/>
          <w:vertAlign w:val="superscript"/>
          <w:rtl w:val="0"/>
          <w:lang w:val="it-IT"/>
        </w:rPr>
        <w:t>+</w:t>
      </w:r>
      <w:r>
        <w:rPr>
          <w:rFonts w:ascii="Book Antiqua"/>
          <w:rtl w:val="0"/>
          <w:lang w:val="it-IT"/>
        </w:rPr>
        <w:t xml:space="preserve"> e Cl</w:t>
      </w:r>
      <w:r>
        <w:rPr>
          <w:rFonts w:ascii="Book Antiqua"/>
          <w:vertAlign w:val="superscript"/>
          <w:rtl w:val="0"/>
          <w:lang w:val="it-IT"/>
        </w:rPr>
        <w:t>-</w:t>
      </w:r>
      <w:r>
        <w:rPr>
          <w:rFonts w:ascii="Book Antiqua"/>
          <w:rtl w:val="0"/>
          <w:lang w:val="it-IT"/>
        </w:rPr>
        <w:t xml:space="preserve"> nei piezometri esterni. Tale risultato fu successivamente confermato anche dalle misurazioni effettuate in data 26 novembre 2010. Le prove con traccianti verificarono l</w:t>
      </w:r>
      <w:r>
        <w:rPr>
          <w:rFonts w:hAnsi="Book Antiqua" w:hint="default"/>
          <w:rtl w:val="0"/>
          <w:lang w:val="it-IT"/>
        </w:rPr>
        <w:t>’</w:t>
      </w:r>
      <w:r>
        <w:rPr>
          <w:rFonts w:ascii="Book Antiqua"/>
          <w:rtl w:val="0"/>
          <w:lang w:val="it-IT"/>
        </w:rPr>
        <w:t xml:space="preserve">assenza di vie preferenziali di migrazione dei contaminanti in uscita dal </w:t>
      </w:r>
      <w:r>
        <w:rPr>
          <w:rFonts w:ascii="Book Antiqua"/>
          <w:i w:val="1"/>
          <w:iCs w:val="1"/>
          <w:rtl w:val="0"/>
          <w:lang w:val="it-IT"/>
        </w:rPr>
        <w:t>polder</w:t>
      </w:r>
      <w:r>
        <w:rPr>
          <w:rFonts w:ascii="Book Antiqua"/>
          <w:rtl w:val="0"/>
          <w:lang w:val="it-IT"/>
        </w:rPr>
        <w:t xml:space="preserve"> su scale temporali di circa un anno, tuttavia non escludendolo su scale temporali maggiori.</w:t>
      </w:r>
    </w:p>
    <w:p>
      <w:pPr>
        <w:pStyle w:val="Normal"/>
        <w:ind w:left="567" w:right="567" w:firstLine="0"/>
        <w:jc w:val="both"/>
        <w:rPr>
          <w:rFonts w:ascii="Book Antiqua" w:cs="Book Antiqua" w:hAnsi="Book Antiqua" w:eastAsia="Book Antiqua"/>
        </w:rPr>
      </w:pPr>
      <w:r>
        <w:rPr>
          <w:rFonts w:ascii="Book Antiqua"/>
          <w:rtl w:val="0"/>
          <w:lang w:val="it-IT"/>
        </w:rPr>
        <w:t xml:space="preserve">Dunque secondo il Politecnico, la richiesta contenuta nell'ordinanza n. 255/2010 di effettuare le prove di tracciamento previste dal D.C. 43/2007 </w:t>
      </w:r>
      <w:r>
        <w:rPr>
          <w:rFonts w:hAnsi="Book Antiqua" w:hint="default"/>
          <w:rtl w:val="0"/>
          <w:lang w:val="it-IT"/>
        </w:rPr>
        <w:t xml:space="preserve">è </w:t>
      </w:r>
      <w:r>
        <w:rPr>
          <w:rFonts w:ascii="Book Antiqua"/>
          <w:rtl w:val="0"/>
          <w:lang w:val="it-IT"/>
        </w:rPr>
        <w:t>da considerarsi appropriata poich</w:t>
      </w:r>
      <w:r>
        <w:rPr>
          <w:rFonts w:hAnsi="Book Antiqua" w:hint="default"/>
          <w:rtl w:val="0"/>
          <w:lang w:val="it-IT"/>
        </w:rPr>
        <w:t xml:space="preserve">é </w:t>
      </w:r>
      <w:r>
        <w:rPr>
          <w:rFonts w:ascii="Book Antiqua"/>
          <w:rtl w:val="0"/>
          <w:lang w:val="it-IT"/>
        </w:rPr>
        <w:t>all</w:t>
      </w:r>
      <w:r>
        <w:rPr>
          <w:rFonts w:hAnsi="Book Antiqua" w:hint="default"/>
          <w:rtl w:val="0"/>
          <w:lang w:val="it-IT"/>
        </w:rPr>
        <w:t>’</w:t>
      </w:r>
      <w:r>
        <w:rPr>
          <w:rFonts w:ascii="Book Antiqua"/>
          <w:rtl w:val="0"/>
          <w:lang w:val="it-IT"/>
        </w:rPr>
        <w:t>epoca dell</w:t>
      </w:r>
      <w:r>
        <w:rPr>
          <w:rFonts w:hAnsi="Book Antiqua" w:hint="default"/>
          <w:rtl w:val="0"/>
          <w:lang w:val="it-IT"/>
        </w:rPr>
        <w:t>’</w:t>
      </w:r>
      <w:r>
        <w:rPr>
          <w:rFonts w:ascii="Book Antiqua"/>
          <w:rtl w:val="0"/>
          <w:lang w:val="it-IT"/>
        </w:rPr>
        <w:t>emanazione non era stato ancora comunicato all</w:t>
      </w:r>
      <w:r>
        <w:rPr>
          <w:rFonts w:hAnsi="Book Antiqua" w:hint="default"/>
          <w:rtl w:val="0"/>
          <w:lang w:val="it-IT"/>
        </w:rPr>
        <w:t>’</w:t>
      </w:r>
      <w:r>
        <w:rPr>
          <w:rFonts w:ascii="Book Antiqua"/>
          <w:rtl w:val="0"/>
          <w:lang w:val="it-IT"/>
        </w:rPr>
        <w:t xml:space="preserve">amministrazione competente l'esito delle suddette prove. </w:t>
      </w:r>
    </w:p>
    <w:p>
      <w:pPr>
        <w:pStyle w:val="Normal"/>
        <w:ind w:left="567" w:right="567" w:firstLine="0"/>
        <w:jc w:val="both"/>
        <w:rPr>
          <w:rFonts w:ascii="Book Antiqua" w:cs="Book Antiqua" w:hAnsi="Book Antiqua" w:eastAsia="Book Antiqua"/>
          <w:u w:val="single"/>
        </w:rPr>
      </w:pPr>
    </w:p>
    <w:p>
      <w:pPr>
        <w:pStyle w:val="Normal"/>
        <w:ind w:right="567" w:firstLine="567"/>
        <w:jc w:val="both"/>
        <w:rPr>
          <w:rFonts w:ascii="Book Antiqua" w:cs="Book Antiqua" w:hAnsi="Book Antiqua" w:eastAsia="Book Antiqua"/>
          <w:i w:val="1"/>
          <w:iCs w:val="1"/>
          <w:u w:val="single"/>
        </w:rPr>
      </w:pPr>
      <w:r>
        <w:rPr>
          <w:rFonts w:ascii="Book Antiqua"/>
          <w:i w:val="1"/>
          <w:iCs w:val="1"/>
          <w:u w:val="single"/>
          <w:rtl w:val="0"/>
          <w:lang w:val="it-IT"/>
        </w:rPr>
        <w:t xml:space="preserve">Monitoraggio delle azioni di messa in sicurezza (prescrizione n. 3) </w:t>
      </w:r>
    </w:p>
    <w:p>
      <w:pPr>
        <w:pStyle w:val="Normal"/>
        <w:ind w:left="567" w:right="567" w:firstLine="0"/>
        <w:jc w:val="both"/>
        <w:rPr>
          <w:rFonts w:ascii="Book Antiqua" w:cs="Book Antiqua" w:hAnsi="Book Antiqua" w:eastAsia="Book Antiqua"/>
        </w:rPr>
      </w:pPr>
      <w:r>
        <w:rPr>
          <w:rFonts w:ascii="Book Antiqua"/>
          <w:rtl w:val="0"/>
          <w:lang w:val="it-IT"/>
        </w:rPr>
        <w:t>La prescrizione n. 3 contenuta nell</w:t>
      </w:r>
      <w:r>
        <w:rPr>
          <w:rFonts w:hAnsi="Book Antiqua" w:hint="default"/>
          <w:rtl w:val="0"/>
          <w:lang w:val="it-IT"/>
        </w:rPr>
        <w:t>’</w:t>
      </w:r>
      <w:r>
        <w:rPr>
          <w:rFonts w:ascii="Book Antiqua"/>
          <w:rtl w:val="0"/>
          <w:lang w:val="it-IT"/>
        </w:rPr>
        <w:t xml:space="preserve">ordinanza sindacale prevedeva un terzo intervento: </w:t>
      </w:r>
      <w:r>
        <w:rPr>
          <w:rFonts w:hAnsi="Book Antiqua" w:hint="default"/>
          <w:rtl w:val="0"/>
          <w:lang w:val="it-IT"/>
        </w:rPr>
        <w:t>“</w:t>
      </w:r>
      <w:r>
        <w:rPr>
          <w:rFonts w:ascii="Book Antiqua"/>
          <w:rtl w:val="0"/>
          <w:lang w:val="it-IT"/>
        </w:rPr>
        <w:t>monitorare gli effetti delle azioni di messa in sicurezza, con rilievi sull</w:t>
      </w:r>
      <w:r>
        <w:rPr>
          <w:rFonts w:hAnsi="Book Antiqua" w:hint="default"/>
          <w:rtl w:val="0"/>
          <w:lang w:val="it-IT"/>
        </w:rPr>
        <w:t>’</w:t>
      </w:r>
      <w:r>
        <w:rPr>
          <w:rFonts w:ascii="Book Antiqua"/>
          <w:rtl w:val="0"/>
          <w:lang w:val="it-IT"/>
        </w:rPr>
        <w:t>intera rete di piezometri/pozzi di monitoraggio esistenti, allo scopo di verificare l</w:t>
      </w:r>
      <w:r>
        <w:rPr>
          <w:rFonts w:hAnsi="Book Antiqua" w:hint="default"/>
          <w:rtl w:val="0"/>
          <w:lang w:val="it-IT"/>
        </w:rPr>
        <w:t>’</w:t>
      </w:r>
      <w:r>
        <w:rPr>
          <w:rFonts w:ascii="Book Antiqua"/>
          <w:rtl w:val="0"/>
          <w:lang w:val="it-IT"/>
        </w:rPr>
        <w:t xml:space="preserve">efficacia delle azioni poste in essere, che devono comprendere: </w:t>
      </w:r>
    </w:p>
    <w:p>
      <w:pPr>
        <w:pStyle w:val="Paragrafo elenco1"/>
        <w:numPr>
          <w:ilvl w:val="0"/>
          <w:numId w:val="118"/>
        </w:numPr>
        <w:tabs>
          <w:tab w:val="num" w:pos="1388"/>
          <w:tab w:val="clear" w:pos="1418"/>
        </w:tabs>
        <w:bidi w:val="0"/>
        <w:spacing w:after="0" w:line="240" w:lineRule="auto"/>
        <w:ind w:left="1388" w:right="567" w:hanging="330"/>
        <w:jc w:val="both"/>
        <w:rPr>
          <w:rFonts w:ascii="Book Antiqua" w:cs="Book Antiqua" w:hAnsi="Book Antiqua" w:eastAsia="Book Antiqua"/>
          <w:position w:val="0"/>
          <w:sz w:val="24"/>
          <w:szCs w:val="24"/>
          <w:rtl w:val="0"/>
        </w:rPr>
      </w:pPr>
      <w:r>
        <w:rPr>
          <w:rFonts w:ascii="Book Antiqua"/>
          <w:sz w:val="24"/>
          <w:szCs w:val="24"/>
          <w:rtl w:val="0"/>
          <w:lang w:val="it-IT"/>
        </w:rPr>
        <w:t>misura dei livelli piezometrici ed eventuali spessori di fase separata LNPL o DNPL;</w:t>
      </w:r>
    </w:p>
    <w:p>
      <w:pPr>
        <w:pStyle w:val="Paragrafo elenco1"/>
        <w:numPr>
          <w:ilvl w:val="0"/>
          <w:numId w:val="118"/>
        </w:numPr>
        <w:tabs>
          <w:tab w:val="num" w:pos="1388"/>
          <w:tab w:val="clear" w:pos="1418"/>
        </w:tabs>
        <w:bidi w:val="0"/>
        <w:spacing w:after="0" w:line="240" w:lineRule="auto"/>
        <w:ind w:left="1388" w:right="567" w:hanging="330"/>
        <w:jc w:val="both"/>
        <w:rPr>
          <w:rFonts w:ascii="Book Antiqua" w:cs="Book Antiqua" w:hAnsi="Book Antiqua" w:eastAsia="Book Antiqua"/>
          <w:position w:val="0"/>
          <w:sz w:val="24"/>
          <w:szCs w:val="24"/>
          <w:rtl w:val="0"/>
        </w:rPr>
      </w:pPr>
      <w:r>
        <w:rPr>
          <w:rFonts w:ascii="Book Antiqua"/>
          <w:sz w:val="24"/>
          <w:szCs w:val="24"/>
          <w:rtl w:val="0"/>
          <w:lang w:val="it-IT"/>
        </w:rPr>
        <w:t>esecuzione di mirati e significativi campionamenti ed analisi assicurando che le metodiche analitiche utilizzate siano le stesse di quelle adottate da ARPA Lazio in modo da rendere confrontabili i risultati analitici con quelli dell</w:t>
      </w:r>
      <w:r>
        <w:rPr>
          <w:rFonts w:hAnsi="Book Antiqua" w:hint="default"/>
          <w:sz w:val="24"/>
          <w:szCs w:val="24"/>
          <w:rtl w:val="0"/>
          <w:lang w:val="it-IT"/>
        </w:rPr>
        <w:t>’</w:t>
      </w:r>
      <w:r>
        <w:rPr>
          <w:rFonts w:ascii="Book Antiqua"/>
          <w:sz w:val="24"/>
          <w:szCs w:val="24"/>
          <w:rtl w:val="0"/>
          <w:lang w:val="it-IT"/>
        </w:rPr>
        <w:t>ente di controllo;</w:t>
      </w:r>
    </w:p>
    <w:p>
      <w:pPr>
        <w:pStyle w:val="Paragrafo elenco1"/>
        <w:numPr>
          <w:ilvl w:val="0"/>
          <w:numId w:val="118"/>
        </w:numPr>
        <w:tabs>
          <w:tab w:val="num" w:pos="1388"/>
          <w:tab w:val="clear" w:pos="1418"/>
        </w:tabs>
        <w:bidi w:val="0"/>
        <w:spacing w:after="0" w:line="240" w:lineRule="auto"/>
        <w:ind w:left="1388" w:right="567" w:hanging="330"/>
        <w:jc w:val="both"/>
        <w:rPr>
          <w:rFonts w:ascii="Book Antiqua" w:cs="Book Antiqua" w:hAnsi="Book Antiqua" w:eastAsia="Book Antiqua"/>
          <w:position w:val="0"/>
          <w:sz w:val="24"/>
          <w:szCs w:val="24"/>
          <w:rtl w:val="0"/>
        </w:rPr>
      </w:pPr>
      <w:r>
        <w:rPr>
          <w:rFonts w:ascii="Book Antiqua"/>
          <w:sz w:val="24"/>
          <w:szCs w:val="24"/>
          <w:rtl w:val="0"/>
          <w:lang w:val="it-IT"/>
        </w:rPr>
        <w:t>rilevazione di campo con sonde multiparametriche delle principali caratteristiche chimico fisiche delle acque (ph, conducibilit</w:t>
      </w:r>
      <w:r>
        <w:rPr>
          <w:rFonts w:hAnsi="Book Antiqua" w:hint="default"/>
          <w:sz w:val="24"/>
          <w:szCs w:val="24"/>
          <w:rtl w:val="0"/>
          <w:lang w:val="it-IT"/>
        </w:rPr>
        <w:t>à</w:t>
      </w:r>
      <w:r>
        <w:rPr>
          <w:rFonts w:ascii="Book Antiqua"/>
          <w:sz w:val="24"/>
          <w:szCs w:val="24"/>
          <w:rtl w:val="0"/>
          <w:lang w:val="it-IT"/>
        </w:rPr>
        <w:t xml:space="preserve">, ossigeno disciolto, etc) </w:t>
      </w:r>
      <w:r>
        <w:rPr>
          <w:rFonts w:hAnsi="Book Antiqua" w:hint="default"/>
          <w:sz w:val="24"/>
          <w:szCs w:val="24"/>
          <w:rtl w:val="0"/>
          <w:lang w:val="it-IT"/>
        </w:rPr>
        <w:t>”</w:t>
      </w:r>
      <w:r>
        <w:rPr>
          <w:rFonts w:ascii="Book Antiqua"/>
          <w:sz w:val="24"/>
          <w:szCs w:val="24"/>
          <w:rtl w:val="0"/>
          <w:lang w:val="it-IT"/>
        </w:rPr>
        <w:t>.</w:t>
      </w:r>
    </w:p>
    <w:p>
      <w:pPr>
        <w:pStyle w:val="Normal"/>
        <w:ind w:left="1418" w:right="567" w:firstLine="0"/>
        <w:jc w:val="both"/>
        <w:rPr>
          <w:rFonts w:ascii="Book Antiqua" w:cs="Book Antiqua" w:hAnsi="Book Antiqua" w:eastAsia="Book Antiqua"/>
        </w:rPr>
      </w:pPr>
      <w:r>
        <w:rPr>
          <w:rFonts w:ascii="Book Antiqua"/>
          <w:rtl w:val="0"/>
          <w:lang w:val="it-IT"/>
        </w:rPr>
        <w:t>Anche in questo caso, il Politecnico ritiene che la prescrizione risulti adeguata ai fini di tutela della risorsa idrica sotterranea e della salute pubblica espressi nell</w:t>
      </w:r>
      <w:r>
        <w:rPr>
          <w:rFonts w:hAnsi="Book Antiqua" w:hint="default"/>
          <w:rtl w:val="0"/>
          <w:lang w:val="it-IT"/>
        </w:rPr>
        <w:t>’</w:t>
      </w:r>
      <w:r>
        <w:rPr>
          <w:rFonts w:ascii="Book Antiqua"/>
          <w:rtl w:val="0"/>
          <w:lang w:val="it-IT"/>
        </w:rPr>
        <w:t>ordinanza.</w:t>
      </w:r>
    </w:p>
    <w:p>
      <w:pPr>
        <w:pStyle w:val="Normal"/>
        <w:ind w:left="567" w:right="567" w:firstLine="0"/>
        <w:jc w:val="both"/>
        <w:rPr>
          <w:rFonts w:ascii="Book Antiqua" w:cs="Book Antiqua" w:hAnsi="Book Antiqua" w:eastAsia="Book Antiqua"/>
        </w:rPr>
      </w:pPr>
      <w:r>
        <w:rPr>
          <w:rFonts w:ascii="Book Antiqua"/>
          <w:rtl w:val="0"/>
          <w:lang w:val="it-IT"/>
        </w:rPr>
        <w:t xml:space="preserve">Nello specifico, i verificatori spiegano che misurare i livelli piezometrici </w:t>
      </w:r>
      <w:r>
        <w:rPr>
          <w:rFonts w:hAnsi="Book Antiqua" w:hint="default"/>
          <w:rtl w:val="0"/>
          <w:lang w:val="it-IT"/>
        </w:rPr>
        <w:t xml:space="preserve">è </w:t>
      </w:r>
      <w:r>
        <w:rPr>
          <w:rFonts w:ascii="Book Antiqua"/>
          <w:rtl w:val="0"/>
          <w:lang w:val="it-IT"/>
        </w:rPr>
        <w:t>essenziale per la verifica sull</w:t>
      </w:r>
      <w:r>
        <w:rPr>
          <w:rFonts w:hAnsi="Book Antiqua" w:hint="default"/>
          <w:rtl w:val="0"/>
          <w:lang w:val="it-IT"/>
        </w:rPr>
        <w:t>’</w:t>
      </w:r>
      <w:r>
        <w:rPr>
          <w:rFonts w:ascii="Book Antiqua"/>
          <w:rtl w:val="0"/>
          <w:lang w:val="it-IT"/>
        </w:rPr>
        <w:t>efficacia degli interventi di emungimento proposti. Quanto ai  campionamenti ed analisi effettuati con sonda multiparametrica sono ritenuti utili per verificare l</w:t>
      </w:r>
      <w:r>
        <w:rPr>
          <w:rFonts w:hAnsi="Book Antiqua" w:hint="default"/>
          <w:rtl w:val="0"/>
          <w:lang w:val="it-IT"/>
        </w:rPr>
        <w:t>’</w:t>
      </w:r>
      <w:r>
        <w:rPr>
          <w:rFonts w:ascii="Book Antiqua"/>
          <w:rtl w:val="0"/>
          <w:lang w:val="it-IT"/>
        </w:rPr>
        <w:t>efficacia della barriera idraulica nel contenere i contaminanti all</w:t>
      </w:r>
      <w:r>
        <w:rPr>
          <w:rFonts w:hAnsi="Book Antiqua" w:hint="default"/>
          <w:rtl w:val="0"/>
          <w:lang w:val="it-IT"/>
        </w:rPr>
        <w:t>’</w:t>
      </w:r>
      <w:r>
        <w:rPr>
          <w:rFonts w:ascii="Book Antiqua"/>
          <w:rtl w:val="0"/>
          <w:lang w:val="it-IT"/>
        </w:rPr>
        <w:t>interno dell</w:t>
      </w:r>
      <w:r>
        <w:rPr>
          <w:rFonts w:hAnsi="Book Antiqua" w:hint="default"/>
          <w:rtl w:val="0"/>
          <w:lang w:val="it-IT"/>
        </w:rPr>
        <w:t>’</w:t>
      </w:r>
      <w:r>
        <w:rPr>
          <w:rFonts w:ascii="Book Antiqua"/>
          <w:rtl w:val="0"/>
          <w:lang w:val="it-IT"/>
        </w:rPr>
        <w:t xml:space="preserve">area delimitata dal diaframma. La misura di LNAPL o DNAPL </w:t>
      </w:r>
      <w:r>
        <w:rPr>
          <w:rFonts w:hAnsi="Book Antiqua" w:hint="default"/>
          <w:rtl w:val="0"/>
          <w:lang w:val="it-IT"/>
        </w:rPr>
        <w:t xml:space="preserve">è </w:t>
      </w:r>
      <w:r>
        <w:rPr>
          <w:rFonts w:ascii="Book Antiqua"/>
          <w:rtl w:val="0"/>
          <w:lang w:val="it-IT"/>
        </w:rPr>
        <w:t>giustificata dall</w:t>
      </w:r>
      <w:r>
        <w:rPr>
          <w:rFonts w:hAnsi="Book Antiqua" w:hint="default"/>
          <w:rtl w:val="0"/>
          <w:lang w:val="it-IT"/>
        </w:rPr>
        <w:t>’</w:t>
      </w:r>
      <w:r>
        <w:rPr>
          <w:rFonts w:ascii="Book Antiqua"/>
          <w:rtl w:val="0"/>
          <w:lang w:val="it-IT"/>
        </w:rPr>
        <w:t>aver riscontrato concentrazioni al di sopra delle CSC di tali composti nei piezometri di monitoraggio della discarica.</w:t>
      </w:r>
    </w:p>
    <w:p>
      <w:pPr>
        <w:pStyle w:val="Normal"/>
        <w:ind w:left="567" w:right="567" w:firstLine="0"/>
        <w:jc w:val="both"/>
        <w:rPr>
          <w:rFonts w:ascii="Book Antiqua" w:cs="Book Antiqua" w:hAnsi="Book Antiqua" w:eastAsia="Book Antiqua"/>
          <w:u w:val="single"/>
        </w:rPr>
      </w:pPr>
    </w:p>
    <w:p>
      <w:pPr>
        <w:pStyle w:val="Paragrafo elenco1"/>
        <w:spacing w:after="0" w:line="240" w:lineRule="auto"/>
        <w:ind w:left="567" w:right="567" w:firstLine="0"/>
        <w:jc w:val="both"/>
        <w:rPr>
          <w:rFonts w:ascii="Book Antiqua" w:cs="Book Antiqua" w:hAnsi="Book Antiqua" w:eastAsia="Book Antiqua"/>
          <w:i w:val="1"/>
          <w:iCs w:val="1"/>
          <w:sz w:val="24"/>
          <w:szCs w:val="24"/>
          <w:u w:val="single"/>
        </w:rPr>
      </w:pPr>
      <w:r>
        <w:rPr>
          <w:rFonts w:ascii="Book Antiqua"/>
          <w:i w:val="1"/>
          <w:iCs w:val="1"/>
          <w:sz w:val="24"/>
          <w:szCs w:val="24"/>
          <w:u w:val="single"/>
          <w:rtl w:val="0"/>
          <w:lang w:val="it-IT"/>
        </w:rPr>
        <w:t>Eventuale integrazione della rete di monitoraggio (prescrizione n. 4)</w:t>
      </w:r>
    </w:p>
    <w:p>
      <w:pPr>
        <w:pStyle w:val="Normal"/>
        <w:ind w:left="567" w:right="567" w:firstLine="0"/>
        <w:jc w:val="both"/>
        <w:rPr>
          <w:rFonts w:ascii="Book Antiqua" w:cs="Book Antiqua" w:hAnsi="Book Antiqua" w:eastAsia="Book Antiqua"/>
        </w:rPr>
      </w:pPr>
      <w:r>
        <w:rPr>
          <w:rFonts w:ascii="Book Antiqua"/>
          <w:rtl w:val="0"/>
          <w:lang w:val="it-IT"/>
        </w:rPr>
        <w:t>Il quarto intervento richiesto dall</w:t>
      </w:r>
      <w:r>
        <w:rPr>
          <w:rFonts w:hAnsi="Book Antiqua" w:hint="default"/>
          <w:rtl w:val="0"/>
          <w:lang w:val="it-IT"/>
        </w:rPr>
        <w:t>’</w:t>
      </w:r>
      <w:r>
        <w:rPr>
          <w:rFonts w:ascii="Book Antiqua"/>
          <w:rtl w:val="0"/>
          <w:lang w:val="it-IT"/>
        </w:rPr>
        <w:t>ordinanza consisteva in una eventuale integrazione della rete di monitoraggio, qualora quella esistente non fosse stata sufficiente. Come gi</w:t>
      </w:r>
      <w:r>
        <w:rPr>
          <w:rFonts w:hAnsi="Book Antiqua" w:hint="default"/>
          <w:rtl w:val="0"/>
          <w:lang w:val="it-IT"/>
        </w:rPr>
        <w:t xml:space="preserve">à </w:t>
      </w:r>
      <w:r>
        <w:rPr>
          <w:rFonts w:ascii="Book Antiqua"/>
          <w:rtl w:val="0"/>
          <w:lang w:val="it-IT"/>
        </w:rPr>
        <w:t>detto, la rete di monitoraggio piezometrico esistente attualmente nell</w:t>
      </w:r>
      <w:r>
        <w:rPr>
          <w:rFonts w:hAnsi="Book Antiqua" w:hint="default"/>
          <w:rtl w:val="0"/>
          <w:lang w:val="it-IT"/>
        </w:rPr>
        <w:t>’</w:t>
      </w:r>
      <w:r>
        <w:rPr>
          <w:rFonts w:ascii="Book Antiqua"/>
          <w:rtl w:val="0"/>
          <w:lang w:val="it-IT"/>
        </w:rPr>
        <w:t>area di propriet</w:t>
      </w:r>
      <w:r>
        <w:rPr>
          <w:rFonts w:hAnsi="Book Antiqua" w:hint="default"/>
          <w:rtl w:val="0"/>
          <w:lang w:val="it-IT"/>
        </w:rPr>
        <w:t xml:space="preserve">à </w:t>
      </w:r>
      <w:r>
        <w:rPr>
          <w:rFonts w:ascii="Book Antiqua"/>
          <w:rtl w:val="0"/>
          <w:lang w:val="it-IT"/>
        </w:rPr>
        <w:t xml:space="preserve">E. Giovi </w:t>
      </w:r>
      <w:r>
        <w:rPr>
          <w:rFonts w:hAnsi="Book Antiqua" w:hint="default"/>
          <w:rtl w:val="0"/>
          <w:lang w:val="it-IT"/>
        </w:rPr>
        <w:t xml:space="preserve">è </w:t>
      </w:r>
      <w:r>
        <w:rPr>
          <w:rFonts w:ascii="Book Antiqua"/>
          <w:rtl w:val="0"/>
          <w:lang w:val="it-IT"/>
        </w:rPr>
        <w:t>formata da 39 piezometri, dei quali 9 interni al polder  ( V1, V2, V3, V4,V7,V8, V15, NP8, NP9),  e 30 esterni (Z1, Z2, Z3, Z4, Z5, Z6, Z7, Z8, Z9, Z10, Z11, Z12, Z13, Z14, Z15, Z16, Z17, Z18, Z19, Z20, Z21, Z22, Z23, NP1, NP2, NP3, NP4, NP5, NP6, NP7 ).</w:t>
      </w:r>
    </w:p>
    <w:p>
      <w:pPr>
        <w:pStyle w:val="Normal"/>
        <w:ind w:left="567" w:right="567" w:firstLine="0"/>
        <w:jc w:val="both"/>
        <w:rPr>
          <w:rFonts w:ascii="Book Antiqua" w:cs="Book Antiqua" w:hAnsi="Book Antiqua" w:eastAsia="Book Antiqua"/>
        </w:rPr>
      </w:pPr>
      <w:r>
        <w:rPr>
          <w:rFonts w:ascii="Book Antiqua"/>
          <w:rtl w:val="0"/>
          <w:lang w:val="it-IT"/>
        </w:rPr>
        <w:t>Secondo il Collegio dei verificatori, il monitoraggio dei livelli piezometrici nei soli pozzi di emungimento da realizzare per l</w:t>
      </w:r>
      <w:r>
        <w:rPr>
          <w:rFonts w:hAnsi="Book Antiqua" w:hint="default"/>
          <w:rtl w:val="0"/>
          <w:lang w:val="it-IT"/>
        </w:rPr>
        <w:t>’</w:t>
      </w:r>
      <w:r>
        <w:rPr>
          <w:rFonts w:ascii="Book Antiqua"/>
          <w:rtl w:val="0"/>
          <w:lang w:val="it-IT"/>
        </w:rPr>
        <w:t xml:space="preserve">inversione dei livelli piezometrici non </w:t>
      </w:r>
      <w:r>
        <w:rPr>
          <w:rFonts w:hAnsi="Book Antiqua" w:hint="default"/>
          <w:rtl w:val="0"/>
          <w:lang w:val="it-IT"/>
        </w:rPr>
        <w:t xml:space="preserve">è </w:t>
      </w:r>
      <w:r>
        <w:rPr>
          <w:rFonts w:ascii="Book Antiqua"/>
          <w:rtl w:val="0"/>
          <w:lang w:val="it-IT"/>
        </w:rPr>
        <w:t xml:space="preserve">sufficiente per fornire un quadro rappresentativo della decrescita del battente idrico nel </w:t>
      </w:r>
      <w:r>
        <w:rPr>
          <w:rFonts w:ascii="Book Antiqua"/>
          <w:i w:val="1"/>
          <w:iCs w:val="1"/>
          <w:rtl w:val="0"/>
          <w:lang w:val="it-IT"/>
        </w:rPr>
        <w:t>polder</w:t>
      </w:r>
      <w:r>
        <w:rPr>
          <w:rFonts w:ascii="Book Antiqua"/>
          <w:rtl w:val="0"/>
          <w:lang w:val="it-IT"/>
        </w:rPr>
        <w:t xml:space="preserve"> e dunque viene ritenuto necessario integrare adeguatamente la rete di monitoraggio piezometrico.</w:t>
      </w:r>
    </w:p>
    <w:p>
      <w:pPr>
        <w:pStyle w:val="Normal"/>
        <w:ind w:left="567" w:right="567" w:firstLine="0"/>
        <w:jc w:val="both"/>
        <w:rPr>
          <w:rFonts w:ascii="Book Antiqua" w:cs="Book Antiqua" w:hAnsi="Book Antiqua" w:eastAsia="Book Antiqua"/>
        </w:rPr>
      </w:pPr>
      <w:r>
        <w:rPr>
          <w:rFonts w:ascii="Book Antiqua"/>
          <w:rtl w:val="0"/>
          <w:lang w:val="it-IT"/>
        </w:rPr>
        <w:t xml:space="preserve">Quindi, in conclusione, la prescrizione </w:t>
      </w:r>
      <w:r>
        <w:rPr>
          <w:rFonts w:hAnsi="Book Antiqua" w:hint="default"/>
          <w:rtl w:val="0"/>
          <w:lang w:val="it-IT"/>
        </w:rPr>
        <w:t xml:space="preserve">è </w:t>
      </w:r>
      <w:r>
        <w:rPr>
          <w:rFonts w:ascii="Book Antiqua"/>
          <w:rtl w:val="0"/>
          <w:lang w:val="it-IT"/>
        </w:rPr>
        <w:t>idonea ai fini di tutela della salute pubblica alla base dell</w:t>
      </w:r>
      <w:r>
        <w:rPr>
          <w:rFonts w:hAnsi="Book Antiqua" w:hint="default"/>
          <w:rtl w:val="0"/>
          <w:lang w:val="it-IT"/>
        </w:rPr>
        <w:t>’</w:t>
      </w:r>
      <w:r>
        <w:rPr>
          <w:rFonts w:ascii="Book Antiqua"/>
          <w:rtl w:val="0"/>
          <w:lang w:val="it-IT"/>
        </w:rPr>
        <w:t>emanazione dell</w:t>
      </w:r>
      <w:r>
        <w:rPr>
          <w:rFonts w:hAnsi="Book Antiqua" w:hint="default"/>
          <w:rtl w:val="0"/>
          <w:lang w:val="it-IT"/>
        </w:rPr>
        <w:t>’</w:t>
      </w:r>
      <w:r>
        <w:rPr>
          <w:rFonts w:ascii="Book Antiqua"/>
          <w:rtl w:val="0"/>
          <w:lang w:val="it-IT"/>
        </w:rPr>
        <w:t>ordinanza 255/2010.</w:t>
      </w:r>
    </w:p>
    <w:p>
      <w:pPr>
        <w:pStyle w:val="Normal"/>
        <w:ind w:left="567" w:right="567" w:firstLine="0"/>
        <w:jc w:val="both"/>
        <w:rPr>
          <w:rFonts w:ascii="Book Antiqua" w:cs="Book Antiqua" w:hAnsi="Book Antiqua" w:eastAsia="Book Antiqua"/>
          <w:u w:val="single"/>
        </w:rPr>
      </w:pPr>
    </w:p>
    <w:p>
      <w:pPr>
        <w:pStyle w:val="Normal"/>
        <w:ind w:right="567" w:firstLine="567"/>
        <w:jc w:val="both"/>
        <w:rPr>
          <w:rFonts w:ascii="Book Antiqua" w:cs="Book Antiqua" w:hAnsi="Book Antiqua" w:eastAsia="Book Antiqua"/>
          <w:u w:val="single"/>
        </w:rPr>
      </w:pPr>
      <w:r>
        <w:rPr>
          <w:rFonts w:ascii="Book Antiqua"/>
          <w:i w:val="1"/>
          <w:iCs w:val="1"/>
          <w:u w:val="single"/>
          <w:rtl w:val="0"/>
          <w:lang w:val="it-IT"/>
        </w:rPr>
        <w:t>Comunicazione dei risultati del monitoraggio (prescrizioni nn. 5, 6 e 8)</w:t>
      </w:r>
    </w:p>
    <w:p>
      <w:pPr>
        <w:pStyle w:val="Normal"/>
        <w:ind w:left="567" w:right="567" w:firstLine="0"/>
        <w:jc w:val="both"/>
        <w:rPr>
          <w:rFonts w:ascii="Book Antiqua" w:cs="Book Antiqua" w:hAnsi="Book Antiqua" w:eastAsia="Book Antiqua"/>
          <w:i w:val="1"/>
          <w:iCs w:val="1"/>
        </w:rPr>
      </w:pPr>
      <w:r>
        <w:rPr>
          <w:rFonts w:ascii="Book Antiqua"/>
          <w:rtl w:val="0"/>
          <w:lang w:val="it-IT"/>
        </w:rPr>
        <w:t>L</w:t>
      </w:r>
      <w:r>
        <w:rPr>
          <w:rFonts w:hAnsi="Book Antiqua" w:hint="default"/>
          <w:rtl w:val="0"/>
          <w:lang w:val="it-IT"/>
        </w:rPr>
        <w:t>’</w:t>
      </w:r>
      <w:r>
        <w:rPr>
          <w:rFonts w:ascii="Book Antiqua"/>
          <w:rtl w:val="0"/>
          <w:lang w:val="it-IT"/>
        </w:rPr>
        <w:t xml:space="preserve">ordinanza  sindacale prescriveva di </w:t>
      </w:r>
      <w:r>
        <w:rPr>
          <w:rFonts w:hAnsi="Book Antiqua" w:hint="default"/>
          <w:rtl w:val="0"/>
          <w:lang w:val="it-IT"/>
        </w:rPr>
        <w:t>“</w:t>
      </w:r>
      <w:r>
        <w:rPr>
          <w:rFonts w:ascii="Book Antiqua"/>
          <w:rtl w:val="0"/>
          <w:lang w:val="it-IT"/>
        </w:rPr>
        <w:t>comunicare il programma di monitoraggio sulle predette azioni (modalit</w:t>
      </w:r>
      <w:r>
        <w:rPr>
          <w:rFonts w:hAnsi="Book Antiqua" w:hint="default"/>
          <w:rtl w:val="0"/>
          <w:lang w:val="it-IT"/>
        </w:rPr>
        <w:t xml:space="preserve">à </w:t>
      </w:r>
      <w:r>
        <w:rPr>
          <w:rFonts w:ascii="Book Antiqua"/>
          <w:rtl w:val="0"/>
          <w:lang w:val="it-IT"/>
        </w:rPr>
        <w:t>di campionamento, frequenza etc.)</w:t>
      </w:r>
      <w:r>
        <w:rPr>
          <w:rFonts w:hAnsi="Book Antiqua" w:hint="default"/>
          <w:rtl w:val="0"/>
          <w:lang w:val="it-IT"/>
        </w:rPr>
        <w:t xml:space="preserve">” </w:t>
      </w:r>
      <w:r>
        <w:rPr>
          <w:rFonts w:ascii="Book Antiqua"/>
          <w:rtl w:val="0"/>
          <w:lang w:val="it-IT"/>
        </w:rPr>
        <w:t xml:space="preserve">e di </w:t>
      </w:r>
      <w:r>
        <w:rPr>
          <w:rFonts w:hAnsi="Book Antiqua" w:hint="default"/>
          <w:rtl w:val="0"/>
          <w:lang w:val="it-IT"/>
        </w:rPr>
        <w:t>“</w:t>
      </w:r>
      <w:r>
        <w:rPr>
          <w:rFonts w:ascii="Book Antiqua"/>
          <w:rtl w:val="0"/>
          <w:lang w:val="it-IT"/>
        </w:rPr>
        <w:t>mantenere un costante flusso di informazioni con gli enti competenti adeguando le comunicazioni a quanto disposto dal deliberazione della Giunta regionale 451/2008 (modulistica linee guida regionali sulla bonifica dei siti contaminati).</w:t>
      </w:r>
      <w:r>
        <w:rPr>
          <w:rFonts w:hAnsi="Book Antiqua" w:hint="default"/>
          <w:rtl w:val="0"/>
          <w:lang w:val="it-IT"/>
        </w:rPr>
        <w:t xml:space="preserve">” </w:t>
      </w:r>
      <w:r>
        <w:rPr>
          <w:rFonts w:ascii="Book Antiqua"/>
          <w:rtl w:val="0"/>
          <w:lang w:val="it-IT"/>
        </w:rPr>
        <w:t xml:space="preserve">Veniva inoltre richiesto di: </w:t>
      </w:r>
      <w:r>
        <w:rPr>
          <w:rFonts w:hAnsi="Book Antiqua" w:hint="default"/>
          <w:rtl w:val="0"/>
          <w:lang w:val="it-IT"/>
        </w:rPr>
        <w:t>“</w:t>
      </w:r>
      <w:r>
        <w:rPr>
          <w:rFonts w:ascii="Book Antiqua"/>
          <w:rtl w:val="0"/>
          <w:lang w:val="it-IT"/>
        </w:rPr>
        <w:t>comunicare agli enti competenti eventuali ulteriori azioni aggiuntive da attivare ritenute efficaci</w:t>
      </w:r>
      <w:r>
        <w:rPr>
          <w:rFonts w:hAnsi="Book Antiqua" w:hint="default"/>
          <w:rtl w:val="0"/>
          <w:lang w:val="it-IT"/>
        </w:rPr>
        <w:t>”</w:t>
      </w:r>
      <w:r>
        <w:rPr>
          <w:rFonts w:ascii="Book Antiqua"/>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Tali prescrizioni sono ritenute idonee ai fini  della tutela della risorsa idrica sotterranea e della salute pubblica.</w:t>
      </w:r>
    </w:p>
    <w:p>
      <w:pPr>
        <w:pStyle w:val="Paragrafo elenco1"/>
        <w:spacing w:after="0" w:line="240" w:lineRule="auto"/>
        <w:ind w:left="567" w:right="567" w:firstLine="0"/>
        <w:jc w:val="both"/>
        <w:rPr>
          <w:rFonts w:ascii="Book Antiqua" w:cs="Book Antiqua" w:hAnsi="Book Antiqua" w:eastAsia="Book Antiqua"/>
          <w:sz w:val="24"/>
          <w:szCs w:val="24"/>
          <w:u w:val="single"/>
        </w:rPr>
      </w:pPr>
    </w:p>
    <w:p>
      <w:pPr>
        <w:pStyle w:val="Paragrafo elenco1"/>
        <w:spacing w:after="0" w:line="240" w:lineRule="auto"/>
        <w:ind w:left="567" w:right="567" w:firstLine="0"/>
        <w:jc w:val="both"/>
        <w:rPr>
          <w:rFonts w:ascii="Book Antiqua" w:cs="Book Antiqua" w:hAnsi="Book Antiqua" w:eastAsia="Book Antiqua"/>
          <w:i w:val="1"/>
          <w:iCs w:val="1"/>
          <w:sz w:val="24"/>
          <w:szCs w:val="24"/>
        </w:rPr>
      </w:pPr>
      <w:r>
        <w:rPr>
          <w:rFonts w:ascii="Book Antiqua"/>
          <w:i w:val="1"/>
          <w:iCs w:val="1"/>
          <w:sz w:val="24"/>
          <w:szCs w:val="24"/>
          <w:u w:val="single"/>
          <w:rtl w:val="0"/>
          <w:lang w:val="it-IT"/>
        </w:rPr>
        <w:t>Segnalazione di eventuali pozzi e/o sorgenti bersaglio (prescrizione n. 7)</w:t>
      </w:r>
    </w:p>
    <w:p>
      <w:pPr>
        <w:pStyle w:val="Normal"/>
        <w:ind w:left="567" w:right="567" w:firstLine="0"/>
        <w:jc w:val="both"/>
        <w:rPr>
          <w:rFonts w:ascii="Book Antiqua" w:cs="Book Antiqua" w:hAnsi="Book Antiqua" w:eastAsia="Book Antiqua"/>
        </w:rPr>
      </w:pPr>
      <w:r>
        <w:rPr>
          <w:rFonts w:ascii="Book Antiqua"/>
          <w:rtl w:val="0"/>
          <w:lang w:val="it-IT"/>
        </w:rPr>
        <w:t xml:space="preserve">Tale prescrizione  prevedeva di </w:t>
      </w:r>
      <w:r>
        <w:rPr>
          <w:rFonts w:hAnsi="Book Antiqua" w:hint="default"/>
          <w:rtl w:val="0"/>
          <w:lang w:val="it-IT"/>
        </w:rPr>
        <w:t>“</w:t>
      </w:r>
      <w:r>
        <w:rPr>
          <w:rFonts w:ascii="Book Antiqua"/>
          <w:rtl w:val="0"/>
          <w:lang w:val="it-IT"/>
        </w:rPr>
        <w:t>segnalare la presenza di eventuali altri pozzi e/o sorgenti bersaglio presenti in un intorno significativo del sito approssimativamente individuato, in circa 1000 metri dai confini dello stesso, anche al fine di consentire agli Enti competenti le necessarie verifiche nonch</w:t>
      </w:r>
      <w:r>
        <w:rPr>
          <w:rFonts w:hAnsi="Book Antiqua" w:hint="default"/>
          <w:rtl w:val="0"/>
          <w:lang w:val="it-IT"/>
        </w:rPr>
        <w:t xml:space="preserve">é </w:t>
      </w:r>
      <w:r>
        <w:rPr>
          <w:rFonts w:ascii="Book Antiqua"/>
          <w:rtl w:val="0"/>
          <w:lang w:val="it-IT"/>
        </w:rPr>
        <w:t xml:space="preserve">adottare i provvedimenti di competenza che dovessero essere necessari </w:t>
      </w:r>
      <w:r>
        <w:rPr>
          <w:rFonts w:hAnsi="Book Antiqua" w:hint="default"/>
          <w:rtl w:val="0"/>
          <w:lang w:val="it-IT"/>
        </w:rPr>
        <w:t>”</w:t>
      </w:r>
      <w:r>
        <w:rPr>
          <w:rFonts w:ascii="Book Antiqua"/>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Anche questa prescrizione</w:t>
      </w:r>
      <w:r>
        <w:rPr>
          <w:rFonts w:hAnsi="Book Antiqua" w:hint="default"/>
          <w:rtl w:val="0"/>
          <w:lang w:val="it-IT"/>
        </w:rPr>
        <w:t xml:space="preserve"> è </w:t>
      </w:r>
      <w:r>
        <w:rPr>
          <w:rFonts w:ascii="Book Antiqua"/>
          <w:rtl w:val="0"/>
          <w:lang w:val="it-IT"/>
        </w:rPr>
        <w:t xml:space="preserve">ritenuta dai verificatori, idonea ai fini della tutela della risorsa idrica sotterranea e della salute pubblica. </w:t>
      </w:r>
    </w:p>
    <w:p>
      <w:pPr>
        <w:pStyle w:val="Normal"/>
        <w:ind w:left="567" w:right="567" w:firstLine="0"/>
        <w:jc w:val="both"/>
        <w:rPr>
          <w:rFonts w:ascii="Book Antiqua" w:cs="Book Antiqua" w:hAnsi="Book Antiqua" w:eastAsia="Book Antiqua"/>
        </w:rPr>
      </w:pPr>
      <w:r>
        <w:rPr>
          <w:rFonts w:ascii="Book Antiqua"/>
          <w:rtl w:val="0"/>
          <w:lang w:val="it-IT"/>
        </w:rPr>
        <w:t>Viene tuttavia sottolineato che la ricognizione di eventuali pozzi e/o sorgenti bersaglio rientra nella competenza degli Enti di controllo preposti e dunque dovrebbe essere effettuata da quest</w:t>
      </w:r>
      <w:r>
        <w:rPr>
          <w:rFonts w:hAnsi="Book Antiqua" w:hint="default"/>
          <w:rtl w:val="0"/>
          <w:lang w:val="it-IT"/>
        </w:rPr>
        <w:t>’</w:t>
      </w:r>
      <w:r>
        <w:rPr>
          <w:rFonts w:ascii="Book Antiqua"/>
          <w:rtl w:val="0"/>
          <w:lang w:val="it-IT"/>
        </w:rPr>
        <w:t>ultimi.</w:t>
      </w:r>
    </w:p>
    <w:p>
      <w:pPr>
        <w:pStyle w:val="Normal"/>
        <w:ind w:left="567" w:right="567" w:firstLine="0"/>
        <w:jc w:val="both"/>
        <w:rPr>
          <w:rFonts w:ascii="Book Antiqua" w:cs="Book Antiqua" w:hAnsi="Book Antiqua" w:eastAsia="Book Antiqua"/>
          <w:u w:val="single"/>
        </w:rPr>
      </w:pPr>
    </w:p>
    <w:p>
      <w:pPr>
        <w:pStyle w:val="Normal"/>
        <w:ind w:right="567" w:firstLine="567"/>
        <w:rPr>
          <w:rFonts w:ascii="Book Antiqua" w:cs="Book Antiqua" w:hAnsi="Book Antiqua" w:eastAsia="Book Antiqua"/>
          <w:i w:val="1"/>
          <w:iCs w:val="1"/>
          <w:u w:val="single"/>
        </w:rPr>
      </w:pPr>
      <w:r>
        <w:rPr>
          <w:rFonts w:ascii="Book Antiqua"/>
          <w:i w:val="1"/>
          <w:iCs w:val="1"/>
          <w:u w:val="single"/>
          <w:rtl w:val="0"/>
          <w:lang w:val="it-IT"/>
        </w:rPr>
        <w:t>Risposte al quesito 2</w:t>
      </w:r>
    </w:p>
    <w:p>
      <w:pPr>
        <w:pStyle w:val="Normal"/>
        <w:ind w:left="567" w:right="567" w:firstLine="0"/>
        <w:jc w:val="both"/>
        <w:rPr>
          <w:rFonts w:ascii="Book Antiqua" w:cs="Book Antiqua" w:hAnsi="Book Antiqua" w:eastAsia="Book Antiqua"/>
        </w:rPr>
      </w:pPr>
      <w:r>
        <w:rPr>
          <w:rFonts w:ascii="Book Antiqua"/>
          <w:rtl w:val="0"/>
          <w:lang w:val="it-IT"/>
        </w:rPr>
        <w:t xml:space="preserve">Il secondo quesito posto ai verificatori era attinente alle </w:t>
      </w:r>
      <w:r>
        <w:rPr>
          <w:rFonts w:hAnsi="Book Antiqua" w:hint="default"/>
          <w:rtl w:val="0"/>
          <w:lang w:val="it-IT"/>
        </w:rPr>
        <w:t>“</w:t>
      </w:r>
      <w:r>
        <w:rPr>
          <w:rFonts w:ascii="Book Antiqua"/>
          <w:rtl w:val="0"/>
          <w:lang w:val="it-IT"/>
        </w:rPr>
        <w:t>Condizioni della realizzabilit</w:t>
      </w:r>
      <w:r>
        <w:rPr>
          <w:rFonts w:hAnsi="Book Antiqua" w:hint="default"/>
          <w:rtl w:val="0"/>
          <w:lang w:val="it-IT"/>
        </w:rPr>
        <w:t xml:space="preserve">à </w:t>
      </w:r>
      <w:r>
        <w:rPr>
          <w:rFonts w:ascii="Book Antiqua"/>
          <w:rtl w:val="0"/>
          <w:lang w:val="it-IT"/>
        </w:rPr>
        <w:t>degli interventi e relativa fattibilit</w:t>
      </w:r>
      <w:r>
        <w:rPr>
          <w:rFonts w:hAnsi="Book Antiqua" w:hint="default"/>
          <w:rtl w:val="0"/>
          <w:lang w:val="it-IT"/>
        </w:rPr>
        <w:t>à”</w:t>
      </w:r>
      <w:r>
        <w:rPr>
          <w:rFonts w:ascii="Book Antiqua"/>
          <w:rtl w:val="0"/>
          <w:lang w:val="it-IT"/>
        </w:rPr>
        <w:t xml:space="preserve">. </w:t>
      </w:r>
    </w:p>
    <w:p>
      <w:pPr>
        <w:pStyle w:val="Normal"/>
        <w:ind w:left="567" w:right="567" w:firstLine="0"/>
        <w:jc w:val="both"/>
        <w:rPr>
          <w:rFonts w:ascii="Book Antiqua" w:cs="Book Antiqua" w:hAnsi="Book Antiqua" w:eastAsia="Book Antiqua"/>
        </w:rPr>
      </w:pPr>
      <w:r>
        <w:rPr>
          <w:rFonts w:ascii="Book Antiqua"/>
          <w:rtl w:val="0"/>
          <w:lang w:val="it-IT"/>
        </w:rPr>
        <w:t xml:space="preserve">In merito ad esse, il collegio dei verificatori ha dichiarato che il solo punto su cui </w:t>
      </w:r>
      <w:r>
        <w:rPr>
          <w:rFonts w:hAnsi="Book Antiqua" w:hint="default"/>
          <w:rtl w:val="0"/>
          <w:lang w:val="it-IT"/>
        </w:rPr>
        <w:t xml:space="preserve">è </w:t>
      </w:r>
      <w:r>
        <w:rPr>
          <w:rFonts w:ascii="Book Antiqua"/>
          <w:rtl w:val="0"/>
          <w:lang w:val="it-IT"/>
        </w:rPr>
        <w:t>necessario un approfondimento circa la fattibilit</w:t>
      </w:r>
      <w:r>
        <w:rPr>
          <w:rFonts w:hAnsi="Book Antiqua" w:hint="default"/>
          <w:rtl w:val="0"/>
          <w:lang w:val="it-IT"/>
        </w:rPr>
        <w:t xml:space="preserve">à </w:t>
      </w:r>
      <w:r>
        <w:rPr>
          <w:rFonts w:ascii="Book Antiqua"/>
          <w:rtl w:val="0"/>
          <w:lang w:val="it-IT"/>
        </w:rPr>
        <w:t xml:space="preserve">tecnica </w:t>
      </w:r>
      <w:r>
        <w:rPr>
          <w:rFonts w:hAnsi="Book Antiqua" w:hint="default"/>
          <w:rtl w:val="0"/>
          <w:lang w:val="it-IT"/>
        </w:rPr>
        <w:t xml:space="preserve">è </w:t>
      </w:r>
      <w:r>
        <w:rPr>
          <w:rFonts w:ascii="Book Antiqua"/>
          <w:rtl w:val="0"/>
          <w:lang w:val="it-IT"/>
        </w:rPr>
        <w:t xml:space="preserve">il seguente: </w:t>
      </w:r>
    </w:p>
    <w:p>
      <w:pPr>
        <w:pStyle w:val="Normal"/>
        <w:ind w:left="567" w:right="567" w:firstLine="0"/>
        <w:jc w:val="both"/>
        <w:rPr>
          <w:rFonts w:ascii="Book Antiqua" w:cs="Book Antiqua" w:hAnsi="Book Antiqua" w:eastAsia="Book Antiqua"/>
        </w:rPr>
      </w:pPr>
      <w:r>
        <w:rPr>
          <w:rFonts w:hAnsi="Book Antiqua" w:hint="default"/>
          <w:rtl w:val="0"/>
          <w:lang w:val="it-IT"/>
        </w:rPr>
        <w:t>“</w:t>
      </w:r>
      <w:r>
        <w:rPr>
          <w:rFonts w:ascii="Book Antiqua"/>
          <w:rtl w:val="0"/>
          <w:lang w:val="it-IT"/>
        </w:rPr>
        <w:t>inversione del livello piezometrico presente all</w:t>
      </w:r>
      <w:r>
        <w:rPr>
          <w:rFonts w:hAnsi="Book Antiqua" w:hint="default"/>
          <w:rtl w:val="0"/>
          <w:lang w:val="it-IT"/>
        </w:rPr>
        <w:t>’</w:t>
      </w:r>
      <w:r>
        <w:rPr>
          <w:rFonts w:ascii="Book Antiqua"/>
          <w:rtl w:val="0"/>
          <w:lang w:val="it-IT"/>
        </w:rPr>
        <w:t>interno e all</w:t>
      </w:r>
      <w:r>
        <w:rPr>
          <w:rFonts w:hAnsi="Book Antiqua" w:hint="default"/>
          <w:rtl w:val="0"/>
          <w:lang w:val="it-IT"/>
        </w:rPr>
        <w:t>’</w:t>
      </w:r>
      <w:r>
        <w:rPr>
          <w:rFonts w:ascii="Book Antiqua"/>
          <w:rtl w:val="0"/>
          <w:lang w:val="it-IT"/>
        </w:rPr>
        <w:t xml:space="preserve">esterno del </w:t>
      </w:r>
      <w:r>
        <w:rPr>
          <w:rFonts w:ascii="Book Antiqua"/>
          <w:i w:val="1"/>
          <w:iCs w:val="1"/>
          <w:rtl w:val="0"/>
          <w:lang w:val="it-IT"/>
        </w:rPr>
        <w:t>polder</w:t>
      </w:r>
      <w:r>
        <w:rPr>
          <w:rFonts w:ascii="Book Antiqua"/>
          <w:rtl w:val="0"/>
          <w:lang w:val="it-IT"/>
        </w:rPr>
        <w:t>, attraverso l</w:t>
      </w:r>
      <w:r>
        <w:rPr>
          <w:rFonts w:hAnsi="Book Antiqua" w:hint="default"/>
          <w:rtl w:val="0"/>
          <w:lang w:val="it-IT"/>
        </w:rPr>
        <w:t>’</w:t>
      </w:r>
      <w:r>
        <w:rPr>
          <w:rFonts w:ascii="Book Antiqua"/>
          <w:rtl w:val="0"/>
          <w:lang w:val="it-IT"/>
        </w:rPr>
        <w:t xml:space="preserve">emungimento di pozzi/piezometri (dai pozzi V interni al </w:t>
      </w:r>
      <w:r>
        <w:rPr>
          <w:rFonts w:ascii="Book Antiqua"/>
          <w:i w:val="1"/>
          <w:iCs w:val="1"/>
          <w:rtl w:val="0"/>
          <w:lang w:val="it-IT"/>
        </w:rPr>
        <w:t>polder</w:t>
      </w:r>
      <w:r>
        <w:rPr>
          <w:rFonts w:ascii="Book Antiqua"/>
          <w:rtl w:val="0"/>
          <w:lang w:val="it-IT"/>
        </w:rPr>
        <w:t xml:space="preserve">, ubicati immediatamente a ridosso dello stesso) e, qualora non idonei da ulteriori pozzi appositamente trivellati, garantendo livelli minimi di differenza piezometrica tra esterno (pozzi </w:t>
      </w:r>
      <w:r>
        <w:rPr>
          <w:rFonts w:hAnsi="Book Antiqua" w:hint="default"/>
          <w:rtl w:val="0"/>
          <w:lang w:val="it-IT"/>
        </w:rPr>
        <w:t>“</w:t>
      </w:r>
      <w:r>
        <w:rPr>
          <w:rFonts w:ascii="Book Antiqua"/>
          <w:rtl w:val="0"/>
          <w:lang w:val="it-IT"/>
        </w:rPr>
        <w:t>Z</w:t>
      </w:r>
      <w:r>
        <w:rPr>
          <w:rFonts w:hAnsi="Book Antiqua" w:hint="default"/>
          <w:rtl w:val="0"/>
          <w:lang w:val="it-IT"/>
        </w:rPr>
        <w:t>”</w:t>
      </w:r>
      <w:r>
        <w:rPr>
          <w:rFonts w:ascii="Book Antiqua"/>
          <w:rtl w:val="0"/>
          <w:lang w:val="it-IT"/>
        </w:rPr>
        <w:t xml:space="preserve">) e interno </w:t>
      </w:r>
      <w:r>
        <w:rPr>
          <w:rFonts w:ascii="Book Antiqua"/>
          <w:i w:val="1"/>
          <w:iCs w:val="1"/>
          <w:rtl w:val="0"/>
          <w:lang w:val="it-IT"/>
        </w:rPr>
        <w:t>polder</w:t>
      </w:r>
      <w:r>
        <w:rPr>
          <w:rFonts w:ascii="Book Antiqua"/>
          <w:rtl w:val="0"/>
          <w:lang w:val="it-IT"/>
        </w:rPr>
        <w:t xml:space="preserve"> (pozzi </w:t>
      </w:r>
      <w:r>
        <w:rPr>
          <w:rFonts w:hAnsi="Book Antiqua" w:hint="default"/>
          <w:rtl w:val="0"/>
          <w:lang w:val="it-IT"/>
        </w:rPr>
        <w:t>“</w:t>
      </w:r>
      <w:r>
        <w:rPr>
          <w:rFonts w:ascii="Book Antiqua"/>
          <w:rtl w:val="0"/>
          <w:lang w:val="it-IT"/>
        </w:rPr>
        <w:t>V</w:t>
      </w:r>
      <w:r>
        <w:rPr>
          <w:rFonts w:hAnsi="Book Antiqua" w:hint="default"/>
          <w:rtl w:val="0"/>
          <w:lang w:val="it-IT"/>
        </w:rPr>
        <w:t xml:space="preserve">” </w:t>
      </w:r>
      <w:r>
        <w:rPr>
          <w:rFonts w:ascii="Book Antiqua"/>
          <w:rtl w:val="0"/>
          <w:lang w:val="it-IT"/>
        </w:rPr>
        <w:t xml:space="preserve">interni al </w:t>
      </w:r>
      <w:r>
        <w:rPr>
          <w:rFonts w:ascii="Book Antiqua"/>
          <w:i w:val="1"/>
          <w:iCs w:val="1"/>
          <w:rtl w:val="0"/>
          <w:lang w:val="it-IT"/>
        </w:rPr>
        <w:t>polder</w:t>
      </w:r>
      <w:r>
        <w:rPr>
          <w:rFonts w:ascii="Book Antiqua"/>
          <w:rtl w:val="0"/>
          <w:lang w:val="it-IT"/>
        </w:rPr>
        <w:t>) nonch</w:t>
      </w:r>
      <w:r>
        <w:rPr>
          <w:rFonts w:hAnsi="Book Antiqua" w:hint="default"/>
          <w:rtl w:val="0"/>
          <w:lang w:val="it-IT"/>
        </w:rPr>
        <w:t xml:space="preserve">é </w:t>
      </w:r>
      <w:r>
        <w:rPr>
          <w:rFonts w:ascii="Book Antiqua"/>
          <w:rtl w:val="0"/>
          <w:lang w:val="it-IT"/>
        </w:rPr>
        <w:t>provvedere al trattamento delle acque emunte ai sensi della normativa vigente</w:t>
      </w:r>
      <w:r>
        <w:rPr>
          <w:rFonts w:hAnsi="Book Antiqua" w:hint="default"/>
          <w:rtl w:val="0"/>
          <w:lang w:val="it-IT"/>
        </w:rPr>
        <w:t>”</w:t>
      </w:r>
      <w:r>
        <w:rPr>
          <w:rFonts w:ascii="Book Antiqua"/>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Infatti, gli altri interventi prescritti dall</w:t>
      </w:r>
      <w:r>
        <w:rPr>
          <w:rFonts w:hAnsi="Book Antiqua" w:hint="default"/>
          <w:rtl w:val="0"/>
          <w:lang w:val="it-IT"/>
        </w:rPr>
        <w:t>’</w:t>
      </w:r>
      <w:r>
        <w:rPr>
          <w:rFonts w:ascii="Book Antiqua"/>
          <w:rtl w:val="0"/>
          <w:lang w:val="it-IT"/>
        </w:rPr>
        <w:t>ordinanza secondo il Politecnico sono stati in parte eseguiti (analisi dei traccianti) e comunicati successivamente all</w:t>
      </w:r>
      <w:r>
        <w:rPr>
          <w:rFonts w:hAnsi="Book Antiqua" w:hint="default"/>
          <w:rtl w:val="0"/>
          <w:lang w:val="it-IT"/>
        </w:rPr>
        <w:t>’</w:t>
      </w:r>
      <w:r>
        <w:rPr>
          <w:rFonts w:ascii="Book Antiqua"/>
          <w:rtl w:val="0"/>
          <w:lang w:val="it-IT"/>
        </w:rPr>
        <w:t>ordinanza, oppure comportano oneri tecnici ed economici molto pi</w:t>
      </w:r>
      <w:r>
        <w:rPr>
          <w:rFonts w:hAnsi="Book Antiqua" w:hint="default"/>
          <w:rtl w:val="0"/>
          <w:lang w:val="it-IT"/>
        </w:rPr>
        <w:t xml:space="preserve">ù </w:t>
      </w:r>
      <w:r>
        <w:rPr>
          <w:rFonts w:ascii="Book Antiqua"/>
          <w:rtl w:val="0"/>
          <w:lang w:val="it-IT"/>
        </w:rPr>
        <w:t>ridotti rispetto a quelli dovuto all</w:t>
      </w:r>
      <w:r>
        <w:rPr>
          <w:rFonts w:hAnsi="Book Antiqua" w:hint="default"/>
          <w:rtl w:val="0"/>
          <w:lang w:val="it-IT"/>
        </w:rPr>
        <w:t>’</w:t>
      </w:r>
      <w:r>
        <w:rPr>
          <w:rFonts w:ascii="Book Antiqua"/>
          <w:rtl w:val="0"/>
          <w:lang w:val="it-IT"/>
        </w:rPr>
        <w:t xml:space="preserve">emungimento della falda interna al </w:t>
      </w:r>
      <w:r>
        <w:rPr>
          <w:rFonts w:ascii="Book Antiqua"/>
          <w:i w:val="1"/>
          <w:iCs w:val="1"/>
          <w:rtl w:val="0"/>
          <w:lang w:val="it-IT"/>
        </w:rPr>
        <w:t>polder</w:t>
      </w:r>
      <w:r>
        <w:rPr>
          <w:rFonts w:ascii="Book Antiqua"/>
          <w:rtl w:val="0"/>
          <w:lang w:val="it-IT"/>
        </w:rPr>
        <w:t>, tali da poter essere trascurati.</w:t>
      </w:r>
    </w:p>
    <w:p>
      <w:pPr>
        <w:pStyle w:val="Normal"/>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Come si evince dall</w:t>
      </w:r>
      <w:r>
        <w:rPr>
          <w:rFonts w:hAnsi="Book Antiqua" w:hint="default"/>
          <w:color w:val="000000"/>
          <w:u w:color="000000"/>
          <w:rtl w:val="0"/>
          <w:lang w:val="it-IT"/>
        </w:rPr>
        <w:t>’</w:t>
      </w:r>
      <w:r>
        <w:rPr>
          <w:rFonts w:ascii="Book Antiqua"/>
          <w:color w:val="000000"/>
          <w:u w:color="000000"/>
          <w:rtl w:val="0"/>
          <w:lang w:val="it-IT"/>
        </w:rPr>
        <w:t>ordinanza, l</w:t>
      </w:r>
      <w:r>
        <w:rPr>
          <w:rFonts w:hAnsi="Book Antiqua" w:hint="default"/>
          <w:color w:val="000000"/>
          <w:u w:color="000000"/>
          <w:rtl w:val="0"/>
          <w:lang w:val="it-IT"/>
        </w:rPr>
        <w:t>’</w:t>
      </w:r>
      <w:r>
        <w:rPr>
          <w:rFonts w:ascii="Book Antiqua"/>
          <w:color w:val="000000"/>
          <w:u w:color="000000"/>
          <w:rtl w:val="0"/>
          <w:lang w:val="it-IT"/>
        </w:rPr>
        <w:t xml:space="preserve">emungimento da pozzi e/o piezometri ha come obiettivo quello di abbassare il livello di falda interna in corrispondenza del </w:t>
      </w:r>
      <w:r>
        <w:rPr>
          <w:rFonts w:ascii="Book Antiqua"/>
          <w:i w:val="1"/>
          <w:iCs w:val="1"/>
          <w:color w:val="000000"/>
          <w:u w:color="000000"/>
          <w:rtl w:val="0"/>
          <w:lang w:val="it-IT"/>
        </w:rPr>
        <w:t>polder</w:t>
      </w:r>
      <w:r>
        <w:rPr>
          <w:rFonts w:ascii="Book Antiqua"/>
          <w:color w:val="000000"/>
          <w:u w:color="000000"/>
          <w:rtl w:val="0"/>
          <w:lang w:val="it-IT"/>
        </w:rPr>
        <w:t xml:space="preserve"> e non necessariamente di drenare completamente i livelli saturi presenti al suo interno. Per garantire l</w:t>
      </w:r>
      <w:r>
        <w:rPr>
          <w:rFonts w:hAnsi="Book Antiqua" w:hint="default"/>
          <w:color w:val="000000"/>
          <w:u w:color="000000"/>
          <w:rtl w:val="0"/>
          <w:lang w:val="it-IT"/>
        </w:rPr>
        <w:t>’</w:t>
      </w:r>
      <w:r>
        <w:rPr>
          <w:rFonts w:ascii="Book Antiqua"/>
          <w:color w:val="000000"/>
          <w:u w:color="000000"/>
          <w:rtl w:val="0"/>
          <w:lang w:val="it-IT"/>
        </w:rPr>
        <w:t>annullamento, o l</w:t>
      </w:r>
      <w:r>
        <w:rPr>
          <w:rFonts w:hAnsi="Book Antiqua" w:hint="default"/>
          <w:color w:val="000000"/>
          <w:u w:color="000000"/>
          <w:rtl w:val="0"/>
          <w:lang w:val="it-IT"/>
        </w:rPr>
        <w:t>’</w:t>
      </w:r>
      <w:r>
        <w:rPr>
          <w:rFonts w:ascii="Book Antiqua"/>
          <w:color w:val="000000"/>
          <w:u w:color="000000"/>
          <w:rtl w:val="0"/>
          <w:lang w:val="it-IT"/>
        </w:rPr>
        <w:t xml:space="preserve">inversione, del flusso advettivo in corrispondenza del </w:t>
      </w:r>
      <w:r>
        <w:rPr>
          <w:rFonts w:ascii="Book Antiqua"/>
          <w:i w:val="1"/>
          <w:iCs w:val="1"/>
          <w:color w:val="000000"/>
          <w:u w:color="000000"/>
          <w:rtl w:val="0"/>
          <w:lang w:val="it-IT"/>
        </w:rPr>
        <w:t>polder</w:t>
      </w:r>
      <w:r>
        <w:rPr>
          <w:rFonts w:hAnsi="Book Antiqua" w:hint="default"/>
          <w:color w:val="000000"/>
          <w:u w:color="000000"/>
          <w:rtl w:val="0"/>
          <w:lang w:val="it-IT"/>
        </w:rPr>
        <w:t xml:space="preserve"> è </w:t>
      </w:r>
      <w:r>
        <w:rPr>
          <w:rFonts w:ascii="Book Antiqua"/>
          <w:color w:val="000000"/>
          <w:u w:color="000000"/>
          <w:rtl w:val="0"/>
          <w:lang w:val="it-IT"/>
        </w:rPr>
        <w:t>necessario far s</w:t>
      </w:r>
      <w:r>
        <w:rPr>
          <w:rFonts w:hAnsi="Book Antiqua" w:hint="default"/>
          <w:color w:val="000000"/>
          <w:u w:color="000000"/>
          <w:rtl w:val="0"/>
          <w:lang w:val="it-IT"/>
        </w:rPr>
        <w:t xml:space="preserve">ì </w:t>
      </w:r>
      <w:r>
        <w:rPr>
          <w:rFonts w:ascii="Book Antiqua"/>
          <w:color w:val="000000"/>
          <w:u w:color="000000"/>
          <w:rtl w:val="0"/>
          <w:lang w:val="it-IT"/>
        </w:rPr>
        <w:t>che localmente i livelli piezometrici interni, immediatamente a ridosso del diaframma, siano uguali o inferiori ai livelli presenti immediatamente al suo esterno. Si intende, quindi, che in zone interne al diaframma possano essere presenti livelli piezometrici differenti (a causa di isolamento idraulico di aree interne e/o di ritardo di propagazione indotto da ridotta conducibilit</w:t>
      </w:r>
      <w:r>
        <w:rPr>
          <w:rFonts w:hAnsi="Book Antiqua" w:hint="default"/>
          <w:color w:val="000000"/>
          <w:u w:color="000000"/>
          <w:rtl w:val="0"/>
          <w:lang w:val="it-IT"/>
        </w:rPr>
        <w:t xml:space="preserve">à </w:t>
      </w:r>
      <w:r>
        <w:rPr>
          <w:rFonts w:ascii="Book Antiqua"/>
          <w:color w:val="000000"/>
          <w:u w:color="000000"/>
          <w:rtl w:val="0"/>
          <w:lang w:val="it-IT"/>
        </w:rPr>
        <w:t>idraulica dell</w:t>
      </w:r>
      <w:r>
        <w:rPr>
          <w:rFonts w:hAnsi="Book Antiqua" w:hint="default"/>
          <w:color w:val="000000"/>
          <w:u w:color="000000"/>
          <w:rtl w:val="0"/>
          <w:lang w:val="it-IT"/>
        </w:rPr>
        <w:t>’</w:t>
      </w:r>
      <w:r>
        <w:rPr>
          <w:rFonts w:ascii="Book Antiqua"/>
          <w:color w:val="000000"/>
          <w:u w:color="000000"/>
          <w:rtl w:val="0"/>
          <w:lang w:val="it-IT"/>
        </w:rPr>
        <w:t>area).</w:t>
      </w:r>
    </w:p>
    <w:p>
      <w:pPr>
        <w:pStyle w:val="Normal"/>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 xml:space="preserve">Tale scenario, denominato </w:t>
      </w:r>
      <w:r>
        <w:rPr>
          <w:rFonts w:ascii="Book Antiqua"/>
          <w:i w:val="1"/>
          <w:iCs w:val="1"/>
          <w:color w:val="000000"/>
          <w:u w:color="000000"/>
          <w:rtl w:val="0"/>
          <w:lang w:val="it-IT"/>
        </w:rPr>
        <w:t xml:space="preserve">inversione locale di flusso </w:t>
      </w:r>
      <w:r>
        <w:rPr>
          <w:rFonts w:hAnsi="Book Antiqua" w:hint="default"/>
          <w:color w:val="000000"/>
          <w:u w:color="000000"/>
          <w:rtl w:val="0"/>
          <w:lang w:val="it-IT"/>
        </w:rPr>
        <w:t xml:space="preserve">è </w:t>
      </w:r>
      <w:r>
        <w:rPr>
          <w:rFonts w:ascii="Book Antiqua"/>
          <w:color w:val="000000"/>
          <w:u w:color="000000"/>
          <w:rtl w:val="0"/>
          <w:lang w:val="it-IT"/>
        </w:rPr>
        <w:t>condizione sufficiente a soddisfare la richiesta avanzata nell</w:t>
      </w:r>
      <w:r>
        <w:rPr>
          <w:rFonts w:hAnsi="Book Antiqua" w:hint="default"/>
          <w:color w:val="000000"/>
          <w:u w:color="000000"/>
          <w:rtl w:val="0"/>
          <w:lang w:val="it-IT"/>
        </w:rPr>
        <w:t>’</w:t>
      </w:r>
      <w:r>
        <w:rPr>
          <w:rFonts w:ascii="Book Antiqua"/>
          <w:color w:val="000000"/>
          <w:u w:color="000000"/>
          <w:rtl w:val="0"/>
          <w:lang w:val="it-IT"/>
        </w:rPr>
        <w:t>ordinanza sindacale e dovrebbe poter essere raggiunta in un periodo sufficientemente breve (es. 1</w:t>
      </w:r>
      <w:r>
        <w:rPr>
          <w:rFonts w:hAnsi="Mona Lisa Solid ITC TT" w:hint="default"/>
          <w:b w:val="1"/>
          <w:bCs w:val="1"/>
          <w:color w:val="000000"/>
          <w:u w:color="000000"/>
          <w:rtl w:val="0"/>
          <w:lang w:val="it-IT"/>
        </w:rPr>
        <w:t>‐</w:t>
      </w:r>
      <w:r>
        <w:rPr>
          <w:rFonts w:ascii="Book Antiqua"/>
          <w:color w:val="000000"/>
          <w:u w:color="000000"/>
          <w:rtl w:val="0"/>
          <w:lang w:val="it-IT"/>
        </w:rPr>
        <w:t>2 anni) rispetto alla vita dell</w:t>
      </w:r>
      <w:r>
        <w:rPr>
          <w:rFonts w:hAnsi="Book Antiqua" w:hint="default"/>
          <w:color w:val="000000"/>
          <w:u w:color="000000"/>
          <w:rtl w:val="0"/>
          <w:lang w:val="it-IT"/>
        </w:rPr>
        <w:t>’</w:t>
      </w:r>
      <w:r>
        <w:rPr>
          <w:rFonts w:ascii="Book Antiqua"/>
          <w:color w:val="000000"/>
          <w:u w:color="000000"/>
          <w:rtl w:val="0"/>
          <w:lang w:val="it-IT"/>
        </w:rPr>
        <w:t>opera.</w:t>
      </w:r>
    </w:p>
    <w:p>
      <w:pPr>
        <w:pStyle w:val="Normal"/>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L</w:t>
      </w:r>
      <w:r>
        <w:rPr>
          <w:rFonts w:hAnsi="Book Antiqua" w:hint="default"/>
          <w:color w:val="000000"/>
          <w:u w:color="000000"/>
          <w:rtl w:val="0"/>
          <w:lang w:val="it-IT"/>
        </w:rPr>
        <w:t>’</w:t>
      </w:r>
      <w:r>
        <w:rPr>
          <w:rFonts w:ascii="Book Antiqua"/>
          <w:color w:val="000000"/>
          <w:u w:color="000000"/>
          <w:rtl w:val="0"/>
          <w:lang w:val="it-IT"/>
        </w:rPr>
        <w:t xml:space="preserve">abbassamento del livello di falda lungo il perimetro del </w:t>
      </w:r>
      <w:r>
        <w:rPr>
          <w:rFonts w:ascii="Book Antiqua"/>
          <w:i w:val="1"/>
          <w:iCs w:val="1"/>
          <w:color w:val="000000"/>
          <w:u w:color="000000"/>
          <w:rtl w:val="0"/>
          <w:lang w:val="it-IT"/>
        </w:rPr>
        <w:t>polder</w:t>
      </w:r>
      <w:r>
        <w:rPr>
          <w:rFonts w:ascii="Book Antiqua"/>
          <w:color w:val="000000"/>
          <w:u w:color="000000"/>
          <w:rtl w:val="0"/>
          <w:lang w:val="it-IT"/>
        </w:rPr>
        <w:t xml:space="preserve"> si estender</w:t>
      </w:r>
      <w:r>
        <w:rPr>
          <w:rFonts w:hAnsi="Book Antiqua" w:hint="default"/>
          <w:color w:val="000000"/>
          <w:u w:color="000000"/>
          <w:rtl w:val="0"/>
          <w:lang w:val="it-IT"/>
        </w:rPr>
        <w:t xml:space="preserve">à </w:t>
      </w:r>
      <w:r>
        <w:rPr>
          <w:rFonts w:ascii="Book Antiqua"/>
          <w:color w:val="000000"/>
          <w:u w:color="000000"/>
          <w:rtl w:val="0"/>
          <w:lang w:val="it-IT"/>
        </w:rPr>
        <w:t>anche verso l</w:t>
      </w:r>
      <w:r>
        <w:rPr>
          <w:rFonts w:hAnsi="Book Antiqua" w:hint="default"/>
          <w:color w:val="000000"/>
          <w:u w:color="000000"/>
          <w:rtl w:val="0"/>
          <w:lang w:val="it-IT"/>
        </w:rPr>
        <w:t>’</w:t>
      </w:r>
      <w:r>
        <w:rPr>
          <w:rFonts w:ascii="Book Antiqua"/>
          <w:color w:val="000000"/>
          <w:u w:color="000000"/>
          <w:rtl w:val="0"/>
          <w:lang w:val="it-IT"/>
        </w:rPr>
        <w:t>interno del bacino ed il massimo abbassamento imposto determiner</w:t>
      </w:r>
      <w:r>
        <w:rPr>
          <w:rFonts w:hAnsi="Book Antiqua" w:hint="default"/>
          <w:color w:val="000000"/>
          <w:u w:color="000000"/>
          <w:rtl w:val="0"/>
          <w:lang w:val="it-IT"/>
        </w:rPr>
        <w:t xml:space="preserve">à </w:t>
      </w:r>
      <w:r>
        <w:rPr>
          <w:rFonts w:ascii="Book Antiqua"/>
          <w:color w:val="000000"/>
          <w:u w:color="000000"/>
          <w:rtl w:val="0"/>
          <w:lang w:val="it-IT"/>
        </w:rPr>
        <w:t>i livelli presenti all</w:t>
      </w:r>
      <w:r>
        <w:rPr>
          <w:rFonts w:hAnsi="Book Antiqua" w:hint="default"/>
          <w:color w:val="000000"/>
          <w:u w:color="000000"/>
          <w:rtl w:val="0"/>
          <w:lang w:val="it-IT"/>
        </w:rPr>
        <w:t>’</w:t>
      </w:r>
      <w:r>
        <w:rPr>
          <w:rFonts w:ascii="Book Antiqua"/>
          <w:color w:val="000000"/>
          <w:u w:color="000000"/>
          <w:rtl w:val="0"/>
          <w:lang w:val="it-IT"/>
        </w:rPr>
        <w:t xml:space="preserve">interno del </w:t>
      </w:r>
      <w:r>
        <w:rPr>
          <w:rFonts w:ascii="Book Antiqua"/>
          <w:i w:val="1"/>
          <w:iCs w:val="1"/>
          <w:color w:val="000000"/>
          <w:u w:color="000000"/>
          <w:rtl w:val="0"/>
          <w:lang w:val="it-IT"/>
        </w:rPr>
        <w:t>polder</w:t>
      </w:r>
      <w:r>
        <w:rPr>
          <w:rFonts w:ascii="Book Antiqua"/>
          <w:color w:val="000000"/>
          <w:u w:color="000000"/>
          <w:rtl w:val="0"/>
          <w:lang w:val="it-IT"/>
        </w:rPr>
        <w:t xml:space="preserve">. In altre parole la condizione di inversione locale mantenuta </w:t>
      </w:r>
      <w:r>
        <w:rPr>
          <w:rFonts w:ascii="Book Antiqua"/>
          <w:i w:val="1"/>
          <w:iCs w:val="1"/>
          <w:color w:val="000000"/>
          <w:u w:color="000000"/>
          <w:rtl w:val="0"/>
          <w:lang w:val="it-IT"/>
        </w:rPr>
        <w:t xml:space="preserve">sul lungo periodo </w:t>
      </w:r>
      <w:r>
        <w:rPr>
          <w:rFonts w:ascii="Book Antiqua"/>
          <w:color w:val="000000"/>
          <w:u w:color="000000"/>
          <w:rtl w:val="0"/>
          <w:lang w:val="it-IT"/>
        </w:rPr>
        <w:t xml:space="preserve">conduce, nelle aree connesse idraulicamente e conduttive </w:t>
      </w:r>
      <w:r>
        <w:rPr>
          <w:rFonts w:hAnsi="Book Antiqua" w:hint="default"/>
          <w:color w:val="000000"/>
          <w:u w:color="000000"/>
          <w:rtl w:val="0"/>
          <w:lang w:val="it-IT"/>
        </w:rPr>
        <w:t xml:space="preserve">– </w:t>
      </w:r>
      <w:r>
        <w:rPr>
          <w:rFonts w:ascii="Book Antiqua"/>
          <w:color w:val="000000"/>
          <w:u w:color="000000"/>
          <w:rtl w:val="0"/>
          <w:lang w:val="it-IT"/>
        </w:rPr>
        <w:t xml:space="preserve">per il principio di vasi comunicanti </w:t>
      </w:r>
      <w:r>
        <w:rPr>
          <w:rFonts w:hAnsi="Mona Lisa Solid ITC TT" w:hint="default"/>
          <w:b w:val="1"/>
          <w:bCs w:val="1"/>
          <w:color w:val="000000"/>
          <w:u w:color="000000"/>
          <w:rtl w:val="0"/>
          <w:lang w:val="it-IT"/>
        </w:rPr>
        <w:t>‐</w:t>
      </w:r>
      <w:r>
        <w:rPr>
          <w:rFonts w:ascii="Book Antiqua"/>
          <w:color w:val="000000"/>
          <w:u w:color="000000"/>
          <w:rtl w:val="0"/>
          <w:lang w:val="it-IT"/>
        </w:rPr>
        <w:t xml:space="preserve"> al raggiungimento di un livello omogeneo minore o uguale al minimo piezometrico presente immediatamente all</w:t>
      </w:r>
      <w:r>
        <w:rPr>
          <w:rFonts w:hAnsi="Book Antiqua" w:hint="default"/>
          <w:color w:val="000000"/>
          <w:u w:color="000000"/>
          <w:rtl w:val="0"/>
          <w:lang w:val="it-IT"/>
        </w:rPr>
        <w:t>’</w:t>
      </w:r>
      <w:r>
        <w:rPr>
          <w:rFonts w:ascii="Book Antiqua"/>
          <w:color w:val="000000"/>
          <w:u w:color="000000"/>
          <w:rtl w:val="0"/>
          <w:lang w:val="it-IT"/>
        </w:rPr>
        <w:t xml:space="preserve">esterno del </w:t>
      </w:r>
      <w:r>
        <w:rPr>
          <w:rFonts w:ascii="Book Antiqua"/>
          <w:i w:val="1"/>
          <w:iCs w:val="1"/>
          <w:color w:val="000000"/>
          <w:u w:color="000000"/>
          <w:rtl w:val="0"/>
          <w:lang w:val="it-IT"/>
        </w:rPr>
        <w:t>polder</w:t>
      </w:r>
      <w:r>
        <w:rPr>
          <w:rFonts w:ascii="Book Antiqua"/>
          <w:color w:val="000000"/>
          <w:u w:color="000000"/>
          <w:rtl w:val="0"/>
          <w:lang w:val="it-IT"/>
        </w:rPr>
        <w:t xml:space="preserve">. Tale condizione finale </w:t>
      </w:r>
      <w:r>
        <w:rPr>
          <w:rFonts w:hAnsi="Book Antiqua" w:hint="default"/>
          <w:color w:val="000000"/>
          <w:u w:color="000000"/>
          <w:rtl w:val="0"/>
          <w:lang w:val="it-IT"/>
        </w:rPr>
        <w:t xml:space="preserve">è </w:t>
      </w:r>
      <w:r>
        <w:rPr>
          <w:rFonts w:ascii="Book Antiqua"/>
          <w:color w:val="000000"/>
          <w:u w:color="000000"/>
          <w:rtl w:val="0"/>
          <w:lang w:val="it-IT"/>
        </w:rPr>
        <w:t xml:space="preserve">denominata di </w:t>
      </w:r>
      <w:r>
        <w:rPr>
          <w:rFonts w:ascii="Book Antiqua"/>
          <w:i w:val="1"/>
          <w:iCs w:val="1"/>
          <w:color w:val="000000"/>
          <w:u w:color="000000"/>
          <w:rtl w:val="0"/>
          <w:lang w:val="it-IT"/>
        </w:rPr>
        <w:t>inversione</w:t>
      </w:r>
      <w:r>
        <w:rPr>
          <w:rFonts w:ascii="Book Antiqua"/>
          <w:color w:val="000000"/>
          <w:u w:color="000000"/>
          <w:rtl w:val="0"/>
          <w:lang w:val="it-IT"/>
        </w:rPr>
        <w:t xml:space="preserve"> </w:t>
      </w:r>
      <w:r>
        <w:rPr>
          <w:rFonts w:ascii="Book Antiqua"/>
          <w:i w:val="1"/>
          <w:iCs w:val="1"/>
          <w:color w:val="000000"/>
          <w:u w:color="000000"/>
          <w:rtl w:val="0"/>
          <w:lang w:val="it-IT"/>
        </w:rPr>
        <w:t xml:space="preserve">globale di flusso, </w:t>
      </w:r>
      <w:r>
        <w:rPr>
          <w:rFonts w:ascii="Book Antiqua"/>
          <w:color w:val="000000"/>
          <w:u w:color="000000"/>
          <w:rtl w:val="0"/>
          <w:lang w:val="it-IT"/>
        </w:rPr>
        <w:t>per le zone connesse e conduttive.</w:t>
      </w:r>
    </w:p>
    <w:p>
      <w:pPr>
        <w:pStyle w:val="Normal"/>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Secondo i verificatori del Politecnico appare idonea al soddisfacimento della suddetta ordinanza sindacale, l</w:t>
      </w:r>
      <w:r>
        <w:rPr>
          <w:rFonts w:hAnsi="Book Antiqua" w:hint="default"/>
          <w:color w:val="000000"/>
          <w:u w:color="000000"/>
          <w:rtl w:val="0"/>
          <w:lang w:val="it-IT"/>
        </w:rPr>
        <w:t>’</w:t>
      </w:r>
      <w:r>
        <w:rPr>
          <w:rFonts w:ascii="Book Antiqua"/>
          <w:color w:val="000000"/>
          <w:u w:color="000000"/>
          <w:rtl w:val="0"/>
          <w:lang w:val="it-IT"/>
        </w:rPr>
        <w:t>installazione di una batteria di pozzi perimetrali che permetta la generazione dell</w:t>
      </w:r>
      <w:r>
        <w:rPr>
          <w:rFonts w:hAnsi="Book Antiqua" w:hint="default"/>
          <w:color w:val="000000"/>
          <w:u w:color="000000"/>
          <w:rtl w:val="0"/>
          <w:lang w:val="it-IT"/>
        </w:rPr>
        <w:t>’</w:t>
      </w:r>
      <w:r>
        <w:rPr>
          <w:rFonts w:ascii="Book Antiqua"/>
          <w:color w:val="000000"/>
          <w:u w:color="000000"/>
          <w:rtl w:val="0"/>
          <w:lang w:val="it-IT"/>
        </w:rPr>
        <w:t>abbassamento locale, specifico per ogni tratto interno del diaframma, al fine di invertire il flusso advettivo.</w:t>
      </w:r>
    </w:p>
    <w:p>
      <w:pPr>
        <w:pStyle w:val="Normal"/>
        <w:ind w:left="567" w:right="567" w:firstLine="0"/>
        <w:jc w:val="both"/>
        <w:rPr>
          <w:rFonts w:ascii="Book Antiqua" w:cs="Book Antiqua" w:hAnsi="Book Antiqua" w:eastAsia="Book Antiqua"/>
        </w:rPr>
      </w:pPr>
      <w:r>
        <w:rPr>
          <w:rFonts w:ascii="Book Antiqua"/>
          <w:rtl w:val="0"/>
          <w:lang w:val="it-IT"/>
        </w:rPr>
        <w:t xml:space="preserve">La conclusione a cui </w:t>
      </w:r>
      <w:r>
        <w:rPr>
          <w:rFonts w:hAnsi="Book Antiqua" w:hint="default"/>
          <w:rtl w:val="0"/>
          <w:lang w:val="it-IT"/>
        </w:rPr>
        <w:t xml:space="preserve">è </w:t>
      </w:r>
      <w:r>
        <w:rPr>
          <w:rFonts w:ascii="Book Antiqua"/>
          <w:rtl w:val="0"/>
          <w:lang w:val="it-IT"/>
        </w:rPr>
        <w:t xml:space="preserve">giunto il collegio dei verificatori </w:t>
      </w:r>
      <w:r>
        <w:rPr>
          <w:rFonts w:hAnsi="Book Antiqua" w:hint="default"/>
          <w:rtl w:val="0"/>
          <w:lang w:val="it-IT"/>
        </w:rPr>
        <w:t xml:space="preserve">è </w:t>
      </w:r>
      <w:r>
        <w:rPr>
          <w:rFonts w:ascii="Book Antiqua"/>
          <w:rtl w:val="0"/>
          <w:lang w:val="it-IT"/>
        </w:rPr>
        <w:t>che le prove condotte hanno dimostrato come la fattibilit</w:t>
      </w:r>
      <w:r>
        <w:rPr>
          <w:rFonts w:hAnsi="Book Antiqua" w:hint="default"/>
          <w:rtl w:val="0"/>
          <w:lang w:val="it-IT"/>
        </w:rPr>
        <w:t xml:space="preserve">à </w:t>
      </w:r>
      <w:r>
        <w:rPr>
          <w:rFonts w:ascii="Book Antiqua"/>
          <w:rtl w:val="0"/>
          <w:lang w:val="it-IT"/>
        </w:rPr>
        <w:t>tecnica dell'inversione del flusso con un obiettivo di abbattimento minimo del 90 per cento</w:t>
      </w:r>
      <w:r>
        <w:rPr>
          <w:rFonts w:hAnsi="Book Antiqua" w:hint="default"/>
          <w:rtl w:val="0"/>
          <w:lang w:val="it-IT"/>
        </w:rPr>
        <w:t xml:space="preserve">  è </w:t>
      </w:r>
      <w:r>
        <w:rPr>
          <w:rFonts w:ascii="Book Antiqua"/>
          <w:rtl w:val="0"/>
          <w:lang w:val="it-IT"/>
        </w:rPr>
        <w:t>raggiungibile in un lasso di tempo massimo di due anni e pertanto  compatibile con le esigenze di pubblico interesse perseguite dall</w:t>
      </w:r>
      <w:r>
        <w:rPr>
          <w:rFonts w:hAnsi="Book Antiqua" w:hint="default"/>
          <w:rtl w:val="0"/>
          <w:lang w:val="it-IT"/>
        </w:rPr>
        <w:t>’</w:t>
      </w:r>
      <w:r>
        <w:rPr>
          <w:rFonts w:ascii="Book Antiqua"/>
          <w:rtl w:val="0"/>
          <w:lang w:val="it-IT"/>
        </w:rPr>
        <w:t>ordinanza 255/2010.</w:t>
      </w:r>
    </w:p>
    <w:p>
      <w:pPr>
        <w:pStyle w:val="Normal"/>
        <w:ind w:left="567" w:right="567" w:firstLine="0"/>
        <w:jc w:val="both"/>
        <w:rPr>
          <w:rFonts w:ascii="Book Antiqua Bold" w:cs="Book Antiqua Bold" w:hAnsi="Book Antiqua Bold" w:eastAsia="Book Antiqua Bold"/>
          <w:b w:val="1"/>
          <w:bCs w:val="1"/>
          <w:u w:val="single"/>
        </w:rPr>
      </w:pPr>
    </w:p>
    <w:p>
      <w:pPr>
        <w:pStyle w:val="Normal"/>
        <w:ind w:right="567" w:firstLine="567"/>
        <w:jc w:val="both"/>
        <w:rPr>
          <w:rFonts w:ascii="Book Antiqua" w:cs="Book Antiqua" w:hAnsi="Book Antiqua" w:eastAsia="Book Antiqua"/>
          <w:i w:val="1"/>
          <w:iCs w:val="1"/>
          <w:u w:val="single"/>
        </w:rPr>
      </w:pPr>
      <w:r>
        <w:rPr>
          <w:rFonts w:ascii="Book Antiqua"/>
          <w:i w:val="1"/>
          <w:iCs w:val="1"/>
          <w:u w:val="single"/>
          <w:rtl w:val="0"/>
          <w:lang w:val="it-IT"/>
        </w:rPr>
        <w:t>Risposta al quesito 3</w:t>
      </w:r>
    </w:p>
    <w:p>
      <w:pPr>
        <w:pStyle w:val="Normal"/>
        <w:ind w:left="567" w:right="567" w:firstLine="0"/>
        <w:jc w:val="both"/>
        <w:rPr>
          <w:rFonts w:ascii="Book Antiqua" w:cs="Book Antiqua" w:hAnsi="Book Antiqua" w:eastAsia="Book Antiqua"/>
        </w:rPr>
      </w:pPr>
      <w:r>
        <w:rPr>
          <w:rFonts w:ascii="Book Antiqua"/>
          <w:rtl w:val="0"/>
          <w:lang w:val="it-IT"/>
        </w:rPr>
        <w:t xml:space="preserve">Il 3 quesito era: </w:t>
      </w:r>
      <w:r>
        <w:rPr>
          <w:rFonts w:hAnsi="Book Antiqua" w:hint="default"/>
          <w:rtl w:val="0"/>
          <w:lang w:val="it-IT"/>
        </w:rPr>
        <w:t>“</w:t>
      </w:r>
      <w:r>
        <w:rPr>
          <w:rFonts w:ascii="Book Antiqua"/>
          <w:rtl w:val="0"/>
          <w:lang w:val="it-IT"/>
        </w:rPr>
        <w:t>margini di riconducibilit</w:t>
      </w:r>
      <w:r>
        <w:rPr>
          <w:rFonts w:hAnsi="Book Antiqua" w:hint="default"/>
          <w:rtl w:val="0"/>
          <w:lang w:val="it-IT"/>
        </w:rPr>
        <w:t xml:space="preserve">à </w:t>
      </w:r>
      <w:r>
        <w:rPr>
          <w:rFonts w:ascii="Book Antiqua"/>
          <w:rtl w:val="0"/>
          <w:lang w:val="it-IT"/>
        </w:rPr>
        <w:t>all</w:t>
      </w:r>
      <w:r>
        <w:rPr>
          <w:rFonts w:hAnsi="Book Antiqua" w:hint="default"/>
          <w:rtl w:val="0"/>
          <w:lang w:val="it-IT"/>
        </w:rPr>
        <w:t>’</w:t>
      </w:r>
      <w:r>
        <w:rPr>
          <w:rFonts w:ascii="Book Antiqua"/>
          <w:rtl w:val="0"/>
          <w:lang w:val="it-IT"/>
        </w:rPr>
        <w:t>attivit</w:t>
      </w:r>
      <w:r>
        <w:rPr>
          <w:rFonts w:hAnsi="Book Antiqua" w:hint="default"/>
          <w:rtl w:val="0"/>
          <w:lang w:val="it-IT"/>
        </w:rPr>
        <w:t xml:space="preserve">à </w:t>
      </w:r>
      <w:r>
        <w:rPr>
          <w:rFonts w:ascii="Book Antiqua"/>
          <w:rtl w:val="0"/>
          <w:lang w:val="it-IT"/>
        </w:rPr>
        <w:t>espletata dalla ricorrente dei fenomeni che avevano determinato l</w:t>
      </w:r>
      <w:r>
        <w:rPr>
          <w:rFonts w:hAnsi="Book Antiqua" w:hint="default"/>
          <w:rtl w:val="0"/>
          <w:lang w:val="it-IT"/>
        </w:rPr>
        <w:t>’</w:t>
      </w:r>
      <w:r>
        <w:rPr>
          <w:rFonts w:ascii="Book Antiqua"/>
          <w:rtl w:val="0"/>
          <w:lang w:val="it-IT"/>
        </w:rPr>
        <w:t>amministrazione ad adottare l</w:t>
      </w:r>
      <w:r>
        <w:rPr>
          <w:rFonts w:hAnsi="Book Antiqua" w:hint="default"/>
          <w:rtl w:val="0"/>
          <w:lang w:val="it-IT"/>
        </w:rPr>
        <w:t>’</w:t>
      </w:r>
      <w:r>
        <w:rPr>
          <w:rFonts w:ascii="Book Antiqua"/>
          <w:rtl w:val="0"/>
          <w:lang w:val="it-IT"/>
        </w:rPr>
        <w:t>ordinanza</w:t>
      </w:r>
      <w:r>
        <w:rPr>
          <w:rFonts w:hAnsi="Book Antiqua" w:hint="default"/>
          <w:rtl w:val="0"/>
          <w:lang w:val="it-IT"/>
        </w:rPr>
        <w:t>”</w:t>
      </w:r>
      <w:r>
        <w:rPr>
          <w:rFonts w:ascii="Book Antiqua"/>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Nella relazione, il collegio afferma che il raffronto tra i parametri chimici e chimico-fisici (cloruri, azoto ammoniacale, potenziale redox, nbutilbenzensulfonammide, ossidabilit</w:t>
      </w:r>
      <w:r>
        <w:rPr>
          <w:rFonts w:hAnsi="Book Antiqua" w:hint="default"/>
          <w:rtl w:val="0"/>
          <w:lang w:val="it-IT"/>
        </w:rPr>
        <w:t xml:space="preserve">à </w:t>
      </w:r>
      <w:r>
        <w:rPr>
          <w:rFonts w:ascii="Book Antiqua"/>
          <w:rtl w:val="0"/>
          <w:lang w:val="it-IT"/>
        </w:rPr>
        <w:t>di kubel, ferro e manganese) dell</w:t>
      </w:r>
      <w:r>
        <w:rPr>
          <w:rFonts w:hAnsi="Book Antiqua" w:hint="default"/>
          <w:rtl w:val="0"/>
          <w:lang w:val="it-IT"/>
        </w:rPr>
        <w:t>’</w:t>
      </w:r>
      <w:r>
        <w:rPr>
          <w:rFonts w:ascii="Book Antiqua"/>
          <w:rtl w:val="0"/>
          <w:lang w:val="it-IT"/>
        </w:rPr>
        <w:t xml:space="preserve">acqua di falda in corrispondenza dei punti di monitoraggio ubicati immediatamente a monte ed a valle del </w:t>
      </w:r>
      <w:r>
        <w:rPr>
          <w:rFonts w:ascii="Book Antiqua"/>
          <w:i w:val="1"/>
          <w:iCs w:val="1"/>
          <w:rtl w:val="0"/>
          <w:lang w:val="it-IT"/>
        </w:rPr>
        <w:t>polder</w:t>
      </w:r>
      <w:r>
        <w:rPr>
          <w:rFonts w:ascii="Book Antiqua"/>
          <w:rtl w:val="0"/>
          <w:lang w:val="it-IT"/>
        </w:rPr>
        <w:t>, porta a ricondurre all</w:t>
      </w:r>
      <w:r>
        <w:rPr>
          <w:rFonts w:hAnsi="Book Antiqua" w:hint="default"/>
          <w:rtl w:val="0"/>
          <w:lang w:val="it-IT"/>
        </w:rPr>
        <w:t>’</w:t>
      </w:r>
      <w:r>
        <w:rPr>
          <w:rFonts w:ascii="Book Antiqua"/>
          <w:rtl w:val="0"/>
          <w:lang w:val="it-IT"/>
        </w:rPr>
        <w:t>attivit</w:t>
      </w:r>
      <w:r>
        <w:rPr>
          <w:rFonts w:hAnsi="Book Antiqua" w:hint="default"/>
          <w:rtl w:val="0"/>
          <w:lang w:val="it-IT"/>
        </w:rPr>
        <w:t xml:space="preserve">à </w:t>
      </w:r>
      <w:r>
        <w:rPr>
          <w:rFonts w:ascii="Book Antiqua"/>
          <w:rtl w:val="0"/>
          <w:lang w:val="it-IT"/>
        </w:rPr>
        <w:t>di discarica gestita dalla Giovi il fenomeno di contaminazione che ha condotto all</w:t>
      </w:r>
      <w:r>
        <w:rPr>
          <w:rFonts w:hAnsi="Book Antiqua" w:hint="default"/>
          <w:rtl w:val="0"/>
          <w:lang w:val="it-IT"/>
        </w:rPr>
        <w:t>’</w:t>
      </w:r>
      <w:r>
        <w:rPr>
          <w:rFonts w:ascii="Book Antiqua"/>
          <w:rtl w:val="0"/>
          <w:lang w:val="it-IT"/>
        </w:rPr>
        <w:t>emanazione dell</w:t>
      </w:r>
      <w:r>
        <w:rPr>
          <w:rFonts w:hAnsi="Book Antiqua" w:hint="default"/>
          <w:rtl w:val="0"/>
          <w:lang w:val="it-IT"/>
        </w:rPr>
        <w:t>’</w:t>
      </w:r>
      <w:r>
        <w:rPr>
          <w:rFonts w:ascii="Book Antiqua"/>
          <w:rtl w:val="0"/>
          <w:lang w:val="it-IT"/>
        </w:rPr>
        <w:t>ordinanza sindacale n. 255/2010.</w:t>
      </w:r>
    </w:p>
    <w:p>
      <w:pPr>
        <w:pStyle w:val="Normal"/>
        <w:ind w:left="567" w:right="567" w:firstLine="0"/>
        <w:jc w:val="both"/>
        <w:rPr>
          <w:rFonts w:ascii="Book Antiqua" w:cs="Book Antiqua" w:hAnsi="Book Antiqua" w:eastAsia="Book Antiqua"/>
        </w:rPr>
      </w:pPr>
    </w:p>
    <w:p>
      <w:pPr>
        <w:pStyle w:val="Normal"/>
        <w:ind w:right="567" w:firstLine="567"/>
        <w:rPr>
          <w:rFonts w:ascii="Book Antiqua" w:cs="Book Antiqua" w:hAnsi="Book Antiqua" w:eastAsia="Book Antiqua"/>
          <w:i w:val="1"/>
          <w:iCs w:val="1"/>
          <w:u w:val="single"/>
        </w:rPr>
      </w:pPr>
      <w:r>
        <w:rPr>
          <w:rFonts w:ascii="Book Antiqua"/>
          <w:i w:val="1"/>
          <w:iCs w:val="1"/>
          <w:u w:val="single"/>
          <w:rtl w:val="0"/>
          <w:lang w:val="it-IT"/>
        </w:rPr>
        <w:t xml:space="preserve">Risposta al quesito 4 </w:t>
      </w:r>
    </w:p>
    <w:p>
      <w:pPr>
        <w:pStyle w:val="Normal"/>
        <w:ind w:left="567" w:right="567" w:firstLine="0"/>
        <w:jc w:val="both"/>
        <w:rPr>
          <w:rFonts w:ascii="Book Antiqua" w:cs="Book Antiqua" w:hAnsi="Book Antiqua" w:eastAsia="Book Antiqua"/>
        </w:rPr>
      </w:pPr>
      <w:r>
        <w:rPr>
          <w:rFonts w:ascii="Book Antiqua"/>
          <w:rtl w:val="0"/>
          <w:lang w:val="it-IT"/>
        </w:rPr>
        <w:t xml:space="preserve">Il quesito 4 era: </w:t>
      </w:r>
      <w:r>
        <w:rPr>
          <w:rFonts w:hAnsi="Book Antiqua" w:hint="default"/>
          <w:rtl w:val="0"/>
          <w:lang w:val="it-IT"/>
        </w:rPr>
        <w:t>“</w:t>
      </w:r>
      <w:r>
        <w:rPr>
          <w:rFonts w:ascii="Book Antiqua"/>
          <w:rtl w:val="0"/>
          <w:lang w:val="it-IT"/>
        </w:rPr>
        <w:t xml:space="preserve">se </w:t>
      </w:r>
      <w:r>
        <w:rPr>
          <w:rFonts w:hAnsi="Book Antiqua" w:hint="default"/>
          <w:rtl w:val="0"/>
          <w:lang w:val="it-IT"/>
        </w:rPr>
        <w:t xml:space="preserve">è </w:t>
      </w:r>
      <w:r>
        <w:rPr>
          <w:rFonts w:ascii="Book Antiqua"/>
          <w:rtl w:val="0"/>
          <w:lang w:val="it-IT"/>
        </w:rPr>
        <w:t>vero che a monte della discarica, dove quindi questa non pu</w:t>
      </w:r>
      <w:r>
        <w:rPr>
          <w:rFonts w:hAnsi="Book Antiqua" w:hint="default"/>
          <w:rtl w:val="0"/>
          <w:lang w:val="it-IT"/>
        </w:rPr>
        <w:t xml:space="preserve">ò </w:t>
      </w:r>
      <w:r>
        <w:rPr>
          <w:rFonts w:ascii="Book Antiqua"/>
          <w:rtl w:val="0"/>
          <w:lang w:val="it-IT"/>
        </w:rPr>
        <w:t>esplicare la propria influenza, la falda non sarebbe inquinata, e quindi l</w:t>
      </w:r>
      <w:r>
        <w:rPr>
          <w:rFonts w:hAnsi="Book Antiqua" w:hint="default"/>
          <w:rtl w:val="0"/>
          <w:lang w:val="it-IT"/>
        </w:rPr>
        <w:t>’</w:t>
      </w:r>
      <w:r>
        <w:rPr>
          <w:rFonts w:ascii="Book Antiqua"/>
          <w:rtl w:val="0"/>
          <w:lang w:val="it-IT"/>
        </w:rPr>
        <w:t xml:space="preserve">acqua risulterebbe potabile, mentre a valle della discarica la stessa falda sarebbe invece contaminata </w:t>
      </w:r>
      <w:r>
        <w:rPr>
          <w:rFonts w:hAnsi="Book Antiqua" w:hint="default"/>
          <w:rtl w:val="0"/>
          <w:lang w:val="it-IT"/>
        </w:rPr>
        <w:t>”</w:t>
      </w:r>
      <w:r>
        <w:rPr>
          <w:rFonts w:ascii="Book Antiqua"/>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Occorre innanzitutto precisare che, a seguito della risposta del Consiglio di Stato (comunicazione del 10 aprile 2013, sopra citata) alla richiesta di chiarimento da parte dei verificatori, sono stati presi in considerazione i parametri chimici e chimico fisici di inquinamento, a prescindere da valutazioni non supportate da riscontro analitico in merito alla potabilit</w:t>
      </w:r>
      <w:r>
        <w:rPr>
          <w:rFonts w:hAnsi="Book Antiqua" w:hint="default"/>
          <w:rtl w:val="0"/>
          <w:lang w:val="it-IT"/>
        </w:rPr>
        <w:t>à</w:t>
      </w:r>
      <w:r>
        <w:rPr>
          <w:rFonts w:ascii="Book Antiqua"/>
          <w:rtl w:val="0"/>
          <w:lang w:val="it-IT"/>
        </w:rPr>
        <w:t xml:space="preserve">. </w:t>
      </w:r>
    </w:p>
    <w:p>
      <w:pPr>
        <w:pStyle w:val="Normal"/>
        <w:ind w:left="567" w:right="567" w:firstLine="0"/>
        <w:jc w:val="both"/>
        <w:rPr>
          <w:rFonts w:ascii="Book Antiqua" w:cs="Book Antiqua" w:hAnsi="Book Antiqua" w:eastAsia="Book Antiqua"/>
        </w:rPr>
      </w:pPr>
      <w:r>
        <w:rPr>
          <w:rFonts w:ascii="Book Antiqua"/>
          <w:rtl w:val="0"/>
          <w:lang w:val="it-IT"/>
        </w:rPr>
        <w:t>Dalla valutazione dei dati di qualit</w:t>
      </w:r>
      <w:r>
        <w:rPr>
          <w:rFonts w:hAnsi="Book Antiqua" w:hint="default"/>
          <w:rtl w:val="0"/>
          <w:lang w:val="it-IT"/>
        </w:rPr>
        <w:t xml:space="preserve">à </w:t>
      </w:r>
      <w:r>
        <w:rPr>
          <w:rFonts w:ascii="Book Antiqua"/>
          <w:rtl w:val="0"/>
          <w:lang w:val="it-IT"/>
        </w:rPr>
        <w:t>dell</w:t>
      </w:r>
      <w:r>
        <w:rPr>
          <w:rFonts w:hAnsi="Book Antiqua" w:hint="default"/>
          <w:rtl w:val="0"/>
          <w:lang w:val="it-IT"/>
        </w:rPr>
        <w:t>’</w:t>
      </w:r>
      <w:r>
        <w:rPr>
          <w:rFonts w:ascii="Book Antiqua"/>
          <w:rtl w:val="0"/>
          <w:lang w:val="it-IT"/>
        </w:rPr>
        <w:t>acqua di falda disponibili si riscontrano, nei punti posti a valle della discarica parametri di inquinamento presenti nel percolato (cloruri, azoto ammoniacale, potenziale redox, nbutilbenzensulfonammide, ossidabilit</w:t>
      </w:r>
      <w:r>
        <w:rPr>
          <w:rFonts w:hAnsi="Book Antiqua" w:hint="default"/>
          <w:rtl w:val="0"/>
          <w:lang w:val="it-IT"/>
        </w:rPr>
        <w:t xml:space="preserve">à </w:t>
      </w:r>
      <w:r>
        <w:rPr>
          <w:rFonts w:ascii="Book Antiqua"/>
          <w:rtl w:val="0"/>
          <w:lang w:val="it-IT"/>
        </w:rPr>
        <w:t xml:space="preserve">di kubel), o parametri che appaiono derivare da fenomeni biologici anossici e processi di lisciviazione aventi origine nelle caratteristiche chimico </w:t>
      </w:r>
      <w:r>
        <w:rPr>
          <w:rFonts w:hAnsi="Book Antiqua" w:hint="default"/>
          <w:rtl w:val="0"/>
          <w:lang w:val="it-IT"/>
        </w:rPr>
        <w:t xml:space="preserve">– </w:t>
      </w:r>
      <w:r>
        <w:rPr>
          <w:rFonts w:ascii="Book Antiqua"/>
          <w:rtl w:val="0"/>
          <w:lang w:val="it-IT"/>
        </w:rPr>
        <w:t xml:space="preserve">fisiche del percolato stesso. </w:t>
      </w:r>
    </w:p>
    <w:p>
      <w:pPr>
        <w:pStyle w:val="Normal"/>
        <w:ind w:left="567" w:right="567" w:firstLine="0"/>
        <w:jc w:val="both"/>
        <w:rPr>
          <w:rFonts w:ascii="Book Antiqua" w:cs="Book Antiqua" w:hAnsi="Book Antiqua" w:eastAsia="Book Antiqua"/>
        </w:rPr>
      </w:pPr>
      <w:r>
        <w:rPr>
          <w:rFonts w:ascii="Book Antiqua"/>
          <w:rtl w:val="0"/>
          <w:lang w:val="it-IT"/>
        </w:rPr>
        <w:t>Tali parametri risultano presenti in concentrazioni decisamente superiori alle concentrazioni soglia di contaminazione</w:t>
      </w:r>
      <w:r>
        <w:rPr>
          <w:rFonts w:hAnsi="Book Antiqua" w:hint="default"/>
          <w:rtl w:val="0"/>
          <w:lang w:val="it-IT"/>
        </w:rPr>
        <w:t xml:space="preserve"> – </w:t>
      </w:r>
      <w:r>
        <w:rPr>
          <w:rFonts w:ascii="Book Antiqua"/>
          <w:rtl w:val="0"/>
          <w:lang w:val="it-IT"/>
        </w:rPr>
        <w:t xml:space="preserve">CSC ex decreto legislativo n. 152 del 2006 ed ai valori di fondo naturale. Da tale constatazione emerge un quadro di contaminazione per i piezometri ubicati a valle piezometrica della discarica. </w:t>
      </w:r>
    </w:p>
    <w:p>
      <w:pPr>
        <w:pStyle w:val="Normal"/>
        <w:ind w:left="567" w:right="567" w:firstLine="0"/>
        <w:jc w:val="both"/>
        <w:rPr>
          <w:rFonts w:ascii="Book Antiqua" w:cs="Book Antiqua" w:hAnsi="Book Antiqua" w:eastAsia="Book Antiqua"/>
        </w:rPr>
      </w:pPr>
      <w:r>
        <w:rPr>
          <w:rFonts w:ascii="Book Antiqua"/>
          <w:rtl w:val="0"/>
          <w:lang w:val="it-IT"/>
        </w:rPr>
        <w:t xml:space="preserve">Dei quattro punti di monitoraggio rappresentativi del monte della discarica </w:t>
      </w:r>
      <w:r>
        <w:rPr>
          <w:rFonts w:hAnsi="Book Antiqua" w:hint="default"/>
          <w:rtl w:val="0"/>
          <w:lang w:val="it-IT"/>
        </w:rPr>
        <w:t>“</w:t>
      </w:r>
      <w:r>
        <w:rPr>
          <w:rFonts w:ascii="Book Antiqua"/>
          <w:rtl w:val="0"/>
          <w:lang w:val="it-IT"/>
        </w:rPr>
        <w:t>ossia dove questa non pu</w:t>
      </w:r>
      <w:r>
        <w:rPr>
          <w:rFonts w:hAnsi="Book Antiqua" w:hint="default"/>
          <w:rtl w:val="0"/>
          <w:lang w:val="it-IT"/>
        </w:rPr>
        <w:t xml:space="preserve">ò </w:t>
      </w:r>
      <w:r>
        <w:rPr>
          <w:rFonts w:ascii="Book Antiqua"/>
          <w:rtl w:val="0"/>
          <w:lang w:val="it-IT"/>
        </w:rPr>
        <w:t>esplicare la propria influenza</w:t>
      </w:r>
      <w:r>
        <w:rPr>
          <w:rFonts w:hAnsi="Book Antiqua" w:hint="default"/>
          <w:rtl w:val="0"/>
          <w:lang w:val="it-IT"/>
        </w:rPr>
        <w:t>”</w:t>
      </w:r>
      <w:r>
        <w:rPr>
          <w:rFonts w:ascii="Book Antiqua"/>
          <w:rtl w:val="0"/>
          <w:lang w:val="it-IT"/>
        </w:rPr>
        <w:t xml:space="preserve">, due risultano essere non contaminati, uno </w:t>
      </w:r>
      <w:r>
        <w:rPr>
          <w:rFonts w:hAnsi="Book Antiqua" w:hint="default"/>
          <w:rtl w:val="0"/>
          <w:lang w:val="it-IT"/>
        </w:rPr>
        <w:t xml:space="preserve">è </w:t>
      </w:r>
      <w:r>
        <w:rPr>
          <w:rFonts w:ascii="Book Antiqua"/>
          <w:rtl w:val="0"/>
          <w:lang w:val="it-IT"/>
        </w:rPr>
        <w:t xml:space="preserve">caratterizzato da superamenti delle CSC per i parametri Ferro e Manganese ed il restante per i parametri nichel e solfati. </w:t>
      </w:r>
    </w:p>
    <w:p>
      <w:pPr>
        <w:pStyle w:val="Normal"/>
        <w:ind w:left="567" w:right="567" w:firstLine="0"/>
        <w:jc w:val="both"/>
        <w:rPr>
          <w:rFonts w:ascii="Book Antiqua" w:cs="Book Antiqua" w:hAnsi="Book Antiqua" w:eastAsia="Book Antiqua"/>
        </w:rPr>
      </w:pPr>
      <w:r>
        <w:rPr>
          <w:rFonts w:ascii="Book Antiqua"/>
          <w:rtl w:val="0"/>
          <w:lang w:val="it-IT"/>
        </w:rPr>
        <w:t xml:space="preserve">Il collegio dunque conclude affermando che a monte della discarica, </w:t>
      </w:r>
      <w:r>
        <w:rPr>
          <w:rFonts w:hAnsi="Book Antiqua" w:hint="default"/>
          <w:rtl w:val="0"/>
          <w:lang w:val="it-IT"/>
        </w:rPr>
        <w:t>“</w:t>
      </w:r>
      <w:r>
        <w:rPr>
          <w:rFonts w:ascii="Book Antiqua"/>
          <w:rtl w:val="0"/>
          <w:lang w:val="it-IT"/>
        </w:rPr>
        <w:t>ossia dove questa non pu</w:t>
      </w:r>
      <w:r>
        <w:rPr>
          <w:rFonts w:hAnsi="Book Antiqua" w:hint="default"/>
          <w:rtl w:val="0"/>
          <w:lang w:val="it-IT"/>
        </w:rPr>
        <w:t xml:space="preserve">ò </w:t>
      </w:r>
      <w:r>
        <w:rPr>
          <w:rFonts w:ascii="Book Antiqua"/>
          <w:rtl w:val="0"/>
          <w:lang w:val="it-IT"/>
        </w:rPr>
        <w:t>esplicare la propria influenza</w:t>
      </w:r>
      <w:r>
        <w:rPr>
          <w:rFonts w:hAnsi="Book Antiqua" w:hint="default"/>
          <w:rtl w:val="0"/>
          <w:lang w:val="it-IT"/>
        </w:rPr>
        <w:t>”</w:t>
      </w:r>
      <w:r>
        <w:rPr>
          <w:rFonts w:ascii="Book Antiqua"/>
          <w:rtl w:val="0"/>
          <w:lang w:val="it-IT"/>
        </w:rPr>
        <w:t xml:space="preserve">, esistono aree dove la falda superficiale non </w:t>
      </w:r>
      <w:r>
        <w:rPr>
          <w:rFonts w:hAnsi="Book Antiqua" w:hint="default"/>
          <w:rtl w:val="0"/>
          <w:lang w:val="it-IT"/>
        </w:rPr>
        <w:t xml:space="preserve">è </w:t>
      </w:r>
      <w:r>
        <w:rPr>
          <w:rFonts w:ascii="Book Antiqua"/>
          <w:rtl w:val="0"/>
          <w:lang w:val="it-IT"/>
        </w:rPr>
        <w:t>contaminata e zone dove risulta essere contaminata, anche se a livelli inferiori rispetto a quelli riscontrati in prossimit</w:t>
      </w:r>
      <w:r>
        <w:rPr>
          <w:rFonts w:hAnsi="Book Antiqua" w:hint="default"/>
          <w:rtl w:val="0"/>
          <w:lang w:val="it-IT"/>
        </w:rPr>
        <w:t xml:space="preserve">à </w:t>
      </w:r>
      <w:r>
        <w:rPr>
          <w:rFonts w:ascii="Book Antiqua"/>
          <w:rtl w:val="0"/>
          <w:lang w:val="it-IT"/>
        </w:rPr>
        <w:t>della discarica gestita dalla Giovi.</w:t>
      </w:r>
    </w:p>
    <w:p>
      <w:pPr>
        <w:pStyle w:val="Normal"/>
        <w:ind w:left="567" w:right="567" w:firstLine="0"/>
        <w:jc w:val="both"/>
        <w:rPr>
          <w:rFonts w:ascii="Book Antiqua Bold" w:cs="Book Antiqua Bold" w:hAnsi="Book Antiqua Bold" w:eastAsia="Book Antiqua Bold"/>
          <w:b w:val="1"/>
          <w:bCs w:val="1"/>
          <w:u w:val="single"/>
        </w:rPr>
      </w:pPr>
    </w:p>
    <w:p>
      <w:pPr>
        <w:pStyle w:val="Normal"/>
        <w:ind w:right="567" w:firstLine="567"/>
        <w:jc w:val="both"/>
        <w:rPr>
          <w:rFonts w:ascii="Book Antiqua" w:cs="Book Antiqua" w:hAnsi="Book Antiqua" w:eastAsia="Book Antiqua"/>
          <w:i w:val="1"/>
          <w:iCs w:val="1"/>
          <w:u w:val="single"/>
        </w:rPr>
      </w:pPr>
      <w:r>
        <w:rPr>
          <w:rFonts w:ascii="Book Antiqua"/>
          <w:i w:val="1"/>
          <w:iCs w:val="1"/>
          <w:u w:val="single"/>
          <w:rtl w:val="0"/>
          <w:lang w:val="it-IT"/>
        </w:rPr>
        <w:t>Risposta al quesito 5</w:t>
      </w:r>
    </w:p>
    <w:p>
      <w:pPr>
        <w:pStyle w:val="Normal"/>
        <w:ind w:left="567" w:right="567" w:firstLine="0"/>
        <w:jc w:val="both"/>
        <w:rPr>
          <w:rFonts w:ascii="Book Antiqua" w:cs="Book Antiqua" w:hAnsi="Book Antiqua" w:eastAsia="Book Antiqua"/>
          <w:i w:val="1"/>
          <w:iCs w:val="1"/>
        </w:rPr>
      </w:pPr>
      <w:r>
        <w:rPr>
          <w:rFonts w:ascii="Book Antiqua"/>
          <w:rtl w:val="0"/>
          <w:lang w:val="it-IT"/>
        </w:rPr>
        <w:t xml:space="preserve">Il quesito 5 era: </w:t>
      </w:r>
      <w:r>
        <w:rPr>
          <w:rFonts w:hAnsi="Book Antiqua" w:hint="default"/>
          <w:rtl w:val="0"/>
          <w:lang w:val="it-IT"/>
        </w:rPr>
        <w:t>“</w:t>
      </w:r>
      <w:r>
        <w:rPr>
          <w:rFonts w:ascii="Book Antiqua"/>
          <w:rtl w:val="0"/>
          <w:lang w:val="it-IT"/>
        </w:rPr>
        <w:t xml:space="preserve">se </w:t>
      </w:r>
      <w:r>
        <w:rPr>
          <w:rFonts w:hAnsi="Book Antiqua" w:hint="default"/>
          <w:rtl w:val="0"/>
          <w:lang w:val="it-IT"/>
        </w:rPr>
        <w:t xml:space="preserve">è </w:t>
      </w:r>
      <w:r>
        <w:rPr>
          <w:rFonts w:ascii="Book Antiqua"/>
          <w:rtl w:val="0"/>
          <w:lang w:val="it-IT"/>
        </w:rPr>
        <w:t>vero che molti degli agenti inquinanti rinvenuti sarebbero componenti suscettibili di essere ragionevolmente considerate come caratteristiche del percolato, e comunque dell</w:t>
      </w:r>
      <w:r>
        <w:rPr>
          <w:rFonts w:hAnsi="Book Antiqua" w:hint="default"/>
          <w:rtl w:val="0"/>
          <w:lang w:val="it-IT"/>
        </w:rPr>
        <w:t>’</w:t>
      </w:r>
      <w:r>
        <w:rPr>
          <w:rFonts w:ascii="Book Antiqua"/>
          <w:rtl w:val="0"/>
          <w:lang w:val="it-IT"/>
        </w:rPr>
        <w:t>inquinamento da discarica</w:t>
      </w:r>
      <w:r>
        <w:rPr>
          <w:rFonts w:hAnsi="Book Antiqua" w:hint="default"/>
          <w:rtl w:val="0"/>
          <w:lang w:val="it-IT"/>
        </w:rPr>
        <w:t>”</w:t>
      </w:r>
      <w:r>
        <w:rPr>
          <w:rFonts w:ascii="Book Antiqua"/>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Secondo il collegio, appare evidente che alcuni analisi riscontrati sono ragionevolmente attribuibili a percolato (cloruri, azoto ammoniacale, potenziale redox, nbutilbenzensulfonammide e ossidabilit</w:t>
      </w:r>
      <w:r>
        <w:rPr>
          <w:rFonts w:hAnsi="Book Antiqua" w:hint="default"/>
          <w:rtl w:val="0"/>
          <w:lang w:val="it-IT"/>
        </w:rPr>
        <w:t xml:space="preserve">à </w:t>
      </w:r>
      <w:r>
        <w:rPr>
          <w:rFonts w:ascii="Book Antiqua"/>
          <w:rtl w:val="0"/>
          <w:lang w:val="it-IT"/>
        </w:rPr>
        <w:t>di kubel) mentre altri (ferro e manganese soprattutto) sono riconducibili all'introduzione nella falda di materiale organico riducente contenuto nel percolato (sostanza organica carboniosa, azoto ammoniacale), che induce un fenomeno degradativo di tipo inevitabilmente anossico, con riduzione degli elementi ossidati presenti nel terreno e la conseguente loro lisciviazione, data la differente solubilit</w:t>
      </w:r>
      <w:r>
        <w:rPr>
          <w:rFonts w:hAnsi="Book Antiqua" w:hint="default"/>
          <w:rtl w:val="0"/>
          <w:lang w:val="it-IT"/>
        </w:rPr>
        <w:t xml:space="preserve">à </w:t>
      </w:r>
      <w:r>
        <w:rPr>
          <w:rFonts w:ascii="Book Antiqua"/>
          <w:rtl w:val="0"/>
          <w:lang w:val="it-IT"/>
        </w:rPr>
        <w:t>tra forme ossidate e forme ridotte. La presenza di molecole potenzialmente traccianti, come la nbutilbenzensulfonammide, conferma quanto osservato.</w:t>
      </w:r>
    </w:p>
    <w:p>
      <w:pPr>
        <w:pStyle w:val="Paragrafo elenco1"/>
        <w:spacing w:after="0" w:line="240" w:lineRule="auto"/>
        <w:ind w:left="567" w:right="567" w:firstLine="0"/>
        <w:jc w:val="both"/>
        <w:rPr>
          <w:rFonts w:ascii="Book Antiqua" w:cs="Book Antiqua" w:hAnsi="Book Antiqua" w:eastAsia="Book Antiqua"/>
          <w:i w:val="1"/>
          <w:iCs w:val="1"/>
          <w:sz w:val="24"/>
          <w:szCs w:val="24"/>
        </w:rPr>
      </w:pPr>
    </w:p>
    <w:p>
      <w:pPr>
        <w:pStyle w:val="Normal"/>
        <w:ind w:right="567" w:firstLine="567"/>
        <w:jc w:val="both"/>
        <w:rPr>
          <w:rFonts w:ascii="Book Antiqua" w:cs="Book Antiqua" w:hAnsi="Book Antiqua" w:eastAsia="Book Antiqua"/>
          <w:i w:val="1"/>
          <w:iCs w:val="1"/>
          <w:u w:val="single"/>
        </w:rPr>
      </w:pPr>
      <w:r>
        <w:rPr>
          <w:rFonts w:ascii="Book Antiqua"/>
          <w:i w:val="1"/>
          <w:iCs w:val="1"/>
          <w:u w:val="single"/>
          <w:rtl w:val="0"/>
          <w:lang w:val="it-IT"/>
        </w:rPr>
        <w:t>Risposta al quesito 6</w:t>
      </w:r>
    </w:p>
    <w:p>
      <w:pPr>
        <w:pStyle w:val="Normal"/>
        <w:ind w:left="567" w:right="567" w:firstLine="0"/>
        <w:jc w:val="both"/>
        <w:rPr>
          <w:rFonts w:ascii="Book Antiqua Bold" w:cs="Book Antiqua Bold" w:hAnsi="Book Antiqua Bold" w:eastAsia="Book Antiqua Bold"/>
          <w:b w:val="1"/>
          <w:bCs w:val="1"/>
          <w:u w:val="single"/>
        </w:rPr>
      </w:pPr>
      <w:r>
        <w:rPr>
          <w:rFonts w:ascii="Book Antiqua"/>
          <w:rtl w:val="0"/>
          <w:lang w:val="it-IT"/>
        </w:rPr>
        <w:t xml:space="preserve">Il quesito era: </w:t>
      </w:r>
      <w:r>
        <w:rPr>
          <w:rFonts w:hAnsi="Book Antiqua" w:hint="default"/>
          <w:rtl w:val="0"/>
          <w:lang w:val="it-IT"/>
        </w:rPr>
        <w:t>“</w:t>
      </w:r>
      <w:r>
        <w:rPr>
          <w:rFonts w:ascii="Book Antiqua"/>
          <w:rtl w:val="0"/>
          <w:lang w:val="it-IT"/>
        </w:rPr>
        <w:t xml:space="preserve">se </w:t>
      </w:r>
      <w:r>
        <w:rPr>
          <w:rFonts w:hAnsi="Book Antiqua" w:hint="default"/>
          <w:rtl w:val="0"/>
          <w:lang w:val="it-IT"/>
        </w:rPr>
        <w:t xml:space="preserve">è </w:t>
      </w:r>
      <w:r>
        <w:rPr>
          <w:rFonts w:ascii="Book Antiqua"/>
          <w:rtl w:val="0"/>
          <w:lang w:val="it-IT"/>
        </w:rPr>
        <w:t>vero, infine, che nell</w:t>
      </w:r>
      <w:r>
        <w:rPr>
          <w:rFonts w:hAnsi="Book Antiqua" w:hint="default"/>
          <w:rtl w:val="0"/>
          <w:lang w:val="it-IT"/>
        </w:rPr>
        <w:t>’</w:t>
      </w:r>
      <w:r>
        <w:rPr>
          <w:rFonts w:ascii="Book Antiqua"/>
          <w:rtl w:val="0"/>
          <w:lang w:val="it-IT"/>
        </w:rPr>
        <w:t>area si registrerebbe una concentrazione particolarmente elevata ma disomogenea di metalli nei vari punti di indagine, anche molto vicini tra loro</w:t>
      </w:r>
      <w:r>
        <w:rPr>
          <w:rFonts w:hAnsi="Book Antiqua" w:hint="default"/>
          <w:rtl w:val="0"/>
          <w:lang w:val="it-IT"/>
        </w:rPr>
        <w:t>”</w:t>
      </w:r>
      <w:r>
        <w:rPr>
          <w:rFonts w:ascii="Book Antiqua"/>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 xml:space="preserve">Per rispondere al quesito, il collegio si </w:t>
      </w:r>
      <w:r>
        <w:rPr>
          <w:rFonts w:hAnsi="Book Antiqua" w:hint="default"/>
          <w:rtl w:val="0"/>
          <w:lang w:val="it-IT"/>
        </w:rPr>
        <w:t xml:space="preserve">è </w:t>
      </w:r>
      <w:r>
        <w:rPr>
          <w:rFonts w:ascii="Book Antiqua"/>
          <w:rtl w:val="0"/>
          <w:lang w:val="it-IT"/>
        </w:rPr>
        <w:t>basato sulle mappe di concentrazione degli inquinanti riportate nella relazione tecnica di ARPA Lazio presentata nell</w:t>
      </w:r>
      <w:r>
        <w:rPr>
          <w:rFonts w:hAnsi="Book Antiqua" w:hint="default"/>
          <w:rtl w:val="0"/>
          <w:lang w:val="it-IT"/>
        </w:rPr>
        <w:t>’</w:t>
      </w:r>
      <w:r>
        <w:rPr>
          <w:rFonts w:ascii="Book Antiqua"/>
          <w:rtl w:val="0"/>
          <w:lang w:val="it-IT"/>
        </w:rPr>
        <w:t>ambito dei procedimenti presso il TAR Lazio n. 7675, 8817 e 9062 del 2011.</w:t>
      </w:r>
    </w:p>
    <w:p>
      <w:pPr>
        <w:pStyle w:val="Normal"/>
        <w:ind w:left="567" w:right="567" w:firstLine="0"/>
        <w:jc w:val="both"/>
        <w:rPr>
          <w:rFonts w:ascii="Book Antiqua" w:cs="Book Antiqua" w:hAnsi="Book Antiqua" w:eastAsia="Book Antiqua"/>
        </w:rPr>
      </w:pPr>
      <w:r>
        <w:rPr>
          <w:rFonts w:ascii="Book Antiqua"/>
          <w:rtl w:val="0"/>
          <w:lang w:val="it-IT"/>
        </w:rPr>
        <w:t xml:space="preserve">Sulla base delle risultanze analitiche di rilievi eseguiti su acque sotterranee interne ed esterne al </w:t>
      </w:r>
      <w:r>
        <w:rPr>
          <w:rFonts w:ascii="Book Antiqua"/>
          <w:i w:val="1"/>
          <w:iCs w:val="1"/>
          <w:rtl w:val="0"/>
          <w:lang w:val="it-IT"/>
        </w:rPr>
        <w:t>polder</w:t>
      </w:r>
      <w:r>
        <w:rPr>
          <w:rFonts w:ascii="Book Antiqua"/>
          <w:rtl w:val="0"/>
          <w:lang w:val="it-IT"/>
        </w:rPr>
        <w:t xml:space="preserve">, vengono riscontrate concentrazioni di metalli elevate e disomogenee nei vari punti di indagine anche molto vicini tra loro (un esempio </w:t>
      </w:r>
      <w:r>
        <w:rPr>
          <w:rFonts w:hAnsi="Book Antiqua" w:hint="default"/>
          <w:rtl w:val="0"/>
          <w:lang w:val="it-IT"/>
        </w:rPr>
        <w:t xml:space="preserve">è </w:t>
      </w:r>
      <w:r>
        <w:rPr>
          <w:rFonts w:ascii="Book Antiqua"/>
          <w:rtl w:val="0"/>
          <w:lang w:val="it-IT"/>
        </w:rPr>
        <w:t xml:space="preserve">costituito dalla presenza di ferro nei piezometri NP5 ed NP7). Analoghi esempi si riscontrano per altri parametri indicatori di inquinamento, quale il manganese. Tali differenze possono essere ricondotte ad un differente flusso advettivo e dispersivo in uscita dal perimetro del </w:t>
      </w:r>
      <w:r>
        <w:rPr>
          <w:rFonts w:ascii="Book Antiqua"/>
          <w:i w:val="1"/>
          <w:iCs w:val="1"/>
          <w:rtl w:val="0"/>
          <w:lang w:val="it-IT"/>
        </w:rPr>
        <w:t>polder</w:t>
      </w:r>
      <w:r>
        <w:rPr>
          <w:rFonts w:ascii="Book Antiqua"/>
          <w:rtl w:val="0"/>
          <w:lang w:val="it-IT"/>
        </w:rPr>
        <w:t xml:space="preserve">. </w:t>
      </w:r>
      <w:r>
        <w:rPr>
          <w:rFonts w:hAnsi="Book Antiqua" w:hint="default"/>
          <w:rtl w:val="0"/>
          <w:lang w:val="it-IT"/>
        </w:rPr>
        <w:t xml:space="preserve">È </w:t>
      </w:r>
      <w:r>
        <w:rPr>
          <w:rFonts w:ascii="Book Antiqua"/>
          <w:rtl w:val="0"/>
          <w:lang w:val="it-IT"/>
        </w:rPr>
        <w:t>inoltre da tenere in considerazione la disomogeneit</w:t>
      </w:r>
      <w:r>
        <w:rPr>
          <w:rFonts w:hAnsi="Book Antiqua" w:hint="default"/>
          <w:rtl w:val="0"/>
          <w:lang w:val="it-IT"/>
        </w:rPr>
        <w:t xml:space="preserve">à </w:t>
      </w:r>
      <w:r>
        <w:rPr>
          <w:rFonts w:ascii="Book Antiqua"/>
          <w:rtl w:val="0"/>
          <w:lang w:val="it-IT"/>
        </w:rPr>
        <w:t>dei parametri idrodinamici dell</w:t>
      </w:r>
      <w:r>
        <w:rPr>
          <w:rFonts w:hAnsi="Book Antiqua" w:hint="default"/>
          <w:rtl w:val="0"/>
          <w:lang w:val="it-IT"/>
        </w:rPr>
        <w:t>’</w:t>
      </w:r>
      <w:r>
        <w:rPr>
          <w:rFonts w:ascii="Book Antiqua"/>
          <w:rtl w:val="0"/>
          <w:lang w:val="it-IT"/>
        </w:rPr>
        <w:t>acquifero, e conseguentemente del campo di moto di falda e della propagazione dei contaminanti, della sua composizione mineralogica, con differente intensit</w:t>
      </w:r>
      <w:r>
        <w:rPr>
          <w:rFonts w:hAnsi="Book Antiqua" w:hint="default"/>
          <w:rtl w:val="0"/>
          <w:lang w:val="it-IT"/>
        </w:rPr>
        <w:t xml:space="preserve">à </w:t>
      </w:r>
      <w:r>
        <w:rPr>
          <w:rFonts w:ascii="Book Antiqua"/>
          <w:rtl w:val="0"/>
          <w:lang w:val="it-IT"/>
        </w:rPr>
        <w:t>dei fenomeni di lisciviazione chimica precedentemente descritti.</w:t>
      </w:r>
    </w:p>
    <w:p>
      <w:pPr>
        <w:pStyle w:val="Normal"/>
        <w:ind w:left="567" w:right="567" w:firstLine="0"/>
        <w:jc w:val="both"/>
        <w:rPr>
          <w:rFonts w:ascii="Book Antiqua Bold" w:cs="Book Antiqua Bold" w:hAnsi="Book Antiqua Bold" w:eastAsia="Book Antiqua Bold"/>
          <w:b w:val="1"/>
          <w:bCs w:val="1"/>
        </w:rPr>
      </w:pPr>
    </w:p>
    <w:p>
      <w:pPr>
        <w:pStyle w:val="Normal"/>
        <w:ind w:left="567" w:right="567" w:firstLine="0"/>
        <w:jc w:val="both"/>
        <w:rPr>
          <w:rFonts w:ascii="Book Antiqua" w:cs="Book Antiqua" w:hAnsi="Book Antiqua" w:eastAsia="Book Antiqua"/>
          <w:i w:val="1"/>
          <w:iCs w:val="1"/>
          <w:u w:val="single"/>
        </w:rPr>
      </w:pPr>
      <w:r>
        <w:rPr>
          <w:rFonts w:ascii="Book Antiqua"/>
          <w:i w:val="1"/>
          <w:iCs w:val="1"/>
          <w:u w:val="single"/>
          <w:rtl w:val="0"/>
          <w:lang w:val="it-IT"/>
        </w:rPr>
        <w:t>Le conclusioni del collegio dei verificatori</w:t>
      </w:r>
    </w:p>
    <w:p>
      <w:pPr>
        <w:pStyle w:val="Normal"/>
        <w:ind w:left="567" w:right="567" w:firstLine="0"/>
        <w:jc w:val="both"/>
        <w:rPr>
          <w:rFonts w:ascii="Book Antiqua" w:cs="Book Antiqua" w:hAnsi="Book Antiqua" w:eastAsia="Book Antiqua"/>
        </w:rPr>
      </w:pPr>
      <w:r>
        <w:rPr>
          <w:rFonts w:ascii="Book Antiqua"/>
          <w:rtl w:val="0"/>
          <w:lang w:val="it-IT"/>
        </w:rPr>
        <w:t>La rilevanza dell</w:t>
      </w:r>
      <w:r>
        <w:rPr>
          <w:rFonts w:hAnsi="Book Antiqua" w:hint="default"/>
          <w:rtl w:val="0"/>
          <w:lang w:val="it-IT"/>
        </w:rPr>
        <w:t>’</w:t>
      </w:r>
      <w:r>
        <w:rPr>
          <w:rFonts w:ascii="Book Antiqua"/>
          <w:rtl w:val="0"/>
          <w:lang w:val="it-IT"/>
        </w:rPr>
        <w:t>attivit</w:t>
      </w:r>
      <w:r>
        <w:rPr>
          <w:rFonts w:hAnsi="Book Antiqua" w:hint="default"/>
          <w:rtl w:val="0"/>
          <w:lang w:val="it-IT"/>
        </w:rPr>
        <w:t xml:space="preserve">à </w:t>
      </w:r>
      <w:r>
        <w:rPr>
          <w:rFonts w:ascii="Book Antiqua"/>
          <w:rtl w:val="0"/>
          <w:lang w:val="it-IT"/>
        </w:rPr>
        <w:t>dei verificatori [</w:t>
      </w:r>
      <w:r>
        <w:rPr>
          <w:rFonts w:hAnsi="Book Antiqua" w:hint="default"/>
          <w:rtl w:val="0"/>
          <w:lang w:val="it-IT"/>
        </w:rPr>
        <w:t>…</w:t>
      </w:r>
      <w:r>
        <w:rPr>
          <w:rFonts w:ascii="Book Antiqua"/>
          <w:rtl w:val="0"/>
          <w:lang w:val="it-IT"/>
        </w:rPr>
        <w:t>] e delle risposte da loro date ai quesiti del Consiglio di Stato risiede principalmente nel giudizio di merito sulla idoneit</w:t>
      </w:r>
      <w:r>
        <w:rPr>
          <w:rFonts w:hAnsi="Book Antiqua" w:hint="default"/>
          <w:rtl w:val="0"/>
          <w:lang w:val="it-IT"/>
        </w:rPr>
        <w:t xml:space="preserve">à </w:t>
      </w:r>
      <w:r>
        <w:rPr>
          <w:rFonts w:ascii="Book Antiqua"/>
          <w:rtl w:val="0"/>
          <w:lang w:val="it-IT"/>
        </w:rPr>
        <w:t>ed efficacia degli interventi richiesti dall'ordinanza sindacale n. 255/2010 ai fini della tutela della salute pubblica e della risorsa idrica sotterranea; le stesse prescrizioni sono ritenute tecnicamente realizzabili, contro gli argomenti costantemente sostenuti dalla E. Giovi S.r.l. .</w:t>
      </w: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rPr>
      </w:pPr>
      <w:r>
        <w:rPr>
          <w:rFonts w:ascii="Book Antiqua"/>
          <w:rtl w:val="0"/>
          <w:lang w:val="it-IT"/>
        </w:rPr>
        <w:t>I temi sono stati sviluppati nella citata audizione dei docenti del Politecnico di Torino, dalla quale l</w:t>
      </w:r>
      <w:r>
        <w:rPr>
          <w:rFonts w:hAnsi="Book Antiqua" w:hint="default"/>
          <w:rtl w:val="0"/>
          <w:lang w:val="it-IT"/>
        </w:rPr>
        <w:t>’</w:t>
      </w:r>
      <w:r>
        <w:rPr>
          <w:rFonts w:ascii="Book Antiqua"/>
          <w:rtl w:val="0"/>
          <w:lang w:val="it-IT"/>
        </w:rPr>
        <w:t>attualit</w:t>
      </w:r>
      <w:r>
        <w:rPr>
          <w:rFonts w:hAnsi="Book Antiqua" w:hint="default"/>
          <w:rtl w:val="0"/>
          <w:lang w:val="it-IT"/>
        </w:rPr>
        <w:t xml:space="preserve">à </w:t>
      </w:r>
      <w:r>
        <w:rPr>
          <w:rFonts w:ascii="Book Antiqua"/>
          <w:rtl w:val="0"/>
          <w:lang w:val="it-IT"/>
        </w:rPr>
        <w:t>dell</w:t>
      </w:r>
      <w:r>
        <w:rPr>
          <w:rFonts w:hAnsi="Book Antiqua" w:hint="default"/>
          <w:rtl w:val="0"/>
          <w:lang w:val="it-IT"/>
        </w:rPr>
        <w:t>’</w:t>
      </w:r>
      <w:r>
        <w:rPr>
          <w:rFonts w:ascii="Book Antiqua"/>
          <w:rtl w:val="0"/>
          <w:lang w:val="it-IT"/>
        </w:rPr>
        <w:t xml:space="preserve">alterazione ambientale </w:t>
      </w:r>
      <w:r>
        <w:rPr>
          <w:rFonts w:hAnsi="Book Antiqua" w:hint="default"/>
          <w:rtl w:val="0"/>
          <w:lang w:val="it-IT"/>
        </w:rPr>
        <w:t xml:space="preserve">è </w:t>
      </w:r>
      <w:r>
        <w:rPr>
          <w:rFonts w:ascii="Book Antiqua"/>
          <w:rtl w:val="0"/>
          <w:lang w:val="it-IT"/>
        </w:rPr>
        <w:t xml:space="preserve">stata confermata. </w:t>
      </w:r>
    </w:p>
    <w:p>
      <w:pPr>
        <w:pStyle w:val="Normal"/>
        <w:ind w:left="567" w:right="567" w:firstLine="0"/>
        <w:jc w:val="both"/>
        <w:rPr>
          <w:rFonts w:ascii="Book Antiqua" w:cs="Book Antiqua" w:hAnsi="Book Antiqua" w:eastAsia="Book Antiqua"/>
        </w:rPr>
      </w:pPr>
      <w:r>
        <w:rPr>
          <w:rFonts w:ascii="Book Antiqua"/>
          <w:rtl w:val="0"/>
          <w:lang w:val="it-IT"/>
        </w:rPr>
        <w:t xml:space="preserve">Lo </w:t>
      </w:r>
      <w:r>
        <w:rPr>
          <w:rFonts w:hAnsi="Book Antiqua" w:hint="default"/>
          <w:rtl w:val="0"/>
          <w:lang w:val="it-IT"/>
        </w:rPr>
        <w:t xml:space="preserve">è </w:t>
      </w:r>
      <w:r>
        <w:rPr>
          <w:rFonts w:ascii="Book Antiqua"/>
          <w:rtl w:val="0"/>
          <w:lang w:val="it-IT"/>
        </w:rPr>
        <w:t xml:space="preserve">stata anche la natura degli interventi richiesti; ad esempio, a domanda della Commissione, Mariachiara Zanetti ha affermato: </w:t>
      </w:r>
    </w:p>
    <w:p>
      <w:pPr>
        <w:pStyle w:val="Normal"/>
        <w:ind w:left="567" w:right="567" w:firstLine="0"/>
        <w:jc w:val="both"/>
        <w:rPr>
          <w:rFonts w:ascii="Book Antiqua" w:cs="Book Antiqua" w:hAnsi="Book Antiqua" w:eastAsia="Book Antiqua"/>
          <w:color w:val="262626"/>
          <w:u w:color="262626"/>
        </w:rPr>
      </w:pPr>
      <w:r>
        <w:rPr>
          <w:rFonts w:hAnsi="Book Antiqua" w:hint="default"/>
          <w:rtl w:val="0"/>
          <w:lang w:val="it-IT"/>
        </w:rPr>
        <w:t>“</w:t>
      </w:r>
      <w:r>
        <w:rPr>
          <w:rFonts w:ascii="Book Antiqua"/>
          <w:color w:val="262626"/>
          <w:u w:color="262626"/>
          <w:rtl w:val="0"/>
          <w:lang w:val="it-IT"/>
        </w:rPr>
        <w:t xml:space="preserve">annullare il dislivello tra </w:t>
      </w:r>
      <w:r>
        <w:rPr>
          <w:rFonts w:ascii="Book Antiqua"/>
          <w:i w:val="1"/>
          <w:iCs w:val="1"/>
          <w:color w:val="262626"/>
          <w:u w:color="262626"/>
          <w:rtl w:val="0"/>
          <w:lang w:val="it-IT"/>
        </w:rPr>
        <w:t>polder</w:t>
      </w:r>
      <w:r>
        <w:rPr>
          <w:rFonts w:ascii="Book Antiqua"/>
          <w:color w:val="262626"/>
          <w:u w:color="262626"/>
          <w:rtl w:val="0"/>
          <w:lang w:val="it-IT"/>
        </w:rPr>
        <w:t xml:space="preserve"> e falda </w:t>
      </w:r>
      <w:r>
        <w:rPr>
          <w:rFonts w:hAnsi="Book Antiqua" w:hint="default"/>
          <w:color w:val="262626"/>
          <w:u w:color="262626"/>
          <w:rtl w:val="0"/>
          <w:lang w:val="it-IT"/>
        </w:rPr>
        <w:t xml:space="preserve">è </w:t>
      </w:r>
      <w:r>
        <w:rPr>
          <w:rFonts w:ascii="Book Antiqua"/>
          <w:color w:val="262626"/>
          <w:u w:color="262626"/>
          <w:rtl w:val="0"/>
          <w:lang w:val="it-IT"/>
        </w:rPr>
        <w:t>un buon sistema per limitare o addirittura eliminare, se si arriva fino ad annullare totalmente il dislivello, la fuoriuscita e l'interferenza tra la discarica e la falda. Mi permetto di osservare che forse si potrebbe aggiungere un drenaggio del percolato all'interno della discarica. Questo intervento potrebbe accelerare i tempi per riuscire a eliminare alla fonte l'inquinamento perch</w:t>
      </w:r>
      <w:r>
        <w:rPr>
          <w:rFonts w:hAnsi="Book Antiqua" w:hint="default"/>
          <w:color w:val="262626"/>
          <w:u w:color="262626"/>
          <w:rtl w:val="0"/>
          <w:lang w:val="it-IT"/>
        </w:rPr>
        <w:t>é</w:t>
      </w:r>
      <w:r>
        <w:rPr>
          <w:rFonts w:ascii="Book Antiqua"/>
          <w:color w:val="262626"/>
          <w:u w:color="262626"/>
          <w:rtl w:val="0"/>
          <w:lang w:val="it-IT"/>
        </w:rPr>
        <w:t xml:space="preserve">, se si interviene drenando l'acqua di falda tra la discarica e il </w:t>
      </w:r>
      <w:r>
        <w:rPr>
          <w:rFonts w:ascii="Book Antiqua"/>
          <w:i w:val="1"/>
          <w:iCs w:val="1"/>
          <w:color w:val="262626"/>
          <w:u w:color="262626"/>
          <w:rtl w:val="0"/>
          <w:lang w:val="it-IT"/>
        </w:rPr>
        <w:t>polder</w:t>
      </w:r>
      <w:r>
        <w:rPr>
          <w:rFonts w:ascii="Book Antiqua"/>
          <w:color w:val="262626"/>
          <w:u w:color="262626"/>
          <w:rtl w:val="0"/>
          <w:lang w:val="it-IT"/>
        </w:rPr>
        <w:t xml:space="preserve">, si limita la fuoriuscita di acqua che </w:t>
      </w:r>
      <w:r>
        <w:rPr>
          <w:rFonts w:hAnsi="Book Antiqua" w:hint="default"/>
          <w:color w:val="262626"/>
          <w:u w:color="262626"/>
          <w:rtl w:val="0"/>
          <w:lang w:val="it-IT"/>
        </w:rPr>
        <w:t xml:space="preserve">è </w:t>
      </w:r>
      <w:r>
        <w:rPr>
          <w:rFonts w:ascii="Book Antiqua"/>
          <w:color w:val="262626"/>
          <w:u w:color="262626"/>
          <w:rtl w:val="0"/>
          <w:lang w:val="it-IT"/>
        </w:rPr>
        <w:t xml:space="preserve">venuta a contatto con il percolato. Infatti la fonte dell'inquinamento </w:t>
      </w:r>
      <w:r>
        <w:rPr>
          <w:rFonts w:hAnsi="Book Antiqua" w:hint="default"/>
          <w:color w:val="262626"/>
          <w:u w:color="262626"/>
          <w:rtl w:val="0"/>
          <w:lang w:val="it-IT"/>
        </w:rPr>
        <w:t xml:space="preserve">è </w:t>
      </w:r>
      <w:r>
        <w:rPr>
          <w:rFonts w:ascii="Book Antiqua"/>
          <w:color w:val="262626"/>
          <w:u w:color="262626"/>
          <w:rtl w:val="0"/>
          <w:lang w:val="it-IT"/>
        </w:rPr>
        <w:t>proprio il percolato</w:t>
      </w:r>
      <w:r>
        <w:rPr>
          <w:rFonts w:hAnsi="Book Antiqua" w:hint="default"/>
          <w:color w:val="262626"/>
          <w:u w:color="262626"/>
          <w:rtl w:val="0"/>
          <w:lang w:val="it-IT"/>
        </w:rPr>
        <w:t>”</w:t>
      </w:r>
      <w:r>
        <w:rPr>
          <w:rFonts w:ascii="Book Antiqua"/>
          <w:color w:val="262626"/>
          <w:u w:color="262626"/>
          <w:rtl w:val="0"/>
          <w:lang w:val="it-IT"/>
        </w:rPr>
        <w:t xml:space="preserve">; </w:t>
      </w:r>
    </w:p>
    <w:p>
      <w:pPr>
        <w:pStyle w:val="Normal"/>
        <w:ind w:left="567" w:right="567" w:firstLine="0"/>
        <w:jc w:val="both"/>
        <w:rPr>
          <w:rFonts w:ascii="Book Antiqua" w:cs="Book Antiqua" w:hAnsi="Book Antiqua" w:eastAsia="Book Antiqua"/>
          <w:color w:val="262626"/>
          <w:u w:color="262626"/>
        </w:rPr>
      </w:pPr>
      <w:r>
        <w:rPr>
          <w:rFonts w:ascii="Book Antiqua"/>
          <w:color w:val="262626"/>
          <w:u w:color="262626"/>
          <w:rtl w:val="0"/>
          <w:lang w:val="it-IT"/>
        </w:rPr>
        <w:t xml:space="preserve">e ha aggiunto Rajandrea Sethi: </w:t>
      </w:r>
    </w:p>
    <w:p>
      <w:pPr>
        <w:pStyle w:val="Normal"/>
        <w:ind w:left="567" w:right="567" w:firstLine="0"/>
        <w:jc w:val="both"/>
        <w:rPr>
          <w:rFonts w:ascii="Book Antiqua" w:cs="Book Antiqua" w:hAnsi="Book Antiqua" w:eastAsia="Book Antiqua"/>
        </w:rPr>
      </w:pPr>
      <w:r>
        <w:rPr>
          <w:rFonts w:hAnsi="Book Antiqua" w:hint="default"/>
          <w:color w:val="262626"/>
          <w:u w:color="262626"/>
          <w:rtl w:val="0"/>
          <w:lang w:val="it-IT"/>
        </w:rPr>
        <w:t>“</w:t>
      </w:r>
      <w:r>
        <w:rPr>
          <w:rFonts w:ascii="Book Antiqua"/>
          <w:color w:val="262626"/>
          <w:u w:color="262626"/>
          <w:rtl w:val="0"/>
          <w:lang w:val="it-IT"/>
        </w:rPr>
        <w:t xml:space="preserve">si [possono] ragionevolmente ipotizzare due destini per un sito di questo tipo. Una prima opzione </w:t>
      </w:r>
      <w:r>
        <w:rPr>
          <w:rFonts w:hAnsi="Book Antiqua" w:hint="default"/>
          <w:color w:val="262626"/>
          <w:u w:color="262626"/>
          <w:rtl w:val="0"/>
          <w:lang w:val="it-IT"/>
        </w:rPr>
        <w:t xml:space="preserve">è </w:t>
      </w:r>
      <w:r>
        <w:rPr>
          <w:rFonts w:ascii="Book Antiqua"/>
          <w:color w:val="262626"/>
          <w:u w:color="262626"/>
          <w:rtl w:val="0"/>
          <w:lang w:val="it-IT"/>
        </w:rPr>
        <w:t>che il livello idrico salga abbastanza e che si generi una sorta di equilibrio tra interno ed esterno. Il livello, a un certo punto, si potrebbe stabilizzare, proprio perch</w:t>
      </w:r>
      <w:r>
        <w:rPr>
          <w:rFonts w:hAnsi="Book Antiqua" w:hint="default"/>
          <w:color w:val="262626"/>
          <w:u w:color="262626"/>
          <w:rtl w:val="0"/>
          <w:lang w:val="it-IT"/>
        </w:rPr>
        <w:t xml:space="preserve">é </w:t>
      </w:r>
      <w:r>
        <w:rPr>
          <w:rFonts w:ascii="Book Antiqua"/>
          <w:color w:val="262626"/>
          <w:u w:color="262626"/>
          <w:rtl w:val="0"/>
          <w:lang w:val="it-IT"/>
        </w:rPr>
        <w:t xml:space="preserve">gli afflussi meteorici risulterebbero essere uguali ai deflussi attraverso il </w:t>
      </w:r>
      <w:r>
        <w:rPr>
          <w:rFonts w:ascii="Book Antiqua"/>
          <w:i w:val="1"/>
          <w:iCs w:val="1"/>
          <w:color w:val="262626"/>
          <w:u w:color="262626"/>
          <w:rtl w:val="0"/>
          <w:lang w:val="it-IT"/>
        </w:rPr>
        <w:t>polder</w:t>
      </w:r>
      <w:r>
        <w:rPr>
          <w:rFonts w:ascii="Book Antiqua"/>
          <w:color w:val="262626"/>
          <w:u w:color="262626"/>
          <w:rtl w:val="0"/>
          <w:lang w:val="it-IT"/>
        </w:rPr>
        <w:t xml:space="preserve"> stesso. La seconda ipotesi, che secondo me </w:t>
      </w:r>
      <w:r>
        <w:rPr>
          <w:rFonts w:hAnsi="Book Antiqua" w:hint="default"/>
          <w:color w:val="262626"/>
          <w:u w:color="262626"/>
          <w:rtl w:val="0"/>
          <w:lang w:val="it-IT"/>
        </w:rPr>
        <w:t xml:space="preserve">è </w:t>
      </w:r>
      <w:r>
        <w:rPr>
          <w:rFonts w:ascii="Book Antiqua"/>
          <w:color w:val="262626"/>
          <w:u w:color="262626"/>
          <w:rtl w:val="0"/>
          <w:lang w:val="it-IT"/>
        </w:rPr>
        <w:t xml:space="preserve">quella da evitare, </w:t>
      </w:r>
      <w:r>
        <w:rPr>
          <w:rFonts w:hAnsi="Book Antiqua" w:hint="default"/>
          <w:color w:val="262626"/>
          <w:u w:color="262626"/>
          <w:rtl w:val="0"/>
          <w:lang w:val="it-IT"/>
        </w:rPr>
        <w:t xml:space="preserve">è </w:t>
      </w:r>
      <w:r>
        <w:rPr>
          <w:rFonts w:ascii="Book Antiqua"/>
          <w:color w:val="262626"/>
          <w:u w:color="262626"/>
          <w:rtl w:val="0"/>
          <w:lang w:val="it-IT"/>
        </w:rPr>
        <w:t xml:space="preserve">che ci sia una tracimazione del livello dall'interno all'esterno del </w:t>
      </w:r>
      <w:r>
        <w:rPr>
          <w:rFonts w:ascii="Book Antiqua"/>
          <w:i w:val="1"/>
          <w:iCs w:val="1"/>
          <w:color w:val="262626"/>
          <w:u w:color="262626"/>
          <w:rtl w:val="0"/>
          <w:lang w:val="it-IT"/>
        </w:rPr>
        <w:t>polder</w:t>
      </w:r>
      <w:r>
        <w:rPr>
          <w:rFonts w:ascii="Book Antiqua"/>
          <w:color w:val="262626"/>
          <w:u w:color="262626"/>
          <w:rtl w:val="0"/>
          <w:lang w:val="it-IT"/>
        </w:rPr>
        <w:t xml:space="preserve">. Questa, secondo me, </w:t>
      </w:r>
      <w:r>
        <w:rPr>
          <w:rFonts w:hAnsi="Book Antiqua" w:hint="default"/>
          <w:color w:val="262626"/>
          <w:u w:color="262626"/>
          <w:rtl w:val="0"/>
          <w:lang w:val="it-IT"/>
        </w:rPr>
        <w:t xml:space="preserve">è </w:t>
      </w:r>
      <w:r>
        <w:rPr>
          <w:rFonts w:ascii="Book Antiqua"/>
          <w:color w:val="262626"/>
          <w:u w:color="262626"/>
          <w:rtl w:val="0"/>
          <w:lang w:val="it-IT"/>
        </w:rPr>
        <w:t>sicuramente un'evenienza poco auspicabile</w:t>
      </w:r>
      <w:r>
        <w:rPr>
          <w:rFonts w:hAnsi="Book Antiqua" w:hint="default"/>
          <w:color w:val="262626"/>
          <w:u w:color="262626"/>
          <w:rtl w:val="0"/>
          <w:lang w:val="it-IT"/>
        </w:rPr>
        <w:t>”</w:t>
      </w:r>
      <w:r>
        <w:rPr>
          <w:rFonts w:ascii="Book Antiqua"/>
          <w:color w:val="262626"/>
          <w:u w:color="262626"/>
          <w:rtl w:val="0"/>
          <w:lang w:val="it-IT"/>
        </w:rPr>
        <w:t>.</w:t>
      </w: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sz w:val="28"/>
          <w:szCs w:val="28"/>
        </w:rPr>
      </w:pPr>
      <w:r>
        <w:rPr>
          <w:rFonts w:ascii="Book Antiqua"/>
          <w:sz w:val="28"/>
          <w:szCs w:val="28"/>
          <w:rtl w:val="0"/>
          <w:lang w:val="it-IT"/>
        </w:rPr>
        <w:t xml:space="preserve">3.3.3 Ipotesi di reati ambientali e problemi attuali </w:t>
      </w: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rPr>
      </w:pPr>
      <w:r>
        <w:rPr>
          <w:rFonts w:ascii="Book Antiqua"/>
          <w:rtl w:val="0"/>
          <w:lang w:val="it-IT"/>
        </w:rPr>
        <w:t xml:space="preserve">La situazione ambientale prodotta dalla gestione della discarica di Malagrotta </w:t>
      </w:r>
      <w:r>
        <w:rPr>
          <w:rFonts w:hAnsi="Book Antiqua" w:hint="default"/>
          <w:rtl w:val="0"/>
          <w:lang w:val="it-IT"/>
        </w:rPr>
        <w:t xml:space="preserve">è </w:t>
      </w:r>
      <w:r>
        <w:rPr>
          <w:rFonts w:ascii="Book Antiqua"/>
          <w:rtl w:val="0"/>
          <w:lang w:val="it-IT"/>
        </w:rPr>
        <w:t>ora oggetto di un processo penale, instaurato in fase dibattimentale con il decreto che dispone il giudizio avanti la Corte di assise, emesso dal giudice per le indagini preliminari del tribunale di Roma il 14 luglio 2016.</w:t>
      </w:r>
    </w:p>
    <w:p>
      <w:pPr>
        <w:pStyle w:val="Normal"/>
        <w:ind w:left="567" w:right="567" w:firstLine="0"/>
        <w:jc w:val="both"/>
        <w:rPr>
          <w:rFonts w:ascii="Book Antiqua" w:cs="Book Antiqua" w:hAnsi="Book Antiqua" w:eastAsia="Book Antiqua"/>
        </w:rPr>
      </w:pPr>
      <w:r>
        <w:rPr>
          <w:rFonts w:ascii="Book Antiqua"/>
          <w:rtl w:val="0"/>
          <w:lang w:val="it-IT"/>
        </w:rPr>
        <w:t>La formulazione delle accuse, che ha superato il vaglio dell</w:t>
      </w:r>
      <w:r>
        <w:rPr>
          <w:rFonts w:hAnsi="Book Antiqua" w:hint="default"/>
          <w:rtl w:val="0"/>
          <w:lang w:val="it-IT"/>
        </w:rPr>
        <w:t>’</w:t>
      </w:r>
      <w:r>
        <w:rPr>
          <w:rFonts w:ascii="Book Antiqua"/>
          <w:rtl w:val="0"/>
          <w:lang w:val="it-IT"/>
        </w:rPr>
        <w:t>udienza preliminare, pur dovendosi confrontare con l</w:t>
      </w:r>
      <w:r>
        <w:rPr>
          <w:rFonts w:hAnsi="Book Antiqua" w:hint="default"/>
          <w:rtl w:val="0"/>
          <w:lang w:val="it-IT"/>
        </w:rPr>
        <w:t>’</w:t>
      </w:r>
      <w:r>
        <w:rPr>
          <w:rFonts w:ascii="Book Antiqua"/>
          <w:rtl w:val="0"/>
          <w:lang w:val="it-IT"/>
        </w:rPr>
        <w:t>accertamento nel processo, rappresenta un</w:t>
      </w:r>
      <w:r>
        <w:rPr>
          <w:rFonts w:hAnsi="Book Antiqua" w:hint="default"/>
          <w:rtl w:val="0"/>
          <w:lang w:val="it-IT"/>
        </w:rPr>
        <w:t>’</w:t>
      </w:r>
      <w:r>
        <w:rPr>
          <w:rFonts w:ascii="Book Antiqua"/>
          <w:rtl w:val="0"/>
          <w:lang w:val="it-IT"/>
        </w:rPr>
        <w:t>efficace sintesi delle problematiche che una gestione arcaica del ciclo dei rifiuti ha prodotto; e contribuisce inoltre ad affrontare questioni rilevanti in materia di successione di leggi penali nel tempo, emerse con l</w:t>
      </w:r>
      <w:r>
        <w:rPr>
          <w:rFonts w:hAnsi="Book Antiqua" w:hint="default"/>
          <w:rtl w:val="0"/>
          <w:lang w:val="it-IT"/>
        </w:rPr>
        <w:t>’</w:t>
      </w:r>
      <w:r>
        <w:rPr>
          <w:rFonts w:ascii="Book Antiqua"/>
          <w:rtl w:val="0"/>
          <w:lang w:val="it-IT"/>
        </w:rPr>
        <w:t>entrata in vigore della legge 22 maggio 2015, n. 68</w:t>
      </w:r>
      <w:r>
        <w:rPr>
          <w:rFonts w:ascii="Book Antiqua" w:cs="Book Antiqua" w:hAnsi="Book Antiqua" w:eastAsia="Book Antiqua"/>
          <w:vertAlign w:val="superscript"/>
          <w:rtl w:val="0"/>
        </w:rPr>
        <w:footnoteReference w:id="188"/>
      </w:r>
      <w:r>
        <w:rPr>
          <w:rFonts w:ascii="Book Antiqua"/>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Gli imputati sono Francesco Rando, in qualit</w:t>
      </w:r>
      <w:r>
        <w:rPr>
          <w:rFonts w:hAnsi="Book Antiqua" w:hint="default"/>
          <w:rtl w:val="0"/>
          <w:lang w:val="it-IT"/>
        </w:rPr>
        <w:t xml:space="preserve">à </w:t>
      </w:r>
      <w:r>
        <w:rPr>
          <w:rFonts w:ascii="Book Antiqua"/>
          <w:rtl w:val="0"/>
          <w:lang w:val="it-IT"/>
        </w:rPr>
        <w:t>di legale rappresentante di Giovi S.r.l. e Manlio Cerroni, in qualit</w:t>
      </w:r>
      <w:r>
        <w:rPr>
          <w:rFonts w:hAnsi="Book Antiqua" w:hint="default"/>
          <w:rtl w:val="0"/>
          <w:lang w:val="it-IT"/>
        </w:rPr>
        <w:t xml:space="preserve">à </w:t>
      </w:r>
      <w:r>
        <w:rPr>
          <w:rFonts w:ascii="Book Antiqua"/>
          <w:rtl w:val="0"/>
          <w:lang w:val="it-IT"/>
        </w:rPr>
        <w:t>di legale rappresentante del consorzio Co.La.Ri., ma anche di amministratore di fatto della Giovi.</w:t>
      </w:r>
    </w:p>
    <w:p>
      <w:pPr>
        <w:pStyle w:val="Normal"/>
        <w:ind w:left="567" w:right="567" w:firstLine="0"/>
        <w:jc w:val="both"/>
        <w:rPr>
          <w:rFonts w:ascii="Book Antiqua" w:cs="Book Antiqua" w:hAnsi="Book Antiqua" w:eastAsia="Book Antiqua"/>
        </w:rPr>
      </w:pPr>
      <w:r>
        <w:rPr>
          <w:rFonts w:ascii="Book Antiqua"/>
          <w:rtl w:val="0"/>
          <w:lang w:val="it-IT"/>
        </w:rPr>
        <w:t>Le imputazioni sono cos</w:t>
      </w:r>
      <w:r>
        <w:rPr>
          <w:rFonts w:hAnsi="Book Antiqua" w:hint="default"/>
          <w:rtl w:val="0"/>
          <w:lang w:val="it-IT"/>
        </w:rPr>
        <w:t xml:space="preserve">ì </w:t>
      </w:r>
      <w:r>
        <w:rPr>
          <w:rFonts w:ascii="Book Antiqua"/>
          <w:rtl w:val="0"/>
          <w:lang w:val="it-IT"/>
        </w:rPr>
        <w:t>articolate:</w:t>
      </w: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sz w:val="22"/>
          <w:szCs w:val="22"/>
        </w:rPr>
      </w:pPr>
      <w:r>
        <w:rPr>
          <w:rFonts w:hAnsi="Book Antiqua" w:hint="default"/>
          <w:sz w:val="22"/>
          <w:szCs w:val="22"/>
          <w:rtl w:val="0"/>
          <w:lang w:val="it-IT"/>
        </w:rPr>
        <w:t>“</w:t>
      </w:r>
      <w:r>
        <w:rPr>
          <w:rFonts w:ascii="Book Antiqua"/>
          <w:sz w:val="22"/>
          <w:szCs w:val="22"/>
          <w:rtl w:val="0"/>
          <w:lang w:val="it-IT"/>
        </w:rPr>
        <w:t>A) in ordine ai reati p.e p. dagli articoli 40-41-113-439-452 del codice penale per avere, nelle loro rispettive qualifiche e in cooperazione colposa tra loro, avvelenato acque destinate all'alimentazione e segnatamente le falde acquifere sottostanti l'area interessata dalla discarica di Malagrotta in Roma, utilizzate per l'irrigazione ed emunte da pozzi artesiani per l'allevamento di animali.</w:t>
      </w:r>
    </w:p>
    <w:p>
      <w:pPr>
        <w:pStyle w:val="Normal"/>
        <w:ind w:left="567" w:right="567" w:firstLine="0"/>
        <w:jc w:val="both"/>
        <w:rPr>
          <w:rFonts w:ascii="Book Antiqua" w:cs="Book Antiqua" w:hAnsi="Book Antiqua" w:eastAsia="Book Antiqua"/>
          <w:sz w:val="22"/>
          <w:szCs w:val="22"/>
        </w:rPr>
      </w:pPr>
      <w:r>
        <w:rPr>
          <w:rFonts w:ascii="Book Antiqua"/>
          <w:sz w:val="22"/>
          <w:szCs w:val="22"/>
          <w:rtl w:val="0"/>
          <w:lang w:val="it-IT"/>
        </w:rPr>
        <w:t xml:space="preserve">In particolare, si accertava il trasferimento di inquinanti contenuti nel percolato di discarica dall'interno del </w:t>
      </w:r>
      <w:r>
        <w:rPr>
          <w:rFonts w:ascii="Book Antiqua"/>
          <w:i w:val="1"/>
          <w:iCs w:val="1"/>
          <w:sz w:val="22"/>
          <w:szCs w:val="22"/>
          <w:rtl w:val="0"/>
          <w:lang w:val="it-IT"/>
        </w:rPr>
        <w:t>polder</w:t>
      </w:r>
      <w:r>
        <w:rPr>
          <w:rFonts w:ascii="Book Antiqua"/>
          <w:sz w:val="22"/>
          <w:szCs w:val="22"/>
          <w:rtl w:val="0"/>
          <w:lang w:val="it-IT"/>
        </w:rPr>
        <w:t xml:space="preserve"> (impermeabilizzazione) della discarica alla zona circostante, che aveva determinato un incremento di concentrazione tra monte e valle della discarica stessa di sostanze tossiche quali arsenico, benzene, cadmio, mercurio, nichel, piombo, manganese e ammoniaca.</w:t>
      </w:r>
    </w:p>
    <w:p>
      <w:pPr>
        <w:pStyle w:val="Normal"/>
        <w:ind w:left="567" w:right="567" w:firstLine="0"/>
        <w:jc w:val="both"/>
        <w:rPr>
          <w:rFonts w:ascii="Book Antiqua" w:cs="Book Antiqua" w:hAnsi="Book Antiqua" w:eastAsia="Book Antiqua"/>
          <w:sz w:val="22"/>
          <w:szCs w:val="22"/>
        </w:rPr>
      </w:pPr>
      <w:r>
        <w:rPr>
          <w:rFonts w:ascii="Book Antiqua"/>
          <w:sz w:val="22"/>
          <w:szCs w:val="22"/>
          <w:rtl w:val="0"/>
          <w:lang w:val="it-IT"/>
        </w:rPr>
        <w:t xml:space="preserve">Fatto commesso per colpa consistita nel non porre in essere tutti gli accorgimenti necessari ad evitare tale fuoriuscita, come ad esempio evitare il formarsi di falle nel polder (come accertato dai CTU che si sono occupati del sito di Testa di Cane, adiacente alla discarica, in seno al proc. n. 533367/2011-21) ovvero evitare il formarsi di una differenza di battente idraulico tra interno ed esterno del </w:t>
      </w:r>
      <w:r>
        <w:rPr>
          <w:rFonts w:ascii="Book Antiqua"/>
          <w:i w:val="1"/>
          <w:iCs w:val="1"/>
          <w:sz w:val="22"/>
          <w:szCs w:val="22"/>
          <w:rtl w:val="0"/>
          <w:lang w:val="it-IT"/>
        </w:rPr>
        <w:t xml:space="preserve">polder </w:t>
      </w:r>
      <w:r>
        <w:rPr>
          <w:rFonts w:ascii="Book Antiqua"/>
          <w:sz w:val="22"/>
          <w:szCs w:val="22"/>
          <w:rtl w:val="0"/>
          <w:lang w:val="it-IT"/>
        </w:rPr>
        <w:t>medesimo, verificatosi a causa dell'insufficiente asportazione di liquidi dal suo interno da parte del gestore (come accertato dai verificatori del Politecnico di Torino nominati dal Consiglio di Stato nei procedimenti nn. 7675/11, 8817/11 e 9062/11).</w:t>
      </w:r>
    </w:p>
    <w:p>
      <w:pPr>
        <w:pStyle w:val="Normal"/>
        <w:ind w:left="567" w:right="567" w:firstLine="0"/>
        <w:jc w:val="both"/>
        <w:rPr>
          <w:rFonts w:ascii="Book Antiqua" w:cs="Book Antiqua" w:hAnsi="Book Antiqua" w:eastAsia="Book Antiqua"/>
          <w:sz w:val="22"/>
          <w:szCs w:val="22"/>
        </w:rPr>
      </w:pPr>
      <w:r>
        <w:rPr>
          <w:rFonts w:ascii="Book Antiqua"/>
          <w:sz w:val="22"/>
          <w:szCs w:val="22"/>
          <w:rtl w:val="0"/>
          <w:lang w:val="it-IT"/>
        </w:rPr>
        <w:t>Reato commesso in Roma sino al 12 novembre 2010, in permanenza.</w:t>
      </w:r>
    </w:p>
    <w:p>
      <w:pPr>
        <w:pStyle w:val="Normal"/>
        <w:ind w:left="567" w:right="567" w:firstLine="0"/>
        <w:jc w:val="both"/>
        <w:rPr>
          <w:rFonts w:ascii="Book Antiqua" w:cs="Book Antiqua" w:hAnsi="Book Antiqua" w:eastAsia="Book Antiqua"/>
          <w:sz w:val="22"/>
          <w:szCs w:val="22"/>
        </w:rPr>
      </w:pPr>
      <w:r>
        <w:rPr>
          <w:rFonts w:ascii="Book Antiqua"/>
          <w:sz w:val="22"/>
          <w:szCs w:val="22"/>
          <w:rtl w:val="0"/>
          <w:lang w:val="it-IT"/>
        </w:rPr>
        <w:t>B) in ordine ai reati p. e p. dagli articoli 40-41-110-439 del codice penale per avere, in concorso tra loro e nelle loro rispettive qualifiche, avvelenato acque destinate all'alimentazione e segnatamente le falde acquifere sottostanti l'area interessata dalla discarica di Malagrotta in Roma, utilizzate per l'irrigazione ed emunte da pozzi artesiani per l'allevamento di animali.</w:t>
      </w:r>
    </w:p>
    <w:p>
      <w:pPr>
        <w:pStyle w:val="Normal"/>
        <w:ind w:left="567" w:right="567" w:firstLine="0"/>
        <w:jc w:val="both"/>
        <w:rPr>
          <w:rFonts w:ascii="Book Antiqua" w:cs="Book Antiqua" w:hAnsi="Book Antiqua" w:eastAsia="Book Antiqua"/>
          <w:sz w:val="22"/>
          <w:szCs w:val="22"/>
        </w:rPr>
      </w:pPr>
      <w:r>
        <w:rPr>
          <w:rFonts w:ascii="Book Antiqua"/>
          <w:sz w:val="22"/>
          <w:szCs w:val="22"/>
          <w:rtl w:val="0"/>
          <w:lang w:val="it-IT"/>
        </w:rPr>
        <w:t xml:space="preserve">In particolare, si accertava il trasferimento di inquinanti contenuti nel percolato di discarica dall'interno del </w:t>
      </w:r>
      <w:r>
        <w:rPr>
          <w:rFonts w:ascii="Book Antiqua"/>
          <w:i w:val="1"/>
          <w:iCs w:val="1"/>
          <w:sz w:val="22"/>
          <w:szCs w:val="22"/>
          <w:rtl w:val="0"/>
          <w:lang w:val="it-IT"/>
        </w:rPr>
        <w:t>polder</w:t>
      </w:r>
      <w:r>
        <w:rPr>
          <w:rFonts w:ascii="Book Antiqua"/>
          <w:sz w:val="22"/>
          <w:szCs w:val="22"/>
          <w:rtl w:val="0"/>
          <w:lang w:val="it-IT"/>
        </w:rPr>
        <w:t xml:space="preserve"> (impermeabilizzazione) della discarica alla zona circostante, che aveva determinato un incremento di concentrazione tra monte e vane della discarica stessa di sostanze tossiche quali arsenico, benzene, cadmio, mercurio, nichel, piombo, manganese e ammoniaca.</w:t>
      </w:r>
    </w:p>
    <w:p>
      <w:pPr>
        <w:pStyle w:val="Normal"/>
        <w:ind w:left="567" w:right="567" w:firstLine="0"/>
        <w:jc w:val="both"/>
        <w:rPr>
          <w:rFonts w:ascii="Book Antiqua" w:cs="Book Antiqua" w:hAnsi="Book Antiqua" w:eastAsia="Book Antiqua"/>
          <w:sz w:val="22"/>
          <w:szCs w:val="22"/>
        </w:rPr>
      </w:pPr>
      <w:r>
        <w:rPr>
          <w:rFonts w:ascii="Book Antiqua"/>
          <w:sz w:val="22"/>
          <w:szCs w:val="22"/>
          <w:rtl w:val="0"/>
          <w:lang w:val="it-IT"/>
        </w:rPr>
        <w:t>In particolare gli indagati omettendo, nelle loro qualifiche, di porre in essere tutte le condotte necessarie a mettere in sicurezza l'area di Malagrotta dalle fonti di inquinamento, procedura imposta dall'ordinanza del sindaco del comune di Roma in data 12 novembre 2010 con ordinanza emessa per motivi di salute e sanit</w:t>
      </w:r>
      <w:r>
        <w:rPr>
          <w:rFonts w:hAnsi="Book Antiqua" w:hint="default"/>
          <w:sz w:val="22"/>
          <w:szCs w:val="22"/>
          <w:rtl w:val="0"/>
          <w:lang w:val="it-IT"/>
        </w:rPr>
        <w:t xml:space="preserve">à </w:t>
      </w:r>
      <w:r>
        <w:rPr>
          <w:rFonts w:ascii="Book Antiqua"/>
          <w:sz w:val="22"/>
          <w:szCs w:val="22"/>
          <w:rtl w:val="0"/>
          <w:lang w:val="it-IT"/>
        </w:rPr>
        <w:t>pubblica, aggravavano il reato gi</w:t>
      </w:r>
      <w:r>
        <w:rPr>
          <w:rFonts w:hAnsi="Book Antiqua" w:hint="default"/>
          <w:sz w:val="22"/>
          <w:szCs w:val="22"/>
          <w:rtl w:val="0"/>
          <w:lang w:val="it-IT"/>
        </w:rPr>
        <w:t xml:space="preserve">à </w:t>
      </w:r>
      <w:r>
        <w:rPr>
          <w:rFonts w:ascii="Book Antiqua"/>
          <w:sz w:val="22"/>
          <w:szCs w:val="22"/>
          <w:rtl w:val="0"/>
          <w:lang w:val="it-IT"/>
        </w:rPr>
        <w:t>commesso sub A).</w:t>
      </w:r>
    </w:p>
    <w:p>
      <w:pPr>
        <w:pStyle w:val="Normal"/>
        <w:ind w:left="567" w:right="567" w:firstLine="0"/>
        <w:jc w:val="both"/>
        <w:rPr>
          <w:rFonts w:ascii="Book Antiqua" w:cs="Book Antiqua" w:hAnsi="Book Antiqua" w:eastAsia="Book Antiqua"/>
          <w:sz w:val="22"/>
          <w:szCs w:val="22"/>
        </w:rPr>
      </w:pPr>
      <w:r>
        <w:rPr>
          <w:rFonts w:ascii="Book Antiqua"/>
          <w:sz w:val="22"/>
          <w:szCs w:val="22"/>
          <w:rtl w:val="0"/>
          <w:lang w:val="it-IT"/>
        </w:rPr>
        <w:t>Reato commesso in Roma dal 12 novembre 2010 a data odierna, in permanenza.</w:t>
      </w:r>
    </w:p>
    <w:p>
      <w:pPr>
        <w:pStyle w:val="Normal"/>
        <w:ind w:left="567" w:right="567" w:firstLine="0"/>
        <w:jc w:val="both"/>
        <w:rPr>
          <w:rFonts w:ascii="Book Antiqua" w:cs="Book Antiqua" w:hAnsi="Book Antiqua" w:eastAsia="Book Antiqua"/>
          <w:sz w:val="22"/>
          <w:szCs w:val="22"/>
        </w:rPr>
      </w:pPr>
      <w:r>
        <w:rPr>
          <w:rFonts w:ascii="Book Antiqua"/>
          <w:sz w:val="22"/>
          <w:szCs w:val="22"/>
          <w:rtl w:val="0"/>
          <w:lang w:val="it-IT"/>
        </w:rPr>
        <w:t>C) delitto p. e p. dagli articoli 113-452-quater-452-quinquies (gi</w:t>
      </w:r>
      <w:r>
        <w:rPr>
          <w:rFonts w:hAnsi="Book Antiqua" w:hint="default"/>
          <w:sz w:val="22"/>
          <w:szCs w:val="22"/>
          <w:rtl w:val="0"/>
          <w:lang w:val="it-IT"/>
        </w:rPr>
        <w:t xml:space="preserve">à </w:t>
      </w:r>
      <w:r>
        <w:rPr>
          <w:rFonts w:ascii="Book Antiqua"/>
          <w:sz w:val="22"/>
          <w:szCs w:val="22"/>
          <w:rtl w:val="0"/>
          <w:lang w:val="it-IT"/>
        </w:rPr>
        <w:t>434 comma 2 - 449) del codice penale per avere nelle qualifiche sopra descritte e con la condotta descritta al capo A) che precede cagionato un disastro ambientale colposo consistente l'alterazione dell'equilibrio di un ecosistema (suolo, sottosuolo, flora) la cui eliminazione risulta particolarmente onerosa e conseguibile solo con provvedimenti eccezionali (estesa bonifica), nonch</w:t>
      </w:r>
      <w:r>
        <w:rPr>
          <w:rFonts w:hAnsi="Book Antiqua" w:hint="default"/>
          <w:sz w:val="22"/>
          <w:szCs w:val="22"/>
          <w:rtl w:val="0"/>
          <w:lang w:val="it-IT"/>
        </w:rPr>
        <w:t xml:space="preserve">é </w:t>
      </w:r>
      <w:r>
        <w:rPr>
          <w:rFonts w:ascii="Book Antiqua"/>
          <w:sz w:val="22"/>
          <w:szCs w:val="22"/>
          <w:rtl w:val="0"/>
          <w:lang w:val="it-IT"/>
        </w:rPr>
        <w:t>una offesa alla pubblica incolumit</w:t>
      </w:r>
      <w:r>
        <w:rPr>
          <w:rFonts w:hAnsi="Book Antiqua" w:hint="default"/>
          <w:sz w:val="22"/>
          <w:szCs w:val="22"/>
          <w:rtl w:val="0"/>
          <w:lang w:val="it-IT"/>
        </w:rPr>
        <w:t xml:space="preserve">à </w:t>
      </w:r>
      <w:r>
        <w:rPr>
          <w:rFonts w:ascii="Book Antiqua"/>
          <w:sz w:val="22"/>
          <w:szCs w:val="22"/>
          <w:rtl w:val="0"/>
          <w:lang w:val="it-IT"/>
        </w:rPr>
        <w:t xml:space="preserve">in ragione della rilevanza del fatto per l'estensione della compromissione (la discarica si estende su una superficie di circa 160 ettari) e per il numero delle persone offese o esposte a pericolo. </w:t>
      </w:r>
    </w:p>
    <w:p>
      <w:pPr>
        <w:pStyle w:val="Normal"/>
        <w:ind w:left="567" w:right="567" w:firstLine="0"/>
        <w:jc w:val="both"/>
        <w:rPr>
          <w:rFonts w:ascii="Book Antiqua" w:cs="Book Antiqua" w:hAnsi="Book Antiqua" w:eastAsia="Book Antiqua"/>
          <w:sz w:val="22"/>
          <w:szCs w:val="22"/>
        </w:rPr>
      </w:pPr>
      <w:r>
        <w:rPr>
          <w:rFonts w:ascii="Book Antiqua"/>
          <w:sz w:val="22"/>
          <w:szCs w:val="22"/>
          <w:rtl w:val="0"/>
          <w:lang w:val="it-IT"/>
        </w:rPr>
        <w:t>In particolare, quanto a tale secondo aspetto, lo studio epidemiologico sviluppato nell'ambito del Progetto della regione Lazio "Epidemiologia Rifiuti Ambiente Salute nel Lazio- ERAS Lazio", effettuato su una coorte di popolazione di circa 85.000 persone residenti nella zona di Malagrotta (e su cui insistono altri due opifici industriali), evidenza come coloro che vivono in prossimit</w:t>
      </w:r>
      <w:r>
        <w:rPr>
          <w:rFonts w:hAnsi="Book Antiqua" w:hint="default"/>
          <w:sz w:val="22"/>
          <w:szCs w:val="22"/>
          <w:rtl w:val="0"/>
          <w:lang w:val="it-IT"/>
        </w:rPr>
        <w:t xml:space="preserve">à </w:t>
      </w:r>
      <w:r>
        <w:rPr>
          <w:rFonts w:ascii="Book Antiqua"/>
          <w:sz w:val="22"/>
          <w:szCs w:val="22"/>
          <w:rtl w:val="0"/>
          <w:lang w:val="it-IT"/>
        </w:rPr>
        <w:t>degli impianti presentino (sia tra gli uomini che tra le donne) un quadro di mortalit</w:t>
      </w:r>
      <w:r>
        <w:rPr>
          <w:rFonts w:hAnsi="Book Antiqua" w:hint="default"/>
          <w:sz w:val="22"/>
          <w:szCs w:val="22"/>
          <w:rtl w:val="0"/>
          <w:lang w:val="it-IT"/>
        </w:rPr>
        <w:t xml:space="preserve">à </w:t>
      </w:r>
      <w:r>
        <w:rPr>
          <w:rFonts w:ascii="Book Antiqua"/>
          <w:sz w:val="22"/>
          <w:szCs w:val="22"/>
          <w:rtl w:val="0"/>
          <w:lang w:val="it-IT"/>
        </w:rPr>
        <w:t>generale relativamente simile a quello della popolazione di riferimento, cui farebbero tuttavia eccezione le patologie dell'apparato cardiovascolare (donne) e dell'apparato respiratorio (uomini) che sono aumentate tra i residenti nell'area pi</w:t>
      </w:r>
      <w:r>
        <w:rPr>
          <w:rFonts w:hAnsi="Book Antiqua" w:hint="default"/>
          <w:sz w:val="22"/>
          <w:szCs w:val="22"/>
          <w:rtl w:val="0"/>
          <w:lang w:val="it-IT"/>
        </w:rPr>
        <w:t xml:space="preserve">ù </w:t>
      </w:r>
      <w:r>
        <w:rPr>
          <w:rFonts w:ascii="Book Antiqua"/>
          <w:sz w:val="22"/>
          <w:szCs w:val="22"/>
          <w:rtl w:val="0"/>
          <w:lang w:val="it-IT"/>
        </w:rPr>
        <w:t>prossima agli impianti. Detto studio tuttavia evidenzia anche che per le patologie tumorali si osserva tra le donne un eccesso</w:t>
      </w:r>
      <w:r>
        <w:rPr>
          <w:rFonts w:ascii="Book Antiqua"/>
          <w:i w:val="1"/>
          <w:iCs w:val="1"/>
          <w:sz w:val="22"/>
          <w:szCs w:val="22"/>
          <w:rtl w:val="0"/>
          <w:lang w:val="it-IT"/>
        </w:rPr>
        <w:t xml:space="preserve"> </w:t>
      </w:r>
      <w:r>
        <w:rPr>
          <w:rFonts w:ascii="Book Antiqua"/>
          <w:sz w:val="22"/>
          <w:szCs w:val="22"/>
          <w:rtl w:val="0"/>
          <w:lang w:val="it-IT"/>
        </w:rPr>
        <w:t>di tumore della laringe e della mammella nelle zone pi</w:t>
      </w:r>
      <w:r>
        <w:rPr>
          <w:rFonts w:hAnsi="Book Antiqua" w:hint="default"/>
          <w:sz w:val="22"/>
          <w:szCs w:val="22"/>
          <w:rtl w:val="0"/>
          <w:lang w:val="it-IT"/>
        </w:rPr>
        <w:t xml:space="preserve">ù </w:t>
      </w:r>
      <w:r>
        <w:rPr>
          <w:rFonts w:ascii="Book Antiqua"/>
          <w:sz w:val="22"/>
          <w:szCs w:val="22"/>
          <w:rtl w:val="0"/>
          <w:lang w:val="it-IT"/>
        </w:rPr>
        <w:t>prossime, che i residenti (uomini e donne) pi</w:t>
      </w:r>
      <w:r>
        <w:rPr>
          <w:rFonts w:hAnsi="Book Antiqua" w:hint="default"/>
          <w:sz w:val="22"/>
          <w:szCs w:val="22"/>
          <w:rtl w:val="0"/>
          <w:lang w:val="it-IT"/>
        </w:rPr>
        <w:t xml:space="preserve">ù </w:t>
      </w:r>
      <w:r>
        <w:rPr>
          <w:rFonts w:ascii="Book Antiqua"/>
          <w:sz w:val="22"/>
          <w:szCs w:val="22"/>
          <w:rtl w:val="0"/>
          <w:lang w:val="it-IT"/>
        </w:rPr>
        <w:t>prossimi agli impianti ricorrono pi</w:t>
      </w:r>
      <w:r>
        <w:rPr>
          <w:rFonts w:hAnsi="Book Antiqua" w:hint="default"/>
          <w:sz w:val="22"/>
          <w:szCs w:val="22"/>
          <w:rtl w:val="0"/>
          <w:lang w:val="it-IT"/>
        </w:rPr>
        <w:t xml:space="preserve">ù </w:t>
      </w:r>
      <w:r>
        <w:rPr>
          <w:rFonts w:ascii="Book Antiqua"/>
          <w:sz w:val="22"/>
          <w:szCs w:val="22"/>
          <w:rtl w:val="0"/>
          <w:lang w:val="it-IT"/>
        </w:rPr>
        <w:t xml:space="preserve">frequentemente alle cure ospedaliere (+8 per cento), in particolare per malattie circolatorie, urinarie e dell'apparato digerente, che tra gli uomini si </w:t>
      </w:r>
      <w:r>
        <w:rPr>
          <w:rFonts w:hAnsi="Book Antiqua" w:hint="default"/>
          <w:sz w:val="22"/>
          <w:szCs w:val="22"/>
          <w:rtl w:val="0"/>
          <w:lang w:val="it-IT"/>
        </w:rPr>
        <w:t xml:space="preserve">è </w:t>
      </w:r>
      <w:r>
        <w:rPr>
          <w:rFonts w:ascii="Book Antiqua"/>
          <w:sz w:val="22"/>
          <w:szCs w:val="22"/>
          <w:rtl w:val="0"/>
          <w:lang w:val="it-IT"/>
        </w:rPr>
        <w:t>osservato un aumento dei ricoveri per patologie della tiroide.</w:t>
      </w:r>
    </w:p>
    <w:p>
      <w:pPr>
        <w:pStyle w:val="Normal"/>
        <w:ind w:left="567" w:right="567" w:firstLine="0"/>
        <w:jc w:val="both"/>
        <w:rPr>
          <w:rFonts w:ascii="Book Antiqua" w:cs="Book Antiqua" w:hAnsi="Book Antiqua" w:eastAsia="Book Antiqua"/>
          <w:sz w:val="22"/>
          <w:szCs w:val="22"/>
        </w:rPr>
      </w:pPr>
      <w:r>
        <w:rPr>
          <w:rFonts w:ascii="Book Antiqua"/>
          <w:sz w:val="22"/>
          <w:szCs w:val="22"/>
          <w:rtl w:val="0"/>
          <w:lang w:val="it-IT"/>
        </w:rPr>
        <w:t>Inoltre, con riferimento al reato indicato al capo A) che precede, per poter raggiungere le falde acquifere, le sostanze inquinanti ivi indicate hanno necessariamente attraversato e contaminato il suolo ovvero il sottosuolo.</w:t>
      </w:r>
    </w:p>
    <w:p>
      <w:pPr>
        <w:pStyle w:val="Normal"/>
        <w:ind w:left="567" w:right="567" w:firstLine="0"/>
        <w:jc w:val="both"/>
        <w:rPr>
          <w:rFonts w:ascii="Book Antiqua" w:cs="Book Antiqua" w:hAnsi="Book Antiqua" w:eastAsia="Book Antiqua"/>
          <w:sz w:val="22"/>
          <w:szCs w:val="22"/>
        </w:rPr>
      </w:pPr>
      <w:r>
        <w:rPr>
          <w:rFonts w:ascii="Book Antiqua"/>
          <w:sz w:val="22"/>
          <w:szCs w:val="22"/>
          <w:rtl w:val="0"/>
          <w:lang w:val="it-IT"/>
        </w:rPr>
        <w:t>Reato commesso in Roma sino a data odierna, in permanenza.</w:t>
      </w:r>
    </w:p>
    <w:p>
      <w:pPr>
        <w:pStyle w:val="Normal"/>
        <w:ind w:left="567" w:right="567" w:firstLine="0"/>
        <w:jc w:val="both"/>
        <w:rPr>
          <w:rFonts w:ascii="Book Antiqua" w:cs="Book Antiqua" w:hAnsi="Book Antiqua" w:eastAsia="Book Antiqua"/>
          <w:sz w:val="22"/>
          <w:szCs w:val="22"/>
        </w:rPr>
      </w:pPr>
      <w:r>
        <w:rPr>
          <w:rFonts w:ascii="Book Antiqua"/>
          <w:sz w:val="22"/>
          <w:szCs w:val="22"/>
          <w:rtl w:val="0"/>
          <w:lang w:val="it-IT"/>
        </w:rPr>
        <w:t>D) delitto p. e p. dagli articoli 110-452-quater (gi</w:t>
      </w:r>
      <w:r>
        <w:rPr>
          <w:rFonts w:hAnsi="Book Antiqua" w:hint="default"/>
          <w:sz w:val="22"/>
          <w:szCs w:val="22"/>
          <w:rtl w:val="0"/>
          <w:lang w:val="it-IT"/>
        </w:rPr>
        <w:t xml:space="preserve">à </w:t>
      </w:r>
      <w:r>
        <w:rPr>
          <w:rFonts w:ascii="Book Antiqua"/>
          <w:sz w:val="22"/>
          <w:szCs w:val="22"/>
          <w:rtl w:val="0"/>
          <w:lang w:val="it-IT"/>
        </w:rPr>
        <w:t>434 comma 2) del codice penale per avere nelle qualifiche sopra descritte e con la condotta descritta al capo B) che precede cagionato un disastro ambientale consistente l'alterazione dell</w:t>
      </w:r>
      <w:r>
        <w:rPr>
          <w:rFonts w:hAnsi="Book Antiqua" w:hint="default"/>
          <w:sz w:val="22"/>
          <w:szCs w:val="22"/>
          <w:rtl w:val="0"/>
          <w:lang w:val="it-IT"/>
        </w:rPr>
        <w:t>’</w:t>
      </w:r>
      <w:r>
        <w:rPr>
          <w:rFonts w:ascii="Book Antiqua"/>
          <w:sz w:val="22"/>
          <w:szCs w:val="22"/>
          <w:rtl w:val="0"/>
          <w:lang w:val="it-IT"/>
        </w:rPr>
        <w:t>equilibrio di un ecosistema (suolo, sottosuolo, flora) la cui eliminazione risulta particolarmente onerosa e conseguibile solo con provvedimenti eccezionali (estesa bonifica), nonch</w:t>
      </w:r>
      <w:r>
        <w:rPr>
          <w:rFonts w:hAnsi="Book Antiqua" w:hint="default"/>
          <w:sz w:val="22"/>
          <w:szCs w:val="22"/>
          <w:rtl w:val="0"/>
          <w:lang w:val="it-IT"/>
        </w:rPr>
        <w:t xml:space="preserve">é </w:t>
      </w:r>
      <w:r>
        <w:rPr>
          <w:rFonts w:ascii="Book Antiqua"/>
          <w:sz w:val="22"/>
          <w:szCs w:val="22"/>
          <w:rtl w:val="0"/>
          <w:lang w:val="it-IT"/>
        </w:rPr>
        <w:t>una offesa alla pubblica incolumit</w:t>
      </w:r>
      <w:r>
        <w:rPr>
          <w:rFonts w:hAnsi="Book Antiqua" w:hint="default"/>
          <w:sz w:val="22"/>
          <w:szCs w:val="22"/>
          <w:rtl w:val="0"/>
          <w:lang w:val="it-IT"/>
        </w:rPr>
        <w:t xml:space="preserve">à </w:t>
      </w:r>
      <w:r>
        <w:rPr>
          <w:rFonts w:ascii="Book Antiqua"/>
          <w:sz w:val="22"/>
          <w:szCs w:val="22"/>
          <w:rtl w:val="0"/>
          <w:lang w:val="it-IT"/>
        </w:rPr>
        <w:t xml:space="preserve">in ragione della rilevanza del fatto per l'estensione della compromissione (la discarica si estende su una superficie di circa 160 ettari) e per il numero delle persone offese o esposte a pericolo. </w:t>
      </w:r>
    </w:p>
    <w:p>
      <w:pPr>
        <w:pStyle w:val="Normal"/>
        <w:ind w:left="567" w:right="567" w:firstLine="0"/>
        <w:jc w:val="both"/>
        <w:rPr>
          <w:rFonts w:ascii="Book Antiqua" w:cs="Book Antiqua" w:hAnsi="Book Antiqua" w:eastAsia="Book Antiqua"/>
          <w:sz w:val="22"/>
          <w:szCs w:val="22"/>
        </w:rPr>
      </w:pPr>
      <w:r>
        <w:rPr>
          <w:rFonts w:ascii="Book Antiqua"/>
          <w:sz w:val="22"/>
          <w:szCs w:val="22"/>
          <w:rtl w:val="0"/>
          <w:lang w:val="it-IT"/>
        </w:rPr>
        <w:t>In particolare, quanto a tale secondo aspetto, lo studio epidemiologico sviluppato nell'ambito del Progetto della regione Lazio "Epidemiologia Rifiuti Ambiente Salute nel Lazio- ERAS Lazio", effettuato su una coorte di popolazione di circa 85.000 persone residenti nella zona di Malagrotta (e su cui insistono altri due opifici industriali), evidenza come coloro che vivono in prossimit</w:t>
      </w:r>
      <w:r>
        <w:rPr>
          <w:rFonts w:hAnsi="Book Antiqua" w:hint="default"/>
          <w:sz w:val="22"/>
          <w:szCs w:val="22"/>
          <w:rtl w:val="0"/>
          <w:lang w:val="it-IT"/>
        </w:rPr>
        <w:t xml:space="preserve">à </w:t>
      </w:r>
      <w:r>
        <w:rPr>
          <w:rFonts w:ascii="Book Antiqua"/>
          <w:sz w:val="22"/>
          <w:szCs w:val="22"/>
          <w:rtl w:val="0"/>
          <w:lang w:val="it-IT"/>
        </w:rPr>
        <w:t>degli impianti presentino (sia tra gli uomini che tra le donne) un quadro di mortalit</w:t>
      </w:r>
      <w:r>
        <w:rPr>
          <w:rFonts w:hAnsi="Book Antiqua" w:hint="default"/>
          <w:sz w:val="22"/>
          <w:szCs w:val="22"/>
          <w:rtl w:val="0"/>
          <w:lang w:val="it-IT"/>
        </w:rPr>
        <w:t xml:space="preserve">à </w:t>
      </w:r>
      <w:r>
        <w:rPr>
          <w:rFonts w:ascii="Book Antiqua"/>
          <w:sz w:val="22"/>
          <w:szCs w:val="22"/>
          <w:rtl w:val="0"/>
          <w:lang w:val="it-IT"/>
        </w:rPr>
        <w:t>generale relativamente simile a quello della popolazione di riferimento, cui farebbero tuttavia eccezione le patologie dell'apparato cardiovascolare (donne) e dell'apparato respiratorio (uomini) che sono aumentate tra i residenti nell'area pi</w:t>
      </w:r>
      <w:r>
        <w:rPr>
          <w:rFonts w:hAnsi="Book Antiqua" w:hint="default"/>
          <w:sz w:val="22"/>
          <w:szCs w:val="22"/>
          <w:rtl w:val="0"/>
          <w:lang w:val="it-IT"/>
        </w:rPr>
        <w:t xml:space="preserve">ù </w:t>
      </w:r>
      <w:r>
        <w:rPr>
          <w:rFonts w:ascii="Book Antiqua"/>
          <w:sz w:val="22"/>
          <w:szCs w:val="22"/>
          <w:rtl w:val="0"/>
          <w:lang w:val="it-IT"/>
        </w:rPr>
        <w:t>prossima agli impianti. Detto studio tuttavia evidenzia anche che per le patologie tumorali si osserva tra le donne un eccesso di tumore della laringe e della mammella nelle zone pi</w:t>
      </w:r>
      <w:r>
        <w:rPr>
          <w:rFonts w:hAnsi="Book Antiqua" w:hint="default"/>
          <w:sz w:val="22"/>
          <w:szCs w:val="22"/>
          <w:rtl w:val="0"/>
          <w:lang w:val="it-IT"/>
        </w:rPr>
        <w:t xml:space="preserve">ù </w:t>
      </w:r>
      <w:r>
        <w:rPr>
          <w:rFonts w:ascii="Book Antiqua"/>
          <w:sz w:val="22"/>
          <w:szCs w:val="22"/>
          <w:rtl w:val="0"/>
          <w:lang w:val="it-IT"/>
        </w:rPr>
        <w:t>prossime, che i residenti (uomini e donne) pi</w:t>
      </w:r>
      <w:r>
        <w:rPr>
          <w:rFonts w:hAnsi="Book Antiqua" w:hint="default"/>
          <w:sz w:val="22"/>
          <w:szCs w:val="22"/>
          <w:rtl w:val="0"/>
          <w:lang w:val="it-IT"/>
        </w:rPr>
        <w:t xml:space="preserve">ù </w:t>
      </w:r>
      <w:r>
        <w:rPr>
          <w:rFonts w:ascii="Book Antiqua"/>
          <w:sz w:val="22"/>
          <w:szCs w:val="22"/>
          <w:rtl w:val="0"/>
          <w:lang w:val="it-IT"/>
        </w:rPr>
        <w:t>prossimi agli impianti ricorrono pi</w:t>
      </w:r>
      <w:r>
        <w:rPr>
          <w:rFonts w:hAnsi="Book Antiqua" w:hint="default"/>
          <w:sz w:val="22"/>
          <w:szCs w:val="22"/>
          <w:rtl w:val="0"/>
          <w:lang w:val="it-IT"/>
        </w:rPr>
        <w:t xml:space="preserve">ù </w:t>
      </w:r>
      <w:r>
        <w:rPr>
          <w:rFonts w:ascii="Book Antiqua"/>
          <w:sz w:val="22"/>
          <w:szCs w:val="22"/>
          <w:rtl w:val="0"/>
          <w:lang w:val="it-IT"/>
        </w:rPr>
        <w:t xml:space="preserve">frequentemente alle cure ospedaliere (+8 per cento), in particolare per malattie circolatorie, urinarie e dell'apparato digerente, che tra gli uomini si </w:t>
      </w:r>
      <w:r>
        <w:rPr>
          <w:rFonts w:hAnsi="Book Antiqua" w:hint="default"/>
          <w:sz w:val="22"/>
          <w:szCs w:val="22"/>
          <w:rtl w:val="0"/>
          <w:lang w:val="it-IT"/>
        </w:rPr>
        <w:t xml:space="preserve">è </w:t>
      </w:r>
      <w:r>
        <w:rPr>
          <w:rFonts w:ascii="Book Antiqua"/>
          <w:sz w:val="22"/>
          <w:szCs w:val="22"/>
          <w:rtl w:val="0"/>
          <w:lang w:val="it-IT"/>
        </w:rPr>
        <w:t>osservato un aumento dei ricoveri per patologie della tiroide.</w:t>
      </w:r>
    </w:p>
    <w:p>
      <w:pPr>
        <w:pStyle w:val="Normal"/>
        <w:ind w:left="567" w:right="567" w:firstLine="0"/>
        <w:jc w:val="both"/>
        <w:rPr>
          <w:rFonts w:ascii="Book Antiqua" w:cs="Book Antiqua" w:hAnsi="Book Antiqua" w:eastAsia="Book Antiqua"/>
          <w:sz w:val="22"/>
          <w:szCs w:val="22"/>
        </w:rPr>
      </w:pPr>
      <w:r>
        <w:rPr>
          <w:rFonts w:ascii="Book Antiqua"/>
          <w:sz w:val="22"/>
          <w:szCs w:val="22"/>
          <w:rtl w:val="0"/>
          <w:lang w:val="it-IT"/>
        </w:rPr>
        <w:t>Inoltre, con riferimento al reato indicato al Capo B) che precede, per poter raggiungere le falde acquifere, le sostanze inquinanti ivi indicate hanno necessariamente attraversato e contaminato il suolo ovvero il sottosuolo.</w:t>
      </w:r>
    </w:p>
    <w:p>
      <w:pPr>
        <w:pStyle w:val="Normal"/>
        <w:ind w:left="567" w:right="567" w:firstLine="0"/>
        <w:jc w:val="both"/>
        <w:rPr>
          <w:rFonts w:ascii="Book Antiqua" w:cs="Book Antiqua" w:hAnsi="Book Antiqua" w:eastAsia="Book Antiqua"/>
          <w:sz w:val="22"/>
          <w:szCs w:val="22"/>
        </w:rPr>
      </w:pPr>
      <w:r>
        <w:rPr>
          <w:rFonts w:ascii="Book Antiqua"/>
          <w:sz w:val="22"/>
          <w:szCs w:val="22"/>
          <w:rtl w:val="0"/>
          <w:lang w:val="it-IT"/>
        </w:rPr>
        <w:t>Reato commesso in Roma sino a data odierna, in permanenza.</w:t>
      </w: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rPr>
      </w:pPr>
      <w:r>
        <w:rPr>
          <w:rFonts w:ascii="Book Antiqua"/>
          <w:rtl w:val="0"/>
          <w:lang w:val="it-IT"/>
        </w:rPr>
        <w:t xml:space="preserve">In separato procedimento </w:t>
      </w:r>
      <w:r>
        <w:rPr>
          <w:rFonts w:hAnsi="Book Antiqua" w:hint="default"/>
          <w:rtl w:val="0"/>
          <w:lang w:val="it-IT"/>
        </w:rPr>
        <w:t xml:space="preserve">è </w:t>
      </w:r>
      <w:r>
        <w:rPr>
          <w:rFonts w:ascii="Book Antiqua"/>
          <w:rtl w:val="0"/>
          <w:lang w:val="it-IT"/>
        </w:rPr>
        <w:t>stata esercitata l</w:t>
      </w:r>
      <w:r>
        <w:rPr>
          <w:rFonts w:hAnsi="Book Antiqua" w:hint="default"/>
          <w:rtl w:val="0"/>
          <w:lang w:val="it-IT"/>
        </w:rPr>
        <w:t>’</w:t>
      </w:r>
      <w:r>
        <w:rPr>
          <w:rFonts w:ascii="Book Antiqua"/>
          <w:rtl w:val="0"/>
          <w:lang w:val="it-IT"/>
        </w:rPr>
        <w:t>azione penale nei confronti di Carmelina Scaglione e della societ</w:t>
      </w:r>
      <w:r>
        <w:rPr>
          <w:rFonts w:hAnsi="Book Antiqua" w:hint="default"/>
          <w:rtl w:val="0"/>
          <w:lang w:val="it-IT"/>
        </w:rPr>
        <w:t xml:space="preserve">à </w:t>
      </w:r>
      <w:r>
        <w:rPr>
          <w:rFonts w:ascii="Book Antiqua"/>
          <w:rtl w:val="0"/>
          <w:lang w:val="it-IT"/>
        </w:rPr>
        <w:t>E. Giovi S.r.l. ai sensi dall'articolo 25-undecies del decreto legislativo n. 8 giugno 2001, n. 231, per identici reati.</w:t>
      </w:r>
    </w:p>
    <w:p>
      <w:pPr>
        <w:pStyle w:val="Normal"/>
        <w:ind w:left="567" w:right="567" w:firstLine="0"/>
        <w:jc w:val="both"/>
        <w:rPr>
          <w:rFonts w:ascii="Book Antiqua" w:cs="Book Antiqua" w:hAnsi="Book Antiqua" w:eastAsia="Book Antiqua"/>
        </w:rPr>
      </w:pPr>
      <w:r>
        <w:rPr>
          <w:rFonts w:ascii="Book Antiqua"/>
          <w:rtl w:val="0"/>
          <w:lang w:val="it-IT"/>
        </w:rPr>
        <w:t xml:space="preserve">La contestazione per la Scaglione </w:t>
      </w:r>
      <w:r>
        <w:rPr>
          <w:rFonts w:hAnsi="Book Antiqua" w:hint="default"/>
          <w:rtl w:val="0"/>
          <w:lang w:val="it-IT"/>
        </w:rPr>
        <w:t xml:space="preserve">è </w:t>
      </w:r>
      <w:r>
        <w:rPr>
          <w:rFonts w:ascii="Book Antiqua"/>
          <w:rtl w:val="0"/>
          <w:lang w:val="it-IT"/>
        </w:rPr>
        <w:t>a far data dall</w:t>
      </w:r>
      <w:r>
        <w:rPr>
          <w:rFonts w:hAnsi="Book Antiqua" w:hint="default"/>
          <w:rtl w:val="0"/>
          <w:lang w:val="it-IT"/>
        </w:rPr>
        <w:t>’</w:t>
      </w:r>
      <w:r>
        <w:rPr>
          <w:rFonts w:ascii="Book Antiqua"/>
          <w:rtl w:val="0"/>
          <w:lang w:val="it-IT"/>
        </w:rPr>
        <w:t>assunzione della qualit</w:t>
      </w:r>
      <w:r>
        <w:rPr>
          <w:rFonts w:hAnsi="Book Antiqua" w:hint="default"/>
          <w:rtl w:val="0"/>
          <w:lang w:val="it-IT"/>
        </w:rPr>
        <w:t xml:space="preserve">à </w:t>
      </w:r>
      <w:r>
        <w:rPr>
          <w:rFonts w:ascii="Book Antiqua"/>
          <w:rtl w:val="0"/>
          <w:lang w:val="it-IT"/>
        </w:rPr>
        <w:t>di legale rappresentante della E. Giovi S.r.l., l</w:t>
      </w:r>
      <w:r>
        <w:rPr>
          <w:rFonts w:hAnsi="Book Antiqua" w:hint="default"/>
          <w:rtl w:val="0"/>
          <w:lang w:val="it-IT"/>
        </w:rPr>
        <w:t>’</w:t>
      </w:r>
      <w:r>
        <w:rPr>
          <w:rFonts w:ascii="Book Antiqua"/>
          <w:rtl w:val="0"/>
          <w:lang w:val="it-IT"/>
        </w:rPr>
        <w:t>11 febbraio 2014; quanto alla societ</w:t>
      </w:r>
      <w:r>
        <w:rPr>
          <w:rFonts w:hAnsi="Book Antiqua" w:hint="default"/>
          <w:rtl w:val="0"/>
          <w:lang w:val="it-IT"/>
        </w:rPr>
        <w:t xml:space="preserve">à </w:t>
      </w:r>
      <w:r>
        <w:rPr>
          <w:rFonts w:ascii="Book Antiqua"/>
          <w:rtl w:val="0"/>
          <w:lang w:val="it-IT"/>
        </w:rPr>
        <w:t xml:space="preserve">la data di riferimento </w:t>
      </w:r>
      <w:r>
        <w:rPr>
          <w:rFonts w:hAnsi="Book Antiqua" w:hint="default"/>
          <w:rtl w:val="0"/>
          <w:lang w:val="it-IT"/>
        </w:rPr>
        <w:t xml:space="preserve">è </w:t>
      </w:r>
      <w:r>
        <w:rPr>
          <w:rFonts w:ascii="Book Antiqua"/>
          <w:rtl w:val="0"/>
          <w:lang w:val="it-IT"/>
        </w:rPr>
        <w:t>quella dell</w:t>
      </w:r>
      <w:r>
        <w:rPr>
          <w:rFonts w:hAnsi="Book Antiqua" w:hint="default"/>
          <w:rtl w:val="0"/>
          <w:lang w:val="it-IT"/>
        </w:rPr>
        <w:t>’</w:t>
      </w:r>
      <w:r>
        <w:rPr>
          <w:rFonts w:ascii="Book Antiqua"/>
          <w:rtl w:val="0"/>
          <w:lang w:val="it-IT"/>
        </w:rPr>
        <w:t>entrata in vigore della legge n. 68 del 2015, cio</w:t>
      </w:r>
      <w:r>
        <w:rPr>
          <w:rFonts w:hAnsi="Book Antiqua" w:hint="default"/>
          <w:rtl w:val="0"/>
          <w:lang w:val="it-IT"/>
        </w:rPr>
        <w:t xml:space="preserve">è </w:t>
      </w:r>
      <w:r>
        <w:rPr>
          <w:rFonts w:ascii="Book Antiqua"/>
          <w:rtl w:val="0"/>
          <w:lang w:val="it-IT"/>
        </w:rPr>
        <w:t>il 29 maggio 2015</w:t>
      </w:r>
      <w:r>
        <w:rPr>
          <w:rFonts w:ascii="Book Antiqua" w:cs="Book Antiqua" w:hAnsi="Book Antiqua" w:eastAsia="Book Antiqua"/>
          <w:vertAlign w:val="superscript"/>
          <w:rtl w:val="0"/>
        </w:rPr>
        <w:footnoteReference w:id="189"/>
      </w:r>
      <w:r>
        <w:rPr>
          <w:rFonts w:ascii="Book Antiqua"/>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Le imputazioni come sopra riportate vanno incontro a un vaglio processuale che avr</w:t>
      </w:r>
      <w:r>
        <w:rPr>
          <w:rFonts w:hAnsi="Book Antiqua" w:hint="default"/>
          <w:rtl w:val="0"/>
          <w:lang w:val="it-IT"/>
        </w:rPr>
        <w:t xml:space="preserve">à </w:t>
      </w:r>
      <w:r>
        <w:rPr>
          <w:rFonts w:ascii="Book Antiqua"/>
          <w:rtl w:val="0"/>
          <w:lang w:val="it-IT"/>
        </w:rPr>
        <w:t>quali elementi di spicco, attesa la formulazione delle stesse, il nesso di causalit</w:t>
      </w:r>
      <w:r>
        <w:rPr>
          <w:rFonts w:hAnsi="Book Antiqua" w:hint="default"/>
          <w:rtl w:val="0"/>
          <w:lang w:val="it-IT"/>
        </w:rPr>
        <w:t>à</w:t>
      </w:r>
      <w:r>
        <w:rPr>
          <w:rFonts w:ascii="Book Antiqua"/>
          <w:rtl w:val="0"/>
          <w:lang w:val="it-IT"/>
        </w:rPr>
        <w:t>, la riferibilit</w:t>
      </w:r>
      <w:r>
        <w:rPr>
          <w:rFonts w:hAnsi="Book Antiqua" w:hint="default"/>
          <w:rtl w:val="0"/>
          <w:lang w:val="it-IT"/>
        </w:rPr>
        <w:t xml:space="preserve">à </w:t>
      </w:r>
      <w:r>
        <w:rPr>
          <w:rFonts w:ascii="Book Antiqua"/>
          <w:rtl w:val="0"/>
          <w:lang w:val="it-IT"/>
        </w:rPr>
        <w:t>soggettiva delle condotte, la concreta configurazione degli eventi contestati.</w:t>
      </w:r>
    </w:p>
    <w:p>
      <w:pPr>
        <w:pStyle w:val="Normal"/>
        <w:ind w:left="567" w:right="567" w:firstLine="0"/>
        <w:jc w:val="both"/>
        <w:rPr>
          <w:rFonts w:ascii="Book Antiqua" w:cs="Book Antiqua" w:hAnsi="Book Antiqua" w:eastAsia="Book Antiqua"/>
        </w:rPr>
      </w:pPr>
      <w:r>
        <w:rPr>
          <w:rFonts w:ascii="Book Antiqua"/>
          <w:rtl w:val="0"/>
          <w:lang w:val="it-IT"/>
        </w:rPr>
        <w:t>Per quanto riguarda l</w:t>
      </w:r>
      <w:r>
        <w:rPr>
          <w:rFonts w:hAnsi="Book Antiqua" w:hint="default"/>
          <w:rtl w:val="0"/>
          <w:lang w:val="it-IT"/>
        </w:rPr>
        <w:t>’</w:t>
      </w:r>
      <w:r>
        <w:rPr>
          <w:rFonts w:ascii="Book Antiqua"/>
          <w:rtl w:val="0"/>
          <w:lang w:val="it-IT"/>
        </w:rPr>
        <w:t xml:space="preserve">interesse della Commissione alla ricostruzione di fenomeni e non al giudizio di rilevanza penale singoli fatti, tuttavia, le indagini che hanno portato a queste accuse </w:t>
      </w:r>
      <w:r>
        <w:rPr>
          <w:rFonts w:hAnsi="Book Antiqua" w:hint="default"/>
          <w:rtl w:val="0"/>
          <w:lang w:val="it-IT"/>
        </w:rPr>
        <w:t xml:space="preserve">– </w:t>
      </w:r>
      <w:r>
        <w:rPr>
          <w:rFonts w:ascii="Book Antiqua"/>
          <w:rtl w:val="0"/>
          <w:lang w:val="it-IT"/>
        </w:rPr>
        <w:t xml:space="preserve">in uno con le risultanze della verificazione del Consiglio di Stato, di cui si </w:t>
      </w:r>
      <w:r>
        <w:rPr>
          <w:rFonts w:hAnsi="Book Antiqua" w:hint="default"/>
          <w:rtl w:val="0"/>
          <w:lang w:val="it-IT"/>
        </w:rPr>
        <w:t xml:space="preserve">è </w:t>
      </w:r>
      <w:r>
        <w:rPr>
          <w:rFonts w:ascii="Book Antiqua"/>
          <w:rtl w:val="0"/>
          <w:lang w:val="it-IT"/>
        </w:rPr>
        <w:t xml:space="preserve">dato ampio conto </w:t>
      </w:r>
      <w:r>
        <w:rPr>
          <w:rFonts w:hAnsi="Book Antiqua" w:hint="default"/>
          <w:rtl w:val="0"/>
          <w:lang w:val="it-IT"/>
        </w:rPr>
        <w:t xml:space="preserve">– </w:t>
      </w:r>
      <w:r>
        <w:rPr>
          <w:rFonts w:ascii="Book Antiqua"/>
          <w:rtl w:val="0"/>
          <w:lang w:val="it-IT"/>
        </w:rPr>
        <w:t>mostrano il peso sull</w:t>
      </w:r>
      <w:r>
        <w:rPr>
          <w:rFonts w:hAnsi="Book Antiqua" w:hint="default"/>
          <w:rtl w:val="0"/>
          <w:lang w:val="it-IT"/>
        </w:rPr>
        <w:t>’</w:t>
      </w:r>
      <w:r>
        <w:rPr>
          <w:rFonts w:ascii="Book Antiqua"/>
          <w:rtl w:val="0"/>
          <w:lang w:val="it-IT"/>
        </w:rPr>
        <w:t>ambiente generato dalla gestione arcaica del ciclo dei rifiuti incentrata sul conferimento in discarica: nel caso specifico in una delle pi</w:t>
      </w:r>
      <w:r>
        <w:rPr>
          <w:rFonts w:hAnsi="Book Antiqua" w:hint="default"/>
          <w:rtl w:val="0"/>
          <w:lang w:val="it-IT"/>
        </w:rPr>
        <w:t xml:space="preserve">ù </w:t>
      </w:r>
      <w:r>
        <w:rPr>
          <w:rFonts w:ascii="Book Antiqua"/>
          <w:rtl w:val="0"/>
          <w:lang w:val="it-IT"/>
        </w:rPr>
        <w:t>grandi discariche d</w:t>
      </w:r>
      <w:r>
        <w:rPr>
          <w:rFonts w:hAnsi="Book Antiqua" w:hint="default"/>
          <w:rtl w:val="0"/>
          <w:lang w:val="it-IT"/>
        </w:rPr>
        <w:t>’</w:t>
      </w:r>
      <w:r>
        <w:rPr>
          <w:rFonts w:ascii="Book Antiqua"/>
          <w:rtl w:val="0"/>
          <w:lang w:val="it-IT"/>
        </w:rPr>
        <w:t>Europa</w:t>
      </w:r>
      <w:r>
        <w:rPr>
          <w:rFonts w:ascii="Book Antiqua" w:cs="Book Antiqua" w:hAnsi="Book Antiqua" w:eastAsia="Book Antiqua"/>
          <w:vertAlign w:val="superscript"/>
          <w:rtl w:val="0"/>
        </w:rPr>
        <w:footnoteReference w:id="190"/>
      </w:r>
      <w:r>
        <w:rPr>
          <w:rFonts w:ascii="Book Antiqua"/>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 xml:space="preserve">Ma il passaggio delle imputazioni in cui gli inquirenti si occupano degli aspetti epidemiologici del presunto disastro ambientale </w:t>
      </w:r>
      <w:r>
        <w:rPr>
          <w:rFonts w:hAnsi="Book Antiqua" w:hint="default"/>
          <w:rtl w:val="0"/>
          <w:lang w:val="it-IT"/>
        </w:rPr>
        <w:t xml:space="preserve">è </w:t>
      </w:r>
      <w:r>
        <w:rPr>
          <w:rFonts w:ascii="Book Antiqua"/>
          <w:rtl w:val="0"/>
          <w:lang w:val="it-IT"/>
        </w:rPr>
        <w:t>illuminante in una prospettiva ulteriore, e cio</w:t>
      </w:r>
      <w:r>
        <w:rPr>
          <w:rFonts w:hAnsi="Book Antiqua" w:hint="default"/>
          <w:rtl w:val="0"/>
          <w:lang w:val="it-IT"/>
        </w:rPr>
        <w:t xml:space="preserve">è </w:t>
      </w:r>
      <w:r>
        <w:rPr>
          <w:rFonts w:ascii="Book Antiqua"/>
          <w:rtl w:val="0"/>
          <w:lang w:val="it-IT"/>
        </w:rPr>
        <w:t>quella di dover considerare unitariamente l</w:t>
      </w:r>
      <w:r>
        <w:rPr>
          <w:rFonts w:hAnsi="Book Antiqua" w:hint="default"/>
          <w:rtl w:val="0"/>
          <w:lang w:val="it-IT"/>
        </w:rPr>
        <w:t>’</w:t>
      </w:r>
      <w:r>
        <w:rPr>
          <w:rFonts w:ascii="Book Antiqua"/>
          <w:rtl w:val="0"/>
          <w:lang w:val="it-IT"/>
        </w:rPr>
        <w:t xml:space="preserve">intero </w:t>
      </w:r>
      <w:r>
        <w:rPr>
          <w:rFonts w:hAnsi="Book Antiqua" w:hint="default"/>
          <w:rtl w:val="0"/>
          <w:lang w:val="it-IT"/>
        </w:rPr>
        <w:t>“</w:t>
      </w:r>
      <w:r>
        <w:rPr>
          <w:rFonts w:ascii="Book Antiqua"/>
          <w:rtl w:val="0"/>
          <w:lang w:val="it-IT"/>
        </w:rPr>
        <w:t>sito della Valle Galeria</w:t>
      </w:r>
      <w:r>
        <w:rPr>
          <w:rFonts w:hAnsi="Book Antiqua" w:hint="default"/>
          <w:rtl w:val="0"/>
          <w:lang w:val="it-IT"/>
        </w:rPr>
        <w:t>”</w:t>
      </w:r>
      <w:r>
        <w:rPr>
          <w:rFonts w:ascii="Book Antiqua"/>
          <w:rtl w:val="0"/>
          <w:lang w:val="it-IT"/>
        </w:rPr>
        <w:t>, nel quale insistono secondo la procura della Repubblica di Roma nella formulazione testuale delle accuse</w:t>
      </w:r>
      <w:r>
        <w:rPr>
          <w:rFonts w:hAnsi="Book Antiqua" w:hint="default"/>
          <w:rtl w:val="0"/>
          <w:lang w:val="it-IT"/>
        </w:rPr>
        <w:t xml:space="preserve"> “</w:t>
      </w:r>
      <w:r>
        <w:rPr>
          <w:rFonts w:ascii="Book Antiqua"/>
          <w:rtl w:val="0"/>
          <w:lang w:val="it-IT"/>
        </w:rPr>
        <w:t>altri due opifici industriali</w:t>
      </w:r>
      <w:r>
        <w:rPr>
          <w:rFonts w:hAnsi="Book Antiqua" w:hint="default"/>
          <w:rtl w:val="0"/>
          <w:lang w:val="it-IT"/>
        </w:rPr>
        <w:t xml:space="preserve">” </w:t>
      </w:r>
      <w:r>
        <w:rPr>
          <w:rFonts w:ascii="Book Antiqua"/>
          <w:rtl w:val="0"/>
          <w:lang w:val="it-IT"/>
        </w:rPr>
        <w:t>che tuttavia non esauriscono un impatto antropico significativo con esiti potenzialmente negativi per la salute umana: quand</w:t>
      </w:r>
      <w:r>
        <w:rPr>
          <w:rFonts w:hAnsi="Book Antiqua" w:hint="default"/>
          <w:rtl w:val="0"/>
          <w:lang w:val="it-IT"/>
        </w:rPr>
        <w:t>’</w:t>
      </w:r>
      <w:r>
        <w:rPr>
          <w:rFonts w:ascii="Book Antiqua"/>
          <w:rtl w:val="0"/>
          <w:lang w:val="it-IT"/>
        </w:rPr>
        <w:t>anche l</w:t>
      </w:r>
      <w:r>
        <w:rPr>
          <w:rFonts w:hAnsi="Book Antiqua" w:hint="default"/>
          <w:rtl w:val="0"/>
          <w:lang w:val="it-IT"/>
        </w:rPr>
        <w:t>’</w:t>
      </w:r>
      <w:r>
        <w:rPr>
          <w:rFonts w:ascii="Book Antiqua"/>
          <w:rtl w:val="0"/>
          <w:lang w:val="it-IT"/>
        </w:rPr>
        <w:t>uso dei dati epidemiologici fosse insufficiente per affermare la sussistenza del delitto di cui all</w:t>
      </w:r>
      <w:r>
        <w:rPr>
          <w:rFonts w:hAnsi="Book Antiqua" w:hint="default"/>
          <w:rtl w:val="0"/>
          <w:lang w:val="it-IT"/>
        </w:rPr>
        <w:t>’</w:t>
      </w:r>
      <w:r>
        <w:rPr>
          <w:rFonts w:ascii="Book Antiqua"/>
          <w:rtl w:val="0"/>
          <w:lang w:val="it-IT"/>
        </w:rPr>
        <w:t>articolo 452-quater del codice penale, tuttavia quei dati rimarrebbero espressivi dell</w:t>
      </w:r>
      <w:r>
        <w:rPr>
          <w:rFonts w:hAnsi="Book Antiqua" w:hint="default"/>
          <w:rtl w:val="0"/>
          <w:lang w:val="it-IT"/>
        </w:rPr>
        <w:t>’</w:t>
      </w:r>
      <w:r>
        <w:rPr>
          <w:rFonts w:ascii="Book Antiqua"/>
          <w:rtl w:val="0"/>
          <w:lang w:val="it-IT"/>
        </w:rPr>
        <w:t xml:space="preserve">esigenza di costante attenzione su quel sito, al quale, nella presente relazione, </w:t>
      </w:r>
      <w:r>
        <w:rPr>
          <w:rFonts w:hAnsi="Book Antiqua" w:hint="default"/>
          <w:rtl w:val="0"/>
          <w:lang w:val="it-IT"/>
        </w:rPr>
        <w:t xml:space="preserve">è </w:t>
      </w:r>
      <w:r>
        <w:rPr>
          <w:rFonts w:ascii="Book Antiqua"/>
          <w:rtl w:val="0"/>
          <w:lang w:val="it-IT"/>
        </w:rPr>
        <w:t xml:space="preserve">dedicato il </w:t>
      </w:r>
      <w:r>
        <w:rPr>
          <w:rFonts w:hAnsi="Book Antiqua" w:hint="default"/>
          <w:rtl w:val="0"/>
          <w:lang w:val="it-IT"/>
        </w:rPr>
        <w:t xml:space="preserve">§ </w:t>
      </w:r>
      <w:r>
        <w:rPr>
          <w:rFonts w:ascii="Book Antiqua"/>
          <w:rtl w:val="0"/>
          <w:lang w:val="it-IT"/>
        </w:rPr>
        <w:t>6.4</w:t>
      </w:r>
      <w:r>
        <w:rPr>
          <w:rFonts w:ascii="Book Antiqua" w:cs="Book Antiqua" w:hAnsi="Book Antiqua" w:eastAsia="Book Antiqua"/>
          <w:vertAlign w:val="superscript"/>
          <w:rtl w:val="0"/>
        </w:rPr>
        <w:footnoteReference w:id="191"/>
      </w:r>
      <w:r>
        <w:rPr>
          <w:rFonts w:ascii="Book Antiqua"/>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Al tema dei possibili illeciti ambientali o comunque della contaminazione storica provocata dalla discarica, accede la questione, tuttora aperta, della bonifica, o, per meglio dire, della pluralit</w:t>
      </w:r>
      <w:r>
        <w:rPr>
          <w:rFonts w:hAnsi="Book Antiqua" w:hint="default"/>
          <w:rtl w:val="0"/>
          <w:lang w:val="it-IT"/>
        </w:rPr>
        <w:t xml:space="preserve">à </w:t>
      </w:r>
      <w:r>
        <w:rPr>
          <w:rFonts w:ascii="Book Antiqua"/>
          <w:rtl w:val="0"/>
          <w:lang w:val="it-IT"/>
        </w:rPr>
        <w:t>di procedimenti amministrativi concernenti Malagrotta.</w:t>
      </w:r>
    </w:p>
    <w:p>
      <w:pPr>
        <w:pStyle w:val="Normal"/>
        <w:ind w:left="567" w:right="567" w:firstLine="0"/>
        <w:jc w:val="both"/>
        <w:rPr>
          <w:rFonts w:ascii="Book Antiqua" w:cs="Book Antiqua" w:hAnsi="Book Antiqua" w:eastAsia="Book Antiqua"/>
        </w:rPr>
      </w:pPr>
      <w:r>
        <w:rPr>
          <w:rFonts w:ascii="Book Antiqua"/>
          <w:rtl w:val="0"/>
          <w:lang w:val="it-IT"/>
        </w:rPr>
        <w:t>La Commissione ha avuto un primo quadro della situazione durante l</w:t>
      </w:r>
      <w:r>
        <w:rPr>
          <w:rFonts w:hAnsi="Book Antiqua" w:hint="default"/>
          <w:rtl w:val="0"/>
          <w:lang w:val="it-IT"/>
        </w:rPr>
        <w:t>’</w:t>
      </w:r>
      <w:r>
        <w:rPr>
          <w:rFonts w:ascii="Book Antiqua"/>
          <w:rtl w:val="0"/>
          <w:lang w:val="it-IT"/>
        </w:rPr>
        <w:t xml:space="preserve">audizione, </w:t>
      </w:r>
      <w:r>
        <w:rPr>
          <w:rFonts w:ascii="Book Antiqua"/>
          <w:color w:val="262626"/>
          <w:u w:color="163291"/>
          <w:rtl w:val="0"/>
          <w:lang w:val="it-IT"/>
        </w:rPr>
        <w:t>l</w:t>
      </w:r>
      <w:r>
        <w:rPr>
          <w:rFonts w:hAnsi="Book Antiqua" w:hint="default"/>
          <w:color w:val="262626"/>
          <w:u w:color="163291"/>
          <w:rtl w:val="0"/>
          <w:lang w:val="it-IT"/>
        </w:rPr>
        <w:t>’</w:t>
      </w:r>
      <w:r>
        <w:rPr>
          <w:rFonts w:ascii="Book Antiqua"/>
          <w:color w:val="262626"/>
          <w:u w:color="163291"/>
          <w:rtl w:val="0"/>
          <w:lang w:val="it-IT"/>
        </w:rPr>
        <w:t xml:space="preserve">11 luglio 2016, </w:t>
      </w:r>
      <w:r>
        <w:rPr>
          <w:rFonts w:ascii="Book Antiqua"/>
          <w:rtl w:val="0"/>
          <w:lang w:val="it-IT"/>
        </w:rPr>
        <w:t xml:space="preserve">della dirigente </w:t>
      </w:r>
      <w:r>
        <w:rPr>
          <w:rFonts w:ascii="Book Antiqua"/>
          <w:color w:val="262626"/>
          <w:u w:color="163291"/>
          <w:rtl w:val="0"/>
          <w:lang w:val="it-IT"/>
        </w:rPr>
        <w:t>dell'area ciclo integrato rifiuti della regione Lazio, Flaminia</w:t>
      </w:r>
      <w:r>
        <w:rPr>
          <w:rFonts w:ascii="Book Antiqua"/>
          <w:rtl w:val="0"/>
          <w:lang w:val="it-IT"/>
        </w:rPr>
        <w:t xml:space="preserve"> Tosini, che cos</w:t>
      </w:r>
      <w:r>
        <w:rPr>
          <w:rFonts w:hAnsi="Book Antiqua" w:hint="default"/>
          <w:rtl w:val="0"/>
          <w:lang w:val="it-IT"/>
        </w:rPr>
        <w:t xml:space="preserve">ì </w:t>
      </w:r>
      <w:r>
        <w:rPr>
          <w:rFonts w:ascii="Book Antiqua"/>
          <w:rtl w:val="0"/>
          <w:lang w:val="it-IT"/>
        </w:rPr>
        <w:t>l</w:t>
      </w:r>
      <w:r>
        <w:rPr>
          <w:rFonts w:hAnsi="Book Antiqua" w:hint="default"/>
          <w:rtl w:val="0"/>
          <w:lang w:val="it-IT"/>
        </w:rPr>
        <w:t>’</w:t>
      </w:r>
      <w:r>
        <w:rPr>
          <w:rFonts w:ascii="Book Antiqua"/>
          <w:rtl w:val="0"/>
          <w:lang w:val="it-IT"/>
        </w:rPr>
        <w:t>aveva riassunta:</w:t>
      </w:r>
    </w:p>
    <w:p>
      <w:pPr>
        <w:pStyle w:val="Normal"/>
        <w:widowControl w:val="0"/>
        <w:ind w:left="567" w:right="567" w:firstLine="0"/>
        <w:jc w:val="both"/>
        <w:rPr>
          <w:rFonts w:ascii="Book Antiqua" w:cs="Book Antiqua" w:hAnsi="Book Antiqua" w:eastAsia="Book Antiqua"/>
          <w:color w:val="262626"/>
          <w:u w:color="163291"/>
        </w:rPr>
      </w:pPr>
      <w:r>
        <w:rPr>
          <w:rFonts w:hAnsi="Book Antiqua" w:hint="default"/>
          <w:rtl w:val="0"/>
          <w:lang w:val="it-IT"/>
        </w:rPr>
        <w:t>“</w:t>
      </w:r>
      <w:r>
        <w:rPr>
          <w:rFonts w:ascii="Book Antiqua"/>
          <w:color w:val="262626"/>
          <w:u w:color="163291"/>
          <w:rtl w:val="0"/>
          <w:lang w:val="it-IT"/>
        </w:rPr>
        <w:t>la Commissione europea ha chiuso la nostra procedura di infrazione su Malagrotta</w:t>
      </w:r>
      <w:r>
        <w:rPr>
          <w:rFonts w:ascii="Book Antiqua" w:cs="Book Antiqua" w:hAnsi="Book Antiqua" w:eastAsia="Book Antiqua"/>
          <w:color w:val="262626"/>
          <w:u w:color="163291"/>
          <w:vertAlign w:val="superscript"/>
          <w:rtl w:val="0"/>
        </w:rPr>
        <w:footnoteReference w:id="192"/>
      </w:r>
      <w:r>
        <w:rPr>
          <w:rFonts w:ascii="Book Antiqua"/>
          <w:color w:val="262626"/>
          <w:u w:color="163291"/>
          <w:rtl w:val="0"/>
          <w:lang w:val="it-IT"/>
        </w:rPr>
        <w:t xml:space="preserve">. La procedura era aperta per il fatto che mandavamo rifiuti non trattati in discarica. La Commissione ha chiesto un ulteriore controllo </w:t>
      </w:r>
      <w:r>
        <w:rPr>
          <w:rFonts w:hAnsi="Book Antiqua" w:hint="default"/>
          <w:color w:val="262626"/>
          <w:u w:color="163291"/>
          <w:rtl w:val="0"/>
          <w:lang w:val="it-IT"/>
        </w:rPr>
        <w:t xml:space="preserve">– </w:t>
      </w:r>
      <w:r>
        <w:rPr>
          <w:rFonts w:ascii="Book Antiqua"/>
          <w:color w:val="262626"/>
          <w:u w:color="163291"/>
          <w:rtl w:val="0"/>
          <w:lang w:val="it-IT"/>
        </w:rPr>
        <w:t>che sar</w:t>
      </w:r>
      <w:r>
        <w:rPr>
          <w:rFonts w:hAnsi="Book Antiqua" w:hint="default"/>
          <w:color w:val="262626"/>
          <w:u w:color="163291"/>
          <w:rtl w:val="0"/>
          <w:lang w:val="it-IT"/>
        </w:rPr>
        <w:t xml:space="preserve">à </w:t>
      </w:r>
      <w:r>
        <w:rPr>
          <w:rFonts w:ascii="Book Antiqua"/>
          <w:color w:val="262626"/>
          <w:u w:color="163291"/>
          <w:rtl w:val="0"/>
          <w:lang w:val="it-IT"/>
        </w:rPr>
        <w:t>fornito entro luglio perch</w:t>
      </w:r>
      <w:r>
        <w:rPr>
          <w:rFonts w:hAnsi="Book Antiqua" w:hint="default"/>
          <w:color w:val="262626"/>
          <w:u w:color="163291"/>
          <w:rtl w:val="0"/>
          <w:lang w:val="it-IT"/>
        </w:rPr>
        <w:t xml:space="preserve">é </w:t>
      </w:r>
      <w:r>
        <w:rPr>
          <w:rFonts w:ascii="Book Antiqua"/>
          <w:color w:val="262626"/>
          <w:u w:color="163291"/>
          <w:rtl w:val="0"/>
          <w:lang w:val="it-IT"/>
        </w:rPr>
        <w:t xml:space="preserve">ha chiesto una cosa specifica </w:t>
      </w:r>
      <w:r>
        <w:rPr>
          <w:rFonts w:hAnsi="Book Antiqua" w:hint="default"/>
          <w:color w:val="262626"/>
          <w:u w:color="163291"/>
          <w:rtl w:val="0"/>
          <w:lang w:val="it-IT"/>
        </w:rPr>
        <w:t xml:space="preserve">– </w:t>
      </w:r>
      <w:r>
        <w:rPr>
          <w:rFonts w:ascii="Book Antiqua"/>
          <w:color w:val="262626"/>
          <w:u w:color="163291"/>
          <w:rtl w:val="0"/>
          <w:lang w:val="it-IT"/>
        </w:rPr>
        <w:t>ma poi la procedura dovrebbe essere risolta, proprio perch</w:t>
      </w:r>
      <w:r>
        <w:rPr>
          <w:rFonts w:hAnsi="Book Antiqua" w:hint="default"/>
          <w:color w:val="262626"/>
          <w:u w:color="163291"/>
          <w:rtl w:val="0"/>
          <w:lang w:val="it-IT"/>
        </w:rPr>
        <w:t xml:space="preserve">é </w:t>
      </w:r>
      <w:r>
        <w:rPr>
          <w:rFonts w:ascii="Book Antiqua"/>
          <w:color w:val="262626"/>
          <w:u w:color="163291"/>
          <w:rtl w:val="0"/>
          <w:lang w:val="it-IT"/>
        </w:rPr>
        <w:t>abbiamo superato la fase di trattamento dei rifiuti, su cui prima eravamo insufficienti.</w:t>
      </w:r>
    </w:p>
    <w:p>
      <w:pPr>
        <w:pStyle w:val="Normal"/>
        <w:widowControl w:val="0"/>
        <w:ind w:left="567" w:right="567" w:firstLine="0"/>
        <w:jc w:val="both"/>
        <w:rPr>
          <w:rFonts w:ascii="Book Antiqua" w:cs="Book Antiqua" w:hAnsi="Book Antiqua" w:eastAsia="Book Antiqua"/>
          <w:color w:val="262626"/>
          <w:u w:color="163291"/>
        </w:rPr>
      </w:pPr>
      <w:r>
        <w:rPr>
          <w:rFonts w:ascii="Book Antiqua"/>
          <w:color w:val="262626"/>
          <w:u w:color="163291"/>
          <w:rtl w:val="0"/>
          <w:lang w:val="it-IT"/>
        </w:rPr>
        <w:t xml:space="preserve">Ci sono diversi procedimenti in corso sull'impianto di Malagrotta. La competenza per quanto riguarda la gestione della bonifica </w:t>
      </w:r>
      <w:r>
        <w:rPr>
          <w:rFonts w:hAnsi="Book Antiqua" w:hint="default"/>
          <w:color w:val="262626"/>
          <w:u w:color="163291"/>
          <w:rtl w:val="0"/>
          <w:lang w:val="it-IT"/>
        </w:rPr>
        <w:t xml:space="preserve">è </w:t>
      </w:r>
      <w:r>
        <w:rPr>
          <w:rFonts w:ascii="Book Antiqua"/>
          <w:color w:val="262626"/>
          <w:u w:color="163291"/>
          <w:rtl w:val="0"/>
          <w:lang w:val="it-IT"/>
        </w:rPr>
        <w:t xml:space="preserve">del comune. Nella regione Lazio spetta al comune, che ha riattivato anche su nostra sollecitazione, la procedura di bonifica. </w:t>
      </w:r>
      <w:r>
        <w:rPr>
          <w:rFonts w:hAnsi="Book Antiqua" w:hint="default"/>
          <w:color w:val="262626"/>
          <w:u w:color="163291"/>
          <w:rtl w:val="0"/>
          <w:lang w:val="it-IT"/>
        </w:rPr>
        <w:t xml:space="preserve">È </w:t>
      </w:r>
      <w:r>
        <w:rPr>
          <w:rFonts w:ascii="Book Antiqua"/>
          <w:color w:val="262626"/>
          <w:u w:color="163291"/>
          <w:rtl w:val="0"/>
          <w:lang w:val="it-IT"/>
        </w:rPr>
        <w:t>stato approvato il piano di caratterizzazione. C'</w:t>
      </w:r>
      <w:r>
        <w:rPr>
          <w:rFonts w:hAnsi="Book Antiqua" w:hint="default"/>
          <w:color w:val="262626"/>
          <w:u w:color="163291"/>
          <w:rtl w:val="0"/>
          <w:lang w:val="it-IT"/>
        </w:rPr>
        <w:t xml:space="preserve">è </w:t>
      </w:r>
      <w:r>
        <w:rPr>
          <w:rFonts w:ascii="Book Antiqua"/>
          <w:color w:val="262626"/>
          <w:u w:color="163291"/>
          <w:rtl w:val="0"/>
          <w:lang w:val="it-IT"/>
        </w:rPr>
        <w:t xml:space="preserve">quindi un piano che </w:t>
      </w:r>
      <w:r>
        <w:rPr>
          <w:rFonts w:hAnsi="Book Antiqua" w:hint="default"/>
          <w:color w:val="262626"/>
          <w:u w:color="163291"/>
          <w:rtl w:val="0"/>
          <w:lang w:val="it-IT"/>
        </w:rPr>
        <w:t xml:space="preserve">è </w:t>
      </w:r>
      <w:r>
        <w:rPr>
          <w:rFonts w:ascii="Book Antiqua"/>
          <w:color w:val="262626"/>
          <w:u w:color="163291"/>
          <w:rtl w:val="0"/>
          <w:lang w:val="it-IT"/>
        </w:rPr>
        <w:t xml:space="preserve">stato approvato da poco </w:t>
      </w:r>
      <w:r>
        <w:rPr>
          <w:rFonts w:hAnsi="Book Antiqua" w:hint="default"/>
          <w:color w:val="262626"/>
          <w:u w:color="163291"/>
          <w:rtl w:val="0"/>
          <w:lang w:val="it-IT"/>
        </w:rPr>
        <w:t xml:space="preserve">– </w:t>
      </w:r>
      <w:r>
        <w:rPr>
          <w:rFonts w:ascii="Book Antiqua"/>
          <w:color w:val="262626"/>
          <w:u w:color="163291"/>
          <w:rtl w:val="0"/>
          <w:lang w:val="it-IT"/>
        </w:rPr>
        <w:t xml:space="preserve">veramente da pochi mesi </w:t>
      </w:r>
      <w:r>
        <w:rPr>
          <w:rFonts w:hAnsi="Book Antiqua" w:hint="default"/>
          <w:color w:val="262626"/>
          <w:u w:color="163291"/>
          <w:rtl w:val="0"/>
          <w:lang w:val="it-IT"/>
        </w:rPr>
        <w:t xml:space="preserve">– </w:t>
      </w:r>
      <w:r>
        <w:rPr>
          <w:rFonts w:ascii="Book Antiqua"/>
          <w:color w:val="262626"/>
          <w:u w:color="163291"/>
          <w:rtl w:val="0"/>
          <w:lang w:val="it-IT"/>
        </w:rPr>
        <w:t xml:space="preserve">all'inizio del procedimento e quello </w:t>
      </w:r>
      <w:r>
        <w:rPr>
          <w:rFonts w:hAnsi="Book Antiqua" w:hint="default"/>
          <w:color w:val="262626"/>
          <w:u w:color="163291"/>
          <w:rtl w:val="0"/>
          <w:lang w:val="it-IT"/>
        </w:rPr>
        <w:t xml:space="preserve">è </w:t>
      </w:r>
      <w:r>
        <w:rPr>
          <w:rFonts w:ascii="Book Antiqua"/>
          <w:color w:val="262626"/>
          <w:u w:color="163291"/>
          <w:rtl w:val="0"/>
          <w:lang w:val="it-IT"/>
        </w:rPr>
        <w:t>stato approvato anche su nostra sollecitazione.</w:t>
      </w:r>
    </w:p>
    <w:p>
      <w:pPr>
        <w:pStyle w:val="Normal"/>
        <w:widowControl w:val="0"/>
        <w:ind w:left="567" w:right="567" w:firstLine="0"/>
        <w:jc w:val="both"/>
        <w:rPr>
          <w:rFonts w:ascii="Book Antiqua" w:cs="Book Antiqua" w:hAnsi="Book Antiqua" w:eastAsia="Book Antiqua"/>
          <w:color w:val="262626"/>
          <w:u w:color="163291"/>
        </w:rPr>
      </w:pPr>
      <w:r>
        <w:rPr>
          <w:rFonts w:ascii="Book Antiqua"/>
          <w:color w:val="262626"/>
          <w:u w:color="163291"/>
          <w:rtl w:val="0"/>
          <w:lang w:val="it-IT"/>
        </w:rPr>
        <w:t xml:space="preserve">Il piano [di caratterizzazione] </w:t>
      </w:r>
      <w:r>
        <w:rPr>
          <w:rFonts w:hAnsi="Book Antiqua" w:hint="default"/>
          <w:color w:val="262626"/>
          <w:u w:color="163291"/>
          <w:rtl w:val="0"/>
          <w:lang w:val="it-IT"/>
        </w:rPr>
        <w:t xml:space="preserve">è </w:t>
      </w:r>
      <w:r>
        <w:rPr>
          <w:rFonts w:ascii="Book Antiqua"/>
          <w:color w:val="262626"/>
          <w:u w:color="163291"/>
          <w:rtl w:val="0"/>
          <w:lang w:val="it-IT"/>
        </w:rPr>
        <w:t>stato approvato adesso per andare a definire quella che sar</w:t>
      </w:r>
      <w:r>
        <w:rPr>
          <w:rFonts w:hAnsi="Book Antiqua" w:hint="default"/>
          <w:color w:val="262626"/>
          <w:u w:color="163291"/>
          <w:rtl w:val="0"/>
          <w:lang w:val="it-IT"/>
        </w:rPr>
        <w:t xml:space="preserve">à </w:t>
      </w:r>
      <w:r>
        <w:rPr>
          <w:rFonts w:ascii="Book Antiqua"/>
          <w:color w:val="262626"/>
          <w:u w:color="163291"/>
          <w:rtl w:val="0"/>
          <w:lang w:val="it-IT"/>
        </w:rPr>
        <w:t xml:space="preserve">poi la situazione [come sito contaminato da bonificare]. Contemporaneamente abbiamo lavorato per quanto riguarda la presentazione del </w:t>
      </w:r>
      <w:r>
        <w:rPr>
          <w:rFonts w:ascii="Book Antiqua"/>
          <w:i w:val="1"/>
          <w:iCs w:val="1"/>
          <w:color w:val="262626"/>
          <w:u w:color="163291"/>
          <w:rtl w:val="0"/>
          <w:lang w:val="it-IT"/>
        </w:rPr>
        <w:t>capping</w:t>
      </w:r>
      <w:r>
        <w:rPr>
          <w:rFonts w:ascii="Book Antiqua"/>
          <w:color w:val="262626"/>
          <w:u w:color="163291"/>
          <w:rtl w:val="0"/>
          <w:lang w:val="it-IT"/>
        </w:rPr>
        <w:t xml:space="preserve"> del progetto finale. Era infatti stata presentata dalla societ</w:t>
      </w:r>
      <w:r>
        <w:rPr>
          <w:rFonts w:hAnsi="Book Antiqua" w:hint="default"/>
          <w:color w:val="262626"/>
          <w:u w:color="163291"/>
          <w:rtl w:val="0"/>
          <w:lang w:val="it-IT"/>
        </w:rPr>
        <w:t xml:space="preserve">à </w:t>
      </w:r>
      <w:r>
        <w:rPr>
          <w:rFonts w:ascii="Book Antiqua"/>
          <w:color w:val="262626"/>
          <w:u w:color="163291"/>
          <w:rtl w:val="0"/>
          <w:lang w:val="it-IT"/>
        </w:rPr>
        <w:t>una proposta che non era stata ritenuta valida da parte dell</w:t>
      </w:r>
      <w:r>
        <w:rPr>
          <w:rFonts w:hAnsi="Book Antiqua" w:hint="default"/>
          <w:color w:val="262626"/>
          <w:u w:color="163291"/>
          <w:rtl w:val="0"/>
          <w:lang w:val="it-IT"/>
        </w:rPr>
        <w:t>’</w:t>
      </w:r>
      <w:r>
        <w:rPr>
          <w:rFonts w:ascii="Book Antiqua"/>
          <w:color w:val="262626"/>
          <w:u w:color="163291"/>
          <w:rtl w:val="0"/>
          <w:lang w:val="it-IT"/>
        </w:rPr>
        <w:t xml:space="preserve">ufficio. Quindi </w:t>
      </w:r>
      <w:r>
        <w:rPr>
          <w:rFonts w:hAnsi="Book Antiqua" w:hint="default"/>
          <w:color w:val="262626"/>
          <w:u w:color="163291"/>
          <w:rtl w:val="0"/>
          <w:lang w:val="it-IT"/>
        </w:rPr>
        <w:t xml:space="preserve">è </w:t>
      </w:r>
      <w:r>
        <w:rPr>
          <w:rFonts w:ascii="Book Antiqua"/>
          <w:color w:val="262626"/>
          <w:u w:color="163291"/>
          <w:rtl w:val="0"/>
          <w:lang w:val="it-IT"/>
        </w:rPr>
        <w:t xml:space="preserve">stata presentata un'ulteriore proposta, il 30 dicembre 2015. Un tavolo tecnico ha ridefinito ulteriormente gli aspetti che potevano essere non correttamente individuati nella procedura ed </w:t>
      </w:r>
      <w:r>
        <w:rPr>
          <w:rFonts w:hAnsi="Book Antiqua" w:hint="default"/>
          <w:color w:val="262626"/>
          <w:u w:color="163291"/>
          <w:rtl w:val="0"/>
          <w:lang w:val="it-IT"/>
        </w:rPr>
        <w:t xml:space="preserve">è </w:t>
      </w:r>
      <w:r>
        <w:rPr>
          <w:rFonts w:ascii="Book Antiqua"/>
          <w:color w:val="262626"/>
          <w:u w:color="163291"/>
          <w:rtl w:val="0"/>
          <w:lang w:val="it-IT"/>
        </w:rPr>
        <w:t xml:space="preserve">stato consegnato il progetto di </w:t>
      </w:r>
      <w:r>
        <w:rPr>
          <w:rFonts w:ascii="Book Antiqua"/>
          <w:i w:val="1"/>
          <w:iCs w:val="1"/>
          <w:color w:val="262626"/>
          <w:u w:color="163291"/>
          <w:rtl w:val="0"/>
          <w:lang w:val="it-IT"/>
        </w:rPr>
        <w:t>capping</w:t>
      </w:r>
      <w:r>
        <w:rPr>
          <w:rFonts w:ascii="Book Antiqua"/>
          <w:color w:val="262626"/>
          <w:u w:color="163291"/>
          <w:rtl w:val="0"/>
          <w:lang w:val="it-IT"/>
        </w:rPr>
        <w:t>, che sar</w:t>
      </w:r>
      <w:r>
        <w:rPr>
          <w:rFonts w:hAnsi="Book Antiqua" w:hint="default"/>
          <w:color w:val="262626"/>
          <w:u w:color="163291"/>
          <w:rtl w:val="0"/>
          <w:lang w:val="it-IT"/>
        </w:rPr>
        <w:t xml:space="preserve">à </w:t>
      </w:r>
      <w:r>
        <w:rPr>
          <w:rFonts w:ascii="Book Antiqua"/>
          <w:color w:val="262626"/>
          <w:u w:color="163291"/>
          <w:rtl w:val="0"/>
          <w:lang w:val="it-IT"/>
        </w:rPr>
        <w:t xml:space="preserve">inviato alla conferenza per la definitiva approvazione il 30 giugno [2016] (ma credo che la data esatta sia il 2 luglio). </w:t>
      </w:r>
      <w:r>
        <w:rPr>
          <w:rFonts w:hAnsi="Book Antiqua" w:hint="default"/>
          <w:color w:val="262626"/>
          <w:u w:color="163291"/>
          <w:rtl w:val="0"/>
          <w:lang w:val="it-IT"/>
        </w:rPr>
        <w:t>  </w:t>
      </w:r>
    </w:p>
    <w:p>
      <w:pPr>
        <w:pStyle w:val="Normal"/>
        <w:widowControl w:val="0"/>
        <w:ind w:left="567" w:right="567" w:firstLine="0"/>
        <w:jc w:val="both"/>
        <w:rPr>
          <w:rFonts w:ascii="Book Antiqua" w:cs="Book Antiqua" w:hAnsi="Book Antiqua" w:eastAsia="Book Antiqua"/>
          <w:color w:val="262626"/>
          <w:u w:color="163291"/>
        </w:rPr>
      </w:pPr>
      <w:r>
        <w:rPr>
          <w:rFonts w:ascii="Book Antiqua"/>
          <w:color w:val="262626"/>
          <w:u w:color="163291"/>
          <w:rtl w:val="0"/>
          <w:lang w:val="it-IT"/>
        </w:rPr>
        <w:t xml:space="preserve">Quindi, </w:t>
      </w:r>
      <w:r>
        <w:rPr>
          <w:rFonts w:hAnsi="Book Antiqua" w:hint="default"/>
          <w:color w:val="262626"/>
          <w:u w:color="163291"/>
          <w:rtl w:val="0"/>
          <w:lang w:val="it-IT"/>
        </w:rPr>
        <w:t xml:space="preserve">è </w:t>
      </w:r>
      <w:r>
        <w:rPr>
          <w:rFonts w:ascii="Book Antiqua"/>
          <w:color w:val="262626"/>
          <w:u w:color="163291"/>
          <w:rtl w:val="0"/>
          <w:lang w:val="it-IT"/>
        </w:rPr>
        <w:t xml:space="preserve">stato presentato il progetto di </w:t>
      </w:r>
      <w:r>
        <w:rPr>
          <w:rFonts w:ascii="Book Antiqua"/>
          <w:i w:val="1"/>
          <w:iCs w:val="1"/>
          <w:color w:val="262626"/>
          <w:u w:color="163291"/>
          <w:rtl w:val="0"/>
          <w:lang w:val="it-IT"/>
        </w:rPr>
        <w:t>capping</w:t>
      </w:r>
      <w:r>
        <w:rPr>
          <w:rFonts w:ascii="Book Antiqua"/>
          <w:color w:val="262626"/>
          <w:u w:color="163291"/>
          <w:rtl w:val="0"/>
          <w:lang w:val="it-IT"/>
        </w:rPr>
        <w:t>, cos</w:t>
      </w:r>
      <w:r>
        <w:rPr>
          <w:rFonts w:hAnsi="Book Antiqua" w:hint="default"/>
          <w:color w:val="262626"/>
          <w:u w:color="163291"/>
          <w:rtl w:val="0"/>
          <w:lang w:val="it-IT"/>
        </w:rPr>
        <w:t xml:space="preserve">ì </w:t>
      </w:r>
      <w:r>
        <w:rPr>
          <w:rFonts w:ascii="Book Antiqua"/>
          <w:color w:val="262626"/>
          <w:u w:color="163291"/>
          <w:rtl w:val="0"/>
          <w:lang w:val="it-IT"/>
        </w:rPr>
        <w:t xml:space="preserve">come </w:t>
      </w:r>
      <w:r>
        <w:rPr>
          <w:rFonts w:hAnsi="Book Antiqua" w:hint="default"/>
          <w:color w:val="262626"/>
          <w:u w:color="163291"/>
          <w:rtl w:val="0"/>
          <w:lang w:val="it-IT"/>
        </w:rPr>
        <w:t xml:space="preserve">è </w:t>
      </w:r>
      <w:r>
        <w:rPr>
          <w:rFonts w:ascii="Book Antiqua"/>
          <w:color w:val="262626"/>
          <w:u w:color="163291"/>
          <w:rtl w:val="0"/>
          <w:lang w:val="it-IT"/>
        </w:rPr>
        <w:t>stato richiesto a tutti gli enti che hanno partecipato: comune, province, citt</w:t>
      </w:r>
      <w:r>
        <w:rPr>
          <w:rFonts w:hAnsi="Book Antiqua" w:hint="default"/>
          <w:color w:val="262626"/>
          <w:u w:color="163291"/>
          <w:rtl w:val="0"/>
          <w:lang w:val="it-IT"/>
        </w:rPr>
        <w:t xml:space="preserve">à </w:t>
      </w:r>
      <w:r>
        <w:rPr>
          <w:rFonts w:ascii="Book Antiqua"/>
          <w:color w:val="262626"/>
          <w:u w:color="163291"/>
          <w:rtl w:val="0"/>
          <w:lang w:val="it-IT"/>
        </w:rPr>
        <w:t xml:space="preserve">metropolitana e ARPA Lazio, che ha fornito le indicazioni. Il progetto </w:t>
      </w:r>
      <w:r>
        <w:rPr>
          <w:rFonts w:hAnsi="Book Antiqua" w:hint="default"/>
          <w:color w:val="262626"/>
          <w:u w:color="163291"/>
          <w:rtl w:val="0"/>
          <w:lang w:val="it-IT"/>
        </w:rPr>
        <w:t xml:space="preserve">è </w:t>
      </w:r>
      <w:r>
        <w:rPr>
          <w:rFonts w:ascii="Book Antiqua"/>
          <w:color w:val="262626"/>
          <w:u w:color="163291"/>
          <w:rtl w:val="0"/>
          <w:lang w:val="it-IT"/>
        </w:rPr>
        <w:t>stato quindi presentato. Quanto alla convocazione della conferenza, poich</w:t>
      </w:r>
      <w:r>
        <w:rPr>
          <w:rFonts w:hAnsi="Book Antiqua" w:hint="default"/>
          <w:color w:val="262626"/>
          <w:u w:color="163291"/>
          <w:rtl w:val="0"/>
          <w:lang w:val="it-IT"/>
        </w:rPr>
        <w:t xml:space="preserve">é </w:t>
      </w:r>
      <w:r>
        <w:rPr>
          <w:rFonts w:ascii="Book Antiqua"/>
          <w:color w:val="262626"/>
          <w:u w:color="163291"/>
          <w:rtl w:val="0"/>
          <w:lang w:val="it-IT"/>
        </w:rPr>
        <w:t xml:space="preserve">fisicamente andrebbe a finire ai primi di agosto, forse aspetteremo settembre, ma il progetto </w:t>
      </w:r>
      <w:r>
        <w:rPr>
          <w:rFonts w:hAnsi="Book Antiqua" w:hint="default"/>
          <w:color w:val="262626"/>
          <w:u w:color="163291"/>
          <w:rtl w:val="0"/>
          <w:lang w:val="it-IT"/>
        </w:rPr>
        <w:t xml:space="preserve">è </w:t>
      </w:r>
      <w:r>
        <w:rPr>
          <w:rFonts w:ascii="Book Antiqua"/>
          <w:color w:val="262626"/>
          <w:u w:color="163291"/>
          <w:rtl w:val="0"/>
          <w:lang w:val="it-IT"/>
        </w:rPr>
        <w:t>arrivato, secondo le indicazioni degli enti [</w:t>
      </w:r>
      <w:r>
        <w:rPr>
          <w:rFonts w:hAnsi="Book Antiqua" w:hint="default"/>
          <w:color w:val="262626"/>
          <w:u w:color="163291"/>
          <w:rtl w:val="0"/>
          <w:lang w:val="it-IT"/>
        </w:rPr>
        <w:t>…</w:t>
      </w:r>
      <w:r>
        <w:rPr>
          <w:rFonts w:ascii="Book Antiqua"/>
          <w:color w:val="262626"/>
          <w:u w:color="163291"/>
          <w:rtl w:val="0"/>
          <w:lang w:val="it-IT"/>
        </w:rPr>
        <w:t>]</w:t>
      </w:r>
    </w:p>
    <w:p>
      <w:pPr>
        <w:pStyle w:val="Normal"/>
        <w:widowControl w:val="0"/>
        <w:ind w:left="567" w:right="567" w:firstLine="0"/>
        <w:jc w:val="both"/>
        <w:rPr>
          <w:rFonts w:ascii="Book Antiqua" w:cs="Book Antiqua" w:hAnsi="Book Antiqua" w:eastAsia="Book Antiqua"/>
          <w:color w:val="262626"/>
          <w:u w:color="163291"/>
        </w:rPr>
      </w:pPr>
      <w:r>
        <w:rPr>
          <w:rFonts w:ascii="Book Antiqua"/>
          <w:color w:val="262626"/>
          <w:u w:color="163291"/>
          <w:rtl w:val="0"/>
          <w:lang w:val="it-IT"/>
        </w:rPr>
        <w:t>Per quanto riguarda Malagrotta] appena sar</w:t>
      </w:r>
      <w:r>
        <w:rPr>
          <w:rFonts w:hAnsi="Book Antiqua" w:hint="default"/>
          <w:color w:val="262626"/>
          <w:u w:color="163291"/>
          <w:rtl w:val="0"/>
          <w:lang w:val="it-IT"/>
        </w:rPr>
        <w:t xml:space="preserve">à </w:t>
      </w:r>
      <w:r>
        <w:rPr>
          <w:rFonts w:ascii="Book Antiqua"/>
          <w:color w:val="262626"/>
          <w:u w:color="163291"/>
          <w:rtl w:val="0"/>
          <w:lang w:val="it-IT"/>
        </w:rPr>
        <w:t xml:space="preserve">approvato il </w:t>
      </w:r>
      <w:r>
        <w:rPr>
          <w:rFonts w:ascii="Book Antiqua"/>
          <w:i w:val="1"/>
          <w:iCs w:val="1"/>
          <w:color w:val="262626"/>
          <w:u w:color="163291"/>
          <w:rtl w:val="0"/>
          <w:lang w:val="it-IT"/>
        </w:rPr>
        <w:t>capping</w:t>
      </w:r>
      <w:r>
        <w:rPr>
          <w:rFonts w:ascii="Book Antiqua"/>
          <w:color w:val="262626"/>
          <w:u w:color="163291"/>
          <w:rtl w:val="0"/>
          <w:lang w:val="it-IT"/>
        </w:rPr>
        <w:t>, sar</w:t>
      </w:r>
      <w:r>
        <w:rPr>
          <w:rFonts w:hAnsi="Book Antiqua" w:hint="default"/>
          <w:color w:val="262626"/>
          <w:u w:color="163291"/>
          <w:rtl w:val="0"/>
          <w:lang w:val="it-IT"/>
        </w:rPr>
        <w:t xml:space="preserve">à </w:t>
      </w:r>
      <w:r>
        <w:rPr>
          <w:rFonts w:ascii="Book Antiqua"/>
          <w:color w:val="262626"/>
          <w:u w:color="163291"/>
          <w:rtl w:val="0"/>
          <w:lang w:val="it-IT"/>
        </w:rPr>
        <w:t>definita la situazione di post-gestione [</w:t>
      </w:r>
      <w:r>
        <w:rPr>
          <w:rFonts w:hAnsi="Book Antiqua" w:hint="default"/>
          <w:color w:val="262626"/>
          <w:u w:color="163291"/>
          <w:rtl w:val="0"/>
          <w:lang w:val="it-IT"/>
        </w:rPr>
        <w:t>…</w:t>
      </w:r>
      <w:r>
        <w:rPr>
          <w:rFonts w:ascii="Book Antiqua"/>
          <w:color w:val="262626"/>
          <w:u w:color="163291"/>
          <w:rtl w:val="0"/>
          <w:lang w:val="it-IT"/>
        </w:rPr>
        <w:t>]. A quel punto sar</w:t>
      </w:r>
      <w:r>
        <w:rPr>
          <w:rFonts w:hAnsi="Book Antiqua" w:hint="default"/>
          <w:color w:val="262626"/>
          <w:u w:color="163291"/>
          <w:rtl w:val="0"/>
          <w:lang w:val="it-IT"/>
        </w:rPr>
        <w:t xml:space="preserve">à </w:t>
      </w:r>
      <w:r>
        <w:rPr>
          <w:rFonts w:ascii="Book Antiqua"/>
          <w:color w:val="262626"/>
          <w:u w:color="163291"/>
          <w:rtl w:val="0"/>
          <w:lang w:val="it-IT"/>
        </w:rPr>
        <w:t>individuata esattamente la dimensione, riferita anche al decreto legislativo n. 36 del 2003, della situazione amministrativa della discarica, che quindi sar</w:t>
      </w:r>
      <w:r>
        <w:rPr>
          <w:rFonts w:hAnsi="Book Antiqua" w:hint="default"/>
          <w:color w:val="262626"/>
          <w:u w:color="163291"/>
          <w:rtl w:val="0"/>
          <w:lang w:val="it-IT"/>
        </w:rPr>
        <w:t xml:space="preserve">à </w:t>
      </w:r>
      <w:r>
        <w:rPr>
          <w:rFonts w:ascii="Book Antiqua"/>
          <w:color w:val="262626"/>
          <w:u w:color="163291"/>
          <w:rtl w:val="0"/>
          <w:lang w:val="it-IT"/>
        </w:rPr>
        <w:t xml:space="preserve">in situazione di post-gestione. </w:t>
      </w:r>
    </w:p>
    <w:p>
      <w:pPr>
        <w:pStyle w:val="Normal"/>
        <w:widowControl w:val="0"/>
        <w:ind w:left="567" w:right="567" w:firstLine="0"/>
        <w:jc w:val="both"/>
        <w:rPr>
          <w:rFonts w:ascii="Book Antiqua" w:cs="Book Antiqua" w:hAnsi="Book Antiqua" w:eastAsia="Book Antiqua"/>
          <w:color w:val="262626"/>
          <w:u w:color="163291"/>
        </w:rPr>
      </w:pPr>
      <w:r>
        <w:rPr>
          <w:rFonts w:ascii="Book Antiqua"/>
          <w:color w:val="262626"/>
          <w:u w:color="163291"/>
          <w:rtl w:val="0"/>
          <w:lang w:val="it-IT"/>
        </w:rPr>
        <w:t xml:space="preserve"> [A Malagrotta] il </w:t>
      </w:r>
      <w:r>
        <w:rPr>
          <w:rFonts w:ascii="Book Antiqua"/>
          <w:i w:val="1"/>
          <w:iCs w:val="1"/>
          <w:color w:val="262626"/>
          <w:u w:color="163291"/>
          <w:rtl w:val="0"/>
          <w:lang w:val="it-IT"/>
        </w:rPr>
        <w:t>capping</w:t>
      </w:r>
      <w:r>
        <w:rPr>
          <w:rFonts w:hAnsi="Book Antiqua" w:hint="default"/>
          <w:color w:val="262626"/>
          <w:u w:color="163291"/>
          <w:rtl w:val="0"/>
          <w:lang w:val="it-IT"/>
        </w:rPr>
        <w:t xml:space="preserve"> è </w:t>
      </w:r>
      <w:r>
        <w:rPr>
          <w:rFonts w:ascii="Book Antiqua"/>
          <w:color w:val="262626"/>
          <w:u w:color="163291"/>
          <w:rtl w:val="0"/>
          <w:lang w:val="it-IT"/>
        </w:rPr>
        <w:t>un'operazione che va fatta a prescindere. Il sito poteva anche non essere inquinato ma andava comunque fatto. Dall'altra parte, in questo momento c'</w:t>
      </w:r>
      <w:r>
        <w:rPr>
          <w:rFonts w:hAnsi="Book Antiqua" w:hint="default"/>
          <w:color w:val="262626"/>
          <w:u w:color="163291"/>
          <w:rtl w:val="0"/>
          <w:lang w:val="it-IT"/>
        </w:rPr>
        <w:t xml:space="preserve">è </w:t>
      </w:r>
      <w:r>
        <w:rPr>
          <w:rFonts w:ascii="Book Antiqua"/>
          <w:color w:val="262626"/>
          <w:u w:color="163291"/>
          <w:rtl w:val="0"/>
          <w:lang w:val="it-IT"/>
        </w:rPr>
        <w:t>un problema di battente di percolato. Tra le attivit</w:t>
      </w:r>
      <w:r>
        <w:rPr>
          <w:rFonts w:hAnsi="Book Antiqua" w:hint="default"/>
          <w:color w:val="262626"/>
          <w:u w:color="163291"/>
          <w:rtl w:val="0"/>
          <w:lang w:val="it-IT"/>
        </w:rPr>
        <w:t xml:space="preserve">à </w:t>
      </w:r>
      <w:r>
        <w:rPr>
          <w:rFonts w:ascii="Book Antiqua"/>
          <w:color w:val="262626"/>
          <w:u w:color="163291"/>
          <w:rtl w:val="0"/>
          <w:lang w:val="it-IT"/>
        </w:rPr>
        <w:t>che sono state messe in piedi, in questo momento, che io sappia, non c'</w:t>
      </w:r>
      <w:r>
        <w:rPr>
          <w:rFonts w:hAnsi="Book Antiqua" w:hint="default"/>
          <w:color w:val="262626"/>
          <w:u w:color="163291"/>
          <w:rtl w:val="0"/>
          <w:lang w:val="it-IT"/>
        </w:rPr>
        <w:t xml:space="preserve">è </w:t>
      </w:r>
      <w:r>
        <w:rPr>
          <w:rFonts w:ascii="Book Antiqua"/>
          <w:color w:val="262626"/>
          <w:u w:color="163291"/>
          <w:rtl w:val="0"/>
          <w:lang w:val="it-IT"/>
        </w:rPr>
        <w:t>la messa in sicurezza permanente, ma [</w:t>
      </w:r>
      <w:r>
        <w:rPr>
          <w:rFonts w:hAnsi="Book Antiqua" w:hint="default"/>
          <w:color w:val="262626"/>
          <w:u w:color="163291"/>
          <w:rtl w:val="0"/>
          <w:lang w:val="it-IT"/>
        </w:rPr>
        <w:t>…</w:t>
      </w:r>
      <w:r>
        <w:rPr>
          <w:rFonts w:ascii="Book Antiqua"/>
          <w:color w:val="262626"/>
          <w:u w:color="163291"/>
          <w:rtl w:val="0"/>
          <w:lang w:val="it-IT"/>
        </w:rPr>
        <w:t xml:space="preserve">] non lo so esattamente. Per il </w:t>
      </w:r>
      <w:r>
        <w:rPr>
          <w:rFonts w:ascii="Book Antiqua"/>
          <w:i w:val="1"/>
          <w:iCs w:val="1"/>
          <w:color w:val="262626"/>
          <w:u w:color="163291"/>
          <w:rtl w:val="0"/>
          <w:lang w:val="it-IT"/>
        </w:rPr>
        <w:t>capping,</w:t>
      </w:r>
      <w:r>
        <w:rPr>
          <w:rFonts w:ascii="Book Antiqua"/>
          <w:color w:val="262626"/>
          <w:u w:color="163291"/>
          <w:rtl w:val="0"/>
          <w:lang w:val="it-IT"/>
        </w:rPr>
        <w:t xml:space="preserve"> invece, lo [si sta] autorizzando ed </w:t>
      </w:r>
      <w:r>
        <w:rPr>
          <w:rFonts w:hAnsi="Book Antiqua" w:hint="default"/>
          <w:color w:val="262626"/>
          <w:u w:color="163291"/>
          <w:rtl w:val="0"/>
          <w:lang w:val="it-IT"/>
        </w:rPr>
        <w:t xml:space="preserve">è </w:t>
      </w:r>
      <w:r>
        <w:rPr>
          <w:rFonts w:ascii="Book Antiqua"/>
          <w:color w:val="262626"/>
          <w:u w:color="163291"/>
          <w:rtl w:val="0"/>
          <w:lang w:val="it-IT"/>
        </w:rPr>
        <w:t xml:space="preserve">stato uno degli elementi definiti e su cui procedere in questo incontro-tavolo tra enti. </w:t>
      </w:r>
      <w:r>
        <w:rPr>
          <w:rFonts w:hAnsi="Book Antiqua" w:hint="default"/>
          <w:color w:val="262626"/>
          <w:u w:color="163291"/>
          <w:rtl w:val="0"/>
          <w:lang w:val="it-IT"/>
        </w:rPr>
        <w:t>  </w:t>
      </w:r>
    </w:p>
    <w:p>
      <w:pPr>
        <w:pStyle w:val="Normal"/>
        <w:widowControl w:val="0"/>
        <w:ind w:left="567" w:right="567" w:firstLine="0"/>
        <w:jc w:val="both"/>
        <w:rPr>
          <w:rFonts w:ascii="Book Antiqua" w:cs="Book Antiqua" w:hAnsi="Book Antiqua" w:eastAsia="Book Antiqua"/>
          <w:color w:val="262626"/>
          <w:u w:color="163291"/>
        </w:rPr>
      </w:pPr>
      <w:r>
        <w:rPr>
          <w:rFonts w:ascii="Book Antiqua"/>
          <w:color w:val="262626"/>
          <w:u w:color="163291"/>
          <w:rtl w:val="0"/>
          <w:lang w:val="it-IT"/>
        </w:rPr>
        <w:t xml:space="preserve">Su Malagrotta ci sono tre procedimenti in corso: il procedimento di bonifica, che sta gestendo il comune, il procedimento di </w:t>
      </w:r>
      <w:r>
        <w:rPr>
          <w:rFonts w:ascii="Book Antiqua"/>
          <w:i w:val="1"/>
          <w:iCs w:val="1"/>
          <w:color w:val="262626"/>
          <w:u w:color="163291"/>
          <w:rtl w:val="0"/>
          <w:lang w:val="it-IT"/>
        </w:rPr>
        <w:t>capping</w:t>
      </w:r>
      <w:r>
        <w:rPr>
          <w:rFonts w:ascii="Book Antiqua"/>
          <w:color w:val="262626"/>
          <w:u w:color="163291"/>
          <w:rtl w:val="0"/>
          <w:lang w:val="it-IT"/>
        </w:rPr>
        <w:t>, che sto gestendo in questo momento come area rifiuti e, in pi</w:t>
      </w:r>
      <w:r>
        <w:rPr>
          <w:rFonts w:hAnsi="Book Antiqua" w:hint="default"/>
          <w:color w:val="262626"/>
          <w:u w:color="163291"/>
          <w:rtl w:val="0"/>
          <w:lang w:val="it-IT"/>
        </w:rPr>
        <w:t>ù</w:t>
      </w:r>
      <w:r>
        <w:rPr>
          <w:rFonts w:ascii="Book Antiqua"/>
          <w:color w:val="262626"/>
          <w:u w:color="163291"/>
          <w:rtl w:val="0"/>
          <w:lang w:val="it-IT"/>
        </w:rPr>
        <w:t xml:space="preserve">, si sta autorizzando anche l'impianto di trattamento del percolato, che non </w:t>
      </w:r>
      <w:r>
        <w:rPr>
          <w:rFonts w:hAnsi="Book Antiqua" w:hint="default"/>
          <w:color w:val="262626"/>
          <w:u w:color="163291"/>
          <w:rtl w:val="0"/>
          <w:lang w:val="it-IT"/>
        </w:rPr>
        <w:t xml:space="preserve">è </w:t>
      </w:r>
      <w:r>
        <w:rPr>
          <w:rFonts w:ascii="Book Antiqua"/>
          <w:color w:val="262626"/>
          <w:u w:color="163291"/>
          <w:rtl w:val="0"/>
          <w:lang w:val="it-IT"/>
        </w:rPr>
        <w:t>autorizzato perch</w:t>
      </w:r>
      <w:r>
        <w:rPr>
          <w:rFonts w:hAnsi="Book Antiqua" w:hint="default"/>
          <w:color w:val="262626"/>
          <w:u w:color="163291"/>
          <w:rtl w:val="0"/>
          <w:lang w:val="it-IT"/>
        </w:rPr>
        <w:t xml:space="preserve">é </w:t>
      </w:r>
      <w:r>
        <w:rPr>
          <w:rFonts w:ascii="Book Antiqua"/>
          <w:color w:val="262626"/>
          <w:u w:color="163291"/>
          <w:rtl w:val="0"/>
          <w:lang w:val="it-IT"/>
        </w:rPr>
        <w:t xml:space="preserve">Malagrotta ha avuto l'anomalia di non avere mai un'AIA. </w:t>
      </w:r>
    </w:p>
    <w:p>
      <w:pPr>
        <w:pStyle w:val="Normal"/>
        <w:widowControl w:val="0"/>
        <w:ind w:left="567" w:right="567" w:firstLine="0"/>
        <w:jc w:val="both"/>
        <w:rPr>
          <w:rFonts w:ascii="Book Antiqua" w:cs="Book Antiqua" w:hAnsi="Book Antiqua" w:eastAsia="Book Antiqua"/>
          <w:color w:val="262626"/>
          <w:u w:color="163291"/>
        </w:rPr>
      </w:pPr>
      <w:r>
        <w:rPr>
          <w:rFonts w:ascii="Book Antiqua"/>
          <w:color w:val="262626"/>
          <w:u w:color="163291"/>
          <w:rtl w:val="0"/>
          <w:lang w:val="it-IT"/>
        </w:rPr>
        <w:t>In realt</w:t>
      </w:r>
      <w:r>
        <w:rPr>
          <w:rFonts w:hAnsi="Book Antiqua" w:hint="default"/>
          <w:color w:val="262626"/>
          <w:u w:color="163291"/>
          <w:rtl w:val="0"/>
          <w:lang w:val="it-IT"/>
        </w:rPr>
        <w:t>à</w:t>
      </w:r>
      <w:r>
        <w:rPr>
          <w:rFonts w:ascii="Book Antiqua"/>
          <w:color w:val="262626"/>
          <w:u w:color="163291"/>
          <w:rtl w:val="0"/>
          <w:lang w:val="it-IT"/>
        </w:rPr>
        <w:t xml:space="preserve">, i decreti commissariali che si sono succeduti non hanno mai permesso a tutto il complesso di Malagrotta di avere un'autorizzazione integrata ambientale. Si </w:t>
      </w:r>
      <w:r>
        <w:rPr>
          <w:rFonts w:hAnsi="Book Antiqua" w:hint="default"/>
          <w:color w:val="262626"/>
          <w:u w:color="163291"/>
          <w:rtl w:val="0"/>
          <w:lang w:val="it-IT"/>
        </w:rPr>
        <w:t xml:space="preserve">è </w:t>
      </w:r>
      <w:r>
        <w:rPr>
          <w:rFonts w:ascii="Book Antiqua"/>
          <w:color w:val="262626"/>
          <w:u w:color="163291"/>
          <w:rtl w:val="0"/>
          <w:lang w:val="it-IT"/>
        </w:rPr>
        <w:t xml:space="preserve">sempre andati avanti per decreti frammentati e scomposti, non omogenei. Pertanto, l'impianto di trattamento del percolato non </w:t>
      </w:r>
      <w:r>
        <w:rPr>
          <w:rFonts w:hAnsi="Book Antiqua" w:hint="default"/>
          <w:color w:val="262626"/>
          <w:u w:color="163291"/>
          <w:rtl w:val="0"/>
          <w:lang w:val="it-IT"/>
        </w:rPr>
        <w:t xml:space="preserve">è </w:t>
      </w:r>
      <w:r>
        <w:rPr>
          <w:rFonts w:ascii="Book Antiqua"/>
          <w:color w:val="262626"/>
          <w:u w:color="163291"/>
          <w:rtl w:val="0"/>
          <w:lang w:val="it-IT"/>
        </w:rPr>
        <w:t xml:space="preserve">autorizzato. </w:t>
      </w:r>
    </w:p>
    <w:p>
      <w:pPr>
        <w:pStyle w:val="Normal"/>
        <w:widowControl w:val="0"/>
        <w:ind w:left="567" w:right="567" w:firstLine="0"/>
        <w:jc w:val="both"/>
        <w:rPr>
          <w:rFonts w:ascii="Book Antiqua" w:cs="Book Antiqua" w:hAnsi="Book Antiqua" w:eastAsia="Book Antiqua"/>
          <w:color w:val="262626"/>
          <w:u w:color="163291"/>
        </w:rPr>
      </w:pPr>
      <w:r>
        <w:rPr>
          <w:rFonts w:ascii="Book Antiqua"/>
          <w:color w:val="262626"/>
          <w:u w:color="163291"/>
          <w:rtl w:val="0"/>
          <w:lang w:val="it-IT"/>
        </w:rPr>
        <w:t xml:space="preserve">Attualmente </w:t>
      </w:r>
      <w:r>
        <w:rPr>
          <w:rFonts w:hAnsi="Book Antiqua" w:hint="default"/>
          <w:color w:val="262626"/>
          <w:u w:color="163291"/>
          <w:rtl w:val="0"/>
          <w:lang w:val="it-IT"/>
        </w:rPr>
        <w:t xml:space="preserve">è </w:t>
      </w:r>
      <w:r>
        <w:rPr>
          <w:rFonts w:ascii="Book Antiqua"/>
          <w:color w:val="262626"/>
          <w:u w:color="163291"/>
          <w:rtl w:val="0"/>
          <w:lang w:val="it-IT"/>
        </w:rPr>
        <w:t xml:space="preserve">in corso una procedura di VIA, che </w:t>
      </w:r>
      <w:r>
        <w:rPr>
          <w:rFonts w:hAnsi="Book Antiqua" w:hint="default"/>
          <w:color w:val="262626"/>
          <w:u w:color="163291"/>
          <w:rtl w:val="0"/>
          <w:lang w:val="it-IT"/>
        </w:rPr>
        <w:t xml:space="preserve">è </w:t>
      </w:r>
      <w:r>
        <w:rPr>
          <w:rFonts w:ascii="Book Antiqua"/>
          <w:color w:val="262626"/>
          <w:u w:color="163291"/>
          <w:rtl w:val="0"/>
          <w:lang w:val="it-IT"/>
        </w:rPr>
        <w:t>stata accelerata e sar</w:t>
      </w:r>
      <w:r>
        <w:rPr>
          <w:rFonts w:hAnsi="Book Antiqua" w:hint="default"/>
          <w:color w:val="262626"/>
          <w:u w:color="163291"/>
          <w:rtl w:val="0"/>
          <w:lang w:val="it-IT"/>
        </w:rPr>
        <w:t xml:space="preserve">à </w:t>
      </w:r>
      <w:r>
        <w:rPr>
          <w:rFonts w:ascii="Book Antiqua"/>
          <w:color w:val="262626"/>
          <w:u w:color="163291"/>
          <w:rtl w:val="0"/>
          <w:lang w:val="it-IT"/>
        </w:rPr>
        <w:t>chiusa a breve. Successivamente sar</w:t>
      </w:r>
      <w:r>
        <w:rPr>
          <w:rFonts w:hAnsi="Book Antiqua" w:hint="default"/>
          <w:color w:val="262626"/>
          <w:u w:color="163291"/>
          <w:rtl w:val="0"/>
          <w:lang w:val="it-IT"/>
        </w:rPr>
        <w:t xml:space="preserve">à </w:t>
      </w:r>
      <w:r>
        <w:rPr>
          <w:rFonts w:ascii="Book Antiqua"/>
          <w:color w:val="262626"/>
          <w:u w:color="163291"/>
          <w:rtl w:val="0"/>
          <w:lang w:val="it-IT"/>
        </w:rPr>
        <w:t>autorizzata anche l'AIA degli impianti di percolato. Questo permetter</w:t>
      </w:r>
      <w:r>
        <w:rPr>
          <w:rFonts w:hAnsi="Book Antiqua" w:hint="default"/>
          <w:color w:val="262626"/>
          <w:u w:color="163291"/>
          <w:rtl w:val="0"/>
          <w:lang w:val="it-IT"/>
        </w:rPr>
        <w:t xml:space="preserve">à </w:t>
      </w:r>
      <w:r>
        <w:rPr>
          <w:rFonts w:ascii="Book Antiqua"/>
          <w:color w:val="262626"/>
          <w:u w:color="163291"/>
          <w:rtl w:val="0"/>
          <w:lang w:val="it-IT"/>
        </w:rPr>
        <w:t>di aumentare le capacit</w:t>
      </w:r>
      <w:r>
        <w:rPr>
          <w:rFonts w:hAnsi="Book Antiqua" w:hint="default"/>
          <w:color w:val="262626"/>
          <w:u w:color="163291"/>
          <w:rtl w:val="0"/>
          <w:lang w:val="it-IT"/>
        </w:rPr>
        <w:t xml:space="preserve">à </w:t>
      </w:r>
      <w:r>
        <w:rPr>
          <w:rFonts w:ascii="Book Antiqua"/>
          <w:color w:val="262626"/>
          <w:u w:color="163291"/>
          <w:rtl w:val="0"/>
          <w:lang w:val="it-IT"/>
        </w:rPr>
        <w:t xml:space="preserve">di trattamento del percolato e quindi di agevolare anche tutte le operazioni successive di bonifica. Nel frattempo la caratterizzazione </w:t>
      </w:r>
      <w:r>
        <w:rPr>
          <w:rFonts w:hAnsi="Book Antiqua" w:hint="default"/>
          <w:color w:val="262626"/>
          <w:u w:color="163291"/>
          <w:rtl w:val="0"/>
          <w:lang w:val="it-IT"/>
        </w:rPr>
        <w:t xml:space="preserve">è </w:t>
      </w:r>
      <w:r>
        <w:rPr>
          <w:rFonts w:ascii="Book Antiqua"/>
          <w:color w:val="262626"/>
          <w:u w:color="163291"/>
          <w:rtl w:val="0"/>
          <w:lang w:val="it-IT"/>
        </w:rPr>
        <w:t>in corso perch</w:t>
      </w:r>
      <w:r>
        <w:rPr>
          <w:rFonts w:hAnsi="Book Antiqua" w:hint="default"/>
          <w:color w:val="262626"/>
          <w:u w:color="163291"/>
          <w:rtl w:val="0"/>
          <w:lang w:val="it-IT"/>
        </w:rPr>
        <w:t xml:space="preserve">é </w:t>
      </w:r>
      <w:r>
        <w:rPr>
          <w:rFonts w:ascii="Book Antiqua"/>
          <w:color w:val="262626"/>
          <w:u w:color="163291"/>
          <w:rtl w:val="0"/>
          <w:lang w:val="it-IT"/>
        </w:rPr>
        <w:t>ci sono anche inquinanti che non sono tipici della discarica. La caratterizzazione serve a definire anche questo. C'</w:t>
      </w:r>
      <w:r>
        <w:rPr>
          <w:rFonts w:hAnsi="Book Antiqua" w:hint="default"/>
          <w:color w:val="262626"/>
          <w:u w:color="163291"/>
          <w:rtl w:val="0"/>
          <w:lang w:val="it-IT"/>
        </w:rPr>
        <w:t xml:space="preserve">è </w:t>
      </w:r>
      <w:r>
        <w:rPr>
          <w:rFonts w:ascii="Book Antiqua"/>
          <w:color w:val="262626"/>
          <w:u w:color="163291"/>
          <w:rtl w:val="0"/>
          <w:lang w:val="it-IT"/>
        </w:rPr>
        <w:t xml:space="preserve">poi un altro sito vicino che ha altri problemi simili. Non </w:t>
      </w:r>
      <w:r>
        <w:rPr>
          <w:rFonts w:hAnsi="Book Antiqua" w:hint="default"/>
          <w:color w:val="262626"/>
          <w:u w:color="163291"/>
          <w:rtl w:val="0"/>
          <w:lang w:val="it-IT"/>
        </w:rPr>
        <w:t xml:space="preserve">è </w:t>
      </w:r>
      <w:r>
        <w:rPr>
          <w:rFonts w:ascii="Book Antiqua"/>
          <w:color w:val="262626"/>
          <w:u w:color="163291"/>
          <w:rtl w:val="0"/>
          <w:lang w:val="it-IT"/>
        </w:rPr>
        <w:t>quindi cos</w:t>
      </w:r>
      <w:r>
        <w:rPr>
          <w:rFonts w:hAnsi="Book Antiqua" w:hint="default"/>
          <w:color w:val="262626"/>
          <w:u w:color="163291"/>
          <w:rtl w:val="0"/>
          <w:lang w:val="it-IT"/>
        </w:rPr>
        <w:t xml:space="preserve">ì </w:t>
      </w:r>
      <w:r>
        <w:rPr>
          <w:rFonts w:ascii="Book Antiqua"/>
          <w:color w:val="262626"/>
          <w:u w:color="163291"/>
          <w:rtl w:val="0"/>
          <w:lang w:val="it-IT"/>
        </w:rPr>
        <w:t>facile caratterizzare in maniera univoca il sito</w:t>
      </w:r>
      <w:r>
        <w:rPr>
          <w:rFonts w:hAnsi="Book Antiqua" w:hint="default"/>
          <w:color w:val="262626"/>
          <w:u w:color="163291"/>
          <w:rtl w:val="0"/>
          <w:lang w:val="it-IT"/>
        </w:rPr>
        <w:t>”</w:t>
      </w:r>
      <w:r>
        <w:rPr>
          <w:rFonts w:ascii="Book Antiqua"/>
          <w:color w:val="262626"/>
          <w:u w:color="163291"/>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La situazione era stata altres</w:t>
      </w:r>
      <w:r>
        <w:rPr>
          <w:rFonts w:hAnsi="Book Antiqua" w:hint="default"/>
          <w:rtl w:val="0"/>
          <w:lang w:val="it-IT"/>
        </w:rPr>
        <w:t xml:space="preserve">ì </w:t>
      </w:r>
      <w:r>
        <w:rPr>
          <w:rFonts w:ascii="Book Antiqua"/>
          <w:rtl w:val="0"/>
          <w:lang w:val="it-IT"/>
        </w:rPr>
        <w:t>fotografata dal direttore generale di ARPA Lazio, che nell</w:t>
      </w:r>
      <w:r>
        <w:rPr>
          <w:rFonts w:hAnsi="Book Antiqua" w:hint="default"/>
          <w:rtl w:val="0"/>
          <w:lang w:val="it-IT"/>
        </w:rPr>
        <w:t>’</w:t>
      </w:r>
      <w:r>
        <w:rPr>
          <w:rFonts w:ascii="Book Antiqua"/>
          <w:rtl w:val="0"/>
          <w:lang w:val="it-IT"/>
        </w:rPr>
        <w:t>audizione del 13 ottobre 2016 a questo proposito dichiarava:</w:t>
      </w:r>
    </w:p>
    <w:p>
      <w:pPr>
        <w:pStyle w:val="Normal"/>
        <w:ind w:left="567" w:right="567" w:firstLine="0"/>
        <w:jc w:val="both"/>
        <w:rPr>
          <w:rFonts w:ascii="Book Antiqua" w:cs="Book Antiqua" w:hAnsi="Book Antiqua" w:eastAsia="Book Antiqua"/>
          <w:color w:val="262626"/>
          <w:u w:color="262626"/>
        </w:rPr>
      </w:pPr>
      <w:r>
        <w:rPr>
          <w:rFonts w:hAnsi="Book Antiqua" w:hint="default"/>
          <w:rtl w:val="0"/>
          <w:lang w:val="it-IT"/>
        </w:rPr>
        <w:t>“</w:t>
      </w:r>
      <w:r>
        <w:rPr>
          <w:rFonts w:hAnsi="Book Antiqua" w:hint="default"/>
          <w:color w:val="262626"/>
          <w:u w:color="262626"/>
          <w:rtl w:val="0"/>
          <w:lang w:val="it-IT"/>
        </w:rPr>
        <w:t xml:space="preserve">è </w:t>
      </w:r>
      <w:r>
        <w:rPr>
          <w:rFonts w:ascii="Book Antiqua"/>
          <w:color w:val="262626"/>
          <w:u w:color="262626"/>
          <w:rtl w:val="0"/>
          <w:lang w:val="it-IT"/>
        </w:rPr>
        <w:t xml:space="preserve">in fase di esame il piano di caratterizzazione che </w:t>
      </w:r>
      <w:r>
        <w:rPr>
          <w:rFonts w:hAnsi="Book Antiqua" w:hint="default"/>
          <w:color w:val="262626"/>
          <w:u w:color="262626"/>
          <w:rtl w:val="0"/>
          <w:lang w:val="it-IT"/>
        </w:rPr>
        <w:t xml:space="preserve">è </w:t>
      </w:r>
      <w:r>
        <w:rPr>
          <w:rFonts w:ascii="Book Antiqua"/>
          <w:color w:val="262626"/>
          <w:u w:color="262626"/>
          <w:rtl w:val="0"/>
          <w:lang w:val="it-IT"/>
        </w:rPr>
        <w:t>stato presentato dalla Giovi, su cui noi daremo il parere definitivo entro qualche settimana, e per quanto riguarda le misure di messa in sicurezza Giovi ha presentato a maggio del 2016 il progetto di messa in sicurezza di emergenza conformemente all'ordinanza sindacale del 2010. Sono tutti interventi finalizzati al controllo del livello piezometrico nella fascia compresa tra il polder, cio</w:t>
      </w:r>
      <w:r>
        <w:rPr>
          <w:rFonts w:hAnsi="Book Antiqua" w:hint="default"/>
          <w:color w:val="262626"/>
          <w:u w:color="262626"/>
          <w:rtl w:val="0"/>
          <w:lang w:val="it-IT"/>
        </w:rPr>
        <w:t xml:space="preserve">è </w:t>
      </w:r>
      <w:r>
        <w:rPr>
          <w:rFonts w:ascii="Book Antiqua"/>
          <w:color w:val="262626"/>
          <w:u w:color="262626"/>
          <w:rtl w:val="0"/>
          <w:lang w:val="it-IT"/>
        </w:rPr>
        <w:t>il marginamento effettuato, e la discarica, per fare in modo che i livelli non determinino una fuoriuscita del percolato che abbiamo rilevato. [</w:t>
      </w:r>
      <w:r>
        <w:rPr>
          <w:rFonts w:hAnsi="Book Antiqua" w:hint="default"/>
          <w:color w:val="262626"/>
          <w:u w:color="262626"/>
          <w:rtl w:val="0"/>
          <w:lang w:val="it-IT"/>
        </w:rPr>
        <w:t>…</w:t>
      </w:r>
      <w:r>
        <w:rPr>
          <w:rFonts w:ascii="Book Antiqua"/>
          <w:color w:val="262626"/>
          <w:u w:color="262626"/>
          <w:rtl w:val="0"/>
          <w:lang w:val="it-IT"/>
        </w:rPr>
        <w:t xml:space="preserve">] facciamo continui controlli dei piezometri, </w:t>
      </w:r>
      <w:r>
        <w:rPr>
          <w:rFonts w:hAnsi="Book Antiqua" w:hint="default"/>
          <w:color w:val="262626"/>
          <w:u w:color="262626"/>
          <w:rtl w:val="0"/>
          <w:lang w:val="it-IT"/>
        </w:rPr>
        <w:t xml:space="preserve">è </w:t>
      </w:r>
      <w:r>
        <w:rPr>
          <w:rFonts w:ascii="Book Antiqua"/>
          <w:color w:val="262626"/>
          <w:u w:color="262626"/>
          <w:rtl w:val="0"/>
          <w:lang w:val="it-IT"/>
        </w:rPr>
        <w:t>un'attivit</w:t>
      </w:r>
      <w:r>
        <w:rPr>
          <w:rFonts w:hAnsi="Book Antiqua" w:hint="default"/>
          <w:color w:val="262626"/>
          <w:u w:color="262626"/>
          <w:rtl w:val="0"/>
          <w:lang w:val="it-IT"/>
        </w:rPr>
        <w:t xml:space="preserve">à </w:t>
      </w:r>
      <w:r>
        <w:rPr>
          <w:rFonts w:ascii="Book Antiqua"/>
          <w:color w:val="262626"/>
          <w:u w:color="262626"/>
          <w:rtl w:val="0"/>
          <w:lang w:val="it-IT"/>
        </w:rPr>
        <w:t>molto impegnativa. Su Malagrotta il procedimento di bonifica gestito dal comune e quello di messa in sicurezza (</w:t>
      </w:r>
      <w:r>
        <w:rPr>
          <w:rFonts w:ascii="Book Antiqua"/>
          <w:i w:val="1"/>
          <w:iCs w:val="1"/>
          <w:color w:val="262626"/>
          <w:u w:color="262626"/>
          <w:rtl w:val="0"/>
          <w:lang w:val="it-IT"/>
        </w:rPr>
        <w:t>capping</w:t>
      </w:r>
      <w:r>
        <w:rPr>
          <w:rFonts w:ascii="Book Antiqua"/>
          <w:color w:val="262626"/>
          <w:u w:color="262626"/>
          <w:rtl w:val="0"/>
          <w:lang w:val="it-IT"/>
        </w:rPr>
        <w:t>) di competenza regionale sono entrambi in itinere; noi li seguiamo molto da vicino e in questi mesi verranno espressi i pareri definitivi</w:t>
      </w:r>
      <w:r>
        <w:rPr>
          <w:rFonts w:hAnsi="Book Antiqua" w:hint="default"/>
          <w:color w:val="262626"/>
          <w:u w:color="262626"/>
          <w:rtl w:val="0"/>
          <w:lang w:val="it-IT"/>
        </w:rPr>
        <w:t>”</w:t>
      </w:r>
      <w:r>
        <w:rPr>
          <w:rFonts w:ascii="Book Antiqua"/>
          <w:color w:val="262626"/>
          <w:u w:color="262626"/>
          <w:rtl w:val="0"/>
          <w:lang w:val="it-IT"/>
        </w:rPr>
        <w:t>.</w:t>
      </w:r>
    </w:p>
    <w:p>
      <w:pPr>
        <w:pStyle w:val="Normal"/>
        <w:ind w:left="567" w:right="567" w:firstLine="0"/>
        <w:jc w:val="both"/>
        <w:rPr>
          <w:rFonts w:ascii="Book Antiqua" w:cs="Book Antiqua" w:hAnsi="Book Antiqua" w:eastAsia="Book Antiqua"/>
          <w:color w:val="262626"/>
          <w:u w:color="163291"/>
        </w:rPr>
      </w:pPr>
      <w:r>
        <w:rPr>
          <w:rFonts w:ascii="Book Antiqua"/>
          <w:color w:val="262626"/>
          <w:u w:color="262626"/>
          <w:rtl w:val="0"/>
          <w:lang w:val="it-IT"/>
        </w:rPr>
        <w:t>Qualche mese dopo, nel corso dell</w:t>
      </w:r>
      <w:r>
        <w:rPr>
          <w:rFonts w:hAnsi="Book Antiqua" w:hint="default"/>
          <w:color w:val="262626"/>
          <w:u w:color="262626"/>
          <w:rtl w:val="0"/>
          <w:lang w:val="it-IT"/>
        </w:rPr>
        <w:t>’</w:t>
      </w:r>
      <w:r>
        <w:rPr>
          <w:rFonts w:ascii="Book Antiqua"/>
          <w:color w:val="262626"/>
          <w:u w:color="262626"/>
          <w:rtl w:val="0"/>
          <w:lang w:val="it-IT"/>
        </w:rPr>
        <w:t xml:space="preserve">audizione del 31 gennaio 2017, il </w:t>
      </w:r>
      <w:r>
        <w:rPr>
          <w:rFonts w:ascii="Book Antiqua"/>
          <w:color w:val="262626"/>
          <w:u w:color="163291"/>
          <w:rtl w:val="0"/>
          <w:lang w:val="it-IT"/>
        </w:rPr>
        <w:t>responsabile del servizio bonifiche siti inquinati e geologia ambientale di Roma Capitale, Isidoro Bonf</w:t>
      </w:r>
      <w:r>
        <w:rPr>
          <w:rFonts w:hAnsi="Book Antiqua" w:hint="default"/>
          <w:color w:val="262626"/>
          <w:u w:color="163291"/>
          <w:rtl w:val="0"/>
          <w:lang w:val="it-IT"/>
        </w:rPr>
        <w:t xml:space="preserve">à </w:t>
      </w:r>
      <w:r>
        <w:rPr>
          <w:rFonts w:ascii="Book Antiqua"/>
          <w:color w:val="262626"/>
          <w:u w:color="163291"/>
          <w:rtl w:val="0"/>
          <w:lang w:val="it-IT"/>
        </w:rPr>
        <w:t xml:space="preserve">- dopo avere richiamato le vicende del contenzioso giurisdizionale e il </w:t>
      </w:r>
      <w:r>
        <w:rPr>
          <w:rFonts w:hAnsi="Book Antiqua" w:hint="default"/>
          <w:color w:val="262626"/>
          <w:u w:color="163291"/>
          <w:rtl w:val="0"/>
          <w:lang w:val="it-IT"/>
        </w:rPr>
        <w:t>“</w:t>
      </w:r>
      <w:r>
        <w:rPr>
          <w:rFonts w:ascii="Book Antiqua"/>
          <w:color w:val="262626"/>
          <w:u w:color="163291"/>
          <w:rtl w:val="0"/>
          <w:lang w:val="it-IT"/>
        </w:rPr>
        <w:t>punto zero</w:t>
      </w:r>
      <w:r>
        <w:rPr>
          <w:rFonts w:hAnsi="Book Antiqua" w:hint="default"/>
          <w:color w:val="262626"/>
          <w:u w:color="163291"/>
          <w:rtl w:val="0"/>
          <w:lang w:val="it-IT"/>
        </w:rPr>
        <w:t xml:space="preserve">” </w:t>
      </w:r>
      <w:r>
        <w:rPr>
          <w:rFonts w:ascii="Book Antiqua"/>
          <w:color w:val="262626"/>
          <w:u w:color="163291"/>
          <w:rtl w:val="0"/>
          <w:lang w:val="it-IT"/>
        </w:rPr>
        <w:t xml:space="preserve">segnato dalla sentenza del Consiglio di Stato del 2015 rispetto alle prescrizioni al gestore rimaste sino ad allora inattuate - ha chiarito che per quanto riguarda la bonifica </w:t>
      </w:r>
      <w:r>
        <w:rPr>
          <w:rFonts w:hAnsi="Book Antiqua" w:hint="default"/>
          <w:color w:val="262626"/>
          <w:u w:color="163291"/>
          <w:rtl w:val="0"/>
          <w:lang w:val="it-IT"/>
        </w:rPr>
        <w:t>”</w:t>
      </w:r>
      <w:r>
        <w:rPr>
          <w:rFonts w:ascii="Book Antiqua"/>
          <w:color w:val="262626"/>
          <w:u w:color="163291"/>
          <w:rtl w:val="0"/>
          <w:lang w:val="it-IT"/>
        </w:rPr>
        <w:t>il comune, su delega regionale, ha in capo l'azione amministrativa di approvazione dei progetti di caratterizzazione, messa in sicurezza, analisi di rischio e bonifica dei siti inquinati</w:t>
      </w:r>
      <w:r>
        <w:rPr>
          <w:rFonts w:hAnsi="Book Antiqua" w:hint="default"/>
          <w:color w:val="262626"/>
          <w:u w:color="163291"/>
          <w:rtl w:val="0"/>
          <w:lang w:val="it-IT"/>
        </w:rPr>
        <w:t>”</w:t>
      </w:r>
      <w:r>
        <w:rPr>
          <w:rFonts w:ascii="Book Antiqua"/>
          <w:color w:val="262626"/>
          <w:u w:color="163291"/>
          <w:rtl w:val="0"/>
          <w:lang w:val="it-IT"/>
        </w:rPr>
        <w:t>.</w:t>
      </w:r>
    </w:p>
    <w:p>
      <w:pPr>
        <w:pStyle w:val="Normal"/>
        <w:ind w:left="567" w:right="567" w:firstLine="0"/>
        <w:jc w:val="both"/>
        <w:rPr>
          <w:rFonts w:ascii="Book Antiqua" w:cs="Book Antiqua" w:hAnsi="Book Antiqua" w:eastAsia="Book Antiqua"/>
          <w:color w:val="262626"/>
          <w:u w:color="163291"/>
        </w:rPr>
      </w:pPr>
      <w:r>
        <w:rPr>
          <w:rFonts w:ascii="Book Antiqua"/>
          <w:color w:val="262626"/>
          <w:u w:color="163291"/>
          <w:rtl w:val="0"/>
          <w:lang w:val="it-IT"/>
        </w:rPr>
        <w:t xml:space="preserve">A questo proposito ha affermato:  </w:t>
      </w:r>
    </w:p>
    <w:p>
      <w:pPr>
        <w:pStyle w:val="Normal"/>
        <w:ind w:left="567" w:right="567" w:firstLine="0"/>
        <w:jc w:val="both"/>
        <w:rPr>
          <w:rFonts w:ascii="Book Antiqua" w:cs="Book Antiqua" w:hAnsi="Book Antiqua" w:eastAsia="Book Antiqua"/>
        </w:rPr>
      </w:pPr>
      <w:r>
        <w:rPr>
          <w:rFonts w:hAnsi="Book Antiqua" w:hint="default"/>
          <w:color w:val="262626"/>
          <w:u w:color="163291"/>
          <w:rtl w:val="0"/>
          <w:lang w:val="it-IT"/>
        </w:rPr>
        <w:t>“</w:t>
      </w:r>
      <w:r>
        <w:rPr>
          <w:rFonts w:ascii="Book Antiqua"/>
          <w:color w:val="262626"/>
          <w:u w:color="163291"/>
          <w:rtl w:val="0"/>
          <w:lang w:val="it-IT"/>
        </w:rPr>
        <w:t xml:space="preserve">Nella prima fase, molti anni prima, era stato approvato dalla gestione commissariale su Roma nel ciclo dei rifiuti un piano di caratterizzazione, che </w:t>
      </w:r>
      <w:r>
        <w:rPr>
          <w:rFonts w:hAnsi="Book Antiqua" w:hint="default"/>
          <w:color w:val="262626"/>
          <w:u w:color="163291"/>
          <w:rtl w:val="0"/>
          <w:lang w:val="it-IT"/>
        </w:rPr>
        <w:t xml:space="preserve">è </w:t>
      </w:r>
      <w:r>
        <w:rPr>
          <w:rFonts w:ascii="Book Antiqua"/>
          <w:color w:val="262626"/>
          <w:u w:color="163291"/>
          <w:rtl w:val="0"/>
          <w:lang w:val="it-IT"/>
        </w:rPr>
        <w:t>stato eseguito. Noi avevamo prescritto che fosse fatta una serie di pozzi di monitoraggio pi</w:t>
      </w:r>
      <w:r>
        <w:rPr>
          <w:rFonts w:hAnsi="Book Antiqua" w:hint="default"/>
          <w:color w:val="262626"/>
          <w:u w:color="163291"/>
          <w:rtl w:val="0"/>
          <w:lang w:val="it-IT"/>
        </w:rPr>
        <w:t xml:space="preserve">ù </w:t>
      </w:r>
      <w:r>
        <w:rPr>
          <w:rFonts w:ascii="Book Antiqua"/>
          <w:color w:val="262626"/>
          <w:u w:color="163291"/>
          <w:rtl w:val="0"/>
          <w:lang w:val="it-IT"/>
        </w:rPr>
        <w:t>estesi possibile intorno all'impianto, proprio per vedere la propagazione del potenziale inquinante intorno alla discarica, ma in realt</w:t>
      </w:r>
      <w:r>
        <w:rPr>
          <w:rFonts w:hAnsi="Book Antiqua" w:hint="default"/>
          <w:color w:val="262626"/>
          <w:u w:color="163291"/>
          <w:rtl w:val="0"/>
          <w:lang w:val="it-IT"/>
        </w:rPr>
        <w:t xml:space="preserve">à </w:t>
      </w:r>
      <w:r>
        <w:rPr>
          <w:rFonts w:ascii="Book Antiqua"/>
          <w:color w:val="262626"/>
          <w:u w:color="163291"/>
          <w:rtl w:val="0"/>
          <w:lang w:val="it-IT"/>
        </w:rPr>
        <w:t xml:space="preserve">era stato fatto molto poco. Successivamente, il gestore ha presentato l'analisi di rischio sito-specifica, ma il cui modello concettuale era basato sul presupposto che lui non inquinava la falda. Alla luce della sentenza del Consiglio di Stato, abbiamo fatto una conferenza di servizi in cui </w:t>
      </w:r>
      <w:r>
        <w:rPr>
          <w:rFonts w:hAnsi="Book Antiqua" w:hint="default"/>
          <w:color w:val="262626"/>
          <w:u w:color="163291"/>
          <w:rtl w:val="0"/>
          <w:lang w:val="it-IT"/>
        </w:rPr>
        <w:t xml:space="preserve">è </w:t>
      </w:r>
      <w:r>
        <w:rPr>
          <w:rFonts w:ascii="Book Antiqua"/>
          <w:color w:val="262626"/>
          <w:u w:color="163291"/>
          <w:rtl w:val="0"/>
          <w:lang w:val="it-IT"/>
        </w:rPr>
        <w:t xml:space="preserve">stato bocciato il modello concettuale che era stato presentato dal gestore. Contestualmente, abbiamo richiesto che venisse presentato un nuovo piano di caratterizzazione che finalmente ci permettesse di conoscere l'impatto reale sulla falda tutto intorno all'impianto. Questo piano di caratterizzazione </w:t>
      </w:r>
      <w:r>
        <w:rPr>
          <w:rFonts w:hAnsi="Book Antiqua" w:hint="default"/>
          <w:color w:val="262626"/>
          <w:u w:color="163291"/>
          <w:rtl w:val="0"/>
          <w:lang w:val="it-IT"/>
        </w:rPr>
        <w:t xml:space="preserve">è </w:t>
      </w:r>
      <w:r>
        <w:rPr>
          <w:rFonts w:ascii="Book Antiqua"/>
          <w:color w:val="262626"/>
          <w:u w:color="163291"/>
          <w:rtl w:val="0"/>
          <w:lang w:val="it-IT"/>
        </w:rPr>
        <w:t xml:space="preserve">stato presentato, </w:t>
      </w:r>
      <w:r>
        <w:rPr>
          <w:rFonts w:hAnsi="Book Antiqua" w:hint="default"/>
          <w:color w:val="262626"/>
          <w:u w:color="163291"/>
          <w:rtl w:val="0"/>
          <w:lang w:val="it-IT"/>
        </w:rPr>
        <w:t xml:space="preserve">è </w:t>
      </w:r>
      <w:r>
        <w:rPr>
          <w:rFonts w:ascii="Book Antiqua"/>
          <w:color w:val="262626"/>
          <w:u w:color="163291"/>
          <w:rtl w:val="0"/>
          <w:lang w:val="it-IT"/>
        </w:rPr>
        <w:t xml:space="preserve">stato discusso in conferenza di servizi, abbiamo acquisito da poco gli ultimi pareri che ci servono per l'approvazione, ed </w:t>
      </w:r>
      <w:r>
        <w:rPr>
          <w:rFonts w:hAnsi="Book Antiqua" w:hint="default"/>
          <w:color w:val="262626"/>
          <w:u w:color="163291"/>
          <w:rtl w:val="0"/>
          <w:lang w:val="it-IT"/>
        </w:rPr>
        <w:t xml:space="preserve">è </w:t>
      </w:r>
      <w:r>
        <w:rPr>
          <w:rFonts w:ascii="Book Antiqua"/>
          <w:color w:val="262626"/>
          <w:u w:color="163291"/>
          <w:rtl w:val="0"/>
          <w:lang w:val="it-IT"/>
        </w:rPr>
        <w:t>in corso di approvazione per estendere l'indagine sulla falda in un primo intorno di un centinaio di metri dall'impianto. Dico primo intorno, perch</w:t>
      </w:r>
      <w:r>
        <w:rPr>
          <w:rFonts w:hAnsi="Book Antiqua" w:hint="default"/>
          <w:color w:val="262626"/>
          <w:u w:color="163291"/>
          <w:rtl w:val="0"/>
          <w:lang w:val="it-IT"/>
        </w:rPr>
        <w:t xml:space="preserve">é </w:t>
      </w:r>
      <w:r>
        <w:rPr>
          <w:rFonts w:ascii="Book Antiqua"/>
          <w:color w:val="262626"/>
          <w:u w:color="163291"/>
          <w:rtl w:val="0"/>
          <w:lang w:val="it-IT"/>
        </w:rPr>
        <w:t>sulla base dei risultati che verranno fuori da questa prima fase di indagine potr</w:t>
      </w:r>
      <w:r>
        <w:rPr>
          <w:rFonts w:hAnsi="Book Antiqua" w:hint="default"/>
          <w:color w:val="262626"/>
          <w:u w:color="163291"/>
          <w:rtl w:val="0"/>
          <w:lang w:val="it-IT"/>
        </w:rPr>
        <w:t xml:space="preserve">à </w:t>
      </w:r>
      <w:r>
        <w:rPr>
          <w:rFonts w:ascii="Book Antiqua"/>
          <w:color w:val="262626"/>
          <w:u w:color="163291"/>
          <w:rtl w:val="0"/>
          <w:lang w:val="it-IT"/>
        </w:rPr>
        <w:t>essere estesa la necessit</w:t>
      </w:r>
      <w:r>
        <w:rPr>
          <w:rFonts w:hAnsi="Book Antiqua" w:hint="default"/>
          <w:color w:val="262626"/>
          <w:u w:color="163291"/>
          <w:rtl w:val="0"/>
          <w:lang w:val="it-IT"/>
        </w:rPr>
        <w:t xml:space="preserve">à </w:t>
      </w:r>
      <w:r>
        <w:rPr>
          <w:rFonts w:ascii="Book Antiqua"/>
          <w:color w:val="262626"/>
          <w:u w:color="163291"/>
          <w:rtl w:val="0"/>
          <w:lang w:val="it-IT"/>
        </w:rPr>
        <w:t xml:space="preserve">di andare avanti se non </w:t>
      </w:r>
      <w:r>
        <w:rPr>
          <w:rFonts w:hAnsi="Book Antiqua" w:hint="default"/>
          <w:color w:val="262626"/>
          <w:u w:color="163291"/>
          <w:rtl w:val="0"/>
          <w:lang w:val="it-IT"/>
        </w:rPr>
        <w:t xml:space="preserve">è </w:t>
      </w:r>
      <w:r>
        <w:rPr>
          <w:rFonts w:ascii="Book Antiqua"/>
          <w:color w:val="262626"/>
          <w:u w:color="163291"/>
          <w:rtl w:val="0"/>
          <w:lang w:val="it-IT"/>
        </w:rPr>
        <w:t xml:space="preserve">circoscritto il </w:t>
      </w:r>
      <w:r>
        <w:rPr>
          <w:rFonts w:ascii="Book Antiqua"/>
          <w:i w:val="1"/>
          <w:iCs w:val="1"/>
          <w:color w:val="262626"/>
          <w:u w:color="163291"/>
          <w:rtl w:val="0"/>
          <w:lang w:val="it-IT"/>
        </w:rPr>
        <w:t>plume</w:t>
      </w:r>
      <w:r>
        <w:rPr>
          <w:rFonts w:ascii="Book Antiqua"/>
          <w:color w:val="262626"/>
          <w:u w:color="163291"/>
          <w:rtl w:val="0"/>
          <w:lang w:val="it-IT"/>
        </w:rPr>
        <w:t xml:space="preserve"> dell</w:t>
      </w:r>
      <w:r>
        <w:rPr>
          <w:rFonts w:hAnsi="Book Antiqua" w:hint="default"/>
          <w:color w:val="262626"/>
          <w:u w:color="163291"/>
          <w:rtl w:val="0"/>
          <w:lang w:val="it-IT"/>
        </w:rPr>
        <w:t>’</w:t>
      </w:r>
      <w:r>
        <w:rPr>
          <w:rFonts w:ascii="Book Antiqua"/>
          <w:color w:val="262626"/>
          <w:u w:color="163291"/>
          <w:rtl w:val="0"/>
          <w:lang w:val="it-IT"/>
        </w:rPr>
        <w:t>inquinante che c'</w:t>
      </w:r>
      <w:r>
        <w:rPr>
          <w:rFonts w:hAnsi="Book Antiqua" w:hint="default"/>
          <w:color w:val="262626"/>
          <w:u w:color="163291"/>
          <w:rtl w:val="0"/>
          <w:lang w:val="it-IT"/>
        </w:rPr>
        <w:t xml:space="preserve">è </w:t>
      </w:r>
      <w:r>
        <w:rPr>
          <w:rFonts w:ascii="Book Antiqua"/>
          <w:color w:val="262626"/>
          <w:u w:color="163291"/>
          <w:rtl w:val="0"/>
          <w:lang w:val="it-IT"/>
        </w:rPr>
        <w:t xml:space="preserve">intorno alla discarica. </w:t>
      </w:r>
      <w:r>
        <w:rPr>
          <w:rFonts w:hAnsi="Times New Roman" w:hint="default"/>
          <w:color w:val="262626"/>
          <w:u w:color="163291"/>
          <w:rtl w:val="0"/>
          <w:lang w:val="it-IT"/>
        </w:rPr>
        <w:t>  </w:t>
      </w:r>
      <w:r>
        <w:rPr>
          <w:rFonts w:ascii="Book Antiqua"/>
          <w:color w:val="262626"/>
          <w:u w:color="163291"/>
          <w:rtl w:val="0"/>
          <w:lang w:val="it-IT"/>
        </w:rPr>
        <w:t xml:space="preserve">Contemporaneamente, per quanto riguarda il procedimento di bonifica del sito inquinato, </w:t>
      </w:r>
      <w:r>
        <w:rPr>
          <w:rFonts w:hAnsi="Book Antiqua" w:hint="default"/>
          <w:color w:val="262626"/>
          <w:u w:color="163291"/>
          <w:rtl w:val="0"/>
          <w:lang w:val="it-IT"/>
        </w:rPr>
        <w:t xml:space="preserve">è </w:t>
      </w:r>
      <w:r>
        <w:rPr>
          <w:rFonts w:ascii="Book Antiqua"/>
          <w:color w:val="262626"/>
          <w:u w:color="163291"/>
          <w:rtl w:val="0"/>
          <w:lang w:val="it-IT"/>
        </w:rPr>
        <w:t>stato richiesto al gestore pi</w:t>
      </w:r>
      <w:r>
        <w:rPr>
          <w:rFonts w:hAnsi="Book Antiqua" w:hint="default"/>
          <w:color w:val="262626"/>
          <w:u w:color="163291"/>
          <w:rtl w:val="0"/>
          <w:lang w:val="it-IT"/>
        </w:rPr>
        <w:t xml:space="preserve">ù </w:t>
      </w:r>
      <w:r>
        <w:rPr>
          <w:rFonts w:ascii="Book Antiqua"/>
          <w:color w:val="262626"/>
          <w:u w:color="163291"/>
          <w:rtl w:val="0"/>
          <w:lang w:val="it-IT"/>
        </w:rPr>
        <w:t>volte di effettuare un</w:t>
      </w:r>
      <w:r>
        <w:rPr>
          <w:rFonts w:hAnsi="Book Antiqua" w:hint="default"/>
          <w:color w:val="262626"/>
          <w:u w:color="163291"/>
          <w:rtl w:val="0"/>
          <w:lang w:val="it-IT"/>
        </w:rPr>
        <w:t>’</w:t>
      </w:r>
      <w:r>
        <w:rPr>
          <w:rFonts w:ascii="Book Antiqua"/>
          <w:color w:val="262626"/>
          <w:u w:color="163291"/>
          <w:rtl w:val="0"/>
          <w:lang w:val="it-IT"/>
        </w:rPr>
        <w:t>efficace messa in sicurezza. La nostra ordinanza, nel 2010, prevedeva una serie di indicazioni [al] gestore [</w:t>
      </w:r>
      <w:r>
        <w:rPr>
          <w:rFonts w:hAnsi="Book Antiqua" w:hint="default"/>
          <w:color w:val="262626"/>
          <w:u w:color="163291"/>
          <w:rtl w:val="0"/>
          <w:lang w:val="it-IT"/>
        </w:rPr>
        <w:t>…</w:t>
      </w:r>
      <w:r>
        <w:rPr>
          <w:rFonts w:ascii="Book Antiqua"/>
          <w:color w:val="262626"/>
          <w:u w:color="163291"/>
          <w:rtl w:val="0"/>
          <w:lang w:val="it-IT"/>
        </w:rPr>
        <w:t>] Non erano state fatte, per</w:t>
      </w:r>
      <w:r>
        <w:rPr>
          <w:rFonts w:hAnsi="Book Antiqua" w:hint="default"/>
          <w:color w:val="262626"/>
          <w:u w:color="163291"/>
          <w:rtl w:val="0"/>
          <w:lang w:val="it-IT"/>
        </w:rPr>
        <w:t>ò</w:t>
      </w:r>
      <w:r>
        <w:rPr>
          <w:rFonts w:ascii="Book Antiqua"/>
          <w:color w:val="262626"/>
          <w:u w:color="163291"/>
          <w:rtl w:val="0"/>
          <w:lang w:val="it-IT"/>
        </w:rPr>
        <w:t xml:space="preserve">, delle azioni di messa in sicurezza. L'ordinanza </w:t>
      </w:r>
      <w:r>
        <w:rPr>
          <w:rFonts w:hAnsi="Book Antiqua" w:hint="default"/>
          <w:color w:val="262626"/>
          <w:u w:color="163291"/>
          <w:rtl w:val="0"/>
          <w:lang w:val="it-IT"/>
        </w:rPr>
        <w:t xml:space="preserve">è </w:t>
      </w:r>
      <w:r>
        <w:rPr>
          <w:rFonts w:ascii="Book Antiqua"/>
          <w:color w:val="262626"/>
          <w:u w:color="163291"/>
          <w:rtl w:val="0"/>
          <w:lang w:val="it-IT"/>
        </w:rPr>
        <w:t>diventata finalmente esecutiva. Pi</w:t>
      </w:r>
      <w:r>
        <w:rPr>
          <w:rFonts w:hAnsi="Book Antiqua" w:hint="default"/>
          <w:color w:val="262626"/>
          <w:u w:color="163291"/>
          <w:rtl w:val="0"/>
          <w:lang w:val="it-IT"/>
        </w:rPr>
        <w:t xml:space="preserve">ù </w:t>
      </w:r>
      <w:r>
        <w:rPr>
          <w:rFonts w:ascii="Book Antiqua"/>
          <w:color w:val="262626"/>
          <w:u w:color="163291"/>
          <w:rtl w:val="0"/>
          <w:lang w:val="it-IT"/>
        </w:rPr>
        <w:t>volte abbiamo chiesto al gestore di fare delle azioni efficaci. Il gestore ci ha risposto con una serie di ulteriori studi che sta facendo per dimostrare pi</w:t>
      </w:r>
      <w:r>
        <w:rPr>
          <w:rFonts w:hAnsi="Book Antiqua" w:hint="default"/>
          <w:color w:val="262626"/>
          <w:u w:color="163291"/>
          <w:rtl w:val="0"/>
          <w:lang w:val="it-IT"/>
        </w:rPr>
        <w:t xml:space="preserve">ù </w:t>
      </w:r>
      <w:r>
        <w:rPr>
          <w:rFonts w:ascii="Book Antiqua"/>
          <w:color w:val="262626"/>
          <w:u w:color="163291"/>
          <w:rtl w:val="0"/>
          <w:lang w:val="it-IT"/>
        </w:rPr>
        <w:t xml:space="preserve">o meno se era possibile l'inversione del livello piezometrico, ma la fase di studio deve finire e deve cominciare l'azione di bonifica. Per questo, abbiamo effettuato a ottobre un sopralluogo congiunto presso l'impianto di discarica con tutti gli enti competenti. In sede di sopralluogo, abbiamo prescritto che venissero attivati immediatamente gli emungimenti dai pozzi risultati idonei da questi studi preliminari. Ultimamente, proprio ai primi di quest'anno, abbiamo sollecitato l'implementazione di tutta la barriera idraulica che hanno previsto di fare nel settore nord dell'impianto di discarica. A tutt'oggi, abbiamo richiesto un cronoprogramma per capire in che modo quest'azione di inversione del livello piezometrico potesse avvenire. Da poco ARPA Lazio, l'ente che effettua i controlli, ha fatto un sopralluogo di verifica e proprio da poco abbiamo ricevuto una comunicazione: essendo l'emungimento cominciato da poco e solo su due pozzi, l'inversione di questo livello piezometrico </w:t>
      </w:r>
      <w:r>
        <w:rPr>
          <w:rFonts w:hAnsi="Book Antiqua" w:hint="default"/>
          <w:color w:val="262626"/>
          <w:u w:color="163291"/>
          <w:rtl w:val="0"/>
          <w:lang w:val="it-IT"/>
        </w:rPr>
        <w:t xml:space="preserve">è </w:t>
      </w:r>
      <w:r>
        <w:rPr>
          <w:rFonts w:ascii="Book Antiqua"/>
          <w:color w:val="262626"/>
          <w:u w:color="163291"/>
          <w:rtl w:val="0"/>
          <w:lang w:val="it-IT"/>
        </w:rPr>
        <w:t>ben altro che raggiunta. Tutto questo era in qualche modo condizionato all'attivazione di un impianto di trattamento delle acque in sito [</w:t>
      </w:r>
      <w:r>
        <w:rPr>
          <w:rFonts w:hAnsi="Book Antiqua" w:hint="default"/>
          <w:color w:val="262626"/>
          <w:u w:color="163291"/>
          <w:rtl w:val="0"/>
          <w:lang w:val="it-IT"/>
        </w:rPr>
        <w:t>…</w:t>
      </w:r>
      <w:r>
        <w:rPr>
          <w:rFonts w:ascii="Book Antiqua"/>
          <w:color w:val="262626"/>
          <w:u w:color="163291"/>
          <w:rtl w:val="0"/>
          <w:lang w:val="it-IT"/>
        </w:rPr>
        <w:t xml:space="preserve">] Immaginate i volumi che deve trattare: </w:t>
      </w:r>
      <w:r>
        <w:rPr>
          <w:rFonts w:hAnsi="Book Antiqua" w:hint="default"/>
          <w:color w:val="262626"/>
          <w:u w:color="163291"/>
          <w:rtl w:val="0"/>
          <w:lang w:val="it-IT"/>
        </w:rPr>
        <w:t xml:space="preserve">è </w:t>
      </w:r>
      <w:r>
        <w:rPr>
          <w:rFonts w:ascii="Book Antiqua"/>
          <w:color w:val="262626"/>
          <w:u w:color="163291"/>
          <w:rtl w:val="0"/>
          <w:lang w:val="it-IT"/>
        </w:rPr>
        <w:t xml:space="preserve">impossibile pensare che vengano emunti e portati a smaltimento. Quest'autorizzazione regionale </w:t>
      </w:r>
      <w:r>
        <w:rPr>
          <w:rFonts w:hAnsi="Book Antiqua" w:hint="default"/>
          <w:color w:val="262626"/>
          <w:u w:color="163291"/>
          <w:rtl w:val="0"/>
          <w:lang w:val="it-IT"/>
        </w:rPr>
        <w:t xml:space="preserve">è </w:t>
      </w:r>
      <w:r>
        <w:rPr>
          <w:rFonts w:ascii="Book Antiqua"/>
          <w:color w:val="262626"/>
          <w:u w:color="163291"/>
          <w:rtl w:val="0"/>
          <w:lang w:val="it-IT"/>
        </w:rPr>
        <w:t xml:space="preserve">arrivata alla fine dell'anno. Incidente di percorso: non </w:t>
      </w:r>
      <w:r>
        <w:rPr>
          <w:rFonts w:hAnsi="Book Antiqua" w:hint="default"/>
          <w:color w:val="262626"/>
          <w:u w:color="163291"/>
          <w:rtl w:val="0"/>
          <w:lang w:val="it-IT"/>
        </w:rPr>
        <w:t xml:space="preserve">è </w:t>
      </w:r>
      <w:r>
        <w:rPr>
          <w:rFonts w:ascii="Book Antiqua"/>
          <w:color w:val="262626"/>
          <w:u w:color="163291"/>
          <w:rtl w:val="0"/>
          <w:lang w:val="it-IT"/>
        </w:rPr>
        <w:t>stata notificata al gestore, tanto che ai primi dell'anno abbiamo chiesto quest'implementazione e il cronoprogramma, e loro ci hanno risposto di non aver ancora avuto l'autorizzazione, che invece c'</w:t>
      </w:r>
      <w:r>
        <w:rPr>
          <w:rFonts w:hAnsi="Book Antiqua" w:hint="default"/>
          <w:color w:val="262626"/>
          <w:u w:color="163291"/>
          <w:rtl w:val="0"/>
          <w:lang w:val="it-IT"/>
        </w:rPr>
        <w:t>è</w:t>
      </w:r>
      <w:r>
        <w:rPr>
          <w:rFonts w:ascii="Book Antiqua"/>
          <w:color w:val="262626"/>
          <w:u w:color="163291"/>
          <w:rtl w:val="0"/>
          <w:lang w:val="it-IT"/>
        </w:rPr>
        <w:t>. Spero che verr</w:t>
      </w:r>
      <w:r>
        <w:rPr>
          <w:rFonts w:hAnsi="Book Antiqua" w:hint="default"/>
          <w:color w:val="262626"/>
          <w:u w:color="163291"/>
          <w:rtl w:val="0"/>
          <w:lang w:val="it-IT"/>
        </w:rPr>
        <w:t xml:space="preserve">à </w:t>
      </w:r>
      <w:r>
        <w:rPr>
          <w:rFonts w:ascii="Book Antiqua"/>
          <w:color w:val="262626"/>
          <w:u w:color="163291"/>
          <w:rtl w:val="0"/>
          <w:lang w:val="it-IT"/>
        </w:rPr>
        <w:t xml:space="preserve">presto notificata al gestore e che sia avviato finalmente un impianto in grado di trattare in sito l'emungimento da questi pozzi, per poi riutilizzarlo nel ciclo industriale o scaricarlo a norma di legge. Ovviamente, il riuso nel ciclo industriale </w:t>
      </w:r>
      <w:r>
        <w:rPr>
          <w:rFonts w:hAnsi="Book Antiqua" w:hint="default"/>
          <w:color w:val="262626"/>
          <w:u w:color="163291"/>
          <w:rtl w:val="0"/>
          <w:lang w:val="it-IT"/>
        </w:rPr>
        <w:t xml:space="preserve">è </w:t>
      </w:r>
      <w:r>
        <w:rPr>
          <w:rFonts w:ascii="Book Antiqua"/>
          <w:color w:val="262626"/>
          <w:u w:color="163291"/>
          <w:rtl w:val="0"/>
          <w:lang w:val="it-IT"/>
        </w:rPr>
        <w:t xml:space="preserve">preferibile ed </w:t>
      </w:r>
      <w:r>
        <w:rPr>
          <w:rFonts w:hAnsi="Book Antiqua" w:hint="default"/>
          <w:color w:val="262626"/>
          <w:u w:color="163291"/>
          <w:rtl w:val="0"/>
          <w:lang w:val="it-IT"/>
        </w:rPr>
        <w:t xml:space="preserve">è </w:t>
      </w:r>
      <w:r>
        <w:rPr>
          <w:rFonts w:ascii="Book Antiqua"/>
          <w:color w:val="262626"/>
          <w:u w:color="163291"/>
          <w:rtl w:val="0"/>
          <w:lang w:val="it-IT"/>
        </w:rPr>
        <w:t>di fatto previsto dal gestore. Per fare questo, per</w:t>
      </w:r>
      <w:r>
        <w:rPr>
          <w:rFonts w:hAnsi="Book Antiqua" w:hint="default"/>
          <w:color w:val="262626"/>
          <w:u w:color="163291"/>
          <w:rtl w:val="0"/>
          <w:lang w:val="it-IT"/>
        </w:rPr>
        <w:t>ò</w:t>
      </w:r>
      <w:r>
        <w:rPr>
          <w:rFonts w:ascii="Book Antiqua"/>
          <w:color w:val="262626"/>
          <w:u w:color="163291"/>
          <w:rtl w:val="0"/>
          <w:lang w:val="it-IT"/>
        </w:rPr>
        <w:t>, dovranno essere trivellati altri pozzi, come speriamo venga fatto al pi</w:t>
      </w:r>
      <w:r>
        <w:rPr>
          <w:rFonts w:hAnsi="Book Antiqua" w:hint="default"/>
          <w:color w:val="262626"/>
          <w:u w:color="163291"/>
          <w:rtl w:val="0"/>
          <w:lang w:val="it-IT"/>
        </w:rPr>
        <w:t xml:space="preserve">ù </w:t>
      </w:r>
      <w:r>
        <w:rPr>
          <w:rFonts w:ascii="Book Antiqua"/>
          <w:color w:val="262626"/>
          <w:u w:color="163291"/>
          <w:rtl w:val="0"/>
          <w:lang w:val="it-IT"/>
        </w:rPr>
        <w:t>presto</w:t>
      </w:r>
      <w:r>
        <w:rPr>
          <w:rFonts w:hAnsi="Book Antiqua" w:hint="default"/>
          <w:color w:val="262626"/>
          <w:u w:color="163291"/>
          <w:rtl w:val="0"/>
          <w:lang w:val="it-IT"/>
        </w:rPr>
        <w:t>”</w:t>
      </w:r>
      <w:r>
        <w:rPr>
          <w:rFonts w:ascii="Book Antiqua"/>
          <w:color w:val="262626"/>
          <w:u w:color="163291"/>
          <w:rtl w:val="0"/>
          <w:lang w:val="it-IT"/>
        </w:rPr>
        <w:t>.</w:t>
      </w:r>
    </w:p>
    <w:p>
      <w:pPr>
        <w:pStyle w:val="Normal"/>
        <w:ind w:left="567" w:right="567" w:firstLine="0"/>
        <w:jc w:val="both"/>
        <w:rPr>
          <w:rFonts w:ascii="Book Antiqua Bold" w:cs="Book Antiqua Bold" w:hAnsi="Book Antiqua Bold" w:eastAsia="Book Antiqua Bold"/>
          <w:b w:val="1"/>
          <w:bCs w:val="1"/>
          <w:i w:val="1"/>
          <w:iCs w:val="1"/>
          <w:sz w:val="28"/>
          <w:szCs w:val="28"/>
        </w:rPr>
      </w:pPr>
    </w:p>
    <w:p>
      <w:pPr>
        <w:pStyle w:val="Normal"/>
        <w:ind w:left="567" w:right="567" w:firstLine="0"/>
        <w:jc w:val="both"/>
        <w:rPr>
          <w:rFonts w:ascii="Book Antiqua Bold" w:cs="Book Antiqua Bold" w:hAnsi="Book Antiqua Bold" w:eastAsia="Book Antiqua Bold"/>
          <w:b w:val="1"/>
          <w:bCs w:val="1"/>
          <w:i w:val="1"/>
          <w:iCs w:val="1"/>
          <w:sz w:val="28"/>
          <w:szCs w:val="28"/>
        </w:rPr>
      </w:pPr>
    </w:p>
    <w:p>
      <w:pPr>
        <w:pStyle w:val="Normal"/>
        <w:ind w:left="567" w:right="567" w:firstLine="0"/>
        <w:jc w:val="both"/>
        <w:rPr>
          <w:rFonts w:ascii="Book Antiqua" w:cs="Book Antiqua" w:hAnsi="Book Antiqua" w:eastAsia="Book Antiqua"/>
          <w:sz w:val="28"/>
          <w:szCs w:val="28"/>
        </w:rPr>
      </w:pPr>
      <w:r>
        <w:rPr>
          <w:rFonts w:ascii="Book Antiqua"/>
          <w:sz w:val="28"/>
          <w:szCs w:val="28"/>
          <w:rtl w:val="0"/>
          <w:lang w:val="it-IT"/>
        </w:rPr>
        <w:t xml:space="preserve">3.3.4 Il passaggio al </w:t>
      </w:r>
      <w:r>
        <w:rPr>
          <w:rFonts w:hAnsi="Book Antiqua" w:hint="default"/>
          <w:sz w:val="28"/>
          <w:szCs w:val="28"/>
          <w:rtl w:val="0"/>
          <w:lang w:val="it-IT"/>
        </w:rPr>
        <w:t>“</w:t>
      </w:r>
      <w:r>
        <w:rPr>
          <w:rFonts w:ascii="Book Antiqua"/>
          <w:sz w:val="28"/>
          <w:szCs w:val="28"/>
          <w:rtl w:val="0"/>
          <w:lang w:val="it-IT"/>
        </w:rPr>
        <w:t>sistema</w:t>
      </w:r>
      <w:r>
        <w:rPr>
          <w:rFonts w:hAnsi="Book Antiqua" w:hint="default"/>
          <w:sz w:val="28"/>
          <w:szCs w:val="28"/>
          <w:rtl w:val="0"/>
          <w:lang w:val="it-IT"/>
        </w:rPr>
        <w:t>”</w:t>
      </w:r>
    </w:p>
    <w:p>
      <w:pPr>
        <w:pStyle w:val="Normal"/>
        <w:ind w:left="567" w:right="567" w:firstLine="0"/>
        <w:jc w:val="both"/>
        <w:rPr>
          <w:rFonts w:ascii="Book Antiqua" w:cs="Book Antiqua" w:hAnsi="Book Antiqua" w:eastAsia="Book Antiqua"/>
          <w:sz w:val="28"/>
          <w:szCs w:val="28"/>
        </w:rPr>
      </w:pPr>
    </w:p>
    <w:p>
      <w:pPr>
        <w:pStyle w:val="Normal"/>
        <w:ind w:left="567" w:right="567" w:firstLine="0"/>
        <w:jc w:val="both"/>
        <w:rPr>
          <w:rFonts w:ascii="Book Antiqua" w:cs="Book Antiqua" w:hAnsi="Book Antiqua" w:eastAsia="Book Antiqua"/>
        </w:rPr>
      </w:pPr>
      <w:r>
        <w:rPr>
          <w:rFonts w:ascii="Book Antiqua"/>
          <w:rtl w:val="0"/>
          <w:lang w:val="it-IT"/>
        </w:rPr>
        <w:t>Il 7 dicembre 2015 la procura della Repubblica di Roma ha chiesto il rinvio a giudizio di diciannove imputati e due societ</w:t>
      </w:r>
      <w:r>
        <w:rPr>
          <w:rFonts w:hAnsi="Book Antiqua" w:hint="default"/>
          <w:rtl w:val="0"/>
          <w:lang w:val="it-IT"/>
        </w:rPr>
        <w:t xml:space="preserve">à </w:t>
      </w:r>
      <w:r>
        <w:rPr>
          <w:rFonts w:ascii="Book Antiqua"/>
          <w:rtl w:val="0"/>
          <w:lang w:val="it-IT"/>
        </w:rPr>
        <w:t>(Pontina Ambiente S.r.l. e E. Giovi S.r.l.) ipotizzando a loro carico un</w:t>
      </w:r>
      <w:r>
        <w:rPr>
          <w:rFonts w:hAnsi="Book Antiqua" w:hint="default"/>
          <w:rtl w:val="0"/>
          <w:lang w:val="it-IT"/>
        </w:rPr>
        <w:t>’</w:t>
      </w:r>
      <w:r>
        <w:rPr>
          <w:rFonts w:ascii="Book Antiqua"/>
          <w:rtl w:val="0"/>
          <w:lang w:val="it-IT"/>
        </w:rPr>
        <w:t>associazione per delinquere, oltre a reati di traffico illecito di rifiuti, illecito smaltimento di rifiuti, inosservanza di prescrizioni e mancanza di autorizzazione all</w:t>
      </w:r>
      <w:r>
        <w:rPr>
          <w:rFonts w:hAnsi="Book Antiqua" w:hint="default"/>
          <w:rtl w:val="0"/>
          <w:lang w:val="it-IT"/>
        </w:rPr>
        <w:t>’</w:t>
      </w:r>
      <w:r>
        <w:rPr>
          <w:rFonts w:ascii="Book Antiqua"/>
          <w:rtl w:val="0"/>
          <w:lang w:val="it-IT"/>
        </w:rPr>
        <w:t>esercizio di discarica, frode in pubbliche forniture, truffa aggravata ai danni di Comuni laziali, falso, abuso di ufficio, corruzione propria, violazioni urbanistiche e deviazione di acque.</w:t>
      </w:r>
    </w:p>
    <w:p>
      <w:pPr>
        <w:pStyle w:val="Normal"/>
        <w:ind w:left="567" w:right="567" w:firstLine="0"/>
        <w:jc w:val="both"/>
        <w:rPr>
          <w:rFonts w:ascii="Book Antiqua" w:cs="Book Antiqua" w:hAnsi="Book Antiqua" w:eastAsia="Book Antiqua"/>
        </w:rPr>
      </w:pPr>
      <w:r>
        <w:rPr>
          <w:rFonts w:ascii="Book Antiqua"/>
          <w:rtl w:val="0"/>
          <w:lang w:val="it-IT"/>
        </w:rPr>
        <w:t>La finalit</w:t>
      </w:r>
      <w:r>
        <w:rPr>
          <w:rFonts w:hAnsi="Book Antiqua" w:hint="default"/>
          <w:rtl w:val="0"/>
          <w:lang w:val="it-IT"/>
        </w:rPr>
        <w:t xml:space="preserve">à </w:t>
      </w:r>
      <w:r>
        <w:rPr>
          <w:rFonts w:ascii="Book Antiqua"/>
          <w:rtl w:val="0"/>
          <w:lang w:val="it-IT"/>
        </w:rPr>
        <w:t>dell</w:t>
      </w:r>
      <w:r>
        <w:rPr>
          <w:rFonts w:hAnsi="Book Antiqua" w:hint="default"/>
          <w:rtl w:val="0"/>
          <w:lang w:val="it-IT"/>
        </w:rPr>
        <w:t>’</w:t>
      </w:r>
      <w:r>
        <w:rPr>
          <w:rFonts w:ascii="Book Antiqua"/>
          <w:rtl w:val="0"/>
          <w:lang w:val="it-IT"/>
        </w:rPr>
        <w:t xml:space="preserve">associazione e della commissione dei singoli reati-fine veniva individuata </w:t>
      </w:r>
      <w:r>
        <w:rPr>
          <w:rFonts w:ascii="Book Antiqua"/>
          <w:color w:val="000000"/>
          <w:u w:color="000000"/>
          <w:rtl w:val="0"/>
          <w:lang w:val="it-IT"/>
        </w:rPr>
        <w:t>nel</w:t>
      </w:r>
      <w:r>
        <w:rPr>
          <w:rFonts w:hAnsi="Book Antiqua" w:hint="default"/>
          <w:color w:val="000000"/>
          <w:u w:color="000000"/>
          <w:rtl w:val="0"/>
          <w:lang w:val="it-IT"/>
        </w:rPr>
        <w:t xml:space="preserve"> “</w:t>
      </w:r>
      <w:r>
        <w:rPr>
          <w:rFonts w:ascii="Book Antiqua"/>
          <w:color w:val="000000"/>
          <w:u w:color="000000"/>
          <w:rtl w:val="0"/>
          <w:lang w:val="it-IT"/>
        </w:rPr>
        <w:t>consentire il mantenimento e l'ampliamento della posizione di sostanziale monopolio di Manlio Cerroni e delle sue aziende nella gestione dei rifiuti solidi urbani prodotti dai comuni insistenti all</w:t>
      </w:r>
      <w:r>
        <w:rPr>
          <w:rFonts w:hAnsi="Book Antiqua" w:hint="default"/>
          <w:color w:val="000000"/>
          <w:u w:color="000000"/>
          <w:rtl w:val="0"/>
          <w:lang w:val="it-IT"/>
        </w:rPr>
        <w:t>’</w:t>
      </w:r>
      <w:r>
        <w:rPr>
          <w:rFonts w:ascii="Book Antiqua"/>
          <w:color w:val="000000"/>
          <w:u w:color="000000"/>
          <w:rtl w:val="0"/>
          <w:lang w:val="it-IT"/>
        </w:rPr>
        <w:t>interno della regione Lazio</w:t>
      </w:r>
      <w:r>
        <w:rPr>
          <w:rFonts w:hAnsi="Book Antiqua" w:hint="default"/>
          <w:color w:val="000000"/>
          <w:u w:color="000000"/>
          <w:rtl w:val="0"/>
          <w:lang w:val="it-IT"/>
        </w:rPr>
        <w:t>”</w:t>
      </w:r>
      <w:r>
        <w:rPr>
          <w:rFonts w:ascii="Book Antiqua"/>
          <w:color w:val="000000"/>
          <w:u w:color="000000"/>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 xml:space="preserve">I ritenuti associati per delinquere sono stati individuati come segue, in ragione delle rispettive qualifiche: Manlio Cerroni </w:t>
      </w:r>
      <w:r>
        <w:rPr>
          <w:rFonts w:hAnsi="Book Antiqua" w:hint="default"/>
          <w:rtl w:val="0"/>
          <w:lang w:val="it-IT"/>
        </w:rPr>
        <w:t>“</w:t>
      </w:r>
      <w:r>
        <w:rPr>
          <w:rFonts w:ascii="Book Antiqua"/>
          <w:rtl w:val="0"/>
          <w:lang w:val="it-IT"/>
        </w:rPr>
        <w:t>promotore, organizzatore e dominus incontrastato del sodalizio criminale, nonch</w:t>
      </w:r>
      <w:r>
        <w:rPr>
          <w:rFonts w:hAnsi="Book Antiqua" w:hint="default"/>
          <w:rtl w:val="0"/>
          <w:lang w:val="it-IT"/>
        </w:rPr>
        <w:t xml:space="preserve">é </w:t>
      </w:r>
      <w:r>
        <w:rPr>
          <w:rFonts w:ascii="Book Antiqua"/>
          <w:rtl w:val="0"/>
          <w:lang w:val="it-IT"/>
        </w:rPr>
        <w:t>in qualit</w:t>
      </w:r>
      <w:r>
        <w:rPr>
          <w:rFonts w:hAnsi="Book Antiqua" w:hint="default"/>
          <w:rtl w:val="0"/>
          <w:lang w:val="it-IT"/>
        </w:rPr>
        <w:t xml:space="preserve">à </w:t>
      </w:r>
      <w:r>
        <w:rPr>
          <w:rFonts w:ascii="Book Antiqua"/>
          <w:rtl w:val="0"/>
          <w:lang w:val="it-IT"/>
        </w:rPr>
        <w:t>di amministratore di fatto o di diritto delle numerose aziende che compongono il suo Gruppo imprenditoriale</w:t>
      </w:r>
      <w:r>
        <w:rPr>
          <w:rFonts w:hAnsi="Book Antiqua" w:hint="default"/>
          <w:rtl w:val="0"/>
          <w:lang w:val="it-IT"/>
        </w:rPr>
        <w:t>”</w:t>
      </w:r>
      <w:r>
        <w:rPr>
          <w:rFonts w:ascii="Book Antiqua"/>
          <w:rtl w:val="0"/>
          <w:lang w:val="it-IT"/>
        </w:rPr>
        <w:t xml:space="preserve">; Bruno Landi </w:t>
      </w:r>
      <w:r>
        <w:rPr>
          <w:rFonts w:hAnsi="Book Antiqua" w:hint="default"/>
          <w:rtl w:val="0"/>
          <w:lang w:val="it-IT"/>
        </w:rPr>
        <w:t>“</w:t>
      </w:r>
      <w:r>
        <w:rPr>
          <w:rFonts w:ascii="Book Antiqua"/>
          <w:rtl w:val="0"/>
          <w:lang w:val="it-IT"/>
        </w:rPr>
        <w:t>organizzatore dell</w:t>
      </w:r>
      <w:r>
        <w:rPr>
          <w:rFonts w:hAnsi="Book Antiqua" w:hint="default"/>
          <w:rtl w:val="0"/>
          <w:lang w:val="it-IT"/>
        </w:rPr>
        <w:t>’</w:t>
      </w:r>
      <w:r>
        <w:rPr>
          <w:rFonts w:ascii="Book Antiqua"/>
          <w:rtl w:val="0"/>
          <w:lang w:val="it-IT"/>
        </w:rPr>
        <w:t>associazione, stretto collaboratore del Cerroni, legale rappresentante di numerose societ</w:t>
      </w:r>
      <w:r>
        <w:rPr>
          <w:rFonts w:hAnsi="Book Antiqua" w:hint="default"/>
          <w:rtl w:val="0"/>
          <w:lang w:val="it-IT"/>
        </w:rPr>
        <w:t xml:space="preserve">à </w:t>
      </w:r>
      <w:r>
        <w:rPr>
          <w:rFonts w:ascii="Book Antiqua"/>
          <w:rtl w:val="0"/>
          <w:lang w:val="it-IT"/>
        </w:rPr>
        <w:t xml:space="preserve">riconducibili allo stesso presidente di Federlazio Ambiente ma soprattutto con il ruolo di </w:t>
      </w:r>
      <w:r>
        <w:rPr>
          <w:rFonts w:hAnsi="Book Antiqua" w:hint="default"/>
          <w:rtl w:val="0"/>
          <w:lang w:val="it-IT"/>
        </w:rPr>
        <w:t>‘</w:t>
      </w:r>
      <w:r>
        <w:rPr>
          <w:rFonts w:ascii="Book Antiqua"/>
          <w:rtl w:val="0"/>
          <w:lang w:val="it-IT"/>
        </w:rPr>
        <w:t>cerniera</w:t>
      </w:r>
      <w:r>
        <w:rPr>
          <w:rFonts w:hAnsi="Book Antiqua" w:hint="default"/>
          <w:rtl w:val="0"/>
          <w:lang w:val="it-IT"/>
        </w:rPr>
        <w:t>’</w:t>
      </w:r>
      <w:r>
        <w:rPr>
          <w:rFonts w:ascii="Book Antiqua"/>
          <w:rtl w:val="0"/>
          <w:lang w:val="it-IT"/>
        </w:rPr>
        <w:t xml:space="preserve"> tra il gruppo Cerroni e le strutture politico-amministrative della regione Lazio, coinvolte nell</w:t>
      </w:r>
      <w:r>
        <w:rPr>
          <w:rFonts w:hAnsi="Book Antiqua" w:hint="default"/>
          <w:rtl w:val="0"/>
          <w:lang w:val="it-IT"/>
        </w:rPr>
        <w:t>’</w:t>
      </w:r>
      <w:r>
        <w:rPr>
          <w:rFonts w:ascii="Book Antiqua"/>
          <w:rtl w:val="0"/>
          <w:lang w:val="it-IT"/>
        </w:rPr>
        <w:t>attivit</w:t>
      </w:r>
      <w:r>
        <w:rPr>
          <w:rFonts w:hAnsi="Book Antiqua" w:hint="default"/>
          <w:rtl w:val="0"/>
          <w:lang w:val="it-IT"/>
        </w:rPr>
        <w:t xml:space="preserve">à </w:t>
      </w:r>
      <w:r>
        <w:rPr>
          <w:rFonts w:ascii="Book Antiqua"/>
          <w:rtl w:val="0"/>
          <w:lang w:val="it-IT"/>
        </w:rPr>
        <w:t>istruttoria nei confronti di imprese riconducibili al Cerroni</w:t>
      </w:r>
      <w:r>
        <w:rPr>
          <w:rFonts w:hAnsi="Book Antiqua" w:hint="default"/>
          <w:rtl w:val="0"/>
          <w:lang w:val="it-IT"/>
        </w:rPr>
        <w:t>”</w:t>
      </w:r>
      <w:r>
        <w:rPr>
          <w:rFonts w:ascii="Book Antiqua"/>
          <w:rtl w:val="0"/>
          <w:lang w:val="it-IT"/>
        </w:rPr>
        <w:t>; Francesco Rando</w:t>
      </w:r>
      <w:r>
        <w:rPr>
          <w:rFonts w:hAnsi="Book Antiqua" w:hint="default"/>
          <w:rtl w:val="0"/>
          <w:lang w:val="it-IT"/>
        </w:rPr>
        <w:t xml:space="preserve"> “</w:t>
      </w:r>
      <w:r>
        <w:rPr>
          <w:rFonts w:ascii="Book Antiqua"/>
          <w:rtl w:val="0"/>
          <w:lang w:val="it-IT"/>
        </w:rPr>
        <w:t xml:space="preserve">amministratore unico di molte delle imprese riconducibili al Cerroni e storico </w:t>
      </w:r>
      <w:r>
        <w:rPr>
          <w:rFonts w:hAnsi="Book Antiqua" w:hint="default"/>
          <w:rtl w:val="0"/>
          <w:lang w:val="it-IT"/>
        </w:rPr>
        <w:t>‘</w:t>
      </w:r>
      <w:r>
        <w:rPr>
          <w:rFonts w:ascii="Book Antiqua"/>
          <w:rtl w:val="0"/>
          <w:lang w:val="it-IT"/>
        </w:rPr>
        <w:t>braccio destro</w:t>
      </w:r>
      <w:r>
        <w:rPr>
          <w:rFonts w:hAnsi="Book Antiqua" w:hint="default"/>
          <w:rtl w:val="0"/>
          <w:lang w:val="it-IT"/>
        </w:rPr>
        <w:t>’</w:t>
      </w:r>
      <w:r>
        <w:rPr>
          <w:rFonts w:ascii="Book Antiqua"/>
          <w:rtl w:val="0"/>
          <w:lang w:val="it-IT"/>
        </w:rPr>
        <w:t xml:space="preserve"> del medesimo</w:t>
      </w:r>
      <w:r>
        <w:rPr>
          <w:rFonts w:hAnsi="Book Antiqua" w:hint="default"/>
          <w:rtl w:val="0"/>
          <w:lang w:val="it-IT"/>
        </w:rPr>
        <w:t>”</w:t>
      </w:r>
      <w:r>
        <w:rPr>
          <w:rFonts w:ascii="Book Antiqua"/>
          <w:rtl w:val="0"/>
          <w:lang w:val="it-IT"/>
        </w:rPr>
        <w:t>; Piero Giovi</w:t>
      </w:r>
      <w:r>
        <w:rPr>
          <w:rFonts w:hAnsi="Book Antiqua" w:hint="default"/>
          <w:rtl w:val="0"/>
          <w:lang w:val="it-IT"/>
        </w:rPr>
        <w:t xml:space="preserve"> “</w:t>
      </w:r>
      <w:r>
        <w:rPr>
          <w:rFonts w:ascii="Book Antiqua"/>
          <w:rtl w:val="0"/>
          <w:lang w:val="it-IT"/>
        </w:rPr>
        <w:t>socio di molte delle imprese riconducibili al Cerroni e storico collaboratore dello stesso</w:t>
      </w:r>
      <w:r>
        <w:rPr>
          <w:rFonts w:hAnsi="Book Antiqua" w:hint="default"/>
          <w:rtl w:val="0"/>
          <w:lang w:val="it-IT"/>
        </w:rPr>
        <w:t>”</w:t>
      </w:r>
      <w:r>
        <w:rPr>
          <w:rFonts w:ascii="Book Antiqua"/>
          <w:rtl w:val="0"/>
          <w:lang w:val="it-IT"/>
        </w:rPr>
        <w:t>; Giuseppe Sicignano</w:t>
      </w:r>
      <w:r>
        <w:rPr>
          <w:rFonts w:hAnsi="Book Antiqua" w:hint="default"/>
          <w:rtl w:val="0"/>
          <w:lang w:val="it-IT"/>
        </w:rPr>
        <w:t xml:space="preserve"> “</w:t>
      </w:r>
      <w:r>
        <w:rPr>
          <w:rFonts w:ascii="Book Antiqua"/>
          <w:rtl w:val="0"/>
          <w:lang w:val="it-IT"/>
        </w:rPr>
        <w:t>supervisore delle attivit</w:t>
      </w:r>
      <w:r>
        <w:rPr>
          <w:rFonts w:hAnsi="Book Antiqua" w:hint="default"/>
          <w:rtl w:val="0"/>
          <w:lang w:val="it-IT"/>
        </w:rPr>
        <w:t xml:space="preserve">à </w:t>
      </w:r>
      <w:r>
        <w:rPr>
          <w:rFonts w:ascii="Book Antiqua"/>
          <w:rtl w:val="0"/>
          <w:lang w:val="it-IT"/>
        </w:rPr>
        <w:t>operative condotte presso gli impianti di Cecchina in Albano Laziale (discarica e trattamento meccanico-biologico)</w:t>
      </w:r>
      <w:r>
        <w:rPr>
          <w:rFonts w:hAnsi="Book Antiqua" w:hint="default"/>
          <w:rtl w:val="0"/>
          <w:lang w:val="it-IT"/>
        </w:rPr>
        <w:t>”</w:t>
      </w:r>
      <w:r>
        <w:rPr>
          <w:rFonts w:ascii="Book Antiqua"/>
          <w:rtl w:val="0"/>
          <w:lang w:val="it-IT"/>
        </w:rPr>
        <w:t>; Luca Fegatelli in qualit</w:t>
      </w:r>
      <w:r>
        <w:rPr>
          <w:rFonts w:hAnsi="Book Antiqua" w:hint="default"/>
          <w:rtl w:val="0"/>
          <w:lang w:val="it-IT"/>
        </w:rPr>
        <w:t xml:space="preserve">à </w:t>
      </w:r>
      <w:r>
        <w:rPr>
          <w:rFonts w:ascii="Book Antiqua"/>
          <w:rtl w:val="0"/>
          <w:lang w:val="it-IT"/>
        </w:rPr>
        <w:t xml:space="preserve">di </w:t>
      </w:r>
      <w:r>
        <w:rPr>
          <w:rFonts w:hAnsi="Book Antiqua" w:hint="default"/>
          <w:rtl w:val="0"/>
          <w:lang w:val="it-IT"/>
        </w:rPr>
        <w:t>“</w:t>
      </w:r>
      <w:r>
        <w:rPr>
          <w:rFonts w:ascii="Book Antiqua"/>
          <w:rtl w:val="0"/>
          <w:lang w:val="it-IT"/>
        </w:rPr>
        <w:t>dirigente dell</w:t>
      </w:r>
      <w:r>
        <w:rPr>
          <w:rFonts w:hAnsi="Book Antiqua" w:hint="default"/>
          <w:rtl w:val="0"/>
          <w:lang w:val="it-IT"/>
        </w:rPr>
        <w:t>’</w:t>
      </w:r>
      <w:r>
        <w:rPr>
          <w:rFonts w:ascii="Book Antiqua"/>
          <w:rtl w:val="0"/>
          <w:lang w:val="it-IT"/>
        </w:rPr>
        <w:t>area rifiuti della regione Lazio dal 30.06.2008 (data di cessazione del commissario straordinario ai rifiuti della regione Lazio) al 17.12.2008, di direttore della direzione regionale energia e rifiuti dal 18 dicembre 2008 al 28 aprile 2010, e da tale data di direttore vicario e direttore del dipartimento istituzionale e del territorio della regione Lazio, e comunque di soggetto in grado, per la sua influenza, di determinare, anche in modo informale, le linee di condotta dell</w:t>
      </w:r>
      <w:r>
        <w:rPr>
          <w:rFonts w:hAnsi="Book Antiqua" w:hint="default"/>
          <w:rtl w:val="0"/>
          <w:lang w:val="it-IT"/>
        </w:rPr>
        <w:t>’</w:t>
      </w:r>
      <w:r>
        <w:rPr>
          <w:rFonts w:ascii="Book Antiqua"/>
          <w:rtl w:val="0"/>
          <w:lang w:val="it-IT"/>
        </w:rPr>
        <w:t>amministrazione regionale in senso favorevole alle aziende del Cerroni per tutto quanto concerne la gestione dei rifiuti</w:t>
      </w:r>
      <w:r>
        <w:rPr>
          <w:rFonts w:hAnsi="Book Antiqua" w:hint="default"/>
          <w:rtl w:val="0"/>
          <w:lang w:val="it-IT"/>
        </w:rPr>
        <w:t>”</w:t>
      </w:r>
      <w:r>
        <w:rPr>
          <w:rFonts w:ascii="Book Antiqua"/>
          <w:rtl w:val="0"/>
          <w:lang w:val="it-IT"/>
        </w:rPr>
        <w:t>; Raniero De Filippis</w:t>
      </w:r>
      <w:r>
        <w:rPr>
          <w:rFonts w:hAnsi="Book Antiqua" w:hint="default"/>
          <w:rtl w:val="0"/>
          <w:lang w:val="it-IT"/>
        </w:rPr>
        <w:t xml:space="preserve"> “</w:t>
      </w:r>
      <w:r>
        <w:rPr>
          <w:rFonts w:ascii="Book Antiqua"/>
          <w:rtl w:val="0"/>
          <w:lang w:val="it-IT"/>
        </w:rPr>
        <w:t>responsabile del dipartimento del territorio della regione Lazio dal 01/10/2007 al 14/10/2010</w:t>
      </w:r>
      <w:r>
        <w:rPr>
          <w:rFonts w:hAnsi="Book Antiqua" w:hint="default"/>
          <w:rtl w:val="0"/>
          <w:lang w:val="it-IT"/>
        </w:rPr>
        <w:t>”</w:t>
      </w:r>
      <w:r>
        <w:rPr>
          <w:rFonts w:ascii="Book Antiqua"/>
          <w:rtl w:val="0"/>
          <w:lang w:val="it-IT"/>
        </w:rPr>
        <w:t>; Giovanni Hermanin in qualit</w:t>
      </w:r>
      <w:r>
        <w:rPr>
          <w:rFonts w:hAnsi="Book Antiqua" w:hint="default"/>
          <w:rtl w:val="0"/>
          <w:lang w:val="it-IT"/>
        </w:rPr>
        <w:t xml:space="preserve">à </w:t>
      </w:r>
      <w:r>
        <w:rPr>
          <w:rFonts w:ascii="Book Antiqua"/>
          <w:rtl w:val="0"/>
          <w:lang w:val="it-IT"/>
        </w:rPr>
        <w:t xml:space="preserve">di </w:t>
      </w:r>
      <w:r>
        <w:rPr>
          <w:rFonts w:hAnsi="Book Antiqua" w:hint="default"/>
          <w:rtl w:val="0"/>
          <w:lang w:val="it-IT"/>
        </w:rPr>
        <w:t>“</w:t>
      </w:r>
      <w:r>
        <w:rPr>
          <w:rFonts w:ascii="Book Antiqua"/>
          <w:rtl w:val="0"/>
          <w:lang w:val="it-IT"/>
        </w:rPr>
        <w:t>politico di primo piano nel panorama laziale, nonch</w:t>
      </w:r>
      <w:r>
        <w:rPr>
          <w:rFonts w:hAnsi="Book Antiqua" w:hint="default"/>
          <w:rtl w:val="0"/>
          <w:lang w:val="it-IT"/>
        </w:rPr>
        <w:t xml:space="preserve">é </w:t>
      </w:r>
      <w:r>
        <w:rPr>
          <w:rFonts w:ascii="Book Antiqua"/>
          <w:rtl w:val="0"/>
          <w:lang w:val="it-IT"/>
        </w:rPr>
        <w:t>di soggetto incardinato all</w:t>
      </w:r>
      <w:r>
        <w:rPr>
          <w:rFonts w:hAnsi="Book Antiqua" w:hint="default"/>
          <w:rtl w:val="0"/>
          <w:lang w:val="it-IT"/>
        </w:rPr>
        <w:t>’</w:t>
      </w:r>
      <w:r>
        <w:rPr>
          <w:rFonts w:ascii="Book Antiqua"/>
          <w:rtl w:val="0"/>
          <w:lang w:val="it-IT"/>
        </w:rPr>
        <w:t>interno del Consorzio CO.E.MA. e di figura raccordo</w:t>
      </w:r>
      <w:r>
        <w:rPr>
          <w:rFonts w:hAnsi="Book Antiqua" w:hint="default"/>
          <w:rtl w:val="0"/>
          <w:lang w:val="it-IT"/>
        </w:rPr>
        <w:t>”</w:t>
      </w:r>
      <w:r>
        <w:rPr>
          <w:rFonts w:ascii="Book Antiqua"/>
          <w:rtl w:val="0"/>
          <w:lang w:val="it-IT"/>
        </w:rPr>
        <w:t xml:space="preserve"> tra Manlio Cerroni e Raniero De Filippis; Romano Giovannetti in qualit</w:t>
      </w:r>
      <w:r>
        <w:rPr>
          <w:rFonts w:hAnsi="Book Antiqua" w:hint="default"/>
          <w:rtl w:val="0"/>
          <w:lang w:val="it-IT"/>
        </w:rPr>
        <w:t xml:space="preserve">à </w:t>
      </w:r>
      <w:r>
        <w:rPr>
          <w:rFonts w:ascii="Book Antiqua"/>
          <w:rtl w:val="0"/>
          <w:lang w:val="it-IT"/>
        </w:rPr>
        <w:t xml:space="preserve">di </w:t>
      </w:r>
      <w:r>
        <w:rPr>
          <w:rFonts w:hAnsi="Book Antiqua" w:hint="default"/>
          <w:rtl w:val="0"/>
          <w:lang w:val="it-IT"/>
        </w:rPr>
        <w:t>“</w:t>
      </w:r>
      <w:r>
        <w:rPr>
          <w:rFonts w:ascii="Book Antiqua"/>
          <w:rtl w:val="0"/>
          <w:lang w:val="it-IT"/>
        </w:rPr>
        <w:t>capo segreteria dell</w:t>
      </w:r>
      <w:r>
        <w:rPr>
          <w:rFonts w:hAnsi="Book Antiqua" w:hint="default"/>
          <w:rtl w:val="0"/>
          <w:lang w:val="it-IT"/>
        </w:rPr>
        <w:t>’</w:t>
      </w:r>
      <w:r>
        <w:rPr>
          <w:rFonts w:ascii="Book Antiqua"/>
          <w:rtl w:val="0"/>
          <w:lang w:val="it-IT"/>
        </w:rPr>
        <w:t>assessore alle attivit</w:t>
      </w:r>
      <w:r>
        <w:rPr>
          <w:rFonts w:hAnsi="Book Antiqua" w:hint="default"/>
          <w:rtl w:val="0"/>
          <w:lang w:val="it-IT"/>
        </w:rPr>
        <w:t xml:space="preserve">à </w:t>
      </w:r>
      <w:r>
        <w:rPr>
          <w:rFonts w:ascii="Book Antiqua"/>
          <w:rtl w:val="0"/>
          <w:lang w:val="it-IT"/>
        </w:rPr>
        <w:t>produttive e politiche dei rifiuti della regione Lazio Pietro di Paolantonio, con il ruolo di punto di snodo tra Landi e l</w:t>
      </w:r>
      <w:r>
        <w:rPr>
          <w:rFonts w:hAnsi="Book Antiqua" w:hint="default"/>
          <w:rtl w:val="0"/>
          <w:lang w:val="it-IT"/>
        </w:rPr>
        <w:t>’</w:t>
      </w:r>
      <w:r>
        <w:rPr>
          <w:rFonts w:ascii="Book Antiqua"/>
          <w:rtl w:val="0"/>
          <w:lang w:val="it-IT"/>
        </w:rPr>
        <w:t>ignaro assessore, nonch</w:t>
      </w:r>
      <w:r>
        <w:rPr>
          <w:rFonts w:hAnsi="Book Antiqua" w:hint="default"/>
          <w:rtl w:val="0"/>
          <w:lang w:val="it-IT"/>
        </w:rPr>
        <w:t>é</w:t>
      </w:r>
      <w:r>
        <w:rPr>
          <w:rFonts w:ascii="Book Antiqua"/>
          <w:rtl w:val="0"/>
          <w:lang w:val="it-IT"/>
        </w:rPr>
        <w:t xml:space="preserve"> di </w:t>
      </w:r>
      <w:r>
        <w:rPr>
          <w:rFonts w:hAnsi="Book Antiqua" w:hint="default"/>
          <w:rtl w:val="0"/>
          <w:lang w:val="it-IT"/>
        </w:rPr>
        <w:t>‘</w:t>
      </w:r>
      <w:r>
        <w:rPr>
          <w:rFonts w:ascii="Book Antiqua"/>
          <w:rtl w:val="0"/>
          <w:lang w:val="it-IT"/>
        </w:rPr>
        <w:t>dirigente ombra</w:t>
      </w:r>
      <w:r>
        <w:rPr>
          <w:rFonts w:hAnsi="Book Antiqua" w:hint="default"/>
          <w:rtl w:val="0"/>
          <w:lang w:val="it-IT"/>
        </w:rPr>
        <w:t xml:space="preserve">’ </w:t>
      </w:r>
      <w:r>
        <w:rPr>
          <w:rFonts w:ascii="Book Antiqua"/>
          <w:rtl w:val="0"/>
          <w:lang w:val="it-IT"/>
        </w:rPr>
        <w:t>dell</w:t>
      </w:r>
      <w:r>
        <w:rPr>
          <w:rFonts w:hAnsi="Book Antiqua" w:hint="default"/>
          <w:rtl w:val="0"/>
          <w:lang w:val="it-IT"/>
        </w:rPr>
        <w:t>’</w:t>
      </w:r>
      <w:r>
        <w:rPr>
          <w:rFonts w:ascii="Book Antiqua"/>
          <w:rtl w:val="0"/>
          <w:lang w:val="it-IT"/>
        </w:rPr>
        <w:t>area rifiuti della regione Lazio</w:t>
      </w:r>
      <w:r>
        <w:rPr>
          <w:rFonts w:hAnsi="Book Antiqua" w:hint="default"/>
          <w:rtl w:val="0"/>
          <w:lang w:val="it-IT"/>
        </w:rPr>
        <w:t>”</w:t>
      </w:r>
      <w:r>
        <w:rPr>
          <w:rFonts w:ascii="Book Antiqua"/>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L</w:t>
      </w:r>
      <w:r>
        <w:rPr>
          <w:rFonts w:hAnsi="Book Antiqua" w:hint="default"/>
          <w:rtl w:val="0"/>
          <w:lang w:val="it-IT"/>
        </w:rPr>
        <w:t>’</w:t>
      </w:r>
      <w:r>
        <w:rPr>
          <w:rFonts w:ascii="Book Antiqua"/>
          <w:rtl w:val="0"/>
          <w:lang w:val="it-IT"/>
        </w:rPr>
        <w:t>associazione avrebbe convolto altres</w:t>
      </w:r>
      <w:r>
        <w:rPr>
          <w:rFonts w:hAnsi="Book Antiqua" w:hint="default"/>
          <w:rtl w:val="0"/>
          <w:lang w:val="it-IT"/>
        </w:rPr>
        <w:t xml:space="preserve">ì </w:t>
      </w:r>
      <w:r>
        <w:rPr>
          <w:rFonts w:ascii="Book Antiqua"/>
          <w:rtl w:val="0"/>
          <w:lang w:val="it-IT"/>
        </w:rPr>
        <w:t xml:space="preserve">Mario Di Carlo </w:t>
      </w:r>
      <w:r>
        <w:rPr>
          <w:rFonts w:hAnsi="Book Antiqua" w:hint="default"/>
          <w:rtl w:val="0"/>
          <w:lang w:val="it-IT"/>
        </w:rPr>
        <w:t>“</w:t>
      </w:r>
      <w:r>
        <w:rPr>
          <w:rFonts w:ascii="Book Antiqua"/>
          <w:rtl w:val="0"/>
          <w:lang w:val="it-IT"/>
        </w:rPr>
        <w:t>gi</w:t>
      </w:r>
      <w:r>
        <w:rPr>
          <w:rFonts w:hAnsi="Book Antiqua" w:hint="default"/>
          <w:rtl w:val="0"/>
          <w:lang w:val="it-IT"/>
        </w:rPr>
        <w:t xml:space="preserve">à </w:t>
      </w:r>
      <w:r>
        <w:rPr>
          <w:rFonts w:ascii="Book Antiqua"/>
          <w:rtl w:val="0"/>
          <w:lang w:val="it-IT"/>
        </w:rPr>
        <w:t>assessore della regione Lazio nel corso del 2008</w:t>
      </w:r>
      <w:r>
        <w:rPr>
          <w:rFonts w:hAnsi="Book Antiqua" w:hint="default"/>
          <w:rtl w:val="0"/>
          <w:lang w:val="it-IT"/>
        </w:rPr>
        <w:t xml:space="preserve">” </w:t>
      </w:r>
      <w:r>
        <w:rPr>
          <w:rFonts w:ascii="Book Antiqua"/>
          <w:rtl w:val="0"/>
          <w:lang w:val="it-IT"/>
        </w:rPr>
        <w:t xml:space="preserve">e Arcangelo Spagnoli </w:t>
      </w:r>
      <w:r>
        <w:rPr>
          <w:rFonts w:hAnsi="Book Antiqua" w:hint="default"/>
          <w:rtl w:val="0"/>
          <w:lang w:val="it-IT"/>
        </w:rPr>
        <w:t>“</w:t>
      </w:r>
      <w:r>
        <w:rPr>
          <w:rFonts w:ascii="Book Antiqua"/>
          <w:rtl w:val="0"/>
          <w:lang w:val="it-IT"/>
        </w:rPr>
        <w:t>in qualit</w:t>
      </w:r>
      <w:r>
        <w:rPr>
          <w:rFonts w:hAnsi="Book Antiqua" w:hint="default"/>
          <w:rtl w:val="0"/>
          <w:lang w:val="it-IT"/>
        </w:rPr>
        <w:t xml:space="preserve">à </w:t>
      </w:r>
      <w:r>
        <w:rPr>
          <w:rFonts w:ascii="Book Antiqua"/>
          <w:rtl w:val="0"/>
          <w:lang w:val="it-IT"/>
        </w:rPr>
        <w:t>di responsabile unico del procedimento in seno al commissario delegato per l</w:t>
      </w:r>
      <w:r>
        <w:rPr>
          <w:rFonts w:hAnsi="Book Antiqua" w:hint="default"/>
          <w:rtl w:val="0"/>
          <w:lang w:val="it-IT"/>
        </w:rPr>
        <w:t>’</w:t>
      </w:r>
      <w:r>
        <w:rPr>
          <w:rFonts w:ascii="Book Antiqua"/>
          <w:rtl w:val="0"/>
          <w:lang w:val="it-IT"/>
        </w:rPr>
        <w:t>emergenza ambientale nel territorio della regione Lazio fino al 30 giugno 2008</w:t>
      </w:r>
      <w:r>
        <w:rPr>
          <w:rFonts w:hAnsi="Book Antiqua" w:hint="default"/>
          <w:rtl w:val="0"/>
          <w:lang w:val="it-IT"/>
        </w:rPr>
        <w:t>”</w:t>
      </w:r>
      <w:r>
        <w:rPr>
          <w:rFonts w:ascii="Book Antiqua"/>
          <w:rtl w:val="0"/>
          <w:lang w:val="it-IT"/>
        </w:rPr>
        <w:t>, entrambi deceduti</w:t>
      </w:r>
      <w:r>
        <w:rPr>
          <w:rFonts w:ascii="Book Antiqua" w:cs="Book Antiqua" w:hAnsi="Book Antiqua" w:eastAsia="Book Antiqua"/>
          <w:vertAlign w:val="superscript"/>
          <w:rtl w:val="0"/>
        </w:rPr>
        <w:footnoteReference w:id="193"/>
      </w:r>
      <w:r>
        <w:rPr>
          <w:rFonts w:ascii="Book Antiqua"/>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E</w:t>
      </w:r>
      <w:r>
        <w:rPr>
          <w:rFonts w:hAnsi="Book Antiqua" w:hint="default"/>
          <w:rtl w:val="0"/>
          <w:lang w:val="it-IT"/>
        </w:rPr>
        <w:t xml:space="preserve">’ </w:t>
      </w:r>
      <w:r>
        <w:rPr>
          <w:rFonts w:ascii="Book Antiqua"/>
          <w:rtl w:val="0"/>
          <w:lang w:val="it-IT"/>
        </w:rPr>
        <w:t>altres</w:t>
      </w:r>
      <w:r>
        <w:rPr>
          <w:rFonts w:hAnsi="Book Antiqua" w:hint="default"/>
          <w:rtl w:val="0"/>
          <w:lang w:val="it-IT"/>
        </w:rPr>
        <w:t xml:space="preserve">ì </w:t>
      </w:r>
      <w:r>
        <w:rPr>
          <w:rFonts w:ascii="Book Antiqua"/>
          <w:rtl w:val="0"/>
          <w:lang w:val="it-IT"/>
        </w:rPr>
        <w:t>imputata Carmelina Scaglione, legale rappresentante di E. Giovi S.r.l.</w:t>
      </w:r>
      <w:r>
        <w:rPr>
          <w:rFonts w:ascii="Book Antiqua" w:cs="Book Antiqua" w:hAnsi="Book Antiqua" w:eastAsia="Book Antiqua"/>
          <w:vertAlign w:val="superscript"/>
          <w:rtl w:val="0"/>
        </w:rPr>
        <w:footnoteReference w:id="194"/>
      </w:r>
      <w:r>
        <w:rPr>
          <w:rFonts w:ascii="Book Antiqua"/>
          <w:rtl w:val="0"/>
          <w:lang w:val="it-IT"/>
        </w:rPr>
        <w:t xml:space="preserve"> .</w:t>
      </w:r>
    </w:p>
    <w:p>
      <w:pPr>
        <w:pStyle w:val="Normal"/>
        <w:ind w:left="567" w:right="567" w:firstLine="0"/>
        <w:jc w:val="both"/>
        <w:rPr>
          <w:rFonts w:ascii="Book Antiqua" w:cs="Book Antiqua" w:hAnsi="Book Antiqua" w:eastAsia="Book Antiqua"/>
        </w:rPr>
      </w:pPr>
      <w:r>
        <w:rPr>
          <w:rFonts w:ascii="Book Antiqua"/>
          <w:rtl w:val="0"/>
          <w:lang w:val="it-IT"/>
        </w:rPr>
        <w:t>Le vicende in relazione alle quali le indagini della procura della Repubblica di Roma hanno individuato gli interessi associativi e i reati-fine sono:</w:t>
      </w:r>
    </w:p>
    <w:p>
      <w:pPr>
        <w:pStyle w:val="Normal"/>
        <w:ind w:left="567" w:right="567" w:firstLine="0"/>
        <w:jc w:val="both"/>
        <w:rPr>
          <w:rFonts w:ascii="Book Antiqua" w:cs="Book Antiqua" w:hAnsi="Book Antiqua" w:eastAsia="Book Antiqua"/>
        </w:rPr>
      </w:pPr>
      <w:r>
        <w:rPr>
          <w:rFonts w:ascii="Book Antiqua"/>
          <w:rtl w:val="0"/>
          <w:lang w:val="it-IT"/>
        </w:rPr>
        <w:t>l</w:t>
      </w:r>
      <w:r>
        <w:rPr>
          <w:rFonts w:hAnsi="Book Antiqua" w:hint="default"/>
          <w:rtl w:val="0"/>
          <w:lang w:val="it-IT"/>
        </w:rPr>
        <w:t>’</w:t>
      </w:r>
      <w:r>
        <w:rPr>
          <w:rFonts w:ascii="Book Antiqua"/>
          <w:rtl w:val="0"/>
          <w:lang w:val="it-IT"/>
        </w:rPr>
        <w:t>attivit</w:t>
      </w:r>
      <w:r>
        <w:rPr>
          <w:rFonts w:hAnsi="Book Antiqua" w:hint="default"/>
          <w:rtl w:val="0"/>
          <w:lang w:val="it-IT"/>
        </w:rPr>
        <w:t xml:space="preserve">à </w:t>
      </w:r>
      <w:r>
        <w:rPr>
          <w:rFonts w:ascii="Book Antiqua"/>
          <w:rtl w:val="0"/>
          <w:lang w:val="it-IT"/>
        </w:rPr>
        <w:t>dell</w:t>
      </w:r>
      <w:r>
        <w:rPr>
          <w:rFonts w:hAnsi="Book Antiqua" w:hint="default"/>
          <w:rtl w:val="0"/>
          <w:lang w:val="it-IT"/>
        </w:rPr>
        <w:t>’</w:t>
      </w:r>
      <w:r>
        <w:rPr>
          <w:rFonts w:ascii="Book Antiqua"/>
          <w:rtl w:val="0"/>
          <w:lang w:val="it-IT"/>
        </w:rPr>
        <w:t>impianto TMB di Pontina Ambiente S.r.l., in Albano Laziale sino all</w:t>
      </w:r>
      <w:r>
        <w:rPr>
          <w:rFonts w:hAnsi="Book Antiqua" w:hint="default"/>
          <w:rtl w:val="0"/>
          <w:lang w:val="it-IT"/>
        </w:rPr>
        <w:t>’</w:t>
      </w:r>
      <w:r>
        <w:rPr>
          <w:rFonts w:ascii="Book Antiqua"/>
          <w:rtl w:val="0"/>
          <w:lang w:val="it-IT"/>
        </w:rPr>
        <w:t>agosto 2012;</w:t>
      </w:r>
    </w:p>
    <w:p>
      <w:pPr>
        <w:pStyle w:val="Normal"/>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la gestione della discarica situata in Albano Laziale, frazione Cecchina, localit</w:t>
      </w:r>
      <w:r>
        <w:rPr>
          <w:rFonts w:hAnsi="Book Antiqua" w:hint="default"/>
          <w:color w:val="000000"/>
          <w:u w:color="000000"/>
          <w:rtl w:val="0"/>
          <w:lang w:val="it-IT"/>
        </w:rPr>
        <w:t xml:space="preserve">à </w:t>
      </w:r>
      <w:r>
        <w:rPr>
          <w:rFonts w:ascii="Book Antiqua"/>
          <w:color w:val="000000"/>
          <w:u w:color="000000"/>
          <w:rtl w:val="0"/>
          <w:lang w:val="it-IT"/>
        </w:rPr>
        <w:t>Roncigliano, nel periodo febbraio-ottobre 2010;</w:t>
      </w:r>
    </w:p>
    <w:p>
      <w:pPr>
        <w:pStyle w:val="Normal"/>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l'autorizzazione integrata ambientale per il progetto del VII invaso della discarica di Albano Laziale negli anni 2008-2009;</w:t>
      </w:r>
    </w:p>
    <w:p>
      <w:pPr>
        <w:pStyle w:val="Normal"/>
        <w:ind w:left="567" w:right="567" w:firstLine="0"/>
        <w:jc w:val="both"/>
        <w:rPr>
          <w:rFonts w:ascii="Book Antiqua" w:cs="Book Antiqua" w:hAnsi="Book Antiqua" w:eastAsia="Book Antiqua"/>
        </w:rPr>
      </w:pPr>
      <w:r>
        <w:rPr>
          <w:rFonts w:ascii="Book Antiqua"/>
          <w:color w:val="000000"/>
          <w:u w:color="000000"/>
          <w:rtl w:val="0"/>
          <w:lang w:val="it-IT"/>
        </w:rPr>
        <w:t xml:space="preserve">i rapporti contrattuali in materia di rifiuti con i comuni di Albano Laziale, Ardea. Ariccia, Castel Gandolfo, Genzano, Lanuvio, Marino, Nemi, Pomezia, Rocca di Papa, </w:t>
      </w:r>
      <w:r>
        <w:rPr>
          <w:rFonts w:ascii="Book Antiqua"/>
          <w:rtl w:val="0"/>
          <w:lang w:val="it-IT"/>
        </w:rPr>
        <w:t>sino all</w:t>
      </w:r>
      <w:r>
        <w:rPr>
          <w:rFonts w:hAnsi="Book Antiqua" w:hint="default"/>
          <w:rtl w:val="0"/>
          <w:lang w:val="it-IT"/>
        </w:rPr>
        <w:t>’</w:t>
      </w:r>
      <w:r>
        <w:rPr>
          <w:rFonts w:ascii="Book Antiqua"/>
          <w:rtl w:val="0"/>
          <w:lang w:val="it-IT"/>
        </w:rPr>
        <w:t>agosto 2012;</w:t>
      </w:r>
    </w:p>
    <w:p>
      <w:pPr>
        <w:pStyle w:val="Normal"/>
        <w:ind w:left="567" w:right="567" w:firstLine="0"/>
        <w:jc w:val="both"/>
        <w:rPr>
          <w:rFonts w:ascii="Book Antiqua" w:cs="Book Antiqua" w:hAnsi="Book Antiqua" w:eastAsia="Book Antiqua"/>
          <w:color w:val="000000"/>
          <w:u w:color="000000"/>
        </w:rPr>
      </w:pPr>
      <w:r>
        <w:rPr>
          <w:rFonts w:ascii="Book Antiqua"/>
          <w:rtl w:val="0"/>
          <w:lang w:val="it-IT"/>
        </w:rPr>
        <w:t>la realizzazione dell</w:t>
      </w:r>
      <w:r>
        <w:rPr>
          <w:rFonts w:hAnsi="Book Antiqua" w:hint="default"/>
          <w:rtl w:val="0"/>
          <w:lang w:val="it-IT"/>
        </w:rPr>
        <w:t>’</w:t>
      </w:r>
      <w:r>
        <w:rPr>
          <w:rFonts w:ascii="Book Antiqua"/>
          <w:rtl w:val="0"/>
          <w:lang w:val="it-IT"/>
        </w:rPr>
        <w:t>impianto di termovalorizzazione e del gassificatore di Albano Laziale (da parte del Consorzio CO.E.MA., soggetto giuridico nato dall</w:t>
      </w:r>
      <w:r>
        <w:rPr>
          <w:rFonts w:hAnsi="Book Antiqua" w:hint="default"/>
          <w:rtl w:val="0"/>
          <w:lang w:val="it-IT"/>
        </w:rPr>
        <w:t>’</w:t>
      </w:r>
      <w:r>
        <w:rPr>
          <w:rFonts w:ascii="Book Antiqua"/>
          <w:rtl w:val="0"/>
          <w:lang w:val="it-IT"/>
        </w:rPr>
        <w:t xml:space="preserve">unione, nel 2007, di Pontina Ambiente S.r.l. e Ecomed S.r.l., a sua volta partecipata da AMA S.p.A. e ACEA S.p.A.) e il conseguimento </w:t>
      </w:r>
      <w:r>
        <w:rPr>
          <w:rFonts w:ascii="Book Antiqua"/>
          <w:color w:val="000000"/>
          <w:u w:color="000000"/>
          <w:rtl w:val="0"/>
          <w:lang w:val="it-IT"/>
        </w:rPr>
        <w:t>dei contributi pubblici per le energie "CIP 6", da erogarsi a favore dell</w:t>
      </w:r>
      <w:r>
        <w:rPr>
          <w:rFonts w:hAnsi="Book Antiqua" w:hint="default"/>
          <w:color w:val="000000"/>
          <w:u w:color="000000"/>
          <w:rtl w:val="0"/>
          <w:lang w:val="it-IT"/>
        </w:rPr>
        <w:t>’</w:t>
      </w:r>
      <w:r>
        <w:rPr>
          <w:rFonts w:ascii="Book Antiqua"/>
          <w:color w:val="000000"/>
          <w:u w:color="000000"/>
          <w:rtl w:val="0"/>
          <w:lang w:val="it-IT"/>
        </w:rPr>
        <w:t>impianto dal GSE (Gestore Servizi Energetici), nel 2008;</w:t>
      </w:r>
    </w:p>
    <w:p>
      <w:pPr>
        <w:pStyle w:val="Normal"/>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lo sbancamento di oltre tre milioni di metri cubi di terreno in localit</w:t>
      </w:r>
      <w:r>
        <w:rPr>
          <w:rFonts w:hAnsi="Book Antiqua" w:hint="default"/>
          <w:color w:val="000000"/>
          <w:u w:color="000000"/>
          <w:rtl w:val="0"/>
          <w:lang w:val="it-IT"/>
        </w:rPr>
        <w:t xml:space="preserve">à </w:t>
      </w:r>
      <w:r>
        <w:rPr>
          <w:rFonts w:ascii="Book Antiqua"/>
          <w:color w:val="000000"/>
          <w:u w:color="000000"/>
          <w:rtl w:val="0"/>
          <w:lang w:val="it-IT"/>
        </w:rPr>
        <w:t>Monti dell</w:t>
      </w:r>
      <w:r>
        <w:rPr>
          <w:rFonts w:hAnsi="Book Antiqua" w:hint="default"/>
          <w:color w:val="000000"/>
          <w:u w:color="000000"/>
          <w:rtl w:val="0"/>
          <w:lang w:val="it-IT"/>
        </w:rPr>
        <w:t>’</w:t>
      </w:r>
      <w:r>
        <w:rPr>
          <w:rFonts w:ascii="Book Antiqua"/>
          <w:color w:val="000000"/>
          <w:u w:color="000000"/>
          <w:rtl w:val="0"/>
          <w:lang w:val="it-IT"/>
        </w:rPr>
        <w:t>Ortaccio a Roma, per l</w:t>
      </w:r>
      <w:r>
        <w:rPr>
          <w:rFonts w:hAnsi="Book Antiqua" w:hint="default"/>
          <w:color w:val="000000"/>
          <w:u w:color="000000"/>
          <w:rtl w:val="0"/>
          <w:lang w:val="it-IT"/>
        </w:rPr>
        <w:t>’</w:t>
      </w:r>
      <w:r>
        <w:rPr>
          <w:rFonts w:ascii="Book Antiqua"/>
          <w:color w:val="000000"/>
          <w:u w:color="000000"/>
          <w:rtl w:val="0"/>
          <w:lang w:val="it-IT"/>
        </w:rPr>
        <w:t>illecita realizzazione di un invaso di discarica, sino al settembre 2012;</w:t>
      </w:r>
    </w:p>
    <w:p>
      <w:pPr>
        <w:pStyle w:val="Normal"/>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la mancata determinazione da parte della regione Lazio della tariffa in ingresso per la discarica di RIDA Ambiente S.r.l. di Aprilia, con conseguente ostacolo per tale azienda alla contrattazione con le amministrazioni pubbliche locali e vantaggio per Ecoambiente S.r.l. e Pontina Ambiente S.r.l., sino al 28 luglio 2010; condotta collegata, nei medesimi termini di danno e vantaggio, all</w:t>
      </w:r>
      <w:r>
        <w:rPr>
          <w:rFonts w:hAnsi="Book Antiqua" w:hint="default"/>
          <w:color w:val="000000"/>
          <w:u w:color="000000"/>
          <w:rtl w:val="0"/>
          <w:lang w:val="it-IT"/>
        </w:rPr>
        <w:t>’</w:t>
      </w:r>
      <w:r>
        <w:rPr>
          <w:rFonts w:ascii="Book Antiqua"/>
          <w:color w:val="000000"/>
          <w:u w:color="000000"/>
          <w:rtl w:val="0"/>
          <w:lang w:val="it-IT"/>
        </w:rPr>
        <w:t>illecita autorizzazione alla prosecuzione del conferimento dei rifiuti urbani prodotti nei comuni di Anzio e Nettuno presso la discarica di Latina, localit</w:t>
      </w:r>
      <w:r>
        <w:rPr>
          <w:rFonts w:hAnsi="Book Antiqua" w:hint="default"/>
          <w:color w:val="000000"/>
          <w:u w:color="000000"/>
          <w:rtl w:val="0"/>
          <w:lang w:val="it-IT"/>
        </w:rPr>
        <w:t xml:space="preserve">à </w:t>
      </w:r>
      <w:r>
        <w:rPr>
          <w:rFonts w:ascii="Book Antiqua"/>
          <w:color w:val="000000"/>
          <w:u w:color="000000"/>
          <w:rtl w:val="0"/>
          <w:lang w:val="it-IT"/>
        </w:rPr>
        <w:t>Borgo Montello, gestita dalla Ecoambiente S.r.l., il 7 agosto 2010.</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Il 15 luglio 2016 il giudice dell</w:t>
      </w:r>
      <w:r>
        <w:rPr>
          <w:rFonts w:hAnsi="Book Antiqua" w:hint="default"/>
          <w:color w:val="000000"/>
          <w:u w:color="000000"/>
          <w:rtl w:val="0"/>
          <w:lang w:val="it-IT"/>
        </w:rPr>
        <w:t>’</w:t>
      </w:r>
      <w:r>
        <w:rPr>
          <w:rFonts w:ascii="Book Antiqua"/>
          <w:color w:val="000000"/>
          <w:u w:color="000000"/>
          <w:rtl w:val="0"/>
          <w:lang w:val="it-IT"/>
        </w:rPr>
        <w:t>udienza preliminare del tribunale di Roma ha dichiarato non luogo a procedere nei confronti di Piero Giovi, Francesco Rando, Manlio Cerroni, Bruno Landi, Giuseppe Sicignano in ordine a tre dei reati-fine contestati in quanto per essi l</w:t>
      </w:r>
      <w:r>
        <w:rPr>
          <w:rFonts w:hAnsi="Book Antiqua" w:hint="default"/>
          <w:color w:val="000000"/>
          <w:u w:color="000000"/>
          <w:rtl w:val="0"/>
          <w:lang w:val="it-IT"/>
        </w:rPr>
        <w:t>’</w:t>
      </w:r>
      <w:r>
        <w:rPr>
          <w:rFonts w:ascii="Book Antiqua"/>
          <w:color w:val="000000"/>
          <w:u w:color="000000"/>
          <w:rtl w:val="0"/>
          <w:lang w:val="it-IT"/>
        </w:rPr>
        <w:t>azione penale risultava gi</w:t>
      </w:r>
      <w:r>
        <w:rPr>
          <w:rFonts w:hAnsi="Book Antiqua" w:hint="default"/>
          <w:color w:val="000000"/>
          <w:u w:color="000000"/>
          <w:rtl w:val="0"/>
          <w:lang w:val="it-IT"/>
        </w:rPr>
        <w:t xml:space="preserve">à </w:t>
      </w:r>
      <w:r>
        <w:rPr>
          <w:rFonts w:ascii="Book Antiqua"/>
          <w:color w:val="000000"/>
          <w:u w:color="000000"/>
          <w:rtl w:val="0"/>
          <w:lang w:val="it-IT"/>
        </w:rPr>
        <w:t>esercitata; e ha dichiarato non luogo a procedere nei confronti di Francesco Rando, Manlio Cerroni, Bruno Landi, Giuseppe Sicignano, Piero Giovi, Mauro Zagaroli, Luca Fegatelli, Raniero De Filippis, Giovanni Hermanin e Giovanna Bargagna in ordine ad ulteriori otto reati-fine, estinti per intervenuta prescrizione.</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 xml:space="preserve">Nella stessa udienza </w:t>
      </w:r>
      <w:r>
        <w:rPr>
          <w:rFonts w:hAnsi="Book Antiqua" w:hint="default"/>
          <w:color w:val="000000"/>
          <w:u w:color="000000"/>
          <w:rtl w:val="0"/>
          <w:lang w:val="it-IT"/>
        </w:rPr>
        <w:t xml:space="preserve">è </w:t>
      </w:r>
      <w:r>
        <w:rPr>
          <w:rFonts w:ascii="Book Antiqua"/>
          <w:color w:val="000000"/>
          <w:u w:color="000000"/>
          <w:rtl w:val="0"/>
          <w:lang w:val="it-IT"/>
        </w:rPr>
        <w:t xml:space="preserve">stato disposto il rinvio a giudizio degli imputati per tutti gli altri reati contestati, come sopra descritti, con fissazione della prima udienza dibattimentale il 9 febbraio 2017. </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rPr>
      </w:pPr>
      <w:r>
        <w:rPr>
          <w:rFonts w:ascii="Book Antiqua"/>
          <w:color w:val="000000"/>
          <w:u w:color="000000"/>
          <w:rtl w:val="0"/>
          <w:lang w:val="it-IT"/>
        </w:rPr>
        <w:t xml:space="preserve">Con separato decreto </w:t>
      </w:r>
      <w:r>
        <w:rPr>
          <w:rFonts w:hAnsi="Book Antiqua" w:hint="default"/>
          <w:color w:val="000000"/>
          <w:u w:color="000000"/>
          <w:rtl w:val="0"/>
          <w:lang w:val="it-IT"/>
        </w:rPr>
        <w:t xml:space="preserve">è </w:t>
      </w:r>
      <w:r>
        <w:rPr>
          <w:rFonts w:ascii="Book Antiqua"/>
          <w:color w:val="000000"/>
          <w:u w:color="000000"/>
          <w:rtl w:val="0"/>
          <w:lang w:val="it-IT"/>
        </w:rPr>
        <w:t>stato altres</w:t>
      </w:r>
      <w:r>
        <w:rPr>
          <w:rFonts w:hAnsi="Book Antiqua" w:hint="default"/>
          <w:color w:val="000000"/>
          <w:u w:color="000000"/>
          <w:rtl w:val="0"/>
          <w:lang w:val="it-IT"/>
        </w:rPr>
        <w:t xml:space="preserve">ì </w:t>
      </w:r>
      <w:r>
        <w:rPr>
          <w:rFonts w:ascii="Book Antiqua"/>
          <w:color w:val="000000"/>
          <w:u w:color="000000"/>
          <w:rtl w:val="0"/>
          <w:lang w:val="it-IT"/>
        </w:rPr>
        <w:t xml:space="preserve">disposto il rinvio a giudizio di Pontina Ambiente S.r.l. ed E. Giovi S.r.l. per rispondere degli illeciti previsti e puniti dal decreto legislativo </w:t>
      </w:r>
      <w:r>
        <w:rPr>
          <w:rFonts w:ascii="Book Antiqua"/>
          <w:rtl w:val="0"/>
          <w:lang w:val="it-IT"/>
        </w:rPr>
        <w:t>8 giugno 2001 n. 231</w:t>
      </w:r>
      <w:r>
        <w:rPr>
          <w:rFonts w:ascii="Book Antiqua"/>
          <w:color w:val="000000"/>
          <w:u w:color="000000"/>
          <w:rtl w:val="0"/>
          <w:lang w:val="it-IT"/>
        </w:rPr>
        <w:t>, con fissazione della prima udienza dibattimentale il 4 maggio 2017</w:t>
      </w:r>
      <w:r>
        <w:rPr>
          <w:rFonts w:ascii="Book Antiqua"/>
          <w:rtl w:val="0"/>
          <w:lang w:val="it-IT"/>
        </w:rPr>
        <w:t>.</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I processi sono tuttora in corso.</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Anche in questo caso sar</w:t>
      </w:r>
      <w:r>
        <w:rPr>
          <w:rFonts w:hAnsi="Book Antiqua" w:hint="default"/>
          <w:color w:val="000000"/>
          <w:u w:color="000000"/>
          <w:rtl w:val="0"/>
          <w:lang w:val="it-IT"/>
        </w:rPr>
        <w:t xml:space="preserve">à </w:t>
      </w:r>
      <w:r>
        <w:rPr>
          <w:rFonts w:ascii="Book Antiqua"/>
          <w:color w:val="000000"/>
          <w:u w:color="000000"/>
          <w:rtl w:val="0"/>
          <w:lang w:val="it-IT"/>
        </w:rPr>
        <w:t>il vaglio dibattimentale a sancire l</w:t>
      </w:r>
      <w:r>
        <w:rPr>
          <w:rFonts w:hAnsi="Book Antiqua" w:hint="default"/>
          <w:color w:val="000000"/>
          <w:u w:color="000000"/>
          <w:rtl w:val="0"/>
          <w:lang w:val="it-IT"/>
        </w:rPr>
        <w:t>’</w:t>
      </w:r>
      <w:r>
        <w:rPr>
          <w:rFonts w:ascii="Book Antiqua"/>
          <w:color w:val="000000"/>
          <w:u w:color="000000"/>
          <w:rtl w:val="0"/>
          <w:lang w:val="it-IT"/>
        </w:rPr>
        <w:t>eventuale responsabilit</w:t>
      </w:r>
      <w:r>
        <w:rPr>
          <w:rFonts w:hAnsi="Book Antiqua" w:hint="default"/>
          <w:color w:val="000000"/>
          <w:u w:color="000000"/>
          <w:rtl w:val="0"/>
          <w:lang w:val="it-IT"/>
        </w:rPr>
        <w:t xml:space="preserve">à </w:t>
      </w:r>
      <w:r>
        <w:rPr>
          <w:rFonts w:ascii="Book Antiqua"/>
          <w:color w:val="000000"/>
          <w:u w:color="000000"/>
          <w:rtl w:val="0"/>
          <w:lang w:val="it-IT"/>
        </w:rPr>
        <w:t>degli attuali imputati: tuttavia, ai fini della ricostruzione necessaria all</w:t>
      </w:r>
      <w:r>
        <w:rPr>
          <w:rFonts w:hAnsi="Book Antiqua" w:hint="default"/>
          <w:color w:val="000000"/>
          <w:u w:color="000000"/>
          <w:rtl w:val="0"/>
          <w:lang w:val="it-IT"/>
        </w:rPr>
        <w:t>’</w:t>
      </w:r>
      <w:r>
        <w:rPr>
          <w:rFonts w:ascii="Book Antiqua"/>
          <w:color w:val="000000"/>
          <w:u w:color="000000"/>
          <w:rtl w:val="0"/>
          <w:lang w:val="it-IT"/>
        </w:rPr>
        <w:t xml:space="preserve">oggetto della presente relazione, risulta evidente come  - anche a prescindere dalla possibile commissione di reati </w:t>
      </w:r>
      <w:r>
        <w:rPr>
          <w:rFonts w:hAnsi="Book Antiqua" w:hint="default"/>
          <w:color w:val="000000"/>
          <w:u w:color="000000"/>
          <w:rtl w:val="0"/>
          <w:lang w:val="it-IT"/>
        </w:rPr>
        <w:t xml:space="preserve">– </w:t>
      </w:r>
      <w:r>
        <w:rPr>
          <w:rFonts w:ascii="Book Antiqua"/>
          <w:color w:val="000000"/>
          <w:u w:color="000000"/>
          <w:rtl w:val="0"/>
          <w:lang w:val="it-IT"/>
        </w:rPr>
        <w:t>l</w:t>
      </w:r>
      <w:r>
        <w:rPr>
          <w:rFonts w:hAnsi="Book Antiqua" w:hint="default"/>
          <w:color w:val="000000"/>
          <w:u w:color="000000"/>
          <w:rtl w:val="0"/>
          <w:lang w:val="it-IT"/>
        </w:rPr>
        <w:t>’”</w:t>
      </w:r>
      <w:r>
        <w:rPr>
          <w:rFonts w:ascii="Book Antiqua"/>
          <w:color w:val="000000"/>
          <w:u w:color="000000"/>
          <w:rtl w:val="0"/>
          <w:lang w:val="it-IT"/>
        </w:rPr>
        <w:t>affare</w:t>
      </w:r>
      <w:r>
        <w:rPr>
          <w:rFonts w:hAnsi="Book Antiqua" w:hint="default"/>
          <w:color w:val="000000"/>
          <w:u w:color="000000"/>
          <w:rtl w:val="0"/>
          <w:lang w:val="it-IT"/>
        </w:rPr>
        <w:t xml:space="preserve">” </w:t>
      </w:r>
      <w:r>
        <w:rPr>
          <w:rFonts w:ascii="Book Antiqua"/>
          <w:color w:val="000000"/>
          <w:u w:color="000000"/>
          <w:rtl w:val="0"/>
          <w:lang w:val="it-IT"/>
        </w:rPr>
        <w:t>dei rifiuti, a Roma e nel Lazio:</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 xml:space="preserve">si sia storicamente strutturato intorno a interessi rastremati su singoli soggetti e non corrispondenti a prospettive industriali ampie; </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 xml:space="preserve">abbia avuto il suo centro in una non-chiusura del ciclo dei rifiuti secondo canoni contemporanei ma in contesti di risalente bassa tecnologia; </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abbia visto un</w:t>
      </w:r>
      <w:r>
        <w:rPr>
          <w:rFonts w:hAnsi="Book Antiqua" w:hint="default"/>
          <w:color w:val="000000"/>
          <w:u w:color="000000"/>
          <w:rtl w:val="0"/>
          <w:lang w:val="it-IT"/>
        </w:rPr>
        <w:t>’</w:t>
      </w:r>
      <w:r>
        <w:rPr>
          <w:rFonts w:ascii="Book Antiqua"/>
          <w:color w:val="000000"/>
          <w:u w:color="000000"/>
          <w:rtl w:val="0"/>
          <w:lang w:val="it-IT"/>
        </w:rPr>
        <w:t>intersezione di ruoli politico-amministrativi che non ha promosso o favorito scelte di avanzamento.</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Si tratta precisamente delle condizioni che, in una pluralit</w:t>
      </w:r>
      <w:r>
        <w:rPr>
          <w:rFonts w:hAnsi="Book Antiqua" w:hint="default"/>
          <w:color w:val="000000"/>
          <w:u w:color="000000"/>
          <w:rtl w:val="0"/>
          <w:lang w:val="it-IT"/>
        </w:rPr>
        <w:t xml:space="preserve">à </w:t>
      </w:r>
      <w:r>
        <w:rPr>
          <w:rFonts w:ascii="Book Antiqua"/>
          <w:color w:val="000000"/>
          <w:u w:color="000000"/>
          <w:rtl w:val="0"/>
          <w:lang w:val="it-IT"/>
        </w:rPr>
        <w:t xml:space="preserve">di situazioni </w:t>
      </w:r>
      <w:r>
        <w:rPr>
          <w:rFonts w:hAnsi="Book Antiqua" w:hint="default"/>
          <w:color w:val="000000"/>
          <w:u w:color="000000"/>
          <w:rtl w:val="0"/>
          <w:lang w:val="it-IT"/>
        </w:rPr>
        <w:t xml:space="preserve">– </w:t>
      </w:r>
      <w:r>
        <w:rPr>
          <w:rFonts w:ascii="Book Antiqua"/>
          <w:color w:val="000000"/>
          <w:u w:color="000000"/>
          <w:rtl w:val="0"/>
          <w:lang w:val="it-IT"/>
        </w:rPr>
        <w:t>esaminate in sede giudiziaria o nell</w:t>
      </w:r>
      <w:r>
        <w:rPr>
          <w:rFonts w:hAnsi="Book Antiqua" w:hint="default"/>
          <w:color w:val="000000"/>
          <w:u w:color="000000"/>
          <w:rtl w:val="0"/>
          <w:lang w:val="it-IT"/>
        </w:rPr>
        <w:t>’</w:t>
      </w:r>
      <w:r>
        <w:rPr>
          <w:rFonts w:ascii="Book Antiqua"/>
          <w:color w:val="000000"/>
          <w:u w:color="000000"/>
          <w:rtl w:val="0"/>
          <w:lang w:val="it-IT"/>
        </w:rPr>
        <w:t>ambito della funzione parlamentare d</w:t>
      </w:r>
      <w:r>
        <w:rPr>
          <w:rFonts w:hAnsi="Book Antiqua" w:hint="default"/>
          <w:color w:val="000000"/>
          <w:u w:color="000000"/>
          <w:rtl w:val="0"/>
          <w:lang w:val="it-IT"/>
        </w:rPr>
        <w:t>’</w:t>
      </w:r>
      <w:r>
        <w:rPr>
          <w:rFonts w:ascii="Book Antiqua"/>
          <w:color w:val="000000"/>
          <w:u w:color="000000"/>
          <w:rtl w:val="0"/>
          <w:lang w:val="it-IT"/>
        </w:rPr>
        <w:t xml:space="preserve">inchiesta, in questa e nelle precedenti Legislature </w:t>
      </w:r>
      <w:r>
        <w:rPr>
          <w:rFonts w:hAnsi="Book Antiqua" w:hint="default"/>
          <w:color w:val="000000"/>
          <w:u w:color="000000"/>
          <w:rtl w:val="0"/>
          <w:lang w:val="it-IT"/>
        </w:rPr>
        <w:t xml:space="preserve">– </w:t>
      </w:r>
      <w:r>
        <w:rPr>
          <w:rFonts w:ascii="Book Antiqua"/>
          <w:color w:val="000000"/>
          <w:u w:color="000000"/>
          <w:rtl w:val="0"/>
          <w:lang w:val="it-IT"/>
        </w:rPr>
        <w:t>costituiscono il presupposto per possibili fenomeni illeciti.</w:t>
      </w:r>
    </w:p>
    <w:p>
      <w:pPr>
        <w:pStyle w:val="Normal"/>
        <w:ind w:left="567" w:right="567" w:firstLine="0"/>
        <w:jc w:val="both"/>
        <w:rPr>
          <w:rFonts w:ascii="Book Antiqua" w:cs="Book Antiqua" w:hAnsi="Book Antiqua" w:eastAsia="Book Antiqua"/>
        </w:rPr>
      </w:pPr>
      <w:r>
        <w:rPr>
          <w:rFonts w:ascii="Book Antiqua"/>
          <w:color w:val="000000"/>
          <w:u w:color="000000"/>
          <w:rtl w:val="0"/>
          <w:lang w:val="it-IT"/>
        </w:rPr>
        <w:t xml:space="preserve">Intanto la prefettura di Roma ha agito adottando un primo provvedimento </w:t>
      </w:r>
      <w:r>
        <w:rPr>
          <w:rFonts w:ascii="Book Antiqua"/>
          <w:rtl w:val="0"/>
          <w:lang w:val="it-IT"/>
        </w:rPr>
        <w:t>il 24 gennaio 2014 nei confronti di Co.La.Ri. e delle societ</w:t>
      </w:r>
      <w:r>
        <w:rPr>
          <w:rFonts w:hAnsi="Book Antiqua" w:hint="default"/>
          <w:rtl w:val="0"/>
          <w:lang w:val="it-IT"/>
        </w:rPr>
        <w:t xml:space="preserve">à </w:t>
      </w:r>
      <w:r>
        <w:rPr>
          <w:rFonts w:ascii="Book Antiqua"/>
          <w:rtl w:val="0"/>
          <w:lang w:val="it-IT"/>
        </w:rPr>
        <w:t>E. Giovi S.r.l., P. Giovi S.r.l., Officine Malagrotta S.r.l. e un secondo provvedimento dell</w:t>
      </w:r>
      <w:r>
        <w:rPr>
          <w:rFonts w:hAnsi="Book Antiqua" w:hint="default"/>
          <w:rtl w:val="0"/>
          <w:lang w:val="it-IT"/>
        </w:rPr>
        <w:t>’</w:t>
      </w:r>
      <w:r>
        <w:rPr>
          <w:rFonts w:ascii="Book Antiqua"/>
          <w:rtl w:val="0"/>
          <w:lang w:val="it-IT"/>
        </w:rPr>
        <w:t xml:space="preserve">8 aprile 2017 con il quale </w:t>
      </w:r>
      <w:r>
        <w:rPr>
          <w:rFonts w:hAnsi="Book Antiqua" w:hint="default"/>
          <w:rtl w:val="0"/>
          <w:lang w:val="it-IT"/>
        </w:rPr>
        <w:t xml:space="preserve">è </w:t>
      </w:r>
      <w:r>
        <w:rPr>
          <w:rFonts w:ascii="Book Antiqua"/>
          <w:rtl w:val="0"/>
          <w:lang w:val="it-IT"/>
        </w:rPr>
        <w:t>stata disposta la misura della straordinaria e temporanea gestione di Co.La.Ri. e di  E. Giovi S.r.l. ai sensi dell'articolo 32 della legge n. 114/2014</w:t>
      </w:r>
      <w:r>
        <w:rPr>
          <w:rFonts w:ascii="Book Antiqua" w:cs="Book Antiqua" w:hAnsi="Book Antiqua" w:eastAsia="Book Antiqua"/>
          <w:vertAlign w:val="superscript"/>
          <w:rtl w:val="0"/>
        </w:rPr>
        <w:footnoteReference w:id="195"/>
      </w:r>
      <w:r>
        <w:rPr>
          <w:rFonts w:ascii="Book Antiqua"/>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Il 24 gennaio 2014 era stato adottato nei confronti di Co.La.Ri. e delle societ</w:t>
      </w:r>
      <w:r>
        <w:rPr>
          <w:rFonts w:hAnsi="Book Antiqua" w:hint="default"/>
          <w:rtl w:val="0"/>
          <w:lang w:val="it-IT"/>
        </w:rPr>
        <w:t xml:space="preserve">à </w:t>
      </w:r>
      <w:r>
        <w:rPr>
          <w:rFonts w:ascii="Book Antiqua"/>
          <w:rtl w:val="0"/>
          <w:lang w:val="it-IT"/>
        </w:rPr>
        <w:t>E. Giovi S.r.l., P. Giovi S.r.l., Officine Malagrotta S.r.l., facenti parte dello stesso consorzio, il provvedimento interdittivo antimafia n. 16519, ai sensi dell'articolo 91 del decreto legislativo n. 159 del 2011, a seguito delle richieste da parte di alcune stazioni appaltanti.</w:t>
      </w:r>
    </w:p>
    <w:p>
      <w:pPr>
        <w:pStyle w:val="Normal"/>
        <w:ind w:left="567" w:right="567" w:firstLine="0"/>
        <w:jc w:val="both"/>
        <w:rPr>
          <w:rFonts w:ascii="Book Antiqua" w:cs="Book Antiqua" w:hAnsi="Book Antiqua" w:eastAsia="Book Antiqua"/>
        </w:rPr>
      </w:pPr>
      <w:r>
        <w:rPr>
          <w:rFonts w:ascii="Book Antiqua"/>
          <w:rtl w:val="0"/>
          <w:lang w:val="it-IT"/>
        </w:rPr>
        <w:t>Dalle informazioni acquisite era emerso che, nell'ambito del procedimento penale nr. 7449/2008, in data 2 gennaio 2014, il giudice per le indagini preliminari presso il tribunale di Roma aveva emesso ordinanza applicativa di misure cautelari personali e decreto di sequestro preventivo nei confronti di Manlio Cerroni, presidente del consiglio di amministrazione di Co.La.Ri., proprietario con quote di maggioranza delle societ</w:t>
      </w:r>
      <w:r>
        <w:rPr>
          <w:rFonts w:hAnsi="Book Antiqua" w:hint="default"/>
          <w:rtl w:val="0"/>
          <w:lang w:val="it-IT"/>
        </w:rPr>
        <w:t xml:space="preserve">à </w:t>
      </w:r>
      <w:r>
        <w:rPr>
          <w:rFonts w:ascii="Book Antiqua"/>
          <w:rtl w:val="0"/>
          <w:lang w:val="it-IT"/>
        </w:rPr>
        <w:t>E. Giovi S.r.l. e P. Giovi S.r.l., nonch</w:t>
      </w:r>
      <w:r>
        <w:rPr>
          <w:rFonts w:hAnsi="Book Antiqua" w:hint="default"/>
          <w:rtl w:val="0"/>
          <w:lang w:val="it-IT"/>
        </w:rPr>
        <w:t xml:space="preserve">é </w:t>
      </w:r>
      <w:r>
        <w:rPr>
          <w:rFonts w:ascii="Book Antiqua"/>
          <w:rtl w:val="0"/>
          <w:lang w:val="it-IT"/>
        </w:rPr>
        <w:t>amministratore unico della societ</w:t>
      </w:r>
      <w:r>
        <w:rPr>
          <w:rFonts w:hAnsi="Book Antiqua" w:hint="default"/>
          <w:rtl w:val="0"/>
          <w:lang w:val="it-IT"/>
        </w:rPr>
        <w:t xml:space="preserve">à </w:t>
      </w:r>
      <w:r>
        <w:rPr>
          <w:rFonts w:ascii="Book Antiqua"/>
          <w:rtl w:val="0"/>
          <w:lang w:val="it-IT"/>
        </w:rPr>
        <w:t>Officine Malagrotta S.r.l.; di Piero Giovi, vice presidente del consiglio di amministrazione di Co.La.Ri., detentore di quote, unitamente a Manlio Cerroni, della societ</w:t>
      </w:r>
      <w:r>
        <w:rPr>
          <w:rFonts w:hAnsi="Book Antiqua" w:hint="default"/>
          <w:rtl w:val="0"/>
          <w:lang w:val="it-IT"/>
        </w:rPr>
        <w:t xml:space="preserve">à </w:t>
      </w:r>
      <w:r>
        <w:rPr>
          <w:rFonts w:ascii="Book Antiqua"/>
          <w:rtl w:val="0"/>
          <w:lang w:val="it-IT"/>
        </w:rPr>
        <w:t>E. Giovi S.r.l., nonch</w:t>
      </w:r>
      <w:r>
        <w:rPr>
          <w:rFonts w:hAnsi="Book Antiqua" w:hint="default"/>
          <w:rtl w:val="0"/>
          <w:lang w:val="it-IT"/>
        </w:rPr>
        <w:t xml:space="preserve">é </w:t>
      </w:r>
      <w:r>
        <w:rPr>
          <w:rFonts w:ascii="Book Antiqua"/>
          <w:rtl w:val="0"/>
          <w:lang w:val="it-IT"/>
        </w:rPr>
        <w:t>amministratore unico e detentore di quote della Societ</w:t>
      </w:r>
      <w:r>
        <w:rPr>
          <w:rFonts w:hAnsi="Book Antiqua" w:hint="default"/>
          <w:rtl w:val="0"/>
          <w:lang w:val="it-IT"/>
        </w:rPr>
        <w:t xml:space="preserve">à </w:t>
      </w:r>
      <w:r>
        <w:rPr>
          <w:rFonts w:ascii="Book Antiqua"/>
          <w:rtl w:val="0"/>
          <w:lang w:val="it-IT"/>
        </w:rPr>
        <w:t>P. Giovi S.r.l.; Francesco Rando, amministratore unico della societ</w:t>
      </w:r>
      <w:r>
        <w:rPr>
          <w:rFonts w:hAnsi="Book Antiqua" w:hint="default"/>
          <w:rtl w:val="0"/>
          <w:lang w:val="it-IT"/>
        </w:rPr>
        <w:t xml:space="preserve">à </w:t>
      </w:r>
      <w:r>
        <w:rPr>
          <w:rFonts w:ascii="Book Antiqua"/>
          <w:rtl w:val="0"/>
          <w:lang w:val="it-IT"/>
        </w:rPr>
        <w:t>E. Giovi S.r.l., nonch</w:t>
      </w:r>
      <w:r>
        <w:rPr>
          <w:rFonts w:hAnsi="Book Antiqua" w:hint="default"/>
          <w:rtl w:val="0"/>
          <w:lang w:val="it-IT"/>
        </w:rPr>
        <w:t xml:space="preserve">é </w:t>
      </w:r>
      <w:r>
        <w:rPr>
          <w:rFonts w:ascii="Book Antiqua"/>
          <w:rtl w:val="0"/>
          <w:lang w:val="it-IT"/>
        </w:rPr>
        <w:t>amministratore in molte imprese riconducibili al Cerroni.</w:t>
      </w:r>
    </w:p>
    <w:p>
      <w:pPr>
        <w:pStyle w:val="Normal"/>
        <w:ind w:left="567" w:right="567" w:firstLine="0"/>
        <w:jc w:val="both"/>
        <w:rPr>
          <w:rFonts w:ascii="Book Antiqua" w:cs="Book Antiqua" w:hAnsi="Book Antiqua" w:eastAsia="Book Antiqua"/>
        </w:rPr>
      </w:pPr>
      <w:r>
        <w:rPr>
          <w:rFonts w:ascii="Book Antiqua"/>
          <w:rtl w:val="0"/>
          <w:lang w:val="it-IT"/>
        </w:rPr>
        <w:t xml:space="preserve">Il giudice per le indagini preliminari aveva applicato la misura cautelare degli arresti domiciliari in ordine al delitto di cui all'articolo 416 del codice penale sulla base del seguente addebito provvisorio: </w:t>
      </w:r>
      <w:r>
        <w:rPr>
          <w:rFonts w:hAnsi="Book Antiqua" w:hint="default"/>
          <w:rtl w:val="0"/>
          <w:lang w:val="it-IT"/>
        </w:rPr>
        <w:t>“</w:t>
      </w:r>
      <w:r>
        <w:rPr>
          <w:rFonts w:ascii="Book Antiqua"/>
          <w:rtl w:val="0"/>
          <w:lang w:val="it-IT"/>
        </w:rPr>
        <w:t>per essersi tra di loro associati, il Cerroni in qualit</w:t>
      </w:r>
      <w:r>
        <w:rPr>
          <w:rFonts w:hAnsi="Book Antiqua" w:hint="default"/>
          <w:rtl w:val="0"/>
          <w:lang w:val="it-IT"/>
        </w:rPr>
        <w:t xml:space="preserve">à </w:t>
      </w:r>
      <w:r>
        <w:rPr>
          <w:rFonts w:ascii="Book Antiqua"/>
          <w:rtl w:val="0"/>
          <w:lang w:val="it-IT"/>
        </w:rPr>
        <w:t>di promotore, gli altri in qualit</w:t>
      </w:r>
      <w:r>
        <w:rPr>
          <w:rFonts w:hAnsi="Book Antiqua" w:hint="default"/>
          <w:rtl w:val="0"/>
          <w:lang w:val="it-IT"/>
        </w:rPr>
        <w:t xml:space="preserve">à </w:t>
      </w:r>
      <w:r>
        <w:rPr>
          <w:rFonts w:ascii="Book Antiqua"/>
          <w:rtl w:val="0"/>
          <w:lang w:val="it-IT"/>
        </w:rPr>
        <w:t>di compartecipi, al fine di commettere una serie indeterminata di reati di abuso d'ufficio, falso in atto pubblico, traffico di rifiuti, truffa aggravata, frode nelle pubbliche forniture, gestione illecita di rifiuti e comunque atti o attivit</w:t>
      </w:r>
      <w:r>
        <w:rPr>
          <w:rFonts w:hAnsi="Book Antiqua" w:hint="default"/>
          <w:rtl w:val="0"/>
          <w:lang w:val="it-IT"/>
        </w:rPr>
        <w:t xml:space="preserve">à </w:t>
      </w:r>
      <w:r>
        <w:rPr>
          <w:rFonts w:ascii="Book Antiqua"/>
          <w:rtl w:val="0"/>
          <w:lang w:val="it-IT"/>
        </w:rPr>
        <w:t>illeciti necessari a consentire il mantenimento o l'ampliamento della posizione di sostanziale monopolio del Cerroni Manlio e delle sue aziende nel settore della gestione dei rifiuti solidi urbani prodotti dai comuni insistenti all'interno della regione Lazio"; e in ordine al delitto di cui agli articoli 110 del codice penale, 81 capoverso del codice penale, 260 decreto legislativo n. 152 del 2006 perch</w:t>
      </w:r>
      <w:r>
        <w:rPr>
          <w:rFonts w:hAnsi="Book Antiqua" w:hint="default"/>
          <w:rtl w:val="0"/>
          <w:lang w:val="it-IT"/>
        </w:rPr>
        <w:t xml:space="preserve">é </w:t>
      </w:r>
      <w:r>
        <w:rPr>
          <w:rFonts w:ascii="Book Antiqua"/>
          <w:rtl w:val="0"/>
          <w:lang w:val="it-IT"/>
        </w:rPr>
        <w:t xml:space="preserve">in tempi diversi nelle qualifiche sopra indicate </w:t>
      </w:r>
      <w:r>
        <w:rPr>
          <w:rFonts w:hAnsi="Book Antiqua" w:hint="default"/>
          <w:rtl w:val="0"/>
          <w:lang w:val="it-IT"/>
        </w:rPr>
        <w:t>“</w:t>
      </w:r>
      <w:r>
        <w:rPr>
          <w:rFonts w:ascii="Book Antiqua"/>
          <w:rtl w:val="0"/>
          <w:lang w:val="it-IT"/>
        </w:rPr>
        <w:t>al fine di conseguire un ingiusto profitto, con pi</w:t>
      </w:r>
      <w:r>
        <w:rPr>
          <w:rFonts w:hAnsi="Book Antiqua" w:hint="default"/>
          <w:rtl w:val="0"/>
          <w:lang w:val="it-IT"/>
        </w:rPr>
        <w:t xml:space="preserve">ù </w:t>
      </w:r>
      <w:r>
        <w:rPr>
          <w:rFonts w:ascii="Book Antiqua"/>
          <w:rtl w:val="0"/>
          <w:lang w:val="it-IT"/>
        </w:rPr>
        <w:t>operazioni e attraverso l'allestimento di mezzi e attivit</w:t>
      </w:r>
      <w:r>
        <w:rPr>
          <w:rFonts w:hAnsi="Book Antiqua" w:hint="default"/>
          <w:rtl w:val="0"/>
          <w:lang w:val="it-IT"/>
        </w:rPr>
        <w:t xml:space="preserve">à </w:t>
      </w:r>
      <w:r>
        <w:rPr>
          <w:rFonts w:ascii="Book Antiqua"/>
          <w:rtl w:val="0"/>
          <w:lang w:val="it-IT"/>
        </w:rPr>
        <w:t>continuative organizzate, gestivano abusivamente ingenti quantitativi di rifiuti</w:t>
      </w:r>
      <w:r>
        <w:rPr>
          <w:rFonts w:hAnsi="Book Antiqua" w:hint="default"/>
          <w:rtl w:val="0"/>
          <w:lang w:val="it-IT"/>
        </w:rPr>
        <w:t>”</w:t>
      </w:r>
      <w:r>
        <w:rPr>
          <w:rFonts w:ascii="Book Antiqua"/>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Era stato altres</w:t>
      </w:r>
      <w:r>
        <w:rPr>
          <w:rFonts w:hAnsi="Book Antiqua" w:hint="default"/>
          <w:rtl w:val="0"/>
          <w:lang w:val="it-IT"/>
        </w:rPr>
        <w:t xml:space="preserve">ì </w:t>
      </w:r>
      <w:r>
        <w:rPr>
          <w:rFonts w:ascii="Book Antiqua"/>
          <w:rtl w:val="0"/>
          <w:lang w:val="it-IT"/>
        </w:rPr>
        <w:t>disposto il sequestro della somma di euro 7.990.013,33 nei confronti della E. Giovi S.r.l. e della somma di euro 10.900.910 nei confronti della Pontina Ambiente S.r.l., societ</w:t>
      </w:r>
      <w:r>
        <w:rPr>
          <w:rFonts w:hAnsi="Book Antiqua" w:hint="default"/>
          <w:rtl w:val="0"/>
          <w:lang w:val="it-IT"/>
        </w:rPr>
        <w:t xml:space="preserve">à </w:t>
      </w:r>
      <w:r>
        <w:rPr>
          <w:rFonts w:ascii="Book Antiqua"/>
          <w:rtl w:val="0"/>
          <w:lang w:val="it-IT"/>
        </w:rPr>
        <w:t xml:space="preserve">nell'interesse e a vantaggio delle quali era rivolta la commissione dei predetti reati, da persona che rivestiva al momento del fatto funzioni di rappresentanza, essendo Francesco Rando amministratore unico della E. Giovi S.r.l. e della Pontina Ambiente S.r.l., nei cui confronti, peraltro, in data 13 marzo 2014 </w:t>
      </w:r>
      <w:r>
        <w:rPr>
          <w:rFonts w:hAnsi="Book Antiqua" w:hint="default"/>
          <w:rtl w:val="0"/>
          <w:lang w:val="it-IT"/>
        </w:rPr>
        <w:t xml:space="preserve">è </w:t>
      </w:r>
      <w:r>
        <w:rPr>
          <w:rFonts w:ascii="Book Antiqua"/>
          <w:rtl w:val="0"/>
          <w:lang w:val="it-IT"/>
        </w:rPr>
        <w:t>stato adottato un provvedimento interdittivo antimafia ai sensi dell'articolo 91 del decreto legislativo n. 159 del 2011.</w:t>
      </w:r>
    </w:p>
    <w:p>
      <w:pPr>
        <w:pStyle w:val="Normal"/>
        <w:ind w:left="567" w:right="567" w:firstLine="0"/>
        <w:jc w:val="both"/>
        <w:rPr>
          <w:rFonts w:ascii="Book Antiqua" w:cs="Book Antiqua" w:hAnsi="Book Antiqua" w:eastAsia="Book Antiqua"/>
        </w:rPr>
      </w:pPr>
      <w:r>
        <w:rPr>
          <w:rFonts w:ascii="Book Antiqua"/>
          <w:rtl w:val="0"/>
          <w:lang w:val="it-IT"/>
        </w:rPr>
        <w:t>Con sentenza n. 7571, depositata il 15 luglio 2014, il TAR Lazio, sez. I-ter, accoglieva il ricorso proposto da Co.La.Ri. ed annullava l'informazione interdittiva emessa dalla prefettura il 27 gennaio 2014, sull'assunto che l'informativa fosse fondata sul semplice riferimento al reato di attivit</w:t>
      </w:r>
      <w:r>
        <w:rPr>
          <w:rFonts w:hAnsi="Book Antiqua" w:hint="default"/>
          <w:rtl w:val="0"/>
          <w:lang w:val="it-IT"/>
        </w:rPr>
        <w:t xml:space="preserve">à </w:t>
      </w:r>
      <w:r>
        <w:rPr>
          <w:rFonts w:ascii="Book Antiqua"/>
          <w:rtl w:val="0"/>
          <w:lang w:val="it-IT"/>
        </w:rPr>
        <w:t xml:space="preserve">organizzata per il traffico illecito di rifiuti di cui all'articolo 260 del </w:t>
      </w:r>
      <w:r>
        <w:rPr>
          <w:rFonts w:ascii="Book Antiqua"/>
          <w:sz w:val="22"/>
          <w:szCs w:val="22"/>
          <w:rtl w:val="0"/>
          <w:lang w:val="it-IT"/>
        </w:rPr>
        <w:t>decreto legislativo n.</w:t>
      </w:r>
      <w:r>
        <w:rPr>
          <w:rFonts w:ascii="Book Antiqua"/>
          <w:rtl w:val="0"/>
          <w:lang w:val="it-IT"/>
        </w:rPr>
        <w:t xml:space="preserve"> 152 del 2006, reato tipico ai fini ostativi, "senza verificare se la fattispecie di reato costituisse o meno indice di rischio di infiltrazione da parte della criminalit</w:t>
      </w:r>
      <w:r>
        <w:rPr>
          <w:rFonts w:hAnsi="Book Antiqua" w:hint="default"/>
          <w:rtl w:val="0"/>
          <w:lang w:val="it-IT"/>
        </w:rPr>
        <w:t xml:space="preserve">à </w:t>
      </w:r>
      <w:r>
        <w:rPr>
          <w:rFonts w:ascii="Book Antiqua"/>
          <w:rtl w:val="0"/>
          <w:lang w:val="it-IT"/>
        </w:rPr>
        <w:t>di stampo mafioso".</w:t>
      </w:r>
    </w:p>
    <w:p>
      <w:pPr>
        <w:pStyle w:val="Normal"/>
        <w:ind w:left="567" w:right="567" w:firstLine="0"/>
        <w:jc w:val="both"/>
        <w:rPr>
          <w:rFonts w:ascii="Book Antiqua" w:cs="Book Antiqua" w:hAnsi="Book Antiqua" w:eastAsia="Book Antiqua"/>
        </w:rPr>
      </w:pPr>
      <w:r>
        <w:rPr>
          <w:rFonts w:ascii="Book Antiqua"/>
          <w:rtl w:val="0"/>
          <w:lang w:val="it-IT"/>
        </w:rPr>
        <w:t>Sullo stesso assunto, il TAR Lazio, sez. I-ter, con sentenza n. 8069/2014, depositata il 23 luglio 2014, accoglieva il ricorso proposto dalle societ</w:t>
      </w:r>
      <w:r>
        <w:rPr>
          <w:rFonts w:hAnsi="Book Antiqua" w:hint="default"/>
          <w:rtl w:val="0"/>
          <w:lang w:val="it-IT"/>
        </w:rPr>
        <w:t xml:space="preserve">à </w:t>
      </w:r>
      <w:r>
        <w:rPr>
          <w:rFonts w:ascii="Book Antiqua"/>
          <w:rtl w:val="0"/>
          <w:lang w:val="it-IT"/>
        </w:rPr>
        <w:t>E. Giovi S.r.l., P. Giovi S.r.l. e Officine Malagrotta S.r.l.. In seguito, tuttavia, il Consiglio di Stato, Sez. III, con sentenza n. 1315 del 22 marzo 2017, ha accolto l'appello proposto dal Ministero dell'interno e dalla prefettura di Roma per la riforma della sentenza del TAR Lazio relativa al Co.La.Ri.; e con sentenza n. 982 del 2 marzo 2017, ha accolto l'appello relativo alle societ</w:t>
      </w:r>
      <w:r>
        <w:rPr>
          <w:rFonts w:hAnsi="Book Antiqua" w:hint="default"/>
          <w:rtl w:val="0"/>
          <w:lang w:val="it-IT"/>
        </w:rPr>
        <w:t xml:space="preserve">à </w:t>
      </w:r>
      <w:r>
        <w:rPr>
          <w:rFonts w:ascii="Book Antiqua"/>
          <w:rtl w:val="0"/>
          <w:lang w:val="it-IT"/>
        </w:rPr>
        <w:t>E. Giovi S.r.l., P. Giovi S.r.l. e Officine Malagrotta S.r.l., ritenendo, tra l'altro, il reato di attivit</w:t>
      </w:r>
      <w:r>
        <w:rPr>
          <w:rFonts w:hAnsi="Book Antiqua" w:hint="default"/>
          <w:rtl w:val="0"/>
          <w:lang w:val="it-IT"/>
        </w:rPr>
        <w:t xml:space="preserve">à </w:t>
      </w:r>
      <w:r>
        <w:rPr>
          <w:rFonts w:ascii="Book Antiqua"/>
          <w:rtl w:val="0"/>
          <w:lang w:val="it-IT"/>
        </w:rPr>
        <w:t>organizzata per il traffico illecito di rifiuti elemento in s</w:t>
      </w:r>
      <w:r>
        <w:rPr>
          <w:rFonts w:hAnsi="Book Antiqua" w:hint="default"/>
          <w:rtl w:val="0"/>
          <w:lang w:val="it-IT"/>
        </w:rPr>
        <w:t xml:space="preserve">é </w:t>
      </w:r>
      <w:r>
        <w:rPr>
          <w:rFonts w:ascii="Book Antiqua"/>
          <w:rtl w:val="0"/>
          <w:lang w:val="it-IT"/>
        </w:rPr>
        <w:t>sufficiente a giustificare l'emissione dell'informativa antimafia". Sono stati pertanto ripristinati senza soluzione di continuit</w:t>
      </w:r>
      <w:r>
        <w:rPr>
          <w:rFonts w:hAnsi="Book Antiqua" w:hint="default"/>
          <w:rtl w:val="0"/>
          <w:lang w:val="it-IT"/>
        </w:rPr>
        <w:t xml:space="preserve">à </w:t>
      </w:r>
      <w:r>
        <w:rPr>
          <w:rFonts w:ascii="Book Antiqua"/>
          <w:rtl w:val="0"/>
          <w:lang w:val="it-IT"/>
        </w:rPr>
        <w:t>gli effetti dell</w:t>
      </w:r>
      <w:r>
        <w:rPr>
          <w:rFonts w:hAnsi="Book Antiqua" w:hint="default"/>
          <w:rtl w:val="0"/>
          <w:lang w:val="it-IT"/>
        </w:rPr>
        <w:t>’</w:t>
      </w:r>
      <w:r>
        <w:rPr>
          <w:rFonts w:ascii="Book Antiqua"/>
          <w:rtl w:val="0"/>
          <w:lang w:val="it-IT"/>
        </w:rPr>
        <w:t>interdittiva antimafia del 24 gennaio 2014.</w:t>
      </w:r>
    </w:p>
    <w:p>
      <w:pPr>
        <w:pStyle w:val="Normal"/>
        <w:ind w:left="567" w:right="567" w:firstLine="0"/>
        <w:jc w:val="both"/>
        <w:rPr>
          <w:rFonts w:ascii="Book Antiqua" w:cs="Book Antiqua" w:hAnsi="Book Antiqua" w:eastAsia="Book Antiqua"/>
        </w:rPr>
      </w:pPr>
      <w:r>
        <w:rPr>
          <w:rFonts w:ascii="Book Antiqua"/>
          <w:rtl w:val="0"/>
          <w:lang w:val="it-IT"/>
        </w:rPr>
        <w:t>In data 6 aprile 2017 il sindaco di Roma, con ordinanza n. 53, ha adottato provvedimenti contingibili ed urgenti per un periodo non superiore a 180 giorni, al fine di ovviare alla situazione di particolare criticit</w:t>
      </w:r>
      <w:r>
        <w:rPr>
          <w:rFonts w:hAnsi="Book Antiqua" w:hint="default"/>
          <w:rtl w:val="0"/>
          <w:lang w:val="it-IT"/>
        </w:rPr>
        <w:t xml:space="preserve">à </w:t>
      </w:r>
      <w:r>
        <w:rPr>
          <w:rFonts w:ascii="Book Antiqua"/>
          <w:rtl w:val="0"/>
          <w:lang w:val="it-IT"/>
        </w:rPr>
        <w:t>che rischiava di produrre effetti tali da determinare immediate situazioni di pregiudizio ambientale e alla salute pubblica ed il prefetto di Roma, l</w:t>
      </w:r>
      <w:r>
        <w:rPr>
          <w:rFonts w:hAnsi="Book Antiqua" w:hint="default"/>
          <w:rtl w:val="0"/>
          <w:lang w:val="it-IT"/>
        </w:rPr>
        <w:t>’</w:t>
      </w:r>
      <w:r>
        <w:rPr>
          <w:rFonts w:ascii="Book Antiqua"/>
          <w:rtl w:val="0"/>
          <w:lang w:val="it-IT"/>
        </w:rPr>
        <w:t>8 aprile 2017 ha disposto la misura della straordinaria e temporanea gestione ai sensi dell'articolo 32 della legge n. 114/2014, di Co.La.Ri. e della societ</w:t>
      </w:r>
      <w:r>
        <w:rPr>
          <w:rFonts w:hAnsi="Book Antiqua" w:hint="default"/>
          <w:rtl w:val="0"/>
          <w:lang w:val="it-IT"/>
        </w:rPr>
        <w:t xml:space="preserve">à </w:t>
      </w:r>
      <w:r>
        <w:rPr>
          <w:rFonts w:ascii="Book Antiqua"/>
          <w:rtl w:val="0"/>
          <w:lang w:val="it-IT"/>
        </w:rPr>
        <w:t>E. Giovi S.r.l., limitatamente ai servizi che attengono al conferimento dei rifiuti raccolti nella citt</w:t>
      </w:r>
      <w:r>
        <w:rPr>
          <w:rFonts w:hAnsi="Book Antiqua" w:hint="default"/>
          <w:rtl w:val="0"/>
          <w:lang w:val="it-IT"/>
        </w:rPr>
        <w:t xml:space="preserve">à </w:t>
      </w:r>
      <w:r>
        <w:rPr>
          <w:rFonts w:ascii="Book Antiqua"/>
          <w:rtl w:val="0"/>
          <w:lang w:val="it-IT"/>
        </w:rPr>
        <w:t>di Roma, al fine di garantire la continuit</w:t>
      </w:r>
      <w:r>
        <w:rPr>
          <w:rFonts w:hAnsi="Book Antiqua" w:hint="default"/>
          <w:rtl w:val="0"/>
          <w:lang w:val="it-IT"/>
        </w:rPr>
        <w:t xml:space="preserve">à </w:t>
      </w:r>
      <w:r>
        <w:rPr>
          <w:rFonts w:ascii="Book Antiqua"/>
          <w:rtl w:val="0"/>
          <w:lang w:val="it-IT"/>
        </w:rPr>
        <w:t>di un servizio pubblico essenziale ed indifferibile. Cos</w:t>
      </w:r>
      <w:r>
        <w:rPr>
          <w:rFonts w:hAnsi="Book Antiqua" w:hint="default"/>
          <w:rtl w:val="0"/>
          <w:lang w:val="it-IT"/>
        </w:rPr>
        <w:t xml:space="preserve">ì </w:t>
      </w:r>
      <w:r>
        <w:rPr>
          <w:rFonts w:ascii="Book Antiqua"/>
          <w:rtl w:val="0"/>
          <w:lang w:val="it-IT"/>
        </w:rPr>
        <w:t>il provvedimento</w:t>
      </w:r>
      <w:r>
        <w:rPr>
          <w:rFonts w:ascii="Book Antiqua" w:cs="Book Antiqua" w:hAnsi="Book Antiqua" w:eastAsia="Book Antiqua"/>
          <w:vertAlign w:val="superscript"/>
          <w:rtl w:val="0"/>
        </w:rPr>
        <w:footnoteReference w:id="196"/>
      </w:r>
      <w:r>
        <w:rPr>
          <w:rFonts w:ascii="Book Antiqua"/>
          <w:rtl w:val="0"/>
          <w:lang w:val="it-IT"/>
        </w:rPr>
        <w:t xml:space="preserve"> motiva: </w:t>
      </w:r>
      <w:r>
        <w:rPr>
          <w:rFonts w:hAnsi="Book Antiqua" w:hint="default"/>
          <w:rtl w:val="0"/>
          <w:lang w:val="it-IT"/>
        </w:rPr>
        <w:t>“</w:t>
      </w:r>
      <w:r>
        <w:rPr>
          <w:rFonts w:ascii="Book Antiqua"/>
          <w:rtl w:val="0"/>
          <w:lang w:val="it-IT"/>
        </w:rPr>
        <w:t>precisato che la misura della straordinaria e temporanea gestione ex articolo 32, comma 1, lettera b), del decreto legge 24 giugno 2014, n. 90, convertito con modificazioni dalla legge 11 agosto 2014, pu</w:t>
      </w:r>
      <w:r>
        <w:rPr>
          <w:rFonts w:hAnsi="Book Antiqua" w:hint="default"/>
          <w:rtl w:val="0"/>
          <w:lang w:val="it-IT"/>
        </w:rPr>
        <w:t xml:space="preserve">ò </w:t>
      </w:r>
      <w:r>
        <w:rPr>
          <w:rFonts w:ascii="Book Antiqua"/>
          <w:rtl w:val="0"/>
          <w:lang w:val="it-IT"/>
        </w:rPr>
        <w:t>trovare applicazione nei confronti del consorzio Co.La.Ri. e della societ</w:t>
      </w:r>
      <w:r>
        <w:rPr>
          <w:rFonts w:hAnsi="Book Antiqua" w:hint="default"/>
          <w:rtl w:val="0"/>
          <w:lang w:val="it-IT"/>
        </w:rPr>
        <w:t xml:space="preserve">à </w:t>
      </w:r>
      <w:r>
        <w:rPr>
          <w:rFonts w:ascii="Book Antiqua"/>
          <w:rtl w:val="0"/>
          <w:lang w:val="it-IT"/>
        </w:rPr>
        <w:t>E. Giovi S.r.l., limitatamente ai servizi che attengono al conferimento dei rifiuti [raccolti nella citt</w:t>
      </w:r>
      <w:r>
        <w:rPr>
          <w:rFonts w:hAnsi="Book Antiqua" w:hint="default"/>
          <w:rtl w:val="0"/>
          <w:lang w:val="it-IT"/>
        </w:rPr>
        <w:t xml:space="preserve">à </w:t>
      </w:r>
      <w:r>
        <w:rPr>
          <w:rFonts w:ascii="Book Antiqua"/>
          <w:rtl w:val="0"/>
          <w:lang w:val="it-IT"/>
        </w:rPr>
        <w:t>di Roma in applicazione del contratto di servizio in essere con Roma Capitale] da parte di AMA S.p.A. presso i due impianti di TMB denominati Malagrotta 1 e Malagrotta 2; ravvisata, quindi, la necessit</w:t>
      </w:r>
      <w:r>
        <w:rPr>
          <w:rFonts w:hAnsi="Book Antiqua" w:hint="default"/>
          <w:rtl w:val="0"/>
          <w:lang w:val="it-IT"/>
        </w:rPr>
        <w:t xml:space="preserve">à </w:t>
      </w:r>
      <w:r>
        <w:rPr>
          <w:rFonts w:ascii="Book Antiqua"/>
          <w:rtl w:val="0"/>
          <w:lang w:val="it-IT"/>
        </w:rPr>
        <w:t>di dover provvedere alla straordinaria e temporanea gestione, ai sensi dell'articolo 32, comma 1, lettera b), del decreto legge 24 giugno 2014, n. 90, convertito con modificazioni dalla legge 11 agosto 2014, n. 114, del consorzio Co.La.Ri., con sede in Roma, viale</w:t>
      </w:r>
      <w:r>
        <w:rPr>
          <w:rFonts w:ascii="Book Antiqua"/>
          <w:i w:val="1"/>
          <w:iCs w:val="1"/>
          <w:rtl w:val="0"/>
          <w:lang w:val="it-IT"/>
        </w:rPr>
        <w:t xml:space="preserve"> </w:t>
      </w:r>
      <w:r>
        <w:rPr>
          <w:rFonts w:ascii="Book Antiqua"/>
          <w:rtl w:val="0"/>
          <w:lang w:val="it-IT"/>
        </w:rPr>
        <w:t>del Poggio Fiorito, n. 63, e della societ</w:t>
      </w:r>
      <w:r>
        <w:rPr>
          <w:rFonts w:hAnsi="Book Antiqua" w:hint="default"/>
          <w:rtl w:val="0"/>
          <w:lang w:val="it-IT"/>
        </w:rPr>
        <w:t xml:space="preserve">à </w:t>
      </w:r>
      <w:r>
        <w:rPr>
          <w:rFonts w:ascii="Book Antiqua"/>
          <w:rtl w:val="0"/>
          <w:lang w:val="it-IT"/>
        </w:rPr>
        <w:t>E. Giovi S.r.l., con sede in Roma, Via Portuense, n. 881,</w:t>
      </w:r>
      <w:r>
        <w:rPr>
          <w:rFonts w:ascii="Book Antiqua"/>
          <w:i w:val="1"/>
          <w:iCs w:val="1"/>
          <w:rtl w:val="0"/>
          <w:lang w:val="it-IT"/>
        </w:rPr>
        <w:t xml:space="preserve"> </w:t>
      </w:r>
      <w:r>
        <w:rPr>
          <w:rFonts w:ascii="Book Antiqua"/>
          <w:rtl w:val="0"/>
          <w:lang w:val="it-IT"/>
        </w:rPr>
        <w:t>limitatamente al conferimento dei rifiuti - raccolti nella citt</w:t>
      </w:r>
      <w:r>
        <w:rPr>
          <w:rFonts w:hAnsi="Book Antiqua" w:hint="default"/>
          <w:rtl w:val="0"/>
          <w:lang w:val="it-IT"/>
        </w:rPr>
        <w:t xml:space="preserve">à </w:t>
      </w:r>
      <w:r>
        <w:rPr>
          <w:rFonts w:ascii="Book Antiqua"/>
          <w:rtl w:val="0"/>
          <w:lang w:val="it-IT"/>
        </w:rPr>
        <w:t>di Roma in applicazione del contratto</w:t>
      </w:r>
      <w:r>
        <w:rPr>
          <w:rFonts w:ascii="Book Antiqua"/>
          <w:i w:val="1"/>
          <w:iCs w:val="1"/>
          <w:rtl w:val="0"/>
          <w:lang w:val="it-IT"/>
        </w:rPr>
        <w:t xml:space="preserve"> </w:t>
      </w:r>
      <w:r>
        <w:rPr>
          <w:rFonts w:ascii="Book Antiqua"/>
          <w:rtl w:val="0"/>
          <w:lang w:val="it-IT"/>
        </w:rPr>
        <w:t>di servizio in essere con Roma Capitale - da parte di AMA S.p.A. presso i due impianti di TMB</w:t>
      </w:r>
      <w:r>
        <w:rPr>
          <w:rFonts w:ascii="Book Antiqua"/>
          <w:i w:val="1"/>
          <w:iCs w:val="1"/>
          <w:rtl w:val="0"/>
          <w:lang w:val="it-IT"/>
        </w:rPr>
        <w:t xml:space="preserve"> </w:t>
      </w:r>
      <w:r>
        <w:rPr>
          <w:rFonts w:ascii="Book Antiqua"/>
          <w:rtl w:val="0"/>
          <w:lang w:val="it-IT"/>
        </w:rPr>
        <w:t>denominati Malagrotta 1 e Malagrotta 2, attraverso la nomina di uno o pi</w:t>
      </w:r>
      <w:r>
        <w:rPr>
          <w:rFonts w:hAnsi="Book Antiqua" w:hint="default"/>
          <w:rtl w:val="0"/>
          <w:lang w:val="it-IT"/>
        </w:rPr>
        <w:t xml:space="preserve">ù </w:t>
      </w:r>
      <w:r>
        <w:rPr>
          <w:rFonts w:ascii="Book Antiqua"/>
          <w:rtl w:val="0"/>
          <w:lang w:val="it-IT"/>
        </w:rPr>
        <w:t>amministratori straordinari,</w:t>
      </w:r>
      <w:r>
        <w:rPr>
          <w:rFonts w:ascii="Book Antiqua"/>
          <w:i w:val="1"/>
          <w:iCs w:val="1"/>
          <w:rtl w:val="0"/>
          <w:lang w:val="it-IT"/>
        </w:rPr>
        <w:t xml:space="preserve"> </w:t>
      </w:r>
      <w:r>
        <w:rPr>
          <w:rFonts w:ascii="Book Antiqua"/>
          <w:rtl w:val="0"/>
          <w:lang w:val="it-IT"/>
        </w:rPr>
        <w:t>contestualmente sospendendo tutti i poteri degli altri organi sociali, ai sensi del comma 3, del medesimo articolo 32</w:t>
      </w:r>
      <w:r>
        <w:rPr>
          <w:rFonts w:hAnsi="Book Antiqua" w:hint="default"/>
          <w:rtl w:val="0"/>
          <w:lang w:val="it-IT"/>
        </w:rPr>
        <w:t>”</w:t>
      </w:r>
      <w:r>
        <w:rPr>
          <w:rFonts w:ascii="Book Antiqua"/>
          <w:rtl w:val="0"/>
          <w:lang w:val="it-IT"/>
        </w:rPr>
        <w:t>; se ne rileva il carattere nell</w:t>
      </w:r>
      <w:r>
        <w:rPr>
          <w:rFonts w:hAnsi="Book Antiqua" w:hint="default"/>
          <w:rtl w:val="0"/>
          <w:lang w:val="it-IT"/>
        </w:rPr>
        <w:t>’</w:t>
      </w:r>
      <w:r>
        <w:rPr>
          <w:rFonts w:ascii="Book Antiqua"/>
          <w:rtl w:val="0"/>
          <w:lang w:val="it-IT"/>
        </w:rPr>
        <w:t>oggetto del provvedimento, altres</w:t>
      </w:r>
      <w:r>
        <w:rPr>
          <w:rFonts w:hAnsi="Book Antiqua" w:hint="default"/>
          <w:rtl w:val="0"/>
          <w:lang w:val="it-IT"/>
        </w:rPr>
        <w:t xml:space="preserve">ì </w:t>
      </w:r>
      <w:r>
        <w:rPr>
          <w:rFonts w:ascii="Book Antiqua"/>
          <w:rtl w:val="0"/>
          <w:lang w:val="it-IT"/>
        </w:rPr>
        <w:t xml:space="preserve">limitato nel tempo, posto che, come si legge nel dispositivo, la decisione </w:t>
      </w:r>
      <w:r>
        <w:rPr>
          <w:rFonts w:hAnsi="Book Antiqua" w:hint="default"/>
          <w:rtl w:val="0"/>
          <w:lang w:val="it-IT"/>
        </w:rPr>
        <w:t xml:space="preserve">è </w:t>
      </w:r>
      <w:r>
        <w:rPr>
          <w:rFonts w:ascii="Book Antiqua"/>
          <w:rtl w:val="0"/>
          <w:lang w:val="it-IT"/>
        </w:rPr>
        <w:t>quella di nominare l</w:t>
      </w:r>
      <w:r>
        <w:rPr>
          <w:rFonts w:hAnsi="Book Antiqua" w:hint="default"/>
          <w:rtl w:val="0"/>
          <w:lang w:val="it-IT"/>
        </w:rPr>
        <w:t>’</w:t>
      </w:r>
      <w:r>
        <w:rPr>
          <w:rFonts w:ascii="Book Antiqua"/>
          <w:rtl w:val="0"/>
          <w:lang w:val="it-IT"/>
        </w:rPr>
        <w:t xml:space="preserve">amministratore straordinario </w:t>
      </w:r>
      <w:r>
        <w:rPr>
          <w:rFonts w:hAnsi="Book Antiqua" w:hint="default"/>
          <w:rtl w:val="0"/>
          <w:lang w:val="it-IT"/>
        </w:rPr>
        <w:t>“</w:t>
      </w:r>
      <w:r>
        <w:rPr>
          <w:rFonts w:ascii="Book Antiqua"/>
          <w:rtl w:val="0"/>
          <w:lang w:val="it-IT"/>
        </w:rPr>
        <w:t>per il tempo strettamente necessario all'individuazione delle pi</w:t>
      </w:r>
      <w:r>
        <w:rPr>
          <w:rFonts w:hAnsi="Book Antiqua" w:hint="default"/>
          <w:rtl w:val="0"/>
          <w:lang w:val="it-IT"/>
        </w:rPr>
        <w:t xml:space="preserve">ù </w:t>
      </w:r>
      <w:r>
        <w:rPr>
          <w:rFonts w:ascii="Book Antiqua"/>
          <w:rtl w:val="0"/>
          <w:lang w:val="it-IT"/>
        </w:rPr>
        <w:t>opportune soluzioni da parte degli Enti competenti, idonee al superamento delle criticit</w:t>
      </w:r>
      <w:r>
        <w:rPr>
          <w:rFonts w:hAnsi="Book Antiqua" w:hint="default"/>
          <w:rtl w:val="0"/>
          <w:lang w:val="it-IT"/>
        </w:rPr>
        <w:t xml:space="preserve">à </w:t>
      </w:r>
      <w:r>
        <w:rPr>
          <w:rFonts w:ascii="Book Antiqua"/>
          <w:rtl w:val="0"/>
          <w:lang w:val="it-IT"/>
        </w:rPr>
        <w:t>in essere indicate nella citata ordinanza sindacale n. 53 del 6 aprile 2017, e, comunque, per un periodo non superiore a 180 giorni decorrenti dal 6 aprile 2017</w:t>
      </w:r>
      <w:r>
        <w:rPr>
          <w:rFonts w:hAnsi="Book Antiqua" w:hint="default"/>
          <w:rtl w:val="0"/>
          <w:lang w:val="it-IT"/>
        </w:rPr>
        <w:t>”</w:t>
      </w:r>
      <w:r>
        <w:rPr>
          <w:rFonts w:ascii="Book Antiqua"/>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Il superamento sostanziale delle criticit</w:t>
      </w:r>
      <w:r>
        <w:rPr>
          <w:rFonts w:hAnsi="Book Antiqua" w:hint="default"/>
          <w:rtl w:val="0"/>
          <w:lang w:val="it-IT"/>
        </w:rPr>
        <w:t xml:space="preserve">à è </w:t>
      </w:r>
      <w:r>
        <w:rPr>
          <w:rFonts w:ascii="Book Antiqua"/>
          <w:rtl w:val="0"/>
          <w:lang w:val="it-IT"/>
        </w:rPr>
        <w:t>dunque onere dell</w:t>
      </w:r>
      <w:r>
        <w:rPr>
          <w:rFonts w:hAnsi="Book Antiqua" w:hint="default"/>
          <w:rtl w:val="0"/>
          <w:lang w:val="it-IT"/>
        </w:rPr>
        <w:t>’</w:t>
      </w:r>
      <w:r>
        <w:rPr>
          <w:rFonts w:ascii="Book Antiqua"/>
          <w:rtl w:val="0"/>
          <w:lang w:val="it-IT"/>
        </w:rPr>
        <w:t>amministrazione comunale, nel contesto dell</w:t>
      </w:r>
      <w:r>
        <w:rPr>
          <w:rFonts w:hAnsi="Book Antiqua" w:hint="default"/>
          <w:rtl w:val="0"/>
          <w:lang w:val="it-IT"/>
        </w:rPr>
        <w:t>’</w:t>
      </w:r>
      <w:r>
        <w:rPr>
          <w:rFonts w:ascii="Book Antiqua"/>
          <w:rtl w:val="0"/>
          <w:lang w:val="it-IT"/>
        </w:rPr>
        <w:t>ordinario esercizio delle sue funzioni e nell</w:t>
      </w:r>
      <w:r>
        <w:rPr>
          <w:rFonts w:hAnsi="Book Antiqua" w:hint="default"/>
          <w:rtl w:val="0"/>
          <w:lang w:val="it-IT"/>
        </w:rPr>
        <w:t>’</w:t>
      </w:r>
      <w:r>
        <w:rPr>
          <w:rFonts w:ascii="Book Antiqua"/>
          <w:rtl w:val="0"/>
          <w:lang w:val="it-IT"/>
        </w:rPr>
        <w:t>ambito della sua responsabilit</w:t>
      </w:r>
      <w:r>
        <w:rPr>
          <w:rFonts w:hAnsi="Book Antiqua" w:hint="default"/>
          <w:rtl w:val="0"/>
          <w:lang w:val="it-IT"/>
        </w:rPr>
        <w:t xml:space="preserve">à </w:t>
      </w:r>
      <w:r>
        <w:rPr>
          <w:rFonts w:ascii="Book Antiqua"/>
          <w:rtl w:val="0"/>
          <w:lang w:val="it-IT"/>
        </w:rPr>
        <w:t>politica e gestionale.</w:t>
      </w: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Bold" w:cs="Book Antiqua Bold" w:hAnsi="Book Antiqua Bold" w:eastAsia="Book Antiqua Bold"/>
          <w:b w:val="1"/>
          <w:bCs w:val="1"/>
        </w:rPr>
      </w:pPr>
    </w:p>
    <w:p>
      <w:pPr>
        <w:pStyle w:val="Normal"/>
        <w:keepNext w:val="1"/>
        <w:ind w:left="993" w:right="567" w:hanging="426"/>
        <w:jc w:val="both"/>
        <w:rPr>
          <w:rFonts w:ascii="Book Antiqua" w:cs="Book Antiqua" w:hAnsi="Book Antiqua" w:eastAsia="Book Antiqua"/>
          <w:sz w:val="32"/>
          <w:szCs w:val="32"/>
        </w:rPr>
      </w:pPr>
      <w:r>
        <w:rPr>
          <w:rFonts w:ascii="Book Antiqua"/>
          <w:sz w:val="32"/>
          <w:szCs w:val="32"/>
          <w:rtl w:val="0"/>
          <w:lang w:val="it-IT"/>
        </w:rPr>
        <w:t>4.</w:t>
        <w:tab/>
        <w:t>Societ</w:t>
      </w:r>
      <w:r>
        <w:rPr>
          <w:rFonts w:hAnsi="Book Antiqua" w:hint="default"/>
          <w:sz w:val="32"/>
          <w:szCs w:val="32"/>
          <w:rtl w:val="0"/>
          <w:lang w:val="it-IT"/>
        </w:rPr>
        <w:t xml:space="preserve">à </w:t>
      </w:r>
      <w:r>
        <w:rPr>
          <w:rFonts w:ascii="Book Antiqua"/>
          <w:sz w:val="32"/>
          <w:szCs w:val="32"/>
          <w:rtl w:val="0"/>
          <w:lang w:val="it-IT"/>
        </w:rPr>
        <w:t>e finanza ambientale</w:t>
      </w:r>
    </w:p>
    <w:p>
      <w:pPr>
        <w:pStyle w:val="Normal"/>
        <w:keepNext w:val="1"/>
        <w:ind w:left="993" w:right="567" w:hanging="426"/>
        <w:jc w:val="both"/>
        <w:rPr>
          <w:rFonts w:ascii="Book Antiqua" w:cs="Book Antiqua" w:hAnsi="Book Antiqua" w:eastAsia="Book Antiqua"/>
        </w:rPr>
      </w:pPr>
    </w:p>
    <w:p>
      <w:pPr>
        <w:pStyle w:val="Normal"/>
        <w:keepNext w:val="1"/>
        <w:ind w:left="993" w:right="567" w:hanging="426"/>
        <w:jc w:val="both"/>
        <w:rPr>
          <w:rFonts w:ascii="Book Antiqua" w:cs="Book Antiqua" w:hAnsi="Book Antiqua" w:eastAsia="Book Antiqua"/>
        </w:rPr>
      </w:pPr>
    </w:p>
    <w:p>
      <w:pPr>
        <w:pStyle w:val="Normal"/>
        <w:keepNext w:val="1"/>
        <w:ind w:left="993" w:right="567" w:hanging="426"/>
        <w:jc w:val="both"/>
        <w:rPr>
          <w:rFonts w:ascii="Book Antiqua" w:cs="Book Antiqua" w:hAnsi="Book Antiqua" w:eastAsia="Book Antiqua"/>
        </w:rPr>
      </w:pPr>
    </w:p>
    <w:p>
      <w:pPr>
        <w:pStyle w:val="Normal"/>
        <w:keepNext w:val="1"/>
        <w:ind w:left="1276" w:right="567" w:hanging="708"/>
        <w:jc w:val="both"/>
        <w:rPr>
          <w:rFonts w:ascii="Book Antiqua" w:cs="Book Antiqua" w:hAnsi="Book Antiqua" w:eastAsia="Book Antiqua"/>
          <w:sz w:val="28"/>
          <w:szCs w:val="28"/>
        </w:rPr>
      </w:pPr>
      <w:r>
        <w:rPr>
          <w:rFonts w:ascii="Book Antiqua"/>
          <w:sz w:val="28"/>
          <w:szCs w:val="28"/>
          <w:rtl w:val="0"/>
          <w:lang w:val="it-IT"/>
        </w:rPr>
        <w:t xml:space="preserve">4.1 </w:t>
        <w:tab/>
        <w:t>Note metodologiche</w:t>
      </w:r>
    </w:p>
    <w:p>
      <w:pPr>
        <w:pStyle w:val="Normal"/>
        <w:keepNext w:val="1"/>
        <w:ind w:left="567" w:right="567" w:firstLine="709"/>
        <w:jc w:val="both"/>
        <w:rPr>
          <w:rFonts w:ascii="Book Antiqua" w:cs="Book Antiqua" w:hAnsi="Book Antiqua" w:eastAsia="Book Antiqua"/>
          <w:sz w:val="28"/>
          <w:szCs w:val="28"/>
        </w:rPr>
      </w:pPr>
    </w:p>
    <w:p>
      <w:pPr>
        <w:pStyle w:val="Normal"/>
        <w:keepNext w:val="1"/>
        <w:ind w:left="567" w:right="567" w:firstLine="0"/>
        <w:jc w:val="both"/>
        <w:rPr>
          <w:rFonts w:ascii="Book Antiqua" w:cs="Book Antiqua" w:hAnsi="Book Antiqua" w:eastAsia="Book Antiqua"/>
        </w:rPr>
      </w:pPr>
      <w:r>
        <w:rPr>
          <w:rFonts w:ascii="Book Antiqua"/>
          <w:rtl w:val="0"/>
          <w:lang w:val="it-IT"/>
        </w:rPr>
        <w:t xml:space="preserve">Prendendo le mosse dalle vicende giudiziarie di cui si </w:t>
      </w:r>
      <w:r>
        <w:rPr>
          <w:rFonts w:hAnsi="Book Antiqua" w:hint="default"/>
          <w:rtl w:val="0"/>
          <w:lang w:val="it-IT"/>
        </w:rPr>
        <w:t xml:space="preserve">è </w:t>
      </w:r>
      <w:r>
        <w:rPr>
          <w:rFonts w:ascii="Book Antiqua"/>
          <w:rtl w:val="0"/>
          <w:lang w:val="it-IT"/>
        </w:rPr>
        <w:t xml:space="preserve">dato conto in precedenza, la Commissione ha ritenuto significativo realizzare un </w:t>
      </w:r>
      <w:r>
        <w:rPr>
          <w:rFonts w:ascii="Book Antiqua"/>
          <w:i w:val="1"/>
          <w:iCs w:val="1"/>
          <w:rtl w:val="0"/>
          <w:lang w:val="it-IT"/>
        </w:rPr>
        <w:t xml:space="preserve">focus </w:t>
      </w:r>
      <w:r>
        <w:rPr>
          <w:rFonts w:ascii="Book Antiqua"/>
          <w:rtl w:val="0"/>
          <w:lang w:val="it-IT"/>
        </w:rPr>
        <w:t>sulla figura</w:t>
      </w:r>
      <w:r>
        <w:rPr>
          <w:rFonts w:ascii="Book Antiqua"/>
          <w:i w:val="1"/>
          <w:iCs w:val="1"/>
          <w:rtl w:val="0"/>
          <w:lang w:val="it-IT"/>
        </w:rPr>
        <w:t xml:space="preserve"> </w:t>
      </w:r>
      <w:r>
        <w:rPr>
          <w:rFonts w:ascii="Book Antiqua"/>
          <w:rtl w:val="0"/>
          <w:lang w:val="it-IT"/>
        </w:rPr>
        <w:t>imprenditoriale del noto Manlio Cerroni</w:t>
      </w:r>
      <w:r>
        <w:rPr>
          <w:rFonts w:ascii="Book Antiqua" w:cs="Book Antiqua" w:hAnsi="Book Antiqua" w:eastAsia="Book Antiqua"/>
          <w:vertAlign w:val="superscript"/>
          <w:rtl w:val="0"/>
        </w:rPr>
        <w:footnoteReference w:id="197"/>
      </w:r>
      <w:r>
        <w:rPr>
          <w:rFonts w:ascii="Book Antiqua"/>
          <w:rtl w:val="0"/>
          <w:lang w:val="it-IT"/>
        </w:rPr>
        <w:t>, in ragione, anche, del suo quarantennale ruolo nella gestione dei rifiuti nella capitale.</w:t>
      </w:r>
    </w:p>
    <w:p>
      <w:pPr>
        <w:pStyle w:val="Normal"/>
        <w:keepNext w:val="1"/>
        <w:ind w:left="567" w:right="567" w:firstLine="0"/>
        <w:jc w:val="both"/>
        <w:rPr>
          <w:rFonts w:ascii="Book Antiqua" w:cs="Book Antiqua" w:hAnsi="Book Antiqua" w:eastAsia="Book Antiqua"/>
        </w:rPr>
      </w:pPr>
      <w:r>
        <w:rPr>
          <w:rFonts w:ascii="Book Antiqua"/>
          <w:rtl w:val="0"/>
          <w:lang w:val="it-IT"/>
        </w:rPr>
        <w:t xml:space="preserve">In tale contesto, </w:t>
      </w:r>
      <w:r>
        <w:rPr>
          <w:rFonts w:hAnsi="Book Antiqua" w:hint="default"/>
          <w:rtl w:val="0"/>
          <w:lang w:val="it-IT"/>
        </w:rPr>
        <w:t xml:space="preserve">è </w:t>
      </w:r>
      <w:r>
        <w:rPr>
          <w:rFonts w:ascii="Book Antiqua"/>
          <w:rtl w:val="0"/>
          <w:lang w:val="it-IT"/>
        </w:rPr>
        <w:t>stata avviata una specifica attivit</w:t>
      </w:r>
      <w:r>
        <w:rPr>
          <w:rFonts w:hAnsi="Book Antiqua" w:hint="default"/>
          <w:rtl w:val="0"/>
          <w:lang w:val="it-IT"/>
        </w:rPr>
        <w:t xml:space="preserve">à </w:t>
      </w:r>
      <w:r>
        <w:rPr>
          <w:rFonts w:ascii="Book Antiqua"/>
          <w:rtl w:val="0"/>
          <w:lang w:val="it-IT"/>
        </w:rPr>
        <w:t>di analisi sulle attivit</w:t>
      </w:r>
      <w:r>
        <w:rPr>
          <w:rFonts w:hAnsi="Book Antiqua" w:hint="default"/>
          <w:rtl w:val="0"/>
          <w:lang w:val="it-IT"/>
        </w:rPr>
        <w:t xml:space="preserve">à </w:t>
      </w:r>
      <w:r>
        <w:rPr>
          <w:rFonts w:ascii="Book Antiqua"/>
          <w:rtl w:val="0"/>
          <w:lang w:val="it-IT"/>
        </w:rPr>
        <w:t xml:space="preserve">imprenditoriali riconducibili, direttamente o indirettamente, al Cerroni, al fine di prospettarne, mediante la ricostruzione della costellazione societaria e delle cointeressenze aziendali, la ramificazione nel settore dei rifiuti (e non solo). </w:t>
      </w:r>
    </w:p>
    <w:p>
      <w:pPr>
        <w:pStyle w:val="Normal"/>
        <w:keepNext w:val="1"/>
        <w:ind w:left="567" w:right="567" w:firstLine="0"/>
        <w:jc w:val="both"/>
        <w:rPr>
          <w:rFonts w:ascii="Book Antiqua" w:cs="Book Antiqua" w:hAnsi="Book Antiqua" w:eastAsia="Book Antiqua"/>
        </w:rPr>
      </w:pPr>
      <w:r>
        <w:rPr>
          <w:rFonts w:ascii="Book Antiqua"/>
          <w:rtl w:val="0"/>
          <w:lang w:val="it-IT"/>
        </w:rPr>
        <w:t xml:space="preserve">Il lavoro svolto si </w:t>
      </w:r>
      <w:r>
        <w:rPr>
          <w:rFonts w:hAnsi="Book Antiqua" w:hint="default"/>
          <w:rtl w:val="0"/>
          <w:lang w:val="it-IT"/>
        </w:rPr>
        <w:t xml:space="preserve">è </w:t>
      </w:r>
      <w:r>
        <w:rPr>
          <w:rFonts w:ascii="Book Antiqua"/>
          <w:rtl w:val="0"/>
          <w:lang w:val="it-IT"/>
        </w:rPr>
        <w:t>articolato in pi</w:t>
      </w:r>
      <w:r>
        <w:rPr>
          <w:rFonts w:hAnsi="Book Antiqua" w:hint="default"/>
          <w:rtl w:val="0"/>
          <w:lang w:val="it-IT"/>
        </w:rPr>
        <w:t xml:space="preserve">ù </w:t>
      </w:r>
      <w:r>
        <w:rPr>
          <w:rFonts w:ascii="Book Antiqua"/>
          <w:rtl w:val="0"/>
          <w:lang w:val="it-IT"/>
        </w:rPr>
        <w:t xml:space="preserve">fasi: la prima </w:t>
      </w:r>
      <w:r>
        <w:rPr>
          <w:rFonts w:hAnsi="Book Antiqua" w:hint="default"/>
          <w:rtl w:val="0"/>
          <w:lang w:val="it-IT"/>
        </w:rPr>
        <w:t xml:space="preserve">è </w:t>
      </w:r>
      <w:r>
        <w:rPr>
          <w:rFonts w:ascii="Book Antiqua"/>
          <w:rtl w:val="0"/>
          <w:lang w:val="it-IT"/>
        </w:rPr>
        <w:t>consistita nella preliminare individuazione dei soggetti da monitorare; evidentemente, l</w:t>
      </w:r>
      <w:r>
        <w:rPr>
          <w:rFonts w:hAnsi="Book Antiqua" w:hint="default"/>
          <w:rtl w:val="0"/>
          <w:lang w:val="it-IT"/>
        </w:rPr>
        <w:t>’</w:t>
      </w:r>
      <w:r>
        <w:rPr>
          <w:rFonts w:ascii="Book Antiqua"/>
          <w:rtl w:val="0"/>
          <w:lang w:val="it-IT"/>
        </w:rPr>
        <w:t xml:space="preserve">attenzione si </w:t>
      </w:r>
      <w:r>
        <w:rPr>
          <w:rFonts w:hAnsi="Book Antiqua" w:hint="default"/>
          <w:rtl w:val="0"/>
          <w:lang w:val="it-IT"/>
        </w:rPr>
        <w:t xml:space="preserve">è </w:t>
      </w:r>
      <w:r>
        <w:rPr>
          <w:rFonts w:ascii="Book Antiqua"/>
          <w:rtl w:val="0"/>
          <w:lang w:val="it-IT"/>
        </w:rPr>
        <w:t>concentrata sulle figure ritenute pi</w:t>
      </w:r>
      <w:r>
        <w:rPr>
          <w:rFonts w:hAnsi="Book Antiqua" w:hint="default"/>
          <w:rtl w:val="0"/>
          <w:lang w:val="it-IT"/>
        </w:rPr>
        <w:t xml:space="preserve">ù </w:t>
      </w:r>
      <w:r>
        <w:rPr>
          <w:rFonts w:ascii="Book Antiqua"/>
          <w:rtl w:val="0"/>
          <w:lang w:val="it-IT"/>
        </w:rPr>
        <w:t xml:space="preserve">significative per la definizione del contesto da investigare, anche in raccordo con la vicenda giudiziaria per reati associativi riferita nel </w:t>
      </w:r>
      <w:r>
        <w:rPr>
          <w:rFonts w:hAnsi="Book Antiqua" w:hint="default"/>
          <w:rtl w:val="0"/>
          <w:lang w:val="it-IT"/>
        </w:rPr>
        <w:t xml:space="preserve">§ </w:t>
      </w:r>
      <w:r>
        <w:rPr>
          <w:rFonts w:ascii="Book Antiqua"/>
          <w:rtl w:val="0"/>
          <w:lang w:val="it-IT"/>
        </w:rPr>
        <w:t>3.3.4.</w:t>
      </w:r>
    </w:p>
    <w:p>
      <w:pPr>
        <w:pStyle w:val="Normal"/>
        <w:keepNext w:val="1"/>
        <w:ind w:left="567" w:right="567" w:firstLine="0"/>
        <w:jc w:val="both"/>
        <w:rPr>
          <w:rFonts w:ascii="Book Antiqua" w:cs="Book Antiqua" w:hAnsi="Book Antiqua" w:eastAsia="Book Antiqua"/>
        </w:rPr>
      </w:pPr>
      <w:r>
        <w:rPr>
          <w:rFonts w:ascii="Book Antiqua"/>
          <w:rtl w:val="0"/>
          <w:lang w:val="it-IT"/>
        </w:rPr>
        <w:t xml:space="preserve">La successiva fase </w:t>
      </w:r>
      <w:r>
        <w:rPr>
          <w:rFonts w:hAnsi="Book Antiqua" w:hint="default"/>
          <w:rtl w:val="0"/>
          <w:lang w:val="it-IT"/>
        </w:rPr>
        <w:t xml:space="preserve">è </w:t>
      </w:r>
      <w:r>
        <w:rPr>
          <w:rFonts w:ascii="Book Antiqua"/>
          <w:rtl w:val="0"/>
          <w:lang w:val="it-IT"/>
        </w:rPr>
        <w:t>stata caratterizzata dall</w:t>
      </w:r>
      <w:r>
        <w:rPr>
          <w:rFonts w:hAnsi="Book Antiqua" w:hint="default"/>
          <w:rtl w:val="0"/>
          <w:lang w:val="it-IT"/>
        </w:rPr>
        <w:t>’</w:t>
      </w:r>
      <w:r>
        <w:rPr>
          <w:rFonts w:ascii="Book Antiqua"/>
          <w:rtl w:val="0"/>
          <w:lang w:val="it-IT"/>
        </w:rPr>
        <w:t>acquisizione di ogni utile notizia, documento e/o informazione di natura societaria e imprenditoriale, riferibile ai soggetti da monitorare, mediante la consultazione e l</w:t>
      </w:r>
      <w:r>
        <w:rPr>
          <w:rFonts w:hAnsi="Book Antiqua" w:hint="default"/>
          <w:rtl w:val="0"/>
          <w:lang w:val="it-IT"/>
        </w:rPr>
        <w:t>’</w:t>
      </w:r>
      <w:r>
        <w:rPr>
          <w:rFonts w:ascii="Book Antiqua"/>
          <w:rtl w:val="0"/>
          <w:lang w:val="it-IT"/>
        </w:rPr>
        <w:t>estrapolazione dei dati dalle banche dati</w:t>
      </w:r>
      <w:r>
        <w:rPr>
          <w:rFonts w:ascii="Book Antiqua" w:cs="Book Antiqua" w:hAnsi="Book Antiqua" w:eastAsia="Book Antiqua"/>
          <w:vertAlign w:val="superscript"/>
          <w:rtl w:val="0"/>
        </w:rPr>
        <w:footnoteReference w:id="198"/>
      </w:r>
      <w:r>
        <w:rPr>
          <w:rFonts w:ascii="Book Antiqua"/>
          <w:rtl w:val="0"/>
          <w:lang w:val="it-IT"/>
        </w:rPr>
        <w:t xml:space="preserve"> della Camera di commercio</w:t>
      </w:r>
      <w:r>
        <w:rPr>
          <w:rFonts w:ascii="Book Antiqua" w:cs="Book Antiqua" w:hAnsi="Book Antiqua" w:eastAsia="Book Antiqua"/>
          <w:vertAlign w:val="superscript"/>
          <w:rtl w:val="0"/>
        </w:rPr>
        <w:footnoteReference w:id="199"/>
      </w:r>
      <w:r>
        <w:rPr>
          <w:rFonts w:ascii="Book Antiqua"/>
          <w:rtl w:val="0"/>
          <w:lang w:val="it-IT"/>
        </w:rPr>
        <w:t xml:space="preserve"> e dell</w:t>
      </w:r>
      <w:r>
        <w:rPr>
          <w:rFonts w:hAnsi="Book Antiqua" w:hint="default"/>
          <w:rtl w:val="0"/>
          <w:lang w:val="it-IT"/>
        </w:rPr>
        <w:t>’</w:t>
      </w:r>
      <w:r>
        <w:rPr>
          <w:rFonts w:ascii="Book Antiqua"/>
          <w:rtl w:val="0"/>
          <w:lang w:val="it-IT"/>
        </w:rPr>
        <w:t>Agenzia delle entrate.</w:t>
      </w:r>
    </w:p>
    <w:p>
      <w:pPr>
        <w:pStyle w:val="Normal"/>
        <w:keepNext w:val="1"/>
        <w:ind w:left="567" w:right="567" w:firstLine="0"/>
        <w:jc w:val="both"/>
        <w:rPr>
          <w:rFonts w:ascii="Book Antiqua" w:cs="Book Antiqua" w:hAnsi="Book Antiqua" w:eastAsia="Book Antiqua"/>
        </w:rPr>
      </w:pPr>
      <w:r>
        <w:rPr>
          <w:rFonts w:ascii="Book Antiqua"/>
          <w:rtl w:val="0"/>
          <w:lang w:val="it-IT"/>
        </w:rPr>
        <w:t xml:space="preserve">La terza fase </w:t>
      </w:r>
      <w:r>
        <w:rPr>
          <w:rFonts w:hAnsi="Book Antiqua" w:hint="default"/>
          <w:rtl w:val="0"/>
          <w:lang w:val="it-IT"/>
        </w:rPr>
        <w:t>è</w:t>
      </w:r>
      <w:r>
        <w:rPr>
          <w:rFonts w:ascii="Book Antiqua"/>
          <w:rtl w:val="0"/>
          <w:lang w:val="it-IT"/>
        </w:rPr>
        <w:t xml:space="preserve">, invece, consistita nel mettere a sistema tutte le informazioni acquisite, evidenziando la consistenza degli </w:t>
      </w:r>
      <w:r>
        <w:rPr>
          <w:rFonts w:ascii="Book Antiqua"/>
          <w:i w:val="1"/>
          <w:iCs w:val="1"/>
          <w:rtl w:val="0"/>
          <w:lang w:val="it-IT"/>
        </w:rPr>
        <w:t xml:space="preserve">assets </w:t>
      </w:r>
      <w:r>
        <w:rPr>
          <w:rFonts w:ascii="Book Antiqua"/>
          <w:rtl w:val="0"/>
          <w:lang w:val="it-IT"/>
        </w:rPr>
        <w:t>societari (diretti e/o indiretti), le loro ramificazioni, gli intrecci e le concatenazioni aziendali, nonch</w:t>
      </w:r>
      <w:r>
        <w:rPr>
          <w:rFonts w:hAnsi="Book Antiqua" w:hint="default"/>
          <w:rtl w:val="0"/>
          <w:lang w:val="it-IT"/>
        </w:rPr>
        <w:t xml:space="preserve">é </w:t>
      </w:r>
      <w:r>
        <w:rPr>
          <w:rFonts w:ascii="Book Antiqua"/>
          <w:rtl w:val="0"/>
          <w:lang w:val="it-IT"/>
        </w:rPr>
        <w:t>l</w:t>
      </w:r>
      <w:r>
        <w:rPr>
          <w:rFonts w:hAnsi="Book Antiqua" w:hint="default"/>
          <w:rtl w:val="0"/>
          <w:lang w:val="it-IT"/>
        </w:rPr>
        <w:t>’</w:t>
      </w:r>
      <w:r>
        <w:rPr>
          <w:rFonts w:ascii="Book Antiqua"/>
          <w:rtl w:val="0"/>
          <w:lang w:val="it-IT"/>
        </w:rPr>
        <w:t>individuazione dei soggetti cui sono affidate le sorti delle numerose imprese riconducibili alla famiglia Cerroni.</w:t>
      </w:r>
    </w:p>
    <w:p>
      <w:pPr>
        <w:pStyle w:val="Normal"/>
        <w:keepNext w:val="1"/>
        <w:ind w:left="567" w:right="567" w:firstLine="0"/>
        <w:jc w:val="both"/>
        <w:rPr>
          <w:rFonts w:ascii="Book Antiqua" w:cs="Book Antiqua" w:hAnsi="Book Antiqua" w:eastAsia="Book Antiqua"/>
        </w:rPr>
      </w:pPr>
      <w:r>
        <w:rPr>
          <w:rFonts w:ascii="Book Antiqua"/>
          <w:rtl w:val="0"/>
          <w:lang w:val="it-IT"/>
        </w:rPr>
        <w:t xml:space="preserve">Le risultanze delle varie fasi del processo analitico fin qui descritto hanno permesso di definire gli ambiti - e i limiti </w:t>
      </w:r>
      <w:r>
        <w:rPr>
          <w:rFonts w:hAnsi="Book Antiqua" w:hint="default"/>
          <w:rtl w:val="0"/>
          <w:lang w:val="it-IT"/>
        </w:rPr>
        <w:t xml:space="preserve">– </w:t>
      </w:r>
      <w:r>
        <w:rPr>
          <w:rFonts w:ascii="Book Antiqua"/>
          <w:rtl w:val="0"/>
          <w:lang w:val="it-IT"/>
        </w:rPr>
        <w:t>di quella che si pu</w:t>
      </w:r>
      <w:r>
        <w:rPr>
          <w:rFonts w:hAnsi="Book Antiqua" w:hint="default"/>
          <w:rtl w:val="0"/>
          <w:lang w:val="it-IT"/>
        </w:rPr>
        <w:t xml:space="preserve">ò </w:t>
      </w:r>
      <w:r>
        <w:rPr>
          <w:rFonts w:ascii="Book Antiqua"/>
          <w:rtl w:val="0"/>
          <w:lang w:val="it-IT"/>
        </w:rPr>
        <w:t xml:space="preserve">definire la  </w:t>
      </w:r>
      <w:r>
        <w:rPr>
          <w:rFonts w:hAnsi="Book Antiqua" w:hint="default"/>
          <w:rtl w:val="0"/>
          <w:lang w:val="it-IT"/>
        </w:rPr>
        <w:t>“</w:t>
      </w:r>
      <w:r>
        <w:rPr>
          <w:rFonts w:ascii="Book Antiqua"/>
          <w:rtl w:val="0"/>
          <w:lang w:val="it-IT"/>
        </w:rPr>
        <w:t>galassia Cerroni</w:t>
      </w:r>
      <w:r>
        <w:rPr>
          <w:rFonts w:hAnsi="Book Antiqua" w:hint="default"/>
          <w:rtl w:val="0"/>
          <w:lang w:val="it-IT"/>
        </w:rPr>
        <w:t>”</w:t>
      </w:r>
      <w:r>
        <w:rPr>
          <w:rFonts w:ascii="Book Antiqua"/>
          <w:rtl w:val="0"/>
          <w:lang w:val="it-IT"/>
        </w:rPr>
        <w:t>, che verr</w:t>
      </w:r>
      <w:r>
        <w:rPr>
          <w:rFonts w:hAnsi="Book Antiqua" w:hint="default"/>
          <w:rtl w:val="0"/>
          <w:lang w:val="it-IT"/>
        </w:rPr>
        <w:t xml:space="preserve">à </w:t>
      </w:r>
      <w:r>
        <w:rPr>
          <w:rFonts w:ascii="Book Antiqua"/>
          <w:rtl w:val="0"/>
          <w:lang w:val="it-IT"/>
        </w:rPr>
        <w:t>dettagliatamente rappresentata nei successivi paragrafi.</w:t>
      </w:r>
    </w:p>
    <w:p>
      <w:pPr>
        <w:pStyle w:val="Normal"/>
        <w:keepNext w:val="1"/>
        <w:ind w:left="567" w:right="567" w:firstLine="0"/>
        <w:jc w:val="both"/>
        <w:rPr>
          <w:rFonts w:ascii="Book Antiqua" w:cs="Book Antiqua" w:hAnsi="Book Antiqua" w:eastAsia="Book Antiqua"/>
        </w:rPr>
      </w:pPr>
    </w:p>
    <w:p>
      <w:pPr>
        <w:pStyle w:val="Normal"/>
        <w:keepNext w:val="1"/>
        <w:ind w:left="567" w:right="567" w:firstLine="0"/>
        <w:jc w:val="both"/>
        <w:rPr>
          <w:rFonts w:ascii="Book Antiqua" w:cs="Book Antiqua" w:hAnsi="Book Antiqua" w:eastAsia="Book Antiqua"/>
        </w:rPr>
      </w:pPr>
    </w:p>
    <w:p>
      <w:pPr>
        <w:pStyle w:val="Normal"/>
        <w:keepNext w:val="1"/>
        <w:ind w:left="1276" w:right="567" w:hanging="708"/>
        <w:jc w:val="both"/>
        <w:rPr>
          <w:rFonts w:ascii="Book Antiqua" w:cs="Book Antiqua" w:hAnsi="Book Antiqua" w:eastAsia="Book Antiqua"/>
          <w:sz w:val="28"/>
          <w:szCs w:val="28"/>
        </w:rPr>
      </w:pPr>
      <w:r>
        <w:rPr>
          <w:rFonts w:ascii="Book Antiqua"/>
          <w:sz w:val="28"/>
          <w:szCs w:val="28"/>
          <w:rtl w:val="0"/>
          <w:lang w:val="it-IT"/>
        </w:rPr>
        <w:t xml:space="preserve">4.2 </w:t>
        <w:tab/>
        <w:t xml:space="preserve">I soggetti coinvolti </w:t>
      </w:r>
    </w:p>
    <w:p>
      <w:pPr>
        <w:pStyle w:val="Normal"/>
        <w:keepNext w:val="1"/>
        <w:ind w:left="567" w:right="567" w:firstLine="0"/>
        <w:jc w:val="both"/>
        <w:rPr>
          <w:rFonts w:ascii="Book Antiqua" w:cs="Book Antiqua" w:hAnsi="Book Antiqua" w:eastAsia="Book Antiqua"/>
        </w:rPr>
      </w:pPr>
    </w:p>
    <w:p>
      <w:pPr>
        <w:pStyle w:val="Normal"/>
        <w:keepNext w:val="1"/>
        <w:ind w:left="567" w:right="567" w:firstLine="0"/>
        <w:jc w:val="both"/>
        <w:rPr>
          <w:rFonts w:ascii="Book Antiqua" w:cs="Book Antiqua" w:hAnsi="Book Antiqua" w:eastAsia="Book Antiqua"/>
        </w:rPr>
      </w:pPr>
      <w:r>
        <w:rPr>
          <w:rFonts w:ascii="Book Antiqua"/>
          <w:rtl w:val="0"/>
          <w:lang w:val="it-IT"/>
        </w:rPr>
        <w:t xml:space="preserve">Il naturale punto di partenza del monitoraggio effettuato </w:t>
      </w:r>
      <w:r>
        <w:rPr>
          <w:rFonts w:hAnsi="Book Antiqua" w:hint="default"/>
          <w:rtl w:val="0"/>
          <w:lang w:val="it-IT"/>
        </w:rPr>
        <w:t xml:space="preserve">è </w:t>
      </w:r>
      <w:r>
        <w:rPr>
          <w:rFonts w:ascii="Book Antiqua"/>
          <w:rtl w:val="0"/>
          <w:lang w:val="it-IT"/>
        </w:rPr>
        <w:t xml:space="preserve">stato </w:t>
      </w:r>
      <w:r>
        <w:rPr>
          <w:rFonts w:hAnsi="Book Antiqua" w:hint="default"/>
          <w:rtl w:val="0"/>
          <w:lang w:val="it-IT"/>
        </w:rPr>
        <w:t xml:space="preserve">– </w:t>
      </w:r>
      <w:r>
        <w:rPr>
          <w:rFonts w:ascii="Book Antiqua"/>
          <w:rtl w:val="0"/>
          <w:lang w:val="it-IT"/>
        </w:rPr>
        <w:t>come detto - la figura del menzionato Manlio Cerroni, da circa quarant</w:t>
      </w:r>
      <w:r>
        <w:rPr>
          <w:rFonts w:hAnsi="Book Antiqua" w:hint="default"/>
          <w:rtl w:val="0"/>
          <w:lang w:val="it-IT"/>
        </w:rPr>
        <w:t>’</w:t>
      </w:r>
      <w:r>
        <w:rPr>
          <w:rFonts w:ascii="Book Antiqua"/>
          <w:rtl w:val="0"/>
          <w:lang w:val="it-IT"/>
        </w:rPr>
        <w:t>anni imprenditore di riferimento nella capitale per lo smaltimento rifiuti.</w:t>
      </w:r>
    </w:p>
    <w:p>
      <w:pPr>
        <w:pStyle w:val="Normal"/>
        <w:keepNext w:val="1"/>
        <w:ind w:left="567" w:right="567" w:firstLine="0"/>
        <w:jc w:val="both"/>
        <w:rPr>
          <w:rFonts w:ascii="Book Antiqua" w:cs="Book Antiqua" w:hAnsi="Book Antiqua" w:eastAsia="Book Antiqua"/>
        </w:rPr>
      </w:pPr>
      <w:r>
        <w:rPr>
          <w:rFonts w:ascii="Book Antiqua"/>
          <w:rtl w:val="0"/>
          <w:lang w:val="it-IT"/>
        </w:rPr>
        <w:t>L</w:t>
      </w:r>
      <w:r>
        <w:rPr>
          <w:rFonts w:hAnsi="Book Antiqua" w:hint="default"/>
          <w:rtl w:val="0"/>
          <w:lang w:val="it-IT"/>
        </w:rPr>
        <w:t>’</w:t>
      </w:r>
      <w:r>
        <w:rPr>
          <w:rFonts w:ascii="Book Antiqua"/>
          <w:rtl w:val="0"/>
          <w:lang w:val="it-IT"/>
        </w:rPr>
        <w:t>attivit</w:t>
      </w:r>
      <w:r>
        <w:rPr>
          <w:rFonts w:hAnsi="Book Antiqua" w:hint="default"/>
          <w:rtl w:val="0"/>
          <w:lang w:val="it-IT"/>
        </w:rPr>
        <w:t xml:space="preserve">à </w:t>
      </w:r>
      <w:r>
        <w:rPr>
          <w:rFonts w:ascii="Book Antiqua"/>
          <w:rtl w:val="0"/>
          <w:lang w:val="it-IT"/>
        </w:rPr>
        <w:t xml:space="preserve">di analisi si </w:t>
      </w:r>
      <w:r>
        <w:rPr>
          <w:rFonts w:hAnsi="Book Antiqua" w:hint="default"/>
          <w:rtl w:val="0"/>
          <w:lang w:val="it-IT"/>
        </w:rPr>
        <w:t xml:space="preserve">è </w:t>
      </w:r>
      <w:r>
        <w:rPr>
          <w:rFonts w:ascii="Book Antiqua"/>
          <w:rtl w:val="0"/>
          <w:lang w:val="it-IT"/>
        </w:rPr>
        <w:t>poi estesa anche alle figlie Donatella</w:t>
      </w:r>
      <w:r>
        <w:rPr>
          <w:rFonts w:ascii="Book Antiqua" w:cs="Book Antiqua" w:hAnsi="Book Antiqua" w:eastAsia="Book Antiqua"/>
          <w:vertAlign w:val="superscript"/>
          <w:rtl w:val="0"/>
        </w:rPr>
        <w:footnoteReference w:id="200"/>
      </w:r>
      <w:r>
        <w:rPr>
          <w:rFonts w:ascii="Book Antiqua"/>
          <w:rtl w:val="0"/>
          <w:lang w:val="it-IT"/>
        </w:rPr>
        <w:t xml:space="preserve"> e Monica</w:t>
      </w:r>
      <w:r>
        <w:rPr>
          <w:rFonts w:ascii="Book Antiqua" w:cs="Book Antiqua" w:hAnsi="Book Antiqua" w:eastAsia="Book Antiqua"/>
          <w:vertAlign w:val="superscript"/>
          <w:rtl w:val="0"/>
        </w:rPr>
        <w:footnoteReference w:id="201"/>
      </w:r>
      <w:r>
        <w:rPr>
          <w:rFonts w:ascii="Book Antiqua"/>
          <w:rtl w:val="0"/>
          <w:lang w:val="it-IT"/>
        </w:rPr>
        <w:t>: esse, infatti, gi</w:t>
      </w:r>
      <w:r>
        <w:rPr>
          <w:rFonts w:hAnsi="Book Antiqua" w:hint="default"/>
          <w:rtl w:val="0"/>
          <w:lang w:val="it-IT"/>
        </w:rPr>
        <w:t xml:space="preserve">à </w:t>
      </w:r>
      <w:r>
        <w:rPr>
          <w:rFonts w:ascii="Book Antiqua"/>
          <w:rtl w:val="0"/>
          <w:lang w:val="it-IT"/>
        </w:rPr>
        <w:t>presenti in alcune aziende di famiglia sin dal 1993, nel corso degli ultimi 20 anni - ed in particolare dopo le ultime vicende giudiziarie che hanno coinvolto il loro genitore (2014) - hanno assunto un ruolo sempre pi</w:t>
      </w:r>
      <w:r>
        <w:rPr>
          <w:rFonts w:hAnsi="Book Antiqua" w:hint="default"/>
          <w:rtl w:val="0"/>
          <w:lang w:val="it-IT"/>
        </w:rPr>
        <w:t xml:space="preserve">ù </w:t>
      </w:r>
      <w:r>
        <w:rPr>
          <w:rFonts w:ascii="Book Antiqua"/>
          <w:rtl w:val="0"/>
          <w:lang w:val="it-IT"/>
        </w:rPr>
        <w:t>preminente all</w:t>
      </w:r>
      <w:r>
        <w:rPr>
          <w:rFonts w:hAnsi="Book Antiqua" w:hint="default"/>
          <w:rtl w:val="0"/>
          <w:lang w:val="it-IT"/>
        </w:rPr>
        <w:t>’</w:t>
      </w:r>
      <w:r>
        <w:rPr>
          <w:rFonts w:ascii="Book Antiqua"/>
          <w:rtl w:val="0"/>
          <w:lang w:val="it-IT"/>
        </w:rPr>
        <w:t xml:space="preserve">interno del gruppo imprenditoriale, questo anche grazie alla sistematica e costante </w:t>
      </w:r>
      <w:r>
        <w:rPr>
          <w:rFonts w:hAnsi="Book Antiqua" w:hint="default"/>
          <w:rtl w:val="0"/>
          <w:lang w:val="it-IT"/>
        </w:rPr>
        <w:t>”</w:t>
      </w:r>
      <w:r>
        <w:rPr>
          <w:rFonts w:ascii="Book Antiqua"/>
          <w:rtl w:val="0"/>
          <w:lang w:val="it-IT"/>
        </w:rPr>
        <w:t>abdicazione</w:t>
      </w:r>
      <w:r>
        <w:rPr>
          <w:rFonts w:hAnsi="Book Antiqua" w:hint="default"/>
          <w:rtl w:val="0"/>
          <w:lang w:val="it-IT"/>
        </w:rPr>
        <w:t xml:space="preserve">” </w:t>
      </w:r>
      <w:r>
        <w:rPr>
          <w:rFonts w:ascii="Book Antiqua"/>
          <w:rtl w:val="0"/>
          <w:lang w:val="it-IT"/>
        </w:rPr>
        <w:t>in loro favore della titolarit</w:t>
      </w:r>
      <w:r>
        <w:rPr>
          <w:rFonts w:hAnsi="Book Antiqua" w:hint="default"/>
          <w:rtl w:val="0"/>
          <w:lang w:val="it-IT"/>
        </w:rPr>
        <w:t xml:space="preserve">à </w:t>
      </w:r>
      <w:r>
        <w:rPr>
          <w:rFonts w:ascii="Book Antiqua"/>
          <w:rtl w:val="0"/>
          <w:lang w:val="it-IT"/>
        </w:rPr>
        <w:t>e della gestione nelle imprese di famiglia da parte del padre Manlio.</w:t>
      </w:r>
    </w:p>
    <w:p>
      <w:pPr>
        <w:pStyle w:val="Normal"/>
        <w:keepNext w:val="1"/>
        <w:ind w:left="567" w:right="567" w:firstLine="0"/>
        <w:jc w:val="both"/>
        <w:rPr>
          <w:rFonts w:ascii="Book Antiqua" w:cs="Book Antiqua" w:hAnsi="Book Antiqua" w:eastAsia="Book Antiqua"/>
        </w:rPr>
      </w:pPr>
    </w:p>
    <w:p>
      <w:pPr>
        <w:pStyle w:val="Normal"/>
        <w:keepNext w:val="1"/>
        <w:ind w:left="1276" w:right="567" w:hanging="709"/>
        <w:jc w:val="both"/>
        <w:outlineLvl w:val="0"/>
        <w:rPr>
          <w:rFonts w:ascii="Book Antiqua" w:cs="Book Antiqua" w:hAnsi="Book Antiqua" w:eastAsia="Book Antiqua"/>
          <w:i w:val="1"/>
          <w:iCs w:val="1"/>
          <w:sz w:val="28"/>
          <w:szCs w:val="28"/>
        </w:rPr>
      </w:pPr>
      <w:r>
        <w:rPr>
          <w:rFonts w:ascii="Book Antiqua"/>
          <w:i w:val="1"/>
          <w:iCs w:val="1"/>
          <w:sz w:val="28"/>
          <w:szCs w:val="28"/>
          <w:rtl w:val="0"/>
          <w:lang w:val="it-IT"/>
        </w:rPr>
        <w:t>Le imprese riconducibili direttamente a Manlio Cerroni</w:t>
      </w:r>
    </w:p>
    <w:p>
      <w:pPr>
        <w:pStyle w:val="Normal"/>
        <w:keepNext w:val="1"/>
        <w:ind w:left="1276" w:right="567" w:hanging="709"/>
        <w:jc w:val="both"/>
        <w:rPr>
          <w:rFonts w:ascii="Book Antiqua" w:cs="Book Antiqua" w:hAnsi="Book Antiqua" w:eastAsia="Book Antiqua"/>
          <w:sz w:val="28"/>
          <w:szCs w:val="28"/>
        </w:rPr>
      </w:pPr>
    </w:p>
    <w:p>
      <w:pPr>
        <w:pStyle w:val="Normal"/>
        <w:keepNext w:val="1"/>
        <w:ind w:left="567" w:right="567" w:firstLine="0"/>
        <w:jc w:val="both"/>
        <w:rPr>
          <w:rFonts w:ascii="Book Antiqua" w:cs="Book Antiqua" w:hAnsi="Book Antiqua" w:eastAsia="Book Antiqua"/>
        </w:rPr>
      </w:pPr>
      <w:r>
        <w:rPr>
          <w:rFonts w:ascii="Book Antiqua"/>
          <w:rtl w:val="0"/>
          <w:lang w:val="it-IT"/>
        </w:rPr>
        <w:t>Com</w:t>
      </w:r>
      <w:r>
        <w:rPr>
          <w:rFonts w:hAnsi="Book Antiqua" w:hint="default"/>
          <w:rtl w:val="0"/>
          <w:lang w:val="it-IT"/>
        </w:rPr>
        <w:t xml:space="preserve">’è </w:t>
      </w:r>
      <w:r>
        <w:rPr>
          <w:rFonts w:ascii="Book Antiqua"/>
          <w:rtl w:val="0"/>
          <w:lang w:val="it-IT"/>
        </w:rPr>
        <w:t>noto, Manlio Cerroni risulta indagato nel procedimento penale n. 7449/2008 RGNR incardinato presso la procura della Repubblica di Roma per violazione all</w:t>
      </w:r>
      <w:r>
        <w:rPr>
          <w:rFonts w:hAnsi="Book Antiqua" w:hint="default"/>
          <w:rtl w:val="0"/>
          <w:lang w:val="it-IT"/>
        </w:rPr>
        <w:t>’</w:t>
      </w:r>
      <w:r>
        <w:rPr>
          <w:rFonts w:ascii="Book Antiqua"/>
          <w:rtl w:val="0"/>
          <w:lang w:val="it-IT"/>
        </w:rPr>
        <w:t xml:space="preserve">articolo 260 decreto legislativo n. 152 del 2006 quale </w:t>
      </w:r>
      <w:r>
        <w:rPr>
          <w:rFonts w:hAnsi="Book Antiqua" w:hint="default"/>
          <w:rtl w:val="0"/>
          <w:lang w:val="it-IT"/>
        </w:rPr>
        <w:t>“</w:t>
      </w:r>
      <w:r>
        <w:rPr>
          <w:rFonts w:ascii="Book Antiqua"/>
          <w:rtl w:val="0"/>
          <w:lang w:val="it-IT"/>
        </w:rPr>
        <w:t xml:space="preserve">promotore, organizzatore e </w:t>
      </w:r>
      <w:r>
        <w:rPr>
          <w:rFonts w:ascii="Book Antiqua"/>
          <w:i w:val="1"/>
          <w:iCs w:val="1"/>
          <w:rtl w:val="0"/>
          <w:lang w:val="it-IT"/>
        </w:rPr>
        <w:t>dominus</w:t>
      </w:r>
      <w:r>
        <w:rPr>
          <w:rFonts w:ascii="Book Antiqua"/>
          <w:rtl w:val="0"/>
          <w:lang w:val="it-IT"/>
        </w:rPr>
        <w:t xml:space="preserve"> incontrastato</w:t>
      </w:r>
      <w:r>
        <w:rPr>
          <w:rFonts w:hAnsi="Book Antiqua" w:hint="default"/>
          <w:rtl w:val="0"/>
          <w:lang w:val="it-IT"/>
        </w:rPr>
        <w:t xml:space="preserve">” </w:t>
      </w:r>
      <w:r>
        <w:rPr>
          <w:rFonts w:ascii="Book Antiqua"/>
          <w:rtl w:val="0"/>
          <w:lang w:val="it-IT"/>
        </w:rPr>
        <w:t>di un</w:t>
      </w:r>
      <w:r>
        <w:rPr>
          <w:rFonts w:hAnsi="Book Antiqua" w:hint="default"/>
          <w:rtl w:val="0"/>
          <w:lang w:val="it-IT"/>
        </w:rPr>
        <w:t>’</w:t>
      </w:r>
      <w:r>
        <w:rPr>
          <w:rFonts w:ascii="Book Antiqua"/>
          <w:rtl w:val="0"/>
          <w:lang w:val="it-IT"/>
        </w:rPr>
        <w:t>ipotizzata associazione per delinquere finalizzata al traffico illecito di rifiuti; in ragione di ci</w:t>
      </w:r>
      <w:r>
        <w:rPr>
          <w:rFonts w:hAnsi="Book Antiqua" w:hint="default"/>
          <w:rtl w:val="0"/>
          <w:lang w:val="it-IT"/>
        </w:rPr>
        <w:t>ò</w:t>
      </w:r>
      <w:r>
        <w:rPr>
          <w:rFonts w:ascii="Book Antiqua"/>
          <w:rtl w:val="0"/>
          <w:lang w:val="it-IT"/>
        </w:rPr>
        <w:t>, l</w:t>
      </w:r>
      <w:r>
        <w:rPr>
          <w:rFonts w:hAnsi="Book Antiqua" w:hint="default"/>
          <w:rtl w:val="0"/>
          <w:lang w:val="it-IT"/>
        </w:rPr>
        <w:t>’</w:t>
      </w:r>
      <w:r>
        <w:rPr>
          <w:rFonts w:ascii="Book Antiqua"/>
          <w:rtl w:val="0"/>
          <w:lang w:val="it-IT"/>
        </w:rPr>
        <w:t>analisi effettuata non poteva che partire dalla sua preminente figura.</w:t>
      </w:r>
    </w:p>
    <w:p>
      <w:pPr>
        <w:pStyle w:val="Normal"/>
        <w:keepNext w:val="1"/>
        <w:ind w:left="567" w:right="567" w:firstLine="0"/>
        <w:jc w:val="both"/>
        <w:rPr>
          <w:rFonts w:ascii="Book Antiqua" w:cs="Book Antiqua" w:hAnsi="Book Antiqua" w:eastAsia="Book Antiqua"/>
        </w:rPr>
      </w:pPr>
      <w:r>
        <w:rPr>
          <w:rFonts w:ascii="Book Antiqua"/>
          <w:rtl w:val="0"/>
          <w:lang w:val="it-IT"/>
        </w:rPr>
        <w:t>In tale contesto sono stati acquisiti dalle banche dati interrogate i dati relativi alle cariche aziendali (titolare imprese individuali, amministratore, consigliere di amministrazione, Presidente del consiglio di amministrazione) che il Cerroni ricopre ed ha ricoperto nel corso degli anni, e quelli afferenti alle partecipazioni societarie (quote in S.r.l., azioni in S.p.A., etc.)  dallo stesso detenute.</w:t>
      </w:r>
    </w:p>
    <w:p>
      <w:pPr>
        <w:pStyle w:val="Normal"/>
        <w:keepNext w:val="1"/>
        <w:ind w:left="567" w:right="567" w:firstLine="0"/>
        <w:jc w:val="both"/>
        <w:rPr>
          <w:rFonts w:ascii="Book Antiqua" w:cs="Book Antiqua" w:hAnsi="Book Antiqua" w:eastAsia="Book Antiqua"/>
        </w:rPr>
      </w:pPr>
      <w:r>
        <w:rPr>
          <w:rFonts w:ascii="Book Antiqua"/>
          <w:rtl w:val="0"/>
          <w:lang w:val="it-IT"/>
        </w:rPr>
        <w:t>E</w:t>
      </w:r>
      <w:r>
        <w:rPr>
          <w:rFonts w:hAnsi="Book Antiqua" w:hint="default"/>
          <w:rtl w:val="0"/>
          <w:lang w:val="it-IT"/>
        </w:rPr>
        <w:t xml:space="preserve">’ </w:t>
      </w:r>
      <w:r>
        <w:rPr>
          <w:rFonts w:ascii="Book Antiqua"/>
          <w:rtl w:val="0"/>
          <w:lang w:val="it-IT"/>
        </w:rPr>
        <w:t>stato, cos</w:t>
      </w:r>
      <w:r>
        <w:rPr>
          <w:rFonts w:hAnsi="Book Antiqua" w:hint="default"/>
          <w:rtl w:val="0"/>
          <w:lang w:val="it-IT"/>
        </w:rPr>
        <w:t>ì</w:t>
      </w:r>
      <w:r>
        <w:rPr>
          <w:rFonts w:ascii="Book Antiqua"/>
          <w:rtl w:val="0"/>
          <w:lang w:val="it-IT"/>
        </w:rPr>
        <w:t xml:space="preserve">, possibile individuare complessivamente </w:t>
      </w:r>
      <w:r>
        <w:rPr>
          <w:rFonts w:ascii="Book Antiqua Bold"/>
          <w:b w:val="1"/>
          <w:bCs w:val="1"/>
          <w:rtl w:val="0"/>
          <w:lang w:val="it-IT"/>
        </w:rPr>
        <w:t>ottantadue soggetti economici</w:t>
      </w:r>
      <w:r>
        <w:rPr>
          <w:rFonts w:ascii="Book Antiqua"/>
          <w:rtl w:val="0"/>
          <w:lang w:val="it-IT"/>
        </w:rPr>
        <w:t xml:space="preserve"> in seno ai quali Manlio Cerroni ha, o ha avuto, un qualsiasi ruolo o coinvolgimento.</w:t>
      </w:r>
    </w:p>
    <w:p>
      <w:pPr>
        <w:pStyle w:val="Normal"/>
        <w:keepNext w:val="1"/>
        <w:ind w:left="567" w:right="567" w:firstLine="0"/>
        <w:jc w:val="both"/>
        <w:rPr>
          <w:rFonts w:ascii="Book Antiqua" w:cs="Book Antiqua" w:hAnsi="Book Antiqua" w:eastAsia="Book Antiqua"/>
        </w:rPr>
      </w:pPr>
      <w:r>
        <w:rPr>
          <w:rFonts w:ascii="Book Antiqua"/>
          <w:rtl w:val="0"/>
          <w:lang w:val="it-IT"/>
        </w:rPr>
        <w:t>Per meglio apprezzare l</w:t>
      </w:r>
      <w:r>
        <w:rPr>
          <w:rFonts w:hAnsi="Book Antiqua" w:hint="default"/>
          <w:rtl w:val="0"/>
          <w:lang w:val="it-IT"/>
        </w:rPr>
        <w:t>’</w:t>
      </w:r>
      <w:r>
        <w:rPr>
          <w:rFonts w:ascii="Book Antiqua"/>
          <w:rtl w:val="0"/>
          <w:lang w:val="it-IT"/>
        </w:rPr>
        <w:t xml:space="preserve">evoluzione dei suoi interessi economico-aziendali, </w:t>
      </w:r>
      <w:r>
        <w:rPr>
          <w:rFonts w:hAnsi="Book Antiqua" w:hint="default"/>
          <w:rtl w:val="0"/>
          <w:lang w:val="it-IT"/>
        </w:rPr>
        <w:t xml:space="preserve">è </w:t>
      </w:r>
      <w:r>
        <w:rPr>
          <w:rFonts w:ascii="Book Antiqua"/>
          <w:rtl w:val="0"/>
          <w:lang w:val="it-IT"/>
        </w:rPr>
        <w:t>stato elaborato un primo elenco di imprese in cui il Cerroni, al momento delle interrogazioni alla banche dati</w:t>
      </w:r>
      <w:r>
        <w:rPr>
          <w:rFonts w:ascii="Book Antiqua" w:cs="Book Antiqua" w:hAnsi="Book Antiqua" w:eastAsia="Book Antiqua"/>
          <w:vertAlign w:val="superscript"/>
          <w:rtl w:val="0"/>
        </w:rPr>
        <w:footnoteReference w:id="202"/>
      </w:r>
      <w:r>
        <w:rPr>
          <w:rFonts w:ascii="Book Antiqua"/>
          <w:rtl w:val="0"/>
          <w:lang w:val="it-IT"/>
        </w:rPr>
        <w:t>, non risulta pi</w:t>
      </w:r>
      <w:r>
        <w:rPr>
          <w:rFonts w:hAnsi="Book Antiqua" w:hint="default"/>
          <w:rtl w:val="0"/>
          <w:lang w:val="it-IT"/>
        </w:rPr>
        <w:t xml:space="preserve">ù </w:t>
      </w:r>
      <w:r>
        <w:rPr>
          <w:rFonts w:ascii="Book Antiqua"/>
          <w:rtl w:val="0"/>
          <w:lang w:val="it-IT"/>
        </w:rPr>
        <w:t>direttamente cointeressato.</w:t>
      </w:r>
    </w:p>
    <w:p>
      <w:pPr>
        <w:pStyle w:val="Normal"/>
        <w:keepNext w:val="1"/>
        <w:ind w:left="567" w:right="567" w:firstLine="0"/>
        <w:jc w:val="both"/>
        <w:rPr>
          <w:rFonts w:ascii="Book Antiqua" w:cs="Book Antiqua" w:hAnsi="Book Antiqua" w:eastAsia="Book Antiqua"/>
        </w:rPr>
      </w:pPr>
      <w:r>
        <w:rPr>
          <w:rFonts w:ascii="Book Antiqua"/>
          <w:rtl w:val="0"/>
          <w:lang w:val="it-IT"/>
        </w:rPr>
        <w:t>In particolare, nella tabella che segue, sono indicate le generalit</w:t>
      </w:r>
      <w:r>
        <w:rPr>
          <w:rFonts w:hAnsi="Book Antiqua" w:hint="default"/>
          <w:rtl w:val="0"/>
          <w:lang w:val="it-IT"/>
        </w:rPr>
        <w:t xml:space="preserve">à </w:t>
      </w:r>
      <w:r>
        <w:rPr>
          <w:rFonts w:ascii="Book Antiqua"/>
          <w:rtl w:val="0"/>
          <w:lang w:val="it-IT"/>
        </w:rPr>
        <w:t>(denominazione, codice fiscale, attivit</w:t>
      </w:r>
      <w:r>
        <w:rPr>
          <w:rFonts w:hAnsi="Book Antiqua" w:hint="default"/>
          <w:rtl w:val="0"/>
          <w:lang w:val="it-IT"/>
        </w:rPr>
        <w:t xml:space="preserve">à </w:t>
      </w:r>
      <w:r>
        <w:rPr>
          <w:rFonts w:ascii="Book Antiqua"/>
          <w:rtl w:val="0"/>
          <w:lang w:val="it-IT"/>
        </w:rPr>
        <w:t>prevalente esercitata, data di inizio ed eventuale fine di svolgimento dell</w:t>
      </w:r>
      <w:r>
        <w:rPr>
          <w:rFonts w:hAnsi="Book Antiqua" w:hint="default"/>
          <w:rtl w:val="0"/>
          <w:lang w:val="it-IT"/>
        </w:rPr>
        <w:t>’</w:t>
      </w:r>
      <w:r>
        <w:rPr>
          <w:rFonts w:ascii="Book Antiqua"/>
          <w:rtl w:val="0"/>
          <w:lang w:val="it-IT"/>
        </w:rPr>
        <w:t>attivit</w:t>
      </w:r>
      <w:r>
        <w:rPr>
          <w:rFonts w:hAnsi="Book Antiqua" w:hint="default"/>
          <w:rtl w:val="0"/>
          <w:lang w:val="it-IT"/>
        </w:rPr>
        <w:t>à</w:t>
      </w:r>
      <w:r>
        <w:rPr>
          <w:rFonts w:ascii="Book Antiqua"/>
          <w:rtl w:val="0"/>
          <w:lang w:val="it-IT"/>
        </w:rPr>
        <w:t>) dei soggetti economici in cui il Cerroni ha avuto, a vario titolo, un interesse, con indicazione, per ciascuno di essi, anche del tipo e della durata di rapporto di connessione con lo stesso Cerroni.</w:t>
      </w:r>
    </w:p>
    <w:p>
      <w:pPr>
        <w:pStyle w:val="Normal"/>
        <w:keepNext w:val="1"/>
        <w:ind w:left="567" w:right="567" w:firstLine="0"/>
        <w:jc w:val="both"/>
        <w:rPr>
          <w:rFonts w:ascii="Book Antiqua" w:cs="Book Antiqua" w:hAnsi="Book Antiqua" w:eastAsia="Book Antiqua"/>
        </w:rPr>
      </w:pPr>
    </w:p>
    <w:p>
      <w:pPr>
        <w:pStyle w:val="Normal"/>
        <w:keepNext w:val="1"/>
        <w:ind w:left="1418" w:right="424" w:hanging="851"/>
        <w:outlineLvl w:val="0"/>
        <w:rPr>
          <w:rFonts w:ascii="Book Antiqua" w:cs="Book Antiqua" w:hAnsi="Book Antiqua" w:eastAsia="Book Antiqua"/>
          <w:i w:val="1"/>
          <w:iCs w:val="1"/>
          <w:sz w:val="22"/>
          <w:szCs w:val="22"/>
        </w:rPr>
      </w:pPr>
      <w:r>
        <w:rPr>
          <w:rFonts w:ascii="Book Antiqua"/>
          <w:i w:val="1"/>
          <w:iCs w:val="1"/>
          <w:sz w:val="22"/>
          <w:szCs w:val="22"/>
          <w:rtl w:val="0"/>
          <w:lang w:val="it-IT"/>
        </w:rPr>
        <w:t xml:space="preserve">Tab. 1 </w:t>
      </w:r>
      <w:r>
        <w:rPr>
          <w:rFonts w:hAnsi="Book Antiqua" w:hint="default"/>
          <w:i w:val="1"/>
          <w:iCs w:val="1"/>
          <w:sz w:val="22"/>
          <w:szCs w:val="22"/>
          <w:rtl w:val="0"/>
          <w:lang w:val="it-IT"/>
        </w:rPr>
        <w:t xml:space="preserve">– </w:t>
      </w:r>
      <w:r>
        <w:rPr>
          <w:rFonts w:ascii="Book Antiqua"/>
          <w:i w:val="1"/>
          <w:iCs w:val="1"/>
          <w:sz w:val="22"/>
          <w:szCs w:val="22"/>
          <w:rtl w:val="0"/>
          <w:lang w:val="it-IT"/>
        </w:rPr>
        <w:t xml:space="preserve">Cointeressenze </w:t>
      </w:r>
      <w:r>
        <w:rPr>
          <w:rFonts w:hAnsi="Book Antiqua" w:hint="default"/>
          <w:i w:val="1"/>
          <w:iCs w:val="1"/>
          <w:sz w:val="22"/>
          <w:szCs w:val="22"/>
          <w:rtl w:val="0"/>
          <w:lang w:val="it-IT"/>
        </w:rPr>
        <w:t>“</w:t>
      </w:r>
      <w:r>
        <w:rPr>
          <w:rFonts w:ascii="Book Antiqua"/>
          <w:i w:val="1"/>
          <w:iCs w:val="1"/>
          <w:sz w:val="22"/>
          <w:szCs w:val="22"/>
          <w:rtl w:val="0"/>
          <w:lang w:val="it-IT"/>
        </w:rPr>
        <w:t>storiche</w:t>
      </w:r>
      <w:r>
        <w:rPr>
          <w:rFonts w:hAnsi="Book Antiqua" w:hint="default"/>
          <w:i w:val="1"/>
          <w:iCs w:val="1"/>
          <w:sz w:val="22"/>
          <w:szCs w:val="22"/>
          <w:rtl w:val="0"/>
          <w:lang w:val="it-IT"/>
        </w:rPr>
        <w:t xml:space="preserve">” </w:t>
      </w:r>
      <w:r>
        <w:rPr>
          <w:rFonts w:ascii="Book Antiqua"/>
          <w:i w:val="1"/>
          <w:iCs w:val="1"/>
          <w:sz w:val="22"/>
          <w:szCs w:val="22"/>
          <w:rtl w:val="0"/>
          <w:lang w:val="it-IT"/>
        </w:rPr>
        <w:t>di Manlio Cerroni (ruoli societari e partecipazioni)</w:t>
      </w:r>
    </w:p>
    <w:p>
      <w:pPr>
        <w:pStyle w:val="Normal"/>
        <w:keepNext w:val="1"/>
        <w:ind w:left="567" w:right="567" w:firstLine="0"/>
        <w:jc w:val="both"/>
        <w:rPr>
          <w:rFonts w:ascii="Book Antiqua" w:cs="Book Antiqua" w:hAnsi="Book Antiqua" w:eastAsia="Book Antiqua"/>
        </w:rPr>
      </w:pPr>
    </w:p>
    <w:tbl>
      <w:tblPr>
        <w:tblW w:w="9632" w:type="dxa"/>
        <w:jc w:val="center"/>
        <w:tblInd w:w="108" w:type="dxa"/>
        <w:tblBorders>
          <w:top w:val="single" w:color="000000" w:sz="2" w:space="0" w:shadow="0" w:frame="0"/>
          <w:left w:val="single" w:color="000000" w:sz="2" w:space="0" w:shadow="0" w:frame="0"/>
          <w:bottom w:val="single" w:color="000000" w:sz="2" w:space="0" w:shadow="0" w:frame="0"/>
          <w:right w:val="single" w:color="000000" w:sz="2" w:space="0" w:shadow="0" w:frame="0"/>
          <w:insideH w:val="single" w:color="000000" w:sz="2" w:space="0" w:shadow="0" w:frame="0"/>
          <w:insideV w:val="single" w:color="000000" w:sz="2" w:space="0" w:shadow="0" w:frame="0"/>
        </w:tblBorders>
        <w:shd w:val="clear" w:color="auto" w:fill="auto"/>
        <w:tblLayout w:type="fixed"/>
      </w:tblPr>
      <w:tblGrid>
        <w:gridCol w:w="331"/>
        <w:gridCol w:w="1948"/>
        <w:gridCol w:w="1402"/>
        <w:gridCol w:w="612"/>
        <w:gridCol w:w="620"/>
        <w:gridCol w:w="1930"/>
        <w:gridCol w:w="1347"/>
        <w:gridCol w:w="691"/>
        <w:gridCol w:w="751"/>
      </w:tblGrid>
      <w:tr>
        <w:tblPrEx>
          <w:shd w:val="clear" w:color="auto" w:fill="auto"/>
        </w:tblPrEx>
        <w:trPr>
          <w:trHeight w:val="225" w:hRule="atLeast"/>
        </w:trPr>
        <w:tc>
          <w:tcPr>
            <w:tcW w:type="dxa" w:w="331"/>
            <w:tcBorders>
              <w:top w:val="nil"/>
              <w:left w:val="nil"/>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Normal"/>
              <w:keepNext w:val="1"/>
              <w:jc w:val="right"/>
            </w:pPr>
            <w:r>
              <w:rPr>
                <w:rFonts w:ascii="Calibri" w:cs="Calibri" w:hAnsi="Calibri" w:eastAsia="Calibri"/>
                <w:caps w:val="0"/>
                <w:smallCaps w:val="0"/>
                <w:strike w:val="0"/>
                <w:dstrike w:val="0"/>
                <w:outline w:val="0"/>
                <w:color w:val="ffffff"/>
                <w:spacing w:val="0"/>
                <w:kern w:val="0"/>
                <w:position w:val="0"/>
                <w:sz w:val="14"/>
                <w:szCs w:val="14"/>
                <w:u w:val="none" w:color="ffffff"/>
                <w:vertAlign w:val="baseline"/>
                <w:rtl w:val="0"/>
                <w:lang w:val="it-IT"/>
              </w:rPr>
              <w:t>0</w:t>
            </w:r>
          </w:p>
        </w:tc>
        <w:tc>
          <w:tcPr>
            <w:tcW w:type="dxa" w:w="6511"/>
            <w:gridSpan w:val="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ccccff"/>
            <w:tcMar>
              <w:top w:type="dxa" w:w="80"/>
              <w:left w:type="dxa" w:w="80"/>
              <w:bottom w:type="dxa" w:w="80"/>
              <w:right w:type="dxa" w:w="80"/>
            </w:tcMar>
            <w:vAlign w:val="center"/>
          </w:tcPr>
          <w:p>
            <w:pPr>
              <w:pStyle w:val="Normal"/>
              <w:keepNext w:val="1"/>
              <w:jc w:val="center"/>
            </w:pPr>
            <w:r>
              <w:rPr>
                <w:rFonts w:ascii="Calibri" w:cs="Calibri" w:hAnsi="Calibri" w:eastAsia="Calibri"/>
                <w:b w:val="1"/>
                <w:bCs w:val="1"/>
                <w:caps w:val="0"/>
                <w:smallCaps w:val="0"/>
                <w:strike w:val="0"/>
                <w:dstrike w:val="0"/>
                <w:outline w:val="0"/>
                <w:color w:val="000000"/>
                <w:spacing w:val="0"/>
                <w:kern w:val="0"/>
                <w:position w:val="0"/>
                <w:sz w:val="14"/>
                <w:szCs w:val="14"/>
                <w:u w:val="none" w:color="000000"/>
                <w:vertAlign w:val="baseline"/>
                <w:rtl w:val="0"/>
                <w:lang w:val="it-IT"/>
              </w:rPr>
              <w:t>SOGGETTO ECONOMICO/SOCIETA'</w:t>
            </w:r>
          </w:p>
        </w:tc>
        <w:tc>
          <w:tcPr>
            <w:tcW w:type="dxa" w:w="2788"/>
            <w:gridSpan w:val="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ccccff"/>
            <w:tcMar>
              <w:top w:type="dxa" w:w="80"/>
              <w:left w:type="dxa" w:w="80"/>
              <w:bottom w:type="dxa" w:w="80"/>
              <w:right w:type="dxa" w:w="80"/>
            </w:tcMar>
            <w:vAlign w:val="center"/>
          </w:tcPr>
          <w:p>
            <w:pPr>
              <w:pStyle w:val="Normal"/>
              <w:keepNext w:val="1"/>
              <w:jc w:val="center"/>
            </w:pPr>
            <w:r>
              <w:rPr>
                <w:rFonts w:ascii="Calibri" w:cs="Calibri" w:hAnsi="Calibri" w:eastAsia="Calibri"/>
                <w:b w:val="1"/>
                <w:bCs w:val="1"/>
                <w:caps w:val="0"/>
                <w:smallCaps w:val="0"/>
                <w:strike w:val="0"/>
                <w:dstrike w:val="0"/>
                <w:outline w:val="0"/>
                <w:color w:val="000000"/>
                <w:spacing w:val="0"/>
                <w:kern w:val="0"/>
                <w:position w:val="0"/>
                <w:sz w:val="14"/>
                <w:szCs w:val="14"/>
                <w:u w:val="none" w:color="000000"/>
                <w:vertAlign w:val="baseline"/>
                <w:rtl w:val="0"/>
                <w:lang w:val="it-IT"/>
              </w:rPr>
              <w:t>RELAZIONE</w:t>
            </w:r>
            <w:r>
              <w:rPr>
                <w:rFonts w:ascii="Calibri" w:cs="Calibri" w:hAnsi="Calibri" w:eastAsia="Calibri"/>
                <w:b w:val="1"/>
                <w:bCs w:val="1"/>
                <w:caps w:val="0"/>
                <w:smallCaps w:val="0"/>
                <w:strike w:val="0"/>
                <w:dstrike w:val="0"/>
                <w:outline w:val="0"/>
                <w:color w:val="000000"/>
                <w:spacing w:val="0"/>
                <w:kern w:val="0"/>
                <w:position w:val="0"/>
                <w:sz w:val="14"/>
                <w:szCs w:val="14"/>
                <w:u w:val="none" w:color="000000"/>
                <w:vertAlign w:val="baseline"/>
                <w:rtl w:val="0"/>
                <w:lang w:val="it-IT"/>
              </w:rPr>
              <w:t> </w:t>
            </w:r>
          </w:p>
        </w:tc>
      </w:tr>
      <w:tr>
        <w:tblPrEx>
          <w:shd w:val="clear" w:color="auto" w:fill="auto"/>
        </w:tblPrEx>
        <w:trPr>
          <w:trHeight w:val="570" w:hRule="atLeast"/>
        </w:trPr>
        <w:tc>
          <w:tcPr>
            <w:tcW w:type="dxa" w:w="33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ccccff"/>
            <w:tcMar>
              <w:top w:type="dxa" w:w="80"/>
              <w:left w:type="dxa" w:w="80"/>
              <w:bottom w:type="dxa" w:w="80"/>
              <w:right w:type="dxa" w:w="80"/>
            </w:tcMar>
            <w:vAlign w:val="center"/>
          </w:tcPr>
          <w:p>
            <w:pPr>
              <w:pStyle w:val="Normal"/>
              <w:keepNext w:val="1"/>
              <w:jc w:val="center"/>
            </w:pPr>
            <w:r>
              <w:rPr>
                <w:rFonts w:ascii="Calibri" w:cs="Calibri" w:hAnsi="Calibri" w:eastAsia="Calibri"/>
                <w:b w:val="1"/>
                <w:bCs w:val="1"/>
                <w:caps w:val="0"/>
                <w:smallCaps w:val="0"/>
                <w:strike w:val="0"/>
                <w:dstrike w:val="0"/>
                <w:outline w:val="0"/>
                <w:color w:val="000000"/>
                <w:spacing w:val="0"/>
                <w:kern w:val="0"/>
                <w:position w:val="0"/>
                <w:sz w:val="12"/>
                <w:szCs w:val="12"/>
                <w:u w:val="none" w:color="000000"/>
                <w:vertAlign w:val="baseline"/>
                <w:rtl w:val="0"/>
                <w:lang w:val="it-IT"/>
              </w:rPr>
              <w:t>N.</w:t>
            </w:r>
          </w:p>
        </w:tc>
        <w:tc>
          <w:tcPr>
            <w:tcW w:type="dxa" w:w="19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ccccff"/>
            <w:tcMar>
              <w:top w:type="dxa" w:w="80"/>
              <w:left w:type="dxa" w:w="80"/>
              <w:bottom w:type="dxa" w:w="80"/>
              <w:right w:type="dxa" w:w="80"/>
            </w:tcMar>
            <w:vAlign w:val="center"/>
          </w:tcPr>
          <w:p>
            <w:pPr>
              <w:pStyle w:val="Normal"/>
              <w:keepNext w:val="1"/>
              <w:jc w:val="center"/>
            </w:pPr>
            <w:r>
              <w:rPr>
                <w:rFonts w:ascii="Calibri" w:cs="Calibri" w:hAnsi="Calibri" w:eastAsia="Calibri"/>
                <w:b w:val="1"/>
                <w:bCs w:val="1"/>
                <w:caps w:val="0"/>
                <w:smallCaps w:val="0"/>
                <w:strike w:val="0"/>
                <w:dstrike w:val="0"/>
                <w:outline w:val="0"/>
                <w:color w:val="000000"/>
                <w:spacing w:val="0"/>
                <w:kern w:val="0"/>
                <w:position w:val="0"/>
                <w:sz w:val="12"/>
                <w:szCs w:val="12"/>
                <w:u w:val="none" w:color="000000"/>
                <w:vertAlign w:val="baseline"/>
                <w:rtl w:val="0"/>
                <w:lang w:val="it-IT"/>
              </w:rPr>
              <w:t>DENOMINAZIONE E CODICE FISCALE</w:t>
            </w:r>
          </w:p>
        </w:tc>
        <w:tc>
          <w:tcPr>
            <w:tcW w:type="dxa" w:w="140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ccccff"/>
            <w:tcMar>
              <w:top w:type="dxa" w:w="80"/>
              <w:left w:type="dxa" w:w="80"/>
              <w:bottom w:type="dxa" w:w="80"/>
              <w:right w:type="dxa" w:w="80"/>
            </w:tcMar>
            <w:vAlign w:val="center"/>
          </w:tcPr>
          <w:p>
            <w:pPr>
              <w:pStyle w:val="Normal"/>
              <w:keepNext w:val="1"/>
              <w:jc w:val="center"/>
            </w:pPr>
            <w:r>
              <w:rPr>
                <w:rFonts w:ascii="Calibri" w:cs="Calibri" w:hAnsi="Calibri" w:eastAsia="Calibri"/>
                <w:b w:val="1"/>
                <w:bCs w:val="1"/>
                <w:caps w:val="0"/>
                <w:smallCaps w:val="0"/>
                <w:strike w:val="0"/>
                <w:dstrike w:val="0"/>
                <w:outline w:val="0"/>
                <w:color w:val="000000"/>
                <w:spacing w:val="0"/>
                <w:kern w:val="0"/>
                <w:position w:val="0"/>
                <w:sz w:val="12"/>
                <w:szCs w:val="12"/>
                <w:u w:val="none" w:color="000000"/>
                <w:vertAlign w:val="baseline"/>
                <w:rtl w:val="0"/>
                <w:lang w:val="it-IT"/>
              </w:rPr>
              <w:t>SEDE (indirizzo completo)</w:t>
            </w:r>
          </w:p>
        </w:tc>
        <w:tc>
          <w:tcPr>
            <w:tcW w:type="dxa" w:w="61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ccccff"/>
            <w:tcMar>
              <w:top w:type="dxa" w:w="80"/>
              <w:left w:type="dxa" w:w="80"/>
              <w:bottom w:type="dxa" w:w="80"/>
              <w:right w:type="dxa" w:w="80"/>
            </w:tcMar>
            <w:vAlign w:val="center"/>
          </w:tcPr>
          <w:p>
            <w:pPr>
              <w:pStyle w:val="Normal"/>
              <w:keepNext w:val="1"/>
              <w:jc w:val="center"/>
            </w:pPr>
            <w:r>
              <w:rPr>
                <w:rFonts w:ascii="Calibri" w:cs="Calibri" w:hAnsi="Calibri" w:eastAsia="Calibri"/>
                <w:b w:val="1"/>
                <w:bCs w:val="1"/>
                <w:caps w:val="0"/>
                <w:smallCaps w:val="0"/>
                <w:strike w:val="0"/>
                <w:dstrike w:val="0"/>
                <w:outline w:val="0"/>
                <w:color w:val="000000"/>
                <w:spacing w:val="0"/>
                <w:kern w:val="0"/>
                <w:position w:val="0"/>
                <w:sz w:val="12"/>
                <w:szCs w:val="12"/>
                <w:u w:val="none" w:color="000000"/>
                <w:vertAlign w:val="baseline"/>
                <w:rtl w:val="0"/>
                <w:lang w:val="it-IT"/>
              </w:rPr>
              <w:t>DATA INIZIO ATTIVITA'</w:t>
            </w:r>
          </w:p>
        </w:tc>
        <w:tc>
          <w:tcPr>
            <w:tcW w:type="dxa" w:w="62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ccccff"/>
            <w:tcMar>
              <w:top w:type="dxa" w:w="80"/>
              <w:left w:type="dxa" w:w="80"/>
              <w:bottom w:type="dxa" w:w="80"/>
              <w:right w:type="dxa" w:w="80"/>
            </w:tcMar>
            <w:vAlign w:val="center"/>
          </w:tcPr>
          <w:p>
            <w:pPr>
              <w:pStyle w:val="Normal"/>
              <w:keepNext w:val="1"/>
              <w:jc w:val="center"/>
            </w:pPr>
            <w:r>
              <w:rPr>
                <w:rFonts w:ascii="Calibri" w:cs="Calibri" w:hAnsi="Calibri" w:eastAsia="Calibri"/>
                <w:b w:val="1"/>
                <w:bCs w:val="1"/>
                <w:caps w:val="0"/>
                <w:smallCaps w:val="0"/>
                <w:strike w:val="0"/>
                <w:dstrike w:val="0"/>
                <w:outline w:val="0"/>
                <w:color w:val="000000"/>
                <w:spacing w:val="0"/>
                <w:kern w:val="0"/>
                <w:position w:val="0"/>
                <w:sz w:val="12"/>
                <w:szCs w:val="12"/>
                <w:u w:val="none" w:color="000000"/>
                <w:vertAlign w:val="baseline"/>
                <w:rtl w:val="0"/>
                <w:lang w:val="it-IT"/>
              </w:rPr>
              <w:t>DATA FINE ATTIVITA'</w:t>
            </w:r>
          </w:p>
        </w:tc>
        <w:tc>
          <w:tcPr>
            <w:tcW w:type="dxa" w:w="192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ccccff"/>
            <w:tcMar>
              <w:top w:type="dxa" w:w="80"/>
              <w:left w:type="dxa" w:w="80"/>
              <w:bottom w:type="dxa" w:w="80"/>
              <w:right w:type="dxa" w:w="80"/>
            </w:tcMar>
            <w:vAlign w:val="center"/>
          </w:tcPr>
          <w:p>
            <w:pPr>
              <w:pStyle w:val="Normal"/>
              <w:keepNext w:val="1"/>
              <w:jc w:val="center"/>
            </w:pPr>
            <w:r>
              <w:rPr>
                <w:rFonts w:ascii="Calibri" w:cs="Calibri" w:hAnsi="Calibri" w:eastAsia="Calibri"/>
                <w:b w:val="1"/>
                <w:bCs w:val="1"/>
                <w:caps w:val="0"/>
                <w:smallCaps w:val="0"/>
                <w:strike w:val="0"/>
                <w:dstrike w:val="0"/>
                <w:outline w:val="0"/>
                <w:color w:val="000000"/>
                <w:spacing w:val="0"/>
                <w:kern w:val="0"/>
                <w:position w:val="0"/>
                <w:sz w:val="12"/>
                <w:szCs w:val="12"/>
                <w:u w:val="none" w:color="000000"/>
                <w:vertAlign w:val="baseline"/>
                <w:rtl w:val="0"/>
                <w:lang w:val="it-IT"/>
              </w:rPr>
              <w:t>ATTIVITA'</w:t>
            </w:r>
          </w:p>
        </w:tc>
        <w:tc>
          <w:tcPr>
            <w:tcW w:type="dxa" w:w="13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ccccff"/>
            <w:tcMar>
              <w:top w:type="dxa" w:w="80"/>
              <w:left w:type="dxa" w:w="80"/>
              <w:bottom w:type="dxa" w:w="80"/>
              <w:right w:type="dxa" w:w="80"/>
            </w:tcMar>
            <w:vAlign w:val="center"/>
          </w:tcPr>
          <w:p>
            <w:pPr>
              <w:pStyle w:val="Normal"/>
              <w:keepNext w:val="1"/>
              <w:jc w:val="center"/>
            </w:pPr>
            <w:r>
              <w:rPr>
                <w:rFonts w:ascii="Calibri" w:cs="Calibri" w:hAnsi="Calibri" w:eastAsia="Calibri"/>
                <w:b w:val="1"/>
                <w:bCs w:val="1"/>
                <w:caps w:val="0"/>
                <w:smallCaps w:val="0"/>
                <w:strike w:val="0"/>
                <w:dstrike w:val="0"/>
                <w:outline w:val="0"/>
                <w:color w:val="000000"/>
                <w:spacing w:val="0"/>
                <w:kern w:val="0"/>
                <w:position w:val="0"/>
                <w:sz w:val="12"/>
                <w:szCs w:val="12"/>
                <w:u w:val="none" w:color="000000"/>
                <w:vertAlign w:val="baseline"/>
                <w:rtl w:val="0"/>
                <w:lang w:val="it-IT"/>
              </w:rPr>
              <w:t>TIPO</w:t>
            </w:r>
          </w:p>
        </w:tc>
        <w:tc>
          <w:tcPr>
            <w:tcW w:type="dxa" w:w="6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ccccff"/>
            <w:tcMar>
              <w:top w:type="dxa" w:w="80"/>
              <w:left w:type="dxa" w:w="80"/>
              <w:bottom w:type="dxa" w:w="80"/>
              <w:right w:type="dxa" w:w="80"/>
            </w:tcMar>
            <w:vAlign w:val="center"/>
          </w:tcPr>
          <w:p>
            <w:pPr>
              <w:pStyle w:val="Normal"/>
              <w:keepNext w:val="1"/>
              <w:jc w:val="center"/>
            </w:pPr>
            <w:r>
              <w:rPr>
                <w:rFonts w:ascii="Calibri" w:cs="Calibri" w:hAnsi="Calibri" w:eastAsia="Calibri"/>
                <w:b w:val="1"/>
                <w:bCs w:val="1"/>
                <w:caps w:val="0"/>
                <w:smallCaps w:val="0"/>
                <w:strike w:val="0"/>
                <w:dstrike w:val="0"/>
                <w:outline w:val="0"/>
                <w:color w:val="000000"/>
                <w:spacing w:val="0"/>
                <w:kern w:val="0"/>
                <w:position w:val="0"/>
                <w:sz w:val="12"/>
                <w:szCs w:val="12"/>
                <w:u w:val="none" w:color="000000"/>
                <w:vertAlign w:val="baseline"/>
                <w:rtl w:val="0"/>
                <w:lang w:val="it-IT"/>
              </w:rPr>
              <w:t>DAL</w:t>
            </w:r>
          </w:p>
        </w:tc>
        <w:tc>
          <w:tcPr>
            <w:tcW w:type="dxa" w:w="7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ccccff"/>
            <w:tcMar>
              <w:top w:type="dxa" w:w="80"/>
              <w:left w:type="dxa" w:w="80"/>
              <w:bottom w:type="dxa" w:w="80"/>
              <w:right w:type="dxa" w:w="80"/>
            </w:tcMar>
            <w:vAlign w:val="center"/>
          </w:tcPr>
          <w:p>
            <w:pPr>
              <w:pStyle w:val="Normal"/>
              <w:keepNext w:val="1"/>
              <w:jc w:val="center"/>
            </w:pPr>
            <w:r>
              <w:rPr>
                <w:rFonts w:ascii="Calibri" w:cs="Calibri" w:hAnsi="Calibri" w:eastAsia="Calibri"/>
                <w:b w:val="1"/>
                <w:bCs w:val="1"/>
                <w:caps w:val="0"/>
                <w:smallCaps w:val="0"/>
                <w:strike w:val="0"/>
                <w:dstrike w:val="0"/>
                <w:outline w:val="0"/>
                <w:color w:val="000000"/>
                <w:spacing w:val="0"/>
                <w:kern w:val="0"/>
                <w:position w:val="0"/>
                <w:sz w:val="12"/>
                <w:szCs w:val="12"/>
                <w:u w:val="none" w:color="000000"/>
                <w:vertAlign w:val="baseline"/>
                <w:rtl w:val="0"/>
                <w:lang w:val="it-IT"/>
              </w:rPr>
              <w:t>FINO AL</w:t>
            </w:r>
          </w:p>
        </w:tc>
      </w:tr>
      <w:tr>
        <w:tblPrEx>
          <w:shd w:val="clear" w:color="auto" w:fill="auto"/>
        </w:tblPrEx>
        <w:trPr>
          <w:trHeight w:val="370" w:hRule="atLeast"/>
        </w:trPr>
        <w:tc>
          <w:tcPr>
            <w:tcW w:type="dxa" w:w="33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1</w:t>
            </w:r>
          </w:p>
        </w:tc>
        <w:tc>
          <w:tcPr>
            <w:tcW w:type="dxa" w:w="19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SOCIETA' RIUTILIZZAZIONE AGRICOLA INDUSTRIALE SUD SO.R.A.IN.SUD S.r.l. - 00528770639</w:t>
            </w:r>
          </w:p>
        </w:tc>
        <w:tc>
          <w:tcPr>
            <w:tcW w:type="dxa" w:w="140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NAPOLI (NA) - VIA MEDINA 5</w:t>
            </w:r>
          </w:p>
        </w:tc>
        <w:tc>
          <w:tcPr>
            <w:tcW w:type="dxa" w:w="61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10/07/1972</w:t>
            </w:r>
          </w:p>
        </w:tc>
        <w:tc>
          <w:tcPr>
            <w:tcW w:type="dxa" w:w="62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 </w:t>
            </w:r>
          </w:p>
        </w:tc>
        <w:tc>
          <w:tcPr>
            <w:tcW w:type="dxa" w:w="192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COSTRUZIONE E GESTIONE IN CAMPANIA DI IMPIANTI PER INCENERIMENTO RIFIUTI</w:t>
            </w:r>
          </w:p>
        </w:tc>
        <w:tc>
          <w:tcPr>
            <w:tcW w:type="dxa" w:w="13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CONSIGLIERE</w:t>
            </w:r>
          </w:p>
        </w:tc>
        <w:tc>
          <w:tcPr>
            <w:tcW w:type="dxa" w:w="6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 </w:t>
            </w:r>
          </w:p>
        </w:tc>
        <w:tc>
          <w:tcPr>
            <w:tcW w:type="dxa" w:w="7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lug-1975</w:t>
            </w:r>
          </w:p>
        </w:tc>
      </w:tr>
      <w:tr>
        <w:tblPrEx>
          <w:shd w:val="clear" w:color="auto" w:fill="auto"/>
        </w:tblPrEx>
        <w:trPr>
          <w:trHeight w:val="370" w:hRule="atLeast"/>
        </w:trPr>
        <w:tc>
          <w:tcPr>
            <w:tcW w:type="dxa" w:w="33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2</w:t>
            </w:r>
          </w:p>
        </w:tc>
        <w:tc>
          <w:tcPr>
            <w:tcW w:type="dxa" w:w="19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AMA FLEET MAINTENANCE S.r.l. IN FORMA ABBREVIATA AMA F.M. S.r.l. - 00950351007</w:t>
            </w:r>
          </w:p>
        </w:tc>
        <w:tc>
          <w:tcPr>
            <w:tcW w:type="dxa" w:w="140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ROMA (RM) - VIA CALDERON DE LA BARCA 87</w:t>
            </w:r>
          </w:p>
        </w:tc>
        <w:tc>
          <w:tcPr>
            <w:tcW w:type="dxa" w:w="61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06/10/1969</w:t>
            </w:r>
          </w:p>
        </w:tc>
        <w:tc>
          <w:tcPr>
            <w:tcW w:type="dxa" w:w="62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21/10/2009</w:t>
            </w:r>
          </w:p>
        </w:tc>
        <w:tc>
          <w:tcPr>
            <w:tcW w:type="dxa" w:w="192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RIPARAZIONI MECCANICHE DI AUTOVEICOLI</w:t>
            </w:r>
          </w:p>
        </w:tc>
        <w:tc>
          <w:tcPr>
            <w:tcW w:type="dxa" w:w="13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RAPPRESENTANTE LEGALE E TITOLARE QUOTE</w:t>
            </w:r>
          </w:p>
        </w:tc>
        <w:tc>
          <w:tcPr>
            <w:tcW w:type="dxa" w:w="6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gen-1982</w:t>
            </w:r>
          </w:p>
        </w:tc>
        <w:tc>
          <w:tcPr>
            <w:tcW w:type="dxa" w:w="7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gen-1983</w:t>
            </w:r>
          </w:p>
        </w:tc>
      </w:tr>
      <w:tr>
        <w:tblPrEx>
          <w:shd w:val="clear" w:color="auto" w:fill="auto"/>
        </w:tblPrEx>
        <w:trPr>
          <w:trHeight w:val="250" w:hRule="atLeast"/>
        </w:trPr>
        <w:tc>
          <w:tcPr>
            <w:tcW w:type="dxa" w:w="33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3</w:t>
            </w:r>
          </w:p>
        </w:tc>
        <w:tc>
          <w:tcPr>
            <w:tcW w:type="dxa" w:w="19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SOCEC S.r.l. - 80169310580</w:t>
            </w:r>
          </w:p>
        </w:tc>
        <w:tc>
          <w:tcPr>
            <w:tcW w:type="dxa" w:w="140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ROMA (RM) - VIA BRUXELLES 51</w:t>
            </w:r>
          </w:p>
        </w:tc>
        <w:tc>
          <w:tcPr>
            <w:tcW w:type="dxa" w:w="61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20/03/1975</w:t>
            </w:r>
          </w:p>
        </w:tc>
        <w:tc>
          <w:tcPr>
            <w:tcW w:type="dxa" w:w="62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29/08/1983</w:t>
            </w:r>
          </w:p>
        </w:tc>
        <w:tc>
          <w:tcPr>
            <w:tcW w:type="dxa" w:w="192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 xml:space="preserve">SERVIZI VARI NON ALTROVE CLASSIFICABILI                                                                                                                                                                                                                        </w:t>
            </w:r>
          </w:p>
        </w:tc>
        <w:tc>
          <w:tcPr>
            <w:tcW w:type="dxa" w:w="13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RAPPRESENTANTE LEGALE</w:t>
            </w:r>
          </w:p>
        </w:tc>
        <w:tc>
          <w:tcPr>
            <w:tcW w:type="dxa" w:w="6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gen-1983</w:t>
            </w:r>
          </w:p>
        </w:tc>
        <w:tc>
          <w:tcPr>
            <w:tcW w:type="dxa" w:w="7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ago-1983</w:t>
            </w:r>
          </w:p>
        </w:tc>
      </w:tr>
      <w:tr>
        <w:tblPrEx>
          <w:shd w:val="clear" w:color="auto" w:fill="auto"/>
        </w:tblPrEx>
        <w:trPr>
          <w:trHeight w:val="250" w:hRule="atLeast"/>
        </w:trPr>
        <w:tc>
          <w:tcPr>
            <w:tcW w:type="dxa" w:w="33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4</w:t>
            </w:r>
          </w:p>
        </w:tc>
        <w:tc>
          <w:tcPr>
            <w:tcW w:type="dxa" w:w="19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TECNICOMPLEX S.p.A. IN LIQUIDAZIONE - 02127991004</w:t>
            </w:r>
          </w:p>
        </w:tc>
        <w:tc>
          <w:tcPr>
            <w:tcW w:type="dxa" w:w="140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ROMA (RM) - VIA POGGIO FIORITO 63</w:t>
            </w:r>
          </w:p>
        </w:tc>
        <w:tc>
          <w:tcPr>
            <w:tcW w:type="dxa" w:w="61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11/01/1979</w:t>
            </w:r>
          </w:p>
        </w:tc>
        <w:tc>
          <w:tcPr>
            <w:tcW w:type="dxa" w:w="62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01/12/1992</w:t>
            </w:r>
          </w:p>
        </w:tc>
        <w:tc>
          <w:tcPr>
            <w:tcW w:type="dxa" w:w="192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 xml:space="preserve">SERVIZI VARI NON ALTROVE CLASSIFICABILI                                                                                                                                                                                                                        </w:t>
            </w:r>
          </w:p>
        </w:tc>
        <w:tc>
          <w:tcPr>
            <w:tcW w:type="dxa" w:w="13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RAPPRESENTANTE LEGALE</w:t>
            </w:r>
          </w:p>
        </w:tc>
        <w:tc>
          <w:tcPr>
            <w:tcW w:type="dxa" w:w="6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dic-1976</w:t>
            </w:r>
          </w:p>
        </w:tc>
        <w:tc>
          <w:tcPr>
            <w:tcW w:type="dxa" w:w="7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set-1986</w:t>
            </w:r>
          </w:p>
        </w:tc>
      </w:tr>
      <w:tr>
        <w:tblPrEx>
          <w:shd w:val="clear" w:color="auto" w:fill="auto"/>
        </w:tblPrEx>
        <w:trPr>
          <w:trHeight w:val="250" w:hRule="atLeast"/>
        </w:trPr>
        <w:tc>
          <w:tcPr>
            <w:tcW w:type="dxa" w:w="33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5</w:t>
            </w:r>
          </w:p>
        </w:tc>
        <w:tc>
          <w:tcPr>
            <w:tcW w:type="dxa" w:w="19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LAURENTINE BONIFICHE S.r.l. - 80061270585</w:t>
            </w:r>
          </w:p>
        </w:tc>
        <w:tc>
          <w:tcPr>
            <w:tcW w:type="dxa" w:w="140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ROMA (RM) - BRUXELLES 53</w:t>
            </w:r>
          </w:p>
        </w:tc>
        <w:tc>
          <w:tcPr>
            <w:tcW w:type="dxa" w:w="61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 </w:t>
            </w:r>
          </w:p>
        </w:tc>
        <w:tc>
          <w:tcPr>
            <w:tcW w:type="dxa" w:w="62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 </w:t>
            </w:r>
          </w:p>
        </w:tc>
        <w:tc>
          <w:tcPr>
            <w:tcW w:type="dxa" w:w="192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 xml:space="preserve">COSTRUZIONI EDILIZIE RESIDENZIALI                                                                                                                                                                                                                              </w:t>
            </w:r>
          </w:p>
        </w:tc>
        <w:tc>
          <w:tcPr>
            <w:tcW w:type="dxa" w:w="13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RAPPRESENTANTE LEGALE</w:t>
            </w:r>
          </w:p>
        </w:tc>
        <w:tc>
          <w:tcPr>
            <w:tcW w:type="dxa" w:w="6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gen-1983</w:t>
            </w:r>
          </w:p>
        </w:tc>
        <w:tc>
          <w:tcPr>
            <w:tcW w:type="dxa" w:w="7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gen-1988</w:t>
            </w:r>
          </w:p>
        </w:tc>
      </w:tr>
      <w:tr>
        <w:tblPrEx>
          <w:shd w:val="clear" w:color="auto" w:fill="auto"/>
        </w:tblPrEx>
        <w:trPr>
          <w:trHeight w:val="250" w:hRule="atLeast"/>
        </w:trPr>
        <w:tc>
          <w:tcPr>
            <w:tcW w:type="dxa" w:w="33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6</w:t>
            </w:r>
          </w:p>
        </w:tc>
        <w:tc>
          <w:tcPr>
            <w:tcW w:type="dxa" w:w="19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RESIDENCE PISONIANO S.N.C. DI MONICA Cerroni E C. - 01617531007</w:t>
            </w:r>
          </w:p>
        </w:tc>
        <w:tc>
          <w:tcPr>
            <w:tcW w:type="dxa" w:w="140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ROMA (RM) - VIA EUGENIO CHIESA 27</w:t>
            </w:r>
          </w:p>
        </w:tc>
        <w:tc>
          <w:tcPr>
            <w:tcW w:type="dxa" w:w="61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06/12/1984</w:t>
            </w:r>
          </w:p>
        </w:tc>
        <w:tc>
          <w:tcPr>
            <w:tcW w:type="dxa" w:w="62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 </w:t>
            </w:r>
          </w:p>
        </w:tc>
        <w:tc>
          <w:tcPr>
            <w:tcW w:type="dxa" w:w="192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COSTRUZIONE DI EDIFICI RESIDENZIALI E NON RESIDENZIALI</w:t>
            </w:r>
          </w:p>
        </w:tc>
        <w:tc>
          <w:tcPr>
            <w:tcW w:type="dxa" w:w="13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RAPPRESENTANTE LEGALE</w:t>
            </w:r>
          </w:p>
        </w:tc>
        <w:tc>
          <w:tcPr>
            <w:tcW w:type="dxa" w:w="6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dic-1990</w:t>
            </w:r>
          </w:p>
        </w:tc>
        <w:tc>
          <w:tcPr>
            <w:tcW w:type="dxa" w:w="7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mag-1991</w:t>
            </w:r>
          </w:p>
        </w:tc>
      </w:tr>
      <w:tr>
        <w:tblPrEx>
          <w:shd w:val="clear" w:color="auto" w:fill="auto"/>
        </w:tblPrEx>
        <w:trPr>
          <w:trHeight w:val="370" w:hRule="atLeast"/>
        </w:trPr>
        <w:tc>
          <w:tcPr>
            <w:tcW w:type="dxa" w:w="33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7</w:t>
            </w:r>
          </w:p>
        </w:tc>
        <w:tc>
          <w:tcPr>
            <w:tcW w:type="dxa" w:w="19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RESIDENCE DEL COLLE S.r.l. - 04017531007</w:t>
            </w:r>
          </w:p>
        </w:tc>
        <w:tc>
          <w:tcPr>
            <w:tcW w:type="dxa" w:w="140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ROMA (RM) - VIA FOSDINOVO 18 SCALA C</w:t>
            </w:r>
          </w:p>
        </w:tc>
        <w:tc>
          <w:tcPr>
            <w:tcW w:type="dxa" w:w="61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25/01/1991</w:t>
            </w:r>
          </w:p>
        </w:tc>
        <w:tc>
          <w:tcPr>
            <w:tcW w:type="dxa" w:w="62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 </w:t>
            </w:r>
          </w:p>
        </w:tc>
        <w:tc>
          <w:tcPr>
            <w:tcW w:type="dxa" w:w="192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GESTIONE STRUTTURE RICETTIVE, CENTRI SOCIALI, CULTURALI, SPORTIVI E RICREATIVI IN GENERE</w:t>
            </w:r>
          </w:p>
        </w:tc>
        <w:tc>
          <w:tcPr>
            <w:tcW w:type="dxa" w:w="13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RAPPRESENTANTE LEGALE</w:t>
            </w:r>
          </w:p>
        </w:tc>
        <w:tc>
          <w:tcPr>
            <w:tcW w:type="dxa" w:w="6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gen-1991</w:t>
            </w:r>
          </w:p>
        </w:tc>
        <w:tc>
          <w:tcPr>
            <w:tcW w:type="dxa" w:w="7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mar-1995</w:t>
            </w:r>
          </w:p>
        </w:tc>
      </w:tr>
      <w:tr>
        <w:tblPrEx>
          <w:shd w:val="clear" w:color="auto" w:fill="auto"/>
        </w:tblPrEx>
        <w:trPr>
          <w:trHeight w:val="250" w:hRule="atLeast"/>
        </w:trPr>
        <w:tc>
          <w:tcPr>
            <w:tcW w:type="dxa" w:w="33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8</w:t>
            </w:r>
          </w:p>
        </w:tc>
        <w:tc>
          <w:tcPr>
            <w:tcW w:type="dxa" w:w="19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EDILVIGNOLA S.r.l. - 04328901006</w:t>
            </w:r>
          </w:p>
        </w:tc>
        <w:tc>
          <w:tcPr>
            <w:tcW w:type="dxa" w:w="140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ROMA (RM) - VIALE DEL POGGIO FIORITO 63</w:t>
            </w:r>
          </w:p>
        </w:tc>
        <w:tc>
          <w:tcPr>
            <w:tcW w:type="dxa" w:w="61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01/01/2009</w:t>
            </w:r>
          </w:p>
        </w:tc>
        <w:tc>
          <w:tcPr>
            <w:tcW w:type="dxa" w:w="62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 </w:t>
            </w:r>
          </w:p>
        </w:tc>
        <w:tc>
          <w:tcPr>
            <w:tcW w:type="dxa" w:w="192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COLTIVAZIONE DI LEGUMI DA GRANELLA</w:t>
            </w:r>
          </w:p>
        </w:tc>
        <w:tc>
          <w:tcPr>
            <w:tcW w:type="dxa" w:w="13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TITOLARE QUOTE</w:t>
            </w:r>
          </w:p>
        </w:tc>
        <w:tc>
          <w:tcPr>
            <w:tcW w:type="dxa" w:w="6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 </w:t>
            </w:r>
          </w:p>
        </w:tc>
        <w:tc>
          <w:tcPr>
            <w:tcW w:type="dxa" w:w="7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mag-1996</w:t>
            </w:r>
          </w:p>
        </w:tc>
      </w:tr>
      <w:tr>
        <w:tblPrEx>
          <w:shd w:val="clear" w:color="auto" w:fill="auto"/>
        </w:tblPrEx>
        <w:trPr>
          <w:trHeight w:val="370" w:hRule="atLeast"/>
        </w:trPr>
        <w:tc>
          <w:tcPr>
            <w:tcW w:type="dxa" w:w="33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9</w:t>
            </w:r>
          </w:p>
        </w:tc>
        <w:tc>
          <w:tcPr>
            <w:tcW w:type="dxa" w:w="19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ECOLOGIA VITERBO S.r.l. - 01469401002</w:t>
            </w:r>
          </w:p>
        </w:tc>
        <w:tc>
          <w:tcPr>
            <w:tcW w:type="dxa" w:w="140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ROMA (RM) - VIA ATTO TIGRI 11</w:t>
            </w:r>
          </w:p>
        </w:tc>
        <w:tc>
          <w:tcPr>
            <w:tcW w:type="dxa" w:w="61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26/01/1983</w:t>
            </w:r>
          </w:p>
        </w:tc>
        <w:tc>
          <w:tcPr>
            <w:tcW w:type="dxa" w:w="62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 </w:t>
            </w:r>
          </w:p>
        </w:tc>
        <w:tc>
          <w:tcPr>
            <w:tcW w:type="dxa" w:w="192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RECUPERO E PREPARAZIONE PER IL RICICLAGGIO DEI RIFIUTI SOLIDI URBANI, INDUSTRIALI E BIOMASSE</w:t>
            </w:r>
          </w:p>
        </w:tc>
        <w:tc>
          <w:tcPr>
            <w:tcW w:type="dxa" w:w="13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RAPPRESENTANTE LEGALE (PRESIDENTE)</w:t>
            </w:r>
          </w:p>
        </w:tc>
        <w:tc>
          <w:tcPr>
            <w:tcW w:type="dxa" w:w="6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gen-1983</w:t>
            </w:r>
          </w:p>
        </w:tc>
        <w:tc>
          <w:tcPr>
            <w:tcW w:type="dxa" w:w="7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lug-1996</w:t>
            </w:r>
          </w:p>
        </w:tc>
      </w:tr>
      <w:tr>
        <w:tblPrEx>
          <w:shd w:val="clear" w:color="auto" w:fill="auto"/>
        </w:tblPrEx>
        <w:trPr>
          <w:trHeight w:val="370" w:hRule="atLeast"/>
        </w:trPr>
        <w:tc>
          <w:tcPr>
            <w:tcW w:type="dxa" w:w="33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10</w:t>
            </w:r>
          </w:p>
        </w:tc>
        <w:tc>
          <w:tcPr>
            <w:tcW w:type="dxa" w:w="19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ECOLURBE S.p.A. - 03671371007</w:t>
            </w:r>
          </w:p>
        </w:tc>
        <w:tc>
          <w:tcPr>
            <w:tcW w:type="dxa" w:w="140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 xml:space="preserve">ROMA (RM) </w:t>
            </w: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 xml:space="preserve">– </w:t>
            </w: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VIA MALAGROTTA 257</w:t>
            </w:r>
          </w:p>
        </w:tc>
        <w:tc>
          <w:tcPr>
            <w:tcW w:type="dxa" w:w="61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28/06/1989</w:t>
            </w:r>
          </w:p>
        </w:tc>
        <w:tc>
          <w:tcPr>
            <w:tcW w:type="dxa" w:w="62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12/11/1997</w:t>
            </w:r>
          </w:p>
        </w:tc>
        <w:tc>
          <w:tcPr>
            <w:tcW w:type="dxa" w:w="192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ATTIVITA' DI RACCOLTA, TRATTAMENTO E SMALTIMENTO DEI RIFIUTI; RECUPERO DEI MATERIALI</w:t>
            </w:r>
          </w:p>
        </w:tc>
        <w:tc>
          <w:tcPr>
            <w:tcW w:type="dxa" w:w="13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RAPPRESENTANTE LEGALE (PRESIDENTE)</w:t>
            </w:r>
          </w:p>
        </w:tc>
        <w:tc>
          <w:tcPr>
            <w:tcW w:type="dxa" w:w="6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giu-1989</w:t>
            </w:r>
          </w:p>
        </w:tc>
        <w:tc>
          <w:tcPr>
            <w:tcW w:type="dxa" w:w="7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nov-1997</w:t>
            </w:r>
          </w:p>
        </w:tc>
      </w:tr>
      <w:tr>
        <w:tblPrEx>
          <w:shd w:val="clear" w:color="auto" w:fill="auto"/>
        </w:tblPrEx>
        <w:trPr>
          <w:trHeight w:val="250" w:hRule="atLeast"/>
        </w:trPr>
        <w:tc>
          <w:tcPr>
            <w:tcW w:type="dxa" w:w="33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11</w:t>
            </w:r>
          </w:p>
        </w:tc>
        <w:tc>
          <w:tcPr>
            <w:tcW w:type="dxa" w:w="19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Cerroni MANLIO IMP. INDIVIDUALE - 05142661007</w:t>
            </w:r>
          </w:p>
        </w:tc>
        <w:tc>
          <w:tcPr>
            <w:tcW w:type="dxa" w:w="140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ROMA (RM) - VIALE POGGIO FIORITO</w:t>
            </w:r>
          </w:p>
        </w:tc>
        <w:tc>
          <w:tcPr>
            <w:tcW w:type="dxa" w:w="61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15/07/1996</w:t>
            </w:r>
          </w:p>
        </w:tc>
        <w:tc>
          <w:tcPr>
            <w:tcW w:type="dxa" w:w="62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30/11/1997</w:t>
            </w:r>
          </w:p>
        </w:tc>
        <w:tc>
          <w:tcPr>
            <w:tcW w:type="dxa" w:w="192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 xml:space="preserve">AMMINISTRATORI DI SOCIETA' ED ENTI, CONSULENZA AMM. AZIENDA                                                                                                                                                                                                    </w:t>
            </w:r>
          </w:p>
        </w:tc>
        <w:tc>
          <w:tcPr>
            <w:tcW w:type="dxa" w:w="13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TITOLARE</w:t>
            </w:r>
          </w:p>
        </w:tc>
        <w:tc>
          <w:tcPr>
            <w:tcW w:type="dxa" w:w="6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lug-1996</w:t>
            </w:r>
          </w:p>
        </w:tc>
        <w:tc>
          <w:tcPr>
            <w:tcW w:type="dxa" w:w="7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nov-1997</w:t>
            </w:r>
          </w:p>
        </w:tc>
      </w:tr>
      <w:tr>
        <w:tblPrEx>
          <w:shd w:val="clear" w:color="auto" w:fill="auto"/>
        </w:tblPrEx>
        <w:trPr>
          <w:trHeight w:val="490" w:hRule="atLeast"/>
        </w:trPr>
        <w:tc>
          <w:tcPr>
            <w:tcW w:type="dxa" w:w="33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12</w:t>
            </w:r>
          </w:p>
        </w:tc>
        <w:tc>
          <w:tcPr>
            <w:tcW w:type="dxa" w:w="19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OS.LA. S.r.l. - 01906450364</w:t>
            </w:r>
          </w:p>
        </w:tc>
        <w:tc>
          <w:tcPr>
            <w:tcW w:type="dxa" w:w="140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SASSUOLO (MO) - VIA RADICI IN PIANO 48</w:t>
            </w:r>
          </w:p>
        </w:tc>
        <w:tc>
          <w:tcPr>
            <w:tcW w:type="dxa" w:w="61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28/04/1969</w:t>
            </w:r>
          </w:p>
        </w:tc>
        <w:tc>
          <w:tcPr>
            <w:tcW w:type="dxa" w:w="62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 </w:t>
            </w:r>
          </w:p>
        </w:tc>
        <w:tc>
          <w:tcPr>
            <w:tcW w:type="dxa" w:w="192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LAVORAZIONE E CONSERVAZIONE DI CARNE E PRODUZIONE DI PRODOTTI A BASE DI CARNE</w:t>
            </w:r>
          </w:p>
        </w:tc>
        <w:tc>
          <w:tcPr>
            <w:tcW w:type="dxa" w:w="13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RAPPRESENTANTE LEGALE (AMMINISTRATORE UNICO)</w:t>
            </w:r>
          </w:p>
        </w:tc>
        <w:tc>
          <w:tcPr>
            <w:tcW w:type="dxa" w:w="6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apr-1997</w:t>
            </w:r>
          </w:p>
        </w:tc>
        <w:tc>
          <w:tcPr>
            <w:tcW w:type="dxa" w:w="7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set-1998</w:t>
            </w:r>
          </w:p>
        </w:tc>
      </w:tr>
      <w:tr>
        <w:tblPrEx>
          <w:shd w:val="clear" w:color="auto" w:fill="auto"/>
        </w:tblPrEx>
        <w:trPr>
          <w:trHeight w:val="370" w:hRule="atLeast"/>
        </w:trPr>
        <w:tc>
          <w:tcPr>
            <w:tcW w:type="dxa" w:w="33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13</w:t>
            </w:r>
          </w:p>
        </w:tc>
        <w:tc>
          <w:tcPr>
            <w:tcW w:type="dxa" w:w="19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CARLO GAVAZZI GREEN POWER S.p.A. - 02420520161</w:t>
            </w:r>
          </w:p>
        </w:tc>
        <w:tc>
          <w:tcPr>
            <w:tcW w:type="dxa" w:w="140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BERGAMO (BG) - VIA VERDI 11 C/O STUDIO COMMLE DRRONDINI</w:t>
            </w:r>
          </w:p>
        </w:tc>
        <w:tc>
          <w:tcPr>
            <w:tcW w:type="dxa" w:w="61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12/03/1996</w:t>
            </w:r>
          </w:p>
        </w:tc>
        <w:tc>
          <w:tcPr>
            <w:tcW w:type="dxa" w:w="62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03/04/2000</w:t>
            </w:r>
          </w:p>
        </w:tc>
        <w:tc>
          <w:tcPr>
            <w:tcW w:type="dxa" w:w="192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PRODUZIONE, TRASMISSIONE E DISTRIBUZIONE DI ENERGIA ELETTRICA</w:t>
            </w:r>
          </w:p>
        </w:tc>
        <w:tc>
          <w:tcPr>
            <w:tcW w:type="dxa" w:w="13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CONSIGLIERE</w:t>
            </w:r>
          </w:p>
        </w:tc>
        <w:tc>
          <w:tcPr>
            <w:tcW w:type="dxa" w:w="6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 </w:t>
            </w:r>
          </w:p>
        </w:tc>
        <w:tc>
          <w:tcPr>
            <w:tcW w:type="dxa" w:w="7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giu-1999</w:t>
            </w:r>
          </w:p>
        </w:tc>
      </w:tr>
      <w:tr>
        <w:tblPrEx>
          <w:shd w:val="clear" w:color="auto" w:fill="auto"/>
        </w:tblPrEx>
        <w:trPr>
          <w:trHeight w:val="370" w:hRule="atLeast"/>
        </w:trPr>
        <w:tc>
          <w:tcPr>
            <w:tcW w:type="dxa" w:w="33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14</w:t>
            </w:r>
          </w:p>
        </w:tc>
        <w:tc>
          <w:tcPr>
            <w:tcW w:type="dxa" w:w="19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GREEN POWER S.r.l. CON UNICO SOCIO - 13076110157</w:t>
            </w:r>
          </w:p>
        </w:tc>
        <w:tc>
          <w:tcPr>
            <w:tcW w:type="dxa" w:w="140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VIGGIANO (PZ) - CONTRADA CEMBRINA SNC ZONA INDUSTRIALE</w:t>
            </w:r>
          </w:p>
        </w:tc>
        <w:tc>
          <w:tcPr>
            <w:tcW w:type="dxa" w:w="61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09/03/2009</w:t>
            </w:r>
          </w:p>
        </w:tc>
        <w:tc>
          <w:tcPr>
            <w:tcW w:type="dxa" w:w="62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 </w:t>
            </w:r>
          </w:p>
        </w:tc>
        <w:tc>
          <w:tcPr>
            <w:tcW w:type="dxa" w:w="192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PRODUZIONE DI ENERGIA ELETTRICA</w:t>
            </w:r>
          </w:p>
        </w:tc>
        <w:tc>
          <w:tcPr>
            <w:tcW w:type="dxa" w:w="13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CONSIGLIERE</w:t>
            </w:r>
          </w:p>
        </w:tc>
        <w:tc>
          <w:tcPr>
            <w:tcW w:type="dxa" w:w="6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 </w:t>
            </w:r>
          </w:p>
        </w:tc>
        <w:tc>
          <w:tcPr>
            <w:tcW w:type="dxa" w:w="7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giu-1999</w:t>
            </w:r>
          </w:p>
        </w:tc>
      </w:tr>
      <w:tr>
        <w:tblPrEx>
          <w:shd w:val="clear" w:color="auto" w:fill="auto"/>
        </w:tblPrEx>
        <w:trPr>
          <w:trHeight w:val="250" w:hRule="atLeast"/>
        </w:trPr>
        <w:tc>
          <w:tcPr>
            <w:tcW w:type="dxa" w:w="33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15</w:t>
            </w:r>
          </w:p>
        </w:tc>
        <w:tc>
          <w:tcPr>
            <w:tcW w:type="dxa" w:w="19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C.T.R. - CONSORZIO TRATTAMENTO RIFIUTI - 04162121000</w:t>
            </w:r>
          </w:p>
        </w:tc>
        <w:tc>
          <w:tcPr>
            <w:tcW w:type="dxa" w:w="140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ROMA (RM) - VIA PONTINA 549</w:t>
            </w:r>
          </w:p>
        </w:tc>
        <w:tc>
          <w:tcPr>
            <w:tcW w:type="dxa" w:w="61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08/11/1995</w:t>
            </w:r>
          </w:p>
        </w:tc>
        <w:tc>
          <w:tcPr>
            <w:tcW w:type="dxa" w:w="62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30/12/2002</w:t>
            </w:r>
          </w:p>
        </w:tc>
        <w:tc>
          <w:tcPr>
            <w:tcW w:type="dxa" w:w="192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TRASPORTO DI MERCI SU STRADA</w:t>
            </w:r>
          </w:p>
        </w:tc>
        <w:tc>
          <w:tcPr>
            <w:tcW w:type="dxa" w:w="13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AMMINISTRATORE DELEGATO</w:t>
            </w:r>
          </w:p>
        </w:tc>
        <w:tc>
          <w:tcPr>
            <w:tcW w:type="dxa" w:w="6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 </w:t>
            </w:r>
          </w:p>
        </w:tc>
        <w:tc>
          <w:tcPr>
            <w:tcW w:type="dxa" w:w="7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nov-1999</w:t>
            </w:r>
          </w:p>
        </w:tc>
      </w:tr>
      <w:tr>
        <w:tblPrEx>
          <w:shd w:val="clear" w:color="auto" w:fill="auto"/>
        </w:tblPrEx>
        <w:trPr>
          <w:trHeight w:val="370" w:hRule="atLeast"/>
        </w:trPr>
        <w:tc>
          <w:tcPr>
            <w:tcW w:type="dxa" w:w="33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16</w:t>
            </w:r>
          </w:p>
        </w:tc>
        <w:tc>
          <w:tcPr>
            <w:tcW w:type="dxa" w:w="19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SYSTEMA FINANZIARIA S.r.l. CON UNICO SOCIO - 01089900391</w:t>
            </w:r>
          </w:p>
        </w:tc>
        <w:tc>
          <w:tcPr>
            <w:tcW w:type="dxa" w:w="140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BRESCIA (BS) - VIA DELLE BETTOLE 88</w:t>
            </w:r>
          </w:p>
        </w:tc>
        <w:tc>
          <w:tcPr>
            <w:tcW w:type="dxa" w:w="61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28/12/1998</w:t>
            </w:r>
          </w:p>
        </w:tc>
        <w:tc>
          <w:tcPr>
            <w:tcW w:type="dxa" w:w="62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06/12/1999</w:t>
            </w:r>
          </w:p>
        </w:tc>
        <w:tc>
          <w:tcPr>
            <w:tcW w:type="dxa" w:w="192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ALTRE ATTIVITA' PROFESSIONALI, SCIENTIFICHE E TECNICHE</w:t>
            </w:r>
          </w:p>
        </w:tc>
        <w:tc>
          <w:tcPr>
            <w:tcW w:type="dxa" w:w="13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RAPPRESENTANTE LEGALE (PRESIDENTE CDA)</w:t>
            </w:r>
          </w:p>
        </w:tc>
        <w:tc>
          <w:tcPr>
            <w:tcW w:type="dxa" w:w="6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lug-1997</w:t>
            </w:r>
          </w:p>
        </w:tc>
        <w:tc>
          <w:tcPr>
            <w:tcW w:type="dxa" w:w="7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dic-1999</w:t>
            </w:r>
          </w:p>
        </w:tc>
      </w:tr>
      <w:tr>
        <w:tblPrEx>
          <w:shd w:val="clear" w:color="auto" w:fill="auto"/>
        </w:tblPrEx>
        <w:trPr>
          <w:trHeight w:val="370" w:hRule="atLeast"/>
        </w:trPr>
        <w:tc>
          <w:tcPr>
            <w:tcW w:type="dxa" w:w="33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17</w:t>
            </w:r>
          </w:p>
        </w:tc>
        <w:tc>
          <w:tcPr>
            <w:tcW w:type="dxa" w:w="19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VALS.ECO S.r.l. CON UNICO SOCIO - 02959070174</w:t>
            </w:r>
          </w:p>
        </w:tc>
        <w:tc>
          <w:tcPr>
            <w:tcW w:type="dxa" w:w="140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 xml:space="preserve">MONTICHIARI (BS) </w:t>
            </w: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 xml:space="preserve">– </w:t>
            </w: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VIA LPIRANDELLO 35</w:t>
            </w:r>
          </w:p>
        </w:tc>
        <w:tc>
          <w:tcPr>
            <w:tcW w:type="dxa" w:w="61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28/12/1998</w:t>
            </w:r>
          </w:p>
        </w:tc>
        <w:tc>
          <w:tcPr>
            <w:tcW w:type="dxa" w:w="62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06/12/1999</w:t>
            </w:r>
          </w:p>
        </w:tc>
        <w:tc>
          <w:tcPr>
            <w:tcW w:type="dxa" w:w="192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ATTIVITA' DI RACCOLTA, TRATTAMENTO E SMALTIMENTO DEI RIFIUTI; RECUPERO DEI MATERIALI</w:t>
            </w:r>
          </w:p>
        </w:tc>
        <w:tc>
          <w:tcPr>
            <w:tcW w:type="dxa" w:w="13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CONSIGLIERE</w:t>
            </w:r>
          </w:p>
        </w:tc>
        <w:tc>
          <w:tcPr>
            <w:tcW w:type="dxa" w:w="6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ott-1997</w:t>
            </w:r>
          </w:p>
        </w:tc>
        <w:tc>
          <w:tcPr>
            <w:tcW w:type="dxa" w:w="7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dic-1999</w:t>
            </w:r>
          </w:p>
        </w:tc>
      </w:tr>
      <w:tr>
        <w:tblPrEx>
          <w:shd w:val="clear" w:color="auto" w:fill="auto"/>
        </w:tblPrEx>
        <w:trPr>
          <w:trHeight w:val="370" w:hRule="atLeast"/>
        </w:trPr>
        <w:tc>
          <w:tcPr>
            <w:tcW w:type="dxa" w:w="33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18</w:t>
            </w:r>
          </w:p>
        </w:tc>
        <w:tc>
          <w:tcPr>
            <w:tcW w:type="dxa" w:w="19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ECOLOGIA 2000 S.p.A. - 04434981009</w:t>
            </w:r>
          </w:p>
        </w:tc>
        <w:tc>
          <w:tcPr>
            <w:tcW w:type="dxa" w:w="140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ROMA (RM) - VIALE POGGIO FIORITO 63</w:t>
            </w:r>
          </w:p>
        </w:tc>
        <w:tc>
          <w:tcPr>
            <w:tcW w:type="dxa" w:w="61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08/07/1991</w:t>
            </w:r>
          </w:p>
        </w:tc>
        <w:tc>
          <w:tcPr>
            <w:tcW w:type="dxa" w:w="62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 </w:t>
            </w:r>
          </w:p>
        </w:tc>
        <w:tc>
          <w:tcPr>
            <w:tcW w:type="dxa" w:w="192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ATTIVITA' DI RACCOLTA, TRATTAMENTO E SMALTIMENTO DEI RIFIUTI; RECUPERO DEI MATERIALI</w:t>
            </w:r>
          </w:p>
        </w:tc>
        <w:tc>
          <w:tcPr>
            <w:tcW w:type="dxa" w:w="13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RAPPRESENTANTE LEGALE (PRESIDENTE)</w:t>
            </w:r>
          </w:p>
        </w:tc>
        <w:tc>
          <w:tcPr>
            <w:tcW w:type="dxa" w:w="6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ott-1991</w:t>
            </w:r>
          </w:p>
        </w:tc>
        <w:tc>
          <w:tcPr>
            <w:tcW w:type="dxa" w:w="7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dic-1999</w:t>
            </w:r>
          </w:p>
        </w:tc>
      </w:tr>
      <w:tr>
        <w:tblPrEx>
          <w:shd w:val="clear" w:color="auto" w:fill="auto"/>
        </w:tblPrEx>
        <w:trPr>
          <w:trHeight w:val="490" w:hRule="atLeast"/>
        </w:trPr>
        <w:tc>
          <w:tcPr>
            <w:tcW w:type="dxa" w:w="33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19</w:t>
            </w:r>
          </w:p>
        </w:tc>
        <w:tc>
          <w:tcPr>
            <w:tcW w:type="dxa" w:w="19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FINECOLOGIC S.r.l. CON UNICO SOCIO - 05956081003</w:t>
            </w:r>
          </w:p>
        </w:tc>
        <w:tc>
          <w:tcPr>
            <w:tcW w:type="dxa" w:w="140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ROMA (RM) - VIALE DEL COLLE FIORITO 63</w:t>
            </w:r>
          </w:p>
        </w:tc>
        <w:tc>
          <w:tcPr>
            <w:tcW w:type="dxa" w:w="61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26/01/2000</w:t>
            </w:r>
          </w:p>
        </w:tc>
        <w:tc>
          <w:tcPr>
            <w:tcW w:type="dxa" w:w="62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 </w:t>
            </w:r>
          </w:p>
        </w:tc>
        <w:tc>
          <w:tcPr>
            <w:tcW w:type="dxa" w:w="192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ALTRI SERVIZI DI SOSTEGNO ALLE IMPRESE NCA</w:t>
            </w:r>
          </w:p>
        </w:tc>
        <w:tc>
          <w:tcPr>
            <w:tcW w:type="dxa" w:w="13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RAPPRESENTANTE LEGALE (AMMINISTRATORE UNICO) E SOCIO</w:t>
            </w:r>
          </w:p>
        </w:tc>
        <w:tc>
          <w:tcPr>
            <w:tcW w:type="dxa" w:w="6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gen-2000</w:t>
            </w:r>
          </w:p>
        </w:tc>
        <w:tc>
          <w:tcPr>
            <w:tcW w:type="dxa" w:w="7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feb-2000</w:t>
            </w:r>
          </w:p>
        </w:tc>
      </w:tr>
      <w:tr>
        <w:tblPrEx>
          <w:shd w:val="clear" w:color="auto" w:fill="auto"/>
        </w:tblPrEx>
        <w:trPr>
          <w:trHeight w:val="370" w:hRule="atLeast"/>
        </w:trPr>
        <w:tc>
          <w:tcPr>
            <w:tcW w:type="dxa" w:w="33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20</w:t>
            </w:r>
          </w:p>
        </w:tc>
        <w:tc>
          <w:tcPr>
            <w:tcW w:type="dxa" w:w="19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ECOAMBIENTE S.r.l. - 01899930596</w:t>
            </w:r>
          </w:p>
        </w:tc>
        <w:tc>
          <w:tcPr>
            <w:tcW w:type="dxa" w:w="140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 xml:space="preserve">LATINA (LT) </w:t>
            </w: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 xml:space="preserve">– </w:t>
            </w: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VIA MONFALCONE KM2500 SNC</w:t>
            </w:r>
          </w:p>
        </w:tc>
        <w:tc>
          <w:tcPr>
            <w:tcW w:type="dxa" w:w="61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24/09/2001</w:t>
            </w:r>
          </w:p>
        </w:tc>
        <w:tc>
          <w:tcPr>
            <w:tcW w:type="dxa" w:w="62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 </w:t>
            </w:r>
          </w:p>
        </w:tc>
        <w:tc>
          <w:tcPr>
            <w:tcW w:type="dxa" w:w="192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ATTIVITA' DI RACCOLTA, TRATTAMENTO E SMALTIMENTO DEI RIFIUTI; RECUPERO DEI MATERIALI</w:t>
            </w:r>
          </w:p>
        </w:tc>
        <w:tc>
          <w:tcPr>
            <w:tcW w:type="dxa" w:w="13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CONSIGLIERE</w:t>
            </w:r>
          </w:p>
        </w:tc>
        <w:tc>
          <w:tcPr>
            <w:tcW w:type="dxa" w:w="6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 </w:t>
            </w:r>
          </w:p>
        </w:tc>
        <w:tc>
          <w:tcPr>
            <w:tcW w:type="dxa" w:w="7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mag-2001</w:t>
            </w:r>
          </w:p>
        </w:tc>
      </w:tr>
      <w:tr>
        <w:tblPrEx>
          <w:shd w:val="clear" w:color="auto" w:fill="auto"/>
        </w:tblPrEx>
        <w:trPr>
          <w:trHeight w:val="370" w:hRule="atLeast"/>
        </w:trPr>
        <w:tc>
          <w:tcPr>
            <w:tcW w:type="dxa" w:w="33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21</w:t>
            </w:r>
          </w:p>
        </w:tc>
        <w:tc>
          <w:tcPr>
            <w:tcW w:type="dxa" w:w="19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FIUMICINO SERVIZI S.p.A. IN LIQUIDAZIONE - 05928701001</w:t>
            </w:r>
          </w:p>
        </w:tc>
        <w:tc>
          <w:tcPr>
            <w:tcW w:type="dxa" w:w="140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 xml:space="preserve">FIUMICINO (RM) </w:t>
            </w: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 xml:space="preserve">– </w:t>
            </w: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VIA PORTUENSE 2498 PRESSO COMUNE DI FIUMICINO</w:t>
            </w:r>
          </w:p>
        </w:tc>
        <w:tc>
          <w:tcPr>
            <w:tcW w:type="dxa" w:w="61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20/01/2000</w:t>
            </w:r>
          </w:p>
        </w:tc>
        <w:tc>
          <w:tcPr>
            <w:tcW w:type="dxa" w:w="62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18/12/2014</w:t>
            </w:r>
          </w:p>
        </w:tc>
        <w:tc>
          <w:tcPr>
            <w:tcW w:type="dxa" w:w="192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RACCOLTA DI RIFIUTI SOLIDI NON PERICOLOSI</w:t>
            </w:r>
          </w:p>
        </w:tc>
        <w:tc>
          <w:tcPr>
            <w:tcW w:type="dxa" w:w="13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CONSIGLIERE</w:t>
            </w:r>
          </w:p>
        </w:tc>
        <w:tc>
          <w:tcPr>
            <w:tcW w:type="dxa" w:w="6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 </w:t>
            </w:r>
          </w:p>
        </w:tc>
        <w:tc>
          <w:tcPr>
            <w:tcW w:type="dxa" w:w="7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ago-2001</w:t>
            </w:r>
          </w:p>
        </w:tc>
      </w:tr>
      <w:tr>
        <w:tblPrEx>
          <w:shd w:val="clear" w:color="auto" w:fill="auto"/>
        </w:tblPrEx>
        <w:trPr>
          <w:trHeight w:val="250" w:hRule="atLeast"/>
        </w:trPr>
        <w:tc>
          <w:tcPr>
            <w:tcW w:type="dxa" w:w="33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22</w:t>
            </w:r>
          </w:p>
        </w:tc>
        <w:tc>
          <w:tcPr>
            <w:tcW w:type="dxa" w:w="19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SVR S.r.l. CON UNICO SOCIO IN LIQUIDAZIONE - 11928350153</w:t>
            </w:r>
          </w:p>
        </w:tc>
        <w:tc>
          <w:tcPr>
            <w:tcW w:type="dxa" w:w="140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BRESCIA (BS) - VIA DEI SANTI 58</w:t>
            </w:r>
          </w:p>
        </w:tc>
        <w:tc>
          <w:tcPr>
            <w:tcW w:type="dxa" w:w="61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05/11/1996</w:t>
            </w:r>
          </w:p>
        </w:tc>
        <w:tc>
          <w:tcPr>
            <w:tcW w:type="dxa" w:w="62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29/08/2006</w:t>
            </w:r>
          </w:p>
        </w:tc>
        <w:tc>
          <w:tcPr>
            <w:tcW w:type="dxa" w:w="192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TRATTAMENTO E SMALTIMENTO DI RIFIUTI PERICOLOSI</w:t>
            </w:r>
          </w:p>
        </w:tc>
        <w:tc>
          <w:tcPr>
            <w:tcW w:type="dxa" w:w="13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CONSIGLIERE</w:t>
            </w:r>
          </w:p>
        </w:tc>
        <w:tc>
          <w:tcPr>
            <w:tcW w:type="dxa" w:w="6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 </w:t>
            </w:r>
          </w:p>
        </w:tc>
        <w:tc>
          <w:tcPr>
            <w:tcW w:type="dxa" w:w="7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nov-2001</w:t>
            </w:r>
          </w:p>
        </w:tc>
      </w:tr>
      <w:tr>
        <w:tblPrEx>
          <w:shd w:val="clear" w:color="auto" w:fill="auto"/>
        </w:tblPrEx>
        <w:trPr>
          <w:trHeight w:val="250" w:hRule="atLeast"/>
        </w:trPr>
        <w:tc>
          <w:tcPr>
            <w:tcW w:type="dxa" w:w="33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23</w:t>
            </w:r>
          </w:p>
        </w:tc>
        <w:tc>
          <w:tcPr>
            <w:tcW w:type="dxa" w:w="19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SLIA S.r.l. IN LIQUIDAZIONE - 00881251003</w:t>
            </w:r>
          </w:p>
        </w:tc>
        <w:tc>
          <w:tcPr>
            <w:tcW w:type="dxa" w:w="140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ROMA (RM) - VIA CORTINA D'AMPEZZO 47</w:t>
            </w:r>
          </w:p>
        </w:tc>
        <w:tc>
          <w:tcPr>
            <w:tcW w:type="dxa" w:w="61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19/04/1951</w:t>
            </w:r>
          </w:p>
        </w:tc>
        <w:tc>
          <w:tcPr>
            <w:tcW w:type="dxa" w:w="62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 </w:t>
            </w:r>
          </w:p>
        </w:tc>
        <w:tc>
          <w:tcPr>
            <w:tcW w:type="dxa" w:w="192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RACCOLTA DI RIFIUTI SOLIDI NON PERICOLOSI</w:t>
            </w:r>
          </w:p>
        </w:tc>
        <w:tc>
          <w:tcPr>
            <w:tcW w:type="dxa" w:w="13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TITOLARE QUOTE</w:t>
            </w:r>
          </w:p>
        </w:tc>
        <w:tc>
          <w:tcPr>
            <w:tcW w:type="dxa" w:w="6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 </w:t>
            </w:r>
          </w:p>
        </w:tc>
        <w:tc>
          <w:tcPr>
            <w:tcW w:type="dxa" w:w="7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ott-2003</w:t>
            </w:r>
          </w:p>
        </w:tc>
      </w:tr>
      <w:tr>
        <w:tblPrEx>
          <w:shd w:val="clear" w:color="auto" w:fill="auto"/>
        </w:tblPrEx>
        <w:trPr>
          <w:trHeight w:val="250" w:hRule="atLeast"/>
        </w:trPr>
        <w:tc>
          <w:tcPr>
            <w:tcW w:type="dxa" w:w="33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24</w:t>
            </w:r>
          </w:p>
        </w:tc>
        <w:tc>
          <w:tcPr>
            <w:tcW w:type="dxa" w:w="19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PIRAMO - S.r.l. - 01314171008</w:t>
            </w:r>
          </w:p>
        </w:tc>
        <w:tc>
          <w:tcPr>
            <w:tcW w:type="dxa" w:w="140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ROMA (RM) - VIA EUGENIO CHIESA 27</w:t>
            </w:r>
          </w:p>
        </w:tc>
        <w:tc>
          <w:tcPr>
            <w:tcW w:type="dxa" w:w="61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06/11/1980</w:t>
            </w:r>
          </w:p>
        </w:tc>
        <w:tc>
          <w:tcPr>
            <w:tcW w:type="dxa" w:w="62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18/12/2003</w:t>
            </w:r>
          </w:p>
        </w:tc>
        <w:tc>
          <w:tcPr>
            <w:tcW w:type="dxa" w:w="192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ACQUISTO, CONDUZIONE, VENDITA, PERMUTA DI BENI IMMOBILI</w:t>
            </w:r>
          </w:p>
        </w:tc>
        <w:tc>
          <w:tcPr>
            <w:tcW w:type="dxa" w:w="13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TITOLARE QUOTE</w:t>
            </w:r>
          </w:p>
        </w:tc>
        <w:tc>
          <w:tcPr>
            <w:tcW w:type="dxa" w:w="6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 </w:t>
            </w:r>
          </w:p>
        </w:tc>
        <w:tc>
          <w:tcPr>
            <w:tcW w:type="dxa" w:w="7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dic-2003</w:t>
            </w:r>
          </w:p>
        </w:tc>
      </w:tr>
      <w:tr>
        <w:tblPrEx>
          <w:shd w:val="clear" w:color="auto" w:fill="auto"/>
        </w:tblPrEx>
        <w:trPr>
          <w:trHeight w:val="370" w:hRule="atLeast"/>
        </w:trPr>
        <w:tc>
          <w:tcPr>
            <w:tcW w:type="dxa" w:w="33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25</w:t>
            </w:r>
          </w:p>
        </w:tc>
        <w:tc>
          <w:tcPr>
            <w:tcW w:type="dxa" w:w="19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AGENZIA LAZIO AMBIENTE A.L.A. SOC. COOP. AR.L. IN LIQUIDAZIONE - 06075481009</w:t>
            </w:r>
          </w:p>
        </w:tc>
        <w:tc>
          <w:tcPr>
            <w:tcW w:type="dxa" w:w="140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 xml:space="preserve">ROMA (RM) </w:t>
            </w: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 xml:space="preserve">– </w:t>
            </w: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VIA CIVITAVECCHIA 3</w:t>
            </w:r>
          </w:p>
        </w:tc>
        <w:tc>
          <w:tcPr>
            <w:tcW w:type="dxa" w:w="61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15/02/2000</w:t>
            </w:r>
          </w:p>
        </w:tc>
        <w:tc>
          <w:tcPr>
            <w:tcW w:type="dxa" w:w="62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11/10/2007</w:t>
            </w:r>
          </w:p>
        </w:tc>
        <w:tc>
          <w:tcPr>
            <w:tcW w:type="dxa" w:w="192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VALORIZZAZIONE MATERIE DA RACCOLTA DIFFERENZIATA RIFIUTI URBANI</w:t>
            </w:r>
          </w:p>
        </w:tc>
        <w:tc>
          <w:tcPr>
            <w:tcW w:type="dxa" w:w="13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CONSIGLIERE</w:t>
            </w:r>
          </w:p>
        </w:tc>
        <w:tc>
          <w:tcPr>
            <w:tcW w:type="dxa" w:w="6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 </w:t>
            </w:r>
          </w:p>
        </w:tc>
        <w:tc>
          <w:tcPr>
            <w:tcW w:type="dxa" w:w="7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ago-2004</w:t>
            </w:r>
          </w:p>
        </w:tc>
      </w:tr>
      <w:tr>
        <w:tblPrEx>
          <w:shd w:val="clear" w:color="auto" w:fill="auto"/>
        </w:tblPrEx>
        <w:trPr>
          <w:trHeight w:val="490" w:hRule="atLeast"/>
        </w:trPr>
        <w:tc>
          <w:tcPr>
            <w:tcW w:type="dxa" w:w="33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26</w:t>
            </w:r>
          </w:p>
        </w:tc>
        <w:tc>
          <w:tcPr>
            <w:tcW w:type="dxa" w:w="19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CAVALLOTTI S.r.l. CON UNICO SOCIO - 07374571003</w:t>
            </w:r>
          </w:p>
        </w:tc>
        <w:tc>
          <w:tcPr>
            <w:tcW w:type="dxa" w:w="140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ROMA (RM) - VIA GUIDO D'AREZZO 28</w:t>
            </w:r>
          </w:p>
        </w:tc>
        <w:tc>
          <w:tcPr>
            <w:tcW w:type="dxa" w:w="61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24/01/2003</w:t>
            </w:r>
          </w:p>
        </w:tc>
        <w:tc>
          <w:tcPr>
            <w:tcW w:type="dxa" w:w="62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21/01/2005</w:t>
            </w:r>
          </w:p>
        </w:tc>
        <w:tc>
          <w:tcPr>
            <w:tcW w:type="dxa" w:w="192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ATTIVITA' ED OPERAZIONI IN CAMPO IMMOBILIARE</w:t>
            </w:r>
          </w:p>
        </w:tc>
        <w:tc>
          <w:tcPr>
            <w:tcW w:type="dxa" w:w="13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RAPPRESENTANTE LEGALE (AMMINISTRATORE UNICO)</w:t>
            </w:r>
          </w:p>
        </w:tc>
        <w:tc>
          <w:tcPr>
            <w:tcW w:type="dxa" w:w="6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gen-2003</w:t>
            </w:r>
          </w:p>
        </w:tc>
        <w:tc>
          <w:tcPr>
            <w:tcW w:type="dxa" w:w="7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ott-2004</w:t>
            </w:r>
          </w:p>
        </w:tc>
      </w:tr>
      <w:tr>
        <w:tblPrEx>
          <w:shd w:val="clear" w:color="auto" w:fill="auto"/>
        </w:tblPrEx>
        <w:trPr>
          <w:trHeight w:val="370" w:hRule="atLeast"/>
        </w:trPr>
        <w:tc>
          <w:tcPr>
            <w:tcW w:type="dxa" w:w="33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27</w:t>
            </w:r>
          </w:p>
        </w:tc>
        <w:tc>
          <w:tcPr>
            <w:tcW w:type="dxa" w:w="19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IRIS S.r.l. IN LIQUIDAZIONE - 03429160173</w:t>
            </w:r>
          </w:p>
        </w:tc>
        <w:tc>
          <w:tcPr>
            <w:tcW w:type="dxa" w:w="140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BRESCIA (BS) - VIA DEI SANTI 58</w:t>
            </w:r>
          </w:p>
        </w:tc>
        <w:tc>
          <w:tcPr>
            <w:tcW w:type="dxa" w:w="61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16/11/2004</w:t>
            </w:r>
          </w:p>
        </w:tc>
        <w:tc>
          <w:tcPr>
            <w:tcW w:type="dxa" w:w="62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07/12/2009</w:t>
            </w:r>
          </w:p>
        </w:tc>
        <w:tc>
          <w:tcPr>
            <w:tcW w:type="dxa" w:w="192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ATTIVITA' DI RACCOLTA, TRATTAMENTO E SMALTIMENTO DEI RIFIUTI; RECUPERO DEI MATERIALI</w:t>
            </w:r>
          </w:p>
        </w:tc>
        <w:tc>
          <w:tcPr>
            <w:tcW w:type="dxa" w:w="13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CONSIGLIERE</w:t>
            </w:r>
          </w:p>
        </w:tc>
        <w:tc>
          <w:tcPr>
            <w:tcW w:type="dxa" w:w="6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lug-2001</w:t>
            </w:r>
          </w:p>
        </w:tc>
        <w:tc>
          <w:tcPr>
            <w:tcW w:type="dxa" w:w="7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nov-2004</w:t>
            </w:r>
          </w:p>
        </w:tc>
      </w:tr>
      <w:tr>
        <w:tblPrEx>
          <w:shd w:val="clear" w:color="auto" w:fill="auto"/>
        </w:tblPrEx>
        <w:trPr>
          <w:trHeight w:val="250" w:hRule="atLeast"/>
        </w:trPr>
        <w:tc>
          <w:tcPr>
            <w:tcW w:type="dxa" w:w="33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28</w:t>
            </w:r>
          </w:p>
        </w:tc>
        <w:tc>
          <w:tcPr>
            <w:tcW w:type="dxa" w:w="19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ROSOLINO PILO S.r.l. CON UNICO SOCIO - 01215631001</w:t>
            </w:r>
          </w:p>
        </w:tc>
        <w:tc>
          <w:tcPr>
            <w:tcW w:type="dxa" w:w="140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pt-PT"/>
              </w:rPr>
              <w:t>ROMA (RM) - VIA CARDINAL DE LUCA 22</w:t>
            </w:r>
          </w:p>
        </w:tc>
        <w:tc>
          <w:tcPr>
            <w:tcW w:type="dxa" w:w="61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07/06/1979</w:t>
            </w:r>
          </w:p>
        </w:tc>
        <w:tc>
          <w:tcPr>
            <w:tcW w:type="dxa" w:w="62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29/12/2004</w:t>
            </w:r>
          </w:p>
        </w:tc>
        <w:tc>
          <w:tcPr>
            <w:tcW w:type="dxa" w:w="192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GESTIONE DI SCUOLE DI OGNI ORDINE E GRADO</w:t>
            </w:r>
          </w:p>
        </w:tc>
        <w:tc>
          <w:tcPr>
            <w:tcW w:type="dxa" w:w="13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TITOLARE QUOTE</w:t>
            </w:r>
          </w:p>
        </w:tc>
        <w:tc>
          <w:tcPr>
            <w:tcW w:type="dxa" w:w="6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mag-2003</w:t>
            </w:r>
          </w:p>
        </w:tc>
        <w:tc>
          <w:tcPr>
            <w:tcW w:type="dxa" w:w="7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dic-2004</w:t>
            </w:r>
          </w:p>
        </w:tc>
      </w:tr>
      <w:tr>
        <w:tblPrEx>
          <w:shd w:val="clear" w:color="auto" w:fill="auto"/>
        </w:tblPrEx>
        <w:trPr>
          <w:trHeight w:val="250" w:hRule="atLeast"/>
        </w:trPr>
        <w:tc>
          <w:tcPr>
            <w:tcW w:type="dxa" w:w="33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29</w:t>
            </w:r>
          </w:p>
        </w:tc>
        <w:tc>
          <w:tcPr>
            <w:tcW w:type="dxa" w:w="19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PARNOPPIO S.p.A. IN LIQUIDAZIONE - 12414920152</w:t>
            </w:r>
          </w:p>
        </w:tc>
        <w:tc>
          <w:tcPr>
            <w:tcW w:type="dxa" w:w="140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INZAGO (MI) - VIA ROMA 16</w:t>
            </w:r>
          </w:p>
        </w:tc>
        <w:tc>
          <w:tcPr>
            <w:tcW w:type="dxa" w:w="61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06/03/1998</w:t>
            </w:r>
          </w:p>
        </w:tc>
        <w:tc>
          <w:tcPr>
            <w:tcW w:type="dxa" w:w="62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03/07/2007</w:t>
            </w:r>
          </w:p>
        </w:tc>
        <w:tc>
          <w:tcPr>
            <w:tcW w:type="dxa" w:w="192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COMPRAVENDITA DI BENI IMMOBILI EFFETTUATA SU BENI PROPRI</w:t>
            </w:r>
          </w:p>
        </w:tc>
        <w:tc>
          <w:tcPr>
            <w:tcW w:type="dxa" w:w="13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CONSIGLIERE</w:t>
            </w:r>
          </w:p>
        </w:tc>
        <w:tc>
          <w:tcPr>
            <w:tcW w:type="dxa" w:w="6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 </w:t>
            </w:r>
          </w:p>
        </w:tc>
        <w:tc>
          <w:tcPr>
            <w:tcW w:type="dxa" w:w="7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mag-2005</w:t>
            </w:r>
          </w:p>
        </w:tc>
      </w:tr>
      <w:tr>
        <w:tblPrEx>
          <w:shd w:val="clear" w:color="auto" w:fill="auto"/>
        </w:tblPrEx>
        <w:trPr>
          <w:trHeight w:val="370" w:hRule="atLeast"/>
        </w:trPr>
        <w:tc>
          <w:tcPr>
            <w:tcW w:type="dxa" w:w="33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30</w:t>
            </w:r>
          </w:p>
        </w:tc>
        <w:tc>
          <w:tcPr>
            <w:tcW w:type="dxa" w:w="19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R.E.C.L.A.S. S.p.A. IN LIQUIDAZIONE (FALLIMENTO) - 01812680609</w:t>
            </w:r>
          </w:p>
        </w:tc>
        <w:tc>
          <w:tcPr>
            <w:tcW w:type="dxa" w:w="140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COLFELICE (FR) - VIA ORTELLA KM 3</w:t>
            </w:r>
          </w:p>
        </w:tc>
        <w:tc>
          <w:tcPr>
            <w:tcW w:type="dxa" w:w="61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24/01/1992</w:t>
            </w:r>
          </w:p>
        </w:tc>
        <w:tc>
          <w:tcPr>
            <w:tcW w:type="dxa" w:w="62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 </w:t>
            </w:r>
          </w:p>
        </w:tc>
        <w:tc>
          <w:tcPr>
            <w:tcW w:type="dxa" w:w="192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RECUPERO E PREPARAZIONE PER IL RICICLAGGIO DEI RIFIUTI SOLIDI URBANI, INDUSTRIALI E BIOMASSE</w:t>
            </w:r>
          </w:p>
        </w:tc>
        <w:tc>
          <w:tcPr>
            <w:tcW w:type="dxa" w:w="13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CONSIGLIERE</w:t>
            </w:r>
          </w:p>
        </w:tc>
        <w:tc>
          <w:tcPr>
            <w:tcW w:type="dxa" w:w="6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lug-1999</w:t>
            </w:r>
          </w:p>
        </w:tc>
        <w:tc>
          <w:tcPr>
            <w:tcW w:type="dxa" w:w="7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lug-2005</w:t>
            </w:r>
          </w:p>
        </w:tc>
      </w:tr>
      <w:tr>
        <w:tblPrEx>
          <w:shd w:val="clear" w:color="auto" w:fill="auto"/>
        </w:tblPrEx>
        <w:trPr>
          <w:trHeight w:val="370" w:hRule="atLeast"/>
        </w:trPr>
        <w:tc>
          <w:tcPr>
            <w:tcW w:type="dxa" w:w="33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31</w:t>
            </w:r>
          </w:p>
        </w:tc>
        <w:tc>
          <w:tcPr>
            <w:tcW w:type="dxa" w:w="19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ECO - POL S.p.A. CON UNICO SOCIO - 01215350396</w:t>
            </w:r>
          </w:p>
        </w:tc>
        <w:tc>
          <w:tcPr>
            <w:tcW w:type="dxa" w:w="140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MONTICHIARI (BS) - VIA LUIGI PIRANDELLO 35</w:t>
            </w:r>
          </w:p>
        </w:tc>
        <w:tc>
          <w:tcPr>
            <w:tcW w:type="dxa" w:w="61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23/07/1985</w:t>
            </w:r>
          </w:p>
        </w:tc>
        <w:tc>
          <w:tcPr>
            <w:tcW w:type="dxa" w:w="62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19/01/2006</w:t>
            </w:r>
          </w:p>
        </w:tc>
        <w:tc>
          <w:tcPr>
            <w:tcW w:type="dxa" w:w="192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ATTIVITA' DI RACCOLTA, TRATTAMENTO E SMALTIMENTO DEI RIFIUTI; RECUPERO DEI MATERIALI</w:t>
            </w:r>
          </w:p>
        </w:tc>
        <w:tc>
          <w:tcPr>
            <w:tcW w:type="dxa" w:w="13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CONSIGLIERE</w:t>
            </w:r>
          </w:p>
        </w:tc>
        <w:tc>
          <w:tcPr>
            <w:tcW w:type="dxa" w:w="6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mar-2003</w:t>
            </w:r>
          </w:p>
        </w:tc>
        <w:tc>
          <w:tcPr>
            <w:tcW w:type="dxa" w:w="7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gen-2006</w:t>
            </w:r>
          </w:p>
        </w:tc>
      </w:tr>
      <w:tr>
        <w:tblPrEx>
          <w:shd w:val="clear" w:color="auto" w:fill="auto"/>
        </w:tblPrEx>
        <w:trPr>
          <w:trHeight w:val="370" w:hRule="atLeast"/>
        </w:trPr>
        <w:tc>
          <w:tcPr>
            <w:tcW w:type="dxa" w:w="33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32</w:t>
            </w:r>
          </w:p>
        </w:tc>
        <w:tc>
          <w:tcPr>
            <w:tcW w:type="dxa" w:w="19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ECOSERVIZI S.p.A. CON UNICO SOCIO - 00512240177</w:t>
            </w:r>
          </w:p>
        </w:tc>
        <w:tc>
          <w:tcPr>
            <w:tcW w:type="dxa" w:w="140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BRESCIA (BS) - VIA DEI SANTI 58</w:t>
            </w:r>
          </w:p>
        </w:tc>
        <w:tc>
          <w:tcPr>
            <w:tcW w:type="dxa" w:w="61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01/01/1975</w:t>
            </w:r>
          </w:p>
        </w:tc>
        <w:tc>
          <w:tcPr>
            <w:tcW w:type="dxa" w:w="62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19/01/2006</w:t>
            </w:r>
          </w:p>
        </w:tc>
        <w:tc>
          <w:tcPr>
            <w:tcW w:type="dxa" w:w="192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RECUPERO E PREPARAZIONE PER IL RICICLAGGIO DEI RIFIUTI SOLIDI URBANI, INDUSTRIALI E BIOMASSE</w:t>
            </w:r>
          </w:p>
        </w:tc>
        <w:tc>
          <w:tcPr>
            <w:tcW w:type="dxa" w:w="13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CONSIGLIERE</w:t>
            </w:r>
          </w:p>
        </w:tc>
        <w:tc>
          <w:tcPr>
            <w:tcW w:type="dxa" w:w="6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mar-2003</w:t>
            </w:r>
          </w:p>
        </w:tc>
        <w:tc>
          <w:tcPr>
            <w:tcW w:type="dxa" w:w="7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gen-2006</w:t>
            </w:r>
          </w:p>
        </w:tc>
      </w:tr>
      <w:tr>
        <w:tblPrEx>
          <w:shd w:val="clear" w:color="auto" w:fill="auto"/>
        </w:tblPrEx>
        <w:trPr>
          <w:trHeight w:val="490" w:hRule="atLeast"/>
        </w:trPr>
        <w:tc>
          <w:tcPr>
            <w:tcW w:type="dxa" w:w="33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33</w:t>
            </w:r>
          </w:p>
        </w:tc>
        <w:tc>
          <w:tcPr>
            <w:tcW w:type="dxa" w:w="19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ESCAVA S.r.l. CON UNICO SOCIO - 12513200159</w:t>
            </w:r>
          </w:p>
        </w:tc>
        <w:tc>
          <w:tcPr>
            <w:tcW w:type="dxa" w:w="140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INZAGO (MI) - VIA ROMA 16</w:t>
            </w:r>
          </w:p>
        </w:tc>
        <w:tc>
          <w:tcPr>
            <w:tcW w:type="dxa" w:w="61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19/06/1998</w:t>
            </w:r>
          </w:p>
        </w:tc>
        <w:tc>
          <w:tcPr>
            <w:tcW w:type="dxa" w:w="62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19/01/2006</w:t>
            </w:r>
          </w:p>
        </w:tc>
        <w:tc>
          <w:tcPr>
            <w:tcW w:type="dxa" w:w="192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BONIFICA DI AREE UTILIZATE PER TRATTAMENTO E/O COMMERCIALIZZAZIONE DI RIFIUTI</w:t>
            </w:r>
          </w:p>
        </w:tc>
        <w:tc>
          <w:tcPr>
            <w:tcW w:type="dxa" w:w="13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RAPPRESENTANTE LEGALE (AMMINISTRATORE UNICO)</w:t>
            </w:r>
          </w:p>
        </w:tc>
        <w:tc>
          <w:tcPr>
            <w:tcW w:type="dxa" w:w="6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ago-2005</w:t>
            </w:r>
          </w:p>
        </w:tc>
        <w:tc>
          <w:tcPr>
            <w:tcW w:type="dxa" w:w="7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gen-2006</w:t>
            </w:r>
          </w:p>
        </w:tc>
      </w:tr>
      <w:tr>
        <w:tblPrEx>
          <w:shd w:val="clear" w:color="auto" w:fill="auto"/>
        </w:tblPrEx>
        <w:trPr>
          <w:trHeight w:val="370" w:hRule="atLeast"/>
        </w:trPr>
        <w:tc>
          <w:tcPr>
            <w:tcW w:type="dxa" w:w="33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34</w:t>
            </w:r>
          </w:p>
        </w:tc>
        <w:tc>
          <w:tcPr>
            <w:tcW w:type="dxa" w:w="19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TRANSECO S.r.l. CON UNICO SOCIO - 10141760156</w:t>
            </w:r>
          </w:p>
        </w:tc>
        <w:tc>
          <w:tcPr>
            <w:tcW w:type="dxa" w:w="140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INZAGO (MI) - VIA SECCO D'ARAGONA 28</w:t>
            </w:r>
          </w:p>
        </w:tc>
        <w:tc>
          <w:tcPr>
            <w:tcW w:type="dxa" w:w="61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17/07/1996</w:t>
            </w:r>
          </w:p>
        </w:tc>
        <w:tc>
          <w:tcPr>
            <w:tcW w:type="dxa" w:w="62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20/01/2006</w:t>
            </w:r>
          </w:p>
        </w:tc>
        <w:tc>
          <w:tcPr>
            <w:tcW w:type="dxa" w:w="192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ATTIVITA' DI RACCOLTA, TRATTAMENTO E SMALTIMENTO DEI RIFIUTI; RECUPERO DEI MATERIALI</w:t>
            </w:r>
          </w:p>
        </w:tc>
        <w:tc>
          <w:tcPr>
            <w:tcW w:type="dxa" w:w="13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CONSIGLIERE</w:t>
            </w:r>
          </w:p>
        </w:tc>
        <w:tc>
          <w:tcPr>
            <w:tcW w:type="dxa" w:w="6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ago-2005</w:t>
            </w:r>
          </w:p>
        </w:tc>
        <w:tc>
          <w:tcPr>
            <w:tcW w:type="dxa" w:w="7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gen-2006</w:t>
            </w:r>
          </w:p>
        </w:tc>
      </w:tr>
      <w:tr>
        <w:tblPrEx>
          <w:shd w:val="clear" w:color="auto" w:fill="auto"/>
        </w:tblPrEx>
        <w:trPr>
          <w:trHeight w:val="370" w:hRule="atLeast"/>
        </w:trPr>
        <w:tc>
          <w:tcPr>
            <w:tcW w:type="dxa" w:w="33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35</w:t>
            </w:r>
          </w:p>
        </w:tc>
        <w:tc>
          <w:tcPr>
            <w:tcW w:type="dxa" w:w="19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RAMOCO S.r.l. CON UNICO SOCIO - 02770810105</w:t>
            </w:r>
          </w:p>
        </w:tc>
        <w:tc>
          <w:tcPr>
            <w:tcW w:type="dxa" w:w="140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GENOVA (GE) - VIA ASSAROTTI 42 4 (IVI DAL 13 06 1990)</w:t>
            </w:r>
          </w:p>
        </w:tc>
        <w:tc>
          <w:tcPr>
            <w:tcW w:type="dxa" w:w="61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07/02/1986</w:t>
            </w:r>
          </w:p>
        </w:tc>
        <w:tc>
          <w:tcPr>
            <w:tcW w:type="dxa" w:w="62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26/01/2006</w:t>
            </w:r>
          </w:p>
        </w:tc>
        <w:tc>
          <w:tcPr>
            <w:tcW w:type="dxa" w:w="192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RACCOLTA, TRATTAMENTO E FORNITURA DI ACQUA</w:t>
            </w:r>
          </w:p>
        </w:tc>
        <w:tc>
          <w:tcPr>
            <w:tcW w:type="dxa" w:w="13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CONSIGLIERE</w:t>
            </w:r>
          </w:p>
        </w:tc>
        <w:tc>
          <w:tcPr>
            <w:tcW w:type="dxa" w:w="6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mar-2003</w:t>
            </w:r>
          </w:p>
        </w:tc>
        <w:tc>
          <w:tcPr>
            <w:tcW w:type="dxa" w:w="7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gen-2006</w:t>
            </w:r>
          </w:p>
        </w:tc>
      </w:tr>
      <w:tr>
        <w:tblPrEx>
          <w:shd w:val="clear" w:color="auto" w:fill="auto"/>
        </w:tblPrEx>
        <w:trPr>
          <w:trHeight w:val="370" w:hRule="atLeast"/>
        </w:trPr>
        <w:tc>
          <w:tcPr>
            <w:tcW w:type="dxa" w:w="33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36</w:t>
            </w:r>
          </w:p>
        </w:tc>
        <w:tc>
          <w:tcPr>
            <w:tcW w:type="dxa" w:w="19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PONTINA AMBIENTE S.r.l. - 04941531008</w:t>
            </w:r>
          </w:p>
        </w:tc>
        <w:tc>
          <w:tcPr>
            <w:tcW w:type="dxa" w:w="140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ROMA (RM) - VIA PONTINA 543</w:t>
            </w:r>
          </w:p>
        </w:tc>
        <w:tc>
          <w:tcPr>
            <w:tcW w:type="dxa" w:w="61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14/07/1995</w:t>
            </w:r>
          </w:p>
        </w:tc>
        <w:tc>
          <w:tcPr>
            <w:tcW w:type="dxa" w:w="62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 </w:t>
            </w:r>
          </w:p>
        </w:tc>
        <w:tc>
          <w:tcPr>
            <w:tcW w:type="dxa" w:w="192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RECUPERO E PREPARAZIONE PER IL RICICLAGGIO DEI RIFIUTI SOLIDI URBANI, INDUSTRIALI E BIOMASSE</w:t>
            </w:r>
          </w:p>
        </w:tc>
        <w:tc>
          <w:tcPr>
            <w:tcW w:type="dxa" w:w="13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RAPPRESENTANTE LEGALE (PRESIDENTE CDA E CONSIGLIERE)</w:t>
            </w:r>
          </w:p>
        </w:tc>
        <w:tc>
          <w:tcPr>
            <w:tcW w:type="dxa" w:w="6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feb-2001</w:t>
            </w:r>
          </w:p>
        </w:tc>
        <w:tc>
          <w:tcPr>
            <w:tcW w:type="dxa" w:w="7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feb-2007</w:t>
            </w:r>
          </w:p>
        </w:tc>
      </w:tr>
      <w:tr>
        <w:tblPrEx>
          <w:shd w:val="clear" w:color="auto" w:fill="auto"/>
        </w:tblPrEx>
        <w:trPr>
          <w:trHeight w:val="490" w:hRule="atLeast"/>
        </w:trPr>
        <w:tc>
          <w:tcPr>
            <w:tcW w:type="dxa" w:w="33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37</w:t>
            </w:r>
          </w:p>
        </w:tc>
        <w:tc>
          <w:tcPr>
            <w:tcW w:type="dxa" w:w="19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ROMAUNO TV S.r.l. CON UNICO SOCIO IN LIQUIDAZIONE - 05872911002</w:t>
            </w:r>
          </w:p>
        </w:tc>
        <w:tc>
          <w:tcPr>
            <w:tcW w:type="dxa" w:w="140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ROMA (RM) - VIALE POGGIO FIORITO 63</w:t>
            </w:r>
          </w:p>
        </w:tc>
        <w:tc>
          <w:tcPr>
            <w:tcW w:type="dxa" w:w="61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03/08/1999</w:t>
            </w:r>
          </w:p>
        </w:tc>
        <w:tc>
          <w:tcPr>
            <w:tcW w:type="dxa" w:w="62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27/05/2010</w:t>
            </w:r>
          </w:p>
        </w:tc>
        <w:tc>
          <w:tcPr>
            <w:tcW w:type="dxa" w:w="192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COSTRUZIONE, GESTIONE, ESERCIZIO RETI TELEVISIVE E/O DI STAZIONI RADIOFONICHE</w:t>
            </w:r>
          </w:p>
        </w:tc>
        <w:tc>
          <w:tcPr>
            <w:tcW w:type="dxa" w:w="13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RAPPRESENTANTE LEGALE (AMMINISTRATORE UNICO)</w:t>
            </w:r>
          </w:p>
        </w:tc>
        <w:tc>
          <w:tcPr>
            <w:tcW w:type="dxa" w:w="6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ago-1999</w:t>
            </w:r>
          </w:p>
        </w:tc>
        <w:tc>
          <w:tcPr>
            <w:tcW w:type="dxa" w:w="7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lug-2007</w:t>
            </w:r>
          </w:p>
        </w:tc>
      </w:tr>
      <w:tr>
        <w:tblPrEx>
          <w:shd w:val="clear" w:color="auto" w:fill="auto"/>
        </w:tblPrEx>
        <w:trPr>
          <w:trHeight w:val="490" w:hRule="atLeast"/>
        </w:trPr>
        <w:tc>
          <w:tcPr>
            <w:tcW w:type="dxa" w:w="33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38</w:t>
            </w:r>
          </w:p>
        </w:tc>
        <w:tc>
          <w:tcPr>
            <w:tcW w:type="dxa" w:w="19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URBE UNO S.r.l. - 08550721008</w:t>
            </w:r>
          </w:p>
        </w:tc>
        <w:tc>
          <w:tcPr>
            <w:tcW w:type="dxa" w:w="140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ROMA (RM) - VIA PONTINA 545</w:t>
            </w:r>
          </w:p>
        </w:tc>
        <w:tc>
          <w:tcPr>
            <w:tcW w:type="dxa" w:w="61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07/06/2005</w:t>
            </w:r>
          </w:p>
        </w:tc>
        <w:tc>
          <w:tcPr>
            <w:tcW w:type="dxa" w:w="62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07/07/2009</w:t>
            </w:r>
          </w:p>
        </w:tc>
        <w:tc>
          <w:tcPr>
            <w:tcW w:type="dxa" w:w="192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ATTIVITA' DI RACCOLTA, TRATTAMENTO E SMALTIMENTO DEI RIFIUTI; RECUPERO DEI MATERIALI</w:t>
            </w:r>
          </w:p>
        </w:tc>
        <w:tc>
          <w:tcPr>
            <w:tcW w:type="dxa" w:w="13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RAPPRESENTANTE LEGALE (AMMINISTRATORE UNICO)</w:t>
            </w:r>
          </w:p>
        </w:tc>
        <w:tc>
          <w:tcPr>
            <w:tcW w:type="dxa" w:w="6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giu-2005</w:t>
            </w:r>
          </w:p>
        </w:tc>
        <w:tc>
          <w:tcPr>
            <w:tcW w:type="dxa" w:w="7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giu-2008</w:t>
            </w:r>
          </w:p>
        </w:tc>
      </w:tr>
      <w:tr>
        <w:tblPrEx>
          <w:shd w:val="clear" w:color="auto" w:fill="auto"/>
        </w:tblPrEx>
        <w:trPr>
          <w:trHeight w:val="370" w:hRule="atLeast"/>
        </w:trPr>
        <w:tc>
          <w:tcPr>
            <w:tcW w:type="dxa" w:w="33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39</w:t>
            </w:r>
          </w:p>
        </w:tc>
        <w:tc>
          <w:tcPr>
            <w:tcW w:type="dxa" w:w="19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ALBERGO LA SORGENTE S.r.l. IN LIQUIDAZIONE - 05074251009</w:t>
            </w:r>
          </w:p>
        </w:tc>
        <w:tc>
          <w:tcPr>
            <w:tcW w:type="dxa" w:w="140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ROMA (RM) - PIAZZA RICCARDO BALSAMO CRIVELLI 50</w:t>
            </w:r>
          </w:p>
        </w:tc>
        <w:tc>
          <w:tcPr>
            <w:tcW w:type="dxa" w:w="61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24/09/1996</w:t>
            </w:r>
          </w:p>
        </w:tc>
        <w:tc>
          <w:tcPr>
            <w:tcW w:type="dxa" w:w="62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19/06/2008</w:t>
            </w:r>
          </w:p>
        </w:tc>
        <w:tc>
          <w:tcPr>
            <w:tcW w:type="dxa" w:w="192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ALBERGHI E STRUTTURE SIMILI</w:t>
            </w:r>
          </w:p>
        </w:tc>
        <w:tc>
          <w:tcPr>
            <w:tcW w:type="dxa" w:w="13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TITOLARE QUOTE (25% CAPITALE SOCIALE)</w:t>
            </w:r>
          </w:p>
        </w:tc>
        <w:tc>
          <w:tcPr>
            <w:tcW w:type="dxa" w:w="6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nov-1996</w:t>
            </w:r>
          </w:p>
        </w:tc>
        <w:tc>
          <w:tcPr>
            <w:tcW w:type="dxa" w:w="7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giu-2008</w:t>
            </w:r>
          </w:p>
        </w:tc>
      </w:tr>
      <w:tr>
        <w:tblPrEx>
          <w:shd w:val="clear" w:color="auto" w:fill="auto"/>
        </w:tblPrEx>
        <w:trPr>
          <w:trHeight w:val="250" w:hRule="atLeast"/>
        </w:trPr>
        <w:tc>
          <w:tcPr>
            <w:tcW w:type="dxa" w:w="331"/>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40</w:t>
            </w:r>
          </w:p>
        </w:tc>
        <w:tc>
          <w:tcPr>
            <w:tcW w:type="dxa" w:w="1947"/>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SOCIETA' LAURENTINA BONIFICHE S.r.l. CON UNICO SOCIO - 03563981004</w:t>
            </w:r>
          </w:p>
        </w:tc>
        <w:tc>
          <w:tcPr>
            <w:tcW w:type="dxa" w:w="1402"/>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ROMA (RM) - VIA EMILIO DE' CAVALIERI 7</w:t>
            </w:r>
          </w:p>
        </w:tc>
        <w:tc>
          <w:tcPr>
            <w:tcW w:type="dxa" w:w="611"/>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01/01/1973</w:t>
            </w:r>
          </w:p>
        </w:tc>
        <w:tc>
          <w:tcPr>
            <w:tcW w:type="dxa" w:w="620"/>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14/07/2009</w:t>
            </w:r>
          </w:p>
        </w:tc>
        <w:tc>
          <w:tcPr>
            <w:tcW w:type="dxa" w:w="1929"/>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COMPRAVENDITA DI BENI IMMOBILI EFFETTUATA SU BENI PROPRI</w:t>
            </w:r>
          </w:p>
        </w:tc>
        <w:tc>
          <w:tcPr>
            <w:tcW w:type="dxa" w:w="13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RAPPRESENTANTE LEGALE</w:t>
            </w:r>
          </w:p>
        </w:tc>
        <w:tc>
          <w:tcPr>
            <w:tcW w:type="dxa" w:w="6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gen-1980</w:t>
            </w:r>
          </w:p>
        </w:tc>
        <w:tc>
          <w:tcPr>
            <w:tcW w:type="dxa" w:w="7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apr-1999</w:t>
            </w:r>
          </w:p>
        </w:tc>
      </w:tr>
      <w:tr>
        <w:tblPrEx>
          <w:shd w:val="clear" w:color="auto" w:fill="auto"/>
        </w:tblPrEx>
        <w:trPr>
          <w:trHeight w:val="250" w:hRule="atLeast"/>
        </w:trPr>
        <w:tc>
          <w:tcPr>
            <w:tcW w:type="dxa" w:w="331"/>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94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402"/>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611"/>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620"/>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929"/>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3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TITOLARE QUOTE</w:t>
            </w:r>
          </w:p>
        </w:tc>
        <w:tc>
          <w:tcPr>
            <w:tcW w:type="dxa" w:w="6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dic-1993</w:t>
            </w:r>
          </w:p>
        </w:tc>
        <w:tc>
          <w:tcPr>
            <w:tcW w:type="dxa" w:w="7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lug-2008</w:t>
            </w:r>
          </w:p>
        </w:tc>
      </w:tr>
      <w:tr>
        <w:tblPrEx>
          <w:shd w:val="clear" w:color="auto" w:fill="auto"/>
        </w:tblPrEx>
        <w:trPr>
          <w:trHeight w:val="490" w:hRule="atLeast"/>
        </w:trPr>
        <w:tc>
          <w:tcPr>
            <w:tcW w:type="dxa" w:w="33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41</w:t>
            </w:r>
          </w:p>
        </w:tc>
        <w:tc>
          <w:tcPr>
            <w:tcW w:type="dxa" w:w="19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SCA ENERGY S.p.A. CON UNICO SOCIO - 09600571005</w:t>
            </w:r>
          </w:p>
        </w:tc>
        <w:tc>
          <w:tcPr>
            <w:tcW w:type="dxa" w:w="140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ROMA (RM) - VIA PONTINA 545</w:t>
            </w:r>
          </w:p>
        </w:tc>
        <w:tc>
          <w:tcPr>
            <w:tcW w:type="dxa" w:w="61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13/07/2007</w:t>
            </w:r>
          </w:p>
        </w:tc>
        <w:tc>
          <w:tcPr>
            <w:tcW w:type="dxa" w:w="62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 </w:t>
            </w:r>
          </w:p>
        </w:tc>
        <w:tc>
          <w:tcPr>
            <w:tcW w:type="dxa" w:w="192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ALTRI SERVIZI DI SUPPORTO ALLE IMPRESE NCA</w:t>
            </w:r>
          </w:p>
        </w:tc>
        <w:tc>
          <w:tcPr>
            <w:tcW w:type="dxa" w:w="13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RAPPRESENTANTE LEGALE (AMMINISTRATORE UNICO)</w:t>
            </w:r>
          </w:p>
        </w:tc>
        <w:tc>
          <w:tcPr>
            <w:tcW w:type="dxa" w:w="6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lug-2007</w:t>
            </w:r>
          </w:p>
        </w:tc>
        <w:tc>
          <w:tcPr>
            <w:tcW w:type="dxa" w:w="7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ott-2008</w:t>
            </w:r>
          </w:p>
        </w:tc>
      </w:tr>
      <w:tr>
        <w:tblPrEx>
          <w:shd w:val="clear" w:color="auto" w:fill="auto"/>
        </w:tblPrEx>
        <w:trPr>
          <w:trHeight w:val="370" w:hRule="atLeast"/>
        </w:trPr>
        <w:tc>
          <w:tcPr>
            <w:tcW w:type="dxa" w:w="33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42</w:t>
            </w:r>
          </w:p>
        </w:tc>
        <w:tc>
          <w:tcPr>
            <w:tcW w:type="dxa" w:w="19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S.A.U. SVILUPPO AGRICOLO UMBRO SNC DI PIERO Giovi E C IN LIQUIDAZIONE -04484331006</w:t>
            </w:r>
          </w:p>
        </w:tc>
        <w:tc>
          <w:tcPr>
            <w:tcW w:type="dxa" w:w="140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ROMA (RM) - VIA GUIDO D AREZZO 28</w:t>
            </w:r>
          </w:p>
        </w:tc>
        <w:tc>
          <w:tcPr>
            <w:tcW w:type="dxa" w:w="61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30/03/1993</w:t>
            </w:r>
          </w:p>
        </w:tc>
        <w:tc>
          <w:tcPr>
            <w:tcW w:type="dxa" w:w="62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17/11/2008</w:t>
            </w:r>
          </w:p>
        </w:tc>
        <w:tc>
          <w:tcPr>
            <w:tcW w:type="dxa" w:w="192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ACQUISTO, CONDUZIONE, VENDITA, PERMUTA DI BENI IMMOBILI</w:t>
            </w:r>
          </w:p>
        </w:tc>
        <w:tc>
          <w:tcPr>
            <w:tcW w:type="dxa" w:w="13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TITOLARE QUOTE</w:t>
            </w:r>
          </w:p>
        </w:tc>
        <w:tc>
          <w:tcPr>
            <w:tcW w:type="dxa" w:w="6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dic-1993</w:t>
            </w:r>
          </w:p>
        </w:tc>
        <w:tc>
          <w:tcPr>
            <w:tcW w:type="dxa" w:w="7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nov-2008</w:t>
            </w:r>
          </w:p>
        </w:tc>
      </w:tr>
      <w:tr>
        <w:tblPrEx>
          <w:shd w:val="clear" w:color="auto" w:fill="auto"/>
        </w:tblPrEx>
        <w:trPr>
          <w:trHeight w:val="490" w:hRule="atLeast"/>
        </w:trPr>
        <w:tc>
          <w:tcPr>
            <w:tcW w:type="dxa" w:w="33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43</w:t>
            </w:r>
          </w:p>
        </w:tc>
        <w:tc>
          <w:tcPr>
            <w:tcW w:type="dxa" w:w="19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PULIMETAL S.r.l. CON UNICO SOCIO - 02135940985</w:t>
            </w:r>
          </w:p>
        </w:tc>
        <w:tc>
          <w:tcPr>
            <w:tcW w:type="dxa" w:w="140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BRESCIA (BS) - VIA DEI SANTI 58</w:t>
            </w:r>
          </w:p>
        </w:tc>
        <w:tc>
          <w:tcPr>
            <w:tcW w:type="dxa" w:w="61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15/10/1986</w:t>
            </w:r>
          </w:p>
        </w:tc>
        <w:tc>
          <w:tcPr>
            <w:tcW w:type="dxa" w:w="62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16/12/2011</w:t>
            </w:r>
          </w:p>
        </w:tc>
        <w:tc>
          <w:tcPr>
            <w:tcW w:type="dxa" w:w="192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COMMERCIO ALL'INGROSSO DI ROTTAMI E SOTTOPRODOTTI METALLICI DELLA LAVORAZIONE INDUSTRIALE</w:t>
            </w:r>
          </w:p>
        </w:tc>
        <w:tc>
          <w:tcPr>
            <w:tcW w:type="dxa" w:w="13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CONSIGLIERE</w:t>
            </w:r>
          </w:p>
        </w:tc>
        <w:tc>
          <w:tcPr>
            <w:tcW w:type="dxa" w:w="6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 </w:t>
            </w:r>
          </w:p>
        </w:tc>
        <w:tc>
          <w:tcPr>
            <w:tcW w:type="dxa" w:w="7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apr-2009</w:t>
            </w:r>
          </w:p>
        </w:tc>
      </w:tr>
      <w:tr>
        <w:tblPrEx>
          <w:shd w:val="clear" w:color="auto" w:fill="auto"/>
        </w:tblPrEx>
        <w:trPr>
          <w:trHeight w:val="610" w:hRule="atLeast"/>
        </w:trPr>
        <w:tc>
          <w:tcPr>
            <w:tcW w:type="dxa" w:w="33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44</w:t>
            </w:r>
          </w:p>
        </w:tc>
        <w:tc>
          <w:tcPr>
            <w:tcW w:type="dxa" w:w="19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PETROMARINE ITALIA S.r.l. CON UNICO SOCIO - 01273711000</w:t>
            </w:r>
          </w:p>
        </w:tc>
        <w:tc>
          <w:tcPr>
            <w:tcW w:type="dxa" w:w="140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ROMA (RM) - VIALE DEL POGGIO FIORITO 63</w:t>
            </w:r>
          </w:p>
        </w:tc>
        <w:tc>
          <w:tcPr>
            <w:tcW w:type="dxa" w:w="61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28/07/1981</w:t>
            </w:r>
          </w:p>
        </w:tc>
        <w:tc>
          <w:tcPr>
            <w:tcW w:type="dxa" w:w="62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 </w:t>
            </w:r>
          </w:p>
        </w:tc>
        <w:tc>
          <w:tcPr>
            <w:tcW w:type="dxa" w:w="192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RICERCA E COLTIVAZIONE IDROCARBURI, METALLI DI GAS, ACQUE E RIFIUTI</w:t>
            </w:r>
          </w:p>
        </w:tc>
        <w:tc>
          <w:tcPr>
            <w:tcW w:type="dxa" w:w="13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RAPPRESENTANTE LEGALE (AMMINISTRATORE DELEGATO E PRESIDENTE CDA)</w:t>
            </w:r>
          </w:p>
        </w:tc>
        <w:tc>
          <w:tcPr>
            <w:tcW w:type="dxa" w:w="6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dic-2003</w:t>
            </w:r>
          </w:p>
        </w:tc>
        <w:tc>
          <w:tcPr>
            <w:tcW w:type="dxa" w:w="7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giu-2009</w:t>
            </w:r>
          </w:p>
        </w:tc>
      </w:tr>
      <w:tr>
        <w:tblPrEx>
          <w:shd w:val="clear" w:color="auto" w:fill="auto"/>
        </w:tblPrEx>
        <w:trPr>
          <w:trHeight w:val="250" w:hRule="atLeast"/>
        </w:trPr>
        <w:tc>
          <w:tcPr>
            <w:tcW w:type="dxa" w:w="331"/>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45</w:t>
            </w:r>
          </w:p>
        </w:tc>
        <w:tc>
          <w:tcPr>
            <w:tcW w:type="dxa" w:w="1947"/>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ROMA VOLLEY S.r.l. - 05157191007</w:t>
            </w:r>
          </w:p>
        </w:tc>
        <w:tc>
          <w:tcPr>
            <w:tcW w:type="dxa" w:w="1402"/>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ROMA (RM) - VIA ARCHIMEDE 167</w:t>
            </w:r>
          </w:p>
        </w:tc>
        <w:tc>
          <w:tcPr>
            <w:tcW w:type="dxa" w:w="611"/>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04/07/1997</w:t>
            </w:r>
          </w:p>
        </w:tc>
        <w:tc>
          <w:tcPr>
            <w:tcW w:type="dxa" w:w="620"/>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16/08/2010</w:t>
            </w:r>
          </w:p>
        </w:tc>
        <w:tc>
          <w:tcPr>
            <w:tcW w:type="dxa" w:w="1929"/>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ALTRE ATTIVITA' RICREATIVE E DI DIVERTIMENTO</w:t>
            </w:r>
          </w:p>
        </w:tc>
        <w:tc>
          <w:tcPr>
            <w:tcW w:type="dxa" w:w="13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CONSIGLIERE</w:t>
            </w:r>
          </w:p>
        </w:tc>
        <w:tc>
          <w:tcPr>
            <w:tcW w:type="dxa" w:w="6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ago-1996</w:t>
            </w:r>
          </w:p>
        </w:tc>
        <w:tc>
          <w:tcPr>
            <w:tcW w:type="dxa" w:w="7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mar-2002</w:t>
            </w:r>
          </w:p>
        </w:tc>
      </w:tr>
      <w:tr>
        <w:tblPrEx>
          <w:shd w:val="clear" w:color="auto" w:fill="auto"/>
        </w:tblPrEx>
        <w:trPr>
          <w:trHeight w:val="250" w:hRule="atLeast"/>
        </w:trPr>
        <w:tc>
          <w:tcPr>
            <w:tcW w:type="dxa" w:w="331"/>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94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402"/>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611"/>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620"/>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929"/>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3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 xml:space="preserve">TITOLARE QUOTE </w:t>
            </w:r>
          </w:p>
        </w:tc>
        <w:tc>
          <w:tcPr>
            <w:tcW w:type="dxa" w:w="6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 </w:t>
            </w:r>
          </w:p>
        </w:tc>
        <w:tc>
          <w:tcPr>
            <w:tcW w:type="dxa" w:w="7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ago-2010</w:t>
            </w:r>
          </w:p>
        </w:tc>
      </w:tr>
      <w:tr>
        <w:tblPrEx>
          <w:shd w:val="clear" w:color="auto" w:fill="auto"/>
        </w:tblPrEx>
        <w:trPr>
          <w:trHeight w:val="250" w:hRule="atLeast"/>
        </w:trPr>
        <w:tc>
          <w:tcPr>
            <w:tcW w:type="dxa" w:w="33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46</w:t>
            </w:r>
          </w:p>
        </w:tc>
        <w:tc>
          <w:tcPr>
            <w:tcW w:type="dxa" w:w="19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COMPOSTAGGIO LECCHESE S.p.A. CON UNICO SOCIO - 02976450136</w:t>
            </w:r>
          </w:p>
        </w:tc>
        <w:tc>
          <w:tcPr>
            <w:tcW w:type="dxa" w:w="140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 xml:space="preserve">VALMADRERA (LC) </w:t>
            </w: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 xml:space="preserve">– </w:t>
            </w: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VIA LEONARDO VASSENA 6</w:t>
            </w:r>
          </w:p>
        </w:tc>
        <w:tc>
          <w:tcPr>
            <w:tcW w:type="dxa" w:w="61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31/05/2007</w:t>
            </w:r>
          </w:p>
        </w:tc>
        <w:tc>
          <w:tcPr>
            <w:tcW w:type="dxa" w:w="62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01/03/2013</w:t>
            </w:r>
          </w:p>
        </w:tc>
        <w:tc>
          <w:tcPr>
            <w:tcW w:type="dxa" w:w="192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PRODUZIONE DI COMPOST</w:t>
            </w:r>
          </w:p>
        </w:tc>
        <w:tc>
          <w:tcPr>
            <w:tcW w:type="dxa" w:w="13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CONSIGLIERE</w:t>
            </w:r>
          </w:p>
        </w:tc>
        <w:tc>
          <w:tcPr>
            <w:tcW w:type="dxa" w:w="6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mag-2006</w:t>
            </w:r>
          </w:p>
        </w:tc>
        <w:tc>
          <w:tcPr>
            <w:tcW w:type="dxa" w:w="7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giu-2012</w:t>
            </w:r>
          </w:p>
        </w:tc>
      </w:tr>
      <w:tr>
        <w:tblPrEx>
          <w:shd w:val="clear" w:color="auto" w:fill="auto"/>
        </w:tblPrEx>
        <w:trPr>
          <w:trHeight w:val="250" w:hRule="atLeast"/>
        </w:trPr>
        <w:tc>
          <w:tcPr>
            <w:tcW w:type="dxa" w:w="33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47</w:t>
            </w:r>
          </w:p>
        </w:tc>
        <w:tc>
          <w:tcPr>
            <w:tcW w:type="dxa" w:w="19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Gesenu S.p.A. - GESTIONE SERVIZI NETTEZZA URBANA - 01162430548</w:t>
            </w:r>
          </w:p>
        </w:tc>
        <w:tc>
          <w:tcPr>
            <w:tcW w:type="dxa" w:w="140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PERUGIA (PG) - STRADA DELLA MOLINELLA 7</w:t>
            </w:r>
          </w:p>
        </w:tc>
        <w:tc>
          <w:tcPr>
            <w:tcW w:type="dxa" w:w="61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19/11/1980</w:t>
            </w:r>
          </w:p>
        </w:tc>
        <w:tc>
          <w:tcPr>
            <w:tcW w:type="dxa" w:w="62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 </w:t>
            </w:r>
          </w:p>
        </w:tc>
        <w:tc>
          <w:tcPr>
            <w:tcW w:type="dxa" w:w="192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RACCOLTA DI RIFIUTI SOLIDI NON PERICOLOSI</w:t>
            </w:r>
          </w:p>
        </w:tc>
        <w:tc>
          <w:tcPr>
            <w:tcW w:type="dxa" w:w="13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CONSIGLIERE</w:t>
            </w:r>
          </w:p>
        </w:tc>
        <w:tc>
          <w:tcPr>
            <w:tcW w:type="dxa" w:w="6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set-2007</w:t>
            </w:r>
          </w:p>
        </w:tc>
        <w:tc>
          <w:tcPr>
            <w:tcW w:type="dxa" w:w="7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dic-2012</w:t>
            </w:r>
          </w:p>
        </w:tc>
      </w:tr>
      <w:tr>
        <w:tblPrEx>
          <w:shd w:val="clear" w:color="auto" w:fill="auto"/>
        </w:tblPrEx>
        <w:trPr>
          <w:trHeight w:val="370" w:hRule="atLeast"/>
        </w:trPr>
        <w:tc>
          <w:tcPr>
            <w:tcW w:type="dxa" w:w="33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48</w:t>
            </w:r>
          </w:p>
        </w:tc>
        <w:tc>
          <w:tcPr>
            <w:tcW w:type="dxa" w:w="19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MEDIGLIA SERVIZI ECOLOGICI S.r.l. - 12927510151</w:t>
            </w:r>
          </w:p>
        </w:tc>
        <w:tc>
          <w:tcPr>
            <w:tcW w:type="dxa" w:w="140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 xml:space="preserve">MEDIGLIA (MI) </w:t>
            </w: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 xml:space="preserve">– </w:t>
            </w: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STRADA PROVINCIALE 39</w:t>
            </w:r>
          </w:p>
        </w:tc>
        <w:tc>
          <w:tcPr>
            <w:tcW w:type="dxa" w:w="61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12/10/1999</w:t>
            </w:r>
          </w:p>
        </w:tc>
        <w:tc>
          <w:tcPr>
            <w:tcW w:type="dxa" w:w="62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24/12/2012</w:t>
            </w:r>
          </w:p>
        </w:tc>
        <w:tc>
          <w:tcPr>
            <w:tcW w:type="dxa" w:w="192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ATTIVITA' LEGALI E CONTABILITA'</w:t>
            </w:r>
          </w:p>
        </w:tc>
        <w:tc>
          <w:tcPr>
            <w:tcW w:type="dxa" w:w="13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RAPPRESENTANTE LEGALE (CONSIGLIERE E PRESIDENTE CDA)</w:t>
            </w:r>
          </w:p>
        </w:tc>
        <w:tc>
          <w:tcPr>
            <w:tcW w:type="dxa" w:w="6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gen-2008</w:t>
            </w:r>
          </w:p>
        </w:tc>
        <w:tc>
          <w:tcPr>
            <w:tcW w:type="dxa" w:w="7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dic-2012</w:t>
            </w:r>
          </w:p>
        </w:tc>
      </w:tr>
      <w:tr>
        <w:tblPrEx>
          <w:shd w:val="clear" w:color="auto" w:fill="auto"/>
        </w:tblPrEx>
        <w:trPr>
          <w:trHeight w:val="490" w:hRule="atLeast"/>
        </w:trPr>
        <w:tc>
          <w:tcPr>
            <w:tcW w:type="dxa" w:w="33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49</w:t>
            </w:r>
          </w:p>
        </w:tc>
        <w:tc>
          <w:tcPr>
            <w:tcW w:type="dxa" w:w="19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BEG S.p.A. - 04987421007</w:t>
            </w:r>
          </w:p>
        </w:tc>
        <w:tc>
          <w:tcPr>
            <w:tcW w:type="dxa" w:w="140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ROMA (RM) - VICOLO DEL BOTTINO 10</w:t>
            </w:r>
          </w:p>
        </w:tc>
        <w:tc>
          <w:tcPr>
            <w:tcW w:type="dxa" w:w="61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01/01/2009</w:t>
            </w:r>
          </w:p>
        </w:tc>
        <w:tc>
          <w:tcPr>
            <w:tcW w:type="dxa" w:w="62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 </w:t>
            </w:r>
          </w:p>
        </w:tc>
        <w:tc>
          <w:tcPr>
            <w:tcW w:type="dxa" w:w="192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ALTRE ATTIVITA' DI CONSULENZA IMPRENDITORIALE E ALTRA CONSULENZA AMMINISTRATIVO-GESTIONALE</w:t>
            </w:r>
          </w:p>
        </w:tc>
        <w:tc>
          <w:tcPr>
            <w:tcW w:type="dxa" w:w="13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CONSIGLIERE</w:t>
            </w:r>
          </w:p>
        </w:tc>
        <w:tc>
          <w:tcPr>
            <w:tcW w:type="dxa" w:w="6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lug-2008</w:t>
            </w:r>
          </w:p>
        </w:tc>
        <w:tc>
          <w:tcPr>
            <w:tcW w:type="dxa" w:w="7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giu-2013</w:t>
            </w:r>
          </w:p>
        </w:tc>
      </w:tr>
      <w:tr>
        <w:tblPrEx>
          <w:shd w:val="clear" w:color="auto" w:fill="auto"/>
        </w:tblPrEx>
        <w:trPr>
          <w:trHeight w:val="370" w:hRule="atLeast"/>
        </w:trPr>
        <w:tc>
          <w:tcPr>
            <w:tcW w:type="dxa" w:w="33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50</w:t>
            </w:r>
          </w:p>
        </w:tc>
        <w:tc>
          <w:tcPr>
            <w:tcW w:type="dxa" w:w="19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ROMAUNO S.r.l. - 03918881008</w:t>
            </w:r>
          </w:p>
        </w:tc>
        <w:tc>
          <w:tcPr>
            <w:tcW w:type="dxa" w:w="140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 xml:space="preserve">ROMA (RM) </w:t>
            </w: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 xml:space="preserve">– </w:t>
            </w: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VIA GROENLANDIA 41</w:t>
            </w:r>
          </w:p>
        </w:tc>
        <w:tc>
          <w:tcPr>
            <w:tcW w:type="dxa" w:w="61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02/08/1990</w:t>
            </w:r>
          </w:p>
        </w:tc>
        <w:tc>
          <w:tcPr>
            <w:tcW w:type="dxa" w:w="62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 </w:t>
            </w:r>
          </w:p>
        </w:tc>
        <w:tc>
          <w:tcPr>
            <w:tcW w:type="dxa" w:w="192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ATTIVITA' DI PROGRAMMAZIONE E TRASMISSIONE</w:t>
            </w:r>
          </w:p>
        </w:tc>
        <w:tc>
          <w:tcPr>
            <w:tcW w:type="dxa" w:w="13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RAPPRESENTANTE LEGALE (PRESIDENTE CDA)</w:t>
            </w:r>
          </w:p>
        </w:tc>
        <w:tc>
          <w:tcPr>
            <w:tcW w:type="dxa" w:w="6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lug-2001</w:t>
            </w:r>
          </w:p>
        </w:tc>
        <w:tc>
          <w:tcPr>
            <w:tcW w:type="dxa" w:w="7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set-2013</w:t>
            </w:r>
          </w:p>
        </w:tc>
      </w:tr>
      <w:tr>
        <w:tblPrEx>
          <w:shd w:val="clear" w:color="auto" w:fill="auto"/>
        </w:tblPrEx>
        <w:trPr>
          <w:trHeight w:val="610" w:hRule="atLeast"/>
        </w:trPr>
        <w:tc>
          <w:tcPr>
            <w:tcW w:type="dxa" w:w="33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51</w:t>
            </w:r>
          </w:p>
        </w:tc>
        <w:tc>
          <w:tcPr>
            <w:tcW w:type="dxa" w:w="19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HYDRO S.r.l. CON UNICO SOCIO - 09563901009</w:t>
            </w:r>
          </w:p>
        </w:tc>
        <w:tc>
          <w:tcPr>
            <w:tcW w:type="dxa" w:w="140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ROMA (RM) - PIAZZA DI SPAGNA 66</w:t>
            </w:r>
          </w:p>
        </w:tc>
        <w:tc>
          <w:tcPr>
            <w:tcW w:type="dxa" w:w="61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27/06/2007</w:t>
            </w:r>
          </w:p>
        </w:tc>
        <w:tc>
          <w:tcPr>
            <w:tcW w:type="dxa" w:w="62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 </w:t>
            </w:r>
          </w:p>
        </w:tc>
        <w:tc>
          <w:tcPr>
            <w:tcW w:type="dxa" w:w="192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ALTRE ATTIVITA' DI CONSULENZA IMPRENDITORIALE E ALTRA CONSULENZA AMMINISTRATIVO-GESTIONALE E PIANIFICAZIONE AZIENDALE</w:t>
            </w:r>
          </w:p>
        </w:tc>
        <w:tc>
          <w:tcPr>
            <w:tcW w:type="dxa" w:w="13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CONSIGLIERE</w:t>
            </w:r>
          </w:p>
        </w:tc>
        <w:tc>
          <w:tcPr>
            <w:tcW w:type="dxa" w:w="6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ago-2007</w:t>
            </w:r>
          </w:p>
        </w:tc>
        <w:tc>
          <w:tcPr>
            <w:tcW w:type="dxa" w:w="7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gen-2014</w:t>
            </w:r>
          </w:p>
        </w:tc>
      </w:tr>
      <w:tr>
        <w:tblPrEx>
          <w:shd w:val="clear" w:color="auto" w:fill="auto"/>
        </w:tblPrEx>
        <w:trPr>
          <w:trHeight w:val="490" w:hRule="atLeast"/>
        </w:trPr>
        <w:tc>
          <w:tcPr>
            <w:tcW w:type="dxa" w:w="33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52</w:t>
            </w:r>
          </w:p>
        </w:tc>
        <w:tc>
          <w:tcPr>
            <w:tcW w:type="dxa" w:w="19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LAZIO GREEN ENERGY S.r.l. IN LIQUIDAZIONE - 10819361006</w:t>
            </w:r>
          </w:p>
        </w:tc>
        <w:tc>
          <w:tcPr>
            <w:tcW w:type="dxa" w:w="140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ROMA (RM) - VIALE LIBANO C O FEDERLAZIO 62</w:t>
            </w:r>
          </w:p>
        </w:tc>
        <w:tc>
          <w:tcPr>
            <w:tcW w:type="dxa" w:w="61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07/11/2011</w:t>
            </w:r>
          </w:p>
        </w:tc>
        <w:tc>
          <w:tcPr>
            <w:tcW w:type="dxa" w:w="62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 </w:t>
            </w:r>
          </w:p>
        </w:tc>
        <w:tc>
          <w:tcPr>
            <w:tcW w:type="dxa" w:w="192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INSTALLAZIONE DI IMPIANTI ELETTRICI IN EDIFICI O IN ALTRE OPERE DI COSTRUZIONE (INCLUSA MANUTENZIONE E RIPARAZIONE)</w:t>
            </w:r>
          </w:p>
        </w:tc>
        <w:tc>
          <w:tcPr>
            <w:tcW w:type="dxa" w:w="13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CONSIGLIERE</w:t>
            </w:r>
          </w:p>
        </w:tc>
        <w:tc>
          <w:tcPr>
            <w:tcW w:type="dxa" w:w="6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feb-2010</w:t>
            </w:r>
          </w:p>
        </w:tc>
        <w:tc>
          <w:tcPr>
            <w:tcW w:type="dxa" w:w="7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gen-2014</w:t>
            </w:r>
          </w:p>
        </w:tc>
      </w:tr>
      <w:tr>
        <w:tblPrEx>
          <w:shd w:val="clear" w:color="auto" w:fill="auto"/>
        </w:tblPrEx>
        <w:trPr>
          <w:trHeight w:val="490" w:hRule="atLeast"/>
        </w:trPr>
        <w:tc>
          <w:tcPr>
            <w:tcW w:type="dxa" w:w="33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53</w:t>
            </w:r>
          </w:p>
        </w:tc>
        <w:tc>
          <w:tcPr>
            <w:tcW w:type="dxa" w:w="19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Sorain Cecchini CORCOLLE S.r.l. - 10026571009</w:t>
            </w:r>
          </w:p>
        </w:tc>
        <w:tc>
          <w:tcPr>
            <w:tcW w:type="dxa" w:w="140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ROMA (RM) - VIALE DEL POGGIO FIORITO 63</w:t>
            </w:r>
          </w:p>
        </w:tc>
        <w:tc>
          <w:tcPr>
            <w:tcW w:type="dxa" w:w="61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27/05/2008</w:t>
            </w:r>
          </w:p>
        </w:tc>
        <w:tc>
          <w:tcPr>
            <w:tcW w:type="dxa" w:w="62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 </w:t>
            </w:r>
          </w:p>
        </w:tc>
        <w:tc>
          <w:tcPr>
            <w:tcW w:type="dxa" w:w="192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ESERCIZIO AGRICOLTURA; ATTIVITA</w:t>
            </w: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 xml:space="preserve">’ </w:t>
            </w: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IMMOBILIARE</w:t>
            </w:r>
          </w:p>
        </w:tc>
        <w:tc>
          <w:tcPr>
            <w:tcW w:type="dxa" w:w="13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RAPPRESENTANTE LEGALE (AMMINISTRATORE UNICO)</w:t>
            </w:r>
          </w:p>
        </w:tc>
        <w:tc>
          <w:tcPr>
            <w:tcW w:type="dxa" w:w="6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mag-2008</w:t>
            </w:r>
          </w:p>
        </w:tc>
        <w:tc>
          <w:tcPr>
            <w:tcW w:type="dxa" w:w="7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feb-2014</w:t>
            </w:r>
          </w:p>
        </w:tc>
      </w:tr>
      <w:tr>
        <w:tblPrEx>
          <w:shd w:val="clear" w:color="auto" w:fill="auto"/>
        </w:tblPrEx>
        <w:trPr>
          <w:trHeight w:val="370" w:hRule="atLeast"/>
        </w:trPr>
        <w:tc>
          <w:tcPr>
            <w:tcW w:type="dxa" w:w="33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54</w:t>
            </w:r>
          </w:p>
        </w:tc>
        <w:tc>
          <w:tcPr>
            <w:tcW w:type="dxa" w:w="19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Sorain Cecchini UNO S.r.l. - 07656511008</w:t>
            </w:r>
          </w:p>
        </w:tc>
        <w:tc>
          <w:tcPr>
            <w:tcW w:type="dxa" w:w="140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ROMA (RM) - VIALE DEL POGGIO FIORITO 63</w:t>
            </w:r>
          </w:p>
        </w:tc>
        <w:tc>
          <w:tcPr>
            <w:tcW w:type="dxa" w:w="61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25/09/2003</w:t>
            </w:r>
          </w:p>
        </w:tc>
        <w:tc>
          <w:tcPr>
            <w:tcW w:type="dxa" w:w="62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 </w:t>
            </w:r>
          </w:p>
        </w:tc>
        <w:tc>
          <w:tcPr>
            <w:tcW w:type="dxa" w:w="192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COSTRUZIONE DI EDIFICI RESIDENZIALI E NON RESIDENZIALI</w:t>
            </w:r>
          </w:p>
        </w:tc>
        <w:tc>
          <w:tcPr>
            <w:tcW w:type="dxa" w:w="13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RAPPRESENTANTE LEGALE (PRESIDENTE CDA)</w:t>
            </w:r>
          </w:p>
        </w:tc>
        <w:tc>
          <w:tcPr>
            <w:tcW w:type="dxa" w:w="6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set-2003</w:t>
            </w:r>
          </w:p>
        </w:tc>
        <w:tc>
          <w:tcPr>
            <w:tcW w:type="dxa" w:w="7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feb-2014</w:t>
            </w:r>
          </w:p>
        </w:tc>
      </w:tr>
      <w:tr>
        <w:tblPrEx>
          <w:shd w:val="clear" w:color="auto" w:fill="auto"/>
        </w:tblPrEx>
        <w:trPr>
          <w:trHeight w:val="490" w:hRule="atLeast"/>
        </w:trPr>
        <w:tc>
          <w:tcPr>
            <w:tcW w:type="dxa" w:w="33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55</w:t>
            </w:r>
          </w:p>
        </w:tc>
        <w:tc>
          <w:tcPr>
            <w:tcW w:type="dxa" w:w="19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AMBIENTE GUIDONIA S.r.l. - 11317471008</w:t>
            </w:r>
          </w:p>
        </w:tc>
        <w:tc>
          <w:tcPr>
            <w:tcW w:type="dxa" w:w="140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ROMA (RM) - VIALE DEL POGGIO FIORITO 63</w:t>
            </w:r>
          </w:p>
        </w:tc>
        <w:tc>
          <w:tcPr>
            <w:tcW w:type="dxa" w:w="61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10/02/2011</w:t>
            </w:r>
          </w:p>
        </w:tc>
        <w:tc>
          <w:tcPr>
            <w:tcW w:type="dxa" w:w="62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 </w:t>
            </w:r>
          </w:p>
        </w:tc>
        <w:tc>
          <w:tcPr>
            <w:tcW w:type="dxa" w:w="192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TRATTAMENTO E SMALTIMENTO DI RIFIUTI NON PERICOLOSI; PRODUZIONE DI COMPOST</w:t>
            </w:r>
          </w:p>
        </w:tc>
        <w:tc>
          <w:tcPr>
            <w:tcW w:type="dxa" w:w="13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RAPPRESENTANTE LEGALE (PRESIDENTE CDA E AMMINISTRATORE UNICO)</w:t>
            </w:r>
          </w:p>
        </w:tc>
        <w:tc>
          <w:tcPr>
            <w:tcW w:type="dxa" w:w="6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feb-2011</w:t>
            </w:r>
          </w:p>
        </w:tc>
        <w:tc>
          <w:tcPr>
            <w:tcW w:type="dxa" w:w="7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feb-2014</w:t>
            </w:r>
          </w:p>
        </w:tc>
      </w:tr>
      <w:tr>
        <w:tblPrEx>
          <w:shd w:val="clear" w:color="auto" w:fill="auto"/>
        </w:tblPrEx>
        <w:trPr>
          <w:trHeight w:val="250" w:hRule="atLeast"/>
        </w:trPr>
        <w:tc>
          <w:tcPr>
            <w:tcW w:type="dxa" w:w="33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56</w:t>
            </w:r>
          </w:p>
        </w:tc>
        <w:tc>
          <w:tcPr>
            <w:tcW w:type="dxa" w:w="19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SIL - S.r.l. CON UNICO SOCIO - 03890911005</w:t>
            </w:r>
          </w:p>
        </w:tc>
        <w:tc>
          <w:tcPr>
            <w:tcW w:type="dxa" w:w="140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ROMA (RM) - VIALE DEL POGGIO FIORITO 63</w:t>
            </w:r>
          </w:p>
        </w:tc>
        <w:tc>
          <w:tcPr>
            <w:tcW w:type="dxa" w:w="61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01/04/2015</w:t>
            </w:r>
          </w:p>
        </w:tc>
        <w:tc>
          <w:tcPr>
            <w:tcW w:type="dxa" w:w="62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 </w:t>
            </w:r>
          </w:p>
        </w:tc>
        <w:tc>
          <w:tcPr>
            <w:tcW w:type="dxa" w:w="192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COSTRUZIONE DI EDIFICI RESIDENZIALI E NON RESIDENZIALI</w:t>
            </w:r>
          </w:p>
        </w:tc>
        <w:tc>
          <w:tcPr>
            <w:tcW w:type="dxa" w:w="13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CONSIGLIERE</w:t>
            </w:r>
          </w:p>
        </w:tc>
        <w:tc>
          <w:tcPr>
            <w:tcW w:type="dxa" w:w="6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mar-2013</w:t>
            </w:r>
          </w:p>
        </w:tc>
        <w:tc>
          <w:tcPr>
            <w:tcW w:type="dxa" w:w="7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feb-2014</w:t>
            </w:r>
          </w:p>
        </w:tc>
      </w:tr>
      <w:tr>
        <w:tblPrEx>
          <w:shd w:val="clear" w:color="auto" w:fill="auto"/>
        </w:tblPrEx>
        <w:trPr>
          <w:trHeight w:val="370" w:hRule="atLeast"/>
        </w:trPr>
        <w:tc>
          <w:tcPr>
            <w:tcW w:type="dxa" w:w="33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57</w:t>
            </w:r>
          </w:p>
        </w:tc>
        <w:tc>
          <w:tcPr>
            <w:tcW w:type="dxa" w:w="19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URBE ENERGIA S.r.l. CON UNICO SOCIO - 05877581008</w:t>
            </w:r>
          </w:p>
        </w:tc>
        <w:tc>
          <w:tcPr>
            <w:tcW w:type="dxa" w:w="140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ROMA (RM) - VIA DELL' ESPERANTO 74</w:t>
            </w:r>
          </w:p>
        </w:tc>
        <w:tc>
          <w:tcPr>
            <w:tcW w:type="dxa" w:w="61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22/10/1999</w:t>
            </w:r>
          </w:p>
        </w:tc>
        <w:tc>
          <w:tcPr>
            <w:tcW w:type="dxa" w:w="62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 </w:t>
            </w:r>
          </w:p>
        </w:tc>
        <w:tc>
          <w:tcPr>
            <w:tcW w:type="dxa" w:w="192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PRODUZIONE DI ENERGIA ELETTRICA</w:t>
            </w:r>
          </w:p>
        </w:tc>
        <w:tc>
          <w:tcPr>
            <w:tcW w:type="dxa" w:w="13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RAPPRESENTANTE LEGALE (PRESIDENTE CDA)</w:t>
            </w:r>
          </w:p>
        </w:tc>
        <w:tc>
          <w:tcPr>
            <w:tcW w:type="dxa" w:w="6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apr-2003</w:t>
            </w:r>
          </w:p>
        </w:tc>
        <w:tc>
          <w:tcPr>
            <w:tcW w:type="dxa" w:w="7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feb-2014</w:t>
            </w:r>
          </w:p>
        </w:tc>
      </w:tr>
      <w:tr>
        <w:tblPrEx>
          <w:shd w:val="clear" w:color="auto" w:fill="auto"/>
        </w:tblPrEx>
        <w:trPr>
          <w:trHeight w:val="370" w:hRule="atLeast"/>
        </w:trPr>
        <w:tc>
          <w:tcPr>
            <w:tcW w:type="dxa" w:w="33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58</w:t>
            </w:r>
          </w:p>
        </w:tc>
        <w:tc>
          <w:tcPr>
            <w:tcW w:type="dxa" w:w="19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SYSTEMA AMBIENTE S.p.A. - 02071270983</w:t>
            </w:r>
          </w:p>
        </w:tc>
        <w:tc>
          <w:tcPr>
            <w:tcW w:type="dxa" w:w="140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BRESCIA (BS) - VIA DEI SANTI 58</w:t>
            </w:r>
          </w:p>
        </w:tc>
        <w:tc>
          <w:tcPr>
            <w:tcW w:type="dxa" w:w="61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07/11/1980</w:t>
            </w:r>
          </w:p>
        </w:tc>
        <w:tc>
          <w:tcPr>
            <w:tcW w:type="dxa" w:w="62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 </w:t>
            </w:r>
          </w:p>
        </w:tc>
        <w:tc>
          <w:tcPr>
            <w:tcW w:type="dxa" w:w="192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ALTRE ATTIVITA' DI CONSULENZA TECNICA NCA</w:t>
            </w:r>
          </w:p>
        </w:tc>
        <w:tc>
          <w:tcPr>
            <w:tcW w:type="dxa" w:w="13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RAPPRESENTANTE LEGALE (PRESIDENTE CDA)</w:t>
            </w:r>
          </w:p>
        </w:tc>
        <w:tc>
          <w:tcPr>
            <w:tcW w:type="dxa" w:w="6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lug-1997</w:t>
            </w:r>
          </w:p>
        </w:tc>
        <w:tc>
          <w:tcPr>
            <w:tcW w:type="dxa" w:w="7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feb-2014</w:t>
            </w:r>
          </w:p>
        </w:tc>
      </w:tr>
      <w:tr>
        <w:tblPrEx>
          <w:shd w:val="clear" w:color="auto" w:fill="auto"/>
        </w:tblPrEx>
        <w:trPr>
          <w:trHeight w:val="490" w:hRule="atLeast"/>
        </w:trPr>
        <w:tc>
          <w:tcPr>
            <w:tcW w:type="dxa" w:w="33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59</w:t>
            </w:r>
          </w:p>
        </w:tc>
        <w:tc>
          <w:tcPr>
            <w:tcW w:type="dxa" w:w="19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AQUA PISONIS S.r.l. CON UNICO SOCIO - 07167301006</w:t>
            </w:r>
          </w:p>
        </w:tc>
        <w:tc>
          <w:tcPr>
            <w:tcW w:type="dxa" w:w="140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 xml:space="preserve">ROMA (RM) </w:t>
            </w: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 xml:space="preserve">– </w:t>
            </w: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VIA DELL'ESPERANTO 74</w:t>
            </w:r>
          </w:p>
        </w:tc>
        <w:tc>
          <w:tcPr>
            <w:tcW w:type="dxa" w:w="61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24/07/2002</w:t>
            </w:r>
          </w:p>
        </w:tc>
        <w:tc>
          <w:tcPr>
            <w:tcW w:type="dxa" w:w="62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 </w:t>
            </w:r>
          </w:p>
        </w:tc>
        <w:tc>
          <w:tcPr>
            <w:tcW w:type="dxa" w:w="192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RACCOLTA, TRATTAMENTO E FORNITURA DI ACQUA</w:t>
            </w:r>
          </w:p>
        </w:tc>
        <w:tc>
          <w:tcPr>
            <w:tcW w:type="dxa" w:w="13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RAPPRESENTANTE LEGALE (AMMINISTRATORE UNICO)</w:t>
            </w:r>
          </w:p>
        </w:tc>
        <w:tc>
          <w:tcPr>
            <w:tcW w:type="dxa" w:w="6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lug-2002</w:t>
            </w:r>
          </w:p>
        </w:tc>
        <w:tc>
          <w:tcPr>
            <w:tcW w:type="dxa" w:w="7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mar-2014</w:t>
            </w:r>
          </w:p>
        </w:tc>
      </w:tr>
      <w:tr>
        <w:tblPrEx>
          <w:shd w:val="clear" w:color="auto" w:fill="auto"/>
        </w:tblPrEx>
        <w:trPr>
          <w:trHeight w:val="490" w:hRule="atLeast"/>
        </w:trPr>
        <w:tc>
          <w:tcPr>
            <w:tcW w:type="dxa" w:w="33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60</w:t>
            </w:r>
          </w:p>
        </w:tc>
        <w:tc>
          <w:tcPr>
            <w:tcW w:type="dxa" w:w="19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OFFICINE MALAGROTTA S.r.l. - 01651311001</w:t>
            </w:r>
          </w:p>
        </w:tc>
        <w:tc>
          <w:tcPr>
            <w:tcW w:type="dxa" w:w="140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ROMA (RM) - VIA PORTUENSE 881</w:t>
            </w:r>
          </w:p>
        </w:tc>
        <w:tc>
          <w:tcPr>
            <w:tcW w:type="dxa" w:w="61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31/01/1985</w:t>
            </w:r>
          </w:p>
        </w:tc>
        <w:tc>
          <w:tcPr>
            <w:tcW w:type="dxa" w:w="62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 </w:t>
            </w:r>
          </w:p>
        </w:tc>
        <w:tc>
          <w:tcPr>
            <w:tcW w:type="dxa" w:w="192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GESTIONE E LA PROGETTAZIONE DI IMPIANTI DI TRATTAMENTO DI RIFIUTI</w:t>
            </w:r>
          </w:p>
        </w:tc>
        <w:tc>
          <w:tcPr>
            <w:tcW w:type="dxa" w:w="13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RAPPRESENTANTE LEGALE (AMMINISTRATORE UNICO)</w:t>
            </w:r>
          </w:p>
        </w:tc>
        <w:tc>
          <w:tcPr>
            <w:tcW w:type="dxa" w:w="6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gen-1985</w:t>
            </w:r>
          </w:p>
        </w:tc>
        <w:tc>
          <w:tcPr>
            <w:tcW w:type="dxa" w:w="7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mar-2014</w:t>
            </w:r>
          </w:p>
        </w:tc>
      </w:tr>
      <w:tr>
        <w:tblPrEx>
          <w:shd w:val="clear" w:color="auto" w:fill="auto"/>
        </w:tblPrEx>
        <w:trPr>
          <w:trHeight w:val="370" w:hRule="atLeast"/>
        </w:trPr>
        <w:tc>
          <w:tcPr>
            <w:tcW w:type="dxa" w:w="33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61</w:t>
            </w:r>
          </w:p>
        </w:tc>
        <w:tc>
          <w:tcPr>
            <w:tcW w:type="dxa" w:w="19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Co.La.Ri. - CONSORZIO LAZIALE RIFIUTI - 01603081009</w:t>
            </w:r>
          </w:p>
        </w:tc>
        <w:tc>
          <w:tcPr>
            <w:tcW w:type="dxa" w:w="140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ROMA (RM) - VIALE DEL POGGIO FIORITO 63</w:t>
            </w:r>
          </w:p>
        </w:tc>
        <w:tc>
          <w:tcPr>
            <w:tcW w:type="dxa" w:w="61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24/10/1984</w:t>
            </w:r>
          </w:p>
        </w:tc>
        <w:tc>
          <w:tcPr>
            <w:tcW w:type="dxa" w:w="62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 </w:t>
            </w:r>
          </w:p>
        </w:tc>
        <w:tc>
          <w:tcPr>
            <w:tcW w:type="dxa" w:w="192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ATTIVITA' DI RACCOLTA, TRATTAMENTO E SMALTIMENTO DEI RIFIUTI; RECUPERO DEI MATERIALI</w:t>
            </w:r>
          </w:p>
        </w:tc>
        <w:tc>
          <w:tcPr>
            <w:tcW w:type="dxa" w:w="13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RAPPRESENTANTE LEGALE (PRESIDENTE)</w:t>
            </w:r>
          </w:p>
        </w:tc>
        <w:tc>
          <w:tcPr>
            <w:tcW w:type="dxa" w:w="6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ott-1984</w:t>
            </w:r>
          </w:p>
        </w:tc>
        <w:tc>
          <w:tcPr>
            <w:tcW w:type="dxa" w:w="7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mar-2014</w:t>
            </w:r>
          </w:p>
        </w:tc>
      </w:tr>
      <w:tr>
        <w:tblPrEx>
          <w:shd w:val="clear" w:color="auto" w:fill="auto"/>
        </w:tblPrEx>
        <w:trPr>
          <w:trHeight w:val="490" w:hRule="atLeast"/>
        </w:trPr>
        <w:tc>
          <w:tcPr>
            <w:tcW w:type="dxa" w:w="33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62</w:t>
            </w:r>
          </w:p>
        </w:tc>
        <w:tc>
          <w:tcPr>
            <w:tcW w:type="dxa" w:w="19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MARA AMBIENTE S.r.l. CON UNICO SOCIO - 02190850988</w:t>
            </w:r>
          </w:p>
        </w:tc>
        <w:tc>
          <w:tcPr>
            <w:tcW w:type="dxa" w:w="140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BRESCIA (BS) - VIA DEI SANTI 58</w:t>
            </w:r>
          </w:p>
        </w:tc>
        <w:tc>
          <w:tcPr>
            <w:tcW w:type="dxa" w:w="61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14/05/2001</w:t>
            </w:r>
          </w:p>
        </w:tc>
        <w:tc>
          <w:tcPr>
            <w:tcW w:type="dxa" w:w="62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 </w:t>
            </w:r>
          </w:p>
        </w:tc>
        <w:tc>
          <w:tcPr>
            <w:tcW w:type="dxa" w:w="192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COSTRUZIONE DI OPERE DI PUBBLICA UTILITA' PER IL TRASPORTO DI FLUIDI</w:t>
            </w:r>
          </w:p>
        </w:tc>
        <w:tc>
          <w:tcPr>
            <w:tcW w:type="dxa" w:w="13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RAPPRESENTANTE LEGALE (AMMINISTRATORE UNICO)</w:t>
            </w:r>
          </w:p>
        </w:tc>
        <w:tc>
          <w:tcPr>
            <w:tcW w:type="dxa" w:w="6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mag-2001</w:t>
            </w:r>
          </w:p>
        </w:tc>
        <w:tc>
          <w:tcPr>
            <w:tcW w:type="dxa" w:w="7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mar-2014</w:t>
            </w:r>
          </w:p>
        </w:tc>
      </w:tr>
      <w:tr>
        <w:tblPrEx>
          <w:shd w:val="clear" w:color="auto" w:fill="auto"/>
        </w:tblPrEx>
        <w:trPr>
          <w:trHeight w:val="370" w:hRule="atLeast"/>
        </w:trPr>
        <w:tc>
          <w:tcPr>
            <w:tcW w:type="dxa" w:w="33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63</w:t>
            </w:r>
          </w:p>
        </w:tc>
        <w:tc>
          <w:tcPr>
            <w:tcW w:type="dxa" w:w="19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SCT Sorain Cecchini TECNO S.r.l. - 04502101001</w:t>
            </w:r>
          </w:p>
        </w:tc>
        <w:tc>
          <w:tcPr>
            <w:tcW w:type="dxa" w:w="140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ROMA (RM) - VIA PONTINA 545</w:t>
            </w:r>
          </w:p>
        </w:tc>
        <w:tc>
          <w:tcPr>
            <w:tcW w:type="dxa" w:w="61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03/05/1993</w:t>
            </w:r>
          </w:p>
        </w:tc>
        <w:tc>
          <w:tcPr>
            <w:tcW w:type="dxa" w:w="62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 </w:t>
            </w:r>
          </w:p>
        </w:tc>
        <w:tc>
          <w:tcPr>
            <w:tcW w:type="dxa" w:w="192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FABBRICAZIONE DI ALTRO MATERIALE MECCANICO E DI ALTRE MACCHINE DI IMPIEGO GENERALE NCA</w:t>
            </w:r>
          </w:p>
        </w:tc>
        <w:tc>
          <w:tcPr>
            <w:tcW w:type="dxa" w:w="13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RAPPRESENTANTE LEGALE (PRESIDENTE CDA E CONSIGLIERE)</w:t>
            </w:r>
          </w:p>
        </w:tc>
        <w:tc>
          <w:tcPr>
            <w:tcW w:type="dxa" w:w="6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mag-1998</w:t>
            </w:r>
          </w:p>
        </w:tc>
        <w:tc>
          <w:tcPr>
            <w:tcW w:type="dxa" w:w="7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mar-2014</w:t>
            </w:r>
          </w:p>
        </w:tc>
      </w:tr>
      <w:tr>
        <w:tblPrEx>
          <w:shd w:val="clear" w:color="auto" w:fill="auto"/>
        </w:tblPrEx>
        <w:trPr>
          <w:trHeight w:val="250" w:hRule="atLeast"/>
        </w:trPr>
        <w:tc>
          <w:tcPr>
            <w:tcW w:type="dxa" w:w="33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64</w:t>
            </w:r>
          </w:p>
        </w:tc>
        <w:tc>
          <w:tcPr>
            <w:tcW w:type="dxa" w:w="19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AMBIENTAL GEO SOC. COOP. AR.L. - 03349690176</w:t>
            </w:r>
          </w:p>
        </w:tc>
        <w:tc>
          <w:tcPr>
            <w:tcW w:type="dxa" w:w="140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BRESCIA (BS) - VIA DEI SANTI 58</w:t>
            </w:r>
          </w:p>
        </w:tc>
        <w:tc>
          <w:tcPr>
            <w:tcW w:type="dxa" w:w="61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28/05/1996</w:t>
            </w:r>
          </w:p>
        </w:tc>
        <w:tc>
          <w:tcPr>
            <w:tcW w:type="dxa" w:w="62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 </w:t>
            </w:r>
          </w:p>
        </w:tc>
        <w:tc>
          <w:tcPr>
            <w:tcW w:type="dxa" w:w="192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ATTIVITA' DI SERVIZI PER LA PERSONA NCA</w:t>
            </w:r>
          </w:p>
        </w:tc>
        <w:tc>
          <w:tcPr>
            <w:tcW w:type="dxa" w:w="13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CONSIGLIERE</w:t>
            </w:r>
          </w:p>
        </w:tc>
        <w:tc>
          <w:tcPr>
            <w:tcW w:type="dxa" w:w="6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mag-2010</w:t>
            </w:r>
          </w:p>
        </w:tc>
        <w:tc>
          <w:tcPr>
            <w:tcW w:type="dxa" w:w="7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giu-2014</w:t>
            </w:r>
          </w:p>
        </w:tc>
      </w:tr>
      <w:tr>
        <w:tblPrEx>
          <w:shd w:val="clear" w:color="auto" w:fill="auto"/>
        </w:tblPrEx>
        <w:trPr>
          <w:trHeight w:val="250" w:hRule="atLeast"/>
        </w:trPr>
        <w:tc>
          <w:tcPr>
            <w:tcW w:type="dxa" w:w="33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65</w:t>
            </w:r>
          </w:p>
        </w:tc>
        <w:tc>
          <w:tcPr>
            <w:tcW w:type="dxa" w:w="19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E. Giovi SOCIETA' A RESPONSABILITA' LIMITATA S.r.l. - 04773710589</w:t>
            </w:r>
          </w:p>
        </w:tc>
        <w:tc>
          <w:tcPr>
            <w:tcW w:type="dxa" w:w="140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ROMA (RM) - VIA PORTUENSE 881</w:t>
            </w:r>
          </w:p>
        </w:tc>
        <w:tc>
          <w:tcPr>
            <w:tcW w:type="dxa" w:w="61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29/07/1988</w:t>
            </w:r>
          </w:p>
        </w:tc>
        <w:tc>
          <w:tcPr>
            <w:tcW w:type="dxa" w:w="62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 </w:t>
            </w:r>
          </w:p>
        </w:tc>
        <w:tc>
          <w:tcPr>
            <w:tcW w:type="dxa" w:w="192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TRATTAMENTO E SMALTIMENTO DI ALTRI RIFIUTI NON PERICOLOSI</w:t>
            </w:r>
          </w:p>
        </w:tc>
        <w:tc>
          <w:tcPr>
            <w:tcW w:type="dxa" w:w="13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TITOLARE QUOTE (50% CAPITALE SOCIALE)</w:t>
            </w:r>
          </w:p>
        </w:tc>
        <w:tc>
          <w:tcPr>
            <w:tcW w:type="dxa" w:w="6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dic-1993</w:t>
            </w:r>
          </w:p>
        </w:tc>
        <w:tc>
          <w:tcPr>
            <w:tcW w:type="dxa" w:w="7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lug-2014</w:t>
            </w:r>
          </w:p>
        </w:tc>
      </w:tr>
      <w:tr>
        <w:tblPrEx>
          <w:shd w:val="clear" w:color="auto" w:fill="auto"/>
        </w:tblPrEx>
        <w:trPr>
          <w:trHeight w:val="490" w:hRule="atLeast"/>
        </w:trPr>
        <w:tc>
          <w:tcPr>
            <w:tcW w:type="dxa" w:w="331"/>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66</w:t>
            </w:r>
          </w:p>
        </w:tc>
        <w:tc>
          <w:tcPr>
            <w:tcW w:type="dxa" w:w="1947"/>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Impresa A. Cecchini &amp; C. S.r.l. - 01049571001</w:t>
            </w:r>
          </w:p>
        </w:tc>
        <w:tc>
          <w:tcPr>
            <w:tcW w:type="dxa" w:w="1402"/>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ROMA (RM) - VIALE POGGIO FIORITO 63</w:t>
            </w:r>
          </w:p>
        </w:tc>
        <w:tc>
          <w:tcPr>
            <w:tcW w:type="dxa" w:w="611"/>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28/01/1976</w:t>
            </w:r>
          </w:p>
        </w:tc>
        <w:tc>
          <w:tcPr>
            <w:tcW w:type="dxa" w:w="620"/>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 </w:t>
            </w:r>
          </w:p>
        </w:tc>
        <w:tc>
          <w:tcPr>
            <w:tcW w:type="dxa" w:w="1929"/>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INGEGNERIA CIVILE</w:t>
            </w:r>
          </w:p>
        </w:tc>
        <w:tc>
          <w:tcPr>
            <w:tcW w:type="dxa" w:w="13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RAPPRESENTANTE LEGALE (AMMINISTRATORE UNICO) E SOCIO</w:t>
            </w:r>
          </w:p>
        </w:tc>
        <w:tc>
          <w:tcPr>
            <w:tcW w:type="dxa" w:w="6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gen-1983</w:t>
            </w:r>
          </w:p>
        </w:tc>
        <w:tc>
          <w:tcPr>
            <w:tcW w:type="dxa" w:w="7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lug-1999</w:t>
            </w:r>
          </w:p>
        </w:tc>
      </w:tr>
      <w:tr>
        <w:tblPrEx>
          <w:shd w:val="clear" w:color="auto" w:fill="auto"/>
        </w:tblPrEx>
        <w:trPr>
          <w:trHeight w:val="250" w:hRule="atLeast"/>
        </w:trPr>
        <w:tc>
          <w:tcPr>
            <w:tcW w:type="dxa" w:w="331"/>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94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402"/>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611"/>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620"/>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929"/>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3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TITOLARE QUOTE</w:t>
            </w:r>
          </w:p>
        </w:tc>
        <w:tc>
          <w:tcPr>
            <w:tcW w:type="dxa" w:w="6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giu-1994</w:t>
            </w:r>
          </w:p>
        </w:tc>
        <w:tc>
          <w:tcPr>
            <w:tcW w:type="dxa" w:w="7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lug-2015</w:t>
            </w:r>
          </w:p>
        </w:tc>
      </w:tr>
      <w:tr>
        <w:tblPrEx>
          <w:shd w:val="clear" w:color="auto" w:fill="auto"/>
        </w:tblPrEx>
        <w:trPr>
          <w:trHeight w:val="370" w:hRule="atLeast"/>
        </w:trPr>
        <w:tc>
          <w:tcPr>
            <w:tcW w:type="dxa" w:w="33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67</w:t>
            </w:r>
          </w:p>
        </w:tc>
        <w:tc>
          <w:tcPr>
            <w:tcW w:type="dxa" w:w="19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CALABRIA AMBIENTE S.p.A. - 02407560784</w:t>
            </w:r>
          </w:p>
        </w:tc>
        <w:tc>
          <w:tcPr>
            <w:tcW w:type="dxa" w:w="140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COSENZA (CS) - VIA MONTE SAN MICHELE 1 A</w:t>
            </w:r>
          </w:p>
        </w:tc>
        <w:tc>
          <w:tcPr>
            <w:tcW w:type="dxa" w:w="61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06/03/2001</w:t>
            </w:r>
          </w:p>
        </w:tc>
        <w:tc>
          <w:tcPr>
            <w:tcW w:type="dxa" w:w="62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 </w:t>
            </w:r>
          </w:p>
        </w:tc>
        <w:tc>
          <w:tcPr>
            <w:tcW w:type="dxa" w:w="192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RECUPERO E PREPARAZIONE PER IL RICICLAGGIO DEI RIFIUTI SOLIDI URBANI, INDUSTRIALI E BIOMASSE</w:t>
            </w:r>
          </w:p>
        </w:tc>
        <w:tc>
          <w:tcPr>
            <w:tcW w:type="dxa" w:w="13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RAPPRESENTANTE LEGALE (PRESIDENTE CDA)</w:t>
            </w:r>
          </w:p>
        </w:tc>
        <w:tc>
          <w:tcPr>
            <w:tcW w:type="dxa" w:w="6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gen-2002</w:t>
            </w:r>
          </w:p>
        </w:tc>
        <w:tc>
          <w:tcPr>
            <w:tcW w:type="dxa" w:w="7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set-2015</w:t>
            </w:r>
          </w:p>
        </w:tc>
      </w:tr>
      <w:tr>
        <w:tblPrEx>
          <w:shd w:val="clear" w:color="auto" w:fill="auto"/>
        </w:tblPrEx>
        <w:trPr>
          <w:trHeight w:val="370" w:hRule="atLeast"/>
        </w:trPr>
        <w:tc>
          <w:tcPr>
            <w:tcW w:type="dxa" w:w="331"/>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68</w:t>
            </w:r>
          </w:p>
        </w:tc>
        <w:tc>
          <w:tcPr>
            <w:tcW w:type="dxa" w:w="1947"/>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Sorain Cecchini DUE S.r.l. - 07656541005</w:t>
            </w:r>
          </w:p>
        </w:tc>
        <w:tc>
          <w:tcPr>
            <w:tcW w:type="dxa" w:w="1402"/>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ROMA (RM) - VIALE DEL POGGIO FIORITO 63</w:t>
            </w:r>
          </w:p>
        </w:tc>
        <w:tc>
          <w:tcPr>
            <w:tcW w:type="dxa" w:w="611"/>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25/09/2003</w:t>
            </w:r>
          </w:p>
        </w:tc>
        <w:tc>
          <w:tcPr>
            <w:tcW w:type="dxa" w:w="620"/>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18/12/2015</w:t>
            </w:r>
          </w:p>
        </w:tc>
        <w:tc>
          <w:tcPr>
            <w:tcW w:type="dxa" w:w="1929"/>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COSTRUZIONE DI EDIFICI RESIDENZIALI E NON RESIDENZIALI</w:t>
            </w:r>
          </w:p>
        </w:tc>
        <w:tc>
          <w:tcPr>
            <w:tcW w:type="dxa" w:w="13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RAPPRESENTANTE LEGALE (PRESIDENTE CDA)</w:t>
            </w:r>
          </w:p>
        </w:tc>
        <w:tc>
          <w:tcPr>
            <w:tcW w:type="dxa" w:w="6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set-2003</w:t>
            </w:r>
          </w:p>
        </w:tc>
        <w:tc>
          <w:tcPr>
            <w:tcW w:type="dxa" w:w="7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feb-2014</w:t>
            </w:r>
          </w:p>
        </w:tc>
      </w:tr>
      <w:tr>
        <w:tblPrEx>
          <w:shd w:val="clear" w:color="auto" w:fill="auto"/>
        </w:tblPrEx>
        <w:trPr>
          <w:trHeight w:val="250" w:hRule="atLeast"/>
        </w:trPr>
        <w:tc>
          <w:tcPr>
            <w:tcW w:type="dxa" w:w="331"/>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94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402"/>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611"/>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620"/>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929"/>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3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TITOLARE QUOTE</w:t>
            </w:r>
          </w:p>
        </w:tc>
        <w:tc>
          <w:tcPr>
            <w:tcW w:type="dxa" w:w="6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mag-2005</w:t>
            </w:r>
          </w:p>
        </w:tc>
        <w:tc>
          <w:tcPr>
            <w:tcW w:type="dxa" w:w="7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dic-2015</w:t>
            </w:r>
          </w:p>
        </w:tc>
      </w:tr>
      <w:tr>
        <w:tblPrEx>
          <w:shd w:val="clear" w:color="auto" w:fill="auto"/>
        </w:tblPrEx>
        <w:trPr>
          <w:trHeight w:val="370" w:hRule="atLeast"/>
        </w:trPr>
        <w:tc>
          <w:tcPr>
            <w:tcW w:type="dxa" w:w="331"/>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69</w:t>
            </w:r>
          </w:p>
        </w:tc>
        <w:tc>
          <w:tcPr>
            <w:tcW w:type="dxa" w:w="1947"/>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Sorain Cecchini TRE S.r.l. - 10557291001</w:t>
            </w:r>
          </w:p>
        </w:tc>
        <w:tc>
          <w:tcPr>
            <w:tcW w:type="dxa" w:w="1402"/>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ROMA (RM) - VIALE DEL POGGIO FIORITO 63</w:t>
            </w:r>
          </w:p>
        </w:tc>
        <w:tc>
          <w:tcPr>
            <w:tcW w:type="dxa" w:w="611"/>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07/07/2009</w:t>
            </w:r>
          </w:p>
        </w:tc>
        <w:tc>
          <w:tcPr>
            <w:tcW w:type="dxa" w:w="620"/>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18/12/2015</w:t>
            </w:r>
          </w:p>
        </w:tc>
        <w:tc>
          <w:tcPr>
            <w:tcW w:type="dxa" w:w="1929"/>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COSTRUZIONE DI EDIFICI RESIDENZIALI E NON RESIDENZIALI</w:t>
            </w:r>
          </w:p>
        </w:tc>
        <w:tc>
          <w:tcPr>
            <w:tcW w:type="dxa" w:w="13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RAPPRESENTANTE LEGALE (PRESIDENTE CDA)</w:t>
            </w:r>
          </w:p>
        </w:tc>
        <w:tc>
          <w:tcPr>
            <w:tcW w:type="dxa" w:w="6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lug-2009</w:t>
            </w:r>
          </w:p>
        </w:tc>
        <w:tc>
          <w:tcPr>
            <w:tcW w:type="dxa" w:w="7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feb-2014</w:t>
            </w:r>
          </w:p>
        </w:tc>
      </w:tr>
      <w:tr>
        <w:tblPrEx>
          <w:shd w:val="clear" w:color="auto" w:fill="auto"/>
        </w:tblPrEx>
        <w:trPr>
          <w:trHeight w:val="250" w:hRule="atLeast"/>
        </w:trPr>
        <w:tc>
          <w:tcPr>
            <w:tcW w:type="dxa" w:w="331"/>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94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402"/>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611"/>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620"/>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929"/>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3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TITOLARE QUOTE</w:t>
            </w:r>
          </w:p>
        </w:tc>
        <w:tc>
          <w:tcPr>
            <w:tcW w:type="dxa" w:w="6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lug-2009</w:t>
            </w:r>
          </w:p>
        </w:tc>
        <w:tc>
          <w:tcPr>
            <w:tcW w:type="dxa" w:w="7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dic-2015</w:t>
            </w:r>
          </w:p>
        </w:tc>
      </w:tr>
      <w:tr>
        <w:tblPrEx>
          <w:shd w:val="clear" w:color="auto" w:fill="auto"/>
        </w:tblPrEx>
        <w:trPr>
          <w:trHeight w:val="370" w:hRule="atLeast"/>
        </w:trPr>
        <w:tc>
          <w:tcPr>
            <w:tcW w:type="dxa" w:w="33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70</w:t>
            </w:r>
          </w:p>
        </w:tc>
        <w:tc>
          <w:tcPr>
            <w:tcW w:type="dxa" w:w="19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RIME 1 S.r.l. - 04764321008</w:t>
            </w:r>
          </w:p>
        </w:tc>
        <w:tc>
          <w:tcPr>
            <w:tcW w:type="dxa" w:w="140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ROMA (RM) - VIA DELLA MAGLIANA 1098</w:t>
            </w:r>
          </w:p>
        </w:tc>
        <w:tc>
          <w:tcPr>
            <w:tcW w:type="dxa" w:w="61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07/04/2000</w:t>
            </w:r>
          </w:p>
        </w:tc>
        <w:tc>
          <w:tcPr>
            <w:tcW w:type="dxa" w:w="62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 </w:t>
            </w:r>
          </w:p>
        </w:tc>
        <w:tc>
          <w:tcPr>
            <w:tcW w:type="dxa" w:w="192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ATTIVITA' DI RACCOLTA, TRATTAMENTO E SMALTIMENTO DEI RIFIUTI; RECUPERO DEI MATERIALI</w:t>
            </w:r>
          </w:p>
        </w:tc>
        <w:tc>
          <w:tcPr>
            <w:tcW w:type="dxa" w:w="13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CONSIGLIERE</w:t>
            </w:r>
          </w:p>
        </w:tc>
        <w:tc>
          <w:tcPr>
            <w:tcW w:type="dxa" w:w="6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lug-2008</w:t>
            </w:r>
          </w:p>
        </w:tc>
        <w:tc>
          <w:tcPr>
            <w:tcW w:type="dxa" w:w="7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gen-2016</w:t>
            </w:r>
          </w:p>
        </w:tc>
      </w:tr>
      <w:tr>
        <w:tblPrEx>
          <w:shd w:val="clear" w:color="auto" w:fill="auto"/>
        </w:tblPrEx>
        <w:trPr>
          <w:trHeight w:val="370" w:hRule="atLeast"/>
        </w:trPr>
        <w:tc>
          <w:tcPr>
            <w:tcW w:type="dxa" w:w="331"/>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71</w:t>
            </w:r>
          </w:p>
        </w:tc>
        <w:tc>
          <w:tcPr>
            <w:tcW w:type="dxa" w:w="1947"/>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Sorain Cecchini S.p.A. -  01297330589</w:t>
            </w:r>
          </w:p>
        </w:tc>
        <w:tc>
          <w:tcPr>
            <w:tcW w:type="dxa" w:w="1402"/>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ROMA (RM) - VIALE DEL POGGIO FIORITO 63</w:t>
            </w:r>
          </w:p>
        </w:tc>
        <w:tc>
          <w:tcPr>
            <w:tcW w:type="dxa" w:w="611"/>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01/12/1973</w:t>
            </w:r>
          </w:p>
        </w:tc>
        <w:tc>
          <w:tcPr>
            <w:tcW w:type="dxa" w:w="620"/>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 </w:t>
            </w:r>
          </w:p>
        </w:tc>
        <w:tc>
          <w:tcPr>
            <w:tcW w:type="dxa" w:w="1929"/>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STUDI, RACCOLTA, RECUPERO, SMALTIMENTO RIFIUTI; COSTRUZIONE IMPIANTI SMALTIMENTO DI RIFIUTI SOLIDI</w:t>
            </w:r>
          </w:p>
        </w:tc>
        <w:tc>
          <w:tcPr>
            <w:tcW w:type="dxa" w:w="13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RAPPRESENTANTE LEGALE (PRESIDENTE CDA)</w:t>
            </w:r>
          </w:p>
        </w:tc>
        <w:tc>
          <w:tcPr>
            <w:tcW w:type="dxa" w:w="6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mag-2000</w:t>
            </w:r>
          </w:p>
        </w:tc>
        <w:tc>
          <w:tcPr>
            <w:tcW w:type="dxa" w:w="7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feb-2014</w:t>
            </w:r>
          </w:p>
        </w:tc>
      </w:tr>
      <w:tr>
        <w:tblPrEx>
          <w:shd w:val="clear" w:color="auto" w:fill="auto"/>
        </w:tblPrEx>
        <w:trPr>
          <w:trHeight w:val="250" w:hRule="atLeast"/>
        </w:trPr>
        <w:tc>
          <w:tcPr>
            <w:tcW w:type="dxa" w:w="331"/>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94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402"/>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611"/>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620"/>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929"/>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3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TITOLARE QUOTE</w:t>
            </w:r>
          </w:p>
        </w:tc>
        <w:tc>
          <w:tcPr>
            <w:tcW w:type="dxa" w:w="6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dic-1993</w:t>
            </w:r>
          </w:p>
        </w:tc>
        <w:tc>
          <w:tcPr>
            <w:tcW w:type="dxa" w:w="7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dic-2016</w:t>
            </w:r>
          </w:p>
        </w:tc>
      </w:tr>
      <w:tr>
        <w:tblPrEx>
          <w:shd w:val="clear" w:color="auto" w:fill="auto"/>
        </w:tblPrEx>
        <w:trPr>
          <w:trHeight w:val="490" w:hRule="atLeast"/>
        </w:trPr>
        <w:tc>
          <w:tcPr>
            <w:tcW w:type="dxa" w:w="331"/>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72</w:t>
            </w:r>
          </w:p>
        </w:tc>
        <w:tc>
          <w:tcPr>
            <w:tcW w:type="dxa" w:w="1947"/>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Sorain Cecchini AMBIENTE S.p.A. - 01226821005</w:t>
            </w:r>
          </w:p>
        </w:tc>
        <w:tc>
          <w:tcPr>
            <w:tcW w:type="dxa" w:w="1402"/>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ROMA (RM) - VIALE POGGIO FIORITO 63</w:t>
            </w:r>
          </w:p>
        </w:tc>
        <w:tc>
          <w:tcPr>
            <w:tcW w:type="dxa" w:w="611"/>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04/10/1979</w:t>
            </w:r>
          </w:p>
        </w:tc>
        <w:tc>
          <w:tcPr>
            <w:tcW w:type="dxa" w:w="620"/>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 </w:t>
            </w:r>
          </w:p>
        </w:tc>
        <w:tc>
          <w:tcPr>
            <w:tcW w:type="dxa" w:w="1929"/>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ATTIVITA</w:t>
            </w: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 xml:space="preserve">’ </w:t>
            </w: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DI RECUPERO E BONIFICA AMBIENTALE, SMALTIMENTO DI RIFIUTI URBANI E SPECIALI</w:t>
            </w:r>
          </w:p>
        </w:tc>
        <w:tc>
          <w:tcPr>
            <w:tcW w:type="dxa" w:w="13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RAPPRESENTANTE LEGALE (AMMINISTRATORE UNICO)</w:t>
            </w:r>
          </w:p>
        </w:tc>
        <w:tc>
          <w:tcPr>
            <w:tcW w:type="dxa" w:w="6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gen-1980</w:t>
            </w:r>
          </w:p>
        </w:tc>
        <w:tc>
          <w:tcPr>
            <w:tcW w:type="dxa" w:w="7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mar-2014</w:t>
            </w:r>
          </w:p>
        </w:tc>
      </w:tr>
      <w:tr>
        <w:tblPrEx>
          <w:shd w:val="clear" w:color="auto" w:fill="auto"/>
        </w:tblPrEx>
        <w:trPr>
          <w:trHeight w:val="250" w:hRule="atLeast"/>
        </w:trPr>
        <w:tc>
          <w:tcPr>
            <w:tcW w:type="dxa" w:w="331"/>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94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402"/>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611"/>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620"/>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929"/>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3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TITOLARE QUOTE</w:t>
            </w:r>
          </w:p>
        </w:tc>
        <w:tc>
          <w:tcPr>
            <w:tcW w:type="dxa" w:w="6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lug-1998</w:t>
            </w:r>
          </w:p>
        </w:tc>
        <w:tc>
          <w:tcPr>
            <w:tcW w:type="dxa" w:w="7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dic-2016</w:t>
            </w:r>
          </w:p>
        </w:tc>
      </w:tr>
      <w:tr>
        <w:tblPrEx>
          <w:shd w:val="clear" w:color="auto" w:fill="auto"/>
        </w:tblPrEx>
        <w:trPr>
          <w:trHeight w:val="370" w:hRule="atLeast"/>
        </w:trPr>
        <w:tc>
          <w:tcPr>
            <w:tcW w:type="dxa" w:w="33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73</w:t>
            </w:r>
          </w:p>
        </w:tc>
        <w:tc>
          <w:tcPr>
            <w:tcW w:type="dxa" w:w="19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P. Giovi S.r.l. - 01301111009</w:t>
            </w:r>
          </w:p>
        </w:tc>
        <w:tc>
          <w:tcPr>
            <w:tcW w:type="dxa" w:w="140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ROMA (RM) - VIA PORTUENSE 881</w:t>
            </w:r>
          </w:p>
        </w:tc>
        <w:tc>
          <w:tcPr>
            <w:tcW w:type="dxa" w:w="61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07/07/1980</w:t>
            </w:r>
          </w:p>
        </w:tc>
        <w:tc>
          <w:tcPr>
            <w:tcW w:type="dxa" w:w="62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 </w:t>
            </w:r>
          </w:p>
        </w:tc>
        <w:tc>
          <w:tcPr>
            <w:tcW w:type="dxa" w:w="192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ATTIVITA' DI RACCOLTA, TRATTAMENTO E SMALTIMENTO DEI RIFIUTI; RECUPERO DEI MATERIALI</w:t>
            </w:r>
          </w:p>
        </w:tc>
        <w:tc>
          <w:tcPr>
            <w:tcW w:type="dxa" w:w="13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TITOLARE QUOTE</w:t>
            </w:r>
          </w:p>
        </w:tc>
        <w:tc>
          <w:tcPr>
            <w:tcW w:type="dxa" w:w="6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dic-1993</w:t>
            </w:r>
          </w:p>
        </w:tc>
        <w:tc>
          <w:tcPr>
            <w:tcW w:type="dxa" w:w="7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mar-2017</w:t>
            </w:r>
          </w:p>
        </w:tc>
      </w:tr>
      <w:tr>
        <w:tblPrEx>
          <w:shd w:val="clear" w:color="auto" w:fill="auto"/>
        </w:tblPrEx>
        <w:trPr>
          <w:trHeight w:val="490" w:hRule="atLeast"/>
        </w:trPr>
        <w:tc>
          <w:tcPr>
            <w:tcW w:type="dxa" w:w="331"/>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74</w:t>
            </w:r>
          </w:p>
        </w:tc>
        <w:tc>
          <w:tcPr>
            <w:tcW w:type="dxa" w:w="1947"/>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R.&amp; S.OFFICINE S.r.l. - 05675071004</w:t>
            </w:r>
          </w:p>
        </w:tc>
        <w:tc>
          <w:tcPr>
            <w:tcW w:type="dxa" w:w="1402"/>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ROMA (RM) - VIA POGGIO FIORITO 63</w:t>
            </w:r>
          </w:p>
        </w:tc>
        <w:tc>
          <w:tcPr>
            <w:tcW w:type="dxa" w:w="611"/>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23/12/1998</w:t>
            </w:r>
          </w:p>
        </w:tc>
        <w:tc>
          <w:tcPr>
            <w:tcW w:type="dxa" w:w="620"/>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 </w:t>
            </w:r>
          </w:p>
        </w:tc>
        <w:tc>
          <w:tcPr>
            <w:tcW w:type="dxa" w:w="1929"/>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RIPARAZIONE E MANUTENZIONE DI ALTRE MACCHINE DI IMPIEGO GENERALE NCA</w:t>
            </w:r>
          </w:p>
        </w:tc>
        <w:tc>
          <w:tcPr>
            <w:tcW w:type="dxa" w:w="13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RAPPRESENTANTE LEGALE (AMMINISTRATORE UNICO)</w:t>
            </w:r>
          </w:p>
        </w:tc>
        <w:tc>
          <w:tcPr>
            <w:tcW w:type="dxa" w:w="6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dic-1998</w:t>
            </w:r>
          </w:p>
        </w:tc>
        <w:tc>
          <w:tcPr>
            <w:tcW w:type="dxa" w:w="7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mar-2014</w:t>
            </w:r>
          </w:p>
        </w:tc>
      </w:tr>
      <w:tr>
        <w:tblPrEx>
          <w:shd w:val="clear" w:color="auto" w:fill="auto"/>
        </w:tblPrEx>
        <w:trPr>
          <w:trHeight w:val="250" w:hRule="atLeast"/>
        </w:trPr>
        <w:tc>
          <w:tcPr>
            <w:tcW w:type="dxa" w:w="331"/>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94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402"/>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611"/>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620"/>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929"/>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34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 xml:space="preserve">TITOLARE QUOTE </w:t>
            </w:r>
          </w:p>
        </w:tc>
        <w:tc>
          <w:tcPr>
            <w:tcW w:type="dxa" w:w="6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dic-1998</w:t>
            </w:r>
          </w:p>
        </w:tc>
        <w:tc>
          <w:tcPr>
            <w:tcW w:type="dxa" w:w="7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0"/>
                <w:szCs w:val="10"/>
                <w:u w:val="none" w:color="000000"/>
                <w:vertAlign w:val="baseline"/>
                <w:rtl w:val="0"/>
                <w:lang w:val="it-IT"/>
              </w:rPr>
              <w:t>apr-2017</w:t>
            </w:r>
          </w:p>
        </w:tc>
      </w:tr>
    </w:tbl>
    <w:p>
      <w:pPr>
        <w:pStyle w:val="Normal"/>
        <w:keepNext w:val="1"/>
        <w:ind w:right="567" w:firstLine="567"/>
        <w:jc w:val="center"/>
        <w:rPr>
          <w:rFonts w:ascii="Book Antiqua" w:cs="Book Antiqua" w:hAnsi="Book Antiqua" w:eastAsia="Book Antiqua"/>
        </w:rPr>
      </w:pPr>
    </w:p>
    <w:p>
      <w:pPr>
        <w:pStyle w:val="Normal"/>
        <w:keepNext w:val="1"/>
        <w:ind w:left="1134" w:right="567" w:hanging="567"/>
        <w:jc w:val="both"/>
        <w:rPr>
          <w:rFonts w:ascii="Book Antiqua" w:cs="Book Antiqua" w:hAnsi="Book Antiqua" w:eastAsia="Book Antiqua"/>
          <w:i w:val="1"/>
          <w:iCs w:val="1"/>
          <w:sz w:val="20"/>
          <w:szCs w:val="20"/>
        </w:rPr>
      </w:pPr>
      <w:r>
        <w:rPr>
          <w:rFonts w:ascii="Book Antiqua"/>
          <w:i w:val="1"/>
          <w:iCs w:val="1"/>
          <w:sz w:val="20"/>
          <w:szCs w:val="20"/>
          <w:rtl w:val="0"/>
          <w:lang w:val="it-IT"/>
        </w:rPr>
        <w:t xml:space="preserve">N.B. I soggetti economici sono stati ordinati temporalmente in base al periodo di cessazione </w:t>
      </w:r>
    </w:p>
    <w:p>
      <w:pPr>
        <w:pStyle w:val="Normal"/>
        <w:keepNext w:val="1"/>
        <w:ind w:left="567" w:right="567" w:firstLine="0"/>
        <w:jc w:val="both"/>
        <w:rPr>
          <w:rFonts w:ascii="Book Antiqua" w:cs="Book Antiqua" w:hAnsi="Book Antiqua" w:eastAsia="Book Antiqua"/>
        </w:rPr>
      </w:pPr>
    </w:p>
    <w:p>
      <w:pPr>
        <w:pStyle w:val="Normal"/>
        <w:keepNext w:val="1"/>
        <w:ind w:left="567" w:right="567" w:firstLine="0"/>
        <w:jc w:val="both"/>
        <w:rPr>
          <w:rFonts w:ascii="Book Antiqua" w:cs="Book Antiqua" w:hAnsi="Book Antiqua" w:eastAsia="Book Antiqua"/>
        </w:rPr>
      </w:pPr>
      <w:r>
        <w:rPr>
          <w:rFonts w:ascii="Book Antiqua"/>
          <w:rtl w:val="0"/>
          <w:lang w:val="it-IT"/>
        </w:rPr>
        <w:t>Il prospetto cos</w:t>
      </w:r>
      <w:r>
        <w:rPr>
          <w:rFonts w:hAnsi="Book Antiqua" w:hint="default"/>
          <w:rtl w:val="0"/>
          <w:lang w:val="it-IT"/>
        </w:rPr>
        <w:t xml:space="preserve">ì </w:t>
      </w:r>
      <w:r>
        <w:rPr>
          <w:rFonts w:ascii="Book Antiqua"/>
          <w:rtl w:val="0"/>
          <w:lang w:val="it-IT"/>
        </w:rPr>
        <w:t>elaborato, in considerazione della successione temporale con la quale gli eventi (cessazione incarichi e/o cessione partecipazioni) sono stati elencati, permette di fare alcune considerazioni; in buona sostanza, nel periodo intercorrente tra l</w:t>
      </w:r>
      <w:r>
        <w:rPr>
          <w:rFonts w:hAnsi="Book Antiqua" w:hint="default"/>
          <w:rtl w:val="0"/>
          <w:lang w:val="it-IT"/>
        </w:rPr>
        <w:t>’</w:t>
      </w:r>
      <w:r>
        <w:rPr>
          <w:rFonts w:ascii="Book Antiqua"/>
          <w:rtl w:val="0"/>
          <w:lang w:val="it-IT"/>
        </w:rPr>
        <w:t>inizio degli anni Settanta e il mese di maggio 2017, il Cerroni:</w:t>
      </w:r>
    </w:p>
    <w:p>
      <w:pPr>
        <w:pStyle w:val="Normal"/>
        <w:keepNext w:val="1"/>
        <w:numPr>
          <w:ilvl w:val="0"/>
          <w:numId w:val="121"/>
        </w:numPr>
        <w:tabs>
          <w:tab w:val="num" w:pos="851"/>
          <w:tab w:val="clear" w:pos="0"/>
        </w:tabs>
        <w:bidi w:val="0"/>
        <w:ind w:left="851" w:right="567" w:hanging="284"/>
        <w:jc w:val="both"/>
        <w:rPr>
          <w:rFonts w:ascii="Book Antiqua" w:cs="Book Antiqua" w:hAnsi="Book Antiqua" w:eastAsia="Book Antiqua"/>
          <w:position w:val="0"/>
          <w:sz w:val="24"/>
          <w:szCs w:val="24"/>
          <w:rtl w:val="0"/>
        </w:rPr>
      </w:pPr>
      <w:r>
        <w:rPr>
          <w:rFonts w:ascii="Book Antiqua"/>
          <w:rtl w:val="0"/>
          <w:lang w:val="it-IT"/>
        </w:rPr>
        <w:t>ha avuto cointeressenze (cariche sociali e/o partecipazioni) in 74 soggetti economici (societ</w:t>
      </w:r>
      <w:r>
        <w:rPr>
          <w:rFonts w:hAnsi="Book Antiqua" w:hint="default"/>
          <w:rtl w:val="0"/>
          <w:lang w:val="it-IT"/>
        </w:rPr>
        <w:t>à</w:t>
      </w:r>
      <w:r>
        <w:rPr>
          <w:rFonts w:ascii="Book Antiqua"/>
          <w:rtl w:val="0"/>
          <w:lang w:val="it-IT"/>
        </w:rPr>
        <w:t xml:space="preserve">, ditte individuali, consorzi, etc.), dai quali </w:t>
      </w:r>
      <w:r>
        <w:rPr>
          <w:rFonts w:hAnsi="Book Antiqua" w:hint="default"/>
          <w:rtl w:val="0"/>
          <w:lang w:val="it-IT"/>
        </w:rPr>
        <w:t xml:space="preserve">è </w:t>
      </w:r>
      <w:r>
        <w:rPr>
          <w:rFonts w:ascii="Book Antiqua"/>
          <w:rtl w:val="0"/>
          <w:lang w:val="it-IT"/>
        </w:rPr>
        <w:t>definitivamente uscito;</w:t>
      </w:r>
    </w:p>
    <w:p>
      <w:pPr>
        <w:pStyle w:val="Normal"/>
        <w:keepNext w:val="1"/>
        <w:numPr>
          <w:ilvl w:val="0"/>
          <w:numId w:val="122"/>
        </w:numPr>
        <w:tabs>
          <w:tab w:val="num" w:pos="851"/>
          <w:tab w:val="clear" w:pos="0"/>
        </w:tabs>
        <w:bidi w:val="0"/>
        <w:ind w:left="851" w:right="567" w:hanging="284"/>
        <w:jc w:val="both"/>
        <w:rPr>
          <w:rFonts w:ascii="Book Antiqua" w:cs="Book Antiqua" w:hAnsi="Book Antiqua" w:eastAsia="Book Antiqua"/>
          <w:position w:val="0"/>
          <w:sz w:val="24"/>
          <w:szCs w:val="24"/>
          <w:rtl w:val="0"/>
        </w:rPr>
      </w:pPr>
      <w:r>
        <w:rPr>
          <w:rFonts w:ascii="Book Antiqua"/>
          <w:rtl w:val="0"/>
          <w:lang w:val="it-IT"/>
        </w:rPr>
        <w:t>ha detenuto quote o, pi</w:t>
      </w:r>
      <w:r>
        <w:rPr>
          <w:rFonts w:hAnsi="Book Antiqua" w:hint="default"/>
          <w:rtl w:val="0"/>
          <w:lang w:val="it-IT"/>
        </w:rPr>
        <w:t xml:space="preserve">ù </w:t>
      </w:r>
      <w:r>
        <w:rPr>
          <w:rFonts w:ascii="Book Antiqua"/>
          <w:rtl w:val="0"/>
          <w:lang w:val="it-IT"/>
        </w:rPr>
        <w:t>in genere, partecipazioni, in 17 aziende, pari al 23 per cento del totale delle cointeressenze;</w:t>
      </w:r>
    </w:p>
    <w:p>
      <w:pPr>
        <w:pStyle w:val="Normal"/>
        <w:keepNext w:val="1"/>
        <w:numPr>
          <w:ilvl w:val="0"/>
          <w:numId w:val="123"/>
        </w:numPr>
        <w:tabs>
          <w:tab w:val="num" w:pos="851"/>
          <w:tab w:val="clear" w:pos="0"/>
        </w:tabs>
        <w:bidi w:val="0"/>
        <w:ind w:left="851" w:right="567" w:hanging="284"/>
        <w:jc w:val="both"/>
        <w:rPr>
          <w:rFonts w:ascii="Book Antiqua" w:cs="Book Antiqua" w:hAnsi="Book Antiqua" w:eastAsia="Book Antiqua"/>
          <w:position w:val="0"/>
          <w:sz w:val="24"/>
          <w:szCs w:val="24"/>
          <w:rtl w:val="0"/>
        </w:rPr>
      </w:pPr>
      <w:r>
        <w:rPr>
          <w:rFonts w:ascii="Book Antiqua"/>
          <w:rtl w:val="0"/>
          <w:lang w:val="it-IT"/>
        </w:rPr>
        <w:t xml:space="preserve">ha diversificato i suoi interessi: infatti oltre che occuparsi della raccolta, trattamento e smaltimento di rifiuti </w:t>
      </w:r>
      <w:r>
        <w:rPr>
          <w:rFonts w:hAnsi="Book Antiqua" w:hint="default"/>
          <w:rtl w:val="0"/>
          <w:lang w:val="it-IT"/>
        </w:rPr>
        <w:t xml:space="preserve">– </w:t>
      </w:r>
      <w:r>
        <w:rPr>
          <w:rFonts w:ascii="Book Antiqua"/>
          <w:rtl w:val="0"/>
          <w:lang w:val="it-IT"/>
        </w:rPr>
        <w:t xml:space="preserve">da sempre vero </w:t>
      </w:r>
      <w:r>
        <w:rPr>
          <w:rFonts w:ascii="Book Antiqua"/>
          <w:i w:val="1"/>
          <w:iCs w:val="1"/>
          <w:rtl w:val="0"/>
          <w:lang w:val="it-IT"/>
        </w:rPr>
        <w:t>core business</w:t>
      </w:r>
      <w:r>
        <w:rPr>
          <w:rFonts w:ascii="Book Antiqua"/>
          <w:rtl w:val="0"/>
          <w:lang w:val="it-IT"/>
        </w:rPr>
        <w:t xml:space="preserve"> dell</w:t>
      </w:r>
      <w:r>
        <w:rPr>
          <w:rFonts w:hAnsi="Book Antiqua" w:hint="default"/>
          <w:rtl w:val="0"/>
          <w:lang w:val="it-IT"/>
        </w:rPr>
        <w:t>’</w:t>
      </w:r>
      <w:r>
        <w:rPr>
          <w:rFonts w:ascii="Book Antiqua"/>
          <w:rtl w:val="0"/>
          <w:lang w:val="it-IT"/>
        </w:rPr>
        <w:t xml:space="preserve">imprenditore </w:t>
      </w:r>
      <w:r>
        <w:rPr>
          <w:rFonts w:hAnsi="Book Antiqua" w:hint="default"/>
          <w:rtl w:val="0"/>
          <w:lang w:val="it-IT"/>
        </w:rPr>
        <w:t xml:space="preserve">– </w:t>
      </w:r>
      <w:r>
        <w:rPr>
          <w:rFonts w:ascii="Book Antiqua"/>
          <w:rtl w:val="0"/>
          <w:lang w:val="it-IT"/>
        </w:rPr>
        <w:t xml:space="preserve">si </w:t>
      </w:r>
      <w:r>
        <w:rPr>
          <w:rFonts w:hAnsi="Book Antiqua" w:hint="default"/>
          <w:rtl w:val="0"/>
          <w:lang w:val="it-IT"/>
        </w:rPr>
        <w:t xml:space="preserve">è </w:t>
      </w:r>
      <w:r>
        <w:rPr>
          <w:rFonts w:ascii="Book Antiqua"/>
          <w:rtl w:val="0"/>
          <w:lang w:val="it-IT"/>
        </w:rPr>
        <w:t>dedicato ad altri settori quali quello immobiliare, costruzione impianti e macchinari, televisivo e sportivo.</w:t>
      </w:r>
    </w:p>
    <w:p>
      <w:pPr>
        <w:pStyle w:val="Normal"/>
        <w:keepNext w:val="1"/>
        <w:tabs>
          <w:tab w:val="left" w:pos="851"/>
        </w:tabs>
        <w:ind w:left="567" w:right="567" w:firstLine="0"/>
        <w:jc w:val="both"/>
        <w:rPr>
          <w:rFonts w:ascii="Book Antiqua" w:cs="Book Antiqua" w:hAnsi="Book Antiqua" w:eastAsia="Book Antiqua"/>
        </w:rPr>
      </w:pPr>
      <w:r>
        <w:rPr>
          <w:rFonts w:ascii="Book Antiqua"/>
          <w:rtl w:val="0"/>
          <w:lang w:val="it-IT"/>
        </w:rPr>
        <w:t>Tuttavia, il dato pi</w:t>
      </w:r>
      <w:r>
        <w:rPr>
          <w:rFonts w:hAnsi="Book Antiqua" w:hint="default"/>
          <w:rtl w:val="0"/>
          <w:lang w:val="it-IT"/>
        </w:rPr>
        <w:t xml:space="preserve">ù </w:t>
      </w:r>
      <w:r>
        <w:rPr>
          <w:rFonts w:ascii="Book Antiqua"/>
          <w:rtl w:val="0"/>
          <w:lang w:val="it-IT"/>
        </w:rPr>
        <w:t>interessante rimane quello per cui, all</w:t>
      </w:r>
      <w:r>
        <w:rPr>
          <w:rFonts w:hAnsi="Book Antiqua" w:hint="default"/>
          <w:rtl w:val="0"/>
          <w:lang w:val="it-IT"/>
        </w:rPr>
        <w:t>’</w:t>
      </w:r>
      <w:r>
        <w:rPr>
          <w:rFonts w:ascii="Book Antiqua"/>
          <w:rtl w:val="0"/>
          <w:lang w:val="it-IT"/>
        </w:rPr>
        <w:t>indomani del suo arresto avvenuto nel gennaio del 2014, ha cessato ogni tipo di rapporto con ben 25 aziende, di cui 13 nell</w:t>
      </w:r>
      <w:r>
        <w:rPr>
          <w:rFonts w:hAnsi="Book Antiqua" w:hint="default"/>
          <w:rtl w:val="0"/>
          <w:lang w:val="it-IT"/>
        </w:rPr>
        <w:t>’</w:t>
      </w:r>
      <w:r>
        <w:rPr>
          <w:rFonts w:ascii="Book Antiqua"/>
          <w:rtl w:val="0"/>
          <w:lang w:val="it-IT"/>
        </w:rPr>
        <w:t>immediatezza dei fatti (gennaio/marzo 2014).</w:t>
      </w:r>
    </w:p>
    <w:p>
      <w:pPr>
        <w:pStyle w:val="Normal"/>
        <w:keepNext w:val="1"/>
        <w:ind w:left="567" w:right="567" w:firstLine="0"/>
        <w:jc w:val="both"/>
        <w:rPr>
          <w:rFonts w:ascii="Book Antiqua" w:cs="Book Antiqua" w:hAnsi="Book Antiqua" w:eastAsia="Book Antiqua"/>
        </w:rPr>
      </w:pPr>
      <w:r>
        <w:rPr>
          <w:rFonts w:ascii="Book Antiqua"/>
          <w:rtl w:val="0"/>
          <w:lang w:val="it-IT"/>
        </w:rPr>
        <w:t xml:space="preserve">Nella tabella che segue sono, invece, riportati i soggetti economici </w:t>
      </w:r>
      <w:r>
        <w:rPr>
          <w:rFonts w:hAnsi="Book Antiqua" w:hint="default"/>
          <w:rtl w:val="0"/>
          <w:lang w:val="it-IT"/>
        </w:rPr>
        <w:t xml:space="preserve">– </w:t>
      </w:r>
      <w:r>
        <w:rPr>
          <w:rFonts w:ascii="Book Antiqua"/>
          <w:rtl w:val="0"/>
          <w:lang w:val="it-IT"/>
        </w:rPr>
        <w:t>elencati in rigoroso ordine alfabetico - in seno ai quali il Cerroni vanta attuali cointeressenze (cariche sociali e/o partecipazioni),  con indicazione, per ciascuno di essi, delle generalit</w:t>
      </w:r>
      <w:r>
        <w:rPr>
          <w:rFonts w:hAnsi="Book Antiqua" w:hint="default"/>
          <w:rtl w:val="0"/>
          <w:lang w:val="it-IT"/>
        </w:rPr>
        <w:t xml:space="preserve">à </w:t>
      </w:r>
      <w:r>
        <w:rPr>
          <w:rFonts w:ascii="Book Antiqua"/>
          <w:rtl w:val="0"/>
          <w:lang w:val="it-IT"/>
        </w:rPr>
        <w:t>(denominazione, codice fiscale, attivit</w:t>
      </w:r>
      <w:r>
        <w:rPr>
          <w:rFonts w:hAnsi="Book Antiqua" w:hint="default"/>
          <w:rtl w:val="0"/>
          <w:lang w:val="it-IT"/>
        </w:rPr>
        <w:t xml:space="preserve">à </w:t>
      </w:r>
      <w:r>
        <w:rPr>
          <w:rFonts w:ascii="Book Antiqua"/>
          <w:rtl w:val="0"/>
          <w:lang w:val="it-IT"/>
        </w:rPr>
        <w:t>prevalente esercitata, data di inizio ed eventuale fine di svolgimento dell</w:t>
      </w:r>
      <w:r>
        <w:rPr>
          <w:rFonts w:hAnsi="Book Antiqua" w:hint="default"/>
          <w:rtl w:val="0"/>
          <w:lang w:val="it-IT"/>
        </w:rPr>
        <w:t>’</w:t>
      </w:r>
      <w:r>
        <w:rPr>
          <w:rFonts w:ascii="Book Antiqua"/>
          <w:rtl w:val="0"/>
          <w:lang w:val="it-IT"/>
        </w:rPr>
        <w:t>attivit</w:t>
      </w:r>
      <w:r>
        <w:rPr>
          <w:rFonts w:hAnsi="Book Antiqua" w:hint="default"/>
          <w:rtl w:val="0"/>
          <w:lang w:val="it-IT"/>
        </w:rPr>
        <w:t>à</w:t>
      </w:r>
      <w:r>
        <w:rPr>
          <w:rFonts w:ascii="Book Antiqua"/>
          <w:rtl w:val="0"/>
          <w:lang w:val="it-IT"/>
        </w:rPr>
        <w:t>), del tipo e della durata di rapporto di connessione con lo stesso Cerroni.</w:t>
      </w:r>
    </w:p>
    <w:p>
      <w:pPr>
        <w:pStyle w:val="Normal"/>
        <w:keepNext w:val="1"/>
        <w:ind w:left="567" w:right="567" w:firstLine="0"/>
        <w:jc w:val="both"/>
        <w:rPr>
          <w:rFonts w:ascii="Book Antiqua" w:cs="Book Antiqua" w:hAnsi="Book Antiqua" w:eastAsia="Book Antiqua"/>
        </w:rPr>
      </w:pPr>
    </w:p>
    <w:p>
      <w:pPr>
        <w:pStyle w:val="Normal"/>
        <w:keepNext w:val="1"/>
        <w:ind w:left="1418" w:right="424" w:hanging="851"/>
        <w:outlineLvl w:val="0"/>
        <w:rPr>
          <w:rFonts w:ascii="Book Antiqua" w:cs="Book Antiqua" w:hAnsi="Book Antiqua" w:eastAsia="Book Antiqua"/>
          <w:i w:val="1"/>
          <w:iCs w:val="1"/>
          <w:sz w:val="22"/>
          <w:szCs w:val="22"/>
        </w:rPr>
      </w:pPr>
      <w:r>
        <w:rPr>
          <w:rFonts w:ascii="Book Antiqua"/>
          <w:i w:val="1"/>
          <w:iCs w:val="1"/>
          <w:sz w:val="22"/>
          <w:szCs w:val="22"/>
          <w:rtl w:val="0"/>
          <w:lang w:val="it-IT"/>
        </w:rPr>
        <w:t xml:space="preserve">Tab. 2 </w:t>
      </w:r>
      <w:r>
        <w:rPr>
          <w:rFonts w:hAnsi="Book Antiqua" w:hint="default"/>
          <w:i w:val="1"/>
          <w:iCs w:val="1"/>
          <w:sz w:val="22"/>
          <w:szCs w:val="22"/>
          <w:rtl w:val="0"/>
          <w:lang w:val="it-IT"/>
        </w:rPr>
        <w:t xml:space="preserve">– </w:t>
      </w:r>
      <w:r>
        <w:rPr>
          <w:rFonts w:ascii="Book Antiqua"/>
          <w:i w:val="1"/>
          <w:iCs w:val="1"/>
          <w:sz w:val="22"/>
          <w:szCs w:val="22"/>
          <w:rtl w:val="0"/>
          <w:lang w:val="it-IT"/>
        </w:rPr>
        <w:t>Cointeressenze attuali di Manlio Cerroni (ruoli societari e partecipazioni)</w:t>
      </w:r>
    </w:p>
    <w:p>
      <w:pPr>
        <w:pStyle w:val="Normal"/>
        <w:keepNext w:val="1"/>
        <w:ind w:left="567" w:right="567" w:firstLine="0"/>
        <w:jc w:val="both"/>
        <w:rPr>
          <w:rFonts w:ascii="Book Antiqua" w:cs="Book Antiqua" w:hAnsi="Book Antiqua" w:eastAsia="Book Antiqua"/>
        </w:rPr>
      </w:pPr>
    </w:p>
    <w:tbl>
      <w:tblPr>
        <w:tblW w:w="9356" w:type="dxa"/>
        <w:jc w:val="left"/>
        <w:tblInd w:w="320" w:type="dxa"/>
        <w:tblBorders>
          <w:top w:val="single" w:color="000000" w:sz="2" w:space="0" w:shadow="0" w:frame="0"/>
          <w:left w:val="single" w:color="000000" w:sz="2" w:space="0" w:shadow="0" w:frame="0"/>
          <w:bottom w:val="single" w:color="000000" w:sz="2" w:space="0" w:shadow="0" w:frame="0"/>
          <w:right w:val="single" w:color="000000" w:sz="2" w:space="0" w:shadow="0" w:frame="0"/>
          <w:insideH w:val="single" w:color="000000" w:sz="2" w:space="0" w:shadow="0" w:frame="0"/>
          <w:insideV w:val="single" w:color="000000" w:sz="2" w:space="0" w:shadow="0" w:frame="0"/>
        </w:tblBorders>
        <w:shd w:val="clear" w:color="auto" w:fill="auto"/>
        <w:tblLayout w:type="fixed"/>
      </w:tblPr>
      <w:tblGrid>
        <w:gridCol w:w="340"/>
        <w:gridCol w:w="1786"/>
        <w:gridCol w:w="1417"/>
        <w:gridCol w:w="851"/>
        <w:gridCol w:w="1786"/>
        <w:gridCol w:w="2410"/>
        <w:gridCol w:w="766"/>
      </w:tblGrid>
      <w:tr>
        <w:tblPrEx>
          <w:shd w:val="clear" w:color="auto" w:fill="auto"/>
        </w:tblPrEx>
        <w:trPr>
          <w:trHeight w:val="210" w:hRule="atLeast"/>
        </w:trPr>
        <w:tc>
          <w:tcPr>
            <w:tcW w:type="dxa" w:w="340"/>
            <w:tcBorders>
              <w:top w:val="nil"/>
              <w:left w:val="nil"/>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tc>
        <w:tc>
          <w:tcPr>
            <w:tcW w:type="dxa" w:w="5840"/>
            <w:gridSpan w:val="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ccccff"/>
            <w:tcMar>
              <w:top w:type="dxa" w:w="80"/>
              <w:left w:type="dxa" w:w="80"/>
              <w:bottom w:type="dxa" w:w="80"/>
              <w:right w:type="dxa" w:w="80"/>
            </w:tcMar>
            <w:vAlign w:val="center"/>
          </w:tcPr>
          <w:p>
            <w:pPr>
              <w:pStyle w:val="Normal"/>
              <w:keepNext w:val="1"/>
              <w:jc w:val="center"/>
            </w:pPr>
            <w:r>
              <w:rPr>
                <w:rFonts w:ascii="Calibri" w:cs="Calibri" w:hAnsi="Calibri" w:eastAsia="Calibri"/>
                <w:b w:val="1"/>
                <w:bCs w:val="1"/>
                <w:caps w:val="0"/>
                <w:smallCaps w:val="0"/>
                <w:strike w:val="0"/>
                <w:dstrike w:val="0"/>
                <w:outline w:val="0"/>
                <w:color w:val="000000"/>
                <w:spacing w:val="0"/>
                <w:kern w:val="0"/>
                <w:position w:val="0"/>
                <w:sz w:val="18"/>
                <w:szCs w:val="18"/>
                <w:u w:val="none" w:color="000000"/>
                <w:vertAlign w:val="baseline"/>
                <w:rtl w:val="0"/>
                <w:lang w:val="it-IT"/>
              </w:rPr>
              <w:t>SOGGETTO ECONOMICO/SOCIETA'</w:t>
            </w:r>
          </w:p>
        </w:tc>
        <w:tc>
          <w:tcPr>
            <w:tcW w:type="dxa" w:w="3176"/>
            <w:gridSpan w:val="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ccccff"/>
            <w:tcMar>
              <w:top w:type="dxa" w:w="80"/>
              <w:left w:type="dxa" w:w="80"/>
              <w:bottom w:type="dxa" w:w="80"/>
              <w:right w:type="dxa" w:w="80"/>
            </w:tcMar>
            <w:vAlign w:val="center"/>
          </w:tcPr>
          <w:p>
            <w:pPr>
              <w:pStyle w:val="Normal"/>
              <w:keepNext w:val="1"/>
              <w:jc w:val="center"/>
            </w:pPr>
            <w:r>
              <w:rPr>
                <w:rFonts w:ascii="Calibri" w:cs="Calibri" w:hAnsi="Calibri" w:eastAsia="Calibri"/>
                <w:b w:val="1"/>
                <w:bCs w:val="1"/>
                <w:caps w:val="0"/>
                <w:smallCaps w:val="0"/>
                <w:strike w:val="0"/>
                <w:dstrike w:val="0"/>
                <w:outline w:val="0"/>
                <w:color w:val="000000"/>
                <w:spacing w:val="0"/>
                <w:kern w:val="0"/>
                <w:position w:val="0"/>
                <w:sz w:val="18"/>
                <w:szCs w:val="18"/>
                <w:u w:val="none" w:color="000000"/>
                <w:vertAlign w:val="baseline"/>
                <w:rtl w:val="0"/>
                <w:lang w:val="it-IT"/>
              </w:rPr>
              <w:t>RELAZIONE</w:t>
            </w:r>
            <w:r>
              <w:rPr>
                <w:rFonts w:ascii="Calibri" w:cs="Calibri" w:hAnsi="Calibri" w:eastAsia="Calibri"/>
                <w:b w:val="1"/>
                <w:bCs w:val="1"/>
                <w:caps w:val="0"/>
                <w:smallCaps w:val="0"/>
                <w:strike w:val="0"/>
                <w:dstrike w:val="0"/>
                <w:outline w:val="0"/>
                <w:color w:val="000000"/>
                <w:spacing w:val="0"/>
                <w:kern w:val="0"/>
                <w:position w:val="0"/>
                <w:sz w:val="18"/>
                <w:szCs w:val="18"/>
                <w:u w:val="none" w:color="000000"/>
                <w:vertAlign w:val="baseline"/>
                <w:rtl w:val="0"/>
                <w:lang w:val="it-IT"/>
              </w:rPr>
              <w:t> </w:t>
            </w:r>
          </w:p>
        </w:tc>
      </w:tr>
      <w:tr>
        <w:tblPrEx>
          <w:shd w:val="clear" w:color="auto" w:fill="auto"/>
        </w:tblPrEx>
        <w:trPr>
          <w:trHeight w:val="810" w:hRule="atLeast"/>
        </w:trPr>
        <w:tc>
          <w:tcPr>
            <w:tcW w:type="dxa" w:w="34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ccccff"/>
            <w:tcMar>
              <w:top w:type="dxa" w:w="80"/>
              <w:left w:type="dxa" w:w="80"/>
              <w:bottom w:type="dxa" w:w="80"/>
              <w:right w:type="dxa" w:w="80"/>
            </w:tcMar>
            <w:vAlign w:val="center"/>
          </w:tcPr>
          <w:p>
            <w:pPr>
              <w:pStyle w:val="Normal"/>
              <w:keepNext w:val="1"/>
              <w:jc w:val="center"/>
            </w:pPr>
            <w:r>
              <w:rPr>
                <w:rFonts w:ascii="Calibri" w:cs="Calibri" w:hAnsi="Calibri" w:eastAsia="Calibri"/>
                <w:b w:val="1"/>
                <w:bCs w:val="1"/>
                <w:caps w:val="0"/>
                <w:smallCaps w:val="0"/>
                <w:strike w:val="0"/>
                <w:dstrike w:val="0"/>
                <w:outline w:val="0"/>
                <w:color w:val="000000"/>
                <w:spacing w:val="0"/>
                <w:kern w:val="0"/>
                <w:position w:val="0"/>
                <w:sz w:val="16"/>
                <w:szCs w:val="16"/>
                <w:u w:val="none" w:color="000000"/>
                <w:vertAlign w:val="baseline"/>
                <w:rtl w:val="0"/>
                <w:lang w:val="it-IT"/>
              </w:rPr>
              <w:t>N.</w:t>
            </w:r>
          </w:p>
        </w:tc>
        <w:tc>
          <w:tcPr>
            <w:tcW w:type="dxa" w:w="178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ccccff"/>
            <w:tcMar>
              <w:top w:type="dxa" w:w="80"/>
              <w:left w:type="dxa" w:w="80"/>
              <w:bottom w:type="dxa" w:w="80"/>
              <w:right w:type="dxa" w:w="80"/>
            </w:tcMar>
            <w:vAlign w:val="center"/>
          </w:tcPr>
          <w:p>
            <w:pPr>
              <w:pStyle w:val="Normal"/>
              <w:keepNext w:val="1"/>
              <w:jc w:val="center"/>
            </w:pPr>
            <w:r>
              <w:rPr>
                <w:rFonts w:ascii="Calibri" w:cs="Calibri" w:hAnsi="Calibri" w:eastAsia="Calibri"/>
                <w:b w:val="1"/>
                <w:bCs w:val="1"/>
                <w:caps w:val="0"/>
                <w:smallCaps w:val="0"/>
                <w:strike w:val="0"/>
                <w:dstrike w:val="0"/>
                <w:outline w:val="0"/>
                <w:color w:val="000000"/>
                <w:spacing w:val="0"/>
                <w:kern w:val="0"/>
                <w:position w:val="0"/>
                <w:sz w:val="16"/>
                <w:szCs w:val="16"/>
                <w:u w:val="none" w:color="000000"/>
                <w:vertAlign w:val="baseline"/>
                <w:rtl w:val="0"/>
                <w:lang w:val="it-IT"/>
              </w:rPr>
              <w:t>DENOMINAZIONE E CODICE FISCALE</w:t>
            </w:r>
          </w:p>
        </w:tc>
        <w:tc>
          <w:tcPr>
            <w:tcW w:type="dxa" w:w="141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ccccff"/>
            <w:tcMar>
              <w:top w:type="dxa" w:w="80"/>
              <w:left w:type="dxa" w:w="80"/>
              <w:bottom w:type="dxa" w:w="80"/>
              <w:right w:type="dxa" w:w="80"/>
            </w:tcMar>
            <w:vAlign w:val="center"/>
          </w:tcPr>
          <w:p>
            <w:pPr>
              <w:pStyle w:val="Normal"/>
              <w:keepNext w:val="1"/>
              <w:jc w:val="center"/>
            </w:pPr>
            <w:r>
              <w:rPr>
                <w:rFonts w:ascii="Calibri" w:cs="Calibri" w:hAnsi="Calibri" w:eastAsia="Calibri"/>
                <w:b w:val="1"/>
                <w:bCs w:val="1"/>
                <w:caps w:val="0"/>
                <w:smallCaps w:val="0"/>
                <w:strike w:val="0"/>
                <w:dstrike w:val="0"/>
                <w:outline w:val="0"/>
                <w:color w:val="000000"/>
                <w:spacing w:val="0"/>
                <w:kern w:val="0"/>
                <w:position w:val="0"/>
                <w:sz w:val="16"/>
                <w:szCs w:val="16"/>
                <w:u w:val="none" w:color="000000"/>
                <w:vertAlign w:val="baseline"/>
                <w:rtl w:val="0"/>
                <w:lang w:val="it-IT"/>
              </w:rPr>
              <w:t>SEDE (indirizzo completo)</w:t>
            </w:r>
          </w:p>
        </w:tc>
        <w:tc>
          <w:tcPr>
            <w:tcW w:type="dxa" w:w="85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ccccff"/>
            <w:tcMar>
              <w:top w:type="dxa" w:w="80"/>
              <w:left w:type="dxa" w:w="80"/>
              <w:bottom w:type="dxa" w:w="80"/>
              <w:right w:type="dxa" w:w="80"/>
            </w:tcMar>
            <w:vAlign w:val="center"/>
          </w:tcPr>
          <w:p>
            <w:pPr>
              <w:pStyle w:val="Normal"/>
              <w:keepNext w:val="1"/>
              <w:jc w:val="center"/>
            </w:pPr>
            <w:r>
              <w:rPr>
                <w:rFonts w:ascii="Calibri" w:cs="Calibri" w:hAnsi="Calibri" w:eastAsia="Calibri"/>
                <w:b w:val="1"/>
                <w:bCs w:val="1"/>
                <w:caps w:val="0"/>
                <w:smallCaps w:val="0"/>
                <w:strike w:val="0"/>
                <w:dstrike w:val="0"/>
                <w:outline w:val="0"/>
                <w:color w:val="000000"/>
                <w:spacing w:val="0"/>
                <w:kern w:val="0"/>
                <w:position w:val="0"/>
                <w:sz w:val="16"/>
                <w:szCs w:val="16"/>
                <w:u w:val="none" w:color="000000"/>
                <w:vertAlign w:val="baseline"/>
                <w:rtl w:val="0"/>
                <w:lang w:val="it-IT"/>
              </w:rPr>
              <w:t>DATA INIZIO ATTIVITA'</w:t>
            </w:r>
          </w:p>
        </w:tc>
        <w:tc>
          <w:tcPr>
            <w:tcW w:type="dxa" w:w="178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ccccff"/>
            <w:tcMar>
              <w:top w:type="dxa" w:w="80"/>
              <w:left w:type="dxa" w:w="80"/>
              <w:bottom w:type="dxa" w:w="80"/>
              <w:right w:type="dxa" w:w="80"/>
            </w:tcMar>
            <w:vAlign w:val="center"/>
          </w:tcPr>
          <w:p>
            <w:pPr>
              <w:pStyle w:val="Normal"/>
              <w:keepNext w:val="1"/>
              <w:jc w:val="center"/>
            </w:pPr>
            <w:r>
              <w:rPr>
                <w:rFonts w:ascii="Calibri" w:cs="Calibri" w:hAnsi="Calibri" w:eastAsia="Calibri"/>
                <w:b w:val="1"/>
                <w:bCs w:val="1"/>
                <w:caps w:val="0"/>
                <w:smallCaps w:val="0"/>
                <w:strike w:val="0"/>
                <w:dstrike w:val="0"/>
                <w:outline w:val="0"/>
                <w:color w:val="000000"/>
                <w:spacing w:val="0"/>
                <w:kern w:val="0"/>
                <w:position w:val="0"/>
                <w:sz w:val="16"/>
                <w:szCs w:val="16"/>
                <w:u w:val="none" w:color="000000"/>
                <w:vertAlign w:val="baseline"/>
                <w:rtl w:val="0"/>
                <w:lang w:val="it-IT"/>
              </w:rPr>
              <w:t>ATTIVITA'</w:t>
            </w:r>
          </w:p>
        </w:tc>
        <w:tc>
          <w:tcPr>
            <w:tcW w:type="dxa" w:w="241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ccccff"/>
            <w:tcMar>
              <w:top w:type="dxa" w:w="80"/>
              <w:left w:type="dxa" w:w="80"/>
              <w:bottom w:type="dxa" w:w="80"/>
              <w:right w:type="dxa" w:w="80"/>
            </w:tcMar>
            <w:vAlign w:val="center"/>
          </w:tcPr>
          <w:p>
            <w:pPr>
              <w:pStyle w:val="Normal"/>
              <w:keepNext w:val="1"/>
              <w:jc w:val="center"/>
            </w:pPr>
            <w:r>
              <w:rPr>
                <w:rFonts w:ascii="Calibri" w:cs="Calibri" w:hAnsi="Calibri" w:eastAsia="Calibri"/>
                <w:b w:val="1"/>
                <w:bCs w:val="1"/>
                <w:caps w:val="0"/>
                <w:smallCaps w:val="0"/>
                <w:strike w:val="0"/>
                <w:dstrike w:val="0"/>
                <w:outline w:val="0"/>
                <w:color w:val="000000"/>
                <w:spacing w:val="0"/>
                <w:kern w:val="0"/>
                <w:position w:val="0"/>
                <w:sz w:val="16"/>
                <w:szCs w:val="16"/>
                <w:u w:val="none" w:color="000000"/>
                <w:vertAlign w:val="baseline"/>
                <w:rtl w:val="0"/>
                <w:lang w:val="it-IT"/>
              </w:rPr>
              <w:t>TIPO</w:t>
            </w:r>
          </w:p>
        </w:tc>
        <w:tc>
          <w:tcPr>
            <w:tcW w:type="dxa" w:w="76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ccccff"/>
            <w:tcMar>
              <w:top w:type="dxa" w:w="80"/>
              <w:left w:type="dxa" w:w="80"/>
              <w:bottom w:type="dxa" w:w="80"/>
              <w:right w:type="dxa" w:w="80"/>
            </w:tcMar>
            <w:vAlign w:val="center"/>
          </w:tcPr>
          <w:p>
            <w:pPr>
              <w:pStyle w:val="Normal"/>
              <w:keepNext w:val="1"/>
              <w:jc w:val="center"/>
            </w:pPr>
            <w:r>
              <w:rPr>
                <w:rFonts w:ascii="Calibri" w:cs="Calibri" w:hAnsi="Calibri" w:eastAsia="Calibri"/>
                <w:b w:val="1"/>
                <w:bCs w:val="1"/>
                <w:caps w:val="0"/>
                <w:smallCaps w:val="0"/>
                <w:strike w:val="0"/>
                <w:dstrike w:val="0"/>
                <w:outline w:val="0"/>
                <w:color w:val="000000"/>
                <w:spacing w:val="0"/>
                <w:kern w:val="0"/>
                <w:position w:val="0"/>
                <w:sz w:val="16"/>
                <w:szCs w:val="16"/>
                <w:u w:val="none" w:color="000000"/>
                <w:vertAlign w:val="baseline"/>
                <w:rtl w:val="0"/>
                <w:lang w:val="it-IT"/>
              </w:rPr>
              <w:t>DAL</w:t>
            </w:r>
          </w:p>
        </w:tc>
      </w:tr>
      <w:tr>
        <w:tblPrEx>
          <w:shd w:val="clear" w:color="auto" w:fill="auto"/>
        </w:tblPrEx>
        <w:trPr>
          <w:trHeight w:val="730" w:hRule="atLeast"/>
        </w:trPr>
        <w:tc>
          <w:tcPr>
            <w:tcW w:type="dxa" w:w="34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4"/>
                <w:szCs w:val="14"/>
                <w:u w:val="none" w:color="000000"/>
                <w:vertAlign w:val="baseline"/>
                <w:rtl w:val="0"/>
                <w:lang w:val="it-IT"/>
              </w:rPr>
              <w:t>1</w:t>
            </w:r>
          </w:p>
        </w:tc>
        <w:tc>
          <w:tcPr>
            <w:tcW w:type="dxa" w:w="178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4"/>
                <w:szCs w:val="14"/>
                <w:u w:val="none" w:color="000000"/>
                <w:vertAlign w:val="baseline"/>
                <w:rtl w:val="0"/>
                <w:lang w:val="it-IT"/>
              </w:rPr>
              <w:t>A LA BORNE B S.r.l. CON UNICO SOCIO - 06689101001</w:t>
            </w:r>
          </w:p>
        </w:tc>
        <w:tc>
          <w:tcPr>
            <w:tcW w:type="dxa" w:w="141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4"/>
                <w:szCs w:val="14"/>
                <w:u w:val="none" w:color="000000"/>
                <w:vertAlign w:val="baseline"/>
                <w:rtl w:val="0"/>
                <w:lang w:val="it-IT"/>
              </w:rPr>
              <w:t>ROMA (RM) - VIA ANTONIO BERTOLONI 8</w:t>
            </w:r>
          </w:p>
        </w:tc>
        <w:tc>
          <w:tcPr>
            <w:tcW w:type="dxa" w:w="85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4"/>
                <w:szCs w:val="14"/>
                <w:u w:val="none" w:color="000000"/>
                <w:vertAlign w:val="baseline"/>
                <w:rtl w:val="0"/>
                <w:lang w:val="it-IT"/>
              </w:rPr>
              <w:t>19/07/2001</w:t>
            </w:r>
          </w:p>
        </w:tc>
        <w:tc>
          <w:tcPr>
            <w:tcW w:type="dxa" w:w="178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4"/>
                <w:szCs w:val="14"/>
                <w:u w:val="none" w:color="000000"/>
                <w:vertAlign w:val="baseline"/>
                <w:rtl w:val="0"/>
                <w:lang w:val="it-IT"/>
              </w:rPr>
              <w:t>LOCAZIONE IMMOBILIARE DI BENI PROPRI O IN LEASING (AFFITTO)</w:t>
            </w:r>
          </w:p>
        </w:tc>
        <w:tc>
          <w:tcPr>
            <w:tcW w:type="dxa" w:w="241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4"/>
                <w:szCs w:val="14"/>
                <w:u w:val="none" w:color="000000"/>
                <w:vertAlign w:val="baseline"/>
                <w:rtl w:val="0"/>
                <w:lang w:val="it-IT"/>
              </w:rPr>
              <w:t>SOCIO UNICO</w:t>
            </w:r>
          </w:p>
        </w:tc>
        <w:tc>
          <w:tcPr>
            <w:tcW w:type="dxa" w:w="76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4"/>
                <w:szCs w:val="14"/>
                <w:u w:val="none" w:color="000000"/>
                <w:vertAlign w:val="baseline"/>
                <w:rtl w:val="0"/>
                <w:lang w:val="it-IT"/>
              </w:rPr>
              <w:t>lug-2012</w:t>
            </w:r>
          </w:p>
        </w:tc>
      </w:tr>
      <w:tr>
        <w:tblPrEx>
          <w:shd w:val="clear" w:color="auto" w:fill="auto"/>
        </w:tblPrEx>
        <w:trPr>
          <w:trHeight w:val="550" w:hRule="atLeast"/>
        </w:trPr>
        <w:tc>
          <w:tcPr>
            <w:tcW w:type="dxa" w:w="34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4"/>
                <w:szCs w:val="14"/>
                <w:u w:val="none" w:color="000000"/>
                <w:vertAlign w:val="baseline"/>
                <w:rtl w:val="0"/>
                <w:lang w:val="it-IT"/>
              </w:rPr>
              <w:t>2</w:t>
            </w:r>
          </w:p>
        </w:tc>
        <w:tc>
          <w:tcPr>
            <w:tcW w:type="dxa" w:w="178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4"/>
                <w:szCs w:val="14"/>
                <w:u w:val="none" w:color="000000"/>
                <w:vertAlign w:val="baseline"/>
                <w:rtl w:val="0"/>
                <w:lang w:val="it-IT"/>
              </w:rPr>
              <w:t>AMICI DI PISONIANO - 07557271009</w:t>
            </w:r>
          </w:p>
        </w:tc>
        <w:tc>
          <w:tcPr>
            <w:tcW w:type="dxa" w:w="141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4"/>
                <w:szCs w:val="14"/>
                <w:u w:val="none" w:color="000000"/>
                <w:vertAlign w:val="baseline"/>
                <w:rtl w:val="0"/>
                <w:lang w:val="it-IT"/>
              </w:rPr>
              <w:t>PISONIANO (RM) - VIA PIAGGE N 6</w:t>
            </w:r>
          </w:p>
        </w:tc>
        <w:tc>
          <w:tcPr>
            <w:tcW w:type="dxa" w:w="85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4"/>
                <w:szCs w:val="14"/>
                <w:u w:val="none" w:color="000000"/>
                <w:vertAlign w:val="baseline"/>
                <w:rtl w:val="0"/>
                <w:lang w:val="it-IT"/>
              </w:rPr>
              <w:t>30/05/2003</w:t>
            </w:r>
          </w:p>
        </w:tc>
        <w:tc>
          <w:tcPr>
            <w:tcW w:type="dxa" w:w="178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4"/>
                <w:szCs w:val="14"/>
                <w:u w:val="none" w:color="000000"/>
                <w:vertAlign w:val="baseline"/>
                <w:rtl w:val="0"/>
                <w:lang w:val="it-IT"/>
              </w:rPr>
              <w:t xml:space="preserve">ATTIVITA' DI ALTRE ORGANIZZAZIONI ASSOCIATIVE N.C.A.                                                                                                                                                                                                           </w:t>
            </w:r>
          </w:p>
        </w:tc>
        <w:tc>
          <w:tcPr>
            <w:tcW w:type="dxa" w:w="241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4"/>
                <w:szCs w:val="14"/>
                <w:u w:val="none" w:color="000000"/>
                <w:vertAlign w:val="baseline"/>
                <w:rtl w:val="0"/>
                <w:lang w:val="it-IT"/>
              </w:rPr>
              <w:t>RAPPRESENTANTE LEGALE</w:t>
            </w:r>
          </w:p>
        </w:tc>
        <w:tc>
          <w:tcPr>
            <w:tcW w:type="dxa" w:w="76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4"/>
                <w:szCs w:val="14"/>
                <w:u w:val="none" w:color="000000"/>
                <w:vertAlign w:val="baseline"/>
                <w:rtl w:val="0"/>
                <w:lang w:val="it-IT"/>
              </w:rPr>
              <w:t>mag-2003</w:t>
            </w:r>
          </w:p>
        </w:tc>
      </w:tr>
      <w:tr>
        <w:tblPrEx>
          <w:shd w:val="clear" w:color="auto" w:fill="auto"/>
        </w:tblPrEx>
        <w:trPr>
          <w:trHeight w:val="550" w:hRule="atLeast"/>
        </w:trPr>
        <w:tc>
          <w:tcPr>
            <w:tcW w:type="dxa" w:w="34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4"/>
                <w:szCs w:val="14"/>
                <w:u w:val="none" w:color="000000"/>
                <w:vertAlign w:val="baseline"/>
                <w:rtl w:val="0"/>
                <w:lang w:val="it-IT"/>
              </w:rPr>
              <w:t>3</w:t>
            </w:r>
          </w:p>
        </w:tc>
        <w:tc>
          <w:tcPr>
            <w:tcW w:type="dxa" w:w="178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4"/>
                <w:szCs w:val="14"/>
                <w:u w:val="none" w:color="000000"/>
                <w:vertAlign w:val="baseline"/>
                <w:rtl w:val="0"/>
                <w:lang w:val="it-IT"/>
              </w:rPr>
              <w:t>AQUA PISONIS S.r.l. CON UNICO SOCIO - 07167301006</w:t>
            </w:r>
          </w:p>
        </w:tc>
        <w:tc>
          <w:tcPr>
            <w:tcW w:type="dxa" w:w="141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4"/>
                <w:szCs w:val="14"/>
                <w:u w:val="none" w:color="000000"/>
                <w:vertAlign w:val="baseline"/>
                <w:rtl w:val="0"/>
                <w:lang w:val="it-IT"/>
              </w:rPr>
              <w:t>ROMA (RM) - VIA DELL'ESPERANTO 74</w:t>
            </w:r>
          </w:p>
        </w:tc>
        <w:tc>
          <w:tcPr>
            <w:tcW w:type="dxa" w:w="85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4"/>
                <w:szCs w:val="14"/>
                <w:u w:val="none" w:color="000000"/>
                <w:vertAlign w:val="baseline"/>
                <w:rtl w:val="0"/>
                <w:lang w:val="it-IT"/>
              </w:rPr>
              <w:t>24/07/2002</w:t>
            </w:r>
          </w:p>
        </w:tc>
        <w:tc>
          <w:tcPr>
            <w:tcW w:type="dxa" w:w="178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4"/>
                <w:szCs w:val="14"/>
                <w:u w:val="none" w:color="000000"/>
                <w:vertAlign w:val="baseline"/>
                <w:rtl w:val="0"/>
                <w:lang w:val="it-IT"/>
              </w:rPr>
              <w:t>RACCOLTA, TRATTAMENTO E FORNITURA DI ACQUA</w:t>
            </w:r>
          </w:p>
        </w:tc>
        <w:tc>
          <w:tcPr>
            <w:tcW w:type="dxa" w:w="241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4"/>
                <w:szCs w:val="14"/>
                <w:u w:val="none" w:color="000000"/>
                <w:vertAlign w:val="baseline"/>
                <w:rtl w:val="0"/>
                <w:lang w:val="it-IT"/>
              </w:rPr>
              <w:t xml:space="preserve">SOCIO UNICO </w:t>
            </w:r>
          </w:p>
        </w:tc>
        <w:tc>
          <w:tcPr>
            <w:tcW w:type="dxa" w:w="76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4"/>
                <w:szCs w:val="14"/>
                <w:u w:val="none" w:color="000000"/>
                <w:vertAlign w:val="baseline"/>
                <w:rtl w:val="0"/>
                <w:lang w:val="it-IT"/>
              </w:rPr>
              <w:t>lug-2002</w:t>
            </w:r>
          </w:p>
        </w:tc>
      </w:tr>
      <w:tr>
        <w:tblPrEx>
          <w:shd w:val="clear" w:color="auto" w:fill="auto"/>
        </w:tblPrEx>
        <w:trPr>
          <w:trHeight w:val="910" w:hRule="atLeast"/>
        </w:trPr>
        <w:tc>
          <w:tcPr>
            <w:tcW w:type="dxa" w:w="34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4"/>
                <w:szCs w:val="14"/>
                <w:u w:val="none" w:color="000000"/>
                <w:vertAlign w:val="baseline"/>
                <w:rtl w:val="0"/>
                <w:lang w:val="it-IT"/>
              </w:rPr>
              <w:t>4</w:t>
            </w:r>
          </w:p>
        </w:tc>
        <w:tc>
          <w:tcPr>
            <w:tcW w:type="dxa" w:w="178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4"/>
                <w:szCs w:val="14"/>
                <w:u w:val="none" w:color="000000"/>
                <w:vertAlign w:val="baseline"/>
                <w:rtl w:val="0"/>
                <w:lang w:val="it-IT"/>
              </w:rPr>
              <w:t>ATTIVITA' SANITARIE INTEGRATE MARCHE S.N.C. DI MONICA Cerroni E C - 04412711006</w:t>
            </w:r>
          </w:p>
        </w:tc>
        <w:tc>
          <w:tcPr>
            <w:tcW w:type="dxa" w:w="141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4"/>
                <w:szCs w:val="14"/>
                <w:u w:val="none" w:color="000000"/>
                <w:vertAlign w:val="baseline"/>
                <w:rtl w:val="0"/>
                <w:lang w:val="it-IT"/>
              </w:rPr>
              <w:t>ROMA (RM) - CORSO TRIESTE 211</w:t>
            </w:r>
          </w:p>
        </w:tc>
        <w:tc>
          <w:tcPr>
            <w:tcW w:type="dxa" w:w="85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4"/>
                <w:szCs w:val="14"/>
                <w:u w:val="none" w:color="000000"/>
                <w:vertAlign w:val="baseline"/>
                <w:rtl w:val="0"/>
                <w:lang w:val="it-IT"/>
              </w:rPr>
              <w:t>02/12/1992</w:t>
            </w:r>
          </w:p>
        </w:tc>
        <w:tc>
          <w:tcPr>
            <w:tcW w:type="dxa" w:w="178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4"/>
                <w:szCs w:val="14"/>
                <w:u w:val="none" w:color="000000"/>
                <w:vertAlign w:val="baseline"/>
                <w:rtl w:val="0"/>
                <w:lang w:val="it-IT"/>
              </w:rPr>
              <w:t>ESERCIZIO DELL'INDUSTRIA EDILE IN GENERE</w:t>
            </w:r>
          </w:p>
        </w:tc>
        <w:tc>
          <w:tcPr>
            <w:tcW w:type="dxa" w:w="241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4"/>
                <w:szCs w:val="14"/>
                <w:u w:val="none" w:color="000000"/>
                <w:vertAlign w:val="baseline"/>
                <w:rtl w:val="0"/>
                <w:lang w:val="it-IT"/>
              </w:rPr>
              <w:t>SOCIO</w:t>
            </w:r>
          </w:p>
        </w:tc>
        <w:tc>
          <w:tcPr>
            <w:tcW w:type="dxa" w:w="76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4"/>
                <w:szCs w:val="14"/>
                <w:u w:val="none" w:color="000000"/>
                <w:vertAlign w:val="baseline"/>
                <w:rtl w:val="0"/>
                <w:lang w:val="it-IT"/>
              </w:rPr>
              <w:t>feb-2000</w:t>
            </w:r>
          </w:p>
        </w:tc>
      </w:tr>
      <w:tr>
        <w:tblPrEx>
          <w:shd w:val="clear" w:color="auto" w:fill="auto"/>
        </w:tblPrEx>
        <w:trPr>
          <w:trHeight w:val="1090" w:hRule="atLeast"/>
        </w:trPr>
        <w:tc>
          <w:tcPr>
            <w:tcW w:type="dxa" w:w="34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4"/>
                <w:szCs w:val="14"/>
                <w:u w:val="none" w:color="000000"/>
                <w:vertAlign w:val="baseline"/>
                <w:rtl w:val="0"/>
                <w:lang w:val="it-IT"/>
              </w:rPr>
              <w:t>5</w:t>
            </w:r>
          </w:p>
        </w:tc>
        <w:tc>
          <w:tcPr>
            <w:tcW w:type="dxa" w:w="178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4"/>
                <w:szCs w:val="14"/>
                <w:u w:val="none" w:color="000000"/>
                <w:vertAlign w:val="baseline"/>
                <w:rtl w:val="0"/>
                <w:lang w:val="it-IT"/>
              </w:rPr>
              <w:t>BEG S.p.A. - 04987421007</w:t>
            </w:r>
          </w:p>
        </w:tc>
        <w:tc>
          <w:tcPr>
            <w:tcW w:type="dxa" w:w="141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4"/>
                <w:szCs w:val="14"/>
                <w:u w:val="none" w:color="000000"/>
                <w:vertAlign w:val="baseline"/>
                <w:rtl w:val="0"/>
                <w:lang w:val="it-IT"/>
              </w:rPr>
              <w:t>ROMA (RM) - VICOLO DEL BOTTINO 10</w:t>
            </w:r>
          </w:p>
        </w:tc>
        <w:tc>
          <w:tcPr>
            <w:tcW w:type="dxa" w:w="85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4"/>
                <w:szCs w:val="14"/>
                <w:u w:val="none" w:color="000000"/>
                <w:vertAlign w:val="baseline"/>
                <w:rtl w:val="0"/>
                <w:lang w:val="it-IT"/>
              </w:rPr>
              <w:t>01/01/2009</w:t>
            </w:r>
          </w:p>
        </w:tc>
        <w:tc>
          <w:tcPr>
            <w:tcW w:type="dxa" w:w="178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4"/>
                <w:szCs w:val="14"/>
                <w:u w:val="none" w:color="000000"/>
                <w:vertAlign w:val="baseline"/>
                <w:rtl w:val="0"/>
                <w:lang w:val="it-IT"/>
              </w:rPr>
              <w:t>ALTRE ATTIVITA' DI CONSULENZA IMPRENDITORIALE E ALTRA CONSULENZA AMMINISTRATIVO-GESTIONALE</w:t>
            </w:r>
          </w:p>
        </w:tc>
        <w:tc>
          <w:tcPr>
            <w:tcW w:type="dxa" w:w="241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4"/>
                <w:szCs w:val="14"/>
                <w:u w:val="none" w:color="000000"/>
                <w:vertAlign w:val="baseline"/>
                <w:rtl w:val="0"/>
                <w:lang w:val="it-IT"/>
              </w:rPr>
              <w:t>SOCIO (20% CAPITALE SOCIALE)</w:t>
            </w:r>
          </w:p>
        </w:tc>
        <w:tc>
          <w:tcPr>
            <w:tcW w:type="dxa" w:w="76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4"/>
                <w:szCs w:val="14"/>
                <w:u w:val="none" w:color="000000"/>
                <w:vertAlign w:val="baseline"/>
                <w:rtl w:val="0"/>
                <w:lang w:val="it-IT"/>
              </w:rPr>
              <w:t>feb-2000</w:t>
            </w:r>
          </w:p>
        </w:tc>
      </w:tr>
      <w:tr>
        <w:tblPrEx>
          <w:shd w:val="clear" w:color="auto" w:fill="auto"/>
        </w:tblPrEx>
        <w:trPr>
          <w:trHeight w:val="550" w:hRule="atLeast"/>
        </w:trPr>
        <w:tc>
          <w:tcPr>
            <w:tcW w:type="dxa" w:w="34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4"/>
                <w:szCs w:val="14"/>
                <w:u w:val="none" w:color="000000"/>
                <w:vertAlign w:val="baseline"/>
                <w:rtl w:val="0"/>
                <w:lang w:val="it-IT"/>
              </w:rPr>
              <w:t>6</w:t>
            </w:r>
          </w:p>
        </w:tc>
        <w:tc>
          <w:tcPr>
            <w:tcW w:type="dxa" w:w="178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4"/>
                <w:szCs w:val="14"/>
                <w:u w:val="none" w:color="000000"/>
                <w:vertAlign w:val="baseline"/>
                <w:rtl w:val="0"/>
                <w:lang w:val="it-IT"/>
              </w:rPr>
              <w:t>Giovi IMPIANTI S.r.l. - 05625771000</w:t>
            </w:r>
          </w:p>
        </w:tc>
        <w:tc>
          <w:tcPr>
            <w:tcW w:type="dxa" w:w="141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4"/>
                <w:szCs w:val="14"/>
                <w:u w:val="none" w:color="000000"/>
                <w:vertAlign w:val="baseline"/>
                <w:rtl w:val="0"/>
                <w:lang w:val="it-IT"/>
              </w:rPr>
              <w:t>ROMA (RM) - VIA PORTUENSE 881</w:t>
            </w:r>
          </w:p>
        </w:tc>
        <w:tc>
          <w:tcPr>
            <w:tcW w:type="dxa" w:w="85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4"/>
                <w:szCs w:val="14"/>
                <w:u w:val="none" w:color="000000"/>
                <w:vertAlign w:val="baseline"/>
                <w:rtl w:val="0"/>
                <w:lang w:val="it-IT"/>
              </w:rPr>
              <w:t>21/10/1998</w:t>
            </w:r>
          </w:p>
        </w:tc>
        <w:tc>
          <w:tcPr>
            <w:tcW w:type="dxa" w:w="178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4"/>
                <w:szCs w:val="14"/>
                <w:u w:val="none" w:color="000000"/>
                <w:vertAlign w:val="baseline"/>
                <w:rtl w:val="0"/>
                <w:lang w:val="it-IT"/>
              </w:rPr>
              <w:t>ALTRI SERVIZI DI SUPPORTO ALLE IMPRESE NCA</w:t>
            </w:r>
          </w:p>
        </w:tc>
        <w:tc>
          <w:tcPr>
            <w:tcW w:type="dxa" w:w="241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4"/>
                <w:szCs w:val="14"/>
                <w:u w:val="none" w:color="000000"/>
                <w:vertAlign w:val="baseline"/>
                <w:rtl w:val="0"/>
                <w:lang w:val="it-IT"/>
              </w:rPr>
              <w:t>TITOLARE QUOTE (50% CAPITALE SOCIALE)</w:t>
            </w:r>
          </w:p>
        </w:tc>
        <w:tc>
          <w:tcPr>
            <w:tcW w:type="dxa" w:w="76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4"/>
                <w:szCs w:val="14"/>
                <w:u w:val="none" w:color="000000"/>
                <w:vertAlign w:val="baseline"/>
                <w:rtl w:val="0"/>
                <w:lang w:val="it-IT"/>
              </w:rPr>
              <w:t>ott-1998</w:t>
            </w:r>
          </w:p>
        </w:tc>
      </w:tr>
      <w:tr>
        <w:tblPrEx>
          <w:shd w:val="clear" w:color="auto" w:fill="auto"/>
        </w:tblPrEx>
        <w:trPr>
          <w:trHeight w:val="370" w:hRule="atLeast"/>
        </w:trPr>
        <w:tc>
          <w:tcPr>
            <w:tcW w:type="dxa" w:w="340"/>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4"/>
                <w:szCs w:val="14"/>
                <w:u w:val="none" w:color="000000"/>
                <w:vertAlign w:val="baseline"/>
                <w:rtl w:val="0"/>
                <w:lang w:val="it-IT"/>
              </w:rPr>
              <w:t>7</w:t>
            </w:r>
          </w:p>
        </w:tc>
        <w:tc>
          <w:tcPr>
            <w:tcW w:type="dxa" w:w="1786"/>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4"/>
                <w:szCs w:val="14"/>
                <w:u w:val="none" w:color="000000"/>
                <w:vertAlign w:val="baseline"/>
                <w:rtl w:val="0"/>
                <w:lang w:val="it-IT"/>
              </w:rPr>
              <w:t>INVESTIMENTI ECOLOGICI S.r.l. CON UNICO SOCIO - 02217421201</w:t>
            </w:r>
          </w:p>
        </w:tc>
        <w:tc>
          <w:tcPr>
            <w:tcW w:type="dxa" w:w="1417"/>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4"/>
                <w:szCs w:val="14"/>
                <w:u w:val="none" w:color="000000"/>
                <w:vertAlign w:val="baseline"/>
                <w:rtl w:val="0"/>
                <w:lang w:val="pt-PT"/>
              </w:rPr>
              <w:t>ROMA (RM) - VIA CARDINAL DE LUCA 22</w:t>
            </w:r>
          </w:p>
        </w:tc>
        <w:tc>
          <w:tcPr>
            <w:tcW w:type="dxa" w:w="851"/>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4"/>
                <w:szCs w:val="14"/>
                <w:u w:val="none" w:color="000000"/>
                <w:vertAlign w:val="baseline"/>
                <w:rtl w:val="0"/>
                <w:lang w:val="it-IT"/>
              </w:rPr>
              <w:t>03/02/2000</w:t>
            </w:r>
          </w:p>
        </w:tc>
        <w:tc>
          <w:tcPr>
            <w:tcW w:type="dxa" w:w="1786"/>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4"/>
                <w:szCs w:val="14"/>
                <w:u w:val="none" w:color="000000"/>
                <w:vertAlign w:val="baseline"/>
                <w:rtl w:val="0"/>
                <w:lang w:val="it-IT"/>
              </w:rPr>
              <w:t>ATTIVITA' DELLE SOCIETA' DI PARTECIPAZIONE (HOLDING)</w:t>
            </w:r>
          </w:p>
        </w:tc>
        <w:tc>
          <w:tcPr>
            <w:tcW w:type="dxa" w:w="241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4"/>
                <w:szCs w:val="14"/>
                <w:u w:val="none" w:color="000000"/>
                <w:vertAlign w:val="baseline"/>
                <w:rtl w:val="0"/>
                <w:lang w:val="it-IT"/>
              </w:rPr>
              <w:t>RAPPRESENTANTE LEGALE (AMMINISTRATORE UNICO)</w:t>
            </w:r>
          </w:p>
        </w:tc>
        <w:tc>
          <w:tcPr>
            <w:tcW w:type="dxa" w:w="76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4"/>
                <w:szCs w:val="14"/>
                <w:u w:val="none" w:color="000000"/>
                <w:vertAlign w:val="baseline"/>
                <w:rtl w:val="0"/>
                <w:lang w:val="it-IT"/>
              </w:rPr>
              <w:t>mag-2010</w:t>
            </w:r>
          </w:p>
        </w:tc>
      </w:tr>
      <w:tr>
        <w:tblPrEx>
          <w:shd w:val="clear" w:color="auto" w:fill="auto"/>
        </w:tblPrEx>
        <w:trPr>
          <w:trHeight w:val="370" w:hRule="atLeast"/>
        </w:trPr>
        <w:tc>
          <w:tcPr>
            <w:tcW w:type="dxa" w:w="340"/>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786"/>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41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851"/>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786"/>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241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4"/>
                <w:szCs w:val="14"/>
                <w:u w:val="none" w:color="000000"/>
                <w:vertAlign w:val="baseline"/>
                <w:rtl w:val="0"/>
                <w:lang w:val="it-IT"/>
              </w:rPr>
              <w:t>SOCIO UNICO</w:t>
            </w:r>
          </w:p>
        </w:tc>
        <w:tc>
          <w:tcPr>
            <w:tcW w:type="dxa" w:w="76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4"/>
                <w:szCs w:val="14"/>
                <w:u w:val="none" w:color="000000"/>
                <w:vertAlign w:val="baseline"/>
                <w:rtl w:val="0"/>
                <w:lang w:val="it-IT"/>
              </w:rPr>
              <w:t>mar-2009</w:t>
            </w:r>
          </w:p>
        </w:tc>
      </w:tr>
      <w:tr>
        <w:tblPrEx>
          <w:shd w:val="clear" w:color="auto" w:fill="auto"/>
        </w:tblPrEx>
        <w:trPr>
          <w:trHeight w:val="550" w:hRule="atLeast"/>
        </w:trPr>
        <w:tc>
          <w:tcPr>
            <w:tcW w:type="dxa" w:w="34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4"/>
                <w:szCs w:val="14"/>
                <w:u w:val="none" w:color="000000"/>
                <w:vertAlign w:val="baseline"/>
                <w:rtl w:val="0"/>
                <w:lang w:val="it-IT"/>
              </w:rPr>
              <w:t>8</w:t>
            </w:r>
          </w:p>
        </w:tc>
        <w:tc>
          <w:tcPr>
            <w:tcW w:type="dxa" w:w="178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4"/>
                <w:szCs w:val="14"/>
                <w:u w:val="none" w:color="000000"/>
                <w:vertAlign w:val="baseline"/>
                <w:rtl w:val="0"/>
                <w:lang w:val="it-IT"/>
              </w:rPr>
              <w:t>PONTINA FONDIARIA - S.r.l. - 04243421007</w:t>
            </w:r>
          </w:p>
        </w:tc>
        <w:tc>
          <w:tcPr>
            <w:tcW w:type="dxa" w:w="141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4"/>
                <w:szCs w:val="14"/>
                <w:u w:val="none" w:color="000000"/>
                <w:vertAlign w:val="baseline"/>
                <w:rtl w:val="0"/>
                <w:lang w:val="it-IT"/>
              </w:rPr>
              <w:t>ROMA (RM) - VIALE DEL POGGIO FIORITO 63</w:t>
            </w:r>
          </w:p>
        </w:tc>
        <w:tc>
          <w:tcPr>
            <w:tcW w:type="dxa" w:w="85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4"/>
                <w:szCs w:val="14"/>
                <w:u w:val="none" w:color="000000"/>
                <w:vertAlign w:val="baseline"/>
                <w:rtl w:val="0"/>
                <w:lang w:val="it-IT"/>
              </w:rPr>
              <w:t>27/01/1992</w:t>
            </w:r>
          </w:p>
        </w:tc>
        <w:tc>
          <w:tcPr>
            <w:tcW w:type="dxa" w:w="178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4"/>
                <w:szCs w:val="14"/>
                <w:u w:val="none" w:color="000000"/>
                <w:vertAlign w:val="baseline"/>
                <w:rtl w:val="0"/>
                <w:lang w:val="it-IT"/>
              </w:rPr>
              <w:t>AFFITTO E GESTIONE DI IMMOBILI DI PROPRIETA' O IN LEASING</w:t>
            </w:r>
          </w:p>
        </w:tc>
        <w:tc>
          <w:tcPr>
            <w:tcW w:type="dxa" w:w="241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4"/>
                <w:szCs w:val="14"/>
                <w:u w:val="none" w:color="000000"/>
                <w:vertAlign w:val="baseline"/>
                <w:rtl w:val="0"/>
                <w:lang w:val="it-IT"/>
              </w:rPr>
              <w:t>TITOLARE QUOTE (99% CAPITALE SOCIALE)</w:t>
            </w:r>
          </w:p>
        </w:tc>
        <w:tc>
          <w:tcPr>
            <w:tcW w:type="dxa" w:w="76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4"/>
                <w:szCs w:val="14"/>
                <w:u w:val="none" w:color="000000"/>
                <w:vertAlign w:val="baseline"/>
                <w:rtl w:val="0"/>
                <w:lang w:val="it-IT"/>
              </w:rPr>
              <w:t>dic-1993</w:t>
            </w:r>
          </w:p>
        </w:tc>
      </w:tr>
      <w:tr>
        <w:tblPrEx>
          <w:shd w:val="clear" w:color="auto" w:fill="auto"/>
        </w:tblPrEx>
        <w:trPr>
          <w:trHeight w:val="550" w:hRule="atLeast"/>
        </w:trPr>
        <w:tc>
          <w:tcPr>
            <w:tcW w:type="dxa" w:w="34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4"/>
                <w:szCs w:val="14"/>
                <w:u w:val="none" w:color="000000"/>
                <w:vertAlign w:val="baseline"/>
                <w:rtl w:val="0"/>
                <w:lang w:val="it-IT"/>
              </w:rPr>
              <w:t>9</w:t>
            </w:r>
          </w:p>
        </w:tc>
        <w:tc>
          <w:tcPr>
            <w:tcW w:type="dxa" w:w="178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4"/>
                <w:szCs w:val="14"/>
                <w:u w:val="none" w:color="000000"/>
                <w:vertAlign w:val="baseline"/>
                <w:rtl w:val="0"/>
                <w:lang w:val="it-IT"/>
              </w:rPr>
              <w:t>PORTICO DEI TIGLI S.r.l. - 11845841003</w:t>
            </w:r>
          </w:p>
        </w:tc>
        <w:tc>
          <w:tcPr>
            <w:tcW w:type="dxa" w:w="141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4"/>
                <w:szCs w:val="14"/>
                <w:u w:val="none" w:color="000000"/>
                <w:vertAlign w:val="baseline"/>
                <w:rtl w:val="0"/>
                <w:lang w:val="it-IT"/>
              </w:rPr>
              <w:t>ROMA (RM) - VIA SAVOIA 80</w:t>
            </w:r>
          </w:p>
        </w:tc>
        <w:tc>
          <w:tcPr>
            <w:tcW w:type="dxa" w:w="85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4"/>
                <w:szCs w:val="14"/>
                <w:u w:val="none" w:color="000000"/>
                <w:vertAlign w:val="baseline"/>
                <w:rtl w:val="0"/>
                <w:lang w:val="it-IT"/>
              </w:rPr>
              <w:t>20/03/2012</w:t>
            </w:r>
          </w:p>
        </w:tc>
        <w:tc>
          <w:tcPr>
            <w:tcW w:type="dxa" w:w="178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4"/>
                <w:szCs w:val="14"/>
                <w:u w:val="none" w:color="000000"/>
                <w:vertAlign w:val="baseline"/>
                <w:rtl w:val="0"/>
                <w:lang w:val="it-IT"/>
              </w:rPr>
              <w:t>COSTRUZIONE, VENDITA E/O GESTIONE DI EDIFICI IN ROMA</w:t>
            </w:r>
          </w:p>
        </w:tc>
        <w:tc>
          <w:tcPr>
            <w:tcW w:type="dxa" w:w="241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4"/>
                <w:szCs w:val="14"/>
                <w:u w:val="none" w:color="000000"/>
                <w:vertAlign w:val="baseline"/>
                <w:rtl w:val="0"/>
                <w:lang w:val="it-IT"/>
              </w:rPr>
              <w:t>AMMINISTRATORE UNICO</w:t>
            </w:r>
          </w:p>
        </w:tc>
        <w:tc>
          <w:tcPr>
            <w:tcW w:type="dxa" w:w="76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4"/>
                <w:szCs w:val="14"/>
                <w:u w:val="none" w:color="000000"/>
                <w:vertAlign w:val="baseline"/>
                <w:rtl w:val="0"/>
                <w:lang w:val="it-IT"/>
              </w:rPr>
              <w:t>mar-2012</w:t>
            </w:r>
          </w:p>
        </w:tc>
      </w:tr>
      <w:tr>
        <w:tblPrEx>
          <w:shd w:val="clear" w:color="auto" w:fill="auto"/>
        </w:tblPrEx>
        <w:trPr>
          <w:trHeight w:val="910" w:hRule="atLeast"/>
        </w:trPr>
        <w:tc>
          <w:tcPr>
            <w:tcW w:type="dxa" w:w="34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4"/>
                <w:szCs w:val="14"/>
                <w:u w:val="none" w:color="000000"/>
                <w:vertAlign w:val="baseline"/>
                <w:rtl w:val="0"/>
                <w:lang w:val="it-IT"/>
              </w:rPr>
              <w:t>10</w:t>
            </w:r>
          </w:p>
        </w:tc>
        <w:tc>
          <w:tcPr>
            <w:tcW w:type="dxa" w:w="178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4"/>
                <w:szCs w:val="14"/>
                <w:u w:val="none" w:color="000000"/>
                <w:vertAlign w:val="baseline"/>
                <w:rtl w:val="0"/>
                <w:lang w:val="it-IT"/>
              </w:rPr>
              <w:t>RESIDENCE DEL COLLE S.r.l. - 04017531007</w:t>
            </w:r>
          </w:p>
        </w:tc>
        <w:tc>
          <w:tcPr>
            <w:tcW w:type="dxa" w:w="141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4"/>
                <w:szCs w:val="14"/>
                <w:u w:val="none" w:color="000000"/>
                <w:vertAlign w:val="baseline"/>
                <w:rtl w:val="0"/>
                <w:lang w:val="it-IT"/>
              </w:rPr>
              <w:t>ROMA (RM) - VIA FOSDINOVO 18 SCALA C</w:t>
            </w:r>
          </w:p>
        </w:tc>
        <w:tc>
          <w:tcPr>
            <w:tcW w:type="dxa" w:w="85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4"/>
                <w:szCs w:val="14"/>
                <w:u w:val="none" w:color="000000"/>
                <w:vertAlign w:val="baseline"/>
                <w:rtl w:val="0"/>
                <w:lang w:val="it-IT"/>
              </w:rPr>
              <w:t>25/01/1991</w:t>
            </w:r>
          </w:p>
        </w:tc>
        <w:tc>
          <w:tcPr>
            <w:tcW w:type="dxa" w:w="178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4"/>
                <w:szCs w:val="14"/>
                <w:u w:val="none" w:color="000000"/>
                <w:vertAlign w:val="baseline"/>
                <w:rtl w:val="0"/>
                <w:lang w:val="it-IT"/>
              </w:rPr>
              <w:t>GESTIONE STRUTTURE RICETTIVE, CENTRI SOCIALI, CULTURALI, SPORTIVI E RICREATIVI IN GENERE</w:t>
            </w:r>
          </w:p>
        </w:tc>
        <w:tc>
          <w:tcPr>
            <w:tcW w:type="dxa" w:w="241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4"/>
                <w:szCs w:val="14"/>
                <w:u w:val="none" w:color="000000"/>
                <w:vertAlign w:val="baseline"/>
                <w:rtl w:val="0"/>
                <w:lang w:val="it-IT"/>
              </w:rPr>
              <w:t>TITOLARE QUOTE (95% CAPITALE SOCIALE)</w:t>
            </w:r>
          </w:p>
        </w:tc>
        <w:tc>
          <w:tcPr>
            <w:tcW w:type="dxa" w:w="76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4"/>
                <w:szCs w:val="14"/>
                <w:u w:val="none" w:color="000000"/>
                <w:vertAlign w:val="baseline"/>
                <w:rtl w:val="0"/>
                <w:lang w:val="it-IT"/>
              </w:rPr>
              <w:t>apr-1996</w:t>
            </w:r>
          </w:p>
        </w:tc>
      </w:tr>
      <w:tr>
        <w:tblPrEx>
          <w:shd w:val="clear" w:color="auto" w:fill="auto"/>
        </w:tblPrEx>
        <w:trPr>
          <w:trHeight w:val="730" w:hRule="atLeast"/>
        </w:trPr>
        <w:tc>
          <w:tcPr>
            <w:tcW w:type="dxa" w:w="34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4"/>
                <w:szCs w:val="14"/>
                <w:u w:val="none" w:color="000000"/>
                <w:vertAlign w:val="baseline"/>
                <w:rtl w:val="0"/>
                <w:lang w:val="it-IT"/>
              </w:rPr>
              <w:t>11</w:t>
            </w:r>
          </w:p>
        </w:tc>
        <w:tc>
          <w:tcPr>
            <w:tcW w:type="dxa" w:w="178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4"/>
                <w:szCs w:val="14"/>
                <w:u w:val="none" w:color="000000"/>
                <w:vertAlign w:val="baseline"/>
                <w:rtl w:val="0"/>
                <w:lang w:val="it-IT"/>
              </w:rPr>
              <w:t>RESIDENCE PISONIANO S.N.C. DI MONICA Cerroni E C. - 01617531007</w:t>
            </w:r>
          </w:p>
        </w:tc>
        <w:tc>
          <w:tcPr>
            <w:tcW w:type="dxa" w:w="141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4"/>
                <w:szCs w:val="14"/>
                <w:u w:val="none" w:color="000000"/>
                <w:vertAlign w:val="baseline"/>
                <w:rtl w:val="0"/>
                <w:lang w:val="it-IT"/>
              </w:rPr>
              <w:t>ROMA (RM) - VIA EUGENIO CHIESA 27</w:t>
            </w:r>
          </w:p>
        </w:tc>
        <w:tc>
          <w:tcPr>
            <w:tcW w:type="dxa" w:w="85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4"/>
                <w:szCs w:val="14"/>
                <w:u w:val="none" w:color="000000"/>
                <w:vertAlign w:val="baseline"/>
                <w:rtl w:val="0"/>
                <w:lang w:val="it-IT"/>
              </w:rPr>
              <w:t>06/12/1984</w:t>
            </w:r>
          </w:p>
        </w:tc>
        <w:tc>
          <w:tcPr>
            <w:tcW w:type="dxa" w:w="178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4"/>
                <w:szCs w:val="14"/>
                <w:u w:val="none" w:color="000000"/>
                <w:vertAlign w:val="baseline"/>
                <w:rtl w:val="0"/>
                <w:lang w:val="it-IT"/>
              </w:rPr>
              <w:t>COSTRUZIONE DI EDIFICI RESIDENZIALI E NON RESIDENZIALI</w:t>
            </w:r>
          </w:p>
        </w:tc>
        <w:tc>
          <w:tcPr>
            <w:tcW w:type="dxa" w:w="241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4"/>
                <w:szCs w:val="14"/>
                <w:u w:val="none" w:color="000000"/>
                <w:vertAlign w:val="baseline"/>
                <w:rtl w:val="0"/>
                <w:lang w:val="it-IT"/>
              </w:rPr>
              <w:t>SOCIO</w:t>
            </w:r>
          </w:p>
        </w:tc>
        <w:tc>
          <w:tcPr>
            <w:tcW w:type="dxa" w:w="76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4"/>
                <w:szCs w:val="14"/>
                <w:u w:val="none" w:color="000000"/>
                <w:vertAlign w:val="baseline"/>
                <w:rtl w:val="0"/>
                <w:lang w:val="it-IT"/>
              </w:rPr>
              <w:t>dic-1993</w:t>
            </w:r>
          </w:p>
        </w:tc>
      </w:tr>
      <w:tr>
        <w:tblPrEx>
          <w:shd w:val="clear" w:color="auto" w:fill="auto"/>
        </w:tblPrEx>
        <w:trPr>
          <w:trHeight w:val="730" w:hRule="atLeast"/>
        </w:trPr>
        <w:tc>
          <w:tcPr>
            <w:tcW w:type="dxa" w:w="34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4"/>
                <w:szCs w:val="14"/>
                <w:u w:val="none" w:color="000000"/>
                <w:vertAlign w:val="baseline"/>
                <w:rtl w:val="0"/>
                <w:lang w:val="it-IT"/>
              </w:rPr>
              <w:t>12</w:t>
            </w:r>
          </w:p>
        </w:tc>
        <w:tc>
          <w:tcPr>
            <w:tcW w:type="dxa" w:w="178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4"/>
                <w:szCs w:val="14"/>
                <w:u w:val="none" w:color="000000"/>
                <w:vertAlign w:val="baseline"/>
                <w:rtl w:val="0"/>
                <w:lang w:val="it-IT"/>
              </w:rPr>
              <w:t>SERVICES LAZIO S.r.l. - 07487011004</w:t>
            </w:r>
          </w:p>
        </w:tc>
        <w:tc>
          <w:tcPr>
            <w:tcW w:type="dxa" w:w="141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4"/>
                <w:szCs w:val="14"/>
                <w:u w:val="none" w:color="000000"/>
                <w:vertAlign w:val="baseline"/>
                <w:rtl w:val="0"/>
                <w:lang w:val="it-IT"/>
              </w:rPr>
              <w:t>POMEZIA (RM) - VIA MESSICO 9</w:t>
            </w:r>
          </w:p>
        </w:tc>
        <w:tc>
          <w:tcPr>
            <w:tcW w:type="dxa" w:w="85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4"/>
                <w:szCs w:val="14"/>
                <w:u w:val="none" w:color="000000"/>
                <w:vertAlign w:val="baseline"/>
                <w:rtl w:val="0"/>
                <w:lang w:val="it-IT"/>
              </w:rPr>
              <w:t>25/10/2011</w:t>
            </w:r>
          </w:p>
        </w:tc>
        <w:tc>
          <w:tcPr>
            <w:tcW w:type="dxa" w:w="178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4"/>
                <w:szCs w:val="14"/>
                <w:u w:val="none" w:color="000000"/>
                <w:vertAlign w:val="baseline"/>
                <w:rtl w:val="0"/>
                <w:lang w:val="it-IT"/>
              </w:rPr>
              <w:t>TRATTAMENTO E SMALTIMENTO DI ALTRI RIFIUTI NON PERICOLOSI</w:t>
            </w:r>
          </w:p>
        </w:tc>
        <w:tc>
          <w:tcPr>
            <w:tcW w:type="dxa" w:w="241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4"/>
                <w:szCs w:val="14"/>
                <w:u w:val="none" w:color="000000"/>
                <w:vertAlign w:val="baseline"/>
                <w:rtl w:val="0"/>
                <w:lang w:val="it-IT"/>
              </w:rPr>
              <w:t>CONSIGLIERE</w:t>
            </w:r>
          </w:p>
        </w:tc>
        <w:tc>
          <w:tcPr>
            <w:tcW w:type="dxa" w:w="76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4"/>
                <w:szCs w:val="14"/>
                <w:u w:val="none" w:color="000000"/>
                <w:vertAlign w:val="baseline"/>
                <w:rtl w:val="0"/>
                <w:lang w:val="it-IT"/>
              </w:rPr>
              <w:t>set-2011</w:t>
            </w:r>
          </w:p>
        </w:tc>
      </w:tr>
      <w:tr>
        <w:tblPrEx>
          <w:shd w:val="clear" w:color="auto" w:fill="auto"/>
        </w:tblPrEx>
        <w:trPr>
          <w:trHeight w:val="550" w:hRule="atLeast"/>
        </w:trPr>
        <w:tc>
          <w:tcPr>
            <w:tcW w:type="dxa" w:w="34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4"/>
                <w:szCs w:val="14"/>
                <w:u w:val="none" w:color="000000"/>
                <w:vertAlign w:val="baseline"/>
                <w:rtl w:val="0"/>
                <w:lang w:val="it-IT"/>
              </w:rPr>
              <w:t>13</w:t>
            </w:r>
          </w:p>
        </w:tc>
        <w:tc>
          <w:tcPr>
            <w:tcW w:type="dxa" w:w="178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4"/>
                <w:szCs w:val="14"/>
                <w:u w:val="none" w:color="000000"/>
                <w:vertAlign w:val="baseline"/>
                <w:rtl w:val="0"/>
                <w:lang w:val="it-IT"/>
              </w:rPr>
              <w:t>Sorain Cecchini CORCOLLE S.r.l. - 10026571009</w:t>
            </w:r>
          </w:p>
        </w:tc>
        <w:tc>
          <w:tcPr>
            <w:tcW w:type="dxa" w:w="141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4"/>
                <w:szCs w:val="14"/>
                <w:u w:val="none" w:color="000000"/>
                <w:vertAlign w:val="baseline"/>
                <w:rtl w:val="0"/>
                <w:lang w:val="it-IT"/>
              </w:rPr>
              <w:t>ROMA (RM) - VIALE DEL POGGIO FIORITO 63</w:t>
            </w:r>
          </w:p>
        </w:tc>
        <w:tc>
          <w:tcPr>
            <w:tcW w:type="dxa" w:w="85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4"/>
                <w:szCs w:val="14"/>
                <w:u w:val="none" w:color="000000"/>
                <w:vertAlign w:val="baseline"/>
                <w:rtl w:val="0"/>
                <w:lang w:val="it-IT"/>
              </w:rPr>
              <w:t>27/05/2008</w:t>
            </w:r>
          </w:p>
        </w:tc>
        <w:tc>
          <w:tcPr>
            <w:tcW w:type="dxa" w:w="178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4"/>
                <w:szCs w:val="14"/>
                <w:u w:val="none" w:color="000000"/>
                <w:vertAlign w:val="baseline"/>
                <w:rtl w:val="0"/>
                <w:lang w:val="it-IT"/>
              </w:rPr>
              <w:t>ESERCIZIO AGRICOLTURA; ATTIVITA</w:t>
            </w:r>
            <w:r>
              <w:rPr>
                <w:rFonts w:ascii="Calibri" w:cs="Calibri" w:hAnsi="Calibri" w:eastAsia="Calibri"/>
                <w:caps w:val="0"/>
                <w:smallCaps w:val="0"/>
                <w:strike w:val="0"/>
                <w:dstrike w:val="0"/>
                <w:outline w:val="0"/>
                <w:color w:val="000000"/>
                <w:spacing w:val="0"/>
                <w:kern w:val="0"/>
                <w:position w:val="0"/>
                <w:sz w:val="14"/>
                <w:szCs w:val="14"/>
                <w:u w:val="none" w:color="000000"/>
                <w:vertAlign w:val="baseline"/>
                <w:rtl w:val="0"/>
                <w:lang w:val="it-IT"/>
              </w:rPr>
              <w:t xml:space="preserve">’ </w:t>
            </w:r>
            <w:r>
              <w:rPr>
                <w:rFonts w:ascii="Calibri" w:cs="Calibri" w:hAnsi="Calibri" w:eastAsia="Calibri"/>
                <w:caps w:val="0"/>
                <w:smallCaps w:val="0"/>
                <w:strike w:val="0"/>
                <w:dstrike w:val="0"/>
                <w:outline w:val="0"/>
                <w:color w:val="000000"/>
                <w:spacing w:val="0"/>
                <w:kern w:val="0"/>
                <w:position w:val="0"/>
                <w:sz w:val="14"/>
                <w:szCs w:val="14"/>
                <w:u w:val="none" w:color="000000"/>
                <w:vertAlign w:val="baseline"/>
                <w:rtl w:val="0"/>
                <w:lang w:val="it-IT"/>
              </w:rPr>
              <w:t>IMMOBILIARE</w:t>
            </w:r>
          </w:p>
        </w:tc>
        <w:tc>
          <w:tcPr>
            <w:tcW w:type="dxa" w:w="241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4"/>
                <w:szCs w:val="14"/>
                <w:u w:val="none" w:color="000000"/>
                <w:vertAlign w:val="baseline"/>
                <w:rtl w:val="0"/>
                <w:lang w:val="it-IT"/>
              </w:rPr>
              <w:t>TITOLARE QUOTE (66% CAPITALE SOCIALE)</w:t>
            </w:r>
          </w:p>
        </w:tc>
        <w:tc>
          <w:tcPr>
            <w:tcW w:type="dxa" w:w="76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4"/>
                <w:szCs w:val="14"/>
                <w:u w:val="none" w:color="000000"/>
                <w:vertAlign w:val="baseline"/>
                <w:rtl w:val="0"/>
                <w:lang w:val="it-IT"/>
              </w:rPr>
              <w:t>mag-2008</w:t>
            </w:r>
          </w:p>
        </w:tc>
      </w:tr>
      <w:tr>
        <w:tblPrEx>
          <w:shd w:val="clear" w:color="auto" w:fill="auto"/>
        </w:tblPrEx>
        <w:trPr>
          <w:trHeight w:val="550" w:hRule="atLeast"/>
        </w:trPr>
        <w:tc>
          <w:tcPr>
            <w:tcW w:type="dxa" w:w="34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4"/>
                <w:szCs w:val="14"/>
                <w:u w:val="none" w:color="000000"/>
                <w:vertAlign w:val="baseline"/>
                <w:rtl w:val="0"/>
                <w:lang w:val="it-IT"/>
              </w:rPr>
              <w:t>14</w:t>
            </w:r>
          </w:p>
        </w:tc>
        <w:tc>
          <w:tcPr>
            <w:tcW w:type="dxa" w:w="178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4"/>
                <w:szCs w:val="14"/>
                <w:u w:val="none" w:color="000000"/>
                <w:vertAlign w:val="baseline"/>
                <w:rtl w:val="0"/>
                <w:lang w:val="it-IT"/>
              </w:rPr>
              <w:t>Sorain Cecchini UNO S.r.l. - 07656511008</w:t>
            </w:r>
          </w:p>
        </w:tc>
        <w:tc>
          <w:tcPr>
            <w:tcW w:type="dxa" w:w="141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4"/>
                <w:szCs w:val="14"/>
                <w:u w:val="none" w:color="000000"/>
                <w:vertAlign w:val="baseline"/>
                <w:rtl w:val="0"/>
                <w:lang w:val="it-IT"/>
              </w:rPr>
              <w:t>ROMA (RM) - VIALE DEL POGGIO FIORITO 63</w:t>
            </w:r>
          </w:p>
        </w:tc>
        <w:tc>
          <w:tcPr>
            <w:tcW w:type="dxa" w:w="85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4"/>
                <w:szCs w:val="14"/>
                <w:u w:val="none" w:color="000000"/>
                <w:vertAlign w:val="baseline"/>
                <w:rtl w:val="0"/>
                <w:lang w:val="it-IT"/>
              </w:rPr>
              <w:t>25/09/2003</w:t>
            </w:r>
          </w:p>
        </w:tc>
        <w:tc>
          <w:tcPr>
            <w:tcW w:type="dxa" w:w="178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4"/>
                <w:szCs w:val="14"/>
                <w:u w:val="none" w:color="000000"/>
                <w:vertAlign w:val="baseline"/>
                <w:rtl w:val="0"/>
                <w:lang w:val="it-IT"/>
              </w:rPr>
              <w:t>COSTRUZIONE DI EDIFICI RESIDENZIALI E NON RESIDENZIALI</w:t>
            </w:r>
          </w:p>
        </w:tc>
        <w:tc>
          <w:tcPr>
            <w:tcW w:type="dxa" w:w="241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4"/>
                <w:szCs w:val="14"/>
                <w:u w:val="none" w:color="000000"/>
                <w:vertAlign w:val="baseline"/>
                <w:rtl w:val="0"/>
                <w:lang w:val="it-IT"/>
              </w:rPr>
              <w:t>TITOLARE QUOTE (96,6% CAPITALE SOCIALE)</w:t>
            </w:r>
          </w:p>
        </w:tc>
        <w:tc>
          <w:tcPr>
            <w:tcW w:type="dxa" w:w="76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4"/>
                <w:szCs w:val="14"/>
                <w:u w:val="none" w:color="000000"/>
                <w:vertAlign w:val="baseline"/>
                <w:rtl w:val="0"/>
                <w:lang w:val="it-IT"/>
              </w:rPr>
              <w:t>set-2003</w:t>
            </w:r>
          </w:p>
        </w:tc>
      </w:tr>
    </w:tbl>
    <w:p>
      <w:pPr>
        <w:pStyle w:val="Normal"/>
        <w:keepNext w:val="1"/>
        <w:ind w:left="212" w:right="567" w:firstLine="355"/>
        <w:jc w:val="both"/>
        <w:rPr>
          <w:rFonts w:ascii="Book Antiqua" w:cs="Book Antiqua" w:hAnsi="Book Antiqua" w:eastAsia="Book Antiqua"/>
        </w:rPr>
      </w:pPr>
    </w:p>
    <w:p>
      <w:pPr>
        <w:pStyle w:val="Normal"/>
        <w:keepNext w:val="1"/>
        <w:ind w:left="567" w:right="567" w:firstLine="0"/>
        <w:jc w:val="both"/>
        <w:rPr>
          <w:rFonts w:ascii="Book Antiqua" w:cs="Book Antiqua" w:hAnsi="Book Antiqua" w:eastAsia="Book Antiqua"/>
        </w:rPr>
      </w:pPr>
    </w:p>
    <w:p>
      <w:pPr>
        <w:pStyle w:val="Normal"/>
        <w:keepNext w:val="1"/>
        <w:ind w:left="567" w:right="567" w:firstLine="0"/>
        <w:jc w:val="both"/>
        <w:rPr>
          <w:rFonts w:ascii="Book Antiqua" w:cs="Book Antiqua" w:hAnsi="Book Antiqua" w:eastAsia="Book Antiqua"/>
        </w:rPr>
      </w:pPr>
    </w:p>
    <w:p>
      <w:pPr>
        <w:pStyle w:val="Normal"/>
        <w:keepNext w:val="1"/>
        <w:ind w:left="567" w:right="567" w:firstLine="0"/>
        <w:jc w:val="both"/>
        <w:rPr>
          <w:rFonts w:ascii="Book Antiqua" w:cs="Book Antiqua" w:hAnsi="Book Antiqua" w:eastAsia="Book Antiqua"/>
        </w:rPr>
      </w:pPr>
      <w:r>
        <w:rPr>
          <w:rFonts w:ascii="Book Antiqua"/>
          <w:rtl w:val="0"/>
          <w:lang w:val="it-IT"/>
        </w:rPr>
        <w:t>Per avere un</w:t>
      </w:r>
      <w:r>
        <w:rPr>
          <w:rFonts w:hAnsi="Book Antiqua" w:hint="default"/>
          <w:rtl w:val="0"/>
          <w:lang w:val="it-IT"/>
        </w:rPr>
        <w:t>’</w:t>
      </w:r>
      <w:r>
        <w:rPr>
          <w:rFonts w:ascii="Book Antiqua"/>
          <w:rtl w:val="0"/>
          <w:lang w:val="it-IT"/>
        </w:rPr>
        <w:t xml:space="preserve">immediata percezione degli interessi </w:t>
      </w:r>
      <w:r>
        <w:rPr>
          <w:rFonts w:hAnsi="Book Antiqua" w:hint="default"/>
          <w:rtl w:val="0"/>
          <w:lang w:val="it-IT"/>
        </w:rPr>
        <w:t>“</w:t>
      </w:r>
      <w:r>
        <w:rPr>
          <w:rFonts w:ascii="Book Antiqua"/>
          <w:rtl w:val="0"/>
          <w:lang w:val="it-IT"/>
        </w:rPr>
        <w:t>economici</w:t>
      </w:r>
      <w:r>
        <w:rPr>
          <w:rFonts w:hAnsi="Book Antiqua" w:hint="default"/>
          <w:rtl w:val="0"/>
          <w:lang w:val="it-IT"/>
        </w:rPr>
        <w:t xml:space="preserve">” </w:t>
      </w:r>
      <w:r>
        <w:rPr>
          <w:rFonts w:ascii="Book Antiqua"/>
          <w:rtl w:val="0"/>
          <w:lang w:val="it-IT"/>
        </w:rPr>
        <w:t xml:space="preserve">direttamente riconducibili al Cerroni, </w:t>
      </w:r>
      <w:r>
        <w:rPr>
          <w:rFonts w:hAnsi="Book Antiqua" w:hint="default"/>
          <w:rtl w:val="0"/>
          <w:lang w:val="it-IT"/>
        </w:rPr>
        <w:t xml:space="preserve">è </w:t>
      </w:r>
      <w:r>
        <w:rPr>
          <w:rFonts w:ascii="Book Antiqua"/>
          <w:rtl w:val="0"/>
          <w:lang w:val="it-IT"/>
        </w:rPr>
        <w:t>stato elaborato il seguente grafico dove possono pi</w:t>
      </w:r>
      <w:r>
        <w:rPr>
          <w:rFonts w:hAnsi="Book Antiqua" w:hint="default"/>
          <w:rtl w:val="0"/>
          <w:lang w:val="it-IT"/>
        </w:rPr>
        <w:t xml:space="preserve">ù </w:t>
      </w:r>
      <w:r>
        <w:rPr>
          <w:rFonts w:ascii="Book Antiqua"/>
          <w:rtl w:val="0"/>
          <w:lang w:val="it-IT"/>
        </w:rPr>
        <w:t>facilmente apprezzarsi le connessioni societarie</w:t>
      </w:r>
    </w:p>
    <w:p>
      <w:pPr>
        <w:pStyle w:val="Normal"/>
        <w:keepNext w:val="1"/>
        <w:ind w:left="567" w:right="567" w:firstLine="0"/>
        <w:jc w:val="both"/>
        <w:rPr>
          <w:rFonts w:ascii="Book Antiqua" w:cs="Book Antiqua" w:hAnsi="Book Antiqua" w:eastAsia="Book Antiqua"/>
        </w:rPr>
      </w:pPr>
    </w:p>
    <w:p>
      <w:pPr>
        <w:pStyle w:val="Normal"/>
        <w:keepNext w:val="1"/>
        <w:ind w:left="1701" w:right="566" w:hanging="1134"/>
        <w:rPr>
          <w:rFonts w:ascii="Book Antiqua" w:cs="Book Antiqua" w:hAnsi="Book Antiqua" w:eastAsia="Book Antiqua"/>
          <w:i w:val="1"/>
          <w:iCs w:val="1"/>
          <w:sz w:val="22"/>
          <w:szCs w:val="22"/>
        </w:rPr>
      </w:pPr>
      <w:r>
        <w:rPr>
          <w:rFonts w:ascii="Book Antiqua"/>
          <w:i w:val="1"/>
          <w:iCs w:val="1"/>
          <w:sz w:val="22"/>
          <w:szCs w:val="22"/>
          <w:rtl w:val="0"/>
          <w:lang w:val="it-IT"/>
        </w:rPr>
        <w:t xml:space="preserve">Grafico 1 </w:t>
      </w:r>
      <w:r>
        <w:rPr>
          <w:rFonts w:hAnsi="Book Antiqua" w:hint="default"/>
          <w:i w:val="1"/>
          <w:iCs w:val="1"/>
          <w:sz w:val="22"/>
          <w:szCs w:val="22"/>
          <w:rtl w:val="0"/>
          <w:lang w:val="it-IT"/>
        </w:rPr>
        <w:t xml:space="preserve">– </w:t>
      </w:r>
      <w:r>
        <w:rPr>
          <w:rFonts w:ascii="Book Antiqua"/>
          <w:i w:val="1"/>
          <w:iCs w:val="1"/>
          <w:sz w:val="22"/>
          <w:szCs w:val="22"/>
          <w:rtl w:val="0"/>
          <w:lang w:val="it-IT"/>
        </w:rPr>
        <w:t>Cointeressenze attuali di Manlio Cerroni (ruoli societari e partecipazioni)</w:t>
      </w:r>
    </w:p>
    <w:p>
      <w:pPr>
        <w:pStyle w:val="Normal"/>
        <w:keepNext w:val="1"/>
        <w:ind w:left="1701" w:right="566" w:hanging="1134"/>
        <w:rPr>
          <w:rFonts w:ascii="Book Antiqua" w:cs="Book Antiqua" w:hAnsi="Book Antiqua" w:eastAsia="Book Antiqua"/>
        </w:rPr>
      </w:pPr>
    </w:p>
    <w:p>
      <w:pPr>
        <w:pStyle w:val="Normal"/>
        <w:keepNext w:val="1"/>
        <w:rPr>
          <w:rFonts w:ascii="Book Antiqua" w:cs="Book Antiqua" w:hAnsi="Book Antiqua" w:eastAsia="Book Antiqua"/>
        </w:rPr>
      </w:pPr>
      <w:r>
        <w:rPr>
          <w:rFonts w:ascii="Book Antiqua" w:cs="Book Antiqua" w:hAnsi="Book Antiqua" w:eastAsia="Book Antiqua"/>
          <w:rtl w:val="0"/>
        </w:rPr>
        <w:drawing>
          <wp:inline distT="0" distB="0" distL="0" distR="0">
            <wp:extent cx="6665808" cy="4695164"/>
            <wp:effectExtent l="0" t="0" r="0" b="0"/>
            <wp:docPr id="1073741869" name="officeArt object" descr="GRAFICO 1 - RUOLI E PARTECIPAZIONI ATTUALI"/>
            <wp:cNvGraphicFramePr/>
            <a:graphic xmlns:a="http://schemas.openxmlformats.org/drawingml/2006/main">
              <a:graphicData uri="http://schemas.openxmlformats.org/drawingml/2006/picture">
                <pic:pic xmlns:pic="http://schemas.openxmlformats.org/drawingml/2006/picture">
                  <pic:nvPicPr>
                    <pic:cNvPr id="1073741869" name="image43.jpg" descr="GRAFICO 1 - RUOLI E PARTECIPAZIONI ATTUALI"/>
                    <pic:cNvPicPr/>
                  </pic:nvPicPr>
                  <pic:blipFill>
                    <a:blip r:embed="rId53">
                      <a:extLst/>
                    </a:blip>
                    <a:stretch>
                      <a:fillRect/>
                    </a:stretch>
                  </pic:blipFill>
                  <pic:spPr>
                    <a:xfrm>
                      <a:off x="0" y="0"/>
                      <a:ext cx="6665808" cy="4695164"/>
                    </a:xfrm>
                    <a:prstGeom prst="rect">
                      <a:avLst/>
                    </a:prstGeom>
                    <a:ln w="6350" cap="flat">
                      <a:solidFill>
                        <a:srgbClr val="000000"/>
                      </a:solidFill>
                      <a:prstDash val="solid"/>
                      <a:miter lim="800000"/>
                    </a:ln>
                    <a:effectLst/>
                  </pic:spPr>
                </pic:pic>
              </a:graphicData>
            </a:graphic>
          </wp:inline>
        </w:drawing>
      </w:r>
    </w:p>
    <w:p>
      <w:pPr>
        <w:pStyle w:val="Normal"/>
        <w:keepNext w:val="1"/>
        <w:ind w:left="567" w:right="567" w:firstLine="0"/>
        <w:jc w:val="both"/>
        <w:rPr>
          <w:rFonts w:ascii="Book Antiqua" w:cs="Book Antiqua" w:hAnsi="Book Antiqua" w:eastAsia="Book Antiqua"/>
        </w:rPr>
      </w:pPr>
    </w:p>
    <w:p>
      <w:pPr>
        <w:pStyle w:val="Normal"/>
        <w:keepNext w:val="1"/>
        <w:ind w:left="567" w:right="567" w:firstLine="0"/>
        <w:jc w:val="both"/>
        <w:rPr>
          <w:rFonts w:ascii="Book Antiqua" w:cs="Book Antiqua" w:hAnsi="Book Antiqua" w:eastAsia="Book Antiqua"/>
        </w:rPr>
      </w:pPr>
      <w:r>
        <w:rPr>
          <w:rFonts w:ascii="Book Antiqua"/>
          <w:rtl w:val="0"/>
          <w:lang w:val="it-IT"/>
        </w:rPr>
        <w:t>Da una prima disamina dei dati acquisiti, non pu</w:t>
      </w:r>
      <w:r>
        <w:rPr>
          <w:rFonts w:hAnsi="Book Antiqua" w:hint="default"/>
          <w:rtl w:val="0"/>
          <w:lang w:val="it-IT"/>
        </w:rPr>
        <w:t xml:space="preserve">ò </w:t>
      </w:r>
      <w:r>
        <w:rPr>
          <w:rFonts w:ascii="Book Antiqua"/>
          <w:rtl w:val="0"/>
          <w:lang w:val="it-IT"/>
        </w:rPr>
        <w:t>non notarsi che, sia in termini quantitativi (appena 14 aziende) che qualitativi (soltanto una societ</w:t>
      </w:r>
      <w:r>
        <w:rPr>
          <w:rFonts w:hAnsi="Book Antiqua" w:hint="default"/>
          <w:rtl w:val="0"/>
          <w:lang w:val="it-IT"/>
        </w:rPr>
        <w:t xml:space="preserve">à </w:t>
      </w:r>
      <w:r>
        <w:rPr>
          <w:rFonts w:ascii="Book Antiqua"/>
          <w:rtl w:val="0"/>
          <w:lang w:val="it-IT"/>
        </w:rPr>
        <w:t xml:space="preserve">si occupa del trattamento e smaltimento di rifiuti, la </w:t>
      </w:r>
      <w:r>
        <w:rPr>
          <w:rFonts w:ascii="Book Antiqua"/>
          <w:color w:val="000000"/>
          <w:u w:color="000000"/>
          <w:rtl w:val="0"/>
          <w:lang w:val="it-IT"/>
        </w:rPr>
        <w:t>Services Lazio S.r.l.</w:t>
      </w:r>
      <w:r>
        <w:rPr>
          <w:rFonts w:ascii="Book Antiqua"/>
          <w:rtl w:val="0"/>
          <w:lang w:val="it-IT"/>
        </w:rPr>
        <w:t>), le evidenze investigative mal si conciliano con il preminente ruolo che il Cerroni continua a rivestire nell</w:t>
      </w:r>
      <w:r>
        <w:rPr>
          <w:rFonts w:hAnsi="Book Antiqua" w:hint="default"/>
          <w:rtl w:val="0"/>
          <w:lang w:val="it-IT"/>
        </w:rPr>
        <w:t>’</w:t>
      </w:r>
      <w:r>
        <w:rPr>
          <w:rFonts w:ascii="Book Antiqua"/>
          <w:rtl w:val="0"/>
          <w:lang w:val="it-IT"/>
        </w:rPr>
        <w:t>ambito delle aziende operanti nel settore ambientale, considerazione avvalorata anche dall</w:t>
      </w:r>
      <w:r>
        <w:rPr>
          <w:rFonts w:hAnsi="Book Antiqua" w:hint="default"/>
          <w:rtl w:val="0"/>
          <w:lang w:val="it-IT"/>
        </w:rPr>
        <w:t>’</w:t>
      </w:r>
      <w:r>
        <w:rPr>
          <w:rFonts w:ascii="Book Antiqua"/>
          <w:rtl w:val="0"/>
          <w:lang w:val="it-IT"/>
        </w:rPr>
        <w:t>assenza di cointeressenze nell</w:t>
      </w:r>
      <w:r>
        <w:rPr>
          <w:rFonts w:hAnsi="Book Antiqua" w:hint="default"/>
          <w:rtl w:val="0"/>
          <w:lang w:val="it-IT"/>
        </w:rPr>
        <w:t>’</w:t>
      </w:r>
      <w:r>
        <w:rPr>
          <w:rFonts w:ascii="Book Antiqua"/>
          <w:rtl w:val="0"/>
          <w:lang w:val="it-IT"/>
        </w:rPr>
        <w:t>azienda di riferimento degli impianti di Malagrotta (discarica e impianti di trattamento meccanico-biologico), vale a dire il consorzio Co.La.Ri.,  la Officine Malagrotta S.r.l. e la E. Giovi S.r.l..</w:t>
      </w:r>
    </w:p>
    <w:p>
      <w:pPr>
        <w:pStyle w:val="Normal"/>
        <w:keepNext w:val="1"/>
        <w:ind w:left="567" w:right="567" w:firstLine="0"/>
        <w:jc w:val="both"/>
        <w:rPr>
          <w:rFonts w:ascii="Book Antiqua" w:cs="Book Antiqua" w:hAnsi="Book Antiqua" w:eastAsia="Book Antiqua"/>
        </w:rPr>
      </w:pPr>
      <w:r>
        <w:rPr>
          <w:rFonts w:ascii="Book Antiqua"/>
          <w:rtl w:val="0"/>
          <w:lang w:val="it-IT"/>
        </w:rPr>
        <w:t>Partendo da questa considerazione, tenuto anche conto di quanto gi</w:t>
      </w:r>
      <w:r>
        <w:rPr>
          <w:rFonts w:hAnsi="Book Antiqua" w:hint="default"/>
          <w:rtl w:val="0"/>
          <w:lang w:val="it-IT"/>
        </w:rPr>
        <w:t xml:space="preserve">à </w:t>
      </w:r>
      <w:r>
        <w:rPr>
          <w:rFonts w:ascii="Book Antiqua"/>
          <w:rtl w:val="0"/>
          <w:lang w:val="it-IT"/>
        </w:rPr>
        <w:t xml:space="preserve">argomentato in ordine alla rinuncia </w:t>
      </w:r>
      <w:r>
        <w:rPr>
          <w:rFonts w:hAnsi="Book Antiqua" w:hint="default"/>
          <w:rtl w:val="0"/>
          <w:lang w:val="it-IT"/>
        </w:rPr>
        <w:t xml:space="preserve">– </w:t>
      </w:r>
      <w:r>
        <w:rPr>
          <w:rFonts w:ascii="Book Antiqua"/>
          <w:rtl w:val="0"/>
          <w:lang w:val="it-IT"/>
        </w:rPr>
        <w:t xml:space="preserve">da parte del Cerroni </w:t>
      </w:r>
      <w:r>
        <w:rPr>
          <w:rFonts w:hAnsi="Book Antiqua" w:hint="default"/>
          <w:rtl w:val="0"/>
          <w:lang w:val="it-IT"/>
        </w:rPr>
        <w:t xml:space="preserve">– </w:t>
      </w:r>
      <w:r>
        <w:rPr>
          <w:rFonts w:ascii="Book Antiqua"/>
          <w:rtl w:val="0"/>
          <w:lang w:val="it-IT"/>
        </w:rPr>
        <w:t>di rivestire cariche e/o avere partecipazioni all</w:t>
      </w:r>
      <w:r>
        <w:rPr>
          <w:rFonts w:hAnsi="Book Antiqua" w:hint="default"/>
          <w:rtl w:val="0"/>
          <w:lang w:val="it-IT"/>
        </w:rPr>
        <w:t>’</w:t>
      </w:r>
      <w:r>
        <w:rPr>
          <w:rFonts w:ascii="Book Antiqua"/>
          <w:rtl w:val="0"/>
          <w:lang w:val="it-IT"/>
        </w:rPr>
        <w:t xml:space="preserve">indomani della </w:t>
      </w:r>
      <w:r>
        <w:rPr>
          <w:rFonts w:ascii="Book Antiqua"/>
          <w:i w:val="1"/>
          <w:iCs w:val="1"/>
          <w:rtl w:val="0"/>
          <w:lang w:val="it-IT"/>
        </w:rPr>
        <w:t xml:space="preserve">discovery </w:t>
      </w:r>
      <w:r>
        <w:rPr>
          <w:rFonts w:ascii="Book Antiqua"/>
          <w:rtl w:val="0"/>
          <w:lang w:val="it-IT"/>
        </w:rPr>
        <w:t xml:space="preserve">del procedimento penale che lo vede coinvolto, si </w:t>
      </w:r>
      <w:r>
        <w:rPr>
          <w:rFonts w:hAnsi="Book Antiqua" w:hint="default"/>
          <w:rtl w:val="0"/>
          <w:lang w:val="it-IT"/>
        </w:rPr>
        <w:t xml:space="preserve">è </w:t>
      </w:r>
      <w:r>
        <w:rPr>
          <w:rFonts w:ascii="Book Antiqua"/>
          <w:rtl w:val="0"/>
          <w:lang w:val="it-IT"/>
        </w:rPr>
        <w:t xml:space="preserve">ritenuto di approfondire la composizione degli </w:t>
      </w:r>
      <w:r>
        <w:rPr>
          <w:rFonts w:ascii="Book Antiqua"/>
          <w:i w:val="1"/>
          <w:iCs w:val="1"/>
          <w:rtl w:val="0"/>
          <w:lang w:val="it-IT"/>
        </w:rPr>
        <w:t xml:space="preserve">assets </w:t>
      </w:r>
      <w:r>
        <w:rPr>
          <w:rFonts w:ascii="Book Antiqua"/>
          <w:rtl w:val="0"/>
          <w:lang w:val="it-IT"/>
        </w:rPr>
        <w:t>delle principali</w:t>
      </w:r>
      <w:r>
        <w:rPr>
          <w:rFonts w:ascii="Book Antiqua"/>
          <w:i w:val="1"/>
          <w:iCs w:val="1"/>
          <w:rtl w:val="0"/>
          <w:lang w:val="it-IT"/>
        </w:rPr>
        <w:t xml:space="preserve"> </w:t>
      </w:r>
      <w:r>
        <w:rPr>
          <w:rFonts w:ascii="Book Antiqua"/>
          <w:rtl w:val="0"/>
          <w:lang w:val="it-IT"/>
        </w:rPr>
        <w:t>aziende e le connesse operazioni di cessione di quote societarie.</w:t>
      </w:r>
    </w:p>
    <w:p>
      <w:pPr>
        <w:pStyle w:val="Normal"/>
        <w:keepNext w:val="1"/>
        <w:ind w:left="567" w:right="567" w:firstLine="0"/>
        <w:jc w:val="both"/>
        <w:rPr>
          <w:rFonts w:ascii="Book Antiqua" w:cs="Book Antiqua" w:hAnsi="Book Antiqua" w:eastAsia="Book Antiqua"/>
        </w:rPr>
      </w:pPr>
      <w:r>
        <w:rPr>
          <w:rFonts w:ascii="Book Antiqua"/>
          <w:rtl w:val="0"/>
          <w:lang w:val="it-IT"/>
        </w:rPr>
        <w:t xml:space="preserve">In tale contesto, sono emerse le figure di Donatella e Monica Cerroni, figlie di Manlio, sulle quali si </w:t>
      </w:r>
      <w:r>
        <w:rPr>
          <w:rFonts w:hAnsi="Book Antiqua" w:hint="default"/>
          <w:rtl w:val="0"/>
          <w:lang w:val="it-IT"/>
        </w:rPr>
        <w:t xml:space="preserve">è </w:t>
      </w:r>
      <w:r>
        <w:rPr>
          <w:rFonts w:ascii="Book Antiqua"/>
          <w:rtl w:val="0"/>
          <w:lang w:val="it-IT"/>
        </w:rPr>
        <w:t>successivamente concentrata l</w:t>
      </w:r>
      <w:r>
        <w:rPr>
          <w:rFonts w:hAnsi="Book Antiqua" w:hint="default"/>
          <w:rtl w:val="0"/>
          <w:lang w:val="it-IT"/>
        </w:rPr>
        <w:t>’</w:t>
      </w:r>
      <w:r>
        <w:rPr>
          <w:rFonts w:ascii="Book Antiqua"/>
          <w:rtl w:val="0"/>
          <w:lang w:val="it-IT"/>
        </w:rPr>
        <w:t>attivit</w:t>
      </w:r>
      <w:r>
        <w:rPr>
          <w:rFonts w:hAnsi="Book Antiqua" w:hint="default"/>
          <w:rtl w:val="0"/>
          <w:lang w:val="it-IT"/>
        </w:rPr>
        <w:t xml:space="preserve">à </w:t>
      </w:r>
      <w:r>
        <w:rPr>
          <w:rFonts w:ascii="Book Antiqua"/>
          <w:rtl w:val="0"/>
          <w:lang w:val="it-IT"/>
        </w:rPr>
        <w:t>di analisi.</w:t>
      </w:r>
    </w:p>
    <w:p>
      <w:pPr>
        <w:pStyle w:val="Normal"/>
        <w:keepNext w:val="1"/>
        <w:ind w:left="567" w:right="567" w:firstLine="0"/>
        <w:jc w:val="both"/>
        <w:rPr>
          <w:rFonts w:ascii="Book Antiqua" w:cs="Book Antiqua" w:hAnsi="Book Antiqua" w:eastAsia="Book Antiqua"/>
        </w:rPr>
      </w:pPr>
    </w:p>
    <w:p>
      <w:pPr>
        <w:pStyle w:val="Normal"/>
        <w:keepNext w:val="1"/>
        <w:ind w:left="567" w:right="567" w:firstLine="0"/>
        <w:jc w:val="both"/>
        <w:rPr>
          <w:rFonts w:ascii="Book Antiqua" w:cs="Book Antiqua" w:hAnsi="Book Antiqua" w:eastAsia="Book Antiqua"/>
          <w:i w:val="1"/>
          <w:iCs w:val="1"/>
          <w:sz w:val="28"/>
          <w:szCs w:val="28"/>
        </w:rPr>
      </w:pPr>
      <w:r>
        <w:rPr>
          <w:rFonts w:ascii="Book Antiqua"/>
          <w:i w:val="1"/>
          <w:iCs w:val="1"/>
          <w:sz w:val="28"/>
          <w:szCs w:val="28"/>
          <w:rtl w:val="0"/>
          <w:lang w:val="it-IT"/>
        </w:rPr>
        <w:t>Le imprese riconducibili direttamente a Donatella Cerroni e Monica Cerroni</w:t>
      </w:r>
    </w:p>
    <w:p>
      <w:pPr>
        <w:pStyle w:val="Normal"/>
        <w:keepNext w:val="1"/>
        <w:ind w:left="1276" w:right="567" w:hanging="709"/>
        <w:jc w:val="both"/>
        <w:rPr>
          <w:rFonts w:ascii="Book Antiqua" w:cs="Book Antiqua" w:hAnsi="Book Antiqua" w:eastAsia="Book Antiqua"/>
          <w:sz w:val="28"/>
          <w:szCs w:val="28"/>
        </w:rPr>
      </w:pPr>
    </w:p>
    <w:p>
      <w:pPr>
        <w:pStyle w:val="Normal"/>
        <w:keepNext w:val="1"/>
        <w:ind w:left="567" w:right="567" w:firstLine="0"/>
        <w:jc w:val="both"/>
        <w:rPr>
          <w:rFonts w:ascii="Book Antiqua" w:cs="Book Antiqua" w:hAnsi="Book Antiqua" w:eastAsia="Book Antiqua"/>
        </w:rPr>
      </w:pPr>
      <w:r>
        <w:rPr>
          <w:rFonts w:ascii="Book Antiqua"/>
          <w:rtl w:val="0"/>
          <w:lang w:val="it-IT"/>
        </w:rPr>
        <w:t xml:space="preserve">La prima traccia del coinvolgimento di Donatella e Monica Cerroni nel controllo e nella gestione delle imprese di famiglia, </w:t>
      </w:r>
      <w:r>
        <w:rPr>
          <w:rFonts w:hAnsi="Book Antiqua" w:hint="default"/>
          <w:rtl w:val="0"/>
          <w:lang w:val="it-IT"/>
        </w:rPr>
        <w:t xml:space="preserve">è </w:t>
      </w:r>
      <w:r>
        <w:rPr>
          <w:rFonts w:ascii="Book Antiqua"/>
          <w:rtl w:val="0"/>
          <w:lang w:val="it-IT"/>
        </w:rPr>
        <w:t xml:space="preserve">rinvenibile </w:t>
      </w:r>
      <w:r>
        <w:rPr>
          <w:rFonts w:hAnsi="Book Antiqua" w:hint="default"/>
          <w:rtl w:val="0"/>
          <w:lang w:val="it-IT"/>
        </w:rPr>
        <w:t xml:space="preserve">– </w:t>
      </w:r>
      <w:r>
        <w:rPr>
          <w:rFonts w:ascii="Book Antiqua"/>
          <w:rtl w:val="0"/>
          <w:lang w:val="it-IT"/>
        </w:rPr>
        <w:t>come gi</w:t>
      </w:r>
      <w:r>
        <w:rPr>
          <w:rFonts w:hAnsi="Book Antiqua" w:hint="default"/>
          <w:rtl w:val="0"/>
          <w:lang w:val="it-IT"/>
        </w:rPr>
        <w:t xml:space="preserve">à </w:t>
      </w:r>
      <w:r>
        <w:rPr>
          <w:rFonts w:ascii="Book Antiqua"/>
          <w:rtl w:val="0"/>
          <w:lang w:val="it-IT"/>
        </w:rPr>
        <w:t>accennato - nel lontano 1993</w:t>
      </w:r>
      <w:r>
        <w:rPr>
          <w:rFonts w:ascii="Book Antiqua" w:cs="Book Antiqua" w:hAnsi="Book Antiqua" w:eastAsia="Book Antiqua"/>
          <w:vertAlign w:val="superscript"/>
          <w:rtl w:val="0"/>
        </w:rPr>
        <w:footnoteReference w:id="203"/>
      </w:r>
      <w:r>
        <w:rPr>
          <w:rFonts w:ascii="Book Antiqua"/>
          <w:rtl w:val="0"/>
          <w:lang w:val="it-IT"/>
        </w:rPr>
        <w:t xml:space="preserve">: le menzionate figlie del Cerroni, infatti, compartecipano </w:t>
      </w:r>
      <w:r>
        <w:rPr>
          <w:rFonts w:hAnsi="Book Antiqua" w:hint="default"/>
          <w:rtl w:val="0"/>
          <w:lang w:val="it-IT"/>
        </w:rPr>
        <w:t xml:space="preserve">– </w:t>
      </w:r>
      <w:r>
        <w:rPr>
          <w:rFonts w:ascii="Book Antiqua"/>
          <w:rtl w:val="0"/>
          <w:lang w:val="it-IT"/>
        </w:rPr>
        <w:t xml:space="preserve">con quote alla pari </w:t>
      </w:r>
      <w:r>
        <w:rPr>
          <w:rFonts w:hAnsi="Book Antiqua" w:hint="default"/>
          <w:rtl w:val="0"/>
          <w:lang w:val="it-IT"/>
        </w:rPr>
        <w:t xml:space="preserve">– </w:t>
      </w:r>
      <w:r>
        <w:rPr>
          <w:rFonts w:ascii="Book Antiqua"/>
          <w:rtl w:val="0"/>
          <w:lang w:val="it-IT"/>
        </w:rPr>
        <w:t>con il padre Manlio e la madre Becchetti Maria Luisa</w:t>
      </w:r>
      <w:r>
        <w:rPr>
          <w:rFonts w:ascii="Book Antiqua" w:cs="Book Antiqua" w:hAnsi="Book Antiqua" w:eastAsia="Book Antiqua"/>
          <w:vertAlign w:val="superscript"/>
          <w:rtl w:val="0"/>
        </w:rPr>
        <w:footnoteReference w:id="204"/>
      </w:r>
      <w:r>
        <w:rPr>
          <w:rFonts w:ascii="Book Antiqua"/>
          <w:rtl w:val="0"/>
          <w:lang w:val="it-IT"/>
        </w:rPr>
        <w:t xml:space="preserve"> nella societ</w:t>
      </w:r>
      <w:r>
        <w:rPr>
          <w:rFonts w:hAnsi="Book Antiqua" w:hint="default"/>
          <w:rtl w:val="0"/>
          <w:lang w:val="it-IT"/>
        </w:rPr>
        <w:t>à</w:t>
      </w:r>
      <w:r>
        <w:rPr>
          <w:rFonts w:ascii="Book Antiqua"/>
          <w:rtl w:val="0"/>
          <w:lang w:val="it-IT"/>
        </w:rPr>
        <w:t xml:space="preserve"> Laurentina Bonifiche S.r.l.. La situazione </w:t>
      </w:r>
      <w:r>
        <w:rPr>
          <w:rFonts w:hAnsi="Book Antiqua" w:hint="default"/>
          <w:rtl w:val="0"/>
          <w:lang w:val="it-IT"/>
        </w:rPr>
        <w:t xml:space="preserve">è </w:t>
      </w:r>
      <w:r>
        <w:rPr>
          <w:rFonts w:ascii="Book Antiqua"/>
          <w:rtl w:val="0"/>
          <w:lang w:val="it-IT"/>
        </w:rPr>
        <w:t>sintetizzata nel grafico seguente.</w:t>
      </w:r>
    </w:p>
    <w:p>
      <w:pPr>
        <w:pStyle w:val="Normal"/>
        <w:keepNext w:val="1"/>
        <w:ind w:left="567" w:right="567" w:firstLine="0"/>
        <w:jc w:val="both"/>
        <w:rPr>
          <w:rFonts w:ascii="Book Antiqua" w:cs="Book Antiqua" w:hAnsi="Book Antiqua" w:eastAsia="Book Antiqua"/>
        </w:rPr>
      </w:pPr>
    </w:p>
    <w:p>
      <w:pPr>
        <w:pStyle w:val="Normal"/>
        <w:keepNext w:val="1"/>
        <w:ind w:left="1701" w:right="566" w:hanging="1134"/>
        <w:rPr>
          <w:rFonts w:ascii="Book Antiqua" w:cs="Book Antiqua" w:hAnsi="Book Antiqua" w:eastAsia="Book Antiqua"/>
          <w:i w:val="1"/>
          <w:iCs w:val="1"/>
          <w:sz w:val="22"/>
          <w:szCs w:val="22"/>
        </w:rPr>
      </w:pPr>
      <w:r>
        <w:rPr>
          <w:rFonts w:ascii="Book Antiqua"/>
          <w:i w:val="1"/>
          <w:iCs w:val="1"/>
          <w:sz w:val="22"/>
          <w:szCs w:val="22"/>
          <w:rtl w:val="0"/>
          <w:lang w:val="it-IT"/>
        </w:rPr>
        <w:t xml:space="preserve">Grafico 2 </w:t>
      </w:r>
      <w:r>
        <w:rPr>
          <w:rFonts w:hAnsi="Book Antiqua" w:hint="default"/>
          <w:i w:val="1"/>
          <w:iCs w:val="1"/>
          <w:sz w:val="22"/>
          <w:szCs w:val="22"/>
          <w:rtl w:val="0"/>
          <w:lang w:val="it-IT"/>
        </w:rPr>
        <w:t xml:space="preserve">– </w:t>
      </w:r>
      <w:r>
        <w:rPr>
          <w:rFonts w:ascii="Book Antiqua"/>
          <w:i w:val="1"/>
          <w:iCs w:val="1"/>
          <w:sz w:val="22"/>
          <w:szCs w:val="22"/>
          <w:rtl w:val="0"/>
          <w:lang w:val="it-IT"/>
        </w:rPr>
        <w:t>Assetto societario alla data del 31/12/1993 della SOCIETA</w:t>
      </w:r>
      <w:r>
        <w:rPr>
          <w:rFonts w:hAnsi="Book Antiqua" w:hint="default"/>
          <w:i w:val="1"/>
          <w:iCs w:val="1"/>
          <w:sz w:val="22"/>
          <w:szCs w:val="22"/>
          <w:rtl w:val="0"/>
          <w:lang w:val="it-IT"/>
        </w:rPr>
        <w:t xml:space="preserve">’ </w:t>
      </w:r>
      <w:r>
        <w:rPr>
          <w:rFonts w:ascii="Book Antiqua"/>
          <w:i w:val="1"/>
          <w:iCs w:val="1"/>
          <w:sz w:val="22"/>
          <w:szCs w:val="22"/>
          <w:rtl w:val="0"/>
          <w:lang w:val="it-IT"/>
        </w:rPr>
        <w:t>LAURENTINA BONIFICHE S.r.l.</w:t>
      </w:r>
    </w:p>
    <w:p>
      <w:pPr>
        <w:pStyle w:val="Normal"/>
        <w:keepNext w:val="1"/>
        <w:ind w:left="567" w:right="567" w:firstLine="0"/>
        <w:jc w:val="both"/>
        <w:rPr>
          <w:rFonts w:ascii="Book Antiqua" w:cs="Book Antiqua" w:hAnsi="Book Antiqua" w:eastAsia="Book Antiqua"/>
        </w:rPr>
      </w:pPr>
    </w:p>
    <w:p>
      <w:pPr>
        <w:pStyle w:val="Normal"/>
        <w:keepNext w:val="1"/>
        <w:jc w:val="both"/>
        <w:rPr>
          <w:rFonts w:ascii="Book Antiqua" w:cs="Book Antiqua" w:hAnsi="Book Antiqua" w:eastAsia="Book Antiqua"/>
        </w:rPr>
      </w:pPr>
      <w:r>
        <w:rPr>
          <w:rFonts w:ascii="Book Antiqua" w:cs="Book Antiqua" w:hAnsi="Book Antiqua" w:eastAsia="Book Antiqua"/>
          <w:rtl w:val="0"/>
        </w:rPr>
        <w:drawing>
          <wp:inline distT="0" distB="0" distL="0" distR="0">
            <wp:extent cx="6203950" cy="4127500"/>
            <wp:effectExtent l="0" t="0" r="0" b="0"/>
            <wp:docPr id="1073741870" name="officeArt object" descr="GRAFICO 2 - LAURENTINA BONIFICHE"/>
            <wp:cNvGraphicFramePr/>
            <a:graphic xmlns:a="http://schemas.openxmlformats.org/drawingml/2006/main">
              <a:graphicData uri="http://schemas.openxmlformats.org/drawingml/2006/picture">
                <pic:pic xmlns:pic="http://schemas.openxmlformats.org/drawingml/2006/picture">
                  <pic:nvPicPr>
                    <pic:cNvPr id="1073741870" name="image44.jpg" descr="GRAFICO 2 - LAURENTINA BONIFICHE"/>
                    <pic:cNvPicPr/>
                  </pic:nvPicPr>
                  <pic:blipFill>
                    <a:blip r:embed="rId54">
                      <a:extLst/>
                    </a:blip>
                    <a:stretch>
                      <a:fillRect/>
                    </a:stretch>
                  </pic:blipFill>
                  <pic:spPr>
                    <a:xfrm>
                      <a:off x="0" y="0"/>
                      <a:ext cx="6203950" cy="4127500"/>
                    </a:xfrm>
                    <a:prstGeom prst="rect">
                      <a:avLst/>
                    </a:prstGeom>
                    <a:ln w="6350" cap="flat">
                      <a:solidFill>
                        <a:srgbClr val="000000"/>
                      </a:solidFill>
                      <a:prstDash val="solid"/>
                      <a:miter lim="800000"/>
                    </a:ln>
                    <a:effectLst/>
                  </pic:spPr>
                </pic:pic>
              </a:graphicData>
            </a:graphic>
          </wp:inline>
        </w:drawing>
      </w:r>
    </w:p>
    <w:p>
      <w:pPr>
        <w:pStyle w:val="Normal"/>
        <w:keepNext w:val="1"/>
        <w:ind w:left="567" w:right="567" w:firstLine="0"/>
        <w:jc w:val="both"/>
        <w:rPr>
          <w:rFonts w:ascii="Book Antiqua" w:cs="Book Antiqua" w:hAnsi="Book Antiqua" w:eastAsia="Book Antiqua"/>
        </w:rPr>
      </w:pPr>
    </w:p>
    <w:p>
      <w:pPr>
        <w:pStyle w:val="Normal"/>
        <w:keepNext w:val="1"/>
        <w:ind w:left="567" w:right="567" w:firstLine="0"/>
        <w:jc w:val="both"/>
        <w:rPr>
          <w:rFonts w:ascii="Book Antiqua" w:cs="Book Antiqua" w:hAnsi="Book Antiqua" w:eastAsia="Book Antiqua"/>
        </w:rPr>
      </w:pPr>
    </w:p>
    <w:p>
      <w:pPr>
        <w:pStyle w:val="Normal"/>
        <w:keepNext w:val="1"/>
        <w:ind w:left="567" w:right="567" w:firstLine="0"/>
        <w:jc w:val="both"/>
        <w:rPr>
          <w:rFonts w:ascii="Book Antiqua" w:cs="Book Antiqua" w:hAnsi="Book Antiqua" w:eastAsia="Book Antiqua"/>
        </w:rPr>
      </w:pPr>
      <w:r>
        <w:rPr>
          <w:rFonts w:ascii="Book Antiqua"/>
          <w:rtl w:val="0"/>
          <w:lang w:val="it-IT"/>
        </w:rPr>
        <w:t>Il graduale, ma costante, coinvolgimento di Donatella e Monica Cerroni nella titolarit</w:t>
      </w:r>
      <w:r>
        <w:rPr>
          <w:rFonts w:hAnsi="Book Antiqua" w:hint="default"/>
          <w:rtl w:val="0"/>
          <w:lang w:val="it-IT"/>
        </w:rPr>
        <w:t>à</w:t>
      </w:r>
      <w:r>
        <w:rPr>
          <w:rFonts w:ascii="Book Antiqua"/>
          <w:rtl w:val="0"/>
          <w:lang w:val="it-IT"/>
        </w:rPr>
        <w:t xml:space="preserve">, almeno formale, del patrimonio societario creato dal padre Manlio </w:t>
      </w:r>
      <w:r>
        <w:rPr>
          <w:rFonts w:hAnsi="Book Antiqua" w:hint="default"/>
          <w:rtl w:val="0"/>
          <w:lang w:val="it-IT"/>
        </w:rPr>
        <w:t xml:space="preserve">è </w:t>
      </w:r>
      <w:r>
        <w:rPr>
          <w:rFonts w:ascii="Book Antiqua"/>
          <w:rtl w:val="0"/>
          <w:lang w:val="it-IT"/>
        </w:rPr>
        <w:t xml:space="preserve">testimoniato da una serie di operazioni di cessione di partecipazioni che si sono susseguite nel tempo. </w:t>
      </w:r>
    </w:p>
    <w:p>
      <w:pPr>
        <w:pStyle w:val="Normal"/>
        <w:keepNext w:val="1"/>
        <w:ind w:left="567" w:right="567" w:firstLine="0"/>
        <w:jc w:val="both"/>
        <w:rPr>
          <w:rFonts w:ascii="Book Antiqua" w:cs="Book Antiqua" w:hAnsi="Book Antiqua" w:eastAsia="Book Antiqua"/>
        </w:rPr>
      </w:pPr>
      <w:r>
        <w:rPr>
          <w:rFonts w:ascii="Book Antiqua"/>
          <w:rtl w:val="0"/>
          <w:lang w:val="it-IT"/>
        </w:rPr>
        <w:t>In particolare, appaiono significativi i seguenti atti di compravendita di partecipazioni avvenuti a partire dall</w:t>
      </w:r>
      <w:r>
        <w:rPr>
          <w:rFonts w:hAnsi="Book Antiqua" w:hint="default"/>
          <w:rtl w:val="0"/>
          <w:lang w:val="it-IT"/>
        </w:rPr>
        <w:t>’</w:t>
      </w:r>
      <w:r>
        <w:rPr>
          <w:rFonts w:ascii="Book Antiqua"/>
          <w:rtl w:val="0"/>
          <w:lang w:val="it-IT"/>
        </w:rPr>
        <w:t>arresto di Manlio Cerroni in cui lo stesso:</w:t>
      </w:r>
    </w:p>
    <w:p>
      <w:pPr>
        <w:pStyle w:val="Normal"/>
        <w:keepNext w:val="1"/>
        <w:numPr>
          <w:ilvl w:val="0"/>
          <w:numId w:val="124"/>
        </w:numPr>
        <w:tabs>
          <w:tab w:val="num" w:pos="851"/>
          <w:tab w:val="clear" w:pos="0"/>
        </w:tabs>
        <w:bidi w:val="0"/>
        <w:ind w:left="851" w:right="567" w:hanging="284"/>
        <w:jc w:val="both"/>
        <w:rPr>
          <w:rFonts w:ascii="Book Antiqua" w:cs="Book Antiqua" w:hAnsi="Book Antiqua" w:eastAsia="Book Antiqua"/>
          <w:position w:val="0"/>
          <w:sz w:val="24"/>
          <w:szCs w:val="24"/>
          <w:rtl w:val="0"/>
        </w:rPr>
      </w:pPr>
      <w:r>
        <w:rPr>
          <w:rFonts w:ascii="Book Antiqua"/>
          <w:rtl w:val="0"/>
          <w:lang w:val="it-IT"/>
        </w:rPr>
        <w:t>in data 15 luglio 2014, con atto del notaio Cerasi di Roma (repertorio n. 12243 raccolta n. 6540), ha ceduto l'intera sua quota di partecipazione - per un valore nominale di euro 780.000,00, pari al 50 per cento del capitale sociale -  della societ</w:t>
      </w:r>
      <w:r>
        <w:rPr>
          <w:rFonts w:hAnsi="Book Antiqua" w:hint="default"/>
          <w:rtl w:val="0"/>
          <w:lang w:val="it-IT"/>
        </w:rPr>
        <w:t xml:space="preserve">à </w:t>
      </w:r>
      <w:r>
        <w:rPr>
          <w:rFonts w:ascii="Book Antiqua"/>
          <w:rtl w:val="0"/>
          <w:lang w:val="it-IT"/>
        </w:rPr>
        <w:t>"E. Giovi Srl" alle figlie Monica e Donatella, ciascuna per una quota pari a nominali 390.000,00;</w:t>
      </w:r>
    </w:p>
    <w:p>
      <w:pPr>
        <w:pStyle w:val="Normal"/>
        <w:keepNext w:val="1"/>
        <w:numPr>
          <w:ilvl w:val="0"/>
          <w:numId w:val="125"/>
        </w:numPr>
        <w:tabs>
          <w:tab w:val="num" w:pos="851"/>
          <w:tab w:val="clear" w:pos="0"/>
        </w:tabs>
        <w:bidi w:val="0"/>
        <w:ind w:left="851" w:right="567" w:hanging="284"/>
        <w:jc w:val="both"/>
        <w:rPr>
          <w:rFonts w:ascii="Book Antiqua" w:cs="Book Antiqua" w:hAnsi="Book Antiqua" w:eastAsia="Book Antiqua"/>
          <w:position w:val="0"/>
          <w:sz w:val="24"/>
          <w:szCs w:val="24"/>
          <w:rtl w:val="0"/>
        </w:rPr>
      </w:pPr>
      <w:r>
        <w:rPr>
          <w:rFonts w:ascii="Book Antiqua"/>
          <w:rtl w:val="0"/>
          <w:lang w:val="it-IT"/>
        </w:rPr>
        <w:t>in data 14 luglio 2015, con atto del notaio Cerasi di Roma (repertorio n. 12933 raccolta n. 6989), ha ceduto l'intera sua quota di partecipazione - per un valore nominale di euro 13.000,00, pari al 10 per cento del capitale sociale -  della societ</w:t>
      </w:r>
      <w:r>
        <w:rPr>
          <w:rFonts w:hAnsi="Book Antiqua" w:hint="default"/>
          <w:rtl w:val="0"/>
          <w:lang w:val="it-IT"/>
        </w:rPr>
        <w:t xml:space="preserve">à </w:t>
      </w:r>
      <w:r>
        <w:rPr>
          <w:rFonts w:ascii="Book Antiqua"/>
          <w:rtl w:val="0"/>
          <w:lang w:val="it-IT"/>
        </w:rPr>
        <w:t>"Impresa A. Cecchini &amp; C. Srl" alle figlie Monica e Donatella, ciascuna per una quota pari a nominali 6.500,00;</w:t>
      </w:r>
    </w:p>
    <w:p>
      <w:pPr>
        <w:pStyle w:val="Normal"/>
        <w:keepNext w:val="1"/>
        <w:numPr>
          <w:ilvl w:val="0"/>
          <w:numId w:val="126"/>
        </w:numPr>
        <w:tabs>
          <w:tab w:val="num" w:pos="851"/>
          <w:tab w:val="clear" w:pos="0"/>
        </w:tabs>
        <w:bidi w:val="0"/>
        <w:ind w:left="851" w:right="567" w:hanging="284"/>
        <w:jc w:val="both"/>
        <w:rPr>
          <w:rFonts w:ascii="Book Antiqua" w:cs="Book Antiqua" w:hAnsi="Book Antiqua" w:eastAsia="Book Antiqua"/>
          <w:position w:val="0"/>
          <w:sz w:val="24"/>
          <w:szCs w:val="24"/>
          <w:rtl w:val="0"/>
        </w:rPr>
      </w:pPr>
      <w:r>
        <w:rPr>
          <w:rFonts w:ascii="Book Antiqua"/>
          <w:rtl w:val="0"/>
          <w:lang w:val="it-IT"/>
        </w:rPr>
        <w:t>in data 5 dicembre 2016, con atto del notaio Cerasi di Roma (repertorio n. 14009 raccolta n. 7695), ha ceduto tutte le azione da lui stesso detenute - per un valore nominale di euro 330.000,00, pari al 100 per cento del capitale sociale -  della societ</w:t>
      </w:r>
      <w:r>
        <w:rPr>
          <w:rFonts w:hAnsi="Book Antiqua" w:hint="default"/>
          <w:rtl w:val="0"/>
          <w:lang w:val="it-IT"/>
        </w:rPr>
        <w:t xml:space="preserve">à </w:t>
      </w:r>
      <w:r>
        <w:rPr>
          <w:rFonts w:ascii="Book Antiqua"/>
          <w:rtl w:val="0"/>
          <w:lang w:val="it-IT"/>
        </w:rPr>
        <w:t>"Sorain Cecchini S.p.A." alle figlie Monica e Donatella, ciascuna per una quota pari a nominali 115.000,00;</w:t>
      </w:r>
    </w:p>
    <w:p>
      <w:pPr>
        <w:pStyle w:val="Normal"/>
        <w:keepNext w:val="1"/>
        <w:numPr>
          <w:ilvl w:val="0"/>
          <w:numId w:val="127"/>
        </w:numPr>
        <w:tabs>
          <w:tab w:val="num" w:pos="851"/>
          <w:tab w:val="clear" w:pos="0"/>
        </w:tabs>
        <w:bidi w:val="0"/>
        <w:ind w:left="851" w:right="567" w:hanging="284"/>
        <w:jc w:val="both"/>
        <w:rPr>
          <w:rFonts w:ascii="Book Antiqua" w:cs="Book Antiqua" w:hAnsi="Book Antiqua" w:eastAsia="Book Antiqua"/>
          <w:position w:val="0"/>
          <w:sz w:val="24"/>
          <w:szCs w:val="24"/>
          <w:rtl w:val="0"/>
        </w:rPr>
      </w:pPr>
      <w:r>
        <w:rPr>
          <w:rFonts w:ascii="Book Antiqua"/>
          <w:rtl w:val="0"/>
          <w:lang w:val="it-IT"/>
        </w:rPr>
        <w:t>in data 13 marzo 2017, con atto del notaio Cerasi di Roma (repertorio n. 14192 raccolta n. 7816), ha ceduto l'intera sua quota di partecipazione - per un valore nominale di euro 24.960,00, pari al 50 per cento del capitale sociale -  della societ</w:t>
      </w:r>
      <w:r>
        <w:rPr>
          <w:rFonts w:hAnsi="Book Antiqua" w:hint="default"/>
          <w:rtl w:val="0"/>
          <w:lang w:val="it-IT"/>
        </w:rPr>
        <w:t xml:space="preserve">à </w:t>
      </w:r>
      <w:r>
        <w:rPr>
          <w:rFonts w:ascii="Book Antiqua"/>
          <w:rtl w:val="0"/>
          <w:lang w:val="it-IT"/>
        </w:rPr>
        <w:t>"P. Giovi Srl " alle figlie Monica e Donatella, ciascuna per una quota pari a nominali 12.480,00.</w:t>
      </w:r>
    </w:p>
    <w:p>
      <w:pPr>
        <w:pStyle w:val="Normal"/>
        <w:keepNext w:val="1"/>
        <w:ind w:left="567" w:right="567" w:firstLine="0"/>
        <w:jc w:val="both"/>
        <w:rPr>
          <w:rFonts w:ascii="Book Antiqua" w:cs="Book Antiqua" w:hAnsi="Book Antiqua" w:eastAsia="Book Antiqua"/>
        </w:rPr>
      </w:pPr>
      <w:r>
        <w:rPr>
          <w:rFonts w:ascii="Book Antiqua"/>
          <w:rtl w:val="0"/>
          <w:lang w:val="it-IT"/>
        </w:rPr>
        <w:t>Allo stato, Donatella Cerroni e Monica Cerroni vantano una serie di cointeressenze aziendali, per lo pi</w:t>
      </w:r>
      <w:r>
        <w:rPr>
          <w:rFonts w:hAnsi="Book Antiqua" w:hint="default"/>
          <w:rtl w:val="0"/>
          <w:lang w:val="it-IT"/>
        </w:rPr>
        <w:t xml:space="preserve">ù </w:t>
      </w:r>
      <w:r>
        <w:rPr>
          <w:rFonts w:ascii="Book Antiqua"/>
          <w:rtl w:val="0"/>
          <w:lang w:val="it-IT"/>
        </w:rPr>
        <w:t xml:space="preserve">derivanti dal padre Manlio Cerroni, opportunamente riepilogate nella tabella che segue, ove sono  riportati i soggetti economici </w:t>
      </w:r>
      <w:r>
        <w:rPr>
          <w:rFonts w:hAnsi="Book Antiqua" w:hint="default"/>
          <w:rtl w:val="0"/>
          <w:lang w:val="it-IT"/>
        </w:rPr>
        <w:t xml:space="preserve">– </w:t>
      </w:r>
      <w:r>
        <w:rPr>
          <w:rFonts w:ascii="Book Antiqua"/>
          <w:rtl w:val="0"/>
          <w:lang w:val="it-IT"/>
        </w:rPr>
        <w:t>elencati in rigoroso ordine alfabetico - con indicazione, per ciascuno di essi, delle generalit</w:t>
      </w:r>
      <w:r>
        <w:rPr>
          <w:rFonts w:hAnsi="Book Antiqua" w:hint="default"/>
          <w:rtl w:val="0"/>
          <w:lang w:val="it-IT"/>
        </w:rPr>
        <w:t xml:space="preserve">à </w:t>
      </w:r>
      <w:r>
        <w:rPr>
          <w:rFonts w:ascii="Book Antiqua"/>
          <w:rtl w:val="0"/>
          <w:lang w:val="it-IT"/>
        </w:rPr>
        <w:t>(denominazione, codice fiscale, attivit</w:t>
      </w:r>
      <w:r>
        <w:rPr>
          <w:rFonts w:hAnsi="Book Antiqua" w:hint="default"/>
          <w:rtl w:val="0"/>
          <w:lang w:val="it-IT"/>
        </w:rPr>
        <w:t xml:space="preserve">à </w:t>
      </w:r>
      <w:r>
        <w:rPr>
          <w:rFonts w:ascii="Book Antiqua"/>
          <w:rtl w:val="0"/>
          <w:lang w:val="it-IT"/>
        </w:rPr>
        <w:t>prevalente esercitata, data di inizio ed eventuale fine di svolgimento dell</w:t>
      </w:r>
      <w:r>
        <w:rPr>
          <w:rFonts w:hAnsi="Book Antiqua" w:hint="default"/>
          <w:rtl w:val="0"/>
          <w:lang w:val="it-IT"/>
        </w:rPr>
        <w:t>’</w:t>
      </w:r>
      <w:r>
        <w:rPr>
          <w:rFonts w:ascii="Book Antiqua"/>
          <w:rtl w:val="0"/>
          <w:lang w:val="it-IT"/>
        </w:rPr>
        <w:t>attivit</w:t>
      </w:r>
      <w:r>
        <w:rPr>
          <w:rFonts w:hAnsi="Book Antiqua" w:hint="default"/>
          <w:rtl w:val="0"/>
          <w:lang w:val="it-IT"/>
        </w:rPr>
        <w:t>à</w:t>
      </w:r>
      <w:r>
        <w:rPr>
          <w:rFonts w:ascii="Book Antiqua"/>
          <w:rtl w:val="0"/>
          <w:lang w:val="it-IT"/>
        </w:rPr>
        <w:t>), nonch</w:t>
      </w:r>
      <w:r>
        <w:rPr>
          <w:rFonts w:hAnsi="Book Antiqua" w:hint="default"/>
          <w:rtl w:val="0"/>
          <w:lang w:val="it-IT"/>
        </w:rPr>
        <w:t xml:space="preserve">é </w:t>
      </w:r>
      <w:r>
        <w:rPr>
          <w:rFonts w:ascii="Book Antiqua"/>
          <w:rtl w:val="0"/>
          <w:lang w:val="it-IT"/>
        </w:rPr>
        <w:t>del tipo e della durata di rapporto di connessione con le sorelle Cerroni.</w:t>
      </w:r>
    </w:p>
    <w:p>
      <w:pPr>
        <w:pStyle w:val="Normal"/>
        <w:keepNext w:val="1"/>
        <w:ind w:left="567" w:right="567" w:firstLine="0"/>
        <w:jc w:val="both"/>
        <w:rPr>
          <w:rFonts w:ascii="Book Antiqua" w:cs="Book Antiqua" w:hAnsi="Book Antiqua" w:eastAsia="Book Antiqua"/>
        </w:rPr>
      </w:pPr>
    </w:p>
    <w:p>
      <w:pPr>
        <w:pStyle w:val="Normal"/>
        <w:keepNext w:val="1"/>
        <w:ind w:left="1418" w:right="567" w:hanging="851"/>
        <w:rPr>
          <w:rFonts w:ascii="Book Antiqua" w:cs="Book Antiqua" w:hAnsi="Book Antiqua" w:eastAsia="Book Antiqua"/>
          <w:i w:val="1"/>
          <w:iCs w:val="1"/>
          <w:sz w:val="22"/>
          <w:szCs w:val="22"/>
        </w:rPr>
      </w:pPr>
      <w:r>
        <w:rPr>
          <w:rFonts w:ascii="Book Antiqua"/>
          <w:i w:val="1"/>
          <w:iCs w:val="1"/>
          <w:sz w:val="22"/>
          <w:szCs w:val="22"/>
          <w:rtl w:val="0"/>
          <w:lang w:val="it-IT"/>
        </w:rPr>
        <w:t xml:space="preserve">Tab. 3 </w:t>
      </w:r>
      <w:r>
        <w:rPr>
          <w:rFonts w:hAnsi="Book Antiqua" w:hint="default"/>
          <w:i w:val="1"/>
          <w:iCs w:val="1"/>
          <w:sz w:val="22"/>
          <w:szCs w:val="22"/>
          <w:rtl w:val="0"/>
          <w:lang w:val="it-IT"/>
        </w:rPr>
        <w:t xml:space="preserve">– </w:t>
      </w:r>
      <w:r>
        <w:rPr>
          <w:rFonts w:ascii="Book Antiqua"/>
          <w:i w:val="1"/>
          <w:iCs w:val="1"/>
          <w:sz w:val="22"/>
          <w:szCs w:val="22"/>
          <w:rtl w:val="0"/>
          <w:lang w:val="it-IT"/>
        </w:rPr>
        <w:t>Cointeressenze attuali di Donatella e Monica Cerroni (ruoli societari e partecipazioni)</w:t>
      </w:r>
    </w:p>
    <w:p>
      <w:pPr>
        <w:pStyle w:val="Normal"/>
        <w:keepNext w:val="1"/>
        <w:ind w:left="567" w:right="567" w:firstLine="0"/>
        <w:jc w:val="both"/>
        <w:rPr>
          <w:rFonts w:ascii="Book Antiqua" w:cs="Book Antiqua" w:hAnsi="Book Antiqua" w:eastAsia="Book Antiqua"/>
        </w:rPr>
      </w:pPr>
    </w:p>
    <w:tbl>
      <w:tblPr>
        <w:tblW w:w="9923" w:type="dxa"/>
        <w:jc w:val="center"/>
        <w:tblInd w:w="108" w:type="dxa"/>
        <w:tblBorders>
          <w:top w:val="single" w:color="000000" w:sz="2" w:space="0" w:shadow="0" w:frame="0"/>
          <w:left w:val="single" w:color="000000" w:sz="2" w:space="0" w:shadow="0" w:frame="0"/>
          <w:bottom w:val="single" w:color="000000" w:sz="2" w:space="0" w:shadow="0" w:frame="0"/>
          <w:right w:val="single" w:color="000000" w:sz="2" w:space="0" w:shadow="0" w:frame="0"/>
          <w:insideH w:val="single" w:color="000000" w:sz="2" w:space="0" w:shadow="0" w:frame="0"/>
          <w:insideV w:val="single" w:color="000000" w:sz="2" w:space="0" w:shadow="0" w:frame="0"/>
        </w:tblBorders>
        <w:shd w:val="clear" w:color="auto" w:fill="auto"/>
        <w:tblLayout w:type="fixed"/>
      </w:tblPr>
      <w:tblGrid>
        <w:gridCol w:w="284"/>
        <w:gridCol w:w="1843"/>
        <w:gridCol w:w="1418"/>
        <w:gridCol w:w="850"/>
        <w:gridCol w:w="1843"/>
        <w:gridCol w:w="1275"/>
        <w:gridCol w:w="1702"/>
        <w:gridCol w:w="708"/>
      </w:tblGrid>
      <w:tr>
        <w:tblPrEx>
          <w:shd w:val="clear" w:color="auto" w:fill="auto"/>
        </w:tblPrEx>
        <w:trPr>
          <w:trHeight w:val="210" w:hRule="atLeast"/>
        </w:trPr>
        <w:tc>
          <w:tcPr>
            <w:tcW w:type="dxa" w:w="284"/>
            <w:tcBorders>
              <w:top w:val="nil"/>
              <w:left w:val="nil"/>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tc>
        <w:tc>
          <w:tcPr>
            <w:tcW w:type="dxa" w:w="5954"/>
            <w:gridSpan w:val="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ccccff"/>
            <w:tcMar>
              <w:top w:type="dxa" w:w="80"/>
              <w:left w:type="dxa" w:w="80"/>
              <w:bottom w:type="dxa" w:w="80"/>
              <w:right w:type="dxa" w:w="80"/>
            </w:tcMar>
            <w:vAlign w:val="center"/>
          </w:tcPr>
          <w:p>
            <w:pPr>
              <w:pStyle w:val="Normal"/>
              <w:keepNext w:val="1"/>
              <w:jc w:val="center"/>
            </w:pPr>
            <w:r>
              <w:rPr>
                <w:rFonts w:ascii="Calibri" w:cs="Calibri" w:hAnsi="Calibri" w:eastAsia="Calibri"/>
                <w:b w:val="1"/>
                <w:bCs w:val="1"/>
                <w:caps w:val="0"/>
                <w:smallCaps w:val="0"/>
                <w:strike w:val="0"/>
                <w:dstrike w:val="0"/>
                <w:outline w:val="0"/>
                <w:color w:val="000000"/>
                <w:spacing w:val="0"/>
                <w:kern w:val="0"/>
                <w:position w:val="0"/>
                <w:sz w:val="16"/>
                <w:szCs w:val="16"/>
                <w:u w:val="none" w:color="000000"/>
                <w:vertAlign w:val="baseline"/>
                <w:rtl w:val="0"/>
                <w:lang w:val="it-IT"/>
              </w:rPr>
              <w:t>SOGGETTO ECONOMICO/SOCIETA'</w:t>
            </w:r>
          </w:p>
        </w:tc>
        <w:tc>
          <w:tcPr>
            <w:tcW w:type="dxa" w:w="3685"/>
            <w:gridSpan w:val="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ccccff"/>
            <w:tcMar>
              <w:top w:type="dxa" w:w="80"/>
              <w:left w:type="dxa" w:w="80"/>
              <w:bottom w:type="dxa" w:w="80"/>
              <w:right w:type="dxa" w:w="80"/>
            </w:tcMar>
            <w:vAlign w:val="center"/>
          </w:tcPr>
          <w:p>
            <w:pPr>
              <w:pStyle w:val="Normal"/>
              <w:keepNext w:val="1"/>
              <w:jc w:val="center"/>
            </w:pPr>
            <w:r>
              <w:rPr>
                <w:rFonts w:ascii="Calibri" w:cs="Calibri" w:hAnsi="Calibri" w:eastAsia="Calibri"/>
                <w:b w:val="1"/>
                <w:bCs w:val="1"/>
                <w:caps w:val="0"/>
                <w:smallCaps w:val="0"/>
                <w:strike w:val="0"/>
                <w:dstrike w:val="0"/>
                <w:outline w:val="0"/>
                <w:color w:val="000000"/>
                <w:spacing w:val="0"/>
                <w:kern w:val="0"/>
                <w:position w:val="0"/>
                <w:sz w:val="16"/>
                <w:szCs w:val="16"/>
                <w:u w:val="none" w:color="000000"/>
                <w:vertAlign w:val="baseline"/>
                <w:rtl w:val="0"/>
                <w:lang w:val="it-IT"/>
              </w:rPr>
              <w:t>RELAZIONE</w:t>
            </w:r>
          </w:p>
        </w:tc>
      </w:tr>
      <w:tr>
        <w:tblPrEx>
          <w:shd w:val="clear" w:color="auto" w:fill="auto"/>
        </w:tblPrEx>
        <w:trPr>
          <w:trHeight w:val="550" w:hRule="atLeast"/>
        </w:trPr>
        <w:tc>
          <w:tcPr>
            <w:tcW w:type="dxa" w:w="28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ccccff"/>
            <w:tcMar>
              <w:top w:type="dxa" w:w="80"/>
              <w:left w:type="dxa" w:w="80"/>
              <w:bottom w:type="dxa" w:w="80"/>
              <w:right w:type="dxa" w:w="80"/>
            </w:tcMar>
            <w:vAlign w:val="center"/>
          </w:tcPr>
          <w:p>
            <w:pPr>
              <w:pStyle w:val="Normal"/>
              <w:keepNext w:val="1"/>
              <w:jc w:val="center"/>
            </w:pPr>
            <w:r>
              <w:rPr>
                <w:rFonts w:ascii="Calibri" w:cs="Calibri" w:hAnsi="Calibri" w:eastAsia="Calibri"/>
                <w:b w:val="1"/>
                <w:bCs w:val="1"/>
                <w:caps w:val="0"/>
                <w:smallCaps w:val="0"/>
                <w:strike w:val="0"/>
                <w:dstrike w:val="0"/>
                <w:outline w:val="0"/>
                <w:color w:val="000000"/>
                <w:spacing w:val="0"/>
                <w:kern w:val="0"/>
                <w:position w:val="0"/>
                <w:sz w:val="14"/>
                <w:szCs w:val="14"/>
                <w:u w:val="none" w:color="000000"/>
                <w:vertAlign w:val="baseline"/>
                <w:rtl w:val="0"/>
                <w:lang w:val="it-IT"/>
              </w:rPr>
              <w:t>N.</w:t>
            </w:r>
          </w:p>
        </w:tc>
        <w:tc>
          <w:tcPr>
            <w:tcW w:type="dxa" w:w="184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ccccff"/>
            <w:tcMar>
              <w:top w:type="dxa" w:w="80"/>
              <w:left w:type="dxa" w:w="80"/>
              <w:bottom w:type="dxa" w:w="80"/>
              <w:right w:type="dxa" w:w="80"/>
            </w:tcMar>
            <w:vAlign w:val="center"/>
          </w:tcPr>
          <w:p>
            <w:pPr>
              <w:pStyle w:val="Normal"/>
              <w:keepNext w:val="1"/>
              <w:jc w:val="center"/>
            </w:pPr>
            <w:r>
              <w:rPr>
                <w:rFonts w:ascii="Calibri" w:cs="Calibri" w:hAnsi="Calibri" w:eastAsia="Calibri"/>
                <w:b w:val="1"/>
                <w:bCs w:val="1"/>
                <w:caps w:val="0"/>
                <w:smallCaps w:val="0"/>
                <w:strike w:val="0"/>
                <w:dstrike w:val="0"/>
                <w:outline w:val="0"/>
                <w:color w:val="000000"/>
                <w:spacing w:val="0"/>
                <w:kern w:val="0"/>
                <w:position w:val="0"/>
                <w:sz w:val="14"/>
                <w:szCs w:val="14"/>
                <w:u w:val="none" w:color="000000"/>
                <w:vertAlign w:val="baseline"/>
                <w:rtl w:val="0"/>
                <w:lang w:val="it-IT"/>
              </w:rPr>
              <w:t>DENOMINAZIONE E CODICE FISCALE</w:t>
            </w:r>
          </w:p>
        </w:tc>
        <w:tc>
          <w:tcPr>
            <w:tcW w:type="dxa" w:w="141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ccccff"/>
            <w:tcMar>
              <w:top w:type="dxa" w:w="80"/>
              <w:left w:type="dxa" w:w="80"/>
              <w:bottom w:type="dxa" w:w="80"/>
              <w:right w:type="dxa" w:w="80"/>
            </w:tcMar>
            <w:vAlign w:val="center"/>
          </w:tcPr>
          <w:p>
            <w:pPr>
              <w:pStyle w:val="Normal"/>
              <w:keepNext w:val="1"/>
              <w:jc w:val="center"/>
            </w:pPr>
            <w:r>
              <w:rPr>
                <w:rFonts w:ascii="Calibri" w:cs="Calibri" w:hAnsi="Calibri" w:eastAsia="Calibri"/>
                <w:b w:val="1"/>
                <w:bCs w:val="1"/>
                <w:caps w:val="0"/>
                <w:smallCaps w:val="0"/>
                <w:strike w:val="0"/>
                <w:dstrike w:val="0"/>
                <w:outline w:val="0"/>
                <w:color w:val="000000"/>
                <w:spacing w:val="0"/>
                <w:kern w:val="0"/>
                <w:position w:val="0"/>
                <w:sz w:val="14"/>
                <w:szCs w:val="14"/>
                <w:u w:val="none" w:color="000000"/>
                <w:vertAlign w:val="baseline"/>
                <w:rtl w:val="0"/>
                <w:lang w:val="it-IT"/>
              </w:rPr>
              <w:t>SEDE (indirizzo completo)</w:t>
            </w:r>
          </w:p>
        </w:tc>
        <w:tc>
          <w:tcPr>
            <w:tcW w:type="dxa" w:w="8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ccccff"/>
            <w:tcMar>
              <w:top w:type="dxa" w:w="80"/>
              <w:left w:type="dxa" w:w="80"/>
              <w:bottom w:type="dxa" w:w="80"/>
              <w:right w:type="dxa" w:w="80"/>
            </w:tcMar>
            <w:vAlign w:val="center"/>
          </w:tcPr>
          <w:p>
            <w:pPr>
              <w:pStyle w:val="Normal"/>
              <w:keepNext w:val="1"/>
              <w:jc w:val="center"/>
            </w:pPr>
            <w:r>
              <w:rPr>
                <w:rFonts w:ascii="Calibri" w:cs="Calibri" w:hAnsi="Calibri" w:eastAsia="Calibri"/>
                <w:b w:val="1"/>
                <w:bCs w:val="1"/>
                <w:caps w:val="0"/>
                <w:smallCaps w:val="0"/>
                <w:strike w:val="0"/>
                <w:dstrike w:val="0"/>
                <w:outline w:val="0"/>
                <w:color w:val="000000"/>
                <w:spacing w:val="0"/>
                <w:kern w:val="0"/>
                <w:position w:val="0"/>
                <w:sz w:val="14"/>
                <w:szCs w:val="14"/>
                <w:u w:val="none" w:color="000000"/>
                <w:vertAlign w:val="baseline"/>
                <w:rtl w:val="0"/>
                <w:lang w:val="it-IT"/>
              </w:rPr>
              <w:t>DATA INIZIO ATTIVITA'</w:t>
            </w:r>
          </w:p>
        </w:tc>
        <w:tc>
          <w:tcPr>
            <w:tcW w:type="dxa" w:w="184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ccccff"/>
            <w:tcMar>
              <w:top w:type="dxa" w:w="80"/>
              <w:left w:type="dxa" w:w="80"/>
              <w:bottom w:type="dxa" w:w="80"/>
              <w:right w:type="dxa" w:w="80"/>
            </w:tcMar>
            <w:vAlign w:val="center"/>
          </w:tcPr>
          <w:p>
            <w:pPr>
              <w:pStyle w:val="Normal"/>
              <w:keepNext w:val="1"/>
              <w:jc w:val="center"/>
            </w:pPr>
            <w:r>
              <w:rPr>
                <w:rFonts w:ascii="Calibri" w:cs="Calibri" w:hAnsi="Calibri" w:eastAsia="Calibri"/>
                <w:b w:val="1"/>
                <w:bCs w:val="1"/>
                <w:caps w:val="0"/>
                <w:smallCaps w:val="0"/>
                <w:strike w:val="0"/>
                <w:dstrike w:val="0"/>
                <w:outline w:val="0"/>
                <w:color w:val="000000"/>
                <w:spacing w:val="0"/>
                <w:kern w:val="0"/>
                <w:position w:val="0"/>
                <w:sz w:val="14"/>
                <w:szCs w:val="14"/>
                <w:u w:val="none" w:color="000000"/>
                <w:vertAlign w:val="baseline"/>
                <w:rtl w:val="0"/>
                <w:lang w:val="it-IT"/>
              </w:rPr>
              <w:t>ATTIVITA'</w:t>
            </w:r>
          </w:p>
        </w:tc>
        <w:tc>
          <w:tcPr>
            <w:tcW w:type="dxa" w:w="127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ccccff"/>
            <w:tcMar>
              <w:top w:type="dxa" w:w="80"/>
              <w:left w:type="dxa" w:w="80"/>
              <w:bottom w:type="dxa" w:w="80"/>
              <w:right w:type="dxa" w:w="80"/>
            </w:tcMar>
            <w:vAlign w:val="center"/>
          </w:tcPr>
          <w:p>
            <w:pPr>
              <w:pStyle w:val="Normal"/>
              <w:keepNext w:val="1"/>
              <w:jc w:val="center"/>
            </w:pPr>
            <w:r>
              <w:rPr>
                <w:rFonts w:ascii="Calibri" w:cs="Calibri" w:hAnsi="Calibri" w:eastAsia="Calibri"/>
                <w:b w:val="1"/>
                <w:bCs w:val="1"/>
                <w:caps w:val="0"/>
                <w:smallCaps w:val="0"/>
                <w:strike w:val="0"/>
                <w:dstrike w:val="0"/>
                <w:outline w:val="0"/>
                <w:color w:val="000000"/>
                <w:spacing w:val="0"/>
                <w:kern w:val="0"/>
                <w:position w:val="0"/>
                <w:sz w:val="14"/>
                <w:szCs w:val="14"/>
                <w:u w:val="none" w:color="000000"/>
                <w:vertAlign w:val="baseline"/>
                <w:rtl w:val="0"/>
                <w:lang w:val="it-IT"/>
              </w:rPr>
              <w:t>NOMINATIVO</w:t>
            </w:r>
          </w:p>
        </w:tc>
        <w:tc>
          <w:tcPr>
            <w:tcW w:type="dxa" w:w="170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ccccff"/>
            <w:tcMar>
              <w:top w:type="dxa" w:w="80"/>
              <w:left w:type="dxa" w:w="80"/>
              <w:bottom w:type="dxa" w:w="80"/>
              <w:right w:type="dxa" w:w="80"/>
            </w:tcMar>
            <w:vAlign w:val="center"/>
          </w:tcPr>
          <w:p>
            <w:pPr>
              <w:pStyle w:val="Normal"/>
              <w:keepNext w:val="1"/>
              <w:jc w:val="center"/>
            </w:pPr>
            <w:r>
              <w:rPr>
                <w:rFonts w:ascii="Calibri" w:cs="Calibri" w:hAnsi="Calibri" w:eastAsia="Calibri"/>
                <w:b w:val="1"/>
                <w:bCs w:val="1"/>
                <w:caps w:val="0"/>
                <w:smallCaps w:val="0"/>
                <w:strike w:val="0"/>
                <w:dstrike w:val="0"/>
                <w:outline w:val="0"/>
                <w:color w:val="000000"/>
                <w:spacing w:val="0"/>
                <w:kern w:val="0"/>
                <w:position w:val="0"/>
                <w:sz w:val="14"/>
                <w:szCs w:val="14"/>
                <w:u w:val="none" w:color="000000"/>
                <w:vertAlign w:val="baseline"/>
                <w:rtl w:val="0"/>
                <w:lang w:val="it-IT"/>
              </w:rPr>
              <w:t>TIPO</w:t>
            </w:r>
          </w:p>
        </w:tc>
        <w:tc>
          <w:tcPr>
            <w:tcW w:type="dxa" w:w="70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ccccff"/>
            <w:tcMar>
              <w:top w:type="dxa" w:w="80"/>
              <w:left w:type="dxa" w:w="80"/>
              <w:bottom w:type="dxa" w:w="80"/>
              <w:right w:type="dxa" w:w="80"/>
            </w:tcMar>
            <w:vAlign w:val="center"/>
          </w:tcPr>
          <w:p>
            <w:pPr>
              <w:pStyle w:val="Normal"/>
              <w:keepNext w:val="1"/>
              <w:jc w:val="center"/>
            </w:pPr>
            <w:r>
              <w:rPr>
                <w:rFonts w:ascii="Calibri" w:cs="Calibri" w:hAnsi="Calibri" w:eastAsia="Calibri"/>
                <w:b w:val="1"/>
                <w:bCs w:val="1"/>
                <w:caps w:val="0"/>
                <w:smallCaps w:val="0"/>
                <w:strike w:val="0"/>
                <w:dstrike w:val="0"/>
                <w:outline w:val="0"/>
                <w:color w:val="000000"/>
                <w:spacing w:val="0"/>
                <w:kern w:val="0"/>
                <w:position w:val="0"/>
                <w:sz w:val="14"/>
                <w:szCs w:val="14"/>
                <w:u w:val="none" w:color="000000"/>
                <w:vertAlign w:val="baseline"/>
                <w:rtl w:val="0"/>
                <w:lang w:val="it-IT"/>
              </w:rPr>
              <w:t>DAL</w:t>
            </w:r>
          </w:p>
        </w:tc>
      </w:tr>
      <w:tr>
        <w:tblPrEx>
          <w:shd w:val="clear" w:color="auto" w:fill="auto"/>
        </w:tblPrEx>
        <w:trPr>
          <w:trHeight w:val="430" w:hRule="atLeast"/>
        </w:trPr>
        <w:tc>
          <w:tcPr>
            <w:tcW w:type="dxa" w:w="28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1</w:t>
            </w:r>
          </w:p>
        </w:tc>
        <w:tc>
          <w:tcPr>
            <w:tcW w:type="dxa" w:w="184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A LA BORNE B S.r.l. CON UNICO SOCIO - 06689101001</w:t>
            </w:r>
          </w:p>
        </w:tc>
        <w:tc>
          <w:tcPr>
            <w:tcW w:type="dxa" w:w="141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ROMA (RM) - VIA ANTONIO BERTOLONI 8</w:t>
            </w:r>
          </w:p>
        </w:tc>
        <w:tc>
          <w:tcPr>
            <w:tcW w:type="dxa" w:w="8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19/07/2001</w:t>
            </w:r>
          </w:p>
        </w:tc>
        <w:tc>
          <w:tcPr>
            <w:tcW w:type="dxa" w:w="184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LOCAZIONE IMMOBILIARE DI BENI PROPRI O IN LEASING (AFFITTO)</w:t>
            </w:r>
          </w:p>
        </w:tc>
        <w:tc>
          <w:tcPr>
            <w:tcW w:type="dxa" w:w="127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Cerroni DONATELLA</w:t>
            </w:r>
          </w:p>
        </w:tc>
        <w:tc>
          <w:tcPr>
            <w:tcW w:type="dxa" w:w="170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AMMINISTRATORE UNICO</w:t>
            </w:r>
          </w:p>
        </w:tc>
        <w:tc>
          <w:tcPr>
            <w:tcW w:type="dxa" w:w="70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mag-2014</w:t>
            </w:r>
          </w:p>
        </w:tc>
      </w:tr>
      <w:tr>
        <w:tblPrEx>
          <w:shd w:val="clear" w:color="auto" w:fill="auto"/>
        </w:tblPrEx>
        <w:trPr>
          <w:trHeight w:val="290" w:hRule="atLeast"/>
        </w:trPr>
        <w:tc>
          <w:tcPr>
            <w:tcW w:type="dxa" w:w="284"/>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2</w:t>
            </w:r>
          </w:p>
        </w:tc>
        <w:tc>
          <w:tcPr>
            <w:tcW w:type="dxa" w:w="1843"/>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ATTIVITA' SANITARIE INTEGRATE MARCHE S.N.C. DI MONICA Cerroni E C S.N.C. - 04412711006</w:t>
            </w:r>
          </w:p>
        </w:tc>
        <w:tc>
          <w:tcPr>
            <w:tcW w:type="dxa" w:w="1418"/>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ROMA (RM) - CORSO TRIESTE 211</w:t>
            </w:r>
          </w:p>
        </w:tc>
        <w:tc>
          <w:tcPr>
            <w:tcW w:type="dxa" w:w="850"/>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02/12/1992</w:t>
            </w:r>
          </w:p>
        </w:tc>
        <w:tc>
          <w:tcPr>
            <w:tcW w:type="dxa" w:w="1843"/>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ESERCIZIO DELL'INDUSTRIA EDILE IN GENERE</w:t>
            </w:r>
          </w:p>
        </w:tc>
        <w:tc>
          <w:tcPr>
            <w:tcW w:type="dxa" w:w="127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Cerroni DONATELLA</w:t>
            </w:r>
          </w:p>
        </w:tc>
        <w:tc>
          <w:tcPr>
            <w:tcW w:type="dxa" w:w="170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SOCIO</w:t>
            </w:r>
          </w:p>
        </w:tc>
        <w:tc>
          <w:tcPr>
            <w:tcW w:type="dxa" w:w="70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mag-1995</w:t>
            </w:r>
          </w:p>
        </w:tc>
      </w:tr>
      <w:tr>
        <w:tblPrEx>
          <w:shd w:val="clear" w:color="auto" w:fill="auto"/>
        </w:tblPrEx>
        <w:trPr>
          <w:trHeight w:val="250" w:hRule="atLeast"/>
        </w:trPr>
        <w:tc>
          <w:tcPr>
            <w:tcW w:type="dxa" w:w="284"/>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843"/>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418"/>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850"/>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843"/>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27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Cerroni MONICA</w:t>
            </w:r>
          </w:p>
        </w:tc>
        <w:tc>
          <w:tcPr>
            <w:tcW w:type="dxa" w:w="170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SOCIO AMMINISTRATORE</w:t>
            </w:r>
          </w:p>
        </w:tc>
        <w:tc>
          <w:tcPr>
            <w:tcW w:type="dxa" w:w="70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feb-2000</w:t>
            </w:r>
          </w:p>
        </w:tc>
      </w:tr>
      <w:tr>
        <w:tblPrEx>
          <w:shd w:val="clear" w:color="auto" w:fill="auto"/>
        </w:tblPrEx>
        <w:trPr>
          <w:trHeight w:val="290" w:hRule="atLeast"/>
        </w:trPr>
        <w:tc>
          <w:tcPr>
            <w:tcW w:type="dxa" w:w="284"/>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3</w:t>
            </w:r>
          </w:p>
        </w:tc>
        <w:tc>
          <w:tcPr>
            <w:tcW w:type="dxa" w:w="1843"/>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BEG S.p.A. - 04987421007</w:t>
            </w:r>
          </w:p>
        </w:tc>
        <w:tc>
          <w:tcPr>
            <w:tcW w:type="dxa" w:w="1418"/>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ROMA (RM) - VICOLO DEL BOTTINO 10</w:t>
            </w:r>
          </w:p>
        </w:tc>
        <w:tc>
          <w:tcPr>
            <w:tcW w:type="dxa" w:w="850"/>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25/09/1995</w:t>
            </w:r>
          </w:p>
        </w:tc>
        <w:tc>
          <w:tcPr>
            <w:tcW w:type="dxa" w:w="1843"/>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ALTRE ATTIVITA' DI CONSULENZA IMPRENDITORIALE E ALTRA CONSULENZA AMMINISTRATIVO-GESTIONALE E PIANIFICAZIONE AZIENDALE</w:t>
            </w:r>
          </w:p>
        </w:tc>
        <w:tc>
          <w:tcPr>
            <w:tcW w:type="dxa" w:w="127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Cerroni DONATELLA</w:t>
            </w:r>
          </w:p>
        </w:tc>
        <w:tc>
          <w:tcPr>
            <w:tcW w:type="dxa" w:w="170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TITOLARE QUOTE (5% CAPITALE SOCIALE)</w:t>
            </w:r>
          </w:p>
        </w:tc>
        <w:tc>
          <w:tcPr>
            <w:tcW w:type="dxa" w:w="70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dic-2001</w:t>
            </w:r>
          </w:p>
        </w:tc>
      </w:tr>
      <w:tr>
        <w:tblPrEx>
          <w:shd w:val="clear" w:color="auto" w:fill="auto"/>
        </w:tblPrEx>
        <w:trPr>
          <w:trHeight w:val="540" w:hRule="atLeast"/>
        </w:trPr>
        <w:tc>
          <w:tcPr>
            <w:tcW w:type="dxa" w:w="284"/>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843"/>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418"/>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850"/>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843"/>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27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Cerroni MONICA</w:t>
            </w:r>
          </w:p>
        </w:tc>
        <w:tc>
          <w:tcPr>
            <w:tcW w:type="dxa" w:w="170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TITOLARE QUOTE (5% CAPITALE SOCIALE)</w:t>
            </w:r>
          </w:p>
        </w:tc>
        <w:tc>
          <w:tcPr>
            <w:tcW w:type="dxa" w:w="70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dic-2001</w:t>
            </w:r>
          </w:p>
        </w:tc>
      </w:tr>
      <w:tr>
        <w:tblPrEx>
          <w:shd w:val="clear" w:color="auto" w:fill="auto"/>
        </w:tblPrEx>
        <w:trPr>
          <w:trHeight w:val="570" w:hRule="atLeast"/>
        </w:trPr>
        <w:tc>
          <w:tcPr>
            <w:tcW w:type="dxa" w:w="28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4</w:t>
            </w:r>
          </w:p>
        </w:tc>
        <w:tc>
          <w:tcPr>
            <w:tcW w:type="dxa" w:w="184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CALABRIA AMBIENTE S.p.A. - 02407560784</w:t>
            </w:r>
          </w:p>
        </w:tc>
        <w:tc>
          <w:tcPr>
            <w:tcW w:type="dxa" w:w="141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COSENZA (CS) - VIA MONTE SAN MICHELE 1 A</w:t>
            </w:r>
          </w:p>
        </w:tc>
        <w:tc>
          <w:tcPr>
            <w:tcW w:type="dxa" w:w="8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06/03/2001</w:t>
            </w:r>
          </w:p>
        </w:tc>
        <w:tc>
          <w:tcPr>
            <w:tcW w:type="dxa" w:w="184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RECUPERO E PREPARAZIONE PER IL RICICLAGGIO DEI RIFIUTI SOLIDI URBANI, INDUSTRIALI E BIOMASSE</w:t>
            </w:r>
          </w:p>
        </w:tc>
        <w:tc>
          <w:tcPr>
            <w:tcW w:type="dxa" w:w="127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Cerroni MONICA</w:t>
            </w:r>
          </w:p>
        </w:tc>
        <w:tc>
          <w:tcPr>
            <w:tcW w:type="dxa" w:w="170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CONSIGLIERE</w:t>
            </w:r>
          </w:p>
        </w:tc>
        <w:tc>
          <w:tcPr>
            <w:tcW w:type="dxa" w:w="70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lug-2015</w:t>
            </w:r>
          </w:p>
        </w:tc>
      </w:tr>
      <w:tr>
        <w:tblPrEx>
          <w:shd w:val="clear" w:color="auto" w:fill="auto"/>
        </w:tblPrEx>
        <w:trPr>
          <w:trHeight w:val="430" w:hRule="atLeast"/>
        </w:trPr>
        <w:tc>
          <w:tcPr>
            <w:tcW w:type="dxa" w:w="28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5</w:t>
            </w:r>
          </w:p>
        </w:tc>
        <w:tc>
          <w:tcPr>
            <w:tcW w:type="dxa" w:w="184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COMPRENSORIO INDUSTRIALE PANTANO CONSORZIO - 07719590585</w:t>
            </w:r>
          </w:p>
        </w:tc>
        <w:tc>
          <w:tcPr>
            <w:tcW w:type="dxa" w:w="141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ROMA (RM) - VIA ANGELO POLIZIANO 70</w:t>
            </w:r>
          </w:p>
        </w:tc>
        <w:tc>
          <w:tcPr>
            <w:tcW w:type="dxa" w:w="8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28/11/1986</w:t>
            </w:r>
          </w:p>
        </w:tc>
        <w:tc>
          <w:tcPr>
            <w:tcW w:type="dxa" w:w="184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COSTRUZIONE DI EDIFICI</w:t>
            </w:r>
          </w:p>
        </w:tc>
        <w:tc>
          <w:tcPr>
            <w:tcW w:type="dxa" w:w="127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Cerroni MONICA</w:t>
            </w:r>
          </w:p>
        </w:tc>
        <w:tc>
          <w:tcPr>
            <w:tcW w:type="dxa" w:w="170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CONSIGLIERE</w:t>
            </w:r>
          </w:p>
        </w:tc>
        <w:tc>
          <w:tcPr>
            <w:tcW w:type="dxa" w:w="70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feb-2016</w:t>
            </w:r>
          </w:p>
        </w:tc>
      </w:tr>
      <w:tr>
        <w:tblPrEx>
          <w:shd w:val="clear" w:color="auto" w:fill="auto"/>
        </w:tblPrEx>
        <w:trPr>
          <w:trHeight w:val="290" w:hRule="atLeast"/>
        </w:trPr>
        <w:tc>
          <w:tcPr>
            <w:tcW w:type="dxa" w:w="284"/>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6</w:t>
            </w:r>
          </w:p>
        </w:tc>
        <w:tc>
          <w:tcPr>
            <w:tcW w:type="dxa" w:w="1843"/>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E. Giovi SOCIETA' A RESPONSABILITA' LIMITATA S.r.l. - 04773710589</w:t>
            </w:r>
          </w:p>
        </w:tc>
        <w:tc>
          <w:tcPr>
            <w:tcW w:type="dxa" w:w="1418"/>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ROMA (RM) - VIA PORTUENSE 881</w:t>
            </w:r>
          </w:p>
        </w:tc>
        <w:tc>
          <w:tcPr>
            <w:tcW w:type="dxa" w:w="850"/>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29/07/1988</w:t>
            </w:r>
          </w:p>
        </w:tc>
        <w:tc>
          <w:tcPr>
            <w:tcW w:type="dxa" w:w="1843"/>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TRATTAMENTO E SMALTIMENTO DI ALTRI RIFIUTI NON PERICOLOSI</w:t>
            </w:r>
          </w:p>
        </w:tc>
        <w:tc>
          <w:tcPr>
            <w:tcW w:type="dxa" w:w="127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Cerroni DONATELLA</w:t>
            </w:r>
          </w:p>
        </w:tc>
        <w:tc>
          <w:tcPr>
            <w:tcW w:type="dxa" w:w="170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TITOLARE QUOTE (25% CAPITALE SOCIALE)</w:t>
            </w:r>
          </w:p>
        </w:tc>
        <w:tc>
          <w:tcPr>
            <w:tcW w:type="dxa" w:w="70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lug-2014</w:t>
            </w:r>
          </w:p>
        </w:tc>
      </w:tr>
      <w:tr>
        <w:tblPrEx>
          <w:shd w:val="clear" w:color="auto" w:fill="auto"/>
        </w:tblPrEx>
        <w:trPr>
          <w:trHeight w:val="290" w:hRule="atLeast"/>
        </w:trPr>
        <w:tc>
          <w:tcPr>
            <w:tcW w:type="dxa" w:w="284"/>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843"/>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418"/>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850"/>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843"/>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27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Cerroni MONICA</w:t>
            </w:r>
          </w:p>
        </w:tc>
        <w:tc>
          <w:tcPr>
            <w:tcW w:type="dxa" w:w="170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TITOLARE QUOTE (25% CAPITALE SOCIALE)</w:t>
            </w:r>
          </w:p>
        </w:tc>
        <w:tc>
          <w:tcPr>
            <w:tcW w:type="dxa" w:w="70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lug-2014</w:t>
            </w:r>
          </w:p>
        </w:tc>
      </w:tr>
      <w:tr>
        <w:tblPrEx>
          <w:shd w:val="clear" w:color="auto" w:fill="auto"/>
        </w:tblPrEx>
        <w:trPr>
          <w:trHeight w:val="290" w:hRule="atLeast"/>
        </w:trPr>
        <w:tc>
          <w:tcPr>
            <w:tcW w:type="dxa" w:w="284"/>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7</w:t>
            </w:r>
          </w:p>
        </w:tc>
        <w:tc>
          <w:tcPr>
            <w:tcW w:type="dxa" w:w="1843"/>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Impresa A. Cecchini &amp; C. - SOCIETA' A RESPONSABILITA' LIMITATA S.r.l. - 01049571001</w:t>
            </w:r>
          </w:p>
        </w:tc>
        <w:tc>
          <w:tcPr>
            <w:tcW w:type="dxa" w:w="1418"/>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ROMA (RM) - VIALE POGGIO FIORITO 63</w:t>
            </w:r>
          </w:p>
        </w:tc>
        <w:tc>
          <w:tcPr>
            <w:tcW w:type="dxa" w:w="850"/>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28/01/1976</w:t>
            </w:r>
          </w:p>
        </w:tc>
        <w:tc>
          <w:tcPr>
            <w:tcW w:type="dxa" w:w="1843"/>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INGEGNERIA CIVILE</w:t>
            </w:r>
          </w:p>
        </w:tc>
        <w:tc>
          <w:tcPr>
            <w:tcW w:type="dxa" w:w="127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Cerroni DONATELLA</w:t>
            </w:r>
          </w:p>
        </w:tc>
        <w:tc>
          <w:tcPr>
            <w:tcW w:type="dxa" w:w="170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TITOLARE QUOTE (5% CAPITALE SOCIALE)</w:t>
            </w:r>
          </w:p>
        </w:tc>
        <w:tc>
          <w:tcPr>
            <w:tcW w:type="dxa" w:w="70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lug-2015</w:t>
            </w:r>
          </w:p>
        </w:tc>
      </w:tr>
      <w:tr>
        <w:tblPrEx>
          <w:shd w:val="clear" w:color="auto" w:fill="auto"/>
        </w:tblPrEx>
        <w:trPr>
          <w:trHeight w:val="290" w:hRule="atLeast"/>
        </w:trPr>
        <w:tc>
          <w:tcPr>
            <w:tcW w:type="dxa" w:w="284"/>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843"/>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418"/>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850"/>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843"/>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275"/>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Cerroni MONICA</w:t>
            </w:r>
          </w:p>
        </w:tc>
        <w:tc>
          <w:tcPr>
            <w:tcW w:type="dxa" w:w="170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TITOLARE QUOTE (5% CAPITALE SOCIALE)</w:t>
            </w:r>
          </w:p>
        </w:tc>
        <w:tc>
          <w:tcPr>
            <w:tcW w:type="dxa" w:w="70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lug-2015</w:t>
            </w:r>
          </w:p>
        </w:tc>
      </w:tr>
      <w:tr>
        <w:tblPrEx>
          <w:shd w:val="clear" w:color="auto" w:fill="auto"/>
        </w:tblPrEx>
        <w:trPr>
          <w:trHeight w:val="290" w:hRule="atLeast"/>
        </w:trPr>
        <w:tc>
          <w:tcPr>
            <w:tcW w:type="dxa" w:w="284"/>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843"/>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418"/>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850"/>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843"/>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275"/>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70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AMMINISTRATORE UNICO</w:t>
            </w:r>
          </w:p>
        </w:tc>
        <w:tc>
          <w:tcPr>
            <w:tcW w:type="dxa" w:w="70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nov-2016</w:t>
            </w:r>
          </w:p>
        </w:tc>
      </w:tr>
      <w:tr>
        <w:tblPrEx>
          <w:shd w:val="clear" w:color="auto" w:fill="auto"/>
        </w:tblPrEx>
        <w:trPr>
          <w:trHeight w:val="290" w:hRule="atLeast"/>
        </w:trPr>
        <w:tc>
          <w:tcPr>
            <w:tcW w:type="dxa" w:w="284"/>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8</w:t>
            </w:r>
          </w:p>
        </w:tc>
        <w:tc>
          <w:tcPr>
            <w:tcW w:type="dxa" w:w="1843"/>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P. Giovi S.r.l. - 01301111009</w:t>
            </w:r>
          </w:p>
        </w:tc>
        <w:tc>
          <w:tcPr>
            <w:tcW w:type="dxa" w:w="1418"/>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ROMA (RM) - VIA PORTUENSE 881</w:t>
            </w:r>
          </w:p>
        </w:tc>
        <w:tc>
          <w:tcPr>
            <w:tcW w:type="dxa" w:w="850"/>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07/07/1980</w:t>
            </w:r>
          </w:p>
        </w:tc>
        <w:tc>
          <w:tcPr>
            <w:tcW w:type="dxa" w:w="1843"/>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ATTIVITA' DI RACCOLTA, TRATTAMENTO E SMALTIMENTO DEI RIFIUTI; RECUPERO DEI MATERIALI</w:t>
            </w:r>
          </w:p>
        </w:tc>
        <w:tc>
          <w:tcPr>
            <w:tcW w:type="dxa" w:w="127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Cerroni DONATELLA</w:t>
            </w:r>
          </w:p>
        </w:tc>
        <w:tc>
          <w:tcPr>
            <w:tcW w:type="dxa" w:w="170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TITOLARE QUOTE (25% CAPITALE SOCIALE)</w:t>
            </w:r>
          </w:p>
        </w:tc>
        <w:tc>
          <w:tcPr>
            <w:tcW w:type="dxa" w:w="70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mar-2017</w:t>
            </w:r>
          </w:p>
        </w:tc>
      </w:tr>
      <w:tr>
        <w:tblPrEx>
          <w:shd w:val="clear" w:color="auto" w:fill="auto"/>
        </w:tblPrEx>
        <w:trPr>
          <w:trHeight w:val="290" w:hRule="atLeast"/>
        </w:trPr>
        <w:tc>
          <w:tcPr>
            <w:tcW w:type="dxa" w:w="284"/>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843"/>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418"/>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850"/>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843"/>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27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Cerroni MONICA</w:t>
            </w:r>
          </w:p>
        </w:tc>
        <w:tc>
          <w:tcPr>
            <w:tcW w:type="dxa" w:w="170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TITOLARE QUOTE (25% CAPITALE SOCIALE)</w:t>
            </w:r>
          </w:p>
        </w:tc>
        <w:tc>
          <w:tcPr>
            <w:tcW w:type="dxa" w:w="70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mar-2017</w:t>
            </w:r>
          </w:p>
        </w:tc>
      </w:tr>
      <w:tr>
        <w:tblPrEx>
          <w:shd w:val="clear" w:color="auto" w:fill="auto"/>
        </w:tblPrEx>
        <w:trPr>
          <w:trHeight w:val="290" w:hRule="atLeast"/>
        </w:trPr>
        <w:tc>
          <w:tcPr>
            <w:tcW w:type="dxa" w:w="284"/>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9</w:t>
            </w:r>
          </w:p>
        </w:tc>
        <w:tc>
          <w:tcPr>
            <w:tcW w:type="dxa" w:w="1843"/>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PONTINA FONDIARIA S.r.l. - 04243421007</w:t>
            </w:r>
          </w:p>
        </w:tc>
        <w:tc>
          <w:tcPr>
            <w:tcW w:type="dxa" w:w="1418"/>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ROMA (RM) - VIALE DEL POGGIO FIORITO 63</w:t>
            </w:r>
          </w:p>
        </w:tc>
        <w:tc>
          <w:tcPr>
            <w:tcW w:type="dxa" w:w="850"/>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27/01/1992</w:t>
            </w:r>
          </w:p>
        </w:tc>
        <w:tc>
          <w:tcPr>
            <w:tcW w:type="dxa" w:w="1843"/>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AFFITTO E GESTIONE DI IMMOBILI DI PROPRIETA' O IN LEASING</w:t>
            </w:r>
          </w:p>
        </w:tc>
        <w:tc>
          <w:tcPr>
            <w:tcW w:type="dxa" w:w="1275"/>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Cerroni MONICA</w:t>
            </w:r>
          </w:p>
        </w:tc>
        <w:tc>
          <w:tcPr>
            <w:tcW w:type="dxa" w:w="170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AMMINISTRATORE UNICO DELLA:</w:t>
            </w:r>
          </w:p>
        </w:tc>
        <w:tc>
          <w:tcPr>
            <w:tcW w:type="dxa" w:w="70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nov-2016</w:t>
            </w:r>
          </w:p>
        </w:tc>
      </w:tr>
      <w:tr>
        <w:tblPrEx>
          <w:shd w:val="clear" w:color="auto" w:fill="auto"/>
        </w:tblPrEx>
        <w:trPr>
          <w:trHeight w:val="290" w:hRule="atLeast"/>
        </w:trPr>
        <w:tc>
          <w:tcPr>
            <w:tcW w:type="dxa" w:w="284"/>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843"/>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418"/>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850"/>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843"/>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275"/>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70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TITOLARE QUOTE (1% CAPITALE SOCIALE)</w:t>
            </w:r>
          </w:p>
        </w:tc>
        <w:tc>
          <w:tcPr>
            <w:tcW w:type="dxa" w:w="70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mar-2009</w:t>
            </w:r>
          </w:p>
        </w:tc>
      </w:tr>
      <w:tr>
        <w:tblPrEx>
          <w:shd w:val="clear" w:color="auto" w:fill="auto"/>
        </w:tblPrEx>
        <w:trPr>
          <w:trHeight w:val="290" w:hRule="atLeast"/>
        </w:trPr>
        <w:tc>
          <w:tcPr>
            <w:tcW w:type="dxa" w:w="284"/>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10</w:t>
            </w:r>
          </w:p>
        </w:tc>
        <w:tc>
          <w:tcPr>
            <w:tcW w:type="dxa" w:w="1843"/>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R.&amp; S.OFFICINE SOCIETA' A RESPONSABILITA' LIMITATA S.r.l. - 05675071004</w:t>
            </w:r>
          </w:p>
        </w:tc>
        <w:tc>
          <w:tcPr>
            <w:tcW w:type="dxa" w:w="1418"/>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ROMA (RM) - VIA POGGIO FIORITO 63</w:t>
            </w:r>
          </w:p>
        </w:tc>
        <w:tc>
          <w:tcPr>
            <w:tcW w:type="dxa" w:w="850"/>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23/12/1998</w:t>
            </w:r>
          </w:p>
        </w:tc>
        <w:tc>
          <w:tcPr>
            <w:tcW w:type="dxa" w:w="1843"/>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RIPARAZIONE E MANUTENZIONE DI ALTRE MACCHINE DI IMPIEGO GENERALE NCA</w:t>
            </w:r>
          </w:p>
        </w:tc>
        <w:tc>
          <w:tcPr>
            <w:tcW w:type="dxa" w:w="1275"/>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Cerroni MONICA</w:t>
            </w:r>
          </w:p>
        </w:tc>
        <w:tc>
          <w:tcPr>
            <w:tcW w:type="dxa" w:w="170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AMMINISTRATORE UNICO</w:t>
            </w:r>
          </w:p>
        </w:tc>
        <w:tc>
          <w:tcPr>
            <w:tcW w:type="dxa" w:w="70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nov-2016</w:t>
            </w:r>
          </w:p>
        </w:tc>
      </w:tr>
      <w:tr>
        <w:tblPrEx>
          <w:shd w:val="clear" w:color="auto" w:fill="auto"/>
        </w:tblPrEx>
        <w:trPr>
          <w:trHeight w:val="290" w:hRule="atLeast"/>
        </w:trPr>
        <w:tc>
          <w:tcPr>
            <w:tcW w:type="dxa" w:w="284"/>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843"/>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418"/>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850"/>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843"/>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275"/>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70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TITOLARE QUOTE (5% CAPITALE SOCIALE)</w:t>
            </w:r>
          </w:p>
        </w:tc>
        <w:tc>
          <w:tcPr>
            <w:tcW w:type="dxa" w:w="70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apr-2017</w:t>
            </w:r>
          </w:p>
        </w:tc>
      </w:tr>
      <w:tr>
        <w:tblPrEx>
          <w:shd w:val="clear" w:color="auto" w:fill="auto"/>
        </w:tblPrEx>
        <w:trPr>
          <w:trHeight w:val="570" w:hRule="atLeast"/>
        </w:trPr>
        <w:tc>
          <w:tcPr>
            <w:tcW w:type="dxa" w:w="28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11</w:t>
            </w:r>
          </w:p>
        </w:tc>
        <w:tc>
          <w:tcPr>
            <w:tcW w:type="dxa" w:w="184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RESIDENCE DEL COLLE S.r.l. - 04017531007</w:t>
            </w:r>
          </w:p>
        </w:tc>
        <w:tc>
          <w:tcPr>
            <w:tcW w:type="dxa" w:w="141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ROMA (RM) - VIA FOSDINOVO 18 SCALA C</w:t>
            </w:r>
          </w:p>
        </w:tc>
        <w:tc>
          <w:tcPr>
            <w:tcW w:type="dxa" w:w="8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25/01/1991</w:t>
            </w:r>
          </w:p>
        </w:tc>
        <w:tc>
          <w:tcPr>
            <w:tcW w:type="dxa" w:w="184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GESTIONE STRUTTURE RICETTIVE, CENTRI SOCIALI, CULTURALI, SPORTIVI E RICREATIVI IN GENERE</w:t>
            </w:r>
          </w:p>
        </w:tc>
        <w:tc>
          <w:tcPr>
            <w:tcW w:type="dxa" w:w="127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Cerroni MONICA</w:t>
            </w:r>
          </w:p>
        </w:tc>
        <w:tc>
          <w:tcPr>
            <w:tcW w:type="dxa" w:w="170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AMMINISTRATORE UNICO</w:t>
            </w:r>
          </w:p>
        </w:tc>
        <w:tc>
          <w:tcPr>
            <w:tcW w:type="dxa" w:w="70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feb-2010</w:t>
            </w:r>
          </w:p>
        </w:tc>
      </w:tr>
      <w:tr>
        <w:tblPrEx>
          <w:shd w:val="clear" w:color="auto" w:fill="auto"/>
        </w:tblPrEx>
        <w:trPr>
          <w:trHeight w:val="430" w:hRule="atLeast"/>
        </w:trPr>
        <w:tc>
          <w:tcPr>
            <w:tcW w:type="dxa" w:w="28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12</w:t>
            </w:r>
          </w:p>
        </w:tc>
        <w:tc>
          <w:tcPr>
            <w:tcW w:type="dxa" w:w="184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RESIDENCE PISONIANO S.N.C. DI MONICA Cerroni E C. S.N.C. - 01617531007</w:t>
            </w:r>
          </w:p>
        </w:tc>
        <w:tc>
          <w:tcPr>
            <w:tcW w:type="dxa" w:w="141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ROMA (RM) - VIA EUGENIO CHIESA 27</w:t>
            </w:r>
          </w:p>
        </w:tc>
        <w:tc>
          <w:tcPr>
            <w:tcW w:type="dxa" w:w="8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06/12/1984</w:t>
            </w:r>
          </w:p>
        </w:tc>
        <w:tc>
          <w:tcPr>
            <w:tcW w:type="dxa" w:w="184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COSTRUZIONE DI EDIFICI RESIDENZIALI E NON RESIDENZIALI</w:t>
            </w:r>
          </w:p>
        </w:tc>
        <w:tc>
          <w:tcPr>
            <w:tcW w:type="dxa" w:w="127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Cerroni MONICA</w:t>
            </w:r>
          </w:p>
        </w:tc>
        <w:tc>
          <w:tcPr>
            <w:tcW w:type="dxa" w:w="170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SOCIO AMMINISTRATORE</w:t>
            </w:r>
          </w:p>
        </w:tc>
        <w:tc>
          <w:tcPr>
            <w:tcW w:type="dxa" w:w="70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mag-1995</w:t>
            </w:r>
          </w:p>
        </w:tc>
      </w:tr>
      <w:tr>
        <w:tblPrEx>
          <w:shd w:val="clear" w:color="auto" w:fill="auto"/>
        </w:tblPrEx>
        <w:trPr>
          <w:trHeight w:val="290" w:hRule="atLeast"/>
        </w:trPr>
        <w:tc>
          <w:tcPr>
            <w:tcW w:type="dxa" w:w="28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13</w:t>
            </w:r>
          </w:p>
        </w:tc>
        <w:tc>
          <w:tcPr>
            <w:tcW w:type="dxa" w:w="184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SCA ENERGY S.p.A. CON UNICO SOCIO - 09600571005</w:t>
            </w:r>
          </w:p>
        </w:tc>
        <w:tc>
          <w:tcPr>
            <w:tcW w:type="dxa" w:w="141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ROMA (RM) - VIA PONTINA 545</w:t>
            </w:r>
          </w:p>
        </w:tc>
        <w:tc>
          <w:tcPr>
            <w:tcW w:type="dxa" w:w="8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13/07/2007</w:t>
            </w:r>
          </w:p>
        </w:tc>
        <w:tc>
          <w:tcPr>
            <w:tcW w:type="dxa" w:w="184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ALTRI SERVIZI DI SUPPORTO ALLE IMPRESE NCA</w:t>
            </w:r>
          </w:p>
        </w:tc>
        <w:tc>
          <w:tcPr>
            <w:tcW w:type="dxa" w:w="127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Cerroni MONICA</w:t>
            </w:r>
          </w:p>
        </w:tc>
        <w:tc>
          <w:tcPr>
            <w:tcW w:type="dxa" w:w="170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AMMINISTRATORE UNICO</w:t>
            </w:r>
          </w:p>
        </w:tc>
        <w:tc>
          <w:tcPr>
            <w:tcW w:type="dxa" w:w="70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set-2014</w:t>
            </w:r>
          </w:p>
        </w:tc>
      </w:tr>
      <w:tr>
        <w:tblPrEx>
          <w:shd w:val="clear" w:color="auto" w:fill="auto"/>
        </w:tblPrEx>
        <w:trPr>
          <w:trHeight w:val="570" w:hRule="atLeast"/>
        </w:trPr>
        <w:tc>
          <w:tcPr>
            <w:tcW w:type="dxa" w:w="28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14</w:t>
            </w:r>
          </w:p>
        </w:tc>
        <w:tc>
          <w:tcPr>
            <w:tcW w:type="dxa" w:w="184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SCT Sorain Cecchini TECNO S.r.l. - 04502101001</w:t>
            </w:r>
          </w:p>
        </w:tc>
        <w:tc>
          <w:tcPr>
            <w:tcW w:type="dxa" w:w="141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ROMA (RM) - VIA PONTINA 545</w:t>
            </w:r>
          </w:p>
        </w:tc>
        <w:tc>
          <w:tcPr>
            <w:tcW w:type="dxa" w:w="8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03/05/1993</w:t>
            </w:r>
          </w:p>
        </w:tc>
        <w:tc>
          <w:tcPr>
            <w:tcW w:type="dxa" w:w="184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FABBRICAZIONE DI ALTRO MATERIALE MECCANICO E DI ALTRE MACCHINE DI IMPIEGO GENERALE NCA</w:t>
            </w:r>
          </w:p>
        </w:tc>
        <w:tc>
          <w:tcPr>
            <w:tcW w:type="dxa" w:w="127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Cerroni MONICA</w:t>
            </w:r>
          </w:p>
        </w:tc>
        <w:tc>
          <w:tcPr>
            <w:tcW w:type="dxa" w:w="170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PRESIDENTE DEL CONSIGLIO DI AMMINISTRAZIONE</w:t>
            </w:r>
          </w:p>
        </w:tc>
        <w:tc>
          <w:tcPr>
            <w:tcW w:type="dxa" w:w="70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giu-2015</w:t>
            </w:r>
          </w:p>
        </w:tc>
      </w:tr>
      <w:tr>
        <w:tblPrEx>
          <w:shd w:val="clear" w:color="auto" w:fill="auto"/>
        </w:tblPrEx>
        <w:trPr>
          <w:trHeight w:val="430" w:hRule="atLeast"/>
        </w:trPr>
        <w:tc>
          <w:tcPr>
            <w:tcW w:type="dxa" w:w="28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15</w:t>
            </w:r>
          </w:p>
        </w:tc>
        <w:tc>
          <w:tcPr>
            <w:tcW w:type="dxa" w:w="184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SERVICES LAZIO S.r.l. - 07487011004</w:t>
            </w:r>
          </w:p>
        </w:tc>
        <w:tc>
          <w:tcPr>
            <w:tcW w:type="dxa" w:w="141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POMEZIA (RM) - VIA MESSICO 9</w:t>
            </w:r>
          </w:p>
        </w:tc>
        <w:tc>
          <w:tcPr>
            <w:tcW w:type="dxa" w:w="8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25/10/2011</w:t>
            </w:r>
          </w:p>
        </w:tc>
        <w:tc>
          <w:tcPr>
            <w:tcW w:type="dxa" w:w="184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TRATTAMENTO E SMALTIMENTO DI ALTRI RIFIUTI NON PERICOLOSI</w:t>
            </w:r>
          </w:p>
        </w:tc>
        <w:tc>
          <w:tcPr>
            <w:tcW w:type="dxa" w:w="127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Cerroni MONICA</w:t>
            </w:r>
          </w:p>
        </w:tc>
        <w:tc>
          <w:tcPr>
            <w:tcW w:type="dxa" w:w="170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CONSIGLIERE</w:t>
            </w:r>
          </w:p>
        </w:tc>
        <w:tc>
          <w:tcPr>
            <w:tcW w:type="dxa" w:w="70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set-2011</w:t>
            </w:r>
          </w:p>
        </w:tc>
      </w:tr>
      <w:tr>
        <w:tblPrEx>
          <w:shd w:val="clear" w:color="auto" w:fill="auto"/>
        </w:tblPrEx>
        <w:trPr>
          <w:trHeight w:val="430" w:hRule="atLeast"/>
        </w:trPr>
        <w:tc>
          <w:tcPr>
            <w:tcW w:type="dxa" w:w="28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16</w:t>
            </w:r>
          </w:p>
        </w:tc>
        <w:tc>
          <w:tcPr>
            <w:tcW w:type="dxa" w:w="184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SIL - S.r.l. CON UNICO SOCIO - 03890911005</w:t>
            </w:r>
          </w:p>
        </w:tc>
        <w:tc>
          <w:tcPr>
            <w:tcW w:type="dxa" w:w="141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ROMA (RM) - VIALE DEL POGGIO FIORITO 63</w:t>
            </w:r>
          </w:p>
        </w:tc>
        <w:tc>
          <w:tcPr>
            <w:tcW w:type="dxa" w:w="8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01/04/2015</w:t>
            </w:r>
          </w:p>
        </w:tc>
        <w:tc>
          <w:tcPr>
            <w:tcW w:type="dxa" w:w="184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COSTRUZIONE DI EDIFICI RESIDENZIALI E NON RESIDENZIALI</w:t>
            </w:r>
          </w:p>
        </w:tc>
        <w:tc>
          <w:tcPr>
            <w:tcW w:type="dxa" w:w="127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Cerroni MONICA</w:t>
            </w:r>
          </w:p>
        </w:tc>
        <w:tc>
          <w:tcPr>
            <w:tcW w:type="dxa" w:w="170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VICE PRESIDENTE DEL CONSIGLIO D'AMMINISTRAZIONE</w:t>
            </w:r>
          </w:p>
        </w:tc>
        <w:tc>
          <w:tcPr>
            <w:tcW w:type="dxa" w:w="70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feb-2014</w:t>
            </w:r>
          </w:p>
        </w:tc>
      </w:tr>
      <w:tr>
        <w:tblPrEx>
          <w:shd w:val="clear" w:color="auto" w:fill="auto"/>
        </w:tblPrEx>
        <w:trPr>
          <w:trHeight w:val="570" w:hRule="atLeast"/>
        </w:trPr>
        <w:tc>
          <w:tcPr>
            <w:tcW w:type="dxa" w:w="28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17</w:t>
            </w:r>
          </w:p>
        </w:tc>
        <w:tc>
          <w:tcPr>
            <w:tcW w:type="dxa" w:w="184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Sorain Cecchini AMBIENTE S.p.A. - 01226821005</w:t>
            </w:r>
          </w:p>
        </w:tc>
        <w:tc>
          <w:tcPr>
            <w:tcW w:type="dxa" w:w="141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ROMA (RM) - VIALE POGGIO FIORITO 63</w:t>
            </w:r>
          </w:p>
        </w:tc>
        <w:tc>
          <w:tcPr>
            <w:tcW w:type="dxa" w:w="8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04/10/1979</w:t>
            </w:r>
          </w:p>
        </w:tc>
        <w:tc>
          <w:tcPr>
            <w:tcW w:type="dxa" w:w="184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ATTIVITA</w:t>
            </w: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 xml:space="preserve">’ </w:t>
            </w: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DI RECUPERO E BONIFICA AMBIENTALE, SMALTIMENTO DI RIFIUTI URBANI E SPECIALI</w:t>
            </w:r>
          </w:p>
        </w:tc>
        <w:tc>
          <w:tcPr>
            <w:tcW w:type="dxa" w:w="127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Cerroni MONICA</w:t>
            </w:r>
          </w:p>
        </w:tc>
        <w:tc>
          <w:tcPr>
            <w:tcW w:type="dxa" w:w="170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AMMINISTRATORE UNICO</w:t>
            </w:r>
          </w:p>
        </w:tc>
        <w:tc>
          <w:tcPr>
            <w:tcW w:type="dxa" w:w="70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nov-2016</w:t>
            </w:r>
          </w:p>
        </w:tc>
      </w:tr>
      <w:tr>
        <w:tblPrEx>
          <w:shd w:val="clear" w:color="auto" w:fill="auto"/>
        </w:tblPrEx>
        <w:trPr>
          <w:trHeight w:val="290" w:hRule="atLeast"/>
        </w:trPr>
        <w:tc>
          <w:tcPr>
            <w:tcW w:type="dxa" w:w="284"/>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18</w:t>
            </w:r>
          </w:p>
        </w:tc>
        <w:tc>
          <w:tcPr>
            <w:tcW w:type="dxa" w:w="1843"/>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Sorain Cecchini CORCOLLE S.r.l. - 10026571009</w:t>
            </w:r>
          </w:p>
        </w:tc>
        <w:tc>
          <w:tcPr>
            <w:tcW w:type="dxa" w:w="1418"/>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ROMA (RM) - VIALE DEL POGGIO FIORITO 63</w:t>
            </w:r>
          </w:p>
        </w:tc>
        <w:tc>
          <w:tcPr>
            <w:tcW w:type="dxa" w:w="850"/>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27/05/2008</w:t>
            </w:r>
          </w:p>
        </w:tc>
        <w:tc>
          <w:tcPr>
            <w:tcW w:type="dxa" w:w="1843"/>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ESERCIZIO AGRICOLTURA; ATTIVITA</w:t>
            </w: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 xml:space="preserve">’ </w:t>
            </w: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IMMOBILIARE</w:t>
            </w:r>
          </w:p>
        </w:tc>
        <w:tc>
          <w:tcPr>
            <w:tcW w:type="dxa" w:w="127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Cerroni DONATELLA</w:t>
            </w:r>
          </w:p>
        </w:tc>
        <w:tc>
          <w:tcPr>
            <w:tcW w:type="dxa" w:w="170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TITOLARE QUOTE (17% CAPITALE SOCIALE)</w:t>
            </w:r>
          </w:p>
        </w:tc>
        <w:tc>
          <w:tcPr>
            <w:tcW w:type="dxa" w:w="70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mag-2008</w:t>
            </w:r>
          </w:p>
        </w:tc>
      </w:tr>
      <w:tr>
        <w:tblPrEx>
          <w:shd w:val="clear" w:color="auto" w:fill="auto"/>
        </w:tblPrEx>
        <w:trPr>
          <w:trHeight w:val="290" w:hRule="atLeast"/>
        </w:trPr>
        <w:tc>
          <w:tcPr>
            <w:tcW w:type="dxa" w:w="284"/>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843"/>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418"/>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850"/>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843"/>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27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Cerroni MONICA</w:t>
            </w:r>
          </w:p>
        </w:tc>
        <w:tc>
          <w:tcPr>
            <w:tcW w:type="dxa" w:w="170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TITOLARE QUOTE (17% CAPITALE SOCIALE)</w:t>
            </w:r>
          </w:p>
        </w:tc>
        <w:tc>
          <w:tcPr>
            <w:tcW w:type="dxa" w:w="70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mag-2008</w:t>
            </w:r>
          </w:p>
        </w:tc>
      </w:tr>
      <w:tr>
        <w:tblPrEx>
          <w:shd w:val="clear" w:color="auto" w:fill="auto"/>
        </w:tblPrEx>
        <w:trPr>
          <w:trHeight w:val="290" w:hRule="atLeast"/>
        </w:trPr>
        <w:tc>
          <w:tcPr>
            <w:tcW w:type="dxa" w:w="284"/>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19</w:t>
            </w:r>
          </w:p>
        </w:tc>
        <w:tc>
          <w:tcPr>
            <w:tcW w:type="dxa" w:w="1843"/>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Sorain Cecchini S.p.A. - 01297330589</w:t>
            </w:r>
          </w:p>
        </w:tc>
        <w:tc>
          <w:tcPr>
            <w:tcW w:type="dxa" w:w="1418"/>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ROMA (RM) - VIALE DEL POGGIO FIORITO 63</w:t>
            </w:r>
          </w:p>
        </w:tc>
        <w:tc>
          <w:tcPr>
            <w:tcW w:type="dxa" w:w="850"/>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01/12/1973</w:t>
            </w:r>
          </w:p>
        </w:tc>
        <w:tc>
          <w:tcPr>
            <w:tcW w:type="dxa" w:w="1843"/>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STUDI, RACCOLTA, RECUPERO, SMALTIMENTO RIFIUTI; COSTRUZIONE IMPIANTI SMALTIMENTO DI RIFIUTI SOLIDI</w:t>
            </w:r>
          </w:p>
        </w:tc>
        <w:tc>
          <w:tcPr>
            <w:tcW w:type="dxa" w:w="127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Cerroni DONATELLA</w:t>
            </w:r>
          </w:p>
        </w:tc>
        <w:tc>
          <w:tcPr>
            <w:tcW w:type="dxa" w:w="170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TITOLARE QUOTE (50% CAPITALE SOCIALE)</w:t>
            </w:r>
          </w:p>
        </w:tc>
        <w:tc>
          <w:tcPr>
            <w:tcW w:type="dxa" w:w="70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dic-2016</w:t>
            </w:r>
          </w:p>
        </w:tc>
      </w:tr>
      <w:tr>
        <w:tblPrEx>
          <w:shd w:val="clear" w:color="auto" w:fill="auto"/>
        </w:tblPrEx>
        <w:trPr>
          <w:trHeight w:val="290" w:hRule="atLeast"/>
        </w:trPr>
        <w:tc>
          <w:tcPr>
            <w:tcW w:type="dxa" w:w="284"/>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843"/>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418"/>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850"/>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843"/>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275"/>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Cerroni MONICA</w:t>
            </w:r>
          </w:p>
        </w:tc>
        <w:tc>
          <w:tcPr>
            <w:tcW w:type="dxa" w:w="170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CONSIGLIERE</w:t>
            </w:r>
          </w:p>
        </w:tc>
        <w:tc>
          <w:tcPr>
            <w:tcW w:type="dxa" w:w="70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nov-2016</w:t>
            </w:r>
          </w:p>
        </w:tc>
      </w:tr>
      <w:tr>
        <w:tblPrEx>
          <w:shd w:val="clear" w:color="auto" w:fill="auto"/>
        </w:tblPrEx>
        <w:trPr>
          <w:trHeight w:val="290" w:hRule="atLeast"/>
        </w:trPr>
        <w:tc>
          <w:tcPr>
            <w:tcW w:type="dxa" w:w="284"/>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843"/>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418"/>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850"/>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843"/>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275"/>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70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TITOLARE QUOTE (50% CAPITALE SOCIALE)</w:t>
            </w:r>
          </w:p>
        </w:tc>
        <w:tc>
          <w:tcPr>
            <w:tcW w:type="dxa" w:w="70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dic-2016</w:t>
            </w:r>
          </w:p>
        </w:tc>
      </w:tr>
      <w:tr>
        <w:tblPrEx>
          <w:shd w:val="clear" w:color="auto" w:fill="auto"/>
        </w:tblPrEx>
        <w:trPr>
          <w:trHeight w:val="290" w:hRule="atLeast"/>
        </w:trPr>
        <w:tc>
          <w:tcPr>
            <w:tcW w:type="dxa" w:w="284"/>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20</w:t>
            </w:r>
          </w:p>
        </w:tc>
        <w:tc>
          <w:tcPr>
            <w:tcW w:type="dxa" w:w="1843"/>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Sorain Cecchini UNO S.r.l. - 07656511008</w:t>
            </w:r>
          </w:p>
        </w:tc>
        <w:tc>
          <w:tcPr>
            <w:tcW w:type="dxa" w:w="1418"/>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ROMA (RM) - VIALE DEL POGGIO FIORITO 63</w:t>
            </w:r>
          </w:p>
        </w:tc>
        <w:tc>
          <w:tcPr>
            <w:tcW w:type="dxa" w:w="850"/>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25/09/2003</w:t>
            </w:r>
          </w:p>
        </w:tc>
        <w:tc>
          <w:tcPr>
            <w:tcW w:type="dxa" w:w="1843"/>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COSTRUZIONE DI EDIFICI RESIDENZIALI E NON RESIDENZIALI</w:t>
            </w:r>
          </w:p>
        </w:tc>
        <w:tc>
          <w:tcPr>
            <w:tcW w:type="dxa" w:w="1275"/>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Cerroni DONATELLA</w:t>
            </w:r>
          </w:p>
        </w:tc>
        <w:tc>
          <w:tcPr>
            <w:tcW w:type="dxa" w:w="170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CONSIGLIERE</w:t>
            </w:r>
          </w:p>
        </w:tc>
        <w:tc>
          <w:tcPr>
            <w:tcW w:type="dxa" w:w="70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nov-2016</w:t>
            </w:r>
          </w:p>
        </w:tc>
      </w:tr>
      <w:tr>
        <w:tblPrEx>
          <w:shd w:val="clear" w:color="auto" w:fill="auto"/>
        </w:tblPrEx>
        <w:trPr>
          <w:trHeight w:val="290" w:hRule="atLeast"/>
        </w:trPr>
        <w:tc>
          <w:tcPr>
            <w:tcW w:type="dxa" w:w="284"/>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843"/>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418"/>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850"/>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843"/>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275"/>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70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TITOLARE QUOTE (1,7% CAPITALE SOCIALE)</w:t>
            </w:r>
          </w:p>
        </w:tc>
        <w:tc>
          <w:tcPr>
            <w:tcW w:type="dxa" w:w="70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mar-2009</w:t>
            </w:r>
          </w:p>
        </w:tc>
      </w:tr>
      <w:tr>
        <w:tblPrEx>
          <w:shd w:val="clear" w:color="auto" w:fill="auto"/>
        </w:tblPrEx>
        <w:trPr>
          <w:trHeight w:val="290" w:hRule="atLeast"/>
        </w:trPr>
        <w:tc>
          <w:tcPr>
            <w:tcW w:type="dxa" w:w="284"/>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843"/>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418"/>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850"/>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843"/>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275"/>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Cerroni MONICA</w:t>
            </w:r>
          </w:p>
        </w:tc>
        <w:tc>
          <w:tcPr>
            <w:tcW w:type="dxa" w:w="170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CONSIGLIERE</w:t>
            </w:r>
          </w:p>
        </w:tc>
        <w:tc>
          <w:tcPr>
            <w:tcW w:type="dxa" w:w="70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nov-2016</w:t>
            </w:r>
          </w:p>
        </w:tc>
      </w:tr>
      <w:tr>
        <w:tblPrEx>
          <w:shd w:val="clear" w:color="auto" w:fill="auto"/>
        </w:tblPrEx>
        <w:trPr>
          <w:trHeight w:val="290" w:hRule="atLeast"/>
        </w:trPr>
        <w:tc>
          <w:tcPr>
            <w:tcW w:type="dxa" w:w="284"/>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843"/>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418"/>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850"/>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843"/>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275"/>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70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TITOLARE QUOTE (1,7% CAPITALE SOCIALE)</w:t>
            </w:r>
          </w:p>
        </w:tc>
        <w:tc>
          <w:tcPr>
            <w:tcW w:type="dxa" w:w="70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mar-2009</w:t>
            </w:r>
          </w:p>
        </w:tc>
      </w:tr>
      <w:tr>
        <w:tblPrEx>
          <w:shd w:val="clear" w:color="auto" w:fill="auto"/>
        </w:tblPrEx>
        <w:trPr>
          <w:trHeight w:val="430" w:hRule="atLeast"/>
        </w:trPr>
        <w:tc>
          <w:tcPr>
            <w:tcW w:type="dxa" w:w="28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21</w:t>
            </w:r>
          </w:p>
        </w:tc>
        <w:tc>
          <w:tcPr>
            <w:tcW w:type="dxa" w:w="184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SYSTEMA AMBIENTE S.p.A. - 02071270983</w:t>
            </w:r>
          </w:p>
        </w:tc>
        <w:tc>
          <w:tcPr>
            <w:tcW w:type="dxa" w:w="141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BRESCIA (BS) - VIA DEI SANTI 58</w:t>
            </w:r>
          </w:p>
        </w:tc>
        <w:tc>
          <w:tcPr>
            <w:tcW w:type="dxa" w:w="8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07/11/1980</w:t>
            </w:r>
          </w:p>
        </w:tc>
        <w:tc>
          <w:tcPr>
            <w:tcW w:type="dxa" w:w="184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ALTRE ATTIVITA' DI CONSULENZA TECNICA NCA</w:t>
            </w:r>
          </w:p>
        </w:tc>
        <w:tc>
          <w:tcPr>
            <w:tcW w:type="dxa" w:w="127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Cerroni MONICA</w:t>
            </w:r>
          </w:p>
        </w:tc>
        <w:tc>
          <w:tcPr>
            <w:tcW w:type="dxa" w:w="170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PRESIDENTE DEL CONSIGLIO  AMMINISTRAZIONE</w:t>
            </w:r>
          </w:p>
        </w:tc>
        <w:tc>
          <w:tcPr>
            <w:tcW w:type="dxa" w:w="70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mag-2016</w:t>
            </w:r>
          </w:p>
        </w:tc>
      </w:tr>
      <w:tr>
        <w:tblPrEx>
          <w:shd w:val="clear" w:color="auto" w:fill="auto"/>
        </w:tblPrEx>
        <w:trPr>
          <w:trHeight w:val="290" w:hRule="atLeast"/>
        </w:trPr>
        <w:tc>
          <w:tcPr>
            <w:tcW w:type="dxa" w:w="28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22</w:t>
            </w:r>
          </w:p>
        </w:tc>
        <w:tc>
          <w:tcPr>
            <w:tcW w:type="dxa" w:w="184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URBE ENERGIA S.r.l. CON UNICO SOCIO - 05877581008</w:t>
            </w:r>
          </w:p>
        </w:tc>
        <w:tc>
          <w:tcPr>
            <w:tcW w:type="dxa" w:w="141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ROMA (RM) - VIA DELL' ESPERANTO 74</w:t>
            </w:r>
          </w:p>
        </w:tc>
        <w:tc>
          <w:tcPr>
            <w:tcW w:type="dxa" w:w="8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22/10/1999</w:t>
            </w:r>
          </w:p>
        </w:tc>
        <w:tc>
          <w:tcPr>
            <w:tcW w:type="dxa" w:w="184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PRODUZIONE DI ENERGIA ELETTRICA</w:t>
            </w:r>
          </w:p>
        </w:tc>
        <w:tc>
          <w:tcPr>
            <w:tcW w:type="dxa" w:w="127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Cerroni MONICA</w:t>
            </w:r>
          </w:p>
        </w:tc>
        <w:tc>
          <w:tcPr>
            <w:tcW w:type="dxa" w:w="170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AMMINISTRATORE UNICO</w:t>
            </w:r>
          </w:p>
        </w:tc>
        <w:tc>
          <w:tcPr>
            <w:tcW w:type="dxa" w:w="70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feb-2014</w:t>
            </w:r>
          </w:p>
        </w:tc>
      </w:tr>
    </w:tbl>
    <w:p>
      <w:pPr>
        <w:pStyle w:val="Normal"/>
        <w:keepNext w:val="1"/>
        <w:ind w:right="567" w:firstLine="567"/>
        <w:jc w:val="center"/>
        <w:rPr>
          <w:rFonts w:ascii="Book Antiqua" w:cs="Book Antiqua" w:hAnsi="Book Antiqua" w:eastAsia="Book Antiqua"/>
        </w:rPr>
      </w:pPr>
    </w:p>
    <w:p>
      <w:pPr>
        <w:pStyle w:val="Normal"/>
        <w:keepNext w:val="1"/>
        <w:ind w:left="567" w:right="567" w:firstLine="0"/>
        <w:jc w:val="both"/>
        <w:rPr>
          <w:rFonts w:ascii="Book Antiqua" w:cs="Book Antiqua" w:hAnsi="Book Antiqua" w:eastAsia="Book Antiqua"/>
        </w:rPr>
      </w:pPr>
    </w:p>
    <w:p>
      <w:pPr>
        <w:pStyle w:val="Normal"/>
        <w:keepNext w:val="1"/>
        <w:ind w:left="1276" w:right="567" w:hanging="709"/>
        <w:jc w:val="both"/>
        <w:outlineLvl w:val="0"/>
        <w:rPr>
          <w:rFonts w:ascii="Book Antiqua" w:cs="Book Antiqua" w:hAnsi="Book Antiqua" w:eastAsia="Book Antiqua"/>
        </w:rPr>
      </w:pPr>
    </w:p>
    <w:p>
      <w:pPr>
        <w:pStyle w:val="Normal"/>
        <w:keepNext w:val="1"/>
        <w:ind w:left="1276" w:right="567" w:hanging="709"/>
        <w:jc w:val="both"/>
        <w:outlineLvl w:val="0"/>
        <w:rPr>
          <w:rFonts w:ascii="Book Antiqua" w:cs="Book Antiqua" w:hAnsi="Book Antiqua" w:eastAsia="Book Antiqua"/>
          <w:i w:val="1"/>
          <w:iCs w:val="1"/>
          <w:sz w:val="28"/>
          <w:szCs w:val="28"/>
        </w:rPr>
      </w:pPr>
      <w:r>
        <w:rPr>
          <w:rFonts w:ascii="Book Antiqua"/>
          <w:i w:val="1"/>
          <w:iCs w:val="1"/>
          <w:sz w:val="28"/>
          <w:szCs w:val="28"/>
          <w:rtl w:val="0"/>
          <w:lang w:val="it-IT"/>
        </w:rPr>
        <w:t>Le imprese della famiglia Cerroni</w:t>
      </w:r>
    </w:p>
    <w:p>
      <w:pPr>
        <w:pStyle w:val="Normal"/>
        <w:keepNext w:val="1"/>
        <w:ind w:left="567" w:right="567" w:firstLine="0"/>
        <w:jc w:val="both"/>
        <w:rPr>
          <w:rFonts w:ascii="Book Antiqua" w:cs="Book Antiqua" w:hAnsi="Book Antiqua" w:eastAsia="Book Antiqua"/>
        </w:rPr>
      </w:pPr>
    </w:p>
    <w:p>
      <w:pPr>
        <w:pStyle w:val="Normal"/>
        <w:keepNext w:val="1"/>
        <w:ind w:left="567" w:right="567" w:firstLine="0"/>
        <w:jc w:val="both"/>
        <w:rPr>
          <w:rFonts w:ascii="Book Antiqua" w:cs="Book Antiqua" w:hAnsi="Book Antiqua" w:eastAsia="Book Antiqua"/>
        </w:rPr>
      </w:pPr>
      <w:r>
        <w:rPr>
          <w:rFonts w:ascii="Book Antiqua"/>
          <w:rtl w:val="0"/>
          <w:lang w:val="it-IT"/>
        </w:rPr>
        <w:t>I dati acquisiti relativi alle cointeressenze di Manlio, Monica e Donatella Cerroni permettono, quindi, di tracciare un primo elenco di aziende in seno alle quali, alla data dell</w:t>
      </w:r>
      <w:r>
        <w:rPr>
          <w:rFonts w:hAnsi="Book Antiqua" w:hint="default"/>
          <w:rtl w:val="0"/>
          <w:lang w:val="it-IT"/>
        </w:rPr>
        <w:t>’</w:t>
      </w:r>
      <w:r>
        <w:rPr>
          <w:rFonts w:ascii="Book Antiqua"/>
          <w:rtl w:val="0"/>
          <w:lang w:val="it-IT"/>
        </w:rPr>
        <w:t>11 maggio 2017, gli stessi vantano partecipazioni dirette ovvero ruoli societari.</w:t>
      </w:r>
    </w:p>
    <w:p>
      <w:pPr>
        <w:pStyle w:val="Normal"/>
        <w:keepNext w:val="1"/>
        <w:ind w:left="567" w:right="567" w:firstLine="0"/>
        <w:jc w:val="both"/>
        <w:rPr>
          <w:rFonts w:ascii="Book Antiqua" w:cs="Book Antiqua" w:hAnsi="Book Antiqua" w:eastAsia="Book Antiqua"/>
        </w:rPr>
      </w:pPr>
      <w:r>
        <w:rPr>
          <w:rFonts w:ascii="Book Antiqua"/>
          <w:rtl w:val="0"/>
          <w:lang w:val="it-IT"/>
        </w:rPr>
        <w:t xml:space="preserve">I soggetti economici emersi </w:t>
      </w:r>
      <w:r>
        <w:rPr>
          <w:rFonts w:hAnsi="Book Antiqua" w:hint="default"/>
          <w:rtl w:val="0"/>
          <w:lang w:val="it-IT"/>
        </w:rPr>
        <w:t xml:space="preserve">– </w:t>
      </w:r>
      <w:r>
        <w:rPr>
          <w:rFonts w:ascii="Book Antiqua"/>
          <w:rtl w:val="0"/>
          <w:lang w:val="it-IT"/>
        </w:rPr>
        <w:t>elencati in rigoroso ordine alfabetico, con indicazione, per ciascuno di essi, delle generalit</w:t>
      </w:r>
      <w:r>
        <w:rPr>
          <w:rFonts w:hAnsi="Book Antiqua" w:hint="default"/>
          <w:rtl w:val="0"/>
          <w:lang w:val="it-IT"/>
        </w:rPr>
        <w:t xml:space="preserve">à </w:t>
      </w:r>
      <w:r>
        <w:rPr>
          <w:rFonts w:ascii="Book Antiqua"/>
          <w:rtl w:val="0"/>
          <w:lang w:val="it-IT"/>
        </w:rPr>
        <w:t>(denominazione, codice fiscale, attivit</w:t>
      </w:r>
      <w:r>
        <w:rPr>
          <w:rFonts w:hAnsi="Book Antiqua" w:hint="default"/>
          <w:rtl w:val="0"/>
          <w:lang w:val="it-IT"/>
        </w:rPr>
        <w:t xml:space="preserve">à </w:t>
      </w:r>
      <w:r>
        <w:rPr>
          <w:rFonts w:ascii="Book Antiqua"/>
          <w:rtl w:val="0"/>
          <w:lang w:val="it-IT"/>
        </w:rPr>
        <w:t>prevalente esercitata, data di inizio ed eventuale fine di svolgimento dell</w:t>
      </w:r>
      <w:r>
        <w:rPr>
          <w:rFonts w:hAnsi="Book Antiqua" w:hint="default"/>
          <w:rtl w:val="0"/>
          <w:lang w:val="it-IT"/>
        </w:rPr>
        <w:t>’</w:t>
      </w:r>
      <w:r>
        <w:rPr>
          <w:rFonts w:ascii="Book Antiqua"/>
          <w:rtl w:val="0"/>
          <w:lang w:val="it-IT"/>
        </w:rPr>
        <w:t>attivit</w:t>
      </w:r>
      <w:r>
        <w:rPr>
          <w:rFonts w:hAnsi="Book Antiqua" w:hint="default"/>
          <w:rtl w:val="0"/>
          <w:lang w:val="it-IT"/>
        </w:rPr>
        <w:t>à</w:t>
      </w:r>
      <w:r>
        <w:rPr>
          <w:rFonts w:ascii="Book Antiqua"/>
          <w:rtl w:val="0"/>
          <w:lang w:val="it-IT"/>
        </w:rPr>
        <w:t>), nonch</w:t>
      </w:r>
      <w:r>
        <w:rPr>
          <w:rFonts w:hAnsi="Book Antiqua" w:hint="default"/>
          <w:rtl w:val="0"/>
          <w:lang w:val="it-IT"/>
        </w:rPr>
        <w:t xml:space="preserve">é </w:t>
      </w:r>
      <w:r>
        <w:rPr>
          <w:rFonts w:ascii="Book Antiqua"/>
          <w:rtl w:val="0"/>
          <w:lang w:val="it-IT"/>
        </w:rPr>
        <w:t>del tipo e della durata di rapporto di connessione con i Cerroni - sono analiticamente riportati nella seguente tabella</w:t>
      </w:r>
    </w:p>
    <w:p>
      <w:pPr>
        <w:pStyle w:val="Normal"/>
        <w:keepNext w:val="1"/>
        <w:ind w:left="567" w:right="567" w:firstLine="0"/>
        <w:jc w:val="both"/>
        <w:rPr>
          <w:rFonts w:ascii="Book Antiqua" w:cs="Book Antiqua" w:hAnsi="Book Antiqua" w:eastAsia="Book Antiqua"/>
        </w:rPr>
      </w:pPr>
    </w:p>
    <w:p>
      <w:pPr>
        <w:pStyle w:val="Normal"/>
        <w:keepNext w:val="1"/>
        <w:ind w:left="1418" w:right="567" w:hanging="851"/>
        <w:rPr>
          <w:rFonts w:ascii="Book Antiqua" w:cs="Book Antiqua" w:hAnsi="Book Antiqua" w:eastAsia="Book Antiqua"/>
          <w:i w:val="1"/>
          <w:iCs w:val="1"/>
          <w:sz w:val="22"/>
          <w:szCs w:val="22"/>
        </w:rPr>
      </w:pPr>
    </w:p>
    <w:p>
      <w:pPr>
        <w:pStyle w:val="Normal"/>
        <w:keepNext w:val="1"/>
        <w:ind w:left="1418" w:right="567" w:hanging="851"/>
        <w:rPr>
          <w:rFonts w:ascii="Book Antiqua" w:cs="Book Antiqua" w:hAnsi="Book Antiqua" w:eastAsia="Book Antiqua"/>
          <w:i w:val="1"/>
          <w:iCs w:val="1"/>
          <w:sz w:val="22"/>
          <w:szCs w:val="22"/>
        </w:rPr>
      </w:pPr>
      <w:r>
        <w:rPr>
          <w:rFonts w:ascii="Book Antiqua"/>
          <w:i w:val="1"/>
          <w:iCs w:val="1"/>
          <w:sz w:val="22"/>
          <w:szCs w:val="22"/>
          <w:rtl w:val="0"/>
          <w:lang w:val="it-IT"/>
        </w:rPr>
        <w:t xml:space="preserve">Tab. 4 </w:t>
      </w:r>
      <w:r>
        <w:rPr>
          <w:rFonts w:hAnsi="Book Antiqua" w:hint="default"/>
          <w:i w:val="1"/>
          <w:iCs w:val="1"/>
          <w:sz w:val="22"/>
          <w:szCs w:val="22"/>
          <w:rtl w:val="0"/>
          <w:lang w:val="it-IT"/>
        </w:rPr>
        <w:t xml:space="preserve">– </w:t>
      </w:r>
      <w:r>
        <w:rPr>
          <w:rFonts w:ascii="Book Antiqua"/>
          <w:i w:val="1"/>
          <w:iCs w:val="1"/>
          <w:sz w:val="22"/>
          <w:szCs w:val="22"/>
          <w:rtl w:val="0"/>
          <w:lang w:val="it-IT"/>
        </w:rPr>
        <w:t>Cointeressenze attuali di Manlio, Donatella e Monica Cerroni (ruoli societari e partecipazioni)</w:t>
      </w:r>
    </w:p>
    <w:p>
      <w:pPr>
        <w:pStyle w:val="Normal"/>
        <w:keepNext w:val="1"/>
        <w:ind w:left="567" w:right="567" w:firstLine="0"/>
        <w:jc w:val="center"/>
        <w:rPr>
          <w:rFonts w:ascii="Book Antiqua" w:cs="Book Antiqua" w:hAnsi="Book Antiqua" w:eastAsia="Book Antiqua"/>
        </w:rPr>
      </w:pPr>
    </w:p>
    <w:tbl>
      <w:tblPr>
        <w:tblW w:w="9999" w:type="dxa"/>
        <w:jc w:val="center"/>
        <w:tblInd w:w="108" w:type="dxa"/>
        <w:tblBorders>
          <w:top w:val="single" w:color="000000" w:sz="2" w:space="0" w:shadow="0" w:frame="0"/>
          <w:left w:val="single" w:color="000000" w:sz="2" w:space="0" w:shadow="0" w:frame="0"/>
          <w:bottom w:val="single" w:color="000000" w:sz="2" w:space="0" w:shadow="0" w:frame="0"/>
          <w:right w:val="single" w:color="000000" w:sz="2" w:space="0" w:shadow="0" w:frame="0"/>
          <w:insideH w:val="single" w:color="000000" w:sz="2" w:space="0" w:shadow="0" w:frame="0"/>
          <w:insideV w:val="single" w:color="000000" w:sz="2" w:space="0" w:shadow="0" w:frame="0"/>
        </w:tblBorders>
        <w:shd w:val="clear" w:color="auto" w:fill="auto"/>
        <w:tblLayout w:type="fixed"/>
      </w:tblPr>
      <w:tblGrid>
        <w:gridCol w:w="320"/>
        <w:gridCol w:w="2025"/>
        <w:gridCol w:w="1417"/>
        <w:gridCol w:w="709"/>
        <w:gridCol w:w="2126"/>
        <w:gridCol w:w="1175"/>
        <w:gridCol w:w="1377"/>
        <w:gridCol w:w="850"/>
      </w:tblGrid>
      <w:tr>
        <w:tblPrEx>
          <w:shd w:val="clear" w:color="auto" w:fill="auto"/>
        </w:tblPrEx>
        <w:trPr>
          <w:trHeight w:val="210" w:hRule="atLeast"/>
        </w:trPr>
        <w:tc>
          <w:tcPr>
            <w:tcW w:type="dxa" w:w="320"/>
            <w:tcBorders>
              <w:top w:val="nil"/>
              <w:left w:val="nil"/>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tc>
        <w:tc>
          <w:tcPr>
            <w:tcW w:type="dxa" w:w="6277"/>
            <w:gridSpan w:val="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ccccff"/>
            <w:tcMar>
              <w:top w:type="dxa" w:w="80"/>
              <w:left w:type="dxa" w:w="80"/>
              <w:bottom w:type="dxa" w:w="80"/>
              <w:right w:type="dxa" w:w="80"/>
            </w:tcMar>
            <w:vAlign w:val="center"/>
          </w:tcPr>
          <w:p>
            <w:pPr>
              <w:pStyle w:val="Normal"/>
              <w:keepNext w:val="1"/>
              <w:jc w:val="center"/>
            </w:pPr>
            <w:r>
              <w:rPr>
                <w:rFonts w:ascii="Calibri" w:cs="Calibri" w:hAnsi="Calibri" w:eastAsia="Calibri"/>
                <w:b w:val="1"/>
                <w:bCs w:val="1"/>
                <w:caps w:val="0"/>
                <w:smallCaps w:val="0"/>
                <w:strike w:val="0"/>
                <w:dstrike w:val="0"/>
                <w:outline w:val="0"/>
                <w:color w:val="000000"/>
                <w:spacing w:val="0"/>
                <w:kern w:val="0"/>
                <w:position w:val="0"/>
                <w:sz w:val="16"/>
                <w:szCs w:val="16"/>
                <w:u w:val="none" w:color="000000"/>
                <w:vertAlign w:val="baseline"/>
                <w:rtl w:val="0"/>
                <w:lang w:val="it-IT"/>
              </w:rPr>
              <w:t>SOGGETTO ECONOMICO/SOCIETA'</w:t>
            </w:r>
          </w:p>
        </w:tc>
        <w:tc>
          <w:tcPr>
            <w:tcW w:type="dxa" w:w="3402"/>
            <w:gridSpan w:val="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ccccff"/>
            <w:tcMar>
              <w:top w:type="dxa" w:w="80"/>
              <w:left w:type="dxa" w:w="80"/>
              <w:bottom w:type="dxa" w:w="80"/>
              <w:right w:type="dxa" w:w="80"/>
            </w:tcMar>
            <w:vAlign w:val="center"/>
          </w:tcPr>
          <w:p>
            <w:pPr>
              <w:pStyle w:val="Normal"/>
              <w:keepNext w:val="1"/>
              <w:jc w:val="center"/>
            </w:pPr>
            <w:r>
              <w:rPr>
                <w:rFonts w:ascii="Calibri" w:cs="Calibri" w:hAnsi="Calibri" w:eastAsia="Calibri"/>
                <w:b w:val="1"/>
                <w:bCs w:val="1"/>
                <w:caps w:val="0"/>
                <w:smallCaps w:val="0"/>
                <w:strike w:val="0"/>
                <w:dstrike w:val="0"/>
                <w:outline w:val="0"/>
                <w:color w:val="000000"/>
                <w:spacing w:val="0"/>
                <w:kern w:val="0"/>
                <w:position w:val="0"/>
                <w:sz w:val="16"/>
                <w:szCs w:val="16"/>
                <w:u w:val="none" w:color="000000"/>
                <w:vertAlign w:val="baseline"/>
                <w:rtl w:val="0"/>
                <w:lang w:val="it-IT"/>
              </w:rPr>
              <w:t>RELAZIONE</w:t>
            </w:r>
          </w:p>
        </w:tc>
      </w:tr>
      <w:tr>
        <w:tblPrEx>
          <w:shd w:val="clear" w:color="auto" w:fill="auto"/>
        </w:tblPrEx>
        <w:trPr>
          <w:trHeight w:val="370" w:hRule="atLeast"/>
        </w:trPr>
        <w:tc>
          <w:tcPr>
            <w:tcW w:type="dxa" w:w="32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ccccff"/>
            <w:tcMar>
              <w:top w:type="dxa" w:w="80"/>
              <w:left w:type="dxa" w:w="80"/>
              <w:bottom w:type="dxa" w:w="80"/>
              <w:right w:type="dxa" w:w="80"/>
            </w:tcMar>
            <w:vAlign w:val="center"/>
          </w:tcPr>
          <w:p>
            <w:pPr>
              <w:pStyle w:val="Normal"/>
              <w:keepNext w:val="1"/>
              <w:jc w:val="center"/>
            </w:pPr>
            <w:r>
              <w:rPr>
                <w:rFonts w:ascii="Calibri" w:cs="Calibri" w:hAnsi="Calibri" w:eastAsia="Calibri"/>
                <w:b w:val="1"/>
                <w:bCs w:val="1"/>
                <w:caps w:val="0"/>
                <w:smallCaps w:val="0"/>
                <w:strike w:val="0"/>
                <w:dstrike w:val="0"/>
                <w:outline w:val="0"/>
                <w:color w:val="000000"/>
                <w:spacing w:val="0"/>
                <w:kern w:val="0"/>
                <w:position w:val="0"/>
                <w:sz w:val="14"/>
                <w:szCs w:val="14"/>
                <w:u w:val="none" w:color="000000"/>
                <w:vertAlign w:val="baseline"/>
                <w:rtl w:val="0"/>
                <w:lang w:val="it-IT"/>
              </w:rPr>
              <w:t>N.</w:t>
            </w:r>
          </w:p>
        </w:tc>
        <w:tc>
          <w:tcPr>
            <w:tcW w:type="dxa" w:w="202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ccccff"/>
            <w:tcMar>
              <w:top w:type="dxa" w:w="80"/>
              <w:left w:type="dxa" w:w="80"/>
              <w:bottom w:type="dxa" w:w="80"/>
              <w:right w:type="dxa" w:w="80"/>
            </w:tcMar>
            <w:vAlign w:val="center"/>
          </w:tcPr>
          <w:p>
            <w:pPr>
              <w:pStyle w:val="Normal"/>
              <w:keepNext w:val="1"/>
              <w:jc w:val="center"/>
            </w:pPr>
            <w:r>
              <w:rPr>
                <w:rFonts w:ascii="Calibri" w:cs="Calibri" w:hAnsi="Calibri" w:eastAsia="Calibri"/>
                <w:b w:val="1"/>
                <w:bCs w:val="1"/>
                <w:caps w:val="0"/>
                <w:smallCaps w:val="0"/>
                <w:strike w:val="0"/>
                <w:dstrike w:val="0"/>
                <w:outline w:val="0"/>
                <w:color w:val="000000"/>
                <w:spacing w:val="0"/>
                <w:kern w:val="0"/>
                <w:position w:val="0"/>
                <w:sz w:val="14"/>
                <w:szCs w:val="14"/>
                <w:u w:val="none" w:color="000000"/>
                <w:vertAlign w:val="baseline"/>
                <w:rtl w:val="0"/>
                <w:lang w:val="it-IT"/>
              </w:rPr>
              <w:t>DENOMINAZIONE E CODICE FISCALE</w:t>
            </w:r>
          </w:p>
        </w:tc>
        <w:tc>
          <w:tcPr>
            <w:tcW w:type="dxa" w:w="141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ccccff"/>
            <w:tcMar>
              <w:top w:type="dxa" w:w="80"/>
              <w:left w:type="dxa" w:w="80"/>
              <w:bottom w:type="dxa" w:w="80"/>
              <w:right w:type="dxa" w:w="80"/>
            </w:tcMar>
            <w:vAlign w:val="center"/>
          </w:tcPr>
          <w:p>
            <w:pPr>
              <w:pStyle w:val="Normal"/>
              <w:keepNext w:val="1"/>
              <w:jc w:val="center"/>
            </w:pPr>
            <w:r>
              <w:rPr>
                <w:rFonts w:ascii="Calibri" w:cs="Calibri" w:hAnsi="Calibri" w:eastAsia="Calibri"/>
                <w:b w:val="1"/>
                <w:bCs w:val="1"/>
                <w:caps w:val="0"/>
                <w:smallCaps w:val="0"/>
                <w:strike w:val="0"/>
                <w:dstrike w:val="0"/>
                <w:outline w:val="0"/>
                <w:color w:val="000000"/>
                <w:spacing w:val="0"/>
                <w:kern w:val="0"/>
                <w:position w:val="0"/>
                <w:sz w:val="14"/>
                <w:szCs w:val="14"/>
                <w:u w:val="none" w:color="000000"/>
                <w:vertAlign w:val="baseline"/>
                <w:rtl w:val="0"/>
                <w:lang w:val="it-IT"/>
              </w:rPr>
              <w:t>SEDE (indirizzo completo)</w:t>
            </w:r>
          </w:p>
        </w:tc>
        <w:tc>
          <w:tcPr>
            <w:tcW w:type="dxa" w:w="70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ccccff"/>
            <w:tcMar>
              <w:top w:type="dxa" w:w="80"/>
              <w:left w:type="dxa" w:w="80"/>
              <w:bottom w:type="dxa" w:w="80"/>
              <w:right w:type="dxa" w:w="80"/>
            </w:tcMar>
            <w:vAlign w:val="center"/>
          </w:tcPr>
          <w:p>
            <w:pPr>
              <w:pStyle w:val="Normal"/>
              <w:keepNext w:val="1"/>
              <w:jc w:val="center"/>
            </w:pPr>
            <w:r>
              <w:rPr>
                <w:rFonts w:ascii="Calibri" w:cs="Calibri" w:hAnsi="Calibri" w:eastAsia="Calibri"/>
                <w:b w:val="1"/>
                <w:bCs w:val="1"/>
                <w:caps w:val="0"/>
                <w:smallCaps w:val="0"/>
                <w:strike w:val="0"/>
                <w:dstrike w:val="0"/>
                <w:outline w:val="0"/>
                <w:color w:val="000000"/>
                <w:spacing w:val="0"/>
                <w:kern w:val="0"/>
                <w:position w:val="0"/>
                <w:sz w:val="14"/>
                <w:szCs w:val="14"/>
                <w:u w:val="none" w:color="000000"/>
                <w:vertAlign w:val="baseline"/>
                <w:rtl w:val="0"/>
                <w:lang w:val="it-IT"/>
              </w:rPr>
              <w:t xml:space="preserve">DATA INIZIO </w:t>
            </w:r>
          </w:p>
        </w:tc>
        <w:tc>
          <w:tcPr>
            <w:tcW w:type="dxa" w:w="21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ccccff"/>
            <w:tcMar>
              <w:top w:type="dxa" w:w="80"/>
              <w:left w:type="dxa" w:w="80"/>
              <w:bottom w:type="dxa" w:w="80"/>
              <w:right w:type="dxa" w:w="80"/>
            </w:tcMar>
            <w:vAlign w:val="center"/>
          </w:tcPr>
          <w:p>
            <w:pPr>
              <w:pStyle w:val="Normal"/>
              <w:keepNext w:val="1"/>
              <w:jc w:val="center"/>
            </w:pPr>
            <w:r>
              <w:rPr>
                <w:rFonts w:ascii="Calibri" w:cs="Calibri" w:hAnsi="Calibri" w:eastAsia="Calibri"/>
                <w:b w:val="1"/>
                <w:bCs w:val="1"/>
                <w:caps w:val="0"/>
                <w:smallCaps w:val="0"/>
                <w:strike w:val="0"/>
                <w:dstrike w:val="0"/>
                <w:outline w:val="0"/>
                <w:color w:val="000000"/>
                <w:spacing w:val="0"/>
                <w:kern w:val="0"/>
                <w:position w:val="0"/>
                <w:sz w:val="14"/>
                <w:szCs w:val="14"/>
                <w:u w:val="none" w:color="000000"/>
                <w:vertAlign w:val="baseline"/>
                <w:rtl w:val="0"/>
                <w:lang w:val="it-IT"/>
              </w:rPr>
              <w:t>ATTIVITA'</w:t>
            </w:r>
          </w:p>
        </w:tc>
        <w:tc>
          <w:tcPr>
            <w:tcW w:type="dxa" w:w="117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ccccff"/>
            <w:tcMar>
              <w:top w:type="dxa" w:w="80"/>
              <w:left w:type="dxa" w:w="80"/>
              <w:bottom w:type="dxa" w:w="80"/>
              <w:right w:type="dxa" w:w="80"/>
            </w:tcMar>
            <w:vAlign w:val="center"/>
          </w:tcPr>
          <w:p>
            <w:pPr>
              <w:pStyle w:val="Normal"/>
              <w:keepNext w:val="1"/>
              <w:jc w:val="center"/>
            </w:pPr>
            <w:r>
              <w:rPr>
                <w:rFonts w:ascii="Calibri" w:cs="Calibri" w:hAnsi="Calibri" w:eastAsia="Calibri"/>
                <w:b w:val="1"/>
                <w:bCs w:val="1"/>
                <w:caps w:val="0"/>
                <w:smallCaps w:val="0"/>
                <w:strike w:val="0"/>
                <w:dstrike w:val="0"/>
                <w:outline w:val="0"/>
                <w:color w:val="000000"/>
                <w:spacing w:val="0"/>
                <w:kern w:val="0"/>
                <w:position w:val="0"/>
                <w:sz w:val="14"/>
                <w:szCs w:val="14"/>
                <w:u w:val="none" w:color="000000"/>
                <w:vertAlign w:val="baseline"/>
                <w:rtl w:val="0"/>
                <w:lang w:val="it-IT"/>
              </w:rPr>
              <w:t>NOMINATIVO</w:t>
            </w:r>
          </w:p>
        </w:tc>
        <w:tc>
          <w:tcPr>
            <w:tcW w:type="dxa" w:w="13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ccccff"/>
            <w:tcMar>
              <w:top w:type="dxa" w:w="80"/>
              <w:left w:type="dxa" w:w="80"/>
              <w:bottom w:type="dxa" w:w="80"/>
              <w:right w:type="dxa" w:w="80"/>
            </w:tcMar>
            <w:vAlign w:val="center"/>
          </w:tcPr>
          <w:p>
            <w:pPr>
              <w:pStyle w:val="Normal"/>
              <w:keepNext w:val="1"/>
              <w:jc w:val="center"/>
            </w:pPr>
            <w:r>
              <w:rPr>
                <w:rFonts w:ascii="Calibri" w:cs="Calibri" w:hAnsi="Calibri" w:eastAsia="Calibri"/>
                <w:b w:val="1"/>
                <w:bCs w:val="1"/>
                <w:caps w:val="0"/>
                <w:smallCaps w:val="0"/>
                <w:strike w:val="0"/>
                <w:dstrike w:val="0"/>
                <w:outline w:val="0"/>
                <w:color w:val="000000"/>
                <w:spacing w:val="0"/>
                <w:kern w:val="0"/>
                <w:position w:val="0"/>
                <w:sz w:val="14"/>
                <w:szCs w:val="14"/>
                <w:u w:val="none" w:color="000000"/>
                <w:vertAlign w:val="baseline"/>
                <w:rtl w:val="0"/>
                <w:lang w:val="it-IT"/>
              </w:rPr>
              <w:t>TIPO</w:t>
            </w:r>
          </w:p>
        </w:tc>
        <w:tc>
          <w:tcPr>
            <w:tcW w:type="dxa" w:w="8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ccccff"/>
            <w:tcMar>
              <w:top w:type="dxa" w:w="80"/>
              <w:left w:type="dxa" w:w="80"/>
              <w:bottom w:type="dxa" w:w="80"/>
              <w:right w:type="dxa" w:w="80"/>
            </w:tcMar>
            <w:vAlign w:val="center"/>
          </w:tcPr>
          <w:p>
            <w:pPr>
              <w:pStyle w:val="Normal"/>
              <w:keepNext w:val="1"/>
              <w:jc w:val="center"/>
            </w:pPr>
            <w:r>
              <w:rPr>
                <w:rFonts w:ascii="Calibri" w:cs="Calibri" w:hAnsi="Calibri" w:eastAsia="Calibri"/>
                <w:b w:val="1"/>
                <w:bCs w:val="1"/>
                <w:caps w:val="0"/>
                <w:smallCaps w:val="0"/>
                <w:strike w:val="0"/>
                <w:dstrike w:val="0"/>
                <w:outline w:val="0"/>
                <w:color w:val="000000"/>
                <w:spacing w:val="0"/>
                <w:kern w:val="0"/>
                <w:position w:val="0"/>
                <w:sz w:val="14"/>
                <w:szCs w:val="14"/>
                <w:u w:val="none" w:color="000000"/>
                <w:vertAlign w:val="baseline"/>
                <w:rtl w:val="0"/>
                <w:lang w:val="it-IT"/>
              </w:rPr>
              <w:t>DAL</w:t>
            </w:r>
          </w:p>
        </w:tc>
      </w:tr>
      <w:tr>
        <w:tblPrEx>
          <w:shd w:val="clear" w:color="auto" w:fill="auto"/>
        </w:tblPrEx>
        <w:trPr>
          <w:trHeight w:val="290" w:hRule="atLeast"/>
        </w:trPr>
        <w:tc>
          <w:tcPr>
            <w:tcW w:type="dxa" w:w="320"/>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1</w:t>
            </w:r>
          </w:p>
        </w:tc>
        <w:tc>
          <w:tcPr>
            <w:tcW w:type="dxa" w:w="2025"/>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A LA BORNE B S.r.l. CON UNICO SOCIO - 06689101001</w:t>
            </w:r>
          </w:p>
        </w:tc>
        <w:tc>
          <w:tcPr>
            <w:tcW w:type="dxa" w:w="1417"/>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ROMA (RM) - VIA ANTONIO BERTOLONI 8</w:t>
            </w:r>
          </w:p>
        </w:tc>
        <w:tc>
          <w:tcPr>
            <w:tcW w:type="dxa" w:w="709"/>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19/07/2001</w:t>
            </w:r>
          </w:p>
        </w:tc>
        <w:tc>
          <w:tcPr>
            <w:tcW w:type="dxa" w:w="2126"/>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LOCAZIONE IMMOBILIARE DI BENI PROPRI O IN LEASING (AFFITTO)</w:t>
            </w:r>
          </w:p>
        </w:tc>
        <w:tc>
          <w:tcPr>
            <w:tcW w:type="dxa" w:w="117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Cerroni DONATELLA</w:t>
            </w:r>
          </w:p>
        </w:tc>
        <w:tc>
          <w:tcPr>
            <w:tcW w:type="dxa" w:w="13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AMMINISTRATORE UNICO</w:t>
            </w:r>
          </w:p>
        </w:tc>
        <w:tc>
          <w:tcPr>
            <w:tcW w:type="dxa" w:w="8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Mag-2014</w:t>
            </w:r>
          </w:p>
        </w:tc>
      </w:tr>
      <w:tr>
        <w:tblPrEx>
          <w:shd w:val="clear" w:color="auto" w:fill="auto"/>
        </w:tblPrEx>
        <w:trPr>
          <w:trHeight w:val="250" w:hRule="atLeast"/>
        </w:trPr>
        <w:tc>
          <w:tcPr>
            <w:tcW w:type="dxa" w:w="320"/>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2025"/>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41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709"/>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2126"/>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17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Cerroni MANLIO</w:t>
            </w:r>
          </w:p>
        </w:tc>
        <w:tc>
          <w:tcPr>
            <w:tcW w:type="dxa" w:w="13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SOCIO UNICO</w:t>
            </w:r>
          </w:p>
        </w:tc>
        <w:tc>
          <w:tcPr>
            <w:tcW w:type="dxa" w:w="8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Lug-2012</w:t>
            </w:r>
          </w:p>
        </w:tc>
      </w:tr>
      <w:tr>
        <w:tblPrEx>
          <w:shd w:val="clear" w:color="auto" w:fill="auto"/>
        </w:tblPrEx>
        <w:trPr>
          <w:trHeight w:val="430" w:hRule="atLeast"/>
        </w:trPr>
        <w:tc>
          <w:tcPr>
            <w:tcW w:type="dxa" w:w="32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2</w:t>
            </w:r>
          </w:p>
        </w:tc>
        <w:tc>
          <w:tcPr>
            <w:tcW w:type="dxa" w:w="202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AMICI DI PISONIANO - 07557271009</w:t>
            </w:r>
          </w:p>
        </w:tc>
        <w:tc>
          <w:tcPr>
            <w:tcW w:type="dxa" w:w="141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PISONIANO (RM) - VIA PIAGGE N 6</w:t>
            </w:r>
          </w:p>
        </w:tc>
        <w:tc>
          <w:tcPr>
            <w:tcW w:type="dxa" w:w="70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30/05/2003</w:t>
            </w:r>
          </w:p>
        </w:tc>
        <w:tc>
          <w:tcPr>
            <w:tcW w:type="dxa" w:w="21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 xml:space="preserve">ATTIVITA' DI ALTRE ORGANIZZAZIONI ASSOCIATIVE N.C.A.                                                                                                                                                                                                           </w:t>
            </w:r>
          </w:p>
        </w:tc>
        <w:tc>
          <w:tcPr>
            <w:tcW w:type="dxa" w:w="117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Cerroni MANLIO</w:t>
            </w:r>
          </w:p>
        </w:tc>
        <w:tc>
          <w:tcPr>
            <w:tcW w:type="dxa" w:w="13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RAPPRESENTANTE LEGALE</w:t>
            </w:r>
          </w:p>
        </w:tc>
        <w:tc>
          <w:tcPr>
            <w:tcW w:type="dxa" w:w="8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Mag-2003</w:t>
            </w:r>
          </w:p>
        </w:tc>
      </w:tr>
      <w:tr>
        <w:tblPrEx>
          <w:shd w:val="clear" w:color="auto" w:fill="auto"/>
        </w:tblPrEx>
        <w:trPr>
          <w:trHeight w:val="290" w:hRule="atLeast"/>
        </w:trPr>
        <w:tc>
          <w:tcPr>
            <w:tcW w:type="dxa" w:w="32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3</w:t>
            </w:r>
          </w:p>
        </w:tc>
        <w:tc>
          <w:tcPr>
            <w:tcW w:type="dxa" w:w="202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AQUA PISONIS S.r.l. CON UNICO SOCIO - 07167301006</w:t>
            </w:r>
          </w:p>
        </w:tc>
        <w:tc>
          <w:tcPr>
            <w:tcW w:type="dxa" w:w="141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ROMA (RM) - VIA DELL'ESPERANTO 74</w:t>
            </w:r>
          </w:p>
        </w:tc>
        <w:tc>
          <w:tcPr>
            <w:tcW w:type="dxa" w:w="70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24/07/2002</w:t>
            </w:r>
          </w:p>
        </w:tc>
        <w:tc>
          <w:tcPr>
            <w:tcW w:type="dxa" w:w="21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RACCOLTA, TRATTAMENTO E FORNITURA DI ACQUA</w:t>
            </w:r>
          </w:p>
        </w:tc>
        <w:tc>
          <w:tcPr>
            <w:tcW w:type="dxa" w:w="117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Cerroni MANLIO</w:t>
            </w:r>
          </w:p>
        </w:tc>
        <w:tc>
          <w:tcPr>
            <w:tcW w:type="dxa" w:w="13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 xml:space="preserve">SOCIO UNICO </w:t>
            </w:r>
          </w:p>
        </w:tc>
        <w:tc>
          <w:tcPr>
            <w:tcW w:type="dxa" w:w="8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Lug-2002</w:t>
            </w:r>
          </w:p>
        </w:tc>
      </w:tr>
      <w:tr>
        <w:tblPrEx>
          <w:shd w:val="clear" w:color="auto" w:fill="auto"/>
        </w:tblPrEx>
        <w:trPr>
          <w:trHeight w:val="290" w:hRule="atLeast"/>
        </w:trPr>
        <w:tc>
          <w:tcPr>
            <w:tcW w:type="dxa" w:w="320"/>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4</w:t>
            </w:r>
          </w:p>
        </w:tc>
        <w:tc>
          <w:tcPr>
            <w:tcW w:type="dxa" w:w="2025"/>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ATTIVITA' SANITARIE INTEGRATE MARCHE S.N.C. DI MONICA Cerroni E C S.N.C. - 04412711006</w:t>
            </w:r>
          </w:p>
        </w:tc>
        <w:tc>
          <w:tcPr>
            <w:tcW w:type="dxa" w:w="1417"/>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ROMA (RM) - CORSO TRIESTE 211</w:t>
            </w:r>
          </w:p>
        </w:tc>
        <w:tc>
          <w:tcPr>
            <w:tcW w:type="dxa" w:w="709"/>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02/12/1992</w:t>
            </w:r>
          </w:p>
        </w:tc>
        <w:tc>
          <w:tcPr>
            <w:tcW w:type="dxa" w:w="2126"/>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ESERCIZIO DELL'INDUSTRIA EDILE IN GENERE</w:t>
            </w:r>
          </w:p>
        </w:tc>
        <w:tc>
          <w:tcPr>
            <w:tcW w:type="dxa" w:w="117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Cerroni DONATELLA</w:t>
            </w:r>
          </w:p>
        </w:tc>
        <w:tc>
          <w:tcPr>
            <w:tcW w:type="dxa" w:w="13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SOCIO</w:t>
            </w:r>
          </w:p>
        </w:tc>
        <w:tc>
          <w:tcPr>
            <w:tcW w:type="dxa" w:w="8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Mag-1995</w:t>
            </w:r>
          </w:p>
        </w:tc>
      </w:tr>
      <w:tr>
        <w:tblPrEx>
          <w:shd w:val="clear" w:color="auto" w:fill="auto"/>
        </w:tblPrEx>
        <w:trPr>
          <w:trHeight w:val="290" w:hRule="atLeast"/>
        </w:trPr>
        <w:tc>
          <w:tcPr>
            <w:tcW w:type="dxa" w:w="320"/>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2025"/>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41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709"/>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2126"/>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17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Cerroni MONICA</w:t>
            </w:r>
          </w:p>
        </w:tc>
        <w:tc>
          <w:tcPr>
            <w:tcW w:type="dxa" w:w="13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SOCIO AMMINISTRATORE</w:t>
            </w:r>
          </w:p>
        </w:tc>
        <w:tc>
          <w:tcPr>
            <w:tcW w:type="dxa" w:w="8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Feb-2000</w:t>
            </w:r>
          </w:p>
        </w:tc>
      </w:tr>
      <w:tr>
        <w:tblPrEx>
          <w:shd w:val="clear" w:color="auto" w:fill="auto"/>
        </w:tblPrEx>
        <w:trPr>
          <w:trHeight w:val="250" w:hRule="atLeast"/>
        </w:trPr>
        <w:tc>
          <w:tcPr>
            <w:tcW w:type="dxa" w:w="320"/>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2025"/>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41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709"/>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2126"/>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17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Cerroni MANLIO</w:t>
            </w:r>
          </w:p>
        </w:tc>
        <w:tc>
          <w:tcPr>
            <w:tcW w:type="dxa" w:w="13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SOCIO</w:t>
            </w:r>
          </w:p>
        </w:tc>
        <w:tc>
          <w:tcPr>
            <w:tcW w:type="dxa" w:w="8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Feb-2000</w:t>
            </w:r>
          </w:p>
        </w:tc>
      </w:tr>
      <w:tr>
        <w:tblPrEx>
          <w:shd w:val="clear" w:color="auto" w:fill="auto"/>
        </w:tblPrEx>
        <w:trPr>
          <w:trHeight w:val="430" w:hRule="atLeast"/>
        </w:trPr>
        <w:tc>
          <w:tcPr>
            <w:tcW w:type="dxa" w:w="320"/>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5</w:t>
            </w:r>
          </w:p>
        </w:tc>
        <w:tc>
          <w:tcPr>
            <w:tcW w:type="dxa" w:w="2025"/>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BEG S.p.A. - 04987421007</w:t>
            </w:r>
          </w:p>
        </w:tc>
        <w:tc>
          <w:tcPr>
            <w:tcW w:type="dxa" w:w="1417"/>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ROMA (RM) - VICOLO DEL BOTTINO 10</w:t>
            </w:r>
          </w:p>
        </w:tc>
        <w:tc>
          <w:tcPr>
            <w:tcW w:type="dxa" w:w="709"/>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25/09/1995</w:t>
            </w:r>
          </w:p>
        </w:tc>
        <w:tc>
          <w:tcPr>
            <w:tcW w:type="dxa" w:w="2126"/>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ALTRE ATTIVITA' DI CONSULENZA IMPRENDITORIALE E ALTRA CONSULENZA AMMINISTRATIVO-GESTIONALE E PIANIFICAZIONE AZIENDALE</w:t>
            </w:r>
          </w:p>
        </w:tc>
        <w:tc>
          <w:tcPr>
            <w:tcW w:type="dxa" w:w="117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Cerroni DONATELLA</w:t>
            </w:r>
          </w:p>
        </w:tc>
        <w:tc>
          <w:tcPr>
            <w:tcW w:type="dxa" w:w="13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TITOLARE QUOTE (5% CAPITALE SOCIALE)</w:t>
            </w:r>
          </w:p>
        </w:tc>
        <w:tc>
          <w:tcPr>
            <w:tcW w:type="dxa" w:w="8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Dic-2001</w:t>
            </w:r>
          </w:p>
        </w:tc>
      </w:tr>
      <w:tr>
        <w:tblPrEx>
          <w:shd w:val="clear" w:color="auto" w:fill="auto"/>
        </w:tblPrEx>
        <w:trPr>
          <w:trHeight w:val="430" w:hRule="atLeast"/>
        </w:trPr>
        <w:tc>
          <w:tcPr>
            <w:tcW w:type="dxa" w:w="320"/>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2025"/>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41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709"/>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2126"/>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17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Cerroni MONICA</w:t>
            </w:r>
          </w:p>
        </w:tc>
        <w:tc>
          <w:tcPr>
            <w:tcW w:type="dxa" w:w="13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TITOLARE QUOTE (5% CAPITALE SOCIALE)</w:t>
            </w:r>
          </w:p>
        </w:tc>
        <w:tc>
          <w:tcPr>
            <w:tcW w:type="dxa" w:w="8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Dic-2001</w:t>
            </w:r>
          </w:p>
        </w:tc>
      </w:tr>
      <w:tr>
        <w:tblPrEx>
          <w:shd w:val="clear" w:color="auto" w:fill="auto"/>
        </w:tblPrEx>
        <w:trPr>
          <w:trHeight w:val="430" w:hRule="atLeast"/>
        </w:trPr>
        <w:tc>
          <w:tcPr>
            <w:tcW w:type="dxa" w:w="320"/>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2025"/>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41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709"/>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2126"/>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17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Cerroni MANLIO</w:t>
            </w:r>
          </w:p>
        </w:tc>
        <w:tc>
          <w:tcPr>
            <w:tcW w:type="dxa" w:w="13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TITOLARE QUOTE (20% CAPITALE SOCIALE)</w:t>
            </w:r>
          </w:p>
        </w:tc>
        <w:tc>
          <w:tcPr>
            <w:tcW w:type="dxa" w:w="8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Feb-2000</w:t>
            </w:r>
          </w:p>
        </w:tc>
      </w:tr>
      <w:tr>
        <w:tblPrEx>
          <w:shd w:val="clear" w:color="auto" w:fill="auto"/>
        </w:tblPrEx>
        <w:trPr>
          <w:trHeight w:val="570" w:hRule="atLeast"/>
        </w:trPr>
        <w:tc>
          <w:tcPr>
            <w:tcW w:type="dxa" w:w="32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6</w:t>
            </w:r>
          </w:p>
        </w:tc>
        <w:tc>
          <w:tcPr>
            <w:tcW w:type="dxa" w:w="202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CALABRIA AMBIENTE S.p.A. - 02407560784</w:t>
            </w:r>
          </w:p>
        </w:tc>
        <w:tc>
          <w:tcPr>
            <w:tcW w:type="dxa" w:w="141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COSENZA (CS) - VIA MONTE SAN MICHELE 1 A</w:t>
            </w:r>
          </w:p>
        </w:tc>
        <w:tc>
          <w:tcPr>
            <w:tcW w:type="dxa" w:w="70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06/03/2001</w:t>
            </w:r>
          </w:p>
        </w:tc>
        <w:tc>
          <w:tcPr>
            <w:tcW w:type="dxa" w:w="21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RECUPERO E PREPARAZIONE PER IL RICICLAGGIO DEI RIFIUTI SOLIDI URBANI, INDUSTRIALI E BIOMASSE</w:t>
            </w:r>
          </w:p>
        </w:tc>
        <w:tc>
          <w:tcPr>
            <w:tcW w:type="dxa" w:w="117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Cerroni MONICA</w:t>
            </w:r>
          </w:p>
        </w:tc>
        <w:tc>
          <w:tcPr>
            <w:tcW w:type="dxa" w:w="13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CONSIGLIERE</w:t>
            </w:r>
          </w:p>
        </w:tc>
        <w:tc>
          <w:tcPr>
            <w:tcW w:type="dxa" w:w="8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Lug-2015</w:t>
            </w:r>
          </w:p>
        </w:tc>
      </w:tr>
      <w:tr>
        <w:tblPrEx>
          <w:shd w:val="clear" w:color="auto" w:fill="auto"/>
        </w:tblPrEx>
        <w:trPr>
          <w:trHeight w:val="430" w:hRule="atLeast"/>
        </w:trPr>
        <w:tc>
          <w:tcPr>
            <w:tcW w:type="dxa" w:w="32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7</w:t>
            </w:r>
          </w:p>
        </w:tc>
        <w:tc>
          <w:tcPr>
            <w:tcW w:type="dxa" w:w="202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COMPRENSORIO INDUSTRIALE PANTANO CONSORZIO - 07719590585</w:t>
            </w:r>
          </w:p>
        </w:tc>
        <w:tc>
          <w:tcPr>
            <w:tcW w:type="dxa" w:w="141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ROMA (RM) - VIA ANGELO POLIZIANO 70</w:t>
            </w:r>
          </w:p>
        </w:tc>
        <w:tc>
          <w:tcPr>
            <w:tcW w:type="dxa" w:w="70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28/11/1986</w:t>
            </w:r>
          </w:p>
        </w:tc>
        <w:tc>
          <w:tcPr>
            <w:tcW w:type="dxa" w:w="21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COSTRUZIONE DI EDIFICI</w:t>
            </w:r>
          </w:p>
        </w:tc>
        <w:tc>
          <w:tcPr>
            <w:tcW w:type="dxa" w:w="117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Cerroni MONICA</w:t>
            </w:r>
          </w:p>
        </w:tc>
        <w:tc>
          <w:tcPr>
            <w:tcW w:type="dxa" w:w="13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CONSIGLIERE</w:t>
            </w:r>
          </w:p>
        </w:tc>
        <w:tc>
          <w:tcPr>
            <w:tcW w:type="dxa" w:w="8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Feb-2016</w:t>
            </w:r>
          </w:p>
        </w:tc>
      </w:tr>
      <w:tr>
        <w:tblPrEx>
          <w:shd w:val="clear" w:color="auto" w:fill="auto"/>
        </w:tblPrEx>
        <w:trPr>
          <w:trHeight w:val="430" w:hRule="atLeast"/>
        </w:trPr>
        <w:tc>
          <w:tcPr>
            <w:tcW w:type="dxa" w:w="320"/>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8</w:t>
            </w:r>
          </w:p>
        </w:tc>
        <w:tc>
          <w:tcPr>
            <w:tcW w:type="dxa" w:w="2025"/>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E. Giovi SOCIETA' A RESPONSABILITA' LIMITATA S.r.l. - 04773710589</w:t>
            </w:r>
          </w:p>
        </w:tc>
        <w:tc>
          <w:tcPr>
            <w:tcW w:type="dxa" w:w="1417"/>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ROMA (RM) - VIA PORTUENSE 881</w:t>
            </w:r>
          </w:p>
        </w:tc>
        <w:tc>
          <w:tcPr>
            <w:tcW w:type="dxa" w:w="709"/>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29/07/1988</w:t>
            </w:r>
          </w:p>
        </w:tc>
        <w:tc>
          <w:tcPr>
            <w:tcW w:type="dxa" w:w="2126"/>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TRATTAMENTO E SMALTIMENTO DI ALTRI RIFIUTI NON PERICOLOSI</w:t>
            </w:r>
          </w:p>
        </w:tc>
        <w:tc>
          <w:tcPr>
            <w:tcW w:type="dxa" w:w="117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Cerroni DONATELLA</w:t>
            </w:r>
          </w:p>
        </w:tc>
        <w:tc>
          <w:tcPr>
            <w:tcW w:type="dxa" w:w="13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TITOLARE QUOTE (25% CAPITALE SOCIALE)</w:t>
            </w:r>
          </w:p>
        </w:tc>
        <w:tc>
          <w:tcPr>
            <w:tcW w:type="dxa" w:w="8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Lug-2014</w:t>
            </w:r>
          </w:p>
        </w:tc>
      </w:tr>
      <w:tr>
        <w:tblPrEx>
          <w:shd w:val="clear" w:color="auto" w:fill="auto"/>
        </w:tblPrEx>
        <w:trPr>
          <w:trHeight w:val="430" w:hRule="atLeast"/>
        </w:trPr>
        <w:tc>
          <w:tcPr>
            <w:tcW w:type="dxa" w:w="320"/>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2025"/>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41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709"/>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2126"/>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17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Cerroni MONICA</w:t>
            </w:r>
          </w:p>
        </w:tc>
        <w:tc>
          <w:tcPr>
            <w:tcW w:type="dxa" w:w="13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TITOLARE QUOTE (25% CAPITALE SOCIALE)</w:t>
            </w:r>
          </w:p>
        </w:tc>
        <w:tc>
          <w:tcPr>
            <w:tcW w:type="dxa" w:w="8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Lug-2014</w:t>
            </w:r>
          </w:p>
        </w:tc>
      </w:tr>
      <w:tr>
        <w:tblPrEx>
          <w:shd w:val="clear" w:color="auto" w:fill="auto"/>
        </w:tblPrEx>
        <w:trPr>
          <w:trHeight w:val="430" w:hRule="atLeast"/>
        </w:trPr>
        <w:tc>
          <w:tcPr>
            <w:tcW w:type="dxa" w:w="32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9</w:t>
            </w:r>
          </w:p>
        </w:tc>
        <w:tc>
          <w:tcPr>
            <w:tcW w:type="dxa" w:w="202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Giovi IMPIANTI S.r.l. - 05625771000</w:t>
            </w:r>
          </w:p>
        </w:tc>
        <w:tc>
          <w:tcPr>
            <w:tcW w:type="dxa" w:w="141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ROMA (RM) - VIA PORTUENSE 881</w:t>
            </w:r>
          </w:p>
        </w:tc>
        <w:tc>
          <w:tcPr>
            <w:tcW w:type="dxa" w:w="70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21/10/1998</w:t>
            </w:r>
          </w:p>
        </w:tc>
        <w:tc>
          <w:tcPr>
            <w:tcW w:type="dxa" w:w="21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ALTRI SERVIZI DI SUPPORTO ALLE IMPRESE NCA</w:t>
            </w:r>
          </w:p>
        </w:tc>
        <w:tc>
          <w:tcPr>
            <w:tcW w:type="dxa" w:w="117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Cerroni MANLIO</w:t>
            </w:r>
          </w:p>
        </w:tc>
        <w:tc>
          <w:tcPr>
            <w:tcW w:type="dxa" w:w="13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TITOLARE QUOTE (50% CAPITALE SOCIALE)</w:t>
            </w:r>
          </w:p>
        </w:tc>
        <w:tc>
          <w:tcPr>
            <w:tcW w:type="dxa" w:w="8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Ott-1998</w:t>
            </w:r>
          </w:p>
        </w:tc>
      </w:tr>
      <w:tr>
        <w:tblPrEx>
          <w:shd w:val="clear" w:color="auto" w:fill="auto"/>
        </w:tblPrEx>
        <w:trPr>
          <w:trHeight w:val="430" w:hRule="atLeast"/>
        </w:trPr>
        <w:tc>
          <w:tcPr>
            <w:tcW w:type="dxa" w:w="320"/>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10</w:t>
            </w:r>
          </w:p>
        </w:tc>
        <w:tc>
          <w:tcPr>
            <w:tcW w:type="dxa" w:w="2025"/>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Impresa A. Cecchini &amp; C. - SOCIETA' A RESPONSABILITA' LIMITATA S.r.l. - 01049571001</w:t>
            </w:r>
          </w:p>
        </w:tc>
        <w:tc>
          <w:tcPr>
            <w:tcW w:type="dxa" w:w="1417"/>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ROMA (RM) - VIALE POGGIO FIORITO 63</w:t>
            </w:r>
          </w:p>
        </w:tc>
        <w:tc>
          <w:tcPr>
            <w:tcW w:type="dxa" w:w="709"/>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28/01/1976</w:t>
            </w:r>
          </w:p>
        </w:tc>
        <w:tc>
          <w:tcPr>
            <w:tcW w:type="dxa" w:w="2126"/>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INGEGNERIA CIVILE</w:t>
            </w:r>
          </w:p>
        </w:tc>
        <w:tc>
          <w:tcPr>
            <w:tcW w:type="dxa" w:w="117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Cerroni DONATELLA</w:t>
            </w:r>
          </w:p>
        </w:tc>
        <w:tc>
          <w:tcPr>
            <w:tcW w:type="dxa" w:w="13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TITOLARE QUOTE (5% CAPITALE SOCIALE)</w:t>
            </w:r>
          </w:p>
        </w:tc>
        <w:tc>
          <w:tcPr>
            <w:tcW w:type="dxa" w:w="8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Lug-2015</w:t>
            </w:r>
          </w:p>
        </w:tc>
      </w:tr>
      <w:tr>
        <w:tblPrEx>
          <w:shd w:val="clear" w:color="auto" w:fill="auto"/>
        </w:tblPrEx>
        <w:trPr>
          <w:trHeight w:val="430" w:hRule="atLeast"/>
        </w:trPr>
        <w:tc>
          <w:tcPr>
            <w:tcW w:type="dxa" w:w="320"/>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2025"/>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41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709"/>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2126"/>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175"/>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Cerroni MONICA</w:t>
            </w:r>
          </w:p>
        </w:tc>
        <w:tc>
          <w:tcPr>
            <w:tcW w:type="dxa" w:w="13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TITOLARE QUOTE (5% CAPITALE SOCIALE)</w:t>
            </w:r>
          </w:p>
        </w:tc>
        <w:tc>
          <w:tcPr>
            <w:tcW w:type="dxa" w:w="8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Lug-2015</w:t>
            </w:r>
          </w:p>
        </w:tc>
      </w:tr>
      <w:tr>
        <w:tblPrEx>
          <w:shd w:val="clear" w:color="auto" w:fill="auto"/>
        </w:tblPrEx>
        <w:trPr>
          <w:trHeight w:val="290" w:hRule="atLeast"/>
        </w:trPr>
        <w:tc>
          <w:tcPr>
            <w:tcW w:type="dxa" w:w="320"/>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2025"/>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41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709"/>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2126"/>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175"/>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3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AMMINISTRATORE UNICO</w:t>
            </w:r>
          </w:p>
        </w:tc>
        <w:tc>
          <w:tcPr>
            <w:tcW w:type="dxa" w:w="8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Nov-2016</w:t>
            </w:r>
          </w:p>
        </w:tc>
      </w:tr>
      <w:tr>
        <w:tblPrEx>
          <w:shd w:val="clear" w:color="auto" w:fill="auto"/>
        </w:tblPrEx>
        <w:trPr>
          <w:trHeight w:val="570" w:hRule="atLeast"/>
        </w:trPr>
        <w:tc>
          <w:tcPr>
            <w:tcW w:type="dxa" w:w="320"/>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11</w:t>
            </w:r>
          </w:p>
        </w:tc>
        <w:tc>
          <w:tcPr>
            <w:tcW w:type="dxa" w:w="2025"/>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INVESTIMENTI ECOLOGICI S.r.l. CON UNICO SOCIO - 02217421201</w:t>
            </w:r>
          </w:p>
        </w:tc>
        <w:tc>
          <w:tcPr>
            <w:tcW w:type="dxa" w:w="1417"/>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pt-PT"/>
              </w:rPr>
              <w:t>ROMA (RM) - VIA CARDINAL DE LUCA 22</w:t>
            </w:r>
          </w:p>
        </w:tc>
        <w:tc>
          <w:tcPr>
            <w:tcW w:type="dxa" w:w="709"/>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03/02/2000</w:t>
            </w:r>
          </w:p>
        </w:tc>
        <w:tc>
          <w:tcPr>
            <w:tcW w:type="dxa" w:w="2126"/>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ATTIVITA' DELLE SOCIETA' DI PARTECIPAZIONE (HOLDING)</w:t>
            </w:r>
          </w:p>
        </w:tc>
        <w:tc>
          <w:tcPr>
            <w:tcW w:type="dxa" w:w="117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Cerroni MANLIO</w:t>
            </w:r>
          </w:p>
        </w:tc>
        <w:tc>
          <w:tcPr>
            <w:tcW w:type="dxa" w:w="13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RAPPRESENTANTE LEGALE (AMMINISTRATORE UNICO)</w:t>
            </w:r>
          </w:p>
        </w:tc>
        <w:tc>
          <w:tcPr>
            <w:tcW w:type="dxa" w:w="8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Mag-2010</w:t>
            </w:r>
          </w:p>
        </w:tc>
      </w:tr>
      <w:tr>
        <w:tblPrEx>
          <w:shd w:val="clear" w:color="auto" w:fill="auto"/>
        </w:tblPrEx>
        <w:trPr>
          <w:trHeight w:val="250" w:hRule="atLeast"/>
        </w:trPr>
        <w:tc>
          <w:tcPr>
            <w:tcW w:type="dxa" w:w="320"/>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2025"/>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41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709"/>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2126"/>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17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Cerroni MANLIO</w:t>
            </w:r>
          </w:p>
        </w:tc>
        <w:tc>
          <w:tcPr>
            <w:tcW w:type="dxa" w:w="13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SOCIO UNICO</w:t>
            </w:r>
          </w:p>
        </w:tc>
        <w:tc>
          <w:tcPr>
            <w:tcW w:type="dxa" w:w="8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mar-2009</w:t>
            </w:r>
          </w:p>
        </w:tc>
      </w:tr>
      <w:tr>
        <w:tblPrEx>
          <w:shd w:val="clear" w:color="auto" w:fill="auto"/>
        </w:tblPrEx>
        <w:trPr>
          <w:trHeight w:val="430" w:hRule="atLeast"/>
        </w:trPr>
        <w:tc>
          <w:tcPr>
            <w:tcW w:type="dxa" w:w="320"/>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12</w:t>
            </w:r>
          </w:p>
        </w:tc>
        <w:tc>
          <w:tcPr>
            <w:tcW w:type="dxa" w:w="2025"/>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P. Giovi S.r.l. - 01301111009</w:t>
            </w:r>
          </w:p>
        </w:tc>
        <w:tc>
          <w:tcPr>
            <w:tcW w:type="dxa" w:w="1417"/>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ROMA (RM) - VIA PORTUENSE 881</w:t>
            </w:r>
          </w:p>
        </w:tc>
        <w:tc>
          <w:tcPr>
            <w:tcW w:type="dxa" w:w="709"/>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07/07/1980</w:t>
            </w:r>
          </w:p>
        </w:tc>
        <w:tc>
          <w:tcPr>
            <w:tcW w:type="dxa" w:w="2126"/>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ATTIVITA' DI RACCOLTA, TRATTAMENTO E SMALTIMENTO DEI RIFIUTI; RECUPERO DEI MATERIALI</w:t>
            </w:r>
          </w:p>
        </w:tc>
        <w:tc>
          <w:tcPr>
            <w:tcW w:type="dxa" w:w="117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Cerroni DONATELLA</w:t>
            </w:r>
          </w:p>
        </w:tc>
        <w:tc>
          <w:tcPr>
            <w:tcW w:type="dxa" w:w="13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TITOLARE QUOTE (25% CAPITALE SOCIALE)</w:t>
            </w:r>
          </w:p>
        </w:tc>
        <w:tc>
          <w:tcPr>
            <w:tcW w:type="dxa" w:w="8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mar-2017</w:t>
            </w:r>
          </w:p>
        </w:tc>
      </w:tr>
      <w:tr>
        <w:tblPrEx>
          <w:shd w:val="clear" w:color="auto" w:fill="auto"/>
        </w:tblPrEx>
        <w:trPr>
          <w:trHeight w:val="430" w:hRule="atLeast"/>
        </w:trPr>
        <w:tc>
          <w:tcPr>
            <w:tcW w:type="dxa" w:w="320"/>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2025"/>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41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709"/>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2126"/>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17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Cerroni MONICA</w:t>
            </w:r>
          </w:p>
        </w:tc>
        <w:tc>
          <w:tcPr>
            <w:tcW w:type="dxa" w:w="13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TITOLARE QUOTE (25% CAPITALE SOCIALE)</w:t>
            </w:r>
          </w:p>
        </w:tc>
        <w:tc>
          <w:tcPr>
            <w:tcW w:type="dxa" w:w="8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mar-2017</w:t>
            </w:r>
          </w:p>
        </w:tc>
      </w:tr>
      <w:tr>
        <w:tblPrEx>
          <w:shd w:val="clear" w:color="auto" w:fill="auto"/>
        </w:tblPrEx>
        <w:trPr>
          <w:trHeight w:val="290" w:hRule="atLeast"/>
        </w:trPr>
        <w:tc>
          <w:tcPr>
            <w:tcW w:type="dxa" w:w="320"/>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13</w:t>
            </w:r>
          </w:p>
        </w:tc>
        <w:tc>
          <w:tcPr>
            <w:tcW w:type="dxa" w:w="2025"/>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PONTINA FONDIARIA S.r.l. - 04243421007</w:t>
            </w:r>
          </w:p>
        </w:tc>
        <w:tc>
          <w:tcPr>
            <w:tcW w:type="dxa" w:w="1417"/>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ROMA (RM) - VIALE DEL POGGIO FIORITO 63</w:t>
            </w:r>
          </w:p>
        </w:tc>
        <w:tc>
          <w:tcPr>
            <w:tcW w:type="dxa" w:w="709"/>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27/01/1992</w:t>
            </w:r>
          </w:p>
        </w:tc>
        <w:tc>
          <w:tcPr>
            <w:tcW w:type="dxa" w:w="2126"/>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AFFITTO E GESTIONE DI IMMOBILI DI PROPRIETA' O IN LEASING</w:t>
            </w:r>
          </w:p>
        </w:tc>
        <w:tc>
          <w:tcPr>
            <w:tcW w:type="dxa" w:w="1175"/>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Cerroni MONICA</w:t>
            </w:r>
          </w:p>
        </w:tc>
        <w:tc>
          <w:tcPr>
            <w:tcW w:type="dxa" w:w="13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AMMINISTRATORE UNICO DELLA:</w:t>
            </w:r>
          </w:p>
        </w:tc>
        <w:tc>
          <w:tcPr>
            <w:tcW w:type="dxa" w:w="8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nov-2016</w:t>
            </w:r>
          </w:p>
        </w:tc>
      </w:tr>
      <w:tr>
        <w:tblPrEx>
          <w:shd w:val="clear" w:color="auto" w:fill="auto"/>
        </w:tblPrEx>
        <w:trPr>
          <w:trHeight w:val="430" w:hRule="atLeast"/>
        </w:trPr>
        <w:tc>
          <w:tcPr>
            <w:tcW w:type="dxa" w:w="320"/>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2025"/>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41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709"/>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2126"/>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175"/>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3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TITOLARE QUOTE (1% CAPITALE SOCIALE)</w:t>
            </w:r>
          </w:p>
        </w:tc>
        <w:tc>
          <w:tcPr>
            <w:tcW w:type="dxa" w:w="8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mar-2009</w:t>
            </w:r>
          </w:p>
        </w:tc>
      </w:tr>
      <w:tr>
        <w:tblPrEx>
          <w:shd w:val="clear" w:color="auto" w:fill="auto"/>
        </w:tblPrEx>
        <w:trPr>
          <w:trHeight w:val="430" w:hRule="atLeast"/>
        </w:trPr>
        <w:tc>
          <w:tcPr>
            <w:tcW w:type="dxa" w:w="320"/>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2025"/>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41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709"/>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2126"/>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17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Cerroni MANLIO</w:t>
            </w:r>
          </w:p>
        </w:tc>
        <w:tc>
          <w:tcPr>
            <w:tcW w:type="dxa" w:w="13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TITOLARE QUOTE (99% CAPITALE SOCIALE)</w:t>
            </w:r>
          </w:p>
        </w:tc>
        <w:tc>
          <w:tcPr>
            <w:tcW w:type="dxa" w:w="8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Dic-1993</w:t>
            </w:r>
          </w:p>
        </w:tc>
      </w:tr>
      <w:tr>
        <w:tblPrEx>
          <w:shd w:val="clear" w:color="auto" w:fill="auto"/>
        </w:tblPrEx>
        <w:trPr>
          <w:trHeight w:val="290" w:hRule="atLeast"/>
        </w:trPr>
        <w:tc>
          <w:tcPr>
            <w:tcW w:type="dxa" w:w="32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14</w:t>
            </w:r>
          </w:p>
        </w:tc>
        <w:tc>
          <w:tcPr>
            <w:tcW w:type="dxa" w:w="202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PORTICO DEI TIGLI S.r.l. - 11845841003</w:t>
            </w:r>
          </w:p>
        </w:tc>
        <w:tc>
          <w:tcPr>
            <w:tcW w:type="dxa" w:w="141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ROMA (RM) - VIA SAVOIA 80</w:t>
            </w:r>
          </w:p>
        </w:tc>
        <w:tc>
          <w:tcPr>
            <w:tcW w:type="dxa" w:w="70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20/03/2012</w:t>
            </w:r>
          </w:p>
        </w:tc>
        <w:tc>
          <w:tcPr>
            <w:tcW w:type="dxa" w:w="21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COSTRUZIONE, VENDITA E/O GESTIONE DI EDIFICI IN ROMA</w:t>
            </w:r>
          </w:p>
        </w:tc>
        <w:tc>
          <w:tcPr>
            <w:tcW w:type="dxa" w:w="117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Cerroni MANLIO</w:t>
            </w:r>
          </w:p>
        </w:tc>
        <w:tc>
          <w:tcPr>
            <w:tcW w:type="dxa" w:w="13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AMMINISTRATORE UNICO</w:t>
            </w:r>
          </w:p>
        </w:tc>
        <w:tc>
          <w:tcPr>
            <w:tcW w:type="dxa" w:w="8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mar-2012</w:t>
            </w:r>
          </w:p>
        </w:tc>
      </w:tr>
      <w:tr>
        <w:tblPrEx>
          <w:shd w:val="clear" w:color="auto" w:fill="auto"/>
        </w:tblPrEx>
        <w:trPr>
          <w:trHeight w:val="290" w:hRule="atLeast"/>
        </w:trPr>
        <w:tc>
          <w:tcPr>
            <w:tcW w:type="dxa" w:w="320"/>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15</w:t>
            </w:r>
          </w:p>
        </w:tc>
        <w:tc>
          <w:tcPr>
            <w:tcW w:type="dxa" w:w="2025"/>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R.&amp; S.OFFICINE SOCIETA' A RESPONSABILITA' LIMITATA S.r.l. - 05675071004</w:t>
            </w:r>
          </w:p>
        </w:tc>
        <w:tc>
          <w:tcPr>
            <w:tcW w:type="dxa" w:w="1417"/>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ROMA (RM) - VIA POGGIO FIORITO 63</w:t>
            </w:r>
          </w:p>
        </w:tc>
        <w:tc>
          <w:tcPr>
            <w:tcW w:type="dxa" w:w="709"/>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23/12/1998</w:t>
            </w:r>
          </w:p>
        </w:tc>
        <w:tc>
          <w:tcPr>
            <w:tcW w:type="dxa" w:w="2126"/>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RIPARAZIONE E MANUTENZIONE DI ALTRE MACCHINE DI IMPIEGO GENERALE NCA</w:t>
            </w:r>
          </w:p>
        </w:tc>
        <w:tc>
          <w:tcPr>
            <w:tcW w:type="dxa" w:w="1175"/>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Cerroni MONICA</w:t>
            </w:r>
          </w:p>
        </w:tc>
        <w:tc>
          <w:tcPr>
            <w:tcW w:type="dxa" w:w="13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AMMINISTRATORE UNICO</w:t>
            </w:r>
          </w:p>
        </w:tc>
        <w:tc>
          <w:tcPr>
            <w:tcW w:type="dxa" w:w="8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Nov-2016</w:t>
            </w:r>
          </w:p>
        </w:tc>
      </w:tr>
      <w:tr>
        <w:tblPrEx>
          <w:shd w:val="clear" w:color="auto" w:fill="auto"/>
        </w:tblPrEx>
        <w:trPr>
          <w:trHeight w:val="430" w:hRule="atLeast"/>
        </w:trPr>
        <w:tc>
          <w:tcPr>
            <w:tcW w:type="dxa" w:w="320"/>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2025"/>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41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709"/>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2126"/>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175"/>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3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TITOLARE QUOTE (5% CAPITALE SOCIALE)</w:t>
            </w:r>
          </w:p>
        </w:tc>
        <w:tc>
          <w:tcPr>
            <w:tcW w:type="dxa" w:w="8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Apr-2017</w:t>
            </w:r>
          </w:p>
        </w:tc>
      </w:tr>
      <w:tr>
        <w:tblPrEx>
          <w:shd w:val="clear" w:color="auto" w:fill="auto"/>
        </w:tblPrEx>
        <w:trPr>
          <w:trHeight w:val="290" w:hRule="atLeast"/>
        </w:trPr>
        <w:tc>
          <w:tcPr>
            <w:tcW w:type="dxa" w:w="320"/>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16</w:t>
            </w:r>
          </w:p>
        </w:tc>
        <w:tc>
          <w:tcPr>
            <w:tcW w:type="dxa" w:w="2025"/>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RESIDENCE DEL COLLE S.r.l. - 04017531007</w:t>
            </w:r>
          </w:p>
        </w:tc>
        <w:tc>
          <w:tcPr>
            <w:tcW w:type="dxa" w:w="1417"/>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ROMA (RM) - VIA FOSDINOVO 18 SCALA C</w:t>
            </w:r>
          </w:p>
        </w:tc>
        <w:tc>
          <w:tcPr>
            <w:tcW w:type="dxa" w:w="709"/>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25/01/1991</w:t>
            </w:r>
          </w:p>
        </w:tc>
        <w:tc>
          <w:tcPr>
            <w:tcW w:type="dxa" w:w="2126"/>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GESTIONE STRUTTURE RICETTIVE, CENTRI SOCIALI, CULTURALI, SPORTIVI E RICREATIVI IN GENERE</w:t>
            </w:r>
          </w:p>
        </w:tc>
        <w:tc>
          <w:tcPr>
            <w:tcW w:type="dxa" w:w="117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Cerroni MONICA</w:t>
            </w:r>
          </w:p>
        </w:tc>
        <w:tc>
          <w:tcPr>
            <w:tcW w:type="dxa" w:w="13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AMMINISTRATORE UNICO</w:t>
            </w:r>
          </w:p>
        </w:tc>
        <w:tc>
          <w:tcPr>
            <w:tcW w:type="dxa" w:w="8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Feb-2010</w:t>
            </w:r>
          </w:p>
        </w:tc>
      </w:tr>
      <w:tr>
        <w:tblPrEx>
          <w:shd w:val="clear" w:color="auto" w:fill="auto"/>
        </w:tblPrEx>
        <w:trPr>
          <w:trHeight w:val="430" w:hRule="atLeast"/>
        </w:trPr>
        <w:tc>
          <w:tcPr>
            <w:tcW w:type="dxa" w:w="320"/>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2025"/>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41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709"/>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2126"/>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17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Cerroni MANLIO</w:t>
            </w:r>
          </w:p>
        </w:tc>
        <w:tc>
          <w:tcPr>
            <w:tcW w:type="dxa" w:w="13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TITOLARE QUOTE (95% CAPITALE SOCIALE)</w:t>
            </w:r>
          </w:p>
        </w:tc>
        <w:tc>
          <w:tcPr>
            <w:tcW w:type="dxa" w:w="8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Apr-1996</w:t>
            </w:r>
          </w:p>
        </w:tc>
      </w:tr>
      <w:tr>
        <w:tblPrEx>
          <w:shd w:val="clear" w:color="auto" w:fill="auto"/>
        </w:tblPrEx>
        <w:trPr>
          <w:trHeight w:val="290" w:hRule="atLeast"/>
        </w:trPr>
        <w:tc>
          <w:tcPr>
            <w:tcW w:type="dxa" w:w="320"/>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17</w:t>
            </w:r>
          </w:p>
        </w:tc>
        <w:tc>
          <w:tcPr>
            <w:tcW w:type="dxa" w:w="2025"/>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RESIDENCE PISONIANO S.N.C. DI MONICA Cerroni E C. S.N.C. - 01617531007</w:t>
            </w:r>
          </w:p>
        </w:tc>
        <w:tc>
          <w:tcPr>
            <w:tcW w:type="dxa" w:w="1417"/>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ROMA (RM) - VIA EUGENIO CHIESA 27</w:t>
            </w:r>
          </w:p>
        </w:tc>
        <w:tc>
          <w:tcPr>
            <w:tcW w:type="dxa" w:w="709"/>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06/12/1984</w:t>
            </w:r>
          </w:p>
        </w:tc>
        <w:tc>
          <w:tcPr>
            <w:tcW w:type="dxa" w:w="2126"/>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COSTRUZIONE DI EDIFICI RESIDENZIALI E NON RESIDENZIALI</w:t>
            </w:r>
          </w:p>
        </w:tc>
        <w:tc>
          <w:tcPr>
            <w:tcW w:type="dxa" w:w="117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Cerroni MONICA</w:t>
            </w:r>
          </w:p>
        </w:tc>
        <w:tc>
          <w:tcPr>
            <w:tcW w:type="dxa" w:w="13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SOCIO AMMINISTRATORE</w:t>
            </w:r>
          </w:p>
        </w:tc>
        <w:tc>
          <w:tcPr>
            <w:tcW w:type="dxa" w:w="8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Mag-1995</w:t>
            </w:r>
          </w:p>
        </w:tc>
      </w:tr>
      <w:tr>
        <w:tblPrEx>
          <w:shd w:val="clear" w:color="auto" w:fill="auto"/>
        </w:tblPrEx>
        <w:trPr>
          <w:trHeight w:val="250" w:hRule="atLeast"/>
        </w:trPr>
        <w:tc>
          <w:tcPr>
            <w:tcW w:type="dxa" w:w="320"/>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2025"/>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41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709"/>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2126"/>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17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Cerroni MANLIO</w:t>
            </w:r>
          </w:p>
        </w:tc>
        <w:tc>
          <w:tcPr>
            <w:tcW w:type="dxa" w:w="13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SOCIO</w:t>
            </w:r>
          </w:p>
        </w:tc>
        <w:tc>
          <w:tcPr>
            <w:tcW w:type="dxa" w:w="8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Dic-1993</w:t>
            </w:r>
          </w:p>
        </w:tc>
      </w:tr>
      <w:tr>
        <w:tblPrEx>
          <w:shd w:val="clear" w:color="auto" w:fill="auto"/>
        </w:tblPrEx>
        <w:trPr>
          <w:trHeight w:val="290" w:hRule="atLeast"/>
        </w:trPr>
        <w:tc>
          <w:tcPr>
            <w:tcW w:type="dxa" w:w="32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18</w:t>
            </w:r>
          </w:p>
        </w:tc>
        <w:tc>
          <w:tcPr>
            <w:tcW w:type="dxa" w:w="202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SCA ENERGY S.p.A. CON UNICO SOCIO - 09600571005</w:t>
            </w:r>
          </w:p>
        </w:tc>
        <w:tc>
          <w:tcPr>
            <w:tcW w:type="dxa" w:w="141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ROMA (RM) - VIA PONTINA 545</w:t>
            </w:r>
          </w:p>
        </w:tc>
        <w:tc>
          <w:tcPr>
            <w:tcW w:type="dxa" w:w="70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13/07/2007</w:t>
            </w:r>
          </w:p>
        </w:tc>
        <w:tc>
          <w:tcPr>
            <w:tcW w:type="dxa" w:w="21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ALTRI SERVIZI DI SUPPORTO ALLE IMPRESE NCA</w:t>
            </w:r>
          </w:p>
        </w:tc>
        <w:tc>
          <w:tcPr>
            <w:tcW w:type="dxa" w:w="117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Cerroni MONICA</w:t>
            </w:r>
          </w:p>
        </w:tc>
        <w:tc>
          <w:tcPr>
            <w:tcW w:type="dxa" w:w="13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AMMINISTRATORE UNICO</w:t>
            </w:r>
          </w:p>
        </w:tc>
        <w:tc>
          <w:tcPr>
            <w:tcW w:type="dxa" w:w="8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Set-2014</w:t>
            </w:r>
          </w:p>
        </w:tc>
      </w:tr>
      <w:tr>
        <w:tblPrEx>
          <w:shd w:val="clear" w:color="auto" w:fill="auto"/>
        </w:tblPrEx>
        <w:trPr>
          <w:trHeight w:val="570" w:hRule="atLeast"/>
        </w:trPr>
        <w:tc>
          <w:tcPr>
            <w:tcW w:type="dxa" w:w="32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19</w:t>
            </w:r>
          </w:p>
        </w:tc>
        <w:tc>
          <w:tcPr>
            <w:tcW w:type="dxa" w:w="202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SCT Sorain Cecchini TECNO S.r.l. - 04502101001</w:t>
            </w:r>
          </w:p>
        </w:tc>
        <w:tc>
          <w:tcPr>
            <w:tcW w:type="dxa" w:w="141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ROMA (RM) - VIA PONTINA 545</w:t>
            </w:r>
          </w:p>
        </w:tc>
        <w:tc>
          <w:tcPr>
            <w:tcW w:type="dxa" w:w="70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03/05/1993</w:t>
            </w:r>
          </w:p>
        </w:tc>
        <w:tc>
          <w:tcPr>
            <w:tcW w:type="dxa" w:w="21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FABBRICAZIONE DI ALTRO MATERIALE MECCANICO E DI ALTRE MACCHINE DI IMPIEGO GENERALE NCA</w:t>
            </w:r>
          </w:p>
        </w:tc>
        <w:tc>
          <w:tcPr>
            <w:tcW w:type="dxa" w:w="117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Cerroni MONICA</w:t>
            </w:r>
          </w:p>
        </w:tc>
        <w:tc>
          <w:tcPr>
            <w:tcW w:type="dxa" w:w="13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PRESIDENTE DEL CONSIGLIO DI AMMINISTRAZIONE</w:t>
            </w:r>
          </w:p>
        </w:tc>
        <w:tc>
          <w:tcPr>
            <w:tcW w:type="dxa" w:w="8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Giu-2015</w:t>
            </w:r>
          </w:p>
        </w:tc>
      </w:tr>
      <w:tr>
        <w:tblPrEx>
          <w:shd w:val="clear" w:color="auto" w:fill="auto"/>
        </w:tblPrEx>
        <w:trPr>
          <w:trHeight w:val="250" w:hRule="atLeast"/>
        </w:trPr>
        <w:tc>
          <w:tcPr>
            <w:tcW w:type="dxa" w:w="320"/>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20</w:t>
            </w:r>
          </w:p>
        </w:tc>
        <w:tc>
          <w:tcPr>
            <w:tcW w:type="dxa" w:w="2025"/>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SERVICES LAZIO S.r.l. - 07487011004</w:t>
            </w:r>
          </w:p>
        </w:tc>
        <w:tc>
          <w:tcPr>
            <w:tcW w:type="dxa" w:w="1417"/>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POMEZIA (RM) - VIA MESSICO 9</w:t>
            </w:r>
          </w:p>
        </w:tc>
        <w:tc>
          <w:tcPr>
            <w:tcW w:type="dxa" w:w="709"/>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25/10/2011</w:t>
            </w:r>
          </w:p>
        </w:tc>
        <w:tc>
          <w:tcPr>
            <w:tcW w:type="dxa" w:w="2126"/>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TRATTAMENTO E SMALTIMENTO DI ALTRI RIFIUTI NON PERICOLOSI</w:t>
            </w:r>
          </w:p>
        </w:tc>
        <w:tc>
          <w:tcPr>
            <w:tcW w:type="dxa" w:w="117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Cerroni MONICA</w:t>
            </w:r>
          </w:p>
        </w:tc>
        <w:tc>
          <w:tcPr>
            <w:tcW w:type="dxa" w:w="13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CONSIGLIERE</w:t>
            </w:r>
          </w:p>
        </w:tc>
        <w:tc>
          <w:tcPr>
            <w:tcW w:type="dxa" w:w="8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Set-2011</w:t>
            </w:r>
          </w:p>
        </w:tc>
      </w:tr>
      <w:tr>
        <w:tblPrEx>
          <w:shd w:val="clear" w:color="auto" w:fill="auto"/>
        </w:tblPrEx>
        <w:trPr>
          <w:trHeight w:val="250" w:hRule="atLeast"/>
        </w:trPr>
        <w:tc>
          <w:tcPr>
            <w:tcW w:type="dxa" w:w="320"/>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2025"/>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41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709"/>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2126"/>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17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Cerroni MANLIO</w:t>
            </w:r>
          </w:p>
        </w:tc>
        <w:tc>
          <w:tcPr>
            <w:tcW w:type="dxa" w:w="13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CONSIGLIERE</w:t>
            </w:r>
          </w:p>
        </w:tc>
        <w:tc>
          <w:tcPr>
            <w:tcW w:type="dxa" w:w="8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Set-2011</w:t>
            </w:r>
          </w:p>
        </w:tc>
      </w:tr>
      <w:tr>
        <w:tblPrEx>
          <w:shd w:val="clear" w:color="auto" w:fill="auto"/>
        </w:tblPrEx>
        <w:trPr>
          <w:trHeight w:val="430" w:hRule="atLeast"/>
        </w:trPr>
        <w:tc>
          <w:tcPr>
            <w:tcW w:type="dxa" w:w="32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21</w:t>
            </w:r>
          </w:p>
        </w:tc>
        <w:tc>
          <w:tcPr>
            <w:tcW w:type="dxa" w:w="202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SIL - S.r.l. CON UNICO SOCIO - 03890911005</w:t>
            </w:r>
          </w:p>
        </w:tc>
        <w:tc>
          <w:tcPr>
            <w:tcW w:type="dxa" w:w="141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ROMA (RM) - VIALE DEL POGGIO FIORITO 63</w:t>
            </w:r>
          </w:p>
        </w:tc>
        <w:tc>
          <w:tcPr>
            <w:tcW w:type="dxa" w:w="70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01/04/2015</w:t>
            </w:r>
          </w:p>
        </w:tc>
        <w:tc>
          <w:tcPr>
            <w:tcW w:type="dxa" w:w="21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COSTRUZIONE DI EDIFICI RESIDENZIALI E NON RESIDENZIALI</w:t>
            </w:r>
          </w:p>
        </w:tc>
        <w:tc>
          <w:tcPr>
            <w:tcW w:type="dxa" w:w="117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Cerroni MONICA</w:t>
            </w:r>
          </w:p>
        </w:tc>
        <w:tc>
          <w:tcPr>
            <w:tcW w:type="dxa" w:w="13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VICE PRESIDENTE DEL CONSIGLIO D'AMMINISTRAZIONE</w:t>
            </w:r>
          </w:p>
        </w:tc>
        <w:tc>
          <w:tcPr>
            <w:tcW w:type="dxa" w:w="8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Feb-2014</w:t>
            </w:r>
          </w:p>
        </w:tc>
      </w:tr>
      <w:tr>
        <w:tblPrEx>
          <w:shd w:val="clear" w:color="auto" w:fill="auto"/>
        </w:tblPrEx>
        <w:trPr>
          <w:trHeight w:val="570" w:hRule="atLeast"/>
        </w:trPr>
        <w:tc>
          <w:tcPr>
            <w:tcW w:type="dxa" w:w="32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22</w:t>
            </w:r>
          </w:p>
        </w:tc>
        <w:tc>
          <w:tcPr>
            <w:tcW w:type="dxa" w:w="202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Sorain Cecchini AMBIENTE S.p.A. - 01226821005</w:t>
            </w:r>
          </w:p>
        </w:tc>
        <w:tc>
          <w:tcPr>
            <w:tcW w:type="dxa" w:w="141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ROMA (RM) - VIALE POGGIO FIORITO 63</w:t>
            </w:r>
          </w:p>
        </w:tc>
        <w:tc>
          <w:tcPr>
            <w:tcW w:type="dxa" w:w="70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04/10/1979</w:t>
            </w:r>
          </w:p>
        </w:tc>
        <w:tc>
          <w:tcPr>
            <w:tcW w:type="dxa" w:w="21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ATTIVITA</w:t>
            </w: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 xml:space="preserve">’ </w:t>
            </w: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DI RECUPERO E BONIFICA AMBIENTALE, SMALTIMENTO DI RIFIUTI URBANI E SPECIALI</w:t>
            </w:r>
          </w:p>
        </w:tc>
        <w:tc>
          <w:tcPr>
            <w:tcW w:type="dxa" w:w="117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Cerroni MONICA</w:t>
            </w:r>
          </w:p>
        </w:tc>
        <w:tc>
          <w:tcPr>
            <w:tcW w:type="dxa" w:w="13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AMMINISTRATORE UNICO</w:t>
            </w:r>
          </w:p>
        </w:tc>
        <w:tc>
          <w:tcPr>
            <w:tcW w:type="dxa" w:w="8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Nov-2016</w:t>
            </w:r>
          </w:p>
        </w:tc>
      </w:tr>
      <w:tr>
        <w:tblPrEx>
          <w:shd w:val="clear" w:color="auto" w:fill="auto"/>
        </w:tblPrEx>
        <w:trPr>
          <w:trHeight w:val="430" w:hRule="atLeast"/>
        </w:trPr>
        <w:tc>
          <w:tcPr>
            <w:tcW w:type="dxa" w:w="320"/>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23</w:t>
            </w:r>
          </w:p>
        </w:tc>
        <w:tc>
          <w:tcPr>
            <w:tcW w:type="dxa" w:w="2025"/>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Sorain Cecchini CORCOLLE S.r.l. - 10026571009</w:t>
            </w:r>
          </w:p>
        </w:tc>
        <w:tc>
          <w:tcPr>
            <w:tcW w:type="dxa" w:w="1417"/>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ROMA (RM) - VIALE DEL POGGIO FIORITO 63</w:t>
            </w:r>
          </w:p>
        </w:tc>
        <w:tc>
          <w:tcPr>
            <w:tcW w:type="dxa" w:w="709"/>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27/05/2008</w:t>
            </w:r>
          </w:p>
        </w:tc>
        <w:tc>
          <w:tcPr>
            <w:tcW w:type="dxa" w:w="2126"/>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ESERCIZIO AGRICOLTURA; ATTIVITA</w:t>
            </w: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 xml:space="preserve">’ </w:t>
            </w: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IMMOBILIARE</w:t>
            </w:r>
          </w:p>
        </w:tc>
        <w:tc>
          <w:tcPr>
            <w:tcW w:type="dxa" w:w="117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Cerroni DONATELLA</w:t>
            </w:r>
          </w:p>
        </w:tc>
        <w:tc>
          <w:tcPr>
            <w:tcW w:type="dxa" w:w="13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TITOLARE QUOTE (17% CAPITALE SOCIALE)</w:t>
            </w:r>
          </w:p>
        </w:tc>
        <w:tc>
          <w:tcPr>
            <w:tcW w:type="dxa" w:w="8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Mag-2008</w:t>
            </w:r>
          </w:p>
        </w:tc>
      </w:tr>
      <w:tr>
        <w:tblPrEx>
          <w:shd w:val="clear" w:color="auto" w:fill="auto"/>
        </w:tblPrEx>
        <w:trPr>
          <w:trHeight w:val="430" w:hRule="atLeast"/>
        </w:trPr>
        <w:tc>
          <w:tcPr>
            <w:tcW w:type="dxa" w:w="320"/>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2025"/>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41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709"/>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2126"/>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17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Cerroni MONICA</w:t>
            </w:r>
          </w:p>
        </w:tc>
        <w:tc>
          <w:tcPr>
            <w:tcW w:type="dxa" w:w="13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TITOLARE QUOTE (17% CAPITALE SOCIALE)</w:t>
            </w:r>
          </w:p>
        </w:tc>
        <w:tc>
          <w:tcPr>
            <w:tcW w:type="dxa" w:w="8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Mag-2008</w:t>
            </w:r>
          </w:p>
        </w:tc>
      </w:tr>
      <w:tr>
        <w:tblPrEx>
          <w:shd w:val="clear" w:color="auto" w:fill="auto"/>
        </w:tblPrEx>
        <w:trPr>
          <w:trHeight w:val="430" w:hRule="atLeast"/>
        </w:trPr>
        <w:tc>
          <w:tcPr>
            <w:tcW w:type="dxa" w:w="320"/>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2025"/>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41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709"/>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2126"/>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17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Cerroni MANLIO</w:t>
            </w:r>
          </w:p>
        </w:tc>
        <w:tc>
          <w:tcPr>
            <w:tcW w:type="dxa" w:w="13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TITOLARE QUOTE (66% CAPITALE SOCIALE)</w:t>
            </w:r>
          </w:p>
        </w:tc>
        <w:tc>
          <w:tcPr>
            <w:tcW w:type="dxa" w:w="8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Mag-2008</w:t>
            </w:r>
          </w:p>
        </w:tc>
      </w:tr>
      <w:tr>
        <w:tblPrEx>
          <w:shd w:val="clear" w:color="auto" w:fill="auto"/>
        </w:tblPrEx>
        <w:trPr>
          <w:trHeight w:val="430" w:hRule="atLeast"/>
        </w:trPr>
        <w:tc>
          <w:tcPr>
            <w:tcW w:type="dxa" w:w="320"/>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24</w:t>
            </w:r>
          </w:p>
        </w:tc>
        <w:tc>
          <w:tcPr>
            <w:tcW w:type="dxa" w:w="2025"/>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Sorain Cecchini S.p.A. - 01297330589</w:t>
            </w:r>
          </w:p>
        </w:tc>
        <w:tc>
          <w:tcPr>
            <w:tcW w:type="dxa" w:w="1417"/>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ROMA (RM) - VIALE DEL POGGIO FIORITO 63</w:t>
            </w:r>
          </w:p>
        </w:tc>
        <w:tc>
          <w:tcPr>
            <w:tcW w:type="dxa" w:w="709"/>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01/12/1973</w:t>
            </w:r>
          </w:p>
        </w:tc>
        <w:tc>
          <w:tcPr>
            <w:tcW w:type="dxa" w:w="2126"/>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STUDI, RACCOLTA, RECUPERO, SMALTIMENTO RIFIUTI; COSTRUZIONE IMPIANTI SMALTIMENTO DI RIFIUTI SOLIDI</w:t>
            </w:r>
          </w:p>
        </w:tc>
        <w:tc>
          <w:tcPr>
            <w:tcW w:type="dxa" w:w="1175"/>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Cerroni DONATELLA</w:t>
            </w:r>
          </w:p>
        </w:tc>
        <w:tc>
          <w:tcPr>
            <w:tcW w:type="dxa" w:w="13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TITOLARE QUOTE (17% CAPITALE SOCIALE)</w:t>
            </w:r>
          </w:p>
        </w:tc>
        <w:tc>
          <w:tcPr>
            <w:tcW w:type="dxa" w:w="8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Mag-1999</w:t>
            </w:r>
          </w:p>
        </w:tc>
      </w:tr>
      <w:tr>
        <w:tblPrEx>
          <w:shd w:val="clear" w:color="auto" w:fill="auto"/>
        </w:tblPrEx>
        <w:trPr>
          <w:trHeight w:val="430" w:hRule="atLeast"/>
        </w:trPr>
        <w:tc>
          <w:tcPr>
            <w:tcW w:type="dxa" w:w="320"/>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2025"/>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41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709"/>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2126"/>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175"/>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3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TITOLARE QUOTE (50% CAPITALE SOCIALE)</w:t>
            </w:r>
          </w:p>
        </w:tc>
        <w:tc>
          <w:tcPr>
            <w:tcW w:type="dxa" w:w="8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Dic-2016</w:t>
            </w:r>
          </w:p>
        </w:tc>
      </w:tr>
      <w:tr>
        <w:tblPrEx>
          <w:shd w:val="clear" w:color="auto" w:fill="auto"/>
        </w:tblPrEx>
        <w:trPr>
          <w:trHeight w:val="250" w:hRule="atLeast"/>
        </w:trPr>
        <w:tc>
          <w:tcPr>
            <w:tcW w:type="dxa" w:w="320"/>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2025"/>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41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709"/>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2126"/>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175"/>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Cerroni MONICA</w:t>
            </w:r>
          </w:p>
        </w:tc>
        <w:tc>
          <w:tcPr>
            <w:tcW w:type="dxa" w:w="13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CONSIGLIERE</w:t>
            </w:r>
          </w:p>
        </w:tc>
        <w:tc>
          <w:tcPr>
            <w:tcW w:type="dxa" w:w="8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Nov-2016</w:t>
            </w:r>
          </w:p>
        </w:tc>
      </w:tr>
      <w:tr>
        <w:tblPrEx>
          <w:shd w:val="clear" w:color="auto" w:fill="auto"/>
        </w:tblPrEx>
        <w:trPr>
          <w:trHeight w:val="430" w:hRule="atLeast"/>
        </w:trPr>
        <w:tc>
          <w:tcPr>
            <w:tcW w:type="dxa" w:w="320"/>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2025"/>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41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709"/>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2126"/>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175"/>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3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TITOLARE QUOTE (17% CAPITALE SOCIALE)</w:t>
            </w:r>
          </w:p>
        </w:tc>
        <w:tc>
          <w:tcPr>
            <w:tcW w:type="dxa" w:w="8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Mag-1999</w:t>
            </w:r>
          </w:p>
        </w:tc>
      </w:tr>
      <w:tr>
        <w:tblPrEx>
          <w:shd w:val="clear" w:color="auto" w:fill="auto"/>
        </w:tblPrEx>
        <w:trPr>
          <w:trHeight w:val="430" w:hRule="atLeast"/>
        </w:trPr>
        <w:tc>
          <w:tcPr>
            <w:tcW w:type="dxa" w:w="320"/>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2025"/>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41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709"/>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2126"/>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175"/>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3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TITOLARE QUOTE (50% CAPITALE SOCIALE)</w:t>
            </w:r>
          </w:p>
        </w:tc>
        <w:tc>
          <w:tcPr>
            <w:tcW w:type="dxa" w:w="8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Dic-2016</w:t>
            </w:r>
          </w:p>
        </w:tc>
      </w:tr>
      <w:tr>
        <w:tblPrEx>
          <w:shd w:val="clear" w:color="auto" w:fill="auto"/>
        </w:tblPrEx>
        <w:trPr>
          <w:trHeight w:val="250" w:hRule="atLeast"/>
        </w:trPr>
        <w:tc>
          <w:tcPr>
            <w:tcW w:type="dxa" w:w="320"/>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25</w:t>
            </w:r>
          </w:p>
        </w:tc>
        <w:tc>
          <w:tcPr>
            <w:tcW w:type="dxa" w:w="2025"/>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Sorain Cecchini UNO S.r.l. - 07656511008</w:t>
            </w:r>
          </w:p>
        </w:tc>
        <w:tc>
          <w:tcPr>
            <w:tcW w:type="dxa" w:w="1417"/>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ROMA (RM) - VIALE DEL POGGIO FIORITO 63</w:t>
            </w:r>
          </w:p>
        </w:tc>
        <w:tc>
          <w:tcPr>
            <w:tcW w:type="dxa" w:w="709"/>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25/09/2003</w:t>
            </w:r>
          </w:p>
        </w:tc>
        <w:tc>
          <w:tcPr>
            <w:tcW w:type="dxa" w:w="2126"/>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COSTRUZIONE DI EDIFICI RESIDENZIALI E NON RESIDENZIALI</w:t>
            </w:r>
          </w:p>
        </w:tc>
        <w:tc>
          <w:tcPr>
            <w:tcW w:type="dxa" w:w="1175"/>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Cerroni DONATELLA</w:t>
            </w:r>
          </w:p>
        </w:tc>
        <w:tc>
          <w:tcPr>
            <w:tcW w:type="dxa" w:w="13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CONSIGLIERE</w:t>
            </w:r>
          </w:p>
        </w:tc>
        <w:tc>
          <w:tcPr>
            <w:tcW w:type="dxa" w:w="8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Nov-2016</w:t>
            </w:r>
          </w:p>
        </w:tc>
      </w:tr>
      <w:tr>
        <w:tblPrEx>
          <w:shd w:val="clear" w:color="auto" w:fill="auto"/>
        </w:tblPrEx>
        <w:trPr>
          <w:trHeight w:val="430" w:hRule="atLeast"/>
        </w:trPr>
        <w:tc>
          <w:tcPr>
            <w:tcW w:type="dxa" w:w="320"/>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2025"/>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41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709"/>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2126"/>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175"/>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3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TITOLARE QUOTE (1,7% CAPITALE SOCIALE)</w:t>
            </w:r>
          </w:p>
        </w:tc>
        <w:tc>
          <w:tcPr>
            <w:tcW w:type="dxa" w:w="8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mar-2009</w:t>
            </w:r>
          </w:p>
        </w:tc>
      </w:tr>
      <w:tr>
        <w:tblPrEx>
          <w:shd w:val="clear" w:color="auto" w:fill="auto"/>
        </w:tblPrEx>
        <w:trPr>
          <w:trHeight w:val="250" w:hRule="atLeast"/>
        </w:trPr>
        <w:tc>
          <w:tcPr>
            <w:tcW w:type="dxa" w:w="320"/>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2025"/>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41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709"/>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2126"/>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175"/>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Cerroni MONICA</w:t>
            </w:r>
          </w:p>
        </w:tc>
        <w:tc>
          <w:tcPr>
            <w:tcW w:type="dxa" w:w="13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CONSIGLIERE</w:t>
            </w:r>
          </w:p>
        </w:tc>
        <w:tc>
          <w:tcPr>
            <w:tcW w:type="dxa" w:w="8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Nov-2016</w:t>
            </w:r>
          </w:p>
        </w:tc>
      </w:tr>
      <w:tr>
        <w:tblPrEx>
          <w:shd w:val="clear" w:color="auto" w:fill="auto"/>
        </w:tblPrEx>
        <w:trPr>
          <w:trHeight w:val="430" w:hRule="atLeast"/>
        </w:trPr>
        <w:tc>
          <w:tcPr>
            <w:tcW w:type="dxa" w:w="320"/>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2025"/>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41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709"/>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2126"/>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175"/>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3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TITOLARE QUOTE (1,7% CAPITALE SOCIALE)</w:t>
            </w:r>
          </w:p>
        </w:tc>
        <w:tc>
          <w:tcPr>
            <w:tcW w:type="dxa" w:w="8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mar-2009</w:t>
            </w:r>
          </w:p>
        </w:tc>
      </w:tr>
      <w:tr>
        <w:tblPrEx>
          <w:shd w:val="clear" w:color="auto" w:fill="auto"/>
        </w:tblPrEx>
        <w:trPr>
          <w:trHeight w:val="430" w:hRule="atLeast"/>
        </w:trPr>
        <w:tc>
          <w:tcPr>
            <w:tcW w:type="dxa" w:w="320"/>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2025"/>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41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709"/>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2126"/>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17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Cerroni MANLIO</w:t>
            </w:r>
          </w:p>
        </w:tc>
        <w:tc>
          <w:tcPr>
            <w:tcW w:type="dxa" w:w="13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TITOLARE QUOTE (96,6% CAPITALE SOCIALE)</w:t>
            </w:r>
          </w:p>
        </w:tc>
        <w:tc>
          <w:tcPr>
            <w:tcW w:type="dxa" w:w="8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Set-2003</w:t>
            </w:r>
          </w:p>
        </w:tc>
      </w:tr>
      <w:tr>
        <w:tblPrEx>
          <w:shd w:val="clear" w:color="auto" w:fill="auto"/>
        </w:tblPrEx>
        <w:trPr>
          <w:trHeight w:val="430" w:hRule="atLeast"/>
        </w:trPr>
        <w:tc>
          <w:tcPr>
            <w:tcW w:type="dxa" w:w="32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26</w:t>
            </w:r>
          </w:p>
        </w:tc>
        <w:tc>
          <w:tcPr>
            <w:tcW w:type="dxa" w:w="202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SYSTEMA AMBIENTE S.p.A. - 02071270983</w:t>
            </w:r>
          </w:p>
        </w:tc>
        <w:tc>
          <w:tcPr>
            <w:tcW w:type="dxa" w:w="141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BRESCIA (BS) - VIA DEI SANTI 58</w:t>
            </w:r>
          </w:p>
        </w:tc>
        <w:tc>
          <w:tcPr>
            <w:tcW w:type="dxa" w:w="70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07/11/1980</w:t>
            </w:r>
          </w:p>
        </w:tc>
        <w:tc>
          <w:tcPr>
            <w:tcW w:type="dxa" w:w="21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ALTRE ATTIVITA' DI CONSULENZA TECNICA NCA</w:t>
            </w:r>
          </w:p>
        </w:tc>
        <w:tc>
          <w:tcPr>
            <w:tcW w:type="dxa" w:w="117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Cerroni MONICA</w:t>
            </w:r>
          </w:p>
        </w:tc>
        <w:tc>
          <w:tcPr>
            <w:tcW w:type="dxa" w:w="13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PRESIDENTE DEL CONSIGLIO DI AMMINISTRAZIONE</w:t>
            </w:r>
          </w:p>
        </w:tc>
        <w:tc>
          <w:tcPr>
            <w:tcW w:type="dxa" w:w="8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Mag-2016</w:t>
            </w:r>
          </w:p>
        </w:tc>
      </w:tr>
      <w:tr>
        <w:tblPrEx>
          <w:shd w:val="clear" w:color="auto" w:fill="auto"/>
        </w:tblPrEx>
        <w:trPr>
          <w:trHeight w:val="290" w:hRule="atLeast"/>
        </w:trPr>
        <w:tc>
          <w:tcPr>
            <w:tcW w:type="dxa" w:w="32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27</w:t>
            </w:r>
          </w:p>
        </w:tc>
        <w:tc>
          <w:tcPr>
            <w:tcW w:type="dxa" w:w="202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URBE ENERGIA S.r.l. CON UNICO SOCIO - 05877581008</w:t>
            </w:r>
          </w:p>
        </w:tc>
        <w:tc>
          <w:tcPr>
            <w:tcW w:type="dxa" w:w="141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ROMA (RM) - VIA DELL' ESPERANTO 74</w:t>
            </w:r>
          </w:p>
        </w:tc>
        <w:tc>
          <w:tcPr>
            <w:tcW w:type="dxa" w:w="70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22/10/1999</w:t>
            </w:r>
          </w:p>
        </w:tc>
        <w:tc>
          <w:tcPr>
            <w:tcW w:type="dxa" w:w="21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PRODUZIONE DI ENERGIA ELETTRICA</w:t>
            </w:r>
          </w:p>
        </w:tc>
        <w:tc>
          <w:tcPr>
            <w:tcW w:type="dxa" w:w="117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Cerroni MONICA</w:t>
            </w:r>
          </w:p>
        </w:tc>
        <w:tc>
          <w:tcPr>
            <w:tcW w:type="dxa" w:w="137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AMMINISTRATORE UNICO</w:t>
            </w:r>
          </w:p>
        </w:tc>
        <w:tc>
          <w:tcPr>
            <w:tcW w:type="dxa" w:w="8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2"/>
                <w:szCs w:val="12"/>
                <w:u w:val="none" w:color="000000"/>
                <w:vertAlign w:val="baseline"/>
                <w:rtl w:val="0"/>
                <w:lang w:val="it-IT"/>
              </w:rPr>
              <w:t>Feb-2014</w:t>
            </w:r>
          </w:p>
        </w:tc>
      </w:tr>
    </w:tbl>
    <w:p>
      <w:pPr>
        <w:pStyle w:val="Normal"/>
        <w:keepNext w:val="1"/>
        <w:ind w:right="567" w:firstLine="567"/>
        <w:jc w:val="center"/>
        <w:rPr>
          <w:rFonts w:ascii="Book Antiqua" w:cs="Book Antiqua" w:hAnsi="Book Antiqua" w:eastAsia="Book Antiqua"/>
        </w:rPr>
      </w:pPr>
    </w:p>
    <w:p>
      <w:pPr>
        <w:pStyle w:val="Normal"/>
        <w:keepNext w:val="1"/>
        <w:ind w:left="567" w:right="567" w:firstLine="0"/>
        <w:jc w:val="both"/>
        <w:rPr>
          <w:rFonts w:ascii="Book Antiqua" w:cs="Book Antiqua" w:hAnsi="Book Antiqua" w:eastAsia="Book Antiqua"/>
        </w:rPr>
      </w:pPr>
    </w:p>
    <w:p>
      <w:pPr>
        <w:pStyle w:val="Normal"/>
        <w:keepNext w:val="1"/>
        <w:ind w:left="567" w:right="567" w:firstLine="0"/>
        <w:jc w:val="both"/>
        <w:rPr>
          <w:rFonts w:ascii="Book Antiqua" w:cs="Book Antiqua" w:hAnsi="Book Antiqua" w:eastAsia="Book Antiqua"/>
        </w:rPr>
      </w:pPr>
      <w:r>
        <w:rPr>
          <w:rFonts w:ascii="Book Antiqua"/>
          <w:rtl w:val="0"/>
          <w:lang w:val="it-IT"/>
        </w:rPr>
        <w:t>Per una pi</w:t>
      </w:r>
      <w:r>
        <w:rPr>
          <w:rFonts w:hAnsi="Book Antiqua" w:hint="default"/>
          <w:rtl w:val="0"/>
          <w:lang w:val="it-IT"/>
        </w:rPr>
        <w:t xml:space="preserve">ù </w:t>
      </w:r>
      <w:r>
        <w:rPr>
          <w:rFonts w:ascii="Book Antiqua"/>
          <w:rtl w:val="0"/>
          <w:lang w:val="it-IT"/>
        </w:rPr>
        <w:t xml:space="preserve">immediata comprensione degli intrecci societari, </w:t>
      </w:r>
      <w:r>
        <w:rPr>
          <w:rFonts w:hAnsi="Book Antiqua" w:hint="default"/>
          <w:rtl w:val="0"/>
          <w:lang w:val="it-IT"/>
        </w:rPr>
        <w:t xml:space="preserve">è </w:t>
      </w:r>
      <w:r>
        <w:rPr>
          <w:rFonts w:ascii="Book Antiqua"/>
          <w:rtl w:val="0"/>
          <w:lang w:val="it-IT"/>
        </w:rPr>
        <w:t>stato, altres</w:t>
      </w:r>
      <w:r>
        <w:rPr>
          <w:rFonts w:hAnsi="Book Antiqua" w:hint="default"/>
          <w:rtl w:val="0"/>
          <w:lang w:val="it-IT"/>
        </w:rPr>
        <w:t xml:space="preserve">ì </w:t>
      </w:r>
      <w:r>
        <w:rPr>
          <w:rFonts w:ascii="Book Antiqua"/>
          <w:rtl w:val="0"/>
          <w:lang w:val="it-IT"/>
        </w:rPr>
        <w:t>elaborato un grafico che riporta visivamente i collegamenti e le interconnessioni dei soggetti monitorati (Manlio, Donatella e Monica Cerroni) con le aziende a loro direttamente riconducibili</w:t>
      </w:r>
    </w:p>
    <w:p>
      <w:pPr>
        <w:pStyle w:val="Normal"/>
        <w:keepNext w:val="1"/>
        <w:ind w:left="567" w:right="567" w:firstLine="0"/>
        <w:jc w:val="both"/>
        <w:rPr>
          <w:rFonts w:ascii="Book Antiqua" w:cs="Book Antiqua" w:hAnsi="Book Antiqua" w:eastAsia="Book Antiqua"/>
        </w:rPr>
      </w:pPr>
    </w:p>
    <w:p>
      <w:pPr>
        <w:pStyle w:val="Normal"/>
        <w:keepNext w:val="1"/>
        <w:ind w:left="1701" w:right="567" w:hanging="1134"/>
        <w:jc w:val="both"/>
        <w:rPr>
          <w:rFonts w:ascii="Book Antiqua" w:cs="Book Antiqua" w:hAnsi="Book Antiqua" w:eastAsia="Book Antiqua"/>
          <w:sz w:val="22"/>
          <w:szCs w:val="22"/>
        </w:rPr>
      </w:pPr>
      <w:r>
        <w:rPr>
          <w:rFonts w:ascii="Book Antiqua"/>
          <w:i w:val="1"/>
          <w:iCs w:val="1"/>
          <w:sz w:val="22"/>
          <w:szCs w:val="22"/>
          <w:rtl w:val="0"/>
          <w:lang w:val="it-IT"/>
        </w:rPr>
        <w:t xml:space="preserve">Grafico 3 </w:t>
      </w:r>
      <w:r>
        <w:rPr>
          <w:rFonts w:hAnsi="Book Antiqua" w:hint="default"/>
          <w:i w:val="1"/>
          <w:iCs w:val="1"/>
          <w:sz w:val="22"/>
          <w:szCs w:val="22"/>
          <w:rtl w:val="0"/>
          <w:lang w:val="it-IT"/>
        </w:rPr>
        <w:t xml:space="preserve">– </w:t>
      </w:r>
      <w:r>
        <w:rPr>
          <w:rFonts w:ascii="Book Antiqua"/>
          <w:i w:val="1"/>
          <w:iCs w:val="1"/>
          <w:sz w:val="22"/>
          <w:szCs w:val="22"/>
          <w:rtl w:val="0"/>
          <w:lang w:val="it-IT"/>
        </w:rPr>
        <w:t>Cointeressenze attuali di Manlio, Donatella e Monica Cerroni (ruoli societari e partecipazioni)</w:t>
      </w:r>
    </w:p>
    <w:p>
      <w:pPr>
        <w:pStyle w:val="Normal"/>
        <w:keepNext w:val="1"/>
        <w:ind w:left="567" w:right="567" w:firstLine="0"/>
        <w:jc w:val="both"/>
        <w:rPr>
          <w:rFonts w:ascii="Book Antiqua" w:cs="Book Antiqua" w:hAnsi="Book Antiqua" w:eastAsia="Book Antiqua"/>
        </w:rPr>
      </w:pPr>
    </w:p>
    <w:p>
      <w:pPr>
        <w:pStyle w:val="Normal"/>
        <w:keepNext w:val="1"/>
        <w:jc w:val="both"/>
        <w:rPr>
          <w:rFonts w:ascii="Book Antiqua" w:cs="Book Antiqua" w:hAnsi="Book Antiqua" w:eastAsia="Book Antiqua"/>
        </w:rPr>
      </w:pPr>
      <w:r>
        <w:rPr>
          <w:rFonts w:ascii="Book Antiqua" w:cs="Book Antiqua" w:hAnsi="Book Antiqua" w:eastAsia="Book Antiqua"/>
          <w:rtl w:val="0"/>
        </w:rPr>
        <w:drawing>
          <wp:inline distT="0" distB="0" distL="0" distR="0">
            <wp:extent cx="6475518" cy="4731386"/>
            <wp:effectExtent l="0" t="0" r="0" b="0"/>
            <wp:docPr id="1073741871" name="officeArt object" descr="GRAFICO 3 - COMPLETO FAMIGLIA RUOLI + PARTECIPAZIONI ATTUALI-FINALE"/>
            <wp:cNvGraphicFramePr/>
            <a:graphic xmlns:a="http://schemas.openxmlformats.org/drawingml/2006/main">
              <a:graphicData uri="http://schemas.openxmlformats.org/drawingml/2006/picture">
                <pic:pic xmlns:pic="http://schemas.openxmlformats.org/drawingml/2006/picture">
                  <pic:nvPicPr>
                    <pic:cNvPr id="1073741871" name="image45.jpg" descr="GRAFICO 3 - COMPLETO FAMIGLIA RUOLI + PARTECIPAZIONI ATTUALI-FINALE"/>
                    <pic:cNvPicPr/>
                  </pic:nvPicPr>
                  <pic:blipFill>
                    <a:blip r:embed="rId55">
                      <a:extLst/>
                    </a:blip>
                    <a:stretch>
                      <a:fillRect/>
                    </a:stretch>
                  </pic:blipFill>
                  <pic:spPr>
                    <a:xfrm>
                      <a:off x="0" y="0"/>
                      <a:ext cx="6475518" cy="4731386"/>
                    </a:xfrm>
                    <a:prstGeom prst="rect">
                      <a:avLst/>
                    </a:prstGeom>
                    <a:ln w="6350" cap="flat">
                      <a:solidFill>
                        <a:srgbClr val="000000"/>
                      </a:solidFill>
                      <a:prstDash val="solid"/>
                      <a:miter lim="800000"/>
                    </a:ln>
                    <a:effectLst/>
                  </pic:spPr>
                </pic:pic>
              </a:graphicData>
            </a:graphic>
          </wp:inline>
        </w:drawing>
      </w:r>
    </w:p>
    <w:p>
      <w:pPr>
        <w:pStyle w:val="Normal"/>
        <w:keepNext w:val="1"/>
        <w:ind w:left="567" w:right="567" w:firstLine="0"/>
        <w:jc w:val="both"/>
        <w:rPr>
          <w:rFonts w:ascii="Book Antiqua" w:cs="Book Antiqua" w:hAnsi="Book Antiqua" w:eastAsia="Book Antiqua"/>
        </w:rPr>
      </w:pPr>
    </w:p>
    <w:p>
      <w:pPr>
        <w:pStyle w:val="Normal"/>
        <w:keepNext w:val="1"/>
        <w:ind w:left="567" w:right="567" w:firstLine="0"/>
        <w:jc w:val="both"/>
        <w:rPr>
          <w:rFonts w:ascii="Book Antiqua" w:cs="Book Antiqua" w:hAnsi="Book Antiqua" w:eastAsia="Book Antiqua"/>
        </w:rPr>
      </w:pPr>
    </w:p>
    <w:p>
      <w:pPr>
        <w:pStyle w:val="Normal"/>
        <w:keepNext w:val="1"/>
        <w:ind w:left="567" w:right="567" w:firstLine="0"/>
        <w:jc w:val="both"/>
        <w:rPr>
          <w:rFonts w:ascii="Book Antiqua" w:cs="Book Antiqua" w:hAnsi="Book Antiqua" w:eastAsia="Book Antiqua"/>
        </w:rPr>
      </w:pPr>
      <w:r>
        <w:rPr>
          <w:rFonts w:ascii="Book Antiqua"/>
          <w:rtl w:val="0"/>
          <w:lang w:val="it-IT"/>
        </w:rPr>
        <w:t>La tabella ed il grafico, in sostanza, mostrano che Manlio, Monica e Donatella Cerroni, alla data dell</w:t>
      </w:r>
      <w:r>
        <w:rPr>
          <w:rFonts w:hAnsi="Book Antiqua" w:hint="default"/>
          <w:rtl w:val="0"/>
          <w:lang w:val="it-IT"/>
        </w:rPr>
        <w:t>’</w:t>
      </w:r>
      <w:r>
        <w:rPr>
          <w:rFonts w:ascii="Book Antiqua"/>
          <w:rtl w:val="0"/>
          <w:lang w:val="it-IT"/>
        </w:rPr>
        <w:t>11 maggio 2017, erano coinvolti in 27 aziende.</w:t>
      </w:r>
    </w:p>
    <w:p>
      <w:pPr>
        <w:pStyle w:val="Normal"/>
        <w:keepNext w:val="1"/>
        <w:ind w:left="567" w:right="567" w:firstLine="0"/>
        <w:jc w:val="both"/>
        <w:rPr>
          <w:rFonts w:ascii="Book Antiqua" w:cs="Book Antiqua" w:hAnsi="Book Antiqua" w:eastAsia="Book Antiqua"/>
        </w:rPr>
      </w:pPr>
      <w:r>
        <w:rPr>
          <w:rFonts w:ascii="Book Antiqua"/>
          <w:rtl w:val="0"/>
          <w:lang w:val="it-IT"/>
        </w:rPr>
        <w:t>Pi</w:t>
      </w:r>
      <w:r>
        <w:rPr>
          <w:rFonts w:hAnsi="Book Antiqua" w:hint="default"/>
          <w:rtl w:val="0"/>
          <w:lang w:val="it-IT"/>
        </w:rPr>
        <w:t xml:space="preserve">ù </w:t>
      </w:r>
      <w:r>
        <w:rPr>
          <w:rFonts w:ascii="Book Antiqua"/>
          <w:rtl w:val="0"/>
          <w:lang w:val="it-IT"/>
        </w:rPr>
        <w:t>nel dettaglio, l</w:t>
      </w:r>
      <w:r>
        <w:rPr>
          <w:rFonts w:hAnsi="Book Antiqua" w:hint="default"/>
          <w:rtl w:val="0"/>
          <w:lang w:val="it-IT"/>
        </w:rPr>
        <w:t>’</w:t>
      </w:r>
      <w:r>
        <w:rPr>
          <w:rFonts w:ascii="Book Antiqua"/>
          <w:rtl w:val="0"/>
          <w:lang w:val="it-IT"/>
        </w:rPr>
        <w:t xml:space="preserve">intero nucleo familiare vanta partecipazioni societarie dirette </w:t>
      </w:r>
      <w:r>
        <w:rPr>
          <w:rFonts w:hAnsi="Book Antiqua" w:hint="default"/>
          <w:rtl w:val="0"/>
          <w:lang w:val="it-IT"/>
        </w:rPr>
        <w:t xml:space="preserve">– </w:t>
      </w:r>
      <w:r>
        <w:rPr>
          <w:rFonts w:ascii="Book Antiqua"/>
          <w:rtl w:val="0"/>
          <w:lang w:val="it-IT"/>
        </w:rPr>
        <w:t>in maniera congiunta e/o disgiunta - in 17 imprese; ma il dato pi</w:t>
      </w:r>
      <w:r>
        <w:rPr>
          <w:rFonts w:hAnsi="Book Antiqua" w:hint="default"/>
          <w:rtl w:val="0"/>
          <w:lang w:val="it-IT"/>
        </w:rPr>
        <w:t xml:space="preserve">ù </w:t>
      </w:r>
      <w:r>
        <w:rPr>
          <w:rFonts w:ascii="Book Antiqua"/>
          <w:rtl w:val="0"/>
          <w:lang w:val="it-IT"/>
        </w:rPr>
        <w:t>sorprendente risiede nell</w:t>
      </w:r>
      <w:r>
        <w:rPr>
          <w:rFonts w:hAnsi="Book Antiqua" w:hint="default"/>
          <w:rtl w:val="0"/>
          <w:lang w:val="it-IT"/>
        </w:rPr>
        <w:t>’</w:t>
      </w:r>
      <w:r>
        <w:rPr>
          <w:rFonts w:ascii="Book Antiqua"/>
          <w:rtl w:val="0"/>
          <w:lang w:val="it-IT"/>
        </w:rPr>
        <w:t>entit</w:t>
      </w:r>
      <w:r>
        <w:rPr>
          <w:rFonts w:hAnsi="Book Antiqua" w:hint="default"/>
          <w:rtl w:val="0"/>
          <w:lang w:val="it-IT"/>
        </w:rPr>
        <w:t xml:space="preserve">à </w:t>
      </w:r>
      <w:r>
        <w:rPr>
          <w:rFonts w:ascii="Book Antiqua"/>
          <w:rtl w:val="0"/>
          <w:lang w:val="it-IT"/>
        </w:rPr>
        <w:t xml:space="preserve">delle quote di partecipazione: infatti, le imprese direttamente controllate dai Cerroni </w:t>
      </w:r>
      <w:r>
        <w:rPr>
          <w:rFonts w:hAnsi="Book Antiqua" w:hint="default"/>
          <w:rtl w:val="0"/>
          <w:lang w:val="it-IT"/>
        </w:rPr>
        <w:t xml:space="preserve">– </w:t>
      </w:r>
      <w:r>
        <w:rPr>
          <w:rFonts w:ascii="Book Antiqua"/>
          <w:rtl w:val="0"/>
          <w:lang w:val="it-IT"/>
        </w:rPr>
        <w:t>vale a dire quelle con partecipazioni al capitale sociale superiori al 50 per cento - scendono a 10 (v. tabella 4A).</w:t>
      </w:r>
    </w:p>
    <w:p>
      <w:pPr>
        <w:pStyle w:val="Normal"/>
        <w:keepNext w:val="1"/>
        <w:ind w:left="567" w:right="567" w:firstLine="0"/>
        <w:jc w:val="both"/>
        <w:rPr>
          <w:rFonts w:ascii="Book Antiqua" w:cs="Book Antiqua" w:hAnsi="Book Antiqua" w:eastAsia="Book Antiqua"/>
        </w:rPr>
      </w:pPr>
    </w:p>
    <w:p>
      <w:pPr>
        <w:pStyle w:val="Normal"/>
        <w:keepNext w:val="1"/>
        <w:ind w:left="1560" w:right="567" w:hanging="993"/>
        <w:rPr>
          <w:rFonts w:ascii="Book Antiqua" w:cs="Book Antiqua" w:hAnsi="Book Antiqua" w:eastAsia="Book Antiqua"/>
          <w:i w:val="1"/>
          <w:iCs w:val="1"/>
          <w:sz w:val="22"/>
          <w:szCs w:val="22"/>
        </w:rPr>
      </w:pPr>
      <w:r>
        <w:rPr>
          <w:rFonts w:ascii="Book Antiqua"/>
          <w:i w:val="1"/>
          <w:iCs w:val="1"/>
          <w:sz w:val="22"/>
          <w:szCs w:val="22"/>
          <w:rtl w:val="0"/>
          <w:lang w:val="it-IT"/>
        </w:rPr>
        <w:t xml:space="preserve">Tab. 4A </w:t>
      </w:r>
      <w:r>
        <w:rPr>
          <w:rFonts w:hAnsi="Book Antiqua" w:hint="default"/>
          <w:i w:val="1"/>
          <w:iCs w:val="1"/>
          <w:sz w:val="22"/>
          <w:szCs w:val="22"/>
          <w:rtl w:val="0"/>
          <w:lang w:val="it-IT"/>
        </w:rPr>
        <w:t xml:space="preserve">– </w:t>
      </w:r>
      <w:r>
        <w:rPr>
          <w:rFonts w:ascii="Book Antiqua"/>
          <w:i w:val="1"/>
          <w:iCs w:val="1"/>
          <w:sz w:val="22"/>
          <w:szCs w:val="22"/>
          <w:rtl w:val="0"/>
          <w:lang w:val="it-IT"/>
        </w:rPr>
        <w:t>Partecipazioni societarie di maggioranza di Manlio, Donatella e Monica Cerroni</w:t>
      </w:r>
    </w:p>
    <w:p>
      <w:pPr>
        <w:pStyle w:val="Normal"/>
        <w:keepNext w:val="1"/>
        <w:ind w:left="567" w:right="567" w:firstLine="0"/>
        <w:jc w:val="both"/>
        <w:rPr>
          <w:rFonts w:ascii="Book Antiqua" w:cs="Book Antiqua" w:hAnsi="Book Antiqua" w:eastAsia="Book Antiqua"/>
        </w:rPr>
      </w:pPr>
    </w:p>
    <w:tbl>
      <w:tblPr>
        <w:tblW w:w="9498" w:type="dxa"/>
        <w:jc w:val="center"/>
        <w:tblInd w:w="108" w:type="dxa"/>
        <w:tblBorders>
          <w:top w:val="single" w:color="000000" w:sz="2" w:space="0" w:shadow="0" w:frame="0"/>
          <w:left w:val="single" w:color="000000" w:sz="2" w:space="0" w:shadow="0" w:frame="0"/>
          <w:bottom w:val="single" w:color="000000" w:sz="2" w:space="0" w:shadow="0" w:frame="0"/>
          <w:right w:val="single" w:color="000000" w:sz="2" w:space="0" w:shadow="0" w:frame="0"/>
          <w:insideH w:val="single" w:color="000000" w:sz="2" w:space="0" w:shadow="0" w:frame="0"/>
          <w:insideV w:val="single" w:color="000000" w:sz="2" w:space="0" w:shadow="0" w:frame="0"/>
        </w:tblBorders>
        <w:shd w:val="clear" w:color="auto" w:fill="auto"/>
        <w:tblLayout w:type="fixed"/>
      </w:tblPr>
      <w:tblGrid>
        <w:gridCol w:w="326"/>
        <w:gridCol w:w="2227"/>
        <w:gridCol w:w="2693"/>
        <w:gridCol w:w="1595"/>
        <w:gridCol w:w="2657"/>
      </w:tblGrid>
      <w:tr>
        <w:tblPrEx>
          <w:shd w:val="clear" w:color="auto" w:fill="auto"/>
        </w:tblPrEx>
        <w:trPr>
          <w:trHeight w:val="290" w:hRule="atLeast"/>
        </w:trPr>
        <w:tc>
          <w:tcPr>
            <w:tcW w:type="dxa" w:w="326"/>
            <w:tcBorders>
              <w:top w:val="nil"/>
              <w:left w:val="nil"/>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tc>
        <w:tc>
          <w:tcPr>
            <w:tcW w:type="dxa" w:w="4920"/>
            <w:gridSpan w:val="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ccccff"/>
            <w:tcMar>
              <w:top w:type="dxa" w:w="80"/>
              <w:left w:type="dxa" w:w="80"/>
              <w:bottom w:type="dxa" w:w="80"/>
              <w:right w:type="dxa" w:w="80"/>
            </w:tcMar>
            <w:vAlign w:val="center"/>
          </w:tcPr>
          <w:p>
            <w:pPr>
              <w:pStyle w:val="Normal"/>
              <w:keepNext w:val="1"/>
              <w:jc w:val="center"/>
            </w:pPr>
            <w:r>
              <w:rPr>
                <w:rFonts w:ascii="Calibri" w:cs="Calibri" w:hAnsi="Calibri" w:eastAsia="Calibri"/>
                <w:b w:val="1"/>
                <w:bCs w:val="1"/>
                <w:caps w:val="0"/>
                <w:smallCaps w:val="0"/>
                <w:strike w:val="0"/>
                <w:dstrike w:val="0"/>
                <w:outline w:val="0"/>
                <w:color w:val="000000"/>
                <w:spacing w:val="0"/>
                <w:kern w:val="0"/>
                <w:position w:val="0"/>
                <w:sz w:val="24"/>
                <w:szCs w:val="24"/>
                <w:u w:val="none" w:color="000000"/>
                <w:vertAlign w:val="baseline"/>
                <w:rtl w:val="0"/>
                <w:lang w:val="it-IT"/>
              </w:rPr>
              <w:t>SOGGETTO ECONOMICO/SOCIETA'</w:t>
            </w:r>
          </w:p>
        </w:tc>
        <w:tc>
          <w:tcPr>
            <w:tcW w:type="dxa" w:w="4252"/>
            <w:gridSpan w:val="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ccccff"/>
            <w:tcMar>
              <w:top w:type="dxa" w:w="80"/>
              <w:left w:type="dxa" w:w="80"/>
              <w:bottom w:type="dxa" w:w="80"/>
              <w:right w:type="dxa" w:w="80"/>
            </w:tcMar>
            <w:vAlign w:val="center"/>
          </w:tcPr>
          <w:p>
            <w:pPr>
              <w:pStyle w:val="Normal"/>
              <w:keepNext w:val="1"/>
              <w:jc w:val="center"/>
            </w:pPr>
            <w:r>
              <w:rPr>
                <w:rFonts w:ascii="Calibri" w:cs="Calibri" w:hAnsi="Calibri" w:eastAsia="Calibri"/>
                <w:b w:val="1"/>
                <w:bCs w:val="1"/>
                <w:caps w:val="0"/>
                <w:smallCaps w:val="0"/>
                <w:strike w:val="0"/>
                <w:dstrike w:val="0"/>
                <w:outline w:val="0"/>
                <w:color w:val="000000"/>
                <w:spacing w:val="0"/>
                <w:kern w:val="0"/>
                <w:position w:val="0"/>
                <w:sz w:val="24"/>
                <w:szCs w:val="24"/>
                <w:u w:val="none" w:color="000000"/>
                <w:vertAlign w:val="baseline"/>
                <w:rtl w:val="0"/>
                <w:lang w:val="it-IT"/>
              </w:rPr>
              <w:t>RELAZIONE</w:t>
            </w:r>
          </w:p>
        </w:tc>
      </w:tr>
      <w:tr>
        <w:tblPrEx>
          <w:shd w:val="clear" w:color="auto" w:fill="auto"/>
        </w:tblPrEx>
        <w:trPr>
          <w:trHeight w:val="450" w:hRule="atLeast"/>
        </w:trPr>
        <w:tc>
          <w:tcPr>
            <w:tcW w:type="dxa" w:w="3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ccccff"/>
            <w:tcMar>
              <w:top w:type="dxa" w:w="80"/>
              <w:left w:type="dxa" w:w="80"/>
              <w:bottom w:type="dxa" w:w="80"/>
              <w:right w:type="dxa" w:w="80"/>
            </w:tcMar>
            <w:vAlign w:val="center"/>
          </w:tcPr>
          <w:p>
            <w:pPr>
              <w:pStyle w:val="Normal"/>
              <w:keepNext w:val="1"/>
              <w:jc w:val="center"/>
            </w:pPr>
            <w:r>
              <w:rPr>
                <w:rFonts w:ascii="Calibri" w:cs="Calibri" w:hAnsi="Calibri" w:eastAsia="Calibri"/>
                <w:b w:val="1"/>
                <w:bCs w:val="1"/>
                <w:caps w:val="0"/>
                <w:smallCaps w:val="0"/>
                <w:strike w:val="0"/>
                <w:dstrike w:val="0"/>
                <w:outline w:val="0"/>
                <w:color w:val="000000"/>
                <w:spacing w:val="0"/>
                <w:kern w:val="0"/>
                <w:position w:val="0"/>
                <w:sz w:val="20"/>
                <w:szCs w:val="20"/>
                <w:u w:val="none" w:color="000000"/>
                <w:vertAlign w:val="baseline"/>
                <w:rtl w:val="0"/>
                <w:lang w:val="it-IT"/>
              </w:rPr>
              <w:t>N.</w:t>
            </w:r>
          </w:p>
        </w:tc>
        <w:tc>
          <w:tcPr>
            <w:tcW w:type="dxa" w:w="222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ccccff"/>
            <w:tcMar>
              <w:top w:type="dxa" w:w="80"/>
              <w:left w:type="dxa" w:w="80"/>
              <w:bottom w:type="dxa" w:w="80"/>
              <w:right w:type="dxa" w:w="80"/>
            </w:tcMar>
            <w:vAlign w:val="center"/>
          </w:tcPr>
          <w:p>
            <w:pPr>
              <w:pStyle w:val="Normal"/>
              <w:keepNext w:val="1"/>
              <w:jc w:val="center"/>
            </w:pPr>
            <w:r>
              <w:rPr>
                <w:rFonts w:ascii="Calibri" w:cs="Calibri" w:hAnsi="Calibri" w:eastAsia="Calibri"/>
                <w:b w:val="1"/>
                <w:bCs w:val="1"/>
                <w:caps w:val="0"/>
                <w:smallCaps w:val="0"/>
                <w:strike w:val="0"/>
                <w:dstrike w:val="0"/>
                <w:outline w:val="0"/>
                <w:color w:val="000000"/>
                <w:spacing w:val="0"/>
                <w:kern w:val="0"/>
                <w:position w:val="0"/>
                <w:sz w:val="20"/>
                <w:szCs w:val="20"/>
                <w:u w:val="none" w:color="000000"/>
                <w:vertAlign w:val="baseline"/>
                <w:rtl w:val="0"/>
                <w:lang w:val="it-IT"/>
              </w:rPr>
              <w:t>DENOMINAZIONE E CODICE FISCALE</w:t>
            </w:r>
          </w:p>
        </w:tc>
        <w:tc>
          <w:tcPr>
            <w:tcW w:type="dxa" w:w="269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ccccff"/>
            <w:tcMar>
              <w:top w:type="dxa" w:w="80"/>
              <w:left w:type="dxa" w:w="80"/>
              <w:bottom w:type="dxa" w:w="80"/>
              <w:right w:type="dxa" w:w="80"/>
            </w:tcMar>
            <w:vAlign w:val="center"/>
          </w:tcPr>
          <w:p>
            <w:pPr>
              <w:pStyle w:val="Normal"/>
              <w:keepNext w:val="1"/>
              <w:jc w:val="center"/>
            </w:pPr>
            <w:r>
              <w:rPr>
                <w:rFonts w:ascii="Calibri" w:cs="Calibri" w:hAnsi="Calibri" w:eastAsia="Calibri"/>
                <w:b w:val="1"/>
                <w:bCs w:val="1"/>
                <w:caps w:val="0"/>
                <w:smallCaps w:val="0"/>
                <w:strike w:val="0"/>
                <w:dstrike w:val="0"/>
                <w:outline w:val="0"/>
                <w:color w:val="000000"/>
                <w:spacing w:val="0"/>
                <w:kern w:val="0"/>
                <w:position w:val="0"/>
                <w:sz w:val="20"/>
                <w:szCs w:val="20"/>
                <w:u w:val="none" w:color="000000"/>
                <w:vertAlign w:val="baseline"/>
                <w:rtl w:val="0"/>
                <w:lang w:val="it-IT"/>
              </w:rPr>
              <w:t>ATTIVITA'</w:t>
            </w:r>
          </w:p>
        </w:tc>
        <w:tc>
          <w:tcPr>
            <w:tcW w:type="dxa" w:w="1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ccccff"/>
            <w:tcMar>
              <w:top w:type="dxa" w:w="80"/>
              <w:left w:type="dxa" w:w="80"/>
              <w:bottom w:type="dxa" w:w="80"/>
              <w:right w:type="dxa" w:w="80"/>
            </w:tcMar>
            <w:vAlign w:val="center"/>
          </w:tcPr>
          <w:p>
            <w:pPr>
              <w:pStyle w:val="Normal"/>
              <w:keepNext w:val="1"/>
              <w:jc w:val="center"/>
            </w:pPr>
            <w:r>
              <w:rPr>
                <w:rFonts w:ascii="Calibri" w:cs="Calibri" w:hAnsi="Calibri" w:eastAsia="Calibri"/>
                <w:b w:val="1"/>
                <w:bCs w:val="1"/>
                <w:caps w:val="0"/>
                <w:smallCaps w:val="0"/>
                <w:strike w:val="0"/>
                <w:dstrike w:val="0"/>
                <w:outline w:val="0"/>
                <w:color w:val="000000"/>
                <w:spacing w:val="0"/>
                <w:kern w:val="0"/>
                <w:position w:val="0"/>
                <w:sz w:val="20"/>
                <w:szCs w:val="20"/>
                <w:u w:val="none" w:color="000000"/>
                <w:vertAlign w:val="baseline"/>
                <w:rtl w:val="0"/>
                <w:lang w:val="it-IT"/>
              </w:rPr>
              <w:t>NOMINATIVO</w:t>
            </w:r>
          </w:p>
        </w:tc>
        <w:tc>
          <w:tcPr>
            <w:tcW w:type="dxa" w:w="265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ccccff"/>
            <w:tcMar>
              <w:top w:type="dxa" w:w="80"/>
              <w:left w:type="dxa" w:w="80"/>
              <w:bottom w:type="dxa" w:w="80"/>
              <w:right w:type="dxa" w:w="80"/>
            </w:tcMar>
            <w:vAlign w:val="center"/>
          </w:tcPr>
          <w:p>
            <w:pPr>
              <w:pStyle w:val="Normal"/>
              <w:keepNext w:val="1"/>
              <w:jc w:val="center"/>
            </w:pPr>
            <w:r>
              <w:rPr>
                <w:rFonts w:ascii="Calibri" w:cs="Calibri" w:hAnsi="Calibri" w:eastAsia="Calibri"/>
                <w:b w:val="1"/>
                <w:bCs w:val="1"/>
                <w:caps w:val="0"/>
                <w:smallCaps w:val="0"/>
                <w:strike w:val="0"/>
                <w:dstrike w:val="0"/>
                <w:outline w:val="0"/>
                <w:color w:val="000000"/>
                <w:spacing w:val="0"/>
                <w:kern w:val="0"/>
                <w:position w:val="0"/>
                <w:sz w:val="20"/>
                <w:szCs w:val="20"/>
                <w:u w:val="none" w:color="000000"/>
                <w:vertAlign w:val="baseline"/>
                <w:rtl w:val="0"/>
                <w:lang w:val="it-IT"/>
              </w:rPr>
              <w:t>TIPO</w:t>
            </w:r>
          </w:p>
        </w:tc>
      </w:tr>
      <w:tr>
        <w:tblPrEx>
          <w:shd w:val="clear" w:color="auto" w:fill="auto"/>
        </w:tblPrEx>
        <w:trPr>
          <w:trHeight w:val="410" w:hRule="atLeast"/>
        </w:trPr>
        <w:tc>
          <w:tcPr>
            <w:tcW w:type="dxa" w:w="326"/>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1</w:t>
            </w:r>
          </w:p>
        </w:tc>
        <w:tc>
          <w:tcPr>
            <w:tcW w:type="dxa" w:w="2227"/>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A LA BORNE B S.r.l. CON UNICO SOCIO - 06689101001</w:t>
            </w:r>
          </w:p>
        </w:tc>
        <w:tc>
          <w:tcPr>
            <w:tcW w:type="dxa" w:w="2693"/>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LOCAZIONE IMMOBILIARE DI BENI PROPRI O IN LEASING (AFFITTO)</w:t>
            </w:r>
          </w:p>
        </w:tc>
        <w:tc>
          <w:tcPr>
            <w:tcW w:type="dxa" w:w="1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Cerroni DONATELLA</w:t>
            </w:r>
          </w:p>
        </w:tc>
        <w:tc>
          <w:tcPr>
            <w:tcW w:type="dxa" w:w="265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AMMINISTRATORE UNICO</w:t>
            </w:r>
          </w:p>
        </w:tc>
      </w:tr>
      <w:tr>
        <w:tblPrEx>
          <w:shd w:val="clear" w:color="auto" w:fill="auto"/>
        </w:tblPrEx>
        <w:trPr>
          <w:trHeight w:val="250" w:hRule="atLeast"/>
        </w:trPr>
        <w:tc>
          <w:tcPr>
            <w:tcW w:type="dxa" w:w="326"/>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222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2693"/>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Cerroni MANLIO</w:t>
            </w:r>
          </w:p>
        </w:tc>
        <w:tc>
          <w:tcPr>
            <w:tcW w:type="dxa" w:w="265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SOCIO UNICO</w:t>
            </w:r>
          </w:p>
        </w:tc>
      </w:tr>
      <w:tr>
        <w:tblPrEx>
          <w:shd w:val="clear" w:color="auto" w:fill="auto"/>
        </w:tblPrEx>
        <w:trPr>
          <w:trHeight w:val="610" w:hRule="atLeast"/>
        </w:trPr>
        <w:tc>
          <w:tcPr>
            <w:tcW w:type="dxa" w:w="3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2</w:t>
            </w:r>
          </w:p>
        </w:tc>
        <w:tc>
          <w:tcPr>
            <w:tcW w:type="dxa" w:w="222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AQUA PISONIS S.r.l. CON UNICO SOCIO - 07167301006</w:t>
            </w:r>
          </w:p>
        </w:tc>
        <w:tc>
          <w:tcPr>
            <w:tcW w:type="dxa" w:w="269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RACCOLTA, TRATTAMENTO E FORNITURA DI ACQUA</w:t>
            </w:r>
          </w:p>
        </w:tc>
        <w:tc>
          <w:tcPr>
            <w:tcW w:type="dxa" w:w="1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Cerroni MANLIO</w:t>
            </w:r>
          </w:p>
        </w:tc>
        <w:tc>
          <w:tcPr>
            <w:tcW w:type="dxa" w:w="265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 xml:space="preserve">SOCIO UNICO </w:t>
            </w:r>
          </w:p>
        </w:tc>
      </w:tr>
      <w:tr>
        <w:tblPrEx>
          <w:shd w:val="clear" w:color="auto" w:fill="auto"/>
        </w:tblPrEx>
        <w:trPr>
          <w:trHeight w:val="410" w:hRule="atLeast"/>
        </w:trPr>
        <w:tc>
          <w:tcPr>
            <w:tcW w:type="dxa" w:w="326"/>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3</w:t>
            </w:r>
          </w:p>
        </w:tc>
        <w:tc>
          <w:tcPr>
            <w:tcW w:type="dxa" w:w="2227"/>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 xml:space="preserve">ATTIVITA' SANITARIE INTEGRATE MARCHE S.N.C. DI MONICA Cerroni E C S.N.C. </w:t>
            </w: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 xml:space="preserve">– </w:t>
            </w: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04412711006</w:t>
            </w:r>
          </w:p>
        </w:tc>
        <w:tc>
          <w:tcPr>
            <w:tcW w:type="dxa" w:w="2693"/>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ESERCIZIO DELL'INDUSTRIA EDILE IN GENERE</w:t>
            </w:r>
          </w:p>
        </w:tc>
        <w:tc>
          <w:tcPr>
            <w:tcW w:type="dxa" w:w="1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Cerroni DONATELLA</w:t>
            </w:r>
          </w:p>
        </w:tc>
        <w:tc>
          <w:tcPr>
            <w:tcW w:type="dxa" w:w="265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SOCIO</w:t>
            </w:r>
          </w:p>
        </w:tc>
      </w:tr>
      <w:tr>
        <w:tblPrEx>
          <w:shd w:val="clear" w:color="auto" w:fill="auto"/>
        </w:tblPrEx>
        <w:trPr>
          <w:trHeight w:val="250" w:hRule="atLeast"/>
        </w:trPr>
        <w:tc>
          <w:tcPr>
            <w:tcW w:type="dxa" w:w="326"/>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222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2693"/>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Cerroni MONICA</w:t>
            </w:r>
          </w:p>
        </w:tc>
        <w:tc>
          <w:tcPr>
            <w:tcW w:type="dxa" w:w="265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SOCIO AMMINISTRATORE</w:t>
            </w:r>
          </w:p>
        </w:tc>
      </w:tr>
      <w:tr>
        <w:tblPrEx>
          <w:shd w:val="clear" w:color="auto" w:fill="auto"/>
        </w:tblPrEx>
        <w:trPr>
          <w:trHeight w:val="250" w:hRule="atLeast"/>
        </w:trPr>
        <w:tc>
          <w:tcPr>
            <w:tcW w:type="dxa" w:w="326"/>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222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2693"/>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Cerroni MANLIO</w:t>
            </w:r>
          </w:p>
        </w:tc>
        <w:tc>
          <w:tcPr>
            <w:tcW w:type="dxa" w:w="265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SOCIO</w:t>
            </w:r>
          </w:p>
        </w:tc>
      </w:tr>
      <w:tr>
        <w:tblPrEx>
          <w:shd w:val="clear" w:color="auto" w:fill="auto"/>
        </w:tblPrEx>
        <w:trPr>
          <w:trHeight w:val="410" w:hRule="atLeast"/>
        </w:trPr>
        <w:tc>
          <w:tcPr>
            <w:tcW w:type="dxa" w:w="326"/>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4</w:t>
            </w:r>
          </w:p>
        </w:tc>
        <w:tc>
          <w:tcPr>
            <w:tcW w:type="dxa" w:w="2227"/>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INVESTIMENTI ECOLOGICI S.r.l. CON UNICO SOCIO - 02217421201</w:t>
            </w:r>
          </w:p>
        </w:tc>
        <w:tc>
          <w:tcPr>
            <w:tcW w:type="dxa" w:w="2693"/>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ATTIVITA' DELLE SOCIETA' DI PARTECIPAZIONE (HOLDING)</w:t>
            </w:r>
          </w:p>
        </w:tc>
        <w:tc>
          <w:tcPr>
            <w:tcW w:type="dxa" w:w="1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Cerroni MANLIO</w:t>
            </w:r>
          </w:p>
        </w:tc>
        <w:tc>
          <w:tcPr>
            <w:tcW w:type="dxa" w:w="265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RAPPRESENTANTE LEGALE (AMMINISTRATORE UNICO)</w:t>
            </w:r>
          </w:p>
        </w:tc>
      </w:tr>
      <w:tr>
        <w:tblPrEx>
          <w:shd w:val="clear" w:color="auto" w:fill="auto"/>
        </w:tblPrEx>
        <w:trPr>
          <w:trHeight w:val="250" w:hRule="atLeast"/>
        </w:trPr>
        <w:tc>
          <w:tcPr>
            <w:tcW w:type="dxa" w:w="326"/>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222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2693"/>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Cerroni MANLIO</w:t>
            </w:r>
          </w:p>
        </w:tc>
        <w:tc>
          <w:tcPr>
            <w:tcW w:type="dxa" w:w="265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SOCIO UNICO</w:t>
            </w:r>
          </w:p>
        </w:tc>
      </w:tr>
      <w:tr>
        <w:tblPrEx>
          <w:shd w:val="clear" w:color="auto" w:fill="auto"/>
        </w:tblPrEx>
        <w:trPr>
          <w:trHeight w:val="250" w:hRule="atLeast"/>
        </w:trPr>
        <w:tc>
          <w:tcPr>
            <w:tcW w:type="dxa" w:w="326"/>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5</w:t>
            </w:r>
          </w:p>
        </w:tc>
        <w:tc>
          <w:tcPr>
            <w:tcW w:type="dxa" w:w="2227"/>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PONTINA FONDIARIA S.r.l. - 04243421007</w:t>
            </w:r>
          </w:p>
        </w:tc>
        <w:tc>
          <w:tcPr>
            <w:tcW w:type="dxa" w:w="2693"/>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AFFITTO E GESTIONE DI IMMOBILI DI PROPRIETA' O IN LEASING</w:t>
            </w:r>
          </w:p>
        </w:tc>
        <w:tc>
          <w:tcPr>
            <w:tcW w:type="dxa" w:w="1595"/>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Cerroni MONICA</w:t>
            </w:r>
          </w:p>
        </w:tc>
        <w:tc>
          <w:tcPr>
            <w:tcW w:type="dxa" w:w="265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AMMINISTRATORE UNICO DELLA:</w:t>
            </w:r>
          </w:p>
        </w:tc>
      </w:tr>
      <w:tr>
        <w:tblPrEx>
          <w:shd w:val="clear" w:color="auto" w:fill="auto"/>
        </w:tblPrEx>
        <w:trPr>
          <w:trHeight w:val="410" w:hRule="atLeast"/>
        </w:trPr>
        <w:tc>
          <w:tcPr>
            <w:tcW w:type="dxa" w:w="326"/>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222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2693"/>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595"/>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265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TITOLARE QUOTE (1% CAPITALE SOCIALE)</w:t>
            </w:r>
          </w:p>
        </w:tc>
      </w:tr>
      <w:tr>
        <w:tblPrEx>
          <w:shd w:val="clear" w:color="auto" w:fill="auto"/>
        </w:tblPrEx>
        <w:trPr>
          <w:trHeight w:val="410" w:hRule="atLeast"/>
        </w:trPr>
        <w:tc>
          <w:tcPr>
            <w:tcW w:type="dxa" w:w="326"/>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222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2693"/>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Cerroni MANLIO</w:t>
            </w:r>
          </w:p>
        </w:tc>
        <w:tc>
          <w:tcPr>
            <w:tcW w:type="dxa" w:w="265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TITOLARE QUOTE (99% CAPITALE SOCIALE)</w:t>
            </w:r>
          </w:p>
        </w:tc>
      </w:tr>
      <w:tr>
        <w:tblPrEx>
          <w:shd w:val="clear" w:color="auto" w:fill="auto"/>
        </w:tblPrEx>
        <w:trPr>
          <w:trHeight w:val="250" w:hRule="atLeast"/>
        </w:trPr>
        <w:tc>
          <w:tcPr>
            <w:tcW w:type="dxa" w:w="326"/>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6</w:t>
            </w:r>
          </w:p>
        </w:tc>
        <w:tc>
          <w:tcPr>
            <w:tcW w:type="dxa" w:w="2227"/>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RESIDENCE DEL COLLE S.r.l. - 04017531007</w:t>
            </w:r>
          </w:p>
        </w:tc>
        <w:tc>
          <w:tcPr>
            <w:tcW w:type="dxa" w:w="2693"/>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GESTIONE STRUTTURE RICETTIVE, CENTRI SOCIALI, CULTURALI, SPORTIVI E RICREATIVI IN GENERE</w:t>
            </w:r>
          </w:p>
        </w:tc>
        <w:tc>
          <w:tcPr>
            <w:tcW w:type="dxa" w:w="1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Cerroni MONICA</w:t>
            </w:r>
          </w:p>
        </w:tc>
        <w:tc>
          <w:tcPr>
            <w:tcW w:type="dxa" w:w="265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AMMINISTRATORE UNICO</w:t>
            </w:r>
          </w:p>
        </w:tc>
      </w:tr>
      <w:tr>
        <w:tblPrEx>
          <w:shd w:val="clear" w:color="auto" w:fill="auto"/>
        </w:tblPrEx>
        <w:trPr>
          <w:trHeight w:val="410" w:hRule="atLeast"/>
        </w:trPr>
        <w:tc>
          <w:tcPr>
            <w:tcW w:type="dxa" w:w="326"/>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222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2693"/>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Cerroni MANLIO</w:t>
            </w:r>
          </w:p>
        </w:tc>
        <w:tc>
          <w:tcPr>
            <w:tcW w:type="dxa" w:w="265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TITOLARE QUOTE (95% CAPITALE SOCIALE)</w:t>
            </w:r>
          </w:p>
        </w:tc>
      </w:tr>
      <w:tr>
        <w:tblPrEx>
          <w:shd w:val="clear" w:color="auto" w:fill="auto"/>
        </w:tblPrEx>
        <w:trPr>
          <w:trHeight w:val="250" w:hRule="atLeast"/>
        </w:trPr>
        <w:tc>
          <w:tcPr>
            <w:tcW w:type="dxa" w:w="326"/>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7</w:t>
            </w:r>
          </w:p>
        </w:tc>
        <w:tc>
          <w:tcPr>
            <w:tcW w:type="dxa" w:w="2227"/>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RESIDENCE PISONIANO S.N.C. DI MONICA Cerroni E C. S.N.C. - 01617531007</w:t>
            </w:r>
          </w:p>
        </w:tc>
        <w:tc>
          <w:tcPr>
            <w:tcW w:type="dxa" w:w="2693"/>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COSTRUZIONE DI EDIFICI RESIDENZIALI E NON RESIDENZIALI</w:t>
            </w:r>
          </w:p>
        </w:tc>
        <w:tc>
          <w:tcPr>
            <w:tcW w:type="dxa" w:w="1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Cerroni MONICA</w:t>
            </w:r>
          </w:p>
        </w:tc>
        <w:tc>
          <w:tcPr>
            <w:tcW w:type="dxa" w:w="265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SOCIO AMMINISTRATORE</w:t>
            </w:r>
          </w:p>
        </w:tc>
      </w:tr>
      <w:tr>
        <w:tblPrEx>
          <w:shd w:val="clear" w:color="auto" w:fill="auto"/>
        </w:tblPrEx>
        <w:trPr>
          <w:trHeight w:val="250" w:hRule="atLeast"/>
        </w:trPr>
        <w:tc>
          <w:tcPr>
            <w:tcW w:type="dxa" w:w="326"/>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222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2693"/>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Cerroni MANLIO</w:t>
            </w:r>
          </w:p>
        </w:tc>
        <w:tc>
          <w:tcPr>
            <w:tcW w:type="dxa" w:w="265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SOCIO</w:t>
            </w:r>
          </w:p>
        </w:tc>
      </w:tr>
      <w:tr>
        <w:tblPrEx>
          <w:shd w:val="clear" w:color="auto" w:fill="auto"/>
        </w:tblPrEx>
        <w:trPr>
          <w:trHeight w:val="410" w:hRule="atLeast"/>
        </w:trPr>
        <w:tc>
          <w:tcPr>
            <w:tcW w:type="dxa" w:w="326"/>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8</w:t>
            </w:r>
          </w:p>
        </w:tc>
        <w:tc>
          <w:tcPr>
            <w:tcW w:type="dxa" w:w="2227"/>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Sorain Cecchini CORCOLLE S.r.l. - 10026571009</w:t>
            </w:r>
          </w:p>
        </w:tc>
        <w:tc>
          <w:tcPr>
            <w:tcW w:type="dxa" w:w="2693"/>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ESERCIZIO AGRICOLTURA; ATTIVITA</w:t>
            </w: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 xml:space="preserve">’ </w:t>
            </w: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IMMOBILIARE</w:t>
            </w:r>
          </w:p>
        </w:tc>
        <w:tc>
          <w:tcPr>
            <w:tcW w:type="dxa" w:w="1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Cerroni DONATELLA</w:t>
            </w:r>
          </w:p>
        </w:tc>
        <w:tc>
          <w:tcPr>
            <w:tcW w:type="dxa" w:w="265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TITOLARE QUOTE (17% CAPITALE SOCIALE)</w:t>
            </w:r>
          </w:p>
        </w:tc>
      </w:tr>
      <w:tr>
        <w:tblPrEx>
          <w:shd w:val="clear" w:color="auto" w:fill="auto"/>
        </w:tblPrEx>
        <w:trPr>
          <w:trHeight w:val="410" w:hRule="atLeast"/>
        </w:trPr>
        <w:tc>
          <w:tcPr>
            <w:tcW w:type="dxa" w:w="326"/>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222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2693"/>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Cerroni MONICA</w:t>
            </w:r>
          </w:p>
        </w:tc>
        <w:tc>
          <w:tcPr>
            <w:tcW w:type="dxa" w:w="265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TITOLARE QUOTE (17% CAPITALE SOCIALE)</w:t>
            </w:r>
          </w:p>
        </w:tc>
      </w:tr>
      <w:tr>
        <w:tblPrEx>
          <w:shd w:val="clear" w:color="auto" w:fill="auto"/>
        </w:tblPrEx>
        <w:trPr>
          <w:trHeight w:val="410" w:hRule="atLeast"/>
        </w:trPr>
        <w:tc>
          <w:tcPr>
            <w:tcW w:type="dxa" w:w="326"/>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222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2693"/>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Cerroni MANLIO</w:t>
            </w:r>
          </w:p>
        </w:tc>
        <w:tc>
          <w:tcPr>
            <w:tcW w:type="dxa" w:w="265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TITOLARE QUOTE (66% CAPITALE SOCIALE)</w:t>
            </w:r>
          </w:p>
        </w:tc>
      </w:tr>
      <w:tr>
        <w:tblPrEx>
          <w:shd w:val="clear" w:color="auto" w:fill="auto"/>
        </w:tblPrEx>
        <w:trPr>
          <w:trHeight w:val="410" w:hRule="atLeast"/>
        </w:trPr>
        <w:tc>
          <w:tcPr>
            <w:tcW w:type="dxa" w:w="326"/>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9</w:t>
            </w:r>
          </w:p>
        </w:tc>
        <w:tc>
          <w:tcPr>
            <w:tcW w:type="dxa" w:w="2227"/>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Sorain Cecchini S.p.A. - 01297330589</w:t>
            </w:r>
          </w:p>
        </w:tc>
        <w:tc>
          <w:tcPr>
            <w:tcW w:type="dxa" w:w="2693"/>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STUDI, RACCOLTA, RECUPERO, SMALTIMENTO RIFIUTI; COSTRUZIONE IMPIANTI SMALTIMENTO DI RIFIUTI SOLIDI</w:t>
            </w:r>
          </w:p>
        </w:tc>
        <w:tc>
          <w:tcPr>
            <w:tcW w:type="dxa" w:w="1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Cerroni DONATELLA</w:t>
            </w:r>
          </w:p>
        </w:tc>
        <w:tc>
          <w:tcPr>
            <w:tcW w:type="dxa" w:w="265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TITOLARE QUOTE (50% CAPITALE SOCIALE)</w:t>
            </w:r>
          </w:p>
        </w:tc>
      </w:tr>
      <w:tr>
        <w:tblPrEx>
          <w:shd w:val="clear" w:color="auto" w:fill="auto"/>
        </w:tblPrEx>
        <w:trPr>
          <w:trHeight w:val="250" w:hRule="atLeast"/>
        </w:trPr>
        <w:tc>
          <w:tcPr>
            <w:tcW w:type="dxa" w:w="326"/>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222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2693"/>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595"/>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Cerroni MONICA</w:t>
            </w:r>
          </w:p>
        </w:tc>
        <w:tc>
          <w:tcPr>
            <w:tcW w:type="dxa" w:w="265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CONSIGLIERE</w:t>
            </w:r>
          </w:p>
        </w:tc>
      </w:tr>
      <w:tr>
        <w:tblPrEx>
          <w:shd w:val="clear" w:color="auto" w:fill="auto"/>
        </w:tblPrEx>
        <w:trPr>
          <w:trHeight w:val="410" w:hRule="atLeast"/>
        </w:trPr>
        <w:tc>
          <w:tcPr>
            <w:tcW w:type="dxa" w:w="326"/>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222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2693"/>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595"/>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265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TITOLARE QUOTE (50% CAPITALE SOCIALE)</w:t>
            </w:r>
          </w:p>
        </w:tc>
      </w:tr>
      <w:tr>
        <w:tblPrEx>
          <w:shd w:val="clear" w:color="auto" w:fill="auto"/>
        </w:tblPrEx>
        <w:trPr>
          <w:trHeight w:val="250" w:hRule="atLeast"/>
        </w:trPr>
        <w:tc>
          <w:tcPr>
            <w:tcW w:type="dxa" w:w="326"/>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10</w:t>
            </w:r>
          </w:p>
        </w:tc>
        <w:tc>
          <w:tcPr>
            <w:tcW w:type="dxa" w:w="2227"/>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Sorain Cecchini UNO S.r.l. - 07656511008</w:t>
            </w:r>
          </w:p>
        </w:tc>
        <w:tc>
          <w:tcPr>
            <w:tcW w:type="dxa" w:w="2693"/>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COSTRUZIONE DI EDIFICI RESIDENZIALI E NON RESIDENZIALI</w:t>
            </w:r>
          </w:p>
        </w:tc>
        <w:tc>
          <w:tcPr>
            <w:tcW w:type="dxa" w:w="1595"/>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Cerroni DONATELLA</w:t>
            </w:r>
          </w:p>
        </w:tc>
        <w:tc>
          <w:tcPr>
            <w:tcW w:type="dxa" w:w="265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CONSIGLIERE</w:t>
            </w:r>
          </w:p>
        </w:tc>
      </w:tr>
      <w:tr>
        <w:tblPrEx>
          <w:shd w:val="clear" w:color="auto" w:fill="auto"/>
        </w:tblPrEx>
        <w:trPr>
          <w:trHeight w:val="410" w:hRule="atLeast"/>
        </w:trPr>
        <w:tc>
          <w:tcPr>
            <w:tcW w:type="dxa" w:w="326"/>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222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2693"/>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595"/>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265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TITOLARE QUOTE (1,7% CAPITALE SOCIALE)</w:t>
            </w:r>
          </w:p>
        </w:tc>
      </w:tr>
      <w:tr>
        <w:tblPrEx>
          <w:shd w:val="clear" w:color="auto" w:fill="auto"/>
        </w:tblPrEx>
        <w:trPr>
          <w:trHeight w:val="250" w:hRule="atLeast"/>
        </w:trPr>
        <w:tc>
          <w:tcPr>
            <w:tcW w:type="dxa" w:w="326"/>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222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2693"/>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595"/>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Cerroni MONICA</w:t>
            </w:r>
          </w:p>
        </w:tc>
        <w:tc>
          <w:tcPr>
            <w:tcW w:type="dxa" w:w="265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CONSIGLIERE</w:t>
            </w:r>
          </w:p>
        </w:tc>
      </w:tr>
      <w:tr>
        <w:tblPrEx>
          <w:shd w:val="clear" w:color="auto" w:fill="auto"/>
        </w:tblPrEx>
        <w:trPr>
          <w:trHeight w:val="410" w:hRule="atLeast"/>
        </w:trPr>
        <w:tc>
          <w:tcPr>
            <w:tcW w:type="dxa" w:w="326"/>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222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2693"/>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595"/>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265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TITOLARE QUOTE (1,7% CAPITALE SOCIALE)</w:t>
            </w:r>
          </w:p>
        </w:tc>
      </w:tr>
      <w:tr>
        <w:tblPrEx>
          <w:shd w:val="clear" w:color="auto" w:fill="auto"/>
        </w:tblPrEx>
        <w:trPr>
          <w:trHeight w:val="410" w:hRule="atLeast"/>
        </w:trPr>
        <w:tc>
          <w:tcPr>
            <w:tcW w:type="dxa" w:w="326"/>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2227"/>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2693"/>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5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Cerroni MANLIO</w:t>
            </w:r>
          </w:p>
        </w:tc>
        <w:tc>
          <w:tcPr>
            <w:tcW w:type="dxa" w:w="265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TITOLARE QUOTE (96,6% CAPITALE SOCIALE)</w:t>
            </w:r>
          </w:p>
        </w:tc>
      </w:tr>
    </w:tbl>
    <w:p>
      <w:pPr>
        <w:pStyle w:val="Normal"/>
        <w:keepNext w:val="1"/>
        <w:ind w:right="567" w:firstLine="567"/>
        <w:jc w:val="center"/>
        <w:rPr>
          <w:rFonts w:ascii="Book Antiqua" w:cs="Book Antiqua" w:hAnsi="Book Antiqua" w:eastAsia="Book Antiqua"/>
        </w:rPr>
      </w:pPr>
    </w:p>
    <w:p>
      <w:pPr>
        <w:pStyle w:val="Normal"/>
        <w:keepNext w:val="1"/>
        <w:ind w:left="567" w:right="567" w:firstLine="0"/>
        <w:jc w:val="both"/>
        <w:rPr>
          <w:rFonts w:ascii="Book Antiqua" w:cs="Book Antiqua" w:hAnsi="Book Antiqua" w:eastAsia="Book Antiqua"/>
        </w:rPr>
      </w:pPr>
    </w:p>
    <w:p>
      <w:pPr>
        <w:pStyle w:val="Normal"/>
        <w:keepNext w:val="1"/>
        <w:ind w:left="567" w:right="567" w:firstLine="0"/>
        <w:jc w:val="both"/>
        <w:outlineLvl w:val="0"/>
        <w:rPr>
          <w:rFonts w:ascii="Book Antiqua" w:cs="Book Antiqua" w:hAnsi="Book Antiqua" w:eastAsia="Book Antiqua"/>
        </w:rPr>
      </w:pPr>
      <w:r>
        <w:rPr>
          <w:rFonts w:ascii="Book Antiqua"/>
          <w:rtl w:val="0"/>
          <w:lang w:val="it-IT"/>
        </w:rPr>
        <w:t xml:space="preserve">Come </w:t>
      </w:r>
      <w:r>
        <w:rPr>
          <w:rFonts w:hAnsi="Book Antiqua" w:hint="default"/>
          <w:rtl w:val="0"/>
          <w:lang w:val="it-IT"/>
        </w:rPr>
        <w:t xml:space="preserve">è </w:t>
      </w:r>
      <w:r>
        <w:rPr>
          <w:rFonts w:ascii="Book Antiqua"/>
          <w:rtl w:val="0"/>
          <w:lang w:val="it-IT"/>
        </w:rPr>
        <w:t>rilevabile dalla precedente tabella, delle 10 imprese selezionate:</w:t>
      </w:r>
    </w:p>
    <w:p>
      <w:pPr>
        <w:pStyle w:val="Normal"/>
        <w:keepNext w:val="1"/>
        <w:numPr>
          <w:ilvl w:val="0"/>
          <w:numId w:val="128"/>
        </w:numPr>
        <w:tabs>
          <w:tab w:val="num" w:pos="851"/>
          <w:tab w:val="clear" w:pos="0"/>
        </w:tabs>
        <w:bidi w:val="0"/>
        <w:ind w:left="851" w:right="567" w:hanging="284"/>
        <w:jc w:val="both"/>
        <w:rPr>
          <w:rFonts w:ascii="Book Antiqua" w:cs="Book Antiqua" w:hAnsi="Book Antiqua" w:eastAsia="Book Antiqua"/>
          <w:position w:val="0"/>
          <w:sz w:val="24"/>
          <w:szCs w:val="24"/>
          <w:rtl w:val="0"/>
        </w:rPr>
      </w:pPr>
      <w:r>
        <w:rPr>
          <w:rFonts w:ascii="Book Antiqua"/>
          <w:rtl w:val="0"/>
          <w:lang w:val="it-IT"/>
        </w:rPr>
        <w:t>6 sono aziende operanti nel settore immobiliare, a conferma della scelta di diversificare le attivit</w:t>
      </w:r>
      <w:r>
        <w:rPr>
          <w:rFonts w:hAnsi="Book Antiqua" w:hint="default"/>
          <w:rtl w:val="0"/>
          <w:lang w:val="it-IT"/>
        </w:rPr>
        <w:t>à</w:t>
      </w:r>
      <w:r>
        <w:rPr>
          <w:rFonts w:ascii="Book Antiqua"/>
          <w:rtl w:val="0"/>
          <w:lang w:val="it-IT"/>
        </w:rPr>
        <w:t>;</w:t>
      </w:r>
    </w:p>
    <w:p>
      <w:pPr>
        <w:pStyle w:val="Normal"/>
        <w:keepNext w:val="1"/>
        <w:numPr>
          <w:ilvl w:val="0"/>
          <w:numId w:val="129"/>
        </w:numPr>
        <w:tabs>
          <w:tab w:val="num" w:pos="851"/>
          <w:tab w:val="clear" w:pos="0"/>
        </w:tabs>
        <w:bidi w:val="0"/>
        <w:ind w:left="851" w:right="567" w:hanging="284"/>
        <w:jc w:val="both"/>
        <w:rPr>
          <w:rFonts w:ascii="Book Antiqua" w:cs="Book Antiqua" w:hAnsi="Book Antiqua" w:eastAsia="Book Antiqua"/>
          <w:position w:val="0"/>
          <w:sz w:val="24"/>
          <w:szCs w:val="24"/>
          <w:rtl w:val="0"/>
        </w:rPr>
      </w:pPr>
      <w:r>
        <w:rPr>
          <w:rFonts w:ascii="Book Antiqua"/>
          <w:rtl w:val="0"/>
          <w:lang w:val="it-IT"/>
        </w:rPr>
        <w:t xml:space="preserve">la </w:t>
      </w:r>
      <w:r>
        <w:rPr>
          <w:rFonts w:hAnsi="Book Antiqua" w:hint="default"/>
          <w:rtl w:val="0"/>
          <w:lang w:val="it-IT"/>
        </w:rPr>
        <w:t>“</w:t>
      </w:r>
      <w:r>
        <w:rPr>
          <w:rFonts w:ascii="Book Antiqua"/>
          <w:rtl w:val="0"/>
          <w:lang w:val="it-IT"/>
        </w:rPr>
        <w:t>Sorain Cecchini Corcolle srl</w:t>
      </w:r>
      <w:r>
        <w:rPr>
          <w:rFonts w:hAnsi="Book Antiqua" w:hint="default"/>
          <w:rtl w:val="0"/>
          <w:lang w:val="it-IT"/>
        </w:rPr>
        <w:t>”</w:t>
      </w:r>
      <w:r>
        <w:rPr>
          <w:rFonts w:ascii="Book Antiqua"/>
          <w:rtl w:val="0"/>
          <w:lang w:val="it-IT"/>
        </w:rPr>
        <w:t xml:space="preserve">, la </w:t>
      </w:r>
      <w:r>
        <w:rPr>
          <w:rFonts w:hAnsi="Book Antiqua" w:hint="default"/>
          <w:rtl w:val="0"/>
          <w:lang w:val="it-IT"/>
        </w:rPr>
        <w:t>“</w:t>
      </w:r>
      <w:r>
        <w:rPr>
          <w:rFonts w:ascii="Book Antiqua"/>
          <w:rtl w:val="0"/>
          <w:lang w:val="it-IT"/>
        </w:rPr>
        <w:t>Sorain Cecchini Spa</w:t>
      </w:r>
      <w:r>
        <w:rPr>
          <w:rFonts w:hAnsi="Book Antiqua" w:hint="default"/>
          <w:rtl w:val="0"/>
          <w:lang w:val="it-IT"/>
        </w:rPr>
        <w:t xml:space="preserve">” </w:t>
      </w:r>
      <w:r>
        <w:rPr>
          <w:rFonts w:ascii="Book Antiqua"/>
          <w:rtl w:val="0"/>
          <w:lang w:val="it-IT"/>
        </w:rPr>
        <w:t xml:space="preserve">e la </w:t>
      </w:r>
      <w:r>
        <w:rPr>
          <w:rFonts w:hAnsi="Book Antiqua" w:hint="default"/>
          <w:rtl w:val="0"/>
          <w:lang w:val="it-IT"/>
        </w:rPr>
        <w:t>“</w:t>
      </w:r>
      <w:r>
        <w:rPr>
          <w:rFonts w:ascii="Book Antiqua"/>
          <w:rtl w:val="0"/>
          <w:lang w:val="it-IT"/>
        </w:rPr>
        <w:t>Sorain Cecchini Uno srl</w:t>
      </w:r>
      <w:r>
        <w:rPr>
          <w:rFonts w:hAnsi="Book Antiqua" w:hint="default"/>
          <w:rtl w:val="0"/>
          <w:lang w:val="it-IT"/>
        </w:rPr>
        <w:t xml:space="preserve">” </w:t>
      </w:r>
      <w:r>
        <w:rPr>
          <w:rFonts w:ascii="Book Antiqua"/>
          <w:rtl w:val="0"/>
          <w:lang w:val="it-IT"/>
        </w:rPr>
        <w:t>risultano essere totalmente controllate (con quote o azioni pari al 100 per cento del capitale sociale) dalla famiglia Cerroni.</w:t>
      </w:r>
    </w:p>
    <w:p>
      <w:pPr>
        <w:pStyle w:val="Normal"/>
        <w:keepNext w:val="1"/>
        <w:tabs>
          <w:tab w:val="left" w:pos="851"/>
        </w:tabs>
        <w:ind w:left="567" w:right="567" w:firstLine="0"/>
        <w:jc w:val="both"/>
        <w:rPr>
          <w:rFonts w:ascii="Book Antiqua" w:cs="Book Antiqua" w:hAnsi="Book Antiqua" w:eastAsia="Book Antiqua"/>
        </w:rPr>
      </w:pPr>
      <w:r>
        <w:rPr>
          <w:rFonts w:ascii="Book Antiqua"/>
          <w:rtl w:val="0"/>
          <w:lang w:val="it-IT"/>
        </w:rPr>
        <w:t xml:space="preserve">Ancora una volta, i dati acquisiti sulle partecipazioni </w:t>
      </w:r>
      <w:r>
        <w:rPr>
          <w:rFonts w:hAnsi="Book Antiqua" w:hint="default"/>
          <w:rtl w:val="0"/>
          <w:lang w:val="it-IT"/>
        </w:rPr>
        <w:t>“</w:t>
      </w:r>
      <w:r>
        <w:rPr>
          <w:rFonts w:ascii="Book Antiqua"/>
          <w:rtl w:val="0"/>
          <w:lang w:val="it-IT"/>
        </w:rPr>
        <w:t>dirette</w:t>
      </w:r>
      <w:r>
        <w:rPr>
          <w:rFonts w:hAnsi="Book Antiqua" w:hint="default"/>
          <w:rtl w:val="0"/>
          <w:lang w:val="it-IT"/>
        </w:rPr>
        <w:t xml:space="preserve">” </w:t>
      </w:r>
      <w:r>
        <w:rPr>
          <w:rFonts w:ascii="Book Antiqua"/>
          <w:rtl w:val="0"/>
          <w:lang w:val="it-IT"/>
        </w:rPr>
        <w:t xml:space="preserve">dei Cerroni appaiono dissonanti, </w:t>
      </w:r>
      <w:r>
        <w:rPr>
          <w:rFonts w:ascii="Book Antiqua"/>
          <w:i w:val="1"/>
          <w:iCs w:val="1"/>
          <w:rtl w:val="0"/>
          <w:lang w:val="it-IT"/>
        </w:rPr>
        <w:t>prima facie</w:t>
      </w:r>
      <w:r>
        <w:rPr>
          <w:rFonts w:ascii="Book Antiqua"/>
          <w:rtl w:val="0"/>
          <w:lang w:val="it-IT"/>
        </w:rPr>
        <w:t>, rispetto all</w:t>
      </w:r>
      <w:r>
        <w:rPr>
          <w:rFonts w:hAnsi="Book Antiqua" w:hint="default"/>
          <w:rtl w:val="0"/>
          <w:lang w:val="it-IT"/>
        </w:rPr>
        <w:t>’</w:t>
      </w:r>
      <w:r>
        <w:rPr>
          <w:rFonts w:ascii="Book Antiqua"/>
          <w:rtl w:val="0"/>
          <w:lang w:val="it-IT"/>
        </w:rPr>
        <w:t>interesse che gli stessi evidenziano nel settore della raccolta e smaltimento rifiuti.</w:t>
      </w:r>
    </w:p>
    <w:p>
      <w:pPr>
        <w:pStyle w:val="Normal"/>
        <w:keepNext w:val="1"/>
        <w:ind w:left="567" w:right="567" w:firstLine="0"/>
        <w:jc w:val="both"/>
        <w:rPr>
          <w:rFonts w:ascii="Book Antiqua" w:cs="Book Antiqua" w:hAnsi="Book Antiqua" w:eastAsia="Book Antiqua"/>
        </w:rPr>
      </w:pPr>
      <w:r>
        <w:rPr>
          <w:rFonts w:ascii="Book Antiqua"/>
          <w:rtl w:val="0"/>
          <w:lang w:val="it-IT"/>
        </w:rPr>
        <w:t>Del resto, i dati cos</w:t>
      </w:r>
      <w:r>
        <w:rPr>
          <w:rFonts w:hAnsi="Book Antiqua" w:hint="default"/>
          <w:rtl w:val="0"/>
          <w:lang w:val="it-IT"/>
        </w:rPr>
        <w:t xml:space="preserve">ì </w:t>
      </w:r>
      <w:r>
        <w:rPr>
          <w:rFonts w:ascii="Book Antiqua"/>
          <w:rtl w:val="0"/>
          <w:lang w:val="it-IT"/>
        </w:rPr>
        <w:t xml:space="preserve">acquisiti </w:t>
      </w:r>
      <w:r>
        <w:rPr>
          <w:rFonts w:hAnsi="Book Antiqua" w:hint="default"/>
          <w:rtl w:val="0"/>
          <w:lang w:val="it-IT"/>
        </w:rPr>
        <w:t xml:space="preserve">– </w:t>
      </w:r>
      <w:r>
        <w:rPr>
          <w:rFonts w:ascii="Book Antiqua"/>
          <w:rtl w:val="0"/>
          <w:lang w:val="it-IT"/>
        </w:rPr>
        <w:t xml:space="preserve">rappresentando esclusivamente le dirette cointeressenze dei Cerroni - non sono ancora sufficienti a delineare la costellazione societaria agli stessi riconducibile: non </w:t>
      </w:r>
      <w:r>
        <w:rPr>
          <w:rFonts w:hAnsi="Book Antiqua" w:hint="default"/>
          <w:rtl w:val="0"/>
          <w:lang w:val="it-IT"/>
        </w:rPr>
        <w:t xml:space="preserve">è </w:t>
      </w:r>
      <w:r>
        <w:rPr>
          <w:rFonts w:ascii="Book Antiqua"/>
          <w:rtl w:val="0"/>
          <w:lang w:val="it-IT"/>
        </w:rPr>
        <w:t xml:space="preserve">ancora possibile, infatti, determinare il controllo </w:t>
      </w:r>
      <w:r>
        <w:rPr>
          <w:rFonts w:hAnsi="Book Antiqua" w:hint="default"/>
          <w:rtl w:val="0"/>
          <w:lang w:val="it-IT"/>
        </w:rPr>
        <w:t>“</w:t>
      </w:r>
      <w:r>
        <w:rPr>
          <w:rFonts w:ascii="Book Antiqua"/>
          <w:rtl w:val="0"/>
          <w:lang w:val="it-IT"/>
        </w:rPr>
        <w:t>indiretto</w:t>
      </w:r>
      <w:r>
        <w:rPr>
          <w:rFonts w:hAnsi="Book Antiqua" w:hint="default"/>
          <w:rtl w:val="0"/>
          <w:lang w:val="it-IT"/>
        </w:rPr>
        <w:t xml:space="preserve">” </w:t>
      </w:r>
      <w:r>
        <w:rPr>
          <w:rFonts w:ascii="Book Antiqua"/>
          <w:rtl w:val="0"/>
          <w:lang w:val="it-IT"/>
        </w:rPr>
        <w:t>su altre aziende, vale a dire quello esercitato attraverso concatenazioni o interposizioni societarie.</w:t>
      </w:r>
    </w:p>
    <w:p>
      <w:pPr>
        <w:pStyle w:val="Normal"/>
        <w:keepNext w:val="1"/>
        <w:tabs>
          <w:tab w:val="left" w:pos="851"/>
        </w:tabs>
        <w:ind w:left="567" w:right="567" w:firstLine="0"/>
        <w:jc w:val="both"/>
        <w:rPr>
          <w:rFonts w:ascii="Book Antiqua" w:cs="Book Antiqua" w:hAnsi="Book Antiqua" w:eastAsia="Book Antiqua"/>
        </w:rPr>
      </w:pPr>
    </w:p>
    <w:p>
      <w:pPr>
        <w:pStyle w:val="Normal"/>
        <w:keepNext w:val="1"/>
        <w:tabs>
          <w:tab w:val="left" w:pos="851"/>
        </w:tabs>
        <w:ind w:left="567" w:right="567" w:firstLine="0"/>
        <w:jc w:val="both"/>
        <w:rPr>
          <w:rFonts w:ascii="Book Antiqua" w:cs="Book Antiqua" w:hAnsi="Book Antiqua" w:eastAsia="Book Antiqua"/>
        </w:rPr>
      </w:pPr>
    </w:p>
    <w:p>
      <w:pPr>
        <w:pStyle w:val="Normal"/>
        <w:keepNext w:val="1"/>
        <w:ind w:left="1276" w:right="567" w:hanging="709"/>
        <w:jc w:val="both"/>
        <w:rPr>
          <w:rFonts w:ascii="Book Antiqua" w:cs="Book Antiqua" w:hAnsi="Book Antiqua" w:eastAsia="Book Antiqua"/>
          <w:sz w:val="28"/>
          <w:szCs w:val="28"/>
        </w:rPr>
      </w:pPr>
      <w:r>
        <w:rPr>
          <w:rFonts w:ascii="Book Antiqua"/>
          <w:sz w:val="28"/>
          <w:szCs w:val="28"/>
          <w:rtl w:val="0"/>
          <w:lang w:val="it-IT"/>
        </w:rPr>
        <w:t xml:space="preserve">4.3 </w:t>
        <w:tab/>
        <w:t xml:space="preserve">La </w:t>
      </w:r>
      <w:r>
        <w:rPr>
          <w:rFonts w:hAnsi="Book Antiqua" w:hint="default"/>
          <w:sz w:val="28"/>
          <w:szCs w:val="28"/>
          <w:rtl w:val="0"/>
          <w:lang w:val="it-IT"/>
        </w:rPr>
        <w:t>“</w:t>
      </w:r>
      <w:r>
        <w:rPr>
          <w:rFonts w:ascii="Book Antiqua"/>
          <w:sz w:val="28"/>
          <w:szCs w:val="28"/>
          <w:rtl w:val="0"/>
          <w:lang w:val="it-IT"/>
        </w:rPr>
        <w:t>galassia Cerroni</w:t>
      </w:r>
      <w:r>
        <w:rPr>
          <w:rFonts w:hAnsi="Book Antiqua" w:hint="default"/>
          <w:sz w:val="28"/>
          <w:szCs w:val="28"/>
          <w:rtl w:val="0"/>
          <w:lang w:val="it-IT"/>
        </w:rPr>
        <w:t>”</w:t>
      </w:r>
    </w:p>
    <w:p>
      <w:pPr>
        <w:pStyle w:val="Normal"/>
        <w:keepNext w:val="1"/>
        <w:tabs>
          <w:tab w:val="left" w:pos="851"/>
        </w:tabs>
        <w:ind w:left="567" w:right="567" w:firstLine="0"/>
        <w:jc w:val="both"/>
        <w:rPr>
          <w:rFonts w:ascii="Book Antiqua" w:cs="Book Antiqua" w:hAnsi="Book Antiqua" w:eastAsia="Book Antiqua"/>
        </w:rPr>
      </w:pPr>
    </w:p>
    <w:p>
      <w:pPr>
        <w:pStyle w:val="Normal"/>
        <w:keepNext w:val="1"/>
        <w:tabs>
          <w:tab w:val="left" w:pos="851"/>
        </w:tabs>
        <w:ind w:left="567" w:right="567" w:firstLine="0"/>
        <w:jc w:val="both"/>
        <w:rPr>
          <w:rFonts w:ascii="Book Antiqua" w:cs="Book Antiqua" w:hAnsi="Book Antiqua" w:eastAsia="Book Antiqua"/>
        </w:rPr>
      </w:pPr>
      <w:r>
        <w:rPr>
          <w:rFonts w:ascii="Book Antiqua"/>
          <w:rtl w:val="0"/>
          <w:lang w:val="it-IT"/>
        </w:rPr>
        <w:t>All</w:t>
      </w:r>
      <w:r>
        <w:rPr>
          <w:rFonts w:hAnsi="Book Antiqua" w:hint="default"/>
          <w:rtl w:val="0"/>
          <w:lang w:val="it-IT"/>
        </w:rPr>
        <w:t>’</w:t>
      </w:r>
      <w:r>
        <w:rPr>
          <w:rFonts w:ascii="Book Antiqua"/>
          <w:rtl w:val="0"/>
          <w:lang w:val="it-IT"/>
        </w:rPr>
        <w:t xml:space="preserve">individuazione di quella che </w:t>
      </w:r>
      <w:r>
        <w:rPr>
          <w:rFonts w:hAnsi="Book Antiqua" w:hint="default"/>
          <w:rtl w:val="0"/>
          <w:lang w:val="it-IT"/>
        </w:rPr>
        <w:t xml:space="preserve">è </w:t>
      </w:r>
      <w:r>
        <w:rPr>
          <w:rFonts w:ascii="Book Antiqua"/>
          <w:rtl w:val="0"/>
          <w:lang w:val="it-IT"/>
        </w:rPr>
        <w:t xml:space="preserve">possibile denominare la </w:t>
      </w:r>
      <w:r>
        <w:rPr>
          <w:rFonts w:hAnsi="Book Antiqua" w:hint="default"/>
          <w:rtl w:val="0"/>
          <w:lang w:val="it-IT"/>
        </w:rPr>
        <w:t>“</w:t>
      </w:r>
      <w:r>
        <w:rPr>
          <w:rFonts w:ascii="Book Antiqua"/>
          <w:rtl w:val="0"/>
          <w:lang w:val="it-IT"/>
        </w:rPr>
        <w:t>galassia Cerroni</w:t>
      </w:r>
      <w:r>
        <w:rPr>
          <w:rFonts w:hAnsi="Book Antiqua" w:hint="default"/>
          <w:rtl w:val="0"/>
          <w:lang w:val="it-IT"/>
        </w:rPr>
        <w:t>”</w:t>
      </w:r>
      <w:r>
        <w:rPr>
          <w:rFonts w:ascii="Book Antiqua"/>
          <w:rtl w:val="0"/>
          <w:lang w:val="it-IT"/>
        </w:rPr>
        <w:t xml:space="preserve">, si </w:t>
      </w:r>
      <w:r>
        <w:rPr>
          <w:rFonts w:hAnsi="Book Antiqua" w:hint="default"/>
          <w:rtl w:val="0"/>
          <w:lang w:val="it-IT"/>
        </w:rPr>
        <w:t xml:space="preserve">è </w:t>
      </w:r>
      <w:r>
        <w:rPr>
          <w:rFonts w:ascii="Book Antiqua"/>
          <w:rtl w:val="0"/>
          <w:lang w:val="it-IT"/>
        </w:rPr>
        <w:t>pervenuti approfondendo le partecipazioni delle aziende di cui alla tabella 4, cio</w:t>
      </w:r>
      <w:r>
        <w:rPr>
          <w:rFonts w:hAnsi="Book Antiqua" w:hint="default"/>
          <w:rtl w:val="0"/>
          <w:lang w:val="it-IT"/>
        </w:rPr>
        <w:t xml:space="preserve">è </w:t>
      </w:r>
      <w:r>
        <w:rPr>
          <w:rFonts w:ascii="Book Antiqua"/>
          <w:rtl w:val="0"/>
          <w:lang w:val="it-IT"/>
        </w:rPr>
        <w:t xml:space="preserve">quelle direttamente riconducibili ai Cerroni (Manlio, Monica e Donatella), nel tentativo di far emergere le reali cointeressenze da esse derivanti. </w:t>
      </w:r>
    </w:p>
    <w:p>
      <w:pPr>
        <w:pStyle w:val="Normal"/>
        <w:keepNext w:val="1"/>
        <w:tabs>
          <w:tab w:val="left" w:pos="851"/>
        </w:tabs>
        <w:ind w:left="567" w:right="567" w:firstLine="0"/>
        <w:jc w:val="both"/>
        <w:rPr>
          <w:rFonts w:ascii="Book Antiqua" w:cs="Book Antiqua" w:hAnsi="Book Antiqua" w:eastAsia="Book Antiqua"/>
        </w:rPr>
      </w:pPr>
      <w:r>
        <w:rPr>
          <w:rFonts w:ascii="Book Antiqua"/>
          <w:rtl w:val="0"/>
          <w:lang w:val="it-IT"/>
        </w:rPr>
        <w:t>Il grafico, riportato in allegato 1, rappresenta, per l</w:t>
      </w:r>
      <w:r>
        <w:rPr>
          <w:rFonts w:hAnsi="Book Antiqua" w:hint="default"/>
          <w:rtl w:val="0"/>
          <w:lang w:val="it-IT"/>
        </w:rPr>
        <w:t>’</w:t>
      </w:r>
      <w:r>
        <w:rPr>
          <w:rFonts w:ascii="Book Antiqua"/>
          <w:rtl w:val="0"/>
          <w:lang w:val="it-IT"/>
        </w:rPr>
        <w:t>appunto, il groviglio delle societ</w:t>
      </w:r>
      <w:r>
        <w:rPr>
          <w:rFonts w:hAnsi="Book Antiqua" w:hint="default"/>
          <w:rtl w:val="0"/>
          <w:lang w:val="it-IT"/>
        </w:rPr>
        <w:t xml:space="preserve">à </w:t>
      </w:r>
      <w:r>
        <w:rPr>
          <w:rFonts w:ascii="Book Antiqua"/>
          <w:rtl w:val="0"/>
          <w:lang w:val="it-IT"/>
        </w:rPr>
        <w:t xml:space="preserve">in seno alle quali i Cerroni, a vario titolo, hanno un interesse; esso </w:t>
      </w:r>
      <w:r>
        <w:rPr>
          <w:rFonts w:hAnsi="Book Antiqua" w:hint="default"/>
          <w:rtl w:val="0"/>
          <w:lang w:val="it-IT"/>
        </w:rPr>
        <w:t xml:space="preserve">è </w:t>
      </w:r>
      <w:r>
        <w:rPr>
          <w:rFonts w:ascii="Book Antiqua"/>
          <w:rtl w:val="0"/>
          <w:lang w:val="it-IT"/>
        </w:rPr>
        <w:t>stato ottenuto effettuando un</w:t>
      </w:r>
      <w:r>
        <w:rPr>
          <w:rFonts w:hAnsi="Book Antiqua" w:hint="default"/>
          <w:rtl w:val="0"/>
          <w:lang w:val="it-IT"/>
        </w:rPr>
        <w:t>’</w:t>
      </w:r>
      <w:r>
        <w:rPr>
          <w:rFonts w:ascii="Book Antiqua"/>
          <w:rtl w:val="0"/>
          <w:lang w:val="it-IT"/>
        </w:rPr>
        <w:t xml:space="preserve">analisi con i cosiddetti dati </w:t>
      </w:r>
      <w:r>
        <w:rPr>
          <w:rFonts w:hAnsi="Book Antiqua" w:hint="default"/>
          <w:rtl w:val="0"/>
          <w:lang w:val="it-IT"/>
        </w:rPr>
        <w:t>“</w:t>
      </w:r>
      <w:r>
        <w:rPr>
          <w:rFonts w:ascii="Book Antiqua"/>
          <w:rtl w:val="0"/>
          <w:lang w:val="it-IT"/>
        </w:rPr>
        <w:t>di secondo livello</w:t>
      </w:r>
      <w:r>
        <w:rPr>
          <w:rFonts w:hAnsi="Book Antiqua" w:hint="default"/>
          <w:rtl w:val="0"/>
          <w:lang w:val="it-IT"/>
        </w:rPr>
        <w:t>”</w:t>
      </w:r>
      <w:r>
        <w:rPr>
          <w:rFonts w:ascii="Book Antiqua"/>
          <w:rtl w:val="0"/>
          <w:lang w:val="it-IT"/>
        </w:rPr>
        <w:t>: in sostanza, dopo aver acquisito i dati sui ruoli e le partecipazioni societarie delle 27 imprese direttamente riconducibili alla famiglia Cerroni (tab. 4), essi sono stati incrociati e messi a sistema con le relazioni gi</w:t>
      </w:r>
      <w:r>
        <w:rPr>
          <w:rFonts w:hAnsi="Book Antiqua" w:hint="default"/>
          <w:rtl w:val="0"/>
          <w:lang w:val="it-IT"/>
        </w:rPr>
        <w:t xml:space="preserve">à </w:t>
      </w:r>
      <w:r>
        <w:rPr>
          <w:rFonts w:ascii="Book Antiqua"/>
          <w:rtl w:val="0"/>
          <w:lang w:val="it-IT"/>
        </w:rPr>
        <w:t>note, permettendo, cos</w:t>
      </w:r>
      <w:r>
        <w:rPr>
          <w:rFonts w:hAnsi="Book Antiqua" w:hint="default"/>
          <w:rtl w:val="0"/>
          <w:lang w:val="it-IT"/>
        </w:rPr>
        <w:t>ì</w:t>
      </w:r>
      <w:r>
        <w:rPr>
          <w:rFonts w:ascii="Book Antiqua"/>
          <w:rtl w:val="0"/>
          <w:lang w:val="it-IT"/>
        </w:rPr>
        <w:t>, di evidenziare gli intrecci e le sovrapposizioni aziendali.</w:t>
      </w:r>
    </w:p>
    <w:p>
      <w:pPr>
        <w:pStyle w:val="Normal"/>
        <w:keepNext w:val="1"/>
        <w:ind w:left="567" w:right="567" w:firstLine="0"/>
        <w:jc w:val="both"/>
        <w:rPr>
          <w:rFonts w:ascii="Book Antiqua" w:cs="Book Antiqua" w:hAnsi="Book Antiqua" w:eastAsia="Book Antiqua"/>
        </w:rPr>
      </w:pPr>
      <w:r>
        <w:rPr>
          <w:rFonts w:ascii="Book Antiqua"/>
          <w:rtl w:val="0"/>
          <w:lang w:val="it-IT"/>
        </w:rPr>
        <w:t>Per avere pi</w:t>
      </w:r>
      <w:r>
        <w:rPr>
          <w:rFonts w:hAnsi="Book Antiqua" w:hint="default"/>
          <w:rtl w:val="0"/>
          <w:lang w:val="it-IT"/>
        </w:rPr>
        <w:t xml:space="preserve">ù </w:t>
      </w:r>
      <w:r>
        <w:rPr>
          <w:rFonts w:ascii="Book Antiqua"/>
          <w:rtl w:val="0"/>
          <w:lang w:val="it-IT"/>
        </w:rPr>
        <w:t>immediata percezione delle aziende gravitanti nell</w:t>
      </w:r>
      <w:r>
        <w:rPr>
          <w:rFonts w:hAnsi="Book Antiqua" w:hint="default"/>
          <w:rtl w:val="0"/>
          <w:lang w:val="it-IT"/>
        </w:rPr>
        <w:t>’</w:t>
      </w:r>
      <w:r>
        <w:rPr>
          <w:rFonts w:ascii="Book Antiqua"/>
          <w:rtl w:val="0"/>
          <w:lang w:val="it-IT"/>
        </w:rPr>
        <w:t xml:space="preserve">orbita della famiglia Cerroni, </w:t>
      </w:r>
      <w:r>
        <w:rPr>
          <w:rFonts w:hAnsi="Book Antiqua" w:hint="default"/>
          <w:rtl w:val="0"/>
          <w:lang w:val="it-IT"/>
        </w:rPr>
        <w:t xml:space="preserve">è </w:t>
      </w:r>
      <w:r>
        <w:rPr>
          <w:rFonts w:ascii="Book Antiqua"/>
          <w:rtl w:val="0"/>
          <w:lang w:val="it-IT"/>
        </w:rPr>
        <w:t>stata, altres</w:t>
      </w:r>
      <w:r>
        <w:rPr>
          <w:rFonts w:hAnsi="Book Antiqua" w:hint="default"/>
          <w:rtl w:val="0"/>
          <w:lang w:val="it-IT"/>
        </w:rPr>
        <w:t>ì</w:t>
      </w:r>
      <w:r>
        <w:rPr>
          <w:rFonts w:ascii="Book Antiqua"/>
          <w:rtl w:val="0"/>
          <w:lang w:val="it-IT"/>
        </w:rPr>
        <w:t xml:space="preserve">, approntata, la seguente tabella ove sono riportati - in rigoroso ordine alfabetico </w:t>
      </w:r>
      <w:r>
        <w:rPr>
          <w:rFonts w:hAnsi="Book Antiqua" w:hint="default"/>
          <w:rtl w:val="0"/>
          <w:lang w:val="it-IT"/>
        </w:rPr>
        <w:t xml:space="preserve">– </w:t>
      </w:r>
      <w:r>
        <w:rPr>
          <w:rFonts w:ascii="Book Antiqua"/>
          <w:rtl w:val="0"/>
          <w:lang w:val="it-IT"/>
        </w:rPr>
        <w:t xml:space="preserve">tutti i </w:t>
      </w:r>
      <w:r>
        <w:rPr>
          <w:rFonts w:ascii="Book Antiqua Bold"/>
          <w:b w:val="1"/>
          <w:bCs w:val="1"/>
          <w:rtl w:val="0"/>
          <w:lang w:val="it-IT"/>
        </w:rPr>
        <w:t>settantasei soggetti economici</w:t>
      </w:r>
      <w:r>
        <w:rPr>
          <w:rFonts w:ascii="Book Antiqua"/>
          <w:rtl w:val="0"/>
          <w:lang w:val="it-IT"/>
        </w:rPr>
        <w:t xml:space="preserve"> presenti nel grafico 4, con indicazione, per ciascuno di essi, delle generalit</w:t>
      </w:r>
      <w:r>
        <w:rPr>
          <w:rFonts w:hAnsi="Book Antiqua" w:hint="default"/>
          <w:rtl w:val="0"/>
          <w:lang w:val="it-IT"/>
        </w:rPr>
        <w:t xml:space="preserve">à </w:t>
      </w:r>
      <w:r>
        <w:rPr>
          <w:rFonts w:ascii="Book Antiqua"/>
          <w:rtl w:val="0"/>
          <w:lang w:val="it-IT"/>
        </w:rPr>
        <w:t>(denominazione e codice fiscale) e della loro attivit</w:t>
      </w:r>
      <w:r>
        <w:rPr>
          <w:rFonts w:hAnsi="Book Antiqua" w:hint="default"/>
          <w:rtl w:val="0"/>
          <w:lang w:val="it-IT"/>
        </w:rPr>
        <w:t xml:space="preserve">à </w:t>
      </w:r>
      <w:r>
        <w:rPr>
          <w:rFonts w:ascii="Book Antiqua"/>
          <w:rtl w:val="0"/>
          <w:lang w:val="it-IT"/>
        </w:rPr>
        <w:t>prevalente esercitata (unitamente alla data di inizio).</w:t>
      </w:r>
      <w:r>
        <w:rPr>
          <w:rFonts w:ascii="Book Antiqua" w:cs="Book Antiqua" w:hAnsi="Book Antiqua" w:eastAsia="Book Antiqua"/>
          <w:vertAlign w:val="superscript"/>
          <w:rtl w:val="0"/>
        </w:rPr>
        <w:footnoteReference w:id="205"/>
      </w:r>
    </w:p>
    <w:p>
      <w:pPr>
        <w:pStyle w:val="Normal"/>
        <w:keepNext w:val="1"/>
        <w:ind w:left="567" w:right="567" w:firstLine="0"/>
        <w:jc w:val="both"/>
        <w:rPr>
          <w:rFonts w:ascii="Book Antiqua" w:cs="Book Antiqua" w:hAnsi="Book Antiqua" w:eastAsia="Book Antiqua"/>
        </w:rPr>
      </w:pPr>
      <w:r>
        <w:rPr>
          <w:rFonts w:ascii="Book Antiqua"/>
          <w:rtl w:val="0"/>
          <w:lang w:val="it-IT"/>
        </w:rPr>
        <w:t xml:space="preserve"> </w:t>
      </w:r>
    </w:p>
    <w:p>
      <w:pPr>
        <w:pStyle w:val="Normal"/>
        <w:keepNext w:val="1"/>
        <w:ind w:left="1418" w:right="567" w:hanging="851"/>
        <w:rPr>
          <w:rFonts w:ascii="Book Antiqua" w:cs="Book Antiqua" w:hAnsi="Book Antiqua" w:eastAsia="Book Antiqua"/>
          <w:i w:val="1"/>
          <w:iCs w:val="1"/>
          <w:sz w:val="22"/>
          <w:szCs w:val="22"/>
        </w:rPr>
      </w:pPr>
      <w:r>
        <w:rPr>
          <w:rFonts w:ascii="Book Antiqua"/>
          <w:i w:val="1"/>
          <w:iCs w:val="1"/>
          <w:sz w:val="22"/>
          <w:szCs w:val="22"/>
          <w:rtl w:val="0"/>
          <w:lang w:val="it-IT"/>
        </w:rPr>
        <w:t xml:space="preserve">Tab. 5 </w:t>
      </w:r>
      <w:r>
        <w:rPr>
          <w:rFonts w:hAnsi="Book Antiqua" w:hint="default"/>
          <w:i w:val="1"/>
          <w:iCs w:val="1"/>
          <w:sz w:val="22"/>
          <w:szCs w:val="22"/>
          <w:rtl w:val="0"/>
          <w:lang w:val="it-IT"/>
        </w:rPr>
        <w:t xml:space="preserve">– </w:t>
      </w:r>
      <w:r>
        <w:rPr>
          <w:rFonts w:ascii="Book Antiqua"/>
          <w:i w:val="1"/>
          <w:iCs w:val="1"/>
          <w:sz w:val="22"/>
          <w:szCs w:val="22"/>
          <w:rtl w:val="0"/>
          <w:lang w:val="it-IT"/>
        </w:rPr>
        <w:t>Elenco soggetti economici riconducibili, direttamente e/o indirettamente a Manlio, Donatella e Monica Cerroni</w:t>
      </w:r>
    </w:p>
    <w:p>
      <w:pPr>
        <w:pStyle w:val="Normal"/>
        <w:keepNext w:val="1"/>
        <w:ind w:left="567" w:right="567" w:firstLine="0"/>
        <w:jc w:val="both"/>
        <w:rPr>
          <w:rFonts w:ascii="Book Antiqua" w:cs="Book Antiqua" w:hAnsi="Book Antiqua" w:eastAsia="Book Antiqua"/>
        </w:rPr>
      </w:pPr>
    </w:p>
    <w:tbl>
      <w:tblPr>
        <w:tblW w:w="8376" w:type="dxa"/>
        <w:jc w:val="center"/>
        <w:tblInd w:w="108" w:type="dxa"/>
        <w:tblBorders>
          <w:top w:val="single" w:color="000000" w:sz="2" w:space="0" w:shadow="0" w:frame="0"/>
          <w:left w:val="single" w:color="000000" w:sz="2" w:space="0" w:shadow="0" w:frame="0"/>
          <w:bottom w:val="single" w:color="000000" w:sz="2" w:space="0" w:shadow="0" w:frame="0"/>
          <w:right w:val="single" w:color="000000" w:sz="2" w:space="0" w:shadow="0" w:frame="0"/>
          <w:insideH w:val="single" w:color="000000" w:sz="2" w:space="0" w:shadow="0" w:frame="0"/>
          <w:insideV w:val="single" w:color="000000" w:sz="2" w:space="0" w:shadow="0" w:frame="0"/>
        </w:tblBorders>
        <w:shd w:val="clear" w:color="auto" w:fill="auto"/>
        <w:tblLayout w:type="fixed"/>
      </w:tblPr>
      <w:tblGrid>
        <w:gridCol w:w="326"/>
        <w:gridCol w:w="2521"/>
        <w:gridCol w:w="1843"/>
        <w:gridCol w:w="1070"/>
        <w:gridCol w:w="2616"/>
      </w:tblGrid>
      <w:tr>
        <w:tblPrEx>
          <w:shd w:val="clear" w:color="auto" w:fill="auto"/>
        </w:tblPrEx>
        <w:trPr>
          <w:trHeight w:val="290" w:hRule="atLeast"/>
        </w:trPr>
        <w:tc>
          <w:tcPr>
            <w:tcW w:type="dxa" w:w="326"/>
            <w:tcBorders>
              <w:top w:val="nil"/>
              <w:left w:val="nil"/>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tc>
        <w:tc>
          <w:tcPr>
            <w:tcW w:type="dxa" w:w="8050"/>
            <w:gridSpan w:val="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ccccff"/>
            <w:tcMar>
              <w:top w:type="dxa" w:w="80"/>
              <w:left w:type="dxa" w:w="80"/>
              <w:bottom w:type="dxa" w:w="80"/>
              <w:right w:type="dxa" w:w="80"/>
            </w:tcMar>
            <w:vAlign w:val="center"/>
          </w:tcPr>
          <w:p>
            <w:pPr>
              <w:pStyle w:val="Normal"/>
              <w:keepNext w:val="1"/>
              <w:jc w:val="center"/>
            </w:pPr>
            <w:r>
              <w:rPr>
                <w:rFonts w:ascii="Calibri" w:cs="Calibri" w:hAnsi="Calibri" w:eastAsia="Calibri"/>
                <w:b w:val="1"/>
                <w:bCs w:val="1"/>
                <w:caps w:val="0"/>
                <w:smallCaps w:val="0"/>
                <w:strike w:val="0"/>
                <w:dstrike w:val="0"/>
                <w:outline w:val="0"/>
                <w:color w:val="000000"/>
                <w:spacing w:val="0"/>
                <w:kern w:val="0"/>
                <w:position w:val="0"/>
                <w:sz w:val="24"/>
                <w:szCs w:val="24"/>
                <w:u w:val="none" w:color="000000"/>
                <w:vertAlign w:val="baseline"/>
                <w:rtl w:val="0"/>
                <w:lang w:val="it-IT"/>
              </w:rPr>
              <w:t>SOGGETTO ECONOMICO/SOCIETA'</w:t>
            </w:r>
          </w:p>
        </w:tc>
      </w:tr>
      <w:tr>
        <w:tblPrEx>
          <w:shd w:val="clear" w:color="auto" w:fill="auto"/>
        </w:tblPrEx>
        <w:trPr>
          <w:trHeight w:val="450" w:hRule="atLeast"/>
        </w:trPr>
        <w:tc>
          <w:tcPr>
            <w:tcW w:type="dxa" w:w="3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ccccff"/>
            <w:tcMar>
              <w:top w:type="dxa" w:w="80"/>
              <w:left w:type="dxa" w:w="80"/>
              <w:bottom w:type="dxa" w:w="80"/>
              <w:right w:type="dxa" w:w="80"/>
            </w:tcMar>
            <w:vAlign w:val="center"/>
          </w:tcPr>
          <w:p>
            <w:pPr>
              <w:pStyle w:val="Normal"/>
              <w:keepNext w:val="1"/>
              <w:jc w:val="center"/>
            </w:pPr>
            <w:r>
              <w:rPr>
                <w:rFonts w:ascii="Calibri" w:cs="Calibri" w:hAnsi="Calibri" w:eastAsia="Calibri"/>
                <w:b w:val="1"/>
                <w:bCs w:val="1"/>
                <w:caps w:val="0"/>
                <w:smallCaps w:val="0"/>
                <w:strike w:val="0"/>
                <w:dstrike w:val="0"/>
                <w:outline w:val="0"/>
                <w:color w:val="000000"/>
                <w:spacing w:val="0"/>
                <w:kern w:val="0"/>
                <w:position w:val="0"/>
                <w:sz w:val="20"/>
                <w:szCs w:val="20"/>
                <w:u w:val="none" w:color="000000"/>
                <w:vertAlign w:val="baseline"/>
                <w:rtl w:val="0"/>
                <w:lang w:val="it-IT"/>
              </w:rPr>
              <w:t>N.</w:t>
            </w:r>
          </w:p>
        </w:tc>
        <w:tc>
          <w:tcPr>
            <w:tcW w:type="dxa" w:w="252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ccccff"/>
            <w:tcMar>
              <w:top w:type="dxa" w:w="80"/>
              <w:left w:type="dxa" w:w="80"/>
              <w:bottom w:type="dxa" w:w="80"/>
              <w:right w:type="dxa" w:w="80"/>
            </w:tcMar>
            <w:vAlign w:val="center"/>
          </w:tcPr>
          <w:p>
            <w:pPr>
              <w:pStyle w:val="Normal"/>
              <w:keepNext w:val="1"/>
              <w:jc w:val="center"/>
            </w:pPr>
            <w:r>
              <w:rPr>
                <w:rFonts w:ascii="Calibri" w:cs="Calibri" w:hAnsi="Calibri" w:eastAsia="Calibri"/>
                <w:b w:val="1"/>
                <w:bCs w:val="1"/>
                <w:caps w:val="0"/>
                <w:smallCaps w:val="0"/>
                <w:strike w:val="0"/>
                <w:dstrike w:val="0"/>
                <w:outline w:val="0"/>
                <w:color w:val="000000"/>
                <w:spacing w:val="0"/>
                <w:kern w:val="0"/>
                <w:position w:val="0"/>
                <w:sz w:val="20"/>
                <w:szCs w:val="20"/>
                <w:u w:val="none" w:color="000000"/>
                <w:vertAlign w:val="baseline"/>
                <w:rtl w:val="0"/>
                <w:lang w:val="it-IT"/>
              </w:rPr>
              <w:t>DENOMINAZIONE E COD. FIS.</w:t>
            </w:r>
          </w:p>
        </w:tc>
        <w:tc>
          <w:tcPr>
            <w:tcW w:type="dxa" w:w="184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ccccff"/>
            <w:tcMar>
              <w:top w:type="dxa" w:w="80"/>
              <w:left w:type="dxa" w:w="80"/>
              <w:bottom w:type="dxa" w:w="80"/>
              <w:right w:type="dxa" w:w="80"/>
            </w:tcMar>
            <w:vAlign w:val="center"/>
          </w:tcPr>
          <w:p>
            <w:pPr>
              <w:pStyle w:val="Normal"/>
              <w:keepNext w:val="1"/>
              <w:jc w:val="center"/>
            </w:pPr>
            <w:r>
              <w:rPr>
                <w:rFonts w:ascii="Calibri" w:cs="Calibri" w:hAnsi="Calibri" w:eastAsia="Calibri"/>
                <w:b w:val="1"/>
                <w:bCs w:val="1"/>
                <w:caps w:val="0"/>
                <w:smallCaps w:val="0"/>
                <w:strike w:val="0"/>
                <w:dstrike w:val="0"/>
                <w:outline w:val="0"/>
                <w:color w:val="000000"/>
                <w:spacing w:val="0"/>
                <w:kern w:val="0"/>
                <w:position w:val="0"/>
                <w:sz w:val="20"/>
                <w:szCs w:val="20"/>
                <w:u w:val="none" w:color="000000"/>
                <w:vertAlign w:val="baseline"/>
                <w:rtl w:val="0"/>
                <w:lang w:val="it-IT"/>
              </w:rPr>
              <w:t>SEDE</w:t>
            </w:r>
          </w:p>
        </w:tc>
        <w:tc>
          <w:tcPr>
            <w:tcW w:type="dxa" w:w="107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ccccff"/>
            <w:tcMar>
              <w:top w:type="dxa" w:w="80"/>
              <w:left w:type="dxa" w:w="80"/>
              <w:bottom w:type="dxa" w:w="80"/>
              <w:right w:type="dxa" w:w="80"/>
            </w:tcMar>
            <w:vAlign w:val="center"/>
          </w:tcPr>
          <w:p>
            <w:pPr>
              <w:pStyle w:val="Normal"/>
              <w:keepNext w:val="1"/>
              <w:jc w:val="center"/>
              <w:rPr>
                <w:rFonts w:ascii="Calibri" w:cs="Calibri" w:hAnsi="Calibri" w:eastAsia="Calibri"/>
                <w:b w:val="1"/>
                <w:bCs w:val="1"/>
                <w:caps w:val="0"/>
                <w:smallCaps w:val="0"/>
                <w:strike w:val="0"/>
                <w:dstrike w:val="0"/>
                <w:outline w:val="0"/>
                <w:color w:val="000000"/>
                <w:spacing w:val="0"/>
                <w:kern w:val="0"/>
                <w:position w:val="0"/>
                <w:sz w:val="20"/>
                <w:szCs w:val="20"/>
                <w:u w:val="none" w:color="000000"/>
                <w:vertAlign w:val="baseline"/>
                <w:rtl w:val="0"/>
                <w:lang w:val="it-IT"/>
              </w:rPr>
            </w:pPr>
            <w:r>
              <w:rPr>
                <w:rFonts w:ascii="Calibri" w:cs="Calibri" w:hAnsi="Calibri" w:eastAsia="Calibri"/>
                <w:b w:val="1"/>
                <w:bCs w:val="1"/>
                <w:caps w:val="0"/>
                <w:smallCaps w:val="0"/>
                <w:strike w:val="0"/>
                <w:dstrike w:val="0"/>
                <w:outline w:val="0"/>
                <w:color w:val="000000"/>
                <w:spacing w:val="0"/>
                <w:kern w:val="0"/>
                <w:position w:val="0"/>
                <w:sz w:val="20"/>
                <w:szCs w:val="20"/>
                <w:u w:val="none" w:color="000000"/>
                <w:vertAlign w:val="baseline"/>
                <w:rtl w:val="0"/>
                <w:lang w:val="it-IT"/>
              </w:rPr>
              <w:t xml:space="preserve">DATA </w:t>
            </w:r>
          </w:p>
          <w:p>
            <w:pPr>
              <w:pStyle w:val="Normal"/>
              <w:keepNext w:val="1"/>
              <w:jc w:val="center"/>
            </w:pPr>
            <w:r>
              <w:rPr>
                <w:rFonts w:ascii="Calibri" w:cs="Calibri" w:hAnsi="Calibri" w:eastAsia="Calibri"/>
                <w:b w:val="1"/>
                <w:bCs w:val="1"/>
                <w:caps w:val="0"/>
                <w:smallCaps w:val="0"/>
                <w:strike w:val="0"/>
                <w:dstrike w:val="0"/>
                <w:outline w:val="0"/>
                <w:color w:val="000000"/>
                <w:spacing w:val="0"/>
                <w:kern w:val="0"/>
                <w:position w:val="0"/>
                <w:sz w:val="20"/>
                <w:szCs w:val="20"/>
                <w:u w:val="none" w:color="000000"/>
                <w:vertAlign w:val="baseline"/>
                <w:rtl w:val="0"/>
                <w:lang w:val="it-IT"/>
              </w:rPr>
              <w:t xml:space="preserve">INIZIO </w:t>
            </w:r>
          </w:p>
        </w:tc>
        <w:tc>
          <w:tcPr>
            <w:tcW w:type="dxa" w:w="261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ccccff"/>
            <w:tcMar>
              <w:top w:type="dxa" w:w="80"/>
              <w:left w:type="dxa" w:w="80"/>
              <w:bottom w:type="dxa" w:w="80"/>
              <w:right w:type="dxa" w:w="80"/>
            </w:tcMar>
            <w:vAlign w:val="center"/>
          </w:tcPr>
          <w:p>
            <w:pPr>
              <w:pStyle w:val="Normal"/>
              <w:keepNext w:val="1"/>
              <w:jc w:val="center"/>
            </w:pPr>
            <w:r>
              <w:rPr>
                <w:rFonts w:ascii="Calibri" w:cs="Calibri" w:hAnsi="Calibri" w:eastAsia="Calibri"/>
                <w:b w:val="1"/>
                <w:bCs w:val="1"/>
                <w:caps w:val="0"/>
                <w:smallCaps w:val="0"/>
                <w:strike w:val="0"/>
                <w:dstrike w:val="0"/>
                <w:outline w:val="0"/>
                <w:color w:val="000000"/>
                <w:spacing w:val="0"/>
                <w:kern w:val="0"/>
                <w:position w:val="0"/>
                <w:sz w:val="20"/>
                <w:szCs w:val="20"/>
                <w:u w:val="none" w:color="000000"/>
                <w:vertAlign w:val="baseline"/>
                <w:rtl w:val="0"/>
                <w:lang w:val="it-IT"/>
              </w:rPr>
              <w:t>ATTIVITA'</w:t>
            </w:r>
          </w:p>
        </w:tc>
      </w:tr>
      <w:tr>
        <w:tblPrEx>
          <w:shd w:val="clear" w:color="auto" w:fill="auto"/>
        </w:tblPrEx>
        <w:trPr>
          <w:trHeight w:val="450" w:hRule="atLeast"/>
        </w:trPr>
        <w:tc>
          <w:tcPr>
            <w:tcW w:type="dxa" w:w="3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1</w:t>
            </w:r>
          </w:p>
        </w:tc>
        <w:tc>
          <w:tcPr>
            <w:tcW w:type="dxa" w:w="252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A LA BORNE B S.r.l. CON UNICO SOCIO - 06689101001</w:t>
            </w:r>
          </w:p>
        </w:tc>
        <w:tc>
          <w:tcPr>
            <w:tcW w:type="dxa" w:w="184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ROMA (RM) - VIA ANTONIO BERTOLONI 8</w:t>
            </w:r>
          </w:p>
        </w:tc>
        <w:tc>
          <w:tcPr>
            <w:tcW w:type="dxa" w:w="107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19/07/2001</w:t>
            </w:r>
          </w:p>
        </w:tc>
        <w:tc>
          <w:tcPr>
            <w:tcW w:type="dxa" w:w="261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LOCAZIONE IMMOBILIARE DI BENI PROPRI O IN LEASING (AFFITTO)</w:t>
            </w:r>
          </w:p>
        </w:tc>
      </w:tr>
      <w:tr>
        <w:tblPrEx>
          <w:shd w:val="clear" w:color="auto" w:fill="auto"/>
        </w:tblPrEx>
        <w:trPr>
          <w:trHeight w:val="810" w:hRule="atLeast"/>
        </w:trPr>
        <w:tc>
          <w:tcPr>
            <w:tcW w:type="dxa" w:w="3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2</w:t>
            </w:r>
          </w:p>
        </w:tc>
        <w:tc>
          <w:tcPr>
            <w:tcW w:type="dxa" w:w="252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AGENZIA PER L'ENERGIA E L'AMBIENTE S.r.l. - 02227380546</w:t>
            </w:r>
          </w:p>
        </w:tc>
        <w:tc>
          <w:tcPr>
            <w:tcW w:type="dxa" w:w="184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PERUGIA (PG) - VIA CORCIANESE 218 CENTRO DIREZ 4TORRI TORRE E</w:t>
            </w:r>
          </w:p>
        </w:tc>
        <w:tc>
          <w:tcPr>
            <w:tcW w:type="dxa" w:w="107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18/03/1997</w:t>
            </w:r>
          </w:p>
        </w:tc>
        <w:tc>
          <w:tcPr>
            <w:tcW w:type="dxa" w:w="261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ATTIVITA' DEGLI STUDI DI INGEGNERIA</w:t>
            </w:r>
          </w:p>
        </w:tc>
      </w:tr>
      <w:tr>
        <w:tblPrEx>
          <w:shd w:val="clear" w:color="auto" w:fill="auto"/>
        </w:tblPrEx>
        <w:trPr>
          <w:trHeight w:val="440" w:hRule="atLeast"/>
        </w:trPr>
        <w:tc>
          <w:tcPr>
            <w:tcW w:type="dxa" w:w="3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3</w:t>
            </w:r>
          </w:p>
        </w:tc>
        <w:tc>
          <w:tcPr>
            <w:tcW w:type="dxa" w:w="252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AMBIENTAL GEO SOC. COOP. AR.L. - 03349690176</w:t>
            </w:r>
          </w:p>
        </w:tc>
        <w:tc>
          <w:tcPr>
            <w:tcW w:type="dxa" w:w="184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BRESCIA (BS) - VIA DEI SANTI 58</w:t>
            </w:r>
          </w:p>
        </w:tc>
        <w:tc>
          <w:tcPr>
            <w:tcW w:type="dxa" w:w="107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27/05/1996</w:t>
            </w:r>
          </w:p>
        </w:tc>
        <w:tc>
          <w:tcPr>
            <w:tcW w:type="dxa" w:w="261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ATTIVITA' DI SERVIZI PER LA PERSONA NCA</w:t>
            </w:r>
          </w:p>
        </w:tc>
      </w:tr>
      <w:tr>
        <w:tblPrEx>
          <w:shd w:val="clear" w:color="auto" w:fill="auto"/>
        </w:tblPrEx>
        <w:trPr>
          <w:trHeight w:val="610" w:hRule="atLeast"/>
        </w:trPr>
        <w:tc>
          <w:tcPr>
            <w:tcW w:type="dxa" w:w="3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4</w:t>
            </w:r>
          </w:p>
        </w:tc>
        <w:tc>
          <w:tcPr>
            <w:tcW w:type="dxa" w:w="252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AMBIENTE GUIDONIA S.r.l. - 11317471008</w:t>
            </w:r>
          </w:p>
        </w:tc>
        <w:tc>
          <w:tcPr>
            <w:tcW w:type="dxa" w:w="184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ROMA (RM) - VIALE DEL POGGIO FIORITO 63</w:t>
            </w:r>
          </w:p>
        </w:tc>
        <w:tc>
          <w:tcPr>
            <w:tcW w:type="dxa" w:w="107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09/02/2011</w:t>
            </w:r>
          </w:p>
        </w:tc>
        <w:tc>
          <w:tcPr>
            <w:tcW w:type="dxa" w:w="261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TRATTAMENTO E SMALTIMENTO DI RIFIUTI NON PERICOLOSI; PRODUZIONE DI COMPOST</w:t>
            </w:r>
          </w:p>
        </w:tc>
      </w:tr>
      <w:tr>
        <w:tblPrEx>
          <w:shd w:val="clear" w:color="auto" w:fill="auto"/>
        </w:tblPrEx>
        <w:trPr>
          <w:trHeight w:val="610" w:hRule="atLeast"/>
        </w:trPr>
        <w:tc>
          <w:tcPr>
            <w:tcW w:type="dxa" w:w="3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5</w:t>
            </w:r>
          </w:p>
        </w:tc>
        <w:tc>
          <w:tcPr>
            <w:tcW w:type="dxa" w:w="252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AMICI DI PISONIANO - 07557271009</w:t>
            </w:r>
          </w:p>
        </w:tc>
        <w:tc>
          <w:tcPr>
            <w:tcW w:type="dxa" w:w="184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PISONIANO (RM) - VIA PIAGGE N 6</w:t>
            </w:r>
          </w:p>
        </w:tc>
        <w:tc>
          <w:tcPr>
            <w:tcW w:type="dxa" w:w="107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30/05/2003</w:t>
            </w:r>
          </w:p>
        </w:tc>
        <w:tc>
          <w:tcPr>
            <w:tcW w:type="dxa" w:w="261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 xml:space="preserve">ATTIVITA' DI ALTRE ORGANIZZAZIONI ASSOCIATIVE N.C.A.                                                                                                                                                                                                           </w:t>
            </w:r>
          </w:p>
        </w:tc>
      </w:tr>
      <w:tr>
        <w:tblPrEx>
          <w:shd w:val="clear" w:color="auto" w:fill="auto"/>
        </w:tblPrEx>
        <w:trPr>
          <w:trHeight w:val="440" w:hRule="atLeast"/>
        </w:trPr>
        <w:tc>
          <w:tcPr>
            <w:tcW w:type="dxa" w:w="3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6</w:t>
            </w:r>
          </w:p>
        </w:tc>
        <w:tc>
          <w:tcPr>
            <w:tcW w:type="dxa" w:w="252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AP PRODUZIONE AMBIENTE S.r.l. - 01879550547</w:t>
            </w:r>
          </w:p>
        </w:tc>
        <w:tc>
          <w:tcPr>
            <w:tcW w:type="dxa" w:w="184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PERUGIA (PG) - VIA DELLA MOLINELLA 7</w:t>
            </w:r>
          </w:p>
        </w:tc>
        <w:tc>
          <w:tcPr>
            <w:tcW w:type="dxa" w:w="107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31/01/1991</w:t>
            </w:r>
          </w:p>
        </w:tc>
        <w:tc>
          <w:tcPr>
            <w:tcW w:type="dxa" w:w="261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TRATTAMENTO E SMALTIMENTO DI RIFIUTI PERICOLOSI</w:t>
            </w:r>
          </w:p>
        </w:tc>
      </w:tr>
      <w:tr>
        <w:tblPrEx>
          <w:shd w:val="clear" w:color="auto" w:fill="auto"/>
        </w:tblPrEx>
        <w:trPr>
          <w:trHeight w:val="440" w:hRule="atLeast"/>
        </w:trPr>
        <w:tc>
          <w:tcPr>
            <w:tcW w:type="dxa" w:w="3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7</w:t>
            </w:r>
          </w:p>
        </w:tc>
        <w:tc>
          <w:tcPr>
            <w:tcW w:type="dxa" w:w="252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AQUA PISONIS S.r.l. CON UNICO SOCIO - 07167301006</w:t>
            </w:r>
          </w:p>
        </w:tc>
        <w:tc>
          <w:tcPr>
            <w:tcW w:type="dxa" w:w="184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ROMA (RM) - VIA DELL'ESPERANTO 74</w:t>
            </w:r>
          </w:p>
        </w:tc>
        <w:tc>
          <w:tcPr>
            <w:tcW w:type="dxa" w:w="107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24/07/2002</w:t>
            </w:r>
          </w:p>
        </w:tc>
        <w:tc>
          <w:tcPr>
            <w:tcW w:type="dxa" w:w="261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RACCOLTA, TRATTAMENTO E FORNITURA DI ACQUA</w:t>
            </w:r>
          </w:p>
        </w:tc>
      </w:tr>
      <w:tr>
        <w:tblPrEx>
          <w:shd w:val="clear" w:color="auto" w:fill="auto"/>
        </w:tblPrEx>
        <w:trPr>
          <w:trHeight w:val="810" w:hRule="atLeast"/>
        </w:trPr>
        <w:tc>
          <w:tcPr>
            <w:tcW w:type="dxa" w:w="3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8</w:t>
            </w:r>
          </w:p>
        </w:tc>
        <w:tc>
          <w:tcPr>
            <w:tcW w:type="dxa" w:w="252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ASA INTERNATIONAL S.p.A. IN LIQUIDAZIONE - 06886691002</w:t>
            </w:r>
          </w:p>
        </w:tc>
        <w:tc>
          <w:tcPr>
            <w:tcW w:type="dxa" w:w="184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ROMA (RM) - VIA MERCALLI 80</w:t>
            </w:r>
          </w:p>
        </w:tc>
        <w:tc>
          <w:tcPr>
            <w:tcW w:type="dxa" w:w="107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24/07/2003</w:t>
            </w:r>
          </w:p>
        </w:tc>
        <w:tc>
          <w:tcPr>
            <w:tcW w:type="dxa" w:w="261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ATTIVITA' DI RACCOLTA, TRATTAMENTO E SMALTIMENTO DEI RIFIUTI; RECUPERO DEI MATERIALI</w:t>
            </w:r>
          </w:p>
        </w:tc>
      </w:tr>
      <w:tr>
        <w:tblPrEx>
          <w:shd w:val="clear" w:color="auto" w:fill="auto"/>
        </w:tblPrEx>
        <w:trPr>
          <w:trHeight w:val="810" w:hRule="atLeast"/>
        </w:trPr>
        <w:tc>
          <w:tcPr>
            <w:tcW w:type="dxa" w:w="3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9</w:t>
            </w:r>
          </w:p>
        </w:tc>
        <w:tc>
          <w:tcPr>
            <w:tcW w:type="dxa" w:w="252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ATTIVITA' SANITARIE INTEGRATE MARCHE S.N.C. DI MONICA Cerroni E C S.N.C. - 04412711006</w:t>
            </w:r>
          </w:p>
        </w:tc>
        <w:tc>
          <w:tcPr>
            <w:tcW w:type="dxa" w:w="184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ROMA (RM) - CORSO TRIESTE 211</w:t>
            </w:r>
          </w:p>
        </w:tc>
        <w:tc>
          <w:tcPr>
            <w:tcW w:type="dxa" w:w="107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02/12/1992</w:t>
            </w:r>
          </w:p>
        </w:tc>
        <w:tc>
          <w:tcPr>
            <w:tcW w:type="dxa" w:w="261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ESERCIZIO DELL'INDUSTRIA EDILE IN GENERE</w:t>
            </w:r>
          </w:p>
        </w:tc>
      </w:tr>
      <w:tr>
        <w:tblPrEx>
          <w:shd w:val="clear" w:color="auto" w:fill="auto"/>
        </w:tblPrEx>
        <w:trPr>
          <w:trHeight w:val="610" w:hRule="atLeast"/>
        </w:trPr>
        <w:tc>
          <w:tcPr>
            <w:tcW w:type="dxa" w:w="3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10</w:t>
            </w:r>
          </w:p>
        </w:tc>
        <w:tc>
          <w:tcPr>
            <w:tcW w:type="dxa" w:w="252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AZIENDA MUNICIPALE AMBIENTE S.p.A. - "AMA S.P.A" - 05445891004</w:t>
            </w:r>
          </w:p>
        </w:tc>
        <w:tc>
          <w:tcPr>
            <w:tcW w:type="dxa" w:w="184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ROMA (RM) - VIA CALDERON DE LA BARCA 87</w:t>
            </w:r>
          </w:p>
        </w:tc>
        <w:tc>
          <w:tcPr>
            <w:tcW w:type="dxa" w:w="107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01/01/1985</w:t>
            </w:r>
          </w:p>
        </w:tc>
        <w:tc>
          <w:tcPr>
            <w:tcW w:type="dxa" w:w="261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RACCOLTA DI RIFIUTI SOLIDI NON PERICOLOSI</w:t>
            </w:r>
          </w:p>
        </w:tc>
      </w:tr>
      <w:tr>
        <w:tblPrEx>
          <w:shd w:val="clear" w:color="auto" w:fill="auto"/>
        </w:tblPrEx>
        <w:trPr>
          <w:trHeight w:val="810" w:hRule="atLeast"/>
        </w:trPr>
        <w:tc>
          <w:tcPr>
            <w:tcW w:type="dxa" w:w="3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11</w:t>
            </w:r>
          </w:p>
        </w:tc>
        <w:tc>
          <w:tcPr>
            <w:tcW w:type="dxa" w:w="252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BEG S.p.A. - 04987421007</w:t>
            </w:r>
          </w:p>
        </w:tc>
        <w:tc>
          <w:tcPr>
            <w:tcW w:type="dxa" w:w="184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ROMA (RM) - VICOLO DEL BOTTINO 10</w:t>
            </w:r>
          </w:p>
        </w:tc>
        <w:tc>
          <w:tcPr>
            <w:tcW w:type="dxa" w:w="107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01/01/2009</w:t>
            </w:r>
          </w:p>
        </w:tc>
        <w:tc>
          <w:tcPr>
            <w:tcW w:type="dxa" w:w="261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ALTRE ATTIVITA' DI CONSULENZA IMPRENDITORIALE E ALTRA CONSULENZA AMMINISTRATIVO-GESTIONALE</w:t>
            </w:r>
          </w:p>
        </w:tc>
      </w:tr>
      <w:tr>
        <w:tblPrEx>
          <w:shd w:val="clear" w:color="auto" w:fill="auto"/>
        </w:tblPrEx>
        <w:trPr>
          <w:trHeight w:val="610" w:hRule="atLeast"/>
        </w:trPr>
        <w:tc>
          <w:tcPr>
            <w:tcW w:type="dxa" w:w="3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12</w:t>
            </w:r>
          </w:p>
        </w:tc>
        <w:tc>
          <w:tcPr>
            <w:tcW w:type="dxa" w:w="252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C.R.C. CENTRO RICERCHE CHIMICHE S.r.l. CON UNICO SOCIO - 01961120175</w:t>
            </w:r>
          </w:p>
        </w:tc>
        <w:tc>
          <w:tcPr>
            <w:tcW w:type="dxa" w:w="184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MONTICHIARI (BS) - ZONA INDUSTRIALE VIA SIGALINA A MATTINA 22</w:t>
            </w:r>
          </w:p>
        </w:tc>
        <w:tc>
          <w:tcPr>
            <w:tcW w:type="dxa" w:w="107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01/01/1985</w:t>
            </w:r>
          </w:p>
        </w:tc>
        <w:tc>
          <w:tcPr>
            <w:tcW w:type="dxa" w:w="261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COLLAUDI ED ANALISI TECNICHE DI PRODOTTI</w:t>
            </w:r>
          </w:p>
        </w:tc>
      </w:tr>
      <w:tr>
        <w:tblPrEx>
          <w:shd w:val="clear" w:color="auto" w:fill="auto"/>
        </w:tblPrEx>
        <w:trPr>
          <w:trHeight w:val="610" w:hRule="atLeast"/>
        </w:trPr>
        <w:tc>
          <w:tcPr>
            <w:tcW w:type="dxa" w:w="3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13</w:t>
            </w:r>
          </w:p>
        </w:tc>
        <w:tc>
          <w:tcPr>
            <w:tcW w:type="dxa" w:w="252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CALABRIA AMBIENTE S.p.A. - 02407560784</w:t>
            </w:r>
          </w:p>
        </w:tc>
        <w:tc>
          <w:tcPr>
            <w:tcW w:type="dxa" w:w="184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COSENZA (CS) - VIA MONTE SAN MICHELE 1 A</w:t>
            </w:r>
          </w:p>
        </w:tc>
        <w:tc>
          <w:tcPr>
            <w:tcW w:type="dxa" w:w="107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06/03/2001</w:t>
            </w:r>
          </w:p>
        </w:tc>
        <w:tc>
          <w:tcPr>
            <w:tcW w:type="dxa" w:w="261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RECUPERO E PREPARAZIONE PER IL RICICLAGGIO DEI RIFIUTI SOLIDI URBANI, INDUSTRIALI E BIOMASSE</w:t>
            </w:r>
          </w:p>
        </w:tc>
      </w:tr>
      <w:tr>
        <w:tblPrEx>
          <w:shd w:val="clear" w:color="auto" w:fill="auto"/>
        </w:tblPrEx>
        <w:trPr>
          <w:trHeight w:val="810" w:hRule="atLeast"/>
        </w:trPr>
        <w:tc>
          <w:tcPr>
            <w:tcW w:type="dxa" w:w="3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14</w:t>
            </w:r>
          </w:p>
        </w:tc>
        <w:tc>
          <w:tcPr>
            <w:tcW w:type="dxa" w:w="252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Co.La.Ri. - CONSORZIO LAZIALE RIFIUTI - 06725630583</w:t>
            </w:r>
          </w:p>
        </w:tc>
        <w:tc>
          <w:tcPr>
            <w:tcW w:type="dxa" w:w="184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ROMA (RM) - VIALE DEL POGGIO FIORITO 63</w:t>
            </w:r>
          </w:p>
        </w:tc>
        <w:tc>
          <w:tcPr>
            <w:tcW w:type="dxa" w:w="107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23/10/1984</w:t>
            </w:r>
          </w:p>
        </w:tc>
        <w:tc>
          <w:tcPr>
            <w:tcW w:type="dxa" w:w="261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ATTIVITA' DI RACCOLTA, TRATTAMENTO E SMALTIMENTO DEI RIFIUTI; RECUPERO DEI MATERIALI</w:t>
            </w:r>
          </w:p>
        </w:tc>
      </w:tr>
      <w:tr>
        <w:tblPrEx>
          <w:shd w:val="clear" w:color="auto" w:fill="auto"/>
        </w:tblPrEx>
        <w:trPr>
          <w:trHeight w:val="610" w:hRule="atLeast"/>
        </w:trPr>
        <w:tc>
          <w:tcPr>
            <w:tcW w:type="dxa" w:w="3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15</w:t>
            </w:r>
          </w:p>
        </w:tc>
        <w:tc>
          <w:tcPr>
            <w:tcW w:type="dxa" w:w="252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COMEDI IMPIANTI S.r.l. - 03809451002</w:t>
            </w:r>
          </w:p>
        </w:tc>
        <w:tc>
          <w:tcPr>
            <w:tcW w:type="dxa" w:w="184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pt-PT"/>
              </w:rPr>
              <w:t>ROMA (RM) - VIA</w:t>
            </w: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pt-PT"/>
              </w:rPr>
              <w:t> </w:t>
            </w: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pt-PT"/>
              </w:rPr>
              <w:t>CARDINAL DE LUCA</w:t>
            </w: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pt-PT"/>
              </w:rPr>
              <w:t> </w:t>
            </w: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pt-PT"/>
              </w:rPr>
              <w:t>22</w:t>
            </w:r>
          </w:p>
        </w:tc>
        <w:tc>
          <w:tcPr>
            <w:tcW w:type="dxa" w:w="107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16/02/1990</w:t>
            </w:r>
          </w:p>
        </w:tc>
        <w:tc>
          <w:tcPr>
            <w:tcW w:type="dxa" w:w="261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COSTRUZIONE DI CASE DI ABITAZIONE E DI</w:t>
            </w: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br w:type="textWrapping"/>
            </w: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FABBRICATI IN GENERE</w:t>
            </w:r>
          </w:p>
        </w:tc>
      </w:tr>
      <w:tr>
        <w:tblPrEx>
          <w:shd w:val="clear" w:color="auto" w:fill="auto"/>
        </w:tblPrEx>
        <w:trPr>
          <w:trHeight w:val="610" w:hRule="atLeast"/>
        </w:trPr>
        <w:tc>
          <w:tcPr>
            <w:tcW w:type="dxa" w:w="3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16</w:t>
            </w:r>
          </w:p>
        </w:tc>
        <w:tc>
          <w:tcPr>
            <w:tcW w:type="dxa" w:w="252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COMPRENSORIO INDUSTRIALE PANTANO CONSORZIO - 07719590585</w:t>
            </w:r>
          </w:p>
        </w:tc>
        <w:tc>
          <w:tcPr>
            <w:tcW w:type="dxa" w:w="184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ROMA (RM) - VIA ANGELO POLIZIANO 70</w:t>
            </w:r>
          </w:p>
        </w:tc>
        <w:tc>
          <w:tcPr>
            <w:tcW w:type="dxa" w:w="107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28/11/1986</w:t>
            </w:r>
          </w:p>
        </w:tc>
        <w:tc>
          <w:tcPr>
            <w:tcW w:type="dxa" w:w="261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COSTRUZIONE DI EDIFICI</w:t>
            </w:r>
          </w:p>
        </w:tc>
      </w:tr>
      <w:tr>
        <w:tblPrEx>
          <w:shd w:val="clear" w:color="auto" w:fill="auto"/>
        </w:tblPrEx>
        <w:trPr>
          <w:trHeight w:val="440" w:hRule="atLeast"/>
        </w:trPr>
        <w:tc>
          <w:tcPr>
            <w:tcW w:type="dxa" w:w="3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17</w:t>
            </w:r>
          </w:p>
        </w:tc>
        <w:tc>
          <w:tcPr>
            <w:tcW w:type="dxa" w:w="252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CONSORZIO ECOLOGICO MASSIMETTA - 09345621008</w:t>
            </w:r>
          </w:p>
        </w:tc>
        <w:tc>
          <w:tcPr>
            <w:tcW w:type="dxa" w:w="184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ROMA (RM) - PIAZZALE OSTIENSE 2</w:t>
            </w:r>
          </w:p>
        </w:tc>
        <w:tc>
          <w:tcPr>
            <w:tcW w:type="dxa" w:w="107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30/01/2007</w:t>
            </w:r>
          </w:p>
        </w:tc>
        <w:tc>
          <w:tcPr>
            <w:tcW w:type="dxa" w:w="261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PRODUZIONE DI ENERGIA ELETTRICA</w:t>
            </w:r>
          </w:p>
        </w:tc>
      </w:tr>
      <w:tr>
        <w:tblPrEx>
          <w:shd w:val="clear" w:color="auto" w:fill="auto"/>
        </w:tblPrEx>
        <w:trPr>
          <w:trHeight w:val="610" w:hRule="atLeast"/>
        </w:trPr>
        <w:tc>
          <w:tcPr>
            <w:tcW w:type="dxa" w:w="3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18</w:t>
            </w:r>
          </w:p>
        </w:tc>
        <w:tc>
          <w:tcPr>
            <w:tcW w:type="dxa" w:w="252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CONSORZIO ITALIANO COMPOSTATORI - 01403130287</w:t>
            </w:r>
          </w:p>
        </w:tc>
        <w:tc>
          <w:tcPr>
            <w:tcW w:type="dxa" w:w="184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ROMA (RM) - PIAZZA SAN BERNARDO 109</w:t>
            </w:r>
          </w:p>
        </w:tc>
        <w:tc>
          <w:tcPr>
            <w:tcW w:type="dxa" w:w="107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11/11/1992</w:t>
            </w:r>
          </w:p>
        </w:tc>
        <w:tc>
          <w:tcPr>
            <w:tcW w:type="dxa" w:w="261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CONTROLLO DI QUALITA' E CERTIFICAZIONE DI PRODOTTI, PROCESSI E SISTEMI</w:t>
            </w:r>
          </w:p>
        </w:tc>
      </w:tr>
      <w:tr>
        <w:tblPrEx>
          <w:shd w:val="clear" w:color="auto" w:fill="auto"/>
        </w:tblPrEx>
        <w:trPr>
          <w:trHeight w:val="610" w:hRule="atLeast"/>
        </w:trPr>
        <w:tc>
          <w:tcPr>
            <w:tcW w:type="dxa" w:w="3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19</w:t>
            </w:r>
          </w:p>
        </w:tc>
        <w:tc>
          <w:tcPr>
            <w:tcW w:type="dxa" w:w="252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E. Giovi SOCIETA' A RESPONSABILITA' LIMITATA S.r.l. - 04773710589</w:t>
            </w:r>
          </w:p>
        </w:tc>
        <w:tc>
          <w:tcPr>
            <w:tcW w:type="dxa" w:w="184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ROMA (RM) - VIA PORTUENSE 881</w:t>
            </w:r>
          </w:p>
        </w:tc>
        <w:tc>
          <w:tcPr>
            <w:tcW w:type="dxa" w:w="107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29/07/1988</w:t>
            </w:r>
          </w:p>
        </w:tc>
        <w:tc>
          <w:tcPr>
            <w:tcW w:type="dxa" w:w="261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TRATTAMENTO E SMALTIMENTO DI ALTRI RIFIUTI NON PERICOLOSI</w:t>
            </w:r>
          </w:p>
        </w:tc>
      </w:tr>
      <w:tr>
        <w:tblPrEx>
          <w:shd w:val="clear" w:color="auto" w:fill="auto"/>
        </w:tblPrEx>
        <w:trPr>
          <w:trHeight w:val="810" w:hRule="atLeast"/>
        </w:trPr>
        <w:tc>
          <w:tcPr>
            <w:tcW w:type="dxa" w:w="3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20</w:t>
            </w:r>
          </w:p>
        </w:tc>
        <w:tc>
          <w:tcPr>
            <w:tcW w:type="dxa" w:w="252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ECO ITALIA 87 - S.r.l. - 08103330588</w:t>
            </w:r>
          </w:p>
        </w:tc>
        <w:tc>
          <w:tcPr>
            <w:tcW w:type="dxa" w:w="184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ROMA (RM) - VIA DELL'ESPERANTO 74</w:t>
            </w:r>
          </w:p>
        </w:tc>
        <w:tc>
          <w:tcPr>
            <w:tcW w:type="dxa" w:w="107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27/02/1992</w:t>
            </w:r>
          </w:p>
        </w:tc>
        <w:tc>
          <w:tcPr>
            <w:tcW w:type="dxa" w:w="261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ATTIVITA' DI RACCOLTA, TRATTAMENTO E SMALTIMENTO DEI RIFIUTI; RECUPERO DEI MATERIALI</w:t>
            </w:r>
          </w:p>
        </w:tc>
      </w:tr>
      <w:tr>
        <w:tblPrEx>
          <w:shd w:val="clear" w:color="auto" w:fill="auto"/>
        </w:tblPrEx>
        <w:trPr>
          <w:trHeight w:val="810" w:hRule="atLeast"/>
        </w:trPr>
        <w:tc>
          <w:tcPr>
            <w:tcW w:type="dxa" w:w="3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21</w:t>
            </w:r>
          </w:p>
        </w:tc>
        <w:tc>
          <w:tcPr>
            <w:tcW w:type="dxa" w:w="252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ECO LATINA IMPIANTI S.r.l. - 05099781006</w:t>
            </w:r>
          </w:p>
        </w:tc>
        <w:tc>
          <w:tcPr>
            <w:tcW w:type="dxa" w:w="184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 xml:space="preserve">ROMA (RM) </w:t>
            </w: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 xml:space="preserve">– </w:t>
            </w: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VIA ATTO TIGRI 11</w:t>
            </w:r>
          </w:p>
        </w:tc>
        <w:tc>
          <w:tcPr>
            <w:tcW w:type="dxa" w:w="107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02/05/1996</w:t>
            </w:r>
          </w:p>
        </w:tc>
        <w:tc>
          <w:tcPr>
            <w:tcW w:type="dxa" w:w="261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ATTIVITA' DI RACCOLTA, TRATTAMENTO E SMALTIMENTO DEI RIFIUTI; RECUPERO DEI MATERIALI</w:t>
            </w:r>
          </w:p>
        </w:tc>
      </w:tr>
      <w:tr>
        <w:tblPrEx>
          <w:shd w:val="clear" w:color="auto" w:fill="auto"/>
        </w:tblPrEx>
        <w:trPr>
          <w:trHeight w:val="810" w:hRule="atLeast"/>
        </w:trPr>
        <w:tc>
          <w:tcPr>
            <w:tcW w:type="dxa" w:w="3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22</w:t>
            </w:r>
          </w:p>
        </w:tc>
        <w:tc>
          <w:tcPr>
            <w:tcW w:type="dxa" w:w="252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ECOLOGIA 2000 S.p.A. - 01374210563</w:t>
            </w:r>
          </w:p>
        </w:tc>
        <w:tc>
          <w:tcPr>
            <w:tcW w:type="dxa" w:w="184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ROMA (RM) - VIALE POGGIO FIORITO 63</w:t>
            </w:r>
          </w:p>
        </w:tc>
        <w:tc>
          <w:tcPr>
            <w:tcW w:type="dxa" w:w="107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07/07/1991</w:t>
            </w:r>
          </w:p>
        </w:tc>
        <w:tc>
          <w:tcPr>
            <w:tcW w:type="dxa" w:w="261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ATTIVITA' DI RACCOLTA, TRATTAMENTO E SMALTIMENTO DEI RIFIUTI; RECUPERO DEI MATERIALI</w:t>
            </w:r>
          </w:p>
        </w:tc>
      </w:tr>
      <w:tr>
        <w:tblPrEx>
          <w:shd w:val="clear" w:color="auto" w:fill="auto"/>
        </w:tblPrEx>
        <w:trPr>
          <w:trHeight w:val="610" w:hRule="atLeast"/>
        </w:trPr>
        <w:tc>
          <w:tcPr>
            <w:tcW w:type="dxa" w:w="3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23</w:t>
            </w:r>
          </w:p>
        </w:tc>
        <w:tc>
          <w:tcPr>
            <w:tcW w:type="dxa" w:w="252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ECOLOGIA VITERBO S.r.l. - 05950160589</w:t>
            </w:r>
          </w:p>
        </w:tc>
        <w:tc>
          <w:tcPr>
            <w:tcW w:type="dxa" w:w="184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 xml:space="preserve">ROMA (RM) </w:t>
            </w: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 xml:space="preserve">– </w:t>
            </w: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VIA ATTO TIGRI 11</w:t>
            </w:r>
          </w:p>
        </w:tc>
        <w:tc>
          <w:tcPr>
            <w:tcW w:type="dxa" w:w="107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25/01/1983</w:t>
            </w:r>
          </w:p>
        </w:tc>
        <w:tc>
          <w:tcPr>
            <w:tcW w:type="dxa" w:w="261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RECUPERO E PREPARAZIONE PER IL RICICLAGGIO DEI RIFIUTI SOLIDI URBANI, INDUSTRIALI E BIOMASSE</w:t>
            </w:r>
          </w:p>
        </w:tc>
      </w:tr>
      <w:tr>
        <w:tblPrEx>
          <w:shd w:val="clear" w:color="auto" w:fill="auto"/>
        </w:tblPrEx>
        <w:trPr>
          <w:trHeight w:val="440" w:hRule="atLeast"/>
        </w:trPr>
        <w:tc>
          <w:tcPr>
            <w:tcW w:type="dxa" w:w="3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24</w:t>
            </w:r>
          </w:p>
        </w:tc>
        <w:tc>
          <w:tcPr>
            <w:tcW w:type="dxa" w:w="252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EDILVIGNOLA S.r.l. - 04328901006</w:t>
            </w:r>
          </w:p>
        </w:tc>
        <w:tc>
          <w:tcPr>
            <w:tcW w:type="dxa" w:w="184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ROMA (RM) - VIALE DEL POGGIO FIORITO 63</w:t>
            </w:r>
          </w:p>
        </w:tc>
        <w:tc>
          <w:tcPr>
            <w:tcW w:type="dxa" w:w="107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31/12/2008</w:t>
            </w:r>
          </w:p>
        </w:tc>
        <w:tc>
          <w:tcPr>
            <w:tcW w:type="dxa" w:w="261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COLTIVAZIONE DI LEGUMI DA GRANELLA</w:t>
            </w:r>
          </w:p>
        </w:tc>
      </w:tr>
      <w:tr>
        <w:tblPrEx>
          <w:shd w:val="clear" w:color="auto" w:fill="auto"/>
        </w:tblPrEx>
        <w:trPr>
          <w:trHeight w:val="610" w:hRule="atLeast"/>
        </w:trPr>
        <w:tc>
          <w:tcPr>
            <w:tcW w:type="dxa" w:w="3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25</w:t>
            </w:r>
          </w:p>
        </w:tc>
        <w:tc>
          <w:tcPr>
            <w:tcW w:type="dxa" w:w="252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FINAMBIENTE S.r.l. CON UNICO SOCIO - 80169350586</w:t>
            </w:r>
          </w:p>
        </w:tc>
        <w:tc>
          <w:tcPr>
            <w:tcW w:type="dxa" w:w="184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pt-PT"/>
              </w:rPr>
              <w:t>ROMA (RM) - VIA DE LUCA CARDINAL 22</w:t>
            </w:r>
          </w:p>
        </w:tc>
        <w:tc>
          <w:tcPr>
            <w:tcW w:type="dxa" w:w="107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31/01/2000</w:t>
            </w:r>
          </w:p>
        </w:tc>
        <w:tc>
          <w:tcPr>
            <w:tcW w:type="dxa" w:w="261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ATTIVITA' DEGLI STUDI DI ARCHITETTURA, INGEGNERIA ED ALTRI STUDI TECNICI</w:t>
            </w:r>
          </w:p>
        </w:tc>
      </w:tr>
      <w:tr>
        <w:tblPrEx>
          <w:shd w:val="clear" w:color="auto" w:fill="auto"/>
        </w:tblPrEx>
        <w:trPr>
          <w:trHeight w:val="440" w:hRule="atLeast"/>
        </w:trPr>
        <w:tc>
          <w:tcPr>
            <w:tcW w:type="dxa" w:w="3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26</w:t>
            </w:r>
          </w:p>
        </w:tc>
        <w:tc>
          <w:tcPr>
            <w:tcW w:type="dxa" w:w="252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FINECOLOGIC S.r.l. CON UNICO SOCIO - 05956081003</w:t>
            </w:r>
          </w:p>
        </w:tc>
        <w:tc>
          <w:tcPr>
            <w:tcW w:type="dxa" w:w="184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ROMA (RM) - VIALE DEL COLLE FIORITO 63</w:t>
            </w:r>
          </w:p>
        </w:tc>
        <w:tc>
          <w:tcPr>
            <w:tcW w:type="dxa" w:w="107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25/01/2000</w:t>
            </w:r>
          </w:p>
        </w:tc>
        <w:tc>
          <w:tcPr>
            <w:tcW w:type="dxa" w:w="261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ALTRI SERVIZI DI SOSTEGNO ALLE IMPRESE NCA</w:t>
            </w:r>
          </w:p>
        </w:tc>
      </w:tr>
      <w:tr>
        <w:tblPrEx>
          <w:shd w:val="clear" w:color="auto" w:fill="auto"/>
        </w:tblPrEx>
        <w:trPr>
          <w:trHeight w:val="610" w:hRule="atLeast"/>
        </w:trPr>
        <w:tc>
          <w:tcPr>
            <w:tcW w:type="dxa" w:w="3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27</w:t>
            </w:r>
          </w:p>
        </w:tc>
        <w:tc>
          <w:tcPr>
            <w:tcW w:type="dxa" w:w="252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FOLIGNO IMPRESA LAVORO SVILUPPO S.r.l. IN LIQUIDAZIONE - 02360460543</w:t>
            </w:r>
          </w:p>
        </w:tc>
        <w:tc>
          <w:tcPr>
            <w:tcW w:type="dxa" w:w="184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FOLIGNO (PG) - VIA ANGELO CATALENI 14</w:t>
            </w:r>
          </w:p>
        </w:tc>
        <w:tc>
          <w:tcPr>
            <w:tcW w:type="dxa" w:w="107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06/05/2001</w:t>
            </w:r>
          </w:p>
        </w:tc>
        <w:tc>
          <w:tcPr>
            <w:tcW w:type="dxa" w:w="261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ATTIVITA' NON SPECIALIZZATE DI LAVORI EDILI (MURATORI)</w:t>
            </w:r>
          </w:p>
        </w:tc>
      </w:tr>
      <w:tr>
        <w:tblPrEx>
          <w:shd w:val="clear" w:color="auto" w:fill="auto"/>
        </w:tblPrEx>
        <w:trPr>
          <w:trHeight w:val="440" w:hRule="atLeast"/>
        </w:trPr>
        <w:tc>
          <w:tcPr>
            <w:tcW w:type="dxa" w:w="3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28</w:t>
            </w:r>
          </w:p>
        </w:tc>
        <w:tc>
          <w:tcPr>
            <w:tcW w:type="dxa" w:w="252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FORMICA AMBIENTE S.r.l. - 01408590741</w:t>
            </w:r>
          </w:p>
        </w:tc>
        <w:tc>
          <w:tcPr>
            <w:tcW w:type="dxa" w:w="184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ROMA (RM) - VIA GROENLANDIA 47</w:t>
            </w:r>
          </w:p>
        </w:tc>
        <w:tc>
          <w:tcPr>
            <w:tcW w:type="dxa" w:w="107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01/11/2000</w:t>
            </w:r>
          </w:p>
        </w:tc>
        <w:tc>
          <w:tcPr>
            <w:tcW w:type="dxa" w:w="261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RACCOLTA DI RIFIUTI SOLIDI NON PERICOLOSI</w:t>
            </w:r>
          </w:p>
        </w:tc>
      </w:tr>
      <w:tr>
        <w:tblPrEx>
          <w:shd w:val="clear" w:color="auto" w:fill="auto"/>
        </w:tblPrEx>
        <w:trPr>
          <w:trHeight w:val="610" w:hRule="atLeast"/>
        </w:trPr>
        <w:tc>
          <w:tcPr>
            <w:tcW w:type="dxa" w:w="3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29</w:t>
            </w:r>
          </w:p>
        </w:tc>
        <w:tc>
          <w:tcPr>
            <w:tcW w:type="dxa" w:w="252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Gesenu S.p.A. GESTIONE SERVIZI NETTEZZA URBANA - 01162430548</w:t>
            </w:r>
          </w:p>
        </w:tc>
        <w:tc>
          <w:tcPr>
            <w:tcW w:type="dxa" w:w="184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PERUGIA (PG) - STRADA DELLA MOLINELLA 7</w:t>
            </w:r>
          </w:p>
        </w:tc>
        <w:tc>
          <w:tcPr>
            <w:tcW w:type="dxa" w:w="107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18/11/1980</w:t>
            </w:r>
          </w:p>
        </w:tc>
        <w:tc>
          <w:tcPr>
            <w:tcW w:type="dxa" w:w="261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RACCOLTA DI RIFIUTI SOLIDI NON PERICOLOSI</w:t>
            </w:r>
          </w:p>
        </w:tc>
      </w:tr>
      <w:tr>
        <w:tblPrEx>
          <w:shd w:val="clear" w:color="auto" w:fill="auto"/>
        </w:tblPrEx>
        <w:trPr>
          <w:trHeight w:val="1010" w:hRule="atLeast"/>
        </w:trPr>
        <w:tc>
          <w:tcPr>
            <w:tcW w:type="dxa" w:w="3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30</w:t>
            </w:r>
          </w:p>
        </w:tc>
        <w:tc>
          <w:tcPr>
            <w:tcW w:type="dxa" w:w="252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GESTIONE SERVIZI AZIENDALI S.r.l. - 02063430546</w:t>
            </w:r>
          </w:p>
        </w:tc>
        <w:tc>
          <w:tcPr>
            <w:tcW w:type="dxa" w:w="184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PERUGIA (PG) - STRADA DELLA MOLINELLA 7</w:t>
            </w:r>
          </w:p>
        </w:tc>
        <w:tc>
          <w:tcPr>
            <w:tcW w:type="dxa" w:w="107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31/07/1994</w:t>
            </w:r>
          </w:p>
        </w:tc>
        <w:tc>
          <w:tcPr>
            <w:tcW w:type="dxa" w:w="261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ALTRE ATTIVITA' DI CONSULENZA IMPRENDITORIALE E ALTRA CONSULENZA AMMINISTRATIVO-GESTIONALE E PIANIFICAZIONE AZIENDALE</w:t>
            </w:r>
          </w:p>
        </w:tc>
      </w:tr>
      <w:tr>
        <w:tblPrEx>
          <w:shd w:val="clear" w:color="auto" w:fill="auto"/>
        </w:tblPrEx>
        <w:trPr>
          <w:trHeight w:val="440" w:hRule="atLeast"/>
        </w:trPr>
        <w:tc>
          <w:tcPr>
            <w:tcW w:type="dxa" w:w="3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31</w:t>
            </w:r>
          </w:p>
        </w:tc>
        <w:tc>
          <w:tcPr>
            <w:tcW w:type="dxa" w:w="252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Giovi CAVE S.r.l. - 07460940583</w:t>
            </w:r>
          </w:p>
        </w:tc>
        <w:tc>
          <w:tcPr>
            <w:tcW w:type="dxa" w:w="184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ROMA (RM) - VIA PORTUENSE 881</w:t>
            </w:r>
          </w:p>
        </w:tc>
        <w:tc>
          <w:tcPr>
            <w:tcW w:type="dxa" w:w="107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21/04/1986</w:t>
            </w:r>
          </w:p>
        </w:tc>
        <w:tc>
          <w:tcPr>
            <w:tcW w:type="dxa" w:w="261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ESTRAZIONI MINERARIE E SFRUTTAMENTO DI CAVE</w:t>
            </w:r>
          </w:p>
        </w:tc>
      </w:tr>
      <w:tr>
        <w:tblPrEx>
          <w:shd w:val="clear" w:color="auto" w:fill="auto"/>
        </w:tblPrEx>
        <w:trPr>
          <w:trHeight w:val="440" w:hRule="atLeast"/>
        </w:trPr>
        <w:tc>
          <w:tcPr>
            <w:tcW w:type="dxa" w:w="3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32</w:t>
            </w:r>
          </w:p>
        </w:tc>
        <w:tc>
          <w:tcPr>
            <w:tcW w:type="dxa" w:w="252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Giovi IMPIANTI S.r.l. - 05625771000</w:t>
            </w:r>
          </w:p>
        </w:tc>
        <w:tc>
          <w:tcPr>
            <w:tcW w:type="dxa" w:w="184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ROMA (RM) - VIA PORTUENSE 881</w:t>
            </w:r>
          </w:p>
        </w:tc>
        <w:tc>
          <w:tcPr>
            <w:tcW w:type="dxa" w:w="107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21/10/1998</w:t>
            </w:r>
          </w:p>
        </w:tc>
        <w:tc>
          <w:tcPr>
            <w:tcW w:type="dxa" w:w="261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ALTRI SERVIZI DI SUPPORTO ALLE IMPRESE NCA</w:t>
            </w:r>
          </w:p>
        </w:tc>
      </w:tr>
      <w:tr>
        <w:tblPrEx>
          <w:shd w:val="clear" w:color="auto" w:fill="auto"/>
        </w:tblPrEx>
        <w:trPr>
          <w:trHeight w:val="1010" w:hRule="atLeast"/>
        </w:trPr>
        <w:tc>
          <w:tcPr>
            <w:tcW w:type="dxa" w:w="3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33</w:t>
            </w:r>
          </w:p>
        </w:tc>
        <w:tc>
          <w:tcPr>
            <w:tcW w:type="dxa" w:w="252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HYDRO S.r.l. CON UNICO SOCIO - 09563901009</w:t>
            </w:r>
          </w:p>
        </w:tc>
        <w:tc>
          <w:tcPr>
            <w:tcW w:type="dxa" w:w="184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ROMA (RM) - PIAZZA DI SPAGNA 66</w:t>
            </w:r>
          </w:p>
        </w:tc>
        <w:tc>
          <w:tcPr>
            <w:tcW w:type="dxa" w:w="107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26/06/2007</w:t>
            </w:r>
          </w:p>
        </w:tc>
        <w:tc>
          <w:tcPr>
            <w:tcW w:type="dxa" w:w="261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ALTRE ATTIVITA' DI CONSULENZA IMPRENDITORIALE E ALTRA CONSULENZA AMMINISTRATIVO-GESTIONALE E PIANIFICAZIONE AZIENDALE</w:t>
            </w:r>
          </w:p>
        </w:tc>
      </w:tr>
      <w:tr>
        <w:tblPrEx>
          <w:shd w:val="clear" w:color="auto" w:fill="auto"/>
        </w:tblPrEx>
        <w:trPr>
          <w:trHeight w:val="610" w:hRule="atLeast"/>
        </w:trPr>
        <w:tc>
          <w:tcPr>
            <w:tcW w:type="dxa" w:w="3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34</w:t>
            </w:r>
          </w:p>
        </w:tc>
        <w:tc>
          <w:tcPr>
            <w:tcW w:type="dxa" w:w="252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Impresa A. Cecchini &amp; C. - SOCIETA' A RESPONSABILITA' LIMITATA S.r.l. - 01049571001</w:t>
            </w:r>
          </w:p>
        </w:tc>
        <w:tc>
          <w:tcPr>
            <w:tcW w:type="dxa" w:w="184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ROMA (RM) - VIALE POGGIO FIORITO 63</w:t>
            </w:r>
          </w:p>
        </w:tc>
        <w:tc>
          <w:tcPr>
            <w:tcW w:type="dxa" w:w="107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28/01/1976</w:t>
            </w:r>
          </w:p>
        </w:tc>
        <w:tc>
          <w:tcPr>
            <w:tcW w:type="dxa" w:w="261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INGEGNERIA CIVILE</w:t>
            </w:r>
          </w:p>
        </w:tc>
      </w:tr>
      <w:tr>
        <w:tblPrEx>
          <w:shd w:val="clear" w:color="auto" w:fill="auto"/>
        </w:tblPrEx>
        <w:trPr>
          <w:trHeight w:val="610" w:hRule="atLeast"/>
        </w:trPr>
        <w:tc>
          <w:tcPr>
            <w:tcW w:type="dxa" w:w="3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35</w:t>
            </w:r>
          </w:p>
        </w:tc>
        <w:tc>
          <w:tcPr>
            <w:tcW w:type="dxa" w:w="252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IMPRESA Giovi S.r.l. CON UNICO SOCIO - 01118610581</w:t>
            </w:r>
          </w:p>
        </w:tc>
        <w:tc>
          <w:tcPr>
            <w:tcW w:type="dxa" w:w="184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ROMA (RM) - VIA PORTUENSE 881</w:t>
            </w:r>
          </w:p>
        </w:tc>
        <w:tc>
          <w:tcPr>
            <w:tcW w:type="dxa" w:w="107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21/01/1971</w:t>
            </w:r>
          </w:p>
        </w:tc>
        <w:tc>
          <w:tcPr>
            <w:tcW w:type="dxa" w:w="261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ESTRAZIONE DI GHIAIA E SABBIA; ESTRAZIONE DI ARGILLE E CAOLINO</w:t>
            </w:r>
          </w:p>
        </w:tc>
      </w:tr>
      <w:tr>
        <w:tblPrEx>
          <w:shd w:val="clear" w:color="auto" w:fill="auto"/>
        </w:tblPrEx>
        <w:trPr>
          <w:trHeight w:val="610" w:hRule="atLeast"/>
        </w:trPr>
        <w:tc>
          <w:tcPr>
            <w:tcW w:type="dxa" w:w="3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36</w:t>
            </w:r>
          </w:p>
        </w:tc>
        <w:tc>
          <w:tcPr>
            <w:tcW w:type="dxa" w:w="252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INVESTIMENTI ECOLOGICI S.r.l. CON UNICO SOCIO - 02217421201</w:t>
            </w:r>
          </w:p>
        </w:tc>
        <w:tc>
          <w:tcPr>
            <w:tcW w:type="dxa" w:w="184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pt-PT"/>
              </w:rPr>
              <w:t>ROMA (RM) - VIA CARDINAL DE LUCA 22</w:t>
            </w:r>
          </w:p>
        </w:tc>
        <w:tc>
          <w:tcPr>
            <w:tcW w:type="dxa" w:w="107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03/02/2000</w:t>
            </w:r>
          </w:p>
        </w:tc>
        <w:tc>
          <w:tcPr>
            <w:tcW w:type="dxa" w:w="261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ATTIVITA' DELLE SOCIETA' DI PARTECIPAZIONE (HOLDING)</w:t>
            </w:r>
          </w:p>
        </w:tc>
      </w:tr>
      <w:tr>
        <w:tblPrEx>
          <w:shd w:val="clear" w:color="auto" w:fill="auto"/>
        </w:tblPrEx>
        <w:trPr>
          <w:trHeight w:val="440" w:hRule="atLeast"/>
        </w:trPr>
        <w:tc>
          <w:tcPr>
            <w:tcW w:type="dxa" w:w="3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37</w:t>
            </w:r>
          </w:p>
        </w:tc>
        <w:tc>
          <w:tcPr>
            <w:tcW w:type="dxa" w:w="252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LAURENTINE BONIFICHE S.r.l. - 80061270585</w:t>
            </w:r>
          </w:p>
        </w:tc>
        <w:tc>
          <w:tcPr>
            <w:tcW w:type="dxa" w:w="184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ROMA (RM) - BRUXELLES 53</w:t>
            </w:r>
          </w:p>
        </w:tc>
        <w:tc>
          <w:tcPr>
            <w:tcW w:type="dxa" w:w="107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 </w:t>
            </w:r>
          </w:p>
        </w:tc>
        <w:tc>
          <w:tcPr>
            <w:tcW w:type="dxa" w:w="261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COSTRUZIONI EDILIZIE RESIDENZIALI</w:t>
            </w:r>
          </w:p>
        </w:tc>
      </w:tr>
      <w:tr>
        <w:tblPrEx>
          <w:shd w:val="clear" w:color="auto" w:fill="auto"/>
        </w:tblPrEx>
        <w:trPr>
          <w:trHeight w:val="810" w:hRule="atLeast"/>
        </w:trPr>
        <w:tc>
          <w:tcPr>
            <w:tcW w:type="dxa" w:w="3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38</w:t>
            </w:r>
          </w:p>
        </w:tc>
        <w:tc>
          <w:tcPr>
            <w:tcW w:type="dxa" w:w="252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LAZIO GREEN ENERGY S.r.l. IN LIQUIDAZIONE - 10819361006</w:t>
            </w:r>
          </w:p>
        </w:tc>
        <w:tc>
          <w:tcPr>
            <w:tcW w:type="dxa" w:w="184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ROMA (RM) - VIALE LIBANO C/O FEDERLAZIO 62</w:t>
            </w:r>
          </w:p>
        </w:tc>
        <w:tc>
          <w:tcPr>
            <w:tcW w:type="dxa" w:w="107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06/11/2011</w:t>
            </w:r>
          </w:p>
        </w:tc>
        <w:tc>
          <w:tcPr>
            <w:tcW w:type="dxa" w:w="261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INSTALLAZIONE DI IMPIANTI ELETTRICI IN EDIFICI O IN ALTRE OPERE DI COSTRUZIONE (INCLUSA MANUTENZIONE E RIPARAZIONE)</w:t>
            </w:r>
          </w:p>
        </w:tc>
      </w:tr>
      <w:tr>
        <w:tblPrEx>
          <w:shd w:val="clear" w:color="auto" w:fill="auto"/>
        </w:tblPrEx>
        <w:trPr>
          <w:trHeight w:val="610" w:hRule="atLeast"/>
        </w:trPr>
        <w:tc>
          <w:tcPr>
            <w:tcW w:type="dxa" w:w="3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39</w:t>
            </w:r>
          </w:p>
        </w:tc>
        <w:tc>
          <w:tcPr>
            <w:tcW w:type="dxa" w:w="252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LEADERGREEN S.r.l. - 03268490103</w:t>
            </w:r>
          </w:p>
        </w:tc>
        <w:tc>
          <w:tcPr>
            <w:tcW w:type="dxa" w:w="184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 xml:space="preserve">ROMA (RM) </w:t>
            </w: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 xml:space="preserve">– </w:t>
            </w: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VIA ATTO TIGRI 11</w:t>
            </w:r>
          </w:p>
        </w:tc>
        <w:tc>
          <w:tcPr>
            <w:tcW w:type="dxa" w:w="107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03/07/1991</w:t>
            </w:r>
          </w:p>
        </w:tc>
        <w:tc>
          <w:tcPr>
            <w:tcW w:type="dxa" w:w="261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RACCOLTA, TRASPORTO, DEPOSITO, TRATTAMENTO, RECUPERO, RICICLO DI RIFIUTI</w:t>
            </w:r>
          </w:p>
        </w:tc>
      </w:tr>
      <w:tr>
        <w:tblPrEx>
          <w:shd w:val="clear" w:color="auto" w:fill="auto"/>
        </w:tblPrEx>
        <w:trPr>
          <w:trHeight w:val="440" w:hRule="atLeast"/>
        </w:trPr>
        <w:tc>
          <w:tcPr>
            <w:tcW w:type="dxa" w:w="3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40</w:t>
            </w:r>
          </w:p>
        </w:tc>
        <w:tc>
          <w:tcPr>
            <w:tcW w:type="dxa" w:w="252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MALAGROTTA UNO-DUE S.r.l. - 10166921006</w:t>
            </w:r>
          </w:p>
        </w:tc>
        <w:tc>
          <w:tcPr>
            <w:tcW w:type="dxa" w:w="184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ROMA (RM) - VIALE POGGIO FIORITO 63</w:t>
            </w:r>
          </w:p>
        </w:tc>
        <w:tc>
          <w:tcPr>
            <w:tcW w:type="dxa" w:w="107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09/06/2009</w:t>
            </w:r>
          </w:p>
        </w:tc>
        <w:tc>
          <w:tcPr>
            <w:tcW w:type="dxa" w:w="261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TRATTAMENTO E SMALTIMENTO DEI RIFIUTI</w:t>
            </w:r>
          </w:p>
        </w:tc>
      </w:tr>
      <w:tr>
        <w:tblPrEx>
          <w:shd w:val="clear" w:color="auto" w:fill="auto"/>
        </w:tblPrEx>
        <w:trPr>
          <w:trHeight w:val="610" w:hRule="atLeast"/>
        </w:trPr>
        <w:tc>
          <w:tcPr>
            <w:tcW w:type="dxa" w:w="3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41</w:t>
            </w:r>
          </w:p>
        </w:tc>
        <w:tc>
          <w:tcPr>
            <w:tcW w:type="dxa" w:w="252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MARA AMBIENTE S.r.l. CON UNICO SOCIO - 02190850988</w:t>
            </w:r>
          </w:p>
        </w:tc>
        <w:tc>
          <w:tcPr>
            <w:tcW w:type="dxa" w:w="184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BRESCIA (BS) - VIA DEI SANTI 58</w:t>
            </w:r>
          </w:p>
        </w:tc>
        <w:tc>
          <w:tcPr>
            <w:tcW w:type="dxa" w:w="107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13/05/2001</w:t>
            </w:r>
          </w:p>
        </w:tc>
        <w:tc>
          <w:tcPr>
            <w:tcW w:type="dxa" w:w="261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COSTRUZIONE DI OPERE DI PUBBLICA UTILITA' PER IL TRASPORTO DI FLUIDI</w:t>
            </w:r>
          </w:p>
        </w:tc>
      </w:tr>
      <w:tr>
        <w:tblPrEx>
          <w:shd w:val="clear" w:color="auto" w:fill="auto"/>
        </w:tblPrEx>
        <w:trPr>
          <w:trHeight w:val="440" w:hRule="atLeast"/>
        </w:trPr>
        <w:tc>
          <w:tcPr>
            <w:tcW w:type="dxa" w:w="3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42</w:t>
            </w:r>
          </w:p>
        </w:tc>
        <w:tc>
          <w:tcPr>
            <w:tcW w:type="dxa" w:w="252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fr-FR"/>
              </w:rPr>
              <w:t>NORD-SUD S.r.l. - 04867050157</w:t>
            </w:r>
          </w:p>
        </w:tc>
        <w:tc>
          <w:tcPr>
            <w:tcW w:type="dxa" w:w="184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ROMA (RM) - PIAZZA DI SPAGNA 66</w:t>
            </w:r>
          </w:p>
        </w:tc>
        <w:tc>
          <w:tcPr>
            <w:tcW w:type="dxa" w:w="107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15/01/2012</w:t>
            </w:r>
          </w:p>
        </w:tc>
        <w:tc>
          <w:tcPr>
            <w:tcW w:type="dxa" w:w="261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LOCAZIONE IMMOBILIARE DI BENI PROPRI O IN LEASING (AFFITTO)</w:t>
            </w:r>
          </w:p>
        </w:tc>
      </w:tr>
      <w:tr>
        <w:tblPrEx>
          <w:shd w:val="clear" w:color="auto" w:fill="auto"/>
        </w:tblPrEx>
        <w:trPr>
          <w:trHeight w:val="810" w:hRule="atLeast"/>
        </w:trPr>
        <w:tc>
          <w:tcPr>
            <w:tcW w:type="dxa" w:w="3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43</w:t>
            </w:r>
          </w:p>
        </w:tc>
        <w:tc>
          <w:tcPr>
            <w:tcW w:type="dxa" w:w="252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OFFICINE MALAGROTTA S.r.l. - 06938300586</w:t>
            </w:r>
          </w:p>
        </w:tc>
        <w:tc>
          <w:tcPr>
            <w:tcW w:type="dxa" w:w="184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ROMA (RM) - VIA PORTUENSE 881</w:t>
            </w:r>
          </w:p>
        </w:tc>
        <w:tc>
          <w:tcPr>
            <w:tcW w:type="dxa" w:w="107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30/01/1985</w:t>
            </w:r>
          </w:p>
        </w:tc>
        <w:tc>
          <w:tcPr>
            <w:tcW w:type="dxa" w:w="261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COSTRUZIONE, GESTIONE E PROGETTAZIONE DI IMPIANTI DI TRATTAMENTO E DISCARICHE CONTROLLATE DI RIFIUTI</w:t>
            </w:r>
          </w:p>
        </w:tc>
      </w:tr>
      <w:tr>
        <w:tblPrEx>
          <w:shd w:val="clear" w:color="auto" w:fill="auto"/>
        </w:tblPrEx>
        <w:trPr>
          <w:trHeight w:val="610" w:hRule="atLeast"/>
        </w:trPr>
        <w:tc>
          <w:tcPr>
            <w:tcW w:type="dxa" w:w="3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44</w:t>
            </w:r>
          </w:p>
        </w:tc>
        <w:tc>
          <w:tcPr>
            <w:tcW w:type="dxa" w:w="252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OS.LA. S.r.l. - 00461650582</w:t>
            </w:r>
          </w:p>
        </w:tc>
        <w:tc>
          <w:tcPr>
            <w:tcW w:type="dxa" w:w="184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SASSUOLO (MO) - VIA RADICI IN PIANO 48</w:t>
            </w:r>
          </w:p>
        </w:tc>
        <w:tc>
          <w:tcPr>
            <w:tcW w:type="dxa" w:w="107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27/04/1969</w:t>
            </w:r>
          </w:p>
        </w:tc>
        <w:tc>
          <w:tcPr>
            <w:tcW w:type="dxa" w:w="261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LAVORAZIONE E CONSERVAZIONE DI CARNE E PRODUZIONE DI PRODOTTI A BASE DI CARNE</w:t>
            </w:r>
          </w:p>
        </w:tc>
      </w:tr>
      <w:tr>
        <w:tblPrEx>
          <w:shd w:val="clear" w:color="auto" w:fill="auto"/>
        </w:tblPrEx>
        <w:trPr>
          <w:trHeight w:val="810" w:hRule="atLeast"/>
        </w:trPr>
        <w:tc>
          <w:tcPr>
            <w:tcW w:type="dxa" w:w="3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45</w:t>
            </w:r>
          </w:p>
        </w:tc>
        <w:tc>
          <w:tcPr>
            <w:tcW w:type="dxa" w:w="252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P. Giovi S.r.l. - 01301111009</w:t>
            </w:r>
          </w:p>
        </w:tc>
        <w:tc>
          <w:tcPr>
            <w:tcW w:type="dxa" w:w="184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ROMA (RM) - VIA PORTUENSE 881</w:t>
            </w:r>
          </w:p>
        </w:tc>
        <w:tc>
          <w:tcPr>
            <w:tcW w:type="dxa" w:w="107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07/07/1980</w:t>
            </w:r>
          </w:p>
        </w:tc>
        <w:tc>
          <w:tcPr>
            <w:tcW w:type="dxa" w:w="261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ATTIVITA' DI RACCOLTA, TRATTAMENTO E SMALTIMENTO DEI RIFIUTI; RECUPERO DEI MATERIALI</w:t>
            </w:r>
          </w:p>
        </w:tc>
      </w:tr>
      <w:tr>
        <w:tblPrEx>
          <w:shd w:val="clear" w:color="auto" w:fill="auto"/>
        </w:tblPrEx>
        <w:trPr>
          <w:trHeight w:val="610" w:hRule="atLeast"/>
        </w:trPr>
        <w:tc>
          <w:tcPr>
            <w:tcW w:type="dxa" w:w="3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46</w:t>
            </w:r>
          </w:p>
        </w:tc>
        <w:tc>
          <w:tcPr>
            <w:tcW w:type="dxa" w:w="252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PETROMARINE ITALIA S.r.l. CON UNICO SOCIO - 03999850583</w:t>
            </w:r>
          </w:p>
        </w:tc>
        <w:tc>
          <w:tcPr>
            <w:tcW w:type="dxa" w:w="184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ROMA (RM) - VIALE DEL POGGIO FIORITO 63</w:t>
            </w:r>
          </w:p>
        </w:tc>
        <w:tc>
          <w:tcPr>
            <w:tcW w:type="dxa" w:w="107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27/07/1981</w:t>
            </w:r>
          </w:p>
        </w:tc>
        <w:tc>
          <w:tcPr>
            <w:tcW w:type="dxa" w:w="261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RICERCA E COLTIVAZIONE DI IDROCARBURI, DI METALLI DI GAS, DI ACQUE E DI RIFIUTI IN GENERE</w:t>
            </w:r>
          </w:p>
        </w:tc>
      </w:tr>
      <w:tr>
        <w:tblPrEx>
          <w:shd w:val="clear" w:color="auto" w:fill="auto"/>
        </w:tblPrEx>
        <w:trPr>
          <w:trHeight w:val="440" w:hRule="atLeast"/>
        </w:trPr>
        <w:tc>
          <w:tcPr>
            <w:tcW w:type="dxa" w:w="3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47</w:t>
            </w:r>
          </w:p>
        </w:tc>
        <w:tc>
          <w:tcPr>
            <w:tcW w:type="dxa" w:w="252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PISANA IMMOBILIARE S.r.l. - 03760541007</w:t>
            </w:r>
          </w:p>
        </w:tc>
        <w:tc>
          <w:tcPr>
            <w:tcW w:type="dxa" w:w="184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ROMA (RM) - VIA PORTUENSE 881</w:t>
            </w:r>
          </w:p>
        </w:tc>
        <w:tc>
          <w:tcPr>
            <w:tcW w:type="dxa" w:w="107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21/12/1989</w:t>
            </w:r>
          </w:p>
        </w:tc>
        <w:tc>
          <w:tcPr>
            <w:tcW w:type="dxa" w:w="261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COSTRUZIONE DI EDIFICI RESIDENZIALI E NON RESIDENZIALI</w:t>
            </w:r>
          </w:p>
        </w:tc>
      </w:tr>
      <w:tr>
        <w:tblPrEx>
          <w:shd w:val="clear" w:color="auto" w:fill="auto"/>
        </w:tblPrEx>
        <w:trPr>
          <w:trHeight w:val="610" w:hRule="atLeast"/>
        </w:trPr>
        <w:tc>
          <w:tcPr>
            <w:tcW w:type="dxa" w:w="3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48</w:t>
            </w:r>
          </w:p>
        </w:tc>
        <w:tc>
          <w:tcPr>
            <w:tcW w:type="dxa" w:w="252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PONTEG S.r.l. CON UNICO SOCIO - 06625940587</w:t>
            </w:r>
          </w:p>
        </w:tc>
        <w:tc>
          <w:tcPr>
            <w:tcW w:type="dxa" w:w="184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ROMA (RM) - VIA PORTUENSE 881</w:t>
            </w:r>
          </w:p>
        </w:tc>
        <w:tc>
          <w:tcPr>
            <w:tcW w:type="dxa" w:w="107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10/07/1984</w:t>
            </w:r>
          </w:p>
        </w:tc>
        <w:tc>
          <w:tcPr>
            <w:tcW w:type="dxa" w:w="261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GESTIONE DI SERVIZI PER CONTO DI IMPRESE PRIVATE O PUBBLICHE RELATIVI ALLA NETTEZZA URBANA</w:t>
            </w:r>
          </w:p>
        </w:tc>
      </w:tr>
      <w:tr>
        <w:tblPrEx>
          <w:shd w:val="clear" w:color="auto" w:fill="auto"/>
        </w:tblPrEx>
        <w:trPr>
          <w:trHeight w:val="610" w:hRule="atLeast"/>
        </w:trPr>
        <w:tc>
          <w:tcPr>
            <w:tcW w:type="dxa" w:w="3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49</w:t>
            </w:r>
          </w:p>
        </w:tc>
        <w:tc>
          <w:tcPr>
            <w:tcW w:type="dxa" w:w="252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PONTINA AMBIENTE S.r.l. - 04941531008</w:t>
            </w:r>
          </w:p>
        </w:tc>
        <w:tc>
          <w:tcPr>
            <w:tcW w:type="dxa" w:w="184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ROMA (RM) - VIA PONTINA 543</w:t>
            </w:r>
          </w:p>
        </w:tc>
        <w:tc>
          <w:tcPr>
            <w:tcW w:type="dxa" w:w="107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13/07/1995</w:t>
            </w:r>
          </w:p>
        </w:tc>
        <w:tc>
          <w:tcPr>
            <w:tcW w:type="dxa" w:w="261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RECUPERO E PREPARAZIONE PER IL RICICLAGGIO DEI RIFIUTI SOLIDI URBANI, INDUSTRIALI E BIOMASSE</w:t>
            </w:r>
          </w:p>
        </w:tc>
      </w:tr>
      <w:tr>
        <w:tblPrEx>
          <w:shd w:val="clear" w:color="auto" w:fill="auto"/>
        </w:tblPrEx>
        <w:trPr>
          <w:trHeight w:val="440" w:hRule="atLeast"/>
        </w:trPr>
        <w:tc>
          <w:tcPr>
            <w:tcW w:type="dxa" w:w="3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50</w:t>
            </w:r>
          </w:p>
        </w:tc>
        <w:tc>
          <w:tcPr>
            <w:tcW w:type="dxa" w:w="252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PONTINA FONDIARIA S.r.l. - 04243421007</w:t>
            </w:r>
          </w:p>
        </w:tc>
        <w:tc>
          <w:tcPr>
            <w:tcW w:type="dxa" w:w="184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ROMA (RM) - VIALE DEL POGGIO FIORITO 63</w:t>
            </w:r>
          </w:p>
        </w:tc>
        <w:tc>
          <w:tcPr>
            <w:tcW w:type="dxa" w:w="107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27/01/1992</w:t>
            </w:r>
          </w:p>
        </w:tc>
        <w:tc>
          <w:tcPr>
            <w:tcW w:type="dxa" w:w="261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AFFITTO E GESTIONE DI IMMOBILI DI PROPRIETA' O IN LEASING</w:t>
            </w:r>
          </w:p>
        </w:tc>
      </w:tr>
      <w:tr>
        <w:tblPrEx>
          <w:shd w:val="clear" w:color="auto" w:fill="auto"/>
        </w:tblPrEx>
        <w:trPr>
          <w:trHeight w:val="440" w:hRule="atLeast"/>
        </w:trPr>
        <w:tc>
          <w:tcPr>
            <w:tcW w:type="dxa" w:w="3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51</w:t>
            </w:r>
          </w:p>
        </w:tc>
        <w:tc>
          <w:tcPr>
            <w:tcW w:type="dxa" w:w="252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PORTICO DEI TIGLI S.r.l. - 11845841003</w:t>
            </w:r>
          </w:p>
        </w:tc>
        <w:tc>
          <w:tcPr>
            <w:tcW w:type="dxa" w:w="184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ROMA (RM) - VIA SAVOIA 80</w:t>
            </w:r>
          </w:p>
        </w:tc>
        <w:tc>
          <w:tcPr>
            <w:tcW w:type="dxa" w:w="107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20/03/2012</w:t>
            </w:r>
          </w:p>
        </w:tc>
        <w:tc>
          <w:tcPr>
            <w:tcW w:type="dxa" w:w="261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COSTRUZIONE, VENDITA E/O GESTIONE DI EDIFICI IN ROMA</w:t>
            </w:r>
          </w:p>
        </w:tc>
      </w:tr>
      <w:tr>
        <w:tblPrEx>
          <w:shd w:val="clear" w:color="auto" w:fill="auto"/>
        </w:tblPrEx>
        <w:trPr>
          <w:trHeight w:val="610" w:hRule="atLeast"/>
        </w:trPr>
        <w:tc>
          <w:tcPr>
            <w:tcW w:type="dxa" w:w="3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52</w:t>
            </w:r>
          </w:p>
        </w:tc>
        <w:tc>
          <w:tcPr>
            <w:tcW w:type="dxa" w:w="252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R.&amp; S.OFFICINE SOCIETA' A RESPONSABILITA' LIMITATA S.r.l. - 05675071004</w:t>
            </w:r>
          </w:p>
        </w:tc>
        <w:tc>
          <w:tcPr>
            <w:tcW w:type="dxa" w:w="184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ROMA (RM) - VIA POGGIO FIORITO 63</w:t>
            </w:r>
          </w:p>
        </w:tc>
        <w:tc>
          <w:tcPr>
            <w:tcW w:type="dxa" w:w="107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23/12/1998</w:t>
            </w:r>
          </w:p>
        </w:tc>
        <w:tc>
          <w:tcPr>
            <w:tcW w:type="dxa" w:w="261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RIPARAZIONE E MANUTENZIONE DI ALTRE MACCHINE DI IMPIEGO GENERALE NCA</w:t>
            </w:r>
          </w:p>
        </w:tc>
      </w:tr>
      <w:tr>
        <w:tblPrEx>
          <w:shd w:val="clear" w:color="auto" w:fill="auto"/>
        </w:tblPrEx>
        <w:trPr>
          <w:trHeight w:val="610" w:hRule="atLeast"/>
        </w:trPr>
        <w:tc>
          <w:tcPr>
            <w:tcW w:type="dxa" w:w="3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53</w:t>
            </w:r>
          </w:p>
        </w:tc>
        <w:tc>
          <w:tcPr>
            <w:tcW w:type="dxa" w:w="252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R.E.C.L.A.S.(RECUPERO ECOLOGICO LAZIO SUD) S.p.A. IN FALLIMENTO - 01812680609</w:t>
            </w:r>
          </w:p>
        </w:tc>
        <w:tc>
          <w:tcPr>
            <w:tcW w:type="dxa" w:w="184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COLFELICE (FR) - VIA ORTELLA KM 3</w:t>
            </w:r>
          </w:p>
        </w:tc>
        <w:tc>
          <w:tcPr>
            <w:tcW w:type="dxa" w:w="107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23/01/1992</w:t>
            </w:r>
          </w:p>
        </w:tc>
        <w:tc>
          <w:tcPr>
            <w:tcW w:type="dxa" w:w="261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RECUPERO E PREPARAZIONE PER IL RICICLAGGIO DEI RIFIUTI SOLIDI URBANI, INDUSTRIALI E BIOMASSE</w:t>
            </w:r>
          </w:p>
        </w:tc>
      </w:tr>
      <w:tr>
        <w:tblPrEx>
          <w:shd w:val="clear" w:color="auto" w:fill="auto"/>
        </w:tblPrEx>
        <w:trPr>
          <w:trHeight w:val="610" w:hRule="atLeast"/>
        </w:trPr>
        <w:tc>
          <w:tcPr>
            <w:tcW w:type="dxa" w:w="3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54</w:t>
            </w:r>
          </w:p>
        </w:tc>
        <w:tc>
          <w:tcPr>
            <w:tcW w:type="dxa" w:w="252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RESIDENCE DEL COLLE S.r.l. - 04017531007</w:t>
            </w:r>
          </w:p>
        </w:tc>
        <w:tc>
          <w:tcPr>
            <w:tcW w:type="dxa" w:w="184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ROMA (RM) - VIA FOSDINOVO 18 SCALA C</w:t>
            </w:r>
          </w:p>
        </w:tc>
        <w:tc>
          <w:tcPr>
            <w:tcW w:type="dxa" w:w="107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25/01/1991</w:t>
            </w:r>
          </w:p>
        </w:tc>
        <w:tc>
          <w:tcPr>
            <w:tcW w:type="dxa" w:w="261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GESTIONE STRUTTURE RICETTIVE, CENTRI SOCIALI, CULTURALI, SPORTIVI E RICREATIVI IN GENERE</w:t>
            </w:r>
          </w:p>
        </w:tc>
      </w:tr>
      <w:tr>
        <w:tblPrEx>
          <w:shd w:val="clear" w:color="auto" w:fill="auto"/>
        </w:tblPrEx>
        <w:trPr>
          <w:trHeight w:val="610" w:hRule="atLeast"/>
        </w:trPr>
        <w:tc>
          <w:tcPr>
            <w:tcW w:type="dxa" w:w="3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55</w:t>
            </w:r>
          </w:p>
        </w:tc>
        <w:tc>
          <w:tcPr>
            <w:tcW w:type="dxa" w:w="252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RESIDENCE PISONIANO S.N.C. DI MONICA Cerroni E C. S.N.C. - 01617531007</w:t>
            </w:r>
          </w:p>
        </w:tc>
        <w:tc>
          <w:tcPr>
            <w:tcW w:type="dxa" w:w="184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ROMA (RM) - VIA EUGENIO CHIESA 27</w:t>
            </w:r>
          </w:p>
        </w:tc>
        <w:tc>
          <w:tcPr>
            <w:tcW w:type="dxa" w:w="107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06/12/1984</w:t>
            </w:r>
          </w:p>
        </w:tc>
        <w:tc>
          <w:tcPr>
            <w:tcW w:type="dxa" w:w="261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COSTRUZIONE DI EDIFICI RESIDENZIALI E NON RESIDENZIALI</w:t>
            </w:r>
          </w:p>
        </w:tc>
      </w:tr>
      <w:tr>
        <w:tblPrEx>
          <w:shd w:val="clear" w:color="auto" w:fill="auto"/>
        </w:tblPrEx>
        <w:trPr>
          <w:trHeight w:val="610" w:hRule="atLeast"/>
        </w:trPr>
        <w:tc>
          <w:tcPr>
            <w:tcW w:type="dxa" w:w="3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56</w:t>
            </w:r>
          </w:p>
        </w:tc>
        <w:tc>
          <w:tcPr>
            <w:tcW w:type="dxa" w:w="252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ROMANA METANO S.r.l. CON UNICO SOCIO - 06241621009</w:t>
            </w:r>
          </w:p>
        </w:tc>
        <w:tc>
          <w:tcPr>
            <w:tcW w:type="dxa" w:w="184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ROMA (RM) - VIA PORTUENSE 881</w:t>
            </w:r>
          </w:p>
        </w:tc>
        <w:tc>
          <w:tcPr>
            <w:tcW w:type="dxa" w:w="107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27/07/2000</w:t>
            </w:r>
          </w:p>
        </w:tc>
        <w:tc>
          <w:tcPr>
            <w:tcW w:type="dxa" w:w="261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FORNITURA DI ENERGIA ELETTRICA, GAS, VAPORE E ARIA CONDIZIONATA</w:t>
            </w:r>
          </w:p>
        </w:tc>
      </w:tr>
      <w:tr>
        <w:tblPrEx>
          <w:shd w:val="clear" w:color="auto" w:fill="auto"/>
        </w:tblPrEx>
        <w:trPr>
          <w:trHeight w:val="440" w:hRule="atLeast"/>
        </w:trPr>
        <w:tc>
          <w:tcPr>
            <w:tcW w:type="dxa" w:w="3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57</w:t>
            </w:r>
          </w:p>
        </w:tc>
        <w:tc>
          <w:tcPr>
            <w:tcW w:type="dxa" w:w="252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ROMAUNO S.r.l. - 03918881008</w:t>
            </w:r>
          </w:p>
        </w:tc>
        <w:tc>
          <w:tcPr>
            <w:tcW w:type="dxa" w:w="184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ROMA (RM) - VIA GROENLANDIA 41</w:t>
            </w:r>
          </w:p>
        </w:tc>
        <w:tc>
          <w:tcPr>
            <w:tcW w:type="dxa" w:w="107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01/08/1990</w:t>
            </w:r>
          </w:p>
        </w:tc>
        <w:tc>
          <w:tcPr>
            <w:tcW w:type="dxa" w:w="261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ATTIVITA' DI PROGRAMMAZIONE E TRASMISSIONE</w:t>
            </w:r>
          </w:p>
        </w:tc>
      </w:tr>
      <w:tr>
        <w:tblPrEx>
          <w:shd w:val="clear" w:color="auto" w:fill="auto"/>
        </w:tblPrEx>
        <w:trPr>
          <w:trHeight w:val="810" w:hRule="atLeast"/>
        </w:trPr>
        <w:tc>
          <w:tcPr>
            <w:tcW w:type="dxa" w:w="3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58</w:t>
            </w:r>
          </w:p>
        </w:tc>
        <w:tc>
          <w:tcPr>
            <w:tcW w:type="dxa" w:w="252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S.ECO.R. SERVIZI ECOLOGICI ROMANI S.r.l. CON SOCIO UNICO IN LIQUIDAZIONE S.r.l. - 06299520582</w:t>
            </w:r>
          </w:p>
        </w:tc>
        <w:tc>
          <w:tcPr>
            <w:tcW w:type="dxa" w:w="184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ROMA (RM) - VIA DELL'ESPERANTO 74</w:t>
            </w:r>
          </w:p>
        </w:tc>
        <w:tc>
          <w:tcPr>
            <w:tcW w:type="dxa" w:w="107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18/06/1984</w:t>
            </w:r>
          </w:p>
        </w:tc>
        <w:tc>
          <w:tcPr>
            <w:tcW w:type="dxa" w:w="261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RECUPERO E PREPARAZIONE PER IL RICICLAGGIO DEI RIFIUTI SOLIDI URBANI, INDUSTRIALI E BIOMASSE</w:t>
            </w:r>
          </w:p>
        </w:tc>
      </w:tr>
      <w:tr>
        <w:tblPrEx>
          <w:shd w:val="clear" w:color="auto" w:fill="auto"/>
        </w:tblPrEx>
        <w:trPr>
          <w:trHeight w:val="440" w:hRule="atLeast"/>
        </w:trPr>
        <w:tc>
          <w:tcPr>
            <w:tcW w:type="dxa" w:w="3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59</w:t>
            </w:r>
          </w:p>
        </w:tc>
        <w:tc>
          <w:tcPr>
            <w:tcW w:type="dxa" w:w="252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SCA ENERGY S.p.A. CON UNICO SOCIO - 09600571005</w:t>
            </w:r>
          </w:p>
        </w:tc>
        <w:tc>
          <w:tcPr>
            <w:tcW w:type="dxa" w:w="184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ROMA (RM) - VIA PONTINA 545</w:t>
            </w:r>
          </w:p>
        </w:tc>
        <w:tc>
          <w:tcPr>
            <w:tcW w:type="dxa" w:w="107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13/07/2007</w:t>
            </w:r>
          </w:p>
        </w:tc>
        <w:tc>
          <w:tcPr>
            <w:tcW w:type="dxa" w:w="261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ALTRI SERVIZI DI SUPPORTO ALLE IMPRESE NCA</w:t>
            </w:r>
          </w:p>
        </w:tc>
      </w:tr>
      <w:tr>
        <w:tblPrEx>
          <w:shd w:val="clear" w:color="auto" w:fill="auto"/>
        </w:tblPrEx>
        <w:trPr>
          <w:trHeight w:val="810" w:hRule="atLeast"/>
        </w:trPr>
        <w:tc>
          <w:tcPr>
            <w:tcW w:type="dxa" w:w="3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60</w:t>
            </w:r>
          </w:p>
        </w:tc>
        <w:tc>
          <w:tcPr>
            <w:tcW w:type="dxa" w:w="252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SCT Sorain Cecchini TECNO S.r.l. - 04502101001</w:t>
            </w:r>
          </w:p>
        </w:tc>
        <w:tc>
          <w:tcPr>
            <w:tcW w:type="dxa" w:w="184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ROMA (RM) - VIA PONTINA 545</w:t>
            </w:r>
          </w:p>
        </w:tc>
        <w:tc>
          <w:tcPr>
            <w:tcW w:type="dxa" w:w="107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03/05/1993</w:t>
            </w:r>
          </w:p>
        </w:tc>
        <w:tc>
          <w:tcPr>
            <w:tcW w:type="dxa" w:w="261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FABBRICAZIONE DI ALTRO MATERIALE MECCANICO E DI ALTRE MACCHINE DI IMPIEGO GENERALE NCA</w:t>
            </w:r>
          </w:p>
        </w:tc>
      </w:tr>
      <w:tr>
        <w:tblPrEx>
          <w:shd w:val="clear" w:color="auto" w:fill="auto"/>
        </w:tblPrEx>
        <w:trPr>
          <w:trHeight w:val="610" w:hRule="atLeast"/>
        </w:trPr>
        <w:tc>
          <w:tcPr>
            <w:tcW w:type="dxa" w:w="3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61</w:t>
            </w:r>
          </w:p>
        </w:tc>
        <w:tc>
          <w:tcPr>
            <w:tcW w:type="dxa" w:w="252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SE.T.A. S.p.A. IN LIQUIDAZIONE - 03060320656</w:t>
            </w:r>
          </w:p>
        </w:tc>
        <w:tc>
          <w:tcPr>
            <w:tcW w:type="dxa" w:w="184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CAVA DE' TIRRENI (SA) - VIALE GUGLIELMO MARCONI 52</w:t>
            </w:r>
          </w:p>
        </w:tc>
        <w:tc>
          <w:tcPr>
            <w:tcW w:type="dxa" w:w="107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12/04/1995</w:t>
            </w:r>
          </w:p>
        </w:tc>
        <w:tc>
          <w:tcPr>
            <w:tcW w:type="dxa" w:w="261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ALTRE ATTIVITA' DI RISANAMENTO E ALTRI SERVIZI DI GESTIONE DEI RIFIUTI</w:t>
            </w:r>
          </w:p>
        </w:tc>
      </w:tr>
      <w:tr>
        <w:tblPrEx>
          <w:shd w:val="clear" w:color="auto" w:fill="auto"/>
        </w:tblPrEx>
        <w:trPr>
          <w:trHeight w:val="440" w:hRule="atLeast"/>
        </w:trPr>
        <w:tc>
          <w:tcPr>
            <w:tcW w:type="dxa" w:w="3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62</w:t>
            </w:r>
          </w:p>
        </w:tc>
        <w:tc>
          <w:tcPr>
            <w:tcW w:type="dxa" w:w="252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SERVICES LAZIO S.r.l. - 07487011004</w:t>
            </w:r>
          </w:p>
        </w:tc>
        <w:tc>
          <w:tcPr>
            <w:tcW w:type="dxa" w:w="184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POMEZIA (RM) - VIA MESSICO 9</w:t>
            </w:r>
          </w:p>
        </w:tc>
        <w:tc>
          <w:tcPr>
            <w:tcW w:type="dxa" w:w="107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25/10/2011</w:t>
            </w:r>
          </w:p>
        </w:tc>
        <w:tc>
          <w:tcPr>
            <w:tcW w:type="dxa" w:w="261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TRATTAMENTO E SMALTIMENTO DI ALTRI RIFIUTI NON PERICOLOSI</w:t>
            </w:r>
          </w:p>
        </w:tc>
      </w:tr>
      <w:tr>
        <w:tblPrEx>
          <w:shd w:val="clear" w:color="auto" w:fill="auto"/>
        </w:tblPrEx>
        <w:trPr>
          <w:trHeight w:val="610" w:hRule="atLeast"/>
        </w:trPr>
        <w:tc>
          <w:tcPr>
            <w:tcW w:type="dxa" w:w="3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63</w:t>
            </w:r>
          </w:p>
        </w:tc>
        <w:tc>
          <w:tcPr>
            <w:tcW w:type="dxa" w:w="252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SERVIZIO ITALIA SOCIETA' FIDUCIARIA S.p.A. CON UNICO SOCIO - 00451690580</w:t>
            </w:r>
          </w:p>
        </w:tc>
        <w:tc>
          <w:tcPr>
            <w:tcW w:type="dxa" w:w="184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ROMA (RM) - VIA VITTORIO VENETO 7</w:t>
            </w:r>
          </w:p>
        </w:tc>
        <w:tc>
          <w:tcPr>
            <w:tcW w:type="dxa" w:w="107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24/09/1970</w:t>
            </w:r>
          </w:p>
        </w:tc>
        <w:tc>
          <w:tcPr>
            <w:tcW w:type="dxa" w:w="261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ATTIVITA' DELLE SOCIETA' FIDUCIARIE DI AMMINISTRAZIONE</w:t>
            </w:r>
          </w:p>
        </w:tc>
      </w:tr>
      <w:tr>
        <w:tblPrEx>
          <w:shd w:val="clear" w:color="auto" w:fill="auto"/>
        </w:tblPrEx>
        <w:trPr>
          <w:trHeight w:val="440" w:hRule="atLeast"/>
        </w:trPr>
        <w:tc>
          <w:tcPr>
            <w:tcW w:type="dxa" w:w="3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64</w:t>
            </w:r>
          </w:p>
        </w:tc>
        <w:tc>
          <w:tcPr>
            <w:tcW w:type="dxa" w:w="252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SESTILIA FONDIARIA S.r.l. CON UNICO SOCIO - 05887371002</w:t>
            </w:r>
          </w:p>
        </w:tc>
        <w:tc>
          <w:tcPr>
            <w:tcW w:type="dxa" w:w="184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pt-PT"/>
              </w:rPr>
              <w:t>ROMA (RM) - VIA DE LUCA CARDINAL 22</w:t>
            </w:r>
          </w:p>
        </w:tc>
        <w:tc>
          <w:tcPr>
            <w:tcW w:type="dxa" w:w="107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03/12/1999</w:t>
            </w:r>
          </w:p>
        </w:tc>
        <w:tc>
          <w:tcPr>
            <w:tcW w:type="dxa" w:w="261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INTERMEDIARI NELLA MEDIAZIONE IMMOBILIARE</w:t>
            </w:r>
          </w:p>
        </w:tc>
      </w:tr>
      <w:tr>
        <w:tblPrEx>
          <w:shd w:val="clear" w:color="auto" w:fill="auto"/>
        </w:tblPrEx>
        <w:trPr>
          <w:trHeight w:val="440" w:hRule="atLeast"/>
        </w:trPr>
        <w:tc>
          <w:tcPr>
            <w:tcW w:type="dxa" w:w="3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65</w:t>
            </w:r>
          </w:p>
        </w:tc>
        <w:tc>
          <w:tcPr>
            <w:tcW w:type="dxa" w:w="252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SIL - S.r.l. CON UNICO SOCIO - 03890911005</w:t>
            </w:r>
          </w:p>
        </w:tc>
        <w:tc>
          <w:tcPr>
            <w:tcW w:type="dxa" w:w="184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ROMA (RM) - VIALE DEL POGGIO FIORITO 63</w:t>
            </w:r>
          </w:p>
        </w:tc>
        <w:tc>
          <w:tcPr>
            <w:tcW w:type="dxa" w:w="107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01/04/2015</w:t>
            </w:r>
          </w:p>
        </w:tc>
        <w:tc>
          <w:tcPr>
            <w:tcW w:type="dxa" w:w="261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COSTRUZIONE DI EDIFICI RESIDENZIALI E NON RESIDENZIALI</w:t>
            </w:r>
          </w:p>
        </w:tc>
      </w:tr>
      <w:tr>
        <w:tblPrEx>
          <w:shd w:val="clear" w:color="auto" w:fill="auto"/>
        </w:tblPrEx>
        <w:trPr>
          <w:trHeight w:val="440" w:hRule="atLeast"/>
        </w:trPr>
        <w:tc>
          <w:tcPr>
            <w:tcW w:type="dxa" w:w="3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66</w:t>
            </w:r>
          </w:p>
        </w:tc>
        <w:tc>
          <w:tcPr>
            <w:tcW w:type="dxa" w:w="252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SLIA S.r.l. IN LIQUIDAZIONE - 00400840583</w:t>
            </w:r>
          </w:p>
        </w:tc>
        <w:tc>
          <w:tcPr>
            <w:tcW w:type="dxa" w:w="184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ROMA (RM) - VIA CORTINA D'AMPEZZO 47</w:t>
            </w:r>
          </w:p>
        </w:tc>
        <w:tc>
          <w:tcPr>
            <w:tcW w:type="dxa" w:w="107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18/04/1951</w:t>
            </w:r>
          </w:p>
        </w:tc>
        <w:tc>
          <w:tcPr>
            <w:tcW w:type="dxa" w:w="261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RACCOLTA DI RIFIUTI SOLIDI NON PERICOLOSI</w:t>
            </w:r>
          </w:p>
        </w:tc>
      </w:tr>
      <w:tr>
        <w:tblPrEx>
          <w:shd w:val="clear" w:color="auto" w:fill="auto"/>
        </w:tblPrEx>
        <w:trPr>
          <w:trHeight w:val="810" w:hRule="atLeast"/>
        </w:trPr>
        <w:tc>
          <w:tcPr>
            <w:tcW w:type="dxa" w:w="3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67</w:t>
            </w:r>
          </w:p>
        </w:tc>
        <w:tc>
          <w:tcPr>
            <w:tcW w:type="dxa" w:w="252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SOCIETA' CONSORTILE DI RICERCA E SERVIZI - A R.L. - 04509660876</w:t>
            </w:r>
          </w:p>
        </w:tc>
        <w:tc>
          <w:tcPr>
            <w:tcW w:type="dxa" w:w="184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SAN GREGORIO DI CATANIA (CT) - VIA TERZORA 8</w:t>
            </w:r>
          </w:p>
        </w:tc>
        <w:tc>
          <w:tcPr>
            <w:tcW w:type="dxa" w:w="107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24/02/2010</w:t>
            </w:r>
          </w:p>
        </w:tc>
        <w:tc>
          <w:tcPr>
            <w:tcW w:type="dxa" w:w="261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RICERCA E SVILUPPO SPERIMENTALE NEL CAMPO DELLE ALTRE SCIENZE NATURALI E DELL'INGEGNERIA</w:t>
            </w:r>
          </w:p>
        </w:tc>
      </w:tr>
      <w:tr>
        <w:tblPrEx>
          <w:shd w:val="clear" w:color="auto" w:fill="auto"/>
        </w:tblPrEx>
        <w:trPr>
          <w:trHeight w:val="810" w:hRule="atLeast"/>
        </w:trPr>
        <w:tc>
          <w:tcPr>
            <w:tcW w:type="dxa" w:w="3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68</w:t>
            </w:r>
          </w:p>
        </w:tc>
        <w:tc>
          <w:tcPr>
            <w:tcW w:type="dxa" w:w="252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SOCIETA ECOLOGICA MERIDIONALE IMPIANTI SMALTIMENTO S.r.l. CON UN. SOCIO - 04379080726</w:t>
            </w:r>
          </w:p>
        </w:tc>
        <w:tc>
          <w:tcPr>
            <w:tcW w:type="dxa" w:w="184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ROMA (RM) - VIA ANTONIO BERTOLONI 8</w:t>
            </w:r>
          </w:p>
        </w:tc>
        <w:tc>
          <w:tcPr>
            <w:tcW w:type="dxa" w:w="107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20/07/1992</w:t>
            </w:r>
          </w:p>
        </w:tc>
        <w:tc>
          <w:tcPr>
            <w:tcW w:type="dxa" w:w="261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ATTIVITA' DI RACCOLTA, TRATTAMENTO E SMALTIMENTO DEI RIFIUTI; RECUPERO DEI MATERIALI</w:t>
            </w:r>
          </w:p>
        </w:tc>
      </w:tr>
      <w:tr>
        <w:tblPrEx>
          <w:shd w:val="clear" w:color="auto" w:fill="auto"/>
        </w:tblPrEx>
        <w:trPr>
          <w:trHeight w:val="810" w:hRule="atLeast"/>
        </w:trPr>
        <w:tc>
          <w:tcPr>
            <w:tcW w:type="dxa" w:w="3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69</w:t>
            </w:r>
          </w:p>
        </w:tc>
        <w:tc>
          <w:tcPr>
            <w:tcW w:type="dxa" w:w="252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Sorain Cecchini AMBIENTE S.p.A. - 01226821005</w:t>
            </w:r>
          </w:p>
        </w:tc>
        <w:tc>
          <w:tcPr>
            <w:tcW w:type="dxa" w:w="184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ROMA (RM) - VIALE POGGIO FIORITO 63</w:t>
            </w:r>
          </w:p>
        </w:tc>
        <w:tc>
          <w:tcPr>
            <w:tcW w:type="dxa" w:w="107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04/10/1979</w:t>
            </w:r>
          </w:p>
        </w:tc>
        <w:tc>
          <w:tcPr>
            <w:tcW w:type="dxa" w:w="261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ATTIVITA</w:t>
            </w: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 xml:space="preserve">’ </w:t>
            </w: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DI RECUPERO E BONIFICA AMBIENTALE, SMALTIMENTO DI RIFIUTI URBANI E SPECIALI</w:t>
            </w:r>
          </w:p>
        </w:tc>
      </w:tr>
      <w:tr>
        <w:tblPrEx>
          <w:shd w:val="clear" w:color="auto" w:fill="auto"/>
        </w:tblPrEx>
        <w:trPr>
          <w:trHeight w:val="440" w:hRule="atLeast"/>
        </w:trPr>
        <w:tc>
          <w:tcPr>
            <w:tcW w:type="dxa" w:w="3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70</w:t>
            </w:r>
          </w:p>
        </w:tc>
        <w:tc>
          <w:tcPr>
            <w:tcW w:type="dxa" w:w="252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Sorain Cecchini CORCOLLE S.r.l. - 10026571009</w:t>
            </w:r>
          </w:p>
        </w:tc>
        <w:tc>
          <w:tcPr>
            <w:tcW w:type="dxa" w:w="184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ROMA (RM) - VIALE DEL POGGIO FIORITO 63</w:t>
            </w:r>
          </w:p>
        </w:tc>
        <w:tc>
          <w:tcPr>
            <w:tcW w:type="dxa" w:w="107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27/05/2008</w:t>
            </w:r>
          </w:p>
        </w:tc>
        <w:tc>
          <w:tcPr>
            <w:tcW w:type="dxa" w:w="261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ESERCIZIO AGRICOLTURA; ATTIVITA</w:t>
            </w: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 xml:space="preserve">’ </w:t>
            </w: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IMMOBILIARE</w:t>
            </w:r>
          </w:p>
        </w:tc>
      </w:tr>
      <w:tr>
        <w:tblPrEx>
          <w:shd w:val="clear" w:color="auto" w:fill="auto"/>
        </w:tblPrEx>
        <w:trPr>
          <w:trHeight w:val="810" w:hRule="atLeast"/>
        </w:trPr>
        <w:tc>
          <w:tcPr>
            <w:tcW w:type="dxa" w:w="3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71</w:t>
            </w:r>
          </w:p>
        </w:tc>
        <w:tc>
          <w:tcPr>
            <w:tcW w:type="dxa" w:w="252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Sorain Cecchini S.p.A. - 01297330589</w:t>
            </w:r>
          </w:p>
        </w:tc>
        <w:tc>
          <w:tcPr>
            <w:tcW w:type="dxa" w:w="184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ROMA (RM) - VIALE DEL POGGIO FIORITO 63</w:t>
            </w:r>
          </w:p>
        </w:tc>
        <w:tc>
          <w:tcPr>
            <w:tcW w:type="dxa" w:w="107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01/12/1973</w:t>
            </w:r>
          </w:p>
        </w:tc>
        <w:tc>
          <w:tcPr>
            <w:tcW w:type="dxa" w:w="261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STUDI, RACCOLTA, RECUPERO, SMALTIMENTO RIFIUTI; COSTRUZIONE IMPIANTI SMALTIMENTO DI RIFIUTI SOLIDI</w:t>
            </w:r>
          </w:p>
        </w:tc>
      </w:tr>
      <w:tr>
        <w:tblPrEx>
          <w:shd w:val="clear" w:color="auto" w:fill="auto"/>
        </w:tblPrEx>
        <w:trPr>
          <w:trHeight w:val="440" w:hRule="atLeast"/>
        </w:trPr>
        <w:tc>
          <w:tcPr>
            <w:tcW w:type="dxa" w:w="3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72</w:t>
            </w:r>
          </w:p>
        </w:tc>
        <w:tc>
          <w:tcPr>
            <w:tcW w:type="dxa" w:w="252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Sorain Cecchini UNO S.r.l. - 07656511008</w:t>
            </w:r>
          </w:p>
        </w:tc>
        <w:tc>
          <w:tcPr>
            <w:tcW w:type="dxa" w:w="184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ROMA (RM) - VIALE DEL POGGIO FIORITO 63</w:t>
            </w:r>
          </w:p>
        </w:tc>
        <w:tc>
          <w:tcPr>
            <w:tcW w:type="dxa" w:w="107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25/09/2003</w:t>
            </w:r>
          </w:p>
        </w:tc>
        <w:tc>
          <w:tcPr>
            <w:tcW w:type="dxa" w:w="261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COSTRUZIONE DI EDIFICI RESIDENZIALI E NON RESIDENZIALI</w:t>
            </w:r>
          </w:p>
        </w:tc>
      </w:tr>
      <w:tr>
        <w:tblPrEx>
          <w:shd w:val="clear" w:color="auto" w:fill="auto"/>
        </w:tblPrEx>
        <w:trPr>
          <w:trHeight w:val="440" w:hRule="atLeast"/>
        </w:trPr>
        <w:tc>
          <w:tcPr>
            <w:tcW w:type="dxa" w:w="3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73</w:t>
            </w:r>
          </w:p>
        </w:tc>
        <w:tc>
          <w:tcPr>
            <w:tcW w:type="dxa" w:w="252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SYSTEMA AMBIENTE S.p.A. - 02071270983</w:t>
            </w:r>
          </w:p>
        </w:tc>
        <w:tc>
          <w:tcPr>
            <w:tcW w:type="dxa" w:w="184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BRESCIA (BS) - VIA DEI SANTI 58</w:t>
            </w:r>
          </w:p>
        </w:tc>
        <w:tc>
          <w:tcPr>
            <w:tcW w:type="dxa" w:w="107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07/11/1980</w:t>
            </w:r>
          </w:p>
        </w:tc>
        <w:tc>
          <w:tcPr>
            <w:tcW w:type="dxa" w:w="261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ALTRE ATTIVITA' DI CONSULENZA TECNICA NCA</w:t>
            </w:r>
          </w:p>
        </w:tc>
      </w:tr>
      <w:tr>
        <w:tblPrEx>
          <w:shd w:val="clear" w:color="auto" w:fill="auto"/>
        </w:tblPrEx>
        <w:trPr>
          <w:trHeight w:val="440" w:hRule="atLeast"/>
        </w:trPr>
        <w:tc>
          <w:tcPr>
            <w:tcW w:type="dxa" w:w="3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74</w:t>
            </w:r>
          </w:p>
        </w:tc>
        <w:tc>
          <w:tcPr>
            <w:tcW w:type="dxa" w:w="252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TECNO SOLUZIONI S.r.l. CON UNICO SOCIO - 05820481009</w:t>
            </w:r>
          </w:p>
        </w:tc>
        <w:tc>
          <w:tcPr>
            <w:tcW w:type="dxa" w:w="184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ROMA (RM) - VIA TOLOSA 42</w:t>
            </w:r>
          </w:p>
        </w:tc>
        <w:tc>
          <w:tcPr>
            <w:tcW w:type="dxa" w:w="107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02/12/2009</w:t>
            </w:r>
          </w:p>
        </w:tc>
        <w:tc>
          <w:tcPr>
            <w:tcW w:type="dxa" w:w="261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ALTRE ATTIVITA' DI CONSULENZA TECNICA NCA</w:t>
            </w:r>
          </w:p>
        </w:tc>
      </w:tr>
      <w:tr>
        <w:tblPrEx>
          <w:shd w:val="clear" w:color="auto" w:fill="auto"/>
        </w:tblPrEx>
        <w:trPr>
          <w:trHeight w:val="440" w:hRule="atLeast"/>
        </w:trPr>
        <w:tc>
          <w:tcPr>
            <w:tcW w:type="dxa" w:w="3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75</w:t>
            </w:r>
          </w:p>
        </w:tc>
        <w:tc>
          <w:tcPr>
            <w:tcW w:type="dxa" w:w="252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TECNOBEG S.r.l. - 06805451009</w:t>
            </w:r>
          </w:p>
        </w:tc>
        <w:tc>
          <w:tcPr>
            <w:tcW w:type="dxa" w:w="184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ROMA (RM) - PIAZZA DI SPAGNA 66</w:t>
            </w:r>
          </w:p>
        </w:tc>
        <w:tc>
          <w:tcPr>
            <w:tcW w:type="dxa" w:w="107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31/12/2009</w:t>
            </w:r>
          </w:p>
        </w:tc>
        <w:tc>
          <w:tcPr>
            <w:tcW w:type="dxa" w:w="261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ALTRE ATTIVITA' DI CONSULENZA TECNICA NCA</w:t>
            </w:r>
          </w:p>
        </w:tc>
      </w:tr>
      <w:tr>
        <w:tblPrEx>
          <w:shd w:val="clear" w:color="auto" w:fill="auto"/>
        </w:tblPrEx>
        <w:trPr>
          <w:trHeight w:val="440" w:hRule="atLeast"/>
        </w:trPr>
        <w:tc>
          <w:tcPr>
            <w:tcW w:type="dxa" w:w="3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76</w:t>
            </w:r>
          </w:p>
        </w:tc>
        <w:tc>
          <w:tcPr>
            <w:tcW w:type="dxa" w:w="252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URBE ENERGIA S.r.l. CON UNICO SOCIO - 05877581008</w:t>
            </w:r>
          </w:p>
        </w:tc>
        <w:tc>
          <w:tcPr>
            <w:tcW w:type="dxa" w:w="184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 xml:space="preserve">ROMA (RM) </w:t>
            </w: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 xml:space="preserve">– </w:t>
            </w: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VIA DELL' ESPERANTO 74</w:t>
            </w:r>
          </w:p>
        </w:tc>
        <w:tc>
          <w:tcPr>
            <w:tcW w:type="dxa" w:w="107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22/10/1999</w:t>
            </w:r>
          </w:p>
        </w:tc>
        <w:tc>
          <w:tcPr>
            <w:tcW w:type="dxa" w:w="261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6"/>
                <w:szCs w:val="16"/>
                <w:u w:val="none" w:color="000000"/>
                <w:vertAlign w:val="baseline"/>
                <w:rtl w:val="0"/>
                <w:lang w:val="it-IT"/>
              </w:rPr>
              <w:t>PRODUZIONE DI ENERGIA ELETTRICA</w:t>
            </w:r>
          </w:p>
        </w:tc>
      </w:tr>
    </w:tbl>
    <w:p>
      <w:pPr>
        <w:pStyle w:val="Normal"/>
        <w:keepNext w:val="1"/>
        <w:ind w:right="567" w:firstLine="567"/>
        <w:jc w:val="center"/>
        <w:rPr>
          <w:rFonts w:ascii="Book Antiqua" w:cs="Book Antiqua" w:hAnsi="Book Antiqua" w:eastAsia="Book Antiqua"/>
        </w:rPr>
      </w:pPr>
    </w:p>
    <w:p>
      <w:pPr>
        <w:pStyle w:val="Normal"/>
        <w:keepNext w:val="1"/>
        <w:ind w:left="567" w:right="567" w:firstLine="0"/>
        <w:jc w:val="both"/>
        <w:rPr>
          <w:rFonts w:ascii="Book Antiqua" w:cs="Book Antiqua" w:hAnsi="Book Antiqua" w:eastAsia="Book Antiqua"/>
          <w:sz w:val="12"/>
          <w:szCs w:val="12"/>
        </w:rPr>
      </w:pPr>
    </w:p>
    <w:p>
      <w:pPr>
        <w:pStyle w:val="Normal"/>
        <w:keepNext w:val="1"/>
        <w:ind w:left="567" w:right="567" w:firstLine="0"/>
        <w:jc w:val="both"/>
        <w:rPr>
          <w:rFonts w:ascii="Book Antiqua" w:cs="Book Antiqua" w:hAnsi="Book Antiqua" w:eastAsia="Book Antiqua"/>
        </w:rPr>
      </w:pPr>
    </w:p>
    <w:p>
      <w:pPr>
        <w:pStyle w:val="Normal"/>
        <w:keepNext w:val="1"/>
        <w:ind w:left="567" w:right="567" w:firstLine="0"/>
        <w:jc w:val="both"/>
        <w:rPr>
          <w:rFonts w:ascii="Book Antiqua" w:cs="Book Antiqua" w:hAnsi="Book Antiqua" w:eastAsia="Book Antiqua"/>
        </w:rPr>
      </w:pPr>
      <w:r>
        <w:rPr>
          <w:rFonts w:ascii="Book Antiqua"/>
          <w:rtl w:val="0"/>
          <w:lang w:val="it-IT"/>
        </w:rPr>
        <w:t xml:space="preserve">Sebbene la rappresentazione grafica delle relazioni e delle concatenazioni societarie </w:t>
      </w:r>
      <w:r>
        <w:rPr>
          <w:rFonts w:hAnsi="Book Antiqua" w:hint="default"/>
          <w:rtl w:val="0"/>
          <w:lang w:val="it-IT"/>
        </w:rPr>
        <w:t xml:space="preserve">– </w:t>
      </w:r>
      <w:r>
        <w:rPr>
          <w:rFonts w:ascii="Book Antiqua"/>
          <w:rtl w:val="0"/>
          <w:lang w:val="it-IT"/>
        </w:rPr>
        <w:t>ancorch</w:t>
      </w:r>
      <w:r>
        <w:rPr>
          <w:rFonts w:hAnsi="Book Antiqua" w:hint="default"/>
          <w:rtl w:val="0"/>
          <w:lang w:val="it-IT"/>
        </w:rPr>
        <w:t xml:space="preserve">é </w:t>
      </w:r>
      <w:r>
        <w:rPr>
          <w:rFonts w:ascii="Book Antiqua"/>
          <w:rtl w:val="0"/>
          <w:lang w:val="it-IT"/>
        </w:rPr>
        <w:t>assistita da un apposito elenco riepilogativo - non sia di facile lettura, un</w:t>
      </w:r>
      <w:r>
        <w:rPr>
          <w:rFonts w:hAnsi="Book Antiqua" w:hint="default"/>
          <w:rtl w:val="0"/>
          <w:lang w:val="it-IT"/>
        </w:rPr>
        <w:t>’</w:t>
      </w:r>
      <w:r>
        <w:rPr>
          <w:rFonts w:ascii="Book Antiqua"/>
          <w:rtl w:val="0"/>
          <w:lang w:val="it-IT"/>
        </w:rPr>
        <w:t>analisi combinata dei dati cos</w:t>
      </w:r>
      <w:r>
        <w:rPr>
          <w:rFonts w:hAnsi="Book Antiqua" w:hint="default"/>
          <w:rtl w:val="0"/>
          <w:lang w:val="it-IT"/>
        </w:rPr>
        <w:t xml:space="preserve">ì </w:t>
      </w:r>
      <w:r>
        <w:rPr>
          <w:rFonts w:ascii="Book Antiqua"/>
          <w:rtl w:val="0"/>
          <w:lang w:val="it-IT"/>
        </w:rPr>
        <w:t>riepilogati permette sicuramente qualche riflessione.</w:t>
      </w:r>
    </w:p>
    <w:p>
      <w:pPr>
        <w:pStyle w:val="Normal"/>
        <w:keepNext w:val="1"/>
        <w:ind w:left="567" w:right="567" w:firstLine="0"/>
        <w:jc w:val="both"/>
        <w:rPr>
          <w:rFonts w:ascii="Book Antiqua" w:cs="Book Antiqua" w:hAnsi="Book Antiqua" w:eastAsia="Book Antiqua"/>
        </w:rPr>
      </w:pPr>
      <w:r>
        <w:rPr>
          <w:rFonts w:ascii="Book Antiqua"/>
          <w:rtl w:val="0"/>
          <w:lang w:val="it-IT"/>
        </w:rPr>
        <w:t>In primo luogo, appare innegabile l</w:t>
      </w:r>
      <w:r>
        <w:rPr>
          <w:rFonts w:hAnsi="Book Antiqua" w:hint="default"/>
          <w:rtl w:val="0"/>
          <w:lang w:val="it-IT"/>
        </w:rPr>
        <w:t>’</w:t>
      </w:r>
      <w:r>
        <w:rPr>
          <w:rFonts w:ascii="Book Antiqua"/>
          <w:rtl w:val="0"/>
          <w:lang w:val="it-IT"/>
        </w:rPr>
        <w:t xml:space="preserve">esistenza di una vero e proprio gruppo imprenditoriale riconducibile alla famiglia Cerroni, </w:t>
      </w:r>
      <w:r>
        <w:rPr>
          <w:rFonts w:ascii="Book Antiqua"/>
          <w:i w:val="1"/>
          <w:iCs w:val="1"/>
          <w:rtl w:val="0"/>
          <w:lang w:val="it-IT"/>
        </w:rPr>
        <w:t xml:space="preserve">holding </w:t>
      </w:r>
      <w:r>
        <w:rPr>
          <w:rFonts w:ascii="Book Antiqua"/>
          <w:rtl w:val="0"/>
          <w:lang w:val="it-IT"/>
        </w:rPr>
        <w:t>le cui ramificazioni potrebbero ancor di pi</w:t>
      </w:r>
      <w:r>
        <w:rPr>
          <w:rFonts w:hAnsi="Book Antiqua" w:hint="default"/>
          <w:rtl w:val="0"/>
          <w:lang w:val="it-IT"/>
        </w:rPr>
        <w:t xml:space="preserve">ù </w:t>
      </w:r>
      <w:r>
        <w:rPr>
          <w:rFonts w:ascii="Book Antiqua"/>
          <w:rtl w:val="0"/>
          <w:lang w:val="it-IT"/>
        </w:rPr>
        <w:t>essere tentacolari ove si esplorassero i successivi livelli di controllo aziendale.</w:t>
      </w:r>
    </w:p>
    <w:p>
      <w:pPr>
        <w:pStyle w:val="Normal"/>
        <w:keepNext w:val="1"/>
        <w:ind w:left="567" w:right="567" w:firstLine="0"/>
        <w:jc w:val="both"/>
        <w:rPr>
          <w:rFonts w:ascii="Book Antiqua" w:cs="Book Antiqua" w:hAnsi="Book Antiqua" w:eastAsia="Book Antiqua"/>
        </w:rPr>
      </w:pPr>
      <w:r>
        <w:rPr>
          <w:rFonts w:ascii="Book Antiqua"/>
          <w:rtl w:val="0"/>
          <w:lang w:val="it-IT"/>
        </w:rPr>
        <w:t>Non sar</w:t>
      </w:r>
      <w:r>
        <w:rPr>
          <w:rFonts w:hAnsi="Book Antiqua" w:hint="default"/>
          <w:rtl w:val="0"/>
          <w:lang w:val="it-IT"/>
        </w:rPr>
        <w:t xml:space="preserve">à </w:t>
      </w:r>
      <w:r>
        <w:rPr>
          <w:rFonts w:ascii="Book Antiqua"/>
          <w:rtl w:val="0"/>
          <w:lang w:val="it-IT"/>
        </w:rPr>
        <w:t>sfuggito che nel grafico 4 sono state individuate all</w:t>
      </w:r>
      <w:r>
        <w:rPr>
          <w:rFonts w:hAnsi="Book Antiqua" w:hint="default"/>
          <w:rtl w:val="0"/>
          <w:lang w:val="it-IT"/>
        </w:rPr>
        <w:t>’</w:t>
      </w:r>
      <w:r>
        <w:rPr>
          <w:rFonts w:ascii="Book Antiqua"/>
          <w:rtl w:val="0"/>
          <w:lang w:val="it-IT"/>
        </w:rPr>
        <w:t xml:space="preserve">interno del gruppo societario due macroaree, opportunamente evidenziate con altrettanti riquadri: in questi ultimi sono sostanzialmente racchiusi i </w:t>
      </w:r>
      <w:r>
        <w:rPr>
          <w:rFonts w:ascii="Book Antiqua"/>
          <w:i w:val="1"/>
          <w:iCs w:val="1"/>
          <w:rtl w:val="0"/>
          <w:lang w:val="it-IT"/>
        </w:rPr>
        <w:t xml:space="preserve">cluster </w:t>
      </w:r>
      <w:r>
        <w:rPr>
          <w:rFonts w:ascii="Book Antiqua"/>
          <w:rtl w:val="0"/>
          <w:lang w:val="it-IT"/>
        </w:rPr>
        <w:t>aziendali rappresentativi delle filiere di controllo ritenute di maggiore interesse.</w:t>
      </w:r>
    </w:p>
    <w:p>
      <w:pPr>
        <w:pStyle w:val="Normal"/>
        <w:keepNext w:val="1"/>
        <w:ind w:left="567" w:right="567" w:firstLine="0"/>
        <w:jc w:val="both"/>
        <w:outlineLvl w:val="0"/>
        <w:rPr>
          <w:rFonts w:ascii="Book Antiqua" w:cs="Book Antiqua" w:hAnsi="Book Antiqua" w:eastAsia="Book Antiqua"/>
        </w:rPr>
      </w:pPr>
      <w:r>
        <w:rPr>
          <w:rFonts w:ascii="Book Antiqua"/>
          <w:rtl w:val="0"/>
          <w:lang w:val="it-IT"/>
        </w:rPr>
        <w:t>Per quanto attiene al riquadro 1, esso si riferisce alle aziende coinvolte, a vario titolo, nella gestione del sito di Malagrotta, intendendosi per esso l</w:t>
      </w:r>
      <w:r>
        <w:rPr>
          <w:rFonts w:hAnsi="Book Antiqua" w:hint="default"/>
          <w:rtl w:val="0"/>
          <w:lang w:val="it-IT"/>
        </w:rPr>
        <w:t>’</w:t>
      </w:r>
      <w:r>
        <w:rPr>
          <w:rFonts w:ascii="Book Antiqua"/>
          <w:rtl w:val="0"/>
          <w:lang w:val="it-IT"/>
        </w:rPr>
        <w:t>insieme di impianti ivi ubicati.</w:t>
      </w:r>
    </w:p>
    <w:p>
      <w:pPr>
        <w:pStyle w:val="Normal"/>
        <w:keepNext w:val="1"/>
        <w:ind w:left="567" w:right="567" w:firstLine="0"/>
        <w:jc w:val="both"/>
        <w:outlineLvl w:val="0"/>
        <w:rPr>
          <w:rFonts w:ascii="Book Antiqua" w:cs="Book Antiqua" w:hAnsi="Book Antiqua" w:eastAsia="Book Antiqua"/>
        </w:rPr>
      </w:pPr>
      <w:r>
        <w:rPr>
          <w:rFonts w:ascii="Book Antiqua"/>
          <w:rtl w:val="0"/>
          <w:lang w:val="it-IT"/>
        </w:rPr>
        <w:t xml:space="preserve">Per una migliore comprensione, nel grafico che segue </w:t>
      </w:r>
      <w:r>
        <w:rPr>
          <w:rFonts w:hAnsi="Book Antiqua" w:hint="default"/>
          <w:rtl w:val="0"/>
          <w:lang w:val="it-IT"/>
        </w:rPr>
        <w:t xml:space="preserve">è </w:t>
      </w:r>
      <w:r>
        <w:rPr>
          <w:rFonts w:ascii="Book Antiqua"/>
          <w:rtl w:val="0"/>
          <w:lang w:val="it-IT"/>
        </w:rPr>
        <w:t>stata particolareggiata la filiera di controllo del sito di Malagrotta.</w:t>
      </w:r>
    </w:p>
    <w:p>
      <w:pPr>
        <w:pStyle w:val="Normal"/>
        <w:keepNext w:val="1"/>
        <w:ind w:left="567" w:right="567" w:firstLine="0"/>
        <w:jc w:val="both"/>
        <w:outlineLvl w:val="0"/>
        <w:rPr>
          <w:rFonts w:ascii="Book Antiqua" w:cs="Book Antiqua" w:hAnsi="Book Antiqua" w:eastAsia="Book Antiqua"/>
        </w:rPr>
      </w:pPr>
    </w:p>
    <w:p>
      <w:pPr>
        <w:pStyle w:val="Normal"/>
        <w:keepNext w:val="1"/>
        <w:ind w:left="567" w:right="567" w:firstLine="0"/>
        <w:jc w:val="both"/>
        <w:rPr>
          <w:rFonts w:ascii="Book Antiqua" w:cs="Book Antiqua" w:hAnsi="Book Antiqua" w:eastAsia="Book Antiqua"/>
          <w:sz w:val="22"/>
          <w:szCs w:val="22"/>
        </w:rPr>
      </w:pPr>
      <w:r>
        <w:rPr>
          <w:rFonts w:ascii="Book Antiqua"/>
          <w:i w:val="1"/>
          <w:iCs w:val="1"/>
          <w:sz w:val="22"/>
          <w:szCs w:val="22"/>
          <w:rtl w:val="0"/>
          <w:lang w:val="it-IT"/>
        </w:rPr>
        <w:t xml:space="preserve">Grafico 5 </w:t>
      </w:r>
      <w:r>
        <w:rPr>
          <w:rFonts w:hAnsi="Book Antiqua" w:hint="default"/>
          <w:i w:val="1"/>
          <w:iCs w:val="1"/>
          <w:sz w:val="22"/>
          <w:szCs w:val="22"/>
          <w:rtl w:val="0"/>
          <w:lang w:val="it-IT"/>
        </w:rPr>
        <w:t xml:space="preserve">– </w:t>
      </w:r>
      <w:r>
        <w:rPr>
          <w:rFonts w:ascii="Book Antiqua"/>
          <w:i w:val="1"/>
          <w:iCs w:val="1"/>
          <w:sz w:val="22"/>
          <w:szCs w:val="22"/>
          <w:rtl w:val="0"/>
          <w:lang w:val="it-IT"/>
        </w:rPr>
        <w:t>Filiera societaria E. Giovi S.r.l. con rispettivi ruoli aziendali</w:t>
      </w:r>
    </w:p>
    <w:p>
      <w:pPr>
        <w:pStyle w:val="Normal"/>
        <w:keepNext w:val="1"/>
        <w:ind w:left="567" w:right="567" w:firstLine="0"/>
        <w:jc w:val="both"/>
        <w:rPr>
          <w:rFonts w:ascii="Book Antiqua" w:cs="Book Antiqua" w:hAnsi="Book Antiqua" w:eastAsia="Book Antiqua"/>
        </w:rPr>
      </w:pPr>
    </w:p>
    <w:p>
      <w:pPr>
        <w:pStyle w:val="Normal"/>
        <w:keepNext w:val="1"/>
        <w:jc w:val="both"/>
        <w:rPr>
          <w:rFonts w:ascii="Book Antiqua" w:cs="Book Antiqua" w:hAnsi="Book Antiqua" w:eastAsia="Book Antiqua"/>
          <w:sz w:val="22"/>
          <w:szCs w:val="22"/>
        </w:rPr>
      </w:pPr>
      <w:r>
        <w:rPr>
          <w:rFonts w:ascii="Book Antiqua" w:cs="Book Antiqua" w:hAnsi="Book Antiqua" w:eastAsia="Book Antiqua"/>
          <w:sz w:val="22"/>
          <w:szCs w:val="22"/>
          <w:rtl w:val="0"/>
        </w:rPr>
        <w:drawing>
          <wp:inline distT="0" distB="0" distL="0" distR="0">
            <wp:extent cx="6064250" cy="4876800"/>
            <wp:effectExtent l="0" t="0" r="0" b="0"/>
            <wp:docPr id="1073741872" name="officeArt object"/>
            <wp:cNvGraphicFramePr/>
            <a:graphic xmlns:a="http://schemas.openxmlformats.org/drawingml/2006/main">
              <a:graphicData uri="http://schemas.openxmlformats.org/drawingml/2006/picture">
                <pic:pic xmlns:pic="http://schemas.openxmlformats.org/drawingml/2006/picture">
                  <pic:nvPicPr>
                    <pic:cNvPr id="1073741872" name="image46.png"/>
                    <pic:cNvPicPr/>
                  </pic:nvPicPr>
                  <pic:blipFill>
                    <a:blip r:embed="rId56">
                      <a:extLst/>
                    </a:blip>
                    <a:stretch>
                      <a:fillRect/>
                    </a:stretch>
                  </pic:blipFill>
                  <pic:spPr>
                    <a:xfrm>
                      <a:off x="0" y="0"/>
                      <a:ext cx="6064250" cy="4876800"/>
                    </a:xfrm>
                    <a:prstGeom prst="rect">
                      <a:avLst/>
                    </a:prstGeom>
                    <a:ln w="6350" cap="flat">
                      <a:solidFill>
                        <a:srgbClr val="000000"/>
                      </a:solidFill>
                      <a:prstDash val="solid"/>
                      <a:miter lim="800000"/>
                    </a:ln>
                    <a:effectLst/>
                  </pic:spPr>
                </pic:pic>
              </a:graphicData>
            </a:graphic>
          </wp:inline>
        </w:drawing>
      </w:r>
    </w:p>
    <w:p>
      <w:pPr>
        <w:pStyle w:val="Normal"/>
        <w:keepNext w:val="1"/>
        <w:ind w:left="567" w:right="567" w:firstLine="0"/>
        <w:jc w:val="both"/>
        <w:rPr>
          <w:rFonts w:ascii="Book Antiqua" w:cs="Book Antiqua" w:hAnsi="Book Antiqua" w:eastAsia="Book Antiqua"/>
        </w:rPr>
      </w:pPr>
    </w:p>
    <w:p>
      <w:pPr>
        <w:pStyle w:val="Normal"/>
        <w:keepNext w:val="1"/>
        <w:ind w:left="567" w:right="567" w:firstLine="0"/>
        <w:jc w:val="both"/>
        <w:outlineLvl w:val="0"/>
        <w:rPr>
          <w:rFonts w:ascii="Book Antiqua" w:cs="Book Antiqua" w:hAnsi="Book Antiqua" w:eastAsia="Book Antiqua"/>
        </w:rPr>
      </w:pPr>
      <w:r>
        <w:rPr>
          <w:rFonts w:ascii="Book Antiqua"/>
          <w:rtl w:val="0"/>
          <w:lang w:val="it-IT"/>
        </w:rPr>
        <w:t>Risulta evidente anche graficamente che il controllo degli impianti ubicati in Malagrotta sia concentrato nella E. Giovi Srl: non sfuggir</w:t>
      </w:r>
      <w:r>
        <w:rPr>
          <w:rFonts w:hAnsi="Book Antiqua" w:hint="default"/>
          <w:rtl w:val="0"/>
          <w:lang w:val="it-IT"/>
        </w:rPr>
        <w:t xml:space="preserve">à </w:t>
      </w:r>
      <w:r>
        <w:rPr>
          <w:rFonts w:ascii="Book Antiqua"/>
          <w:rtl w:val="0"/>
          <w:lang w:val="it-IT"/>
        </w:rPr>
        <w:t xml:space="preserve">che il Co.La.Ri, storico proprietario della discarica di Malagrotta, </w:t>
      </w:r>
      <w:r>
        <w:rPr>
          <w:rFonts w:hAnsi="Book Antiqua" w:hint="default"/>
          <w:rtl w:val="0"/>
          <w:lang w:val="it-IT"/>
        </w:rPr>
        <w:t xml:space="preserve">è </w:t>
      </w:r>
      <w:r>
        <w:rPr>
          <w:rFonts w:ascii="Book Antiqua"/>
          <w:rtl w:val="0"/>
          <w:lang w:val="it-IT"/>
        </w:rPr>
        <w:t>partecipato dalla E. Giovi S.r.l. e dalle Officine Malagrotta S.r.l, quest</w:t>
      </w:r>
      <w:r>
        <w:rPr>
          <w:rFonts w:hAnsi="Book Antiqua" w:hint="default"/>
          <w:rtl w:val="0"/>
          <w:lang w:val="it-IT"/>
        </w:rPr>
        <w:t>’</w:t>
      </w:r>
      <w:r>
        <w:rPr>
          <w:rFonts w:ascii="Book Antiqua"/>
          <w:rtl w:val="0"/>
          <w:lang w:val="it-IT"/>
        </w:rPr>
        <w:t>ultima, a sua volta, interamente controllata dalla stessa E. Giovi S.r.l.</w:t>
      </w:r>
    </w:p>
    <w:p>
      <w:pPr>
        <w:pStyle w:val="Normal"/>
        <w:keepNext w:val="1"/>
        <w:ind w:left="567" w:right="567" w:firstLine="0"/>
        <w:jc w:val="both"/>
        <w:outlineLvl w:val="0"/>
        <w:rPr>
          <w:rFonts w:ascii="Book Antiqua" w:cs="Book Antiqua" w:hAnsi="Book Antiqua" w:eastAsia="Book Antiqua"/>
        </w:rPr>
      </w:pPr>
      <w:r>
        <w:rPr>
          <w:rFonts w:ascii="Book Antiqua"/>
          <w:rtl w:val="0"/>
          <w:lang w:val="it-IT"/>
        </w:rPr>
        <w:t>La met</w:t>
      </w:r>
      <w:r>
        <w:rPr>
          <w:rFonts w:hAnsi="Book Antiqua" w:hint="default"/>
          <w:rtl w:val="0"/>
          <w:lang w:val="it-IT"/>
        </w:rPr>
        <w:t xml:space="preserve">à </w:t>
      </w:r>
      <w:r>
        <w:rPr>
          <w:rFonts w:ascii="Book Antiqua"/>
          <w:rtl w:val="0"/>
          <w:lang w:val="it-IT"/>
        </w:rPr>
        <w:t>delle quote si partecipazione al capitale sociale della E. Giovi S.r.l., proprietaria degli impianti TMB Malagrotta 1 e 2, sono detenute dalle sorelle Monica e Donatella Cerroni. In tale contesto, emergono anche le figure di Giovi Piero e Troiani Anna Maria Rachele (quali soci della E. Giovi S.r.l.), di Scaglione Carmelina (amministratore unico della E. Giovi S.r.l.) e di Saioni Candido (amministratore unico di Co.La.Ri), di cui si dir</w:t>
      </w:r>
      <w:r>
        <w:rPr>
          <w:rFonts w:hAnsi="Book Antiqua" w:hint="default"/>
          <w:rtl w:val="0"/>
          <w:lang w:val="it-IT"/>
        </w:rPr>
        <w:t xml:space="preserve">à </w:t>
      </w:r>
      <w:r>
        <w:rPr>
          <w:rFonts w:ascii="Book Antiqua"/>
          <w:rtl w:val="0"/>
          <w:lang w:val="it-IT"/>
        </w:rPr>
        <w:t>diffusamente in seguito.</w:t>
      </w:r>
    </w:p>
    <w:p>
      <w:pPr>
        <w:pStyle w:val="Normal"/>
        <w:keepNext w:val="1"/>
        <w:ind w:left="567" w:right="567" w:firstLine="0"/>
        <w:jc w:val="both"/>
        <w:outlineLvl w:val="0"/>
        <w:rPr>
          <w:rFonts w:ascii="Book Antiqua" w:cs="Book Antiqua" w:hAnsi="Book Antiqua" w:eastAsia="Book Antiqua"/>
        </w:rPr>
      </w:pPr>
      <w:r>
        <w:rPr>
          <w:rFonts w:ascii="Book Antiqua"/>
          <w:rtl w:val="0"/>
          <w:lang w:val="it-IT"/>
        </w:rPr>
        <w:t>Il riquadro 2 del grafico 4 afferisce, invece, alle aziende controllate dalle sorelle Monica e Donatella Cerroni attraverso la loro partecipazione totalitaria nella Sorain Cecchini Spa che, per ci</w:t>
      </w:r>
      <w:r>
        <w:rPr>
          <w:rFonts w:hAnsi="Book Antiqua" w:hint="default"/>
          <w:rtl w:val="0"/>
          <w:lang w:val="it-IT"/>
        </w:rPr>
        <w:t xml:space="preserve">ò </w:t>
      </w:r>
      <w:r>
        <w:rPr>
          <w:rFonts w:ascii="Book Antiqua"/>
          <w:rtl w:val="0"/>
          <w:lang w:val="it-IT"/>
        </w:rPr>
        <w:t>che si dir</w:t>
      </w:r>
      <w:r>
        <w:rPr>
          <w:rFonts w:hAnsi="Book Antiqua" w:hint="default"/>
          <w:rtl w:val="0"/>
          <w:lang w:val="it-IT"/>
        </w:rPr>
        <w:t xml:space="preserve">à </w:t>
      </w:r>
      <w:r>
        <w:rPr>
          <w:rFonts w:ascii="Book Antiqua"/>
          <w:rtl w:val="0"/>
          <w:lang w:val="it-IT"/>
        </w:rPr>
        <w:t>in seguito, pu</w:t>
      </w:r>
      <w:r>
        <w:rPr>
          <w:rFonts w:hAnsi="Book Antiqua" w:hint="default"/>
          <w:rtl w:val="0"/>
          <w:lang w:val="it-IT"/>
        </w:rPr>
        <w:t xml:space="preserve">ò </w:t>
      </w:r>
      <w:r>
        <w:rPr>
          <w:rFonts w:ascii="Book Antiqua"/>
          <w:rtl w:val="0"/>
          <w:lang w:val="it-IT"/>
        </w:rPr>
        <w:t xml:space="preserve">definirsi la </w:t>
      </w:r>
      <w:r>
        <w:rPr>
          <w:rFonts w:hAnsi="Book Antiqua" w:hint="default"/>
          <w:rtl w:val="0"/>
          <w:lang w:val="it-IT"/>
        </w:rPr>
        <w:t>“</w:t>
      </w:r>
      <w:r>
        <w:rPr>
          <w:rFonts w:ascii="Book Antiqua"/>
          <w:rtl w:val="0"/>
          <w:lang w:val="it-IT"/>
        </w:rPr>
        <w:t>cassaforte aziendale</w:t>
      </w:r>
      <w:r>
        <w:rPr>
          <w:rFonts w:hAnsi="Book Antiqua" w:hint="default"/>
          <w:rtl w:val="0"/>
          <w:lang w:val="it-IT"/>
        </w:rPr>
        <w:t xml:space="preserve">” </w:t>
      </w:r>
      <w:r>
        <w:rPr>
          <w:rFonts w:ascii="Book Antiqua"/>
          <w:rtl w:val="0"/>
          <w:lang w:val="it-IT"/>
        </w:rPr>
        <w:t xml:space="preserve">della </w:t>
      </w:r>
      <w:r>
        <w:rPr>
          <w:rFonts w:ascii="Book Antiqua"/>
          <w:i w:val="1"/>
          <w:iCs w:val="1"/>
          <w:rtl w:val="0"/>
          <w:lang w:val="it-IT"/>
        </w:rPr>
        <w:t>holding</w:t>
      </w:r>
      <w:r>
        <w:rPr>
          <w:rFonts w:ascii="Book Antiqua"/>
          <w:rtl w:val="0"/>
          <w:lang w:val="it-IT"/>
        </w:rPr>
        <w:t>.</w:t>
      </w:r>
    </w:p>
    <w:p>
      <w:pPr>
        <w:pStyle w:val="Normal"/>
        <w:keepNext w:val="1"/>
        <w:ind w:left="567" w:right="567" w:firstLine="0"/>
        <w:jc w:val="both"/>
        <w:outlineLvl w:val="0"/>
        <w:rPr>
          <w:rFonts w:ascii="Book Antiqua" w:cs="Book Antiqua" w:hAnsi="Book Antiqua" w:eastAsia="Book Antiqua"/>
        </w:rPr>
      </w:pPr>
      <w:r>
        <w:rPr>
          <w:rFonts w:ascii="Book Antiqua"/>
          <w:rtl w:val="0"/>
          <w:lang w:val="it-IT"/>
        </w:rPr>
        <w:t>Il grafico che segue evidenzia, appunto, le concatenazioni societarie che scaturiscono da tale controllo alla data dell</w:t>
      </w:r>
      <w:r>
        <w:rPr>
          <w:rFonts w:hAnsi="Book Antiqua" w:hint="default"/>
          <w:rtl w:val="0"/>
          <w:lang w:val="it-IT"/>
        </w:rPr>
        <w:t>’</w:t>
      </w:r>
      <w:r>
        <w:rPr>
          <w:rFonts w:ascii="Book Antiqua"/>
          <w:rtl w:val="0"/>
          <w:lang w:val="it-IT"/>
        </w:rPr>
        <w:t>11 maggio 2017.</w:t>
      </w:r>
    </w:p>
    <w:p>
      <w:pPr>
        <w:pStyle w:val="Normal"/>
        <w:keepNext w:val="1"/>
        <w:ind w:left="567" w:right="567" w:firstLine="0"/>
        <w:jc w:val="both"/>
        <w:rPr>
          <w:rFonts w:ascii="Book Antiqua" w:cs="Book Antiqua" w:hAnsi="Book Antiqua" w:eastAsia="Book Antiqua"/>
        </w:rPr>
      </w:pPr>
    </w:p>
    <w:p>
      <w:pPr>
        <w:pStyle w:val="Normal"/>
        <w:keepNext w:val="1"/>
        <w:ind w:left="567" w:right="567" w:firstLine="0"/>
        <w:jc w:val="both"/>
        <w:rPr>
          <w:rFonts w:ascii="Book Antiqua" w:cs="Book Antiqua" w:hAnsi="Book Antiqua" w:eastAsia="Book Antiqua"/>
          <w:sz w:val="22"/>
          <w:szCs w:val="22"/>
        </w:rPr>
      </w:pPr>
      <w:r>
        <w:rPr>
          <w:rFonts w:ascii="Book Antiqua"/>
          <w:i w:val="1"/>
          <w:iCs w:val="1"/>
          <w:sz w:val="22"/>
          <w:szCs w:val="22"/>
          <w:rtl w:val="0"/>
          <w:lang w:val="it-IT"/>
        </w:rPr>
        <w:t xml:space="preserve">Grafico 6 </w:t>
      </w:r>
      <w:r>
        <w:rPr>
          <w:rFonts w:hAnsi="Book Antiqua" w:hint="default"/>
          <w:i w:val="1"/>
          <w:iCs w:val="1"/>
          <w:sz w:val="22"/>
          <w:szCs w:val="22"/>
          <w:rtl w:val="0"/>
          <w:lang w:val="it-IT"/>
        </w:rPr>
        <w:t xml:space="preserve">– </w:t>
      </w:r>
      <w:r>
        <w:rPr>
          <w:rFonts w:ascii="Book Antiqua"/>
          <w:i w:val="1"/>
          <w:iCs w:val="1"/>
          <w:sz w:val="22"/>
          <w:szCs w:val="22"/>
          <w:rtl w:val="0"/>
          <w:lang w:val="it-IT"/>
        </w:rPr>
        <w:t>Filiera societaria Sorain Cecchini S.p.A.</w:t>
      </w:r>
    </w:p>
    <w:p>
      <w:pPr>
        <w:pStyle w:val="Normal"/>
        <w:keepNext w:val="1"/>
        <w:ind w:left="567" w:right="567" w:firstLine="0"/>
        <w:jc w:val="both"/>
        <w:rPr>
          <w:rFonts w:ascii="Book Antiqua" w:cs="Book Antiqua" w:hAnsi="Book Antiqua" w:eastAsia="Book Antiqua"/>
        </w:rPr>
      </w:pPr>
    </w:p>
    <w:p>
      <w:pPr>
        <w:pStyle w:val="Normal"/>
        <w:keepNext w:val="1"/>
        <w:pBdr>
          <w:top w:val="single" w:color="000000" w:sz="4" w:space="0" w:shadow="0" w:frame="0"/>
          <w:left w:val="single" w:color="000000" w:sz="4" w:space="0" w:shadow="0" w:frame="0"/>
          <w:bottom w:val="single" w:color="000000" w:sz="4" w:space="0" w:shadow="0" w:frame="0"/>
          <w:right w:val="single" w:color="000000" w:sz="4" w:space="0" w:shadow="0" w:frame="0"/>
        </w:pBdr>
        <w:jc w:val="both"/>
        <w:rPr>
          <w:rFonts w:ascii="Book Antiqua" w:cs="Book Antiqua" w:hAnsi="Book Antiqua" w:eastAsia="Book Antiqua"/>
        </w:rPr>
      </w:pPr>
      <w:r>
        <w:rPr>
          <w:rFonts w:ascii="Book Antiqua" w:cs="Book Antiqua" w:hAnsi="Book Antiqua" w:eastAsia="Book Antiqua"/>
          <w:rtl w:val="0"/>
        </w:rPr>
        <w:drawing>
          <wp:inline distT="0" distB="0" distL="0" distR="0">
            <wp:extent cx="6464300" cy="4806950"/>
            <wp:effectExtent l="0" t="0" r="0" b="0"/>
            <wp:docPr id="1073741873" name="officeArt object"/>
            <wp:cNvGraphicFramePr/>
            <a:graphic xmlns:a="http://schemas.openxmlformats.org/drawingml/2006/main">
              <a:graphicData uri="http://schemas.openxmlformats.org/drawingml/2006/picture">
                <pic:pic xmlns:pic="http://schemas.openxmlformats.org/drawingml/2006/picture">
                  <pic:nvPicPr>
                    <pic:cNvPr id="1073741873" name="image47.png"/>
                    <pic:cNvPicPr/>
                  </pic:nvPicPr>
                  <pic:blipFill>
                    <a:blip r:embed="rId57">
                      <a:extLst/>
                    </a:blip>
                    <a:stretch>
                      <a:fillRect/>
                    </a:stretch>
                  </pic:blipFill>
                  <pic:spPr>
                    <a:xfrm>
                      <a:off x="0" y="0"/>
                      <a:ext cx="6464300" cy="4806950"/>
                    </a:xfrm>
                    <a:prstGeom prst="rect">
                      <a:avLst/>
                    </a:prstGeom>
                    <a:ln w="12700" cap="flat">
                      <a:noFill/>
                      <a:miter lim="400000"/>
                    </a:ln>
                    <a:effectLst/>
                  </pic:spPr>
                </pic:pic>
              </a:graphicData>
            </a:graphic>
          </wp:inline>
        </w:drawing>
      </w:r>
    </w:p>
    <w:p>
      <w:pPr>
        <w:pStyle w:val="Normal"/>
        <w:keepNext w:val="1"/>
        <w:ind w:left="567" w:right="567" w:firstLine="0"/>
        <w:jc w:val="both"/>
        <w:rPr>
          <w:rFonts w:ascii="Book Antiqua" w:cs="Book Antiqua" w:hAnsi="Book Antiqua" w:eastAsia="Book Antiqua"/>
        </w:rPr>
      </w:pPr>
    </w:p>
    <w:p>
      <w:pPr>
        <w:pStyle w:val="Normal"/>
        <w:keepNext w:val="1"/>
        <w:ind w:left="567" w:right="567" w:firstLine="0"/>
        <w:jc w:val="both"/>
        <w:rPr>
          <w:rFonts w:ascii="Book Antiqua" w:cs="Book Antiqua" w:hAnsi="Book Antiqua" w:eastAsia="Book Antiqua"/>
        </w:rPr>
      </w:pPr>
      <w:r>
        <w:rPr>
          <w:rFonts w:ascii="Book Antiqua"/>
          <w:rtl w:val="0"/>
          <w:lang w:val="it-IT"/>
        </w:rPr>
        <w:t>Come si pu</w:t>
      </w:r>
      <w:r>
        <w:rPr>
          <w:rFonts w:hAnsi="Book Antiqua" w:hint="default"/>
          <w:rtl w:val="0"/>
          <w:lang w:val="it-IT"/>
        </w:rPr>
        <w:t xml:space="preserve">ò </w:t>
      </w:r>
      <w:r>
        <w:rPr>
          <w:rFonts w:ascii="Book Antiqua"/>
          <w:rtl w:val="0"/>
          <w:lang w:val="it-IT"/>
        </w:rPr>
        <w:t>notare, il possesso totalitario delle azioni della Sorain Cecchini Spa permette alle sorelle Cerroni, attraverso la controllata Sorain Cecchini Ambiente Spa, di avere partecipazioni qualificate, tra le altre, nella Sct Sorain Cecchini Tecno S.r.l. e nella impresa a. Cecchini &amp; C. S.r.l.; quest</w:t>
      </w:r>
      <w:r>
        <w:rPr>
          <w:rFonts w:hAnsi="Book Antiqua" w:hint="default"/>
          <w:rtl w:val="0"/>
          <w:lang w:val="it-IT"/>
        </w:rPr>
        <w:t>’</w:t>
      </w:r>
      <w:r>
        <w:rPr>
          <w:rFonts w:ascii="Book Antiqua"/>
          <w:rtl w:val="0"/>
          <w:lang w:val="it-IT"/>
        </w:rPr>
        <w:t>ultima, a sua volta, ha avuto una partecipazione maggioritaria nella Gesenu S.p.A, nota azienda che opera nel ciclo dei rifiuti, gi</w:t>
      </w:r>
      <w:r>
        <w:rPr>
          <w:rFonts w:hAnsi="Book Antiqua" w:hint="default"/>
          <w:rtl w:val="0"/>
          <w:lang w:val="it-IT"/>
        </w:rPr>
        <w:t xml:space="preserve">à </w:t>
      </w:r>
      <w:r>
        <w:rPr>
          <w:rFonts w:ascii="Book Antiqua"/>
          <w:rtl w:val="0"/>
          <w:lang w:val="it-IT"/>
        </w:rPr>
        <w:t>riconducibile ai Cerroni.</w:t>
      </w:r>
    </w:p>
    <w:p>
      <w:pPr>
        <w:pStyle w:val="Normal"/>
        <w:keepNext w:val="1"/>
        <w:ind w:left="567" w:right="567" w:firstLine="0"/>
        <w:jc w:val="both"/>
        <w:rPr>
          <w:rFonts w:ascii="Book Antiqua" w:cs="Book Antiqua" w:hAnsi="Book Antiqua" w:eastAsia="Book Antiqua"/>
        </w:rPr>
      </w:pPr>
      <w:r>
        <w:rPr>
          <w:rFonts w:ascii="Book Antiqua"/>
          <w:rtl w:val="0"/>
          <w:lang w:val="it-IT"/>
        </w:rPr>
        <w:t>Tutte le imprese citate - in ragione della riconducibilit</w:t>
      </w:r>
      <w:r>
        <w:rPr>
          <w:rFonts w:hAnsi="Book Antiqua" w:hint="default"/>
          <w:rtl w:val="0"/>
          <w:lang w:val="it-IT"/>
        </w:rPr>
        <w:t xml:space="preserve">à </w:t>
      </w:r>
      <w:r>
        <w:rPr>
          <w:rFonts w:ascii="Book Antiqua"/>
          <w:rtl w:val="0"/>
          <w:lang w:val="it-IT"/>
        </w:rPr>
        <w:t>ad un unico proprietario, la Sorain Cecchini S.p.A. - costituiscono formalmente un gruppo societario autonomo all</w:t>
      </w:r>
      <w:r>
        <w:rPr>
          <w:rFonts w:hAnsi="Book Antiqua" w:hint="default"/>
          <w:rtl w:val="0"/>
          <w:lang w:val="it-IT"/>
        </w:rPr>
        <w:t>’</w:t>
      </w:r>
      <w:r>
        <w:rPr>
          <w:rFonts w:ascii="Book Antiqua"/>
          <w:rtl w:val="0"/>
          <w:lang w:val="it-IT"/>
        </w:rPr>
        <w:t>interno della pi</w:t>
      </w:r>
      <w:r>
        <w:rPr>
          <w:rFonts w:hAnsi="Book Antiqua" w:hint="default"/>
          <w:rtl w:val="0"/>
          <w:lang w:val="it-IT"/>
        </w:rPr>
        <w:t xml:space="preserve">ù </w:t>
      </w:r>
      <w:r>
        <w:rPr>
          <w:rFonts w:ascii="Book Antiqua"/>
          <w:rtl w:val="0"/>
          <w:lang w:val="it-IT"/>
        </w:rPr>
        <w:t xml:space="preserve">ampia </w:t>
      </w:r>
      <w:r>
        <w:rPr>
          <w:rFonts w:ascii="Book Antiqua"/>
          <w:i w:val="1"/>
          <w:iCs w:val="1"/>
          <w:rtl w:val="0"/>
          <w:lang w:val="it-IT"/>
        </w:rPr>
        <w:t xml:space="preserve">holding </w:t>
      </w:r>
      <w:r>
        <w:rPr>
          <w:rFonts w:ascii="Book Antiqua"/>
          <w:rtl w:val="0"/>
          <w:lang w:val="it-IT"/>
        </w:rPr>
        <w:t>dei Cerroni</w:t>
      </w:r>
      <w:r>
        <w:rPr>
          <w:rFonts w:ascii="Book Antiqua" w:cs="Book Antiqua" w:hAnsi="Book Antiqua" w:eastAsia="Book Antiqua"/>
          <w:vertAlign w:val="superscript"/>
          <w:rtl w:val="0"/>
        </w:rPr>
        <w:footnoteReference w:id="206"/>
      </w:r>
      <w:r>
        <w:rPr>
          <w:rFonts w:ascii="Book Antiqua"/>
          <w:rtl w:val="0"/>
          <w:lang w:val="it-IT"/>
        </w:rPr>
        <w:t>, articolato sostanzialmente in due rami, ciascuno dei quali fortemente impegnato in diversi ambiti (costruzione impianti di trattamento e raccolta/smaltimento) del settore dei rifiuti.</w:t>
      </w:r>
    </w:p>
    <w:p>
      <w:pPr>
        <w:pStyle w:val="Normal"/>
        <w:keepNext w:val="1"/>
        <w:ind w:left="567" w:right="567" w:firstLine="0"/>
        <w:jc w:val="both"/>
        <w:rPr>
          <w:rFonts w:ascii="Book Antiqua" w:cs="Book Antiqua" w:hAnsi="Book Antiqua" w:eastAsia="Book Antiqua"/>
        </w:rPr>
      </w:pPr>
      <w:r>
        <w:rPr>
          <w:rFonts w:ascii="Book Antiqua"/>
          <w:rtl w:val="0"/>
          <w:lang w:val="it-IT"/>
        </w:rPr>
        <w:t xml:space="preserve">Da una parte si annoverano le imprese Sorain Cecchini, </w:t>
      </w:r>
      <w:r>
        <w:rPr>
          <w:rFonts w:ascii="Book Antiqua"/>
          <w:i w:val="1"/>
          <w:iCs w:val="1"/>
          <w:rtl w:val="0"/>
          <w:lang w:val="it-IT"/>
        </w:rPr>
        <w:t xml:space="preserve">leader </w:t>
      </w:r>
      <w:r>
        <w:rPr>
          <w:rFonts w:ascii="Book Antiqua"/>
          <w:rtl w:val="0"/>
          <w:lang w:val="it-IT"/>
        </w:rPr>
        <w:t>a livello internazionale nella costruzione di impianti per il trattamento dei rifiuti: dalla consultazione di fonti aperte</w:t>
      </w:r>
      <w:r>
        <w:rPr>
          <w:rFonts w:ascii="Book Antiqua" w:cs="Book Antiqua" w:hAnsi="Book Antiqua" w:eastAsia="Book Antiqua"/>
          <w:vertAlign w:val="superscript"/>
          <w:rtl w:val="0"/>
        </w:rPr>
        <w:footnoteReference w:id="207"/>
      </w:r>
      <w:r>
        <w:rPr>
          <w:rFonts w:ascii="Book Antiqua"/>
          <w:rtl w:val="0"/>
          <w:lang w:val="it-IT"/>
        </w:rPr>
        <w:t xml:space="preserve"> risultano specializzate nella progettazione di impianti molto diversificati per funzione, tecnologia e dimensione (bacini di biostabilizzazione della frazione organica, stabilimenti per il recupero e il riciclo di materiali, complessi per il trattamento integrato dei rifiuti con recupero di materiali e produzione di energia elettrica). Hanno, inoltre, realizzato pi</w:t>
      </w:r>
      <w:r>
        <w:rPr>
          <w:rFonts w:hAnsi="Book Antiqua" w:hint="default"/>
          <w:rtl w:val="0"/>
          <w:lang w:val="it-IT"/>
        </w:rPr>
        <w:t xml:space="preserve">ù </w:t>
      </w:r>
      <w:r>
        <w:rPr>
          <w:rFonts w:ascii="Book Antiqua"/>
          <w:rtl w:val="0"/>
          <w:lang w:val="it-IT"/>
        </w:rPr>
        <w:t>di 50 impianti per il riciclo e il trattamento dei rifiuti, oltre che in Italia, anche in Spagna, Argentina, Romania, Australia, Canada, Francia, Gran Bretagna, Emirati Arabi Uniti, Venezuela, Repubblica Ceca, Giappone: gli stessi impianti TMB di propriet</w:t>
      </w:r>
      <w:r>
        <w:rPr>
          <w:rFonts w:hAnsi="Book Antiqua" w:hint="default"/>
          <w:rtl w:val="0"/>
          <w:lang w:val="it-IT"/>
        </w:rPr>
        <w:t xml:space="preserve">à </w:t>
      </w:r>
      <w:r>
        <w:rPr>
          <w:rFonts w:ascii="Book Antiqua"/>
          <w:rtl w:val="0"/>
          <w:lang w:val="it-IT"/>
        </w:rPr>
        <w:t>di AMA S.p.A. (Salaria e Rocca Cencia) sono stati progettati e costruite dal gruppo Sorain Cecchini.</w:t>
      </w:r>
    </w:p>
    <w:p>
      <w:pPr>
        <w:pStyle w:val="Normal"/>
        <w:keepNext w:val="1"/>
        <w:ind w:left="567" w:right="567" w:firstLine="0"/>
        <w:jc w:val="both"/>
        <w:rPr>
          <w:rFonts w:ascii="Book Antiqua" w:cs="Book Antiqua" w:hAnsi="Book Antiqua" w:eastAsia="Book Antiqua"/>
        </w:rPr>
      </w:pPr>
      <w:r>
        <w:rPr>
          <w:rFonts w:ascii="Book Antiqua"/>
          <w:rtl w:val="0"/>
          <w:lang w:val="it-IT"/>
        </w:rPr>
        <w:t xml:space="preserve">Discorso a parte merita la Gesenu S.p.A.: nata nel 1980 con una </w:t>
      </w:r>
      <w:r>
        <w:rPr>
          <w:rFonts w:ascii="Book Antiqua"/>
          <w:i w:val="1"/>
          <w:iCs w:val="1"/>
          <w:rtl w:val="0"/>
          <w:lang w:val="it-IT"/>
        </w:rPr>
        <w:t xml:space="preserve">partnership </w:t>
      </w:r>
      <w:r>
        <w:rPr>
          <w:rFonts w:ascii="Book Antiqua"/>
          <w:rtl w:val="0"/>
          <w:lang w:val="it-IT"/>
        </w:rPr>
        <w:t xml:space="preserve">del comune di Perugia, </w:t>
      </w:r>
      <w:r>
        <w:rPr>
          <w:rFonts w:hAnsi="Book Antiqua" w:hint="default"/>
          <w:rtl w:val="0"/>
          <w:lang w:val="it-IT"/>
        </w:rPr>
        <w:t xml:space="preserve">è </w:t>
      </w:r>
      <w:r>
        <w:rPr>
          <w:rFonts w:ascii="Book Antiqua"/>
          <w:rtl w:val="0"/>
          <w:lang w:val="it-IT"/>
        </w:rPr>
        <w:t>via via diventata l</w:t>
      </w:r>
      <w:r>
        <w:rPr>
          <w:rFonts w:hAnsi="Book Antiqua" w:hint="default"/>
          <w:rtl w:val="0"/>
          <w:lang w:val="it-IT"/>
        </w:rPr>
        <w:t>’</w:t>
      </w:r>
      <w:r>
        <w:rPr>
          <w:rFonts w:ascii="Book Antiqua"/>
          <w:rtl w:val="0"/>
          <w:lang w:val="it-IT"/>
        </w:rPr>
        <w:t>azienda di riferimento dei Cerroni per la raccolta e lo smaltimento dei rifiuti.</w:t>
      </w:r>
    </w:p>
    <w:p>
      <w:pPr>
        <w:pStyle w:val="Normal"/>
        <w:keepNext w:val="1"/>
        <w:ind w:left="567" w:right="567" w:firstLine="0"/>
        <w:jc w:val="both"/>
        <w:rPr>
          <w:rFonts w:ascii="Book Antiqua" w:cs="Book Antiqua" w:hAnsi="Book Antiqua" w:eastAsia="Book Antiqua"/>
        </w:rPr>
      </w:pPr>
    </w:p>
    <w:p>
      <w:pPr>
        <w:pStyle w:val="Normal"/>
        <w:keepNext w:val="1"/>
        <w:ind w:left="567" w:right="567" w:firstLine="0"/>
        <w:jc w:val="both"/>
        <w:rPr>
          <w:rFonts w:ascii="Book Antiqua" w:cs="Book Antiqua" w:hAnsi="Book Antiqua" w:eastAsia="Book Antiqua"/>
          <w:sz w:val="22"/>
          <w:szCs w:val="22"/>
        </w:rPr>
      </w:pPr>
      <w:r>
        <w:rPr>
          <w:rFonts w:ascii="Book Antiqua"/>
          <w:i w:val="1"/>
          <w:iCs w:val="1"/>
          <w:sz w:val="22"/>
          <w:szCs w:val="22"/>
          <w:rtl w:val="0"/>
          <w:lang w:val="it-IT"/>
        </w:rPr>
        <w:t xml:space="preserve">Grafico 7 </w:t>
      </w:r>
      <w:r>
        <w:rPr>
          <w:rFonts w:hAnsi="Book Antiqua" w:hint="default"/>
          <w:i w:val="1"/>
          <w:iCs w:val="1"/>
          <w:sz w:val="22"/>
          <w:szCs w:val="22"/>
          <w:rtl w:val="0"/>
          <w:lang w:val="it-IT"/>
        </w:rPr>
        <w:t xml:space="preserve">– </w:t>
      </w:r>
      <w:r>
        <w:rPr>
          <w:rFonts w:ascii="Book Antiqua"/>
          <w:i w:val="1"/>
          <w:iCs w:val="1"/>
          <w:sz w:val="22"/>
          <w:szCs w:val="22"/>
          <w:rtl w:val="0"/>
          <w:lang w:val="it-IT"/>
        </w:rPr>
        <w:t>Filiera societaria Gesenu S.p.A. al 2015</w:t>
      </w:r>
    </w:p>
    <w:p>
      <w:pPr>
        <w:pStyle w:val="Normal"/>
        <w:keepNext w:val="1"/>
        <w:ind w:left="567" w:right="567" w:firstLine="0"/>
        <w:jc w:val="both"/>
        <w:rPr>
          <w:rFonts w:ascii="Book Antiqua" w:cs="Book Antiqua" w:hAnsi="Book Antiqua" w:eastAsia="Book Antiqua"/>
        </w:rPr>
      </w:pPr>
    </w:p>
    <w:p>
      <w:pPr>
        <w:pStyle w:val="Normal"/>
        <w:keepNext w:val="1"/>
        <w:pBdr>
          <w:top w:val="single" w:color="000000" w:sz="4" w:space="0" w:shadow="0" w:frame="0"/>
          <w:left w:val="single" w:color="000000" w:sz="4" w:space="0" w:shadow="0" w:frame="0"/>
          <w:bottom w:val="single" w:color="000000" w:sz="4" w:space="0" w:shadow="0" w:frame="0"/>
          <w:right w:val="single" w:color="000000" w:sz="4" w:space="0" w:shadow="0" w:frame="0"/>
        </w:pBdr>
        <w:jc w:val="both"/>
        <w:rPr>
          <w:rFonts w:ascii="Book Antiqua" w:cs="Book Antiqua" w:hAnsi="Book Antiqua" w:eastAsia="Book Antiqua"/>
        </w:rPr>
      </w:pPr>
      <w:r>
        <w:rPr>
          <w:rFonts w:ascii="Book Antiqua" w:cs="Book Antiqua" w:hAnsi="Book Antiqua" w:eastAsia="Book Antiqua"/>
          <w:rtl w:val="0"/>
        </w:rPr>
        <w:drawing>
          <wp:inline distT="0" distB="0" distL="0" distR="0">
            <wp:extent cx="6942666" cy="4710008"/>
            <wp:effectExtent l="0" t="0" r="0" b="0"/>
            <wp:docPr id="1073741874" name="officeArt object"/>
            <wp:cNvGraphicFramePr/>
            <a:graphic xmlns:a="http://schemas.openxmlformats.org/drawingml/2006/main">
              <a:graphicData uri="http://schemas.openxmlformats.org/drawingml/2006/picture">
                <pic:pic xmlns:pic="http://schemas.openxmlformats.org/drawingml/2006/picture">
                  <pic:nvPicPr>
                    <pic:cNvPr id="1073741874" name="image48.png"/>
                    <pic:cNvPicPr/>
                  </pic:nvPicPr>
                  <pic:blipFill>
                    <a:blip r:embed="rId58">
                      <a:extLst/>
                    </a:blip>
                    <a:stretch>
                      <a:fillRect/>
                    </a:stretch>
                  </pic:blipFill>
                  <pic:spPr>
                    <a:xfrm>
                      <a:off x="0" y="0"/>
                      <a:ext cx="6942666" cy="4710008"/>
                    </a:xfrm>
                    <a:prstGeom prst="rect">
                      <a:avLst/>
                    </a:prstGeom>
                    <a:ln w="12700" cap="flat">
                      <a:noFill/>
                      <a:miter lim="400000"/>
                    </a:ln>
                    <a:effectLst/>
                  </pic:spPr>
                </pic:pic>
              </a:graphicData>
            </a:graphic>
          </wp:inline>
        </w:drawing>
      </w:r>
    </w:p>
    <w:p>
      <w:pPr>
        <w:pStyle w:val="Normal"/>
        <w:keepNext w:val="1"/>
        <w:ind w:left="567" w:right="567" w:firstLine="0"/>
        <w:jc w:val="both"/>
        <w:rPr>
          <w:rFonts w:ascii="Book Antiqua" w:cs="Book Antiqua" w:hAnsi="Book Antiqua" w:eastAsia="Book Antiqua"/>
        </w:rPr>
      </w:pPr>
    </w:p>
    <w:p>
      <w:pPr>
        <w:pStyle w:val="Normal"/>
        <w:keepNext w:val="1"/>
        <w:ind w:left="567" w:right="567" w:firstLine="0"/>
        <w:jc w:val="both"/>
        <w:rPr>
          <w:rFonts w:ascii="Book Antiqua" w:cs="Book Antiqua" w:hAnsi="Book Antiqua" w:eastAsia="Book Antiqua"/>
        </w:rPr>
      </w:pPr>
    </w:p>
    <w:p>
      <w:pPr>
        <w:pStyle w:val="Normal"/>
        <w:keepNext w:val="1"/>
        <w:ind w:left="567" w:right="567" w:firstLine="0"/>
        <w:jc w:val="both"/>
        <w:rPr>
          <w:rFonts w:ascii="Book Antiqua" w:cs="Book Antiqua" w:hAnsi="Book Antiqua" w:eastAsia="Book Antiqua"/>
        </w:rPr>
      </w:pPr>
    </w:p>
    <w:p>
      <w:pPr>
        <w:pStyle w:val="Normal"/>
        <w:keepNext w:val="1"/>
        <w:ind w:left="567" w:right="567" w:firstLine="0"/>
        <w:jc w:val="both"/>
        <w:rPr>
          <w:rFonts w:ascii="Book Antiqua" w:cs="Book Antiqua" w:hAnsi="Book Antiqua" w:eastAsia="Book Antiqua"/>
        </w:rPr>
      </w:pPr>
      <w:r>
        <w:rPr>
          <w:rFonts w:ascii="Book Antiqua"/>
          <w:rtl w:val="0"/>
          <w:lang w:val="it-IT"/>
        </w:rPr>
        <w:t>Il grafico che precede, elaborato esplodendo anche tutte le partecipazioni detenute dalla stessa Gesenu S.p.A., permette di apprezzarne le potenzialit</w:t>
      </w:r>
      <w:r>
        <w:rPr>
          <w:rFonts w:hAnsi="Book Antiqua" w:hint="default"/>
          <w:rtl w:val="0"/>
          <w:lang w:val="it-IT"/>
        </w:rPr>
        <w:t>à</w:t>
      </w:r>
      <w:r>
        <w:rPr>
          <w:rFonts w:ascii="Book Antiqua"/>
          <w:rtl w:val="0"/>
          <w:lang w:val="it-IT"/>
        </w:rPr>
        <w:t>, evidenziando, a partire dai soggetti controllanti fino al 13 luglio 2016</w:t>
      </w:r>
      <w:r>
        <w:rPr>
          <w:rFonts w:ascii="Book Antiqua" w:cs="Book Antiqua" w:hAnsi="Book Antiqua" w:eastAsia="Book Antiqua"/>
          <w:vertAlign w:val="superscript"/>
          <w:rtl w:val="0"/>
        </w:rPr>
        <w:footnoteReference w:id="208"/>
      </w:r>
      <w:r>
        <w:rPr>
          <w:rFonts w:ascii="Book Antiqua"/>
          <w:rtl w:val="0"/>
          <w:lang w:val="it-IT"/>
        </w:rPr>
        <w:t xml:space="preserve"> (Impresa a. Cecchini &amp; C. S.r.l. e comune di Perugia), le partecipazioni che l</w:t>
      </w:r>
      <w:r>
        <w:rPr>
          <w:rFonts w:hAnsi="Book Antiqua" w:hint="default"/>
          <w:rtl w:val="0"/>
          <w:lang w:val="it-IT"/>
        </w:rPr>
        <w:t>’</w:t>
      </w:r>
      <w:r>
        <w:rPr>
          <w:rFonts w:ascii="Book Antiqua"/>
          <w:rtl w:val="0"/>
          <w:lang w:val="it-IT"/>
        </w:rPr>
        <w:t>azienda vanta in ben diciotto imprese.</w:t>
      </w:r>
    </w:p>
    <w:p>
      <w:pPr>
        <w:pStyle w:val="Normal"/>
        <w:keepNext w:val="1"/>
        <w:ind w:left="567" w:right="567" w:firstLine="0"/>
        <w:jc w:val="both"/>
        <w:rPr>
          <w:rFonts w:ascii="Book Antiqua" w:cs="Book Antiqua" w:hAnsi="Book Antiqua" w:eastAsia="Book Antiqua"/>
        </w:rPr>
      </w:pPr>
      <w:r>
        <w:rPr>
          <w:rFonts w:ascii="Book Antiqua"/>
          <w:rtl w:val="0"/>
          <w:lang w:val="it-IT"/>
        </w:rPr>
        <w:t>I soggetti economici nei quali Gesenu S.p.A. risulta a vario titolo interessata sono anche riepilogati nella tabella che segue.</w:t>
      </w:r>
    </w:p>
    <w:p>
      <w:pPr>
        <w:pStyle w:val="Normal"/>
        <w:keepNext w:val="1"/>
        <w:ind w:left="567" w:right="567" w:firstLine="0"/>
        <w:jc w:val="both"/>
        <w:rPr>
          <w:rFonts w:ascii="Book Antiqua" w:cs="Book Antiqua" w:hAnsi="Book Antiqua" w:eastAsia="Book Antiqua"/>
        </w:rPr>
      </w:pPr>
    </w:p>
    <w:p>
      <w:pPr>
        <w:pStyle w:val="Normal"/>
        <w:keepNext w:val="1"/>
        <w:ind w:left="1701" w:right="567" w:hanging="850"/>
        <w:rPr>
          <w:rFonts w:ascii="Book Antiqua" w:cs="Book Antiqua" w:hAnsi="Book Antiqua" w:eastAsia="Book Antiqua"/>
          <w:i w:val="1"/>
          <w:iCs w:val="1"/>
          <w:sz w:val="22"/>
          <w:szCs w:val="22"/>
        </w:rPr>
      </w:pPr>
      <w:r>
        <w:rPr>
          <w:rFonts w:ascii="Book Antiqua"/>
          <w:i w:val="1"/>
          <w:iCs w:val="1"/>
          <w:sz w:val="22"/>
          <w:szCs w:val="22"/>
          <w:rtl w:val="0"/>
          <w:lang w:val="it-IT"/>
        </w:rPr>
        <w:t xml:space="preserve">Tab. 6 </w:t>
      </w:r>
      <w:r>
        <w:rPr>
          <w:rFonts w:hAnsi="Book Antiqua" w:hint="default"/>
          <w:i w:val="1"/>
          <w:iCs w:val="1"/>
          <w:sz w:val="22"/>
          <w:szCs w:val="22"/>
          <w:rtl w:val="0"/>
          <w:lang w:val="it-IT"/>
        </w:rPr>
        <w:t xml:space="preserve">– </w:t>
      </w:r>
      <w:r>
        <w:rPr>
          <w:rFonts w:ascii="Book Antiqua"/>
          <w:i w:val="1"/>
          <w:iCs w:val="1"/>
          <w:sz w:val="22"/>
          <w:szCs w:val="22"/>
          <w:rtl w:val="0"/>
          <w:lang w:val="it-IT"/>
        </w:rPr>
        <w:t>Elenco soggetti economici partecipati da Gesenu S.p.A.</w:t>
      </w:r>
    </w:p>
    <w:p>
      <w:pPr>
        <w:pStyle w:val="Normal"/>
        <w:keepNext w:val="1"/>
        <w:ind w:left="567" w:right="567" w:firstLine="0"/>
        <w:jc w:val="both"/>
        <w:rPr>
          <w:rFonts w:ascii="Book Antiqua" w:cs="Book Antiqua" w:hAnsi="Book Antiqua" w:eastAsia="Book Antiqua"/>
        </w:rPr>
      </w:pPr>
    </w:p>
    <w:tbl>
      <w:tblPr>
        <w:tblW w:w="8560" w:type="dxa"/>
        <w:jc w:val="center"/>
        <w:tblInd w:w="108" w:type="dxa"/>
        <w:tblBorders>
          <w:top w:val="single" w:color="000000" w:sz="2" w:space="0" w:shadow="0" w:frame="0"/>
          <w:left w:val="single" w:color="000000" w:sz="2" w:space="0" w:shadow="0" w:frame="0"/>
          <w:bottom w:val="single" w:color="000000" w:sz="2" w:space="0" w:shadow="0" w:frame="0"/>
          <w:right w:val="single" w:color="000000" w:sz="2" w:space="0" w:shadow="0" w:frame="0"/>
          <w:insideH w:val="single" w:color="000000" w:sz="2" w:space="0" w:shadow="0" w:frame="0"/>
          <w:insideV w:val="single" w:color="000000" w:sz="2" w:space="0" w:shadow="0" w:frame="0"/>
        </w:tblBorders>
        <w:shd w:val="clear" w:color="auto" w:fill="auto"/>
        <w:tblLayout w:type="fixed"/>
      </w:tblPr>
      <w:tblGrid>
        <w:gridCol w:w="441"/>
        <w:gridCol w:w="4819"/>
        <w:gridCol w:w="1280"/>
        <w:gridCol w:w="1175"/>
        <w:gridCol w:w="845"/>
      </w:tblGrid>
      <w:tr>
        <w:tblPrEx>
          <w:shd w:val="clear" w:color="auto" w:fill="auto"/>
        </w:tblPrEx>
        <w:trPr>
          <w:trHeight w:val="290" w:hRule="atLeast"/>
        </w:trPr>
        <w:tc>
          <w:tcPr>
            <w:tcW w:type="dxa" w:w="8560"/>
            <w:gridSpan w:val="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ccccff"/>
            <w:tcMar>
              <w:top w:type="dxa" w:w="80"/>
              <w:left w:type="dxa" w:w="80"/>
              <w:bottom w:type="dxa" w:w="80"/>
              <w:right w:type="dxa" w:w="80"/>
            </w:tcMar>
            <w:vAlign w:val="center"/>
          </w:tcPr>
          <w:p>
            <w:pPr>
              <w:pStyle w:val="Normal"/>
              <w:keepNext w:val="1"/>
              <w:jc w:val="center"/>
            </w:pPr>
            <w:r>
              <w:rPr>
                <w:rFonts w:ascii="Calibri" w:cs="Calibri" w:hAnsi="Calibri" w:eastAsia="Calibri"/>
                <w:b w:val="1"/>
                <w:bCs w:val="1"/>
                <w:caps w:val="0"/>
                <w:smallCaps w:val="0"/>
                <w:strike w:val="0"/>
                <w:dstrike w:val="0"/>
                <w:outline w:val="0"/>
                <w:color w:val="000000"/>
                <w:spacing w:val="0"/>
                <w:kern w:val="0"/>
                <w:position w:val="0"/>
                <w:sz w:val="24"/>
                <w:szCs w:val="24"/>
                <w:u w:val="none" w:color="000000"/>
                <w:vertAlign w:val="baseline"/>
                <w:rtl w:val="0"/>
                <w:lang w:val="it-IT"/>
              </w:rPr>
              <w:t>PARTECIPAZIONI DI Gesenu S.p.A. IN ALTRE IMPRESE</w:t>
            </w:r>
          </w:p>
        </w:tc>
      </w:tr>
      <w:tr>
        <w:tblPrEx>
          <w:shd w:val="clear" w:color="auto" w:fill="auto"/>
        </w:tblPrEx>
        <w:trPr>
          <w:trHeight w:val="450" w:hRule="atLeast"/>
        </w:trPr>
        <w:tc>
          <w:tcPr>
            <w:tcW w:type="dxa" w:w="44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ccccff"/>
            <w:tcMar>
              <w:top w:type="dxa" w:w="80"/>
              <w:left w:type="dxa" w:w="80"/>
              <w:bottom w:type="dxa" w:w="80"/>
              <w:right w:type="dxa" w:w="80"/>
            </w:tcMar>
            <w:vAlign w:val="center"/>
          </w:tcPr>
          <w:p>
            <w:pPr>
              <w:pStyle w:val="Normal"/>
              <w:keepNext w:val="1"/>
              <w:jc w:val="center"/>
            </w:pPr>
            <w:r>
              <w:rPr>
                <w:rFonts w:ascii="Calibri" w:cs="Calibri" w:hAnsi="Calibri" w:eastAsia="Calibri"/>
                <w:b w:val="1"/>
                <w:bCs w:val="1"/>
                <w:caps w:val="0"/>
                <w:smallCaps w:val="0"/>
                <w:strike w:val="0"/>
                <w:dstrike w:val="0"/>
                <w:outline w:val="0"/>
                <w:color w:val="000000"/>
                <w:spacing w:val="0"/>
                <w:kern w:val="0"/>
                <w:position w:val="0"/>
                <w:sz w:val="20"/>
                <w:szCs w:val="20"/>
                <w:u w:val="none" w:color="000000"/>
                <w:vertAlign w:val="baseline"/>
                <w:rtl w:val="0"/>
                <w:lang w:val="it-IT"/>
              </w:rPr>
              <w:t>N.</w:t>
            </w:r>
          </w:p>
        </w:tc>
        <w:tc>
          <w:tcPr>
            <w:tcW w:type="dxa" w:w="481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ccccff"/>
            <w:tcMar>
              <w:top w:type="dxa" w:w="80"/>
              <w:left w:type="dxa" w:w="80"/>
              <w:bottom w:type="dxa" w:w="80"/>
              <w:right w:type="dxa" w:w="80"/>
            </w:tcMar>
            <w:vAlign w:val="center"/>
          </w:tcPr>
          <w:p>
            <w:pPr>
              <w:pStyle w:val="Normal"/>
              <w:keepNext w:val="1"/>
              <w:jc w:val="center"/>
            </w:pPr>
            <w:r>
              <w:rPr>
                <w:rFonts w:ascii="Calibri" w:cs="Calibri" w:hAnsi="Calibri" w:eastAsia="Calibri"/>
                <w:b w:val="1"/>
                <w:bCs w:val="1"/>
                <w:caps w:val="0"/>
                <w:smallCaps w:val="0"/>
                <w:strike w:val="0"/>
                <w:dstrike w:val="0"/>
                <w:outline w:val="0"/>
                <w:color w:val="000000"/>
                <w:spacing w:val="0"/>
                <w:kern w:val="0"/>
                <w:position w:val="0"/>
                <w:sz w:val="20"/>
                <w:szCs w:val="20"/>
                <w:u w:val="none" w:color="000000"/>
                <w:vertAlign w:val="baseline"/>
                <w:rtl w:val="0"/>
                <w:lang w:val="it-IT"/>
              </w:rPr>
              <w:t>DENOMINAZIONE E CODICE FISCALE</w:t>
            </w:r>
          </w:p>
        </w:tc>
        <w:tc>
          <w:tcPr>
            <w:tcW w:type="dxa" w:w="128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ccccff"/>
            <w:tcMar>
              <w:top w:type="dxa" w:w="80"/>
              <w:left w:type="dxa" w:w="80"/>
              <w:bottom w:type="dxa" w:w="80"/>
              <w:right w:type="dxa" w:w="80"/>
            </w:tcMar>
            <w:vAlign w:val="center"/>
          </w:tcPr>
          <w:p>
            <w:pPr>
              <w:pStyle w:val="Normal"/>
              <w:keepNext w:val="1"/>
              <w:jc w:val="center"/>
            </w:pPr>
            <w:r>
              <w:rPr>
                <w:rFonts w:ascii="Calibri" w:cs="Calibri" w:hAnsi="Calibri" w:eastAsia="Calibri"/>
                <w:b w:val="1"/>
                <w:bCs w:val="1"/>
                <w:caps w:val="0"/>
                <w:smallCaps w:val="0"/>
                <w:strike w:val="0"/>
                <w:dstrike w:val="0"/>
                <w:outline w:val="0"/>
                <w:color w:val="000000"/>
                <w:spacing w:val="0"/>
                <w:kern w:val="0"/>
                <w:position w:val="0"/>
                <w:sz w:val="20"/>
                <w:szCs w:val="20"/>
                <w:u w:val="none" w:color="000000"/>
                <w:vertAlign w:val="baseline"/>
                <w:rtl w:val="0"/>
                <w:lang w:val="it-IT"/>
              </w:rPr>
              <w:t>DATA INIZIO</w:t>
            </w:r>
          </w:p>
        </w:tc>
        <w:tc>
          <w:tcPr>
            <w:tcW w:type="dxa" w:w="117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ccccff"/>
            <w:tcMar>
              <w:top w:type="dxa" w:w="80"/>
              <w:left w:type="dxa" w:w="80"/>
              <w:bottom w:type="dxa" w:w="80"/>
              <w:right w:type="dxa" w:w="80"/>
            </w:tcMar>
            <w:vAlign w:val="center"/>
          </w:tcPr>
          <w:p>
            <w:pPr>
              <w:pStyle w:val="Normal"/>
              <w:keepNext w:val="1"/>
              <w:jc w:val="center"/>
              <w:rPr>
                <w:rFonts w:ascii="Calibri" w:cs="Calibri" w:hAnsi="Calibri" w:eastAsia="Calibri"/>
                <w:b w:val="1"/>
                <w:bCs w:val="1"/>
                <w:caps w:val="0"/>
                <w:smallCaps w:val="0"/>
                <w:strike w:val="0"/>
                <w:dstrike w:val="0"/>
                <w:outline w:val="0"/>
                <w:color w:val="000000"/>
                <w:spacing w:val="0"/>
                <w:kern w:val="0"/>
                <w:position w:val="0"/>
                <w:sz w:val="20"/>
                <w:szCs w:val="20"/>
                <w:u w:val="none" w:color="000000"/>
                <w:vertAlign w:val="baseline"/>
                <w:rtl w:val="0"/>
                <w:lang w:val="it-IT"/>
              </w:rPr>
            </w:pPr>
            <w:r>
              <w:rPr>
                <w:rFonts w:ascii="Calibri" w:cs="Calibri" w:hAnsi="Calibri" w:eastAsia="Calibri"/>
                <w:b w:val="1"/>
                <w:bCs w:val="1"/>
                <w:caps w:val="0"/>
                <w:smallCaps w:val="0"/>
                <w:strike w:val="0"/>
                <w:dstrike w:val="0"/>
                <w:outline w:val="0"/>
                <w:color w:val="000000"/>
                <w:spacing w:val="0"/>
                <w:kern w:val="0"/>
                <w:position w:val="0"/>
                <w:sz w:val="20"/>
                <w:szCs w:val="20"/>
                <w:u w:val="none" w:color="000000"/>
                <w:vertAlign w:val="baseline"/>
                <w:rtl w:val="0"/>
                <w:lang w:val="it-IT"/>
              </w:rPr>
              <w:t>VALORE</w:t>
            </w:r>
          </w:p>
          <w:p>
            <w:pPr>
              <w:pStyle w:val="Normal"/>
              <w:keepNext w:val="1"/>
              <w:jc w:val="center"/>
            </w:pPr>
            <w:r>
              <w:rPr>
                <w:rFonts w:ascii="Calibri" w:cs="Calibri" w:hAnsi="Calibri" w:eastAsia="Calibri"/>
                <w:b w:val="1"/>
                <w:bCs w:val="1"/>
                <w:caps w:val="0"/>
                <w:smallCaps w:val="0"/>
                <w:strike w:val="0"/>
                <w:dstrike w:val="0"/>
                <w:outline w:val="0"/>
                <w:color w:val="000000"/>
                <w:spacing w:val="0"/>
                <w:kern w:val="0"/>
                <w:position w:val="0"/>
                <w:sz w:val="20"/>
                <w:szCs w:val="20"/>
                <w:u w:val="none" w:color="000000"/>
                <w:vertAlign w:val="baseline"/>
                <w:rtl w:val="0"/>
                <w:lang w:val="it-IT"/>
              </w:rPr>
              <w:t>NOMINALE</w:t>
            </w:r>
          </w:p>
        </w:tc>
        <w:tc>
          <w:tcPr>
            <w:tcW w:type="dxa" w:w="84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ccccff"/>
            <w:tcMar>
              <w:top w:type="dxa" w:w="80"/>
              <w:left w:type="dxa" w:w="80"/>
              <w:bottom w:type="dxa" w:w="80"/>
              <w:right w:type="dxa" w:w="80"/>
            </w:tcMar>
            <w:vAlign w:val="center"/>
          </w:tcPr>
          <w:p>
            <w:pPr>
              <w:pStyle w:val="Normal"/>
              <w:keepNext w:val="1"/>
              <w:jc w:val="center"/>
            </w:pPr>
            <w:r>
              <w:rPr>
                <w:rFonts w:ascii="Calibri" w:cs="Calibri" w:hAnsi="Calibri" w:eastAsia="Calibri"/>
                <w:b w:val="1"/>
                <w:bCs w:val="1"/>
                <w:caps w:val="0"/>
                <w:smallCaps w:val="0"/>
                <w:strike w:val="0"/>
                <w:dstrike w:val="0"/>
                <w:outline w:val="0"/>
                <w:color w:val="000000"/>
                <w:spacing w:val="0"/>
                <w:kern w:val="0"/>
                <w:position w:val="0"/>
                <w:sz w:val="20"/>
                <w:szCs w:val="20"/>
                <w:u w:val="none" w:color="000000"/>
                <w:vertAlign w:val="baseline"/>
                <w:rtl w:val="0"/>
                <w:lang w:val="it-IT"/>
              </w:rPr>
              <w:t xml:space="preserve">% </w:t>
            </w:r>
          </w:p>
        </w:tc>
      </w:tr>
      <w:tr>
        <w:tblPrEx>
          <w:shd w:val="clear" w:color="auto" w:fill="auto"/>
        </w:tblPrEx>
        <w:trPr>
          <w:trHeight w:val="252" w:hRule="atLeast"/>
        </w:trPr>
        <w:tc>
          <w:tcPr>
            <w:tcW w:type="dxa" w:w="44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20"/>
                <w:szCs w:val="20"/>
                <w:u w:val="none" w:color="000000"/>
                <w:vertAlign w:val="baseline"/>
                <w:rtl w:val="0"/>
                <w:lang w:val="it-IT"/>
              </w:rPr>
              <w:t>1</w:t>
            </w:r>
          </w:p>
        </w:tc>
        <w:tc>
          <w:tcPr>
            <w:tcW w:type="dxa" w:w="481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20"/>
                <w:szCs w:val="20"/>
                <w:u w:val="none" w:color="000000"/>
                <w:vertAlign w:val="baseline"/>
                <w:rtl w:val="0"/>
                <w:lang w:val="it-IT"/>
              </w:rPr>
              <w:t>SIENERGIA S.p.A. IN LIQUIDAZIONE - 01175590544</w:t>
            </w:r>
          </w:p>
        </w:tc>
        <w:tc>
          <w:tcPr>
            <w:tcW w:type="dxa" w:w="128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20"/>
                <w:szCs w:val="20"/>
                <w:u w:val="none" w:color="000000"/>
                <w:vertAlign w:val="baseline"/>
                <w:rtl w:val="0"/>
                <w:lang w:val="it-IT"/>
              </w:rPr>
              <w:t>25/07/2000</w:t>
            </w:r>
          </w:p>
        </w:tc>
        <w:tc>
          <w:tcPr>
            <w:tcW w:type="dxa" w:w="117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20"/>
                <w:szCs w:val="20"/>
                <w:u w:val="none" w:color="000000"/>
                <w:vertAlign w:val="baseline"/>
                <w:rtl w:val="0"/>
                <w:lang w:val="it-IT"/>
              </w:rPr>
              <w:t>10.000</w:t>
            </w:r>
          </w:p>
        </w:tc>
        <w:tc>
          <w:tcPr>
            <w:tcW w:type="dxa" w:w="84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20"/>
                <w:szCs w:val="20"/>
                <w:u w:val="none" w:color="000000"/>
                <w:vertAlign w:val="baseline"/>
                <w:rtl w:val="0"/>
                <w:lang w:val="it-IT"/>
              </w:rPr>
              <w:t>7,58</w:t>
            </w:r>
            <w:r>
              <w:rPr>
                <w:rFonts w:ascii="Calibri" w:cs="Calibri" w:hAnsi="Calibri" w:eastAsia="Calibri"/>
                <w:caps w:val="0"/>
                <w:smallCaps w:val="0"/>
                <w:strike w:val="0"/>
                <w:dstrike w:val="0"/>
                <w:outline w:val="0"/>
                <w:color w:val="000000"/>
                <w:spacing w:val="0"/>
                <w:kern w:val="0"/>
                <w:position w:val="0"/>
                <w:sz w:val="20"/>
                <w:szCs w:val="20"/>
                <w:u w:val="none" w:color="000000"/>
                <w:vertAlign w:val="baseline"/>
                <w:rtl w:val="0"/>
                <w:lang w:val="it-IT"/>
              </w:rPr>
              <w:t> </w:t>
            </w:r>
            <w:r>
              <w:rPr>
                <w:rFonts w:ascii="Calibri" w:cs="Calibri" w:hAnsi="Calibri" w:eastAsia="Calibri"/>
                <w:caps w:val="0"/>
                <w:smallCaps w:val="0"/>
                <w:strike w:val="0"/>
                <w:dstrike w:val="0"/>
                <w:outline w:val="0"/>
                <w:color w:val="000000"/>
                <w:spacing w:val="0"/>
                <w:kern w:val="0"/>
                <w:position w:val="0"/>
                <w:sz w:val="20"/>
                <w:szCs w:val="20"/>
                <w:u w:val="none" w:color="000000"/>
                <w:vertAlign w:val="baseline"/>
                <w:rtl w:val="0"/>
                <w:lang w:val="it-IT"/>
              </w:rPr>
              <w:t>%</w:t>
            </w:r>
          </w:p>
        </w:tc>
      </w:tr>
      <w:tr>
        <w:tblPrEx>
          <w:shd w:val="clear" w:color="auto" w:fill="auto"/>
        </w:tblPrEx>
        <w:trPr>
          <w:trHeight w:val="450" w:hRule="atLeast"/>
        </w:trPr>
        <w:tc>
          <w:tcPr>
            <w:tcW w:type="dxa" w:w="44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20"/>
                <w:szCs w:val="20"/>
                <w:u w:val="none" w:color="000000"/>
                <w:vertAlign w:val="baseline"/>
                <w:rtl w:val="0"/>
                <w:lang w:val="it-IT"/>
              </w:rPr>
              <w:t>2</w:t>
            </w:r>
          </w:p>
        </w:tc>
        <w:tc>
          <w:tcPr>
            <w:tcW w:type="dxa" w:w="481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20"/>
                <w:szCs w:val="20"/>
                <w:u w:val="none" w:color="000000"/>
                <w:vertAlign w:val="baseline"/>
                <w:rtl w:val="0"/>
                <w:lang w:val="it-IT"/>
              </w:rPr>
              <w:t>SECIT S.r.l. SOCIETA' ECOLOGICA ITALIANA IN LIQUIDAZIONE - 01487180158</w:t>
            </w:r>
          </w:p>
        </w:tc>
        <w:tc>
          <w:tcPr>
            <w:tcW w:type="dxa" w:w="128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20"/>
                <w:szCs w:val="20"/>
                <w:u w:val="none" w:color="000000"/>
                <w:vertAlign w:val="baseline"/>
                <w:rtl w:val="0"/>
                <w:lang w:val="it-IT"/>
              </w:rPr>
              <w:t>22/05/2002</w:t>
            </w:r>
          </w:p>
        </w:tc>
        <w:tc>
          <w:tcPr>
            <w:tcW w:type="dxa" w:w="117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20"/>
                <w:szCs w:val="20"/>
                <w:u w:val="none" w:color="000000"/>
                <w:vertAlign w:val="baseline"/>
                <w:rtl w:val="0"/>
                <w:lang w:val="it-IT"/>
              </w:rPr>
              <w:t>1.530.000</w:t>
            </w:r>
          </w:p>
        </w:tc>
        <w:tc>
          <w:tcPr>
            <w:tcW w:type="dxa" w:w="84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20"/>
                <w:szCs w:val="20"/>
                <w:u w:val="none" w:color="000000"/>
                <w:vertAlign w:val="baseline"/>
                <w:rtl w:val="0"/>
                <w:lang w:val="it-IT"/>
              </w:rPr>
              <w:t>90</w:t>
            </w:r>
            <w:r>
              <w:rPr>
                <w:rFonts w:ascii="Calibri" w:cs="Calibri" w:hAnsi="Calibri" w:eastAsia="Calibri"/>
                <w:caps w:val="0"/>
                <w:smallCaps w:val="0"/>
                <w:strike w:val="0"/>
                <w:dstrike w:val="0"/>
                <w:outline w:val="0"/>
                <w:color w:val="000000"/>
                <w:spacing w:val="0"/>
                <w:kern w:val="0"/>
                <w:position w:val="0"/>
                <w:sz w:val="20"/>
                <w:szCs w:val="20"/>
                <w:u w:val="none" w:color="000000"/>
                <w:vertAlign w:val="baseline"/>
                <w:rtl w:val="0"/>
                <w:lang w:val="it-IT"/>
              </w:rPr>
              <w:t> </w:t>
            </w:r>
            <w:r>
              <w:rPr>
                <w:rFonts w:ascii="Calibri" w:cs="Calibri" w:hAnsi="Calibri" w:eastAsia="Calibri"/>
                <w:caps w:val="0"/>
                <w:smallCaps w:val="0"/>
                <w:strike w:val="0"/>
                <w:dstrike w:val="0"/>
                <w:outline w:val="0"/>
                <w:color w:val="000000"/>
                <w:spacing w:val="0"/>
                <w:kern w:val="0"/>
                <w:position w:val="0"/>
                <w:sz w:val="20"/>
                <w:szCs w:val="20"/>
                <w:u w:val="none" w:color="000000"/>
                <w:vertAlign w:val="baseline"/>
                <w:rtl w:val="0"/>
                <w:lang w:val="it-IT"/>
              </w:rPr>
              <w:t>%</w:t>
            </w:r>
          </w:p>
        </w:tc>
      </w:tr>
      <w:tr>
        <w:tblPrEx>
          <w:shd w:val="clear" w:color="auto" w:fill="auto"/>
        </w:tblPrEx>
        <w:trPr>
          <w:trHeight w:val="450" w:hRule="atLeast"/>
        </w:trPr>
        <w:tc>
          <w:tcPr>
            <w:tcW w:type="dxa" w:w="44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20"/>
                <w:szCs w:val="20"/>
                <w:u w:val="none" w:color="000000"/>
                <w:vertAlign w:val="baseline"/>
                <w:rtl w:val="0"/>
                <w:lang w:val="it-IT"/>
              </w:rPr>
              <w:t>3</w:t>
            </w:r>
          </w:p>
        </w:tc>
        <w:tc>
          <w:tcPr>
            <w:tcW w:type="dxa" w:w="481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20"/>
                <w:szCs w:val="20"/>
                <w:u w:val="none" w:color="000000"/>
                <w:vertAlign w:val="baseline"/>
                <w:rtl w:val="0"/>
                <w:lang w:val="it-IT"/>
              </w:rPr>
              <w:t>TRASIMENO SERVIZI AMBIENTALI (T.S.A.) S.p.A. - 01857340549</w:t>
            </w:r>
          </w:p>
        </w:tc>
        <w:tc>
          <w:tcPr>
            <w:tcW w:type="dxa" w:w="128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20"/>
                <w:szCs w:val="20"/>
                <w:u w:val="none" w:color="000000"/>
                <w:vertAlign w:val="baseline"/>
                <w:rtl w:val="0"/>
                <w:lang w:val="it-IT"/>
              </w:rPr>
              <w:t>31/12/1993</w:t>
            </w:r>
          </w:p>
        </w:tc>
        <w:tc>
          <w:tcPr>
            <w:tcW w:type="dxa" w:w="117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20"/>
                <w:szCs w:val="20"/>
                <w:u w:val="none" w:color="000000"/>
                <w:vertAlign w:val="baseline"/>
                <w:rtl w:val="0"/>
                <w:lang w:val="it-IT"/>
              </w:rPr>
              <w:t>568.800</w:t>
            </w:r>
          </w:p>
        </w:tc>
        <w:tc>
          <w:tcPr>
            <w:tcW w:type="dxa" w:w="84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20"/>
                <w:szCs w:val="20"/>
                <w:u w:val="none" w:color="000000"/>
                <w:vertAlign w:val="baseline"/>
                <w:rtl w:val="0"/>
                <w:lang w:val="it-IT"/>
              </w:rPr>
              <w:t>37,92</w:t>
            </w:r>
            <w:r>
              <w:rPr>
                <w:rFonts w:ascii="Calibri" w:cs="Calibri" w:hAnsi="Calibri" w:eastAsia="Calibri"/>
                <w:caps w:val="0"/>
                <w:smallCaps w:val="0"/>
                <w:strike w:val="0"/>
                <w:dstrike w:val="0"/>
                <w:outline w:val="0"/>
                <w:color w:val="000000"/>
                <w:spacing w:val="0"/>
                <w:kern w:val="0"/>
                <w:position w:val="0"/>
                <w:sz w:val="20"/>
                <w:szCs w:val="20"/>
                <w:u w:val="none" w:color="000000"/>
                <w:vertAlign w:val="baseline"/>
                <w:rtl w:val="0"/>
                <w:lang w:val="it-IT"/>
              </w:rPr>
              <w:t> </w:t>
            </w:r>
            <w:r>
              <w:rPr>
                <w:rFonts w:ascii="Calibri" w:cs="Calibri" w:hAnsi="Calibri" w:eastAsia="Calibri"/>
                <w:caps w:val="0"/>
                <w:smallCaps w:val="0"/>
                <w:strike w:val="0"/>
                <w:dstrike w:val="0"/>
                <w:outline w:val="0"/>
                <w:color w:val="000000"/>
                <w:spacing w:val="0"/>
                <w:kern w:val="0"/>
                <w:position w:val="0"/>
                <w:sz w:val="20"/>
                <w:szCs w:val="20"/>
                <w:u w:val="none" w:color="000000"/>
                <w:vertAlign w:val="baseline"/>
                <w:rtl w:val="0"/>
                <w:lang w:val="it-IT"/>
              </w:rPr>
              <w:t>%</w:t>
            </w:r>
          </w:p>
        </w:tc>
      </w:tr>
      <w:tr>
        <w:tblPrEx>
          <w:shd w:val="clear" w:color="auto" w:fill="auto"/>
        </w:tblPrEx>
        <w:trPr>
          <w:trHeight w:val="242" w:hRule="atLeast"/>
        </w:trPr>
        <w:tc>
          <w:tcPr>
            <w:tcW w:type="dxa" w:w="44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20"/>
                <w:szCs w:val="20"/>
                <w:u w:val="none" w:color="000000"/>
                <w:vertAlign w:val="baseline"/>
                <w:rtl w:val="0"/>
                <w:lang w:val="it-IT"/>
              </w:rPr>
              <w:t>4</w:t>
            </w:r>
          </w:p>
        </w:tc>
        <w:tc>
          <w:tcPr>
            <w:tcW w:type="dxa" w:w="481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20"/>
                <w:szCs w:val="20"/>
                <w:u w:val="none" w:color="000000"/>
                <w:vertAlign w:val="baseline"/>
                <w:rtl w:val="0"/>
                <w:lang w:val="it-IT"/>
              </w:rPr>
              <w:t>AP PRODUZIONE AMBIENTE S.r.l. - 01879550547</w:t>
            </w:r>
          </w:p>
        </w:tc>
        <w:tc>
          <w:tcPr>
            <w:tcW w:type="dxa" w:w="128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20"/>
                <w:szCs w:val="20"/>
                <w:u w:val="none" w:color="000000"/>
                <w:vertAlign w:val="baseline"/>
                <w:rtl w:val="0"/>
                <w:lang w:val="it-IT"/>
              </w:rPr>
              <w:t>10/04/1996</w:t>
            </w:r>
          </w:p>
        </w:tc>
        <w:tc>
          <w:tcPr>
            <w:tcW w:type="dxa" w:w="117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20"/>
                <w:szCs w:val="20"/>
                <w:u w:val="none" w:color="000000"/>
                <w:vertAlign w:val="baseline"/>
                <w:rtl w:val="0"/>
                <w:lang w:val="it-IT"/>
              </w:rPr>
              <w:t>50.000</w:t>
            </w:r>
          </w:p>
        </w:tc>
        <w:tc>
          <w:tcPr>
            <w:tcW w:type="dxa" w:w="84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20"/>
                <w:szCs w:val="20"/>
                <w:u w:val="none" w:color="000000"/>
                <w:vertAlign w:val="baseline"/>
                <w:rtl w:val="0"/>
                <w:lang w:val="it-IT"/>
              </w:rPr>
              <w:t>100</w:t>
            </w:r>
            <w:r>
              <w:rPr>
                <w:rFonts w:ascii="Calibri" w:cs="Calibri" w:hAnsi="Calibri" w:eastAsia="Calibri"/>
                <w:caps w:val="0"/>
                <w:smallCaps w:val="0"/>
                <w:strike w:val="0"/>
                <w:dstrike w:val="0"/>
                <w:outline w:val="0"/>
                <w:color w:val="000000"/>
                <w:spacing w:val="0"/>
                <w:kern w:val="0"/>
                <w:position w:val="0"/>
                <w:sz w:val="20"/>
                <w:szCs w:val="20"/>
                <w:u w:val="none" w:color="000000"/>
                <w:vertAlign w:val="baseline"/>
                <w:rtl w:val="0"/>
                <w:lang w:val="it-IT"/>
              </w:rPr>
              <w:t> </w:t>
            </w:r>
            <w:r>
              <w:rPr>
                <w:rFonts w:ascii="Calibri" w:cs="Calibri" w:hAnsi="Calibri" w:eastAsia="Calibri"/>
                <w:caps w:val="0"/>
                <w:smallCaps w:val="0"/>
                <w:strike w:val="0"/>
                <w:dstrike w:val="0"/>
                <w:outline w:val="0"/>
                <w:color w:val="000000"/>
                <w:spacing w:val="0"/>
                <w:kern w:val="0"/>
                <w:position w:val="0"/>
                <w:sz w:val="20"/>
                <w:szCs w:val="20"/>
                <w:u w:val="none" w:color="000000"/>
                <w:vertAlign w:val="baseline"/>
                <w:rtl w:val="0"/>
                <w:lang w:val="it-IT"/>
              </w:rPr>
              <w:t>%</w:t>
            </w:r>
          </w:p>
        </w:tc>
      </w:tr>
      <w:tr>
        <w:tblPrEx>
          <w:shd w:val="clear" w:color="auto" w:fill="auto"/>
        </w:tblPrEx>
        <w:trPr>
          <w:trHeight w:val="450" w:hRule="atLeast"/>
        </w:trPr>
        <w:tc>
          <w:tcPr>
            <w:tcW w:type="dxa" w:w="44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20"/>
                <w:szCs w:val="20"/>
                <w:u w:val="none" w:color="000000"/>
                <w:vertAlign w:val="baseline"/>
                <w:rtl w:val="0"/>
                <w:lang w:val="it-IT"/>
              </w:rPr>
              <w:t>5</w:t>
            </w:r>
          </w:p>
        </w:tc>
        <w:tc>
          <w:tcPr>
            <w:tcW w:type="dxa" w:w="481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20"/>
                <w:szCs w:val="20"/>
                <w:u w:val="none" w:color="000000"/>
                <w:vertAlign w:val="baseline"/>
                <w:rtl w:val="0"/>
                <w:lang w:val="it-IT"/>
              </w:rPr>
              <w:t xml:space="preserve">CONSORZIO GESTIONI ECOLOGICHE SARDEGNA IN BREVE "COGESA" </w:t>
            </w:r>
            <w:r>
              <w:rPr>
                <w:rFonts w:ascii="Calibri" w:cs="Calibri" w:hAnsi="Calibri" w:eastAsia="Calibri"/>
                <w:caps w:val="0"/>
                <w:smallCaps w:val="0"/>
                <w:strike w:val="0"/>
                <w:dstrike w:val="0"/>
                <w:outline w:val="0"/>
                <w:color w:val="000000"/>
                <w:spacing w:val="0"/>
                <w:kern w:val="0"/>
                <w:position w:val="0"/>
                <w:sz w:val="20"/>
                <w:szCs w:val="20"/>
                <w:u w:val="none" w:color="000000"/>
                <w:vertAlign w:val="baseline"/>
                <w:rtl w:val="0"/>
                <w:lang w:val="it-IT"/>
              </w:rPr>
              <w:t xml:space="preserve">– </w:t>
            </w:r>
            <w:r>
              <w:rPr>
                <w:rFonts w:ascii="Calibri" w:cs="Calibri" w:hAnsi="Calibri" w:eastAsia="Calibri"/>
                <w:caps w:val="0"/>
                <w:smallCaps w:val="0"/>
                <w:strike w:val="0"/>
                <w:dstrike w:val="0"/>
                <w:outline w:val="0"/>
                <w:color w:val="000000"/>
                <w:spacing w:val="0"/>
                <w:kern w:val="0"/>
                <w:position w:val="0"/>
                <w:sz w:val="20"/>
                <w:szCs w:val="20"/>
                <w:u w:val="none" w:color="000000"/>
                <w:vertAlign w:val="baseline"/>
                <w:rtl w:val="0"/>
                <w:lang w:val="it-IT"/>
              </w:rPr>
              <w:t>02005150921</w:t>
            </w:r>
          </w:p>
        </w:tc>
        <w:tc>
          <w:tcPr>
            <w:tcW w:type="dxa" w:w="128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20"/>
                <w:szCs w:val="20"/>
                <w:u w:val="none" w:color="000000"/>
                <w:vertAlign w:val="baseline"/>
                <w:rtl w:val="0"/>
                <w:lang w:val="it-IT"/>
              </w:rPr>
              <w:t>14/12/2001</w:t>
            </w:r>
          </w:p>
        </w:tc>
        <w:tc>
          <w:tcPr>
            <w:tcW w:type="dxa" w:w="117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20"/>
                <w:szCs w:val="20"/>
                <w:u w:val="none" w:color="000000"/>
                <w:vertAlign w:val="baseline"/>
                <w:rtl w:val="0"/>
                <w:lang w:val="it-IT"/>
              </w:rPr>
              <w:t>-</w:t>
            </w:r>
          </w:p>
        </w:tc>
        <w:tc>
          <w:tcPr>
            <w:tcW w:type="dxa" w:w="84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20"/>
                <w:szCs w:val="20"/>
                <w:u w:val="none" w:color="000000"/>
                <w:vertAlign w:val="baseline"/>
                <w:rtl w:val="0"/>
                <w:lang w:val="it-IT"/>
              </w:rPr>
              <w:t>-</w:t>
            </w:r>
          </w:p>
        </w:tc>
      </w:tr>
      <w:tr>
        <w:tblPrEx>
          <w:shd w:val="clear" w:color="auto" w:fill="auto"/>
        </w:tblPrEx>
        <w:trPr>
          <w:trHeight w:val="450" w:hRule="atLeast"/>
        </w:trPr>
        <w:tc>
          <w:tcPr>
            <w:tcW w:type="dxa" w:w="44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20"/>
                <w:szCs w:val="20"/>
                <w:u w:val="none" w:color="000000"/>
                <w:vertAlign w:val="baseline"/>
                <w:rtl w:val="0"/>
                <w:lang w:val="it-IT"/>
              </w:rPr>
              <w:t>6</w:t>
            </w:r>
          </w:p>
        </w:tc>
        <w:tc>
          <w:tcPr>
            <w:tcW w:type="dxa" w:w="481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20"/>
                <w:szCs w:val="20"/>
                <w:u w:val="none" w:color="000000"/>
                <w:vertAlign w:val="baseline"/>
                <w:rtl w:val="0"/>
                <w:lang w:val="it-IT"/>
              </w:rPr>
              <w:t>S.I.A. SOCIETA' IGIENE AMBIENTALE S.p.A. - 02012470544</w:t>
            </w:r>
          </w:p>
        </w:tc>
        <w:tc>
          <w:tcPr>
            <w:tcW w:type="dxa" w:w="128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20"/>
                <w:szCs w:val="20"/>
                <w:u w:val="none" w:color="000000"/>
                <w:vertAlign w:val="baseline"/>
                <w:rtl w:val="0"/>
                <w:lang w:val="it-IT"/>
              </w:rPr>
              <w:t>31/12/1993</w:t>
            </w:r>
          </w:p>
        </w:tc>
        <w:tc>
          <w:tcPr>
            <w:tcW w:type="dxa" w:w="117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20"/>
                <w:szCs w:val="20"/>
                <w:u w:val="none" w:color="000000"/>
                <w:vertAlign w:val="baseline"/>
                <w:rtl w:val="0"/>
                <w:lang w:val="it-IT"/>
              </w:rPr>
              <w:t>214.553</w:t>
            </w:r>
          </w:p>
        </w:tc>
        <w:tc>
          <w:tcPr>
            <w:tcW w:type="dxa" w:w="84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20"/>
                <w:szCs w:val="20"/>
                <w:u w:val="none" w:color="000000"/>
                <w:vertAlign w:val="baseline"/>
                <w:rtl w:val="0"/>
                <w:lang w:val="it-IT"/>
              </w:rPr>
              <w:t>35,9</w:t>
            </w:r>
            <w:r>
              <w:rPr>
                <w:rFonts w:ascii="Calibri" w:cs="Calibri" w:hAnsi="Calibri" w:eastAsia="Calibri"/>
                <w:caps w:val="0"/>
                <w:smallCaps w:val="0"/>
                <w:strike w:val="0"/>
                <w:dstrike w:val="0"/>
                <w:outline w:val="0"/>
                <w:color w:val="000000"/>
                <w:spacing w:val="0"/>
                <w:kern w:val="0"/>
                <w:position w:val="0"/>
                <w:sz w:val="20"/>
                <w:szCs w:val="20"/>
                <w:u w:val="none" w:color="000000"/>
                <w:vertAlign w:val="baseline"/>
                <w:rtl w:val="0"/>
                <w:lang w:val="it-IT"/>
              </w:rPr>
              <w:t> </w:t>
            </w:r>
            <w:r>
              <w:rPr>
                <w:rFonts w:ascii="Calibri" w:cs="Calibri" w:hAnsi="Calibri" w:eastAsia="Calibri"/>
                <w:caps w:val="0"/>
                <w:smallCaps w:val="0"/>
                <w:strike w:val="0"/>
                <w:dstrike w:val="0"/>
                <w:outline w:val="0"/>
                <w:color w:val="000000"/>
                <w:spacing w:val="0"/>
                <w:kern w:val="0"/>
                <w:position w:val="0"/>
                <w:sz w:val="20"/>
                <w:szCs w:val="20"/>
                <w:u w:val="none" w:color="000000"/>
                <w:vertAlign w:val="baseline"/>
                <w:rtl w:val="0"/>
                <w:lang w:val="it-IT"/>
              </w:rPr>
              <w:t>%</w:t>
            </w:r>
          </w:p>
        </w:tc>
      </w:tr>
      <w:tr>
        <w:tblPrEx>
          <w:shd w:val="clear" w:color="auto" w:fill="auto"/>
        </w:tblPrEx>
        <w:trPr>
          <w:trHeight w:val="242" w:hRule="atLeast"/>
        </w:trPr>
        <w:tc>
          <w:tcPr>
            <w:tcW w:type="dxa" w:w="44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20"/>
                <w:szCs w:val="20"/>
                <w:u w:val="none" w:color="000000"/>
                <w:vertAlign w:val="baseline"/>
                <w:rtl w:val="0"/>
                <w:lang w:val="it-IT"/>
              </w:rPr>
              <w:t>7</w:t>
            </w:r>
          </w:p>
        </w:tc>
        <w:tc>
          <w:tcPr>
            <w:tcW w:type="dxa" w:w="481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20"/>
                <w:szCs w:val="20"/>
                <w:u w:val="none" w:color="000000"/>
                <w:vertAlign w:val="baseline"/>
                <w:rtl w:val="0"/>
                <w:lang w:val="it-IT"/>
              </w:rPr>
              <w:t>GESTIONE SERVIZI AZIENDALI S.r.l. - 02063430546</w:t>
            </w:r>
          </w:p>
        </w:tc>
        <w:tc>
          <w:tcPr>
            <w:tcW w:type="dxa" w:w="128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20"/>
                <w:szCs w:val="20"/>
                <w:u w:val="none" w:color="000000"/>
                <w:vertAlign w:val="baseline"/>
                <w:rtl w:val="0"/>
                <w:lang w:val="it-IT"/>
              </w:rPr>
              <w:t>10/04/1996</w:t>
            </w:r>
          </w:p>
        </w:tc>
        <w:tc>
          <w:tcPr>
            <w:tcW w:type="dxa" w:w="117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20"/>
                <w:szCs w:val="20"/>
                <w:u w:val="none" w:color="000000"/>
                <w:vertAlign w:val="baseline"/>
                <w:rtl w:val="0"/>
                <w:lang w:val="it-IT"/>
              </w:rPr>
              <w:t>42.000</w:t>
            </w:r>
          </w:p>
        </w:tc>
        <w:tc>
          <w:tcPr>
            <w:tcW w:type="dxa" w:w="84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20"/>
                <w:szCs w:val="20"/>
                <w:u w:val="none" w:color="000000"/>
                <w:vertAlign w:val="baseline"/>
                <w:rtl w:val="0"/>
                <w:lang w:val="it-IT"/>
              </w:rPr>
              <w:t>70</w:t>
            </w:r>
            <w:r>
              <w:rPr>
                <w:rFonts w:ascii="Calibri" w:cs="Calibri" w:hAnsi="Calibri" w:eastAsia="Calibri"/>
                <w:caps w:val="0"/>
                <w:smallCaps w:val="0"/>
                <w:strike w:val="0"/>
                <w:dstrike w:val="0"/>
                <w:outline w:val="0"/>
                <w:color w:val="000000"/>
                <w:spacing w:val="0"/>
                <w:kern w:val="0"/>
                <w:position w:val="0"/>
                <w:sz w:val="20"/>
                <w:szCs w:val="20"/>
                <w:u w:val="none" w:color="000000"/>
                <w:vertAlign w:val="baseline"/>
                <w:rtl w:val="0"/>
                <w:lang w:val="it-IT"/>
              </w:rPr>
              <w:t> </w:t>
            </w:r>
            <w:r>
              <w:rPr>
                <w:rFonts w:ascii="Calibri" w:cs="Calibri" w:hAnsi="Calibri" w:eastAsia="Calibri"/>
                <w:caps w:val="0"/>
                <w:smallCaps w:val="0"/>
                <w:strike w:val="0"/>
                <w:dstrike w:val="0"/>
                <w:outline w:val="0"/>
                <w:color w:val="000000"/>
                <w:spacing w:val="0"/>
                <w:kern w:val="0"/>
                <w:position w:val="0"/>
                <w:sz w:val="20"/>
                <w:szCs w:val="20"/>
                <w:u w:val="none" w:color="000000"/>
                <w:vertAlign w:val="baseline"/>
                <w:rtl w:val="0"/>
                <w:lang w:val="it-IT"/>
              </w:rPr>
              <w:t>%</w:t>
            </w:r>
          </w:p>
        </w:tc>
      </w:tr>
      <w:tr>
        <w:tblPrEx>
          <w:shd w:val="clear" w:color="auto" w:fill="auto"/>
        </w:tblPrEx>
        <w:trPr>
          <w:trHeight w:val="242" w:hRule="atLeast"/>
        </w:trPr>
        <w:tc>
          <w:tcPr>
            <w:tcW w:type="dxa" w:w="44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20"/>
                <w:szCs w:val="20"/>
                <w:u w:val="none" w:color="000000"/>
                <w:vertAlign w:val="baseline"/>
                <w:rtl w:val="0"/>
                <w:lang w:val="it-IT"/>
              </w:rPr>
              <w:t>8</w:t>
            </w:r>
          </w:p>
        </w:tc>
        <w:tc>
          <w:tcPr>
            <w:tcW w:type="dxa" w:w="481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20"/>
                <w:szCs w:val="20"/>
                <w:u w:val="none" w:color="000000"/>
                <w:vertAlign w:val="baseline"/>
                <w:rtl w:val="0"/>
                <w:lang w:val="it-IT"/>
              </w:rPr>
              <w:t>VITERBO AMBIENTE SCARL - 02082960564</w:t>
            </w:r>
          </w:p>
        </w:tc>
        <w:tc>
          <w:tcPr>
            <w:tcW w:type="dxa" w:w="128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20"/>
                <w:szCs w:val="20"/>
                <w:u w:val="none" w:color="000000"/>
                <w:vertAlign w:val="baseline"/>
                <w:rtl w:val="0"/>
                <w:lang w:val="it-IT"/>
              </w:rPr>
              <w:t>01/06/2012</w:t>
            </w:r>
          </w:p>
        </w:tc>
        <w:tc>
          <w:tcPr>
            <w:tcW w:type="dxa" w:w="117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20"/>
                <w:szCs w:val="20"/>
                <w:u w:val="none" w:color="000000"/>
                <w:vertAlign w:val="baseline"/>
                <w:rtl w:val="0"/>
                <w:lang w:val="it-IT"/>
              </w:rPr>
              <w:t>5.100</w:t>
            </w:r>
          </w:p>
        </w:tc>
        <w:tc>
          <w:tcPr>
            <w:tcW w:type="dxa" w:w="84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20"/>
                <w:szCs w:val="20"/>
                <w:u w:val="none" w:color="000000"/>
                <w:vertAlign w:val="baseline"/>
                <w:rtl w:val="0"/>
                <w:lang w:val="it-IT"/>
              </w:rPr>
              <w:t>51</w:t>
            </w:r>
            <w:r>
              <w:rPr>
                <w:rFonts w:ascii="Calibri" w:cs="Calibri" w:hAnsi="Calibri" w:eastAsia="Calibri"/>
                <w:caps w:val="0"/>
                <w:smallCaps w:val="0"/>
                <w:strike w:val="0"/>
                <w:dstrike w:val="0"/>
                <w:outline w:val="0"/>
                <w:color w:val="000000"/>
                <w:spacing w:val="0"/>
                <w:kern w:val="0"/>
                <w:position w:val="0"/>
                <w:sz w:val="20"/>
                <w:szCs w:val="20"/>
                <w:u w:val="none" w:color="000000"/>
                <w:vertAlign w:val="baseline"/>
                <w:rtl w:val="0"/>
                <w:lang w:val="it-IT"/>
              </w:rPr>
              <w:t> </w:t>
            </w:r>
            <w:r>
              <w:rPr>
                <w:rFonts w:ascii="Calibri" w:cs="Calibri" w:hAnsi="Calibri" w:eastAsia="Calibri"/>
                <w:caps w:val="0"/>
                <w:smallCaps w:val="0"/>
                <w:strike w:val="0"/>
                <w:dstrike w:val="0"/>
                <w:outline w:val="0"/>
                <w:color w:val="000000"/>
                <w:spacing w:val="0"/>
                <w:kern w:val="0"/>
                <w:position w:val="0"/>
                <w:sz w:val="20"/>
                <w:szCs w:val="20"/>
                <w:u w:val="none" w:color="000000"/>
                <w:vertAlign w:val="baseline"/>
                <w:rtl w:val="0"/>
                <w:lang w:val="it-IT"/>
              </w:rPr>
              <w:t>%</w:t>
            </w:r>
          </w:p>
        </w:tc>
      </w:tr>
      <w:tr>
        <w:tblPrEx>
          <w:shd w:val="clear" w:color="auto" w:fill="auto"/>
        </w:tblPrEx>
        <w:trPr>
          <w:trHeight w:val="242" w:hRule="atLeast"/>
        </w:trPr>
        <w:tc>
          <w:tcPr>
            <w:tcW w:type="dxa" w:w="44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20"/>
                <w:szCs w:val="20"/>
                <w:u w:val="none" w:color="000000"/>
                <w:vertAlign w:val="baseline"/>
                <w:rtl w:val="0"/>
                <w:lang w:val="it-IT"/>
              </w:rPr>
              <w:t>9</w:t>
            </w:r>
          </w:p>
        </w:tc>
        <w:tc>
          <w:tcPr>
            <w:tcW w:type="dxa" w:w="481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20"/>
                <w:szCs w:val="20"/>
                <w:u w:val="none" w:color="000000"/>
                <w:vertAlign w:val="baseline"/>
                <w:rtl w:val="0"/>
                <w:lang w:val="it-IT"/>
              </w:rPr>
              <w:t>ECOIMPIANTI S.r.l. - 02191280904</w:t>
            </w:r>
          </w:p>
        </w:tc>
        <w:tc>
          <w:tcPr>
            <w:tcW w:type="dxa" w:w="128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20"/>
                <w:szCs w:val="20"/>
                <w:u w:val="none" w:color="000000"/>
                <w:vertAlign w:val="baseline"/>
                <w:rtl w:val="0"/>
                <w:lang w:val="it-IT"/>
              </w:rPr>
              <w:t>31/01/2006</w:t>
            </w:r>
          </w:p>
        </w:tc>
        <w:tc>
          <w:tcPr>
            <w:tcW w:type="dxa" w:w="117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20"/>
                <w:szCs w:val="20"/>
                <w:u w:val="none" w:color="000000"/>
                <w:vertAlign w:val="baseline"/>
                <w:rtl w:val="0"/>
                <w:lang w:val="it-IT"/>
              </w:rPr>
              <w:t>100.000</w:t>
            </w:r>
          </w:p>
        </w:tc>
        <w:tc>
          <w:tcPr>
            <w:tcW w:type="dxa" w:w="84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20"/>
                <w:szCs w:val="20"/>
                <w:u w:val="none" w:color="000000"/>
                <w:vertAlign w:val="baseline"/>
                <w:rtl w:val="0"/>
                <w:lang w:val="it-IT"/>
              </w:rPr>
              <w:t>100</w:t>
            </w:r>
            <w:r>
              <w:rPr>
                <w:rFonts w:ascii="Calibri" w:cs="Calibri" w:hAnsi="Calibri" w:eastAsia="Calibri"/>
                <w:caps w:val="0"/>
                <w:smallCaps w:val="0"/>
                <w:strike w:val="0"/>
                <w:dstrike w:val="0"/>
                <w:outline w:val="0"/>
                <w:color w:val="000000"/>
                <w:spacing w:val="0"/>
                <w:kern w:val="0"/>
                <w:position w:val="0"/>
                <w:sz w:val="20"/>
                <w:szCs w:val="20"/>
                <w:u w:val="none" w:color="000000"/>
                <w:vertAlign w:val="baseline"/>
                <w:rtl w:val="0"/>
                <w:lang w:val="it-IT"/>
              </w:rPr>
              <w:t> </w:t>
            </w:r>
            <w:r>
              <w:rPr>
                <w:rFonts w:ascii="Calibri" w:cs="Calibri" w:hAnsi="Calibri" w:eastAsia="Calibri"/>
                <w:caps w:val="0"/>
                <w:smallCaps w:val="0"/>
                <w:strike w:val="0"/>
                <w:dstrike w:val="0"/>
                <w:outline w:val="0"/>
                <w:color w:val="000000"/>
                <w:spacing w:val="0"/>
                <w:kern w:val="0"/>
                <w:position w:val="0"/>
                <w:sz w:val="20"/>
                <w:szCs w:val="20"/>
                <w:u w:val="none" w:color="000000"/>
                <w:vertAlign w:val="baseline"/>
                <w:rtl w:val="0"/>
                <w:lang w:val="it-IT"/>
              </w:rPr>
              <w:t>%</w:t>
            </w:r>
          </w:p>
        </w:tc>
      </w:tr>
      <w:tr>
        <w:tblPrEx>
          <w:shd w:val="clear" w:color="auto" w:fill="auto"/>
        </w:tblPrEx>
        <w:trPr>
          <w:trHeight w:val="242" w:hRule="atLeast"/>
        </w:trPr>
        <w:tc>
          <w:tcPr>
            <w:tcW w:type="dxa" w:w="44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20"/>
                <w:szCs w:val="20"/>
                <w:u w:val="none" w:color="000000"/>
                <w:vertAlign w:val="baseline"/>
                <w:rtl w:val="0"/>
                <w:lang w:val="it-IT"/>
              </w:rPr>
              <w:t>10</w:t>
            </w:r>
          </w:p>
        </w:tc>
        <w:tc>
          <w:tcPr>
            <w:tcW w:type="dxa" w:w="481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20"/>
                <w:szCs w:val="20"/>
                <w:u w:val="none" w:color="000000"/>
                <w:vertAlign w:val="baseline"/>
                <w:rtl w:val="0"/>
                <w:lang w:val="it-IT"/>
              </w:rPr>
              <w:t>CALABRIA AMBIENTE S.p.A. - 02407560784</w:t>
            </w:r>
          </w:p>
        </w:tc>
        <w:tc>
          <w:tcPr>
            <w:tcW w:type="dxa" w:w="128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20"/>
                <w:szCs w:val="20"/>
                <w:u w:val="none" w:color="000000"/>
                <w:vertAlign w:val="baseline"/>
                <w:rtl w:val="0"/>
                <w:lang w:val="it-IT"/>
              </w:rPr>
              <w:t>12/05/2005</w:t>
            </w:r>
          </w:p>
        </w:tc>
        <w:tc>
          <w:tcPr>
            <w:tcW w:type="dxa" w:w="117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20"/>
                <w:szCs w:val="20"/>
                <w:u w:val="none" w:color="000000"/>
                <w:vertAlign w:val="baseline"/>
                <w:rtl w:val="0"/>
                <w:lang w:val="it-IT"/>
              </w:rPr>
              <w:t>558.000</w:t>
            </w:r>
          </w:p>
        </w:tc>
        <w:tc>
          <w:tcPr>
            <w:tcW w:type="dxa" w:w="84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20"/>
                <w:szCs w:val="20"/>
                <w:u w:val="none" w:color="000000"/>
                <w:vertAlign w:val="baseline"/>
                <w:rtl w:val="0"/>
                <w:lang w:val="it-IT"/>
              </w:rPr>
              <w:t>6</w:t>
            </w:r>
            <w:r>
              <w:rPr>
                <w:rFonts w:ascii="Calibri" w:cs="Calibri" w:hAnsi="Calibri" w:eastAsia="Calibri"/>
                <w:caps w:val="0"/>
                <w:smallCaps w:val="0"/>
                <w:strike w:val="0"/>
                <w:dstrike w:val="0"/>
                <w:outline w:val="0"/>
                <w:color w:val="000000"/>
                <w:spacing w:val="0"/>
                <w:kern w:val="0"/>
                <w:position w:val="0"/>
                <w:sz w:val="20"/>
                <w:szCs w:val="20"/>
                <w:u w:val="none" w:color="000000"/>
                <w:vertAlign w:val="baseline"/>
                <w:rtl w:val="0"/>
                <w:lang w:val="it-IT"/>
              </w:rPr>
              <w:t> </w:t>
            </w:r>
            <w:r>
              <w:rPr>
                <w:rFonts w:ascii="Calibri" w:cs="Calibri" w:hAnsi="Calibri" w:eastAsia="Calibri"/>
                <w:caps w:val="0"/>
                <w:smallCaps w:val="0"/>
                <w:strike w:val="0"/>
                <w:dstrike w:val="0"/>
                <w:outline w:val="0"/>
                <w:color w:val="000000"/>
                <w:spacing w:val="0"/>
                <w:kern w:val="0"/>
                <w:position w:val="0"/>
                <w:sz w:val="20"/>
                <w:szCs w:val="20"/>
                <w:u w:val="none" w:color="000000"/>
                <w:vertAlign w:val="baseline"/>
                <w:rtl w:val="0"/>
                <w:lang w:val="it-IT"/>
              </w:rPr>
              <w:t>%</w:t>
            </w:r>
          </w:p>
        </w:tc>
      </w:tr>
      <w:tr>
        <w:tblPrEx>
          <w:shd w:val="clear" w:color="auto" w:fill="auto"/>
        </w:tblPrEx>
        <w:trPr>
          <w:trHeight w:val="450" w:hRule="atLeast"/>
        </w:trPr>
        <w:tc>
          <w:tcPr>
            <w:tcW w:type="dxa" w:w="44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20"/>
                <w:szCs w:val="20"/>
                <w:u w:val="none" w:color="000000"/>
                <w:vertAlign w:val="baseline"/>
                <w:rtl w:val="0"/>
                <w:lang w:val="it-IT"/>
              </w:rPr>
              <w:t>11</w:t>
            </w:r>
          </w:p>
        </w:tc>
        <w:tc>
          <w:tcPr>
            <w:tcW w:type="dxa" w:w="481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20"/>
                <w:szCs w:val="20"/>
                <w:u w:val="none" w:color="000000"/>
                <w:vertAlign w:val="baseline"/>
                <w:rtl w:val="0"/>
                <w:lang w:val="it-IT"/>
              </w:rPr>
              <w:t>Tirrenoambiente S.p.A. IN LIQUIDAZIONE - 02658020835</w:t>
            </w:r>
          </w:p>
        </w:tc>
        <w:tc>
          <w:tcPr>
            <w:tcW w:type="dxa" w:w="128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20"/>
                <w:szCs w:val="20"/>
                <w:u w:val="none" w:color="000000"/>
                <w:vertAlign w:val="baseline"/>
                <w:rtl w:val="0"/>
                <w:lang w:val="it-IT"/>
              </w:rPr>
              <w:t>16/07/2002</w:t>
            </w:r>
          </w:p>
        </w:tc>
        <w:tc>
          <w:tcPr>
            <w:tcW w:type="dxa" w:w="117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20"/>
                <w:szCs w:val="20"/>
                <w:u w:val="none" w:color="000000"/>
                <w:vertAlign w:val="baseline"/>
                <w:rtl w:val="0"/>
                <w:lang w:val="it-IT"/>
              </w:rPr>
              <w:t>500.000</w:t>
            </w:r>
          </w:p>
        </w:tc>
        <w:tc>
          <w:tcPr>
            <w:tcW w:type="dxa" w:w="84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20"/>
                <w:szCs w:val="20"/>
                <w:u w:val="none" w:color="000000"/>
                <w:vertAlign w:val="baseline"/>
                <w:rtl w:val="0"/>
                <w:lang w:val="it-IT"/>
              </w:rPr>
              <w:t>10</w:t>
            </w:r>
            <w:r>
              <w:rPr>
                <w:rFonts w:ascii="Calibri" w:cs="Calibri" w:hAnsi="Calibri" w:eastAsia="Calibri"/>
                <w:caps w:val="0"/>
                <w:smallCaps w:val="0"/>
                <w:strike w:val="0"/>
                <w:dstrike w:val="0"/>
                <w:outline w:val="0"/>
                <w:color w:val="000000"/>
                <w:spacing w:val="0"/>
                <w:kern w:val="0"/>
                <w:position w:val="0"/>
                <w:sz w:val="20"/>
                <w:szCs w:val="20"/>
                <w:u w:val="none" w:color="000000"/>
                <w:vertAlign w:val="baseline"/>
                <w:rtl w:val="0"/>
                <w:lang w:val="it-IT"/>
              </w:rPr>
              <w:t> </w:t>
            </w:r>
            <w:r>
              <w:rPr>
                <w:rFonts w:ascii="Calibri" w:cs="Calibri" w:hAnsi="Calibri" w:eastAsia="Calibri"/>
                <w:caps w:val="0"/>
                <w:smallCaps w:val="0"/>
                <w:strike w:val="0"/>
                <w:dstrike w:val="0"/>
                <w:outline w:val="0"/>
                <w:color w:val="000000"/>
                <w:spacing w:val="0"/>
                <w:kern w:val="0"/>
                <w:position w:val="0"/>
                <w:sz w:val="20"/>
                <w:szCs w:val="20"/>
                <w:u w:val="none" w:color="000000"/>
                <w:vertAlign w:val="baseline"/>
                <w:rtl w:val="0"/>
                <w:lang w:val="it-IT"/>
              </w:rPr>
              <w:t>%</w:t>
            </w:r>
          </w:p>
        </w:tc>
      </w:tr>
      <w:tr>
        <w:tblPrEx>
          <w:shd w:val="clear" w:color="auto" w:fill="auto"/>
        </w:tblPrEx>
        <w:trPr>
          <w:trHeight w:val="242" w:hRule="atLeast"/>
        </w:trPr>
        <w:tc>
          <w:tcPr>
            <w:tcW w:type="dxa" w:w="44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20"/>
                <w:szCs w:val="20"/>
                <w:u w:val="none" w:color="000000"/>
                <w:vertAlign w:val="baseline"/>
                <w:rtl w:val="0"/>
                <w:lang w:val="it-IT"/>
              </w:rPr>
              <w:t>12</w:t>
            </w:r>
          </w:p>
        </w:tc>
        <w:tc>
          <w:tcPr>
            <w:tcW w:type="dxa" w:w="481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20"/>
                <w:szCs w:val="20"/>
                <w:u w:val="none" w:color="000000"/>
                <w:vertAlign w:val="baseline"/>
                <w:rtl w:val="0"/>
                <w:lang w:val="it-IT"/>
              </w:rPr>
              <w:t>CAMPIDANO AMBIENTE S.r.l. - 03079970921</w:t>
            </w:r>
          </w:p>
        </w:tc>
        <w:tc>
          <w:tcPr>
            <w:tcW w:type="dxa" w:w="128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20"/>
                <w:szCs w:val="20"/>
                <w:u w:val="none" w:color="000000"/>
                <w:vertAlign w:val="baseline"/>
                <w:rtl w:val="0"/>
                <w:lang w:val="it-IT"/>
              </w:rPr>
              <w:t>29/12/2006</w:t>
            </w:r>
          </w:p>
        </w:tc>
        <w:tc>
          <w:tcPr>
            <w:tcW w:type="dxa" w:w="117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20"/>
                <w:szCs w:val="20"/>
                <w:u w:val="none" w:color="000000"/>
                <w:vertAlign w:val="baseline"/>
                <w:rtl w:val="0"/>
                <w:lang w:val="it-IT"/>
              </w:rPr>
              <w:t>400.000</w:t>
            </w:r>
          </w:p>
        </w:tc>
        <w:tc>
          <w:tcPr>
            <w:tcW w:type="dxa" w:w="84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20"/>
                <w:szCs w:val="20"/>
                <w:u w:val="none" w:color="000000"/>
                <w:vertAlign w:val="baseline"/>
                <w:rtl w:val="0"/>
                <w:lang w:val="it-IT"/>
              </w:rPr>
              <w:t>40</w:t>
            </w:r>
            <w:r>
              <w:rPr>
                <w:rFonts w:ascii="Calibri" w:cs="Calibri" w:hAnsi="Calibri" w:eastAsia="Calibri"/>
                <w:caps w:val="0"/>
                <w:smallCaps w:val="0"/>
                <w:strike w:val="0"/>
                <w:dstrike w:val="0"/>
                <w:outline w:val="0"/>
                <w:color w:val="000000"/>
                <w:spacing w:val="0"/>
                <w:kern w:val="0"/>
                <w:position w:val="0"/>
                <w:sz w:val="20"/>
                <w:szCs w:val="20"/>
                <w:u w:val="none" w:color="000000"/>
                <w:vertAlign w:val="baseline"/>
                <w:rtl w:val="0"/>
                <w:lang w:val="it-IT"/>
              </w:rPr>
              <w:t> </w:t>
            </w:r>
            <w:r>
              <w:rPr>
                <w:rFonts w:ascii="Calibri" w:cs="Calibri" w:hAnsi="Calibri" w:eastAsia="Calibri"/>
                <w:caps w:val="0"/>
                <w:smallCaps w:val="0"/>
                <w:strike w:val="0"/>
                <w:dstrike w:val="0"/>
                <w:outline w:val="0"/>
                <w:color w:val="000000"/>
                <w:spacing w:val="0"/>
                <w:kern w:val="0"/>
                <w:position w:val="0"/>
                <w:sz w:val="20"/>
                <w:szCs w:val="20"/>
                <w:u w:val="none" w:color="000000"/>
                <w:vertAlign w:val="baseline"/>
                <w:rtl w:val="0"/>
                <w:lang w:val="it-IT"/>
              </w:rPr>
              <w:t>%</w:t>
            </w:r>
          </w:p>
        </w:tc>
      </w:tr>
      <w:tr>
        <w:tblPrEx>
          <w:shd w:val="clear" w:color="auto" w:fill="auto"/>
        </w:tblPrEx>
        <w:trPr>
          <w:trHeight w:val="242" w:hRule="atLeast"/>
        </w:trPr>
        <w:tc>
          <w:tcPr>
            <w:tcW w:type="dxa" w:w="44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20"/>
                <w:szCs w:val="20"/>
                <w:u w:val="none" w:color="000000"/>
                <w:vertAlign w:val="baseline"/>
                <w:rtl w:val="0"/>
                <w:lang w:val="it-IT"/>
              </w:rPr>
              <w:t>13</w:t>
            </w:r>
          </w:p>
        </w:tc>
        <w:tc>
          <w:tcPr>
            <w:tcW w:type="dxa" w:w="481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20"/>
                <w:szCs w:val="20"/>
                <w:u w:val="none" w:color="000000"/>
                <w:vertAlign w:val="baseline"/>
                <w:rtl w:val="0"/>
                <w:lang w:val="it-IT"/>
              </w:rPr>
              <w:t xml:space="preserve">GEST S.r.l. </w:t>
            </w:r>
            <w:r>
              <w:rPr>
                <w:rFonts w:ascii="Calibri" w:cs="Calibri" w:hAnsi="Calibri" w:eastAsia="Calibri"/>
                <w:caps w:val="0"/>
                <w:smallCaps w:val="0"/>
                <w:strike w:val="0"/>
                <w:dstrike w:val="0"/>
                <w:outline w:val="0"/>
                <w:color w:val="000000"/>
                <w:spacing w:val="0"/>
                <w:kern w:val="0"/>
                <w:position w:val="0"/>
                <w:sz w:val="20"/>
                <w:szCs w:val="20"/>
                <w:u w:val="none" w:color="000000"/>
                <w:vertAlign w:val="baseline"/>
                <w:rtl w:val="0"/>
                <w:lang w:val="it-IT"/>
              </w:rPr>
              <w:t xml:space="preserve">– </w:t>
            </w:r>
            <w:r>
              <w:rPr>
                <w:rFonts w:ascii="Calibri" w:cs="Calibri" w:hAnsi="Calibri" w:eastAsia="Calibri"/>
                <w:caps w:val="0"/>
                <w:smallCaps w:val="0"/>
                <w:strike w:val="0"/>
                <w:dstrike w:val="0"/>
                <w:outline w:val="0"/>
                <w:color w:val="000000"/>
                <w:spacing w:val="0"/>
                <w:kern w:val="0"/>
                <w:position w:val="0"/>
                <w:sz w:val="20"/>
                <w:szCs w:val="20"/>
                <w:u w:val="none" w:color="000000"/>
                <w:vertAlign w:val="baseline"/>
                <w:rtl w:val="0"/>
                <w:lang w:val="it-IT"/>
              </w:rPr>
              <w:t>03111240549</w:t>
            </w:r>
          </w:p>
        </w:tc>
        <w:tc>
          <w:tcPr>
            <w:tcW w:type="dxa" w:w="128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20"/>
                <w:szCs w:val="20"/>
                <w:u w:val="none" w:color="000000"/>
                <w:vertAlign w:val="baseline"/>
                <w:rtl w:val="0"/>
                <w:lang w:val="it-IT"/>
              </w:rPr>
              <w:t>26/11/2009</w:t>
            </w:r>
          </w:p>
        </w:tc>
        <w:tc>
          <w:tcPr>
            <w:tcW w:type="dxa" w:w="117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20"/>
                <w:szCs w:val="20"/>
                <w:u w:val="none" w:color="000000"/>
                <w:vertAlign w:val="baseline"/>
                <w:rtl w:val="0"/>
                <w:lang w:val="it-IT"/>
              </w:rPr>
              <w:t>70.000</w:t>
            </w:r>
          </w:p>
        </w:tc>
        <w:tc>
          <w:tcPr>
            <w:tcW w:type="dxa" w:w="84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20"/>
                <w:szCs w:val="20"/>
                <w:u w:val="none" w:color="000000"/>
                <w:vertAlign w:val="baseline"/>
                <w:rtl w:val="0"/>
                <w:lang w:val="it-IT"/>
              </w:rPr>
              <w:t>70</w:t>
            </w:r>
            <w:r>
              <w:rPr>
                <w:rFonts w:ascii="Calibri" w:cs="Calibri" w:hAnsi="Calibri" w:eastAsia="Calibri"/>
                <w:caps w:val="0"/>
                <w:smallCaps w:val="0"/>
                <w:strike w:val="0"/>
                <w:dstrike w:val="0"/>
                <w:outline w:val="0"/>
                <w:color w:val="000000"/>
                <w:spacing w:val="0"/>
                <w:kern w:val="0"/>
                <w:position w:val="0"/>
                <w:sz w:val="20"/>
                <w:szCs w:val="20"/>
                <w:u w:val="none" w:color="000000"/>
                <w:vertAlign w:val="baseline"/>
                <w:rtl w:val="0"/>
                <w:lang w:val="it-IT"/>
              </w:rPr>
              <w:t> </w:t>
            </w:r>
            <w:r>
              <w:rPr>
                <w:rFonts w:ascii="Calibri" w:cs="Calibri" w:hAnsi="Calibri" w:eastAsia="Calibri"/>
                <w:caps w:val="0"/>
                <w:smallCaps w:val="0"/>
                <w:strike w:val="0"/>
                <w:dstrike w:val="0"/>
                <w:outline w:val="0"/>
                <w:color w:val="000000"/>
                <w:spacing w:val="0"/>
                <w:kern w:val="0"/>
                <w:position w:val="0"/>
                <w:sz w:val="20"/>
                <w:szCs w:val="20"/>
                <w:u w:val="none" w:color="000000"/>
                <w:vertAlign w:val="baseline"/>
                <w:rtl w:val="0"/>
                <w:lang w:val="it-IT"/>
              </w:rPr>
              <w:t>%</w:t>
            </w:r>
          </w:p>
        </w:tc>
      </w:tr>
      <w:tr>
        <w:tblPrEx>
          <w:shd w:val="clear" w:color="auto" w:fill="auto"/>
        </w:tblPrEx>
        <w:trPr>
          <w:trHeight w:val="242" w:hRule="atLeast"/>
        </w:trPr>
        <w:tc>
          <w:tcPr>
            <w:tcW w:type="dxa" w:w="44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20"/>
                <w:szCs w:val="20"/>
                <w:u w:val="none" w:color="000000"/>
                <w:vertAlign w:val="baseline"/>
                <w:rtl w:val="0"/>
                <w:lang w:val="it-IT"/>
              </w:rPr>
              <w:t>14</w:t>
            </w:r>
          </w:p>
        </w:tc>
        <w:tc>
          <w:tcPr>
            <w:tcW w:type="dxa" w:w="481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20"/>
                <w:szCs w:val="20"/>
                <w:u w:val="none" w:color="000000"/>
                <w:vertAlign w:val="baseline"/>
                <w:rtl w:val="0"/>
                <w:lang w:val="it-IT"/>
              </w:rPr>
              <w:t>CONSORZIO SIMCO IN LIQUIDAZIONE - 04282060872</w:t>
            </w:r>
          </w:p>
        </w:tc>
        <w:tc>
          <w:tcPr>
            <w:tcW w:type="dxa" w:w="128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20"/>
                <w:szCs w:val="20"/>
                <w:u w:val="none" w:color="000000"/>
                <w:vertAlign w:val="baseline"/>
                <w:rtl w:val="0"/>
                <w:lang w:val="it-IT"/>
              </w:rPr>
              <w:t>11/05/2005</w:t>
            </w:r>
          </w:p>
        </w:tc>
        <w:tc>
          <w:tcPr>
            <w:tcW w:type="dxa" w:w="117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20"/>
                <w:szCs w:val="20"/>
                <w:u w:val="none" w:color="000000"/>
                <w:vertAlign w:val="baseline"/>
                <w:rtl w:val="0"/>
                <w:lang w:val="it-IT"/>
              </w:rPr>
              <w:t>-</w:t>
            </w:r>
          </w:p>
        </w:tc>
        <w:tc>
          <w:tcPr>
            <w:tcW w:type="dxa" w:w="84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20"/>
                <w:szCs w:val="20"/>
                <w:u w:val="none" w:color="000000"/>
                <w:vertAlign w:val="baseline"/>
                <w:rtl w:val="0"/>
                <w:lang w:val="it-IT"/>
              </w:rPr>
              <w:t>-</w:t>
            </w:r>
          </w:p>
        </w:tc>
      </w:tr>
      <w:tr>
        <w:tblPrEx>
          <w:shd w:val="clear" w:color="auto" w:fill="auto"/>
        </w:tblPrEx>
        <w:trPr>
          <w:trHeight w:val="450" w:hRule="atLeast"/>
        </w:trPr>
        <w:tc>
          <w:tcPr>
            <w:tcW w:type="dxa" w:w="44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20"/>
                <w:szCs w:val="20"/>
                <w:u w:val="none" w:color="000000"/>
                <w:vertAlign w:val="baseline"/>
                <w:rtl w:val="0"/>
                <w:lang w:val="it-IT"/>
              </w:rPr>
              <w:t>15</w:t>
            </w:r>
          </w:p>
        </w:tc>
        <w:tc>
          <w:tcPr>
            <w:tcW w:type="dxa" w:w="481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20"/>
                <w:szCs w:val="20"/>
                <w:u w:val="none" w:color="000000"/>
                <w:vertAlign w:val="baseline"/>
                <w:rtl w:val="0"/>
                <w:lang w:val="it-IT"/>
              </w:rPr>
              <w:t>SOCIETA' CONSORTILE DI RICERCA E SERVIZI - A R.L. - 04509660876</w:t>
            </w:r>
          </w:p>
        </w:tc>
        <w:tc>
          <w:tcPr>
            <w:tcW w:type="dxa" w:w="128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20"/>
                <w:szCs w:val="20"/>
                <w:u w:val="none" w:color="000000"/>
                <w:vertAlign w:val="baseline"/>
                <w:rtl w:val="0"/>
                <w:lang w:val="it-IT"/>
              </w:rPr>
              <w:t>04/07/2007</w:t>
            </w:r>
          </w:p>
        </w:tc>
        <w:tc>
          <w:tcPr>
            <w:tcW w:type="dxa" w:w="117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20"/>
                <w:szCs w:val="20"/>
                <w:u w:val="none" w:color="000000"/>
                <w:vertAlign w:val="baseline"/>
                <w:rtl w:val="0"/>
                <w:lang w:val="it-IT"/>
              </w:rPr>
              <w:t>2.500</w:t>
            </w:r>
          </w:p>
        </w:tc>
        <w:tc>
          <w:tcPr>
            <w:tcW w:type="dxa" w:w="84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20"/>
                <w:szCs w:val="20"/>
                <w:u w:val="none" w:color="000000"/>
                <w:vertAlign w:val="baseline"/>
                <w:rtl w:val="0"/>
                <w:lang w:val="it-IT"/>
              </w:rPr>
              <w:t>7,69</w:t>
            </w:r>
            <w:r>
              <w:rPr>
                <w:rFonts w:ascii="Calibri" w:cs="Calibri" w:hAnsi="Calibri" w:eastAsia="Calibri"/>
                <w:caps w:val="0"/>
                <w:smallCaps w:val="0"/>
                <w:strike w:val="0"/>
                <w:dstrike w:val="0"/>
                <w:outline w:val="0"/>
                <w:color w:val="000000"/>
                <w:spacing w:val="0"/>
                <w:kern w:val="0"/>
                <w:position w:val="0"/>
                <w:sz w:val="20"/>
                <w:szCs w:val="20"/>
                <w:u w:val="none" w:color="000000"/>
                <w:vertAlign w:val="baseline"/>
                <w:rtl w:val="0"/>
                <w:lang w:val="it-IT"/>
              </w:rPr>
              <w:t> </w:t>
            </w:r>
            <w:r>
              <w:rPr>
                <w:rFonts w:ascii="Calibri" w:cs="Calibri" w:hAnsi="Calibri" w:eastAsia="Calibri"/>
                <w:caps w:val="0"/>
                <w:smallCaps w:val="0"/>
                <w:strike w:val="0"/>
                <w:dstrike w:val="0"/>
                <w:outline w:val="0"/>
                <w:color w:val="000000"/>
                <w:spacing w:val="0"/>
                <w:kern w:val="0"/>
                <w:position w:val="0"/>
                <w:sz w:val="20"/>
                <w:szCs w:val="20"/>
                <w:u w:val="none" w:color="000000"/>
                <w:vertAlign w:val="baseline"/>
                <w:rtl w:val="0"/>
                <w:lang w:val="it-IT"/>
              </w:rPr>
              <w:t>%</w:t>
            </w:r>
          </w:p>
        </w:tc>
      </w:tr>
      <w:tr>
        <w:tblPrEx>
          <w:shd w:val="clear" w:color="auto" w:fill="auto"/>
        </w:tblPrEx>
        <w:trPr>
          <w:trHeight w:val="450" w:hRule="atLeast"/>
        </w:trPr>
        <w:tc>
          <w:tcPr>
            <w:tcW w:type="dxa" w:w="44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20"/>
                <w:szCs w:val="20"/>
                <w:u w:val="none" w:color="000000"/>
                <w:vertAlign w:val="baseline"/>
                <w:rtl w:val="0"/>
                <w:lang w:val="it-IT"/>
              </w:rPr>
              <w:t>16</w:t>
            </w:r>
          </w:p>
        </w:tc>
        <w:tc>
          <w:tcPr>
            <w:tcW w:type="dxa" w:w="481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20"/>
                <w:szCs w:val="20"/>
                <w:u w:val="none" w:color="000000"/>
                <w:vertAlign w:val="baseline"/>
                <w:rtl w:val="0"/>
                <w:lang w:val="it-IT"/>
              </w:rPr>
              <w:t>ASA INTERNATIONAL S.p.A. IN LIQUIDAZIONE - 06886691002</w:t>
            </w:r>
          </w:p>
        </w:tc>
        <w:tc>
          <w:tcPr>
            <w:tcW w:type="dxa" w:w="128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20"/>
                <w:szCs w:val="20"/>
                <w:u w:val="none" w:color="000000"/>
                <w:vertAlign w:val="baseline"/>
                <w:rtl w:val="0"/>
                <w:lang w:val="it-IT"/>
              </w:rPr>
              <w:t>22/12/2003</w:t>
            </w:r>
          </w:p>
        </w:tc>
        <w:tc>
          <w:tcPr>
            <w:tcW w:type="dxa" w:w="117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20"/>
                <w:szCs w:val="20"/>
                <w:u w:val="none" w:color="000000"/>
                <w:vertAlign w:val="baseline"/>
                <w:rtl w:val="0"/>
                <w:lang w:val="it-IT"/>
              </w:rPr>
              <w:t>120.000</w:t>
            </w:r>
          </w:p>
        </w:tc>
        <w:tc>
          <w:tcPr>
            <w:tcW w:type="dxa" w:w="84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20"/>
                <w:szCs w:val="20"/>
                <w:u w:val="none" w:color="000000"/>
                <w:vertAlign w:val="baseline"/>
                <w:rtl w:val="0"/>
                <w:lang w:val="it-IT"/>
              </w:rPr>
              <w:t>100</w:t>
            </w:r>
            <w:r>
              <w:rPr>
                <w:rFonts w:ascii="Calibri" w:cs="Calibri" w:hAnsi="Calibri" w:eastAsia="Calibri"/>
                <w:caps w:val="0"/>
                <w:smallCaps w:val="0"/>
                <w:strike w:val="0"/>
                <w:dstrike w:val="0"/>
                <w:outline w:val="0"/>
                <w:color w:val="000000"/>
                <w:spacing w:val="0"/>
                <w:kern w:val="0"/>
                <w:position w:val="0"/>
                <w:sz w:val="20"/>
                <w:szCs w:val="20"/>
                <w:u w:val="none" w:color="000000"/>
                <w:vertAlign w:val="baseline"/>
                <w:rtl w:val="0"/>
                <w:lang w:val="it-IT"/>
              </w:rPr>
              <w:t> </w:t>
            </w:r>
            <w:r>
              <w:rPr>
                <w:rFonts w:ascii="Calibri" w:cs="Calibri" w:hAnsi="Calibri" w:eastAsia="Calibri"/>
                <w:caps w:val="0"/>
                <w:smallCaps w:val="0"/>
                <w:strike w:val="0"/>
                <w:dstrike w:val="0"/>
                <w:outline w:val="0"/>
                <w:color w:val="000000"/>
                <w:spacing w:val="0"/>
                <w:kern w:val="0"/>
                <w:position w:val="0"/>
                <w:sz w:val="20"/>
                <w:szCs w:val="20"/>
                <w:u w:val="none" w:color="000000"/>
                <w:vertAlign w:val="baseline"/>
                <w:rtl w:val="0"/>
                <w:lang w:val="it-IT"/>
              </w:rPr>
              <w:t>%</w:t>
            </w:r>
          </w:p>
        </w:tc>
      </w:tr>
      <w:tr>
        <w:tblPrEx>
          <w:shd w:val="clear" w:color="auto" w:fill="auto"/>
        </w:tblPrEx>
        <w:trPr>
          <w:trHeight w:val="242" w:hRule="atLeast"/>
        </w:trPr>
        <w:tc>
          <w:tcPr>
            <w:tcW w:type="dxa" w:w="44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20"/>
                <w:szCs w:val="20"/>
                <w:u w:val="none" w:color="000000"/>
                <w:vertAlign w:val="baseline"/>
                <w:rtl w:val="0"/>
                <w:lang w:val="it-IT"/>
              </w:rPr>
              <w:t>17</w:t>
            </w:r>
          </w:p>
        </w:tc>
        <w:tc>
          <w:tcPr>
            <w:tcW w:type="dxa" w:w="481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20"/>
                <w:szCs w:val="20"/>
                <w:u w:val="none" w:color="000000"/>
                <w:vertAlign w:val="baseline"/>
                <w:rtl w:val="0"/>
                <w:lang w:val="it-IT"/>
              </w:rPr>
              <w:t>SEMPLICITTA' S.r.l. - 80052640549</w:t>
            </w:r>
          </w:p>
        </w:tc>
        <w:tc>
          <w:tcPr>
            <w:tcW w:type="dxa" w:w="128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20"/>
                <w:szCs w:val="20"/>
                <w:u w:val="none" w:color="000000"/>
                <w:vertAlign w:val="baseline"/>
                <w:rtl w:val="0"/>
                <w:lang w:val="it-IT"/>
              </w:rPr>
              <w:t>06/05/2008</w:t>
            </w:r>
          </w:p>
        </w:tc>
        <w:tc>
          <w:tcPr>
            <w:tcW w:type="dxa" w:w="117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20"/>
                <w:szCs w:val="20"/>
                <w:u w:val="none" w:color="000000"/>
                <w:vertAlign w:val="baseline"/>
                <w:rtl w:val="0"/>
                <w:lang w:val="it-IT"/>
              </w:rPr>
              <w:t>8.350</w:t>
            </w:r>
          </w:p>
        </w:tc>
        <w:tc>
          <w:tcPr>
            <w:tcW w:type="dxa" w:w="84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20"/>
                <w:szCs w:val="20"/>
                <w:u w:val="none" w:color="000000"/>
                <w:vertAlign w:val="baseline"/>
                <w:rtl w:val="0"/>
                <w:lang w:val="it-IT"/>
              </w:rPr>
              <w:t>8,28</w:t>
            </w:r>
            <w:r>
              <w:rPr>
                <w:rFonts w:ascii="Calibri" w:cs="Calibri" w:hAnsi="Calibri" w:eastAsia="Calibri"/>
                <w:caps w:val="0"/>
                <w:smallCaps w:val="0"/>
                <w:strike w:val="0"/>
                <w:dstrike w:val="0"/>
                <w:outline w:val="0"/>
                <w:color w:val="000000"/>
                <w:spacing w:val="0"/>
                <w:kern w:val="0"/>
                <w:position w:val="0"/>
                <w:sz w:val="20"/>
                <w:szCs w:val="20"/>
                <w:u w:val="none" w:color="000000"/>
                <w:vertAlign w:val="baseline"/>
                <w:rtl w:val="0"/>
                <w:lang w:val="it-IT"/>
              </w:rPr>
              <w:t> </w:t>
            </w:r>
            <w:r>
              <w:rPr>
                <w:rFonts w:ascii="Calibri" w:cs="Calibri" w:hAnsi="Calibri" w:eastAsia="Calibri"/>
                <w:caps w:val="0"/>
                <w:smallCaps w:val="0"/>
                <w:strike w:val="0"/>
                <w:dstrike w:val="0"/>
                <w:outline w:val="0"/>
                <w:color w:val="000000"/>
                <w:spacing w:val="0"/>
                <w:kern w:val="0"/>
                <w:position w:val="0"/>
                <w:sz w:val="20"/>
                <w:szCs w:val="20"/>
                <w:u w:val="none" w:color="000000"/>
                <w:vertAlign w:val="baseline"/>
                <w:rtl w:val="0"/>
                <w:lang w:val="it-IT"/>
              </w:rPr>
              <w:t>%</w:t>
            </w:r>
          </w:p>
        </w:tc>
      </w:tr>
      <w:tr>
        <w:tblPrEx>
          <w:shd w:val="clear" w:color="auto" w:fill="auto"/>
        </w:tblPrEx>
        <w:trPr>
          <w:trHeight w:val="450" w:hRule="atLeast"/>
        </w:trPr>
        <w:tc>
          <w:tcPr>
            <w:tcW w:type="dxa" w:w="44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20"/>
                <w:szCs w:val="20"/>
                <w:u w:val="none" w:color="000000"/>
                <w:vertAlign w:val="baseline"/>
                <w:rtl w:val="0"/>
                <w:lang w:val="it-IT"/>
              </w:rPr>
              <w:t>18</w:t>
            </w:r>
          </w:p>
        </w:tc>
        <w:tc>
          <w:tcPr>
            <w:tcW w:type="dxa" w:w="481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20"/>
                <w:szCs w:val="20"/>
                <w:u w:val="none" w:color="000000"/>
                <w:vertAlign w:val="baseline"/>
                <w:rtl w:val="0"/>
                <w:lang w:val="it-IT"/>
              </w:rPr>
              <w:t>CONSORZIO ENERGIA CONFINDUSTRIA UMBRIA - 94087290543</w:t>
            </w:r>
          </w:p>
        </w:tc>
        <w:tc>
          <w:tcPr>
            <w:tcW w:type="dxa" w:w="128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20"/>
                <w:szCs w:val="20"/>
                <w:u w:val="none" w:color="000000"/>
                <w:vertAlign w:val="baseline"/>
                <w:rtl w:val="0"/>
                <w:lang w:val="it-IT"/>
              </w:rPr>
              <w:t>12/09/2008</w:t>
            </w:r>
          </w:p>
        </w:tc>
        <w:tc>
          <w:tcPr>
            <w:tcW w:type="dxa" w:w="117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20"/>
                <w:szCs w:val="20"/>
                <w:u w:val="none" w:color="000000"/>
                <w:vertAlign w:val="baseline"/>
                <w:rtl w:val="0"/>
                <w:lang w:val="it-IT"/>
              </w:rPr>
              <w:t>-</w:t>
            </w:r>
          </w:p>
        </w:tc>
        <w:tc>
          <w:tcPr>
            <w:tcW w:type="dxa" w:w="84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center"/>
            </w:pPr>
            <w:r>
              <w:rPr>
                <w:rFonts w:ascii="Calibri" w:cs="Calibri" w:hAnsi="Calibri" w:eastAsia="Calibri"/>
                <w:caps w:val="0"/>
                <w:smallCaps w:val="0"/>
                <w:strike w:val="0"/>
                <w:dstrike w:val="0"/>
                <w:outline w:val="0"/>
                <w:color w:val="000000"/>
                <w:spacing w:val="0"/>
                <w:kern w:val="0"/>
                <w:position w:val="0"/>
                <w:sz w:val="20"/>
                <w:szCs w:val="20"/>
                <w:u w:val="none" w:color="000000"/>
                <w:vertAlign w:val="baseline"/>
                <w:rtl w:val="0"/>
                <w:lang w:val="it-IT"/>
              </w:rPr>
              <w:t>-</w:t>
            </w:r>
          </w:p>
        </w:tc>
      </w:tr>
    </w:tbl>
    <w:p>
      <w:pPr>
        <w:pStyle w:val="Normal"/>
        <w:keepNext w:val="1"/>
        <w:ind w:right="567" w:firstLine="567"/>
        <w:jc w:val="center"/>
        <w:rPr>
          <w:rFonts w:ascii="Book Antiqua" w:cs="Book Antiqua" w:hAnsi="Book Antiqua" w:eastAsia="Book Antiqua"/>
        </w:rPr>
      </w:pPr>
    </w:p>
    <w:p>
      <w:pPr>
        <w:pStyle w:val="Normal"/>
        <w:keepNext w:val="1"/>
        <w:ind w:left="567" w:right="567" w:firstLine="0"/>
        <w:jc w:val="both"/>
        <w:rPr>
          <w:rFonts w:ascii="Book Antiqua" w:cs="Book Antiqua" w:hAnsi="Book Antiqua" w:eastAsia="Book Antiqua"/>
        </w:rPr>
      </w:pPr>
    </w:p>
    <w:p>
      <w:pPr>
        <w:pStyle w:val="Normal"/>
        <w:keepNext w:val="1"/>
        <w:ind w:left="567" w:right="567" w:firstLine="0"/>
        <w:jc w:val="both"/>
        <w:rPr>
          <w:rFonts w:ascii="Book Antiqua" w:cs="Book Antiqua" w:hAnsi="Book Antiqua" w:eastAsia="Book Antiqua"/>
        </w:rPr>
      </w:pPr>
      <w:r>
        <w:rPr>
          <w:rFonts w:ascii="Book Antiqua"/>
          <w:rtl w:val="0"/>
          <w:lang w:val="it-IT"/>
        </w:rPr>
        <w:t>L</w:t>
      </w:r>
      <w:r>
        <w:rPr>
          <w:rFonts w:hAnsi="Book Antiqua" w:hint="default"/>
          <w:rtl w:val="0"/>
          <w:lang w:val="it-IT"/>
        </w:rPr>
        <w:t>’</w:t>
      </w:r>
      <w:r>
        <w:rPr>
          <w:rFonts w:ascii="Book Antiqua"/>
          <w:rtl w:val="0"/>
          <w:lang w:val="it-IT"/>
        </w:rPr>
        <w:t xml:space="preserve">elenco di aziende appena evidenziato </w:t>
      </w:r>
      <w:r>
        <w:rPr>
          <w:rFonts w:hAnsi="Book Antiqua" w:hint="default"/>
          <w:rtl w:val="0"/>
          <w:lang w:val="it-IT"/>
        </w:rPr>
        <w:t xml:space="preserve">è </w:t>
      </w:r>
      <w:r>
        <w:rPr>
          <w:rFonts w:ascii="Book Antiqua"/>
          <w:rtl w:val="0"/>
          <w:lang w:val="it-IT"/>
        </w:rPr>
        <w:t>rappresentativo della diffusione capillare a livello nazionale dell</w:t>
      </w:r>
      <w:r>
        <w:rPr>
          <w:rFonts w:hAnsi="Book Antiqua" w:hint="default"/>
          <w:rtl w:val="0"/>
          <w:lang w:val="it-IT"/>
        </w:rPr>
        <w:t>’</w:t>
      </w:r>
      <w:r>
        <w:rPr>
          <w:rFonts w:ascii="Book Antiqua"/>
          <w:rtl w:val="0"/>
          <w:lang w:val="it-IT"/>
        </w:rPr>
        <w:t xml:space="preserve">azienda </w:t>
      </w:r>
      <w:r>
        <w:rPr>
          <w:rFonts w:hAnsi="Book Antiqua" w:hint="default"/>
          <w:rtl w:val="0"/>
          <w:lang w:val="it-IT"/>
        </w:rPr>
        <w:t xml:space="preserve">– </w:t>
      </w:r>
      <w:r>
        <w:rPr>
          <w:rFonts w:ascii="Book Antiqua"/>
          <w:rtl w:val="0"/>
          <w:lang w:val="it-IT"/>
        </w:rPr>
        <w:t>gi</w:t>
      </w:r>
      <w:r>
        <w:rPr>
          <w:rFonts w:hAnsi="Book Antiqua" w:hint="default"/>
          <w:rtl w:val="0"/>
          <w:lang w:val="it-IT"/>
        </w:rPr>
        <w:t xml:space="preserve">à </w:t>
      </w:r>
      <w:r>
        <w:rPr>
          <w:rFonts w:ascii="Book Antiqua"/>
          <w:rtl w:val="0"/>
          <w:lang w:val="it-IT"/>
        </w:rPr>
        <w:t>riconducibile ai Cerroni - nella raccolta e smaltimento dei rifiuti.</w:t>
      </w:r>
    </w:p>
    <w:p>
      <w:pPr>
        <w:pStyle w:val="Normal"/>
        <w:keepNext w:val="1"/>
        <w:ind w:left="567" w:right="567" w:firstLine="0"/>
        <w:jc w:val="both"/>
        <w:rPr>
          <w:rFonts w:ascii="Book Antiqua" w:cs="Book Antiqua" w:hAnsi="Book Antiqua" w:eastAsia="Book Antiqua"/>
        </w:rPr>
      </w:pPr>
      <w:r>
        <w:rPr>
          <w:rFonts w:ascii="Book Antiqua"/>
          <w:rtl w:val="0"/>
          <w:lang w:val="it-IT"/>
        </w:rPr>
        <w:t xml:space="preserve">A tale proposito, a puro titolo esemplificativo, si rammenta che la Gesenu S.p.A., oltre ad occuparsi direttamente del servizio di raccolta rifiuti in molti comuni italiani, tra cui Perugia, Santa Teresa di Gallura (OT), Tempio Pausania (OT) </w:t>
      </w:r>
      <w:r>
        <w:rPr>
          <w:rFonts w:hAnsi="Book Antiqua" w:hint="default"/>
          <w:rtl w:val="0"/>
          <w:lang w:val="it-IT"/>
        </w:rPr>
        <w:t xml:space="preserve">– </w:t>
      </w:r>
      <w:r>
        <w:rPr>
          <w:rFonts w:ascii="Book Antiqua"/>
          <w:rtl w:val="0"/>
          <w:lang w:val="it-IT"/>
        </w:rPr>
        <w:t>con la gestione del relativo impianto di depurazione - Badesi (OT), Aglientu (OT), provvede:</w:t>
      </w:r>
    </w:p>
    <w:p>
      <w:pPr>
        <w:pStyle w:val="Normal"/>
        <w:keepNext w:val="1"/>
        <w:numPr>
          <w:ilvl w:val="0"/>
          <w:numId w:val="132"/>
        </w:numPr>
        <w:tabs>
          <w:tab w:val="num" w:pos="851"/>
          <w:tab w:val="clear" w:pos="0"/>
        </w:tabs>
        <w:bidi w:val="0"/>
        <w:ind w:left="851" w:right="567" w:hanging="284"/>
        <w:jc w:val="both"/>
        <w:rPr>
          <w:rFonts w:ascii="Book Antiqua" w:cs="Book Antiqua" w:hAnsi="Book Antiqua" w:eastAsia="Book Antiqua"/>
          <w:position w:val="0"/>
          <w:sz w:val="24"/>
          <w:szCs w:val="24"/>
          <w:rtl w:val="0"/>
        </w:rPr>
      </w:pPr>
      <w:r>
        <w:rPr>
          <w:rFonts w:ascii="Book Antiqua"/>
          <w:rtl w:val="0"/>
          <w:lang w:val="it-IT"/>
        </w:rPr>
        <w:t>con la Gest S.r.l. (aggiudicataria della gara per la concessione del Ciclo Integrato dei rifiuti per l</w:t>
      </w:r>
      <w:r>
        <w:rPr>
          <w:rFonts w:hAnsi="Book Antiqua" w:hint="default"/>
          <w:rtl w:val="0"/>
          <w:lang w:val="it-IT"/>
        </w:rPr>
        <w:t>’</w:t>
      </w:r>
      <w:r>
        <w:rPr>
          <w:rFonts w:ascii="Book Antiqua"/>
          <w:rtl w:val="0"/>
          <w:lang w:val="it-IT"/>
        </w:rPr>
        <w:t>ATI n. 2 della regione Umbria), in collaborazione con la SIA S.p.A., con la TSA S.p.A. e con la Ecocave S.r.l., al servizio di igiene ambientale in 24 comuni della provincia di Perugia (Bastia Umbra, Bettona, Todi, Torgiano, Castiglione del Lago, Citt</w:t>
      </w:r>
      <w:r>
        <w:rPr>
          <w:rFonts w:hAnsi="Book Antiqua" w:hint="default"/>
          <w:rtl w:val="0"/>
          <w:lang w:val="it-IT"/>
        </w:rPr>
        <w:t xml:space="preserve">à </w:t>
      </w:r>
      <w:r>
        <w:rPr>
          <w:rFonts w:ascii="Book Antiqua"/>
          <w:rtl w:val="0"/>
          <w:lang w:val="it-IT"/>
        </w:rPr>
        <w:t>della Pieve, Corciano, Magione, Paciano, Panicale, Passignano sul Trasimeno, Piegaro, Tuoro sul Trasimeno, Valfabbrica, Assisi, Marsciano, Collazzone, Cannara, Deruta, Fratta Todina, Giano dell</w:t>
      </w:r>
      <w:r>
        <w:rPr>
          <w:rFonts w:hAnsi="Book Antiqua" w:hint="default"/>
          <w:rtl w:val="0"/>
          <w:lang w:val="it-IT"/>
        </w:rPr>
        <w:t>’</w:t>
      </w:r>
      <w:r>
        <w:rPr>
          <w:rFonts w:ascii="Book Antiqua"/>
          <w:rtl w:val="0"/>
          <w:lang w:val="it-IT"/>
        </w:rPr>
        <w:t>Umbria, Gualdo Cattaneo, Massa Martana, Monte Castello di Vibio, San Venanzo);</w:t>
      </w:r>
    </w:p>
    <w:p>
      <w:pPr>
        <w:pStyle w:val="Normal"/>
        <w:keepNext w:val="1"/>
        <w:numPr>
          <w:ilvl w:val="0"/>
          <w:numId w:val="133"/>
        </w:numPr>
        <w:tabs>
          <w:tab w:val="num" w:pos="851"/>
          <w:tab w:val="clear" w:pos="0"/>
        </w:tabs>
        <w:bidi w:val="0"/>
        <w:ind w:left="851" w:right="567" w:hanging="284"/>
        <w:jc w:val="both"/>
        <w:rPr>
          <w:rFonts w:ascii="Book Antiqua" w:cs="Book Antiqua" w:hAnsi="Book Antiqua" w:eastAsia="Book Antiqua"/>
          <w:position w:val="0"/>
          <w:sz w:val="24"/>
          <w:szCs w:val="24"/>
          <w:rtl w:val="0"/>
        </w:rPr>
      </w:pPr>
      <w:r>
        <w:rPr>
          <w:rFonts w:ascii="Book Antiqua"/>
          <w:rtl w:val="0"/>
          <w:lang w:val="it-IT"/>
        </w:rPr>
        <w:t>con la SETA - Servizi Territoriali Ambientali S.p.A., al servizio di raccolta rifiuti in 14 comuni nella provincia di Savona;</w:t>
      </w:r>
    </w:p>
    <w:p>
      <w:pPr>
        <w:pStyle w:val="Normal"/>
        <w:keepNext w:val="1"/>
        <w:numPr>
          <w:ilvl w:val="0"/>
          <w:numId w:val="134"/>
        </w:numPr>
        <w:tabs>
          <w:tab w:val="num" w:pos="851"/>
          <w:tab w:val="clear" w:pos="0"/>
        </w:tabs>
        <w:bidi w:val="0"/>
        <w:ind w:left="851" w:right="567" w:hanging="284"/>
        <w:jc w:val="both"/>
        <w:rPr>
          <w:rFonts w:ascii="Book Antiqua" w:cs="Book Antiqua" w:hAnsi="Book Antiqua" w:eastAsia="Book Antiqua"/>
          <w:position w:val="0"/>
          <w:sz w:val="24"/>
          <w:szCs w:val="24"/>
          <w:rtl w:val="0"/>
        </w:rPr>
      </w:pPr>
      <w:r>
        <w:rPr>
          <w:rFonts w:ascii="Book Antiqua"/>
          <w:rtl w:val="0"/>
          <w:lang w:val="it-IT"/>
        </w:rPr>
        <w:t>con la Calabria Ambiente S.p.A. (gi</w:t>
      </w:r>
      <w:r>
        <w:rPr>
          <w:rFonts w:hAnsi="Book Antiqua" w:hint="default"/>
          <w:rtl w:val="0"/>
          <w:lang w:val="it-IT"/>
        </w:rPr>
        <w:t xml:space="preserve">à </w:t>
      </w:r>
      <w:r>
        <w:rPr>
          <w:rFonts w:ascii="Book Antiqua"/>
          <w:rtl w:val="0"/>
          <w:lang w:val="it-IT"/>
        </w:rPr>
        <w:t>Altilia Ambiente Srl), alla gestione di impianti di smaltimento RSU nel bacino Calabria Nord;</w:t>
      </w:r>
    </w:p>
    <w:p>
      <w:pPr>
        <w:pStyle w:val="Normal"/>
        <w:keepNext w:val="1"/>
        <w:numPr>
          <w:ilvl w:val="0"/>
          <w:numId w:val="135"/>
        </w:numPr>
        <w:tabs>
          <w:tab w:val="num" w:pos="851"/>
          <w:tab w:val="clear" w:pos="0"/>
        </w:tabs>
        <w:bidi w:val="0"/>
        <w:ind w:left="851" w:right="567" w:hanging="284"/>
        <w:jc w:val="both"/>
        <w:rPr>
          <w:rFonts w:ascii="Book Antiqua" w:cs="Book Antiqua" w:hAnsi="Book Antiqua" w:eastAsia="Book Antiqua"/>
          <w:position w:val="0"/>
          <w:sz w:val="24"/>
          <w:szCs w:val="24"/>
          <w:rtl w:val="0"/>
        </w:rPr>
      </w:pPr>
      <w:r>
        <w:rPr>
          <w:rFonts w:ascii="Book Antiqua"/>
          <w:rtl w:val="0"/>
          <w:lang w:val="it-IT"/>
        </w:rPr>
        <w:t>in ATI (con Paoletti Ecologia S.r.l. e C.N.S. Cooplat), al servizio di igiene ambientale del comune di Fiumicino;</w:t>
      </w:r>
    </w:p>
    <w:p>
      <w:pPr>
        <w:pStyle w:val="Normal"/>
        <w:keepNext w:val="1"/>
        <w:numPr>
          <w:ilvl w:val="0"/>
          <w:numId w:val="136"/>
        </w:numPr>
        <w:tabs>
          <w:tab w:val="num" w:pos="851"/>
          <w:tab w:val="clear" w:pos="0"/>
        </w:tabs>
        <w:bidi w:val="0"/>
        <w:ind w:left="851" w:right="567" w:hanging="284"/>
        <w:jc w:val="both"/>
        <w:rPr>
          <w:rFonts w:ascii="Book Antiqua" w:cs="Book Antiqua" w:hAnsi="Book Antiqua" w:eastAsia="Book Antiqua"/>
          <w:position w:val="0"/>
          <w:sz w:val="24"/>
          <w:szCs w:val="24"/>
          <w:rtl w:val="0"/>
        </w:rPr>
      </w:pPr>
      <w:r>
        <w:rPr>
          <w:rFonts w:ascii="Book Antiqua"/>
          <w:rtl w:val="0"/>
          <w:lang w:val="it-IT"/>
        </w:rPr>
        <w:t>con la Tirreno Ambiente S.p.A., all</w:t>
      </w:r>
      <w:r>
        <w:rPr>
          <w:rFonts w:hAnsi="Book Antiqua" w:hint="default"/>
          <w:rtl w:val="0"/>
          <w:lang w:val="it-IT"/>
        </w:rPr>
        <w:t>’</w:t>
      </w:r>
      <w:r>
        <w:rPr>
          <w:rFonts w:ascii="Book Antiqua"/>
          <w:rtl w:val="0"/>
          <w:lang w:val="it-IT"/>
        </w:rPr>
        <w:t>esecuzione dei servizi di igiene urbana e di smaltimento per il comune di Mazzarr</w:t>
      </w:r>
      <w:r>
        <w:rPr>
          <w:rFonts w:hAnsi="Book Antiqua" w:hint="default"/>
          <w:rtl w:val="0"/>
          <w:lang w:val="it-IT"/>
        </w:rPr>
        <w:t xml:space="preserve">à </w:t>
      </w:r>
      <w:r>
        <w:rPr>
          <w:rFonts w:ascii="Book Antiqua"/>
          <w:rtl w:val="0"/>
          <w:lang w:val="it-IT"/>
        </w:rPr>
        <w:t>(ME), unitamente alla gestione della discarica di contrada Zupp</w:t>
      </w:r>
      <w:r>
        <w:rPr>
          <w:rFonts w:hAnsi="Book Antiqua" w:hint="default"/>
          <w:rtl w:val="0"/>
          <w:lang w:val="it-IT"/>
        </w:rPr>
        <w:t>à</w:t>
      </w:r>
      <w:r>
        <w:rPr>
          <w:rFonts w:ascii="Book Antiqua"/>
          <w:rtl w:val="0"/>
          <w:lang w:val="it-IT"/>
        </w:rPr>
        <w:t>;</w:t>
      </w:r>
    </w:p>
    <w:p>
      <w:pPr>
        <w:pStyle w:val="Normal"/>
        <w:keepNext w:val="1"/>
        <w:numPr>
          <w:ilvl w:val="0"/>
          <w:numId w:val="137"/>
        </w:numPr>
        <w:tabs>
          <w:tab w:val="num" w:pos="851"/>
          <w:tab w:val="clear" w:pos="0"/>
        </w:tabs>
        <w:bidi w:val="0"/>
        <w:ind w:left="851" w:right="567" w:hanging="284"/>
        <w:jc w:val="both"/>
        <w:rPr>
          <w:rFonts w:ascii="Book Antiqua" w:cs="Book Antiqua" w:hAnsi="Book Antiqua" w:eastAsia="Book Antiqua"/>
          <w:position w:val="0"/>
          <w:sz w:val="24"/>
          <w:szCs w:val="24"/>
          <w:rtl w:val="0"/>
        </w:rPr>
      </w:pPr>
      <w:r>
        <w:rPr>
          <w:rFonts w:ascii="Book Antiqua"/>
          <w:rtl w:val="0"/>
          <w:lang w:val="it-IT"/>
        </w:rPr>
        <w:t>con la Campidano Ambiente S.r.l., al servizio di raccolta rifiuti nei comuni di Sinnai (CA), Selargius (CA) e Monserrato (CA);</w:t>
      </w:r>
    </w:p>
    <w:p>
      <w:pPr>
        <w:pStyle w:val="Normal"/>
        <w:keepNext w:val="1"/>
        <w:numPr>
          <w:ilvl w:val="0"/>
          <w:numId w:val="138"/>
        </w:numPr>
        <w:tabs>
          <w:tab w:val="num" w:pos="851"/>
          <w:tab w:val="clear" w:pos="0"/>
        </w:tabs>
        <w:bidi w:val="0"/>
        <w:ind w:left="851" w:right="567" w:hanging="284"/>
        <w:jc w:val="both"/>
        <w:rPr>
          <w:rFonts w:ascii="Book Antiqua" w:cs="Book Antiqua" w:hAnsi="Book Antiqua" w:eastAsia="Book Antiqua"/>
          <w:position w:val="0"/>
          <w:sz w:val="24"/>
          <w:szCs w:val="24"/>
          <w:rtl w:val="0"/>
        </w:rPr>
      </w:pPr>
      <w:r>
        <w:rPr>
          <w:rFonts w:ascii="Book Antiqua"/>
          <w:rtl w:val="0"/>
          <w:lang w:val="it-IT"/>
        </w:rPr>
        <w:t>con la Viterbo Ambiente Scarl, al servizio di igiene ambientale dei comuni di Viterbo e Montefiascone (VT).</w:t>
      </w:r>
    </w:p>
    <w:p>
      <w:pPr>
        <w:pStyle w:val="Normal"/>
        <w:keepNext w:val="1"/>
        <w:ind w:left="567" w:right="567" w:firstLine="0"/>
        <w:jc w:val="both"/>
        <w:rPr>
          <w:rFonts w:ascii="Book Antiqua" w:cs="Book Antiqua" w:hAnsi="Book Antiqua" w:eastAsia="Book Antiqua"/>
        </w:rPr>
      </w:pPr>
    </w:p>
    <w:p>
      <w:pPr>
        <w:pStyle w:val="Normal"/>
        <w:keepNext w:val="1"/>
        <w:ind w:left="567" w:right="567" w:firstLine="0"/>
        <w:jc w:val="both"/>
        <w:rPr>
          <w:rFonts w:ascii="Book Antiqua" w:cs="Book Antiqua" w:hAnsi="Book Antiqua" w:eastAsia="Book Antiqua"/>
        </w:rPr>
      </w:pPr>
      <w:r>
        <w:rPr>
          <w:rFonts w:ascii="Book Antiqua"/>
          <w:rtl w:val="0"/>
          <w:lang w:val="it-IT"/>
        </w:rPr>
        <w:t>Come gi</w:t>
      </w:r>
      <w:r>
        <w:rPr>
          <w:rFonts w:hAnsi="Book Antiqua" w:hint="default"/>
          <w:rtl w:val="0"/>
          <w:lang w:val="it-IT"/>
        </w:rPr>
        <w:t xml:space="preserve">à </w:t>
      </w:r>
      <w:r>
        <w:rPr>
          <w:rFonts w:ascii="Book Antiqua"/>
          <w:rtl w:val="0"/>
          <w:lang w:val="it-IT"/>
        </w:rPr>
        <w:t>precisato, una partecipazione qualificata della Gesenu S.p.A. (il 45 per cento dell</w:t>
      </w:r>
      <w:r>
        <w:rPr>
          <w:rFonts w:hAnsi="Book Antiqua" w:hint="default"/>
          <w:rtl w:val="0"/>
          <w:lang w:val="it-IT"/>
        </w:rPr>
        <w:t>’</w:t>
      </w:r>
      <w:r>
        <w:rPr>
          <w:rFonts w:ascii="Book Antiqua"/>
          <w:rtl w:val="0"/>
          <w:lang w:val="it-IT"/>
        </w:rPr>
        <w:t xml:space="preserve">intero capitale sociale) </w:t>
      </w:r>
      <w:r>
        <w:rPr>
          <w:rFonts w:hAnsi="Book Antiqua" w:hint="default"/>
          <w:rtl w:val="0"/>
          <w:lang w:val="it-IT"/>
        </w:rPr>
        <w:t xml:space="preserve">è </w:t>
      </w:r>
      <w:r>
        <w:rPr>
          <w:rFonts w:ascii="Book Antiqua"/>
          <w:rtl w:val="0"/>
          <w:lang w:val="it-IT"/>
        </w:rPr>
        <w:t>rimasta nella titolarit</w:t>
      </w:r>
      <w:r>
        <w:rPr>
          <w:rFonts w:hAnsi="Book Antiqua" w:hint="default"/>
          <w:rtl w:val="0"/>
          <w:lang w:val="it-IT"/>
        </w:rPr>
        <w:t xml:space="preserve">à </w:t>
      </w:r>
      <w:r>
        <w:rPr>
          <w:rFonts w:ascii="Book Antiqua"/>
          <w:rtl w:val="0"/>
          <w:lang w:val="it-IT"/>
        </w:rPr>
        <w:t>della Impresa A. Cecchini &amp; C. S.r.l., e quindi riconducibile alla famiglia Cerroni, fino a met</w:t>
      </w:r>
      <w:r>
        <w:rPr>
          <w:rFonts w:hAnsi="Book Antiqua" w:hint="default"/>
          <w:rtl w:val="0"/>
          <w:lang w:val="it-IT"/>
        </w:rPr>
        <w:t xml:space="preserve">à </w:t>
      </w:r>
      <w:r>
        <w:rPr>
          <w:rFonts w:ascii="Book Antiqua"/>
          <w:rtl w:val="0"/>
          <w:lang w:val="it-IT"/>
        </w:rPr>
        <w:t xml:space="preserve">del 2016: il 13 luglio 2016, infatti, si </w:t>
      </w:r>
      <w:r>
        <w:rPr>
          <w:rFonts w:hAnsi="Book Antiqua" w:hint="default"/>
          <w:rtl w:val="0"/>
          <w:lang w:val="it-IT"/>
        </w:rPr>
        <w:t xml:space="preserve">è </w:t>
      </w:r>
      <w:r>
        <w:rPr>
          <w:rFonts w:ascii="Book Antiqua"/>
          <w:rtl w:val="0"/>
          <w:lang w:val="it-IT"/>
        </w:rPr>
        <w:t>assistito alla cessione del pacchetto di controllo</w:t>
      </w:r>
      <w:r>
        <w:rPr>
          <w:rFonts w:ascii="Book Antiqua" w:cs="Book Antiqua" w:hAnsi="Book Antiqua" w:eastAsia="Book Antiqua"/>
          <w:vertAlign w:val="superscript"/>
          <w:rtl w:val="0"/>
        </w:rPr>
        <w:footnoteReference w:id="209"/>
      </w:r>
      <w:r>
        <w:rPr>
          <w:rFonts w:ascii="Book Antiqua"/>
          <w:rtl w:val="0"/>
          <w:lang w:val="it-IT"/>
        </w:rPr>
        <w:t xml:space="preserve"> a favore della Socesfin S.r.l.</w:t>
      </w:r>
      <w:r>
        <w:rPr>
          <w:rFonts w:ascii="Book Antiqua" w:cs="Book Antiqua" w:hAnsi="Book Antiqua" w:eastAsia="Book Antiqua"/>
          <w:vertAlign w:val="superscript"/>
          <w:rtl w:val="0"/>
        </w:rPr>
        <w:footnoteReference w:id="210"/>
      </w:r>
      <w:r>
        <w:rPr>
          <w:rFonts w:ascii="Book Antiqua"/>
          <w:rtl w:val="0"/>
          <w:lang w:val="it-IT"/>
        </w:rPr>
        <w:t xml:space="preserve">, </w:t>
      </w:r>
      <w:r>
        <w:rPr>
          <w:rFonts w:ascii="Book Antiqua"/>
          <w:i w:val="1"/>
          <w:iCs w:val="1"/>
          <w:rtl w:val="0"/>
          <w:lang w:val="it-IT"/>
        </w:rPr>
        <w:t>holding</w:t>
      </w:r>
      <w:r>
        <w:rPr>
          <w:rFonts w:ascii="Book Antiqua"/>
          <w:rtl w:val="0"/>
          <w:lang w:val="it-IT"/>
        </w:rPr>
        <w:t xml:space="preserve"> multisettoriale del Gruppo Paoletti operante nei settori primario (originarie</w:t>
      </w:r>
      <w:r>
        <w:rPr>
          <w:rFonts w:ascii="Book Antiqua Bold"/>
          <w:b w:val="1"/>
          <w:bCs w:val="1"/>
          <w:rtl w:val="0"/>
          <w:lang w:val="it-IT"/>
        </w:rPr>
        <w:t xml:space="preserve"> </w:t>
      </w:r>
      <w:r>
        <w:rPr>
          <w:rFonts w:ascii="Book Antiqua"/>
          <w:rtl w:val="0"/>
          <w:lang w:val="it-IT"/>
        </w:rPr>
        <w:t>attivit</w:t>
      </w:r>
      <w:r>
        <w:rPr>
          <w:rFonts w:hAnsi="Book Antiqua" w:hint="default"/>
          <w:rtl w:val="0"/>
          <w:lang w:val="it-IT"/>
        </w:rPr>
        <w:t xml:space="preserve">à </w:t>
      </w:r>
      <w:r>
        <w:rPr>
          <w:rFonts w:ascii="Book Antiqua"/>
          <w:rtl w:val="0"/>
          <w:lang w:val="it-IT"/>
        </w:rPr>
        <w:t>agricole in Umbria; allevamento di bestiame e coltivazione di mais, grano e girasole in Argentina), secondario</w:t>
      </w:r>
      <w:r>
        <w:rPr>
          <w:rFonts w:ascii="Book Antiqua Bold"/>
          <w:b w:val="1"/>
          <w:bCs w:val="1"/>
          <w:rtl w:val="0"/>
          <w:lang w:val="it-IT"/>
        </w:rPr>
        <w:t xml:space="preserve"> </w:t>
      </w:r>
      <w:r>
        <w:rPr>
          <w:rFonts w:ascii="Book Antiqua"/>
          <w:rtl w:val="0"/>
          <w:lang w:val="it-IT"/>
        </w:rPr>
        <w:t>(attivit</w:t>
      </w:r>
      <w:r>
        <w:rPr>
          <w:rFonts w:hAnsi="Book Antiqua" w:hint="default"/>
          <w:rtl w:val="0"/>
          <w:lang w:val="it-IT"/>
        </w:rPr>
        <w:t xml:space="preserve">à </w:t>
      </w:r>
      <w:r>
        <w:rPr>
          <w:rFonts w:ascii="Book Antiqua"/>
          <w:rtl w:val="0"/>
          <w:lang w:val="it-IT"/>
        </w:rPr>
        <w:t>di produzione di produzione di acido solforico) e terziario</w:t>
      </w:r>
      <w:r>
        <w:rPr>
          <w:rFonts w:ascii="Book Antiqua Bold"/>
          <w:b w:val="1"/>
          <w:bCs w:val="1"/>
          <w:rtl w:val="0"/>
          <w:lang w:val="it-IT"/>
        </w:rPr>
        <w:t xml:space="preserve"> </w:t>
      </w:r>
      <w:r>
        <w:rPr>
          <w:rFonts w:ascii="Book Antiqua"/>
          <w:rtl w:val="0"/>
          <w:lang w:val="it-IT"/>
        </w:rPr>
        <w:t>(attivit</w:t>
      </w:r>
      <w:r>
        <w:rPr>
          <w:rFonts w:hAnsi="Book Antiqua" w:hint="default"/>
          <w:rtl w:val="0"/>
          <w:lang w:val="it-IT"/>
        </w:rPr>
        <w:t xml:space="preserve">à </w:t>
      </w:r>
      <w:r>
        <w:rPr>
          <w:rFonts w:ascii="Book Antiqua"/>
          <w:rtl w:val="0"/>
          <w:lang w:val="it-IT"/>
        </w:rPr>
        <w:t>relative ai trasporti, alla logistica e alla gestione dei rifiuti).</w:t>
      </w:r>
    </w:p>
    <w:p>
      <w:pPr>
        <w:pStyle w:val="Normal"/>
        <w:keepNext w:val="1"/>
        <w:ind w:left="567" w:right="567" w:firstLine="0"/>
        <w:jc w:val="both"/>
        <w:rPr>
          <w:rFonts w:ascii="Book Antiqua" w:cs="Book Antiqua" w:hAnsi="Book Antiqua" w:eastAsia="Book Antiqua"/>
        </w:rPr>
      </w:pPr>
      <w:r>
        <w:rPr>
          <w:rFonts w:ascii="Book Antiqua"/>
          <w:rtl w:val="0"/>
          <w:lang w:val="it-IT"/>
        </w:rPr>
        <w:t>L</w:t>
      </w:r>
      <w:r>
        <w:rPr>
          <w:rFonts w:hAnsi="Book Antiqua" w:hint="default"/>
          <w:rtl w:val="0"/>
          <w:lang w:val="it-IT"/>
        </w:rPr>
        <w:t>’</w:t>
      </w:r>
      <w:r>
        <w:rPr>
          <w:rFonts w:ascii="Book Antiqua"/>
          <w:rtl w:val="0"/>
          <w:lang w:val="it-IT"/>
        </w:rPr>
        <w:t>anzidetta cessione coincide con la vicenda relativa all</w:t>
      </w:r>
      <w:r>
        <w:rPr>
          <w:rFonts w:hAnsi="Book Antiqua" w:hint="default"/>
          <w:rtl w:val="0"/>
          <w:lang w:val="it-IT"/>
        </w:rPr>
        <w:t>’</w:t>
      </w:r>
      <w:r>
        <w:rPr>
          <w:rFonts w:ascii="Book Antiqua"/>
          <w:rtl w:val="0"/>
          <w:lang w:val="it-IT"/>
        </w:rPr>
        <w:t>emissione di un</w:t>
      </w:r>
      <w:r>
        <w:rPr>
          <w:rFonts w:hAnsi="Book Antiqua" w:hint="default"/>
          <w:rtl w:val="0"/>
          <w:lang w:val="it-IT"/>
        </w:rPr>
        <w:t>’</w:t>
      </w:r>
      <w:r>
        <w:rPr>
          <w:rFonts w:ascii="Book Antiqua"/>
          <w:rtl w:val="0"/>
          <w:lang w:val="it-IT"/>
        </w:rPr>
        <w:t>interdittiva antimafia emessa nel 2015 nei confronti della stessa Gesenu S.p.A.</w:t>
      </w:r>
      <w:r>
        <w:rPr>
          <w:rFonts w:ascii="Book Antiqua" w:cs="Book Antiqua" w:hAnsi="Book Antiqua" w:eastAsia="Book Antiqua"/>
          <w:vertAlign w:val="superscript"/>
          <w:rtl w:val="0"/>
        </w:rPr>
        <w:footnoteReference w:id="211"/>
      </w:r>
      <w:r>
        <w:rPr>
          <w:rFonts w:ascii="Book Antiqua"/>
          <w:rtl w:val="0"/>
          <w:lang w:val="it-IT"/>
        </w:rPr>
        <w:t xml:space="preserve">. </w:t>
      </w:r>
    </w:p>
    <w:p>
      <w:pPr>
        <w:pStyle w:val="Normal"/>
        <w:keepNext w:val="1"/>
        <w:ind w:left="567" w:right="567" w:firstLine="0"/>
        <w:jc w:val="both"/>
        <w:rPr>
          <w:rFonts w:ascii="Book Antiqua" w:cs="Book Antiqua" w:hAnsi="Book Antiqua" w:eastAsia="Book Antiqua"/>
        </w:rPr>
      </w:pPr>
      <w:r>
        <w:rPr>
          <w:rFonts w:ascii="Book Antiqua"/>
          <w:rtl w:val="0"/>
          <w:lang w:val="it-IT"/>
        </w:rPr>
        <w:t>Nel dettaglio:</w:t>
      </w:r>
    </w:p>
    <w:p>
      <w:pPr>
        <w:pStyle w:val="Normal"/>
        <w:keepNext w:val="1"/>
        <w:ind w:left="567" w:right="567" w:firstLine="0"/>
        <w:jc w:val="both"/>
        <w:rPr>
          <w:rFonts w:ascii="Book Antiqua" w:cs="Book Antiqua" w:hAnsi="Book Antiqua" w:eastAsia="Book Antiqua"/>
        </w:rPr>
      </w:pPr>
      <w:r>
        <w:rPr>
          <w:rFonts w:ascii="Book Antiqua"/>
          <w:rtl w:val="0"/>
          <w:lang w:val="it-IT"/>
        </w:rPr>
        <w:t>con provvedimento a firma del prefetto di Perugia n. 67705 datato 26 ottobre 2015 emesso ai sensi degli articoli 84, 89-bis e 91 del decreto legislativo 159 del 2011 (cd. Testo Unico Antimafia), alla Gesenu S.p.A. veniva preclusa ogni possibilit</w:t>
      </w:r>
      <w:r>
        <w:rPr>
          <w:rFonts w:hAnsi="Book Antiqua" w:hint="default"/>
          <w:rtl w:val="0"/>
          <w:lang w:val="it-IT"/>
        </w:rPr>
        <w:t xml:space="preserve">à </w:t>
      </w:r>
      <w:r>
        <w:rPr>
          <w:rFonts w:ascii="Book Antiqua"/>
          <w:rtl w:val="0"/>
          <w:lang w:val="it-IT"/>
        </w:rPr>
        <w:t>di instaurare rapporti contrattuali con la pubblica amministrazione, in ragione della presenza di nove dipendenti, nella sede siciliana, con precedenti penali o misure di prevenzione; dell</w:t>
      </w:r>
      <w:r>
        <w:rPr>
          <w:rFonts w:hAnsi="Book Antiqua" w:hint="default"/>
          <w:rtl w:val="0"/>
          <w:lang w:val="it-IT"/>
        </w:rPr>
        <w:t>’</w:t>
      </w:r>
      <w:r>
        <w:rPr>
          <w:rFonts w:ascii="Book Antiqua"/>
          <w:rtl w:val="0"/>
          <w:lang w:val="it-IT"/>
        </w:rPr>
        <w:t>esistenza di un</w:t>
      </w:r>
      <w:r>
        <w:rPr>
          <w:rFonts w:hAnsi="Book Antiqua" w:hint="default"/>
          <w:rtl w:val="0"/>
          <w:lang w:val="it-IT"/>
        </w:rPr>
        <w:t>’</w:t>
      </w:r>
      <w:r>
        <w:rPr>
          <w:rFonts w:ascii="Book Antiqua"/>
          <w:rtl w:val="0"/>
          <w:lang w:val="it-IT"/>
        </w:rPr>
        <w:t>interdittiva antimafia emessa dalla prefettura di Catania nei confronti del Consorzio Simco (del quale Gesenu detiene una partecipazione superiore al 10 per cento); del procedimento penale pendente dinanzi alla procura della Repubblica di Catania nei confronti di alcuni dipendenti e dirigenti della Gesenu S.p.A. in relazione all</w:t>
      </w:r>
      <w:r>
        <w:rPr>
          <w:rFonts w:hAnsi="Book Antiqua" w:hint="default"/>
          <w:rtl w:val="0"/>
          <w:lang w:val="it-IT"/>
        </w:rPr>
        <w:t>’</w:t>
      </w:r>
      <w:r>
        <w:rPr>
          <w:rFonts w:ascii="Book Antiqua"/>
          <w:rtl w:val="0"/>
          <w:lang w:val="it-IT"/>
        </w:rPr>
        <w:t>isola ecologica di Mascalucia-Massannunziata; del coinvolgimento in indagini relative alla gestione di una discarica di una societ</w:t>
      </w:r>
      <w:r>
        <w:rPr>
          <w:rFonts w:hAnsi="Book Antiqua" w:hint="default"/>
          <w:rtl w:val="0"/>
          <w:lang w:val="it-IT"/>
        </w:rPr>
        <w:t xml:space="preserve">à </w:t>
      </w:r>
      <w:r>
        <w:rPr>
          <w:rFonts w:ascii="Book Antiqua"/>
          <w:rtl w:val="0"/>
          <w:lang w:val="it-IT"/>
        </w:rPr>
        <w:t>mista, la Tirrenoambiente S.p.A. (di cui Gesenu S.p.A. detiene una partecipazione di minoranza, pari al 10 per cento del capitale sociale);</w:t>
      </w:r>
    </w:p>
    <w:p>
      <w:pPr>
        <w:pStyle w:val="Normal"/>
        <w:keepNext w:val="1"/>
        <w:ind w:left="567" w:right="567" w:firstLine="0"/>
        <w:jc w:val="both"/>
        <w:rPr>
          <w:rFonts w:ascii="Book Antiqua" w:cs="Book Antiqua" w:hAnsi="Book Antiqua" w:eastAsia="Book Antiqua"/>
        </w:rPr>
      </w:pPr>
      <w:r>
        <w:rPr>
          <w:rFonts w:ascii="Book Antiqua"/>
          <w:rtl w:val="0"/>
          <w:lang w:val="it-IT"/>
        </w:rPr>
        <w:t>con provvedimento n. 74896 datato 19 novembre 2015</w:t>
      </w:r>
      <w:r>
        <w:rPr>
          <w:rFonts w:ascii="Book Antiqua" w:cs="Book Antiqua" w:hAnsi="Book Antiqua" w:eastAsia="Book Antiqua"/>
          <w:vertAlign w:val="superscript"/>
          <w:rtl w:val="0"/>
        </w:rPr>
        <w:footnoteReference w:id="212"/>
      </w:r>
      <w:r>
        <w:rPr>
          <w:rFonts w:ascii="Book Antiqua"/>
          <w:rtl w:val="0"/>
          <w:lang w:val="it-IT"/>
        </w:rPr>
        <w:t xml:space="preserve">, il prefetto di Perugia, disponeva </w:t>
      </w:r>
      <w:r>
        <w:rPr>
          <w:rFonts w:hAnsi="Book Antiqua" w:hint="default"/>
          <w:rtl w:val="0"/>
          <w:lang w:val="it-IT"/>
        </w:rPr>
        <w:t xml:space="preserve">– </w:t>
      </w:r>
      <w:r>
        <w:rPr>
          <w:rFonts w:ascii="Book Antiqua"/>
          <w:rtl w:val="0"/>
          <w:lang w:val="it-IT"/>
        </w:rPr>
        <w:t>ai sensi dell</w:t>
      </w:r>
      <w:r>
        <w:rPr>
          <w:rFonts w:hAnsi="Book Antiqua" w:hint="default"/>
          <w:rtl w:val="0"/>
          <w:lang w:val="it-IT"/>
        </w:rPr>
        <w:t>’</w:t>
      </w:r>
      <w:r>
        <w:rPr>
          <w:rFonts w:ascii="Book Antiqua"/>
          <w:rtl w:val="0"/>
          <w:lang w:val="it-IT"/>
        </w:rPr>
        <w:t xml:space="preserve">articolo 32 del richiamato </w:t>
      </w:r>
      <w:r>
        <w:rPr>
          <w:rFonts w:ascii="Book Antiqua"/>
          <w:sz w:val="22"/>
          <w:szCs w:val="22"/>
          <w:rtl w:val="0"/>
          <w:lang w:val="it-IT"/>
        </w:rPr>
        <w:t>decreto legislativo</w:t>
      </w:r>
      <w:r>
        <w:rPr>
          <w:rFonts w:ascii="Book Antiqua"/>
          <w:rtl w:val="0"/>
          <w:lang w:val="it-IT"/>
        </w:rPr>
        <w:t xml:space="preserve"> - la conseguente straordinaria e temporanea gestione della Gesenu S.p.A., con contestuale nomina dei relativi amministratori straordinari</w:t>
      </w:r>
      <w:r>
        <w:rPr>
          <w:rFonts w:ascii="Book Antiqua" w:cs="Book Antiqua" w:hAnsi="Book Antiqua" w:eastAsia="Book Antiqua"/>
          <w:vertAlign w:val="superscript"/>
          <w:rtl w:val="0"/>
        </w:rPr>
        <w:footnoteReference w:id="213"/>
      </w:r>
      <w:r>
        <w:rPr>
          <w:rFonts w:ascii="Book Antiqua"/>
          <w:rtl w:val="0"/>
          <w:lang w:val="it-IT"/>
        </w:rPr>
        <w:t>.</w:t>
      </w:r>
    </w:p>
    <w:p>
      <w:pPr>
        <w:pStyle w:val="Normal"/>
        <w:keepNext w:val="1"/>
        <w:tabs>
          <w:tab w:val="left" w:pos="851"/>
        </w:tabs>
        <w:ind w:left="567" w:right="567" w:firstLine="0"/>
        <w:jc w:val="both"/>
        <w:rPr>
          <w:rFonts w:ascii="Book Antiqua" w:cs="Book Antiqua" w:hAnsi="Book Antiqua" w:eastAsia="Book Antiqua"/>
        </w:rPr>
      </w:pPr>
      <w:r>
        <w:rPr>
          <w:rFonts w:ascii="Book Antiqua"/>
          <w:rtl w:val="0"/>
          <w:lang w:val="it-IT"/>
        </w:rPr>
        <w:t>Dopo che, con sentenza n. 327 datata 7 aprile 2016, il TAR dell</w:t>
      </w:r>
      <w:r>
        <w:rPr>
          <w:rFonts w:hAnsi="Book Antiqua" w:hint="default"/>
          <w:rtl w:val="0"/>
          <w:lang w:val="it-IT"/>
        </w:rPr>
        <w:t>’</w:t>
      </w:r>
      <w:r>
        <w:rPr>
          <w:rFonts w:ascii="Book Antiqua"/>
          <w:rtl w:val="0"/>
          <w:lang w:val="it-IT"/>
        </w:rPr>
        <w:t>Umbria rigettava il ricorso proposto da Gesenu S.p.A. avverso i citati provvedimenti della prefettura di Perugia, confermando pertanto l</w:t>
      </w:r>
      <w:r>
        <w:rPr>
          <w:rFonts w:hAnsi="Book Antiqua" w:hint="default"/>
          <w:rtl w:val="0"/>
          <w:lang w:val="it-IT"/>
        </w:rPr>
        <w:t>’</w:t>
      </w:r>
      <w:r>
        <w:rPr>
          <w:rFonts w:ascii="Book Antiqua"/>
          <w:rtl w:val="0"/>
          <w:lang w:val="it-IT"/>
        </w:rPr>
        <w:t>esistenza delle cause interdittive e la necessit</w:t>
      </w:r>
      <w:r>
        <w:rPr>
          <w:rFonts w:hAnsi="Book Antiqua" w:hint="default"/>
          <w:rtl w:val="0"/>
          <w:lang w:val="it-IT"/>
        </w:rPr>
        <w:t xml:space="preserve">à </w:t>
      </w:r>
      <w:r>
        <w:rPr>
          <w:rFonts w:ascii="Book Antiqua"/>
          <w:rtl w:val="0"/>
          <w:lang w:val="it-IT"/>
        </w:rPr>
        <w:t>dell</w:t>
      </w:r>
      <w:r>
        <w:rPr>
          <w:rFonts w:hAnsi="Book Antiqua" w:hint="default"/>
          <w:rtl w:val="0"/>
          <w:lang w:val="it-IT"/>
        </w:rPr>
        <w:t>’</w:t>
      </w:r>
      <w:r>
        <w:rPr>
          <w:rFonts w:ascii="Book Antiqua"/>
          <w:rtl w:val="0"/>
          <w:lang w:val="it-IT"/>
        </w:rPr>
        <w:t>amministrazione straordinaria, interveniva, in data 13 luglio 2016, la cessione del pacchetto azionario di controllo della Gesenu S.p.A. tra la Impresa A. Cecchini &amp; C. S.r.l. (riconducibile alle sorelle Cerroni mediante le controllate Sorain Cecchini S.p.A. e Sorain Cecchini Ambiente S.p.A.) e la Socesfin S.r.l. dei Paoletti.</w:t>
      </w:r>
    </w:p>
    <w:p>
      <w:pPr>
        <w:pStyle w:val="Normal"/>
        <w:keepNext w:val="1"/>
        <w:tabs>
          <w:tab w:val="left" w:pos="851"/>
        </w:tabs>
        <w:ind w:left="567" w:right="567" w:firstLine="0"/>
        <w:jc w:val="both"/>
        <w:rPr>
          <w:rFonts w:ascii="Book Antiqua" w:cs="Book Antiqua" w:hAnsi="Book Antiqua" w:eastAsia="Book Antiqua"/>
        </w:rPr>
      </w:pPr>
      <w:r>
        <w:rPr>
          <w:rFonts w:ascii="Book Antiqua"/>
          <w:rtl w:val="0"/>
          <w:lang w:val="it-IT"/>
        </w:rPr>
        <w:t>L</w:t>
      </w:r>
      <w:r>
        <w:rPr>
          <w:rFonts w:hAnsi="Book Antiqua" w:hint="default"/>
          <w:rtl w:val="0"/>
          <w:lang w:val="it-IT"/>
        </w:rPr>
        <w:t>’</w:t>
      </w:r>
      <w:r>
        <w:rPr>
          <w:rFonts w:ascii="Book Antiqua"/>
          <w:rtl w:val="0"/>
          <w:lang w:val="it-IT"/>
        </w:rPr>
        <w:t>anzidetta cessione, cui sono seguite anche variazioni negli organi di amministrazione della societ</w:t>
      </w:r>
      <w:r>
        <w:rPr>
          <w:rFonts w:hAnsi="Book Antiqua" w:hint="default"/>
          <w:rtl w:val="0"/>
          <w:lang w:val="it-IT"/>
        </w:rPr>
        <w:t>à</w:t>
      </w:r>
      <w:r>
        <w:rPr>
          <w:rFonts w:ascii="Book Antiqua" w:cs="Book Antiqua" w:hAnsi="Book Antiqua" w:eastAsia="Book Antiqua"/>
          <w:vertAlign w:val="superscript"/>
          <w:rtl w:val="0"/>
        </w:rPr>
        <w:footnoteReference w:id="214"/>
      </w:r>
      <w:r>
        <w:rPr>
          <w:rFonts w:ascii="Book Antiqua"/>
          <w:rtl w:val="0"/>
          <w:lang w:val="it-IT"/>
        </w:rPr>
        <w:t>, ha fatto venir meno le originarie cause interdittive: pertanto, su richiesta della stessa Gesenu S.p.A., il prefetto di Perugia, con provvedimento n. 85495 datato 8 novembre 2016</w:t>
      </w:r>
      <w:r>
        <w:rPr>
          <w:rFonts w:ascii="Book Antiqua" w:cs="Book Antiqua" w:hAnsi="Book Antiqua" w:eastAsia="Book Antiqua"/>
          <w:vertAlign w:val="superscript"/>
          <w:rtl w:val="0"/>
        </w:rPr>
        <w:footnoteReference w:id="215"/>
      </w:r>
      <w:r>
        <w:rPr>
          <w:rFonts w:ascii="Book Antiqua"/>
          <w:rtl w:val="0"/>
          <w:lang w:val="it-IT"/>
        </w:rPr>
        <w:t xml:space="preserve">, avendo riscontrato </w:t>
      </w:r>
      <w:r>
        <w:rPr>
          <w:rFonts w:hAnsi="Book Antiqua" w:hint="default"/>
          <w:rtl w:val="0"/>
          <w:lang w:val="it-IT"/>
        </w:rPr>
        <w:t>“</w:t>
      </w:r>
      <w:r>
        <w:rPr>
          <w:rFonts w:ascii="Book Antiqua"/>
          <w:rtl w:val="0"/>
          <w:lang w:val="it-IT"/>
        </w:rPr>
        <w:t>significative variazioni nell</w:t>
      </w:r>
      <w:r>
        <w:rPr>
          <w:rFonts w:hAnsi="Book Antiqua" w:hint="default"/>
          <w:rtl w:val="0"/>
          <w:lang w:val="it-IT"/>
        </w:rPr>
        <w:t>’</w:t>
      </w:r>
      <w:r>
        <w:rPr>
          <w:rFonts w:ascii="Book Antiqua"/>
          <w:rtl w:val="0"/>
          <w:lang w:val="it-IT"/>
        </w:rPr>
        <w:t>assetto proprietario e gestionale della societ</w:t>
      </w:r>
      <w:r>
        <w:rPr>
          <w:rFonts w:hAnsi="Book Antiqua" w:hint="default"/>
          <w:rtl w:val="0"/>
          <w:lang w:val="it-IT"/>
        </w:rPr>
        <w:t>à”</w:t>
      </w:r>
      <w:r>
        <w:rPr>
          <w:rFonts w:ascii="Book Antiqua"/>
          <w:rtl w:val="0"/>
          <w:lang w:val="it-IT"/>
        </w:rPr>
        <w:t>, alla luce del contestuale aggiornamento delle informazioni antimafia per le quali non erano pi</w:t>
      </w:r>
      <w:r>
        <w:rPr>
          <w:rFonts w:hAnsi="Book Antiqua" w:hint="default"/>
          <w:rtl w:val="0"/>
          <w:lang w:val="it-IT"/>
        </w:rPr>
        <w:t xml:space="preserve">ù </w:t>
      </w:r>
      <w:r>
        <w:rPr>
          <w:rFonts w:ascii="Book Antiqua"/>
          <w:rtl w:val="0"/>
          <w:lang w:val="it-IT"/>
        </w:rPr>
        <w:t>rilevabili nei confronti della societ</w:t>
      </w:r>
      <w:r>
        <w:rPr>
          <w:rFonts w:hAnsi="Book Antiqua" w:hint="default"/>
          <w:rtl w:val="0"/>
          <w:lang w:val="it-IT"/>
        </w:rPr>
        <w:t>à</w:t>
      </w:r>
      <w:r>
        <w:rPr>
          <w:rFonts w:ascii="Book Antiqua"/>
          <w:rtl w:val="0"/>
          <w:lang w:val="it-IT"/>
        </w:rPr>
        <w:t xml:space="preserve"> rischi o tentativi di infiltrazione mafiosa</w:t>
      </w:r>
      <w:r>
        <w:rPr>
          <w:rFonts w:ascii="Book Antiqua" w:cs="Book Antiqua" w:hAnsi="Book Antiqua" w:eastAsia="Book Antiqua"/>
          <w:vertAlign w:val="superscript"/>
          <w:rtl w:val="0"/>
        </w:rPr>
        <w:footnoteReference w:id="216"/>
      </w:r>
      <w:r>
        <w:rPr>
          <w:rFonts w:ascii="Book Antiqua"/>
          <w:rtl w:val="0"/>
          <w:lang w:val="it-IT"/>
        </w:rPr>
        <w:t>, disponeva la cessazione di efficacia del provvedimento di amministrazione straordinaria.</w:t>
      </w:r>
      <w:r>
        <w:rPr>
          <w:rFonts w:ascii="Book Antiqua" w:cs="Book Antiqua" w:hAnsi="Book Antiqua" w:eastAsia="Book Antiqua"/>
          <w:vertAlign w:val="superscript"/>
          <w:rtl w:val="0"/>
        </w:rPr>
        <w:footnoteReference w:id="217"/>
      </w:r>
    </w:p>
    <w:p>
      <w:pPr>
        <w:pStyle w:val="Normal"/>
        <w:keepNext w:val="1"/>
        <w:ind w:left="567" w:right="567" w:firstLine="0"/>
        <w:jc w:val="both"/>
        <w:rPr>
          <w:rFonts w:ascii="Book Antiqua" w:cs="Book Antiqua" w:hAnsi="Book Antiqua" w:eastAsia="Book Antiqua"/>
        </w:rPr>
      </w:pPr>
    </w:p>
    <w:p>
      <w:pPr>
        <w:pStyle w:val="Normal"/>
        <w:keepNext w:val="1"/>
        <w:ind w:left="567" w:right="567" w:firstLine="0"/>
        <w:jc w:val="both"/>
        <w:rPr>
          <w:rFonts w:ascii="Book Antiqua" w:cs="Book Antiqua" w:hAnsi="Book Antiqua" w:eastAsia="Book Antiqua"/>
        </w:rPr>
      </w:pPr>
      <w:r>
        <w:rPr>
          <w:rFonts w:ascii="Book Antiqua"/>
          <w:rtl w:val="0"/>
          <w:lang w:val="it-IT"/>
        </w:rPr>
        <w:t>L</w:t>
      </w:r>
      <w:r>
        <w:rPr>
          <w:rFonts w:hAnsi="Book Antiqua" w:hint="default"/>
          <w:rtl w:val="0"/>
          <w:lang w:val="it-IT"/>
        </w:rPr>
        <w:t>’</w:t>
      </w:r>
      <w:r>
        <w:rPr>
          <w:rFonts w:ascii="Book Antiqua"/>
          <w:rtl w:val="0"/>
          <w:lang w:val="it-IT"/>
        </w:rPr>
        <w:t xml:space="preserve">analisi fin qui effettuata ha permesso di individuare ben 131 aziende e 11 soggetti ruotanti intorno alla figura di Manlio Cerroni, dapprima, e a quella delle di lui figlie Monica e Donatella, dipoi; </w:t>
      </w:r>
      <w:r>
        <w:rPr>
          <w:rFonts w:hAnsi="Book Antiqua" w:hint="default"/>
          <w:rtl w:val="0"/>
          <w:lang w:val="it-IT"/>
        </w:rPr>
        <w:t xml:space="preserve">è </w:t>
      </w:r>
      <w:r>
        <w:rPr>
          <w:rFonts w:ascii="Book Antiqua"/>
          <w:rtl w:val="0"/>
          <w:lang w:val="it-IT"/>
        </w:rPr>
        <w:t>di tutta evidenzia che il numero di soggetti (imprese e persone fisiche) sarebbe destinato ad aumentare esponenzialmente ove, a partire dalle societ</w:t>
      </w:r>
      <w:r>
        <w:rPr>
          <w:rFonts w:hAnsi="Book Antiqua" w:hint="default"/>
          <w:rtl w:val="0"/>
          <w:lang w:val="it-IT"/>
        </w:rPr>
        <w:t xml:space="preserve">à </w:t>
      </w:r>
      <w:r>
        <w:rPr>
          <w:rFonts w:ascii="Book Antiqua"/>
          <w:rtl w:val="0"/>
          <w:lang w:val="it-IT"/>
        </w:rPr>
        <w:t>individuate, si esplorassero i successivi livelli di controllo aziendale (come gi</w:t>
      </w:r>
      <w:r>
        <w:rPr>
          <w:rFonts w:hAnsi="Book Antiqua" w:hint="default"/>
          <w:rtl w:val="0"/>
          <w:lang w:val="it-IT"/>
        </w:rPr>
        <w:t xml:space="preserve">à </w:t>
      </w:r>
      <w:r>
        <w:rPr>
          <w:rFonts w:ascii="Book Antiqua"/>
          <w:rtl w:val="0"/>
          <w:lang w:val="it-IT"/>
        </w:rPr>
        <w:t>avvenuto per la Gesenu S.p.A.), addivenendo, con ogni probabilit</w:t>
      </w:r>
      <w:r>
        <w:rPr>
          <w:rFonts w:hAnsi="Book Antiqua" w:hint="default"/>
          <w:rtl w:val="0"/>
          <w:lang w:val="it-IT"/>
        </w:rPr>
        <w:t>à</w:t>
      </w:r>
      <w:r>
        <w:rPr>
          <w:rFonts w:ascii="Book Antiqua"/>
          <w:rtl w:val="0"/>
          <w:lang w:val="it-IT"/>
        </w:rPr>
        <w:t xml:space="preserve">, ad una configurazione ulteriormente ramificata della </w:t>
      </w:r>
      <w:r>
        <w:rPr>
          <w:rFonts w:ascii="Book Antiqua"/>
          <w:i w:val="1"/>
          <w:iCs w:val="1"/>
          <w:rtl w:val="0"/>
          <w:lang w:val="it-IT"/>
        </w:rPr>
        <w:t xml:space="preserve">holding </w:t>
      </w:r>
      <w:r>
        <w:rPr>
          <w:rFonts w:ascii="Book Antiqua"/>
          <w:rtl w:val="0"/>
          <w:lang w:val="it-IT"/>
        </w:rPr>
        <w:t>Cerroni.</w:t>
      </w:r>
    </w:p>
    <w:p>
      <w:pPr>
        <w:pStyle w:val="Normal"/>
        <w:keepNext w:val="1"/>
        <w:ind w:left="567" w:right="567" w:firstLine="0"/>
        <w:jc w:val="both"/>
        <w:rPr>
          <w:rFonts w:ascii="Book Antiqua" w:cs="Book Antiqua" w:hAnsi="Book Antiqua" w:eastAsia="Book Antiqua"/>
        </w:rPr>
      </w:pPr>
    </w:p>
    <w:p>
      <w:pPr>
        <w:pStyle w:val="Normal"/>
        <w:keepNext w:val="1"/>
        <w:ind w:left="567" w:right="567" w:firstLine="0"/>
        <w:jc w:val="both"/>
        <w:rPr>
          <w:rFonts w:ascii="Book Antiqua" w:cs="Book Antiqua" w:hAnsi="Book Antiqua" w:eastAsia="Book Antiqua"/>
        </w:rPr>
      </w:pPr>
      <w:r>
        <w:rPr>
          <w:rFonts w:ascii="Book Antiqua"/>
          <w:rtl w:val="0"/>
          <w:lang w:val="it-IT"/>
        </w:rPr>
        <w:t>Da ultimo, nell</w:t>
      </w:r>
      <w:r>
        <w:rPr>
          <w:rFonts w:hAnsi="Book Antiqua" w:hint="default"/>
          <w:rtl w:val="0"/>
          <w:lang w:val="it-IT"/>
        </w:rPr>
        <w:t>’</w:t>
      </w:r>
      <w:r>
        <w:rPr>
          <w:rFonts w:ascii="Book Antiqua"/>
          <w:rtl w:val="0"/>
          <w:lang w:val="it-IT"/>
        </w:rPr>
        <w:t>ambito delle relazioni aziendali riportate nel grafico 4, sono emersi alcuni personaggi da ritenere quali fidati collaboratori, uomini di fiducia dei Cerroni in ragione dei numerosi rapporti a vario titolo intrattenuti con le societ</w:t>
      </w:r>
      <w:r>
        <w:rPr>
          <w:rFonts w:hAnsi="Book Antiqua" w:hint="default"/>
          <w:rtl w:val="0"/>
          <w:lang w:val="it-IT"/>
        </w:rPr>
        <w:t xml:space="preserve">à </w:t>
      </w:r>
      <w:r>
        <w:rPr>
          <w:rFonts w:ascii="Book Antiqua"/>
          <w:rtl w:val="0"/>
          <w:lang w:val="it-IT"/>
        </w:rPr>
        <w:t>del gruppo ovvero del particolare ruolo rivestito in alcune di esse.</w:t>
      </w:r>
    </w:p>
    <w:p>
      <w:pPr>
        <w:pStyle w:val="Normal"/>
        <w:keepNext w:val="1"/>
        <w:ind w:left="567" w:right="567" w:firstLine="0"/>
        <w:jc w:val="both"/>
        <w:outlineLvl w:val="0"/>
        <w:rPr>
          <w:rFonts w:ascii="Book Antiqua" w:cs="Book Antiqua" w:hAnsi="Book Antiqua" w:eastAsia="Book Antiqua"/>
        </w:rPr>
      </w:pPr>
      <w:r>
        <w:rPr>
          <w:rFonts w:ascii="Book Antiqua"/>
          <w:rtl w:val="0"/>
          <w:lang w:val="it-IT"/>
        </w:rPr>
        <w:t>Tra di essi, una menzione particolare spetta a:</w:t>
      </w:r>
    </w:p>
    <w:p>
      <w:pPr>
        <w:pStyle w:val="Normal"/>
        <w:keepNext w:val="1"/>
        <w:ind w:left="567" w:right="567" w:firstLine="0"/>
        <w:jc w:val="both"/>
        <w:outlineLvl w:val="0"/>
        <w:rPr>
          <w:rFonts w:ascii="Book Antiqua" w:cs="Book Antiqua" w:hAnsi="Book Antiqua" w:eastAsia="Book Antiqua"/>
        </w:rPr>
      </w:pPr>
    </w:p>
    <w:p>
      <w:pPr>
        <w:pStyle w:val="Normal"/>
        <w:keepNext w:val="1"/>
        <w:numPr>
          <w:ilvl w:val="0"/>
          <w:numId w:val="141"/>
        </w:numPr>
        <w:tabs>
          <w:tab w:val="num" w:pos="851"/>
          <w:tab w:val="clear" w:pos="0"/>
        </w:tabs>
        <w:bidi w:val="0"/>
        <w:ind w:left="851" w:right="567" w:hanging="284"/>
        <w:jc w:val="both"/>
        <w:rPr>
          <w:rFonts w:ascii="Book Antiqua" w:cs="Book Antiqua" w:hAnsi="Book Antiqua" w:eastAsia="Book Antiqua"/>
          <w:position w:val="0"/>
          <w:rtl w:val="0"/>
        </w:rPr>
      </w:pPr>
      <w:r>
        <w:rPr>
          <w:rFonts w:ascii="Book Antiqua"/>
          <w:rtl w:val="0"/>
          <w:lang w:val="it-IT"/>
        </w:rPr>
        <w:t>Giovi Piero</w:t>
      </w:r>
      <w:r>
        <w:rPr>
          <w:rFonts w:ascii="Book Antiqua" w:cs="Book Antiqua" w:hAnsi="Book Antiqua" w:eastAsia="Book Antiqua"/>
          <w:vertAlign w:val="superscript"/>
        </w:rPr>
        <w:footnoteReference w:id="218"/>
      </w:r>
      <w:r>
        <w:rPr>
          <w:rFonts w:ascii="Book Antiqua"/>
          <w:rtl w:val="0"/>
          <w:lang w:val="it-IT"/>
        </w:rPr>
        <w:t>, socio storico di Cerroni, che unitamente alla coniuge Troiani Anna Maria Rachele</w:t>
      </w:r>
      <w:r>
        <w:rPr>
          <w:rFonts w:ascii="Book Antiqua" w:cs="Book Antiqua" w:hAnsi="Book Antiqua" w:eastAsia="Book Antiqua"/>
          <w:vertAlign w:val="superscript"/>
        </w:rPr>
        <w:footnoteReference w:id="219"/>
      </w:r>
      <w:r>
        <w:rPr>
          <w:rFonts w:ascii="Book Antiqua"/>
          <w:rtl w:val="0"/>
          <w:lang w:val="it-IT"/>
        </w:rPr>
        <w:t>, partecipa alle principali aziende del settore rifiuti; in particolare, risulta coinvolto nelle societ</w:t>
      </w:r>
      <w:r>
        <w:rPr>
          <w:rFonts w:hAnsi="Book Antiqua" w:hint="default"/>
          <w:rtl w:val="0"/>
          <w:lang w:val="it-IT"/>
        </w:rPr>
        <w:t xml:space="preserve">à </w:t>
      </w:r>
      <w:r>
        <w:rPr>
          <w:rFonts w:ascii="Book Antiqua"/>
          <w:rtl w:val="0"/>
          <w:lang w:val="it-IT"/>
        </w:rPr>
        <w:t>proprietarie e gerenti degli impianti di Roma Malagrotta (E. Giovi S.r.l., Officine Malagrotta S.r.l., Co.La.Ri.), alcune delle quali riportano addirittura il suo cognome nella denominazione aziendale.</w:t>
      </w:r>
    </w:p>
    <w:p>
      <w:pPr>
        <w:pStyle w:val="Normal"/>
        <w:keepNext w:val="1"/>
        <w:ind w:left="851" w:right="567" w:firstLine="0"/>
        <w:jc w:val="both"/>
        <w:rPr>
          <w:rFonts w:ascii="Book Antiqua" w:cs="Book Antiqua" w:hAnsi="Book Antiqua" w:eastAsia="Book Antiqua"/>
        </w:rPr>
      </w:pPr>
      <w:r>
        <w:rPr>
          <w:rFonts w:ascii="Book Antiqua"/>
          <w:rtl w:val="0"/>
          <w:lang w:val="it-IT"/>
        </w:rPr>
        <w:t>Per meglio apprezzare i rapporti Giovi/Cerroni, si riporta, di seguito, un</w:t>
      </w:r>
      <w:r>
        <w:rPr>
          <w:rFonts w:hAnsi="Book Antiqua" w:hint="default"/>
          <w:rtl w:val="0"/>
          <w:lang w:val="it-IT"/>
        </w:rPr>
        <w:t>’</w:t>
      </w:r>
      <w:r>
        <w:rPr>
          <w:rFonts w:ascii="Book Antiqua"/>
          <w:rtl w:val="0"/>
          <w:lang w:val="it-IT"/>
        </w:rPr>
        <w:t xml:space="preserve">elaborazione grafica </w:t>
      </w:r>
      <w:r>
        <w:rPr>
          <w:rFonts w:hAnsi="Book Antiqua" w:hint="default"/>
          <w:rtl w:val="0"/>
          <w:lang w:val="it-IT"/>
        </w:rPr>
        <w:t xml:space="preserve">– </w:t>
      </w:r>
      <w:r>
        <w:rPr>
          <w:rFonts w:ascii="Book Antiqua"/>
          <w:i w:val="1"/>
          <w:iCs w:val="1"/>
          <w:rtl w:val="0"/>
          <w:lang w:val="it-IT"/>
        </w:rPr>
        <w:t xml:space="preserve">focus </w:t>
      </w:r>
      <w:r>
        <w:rPr>
          <w:rFonts w:ascii="Book Antiqua"/>
          <w:rtl w:val="0"/>
          <w:lang w:val="it-IT"/>
        </w:rPr>
        <w:t xml:space="preserve">di una parte della rappresentazione della </w:t>
      </w:r>
      <w:r>
        <w:rPr>
          <w:rFonts w:hAnsi="Book Antiqua" w:hint="default"/>
          <w:rtl w:val="0"/>
          <w:lang w:val="it-IT"/>
        </w:rPr>
        <w:t>“</w:t>
      </w:r>
      <w:r>
        <w:rPr>
          <w:rFonts w:ascii="Book Antiqua"/>
          <w:rtl w:val="0"/>
          <w:lang w:val="it-IT"/>
        </w:rPr>
        <w:t>galassia</w:t>
      </w:r>
      <w:r>
        <w:rPr>
          <w:rFonts w:hAnsi="Book Antiqua" w:hint="default"/>
          <w:rtl w:val="0"/>
          <w:lang w:val="it-IT"/>
        </w:rPr>
        <w:t xml:space="preserve">” </w:t>
      </w:r>
      <w:r>
        <w:rPr>
          <w:rFonts w:ascii="Book Antiqua"/>
          <w:rtl w:val="0"/>
          <w:lang w:val="it-IT"/>
        </w:rPr>
        <w:t xml:space="preserve">Cerroni </w:t>
      </w:r>
      <w:r>
        <w:rPr>
          <w:rFonts w:hAnsi="Book Antiqua" w:hint="default"/>
          <w:rtl w:val="0"/>
          <w:lang w:val="it-IT"/>
        </w:rPr>
        <w:t xml:space="preserve">– </w:t>
      </w:r>
      <w:r>
        <w:rPr>
          <w:rFonts w:ascii="Book Antiqua"/>
          <w:rtl w:val="0"/>
          <w:lang w:val="it-IT"/>
        </w:rPr>
        <w:t>riportante le pi</w:t>
      </w:r>
      <w:r>
        <w:rPr>
          <w:rFonts w:hAnsi="Book Antiqua" w:hint="default"/>
          <w:rtl w:val="0"/>
          <w:lang w:val="it-IT"/>
        </w:rPr>
        <w:t xml:space="preserve">ù </w:t>
      </w:r>
      <w:r>
        <w:rPr>
          <w:rFonts w:ascii="Book Antiqua"/>
          <w:rtl w:val="0"/>
          <w:lang w:val="it-IT"/>
        </w:rPr>
        <w:t>significative relazioni societarie tra Giovi Piero e la famiglia Cerroni.</w:t>
      </w:r>
    </w:p>
    <w:p>
      <w:pPr>
        <w:pStyle w:val="Normal"/>
        <w:keepNext w:val="1"/>
        <w:ind w:left="567" w:right="567" w:firstLine="0"/>
        <w:jc w:val="both"/>
        <w:rPr>
          <w:rFonts w:ascii="Book Antiqua" w:cs="Book Antiqua" w:hAnsi="Book Antiqua" w:eastAsia="Book Antiqua"/>
        </w:rPr>
      </w:pPr>
    </w:p>
    <w:p>
      <w:pPr>
        <w:pStyle w:val="Normal"/>
        <w:keepNext w:val="1"/>
        <w:ind w:left="851" w:right="567" w:firstLine="0"/>
        <w:jc w:val="both"/>
        <w:outlineLvl w:val="0"/>
        <w:rPr>
          <w:rFonts w:ascii="Book Antiqua" w:cs="Book Antiqua" w:hAnsi="Book Antiqua" w:eastAsia="Book Antiqua"/>
          <w:sz w:val="22"/>
          <w:szCs w:val="22"/>
        </w:rPr>
      </w:pPr>
      <w:r>
        <w:rPr>
          <w:rFonts w:ascii="Book Antiqua"/>
          <w:i w:val="1"/>
          <w:iCs w:val="1"/>
          <w:sz w:val="22"/>
          <w:szCs w:val="22"/>
          <w:rtl w:val="0"/>
          <w:lang w:val="it-IT"/>
        </w:rPr>
        <w:t xml:space="preserve">Grafico 8 </w:t>
      </w:r>
      <w:r>
        <w:rPr>
          <w:rFonts w:hAnsi="Book Antiqua" w:hint="default"/>
          <w:i w:val="1"/>
          <w:iCs w:val="1"/>
          <w:sz w:val="22"/>
          <w:szCs w:val="22"/>
          <w:rtl w:val="0"/>
          <w:lang w:val="it-IT"/>
        </w:rPr>
        <w:t xml:space="preserve">– </w:t>
      </w:r>
      <w:r>
        <w:rPr>
          <w:rFonts w:ascii="Book Antiqua"/>
          <w:i w:val="1"/>
          <w:iCs w:val="1"/>
          <w:sz w:val="22"/>
          <w:szCs w:val="22"/>
          <w:rtl w:val="0"/>
          <w:lang w:val="it-IT"/>
        </w:rPr>
        <w:t>Le principali relazioni societarie tra Giovi Piero e la famiglia Cerroni</w:t>
      </w:r>
    </w:p>
    <w:p>
      <w:pPr>
        <w:pStyle w:val="Normal"/>
        <w:keepNext w:val="1"/>
        <w:jc w:val="both"/>
        <w:rPr>
          <w:rFonts w:ascii="Book Antiqua" w:cs="Book Antiqua" w:hAnsi="Book Antiqua" w:eastAsia="Book Antiqua"/>
        </w:rPr>
      </w:pPr>
      <w:r>
        <w:rPr>
          <w:rFonts w:ascii="Book Antiqua" w:cs="Book Antiqua" w:hAnsi="Book Antiqua" w:eastAsia="Book Antiqua"/>
          <w:rtl w:val="0"/>
        </w:rPr>
        <w:drawing>
          <wp:inline distT="0" distB="0" distL="0" distR="0">
            <wp:extent cx="5930937" cy="4295956"/>
            <wp:effectExtent l="0" t="0" r="0" b="0"/>
            <wp:docPr id="1073741875" name="officeArt object"/>
            <wp:cNvGraphicFramePr/>
            <a:graphic xmlns:a="http://schemas.openxmlformats.org/drawingml/2006/main">
              <a:graphicData uri="http://schemas.openxmlformats.org/drawingml/2006/picture">
                <pic:pic xmlns:pic="http://schemas.openxmlformats.org/drawingml/2006/picture">
                  <pic:nvPicPr>
                    <pic:cNvPr id="1073741875" name="image49.png"/>
                    <pic:cNvPicPr/>
                  </pic:nvPicPr>
                  <pic:blipFill>
                    <a:blip r:embed="rId59">
                      <a:extLst/>
                    </a:blip>
                    <a:stretch>
                      <a:fillRect/>
                    </a:stretch>
                  </pic:blipFill>
                  <pic:spPr>
                    <a:xfrm>
                      <a:off x="0" y="0"/>
                      <a:ext cx="5930937" cy="4295956"/>
                    </a:xfrm>
                    <a:prstGeom prst="rect">
                      <a:avLst/>
                    </a:prstGeom>
                    <a:ln w="6350" cap="flat">
                      <a:solidFill>
                        <a:srgbClr val="000000"/>
                      </a:solidFill>
                      <a:prstDash val="solid"/>
                      <a:miter lim="800000"/>
                    </a:ln>
                    <a:effectLst/>
                  </pic:spPr>
                </pic:pic>
              </a:graphicData>
            </a:graphic>
          </wp:inline>
        </w:drawing>
      </w:r>
    </w:p>
    <w:p>
      <w:pPr>
        <w:pStyle w:val="Normal"/>
        <w:keepNext w:val="1"/>
        <w:ind w:left="851" w:right="567" w:firstLine="0"/>
        <w:jc w:val="both"/>
        <w:rPr>
          <w:rFonts w:ascii="Book Antiqua" w:cs="Book Antiqua" w:hAnsi="Book Antiqua" w:eastAsia="Book Antiqua"/>
        </w:rPr>
      </w:pPr>
    </w:p>
    <w:p>
      <w:pPr>
        <w:pStyle w:val="Normal"/>
        <w:keepNext w:val="1"/>
        <w:ind w:left="851" w:right="567" w:firstLine="0"/>
        <w:jc w:val="both"/>
        <w:rPr>
          <w:rFonts w:ascii="Book Antiqua" w:cs="Book Antiqua" w:hAnsi="Book Antiqua" w:eastAsia="Book Antiqua"/>
        </w:rPr>
      </w:pPr>
      <w:r>
        <w:rPr>
          <w:rFonts w:ascii="Book Antiqua"/>
          <w:rtl w:val="0"/>
          <w:lang w:val="it-IT"/>
        </w:rPr>
        <w:t>A margine, si rammenta che Giovi Piero risulta coindagato con Manlio Cerroni nel procedimento penale n. 7449/2008 r.g.n.r. incardinato presso la procura della Repubblica di Roma, quale soggetto che, ritenuto suo diretto collaboratore, avrebbe fatto parte dell</w:t>
      </w:r>
      <w:r>
        <w:rPr>
          <w:rFonts w:hAnsi="Book Antiqua" w:hint="default"/>
          <w:rtl w:val="0"/>
          <w:lang w:val="it-IT"/>
        </w:rPr>
        <w:t>’</w:t>
      </w:r>
      <w:r>
        <w:rPr>
          <w:rFonts w:ascii="Book Antiqua"/>
          <w:rtl w:val="0"/>
          <w:lang w:val="it-IT"/>
        </w:rPr>
        <w:t>ipotizzata associazione per delinquere</w:t>
      </w:r>
      <w:r>
        <w:rPr>
          <w:rFonts w:ascii="Book Antiqua" w:cs="Book Antiqua" w:hAnsi="Book Antiqua" w:eastAsia="Book Antiqua"/>
          <w:vertAlign w:val="superscript"/>
          <w:rtl w:val="0"/>
        </w:rPr>
        <w:footnoteReference w:id="220"/>
      </w:r>
      <w:r>
        <w:rPr>
          <w:rFonts w:ascii="Book Antiqua"/>
          <w:rtl w:val="0"/>
          <w:lang w:val="it-IT"/>
        </w:rPr>
        <w:t>.</w:t>
      </w:r>
    </w:p>
    <w:p>
      <w:pPr>
        <w:pStyle w:val="Normal"/>
        <w:keepNext w:val="1"/>
        <w:ind w:left="851" w:right="567" w:firstLine="0"/>
        <w:jc w:val="both"/>
        <w:rPr>
          <w:rFonts w:ascii="Book Antiqua" w:cs="Book Antiqua" w:hAnsi="Book Antiqua" w:eastAsia="Book Antiqua"/>
        </w:rPr>
      </w:pPr>
    </w:p>
    <w:p>
      <w:pPr>
        <w:pStyle w:val="Normal"/>
        <w:keepNext w:val="1"/>
        <w:numPr>
          <w:ilvl w:val="0"/>
          <w:numId w:val="141"/>
        </w:numPr>
        <w:tabs>
          <w:tab w:val="num" w:pos="851"/>
          <w:tab w:val="clear" w:pos="0"/>
        </w:tabs>
        <w:bidi w:val="0"/>
        <w:ind w:left="851" w:right="567" w:hanging="284"/>
        <w:jc w:val="both"/>
        <w:rPr>
          <w:rFonts w:ascii="Book Antiqua" w:cs="Book Antiqua" w:hAnsi="Book Antiqua" w:eastAsia="Book Antiqua"/>
          <w:position w:val="0"/>
          <w:rtl w:val="0"/>
        </w:rPr>
      </w:pPr>
      <w:r>
        <w:rPr>
          <w:rFonts w:ascii="Book Antiqua"/>
          <w:rtl w:val="0"/>
          <w:lang w:val="it-IT"/>
        </w:rPr>
        <w:t>Scaglione Carmelina</w:t>
      </w:r>
      <w:r>
        <w:rPr>
          <w:rFonts w:ascii="Book Antiqua" w:cs="Book Antiqua" w:hAnsi="Book Antiqua" w:eastAsia="Book Antiqua"/>
          <w:vertAlign w:val="superscript"/>
        </w:rPr>
        <w:footnoteReference w:id="221"/>
      </w:r>
      <w:r>
        <w:rPr>
          <w:rFonts w:ascii="Book Antiqua"/>
          <w:rtl w:val="0"/>
          <w:lang w:val="it-IT"/>
        </w:rPr>
        <w:t xml:space="preserve">, collaboratrice di vecchia data dei Cerroni; a lei </w:t>
      </w:r>
      <w:r>
        <w:rPr>
          <w:rFonts w:hAnsi="Book Antiqua" w:hint="default"/>
          <w:rtl w:val="0"/>
          <w:lang w:val="it-IT"/>
        </w:rPr>
        <w:t xml:space="preserve">è </w:t>
      </w:r>
      <w:r>
        <w:rPr>
          <w:rFonts w:ascii="Book Antiqua"/>
          <w:rtl w:val="0"/>
          <w:lang w:val="it-IT"/>
        </w:rPr>
        <w:t>affidata l</w:t>
      </w:r>
      <w:r>
        <w:rPr>
          <w:rFonts w:hAnsi="Book Antiqua" w:hint="default"/>
          <w:rtl w:val="0"/>
          <w:lang w:val="it-IT"/>
        </w:rPr>
        <w:t>’</w:t>
      </w:r>
      <w:r>
        <w:rPr>
          <w:rFonts w:ascii="Book Antiqua"/>
          <w:rtl w:val="0"/>
          <w:lang w:val="it-IT"/>
        </w:rPr>
        <w:t xml:space="preserve">amministrazione di alcune delle principali aziende operanti nel settore dei rifiuti e non solo. Nel dettaglio, come si evince dalla tabella che segue, la Scaglione </w:t>
      </w:r>
      <w:r>
        <w:rPr>
          <w:rFonts w:hAnsi="Book Antiqua" w:hint="default"/>
          <w:rtl w:val="0"/>
          <w:lang w:val="it-IT"/>
        </w:rPr>
        <w:t xml:space="preserve">è </w:t>
      </w:r>
      <w:r>
        <w:rPr>
          <w:rFonts w:ascii="Book Antiqua"/>
          <w:rtl w:val="0"/>
          <w:lang w:val="it-IT"/>
        </w:rPr>
        <w:t xml:space="preserve">la rappresentante legale ovvero partecipa al consiglio di amministrazione in </w:t>
      </w:r>
      <w:r>
        <w:rPr>
          <w:rFonts w:ascii="Book Antiqua Bold"/>
          <w:b w:val="1"/>
          <w:bCs w:val="1"/>
          <w:rtl w:val="0"/>
          <w:lang w:val="it-IT"/>
        </w:rPr>
        <w:t>sedici societ</w:t>
      </w:r>
      <w:r>
        <w:rPr>
          <w:rFonts w:hAnsi="Book Antiqua Bold" w:hint="default"/>
          <w:b w:val="1"/>
          <w:bCs w:val="1"/>
          <w:rtl w:val="0"/>
          <w:lang w:val="it-IT"/>
        </w:rPr>
        <w:t>à</w:t>
      </w:r>
      <w:r>
        <w:rPr>
          <w:rFonts w:ascii="Book Antiqua"/>
          <w:rtl w:val="0"/>
          <w:lang w:val="it-IT"/>
        </w:rPr>
        <w:t xml:space="preserve"> del gruppo Cerroni.</w:t>
      </w:r>
    </w:p>
    <w:p>
      <w:pPr>
        <w:pStyle w:val="Normal"/>
        <w:keepNext w:val="1"/>
        <w:ind w:left="851" w:right="567" w:firstLine="0"/>
        <w:jc w:val="both"/>
        <w:rPr>
          <w:rFonts w:ascii="Book Antiqua" w:cs="Book Antiqua" w:hAnsi="Book Antiqua" w:eastAsia="Book Antiqua"/>
        </w:rPr>
      </w:pPr>
    </w:p>
    <w:p>
      <w:pPr>
        <w:pStyle w:val="Normal"/>
        <w:keepNext w:val="1"/>
        <w:ind w:left="1701" w:right="567" w:hanging="850"/>
        <w:rPr>
          <w:rFonts w:ascii="Book Antiqua" w:cs="Book Antiqua" w:hAnsi="Book Antiqua" w:eastAsia="Book Antiqua"/>
          <w:i w:val="1"/>
          <w:iCs w:val="1"/>
          <w:sz w:val="22"/>
          <w:szCs w:val="22"/>
        </w:rPr>
      </w:pPr>
      <w:r>
        <w:rPr>
          <w:rFonts w:ascii="Book Antiqua"/>
          <w:rtl w:val="0"/>
          <w:lang w:val="it-IT"/>
        </w:rPr>
        <w:t xml:space="preserve"> </w:t>
      </w:r>
      <w:r>
        <w:rPr>
          <w:rFonts w:ascii="Book Antiqua"/>
          <w:i w:val="1"/>
          <w:iCs w:val="1"/>
          <w:sz w:val="22"/>
          <w:szCs w:val="22"/>
          <w:rtl w:val="0"/>
          <w:lang w:val="it-IT"/>
        </w:rPr>
        <w:t xml:space="preserve">Tab. 7 </w:t>
      </w:r>
      <w:r>
        <w:rPr>
          <w:rFonts w:hAnsi="Book Antiqua" w:hint="default"/>
          <w:i w:val="1"/>
          <w:iCs w:val="1"/>
          <w:sz w:val="22"/>
          <w:szCs w:val="22"/>
          <w:rtl w:val="0"/>
          <w:lang w:val="it-IT"/>
        </w:rPr>
        <w:t xml:space="preserve">– </w:t>
      </w:r>
      <w:r>
        <w:rPr>
          <w:rFonts w:ascii="Book Antiqua"/>
          <w:i w:val="1"/>
          <w:iCs w:val="1"/>
          <w:sz w:val="22"/>
          <w:szCs w:val="22"/>
          <w:rtl w:val="0"/>
          <w:lang w:val="it-IT"/>
        </w:rPr>
        <w:t>Elenco soggetti economici del gruppo Cerroni con incarichi affidati a Scaglione Carmelina</w:t>
      </w:r>
    </w:p>
    <w:p>
      <w:pPr>
        <w:pStyle w:val="Normal"/>
        <w:keepNext w:val="1"/>
        <w:ind w:left="851" w:right="567" w:firstLine="0"/>
        <w:jc w:val="both"/>
        <w:rPr>
          <w:rFonts w:ascii="Book Antiqua" w:cs="Book Antiqua" w:hAnsi="Book Antiqua" w:eastAsia="Book Antiqua"/>
        </w:rPr>
      </w:pPr>
    </w:p>
    <w:tbl>
      <w:tblPr>
        <w:tblW w:w="8930" w:type="dxa"/>
        <w:jc w:val="left"/>
        <w:tblInd w:w="604" w:type="dxa"/>
        <w:tblBorders>
          <w:top w:val="single" w:color="000000" w:sz="2" w:space="0" w:shadow="0" w:frame="0"/>
          <w:left w:val="single" w:color="000000" w:sz="2" w:space="0" w:shadow="0" w:frame="0"/>
          <w:bottom w:val="single" w:color="000000" w:sz="2" w:space="0" w:shadow="0" w:frame="0"/>
          <w:right w:val="single" w:color="000000" w:sz="2" w:space="0" w:shadow="0" w:frame="0"/>
          <w:insideH w:val="single" w:color="000000" w:sz="2" w:space="0" w:shadow="0" w:frame="0"/>
          <w:insideV w:val="single" w:color="000000" w:sz="2" w:space="0" w:shadow="0" w:frame="0"/>
        </w:tblBorders>
        <w:shd w:val="clear" w:color="auto" w:fill="auto"/>
        <w:tblLayout w:type="fixed"/>
      </w:tblPr>
      <w:tblGrid>
        <w:gridCol w:w="364"/>
        <w:gridCol w:w="2471"/>
        <w:gridCol w:w="3685"/>
        <w:gridCol w:w="2410"/>
      </w:tblGrid>
      <w:tr>
        <w:tblPrEx>
          <w:shd w:val="clear" w:color="auto" w:fill="auto"/>
        </w:tblPrEx>
        <w:trPr>
          <w:trHeight w:val="490" w:hRule="atLeast"/>
        </w:trPr>
        <w:tc>
          <w:tcPr>
            <w:tcW w:type="dxa" w:w="3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ccccff"/>
            <w:tcMar>
              <w:top w:type="dxa" w:w="80"/>
              <w:left w:type="dxa" w:w="80"/>
              <w:bottom w:type="dxa" w:w="80"/>
              <w:right w:type="dxa" w:w="80"/>
            </w:tcMar>
            <w:vAlign w:val="center"/>
          </w:tcPr>
          <w:p>
            <w:pPr>
              <w:pStyle w:val="Normal"/>
              <w:keepNext w:val="1"/>
              <w:jc w:val="center"/>
            </w:pPr>
            <w:r>
              <w:rPr>
                <w:rFonts w:ascii="Calibri" w:cs="Calibri" w:hAnsi="Calibri" w:eastAsia="Calibri"/>
                <w:b w:val="1"/>
                <w:bCs w:val="1"/>
                <w:caps w:val="0"/>
                <w:smallCaps w:val="0"/>
                <w:strike w:val="0"/>
                <w:dstrike w:val="0"/>
                <w:outline w:val="0"/>
                <w:color w:val="000000"/>
                <w:spacing w:val="0"/>
                <w:kern w:val="0"/>
                <w:position w:val="0"/>
                <w:sz w:val="22"/>
                <w:szCs w:val="22"/>
                <w:u w:val="none" w:color="000000"/>
                <w:vertAlign w:val="baseline"/>
                <w:rtl w:val="0"/>
                <w:lang w:val="it-IT"/>
              </w:rPr>
              <w:t>N.</w:t>
            </w:r>
          </w:p>
        </w:tc>
        <w:tc>
          <w:tcPr>
            <w:tcW w:type="dxa" w:w="247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ccccff"/>
            <w:tcMar>
              <w:top w:type="dxa" w:w="80"/>
              <w:left w:type="dxa" w:w="80"/>
              <w:bottom w:type="dxa" w:w="80"/>
              <w:right w:type="dxa" w:w="80"/>
            </w:tcMar>
            <w:vAlign w:val="center"/>
          </w:tcPr>
          <w:p>
            <w:pPr>
              <w:pStyle w:val="Normal"/>
              <w:keepNext w:val="1"/>
              <w:jc w:val="center"/>
            </w:pPr>
            <w:r>
              <w:rPr>
                <w:rFonts w:ascii="Calibri" w:cs="Calibri" w:hAnsi="Calibri" w:eastAsia="Calibri"/>
                <w:b w:val="1"/>
                <w:bCs w:val="1"/>
                <w:caps w:val="0"/>
                <w:smallCaps w:val="0"/>
                <w:strike w:val="0"/>
                <w:dstrike w:val="0"/>
                <w:outline w:val="0"/>
                <w:color w:val="000000"/>
                <w:spacing w:val="0"/>
                <w:kern w:val="0"/>
                <w:position w:val="0"/>
                <w:sz w:val="22"/>
                <w:szCs w:val="22"/>
                <w:u w:val="none" w:color="000000"/>
                <w:vertAlign w:val="baseline"/>
                <w:rtl w:val="0"/>
                <w:lang w:val="it-IT"/>
              </w:rPr>
              <w:t>DENOMINAZIONE E CODICE FISCALE</w:t>
            </w:r>
          </w:p>
        </w:tc>
        <w:tc>
          <w:tcPr>
            <w:tcW w:type="dxa" w:w="368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ccccff"/>
            <w:tcMar>
              <w:top w:type="dxa" w:w="80"/>
              <w:left w:type="dxa" w:w="80"/>
              <w:bottom w:type="dxa" w:w="80"/>
              <w:right w:type="dxa" w:w="80"/>
            </w:tcMar>
            <w:vAlign w:val="center"/>
          </w:tcPr>
          <w:p>
            <w:pPr>
              <w:pStyle w:val="Normal"/>
              <w:keepNext w:val="1"/>
              <w:jc w:val="center"/>
            </w:pPr>
            <w:r>
              <w:rPr>
                <w:rFonts w:ascii="Calibri" w:cs="Calibri" w:hAnsi="Calibri" w:eastAsia="Calibri"/>
                <w:b w:val="1"/>
                <w:bCs w:val="1"/>
                <w:caps w:val="0"/>
                <w:smallCaps w:val="0"/>
                <w:strike w:val="0"/>
                <w:dstrike w:val="0"/>
                <w:outline w:val="0"/>
                <w:color w:val="000000"/>
                <w:spacing w:val="0"/>
                <w:kern w:val="0"/>
                <w:position w:val="0"/>
                <w:sz w:val="22"/>
                <w:szCs w:val="22"/>
                <w:u w:val="none" w:color="000000"/>
                <w:vertAlign w:val="baseline"/>
                <w:rtl w:val="0"/>
                <w:lang w:val="it-IT"/>
              </w:rPr>
              <w:t>ATTIVITA'</w:t>
            </w:r>
          </w:p>
        </w:tc>
        <w:tc>
          <w:tcPr>
            <w:tcW w:type="dxa" w:w="241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ccccff"/>
            <w:tcMar>
              <w:top w:type="dxa" w:w="80"/>
              <w:left w:type="dxa" w:w="80"/>
              <w:bottom w:type="dxa" w:w="80"/>
              <w:right w:type="dxa" w:w="80"/>
            </w:tcMar>
            <w:vAlign w:val="center"/>
          </w:tcPr>
          <w:p>
            <w:pPr>
              <w:pStyle w:val="Normal"/>
              <w:keepNext w:val="1"/>
              <w:jc w:val="center"/>
            </w:pPr>
            <w:r>
              <w:rPr>
                <w:rFonts w:ascii="Calibri" w:cs="Calibri" w:hAnsi="Calibri" w:eastAsia="Calibri"/>
                <w:b w:val="1"/>
                <w:bCs w:val="1"/>
                <w:caps w:val="0"/>
                <w:smallCaps w:val="0"/>
                <w:strike w:val="0"/>
                <w:dstrike w:val="0"/>
                <w:outline w:val="0"/>
                <w:color w:val="000000"/>
                <w:spacing w:val="0"/>
                <w:kern w:val="0"/>
                <w:position w:val="0"/>
                <w:sz w:val="22"/>
                <w:szCs w:val="22"/>
                <w:u w:val="none" w:color="000000"/>
                <w:vertAlign w:val="baseline"/>
                <w:rtl w:val="0"/>
                <w:lang w:val="it-IT"/>
              </w:rPr>
              <w:t>RUOLO DI Scaglione CARMELINA</w:t>
            </w:r>
          </w:p>
        </w:tc>
      </w:tr>
      <w:tr>
        <w:tblPrEx>
          <w:shd w:val="clear" w:color="auto" w:fill="auto"/>
        </w:tblPrEx>
        <w:trPr>
          <w:trHeight w:val="440" w:hRule="atLeast"/>
        </w:trPr>
        <w:tc>
          <w:tcPr>
            <w:tcW w:type="dxa" w:w="3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8"/>
                <w:szCs w:val="18"/>
                <w:u w:val="none" w:color="000000"/>
                <w:vertAlign w:val="baseline"/>
                <w:rtl w:val="0"/>
                <w:lang w:val="it-IT"/>
              </w:rPr>
              <w:t>1</w:t>
            </w:r>
          </w:p>
        </w:tc>
        <w:tc>
          <w:tcPr>
            <w:tcW w:type="dxa" w:w="247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8"/>
                <w:szCs w:val="18"/>
                <w:u w:val="none" w:color="000000"/>
                <w:vertAlign w:val="baseline"/>
                <w:rtl w:val="0"/>
                <w:lang w:val="it-IT"/>
              </w:rPr>
              <w:t>COMEDI IMPIANTI S.r.l. - 03809451002</w:t>
            </w:r>
          </w:p>
        </w:tc>
        <w:tc>
          <w:tcPr>
            <w:tcW w:type="dxa" w:w="368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8"/>
                <w:szCs w:val="18"/>
                <w:u w:val="none" w:color="000000"/>
                <w:vertAlign w:val="baseline"/>
                <w:rtl w:val="0"/>
                <w:lang w:val="it-IT"/>
              </w:rPr>
              <w:t>ATTIVITA' DEGLI STUDI DI ARCHITETTURA, INGEGNERIA ED ALTRI STUDI TECNICI</w:t>
            </w:r>
          </w:p>
        </w:tc>
        <w:tc>
          <w:tcPr>
            <w:tcW w:type="dxa" w:w="241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8"/>
                <w:szCs w:val="18"/>
                <w:u w:val="none" w:color="000000"/>
                <w:vertAlign w:val="baseline"/>
                <w:rtl w:val="0"/>
                <w:lang w:val="it-IT"/>
              </w:rPr>
              <w:t>AMMINISTRATORE UNICO</w:t>
            </w:r>
          </w:p>
        </w:tc>
      </w:tr>
      <w:tr>
        <w:tblPrEx>
          <w:shd w:val="clear" w:color="auto" w:fill="auto"/>
        </w:tblPrEx>
        <w:trPr>
          <w:trHeight w:val="440" w:hRule="atLeast"/>
        </w:trPr>
        <w:tc>
          <w:tcPr>
            <w:tcW w:type="dxa" w:w="3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8"/>
                <w:szCs w:val="18"/>
                <w:u w:val="none" w:color="000000"/>
                <w:vertAlign w:val="baseline"/>
                <w:rtl w:val="0"/>
                <w:lang w:val="it-IT"/>
              </w:rPr>
              <w:t>2</w:t>
            </w:r>
          </w:p>
        </w:tc>
        <w:tc>
          <w:tcPr>
            <w:tcW w:type="dxa" w:w="247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8"/>
                <w:szCs w:val="18"/>
                <w:u w:val="none" w:color="000000"/>
                <w:vertAlign w:val="baseline"/>
                <w:rtl w:val="0"/>
                <w:lang w:val="it-IT"/>
              </w:rPr>
              <w:t>E. Giovi S.r.l. - 04773710589</w:t>
            </w:r>
          </w:p>
        </w:tc>
        <w:tc>
          <w:tcPr>
            <w:tcW w:type="dxa" w:w="368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8"/>
                <w:szCs w:val="18"/>
                <w:u w:val="none" w:color="000000"/>
                <w:vertAlign w:val="baseline"/>
                <w:rtl w:val="0"/>
                <w:lang w:val="it-IT"/>
              </w:rPr>
              <w:t>TRATTAMENTO E SMALTIMENTO DI ALTRI RIFIUTI NON PERICOLOSI</w:t>
            </w:r>
          </w:p>
        </w:tc>
        <w:tc>
          <w:tcPr>
            <w:tcW w:type="dxa" w:w="241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8"/>
                <w:szCs w:val="18"/>
                <w:u w:val="none" w:color="000000"/>
                <w:vertAlign w:val="baseline"/>
                <w:rtl w:val="0"/>
                <w:lang w:val="it-IT"/>
              </w:rPr>
              <w:t>AMMINISTRATORE UNICO</w:t>
            </w:r>
          </w:p>
        </w:tc>
      </w:tr>
      <w:tr>
        <w:tblPrEx>
          <w:shd w:val="clear" w:color="auto" w:fill="auto"/>
        </w:tblPrEx>
        <w:trPr>
          <w:trHeight w:val="610" w:hRule="atLeast"/>
        </w:trPr>
        <w:tc>
          <w:tcPr>
            <w:tcW w:type="dxa" w:w="3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8"/>
                <w:szCs w:val="18"/>
                <w:u w:val="none" w:color="000000"/>
                <w:vertAlign w:val="baseline"/>
                <w:rtl w:val="0"/>
                <w:lang w:val="it-IT"/>
              </w:rPr>
              <w:t>3</w:t>
            </w:r>
          </w:p>
        </w:tc>
        <w:tc>
          <w:tcPr>
            <w:tcW w:type="dxa" w:w="247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8"/>
                <w:szCs w:val="18"/>
                <w:u w:val="none" w:color="000000"/>
                <w:vertAlign w:val="baseline"/>
                <w:rtl w:val="0"/>
                <w:lang w:val="it-IT"/>
              </w:rPr>
              <w:t>FINAMBIENTE S.r.l. CON UNICO SOCIO - 80169350586</w:t>
            </w:r>
          </w:p>
        </w:tc>
        <w:tc>
          <w:tcPr>
            <w:tcW w:type="dxa" w:w="368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8"/>
                <w:szCs w:val="18"/>
                <w:u w:val="none" w:color="000000"/>
                <w:vertAlign w:val="baseline"/>
                <w:rtl w:val="0"/>
                <w:lang w:val="it-IT"/>
              </w:rPr>
              <w:t>ATTIVITA' DEGLI STUDI DI ARCHITETTURA, INGEGNERIA ED ALTRI STUDI TECNICI</w:t>
            </w:r>
          </w:p>
        </w:tc>
        <w:tc>
          <w:tcPr>
            <w:tcW w:type="dxa" w:w="241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8"/>
                <w:szCs w:val="18"/>
                <w:u w:val="none" w:color="000000"/>
                <w:vertAlign w:val="baseline"/>
                <w:rtl w:val="0"/>
                <w:lang w:val="it-IT"/>
              </w:rPr>
              <w:t>AMMINISTRATORE UNICO</w:t>
            </w:r>
          </w:p>
        </w:tc>
      </w:tr>
      <w:tr>
        <w:tblPrEx>
          <w:shd w:val="clear" w:color="auto" w:fill="auto"/>
        </w:tblPrEx>
        <w:trPr>
          <w:trHeight w:val="610" w:hRule="atLeast"/>
        </w:trPr>
        <w:tc>
          <w:tcPr>
            <w:tcW w:type="dxa" w:w="3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8"/>
                <w:szCs w:val="18"/>
                <w:u w:val="none" w:color="000000"/>
                <w:vertAlign w:val="baseline"/>
                <w:rtl w:val="0"/>
                <w:lang w:val="it-IT"/>
              </w:rPr>
              <w:t>4</w:t>
            </w:r>
          </w:p>
        </w:tc>
        <w:tc>
          <w:tcPr>
            <w:tcW w:type="dxa" w:w="247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8"/>
                <w:szCs w:val="18"/>
                <w:u w:val="none" w:color="000000"/>
                <w:vertAlign w:val="baseline"/>
                <w:rtl w:val="0"/>
                <w:lang w:val="it-IT"/>
              </w:rPr>
              <w:t>FINECOLOGIC S.r.l. CON UNICO SOCIO - 05956081003</w:t>
            </w:r>
          </w:p>
        </w:tc>
        <w:tc>
          <w:tcPr>
            <w:tcW w:type="dxa" w:w="368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8"/>
                <w:szCs w:val="18"/>
                <w:u w:val="none" w:color="000000"/>
                <w:vertAlign w:val="baseline"/>
                <w:rtl w:val="0"/>
                <w:lang w:val="it-IT"/>
              </w:rPr>
              <w:t>ALTRI SERVIZI DI SOSTEGNO ALLE IMPRESE NCA</w:t>
            </w:r>
          </w:p>
        </w:tc>
        <w:tc>
          <w:tcPr>
            <w:tcW w:type="dxa" w:w="241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8"/>
                <w:szCs w:val="18"/>
                <w:u w:val="none" w:color="000000"/>
                <w:vertAlign w:val="baseline"/>
                <w:rtl w:val="0"/>
                <w:lang w:val="it-IT"/>
              </w:rPr>
              <w:t>AMMINISTRATORE UNICO</w:t>
            </w:r>
          </w:p>
        </w:tc>
      </w:tr>
      <w:tr>
        <w:tblPrEx>
          <w:shd w:val="clear" w:color="auto" w:fill="auto"/>
        </w:tblPrEx>
        <w:trPr>
          <w:trHeight w:val="440" w:hRule="atLeast"/>
        </w:trPr>
        <w:tc>
          <w:tcPr>
            <w:tcW w:type="dxa" w:w="3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8"/>
                <w:szCs w:val="18"/>
                <w:u w:val="none" w:color="000000"/>
                <w:vertAlign w:val="baseline"/>
                <w:rtl w:val="0"/>
                <w:lang w:val="it-IT"/>
              </w:rPr>
              <w:t>5</w:t>
            </w:r>
          </w:p>
        </w:tc>
        <w:tc>
          <w:tcPr>
            <w:tcW w:type="dxa" w:w="247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8"/>
                <w:szCs w:val="18"/>
                <w:u w:val="none" w:color="000000"/>
                <w:vertAlign w:val="baseline"/>
                <w:rtl w:val="0"/>
                <w:lang w:val="it-IT"/>
              </w:rPr>
              <w:t>Giovi CAVE S.r.l. - 07460940583</w:t>
            </w:r>
          </w:p>
        </w:tc>
        <w:tc>
          <w:tcPr>
            <w:tcW w:type="dxa" w:w="368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8"/>
                <w:szCs w:val="18"/>
                <w:u w:val="none" w:color="000000"/>
                <w:vertAlign w:val="baseline"/>
                <w:rtl w:val="0"/>
                <w:lang w:val="it-IT"/>
              </w:rPr>
              <w:t>ESTRAZIONE DI ALTRI MINERALI DA CAVE E MINIERE NCA</w:t>
            </w:r>
          </w:p>
        </w:tc>
        <w:tc>
          <w:tcPr>
            <w:tcW w:type="dxa" w:w="241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8"/>
                <w:szCs w:val="18"/>
                <w:u w:val="none" w:color="000000"/>
                <w:vertAlign w:val="baseline"/>
                <w:rtl w:val="0"/>
                <w:lang w:val="it-IT"/>
              </w:rPr>
              <w:t>AMMINISTRATORE UNICO</w:t>
            </w:r>
          </w:p>
        </w:tc>
      </w:tr>
      <w:tr>
        <w:tblPrEx>
          <w:shd w:val="clear" w:color="auto" w:fill="auto"/>
        </w:tblPrEx>
        <w:trPr>
          <w:trHeight w:val="440" w:hRule="atLeast"/>
        </w:trPr>
        <w:tc>
          <w:tcPr>
            <w:tcW w:type="dxa" w:w="3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8"/>
                <w:szCs w:val="18"/>
                <w:u w:val="none" w:color="000000"/>
                <w:vertAlign w:val="baseline"/>
                <w:rtl w:val="0"/>
                <w:lang w:val="it-IT"/>
              </w:rPr>
              <w:t>6</w:t>
            </w:r>
          </w:p>
        </w:tc>
        <w:tc>
          <w:tcPr>
            <w:tcW w:type="dxa" w:w="247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8"/>
                <w:szCs w:val="18"/>
                <w:u w:val="none" w:color="000000"/>
                <w:vertAlign w:val="baseline"/>
                <w:rtl w:val="0"/>
                <w:lang w:val="it-IT"/>
              </w:rPr>
              <w:t>Giovi IMPIANTI S.r.l. - 05625771000</w:t>
            </w:r>
          </w:p>
        </w:tc>
        <w:tc>
          <w:tcPr>
            <w:tcW w:type="dxa" w:w="368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8"/>
                <w:szCs w:val="18"/>
                <w:u w:val="none" w:color="000000"/>
                <w:vertAlign w:val="baseline"/>
                <w:rtl w:val="0"/>
                <w:lang w:val="it-IT"/>
              </w:rPr>
              <w:t>ALTRI SERVIZI DI SUPPORTO ALLE IMPRESE NCA</w:t>
            </w:r>
          </w:p>
        </w:tc>
        <w:tc>
          <w:tcPr>
            <w:tcW w:type="dxa" w:w="241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8"/>
                <w:szCs w:val="18"/>
                <w:u w:val="none" w:color="000000"/>
                <w:vertAlign w:val="baseline"/>
                <w:rtl w:val="0"/>
                <w:lang w:val="it-IT"/>
              </w:rPr>
              <w:t>AMMINISTRATORE UNICO</w:t>
            </w:r>
          </w:p>
        </w:tc>
      </w:tr>
      <w:tr>
        <w:tblPrEx>
          <w:shd w:val="clear" w:color="auto" w:fill="auto"/>
        </w:tblPrEx>
        <w:trPr>
          <w:trHeight w:val="610" w:hRule="atLeast"/>
        </w:trPr>
        <w:tc>
          <w:tcPr>
            <w:tcW w:type="dxa" w:w="3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8"/>
                <w:szCs w:val="18"/>
                <w:u w:val="none" w:color="000000"/>
                <w:vertAlign w:val="baseline"/>
                <w:rtl w:val="0"/>
                <w:lang w:val="it-IT"/>
              </w:rPr>
              <w:t>7</w:t>
            </w:r>
          </w:p>
        </w:tc>
        <w:tc>
          <w:tcPr>
            <w:tcW w:type="dxa" w:w="247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8"/>
                <w:szCs w:val="18"/>
                <w:u w:val="none" w:color="000000"/>
                <w:vertAlign w:val="baseline"/>
                <w:rtl w:val="0"/>
                <w:lang w:val="it-IT"/>
              </w:rPr>
              <w:t>IMPRESA Giovi S.r.l. CON UNICO SOCIO - 01118610581</w:t>
            </w:r>
          </w:p>
        </w:tc>
        <w:tc>
          <w:tcPr>
            <w:tcW w:type="dxa" w:w="368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8"/>
                <w:szCs w:val="18"/>
                <w:u w:val="none" w:color="000000"/>
                <w:vertAlign w:val="baseline"/>
                <w:rtl w:val="0"/>
                <w:lang w:val="it-IT"/>
              </w:rPr>
              <w:t>ESTRAZIONE DI GHIAIA E SABBIA; ESTRAZIONE DI ARGILLE E CAOLINO</w:t>
            </w:r>
          </w:p>
        </w:tc>
        <w:tc>
          <w:tcPr>
            <w:tcW w:type="dxa" w:w="241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8"/>
                <w:szCs w:val="18"/>
                <w:u w:val="none" w:color="000000"/>
                <w:vertAlign w:val="baseline"/>
                <w:rtl w:val="0"/>
                <w:lang w:val="it-IT"/>
              </w:rPr>
              <w:t>AMMINISTRATORE UNICO</w:t>
            </w:r>
          </w:p>
        </w:tc>
      </w:tr>
      <w:tr>
        <w:tblPrEx>
          <w:shd w:val="clear" w:color="auto" w:fill="auto"/>
        </w:tblPrEx>
        <w:trPr>
          <w:trHeight w:val="440" w:hRule="atLeast"/>
        </w:trPr>
        <w:tc>
          <w:tcPr>
            <w:tcW w:type="dxa" w:w="3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8"/>
                <w:szCs w:val="18"/>
                <w:u w:val="none" w:color="000000"/>
                <w:vertAlign w:val="baseline"/>
                <w:rtl w:val="0"/>
                <w:lang w:val="it-IT"/>
              </w:rPr>
              <w:t>8</w:t>
            </w:r>
          </w:p>
        </w:tc>
        <w:tc>
          <w:tcPr>
            <w:tcW w:type="dxa" w:w="247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8"/>
                <w:szCs w:val="18"/>
                <w:u w:val="none" w:color="000000"/>
                <w:vertAlign w:val="baseline"/>
                <w:rtl w:val="0"/>
                <w:lang w:val="it-IT"/>
              </w:rPr>
              <w:t>MALAGROTTA UNO-DUE - M1/M2 S.r.l. - 10166921006</w:t>
            </w:r>
          </w:p>
        </w:tc>
        <w:tc>
          <w:tcPr>
            <w:tcW w:type="dxa" w:w="368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8"/>
                <w:szCs w:val="18"/>
                <w:u w:val="none" w:color="000000"/>
                <w:vertAlign w:val="baseline"/>
                <w:rtl w:val="0"/>
                <w:lang w:val="it-IT"/>
              </w:rPr>
              <w:t>TRATTAMENTO E SMALTIMENTO DEI RIFIUTI</w:t>
            </w:r>
          </w:p>
        </w:tc>
        <w:tc>
          <w:tcPr>
            <w:tcW w:type="dxa" w:w="241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8"/>
                <w:szCs w:val="18"/>
                <w:u w:val="none" w:color="000000"/>
                <w:vertAlign w:val="baseline"/>
                <w:rtl w:val="0"/>
                <w:lang w:val="it-IT"/>
              </w:rPr>
              <w:t>AMMINISTRATORE UNICO</w:t>
            </w:r>
          </w:p>
        </w:tc>
      </w:tr>
      <w:tr>
        <w:tblPrEx>
          <w:shd w:val="clear" w:color="auto" w:fill="auto"/>
        </w:tblPrEx>
        <w:trPr>
          <w:trHeight w:val="440" w:hRule="atLeast"/>
        </w:trPr>
        <w:tc>
          <w:tcPr>
            <w:tcW w:type="dxa" w:w="3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8"/>
                <w:szCs w:val="18"/>
                <w:u w:val="none" w:color="000000"/>
                <w:vertAlign w:val="baseline"/>
                <w:rtl w:val="0"/>
                <w:lang w:val="it-IT"/>
              </w:rPr>
              <w:t>9</w:t>
            </w:r>
          </w:p>
        </w:tc>
        <w:tc>
          <w:tcPr>
            <w:tcW w:type="dxa" w:w="247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8"/>
                <w:szCs w:val="18"/>
                <w:u w:val="none" w:color="000000"/>
                <w:vertAlign w:val="baseline"/>
                <w:rtl w:val="0"/>
                <w:lang w:val="it-IT"/>
              </w:rPr>
              <w:t>OFFICINE MALAGROTTA S.r.l. - 06938300586</w:t>
            </w:r>
          </w:p>
        </w:tc>
        <w:tc>
          <w:tcPr>
            <w:tcW w:type="dxa" w:w="368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8"/>
                <w:szCs w:val="18"/>
                <w:u w:val="none" w:color="000000"/>
                <w:vertAlign w:val="baseline"/>
                <w:rtl w:val="0"/>
                <w:lang w:val="it-IT"/>
              </w:rPr>
              <w:t>MANUTENZIONE E RIPARAZIONE DI AUTOVEICOLI</w:t>
            </w:r>
          </w:p>
        </w:tc>
        <w:tc>
          <w:tcPr>
            <w:tcW w:type="dxa" w:w="241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8"/>
                <w:szCs w:val="18"/>
                <w:u w:val="none" w:color="000000"/>
                <w:vertAlign w:val="baseline"/>
                <w:rtl w:val="0"/>
                <w:lang w:val="it-IT"/>
              </w:rPr>
              <w:t>AMMINISTRATORE UNICO</w:t>
            </w:r>
          </w:p>
        </w:tc>
      </w:tr>
      <w:tr>
        <w:tblPrEx>
          <w:shd w:val="clear" w:color="auto" w:fill="auto"/>
        </w:tblPrEx>
        <w:trPr>
          <w:trHeight w:val="610" w:hRule="atLeast"/>
        </w:trPr>
        <w:tc>
          <w:tcPr>
            <w:tcW w:type="dxa" w:w="3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8"/>
                <w:szCs w:val="18"/>
                <w:u w:val="none" w:color="000000"/>
                <w:vertAlign w:val="baseline"/>
                <w:rtl w:val="0"/>
                <w:lang w:val="it-IT"/>
              </w:rPr>
              <w:t>10</w:t>
            </w:r>
          </w:p>
        </w:tc>
        <w:tc>
          <w:tcPr>
            <w:tcW w:type="dxa" w:w="247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8"/>
                <w:szCs w:val="18"/>
                <w:u w:val="none" w:color="000000"/>
                <w:vertAlign w:val="baseline"/>
                <w:rtl w:val="0"/>
                <w:lang w:val="it-IT"/>
              </w:rPr>
              <w:t>P. Giovi S.r.l. - 04773730587</w:t>
            </w:r>
          </w:p>
        </w:tc>
        <w:tc>
          <w:tcPr>
            <w:tcW w:type="dxa" w:w="368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8"/>
                <w:szCs w:val="18"/>
                <w:u w:val="none" w:color="000000"/>
                <w:vertAlign w:val="baseline"/>
                <w:rtl w:val="0"/>
                <w:lang w:val="it-IT"/>
              </w:rPr>
              <w:t>ATTIVITA' DI RACCOLTA, TRATTAMENTO E SMALTIMENTO DEI RIFIUTI; RECUPERO DEI MATERIALI</w:t>
            </w:r>
          </w:p>
        </w:tc>
        <w:tc>
          <w:tcPr>
            <w:tcW w:type="dxa" w:w="241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8"/>
                <w:szCs w:val="18"/>
                <w:u w:val="none" w:color="000000"/>
                <w:vertAlign w:val="baseline"/>
                <w:rtl w:val="0"/>
                <w:lang w:val="it-IT"/>
              </w:rPr>
              <w:t>AMMINISTRATORE UNICO</w:t>
            </w:r>
          </w:p>
        </w:tc>
      </w:tr>
      <w:tr>
        <w:tblPrEx>
          <w:shd w:val="clear" w:color="auto" w:fill="auto"/>
        </w:tblPrEx>
        <w:trPr>
          <w:trHeight w:val="440" w:hRule="atLeast"/>
        </w:trPr>
        <w:tc>
          <w:tcPr>
            <w:tcW w:type="dxa" w:w="3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8"/>
                <w:szCs w:val="18"/>
                <w:u w:val="none" w:color="000000"/>
                <w:vertAlign w:val="baseline"/>
                <w:rtl w:val="0"/>
                <w:lang w:val="it-IT"/>
              </w:rPr>
              <w:t>11</w:t>
            </w:r>
          </w:p>
        </w:tc>
        <w:tc>
          <w:tcPr>
            <w:tcW w:type="dxa" w:w="247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8"/>
                <w:szCs w:val="18"/>
                <w:u w:val="none" w:color="000000"/>
                <w:vertAlign w:val="baseline"/>
                <w:rtl w:val="0"/>
                <w:lang w:val="it-IT"/>
              </w:rPr>
              <w:t>PISANA IMMOBILIARE S.r.l. - 03760541007</w:t>
            </w:r>
          </w:p>
        </w:tc>
        <w:tc>
          <w:tcPr>
            <w:tcW w:type="dxa" w:w="368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8"/>
                <w:szCs w:val="18"/>
                <w:u w:val="none" w:color="000000"/>
                <w:vertAlign w:val="baseline"/>
                <w:rtl w:val="0"/>
                <w:lang w:val="it-IT"/>
              </w:rPr>
              <w:t>COSTRUZIONE DI EDIFICI RESIDENZIALI E NON RESIDENZIALI</w:t>
            </w:r>
          </w:p>
        </w:tc>
        <w:tc>
          <w:tcPr>
            <w:tcW w:type="dxa" w:w="241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8"/>
                <w:szCs w:val="18"/>
                <w:u w:val="none" w:color="000000"/>
                <w:vertAlign w:val="baseline"/>
                <w:rtl w:val="0"/>
                <w:lang w:val="it-IT"/>
              </w:rPr>
              <w:t>PRESIDENTE CDA</w:t>
            </w:r>
          </w:p>
        </w:tc>
      </w:tr>
      <w:tr>
        <w:tblPrEx>
          <w:shd w:val="clear" w:color="auto" w:fill="auto"/>
        </w:tblPrEx>
        <w:trPr>
          <w:trHeight w:val="610" w:hRule="atLeast"/>
        </w:trPr>
        <w:tc>
          <w:tcPr>
            <w:tcW w:type="dxa" w:w="3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8"/>
                <w:szCs w:val="18"/>
                <w:u w:val="none" w:color="000000"/>
                <w:vertAlign w:val="baseline"/>
                <w:rtl w:val="0"/>
                <w:lang w:val="it-IT"/>
              </w:rPr>
              <w:t>12</w:t>
            </w:r>
          </w:p>
        </w:tc>
        <w:tc>
          <w:tcPr>
            <w:tcW w:type="dxa" w:w="247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8"/>
                <w:szCs w:val="18"/>
                <w:u w:val="none" w:color="000000"/>
                <w:vertAlign w:val="baseline"/>
                <w:rtl w:val="0"/>
                <w:lang w:val="it-IT"/>
              </w:rPr>
              <w:t>PONTEG S.r.l. CON UNICO SOCIO - 06625940587</w:t>
            </w:r>
          </w:p>
        </w:tc>
        <w:tc>
          <w:tcPr>
            <w:tcW w:type="dxa" w:w="368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8"/>
                <w:szCs w:val="18"/>
                <w:u w:val="none" w:color="000000"/>
                <w:vertAlign w:val="baseline"/>
                <w:rtl w:val="0"/>
                <w:lang w:val="it-IT"/>
              </w:rPr>
              <w:t>ALTRE ATTIVITA' DI ASSISTENZA E CONSULENZA PROFESSIONALE, SCIENTIFICA E TECNICA NCA</w:t>
            </w:r>
          </w:p>
        </w:tc>
        <w:tc>
          <w:tcPr>
            <w:tcW w:type="dxa" w:w="241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8"/>
                <w:szCs w:val="18"/>
                <w:u w:val="none" w:color="000000"/>
                <w:vertAlign w:val="baseline"/>
                <w:rtl w:val="0"/>
                <w:lang w:val="it-IT"/>
              </w:rPr>
              <w:t>AMMINISTRATORE UNICO</w:t>
            </w:r>
          </w:p>
        </w:tc>
      </w:tr>
      <w:tr>
        <w:tblPrEx>
          <w:shd w:val="clear" w:color="auto" w:fill="auto"/>
        </w:tblPrEx>
        <w:trPr>
          <w:trHeight w:val="610" w:hRule="atLeast"/>
        </w:trPr>
        <w:tc>
          <w:tcPr>
            <w:tcW w:type="dxa" w:w="3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8"/>
                <w:szCs w:val="18"/>
                <w:u w:val="none" w:color="000000"/>
                <w:vertAlign w:val="baseline"/>
                <w:rtl w:val="0"/>
                <w:lang w:val="it-IT"/>
              </w:rPr>
              <w:t>13</w:t>
            </w:r>
          </w:p>
        </w:tc>
        <w:tc>
          <w:tcPr>
            <w:tcW w:type="dxa" w:w="247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8"/>
                <w:szCs w:val="18"/>
                <w:u w:val="none" w:color="000000"/>
                <w:vertAlign w:val="baseline"/>
                <w:rtl w:val="0"/>
                <w:lang w:val="it-IT"/>
              </w:rPr>
              <w:t>ROMANA METANO S.r.l. CON UNICO SOCIO - 06241621009</w:t>
            </w:r>
          </w:p>
        </w:tc>
        <w:tc>
          <w:tcPr>
            <w:tcW w:type="dxa" w:w="368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8"/>
                <w:szCs w:val="18"/>
                <w:u w:val="none" w:color="000000"/>
                <w:vertAlign w:val="baseline"/>
                <w:rtl w:val="0"/>
                <w:lang w:val="it-IT"/>
              </w:rPr>
              <w:t>FORNITURA DI ENERGIA ELETTRICA, GAS, VAPORE E ARIA CONDIZIONATA</w:t>
            </w:r>
          </w:p>
        </w:tc>
        <w:tc>
          <w:tcPr>
            <w:tcW w:type="dxa" w:w="241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8"/>
                <w:szCs w:val="18"/>
                <w:u w:val="none" w:color="000000"/>
                <w:vertAlign w:val="baseline"/>
                <w:rtl w:val="0"/>
                <w:lang w:val="it-IT"/>
              </w:rPr>
              <w:t>AMMINISTRATORE UNICO</w:t>
            </w:r>
          </w:p>
        </w:tc>
      </w:tr>
      <w:tr>
        <w:tblPrEx>
          <w:shd w:val="clear" w:color="auto" w:fill="auto"/>
        </w:tblPrEx>
        <w:trPr>
          <w:trHeight w:val="610" w:hRule="atLeast"/>
        </w:trPr>
        <w:tc>
          <w:tcPr>
            <w:tcW w:type="dxa" w:w="3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8"/>
                <w:szCs w:val="18"/>
                <w:u w:val="none" w:color="000000"/>
                <w:vertAlign w:val="baseline"/>
                <w:rtl w:val="0"/>
                <w:lang w:val="it-IT"/>
              </w:rPr>
              <w:t>14</w:t>
            </w:r>
          </w:p>
        </w:tc>
        <w:tc>
          <w:tcPr>
            <w:tcW w:type="dxa" w:w="247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8"/>
                <w:szCs w:val="18"/>
                <w:u w:val="none" w:color="000000"/>
                <w:vertAlign w:val="baseline"/>
                <w:rtl w:val="0"/>
                <w:lang w:val="it-IT"/>
              </w:rPr>
              <w:t>SESTILIA FONDIARIA S.r.l. CON UNICO SOCIO - 05887371002</w:t>
            </w:r>
          </w:p>
        </w:tc>
        <w:tc>
          <w:tcPr>
            <w:tcW w:type="dxa" w:w="368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8"/>
                <w:szCs w:val="18"/>
                <w:u w:val="none" w:color="000000"/>
                <w:vertAlign w:val="baseline"/>
                <w:rtl w:val="0"/>
                <w:lang w:val="it-IT"/>
              </w:rPr>
              <w:t>INTERMEDIARI NELLA MEDIAZIONE IMMOBILIARE</w:t>
            </w:r>
          </w:p>
        </w:tc>
        <w:tc>
          <w:tcPr>
            <w:tcW w:type="dxa" w:w="241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8"/>
                <w:szCs w:val="18"/>
                <w:u w:val="none" w:color="000000"/>
                <w:vertAlign w:val="baseline"/>
                <w:rtl w:val="0"/>
                <w:lang w:val="it-IT"/>
              </w:rPr>
              <w:t>AMMINISTRATORE UNICO</w:t>
            </w:r>
          </w:p>
        </w:tc>
      </w:tr>
      <w:tr>
        <w:tblPrEx>
          <w:shd w:val="clear" w:color="auto" w:fill="auto"/>
        </w:tblPrEx>
        <w:trPr>
          <w:trHeight w:val="440" w:hRule="atLeast"/>
        </w:trPr>
        <w:tc>
          <w:tcPr>
            <w:tcW w:type="dxa" w:w="3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8"/>
                <w:szCs w:val="18"/>
                <w:u w:val="none" w:color="000000"/>
                <w:vertAlign w:val="baseline"/>
                <w:rtl w:val="0"/>
                <w:lang w:val="it-IT"/>
              </w:rPr>
              <w:t>15</w:t>
            </w:r>
          </w:p>
        </w:tc>
        <w:tc>
          <w:tcPr>
            <w:tcW w:type="dxa" w:w="247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8"/>
                <w:szCs w:val="18"/>
                <w:u w:val="none" w:color="000000"/>
                <w:vertAlign w:val="baseline"/>
                <w:rtl w:val="0"/>
                <w:lang w:val="it-IT"/>
              </w:rPr>
              <w:t>SIL - S.r.l. CON UNICO SOCIO - 03890911005</w:t>
            </w:r>
          </w:p>
        </w:tc>
        <w:tc>
          <w:tcPr>
            <w:tcW w:type="dxa" w:w="368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8"/>
                <w:szCs w:val="18"/>
                <w:u w:val="none" w:color="000000"/>
                <w:vertAlign w:val="baseline"/>
                <w:rtl w:val="0"/>
                <w:lang w:val="it-IT"/>
              </w:rPr>
              <w:t>COSTRUZIONE DI EDIFICI RESIDENZIALI E NON RESIDENZIALI</w:t>
            </w:r>
          </w:p>
        </w:tc>
        <w:tc>
          <w:tcPr>
            <w:tcW w:type="dxa" w:w="241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8"/>
                <w:szCs w:val="18"/>
                <w:u w:val="none" w:color="000000"/>
                <w:vertAlign w:val="baseline"/>
                <w:rtl w:val="0"/>
                <w:lang w:val="it-IT"/>
              </w:rPr>
              <w:t>CONSIGLIERE DI AMMINISTRAZIONE</w:t>
            </w:r>
          </w:p>
        </w:tc>
      </w:tr>
      <w:tr>
        <w:tblPrEx>
          <w:shd w:val="clear" w:color="auto" w:fill="auto"/>
        </w:tblPrEx>
        <w:trPr>
          <w:trHeight w:val="1010" w:hRule="atLeast"/>
        </w:trPr>
        <w:tc>
          <w:tcPr>
            <w:tcW w:type="dxa" w:w="36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8"/>
                <w:szCs w:val="18"/>
                <w:u w:val="none" w:color="000000"/>
                <w:vertAlign w:val="baseline"/>
                <w:rtl w:val="0"/>
                <w:lang w:val="it-IT"/>
              </w:rPr>
              <w:t>16</w:t>
            </w:r>
          </w:p>
        </w:tc>
        <w:tc>
          <w:tcPr>
            <w:tcW w:type="dxa" w:w="247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8"/>
                <w:szCs w:val="18"/>
                <w:u w:val="none" w:color="000000"/>
                <w:vertAlign w:val="baseline"/>
                <w:rtl w:val="0"/>
                <w:lang w:val="it-IT"/>
              </w:rPr>
              <w:t>SOCIETA ECOLOGICA MERIDIONALE IMPIANTI SMALTIMENTO S.r.l. CON UNICO SOCIO - 04379080726</w:t>
            </w:r>
          </w:p>
        </w:tc>
        <w:tc>
          <w:tcPr>
            <w:tcW w:type="dxa" w:w="368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8"/>
                <w:szCs w:val="18"/>
                <w:u w:val="none" w:color="000000"/>
                <w:vertAlign w:val="baseline"/>
                <w:rtl w:val="0"/>
                <w:lang w:val="it-IT"/>
              </w:rPr>
              <w:t>ATTIVITA' DI RACCOLTA, TRATTAMENTO E SMALTIMENTO DEI RIFIUTI; RECUPERO DEI MATERIALI</w:t>
            </w:r>
          </w:p>
        </w:tc>
        <w:tc>
          <w:tcPr>
            <w:tcW w:type="dxa" w:w="241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fffff"/>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8"/>
                <w:szCs w:val="18"/>
                <w:u w:val="none" w:color="000000"/>
                <w:vertAlign w:val="baseline"/>
                <w:rtl w:val="0"/>
                <w:lang w:val="it-IT"/>
              </w:rPr>
              <w:t>AMMINISTRATORE UNICO</w:t>
            </w:r>
          </w:p>
        </w:tc>
      </w:tr>
    </w:tbl>
    <w:p>
      <w:pPr>
        <w:pStyle w:val="Normal"/>
        <w:keepNext w:val="1"/>
        <w:ind w:left="496" w:right="567" w:firstLine="355"/>
        <w:jc w:val="both"/>
        <w:rPr>
          <w:rFonts w:ascii="Book Antiqua" w:cs="Book Antiqua" w:hAnsi="Book Antiqua" w:eastAsia="Book Antiqua"/>
        </w:rPr>
      </w:pPr>
    </w:p>
    <w:p>
      <w:pPr>
        <w:pStyle w:val="Normal"/>
        <w:keepNext w:val="1"/>
        <w:ind w:left="851" w:right="567" w:firstLine="0"/>
        <w:jc w:val="both"/>
        <w:rPr>
          <w:rFonts w:ascii="Book Antiqua" w:cs="Book Antiqua" w:hAnsi="Book Antiqua" w:eastAsia="Book Antiqua"/>
        </w:rPr>
      </w:pPr>
    </w:p>
    <w:p>
      <w:pPr>
        <w:pStyle w:val="Normal"/>
        <w:keepNext w:val="1"/>
        <w:ind w:left="851" w:right="567" w:firstLine="0"/>
        <w:jc w:val="both"/>
        <w:rPr>
          <w:rFonts w:ascii="Book Antiqua" w:cs="Book Antiqua" w:hAnsi="Book Antiqua" w:eastAsia="Book Antiqua"/>
        </w:rPr>
      </w:pPr>
      <w:r>
        <w:rPr>
          <w:rFonts w:ascii="Book Antiqua"/>
          <w:rtl w:val="0"/>
          <w:lang w:val="it-IT"/>
        </w:rPr>
        <w:t xml:space="preserve">Vale la pena sottolineare come alla Scaglione siano state affidate, tra le altre, le sorti della E. Giovi S.r.l., della Officine Malagrotta S.r.l. e della </w:t>
      </w:r>
      <w:r>
        <w:rPr>
          <w:rFonts w:ascii="Book Antiqua"/>
          <w:color w:val="000000"/>
          <w:u w:color="000000"/>
          <w:rtl w:val="0"/>
          <w:lang w:val="it-IT"/>
        </w:rPr>
        <w:t>Malagrotta Uno-Due S.r.l., aziende di riferimento delle attivit</w:t>
      </w:r>
      <w:r>
        <w:rPr>
          <w:rFonts w:hAnsi="Book Antiqua" w:hint="default"/>
          <w:color w:val="000000"/>
          <w:u w:color="000000"/>
          <w:rtl w:val="0"/>
          <w:lang w:val="it-IT"/>
        </w:rPr>
        <w:t xml:space="preserve">à </w:t>
      </w:r>
      <w:r>
        <w:rPr>
          <w:rFonts w:ascii="Book Antiqua"/>
          <w:color w:val="000000"/>
          <w:u w:color="000000"/>
          <w:rtl w:val="0"/>
          <w:lang w:val="it-IT"/>
        </w:rPr>
        <w:t>di tutti gli impianti del sito di Malagrotta.</w:t>
      </w:r>
    </w:p>
    <w:p>
      <w:pPr>
        <w:pStyle w:val="Normal"/>
        <w:keepNext w:val="1"/>
        <w:ind w:left="851" w:right="567" w:firstLine="0"/>
        <w:jc w:val="both"/>
        <w:rPr>
          <w:rFonts w:ascii="Book Antiqua" w:cs="Book Antiqua" w:hAnsi="Book Antiqua" w:eastAsia="Book Antiqua"/>
        </w:rPr>
      </w:pPr>
      <w:r>
        <w:rPr>
          <w:rFonts w:ascii="Book Antiqua"/>
          <w:rtl w:val="0"/>
          <w:lang w:val="it-IT"/>
        </w:rPr>
        <w:t xml:space="preserve">Non trascurabile in questa sede </w:t>
      </w:r>
      <w:r>
        <w:rPr>
          <w:rFonts w:hAnsi="Book Antiqua" w:hint="default"/>
          <w:rtl w:val="0"/>
          <w:lang w:val="it-IT"/>
        </w:rPr>
        <w:t xml:space="preserve">è </w:t>
      </w:r>
      <w:r>
        <w:rPr>
          <w:rFonts w:ascii="Book Antiqua"/>
          <w:rtl w:val="0"/>
          <w:lang w:val="it-IT"/>
        </w:rPr>
        <w:t xml:space="preserve">la carica di Presidente del consiglio di amministrazione </w:t>
      </w:r>
      <w:r>
        <w:rPr>
          <w:rFonts w:hAnsi="Book Antiqua" w:hint="default"/>
          <w:rtl w:val="0"/>
          <w:lang w:val="it-IT"/>
        </w:rPr>
        <w:t xml:space="preserve">– </w:t>
      </w:r>
      <w:r>
        <w:rPr>
          <w:rFonts w:ascii="Book Antiqua"/>
          <w:rtl w:val="0"/>
          <w:lang w:val="it-IT"/>
        </w:rPr>
        <w:t xml:space="preserve">e, quindi, di rappresentante legale - che la Scaglione ricopre in seno </w:t>
      </w:r>
      <w:r>
        <w:rPr>
          <w:rFonts w:ascii="Book Antiqua"/>
          <w:color w:val="000000"/>
          <w:u w:color="000000"/>
          <w:rtl w:val="0"/>
          <w:lang w:val="it-IT"/>
        </w:rPr>
        <w:t xml:space="preserve">Pisana Immobiliare S.r.l.: in ragione di essa, </w:t>
      </w:r>
      <w:r>
        <w:rPr>
          <w:rFonts w:ascii="Book Antiqua"/>
          <w:rtl w:val="0"/>
          <w:lang w:val="it-IT"/>
        </w:rPr>
        <w:t>la stessa Scaglione, come Giovi Piero, risulta coindagata con Manlio Cerroni nel gi</w:t>
      </w:r>
      <w:r>
        <w:rPr>
          <w:rFonts w:hAnsi="Book Antiqua" w:hint="default"/>
          <w:rtl w:val="0"/>
          <w:lang w:val="it-IT"/>
        </w:rPr>
        <w:t xml:space="preserve">à </w:t>
      </w:r>
      <w:r>
        <w:rPr>
          <w:rFonts w:ascii="Book Antiqua"/>
          <w:rtl w:val="0"/>
          <w:lang w:val="it-IT"/>
        </w:rPr>
        <w:t>citato procedimento penale n. 7449/2008 RGNR.</w:t>
      </w:r>
    </w:p>
    <w:p>
      <w:pPr>
        <w:pStyle w:val="Normal"/>
        <w:keepNext w:val="1"/>
        <w:ind w:left="567" w:right="567" w:firstLine="0"/>
        <w:jc w:val="both"/>
        <w:rPr>
          <w:rFonts w:ascii="Book Antiqua" w:cs="Book Antiqua" w:hAnsi="Book Antiqua" w:eastAsia="Book Antiqua"/>
        </w:rPr>
      </w:pPr>
    </w:p>
    <w:p>
      <w:pPr>
        <w:pStyle w:val="Normal"/>
        <w:keepNext w:val="1"/>
        <w:numPr>
          <w:ilvl w:val="0"/>
          <w:numId w:val="141"/>
        </w:numPr>
        <w:tabs>
          <w:tab w:val="num" w:pos="851"/>
          <w:tab w:val="clear" w:pos="0"/>
        </w:tabs>
        <w:bidi w:val="0"/>
        <w:ind w:left="851" w:right="567" w:hanging="284"/>
        <w:jc w:val="both"/>
        <w:rPr>
          <w:rFonts w:ascii="Book Antiqua" w:cs="Book Antiqua" w:hAnsi="Book Antiqua" w:eastAsia="Book Antiqua"/>
          <w:position w:val="0"/>
          <w:rtl w:val="0"/>
        </w:rPr>
      </w:pPr>
      <w:r>
        <w:rPr>
          <w:rFonts w:ascii="Book Antiqua"/>
          <w:rtl w:val="0"/>
          <w:lang w:val="it-IT"/>
        </w:rPr>
        <w:t>Saioni Candido, avvocato, uomo di fiducia e strettissimo collaboratore di Cerroni; rappresenta l</w:t>
      </w:r>
      <w:r>
        <w:rPr>
          <w:rFonts w:hAnsi="Book Antiqua" w:hint="default"/>
          <w:rtl w:val="0"/>
          <w:lang w:val="it-IT"/>
        </w:rPr>
        <w:t>’</w:t>
      </w:r>
      <w:r>
        <w:rPr>
          <w:rFonts w:ascii="Book Antiqua"/>
          <w:rtl w:val="0"/>
          <w:lang w:val="it-IT"/>
        </w:rPr>
        <w:t>altra figura, assieme alla Scaglione, cui i Cerroni si rivolgono per l</w:t>
      </w:r>
      <w:r>
        <w:rPr>
          <w:rFonts w:hAnsi="Book Antiqua" w:hint="default"/>
          <w:rtl w:val="0"/>
          <w:lang w:val="it-IT"/>
        </w:rPr>
        <w:t>’</w:t>
      </w:r>
      <w:r>
        <w:rPr>
          <w:rFonts w:ascii="Book Antiqua"/>
          <w:rtl w:val="0"/>
          <w:lang w:val="it-IT"/>
        </w:rPr>
        <w:t xml:space="preserve">amministrazione di quelle aziende operante nel settore dei rifiuti. Nel dettaglio, come si evince dalla seguente tabella, il Saioni </w:t>
      </w:r>
      <w:r>
        <w:rPr>
          <w:rFonts w:hAnsi="Book Antiqua" w:hint="default"/>
          <w:rtl w:val="0"/>
          <w:lang w:val="it-IT"/>
        </w:rPr>
        <w:t xml:space="preserve">è </w:t>
      </w:r>
      <w:r>
        <w:rPr>
          <w:rFonts w:ascii="Book Antiqua"/>
          <w:rtl w:val="0"/>
          <w:lang w:val="it-IT"/>
        </w:rPr>
        <w:t>rappresentante legale ovvero partecipa al consiglio di amministrazione in 9 societ</w:t>
      </w:r>
      <w:r>
        <w:rPr>
          <w:rFonts w:hAnsi="Book Antiqua" w:hint="default"/>
          <w:rtl w:val="0"/>
          <w:lang w:val="it-IT"/>
        </w:rPr>
        <w:t xml:space="preserve">à </w:t>
      </w:r>
      <w:r>
        <w:rPr>
          <w:rFonts w:ascii="Book Antiqua"/>
          <w:rtl w:val="0"/>
          <w:lang w:val="it-IT"/>
        </w:rPr>
        <w:t>del gruppo Cerroni.</w:t>
      </w:r>
    </w:p>
    <w:p>
      <w:pPr>
        <w:pStyle w:val="Normal"/>
        <w:keepNext w:val="1"/>
        <w:ind w:left="1701" w:right="567" w:hanging="850"/>
        <w:rPr>
          <w:rFonts w:ascii="Book Antiqua" w:cs="Book Antiqua" w:hAnsi="Book Antiqua" w:eastAsia="Book Antiqua"/>
        </w:rPr>
      </w:pPr>
    </w:p>
    <w:p>
      <w:pPr>
        <w:pStyle w:val="Normal"/>
        <w:keepNext w:val="1"/>
        <w:ind w:left="1418" w:right="567" w:hanging="851"/>
        <w:rPr>
          <w:rFonts w:ascii="Book Antiqua" w:cs="Book Antiqua" w:hAnsi="Book Antiqua" w:eastAsia="Book Antiqua"/>
          <w:i w:val="1"/>
          <w:iCs w:val="1"/>
          <w:sz w:val="20"/>
          <w:szCs w:val="20"/>
        </w:rPr>
      </w:pPr>
      <w:r>
        <w:rPr>
          <w:rFonts w:ascii="Book Antiqua"/>
          <w:i w:val="1"/>
          <w:iCs w:val="1"/>
          <w:sz w:val="20"/>
          <w:szCs w:val="20"/>
          <w:rtl w:val="0"/>
          <w:lang w:val="it-IT"/>
        </w:rPr>
        <w:t xml:space="preserve">Tab. 8 </w:t>
      </w:r>
      <w:r>
        <w:rPr>
          <w:rFonts w:hAnsi="Book Antiqua" w:hint="default"/>
          <w:i w:val="1"/>
          <w:iCs w:val="1"/>
          <w:sz w:val="20"/>
          <w:szCs w:val="20"/>
          <w:rtl w:val="0"/>
          <w:lang w:val="it-IT"/>
        </w:rPr>
        <w:t xml:space="preserve">– </w:t>
      </w:r>
      <w:r>
        <w:rPr>
          <w:rFonts w:ascii="Book Antiqua"/>
          <w:i w:val="1"/>
          <w:iCs w:val="1"/>
          <w:sz w:val="20"/>
          <w:szCs w:val="20"/>
          <w:rtl w:val="0"/>
          <w:lang w:val="it-IT"/>
        </w:rPr>
        <w:t>Elenco soggetti economici del gruppo Cerroni con incarichi affidati a SAIONI Candido</w:t>
      </w:r>
    </w:p>
    <w:tbl>
      <w:tblPr>
        <w:tblW w:w="8646" w:type="dxa"/>
        <w:jc w:val="left"/>
        <w:tblInd w:w="604" w:type="dxa"/>
        <w:tblBorders>
          <w:top w:val="single" w:color="000000" w:sz="2" w:space="0" w:shadow="0" w:frame="0"/>
          <w:left w:val="single" w:color="000000" w:sz="2" w:space="0" w:shadow="0" w:frame="0"/>
          <w:bottom w:val="single" w:color="000000" w:sz="2" w:space="0" w:shadow="0" w:frame="0"/>
          <w:right w:val="single" w:color="000000" w:sz="2" w:space="0" w:shadow="0" w:frame="0"/>
          <w:insideH w:val="single" w:color="000000" w:sz="2" w:space="0" w:shadow="0" w:frame="0"/>
          <w:insideV w:val="single" w:color="000000" w:sz="2" w:space="0" w:shadow="0" w:frame="0"/>
        </w:tblBorders>
        <w:shd w:val="clear" w:color="auto" w:fill="auto"/>
        <w:tblLayout w:type="fixed"/>
      </w:tblPr>
      <w:tblGrid>
        <w:gridCol w:w="344"/>
        <w:gridCol w:w="2491"/>
        <w:gridCol w:w="3685"/>
        <w:gridCol w:w="2126"/>
      </w:tblGrid>
      <w:tr>
        <w:tblPrEx>
          <w:shd w:val="clear" w:color="auto" w:fill="auto"/>
        </w:tblPrEx>
        <w:trPr>
          <w:trHeight w:val="490" w:hRule="atLeast"/>
        </w:trPr>
        <w:tc>
          <w:tcPr>
            <w:tcW w:type="dxa" w:w="34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ccccff"/>
            <w:tcMar>
              <w:top w:type="dxa" w:w="80"/>
              <w:left w:type="dxa" w:w="80"/>
              <w:bottom w:type="dxa" w:w="80"/>
              <w:right w:type="dxa" w:w="80"/>
            </w:tcMar>
            <w:vAlign w:val="center"/>
          </w:tcPr>
          <w:p>
            <w:pPr>
              <w:pStyle w:val="Normal"/>
              <w:keepNext w:val="1"/>
              <w:jc w:val="center"/>
            </w:pPr>
            <w:r>
              <w:rPr>
                <w:rFonts w:ascii="Calibri" w:cs="Calibri" w:hAnsi="Calibri" w:eastAsia="Calibri"/>
                <w:b w:val="1"/>
                <w:bCs w:val="1"/>
                <w:caps w:val="0"/>
                <w:smallCaps w:val="0"/>
                <w:strike w:val="0"/>
                <w:dstrike w:val="0"/>
                <w:outline w:val="0"/>
                <w:color w:val="000000"/>
                <w:spacing w:val="0"/>
                <w:kern w:val="0"/>
                <w:position w:val="0"/>
                <w:sz w:val="22"/>
                <w:szCs w:val="22"/>
                <w:u w:val="none" w:color="000000"/>
                <w:vertAlign w:val="baseline"/>
                <w:rtl w:val="0"/>
                <w:lang w:val="it-IT"/>
              </w:rPr>
              <w:t>N.</w:t>
            </w:r>
          </w:p>
        </w:tc>
        <w:tc>
          <w:tcPr>
            <w:tcW w:type="dxa" w:w="24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ccccff"/>
            <w:tcMar>
              <w:top w:type="dxa" w:w="80"/>
              <w:left w:type="dxa" w:w="80"/>
              <w:bottom w:type="dxa" w:w="80"/>
              <w:right w:type="dxa" w:w="80"/>
            </w:tcMar>
            <w:vAlign w:val="center"/>
          </w:tcPr>
          <w:p>
            <w:pPr>
              <w:pStyle w:val="Normal"/>
              <w:keepNext w:val="1"/>
              <w:jc w:val="center"/>
            </w:pPr>
            <w:r>
              <w:rPr>
                <w:rFonts w:ascii="Calibri" w:cs="Calibri" w:hAnsi="Calibri" w:eastAsia="Calibri"/>
                <w:b w:val="1"/>
                <w:bCs w:val="1"/>
                <w:caps w:val="0"/>
                <w:smallCaps w:val="0"/>
                <w:strike w:val="0"/>
                <w:dstrike w:val="0"/>
                <w:outline w:val="0"/>
                <w:color w:val="000000"/>
                <w:spacing w:val="0"/>
                <w:kern w:val="0"/>
                <w:position w:val="0"/>
                <w:sz w:val="22"/>
                <w:szCs w:val="22"/>
                <w:u w:val="none" w:color="000000"/>
                <w:vertAlign w:val="baseline"/>
                <w:rtl w:val="0"/>
                <w:lang w:val="it-IT"/>
              </w:rPr>
              <w:t>DENOMINAZIONE E CODICE FISCALE</w:t>
            </w:r>
          </w:p>
        </w:tc>
        <w:tc>
          <w:tcPr>
            <w:tcW w:type="dxa" w:w="368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ccccff"/>
            <w:tcMar>
              <w:top w:type="dxa" w:w="80"/>
              <w:left w:type="dxa" w:w="80"/>
              <w:bottom w:type="dxa" w:w="80"/>
              <w:right w:type="dxa" w:w="80"/>
            </w:tcMar>
            <w:vAlign w:val="center"/>
          </w:tcPr>
          <w:p>
            <w:pPr>
              <w:pStyle w:val="Normal"/>
              <w:keepNext w:val="1"/>
              <w:jc w:val="center"/>
            </w:pPr>
            <w:r>
              <w:rPr>
                <w:rFonts w:ascii="Calibri" w:cs="Calibri" w:hAnsi="Calibri" w:eastAsia="Calibri"/>
                <w:b w:val="1"/>
                <w:bCs w:val="1"/>
                <w:caps w:val="0"/>
                <w:smallCaps w:val="0"/>
                <w:strike w:val="0"/>
                <w:dstrike w:val="0"/>
                <w:outline w:val="0"/>
                <w:color w:val="000000"/>
                <w:spacing w:val="0"/>
                <w:kern w:val="0"/>
                <w:position w:val="0"/>
                <w:sz w:val="22"/>
                <w:szCs w:val="22"/>
                <w:u w:val="none" w:color="000000"/>
                <w:vertAlign w:val="baseline"/>
                <w:rtl w:val="0"/>
                <w:lang w:val="it-IT"/>
              </w:rPr>
              <w:t>ATTIVITA'</w:t>
            </w:r>
          </w:p>
        </w:tc>
        <w:tc>
          <w:tcPr>
            <w:tcW w:type="dxa" w:w="21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ccccff"/>
            <w:tcMar>
              <w:top w:type="dxa" w:w="80"/>
              <w:left w:type="dxa" w:w="80"/>
              <w:bottom w:type="dxa" w:w="80"/>
              <w:right w:type="dxa" w:w="80"/>
            </w:tcMar>
            <w:vAlign w:val="center"/>
          </w:tcPr>
          <w:p>
            <w:pPr>
              <w:pStyle w:val="Normal"/>
              <w:keepNext w:val="1"/>
              <w:jc w:val="center"/>
            </w:pPr>
            <w:r>
              <w:rPr>
                <w:rFonts w:ascii="Calibri" w:cs="Calibri" w:hAnsi="Calibri" w:eastAsia="Calibri"/>
                <w:b w:val="1"/>
                <w:bCs w:val="1"/>
                <w:caps w:val="0"/>
                <w:smallCaps w:val="0"/>
                <w:strike w:val="0"/>
                <w:dstrike w:val="0"/>
                <w:outline w:val="0"/>
                <w:color w:val="000000"/>
                <w:spacing w:val="0"/>
                <w:kern w:val="0"/>
                <w:position w:val="0"/>
                <w:sz w:val="22"/>
                <w:szCs w:val="22"/>
                <w:u w:val="none" w:color="000000"/>
                <w:vertAlign w:val="baseline"/>
                <w:rtl w:val="0"/>
                <w:lang w:val="it-IT"/>
              </w:rPr>
              <w:t>RUOLO DI SAIONI CANDIDO</w:t>
            </w:r>
          </w:p>
        </w:tc>
      </w:tr>
      <w:tr>
        <w:tblPrEx>
          <w:shd w:val="clear" w:color="auto" w:fill="auto"/>
        </w:tblPrEx>
        <w:trPr>
          <w:trHeight w:val="440" w:hRule="atLeast"/>
        </w:trPr>
        <w:tc>
          <w:tcPr>
            <w:tcW w:type="dxa" w:w="34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8"/>
                <w:szCs w:val="18"/>
                <w:u w:val="none" w:color="000000"/>
                <w:vertAlign w:val="baseline"/>
                <w:rtl w:val="0"/>
                <w:lang w:val="it-IT"/>
              </w:rPr>
              <w:t>1</w:t>
            </w:r>
          </w:p>
        </w:tc>
        <w:tc>
          <w:tcPr>
            <w:tcW w:type="dxa" w:w="24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8"/>
                <w:szCs w:val="18"/>
                <w:u w:val="none" w:color="000000"/>
                <w:vertAlign w:val="baseline"/>
                <w:rtl w:val="0"/>
                <w:lang w:val="it-IT"/>
              </w:rPr>
              <w:t>AMBIENTAL GEO SOC. COOP. AR.L. - 03349690176</w:t>
            </w:r>
          </w:p>
        </w:tc>
        <w:tc>
          <w:tcPr>
            <w:tcW w:type="dxa" w:w="368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8"/>
                <w:szCs w:val="18"/>
                <w:u w:val="none" w:color="000000"/>
                <w:vertAlign w:val="baseline"/>
                <w:rtl w:val="0"/>
                <w:lang w:val="it-IT"/>
              </w:rPr>
              <w:t>ATTIVITA' DI SERVIZI PER LA PERSONA NCA</w:t>
            </w:r>
          </w:p>
        </w:tc>
        <w:tc>
          <w:tcPr>
            <w:tcW w:type="dxa" w:w="21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8"/>
                <w:szCs w:val="18"/>
                <w:u w:val="none" w:color="000000"/>
                <w:vertAlign w:val="baseline"/>
                <w:rtl w:val="0"/>
                <w:lang w:val="it-IT"/>
              </w:rPr>
              <w:t>PRESIDENTE CDA</w:t>
            </w:r>
          </w:p>
        </w:tc>
      </w:tr>
      <w:tr>
        <w:tblPrEx>
          <w:shd w:val="clear" w:color="auto" w:fill="auto"/>
        </w:tblPrEx>
        <w:trPr>
          <w:trHeight w:val="610" w:hRule="atLeast"/>
        </w:trPr>
        <w:tc>
          <w:tcPr>
            <w:tcW w:type="dxa" w:w="34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8"/>
                <w:szCs w:val="18"/>
                <w:u w:val="none" w:color="000000"/>
                <w:vertAlign w:val="baseline"/>
                <w:rtl w:val="0"/>
                <w:lang w:val="it-IT"/>
              </w:rPr>
              <w:t>2</w:t>
            </w:r>
          </w:p>
        </w:tc>
        <w:tc>
          <w:tcPr>
            <w:tcW w:type="dxa" w:w="24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8"/>
                <w:szCs w:val="18"/>
                <w:u w:val="none" w:color="000000"/>
                <w:vertAlign w:val="baseline"/>
                <w:rtl w:val="0"/>
                <w:lang w:val="it-IT"/>
              </w:rPr>
              <w:t>C.R.C. CENTRO RICERCHE CHIMICHE S.r.l. CON UNICO SOCIO - 01961120175</w:t>
            </w:r>
          </w:p>
        </w:tc>
        <w:tc>
          <w:tcPr>
            <w:tcW w:type="dxa" w:w="368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8"/>
                <w:szCs w:val="18"/>
                <w:u w:val="none" w:color="000000"/>
                <w:vertAlign w:val="baseline"/>
                <w:rtl w:val="0"/>
                <w:lang w:val="it-IT"/>
              </w:rPr>
              <w:t>COLLAUDI ED ANALISI TECNICHE DI PRODOTTI</w:t>
            </w:r>
          </w:p>
        </w:tc>
        <w:tc>
          <w:tcPr>
            <w:tcW w:type="dxa" w:w="21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8"/>
                <w:szCs w:val="18"/>
                <w:u w:val="none" w:color="000000"/>
                <w:vertAlign w:val="baseline"/>
                <w:rtl w:val="0"/>
                <w:lang w:val="it-IT"/>
              </w:rPr>
              <w:t>PRESIDENTE CDA</w:t>
            </w:r>
          </w:p>
        </w:tc>
      </w:tr>
      <w:tr>
        <w:tblPrEx>
          <w:shd w:val="clear" w:color="auto" w:fill="auto"/>
        </w:tblPrEx>
        <w:trPr>
          <w:trHeight w:val="610" w:hRule="atLeast"/>
        </w:trPr>
        <w:tc>
          <w:tcPr>
            <w:tcW w:type="dxa" w:w="34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8"/>
                <w:szCs w:val="18"/>
                <w:u w:val="none" w:color="000000"/>
                <w:vertAlign w:val="baseline"/>
                <w:rtl w:val="0"/>
                <w:lang w:val="it-IT"/>
              </w:rPr>
              <w:t>3</w:t>
            </w:r>
          </w:p>
        </w:tc>
        <w:tc>
          <w:tcPr>
            <w:tcW w:type="dxa" w:w="24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8"/>
                <w:szCs w:val="18"/>
                <w:u w:val="none" w:color="000000"/>
                <w:vertAlign w:val="baseline"/>
                <w:rtl w:val="0"/>
                <w:lang w:val="it-IT"/>
              </w:rPr>
              <w:t>Co.La.Ri. - CONSORZIO LAZIALE RIFIUTI - 06725630583</w:t>
            </w:r>
          </w:p>
        </w:tc>
        <w:tc>
          <w:tcPr>
            <w:tcW w:type="dxa" w:w="368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8"/>
                <w:szCs w:val="18"/>
                <w:u w:val="none" w:color="000000"/>
                <w:vertAlign w:val="baseline"/>
                <w:rtl w:val="0"/>
                <w:lang w:val="it-IT"/>
              </w:rPr>
              <w:t>ATTIVITA' DI RACCOLTA, TRATTAMENTO E SMALTIMENTO DEI RIFIUTI; RECUPERO DEI MATERIALI</w:t>
            </w:r>
          </w:p>
        </w:tc>
        <w:tc>
          <w:tcPr>
            <w:tcW w:type="dxa" w:w="21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8"/>
                <w:szCs w:val="18"/>
                <w:u w:val="none" w:color="000000"/>
                <w:vertAlign w:val="baseline"/>
                <w:rtl w:val="0"/>
                <w:lang w:val="it-IT"/>
              </w:rPr>
              <w:t>AMMINISTRATORE UNICO</w:t>
            </w:r>
          </w:p>
        </w:tc>
      </w:tr>
      <w:tr>
        <w:tblPrEx>
          <w:shd w:val="clear" w:color="auto" w:fill="auto"/>
        </w:tblPrEx>
        <w:trPr>
          <w:trHeight w:val="440" w:hRule="atLeast"/>
        </w:trPr>
        <w:tc>
          <w:tcPr>
            <w:tcW w:type="dxa" w:w="34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8"/>
                <w:szCs w:val="18"/>
                <w:u w:val="none" w:color="000000"/>
                <w:vertAlign w:val="baseline"/>
                <w:rtl w:val="0"/>
                <w:lang w:val="it-IT"/>
              </w:rPr>
              <w:t>4</w:t>
            </w:r>
          </w:p>
        </w:tc>
        <w:tc>
          <w:tcPr>
            <w:tcW w:type="dxa" w:w="24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8"/>
                <w:szCs w:val="18"/>
                <w:u w:val="none" w:color="000000"/>
                <w:vertAlign w:val="baseline"/>
                <w:rtl w:val="0"/>
                <w:lang w:val="it-IT"/>
              </w:rPr>
              <w:t>CONSORZIO ECOLOGICO MASSIMETTA - 09345621008</w:t>
            </w:r>
          </w:p>
        </w:tc>
        <w:tc>
          <w:tcPr>
            <w:tcW w:type="dxa" w:w="368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8"/>
                <w:szCs w:val="18"/>
                <w:u w:val="none" w:color="000000"/>
                <w:vertAlign w:val="baseline"/>
                <w:rtl w:val="0"/>
                <w:lang w:val="it-IT"/>
              </w:rPr>
              <w:t>PRODUZIONE DI ENERGIA ELETTRICA</w:t>
            </w:r>
          </w:p>
        </w:tc>
        <w:tc>
          <w:tcPr>
            <w:tcW w:type="dxa" w:w="21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8"/>
                <w:szCs w:val="18"/>
                <w:u w:val="none" w:color="000000"/>
                <w:vertAlign w:val="baseline"/>
                <w:rtl w:val="0"/>
                <w:lang w:val="it-IT"/>
              </w:rPr>
              <w:t>CONSIGLIERE DI AMMINISTRAZIONE</w:t>
            </w:r>
          </w:p>
        </w:tc>
      </w:tr>
      <w:tr>
        <w:tblPrEx>
          <w:shd w:val="clear" w:color="auto" w:fill="auto"/>
        </w:tblPrEx>
        <w:trPr>
          <w:trHeight w:val="610" w:hRule="atLeast"/>
        </w:trPr>
        <w:tc>
          <w:tcPr>
            <w:tcW w:type="dxa" w:w="34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8"/>
                <w:szCs w:val="18"/>
                <w:u w:val="none" w:color="000000"/>
                <w:vertAlign w:val="baseline"/>
                <w:rtl w:val="0"/>
                <w:lang w:val="it-IT"/>
              </w:rPr>
              <w:t>5</w:t>
            </w:r>
          </w:p>
        </w:tc>
        <w:tc>
          <w:tcPr>
            <w:tcW w:type="dxa" w:w="24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8"/>
                <w:szCs w:val="18"/>
                <w:u w:val="none" w:color="000000"/>
                <w:vertAlign w:val="baseline"/>
                <w:rtl w:val="0"/>
                <w:lang w:val="it-IT"/>
              </w:rPr>
              <w:t>ECO LATINA IMPIANTI S.r.l. - 05099781006</w:t>
            </w:r>
          </w:p>
        </w:tc>
        <w:tc>
          <w:tcPr>
            <w:tcW w:type="dxa" w:w="368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8"/>
                <w:szCs w:val="18"/>
                <w:u w:val="none" w:color="000000"/>
                <w:vertAlign w:val="baseline"/>
                <w:rtl w:val="0"/>
                <w:lang w:val="it-IT"/>
              </w:rPr>
              <w:t>ATTIVITA' DI RACCOLTA, TRATTAMENTO E SMALTIMENTO DEI RIFIUTI; RECUPERO DEI MATERIALI</w:t>
            </w:r>
          </w:p>
        </w:tc>
        <w:tc>
          <w:tcPr>
            <w:tcW w:type="dxa" w:w="21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8"/>
                <w:szCs w:val="18"/>
                <w:u w:val="none" w:color="000000"/>
                <w:vertAlign w:val="baseline"/>
                <w:rtl w:val="0"/>
                <w:lang w:val="it-IT"/>
              </w:rPr>
              <w:t>CONSIGLIERE DI AMMINISTRAZIONE</w:t>
            </w:r>
          </w:p>
        </w:tc>
      </w:tr>
      <w:tr>
        <w:tblPrEx>
          <w:shd w:val="clear" w:color="auto" w:fill="auto"/>
        </w:tblPrEx>
        <w:trPr>
          <w:trHeight w:val="440" w:hRule="atLeast"/>
        </w:trPr>
        <w:tc>
          <w:tcPr>
            <w:tcW w:type="dxa" w:w="34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8"/>
                <w:szCs w:val="18"/>
                <w:u w:val="none" w:color="000000"/>
                <w:vertAlign w:val="baseline"/>
                <w:rtl w:val="0"/>
                <w:lang w:val="it-IT"/>
              </w:rPr>
              <w:t>6</w:t>
            </w:r>
          </w:p>
        </w:tc>
        <w:tc>
          <w:tcPr>
            <w:tcW w:type="dxa" w:w="24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8"/>
                <w:szCs w:val="18"/>
                <w:u w:val="none" w:color="000000"/>
                <w:vertAlign w:val="baseline"/>
                <w:rtl w:val="0"/>
                <w:lang w:val="it-IT"/>
              </w:rPr>
              <w:t>MARA AMBIENTE S.r.l. CON UNICO SOCIO - 02190850988</w:t>
            </w:r>
          </w:p>
        </w:tc>
        <w:tc>
          <w:tcPr>
            <w:tcW w:type="dxa" w:w="368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8"/>
                <w:szCs w:val="18"/>
                <w:u w:val="none" w:color="000000"/>
                <w:vertAlign w:val="baseline"/>
                <w:rtl w:val="0"/>
                <w:lang w:val="it-IT"/>
              </w:rPr>
              <w:t>COSTRUZIONE DI OPERE DI PUBBLICA UTILITA' PER IL TRASPORTO DI FLUIDI</w:t>
            </w:r>
          </w:p>
        </w:tc>
        <w:tc>
          <w:tcPr>
            <w:tcW w:type="dxa" w:w="21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8"/>
                <w:szCs w:val="18"/>
                <w:u w:val="none" w:color="000000"/>
                <w:vertAlign w:val="baseline"/>
                <w:rtl w:val="0"/>
                <w:lang w:val="it-IT"/>
              </w:rPr>
              <w:t>AMMINISTRATORE UNICO</w:t>
            </w:r>
          </w:p>
        </w:tc>
      </w:tr>
      <w:tr>
        <w:tblPrEx>
          <w:shd w:val="clear" w:color="auto" w:fill="auto"/>
        </w:tblPrEx>
        <w:trPr>
          <w:trHeight w:val="610" w:hRule="atLeast"/>
        </w:trPr>
        <w:tc>
          <w:tcPr>
            <w:tcW w:type="dxa" w:w="34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8"/>
                <w:szCs w:val="18"/>
                <w:u w:val="none" w:color="000000"/>
                <w:vertAlign w:val="baseline"/>
                <w:rtl w:val="0"/>
                <w:lang w:val="it-IT"/>
              </w:rPr>
              <w:t>7</w:t>
            </w:r>
          </w:p>
        </w:tc>
        <w:tc>
          <w:tcPr>
            <w:tcW w:type="dxa" w:w="24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8"/>
                <w:szCs w:val="18"/>
                <w:u w:val="none" w:color="000000"/>
                <w:vertAlign w:val="baseline"/>
                <w:rtl w:val="0"/>
                <w:lang w:val="it-IT"/>
              </w:rPr>
              <w:t>PETROMARINE ITALIA S.r.l. CON UNICO SOCIO - 03999850583</w:t>
            </w:r>
          </w:p>
        </w:tc>
        <w:tc>
          <w:tcPr>
            <w:tcW w:type="dxa" w:w="368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8"/>
                <w:szCs w:val="18"/>
                <w:u w:val="none" w:color="000000"/>
                <w:vertAlign w:val="baseline"/>
                <w:rtl w:val="0"/>
                <w:lang w:val="it-IT"/>
              </w:rPr>
              <w:t>RICERCA E COLTIVAZIONE DI IDROCARBURI, DI METALLI DI GAS, DI ACQUE E DI RIFIUTI IN GENERE</w:t>
            </w:r>
          </w:p>
        </w:tc>
        <w:tc>
          <w:tcPr>
            <w:tcW w:type="dxa" w:w="21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8"/>
                <w:szCs w:val="18"/>
                <w:u w:val="none" w:color="000000"/>
                <w:vertAlign w:val="baseline"/>
                <w:rtl w:val="0"/>
                <w:lang w:val="it-IT"/>
              </w:rPr>
              <w:t>AMMINISTRATORE UNICO</w:t>
            </w:r>
          </w:p>
        </w:tc>
      </w:tr>
      <w:tr>
        <w:tblPrEx>
          <w:shd w:val="clear" w:color="auto" w:fill="auto"/>
        </w:tblPrEx>
        <w:trPr>
          <w:trHeight w:val="610" w:hRule="atLeast"/>
        </w:trPr>
        <w:tc>
          <w:tcPr>
            <w:tcW w:type="dxa" w:w="34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8"/>
                <w:szCs w:val="18"/>
                <w:u w:val="none" w:color="000000"/>
                <w:vertAlign w:val="baseline"/>
                <w:rtl w:val="0"/>
                <w:lang w:val="it-IT"/>
              </w:rPr>
              <w:t>8</w:t>
            </w:r>
          </w:p>
        </w:tc>
        <w:tc>
          <w:tcPr>
            <w:tcW w:type="dxa" w:w="24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8"/>
                <w:szCs w:val="18"/>
                <w:u w:val="none" w:color="000000"/>
                <w:vertAlign w:val="baseline"/>
                <w:rtl w:val="0"/>
                <w:lang w:val="it-IT"/>
              </w:rPr>
              <w:t>Sorain Cecchini S.p.A. - 01297330589</w:t>
            </w:r>
          </w:p>
        </w:tc>
        <w:tc>
          <w:tcPr>
            <w:tcW w:type="dxa" w:w="368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8"/>
                <w:szCs w:val="18"/>
                <w:u w:val="none" w:color="000000"/>
                <w:vertAlign w:val="baseline"/>
                <w:rtl w:val="0"/>
                <w:lang w:val="it-IT"/>
              </w:rPr>
              <w:t>STUDI, RACCOLTA, RECUPERO, SMALTIMENTO RIFIUTI; COSTRUZIONE IMPIANTI SMALTIMENTO DI RIFIUTI SOLIDI</w:t>
            </w:r>
          </w:p>
        </w:tc>
        <w:tc>
          <w:tcPr>
            <w:tcW w:type="dxa" w:w="21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8"/>
                <w:szCs w:val="18"/>
                <w:u w:val="none" w:color="000000"/>
                <w:vertAlign w:val="baseline"/>
                <w:rtl w:val="0"/>
                <w:lang w:val="it-IT"/>
              </w:rPr>
              <w:t>PRESIDENTE CDA</w:t>
            </w:r>
          </w:p>
        </w:tc>
      </w:tr>
      <w:tr>
        <w:tblPrEx>
          <w:shd w:val="clear" w:color="auto" w:fill="auto"/>
        </w:tblPrEx>
        <w:trPr>
          <w:trHeight w:val="440" w:hRule="atLeast"/>
        </w:trPr>
        <w:tc>
          <w:tcPr>
            <w:tcW w:type="dxa" w:w="34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right"/>
            </w:pPr>
            <w:r>
              <w:rPr>
                <w:rFonts w:ascii="Calibri" w:cs="Calibri" w:hAnsi="Calibri" w:eastAsia="Calibri"/>
                <w:caps w:val="0"/>
                <w:smallCaps w:val="0"/>
                <w:strike w:val="0"/>
                <w:dstrike w:val="0"/>
                <w:outline w:val="0"/>
                <w:color w:val="000000"/>
                <w:spacing w:val="0"/>
                <w:kern w:val="0"/>
                <w:position w:val="0"/>
                <w:sz w:val="18"/>
                <w:szCs w:val="18"/>
                <w:u w:val="none" w:color="000000"/>
                <w:vertAlign w:val="baseline"/>
                <w:rtl w:val="0"/>
                <w:lang w:val="it-IT"/>
              </w:rPr>
              <w:t>9</w:t>
            </w:r>
          </w:p>
        </w:tc>
        <w:tc>
          <w:tcPr>
            <w:tcW w:type="dxa" w:w="24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8"/>
                <w:szCs w:val="18"/>
                <w:u w:val="none" w:color="000000"/>
                <w:vertAlign w:val="baseline"/>
                <w:rtl w:val="0"/>
                <w:lang w:val="it-IT"/>
              </w:rPr>
              <w:t>SYSTEMA AMBIENTE S.p.A. - 02071270983</w:t>
            </w:r>
          </w:p>
        </w:tc>
        <w:tc>
          <w:tcPr>
            <w:tcW w:type="dxa" w:w="368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jc w:val="both"/>
            </w:pPr>
            <w:r>
              <w:rPr>
                <w:rFonts w:ascii="Calibri" w:cs="Calibri" w:hAnsi="Calibri" w:eastAsia="Calibri"/>
                <w:caps w:val="0"/>
                <w:smallCaps w:val="0"/>
                <w:strike w:val="0"/>
                <w:dstrike w:val="0"/>
                <w:outline w:val="0"/>
                <w:color w:val="000000"/>
                <w:spacing w:val="0"/>
                <w:kern w:val="0"/>
                <w:position w:val="0"/>
                <w:sz w:val="18"/>
                <w:szCs w:val="18"/>
                <w:u w:val="none" w:color="000000"/>
                <w:vertAlign w:val="baseline"/>
                <w:rtl w:val="0"/>
                <w:lang w:val="it-IT"/>
              </w:rPr>
              <w:t>ALTRE ATTIVITA' DI CONSULENZA TECNICA NCA</w:t>
            </w:r>
          </w:p>
        </w:tc>
        <w:tc>
          <w:tcPr>
            <w:tcW w:type="dxa" w:w="21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keepNext w:val="1"/>
            </w:pPr>
            <w:r>
              <w:rPr>
                <w:rFonts w:ascii="Calibri" w:cs="Calibri" w:hAnsi="Calibri" w:eastAsia="Calibri"/>
                <w:caps w:val="0"/>
                <w:smallCaps w:val="0"/>
                <w:strike w:val="0"/>
                <w:dstrike w:val="0"/>
                <w:outline w:val="0"/>
                <w:color w:val="000000"/>
                <w:spacing w:val="0"/>
                <w:kern w:val="0"/>
                <w:position w:val="0"/>
                <w:sz w:val="18"/>
                <w:szCs w:val="18"/>
                <w:u w:val="none" w:color="000000"/>
                <w:vertAlign w:val="baseline"/>
                <w:rtl w:val="0"/>
                <w:lang w:val="it-IT"/>
              </w:rPr>
              <w:t>AMMINISTRATORE DELEGATO</w:t>
            </w:r>
          </w:p>
        </w:tc>
      </w:tr>
    </w:tbl>
    <w:p>
      <w:pPr>
        <w:pStyle w:val="Normal"/>
        <w:keepNext w:val="1"/>
        <w:ind w:left="496" w:right="567" w:firstLine="71"/>
        <w:rPr>
          <w:rFonts w:ascii="Book Antiqua" w:cs="Book Antiqua" w:hAnsi="Book Antiqua" w:eastAsia="Book Antiqua"/>
          <w:i w:val="1"/>
          <w:iCs w:val="1"/>
          <w:sz w:val="20"/>
          <w:szCs w:val="20"/>
        </w:rPr>
      </w:pPr>
    </w:p>
    <w:p>
      <w:pPr>
        <w:pStyle w:val="Normal"/>
        <w:keepNext w:val="1"/>
        <w:ind w:left="851" w:right="567" w:firstLine="0"/>
        <w:jc w:val="both"/>
        <w:rPr>
          <w:rFonts w:ascii="Book Antiqua" w:cs="Book Antiqua" w:hAnsi="Book Antiqua" w:eastAsia="Book Antiqua"/>
        </w:rPr>
      </w:pPr>
    </w:p>
    <w:p>
      <w:pPr>
        <w:pStyle w:val="Normal"/>
        <w:keepNext w:val="1"/>
        <w:ind w:left="851" w:right="567" w:firstLine="0"/>
        <w:jc w:val="both"/>
        <w:rPr>
          <w:rFonts w:ascii="Book Antiqua" w:cs="Book Antiqua" w:hAnsi="Book Antiqua" w:eastAsia="Book Antiqua"/>
        </w:rPr>
      </w:pPr>
      <w:r>
        <w:rPr>
          <w:rFonts w:ascii="Book Antiqua"/>
          <w:rtl w:val="0"/>
          <w:lang w:val="it-IT"/>
        </w:rPr>
        <w:t>Non sfuggir</w:t>
      </w:r>
      <w:r>
        <w:rPr>
          <w:rFonts w:hAnsi="Book Antiqua" w:hint="default"/>
          <w:rtl w:val="0"/>
          <w:lang w:val="it-IT"/>
        </w:rPr>
        <w:t xml:space="preserve">à </w:t>
      </w:r>
      <w:r>
        <w:rPr>
          <w:rFonts w:ascii="Book Antiqua"/>
          <w:rtl w:val="0"/>
          <w:lang w:val="it-IT"/>
        </w:rPr>
        <w:t xml:space="preserve">come al Saioni siano stati invece affidati incarichi di direzione e rappresentanza legale di due aziende </w:t>
      </w:r>
      <w:r>
        <w:rPr>
          <w:rFonts w:hAnsi="Book Antiqua" w:hint="default"/>
          <w:rtl w:val="0"/>
          <w:lang w:val="it-IT"/>
        </w:rPr>
        <w:t>“</w:t>
      </w:r>
      <w:r>
        <w:rPr>
          <w:rFonts w:ascii="Book Antiqua"/>
          <w:rtl w:val="0"/>
          <w:lang w:val="it-IT"/>
        </w:rPr>
        <w:t>cardine</w:t>
      </w:r>
      <w:r>
        <w:rPr>
          <w:rFonts w:hAnsi="Book Antiqua" w:hint="default"/>
          <w:rtl w:val="0"/>
          <w:lang w:val="it-IT"/>
        </w:rPr>
        <w:t xml:space="preserve">” </w:t>
      </w:r>
      <w:r>
        <w:rPr>
          <w:rFonts w:ascii="Book Antiqua"/>
          <w:rtl w:val="0"/>
          <w:lang w:val="it-IT"/>
        </w:rPr>
        <w:t xml:space="preserve">del gruppo Cerroni: il Co.La.Ri e la Sorain Cecchini Ambiente S.p.A.. Sul primo si </w:t>
      </w:r>
      <w:r>
        <w:rPr>
          <w:rFonts w:hAnsi="Book Antiqua" w:hint="default"/>
          <w:rtl w:val="0"/>
          <w:lang w:val="it-IT"/>
        </w:rPr>
        <w:t xml:space="preserve">è </w:t>
      </w:r>
      <w:r>
        <w:rPr>
          <w:rFonts w:ascii="Book Antiqua"/>
          <w:rtl w:val="0"/>
          <w:lang w:val="it-IT"/>
        </w:rPr>
        <w:t>gi</w:t>
      </w:r>
      <w:r>
        <w:rPr>
          <w:rFonts w:hAnsi="Book Antiqua" w:hint="default"/>
          <w:rtl w:val="0"/>
          <w:lang w:val="it-IT"/>
        </w:rPr>
        <w:t xml:space="preserve">à </w:t>
      </w:r>
      <w:r>
        <w:rPr>
          <w:rFonts w:ascii="Book Antiqua"/>
          <w:rtl w:val="0"/>
          <w:lang w:val="it-IT"/>
        </w:rPr>
        <w:t>ampiamente disquisito soprattutto in ordine alla propriet</w:t>
      </w:r>
      <w:r>
        <w:rPr>
          <w:rFonts w:hAnsi="Book Antiqua" w:hint="default"/>
          <w:rtl w:val="0"/>
          <w:lang w:val="it-IT"/>
        </w:rPr>
        <w:t xml:space="preserve">à </w:t>
      </w:r>
      <w:r>
        <w:rPr>
          <w:rFonts w:ascii="Book Antiqua"/>
          <w:rtl w:val="0"/>
          <w:lang w:val="it-IT"/>
        </w:rPr>
        <w:t>del sito di Malagrotta, ai rapporti con AMA S.p.A. e ai relativi contenziosi; per quanto attiene alla seconda, come gi</w:t>
      </w:r>
      <w:r>
        <w:rPr>
          <w:rFonts w:hAnsi="Book Antiqua" w:hint="default"/>
          <w:rtl w:val="0"/>
          <w:lang w:val="it-IT"/>
        </w:rPr>
        <w:t xml:space="preserve">à </w:t>
      </w:r>
      <w:r>
        <w:rPr>
          <w:rFonts w:ascii="Book Antiqua"/>
          <w:rtl w:val="0"/>
          <w:lang w:val="it-IT"/>
        </w:rPr>
        <w:t xml:space="preserve">argomentato, rappresenta </w:t>
      </w:r>
      <w:r>
        <w:rPr>
          <w:rFonts w:hAnsi="Book Antiqua" w:hint="default"/>
          <w:rtl w:val="0"/>
          <w:lang w:val="it-IT"/>
        </w:rPr>
        <w:t xml:space="preserve">– </w:t>
      </w:r>
      <w:r>
        <w:rPr>
          <w:rFonts w:ascii="Book Antiqua"/>
          <w:rtl w:val="0"/>
          <w:lang w:val="it-IT"/>
        </w:rPr>
        <w:t xml:space="preserve">per gli aspetti operativi </w:t>
      </w:r>
      <w:r>
        <w:rPr>
          <w:rFonts w:hAnsi="Book Antiqua" w:hint="default"/>
          <w:rtl w:val="0"/>
          <w:lang w:val="it-IT"/>
        </w:rPr>
        <w:t xml:space="preserve">– </w:t>
      </w:r>
      <w:r>
        <w:rPr>
          <w:rFonts w:ascii="Book Antiqua"/>
          <w:rtl w:val="0"/>
          <w:lang w:val="it-IT"/>
        </w:rPr>
        <w:t xml:space="preserve">il cuore della </w:t>
      </w:r>
      <w:r>
        <w:rPr>
          <w:rFonts w:ascii="Book Antiqua"/>
          <w:i w:val="1"/>
          <w:iCs w:val="1"/>
          <w:rtl w:val="0"/>
          <w:lang w:val="it-IT"/>
        </w:rPr>
        <w:t>holding.</w:t>
      </w:r>
      <w:r>
        <w:rPr>
          <w:rFonts w:ascii="Book Antiqua"/>
          <w:rtl w:val="0"/>
          <w:lang w:val="it-IT"/>
        </w:rPr>
        <w:t xml:space="preserve"> </w:t>
      </w:r>
    </w:p>
    <w:p>
      <w:pPr>
        <w:pStyle w:val="Normal"/>
        <w:keepNext w:val="1"/>
        <w:ind w:left="851" w:right="567" w:firstLine="0"/>
        <w:jc w:val="both"/>
        <w:rPr>
          <w:rFonts w:ascii="Book Antiqua" w:cs="Book Antiqua" w:hAnsi="Book Antiqua" w:eastAsia="Book Antiqua"/>
        </w:rPr>
      </w:pPr>
    </w:p>
    <w:p>
      <w:pPr>
        <w:pStyle w:val="Normal"/>
        <w:keepNext w:val="1"/>
        <w:numPr>
          <w:ilvl w:val="0"/>
          <w:numId w:val="141"/>
        </w:numPr>
        <w:tabs>
          <w:tab w:val="num" w:pos="851"/>
          <w:tab w:val="clear" w:pos="0"/>
        </w:tabs>
        <w:bidi w:val="0"/>
        <w:ind w:left="851" w:right="567" w:hanging="284"/>
        <w:jc w:val="both"/>
        <w:rPr>
          <w:rFonts w:ascii="Book Antiqua" w:cs="Book Antiqua" w:hAnsi="Book Antiqua" w:eastAsia="Book Antiqua"/>
          <w:position w:val="0"/>
          <w:rtl w:val="0"/>
        </w:rPr>
      </w:pPr>
      <w:r>
        <w:rPr>
          <w:rFonts w:ascii="Book Antiqua"/>
          <w:rtl w:val="0"/>
          <w:lang w:val="it-IT"/>
        </w:rPr>
        <w:t>Becchetti Francesco</w:t>
      </w:r>
      <w:r>
        <w:rPr>
          <w:rFonts w:ascii="Book Antiqua" w:cs="Book Antiqua" w:hAnsi="Book Antiqua" w:eastAsia="Book Antiqua"/>
          <w:vertAlign w:val="superscript"/>
        </w:rPr>
        <w:footnoteReference w:id="222"/>
      </w:r>
      <w:r>
        <w:rPr>
          <w:rFonts w:ascii="Book Antiqua"/>
          <w:rtl w:val="0"/>
          <w:lang w:val="it-IT"/>
        </w:rPr>
        <w:t xml:space="preserve">, nipote di Manlio Cerroni (figlio del fratello della moglie, Becchetti Maria Luisa) e quindi cugino di Monica e Donatella. La sua figura appare di interesse nel contesto investigato: egli </w:t>
      </w:r>
      <w:r>
        <w:rPr>
          <w:rFonts w:hAnsi="Book Antiqua" w:hint="default"/>
          <w:rtl w:val="0"/>
          <w:lang w:val="it-IT"/>
        </w:rPr>
        <w:t>è</w:t>
      </w:r>
      <w:r>
        <w:rPr>
          <w:rFonts w:ascii="Book Antiqua"/>
          <w:rtl w:val="0"/>
          <w:lang w:val="it-IT"/>
        </w:rPr>
        <w:t>, infatti,  considerato a capo del gruppo imprenditoriale BEG, acronimo di Becchetti Energy Group, attivo sul fronte delle energie rinnovabili e dei rifiuti, che annovera, quale capogruppo, la BEG S.p.A.. Nel grafico che segue, sono stati evidenziati i rapporti della predetta BEG S.p.A. con il gruppo Cerroni.</w:t>
      </w:r>
    </w:p>
    <w:p>
      <w:pPr>
        <w:pStyle w:val="Normal"/>
        <w:keepNext w:val="1"/>
        <w:ind w:left="851" w:right="567" w:firstLine="0"/>
        <w:jc w:val="both"/>
        <w:rPr>
          <w:rFonts w:ascii="Book Antiqua" w:cs="Book Antiqua" w:hAnsi="Book Antiqua" w:eastAsia="Book Antiqua"/>
        </w:rPr>
      </w:pPr>
    </w:p>
    <w:p>
      <w:pPr>
        <w:pStyle w:val="Normal"/>
        <w:keepNext w:val="1"/>
        <w:ind w:left="851" w:right="567" w:firstLine="0"/>
        <w:jc w:val="both"/>
        <w:outlineLvl w:val="0"/>
        <w:rPr>
          <w:rFonts w:ascii="Book Antiqua" w:cs="Book Antiqua" w:hAnsi="Book Antiqua" w:eastAsia="Book Antiqua"/>
          <w:sz w:val="22"/>
          <w:szCs w:val="22"/>
        </w:rPr>
      </w:pPr>
      <w:r>
        <w:rPr>
          <w:rFonts w:ascii="Book Antiqua"/>
          <w:i w:val="1"/>
          <w:iCs w:val="1"/>
          <w:sz w:val="22"/>
          <w:szCs w:val="22"/>
          <w:rtl w:val="0"/>
          <w:lang w:val="it-IT"/>
        </w:rPr>
        <w:t xml:space="preserve">Grafico 9 </w:t>
      </w:r>
      <w:r>
        <w:rPr>
          <w:rFonts w:hAnsi="Book Antiqua" w:hint="default"/>
          <w:i w:val="1"/>
          <w:iCs w:val="1"/>
          <w:sz w:val="22"/>
          <w:szCs w:val="22"/>
          <w:rtl w:val="0"/>
          <w:lang w:val="it-IT"/>
        </w:rPr>
        <w:t xml:space="preserve">– </w:t>
      </w:r>
      <w:r>
        <w:rPr>
          <w:rFonts w:ascii="Book Antiqua"/>
          <w:i w:val="1"/>
          <w:iCs w:val="1"/>
          <w:sz w:val="22"/>
          <w:szCs w:val="22"/>
          <w:rtl w:val="0"/>
          <w:lang w:val="it-IT"/>
        </w:rPr>
        <w:t>L</w:t>
      </w:r>
      <w:r>
        <w:rPr>
          <w:rFonts w:hAnsi="Book Antiqua" w:hint="default"/>
          <w:i w:val="1"/>
          <w:iCs w:val="1"/>
          <w:sz w:val="22"/>
          <w:szCs w:val="22"/>
          <w:rtl w:val="0"/>
          <w:lang w:val="it-IT"/>
        </w:rPr>
        <w:t>’</w:t>
      </w:r>
      <w:r>
        <w:rPr>
          <w:rFonts w:ascii="Book Antiqua"/>
          <w:i w:val="1"/>
          <w:iCs w:val="1"/>
          <w:sz w:val="22"/>
          <w:szCs w:val="22"/>
          <w:rtl w:val="0"/>
          <w:lang w:val="it-IT"/>
        </w:rPr>
        <w:t>assetto societario della BEG S.p.A.</w:t>
      </w:r>
    </w:p>
    <w:p>
      <w:pPr>
        <w:pStyle w:val="Normal"/>
        <w:keepNext w:val="1"/>
        <w:ind w:left="851" w:right="567" w:firstLine="0"/>
        <w:jc w:val="both"/>
        <w:rPr>
          <w:rFonts w:ascii="Book Antiqua" w:cs="Book Antiqua" w:hAnsi="Book Antiqua" w:eastAsia="Book Antiqua"/>
        </w:rPr>
      </w:pPr>
    </w:p>
    <w:p>
      <w:pPr>
        <w:pStyle w:val="Normal"/>
        <w:keepNext w:val="1"/>
        <w:pBdr>
          <w:top w:val="single" w:color="000000" w:sz="4" w:space="0" w:shadow="0" w:frame="0"/>
          <w:left w:val="single" w:color="000000" w:sz="4" w:space="0" w:shadow="0" w:frame="0"/>
          <w:bottom w:val="single" w:color="000000" w:sz="4" w:space="0" w:shadow="0" w:frame="0"/>
          <w:right w:val="single" w:color="000000" w:sz="4" w:space="0" w:shadow="0" w:frame="0"/>
        </w:pBdr>
        <w:ind w:left="284" w:firstLine="0"/>
        <w:jc w:val="both"/>
        <w:rPr>
          <w:rFonts w:ascii="Book Antiqua" w:cs="Book Antiqua" w:hAnsi="Book Antiqua" w:eastAsia="Book Antiqua"/>
        </w:rPr>
      </w:pPr>
      <w:r>
        <w:rPr>
          <w:rFonts w:ascii="Book Antiqua" w:cs="Book Antiqua" w:hAnsi="Book Antiqua" w:eastAsia="Book Antiqua"/>
          <w:rtl w:val="0"/>
        </w:rPr>
        <w:drawing>
          <wp:inline distT="0" distB="0" distL="0" distR="0">
            <wp:extent cx="6172200" cy="4927600"/>
            <wp:effectExtent l="0" t="0" r="0" b="0"/>
            <wp:docPr id="1073741876" name="officeArt object" descr="GRAFICO 8 - BEG SPA"/>
            <wp:cNvGraphicFramePr/>
            <a:graphic xmlns:a="http://schemas.openxmlformats.org/drawingml/2006/main">
              <a:graphicData uri="http://schemas.openxmlformats.org/drawingml/2006/picture">
                <pic:pic xmlns:pic="http://schemas.openxmlformats.org/drawingml/2006/picture">
                  <pic:nvPicPr>
                    <pic:cNvPr id="1073741876" name="image50.jpg" descr="GRAFICO 8 - BEG SPA"/>
                    <pic:cNvPicPr/>
                  </pic:nvPicPr>
                  <pic:blipFill>
                    <a:blip r:embed="rId60">
                      <a:extLst/>
                    </a:blip>
                    <a:stretch>
                      <a:fillRect/>
                    </a:stretch>
                  </pic:blipFill>
                  <pic:spPr>
                    <a:xfrm>
                      <a:off x="0" y="0"/>
                      <a:ext cx="6172200" cy="4927600"/>
                    </a:xfrm>
                    <a:prstGeom prst="rect">
                      <a:avLst/>
                    </a:prstGeom>
                    <a:ln w="12700" cap="flat">
                      <a:noFill/>
                      <a:miter lim="400000"/>
                    </a:ln>
                    <a:effectLst/>
                  </pic:spPr>
                </pic:pic>
              </a:graphicData>
            </a:graphic>
          </wp:inline>
        </w:drawing>
      </w:r>
    </w:p>
    <w:p>
      <w:pPr>
        <w:pStyle w:val="Normal"/>
        <w:keepNext w:val="1"/>
        <w:ind w:left="851" w:right="567" w:firstLine="0"/>
        <w:jc w:val="both"/>
        <w:rPr>
          <w:rFonts w:ascii="Book Antiqua" w:cs="Book Antiqua" w:hAnsi="Book Antiqua" w:eastAsia="Book Antiqua"/>
        </w:rPr>
      </w:pPr>
    </w:p>
    <w:p>
      <w:pPr>
        <w:pStyle w:val="Normal"/>
        <w:keepNext w:val="1"/>
        <w:ind w:left="851" w:right="567" w:firstLine="0"/>
        <w:jc w:val="both"/>
        <w:rPr>
          <w:rFonts w:ascii="Book Antiqua" w:cs="Book Antiqua" w:hAnsi="Book Antiqua" w:eastAsia="Book Antiqua"/>
        </w:rPr>
      </w:pPr>
      <w:r>
        <w:rPr>
          <w:rFonts w:ascii="Book Antiqua"/>
          <w:rtl w:val="0"/>
          <w:lang w:val="it-IT"/>
        </w:rPr>
        <w:t>La BEG S.p.A.</w:t>
      </w:r>
      <w:r>
        <w:rPr>
          <w:rFonts w:hAnsi="Book Antiqua" w:hint="default"/>
          <w:rtl w:val="0"/>
          <w:lang w:val="it-IT"/>
        </w:rPr>
        <w:t xml:space="preserve"> è </w:t>
      </w:r>
      <w:r>
        <w:rPr>
          <w:rFonts w:ascii="Book Antiqua"/>
          <w:rtl w:val="0"/>
          <w:lang w:val="it-IT"/>
        </w:rPr>
        <w:t>partecipata direttamente dalla famiglia Cerroni, per un valore pari al 30 per cento del capitale sociale</w:t>
      </w:r>
      <w:r>
        <w:rPr>
          <w:rFonts w:ascii="Book Antiqua" w:cs="Book Antiqua" w:hAnsi="Book Antiqua" w:eastAsia="Book Antiqua"/>
          <w:vertAlign w:val="superscript"/>
          <w:rtl w:val="0"/>
        </w:rPr>
        <w:footnoteReference w:id="223"/>
      </w:r>
      <w:r>
        <w:rPr>
          <w:rFonts w:ascii="Book Antiqua"/>
          <w:rtl w:val="0"/>
          <w:lang w:val="it-IT"/>
        </w:rPr>
        <w:t xml:space="preserve"> (20 per cento Manlio, 5 per cento Donatella e 5 per cento Monica).</w:t>
      </w:r>
    </w:p>
    <w:p>
      <w:pPr>
        <w:pStyle w:val="Normal"/>
        <w:keepNext w:val="1"/>
        <w:ind w:left="851" w:right="567" w:firstLine="0"/>
        <w:jc w:val="both"/>
        <w:rPr>
          <w:rFonts w:ascii="Book Antiqua" w:cs="Book Antiqua" w:hAnsi="Book Antiqua" w:eastAsia="Book Antiqua"/>
        </w:rPr>
      </w:pPr>
      <w:r>
        <w:rPr>
          <w:rFonts w:ascii="Book Antiqua"/>
          <w:rtl w:val="0"/>
          <w:lang w:val="it-IT"/>
        </w:rPr>
        <w:t xml:space="preserve">A margine si segnala che il Becchetti ed il suo gruppo imprenditoriale sono balzati agli onori delle cronaca dapprima, nel 2014, con la fondazione di </w:t>
      </w:r>
      <w:r>
        <w:rPr>
          <w:rFonts w:hAnsi="Book Antiqua" w:hint="default"/>
          <w:rtl w:val="0"/>
          <w:lang w:val="it-IT"/>
        </w:rPr>
        <w:t>“</w:t>
      </w:r>
      <w:r>
        <w:rPr>
          <w:rFonts w:ascii="Book Antiqua"/>
          <w:rtl w:val="0"/>
          <w:lang w:val="it-IT"/>
        </w:rPr>
        <w:t>Agon Channel</w:t>
      </w:r>
      <w:r>
        <w:rPr>
          <w:rFonts w:hAnsi="Book Antiqua" w:hint="default"/>
          <w:rtl w:val="0"/>
          <w:lang w:val="it-IT"/>
        </w:rPr>
        <w:t>”</w:t>
      </w:r>
      <w:r>
        <w:rPr>
          <w:rFonts w:ascii="Book Antiqua" w:cs="Book Antiqua" w:hAnsi="Book Antiqua" w:eastAsia="Book Antiqua"/>
          <w:vertAlign w:val="superscript"/>
          <w:rtl w:val="0"/>
        </w:rPr>
        <w:footnoteReference w:id="224"/>
      </w:r>
      <w:r>
        <w:rPr>
          <w:rFonts w:ascii="Book Antiqua"/>
          <w:rtl w:val="0"/>
          <w:lang w:val="it-IT"/>
        </w:rPr>
        <w:t>, il primo canale televisivo italiano delocalizzato all</w:t>
      </w:r>
      <w:r>
        <w:rPr>
          <w:rFonts w:hAnsi="Book Antiqua" w:hint="default"/>
          <w:rtl w:val="0"/>
          <w:lang w:val="it-IT"/>
        </w:rPr>
        <w:t>’</w:t>
      </w:r>
      <w:r>
        <w:rPr>
          <w:rFonts w:ascii="Book Antiqua"/>
          <w:rtl w:val="0"/>
          <w:lang w:val="it-IT"/>
        </w:rPr>
        <w:t xml:space="preserve">estero </w:t>
      </w:r>
      <w:r>
        <w:rPr>
          <w:rFonts w:hAnsi="Book Antiqua" w:hint="default"/>
          <w:rtl w:val="0"/>
          <w:lang w:val="it-IT"/>
        </w:rPr>
        <w:t xml:space="preserve">– </w:t>
      </w:r>
      <w:r>
        <w:rPr>
          <w:rFonts w:ascii="Book Antiqua"/>
          <w:rtl w:val="0"/>
          <w:lang w:val="it-IT"/>
        </w:rPr>
        <w:t>segnatamente in Albania - e, successivamente,  in occasione dell</w:t>
      </w:r>
      <w:r>
        <w:rPr>
          <w:rFonts w:hAnsi="Book Antiqua" w:hint="default"/>
          <w:rtl w:val="0"/>
          <w:lang w:val="it-IT"/>
        </w:rPr>
        <w:t>’</w:t>
      </w:r>
      <w:r>
        <w:rPr>
          <w:rFonts w:ascii="Book Antiqua"/>
          <w:rtl w:val="0"/>
          <w:lang w:val="it-IT"/>
        </w:rPr>
        <w:t>emissione da parte delle autorit</w:t>
      </w:r>
      <w:r>
        <w:rPr>
          <w:rFonts w:hAnsi="Book Antiqua" w:hint="default"/>
          <w:rtl w:val="0"/>
          <w:lang w:val="it-IT"/>
        </w:rPr>
        <w:t xml:space="preserve">à </w:t>
      </w:r>
      <w:r>
        <w:rPr>
          <w:rFonts w:ascii="Book Antiqua"/>
          <w:rtl w:val="0"/>
          <w:lang w:val="it-IT"/>
        </w:rPr>
        <w:t xml:space="preserve">albanesi, nel giugno del 2015, di un mandato di carcerazione nei confronti dello stesso Becchetti per evasione fiscale, falso in documentazione, appropriazione indebita e riciclaggio, con contestuale richiesta di estradizione (Becchetti </w:t>
      </w:r>
      <w:r>
        <w:rPr>
          <w:rFonts w:hAnsi="Book Antiqua" w:hint="default"/>
          <w:rtl w:val="0"/>
          <w:lang w:val="it-IT"/>
        </w:rPr>
        <w:t xml:space="preserve">è </w:t>
      </w:r>
      <w:r>
        <w:rPr>
          <w:rFonts w:ascii="Book Antiqua"/>
          <w:rtl w:val="0"/>
          <w:lang w:val="it-IT"/>
        </w:rPr>
        <w:t>stato posto agli arresti domiciliari in Gran Bretagna, paese dove si trovava al momento dell</w:t>
      </w:r>
      <w:r>
        <w:rPr>
          <w:rFonts w:hAnsi="Book Antiqua" w:hint="default"/>
          <w:rtl w:val="0"/>
          <w:lang w:val="it-IT"/>
        </w:rPr>
        <w:t>’</w:t>
      </w:r>
      <w:r>
        <w:rPr>
          <w:rFonts w:ascii="Book Antiqua"/>
          <w:rtl w:val="0"/>
          <w:lang w:val="it-IT"/>
        </w:rPr>
        <w:t>emissione del provvedimento) e di sequestro di beni e conti correnti a lui riferibili</w:t>
      </w:r>
      <w:r>
        <w:rPr>
          <w:rFonts w:ascii="Book Antiqua" w:cs="Book Antiqua" w:hAnsi="Book Antiqua" w:eastAsia="Book Antiqua"/>
          <w:vertAlign w:val="superscript"/>
          <w:rtl w:val="0"/>
        </w:rPr>
        <w:footnoteReference w:id="225"/>
      </w:r>
      <w:r>
        <w:rPr>
          <w:rFonts w:ascii="Book Antiqua"/>
          <w:rtl w:val="0"/>
          <w:lang w:val="it-IT"/>
        </w:rPr>
        <w:t>.</w:t>
      </w:r>
    </w:p>
    <w:p>
      <w:pPr>
        <w:pStyle w:val="Normal"/>
        <w:keepNext w:val="1"/>
        <w:ind w:left="851" w:right="567" w:firstLine="0"/>
        <w:jc w:val="both"/>
        <w:rPr>
          <w:rFonts w:ascii="Book Antiqua" w:cs="Book Antiqua" w:hAnsi="Book Antiqua" w:eastAsia="Book Antiqua"/>
        </w:rPr>
      </w:pPr>
      <w:r>
        <w:rPr>
          <w:rFonts w:ascii="Book Antiqua"/>
          <w:rtl w:val="0"/>
          <w:lang w:val="it-IT"/>
        </w:rPr>
        <w:t>La vicenda giudiziaria prende le mosse dal progetto di Becchetti di costruire una centrale idroelettrica in Albania, idea risalente alla fine degli anni novanta: la BEG S.p.A. (e altre societ</w:t>
      </w:r>
      <w:r>
        <w:rPr>
          <w:rFonts w:hAnsi="Book Antiqua" w:hint="default"/>
          <w:rtl w:val="0"/>
          <w:lang w:val="it-IT"/>
        </w:rPr>
        <w:t xml:space="preserve">à </w:t>
      </w:r>
      <w:r>
        <w:rPr>
          <w:rFonts w:ascii="Book Antiqua"/>
          <w:rtl w:val="0"/>
          <w:lang w:val="it-IT"/>
        </w:rPr>
        <w:t>appositamente costituite in Albania) si sarebbero dovute occupare della realizzazione dell</w:t>
      </w:r>
      <w:r>
        <w:rPr>
          <w:rFonts w:hAnsi="Book Antiqua" w:hint="default"/>
          <w:rtl w:val="0"/>
          <w:lang w:val="it-IT"/>
        </w:rPr>
        <w:t>’</w:t>
      </w:r>
      <w:r>
        <w:rPr>
          <w:rFonts w:ascii="Book Antiqua"/>
          <w:rtl w:val="0"/>
          <w:lang w:val="it-IT"/>
        </w:rPr>
        <w:t>opera. A tale scopo sono state anche coinvolte nell</w:t>
      </w:r>
      <w:r>
        <w:rPr>
          <w:rFonts w:hAnsi="Book Antiqua" w:hint="default"/>
          <w:rtl w:val="0"/>
          <w:lang w:val="it-IT"/>
        </w:rPr>
        <w:t>’</w:t>
      </w:r>
      <w:r>
        <w:rPr>
          <w:rFonts w:ascii="Book Antiqua"/>
          <w:rtl w:val="0"/>
          <w:lang w:val="it-IT"/>
        </w:rPr>
        <w:t>iniziativa prima Enelpower e poi Deutsche Bank che, per ragioni diverse, hanno poi rinunciato e contro le quali il Becchetti ha avviato una serie di contenziosi. Secondo le autorit</w:t>
      </w:r>
      <w:r>
        <w:rPr>
          <w:rFonts w:hAnsi="Book Antiqua" w:hint="default"/>
          <w:rtl w:val="0"/>
          <w:lang w:val="it-IT"/>
        </w:rPr>
        <w:t xml:space="preserve">à </w:t>
      </w:r>
      <w:r>
        <w:rPr>
          <w:rFonts w:ascii="Book Antiqua"/>
          <w:rtl w:val="0"/>
          <w:lang w:val="it-IT"/>
        </w:rPr>
        <w:t>albanesi, il Becchetti avrebbe creato, con vorticosi movimenti finanziari avvenuti tra societ</w:t>
      </w:r>
      <w:r>
        <w:rPr>
          <w:rFonts w:hAnsi="Book Antiqua" w:hint="default"/>
          <w:rtl w:val="0"/>
          <w:lang w:val="it-IT"/>
        </w:rPr>
        <w:t xml:space="preserve">à </w:t>
      </w:r>
      <w:r>
        <w:rPr>
          <w:rFonts w:ascii="Book Antiqua"/>
          <w:rtl w:val="0"/>
          <w:lang w:val="it-IT"/>
        </w:rPr>
        <w:t>dallo stesso costituite,</w:t>
      </w:r>
      <w:r>
        <w:rPr>
          <w:rFonts w:hAnsi="Book Antiqua" w:hint="default"/>
          <w:rtl w:val="0"/>
          <w:lang w:val="it-IT"/>
        </w:rPr>
        <w:t> “</w:t>
      </w:r>
      <w:r>
        <w:rPr>
          <w:rFonts w:ascii="Book Antiqua"/>
          <w:rtl w:val="0"/>
          <w:lang w:val="it-IT"/>
        </w:rPr>
        <w:t>un gigantesco schema di riciclaggio</w:t>
      </w:r>
      <w:r>
        <w:rPr>
          <w:rFonts w:hAnsi="Book Antiqua" w:hint="default"/>
          <w:rtl w:val="0"/>
          <w:lang w:val="it-IT"/>
        </w:rPr>
        <w:t xml:space="preserve">” </w:t>
      </w:r>
      <w:r>
        <w:rPr>
          <w:rFonts w:ascii="Book Antiqua"/>
          <w:rtl w:val="0"/>
          <w:lang w:val="it-IT"/>
        </w:rPr>
        <w:t>da diversi milioni di euro</w:t>
      </w:r>
      <w:r>
        <w:rPr>
          <w:rFonts w:hAnsi="Book Antiqua" w:hint="default"/>
          <w:rtl w:val="0"/>
          <w:lang w:val="it-IT"/>
        </w:rPr>
        <w:t>”</w:t>
      </w:r>
      <w:r>
        <w:rPr>
          <w:rFonts w:ascii="Book Antiqua"/>
          <w:rtl w:val="0"/>
          <w:lang w:val="it-IT"/>
        </w:rPr>
        <w:t>, oltre ad un</w:t>
      </w:r>
      <w:r>
        <w:rPr>
          <w:rFonts w:hAnsi="Book Antiqua" w:hint="default"/>
          <w:rtl w:val="0"/>
          <w:lang w:val="it-IT"/>
        </w:rPr>
        <w:t>’</w:t>
      </w:r>
      <w:r>
        <w:rPr>
          <w:rFonts w:ascii="Book Antiqua"/>
          <w:rtl w:val="0"/>
          <w:lang w:val="it-IT"/>
        </w:rPr>
        <w:t>evasione fiscale plurimilionaria.</w:t>
      </w:r>
    </w:p>
    <w:p>
      <w:pPr>
        <w:pStyle w:val="Normal"/>
        <w:keepNext w:val="1"/>
        <w:ind w:left="851" w:right="567" w:firstLine="0"/>
        <w:jc w:val="both"/>
        <w:rPr>
          <w:rFonts w:ascii="Book Antiqua" w:cs="Book Antiqua" w:hAnsi="Book Antiqua" w:eastAsia="Book Antiqua"/>
        </w:rPr>
      </w:pPr>
    </w:p>
    <w:p>
      <w:pPr>
        <w:pStyle w:val="Normal"/>
        <w:keepNext w:val="1"/>
        <w:ind w:left="851" w:right="567" w:firstLine="0"/>
        <w:jc w:val="both"/>
        <w:rPr>
          <w:rFonts w:ascii="Book Antiqua" w:cs="Book Antiqua" w:hAnsi="Book Antiqua" w:eastAsia="Book Antiqua"/>
        </w:rPr>
      </w:pPr>
    </w:p>
    <w:p>
      <w:pPr>
        <w:pStyle w:val="Normal"/>
      </w:pPr>
      <w:r>
        <w:rPr>
          <w:rFonts w:ascii="Book Antiqua" w:cs="Book Antiqua" w:hAnsi="Book Antiqua" w:eastAsia="Book Antiqua"/>
          <w:rtl w:val="0"/>
        </w:rPr>
        <w:br w:type="page"/>
      </w:r>
    </w:p>
    <w:p>
      <w:pPr>
        <w:pStyle w:val="Normal"/>
        <w:rPr>
          <w:rFonts w:ascii="Book Antiqua" w:cs="Book Antiqua" w:hAnsi="Book Antiqua" w:eastAsia="Book Antiqua"/>
        </w:rPr>
      </w:pPr>
    </w:p>
    <w:p>
      <w:pPr>
        <w:pStyle w:val="List Paragraph"/>
        <w:numPr>
          <w:ilvl w:val="0"/>
          <w:numId w:val="144"/>
        </w:numPr>
        <w:tabs>
          <w:tab w:val="num" w:pos="1198"/>
          <w:tab w:val="clear" w:pos="1288"/>
        </w:tabs>
        <w:bidi w:val="0"/>
        <w:ind w:left="1198" w:right="567" w:hanging="270"/>
        <w:jc w:val="both"/>
        <w:rPr>
          <w:rFonts w:ascii="Book Antiqua" w:cs="Book Antiqua" w:hAnsi="Book Antiqua" w:eastAsia="Book Antiqua"/>
          <w:position w:val="0"/>
          <w:sz w:val="32"/>
          <w:szCs w:val="32"/>
          <w:rtl w:val="0"/>
        </w:rPr>
      </w:pPr>
      <w:r>
        <w:rPr>
          <w:rFonts w:ascii="Book Antiqua"/>
          <w:sz w:val="32"/>
          <w:szCs w:val="32"/>
          <w:rtl w:val="0"/>
          <w:lang w:val="it-IT"/>
        </w:rPr>
        <w:t>La posizione di comitati e associazioni ambientaliste</w:t>
      </w: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rPr>
      </w:pPr>
    </w:p>
    <w:p>
      <w:pPr>
        <w:pStyle w:val="Normal"/>
        <w:widowControl w:val="0"/>
        <w:ind w:left="567" w:right="567" w:firstLine="0"/>
        <w:jc w:val="both"/>
        <w:rPr>
          <w:rFonts w:ascii="Book Antiqua" w:cs="Book Antiqua" w:hAnsi="Book Antiqua" w:eastAsia="Book Antiqua"/>
          <w:color w:val="262626"/>
          <w:u w:color="262626"/>
        </w:rPr>
      </w:pPr>
      <w:r>
        <w:rPr>
          <w:rFonts w:ascii="Book Antiqua"/>
          <w:color w:val="262626"/>
          <w:u w:color="262626"/>
          <w:rtl w:val="0"/>
          <w:lang w:val="it-IT"/>
        </w:rPr>
        <w:t>La Commissione ha scelto di aprire i propri approfondimenti istruttori, il 13 luglio 2015, con l</w:t>
      </w:r>
      <w:r>
        <w:rPr>
          <w:rFonts w:hAnsi="Book Antiqua" w:hint="default"/>
          <w:color w:val="262626"/>
          <w:u w:color="262626"/>
          <w:rtl w:val="0"/>
          <w:lang w:val="it-IT"/>
        </w:rPr>
        <w:t>’</w:t>
      </w:r>
      <w:r>
        <w:rPr>
          <w:rFonts w:ascii="Book Antiqua"/>
          <w:color w:val="262626"/>
          <w:u w:color="262626"/>
          <w:rtl w:val="0"/>
          <w:lang w:val="it-IT"/>
        </w:rPr>
        <w:t>audizione di rappresentanti di comitati e associazioni di cittadini residenti nella provincia di Roma.</w:t>
      </w:r>
    </w:p>
    <w:p>
      <w:pPr>
        <w:pStyle w:val="Normal"/>
        <w:widowControl w:val="0"/>
        <w:ind w:left="567" w:right="567" w:firstLine="0"/>
        <w:jc w:val="both"/>
        <w:rPr>
          <w:rFonts w:ascii="Book Antiqua" w:cs="Book Antiqua" w:hAnsi="Book Antiqua" w:eastAsia="Book Antiqua"/>
          <w:color w:val="262626"/>
          <w:u w:color="262626"/>
        </w:rPr>
      </w:pPr>
      <w:r>
        <w:rPr>
          <w:rFonts w:ascii="Book Antiqua"/>
          <w:color w:val="262626"/>
          <w:u w:color="262626"/>
          <w:rtl w:val="0"/>
          <w:lang w:val="it-IT"/>
        </w:rPr>
        <w:t>La diversit</w:t>
      </w:r>
      <w:r>
        <w:rPr>
          <w:rFonts w:hAnsi="Book Antiqua" w:hint="default"/>
          <w:color w:val="262626"/>
          <w:u w:color="262626"/>
          <w:rtl w:val="0"/>
          <w:lang w:val="it-IT"/>
        </w:rPr>
        <w:t xml:space="preserve">à </w:t>
      </w:r>
      <w:r>
        <w:rPr>
          <w:rFonts w:ascii="Book Antiqua"/>
          <w:color w:val="262626"/>
          <w:u w:color="262626"/>
          <w:rtl w:val="0"/>
          <w:lang w:val="it-IT"/>
        </w:rPr>
        <w:t>di oggetto dell</w:t>
      </w:r>
      <w:r>
        <w:rPr>
          <w:rFonts w:hAnsi="Book Antiqua" w:hint="default"/>
          <w:color w:val="262626"/>
          <w:u w:color="262626"/>
          <w:rtl w:val="0"/>
          <w:lang w:val="it-IT"/>
        </w:rPr>
        <w:t>’</w:t>
      </w:r>
      <w:r>
        <w:rPr>
          <w:rFonts w:ascii="Book Antiqua"/>
          <w:color w:val="262626"/>
          <w:u w:color="262626"/>
          <w:rtl w:val="0"/>
          <w:lang w:val="it-IT"/>
        </w:rPr>
        <w:t>attivit</w:t>
      </w:r>
      <w:r>
        <w:rPr>
          <w:rFonts w:hAnsi="Book Antiqua" w:hint="default"/>
          <w:color w:val="262626"/>
          <w:u w:color="262626"/>
          <w:rtl w:val="0"/>
          <w:lang w:val="it-IT"/>
        </w:rPr>
        <w:t xml:space="preserve">à </w:t>
      </w:r>
      <w:r>
        <w:rPr>
          <w:rFonts w:ascii="Book Antiqua"/>
          <w:color w:val="262626"/>
          <w:u w:color="262626"/>
          <w:rtl w:val="0"/>
          <w:lang w:val="it-IT"/>
        </w:rPr>
        <w:t>delle rappresentanze e di territori di insediamento rende variegato il quadro dei temi affrontati: tuttavia la scelta della Commissione ha fornito il riscontro di una situazione in cui la percezione della mancanza di un quadro di riferimento programmatico in materia di rifiuti da parte dei poteri pubblici genera sfiducia e la sensazione della necessit</w:t>
      </w:r>
      <w:r>
        <w:rPr>
          <w:rFonts w:hAnsi="Book Antiqua" w:hint="default"/>
          <w:color w:val="262626"/>
          <w:u w:color="262626"/>
          <w:rtl w:val="0"/>
          <w:lang w:val="it-IT"/>
        </w:rPr>
        <w:t xml:space="preserve">à </w:t>
      </w:r>
      <w:r>
        <w:rPr>
          <w:rFonts w:ascii="Book Antiqua"/>
          <w:color w:val="262626"/>
          <w:u w:color="262626"/>
          <w:rtl w:val="0"/>
          <w:lang w:val="it-IT"/>
        </w:rPr>
        <w:t xml:space="preserve">di attivarsi con interventi diretti: non quindi semplici manifestazioni di </w:t>
      </w:r>
      <w:r>
        <w:rPr>
          <w:rFonts w:hAnsi="Book Antiqua" w:hint="default"/>
          <w:color w:val="262626"/>
          <w:u w:color="262626"/>
          <w:rtl w:val="0"/>
          <w:lang w:val="it-IT"/>
        </w:rPr>
        <w:t>“</w:t>
      </w:r>
      <w:r>
        <w:rPr>
          <w:rFonts w:ascii="Book Antiqua"/>
          <w:color w:val="262626"/>
          <w:u w:color="262626"/>
          <w:rtl w:val="0"/>
          <w:lang w:val="it-IT"/>
        </w:rPr>
        <w:t>sindrome NIMBY</w:t>
      </w:r>
      <w:r>
        <w:rPr>
          <w:rFonts w:hAnsi="Book Antiqua" w:hint="default"/>
          <w:color w:val="262626"/>
          <w:u w:color="262626"/>
          <w:rtl w:val="0"/>
          <w:lang w:val="it-IT"/>
        </w:rPr>
        <w:t xml:space="preserve">” </w:t>
      </w:r>
      <w:r>
        <w:rPr>
          <w:rFonts w:ascii="Book Antiqua"/>
          <w:color w:val="262626"/>
          <w:u w:color="262626"/>
          <w:rtl w:val="0"/>
          <w:lang w:val="it-IT"/>
        </w:rPr>
        <w:t>ma spinte esterne rispetto alla ritenuta inerzia dei soggetti istituzionalmente competenti.</w:t>
      </w:r>
    </w:p>
    <w:p>
      <w:pPr>
        <w:pStyle w:val="Normal"/>
        <w:widowControl w:val="0"/>
        <w:ind w:left="567" w:right="567" w:firstLine="0"/>
        <w:jc w:val="both"/>
        <w:rPr>
          <w:rFonts w:ascii="Book Antiqua" w:cs="Book Antiqua" w:hAnsi="Book Antiqua" w:eastAsia="Book Antiqua"/>
          <w:color w:val="262626"/>
          <w:u w:color="1a348d"/>
        </w:rPr>
      </w:pPr>
      <w:r>
        <w:rPr>
          <w:rFonts w:ascii="Book Antiqua"/>
          <w:color w:val="262626"/>
          <w:u w:color="262626"/>
          <w:rtl w:val="0"/>
          <w:lang w:val="it-IT"/>
        </w:rPr>
        <w:t>I</w:t>
      </w:r>
      <w:r>
        <w:rPr>
          <w:rFonts w:ascii="Book Antiqua"/>
          <w:color w:val="262626"/>
          <w:u w:color="1a348d"/>
          <w:rtl w:val="0"/>
          <w:lang w:val="it-IT"/>
        </w:rPr>
        <w:t xml:space="preserve"> rappresentanti dell'</w:t>
      </w:r>
      <w:r>
        <w:rPr>
          <w:rFonts w:hAnsi="Book Antiqua" w:hint="default"/>
          <w:color w:val="262626"/>
          <w:u w:color="1a348d"/>
          <w:rtl w:val="0"/>
          <w:lang w:val="it-IT"/>
        </w:rPr>
        <w:t>”</w:t>
      </w:r>
      <w:r>
        <w:rPr>
          <w:rFonts w:ascii="Book Antiqua"/>
          <w:color w:val="262626"/>
          <w:u w:color="1a348d"/>
          <w:rtl w:val="0"/>
          <w:lang w:val="it-IT"/>
        </w:rPr>
        <w:t>Associazione cittadinanza, servizi e cultura Colle del Sole</w:t>
      </w:r>
      <w:r>
        <w:rPr>
          <w:rFonts w:hAnsi="Book Antiqua" w:hint="default"/>
          <w:color w:val="262626"/>
          <w:u w:color="1a348d"/>
          <w:rtl w:val="0"/>
          <w:lang w:val="it-IT"/>
        </w:rPr>
        <w:t xml:space="preserve">” </w:t>
      </w:r>
      <w:r>
        <w:rPr>
          <w:rFonts w:ascii="Book Antiqua"/>
          <w:color w:val="262626"/>
          <w:u w:color="1a348d"/>
          <w:rtl w:val="0"/>
          <w:lang w:val="it-IT"/>
        </w:rPr>
        <w:t>spiegano che nel 2013 una commissione della Comunit</w:t>
      </w:r>
      <w:r>
        <w:rPr>
          <w:rFonts w:hAnsi="Book Antiqua" w:hint="default"/>
          <w:color w:val="262626"/>
          <w:u w:color="1a348d"/>
          <w:rtl w:val="0"/>
          <w:lang w:val="it-IT"/>
        </w:rPr>
        <w:t xml:space="preserve">à </w:t>
      </w:r>
      <w:r>
        <w:rPr>
          <w:rFonts w:ascii="Book Antiqua"/>
          <w:color w:val="262626"/>
          <w:u w:color="1a348d"/>
          <w:rtl w:val="0"/>
          <w:lang w:val="it-IT"/>
        </w:rPr>
        <w:t xml:space="preserve">europea si </w:t>
      </w:r>
      <w:r>
        <w:rPr>
          <w:rFonts w:hAnsi="Book Antiqua" w:hint="default"/>
          <w:color w:val="262626"/>
          <w:u w:color="1a348d"/>
          <w:rtl w:val="0"/>
          <w:lang w:val="it-IT"/>
        </w:rPr>
        <w:t xml:space="preserve">è </w:t>
      </w:r>
      <w:r>
        <w:rPr>
          <w:rFonts w:ascii="Book Antiqua"/>
          <w:color w:val="262626"/>
          <w:u w:color="1a348d"/>
          <w:rtl w:val="0"/>
          <w:lang w:val="it-IT"/>
        </w:rPr>
        <w:t>interessata al problema dei rifiuti a Roma, facendo ispezioni sugli impianti a Roma e Napoli, avendo contatti con i vari comitati ed esprimendo delle valutazioni in un documento del 31 gennaio 2013, in cui si osservava soprattutto una mancanza di comunicazione tra la societ</w:t>
      </w:r>
      <w:r>
        <w:rPr>
          <w:rFonts w:hAnsi="Book Antiqua" w:hint="default"/>
          <w:color w:val="262626"/>
          <w:u w:color="1a348d"/>
          <w:rtl w:val="0"/>
          <w:lang w:val="it-IT"/>
        </w:rPr>
        <w:t xml:space="preserve">à </w:t>
      </w:r>
      <w:r>
        <w:rPr>
          <w:rFonts w:ascii="Book Antiqua"/>
          <w:color w:val="262626"/>
          <w:u w:color="1a348d"/>
          <w:rtl w:val="0"/>
          <w:lang w:val="it-IT"/>
        </w:rPr>
        <w:t>civile, le comunit</w:t>
      </w:r>
      <w:r>
        <w:rPr>
          <w:rFonts w:hAnsi="Book Antiqua" w:hint="default"/>
          <w:color w:val="262626"/>
          <w:u w:color="1a348d"/>
          <w:rtl w:val="0"/>
          <w:lang w:val="it-IT"/>
        </w:rPr>
        <w:t xml:space="preserve">à </w:t>
      </w:r>
      <w:r>
        <w:rPr>
          <w:rFonts w:ascii="Book Antiqua"/>
          <w:color w:val="262626"/>
          <w:u w:color="1a348d"/>
          <w:rtl w:val="0"/>
          <w:lang w:val="it-IT"/>
        </w:rPr>
        <w:t>locali e le associazioni di volontariato da un lato, e le autorit</w:t>
      </w:r>
      <w:r>
        <w:rPr>
          <w:rFonts w:hAnsi="Book Antiqua" w:hint="default"/>
          <w:color w:val="262626"/>
          <w:u w:color="1a348d"/>
          <w:rtl w:val="0"/>
          <w:lang w:val="it-IT"/>
        </w:rPr>
        <w:t xml:space="preserve">à </w:t>
      </w:r>
      <w:r>
        <w:rPr>
          <w:rFonts w:ascii="Book Antiqua"/>
          <w:color w:val="262626"/>
          <w:u w:color="1a348d"/>
          <w:rtl w:val="0"/>
          <w:lang w:val="it-IT"/>
        </w:rPr>
        <w:t>politiche dall'altro lato. A seguire, ci fu il patto per Roma, che destinava 200 milioni di euro dalla regione al comune, per arrivare al 65 per cento di raccolta differenziata, obiettivo non raggiunto. Si evidenzia come nella regione Lazio il problema della gestione dei rifiuti sia connesso a quello della gestione dell</w:t>
      </w:r>
      <w:r>
        <w:rPr>
          <w:rFonts w:hAnsi="Book Antiqua" w:hint="default"/>
          <w:color w:val="262626"/>
          <w:u w:color="1a348d"/>
          <w:rtl w:val="0"/>
          <w:lang w:val="it-IT"/>
        </w:rPr>
        <w:t>’</w:t>
      </w:r>
      <w:r>
        <w:rPr>
          <w:rFonts w:ascii="Book Antiqua"/>
          <w:color w:val="262626"/>
          <w:u w:color="1a348d"/>
          <w:rtl w:val="0"/>
          <w:lang w:val="it-IT"/>
        </w:rPr>
        <w:t>energia poich</w:t>
      </w:r>
      <w:r>
        <w:rPr>
          <w:rFonts w:hAnsi="Book Antiqua" w:hint="default"/>
          <w:color w:val="262626"/>
          <w:u w:color="1a348d"/>
          <w:rtl w:val="0"/>
          <w:lang w:val="it-IT"/>
        </w:rPr>
        <w:t xml:space="preserve">é </w:t>
      </w:r>
      <w:r>
        <w:rPr>
          <w:rFonts w:ascii="Book Antiqua"/>
          <w:color w:val="262626"/>
          <w:u w:color="1a348d"/>
          <w:rtl w:val="0"/>
          <w:lang w:val="it-IT"/>
        </w:rPr>
        <w:t xml:space="preserve">parlare di rifiuti e di impianti di trattamento dei rifiuti </w:t>
      </w:r>
      <w:r>
        <w:rPr>
          <w:rFonts w:hAnsi="Book Antiqua" w:hint="default"/>
          <w:color w:val="262626"/>
          <w:u w:color="1a348d"/>
          <w:rtl w:val="0"/>
          <w:lang w:val="it-IT"/>
        </w:rPr>
        <w:t xml:space="preserve">è </w:t>
      </w:r>
      <w:r>
        <w:rPr>
          <w:rFonts w:ascii="Book Antiqua"/>
          <w:color w:val="262626"/>
          <w:u w:color="1a348d"/>
          <w:rtl w:val="0"/>
          <w:lang w:val="it-IT"/>
        </w:rPr>
        <w:t xml:space="preserve">un discorso abbinato a quello della produzione di energia, sia essa energia elettrica, termica, da biogas o da biometano, secondo le varie accezioni mutate nel tempo. Sottolinea che la regione non ha un effettivo piano di gestione dei rifiuti, non ha un piano di gestione dell'efficienza energetica e non </w:t>
      </w:r>
      <w:r>
        <w:rPr>
          <w:rFonts w:hAnsi="Book Antiqua" w:hint="default"/>
          <w:color w:val="262626"/>
          <w:u w:color="1a348d"/>
          <w:rtl w:val="0"/>
          <w:lang w:val="it-IT"/>
        </w:rPr>
        <w:t xml:space="preserve">è </w:t>
      </w:r>
      <w:r>
        <w:rPr>
          <w:rFonts w:ascii="Book Antiqua"/>
          <w:color w:val="262626"/>
          <w:u w:color="1a348d"/>
          <w:rtl w:val="0"/>
          <w:lang w:val="it-IT"/>
        </w:rPr>
        <w:t xml:space="preserve">in grado di fare una corretta pianificazione della destinazione e collocazione degli impianti, ovvero della elaborazione di metodologie che possono portare alla chiusura del ciclo dei rifiuti; non ha un piano di tariffe regolate e predeterminate per quanto riguarda gli sversamenti nei TMB, ovvero nelle discariche; insieme alla regione Campania e a qualche altra </w:t>
      </w:r>
      <w:r>
        <w:rPr>
          <w:rFonts w:hAnsi="Book Antiqua" w:hint="default"/>
          <w:color w:val="262626"/>
          <w:u w:color="1a348d"/>
          <w:rtl w:val="0"/>
          <w:lang w:val="it-IT"/>
        </w:rPr>
        <w:t xml:space="preserve">– </w:t>
      </w:r>
      <w:r>
        <w:rPr>
          <w:rFonts w:ascii="Book Antiqua"/>
          <w:color w:val="262626"/>
          <w:u w:color="1a348d"/>
          <w:rtl w:val="0"/>
          <w:lang w:val="it-IT"/>
        </w:rPr>
        <w:t>ma sostanzialmente sono queste due le pi</w:t>
      </w:r>
      <w:r>
        <w:rPr>
          <w:rFonts w:hAnsi="Book Antiqua" w:hint="default"/>
          <w:color w:val="262626"/>
          <w:u w:color="1a348d"/>
          <w:rtl w:val="0"/>
          <w:lang w:val="it-IT"/>
        </w:rPr>
        <w:t xml:space="preserve">ù </w:t>
      </w:r>
      <w:r>
        <w:rPr>
          <w:rFonts w:ascii="Book Antiqua"/>
          <w:color w:val="262626"/>
          <w:u w:color="1a348d"/>
          <w:rtl w:val="0"/>
          <w:lang w:val="it-IT"/>
        </w:rPr>
        <w:t xml:space="preserve">disastrate </w:t>
      </w:r>
      <w:r>
        <w:rPr>
          <w:rFonts w:hAnsi="Book Antiqua" w:hint="default"/>
          <w:color w:val="262626"/>
          <w:u w:color="1a348d"/>
          <w:rtl w:val="0"/>
          <w:lang w:val="it-IT"/>
        </w:rPr>
        <w:t xml:space="preserve">– </w:t>
      </w:r>
      <w:r>
        <w:rPr>
          <w:rFonts w:ascii="Book Antiqua"/>
          <w:color w:val="262626"/>
          <w:u w:color="1a348d"/>
          <w:rtl w:val="0"/>
          <w:lang w:val="it-IT"/>
        </w:rPr>
        <w:t xml:space="preserve">non ha ancora individuato le aree non idonee per le biomasse e il biogas. Non avendo pianificazione e non avendo l'accuratezza della destinazione di questi siti, tutto </w:t>
      </w:r>
      <w:r>
        <w:rPr>
          <w:rFonts w:hAnsi="Book Antiqua" w:hint="default"/>
          <w:color w:val="262626"/>
          <w:u w:color="1a348d"/>
          <w:rtl w:val="0"/>
          <w:lang w:val="it-IT"/>
        </w:rPr>
        <w:t xml:space="preserve">è </w:t>
      </w:r>
      <w:r>
        <w:rPr>
          <w:rFonts w:ascii="Book Antiqua"/>
          <w:color w:val="262626"/>
          <w:u w:color="1a348d"/>
          <w:rtl w:val="0"/>
          <w:lang w:val="it-IT"/>
        </w:rPr>
        <w:t xml:space="preserve">lasciato all'impronta, che spesso parte dagli amministratori. </w:t>
      </w:r>
    </w:p>
    <w:p>
      <w:pPr>
        <w:pStyle w:val="Normal"/>
        <w:widowControl w:val="0"/>
        <w:ind w:left="567" w:right="567" w:firstLine="0"/>
        <w:jc w:val="both"/>
        <w:rPr>
          <w:rFonts w:ascii="Book Antiqua" w:cs="Book Antiqua" w:hAnsi="Book Antiqua" w:eastAsia="Book Antiqua"/>
          <w:color w:val="262626"/>
          <w:u w:color="1a348d"/>
        </w:rPr>
      </w:pPr>
      <w:r>
        <w:rPr>
          <w:rFonts w:ascii="Book Antiqua"/>
          <w:color w:val="262626"/>
          <w:u w:color="1a348d"/>
          <w:rtl w:val="0"/>
          <w:lang w:val="it-IT"/>
        </w:rPr>
        <w:t>Secondo le notizia su cui si basa l</w:t>
      </w:r>
      <w:r>
        <w:rPr>
          <w:rFonts w:hAnsi="Book Antiqua" w:hint="default"/>
          <w:color w:val="262626"/>
          <w:u w:color="1a348d"/>
          <w:rtl w:val="0"/>
          <w:lang w:val="it-IT"/>
        </w:rPr>
        <w:t>’</w:t>
      </w:r>
      <w:r>
        <w:rPr>
          <w:rFonts w:ascii="Book Antiqua"/>
          <w:color w:val="262626"/>
          <w:u w:color="1a348d"/>
          <w:rtl w:val="0"/>
          <w:lang w:val="it-IT"/>
        </w:rPr>
        <w:t xml:space="preserve">associazione, quattro sono gli impianti che dovrebbero essere realizzati: uno di questi a Gallicano, un comune di seimila abitanti a sei chilometri da Rocca Cencia che prevede di realizzare nel proprio territorio un impianto da 40.000 tonnellate, per un costo di 30 milioni di euro. </w:t>
      </w:r>
    </w:p>
    <w:p>
      <w:pPr>
        <w:pStyle w:val="Normal"/>
        <w:widowControl w:val="0"/>
        <w:ind w:left="567" w:right="567" w:firstLine="0"/>
        <w:jc w:val="both"/>
        <w:rPr>
          <w:rFonts w:ascii="Book Antiqua" w:cs="Book Antiqua" w:hAnsi="Book Antiqua" w:eastAsia="Book Antiqua"/>
          <w:color w:val="262626"/>
          <w:u w:color="1a348d"/>
        </w:rPr>
      </w:pPr>
      <w:r>
        <w:rPr>
          <w:rFonts w:ascii="Book Antiqua"/>
          <w:color w:val="262626"/>
          <w:u w:color="1a348d"/>
          <w:rtl w:val="0"/>
          <w:lang w:val="it-IT"/>
        </w:rPr>
        <w:t>Si tratterebbe di un impianto di trattamento di frazione organica, quindi 40.000 tonnellate di umido pi</w:t>
      </w:r>
      <w:r>
        <w:rPr>
          <w:rFonts w:hAnsi="Book Antiqua" w:hint="default"/>
          <w:color w:val="262626"/>
          <w:u w:color="1a348d"/>
          <w:rtl w:val="0"/>
          <w:lang w:val="it-IT"/>
        </w:rPr>
        <w:t xml:space="preserve">ù </w:t>
      </w:r>
      <w:r>
        <w:rPr>
          <w:rFonts w:ascii="Book Antiqua"/>
          <w:color w:val="262626"/>
          <w:u w:color="1a348d"/>
          <w:rtl w:val="0"/>
          <w:lang w:val="it-IT"/>
        </w:rPr>
        <w:t xml:space="preserve">10-15.000 di frazione verde. A seguito delle battaglie dei comitati a livello locale il progetto inizialmente era stato ritirato nonostante il costo di 800.000 euro sostenuto dalla provincia di Roma. Si vuole proporre un impianto di trattamento aerobico, sempre da 40.000 tonnellate, ma non si sa chi si occuperebbe della gestione. </w:t>
      </w:r>
    </w:p>
    <w:p>
      <w:pPr>
        <w:pStyle w:val="Normal"/>
        <w:widowControl w:val="0"/>
        <w:ind w:left="567" w:right="567" w:firstLine="0"/>
        <w:jc w:val="both"/>
        <w:rPr>
          <w:rFonts w:ascii="Book Antiqua" w:cs="Book Antiqua" w:hAnsi="Book Antiqua" w:eastAsia="Book Antiqua"/>
          <w:color w:val="262626"/>
          <w:u w:color="1a348d"/>
        </w:rPr>
      </w:pPr>
      <w:r>
        <w:rPr>
          <w:rFonts w:ascii="Book Antiqua"/>
          <w:color w:val="262626"/>
          <w:u w:color="1a348d"/>
          <w:rtl w:val="0"/>
          <w:lang w:val="it-IT"/>
        </w:rPr>
        <w:t>Secondo i rappresentanti dell</w:t>
      </w:r>
      <w:r>
        <w:rPr>
          <w:rFonts w:hAnsi="Book Antiqua" w:hint="default"/>
          <w:color w:val="262626"/>
          <w:u w:color="1a348d"/>
          <w:rtl w:val="0"/>
          <w:lang w:val="it-IT"/>
        </w:rPr>
        <w:t>’</w:t>
      </w:r>
      <w:r>
        <w:rPr>
          <w:rFonts w:ascii="Book Antiqua"/>
          <w:color w:val="262626"/>
          <w:u w:color="1a348d"/>
          <w:rtl w:val="0"/>
          <w:lang w:val="it-IT"/>
        </w:rPr>
        <w:t>associazione quel numero di impianti nella regione, in termini di frazione organica da trattare, sarebbe superiore alle esigenze.</w:t>
      </w:r>
    </w:p>
    <w:p>
      <w:pPr>
        <w:pStyle w:val="Normal"/>
        <w:widowControl w:val="0"/>
        <w:ind w:left="567" w:right="567" w:firstLine="0"/>
        <w:jc w:val="both"/>
        <w:rPr>
          <w:rFonts w:ascii="Book Antiqua" w:cs="Book Antiqua" w:hAnsi="Book Antiqua" w:eastAsia="Book Antiqua"/>
          <w:color w:val="262626"/>
          <w:u w:color="1a348d"/>
        </w:rPr>
      </w:pPr>
      <w:r>
        <w:rPr>
          <w:rFonts w:ascii="Book Antiqua"/>
          <w:color w:val="262626"/>
          <w:u w:color="1a348d"/>
          <w:rtl w:val="0"/>
          <w:lang w:val="it-IT"/>
        </w:rPr>
        <w:t>A Rocca Cencia esiste gi</w:t>
      </w:r>
      <w:r>
        <w:rPr>
          <w:rFonts w:hAnsi="Book Antiqua" w:hint="default"/>
          <w:color w:val="262626"/>
          <w:u w:color="1a348d"/>
          <w:rtl w:val="0"/>
          <w:lang w:val="it-IT"/>
        </w:rPr>
        <w:t xml:space="preserve">à </w:t>
      </w:r>
      <w:r>
        <w:rPr>
          <w:rFonts w:ascii="Book Antiqua"/>
          <w:color w:val="262626"/>
          <w:u w:color="1a348d"/>
          <w:rtl w:val="0"/>
          <w:lang w:val="it-IT"/>
        </w:rPr>
        <w:t>un impianto AMA con un trattamento meccanico biologico (TMB), un impianto di depurazione a biofiltri, un ex impianto di stoccaggio di carta plastica, ma che non funziona pi</w:t>
      </w:r>
      <w:r>
        <w:rPr>
          <w:rFonts w:hAnsi="Book Antiqua" w:hint="default"/>
          <w:color w:val="262626"/>
          <w:u w:color="1a348d"/>
          <w:rtl w:val="0"/>
          <w:lang w:val="it-IT"/>
        </w:rPr>
        <w:t>ù</w:t>
      </w:r>
      <w:r>
        <w:rPr>
          <w:rFonts w:ascii="Book Antiqua"/>
          <w:color w:val="262626"/>
          <w:u w:color="1a348d"/>
          <w:rtl w:val="0"/>
          <w:lang w:val="it-IT"/>
        </w:rPr>
        <w:t>; nello stesso deposito esiste la possibilit</w:t>
      </w:r>
      <w:r>
        <w:rPr>
          <w:rFonts w:hAnsi="Book Antiqua" w:hint="default"/>
          <w:color w:val="262626"/>
          <w:u w:color="1a348d"/>
          <w:rtl w:val="0"/>
          <w:lang w:val="it-IT"/>
        </w:rPr>
        <w:t xml:space="preserve">à </w:t>
      </w:r>
      <w:r>
        <w:rPr>
          <w:rFonts w:ascii="Book Antiqua"/>
          <w:color w:val="262626"/>
          <w:u w:color="1a348d"/>
          <w:rtl w:val="0"/>
          <w:lang w:val="it-IT"/>
        </w:rPr>
        <w:t xml:space="preserve">di trasferenza di 200 tonnellate al giorno dalla frazione organica; </w:t>
      </w:r>
      <w:r>
        <w:rPr>
          <w:rFonts w:hAnsi="Book Antiqua" w:hint="default"/>
          <w:color w:val="262626"/>
          <w:u w:color="1a348d"/>
          <w:rtl w:val="0"/>
          <w:lang w:val="it-IT"/>
        </w:rPr>
        <w:t xml:space="preserve">è </w:t>
      </w:r>
      <w:r>
        <w:rPr>
          <w:rFonts w:ascii="Book Antiqua"/>
          <w:color w:val="262626"/>
          <w:u w:color="1a348d"/>
          <w:rtl w:val="0"/>
          <w:lang w:val="it-IT"/>
        </w:rPr>
        <w:t>una realt</w:t>
      </w:r>
      <w:r>
        <w:rPr>
          <w:rFonts w:hAnsi="Book Antiqua" w:hint="default"/>
          <w:color w:val="262626"/>
          <w:u w:color="1a348d"/>
          <w:rtl w:val="0"/>
          <w:lang w:val="it-IT"/>
        </w:rPr>
        <w:t xml:space="preserve">à </w:t>
      </w:r>
      <w:r>
        <w:rPr>
          <w:rFonts w:ascii="Book Antiqua"/>
          <w:color w:val="262626"/>
          <w:u w:color="1a348d"/>
          <w:rtl w:val="0"/>
          <w:lang w:val="it-IT"/>
        </w:rPr>
        <w:t>dove, a distanza di 50 metri, ci sono le prime abitazioni; nel raggio di 3 chilometri ci sono 100.000 abitanti, e nel raggio di 7-8 chilometri 250-300.000. In questa realt</w:t>
      </w:r>
      <w:r>
        <w:rPr>
          <w:rFonts w:hAnsi="Book Antiqua" w:hint="default"/>
          <w:color w:val="262626"/>
          <w:u w:color="1a348d"/>
          <w:rtl w:val="0"/>
          <w:lang w:val="it-IT"/>
        </w:rPr>
        <w:t xml:space="preserve">à </w:t>
      </w:r>
      <w:r>
        <w:rPr>
          <w:rFonts w:ascii="Book Antiqua"/>
          <w:color w:val="262626"/>
          <w:u w:color="1a348d"/>
          <w:rtl w:val="0"/>
          <w:lang w:val="it-IT"/>
        </w:rPr>
        <w:t>si vuole realizzare un ulteriore impianto per il trattamento della frazione organica con biogas. Tutto questo, con l'ulteriore parte di frazione organica, pi</w:t>
      </w:r>
      <w:r>
        <w:rPr>
          <w:rFonts w:hAnsi="Book Antiqua" w:hint="default"/>
          <w:color w:val="262626"/>
          <w:u w:color="1a348d"/>
          <w:rtl w:val="0"/>
          <w:lang w:val="it-IT"/>
        </w:rPr>
        <w:t xml:space="preserve">ù </w:t>
      </w:r>
      <w:r>
        <w:rPr>
          <w:rFonts w:ascii="Book Antiqua"/>
          <w:color w:val="262626"/>
          <w:u w:color="1a348d"/>
          <w:rtl w:val="0"/>
          <w:lang w:val="it-IT"/>
        </w:rPr>
        <w:t xml:space="preserve">quella di verde, a seguito del processo di trasferenza del </w:t>
      </w:r>
      <w:r>
        <w:rPr>
          <w:rFonts w:ascii="Book Antiqua"/>
          <w:i w:val="1"/>
          <w:iCs w:val="1"/>
          <w:color w:val="262626"/>
          <w:u w:color="1a348d"/>
          <w:rtl w:val="0"/>
          <w:lang w:val="it-IT"/>
        </w:rPr>
        <w:t>compost</w:t>
      </w:r>
      <w:r>
        <w:rPr>
          <w:rFonts w:ascii="Book Antiqua"/>
          <w:color w:val="262626"/>
          <w:u w:color="1a348d"/>
          <w:rtl w:val="0"/>
          <w:lang w:val="it-IT"/>
        </w:rPr>
        <w:t xml:space="preserve"> prodotto, ovvero per la parte da portare in discarica, comporterebbe, oltre ai normali inquinanti gassosi, ai liquidi microbiologici e al </w:t>
      </w:r>
      <w:r>
        <w:rPr>
          <w:rFonts w:ascii="Book Antiqua"/>
          <w:i w:val="1"/>
          <w:iCs w:val="1"/>
          <w:color w:val="262626"/>
          <w:u w:color="1a348d"/>
          <w:rtl w:val="0"/>
          <w:lang w:val="it-IT"/>
        </w:rPr>
        <w:t>compost,</w:t>
      </w:r>
      <w:r>
        <w:rPr>
          <w:rFonts w:ascii="Book Antiqua"/>
          <w:color w:val="262626"/>
          <w:u w:color="1a348d"/>
          <w:rtl w:val="0"/>
          <w:lang w:val="it-IT"/>
        </w:rPr>
        <w:t xml:space="preserve"> che continua a non essere di qualit</w:t>
      </w:r>
      <w:r>
        <w:rPr>
          <w:rFonts w:hAnsi="Book Antiqua" w:hint="default"/>
          <w:color w:val="262626"/>
          <w:u w:color="1a348d"/>
          <w:rtl w:val="0"/>
          <w:lang w:val="it-IT"/>
        </w:rPr>
        <w:t>à</w:t>
      </w:r>
      <w:r>
        <w:rPr>
          <w:rFonts w:ascii="Book Antiqua"/>
          <w:color w:val="262626"/>
          <w:u w:color="1a348d"/>
          <w:rtl w:val="0"/>
          <w:lang w:val="it-IT"/>
        </w:rPr>
        <w:t>, un pericolo di incendio; da ultimo, oltre all'impianto AMA, a ridosso di questa propriet</w:t>
      </w:r>
      <w:r>
        <w:rPr>
          <w:rFonts w:hAnsi="Book Antiqua" w:hint="default"/>
          <w:color w:val="262626"/>
          <w:u w:color="1a348d"/>
          <w:rtl w:val="0"/>
          <w:lang w:val="it-IT"/>
        </w:rPr>
        <w:t>à</w:t>
      </w:r>
      <w:r>
        <w:rPr>
          <w:rFonts w:ascii="Book Antiqua"/>
          <w:color w:val="262626"/>
          <w:u w:color="1a348d"/>
          <w:rtl w:val="0"/>
          <w:lang w:val="it-IT"/>
        </w:rPr>
        <w:t>, dove esistono il TMB e altri impianti di trattamento, ci sono due sezioni private di trasferenza e di trattamento dell'indifferenziato. A ridosso della propriet</w:t>
      </w:r>
      <w:r>
        <w:rPr>
          <w:rFonts w:hAnsi="Book Antiqua" w:hint="default"/>
          <w:color w:val="262626"/>
          <w:u w:color="1a348d"/>
          <w:rtl w:val="0"/>
          <w:lang w:val="it-IT"/>
        </w:rPr>
        <w:t>à</w:t>
      </w:r>
      <w:r>
        <w:rPr>
          <w:rFonts w:ascii="Book Antiqua"/>
          <w:color w:val="262626"/>
          <w:u w:color="1a348d"/>
          <w:rtl w:val="0"/>
          <w:lang w:val="it-IT"/>
        </w:rPr>
        <w:t>, quindi, a 500-700 metri, c</w:t>
      </w:r>
      <w:r>
        <w:rPr>
          <w:rFonts w:hAnsi="Book Antiqua" w:hint="default"/>
          <w:color w:val="262626"/>
          <w:u w:color="1a348d"/>
          <w:rtl w:val="0"/>
          <w:lang w:val="it-IT"/>
        </w:rPr>
        <w:t xml:space="preserve">’è </w:t>
      </w:r>
      <w:r>
        <w:rPr>
          <w:rFonts w:ascii="Book Antiqua"/>
          <w:color w:val="262626"/>
          <w:u w:color="1a348d"/>
          <w:rtl w:val="0"/>
          <w:lang w:val="it-IT"/>
        </w:rPr>
        <w:t>un ulteriore impianto di trattamento dei rifiuti. Tutto questo porterebbe a un trasferimento di mezzi pesanti e leggeri di oltre 650 unit</w:t>
      </w:r>
      <w:r>
        <w:rPr>
          <w:rFonts w:hAnsi="Book Antiqua" w:hint="default"/>
          <w:color w:val="262626"/>
          <w:u w:color="1a348d"/>
          <w:rtl w:val="0"/>
          <w:lang w:val="it-IT"/>
        </w:rPr>
        <w:t xml:space="preserve">à </w:t>
      </w:r>
      <w:r>
        <w:rPr>
          <w:rFonts w:ascii="Book Antiqua"/>
          <w:color w:val="262626"/>
          <w:u w:color="1a348d"/>
          <w:rtl w:val="0"/>
          <w:lang w:val="it-IT"/>
        </w:rPr>
        <w:t xml:space="preserve">giornaliere. </w:t>
      </w:r>
    </w:p>
    <w:p>
      <w:pPr>
        <w:pStyle w:val="Normal"/>
        <w:widowControl w:val="0"/>
        <w:ind w:left="567" w:right="567" w:firstLine="0"/>
        <w:jc w:val="both"/>
        <w:rPr>
          <w:rFonts w:ascii="Book Antiqua" w:cs="Book Antiqua" w:hAnsi="Book Antiqua" w:eastAsia="Book Antiqua"/>
          <w:color w:val="262626"/>
          <w:u w:color="1a348d"/>
        </w:rPr>
      </w:pPr>
      <w:r>
        <w:rPr>
          <w:rFonts w:ascii="Book Antiqua"/>
          <w:color w:val="262626"/>
          <w:u w:color="1a348d"/>
          <w:rtl w:val="0"/>
          <w:lang w:val="it-IT"/>
        </w:rPr>
        <w:t xml:space="preserve">I rappresentanti dell'Associazione cittadinanza, servizi e cultura Colle del Sole precisano che la riunione di 40 comitati di quartiere e associazioni ha  studiato il sito esistente e la progettazione che </w:t>
      </w:r>
      <w:r>
        <w:rPr>
          <w:rFonts w:hAnsi="Book Antiqua" w:hint="default"/>
          <w:color w:val="262626"/>
          <w:u w:color="1a348d"/>
          <w:rtl w:val="0"/>
          <w:lang w:val="it-IT"/>
        </w:rPr>
        <w:t xml:space="preserve">è </w:t>
      </w:r>
      <w:r>
        <w:rPr>
          <w:rFonts w:ascii="Book Antiqua"/>
          <w:color w:val="262626"/>
          <w:u w:color="1a348d"/>
          <w:rtl w:val="0"/>
          <w:lang w:val="it-IT"/>
        </w:rPr>
        <w:t>stata presentata ad ampliamento di quella esistente: evidenziano che l</w:t>
      </w:r>
      <w:r>
        <w:rPr>
          <w:rFonts w:hAnsi="Book Antiqua" w:hint="default"/>
          <w:color w:val="262626"/>
          <w:u w:color="1a348d"/>
          <w:rtl w:val="0"/>
          <w:lang w:val="it-IT"/>
        </w:rPr>
        <w:t>’</w:t>
      </w:r>
      <w:r>
        <w:rPr>
          <w:rFonts w:ascii="Book Antiqua"/>
          <w:color w:val="262626"/>
          <w:u w:color="1a348d"/>
          <w:rtl w:val="0"/>
          <w:lang w:val="it-IT"/>
        </w:rPr>
        <w:t xml:space="preserve">area </w:t>
      </w:r>
      <w:r>
        <w:rPr>
          <w:rFonts w:hAnsi="Book Antiqua" w:hint="default"/>
          <w:color w:val="262626"/>
          <w:u w:color="1a348d"/>
          <w:rtl w:val="0"/>
          <w:lang w:val="it-IT"/>
        </w:rPr>
        <w:t xml:space="preserve">è </w:t>
      </w:r>
      <w:r>
        <w:rPr>
          <w:rFonts w:ascii="Book Antiqua"/>
          <w:color w:val="262626"/>
          <w:u w:color="1a348d"/>
          <w:rtl w:val="0"/>
          <w:lang w:val="it-IT"/>
        </w:rPr>
        <w:t>limitrofa a un parco archeologico tra i pi</w:t>
      </w:r>
      <w:r>
        <w:rPr>
          <w:rFonts w:hAnsi="Book Antiqua" w:hint="default"/>
          <w:color w:val="262626"/>
          <w:u w:color="1a348d"/>
          <w:rtl w:val="0"/>
          <w:lang w:val="it-IT"/>
        </w:rPr>
        <w:t xml:space="preserve">ù </w:t>
      </w:r>
      <w:r>
        <w:rPr>
          <w:rFonts w:ascii="Book Antiqua"/>
          <w:color w:val="262626"/>
          <w:u w:color="1a348d"/>
          <w:rtl w:val="0"/>
          <w:lang w:val="it-IT"/>
        </w:rPr>
        <w:t>importanti d'Italia e del mondo, il Parco di Gabii, dove tre universit</w:t>
      </w:r>
      <w:r>
        <w:rPr>
          <w:rFonts w:hAnsi="Book Antiqua" w:hint="default"/>
          <w:color w:val="262626"/>
          <w:u w:color="1a348d"/>
          <w:rtl w:val="0"/>
          <w:lang w:val="it-IT"/>
        </w:rPr>
        <w:t xml:space="preserve">à </w:t>
      </w:r>
      <w:r>
        <w:rPr>
          <w:rFonts w:ascii="Book Antiqua"/>
          <w:color w:val="262626"/>
          <w:u w:color="1a348d"/>
          <w:rtl w:val="0"/>
          <w:lang w:val="it-IT"/>
        </w:rPr>
        <w:t xml:space="preserve">straniere lavorano in scavi; vi </w:t>
      </w:r>
      <w:r>
        <w:rPr>
          <w:rFonts w:hAnsi="Book Antiqua" w:hint="default"/>
          <w:color w:val="262626"/>
          <w:u w:color="1a348d"/>
          <w:rtl w:val="0"/>
          <w:lang w:val="it-IT"/>
        </w:rPr>
        <w:t>è</w:t>
      </w:r>
      <w:r>
        <w:rPr>
          <w:rFonts w:ascii="Book Antiqua"/>
          <w:color w:val="262626"/>
          <w:u w:color="1a348d"/>
          <w:rtl w:val="0"/>
          <w:lang w:val="it-IT"/>
        </w:rPr>
        <w:t xml:space="preserve">, infatti, il Gabii Project, a livello mondiale, mentre, a livello accademico, si </w:t>
      </w:r>
      <w:r>
        <w:rPr>
          <w:rFonts w:hAnsi="Book Antiqua" w:hint="default"/>
          <w:color w:val="262626"/>
          <w:u w:color="1a348d"/>
          <w:rtl w:val="0"/>
          <w:lang w:val="it-IT"/>
        </w:rPr>
        <w:t xml:space="preserve">è </w:t>
      </w:r>
      <w:r>
        <w:rPr>
          <w:rFonts w:ascii="Book Antiqua"/>
          <w:color w:val="262626"/>
          <w:u w:color="1a348d"/>
          <w:rtl w:val="0"/>
          <w:lang w:val="it-IT"/>
        </w:rPr>
        <w:t xml:space="preserve">accesa una fortissima discussione su un intervento che fa il paio con la discarica a Villa Adriana (peraltro, quello di Gabii </w:t>
      </w:r>
      <w:r>
        <w:rPr>
          <w:rFonts w:hAnsi="Book Antiqua" w:hint="default"/>
          <w:color w:val="262626"/>
          <w:u w:color="1a348d"/>
          <w:rtl w:val="0"/>
          <w:lang w:val="it-IT"/>
        </w:rPr>
        <w:t xml:space="preserve">è </w:t>
      </w:r>
      <w:r>
        <w:rPr>
          <w:rFonts w:ascii="Book Antiqua"/>
          <w:color w:val="262626"/>
          <w:u w:color="1a348d"/>
          <w:rtl w:val="0"/>
          <w:lang w:val="it-IT"/>
        </w:rPr>
        <w:t xml:space="preserve">un sito UNESCO </w:t>
      </w:r>
      <w:r>
        <w:rPr>
          <w:rFonts w:ascii="Book Antiqua"/>
          <w:i w:val="1"/>
          <w:iCs w:val="1"/>
          <w:color w:val="262626"/>
          <w:u w:color="1a348d"/>
          <w:rtl w:val="0"/>
          <w:lang w:val="it-IT"/>
        </w:rPr>
        <w:t>in itinere)</w:t>
      </w:r>
      <w:r>
        <w:rPr>
          <w:rFonts w:ascii="Book Antiqua"/>
          <w:color w:val="262626"/>
          <w:u w:color="1a348d"/>
          <w:rtl w:val="0"/>
          <w:lang w:val="it-IT"/>
        </w:rPr>
        <w:t xml:space="preserve">. </w:t>
      </w:r>
    </w:p>
    <w:p>
      <w:pPr>
        <w:pStyle w:val="Normal"/>
        <w:widowControl w:val="0"/>
        <w:ind w:left="567" w:right="567" w:firstLine="0"/>
        <w:jc w:val="both"/>
        <w:rPr>
          <w:rFonts w:ascii="Book Antiqua" w:cs="Book Antiqua" w:hAnsi="Book Antiqua" w:eastAsia="Book Antiqua"/>
          <w:color w:val="262626"/>
          <w:u w:color="1a348d"/>
        </w:rPr>
      </w:pPr>
      <w:r>
        <w:rPr>
          <w:rFonts w:ascii="Book Antiqua"/>
          <w:color w:val="262626"/>
          <w:u w:color="1a348d"/>
          <w:rtl w:val="0"/>
          <w:lang w:val="it-IT"/>
        </w:rPr>
        <w:t>Sottolineano i dubbi addirittura sull</w:t>
      </w:r>
      <w:r>
        <w:rPr>
          <w:rFonts w:hAnsi="Book Antiqua" w:hint="default"/>
          <w:color w:val="262626"/>
          <w:u w:color="1a348d"/>
          <w:rtl w:val="0"/>
          <w:lang w:val="it-IT"/>
        </w:rPr>
        <w:t>’</w:t>
      </w:r>
      <w:r>
        <w:rPr>
          <w:rFonts w:ascii="Book Antiqua"/>
          <w:color w:val="262626"/>
          <w:u w:color="1a348d"/>
          <w:rtl w:val="0"/>
          <w:lang w:val="it-IT"/>
        </w:rPr>
        <w:t>illegittimit</w:t>
      </w:r>
      <w:r>
        <w:rPr>
          <w:rFonts w:hAnsi="Book Antiqua" w:hint="default"/>
          <w:color w:val="262626"/>
          <w:u w:color="1a348d"/>
          <w:rtl w:val="0"/>
          <w:lang w:val="it-IT"/>
        </w:rPr>
        <w:t xml:space="preserve">à </w:t>
      </w:r>
      <w:r>
        <w:rPr>
          <w:rFonts w:ascii="Book Antiqua"/>
          <w:color w:val="262626"/>
          <w:u w:color="1a348d"/>
          <w:rtl w:val="0"/>
          <w:lang w:val="it-IT"/>
        </w:rPr>
        <w:t>dell</w:t>
      </w:r>
      <w:r>
        <w:rPr>
          <w:rFonts w:hAnsi="Book Antiqua" w:hint="default"/>
          <w:color w:val="262626"/>
          <w:u w:color="1a348d"/>
          <w:rtl w:val="0"/>
          <w:lang w:val="it-IT"/>
        </w:rPr>
        <w:t>’</w:t>
      </w:r>
      <w:r>
        <w:rPr>
          <w:rFonts w:ascii="Book Antiqua"/>
          <w:color w:val="262626"/>
          <w:u w:color="1a348d"/>
          <w:rtl w:val="0"/>
          <w:lang w:val="it-IT"/>
        </w:rPr>
        <w:t xml:space="preserve">esistente </w:t>
      </w:r>
      <w:r>
        <w:rPr>
          <w:rFonts w:hAnsi="Book Antiqua" w:hint="default"/>
          <w:color w:val="262626"/>
          <w:u w:color="1a348d"/>
          <w:rtl w:val="0"/>
          <w:lang w:val="it-IT"/>
        </w:rPr>
        <w:t xml:space="preserve">– </w:t>
      </w:r>
      <w:r>
        <w:rPr>
          <w:rFonts w:ascii="Book Antiqua"/>
          <w:color w:val="262626"/>
          <w:u w:color="1a348d"/>
          <w:rtl w:val="0"/>
          <w:lang w:val="it-IT"/>
        </w:rPr>
        <w:t>e dunque dell</w:t>
      </w:r>
      <w:r>
        <w:rPr>
          <w:rFonts w:hAnsi="Book Antiqua" w:hint="default"/>
          <w:color w:val="262626"/>
          <w:u w:color="1a348d"/>
          <w:rtl w:val="0"/>
          <w:lang w:val="it-IT"/>
        </w:rPr>
        <w:t>’</w:t>
      </w:r>
      <w:r>
        <w:rPr>
          <w:rFonts w:ascii="Book Antiqua"/>
          <w:color w:val="262626"/>
          <w:u w:color="1a348d"/>
          <w:rtl w:val="0"/>
          <w:lang w:val="it-IT"/>
        </w:rPr>
        <w:t>impossibilit</w:t>
      </w:r>
      <w:r>
        <w:rPr>
          <w:rFonts w:hAnsi="Book Antiqua" w:hint="default"/>
          <w:color w:val="262626"/>
          <w:u w:color="1a348d"/>
          <w:rtl w:val="0"/>
          <w:lang w:val="it-IT"/>
        </w:rPr>
        <w:t xml:space="preserve">à </w:t>
      </w:r>
      <w:r>
        <w:rPr>
          <w:rFonts w:ascii="Book Antiqua"/>
          <w:color w:val="262626"/>
          <w:u w:color="1a348d"/>
          <w:rtl w:val="0"/>
          <w:lang w:val="it-IT"/>
        </w:rPr>
        <w:t xml:space="preserve">di ampliamento </w:t>
      </w:r>
      <w:r>
        <w:rPr>
          <w:rFonts w:hAnsi="Book Antiqua" w:hint="default"/>
          <w:color w:val="262626"/>
          <w:u w:color="1a348d"/>
          <w:rtl w:val="0"/>
          <w:lang w:val="it-IT"/>
        </w:rPr>
        <w:t xml:space="preserve">– </w:t>
      </w:r>
      <w:r>
        <w:rPr>
          <w:rFonts w:ascii="Book Antiqua"/>
          <w:color w:val="262626"/>
          <w:u w:color="1a348d"/>
          <w:rtl w:val="0"/>
          <w:lang w:val="it-IT"/>
        </w:rPr>
        <w:t>sia per la persistenza di vincoli archeologici, sia per la mancanza di autorizzazione paesaggistica.</w:t>
      </w:r>
    </w:p>
    <w:p>
      <w:pPr>
        <w:pStyle w:val="Normal"/>
        <w:widowControl w:val="0"/>
        <w:ind w:left="567" w:right="567" w:firstLine="0"/>
        <w:jc w:val="both"/>
        <w:rPr>
          <w:rFonts w:ascii="Book Antiqua" w:cs="Book Antiqua" w:hAnsi="Book Antiqua" w:eastAsia="Book Antiqua"/>
          <w:color w:val="262626"/>
          <w:u w:color="1a348d"/>
        </w:rPr>
      </w:pPr>
      <w:r>
        <w:rPr>
          <w:rFonts w:ascii="Book Antiqua"/>
          <w:color w:val="262626"/>
          <w:u w:color="1a348d"/>
          <w:rtl w:val="0"/>
          <w:lang w:val="it-IT"/>
        </w:rPr>
        <w:t>Si aggiunge poi l</w:t>
      </w:r>
      <w:r>
        <w:rPr>
          <w:rFonts w:hAnsi="Book Antiqua" w:hint="default"/>
          <w:color w:val="262626"/>
          <w:u w:color="1a348d"/>
          <w:rtl w:val="0"/>
          <w:lang w:val="it-IT"/>
        </w:rPr>
        <w:t>’</w:t>
      </w:r>
      <w:r>
        <w:rPr>
          <w:rFonts w:ascii="Book Antiqua"/>
          <w:color w:val="262626"/>
          <w:u w:color="1a348d"/>
          <w:rtl w:val="0"/>
          <w:lang w:val="it-IT"/>
        </w:rPr>
        <w:t xml:space="preserve">allarme per una serie di fattori epidemiologici segnalati dal dipartimento epidemiologico del servizio sanitario regionale; si dovrebbe inoltre tenere conto di ulteriori vincoli riguardanti il sistema idrografico. </w:t>
      </w:r>
    </w:p>
    <w:p>
      <w:pPr>
        <w:pStyle w:val="Normal"/>
        <w:widowControl w:val="0"/>
        <w:ind w:left="567" w:right="567" w:firstLine="0"/>
        <w:jc w:val="both"/>
        <w:rPr>
          <w:rFonts w:ascii="Book Antiqua" w:cs="Book Antiqua" w:hAnsi="Book Antiqua" w:eastAsia="Book Antiqua"/>
          <w:color w:val="262626"/>
          <w:u w:color="1a348d"/>
        </w:rPr>
      </w:pPr>
      <w:r>
        <w:rPr>
          <w:rFonts w:ascii="Book Antiqua"/>
          <w:color w:val="262626"/>
          <w:u w:color="1a348d"/>
          <w:rtl w:val="0"/>
          <w:lang w:val="it-IT"/>
        </w:rPr>
        <w:t>Per quanto riguarda l'impianto di Gallicano, secondo i rappresentanti dell</w:t>
      </w:r>
      <w:r>
        <w:rPr>
          <w:rFonts w:hAnsi="Book Antiqua" w:hint="default"/>
          <w:color w:val="262626"/>
          <w:u w:color="1a348d"/>
          <w:rtl w:val="0"/>
          <w:lang w:val="it-IT"/>
        </w:rPr>
        <w:t>’</w:t>
      </w:r>
      <w:r>
        <w:rPr>
          <w:rFonts w:ascii="Book Antiqua"/>
          <w:color w:val="262626"/>
          <w:u w:color="1a348d"/>
          <w:rtl w:val="0"/>
          <w:lang w:val="it-IT"/>
        </w:rPr>
        <w:t>Associazione l'impianto aerobico crea perplessit</w:t>
      </w:r>
      <w:r>
        <w:rPr>
          <w:rFonts w:hAnsi="Book Antiqua" w:hint="default"/>
          <w:color w:val="262626"/>
          <w:u w:color="1a348d"/>
          <w:rtl w:val="0"/>
          <w:lang w:val="it-IT"/>
        </w:rPr>
        <w:t xml:space="preserve">à </w:t>
      </w:r>
      <w:r>
        <w:rPr>
          <w:rFonts w:ascii="Book Antiqua"/>
          <w:color w:val="262626"/>
          <w:u w:color="1a348d"/>
          <w:rtl w:val="0"/>
          <w:lang w:val="it-IT"/>
        </w:rPr>
        <w:t>nella cittadinanza; i comitati, peraltro, sono orientati sul compostaggio di comunit</w:t>
      </w:r>
      <w:r>
        <w:rPr>
          <w:rFonts w:hAnsi="Book Antiqua" w:hint="default"/>
          <w:color w:val="262626"/>
          <w:u w:color="1a348d"/>
          <w:rtl w:val="0"/>
          <w:lang w:val="it-IT"/>
        </w:rPr>
        <w:t>à</w:t>
      </w:r>
      <w:r>
        <w:rPr>
          <w:rFonts w:ascii="Book Antiqua"/>
          <w:color w:val="262626"/>
          <w:u w:color="1a348d"/>
          <w:rtl w:val="0"/>
          <w:lang w:val="it-IT"/>
        </w:rPr>
        <w:t>.</w:t>
      </w:r>
    </w:p>
    <w:p>
      <w:pPr>
        <w:pStyle w:val="Normal"/>
        <w:widowControl w:val="0"/>
        <w:ind w:left="567" w:right="567" w:firstLine="0"/>
        <w:jc w:val="both"/>
        <w:rPr>
          <w:rFonts w:ascii="Book Antiqua" w:cs="Book Antiqua" w:hAnsi="Book Antiqua" w:eastAsia="Book Antiqua"/>
          <w:color w:val="262626"/>
          <w:u w:color="1a348d"/>
        </w:rPr>
      </w:pPr>
      <w:r>
        <w:rPr>
          <w:rFonts w:ascii="Book Antiqua"/>
          <w:color w:val="262626"/>
          <w:u w:color="1a348d"/>
          <w:rtl w:val="0"/>
          <w:lang w:val="it-IT"/>
        </w:rPr>
        <w:t>Nell'impianto aerobico in scala piccolo o medio, da 10.000 in su, si ravvisano gli stessi problemi di un impianto anaerobico perch</w:t>
      </w:r>
      <w:r>
        <w:rPr>
          <w:rFonts w:hAnsi="Book Antiqua" w:hint="default"/>
          <w:color w:val="262626"/>
          <w:u w:color="1a348d"/>
          <w:rtl w:val="0"/>
          <w:lang w:val="it-IT"/>
        </w:rPr>
        <w:t xml:space="preserve">é </w:t>
      </w:r>
      <w:r>
        <w:rPr>
          <w:rFonts w:ascii="Book Antiqua"/>
          <w:color w:val="262626"/>
          <w:u w:color="1a348d"/>
          <w:rtl w:val="0"/>
          <w:lang w:val="it-IT"/>
        </w:rPr>
        <w:t xml:space="preserve">si formano, comunque, metano nei cumuli e sostanze odorose sgradevoli. Secondo il progetto, l'impianto TMB rimarrebbe in quel contesto e verrebbe realizzato un impianto </w:t>
      </w:r>
      <w:r>
        <w:rPr>
          <w:rFonts w:ascii="Book Antiqua"/>
          <w:i w:val="1"/>
          <w:iCs w:val="1"/>
          <w:color w:val="262626"/>
          <w:u w:color="1a348d"/>
          <w:rtl w:val="0"/>
          <w:lang w:val="it-IT"/>
        </w:rPr>
        <w:t>ex novo</w:t>
      </w:r>
      <w:r>
        <w:rPr>
          <w:rFonts w:ascii="Book Antiqua"/>
          <w:color w:val="262626"/>
          <w:u w:color="1a348d"/>
          <w:rtl w:val="0"/>
          <w:lang w:val="it-IT"/>
        </w:rPr>
        <w:t xml:space="preserve"> per il trattamento di 40.000 tonnellate di frazione organica e 10.000 di verde.</w:t>
      </w:r>
    </w:p>
    <w:p>
      <w:pPr>
        <w:pStyle w:val="Normal"/>
        <w:widowControl w:val="0"/>
        <w:ind w:left="567" w:right="567" w:firstLine="0"/>
        <w:jc w:val="both"/>
        <w:rPr>
          <w:rFonts w:ascii="Book Antiqua" w:cs="Book Antiqua" w:hAnsi="Book Antiqua" w:eastAsia="Book Antiqua"/>
          <w:color w:val="262626"/>
          <w:u w:color="262626"/>
        </w:rPr>
      </w:pPr>
      <w:r>
        <w:rPr>
          <w:rFonts w:ascii="Book Antiqua"/>
          <w:color w:val="262626"/>
          <w:u w:color="1a348d"/>
          <w:rtl w:val="0"/>
          <w:lang w:val="it-IT"/>
        </w:rPr>
        <w:t xml:space="preserve">Il comitato </w:t>
      </w:r>
      <w:r>
        <w:rPr>
          <w:rFonts w:hAnsi="Book Antiqua" w:hint="default"/>
          <w:color w:val="262626"/>
          <w:u w:color="1a348d"/>
          <w:rtl w:val="0"/>
          <w:lang w:val="it-IT"/>
        </w:rPr>
        <w:t>«</w:t>
      </w:r>
      <w:r>
        <w:rPr>
          <w:rFonts w:ascii="Book Antiqua"/>
          <w:color w:val="262626"/>
          <w:u w:color="1a348d"/>
          <w:rtl w:val="0"/>
          <w:lang w:val="it-IT"/>
        </w:rPr>
        <w:t>No discarica Magliano Romano</w:t>
      </w:r>
      <w:r>
        <w:rPr>
          <w:rFonts w:hAnsi="Book Antiqua" w:hint="default"/>
          <w:color w:val="262626"/>
          <w:u w:color="1a348d"/>
          <w:rtl w:val="0"/>
          <w:lang w:val="it-IT"/>
        </w:rPr>
        <w:t xml:space="preserve">» </w:t>
      </w:r>
      <w:r>
        <w:rPr>
          <w:rFonts w:ascii="Book Antiqua"/>
          <w:color w:val="262626"/>
          <w:u w:color="1a348d"/>
          <w:rtl w:val="0"/>
          <w:lang w:val="it-IT"/>
        </w:rPr>
        <w:t xml:space="preserve">opera nell'area nord della provincia di Roma e nell'area sud della provincia di Viterbo. </w:t>
      </w:r>
    </w:p>
    <w:p>
      <w:pPr>
        <w:pStyle w:val="Normal"/>
        <w:widowControl w:val="0"/>
        <w:ind w:left="567" w:right="567" w:firstLine="0"/>
        <w:jc w:val="both"/>
        <w:rPr>
          <w:rFonts w:ascii="Book Antiqua" w:cs="Book Antiqua" w:hAnsi="Book Antiqua" w:eastAsia="Book Antiqua"/>
          <w:color w:val="262626"/>
          <w:u w:color="1a348d"/>
        </w:rPr>
      </w:pPr>
      <w:r>
        <w:rPr>
          <w:rFonts w:ascii="Book Antiqua"/>
          <w:color w:val="262626"/>
          <w:u w:color="1a348d"/>
          <w:rtl w:val="0"/>
          <w:lang w:val="it-IT"/>
        </w:rPr>
        <w:t>Il comitato ha notato come il progetto per la discarica di Magliano Romano, pur nella specificit</w:t>
      </w:r>
      <w:r>
        <w:rPr>
          <w:rFonts w:hAnsi="Book Antiqua" w:hint="default"/>
          <w:color w:val="262626"/>
          <w:u w:color="1a348d"/>
          <w:rtl w:val="0"/>
          <w:lang w:val="it-IT"/>
        </w:rPr>
        <w:t xml:space="preserve">à </w:t>
      </w:r>
      <w:r>
        <w:rPr>
          <w:rFonts w:ascii="Book Antiqua"/>
          <w:color w:val="262626"/>
          <w:u w:color="1a348d"/>
          <w:rtl w:val="0"/>
          <w:lang w:val="it-IT"/>
        </w:rPr>
        <w:t xml:space="preserve">del sito, rappresenti per certi versi un caso paradigmatico di come questi progetti siano andati sviluppandosi a macchia di leopardo, sia nel Lazio, sia nel resto d'Italia. Il progetto </w:t>
      </w:r>
      <w:r>
        <w:rPr>
          <w:rFonts w:hAnsi="Book Antiqua" w:hint="default"/>
          <w:color w:val="262626"/>
          <w:u w:color="1a348d"/>
          <w:rtl w:val="0"/>
          <w:lang w:val="it-IT"/>
        </w:rPr>
        <w:t xml:space="preserve">è </w:t>
      </w:r>
      <w:r>
        <w:rPr>
          <w:rFonts w:ascii="Book Antiqua"/>
          <w:color w:val="262626"/>
          <w:u w:color="1a348d"/>
          <w:rtl w:val="0"/>
          <w:lang w:val="it-IT"/>
        </w:rPr>
        <w:t xml:space="preserve">partito nel 2007 con l'autorizzazione per una discarica di inerti, me </w:t>
      </w:r>
      <w:r>
        <w:rPr>
          <w:rFonts w:hAnsi="Book Antiqua" w:hint="default"/>
          <w:color w:val="262626"/>
          <w:u w:color="1a348d"/>
          <w:rtl w:val="0"/>
          <w:lang w:val="it-IT"/>
        </w:rPr>
        <w:t xml:space="preserve">è </w:t>
      </w:r>
      <w:r>
        <w:rPr>
          <w:rFonts w:ascii="Book Antiqua"/>
          <w:color w:val="262626"/>
          <w:u w:color="1a348d"/>
          <w:rtl w:val="0"/>
          <w:lang w:val="it-IT"/>
        </w:rPr>
        <w:t xml:space="preserve">ancora in corso la valutazione della procedura VIA presso gli uffici della regione Lazio. Il proponente di questa discarica </w:t>
      </w:r>
      <w:r>
        <w:rPr>
          <w:rFonts w:hAnsi="Book Antiqua" w:hint="default"/>
          <w:color w:val="262626"/>
          <w:u w:color="1a348d"/>
          <w:rtl w:val="0"/>
          <w:lang w:val="it-IT"/>
        </w:rPr>
        <w:t xml:space="preserve">è </w:t>
      </w:r>
      <w:r>
        <w:rPr>
          <w:rFonts w:ascii="Book Antiqua"/>
          <w:color w:val="262626"/>
          <w:u w:color="1a348d"/>
          <w:rtl w:val="0"/>
          <w:lang w:val="it-IT"/>
        </w:rPr>
        <w:t xml:space="preserve">un privato, Idea 4 S.r.l. </w:t>
      </w:r>
    </w:p>
    <w:p>
      <w:pPr>
        <w:pStyle w:val="Normal"/>
        <w:widowControl w:val="0"/>
        <w:ind w:left="567" w:right="567" w:firstLine="0"/>
        <w:jc w:val="both"/>
        <w:rPr>
          <w:rFonts w:ascii="Book Antiqua" w:cs="Book Antiqua" w:hAnsi="Book Antiqua" w:eastAsia="Book Antiqua"/>
          <w:color w:val="262626"/>
          <w:u w:color="1a348d"/>
        </w:rPr>
      </w:pPr>
      <w:r>
        <w:rPr>
          <w:rFonts w:ascii="Book Antiqua"/>
          <w:color w:val="262626"/>
          <w:u w:color="1a348d"/>
          <w:rtl w:val="0"/>
          <w:lang w:val="it-IT"/>
        </w:rPr>
        <w:t>Partendo da un'attivit</w:t>
      </w:r>
      <w:r>
        <w:rPr>
          <w:rFonts w:hAnsi="Book Antiqua" w:hint="default"/>
          <w:color w:val="262626"/>
          <w:u w:color="1a348d"/>
          <w:rtl w:val="0"/>
          <w:lang w:val="it-IT"/>
        </w:rPr>
        <w:t xml:space="preserve">à </w:t>
      </w:r>
      <w:r>
        <w:rPr>
          <w:rFonts w:ascii="Book Antiqua"/>
          <w:color w:val="262626"/>
          <w:u w:color="1a348d"/>
          <w:rtl w:val="0"/>
          <w:lang w:val="it-IT"/>
        </w:rPr>
        <w:t>estrattiva, posto che l</w:t>
      </w:r>
      <w:r>
        <w:rPr>
          <w:rFonts w:hAnsi="Book Antiqua" w:hint="default"/>
          <w:color w:val="262626"/>
          <w:u w:color="1a348d"/>
          <w:rtl w:val="0"/>
          <w:lang w:val="it-IT"/>
        </w:rPr>
        <w:t xml:space="preserve">ì </w:t>
      </w:r>
      <w:r>
        <w:rPr>
          <w:rFonts w:ascii="Book Antiqua"/>
          <w:color w:val="262626"/>
          <w:u w:color="1a348d"/>
          <w:rtl w:val="0"/>
          <w:lang w:val="it-IT"/>
        </w:rPr>
        <w:t xml:space="preserve">vi era un'ex cava di tufo, si </w:t>
      </w:r>
      <w:r>
        <w:rPr>
          <w:rFonts w:hAnsi="Book Antiqua" w:hint="default"/>
          <w:color w:val="262626"/>
          <w:u w:color="1a348d"/>
          <w:rtl w:val="0"/>
          <w:lang w:val="it-IT"/>
        </w:rPr>
        <w:t xml:space="preserve">è </w:t>
      </w:r>
      <w:r>
        <w:rPr>
          <w:rFonts w:ascii="Book Antiqua"/>
          <w:color w:val="262626"/>
          <w:u w:color="1a348d"/>
          <w:rtl w:val="0"/>
          <w:lang w:val="it-IT"/>
        </w:rPr>
        <w:t>passati a una discarica per inerti attraverso una serie di vicissitudini complicate e comunque per gradi successivi, fino alla formulazione di una richiesta per una discarica di rifiuti speciali non pericolosi per un volume totale di 960.000 metri cubi. Nel progetto vi sono elementi concreti tali da far pensare che quello attuale sia soltanto un passaggio intermedio verso la realizzazione di un impianto a tutti gli effetti idoneo al conferimento di rifiuti solidi urbani. Tra questi elementi spicca la realizzazione, peraltro gi</w:t>
      </w:r>
      <w:r>
        <w:rPr>
          <w:rFonts w:hAnsi="Book Antiqua" w:hint="default"/>
          <w:color w:val="262626"/>
          <w:u w:color="1a348d"/>
          <w:rtl w:val="0"/>
          <w:lang w:val="it-IT"/>
        </w:rPr>
        <w:t xml:space="preserve">à </w:t>
      </w:r>
      <w:r>
        <w:rPr>
          <w:rFonts w:ascii="Book Antiqua"/>
          <w:color w:val="262626"/>
          <w:u w:color="1a348d"/>
          <w:rtl w:val="0"/>
          <w:lang w:val="it-IT"/>
        </w:rPr>
        <w:t xml:space="preserve">collaudata, di un sistema di captazione e di combustione del biogas, prodotto dall'ammasso di rifiuti abbancati. Come </w:t>
      </w:r>
      <w:r>
        <w:rPr>
          <w:rFonts w:hAnsi="Book Antiqua" w:hint="default"/>
          <w:color w:val="262626"/>
          <w:u w:color="1a348d"/>
          <w:rtl w:val="0"/>
          <w:lang w:val="it-IT"/>
        </w:rPr>
        <w:t xml:space="preserve">è </w:t>
      </w:r>
      <w:r>
        <w:rPr>
          <w:rFonts w:ascii="Book Antiqua"/>
          <w:color w:val="262626"/>
          <w:u w:color="1a348d"/>
          <w:rtl w:val="0"/>
          <w:lang w:val="it-IT"/>
        </w:rPr>
        <w:t xml:space="preserve">noto, infatti, i rifiuti speciali, per i quali, dato il progetto attuale, </w:t>
      </w:r>
      <w:r>
        <w:rPr>
          <w:rFonts w:hAnsi="Book Antiqua" w:hint="default"/>
          <w:color w:val="262626"/>
          <w:u w:color="1a348d"/>
          <w:rtl w:val="0"/>
          <w:lang w:val="it-IT"/>
        </w:rPr>
        <w:t xml:space="preserve">è </w:t>
      </w:r>
      <w:r>
        <w:rPr>
          <w:rFonts w:ascii="Book Antiqua"/>
          <w:color w:val="262626"/>
          <w:u w:color="1a348d"/>
          <w:rtl w:val="0"/>
          <w:lang w:val="it-IT"/>
        </w:rPr>
        <w:t>stata richiesta l'autorizzazione, non producono biogas, quindi, la societ</w:t>
      </w:r>
      <w:r>
        <w:rPr>
          <w:rFonts w:hAnsi="Book Antiqua" w:hint="default"/>
          <w:color w:val="262626"/>
          <w:u w:color="1a348d"/>
          <w:rtl w:val="0"/>
          <w:lang w:val="it-IT"/>
        </w:rPr>
        <w:t xml:space="preserve">à </w:t>
      </w:r>
      <w:r>
        <w:rPr>
          <w:rFonts w:ascii="Book Antiqua"/>
          <w:color w:val="262626"/>
          <w:u w:color="1a348d"/>
          <w:rtl w:val="0"/>
          <w:lang w:val="it-IT"/>
        </w:rPr>
        <w:t xml:space="preserve">in questione si </w:t>
      </w:r>
      <w:r>
        <w:rPr>
          <w:rFonts w:hAnsi="Book Antiqua" w:hint="default"/>
          <w:color w:val="262626"/>
          <w:u w:color="1a348d"/>
          <w:rtl w:val="0"/>
          <w:lang w:val="it-IT"/>
        </w:rPr>
        <w:t xml:space="preserve">è </w:t>
      </w:r>
      <w:r>
        <w:rPr>
          <w:rFonts w:ascii="Book Antiqua"/>
          <w:color w:val="262626"/>
          <w:u w:color="1a348d"/>
          <w:rtl w:val="0"/>
          <w:lang w:val="it-IT"/>
        </w:rPr>
        <w:t>avvantaggiata prevedendo l'impianto di captazione del biogas (un impianto, peraltro, non richiesto dalle normative sui rifiuti speciali). In questo quadro, dove sono da sottolineare la durata e la progressivit</w:t>
      </w:r>
      <w:r>
        <w:rPr>
          <w:rFonts w:hAnsi="Book Antiqua" w:hint="default"/>
          <w:color w:val="262626"/>
          <w:u w:color="1a348d"/>
          <w:rtl w:val="0"/>
          <w:lang w:val="it-IT"/>
        </w:rPr>
        <w:t xml:space="preserve">à </w:t>
      </w:r>
      <w:r>
        <w:rPr>
          <w:rFonts w:ascii="Book Antiqua"/>
          <w:color w:val="262626"/>
          <w:u w:color="1a348d"/>
          <w:rtl w:val="0"/>
          <w:lang w:val="it-IT"/>
        </w:rPr>
        <w:t xml:space="preserve">della questione, vi </w:t>
      </w:r>
      <w:r>
        <w:rPr>
          <w:rFonts w:hAnsi="Book Antiqua" w:hint="default"/>
          <w:color w:val="262626"/>
          <w:u w:color="1a348d"/>
          <w:rtl w:val="0"/>
          <w:lang w:val="it-IT"/>
        </w:rPr>
        <w:t xml:space="preserve">è </w:t>
      </w:r>
      <w:r>
        <w:rPr>
          <w:rFonts w:ascii="Book Antiqua"/>
          <w:color w:val="262626"/>
          <w:u w:color="1a348d"/>
          <w:rtl w:val="0"/>
          <w:lang w:val="it-IT"/>
        </w:rPr>
        <w:t>un effetto a cascata anche sul lungo periodo, cio</w:t>
      </w:r>
      <w:r>
        <w:rPr>
          <w:rFonts w:hAnsi="Book Antiqua" w:hint="default"/>
          <w:color w:val="262626"/>
          <w:u w:color="1a348d"/>
          <w:rtl w:val="0"/>
          <w:lang w:val="it-IT"/>
        </w:rPr>
        <w:t>è</w:t>
      </w:r>
      <w:r>
        <w:rPr>
          <w:rFonts w:ascii="Book Antiqua"/>
          <w:color w:val="262626"/>
          <w:u w:color="1a348d"/>
          <w:rtl w:val="0"/>
          <w:lang w:val="it-IT"/>
        </w:rPr>
        <w:t>, secondo il comitato, si tende ad abbassare l'attenzione della collettivit</w:t>
      </w:r>
      <w:r>
        <w:rPr>
          <w:rFonts w:hAnsi="Book Antiqua" w:hint="default"/>
          <w:color w:val="262626"/>
          <w:u w:color="1a348d"/>
          <w:rtl w:val="0"/>
          <w:lang w:val="it-IT"/>
        </w:rPr>
        <w:t xml:space="preserve">à </w:t>
      </w:r>
      <w:r>
        <w:rPr>
          <w:rFonts w:ascii="Book Antiqua"/>
          <w:color w:val="262626"/>
          <w:u w:color="1a348d"/>
          <w:rtl w:val="0"/>
          <w:lang w:val="it-IT"/>
        </w:rPr>
        <w:t xml:space="preserve">e anche dei mezzi di informazione. Il comitato, per capire come fosse strutturato il progetto e quale </w:t>
      </w:r>
      <w:r>
        <w:rPr>
          <w:rFonts w:ascii="Book Antiqua"/>
          <w:i w:val="1"/>
          <w:iCs w:val="1"/>
          <w:color w:val="262626"/>
          <w:u w:color="1a348d"/>
          <w:rtl w:val="0"/>
          <w:lang w:val="it-IT"/>
        </w:rPr>
        <w:t>iter</w:t>
      </w:r>
      <w:r>
        <w:rPr>
          <w:rFonts w:ascii="Book Antiqua"/>
          <w:color w:val="262626"/>
          <w:u w:color="1a348d"/>
          <w:rtl w:val="0"/>
          <w:lang w:val="it-IT"/>
        </w:rPr>
        <w:t xml:space="preserve"> burocratico e amministrativo fosse stato seguito, ha dovuto costituire un </w:t>
      </w:r>
      <w:r>
        <w:rPr>
          <w:rFonts w:ascii="Book Antiqua"/>
          <w:i w:val="1"/>
          <w:iCs w:val="1"/>
          <w:color w:val="262626"/>
          <w:u w:color="1a348d"/>
          <w:rtl w:val="0"/>
          <w:lang w:val="it-IT"/>
        </w:rPr>
        <w:t>team</w:t>
      </w:r>
      <w:r>
        <w:rPr>
          <w:rFonts w:ascii="Book Antiqua"/>
          <w:color w:val="262626"/>
          <w:u w:color="1a348d"/>
          <w:rtl w:val="0"/>
          <w:lang w:val="it-IT"/>
        </w:rPr>
        <w:t xml:space="preserve"> di tecnici composto da avvocati, geologi, dottori in scienze ambientali, architetti, geometri. Il punto critico, ulteriormente peggiorato dalla complessit</w:t>
      </w:r>
      <w:r>
        <w:rPr>
          <w:rFonts w:hAnsi="Book Antiqua" w:hint="default"/>
          <w:color w:val="262626"/>
          <w:u w:color="1a348d"/>
          <w:rtl w:val="0"/>
          <w:lang w:val="it-IT"/>
        </w:rPr>
        <w:t xml:space="preserve">à </w:t>
      </w:r>
      <w:r>
        <w:rPr>
          <w:rFonts w:ascii="Book Antiqua"/>
          <w:color w:val="262626"/>
          <w:u w:color="1a348d"/>
          <w:rtl w:val="0"/>
          <w:lang w:val="it-IT"/>
        </w:rPr>
        <w:t xml:space="preserve">indotta dal coinvolgimento di tanti enti, </w:t>
      </w:r>
      <w:r>
        <w:rPr>
          <w:rFonts w:hAnsi="Book Antiqua" w:hint="default"/>
          <w:color w:val="262626"/>
          <w:u w:color="1a348d"/>
          <w:rtl w:val="0"/>
          <w:lang w:val="it-IT"/>
        </w:rPr>
        <w:t xml:space="preserve">è </w:t>
      </w:r>
      <w:r>
        <w:rPr>
          <w:rFonts w:ascii="Book Antiqua"/>
          <w:color w:val="262626"/>
          <w:u w:color="1a348d"/>
          <w:rtl w:val="0"/>
          <w:lang w:val="it-IT"/>
        </w:rPr>
        <w:t>dato dal fatto che questi agiscono per competenze e su tempi diversi. in questo caso intervengono la regione, la provincia, il comune, la conferenza dei sindaci, gli enti di gestione dei parchi, l'ARPA, l</w:t>
      </w:r>
      <w:r>
        <w:rPr>
          <w:rFonts w:hAnsi="Book Antiqua" w:hint="default"/>
          <w:color w:val="262626"/>
          <w:u w:color="1a348d"/>
          <w:rtl w:val="0"/>
          <w:lang w:val="it-IT"/>
        </w:rPr>
        <w:t>’</w:t>
      </w:r>
      <w:r>
        <w:rPr>
          <w:rFonts w:ascii="Book Antiqua"/>
          <w:color w:val="262626"/>
          <w:u w:color="1a348d"/>
          <w:rtl w:val="0"/>
          <w:lang w:val="it-IT"/>
        </w:rPr>
        <w:t>Autorit</w:t>
      </w:r>
      <w:r>
        <w:rPr>
          <w:rFonts w:hAnsi="Book Antiqua" w:hint="default"/>
          <w:color w:val="262626"/>
          <w:u w:color="1a348d"/>
          <w:rtl w:val="0"/>
          <w:lang w:val="it-IT"/>
        </w:rPr>
        <w:t xml:space="preserve">à </w:t>
      </w:r>
      <w:r>
        <w:rPr>
          <w:rFonts w:ascii="Book Antiqua"/>
          <w:color w:val="262626"/>
          <w:u w:color="1a348d"/>
          <w:rtl w:val="0"/>
          <w:lang w:val="it-IT"/>
        </w:rPr>
        <w:t>di bacino del Tevere. Un ulteriore elemento di criticit</w:t>
      </w:r>
      <w:r>
        <w:rPr>
          <w:rFonts w:hAnsi="Book Antiqua" w:hint="default"/>
          <w:color w:val="262626"/>
          <w:u w:color="1a348d"/>
          <w:rtl w:val="0"/>
          <w:lang w:val="it-IT"/>
        </w:rPr>
        <w:t>à</w:t>
      </w:r>
      <w:r>
        <w:rPr>
          <w:rFonts w:ascii="Book Antiqua"/>
          <w:color w:val="262626"/>
          <w:u w:color="1a348d"/>
          <w:rtl w:val="0"/>
          <w:lang w:val="it-IT"/>
        </w:rPr>
        <w:t xml:space="preserve">, </w:t>
      </w:r>
      <w:r>
        <w:rPr>
          <w:rFonts w:hAnsi="Book Antiqua" w:hint="default"/>
          <w:color w:val="262626"/>
          <w:u w:color="1a348d"/>
          <w:rtl w:val="0"/>
          <w:lang w:val="it-IT"/>
        </w:rPr>
        <w:t xml:space="preserve">è </w:t>
      </w:r>
      <w:r>
        <w:rPr>
          <w:rFonts w:ascii="Book Antiqua"/>
          <w:color w:val="262626"/>
          <w:u w:color="1a348d"/>
          <w:rtl w:val="0"/>
          <w:lang w:val="it-IT"/>
        </w:rPr>
        <w:t>dato dalla localizzazione alle porte di Roma, citt</w:t>
      </w:r>
      <w:r>
        <w:rPr>
          <w:rFonts w:hAnsi="Book Antiqua" w:hint="default"/>
          <w:color w:val="262626"/>
          <w:u w:color="1a348d"/>
          <w:rtl w:val="0"/>
          <w:lang w:val="it-IT"/>
        </w:rPr>
        <w:t xml:space="preserve">à </w:t>
      </w:r>
      <w:r>
        <w:rPr>
          <w:rFonts w:ascii="Book Antiqua"/>
          <w:color w:val="262626"/>
          <w:u w:color="1a348d"/>
          <w:rtl w:val="0"/>
          <w:lang w:val="it-IT"/>
        </w:rPr>
        <w:t>che non ha mai risolto il problema dei rifiuti, considerando invece che la quasi totalit</w:t>
      </w:r>
      <w:r>
        <w:rPr>
          <w:rFonts w:hAnsi="Book Antiqua" w:hint="default"/>
          <w:color w:val="262626"/>
          <w:u w:color="1a348d"/>
          <w:rtl w:val="0"/>
          <w:lang w:val="it-IT"/>
        </w:rPr>
        <w:t xml:space="preserve">à </w:t>
      </w:r>
      <w:r>
        <w:rPr>
          <w:rFonts w:ascii="Book Antiqua"/>
          <w:color w:val="262626"/>
          <w:u w:color="1a348d"/>
          <w:rtl w:val="0"/>
          <w:lang w:val="it-IT"/>
        </w:rPr>
        <w:t xml:space="preserve">dei comuni dell'area fa raccolta differenziata porta a porta ormai da anni. </w:t>
      </w:r>
    </w:p>
    <w:p>
      <w:pPr>
        <w:pStyle w:val="Normal"/>
        <w:widowControl w:val="0"/>
        <w:ind w:left="567" w:right="567" w:firstLine="0"/>
        <w:jc w:val="both"/>
        <w:rPr>
          <w:rFonts w:ascii="Book Antiqua" w:cs="Book Antiqua" w:hAnsi="Book Antiqua" w:eastAsia="Book Antiqua"/>
          <w:color w:val="262626"/>
          <w:u w:color="1a348d"/>
        </w:rPr>
      </w:pPr>
      <w:r>
        <w:rPr>
          <w:rFonts w:ascii="Book Antiqua"/>
          <w:color w:val="262626"/>
          <w:u w:color="1a348d"/>
          <w:rtl w:val="0"/>
          <w:lang w:val="it-IT"/>
        </w:rPr>
        <w:t xml:space="preserve">La discarica </w:t>
      </w:r>
      <w:r>
        <w:rPr>
          <w:rFonts w:hAnsi="Book Antiqua" w:hint="default"/>
          <w:color w:val="262626"/>
          <w:u w:color="1a348d"/>
          <w:rtl w:val="0"/>
          <w:lang w:val="it-IT"/>
        </w:rPr>
        <w:t xml:space="preserve">è </w:t>
      </w:r>
      <w:r>
        <w:rPr>
          <w:rFonts w:ascii="Book Antiqua"/>
          <w:color w:val="262626"/>
          <w:u w:color="1a348d"/>
          <w:rtl w:val="0"/>
          <w:lang w:val="it-IT"/>
        </w:rPr>
        <w:t>ubicata a 500 metri dal Parco di Veio e a 1.000 metri dal Parco regionale del Treja.</w:t>
      </w:r>
    </w:p>
    <w:p>
      <w:pPr>
        <w:pStyle w:val="Normal"/>
        <w:widowControl w:val="0"/>
        <w:ind w:left="567" w:right="567" w:firstLine="0"/>
        <w:jc w:val="both"/>
        <w:rPr>
          <w:rFonts w:ascii="Book Antiqua" w:cs="Book Antiqua" w:hAnsi="Book Antiqua" w:eastAsia="Book Antiqua"/>
          <w:color w:val="262626"/>
          <w:u w:color="1a348d"/>
        </w:rPr>
      </w:pPr>
      <w:r>
        <w:rPr>
          <w:rFonts w:ascii="Book Antiqua"/>
          <w:color w:val="262626"/>
          <w:u w:color="1a348d"/>
          <w:rtl w:val="0"/>
          <w:lang w:val="it-IT"/>
        </w:rPr>
        <w:t xml:space="preserve">Nell'ambito delle due conferenze dei sindaci tenute da 17 comuni dell'area Cassia-Tiberina-Flaminia, costoro si sono espressi contro questa discarica, laddove una decina di comuni hanno addirittura deliberato contro la stessa; il comitato ha presentato alla regione Lazio 17.800 firme, raccolte nei comuni vicini, ma l'ufficio VIA continua a rinviare: secondo gli auditi nella speranza che il comitato, che ha creato un presidio aperto ventiquattro ore su ventiquattro, si stanchi. </w:t>
      </w:r>
    </w:p>
    <w:p>
      <w:pPr>
        <w:pStyle w:val="Normal"/>
        <w:widowControl w:val="0"/>
        <w:ind w:left="567" w:right="567" w:firstLine="0"/>
        <w:jc w:val="both"/>
        <w:rPr>
          <w:rFonts w:ascii="Book Antiqua" w:cs="Book Antiqua" w:hAnsi="Book Antiqua" w:eastAsia="Book Antiqua"/>
          <w:color w:val="262626"/>
          <w:u w:color="1a348d"/>
        </w:rPr>
      </w:pPr>
      <w:r>
        <w:rPr>
          <w:rFonts w:ascii="Book Antiqua"/>
          <w:color w:val="262626"/>
          <w:u w:color="1a348d"/>
          <w:rtl w:val="0"/>
          <w:lang w:val="it-IT"/>
        </w:rPr>
        <w:t>Secondo i dati in possesso del comitato, la societ</w:t>
      </w:r>
      <w:r>
        <w:rPr>
          <w:rFonts w:hAnsi="Book Antiqua" w:hint="default"/>
          <w:color w:val="262626"/>
          <w:u w:color="1a348d"/>
          <w:rtl w:val="0"/>
          <w:lang w:val="it-IT"/>
        </w:rPr>
        <w:t xml:space="preserve">à </w:t>
      </w:r>
      <w:r>
        <w:rPr>
          <w:rFonts w:ascii="Book Antiqua"/>
          <w:color w:val="262626"/>
          <w:u w:color="1a348d"/>
          <w:rtl w:val="0"/>
          <w:lang w:val="it-IT"/>
        </w:rPr>
        <w:t xml:space="preserve">Idea 4, nata tra il 2006 e il 2007, si </w:t>
      </w:r>
      <w:r>
        <w:rPr>
          <w:rFonts w:hAnsi="Book Antiqua" w:hint="default"/>
          <w:color w:val="262626"/>
          <w:u w:color="1a348d"/>
          <w:rtl w:val="0"/>
          <w:lang w:val="it-IT"/>
        </w:rPr>
        <w:t xml:space="preserve">è </w:t>
      </w:r>
      <w:r>
        <w:rPr>
          <w:rFonts w:ascii="Book Antiqua"/>
          <w:color w:val="262626"/>
          <w:u w:color="1a348d"/>
          <w:rtl w:val="0"/>
          <w:lang w:val="it-IT"/>
        </w:rPr>
        <w:t>inserita nel settore della gestione dei rifiuti pur non avendoli mai trattati perch</w:t>
      </w:r>
      <w:r>
        <w:rPr>
          <w:rFonts w:hAnsi="Book Antiqua" w:hint="default"/>
          <w:color w:val="262626"/>
          <w:u w:color="1a348d"/>
          <w:rtl w:val="0"/>
          <w:lang w:val="it-IT"/>
        </w:rPr>
        <w:t xml:space="preserve">é </w:t>
      </w:r>
      <w:r>
        <w:rPr>
          <w:rFonts w:ascii="Book Antiqua"/>
          <w:color w:val="262626"/>
          <w:u w:color="1a348d"/>
          <w:rtl w:val="0"/>
          <w:lang w:val="it-IT"/>
        </w:rPr>
        <w:t xml:space="preserve">si </w:t>
      </w:r>
      <w:r>
        <w:rPr>
          <w:rFonts w:hAnsi="Book Antiqua" w:hint="default"/>
          <w:color w:val="262626"/>
          <w:u w:color="1a348d"/>
          <w:rtl w:val="0"/>
          <w:lang w:val="it-IT"/>
        </w:rPr>
        <w:t xml:space="preserve">è </w:t>
      </w:r>
      <w:r>
        <w:rPr>
          <w:rFonts w:ascii="Book Antiqua"/>
          <w:color w:val="262626"/>
          <w:u w:color="1a348d"/>
          <w:rtl w:val="0"/>
          <w:lang w:val="it-IT"/>
        </w:rPr>
        <w:t xml:space="preserve">sempre occupata di edilizia (vendita di calce idrata); per quanto </w:t>
      </w:r>
      <w:r>
        <w:rPr>
          <w:rFonts w:hAnsi="Book Antiqua" w:hint="default"/>
          <w:color w:val="262626"/>
          <w:u w:color="1a348d"/>
          <w:rtl w:val="0"/>
          <w:lang w:val="it-IT"/>
        </w:rPr>
        <w:t xml:space="preserve">è </w:t>
      </w:r>
      <w:r>
        <w:rPr>
          <w:rFonts w:ascii="Book Antiqua"/>
          <w:color w:val="262626"/>
          <w:u w:color="1a348d"/>
          <w:rtl w:val="0"/>
          <w:lang w:val="it-IT"/>
        </w:rPr>
        <w:t xml:space="preserve">dato sapere al comitato il vecchio proprietario della cava </w:t>
      </w:r>
      <w:r>
        <w:rPr>
          <w:rFonts w:hAnsi="Book Antiqua" w:hint="default"/>
          <w:color w:val="262626"/>
          <w:u w:color="1a348d"/>
          <w:rtl w:val="0"/>
          <w:lang w:val="it-IT"/>
        </w:rPr>
        <w:t xml:space="preserve">è </w:t>
      </w:r>
      <w:r>
        <w:rPr>
          <w:rFonts w:ascii="Book Antiqua"/>
          <w:color w:val="262626"/>
          <w:u w:color="1a348d"/>
          <w:rtl w:val="0"/>
          <w:lang w:val="it-IT"/>
        </w:rPr>
        <w:t>parte della societ</w:t>
      </w:r>
      <w:r>
        <w:rPr>
          <w:rFonts w:hAnsi="Book Antiqua" w:hint="default"/>
          <w:color w:val="262626"/>
          <w:u w:color="1a348d"/>
          <w:rtl w:val="0"/>
          <w:lang w:val="it-IT"/>
        </w:rPr>
        <w:t xml:space="preserve">à </w:t>
      </w:r>
      <w:r>
        <w:rPr>
          <w:rFonts w:ascii="Book Antiqua"/>
          <w:color w:val="262626"/>
          <w:u w:color="1a348d"/>
          <w:rtl w:val="0"/>
          <w:lang w:val="it-IT"/>
        </w:rPr>
        <w:t>Idea 4 S.r.l., che avrebbe un capitale di 30.000 euro e un debito di circa 1.300.000 euro; non risultano dipendenti; se si entra nel sito della societ</w:t>
      </w:r>
      <w:r>
        <w:rPr>
          <w:rFonts w:hAnsi="Book Antiqua" w:hint="default"/>
          <w:color w:val="262626"/>
          <w:u w:color="1a348d"/>
          <w:rtl w:val="0"/>
          <w:lang w:val="it-IT"/>
        </w:rPr>
        <w:t>à</w:t>
      </w:r>
      <w:r>
        <w:rPr>
          <w:rFonts w:ascii="Book Antiqua"/>
          <w:color w:val="262626"/>
          <w:u w:color="1a348d"/>
          <w:rtl w:val="0"/>
          <w:lang w:val="it-IT"/>
        </w:rPr>
        <w:t>, risulta un indirizzo a Roma, a Vigne Nuove, un altro nella cava.</w:t>
      </w:r>
    </w:p>
    <w:p>
      <w:pPr>
        <w:pStyle w:val="Normal"/>
        <w:widowControl w:val="0"/>
        <w:ind w:left="567" w:right="567" w:firstLine="0"/>
        <w:jc w:val="both"/>
        <w:rPr>
          <w:rFonts w:ascii="Book Antiqua" w:cs="Book Antiqua" w:hAnsi="Book Antiqua" w:eastAsia="Book Antiqua"/>
          <w:color w:val="262626"/>
          <w:u w:color="1a348d"/>
        </w:rPr>
      </w:pPr>
      <w:r>
        <w:rPr>
          <w:rFonts w:ascii="Book Antiqua"/>
          <w:color w:val="262626"/>
          <w:u w:color="1a348d"/>
          <w:rtl w:val="0"/>
          <w:lang w:val="it-IT"/>
        </w:rPr>
        <w:t xml:space="preserve">La conferenza dei sindaci (che rappresenta 90-100.000 abitanti dell'area Tiberina, Cassia e Flaminia) per essere imparziale in merito alla questione, ha nominato un proprio tecnico di fiducia al quale ha fatto esaminare i documenti; sulla base della sua relazione, la conferenza si </w:t>
      </w:r>
      <w:r>
        <w:rPr>
          <w:rFonts w:hAnsi="Book Antiqua" w:hint="default"/>
          <w:color w:val="262626"/>
          <w:u w:color="1a348d"/>
          <w:rtl w:val="0"/>
          <w:lang w:val="it-IT"/>
        </w:rPr>
        <w:t xml:space="preserve">è </w:t>
      </w:r>
      <w:r>
        <w:rPr>
          <w:rFonts w:ascii="Book Antiqua"/>
          <w:color w:val="262626"/>
          <w:u w:color="1a348d"/>
          <w:rtl w:val="0"/>
          <w:lang w:val="it-IT"/>
        </w:rPr>
        <w:t>quindi espressa contro l'ipotesi di riclassificazione della discarica.</w:t>
      </w:r>
    </w:p>
    <w:p>
      <w:pPr>
        <w:pStyle w:val="Normal"/>
        <w:widowControl w:val="0"/>
        <w:ind w:left="567" w:right="567" w:firstLine="0"/>
        <w:jc w:val="both"/>
        <w:rPr>
          <w:rFonts w:ascii="Book Antiqua" w:cs="Book Antiqua" w:hAnsi="Book Antiqua" w:eastAsia="Book Antiqua"/>
          <w:color w:val="262626"/>
          <w:u w:color="1a348d"/>
        </w:rPr>
      </w:pPr>
      <w:r>
        <w:rPr>
          <w:rFonts w:ascii="Book Antiqua"/>
          <w:color w:val="262626"/>
          <w:u w:color="1a348d"/>
          <w:rtl w:val="0"/>
          <w:lang w:val="it-IT"/>
        </w:rPr>
        <w:t>Da un punto di vista tecnico, le criticit</w:t>
      </w:r>
      <w:r>
        <w:rPr>
          <w:rFonts w:hAnsi="Book Antiqua" w:hint="default"/>
          <w:color w:val="262626"/>
          <w:u w:color="1a348d"/>
          <w:rtl w:val="0"/>
          <w:lang w:val="it-IT"/>
        </w:rPr>
        <w:t xml:space="preserve">à </w:t>
      </w:r>
      <w:r>
        <w:rPr>
          <w:rFonts w:ascii="Book Antiqua"/>
          <w:color w:val="262626"/>
          <w:u w:color="1a348d"/>
          <w:rtl w:val="0"/>
          <w:lang w:val="it-IT"/>
        </w:rPr>
        <w:t xml:space="preserve">individuate, da tutti i soggetti coinvolti nella questione della discarica di Magliano Romano, sono di varia natura. </w:t>
      </w:r>
    </w:p>
    <w:p>
      <w:pPr>
        <w:pStyle w:val="Normal"/>
        <w:widowControl w:val="0"/>
        <w:ind w:left="567" w:right="567" w:firstLine="0"/>
        <w:jc w:val="both"/>
        <w:rPr>
          <w:rFonts w:ascii="Book Antiqua" w:cs="Book Antiqua" w:hAnsi="Book Antiqua" w:eastAsia="Book Antiqua"/>
          <w:color w:val="262626"/>
          <w:u w:color="1a348d"/>
        </w:rPr>
      </w:pPr>
      <w:r>
        <w:rPr>
          <w:rFonts w:ascii="Book Antiqua"/>
          <w:color w:val="262626"/>
          <w:u w:color="1a348d"/>
          <w:rtl w:val="0"/>
          <w:lang w:val="it-IT"/>
        </w:rPr>
        <w:t>E</w:t>
      </w:r>
      <w:r>
        <w:rPr>
          <w:rFonts w:hAnsi="Book Antiqua" w:hint="default"/>
          <w:color w:val="262626"/>
          <w:u w:color="1a348d"/>
          <w:rtl w:val="0"/>
          <w:lang w:val="it-IT"/>
        </w:rPr>
        <w:t xml:space="preserve">’ </w:t>
      </w:r>
      <w:r>
        <w:rPr>
          <w:rFonts w:ascii="Book Antiqua"/>
          <w:color w:val="262626"/>
          <w:u w:color="1a348d"/>
          <w:rtl w:val="0"/>
          <w:lang w:val="it-IT"/>
        </w:rPr>
        <w:t xml:space="preserve">stata misurata la distanza tra il sito della discarica e il centro di Magliano Romano, che </w:t>
      </w:r>
      <w:r>
        <w:rPr>
          <w:rFonts w:hAnsi="Book Antiqua" w:hint="default"/>
          <w:color w:val="262626"/>
          <w:u w:color="1a348d"/>
          <w:rtl w:val="0"/>
          <w:lang w:val="it-IT"/>
        </w:rPr>
        <w:t xml:space="preserve">è </w:t>
      </w:r>
      <w:r>
        <w:rPr>
          <w:rFonts w:ascii="Book Antiqua"/>
          <w:color w:val="262626"/>
          <w:u w:color="1a348d"/>
          <w:rtl w:val="0"/>
          <w:lang w:val="it-IT"/>
        </w:rPr>
        <w:t xml:space="preserve">di circa 800 metri; il piano di gestione dei rifiuti dalla regione Lazio dice che, per discariche di questo tipo, la distanza deve essere superiore ai 1.500 metri, quindi questo </w:t>
      </w:r>
      <w:r>
        <w:rPr>
          <w:rFonts w:hAnsi="Book Antiqua" w:hint="default"/>
          <w:color w:val="262626"/>
          <w:u w:color="1a348d"/>
          <w:rtl w:val="0"/>
          <w:lang w:val="it-IT"/>
        </w:rPr>
        <w:t xml:space="preserve">è </w:t>
      </w:r>
      <w:r>
        <w:rPr>
          <w:rFonts w:ascii="Book Antiqua"/>
          <w:color w:val="262626"/>
          <w:u w:color="1a348d"/>
          <w:rtl w:val="0"/>
          <w:lang w:val="it-IT"/>
        </w:rPr>
        <w:t xml:space="preserve">un elemento che da solo basterebbe per dire no alla riclassificazione. </w:t>
      </w:r>
    </w:p>
    <w:p>
      <w:pPr>
        <w:pStyle w:val="Normal"/>
        <w:widowControl w:val="0"/>
        <w:ind w:left="567" w:right="567" w:firstLine="0"/>
        <w:jc w:val="both"/>
        <w:rPr>
          <w:rFonts w:ascii="Book Antiqua" w:cs="Book Antiqua" w:hAnsi="Book Antiqua" w:eastAsia="Book Antiqua"/>
          <w:color w:val="262626"/>
          <w:u w:color="1a348d"/>
        </w:rPr>
      </w:pPr>
      <w:r>
        <w:rPr>
          <w:rFonts w:ascii="Book Antiqua"/>
          <w:color w:val="262626"/>
          <w:u w:color="1a348d"/>
          <w:rtl w:val="0"/>
          <w:lang w:val="it-IT"/>
        </w:rPr>
        <w:t>Un altro elemento critico attiene al fatto che una societ</w:t>
      </w:r>
      <w:r>
        <w:rPr>
          <w:rFonts w:hAnsi="Book Antiqua" w:hint="default"/>
          <w:color w:val="262626"/>
          <w:u w:color="1a348d"/>
          <w:rtl w:val="0"/>
          <w:lang w:val="it-IT"/>
        </w:rPr>
        <w:t xml:space="preserve">à </w:t>
      </w:r>
      <w:r>
        <w:rPr>
          <w:rFonts w:ascii="Book Antiqua"/>
          <w:color w:val="262626"/>
          <w:u w:color="1a348d"/>
          <w:rtl w:val="0"/>
          <w:lang w:val="it-IT"/>
        </w:rPr>
        <w:t xml:space="preserve">situata nelle immediate vicinanze della discarica, segue le indicazioni della normativa europea per la produzione di carne biologica, quindi </w:t>
      </w:r>
      <w:r>
        <w:rPr>
          <w:rFonts w:hAnsi="Book Antiqua" w:hint="default"/>
          <w:color w:val="262626"/>
          <w:u w:color="1a348d"/>
          <w:rtl w:val="0"/>
          <w:lang w:val="it-IT"/>
        </w:rPr>
        <w:t xml:space="preserve">è </w:t>
      </w:r>
      <w:r>
        <w:rPr>
          <w:rFonts w:ascii="Book Antiqua"/>
          <w:color w:val="262626"/>
          <w:u w:color="1a348d"/>
          <w:rtl w:val="0"/>
          <w:lang w:val="it-IT"/>
        </w:rPr>
        <w:t>certificata. Questo sarebbe un ulteriore elemento per dire no alla riclassificazione della discarica. In prossimit</w:t>
      </w:r>
      <w:r>
        <w:rPr>
          <w:rFonts w:hAnsi="Book Antiqua" w:hint="default"/>
          <w:color w:val="262626"/>
          <w:u w:color="1a348d"/>
          <w:rtl w:val="0"/>
          <w:lang w:val="it-IT"/>
        </w:rPr>
        <w:t xml:space="preserve">à </w:t>
      </w:r>
      <w:r>
        <w:rPr>
          <w:rFonts w:ascii="Book Antiqua"/>
          <w:color w:val="262626"/>
          <w:u w:color="1a348d"/>
          <w:rtl w:val="0"/>
          <w:lang w:val="it-IT"/>
        </w:rPr>
        <w:t>di quel sito c</w:t>
      </w:r>
      <w:r>
        <w:rPr>
          <w:rFonts w:hAnsi="Book Antiqua" w:hint="default"/>
          <w:color w:val="262626"/>
          <w:u w:color="1a348d"/>
          <w:rtl w:val="0"/>
          <w:lang w:val="it-IT"/>
        </w:rPr>
        <w:t xml:space="preserve">’è </w:t>
      </w:r>
      <w:r>
        <w:rPr>
          <w:rFonts w:ascii="Book Antiqua"/>
          <w:color w:val="262626"/>
          <w:u w:color="1a348d"/>
          <w:rtl w:val="0"/>
          <w:lang w:val="it-IT"/>
        </w:rPr>
        <w:t>un terreno dell'Arsial, l'azienda regionale del Lazio che gestisce anche il demanio pubblico e che recentemente ha messo a bando dei terreni; la vincitrice intende avviare un'attivit</w:t>
      </w:r>
      <w:r>
        <w:rPr>
          <w:rFonts w:hAnsi="Book Antiqua" w:hint="default"/>
          <w:color w:val="262626"/>
          <w:u w:color="1a348d"/>
          <w:rtl w:val="0"/>
          <w:lang w:val="it-IT"/>
        </w:rPr>
        <w:t xml:space="preserve">à </w:t>
      </w:r>
      <w:r>
        <w:rPr>
          <w:rFonts w:ascii="Book Antiqua"/>
          <w:color w:val="262626"/>
          <w:u w:color="1a348d"/>
          <w:rtl w:val="0"/>
          <w:lang w:val="it-IT"/>
        </w:rPr>
        <w:t xml:space="preserve">di allevamento biologico di carne bovina. </w:t>
      </w:r>
    </w:p>
    <w:p>
      <w:pPr>
        <w:pStyle w:val="Normal"/>
        <w:widowControl w:val="0"/>
        <w:ind w:left="567" w:right="567" w:firstLine="0"/>
        <w:jc w:val="both"/>
        <w:rPr>
          <w:rFonts w:ascii="Book Antiqua" w:cs="Book Antiqua" w:hAnsi="Book Antiqua" w:eastAsia="Book Antiqua"/>
          <w:color w:val="262626"/>
          <w:u w:color="1a348d"/>
        </w:rPr>
      </w:pPr>
      <w:r>
        <w:rPr>
          <w:rFonts w:ascii="Book Antiqua"/>
          <w:color w:val="262626"/>
          <w:u w:color="1a348d"/>
          <w:rtl w:val="0"/>
          <w:lang w:val="it-IT"/>
        </w:rPr>
        <w:t>La carta idrogeologica della regione Lazio dice che la falda sotto al piano della discarica si trova a 25 metri. Un altro dato oggettivo consiste nel fatto che nei Monti Sabatini, di origine vulcanica, la permeabilit</w:t>
      </w:r>
      <w:r>
        <w:rPr>
          <w:rFonts w:hAnsi="Book Antiqua" w:hint="default"/>
          <w:color w:val="262626"/>
          <w:u w:color="1a348d"/>
          <w:rtl w:val="0"/>
          <w:lang w:val="it-IT"/>
        </w:rPr>
        <w:t xml:space="preserve">à </w:t>
      </w:r>
      <w:r>
        <w:rPr>
          <w:rFonts w:ascii="Book Antiqua"/>
          <w:color w:val="262626"/>
          <w:u w:color="1a348d"/>
          <w:rtl w:val="0"/>
          <w:lang w:val="it-IT"/>
        </w:rPr>
        <w:t xml:space="preserve">delle rocce </w:t>
      </w:r>
      <w:r>
        <w:rPr>
          <w:rFonts w:hAnsi="Book Antiqua" w:hint="default"/>
          <w:color w:val="262626"/>
          <w:u w:color="1a348d"/>
          <w:rtl w:val="0"/>
          <w:lang w:val="it-IT"/>
        </w:rPr>
        <w:t xml:space="preserve">è </w:t>
      </w:r>
      <w:r>
        <w:rPr>
          <w:rFonts w:ascii="Book Antiqua"/>
          <w:color w:val="262626"/>
          <w:u w:color="1a348d"/>
          <w:rtl w:val="0"/>
          <w:lang w:val="it-IT"/>
        </w:rPr>
        <w:t>abbastanza alta. L</w:t>
      </w:r>
      <w:r>
        <w:rPr>
          <w:rFonts w:hAnsi="Book Antiqua" w:hint="default"/>
          <w:color w:val="262626"/>
          <w:u w:color="1a348d"/>
          <w:rtl w:val="0"/>
          <w:lang w:val="it-IT"/>
        </w:rPr>
        <w:t>’</w:t>
      </w:r>
      <w:r>
        <w:rPr>
          <w:rFonts w:ascii="Book Antiqua"/>
          <w:color w:val="262626"/>
          <w:u w:color="1a348d"/>
          <w:rtl w:val="0"/>
          <w:lang w:val="it-IT"/>
        </w:rPr>
        <w:t xml:space="preserve">acqua molto facilmente attraversa le rocce e ha l'attitudine ad arricchirsi di ioni di varia natura, in funzione del chimismo delle rocce e di qualunque altro tipo di materiale. Non ci sono fenomeni di bradisismo, ma  nelle immediate vicinanze ci sono campi di solfatare, infatti nel comune di Sacrofano e nel comune di Castelnuovo di Porto, a circa 1 chilometro di distanza dall'area, fino agli anni </w:t>
      </w:r>
      <w:r>
        <w:rPr>
          <w:rFonts w:hAnsi="Book Antiqua" w:hint="default"/>
          <w:color w:val="262626"/>
          <w:u w:color="1a348d"/>
          <w:rtl w:val="0"/>
          <w:lang w:val="it-IT"/>
        </w:rPr>
        <w:t>’</w:t>
      </w:r>
      <w:r>
        <w:rPr>
          <w:rFonts w:ascii="Book Antiqua"/>
          <w:color w:val="262626"/>
          <w:u w:color="1a348d"/>
          <w:rtl w:val="0"/>
          <w:lang w:val="it-IT"/>
        </w:rPr>
        <w:t xml:space="preserve">60 erano attive due industrie per lo sfruttamento dello zolfo. Il decreto legislativo n. 36 del 2003 ha stabilito che non </w:t>
      </w:r>
      <w:r>
        <w:rPr>
          <w:rFonts w:hAnsi="Book Antiqua" w:hint="default"/>
          <w:color w:val="262626"/>
          <w:u w:color="1a348d"/>
          <w:rtl w:val="0"/>
          <w:lang w:val="it-IT"/>
        </w:rPr>
        <w:t xml:space="preserve">è </w:t>
      </w:r>
      <w:r>
        <w:rPr>
          <w:rFonts w:ascii="Book Antiqua"/>
          <w:color w:val="262626"/>
          <w:u w:color="1a348d"/>
          <w:rtl w:val="0"/>
          <w:lang w:val="it-IT"/>
        </w:rPr>
        <w:t xml:space="preserve">possibile realizzare discariche nelle aree interessate da questi fenomeni. Il decreto legislativo n. 28 del 2011 individua le aree geotermiche: quella di cui si parla </w:t>
      </w:r>
      <w:r>
        <w:rPr>
          <w:rFonts w:hAnsi="Book Antiqua" w:hint="default"/>
          <w:color w:val="262626"/>
          <w:u w:color="1a348d"/>
          <w:rtl w:val="0"/>
          <w:lang w:val="it-IT"/>
        </w:rPr>
        <w:t xml:space="preserve">è </w:t>
      </w:r>
      <w:r>
        <w:rPr>
          <w:rFonts w:ascii="Book Antiqua"/>
          <w:color w:val="262626"/>
          <w:u w:color="1a348d"/>
          <w:rtl w:val="0"/>
          <w:lang w:val="it-IT"/>
        </w:rPr>
        <w:t>un'area geotermica perch</w:t>
      </w:r>
      <w:r>
        <w:rPr>
          <w:rFonts w:hAnsi="Book Antiqua" w:hint="default"/>
          <w:color w:val="262626"/>
          <w:u w:color="1a348d"/>
          <w:rtl w:val="0"/>
          <w:lang w:val="it-IT"/>
        </w:rPr>
        <w:t xml:space="preserve">é </w:t>
      </w:r>
      <w:r>
        <w:rPr>
          <w:rFonts w:ascii="Book Antiqua"/>
          <w:color w:val="262626"/>
          <w:u w:color="1a348d"/>
          <w:rtl w:val="0"/>
          <w:lang w:val="it-IT"/>
        </w:rPr>
        <w:t>la regione Lazio ha dato a una societ</w:t>
      </w:r>
      <w:r>
        <w:rPr>
          <w:rFonts w:hAnsi="Book Antiqua" w:hint="default"/>
          <w:color w:val="262626"/>
          <w:u w:color="1a348d"/>
          <w:rtl w:val="0"/>
          <w:lang w:val="it-IT"/>
        </w:rPr>
        <w:t xml:space="preserve">à </w:t>
      </w:r>
      <w:r>
        <w:rPr>
          <w:rFonts w:ascii="Book Antiqua"/>
          <w:color w:val="262626"/>
          <w:u w:color="1a348d"/>
          <w:rtl w:val="0"/>
          <w:lang w:val="it-IT"/>
        </w:rPr>
        <w:t>concessionaria la possibilit</w:t>
      </w:r>
      <w:r>
        <w:rPr>
          <w:rFonts w:hAnsi="Book Antiqua" w:hint="default"/>
          <w:color w:val="262626"/>
          <w:u w:color="1a348d"/>
          <w:rtl w:val="0"/>
          <w:lang w:val="it-IT"/>
        </w:rPr>
        <w:t xml:space="preserve">à </w:t>
      </w:r>
      <w:r>
        <w:rPr>
          <w:rFonts w:ascii="Book Antiqua"/>
          <w:color w:val="262626"/>
          <w:u w:color="1a348d"/>
          <w:rtl w:val="0"/>
          <w:lang w:val="it-IT"/>
        </w:rPr>
        <w:t>di fare esplorazioni per avviarne lo sfruttamento.</w:t>
      </w:r>
    </w:p>
    <w:p>
      <w:pPr>
        <w:pStyle w:val="Normal"/>
        <w:widowControl w:val="0"/>
        <w:ind w:left="567" w:right="567" w:firstLine="0"/>
        <w:jc w:val="both"/>
        <w:rPr>
          <w:rFonts w:ascii="Book Antiqua" w:cs="Book Antiqua" w:hAnsi="Book Antiqua" w:eastAsia="Book Antiqua"/>
          <w:color w:val="262626"/>
          <w:u w:color="1a348d"/>
        </w:rPr>
      </w:pPr>
      <w:r>
        <w:rPr>
          <w:rFonts w:ascii="Book Antiqua"/>
          <w:color w:val="262626"/>
          <w:u w:color="1a348d"/>
          <w:rtl w:val="0"/>
          <w:lang w:val="it-IT"/>
        </w:rPr>
        <w:t xml:space="preserve">Inoltre, la zona </w:t>
      </w:r>
      <w:r>
        <w:rPr>
          <w:rFonts w:hAnsi="Book Antiqua" w:hint="default"/>
          <w:color w:val="262626"/>
          <w:u w:color="1a348d"/>
          <w:rtl w:val="0"/>
          <w:lang w:val="it-IT"/>
        </w:rPr>
        <w:t xml:space="preserve">è </w:t>
      </w:r>
      <w:r>
        <w:rPr>
          <w:rFonts w:ascii="Book Antiqua"/>
          <w:color w:val="262626"/>
          <w:u w:color="1a348d"/>
          <w:rtl w:val="0"/>
          <w:lang w:val="it-IT"/>
        </w:rPr>
        <w:t xml:space="preserve">nel bacino della Valle del Treja, un'area in cui, nel 1982, </w:t>
      </w:r>
      <w:r>
        <w:rPr>
          <w:rFonts w:hAnsi="Book Antiqua" w:hint="default"/>
          <w:color w:val="262626"/>
          <w:u w:color="1a348d"/>
          <w:rtl w:val="0"/>
          <w:lang w:val="it-IT"/>
        </w:rPr>
        <w:t xml:space="preserve">è </w:t>
      </w:r>
      <w:r>
        <w:rPr>
          <w:rFonts w:ascii="Book Antiqua"/>
          <w:color w:val="262626"/>
          <w:u w:color="1a348d"/>
          <w:rtl w:val="0"/>
          <w:lang w:val="it-IT"/>
        </w:rPr>
        <w:t>stato istituito uno dei parchi storici del Lazio, il Parco della Valle del Treja, uno dei primi parchi del Lazio, con le cascate di Monte Gelato. Poco pi</w:t>
      </w:r>
      <w:r>
        <w:rPr>
          <w:rFonts w:hAnsi="Book Antiqua" w:hint="default"/>
          <w:color w:val="262626"/>
          <w:u w:color="1a348d"/>
          <w:rtl w:val="0"/>
          <w:lang w:val="it-IT"/>
        </w:rPr>
        <w:t xml:space="preserve">ù </w:t>
      </w:r>
      <w:r>
        <w:rPr>
          <w:rFonts w:ascii="Book Antiqua"/>
          <w:color w:val="262626"/>
          <w:u w:color="1a348d"/>
          <w:rtl w:val="0"/>
          <w:lang w:val="it-IT"/>
        </w:rPr>
        <w:t>a valle, a circa 4 chilometri, quindi nello stesso bacino idrografico, c</w:t>
      </w:r>
      <w:r>
        <w:rPr>
          <w:rFonts w:hAnsi="Book Antiqua" w:hint="default"/>
          <w:color w:val="262626"/>
          <w:u w:color="1a348d"/>
          <w:rtl w:val="0"/>
          <w:lang w:val="it-IT"/>
        </w:rPr>
        <w:t xml:space="preserve">’è </w:t>
      </w:r>
      <w:r>
        <w:rPr>
          <w:rFonts w:ascii="Book Antiqua"/>
          <w:color w:val="262626"/>
          <w:u w:color="1a348d"/>
          <w:rtl w:val="0"/>
          <w:lang w:val="it-IT"/>
        </w:rPr>
        <w:t xml:space="preserve">un SIC e ZPS, Fosso Cerreto, quindi un sito di importanza comunitaria inserito all'interno della Rete Natura 2000, per il quale l'Italia si </w:t>
      </w:r>
      <w:r>
        <w:rPr>
          <w:rFonts w:hAnsi="Book Antiqua" w:hint="default"/>
          <w:color w:val="262626"/>
          <w:u w:color="1a348d"/>
          <w:rtl w:val="0"/>
          <w:lang w:val="it-IT"/>
        </w:rPr>
        <w:t xml:space="preserve">è </w:t>
      </w:r>
      <w:r>
        <w:rPr>
          <w:rFonts w:ascii="Book Antiqua"/>
          <w:color w:val="262626"/>
          <w:u w:color="1a348d"/>
          <w:rtl w:val="0"/>
          <w:lang w:val="it-IT"/>
        </w:rPr>
        <w:t>impegnata a tutelare le specie della flora e della fauna presenti, nonch</w:t>
      </w:r>
      <w:r>
        <w:rPr>
          <w:rFonts w:hAnsi="Book Antiqua" w:hint="default"/>
          <w:color w:val="262626"/>
          <w:u w:color="1a348d"/>
          <w:rtl w:val="0"/>
          <w:lang w:val="it-IT"/>
        </w:rPr>
        <w:t xml:space="preserve">é </w:t>
      </w:r>
      <w:r>
        <w:rPr>
          <w:rFonts w:ascii="Book Antiqua"/>
          <w:color w:val="262626"/>
          <w:u w:color="1a348d"/>
          <w:rtl w:val="0"/>
          <w:lang w:val="it-IT"/>
        </w:rPr>
        <w:t>degli ecosistemi: molte specie della flora e della fauna sono legate all'acqua. Ancora, a circa 200 metri di distanza dalla discarica si trovano i pozzi da cui viene emunta l'acqua che serve la popolazione di Rignano Flaminio e Magliano Romano.</w:t>
      </w:r>
    </w:p>
    <w:p>
      <w:pPr>
        <w:pStyle w:val="Normal"/>
        <w:widowControl w:val="0"/>
        <w:ind w:left="567" w:right="567" w:firstLine="0"/>
        <w:jc w:val="both"/>
        <w:rPr>
          <w:rFonts w:ascii="Book Antiqua" w:cs="Book Antiqua" w:hAnsi="Book Antiqua" w:eastAsia="Book Antiqua"/>
          <w:color w:val="262626"/>
          <w:u w:color="1a348d"/>
        </w:rPr>
      </w:pPr>
    </w:p>
    <w:p>
      <w:pPr>
        <w:pStyle w:val="Normal"/>
        <w:widowControl w:val="0"/>
        <w:ind w:left="567" w:right="567" w:firstLine="0"/>
        <w:jc w:val="both"/>
        <w:rPr>
          <w:rFonts w:ascii="Book Antiqua" w:cs="Book Antiqua" w:hAnsi="Book Antiqua" w:eastAsia="Book Antiqua"/>
          <w:color w:val="262626"/>
          <w:u w:color="1a348d"/>
        </w:rPr>
      </w:pPr>
      <w:r>
        <w:rPr>
          <w:rFonts w:ascii="Book Antiqua"/>
          <w:color w:val="262626"/>
          <w:u w:color="1a348d"/>
          <w:rtl w:val="0"/>
          <w:lang w:val="it-IT"/>
        </w:rPr>
        <w:t xml:space="preserve">Il rappresentante del comitato Albano NoInc ha illustrato i problemi relativi alla discarica intercomunale di rifiuti solidi urbani di Roncigliano - Albano Laziale, che raccoglie il conferimento di dieci comuni dei Castelli romani e di altre zone, compresi Monterotondo e altri comuni a seguito di ordinanze prefettizie. </w:t>
      </w:r>
    </w:p>
    <w:p>
      <w:pPr>
        <w:pStyle w:val="Normal"/>
        <w:widowControl w:val="0"/>
        <w:ind w:left="567" w:right="567" w:firstLine="0"/>
        <w:jc w:val="both"/>
        <w:rPr>
          <w:rFonts w:ascii="Book Antiqua" w:cs="Book Antiqua" w:hAnsi="Book Antiqua" w:eastAsia="Book Antiqua"/>
          <w:color w:val="262626"/>
          <w:u w:color="1a348d"/>
        </w:rPr>
      </w:pPr>
      <w:r>
        <w:rPr>
          <w:rFonts w:ascii="Book Antiqua"/>
          <w:color w:val="262626"/>
          <w:u w:color="1a348d"/>
          <w:rtl w:val="0"/>
          <w:lang w:val="it-IT"/>
        </w:rPr>
        <w:t xml:space="preserve">Negli ultimi cinque anni, a fronte di situazioni critiche documentate, sia ARPA, sia dal CNR, si </w:t>
      </w:r>
      <w:r>
        <w:rPr>
          <w:rFonts w:hAnsi="Book Antiqua" w:hint="default"/>
          <w:color w:val="262626"/>
          <w:u w:color="1a348d"/>
          <w:rtl w:val="0"/>
          <w:lang w:val="it-IT"/>
        </w:rPr>
        <w:t xml:space="preserve">è </w:t>
      </w:r>
      <w:r>
        <w:rPr>
          <w:rFonts w:ascii="Book Antiqua"/>
          <w:color w:val="262626"/>
          <w:u w:color="1a348d"/>
          <w:rtl w:val="0"/>
          <w:lang w:val="it-IT"/>
        </w:rPr>
        <w:t xml:space="preserve">rilevata una situazione di inquinamento derivante dalla presenza di questa discarica, soprattutto delle falde acquifere. </w:t>
      </w:r>
    </w:p>
    <w:p>
      <w:pPr>
        <w:pStyle w:val="Normal"/>
        <w:widowControl w:val="0"/>
        <w:ind w:left="567" w:right="567" w:firstLine="0"/>
        <w:jc w:val="both"/>
        <w:rPr>
          <w:rFonts w:ascii="Book Antiqua" w:cs="Book Antiqua" w:hAnsi="Book Antiqua" w:eastAsia="Book Antiqua"/>
          <w:color w:val="262626"/>
          <w:u w:color="1a348d"/>
        </w:rPr>
      </w:pPr>
      <w:r>
        <w:rPr>
          <w:rFonts w:ascii="Book Antiqua"/>
          <w:color w:val="262626"/>
          <w:u w:color="1a348d"/>
          <w:rtl w:val="0"/>
          <w:lang w:val="it-IT"/>
        </w:rPr>
        <w:t xml:space="preserve">Una serie di episodi, documentati dalla stessa ARPA, testimoniano che a volte sono stati conferiti in quella discarica anche rifiuti non previsti dai rispettivi codici CER. </w:t>
      </w:r>
    </w:p>
    <w:p>
      <w:pPr>
        <w:pStyle w:val="Normal"/>
        <w:widowControl w:val="0"/>
        <w:ind w:left="567" w:right="567" w:firstLine="0"/>
        <w:jc w:val="both"/>
        <w:rPr>
          <w:rFonts w:ascii="Book Antiqua" w:cs="Book Antiqua" w:hAnsi="Book Antiqua" w:eastAsia="Book Antiqua"/>
          <w:color w:val="262626"/>
          <w:u w:color="1a348d"/>
        </w:rPr>
      </w:pPr>
      <w:r>
        <w:rPr>
          <w:rFonts w:ascii="Book Antiqua"/>
          <w:color w:val="262626"/>
          <w:u w:color="1a348d"/>
          <w:rtl w:val="0"/>
          <w:lang w:val="it-IT"/>
        </w:rPr>
        <w:t xml:space="preserve">In occasione della scadenza dell'autorizzazione integrata ambientale relativa all'ultimo degli invasi </w:t>
      </w:r>
      <w:r>
        <w:rPr>
          <w:rFonts w:hAnsi="Book Antiqua" w:hint="default"/>
          <w:color w:val="262626"/>
          <w:u w:color="1a348d"/>
          <w:rtl w:val="0"/>
          <w:lang w:val="it-IT"/>
        </w:rPr>
        <w:t xml:space="preserve">– </w:t>
      </w:r>
      <w:r>
        <w:rPr>
          <w:rFonts w:ascii="Book Antiqua"/>
          <w:color w:val="262626"/>
          <w:u w:color="1a348d"/>
          <w:rtl w:val="0"/>
          <w:lang w:val="it-IT"/>
        </w:rPr>
        <w:t xml:space="preserve">da 500.000 tonnellate </w:t>
      </w:r>
      <w:r>
        <w:rPr>
          <w:rFonts w:hAnsi="Book Antiqua" w:hint="default"/>
          <w:color w:val="262626"/>
          <w:u w:color="1a348d"/>
          <w:rtl w:val="0"/>
          <w:lang w:val="it-IT"/>
        </w:rPr>
        <w:t xml:space="preserve">– </w:t>
      </w:r>
      <w:r>
        <w:rPr>
          <w:rFonts w:ascii="Book Antiqua"/>
          <w:color w:val="262626"/>
          <w:u w:color="1a348d"/>
          <w:rtl w:val="0"/>
          <w:lang w:val="it-IT"/>
        </w:rPr>
        <w:t xml:space="preserve">della stessa discarica, l'ARPA Lazio ha accertato una serie di violazioni. </w:t>
      </w:r>
    </w:p>
    <w:p>
      <w:pPr>
        <w:pStyle w:val="Normal"/>
        <w:widowControl w:val="0"/>
        <w:ind w:left="567" w:right="567" w:firstLine="0"/>
        <w:jc w:val="both"/>
        <w:rPr>
          <w:rFonts w:ascii="Book Antiqua" w:cs="Book Antiqua" w:hAnsi="Book Antiqua" w:eastAsia="Book Antiqua"/>
          <w:color w:val="262626"/>
          <w:u w:color="1a348d"/>
        </w:rPr>
      </w:pPr>
      <w:r>
        <w:rPr>
          <w:rFonts w:ascii="Book Antiqua"/>
          <w:color w:val="262626"/>
          <w:u w:color="1a348d"/>
          <w:rtl w:val="0"/>
          <w:lang w:val="it-IT"/>
        </w:rPr>
        <w:t xml:space="preserve">Questa situazione era, a giudizio del comitato, tale da richiedere, da parte degli enti preposti, quantomeno l'intimazione all'immediata bonifica e alla chiusura precauzionale della stessa discarica, cosa che non </w:t>
      </w:r>
      <w:r>
        <w:rPr>
          <w:rFonts w:hAnsi="Book Antiqua" w:hint="default"/>
          <w:color w:val="262626"/>
          <w:u w:color="1a348d"/>
          <w:rtl w:val="0"/>
          <w:lang w:val="it-IT"/>
        </w:rPr>
        <w:t xml:space="preserve">è </w:t>
      </w:r>
      <w:r>
        <w:rPr>
          <w:rFonts w:ascii="Book Antiqua"/>
          <w:color w:val="262626"/>
          <w:u w:color="1a348d"/>
          <w:rtl w:val="0"/>
          <w:lang w:val="it-IT"/>
        </w:rPr>
        <w:t>avvenuta. La regione il 2 febbraio 2015, a seguito di un ponderoso resoconto dell'ARPA, ha emesso una diffida nei confronti della Pontina Ambiente, per cui, secondo una scadenza a 30 giorni, si prevedeva che la Pontina dovesse ottemperare a una parte delle criticit</w:t>
      </w:r>
      <w:r>
        <w:rPr>
          <w:rFonts w:hAnsi="Book Antiqua" w:hint="default"/>
          <w:color w:val="262626"/>
          <w:u w:color="1a348d"/>
          <w:rtl w:val="0"/>
          <w:lang w:val="it-IT"/>
        </w:rPr>
        <w:t xml:space="preserve">à </w:t>
      </w:r>
      <w:r>
        <w:rPr>
          <w:rFonts w:ascii="Book Antiqua"/>
          <w:color w:val="262626"/>
          <w:u w:color="1a348d"/>
          <w:rtl w:val="0"/>
          <w:lang w:val="it-IT"/>
        </w:rPr>
        <w:t xml:space="preserve">emerse. Tuttavia, a termini scaduti, il 20 aprile 2015, la regione Lazio ha emesso una nota in cui i 30 giorni sono diventati 180, con cui, quindi, praticamente, viene tutto spostato alla primavera del 2016, mentre la ASL e la popolazione residente attestano una insostenibile situazione igienico-ambientale, nel senso che l'aria </w:t>
      </w:r>
      <w:r>
        <w:rPr>
          <w:rFonts w:hAnsi="Book Antiqua" w:hint="default"/>
          <w:color w:val="262626"/>
          <w:u w:color="1a348d"/>
          <w:rtl w:val="0"/>
          <w:lang w:val="it-IT"/>
        </w:rPr>
        <w:t xml:space="preserve">è </w:t>
      </w:r>
      <w:r>
        <w:rPr>
          <w:rFonts w:ascii="Book Antiqua"/>
          <w:color w:val="262626"/>
          <w:u w:color="1a348d"/>
          <w:rtl w:val="0"/>
          <w:lang w:val="it-IT"/>
        </w:rPr>
        <w:t xml:space="preserve">irrespirabile, in particolare per i residenti del Villaggio Ardeatino e delle zone circostanti. </w:t>
      </w:r>
    </w:p>
    <w:p>
      <w:pPr>
        <w:pStyle w:val="Normal"/>
        <w:widowControl w:val="0"/>
        <w:ind w:left="567" w:right="567" w:firstLine="0"/>
        <w:jc w:val="both"/>
        <w:rPr>
          <w:rFonts w:ascii="Book Antiqua" w:cs="Book Antiqua" w:hAnsi="Book Antiqua" w:eastAsia="Book Antiqua"/>
          <w:color w:val="262626"/>
          <w:u w:color="1a348d"/>
        </w:rPr>
      </w:pPr>
      <w:r>
        <w:rPr>
          <w:rFonts w:ascii="Book Antiqua"/>
          <w:color w:val="262626"/>
          <w:u w:color="1a348d"/>
          <w:rtl w:val="0"/>
          <w:lang w:val="it-IT"/>
        </w:rPr>
        <w:t xml:space="preserve">La regione, anche a seguito di un incontro con la responsabile Flaminia Tosini, ha pensato che comunque che non fosse il caso di adottare misure drastiche su questo argomento. L'ARPA, infatti, aveva accertato profonde anomalie, una parte delle quali </w:t>
      </w:r>
      <w:r>
        <w:rPr>
          <w:rFonts w:hAnsi="Book Antiqua" w:hint="default"/>
          <w:color w:val="262626"/>
          <w:u w:color="1a348d"/>
          <w:rtl w:val="0"/>
          <w:lang w:val="it-IT"/>
        </w:rPr>
        <w:t xml:space="preserve">è </w:t>
      </w:r>
      <w:r>
        <w:rPr>
          <w:rFonts w:ascii="Book Antiqua"/>
          <w:color w:val="262626"/>
          <w:u w:color="1a348d"/>
          <w:rtl w:val="0"/>
          <w:lang w:val="it-IT"/>
        </w:rPr>
        <w:t>oggetto del processo Cerroni: l</w:t>
      </w:r>
      <w:r>
        <w:rPr>
          <w:rFonts w:hAnsi="Book Antiqua" w:hint="default"/>
          <w:color w:val="262626"/>
          <w:u w:color="1a348d"/>
          <w:rtl w:val="0"/>
          <w:lang w:val="it-IT"/>
        </w:rPr>
        <w:t xml:space="preserve">ì </w:t>
      </w:r>
      <w:r>
        <w:rPr>
          <w:rFonts w:ascii="Book Antiqua"/>
          <w:color w:val="262626"/>
          <w:u w:color="1a348d"/>
          <w:rtl w:val="0"/>
          <w:lang w:val="it-IT"/>
        </w:rPr>
        <w:t xml:space="preserve">si </w:t>
      </w:r>
      <w:r>
        <w:rPr>
          <w:rFonts w:hAnsi="Book Antiqua" w:hint="default"/>
          <w:color w:val="262626"/>
          <w:u w:color="1a348d"/>
          <w:rtl w:val="0"/>
          <w:lang w:val="it-IT"/>
        </w:rPr>
        <w:t xml:space="preserve">è </w:t>
      </w:r>
      <w:r>
        <w:rPr>
          <w:rFonts w:ascii="Book Antiqua"/>
          <w:color w:val="262626"/>
          <w:u w:color="1a348d"/>
          <w:rtl w:val="0"/>
          <w:lang w:val="it-IT"/>
        </w:rPr>
        <w:t>infatti esercitata, per anni, un'attivit</w:t>
      </w:r>
      <w:r>
        <w:rPr>
          <w:rFonts w:hAnsi="Book Antiqua" w:hint="default"/>
          <w:color w:val="262626"/>
          <w:u w:color="1a348d"/>
          <w:rtl w:val="0"/>
          <w:lang w:val="it-IT"/>
        </w:rPr>
        <w:t xml:space="preserve">à </w:t>
      </w:r>
      <w:r>
        <w:rPr>
          <w:rFonts w:ascii="Book Antiqua"/>
          <w:color w:val="262626"/>
          <w:u w:color="1a348d"/>
          <w:rtl w:val="0"/>
          <w:lang w:val="it-IT"/>
        </w:rPr>
        <w:t xml:space="preserve">truffaldina, laddove l'impianto di trattamento meccanico biologico </w:t>
      </w:r>
      <w:r>
        <w:rPr>
          <w:rFonts w:hAnsi="Book Antiqua" w:hint="default"/>
          <w:color w:val="262626"/>
          <w:u w:color="1a348d"/>
          <w:rtl w:val="0"/>
          <w:lang w:val="it-IT"/>
        </w:rPr>
        <w:t xml:space="preserve">è </w:t>
      </w:r>
      <w:r>
        <w:rPr>
          <w:rFonts w:ascii="Book Antiqua"/>
          <w:color w:val="262626"/>
          <w:u w:color="1a348d"/>
          <w:rtl w:val="0"/>
          <w:lang w:val="it-IT"/>
        </w:rPr>
        <w:t>fondamentale perch</w:t>
      </w:r>
      <w:r>
        <w:rPr>
          <w:rFonts w:hAnsi="Book Antiqua" w:hint="default"/>
          <w:color w:val="262626"/>
          <w:u w:color="1a348d"/>
          <w:rtl w:val="0"/>
          <w:lang w:val="it-IT"/>
        </w:rPr>
        <w:t xml:space="preserve">é </w:t>
      </w:r>
      <w:r>
        <w:rPr>
          <w:rFonts w:ascii="Book Antiqua"/>
          <w:color w:val="262626"/>
          <w:u w:color="1a348d"/>
          <w:rtl w:val="0"/>
          <w:lang w:val="it-IT"/>
        </w:rPr>
        <w:t>la discarica sia gestita in modo corretto, in quanto la frazione organica deve essere prestabilizzata. Poi, successivamente, questa si chiamer</w:t>
      </w:r>
      <w:r>
        <w:rPr>
          <w:rFonts w:hAnsi="Book Antiqua" w:hint="default"/>
          <w:color w:val="262626"/>
          <w:u w:color="1a348d"/>
          <w:rtl w:val="0"/>
          <w:lang w:val="it-IT"/>
        </w:rPr>
        <w:t xml:space="preserve">à </w:t>
      </w:r>
      <w:r>
        <w:rPr>
          <w:rFonts w:ascii="Book Antiqua"/>
          <w:color w:val="262626"/>
          <w:u w:color="1a348d"/>
          <w:rtl w:val="0"/>
          <w:lang w:val="it-IT"/>
        </w:rPr>
        <w:t>FOS e solo allora potr</w:t>
      </w:r>
      <w:r>
        <w:rPr>
          <w:rFonts w:hAnsi="Book Antiqua" w:hint="default"/>
          <w:color w:val="262626"/>
          <w:u w:color="1a348d"/>
          <w:rtl w:val="0"/>
          <w:lang w:val="it-IT"/>
        </w:rPr>
        <w:t xml:space="preserve">à </w:t>
      </w:r>
      <w:r>
        <w:rPr>
          <w:rFonts w:ascii="Book Antiqua"/>
          <w:color w:val="262626"/>
          <w:u w:color="1a348d"/>
          <w:rtl w:val="0"/>
          <w:lang w:val="it-IT"/>
        </w:rPr>
        <w:t>entrare in discarica. Tutto ci</w:t>
      </w:r>
      <w:r>
        <w:rPr>
          <w:rFonts w:hAnsi="Book Antiqua" w:hint="default"/>
          <w:color w:val="262626"/>
          <w:u w:color="1a348d"/>
          <w:rtl w:val="0"/>
          <w:lang w:val="it-IT"/>
        </w:rPr>
        <w:t>ò</w:t>
      </w:r>
      <w:r>
        <w:rPr>
          <w:rFonts w:ascii="Book Antiqua"/>
          <w:color w:val="262626"/>
          <w:u w:color="1a348d"/>
          <w:rtl w:val="0"/>
          <w:lang w:val="it-IT"/>
        </w:rPr>
        <w:t>, per</w:t>
      </w:r>
      <w:r>
        <w:rPr>
          <w:rFonts w:hAnsi="Book Antiqua" w:hint="default"/>
          <w:color w:val="262626"/>
          <w:u w:color="1a348d"/>
          <w:rtl w:val="0"/>
          <w:lang w:val="it-IT"/>
        </w:rPr>
        <w:t>ò</w:t>
      </w:r>
      <w:r>
        <w:rPr>
          <w:rFonts w:ascii="Book Antiqua"/>
          <w:color w:val="262626"/>
          <w:u w:color="1a348d"/>
          <w:rtl w:val="0"/>
          <w:lang w:val="it-IT"/>
        </w:rPr>
        <w:t xml:space="preserve">, non avveniva, come si </w:t>
      </w:r>
      <w:r>
        <w:rPr>
          <w:rFonts w:hAnsi="Book Antiqua" w:hint="default"/>
          <w:color w:val="262626"/>
          <w:u w:color="1a348d"/>
          <w:rtl w:val="0"/>
          <w:lang w:val="it-IT"/>
        </w:rPr>
        <w:t xml:space="preserve">è </w:t>
      </w:r>
      <w:r>
        <w:rPr>
          <w:rFonts w:ascii="Book Antiqua"/>
          <w:color w:val="262626"/>
          <w:u w:color="1a348d"/>
          <w:rtl w:val="0"/>
          <w:lang w:val="it-IT"/>
        </w:rPr>
        <w:t xml:space="preserve">scoperto attraverso le indagini dei NOE e i successivi approfondimenti dell'ARPA; si </w:t>
      </w:r>
      <w:r>
        <w:rPr>
          <w:rFonts w:hAnsi="Book Antiqua" w:hint="default"/>
          <w:color w:val="262626"/>
          <w:u w:color="1a348d"/>
          <w:rtl w:val="0"/>
          <w:lang w:val="it-IT"/>
        </w:rPr>
        <w:t xml:space="preserve">è </w:t>
      </w:r>
      <w:r>
        <w:rPr>
          <w:rFonts w:ascii="Book Antiqua"/>
          <w:color w:val="262626"/>
          <w:u w:color="1a348d"/>
          <w:rtl w:val="0"/>
          <w:lang w:val="it-IT"/>
        </w:rPr>
        <w:t>invece accertato che, di fatto, la frazione organica finiva in buona parte dentro la discarica di Roncigliano cos</w:t>
      </w:r>
      <w:r>
        <w:rPr>
          <w:rFonts w:hAnsi="Book Antiqua" w:hint="default"/>
          <w:color w:val="262626"/>
          <w:u w:color="1a348d"/>
          <w:rtl w:val="0"/>
          <w:lang w:val="it-IT"/>
        </w:rPr>
        <w:t xml:space="preserve">ì </w:t>
      </w:r>
      <w:r>
        <w:rPr>
          <w:rFonts w:ascii="Book Antiqua"/>
          <w:color w:val="262626"/>
          <w:u w:color="1a348d"/>
          <w:rtl w:val="0"/>
          <w:lang w:val="it-IT"/>
        </w:rPr>
        <w:t xml:space="preserve">come era e questo rende conto degli odori molesti: una discarica ben gestita, infatti, in cui l'organico </w:t>
      </w:r>
      <w:r>
        <w:rPr>
          <w:rFonts w:hAnsi="Book Antiqua" w:hint="default"/>
          <w:color w:val="262626"/>
          <w:u w:color="1a348d"/>
          <w:rtl w:val="0"/>
          <w:lang w:val="it-IT"/>
        </w:rPr>
        <w:t xml:space="preserve">è </w:t>
      </w:r>
      <w:r>
        <w:rPr>
          <w:rFonts w:ascii="Book Antiqua"/>
          <w:color w:val="262626"/>
          <w:u w:color="1a348d"/>
          <w:rtl w:val="0"/>
          <w:lang w:val="it-IT"/>
        </w:rPr>
        <w:t>stabilizzato, ha poche emissioni e comunque mai di questa dimensione. La stessa ARPA, in un sopralluogo al di sopra del settimo invaso, ha evidenziato che la quantit</w:t>
      </w:r>
      <w:r>
        <w:rPr>
          <w:rFonts w:hAnsi="Book Antiqua" w:hint="default"/>
          <w:color w:val="262626"/>
          <w:u w:color="1a348d"/>
          <w:rtl w:val="0"/>
          <w:lang w:val="it-IT"/>
        </w:rPr>
        <w:t xml:space="preserve">à </w:t>
      </w:r>
      <w:r>
        <w:rPr>
          <w:rFonts w:ascii="Book Antiqua"/>
          <w:color w:val="262626"/>
          <w:u w:color="1a348d"/>
          <w:rtl w:val="0"/>
          <w:lang w:val="it-IT"/>
        </w:rPr>
        <w:t xml:space="preserve">di rifiuto afferente </w:t>
      </w:r>
      <w:r>
        <w:rPr>
          <w:rFonts w:hAnsi="Book Antiqua" w:hint="default"/>
          <w:color w:val="262626"/>
          <w:u w:color="1a348d"/>
          <w:rtl w:val="0"/>
          <w:lang w:val="it-IT"/>
        </w:rPr>
        <w:t xml:space="preserve">è </w:t>
      </w:r>
      <w:r>
        <w:rPr>
          <w:rFonts w:ascii="Book Antiqua"/>
          <w:color w:val="262626"/>
          <w:u w:color="1a348d"/>
          <w:rtl w:val="0"/>
          <w:lang w:val="it-IT"/>
        </w:rPr>
        <w:t xml:space="preserve">superiore a quella prevista, trovando addirittura due laghi melmosi, visto che era gestito male anche l'asporto del percolato. </w:t>
      </w:r>
    </w:p>
    <w:p>
      <w:pPr>
        <w:pStyle w:val="Normal"/>
        <w:widowControl w:val="0"/>
        <w:ind w:left="567" w:right="567" w:firstLine="0"/>
        <w:jc w:val="both"/>
        <w:rPr>
          <w:rFonts w:ascii="Book Antiqua" w:cs="Book Antiqua" w:hAnsi="Book Antiqua" w:eastAsia="Book Antiqua"/>
          <w:color w:val="262626"/>
          <w:u w:color="1a348d"/>
        </w:rPr>
      </w:pPr>
      <w:r>
        <w:rPr>
          <w:rFonts w:ascii="Book Antiqua"/>
          <w:color w:val="262626"/>
          <w:u w:color="1a348d"/>
          <w:rtl w:val="0"/>
          <w:lang w:val="it-IT"/>
        </w:rPr>
        <w:t xml:space="preserve">Mentre la regione Lazio emetteva questa seconda nota, in cui spostava tutto alla primavera 2016, veniva emesso un bollettino informativo dell'ARPA, che a gennaio scorso ha eseguito un'altra campagna di rilievi su tutti i piezometri </w:t>
      </w:r>
      <w:r>
        <w:rPr>
          <w:rFonts w:hAnsi="Book Antiqua" w:hint="default"/>
          <w:color w:val="262626"/>
          <w:u w:color="1a348d"/>
          <w:rtl w:val="0"/>
          <w:lang w:val="it-IT"/>
        </w:rPr>
        <w:t xml:space="preserve">– </w:t>
      </w:r>
      <w:r>
        <w:rPr>
          <w:rFonts w:ascii="Book Antiqua"/>
          <w:color w:val="262626"/>
          <w:u w:color="1a348d"/>
          <w:rtl w:val="0"/>
          <w:lang w:val="it-IT"/>
        </w:rPr>
        <w:t xml:space="preserve">quindi i pozzi spia sottostanti alla discarica di Roncigliano </w:t>
      </w:r>
      <w:r>
        <w:rPr>
          <w:rFonts w:hAnsi="Book Antiqua" w:hint="default"/>
          <w:color w:val="262626"/>
          <w:u w:color="1a348d"/>
          <w:rtl w:val="0"/>
          <w:lang w:val="it-IT"/>
        </w:rPr>
        <w:t xml:space="preserve">– </w:t>
      </w:r>
      <w:r>
        <w:rPr>
          <w:rFonts w:ascii="Book Antiqua"/>
          <w:color w:val="262626"/>
          <w:u w:color="1a348d"/>
          <w:rtl w:val="0"/>
          <w:lang w:val="it-IT"/>
        </w:rPr>
        <w:t>e, per il quinto o sesto anno consecutivo, ha confermato la presenza in alcuni pozzi spia di inquinanti idrocarburici.</w:t>
      </w:r>
    </w:p>
    <w:p>
      <w:pPr>
        <w:pStyle w:val="Normal"/>
        <w:widowControl w:val="0"/>
        <w:ind w:left="567" w:right="567" w:firstLine="0"/>
        <w:jc w:val="both"/>
        <w:rPr>
          <w:rFonts w:ascii="Book Antiqua" w:cs="Book Antiqua" w:hAnsi="Book Antiqua" w:eastAsia="Book Antiqua"/>
          <w:color w:val="262626"/>
          <w:u w:color="1a348d"/>
        </w:rPr>
      </w:pPr>
      <w:r>
        <w:rPr>
          <w:rFonts w:ascii="Book Antiqua"/>
          <w:color w:val="262626"/>
          <w:u w:color="1a348d"/>
          <w:rtl w:val="0"/>
          <w:lang w:val="it-IT"/>
        </w:rPr>
        <w:t xml:space="preserve">La Pontina Ambiente dovrebbe soltanto ottemperare a degli obblighi che comportano la bonifica delle acque di falda, come si sta verificando per l'impianto di Guidonia, che </w:t>
      </w:r>
      <w:r>
        <w:rPr>
          <w:rFonts w:hAnsi="Book Antiqua" w:hint="default"/>
          <w:color w:val="262626"/>
          <w:u w:color="1a348d"/>
          <w:rtl w:val="0"/>
          <w:lang w:val="it-IT"/>
        </w:rPr>
        <w:t xml:space="preserve">è </w:t>
      </w:r>
      <w:r>
        <w:rPr>
          <w:rFonts w:ascii="Book Antiqua"/>
          <w:color w:val="262626"/>
          <w:u w:color="1a348d"/>
          <w:rtl w:val="0"/>
          <w:lang w:val="it-IT"/>
        </w:rPr>
        <w:t xml:space="preserve">sempre del gruppo Cerroni. </w:t>
      </w:r>
    </w:p>
    <w:p>
      <w:pPr>
        <w:pStyle w:val="Normal"/>
        <w:widowControl w:val="0"/>
        <w:ind w:left="567" w:right="567" w:firstLine="0"/>
        <w:jc w:val="both"/>
        <w:rPr>
          <w:rFonts w:ascii="Book Antiqua" w:cs="Book Antiqua" w:hAnsi="Book Antiqua" w:eastAsia="Book Antiqua"/>
          <w:color w:val="262626"/>
          <w:u w:color="1a348d"/>
        </w:rPr>
      </w:pPr>
      <w:r>
        <w:rPr>
          <w:rFonts w:ascii="Book Antiqua"/>
          <w:color w:val="262626"/>
          <w:u w:color="1a348d"/>
          <w:rtl w:val="0"/>
          <w:lang w:val="it-IT"/>
        </w:rPr>
        <w:t>L'ARPA ha detto chiaramente che la discarica di Roncigliano, cos</w:t>
      </w:r>
      <w:r>
        <w:rPr>
          <w:rFonts w:hAnsi="Book Antiqua" w:hint="default"/>
          <w:color w:val="262626"/>
          <w:u w:color="1a348d"/>
          <w:rtl w:val="0"/>
          <w:lang w:val="it-IT"/>
        </w:rPr>
        <w:t xml:space="preserve">ì </w:t>
      </w:r>
      <w:r>
        <w:rPr>
          <w:rFonts w:ascii="Book Antiqua"/>
          <w:color w:val="262626"/>
          <w:u w:color="1a348d"/>
          <w:rtl w:val="0"/>
          <w:lang w:val="it-IT"/>
        </w:rPr>
        <w:t xml:space="preserve">come altri complessi impiantistici, richiede, a fronte di segnalazioni di sforamenti di parametri sia organici che inorganici, una puntuale caratterizzazione esterna e interna idrogeologica, che non </w:t>
      </w:r>
      <w:r>
        <w:rPr>
          <w:rFonts w:hAnsi="Book Antiqua" w:hint="default"/>
          <w:color w:val="262626"/>
          <w:u w:color="1a348d"/>
          <w:rtl w:val="0"/>
          <w:lang w:val="it-IT"/>
        </w:rPr>
        <w:t xml:space="preserve">è </w:t>
      </w:r>
      <w:r>
        <w:rPr>
          <w:rFonts w:ascii="Book Antiqua"/>
          <w:color w:val="262626"/>
          <w:u w:color="1a348d"/>
          <w:rtl w:val="0"/>
          <w:lang w:val="it-IT"/>
        </w:rPr>
        <w:t xml:space="preserve">mai stata fatta. Nell'incontro ci si </w:t>
      </w:r>
      <w:r>
        <w:rPr>
          <w:rFonts w:hAnsi="Book Antiqua" w:hint="default"/>
          <w:color w:val="262626"/>
          <w:u w:color="1a348d"/>
          <w:rtl w:val="0"/>
          <w:lang w:val="it-IT"/>
        </w:rPr>
        <w:t xml:space="preserve">è </w:t>
      </w:r>
      <w:r>
        <w:rPr>
          <w:rFonts w:ascii="Book Antiqua"/>
          <w:color w:val="262626"/>
          <w:u w:color="1a348d"/>
          <w:rtl w:val="0"/>
          <w:lang w:val="it-IT"/>
        </w:rPr>
        <w:t>invece limitati a dire che la regione pensa di riesaminare l'AIA; avevano anche trascurato gli invasi tombati, cio</w:t>
      </w:r>
      <w:r>
        <w:rPr>
          <w:rFonts w:hAnsi="Book Antiqua" w:hint="default"/>
          <w:color w:val="262626"/>
          <w:u w:color="1a348d"/>
          <w:rtl w:val="0"/>
          <w:lang w:val="it-IT"/>
        </w:rPr>
        <w:t xml:space="preserve">è </w:t>
      </w:r>
      <w:r>
        <w:rPr>
          <w:rFonts w:ascii="Book Antiqua"/>
          <w:color w:val="262626"/>
          <w:u w:color="1a348d"/>
          <w:rtl w:val="0"/>
          <w:lang w:val="it-IT"/>
        </w:rPr>
        <w:t>sei ex invasi chiusi, che richiedono un intervento annuale di asporto del percolato e di monitoraggio nell'area, che non venivano fatti. Si tratta di attivit</w:t>
      </w:r>
      <w:r>
        <w:rPr>
          <w:rFonts w:hAnsi="Book Antiqua" w:hint="default"/>
          <w:color w:val="262626"/>
          <w:u w:color="1a348d"/>
          <w:rtl w:val="0"/>
          <w:lang w:val="it-IT"/>
        </w:rPr>
        <w:t xml:space="preserve">à </w:t>
      </w:r>
      <w:r>
        <w:rPr>
          <w:rFonts w:ascii="Book Antiqua"/>
          <w:color w:val="262626"/>
          <w:u w:color="1a348d"/>
          <w:rtl w:val="0"/>
          <w:lang w:val="it-IT"/>
        </w:rPr>
        <w:t xml:space="preserve">dimenticate, connesse al comprensorio, che quindi andavano in quell'AIA che era stata rilasciata nel 2009, in cui non venivano neanche compresi i due impianti a biogas della Marco Polo Engineering, che tra l'altro sono risultati eccedenti i limiti degli ossidi di azoto nell'ultimo rilievo dell'ARPA. </w:t>
      </w:r>
    </w:p>
    <w:p>
      <w:pPr>
        <w:pStyle w:val="Normal"/>
        <w:widowControl w:val="0"/>
        <w:ind w:left="567" w:right="567" w:firstLine="0"/>
        <w:jc w:val="both"/>
        <w:rPr>
          <w:rFonts w:ascii="Book Antiqua" w:cs="Book Antiqua" w:hAnsi="Book Antiqua" w:eastAsia="Book Antiqua"/>
          <w:color w:val="262626"/>
          <w:u w:color="1a348d"/>
        </w:rPr>
      </w:pPr>
      <w:r>
        <w:rPr>
          <w:rFonts w:ascii="Book Antiqua"/>
          <w:color w:val="262626"/>
          <w:u w:color="1a348d"/>
          <w:rtl w:val="0"/>
          <w:lang w:val="it-IT"/>
        </w:rPr>
        <w:t>Il settimo invaso, in cui sono abbancate circa 500.000 tonnellate a una profondit</w:t>
      </w:r>
      <w:r>
        <w:rPr>
          <w:rFonts w:hAnsi="Book Antiqua" w:hint="default"/>
          <w:color w:val="262626"/>
          <w:u w:color="1a348d"/>
          <w:rtl w:val="0"/>
          <w:lang w:val="it-IT"/>
        </w:rPr>
        <w:t xml:space="preserve">à </w:t>
      </w:r>
      <w:r>
        <w:rPr>
          <w:rFonts w:ascii="Book Antiqua"/>
          <w:color w:val="262626"/>
          <w:u w:color="1a348d"/>
          <w:rtl w:val="0"/>
          <w:lang w:val="it-IT"/>
        </w:rPr>
        <w:t xml:space="preserve">di oltre 30 metri, dovrebbe essere chiuso e si dovrebbe impedire che continui a ricevere acque piovane, le quali aggravano la situazione di quell'organico non stabilizzato, che poi finisce in putrefazione. </w:t>
      </w:r>
    </w:p>
    <w:p>
      <w:pPr>
        <w:pStyle w:val="Normal"/>
        <w:widowControl w:val="0"/>
        <w:ind w:left="567" w:right="567" w:firstLine="0"/>
        <w:jc w:val="both"/>
        <w:rPr>
          <w:rFonts w:ascii="Book Antiqua" w:cs="Book Antiqua" w:hAnsi="Book Antiqua" w:eastAsia="Book Antiqua"/>
          <w:color w:val="262626"/>
          <w:u w:color="1a348d"/>
        </w:rPr>
      </w:pPr>
      <w:r>
        <w:rPr>
          <w:rFonts w:ascii="Book Antiqua"/>
          <w:color w:val="262626"/>
          <w:u w:color="1a348d"/>
          <w:rtl w:val="0"/>
          <w:lang w:val="it-IT"/>
        </w:rPr>
        <w:t xml:space="preserve">Tra l'altro, emergono anche questi tentativi di mascherare le cose: la Pontina Ambiente si era inventata i neutralizzatori di odori, aveva messo dei diffusori a base di un terpene </w:t>
      </w:r>
      <w:r>
        <w:rPr>
          <w:rFonts w:hAnsi="Book Antiqua" w:hint="default"/>
          <w:color w:val="262626"/>
          <w:u w:color="1a348d"/>
          <w:rtl w:val="0"/>
          <w:lang w:val="it-IT"/>
        </w:rPr>
        <w:t xml:space="preserve">– </w:t>
      </w:r>
      <w:r>
        <w:rPr>
          <w:rFonts w:ascii="Book Antiqua"/>
          <w:color w:val="262626"/>
          <w:u w:color="1a348d"/>
          <w:rtl w:val="0"/>
          <w:lang w:val="it-IT"/>
        </w:rPr>
        <w:t xml:space="preserve">che si chiama limonene </w:t>
      </w:r>
      <w:r>
        <w:rPr>
          <w:rFonts w:hAnsi="Book Antiqua" w:hint="default"/>
          <w:color w:val="262626"/>
          <w:u w:color="1a348d"/>
          <w:rtl w:val="0"/>
          <w:lang w:val="it-IT"/>
        </w:rPr>
        <w:t xml:space="preserve">– </w:t>
      </w:r>
      <w:r>
        <w:rPr>
          <w:rFonts w:ascii="Book Antiqua"/>
          <w:color w:val="262626"/>
          <w:u w:color="1a348d"/>
          <w:rtl w:val="0"/>
          <w:lang w:val="it-IT"/>
        </w:rPr>
        <w:t xml:space="preserve">intorno al settimo invaso </w:t>
      </w:r>
      <w:r>
        <w:rPr>
          <w:rFonts w:hAnsi="Book Antiqua" w:hint="default"/>
          <w:color w:val="262626"/>
          <w:u w:color="1a348d"/>
          <w:rtl w:val="0"/>
          <w:lang w:val="it-IT"/>
        </w:rPr>
        <w:t xml:space="preserve">– </w:t>
      </w:r>
      <w:r>
        <w:rPr>
          <w:rFonts w:ascii="Book Antiqua"/>
          <w:color w:val="262626"/>
          <w:u w:color="1a348d"/>
          <w:rtl w:val="0"/>
          <w:lang w:val="it-IT"/>
        </w:rPr>
        <w:t>perch</w:t>
      </w:r>
      <w:r>
        <w:rPr>
          <w:rFonts w:hAnsi="Book Antiqua" w:hint="default"/>
          <w:color w:val="262626"/>
          <w:u w:color="1a348d"/>
          <w:rtl w:val="0"/>
          <w:lang w:val="it-IT"/>
        </w:rPr>
        <w:t xml:space="preserve">é </w:t>
      </w:r>
      <w:r>
        <w:rPr>
          <w:rFonts w:ascii="Book Antiqua"/>
          <w:color w:val="262626"/>
          <w:u w:color="1a348d"/>
          <w:rtl w:val="0"/>
          <w:lang w:val="it-IT"/>
        </w:rPr>
        <w:t xml:space="preserve">gli odori erano molto forti </w:t>
      </w:r>
      <w:r>
        <w:rPr>
          <w:rFonts w:hAnsi="Book Antiqua" w:hint="default"/>
          <w:color w:val="262626"/>
          <w:u w:color="1a348d"/>
          <w:rtl w:val="0"/>
          <w:lang w:val="it-IT"/>
        </w:rPr>
        <w:t xml:space="preserve">– </w:t>
      </w:r>
      <w:r>
        <w:rPr>
          <w:rFonts w:ascii="Book Antiqua"/>
          <w:color w:val="262626"/>
          <w:u w:color="1a348d"/>
          <w:rtl w:val="0"/>
          <w:lang w:val="it-IT"/>
        </w:rPr>
        <w:t>sperando che ci</w:t>
      </w:r>
      <w:r>
        <w:rPr>
          <w:rFonts w:hAnsi="Book Antiqua" w:hint="default"/>
          <w:color w:val="262626"/>
          <w:u w:color="1a348d"/>
          <w:rtl w:val="0"/>
          <w:lang w:val="it-IT"/>
        </w:rPr>
        <w:t xml:space="preserve">ò </w:t>
      </w:r>
      <w:r>
        <w:rPr>
          <w:rFonts w:ascii="Book Antiqua"/>
          <w:color w:val="262626"/>
          <w:u w:color="1a348d"/>
          <w:rtl w:val="0"/>
          <w:lang w:val="it-IT"/>
        </w:rPr>
        <w:t xml:space="preserve">le coprisse. Il problema, secondo il comitato, </w:t>
      </w:r>
      <w:r>
        <w:rPr>
          <w:rFonts w:hAnsi="Book Antiqua" w:hint="default"/>
          <w:color w:val="262626"/>
          <w:u w:color="1a348d"/>
          <w:rtl w:val="0"/>
          <w:lang w:val="it-IT"/>
        </w:rPr>
        <w:t xml:space="preserve">è </w:t>
      </w:r>
      <w:r>
        <w:rPr>
          <w:rFonts w:ascii="Book Antiqua"/>
          <w:color w:val="262626"/>
          <w:u w:color="1a348d"/>
          <w:rtl w:val="0"/>
          <w:lang w:val="it-IT"/>
        </w:rPr>
        <w:t>che la regione ritiene che l</w:t>
      </w:r>
      <w:r>
        <w:rPr>
          <w:rFonts w:hAnsi="Book Antiqua" w:hint="default"/>
          <w:color w:val="262626"/>
          <w:u w:color="1a348d"/>
          <w:rtl w:val="0"/>
          <w:lang w:val="it-IT"/>
        </w:rPr>
        <w:t>’</w:t>
      </w:r>
      <w:r>
        <w:rPr>
          <w:rFonts w:ascii="Book Antiqua"/>
          <w:color w:val="262626"/>
          <w:u w:color="1a348d"/>
          <w:rtl w:val="0"/>
          <w:lang w:val="it-IT"/>
        </w:rPr>
        <w:t>invaso vada portato a riempimento cos</w:t>
      </w:r>
      <w:r>
        <w:rPr>
          <w:rFonts w:hAnsi="Book Antiqua" w:hint="default"/>
          <w:color w:val="262626"/>
          <w:u w:color="1a348d"/>
          <w:rtl w:val="0"/>
          <w:lang w:val="it-IT"/>
        </w:rPr>
        <w:t xml:space="preserve">ì </w:t>
      </w:r>
      <w:r>
        <w:rPr>
          <w:rFonts w:ascii="Book Antiqua"/>
          <w:color w:val="262626"/>
          <w:u w:color="1a348d"/>
          <w:rtl w:val="0"/>
          <w:lang w:val="it-IT"/>
        </w:rPr>
        <w:t>come previsto: si parla di rinnovo dell'AIA, cio</w:t>
      </w:r>
      <w:r>
        <w:rPr>
          <w:rFonts w:hAnsi="Book Antiqua" w:hint="default"/>
          <w:color w:val="262626"/>
          <w:u w:color="1a348d"/>
          <w:rtl w:val="0"/>
          <w:lang w:val="it-IT"/>
        </w:rPr>
        <w:t xml:space="preserve">è </w:t>
      </w:r>
      <w:r>
        <w:rPr>
          <w:rFonts w:ascii="Book Antiqua"/>
          <w:color w:val="262626"/>
          <w:u w:color="1a348d"/>
          <w:rtl w:val="0"/>
          <w:lang w:val="it-IT"/>
        </w:rPr>
        <w:t xml:space="preserve">di conferenza di riesame finalizzata al rinnovo dell'AIA (hanno accettato anche i comitati in seno alla conferenza del riesame, quindi, formalmente </w:t>
      </w:r>
      <w:r>
        <w:rPr>
          <w:rFonts w:hAnsi="Book Antiqua" w:hint="default"/>
          <w:color w:val="262626"/>
          <w:u w:color="1a348d"/>
          <w:rtl w:val="0"/>
          <w:lang w:val="it-IT"/>
        </w:rPr>
        <w:t xml:space="preserve">è </w:t>
      </w:r>
      <w:r>
        <w:rPr>
          <w:rFonts w:ascii="Book Antiqua"/>
          <w:color w:val="262626"/>
          <w:u w:color="1a348d"/>
          <w:rtl w:val="0"/>
          <w:lang w:val="it-IT"/>
        </w:rPr>
        <w:t>partita anche se non ancora convocata e si parla di questo, non di chiusura). Il TMB funziona, ma non si sa con precisione come: secondo le dichiarazioni della Pontina Ambiente, nei piani annuali che presenta, prevede che vi sia una quota di CDR (che viene separato e va a Colleferro), una quota di vetri, metalli e altri materiali (che vanno a riciclo) e il resto in discarica. Il comitato pur avendo fatto richiesta di accesso agli atti, non ha avuto a disposizione la documentazione relativa.</w:t>
      </w:r>
    </w:p>
    <w:p>
      <w:pPr>
        <w:pStyle w:val="Normal"/>
        <w:widowControl w:val="0"/>
        <w:ind w:left="567" w:right="567" w:firstLine="0"/>
        <w:jc w:val="both"/>
        <w:rPr>
          <w:rFonts w:ascii="Book Antiqua" w:cs="Book Antiqua" w:hAnsi="Book Antiqua" w:eastAsia="Book Antiqua"/>
          <w:color w:val="262626"/>
          <w:u w:color="1a348d"/>
        </w:rPr>
      </w:pPr>
    </w:p>
    <w:p>
      <w:pPr>
        <w:pStyle w:val="Normal"/>
        <w:widowControl w:val="0"/>
        <w:ind w:left="567" w:right="567" w:firstLine="0"/>
        <w:jc w:val="both"/>
        <w:rPr>
          <w:rFonts w:ascii="Book Antiqua" w:cs="Book Antiqua" w:hAnsi="Book Antiqua" w:eastAsia="Book Antiqua"/>
          <w:color w:val="262626"/>
          <w:u w:color="1a348d"/>
        </w:rPr>
      </w:pPr>
      <w:r>
        <w:rPr>
          <w:rFonts w:ascii="Book Antiqua"/>
          <w:color w:val="262626"/>
          <w:u w:color="1a348d"/>
          <w:rtl w:val="0"/>
          <w:lang w:val="it-IT"/>
        </w:rPr>
        <w:t>Oggetto dell</w:t>
      </w:r>
      <w:r>
        <w:rPr>
          <w:rFonts w:hAnsi="Book Antiqua" w:hint="default"/>
          <w:color w:val="262626"/>
          <w:u w:color="1a348d"/>
          <w:rtl w:val="0"/>
          <w:lang w:val="it-IT"/>
        </w:rPr>
        <w:t>’</w:t>
      </w:r>
      <w:r>
        <w:rPr>
          <w:rFonts w:ascii="Book Antiqua"/>
          <w:color w:val="262626"/>
          <w:u w:color="1a348d"/>
          <w:rtl w:val="0"/>
          <w:lang w:val="it-IT"/>
        </w:rPr>
        <w:t>attivit</w:t>
      </w:r>
      <w:r>
        <w:rPr>
          <w:rFonts w:hAnsi="Book Antiqua" w:hint="default"/>
          <w:color w:val="262626"/>
          <w:u w:color="1a348d"/>
          <w:rtl w:val="0"/>
          <w:lang w:val="it-IT"/>
        </w:rPr>
        <w:t xml:space="preserve">à </w:t>
      </w:r>
      <w:r>
        <w:rPr>
          <w:rFonts w:ascii="Book Antiqua"/>
          <w:color w:val="262626"/>
          <w:u w:color="1a348d"/>
          <w:rtl w:val="0"/>
          <w:lang w:val="it-IT"/>
        </w:rPr>
        <w:t xml:space="preserve">del comitato Cittadini di Bracciano in movimento, </w:t>
      </w:r>
      <w:r>
        <w:rPr>
          <w:rFonts w:hAnsi="Book Antiqua" w:hint="default"/>
          <w:color w:val="262626"/>
          <w:u w:color="1a348d"/>
          <w:rtl w:val="0"/>
          <w:lang w:val="it-IT"/>
        </w:rPr>
        <w:t xml:space="preserve">è </w:t>
      </w:r>
      <w:r>
        <w:rPr>
          <w:rFonts w:ascii="Book Antiqua"/>
          <w:color w:val="262626"/>
          <w:u w:color="1a348d"/>
          <w:rtl w:val="0"/>
          <w:lang w:val="it-IT"/>
        </w:rPr>
        <w:t>principalmente la discarica di Cupinoro, che nacque su dei terreni dell'Universit</w:t>
      </w:r>
      <w:r>
        <w:rPr>
          <w:rFonts w:hAnsi="Book Antiqua" w:hint="default"/>
          <w:color w:val="262626"/>
          <w:u w:color="1a348d"/>
          <w:rtl w:val="0"/>
          <w:lang w:val="it-IT"/>
        </w:rPr>
        <w:t xml:space="preserve">à </w:t>
      </w:r>
      <w:r>
        <w:rPr>
          <w:rFonts w:ascii="Book Antiqua"/>
          <w:color w:val="262626"/>
          <w:u w:color="1a348d"/>
          <w:rtl w:val="0"/>
          <w:lang w:val="it-IT"/>
        </w:rPr>
        <w:t xml:space="preserve">agraria di Bracciano, la quale nel 1991 diede il beneplacito per aprire questa discarica e proseguire con il conferimento dei rifiuti per 25 comuni. Nel 2004 </w:t>
      </w:r>
      <w:r>
        <w:rPr>
          <w:rFonts w:hAnsi="Book Antiqua" w:hint="default"/>
          <w:color w:val="262626"/>
          <w:u w:color="1a348d"/>
          <w:rtl w:val="0"/>
          <w:lang w:val="it-IT"/>
        </w:rPr>
        <w:t xml:space="preserve">è </w:t>
      </w:r>
      <w:r>
        <w:rPr>
          <w:rFonts w:ascii="Book Antiqua"/>
          <w:color w:val="262626"/>
          <w:u w:color="1a348d"/>
          <w:rtl w:val="0"/>
          <w:lang w:val="it-IT"/>
        </w:rPr>
        <w:t>stata costituita Bracciano Ambiente, societ</w:t>
      </w:r>
      <w:r>
        <w:rPr>
          <w:rFonts w:hAnsi="Book Antiqua" w:hint="default"/>
          <w:color w:val="262626"/>
          <w:u w:color="1a348d"/>
          <w:rtl w:val="0"/>
          <w:lang w:val="it-IT"/>
        </w:rPr>
        <w:t xml:space="preserve">à </w:t>
      </w:r>
      <w:r>
        <w:rPr>
          <w:rFonts w:ascii="Book Antiqua"/>
          <w:color w:val="262626"/>
          <w:u w:color="1a348d"/>
          <w:rtl w:val="0"/>
          <w:lang w:val="it-IT"/>
        </w:rPr>
        <w:t xml:space="preserve">della quale il comune di Bracciano </w:t>
      </w:r>
      <w:r>
        <w:rPr>
          <w:rFonts w:hAnsi="Book Antiqua" w:hint="default"/>
          <w:color w:val="262626"/>
          <w:u w:color="1a348d"/>
          <w:rtl w:val="0"/>
          <w:lang w:val="it-IT"/>
        </w:rPr>
        <w:t xml:space="preserve">è </w:t>
      </w:r>
      <w:r>
        <w:rPr>
          <w:rFonts w:ascii="Book Antiqua"/>
          <w:color w:val="262626"/>
          <w:u w:color="1a348d"/>
          <w:rtl w:val="0"/>
          <w:lang w:val="it-IT"/>
        </w:rPr>
        <w:t xml:space="preserve">socio unico al cento per cento. L'obiettivo era quello di sostituire tutte le ditte private nella gestione del conferimento dei rifiuti e portare la discarica al compimento della sua totale capienza, che era di circa 2,2 milioni di metri cubi. I problemi sono nati da tempo: i cittadini protestavano per il conferimento di rifiuti talquale che non subivano trattamento. Il territorio </w:t>
      </w:r>
      <w:r>
        <w:rPr>
          <w:rFonts w:hAnsi="Book Antiqua" w:hint="default"/>
          <w:color w:val="262626"/>
          <w:u w:color="1a348d"/>
          <w:rtl w:val="0"/>
          <w:lang w:val="it-IT"/>
        </w:rPr>
        <w:t xml:space="preserve">è </w:t>
      </w:r>
      <w:r>
        <w:rPr>
          <w:rFonts w:ascii="Book Antiqua"/>
          <w:color w:val="262626"/>
          <w:u w:color="1a348d"/>
          <w:rtl w:val="0"/>
          <w:lang w:val="it-IT"/>
        </w:rPr>
        <w:t>agricolo, quindi ci sono vincoli ZPS e SIC, nonch</w:t>
      </w:r>
      <w:r>
        <w:rPr>
          <w:rFonts w:hAnsi="Book Antiqua" w:hint="default"/>
          <w:color w:val="262626"/>
          <w:u w:color="1a348d"/>
          <w:rtl w:val="0"/>
          <w:lang w:val="it-IT"/>
        </w:rPr>
        <w:t xml:space="preserve">é </w:t>
      </w:r>
      <w:r>
        <w:rPr>
          <w:rFonts w:ascii="Book Antiqua"/>
          <w:color w:val="262626"/>
          <w:u w:color="1a348d"/>
          <w:rtl w:val="0"/>
          <w:lang w:val="it-IT"/>
        </w:rPr>
        <w:t xml:space="preserve">falde acquifere sotterranee, che recapitano sia nel Lago di Bracciano, sia nei comuni limitrofi. Inoltre le prime abitazioni vicino alla discarica sono a circa 500 metri, mentre i primi agricoltori e allevatori di bestiame sono a circa un chilometro. </w:t>
      </w:r>
    </w:p>
    <w:p>
      <w:pPr>
        <w:pStyle w:val="Normal"/>
        <w:widowControl w:val="0"/>
        <w:ind w:left="567" w:right="567" w:firstLine="0"/>
        <w:jc w:val="both"/>
        <w:rPr>
          <w:rFonts w:ascii="Book Antiqua" w:cs="Book Antiqua" w:hAnsi="Book Antiqua" w:eastAsia="Book Antiqua"/>
          <w:color w:val="262626"/>
          <w:u w:color="1a348d"/>
        </w:rPr>
      </w:pPr>
      <w:r>
        <w:rPr>
          <w:rFonts w:ascii="Book Antiqua"/>
          <w:color w:val="262626"/>
          <w:u w:color="1a348d"/>
          <w:rtl w:val="0"/>
          <w:lang w:val="it-IT"/>
        </w:rPr>
        <w:t>Il comitato ha iniziato a lavorare sulla discarica perch</w:t>
      </w:r>
      <w:r>
        <w:rPr>
          <w:rFonts w:hAnsi="Book Antiqua" w:hint="default"/>
          <w:color w:val="262626"/>
          <w:u w:color="1a348d"/>
          <w:rtl w:val="0"/>
          <w:lang w:val="it-IT"/>
        </w:rPr>
        <w:t xml:space="preserve">é </w:t>
      </w:r>
      <w:r>
        <w:rPr>
          <w:rFonts w:ascii="Book Antiqua"/>
          <w:color w:val="262626"/>
          <w:u w:color="1a348d"/>
          <w:rtl w:val="0"/>
          <w:lang w:val="it-IT"/>
        </w:rPr>
        <w:t xml:space="preserve">la vicenda sembrava non volere trovare una fine; l'allargamento </w:t>
      </w:r>
      <w:r>
        <w:rPr>
          <w:rFonts w:hAnsi="Book Antiqua" w:hint="default"/>
          <w:color w:val="262626"/>
          <w:u w:color="1a348d"/>
          <w:rtl w:val="0"/>
          <w:lang w:val="it-IT"/>
        </w:rPr>
        <w:t xml:space="preserve">è </w:t>
      </w:r>
      <w:r>
        <w:rPr>
          <w:rFonts w:ascii="Book Antiqua"/>
          <w:color w:val="262626"/>
          <w:u w:color="1a348d"/>
          <w:rtl w:val="0"/>
          <w:lang w:val="it-IT"/>
        </w:rPr>
        <w:t>iniziato attraverso una politica sia locale, sia regionale, fino ad arrivare al commissario Sottile, che nel 2014 inizi</w:t>
      </w:r>
      <w:r>
        <w:rPr>
          <w:rFonts w:hAnsi="Book Antiqua" w:hint="default"/>
          <w:color w:val="262626"/>
          <w:u w:color="1a348d"/>
          <w:rtl w:val="0"/>
          <w:lang w:val="it-IT"/>
        </w:rPr>
        <w:t xml:space="preserve">ò </w:t>
      </w:r>
      <w:r>
        <w:rPr>
          <w:rFonts w:ascii="Book Antiqua"/>
          <w:color w:val="262626"/>
          <w:u w:color="1a348d"/>
          <w:rtl w:val="0"/>
          <w:lang w:val="it-IT"/>
        </w:rPr>
        <w:t xml:space="preserve">a far conferire all'interno di Cupinoro nuovi rifiuti provenienti non solo dagli originari 25 comuni, ma anche da Fiumicino, Roma, dal Vaticano e da altri comuni limitrofi quando </w:t>
      </w:r>
      <w:r>
        <w:rPr>
          <w:rFonts w:hAnsi="Book Antiqua" w:hint="default"/>
          <w:color w:val="262626"/>
          <w:u w:color="1a348d"/>
          <w:rtl w:val="0"/>
          <w:lang w:val="it-IT"/>
        </w:rPr>
        <w:t xml:space="preserve">è </w:t>
      </w:r>
      <w:r>
        <w:rPr>
          <w:rFonts w:ascii="Book Antiqua"/>
          <w:color w:val="262626"/>
          <w:u w:color="1a348d"/>
          <w:rtl w:val="0"/>
          <w:lang w:val="it-IT"/>
        </w:rPr>
        <w:t xml:space="preserve">iniziata la sofferenza di Malagrotta. </w:t>
      </w:r>
    </w:p>
    <w:p>
      <w:pPr>
        <w:pStyle w:val="Normal"/>
        <w:widowControl w:val="0"/>
        <w:ind w:left="567" w:right="567" w:firstLine="0"/>
        <w:jc w:val="both"/>
        <w:rPr>
          <w:rFonts w:ascii="Book Antiqua" w:cs="Book Antiqua" w:hAnsi="Book Antiqua" w:eastAsia="Book Antiqua"/>
          <w:color w:val="262626"/>
          <w:u w:color="1a348d"/>
        </w:rPr>
      </w:pPr>
      <w:r>
        <w:rPr>
          <w:rFonts w:ascii="Book Antiqua"/>
          <w:color w:val="262626"/>
          <w:u w:color="1a348d"/>
          <w:rtl w:val="0"/>
          <w:lang w:val="it-IT"/>
        </w:rPr>
        <w:t>Nel frattempo a Cupinoro c</w:t>
      </w:r>
      <w:r>
        <w:rPr>
          <w:rFonts w:hAnsi="Book Antiqua" w:hint="default"/>
          <w:color w:val="262626"/>
          <w:u w:color="1a348d"/>
          <w:rtl w:val="0"/>
          <w:lang w:val="it-IT"/>
        </w:rPr>
        <w:t xml:space="preserve">’è </w:t>
      </w:r>
      <w:r>
        <w:rPr>
          <w:rFonts w:ascii="Book Antiqua"/>
          <w:color w:val="262626"/>
          <w:u w:color="1a348d"/>
          <w:rtl w:val="0"/>
          <w:lang w:val="it-IT"/>
        </w:rPr>
        <w:t>stata la costruzione di un'altra cava, la cosiddetta Vaira 1, di altri 450.000 metri cubi, distante dalla collina dei rifiuti circa 70-100 metri. Questa cava fu sequestrata perch</w:t>
      </w:r>
      <w:r>
        <w:rPr>
          <w:rFonts w:hAnsi="Book Antiqua" w:hint="default"/>
          <w:color w:val="262626"/>
          <w:u w:color="1a348d"/>
          <w:rtl w:val="0"/>
          <w:lang w:val="it-IT"/>
        </w:rPr>
        <w:t xml:space="preserve">é </w:t>
      </w:r>
      <w:r>
        <w:rPr>
          <w:rFonts w:ascii="Book Antiqua"/>
          <w:color w:val="262626"/>
          <w:u w:color="1a348d"/>
          <w:rtl w:val="0"/>
          <w:lang w:val="it-IT"/>
        </w:rPr>
        <w:t>non aveva tutte le autorizzazioni ambientali; ci</w:t>
      </w:r>
      <w:r>
        <w:rPr>
          <w:rFonts w:hAnsi="Book Antiqua" w:hint="default"/>
          <w:color w:val="262626"/>
          <w:u w:color="1a348d"/>
          <w:rtl w:val="0"/>
          <w:lang w:val="it-IT"/>
        </w:rPr>
        <w:t xml:space="preserve">ò </w:t>
      </w:r>
      <w:r>
        <w:rPr>
          <w:rFonts w:ascii="Book Antiqua"/>
          <w:color w:val="262626"/>
          <w:u w:color="1a348d"/>
          <w:rtl w:val="0"/>
          <w:lang w:val="it-IT"/>
        </w:rPr>
        <w:t xml:space="preserve">avvenne anche a seguito di istanze dei cittadini di Bracciano a varie istituzioni. </w:t>
      </w:r>
    </w:p>
    <w:p>
      <w:pPr>
        <w:pStyle w:val="Normal"/>
        <w:widowControl w:val="0"/>
        <w:ind w:left="567" w:right="567" w:firstLine="0"/>
        <w:jc w:val="both"/>
        <w:rPr>
          <w:rFonts w:ascii="Book Antiqua" w:cs="Book Antiqua" w:hAnsi="Book Antiqua" w:eastAsia="Book Antiqua"/>
          <w:color w:val="262626"/>
          <w:u w:color="1a348d"/>
        </w:rPr>
      </w:pPr>
      <w:r>
        <w:rPr>
          <w:rFonts w:ascii="Book Antiqua"/>
          <w:color w:val="262626"/>
          <w:u w:color="1a348d"/>
          <w:rtl w:val="0"/>
          <w:lang w:val="it-IT"/>
        </w:rPr>
        <w:t xml:space="preserve">Altri problemi derivano dalla gestione economica, in particolare per quanto riguarda il fondo </w:t>
      </w:r>
      <w:r>
        <w:rPr>
          <w:rFonts w:ascii="Book Antiqua"/>
          <w:i w:val="1"/>
          <w:iCs w:val="1"/>
          <w:color w:val="262626"/>
          <w:u w:color="1a348d"/>
          <w:rtl w:val="0"/>
          <w:lang w:val="it-IT"/>
        </w:rPr>
        <w:t>post mortem</w:t>
      </w:r>
      <w:r>
        <w:rPr>
          <w:rFonts w:ascii="Book Antiqua"/>
          <w:color w:val="262626"/>
          <w:u w:color="1a348d"/>
          <w:rtl w:val="0"/>
          <w:lang w:val="it-IT"/>
        </w:rPr>
        <w:t>. Risulta al comitato che la procura di Civitavecchia ha aperto un'inchiesta e ha fatto i controlli attraverso la Guardia finanza di Civita Castellana.</w:t>
      </w:r>
    </w:p>
    <w:p>
      <w:pPr>
        <w:pStyle w:val="Normal"/>
        <w:widowControl w:val="0"/>
        <w:ind w:left="567" w:right="567" w:firstLine="0"/>
        <w:jc w:val="both"/>
        <w:rPr>
          <w:rFonts w:ascii="Book Antiqua" w:cs="Book Antiqua" w:hAnsi="Book Antiqua" w:eastAsia="Book Antiqua"/>
          <w:color w:val="262626"/>
          <w:u w:color="1a348d"/>
        </w:rPr>
      </w:pPr>
      <w:r>
        <w:rPr>
          <w:rFonts w:ascii="Book Antiqua"/>
          <w:color w:val="262626"/>
          <w:u w:color="1a348d"/>
          <w:rtl w:val="0"/>
          <w:lang w:val="it-IT"/>
        </w:rPr>
        <w:t>Nel 2014 sarebbe altres</w:t>
      </w:r>
      <w:r>
        <w:rPr>
          <w:rFonts w:hAnsi="Book Antiqua" w:hint="default"/>
          <w:color w:val="262626"/>
          <w:u w:color="1a348d"/>
          <w:rtl w:val="0"/>
          <w:lang w:val="it-IT"/>
        </w:rPr>
        <w:t xml:space="preserve">ì </w:t>
      </w:r>
      <w:r>
        <w:rPr>
          <w:rFonts w:ascii="Book Antiqua"/>
          <w:color w:val="262626"/>
          <w:u w:color="1a348d"/>
          <w:rtl w:val="0"/>
          <w:lang w:val="it-IT"/>
        </w:rPr>
        <w:t xml:space="preserve">stato scoperto un mancato versamento della ecotassa per altri 11,7 milioni di euro. </w:t>
      </w:r>
    </w:p>
    <w:p>
      <w:pPr>
        <w:pStyle w:val="Normal"/>
        <w:widowControl w:val="0"/>
        <w:ind w:left="567" w:right="567" w:firstLine="0"/>
        <w:jc w:val="both"/>
        <w:rPr>
          <w:rFonts w:ascii="Book Antiqua" w:cs="Book Antiqua" w:hAnsi="Book Antiqua" w:eastAsia="Book Antiqua"/>
          <w:color w:val="262626"/>
          <w:u w:color="1a348d"/>
        </w:rPr>
      </w:pPr>
      <w:r>
        <w:rPr>
          <w:rFonts w:ascii="Book Antiqua"/>
          <w:color w:val="262626"/>
          <w:u w:color="1a348d"/>
          <w:rtl w:val="0"/>
          <w:lang w:val="it-IT"/>
        </w:rPr>
        <w:t xml:space="preserve">Cupinoro sta affrontando la conferenza dei servizi per effettuare il </w:t>
      </w:r>
      <w:r>
        <w:rPr>
          <w:rFonts w:ascii="Book Antiqua"/>
          <w:i w:val="1"/>
          <w:iCs w:val="1"/>
          <w:color w:val="262626"/>
          <w:u w:color="1a348d"/>
          <w:rtl w:val="0"/>
          <w:lang w:val="it-IT"/>
        </w:rPr>
        <w:t>capping</w:t>
      </w:r>
      <w:r>
        <w:rPr>
          <w:rFonts w:ascii="Book Antiqua"/>
          <w:color w:val="262626"/>
          <w:u w:color="1a348d"/>
          <w:rtl w:val="0"/>
          <w:lang w:val="it-IT"/>
        </w:rPr>
        <w:t xml:space="preserve"> della nuova gestione dei rifiuti, fatta dalla Bracciano Ambiente stessa. Nel </w:t>
      </w:r>
      <w:r>
        <w:rPr>
          <w:rFonts w:ascii="Book Antiqua"/>
          <w:i w:val="1"/>
          <w:iCs w:val="1"/>
          <w:color w:val="262626"/>
          <w:u w:color="1a348d"/>
          <w:rtl w:val="0"/>
          <w:lang w:val="it-IT"/>
        </w:rPr>
        <w:t>capping</w:t>
      </w:r>
      <w:r>
        <w:rPr>
          <w:rFonts w:ascii="Book Antiqua"/>
          <w:color w:val="262626"/>
          <w:u w:color="1a348d"/>
          <w:rtl w:val="0"/>
          <w:lang w:val="it-IT"/>
        </w:rPr>
        <w:t xml:space="preserve"> si </w:t>
      </w:r>
      <w:r>
        <w:rPr>
          <w:rFonts w:hAnsi="Book Antiqua" w:hint="default"/>
          <w:color w:val="262626"/>
          <w:u w:color="1a348d"/>
          <w:rtl w:val="0"/>
          <w:lang w:val="it-IT"/>
        </w:rPr>
        <w:t xml:space="preserve">è </w:t>
      </w:r>
      <w:r>
        <w:rPr>
          <w:rFonts w:ascii="Book Antiqua"/>
          <w:color w:val="262626"/>
          <w:u w:color="1a348d"/>
          <w:rtl w:val="0"/>
          <w:lang w:val="it-IT"/>
        </w:rPr>
        <w:t xml:space="preserve">scoperto il cambio del perimetro della discarica; la nuova cava Vaira 1, infatti, sorge a 70 metri dalla discarica stessa ma, sul </w:t>
      </w:r>
      <w:r>
        <w:rPr>
          <w:rFonts w:ascii="Book Antiqua"/>
          <w:i w:val="1"/>
          <w:iCs w:val="1"/>
          <w:color w:val="262626"/>
          <w:u w:color="1a348d"/>
          <w:rtl w:val="0"/>
          <w:lang w:val="it-IT"/>
        </w:rPr>
        <w:t>capping,</w:t>
      </w:r>
      <w:r>
        <w:rPr>
          <w:rFonts w:ascii="Book Antiqua"/>
          <w:color w:val="262626"/>
          <w:u w:color="1a348d"/>
          <w:rtl w:val="0"/>
          <w:lang w:val="it-IT"/>
        </w:rPr>
        <w:t xml:space="preserve"> il muretto, con il fossato di contenimento delle acque reflue, per legge, deve essere distante 200 metri dalla discarica stessa; in realt</w:t>
      </w:r>
      <w:r>
        <w:rPr>
          <w:rFonts w:hAnsi="Book Antiqua" w:hint="default"/>
          <w:color w:val="262626"/>
          <w:u w:color="1a348d"/>
          <w:rtl w:val="0"/>
          <w:lang w:val="it-IT"/>
        </w:rPr>
        <w:t>à</w:t>
      </w:r>
      <w:r>
        <w:rPr>
          <w:rFonts w:ascii="Book Antiqua"/>
          <w:color w:val="262626"/>
          <w:u w:color="1a348d"/>
          <w:rtl w:val="0"/>
          <w:lang w:val="it-IT"/>
        </w:rPr>
        <w:t>, per</w:t>
      </w:r>
      <w:r>
        <w:rPr>
          <w:rFonts w:hAnsi="Book Antiqua" w:hint="default"/>
          <w:color w:val="262626"/>
          <w:u w:color="1a348d"/>
          <w:rtl w:val="0"/>
          <w:lang w:val="it-IT"/>
        </w:rPr>
        <w:t>ò</w:t>
      </w:r>
      <w:r>
        <w:rPr>
          <w:rFonts w:ascii="Book Antiqua"/>
          <w:color w:val="262626"/>
          <w:u w:color="1a348d"/>
          <w:rtl w:val="0"/>
          <w:lang w:val="it-IT"/>
        </w:rPr>
        <w:t xml:space="preserve">, questo muretto, fatto tra rifiuti e misto terra, capita proprio nel centro di questa cava. Alla conferenza di servizi partecipano la regione Lazio, il comune e il MiBAC. </w:t>
      </w:r>
    </w:p>
    <w:p>
      <w:pPr>
        <w:pStyle w:val="Normal"/>
        <w:widowControl w:val="0"/>
        <w:ind w:left="567" w:right="567" w:firstLine="0"/>
        <w:jc w:val="both"/>
        <w:rPr>
          <w:rFonts w:ascii="Book Antiqua" w:cs="Book Antiqua" w:hAnsi="Book Antiqua" w:eastAsia="Book Antiqua"/>
          <w:color w:val="262626"/>
          <w:u w:color="1a348d"/>
        </w:rPr>
      </w:pPr>
    </w:p>
    <w:p>
      <w:pPr>
        <w:pStyle w:val="Normal"/>
        <w:widowControl w:val="0"/>
        <w:ind w:left="567" w:right="567" w:firstLine="0"/>
        <w:jc w:val="both"/>
        <w:rPr>
          <w:rFonts w:ascii="Book Antiqua" w:cs="Book Antiqua" w:hAnsi="Book Antiqua" w:eastAsia="Book Antiqua"/>
          <w:color w:val="262626"/>
          <w:u w:color="1a348d"/>
        </w:rPr>
      </w:pPr>
      <w:r>
        <w:rPr>
          <w:rFonts w:ascii="Book Antiqua"/>
          <w:color w:val="262626"/>
          <w:u w:color="1a348d"/>
          <w:rtl w:val="0"/>
          <w:lang w:val="it-IT"/>
        </w:rPr>
        <w:t>E</w:t>
      </w:r>
      <w:r>
        <w:rPr>
          <w:rFonts w:hAnsi="Book Antiqua" w:hint="default"/>
          <w:color w:val="262626"/>
          <w:u w:color="1a348d"/>
          <w:rtl w:val="0"/>
          <w:lang w:val="it-IT"/>
        </w:rPr>
        <w:t xml:space="preserve">’ </w:t>
      </w:r>
      <w:r>
        <w:rPr>
          <w:rFonts w:ascii="Book Antiqua"/>
          <w:color w:val="262626"/>
          <w:u w:color="1a348d"/>
          <w:rtl w:val="0"/>
          <w:lang w:val="it-IT"/>
        </w:rPr>
        <w:t>stato audito il presidente del comitato Malagrotta. Data la complessit</w:t>
      </w:r>
      <w:r>
        <w:rPr>
          <w:rFonts w:hAnsi="Book Antiqua" w:hint="default"/>
          <w:color w:val="262626"/>
          <w:u w:color="1a348d"/>
          <w:rtl w:val="0"/>
          <w:lang w:val="it-IT"/>
        </w:rPr>
        <w:t xml:space="preserve">à </w:t>
      </w:r>
      <w:r>
        <w:rPr>
          <w:rFonts w:ascii="Book Antiqua"/>
          <w:color w:val="262626"/>
          <w:u w:color="1a348d"/>
          <w:rtl w:val="0"/>
          <w:lang w:val="it-IT"/>
        </w:rPr>
        <w:t xml:space="preserve">della vicenda legata a Malagrotta, il comitato propone un commissariamento della discarica, per il periodo del trattamento </w:t>
      </w:r>
      <w:r>
        <w:rPr>
          <w:rFonts w:ascii="Book Antiqua"/>
          <w:i w:val="1"/>
          <w:iCs w:val="1"/>
          <w:color w:val="262626"/>
          <w:u w:color="1a348d"/>
          <w:rtl w:val="0"/>
          <w:lang w:val="it-IT"/>
        </w:rPr>
        <w:t>post mortem</w:t>
      </w:r>
      <w:r>
        <w:rPr>
          <w:rFonts w:ascii="Book Antiqua"/>
          <w:color w:val="262626"/>
          <w:u w:color="1a348d"/>
          <w:rtl w:val="0"/>
          <w:lang w:val="it-IT"/>
        </w:rPr>
        <w:t xml:space="preserve"> della bonifica. A tale autorit</w:t>
      </w:r>
      <w:r>
        <w:rPr>
          <w:rFonts w:hAnsi="Book Antiqua" w:hint="default"/>
          <w:color w:val="262626"/>
          <w:u w:color="1a348d"/>
          <w:rtl w:val="0"/>
          <w:lang w:val="it-IT"/>
        </w:rPr>
        <w:t xml:space="preserve">à </w:t>
      </w:r>
      <w:r>
        <w:rPr>
          <w:rFonts w:ascii="Book Antiqua"/>
          <w:color w:val="262626"/>
          <w:u w:color="1a348d"/>
          <w:rtl w:val="0"/>
          <w:lang w:val="it-IT"/>
        </w:rPr>
        <w:t>pubblica potrebbero affiancarsi esperti con grandi capacit</w:t>
      </w:r>
      <w:r>
        <w:rPr>
          <w:rFonts w:hAnsi="Book Antiqua" w:hint="default"/>
          <w:color w:val="262626"/>
          <w:u w:color="1a348d"/>
          <w:rtl w:val="0"/>
          <w:lang w:val="it-IT"/>
        </w:rPr>
        <w:t xml:space="preserve">à </w:t>
      </w:r>
      <w:r>
        <w:rPr>
          <w:rFonts w:ascii="Book Antiqua"/>
          <w:color w:val="262626"/>
          <w:u w:color="1a348d"/>
          <w:rtl w:val="0"/>
          <w:lang w:val="it-IT"/>
        </w:rPr>
        <w:t xml:space="preserve">scientifiche e tecniche di CNR, IRSA o ENEA nel periodo del trattamento </w:t>
      </w:r>
      <w:r>
        <w:rPr>
          <w:rFonts w:ascii="Book Antiqua"/>
          <w:i w:val="1"/>
          <w:iCs w:val="1"/>
          <w:color w:val="262626"/>
          <w:u w:color="1a348d"/>
          <w:rtl w:val="0"/>
          <w:lang w:val="it-IT"/>
        </w:rPr>
        <w:t>post mortem</w:t>
      </w:r>
      <w:r>
        <w:rPr>
          <w:rFonts w:ascii="Book Antiqua"/>
          <w:color w:val="262626"/>
          <w:u w:color="1a348d"/>
          <w:rtl w:val="0"/>
          <w:lang w:val="it-IT"/>
        </w:rPr>
        <w:t xml:space="preserve"> della discarica, per essere sicuri che venga fatto correttamente.</w:t>
      </w:r>
    </w:p>
    <w:p>
      <w:pPr>
        <w:pStyle w:val="Normal"/>
        <w:widowControl w:val="0"/>
        <w:ind w:left="567" w:right="567" w:firstLine="0"/>
        <w:jc w:val="both"/>
        <w:rPr>
          <w:rFonts w:ascii="Book Antiqua" w:cs="Book Antiqua" w:hAnsi="Book Antiqua" w:eastAsia="Book Antiqua"/>
          <w:color w:val="262626"/>
          <w:u w:color="1a348d"/>
        </w:rPr>
      </w:pPr>
      <w:r>
        <w:rPr>
          <w:rFonts w:ascii="Book Antiqua"/>
          <w:color w:val="262626"/>
          <w:u w:color="1a348d"/>
          <w:rtl w:val="0"/>
          <w:lang w:val="it-IT"/>
        </w:rPr>
        <w:t xml:space="preserve">Il rappresentante dell'Associazione Raggio Verde, sempre quanto a Malagrotta, ha affermato che lo stato della bonifica </w:t>
      </w:r>
      <w:r>
        <w:rPr>
          <w:rFonts w:hAnsi="Book Antiqua" w:hint="default"/>
          <w:color w:val="262626"/>
          <w:u w:color="1a348d"/>
          <w:rtl w:val="0"/>
          <w:lang w:val="it-IT"/>
        </w:rPr>
        <w:t xml:space="preserve">è </w:t>
      </w:r>
      <w:r>
        <w:rPr>
          <w:rFonts w:ascii="Book Antiqua"/>
          <w:color w:val="262626"/>
          <w:u w:color="1a348d"/>
          <w:rtl w:val="0"/>
          <w:lang w:val="it-IT"/>
        </w:rPr>
        <w:t xml:space="preserve">completamente fermo. Il progetto attuale </w:t>
      </w:r>
      <w:r>
        <w:rPr>
          <w:rFonts w:hAnsi="Book Antiqua" w:hint="default"/>
          <w:color w:val="262626"/>
          <w:u w:color="1a348d"/>
          <w:rtl w:val="0"/>
          <w:lang w:val="it-IT"/>
        </w:rPr>
        <w:t xml:space="preserve">è </w:t>
      </w:r>
      <w:r>
        <w:rPr>
          <w:rFonts w:ascii="Book Antiqua"/>
          <w:color w:val="262626"/>
          <w:u w:color="1a348d"/>
          <w:rtl w:val="0"/>
          <w:lang w:val="it-IT"/>
        </w:rPr>
        <w:t>un secondo progetto che, durante il commissariamento, ha riproposto l'uso della FOS per completare le opere di sigillatura della discarica. All'interno dello studio del Politecnico, sono raccolte delle informazioni riguardo all'ordinanza del comune per poter risanare la discarica. Si prevedevano dei pozzi perch</w:t>
      </w:r>
      <w:r>
        <w:rPr>
          <w:rFonts w:hAnsi="Book Antiqua" w:hint="default"/>
          <w:color w:val="262626"/>
          <w:u w:color="1a348d"/>
          <w:rtl w:val="0"/>
          <w:lang w:val="it-IT"/>
        </w:rPr>
        <w:t xml:space="preserve">é </w:t>
      </w:r>
      <w:r>
        <w:rPr>
          <w:rFonts w:ascii="Book Antiqua"/>
          <w:color w:val="262626"/>
          <w:u w:color="1a348d"/>
          <w:rtl w:val="0"/>
          <w:lang w:val="it-IT"/>
        </w:rPr>
        <w:t xml:space="preserve">la falda all'interno della discarica </w:t>
      </w:r>
      <w:r>
        <w:rPr>
          <w:rFonts w:hAnsi="Book Antiqua" w:hint="default"/>
          <w:color w:val="262626"/>
          <w:u w:color="1a348d"/>
          <w:rtl w:val="0"/>
          <w:lang w:val="it-IT"/>
        </w:rPr>
        <w:t xml:space="preserve">è </w:t>
      </w:r>
      <w:r>
        <w:rPr>
          <w:rFonts w:ascii="Book Antiqua"/>
          <w:color w:val="262626"/>
          <w:u w:color="1a348d"/>
          <w:rtl w:val="0"/>
          <w:lang w:val="it-IT"/>
        </w:rPr>
        <w:t>pi</w:t>
      </w:r>
      <w:r>
        <w:rPr>
          <w:rFonts w:hAnsi="Book Antiqua" w:hint="default"/>
          <w:color w:val="262626"/>
          <w:u w:color="1a348d"/>
          <w:rtl w:val="0"/>
          <w:lang w:val="it-IT"/>
        </w:rPr>
        <w:t xml:space="preserve">ù </w:t>
      </w:r>
      <w:r>
        <w:rPr>
          <w:rFonts w:ascii="Book Antiqua"/>
          <w:color w:val="262626"/>
          <w:u w:color="1a348d"/>
          <w:rtl w:val="0"/>
          <w:lang w:val="it-IT"/>
        </w:rPr>
        <w:t xml:space="preserve">alta del livello di falda esterno, con un passaggio, quindi, di percolato verso l'esterno e un inquinamento sia della falda superficiale, sia di quella profonda. Questo inquinamento </w:t>
      </w:r>
      <w:r>
        <w:rPr>
          <w:rFonts w:hAnsi="Book Antiqua" w:hint="default"/>
          <w:color w:val="262626"/>
          <w:u w:color="1a348d"/>
          <w:rtl w:val="0"/>
          <w:lang w:val="it-IT"/>
        </w:rPr>
        <w:t xml:space="preserve">è </w:t>
      </w:r>
      <w:r>
        <w:rPr>
          <w:rFonts w:ascii="Book Antiqua"/>
          <w:color w:val="262626"/>
          <w:u w:color="1a348d"/>
          <w:rtl w:val="0"/>
          <w:lang w:val="it-IT"/>
        </w:rPr>
        <w:t>stato gi</w:t>
      </w:r>
      <w:r>
        <w:rPr>
          <w:rFonts w:hAnsi="Book Antiqua" w:hint="default"/>
          <w:color w:val="262626"/>
          <w:u w:color="1a348d"/>
          <w:rtl w:val="0"/>
          <w:lang w:val="it-IT"/>
        </w:rPr>
        <w:t xml:space="preserve">à </w:t>
      </w:r>
      <w:r>
        <w:rPr>
          <w:rFonts w:ascii="Book Antiqua"/>
          <w:color w:val="262626"/>
          <w:u w:color="1a348d"/>
          <w:rtl w:val="0"/>
          <w:lang w:val="it-IT"/>
        </w:rPr>
        <w:t>evidenziato da ARPA; il Politecnico ha ripreso quei dati per il Consiglio di Stato e ha analizzato la fattibilit</w:t>
      </w:r>
      <w:r>
        <w:rPr>
          <w:rFonts w:hAnsi="Book Antiqua" w:hint="default"/>
          <w:color w:val="262626"/>
          <w:u w:color="1a348d"/>
          <w:rtl w:val="0"/>
          <w:lang w:val="it-IT"/>
        </w:rPr>
        <w:t xml:space="preserve">à </w:t>
      </w:r>
      <w:r>
        <w:rPr>
          <w:rFonts w:ascii="Book Antiqua"/>
          <w:color w:val="262626"/>
          <w:u w:color="1a348d"/>
          <w:rtl w:val="0"/>
          <w:lang w:val="it-IT"/>
        </w:rPr>
        <w:t>di una rete di captazione delle acque all'interno, lungo tutto il perimetro della discarica (ha quindi misurato e quantificato). Gi</w:t>
      </w:r>
      <w:r>
        <w:rPr>
          <w:rFonts w:hAnsi="Book Antiqua" w:hint="default"/>
          <w:color w:val="262626"/>
          <w:u w:color="1a348d"/>
          <w:rtl w:val="0"/>
          <w:lang w:val="it-IT"/>
        </w:rPr>
        <w:t xml:space="preserve">à </w:t>
      </w:r>
      <w:r>
        <w:rPr>
          <w:rFonts w:ascii="Book Antiqua"/>
          <w:color w:val="262626"/>
          <w:u w:color="1a348d"/>
          <w:rtl w:val="0"/>
          <w:lang w:val="it-IT"/>
        </w:rPr>
        <w:t xml:space="preserve">nel 2006 erano stati presentati esposti relativi agli sversamenti lungo le canalette intorno alla discarica; il percolato  andava verso il Rio Galeria e l'ARPA si </w:t>
      </w:r>
      <w:r>
        <w:rPr>
          <w:rFonts w:hAnsi="Book Antiqua" w:hint="default"/>
          <w:color w:val="262626"/>
          <w:u w:color="1a348d"/>
          <w:rtl w:val="0"/>
          <w:lang w:val="it-IT"/>
        </w:rPr>
        <w:t xml:space="preserve">è </w:t>
      </w:r>
      <w:r>
        <w:rPr>
          <w:rFonts w:ascii="Book Antiqua"/>
          <w:color w:val="262626"/>
          <w:u w:color="1a348d"/>
          <w:rtl w:val="0"/>
          <w:lang w:val="it-IT"/>
        </w:rPr>
        <w:t xml:space="preserve">attivata. Comunque, lo stato dell'inquinamento </w:t>
      </w:r>
      <w:r>
        <w:rPr>
          <w:rFonts w:hAnsi="Book Antiqua" w:hint="default"/>
          <w:color w:val="262626"/>
          <w:u w:color="1a348d"/>
          <w:rtl w:val="0"/>
          <w:lang w:val="it-IT"/>
        </w:rPr>
        <w:t xml:space="preserve">è </w:t>
      </w:r>
      <w:r>
        <w:rPr>
          <w:rFonts w:ascii="Book Antiqua"/>
          <w:color w:val="262626"/>
          <w:u w:color="1a348d"/>
          <w:rtl w:val="0"/>
          <w:lang w:val="it-IT"/>
        </w:rPr>
        <w:t xml:space="preserve">attivo e la bonifica non </w:t>
      </w:r>
      <w:r>
        <w:rPr>
          <w:rFonts w:hAnsi="Book Antiqua" w:hint="default"/>
          <w:color w:val="262626"/>
          <w:u w:color="1a348d"/>
          <w:rtl w:val="0"/>
          <w:lang w:val="it-IT"/>
        </w:rPr>
        <w:t xml:space="preserve">è </w:t>
      </w:r>
      <w:r>
        <w:rPr>
          <w:rFonts w:ascii="Book Antiqua"/>
          <w:color w:val="262626"/>
          <w:u w:color="1a348d"/>
          <w:rtl w:val="0"/>
          <w:lang w:val="it-IT"/>
        </w:rPr>
        <w:t xml:space="preserve">mai stata iniziata. </w:t>
      </w:r>
    </w:p>
    <w:p>
      <w:pPr>
        <w:pStyle w:val="Normal"/>
        <w:widowControl w:val="0"/>
        <w:ind w:left="567" w:right="567" w:firstLine="0"/>
        <w:jc w:val="both"/>
        <w:rPr>
          <w:rFonts w:ascii="Book Antiqua" w:cs="Book Antiqua" w:hAnsi="Book Antiqua" w:eastAsia="Book Antiqua"/>
          <w:color w:val="262626"/>
          <w:u w:color="1a348d"/>
        </w:rPr>
      </w:pPr>
      <w:r>
        <w:rPr>
          <w:rFonts w:ascii="Book Antiqua"/>
          <w:color w:val="262626"/>
          <w:u w:color="1a348d"/>
          <w:rtl w:val="0"/>
          <w:lang w:val="it-IT"/>
        </w:rPr>
        <w:t>L</w:t>
      </w:r>
      <w:r>
        <w:rPr>
          <w:rFonts w:hAnsi="Book Antiqua" w:hint="default"/>
          <w:color w:val="262626"/>
          <w:u w:color="1a348d"/>
          <w:rtl w:val="0"/>
          <w:lang w:val="it-IT"/>
        </w:rPr>
        <w:t>’</w:t>
      </w:r>
      <w:r>
        <w:rPr>
          <w:rFonts w:ascii="Book Antiqua"/>
          <w:color w:val="262626"/>
          <w:u w:color="1a348d"/>
          <w:rtl w:val="0"/>
          <w:lang w:val="it-IT"/>
        </w:rPr>
        <w:t>ARPA ha evidenziato delle perdite analizzando i pozzi, in falda profonda e superficiale; pertanto, se in quel punto c</w:t>
      </w:r>
      <w:r>
        <w:rPr>
          <w:rFonts w:hAnsi="Book Antiqua" w:hint="default"/>
          <w:color w:val="262626"/>
          <w:u w:color="1a348d"/>
          <w:rtl w:val="0"/>
          <w:lang w:val="it-IT"/>
        </w:rPr>
        <w:t xml:space="preserve">’è </w:t>
      </w:r>
      <w:r>
        <w:rPr>
          <w:rFonts w:ascii="Book Antiqua"/>
          <w:color w:val="262626"/>
          <w:u w:color="1a348d"/>
          <w:rtl w:val="0"/>
          <w:lang w:val="it-IT"/>
        </w:rPr>
        <w:t>un contenimento, dall'altra parte c</w:t>
      </w:r>
      <w:r>
        <w:rPr>
          <w:rFonts w:hAnsi="Book Antiqua" w:hint="default"/>
          <w:color w:val="262626"/>
          <w:u w:color="1a348d"/>
          <w:rtl w:val="0"/>
          <w:lang w:val="it-IT"/>
        </w:rPr>
        <w:t xml:space="preserve">’è </w:t>
      </w:r>
      <w:r>
        <w:rPr>
          <w:rFonts w:ascii="Book Antiqua"/>
          <w:color w:val="262626"/>
          <w:u w:color="1a348d"/>
          <w:rtl w:val="0"/>
          <w:lang w:val="it-IT"/>
        </w:rPr>
        <w:t xml:space="preserve">una dispersione completa attraverso il </w:t>
      </w:r>
      <w:r>
        <w:rPr>
          <w:rFonts w:ascii="Book Antiqua"/>
          <w:i w:val="1"/>
          <w:iCs w:val="1"/>
          <w:color w:val="262626"/>
          <w:u w:color="1a348d"/>
          <w:rtl w:val="0"/>
          <w:lang w:val="it-IT"/>
        </w:rPr>
        <w:t>polder</w:t>
      </w:r>
      <w:r>
        <w:rPr>
          <w:rFonts w:ascii="Book Antiqua"/>
          <w:color w:val="262626"/>
          <w:u w:color="1a348d"/>
          <w:rtl w:val="0"/>
          <w:lang w:val="it-IT"/>
        </w:rPr>
        <w:t xml:space="preserve">; quindi, una barriera che circonda la discarica </w:t>
      </w:r>
      <w:r>
        <w:rPr>
          <w:rFonts w:hAnsi="Book Antiqua" w:hint="default"/>
          <w:color w:val="262626"/>
          <w:u w:color="1a348d"/>
          <w:rtl w:val="0"/>
          <w:lang w:val="it-IT"/>
        </w:rPr>
        <w:t xml:space="preserve">è </w:t>
      </w:r>
      <w:r>
        <w:rPr>
          <w:rFonts w:ascii="Book Antiqua"/>
          <w:color w:val="262626"/>
          <w:u w:color="1a348d"/>
          <w:rtl w:val="0"/>
          <w:lang w:val="it-IT"/>
        </w:rPr>
        <w:t>funzionante, ma ha un grado di permeabilit</w:t>
      </w:r>
      <w:r>
        <w:rPr>
          <w:rFonts w:hAnsi="Book Antiqua" w:hint="default"/>
          <w:color w:val="262626"/>
          <w:u w:color="1a348d"/>
          <w:rtl w:val="0"/>
          <w:lang w:val="it-IT"/>
        </w:rPr>
        <w:t>à</w:t>
      </w:r>
      <w:r>
        <w:rPr>
          <w:rFonts w:ascii="Book Antiqua"/>
          <w:color w:val="262626"/>
          <w:u w:color="1a348d"/>
          <w:rtl w:val="0"/>
          <w:lang w:val="it-IT"/>
        </w:rPr>
        <w:t>, che viene evidenziato, per cui del percolato passa comunque attraverso questa barriera. Ci sono, poi, anche altre dinamiche. In passato l'ARPA aveva evidenziato un inquinamento che pu</w:t>
      </w:r>
      <w:r>
        <w:rPr>
          <w:rFonts w:hAnsi="Book Antiqua" w:hint="default"/>
          <w:color w:val="262626"/>
          <w:u w:color="1a348d"/>
          <w:rtl w:val="0"/>
          <w:lang w:val="it-IT"/>
        </w:rPr>
        <w:t xml:space="preserve">ò </w:t>
      </w:r>
      <w:r>
        <w:rPr>
          <w:rFonts w:ascii="Book Antiqua"/>
          <w:color w:val="262626"/>
          <w:u w:color="1a348d"/>
          <w:rtl w:val="0"/>
          <w:lang w:val="it-IT"/>
        </w:rPr>
        <w:t xml:space="preserve">essere trattenuto dalla discarica solo se si evita che il percolato, da dentro, prema verso l'esterno. Servirebbe una serie di pozzi su tutto il perimetro che cambi il livello delle falde, un intervento che non </w:t>
      </w:r>
      <w:r>
        <w:rPr>
          <w:rFonts w:hAnsi="Book Antiqua" w:hint="default"/>
          <w:color w:val="262626"/>
          <w:u w:color="1a348d"/>
          <w:rtl w:val="0"/>
          <w:lang w:val="it-IT"/>
        </w:rPr>
        <w:t xml:space="preserve">è </w:t>
      </w:r>
      <w:r>
        <w:rPr>
          <w:rFonts w:ascii="Book Antiqua"/>
          <w:color w:val="262626"/>
          <w:u w:color="1a348d"/>
          <w:rtl w:val="0"/>
          <w:lang w:val="it-IT"/>
        </w:rPr>
        <w:t xml:space="preserve">stato fatto. Gli unici interventi sulla discarica sono quelli della rete di captazione del gas. Questo intervento </w:t>
      </w:r>
      <w:r>
        <w:rPr>
          <w:rFonts w:hAnsi="Book Antiqua" w:hint="default"/>
          <w:color w:val="262626"/>
          <w:u w:color="1a348d"/>
          <w:rtl w:val="0"/>
          <w:lang w:val="it-IT"/>
        </w:rPr>
        <w:t xml:space="preserve">è </w:t>
      </w:r>
      <w:r>
        <w:rPr>
          <w:rFonts w:ascii="Book Antiqua"/>
          <w:color w:val="262626"/>
          <w:u w:color="1a348d"/>
          <w:rtl w:val="0"/>
          <w:lang w:val="it-IT"/>
        </w:rPr>
        <w:t>un po</w:t>
      </w:r>
      <w:r>
        <w:rPr>
          <w:rFonts w:hAnsi="Book Antiqua" w:hint="default"/>
          <w:color w:val="262626"/>
          <w:u w:color="1a348d"/>
          <w:rtl w:val="0"/>
          <w:lang w:val="it-IT"/>
        </w:rPr>
        <w:t xml:space="preserve">’ </w:t>
      </w:r>
      <w:r>
        <w:rPr>
          <w:rFonts w:ascii="Book Antiqua"/>
          <w:color w:val="262626"/>
          <w:u w:color="1a348d"/>
          <w:rtl w:val="0"/>
          <w:lang w:val="it-IT"/>
        </w:rPr>
        <w:t>costoso ma era nelle richieste fatte dal comune di Roma, quindi, secondo l</w:t>
      </w:r>
      <w:r>
        <w:rPr>
          <w:rFonts w:hAnsi="Book Antiqua" w:hint="default"/>
          <w:color w:val="262626"/>
          <w:u w:color="1a348d"/>
          <w:rtl w:val="0"/>
          <w:lang w:val="it-IT"/>
        </w:rPr>
        <w:t>’</w:t>
      </w:r>
      <w:r>
        <w:rPr>
          <w:rFonts w:ascii="Book Antiqua"/>
          <w:color w:val="262626"/>
          <w:u w:color="1a348d"/>
          <w:rtl w:val="0"/>
          <w:lang w:val="it-IT"/>
        </w:rPr>
        <w:t>associazione c</w:t>
      </w:r>
      <w:r>
        <w:rPr>
          <w:rFonts w:hAnsi="Book Antiqua" w:hint="default"/>
          <w:color w:val="262626"/>
          <w:u w:color="1a348d"/>
          <w:rtl w:val="0"/>
          <w:lang w:val="it-IT"/>
        </w:rPr>
        <w:t xml:space="preserve">’è </w:t>
      </w:r>
      <w:r>
        <w:rPr>
          <w:rFonts w:ascii="Book Antiqua"/>
          <w:color w:val="262626"/>
          <w:u w:color="1a348d"/>
          <w:rtl w:val="0"/>
          <w:lang w:val="it-IT"/>
        </w:rPr>
        <w:t>bisogno di accelerare i tempi e di capire come passare alla fase operativa.</w:t>
      </w:r>
    </w:p>
    <w:p>
      <w:pPr>
        <w:pStyle w:val="Normal"/>
        <w:widowControl w:val="0"/>
        <w:ind w:left="567" w:right="567" w:firstLine="0"/>
        <w:jc w:val="both"/>
        <w:rPr>
          <w:rFonts w:ascii="Book Antiqua" w:cs="Book Antiqua" w:hAnsi="Book Antiqua" w:eastAsia="Book Antiqua"/>
          <w:color w:val="262626"/>
          <w:u w:color="1a348d"/>
        </w:rPr>
      </w:pPr>
      <w:r>
        <w:rPr>
          <w:rFonts w:ascii="Book Antiqua"/>
          <w:color w:val="262626"/>
          <w:u w:color="1a348d"/>
          <w:rtl w:val="0"/>
          <w:lang w:val="it-IT"/>
        </w:rPr>
        <w:t>L</w:t>
      </w:r>
      <w:r>
        <w:rPr>
          <w:rFonts w:hAnsi="Book Antiqua" w:hint="default"/>
          <w:color w:val="262626"/>
          <w:u w:color="1a348d"/>
          <w:rtl w:val="0"/>
          <w:lang w:val="it-IT"/>
        </w:rPr>
        <w:t>’</w:t>
      </w:r>
      <w:r>
        <w:rPr>
          <w:rFonts w:ascii="Book Antiqua"/>
          <w:color w:val="262626"/>
          <w:u w:color="1a348d"/>
          <w:rtl w:val="0"/>
          <w:lang w:val="it-IT"/>
        </w:rPr>
        <w:t xml:space="preserve">Associazione Raggio Verde ha impugnato l'autorizzazione integrata ambientale concessa per la discarica di Monti dell'Ortaccio. Ne </w:t>
      </w:r>
      <w:r>
        <w:rPr>
          <w:rFonts w:hAnsi="Book Antiqua" w:hint="default"/>
          <w:color w:val="262626"/>
          <w:u w:color="1a348d"/>
          <w:rtl w:val="0"/>
          <w:lang w:val="it-IT"/>
        </w:rPr>
        <w:t xml:space="preserve">è </w:t>
      </w:r>
      <w:r>
        <w:rPr>
          <w:rFonts w:ascii="Book Antiqua"/>
          <w:color w:val="262626"/>
          <w:u w:color="1a348d"/>
          <w:rtl w:val="0"/>
          <w:lang w:val="it-IT"/>
        </w:rPr>
        <w:t>seguita la revoca da parte della regione Lazio, che per</w:t>
      </w:r>
      <w:r>
        <w:rPr>
          <w:rFonts w:hAnsi="Book Antiqua" w:hint="default"/>
          <w:color w:val="262626"/>
          <w:u w:color="1a348d"/>
          <w:rtl w:val="0"/>
          <w:lang w:val="it-IT"/>
        </w:rPr>
        <w:t xml:space="preserve">ò è </w:t>
      </w:r>
      <w:r>
        <w:rPr>
          <w:rFonts w:ascii="Book Antiqua"/>
          <w:color w:val="262626"/>
          <w:u w:color="1a348d"/>
          <w:rtl w:val="0"/>
          <w:lang w:val="it-IT"/>
        </w:rPr>
        <w:t>stata poi impugnata dal Co.La.Ri. davanti al TAR. Il TAR ha respinto l'impugnativa del Co.La.Ri., in un giudizio in cui l</w:t>
      </w:r>
      <w:r>
        <w:rPr>
          <w:rFonts w:hAnsi="Book Antiqua" w:hint="default"/>
          <w:color w:val="262626"/>
          <w:u w:color="1a348d"/>
          <w:rtl w:val="0"/>
          <w:lang w:val="it-IT"/>
        </w:rPr>
        <w:t>’</w:t>
      </w:r>
      <w:r>
        <w:rPr>
          <w:rFonts w:ascii="Book Antiqua"/>
          <w:color w:val="262626"/>
          <w:u w:color="1a348d"/>
          <w:rtl w:val="0"/>
          <w:lang w:val="it-IT"/>
        </w:rPr>
        <w:t xml:space="preserve">associazione </w:t>
      </w:r>
      <w:r>
        <w:rPr>
          <w:rFonts w:hAnsi="Book Antiqua" w:hint="default"/>
          <w:color w:val="262626"/>
          <w:u w:color="1a348d"/>
          <w:rtl w:val="0"/>
          <w:lang w:val="it-IT"/>
        </w:rPr>
        <w:t xml:space="preserve">è </w:t>
      </w:r>
      <w:r>
        <w:rPr>
          <w:rFonts w:ascii="Book Antiqua"/>
          <w:color w:val="262626"/>
          <w:u w:color="1a348d"/>
          <w:rtl w:val="0"/>
          <w:lang w:val="it-IT"/>
        </w:rPr>
        <w:t xml:space="preserve">intervenuta </w:t>
      </w:r>
      <w:r>
        <w:rPr>
          <w:rFonts w:ascii="Book Antiqua"/>
          <w:i w:val="1"/>
          <w:iCs w:val="1"/>
          <w:color w:val="262626"/>
          <w:u w:color="1a348d"/>
          <w:rtl w:val="0"/>
          <w:lang w:val="it-IT"/>
        </w:rPr>
        <w:t>ad opponendum</w:t>
      </w:r>
      <w:r>
        <w:rPr>
          <w:rFonts w:ascii="Book Antiqua"/>
          <w:color w:val="262626"/>
          <w:u w:color="1a348d"/>
          <w:rtl w:val="0"/>
          <w:lang w:val="it-IT"/>
        </w:rPr>
        <w:t xml:space="preserve">; la questione </w:t>
      </w:r>
      <w:r>
        <w:rPr>
          <w:rFonts w:hAnsi="Book Antiqua" w:hint="default"/>
          <w:color w:val="262626"/>
          <w:u w:color="1a348d"/>
          <w:rtl w:val="0"/>
          <w:lang w:val="it-IT"/>
        </w:rPr>
        <w:t xml:space="preserve">è </w:t>
      </w:r>
      <w:r>
        <w:rPr>
          <w:rFonts w:ascii="Book Antiqua"/>
          <w:color w:val="262626"/>
          <w:u w:color="1a348d"/>
          <w:rtl w:val="0"/>
          <w:lang w:val="it-IT"/>
        </w:rPr>
        <w:t xml:space="preserve">pendente davanti al Consiglio di Stato. </w:t>
      </w:r>
    </w:p>
    <w:p>
      <w:pPr>
        <w:pStyle w:val="Normal"/>
        <w:widowControl w:val="0"/>
        <w:ind w:left="567" w:right="567" w:firstLine="0"/>
        <w:jc w:val="both"/>
        <w:rPr>
          <w:rFonts w:ascii="Book Antiqua" w:cs="Book Antiqua" w:hAnsi="Book Antiqua" w:eastAsia="Book Antiqua"/>
          <w:color w:val="262626"/>
          <w:u w:color="1a348d"/>
        </w:rPr>
      </w:pPr>
      <w:r>
        <w:rPr>
          <w:rFonts w:ascii="Book Antiqua"/>
          <w:color w:val="262626"/>
          <w:u w:color="1a348d"/>
          <w:rtl w:val="0"/>
          <w:lang w:val="it-IT"/>
        </w:rPr>
        <w:t>Nella vicenda di Monti dell</w:t>
      </w:r>
      <w:r>
        <w:rPr>
          <w:rFonts w:hAnsi="Book Antiqua" w:hint="default"/>
          <w:color w:val="262626"/>
          <w:u w:color="1a348d"/>
          <w:rtl w:val="0"/>
          <w:lang w:val="it-IT"/>
        </w:rPr>
        <w:t>’</w:t>
      </w:r>
      <w:r>
        <w:rPr>
          <w:rFonts w:ascii="Book Antiqua"/>
          <w:color w:val="262626"/>
          <w:u w:color="1a348d"/>
          <w:rtl w:val="0"/>
          <w:lang w:val="it-IT"/>
        </w:rPr>
        <w:t>Ortaccio sono stati compiuti errori di metodo, in quanto una normativa comunitaria e italiana prescrive che le discariche vanno fatte in certi luoghi, in modo da evitare danni per l'ambiente; su Monti dell'Ortaccio le norme non sono state rispettate perch</w:t>
      </w:r>
      <w:r>
        <w:rPr>
          <w:rFonts w:hAnsi="Book Antiqua" w:hint="default"/>
          <w:color w:val="262626"/>
          <w:u w:color="1a348d"/>
          <w:rtl w:val="0"/>
          <w:lang w:val="it-IT"/>
        </w:rPr>
        <w:t xml:space="preserve">é è </w:t>
      </w:r>
      <w:r>
        <w:rPr>
          <w:rFonts w:ascii="Book Antiqua"/>
          <w:color w:val="262626"/>
          <w:u w:color="1a348d"/>
          <w:rtl w:val="0"/>
          <w:lang w:val="it-IT"/>
        </w:rPr>
        <w:t xml:space="preserve">stata rimossa la barriera geologica; rimuovere la barriera geologica </w:t>
      </w:r>
      <w:r>
        <w:rPr>
          <w:rFonts w:hAnsi="Book Antiqua" w:hint="default"/>
          <w:color w:val="262626"/>
          <w:u w:color="1a348d"/>
          <w:rtl w:val="0"/>
          <w:lang w:val="it-IT"/>
        </w:rPr>
        <w:t xml:space="preserve">è </w:t>
      </w:r>
      <w:r>
        <w:rPr>
          <w:rFonts w:ascii="Book Antiqua"/>
          <w:color w:val="262626"/>
          <w:u w:color="1a348d"/>
          <w:rtl w:val="0"/>
          <w:lang w:val="it-IT"/>
        </w:rPr>
        <w:t>un fatto assolutamente negativo perch</w:t>
      </w:r>
      <w:r>
        <w:rPr>
          <w:rFonts w:hAnsi="Book Antiqua" w:hint="default"/>
          <w:color w:val="262626"/>
          <w:u w:color="1a348d"/>
          <w:rtl w:val="0"/>
          <w:lang w:val="it-IT"/>
        </w:rPr>
        <w:t xml:space="preserve">é </w:t>
      </w:r>
      <w:r>
        <w:rPr>
          <w:rFonts w:ascii="Book Antiqua"/>
          <w:color w:val="262626"/>
          <w:u w:color="1a348d"/>
          <w:rtl w:val="0"/>
          <w:lang w:val="it-IT"/>
        </w:rPr>
        <w:t>tale barriera, che si sedimenta negli anni, permette di creare un filtro fra l'inquinamento e la falda sottostante. Nel momento in cui viene rimossa la barriera geologica, si mette in collegamento la superficie con la falda, il che pu</w:t>
      </w:r>
      <w:r>
        <w:rPr>
          <w:rFonts w:hAnsi="Book Antiqua" w:hint="default"/>
          <w:color w:val="262626"/>
          <w:u w:color="1a348d"/>
          <w:rtl w:val="0"/>
          <w:lang w:val="it-IT"/>
        </w:rPr>
        <w:t xml:space="preserve">ò </w:t>
      </w:r>
      <w:r>
        <w:rPr>
          <w:rFonts w:ascii="Book Antiqua"/>
          <w:color w:val="262626"/>
          <w:u w:color="1a348d"/>
          <w:rtl w:val="0"/>
          <w:lang w:val="it-IT"/>
        </w:rPr>
        <w:t>avere effetti devastanti. Vi fu anche un altro problema, perch</w:t>
      </w:r>
      <w:r>
        <w:rPr>
          <w:rFonts w:hAnsi="Book Antiqua" w:hint="default"/>
          <w:color w:val="262626"/>
          <w:u w:color="1a348d"/>
          <w:rtl w:val="0"/>
          <w:lang w:val="it-IT"/>
        </w:rPr>
        <w:t xml:space="preserve">é </w:t>
      </w:r>
      <w:r>
        <w:rPr>
          <w:rFonts w:ascii="Book Antiqua"/>
          <w:color w:val="262626"/>
          <w:u w:color="1a348d"/>
          <w:rtl w:val="0"/>
          <w:lang w:val="it-IT"/>
        </w:rPr>
        <w:t>il Co.La.Ri disse che la barriera geologica sarebbe stata supplita con un'opera artificiale, ma nessuna opera artificiale pu</w:t>
      </w:r>
      <w:r>
        <w:rPr>
          <w:rFonts w:hAnsi="Book Antiqua" w:hint="default"/>
          <w:color w:val="262626"/>
          <w:u w:color="1a348d"/>
          <w:rtl w:val="0"/>
          <w:lang w:val="it-IT"/>
        </w:rPr>
        <w:t xml:space="preserve">ò </w:t>
      </w:r>
      <w:r>
        <w:rPr>
          <w:rFonts w:ascii="Book Antiqua"/>
          <w:color w:val="262626"/>
          <w:u w:color="1a348d"/>
          <w:rtl w:val="0"/>
          <w:lang w:val="it-IT"/>
        </w:rPr>
        <w:t>permettere ci</w:t>
      </w:r>
      <w:r>
        <w:rPr>
          <w:rFonts w:hAnsi="Book Antiqua" w:hint="default"/>
          <w:color w:val="262626"/>
          <w:u w:color="1a348d"/>
          <w:rtl w:val="0"/>
          <w:lang w:val="it-IT"/>
        </w:rPr>
        <w:t xml:space="preserve">ò </w:t>
      </w:r>
      <w:r>
        <w:rPr>
          <w:rFonts w:ascii="Book Antiqua"/>
          <w:color w:val="262626"/>
          <w:u w:color="1a348d"/>
          <w:rtl w:val="0"/>
          <w:lang w:val="it-IT"/>
        </w:rPr>
        <w:t>che consente la natura, cio</w:t>
      </w:r>
      <w:r>
        <w:rPr>
          <w:rFonts w:hAnsi="Book Antiqua" w:hint="default"/>
          <w:color w:val="262626"/>
          <w:u w:color="1a348d"/>
          <w:rtl w:val="0"/>
          <w:lang w:val="it-IT"/>
        </w:rPr>
        <w:t xml:space="preserve">è </w:t>
      </w:r>
      <w:r>
        <w:rPr>
          <w:rFonts w:ascii="Book Antiqua"/>
          <w:color w:val="262626"/>
          <w:u w:color="1a348d"/>
          <w:rtl w:val="0"/>
          <w:lang w:val="it-IT"/>
        </w:rPr>
        <w:t>la sicurezza che non ci sia inquinamento della falda acquifera. Al di l</w:t>
      </w:r>
      <w:r>
        <w:rPr>
          <w:rFonts w:hAnsi="Book Antiqua" w:hint="default"/>
          <w:color w:val="262626"/>
          <w:u w:color="1a348d"/>
          <w:rtl w:val="0"/>
          <w:lang w:val="it-IT"/>
        </w:rPr>
        <w:t xml:space="preserve">à </w:t>
      </w:r>
      <w:r>
        <w:rPr>
          <w:rFonts w:ascii="Book Antiqua"/>
          <w:color w:val="262626"/>
          <w:u w:color="1a348d"/>
          <w:rtl w:val="0"/>
          <w:lang w:val="it-IT"/>
        </w:rPr>
        <w:t>di questo, l'errore di metodo fu quello di consentire la costruzione di una discarica e, solo in una seconda fase, di permettere la consegna di uno studio idrogeologico che attestasse in maniera inequivocabile l'assenza di pericolo per la falda: qui sono coinvolti gli interessi pubblici e la salute dei cittadini, quindi lo studio idrogeologico deve essere presentato prima di qualunque autorizzazione.</w:t>
      </w:r>
    </w:p>
    <w:p>
      <w:pPr>
        <w:pStyle w:val="Normal"/>
        <w:widowControl w:val="0"/>
        <w:ind w:left="567" w:right="567" w:firstLine="0"/>
        <w:jc w:val="both"/>
        <w:rPr>
          <w:rFonts w:ascii="Book Antiqua" w:cs="Book Antiqua" w:hAnsi="Book Antiqua" w:eastAsia="Book Antiqua"/>
          <w:color w:val="262626"/>
          <w:u w:color="1a348d"/>
        </w:rPr>
      </w:pPr>
      <w:r>
        <w:rPr>
          <w:rFonts w:ascii="Book Antiqua"/>
          <w:color w:val="262626"/>
          <w:u w:color="1a348d"/>
          <w:rtl w:val="0"/>
          <w:lang w:val="it-IT"/>
        </w:rPr>
        <w:t xml:space="preserve">Lo stato di emergenza che si </w:t>
      </w:r>
      <w:r>
        <w:rPr>
          <w:rFonts w:hAnsi="Book Antiqua" w:hint="default"/>
          <w:color w:val="262626"/>
          <w:u w:color="1a348d"/>
          <w:rtl w:val="0"/>
          <w:lang w:val="it-IT"/>
        </w:rPr>
        <w:t xml:space="preserve">è </w:t>
      </w:r>
      <w:r>
        <w:rPr>
          <w:rFonts w:ascii="Book Antiqua"/>
          <w:color w:val="262626"/>
          <w:u w:color="1a348d"/>
          <w:rtl w:val="0"/>
          <w:lang w:val="it-IT"/>
        </w:rPr>
        <w:t>creato pu</w:t>
      </w:r>
      <w:r>
        <w:rPr>
          <w:rFonts w:hAnsi="Book Antiqua" w:hint="default"/>
          <w:color w:val="262626"/>
          <w:u w:color="1a348d"/>
          <w:rtl w:val="0"/>
          <w:lang w:val="it-IT"/>
        </w:rPr>
        <w:t xml:space="preserve">ò </w:t>
      </w:r>
      <w:r>
        <w:rPr>
          <w:rFonts w:ascii="Book Antiqua"/>
          <w:color w:val="262626"/>
          <w:u w:color="1a348d"/>
          <w:rtl w:val="0"/>
          <w:lang w:val="it-IT"/>
        </w:rPr>
        <w:t xml:space="preserve">determinare il fatto per cui, avendo Roma una buca a disposizione, prima o poi questa venga usata, perdendo quindi del tempo; tuttavia, perdere tempo </w:t>
      </w:r>
      <w:r>
        <w:rPr>
          <w:rFonts w:hAnsi="Book Antiqua" w:hint="default"/>
          <w:color w:val="262626"/>
          <w:u w:color="1a348d"/>
          <w:rtl w:val="0"/>
          <w:lang w:val="it-IT"/>
        </w:rPr>
        <w:t xml:space="preserve">è </w:t>
      </w:r>
      <w:r>
        <w:rPr>
          <w:rFonts w:ascii="Book Antiqua"/>
          <w:color w:val="262626"/>
          <w:u w:color="1a348d"/>
          <w:rtl w:val="0"/>
          <w:lang w:val="it-IT"/>
        </w:rPr>
        <w:t>estremamente negativo in questo caso perch</w:t>
      </w:r>
      <w:r>
        <w:rPr>
          <w:rFonts w:hAnsi="Book Antiqua" w:hint="default"/>
          <w:color w:val="262626"/>
          <w:u w:color="1a348d"/>
          <w:rtl w:val="0"/>
          <w:lang w:val="it-IT"/>
        </w:rPr>
        <w:t xml:space="preserve">é </w:t>
      </w:r>
      <w:r>
        <w:rPr>
          <w:rFonts w:ascii="Book Antiqua"/>
          <w:color w:val="262626"/>
          <w:u w:color="1a348d"/>
          <w:rtl w:val="0"/>
          <w:lang w:val="it-IT"/>
        </w:rPr>
        <w:t>c</w:t>
      </w:r>
      <w:r>
        <w:rPr>
          <w:rFonts w:hAnsi="Book Antiqua" w:hint="default"/>
          <w:color w:val="262626"/>
          <w:u w:color="1a348d"/>
          <w:rtl w:val="0"/>
          <w:lang w:val="it-IT"/>
        </w:rPr>
        <w:t xml:space="preserve">’è </w:t>
      </w:r>
      <w:r>
        <w:rPr>
          <w:rFonts w:ascii="Book Antiqua"/>
          <w:color w:val="262626"/>
          <w:u w:color="1a348d"/>
          <w:rtl w:val="0"/>
          <w:lang w:val="it-IT"/>
        </w:rPr>
        <w:t>la necessit</w:t>
      </w:r>
      <w:r>
        <w:rPr>
          <w:rFonts w:hAnsi="Book Antiqua" w:hint="default"/>
          <w:color w:val="262626"/>
          <w:u w:color="1a348d"/>
          <w:rtl w:val="0"/>
          <w:lang w:val="it-IT"/>
        </w:rPr>
        <w:t xml:space="preserve">à </w:t>
      </w:r>
      <w:r>
        <w:rPr>
          <w:rFonts w:ascii="Book Antiqua"/>
          <w:color w:val="262626"/>
          <w:u w:color="1a348d"/>
          <w:rtl w:val="0"/>
          <w:lang w:val="it-IT"/>
        </w:rPr>
        <w:t xml:space="preserve">di risolvere il problema dei rifiuti. Si </w:t>
      </w:r>
      <w:r>
        <w:rPr>
          <w:rFonts w:hAnsi="Book Antiqua" w:hint="default"/>
          <w:color w:val="262626"/>
          <w:u w:color="1a348d"/>
          <w:rtl w:val="0"/>
          <w:lang w:val="it-IT"/>
        </w:rPr>
        <w:t>è</w:t>
      </w:r>
      <w:r>
        <w:rPr>
          <w:rFonts w:ascii="Book Antiqua"/>
          <w:color w:val="262626"/>
          <w:u w:color="1a348d"/>
          <w:rtl w:val="0"/>
          <w:lang w:val="it-IT"/>
        </w:rPr>
        <w:t xml:space="preserve">, invece, autorizzata la discarica, si </w:t>
      </w:r>
      <w:r>
        <w:rPr>
          <w:rFonts w:hAnsi="Book Antiqua" w:hint="default"/>
          <w:color w:val="262626"/>
          <w:u w:color="1a348d"/>
          <w:rtl w:val="0"/>
          <w:lang w:val="it-IT"/>
        </w:rPr>
        <w:t xml:space="preserve">è </w:t>
      </w:r>
      <w:r>
        <w:rPr>
          <w:rFonts w:ascii="Book Antiqua"/>
          <w:color w:val="262626"/>
          <w:u w:color="1a348d"/>
          <w:rtl w:val="0"/>
          <w:lang w:val="it-IT"/>
        </w:rPr>
        <w:t>detto che lo studio idrogeologico sarebbe stato portato in un secondo momento e questo ha implicato un allungamento dei tempi amministrativi e di controllo. Oltretutto, fu consentito al privato che andava a realizzare la discarica di scegliere l'ente che avrebbe poi certificato l'assenza di pericolo per la falda acquifera. L</w:t>
      </w:r>
      <w:r>
        <w:rPr>
          <w:rFonts w:hAnsi="Book Antiqua" w:hint="default"/>
          <w:color w:val="262626"/>
          <w:u w:color="1a348d"/>
          <w:rtl w:val="0"/>
          <w:lang w:val="it-IT"/>
        </w:rPr>
        <w:t>’</w:t>
      </w:r>
      <w:r>
        <w:rPr>
          <w:rFonts w:ascii="Book Antiqua"/>
          <w:color w:val="262626"/>
          <w:u w:color="1a348d"/>
          <w:rtl w:val="0"/>
          <w:lang w:val="it-IT"/>
        </w:rPr>
        <w:t>associazione ha verificato che secondo la Sapienza, da cui era stato redatto uno studio, vi era pericolo per la falda acquifera; ma nessuno aveva prodotto questo studio idrogeologico che il Co.La.Ri aveva commissionato alla Sapienza e quest'ultima non l'aveva depositato in giudizio perch</w:t>
      </w:r>
      <w:r>
        <w:rPr>
          <w:rFonts w:hAnsi="Book Antiqua" w:hint="default"/>
          <w:color w:val="262626"/>
          <w:u w:color="1a348d"/>
          <w:rtl w:val="0"/>
          <w:lang w:val="it-IT"/>
        </w:rPr>
        <w:t xml:space="preserve">é </w:t>
      </w:r>
      <w:r>
        <w:rPr>
          <w:rFonts w:ascii="Book Antiqua"/>
          <w:color w:val="262626"/>
          <w:u w:color="1a348d"/>
          <w:rtl w:val="0"/>
          <w:lang w:val="it-IT"/>
        </w:rPr>
        <w:t>n</w:t>
      </w:r>
      <w:r>
        <w:rPr>
          <w:rFonts w:hAnsi="Book Antiqua" w:hint="default"/>
          <w:color w:val="262626"/>
          <w:u w:color="1a348d"/>
          <w:rtl w:val="0"/>
          <w:lang w:val="it-IT"/>
        </w:rPr>
        <w:t xml:space="preserve">é </w:t>
      </w:r>
      <w:r>
        <w:rPr>
          <w:rFonts w:ascii="Book Antiqua"/>
          <w:color w:val="262626"/>
          <w:u w:color="1a348d"/>
          <w:rtl w:val="0"/>
          <w:lang w:val="it-IT"/>
        </w:rPr>
        <w:t>il Co.La.Ri, n</w:t>
      </w:r>
      <w:r>
        <w:rPr>
          <w:rFonts w:hAnsi="Book Antiqua" w:hint="default"/>
          <w:color w:val="262626"/>
          <w:u w:color="1a348d"/>
          <w:rtl w:val="0"/>
          <w:lang w:val="it-IT"/>
        </w:rPr>
        <w:t xml:space="preserve">é </w:t>
      </w:r>
      <w:r>
        <w:rPr>
          <w:rFonts w:ascii="Book Antiqua"/>
          <w:color w:val="262626"/>
          <w:u w:color="1a348d"/>
          <w:rtl w:val="0"/>
          <w:lang w:val="it-IT"/>
        </w:rPr>
        <w:t>gli altri enti incaricati del controllo l'avevano portato a conoscenza del TAR; tale studio viene invece portato al TAR dall</w:t>
      </w:r>
      <w:r>
        <w:rPr>
          <w:rFonts w:hAnsi="Book Antiqua" w:hint="default"/>
          <w:color w:val="262626"/>
          <w:u w:color="1a348d"/>
          <w:rtl w:val="0"/>
          <w:lang w:val="it-IT"/>
        </w:rPr>
        <w:t>’</w:t>
      </w:r>
      <w:r>
        <w:rPr>
          <w:rFonts w:ascii="Book Antiqua"/>
          <w:color w:val="262626"/>
          <w:u w:color="1a348d"/>
          <w:rtl w:val="0"/>
          <w:lang w:val="it-IT"/>
        </w:rPr>
        <w:t xml:space="preserve">Associazione. </w:t>
      </w:r>
    </w:p>
    <w:p>
      <w:pPr>
        <w:pStyle w:val="Normal"/>
        <w:widowControl w:val="0"/>
        <w:ind w:left="567" w:right="567" w:firstLine="0"/>
        <w:jc w:val="both"/>
        <w:rPr>
          <w:rFonts w:ascii="Book Antiqua" w:cs="Book Antiqua" w:hAnsi="Book Antiqua" w:eastAsia="Book Antiqua"/>
          <w:color w:val="262626"/>
          <w:u w:color="1a348d"/>
        </w:rPr>
      </w:pPr>
      <w:r>
        <w:rPr>
          <w:rFonts w:ascii="Book Antiqua"/>
          <w:color w:val="262626"/>
          <w:u w:color="1a348d"/>
          <w:rtl w:val="0"/>
          <w:lang w:val="it-IT"/>
        </w:rPr>
        <w:t>Circa le garanzie finanziarie, l</w:t>
      </w:r>
      <w:r>
        <w:rPr>
          <w:rFonts w:hAnsi="Book Antiqua" w:hint="default"/>
          <w:color w:val="262626"/>
          <w:u w:color="1a348d"/>
          <w:rtl w:val="0"/>
          <w:lang w:val="it-IT"/>
        </w:rPr>
        <w:t>’</w:t>
      </w:r>
      <w:r>
        <w:rPr>
          <w:rFonts w:ascii="Book Antiqua"/>
          <w:color w:val="262626"/>
          <w:u w:color="1a348d"/>
          <w:rtl w:val="0"/>
          <w:lang w:val="it-IT"/>
        </w:rPr>
        <w:t>associazione ha fatto ricorso avverso l'AIA proprio perch</w:t>
      </w:r>
      <w:r>
        <w:rPr>
          <w:rFonts w:hAnsi="Book Antiqua" w:hint="default"/>
          <w:color w:val="262626"/>
          <w:u w:color="1a348d"/>
          <w:rtl w:val="0"/>
          <w:lang w:val="it-IT"/>
        </w:rPr>
        <w:t xml:space="preserve">é </w:t>
      </w:r>
      <w:r>
        <w:rPr>
          <w:rFonts w:ascii="Book Antiqua"/>
          <w:color w:val="262626"/>
          <w:u w:color="1a348d"/>
          <w:rtl w:val="0"/>
          <w:lang w:val="it-IT"/>
        </w:rPr>
        <w:t xml:space="preserve">non erano state date tali garanzie finanziarie; attualmente ci sono altre discariche utilizzate nel Lazio e si ha il sospetto che le garanzie finanziarie non vengano date; si </w:t>
      </w:r>
      <w:r>
        <w:rPr>
          <w:rFonts w:hAnsi="Book Antiqua" w:hint="default"/>
          <w:color w:val="262626"/>
          <w:u w:color="1a348d"/>
          <w:rtl w:val="0"/>
          <w:lang w:val="it-IT"/>
        </w:rPr>
        <w:t xml:space="preserve">è </w:t>
      </w:r>
      <w:r>
        <w:rPr>
          <w:rFonts w:ascii="Book Antiqua"/>
          <w:color w:val="262626"/>
          <w:u w:color="1a348d"/>
          <w:rtl w:val="0"/>
          <w:lang w:val="it-IT"/>
        </w:rPr>
        <w:t xml:space="preserve">ricorso al TAR, ma viene spesso obiettato che le garanzie finanziarie non sarebbero questioni propriamente ambientali e che quindi un comitato non ha interesse in tal senso. </w:t>
      </w:r>
    </w:p>
    <w:p>
      <w:pPr>
        <w:pStyle w:val="Normal"/>
        <w:widowControl w:val="0"/>
        <w:ind w:left="567" w:right="567" w:firstLine="0"/>
        <w:jc w:val="both"/>
        <w:rPr>
          <w:rFonts w:ascii="Book Antiqua" w:cs="Book Antiqua" w:hAnsi="Book Antiqua" w:eastAsia="Book Antiqua"/>
          <w:color w:val="262626"/>
          <w:u w:color="1a348d"/>
        </w:rPr>
      </w:pPr>
      <w:r>
        <w:rPr>
          <w:rFonts w:ascii="Book Antiqua"/>
          <w:color w:val="262626"/>
          <w:u w:color="1a348d"/>
          <w:rtl w:val="0"/>
          <w:lang w:val="it-IT"/>
        </w:rPr>
        <w:t xml:space="preserve">Monti dell'Ortaccio </w:t>
      </w:r>
      <w:r>
        <w:rPr>
          <w:rFonts w:hAnsi="Book Antiqua" w:hint="default"/>
          <w:color w:val="262626"/>
          <w:u w:color="1a348d"/>
          <w:rtl w:val="0"/>
          <w:lang w:val="it-IT"/>
        </w:rPr>
        <w:t xml:space="preserve">è </w:t>
      </w:r>
      <w:r>
        <w:rPr>
          <w:rFonts w:ascii="Book Antiqua"/>
          <w:color w:val="262626"/>
          <w:u w:color="1a348d"/>
          <w:rtl w:val="0"/>
          <w:lang w:val="it-IT"/>
        </w:rPr>
        <w:t xml:space="preserve">soltanto l'ultima delle discariche proposte; si ha infatti una zona piena di cave e una di queste, dello stesso gestore di Malagrotta, </w:t>
      </w:r>
      <w:r>
        <w:rPr>
          <w:rFonts w:hAnsi="Book Antiqua" w:hint="default"/>
          <w:color w:val="262626"/>
          <w:u w:color="1a348d"/>
          <w:rtl w:val="0"/>
          <w:lang w:val="it-IT"/>
        </w:rPr>
        <w:t xml:space="preserve">è </w:t>
      </w:r>
      <w:r>
        <w:rPr>
          <w:rFonts w:ascii="Book Antiqua"/>
          <w:color w:val="262626"/>
          <w:u w:color="1a348d"/>
          <w:rtl w:val="0"/>
          <w:lang w:val="it-IT"/>
        </w:rPr>
        <w:t xml:space="preserve">Monti dell'Ortaccio; il progetto </w:t>
      </w:r>
      <w:r>
        <w:rPr>
          <w:rFonts w:hAnsi="Book Antiqua" w:hint="default"/>
          <w:color w:val="262626"/>
          <w:u w:color="1a348d"/>
          <w:rtl w:val="0"/>
          <w:lang w:val="it-IT"/>
        </w:rPr>
        <w:t xml:space="preserve">è </w:t>
      </w:r>
      <w:r>
        <w:rPr>
          <w:rFonts w:ascii="Book Antiqua"/>
          <w:color w:val="262626"/>
          <w:u w:color="1a348d"/>
          <w:rtl w:val="0"/>
          <w:lang w:val="it-IT"/>
        </w:rPr>
        <w:t>in continuit</w:t>
      </w:r>
      <w:r>
        <w:rPr>
          <w:rFonts w:hAnsi="Book Antiqua" w:hint="default"/>
          <w:color w:val="262626"/>
          <w:u w:color="1a348d"/>
          <w:rtl w:val="0"/>
          <w:lang w:val="it-IT"/>
        </w:rPr>
        <w:t xml:space="preserve">à </w:t>
      </w:r>
      <w:r>
        <w:rPr>
          <w:rFonts w:ascii="Book Antiqua"/>
          <w:color w:val="262626"/>
          <w:u w:color="1a348d"/>
          <w:rtl w:val="0"/>
          <w:lang w:val="it-IT"/>
        </w:rPr>
        <w:t>rispetto a Malagrotta, magari con tecnologie pi</w:t>
      </w:r>
      <w:r>
        <w:rPr>
          <w:rFonts w:hAnsi="Book Antiqua" w:hint="default"/>
          <w:color w:val="262626"/>
          <w:u w:color="1a348d"/>
          <w:rtl w:val="0"/>
          <w:lang w:val="it-IT"/>
        </w:rPr>
        <w:t xml:space="preserve">ù </w:t>
      </w:r>
      <w:r>
        <w:rPr>
          <w:rFonts w:ascii="Book Antiqua"/>
          <w:color w:val="262626"/>
          <w:u w:color="1a348d"/>
          <w:rtl w:val="0"/>
          <w:lang w:val="it-IT"/>
        </w:rPr>
        <w:t xml:space="preserve">avanzate ma con gli stessi problemi e le stesse dinamiche: vi </w:t>
      </w:r>
      <w:r>
        <w:rPr>
          <w:rFonts w:hAnsi="Book Antiqua" w:hint="default"/>
          <w:color w:val="262626"/>
          <w:u w:color="1a348d"/>
          <w:rtl w:val="0"/>
          <w:lang w:val="it-IT"/>
        </w:rPr>
        <w:t xml:space="preserve">è </w:t>
      </w:r>
      <w:r>
        <w:rPr>
          <w:rFonts w:ascii="Book Antiqua"/>
          <w:color w:val="262626"/>
          <w:u w:color="1a348d"/>
          <w:rtl w:val="0"/>
          <w:lang w:val="it-IT"/>
        </w:rPr>
        <w:t>una cava nella quale c</w:t>
      </w:r>
      <w:r>
        <w:rPr>
          <w:rFonts w:hAnsi="Book Antiqua" w:hint="default"/>
          <w:color w:val="262626"/>
          <w:u w:color="1a348d"/>
          <w:rtl w:val="0"/>
          <w:lang w:val="it-IT"/>
        </w:rPr>
        <w:t xml:space="preserve">’è </w:t>
      </w:r>
      <w:r>
        <w:rPr>
          <w:rFonts w:ascii="Book Antiqua"/>
          <w:color w:val="262626"/>
          <w:u w:color="1a348d"/>
          <w:rtl w:val="0"/>
          <w:lang w:val="it-IT"/>
        </w:rPr>
        <w:t>gi</w:t>
      </w:r>
      <w:r>
        <w:rPr>
          <w:rFonts w:hAnsi="Book Antiqua" w:hint="default"/>
          <w:color w:val="262626"/>
          <w:u w:color="1a348d"/>
          <w:rtl w:val="0"/>
          <w:lang w:val="it-IT"/>
        </w:rPr>
        <w:t xml:space="preserve">à </w:t>
      </w:r>
      <w:r>
        <w:rPr>
          <w:rFonts w:ascii="Book Antiqua"/>
          <w:color w:val="262626"/>
          <w:u w:color="1a348d"/>
          <w:rtl w:val="0"/>
          <w:lang w:val="it-IT"/>
        </w:rPr>
        <w:t xml:space="preserve">un lago </w:t>
      </w:r>
      <w:r>
        <w:rPr>
          <w:rFonts w:hAnsi="Book Antiqua" w:hint="default"/>
          <w:color w:val="262626"/>
          <w:u w:color="1a348d"/>
          <w:rtl w:val="0"/>
          <w:lang w:val="it-IT"/>
        </w:rPr>
        <w:t xml:space="preserve">– </w:t>
      </w:r>
      <w:r>
        <w:rPr>
          <w:rFonts w:ascii="Book Antiqua"/>
          <w:color w:val="262626"/>
          <w:u w:color="1a348d"/>
          <w:rtl w:val="0"/>
          <w:lang w:val="it-IT"/>
        </w:rPr>
        <w:t>perch</w:t>
      </w:r>
      <w:r>
        <w:rPr>
          <w:rFonts w:hAnsi="Book Antiqua" w:hint="default"/>
          <w:color w:val="262626"/>
          <w:u w:color="1a348d"/>
          <w:rtl w:val="0"/>
          <w:lang w:val="it-IT"/>
        </w:rPr>
        <w:t xml:space="preserve">é è </w:t>
      </w:r>
      <w:r>
        <w:rPr>
          <w:rFonts w:ascii="Book Antiqua"/>
          <w:color w:val="262626"/>
          <w:u w:color="1a348d"/>
          <w:rtl w:val="0"/>
          <w:lang w:val="it-IT"/>
        </w:rPr>
        <w:t xml:space="preserve">stata aperta la barriera naturale </w:t>
      </w:r>
      <w:r>
        <w:rPr>
          <w:rFonts w:hAnsi="Book Antiqua" w:hint="default"/>
          <w:color w:val="262626"/>
          <w:u w:color="1a348d"/>
          <w:rtl w:val="0"/>
          <w:lang w:val="it-IT"/>
        </w:rPr>
        <w:t xml:space="preserve">– </w:t>
      </w:r>
      <w:r>
        <w:rPr>
          <w:rFonts w:ascii="Book Antiqua"/>
          <w:color w:val="262626"/>
          <w:u w:color="1a348d"/>
          <w:rtl w:val="0"/>
          <w:lang w:val="it-IT"/>
        </w:rPr>
        <w:t>e su quella si fa una discarica galleggiante. Per quanto riguarda invece le fideiussioni, Monti dell</w:t>
      </w:r>
      <w:r>
        <w:rPr>
          <w:rFonts w:hAnsi="Book Antiqua" w:hint="default"/>
          <w:color w:val="262626"/>
          <w:u w:color="1a348d"/>
          <w:rtl w:val="0"/>
          <w:lang w:val="it-IT"/>
        </w:rPr>
        <w:t>’</w:t>
      </w:r>
      <w:r>
        <w:rPr>
          <w:rFonts w:ascii="Book Antiqua"/>
          <w:color w:val="262626"/>
          <w:u w:color="1a348d"/>
          <w:rtl w:val="0"/>
          <w:lang w:val="it-IT"/>
        </w:rPr>
        <w:t xml:space="preserve">Ortaccio insegna che la revoca dell'AIA, che </w:t>
      </w:r>
      <w:r>
        <w:rPr>
          <w:rFonts w:hAnsi="Book Antiqua" w:hint="default"/>
          <w:color w:val="262626"/>
          <w:u w:color="1a348d"/>
          <w:rtl w:val="0"/>
          <w:lang w:val="it-IT"/>
        </w:rPr>
        <w:t xml:space="preserve">è </w:t>
      </w:r>
      <w:r>
        <w:rPr>
          <w:rFonts w:ascii="Book Antiqua"/>
          <w:color w:val="262626"/>
          <w:u w:color="1a348d"/>
          <w:rtl w:val="0"/>
          <w:lang w:val="it-IT"/>
        </w:rPr>
        <w:t xml:space="preserve">stata eseguita nel febbraio del 2014, </w:t>
      </w:r>
      <w:r>
        <w:rPr>
          <w:rFonts w:hAnsi="Book Antiqua" w:hint="default"/>
          <w:color w:val="262626"/>
          <w:u w:color="1a348d"/>
          <w:rtl w:val="0"/>
          <w:lang w:val="it-IT"/>
        </w:rPr>
        <w:t xml:space="preserve">è </w:t>
      </w:r>
      <w:r>
        <w:rPr>
          <w:rFonts w:ascii="Book Antiqua"/>
          <w:color w:val="262626"/>
          <w:u w:color="1a348d"/>
          <w:rtl w:val="0"/>
          <w:lang w:val="it-IT"/>
        </w:rPr>
        <w:t>stata motivata anche con una polizza fideiussoria fatta dall'Istituto Forte Asigurari-Reasigurari S.A., che ha sede a Bucarest e che al momento non aveva i requisiti della deliberazione della Giunta regionale n. 239 del 2009, posto che i parametri regionali prevedono cinque anni di attivit</w:t>
      </w:r>
      <w:r>
        <w:rPr>
          <w:rFonts w:hAnsi="Book Antiqua" w:hint="default"/>
          <w:color w:val="262626"/>
          <w:u w:color="1a348d"/>
          <w:rtl w:val="0"/>
          <w:lang w:val="it-IT"/>
        </w:rPr>
        <w:t xml:space="preserve">à </w:t>
      </w:r>
      <w:r>
        <w:rPr>
          <w:rFonts w:ascii="Book Antiqua"/>
          <w:color w:val="262626"/>
          <w:u w:color="1a348d"/>
          <w:rtl w:val="0"/>
          <w:lang w:val="it-IT"/>
        </w:rPr>
        <w:t xml:space="preserve">nel ramo, cosa che questo istituto non aveva maturato (tra l'altro,  segnalato dall'ISVAP nel 2010). </w:t>
      </w:r>
    </w:p>
    <w:p>
      <w:pPr>
        <w:pStyle w:val="Normal"/>
        <w:widowControl w:val="0"/>
        <w:ind w:left="567" w:right="567" w:firstLine="0"/>
        <w:jc w:val="both"/>
        <w:rPr>
          <w:rFonts w:ascii="Book Antiqua" w:cs="Book Antiqua" w:hAnsi="Book Antiqua" w:eastAsia="Book Antiqua"/>
          <w:color w:val="262626"/>
          <w:u w:color="1a348d"/>
        </w:rPr>
      </w:pPr>
      <w:r>
        <w:rPr>
          <w:rFonts w:ascii="Book Antiqua"/>
          <w:color w:val="262626"/>
          <w:u w:color="1a348d"/>
          <w:rtl w:val="0"/>
          <w:lang w:val="it-IT"/>
        </w:rPr>
        <w:t>Questo problema delle garanzie fideiussorie va esteso a tutte le discariche, se non d'Italia, sicuramente del Lazio, perch</w:t>
      </w:r>
      <w:r>
        <w:rPr>
          <w:rFonts w:hAnsi="Book Antiqua" w:hint="default"/>
          <w:color w:val="262626"/>
          <w:u w:color="1a348d"/>
          <w:rtl w:val="0"/>
          <w:lang w:val="it-IT"/>
        </w:rPr>
        <w:t xml:space="preserve">é </w:t>
      </w:r>
      <w:r>
        <w:rPr>
          <w:rFonts w:ascii="Book Antiqua"/>
          <w:color w:val="262626"/>
          <w:u w:color="1a348d"/>
          <w:rtl w:val="0"/>
          <w:lang w:val="it-IT"/>
        </w:rPr>
        <w:t>non soltanto le discariche, ma anche gli impianti pi</w:t>
      </w:r>
      <w:r>
        <w:rPr>
          <w:rFonts w:hAnsi="Book Antiqua" w:hint="default"/>
          <w:color w:val="262626"/>
          <w:u w:color="1a348d"/>
          <w:rtl w:val="0"/>
          <w:lang w:val="it-IT"/>
        </w:rPr>
        <w:t xml:space="preserve">ù </w:t>
      </w:r>
      <w:r>
        <w:rPr>
          <w:rFonts w:ascii="Book Antiqua"/>
          <w:color w:val="262626"/>
          <w:u w:color="1a348d"/>
          <w:rtl w:val="0"/>
          <w:lang w:val="it-IT"/>
        </w:rPr>
        <w:t>rilevanti hanno necessit</w:t>
      </w:r>
      <w:r>
        <w:rPr>
          <w:rFonts w:hAnsi="Book Antiqua" w:hint="default"/>
          <w:color w:val="262626"/>
          <w:u w:color="1a348d"/>
          <w:rtl w:val="0"/>
          <w:lang w:val="it-IT"/>
        </w:rPr>
        <w:t xml:space="preserve">à </w:t>
      </w:r>
      <w:r>
        <w:rPr>
          <w:rFonts w:ascii="Book Antiqua"/>
          <w:color w:val="262626"/>
          <w:u w:color="1a348d"/>
          <w:rtl w:val="0"/>
          <w:lang w:val="it-IT"/>
        </w:rPr>
        <w:t>di questo tipo di intervento; nel momento in cui il pubblico deve intervenire per riprendere una situazione che il privato tralascia, si devono avere anche le coperture finanziarie, altrimenti tutto ricade sul pubblico; su Malagrotta c</w:t>
      </w:r>
      <w:r>
        <w:rPr>
          <w:rFonts w:hAnsi="Book Antiqua" w:hint="default"/>
          <w:color w:val="262626"/>
          <w:u w:color="1a348d"/>
          <w:rtl w:val="0"/>
          <w:lang w:val="it-IT"/>
        </w:rPr>
        <w:t xml:space="preserve">’è </w:t>
      </w:r>
      <w:r>
        <w:rPr>
          <w:rFonts w:ascii="Book Antiqua"/>
          <w:color w:val="262626"/>
          <w:u w:color="1a348d"/>
          <w:rtl w:val="0"/>
          <w:lang w:val="it-IT"/>
        </w:rPr>
        <w:t xml:space="preserve">questo forte dubbio, ma anche su altri siti, naturalmente. La stessa AMA aveva richiesto le fideiussioni e la risposta </w:t>
      </w:r>
      <w:r>
        <w:rPr>
          <w:rFonts w:hAnsi="Book Antiqua" w:hint="default"/>
          <w:color w:val="262626"/>
          <w:u w:color="1a348d"/>
          <w:rtl w:val="0"/>
          <w:lang w:val="it-IT"/>
        </w:rPr>
        <w:t xml:space="preserve">è </w:t>
      </w:r>
      <w:r>
        <w:rPr>
          <w:rFonts w:ascii="Book Antiqua"/>
          <w:color w:val="262626"/>
          <w:u w:color="1a348d"/>
          <w:rtl w:val="0"/>
          <w:lang w:val="it-IT"/>
        </w:rPr>
        <w:t>sempre stata parziale da parte della regione. Le stesse cose le hanno chieste l'Associazione Raggio Verde e dei consiglieri regionali, ma la risposta della regione</w:t>
      </w:r>
      <w:r>
        <w:rPr>
          <w:rFonts w:hAnsi="Book Antiqua" w:hint="default"/>
          <w:color w:val="262626"/>
          <w:u w:color="1a348d"/>
          <w:rtl w:val="0"/>
          <w:lang w:val="it-IT"/>
        </w:rPr>
        <w:t xml:space="preserve"> è </w:t>
      </w:r>
      <w:r>
        <w:rPr>
          <w:rFonts w:ascii="Book Antiqua"/>
          <w:color w:val="262626"/>
          <w:u w:color="1a348d"/>
          <w:rtl w:val="0"/>
          <w:lang w:val="it-IT"/>
        </w:rPr>
        <w:t>stata dapprima parziale e poi c</w:t>
      </w:r>
      <w:r>
        <w:rPr>
          <w:rFonts w:hAnsi="Book Antiqua" w:hint="default"/>
          <w:color w:val="262626"/>
          <w:u w:color="1a348d"/>
          <w:rtl w:val="0"/>
          <w:lang w:val="it-IT"/>
        </w:rPr>
        <w:t xml:space="preserve">’è </w:t>
      </w:r>
      <w:r>
        <w:rPr>
          <w:rFonts w:ascii="Book Antiqua"/>
          <w:color w:val="262626"/>
          <w:u w:color="1a348d"/>
          <w:rtl w:val="0"/>
          <w:lang w:val="it-IT"/>
        </w:rPr>
        <w:t xml:space="preserve">stata una negazione completa. </w:t>
      </w:r>
    </w:p>
    <w:p>
      <w:pPr>
        <w:pStyle w:val="Normal"/>
        <w:widowControl w:val="0"/>
        <w:ind w:left="567" w:right="567" w:firstLine="0"/>
        <w:jc w:val="both"/>
        <w:rPr>
          <w:rFonts w:ascii="Book Antiqua" w:cs="Book Antiqua" w:hAnsi="Book Antiqua" w:eastAsia="Book Antiqua"/>
          <w:color w:val="262626"/>
          <w:u w:color="1a348d"/>
        </w:rPr>
      </w:pPr>
      <w:r>
        <w:rPr>
          <w:rFonts w:ascii="Book Antiqua"/>
          <w:color w:val="262626"/>
          <w:u w:color="1a348d"/>
          <w:rtl w:val="0"/>
          <w:lang w:val="it-IT"/>
        </w:rPr>
        <w:t xml:space="preserve">Il problema della tariffa rifiuti </w:t>
      </w:r>
      <w:r>
        <w:rPr>
          <w:rFonts w:hAnsi="Book Antiqua" w:hint="default"/>
          <w:color w:val="262626"/>
          <w:u w:color="1a348d"/>
          <w:rtl w:val="0"/>
          <w:lang w:val="it-IT"/>
        </w:rPr>
        <w:t xml:space="preserve">è </w:t>
      </w:r>
      <w:r>
        <w:rPr>
          <w:rFonts w:ascii="Book Antiqua"/>
          <w:color w:val="262626"/>
          <w:u w:color="1a348d"/>
          <w:rtl w:val="0"/>
          <w:lang w:val="it-IT"/>
        </w:rPr>
        <w:t>fondamentale perch</w:t>
      </w:r>
      <w:r>
        <w:rPr>
          <w:rFonts w:hAnsi="Book Antiqua" w:hint="default"/>
          <w:color w:val="262626"/>
          <w:u w:color="1a348d"/>
          <w:rtl w:val="0"/>
          <w:lang w:val="it-IT"/>
        </w:rPr>
        <w:t xml:space="preserve">é </w:t>
      </w:r>
      <w:r>
        <w:rPr>
          <w:rFonts w:ascii="Book Antiqua"/>
          <w:color w:val="262626"/>
          <w:u w:color="1a348d"/>
          <w:rtl w:val="0"/>
          <w:lang w:val="it-IT"/>
        </w:rPr>
        <w:t>per l'accesso a Malagrotta 1 e Malagrotta 2, i due TMB di Co.La.Ri, c</w:t>
      </w:r>
      <w:r>
        <w:rPr>
          <w:rFonts w:hAnsi="Book Antiqua" w:hint="default"/>
          <w:color w:val="262626"/>
          <w:u w:color="1a348d"/>
          <w:rtl w:val="0"/>
          <w:lang w:val="it-IT"/>
        </w:rPr>
        <w:t xml:space="preserve">’è </w:t>
      </w:r>
      <w:r>
        <w:rPr>
          <w:rFonts w:ascii="Book Antiqua"/>
          <w:color w:val="262626"/>
          <w:u w:color="1a348d"/>
          <w:rtl w:val="0"/>
          <w:lang w:val="it-IT"/>
        </w:rPr>
        <w:t xml:space="preserve">stata una richiesta da parte del Consiglio di Stato al Ministero per fare una verifica; </w:t>
      </w:r>
      <w:r>
        <w:rPr>
          <w:rFonts w:hAnsi="Book Antiqua" w:hint="default"/>
          <w:color w:val="262626"/>
          <w:u w:color="1a348d"/>
          <w:rtl w:val="0"/>
          <w:lang w:val="it-IT"/>
        </w:rPr>
        <w:t xml:space="preserve">è </w:t>
      </w:r>
      <w:r>
        <w:rPr>
          <w:rFonts w:ascii="Book Antiqua"/>
          <w:color w:val="262626"/>
          <w:u w:color="1a348d"/>
          <w:rtl w:val="0"/>
          <w:lang w:val="it-IT"/>
        </w:rPr>
        <w:t>stato infatti chiesto di accertare la correttezza della determinazione delle tariffe. La Giovi, nel 2011, aveva presentato un'istanza di revisione tariffaria, presentando i costi a consuntivo per il 2009; la tariffa d'accesso era stata fissata a 121 euro, con relativa certificazione sulla veridicit</w:t>
      </w:r>
      <w:r>
        <w:rPr>
          <w:rFonts w:hAnsi="Book Antiqua" w:hint="default"/>
          <w:color w:val="262626"/>
          <w:u w:color="1a348d"/>
          <w:rtl w:val="0"/>
          <w:lang w:val="it-IT"/>
        </w:rPr>
        <w:t xml:space="preserve">à </w:t>
      </w:r>
      <w:r>
        <w:rPr>
          <w:rFonts w:ascii="Book Antiqua"/>
          <w:color w:val="262626"/>
          <w:u w:color="1a348d"/>
          <w:rtl w:val="0"/>
          <w:lang w:val="it-IT"/>
        </w:rPr>
        <w:t>dei costi; la regione, per</w:t>
      </w:r>
      <w:r>
        <w:rPr>
          <w:rFonts w:hAnsi="Book Antiqua" w:hint="default"/>
          <w:color w:val="262626"/>
          <w:u w:color="1a348d"/>
          <w:rtl w:val="0"/>
          <w:lang w:val="it-IT"/>
        </w:rPr>
        <w:t>ò</w:t>
      </w:r>
      <w:r>
        <w:rPr>
          <w:rFonts w:ascii="Book Antiqua"/>
          <w:color w:val="262626"/>
          <w:u w:color="1a348d"/>
          <w:rtl w:val="0"/>
          <w:lang w:val="it-IT"/>
        </w:rPr>
        <w:t>, ritenendo di non avere professionalit</w:t>
      </w:r>
      <w:r>
        <w:rPr>
          <w:rFonts w:hAnsi="Book Antiqua" w:hint="default"/>
          <w:color w:val="262626"/>
          <w:u w:color="1a348d"/>
          <w:rtl w:val="0"/>
          <w:lang w:val="it-IT"/>
        </w:rPr>
        <w:t xml:space="preserve">à </w:t>
      </w:r>
      <w:r>
        <w:rPr>
          <w:rFonts w:ascii="Book Antiqua"/>
          <w:color w:val="262626"/>
          <w:u w:color="1a348d"/>
          <w:rtl w:val="0"/>
          <w:lang w:val="it-IT"/>
        </w:rPr>
        <w:t>adeguate, aveva poi fatto esaminare l'istanza dalla societ</w:t>
      </w:r>
      <w:r>
        <w:rPr>
          <w:rFonts w:hAnsi="Book Antiqua" w:hint="default"/>
          <w:color w:val="262626"/>
          <w:u w:color="1a348d"/>
          <w:rtl w:val="0"/>
          <w:lang w:val="it-IT"/>
        </w:rPr>
        <w:t xml:space="preserve">à </w:t>
      </w:r>
      <w:r>
        <w:rPr>
          <w:rFonts w:ascii="Book Antiqua"/>
          <w:color w:val="262626"/>
          <w:u w:color="1a348d"/>
          <w:rtl w:val="0"/>
          <w:lang w:val="it-IT"/>
        </w:rPr>
        <w:t>Sviluppo Lazio S.p.A.; due revisori commercialisti emisero una relazione economica sulla quale la regione Lazio fiss</w:t>
      </w:r>
      <w:r>
        <w:rPr>
          <w:rFonts w:hAnsi="Book Antiqua" w:hint="default"/>
          <w:color w:val="262626"/>
          <w:u w:color="1a348d"/>
          <w:rtl w:val="0"/>
          <w:lang w:val="it-IT"/>
        </w:rPr>
        <w:t xml:space="preserve">ò </w:t>
      </w:r>
      <w:r>
        <w:rPr>
          <w:rFonts w:ascii="Book Antiqua"/>
          <w:color w:val="262626"/>
          <w:u w:color="1a348d"/>
          <w:rtl w:val="0"/>
          <w:lang w:val="it-IT"/>
        </w:rPr>
        <w:t>la tariffa a euro 99,14 a tonnellata, al netto di ecotassa, benefit ambientali e Iva se dovuta. Dopo la sentenza del Consiglio di Stato, secondo l</w:t>
      </w:r>
      <w:r>
        <w:rPr>
          <w:rFonts w:hAnsi="Book Antiqua" w:hint="default"/>
          <w:color w:val="262626"/>
          <w:u w:color="1a348d"/>
          <w:rtl w:val="0"/>
          <w:lang w:val="it-IT"/>
        </w:rPr>
        <w:t>’</w:t>
      </w:r>
      <w:r>
        <w:rPr>
          <w:rFonts w:ascii="Book Antiqua"/>
          <w:color w:val="262626"/>
          <w:u w:color="1a348d"/>
          <w:rtl w:val="0"/>
          <w:lang w:val="it-IT"/>
        </w:rPr>
        <w:t xml:space="preserve">Associazione </w:t>
      </w:r>
      <w:r>
        <w:rPr>
          <w:rFonts w:hAnsi="Book Antiqua" w:hint="default"/>
          <w:color w:val="262626"/>
          <w:u w:color="1a348d"/>
          <w:rtl w:val="0"/>
          <w:lang w:val="it-IT"/>
        </w:rPr>
        <w:t xml:space="preserve">è </w:t>
      </w:r>
      <w:r>
        <w:rPr>
          <w:rFonts w:ascii="Book Antiqua"/>
          <w:color w:val="262626"/>
          <w:u w:color="1a348d"/>
          <w:rtl w:val="0"/>
          <w:lang w:val="it-IT"/>
        </w:rPr>
        <w:t>utile che queste relazioni vengano divulgate perch</w:t>
      </w:r>
      <w:r>
        <w:rPr>
          <w:rFonts w:hAnsi="Book Antiqua" w:hint="default"/>
          <w:color w:val="262626"/>
          <w:u w:color="1a348d"/>
          <w:rtl w:val="0"/>
          <w:lang w:val="it-IT"/>
        </w:rPr>
        <w:t xml:space="preserve">é </w:t>
      </w:r>
      <w:r>
        <w:rPr>
          <w:rFonts w:ascii="Book Antiqua"/>
          <w:color w:val="262626"/>
          <w:u w:color="1a348d"/>
          <w:rtl w:val="0"/>
          <w:lang w:val="it-IT"/>
        </w:rPr>
        <w:t xml:space="preserve">i contenuti sono rilevanti anche per la tutela dei cittadini. </w:t>
      </w:r>
    </w:p>
    <w:p>
      <w:pPr>
        <w:pStyle w:val="Normal"/>
        <w:widowControl w:val="0"/>
        <w:ind w:left="567" w:right="567" w:firstLine="0"/>
        <w:jc w:val="both"/>
        <w:rPr>
          <w:rFonts w:ascii="Book Antiqua" w:cs="Book Antiqua" w:hAnsi="Book Antiqua" w:eastAsia="Book Antiqua"/>
          <w:color w:val="262626"/>
          <w:u w:color="1a348d"/>
        </w:rPr>
      </w:pPr>
      <w:r>
        <w:rPr>
          <w:rFonts w:ascii="Book Antiqua"/>
          <w:color w:val="262626"/>
          <w:u w:color="1a348d"/>
          <w:rtl w:val="0"/>
          <w:lang w:val="it-IT"/>
        </w:rPr>
        <w:t xml:space="preserve">Il territorio </w:t>
      </w:r>
      <w:r>
        <w:rPr>
          <w:rFonts w:hAnsi="Book Antiqua" w:hint="default"/>
          <w:color w:val="262626"/>
          <w:u w:color="1a348d"/>
          <w:rtl w:val="0"/>
          <w:lang w:val="it-IT"/>
        </w:rPr>
        <w:t xml:space="preserve">è </w:t>
      </w:r>
      <w:r>
        <w:rPr>
          <w:rFonts w:ascii="Book Antiqua"/>
          <w:color w:val="262626"/>
          <w:u w:color="1a348d"/>
          <w:rtl w:val="0"/>
          <w:lang w:val="it-IT"/>
        </w:rPr>
        <w:t>molto vasto, e si rileva una certa complessit</w:t>
      </w:r>
      <w:r>
        <w:rPr>
          <w:rFonts w:hAnsi="Book Antiqua" w:hint="default"/>
          <w:color w:val="262626"/>
          <w:u w:color="1a348d"/>
          <w:rtl w:val="0"/>
          <w:lang w:val="it-IT"/>
        </w:rPr>
        <w:t xml:space="preserve">à </w:t>
      </w:r>
      <w:r>
        <w:rPr>
          <w:rFonts w:ascii="Book Antiqua"/>
          <w:color w:val="262626"/>
          <w:u w:color="1a348d"/>
          <w:rtl w:val="0"/>
          <w:lang w:val="it-IT"/>
        </w:rPr>
        <w:t xml:space="preserve">dell'area. Vi </w:t>
      </w:r>
      <w:r>
        <w:rPr>
          <w:rFonts w:hAnsi="Book Antiqua" w:hint="default"/>
          <w:color w:val="262626"/>
          <w:u w:color="1a348d"/>
          <w:rtl w:val="0"/>
          <w:lang w:val="it-IT"/>
        </w:rPr>
        <w:t xml:space="preserve">è </w:t>
      </w:r>
      <w:r>
        <w:rPr>
          <w:rFonts w:ascii="Book Antiqua"/>
          <w:color w:val="262626"/>
          <w:u w:color="1a348d"/>
          <w:rtl w:val="0"/>
          <w:lang w:val="it-IT"/>
        </w:rPr>
        <w:t>un</w:t>
      </w:r>
      <w:r>
        <w:rPr>
          <w:rFonts w:hAnsi="Book Antiqua" w:hint="default"/>
          <w:color w:val="262626"/>
          <w:u w:color="1a348d"/>
          <w:rtl w:val="0"/>
          <w:lang w:val="it-IT"/>
        </w:rPr>
        <w:t>’</w:t>
      </w:r>
      <w:r>
        <w:rPr>
          <w:rFonts w:ascii="Book Antiqua"/>
          <w:color w:val="262626"/>
          <w:u w:color="1a348d"/>
          <w:rtl w:val="0"/>
          <w:lang w:val="it-IT"/>
        </w:rPr>
        <w:t xml:space="preserve">area impiantistica che risale agli anni </w:t>
      </w:r>
      <w:r>
        <w:rPr>
          <w:rFonts w:hAnsi="Book Antiqua" w:hint="default"/>
          <w:color w:val="262626"/>
          <w:u w:color="1a348d"/>
          <w:rtl w:val="0"/>
          <w:lang w:val="it-IT"/>
        </w:rPr>
        <w:t>’</w:t>
      </w:r>
      <w:r>
        <w:rPr>
          <w:rFonts w:ascii="Book Antiqua"/>
          <w:color w:val="262626"/>
          <w:u w:color="1a348d"/>
          <w:rtl w:val="0"/>
          <w:lang w:val="it-IT"/>
        </w:rPr>
        <w:t>60, con la raffineria e una serie di altre attivit</w:t>
      </w:r>
      <w:r>
        <w:rPr>
          <w:rFonts w:hAnsi="Book Antiqua" w:hint="default"/>
          <w:color w:val="262626"/>
          <w:u w:color="1a348d"/>
          <w:rtl w:val="0"/>
          <w:lang w:val="it-IT"/>
        </w:rPr>
        <w:t>à</w:t>
      </w:r>
      <w:r>
        <w:rPr>
          <w:rFonts w:ascii="Book Antiqua"/>
          <w:color w:val="262626"/>
          <w:u w:color="1a348d"/>
          <w:rtl w:val="0"/>
          <w:lang w:val="it-IT"/>
        </w:rPr>
        <w:t>, come l'inceneritore degli ospedalieri; la raffineria attualmente fa soltanto stoccaggio ma ha raffinato, fino a due anni fa, la discarica di Malagrotta, altre possibili discariche nel sistema di cave, quindi Monti dell'Ortaccio, Monte Carnevale, cio</w:t>
      </w:r>
      <w:r>
        <w:rPr>
          <w:rFonts w:hAnsi="Book Antiqua" w:hint="default"/>
          <w:color w:val="262626"/>
          <w:u w:color="1a348d"/>
          <w:rtl w:val="0"/>
          <w:lang w:val="it-IT"/>
        </w:rPr>
        <w:t xml:space="preserve">è </w:t>
      </w:r>
      <w:r>
        <w:rPr>
          <w:rFonts w:ascii="Book Antiqua"/>
          <w:color w:val="262626"/>
          <w:u w:color="1a348d"/>
          <w:rtl w:val="0"/>
          <w:lang w:val="it-IT"/>
        </w:rPr>
        <w:t xml:space="preserve">tanti siti papabili. </w:t>
      </w:r>
    </w:p>
    <w:p>
      <w:pPr>
        <w:pStyle w:val="Normal"/>
        <w:widowControl w:val="0"/>
        <w:ind w:left="567" w:right="567" w:firstLine="0"/>
        <w:jc w:val="both"/>
        <w:rPr>
          <w:rFonts w:ascii="Book Antiqua" w:cs="Book Antiqua" w:hAnsi="Book Antiqua" w:eastAsia="Book Antiqua"/>
          <w:color w:val="262626"/>
          <w:u w:color="1a348d"/>
        </w:rPr>
      </w:pPr>
      <w:r>
        <w:rPr>
          <w:rFonts w:ascii="Book Antiqua"/>
          <w:color w:val="262626"/>
          <w:u w:color="1a348d"/>
          <w:rtl w:val="0"/>
          <w:lang w:val="it-IT"/>
        </w:rPr>
        <w:t>C</w:t>
      </w:r>
      <w:r>
        <w:rPr>
          <w:rFonts w:hAnsi="Book Antiqua" w:hint="default"/>
          <w:color w:val="262626"/>
          <w:u w:color="1a348d"/>
          <w:rtl w:val="0"/>
          <w:lang w:val="it-IT"/>
        </w:rPr>
        <w:t xml:space="preserve">’è </w:t>
      </w:r>
      <w:r>
        <w:rPr>
          <w:rFonts w:ascii="Book Antiqua"/>
          <w:color w:val="262626"/>
          <w:u w:color="1a348d"/>
          <w:rtl w:val="0"/>
          <w:lang w:val="it-IT"/>
        </w:rPr>
        <w:t>un bitumificio, un cementificio, una serie di attivit</w:t>
      </w:r>
      <w:r>
        <w:rPr>
          <w:rFonts w:hAnsi="Book Antiqua" w:hint="default"/>
          <w:color w:val="262626"/>
          <w:u w:color="1a348d"/>
          <w:rtl w:val="0"/>
          <w:lang w:val="it-IT"/>
        </w:rPr>
        <w:t xml:space="preserve">à </w:t>
      </w:r>
      <w:r>
        <w:rPr>
          <w:rFonts w:ascii="Book Antiqua"/>
          <w:color w:val="262626"/>
          <w:u w:color="1a348d"/>
          <w:rtl w:val="0"/>
          <w:lang w:val="it-IT"/>
        </w:rPr>
        <w:t xml:space="preserve">correlate, il gassificatore di Malagrotta, che </w:t>
      </w:r>
      <w:r>
        <w:rPr>
          <w:rFonts w:hAnsi="Book Antiqua" w:hint="default"/>
          <w:color w:val="262626"/>
          <w:u w:color="1a348d"/>
          <w:rtl w:val="0"/>
          <w:lang w:val="it-IT"/>
        </w:rPr>
        <w:t xml:space="preserve">è </w:t>
      </w:r>
      <w:r>
        <w:rPr>
          <w:rFonts w:ascii="Book Antiqua"/>
          <w:color w:val="262626"/>
          <w:u w:color="1a348d"/>
          <w:rtl w:val="0"/>
          <w:lang w:val="it-IT"/>
        </w:rPr>
        <w:t>all'interno delle aree Seveso; si fa riferimento ad  un sistema di oleodotti, gasdotti e metanodotti che portano carburanti vari, tra cui i carburanti per l'aeroporto di Fiumicino, quindi c</w:t>
      </w:r>
      <w:r>
        <w:rPr>
          <w:rFonts w:hAnsi="Book Antiqua" w:hint="default"/>
          <w:color w:val="262626"/>
          <w:u w:color="1a348d"/>
          <w:rtl w:val="0"/>
          <w:lang w:val="it-IT"/>
        </w:rPr>
        <w:t xml:space="preserve">’è </w:t>
      </w:r>
      <w:r>
        <w:rPr>
          <w:rFonts w:ascii="Book Antiqua"/>
          <w:color w:val="262626"/>
          <w:u w:color="1a348d"/>
          <w:rtl w:val="0"/>
          <w:lang w:val="it-IT"/>
        </w:rPr>
        <w:t xml:space="preserve">tutto uno stoccaggio mentre prima c'era una raffinazione. Questi prodotti vengono anche confezionati e quindi messi a pressione; ci sono quindi cinque aree Seveso a rischio incidente rilevante; in mezzo a queste aree Seveso </w:t>
      </w:r>
      <w:r>
        <w:rPr>
          <w:rFonts w:hAnsi="Book Antiqua" w:hint="default"/>
          <w:color w:val="262626"/>
          <w:u w:color="1a348d"/>
          <w:rtl w:val="0"/>
          <w:lang w:val="it-IT"/>
        </w:rPr>
        <w:t xml:space="preserve">è </w:t>
      </w:r>
      <w:r>
        <w:rPr>
          <w:rFonts w:ascii="Book Antiqua"/>
          <w:color w:val="262626"/>
          <w:u w:color="1a348d"/>
          <w:rtl w:val="0"/>
          <w:lang w:val="it-IT"/>
        </w:rPr>
        <w:t xml:space="preserve">stato piazzato il gassificatore di Malagrotta, una linea sperimentale che non ha mai funzionato correttamente; ben 900 milioni venivano chiesti tra gli altri investimenti anche e soprattutto per i costi sostenuti per il gassificatore. La linea sperimentale </w:t>
      </w:r>
      <w:r>
        <w:rPr>
          <w:rFonts w:hAnsi="Book Antiqua" w:hint="default"/>
          <w:color w:val="262626"/>
          <w:u w:color="1a348d"/>
          <w:rtl w:val="0"/>
          <w:lang w:val="it-IT"/>
        </w:rPr>
        <w:t xml:space="preserve">è </w:t>
      </w:r>
      <w:r>
        <w:rPr>
          <w:rFonts w:ascii="Book Antiqua"/>
          <w:color w:val="262626"/>
          <w:u w:color="1a348d"/>
          <w:rtl w:val="0"/>
          <w:lang w:val="it-IT"/>
        </w:rPr>
        <w:t xml:space="preserve">una, l'edificio </w:t>
      </w:r>
      <w:r>
        <w:rPr>
          <w:rFonts w:hAnsi="Book Antiqua" w:hint="default"/>
          <w:color w:val="262626"/>
          <w:u w:color="1a348d"/>
          <w:rtl w:val="0"/>
          <w:lang w:val="it-IT"/>
        </w:rPr>
        <w:t xml:space="preserve">è </w:t>
      </w:r>
      <w:r>
        <w:rPr>
          <w:rFonts w:ascii="Book Antiqua"/>
          <w:color w:val="262626"/>
          <w:u w:color="1a348d"/>
          <w:rtl w:val="0"/>
          <w:lang w:val="it-IT"/>
        </w:rPr>
        <w:t>praticamente vuoto per met</w:t>
      </w:r>
      <w:r>
        <w:rPr>
          <w:rFonts w:hAnsi="Book Antiqua" w:hint="default"/>
          <w:color w:val="262626"/>
          <w:u w:color="1a348d"/>
          <w:rtl w:val="0"/>
          <w:lang w:val="it-IT"/>
        </w:rPr>
        <w:t xml:space="preserve">à </w:t>
      </w:r>
      <w:r>
        <w:rPr>
          <w:rFonts w:ascii="Book Antiqua"/>
          <w:color w:val="262626"/>
          <w:u w:color="1a348d"/>
          <w:rtl w:val="0"/>
          <w:lang w:val="it-IT"/>
        </w:rPr>
        <w:t>e, secondo il rappresentante dell</w:t>
      </w:r>
      <w:r>
        <w:rPr>
          <w:rFonts w:hAnsi="Book Antiqua" w:hint="default"/>
          <w:color w:val="262626"/>
          <w:u w:color="1a348d"/>
          <w:rtl w:val="0"/>
          <w:lang w:val="it-IT"/>
        </w:rPr>
        <w:t>’</w:t>
      </w:r>
      <w:r>
        <w:rPr>
          <w:rFonts w:ascii="Book Antiqua"/>
          <w:color w:val="262626"/>
          <w:u w:color="1a348d"/>
          <w:rtl w:val="0"/>
          <w:lang w:val="it-IT"/>
        </w:rPr>
        <w:t>Associazione, non rispetta alcuni vincoli. Al momento, si tratta ancora di una scatola semivuota: c</w:t>
      </w:r>
      <w:r>
        <w:rPr>
          <w:rFonts w:hAnsi="Book Antiqua" w:hint="default"/>
          <w:color w:val="262626"/>
          <w:u w:color="1a348d"/>
          <w:rtl w:val="0"/>
          <w:lang w:val="it-IT"/>
        </w:rPr>
        <w:t xml:space="preserve">’è </w:t>
      </w:r>
      <w:r>
        <w:rPr>
          <w:rFonts w:ascii="Book Antiqua"/>
          <w:color w:val="262626"/>
          <w:u w:color="1a348d"/>
          <w:rtl w:val="0"/>
          <w:lang w:val="it-IT"/>
        </w:rPr>
        <w:t xml:space="preserve">questo gassificatore sperimentale e due linee in attesa di avere l'autorizzazione. La sovrapposizione delle carte </w:t>
      </w:r>
      <w:r>
        <w:rPr>
          <w:rFonts w:hAnsi="Book Antiqua" w:hint="default"/>
          <w:color w:val="262626"/>
          <w:u w:color="1a348d"/>
          <w:rtl w:val="0"/>
          <w:lang w:val="it-IT"/>
        </w:rPr>
        <w:t xml:space="preserve">è </w:t>
      </w:r>
      <w:r>
        <w:rPr>
          <w:rFonts w:ascii="Book Antiqua"/>
          <w:color w:val="262626"/>
          <w:u w:color="1a348d"/>
          <w:rtl w:val="0"/>
          <w:lang w:val="it-IT"/>
        </w:rPr>
        <w:t>abbastanza problematica per la regione.</w:t>
      </w:r>
    </w:p>
    <w:p>
      <w:pPr>
        <w:pStyle w:val="Normal"/>
        <w:widowControl w:val="0"/>
        <w:ind w:left="567" w:right="567" w:firstLine="0"/>
        <w:jc w:val="both"/>
        <w:rPr>
          <w:rFonts w:ascii="Book Antiqua" w:cs="Book Antiqua" w:hAnsi="Book Antiqua" w:eastAsia="Book Antiqua"/>
          <w:color w:val="262626"/>
          <w:u w:color="1a348d"/>
        </w:rPr>
      </w:pPr>
      <w:r>
        <w:rPr>
          <w:rFonts w:ascii="Book Antiqua"/>
          <w:color w:val="262626"/>
          <w:u w:color="1a348d"/>
          <w:rtl w:val="0"/>
          <w:lang w:val="it-IT"/>
        </w:rPr>
        <w:t>Secondo il rappresentante dell</w:t>
      </w:r>
      <w:r>
        <w:rPr>
          <w:rFonts w:hAnsi="Book Antiqua" w:hint="default"/>
          <w:color w:val="262626"/>
          <w:u w:color="1a348d"/>
          <w:rtl w:val="0"/>
          <w:lang w:val="it-IT"/>
        </w:rPr>
        <w:t>’</w:t>
      </w:r>
      <w:r>
        <w:rPr>
          <w:rFonts w:ascii="Book Antiqua"/>
          <w:color w:val="262626"/>
          <w:u w:color="1a348d"/>
          <w:rtl w:val="0"/>
          <w:lang w:val="it-IT"/>
        </w:rPr>
        <w:t xml:space="preserve">Associazione non sarebbe stato predisposto un piano di emergenza, di evacuazione e di messa in sicurezza unitario, che comprenda tutti gli impianti; il monitoraggio ambientale non </w:t>
      </w:r>
      <w:r>
        <w:rPr>
          <w:rFonts w:hAnsi="Book Antiqua" w:hint="default"/>
          <w:color w:val="262626"/>
          <w:u w:color="1a348d"/>
          <w:rtl w:val="0"/>
          <w:lang w:val="it-IT"/>
        </w:rPr>
        <w:t xml:space="preserve">è </w:t>
      </w:r>
      <w:r>
        <w:rPr>
          <w:rFonts w:ascii="Book Antiqua"/>
          <w:color w:val="262626"/>
          <w:u w:color="1a348d"/>
          <w:rtl w:val="0"/>
          <w:lang w:val="it-IT"/>
        </w:rPr>
        <w:t xml:space="preserve">mai partito e i soldi ancora sono in provincia; anche il rischio incidente rilevante </w:t>
      </w:r>
      <w:r>
        <w:rPr>
          <w:rFonts w:hAnsi="Book Antiqua" w:hint="default"/>
          <w:color w:val="262626"/>
          <w:u w:color="1a348d"/>
          <w:rtl w:val="0"/>
          <w:lang w:val="it-IT"/>
        </w:rPr>
        <w:t xml:space="preserve">è </w:t>
      </w:r>
      <w:r>
        <w:rPr>
          <w:rFonts w:ascii="Book Antiqua"/>
          <w:color w:val="262626"/>
          <w:u w:color="1a348d"/>
          <w:rtl w:val="0"/>
          <w:lang w:val="it-IT"/>
        </w:rPr>
        <w:t>frammentato, quindi ogni impianto ha il suo piccolo piano di sicurezza esterno e non c</w:t>
      </w:r>
      <w:r>
        <w:rPr>
          <w:rFonts w:hAnsi="Book Antiqua" w:hint="default"/>
          <w:color w:val="262626"/>
          <w:u w:color="1a348d"/>
          <w:rtl w:val="0"/>
          <w:lang w:val="it-IT"/>
        </w:rPr>
        <w:t xml:space="preserve">’è </w:t>
      </w:r>
      <w:r>
        <w:rPr>
          <w:rFonts w:ascii="Book Antiqua"/>
          <w:color w:val="262626"/>
          <w:u w:color="1a348d"/>
          <w:rtl w:val="0"/>
          <w:lang w:val="it-IT"/>
        </w:rPr>
        <w:t>un piano unitario. Ad esempio, il paino d</w:t>
      </w:r>
      <w:r>
        <w:rPr>
          <w:rFonts w:hAnsi="Book Antiqua" w:hint="default"/>
          <w:color w:val="262626"/>
          <w:u w:color="1a348d"/>
          <w:rtl w:val="0"/>
          <w:lang w:val="it-IT"/>
        </w:rPr>
        <w:t>’</w:t>
      </w:r>
      <w:r>
        <w:rPr>
          <w:rFonts w:ascii="Book Antiqua"/>
          <w:color w:val="262626"/>
          <w:u w:color="1a348d"/>
          <w:rtl w:val="0"/>
          <w:lang w:val="it-IT"/>
        </w:rPr>
        <w:t xml:space="preserve">emergenza della raffineria non comprendeva la tratta della Roma-Genova-Torino, che </w:t>
      </w:r>
      <w:r>
        <w:rPr>
          <w:rFonts w:hAnsi="Book Antiqua" w:hint="default"/>
          <w:color w:val="262626"/>
          <w:u w:color="1a348d"/>
          <w:rtl w:val="0"/>
          <w:lang w:val="it-IT"/>
        </w:rPr>
        <w:t xml:space="preserve">è </w:t>
      </w:r>
      <w:r>
        <w:rPr>
          <w:rFonts w:ascii="Book Antiqua"/>
          <w:color w:val="262626"/>
          <w:u w:color="1a348d"/>
          <w:rtl w:val="0"/>
          <w:lang w:val="it-IT"/>
        </w:rPr>
        <w:t>una ferrovia su cui viene trasportato anche materiale esplosivo.</w:t>
      </w:r>
    </w:p>
    <w:p>
      <w:pPr>
        <w:pStyle w:val="Normal"/>
        <w:widowControl w:val="0"/>
        <w:ind w:left="567" w:right="567" w:firstLine="0"/>
        <w:jc w:val="both"/>
        <w:rPr>
          <w:rFonts w:ascii="Book Antiqua" w:cs="Book Antiqua" w:hAnsi="Book Antiqua" w:eastAsia="Book Antiqua"/>
          <w:color w:val="262626"/>
          <w:u w:color="1a348d"/>
        </w:rPr>
      </w:pPr>
      <w:r>
        <w:rPr>
          <w:rFonts w:ascii="Book Antiqua"/>
          <w:color w:val="262626"/>
          <w:u w:color="1a348d"/>
          <w:rtl w:val="0"/>
          <w:lang w:val="it-IT"/>
        </w:rPr>
        <w:t>Per quanto riguarda gli inceneritori ospedalieri di AMA e il futuro progetto di un ecodistretto, a dicembre del 2013 l'Autorit</w:t>
      </w:r>
      <w:r>
        <w:rPr>
          <w:rFonts w:hAnsi="Book Antiqua" w:hint="default"/>
          <w:color w:val="262626"/>
          <w:u w:color="1a348d"/>
          <w:rtl w:val="0"/>
          <w:lang w:val="it-IT"/>
        </w:rPr>
        <w:t xml:space="preserve">à </w:t>
      </w:r>
      <w:r>
        <w:rPr>
          <w:rFonts w:ascii="Book Antiqua"/>
          <w:color w:val="262626"/>
          <w:u w:color="1a348d"/>
          <w:rtl w:val="0"/>
          <w:lang w:val="it-IT"/>
        </w:rPr>
        <w:t>di bacino del fiume Tevere, recependo la nuova normativa comunitaria, che prevede la divisione dei rischi anche sui rami secondari dei corsi d'acqua, in questo caso il Rio Galeria, ha evidenziato dei rischi e ha redatto una mappa delle pericolosit</w:t>
      </w:r>
      <w:r>
        <w:rPr>
          <w:rFonts w:hAnsi="Book Antiqua" w:hint="default"/>
          <w:color w:val="262626"/>
          <w:u w:color="1a348d"/>
          <w:rtl w:val="0"/>
          <w:lang w:val="it-IT"/>
        </w:rPr>
        <w:t>à</w:t>
      </w:r>
      <w:r>
        <w:rPr>
          <w:rFonts w:ascii="Book Antiqua"/>
          <w:color w:val="262626"/>
          <w:u w:color="1a348d"/>
          <w:rtl w:val="0"/>
          <w:lang w:val="it-IT"/>
        </w:rPr>
        <w:t xml:space="preserve">. Si </w:t>
      </w:r>
      <w:r>
        <w:rPr>
          <w:rFonts w:hAnsi="Book Antiqua" w:hint="default"/>
          <w:color w:val="262626"/>
          <w:u w:color="1a348d"/>
          <w:rtl w:val="0"/>
          <w:lang w:val="it-IT"/>
        </w:rPr>
        <w:t xml:space="preserve">è </w:t>
      </w:r>
      <w:r>
        <w:rPr>
          <w:rFonts w:ascii="Book Antiqua"/>
          <w:color w:val="262626"/>
          <w:u w:color="1a348d"/>
          <w:rtl w:val="0"/>
          <w:lang w:val="it-IT"/>
        </w:rPr>
        <w:t xml:space="preserve">preso atto della confluenza di due torrenti, di cui uno si attiva solo in determinate occasioni, con forti precipitazioni in alcuni punti del territorio, per cui tutti gli impianti si allagano; il 31 gennaio 2014 si </w:t>
      </w:r>
      <w:r>
        <w:rPr>
          <w:rFonts w:hAnsi="Book Antiqua" w:hint="default"/>
          <w:color w:val="262626"/>
          <w:u w:color="1a348d"/>
          <w:rtl w:val="0"/>
          <w:lang w:val="it-IT"/>
        </w:rPr>
        <w:t xml:space="preserve">è </w:t>
      </w:r>
      <w:r>
        <w:rPr>
          <w:rFonts w:ascii="Book Antiqua"/>
          <w:color w:val="262626"/>
          <w:u w:color="1a348d"/>
          <w:rtl w:val="0"/>
          <w:lang w:val="it-IT"/>
        </w:rPr>
        <w:t>verificato l'allagamento della raffineria, con sversamento di petrolio, allagamento delle aree del deposito di rifiuti ospedalieri di Ponte Malnome di AMA e con dispersione dei rifiuti ospedalieri nel torrente e nei campi</w:t>
      </w:r>
      <w:r>
        <w:rPr>
          <w:rFonts w:ascii="Book Antiqua" w:cs="Book Antiqua" w:hAnsi="Book Antiqua" w:eastAsia="Book Antiqua"/>
          <w:color w:val="262626"/>
          <w:u w:color="1a348d"/>
          <w:vertAlign w:val="superscript"/>
          <w:rtl w:val="0"/>
        </w:rPr>
        <w:footnoteReference w:id="226"/>
      </w:r>
      <w:r>
        <w:rPr>
          <w:rFonts w:ascii="Book Antiqua"/>
          <w:color w:val="262626"/>
          <w:u w:color="1a348d"/>
          <w:rtl w:val="0"/>
          <w:lang w:val="it-IT"/>
        </w:rPr>
        <w:t xml:space="preserve">. </w:t>
      </w:r>
    </w:p>
    <w:p>
      <w:pPr>
        <w:pStyle w:val="Normal"/>
        <w:widowControl w:val="0"/>
        <w:ind w:left="567" w:right="567" w:firstLine="0"/>
        <w:jc w:val="both"/>
        <w:rPr>
          <w:rFonts w:ascii="Book Antiqua" w:cs="Book Antiqua" w:hAnsi="Book Antiqua" w:eastAsia="Book Antiqua"/>
          <w:color w:val="262626"/>
          <w:u w:color="1a348d"/>
        </w:rPr>
      </w:pPr>
      <w:r>
        <w:rPr>
          <w:rFonts w:ascii="Book Antiqua"/>
          <w:color w:val="262626"/>
          <w:u w:color="1a348d"/>
          <w:rtl w:val="0"/>
          <w:lang w:val="it-IT"/>
        </w:rPr>
        <w:t xml:space="preserve">Lo stabilimento per gli ospedalieri </w:t>
      </w:r>
      <w:r>
        <w:rPr>
          <w:rFonts w:hAnsi="Book Antiqua" w:hint="default"/>
          <w:color w:val="262626"/>
          <w:u w:color="1a348d"/>
          <w:rtl w:val="0"/>
          <w:lang w:val="it-IT"/>
        </w:rPr>
        <w:t xml:space="preserve">è </w:t>
      </w:r>
      <w:r>
        <w:rPr>
          <w:rFonts w:ascii="Book Antiqua"/>
          <w:color w:val="262626"/>
          <w:u w:color="1a348d"/>
          <w:rtl w:val="0"/>
          <w:lang w:val="it-IT"/>
        </w:rPr>
        <w:t>al momento fermo; c</w:t>
      </w:r>
      <w:r>
        <w:rPr>
          <w:rFonts w:hAnsi="Book Antiqua" w:hint="default"/>
          <w:color w:val="262626"/>
          <w:u w:color="1a348d"/>
          <w:rtl w:val="0"/>
          <w:lang w:val="it-IT"/>
        </w:rPr>
        <w:t xml:space="preserve">’è </w:t>
      </w:r>
      <w:r>
        <w:rPr>
          <w:rFonts w:ascii="Book Antiqua"/>
          <w:color w:val="262626"/>
          <w:u w:color="1a348d"/>
          <w:rtl w:val="0"/>
          <w:lang w:val="it-IT"/>
        </w:rPr>
        <w:t>un problema di economicit</w:t>
      </w:r>
      <w:r>
        <w:rPr>
          <w:rFonts w:hAnsi="Book Antiqua" w:hint="default"/>
          <w:color w:val="262626"/>
          <w:u w:color="1a348d"/>
          <w:rtl w:val="0"/>
          <w:lang w:val="it-IT"/>
        </w:rPr>
        <w:t xml:space="preserve">à </w:t>
      </w:r>
      <w:r>
        <w:rPr>
          <w:rFonts w:ascii="Book Antiqua"/>
          <w:color w:val="262626"/>
          <w:u w:color="1a348d"/>
          <w:rtl w:val="0"/>
          <w:lang w:val="it-IT"/>
        </w:rPr>
        <w:t>ma anche di funzionamento perch</w:t>
      </w:r>
      <w:r>
        <w:rPr>
          <w:rFonts w:hAnsi="Book Antiqua" w:hint="default"/>
          <w:color w:val="262626"/>
          <w:u w:color="1a348d"/>
          <w:rtl w:val="0"/>
          <w:lang w:val="it-IT"/>
        </w:rPr>
        <w:t xml:space="preserve">é </w:t>
      </w:r>
      <w:r>
        <w:rPr>
          <w:rFonts w:ascii="Book Antiqua"/>
          <w:color w:val="262626"/>
          <w:u w:color="1a348d"/>
          <w:rtl w:val="0"/>
          <w:lang w:val="it-IT"/>
        </w:rPr>
        <w:t>i forni si rompono spesso e, forse, si sono rotti contemporaneamente; non c</w:t>
      </w:r>
      <w:r>
        <w:rPr>
          <w:rFonts w:hAnsi="Book Antiqua" w:hint="default"/>
          <w:color w:val="262626"/>
          <w:u w:color="1a348d"/>
          <w:rtl w:val="0"/>
          <w:lang w:val="it-IT"/>
        </w:rPr>
        <w:t xml:space="preserve">’è </w:t>
      </w:r>
      <w:r>
        <w:rPr>
          <w:rFonts w:ascii="Book Antiqua"/>
          <w:color w:val="262626"/>
          <w:u w:color="1a348d"/>
          <w:rtl w:val="0"/>
          <w:lang w:val="it-IT"/>
        </w:rPr>
        <w:t>pi</w:t>
      </w:r>
      <w:r>
        <w:rPr>
          <w:rFonts w:hAnsi="Book Antiqua" w:hint="default"/>
          <w:color w:val="262626"/>
          <w:u w:color="1a348d"/>
          <w:rtl w:val="0"/>
          <w:lang w:val="it-IT"/>
        </w:rPr>
        <w:t xml:space="preserve">ù </w:t>
      </w:r>
      <w:r>
        <w:rPr>
          <w:rFonts w:ascii="Book Antiqua"/>
          <w:color w:val="262626"/>
          <w:u w:color="1a348d"/>
          <w:rtl w:val="0"/>
          <w:lang w:val="it-IT"/>
        </w:rPr>
        <w:t>convenienza a tenerlo in piedi, quindi non si sa cosa ne sar</w:t>
      </w:r>
      <w:r>
        <w:rPr>
          <w:rFonts w:hAnsi="Book Antiqua" w:hint="default"/>
          <w:color w:val="262626"/>
          <w:u w:color="1a348d"/>
          <w:rtl w:val="0"/>
          <w:lang w:val="it-IT"/>
        </w:rPr>
        <w:t>à</w:t>
      </w:r>
      <w:r>
        <w:rPr>
          <w:rFonts w:ascii="Book Antiqua"/>
          <w:color w:val="262626"/>
          <w:u w:color="1a348d"/>
          <w:rtl w:val="0"/>
          <w:lang w:val="it-IT"/>
        </w:rPr>
        <w:t>; tutte le aree, per</w:t>
      </w:r>
      <w:r>
        <w:rPr>
          <w:rFonts w:hAnsi="Book Antiqua" w:hint="default"/>
          <w:color w:val="262626"/>
          <w:u w:color="1a348d"/>
          <w:rtl w:val="0"/>
          <w:lang w:val="it-IT"/>
        </w:rPr>
        <w:t>ò</w:t>
      </w:r>
      <w:r>
        <w:rPr>
          <w:rFonts w:ascii="Book Antiqua"/>
          <w:color w:val="262626"/>
          <w:u w:color="1a348d"/>
          <w:rtl w:val="0"/>
          <w:lang w:val="it-IT"/>
        </w:rPr>
        <w:t xml:space="preserve">, insieme alle prospicienti aree dell'ENI, vogliono essere unite per costruire un ecodistretto, in un'area che </w:t>
      </w:r>
      <w:r>
        <w:rPr>
          <w:rFonts w:hAnsi="Book Antiqua" w:hint="default"/>
          <w:color w:val="262626"/>
          <w:u w:color="1a348d"/>
          <w:rtl w:val="0"/>
          <w:lang w:val="it-IT"/>
        </w:rPr>
        <w:t xml:space="preserve">è </w:t>
      </w:r>
      <w:r>
        <w:rPr>
          <w:rFonts w:ascii="Book Antiqua"/>
          <w:color w:val="262626"/>
          <w:u w:color="1a348d"/>
          <w:rtl w:val="0"/>
          <w:lang w:val="it-IT"/>
        </w:rPr>
        <w:t xml:space="preserve">comunque esondabile. </w:t>
      </w:r>
    </w:p>
    <w:p>
      <w:pPr>
        <w:pStyle w:val="Normal"/>
        <w:widowControl w:val="0"/>
        <w:ind w:left="567" w:right="567" w:firstLine="0"/>
        <w:jc w:val="both"/>
        <w:rPr>
          <w:rFonts w:ascii="Book Antiqua" w:cs="Book Antiqua" w:hAnsi="Book Antiqua" w:eastAsia="Book Antiqua"/>
          <w:color w:val="262626"/>
          <w:u w:color="1a348d"/>
        </w:rPr>
      </w:pPr>
      <w:r>
        <w:rPr>
          <w:rFonts w:ascii="Book Antiqua"/>
          <w:color w:val="262626"/>
          <w:u w:color="1a348d"/>
          <w:rtl w:val="0"/>
          <w:lang w:val="it-IT"/>
        </w:rPr>
        <w:t>Secondo il rappresentante dell</w:t>
      </w:r>
      <w:r>
        <w:rPr>
          <w:rFonts w:hAnsi="Book Antiqua" w:hint="default"/>
          <w:color w:val="262626"/>
          <w:u w:color="1a348d"/>
          <w:rtl w:val="0"/>
          <w:lang w:val="it-IT"/>
        </w:rPr>
        <w:t>’</w:t>
      </w:r>
      <w:r>
        <w:rPr>
          <w:rFonts w:ascii="Book Antiqua"/>
          <w:color w:val="262626"/>
          <w:u w:color="1a348d"/>
          <w:rtl w:val="0"/>
          <w:lang w:val="it-IT"/>
        </w:rPr>
        <w:t xml:space="preserve">Associazione il problema dell'area ENI (stabilimento ex Agip, area Seveso 2, dismessa e in corso di bonifica) </w:t>
      </w:r>
      <w:r>
        <w:rPr>
          <w:rFonts w:hAnsi="Book Antiqua" w:hint="default"/>
          <w:color w:val="262626"/>
          <w:u w:color="1a348d"/>
          <w:rtl w:val="0"/>
          <w:lang w:val="it-IT"/>
        </w:rPr>
        <w:t xml:space="preserve">è </w:t>
      </w:r>
      <w:r>
        <w:rPr>
          <w:rFonts w:ascii="Book Antiqua"/>
          <w:color w:val="262626"/>
          <w:u w:color="1a348d"/>
          <w:rtl w:val="0"/>
          <w:lang w:val="it-IT"/>
        </w:rPr>
        <w:t>che il comune di Roma intende permutare nove stazioni di servizio in aree di pregio, nelle aree pi</w:t>
      </w:r>
      <w:r>
        <w:rPr>
          <w:rFonts w:hAnsi="Book Antiqua" w:hint="default"/>
          <w:color w:val="262626"/>
          <w:u w:color="1a348d"/>
          <w:rtl w:val="0"/>
          <w:lang w:val="it-IT"/>
        </w:rPr>
        <w:t xml:space="preserve">ù </w:t>
      </w:r>
      <w:r>
        <w:rPr>
          <w:rFonts w:ascii="Book Antiqua"/>
          <w:color w:val="262626"/>
          <w:u w:color="1a348d"/>
          <w:rtl w:val="0"/>
          <w:lang w:val="it-IT"/>
        </w:rPr>
        <w:t xml:space="preserve">centrali di Roma, con un fazzoletto di terreno inquinato, in corso di bonifica, che verrebbe acquisito per poi essere ceduto ad AMA al fine di realizzare un ecodistretto. </w:t>
      </w:r>
    </w:p>
    <w:p>
      <w:pPr>
        <w:pStyle w:val="Normal"/>
        <w:ind w:left="567" w:right="567" w:firstLine="0"/>
        <w:jc w:val="both"/>
        <w:rPr>
          <w:rFonts w:ascii="Book Antiqua" w:cs="Book Antiqua" w:hAnsi="Book Antiqua" w:eastAsia="Book Antiqua"/>
        </w:rPr>
      </w:pPr>
      <w:r>
        <w:rPr>
          <w:rFonts w:ascii="Book Antiqua"/>
          <w:rtl w:val="0"/>
          <w:lang w:val="it-IT"/>
        </w:rPr>
        <w:t>In epoca pi</w:t>
      </w:r>
      <w:r>
        <w:rPr>
          <w:rFonts w:hAnsi="Book Antiqua" w:hint="default"/>
          <w:rtl w:val="0"/>
          <w:lang w:val="it-IT"/>
        </w:rPr>
        <w:t xml:space="preserve">ù </w:t>
      </w:r>
      <w:r>
        <w:rPr>
          <w:rFonts w:ascii="Book Antiqua"/>
          <w:rtl w:val="0"/>
          <w:lang w:val="it-IT"/>
        </w:rPr>
        <w:t xml:space="preserve">recente </w:t>
      </w:r>
      <w:r>
        <w:rPr>
          <w:rFonts w:hAnsi="Book Antiqua" w:hint="default"/>
          <w:rtl w:val="0"/>
          <w:lang w:val="it-IT"/>
        </w:rPr>
        <w:t xml:space="preserve">è </w:t>
      </w:r>
      <w:r>
        <w:rPr>
          <w:rFonts w:ascii="Book Antiqua"/>
          <w:rtl w:val="0"/>
          <w:lang w:val="it-IT"/>
        </w:rPr>
        <w:t>stata acquisita documentazione pertinente l</w:t>
      </w:r>
      <w:r>
        <w:rPr>
          <w:rFonts w:hAnsi="Book Antiqua" w:hint="default"/>
          <w:rtl w:val="0"/>
          <w:lang w:val="it-IT"/>
        </w:rPr>
        <w:t>’</w:t>
      </w:r>
      <w:r>
        <w:rPr>
          <w:rFonts w:ascii="Book Antiqua"/>
          <w:rtl w:val="0"/>
          <w:lang w:val="it-IT"/>
        </w:rPr>
        <w:t xml:space="preserve">iniziativa di altro comitato, denominato </w:t>
      </w:r>
      <w:r>
        <w:rPr>
          <w:rFonts w:hAnsi="Book Antiqua" w:hint="default"/>
          <w:rtl w:val="0"/>
          <w:lang w:val="it-IT"/>
        </w:rPr>
        <w:t>“</w:t>
      </w:r>
      <w:r>
        <w:rPr>
          <w:rFonts w:ascii="Book Antiqua"/>
          <w:rtl w:val="0"/>
          <w:lang w:val="it-IT"/>
        </w:rPr>
        <w:t xml:space="preserve">Q.R.E. </w:t>
      </w:r>
      <w:r>
        <w:rPr>
          <w:rFonts w:hAnsi="Book Antiqua" w:hint="default"/>
          <w:rtl w:val="0"/>
          <w:lang w:val="it-IT"/>
        </w:rPr>
        <w:t xml:space="preserve">– </w:t>
      </w:r>
      <w:r>
        <w:rPr>
          <w:rFonts w:ascii="Book Antiqua"/>
          <w:rtl w:val="0"/>
          <w:lang w:val="it-IT"/>
        </w:rPr>
        <w:t>Quartieri riuniti in evoluzione</w:t>
      </w:r>
      <w:r>
        <w:rPr>
          <w:rFonts w:hAnsi="Book Antiqua" w:hint="default"/>
          <w:rtl w:val="0"/>
          <w:lang w:val="it-IT"/>
        </w:rPr>
        <w:t>”</w:t>
      </w:r>
      <w:r>
        <w:rPr>
          <w:rFonts w:ascii="Book Antiqua"/>
          <w:rtl w:val="0"/>
          <w:lang w:val="it-IT"/>
        </w:rPr>
        <w:t xml:space="preserve">, che ha indirizzato alla Commissione, alle procure della Repubblica di Roma e Velletri, ad organi di polizia giudiziaria e alla regione Lazio un esposto di natura preventiva (definito </w:t>
      </w:r>
      <w:r>
        <w:rPr>
          <w:rFonts w:hAnsi="Book Antiqua" w:hint="default"/>
          <w:rtl w:val="0"/>
          <w:lang w:val="it-IT"/>
        </w:rPr>
        <w:t>“</w:t>
      </w:r>
      <w:r>
        <w:rPr>
          <w:rFonts w:ascii="Book Antiqua"/>
          <w:rtl w:val="0"/>
          <w:lang w:val="it-IT"/>
        </w:rPr>
        <w:t>a titolo di avviso e significazione per eventuali future responsabilit</w:t>
      </w:r>
      <w:r>
        <w:rPr>
          <w:rFonts w:hAnsi="Book Antiqua" w:hint="default"/>
          <w:rtl w:val="0"/>
          <w:lang w:val="it-IT"/>
        </w:rPr>
        <w:t>à”</w:t>
      </w:r>
      <w:r>
        <w:rPr>
          <w:rFonts w:ascii="Book Antiqua"/>
          <w:rtl w:val="0"/>
          <w:lang w:val="it-IT"/>
        </w:rPr>
        <w:t>) relativo alla situazione in un</w:t>
      </w:r>
      <w:r>
        <w:rPr>
          <w:rFonts w:hAnsi="Book Antiqua" w:hint="default"/>
          <w:rtl w:val="0"/>
          <w:lang w:val="it-IT"/>
        </w:rPr>
        <w:t>’</w:t>
      </w:r>
      <w:r>
        <w:rPr>
          <w:rFonts w:ascii="Book Antiqua"/>
          <w:rtl w:val="0"/>
          <w:lang w:val="it-IT"/>
        </w:rPr>
        <w:t xml:space="preserve">area prossima agli impianti di Rocca Cencia, definita </w:t>
      </w:r>
      <w:r>
        <w:rPr>
          <w:rFonts w:hAnsi="Book Antiqua" w:hint="default"/>
          <w:rtl w:val="0"/>
          <w:lang w:val="it-IT"/>
        </w:rPr>
        <w:t>“</w:t>
      </w:r>
      <w:r>
        <w:rPr>
          <w:rFonts w:ascii="Book Antiqua"/>
          <w:rtl w:val="0"/>
          <w:lang w:val="it-IT"/>
        </w:rPr>
        <w:t>zona limitrofa a Via di Rocca Cencia 273 Roma e a Via Perazzeto a Montecompatri</w:t>
      </w:r>
      <w:r>
        <w:rPr>
          <w:rFonts w:hAnsi="Book Antiqua" w:hint="default"/>
          <w:rtl w:val="0"/>
          <w:lang w:val="it-IT"/>
        </w:rPr>
        <w:t>”</w:t>
      </w:r>
      <w:r>
        <w:rPr>
          <w:rFonts w:ascii="Book Antiqua"/>
          <w:rtl w:val="0"/>
          <w:lang w:val="it-IT"/>
        </w:rPr>
        <w:t>, nel quale vengono espressi timori per la qualit</w:t>
      </w:r>
      <w:r>
        <w:rPr>
          <w:rFonts w:hAnsi="Book Antiqua" w:hint="default"/>
          <w:rtl w:val="0"/>
          <w:lang w:val="it-IT"/>
        </w:rPr>
        <w:t xml:space="preserve">à </w:t>
      </w:r>
      <w:r>
        <w:rPr>
          <w:rFonts w:ascii="Book Antiqua"/>
          <w:rtl w:val="0"/>
          <w:lang w:val="it-IT"/>
        </w:rPr>
        <w:t>dell</w:t>
      </w:r>
      <w:r>
        <w:rPr>
          <w:rFonts w:hAnsi="Book Antiqua" w:hint="default"/>
          <w:rtl w:val="0"/>
          <w:lang w:val="it-IT"/>
        </w:rPr>
        <w:t>’</w:t>
      </w:r>
      <w:r>
        <w:rPr>
          <w:rFonts w:ascii="Book Antiqua"/>
          <w:rtl w:val="0"/>
          <w:lang w:val="it-IT"/>
        </w:rPr>
        <w:t>aria e l</w:t>
      </w:r>
      <w:r>
        <w:rPr>
          <w:rFonts w:hAnsi="Book Antiqua" w:hint="default"/>
          <w:rtl w:val="0"/>
          <w:lang w:val="it-IT"/>
        </w:rPr>
        <w:t>’</w:t>
      </w:r>
      <w:r>
        <w:rPr>
          <w:rFonts w:ascii="Book Antiqua"/>
          <w:rtl w:val="0"/>
          <w:lang w:val="it-IT"/>
        </w:rPr>
        <w:t>eventuale inquinamento delle acque e viene altres</w:t>
      </w:r>
      <w:r>
        <w:rPr>
          <w:rFonts w:hAnsi="Book Antiqua" w:hint="default"/>
          <w:rtl w:val="0"/>
          <w:lang w:val="it-IT"/>
        </w:rPr>
        <w:t xml:space="preserve">ì </w:t>
      </w:r>
      <w:r>
        <w:rPr>
          <w:rFonts w:ascii="Book Antiqua"/>
          <w:rtl w:val="0"/>
          <w:lang w:val="it-IT"/>
        </w:rPr>
        <w:t>ipotizzato un contrasto tra la presenza degli impianti e vincoli paesaggistici.</w:t>
      </w: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rPr>
      </w:pPr>
      <w:r>
        <w:rPr>
          <w:rFonts w:ascii="Book Antiqua"/>
          <w:rtl w:val="0"/>
          <w:lang w:val="it-IT"/>
        </w:rPr>
        <w:t>Un problema specifico ma di particolare significato sistematico per la realt</w:t>
      </w:r>
      <w:r>
        <w:rPr>
          <w:rFonts w:hAnsi="Book Antiqua" w:hint="default"/>
          <w:rtl w:val="0"/>
          <w:lang w:val="it-IT"/>
        </w:rPr>
        <w:t xml:space="preserve">à </w:t>
      </w:r>
      <w:r>
        <w:rPr>
          <w:rFonts w:ascii="Book Antiqua"/>
          <w:rtl w:val="0"/>
          <w:lang w:val="it-IT"/>
        </w:rPr>
        <w:t xml:space="preserve">di Roma </w:t>
      </w:r>
      <w:r>
        <w:rPr>
          <w:rFonts w:hAnsi="Book Antiqua" w:hint="default"/>
          <w:rtl w:val="0"/>
          <w:lang w:val="it-IT"/>
        </w:rPr>
        <w:t xml:space="preserve">è </w:t>
      </w:r>
      <w:r>
        <w:rPr>
          <w:rFonts w:ascii="Book Antiqua"/>
          <w:rtl w:val="0"/>
          <w:lang w:val="it-IT"/>
        </w:rPr>
        <w:t>infine stato affrontato con l</w:t>
      </w:r>
      <w:r>
        <w:rPr>
          <w:rFonts w:hAnsi="Book Antiqua" w:hint="default"/>
          <w:rtl w:val="0"/>
          <w:lang w:val="it-IT"/>
        </w:rPr>
        <w:t>’</w:t>
      </w:r>
      <w:r>
        <w:rPr>
          <w:rFonts w:ascii="Book Antiqua"/>
          <w:rtl w:val="0"/>
          <w:lang w:val="it-IT"/>
        </w:rPr>
        <w:t>audizione, il 12 luglio 2017, dei rappresentanti di alcuni comitati della zona di Roma Est (Associazione IV Municipio Case Rosse, Coordinamento associazioni Roma Est, CAOP Ponte di Nona, Associazione A.C. Mure a Dritta Settecamini).</w:t>
      </w:r>
    </w:p>
    <w:p>
      <w:pPr>
        <w:pStyle w:val="Normal"/>
        <w:ind w:left="567" w:right="567" w:firstLine="0"/>
        <w:jc w:val="both"/>
        <w:rPr>
          <w:rFonts w:ascii="Book Antiqua" w:cs="Book Antiqua" w:hAnsi="Book Antiqua" w:eastAsia="Book Antiqua"/>
        </w:rPr>
      </w:pPr>
      <w:r>
        <w:rPr>
          <w:rFonts w:ascii="Book Antiqua"/>
          <w:rtl w:val="0"/>
          <w:lang w:val="it-IT"/>
        </w:rPr>
        <w:t>In uno dei documenti prodotti dagli auditi il problema dei roghi di rifiuti viene esposto con partecipazione emotiva ma anche con incisivit</w:t>
      </w:r>
      <w:r>
        <w:rPr>
          <w:rFonts w:hAnsi="Book Antiqua" w:hint="default"/>
          <w:rtl w:val="0"/>
          <w:lang w:val="it-IT"/>
        </w:rPr>
        <w:t xml:space="preserve">à </w:t>
      </w:r>
      <w:r>
        <w:rPr>
          <w:rFonts w:ascii="Book Antiqua"/>
          <w:rtl w:val="0"/>
          <w:lang w:val="it-IT"/>
        </w:rPr>
        <w:t xml:space="preserve">descrittiva: </w:t>
      </w:r>
    </w:p>
    <w:p>
      <w:pPr>
        <w:pStyle w:val="Normal"/>
        <w:ind w:left="567" w:right="567" w:firstLine="141"/>
        <w:jc w:val="both"/>
        <w:rPr>
          <w:rFonts w:ascii="Book Antiqua" w:cs="Book Antiqua" w:hAnsi="Book Antiqua" w:eastAsia="Book Antiqua"/>
        </w:rPr>
      </w:pPr>
      <w:r>
        <w:rPr>
          <w:rFonts w:hAnsi="Book Antiqua" w:hint="default"/>
          <w:rtl w:val="0"/>
          <w:lang w:val="it-IT"/>
        </w:rPr>
        <w:t>“</w:t>
      </w:r>
      <w:r>
        <w:rPr>
          <w:rFonts w:ascii="Book Antiqua"/>
          <w:rtl w:val="0"/>
          <w:lang w:val="it-IT"/>
        </w:rPr>
        <w:t xml:space="preserve">Tutta Roma si </w:t>
      </w:r>
      <w:r>
        <w:rPr>
          <w:rFonts w:hAnsi="Book Antiqua" w:hint="default"/>
          <w:rtl w:val="0"/>
          <w:lang w:val="it-IT"/>
        </w:rPr>
        <w:t xml:space="preserve">è </w:t>
      </w:r>
      <w:r>
        <w:rPr>
          <w:rFonts w:ascii="Book Antiqua"/>
          <w:rtl w:val="0"/>
          <w:lang w:val="it-IT"/>
        </w:rPr>
        <w:t xml:space="preserve">spaventata nei giorni in cui la nube tossica nell'incendio dell'Eco X di Pomezia minacciava gli abitanti capitolini; ecco, a Roma Est i roghi tossici sono quotidiani e le finestre chiuse sono una prassi. Quello che infatti </w:t>
      </w:r>
      <w:r>
        <w:rPr>
          <w:rFonts w:hAnsi="Book Antiqua" w:hint="default"/>
          <w:rtl w:val="0"/>
          <w:lang w:val="it-IT"/>
        </w:rPr>
        <w:t xml:space="preserve">è </w:t>
      </w:r>
      <w:r>
        <w:rPr>
          <w:rFonts w:ascii="Book Antiqua"/>
          <w:rtl w:val="0"/>
          <w:lang w:val="it-IT"/>
        </w:rPr>
        <w:t xml:space="preserve">un evento straordinario a sud della Capitale, per quartieri come: Case Rosse, Settecamini, Ponte di Nona, </w:t>
      </w:r>
      <w:r>
        <w:rPr>
          <w:rFonts w:hAnsi="Book Antiqua" w:hint="default"/>
          <w:rtl w:val="0"/>
          <w:lang w:val="it-IT"/>
        </w:rPr>
        <w:t xml:space="preserve">è </w:t>
      </w:r>
      <w:r>
        <w:rPr>
          <w:rFonts w:ascii="Book Antiqua"/>
          <w:rtl w:val="0"/>
          <w:lang w:val="it-IT"/>
        </w:rPr>
        <w:t>una drammatica quotidianit</w:t>
      </w:r>
      <w:r>
        <w:rPr>
          <w:rFonts w:hAnsi="Book Antiqua" w:hint="default"/>
          <w:rtl w:val="0"/>
          <w:lang w:val="it-IT"/>
        </w:rPr>
        <w:t>à</w:t>
      </w:r>
      <w:r>
        <w:rPr>
          <w:rFonts w:ascii="Book Antiqua"/>
          <w:rtl w:val="0"/>
          <w:lang w:val="it-IT"/>
        </w:rPr>
        <w:t>. Sono nubi che si levano, a cadenza regolare, dalle baraccopoli di via di Salone. Macchine bruciate ma non solo, soprattutto plastica bruciata per liberare il rame o rifiuti che siano. Ecco che si formano le colonne di fumo che coprono di fatto i quartieri, senza tralasciare gli odori prodotti che sono uno stillicidio quotidiano per i cittadini. S</w:t>
      </w:r>
      <w:r>
        <w:rPr>
          <w:rFonts w:hAnsi="Book Antiqua" w:hint="default"/>
          <w:rtl w:val="0"/>
          <w:lang w:val="it-IT"/>
        </w:rPr>
        <w:t xml:space="preserve">ì </w:t>
      </w:r>
      <w:r>
        <w:rPr>
          <w:rFonts w:ascii="Book Antiqua"/>
          <w:rtl w:val="0"/>
          <w:lang w:val="it-IT"/>
        </w:rPr>
        <w:t>perch</w:t>
      </w:r>
      <w:r>
        <w:rPr>
          <w:rFonts w:hAnsi="Book Antiqua" w:hint="default"/>
          <w:rtl w:val="0"/>
          <w:lang w:val="it-IT"/>
        </w:rPr>
        <w:t xml:space="preserve">é </w:t>
      </w:r>
      <w:r>
        <w:rPr>
          <w:rFonts w:ascii="Book Antiqua"/>
          <w:rtl w:val="0"/>
          <w:lang w:val="it-IT"/>
        </w:rPr>
        <w:t>da queste parti, alla luce di quanto successo a Pomezia, ci si chiede perch</w:t>
      </w:r>
      <w:r>
        <w:rPr>
          <w:rFonts w:hAnsi="Book Antiqua" w:hint="default"/>
          <w:rtl w:val="0"/>
          <w:lang w:val="it-IT"/>
        </w:rPr>
        <w:t xml:space="preserve">é </w:t>
      </w:r>
      <w:r>
        <w:rPr>
          <w:rFonts w:ascii="Book Antiqua"/>
          <w:rtl w:val="0"/>
          <w:lang w:val="it-IT"/>
        </w:rPr>
        <w:t>qui nessuno si preoccupi per la salute dei cittadini. Forse solo perch</w:t>
      </w:r>
      <w:r>
        <w:rPr>
          <w:rFonts w:hAnsi="Book Antiqua" w:hint="default"/>
          <w:rtl w:val="0"/>
          <w:lang w:val="it-IT"/>
        </w:rPr>
        <w:t xml:space="preserve">é </w:t>
      </w:r>
      <w:r>
        <w:rPr>
          <w:rFonts w:ascii="Book Antiqua"/>
          <w:rtl w:val="0"/>
          <w:lang w:val="it-IT"/>
        </w:rPr>
        <w:t xml:space="preserve">sono cittadini "della periferia" quindi cittadini di serie B? Qui dove il consiglio della sindaca per i cittadini del litorale, "chiudete le finestre" </w:t>
      </w:r>
      <w:r>
        <w:rPr>
          <w:rFonts w:hAnsi="Book Antiqua" w:hint="default"/>
          <w:rtl w:val="0"/>
          <w:lang w:val="it-IT"/>
        </w:rPr>
        <w:t xml:space="preserve">è </w:t>
      </w:r>
      <w:r>
        <w:rPr>
          <w:rFonts w:ascii="Book Antiqua"/>
          <w:rtl w:val="0"/>
          <w:lang w:val="it-IT"/>
        </w:rPr>
        <w:t>una prassi che i cittadini mettono in atto tutti i giorni per la sopravvivenza. Soprattutto ora, al sopraggiungere della stagione calda, diventa del tutto impossibile fronteggiare questa calamit</w:t>
      </w:r>
      <w:r>
        <w:rPr>
          <w:rFonts w:hAnsi="Book Antiqua" w:hint="default"/>
          <w:rtl w:val="0"/>
          <w:lang w:val="it-IT"/>
        </w:rPr>
        <w:t xml:space="preserve">à </w:t>
      </w:r>
      <w:r>
        <w:rPr>
          <w:rFonts w:ascii="Book Antiqua"/>
          <w:rtl w:val="0"/>
          <w:lang w:val="it-IT"/>
        </w:rPr>
        <w:t>che affligge le nostre zone alla periferia di Roma. Non possiamo pi</w:t>
      </w:r>
      <w:r>
        <w:rPr>
          <w:rFonts w:hAnsi="Book Antiqua" w:hint="default"/>
          <w:rtl w:val="0"/>
          <w:lang w:val="it-IT"/>
        </w:rPr>
        <w:t xml:space="preserve">ù </w:t>
      </w:r>
      <w:r>
        <w:rPr>
          <w:rFonts w:ascii="Book Antiqua"/>
          <w:rtl w:val="0"/>
          <w:lang w:val="it-IT"/>
        </w:rPr>
        <w:t>accettare le dichiarazioni del tipo "ci stiamo lavorando" mentre noi seguitiamo ad "essere avvelenati". Tutti noi cittadini siamo impegnati da mesi/anni in proteste durissime contro le varie amministrazioni, tutte inerti, impotenti e silenti contro un fenomeno nei fatti sottovalutato</w:t>
      </w:r>
      <w:r>
        <w:rPr>
          <w:rFonts w:hAnsi="Book Antiqua" w:hint="default"/>
          <w:rtl w:val="0"/>
          <w:lang w:val="it-IT"/>
        </w:rPr>
        <w:t>”</w:t>
      </w:r>
      <w:r>
        <w:rPr>
          <w:rFonts w:ascii="Book Antiqua"/>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La localizzazione dei comitati comporta che l</w:t>
      </w:r>
      <w:r>
        <w:rPr>
          <w:rFonts w:hAnsi="Book Antiqua" w:hint="default"/>
          <w:rtl w:val="0"/>
          <w:lang w:val="it-IT"/>
        </w:rPr>
        <w:t>’</w:t>
      </w:r>
      <w:r>
        <w:rPr>
          <w:rFonts w:ascii="Book Antiqua"/>
          <w:rtl w:val="0"/>
          <w:lang w:val="it-IT"/>
        </w:rPr>
        <w:t>attenzione sia in questo caso incentrata sul campo nomadi di via di Salone, ma l</w:t>
      </w:r>
      <w:r>
        <w:rPr>
          <w:rFonts w:hAnsi="Book Antiqua" w:hint="default"/>
          <w:rtl w:val="0"/>
          <w:lang w:val="it-IT"/>
        </w:rPr>
        <w:t>’</w:t>
      </w:r>
      <w:r>
        <w:rPr>
          <w:rFonts w:ascii="Book Antiqua"/>
          <w:rtl w:val="0"/>
          <w:lang w:val="it-IT"/>
        </w:rPr>
        <w:t xml:space="preserve">esperienza recente della cittadinanza romana </w:t>
      </w:r>
      <w:r>
        <w:rPr>
          <w:rFonts w:hAnsi="Book Antiqua" w:hint="default"/>
          <w:rtl w:val="0"/>
          <w:lang w:val="it-IT"/>
        </w:rPr>
        <w:t xml:space="preserve">è </w:t>
      </w:r>
      <w:r>
        <w:rPr>
          <w:rFonts w:ascii="Book Antiqua"/>
          <w:rtl w:val="0"/>
          <w:lang w:val="it-IT"/>
        </w:rPr>
        <w:t>comparabile in altre analoghe situazioni.</w:t>
      </w:r>
    </w:p>
    <w:p>
      <w:pPr>
        <w:pStyle w:val="Normal"/>
        <w:ind w:left="567" w:right="567" w:firstLine="0"/>
        <w:jc w:val="both"/>
        <w:rPr>
          <w:rFonts w:ascii="Book Antiqua" w:cs="Book Antiqua" w:hAnsi="Book Antiqua" w:eastAsia="Book Antiqua"/>
        </w:rPr>
      </w:pPr>
      <w:r>
        <w:rPr>
          <w:rFonts w:ascii="Book Antiqua"/>
          <w:rtl w:val="0"/>
          <w:lang w:val="it-IT"/>
        </w:rPr>
        <w:t>Alcune criticit</w:t>
      </w:r>
      <w:r>
        <w:rPr>
          <w:rFonts w:hAnsi="Book Antiqua" w:hint="default"/>
          <w:rtl w:val="0"/>
          <w:lang w:val="it-IT"/>
        </w:rPr>
        <w:t xml:space="preserve">à </w:t>
      </w:r>
      <w:r>
        <w:rPr>
          <w:rFonts w:ascii="Book Antiqua"/>
          <w:rtl w:val="0"/>
          <w:lang w:val="it-IT"/>
        </w:rPr>
        <w:t>sono state illustrate nel corso dell</w:t>
      </w:r>
      <w:r>
        <w:rPr>
          <w:rFonts w:hAnsi="Book Antiqua" w:hint="default"/>
          <w:rtl w:val="0"/>
          <w:lang w:val="it-IT"/>
        </w:rPr>
        <w:t>’</w:t>
      </w:r>
      <w:r>
        <w:rPr>
          <w:rFonts w:ascii="Book Antiqua"/>
          <w:rtl w:val="0"/>
          <w:lang w:val="it-IT"/>
        </w:rPr>
        <w:t>audizione:</w:t>
      </w:r>
    </w:p>
    <w:p>
      <w:pPr>
        <w:pStyle w:val="Normal"/>
        <w:ind w:left="567" w:right="567" w:firstLine="141"/>
        <w:jc w:val="both"/>
        <w:rPr>
          <w:rFonts w:ascii="Book Antiqua" w:cs="Book Antiqua" w:hAnsi="Book Antiqua" w:eastAsia="Book Antiqua"/>
        </w:rPr>
      </w:pPr>
      <w:r>
        <w:rPr>
          <w:rFonts w:hAnsi="Book Antiqua" w:hint="default"/>
          <w:rtl w:val="0"/>
          <w:lang w:val="it-IT"/>
        </w:rPr>
        <w:t>“</w:t>
      </w:r>
      <w:r>
        <w:rPr>
          <w:rFonts w:ascii="Book Antiqua"/>
          <w:rtl w:val="0"/>
          <w:lang w:val="it-IT"/>
        </w:rPr>
        <w:t xml:space="preserve">Oltre a bruciare qualsiasi cosa, e per qualsiasi cosa intendiamo plastica, sostanze che si sprigionano, sostanze nocive, gomma, rame </w:t>
      </w:r>
      <w:r>
        <w:rPr>
          <w:rFonts w:hAnsi="Book Antiqua" w:hint="default"/>
          <w:rtl w:val="0"/>
          <w:lang w:val="it-IT"/>
        </w:rPr>
        <w:t xml:space="preserve">– </w:t>
      </w:r>
      <w:r>
        <w:rPr>
          <w:rFonts w:ascii="Book Antiqua"/>
          <w:rtl w:val="0"/>
          <w:lang w:val="it-IT"/>
        </w:rPr>
        <w:t>l</w:t>
      </w:r>
      <w:r>
        <w:rPr>
          <w:rFonts w:hAnsi="Book Antiqua" w:hint="default"/>
          <w:rtl w:val="0"/>
          <w:lang w:val="it-IT"/>
        </w:rPr>
        <w:t xml:space="preserve">ì </w:t>
      </w:r>
      <w:r>
        <w:rPr>
          <w:rFonts w:ascii="Book Antiqua"/>
          <w:rtl w:val="0"/>
          <w:lang w:val="it-IT"/>
        </w:rPr>
        <w:t>c</w:t>
      </w:r>
      <w:r>
        <w:rPr>
          <w:rFonts w:hAnsi="Book Antiqua" w:hint="default"/>
          <w:rtl w:val="0"/>
          <w:lang w:val="it-IT"/>
        </w:rPr>
        <w:t xml:space="preserve">’è </w:t>
      </w:r>
      <w:r>
        <w:rPr>
          <w:rFonts w:ascii="Book Antiqua"/>
          <w:rtl w:val="0"/>
          <w:lang w:val="it-IT"/>
        </w:rPr>
        <w:t>l</w:t>
      </w:r>
      <w:r>
        <w:rPr>
          <w:rFonts w:hAnsi="Book Antiqua" w:hint="default"/>
          <w:rtl w:val="0"/>
          <w:lang w:val="it-IT"/>
        </w:rPr>
        <w:t>’</w:t>
      </w:r>
      <w:r>
        <w:rPr>
          <w:rFonts w:ascii="Book Antiqua"/>
          <w:rtl w:val="0"/>
          <w:lang w:val="it-IT"/>
        </w:rPr>
        <w:t>attivit</w:t>
      </w:r>
      <w:r>
        <w:rPr>
          <w:rFonts w:hAnsi="Book Antiqua" w:hint="default"/>
          <w:rtl w:val="0"/>
          <w:lang w:val="it-IT"/>
        </w:rPr>
        <w:t xml:space="preserve">à </w:t>
      </w:r>
      <w:r>
        <w:rPr>
          <w:rFonts w:ascii="Book Antiqua"/>
          <w:rtl w:val="0"/>
          <w:lang w:val="it-IT"/>
        </w:rPr>
        <w:t xml:space="preserve">illecita legata al campo nomadi </w:t>
      </w:r>
      <w:r>
        <w:rPr>
          <w:rFonts w:hAnsi="Book Antiqua" w:hint="default"/>
          <w:rtl w:val="0"/>
          <w:lang w:val="it-IT"/>
        </w:rPr>
        <w:t xml:space="preserve">– </w:t>
      </w:r>
      <w:r>
        <w:rPr>
          <w:rFonts w:ascii="Book Antiqua"/>
          <w:rtl w:val="0"/>
          <w:lang w:val="it-IT"/>
        </w:rPr>
        <w:t>che cosa succede? Questo materiale non viene neanche smaltito, rimane l</w:t>
      </w:r>
      <w:r>
        <w:rPr>
          <w:rFonts w:hAnsi="Book Antiqua" w:hint="default"/>
          <w:rtl w:val="0"/>
          <w:lang w:val="it-IT"/>
        </w:rPr>
        <w:t>ì</w:t>
      </w:r>
      <w:r>
        <w:rPr>
          <w:rFonts w:ascii="Book Antiqua"/>
          <w:rtl w:val="0"/>
          <w:lang w:val="it-IT"/>
        </w:rPr>
        <w:t>. Ci sono diverse foto e c'</w:t>
      </w:r>
      <w:r>
        <w:rPr>
          <w:rFonts w:hAnsi="Book Antiqua" w:hint="default"/>
          <w:rtl w:val="0"/>
          <w:lang w:val="it-IT"/>
        </w:rPr>
        <w:t xml:space="preserve">è </w:t>
      </w:r>
      <w:r>
        <w:rPr>
          <w:rFonts w:ascii="Book Antiqua"/>
          <w:rtl w:val="0"/>
          <w:lang w:val="it-IT"/>
        </w:rPr>
        <w:t xml:space="preserve">un video che ha fatto il giro del tutto il </w:t>
      </w:r>
      <w:r>
        <w:rPr>
          <w:rFonts w:ascii="Book Antiqua"/>
          <w:rtl w:val="0"/>
          <w:lang w:val="it-IT"/>
        </w:rPr>
        <w:t>web</w:t>
      </w:r>
      <w:r>
        <w:rPr>
          <w:rFonts w:ascii="Book Antiqua"/>
          <w:i w:val="1"/>
          <w:iCs w:val="1"/>
          <w:rtl w:val="0"/>
          <w:lang w:val="it-IT"/>
        </w:rPr>
        <w:t>,</w:t>
      </w:r>
      <w:r>
        <w:rPr>
          <w:rFonts w:ascii="Book Antiqua"/>
          <w:rtl w:val="0"/>
          <w:lang w:val="it-IT"/>
        </w:rPr>
        <w:t xml:space="preserve"> presente nelle varie testate giornalistiche, fatto da noi personalmente nell'associazione </w:t>
      </w:r>
      <w:r>
        <w:rPr>
          <w:rFonts w:hAnsi="Book Antiqua" w:hint="default"/>
          <w:rtl w:val="0"/>
          <w:lang w:val="it-IT"/>
        </w:rPr>
        <w:t xml:space="preserve">– </w:t>
      </w:r>
      <w:r>
        <w:rPr>
          <w:rFonts w:ascii="Book Antiqua"/>
          <w:rtl w:val="0"/>
          <w:lang w:val="it-IT"/>
        </w:rPr>
        <w:t>eravamo l</w:t>
      </w:r>
      <w:r>
        <w:rPr>
          <w:rFonts w:hAnsi="Book Antiqua" w:hint="default"/>
          <w:rtl w:val="0"/>
          <w:lang w:val="it-IT"/>
        </w:rPr>
        <w:t xml:space="preserve">ì </w:t>
      </w:r>
      <w:r>
        <w:rPr>
          <w:rFonts w:ascii="Book Antiqua"/>
          <w:rtl w:val="0"/>
          <w:lang w:val="it-IT"/>
        </w:rPr>
        <w:t xml:space="preserve">in quel momento </w:t>
      </w:r>
      <w:r>
        <w:rPr>
          <w:rFonts w:hAnsi="Book Antiqua" w:hint="default"/>
          <w:rtl w:val="0"/>
          <w:lang w:val="it-IT"/>
        </w:rPr>
        <w:t xml:space="preserve">– </w:t>
      </w:r>
      <w:r>
        <w:rPr>
          <w:rFonts w:ascii="Book Antiqua"/>
          <w:rtl w:val="0"/>
          <w:lang w:val="it-IT"/>
        </w:rPr>
        <w:t>in cui si vede proprio il materiale, l'accumulo dei rifiuti che rimane l</w:t>
      </w:r>
      <w:r>
        <w:rPr>
          <w:rFonts w:hAnsi="Book Antiqua" w:hint="default"/>
          <w:rtl w:val="0"/>
          <w:lang w:val="it-IT"/>
        </w:rPr>
        <w:t xml:space="preserve">ì </w:t>
      </w:r>
      <w:r>
        <w:rPr>
          <w:rFonts w:ascii="Book Antiqua"/>
          <w:rtl w:val="0"/>
          <w:lang w:val="it-IT"/>
        </w:rPr>
        <w:t>nel tempo [</w:t>
      </w:r>
      <w:r>
        <w:rPr>
          <w:rFonts w:hAnsi="Book Antiqua" w:hint="default"/>
          <w:rtl w:val="0"/>
          <w:lang w:val="it-IT"/>
        </w:rPr>
        <w:t>…</w:t>
      </w:r>
      <w:r>
        <w:rPr>
          <w:rFonts w:ascii="Book Antiqua"/>
          <w:rtl w:val="0"/>
          <w:lang w:val="it-IT"/>
        </w:rPr>
        <w:t>] quando bruciano molte auto, si sprigiona una serie di gas nocivi, che vanno dalla diossina al biossido di azoto, al biossido di zolfo. Depositati nell'organismo, sulla lunga durata questi fumi determinano non soltanto degli elementi irritativi o infiammatori respiratori, ma persino cardiovascolari e metabolici, questo proprio grazie ai roghi tossici di via di Salone, e non solo: questo accade grazie alle montagne di fumo visibili in tutta Roma pi</w:t>
      </w:r>
      <w:r>
        <w:rPr>
          <w:rFonts w:hAnsi="Book Antiqua" w:hint="default"/>
          <w:rtl w:val="0"/>
          <w:lang w:val="it-IT"/>
        </w:rPr>
        <w:t xml:space="preserve">ù </w:t>
      </w:r>
      <w:r>
        <w:rPr>
          <w:rFonts w:ascii="Book Antiqua"/>
          <w:rtl w:val="0"/>
          <w:lang w:val="it-IT"/>
        </w:rPr>
        <w:t>volte al giorno [</w:t>
      </w:r>
      <w:r>
        <w:rPr>
          <w:rFonts w:hAnsi="Book Antiqua" w:hint="default"/>
          <w:rtl w:val="0"/>
          <w:lang w:val="it-IT"/>
        </w:rPr>
        <w:t>…</w:t>
      </w:r>
      <w:r>
        <w:rPr>
          <w:rFonts w:ascii="Book Antiqua"/>
          <w:rtl w:val="0"/>
          <w:lang w:val="it-IT"/>
        </w:rPr>
        <w:t>] sono anni che si va avanti in queste zone [</w:t>
      </w:r>
      <w:r>
        <w:rPr>
          <w:rFonts w:hAnsi="Book Antiqua" w:hint="default"/>
          <w:rtl w:val="0"/>
          <w:lang w:val="it-IT"/>
        </w:rPr>
        <w:t>…</w:t>
      </w:r>
      <w:r>
        <w:rPr>
          <w:rFonts w:ascii="Book Antiqua"/>
          <w:rtl w:val="0"/>
          <w:lang w:val="it-IT"/>
        </w:rPr>
        <w:t xml:space="preserve">] con questi roghi, ma ultimamente la frequenza dei roghi stessi </w:t>
      </w:r>
      <w:r>
        <w:rPr>
          <w:rFonts w:hAnsi="Book Antiqua" w:hint="default"/>
          <w:rtl w:val="0"/>
          <w:lang w:val="it-IT"/>
        </w:rPr>
        <w:t xml:space="preserve">è </w:t>
      </w:r>
      <w:r>
        <w:rPr>
          <w:rFonts w:ascii="Book Antiqua"/>
          <w:rtl w:val="0"/>
          <w:lang w:val="it-IT"/>
        </w:rPr>
        <w:t>aumentata [</w:t>
      </w:r>
      <w:r>
        <w:rPr>
          <w:rFonts w:hAnsi="Book Antiqua" w:hint="default"/>
          <w:rtl w:val="0"/>
          <w:lang w:val="it-IT"/>
        </w:rPr>
        <w:t>…</w:t>
      </w:r>
      <w:r>
        <w:rPr>
          <w:rFonts w:ascii="Book Antiqua"/>
          <w:rtl w:val="0"/>
          <w:lang w:val="it-IT"/>
        </w:rPr>
        <w:t xml:space="preserve">] il fenomeno di cui parliamo </w:t>
      </w:r>
      <w:r>
        <w:rPr>
          <w:rFonts w:hAnsi="Book Antiqua" w:hint="default"/>
          <w:rtl w:val="0"/>
          <w:lang w:val="it-IT"/>
        </w:rPr>
        <w:t xml:space="preserve">è </w:t>
      </w:r>
      <w:r>
        <w:rPr>
          <w:rFonts w:ascii="Book Antiqua"/>
          <w:rtl w:val="0"/>
          <w:lang w:val="it-IT"/>
        </w:rPr>
        <w:t>del campo nomadi di via di Salone. Gli incendi sono adiacenti e all'interno del campo [</w:t>
      </w:r>
      <w:r>
        <w:rPr>
          <w:rFonts w:hAnsi="Book Antiqua" w:hint="default"/>
          <w:rtl w:val="0"/>
          <w:lang w:val="it-IT"/>
        </w:rPr>
        <w:t>…</w:t>
      </w:r>
      <w:r>
        <w:rPr>
          <w:rFonts w:ascii="Book Antiqua"/>
          <w:rtl w:val="0"/>
          <w:lang w:val="it-IT"/>
        </w:rPr>
        <w:t>] dai rapporti delle forze di polizia risultano altre fusioni illecite, anche di gioielli, naturalmente di gioielli rubati a seguito di furti in appartamenti [</w:t>
      </w:r>
      <w:r>
        <w:rPr>
          <w:rFonts w:hAnsi="Book Antiqua" w:hint="default"/>
          <w:rtl w:val="0"/>
          <w:lang w:val="it-IT"/>
        </w:rPr>
        <w:t>…</w:t>
      </w:r>
      <w:r>
        <w:rPr>
          <w:rFonts w:ascii="Book Antiqua"/>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[si deve agire] al pi</w:t>
      </w:r>
      <w:r>
        <w:rPr>
          <w:rFonts w:hAnsi="Book Antiqua" w:hint="default"/>
          <w:rtl w:val="0"/>
          <w:lang w:val="it-IT"/>
        </w:rPr>
        <w:t xml:space="preserve">ù </w:t>
      </w:r>
      <w:r>
        <w:rPr>
          <w:rFonts w:ascii="Book Antiqua"/>
          <w:rtl w:val="0"/>
          <w:lang w:val="it-IT"/>
        </w:rPr>
        <w:t xml:space="preserve">presto su due fronti importanti. Il primo </w:t>
      </w:r>
      <w:r>
        <w:rPr>
          <w:rFonts w:hAnsi="Book Antiqua" w:hint="default"/>
          <w:rtl w:val="0"/>
          <w:lang w:val="it-IT"/>
        </w:rPr>
        <w:t xml:space="preserve">è </w:t>
      </w:r>
      <w:r>
        <w:rPr>
          <w:rFonts w:ascii="Book Antiqua"/>
          <w:rtl w:val="0"/>
          <w:lang w:val="it-IT"/>
        </w:rPr>
        <w:t xml:space="preserve">quello del </w:t>
      </w:r>
      <w:r>
        <w:rPr>
          <w:rFonts w:ascii="Book Antiqua"/>
          <w:i w:val="1"/>
          <w:iCs w:val="1"/>
          <w:rtl w:val="0"/>
          <w:lang w:val="it-IT"/>
        </w:rPr>
        <w:t>business</w:t>
      </w:r>
      <w:r>
        <w:rPr>
          <w:rFonts w:ascii="Book Antiqua"/>
          <w:rtl w:val="0"/>
          <w:lang w:val="it-IT"/>
        </w:rPr>
        <w:t xml:space="preserve"> illecito che si </w:t>
      </w:r>
      <w:r>
        <w:rPr>
          <w:rFonts w:hAnsi="Book Antiqua" w:hint="default"/>
          <w:rtl w:val="0"/>
          <w:lang w:val="it-IT"/>
        </w:rPr>
        <w:t xml:space="preserve">è </w:t>
      </w:r>
      <w:r>
        <w:rPr>
          <w:rFonts w:ascii="Book Antiqua"/>
          <w:rtl w:val="0"/>
          <w:lang w:val="it-IT"/>
        </w:rPr>
        <w:t>creato nel riciclaggio di questi rifiuti, grazie anche alla disonest</w:t>
      </w:r>
      <w:r>
        <w:rPr>
          <w:rFonts w:hAnsi="Book Antiqua" w:hint="default"/>
          <w:rtl w:val="0"/>
          <w:lang w:val="it-IT"/>
        </w:rPr>
        <w:t xml:space="preserve">à </w:t>
      </w:r>
      <w:r>
        <w:rPr>
          <w:rFonts w:ascii="Book Antiqua"/>
          <w:rtl w:val="0"/>
          <w:lang w:val="it-IT"/>
        </w:rPr>
        <w:t>di molti imprenditori nostrani, che, anzich</w:t>
      </w:r>
      <w:r>
        <w:rPr>
          <w:rFonts w:hAnsi="Book Antiqua" w:hint="default"/>
          <w:rtl w:val="0"/>
          <w:lang w:val="it-IT"/>
        </w:rPr>
        <w:t xml:space="preserve">é </w:t>
      </w:r>
      <w:r>
        <w:rPr>
          <w:rFonts w:ascii="Book Antiqua"/>
          <w:rtl w:val="0"/>
          <w:lang w:val="it-IT"/>
        </w:rPr>
        <w:t>portare nelle discariche e pagare il dazio, affidano a nomadi per 10-15 euro il trasporto di rifiuti ingombranti che avrebbero dovuto portare loro. Si aggiungono a questi rifiuti ingombranti anche quelli causati dal riciclaggio da rovistamento nei cassonetti dei rifiuti da parte degli zingari, che portano tutto nei campi, fanno una cernita di quello che possono vendere nei loro mercatini abusivi, e in mezzo a quegli altri rifiuti ricevuti disonestamente da altre vie, e bruciano tutto</w:t>
      </w:r>
      <w:r>
        <w:rPr>
          <w:rFonts w:hAnsi="Book Antiqua" w:hint="default"/>
          <w:rtl w:val="0"/>
          <w:lang w:val="it-IT"/>
        </w:rPr>
        <w:t>”</w:t>
      </w:r>
      <w:r>
        <w:rPr>
          <w:rFonts w:ascii="Book Antiqua"/>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Come gli auditi hanno dichiarato e documentato, la procura della Repubblica di Roma, direttamente e a mezzo di polizia giudiziaria, ha ricevuto notizie di reato provenienti dai cittadini della zona e dalle loro espressioni associative.</w:t>
      </w:r>
    </w:p>
    <w:p>
      <w:pPr>
        <w:pStyle w:val="Normal"/>
        <w:ind w:left="567" w:right="567" w:firstLine="0"/>
        <w:jc w:val="both"/>
        <w:rPr>
          <w:rFonts w:ascii="Book Antiqua" w:cs="Book Antiqua" w:hAnsi="Book Antiqua" w:eastAsia="Book Antiqua"/>
        </w:rPr>
      </w:pPr>
      <w:r>
        <w:rPr>
          <w:rFonts w:ascii="Book Antiqua"/>
          <w:rtl w:val="0"/>
          <w:lang w:val="it-IT"/>
        </w:rPr>
        <w:t>Al di l</w:t>
      </w:r>
      <w:r>
        <w:rPr>
          <w:rFonts w:hAnsi="Book Antiqua" w:hint="default"/>
          <w:rtl w:val="0"/>
          <w:lang w:val="it-IT"/>
        </w:rPr>
        <w:t xml:space="preserve">à </w:t>
      </w:r>
      <w:r>
        <w:rPr>
          <w:rFonts w:ascii="Book Antiqua"/>
          <w:rtl w:val="0"/>
          <w:lang w:val="it-IT"/>
        </w:rPr>
        <w:t>delle forme che in concreto queste denunce hanno assunto, risulta evidente che l</w:t>
      </w:r>
      <w:r>
        <w:rPr>
          <w:rFonts w:hAnsi="Book Antiqua" w:hint="default"/>
          <w:rtl w:val="0"/>
          <w:lang w:val="it-IT"/>
        </w:rPr>
        <w:t>’</w:t>
      </w:r>
      <w:r>
        <w:rPr>
          <w:rFonts w:ascii="Book Antiqua"/>
          <w:rtl w:val="0"/>
          <w:lang w:val="it-IT"/>
        </w:rPr>
        <w:t>osservazione diretta dei cittadini induce a ritenere che all</w:t>
      </w:r>
      <w:r>
        <w:rPr>
          <w:rFonts w:hAnsi="Book Antiqua" w:hint="default"/>
          <w:rtl w:val="0"/>
          <w:lang w:val="it-IT"/>
        </w:rPr>
        <w:t>’</w:t>
      </w:r>
      <w:r>
        <w:rPr>
          <w:rFonts w:ascii="Book Antiqua"/>
          <w:rtl w:val="0"/>
          <w:lang w:val="it-IT"/>
        </w:rPr>
        <w:t>interno e nell</w:t>
      </w:r>
      <w:r>
        <w:rPr>
          <w:rFonts w:hAnsi="Book Antiqua" w:hint="default"/>
          <w:rtl w:val="0"/>
          <w:lang w:val="it-IT"/>
        </w:rPr>
        <w:t>’</w:t>
      </w:r>
      <w:r>
        <w:rPr>
          <w:rFonts w:ascii="Book Antiqua"/>
          <w:rtl w:val="0"/>
          <w:lang w:val="it-IT"/>
        </w:rPr>
        <w:t>immediata prossimit</w:t>
      </w:r>
      <w:r>
        <w:rPr>
          <w:rFonts w:hAnsi="Book Antiqua" w:hint="default"/>
          <w:rtl w:val="0"/>
          <w:lang w:val="it-IT"/>
        </w:rPr>
        <w:t xml:space="preserve">à </w:t>
      </w:r>
      <w:r>
        <w:rPr>
          <w:rFonts w:ascii="Book Antiqua"/>
          <w:rtl w:val="0"/>
          <w:lang w:val="it-IT"/>
        </w:rPr>
        <w:t>del campo nomadi di via Salone si svolgano attivit</w:t>
      </w:r>
      <w:r>
        <w:rPr>
          <w:rFonts w:hAnsi="Book Antiqua" w:hint="default"/>
          <w:rtl w:val="0"/>
          <w:lang w:val="it-IT"/>
        </w:rPr>
        <w:t xml:space="preserve">à </w:t>
      </w:r>
      <w:r>
        <w:rPr>
          <w:rFonts w:ascii="Book Antiqua"/>
          <w:rtl w:val="0"/>
          <w:lang w:val="it-IT"/>
        </w:rPr>
        <w:t xml:space="preserve">illecite </w:t>
      </w:r>
      <w:r>
        <w:rPr>
          <w:rFonts w:hAnsi="Book Antiqua" w:hint="default"/>
          <w:rtl w:val="0"/>
          <w:lang w:val="it-IT"/>
        </w:rPr>
        <w:t xml:space="preserve">– </w:t>
      </w:r>
      <w:r>
        <w:rPr>
          <w:rFonts w:ascii="Book Antiqua"/>
          <w:rtl w:val="0"/>
          <w:lang w:val="it-IT"/>
        </w:rPr>
        <w:t xml:space="preserve">su cui a seguito delle notizie di reato ricevute sono certamente pendenti le dovute indagini da parte della procura della Repubblica di Roma - la cui ipotizzabile qualificazione giuridica discende, per quanto reso noto alla Commissione, dal contenuto delle audizioni citate, delle immagini  e dei documenti prodotti. </w:t>
      </w:r>
    </w:p>
    <w:p>
      <w:pPr>
        <w:pStyle w:val="Normal"/>
        <w:ind w:left="567" w:right="567" w:firstLine="0"/>
        <w:jc w:val="both"/>
        <w:rPr>
          <w:rFonts w:ascii="Book Antiqua" w:cs="Book Antiqua" w:hAnsi="Book Antiqua" w:eastAsia="Book Antiqua"/>
        </w:rPr>
      </w:pPr>
      <w:r>
        <w:rPr>
          <w:rFonts w:ascii="Book Antiqua"/>
          <w:rtl w:val="0"/>
          <w:lang w:val="it-IT"/>
        </w:rPr>
        <w:t>Si tratta, dunque, oltre all</w:t>
      </w:r>
      <w:r>
        <w:rPr>
          <w:rFonts w:hAnsi="Book Antiqua" w:hint="default"/>
          <w:rtl w:val="0"/>
          <w:lang w:val="it-IT"/>
        </w:rPr>
        <w:t>’</w:t>
      </w:r>
      <w:r>
        <w:rPr>
          <w:rFonts w:ascii="Book Antiqua"/>
          <w:rtl w:val="0"/>
          <w:lang w:val="it-IT"/>
        </w:rPr>
        <w:t>illecito amministrativo di cui all</w:t>
      </w:r>
      <w:r>
        <w:rPr>
          <w:rFonts w:hAnsi="Book Antiqua" w:hint="default"/>
          <w:rtl w:val="0"/>
          <w:lang w:val="it-IT"/>
        </w:rPr>
        <w:t>’</w:t>
      </w:r>
      <w:r>
        <w:rPr>
          <w:rFonts w:ascii="Book Antiqua"/>
          <w:rtl w:val="0"/>
          <w:lang w:val="it-IT"/>
        </w:rPr>
        <w:t>articolo 255 del decreto legislativo n. 152 del 2006, quantomeno dei reati di cui agli articoli 256 e 256-bis del decreto legislativo n. 152 del 2006; uno sviluppo di indagine ulteriore, sugli effetti di tali condotte, potrebbe far ipotizzare il delitto di cui all</w:t>
      </w:r>
      <w:r>
        <w:rPr>
          <w:rFonts w:hAnsi="Book Antiqua" w:hint="default"/>
          <w:rtl w:val="0"/>
          <w:lang w:val="it-IT"/>
        </w:rPr>
        <w:t>’</w:t>
      </w:r>
      <w:r>
        <w:rPr>
          <w:rFonts w:ascii="Book Antiqua"/>
          <w:rtl w:val="0"/>
          <w:lang w:val="it-IT"/>
        </w:rPr>
        <w:t>articolo 452-bis del codice penale e, sul versante delle cause, inteso come tale in primo luogo l</w:t>
      </w:r>
      <w:r>
        <w:rPr>
          <w:rFonts w:hAnsi="Book Antiqua" w:hint="default"/>
          <w:rtl w:val="0"/>
          <w:lang w:val="it-IT"/>
        </w:rPr>
        <w:t>’”</w:t>
      </w:r>
      <w:r>
        <w:rPr>
          <w:rFonts w:ascii="Book Antiqua"/>
          <w:rtl w:val="0"/>
          <w:lang w:val="it-IT"/>
        </w:rPr>
        <w:t>approvvigionamento di materia</w:t>
      </w:r>
      <w:r>
        <w:rPr>
          <w:rFonts w:hAnsi="Book Antiqua" w:hint="default"/>
          <w:rtl w:val="0"/>
          <w:lang w:val="it-IT"/>
        </w:rPr>
        <w:t xml:space="preserve">” </w:t>
      </w:r>
      <w:r>
        <w:rPr>
          <w:rFonts w:ascii="Book Antiqua"/>
          <w:rtl w:val="0"/>
          <w:lang w:val="it-IT"/>
        </w:rPr>
        <w:t xml:space="preserve">(dalle auto e parti di esse, ai materiali frutto di rovistaggio, ai preziosi), potrebbe condurre ad accertare delitti di cui agli articoli 624-625, ovvero 648 del codice penale. </w:t>
      </w:r>
    </w:p>
    <w:p>
      <w:pPr>
        <w:pStyle w:val="Normal"/>
        <w:ind w:left="567" w:right="567" w:firstLine="0"/>
        <w:jc w:val="both"/>
        <w:rPr>
          <w:rFonts w:ascii="Book Antiqua" w:cs="Book Antiqua" w:hAnsi="Book Antiqua" w:eastAsia="Book Antiqua"/>
        </w:rPr>
      </w:pPr>
      <w:r>
        <w:rPr>
          <w:rFonts w:ascii="Book Antiqua"/>
          <w:rtl w:val="0"/>
          <w:lang w:val="it-IT"/>
        </w:rPr>
        <w:t xml:space="preserve">Di fronte a questo insieme di ipotesi non vi </w:t>
      </w:r>
      <w:r>
        <w:rPr>
          <w:rFonts w:hAnsi="Book Antiqua" w:hint="default"/>
          <w:rtl w:val="0"/>
          <w:lang w:val="it-IT"/>
        </w:rPr>
        <w:t xml:space="preserve">è </w:t>
      </w:r>
      <w:r>
        <w:rPr>
          <w:rFonts w:ascii="Book Antiqua"/>
          <w:rtl w:val="0"/>
          <w:lang w:val="it-IT"/>
        </w:rPr>
        <w:t>dubbio che le indagini necessitino di mezzi incisivi e dell</w:t>
      </w:r>
      <w:r>
        <w:rPr>
          <w:rFonts w:hAnsi="Book Antiqua" w:hint="default"/>
          <w:rtl w:val="0"/>
          <w:lang w:val="it-IT"/>
        </w:rPr>
        <w:t>’</w:t>
      </w:r>
      <w:r>
        <w:rPr>
          <w:rFonts w:ascii="Book Antiqua"/>
          <w:rtl w:val="0"/>
          <w:lang w:val="it-IT"/>
        </w:rPr>
        <w:t>impiego di risorse investigative adeguate, anche al fine, se ve ne fossero i presupposti normativamente previsti, dell</w:t>
      </w:r>
      <w:r>
        <w:rPr>
          <w:rFonts w:hAnsi="Book Antiqua" w:hint="default"/>
          <w:rtl w:val="0"/>
          <w:lang w:val="it-IT"/>
        </w:rPr>
        <w:t>’</w:t>
      </w:r>
      <w:r>
        <w:rPr>
          <w:rFonts w:ascii="Book Antiqua"/>
          <w:rtl w:val="0"/>
          <w:lang w:val="it-IT"/>
        </w:rPr>
        <w:t>applicazione di misure cautelari reali ovvero di misure precautelari e cautelari personali; lo stesso intervento di polizia giudiziaria e di prevenzione ai sensi dell</w:t>
      </w:r>
      <w:r>
        <w:rPr>
          <w:rFonts w:hAnsi="Book Antiqua" w:hint="default"/>
          <w:rtl w:val="0"/>
          <w:lang w:val="it-IT"/>
        </w:rPr>
        <w:t>’</w:t>
      </w:r>
      <w:r>
        <w:rPr>
          <w:rFonts w:ascii="Book Antiqua"/>
          <w:rtl w:val="0"/>
          <w:lang w:val="it-IT"/>
        </w:rPr>
        <w:t>articolo 55 del codice di procedura penale, deve necessariamente essere calibrato sulla gravit</w:t>
      </w:r>
      <w:r>
        <w:rPr>
          <w:rFonts w:hAnsi="Book Antiqua" w:hint="default"/>
          <w:rtl w:val="0"/>
          <w:lang w:val="it-IT"/>
        </w:rPr>
        <w:t xml:space="preserve">à </w:t>
      </w:r>
      <w:r>
        <w:rPr>
          <w:rFonts w:ascii="Book Antiqua"/>
          <w:rtl w:val="0"/>
          <w:lang w:val="it-IT"/>
        </w:rPr>
        <w:t>e sulla cronicit</w:t>
      </w:r>
      <w:r>
        <w:rPr>
          <w:rFonts w:hAnsi="Book Antiqua" w:hint="default"/>
          <w:rtl w:val="0"/>
          <w:lang w:val="it-IT"/>
        </w:rPr>
        <w:t xml:space="preserve">à </w:t>
      </w:r>
      <w:r>
        <w:rPr>
          <w:rFonts w:ascii="Book Antiqua"/>
          <w:rtl w:val="0"/>
          <w:lang w:val="it-IT"/>
        </w:rPr>
        <w:t>di queste condotte illecite.</w:t>
      </w:r>
    </w:p>
    <w:p>
      <w:pPr>
        <w:pStyle w:val="Normal"/>
        <w:ind w:left="567" w:right="567" w:firstLine="0"/>
        <w:jc w:val="both"/>
        <w:rPr>
          <w:rFonts w:ascii="Book Antiqua" w:cs="Book Antiqua" w:hAnsi="Book Antiqua" w:eastAsia="Book Antiqua"/>
        </w:rPr>
      </w:pPr>
      <w:r>
        <w:rPr>
          <w:rFonts w:ascii="Book Antiqua"/>
          <w:rtl w:val="0"/>
          <w:lang w:val="it-IT"/>
        </w:rPr>
        <w:t>Nel corso dell</w:t>
      </w:r>
      <w:r>
        <w:rPr>
          <w:rFonts w:hAnsi="Book Antiqua" w:hint="default"/>
          <w:rtl w:val="0"/>
          <w:lang w:val="it-IT"/>
        </w:rPr>
        <w:t>’</w:t>
      </w:r>
      <w:r>
        <w:rPr>
          <w:rFonts w:ascii="Book Antiqua"/>
          <w:rtl w:val="0"/>
          <w:lang w:val="it-IT"/>
        </w:rPr>
        <w:t>audizione e in uno dei documenti depositati si formulano delle proposte il cui oggetto esula dal campo d</w:t>
      </w:r>
      <w:r>
        <w:rPr>
          <w:rFonts w:hAnsi="Book Antiqua" w:hint="default"/>
          <w:rtl w:val="0"/>
          <w:lang w:val="it-IT"/>
        </w:rPr>
        <w:t>’</w:t>
      </w:r>
      <w:r>
        <w:rPr>
          <w:rFonts w:ascii="Book Antiqua"/>
          <w:rtl w:val="0"/>
          <w:lang w:val="it-IT"/>
        </w:rPr>
        <w:t>indagine della Commissione, vale a dire il decentramento logistico e il controllo dei campi nomadi, nonch</w:t>
      </w:r>
      <w:r>
        <w:rPr>
          <w:rFonts w:hAnsi="Book Antiqua" w:hint="default"/>
          <w:rtl w:val="0"/>
          <w:lang w:val="it-IT"/>
        </w:rPr>
        <w:t>é</w:t>
      </w:r>
      <w:r>
        <w:rPr>
          <w:rFonts w:ascii="Book Antiqua"/>
          <w:rtl w:val="0"/>
          <w:lang w:val="it-IT"/>
        </w:rPr>
        <w:t>, nella zona, l</w:t>
      </w:r>
      <w:r>
        <w:rPr>
          <w:rFonts w:hAnsi="Book Antiqua" w:hint="default"/>
          <w:rtl w:val="0"/>
          <w:lang w:val="it-IT"/>
        </w:rPr>
        <w:t>’</w:t>
      </w:r>
      <w:r>
        <w:rPr>
          <w:rFonts w:ascii="Book Antiqua"/>
          <w:rtl w:val="0"/>
          <w:lang w:val="it-IT"/>
        </w:rPr>
        <w:t>incremento di utilizzo della stazione ferroviaria Salone.</w:t>
      </w:r>
    </w:p>
    <w:p>
      <w:pPr>
        <w:pStyle w:val="Normal"/>
        <w:ind w:left="567" w:right="567" w:firstLine="0"/>
        <w:jc w:val="both"/>
        <w:rPr>
          <w:rFonts w:ascii="Book Antiqua" w:cs="Book Antiqua" w:hAnsi="Book Antiqua" w:eastAsia="Book Antiqua"/>
        </w:rPr>
      </w:pPr>
      <w:r>
        <w:rPr>
          <w:rFonts w:ascii="Book Antiqua"/>
          <w:rtl w:val="0"/>
          <w:lang w:val="it-IT"/>
        </w:rPr>
        <w:t>Certamente, ci</w:t>
      </w:r>
      <w:r>
        <w:rPr>
          <w:rFonts w:hAnsi="Book Antiqua" w:hint="default"/>
          <w:rtl w:val="0"/>
          <w:lang w:val="it-IT"/>
        </w:rPr>
        <w:t xml:space="preserve">ò </w:t>
      </w:r>
      <w:r>
        <w:rPr>
          <w:rFonts w:ascii="Book Antiqua"/>
          <w:rtl w:val="0"/>
          <w:lang w:val="it-IT"/>
        </w:rPr>
        <w:t xml:space="preserve">che </w:t>
      </w:r>
      <w:r>
        <w:rPr>
          <w:rFonts w:hAnsi="Book Antiqua" w:hint="default"/>
          <w:rtl w:val="0"/>
          <w:lang w:val="it-IT"/>
        </w:rPr>
        <w:t xml:space="preserve">è </w:t>
      </w:r>
      <w:r>
        <w:rPr>
          <w:rFonts w:ascii="Book Antiqua"/>
          <w:rtl w:val="0"/>
          <w:lang w:val="it-IT"/>
        </w:rPr>
        <w:t xml:space="preserve">emerso, ancora una volta, </w:t>
      </w:r>
      <w:r>
        <w:rPr>
          <w:rFonts w:hAnsi="Book Antiqua" w:hint="default"/>
          <w:rtl w:val="0"/>
          <w:lang w:val="it-IT"/>
        </w:rPr>
        <w:t xml:space="preserve">è </w:t>
      </w:r>
      <w:r>
        <w:rPr>
          <w:rFonts w:ascii="Book Antiqua"/>
          <w:rtl w:val="0"/>
          <w:lang w:val="it-IT"/>
        </w:rPr>
        <w:t>il collocarsi di alcuni significativi e diffusi illeciti nel ciclo dei rifiuti quali condotte ostative all</w:t>
      </w:r>
      <w:r>
        <w:rPr>
          <w:rFonts w:hAnsi="Book Antiqua" w:hint="default"/>
          <w:rtl w:val="0"/>
          <w:lang w:val="it-IT"/>
        </w:rPr>
        <w:t>’</w:t>
      </w:r>
      <w:r>
        <w:rPr>
          <w:rFonts w:ascii="Book Antiqua"/>
          <w:rtl w:val="0"/>
          <w:lang w:val="it-IT"/>
        </w:rPr>
        <w:t xml:space="preserve">ambizione al decoro urbano, la cui tutela, nelle sue diverse declinazioni, dovrebbe rientrare tra i compiti primari </w:t>
      </w:r>
      <w:r>
        <w:rPr>
          <w:rFonts w:hAnsi="Book Antiqua" w:hint="default"/>
          <w:rtl w:val="0"/>
          <w:lang w:val="it-IT"/>
        </w:rPr>
        <w:t xml:space="preserve">– </w:t>
      </w:r>
      <w:r>
        <w:rPr>
          <w:rFonts w:ascii="Book Antiqua"/>
          <w:rtl w:val="0"/>
          <w:lang w:val="it-IT"/>
        </w:rPr>
        <w:t xml:space="preserve">nelle rispettive competenze </w:t>
      </w:r>
      <w:r>
        <w:rPr>
          <w:rFonts w:hAnsi="Book Antiqua" w:hint="default"/>
          <w:rtl w:val="0"/>
          <w:lang w:val="it-IT"/>
        </w:rPr>
        <w:t xml:space="preserve">– </w:t>
      </w:r>
      <w:r>
        <w:rPr>
          <w:rFonts w:ascii="Book Antiqua"/>
          <w:rtl w:val="0"/>
          <w:lang w:val="it-IT"/>
        </w:rPr>
        <w:t xml:space="preserve">delle forze di polizia e delle amministrazioni locali. </w:t>
      </w: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rPr>
      </w:pPr>
      <w:r>
        <w:rPr>
          <w:rFonts w:ascii="Book Antiqua"/>
          <w:rtl w:val="0"/>
          <w:lang w:val="it-IT"/>
        </w:rPr>
        <w:t>La Commissione, nel luglio 2017, ha chiesto alla prefettura di Roma un riscontro sull</w:t>
      </w:r>
      <w:r>
        <w:rPr>
          <w:rFonts w:hAnsi="Book Antiqua" w:hint="default"/>
          <w:rtl w:val="0"/>
          <w:lang w:val="it-IT"/>
        </w:rPr>
        <w:t>’</w:t>
      </w:r>
      <w:r>
        <w:rPr>
          <w:rFonts w:ascii="Book Antiqua"/>
          <w:rtl w:val="0"/>
          <w:lang w:val="it-IT"/>
        </w:rPr>
        <w:t>attivit</w:t>
      </w:r>
      <w:r>
        <w:rPr>
          <w:rFonts w:hAnsi="Book Antiqua" w:hint="default"/>
          <w:rtl w:val="0"/>
          <w:lang w:val="it-IT"/>
        </w:rPr>
        <w:t xml:space="preserve">à </w:t>
      </w:r>
      <w:r>
        <w:rPr>
          <w:rFonts w:ascii="Book Antiqua"/>
          <w:rtl w:val="0"/>
          <w:lang w:val="it-IT"/>
        </w:rPr>
        <w:t>recente delle associazioni e comitati in precedenza auditi, ricevendo una risposta</w:t>
      </w:r>
      <w:r>
        <w:rPr>
          <w:rFonts w:ascii="Book Antiqua" w:cs="Book Antiqua" w:hAnsi="Book Antiqua" w:eastAsia="Book Antiqua"/>
          <w:vertAlign w:val="superscript"/>
          <w:rtl w:val="0"/>
        </w:rPr>
        <w:footnoteReference w:id="227"/>
      </w:r>
      <w:r>
        <w:rPr>
          <w:rFonts w:ascii="Book Antiqua"/>
          <w:rtl w:val="0"/>
          <w:lang w:val="it-IT"/>
        </w:rPr>
        <w:t xml:space="preserve"> con la quale </w:t>
      </w:r>
      <w:r>
        <w:rPr>
          <w:rFonts w:hAnsi="Book Antiqua" w:hint="default"/>
          <w:rtl w:val="0"/>
          <w:lang w:val="it-IT"/>
        </w:rPr>
        <w:t>“</w:t>
      </w:r>
      <w:r>
        <w:rPr>
          <w:rFonts w:ascii="Book Antiqua"/>
          <w:rtl w:val="0"/>
          <w:lang w:val="it-IT"/>
        </w:rPr>
        <w:t>si informa che, a partire dal 13 luglio 2015 e sino alla data odierna, nessun tavolo di confronto istituzionale con le associazioni e i comitati indicati nella citata nota risulta essere stato avviato presso questa prefettura in relazione ai temi rappresentati</w:t>
      </w:r>
      <w:r>
        <w:rPr>
          <w:rFonts w:hAnsi="Book Antiqua" w:hint="default"/>
          <w:rtl w:val="0"/>
          <w:lang w:val="it-IT"/>
        </w:rPr>
        <w:t>”</w:t>
      </w:r>
      <w:r>
        <w:rPr>
          <w:rFonts w:ascii="Book Antiqua"/>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Nella medesima nota si segnala, per contro, un</w:t>
      </w:r>
      <w:r>
        <w:rPr>
          <w:rFonts w:hAnsi="Book Antiqua" w:hint="default"/>
          <w:rtl w:val="0"/>
          <w:lang w:val="it-IT"/>
        </w:rPr>
        <w:t>’</w:t>
      </w:r>
      <w:r>
        <w:rPr>
          <w:rFonts w:ascii="Book Antiqua"/>
          <w:rtl w:val="0"/>
          <w:lang w:val="it-IT"/>
        </w:rPr>
        <w:t>attivit</w:t>
      </w:r>
      <w:r>
        <w:rPr>
          <w:rFonts w:hAnsi="Book Antiqua" w:hint="default"/>
          <w:rtl w:val="0"/>
          <w:lang w:val="it-IT"/>
        </w:rPr>
        <w:t xml:space="preserve">à </w:t>
      </w:r>
      <w:r>
        <w:rPr>
          <w:rFonts w:ascii="Book Antiqua"/>
          <w:rtl w:val="0"/>
          <w:lang w:val="it-IT"/>
        </w:rPr>
        <w:t>anche recente dei comitati dei residenti nei quartieri Fidene, Salario e Villa Spada, in relazione all</w:t>
      </w:r>
      <w:r>
        <w:rPr>
          <w:rFonts w:hAnsi="Book Antiqua" w:hint="default"/>
          <w:rtl w:val="0"/>
          <w:lang w:val="it-IT"/>
        </w:rPr>
        <w:t>’</w:t>
      </w:r>
      <w:r>
        <w:rPr>
          <w:rFonts w:ascii="Book Antiqua"/>
          <w:rtl w:val="0"/>
          <w:lang w:val="it-IT"/>
        </w:rPr>
        <w:t>impianto TMB Salario dell</w:t>
      </w:r>
      <w:r>
        <w:rPr>
          <w:rFonts w:hAnsi="Book Antiqua" w:hint="default"/>
          <w:rtl w:val="0"/>
          <w:lang w:val="it-IT"/>
        </w:rPr>
        <w:t>’</w:t>
      </w:r>
      <w:r>
        <w:rPr>
          <w:rFonts w:ascii="Book Antiqua"/>
          <w:rtl w:val="0"/>
          <w:lang w:val="it-IT"/>
        </w:rPr>
        <w:t>AMA</w:t>
      </w:r>
      <w:r>
        <w:rPr>
          <w:rFonts w:ascii="Book Antiqua" w:cs="Book Antiqua" w:hAnsi="Book Antiqua" w:eastAsia="Book Antiqua"/>
          <w:vertAlign w:val="superscript"/>
          <w:rtl w:val="0"/>
        </w:rPr>
        <w:footnoteReference w:id="228"/>
      </w:r>
      <w:r>
        <w:rPr>
          <w:rFonts w:ascii="Book Antiqua"/>
          <w:rtl w:val="0"/>
          <w:lang w:val="it-IT"/>
        </w:rPr>
        <w:t>. Il comitato di quartiere Fidene ha fatto pervenire alla Commissione una nota in data 3 novembre 2017, nella quale ripercorre storicamente l</w:t>
      </w:r>
      <w:r>
        <w:rPr>
          <w:rFonts w:hAnsi="Book Antiqua" w:hint="default"/>
          <w:rtl w:val="0"/>
          <w:lang w:val="it-IT"/>
        </w:rPr>
        <w:t>’</w:t>
      </w:r>
      <w:r>
        <w:rPr>
          <w:rFonts w:ascii="Book Antiqua"/>
          <w:rtl w:val="0"/>
          <w:lang w:val="it-IT"/>
        </w:rPr>
        <w:t>attivit</w:t>
      </w:r>
      <w:r>
        <w:rPr>
          <w:rFonts w:hAnsi="Book Antiqua" w:hint="default"/>
          <w:rtl w:val="0"/>
          <w:lang w:val="it-IT"/>
        </w:rPr>
        <w:t xml:space="preserve">à </w:t>
      </w:r>
      <w:r>
        <w:rPr>
          <w:rFonts w:ascii="Book Antiqua"/>
          <w:rtl w:val="0"/>
          <w:lang w:val="it-IT"/>
        </w:rPr>
        <w:t xml:space="preserve">del TMB Salario, sottolineando </w:t>
      </w:r>
      <w:r>
        <w:rPr>
          <w:rFonts w:hAnsi="Book Antiqua" w:hint="default"/>
          <w:rtl w:val="0"/>
          <w:lang w:val="it-IT"/>
        </w:rPr>
        <w:t>“</w:t>
      </w:r>
      <w:r>
        <w:rPr>
          <w:rFonts w:ascii="Book Antiqua"/>
          <w:rtl w:val="0"/>
          <w:lang w:val="it-IT"/>
        </w:rPr>
        <w:t>la collocazione di un impianto di trattamento dei rifiuti dentro il raccordo anulare, a ridosso di quartieri densamente popolati che esistevano gi</w:t>
      </w:r>
      <w:r>
        <w:rPr>
          <w:rFonts w:hAnsi="Book Antiqua" w:hint="default"/>
          <w:rtl w:val="0"/>
          <w:lang w:val="it-IT"/>
        </w:rPr>
        <w:t>à</w:t>
      </w:r>
      <w:r>
        <w:rPr>
          <w:rFonts w:ascii="Book Antiqua"/>
          <w:rtl w:val="0"/>
          <w:lang w:val="it-IT"/>
        </w:rPr>
        <w:t>, accanto agli uffici di SKY, RAI, Condotte, Teleroma 56, Motorizzazione Civile, nonch</w:t>
      </w:r>
      <w:r>
        <w:rPr>
          <w:rFonts w:hAnsi="Book Antiqua" w:hint="default"/>
          <w:rtl w:val="0"/>
          <w:lang w:val="it-IT"/>
        </w:rPr>
        <w:t>é</w:t>
      </w:r>
      <w:r>
        <w:rPr>
          <w:rFonts w:ascii="Book Antiqua"/>
          <w:rtl w:val="0"/>
          <w:lang w:val="it-IT"/>
        </w:rPr>
        <w:t xml:space="preserve"> vicino allo smistamento ferroviario di Roma Nord e all'Aeroporto dell'Urbe. La prima casa si trova a 50 metri dall</w:t>
      </w:r>
      <w:r>
        <w:rPr>
          <w:rFonts w:hAnsi="Book Antiqua" w:hint="default"/>
          <w:rtl w:val="0"/>
          <w:lang w:val="it-IT"/>
        </w:rPr>
        <w:t>’</w:t>
      </w:r>
      <w:r>
        <w:rPr>
          <w:rFonts w:ascii="Book Antiqua"/>
          <w:rtl w:val="0"/>
          <w:lang w:val="it-IT"/>
        </w:rPr>
        <w:t>impianto e l</w:t>
      </w:r>
      <w:r>
        <w:rPr>
          <w:rFonts w:hAnsi="Book Antiqua" w:hint="default"/>
          <w:rtl w:val="0"/>
          <w:lang w:val="it-IT"/>
        </w:rPr>
        <w:t>’</w:t>
      </w:r>
      <w:r>
        <w:rPr>
          <w:rFonts w:ascii="Book Antiqua"/>
          <w:rtl w:val="0"/>
          <w:lang w:val="it-IT"/>
        </w:rPr>
        <w:t>asilo nido a 150 metri</w:t>
      </w:r>
      <w:r>
        <w:rPr>
          <w:rFonts w:hAnsi="Book Antiqua" w:hint="default"/>
          <w:rtl w:val="0"/>
          <w:lang w:val="it-IT"/>
        </w:rPr>
        <w:t>”</w:t>
      </w:r>
      <w:r>
        <w:rPr>
          <w:rFonts w:ascii="Book Antiqua"/>
          <w:rtl w:val="0"/>
          <w:lang w:val="it-IT"/>
        </w:rPr>
        <w:t xml:space="preserve">; le doglianze dei cittadini che il comitato riunisce si appuntano sui </w:t>
      </w:r>
      <w:r>
        <w:rPr>
          <w:rFonts w:hAnsi="Book Antiqua" w:hint="default"/>
          <w:rtl w:val="0"/>
          <w:lang w:val="it-IT"/>
        </w:rPr>
        <w:t>“</w:t>
      </w:r>
      <w:r>
        <w:rPr>
          <w:rFonts w:ascii="Book Antiqua"/>
          <w:rtl w:val="0"/>
          <w:lang w:val="it-IT"/>
        </w:rPr>
        <w:t>cattivi odori che variano di intensit</w:t>
      </w:r>
      <w:r>
        <w:rPr>
          <w:rFonts w:hAnsi="Book Antiqua" w:hint="default"/>
          <w:rtl w:val="0"/>
          <w:lang w:val="it-IT"/>
        </w:rPr>
        <w:t xml:space="preserve">à </w:t>
      </w:r>
      <w:r>
        <w:rPr>
          <w:rFonts w:ascii="Book Antiqua"/>
          <w:rtl w:val="0"/>
          <w:lang w:val="it-IT"/>
        </w:rPr>
        <w:t>a seconda delle stagioni, delle condizioni meteorologiche, delle ore e della quantit</w:t>
      </w:r>
      <w:r>
        <w:rPr>
          <w:rFonts w:hAnsi="Book Antiqua" w:hint="default"/>
          <w:rtl w:val="0"/>
          <w:lang w:val="it-IT"/>
        </w:rPr>
        <w:t xml:space="preserve">à </w:t>
      </w:r>
      <w:r>
        <w:rPr>
          <w:rFonts w:ascii="Book Antiqua"/>
          <w:rtl w:val="0"/>
          <w:lang w:val="it-IT"/>
        </w:rPr>
        <w:t>dei rifiuti lavorati, che superano la soglia di tollerabilit</w:t>
      </w:r>
      <w:r>
        <w:rPr>
          <w:rFonts w:hAnsi="Book Antiqua" w:hint="default"/>
          <w:rtl w:val="0"/>
          <w:lang w:val="it-IT"/>
        </w:rPr>
        <w:t xml:space="preserve">à </w:t>
      </w:r>
      <w:r>
        <w:rPr>
          <w:rFonts w:ascii="Book Antiqua"/>
          <w:rtl w:val="0"/>
          <w:lang w:val="it-IT"/>
        </w:rPr>
        <w:t>della popolazione residente e che causano disagi e malesseri sia fisici (occhi e narici che bruciano, tosse, mal di testa,</w:t>
      </w:r>
      <w:r>
        <w:rPr>
          <w:rFonts w:ascii="Book Antiqua"/>
          <w:i w:val="1"/>
          <w:iCs w:val="1"/>
          <w:rtl w:val="0"/>
          <w:lang w:val="it-IT"/>
        </w:rPr>
        <w:t xml:space="preserve"> </w:t>
      </w:r>
      <w:r>
        <w:rPr>
          <w:rFonts w:ascii="Book Antiqua"/>
          <w:rtl w:val="0"/>
          <w:lang w:val="it-IT"/>
        </w:rPr>
        <w:t>nausea, vomito e dermatiti; i bambini e le persone allergiche soffrono maggiormente di queste patologie), sia psicologici (rabbia, esasperazione e un senso di impotenza dovuto all'ingiustizia che sono costretti a subire)</w:t>
      </w:r>
      <w:r>
        <w:rPr>
          <w:rFonts w:hAnsi="Book Antiqua" w:hint="default"/>
          <w:rtl w:val="0"/>
          <w:lang w:val="it-IT"/>
        </w:rPr>
        <w:t>”</w:t>
      </w:r>
      <w:r>
        <w:rPr>
          <w:rFonts w:ascii="Book Antiqua" w:cs="Book Antiqua" w:hAnsi="Book Antiqua" w:eastAsia="Book Antiqua"/>
          <w:vertAlign w:val="superscript"/>
          <w:rtl w:val="0"/>
        </w:rPr>
        <w:footnoteReference w:id="229"/>
      </w:r>
      <w:r>
        <w:rPr>
          <w:rFonts w:ascii="Book Antiqua"/>
          <w:rtl w:val="0"/>
          <w:lang w:val="it-IT"/>
        </w:rPr>
        <w:t>.</w:t>
      </w: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rPr>
      </w:pPr>
      <w:r>
        <w:rPr>
          <w:rFonts w:ascii="Book Antiqua"/>
          <w:rtl w:val="0"/>
          <w:lang w:val="it-IT"/>
        </w:rPr>
        <w:t>L</w:t>
      </w:r>
      <w:r>
        <w:rPr>
          <w:rFonts w:hAnsi="Book Antiqua" w:hint="default"/>
          <w:rtl w:val="0"/>
          <w:lang w:val="it-IT"/>
        </w:rPr>
        <w:t>’</w:t>
      </w:r>
      <w:r>
        <w:rPr>
          <w:rFonts w:ascii="Book Antiqua"/>
          <w:rtl w:val="0"/>
          <w:lang w:val="it-IT"/>
        </w:rPr>
        <w:t>11 dicembre 2017 la Commissione ha infine proceduto all</w:t>
      </w:r>
      <w:r>
        <w:rPr>
          <w:rFonts w:hAnsi="Book Antiqua" w:hint="default"/>
          <w:rtl w:val="0"/>
          <w:lang w:val="it-IT"/>
        </w:rPr>
        <w:t>’</w:t>
      </w:r>
      <w:r>
        <w:rPr>
          <w:rFonts w:ascii="Book Antiqua"/>
          <w:rtl w:val="0"/>
          <w:lang w:val="it-IT"/>
        </w:rPr>
        <w:t>audizione dell</w:t>
      </w:r>
      <w:r>
        <w:rPr>
          <w:rFonts w:hAnsi="Book Antiqua" w:hint="default"/>
          <w:rtl w:val="0"/>
          <w:lang w:val="it-IT"/>
        </w:rPr>
        <w:t>’</w:t>
      </w:r>
      <w:r>
        <w:rPr>
          <w:rFonts w:ascii="Book Antiqua"/>
          <w:rtl w:val="0"/>
          <w:lang w:val="it-IT"/>
        </w:rPr>
        <w:t>associazione Area consumatori, dell</w:t>
      </w:r>
      <w:r>
        <w:rPr>
          <w:rFonts w:hAnsi="Book Antiqua" w:hint="default"/>
          <w:rtl w:val="0"/>
          <w:lang w:val="it-IT"/>
        </w:rPr>
        <w:t>’</w:t>
      </w:r>
      <w:r>
        <w:rPr>
          <w:rFonts w:ascii="Book Antiqua"/>
          <w:rtl w:val="0"/>
          <w:lang w:val="it-IT"/>
        </w:rPr>
        <w:t>associazione del presidio permanente Rifiutiamoli, dell</w:t>
      </w:r>
      <w:r>
        <w:rPr>
          <w:rFonts w:hAnsi="Book Antiqua" w:hint="default"/>
          <w:rtl w:val="0"/>
          <w:lang w:val="it-IT"/>
        </w:rPr>
        <w:t>’</w:t>
      </w:r>
      <w:r>
        <w:rPr>
          <w:rFonts w:ascii="Book Antiqua"/>
          <w:rtl w:val="0"/>
          <w:lang w:val="it-IT"/>
        </w:rPr>
        <w:t>associazione Civis di Ferentino, tutte operanti nell</w:t>
      </w:r>
      <w:r>
        <w:rPr>
          <w:rFonts w:hAnsi="Book Antiqua" w:hint="default"/>
          <w:rtl w:val="0"/>
          <w:lang w:val="it-IT"/>
        </w:rPr>
        <w:t>’</w:t>
      </w:r>
      <w:r>
        <w:rPr>
          <w:rFonts w:ascii="Book Antiqua"/>
          <w:rtl w:val="0"/>
          <w:lang w:val="it-IT"/>
        </w:rPr>
        <w:t>area sud della provincia di Roma.</w:t>
      </w:r>
    </w:p>
    <w:p>
      <w:pPr>
        <w:pStyle w:val="Normal"/>
        <w:ind w:left="567" w:right="567" w:firstLine="0"/>
        <w:jc w:val="both"/>
        <w:rPr>
          <w:rFonts w:ascii="Book Antiqua" w:cs="Book Antiqua" w:hAnsi="Book Antiqua" w:eastAsia="Book Antiqua"/>
        </w:rPr>
      </w:pPr>
      <w:r>
        <w:rPr>
          <w:rFonts w:ascii="Book Antiqua"/>
          <w:rtl w:val="0"/>
          <w:lang w:val="it-IT"/>
        </w:rPr>
        <w:t>Le associazioni hanno riferito di una comune preoccupazione dei cittadini di Colleferro e zone limitrofe in ordine all</w:t>
      </w:r>
      <w:r>
        <w:rPr>
          <w:rFonts w:hAnsi="Book Antiqua" w:hint="default"/>
          <w:rtl w:val="0"/>
          <w:lang w:val="it-IT"/>
        </w:rPr>
        <w:t>’</w:t>
      </w:r>
      <w:r>
        <w:rPr>
          <w:rFonts w:ascii="Book Antiqua"/>
          <w:rtl w:val="0"/>
          <w:lang w:val="it-IT"/>
        </w:rPr>
        <w:t>operativit</w:t>
      </w:r>
      <w:r>
        <w:rPr>
          <w:rFonts w:hAnsi="Book Antiqua" w:hint="default"/>
          <w:rtl w:val="0"/>
          <w:lang w:val="it-IT"/>
        </w:rPr>
        <w:t xml:space="preserve">à </w:t>
      </w:r>
      <w:r>
        <w:rPr>
          <w:rFonts w:ascii="Book Antiqua"/>
          <w:rtl w:val="0"/>
          <w:lang w:val="it-IT"/>
        </w:rPr>
        <w:t>delle linee di incenerimento ivi insediate.</w:t>
      </w:r>
    </w:p>
    <w:p>
      <w:pPr>
        <w:pStyle w:val="Normal"/>
        <w:ind w:left="567" w:right="567" w:firstLine="0"/>
        <w:jc w:val="both"/>
        <w:rPr>
          <w:rFonts w:ascii="Book Antiqua" w:cs="Book Antiqua" w:hAnsi="Book Antiqua" w:eastAsia="Book Antiqua"/>
        </w:rPr>
      </w:pPr>
      <w:r>
        <w:rPr>
          <w:rFonts w:ascii="Book Antiqua"/>
          <w:rtl w:val="0"/>
          <w:lang w:val="it-IT"/>
        </w:rPr>
        <w:t>L</w:t>
      </w:r>
      <w:r>
        <w:rPr>
          <w:rFonts w:hAnsi="Book Antiqua" w:hint="default"/>
          <w:rtl w:val="0"/>
          <w:lang w:val="it-IT"/>
        </w:rPr>
        <w:t>’</w:t>
      </w:r>
      <w:r>
        <w:rPr>
          <w:rFonts w:ascii="Book Antiqua"/>
          <w:rtl w:val="0"/>
          <w:lang w:val="it-IT"/>
        </w:rPr>
        <w:t>associazione Area consumatori si oppone a ipotesi di revamping dell</w:t>
      </w:r>
      <w:r>
        <w:rPr>
          <w:rFonts w:hAnsi="Book Antiqua" w:hint="default"/>
          <w:rtl w:val="0"/>
          <w:lang w:val="it-IT"/>
        </w:rPr>
        <w:t>’</w:t>
      </w:r>
      <w:r>
        <w:rPr>
          <w:rFonts w:ascii="Book Antiqua"/>
          <w:rtl w:val="0"/>
          <w:lang w:val="it-IT"/>
        </w:rPr>
        <w:t>impianto, e ha manifestato preoccupazione per la situazione della tutela dell</w:t>
      </w:r>
      <w:r>
        <w:rPr>
          <w:rFonts w:hAnsi="Book Antiqua" w:hint="default"/>
          <w:rtl w:val="0"/>
          <w:lang w:val="it-IT"/>
        </w:rPr>
        <w:t>’</w:t>
      </w:r>
      <w:r>
        <w:rPr>
          <w:rFonts w:ascii="Book Antiqua"/>
          <w:rtl w:val="0"/>
          <w:lang w:val="it-IT"/>
        </w:rPr>
        <w:t>ambiente e della salute (anche, in audizione, mediante il richiamo alle valutazioni espresse da questa Commissione nella XVI Legislatura); i cittadini associati lamentano in realt</w:t>
      </w:r>
      <w:r>
        <w:rPr>
          <w:rFonts w:hAnsi="Book Antiqua" w:hint="default"/>
          <w:rtl w:val="0"/>
          <w:lang w:val="it-IT"/>
        </w:rPr>
        <w:t xml:space="preserve">à </w:t>
      </w:r>
      <w:r>
        <w:rPr>
          <w:rFonts w:ascii="Book Antiqua"/>
          <w:rtl w:val="0"/>
          <w:lang w:val="it-IT"/>
        </w:rPr>
        <w:t>anche la ritenuta contraddittoriet</w:t>
      </w:r>
      <w:r>
        <w:rPr>
          <w:rFonts w:hAnsi="Book Antiqua" w:hint="default"/>
          <w:rtl w:val="0"/>
          <w:lang w:val="it-IT"/>
        </w:rPr>
        <w:t xml:space="preserve">à </w:t>
      </w:r>
      <w:r>
        <w:rPr>
          <w:rFonts w:ascii="Book Antiqua"/>
          <w:rtl w:val="0"/>
          <w:lang w:val="it-IT"/>
        </w:rPr>
        <w:t>delle informazioni provenienti dalle pubbliche amministrazioni e dalle aziende coinvolte; l</w:t>
      </w:r>
      <w:r>
        <w:rPr>
          <w:rFonts w:hAnsi="Book Antiqua" w:hint="default"/>
          <w:rtl w:val="0"/>
          <w:lang w:val="it-IT"/>
        </w:rPr>
        <w:t>’</w:t>
      </w:r>
      <w:r>
        <w:rPr>
          <w:rFonts w:ascii="Book Antiqua"/>
          <w:rtl w:val="0"/>
          <w:lang w:val="it-IT"/>
        </w:rPr>
        <w:t>associazione ha richiamato la petizione sottoscritta da 520 cittadini e due denunce per presunti illeciti ambientali.</w:t>
      </w:r>
    </w:p>
    <w:p>
      <w:pPr>
        <w:pStyle w:val="Normal"/>
        <w:ind w:left="567" w:right="567" w:firstLine="0"/>
        <w:jc w:val="both"/>
        <w:rPr>
          <w:rFonts w:ascii="Book Antiqua" w:cs="Book Antiqua" w:hAnsi="Book Antiqua" w:eastAsia="Book Antiqua"/>
        </w:rPr>
      </w:pPr>
      <w:r>
        <w:rPr>
          <w:rFonts w:ascii="Book Antiqua"/>
          <w:rtl w:val="0"/>
          <w:lang w:val="it-IT"/>
        </w:rPr>
        <w:t>Da parte dell</w:t>
      </w:r>
      <w:r>
        <w:rPr>
          <w:rFonts w:hAnsi="Book Antiqua" w:hint="default"/>
          <w:rtl w:val="0"/>
          <w:lang w:val="it-IT"/>
        </w:rPr>
        <w:t>’</w:t>
      </w:r>
      <w:r>
        <w:rPr>
          <w:rFonts w:ascii="Book Antiqua"/>
          <w:rtl w:val="0"/>
          <w:lang w:val="it-IT"/>
        </w:rPr>
        <w:t>associazione del presidio permanente Rifiutiamoli sono state riferite le iniziative attive di presidio degli impianti, con richiamo a una delibera del comune di Colleferro del 22 dicembre 2016; secondo gli auditi il tema ambientale riguarda in realt</w:t>
      </w:r>
      <w:r>
        <w:rPr>
          <w:rFonts w:hAnsi="Book Antiqua" w:hint="default"/>
          <w:rtl w:val="0"/>
          <w:lang w:val="it-IT"/>
        </w:rPr>
        <w:t xml:space="preserve">à </w:t>
      </w:r>
      <w:r>
        <w:rPr>
          <w:rFonts w:ascii="Book Antiqua"/>
          <w:rtl w:val="0"/>
          <w:lang w:val="it-IT"/>
        </w:rPr>
        <w:t>tutta l</w:t>
      </w:r>
      <w:r>
        <w:rPr>
          <w:rFonts w:hAnsi="Book Antiqua" w:hint="default"/>
          <w:rtl w:val="0"/>
          <w:lang w:val="it-IT"/>
        </w:rPr>
        <w:t>’</w:t>
      </w:r>
      <w:r>
        <w:rPr>
          <w:rFonts w:ascii="Book Antiqua"/>
          <w:rtl w:val="0"/>
          <w:lang w:val="it-IT"/>
        </w:rPr>
        <w:t>area della Valle del Sacco e il SIN l</w:t>
      </w:r>
      <w:r>
        <w:rPr>
          <w:rFonts w:hAnsi="Book Antiqua" w:hint="default"/>
          <w:rtl w:val="0"/>
          <w:lang w:val="it-IT"/>
        </w:rPr>
        <w:t xml:space="preserve">ì </w:t>
      </w:r>
      <w:r>
        <w:rPr>
          <w:rFonts w:ascii="Book Antiqua"/>
          <w:rtl w:val="0"/>
          <w:lang w:val="it-IT"/>
        </w:rPr>
        <w:t>perimetrato nonch</w:t>
      </w:r>
      <w:r>
        <w:rPr>
          <w:rFonts w:hAnsi="Book Antiqua" w:hint="default"/>
          <w:rtl w:val="0"/>
          <w:lang w:val="it-IT"/>
        </w:rPr>
        <w:t xml:space="preserve">é </w:t>
      </w:r>
      <w:r>
        <w:rPr>
          <w:rFonts w:ascii="Book Antiqua"/>
          <w:rtl w:val="0"/>
          <w:lang w:val="it-IT"/>
        </w:rPr>
        <w:t>la necessit</w:t>
      </w:r>
      <w:r>
        <w:rPr>
          <w:rFonts w:hAnsi="Book Antiqua" w:hint="default"/>
          <w:rtl w:val="0"/>
          <w:lang w:val="it-IT"/>
        </w:rPr>
        <w:t xml:space="preserve">à </w:t>
      </w:r>
      <w:r>
        <w:rPr>
          <w:rFonts w:ascii="Book Antiqua"/>
          <w:rtl w:val="0"/>
          <w:lang w:val="it-IT"/>
        </w:rPr>
        <w:t>di controllo sulla violazione di prescrizioni in materia ambientale ovvero la mancata previsione di prescrizioni adeguate.</w:t>
      </w:r>
    </w:p>
    <w:p>
      <w:pPr>
        <w:pStyle w:val="Normal"/>
        <w:ind w:left="567" w:right="567" w:firstLine="0"/>
        <w:jc w:val="both"/>
        <w:rPr>
          <w:rFonts w:ascii="Book Antiqua" w:cs="Book Antiqua" w:hAnsi="Book Antiqua" w:eastAsia="Book Antiqua"/>
        </w:rPr>
      </w:pPr>
      <w:r>
        <w:rPr>
          <w:rFonts w:ascii="Book Antiqua"/>
          <w:rtl w:val="0"/>
          <w:lang w:val="it-IT"/>
        </w:rPr>
        <w:t>L</w:t>
      </w:r>
      <w:r>
        <w:rPr>
          <w:rFonts w:hAnsi="Book Antiqua" w:hint="default"/>
          <w:rtl w:val="0"/>
          <w:lang w:val="it-IT"/>
        </w:rPr>
        <w:t>’</w:t>
      </w:r>
      <w:r>
        <w:rPr>
          <w:rFonts w:ascii="Book Antiqua"/>
          <w:rtl w:val="0"/>
          <w:lang w:val="it-IT"/>
        </w:rPr>
        <w:t>associazione Civis di Ferentino ha esteso l</w:t>
      </w:r>
      <w:r>
        <w:rPr>
          <w:rFonts w:hAnsi="Book Antiqua" w:hint="default"/>
          <w:rtl w:val="0"/>
          <w:lang w:val="it-IT"/>
        </w:rPr>
        <w:t>’</w:t>
      </w:r>
      <w:r>
        <w:rPr>
          <w:rFonts w:ascii="Book Antiqua"/>
          <w:rtl w:val="0"/>
          <w:lang w:val="it-IT"/>
        </w:rPr>
        <w:t>oggetto di attenzione all</w:t>
      </w:r>
      <w:r>
        <w:rPr>
          <w:rFonts w:hAnsi="Book Antiqua" w:hint="default"/>
          <w:rtl w:val="0"/>
          <w:lang w:val="it-IT"/>
        </w:rPr>
        <w:t>’</w:t>
      </w:r>
      <w:r>
        <w:rPr>
          <w:rFonts w:ascii="Book Antiqua"/>
          <w:rtl w:val="0"/>
          <w:lang w:val="it-IT"/>
        </w:rPr>
        <w:t>intera provincia di Frosinone, rimarcando come l</w:t>
      </w:r>
      <w:r>
        <w:rPr>
          <w:rFonts w:hAnsi="Book Antiqua" w:hint="default"/>
          <w:rtl w:val="0"/>
          <w:lang w:val="it-IT"/>
        </w:rPr>
        <w:t>’</w:t>
      </w:r>
      <w:r>
        <w:rPr>
          <w:rFonts w:ascii="Book Antiqua"/>
          <w:rtl w:val="0"/>
          <w:lang w:val="it-IT"/>
        </w:rPr>
        <w:t>ASL non sia tuttora dotata di registro tumori a fronte di una situazione sanitaria potenzialmente a rischio; nell</w:t>
      </w:r>
      <w:r>
        <w:rPr>
          <w:rFonts w:hAnsi="Book Antiqua" w:hint="default"/>
          <w:rtl w:val="0"/>
          <w:lang w:val="it-IT"/>
        </w:rPr>
        <w:t>’</w:t>
      </w:r>
      <w:r>
        <w:rPr>
          <w:rFonts w:ascii="Book Antiqua"/>
          <w:rtl w:val="0"/>
          <w:lang w:val="it-IT"/>
        </w:rPr>
        <w:t>area di Ferentino, in particolare, gli auditi hanno riferito di tre ricorsi giurisdizionali amministrativi contro autorizzazioni a nuovi impianti di trattamento dei rifiuti; sottolineando come le ricadute negative locali derivino da debolezze storiche nella gestione del ciclo dei rifiuti; gli auditi hanno parlato con preoccupazione della contaminazione da cromo esavalente, di problematica attribuzione. Una specifica sollecitazione proveniente dall</w:t>
      </w:r>
      <w:r>
        <w:rPr>
          <w:rFonts w:hAnsi="Book Antiqua" w:hint="default"/>
          <w:rtl w:val="0"/>
          <w:lang w:val="it-IT"/>
        </w:rPr>
        <w:t>’</w:t>
      </w:r>
      <w:r>
        <w:rPr>
          <w:rFonts w:ascii="Book Antiqua"/>
          <w:rtl w:val="0"/>
          <w:lang w:val="it-IT"/>
        </w:rPr>
        <w:t xml:space="preserve">associazione </w:t>
      </w:r>
      <w:r>
        <w:rPr>
          <w:rFonts w:hAnsi="Book Antiqua" w:hint="default"/>
          <w:rtl w:val="0"/>
          <w:lang w:val="it-IT"/>
        </w:rPr>
        <w:t xml:space="preserve">è </w:t>
      </w:r>
      <w:r>
        <w:rPr>
          <w:rFonts w:ascii="Book Antiqua"/>
          <w:rtl w:val="0"/>
          <w:lang w:val="it-IT"/>
        </w:rPr>
        <w:t>quella al monitoraggio epidemiologico, di competenza della regione Lazio, annunciato nel maggio 2017 ma allo stato, secondo quanto noto all</w:t>
      </w:r>
      <w:r>
        <w:rPr>
          <w:rFonts w:hAnsi="Book Antiqua" w:hint="default"/>
          <w:rtl w:val="0"/>
          <w:lang w:val="it-IT"/>
        </w:rPr>
        <w:t>’</w:t>
      </w:r>
      <w:r>
        <w:rPr>
          <w:rFonts w:ascii="Book Antiqua"/>
          <w:rtl w:val="0"/>
          <w:lang w:val="it-IT"/>
        </w:rPr>
        <w:t>associazione, non avviato.</w:t>
      </w: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sz w:val="32"/>
          <w:szCs w:val="32"/>
        </w:rPr>
      </w:pPr>
      <w:r>
        <w:rPr>
          <w:rFonts w:ascii="Book Antiqua"/>
          <w:sz w:val="32"/>
          <w:szCs w:val="32"/>
          <w:rtl w:val="0"/>
          <w:lang w:val="it-IT"/>
        </w:rPr>
        <w:t>6. Alcuni significativi fenomeni illeciti e situazioni critiche nel Lazio</w:t>
      </w: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rPr>
      </w:pPr>
    </w:p>
    <w:p>
      <w:pPr>
        <w:pStyle w:val="Normal"/>
        <w:numPr>
          <w:ilvl w:val="1"/>
          <w:numId w:val="147"/>
        </w:numPr>
        <w:tabs>
          <w:tab w:val="num" w:pos="688"/>
          <w:tab w:val="clear" w:pos="567"/>
        </w:tabs>
        <w:bidi w:val="0"/>
        <w:ind w:left="547" w:right="567" w:firstLine="20"/>
        <w:jc w:val="both"/>
        <w:rPr>
          <w:rFonts w:ascii="Book Antiqua" w:cs="Book Antiqua" w:hAnsi="Book Antiqua" w:eastAsia="Book Antiqua"/>
          <w:position w:val="0"/>
          <w:sz w:val="28"/>
          <w:szCs w:val="28"/>
          <w:rtl w:val="0"/>
        </w:rPr>
      </w:pPr>
      <w:r>
        <w:rPr>
          <w:rFonts w:ascii="Book Antiqua"/>
          <w:sz w:val="28"/>
          <w:szCs w:val="28"/>
          <w:rtl w:val="0"/>
          <w:lang w:val="it-IT"/>
        </w:rPr>
        <w:t>La situazione delle province del Lazio: sintesi</w:t>
      </w:r>
    </w:p>
    <w:p>
      <w:pPr>
        <w:pStyle w:val="Normal"/>
        <w:ind w:left="567" w:right="567" w:firstLine="0"/>
        <w:jc w:val="both"/>
        <w:rPr>
          <w:rFonts w:ascii="Book Antiqua" w:cs="Book Antiqua" w:hAnsi="Book Antiqua" w:eastAsia="Book Antiqua"/>
          <w:sz w:val="28"/>
          <w:szCs w:val="28"/>
        </w:rPr>
      </w:pPr>
    </w:p>
    <w:p>
      <w:pPr>
        <w:pStyle w:val="Normal"/>
        <w:ind w:left="567" w:right="567" w:firstLine="0"/>
        <w:jc w:val="both"/>
        <w:rPr>
          <w:rFonts w:ascii="Book Antiqua" w:cs="Book Antiqua" w:hAnsi="Book Antiqua" w:eastAsia="Book Antiqua"/>
        </w:rPr>
      </w:pPr>
      <w:r>
        <w:rPr>
          <w:rFonts w:ascii="Book Antiqua"/>
          <w:rtl w:val="0"/>
          <w:lang w:val="it-IT"/>
        </w:rPr>
        <w:t>Dal complesso delle audizioni e dalla documentazione acquisita, la situazione degli illeciti ambientali riscontrati nelle province del Lazio diverse da Roma (ovvero non collegati alle attivit</w:t>
      </w:r>
      <w:r>
        <w:rPr>
          <w:rFonts w:hAnsi="Book Antiqua" w:hint="default"/>
          <w:rtl w:val="0"/>
          <w:lang w:val="it-IT"/>
        </w:rPr>
        <w:t xml:space="preserve">à </w:t>
      </w:r>
      <w:r>
        <w:rPr>
          <w:rFonts w:ascii="Book Antiqua"/>
          <w:rtl w:val="0"/>
          <w:lang w:val="it-IT"/>
        </w:rPr>
        <w:t xml:space="preserve">della galassia societaria descritta nel </w:t>
      </w:r>
      <w:r>
        <w:rPr>
          <w:rFonts w:hAnsi="Book Antiqua" w:hint="default"/>
          <w:rtl w:val="0"/>
          <w:lang w:val="it-IT"/>
        </w:rPr>
        <w:t xml:space="preserve">§ </w:t>
      </w:r>
      <w:r>
        <w:rPr>
          <w:rFonts w:ascii="Book Antiqua"/>
          <w:rtl w:val="0"/>
          <w:lang w:val="it-IT"/>
        </w:rPr>
        <w:t>4.2) non presenta, in generale, aspetti di particolare interesse o criticit</w:t>
      </w:r>
      <w:r>
        <w:rPr>
          <w:rFonts w:hAnsi="Book Antiqua" w:hint="default"/>
          <w:rtl w:val="0"/>
          <w:lang w:val="it-IT"/>
        </w:rPr>
        <w:t xml:space="preserve">à </w:t>
      </w:r>
      <w:r>
        <w:rPr>
          <w:rFonts w:ascii="Book Antiqua"/>
          <w:rtl w:val="0"/>
          <w:lang w:val="it-IT"/>
        </w:rPr>
        <w:t xml:space="preserve">rispetto alle competenze di questa Commissione. </w:t>
      </w:r>
    </w:p>
    <w:p>
      <w:pPr>
        <w:pStyle w:val="Normal"/>
        <w:ind w:left="567" w:right="567" w:firstLine="0"/>
        <w:jc w:val="both"/>
        <w:rPr>
          <w:rFonts w:ascii="Book Antiqua" w:cs="Book Antiqua" w:hAnsi="Book Antiqua" w:eastAsia="Book Antiqua"/>
        </w:rPr>
      </w:pPr>
      <w:r>
        <w:rPr>
          <w:rFonts w:ascii="Book Antiqua"/>
          <w:rtl w:val="0"/>
          <w:lang w:val="it-IT"/>
        </w:rPr>
        <w:t>Come evidenziato dalla relazione del NOE dei carabinieri di Roma, pervenuta alla Commissione l'8 febbraio 2017</w:t>
      </w:r>
      <w:r>
        <w:rPr>
          <w:rFonts w:ascii="Book Antiqua" w:cs="Book Antiqua" w:hAnsi="Book Antiqua" w:eastAsia="Book Antiqua"/>
          <w:vertAlign w:val="superscript"/>
          <w:rtl w:val="0"/>
        </w:rPr>
        <w:footnoteReference w:id="230"/>
      </w:r>
      <w:r>
        <w:rPr>
          <w:rFonts w:ascii="Book Antiqua"/>
          <w:rtl w:val="0"/>
          <w:lang w:val="it-IT"/>
        </w:rPr>
        <w:t>, "dalle attivit</w:t>
      </w:r>
      <w:r>
        <w:rPr>
          <w:rFonts w:hAnsi="Book Antiqua" w:hint="default"/>
          <w:rtl w:val="0"/>
          <w:lang w:val="it-IT"/>
        </w:rPr>
        <w:t xml:space="preserve">à </w:t>
      </w:r>
      <w:r>
        <w:rPr>
          <w:rFonts w:ascii="Book Antiqua"/>
          <w:rtl w:val="0"/>
          <w:lang w:val="it-IT"/>
        </w:rPr>
        <w:t>di P.G. non sono emersi collegamenti con la criminalit</w:t>
      </w:r>
      <w:r>
        <w:rPr>
          <w:rFonts w:hAnsi="Book Antiqua" w:hint="default"/>
          <w:rtl w:val="0"/>
          <w:lang w:val="it-IT"/>
        </w:rPr>
        <w:t xml:space="preserve">à </w:t>
      </w:r>
      <w:r>
        <w:rPr>
          <w:rFonts w:ascii="Book Antiqua"/>
          <w:rtl w:val="0"/>
          <w:lang w:val="it-IT"/>
        </w:rPr>
        <w:t xml:space="preserve">organizzata mentre si registrano fenomeni di collusione tra P.A. (intesa come amministrazioni locali) e imprenditoria per quanto concerne il settore rifiuti nel particolare settore dell'appalto della raccolta urbana che </w:t>
      </w:r>
      <w:r>
        <w:rPr>
          <w:rFonts w:hAnsi="Book Antiqua" w:hint="default"/>
          <w:rtl w:val="0"/>
          <w:lang w:val="it-IT"/>
        </w:rPr>
        <w:t xml:space="preserve">è </w:t>
      </w:r>
      <w:r>
        <w:rPr>
          <w:rFonts w:ascii="Book Antiqua"/>
          <w:rtl w:val="0"/>
          <w:lang w:val="it-IT"/>
        </w:rPr>
        <w:t>generalmente il servizio con maggiori costi e durata, mediamente 7/8 anni a fronte di un costo di diverse decine di milioni di euro per un comune di 25.000 abitanti". Tuttavia, a questo proposito, si deve rilevare che sia il prefetto, sia il Questore di Latina hanno sottolineato, per quella provincia, la presenza, anche se attualmente in forma attenuata, di fenomeni attribuibili alla criminalit</w:t>
      </w:r>
      <w:r>
        <w:rPr>
          <w:rFonts w:hAnsi="Book Antiqua" w:hint="default"/>
          <w:rtl w:val="0"/>
          <w:lang w:val="it-IT"/>
        </w:rPr>
        <w:t xml:space="preserve">à </w:t>
      </w:r>
      <w:r>
        <w:rPr>
          <w:rFonts w:ascii="Book Antiqua"/>
          <w:rtl w:val="0"/>
          <w:lang w:val="it-IT"/>
        </w:rPr>
        <w:t>organizzata, presumibilmente esistenti anche nelle attivit</w:t>
      </w:r>
      <w:r>
        <w:rPr>
          <w:rFonts w:hAnsi="Book Antiqua" w:hint="default"/>
          <w:rtl w:val="0"/>
          <w:lang w:val="it-IT"/>
        </w:rPr>
        <w:t xml:space="preserve">à </w:t>
      </w:r>
      <w:r>
        <w:rPr>
          <w:rFonts w:ascii="Book Antiqua"/>
          <w:rtl w:val="0"/>
          <w:lang w:val="it-IT"/>
        </w:rPr>
        <w:t>relative ai rifiuti</w:t>
      </w:r>
      <w:r>
        <w:rPr>
          <w:rFonts w:ascii="Book Antiqua" w:cs="Book Antiqua" w:hAnsi="Book Antiqua" w:eastAsia="Book Antiqua"/>
          <w:vertAlign w:val="superscript"/>
          <w:rtl w:val="0"/>
        </w:rPr>
        <w:footnoteReference w:id="231"/>
      </w:r>
      <w:r>
        <w:rPr>
          <w:rFonts w:ascii="Book Antiqua"/>
          <w:rtl w:val="0"/>
          <w:lang w:val="it-IT"/>
        </w:rPr>
        <w:t xml:space="preserve">. </w:t>
      </w:r>
    </w:p>
    <w:p>
      <w:pPr>
        <w:pStyle w:val="Normal"/>
        <w:ind w:left="567" w:right="567" w:firstLine="0"/>
        <w:jc w:val="both"/>
        <w:rPr>
          <w:rFonts w:ascii="Book Antiqua" w:cs="Book Antiqua" w:hAnsi="Book Antiqua" w:eastAsia="Book Antiqua"/>
        </w:rPr>
      </w:pPr>
      <w:r>
        <w:rPr>
          <w:rFonts w:ascii="Book Antiqua"/>
          <w:rtl w:val="0"/>
          <w:lang w:val="it-IT"/>
        </w:rPr>
        <w:t>Ci</w:t>
      </w:r>
      <w:r>
        <w:rPr>
          <w:rFonts w:hAnsi="Book Antiqua" w:hint="default"/>
          <w:rtl w:val="0"/>
          <w:lang w:val="it-IT"/>
        </w:rPr>
        <w:t xml:space="preserve">ò </w:t>
      </w:r>
      <w:r>
        <w:rPr>
          <w:rFonts w:ascii="Book Antiqua"/>
          <w:rtl w:val="0"/>
          <w:lang w:val="it-IT"/>
        </w:rPr>
        <w:t>premesso, sono da aggiungere almeno tre notazioni generali:</w:t>
      </w:r>
    </w:p>
    <w:p>
      <w:pPr>
        <w:pStyle w:val="List Paragraph"/>
        <w:numPr>
          <w:ilvl w:val="0"/>
          <w:numId w:val="150"/>
        </w:numPr>
        <w:tabs>
          <w:tab w:val="num" w:pos="708"/>
          <w:tab w:val="clear" w:pos="0"/>
        </w:tabs>
        <w:bidi w:val="0"/>
        <w:ind w:left="567" w:right="567" w:firstLine="0"/>
        <w:jc w:val="both"/>
        <w:rPr>
          <w:rFonts w:ascii="Book Antiqua" w:cs="Book Antiqua" w:hAnsi="Book Antiqua" w:eastAsia="Book Antiqua"/>
          <w:position w:val="0"/>
          <w:rtl w:val="0"/>
        </w:rPr>
      </w:pPr>
      <w:r>
        <w:rPr>
          <w:rFonts w:ascii="Book Antiqua"/>
          <w:rtl w:val="0"/>
          <w:lang w:val="it-IT"/>
        </w:rPr>
        <w:t>la prima attiene alla diffusa inefficienza degli impianti di depurazione comunali, spesso connessa all'assenza o alla inadeguatezza delle reti fognarie, alla mancanza di manutenzione e controlli da parte degli enti competenti, nonch</w:t>
      </w:r>
      <w:r>
        <w:rPr>
          <w:rFonts w:hAnsi="Book Antiqua" w:hint="default"/>
          <w:rtl w:val="0"/>
          <w:lang w:val="it-IT"/>
        </w:rPr>
        <w:t>é</w:t>
      </w:r>
      <w:r>
        <w:rPr>
          <w:rFonts w:ascii="Book Antiqua"/>
          <w:rtl w:val="0"/>
          <w:lang w:val="it-IT"/>
        </w:rPr>
        <w:t xml:space="preserve"> alle carenze di adeguamento degli stessi alle mutazioni della popolazione residente. In proposito, sembra sufficiente ricordare che, secondo Marco Lupo, direttore generale di ARPA Lazio</w:t>
      </w:r>
      <w:r>
        <w:rPr>
          <w:rFonts w:ascii="Book Antiqua" w:cs="Book Antiqua" w:hAnsi="Book Antiqua" w:eastAsia="Book Antiqua"/>
          <w:vertAlign w:val="superscript"/>
        </w:rPr>
        <w:footnoteReference w:id="232"/>
      </w:r>
      <w:r>
        <w:rPr>
          <w:rFonts w:ascii="Book Antiqua"/>
          <w:rtl w:val="0"/>
          <w:lang w:val="it-IT"/>
        </w:rPr>
        <w:t xml:space="preserve"> quanto ai controlli sugli scarichi "noi riscontriamo una percentuale di non conformit</w:t>
      </w:r>
      <w:r>
        <w:rPr>
          <w:rFonts w:hAnsi="Book Antiqua" w:hint="default"/>
          <w:rtl w:val="0"/>
          <w:lang w:val="it-IT"/>
        </w:rPr>
        <w:t>à</w:t>
      </w:r>
      <w:r>
        <w:rPr>
          <w:rFonts w:ascii="Book Antiqua"/>
          <w:rtl w:val="0"/>
          <w:lang w:val="it-IT"/>
        </w:rPr>
        <w:t>... facciamo circa 2.000 campionamenti. Stiamo parlando di numeri significativi. Tenete conto che troviamo una percentuale di non conformit</w:t>
      </w:r>
      <w:r>
        <w:rPr>
          <w:rFonts w:hAnsi="Book Antiqua" w:hint="default"/>
          <w:rtl w:val="0"/>
          <w:lang w:val="it-IT"/>
        </w:rPr>
        <w:t xml:space="preserve">à </w:t>
      </w:r>
      <w:r>
        <w:rPr>
          <w:rFonts w:ascii="Book Antiqua"/>
          <w:rtl w:val="0"/>
          <w:lang w:val="it-IT"/>
        </w:rPr>
        <w:t xml:space="preserve">che si aggira dal 20 al 30 per cento dei campionamenti che effettuiamo e che non sembra essere in riduzione" </w:t>
      </w:r>
    </w:p>
    <w:p>
      <w:pPr>
        <w:pStyle w:val="List Paragraph"/>
        <w:numPr>
          <w:ilvl w:val="0"/>
          <w:numId w:val="150"/>
        </w:numPr>
        <w:tabs>
          <w:tab w:val="num" w:pos="708"/>
          <w:tab w:val="clear" w:pos="0"/>
        </w:tabs>
        <w:bidi w:val="0"/>
        <w:ind w:left="567" w:right="567" w:firstLine="0"/>
        <w:jc w:val="both"/>
        <w:rPr>
          <w:rFonts w:ascii="Book Antiqua" w:cs="Book Antiqua" w:hAnsi="Book Antiqua" w:eastAsia="Book Antiqua"/>
          <w:position w:val="0"/>
          <w:rtl w:val="0"/>
        </w:rPr>
      </w:pPr>
      <w:r>
        <w:rPr>
          <w:rFonts w:ascii="Book Antiqua"/>
          <w:rtl w:val="0"/>
          <w:lang w:val="it-IT"/>
        </w:rPr>
        <w:t>la seconda attiene alla rilevante quantit</w:t>
      </w:r>
      <w:r>
        <w:rPr>
          <w:rFonts w:hAnsi="Book Antiqua" w:hint="default"/>
          <w:rtl w:val="0"/>
          <w:lang w:val="it-IT"/>
        </w:rPr>
        <w:t xml:space="preserve">à </w:t>
      </w:r>
      <w:r>
        <w:rPr>
          <w:rFonts w:ascii="Book Antiqua"/>
          <w:rtl w:val="0"/>
          <w:lang w:val="it-IT"/>
        </w:rPr>
        <w:t>di discariche abusive tuttora esistenti, connesse con il diffuso fenomeno dell'abbandono illegale di rifiuti, di cui troppo spesso restano ignoti gli autori</w:t>
      </w:r>
      <w:r>
        <w:rPr>
          <w:rFonts w:ascii="Book Antiqua" w:cs="Book Antiqua" w:hAnsi="Book Antiqua" w:eastAsia="Book Antiqua"/>
          <w:vertAlign w:val="superscript"/>
        </w:rPr>
        <w:footnoteReference w:id="233"/>
      </w:r>
      <w:r>
        <w:rPr>
          <w:rFonts w:ascii="Book Antiqua"/>
          <w:rtl w:val="0"/>
          <w:lang w:val="it-IT"/>
        </w:rPr>
        <w:t xml:space="preserve">. Il corollario di tale fenomeno </w:t>
      </w:r>
      <w:r>
        <w:rPr>
          <w:rFonts w:hAnsi="Book Antiqua" w:hint="default"/>
          <w:rtl w:val="0"/>
          <w:lang w:val="it-IT"/>
        </w:rPr>
        <w:t xml:space="preserve">è </w:t>
      </w:r>
      <w:r>
        <w:rPr>
          <w:rFonts w:ascii="Book Antiqua"/>
          <w:rtl w:val="0"/>
          <w:lang w:val="it-IT"/>
        </w:rPr>
        <w:t>costituito dal rilevante numero di bonifiche non attuate, che deve essere esteso anche a diversi casi di situazioni riconducibili a specifiche attivit</w:t>
      </w:r>
      <w:r>
        <w:rPr>
          <w:rFonts w:hAnsi="Book Antiqua" w:hint="default"/>
          <w:rtl w:val="0"/>
          <w:lang w:val="it-IT"/>
        </w:rPr>
        <w:t xml:space="preserve">à </w:t>
      </w:r>
      <w:r>
        <w:rPr>
          <w:rFonts w:ascii="Book Antiqua"/>
          <w:rtl w:val="0"/>
          <w:lang w:val="it-IT"/>
        </w:rPr>
        <w:t>i cui autori sono, invece, noti.</w:t>
      </w:r>
    </w:p>
    <w:p>
      <w:pPr>
        <w:pStyle w:val="Normal"/>
        <w:ind w:left="567" w:right="567" w:firstLine="0"/>
        <w:jc w:val="both"/>
        <w:rPr>
          <w:rFonts w:ascii="Book Antiqua" w:cs="Book Antiqua" w:hAnsi="Book Antiqua" w:eastAsia="Book Antiqua"/>
        </w:rPr>
      </w:pPr>
      <w:r>
        <w:rPr>
          <w:rFonts w:ascii="Book Antiqua"/>
          <w:rtl w:val="0"/>
          <w:lang w:val="it-IT"/>
        </w:rPr>
        <w:t>3) pi</w:t>
      </w:r>
      <w:r>
        <w:rPr>
          <w:rFonts w:hAnsi="Book Antiqua" w:hint="default"/>
          <w:rtl w:val="0"/>
          <w:lang w:val="it-IT"/>
        </w:rPr>
        <w:t xml:space="preserve">ù </w:t>
      </w:r>
      <w:r>
        <w:rPr>
          <w:rFonts w:ascii="Book Antiqua"/>
          <w:rtl w:val="0"/>
          <w:lang w:val="it-IT"/>
        </w:rPr>
        <w:t>in particolare, in relazione al ciclo dei rifiuti, come messo in rilievo sin dal 2015 dal Comando Legione Carabinieri Lazio</w:t>
      </w:r>
      <w:r>
        <w:rPr>
          <w:rFonts w:ascii="Book Antiqua" w:cs="Book Antiqua" w:hAnsi="Book Antiqua" w:eastAsia="Book Antiqua"/>
          <w:vertAlign w:val="superscript"/>
          <w:rtl w:val="0"/>
        </w:rPr>
        <w:footnoteReference w:id="234"/>
      </w:r>
      <w:r>
        <w:rPr>
          <w:rFonts w:ascii="Book Antiqua"/>
          <w:rtl w:val="0"/>
          <w:lang w:val="it-IT"/>
        </w:rPr>
        <w:t xml:space="preserve"> "emerge una frequente tendenza, da parte dei gestori degli impianti di trattamento, a forzare la normativa di settore, agendo nella  caratterizzazione del rifiuto - ovvero nella sua catalogazione - con la compiacenza di laboratori di analisi che emettono codici CER non esatti, dietro ingiusti profitti. La mancata caratterizzazione porta a procedure di trattamento dei rifiuti meno onerose per l'impianto, con conseguente danno ambientale". </w:t>
      </w:r>
    </w:p>
    <w:p>
      <w:pPr>
        <w:pStyle w:val="Normal"/>
        <w:ind w:left="567" w:right="567" w:firstLine="0"/>
        <w:jc w:val="both"/>
        <w:rPr>
          <w:rFonts w:ascii="Book Antiqua" w:cs="Book Antiqua" w:hAnsi="Book Antiqua" w:eastAsia="Book Antiqua"/>
        </w:rPr>
      </w:pPr>
      <w:r>
        <w:rPr>
          <w:rFonts w:ascii="Book Antiqua"/>
          <w:rtl w:val="0"/>
          <w:lang w:val="it-IT"/>
        </w:rPr>
        <w:t>Con riferimento alla diffusione dei fenomeni criminosi nel settore ambientale, sembra utile riportare un quadro riassuntivo generale delle attivit</w:t>
      </w:r>
      <w:r>
        <w:rPr>
          <w:rFonts w:hAnsi="Book Antiqua" w:hint="default"/>
          <w:rtl w:val="0"/>
          <w:lang w:val="it-IT"/>
        </w:rPr>
        <w:t xml:space="preserve">à </w:t>
      </w:r>
      <w:r>
        <w:rPr>
          <w:rFonts w:ascii="Book Antiqua"/>
          <w:rtl w:val="0"/>
          <w:lang w:val="it-IT"/>
        </w:rPr>
        <w:t>operative del NOE dei carabinieri per il 2016</w:t>
      </w:r>
      <w:r>
        <w:rPr>
          <w:rFonts w:ascii="Book Antiqua" w:cs="Book Antiqua" w:hAnsi="Book Antiqua" w:eastAsia="Book Antiqua"/>
          <w:vertAlign w:val="superscript"/>
          <w:rtl w:val="0"/>
        </w:rPr>
        <w:footnoteReference w:id="235"/>
      </w:r>
      <w:r>
        <w:rPr>
          <w:rFonts w:ascii="Book Antiqua"/>
          <w:rtl w:val="0"/>
          <w:lang w:val="it-IT"/>
        </w:rPr>
        <w:t xml:space="preserve"> e dei reparti della Guardia di finanza del comando regionale del Lazio per il triennio 2014-2016</w:t>
      </w:r>
      <w:r>
        <w:rPr>
          <w:rFonts w:ascii="Book Antiqua" w:cs="Book Antiqua" w:hAnsi="Book Antiqua" w:eastAsia="Book Antiqua"/>
          <w:vertAlign w:val="superscript"/>
          <w:rtl w:val="0"/>
        </w:rPr>
        <w:footnoteReference w:id="236"/>
      </w:r>
      <w:r>
        <w:rPr>
          <w:rFonts w:ascii="Book Antiqua"/>
          <w:rtl w:val="0"/>
          <w:lang w:val="it-IT"/>
        </w:rPr>
        <w:t xml:space="preserve"> </w:t>
      </w: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sz w:val="22"/>
          <w:szCs w:val="22"/>
        </w:rPr>
      </w:pPr>
      <w:r>
        <w:rPr>
          <w:rFonts w:ascii="Book Antiqua"/>
          <w:sz w:val="22"/>
          <w:szCs w:val="22"/>
          <w:rtl w:val="0"/>
          <w:lang w:val="it-IT"/>
        </w:rPr>
        <w:t>Attivit</w:t>
      </w:r>
      <w:r>
        <w:rPr>
          <w:rFonts w:hAnsi="Book Antiqua" w:hint="default"/>
          <w:sz w:val="22"/>
          <w:szCs w:val="22"/>
          <w:rtl w:val="0"/>
          <w:lang w:val="it-IT"/>
        </w:rPr>
        <w:t xml:space="preserve">à </w:t>
      </w:r>
      <w:r>
        <w:rPr>
          <w:rFonts w:ascii="Book Antiqua"/>
          <w:sz w:val="22"/>
          <w:szCs w:val="22"/>
          <w:rtl w:val="0"/>
          <w:lang w:val="it-IT"/>
        </w:rPr>
        <w:t>NOE 2016</w:t>
      </w:r>
    </w:p>
    <w:p>
      <w:pPr>
        <w:pStyle w:val="Normal"/>
        <w:ind w:left="567" w:right="567" w:firstLine="0"/>
        <w:jc w:val="both"/>
        <w:rPr>
          <w:rFonts w:ascii="Book Antiqua" w:cs="Book Antiqua" w:hAnsi="Book Antiqua" w:eastAsia="Book Antiqua"/>
          <w:sz w:val="22"/>
          <w:szCs w:val="22"/>
        </w:rPr>
      </w:pPr>
    </w:p>
    <w:tbl>
      <w:tblPr>
        <w:tblW w:w="9888" w:type="dxa"/>
        <w:jc w:val="left"/>
        <w:tblInd w:w="108" w:type="dxa"/>
        <w:tblBorders>
          <w:top w:val="single" w:color="000000" w:sz="2" w:space="0" w:shadow="0" w:frame="0"/>
          <w:left w:val="single" w:color="000000" w:sz="2" w:space="0" w:shadow="0" w:frame="0"/>
          <w:bottom w:val="single" w:color="000000" w:sz="2" w:space="0" w:shadow="0" w:frame="0"/>
          <w:right w:val="single" w:color="000000" w:sz="2" w:space="0" w:shadow="0" w:frame="0"/>
          <w:insideH w:val="single" w:color="000000" w:sz="2" w:space="0" w:shadow="0" w:frame="0"/>
          <w:insideV w:val="single" w:color="000000" w:sz="2" w:space="0" w:shadow="0" w:frame="0"/>
        </w:tblBorders>
        <w:shd w:val="clear" w:color="auto" w:fill="auto"/>
        <w:tblLayout w:type="fixed"/>
      </w:tblPr>
      <w:tblGrid>
        <w:gridCol w:w="1574"/>
        <w:gridCol w:w="1311"/>
        <w:gridCol w:w="1251"/>
        <w:gridCol w:w="1048"/>
        <w:gridCol w:w="1026"/>
        <w:gridCol w:w="1282"/>
        <w:gridCol w:w="1211"/>
        <w:gridCol w:w="1185"/>
      </w:tblGrid>
      <w:tr>
        <w:tblPrEx>
          <w:shd w:val="clear" w:color="auto" w:fill="auto"/>
        </w:tblPrEx>
        <w:trPr>
          <w:trHeight w:val="810" w:hRule="atLeast"/>
        </w:trPr>
        <w:tc>
          <w:tcPr>
            <w:tcW w:type="dxa" w:w="157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c>
          <w:tcPr>
            <w:tcW w:type="dxa" w:w="131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rFonts w:ascii="Times Roman"/>
                <w:b w:val="1"/>
                <w:bCs w:val="1"/>
                <w:caps w:val="0"/>
                <w:smallCaps w:val="0"/>
                <w:strike w:val="0"/>
                <w:dstrike w:val="0"/>
                <w:outline w:val="0"/>
                <w:color w:val="000000"/>
                <w:spacing w:val="0"/>
                <w:kern w:val="0"/>
                <w:position w:val="0"/>
                <w:sz w:val="16"/>
                <w:szCs w:val="16"/>
                <w:u w:val="none" w:color="000000"/>
                <w:vertAlign w:val="baseline"/>
                <w:rtl w:val="0"/>
                <w:lang w:val="it-IT"/>
              </w:rPr>
              <w:t>CONTROLLI</w:t>
            </w:r>
          </w:p>
        </w:tc>
        <w:tc>
          <w:tcPr>
            <w:tcW w:type="dxa" w:w="125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rFonts w:ascii="Times Roman" w:cs="Times Roman" w:hAnsi="Times Roman" w:eastAsia="Times Roman"/>
                <w:b w:val="1"/>
                <w:bCs w:val="1"/>
                <w:caps w:val="0"/>
                <w:smallCaps w:val="0"/>
                <w:strike w:val="0"/>
                <w:dstrike w:val="0"/>
                <w:outline w:val="0"/>
                <w:color w:val="000000"/>
                <w:spacing w:val="0"/>
                <w:kern w:val="0"/>
                <w:position w:val="0"/>
                <w:sz w:val="16"/>
                <w:szCs w:val="16"/>
                <w:u w:val="none" w:color="000000"/>
                <w:vertAlign w:val="baseline"/>
                <w:rtl w:val="0"/>
                <w:lang w:val="it-IT"/>
              </w:rPr>
            </w:pPr>
            <w:r>
              <w:rPr>
                <w:rFonts w:ascii="Times Roman"/>
                <w:b w:val="1"/>
                <w:bCs w:val="1"/>
                <w:caps w:val="0"/>
                <w:smallCaps w:val="0"/>
                <w:strike w:val="0"/>
                <w:dstrike w:val="0"/>
                <w:outline w:val="0"/>
                <w:color w:val="000000"/>
                <w:spacing w:val="0"/>
                <w:kern w:val="0"/>
                <w:position w:val="0"/>
                <w:sz w:val="16"/>
                <w:szCs w:val="16"/>
                <w:u w:val="none" w:color="000000"/>
                <w:vertAlign w:val="baseline"/>
                <w:rtl w:val="0"/>
                <w:lang w:val="it-IT"/>
              </w:rPr>
              <w:t>NON</w:t>
            </w:r>
          </w:p>
          <w:p>
            <w:pPr>
              <w:pStyle w:val="Normal"/>
              <w:jc w:val="center"/>
            </w:pPr>
            <w:r>
              <w:rPr>
                <w:rFonts w:ascii="Times Roman"/>
                <w:b w:val="1"/>
                <w:bCs w:val="1"/>
                <w:caps w:val="0"/>
                <w:smallCaps w:val="0"/>
                <w:strike w:val="0"/>
                <w:dstrike w:val="0"/>
                <w:outline w:val="0"/>
                <w:color w:val="000000"/>
                <w:spacing w:val="0"/>
                <w:kern w:val="0"/>
                <w:position w:val="0"/>
                <w:sz w:val="16"/>
                <w:szCs w:val="16"/>
                <w:u w:val="none" w:color="000000"/>
                <w:vertAlign w:val="baseline"/>
                <w:rtl w:val="0"/>
                <w:lang w:val="it-IT"/>
              </w:rPr>
              <w:t>CONFORMI</w:t>
            </w:r>
          </w:p>
        </w:tc>
        <w:tc>
          <w:tcPr>
            <w:tcW w:type="dxa" w:w="104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rFonts w:ascii="Times Roman" w:cs="Times Roman" w:hAnsi="Times Roman" w:eastAsia="Times Roman"/>
                <w:b w:val="1"/>
                <w:bCs w:val="1"/>
                <w:caps w:val="0"/>
                <w:smallCaps w:val="0"/>
                <w:strike w:val="0"/>
                <w:dstrike w:val="0"/>
                <w:outline w:val="0"/>
                <w:color w:val="000000"/>
                <w:spacing w:val="0"/>
                <w:kern w:val="0"/>
                <w:position w:val="0"/>
                <w:sz w:val="16"/>
                <w:szCs w:val="16"/>
                <w:u w:val="none" w:color="000000"/>
                <w:vertAlign w:val="baseline"/>
                <w:rtl w:val="0"/>
                <w:lang w:val="it-IT"/>
              </w:rPr>
            </w:pPr>
            <w:r>
              <w:rPr>
                <w:rFonts w:ascii="Times Roman"/>
                <w:b w:val="1"/>
                <w:bCs w:val="1"/>
                <w:caps w:val="0"/>
                <w:smallCaps w:val="0"/>
                <w:strike w:val="0"/>
                <w:dstrike w:val="0"/>
                <w:outline w:val="0"/>
                <w:color w:val="000000"/>
                <w:spacing w:val="0"/>
                <w:kern w:val="0"/>
                <w:position w:val="0"/>
                <w:sz w:val="16"/>
                <w:szCs w:val="16"/>
                <w:u w:val="none" w:color="000000"/>
                <w:vertAlign w:val="baseline"/>
                <w:rtl w:val="0"/>
                <w:lang w:val="it-IT"/>
              </w:rPr>
              <w:t>PERSONE</w:t>
            </w:r>
          </w:p>
          <w:p>
            <w:pPr>
              <w:pStyle w:val="Normal"/>
              <w:jc w:val="center"/>
              <w:rPr>
                <w:rFonts w:ascii="Times Roman" w:cs="Times Roman" w:hAnsi="Times Roman" w:eastAsia="Times Roman"/>
                <w:b w:val="1"/>
                <w:bCs w:val="1"/>
                <w:caps w:val="0"/>
                <w:smallCaps w:val="0"/>
                <w:strike w:val="0"/>
                <w:dstrike w:val="0"/>
                <w:outline w:val="0"/>
                <w:color w:val="000000"/>
                <w:spacing w:val="0"/>
                <w:kern w:val="0"/>
                <w:position w:val="0"/>
                <w:sz w:val="16"/>
                <w:szCs w:val="16"/>
                <w:u w:val="none" w:color="000000"/>
                <w:vertAlign w:val="baseline"/>
                <w:rtl w:val="0"/>
                <w:lang w:val="it-IT"/>
              </w:rPr>
            </w:pPr>
            <w:r>
              <w:rPr>
                <w:rFonts w:ascii="Times Roman"/>
                <w:b w:val="1"/>
                <w:bCs w:val="1"/>
                <w:caps w:val="0"/>
                <w:smallCaps w:val="0"/>
                <w:strike w:val="0"/>
                <w:dstrike w:val="0"/>
                <w:outline w:val="0"/>
                <w:color w:val="000000"/>
                <w:spacing w:val="0"/>
                <w:kern w:val="0"/>
                <w:position w:val="0"/>
                <w:sz w:val="16"/>
                <w:szCs w:val="16"/>
                <w:u w:val="none" w:color="000000"/>
                <w:vertAlign w:val="baseline"/>
                <w:rtl w:val="0"/>
                <w:lang w:val="it-IT"/>
              </w:rPr>
              <w:t>DEFERITE</w:t>
            </w:r>
          </w:p>
          <w:p>
            <w:pPr>
              <w:pStyle w:val="Normal"/>
              <w:jc w:val="center"/>
            </w:pPr>
            <w:r>
              <w:rPr>
                <w:rFonts w:ascii="Times Roman"/>
                <w:b w:val="1"/>
                <w:bCs w:val="1"/>
                <w:caps w:val="0"/>
                <w:smallCaps w:val="0"/>
                <w:strike w:val="0"/>
                <w:dstrike w:val="0"/>
                <w:outline w:val="0"/>
                <w:color w:val="000000"/>
                <w:spacing w:val="0"/>
                <w:kern w:val="0"/>
                <w:position w:val="0"/>
                <w:sz w:val="16"/>
                <w:szCs w:val="16"/>
                <w:u w:val="none" w:color="000000"/>
                <w:vertAlign w:val="baseline"/>
                <w:rtl w:val="0"/>
                <w:lang w:val="it-IT"/>
              </w:rPr>
              <w:t>ALL'AG</w:t>
            </w:r>
          </w:p>
        </w:tc>
        <w:tc>
          <w:tcPr>
            <w:tcW w:type="dxa" w:w="10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rFonts w:ascii="Times Roman"/>
                <w:b w:val="1"/>
                <w:bCs w:val="1"/>
                <w:caps w:val="0"/>
                <w:smallCaps w:val="0"/>
                <w:strike w:val="0"/>
                <w:dstrike w:val="0"/>
                <w:outline w:val="0"/>
                <w:color w:val="000000"/>
                <w:spacing w:val="0"/>
                <w:kern w:val="0"/>
                <w:position w:val="0"/>
                <w:sz w:val="16"/>
                <w:szCs w:val="16"/>
                <w:u w:val="none" w:color="000000"/>
                <w:vertAlign w:val="baseline"/>
                <w:rtl w:val="0"/>
                <w:lang w:val="it-IT"/>
              </w:rPr>
              <w:t>ARRESTI</w:t>
            </w:r>
          </w:p>
        </w:tc>
        <w:tc>
          <w:tcPr>
            <w:tcW w:type="dxa" w:w="128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rFonts w:ascii="Times Roman" w:cs="Times Roman" w:hAnsi="Times Roman" w:eastAsia="Times Roman"/>
                <w:b w:val="1"/>
                <w:bCs w:val="1"/>
                <w:caps w:val="0"/>
                <w:smallCaps w:val="0"/>
                <w:strike w:val="0"/>
                <w:dstrike w:val="0"/>
                <w:outline w:val="0"/>
                <w:color w:val="000000"/>
                <w:spacing w:val="0"/>
                <w:kern w:val="0"/>
                <w:position w:val="0"/>
                <w:sz w:val="16"/>
                <w:szCs w:val="16"/>
                <w:u w:val="none" w:color="000000"/>
                <w:vertAlign w:val="baseline"/>
                <w:rtl w:val="0"/>
                <w:lang w:val="it-IT"/>
              </w:rPr>
            </w:pPr>
            <w:r>
              <w:rPr>
                <w:rFonts w:ascii="Times Roman"/>
                <w:b w:val="1"/>
                <w:bCs w:val="1"/>
                <w:caps w:val="0"/>
                <w:smallCaps w:val="0"/>
                <w:strike w:val="0"/>
                <w:dstrike w:val="0"/>
                <w:outline w:val="0"/>
                <w:color w:val="000000"/>
                <w:spacing w:val="0"/>
                <w:kern w:val="0"/>
                <w:position w:val="0"/>
                <w:sz w:val="16"/>
                <w:szCs w:val="16"/>
                <w:u w:val="none" w:color="000000"/>
                <w:vertAlign w:val="baseline"/>
                <w:rtl w:val="0"/>
                <w:lang w:val="it-IT"/>
              </w:rPr>
              <w:t>ARRESTI SANZIONI</w:t>
            </w:r>
          </w:p>
          <w:p>
            <w:pPr>
              <w:pStyle w:val="Normal"/>
              <w:jc w:val="center"/>
            </w:pPr>
            <w:r>
              <w:rPr>
                <w:rFonts w:ascii="Times Roman"/>
                <w:b w:val="1"/>
                <w:bCs w:val="1"/>
                <w:caps w:val="0"/>
                <w:smallCaps w:val="0"/>
                <w:strike w:val="0"/>
                <w:dstrike w:val="0"/>
                <w:outline w:val="0"/>
                <w:color w:val="000000"/>
                <w:spacing w:val="0"/>
                <w:kern w:val="0"/>
                <w:position w:val="0"/>
                <w:sz w:val="16"/>
                <w:szCs w:val="16"/>
                <w:u w:val="none" w:color="000000"/>
                <w:vertAlign w:val="baseline"/>
                <w:rtl w:val="0"/>
                <w:lang w:val="it-IT"/>
              </w:rPr>
              <w:t>PENALI</w:t>
            </w:r>
          </w:p>
        </w:tc>
        <w:tc>
          <w:tcPr>
            <w:tcW w:type="dxa" w:w="121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rFonts w:ascii="Times Roman"/>
                <w:b w:val="1"/>
                <w:bCs w:val="1"/>
                <w:caps w:val="0"/>
                <w:smallCaps w:val="0"/>
                <w:strike w:val="0"/>
                <w:dstrike w:val="0"/>
                <w:outline w:val="0"/>
                <w:color w:val="000000"/>
                <w:spacing w:val="0"/>
                <w:kern w:val="0"/>
                <w:position w:val="0"/>
                <w:sz w:val="16"/>
                <w:szCs w:val="16"/>
                <w:u w:val="none" w:color="000000"/>
                <w:vertAlign w:val="baseline"/>
                <w:rtl w:val="0"/>
                <w:lang w:val="it-IT"/>
              </w:rPr>
              <w:t>SEQUESTRI</w:t>
            </w:r>
          </w:p>
        </w:tc>
        <w:tc>
          <w:tcPr>
            <w:tcW w:type="dxa" w:w="118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rFonts w:ascii="Times Roman" w:cs="Times Roman" w:hAnsi="Times Roman" w:eastAsia="Times Roman"/>
                <w:b w:val="1"/>
                <w:bCs w:val="1"/>
                <w:caps w:val="0"/>
                <w:smallCaps w:val="0"/>
                <w:strike w:val="0"/>
                <w:dstrike w:val="0"/>
                <w:outline w:val="0"/>
                <w:color w:val="000000"/>
                <w:spacing w:val="0"/>
                <w:kern w:val="0"/>
                <w:position w:val="0"/>
                <w:sz w:val="16"/>
                <w:szCs w:val="16"/>
                <w:u w:val="none" w:color="000000"/>
                <w:vertAlign w:val="baseline"/>
                <w:rtl w:val="0"/>
                <w:lang w:val="it-IT"/>
              </w:rPr>
            </w:pPr>
            <w:r>
              <w:rPr>
                <w:rFonts w:ascii="Times Roman"/>
                <w:b w:val="1"/>
                <w:bCs w:val="1"/>
                <w:caps w:val="0"/>
                <w:smallCaps w:val="0"/>
                <w:strike w:val="0"/>
                <w:dstrike w:val="0"/>
                <w:outline w:val="0"/>
                <w:color w:val="000000"/>
                <w:spacing w:val="0"/>
                <w:kern w:val="0"/>
                <w:position w:val="0"/>
                <w:sz w:val="16"/>
                <w:szCs w:val="16"/>
                <w:u w:val="none" w:color="000000"/>
                <w:vertAlign w:val="baseline"/>
                <w:rtl w:val="0"/>
                <w:lang w:val="it-IT"/>
              </w:rPr>
              <w:t>VALORE</w:t>
            </w:r>
          </w:p>
          <w:p>
            <w:pPr>
              <w:pStyle w:val="Normal"/>
              <w:jc w:val="center"/>
            </w:pPr>
            <w:r>
              <w:rPr>
                <w:rFonts w:ascii="Times Roman"/>
                <w:b w:val="1"/>
                <w:bCs w:val="1"/>
                <w:caps w:val="0"/>
                <w:smallCaps w:val="0"/>
                <w:strike w:val="0"/>
                <w:dstrike w:val="0"/>
                <w:outline w:val="0"/>
                <w:color w:val="000000"/>
                <w:spacing w:val="0"/>
                <w:kern w:val="0"/>
                <w:position w:val="0"/>
                <w:sz w:val="16"/>
                <w:szCs w:val="16"/>
                <w:u w:val="none" w:color="000000"/>
                <w:vertAlign w:val="baseline"/>
                <w:rtl w:val="0"/>
                <w:lang w:val="it-IT"/>
              </w:rPr>
              <w:t>SEQUESTRI</w:t>
            </w:r>
          </w:p>
        </w:tc>
      </w:tr>
      <w:tr>
        <w:tblPrEx>
          <w:shd w:val="clear" w:color="auto" w:fill="auto"/>
        </w:tblPrEx>
        <w:trPr>
          <w:trHeight w:val="490" w:hRule="atLeast"/>
        </w:trPr>
        <w:tc>
          <w:tcPr>
            <w:tcW w:type="dxa" w:w="157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rtl w:val="0"/>
                <w:lang w:val="it-IT"/>
              </w:rPr>
            </w:pPr>
            <w:r>
              <w:rPr>
                <w:rFonts w:ascii="Book Antiqua"/>
                <w:caps w:val="0"/>
                <w:smallCaps w:val="0"/>
                <w:strike w:val="0"/>
                <w:dstrike w:val="0"/>
                <w:outline w:val="0"/>
                <w:color w:val="000000"/>
                <w:spacing w:val="0"/>
                <w:kern w:val="0"/>
                <w:position w:val="0"/>
                <w:sz w:val="20"/>
                <w:szCs w:val="20"/>
                <w:u w:val="none" w:color="000000"/>
                <w:vertAlign w:val="baseline"/>
                <w:rtl w:val="0"/>
                <w:lang w:val="it-IT"/>
              </w:rPr>
              <w:t>Inquinamento</w:t>
            </w:r>
          </w:p>
          <w:p>
            <w:pPr>
              <w:pStyle w:val="Normal"/>
              <w:jc w:val="center"/>
            </w:pPr>
            <w:r>
              <w:rPr>
                <w:rFonts w:ascii="Book Antiqua"/>
                <w:caps w:val="0"/>
                <w:smallCaps w:val="0"/>
                <w:strike w:val="0"/>
                <w:dstrike w:val="0"/>
                <w:outline w:val="0"/>
                <w:color w:val="000000"/>
                <w:spacing w:val="0"/>
                <w:kern w:val="0"/>
                <w:position w:val="0"/>
                <w:sz w:val="20"/>
                <w:szCs w:val="20"/>
                <w:u w:val="none" w:color="000000"/>
                <w:vertAlign w:val="baseline"/>
                <w:rtl w:val="0"/>
                <w:lang w:val="it-IT"/>
              </w:rPr>
              <w:t>Acustico</w:t>
            </w:r>
          </w:p>
        </w:tc>
        <w:tc>
          <w:tcPr>
            <w:tcW w:type="dxa" w:w="131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rFonts w:ascii="Calibri" w:cs="Calibri" w:hAnsi="Calibri" w:eastAsia="Calibri"/>
                <w:caps w:val="0"/>
                <w:smallCaps w:val="0"/>
                <w:strike w:val="0"/>
                <w:dstrike w:val="0"/>
                <w:outline w:val="0"/>
                <w:color w:val="000000"/>
                <w:spacing w:val="0"/>
                <w:kern w:val="0"/>
                <w:position w:val="0"/>
                <w:sz w:val="22"/>
                <w:szCs w:val="22"/>
                <w:u w:val="none" w:color="000000"/>
                <w:vertAlign w:val="baseline"/>
                <w:rtl w:val="0"/>
                <w:lang w:val="it-IT"/>
              </w:rPr>
              <w:t>4</w:t>
            </w:r>
          </w:p>
        </w:tc>
        <w:tc>
          <w:tcPr>
            <w:tcW w:type="dxa" w:w="125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rFonts w:ascii="Calibri" w:cs="Calibri" w:hAnsi="Calibri" w:eastAsia="Calibri"/>
                <w:caps w:val="0"/>
                <w:smallCaps w:val="0"/>
                <w:strike w:val="0"/>
                <w:dstrike w:val="0"/>
                <w:outline w:val="0"/>
                <w:color w:val="000000"/>
                <w:spacing w:val="0"/>
                <w:kern w:val="0"/>
                <w:position w:val="0"/>
                <w:sz w:val="22"/>
                <w:szCs w:val="22"/>
                <w:u w:val="none" w:color="000000"/>
                <w:vertAlign w:val="baseline"/>
                <w:rtl w:val="0"/>
                <w:lang w:val="it-IT"/>
              </w:rPr>
              <w:t>///</w:t>
            </w:r>
          </w:p>
        </w:tc>
        <w:tc>
          <w:tcPr>
            <w:tcW w:type="dxa" w:w="104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rFonts w:ascii="Calibri" w:cs="Calibri" w:hAnsi="Calibri" w:eastAsia="Calibri"/>
                <w:caps w:val="0"/>
                <w:smallCaps w:val="0"/>
                <w:strike w:val="0"/>
                <w:dstrike w:val="0"/>
                <w:outline w:val="0"/>
                <w:color w:val="000000"/>
                <w:spacing w:val="0"/>
                <w:kern w:val="0"/>
                <w:position w:val="0"/>
                <w:sz w:val="22"/>
                <w:szCs w:val="22"/>
                <w:u w:val="none" w:color="000000"/>
                <w:vertAlign w:val="baseline"/>
                <w:rtl w:val="0"/>
                <w:lang w:val="it-IT"/>
              </w:rPr>
              <w:t>///</w:t>
            </w:r>
          </w:p>
        </w:tc>
        <w:tc>
          <w:tcPr>
            <w:tcW w:type="dxa" w:w="10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rFonts w:ascii="Calibri" w:cs="Calibri" w:hAnsi="Calibri" w:eastAsia="Calibri"/>
                <w:caps w:val="0"/>
                <w:smallCaps w:val="0"/>
                <w:strike w:val="0"/>
                <w:dstrike w:val="0"/>
                <w:outline w:val="0"/>
                <w:color w:val="000000"/>
                <w:spacing w:val="0"/>
                <w:kern w:val="0"/>
                <w:position w:val="0"/>
                <w:sz w:val="22"/>
                <w:szCs w:val="22"/>
                <w:u w:val="none" w:color="000000"/>
                <w:vertAlign w:val="baseline"/>
                <w:rtl w:val="0"/>
                <w:lang w:val="it-IT"/>
              </w:rPr>
              <w:t>///</w:t>
            </w:r>
          </w:p>
        </w:tc>
        <w:tc>
          <w:tcPr>
            <w:tcW w:type="dxa" w:w="128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rFonts w:ascii="Calibri" w:cs="Calibri" w:hAnsi="Calibri" w:eastAsia="Calibri"/>
                <w:caps w:val="0"/>
                <w:smallCaps w:val="0"/>
                <w:strike w:val="0"/>
                <w:dstrike w:val="0"/>
                <w:outline w:val="0"/>
                <w:color w:val="000000"/>
                <w:spacing w:val="0"/>
                <w:kern w:val="0"/>
                <w:position w:val="0"/>
                <w:sz w:val="22"/>
                <w:szCs w:val="22"/>
                <w:u w:val="none" w:color="000000"/>
                <w:vertAlign w:val="baseline"/>
                <w:rtl w:val="0"/>
                <w:lang w:val="it-IT"/>
              </w:rPr>
              <w:t>///</w:t>
            </w:r>
          </w:p>
        </w:tc>
        <w:tc>
          <w:tcPr>
            <w:tcW w:type="dxa" w:w="121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rFonts w:ascii="Calibri" w:cs="Calibri" w:hAnsi="Calibri" w:eastAsia="Calibri"/>
                <w:caps w:val="0"/>
                <w:smallCaps w:val="0"/>
                <w:strike w:val="0"/>
                <w:dstrike w:val="0"/>
                <w:outline w:val="0"/>
                <w:color w:val="000000"/>
                <w:spacing w:val="0"/>
                <w:kern w:val="0"/>
                <w:position w:val="0"/>
                <w:sz w:val="22"/>
                <w:szCs w:val="22"/>
                <w:u w:val="none" w:color="000000"/>
                <w:vertAlign w:val="baseline"/>
                <w:rtl w:val="0"/>
                <w:lang w:val="it-IT"/>
              </w:rPr>
              <w:t>///</w:t>
            </w:r>
          </w:p>
        </w:tc>
        <w:tc>
          <w:tcPr>
            <w:tcW w:type="dxa" w:w="118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rFonts w:ascii="Calibri" w:cs="Calibri" w:hAnsi="Calibri" w:eastAsia="Calibri"/>
                <w:caps w:val="0"/>
                <w:smallCaps w:val="0"/>
                <w:strike w:val="0"/>
                <w:dstrike w:val="0"/>
                <w:outline w:val="0"/>
                <w:color w:val="000000"/>
                <w:spacing w:val="0"/>
                <w:kern w:val="0"/>
                <w:position w:val="0"/>
                <w:sz w:val="22"/>
                <w:szCs w:val="22"/>
                <w:u w:val="none" w:color="000000"/>
                <w:vertAlign w:val="baseline"/>
                <w:rtl w:val="0"/>
                <w:lang w:val="it-IT"/>
              </w:rPr>
              <w:t>///</w:t>
            </w:r>
          </w:p>
        </w:tc>
      </w:tr>
      <w:tr>
        <w:tblPrEx>
          <w:shd w:val="clear" w:color="auto" w:fill="auto"/>
        </w:tblPrEx>
        <w:trPr>
          <w:trHeight w:val="490" w:hRule="atLeast"/>
        </w:trPr>
        <w:tc>
          <w:tcPr>
            <w:tcW w:type="dxa" w:w="157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Default"/>
              <w:jc w:val="center"/>
            </w:pPr>
            <w:r>
              <w:rPr>
                <w:rFonts w:ascii="Book Antiqua"/>
                <w:caps w:val="0"/>
                <w:smallCaps w:val="0"/>
                <w:strike w:val="0"/>
                <w:dstrike w:val="0"/>
                <w:outline w:val="0"/>
                <w:color w:val="000000"/>
                <w:spacing w:val="0"/>
                <w:kern w:val="0"/>
                <w:position w:val="0"/>
                <w:sz w:val="20"/>
                <w:szCs w:val="20"/>
                <w:u w:val="none" w:color="000000"/>
                <w:vertAlign w:val="baseline"/>
                <w:rtl w:val="0"/>
                <w:lang w:val="it-IT"/>
              </w:rPr>
              <w:t>Inquinamento Atmosferico</w:t>
            </w:r>
          </w:p>
        </w:tc>
        <w:tc>
          <w:tcPr>
            <w:tcW w:type="dxa" w:w="131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rFonts w:ascii="Calibri" w:cs="Calibri" w:hAnsi="Calibri" w:eastAsia="Calibri"/>
                <w:caps w:val="0"/>
                <w:smallCaps w:val="0"/>
                <w:strike w:val="0"/>
                <w:dstrike w:val="0"/>
                <w:outline w:val="0"/>
                <w:color w:val="000000"/>
                <w:spacing w:val="0"/>
                <w:kern w:val="0"/>
                <w:position w:val="0"/>
                <w:sz w:val="22"/>
                <w:szCs w:val="22"/>
                <w:u w:val="none" w:color="000000"/>
                <w:vertAlign w:val="baseline"/>
                <w:rtl w:val="0"/>
                <w:lang w:val="it-IT"/>
              </w:rPr>
              <w:t>6</w:t>
            </w:r>
          </w:p>
        </w:tc>
        <w:tc>
          <w:tcPr>
            <w:tcW w:type="dxa" w:w="125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rFonts w:ascii="Calibri" w:cs="Calibri" w:hAnsi="Calibri" w:eastAsia="Calibri"/>
                <w:caps w:val="0"/>
                <w:smallCaps w:val="0"/>
                <w:strike w:val="0"/>
                <w:dstrike w:val="0"/>
                <w:outline w:val="0"/>
                <w:color w:val="000000"/>
                <w:spacing w:val="0"/>
                <w:kern w:val="0"/>
                <w:position w:val="0"/>
                <w:sz w:val="22"/>
                <w:szCs w:val="22"/>
                <w:u w:val="none" w:color="000000"/>
                <w:vertAlign w:val="baseline"/>
                <w:rtl w:val="0"/>
                <w:lang w:val="it-IT"/>
              </w:rPr>
              <w:t>6</w:t>
            </w:r>
          </w:p>
        </w:tc>
        <w:tc>
          <w:tcPr>
            <w:tcW w:type="dxa" w:w="104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rFonts w:ascii="Calibri" w:cs="Calibri" w:hAnsi="Calibri" w:eastAsia="Calibri"/>
                <w:caps w:val="0"/>
                <w:smallCaps w:val="0"/>
                <w:strike w:val="0"/>
                <w:dstrike w:val="0"/>
                <w:outline w:val="0"/>
                <w:color w:val="000000"/>
                <w:spacing w:val="0"/>
                <w:kern w:val="0"/>
                <w:position w:val="0"/>
                <w:sz w:val="22"/>
                <w:szCs w:val="22"/>
                <w:u w:val="none" w:color="000000"/>
                <w:vertAlign w:val="baseline"/>
                <w:rtl w:val="0"/>
                <w:lang w:val="it-IT"/>
              </w:rPr>
              <w:t>///</w:t>
            </w:r>
          </w:p>
        </w:tc>
        <w:tc>
          <w:tcPr>
            <w:tcW w:type="dxa" w:w="10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rFonts w:ascii="Calibri" w:cs="Calibri" w:hAnsi="Calibri" w:eastAsia="Calibri"/>
                <w:caps w:val="0"/>
                <w:smallCaps w:val="0"/>
                <w:strike w:val="0"/>
                <w:dstrike w:val="0"/>
                <w:outline w:val="0"/>
                <w:color w:val="000000"/>
                <w:spacing w:val="0"/>
                <w:kern w:val="0"/>
                <w:position w:val="0"/>
                <w:sz w:val="22"/>
                <w:szCs w:val="22"/>
                <w:u w:val="none" w:color="000000"/>
                <w:vertAlign w:val="baseline"/>
                <w:rtl w:val="0"/>
                <w:lang w:val="it-IT"/>
              </w:rPr>
              <w:t>///</w:t>
            </w:r>
          </w:p>
        </w:tc>
        <w:tc>
          <w:tcPr>
            <w:tcW w:type="dxa" w:w="128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rFonts w:ascii="Calibri" w:cs="Calibri" w:hAnsi="Calibri" w:eastAsia="Calibri"/>
                <w:caps w:val="0"/>
                <w:smallCaps w:val="0"/>
                <w:strike w:val="0"/>
                <w:dstrike w:val="0"/>
                <w:outline w:val="0"/>
                <w:color w:val="000000"/>
                <w:spacing w:val="0"/>
                <w:kern w:val="0"/>
                <w:position w:val="0"/>
                <w:sz w:val="22"/>
                <w:szCs w:val="22"/>
                <w:u w:val="none" w:color="000000"/>
                <w:vertAlign w:val="baseline"/>
                <w:rtl w:val="0"/>
                <w:lang w:val="it-IT"/>
              </w:rPr>
              <w:t>6</w:t>
            </w:r>
          </w:p>
        </w:tc>
        <w:tc>
          <w:tcPr>
            <w:tcW w:type="dxa" w:w="121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rFonts w:ascii="Calibri" w:cs="Calibri" w:hAnsi="Calibri" w:eastAsia="Calibri"/>
                <w:caps w:val="0"/>
                <w:smallCaps w:val="0"/>
                <w:strike w:val="0"/>
                <w:dstrike w:val="0"/>
                <w:outline w:val="0"/>
                <w:color w:val="000000"/>
                <w:spacing w:val="0"/>
                <w:kern w:val="0"/>
                <w:position w:val="0"/>
                <w:sz w:val="22"/>
                <w:szCs w:val="22"/>
                <w:u w:val="none" w:color="000000"/>
                <w:vertAlign w:val="baseline"/>
                <w:rtl w:val="0"/>
                <w:lang w:val="it-IT"/>
              </w:rPr>
              <w:t>///</w:t>
            </w:r>
          </w:p>
        </w:tc>
        <w:tc>
          <w:tcPr>
            <w:tcW w:type="dxa" w:w="118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rFonts w:ascii="Calibri" w:cs="Calibri" w:hAnsi="Calibri" w:eastAsia="Calibri"/>
                <w:caps w:val="0"/>
                <w:smallCaps w:val="0"/>
                <w:strike w:val="0"/>
                <w:dstrike w:val="0"/>
                <w:outline w:val="0"/>
                <w:color w:val="000000"/>
                <w:spacing w:val="0"/>
                <w:kern w:val="0"/>
                <w:position w:val="0"/>
                <w:sz w:val="22"/>
                <w:szCs w:val="22"/>
                <w:u w:val="none" w:color="000000"/>
                <w:vertAlign w:val="baseline"/>
                <w:rtl w:val="0"/>
                <w:lang w:val="it-IT"/>
              </w:rPr>
              <w:t>///</w:t>
            </w:r>
          </w:p>
        </w:tc>
      </w:tr>
      <w:tr>
        <w:tblPrEx>
          <w:shd w:val="clear" w:color="auto" w:fill="auto"/>
        </w:tblPrEx>
        <w:trPr>
          <w:trHeight w:val="490" w:hRule="atLeast"/>
        </w:trPr>
        <w:tc>
          <w:tcPr>
            <w:tcW w:type="dxa" w:w="157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Default"/>
              <w:jc w:val="center"/>
            </w:pPr>
            <w:r>
              <w:rPr>
                <w:rFonts w:ascii="Book Antiqua"/>
                <w:caps w:val="0"/>
                <w:smallCaps w:val="0"/>
                <w:strike w:val="0"/>
                <w:dstrike w:val="0"/>
                <w:outline w:val="0"/>
                <w:color w:val="000000"/>
                <w:spacing w:val="0"/>
                <w:kern w:val="0"/>
                <w:position w:val="0"/>
                <w:sz w:val="20"/>
                <w:szCs w:val="20"/>
                <w:u w:val="none" w:color="000000"/>
                <w:vertAlign w:val="baseline"/>
                <w:rtl w:val="0"/>
                <w:lang w:val="it-IT"/>
              </w:rPr>
              <w:t>Inquinamento del Suolo</w:t>
            </w:r>
          </w:p>
        </w:tc>
        <w:tc>
          <w:tcPr>
            <w:tcW w:type="dxa" w:w="131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rFonts w:ascii="Calibri" w:cs="Calibri" w:hAnsi="Calibri" w:eastAsia="Calibri"/>
                <w:caps w:val="0"/>
                <w:smallCaps w:val="0"/>
                <w:strike w:val="0"/>
                <w:dstrike w:val="0"/>
                <w:outline w:val="0"/>
                <w:color w:val="000000"/>
                <w:spacing w:val="0"/>
                <w:kern w:val="0"/>
                <w:position w:val="0"/>
                <w:sz w:val="22"/>
                <w:szCs w:val="22"/>
                <w:u w:val="none" w:color="000000"/>
                <w:vertAlign w:val="baseline"/>
                <w:rtl w:val="0"/>
                <w:lang w:val="it-IT"/>
              </w:rPr>
              <w:t>58</w:t>
            </w:r>
          </w:p>
        </w:tc>
        <w:tc>
          <w:tcPr>
            <w:tcW w:type="dxa" w:w="125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rFonts w:ascii="Calibri" w:cs="Calibri" w:hAnsi="Calibri" w:eastAsia="Calibri"/>
                <w:caps w:val="0"/>
                <w:smallCaps w:val="0"/>
                <w:strike w:val="0"/>
                <w:dstrike w:val="0"/>
                <w:outline w:val="0"/>
                <w:color w:val="000000"/>
                <w:spacing w:val="0"/>
                <w:kern w:val="0"/>
                <w:position w:val="0"/>
                <w:sz w:val="22"/>
                <w:szCs w:val="22"/>
                <w:u w:val="none" w:color="000000"/>
                <w:vertAlign w:val="baseline"/>
                <w:rtl w:val="0"/>
                <w:lang w:val="it-IT"/>
              </w:rPr>
              <w:t>50</w:t>
            </w:r>
          </w:p>
        </w:tc>
        <w:tc>
          <w:tcPr>
            <w:tcW w:type="dxa" w:w="104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rFonts w:ascii="Calibri" w:cs="Calibri" w:hAnsi="Calibri" w:eastAsia="Calibri"/>
                <w:caps w:val="0"/>
                <w:smallCaps w:val="0"/>
                <w:strike w:val="0"/>
                <w:dstrike w:val="0"/>
                <w:outline w:val="0"/>
                <w:color w:val="000000"/>
                <w:spacing w:val="0"/>
                <w:kern w:val="0"/>
                <w:position w:val="0"/>
                <w:sz w:val="22"/>
                <w:szCs w:val="22"/>
                <w:u w:val="none" w:color="000000"/>
                <w:vertAlign w:val="baseline"/>
                <w:rtl w:val="0"/>
                <w:lang w:val="it-IT"/>
              </w:rPr>
              <w:t>106</w:t>
            </w:r>
          </w:p>
        </w:tc>
        <w:tc>
          <w:tcPr>
            <w:tcW w:type="dxa" w:w="10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rFonts w:ascii="Calibri" w:cs="Calibri" w:hAnsi="Calibri" w:eastAsia="Calibri"/>
                <w:caps w:val="0"/>
                <w:smallCaps w:val="0"/>
                <w:strike w:val="0"/>
                <w:dstrike w:val="0"/>
                <w:outline w:val="0"/>
                <w:color w:val="000000"/>
                <w:spacing w:val="0"/>
                <w:kern w:val="0"/>
                <w:position w:val="0"/>
                <w:sz w:val="22"/>
                <w:szCs w:val="22"/>
                <w:u w:val="none" w:color="000000"/>
                <w:vertAlign w:val="baseline"/>
                <w:rtl w:val="0"/>
                <w:lang w:val="it-IT"/>
              </w:rPr>
              <w:t>7</w:t>
            </w:r>
          </w:p>
        </w:tc>
        <w:tc>
          <w:tcPr>
            <w:tcW w:type="dxa" w:w="128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rFonts w:ascii="Calibri" w:cs="Calibri" w:hAnsi="Calibri" w:eastAsia="Calibri"/>
                <w:caps w:val="0"/>
                <w:smallCaps w:val="0"/>
                <w:strike w:val="0"/>
                <w:dstrike w:val="0"/>
                <w:outline w:val="0"/>
                <w:color w:val="000000"/>
                <w:spacing w:val="0"/>
                <w:kern w:val="0"/>
                <w:position w:val="0"/>
                <w:sz w:val="22"/>
                <w:szCs w:val="22"/>
                <w:u w:val="none" w:color="000000"/>
                <w:vertAlign w:val="baseline"/>
                <w:rtl w:val="0"/>
                <w:lang w:val="it-IT"/>
              </w:rPr>
              <w:t>83</w:t>
            </w:r>
          </w:p>
        </w:tc>
        <w:tc>
          <w:tcPr>
            <w:tcW w:type="dxa" w:w="121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rFonts w:ascii="Calibri" w:cs="Calibri" w:hAnsi="Calibri" w:eastAsia="Calibri"/>
                <w:caps w:val="0"/>
                <w:smallCaps w:val="0"/>
                <w:strike w:val="0"/>
                <w:dstrike w:val="0"/>
                <w:outline w:val="0"/>
                <w:color w:val="000000"/>
                <w:spacing w:val="0"/>
                <w:kern w:val="0"/>
                <w:position w:val="0"/>
                <w:sz w:val="22"/>
                <w:szCs w:val="22"/>
                <w:u w:val="none" w:color="000000"/>
                <w:vertAlign w:val="baseline"/>
                <w:rtl w:val="0"/>
                <w:lang w:val="it-IT"/>
              </w:rPr>
              <w:t>28</w:t>
            </w:r>
          </w:p>
        </w:tc>
        <w:tc>
          <w:tcPr>
            <w:tcW w:type="dxa" w:w="118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rFonts w:ascii="Calibri" w:cs="Calibri" w:hAnsi="Calibri" w:eastAsia="Calibri"/>
                <w:caps w:val="0"/>
                <w:smallCaps w:val="0"/>
                <w:strike w:val="0"/>
                <w:dstrike w:val="0"/>
                <w:outline w:val="0"/>
                <w:color w:val="000000"/>
                <w:spacing w:val="0"/>
                <w:kern w:val="0"/>
                <w:position w:val="0"/>
                <w:sz w:val="22"/>
                <w:szCs w:val="22"/>
                <w:u w:val="none" w:color="000000"/>
                <w:vertAlign w:val="baseline"/>
                <w:rtl w:val="0"/>
                <w:lang w:val="it-IT"/>
              </w:rPr>
              <w:t>36.010.000</w:t>
            </w:r>
          </w:p>
        </w:tc>
      </w:tr>
      <w:tr>
        <w:tblPrEx>
          <w:shd w:val="clear" w:color="auto" w:fill="auto"/>
        </w:tblPrEx>
        <w:trPr>
          <w:trHeight w:val="490" w:hRule="atLeast"/>
        </w:trPr>
        <w:tc>
          <w:tcPr>
            <w:tcW w:type="dxa" w:w="157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rFonts w:ascii="Book Antiqua"/>
                <w:caps w:val="0"/>
                <w:smallCaps w:val="0"/>
                <w:strike w:val="0"/>
                <w:dstrike w:val="0"/>
                <w:outline w:val="0"/>
                <w:color w:val="000000"/>
                <w:spacing w:val="0"/>
                <w:kern w:val="0"/>
                <w:position w:val="0"/>
                <w:sz w:val="20"/>
                <w:szCs w:val="20"/>
                <w:u w:val="none" w:color="000000"/>
                <w:vertAlign w:val="baseline"/>
                <w:rtl w:val="0"/>
                <w:lang w:val="it-IT"/>
              </w:rPr>
              <w:t>Inquinamento Idrico</w:t>
            </w:r>
          </w:p>
        </w:tc>
        <w:tc>
          <w:tcPr>
            <w:tcW w:type="dxa" w:w="131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rFonts w:ascii="Calibri" w:cs="Calibri" w:hAnsi="Calibri" w:eastAsia="Calibri"/>
                <w:caps w:val="0"/>
                <w:smallCaps w:val="0"/>
                <w:strike w:val="0"/>
                <w:dstrike w:val="0"/>
                <w:outline w:val="0"/>
                <w:color w:val="000000"/>
                <w:spacing w:val="0"/>
                <w:kern w:val="0"/>
                <w:position w:val="0"/>
                <w:sz w:val="22"/>
                <w:szCs w:val="22"/>
                <w:u w:val="none" w:color="000000"/>
                <w:vertAlign w:val="baseline"/>
                <w:rtl w:val="0"/>
                <w:lang w:val="it-IT"/>
              </w:rPr>
              <w:t>28</w:t>
            </w:r>
          </w:p>
        </w:tc>
        <w:tc>
          <w:tcPr>
            <w:tcW w:type="dxa" w:w="125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rFonts w:ascii="Calibri" w:cs="Calibri" w:hAnsi="Calibri" w:eastAsia="Calibri"/>
                <w:caps w:val="0"/>
                <w:smallCaps w:val="0"/>
                <w:strike w:val="0"/>
                <w:dstrike w:val="0"/>
                <w:outline w:val="0"/>
                <w:color w:val="000000"/>
                <w:spacing w:val="0"/>
                <w:kern w:val="0"/>
                <w:position w:val="0"/>
                <w:sz w:val="22"/>
                <w:szCs w:val="22"/>
                <w:u w:val="none" w:color="000000"/>
                <w:vertAlign w:val="baseline"/>
                <w:rtl w:val="0"/>
                <w:lang w:val="it-IT"/>
              </w:rPr>
              <w:t>28</w:t>
            </w:r>
          </w:p>
        </w:tc>
        <w:tc>
          <w:tcPr>
            <w:tcW w:type="dxa" w:w="104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rFonts w:ascii="Calibri" w:cs="Calibri" w:hAnsi="Calibri" w:eastAsia="Calibri"/>
                <w:caps w:val="0"/>
                <w:smallCaps w:val="0"/>
                <w:strike w:val="0"/>
                <w:dstrike w:val="0"/>
                <w:outline w:val="0"/>
                <w:color w:val="000000"/>
                <w:spacing w:val="0"/>
                <w:kern w:val="0"/>
                <w:position w:val="0"/>
                <w:sz w:val="22"/>
                <w:szCs w:val="22"/>
                <w:u w:val="none" w:color="000000"/>
                <w:vertAlign w:val="baseline"/>
                <w:rtl w:val="0"/>
                <w:lang w:val="it-IT"/>
              </w:rPr>
              <w:t>36</w:t>
            </w:r>
          </w:p>
        </w:tc>
        <w:tc>
          <w:tcPr>
            <w:tcW w:type="dxa" w:w="10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rFonts w:ascii="Calibri" w:cs="Calibri" w:hAnsi="Calibri" w:eastAsia="Calibri"/>
                <w:caps w:val="0"/>
                <w:smallCaps w:val="0"/>
                <w:strike w:val="0"/>
                <w:dstrike w:val="0"/>
                <w:outline w:val="0"/>
                <w:color w:val="000000"/>
                <w:spacing w:val="0"/>
                <w:kern w:val="0"/>
                <w:position w:val="0"/>
                <w:sz w:val="22"/>
                <w:szCs w:val="22"/>
                <w:u w:val="none" w:color="000000"/>
                <w:vertAlign w:val="baseline"/>
                <w:rtl w:val="0"/>
                <w:lang w:val="it-IT"/>
              </w:rPr>
              <w:t>///</w:t>
            </w:r>
          </w:p>
        </w:tc>
        <w:tc>
          <w:tcPr>
            <w:tcW w:type="dxa" w:w="128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rFonts w:ascii="Calibri" w:cs="Calibri" w:hAnsi="Calibri" w:eastAsia="Calibri"/>
                <w:caps w:val="0"/>
                <w:smallCaps w:val="0"/>
                <w:strike w:val="0"/>
                <w:dstrike w:val="0"/>
                <w:outline w:val="0"/>
                <w:color w:val="000000"/>
                <w:spacing w:val="0"/>
                <w:kern w:val="0"/>
                <w:position w:val="0"/>
                <w:sz w:val="22"/>
                <w:szCs w:val="22"/>
                <w:u w:val="none" w:color="000000"/>
                <w:vertAlign w:val="baseline"/>
                <w:rtl w:val="0"/>
                <w:lang w:val="it-IT"/>
              </w:rPr>
              <w:t>36</w:t>
            </w:r>
          </w:p>
        </w:tc>
        <w:tc>
          <w:tcPr>
            <w:tcW w:type="dxa" w:w="121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rFonts w:ascii="Calibri" w:cs="Calibri" w:hAnsi="Calibri" w:eastAsia="Calibri"/>
                <w:caps w:val="0"/>
                <w:smallCaps w:val="0"/>
                <w:strike w:val="0"/>
                <w:dstrike w:val="0"/>
                <w:outline w:val="0"/>
                <w:color w:val="000000"/>
                <w:spacing w:val="0"/>
                <w:kern w:val="0"/>
                <w:position w:val="0"/>
                <w:sz w:val="22"/>
                <w:szCs w:val="22"/>
                <w:u w:val="none" w:color="000000"/>
                <w:vertAlign w:val="baseline"/>
                <w:rtl w:val="0"/>
                <w:lang w:val="it-IT"/>
              </w:rPr>
              <w:t>7</w:t>
            </w:r>
          </w:p>
        </w:tc>
        <w:tc>
          <w:tcPr>
            <w:tcW w:type="dxa" w:w="118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rFonts w:ascii="Calibri" w:cs="Calibri" w:hAnsi="Calibri" w:eastAsia="Calibri"/>
                <w:caps w:val="0"/>
                <w:smallCaps w:val="0"/>
                <w:strike w:val="0"/>
                <w:dstrike w:val="0"/>
                <w:outline w:val="0"/>
                <w:color w:val="000000"/>
                <w:spacing w:val="0"/>
                <w:kern w:val="0"/>
                <w:position w:val="0"/>
                <w:sz w:val="22"/>
                <w:szCs w:val="22"/>
                <w:u w:val="none" w:color="000000"/>
                <w:vertAlign w:val="baseline"/>
                <w:rtl w:val="0"/>
                <w:lang w:val="it-IT"/>
              </w:rPr>
              <w:t>10.220.000</w:t>
            </w:r>
          </w:p>
        </w:tc>
      </w:tr>
      <w:tr>
        <w:tblPrEx>
          <w:shd w:val="clear" w:color="auto" w:fill="auto"/>
        </w:tblPrEx>
        <w:trPr>
          <w:trHeight w:val="490" w:hRule="atLeast"/>
        </w:trPr>
        <w:tc>
          <w:tcPr>
            <w:tcW w:type="dxa" w:w="157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rFonts w:ascii="Book Antiqua"/>
                <w:caps w:val="0"/>
                <w:smallCaps w:val="0"/>
                <w:strike w:val="0"/>
                <w:dstrike w:val="0"/>
                <w:outline w:val="0"/>
                <w:color w:val="000000"/>
                <w:spacing w:val="0"/>
                <w:kern w:val="0"/>
                <w:position w:val="0"/>
                <w:sz w:val="20"/>
                <w:szCs w:val="20"/>
                <w:u w:val="none" w:color="000000"/>
                <w:vertAlign w:val="baseline"/>
                <w:rtl w:val="0"/>
                <w:lang w:val="it-IT"/>
              </w:rPr>
              <w:t>Abusivismo Edilizio</w:t>
            </w:r>
          </w:p>
        </w:tc>
        <w:tc>
          <w:tcPr>
            <w:tcW w:type="dxa" w:w="131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rFonts w:ascii="Calibri" w:cs="Calibri" w:hAnsi="Calibri" w:eastAsia="Calibri"/>
                <w:caps w:val="0"/>
                <w:smallCaps w:val="0"/>
                <w:strike w:val="0"/>
                <w:dstrike w:val="0"/>
                <w:outline w:val="0"/>
                <w:color w:val="000000"/>
                <w:spacing w:val="0"/>
                <w:kern w:val="0"/>
                <w:position w:val="0"/>
                <w:sz w:val="22"/>
                <w:szCs w:val="22"/>
                <w:u w:val="none" w:color="000000"/>
                <w:vertAlign w:val="baseline"/>
                <w:rtl w:val="0"/>
                <w:lang w:val="it-IT"/>
              </w:rPr>
              <w:t>6</w:t>
            </w:r>
          </w:p>
        </w:tc>
        <w:tc>
          <w:tcPr>
            <w:tcW w:type="dxa" w:w="125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rFonts w:ascii="Calibri" w:cs="Calibri" w:hAnsi="Calibri" w:eastAsia="Calibri"/>
                <w:caps w:val="0"/>
                <w:smallCaps w:val="0"/>
                <w:strike w:val="0"/>
                <w:dstrike w:val="0"/>
                <w:outline w:val="0"/>
                <w:color w:val="000000"/>
                <w:spacing w:val="0"/>
                <w:kern w:val="0"/>
                <w:position w:val="0"/>
                <w:sz w:val="22"/>
                <w:szCs w:val="22"/>
                <w:u w:val="none" w:color="000000"/>
                <w:vertAlign w:val="baseline"/>
                <w:rtl w:val="0"/>
                <w:lang w:val="it-IT"/>
              </w:rPr>
              <w:t>6</w:t>
            </w:r>
          </w:p>
        </w:tc>
        <w:tc>
          <w:tcPr>
            <w:tcW w:type="dxa" w:w="104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rFonts w:ascii="Calibri" w:cs="Calibri" w:hAnsi="Calibri" w:eastAsia="Calibri"/>
                <w:caps w:val="0"/>
                <w:smallCaps w:val="0"/>
                <w:strike w:val="0"/>
                <w:dstrike w:val="0"/>
                <w:outline w:val="0"/>
                <w:color w:val="000000"/>
                <w:spacing w:val="0"/>
                <w:kern w:val="0"/>
                <w:position w:val="0"/>
                <w:sz w:val="22"/>
                <w:szCs w:val="22"/>
                <w:u w:val="none" w:color="000000"/>
                <w:vertAlign w:val="baseline"/>
                <w:rtl w:val="0"/>
                <w:lang w:val="it-IT"/>
              </w:rPr>
              <w:t>6</w:t>
            </w:r>
          </w:p>
        </w:tc>
        <w:tc>
          <w:tcPr>
            <w:tcW w:type="dxa" w:w="10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rFonts w:ascii="Calibri" w:cs="Calibri" w:hAnsi="Calibri" w:eastAsia="Calibri"/>
                <w:caps w:val="0"/>
                <w:smallCaps w:val="0"/>
                <w:strike w:val="0"/>
                <w:dstrike w:val="0"/>
                <w:outline w:val="0"/>
                <w:color w:val="000000"/>
                <w:spacing w:val="0"/>
                <w:kern w:val="0"/>
                <w:position w:val="0"/>
                <w:sz w:val="22"/>
                <w:szCs w:val="22"/>
                <w:u w:val="none" w:color="000000"/>
                <w:vertAlign w:val="baseline"/>
                <w:rtl w:val="0"/>
                <w:lang w:val="it-IT"/>
              </w:rPr>
              <w:t>///</w:t>
            </w:r>
          </w:p>
        </w:tc>
        <w:tc>
          <w:tcPr>
            <w:tcW w:type="dxa" w:w="128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rFonts w:ascii="Calibri" w:cs="Calibri" w:hAnsi="Calibri" w:eastAsia="Calibri"/>
                <w:caps w:val="0"/>
                <w:smallCaps w:val="0"/>
                <w:strike w:val="0"/>
                <w:dstrike w:val="0"/>
                <w:outline w:val="0"/>
                <w:color w:val="000000"/>
                <w:spacing w:val="0"/>
                <w:kern w:val="0"/>
                <w:position w:val="0"/>
                <w:sz w:val="22"/>
                <w:szCs w:val="22"/>
                <w:u w:val="none" w:color="000000"/>
                <w:vertAlign w:val="baseline"/>
                <w:rtl w:val="0"/>
                <w:lang w:val="it-IT"/>
              </w:rPr>
              <w:t>6</w:t>
            </w:r>
          </w:p>
        </w:tc>
        <w:tc>
          <w:tcPr>
            <w:tcW w:type="dxa" w:w="121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rFonts w:ascii="Calibri" w:cs="Calibri" w:hAnsi="Calibri" w:eastAsia="Calibri"/>
                <w:caps w:val="0"/>
                <w:smallCaps w:val="0"/>
                <w:strike w:val="0"/>
                <w:dstrike w:val="0"/>
                <w:outline w:val="0"/>
                <w:color w:val="000000"/>
                <w:spacing w:val="0"/>
                <w:kern w:val="0"/>
                <w:position w:val="0"/>
                <w:sz w:val="22"/>
                <w:szCs w:val="22"/>
                <w:u w:val="none" w:color="000000"/>
                <w:vertAlign w:val="baseline"/>
                <w:rtl w:val="0"/>
                <w:lang w:val="it-IT"/>
              </w:rPr>
              <w:t>1</w:t>
            </w:r>
          </w:p>
        </w:tc>
        <w:tc>
          <w:tcPr>
            <w:tcW w:type="dxa" w:w="118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rFonts w:ascii="Calibri" w:cs="Calibri" w:hAnsi="Calibri" w:eastAsia="Calibri"/>
                <w:caps w:val="0"/>
                <w:smallCaps w:val="0"/>
                <w:strike w:val="0"/>
                <w:dstrike w:val="0"/>
                <w:outline w:val="0"/>
                <w:color w:val="000000"/>
                <w:spacing w:val="0"/>
                <w:kern w:val="0"/>
                <w:position w:val="0"/>
                <w:sz w:val="22"/>
                <w:szCs w:val="22"/>
                <w:u w:val="none" w:color="000000"/>
                <w:vertAlign w:val="baseline"/>
                <w:rtl w:val="0"/>
                <w:lang w:val="it-IT"/>
              </w:rPr>
              <w:t>150.000</w:t>
            </w:r>
          </w:p>
        </w:tc>
      </w:tr>
      <w:tr>
        <w:tblPrEx>
          <w:shd w:val="clear" w:color="auto" w:fill="auto"/>
        </w:tblPrEx>
        <w:trPr>
          <w:trHeight w:val="490" w:hRule="atLeast"/>
        </w:trPr>
        <w:tc>
          <w:tcPr>
            <w:tcW w:type="dxa" w:w="157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rFonts w:ascii="Book Antiqua Bold"/>
                <w:b w:val="1"/>
                <w:bCs w:val="1"/>
                <w:caps w:val="0"/>
                <w:smallCaps w:val="0"/>
                <w:strike w:val="0"/>
                <w:dstrike w:val="0"/>
                <w:outline w:val="0"/>
                <w:color w:val="000000"/>
                <w:spacing w:val="0"/>
                <w:kern w:val="0"/>
                <w:position w:val="0"/>
                <w:sz w:val="20"/>
                <w:szCs w:val="20"/>
                <w:u w:val="none" w:color="000000"/>
                <w:vertAlign w:val="baseline"/>
                <w:rtl w:val="0"/>
                <w:lang w:val="it-IT"/>
              </w:rPr>
              <w:t>Totale</w:t>
            </w:r>
          </w:p>
        </w:tc>
        <w:tc>
          <w:tcPr>
            <w:tcW w:type="dxa" w:w="131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rFonts w:ascii="Calibri" w:cs="Calibri" w:hAnsi="Calibri" w:eastAsia="Calibri"/>
                <w:b w:val="1"/>
                <w:bCs w:val="1"/>
                <w:caps w:val="0"/>
                <w:smallCaps w:val="0"/>
                <w:strike w:val="0"/>
                <w:dstrike w:val="0"/>
                <w:outline w:val="0"/>
                <w:color w:val="000000"/>
                <w:spacing w:val="0"/>
                <w:kern w:val="0"/>
                <w:position w:val="0"/>
                <w:sz w:val="22"/>
                <w:szCs w:val="22"/>
                <w:u w:val="none" w:color="000000"/>
                <w:vertAlign w:val="baseline"/>
                <w:rtl w:val="0"/>
                <w:lang w:val="it-IT"/>
              </w:rPr>
              <w:t>102</w:t>
            </w:r>
          </w:p>
        </w:tc>
        <w:tc>
          <w:tcPr>
            <w:tcW w:type="dxa" w:w="125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rFonts w:ascii="Calibri" w:cs="Calibri" w:hAnsi="Calibri" w:eastAsia="Calibri"/>
                <w:b w:val="1"/>
                <w:bCs w:val="1"/>
                <w:caps w:val="0"/>
                <w:smallCaps w:val="0"/>
                <w:strike w:val="0"/>
                <w:dstrike w:val="0"/>
                <w:outline w:val="0"/>
                <w:color w:val="000000"/>
                <w:spacing w:val="0"/>
                <w:kern w:val="0"/>
                <w:position w:val="0"/>
                <w:sz w:val="22"/>
                <w:szCs w:val="22"/>
                <w:u w:val="none" w:color="000000"/>
                <w:vertAlign w:val="baseline"/>
                <w:rtl w:val="0"/>
                <w:lang w:val="it-IT"/>
              </w:rPr>
              <w:t>90</w:t>
            </w:r>
          </w:p>
        </w:tc>
        <w:tc>
          <w:tcPr>
            <w:tcW w:type="dxa" w:w="104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rFonts w:ascii="Calibri" w:cs="Calibri" w:hAnsi="Calibri" w:eastAsia="Calibri"/>
                <w:b w:val="1"/>
                <w:bCs w:val="1"/>
                <w:caps w:val="0"/>
                <w:smallCaps w:val="0"/>
                <w:strike w:val="0"/>
                <w:dstrike w:val="0"/>
                <w:outline w:val="0"/>
                <w:color w:val="000000"/>
                <w:spacing w:val="0"/>
                <w:kern w:val="0"/>
                <w:position w:val="0"/>
                <w:sz w:val="22"/>
                <w:szCs w:val="22"/>
                <w:u w:val="none" w:color="000000"/>
                <w:vertAlign w:val="baseline"/>
                <w:rtl w:val="0"/>
                <w:lang w:val="it-IT"/>
              </w:rPr>
              <w:t>148</w:t>
            </w:r>
          </w:p>
        </w:tc>
        <w:tc>
          <w:tcPr>
            <w:tcW w:type="dxa" w:w="102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rFonts w:ascii="Calibri" w:cs="Calibri" w:hAnsi="Calibri" w:eastAsia="Calibri"/>
                <w:b w:val="1"/>
                <w:bCs w:val="1"/>
                <w:caps w:val="0"/>
                <w:smallCaps w:val="0"/>
                <w:strike w:val="0"/>
                <w:dstrike w:val="0"/>
                <w:outline w:val="0"/>
                <w:color w:val="000000"/>
                <w:spacing w:val="0"/>
                <w:kern w:val="0"/>
                <w:position w:val="0"/>
                <w:sz w:val="22"/>
                <w:szCs w:val="22"/>
                <w:u w:val="none" w:color="000000"/>
                <w:vertAlign w:val="baseline"/>
                <w:rtl w:val="0"/>
                <w:lang w:val="it-IT"/>
              </w:rPr>
              <w:t>7</w:t>
            </w:r>
          </w:p>
        </w:tc>
        <w:tc>
          <w:tcPr>
            <w:tcW w:type="dxa" w:w="128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rFonts w:ascii="Calibri" w:cs="Calibri" w:hAnsi="Calibri" w:eastAsia="Calibri"/>
                <w:b w:val="1"/>
                <w:bCs w:val="1"/>
                <w:caps w:val="0"/>
                <w:smallCaps w:val="0"/>
                <w:strike w:val="0"/>
                <w:dstrike w:val="0"/>
                <w:outline w:val="0"/>
                <w:color w:val="000000"/>
                <w:spacing w:val="0"/>
                <w:kern w:val="0"/>
                <w:position w:val="0"/>
                <w:sz w:val="22"/>
                <w:szCs w:val="22"/>
                <w:u w:val="none" w:color="000000"/>
                <w:vertAlign w:val="baseline"/>
                <w:rtl w:val="0"/>
                <w:lang w:val="it-IT"/>
              </w:rPr>
              <w:t>131</w:t>
            </w:r>
          </w:p>
        </w:tc>
        <w:tc>
          <w:tcPr>
            <w:tcW w:type="dxa" w:w="121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rFonts w:ascii="Calibri" w:cs="Calibri" w:hAnsi="Calibri" w:eastAsia="Calibri"/>
                <w:b w:val="1"/>
                <w:bCs w:val="1"/>
                <w:caps w:val="0"/>
                <w:smallCaps w:val="0"/>
                <w:strike w:val="0"/>
                <w:dstrike w:val="0"/>
                <w:outline w:val="0"/>
                <w:color w:val="000000"/>
                <w:spacing w:val="0"/>
                <w:kern w:val="0"/>
                <w:position w:val="0"/>
                <w:sz w:val="22"/>
                <w:szCs w:val="22"/>
                <w:u w:val="none" w:color="000000"/>
                <w:vertAlign w:val="baseline"/>
                <w:rtl w:val="0"/>
                <w:lang w:val="it-IT"/>
              </w:rPr>
              <w:t>36</w:t>
            </w:r>
          </w:p>
        </w:tc>
        <w:tc>
          <w:tcPr>
            <w:tcW w:type="dxa" w:w="118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rFonts w:ascii="Calibri" w:cs="Calibri" w:hAnsi="Calibri" w:eastAsia="Calibri"/>
                <w:b w:val="1"/>
                <w:bCs w:val="1"/>
                <w:caps w:val="0"/>
                <w:smallCaps w:val="0"/>
                <w:strike w:val="0"/>
                <w:dstrike w:val="0"/>
                <w:outline w:val="0"/>
                <w:color w:val="000000"/>
                <w:spacing w:val="0"/>
                <w:kern w:val="0"/>
                <w:position w:val="0"/>
                <w:sz w:val="22"/>
                <w:szCs w:val="22"/>
                <w:u w:val="none" w:color="000000"/>
                <w:vertAlign w:val="baseline"/>
                <w:rtl w:val="0"/>
                <w:lang w:val="it-IT"/>
              </w:rPr>
              <w:t>46.380.000</w:t>
            </w:r>
          </w:p>
        </w:tc>
      </w:tr>
    </w:tbl>
    <w:p>
      <w:pPr>
        <w:pStyle w:val="Normal"/>
        <w:ind w:right="567" w:firstLine="567"/>
        <w:jc w:val="both"/>
        <w:rPr>
          <w:rFonts w:ascii="Book Antiqua" w:cs="Book Antiqua" w:hAnsi="Book Antiqua" w:eastAsia="Book Antiqua"/>
          <w:sz w:val="22"/>
          <w:szCs w:val="22"/>
        </w:rPr>
      </w:pPr>
    </w:p>
    <w:p>
      <w:pPr>
        <w:pStyle w:val="Normal"/>
        <w:rPr>
          <w:rFonts w:ascii="Book Antiqua" w:cs="Book Antiqua" w:hAnsi="Book Antiqua" w:eastAsia="Book Antiqua"/>
          <w:sz w:val="22"/>
          <w:szCs w:val="22"/>
        </w:rPr>
      </w:pPr>
    </w:p>
    <w:tbl>
      <w:tblPr>
        <w:tblW w:w="9889" w:type="dxa"/>
        <w:jc w:val="left"/>
        <w:tblInd w:w="108" w:type="dxa"/>
        <w:tblBorders>
          <w:top w:val="single" w:color="000000" w:sz="2" w:space="0" w:shadow="0" w:frame="0"/>
          <w:left w:val="single" w:color="000000" w:sz="2" w:space="0" w:shadow="0" w:frame="0"/>
          <w:bottom w:val="single" w:color="000000" w:sz="2" w:space="0" w:shadow="0" w:frame="0"/>
          <w:right w:val="single" w:color="000000" w:sz="2" w:space="0" w:shadow="0" w:frame="0"/>
          <w:insideH w:val="single" w:color="000000" w:sz="2" w:space="0" w:shadow="0" w:frame="0"/>
          <w:insideV w:val="single" w:color="000000" w:sz="2" w:space="0" w:shadow="0" w:frame="0"/>
        </w:tblBorders>
        <w:shd w:val="clear" w:color="auto" w:fill="auto"/>
        <w:tblLayout w:type="fixed"/>
      </w:tblPr>
      <w:tblGrid>
        <w:gridCol w:w="2093"/>
        <w:gridCol w:w="1817"/>
        <w:gridCol w:w="1956"/>
        <w:gridCol w:w="1955"/>
        <w:gridCol w:w="2068"/>
      </w:tblGrid>
      <w:tr>
        <w:tblPrEx>
          <w:shd w:val="clear" w:color="auto" w:fill="auto"/>
        </w:tblPrEx>
        <w:trPr>
          <w:trHeight w:val="490" w:hRule="atLeast"/>
        </w:trPr>
        <w:tc>
          <w:tcPr>
            <w:tcW w:type="dxa" w:w="209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rFonts w:ascii="Calibri" w:cs="Calibri" w:hAnsi="Calibri" w:eastAsia="Calibri"/>
                <w:caps w:val="0"/>
                <w:smallCaps w:val="0"/>
                <w:strike w:val="0"/>
                <w:dstrike w:val="0"/>
                <w:outline w:val="0"/>
                <w:color w:val="000000"/>
                <w:spacing w:val="0"/>
                <w:kern w:val="0"/>
                <w:position w:val="0"/>
                <w:sz w:val="22"/>
                <w:szCs w:val="22"/>
                <w:u w:val="none" w:color="000000"/>
                <w:vertAlign w:val="baseline"/>
                <w:rtl w:val="0"/>
                <w:lang w:val="it-IT"/>
              </w:rPr>
              <w:t>ESPOSTI/ DENUNCE</w:t>
            </w:r>
          </w:p>
        </w:tc>
        <w:tc>
          <w:tcPr>
            <w:tcW w:type="dxa" w:w="181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rFonts w:ascii="Calibri" w:cs="Calibri" w:hAnsi="Calibri" w:eastAsia="Calibri"/>
                <w:caps w:val="0"/>
                <w:smallCaps w:val="0"/>
                <w:strike w:val="0"/>
                <w:dstrike w:val="0"/>
                <w:outline w:val="0"/>
                <w:color w:val="000000"/>
                <w:spacing w:val="0"/>
                <w:kern w:val="0"/>
                <w:position w:val="0"/>
                <w:sz w:val="22"/>
                <w:szCs w:val="22"/>
                <w:u w:val="none" w:color="000000"/>
                <w:vertAlign w:val="baseline"/>
                <w:rtl w:val="0"/>
                <w:lang w:val="it-IT"/>
              </w:rPr>
              <w:t>DELEGHE A.G.</w:t>
            </w:r>
          </w:p>
        </w:tc>
        <w:tc>
          <w:tcPr>
            <w:tcW w:type="dxa" w:w="195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rFonts w:ascii="Calibri" w:cs="Calibri" w:hAnsi="Calibri" w:eastAsia="Calibri"/>
                <w:caps w:val="0"/>
                <w:smallCaps w:val="0"/>
                <w:strike w:val="0"/>
                <w:dstrike w:val="0"/>
                <w:outline w:val="0"/>
                <w:color w:val="000000"/>
                <w:spacing w:val="0"/>
                <w:kern w:val="0"/>
                <w:position w:val="0"/>
                <w:sz w:val="22"/>
                <w:szCs w:val="22"/>
                <w:u w:val="none" w:color="000000"/>
                <w:vertAlign w:val="baseline"/>
                <w:rtl w:val="0"/>
                <w:lang w:val="it-IT"/>
              </w:rPr>
              <w:t>RICHIESTE</w:t>
            </w:r>
          </w:p>
        </w:tc>
        <w:tc>
          <w:tcPr>
            <w:tcW w:type="dxa" w:w="195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rFonts w:ascii="Calibri" w:cs="Calibri" w:hAnsi="Calibri" w:eastAsia="Calibri"/>
                <w:caps w:val="0"/>
                <w:smallCaps w:val="0"/>
                <w:strike w:val="0"/>
                <w:dstrike w:val="0"/>
                <w:outline w:val="0"/>
                <w:color w:val="000000"/>
                <w:spacing w:val="0"/>
                <w:kern w:val="0"/>
                <w:position w:val="0"/>
                <w:sz w:val="22"/>
                <w:szCs w:val="22"/>
                <w:u w:val="none" w:color="000000"/>
                <w:vertAlign w:val="baseline"/>
                <w:rtl w:val="0"/>
                <w:lang w:val="it-IT"/>
              </w:rPr>
              <w:t>INDAGINI</w:t>
            </w:r>
          </w:p>
        </w:tc>
        <w:tc>
          <w:tcPr>
            <w:tcW w:type="dxa" w:w="206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rFonts w:ascii="Calibri" w:cs="Calibri" w:hAnsi="Calibri" w:eastAsia="Calibri"/>
                <w:caps w:val="0"/>
                <w:smallCaps w:val="0"/>
                <w:strike w:val="0"/>
                <w:dstrike w:val="0"/>
                <w:outline w:val="0"/>
                <w:color w:val="000000"/>
                <w:spacing w:val="0"/>
                <w:kern w:val="0"/>
                <w:position w:val="0"/>
                <w:sz w:val="22"/>
                <w:szCs w:val="22"/>
                <w:u w:val="none" w:color="000000"/>
                <w:vertAlign w:val="baseline"/>
                <w:rtl w:val="0"/>
                <w:lang w:val="it-IT"/>
              </w:rPr>
              <w:t>TOTALE</w:t>
            </w:r>
          </w:p>
        </w:tc>
      </w:tr>
      <w:tr>
        <w:tblPrEx>
          <w:shd w:val="clear" w:color="auto" w:fill="auto"/>
        </w:tblPrEx>
        <w:trPr>
          <w:trHeight w:val="250" w:hRule="atLeast"/>
        </w:trPr>
        <w:tc>
          <w:tcPr>
            <w:tcW w:type="dxa" w:w="209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rFonts w:ascii="Calibri" w:cs="Calibri" w:hAnsi="Calibri" w:eastAsia="Calibri"/>
                <w:caps w:val="0"/>
                <w:smallCaps w:val="0"/>
                <w:strike w:val="0"/>
                <w:dstrike w:val="0"/>
                <w:outline w:val="0"/>
                <w:color w:val="000000"/>
                <w:spacing w:val="0"/>
                <w:kern w:val="0"/>
                <w:position w:val="0"/>
                <w:sz w:val="22"/>
                <w:szCs w:val="22"/>
                <w:u w:val="none" w:color="000000"/>
                <w:vertAlign w:val="baseline"/>
                <w:rtl w:val="0"/>
                <w:lang w:val="it-IT"/>
              </w:rPr>
              <w:t>190</w:t>
            </w:r>
          </w:p>
        </w:tc>
        <w:tc>
          <w:tcPr>
            <w:tcW w:type="dxa" w:w="181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rFonts w:ascii="Calibri" w:cs="Calibri" w:hAnsi="Calibri" w:eastAsia="Calibri"/>
                <w:caps w:val="0"/>
                <w:smallCaps w:val="0"/>
                <w:strike w:val="0"/>
                <w:dstrike w:val="0"/>
                <w:outline w:val="0"/>
                <w:color w:val="000000"/>
                <w:spacing w:val="0"/>
                <w:kern w:val="0"/>
                <w:position w:val="0"/>
                <w:sz w:val="22"/>
                <w:szCs w:val="22"/>
                <w:u w:val="none" w:color="000000"/>
                <w:vertAlign w:val="baseline"/>
                <w:rtl w:val="0"/>
                <w:lang w:val="it-IT"/>
              </w:rPr>
              <w:t>126</w:t>
            </w:r>
          </w:p>
        </w:tc>
        <w:tc>
          <w:tcPr>
            <w:tcW w:type="dxa" w:w="195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rFonts w:ascii="Calibri" w:cs="Calibri" w:hAnsi="Calibri" w:eastAsia="Calibri"/>
                <w:caps w:val="0"/>
                <w:smallCaps w:val="0"/>
                <w:strike w:val="0"/>
                <w:dstrike w:val="0"/>
                <w:outline w:val="0"/>
                <w:color w:val="000000"/>
                <w:spacing w:val="0"/>
                <w:kern w:val="0"/>
                <w:position w:val="0"/>
                <w:sz w:val="22"/>
                <w:szCs w:val="22"/>
                <w:u w:val="none" w:color="000000"/>
                <w:vertAlign w:val="baseline"/>
                <w:rtl w:val="0"/>
                <w:lang w:val="it-IT"/>
              </w:rPr>
              <w:t>87</w:t>
            </w:r>
          </w:p>
        </w:tc>
        <w:tc>
          <w:tcPr>
            <w:tcW w:type="dxa" w:w="195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rFonts w:ascii="Calibri" w:cs="Calibri" w:hAnsi="Calibri" w:eastAsia="Calibri"/>
                <w:caps w:val="0"/>
                <w:smallCaps w:val="0"/>
                <w:strike w:val="0"/>
                <w:dstrike w:val="0"/>
                <w:outline w:val="0"/>
                <w:color w:val="000000"/>
                <w:spacing w:val="0"/>
                <w:kern w:val="0"/>
                <w:position w:val="0"/>
                <w:sz w:val="22"/>
                <w:szCs w:val="22"/>
                <w:u w:val="none" w:color="000000"/>
                <w:vertAlign w:val="baseline"/>
                <w:rtl w:val="0"/>
                <w:lang w:val="it-IT"/>
              </w:rPr>
              <w:t>11</w:t>
            </w:r>
          </w:p>
        </w:tc>
        <w:tc>
          <w:tcPr>
            <w:tcW w:type="dxa" w:w="206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rFonts w:ascii="Calibri" w:cs="Calibri" w:hAnsi="Calibri" w:eastAsia="Calibri"/>
                <w:caps w:val="0"/>
                <w:smallCaps w:val="0"/>
                <w:strike w:val="0"/>
                <w:dstrike w:val="0"/>
                <w:outline w:val="0"/>
                <w:color w:val="000000"/>
                <w:spacing w:val="0"/>
                <w:kern w:val="0"/>
                <w:position w:val="0"/>
                <w:sz w:val="22"/>
                <w:szCs w:val="22"/>
                <w:u w:val="none" w:color="000000"/>
                <w:vertAlign w:val="baseline"/>
                <w:rtl w:val="0"/>
                <w:lang w:val="it-IT"/>
              </w:rPr>
              <w:t>414</w:t>
            </w:r>
          </w:p>
        </w:tc>
      </w:tr>
    </w:tbl>
    <w:p>
      <w:pPr>
        <w:pStyle w:val="Normal"/>
        <w:rPr>
          <w:rFonts w:ascii="Book Antiqua" w:cs="Book Antiqua" w:hAnsi="Book Antiqua" w:eastAsia="Book Antiqua"/>
          <w:sz w:val="22"/>
          <w:szCs w:val="22"/>
        </w:rPr>
      </w:pPr>
    </w:p>
    <w:p>
      <w:pPr>
        <w:pStyle w:val="Normal"/>
        <w:rPr>
          <w:rFonts w:ascii="Calibri" w:cs="Calibri" w:hAnsi="Calibri" w:eastAsia="Calibri"/>
          <w:sz w:val="22"/>
          <w:szCs w:val="22"/>
        </w:rPr>
      </w:pPr>
    </w:p>
    <w:tbl>
      <w:tblPr>
        <w:tblW w:w="9854" w:type="dxa"/>
        <w:jc w:val="left"/>
        <w:tblInd w:w="108" w:type="dxa"/>
        <w:tblBorders>
          <w:top w:val="single" w:color="000000" w:sz="2" w:space="0" w:shadow="0" w:frame="0"/>
          <w:left w:val="single" w:color="000000" w:sz="2" w:space="0" w:shadow="0" w:frame="0"/>
          <w:bottom w:val="single" w:color="000000" w:sz="2" w:space="0" w:shadow="0" w:frame="0"/>
          <w:right w:val="single" w:color="000000" w:sz="2" w:space="0" w:shadow="0" w:frame="0"/>
          <w:insideH w:val="single" w:color="000000" w:sz="2" w:space="0" w:shadow="0" w:frame="0"/>
          <w:insideV w:val="single" w:color="000000" w:sz="2" w:space="0" w:shadow="0" w:frame="0"/>
        </w:tblBorders>
        <w:shd w:val="clear" w:color="auto" w:fill="auto"/>
        <w:tblLayout w:type="fixed"/>
      </w:tblPr>
      <w:tblGrid>
        <w:gridCol w:w="1596"/>
        <w:gridCol w:w="1535"/>
        <w:gridCol w:w="1890"/>
        <w:gridCol w:w="1354"/>
        <w:gridCol w:w="1772"/>
        <w:gridCol w:w="1707"/>
      </w:tblGrid>
      <w:tr>
        <w:tblPrEx>
          <w:shd w:val="clear" w:color="auto" w:fill="auto"/>
        </w:tblPrEx>
        <w:trPr>
          <w:trHeight w:val="250" w:hRule="atLeast"/>
        </w:trPr>
        <w:tc>
          <w:tcPr>
            <w:tcW w:type="dxa" w:w="159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rFonts w:ascii="Calibri" w:cs="Calibri" w:hAnsi="Calibri" w:eastAsia="Calibri"/>
                <w:caps w:val="0"/>
                <w:smallCaps w:val="0"/>
                <w:strike w:val="0"/>
                <w:dstrike w:val="0"/>
                <w:outline w:val="0"/>
                <w:color w:val="000000"/>
                <w:spacing w:val="0"/>
                <w:kern w:val="0"/>
                <w:position w:val="0"/>
                <w:sz w:val="22"/>
                <w:szCs w:val="22"/>
                <w:u w:val="none" w:color="000000"/>
                <w:vertAlign w:val="baseline"/>
                <w:rtl w:val="0"/>
                <w:lang w:val="it-IT"/>
              </w:rPr>
              <w:t>ROMA</w:t>
            </w:r>
          </w:p>
        </w:tc>
        <w:tc>
          <w:tcPr>
            <w:tcW w:type="dxa" w:w="153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rFonts w:ascii="Calibri" w:cs="Calibri" w:hAnsi="Calibri" w:eastAsia="Calibri"/>
                <w:caps w:val="0"/>
                <w:smallCaps w:val="0"/>
                <w:strike w:val="0"/>
                <w:dstrike w:val="0"/>
                <w:outline w:val="0"/>
                <w:color w:val="000000"/>
                <w:spacing w:val="0"/>
                <w:kern w:val="0"/>
                <w:position w:val="0"/>
                <w:sz w:val="22"/>
                <w:szCs w:val="22"/>
                <w:u w:val="none" w:color="000000"/>
                <w:vertAlign w:val="baseline"/>
                <w:rtl w:val="0"/>
                <w:lang w:val="it-IT"/>
              </w:rPr>
              <w:t>FROSINONE</w:t>
            </w:r>
          </w:p>
        </w:tc>
        <w:tc>
          <w:tcPr>
            <w:tcW w:type="dxa" w:w="189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rFonts w:ascii="Calibri" w:cs="Calibri" w:hAnsi="Calibri" w:eastAsia="Calibri"/>
                <w:caps w:val="0"/>
                <w:smallCaps w:val="0"/>
                <w:strike w:val="0"/>
                <w:dstrike w:val="0"/>
                <w:outline w:val="0"/>
                <w:color w:val="000000"/>
                <w:spacing w:val="0"/>
                <w:kern w:val="0"/>
                <w:position w:val="0"/>
                <w:sz w:val="22"/>
                <w:szCs w:val="22"/>
                <w:u w:val="none" w:color="000000"/>
                <w:vertAlign w:val="baseline"/>
                <w:rtl w:val="0"/>
                <w:lang w:val="it-IT"/>
              </w:rPr>
              <w:t>LATINA</w:t>
            </w:r>
          </w:p>
        </w:tc>
        <w:tc>
          <w:tcPr>
            <w:tcW w:type="dxa" w:w="135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rFonts w:ascii="Calibri" w:cs="Calibri" w:hAnsi="Calibri" w:eastAsia="Calibri"/>
                <w:caps w:val="0"/>
                <w:smallCaps w:val="0"/>
                <w:strike w:val="0"/>
                <w:dstrike w:val="0"/>
                <w:outline w:val="0"/>
                <w:color w:val="000000"/>
                <w:spacing w:val="0"/>
                <w:kern w:val="0"/>
                <w:position w:val="0"/>
                <w:sz w:val="22"/>
                <w:szCs w:val="22"/>
                <w:u w:val="none" w:color="000000"/>
                <w:vertAlign w:val="baseline"/>
                <w:rtl w:val="0"/>
                <w:lang w:val="it-IT"/>
              </w:rPr>
              <w:t>RIETI</w:t>
            </w:r>
          </w:p>
        </w:tc>
        <w:tc>
          <w:tcPr>
            <w:tcW w:type="dxa" w:w="177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rFonts w:ascii="Calibri" w:cs="Calibri" w:hAnsi="Calibri" w:eastAsia="Calibri"/>
                <w:caps w:val="0"/>
                <w:smallCaps w:val="0"/>
                <w:strike w:val="0"/>
                <w:dstrike w:val="0"/>
                <w:outline w:val="0"/>
                <w:color w:val="000000"/>
                <w:spacing w:val="0"/>
                <w:kern w:val="0"/>
                <w:position w:val="0"/>
                <w:sz w:val="22"/>
                <w:szCs w:val="22"/>
                <w:u w:val="none" w:color="000000"/>
                <w:vertAlign w:val="baseline"/>
                <w:rtl w:val="0"/>
                <w:lang w:val="it-IT"/>
              </w:rPr>
              <w:t>VITERBO</w:t>
            </w:r>
          </w:p>
        </w:tc>
        <w:tc>
          <w:tcPr>
            <w:tcW w:type="dxa" w:w="170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
              <w:jc w:val="center"/>
            </w:pPr>
            <w:r>
              <w:rPr>
                <w:rFonts w:ascii="Calibri" w:cs="Calibri" w:hAnsi="Calibri" w:eastAsia="Calibri"/>
                <w:caps w:val="0"/>
                <w:smallCaps w:val="0"/>
                <w:strike w:val="0"/>
                <w:dstrike w:val="0"/>
                <w:outline w:val="0"/>
                <w:color w:val="000000"/>
                <w:spacing w:val="0"/>
                <w:kern w:val="0"/>
                <w:position w:val="0"/>
                <w:sz w:val="22"/>
                <w:szCs w:val="22"/>
                <w:u w:val="none" w:color="000000"/>
                <w:vertAlign w:val="baseline"/>
                <w:rtl w:val="0"/>
                <w:lang w:val="it-IT"/>
              </w:rPr>
              <w:t>TOTALE</w:t>
            </w:r>
          </w:p>
        </w:tc>
      </w:tr>
      <w:tr>
        <w:tblPrEx>
          <w:shd w:val="clear" w:color="auto" w:fill="auto"/>
        </w:tblPrEx>
        <w:trPr>
          <w:trHeight w:val="250" w:hRule="atLeast"/>
        </w:trPr>
        <w:tc>
          <w:tcPr>
            <w:tcW w:type="dxa" w:w="159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rFonts w:ascii="Calibri" w:cs="Calibri" w:hAnsi="Calibri" w:eastAsia="Calibri"/>
                <w:caps w:val="0"/>
                <w:smallCaps w:val="0"/>
                <w:strike w:val="0"/>
                <w:dstrike w:val="0"/>
                <w:outline w:val="0"/>
                <w:color w:val="000000"/>
                <w:spacing w:val="0"/>
                <w:kern w:val="0"/>
                <w:position w:val="0"/>
                <w:sz w:val="22"/>
                <w:szCs w:val="22"/>
                <w:u w:val="none" w:color="000000"/>
                <w:vertAlign w:val="baseline"/>
                <w:rtl w:val="0"/>
                <w:lang w:val="it-IT"/>
              </w:rPr>
              <w:t>78</w:t>
            </w:r>
          </w:p>
        </w:tc>
        <w:tc>
          <w:tcPr>
            <w:tcW w:type="dxa" w:w="153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rFonts w:ascii="Calibri" w:cs="Calibri" w:hAnsi="Calibri" w:eastAsia="Calibri"/>
                <w:caps w:val="0"/>
                <w:smallCaps w:val="0"/>
                <w:strike w:val="0"/>
                <w:dstrike w:val="0"/>
                <w:outline w:val="0"/>
                <w:color w:val="000000"/>
                <w:spacing w:val="0"/>
                <w:kern w:val="0"/>
                <w:position w:val="0"/>
                <w:sz w:val="22"/>
                <w:szCs w:val="22"/>
                <w:u w:val="none" w:color="000000"/>
                <w:vertAlign w:val="baseline"/>
                <w:rtl w:val="0"/>
                <w:lang w:val="it-IT"/>
              </w:rPr>
              <w:t>2</w:t>
            </w:r>
          </w:p>
        </w:tc>
        <w:tc>
          <w:tcPr>
            <w:tcW w:type="dxa" w:w="189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rFonts w:ascii="Calibri" w:cs="Calibri" w:hAnsi="Calibri" w:eastAsia="Calibri"/>
                <w:caps w:val="0"/>
                <w:smallCaps w:val="0"/>
                <w:strike w:val="0"/>
                <w:dstrike w:val="0"/>
                <w:outline w:val="0"/>
                <w:color w:val="000000"/>
                <w:spacing w:val="0"/>
                <w:kern w:val="0"/>
                <w:position w:val="0"/>
                <w:sz w:val="22"/>
                <w:szCs w:val="22"/>
                <w:u w:val="none" w:color="000000"/>
                <w:vertAlign w:val="baseline"/>
                <w:rtl w:val="0"/>
                <w:lang w:val="it-IT"/>
              </w:rPr>
              <w:t>14</w:t>
            </w:r>
          </w:p>
        </w:tc>
        <w:tc>
          <w:tcPr>
            <w:tcW w:type="dxa" w:w="135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rFonts w:ascii="Calibri" w:cs="Calibri" w:hAnsi="Calibri" w:eastAsia="Calibri"/>
                <w:caps w:val="0"/>
                <w:smallCaps w:val="0"/>
                <w:strike w:val="0"/>
                <w:dstrike w:val="0"/>
                <w:outline w:val="0"/>
                <w:color w:val="000000"/>
                <w:spacing w:val="0"/>
                <w:kern w:val="0"/>
                <w:position w:val="0"/>
                <w:sz w:val="22"/>
                <w:szCs w:val="22"/>
                <w:u w:val="none" w:color="000000"/>
                <w:vertAlign w:val="baseline"/>
                <w:rtl w:val="0"/>
                <w:lang w:val="it-IT"/>
              </w:rPr>
              <w:t>2</w:t>
            </w:r>
          </w:p>
        </w:tc>
        <w:tc>
          <w:tcPr>
            <w:tcW w:type="dxa" w:w="177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rFonts w:ascii="Calibri" w:cs="Calibri" w:hAnsi="Calibri" w:eastAsia="Calibri"/>
                <w:caps w:val="0"/>
                <w:smallCaps w:val="0"/>
                <w:strike w:val="0"/>
                <w:dstrike w:val="0"/>
                <w:outline w:val="0"/>
                <w:color w:val="000000"/>
                <w:spacing w:val="0"/>
                <w:kern w:val="0"/>
                <w:position w:val="0"/>
                <w:sz w:val="22"/>
                <w:szCs w:val="22"/>
                <w:u w:val="none" w:color="000000"/>
                <w:vertAlign w:val="baseline"/>
                <w:rtl w:val="0"/>
                <w:lang w:val="it-IT"/>
              </w:rPr>
              <w:t>6</w:t>
            </w:r>
          </w:p>
        </w:tc>
        <w:tc>
          <w:tcPr>
            <w:tcW w:type="dxa" w:w="170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Normal"/>
              <w:jc w:val="center"/>
            </w:pPr>
            <w:r>
              <w:rPr>
                <w:rFonts w:ascii="Calibri" w:cs="Calibri" w:hAnsi="Calibri" w:eastAsia="Calibri"/>
                <w:caps w:val="0"/>
                <w:smallCaps w:val="0"/>
                <w:strike w:val="0"/>
                <w:dstrike w:val="0"/>
                <w:outline w:val="0"/>
                <w:color w:val="000000"/>
                <w:spacing w:val="0"/>
                <w:kern w:val="0"/>
                <w:position w:val="0"/>
                <w:sz w:val="22"/>
                <w:szCs w:val="22"/>
                <w:u w:val="none" w:color="000000"/>
                <w:vertAlign w:val="baseline"/>
                <w:rtl w:val="0"/>
                <w:lang w:val="it-IT"/>
              </w:rPr>
              <w:t>102</w:t>
            </w:r>
          </w:p>
        </w:tc>
      </w:tr>
    </w:tbl>
    <w:p>
      <w:pPr>
        <w:pStyle w:val="Normal"/>
        <w:rPr>
          <w:rFonts w:ascii="Calibri" w:cs="Calibri" w:hAnsi="Calibri" w:eastAsia="Calibri"/>
          <w:sz w:val="22"/>
          <w:szCs w:val="22"/>
        </w:rPr>
      </w:pPr>
    </w:p>
    <w:p>
      <w:pPr>
        <w:pStyle w:val="Normal"/>
        <w:ind w:right="567"/>
        <w:jc w:val="both"/>
        <w:rPr>
          <w:rFonts w:ascii="Book Antiqua" w:cs="Book Antiqua" w:hAnsi="Book Antiqua" w:eastAsia="Book Antiqua"/>
        </w:rPr>
      </w:pPr>
    </w:p>
    <w:p>
      <w:pPr>
        <w:pStyle w:val="Normal"/>
        <w:ind w:right="567"/>
        <w:jc w:val="both"/>
        <w:rPr>
          <w:rFonts w:ascii="Book Antiqua" w:cs="Book Antiqua" w:hAnsi="Book Antiqua" w:eastAsia="Book Antiqua"/>
          <w:sz w:val="22"/>
          <w:szCs w:val="22"/>
        </w:rPr>
      </w:pPr>
    </w:p>
    <w:p>
      <w:pPr>
        <w:pStyle w:val="Normal"/>
        <w:ind w:right="567"/>
        <w:jc w:val="both"/>
        <w:rPr>
          <w:rFonts w:ascii="Book Antiqua" w:cs="Book Antiqua" w:hAnsi="Book Antiqua" w:eastAsia="Book Antiqua"/>
          <w:sz w:val="22"/>
          <w:szCs w:val="22"/>
        </w:rPr>
      </w:pPr>
    </w:p>
    <w:p>
      <w:pPr>
        <w:pStyle w:val="Normal"/>
        <w:ind w:right="567"/>
        <w:jc w:val="both"/>
        <w:rPr>
          <w:rFonts w:ascii="Book Antiqua" w:cs="Book Antiqua" w:hAnsi="Book Antiqua" w:eastAsia="Book Antiqua"/>
          <w:sz w:val="22"/>
          <w:szCs w:val="22"/>
        </w:rPr>
      </w:pPr>
    </w:p>
    <w:p>
      <w:pPr>
        <w:pStyle w:val="Normal"/>
        <w:ind w:right="567"/>
        <w:jc w:val="both"/>
        <w:rPr>
          <w:rFonts w:ascii="Book Antiqua" w:cs="Book Antiqua" w:hAnsi="Book Antiqua" w:eastAsia="Book Antiqua"/>
          <w:sz w:val="22"/>
          <w:szCs w:val="22"/>
        </w:rPr>
      </w:pPr>
    </w:p>
    <w:p>
      <w:pPr>
        <w:pStyle w:val="Normal"/>
        <w:ind w:right="567"/>
        <w:jc w:val="both"/>
        <w:rPr>
          <w:rFonts w:ascii="Book Antiqua" w:cs="Book Antiqua" w:hAnsi="Book Antiqua" w:eastAsia="Book Antiqua"/>
          <w:sz w:val="22"/>
          <w:szCs w:val="22"/>
        </w:rPr>
      </w:pPr>
      <w:r>
        <w:rPr>
          <w:rFonts w:ascii="Book Antiqua"/>
          <w:sz w:val="22"/>
          <w:szCs w:val="22"/>
          <w:rtl w:val="0"/>
          <w:lang w:val="it-IT"/>
        </w:rPr>
        <w:t>Attivit</w:t>
      </w:r>
      <w:r>
        <w:rPr>
          <w:rFonts w:hAnsi="Book Antiqua" w:hint="default"/>
          <w:sz w:val="22"/>
          <w:szCs w:val="22"/>
          <w:rtl w:val="0"/>
          <w:lang w:val="it-IT"/>
        </w:rPr>
        <w:t xml:space="preserve">à </w:t>
      </w:r>
      <w:r>
        <w:rPr>
          <w:rFonts w:ascii="Book Antiqua"/>
          <w:sz w:val="22"/>
          <w:szCs w:val="22"/>
          <w:rtl w:val="0"/>
          <w:lang w:val="it-IT"/>
        </w:rPr>
        <w:t>Guardia di finanza</w:t>
      </w:r>
    </w:p>
    <w:p>
      <w:pPr>
        <w:pStyle w:val="Normal"/>
        <w:rPr>
          <w:rFonts w:ascii="Book Antiqua" w:cs="Book Antiqua" w:hAnsi="Book Antiqua" w:eastAsia="Book Antiqua"/>
          <w:sz w:val="22"/>
          <w:szCs w:val="22"/>
        </w:rPr>
      </w:pPr>
    </w:p>
    <w:tbl>
      <w:tblPr>
        <w:tblW w:w="9142" w:type="dxa"/>
        <w:jc w:val="left"/>
        <w:tblInd w:w="108" w:type="dxa"/>
        <w:tblBorders>
          <w:top w:val="single" w:color="000000" w:sz="2" w:space="0" w:shadow="0" w:frame="0"/>
          <w:left w:val="single" w:color="000000" w:sz="2" w:space="0" w:shadow="0" w:frame="0"/>
          <w:bottom w:val="single" w:color="000000" w:sz="2" w:space="0" w:shadow="0" w:frame="0"/>
          <w:right w:val="single" w:color="000000" w:sz="2" w:space="0" w:shadow="0" w:frame="0"/>
          <w:insideH w:val="single" w:color="000000" w:sz="2" w:space="0" w:shadow="0" w:frame="0"/>
          <w:insideV w:val="single" w:color="000000" w:sz="2" w:space="0" w:shadow="0" w:frame="0"/>
        </w:tblBorders>
        <w:shd w:val="clear" w:color="auto" w:fill="auto"/>
        <w:tblLayout w:type="fixed"/>
      </w:tblPr>
      <w:tblGrid>
        <w:gridCol w:w="3306"/>
        <w:gridCol w:w="1252"/>
        <w:gridCol w:w="1313"/>
        <w:gridCol w:w="238"/>
        <w:gridCol w:w="1425"/>
        <w:gridCol w:w="236"/>
        <w:gridCol w:w="1372"/>
      </w:tblGrid>
      <w:tr>
        <w:tblPrEx>
          <w:shd w:val="clear" w:color="auto" w:fill="auto"/>
        </w:tblPrEx>
        <w:trPr>
          <w:trHeight w:val="250" w:hRule="atLeast"/>
        </w:trPr>
        <w:tc>
          <w:tcPr>
            <w:tcW w:type="dxa" w:w="330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tc>
        <w:tc>
          <w:tcPr>
            <w:tcW w:type="dxa" w:w="1252"/>
            <w:tcBorders>
              <w:top w:val="single" w:color="000000" w:sz="4" w:space="0" w:shadow="0" w:frame="0"/>
              <w:left w:val="single" w:color="000000" w:sz="4" w:space="0" w:shadow="0" w:frame="0"/>
              <w:bottom w:val="single" w:color="000000" w:sz="4" w:space="0" w:shadow="0" w:frame="0"/>
              <w:right w:val="nil"/>
            </w:tcBorders>
            <w:shd w:val="clear" w:color="auto" w:fill="auto"/>
            <w:tcMar>
              <w:top w:type="dxa" w:w="80"/>
              <w:left w:type="dxa" w:w="80"/>
              <w:bottom w:type="dxa" w:w="80"/>
              <w:right w:type="dxa" w:w="80"/>
            </w:tcMar>
            <w:vAlign w:val="center"/>
          </w:tcPr>
          <w:p/>
        </w:tc>
        <w:tc>
          <w:tcPr>
            <w:tcW w:type="dxa" w:w="1313"/>
            <w:tcBorders>
              <w:top w:val="single" w:color="000000" w:sz="4" w:space="0" w:shadow="0" w:frame="0"/>
              <w:left w:val="nil"/>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rFonts w:ascii="Book Antiqua Bold"/>
                <w:b w:val="1"/>
                <w:bCs w:val="1"/>
                <w:caps w:val="0"/>
                <w:smallCaps w:val="0"/>
                <w:strike w:val="0"/>
                <w:dstrike w:val="0"/>
                <w:outline w:val="0"/>
                <w:color w:val="000000"/>
                <w:spacing w:val="0"/>
                <w:kern w:val="0"/>
                <w:position w:val="0"/>
                <w:sz w:val="20"/>
                <w:szCs w:val="20"/>
                <w:u w:val="none" w:color="000000"/>
                <w:vertAlign w:val="baseline"/>
                <w:rtl w:val="0"/>
                <w:lang w:val="it-IT"/>
              </w:rPr>
              <w:t>Anno 2014</w:t>
            </w:r>
          </w:p>
        </w:tc>
        <w:tc>
          <w:tcPr>
            <w:tcW w:type="dxa" w:w="238"/>
            <w:tcBorders>
              <w:top w:val="single" w:color="000000" w:sz="4" w:space="0" w:shadow="0" w:frame="0"/>
              <w:left w:val="single" w:color="000000" w:sz="4" w:space="0" w:shadow="0" w:frame="0"/>
              <w:bottom w:val="single" w:color="000000" w:sz="4" w:space="0" w:shadow="0" w:frame="0"/>
              <w:right w:val="nil"/>
            </w:tcBorders>
            <w:shd w:val="clear" w:color="auto" w:fill="auto"/>
            <w:tcMar>
              <w:top w:type="dxa" w:w="80"/>
              <w:left w:type="dxa" w:w="80"/>
              <w:bottom w:type="dxa" w:w="80"/>
              <w:right w:type="dxa" w:w="80"/>
            </w:tcMar>
            <w:vAlign w:val="center"/>
          </w:tcPr>
          <w:p/>
        </w:tc>
        <w:tc>
          <w:tcPr>
            <w:tcW w:type="dxa" w:w="1425"/>
            <w:tcBorders>
              <w:top w:val="single" w:color="000000" w:sz="4" w:space="0" w:shadow="0" w:frame="0"/>
              <w:left w:val="nil"/>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rFonts w:ascii="Book Antiqua Bold"/>
                <w:b w:val="1"/>
                <w:bCs w:val="1"/>
                <w:caps w:val="0"/>
                <w:smallCaps w:val="0"/>
                <w:strike w:val="0"/>
                <w:dstrike w:val="0"/>
                <w:outline w:val="0"/>
                <w:color w:val="000000"/>
                <w:spacing w:val="0"/>
                <w:kern w:val="0"/>
                <w:position w:val="0"/>
                <w:sz w:val="20"/>
                <w:szCs w:val="20"/>
                <w:u w:val="none" w:color="000000"/>
                <w:vertAlign w:val="baseline"/>
                <w:rtl w:val="0"/>
                <w:lang w:val="it-IT"/>
              </w:rPr>
              <w:t>Anno 2015</w:t>
            </w:r>
          </w:p>
        </w:tc>
        <w:tc>
          <w:tcPr>
            <w:tcW w:type="dxa" w:w="235"/>
            <w:tcBorders>
              <w:top w:val="single" w:color="000000" w:sz="4" w:space="0" w:shadow="0" w:frame="0"/>
              <w:left w:val="single" w:color="000000" w:sz="4" w:space="0" w:shadow="0" w:frame="0"/>
              <w:bottom w:val="single" w:color="000000" w:sz="4" w:space="0" w:shadow="0" w:frame="0"/>
              <w:right w:val="nil"/>
            </w:tcBorders>
            <w:shd w:val="clear" w:color="auto" w:fill="auto"/>
            <w:tcMar>
              <w:top w:type="dxa" w:w="80"/>
              <w:left w:type="dxa" w:w="80"/>
              <w:bottom w:type="dxa" w:w="80"/>
              <w:right w:type="dxa" w:w="80"/>
            </w:tcMar>
            <w:vAlign w:val="center"/>
          </w:tcPr>
          <w:p/>
        </w:tc>
        <w:tc>
          <w:tcPr>
            <w:tcW w:type="dxa" w:w="1371"/>
            <w:tcBorders>
              <w:top w:val="single" w:color="000000" w:sz="4" w:space="0" w:shadow="0" w:frame="0"/>
              <w:left w:val="nil"/>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rFonts w:ascii="Book Antiqua Bold"/>
                <w:b w:val="1"/>
                <w:bCs w:val="1"/>
                <w:caps w:val="0"/>
                <w:smallCaps w:val="0"/>
                <w:strike w:val="0"/>
                <w:dstrike w:val="0"/>
                <w:outline w:val="0"/>
                <w:color w:val="000000"/>
                <w:spacing w:val="0"/>
                <w:kern w:val="0"/>
                <w:position w:val="0"/>
                <w:sz w:val="20"/>
                <w:szCs w:val="20"/>
                <w:u w:val="none" w:color="000000"/>
                <w:vertAlign w:val="baseline"/>
                <w:rtl w:val="0"/>
                <w:lang w:val="it-IT"/>
              </w:rPr>
              <w:t>Anno 2016</w:t>
            </w:r>
          </w:p>
        </w:tc>
      </w:tr>
      <w:tr>
        <w:tblPrEx>
          <w:shd w:val="clear" w:color="auto" w:fill="auto"/>
        </w:tblPrEx>
        <w:trPr>
          <w:trHeight w:val="250" w:hRule="atLeast"/>
        </w:trPr>
        <w:tc>
          <w:tcPr>
            <w:tcW w:type="dxa" w:w="330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rFonts w:ascii="Book Antiqua"/>
                <w:caps w:val="0"/>
                <w:smallCaps w:val="0"/>
                <w:strike w:val="0"/>
                <w:dstrike w:val="0"/>
                <w:outline w:val="0"/>
                <w:color w:val="000000"/>
                <w:spacing w:val="0"/>
                <w:kern w:val="0"/>
                <w:position w:val="0"/>
                <w:sz w:val="20"/>
                <w:szCs w:val="20"/>
                <w:u w:val="none" w:color="000000"/>
                <w:vertAlign w:val="baseline"/>
                <w:rtl w:val="0"/>
                <w:lang w:val="it-IT"/>
              </w:rPr>
              <w:t>Interventi effettuati</w:t>
            </w:r>
          </w:p>
        </w:tc>
        <w:tc>
          <w:tcPr>
            <w:tcW w:type="dxa" w:w="1252"/>
            <w:tcBorders>
              <w:top w:val="single" w:color="000000" w:sz="4" w:space="0" w:shadow="0" w:frame="0"/>
              <w:left w:val="single" w:color="000000" w:sz="4" w:space="0" w:shadow="0" w:frame="0"/>
              <w:bottom w:val="single" w:color="000000" w:sz="4" w:space="0" w:shadow="0" w:frame="0"/>
              <w:right w:val="nil"/>
            </w:tcBorders>
            <w:shd w:val="clear" w:color="auto" w:fill="auto"/>
            <w:tcMar>
              <w:top w:type="dxa" w:w="80"/>
              <w:left w:type="dxa" w:w="80"/>
              <w:bottom w:type="dxa" w:w="80"/>
              <w:right w:type="dxa" w:w="80"/>
            </w:tcMar>
            <w:vAlign w:val="center"/>
          </w:tcPr>
          <w:p/>
        </w:tc>
        <w:tc>
          <w:tcPr>
            <w:tcW w:type="dxa" w:w="1313"/>
            <w:tcBorders>
              <w:top w:val="single" w:color="000000" w:sz="4" w:space="0" w:shadow="0" w:frame="0"/>
              <w:left w:val="nil"/>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rFonts w:ascii="Book Antiqua"/>
                <w:caps w:val="0"/>
                <w:smallCaps w:val="0"/>
                <w:strike w:val="0"/>
                <w:dstrike w:val="0"/>
                <w:outline w:val="0"/>
                <w:color w:val="000000"/>
                <w:spacing w:val="0"/>
                <w:kern w:val="0"/>
                <w:position w:val="0"/>
                <w:sz w:val="20"/>
                <w:szCs w:val="20"/>
                <w:u w:val="none" w:color="000000"/>
                <w:vertAlign w:val="baseline"/>
                <w:rtl w:val="0"/>
                <w:lang w:val="it-IT"/>
              </w:rPr>
              <w:t>219</w:t>
            </w:r>
          </w:p>
        </w:tc>
        <w:tc>
          <w:tcPr>
            <w:tcW w:type="dxa" w:w="238"/>
            <w:tcBorders>
              <w:top w:val="single" w:color="000000" w:sz="4" w:space="0" w:shadow="0" w:frame="0"/>
              <w:left w:val="single" w:color="000000" w:sz="4" w:space="0" w:shadow="0" w:frame="0"/>
              <w:bottom w:val="single" w:color="000000" w:sz="4" w:space="0" w:shadow="0" w:frame="0"/>
              <w:right w:val="nil"/>
            </w:tcBorders>
            <w:shd w:val="clear" w:color="auto" w:fill="auto"/>
            <w:tcMar>
              <w:top w:type="dxa" w:w="80"/>
              <w:left w:type="dxa" w:w="80"/>
              <w:bottom w:type="dxa" w:w="80"/>
              <w:right w:type="dxa" w:w="80"/>
            </w:tcMar>
            <w:vAlign w:val="center"/>
          </w:tcPr>
          <w:p/>
        </w:tc>
        <w:tc>
          <w:tcPr>
            <w:tcW w:type="dxa" w:w="1425"/>
            <w:tcBorders>
              <w:top w:val="single" w:color="000000" w:sz="4" w:space="0" w:shadow="0" w:frame="0"/>
              <w:left w:val="nil"/>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rFonts w:ascii="Book Antiqua"/>
                <w:caps w:val="0"/>
                <w:smallCaps w:val="0"/>
                <w:strike w:val="0"/>
                <w:dstrike w:val="0"/>
                <w:outline w:val="0"/>
                <w:color w:val="000000"/>
                <w:spacing w:val="0"/>
                <w:kern w:val="0"/>
                <w:position w:val="0"/>
                <w:sz w:val="20"/>
                <w:szCs w:val="20"/>
                <w:u w:val="none" w:color="000000"/>
                <w:vertAlign w:val="baseline"/>
                <w:rtl w:val="0"/>
                <w:lang w:val="it-IT"/>
              </w:rPr>
              <w:t>157</w:t>
            </w:r>
          </w:p>
        </w:tc>
        <w:tc>
          <w:tcPr>
            <w:tcW w:type="dxa" w:w="235"/>
            <w:tcBorders>
              <w:top w:val="single" w:color="000000" w:sz="4" w:space="0" w:shadow="0" w:frame="0"/>
              <w:left w:val="single" w:color="000000" w:sz="4" w:space="0" w:shadow="0" w:frame="0"/>
              <w:bottom w:val="single" w:color="000000" w:sz="4" w:space="0" w:shadow="0" w:frame="0"/>
              <w:right w:val="nil"/>
            </w:tcBorders>
            <w:shd w:val="clear" w:color="auto" w:fill="auto"/>
            <w:tcMar>
              <w:top w:type="dxa" w:w="80"/>
              <w:left w:type="dxa" w:w="80"/>
              <w:bottom w:type="dxa" w:w="80"/>
              <w:right w:type="dxa" w:w="80"/>
            </w:tcMar>
            <w:vAlign w:val="center"/>
          </w:tcPr>
          <w:p/>
        </w:tc>
        <w:tc>
          <w:tcPr>
            <w:tcW w:type="dxa" w:w="1371"/>
            <w:tcBorders>
              <w:top w:val="single" w:color="000000" w:sz="4" w:space="0" w:shadow="0" w:frame="0"/>
              <w:left w:val="nil"/>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rFonts w:ascii="Book Antiqua"/>
                <w:caps w:val="0"/>
                <w:smallCaps w:val="0"/>
                <w:strike w:val="0"/>
                <w:dstrike w:val="0"/>
                <w:outline w:val="0"/>
                <w:color w:val="000000"/>
                <w:spacing w:val="0"/>
                <w:kern w:val="0"/>
                <w:position w:val="0"/>
                <w:sz w:val="20"/>
                <w:szCs w:val="20"/>
                <w:u w:val="none" w:color="000000"/>
                <w:vertAlign w:val="baseline"/>
                <w:rtl w:val="0"/>
                <w:lang w:val="it-IT"/>
              </w:rPr>
              <w:t>148</w:t>
            </w:r>
          </w:p>
        </w:tc>
      </w:tr>
      <w:tr>
        <w:tblPrEx>
          <w:shd w:val="clear" w:color="auto" w:fill="auto"/>
        </w:tblPrEx>
        <w:trPr>
          <w:trHeight w:val="250" w:hRule="atLeast"/>
        </w:trPr>
        <w:tc>
          <w:tcPr>
            <w:tcW w:type="dxa" w:w="330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rFonts w:ascii="Book Antiqua"/>
                <w:caps w:val="0"/>
                <w:smallCaps w:val="0"/>
                <w:strike w:val="0"/>
                <w:dstrike w:val="0"/>
                <w:outline w:val="0"/>
                <w:color w:val="000000"/>
                <w:spacing w:val="0"/>
                <w:kern w:val="0"/>
                <w:position w:val="0"/>
                <w:sz w:val="20"/>
                <w:szCs w:val="20"/>
                <w:u w:val="none" w:color="000000"/>
                <w:vertAlign w:val="baseline"/>
                <w:rtl w:val="0"/>
                <w:lang w:val="it-IT"/>
              </w:rPr>
              <w:t>Violazioni riscontrate</w:t>
            </w:r>
          </w:p>
        </w:tc>
        <w:tc>
          <w:tcPr>
            <w:tcW w:type="dxa" w:w="1252"/>
            <w:tcBorders>
              <w:top w:val="single" w:color="000000" w:sz="4" w:space="0" w:shadow="0" w:frame="0"/>
              <w:left w:val="single" w:color="000000" w:sz="4" w:space="0" w:shadow="0" w:frame="0"/>
              <w:bottom w:val="single" w:color="000000" w:sz="4" w:space="0" w:shadow="0" w:frame="0"/>
              <w:right w:val="nil"/>
            </w:tcBorders>
            <w:shd w:val="clear" w:color="auto" w:fill="auto"/>
            <w:tcMar>
              <w:top w:type="dxa" w:w="80"/>
              <w:left w:type="dxa" w:w="80"/>
              <w:bottom w:type="dxa" w:w="80"/>
              <w:right w:type="dxa" w:w="80"/>
            </w:tcMar>
            <w:vAlign w:val="center"/>
          </w:tcPr>
          <w:p/>
        </w:tc>
        <w:tc>
          <w:tcPr>
            <w:tcW w:type="dxa" w:w="1313"/>
            <w:tcBorders>
              <w:top w:val="single" w:color="000000" w:sz="4" w:space="0" w:shadow="0" w:frame="0"/>
              <w:left w:val="nil"/>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rFonts w:ascii="Book Antiqua"/>
                <w:caps w:val="0"/>
                <w:smallCaps w:val="0"/>
                <w:strike w:val="0"/>
                <w:dstrike w:val="0"/>
                <w:outline w:val="0"/>
                <w:color w:val="000000"/>
                <w:spacing w:val="0"/>
                <w:kern w:val="0"/>
                <w:position w:val="0"/>
                <w:sz w:val="20"/>
                <w:szCs w:val="20"/>
                <w:u w:val="none" w:color="000000"/>
                <w:vertAlign w:val="baseline"/>
                <w:rtl w:val="0"/>
                <w:lang w:val="it-IT"/>
              </w:rPr>
              <w:t>237</w:t>
            </w:r>
          </w:p>
        </w:tc>
        <w:tc>
          <w:tcPr>
            <w:tcW w:type="dxa" w:w="238"/>
            <w:tcBorders>
              <w:top w:val="single" w:color="000000" w:sz="4" w:space="0" w:shadow="0" w:frame="0"/>
              <w:left w:val="single" w:color="000000" w:sz="4" w:space="0" w:shadow="0" w:frame="0"/>
              <w:bottom w:val="single" w:color="000000" w:sz="4" w:space="0" w:shadow="0" w:frame="0"/>
              <w:right w:val="nil"/>
            </w:tcBorders>
            <w:shd w:val="clear" w:color="auto" w:fill="auto"/>
            <w:tcMar>
              <w:top w:type="dxa" w:w="80"/>
              <w:left w:type="dxa" w:w="80"/>
              <w:bottom w:type="dxa" w:w="80"/>
              <w:right w:type="dxa" w:w="80"/>
            </w:tcMar>
            <w:vAlign w:val="center"/>
          </w:tcPr>
          <w:p/>
        </w:tc>
        <w:tc>
          <w:tcPr>
            <w:tcW w:type="dxa" w:w="1425"/>
            <w:tcBorders>
              <w:top w:val="single" w:color="000000" w:sz="4" w:space="0" w:shadow="0" w:frame="0"/>
              <w:left w:val="nil"/>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rFonts w:ascii="Book Antiqua"/>
                <w:caps w:val="0"/>
                <w:smallCaps w:val="0"/>
                <w:strike w:val="0"/>
                <w:dstrike w:val="0"/>
                <w:outline w:val="0"/>
                <w:color w:val="000000"/>
                <w:spacing w:val="0"/>
                <w:kern w:val="0"/>
                <w:position w:val="0"/>
                <w:sz w:val="20"/>
                <w:szCs w:val="20"/>
                <w:u w:val="none" w:color="000000"/>
                <w:vertAlign w:val="baseline"/>
                <w:rtl w:val="0"/>
                <w:lang w:val="it-IT"/>
              </w:rPr>
              <w:t>159</w:t>
            </w:r>
          </w:p>
        </w:tc>
        <w:tc>
          <w:tcPr>
            <w:tcW w:type="dxa" w:w="235"/>
            <w:tcBorders>
              <w:top w:val="single" w:color="000000" w:sz="4" w:space="0" w:shadow="0" w:frame="0"/>
              <w:left w:val="single" w:color="000000" w:sz="4" w:space="0" w:shadow="0" w:frame="0"/>
              <w:bottom w:val="single" w:color="000000" w:sz="4" w:space="0" w:shadow="0" w:frame="0"/>
              <w:right w:val="nil"/>
            </w:tcBorders>
            <w:shd w:val="clear" w:color="auto" w:fill="auto"/>
            <w:tcMar>
              <w:top w:type="dxa" w:w="80"/>
              <w:left w:type="dxa" w:w="80"/>
              <w:bottom w:type="dxa" w:w="80"/>
              <w:right w:type="dxa" w:w="80"/>
            </w:tcMar>
            <w:vAlign w:val="center"/>
          </w:tcPr>
          <w:p/>
        </w:tc>
        <w:tc>
          <w:tcPr>
            <w:tcW w:type="dxa" w:w="1371"/>
            <w:tcBorders>
              <w:top w:val="single" w:color="000000" w:sz="4" w:space="0" w:shadow="0" w:frame="0"/>
              <w:left w:val="nil"/>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rFonts w:ascii="Book Antiqua"/>
                <w:caps w:val="0"/>
                <w:smallCaps w:val="0"/>
                <w:strike w:val="0"/>
                <w:dstrike w:val="0"/>
                <w:outline w:val="0"/>
                <w:color w:val="000000"/>
                <w:spacing w:val="0"/>
                <w:kern w:val="0"/>
                <w:position w:val="0"/>
                <w:sz w:val="20"/>
                <w:szCs w:val="20"/>
                <w:u w:val="none" w:color="000000"/>
                <w:vertAlign w:val="baseline"/>
                <w:rtl w:val="0"/>
                <w:lang w:val="it-IT"/>
              </w:rPr>
              <w:t>152</w:t>
            </w:r>
          </w:p>
        </w:tc>
      </w:tr>
      <w:tr>
        <w:tblPrEx>
          <w:shd w:val="clear" w:color="auto" w:fill="auto"/>
        </w:tblPrEx>
        <w:trPr>
          <w:trHeight w:val="250" w:hRule="atLeast"/>
        </w:trPr>
        <w:tc>
          <w:tcPr>
            <w:tcW w:type="dxa" w:w="330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rFonts w:ascii="Book Antiqua"/>
                <w:caps w:val="0"/>
                <w:smallCaps w:val="0"/>
                <w:strike w:val="0"/>
                <w:dstrike w:val="0"/>
                <w:outline w:val="0"/>
                <w:color w:val="000000"/>
                <w:spacing w:val="0"/>
                <w:kern w:val="0"/>
                <w:position w:val="0"/>
                <w:sz w:val="20"/>
                <w:szCs w:val="20"/>
                <w:u w:val="none" w:color="000000"/>
                <w:vertAlign w:val="baseline"/>
                <w:rtl w:val="0"/>
                <w:lang w:val="it-IT"/>
              </w:rPr>
              <w:t>Soggetti verbalizzati</w:t>
            </w:r>
          </w:p>
        </w:tc>
        <w:tc>
          <w:tcPr>
            <w:tcW w:type="dxa" w:w="1252"/>
            <w:tcBorders>
              <w:top w:val="single" w:color="000000" w:sz="4" w:space="0" w:shadow="0" w:frame="0"/>
              <w:left w:val="single" w:color="000000" w:sz="4" w:space="0" w:shadow="0" w:frame="0"/>
              <w:bottom w:val="single" w:color="000000" w:sz="4" w:space="0" w:shadow="0" w:frame="0"/>
              <w:right w:val="nil"/>
            </w:tcBorders>
            <w:shd w:val="clear" w:color="auto" w:fill="auto"/>
            <w:tcMar>
              <w:top w:type="dxa" w:w="80"/>
              <w:left w:type="dxa" w:w="80"/>
              <w:bottom w:type="dxa" w:w="80"/>
              <w:right w:type="dxa" w:w="80"/>
            </w:tcMar>
            <w:vAlign w:val="center"/>
          </w:tcPr>
          <w:p/>
        </w:tc>
        <w:tc>
          <w:tcPr>
            <w:tcW w:type="dxa" w:w="1313"/>
            <w:tcBorders>
              <w:top w:val="single" w:color="000000" w:sz="4" w:space="0" w:shadow="0" w:frame="0"/>
              <w:left w:val="nil"/>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rFonts w:ascii="Book Antiqua"/>
                <w:caps w:val="0"/>
                <w:smallCaps w:val="0"/>
                <w:strike w:val="0"/>
                <w:dstrike w:val="0"/>
                <w:outline w:val="0"/>
                <w:color w:val="000000"/>
                <w:spacing w:val="0"/>
                <w:kern w:val="0"/>
                <w:position w:val="0"/>
                <w:sz w:val="20"/>
                <w:szCs w:val="20"/>
                <w:u w:val="none" w:color="000000"/>
                <w:vertAlign w:val="baseline"/>
                <w:rtl w:val="0"/>
                <w:lang w:val="it-IT"/>
              </w:rPr>
              <w:t>261</w:t>
            </w:r>
          </w:p>
        </w:tc>
        <w:tc>
          <w:tcPr>
            <w:tcW w:type="dxa" w:w="238"/>
            <w:tcBorders>
              <w:top w:val="single" w:color="000000" w:sz="4" w:space="0" w:shadow="0" w:frame="0"/>
              <w:left w:val="single" w:color="000000" w:sz="4" w:space="0" w:shadow="0" w:frame="0"/>
              <w:bottom w:val="single" w:color="000000" w:sz="4" w:space="0" w:shadow="0" w:frame="0"/>
              <w:right w:val="nil"/>
            </w:tcBorders>
            <w:shd w:val="clear" w:color="auto" w:fill="auto"/>
            <w:tcMar>
              <w:top w:type="dxa" w:w="80"/>
              <w:left w:type="dxa" w:w="80"/>
              <w:bottom w:type="dxa" w:w="80"/>
              <w:right w:type="dxa" w:w="80"/>
            </w:tcMar>
            <w:vAlign w:val="center"/>
          </w:tcPr>
          <w:p/>
        </w:tc>
        <w:tc>
          <w:tcPr>
            <w:tcW w:type="dxa" w:w="1425"/>
            <w:tcBorders>
              <w:top w:val="single" w:color="000000" w:sz="4" w:space="0" w:shadow="0" w:frame="0"/>
              <w:left w:val="nil"/>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rFonts w:ascii="Book Antiqua"/>
                <w:caps w:val="0"/>
                <w:smallCaps w:val="0"/>
                <w:strike w:val="0"/>
                <w:dstrike w:val="0"/>
                <w:outline w:val="0"/>
                <w:color w:val="000000"/>
                <w:spacing w:val="0"/>
                <w:kern w:val="0"/>
                <w:position w:val="0"/>
                <w:sz w:val="20"/>
                <w:szCs w:val="20"/>
                <w:u w:val="none" w:color="000000"/>
                <w:vertAlign w:val="baseline"/>
                <w:rtl w:val="0"/>
                <w:lang w:val="it-IT"/>
              </w:rPr>
              <w:t>175</w:t>
            </w:r>
          </w:p>
        </w:tc>
        <w:tc>
          <w:tcPr>
            <w:tcW w:type="dxa" w:w="235"/>
            <w:tcBorders>
              <w:top w:val="single" w:color="000000" w:sz="4" w:space="0" w:shadow="0" w:frame="0"/>
              <w:left w:val="single" w:color="000000" w:sz="4" w:space="0" w:shadow="0" w:frame="0"/>
              <w:bottom w:val="single" w:color="000000" w:sz="4" w:space="0" w:shadow="0" w:frame="0"/>
              <w:right w:val="nil"/>
            </w:tcBorders>
            <w:shd w:val="clear" w:color="auto" w:fill="auto"/>
            <w:tcMar>
              <w:top w:type="dxa" w:w="80"/>
              <w:left w:type="dxa" w:w="80"/>
              <w:bottom w:type="dxa" w:w="80"/>
              <w:right w:type="dxa" w:w="80"/>
            </w:tcMar>
            <w:vAlign w:val="center"/>
          </w:tcPr>
          <w:p/>
        </w:tc>
        <w:tc>
          <w:tcPr>
            <w:tcW w:type="dxa" w:w="1371"/>
            <w:tcBorders>
              <w:top w:val="single" w:color="000000" w:sz="4" w:space="0" w:shadow="0" w:frame="0"/>
              <w:left w:val="nil"/>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rFonts w:ascii="Book Antiqua"/>
                <w:caps w:val="0"/>
                <w:smallCaps w:val="0"/>
                <w:strike w:val="0"/>
                <w:dstrike w:val="0"/>
                <w:outline w:val="0"/>
                <w:color w:val="000000"/>
                <w:spacing w:val="0"/>
                <w:kern w:val="0"/>
                <w:position w:val="0"/>
                <w:sz w:val="20"/>
                <w:szCs w:val="20"/>
                <w:u w:val="none" w:color="000000"/>
                <w:vertAlign w:val="baseline"/>
                <w:rtl w:val="0"/>
                <w:lang w:val="it-IT"/>
              </w:rPr>
              <w:t>155</w:t>
            </w:r>
          </w:p>
        </w:tc>
      </w:tr>
      <w:tr>
        <w:tblPrEx>
          <w:shd w:val="clear" w:color="auto" w:fill="auto"/>
        </w:tblPrEx>
        <w:trPr>
          <w:trHeight w:val="250" w:hRule="atLeast"/>
        </w:trPr>
        <w:tc>
          <w:tcPr>
            <w:tcW w:type="dxa" w:w="330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rFonts w:ascii="Book Antiqua"/>
                <w:caps w:val="0"/>
                <w:smallCaps w:val="0"/>
                <w:strike w:val="0"/>
                <w:dstrike w:val="0"/>
                <w:outline w:val="0"/>
                <w:color w:val="000000"/>
                <w:spacing w:val="0"/>
                <w:kern w:val="0"/>
                <w:position w:val="0"/>
                <w:sz w:val="20"/>
                <w:szCs w:val="20"/>
                <w:u w:val="none" w:color="000000"/>
                <w:vertAlign w:val="baseline"/>
                <w:rtl w:val="0"/>
                <w:lang w:val="it-IT"/>
              </w:rPr>
              <w:t>di cui: - denunciati a piede libero</w:t>
            </w:r>
          </w:p>
        </w:tc>
        <w:tc>
          <w:tcPr>
            <w:tcW w:type="dxa" w:w="1252"/>
            <w:tcBorders>
              <w:top w:val="single" w:color="000000" w:sz="4" w:space="0" w:shadow="0" w:frame="0"/>
              <w:left w:val="single" w:color="000000" w:sz="4" w:space="0" w:shadow="0" w:frame="0"/>
              <w:bottom w:val="single" w:color="000000" w:sz="4" w:space="0" w:shadow="0" w:frame="0"/>
              <w:right w:val="nil"/>
            </w:tcBorders>
            <w:shd w:val="clear" w:color="auto" w:fill="auto"/>
            <w:tcMar>
              <w:top w:type="dxa" w:w="80"/>
              <w:left w:type="dxa" w:w="80"/>
              <w:bottom w:type="dxa" w:w="80"/>
              <w:right w:type="dxa" w:w="80"/>
            </w:tcMar>
            <w:vAlign w:val="center"/>
          </w:tcPr>
          <w:p/>
        </w:tc>
        <w:tc>
          <w:tcPr>
            <w:tcW w:type="dxa" w:w="1313"/>
            <w:tcBorders>
              <w:top w:val="single" w:color="000000" w:sz="4" w:space="0" w:shadow="0" w:frame="0"/>
              <w:left w:val="nil"/>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rFonts w:ascii="Book Antiqua"/>
                <w:caps w:val="0"/>
                <w:smallCaps w:val="0"/>
                <w:strike w:val="0"/>
                <w:dstrike w:val="0"/>
                <w:outline w:val="0"/>
                <w:color w:val="000000"/>
                <w:spacing w:val="0"/>
                <w:kern w:val="0"/>
                <w:position w:val="0"/>
                <w:sz w:val="20"/>
                <w:szCs w:val="20"/>
                <w:u w:val="none" w:color="000000"/>
                <w:vertAlign w:val="baseline"/>
                <w:rtl w:val="0"/>
                <w:lang w:val="it-IT"/>
              </w:rPr>
              <w:t>77</w:t>
            </w:r>
          </w:p>
        </w:tc>
        <w:tc>
          <w:tcPr>
            <w:tcW w:type="dxa" w:w="238"/>
            <w:tcBorders>
              <w:top w:val="single" w:color="000000" w:sz="4" w:space="0" w:shadow="0" w:frame="0"/>
              <w:left w:val="single" w:color="000000" w:sz="4" w:space="0" w:shadow="0" w:frame="0"/>
              <w:bottom w:val="single" w:color="000000" w:sz="4" w:space="0" w:shadow="0" w:frame="0"/>
              <w:right w:val="nil"/>
            </w:tcBorders>
            <w:shd w:val="clear" w:color="auto" w:fill="auto"/>
            <w:tcMar>
              <w:top w:type="dxa" w:w="80"/>
              <w:left w:type="dxa" w:w="80"/>
              <w:bottom w:type="dxa" w:w="80"/>
              <w:right w:type="dxa" w:w="80"/>
            </w:tcMar>
            <w:vAlign w:val="center"/>
          </w:tcPr>
          <w:p/>
        </w:tc>
        <w:tc>
          <w:tcPr>
            <w:tcW w:type="dxa" w:w="1425"/>
            <w:tcBorders>
              <w:top w:val="single" w:color="000000" w:sz="4" w:space="0" w:shadow="0" w:frame="0"/>
              <w:left w:val="nil"/>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rFonts w:ascii="Book Antiqua"/>
                <w:caps w:val="0"/>
                <w:smallCaps w:val="0"/>
                <w:strike w:val="0"/>
                <w:dstrike w:val="0"/>
                <w:outline w:val="0"/>
                <w:color w:val="000000"/>
                <w:spacing w:val="0"/>
                <w:kern w:val="0"/>
                <w:position w:val="0"/>
                <w:sz w:val="20"/>
                <w:szCs w:val="20"/>
                <w:u w:val="none" w:color="000000"/>
                <w:vertAlign w:val="baseline"/>
                <w:rtl w:val="0"/>
                <w:lang w:val="it-IT"/>
              </w:rPr>
              <w:t>64</w:t>
            </w:r>
          </w:p>
        </w:tc>
        <w:tc>
          <w:tcPr>
            <w:tcW w:type="dxa" w:w="235"/>
            <w:tcBorders>
              <w:top w:val="single" w:color="000000" w:sz="4" w:space="0" w:shadow="0" w:frame="0"/>
              <w:left w:val="single" w:color="000000" w:sz="4" w:space="0" w:shadow="0" w:frame="0"/>
              <w:bottom w:val="single" w:color="000000" w:sz="4" w:space="0" w:shadow="0" w:frame="0"/>
              <w:right w:val="nil"/>
            </w:tcBorders>
            <w:shd w:val="clear" w:color="auto" w:fill="auto"/>
            <w:tcMar>
              <w:top w:type="dxa" w:w="80"/>
              <w:left w:type="dxa" w:w="80"/>
              <w:bottom w:type="dxa" w:w="80"/>
              <w:right w:type="dxa" w:w="80"/>
            </w:tcMar>
            <w:vAlign w:val="center"/>
          </w:tcPr>
          <w:p/>
        </w:tc>
        <w:tc>
          <w:tcPr>
            <w:tcW w:type="dxa" w:w="1371"/>
            <w:tcBorders>
              <w:top w:val="single" w:color="000000" w:sz="4" w:space="0" w:shadow="0" w:frame="0"/>
              <w:left w:val="nil"/>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rFonts w:ascii="Book Antiqua"/>
                <w:caps w:val="0"/>
                <w:smallCaps w:val="0"/>
                <w:strike w:val="0"/>
                <w:dstrike w:val="0"/>
                <w:outline w:val="0"/>
                <w:color w:val="000000"/>
                <w:spacing w:val="0"/>
                <w:kern w:val="0"/>
                <w:position w:val="0"/>
                <w:sz w:val="20"/>
                <w:szCs w:val="20"/>
                <w:u w:val="none" w:color="000000"/>
                <w:vertAlign w:val="baseline"/>
                <w:rtl w:val="0"/>
                <w:lang w:val="it-IT"/>
              </w:rPr>
              <w:t>45</w:t>
            </w:r>
          </w:p>
        </w:tc>
      </w:tr>
      <w:tr>
        <w:tblPrEx>
          <w:shd w:val="clear" w:color="auto" w:fill="auto"/>
        </w:tblPrEx>
        <w:trPr>
          <w:trHeight w:val="250" w:hRule="atLeast"/>
        </w:trPr>
        <w:tc>
          <w:tcPr>
            <w:tcW w:type="dxa" w:w="330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rFonts w:ascii="Book Antiqua"/>
                <w:caps w:val="0"/>
                <w:smallCaps w:val="0"/>
                <w:strike w:val="0"/>
                <w:dstrike w:val="0"/>
                <w:outline w:val="0"/>
                <w:color w:val="000000"/>
                <w:spacing w:val="0"/>
                <w:kern w:val="0"/>
                <w:position w:val="0"/>
                <w:sz w:val="20"/>
                <w:szCs w:val="20"/>
                <w:u w:val="none" w:color="000000"/>
                <w:vertAlign w:val="baseline"/>
                <w:rtl w:val="0"/>
                <w:lang w:val="it-IT"/>
              </w:rPr>
              <w:t>- denunce contro ignoti</w:t>
            </w:r>
          </w:p>
        </w:tc>
        <w:tc>
          <w:tcPr>
            <w:tcW w:type="dxa" w:w="1252"/>
            <w:tcBorders>
              <w:top w:val="single" w:color="000000" w:sz="4" w:space="0" w:shadow="0" w:frame="0"/>
              <w:left w:val="single" w:color="000000" w:sz="4" w:space="0" w:shadow="0" w:frame="0"/>
              <w:bottom w:val="single" w:color="000000" w:sz="4" w:space="0" w:shadow="0" w:frame="0"/>
              <w:right w:val="nil"/>
            </w:tcBorders>
            <w:shd w:val="clear" w:color="auto" w:fill="auto"/>
            <w:tcMar>
              <w:top w:type="dxa" w:w="80"/>
              <w:left w:type="dxa" w:w="80"/>
              <w:bottom w:type="dxa" w:w="80"/>
              <w:right w:type="dxa" w:w="80"/>
            </w:tcMar>
            <w:vAlign w:val="center"/>
          </w:tcPr>
          <w:p/>
        </w:tc>
        <w:tc>
          <w:tcPr>
            <w:tcW w:type="dxa" w:w="1313"/>
            <w:tcBorders>
              <w:top w:val="single" w:color="000000" w:sz="4" w:space="0" w:shadow="0" w:frame="0"/>
              <w:left w:val="nil"/>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rFonts w:ascii="Book Antiqua"/>
                <w:caps w:val="0"/>
                <w:smallCaps w:val="0"/>
                <w:strike w:val="0"/>
                <w:dstrike w:val="0"/>
                <w:outline w:val="0"/>
                <w:color w:val="000000"/>
                <w:spacing w:val="0"/>
                <w:kern w:val="0"/>
                <w:position w:val="0"/>
                <w:sz w:val="20"/>
                <w:szCs w:val="20"/>
                <w:u w:val="none" w:color="000000"/>
                <w:vertAlign w:val="baseline"/>
                <w:rtl w:val="0"/>
                <w:lang w:val="it-IT"/>
              </w:rPr>
              <w:t>12</w:t>
            </w:r>
          </w:p>
        </w:tc>
        <w:tc>
          <w:tcPr>
            <w:tcW w:type="dxa" w:w="238"/>
            <w:tcBorders>
              <w:top w:val="single" w:color="000000" w:sz="4" w:space="0" w:shadow="0" w:frame="0"/>
              <w:left w:val="single" w:color="000000" w:sz="4" w:space="0" w:shadow="0" w:frame="0"/>
              <w:bottom w:val="single" w:color="000000" w:sz="4" w:space="0" w:shadow="0" w:frame="0"/>
              <w:right w:val="nil"/>
            </w:tcBorders>
            <w:shd w:val="clear" w:color="auto" w:fill="auto"/>
            <w:tcMar>
              <w:top w:type="dxa" w:w="80"/>
              <w:left w:type="dxa" w:w="80"/>
              <w:bottom w:type="dxa" w:w="80"/>
              <w:right w:type="dxa" w:w="80"/>
            </w:tcMar>
            <w:vAlign w:val="center"/>
          </w:tcPr>
          <w:p/>
        </w:tc>
        <w:tc>
          <w:tcPr>
            <w:tcW w:type="dxa" w:w="1425"/>
            <w:tcBorders>
              <w:top w:val="single" w:color="000000" w:sz="4" w:space="0" w:shadow="0" w:frame="0"/>
              <w:left w:val="nil"/>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rFonts w:ascii="Book Antiqua"/>
                <w:caps w:val="0"/>
                <w:smallCaps w:val="0"/>
                <w:strike w:val="0"/>
                <w:dstrike w:val="0"/>
                <w:outline w:val="0"/>
                <w:color w:val="000000"/>
                <w:spacing w:val="0"/>
                <w:kern w:val="0"/>
                <w:position w:val="0"/>
                <w:sz w:val="20"/>
                <w:szCs w:val="20"/>
                <w:u w:val="none" w:color="000000"/>
                <w:vertAlign w:val="baseline"/>
                <w:rtl w:val="0"/>
                <w:lang w:val="it-IT"/>
              </w:rPr>
              <w:t>5</w:t>
            </w:r>
          </w:p>
        </w:tc>
        <w:tc>
          <w:tcPr>
            <w:tcW w:type="dxa" w:w="235"/>
            <w:tcBorders>
              <w:top w:val="single" w:color="000000" w:sz="4" w:space="0" w:shadow="0" w:frame="0"/>
              <w:left w:val="single" w:color="000000" w:sz="4" w:space="0" w:shadow="0" w:frame="0"/>
              <w:bottom w:val="single" w:color="000000" w:sz="4" w:space="0" w:shadow="0" w:frame="0"/>
              <w:right w:val="nil"/>
            </w:tcBorders>
            <w:shd w:val="clear" w:color="auto" w:fill="auto"/>
            <w:tcMar>
              <w:top w:type="dxa" w:w="80"/>
              <w:left w:type="dxa" w:w="80"/>
              <w:bottom w:type="dxa" w:w="80"/>
              <w:right w:type="dxa" w:w="80"/>
            </w:tcMar>
            <w:vAlign w:val="center"/>
          </w:tcPr>
          <w:p/>
        </w:tc>
        <w:tc>
          <w:tcPr>
            <w:tcW w:type="dxa" w:w="1371"/>
            <w:tcBorders>
              <w:top w:val="single" w:color="000000" w:sz="4" w:space="0" w:shadow="0" w:frame="0"/>
              <w:left w:val="nil"/>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rFonts w:ascii="Book Antiqua"/>
                <w:caps w:val="0"/>
                <w:smallCaps w:val="0"/>
                <w:strike w:val="0"/>
                <w:dstrike w:val="0"/>
                <w:outline w:val="0"/>
                <w:color w:val="000000"/>
                <w:spacing w:val="0"/>
                <w:kern w:val="0"/>
                <w:position w:val="0"/>
                <w:sz w:val="20"/>
                <w:szCs w:val="20"/>
                <w:u w:val="none" w:color="000000"/>
                <w:vertAlign w:val="baseline"/>
                <w:rtl w:val="0"/>
                <w:lang w:val="it-IT"/>
              </w:rPr>
              <w:t>3</w:t>
            </w:r>
          </w:p>
        </w:tc>
      </w:tr>
      <w:tr>
        <w:tblPrEx>
          <w:shd w:val="clear" w:color="auto" w:fill="auto"/>
        </w:tblPrEx>
        <w:trPr>
          <w:trHeight w:val="250" w:hRule="atLeast"/>
        </w:trPr>
        <w:tc>
          <w:tcPr>
            <w:tcW w:type="dxa" w:w="330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rFonts w:ascii="Book Antiqua"/>
                <w:caps w:val="0"/>
                <w:smallCaps w:val="0"/>
                <w:strike w:val="0"/>
                <w:dstrike w:val="0"/>
                <w:outline w:val="0"/>
                <w:color w:val="000000"/>
                <w:spacing w:val="0"/>
                <w:kern w:val="0"/>
                <w:position w:val="0"/>
                <w:sz w:val="20"/>
                <w:szCs w:val="20"/>
                <w:u w:val="none" w:color="000000"/>
                <w:vertAlign w:val="baseline"/>
                <w:rtl w:val="0"/>
                <w:lang w:val="it-IT"/>
              </w:rPr>
              <w:t>- non denunciati all'A.G.</w:t>
            </w:r>
          </w:p>
        </w:tc>
        <w:tc>
          <w:tcPr>
            <w:tcW w:type="dxa" w:w="1252"/>
            <w:tcBorders>
              <w:top w:val="single" w:color="000000" w:sz="4" w:space="0" w:shadow="0" w:frame="0"/>
              <w:left w:val="single" w:color="000000" w:sz="4" w:space="0" w:shadow="0" w:frame="0"/>
              <w:bottom w:val="single" w:color="000000" w:sz="4" w:space="0" w:shadow="0" w:frame="0"/>
              <w:right w:val="nil"/>
            </w:tcBorders>
            <w:shd w:val="clear" w:color="auto" w:fill="auto"/>
            <w:tcMar>
              <w:top w:type="dxa" w:w="80"/>
              <w:left w:type="dxa" w:w="80"/>
              <w:bottom w:type="dxa" w:w="80"/>
              <w:right w:type="dxa" w:w="80"/>
            </w:tcMar>
            <w:vAlign w:val="center"/>
          </w:tcPr>
          <w:p/>
        </w:tc>
        <w:tc>
          <w:tcPr>
            <w:tcW w:type="dxa" w:w="1313"/>
            <w:tcBorders>
              <w:top w:val="single" w:color="000000" w:sz="4" w:space="0" w:shadow="0" w:frame="0"/>
              <w:left w:val="nil"/>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rFonts w:ascii="Book Antiqua"/>
                <w:caps w:val="0"/>
                <w:smallCaps w:val="0"/>
                <w:strike w:val="0"/>
                <w:dstrike w:val="0"/>
                <w:outline w:val="0"/>
                <w:color w:val="000000"/>
                <w:spacing w:val="0"/>
                <w:kern w:val="0"/>
                <w:position w:val="0"/>
                <w:sz w:val="20"/>
                <w:szCs w:val="20"/>
                <w:u w:val="none" w:color="000000"/>
                <w:vertAlign w:val="baseline"/>
                <w:rtl w:val="0"/>
                <w:lang w:val="it-IT"/>
              </w:rPr>
              <w:t>172</w:t>
            </w:r>
          </w:p>
        </w:tc>
        <w:tc>
          <w:tcPr>
            <w:tcW w:type="dxa" w:w="238"/>
            <w:tcBorders>
              <w:top w:val="single" w:color="000000" w:sz="4" w:space="0" w:shadow="0" w:frame="0"/>
              <w:left w:val="single" w:color="000000" w:sz="4" w:space="0" w:shadow="0" w:frame="0"/>
              <w:bottom w:val="single" w:color="000000" w:sz="4" w:space="0" w:shadow="0" w:frame="0"/>
              <w:right w:val="nil"/>
            </w:tcBorders>
            <w:shd w:val="clear" w:color="auto" w:fill="auto"/>
            <w:tcMar>
              <w:top w:type="dxa" w:w="80"/>
              <w:left w:type="dxa" w:w="80"/>
              <w:bottom w:type="dxa" w:w="80"/>
              <w:right w:type="dxa" w:w="80"/>
            </w:tcMar>
            <w:vAlign w:val="center"/>
          </w:tcPr>
          <w:p/>
        </w:tc>
        <w:tc>
          <w:tcPr>
            <w:tcW w:type="dxa" w:w="1425"/>
            <w:tcBorders>
              <w:top w:val="single" w:color="000000" w:sz="4" w:space="0" w:shadow="0" w:frame="0"/>
              <w:left w:val="nil"/>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rFonts w:ascii="Book Antiqua"/>
                <w:caps w:val="0"/>
                <w:smallCaps w:val="0"/>
                <w:strike w:val="0"/>
                <w:dstrike w:val="0"/>
                <w:outline w:val="0"/>
                <w:color w:val="000000"/>
                <w:spacing w:val="0"/>
                <w:kern w:val="0"/>
                <w:position w:val="0"/>
                <w:sz w:val="20"/>
                <w:szCs w:val="20"/>
                <w:u w:val="none" w:color="000000"/>
                <w:vertAlign w:val="baseline"/>
                <w:rtl w:val="0"/>
                <w:lang w:val="it-IT"/>
              </w:rPr>
              <w:t>106</w:t>
            </w:r>
          </w:p>
        </w:tc>
        <w:tc>
          <w:tcPr>
            <w:tcW w:type="dxa" w:w="235"/>
            <w:tcBorders>
              <w:top w:val="single" w:color="000000" w:sz="4" w:space="0" w:shadow="0" w:frame="0"/>
              <w:left w:val="single" w:color="000000" w:sz="4" w:space="0" w:shadow="0" w:frame="0"/>
              <w:bottom w:val="single" w:color="000000" w:sz="4" w:space="0" w:shadow="0" w:frame="0"/>
              <w:right w:val="nil"/>
            </w:tcBorders>
            <w:shd w:val="clear" w:color="auto" w:fill="auto"/>
            <w:tcMar>
              <w:top w:type="dxa" w:w="80"/>
              <w:left w:type="dxa" w:w="80"/>
              <w:bottom w:type="dxa" w:w="80"/>
              <w:right w:type="dxa" w:w="80"/>
            </w:tcMar>
            <w:vAlign w:val="center"/>
          </w:tcPr>
          <w:p/>
        </w:tc>
        <w:tc>
          <w:tcPr>
            <w:tcW w:type="dxa" w:w="1371"/>
            <w:tcBorders>
              <w:top w:val="single" w:color="000000" w:sz="4" w:space="0" w:shadow="0" w:frame="0"/>
              <w:left w:val="nil"/>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rFonts w:ascii="Book Antiqua"/>
                <w:caps w:val="0"/>
                <w:smallCaps w:val="0"/>
                <w:strike w:val="0"/>
                <w:dstrike w:val="0"/>
                <w:outline w:val="0"/>
                <w:color w:val="000000"/>
                <w:spacing w:val="0"/>
                <w:kern w:val="0"/>
                <w:position w:val="0"/>
                <w:sz w:val="20"/>
                <w:szCs w:val="20"/>
                <w:u w:val="none" w:color="000000"/>
                <w:vertAlign w:val="baseline"/>
                <w:rtl w:val="0"/>
                <w:lang w:val="it-IT"/>
              </w:rPr>
              <w:t>107</w:t>
            </w:r>
          </w:p>
        </w:tc>
      </w:tr>
      <w:tr>
        <w:tblPrEx>
          <w:shd w:val="clear" w:color="auto" w:fill="auto"/>
        </w:tblPrEx>
        <w:trPr>
          <w:trHeight w:val="250" w:hRule="atLeast"/>
        </w:trPr>
        <w:tc>
          <w:tcPr>
            <w:tcW w:type="dxa" w:w="330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rFonts w:ascii="Book Antiqua"/>
                <w:caps w:val="0"/>
                <w:smallCaps w:val="0"/>
                <w:strike w:val="0"/>
                <w:dstrike w:val="0"/>
                <w:outline w:val="0"/>
                <w:color w:val="000000"/>
                <w:spacing w:val="0"/>
                <w:kern w:val="0"/>
                <w:position w:val="0"/>
                <w:sz w:val="20"/>
                <w:szCs w:val="20"/>
                <w:u w:val="none" w:color="000000"/>
                <w:vertAlign w:val="baseline"/>
                <w:rtl w:val="0"/>
                <w:lang w:val="it-IT"/>
              </w:rPr>
              <w:t>Sequestri:</w:t>
            </w:r>
          </w:p>
        </w:tc>
        <w:tc>
          <w:tcPr>
            <w:tcW w:type="dxa" w:w="1252"/>
            <w:tcBorders>
              <w:top w:val="single" w:color="000000" w:sz="4" w:space="0" w:shadow="0" w:frame="0"/>
              <w:left w:val="single" w:color="000000" w:sz="4" w:space="0" w:shadow="0" w:frame="0"/>
              <w:bottom w:val="single" w:color="000000" w:sz="4" w:space="0" w:shadow="0" w:frame="0"/>
              <w:right w:val="nil"/>
            </w:tcBorders>
            <w:shd w:val="clear" w:color="auto" w:fill="auto"/>
            <w:tcMar>
              <w:top w:type="dxa" w:w="80"/>
              <w:left w:type="dxa" w:w="80"/>
              <w:bottom w:type="dxa" w:w="80"/>
              <w:right w:type="dxa" w:w="80"/>
            </w:tcMar>
            <w:vAlign w:val="center"/>
          </w:tcPr>
          <w:p/>
        </w:tc>
        <w:tc>
          <w:tcPr>
            <w:tcW w:type="dxa" w:w="1313"/>
            <w:tcBorders>
              <w:top w:val="single" w:color="000000" w:sz="4" w:space="0" w:shadow="0" w:frame="0"/>
              <w:left w:val="nil"/>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tc>
        <w:tc>
          <w:tcPr>
            <w:tcW w:type="dxa" w:w="238"/>
            <w:tcBorders>
              <w:top w:val="single" w:color="000000" w:sz="4" w:space="0" w:shadow="0" w:frame="0"/>
              <w:left w:val="single" w:color="000000" w:sz="4" w:space="0" w:shadow="0" w:frame="0"/>
              <w:bottom w:val="single" w:color="000000" w:sz="4" w:space="0" w:shadow="0" w:frame="0"/>
              <w:right w:val="nil"/>
            </w:tcBorders>
            <w:shd w:val="clear" w:color="auto" w:fill="auto"/>
            <w:tcMar>
              <w:top w:type="dxa" w:w="80"/>
              <w:left w:type="dxa" w:w="80"/>
              <w:bottom w:type="dxa" w:w="80"/>
              <w:right w:type="dxa" w:w="80"/>
            </w:tcMar>
            <w:vAlign w:val="center"/>
          </w:tcPr>
          <w:p/>
        </w:tc>
        <w:tc>
          <w:tcPr>
            <w:tcW w:type="dxa" w:w="1425"/>
            <w:tcBorders>
              <w:top w:val="single" w:color="000000" w:sz="4" w:space="0" w:shadow="0" w:frame="0"/>
              <w:left w:val="nil"/>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tc>
        <w:tc>
          <w:tcPr>
            <w:tcW w:type="dxa" w:w="235"/>
            <w:tcBorders>
              <w:top w:val="single" w:color="000000" w:sz="4" w:space="0" w:shadow="0" w:frame="0"/>
              <w:left w:val="single" w:color="000000" w:sz="4" w:space="0" w:shadow="0" w:frame="0"/>
              <w:bottom w:val="single" w:color="000000" w:sz="4" w:space="0" w:shadow="0" w:frame="0"/>
              <w:right w:val="nil"/>
            </w:tcBorders>
            <w:shd w:val="clear" w:color="auto" w:fill="auto"/>
            <w:tcMar>
              <w:top w:type="dxa" w:w="80"/>
              <w:left w:type="dxa" w:w="80"/>
              <w:bottom w:type="dxa" w:w="80"/>
              <w:right w:type="dxa" w:w="80"/>
            </w:tcMar>
            <w:vAlign w:val="center"/>
          </w:tcPr>
          <w:p/>
        </w:tc>
        <w:tc>
          <w:tcPr>
            <w:tcW w:type="dxa" w:w="1371"/>
            <w:tcBorders>
              <w:top w:val="single" w:color="000000" w:sz="4" w:space="0" w:shadow="0" w:frame="0"/>
              <w:left w:val="nil"/>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tc>
      </w:tr>
      <w:tr>
        <w:tblPrEx>
          <w:shd w:val="clear" w:color="auto" w:fill="auto"/>
        </w:tblPrEx>
        <w:trPr>
          <w:trHeight w:val="250" w:hRule="atLeast"/>
        </w:trPr>
        <w:tc>
          <w:tcPr>
            <w:tcW w:type="dxa" w:w="330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rFonts w:ascii="Book Antiqua"/>
                <w:caps w:val="0"/>
                <w:smallCaps w:val="0"/>
                <w:strike w:val="0"/>
                <w:dstrike w:val="0"/>
                <w:outline w:val="0"/>
                <w:color w:val="000000"/>
                <w:spacing w:val="0"/>
                <w:kern w:val="0"/>
                <w:position w:val="0"/>
                <w:sz w:val="20"/>
                <w:szCs w:val="20"/>
                <w:u w:val="none" w:color="000000"/>
                <w:vertAlign w:val="baseline"/>
                <w:rtl w:val="0"/>
                <w:lang w:val="it-IT"/>
              </w:rPr>
              <w:t>- rifiuti industriali kg</w:t>
            </w:r>
          </w:p>
        </w:tc>
        <w:tc>
          <w:tcPr>
            <w:tcW w:type="dxa" w:w="1252"/>
            <w:tcBorders>
              <w:top w:val="single" w:color="000000" w:sz="4" w:space="0" w:shadow="0" w:frame="0"/>
              <w:left w:val="single" w:color="000000" w:sz="4" w:space="0" w:shadow="0" w:frame="0"/>
              <w:bottom w:val="single" w:color="000000" w:sz="4" w:space="0" w:shadow="0" w:frame="0"/>
              <w:right w:val="nil"/>
            </w:tcBorders>
            <w:shd w:val="clear" w:color="auto" w:fill="auto"/>
            <w:tcMar>
              <w:top w:type="dxa" w:w="80"/>
              <w:left w:type="dxa" w:w="80"/>
              <w:bottom w:type="dxa" w:w="80"/>
              <w:right w:type="dxa" w:w="80"/>
            </w:tcMar>
            <w:vAlign w:val="center"/>
          </w:tcPr>
          <w:p/>
        </w:tc>
        <w:tc>
          <w:tcPr>
            <w:tcW w:type="dxa" w:w="1313"/>
            <w:tcBorders>
              <w:top w:val="single" w:color="000000" w:sz="4" w:space="0" w:shadow="0" w:frame="0"/>
              <w:left w:val="nil"/>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rFonts w:ascii="Book Antiqua"/>
                <w:caps w:val="0"/>
                <w:smallCaps w:val="0"/>
                <w:strike w:val="0"/>
                <w:dstrike w:val="0"/>
                <w:outline w:val="0"/>
                <w:color w:val="000000"/>
                <w:spacing w:val="0"/>
                <w:kern w:val="0"/>
                <w:position w:val="0"/>
                <w:sz w:val="20"/>
                <w:szCs w:val="20"/>
                <w:u w:val="none" w:color="000000"/>
                <w:vertAlign w:val="baseline"/>
                <w:rtl w:val="0"/>
                <w:lang w:val="it-IT"/>
              </w:rPr>
              <w:t>800.260</w:t>
            </w:r>
          </w:p>
        </w:tc>
        <w:tc>
          <w:tcPr>
            <w:tcW w:type="dxa" w:w="238"/>
            <w:tcBorders>
              <w:top w:val="single" w:color="000000" w:sz="4" w:space="0" w:shadow="0" w:frame="0"/>
              <w:left w:val="single" w:color="000000" w:sz="4" w:space="0" w:shadow="0" w:frame="0"/>
              <w:bottom w:val="single" w:color="000000" w:sz="4" w:space="0" w:shadow="0" w:frame="0"/>
              <w:right w:val="nil"/>
            </w:tcBorders>
            <w:shd w:val="clear" w:color="auto" w:fill="auto"/>
            <w:tcMar>
              <w:top w:type="dxa" w:w="80"/>
              <w:left w:type="dxa" w:w="80"/>
              <w:bottom w:type="dxa" w:w="80"/>
              <w:right w:type="dxa" w:w="80"/>
            </w:tcMar>
            <w:vAlign w:val="center"/>
          </w:tcPr>
          <w:p/>
        </w:tc>
        <w:tc>
          <w:tcPr>
            <w:tcW w:type="dxa" w:w="1425"/>
            <w:tcBorders>
              <w:top w:val="single" w:color="000000" w:sz="4" w:space="0" w:shadow="0" w:frame="0"/>
              <w:left w:val="nil"/>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rFonts w:ascii="Book Antiqua"/>
                <w:caps w:val="0"/>
                <w:smallCaps w:val="0"/>
                <w:strike w:val="0"/>
                <w:dstrike w:val="0"/>
                <w:outline w:val="0"/>
                <w:color w:val="000000"/>
                <w:spacing w:val="0"/>
                <w:kern w:val="0"/>
                <w:position w:val="0"/>
                <w:sz w:val="20"/>
                <w:szCs w:val="20"/>
                <w:u w:val="none" w:color="000000"/>
                <w:vertAlign w:val="baseline"/>
                <w:rtl w:val="0"/>
                <w:lang w:val="it-IT"/>
              </w:rPr>
              <w:t>2.810.107</w:t>
            </w:r>
          </w:p>
        </w:tc>
        <w:tc>
          <w:tcPr>
            <w:tcW w:type="dxa" w:w="235"/>
            <w:tcBorders>
              <w:top w:val="single" w:color="000000" w:sz="4" w:space="0" w:shadow="0" w:frame="0"/>
              <w:left w:val="single" w:color="000000" w:sz="4" w:space="0" w:shadow="0" w:frame="0"/>
              <w:bottom w:val="single" w:color="000000" w:sz="4" w:space="0" w:shadow="0" w:frame="0"/>
              <w:right w:val="nil"/>
            </w:tcBorders>
            <w:shd w:val="clear" w:color="auto" w:fill="auto"/>
            <w:tcMar>
              <w:top w:type="dxa" w:w="80"/>
              <w:left w:type="dxa" w:w="80"/>
              <w:bottom w:type="dxa" w:w="80"/>
              <w:right w:type="dxa" w:w="80"/>
            </w:tcMar>
            <w:vAlign w:val="center"/>
          </w:tcPr>
          <w:p/>
        </w:tc>
        <w:tc>
          <w:tcPr>
            <w:tcW w:type="dxa" w:w="1371"/>
            <w:tcBorders>
              <w:top w:val="single" w:color="000000" w:sz="4" w:space="0" w:shadow="0" w:frame="0"/>
              <w:left w:val="nil"/>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rFonts w:ascii="Book Antiqua"/>
                <w:caps w:val="0"/>
                <w:smallCaps w:val="0"/>
                <w:strike w:val="0"/>
                <w:dstrike w:val="0"/>
                <w:outline w:val="0"/>
                <w:color w:val="000000"/>
                <w:spacing w:val="0"/>
                <w:kern w:val="0"/>
                <w:position w:val="0"/>
                <w:sz w:val="20"/>
                <w:szCs w:val="20"/>
                <w:u w:val="none" w:color="000000"/>
                <w:vertAlign w:val="baseline"/>
                <w:rtl w:val="0"/>
                <w:lang w:val="it-IT"/>
              </w:rPr>
              <w:t>3.966.000</w:t>
            </w:r>
          </w:p>
        </w:tc>
      </w:tr>
      <w:tr>
        <w:tblPrEx>
          <w:shd w:val="clear" w:color="auto" w:fill="auto"/>
        </w:tblPrEx>
        <w:trPr>
          <w:trHeight w:val="250" w:hRule="atLeast"/>
        </w:trPr>
        <w:tc>
          <w:tcPr>
            <w:tcW w:type="dxa" w:w="330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rFonts w:ascii="Book Antiqua"/>
                <w:caps w:val="0"/>
                <w:smallCaps w:val="0"/>
                <w:strike w:val="0"/>
                <w:dstrike w:val="0"/>
                <w:outline w:val="0"/>
                <w:color w:val="000000"/>
                <w:spacing w:val="0"/>
                <w:kern w:val="0"/>
                <w:position w:val="0"/>
                <w:sz w:val="20"/>
                <w:szCs w:val="20"/>
                <w:u w:val="none" w:color="000000"/>
                <w:vertAlign w:val="baseline"/>
                <w:rtl w:val="0"/>
                <w:lang w:val="it-IT"/>
              </w:rPr>
              <w:t>- prodotti plastica e gomma n.</w:t>
            </w:r>
          </w:p>
        </w:tc>
        <w:tc>
          <w:tcPr>
            <w:tcW w:type="dxa" w:w="1252"/>
            <w:tcBorders>
              <w:top w:val="single" w:color="000000" w:sz="4" w:space="0" w:shadow="0" w:frame="0"/>
              <w:left w:val="single" w:color="000000" w:sz="4" w:space="0" w:shadow="0" w:frame="0"/>
              <w:bottom w:val="single" w:color="000000" w:sz="4" w:space="0" w:shadow="0" w:frame="0"/>
              <w:right w:val="nil"/>
            </w:tcBorders>
            <w:shd w:val="clear" w:color="auto" w:fill="auto"/>
            <w:tcMar>
              <w:top w:type="dxa" w:w="80"/>
              <w:left w:type="dxa" w:w="80"/>
              <w:bottom w:type="dxa" w:w="80"/>
              <w:right w:type="dxa" w:w="80"/>
            </w:tcMar>
            <w:vAlign w:val="center"/>
          </w:tcPr>
          <w:p/>
        </w:tc>
        <w:tc>
          <w:tcPr>
            <w:tcW w:type="dxa" w:w="1313"/>
            <w:tcBorders>
              <w:top w:val="single" w:color="000000" w:sz="4" w:space="0" w:shadow="0" w:frame="0"/>
              <w:left w:val="nil"/>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rFonts w:ascii="Book Antiqua"/>
                <w:caps w:val="0"/>
                <w:smallCaps w:val="0"/>
                <w:strike w:val="0"/>
                <w:dstrike w:val="0"/>
                <w:outline w:val="0"/>
                <w:color w:val="000000"/>
                <w:spacing w:val="0"/>
                <w:kern w:val="0"/>
                <w:position w:val="0"/>
                <w:sz w:val="20"/>
                <w:szCs w:val="20"/>
                <w:u w:val="none" w:color="000000"/>
                <w:vertAlign w:val="baseline"/>
                <w:rtl w:val="0"/>
                <w:lang w:val="it-IT"/>
              </w:rPr>
              <w:t>2</w:t>
            </w:r>
          </w:p>
        </w:tc>
        <w:tc>
          <w:tcPr>
            <w:tcW w:type="dxa" w:w="238"/>
            <w:tcBorders>
              <w:top w:val="single" w:color="000000" w:sz="4" w:space="0" w:shadow="0" w:frame="0"/>
              <w:left w:val="single" w:color="000000" w:sz="4" w:space="0" w:shadow="0" w:frame="0"/>
              <w:bottom w:val="single" w:color="000000" w:sz="4" w:space="0" w:shadow="0" w:frame="0"/>
              <w:right w:val="nil"/>
            </w:tcBorders>
            <w:shd w:val="clear" w:color="auto" w:fill="auto"/>
            <w:tcMar>
              <w:top w:type="dxa" w:w="80"/>
              <w:left w:type="dxa" w:w="80"/>
              <w:bottom w:type="dxa" w:w="80"/>
              <w:right w:type="dxa" w:w="80"/>
            </w:tcMar>
            <w:vAlign w:val="center"/>
          </w:tcPr>
          <w:p/>
        </w:tc>
        <w:tc>
          <w:tcPr>
            <w:tcW w:type="dxa" w:w="1425"/>
            <w:tcBorders>
              <w:top w:val="single" w:color="000000" w:sz="4" w:space="0" w:shadow="0" w:frame="0"/>
              <w:left w:val="nil"/>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rFonts w:ascii="Book Antiqua"/>
                <w:caps w:val="0"/>
                <w:smallCaps w:val="0"/>
                <w:strike w:val="0"/>
                <w:dstrike w:val="0"/>
                <w:outline w:val="0"/>
                <w:color w:val="000000"/>
                <w:spacing w:val="0"/>
                <w:kern w:val="0"/>
                <w:position w:val="0"/>
                <w:sz w:val="20"/>
                <w:szCs w:val="20"/>
                <w:u w:val="none" w:color="000000"/>
                <w:vertAlign w:val="baseline"/>
                <w:rtl w:val="0"/>
                <w:lang w:val="it-IT"/>
              </w:rPr>
              <w:t>63.300</w:t>
            </w:r>
          </w:p>
        </w:tc>
        <w:tc>
          <w:tcPr>
            <w:tcW w:type="dxa" w:w="235"/>
            <w:tcBorders>
              <w:top w:val="single" w:color="000000" w:sz="4" w:space="0" w:shadow="0" w:frame="0"/>
              <w:left w:val="single" w:color="000000" w:sz="4" w:space="0" w:shadow="0" w:frame="0"/>
              <w:bottom w:val="single" w:color="000000" w:sz="4" w:space="0" w:shadow="0" w:frame="0"/>
              <w:right w:val="nil"/>
            </w:tcBorders>
            <w:shd w:val="clear" w:color="auto" w:fill="auto"/>
            <w:tcMar>
              <w:top w:type="dxa" w:w="80"/>
              <w:left w:type="dxa" w:w="80"/>
              <w:bottom w:type="dxa" w:w="80"/>
              <w:right w:type="dxa" w:w="80"/>
            </w:tcMar>
            <w:vAlign w:val="center"/>
          </w:tcPr>
          <w:p/>
        </w:tc>
        <w:tc>
          <w:tcPr>
            <w:tcW w:type="dxa" w:w="1371"/>
            <w:tcBorders>
              <w:top w:val="single" w:color="000000" w:sz="4" w:space="0" w:shadow="0" w:frame="0"/>
              <w:left w:val="nil"/>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rFonts w:ascii="Book Antiqua"/>
                <w:caps w:val="0"/>
                <w:smallCaps w:val="0"/>
                <w:strike w:val="0"/>
                <w:dstrike w:val="0"/>
                <w:outline w:val="0"/>
                <w:color w:val="000000"/>
                <w:spacing w:val="0"/>
                <w:kern w:val="0"/>
                <w:position w:val="0"/>
                <w:sz w:val="20"/>
                <w:szCs w:val="20"/>
                <w:u w:val="none" w:color="000000"/>
                <w:vertAlign w:val="baseline"/>
                <w:rtl w:val="0"/>
                <w:lang w:val="it-IT"/>
              </w:rPr>
              <w:t>122</w:t>
            </w:r>
          </w:p>
        </w:tc>
      </w:tr>
      <w:tr>
        <w:tblPrEx>
          <w:shd w:val="clear" w:color="auto" w:fill="auto"/>
        </w:tblPrEx>
        <w:trPr>
          <w:trHeight w:val="250" w:hRule="atLeast"/>
        </w:trPr>
        <w:tc>
          <w:tcPr>
            <w:tcW w:type="dxa" w:w="330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rFonts w:ascii="Book Antiqua"/>
                <w:caps w:val="0"/>
                <w:smallCaps w:val="0"/>
                <w:strike w:val="0"/>
                <w:dstrike w:val="0"/>
                <w:outline w:val="0"/>
                <w:color w:val="000000"/>
                <w:spacing w:val="0"/>
                <w:kern w:val="0"/>
                <w:position w:val="0"/>
                <w:sz w:val="20"/>
                <w:szCs w:val="20"/>
                <w:u w:val="none" w:color="000000"/>
                <w:vertAlign w:val="baseline"/>
                <w:rtl w:val="0"/>
                <w:lang w:val="it-IT"/>
              </w:rPr>
              <w:t>- prodotti minerali derivati kg</w:t>
            </w:r>
          </w:p>
        </w:tc>
        <w:tc>
          <w:tcPr>
            <w:tcW w:type="dxa" w:w="1252"/>
            <w:tcBorders>
              <w:top w:val="single" w:color="000000" w:sz="4" w:space="0" w:shadow="0" w:frame="0"/>
              <w:left w:val="single" w:color="000000" w:sz="4" w:space="0" w:shadow="0" w:frame="0"/>
              <w:bottom w:val="single" w:color="000000" w:sz="4" w:space="0" w:shadow="0" w:frame="0"/>
              <w:right w:val="nil"/>
            </w:tcBorders>
            <w:shd w:val="clear" w:color="auto" w:fill="auto"/>
            <w:tcMar>
              <w:top w:type="dxa" w:w="80"/>
              <w:left w:type="dxa" w:w="80"/>
              <w:bottom w:type="dxa" w:w="80"/>
              <w:right w:type="dxa" w:w="80"/>
            </w:tcMar>
            <w:vAlign w:val="center"/>
          </w:tcPr>
          <w:p/>
        </w:tc>
        <w:tc>
          <w:tcPr>
            <w:tcW w:type="dxa" w:w="1313"/>
            <w:tcBorders>
              <w:top w:val="single" w:color="000000" w:sz="4" w:space="0" w:shadow="0" w:frame="0"/>
              <w:left w:val="nil"/>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rFonts w:ascii="Book Antiqua"/>
                <w:caps w:val="0"/>
                <w:smallCaps w:val="0"/>
                <w:strike w:val="0"/>
                <w:dstrike w:val="0"/>
                <w:outline w:val="0"/>
                <w:color w:val="000000"/>
                <w:spacing w:val="0"/>
                <w:kern w:val="0"/>
                <w:position w:val="0"/>
                <w:sz w:val="20"/>
                <w:szCs w:val="20"/>
                <w:u w:val="none" w:color="000000"/>
                <w:vertAlign w:val="baseline"/>
                <w:rtl w:val="0"/>
                <w:lang w:val="it-IT"/>
              </w:rPr>
              <w:t>0</w:t>
            </w:r>
          </w:p>
        </w:tc>
        <w:tc>
          <w:tcPr>
            <w:tcW w:type="dxa" w:w="238"/>
            <w:tcBorders>
              <w:top w:val="single" w:color="000000" w:sz="4" w:space="0" w:shadow="0" w:frame="0"/>
              <w:left w:val="single" w:color="000000" w:sz="4" w:space="0" w:shadow="0" w:frame="0"/>
              <w:bottom w:val="single" w:color="000000" w:sz="4" w:space="0" w:shadow="0" w:frame="0"/>
              <w:right w:val="nil"/>
            </w:tcBorders>
            <w:shd w:val="clear" w:color="auto" w:fill="auto"/>
            <w:tcMar>
              <w:top w:type="dxa" w:w="80"/>
              <w:left w:type="dxa" w:w="80"/>
              <w:bottom w:type="dxa" w:w="80"/>
              <w:right w:type="dxa" w:w="80"/>
            </w:tcMar>
            <w:vAlign w:val="center"/>
          </w:tcPr>
          <w:p/>
        </w:tc>
        <w:tc>
          <w:tcPr>
            <w:tcW w:type="dxa" w:w="1425"/>
            <w:tcBorders>
              <w:top w:val="single" w:color="000000" w:sz="4" w:space="0" w:shadow="0" w:frame="0"/>
              <w:left w:val="nil"/>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rFonts w:ascii="Book Antiqua"/>
                <w:caps w:val="0"/>
                <w:smallCaps w:val="0"/>
                <w:strike w:val="0"/>
                <w:dstrike w:val="0"/>
                <w:outline w:val="0"/>
                <w:color w:val="000000"/>
                <w:spacing w:val="0"/>
                <w:kern w:val="0"/>
                <w:position w:val="0"/>
                <w:sz w:val="20"/>
                <w:szCs w:val="20"/>
                <w:u w:val="none" w:color="000000"/>
                <w:vertAlign w:val="baseline"/>
                <w:rtl w:val="0"/>
                <w:lang w:val="it-IT"/>
              </w:rPr>
              <w:t>400</w:t>
            </w:r>
          </w:p>
        </w:tc>
        <w:tc>
          <w:tcPr>
            <w:tcW w:type="dxa" w:w="235"/>
            <w:tcBorders>
              <w:top w:val="single" w:color="000000" w:sz="4" w:space="0" w:shadow="0" w:frame="0"/>
              <w:left w:val="single" w:color="000000" w:sz="4" w:space="0" w:shadow="0" w:frame="0"/>
              <w:bottom w:val="single" w:color="000000" w:sz="4" w:space="0" w:shadow="0" w:frame="0"/>
              <w:right w:val="nil"/>
            </w:tcBorders>
            <w:shd w:val="clear" w:color="auto" w:fill="auto"/>
            <w:tcMar>
              <w:top w:type="dxa" w:w="80"/>
              <w:left w:type="dxa" w:w="80"/>
              <w:bottom w:type="dxa" w:w="80"/>
              <w:right w:type="dxa" w:w="80"/>
            </w:tcMar>
            <w:vAlign w:val="center"/>
          </w:tcPr>
          <w:p/>
        </w:tc>
        <w:tc>
          <w:tcPr>
            <w:tcW w:type="dxa" w:w="1371"/>
            <w:tcBorders>
              <w:top w:val="single" w:color="000000" w:sz="4" w:space="0" w:shadow="0" w:frame="0"/>
              <w:left w:val="nil"/>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rFonts w:ascii="Book Antiqua"/>
                <w:caps w:val="0"/>
                <w:smallCaps w:val="0"/>
                <w:strike w:val="0"/>
                <w:dstrike w:val="0"/>
                <w:outline w:val="0"/>
                <w:color w:val="000000"/>
                <w:spacing w:val="0"/>
                <w:kern w:val="0"/>
                <w:position w:val="0"/>
                <w:sz w:val="20"/>
                <w:szCs w:val="20"/>
                <w:u w:val="none" w:color="000000"/>
                <w:vertAlign w:val="baseline"/>
                <w:rtl w:val="0"/>
                <w:lang w:val="it-IT"/>
              </w:rPr>
              <w:t>0</w:t>
            </w:r>
          </w:p>
        </w:tc>
      </w:tr>
      <w:tr>
        <w:tblPrEx>
          <w:shd w:val="clear" w:color="auto" w:fill="auto"/>
        </w:tblPrEx>
        <w:trPr>
          <w:trHeight w:val="250" w:hRule="atLeast"/>
        </w:trPr>
        <w:tc>
          <w:tcPr>
            <w:tcW w:type="dxa" w:w="330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rFonts w:ascii="Book Antiqua"/>
                <w:caps w:val="0"/>
                <w:smallCaps w:val="0"/>
                <w:strike w:val="0"/>
                <w:dstrike w:val="0"/>
                <w:outline w:val="0"/>
                <w:color w:val="000000"/>
                <w:spacing w:val="0"/>
                <w:kern w:val="0"/>
                <w:position w:val="0"/>
                <w:sz w:val="20"/>
                <w:szCs w:val="20"/>
                <w:u w:val="none" w:color="000000"/>
                <w:vertAlign w:val="baseline"/>
                <w:rtl w:val="0"/>
                <w:lang w:val="it-IT"/>
              </w:rPr>
              <w:t>- discariche</w:t>
            </w:r>
          </w:p>
        </w:tc>
        <w:tc>
          <w:tcPr>
            <w:tcW w:type="dxa" w:w="1252"/>
            <w:tcBorders>
              <w:top w:val="single" w:color="000000" w:sz="4" w:space="0" w:shadow="0" w:frame="0"/>
              <w:left w:val="single" w:color="000000" w:sz="4" w:space="0" w:shadow="0" w:frame="0"/>
              <w:bottom w:val="single" w:color="000000" w:sz="4" w:space="0" w:shadow="0" w:frame="0"/>
              <w:right w:val="nil"/>
            </w:tcBorders>
            <w:shd w:val="clear" w:color="auto" w:fill="auto"/>
            <w:tcMar>
              <w:top w:type="dxa" w:w="80"/>
              <w:left w:type="dxa" w:w="80"/>
              <w:bottom w:type="dxa" w:w="80"/>
              <w:right w:type="dxa" w:w="80"/>
            </w:tcMar>
            <w:vAlign w:val="center"/>
          </w:tcPr>
          <w:p/>
        </w:tc>
        <w:tc>
          <w:tcPr>
            <w:tcW w:type="dxa" w:w="1313"/>
            <w:tcBorders>
              <w:top w:val="single" w:color="000000" w:sz="4" w:space="0" w:shadow="0" w:frame="0"/>
              <w:left w:val="nil"/>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rFonts w:ascii="Book Antiqua"/>
                <w:caps w:val="0"/>
                <w:smallCaps w:val="0"/>
                <w:strike w:val="0"/>
                <w:dstrike w:val="0"/>
                <w:outline w:val="0"/>
                <w:color w:val="000000"/>
                <w:spacing w:val="0"/>
                <w:kern w:val="0"/>
                <w:position w:val="0"/>
                <w:sz w:val="20"/>
                <w:szCs w:val="20"/>
                <w:u w:val="none" w:color="000000"/>
                <w:vertAlign w:val="baseline"/>
                <w:rtl w:val="0"/>
                <w:lang w:val="it-IT"/>
              </w:rPr>
              <w:t>1.092</w:t>
            </w:r>
          </w:p>
        </w:tc>
        <w:tc>
          <w:tcPr>
            <w:tcW w:type="dxa" w:w="238"/>
            <w:tcBorders>
              <w:top w:val="single" w:color="000000" w:sz="4" w:space="0" w:shadow="0" w:frame="0"/>
              <w:left w:val="single" w:color="000000" w:sz="4" w:space="0" w:shadow="0" w:frame="0"/>
              <w:bottom w:val="single" w:color="000000" w:sz="4" w:space="0" w:shadow="0" w:frame="0"/>
              <w:right w:val="nil"/>
            </w:tcBorders>
            <w:shd w:val="clear" w:color="auto" w:fill="auto"/>
            <w:tcMar>
              <w:top w:type="dxa" w:w="80"/>
              <w:left w:type="dxa" w:w="80"/>
              <w:bottom w:type="dxa" w:w="80"/>
              <w:right w:type="dxa" w:w="80"/>
            </w:tcMar>
            <w:vAlign w:val="center"/>
          </w:tcPr>
          <w:p/>
        </w:tc>
        <w:tc>
          <w:tcPr>
            <w:tcW w:type="dxa" w:w="1425"/>
            <w:tcBorders>
              <w:top w:val="single" w:color="000000" w:sz="4" w:space="0" w:shadow="0" w:frame="0"/>
              <w:left w:val="nil"/>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rFonts w:ascii="Book Antiqua"/>
                <w:caps w:val="0"/>
                <w:smallCaps w:val="0"/>
                <w:strike w:val="0"/>
                <w:dstrike w:val="0"/>
                <w:outline w:val="0"/>
                <w:color w:val="000000"/>
                <w:spacing w:val="0"/>
                <w:kern w:val="0"/>
                <w:position w:val="0"/>
                <w:sz w:val="20"/>
                <w:szCs w:val="20"/>
                <w:u w:val="none" w:color="000000"/>
                <w:vertAlign w:val="baseline"/>
                <w:rtl w:val="0"/>
                <w:lang w:val="it-IT"/>
              </w:rPr>
              <w:t>11</w:t>
            </w:r>
          </w:p>
        </w:tc>
        <w:tc>
          <w:tcPr>
            <w:tcW w:type="dxa" w:w="235"/>
            <w:tcBorders>
              <w:top w:val="single" w:color="000000" w:sz="4" w:space="0" w:shadow="0" w:frame="0"/>
              <w:left w:val="single" w:color="000000" w:sz="4" w:space="0" w:shadow="0" w:frame="0"/>
              <w:bottom w:val="single" w:color="000000" w:sz="4" w:space="0" w:shadow="0" w:frame="0"/>
              <w:right w:val="nil"/>
            </w:tcBorders>
            <w:shd w:val="clear" w:color="auto" w:fill="auto"/>
            <w:tcMar>
              <w:top w:type="dxa" w:w="80"/>
              <w:left w:type="dxa" w:w="80"/>
              <w:bottom w:type="dxa" w:w="80"/>
              <w:right w:type="dxa" w:w="80"/>
            </w:tcMar>
            <w:vAlign w:val="center"/>
          </w:tcPr>
          <w:p/>
        </w:tc>
        <w:tc>
          <w:tcPr>
            <w:tcW w:type="dxa" w:w="1371"/>
            <w:tcBorders>
              <w:top w:val="single" w:color="000000" w:sz="4" w:space="0" w:shadow="0" w:frame="0"/>
              <w:left w:val="nil"/>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rFonts w:ascii="Book Antiqua"/>
                <w:caps w:val="0"/>
                <w:smallCaps w:val="0"/>
                <w:strike w:val="0"/>
                <w:dstrike w:val="0"/>
                <w:outline w:val="0"/>
                <w:color w:val="000000"/>
                <w:spacing w:val="0"/>
                <w:kern w:val="0"/>
                <w:position w:val="0"/>
                <w:sz w:val="20"/>
                <w:szCs w:val="20"/>
                <w:u w:val="none" w:color="000000"/>
                <w:vertAlign w:val="baseline"/>
                <w:rtl w:val="0"/>
                <w:lang w:val="it-IT"/>
              </w:rPr>
              <w:t>3</w:t>
            </w:r>
          </w:p>
        </w:tc>
      </w:tr>
      <w:tr>
        <w:tblPrEx>
          <w:shd w:val="clear" w:color="auto" w:fill="auto"/>
        </w:tblPrEx>
        <w:trPr>
          <w:trHeight w:val="250" w:hRule="atLeast"/>
        </w:trPr>
        <w:tc>
          <w:tcPr>
            <w:tcW w:type="dxa" w:w="330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rFonts w:ascii="Book Antiqua"/>
                <w:caps w:val="0"/>
                <w:smallCaps w:val="0"/>
                <w:strike w:val="0"/>
                <w:dstrike w:val="0"/>
                <w:outline w:val="0"/>
                <w:color w:val="000000"/>
                <w:spacing w:val="0"/>
                <w:kern w:val="0"/>
                <w:position w:val="0"/>
                <w:sz w:val="20"/>
                <w:szCs w:val="20"/>
                <w:u w:val="none" w:color="000000"/>
                <w:vertAlign w:val="baseline"/>
                <w:rtl w:val="0"/>
                <w:lang w:val="it-IT"/>
              </w:rPr>
              <w:t>- auto-demolizioni</w:t>
            </w:r>
          </w:p>
        </w:tc>
        <w:tc>
          <w:tcPr>
            <w:tcW w:type="dxa" w:w="1252"/>
            <w:tcBorders>
              <w:top w:val="single" w:color="000000" w:sz="4" w:space="0" w:shadow="0" w:frame="0"/>
              <w:left w:val="single" w:color="000000" w:sz="4" w:space="0" w:shadow="0" w:frame="0"/>
              <w:bottom w:val="single" w:color="000000" w:sz="4" w:space="0" w:shadow="0" w:frame="0"/>
              <w:right w:val="nil"/>
            </w:tcBorders>
            <w:shd w:val="clear" w:color="auto" w:fill="auto"/>
            <w:tcMar>
              <w:top w:type="dxa" w:w="80"/>
              <w:left w:type="dxa" w:w="80"/>
              <w:bottom w:type="dxa" w:w="80"/>
              <w:right w:type="dxa" w:w="80"/>
            </w:tcMar>
            <w:vAlign w:val="center"/>
          </w:tcPr>
          <w:p/>
        </w:tc>
        <w:tc>
          <w:tcPr>
            <w:tcW w:type="dxa" w:w="1313"/>
            <w:tcBorders>
              <w:top w:val="single" w:color="000000" w:sz="4" w:space="0" w:shadow="0" w:frame="0"/>
              <w:left w:val="nil"/>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rFonts w:ascii="Book Antiqua"/>
                <w:caps w:val="0"/>
                <w:smallCaps w:val="0"/>
                <w:strike w:val="0"/>
                <w:dstrike w:val="0"/>
                <w:outline w:val="0"/>
                <w:color w:val="000000"/>
                <w:spacing w:val="0"/>
                <w:kern w:val="0"/>
                <w:position w:val="0"/>
                <w:sz w:val="20"/>
                <w:szCs w:val="20"/>
                <w:u w:val="none" w:color="000000"/>
                <w:vertAlign w:val="baseline"/>
                <w:rtl w:val="0"/>
                <w:lang w:val="it-IT"/>
              </w:rPr>
              <w:t>4</w:t>
            </w:r>
          </w:p>
        </w:tc>
        <w:tc>
          <w:tcPr>
            <w:tcW w:type="dxa" w:w="238"/>
            <w:tcBorders>
              <w:top w:val="single" w:color="000000" w:sz="4" w:space="0" w:shadow="0" w:frame="0"/>
              <w:left w:val="single" w:color="000000" w:sz="4" w:space="0" w:shadow="0" w:frame="0"/>
              <w:bottom w:val="single" w:color="000000" w:sz="4" w:space="0" w:shadow="0" w:frame="0"/>
              <w:right w:val="nil"/>
            </w:tcBorders>
            <w:shd w:val="clear" w:color="auto" w:fill="auto"/>
            <w:tcMar>
              <w:top w:type="dxa" w:w="80"/>
              <w:left w:type="dxa" w:w="80"/>
              <w:bottom w:type="dxa" w:w="80"/>
              <w:right w:type="dxa" w:w="80"/>
            </w:tcMar>
            <w:vAlign w:val="center"/>
          </w:tcPr>
          <w:p/>
        </w:tc>
        <w:tc>
          <w:tcPr>
            <w:tcW w:type="dxa" w:w="1425"/>
            <w:tcBorders>
              <w:top w:val="single" w:color="000000" w:sz="4" w:space="0" w:shadow="0" w:frame="0"/>
              <w:left w:val="nil"/>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rFonts w:ascii="Book Antiqua"/>
                <w:caps w:val="0"/>
                <w:smallCaps w:val="0"/>
                <w:strike w:val="0"/>
                <w:dstrike w:val="0"/>
                <w:outline w:val="0"/>
                <w:color w:val="000000"/>
                <w:spacing w:val="0"/>
                <w:kern w:val="0"/>
                <w:position w:val="0"/>
                <w:sz w:val="20"/>
                <w:szCs w:val="20"/>
                <w:u w:val="none" w:color="000000"/>
                <w:vertAlign w:val="baseline"/>
                <w:rtl w:val="0"/>
                <w:lang w:val="it-IT"/>
              </w:rPr>
              <w:t>0</w:t>
            </w:r>
          </w:p>
        </w:tc>
        <w:tc>
          <w:tcPr>
            <w:tcW w:type="dxa" w:w="235"/>
            <w:tcBorders>
              <w:top w:val="single" w:color="000000" w:sz="4" w:space="0" w:shadow="0" w:frame="0"/>
              <w:left w:val="single" w:color="000000" w:sz="4" w:space="0" w:shadow="0" w:frame="0"/>
              <w:bottom w:val="single" w:color="000000" w:sz="4" w:space="0" w:shadow="0" w:frame="0"/>
              <w:right w:val="nil"/>
            </w:tcBorders>
            <w:shd w:val="clear" w:color="auto" w:fill="auto"/>
            <w:tcMar>
              <w:top w:type="dxa" w:w="80"/>
              <w:left w:type="dxa" w:w="80"/>
              <w:bottom w:type="dxa" w:w="80"/>
              <w:right w:type="dxa" w:w="80"/>
            </w:tcMar>
            <w:vAlign w:val="center"/>
          </w:tcPr>
          <w:p/>
        </w:tc>
        <w:tc>
          <w:tcPr>
            <w:tcW w:type="dxa" w:w="1371"/>
            <w:tcBorders>
              <w:top w:val="single" w:color="000000" w:sz="4" w:space="0" w:shadow="0" w:frame="0"/>
              <w:left w:val="nil"/>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rFonts w:ascii="Book Antiqua"/>
                <w:caps w:val="0"/>
                <w:smallCaps w:val="0"/>
                <w:strike w:val="0"/>
                <w:dstrike w:val="0"/>
                <w:outline w:val="0"/>
                <w:color w:val="000000"/>
                <w:spacing w:val="0"/>
                <w:kern w:val="0"/>
                <w:position w:val="0"/>
                <w:sz w:val="20"/>
                <w:szCs w:val="20"/>
                <w:u w:val="none" w:color="000000"/>
                <w:vertAlign w:val="baseline"/>
                <w:rtl w:val="0"/>
                <w:lang w:val="it-IT"/>
              </w:rPr>
              <w:t>0</w:t>
            </w:r>
          </w:p>
        </w:tc>
      </w:tr>
      <w:tr>
        <w:tblPrEx>
          <w:shd w:val="clear" w:color="auto" w:fill="auto"/>
        </w:tblPrEx>
        <w:trPr>
          <w:trHeight w:val="250" w:hRule="atLeast"/>
        </w:trPr>
        <w:tc>
          <w:tcPr>
            <w:tcW w:type="dxa" w:w="330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rFonts w:ascii="Book Antiqua"/>
                <w:caps w:val="0"/>
                <w:smallCaps w:val="0"/>
                <w:strike w:val="0"/>
                <w:dstrike w:val="0"/>
                <w:outline w:val="0"/>
                <w:color w:val="000000"/>
                <w:spacing w:val="0"/>
                <w:kern w:val="0"/>
                <w:position w:val="0"/>
                <w:sz w:val="20"/>
                <w:szCs w:val="20"/>
                <w:u w:val="none" w:color="000000"/>
                <w:vertAlign w:val="baseline"/>
                <w:rtl w:val="0"/>
                <w:lang w:val="it-IT"/>
              </w:rPr>
              <w:t>- aree demaniali e altre mq</w:t>
            </w:r>
          </w:p>
        </w:tc>
        <w:tc>
          <w:tcPr>
            <w:tcW w:type="dxa" w:w="1252"/>
            <w:tcBorders>
              <w:top w:val="single" w:color="000000" w:sz="4" w:space="0" w:shadow="0" w:frame="0"/>
              <w:left w:val="single" w:color="000000" w:sz="4" w:space="0" w:shadow="0" w:frame="0"/>
              <w:bottom w:val="single" w:color="000000" w:sz="4" w:space="0" w:shadow="0" w:frame="0"/>
              <w:right w:val="nil"/>
            </w:tcBorders>
            <w:shd w:val="clear" w:color="auto" w:fill="auto"/>
            <w:tcMar>
              <w:top w:type="dxa" w:w="80"/>
              <w:left w:type="dxa" w:w="80"/>
              <w:bottom w:type="dxa" w:w="80"/>
              <w:right w:type="dxa" w:w="80"/>
            </w:tcMar>
            <w:vAlign w:val="center"/>
          </w:tcPr>
          <w:p/>
        </w:tc>
        <w:tc>
          <w:tcPr>
            <w:tcW w:type="dxa" w:w="1313"/>
            <w:tcBorders>
              <w:top w:val="single" w:color="000000" w:sz="4" w:space="0" w:shadow="0" w:frame="0"/>
              <w:left w:val="nil"/>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rFonts w:ascii="Book Antiqua"/>
                <w:caps w:val="0"/>
                <w:smallCaps w:val="0"/>
                <w:strike w:val="0"/>
                <w:dstrike w:val="0"/>
                <w:outline w:val="0"/>
                <w:color w:val="000000"/>
                <w:spacing w:val="0"/>
                <w:kern w:val="0"/>
                <w:position w:val="0"/>
                <w:sz w:val="20"/>
                <w:szCs w:val="20"/>
                <w:u w:val="none" w:color="000000"/>
                <w:vertAlign w:val="baseline"/>
                <w:rtl w:val="0"/>
                <w:lang w:val="it-IT"/>
              </w:rPr>
              <w:t>36.773</w:t>
            </w:r>
          </w:p>
        </w:tc>
        <w:tc>
          <w:tcPr>
            <w:tcW w:type="dxa" w:w="238"/>
            <w:tcBorders>
              <w:top w:val="single" w:color="000000" w:sz="4" w:space="0" w:shadow="0" w:frame="0"/>
              <w:left w:val="single" w:color="000000" w:sz="4" w:space="0" w:shadow="0" w:frame="0"/>
              <w:bottom w:val="single" w:color="000000" w:sz="4" w:space="0" w:shadow="0" w:frame="0"/>
              <w:right w:val="nil"/>
            </w:tcBorders>
            <w:shd w:val="clear" w:color="auto" w:fill="auto"/>
            <w:tcMar>
              <w:top w:type="dxa" w:w="80"/>
              <w:left w:type="dxa" w:w="80"/>
              <w:bottom w:type="dxa" w:w="80"/>
              <w:right w:type="dxa" w:w="80"/>
            </w:tcMar>
            <w:vAlign w:val="center"/>
          </w:tcPr>
          <w:p/>
        </w:tc>
        <w:tc>
          <w:tcPr>
            <w:tcW w:type="dxa" w:w="1425"/>
            <w:tcBorders>
              <w:top w:val="single" w:color="000000" w:sz="4" w:space="0" w:shadow="0" w:frame="0"/>
              <w:left w:val="nil"/>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rFonts w:ascii="Book Antiqua"/>
                <w:caps w:val="0"/>
                <w:smallCaps w:val="0"/>
                <w:strike w:val="0"/>
                <w:dstrike w:val="0"/>
                <w:outline w:val="0"/>
                <w:color w:val="000000"/>
                <w:spacing w:val="0"/>
                <w:kern w:val="0"/>
                <w:position w:val="0"/>
                <w:sz w:val="20"/>
                <w:szCs w:val="20"/>
                <w:u w:val="none" w:color="000000"/>
                <w:vertAlign w:val="baseline"/>
                <w:rtl w:val="0"/>
                <w:lang w:val="it-IT"/>
              </w:rPr>
              <w:t>30.882</w:t>
            </w:r>
          </w:p>
        </w:tc>
        <w:tc>
          <w:tcPr>
            <w:tcW w:type="dxa" w:w="235"/>
            <w:tcBorders>
              <w:top w:val="single" w:color="000000" w:sz="4" w:space="0" w:shadow="0" w:frame="0"/>
              <w:left w:val="single" w:color="000000" w:sz="4" w:space="0" w:shadow="0" w:frame="0"/>
              <w:bottom w:val="single" w:color="000000" w:sz="4" w:space="0" w:shadow="0" w:frame="0"/>
              <w:right w:val="nil"/>
            </w:tcBorders>
            <w:shd w:val="clear" w:color="auto" w:fill="auto"/>
            <w:tcMar>
              <w:top w:type="dxa" w:w="80"/>
              <w:left w:type="dxa" w:w="80"/>
              <w:bottom w:type="dxa" w:w="80"/>
              <w:right w:type="dxa" w:w="80"/>
            </w:tcMar>
            <w:vAlign w:val="center"/>
          </w:tcPr>
          <w:p/>
        </w:tc>
        <w:tc>
          <w:tcPr>
            <w:tcW w:type="dxa" w:w="1371"/>
            <w:tcBorders>
              <w:top w:val="single" w:color="000000" w:sz="4" w:space="0" w:shadow="0" w:frame="0"/>
              <w:left w:val="nil"/>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rFonts w:ascii="Book Antiqua"/>
                <w:caps w:val="0"/>
                <w:smallCaps w:val="0"/>
                <w:strike w:val="0"/>
                <w:dstrike w:val="0"/>
                <w:outline w:val="0"/>
                <w:color w:val="000000"/>
                <w:spacing w:val="0"/>
                <w:kern w:val="0"/>
                <w:position w:val="0"/>
                <w:sz w:val="20"/>
                <w:szCs w:val="20"/>
                <w:u w:val="none" w:color="000000"/>
                <w:vertAlign w:val="baseline"/>
                <w:rtl w:val="0"/>
                <w:lang w:val="it-IT"/>
              </w:rPr>
              <w:t>500</w:t>
            </w:r>
          </w:p>
        </w:tc>
      </w:tr>
      <w:tr>
        <w:tblPrEx>
          <w:shd w:val="clear" w:color="auto" w:fill="auto"/>
        </w:tblPrEx>
        <w:trPr>
          <w:trHeight w:val="250" w:hRule="atLeast"/>
        </w:trPr>
        <w:tc>
          <w:tcPr>
            <w:tcW w:type="dxa" w:w="330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rFonts w:ascii="Book Antiqua"/>
                <w:caps w:val="0"/>
                <w:smallCaps w:val="0"/>
                <w:strike w:val="0"/>
                <w:dstrike w:val="0"/>
                <w:outline w:val="0"/>
                <w:color w:val="000000"/>
                <w:spacing w:val="0"/>
                <w:kern w:val="0"/>
                <w:position w:val="0"/>
                <w:sz w:val="20"/>
                <w:szCs w:val="20"/>
                <w:u w:val="none" w:color="000000"/>
                <w:vertAlign w:val="baseline"/>
                <w:rtl w:val="0"/>
                <w:lang w:val="it-IT"/>
              </w:rPr>
              <w:t>- immobili n.</w:t>
            </w:r>
          </w:p>
        </w:tc>
        <w:tc>
          <w:tcPr>
            <w:tcW w:type="dxa" w:w="1252"/>
            <w:tcBorders>
              <w:top w:val="single" w:color="000000" w:sz="4" w:space="0" w:shadow="0" w:frame="0"/>
              <w:left w:val="single" w:color="000000" w:sz="4" w:space="0" w:shadow="0" w:frame="0"/>
              <w:bottom w:val="single" w:color="000000" w:sz="4" w:space="0" w:shadow="0" w:frame="0"/>
              <w:right w:val="nil"/>
            </w:tcBorders>
            <w:shd w:val="clear" w:color="auto" w:fill="auto"/>
            <w:tcMar>
              <w:top w:type="dxa" w:w="80"/>
              <w:left w:type="dxa" w:w="80"/>
              <w:bottom w:type="dxa" w:w="80"/>
              <w:right w:type="dxa" w:w="80"/>
            </w:tcMar>
            <w:vAlign w:val="center"/>
          </w:tcPr>
          <w:p/>
        </w:tc>
        <w:tc>
          <w:tcPr>
            <w:tcW w:type="dxa" w:w="1313"/>
            <w:tcBorders>
              <w:top w:val="single" w:color="000000" w:sz="4" w:space="0" w:shadow="0" w:frame="0"/>
              <w:left w:val="nil"/>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rFonts w:ascii="Book Antiqua"/>
                <w:caps w:val="0"/>
                <w:smallCaps w:val="0"/>
                <w:strike w:val="0"/>
                <w:dstrike w:val="0"/>
                <w:outline w:val="0"/>
                <w:color w:val="000000"/>
                <w:spacing w:val="0"/>
                <w:kern w:val="0"/>
                <w:position w:val="0"/>
                <w:sz w:val="20"/>
                <w:szCs w:val="20"/>
                <w:u w:val="none" w:color="000000"/>
                <w:vertAlign w:val="baseline"/>
                <w:rtl w:val="0"/>
                <w:lang w:val="it-IT"/>
              </w:rPr>
              <w:t>16</w:t>
            </w:r>
          </w:p>
        </w:tc>
        <w:tc>
          <w:tcPr>
            <w:tcW w:type="dxa" w:w="238"/>
            <w:tcBorders>
              <w:top w:val="single" w:color="000000" w:sz="4" w:space="0" w:shadow="0" w:frame="0"/>
              <w:left w:val="single" w:color="000000" w:sz="4" w:space="0" w:shadow="0" w:frame="0"/>
              <w:bottom w:val="single" w:color="000000" w:sz="4" w:space="0" w:shadow="0" w:frame="0"/>
              <w:right w:val="nil"/>
            </w:tcBorders>
            <w:shd w:val="clear" w:color="auto" w:fill="auto"/>
            <w:tcMar>
              <w:top w:type="dxa" w:w="80"/>
              <w:left w:type="dxa" w:w="80"/>
              <w:bottom w:type="dxa" w:w="80"/>
              <w:right w:type="dxa" w:w="80"/>
            </w:tcMar>
            <w:vAlign w:val="center"/>
          </w:tcPr>
          <w:p/>
        </w:tc>
        <w:tc>
          <w:tcPr>
            <w:tcW w:type="dxa" w:w="1425"/>
            <w:tcBorders>
              <w:top w:val="single" w:color="000000" w:sz="4" w:space="0" w:shadow="0" w:frame="0"/>
              <w:left w:val="nil"/>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rFonts w:ascii="Book Antiqua"/>
                <w:caps w:val="0"/>
                <w:smallCaps w:val="0"/>
                <w:strike w:val="0"/>
                <w:dstrike w:val="0"/>
                <w:outline w:val="0"/>
                <w:color w:val="000000"/>
                <w:spacing w:val="0"/>
                <w:kern w:val="0"/>
                <w:position w:val="0"/>
                <w:sz w:val="20"/>
                <w:szCs w:val="20"/>
                <w:u w:val="none" w:color="000000"/>
                <w:vertAlign w:val="baseline"/>
                <w:rtl w:val="0"/>
                <w:lang w:val="it-IT"/>
              </w:rPr>
              <w:t>9</w:t>
            </w:r>
          </w:p>
        </w:tc>
        <w:tc>
          <w:tcPr>
            <w:tcW w:type="dxa" w:w="235"/>
            <w:tcBorders>
              <w:top w:val="single" w:color="000000" w:sz="4" w:space="0" w:shadow="0" w:frame="0"/>
              <w:left w:val="single" w:color="000000" w:sz="4" w:space="0" w:shadow="0" w:frame="0"/>
              <w:bottom w:val="single" w:color="000000" w:sz="4" w:space="0" w:shadow="0" w:frame="0"/>
              <w:right w:val="nil"/>
            </w:tcBorders>
            <w:shd w:val="clear" w:color="auto" w:fill="auto"/>
            <w:tcMar>
              <w:top w:type="dxa" w:w="80"/>
              <w:left w:type="dxa" w:w="80"/>
              <w:bottom w:type="dxa" w:w="80"/>
              <w:right w:type="dxa" w:w="80"/>
            </w:tcMar>
            <w:vAlign w:val="center"/>
          </w:tcPr>
          <w:p/>
        </w:tc>
        <w:tc>
          <w:tcPr>
            <w:tcW w:type="dxa" w:w="1371"/>
            <w:tcBorders>
              <w:top w:val="single" w:color="000000" w:sz="4" w:space="0" w:shadow="0" w:frame="0"/>
              <w:left w:val="nil"/>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Normal"/>
              <w:jc w:val="center"/>
            </w:pPr>
            <w:r>
              <w:rPr>
                <w:rFonts w:ascii="Book Antiqua"/>
                <w:caps w:val="0"/>
                <w:smallCaps w:val="0"/>
                <w:strike w:val="0"/>
                <w:dstrike w:val="0"/>
                <w:outline w:val="0"/>
                <w:color w:val="000000"/>
                <w:spacing w:val="0"/>
                <w:kern w:val="0"/>
                <w:position w:val="0"/>
                <w:sz w:val="20"/>
                <w:szCs w:val="20"/>
                <w:u w:val="none" w:color="000000"/>
                <w:vertAlign w:val="baseline"/>
                <w:rtl w:val="0"/>
                <w:lang w:val="it-IT"/>
              </w:rPr>
              <w:t>19</w:t>
            </w:r>
          </w:p>
        </w:tc>
      </w:tr>
    </w:tbl>
    <w:p>
      <w:pPr>
        <w:pStyle w:val="Normal"/>
        <w:rPr>
          <w:rFonts w:ascii="Book Antiqua" w:cs="Book Antiqua" w:hAnsi="Book Antiqua" w:eastAsia="Book Antiqua"/>
          <w:sz w:val="22"/>
          <w:szCs w:val="22"/>
        </w:rPr>
      </w:pPr>
    </w:p>
    <w:p>
      <w:pPr>
        <w:pStyle w:val="Normal"/>
        <w:ind w:right="567"/>
        <w:jc w:val="both"/>
        <w:rPr>
          <w:rFonts w:ascii="Book Antiqua" w:cs="Book Antiqua" w:hAnsi="Book Antiqua" w:eastAsia="Book Antiqua"/>
        </w:rPr>
      </w:pPr>
    </w:p>
    <w:p>
      <w:pPr>
        <w:pStyle w:val="Normal"/>
        <w:ind w:left="567" w:right="567" w:firstLine="0"/>
        <w:jc w:val="both"/>
        <w:rPr>
          <w:rFonts w:ascii="Book Antiqua Bold" w:cs="Book Antiqua Bold" w:hAnsi="Book Antiqua Bold" w:eastAsia="Book Antiqua Bold"/>
          <w:b w:val="1"/>
          <w:bCs w:val="1"/>
          <w:i w:val="1"/>
          <w:iCs w:val="1"/>
        </w:rPr>
      </w:pPr>
    </w:p>
    <w:p>
      <w:pPr>
        <w:pStyle w:val="Normal"/>
        <w:ind w:left="567" w:right="567" w:firstLine="0"/>
        <w:jc w:val="both"/>
        <w:rPr>
          <w:rFonts w:ascii="Book Antiqua Bold" w:cs="Book Antiqua Bold" w:hAnsi="Book Antiqua Bold" w:eastAsia="Book Antiqua Bold"/>
          <w:b w:val="1"/>
          <w:bCs w:val="1"/>
          <w:i w:val="1"/>
          <w:iCs w:val="1"/>
        </w:rPr>
      </w:pPr>
      <w:r>
        <w:rPr>
          <w:rFonts w:ascii="Book Antiqua"/>
          <w:rtl w:val="0"/>
          <w:lang w:val="it-IT"/>
        </w:rPr>
        <w:t>Una descrizione puntuale delle attivit</w:t>
      </w:r>
      <w:r>
        <w:rPr>
          <w:rFonts w:hAnsi="Book Antiqua" w:hint="default"/>
          <w:rtl w:val="0"/>
          <w:lang w:val="it-IT"/>
        </w:rPr>
        <w:t xml:space="preserve">à </w:t>
      </w:r>
      <w:r>
        <w:rPr>
          <w:rFonts w:ascii="Book Antiqua"/>
          <w:rtl w:val="0"/>
          <w:lang w:val="it-IT"/>
        </w:rPr>
        <w:t xml:space="preserve">e dei risultati ottenuti </w:t>
      </w:r>
      <w:r>
        <w:rPr>
          <w:rFonts w:hAnsi="Book Antiqua" w:hint="default"/>
          <w:rtl w:val="0"/>
          <w:lang w:val="it-IT"/>
        </w:rPr>
        <w:t xml:space="preserve">è </w:t>
      </w:r>
      <w:r>
        <w:rPr>
          <w:rFonts w:ascii="Book Antiqua"/>
          <w:rtl w:val="0"/>
          <w:lang w:val="it-IT"/>
        </w:rPr>
        <w:t>altres</w:t>
      </w:r>
      <w:r>
        <w:rPr>
          <w:rFonts w:hAnsi="Book Antiqua" w:hint="default"/>
          <w:rtl w:val="0"/>
          <w:lang w:val="it-IT"/>
        </w:rPr>
        <w:t xml:space="preserve">ì </w:t>
      </w:r>
      <w:r>
        <w:rPr>
          <w:rFonts w:ascii="Book Antiqua"/>
          <w:rtl w:val="0"/>
          <w:lang w:val="it-IT"/>
        </w:rPr>
        <w:t>rinvenibile nelle audizioni del comandante del NOE carabinieri di Roma, capitano Marco Cavallo e del comandante regionale Lazio della Guardia di finanza, generale Bruno Buratti, svoltesi davanti alla Commissione il 7 febbraio 2017.</w:t>
      </w:r>
    </w:p>
    <w:p>
      <w:pPr>
        <w:pStyle w:val="Normal"/>
        <w:ind w:left="567" w:right="567" w:firstLine="0"/>
        <w:jc w:val="both"/>
        <w:rPr>
          <w:rFonts w:ascii="Book Antiqua" w:cs="Book Antiqua" w:hAnsi="Book Antiqua" w:eastAsia="Book Antiqua"/>
        </w:rPr>
      </w:pPr>
      <w:r>
        <w:rPr>
          <w:rFonts w:ascii="Book Antiqua"/>
          <w:rtl w:val="0"/>
          <w:lang w:val="it-IT"/>
        </w:rPr>
        <w:t>Quanto alla dislocazione degli illeciti, come si vedr</w:t>
      </w:r>
      <w:r>
        <w:rPr>
          <w:rFonts w:hAnsi="Book Antiqua" w:hint="default"/>
          <w:rtl w:val="0"/>
          <w:lang w:val="it-IT"/>
        </w:rPr>
        <w:t xml:space="preserve">à </w:t>
      </w:r>
      <w:r>
        <w:rPr>
          <w:rFonts w:ascii="Book Antiqua"/>
          <w:rtl w:val="0"/>
          <w:lang w:val="it-IT"/>
        </w:rPr>
        <w:t>di seguito, la situazione pi</w:t>
      </w:r>
      <w:r>
        <w:rPr>
          <w:rFonts w:hAnsi="Book Antiqua" w:hint="default"/>
          <w:rtl w:val="0"/>
          <w:lang w:val="it-IT"/>
        </w:rPr>
        <w:t>ù</w:t>
      </w:r>
      <w:r>
        <w:rPr>
          <w:rFonts w:ascii="Book Antiqua"/>
          <w:rtl w:val="0"/>
          <w:lang w:val="it-IT"/>
        </w:rPr>
        <w:t xml:space="preserve"> preoccupante riguarda la provincia di Frosinone anche in connessione con l'elevata industrializzazione di questa provincia; ma merita costante attenzione anche la situazione in provincia di Latina, dove, come gi</w:t>
      </w:r>
      <w:r>
        <w:rPr>
          <w:rFonts w:hAnsi="Book Antiqua" w:hint="default"/>
          <w:rtl w:val="0"/>
          <w:lang w:val="it-IT"/>
        </w:rPr>
        <w:t xml:space="preserve">à </w:t>
      </w:r>
      <w:r>
        <w:rPr>
          <w:rFonts w:ascii="Book Antiqua"/>
          <w:rtl w:val="0"/>
          <w:lang w:val="it-IT"/>
        </w:rPr>
        <w:t>rilevato, operano nuclei di criminalit</w:t>
      </w:r>
      <w:r>
        <w:rPr>
          <w:rFonts w:hAnsi="Book Antiqua" w:hint="default"/>
          <w:rtl w:val="0"/>
          <w:lang w:val="it-IT"/>
        </w:rPr>
        <w:t xml:space="preserve">à </w:t>
      </w:r>
      <w:r>
        <w:rPr>
          <w:rFonts w:ascii="Book Antiqua"/>
          <w:rtl w:val="0"/>
          <w:lang w:val="it-IT"/>
        </w:rPr>
        <w:t>organizzata.</w:t>
      </w:r>
    </w:p>
    <w:p>
      <w:pPr>
        <w:pStyle w:val="Normal"/>
        <w:ind w:left="567" w:right="567" w:firstLine="0"/>
        <w:jc w:val="both"/>
        <w:rPr>
          <w:rFonts w:ascii="Book Antiqua" w:cs="Book Antiqua" w:hAnsi="Book Antiqua" w:eastAsia="Book Antiqua"/>
        </w:rPr>
      </w:pPr>
      <w:r>
        <w:rPr>
          <w:rFonts w:ascii="Book Antiqua"/>
          <w:rtl w:val="0"/>
          <w:lang w:val="it-IT"/>
        </w:rPr>
        <w:t>Pi</w:t>
      </w:r>
      <w:r>
        <w:rPr>
          <w:rFonts w:hAnsi="Book Antiqua" w:hint="default"/>
          <w:rtl w:val="0"/>
          <w:lang w:val="it-IT"/>
        </w:rPr>
        <w:t xml:space="preserve">ù </w:t>
      </w:r>
      <w:r>
        <w:rPr>
          <w:rFonts w:ascii="Book Antiqua"/>
          <w:rtl w:val="0"/>
          <w:lang w:val="it-IT"/>
        </w:rPr>
        <w:t>in particolare, si riassumono le principali risultanze relative alle varie province del Lazio (eccetto Roma):</w:t>
      </w: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i w:val="1"/>
          <w:iCs w:val="1"/>
        </w:rPr>
      </w:pPr>
      <w:r>
        <w:rPr>
          <w:rFonts w:ascii="Book Antiqua"/>
          <w:i w:val="1"/>
          <w:iCs w:val="1"/>
          <w:rtl w:val="0"/>
          <w:lang w:val="it-IT"/>
        </w:rPr>
        <w:t>RIETI</w:t>
      </w: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rPr>
      </w:pPr>
      <w:r>
        <w:rPr>
          <w:rFonts w:ascii="Book Antiqua"/>
          <w:rtl w:val="0"/>
          <w:lang w:val="it-IT"/>
        </w:rPr>
        <w:t>In via generale, la prefettura di Rieti, in data 15 febbraio 2017</w:t>
      </w:r>
      <w:r>
        <w:rPr>
          <w:rFonts w:ascii="Book Antiqua" w:cs="Book Antiqua" w:hAnsi="Book Antiqua" w:eastAsia="Book Antiqua"/>
          <w:vertAlign w:val="superscript"/>
          <w:rtl w:val="0"/>
        </w:rPr>
        <w:footnoteReference w:id="237"/>
      </w:r>
      <w:r>
        <w:rPr>
          <w:rFonts w:ascii="Book Antiqua"/>
          <w:rtl w:val="0"/>
          <w:lang w:val="it-IT"/>
        </w:rPr>
        <w:t xml:space="preserve"> ha segnalato da un lato la presenza di numerose "isole ecologiche" gestite a livello provinciale e comunale, dall'altro il diffuso fenomeno di abbandono dei rifiuti, evidenziando altres</w:t>
      </w:r>
      <w:r>
        <w:rPr>
          <w:rFonts w:hAnsi="Book Antiqua" w:hint="default"/>
          <w:rtl w:val="0"/>
          <w:lang w:val="it-IT"/>
        </w:rPr>
        <w:t xml:space="preserve">ì </w:t>
      </w:r>
      <w:r>
        <w:rPr>
          <w:rFonts w:ascii="Book Antiqua"/>
          <w:rtl w:val="0"/>
          <w:lang w:val="it-IT"/>
        </w:rPr>
        <w:t>la presenza di diverse aree da bonificare</w:t>
      </w:r>
      <w:r>
        <w:rPr>
          <w:rFonts w:ascii="Book Antiqua" w:cs="Book Antiqua" w:hAnsi="Book Antiqua" w:eastAsia="Book Antiqua"/>
          <w:vertAlign w:val="superscript"/>
          <w:rtl w:val="0"/>
        </w:rPr>
        <w:footnoteReference w:id="238"/>
      </w:r>
      <w:r>
        <w:rPr>
          <w:rFonts w:ascii="Book Antiqua"/>
          <w:rtl w:val="0"/>
          <w:lang w:val="it-IT"/>
        </w:rPr>
        <w:t xml:space="preserve"> e la recente problematica dei rifiuti provocati dal terremoto (macerie), cui si sta provvedendo con ordinanze apposite.</w:t>
      </w:r>
    </w:p>
    <w:p>
      <w:pPr>
        <w:pStyle w:val="Normal"/>
        <w:ind w:left="567" w:right="567" w:firstLine="0"/>
        <w:jc w:val="both"/>
        <w:rPr>
          <w:rFonts w:ascii="Book Antiqua" w:cs="Book Antiqua" w:hAnsi="Book Antiqua" w:eastAsia="Book Antiqua"/>
        </w:rPr>
      </w:pPr>
      <w:r>
        <w:rPr>
          <w:rFonts w:ascii="Book Antiqua"/>
          <w:rtl w:val="0"/>
          <w:lang w:val="it-IT"/>
        </w:rPr>
        <w:t>Risulta, in tal modo, confermato quanto gi</w:t>
      </w:r>
      <w:r>
        <w:rPr>
          <w:rFonts w:hAnsi="Book Antiqua" w:hint="default"/>
          <w:rtl w:val="0"/>
          <w:lang w:val="it-IT"/>
        </w:rPr>
        <w:t xml:space="preserve">à </w:t>
      </w:r>
      <w:r>
        <w:rPr>
          <w:rFonts w:ascii="Book Antiqua"/>
          <w:rtl w:val="0"/>
          <w:lang w:val="it-IT"/>
        </w:rPr>
        <w:t>rappresentato dalla stessa prefettura il 25 novembre 2015</w:t>
      </w:r>
      <w:r>
        <w:rPr>
          <w:rFonts w:ascii="Book Antiqua" w:cs="Book Antiqua" w:hAnsi="Book Antiqua" w:eastAsia="Book Antiqua"/>
          <w:vertAlign w:val="superscript"/>
          <w:rtl w:val="0"/>
        </w:rPr>
        <w:footnoteReference w:id="239"/>
      </w:r>
      <w:r>
        <w:rPr>
          <w:rFonts w:ascii="Book Antiqua"/>
          <w:rtl w:val="0"/>
          <w:lang w:val="it-IT"/>
        </w:rPr>
        <w:t xml:space="preserve"> ove concludeva che "sebbene dunque, non siano state evidenziate attivit</w:t>
      </w:r>
      <w:r>
        <w:rPr>
          <w:rFonts w:hAnsi="Book Antiqua" w:hint="default"/>
          <w:rtl w:val="0"/>
          <w:lang w:val="it-IT"/>
        </w:rPr>
        <w:t xml:space="preserve">à </w:t>
      </w:r>
      <w:r>
        <w:rPr>
          <w:rFonts w:ascii="Book Antiqua"/>
          <w:rtl w:val="0"/>
          <w:lang w:val="it-IT"/>
        </w:rPr>
        <w:t>illecite strutturate e organizzate connesse al ciclo dei rifiuti, l'attenta e continua attivit</w:t>
      </w:r>
      <w:r>
        <w:rPr>
          <w:rFonts w:hAnsi="Book Antiqua" w:hint="default"/>
          <w:rtl w:val="0"/>
          <w:lang w:val="it-IT"/>
        </w:rPr>
        <w:t xml:space="preserve">à </w:t>
      </w:r>
      <w:r>
        <w:rPr>
          <w:rFonts w:ascii="Book Antiqua"/>
          <w:rtl w:val="0"/>
          <w:lang w:val="it-IT"/>
        </w:rPr>
        <w:t>di monitoraggio svolta soprattutto dal Corpo forestale dello Stato, ha consentito di individuare numerose discariche perlopi</w:t>
      </w:r>
      <w:r>
        <w:rPr>
          <w:rFonts w:hAnsi="Book Antiqua" w:hint="default"/>
          <w:rtl w:val="0"/>
          <w:lang w:val="it-IT"/>
        </w:rPr>
        <w:t xml:space="preserve">ù </w:t>
      </w:r>
      <w:r>
        <w:rPr>
          <w:rFonts w:ascii="Book Antiqua"/>
          <w:rtl w:val="0"/>
          <w:lang w:val="it-IT"/>
        </w:rPr>
        <w:t>ubicate in zone agricole ed incolte adiacenti a zone boscate ed in rari casi nelle vicinanze di corsi d'acqua, come anche depositi in aree pubbliche e demaniali spesso nelle scarpate stradali, a ridosso di fossi e ai margine di boschi".</w:t>
      </w:r>
    </w:p>
    <w:p>
      <w:pPr>
        <w:pStyle w:val="Normal"/>
        <w:ind w:left="567" w:right="567" w:firstLine="0"/>
        <w:jc w:val="both"/>
        <w:rPr>
          <w:rFonts w:ascii="Book Antiqua" w:cs="Book Antiqua" w:hAnsi="Book Antiqua" w:eastAsia="Book Antiqua"/>
        </w:rPr>
      </w:pPr>
      <w:r>
        <w:rPr>
          <w:rFonts w:ascii="Book Antiqua"/>
          <w:rtl w:val="0"/>
          <w:lang w:val="it-IT"/>
        </w:rPr>
        <w:t>Pi</w:t>
      </w:r>
      <w:r>
        <w:rPr>
          <w:rFonts w:hAnsi="Book Antiqua" w:hint="default"/>
          <w:rtl w:val="0"/>
          <w:lang w:val="it-IT"/>
        </w:rPr>
        <w:t xml:space="preserve">ù </w:t>
      </w:r>
      <w:r>
        <w:rPr>
          <w:rFonts w:ascii="Book Antiqua"/>
          <w:rtl w:val="0"/>
          <w:lang w:val="it-IT"/>
        </w:rPr>
        <w:t xml:space="preserve">in particolare, risultano due procedimenti penali di rilievo, entrambi in corso. Il primo, secondo quanto esposto dal procuratore della Repubblica di Rieti nell'audizione davanti alla Commissione del 6 marzo 2017, "si </w:t>
      </w:r>
      <w:r>
        <w:rPr>
          <w:rFonts w:hAnsi="Book Antiqua" w:hint="default"/>
          <w:rtl w:val="0"/>
          <w:lang w:val="it-IT"/>
        </w:rPr>
        <w:t xml:space="preserve">è </w:t>
      </w:r>
      <w:r>
        <w:rPr>
          <w:rFonts w:ascii="Book Antiqua"/>
          <w:rtl w:val="0"/>
          <w:lang w:val="it-IT"/>
        </w:rPr>
        <w:t xml:space="preserve">verificato tra il 2014 e il 2015. Si </w:t>
      </w:r>
      <w:r>
        <w:rPr>
          <w:rFonts w:hAnsi="Book Antiqua" w:hint="default"/>
          <w:rtl w:val="0"/>
          <w:lang w:val="it-IT"/>
        </w:rPr>
        <w:t xml:space="preserve">è </w:t>
      </w:r>
      <w:r>
        <w:rPr>
          <w:rFonts w:ascii="Book Antiqua"/>
          <w:rtl w:val="0"/>
          <w:lang w:val="it-IT"/>
        </w:rPr>
        <w:t>trattato di uno sversamento di rifiuti pericolosi nel fiume Velino dalle parti di Camposaino. C'</w:t>
      </w:r>
      <w:r>
        <w:rPr>
          <w:rFonts w:hAnsi="Book Antiqua" w:hint="default"/>
          <w:rtl w:val="0"/>
          <w:lang w:val="it-IT"/>
        </w:rPr>
        <w:t xml:space="preserve">è </w:t>
      </w:r>
      <w:r>
        <w:rPr>
          <w:rFonts w:ascii="Book Antiqua"/>
          <w:rtl w:val="0"/>
          <w:lang w:val="it-IT"/>
        </w:rPr>
        <w:t>una discarica, a circa due chilometri dal centro abitato di Rieti, dove venivano sversati dei liquami abbastanza pericolosi che provenivano dalla Basilicata. C'</w:t>
      </w:r>
      <w:r>
        <w:rPr>
          <w:rFonts w:hAnsi="Book Antiqua" w:hint="default"/>
          <w:rtl w:val="0"/>
          <w:lang w:val="it-IT"/>
        </w:rPr>
        <w:t xml:space="preserve">è </w:t>
      </w:r>
      <w:r>
        <w:rPr>
          <w:rFonts w:ascii="Book Antiqua"/>
          <w:rtl w:val="0"/>
          <w:lang w:val="it-IT"/>
        </w:rPr>
        <w:t>stata dapprima un'attivit</w:t>
      </w:r>
      <w:r>
        <w:rPr>
          <w:rFonts w:hAnsi="Book Antiqua" w:hint="default"/>
          <w:rtl w:val="0"/>
          <w:lang w:val="it-IT"/>
        </w:rPr>
        <w:t xml:space="preserve">à </w:t>
      </w:r>
      <w:r>
        <w:rPr>
          <w:rFonts w:ascii="Book Antiqua"/>
          <w:rtl w:val="0"/>
          <w:lang w:val="it-IT"/>
        </w:rPr>
        <w:t xml:space="preserve">di osservazione e pedinamento sia da parte del personale del MIPAF, sia del Corpo forestale dello Stato, che hanno registrato un viavai di autobotti provenienti da Pisticci. Il fatto </w:t>
      </w:r>
      <w:r>
        <w:rPr>
          <w:rFonts w:hAnsi="Book Antiqua" w:hint="default"/>
          <w:rtl w:val="0"/>
          <w:lang w:val="it-IT"/>
        </w:rPr>
        <w:t xml:space="preserve">è </w:t>
      </w:r>
      <w:r>
        <w:rPr>
          <w:rFonts w:ascii="Book Antiqua"/>
          <w:rtl w:val="0"/>
          <w:lang w:val="it-IT"/>
        </w:rPr>
        <w:t xml:space="preserve">stato monitorato e sono state effettuate delle campionature all'insaputa delle persone che trasportavano questi liquidi; una volta accertato che si trattava di materiale molto pericoloso, si </w:t>
      </w:r>
      <w:r>
        <w:rPr>
          <w:rFonts w:hAnsi="Book Antiqua" w:hint="default"/>
          <w:rtl w:val="0"/>
          <w:lang w:val="it-IT"/>
        </w:rPr>
        <w:t xml:space="preserve">è </w:t>
      </w:r>
      <w:r>
        <w:rPr>
          <w:rFonts w:ascii="Book Antiqua"/>
          <w:rtl w:val="0"/>
          <w:lang w:val="it-IT"/>
        </w:rPr>
        <w:t>poi proceduto ai sequestri di tutte le autobotti e alla contestazione dei fatti [</w:t>
      </w:r>
      <w:r>
        <w:rPr>
          <w:rFonts w:hAnsi="Book Antiqua" w:hint="default"/>
          <w:rtl w:val="0"/>
          <w:lang w:val="it-IT"/>
        </w:rPr>
        <w:t>…</w:t>
      </w:r>
      <w:r>
        <w:rPr>
          <w:rFonts w:ascii="Book Antiqua"/>
          <w:rtl w:val="0"/>
          <w:lang w:val="it-IT"/>
        </w:rPr>
        <w:t xml:space="preserve">] Si </w:t>
      </w:r>
      <w:r>
        <w:rPr>
          <w:rFonts w:hAnsi="Book Antiqua" w:hint="default"/>
          <w:rtl w:val="0"/>
          <w:lang w:val="it-IT"/>
        </w:rPr>
        <w:t xml:space="preserve">è </w:t>
      </w:r>
      <w:r>
        <w:rPr>
          <w:rFonts w:ascii="Book Antiqua"/>
          <w:rtl w:val="0"/>
          <w:lang w:val="it-IT"/>
        </w:rPr>
        <w:t xml:space="preserve">trattato di un fatto reiterato, che coinvolgeva tutta una serie di persone che avevano residenza e, ovviamente, incarichi sia nel consorzio di Rieti, sia nella zona della Basilicata". </w:t>
      </w:r>
    </w:p>
    <w:p>
      <w:pPr>
        <w:pStyle w:val="Normal"/>
        <w:ind w:left="567" w:right="567" w:firstLine="0"/>
        <w:jc w:val="both"/>
        <w:rPr>
          <w:rFonts w:ascii="Book Antiqua" w:cs="Book Antiqua" w:hAnsi="Book Antiqua" w:eastAsia="Book Antiqua"/>
          <w:i w:val="1"/>
          <w:iCs w:val="1"/>
        </w:rPr>
      </w:pPr>
      <w:r>
        <w:rPr>
          <w:rFonts w:ascii="Book Antiqua"/>
          <w:rtl w:val="0"/>
          <w:lang w:val="it-IT"/>
        </w:rPr>
        <w:t>Dall'avviso di conclusioni indagini, emesso il 13 settembre 2016 dalla procura distrettuale di Roma e dalla procura di Rieti</w:t>
      </w:r>
      <w:r>
        <w:rPr>
          <w:rFonts w:ascii="Book Antiqua" w:cs="Book Antiqua" w:hAnsi="Book Antiqua" w:eastAsia="Book Antiqua"/>
          <w:vertAlign w:val="superscript"/>
          <w:rtl w:val="0"/>
        </w:rPr>
        <w:footnoteReference w:id="240"/>
      </w:r>
      <w:r>
        <w:rPr>
          <w:rFonts w:ascii="Book Antiqua"/>
          <w:rtl w:val="0"/>
          <w:lang w:val="it-IT"/>
        </w:rPr>
        <w:t xml:space="preserve"> (doc. 1820/2), risultano sei indagati (fra cui il legale rappresentante del consorzio per lo sviluppo industriale della provincia di Rieti) per il delitto di traffico illecito di rifiuti, i cui addebiti provvisori vale la pena di riportare integralmente, in quanto da essi emerge con chiarezza, tra l'altro, la pratica di declassificare un rifiuto pericoloso attraverso diversi passaggi e "operazioni di ripulitura meramente fittizie".</w:t>
      </w:r>
    </w:p>
    <w:p>
      <w:pPr>
        <w:pStyle w:val="Normal"/>
        <w:ind w:left="567" w:right="567" w:firstLine="0"/>
        <w:jc w:val="both"/>
        <w:rPr>
          <w:rFonts w:ascii="Book Antiqua" w:cs="Book Antiqua" w:hAnsi="Book Antiqua" w:eastAsia="Book Antiqua"/>
        </w:rPr>
      </w:pPr>
      <w:r>
        <w:rPr>
          <w:rFonts w:ascii="Book Antiqua"/>
          <w:rtl w:val="0"/>
          <w:lang w:val="it-IT"/>
        </w:rPr>
        <w:t>Gli addebiti provvisori contenuti nell</w:t>
      </w:r>
      <w:r>
        <w:rPr>
          <w:rFonts w:hAnsi="Book Antiqua" w:hint="default"/>
          <w:rtl w:val="0"/>
          <w:lang w:val="it-IT"/>
        </w:rPr>
        <w:t>’</w:t>
      </w:r>
      <w:r>
        <w:rPr>
          <w:rFonts w:ascii="Book Antiqua"/>
          <w:rtl w:val="0"/>
          <w:lang w:val="it-IT"/>
        </w:rPr>
        <w:t xml:space="preserve">avviso di conclusione delle indagini preliminari sono i seguenti: </w:t>
      </w:r>
      <w:r>
        <w:rPr>
          <w:rFonts w:hAnsi="Book Antiqua" w:hint="default"/>
          <w:rtl w:val="0"/>
          <w:lang w:val="it-IT"/>
        </w:rPr>
        <w:t>“</w:t>
      </w:r>
      <w:r>
        <w:rPr>
          <w:rFonts w:ascii="Book Antiqua"/>
          <w:rtl w:val="0"/>
          <w:lang w:val="it-IT"/>
        </w:rPr>
        <w:t>del reato di cui all'articolo 260 del decreto legislativo 3 aprile 2006, n. 152, perch</w:t>
      </w:r>
      <w:r>
        <w:rPr>
          <w:rFonts w:hAnsi="Book Antiqua" w:hint="default"/>
          <w:rtl w:val="0"/>
          <w:lang w:val="it-IT"/>
        </w:rPr>
        <w:t>é</w:t>
      </w:r>
      <w:r>
        <w:rPr>
          <w:rFonts w:ascii="Book Antiqua"/>
          <w:rtl w:val="0"/>
          <w:lang w:val="it-IT"/>
        </w:rPr>
        <w:t>, nelle rispettive qualit</w:t>
      </w:r>
      <w:r>
        <w:rPr>
          <w:rFonts w:hAnsi="Book Antiqua" w:hint="default"/>
          <w:rtl w:val="0"/>
          <w:lang w:val="it-IT"/>
        </w:rPr>
        <w:t xml:space="preserve">à </w:t>
      </w:r>
      <w:r>
        <w:rPr>
          <w:rFonts w:ascii="Book Antiqua"/>
          <w:rtl w:val="0"/>
          <w:lang w:val="it-IT"/>
        </w:rPr>
        <w:t>[</w:t>
      </w:r>
      <w:r>
        <w:rPr>
          <w:rFonts w:hAnsi="Book Antiqua" w:hint="default"/>
          <w:rtl w:val="0"/>
          <w:lang w:val="it-IT"/>
        </w:rPr>
        <w:t>…</w:t>
      </w:r>
      <w:r>
        <w:rPr>
          <w:rFonts w:ascii="Book Antiqua"/>
          <w:rtl w:val="0"/>
          <w:lang w:val="it-IT"/>
        </w:rPr>
        <w:t xml:space="preserve">] al fine di conseguire un ingiusto profitto, consistito in un ingente risparmio di spesa per la Tecnoparco Valbasento S.p.A. e nell'intero corrispettivo corrisposto da quest'ultima per la A&amp;A S.r.l., per un importo complessivo di circa </w:t>
      </w:r>
      <w:r>
        <w:rPr>
          <w:rFonts w:hAnsi="Book Antiqua" w:hint="default"/>
          <w:rtl w:val="0"/>
          <w:lang w:val="it-IT"/>
        </w:rPr>
        <w:t xml:space="preserve">€ </w:t>
      </w:r>
      <w:r>
        <w:rPr>
          <w:rFonts w:ascii="Book Antiqua"/>
          <w:rtl w:val="0"/>
          <w:lang w:val="it-IT"/>
        </w:rPr>
        <w:t>151.000, con pi</w:t>
      </w:r>
      <w:r>
        <w:rPr>
          <w:rFonts w:hAnsi="Book Antiqua" w:hint="default"/>
          <w:rtl w:val="0"/>
          <w:lang w:val="it-IT"/>
        </w:rPr>
        <w:t xml:space="preserve">ù </w:t>
      </w:r>
      <w:r>
        <w:rPr>
          <w:rFonts w:ascii="Book Antiqua"/>
          <w:rtl w:val="0"/>
          <w:lang w:val="it-IT"/>
        </w:rPr>
        <w:t>operazioni ed attraverso l'allestimento di mezzi ed attivit</w:t>
      </w:r>
      <w:r>
        <w:rPr>
          <w:rFonts w:hAnsi="Book Antiqua" w:hint="default"/>
          <w:rtl w:val="0"/>
          <w:lang w:val="it-IT"/>
        </w:rPr>
        <w:t xml:space="preserve">à </w:t>
      </w:r>
      <w:r>
        <w:rPr>
          <w:rFonts w:ascii="Book Antiqua"/>
          <w:rtl w:val="0"/>
          <w:lang w:val="it-IT"/>
        </w:rPr>
        <w:t>continuative ed organizzate trasportavano, cedevano, ricevevano e - per la A&amp;A S.r.l. - gestivano abusivamente ingenti quantitativi di rifiuti. Pi</w:t>
      </w:r>
      <w:r>
        <w:rPr>
          <w:rFonts w:hAnsi="Book Antiqua" w:hint="default"/>
          <w:rtl w:val="0"/>
          <w:lang w:val="it-IT"/>
        </w:rPr>
        <w:t xml:space="preserve">ù </w:t>
      </w:r>
      <w:r>
        <w:rPr>
          <w:rFonts w:ascii="Book Antiqua"/>
          <w:rtl w:val="0"/>
          <w:lang w:val="it-IT"/>
        </w:rPr>
        <w:t>in particolare: 1) La Dow Italia S.r.l., in persona del presidente [</w:t>
      </w:r>
      <w:r>
        <w:rPr>
          <w:rFonts w:hAnsi="Book Antiqua" w:hint="default"/>
          <w:rtl w:val="0"/>
          <w:lang w:val="it-IT"/>
        </w:rPr>
        <w:t>…</w:t>
      </w:r>
      <w:r>
        <w:rPr>
          <w:rFonts w:ascii="Book Antiqua"/>
          <w:rtl w:val="0"/>
          <w:lang w:val="it-IT"/>
        </w:rPr>
        <w:t>] quale societ</w:t>
      </w:r>
      <w:r>
        <w:rPr>
          <w:rFonts w:hAnsi="Book Antiqua" w:hint="default"/>
          <w:rtl w:val="0"/>
          <w:lang w:val="it-IT"/>
        </w:rPr>
        <w:t xml:space="preserve">à </w:t>
      </w:r>
      <w:r>
        <w:rPr>
          <w:rFonts w:ascii="Book Antiqua"/>
          <w:rtl w:val="0"/>
          <w:lang w:val="it-IT"/>
        </w:rPr>
        <w:t>produttrice del rifiuto liquido classificabile con codice CER 16.10.01*, attraverso una condotta metallica trasferiva i rifiuti presenti nella vasca S752A dell'area industriale di Pisticci Scalo di Matera in un serbatoio di stoccaggio posizionato nell'isola 5 della medesima area industriale, isola gestita dalla Tecnoparco Valbasento S.p.A., privo di segnalazioni indicanti il codice della sostanza pericolosa, in guisa da declassificare, attraverso operazioni di ripulitura meramente fittizie, ed in assenza delle prescritte autorizzazioni, il rifiuto da pericoloso in rifiuto non pericoloso; 2) la Tecnoparco Valbasento S.p.A., in persona del presidente [</w:t>
      </w:r>
      <w:r>
        <w:rPr>
          <w:rFonts w:hAnsi="Book Antiqua" w:hint="default"/>
          <w:rtl w:val="0"/>
          <w:lang w:val="it-IT"/>
        </w:rPr>
        <w:t>…</w:t>
      </w:r>
      <w:r>
        <w:rPr>
          <w:rFonts w:ascii="Book Antiqua"/>
          <w:rtl w:val="0"/>
          <w:lang w:val="it-IT"/>
        </w:rPr>
        <w:t>] e del vicepresidente [</w:t>
      </w:r>
      <w:r>
        <w:rPr>
          <w:rFonts w:hAnsi="Book Antiqua" w:hint="default"/>
          <w:rtl w:val="0"/>
          <w:lang w:val="it-IT"/>
        </w:rPr>
        <w:t>…</w:t>
      </w:r>
      <w:r>
        <w:rPr>
          <w:rFonts w:ascii="Book Antiqua"/>
          <w:rtl w:val="0"/>
          <w:lang w:val="it-IT"/>
        </w:rPr>
        <w:t>], dopo aver fittiziamente trattato il rifiuto liquido pericoloso cedutole dalla Dow Italia S.r.l., facendolo apparire come non pericoloso, in modo tale da risultare come produttore iniziale piuttosto che come nuovo produttore, e non garantendo la tracciabilit</w:t>
      </w:r>
      <w:r>
        <w:rPr>
          <w:rFonts w:hAnsi="Book Antiqua" w:hint="default"/>
          <w:rtl w:val="0"/>
          <w:lang w:val="it-IT"/>
        </w:rPr>
        <w:t xml:space="preserve">à </w:t>
      </w:r>
      <w:r>
        <w:rPr>
          <w:rFonts w:ascii="Book Antiqua"/>
          <w:rtl w:val="0"/>
          <w:lang w:val="it-IT"/>
        </w:rPr>
        <w:t>dei rifiuti, li trasportava e ti cedeva alla A&amp;A S.r.l. in persona del Responsabile IPPC [</w:t>
      </w:r>
      <w:r>
        <w:rPr>
          <w:rFonts w:hAnsi="Book Antiqua" w:hint="default"/>
          <w:rtl w:val="0"/>
          <w:lang w:val="it-IT"/>
        </w:rPr>
        <w:t>…</w:t>
      </w:r>
      <w:r>
        <w:rPr>
          <w:rFonts w:ascii="Book Antiqua"/>
          <w:rtl w:val="0"/>
          <w:lang w:val="it-IT"/>
        </w:rPr>
        <w:t>] e dell'amministratore delegato [</w:t>
      </w:r>
      <w:r>
        <w:rPr>
          <w:rFonts w:hAnsi="Book Antiqua" w:hint="default"/>
          <w:rtl w:val="0"/>
          <w:lang w:val="it-IT"/>
        </w:rPr>
        <w:t>…</w:t>
      </w:r>
      <w:r>
        <w:rPr>
          <w:rFonts w:ascii="Book Antiqua"/>
          <w:rtl w:val="0"/>
          <w:lang w:val="it-IT"/>
        </w:rPr>
        <w:t>], attivit</w:t>
      </w:r>
      <w:r>
        <w:rPr>
          <w:rFonts w:hAnsi="Book Antiqua" w:hint="default"/>
          <w:rtl w:val="0"/>
          <w:lang w:val="it-IT"/>
        </w:rPr>
        <w:t xml:space="preserve">à </w:t>
      </w:r>
      <w:r>
        <w:rPr>
          <w:rFonts w:ascii="Book Antiqua"/>
          <w:rtl w:val="0"/>
          <w:lang w:val="it-IT"/>
        </w:rPr>
        <w:t>che avveniva sotto il diretto controllo del Consorzio per lo sviluppo industriale per la provincia di Rieti,</w:t>
        <w:tab/>
        <w:t>in persona del legale rappresentante [</w:t>
      </w:r>
      <w:r>
        <w:rPr>
          <w:rFonts w:hAnsi="Book Antiqua" w:hint="default"/>
          <w:rtl w:val="0"/>
          <w:lang w:val="it-IT"/>
        </w:rPr>
        <w:t>…</w:t>
      </w:r>
      <w:r>
        <w:rPr>
          <w:rFonts w:ascii="Book Antiqua"/>
          <w:rtl w:val="0"/>
          <w:lang w:val="it-IT"/>
        </w:rPr>
        <w:t>] che riceveva i rifiuti presso il depuratore sito in localit</w:t>
      </w:r>
      <w:r>
        <w:rPr>
          <w:rFonts w:hAnsi="Book Antiqua" w:hint="default"/>
          <w:rtl w:val="0"/>
          <w:lang w:val="it-IT"/>
        </w:rPr>
        <w:t xml:space="preserve">à </w:t>
      </w:r>
      <w:r>
        <w:rPr>
          <w:rFonts w:ascii="Book Antiqua"/>
          <w:rtl w:val="0"/>
          <w:lang w:val="it-IT"/>
        </w:rPr>
        <w:t>Campo Saino - Rieti; 3) la A &amp; A S.r.l., in persona del Responsabile  IPPC [</w:t>
      </w:r>
      <w:r>
        <w:rPr>
          <w:rFonts w:hAnsi="Book Antiqua" w:hint="default"/>
          <w:rtl w:val="0"/>
          <w:lang w:val="it-IT"/>
        </w:rPr>
        <w:t>…</w:t>
      </w:r>
      <w:r>
        <w:rPr>
          <w:rFonts w:ascii="Book Antiqua"/>
          <w:rtl w:val="0"/>
          <w:lang w:val="it-IT"/>
        </w:rPr>
        <w:t>] e dell'amministratore delegato [</w:t>
      </w:r>
      <w:r>
        <w:rPr>
          <w:rFonts w:hAnsi="Book Antiqua" w:hint="default"/>
          <w:rtl w:val="0"/>
          <w:lang w:val="it-IT"/>
        </w:rPr>
        <w:t>…</w:t>
      </w:r>
      <w:r>
        <w:rPr>
          <w:rFonts w:ascii="Book Antiqua"/>
          <w:rtl w:val="0"/>
          <w:lang w:val="it-IT"/>
        </w:rPr>
        <w:t>] e sotto il diretto controllo del Consorzio per lo sviluppo industriale per la provincia di Rieti, in persona del  legale rappresentante [</w:t>
      </w:r>
      <w:r>
        <w:rPr>
          <w:rFonts w:hAnsi="Book Antiqua" w:hint="default"/>
          <w:rtl w:val="0"/>
          <w:lang w:val="it-IT"/>
        </w:rPr>
        <w:t>…</w:t>
      </w:r>
      <w:r>
        <w:rPr>
          <w:rFonts w:ascii="Book Antiqua"/>
          <w:rtl w:val="0"/>
          <w:lang w:val="it-IT"/>
        </w:rPr>
        <w:t>], gestore del depuratore di Campo Saino in Rieti, riceveva dalla Tecnoparco Valbasento S.p.A., in persona del presidente [</w:t>
      </w:r>
      <w:r>
        <w:rPr>
          <w:rFonts w:hAnsi="Book Antiqua" w:hint="default"/>
          <w:rtl w:val="0"/>
          <w:lang w:val="it-IT"/>
        </w:rPr>
        <w:t>…</w:t>
      </w:r>
      <w:r>
        <w:rPr>
          <w:rFonts w:ascii="Book Antiqua"/>
          <w:rtl w:val="0"/>
          <w:lang w:val="it-IT"/>
        </w:rPr>
        <w:t>] e del vicepresidente [</w:t>
      </w:r>
      <w:r>
        <w:rPr>
          <w:rFonts w:hAnsi="Book Antiqua" w:hint="default"/>
          <w:rtl w:val="0"/>
          <w:lang w:val="it-IT"/>
        </w:rPr>
        <w:t>…</w:t>
      </w:r>
      <w:r>
        <w:rPr>
          <w:rFonts w:ascii="Book Antiqua"/>
          <w:rtl w:val="0"/>
          <w:lang w:val="it-IT"/>
        </w:rPr>
        <w:t xml:space="preserve">], e gestiva abusivamente, in violazione dell'art 110 del decreto legislativo  3 aprile 2006, n. 152, ingenti quantitativi di rifiuti, pari ad un peso di circa 3.364,900 Kg di rifiuti liquidi aventi, apparentemente, codice CER 16.10.02 "soluzioni acquose di scarto contenenti sostanze pericolose", diverse da quelle di cui al codice CER 16.10.01*, per un corrispettivo di </w:t>
      </w:r>
      <w:r>
        <w:rPr>
          <w:rFonts w:hAnsi="Book Antiqua" w:hint="default"/>
          <w:rtl w:val="0"/>
          <w:lang w:val="it-IT"/>
        </w:rPr>
        <w:t xml:space="preserve">€ </w:t>
      </w:r>
      <w:r>
        <w:rPr>
          <w:rFonts w:ascii="Book Antiqua"/>
          <w:rtl w:val="0"/>
          <w:lang w:val="it-IT"/>
        </w:rPr>
        <w:t>0.045 al Kg. In Pisticci (MT) e Rieti, dal giugno 2014 al 12 gennaio 2015</w:t>
      </w:r>
    </w:p>
    <w:p>
      <w:pPr>
        <w:pStyle w:val="Normal"/>
        <w:ind w:left="567" w:right="567" w:firstLine="0"/>
        <w:jc w:val="both"/>
        <w:rPr>
          <w:rFonts w:ascii="Book Antiqua" w:cs="Book Antiqua" w:hAnsi="Book Antiqua" w:eastAsia="Book Antiqua"/>
        </w:rPr>
      </w:pPr>
      <w:r>
        <w:rPr>
          <w:rFonts w:ascii="Book Antiqua"/>
          <w:rtl w:val="0"/>
          <w:lang w:val="it-IT"/>
        </w:rPr>
        <w:t xml:space="preserve">Il secondo procedimento riguarda una centrale elettrica a biomasse del comune di Cittaducale, ove "comunissimi rifiuti" venivano falsamente qualificati come prodotti combustibili  utilizzabili nella centrale stessa, con la conseguenza, tra l'altro, che gli indagati lucravano l'ingiusto profitto "rappresentato dall'erogazione a loro favore da parte del G.S.E. del contributo previsto dalla tariffa omnicomprensiva per la produzione di energia elettrica "verde", per una cifra complessiva, riferita al quadriennio 2012-2015, pari a </w:t>
      </w:r>
      <w:r>
        <w:rPr>
          <w:rFonts w:hAnsi="Book Antiqua" w:hint="default"/>
          <w:rtl w:val="0"/>
          <w:lang w:val="it-IT"/>
        </w:rPr>
        <w:t xml:space="preserve">€ </w:t>
      </w:r>
      <w:r>
        <w:rPr>
          <w:rFonts w:ascii="Book Antiqua"/>
          <w:rtl w:val="0"/>
          <w:lang w:val="it-IT"/>
        </w:rPr>
        <w:t>2.146.241,06".</w:t>
      </w:r>
    </w:p>
    <w:p>
      <w:pPr>
        <w:pStyle w:val="Normal"/>
        <w:ind w:left="567" w:right="567" w:firstLine="0"/>
        <w:jc w:val="both"/>
        <w:rPr>
          <w:rFonts w:ascii="Book Antiqua" w:cs="Book Antiqua" w:hAnsi="Book Antiqua" w:eastAsia="Book Antiqua"/>
        </w:rPr>
      </w:pPr>
      <w:r>
        <w:rPr>
          <w:rFonts w:ascii="Book Antiqua"/>
          <w:rtl w:val="0"/>
          <w:lang w:val="it-IT"/>
        </w:rPr>
        <w:t>Anche in questo caso, vale la pena di riportare integralmente dall'avviso di conclusione delle indagini preliminari</w:t>
      </w:r>
      <w:r>
        <w:rPr>
          <w:rFonts w:ascii="Book Antiqua" w:cs="Book Antiqua" w:hAnsi="Book Antiqua" w:eastAsia="Book Antiqua"/>
          <w:vertAlign w:val="superscript"/>
          <w:rtl w:val="0"/>
        </w:rPr>
        <w:footnoteReference w:id="241"/>
      </w:r>
      <w:r>
        <w:rPr>
          <w:rFonts w:ascii="Book Antiqua"/>
          <w:rtl w:val="0"/>
          <w:lang w:val="it-IT"/>
        </w:rPr>
        <w:t xml:space="preserve"> (doc. 1820/4), del 14 febbraio 2017, gli addebiti relativi ai reati di truffa aggravata per il conseguimento di erogazioni pubbliche (articolo 640 bis del codice penale), nonch</w:t>
      </w:r>
      <w:r>
        <w:rPr>
          <w:rFonts w:hAnsi="Book Antiqua" w:hint="default"/>
          <w:rtl w:val="0"/>
          <w:lang w:val="it-IT"/>
        </w:rPr>
        <w:t>é</w:t>
      </w:r>
      <w:r>
        <w:rPr>
          <w:rFonts w:ascii="Book Antiqua"/>
          <w:rtl w:val="0"/>
          <w:lang w:val="it-IT"/>
        </w:rPr>
        <w:t xml:space="preserve"> gestione e combustione illecita di rifiuti (articoli 260 e 260 bis decreto legislativo n. 152 del 2006).</w:t>
      </w:r>
    </w:p>
    <w:p>
      <w:pPr>
        <w:pStyle w:val="Normal"/>
        <w:ind w:left="567" w:right="567" w:firstLine="0"/>
        <w:jc w:val="both"/>
        <w:rPr>
          <w:rFonts w:ascii="Book Antiqua" w:cs="Book Antiqua" w:hAnsi="Book Antiqua" w:eastAsia="Book Antiqua"/>
        </w:rPr>
      </w:pPr>
      <w:r>
        <w:rPr>
          <w:rFonts w:ascii="Book Antiqua"/>
          <w:rtl w:val="0"/>
          <w:lang w:val="it-IT"/>
        </w:rPr>
        <w:t>Gli addebiti provvisori contenuti nell</w:t>
      </w:r>
      <w:r>
        <w:rPr>
          <w:rFonts w:hAnsi="Book Antiqua" w:hint="default"/>
          <w:rtl w:val="0"/>
          <w:lang w:val="it-IT"/>
        </w:rPr>
        <w:t>’</w:t>
      </w:r>
      <w:r>
        <w:rPr>
          <w:rFonts w:ascii="Book Antiqua"/>
          <w:rtl w:val="0"/>
          <w:lang w:val="it-IT"/>
        </w:rPr>
        <w:t>avviso di conclusione delle indagini preliminari sono i seguenti:</w:t>
      </w:r>
    </w:p>
    <w:p>
      <w:pPr>
        <w:pStyle w:val="Normal"/>
        <w:ind w:left="567" w:right="567" w:firstLine="0"/>
        <w:jc w:val="both"/>
        <w:rPr>
          <w:rFonts w:ascii="Book Antiqua" w:cs="Book Antiqua" w:hAnsi="Book Antiqua" w:eastAsia="Book Antiqua"/>
        </w:rPr>
      </w:pPr>
      <w:r>
        <w:rPr>
          <w:rFonts w:hAnsi="Book Antiqua" w:hint="default"/>
          <w:rtl w:val="0"/>
          <w:lang w:val="it-IT"/>
        </w:rPr>
        <w:t>“</w:t>
      </w:r>
      <w:r>
        <w:rPr>
          <w:rFonts w:ascii="Book Antiqua"/>
          <w:rtl w:val="0"/>
          <w:lang w:val="it-IT"/>
        </w:rPr>
        <w:t>del reato di cui agli articoli 81, comma 2, 110 e 640 bis del codice penale, per avere, in concorso tra loro, con pi</w:t>
      </w:r>
      <w:r>
        <w:rPr>
          <w:rFonts w:hAnsi="Book Antiqua" w:hint="default"/>
          <w:rtl w:val="0"/>
          <w:lang w:val="it-IT"/>
        </w:rPr>
        <w:t xml:space="preserve">ù </w:t>
      </w:r>
      <w:r>
        <w:rPr>
          <w:rFonts w:ascii="Book Antiqua"/>
          <w:rtl w:val="0"/>
          <w:lang w:val="it-IT"/>
        </w:rPr>
        <w:t>condotte autonome ma convergenti verso il medesimo fine ed esecutive del medesimo disegno criminoso, Beretta Francesco nella qualit</w:t>
      </w:r>
      <w:r>
        <w:rPr>
          <w:rFonts w:hAnsi="Book Antiqua" w:hint="default"/>
          <w:rtl w:val="0"/>
          <w:lang w:val="it-IT"/>
        </w:rPr>
        <w:t xml:space="preserve">à </w:t>
      </w:r>
      <w:r>
        <w:rPr>
          <w:rFonts w:ascii="Book Antiqua"/>
          <w:rtl w:val="0"/>
          <w:lang w:val="it-IT"/>
        </w:rPr>
        <w:t>di legale rappresentante della societ</w:t>
      </w:r>
      <w:r>
        <w:rPr>
          <w:rFonts w:hAnsi="Book Antiqua" w:hint="default"/>
          <w:rtl w:val="0"/>
          <w:lang w:val="it-IT"/>
        </w:rPr>
        <w:t xml:space="preserve">à </w:t>
      </w:r>
      <w:r>
        <w:rPr>
          <w:rFonts w:ascii="Book Antiqua"/>
          <w:rtl w:val="0"/>
          <w:lang w:val="it-IT"/>
        </w:rPr>
        <w:t>"Tecnogarden Service srl" e Andreoli Bonazzi Flavio nella qualit</w:t>
      </w:r>
      <w:r>
        <w:rPr>
          <w:rFonts w:hAnsi="Book Antiqua" w:hint="default"/>
          <w:rtl w:val="0"/>
          <w:lang w:val="it-IT"/>
        </w:rPr>
        <w:t xml:space="preserve">à </w:t>
      </w:r>
      <w:r>
        <w:rPr>
          <w:rFonts w:ascii="Book Antiqua"/>
          <w:rtl w:val="0"/>
          <w:lang w:val="it-IT"/>
        </w:rPr>
        <w:t>di legale rappresentante della societ</w:t>
      </w:r>
      <w:r>
        <w:rPr>
          <w:rFonts w:hAnsi="Book Antiqua" w:hint="default"/>
          <w:rtl w:val="0"/>
          <w:lang w:val="it-IT"/>
        </w:rPr>
        <w:t xml:space="preserve">à </w:t>
      </w:r>
      <w:r>
        <w:rPr>
          <w:rFonts w:ascii="Book Antiqua"/>
          <w:rtl w:val="0"/>
          <w:lang w:val="it-IT"/>
        </w:rPr>
        <w:t>"Epico Biomasse srl</w:t>
      </w:r>
      <w:r>
        <w:rPr>
          <w:rFonts w:hAnsi="Book Antiqua" w:hint="default"/>
          <w:rtl w:val="0"/>
          <w:lang w:val="it-IT"/>
        </w:rPr>
        <w:t xml:space="preserve">» </w:t>
      </w:r>
      <w:r>
        <w:rPr>
          <w:rFonts w:ascii="Book Antiqua"/>
          <w:rtl w:val="0"/>
          <w:lang w:val="it-IT"/>
        </w:rPr>
        <w:t>con artifizi e raggiri consistiti:</w:t>
      </w:r>
    </w:p>
    <w:p>
      <w:pPr>
        <w:pStyle w:val="Normal"/>
        <w:ind w:left="567" w:right="567" w:firstLine="0"/>
        <w:jc w:val="both"/>
        <w:rPr>
          <w:rFonts w:ascii="Book Antiqua" w:cs="Book Antiqua" w:hAnsi="Book Antiqua" w:eastAsia="Book Antiqua"/>
        </w:rPr>
      </w:pPr>
      <w:r>
        <w:rPr>
          <w:rFonts w:ascii="Book Antiqua"/>
          <w:rtl w:val="0"/>
          <w:lang w:val="it-IT"/>
        </w:rPr>
        <w:t>con riferimento alla societ</w:t>
      </w:r>
      <w:r>
        <w:rPr>
          <w:rFonts w:hAnsi="Book Antiqua" w:hint="default"/>
          <w:rtl w:val="0"/>
          <w:lang w:val="it-IT"/>
        </w:rPr>
        <w:t xml:space="preserve">à </w:t>
      </w:r>
      <w:r>
        <w:rPr>
          <w:rFonts w:ascii="Book Antiqua"/>
          <w:rtl w:val="0"/>
          <w:lang w:val="it-IT"/>
        </w:rPr>
        <w:t>" Tecnogarden Service srl ":</w:t>
      </w:r>
    </w:p>
    <w:p>
      <w:pPr>
        <w:pStyle w:val="Normal"/>
        <w:ind w:left="567" w:right="567" w:firstLine="0"/>
        <w:jc w:val="both"/>
        <w:rPr>
          <w:rFonts w:ascii="Book Antiqua" w:cs="Book Antiqua" w:hAnsi="Book Antiqua" w:eastAsia="Book Antiqua"/>
        </w:rPr>
      </w:pPr>
      <w:r>
        <w:rPr>
          <w:rFonts w:ascii="Book Antiqua"/>
          <w:rtl w:val="0"/>
          <w:lang w:val="it-IT"/>
        </w:rPr>
        <w:t>nel classificare quale cippato, in luogo della reale natura di rifiuto, il materiale che veniva ceduto quale prodotto combustibile alla " Epico Biomasse srl " di Cittaducale per il funzionamento della predetta Centrale a biomasse in assenza di qualsiasi certificazione di qualit</w:t>
      </w:r>
      <w:r>
        <w:rPr>
          <w:rFonts w:hAnsi="Book Antiqua" w:hint="default"/>
          <w:rtl w:val="0"/>
          <w:lang w:val="it-IT"/>
        </w:rPr>
        <w:t xml:space="preserve">à </w:t>
      </w:r>
      <w:r>
        <w:rPr>
          <w:rFonts w:ascii="Book Antiqua"/>
          <w:rtl w:val="0"/>
          <w:lang w:val="it-IT"/>
        </w:rPr>
        <w:t>del prodotto e d</w:t>
      </w:r>
      <w:r>
        <w:rPr>
          <w:rFonts w:hAnsi="Book Antiqua" w:hint="default"/>
          <w:rtl w:val="0"/>
          <w:lang w:val="it-IT"/>
        </w:rPr>
        <w:t xml:space="preserve">ì </w:t>
      </w:r>
      <w:r>
        <w:rPr>
          <w:rFonts w:ascii="Book Antiqua"/>
          <w:rtl w:val="0"/>
          <w:lang w:val="it-IT"/>
        </w:rPr>
        <w:t>filiera, nelle percentuali annuali (sul totale) dell'80 per cento nel 2012, del 46.92 per cento nel 2013, del 57,15 per cento nel 2014 e del 28,82 per cento nel 2015 (fino al 17.11.2015):</w:t>
      </w:r>
    </w:p>
    <w:p>
      <w:pPr>
        <w:pStyle w:val="Normal"/>
        <w:ind w:left="567" w:right="567" w:firstLine="0"/>
        <w:jc w:val="both"/>
        <w:rPr>
          <w:rFonts w:ascii="Book Antiqua" w:cs="Book Antiqua" w:hAnsi="Book Antiqua" w:eastAsia="Book Antiqua"/>
        </w:rPr>
      </w:pPr>
      <w:r>
        <w:rPr>
          <w:rFonts w:ascii="Book Antiqua"/>
          <w:rtl w:val="0"/>
          <w:lang w:val="it-IT"/>
        </w:rPr>
        <w:t>con riferimento alla societ</w:t>
      </w:r>
      <w:r>
        <w:rPr>
          <w:rFonts w:hAnsi="Book Antiqua" w:hint="default"/>
          <w:rtl w:val="0"/>
          <w:lang w:val="it-IT"/>
        </w:rPr>
        <w:t xml:space="preserve">à </w:t>
      </w:r>
      <w:r>
        <w:rPr>
          <w:rFonts w:ascii="Book Antiqua"/>
          <w:rtl w:val="0"/>
          <w:lang w:val="it-IT"/>
        </w:rPr>
        <w:t>" Epico Biomasse srl":</w:t>
      </w:r>
    </w:p>
    <w:p>
      <w:pPr>
        <w:pStyle w:val="Normal"/>
        <w:ind w:left="567" w:right="567" w:firstLine="0"/>
        <w:jc w:val="both"/>
        <w:rPr>
          <w:rFonts w:ascii="Book Antiqua" w:cs="Book Antiqua" w:hAnsi="Book Antiqua" w:eastAsia="Book Antiqua"/>
        </w:rPr>
      </w:pPr>
      <w:r>
        <w:rPr>
          <w:rFonts w:ascii="Book Antiqua"/>
          <w:rtl w:val="0"/>
          <w:lang w:val="it-IT"/>
        </w:rPr>
        <w:t>nel ricevere, dalla societ</w:t>
      </w:r>
      <w:r>
        <w:rPr>
          <w:rFonts w:hAnsi="Book Antiqua" w:hint="default"/>
          <w:rtl w:val="0"/>
          <w:lang w:val="it-IT"/>
        </w:rPr>
        <w:t xml:space="preserve">à </w:t>
      </w:r>
      <w:r>
        <w:rPr>
          <w:rFonts w:ascii="Book Antiqua"/>
          <w:rtl w:val="0"/>
          <w:lang w:val="it-IT"/>
        </w:rPr>
        <w:t>" Tecnogarden Service srl</w:t>
      </w:r>
      <w:r>
        <w:rPr>
          <w:rFonts w:hAnsi="Book Antiqua" w:hint="default"/>
          <w:rtl w:val="0"/>
          <w:lang w:val="it-IT"/>
        </w:rPr>
        <w:t xml:space="preserve">” </w:t>
      </w:r>
      <w:r>
        <w:rPr>
          <w:rFonts w:ascii="Book Antiqua"/>
          <w:rtl w:val="0"/>
          <w:lang w:val="it-IT"/>
        </w:rPr>
        <w:t xml:space="preserve">materiale classificato rifiuto dall'ARPA Lazio che veniva utilizzato come combustibile per il funzionamento della centrale a biomasse, omettendo la verifica del materiale in entrata, in violazione alla Autorizzazione Unica n. 17 del 1.8.2011 rilasciata dalla provincia di Rieti e trasmessa al G.S.E. (Gestore dei Servizi Energetici GSE S.p.A. Socio unico Ministero dell'economia e delle finanze </w:t>
      </w:r>
      <w:r>
        <w:rPr>
          <w:rFonts w:ascii="Book Antiqua"/>
          <w:sz w:val="22"/>
          <w:szCs w:val="22"/>
          <w:rtl w:val="0"/>
          <w:lang w:val="it-IT"/>
        </w:rPr>
        <w:t>decreto legislativo</w:t>
      </w:r>
      <w:r>
        <w:rPr>
          <w:rFonts w:ascii="Book Antiqua"/>
          <w:rtl w:val="0"/>
          <w:lang w:val="it-IT"/>
        </w:rPr>
        <w:t xml:space="preserve"> 79) al fine dell'ottenimento delta tariffa omnicomprensiva, che prevede la combustione di </w:t>
      </w:r>
      <w:r>
        <w:rPr>
          <w:rFonts w:hAnsi="Book Antiqua" w:hint="default"/>
          <w:rtl w:val="0"/>
          <w:lang w:val="it-IT"/>
        </w:rPr>
        <w:t>“</w:t>
      </w:r>
      <w:r>
        <w:rPr>
          <w:rFonts w:ascii="Book Antiqua"/>
          <w:rtl w:val="0"/>
          <w:lang w:val="it-IT"/>
        </w:rPr>
        <w:t>Cippato di pioppo, legname proveniente dalle operazioni di taglio e manutenzione dei boschi e potature " e dell'articolo 10, comma 1, e dell'allegato 2, punto 2, del decreto legislativo n. 28 del 2011 in riferimento alle classi di qualit</w:t>
      </w:r>
      <w:r>
        <w:rPr>
          <w:rFonts w:hAnsi="Book Antiqua" w:hint="default"/>
          <w:rtl w:val="0"/>
          <w:lang w:val="it-IT"/>
        </w:rPr>
        <w:t xml:space="preserve">à </w:t>
      </w:r>
      <w:r>
        <w:rPr>
          <w:rFonts w:ascii="Book Antiqua"/>
          <w:rtl w:val="0"/>
          <w:lang w:val="it-IT"/>
        </w:rPr>
        <w:t>Al e A2 indicate nelle norme UNI EN14961-2 per il pellet e UNI EN14961- 4 per il cippato, omettendo il controllo di qualit</w:t>
      </w:r>
      <w:r>
        <w:rPr>
          <w:rFonts w:hAnsi="Book Antiqua" w:hint="default"/>
          <w:rtl w:val="0"/>
          <w:lang w:val="it-IT"/>
        </w:rPr>
        <w:t xml:space="preserve">à </w:t>
      </w:r>
      <w:r>
        <w:rPr>
          <w:rFonts w:ascii="Book Antiqua"/>
          <w:rtl w:val="0"/>
          <w:lang w:val="it-IT"/>
        </w:rPr>
        <w:t>del combustibile in ingresso anche attraverso verifiche documentali attestanti la tracciabilit</w:t>
      </w:r>
      <w:r>
        <w:rPr>
          <w:rFonts w:hAnsi="Book Antiqua" w:hint="default"/>
          <w:rtl w:val="0"/>
          <w:lang w:val="it-IT"/>
        </w:rPr>
        <w:t xml:space="preserve">à </w:t>
      </w:r>
      <w:r>
        <w:rPr>
          <w:rFonts w:ascii="Book Antiqua"/>
          <w:rtl w:val="0"/>
          <w:lang w:val="it-IT"/>
        </w:rPr>
        <w:t>della filiera di produzione delle biomasse vergini;</w:t>
      </w:r>
    </w:p>
    <w:p>
      <w:pPr>
        <w:pStyle w:val="Normal"/>
        <w:ind w:left="567" w:right="567" w:firstLine="0"/>
        <w:jc w:val="both"/>
        <w:rPr>
          <w:rFonts w:ascii="Book Antiqua" w:cs="Book Antiqua" w:hAnsi="Book Antiqua" w:eastAsia="Book Antiqua"/>
        </w:rPr>
      </w:pPr>
      <w:r>
        <w:rPr>
          <w:rFonts w:ascii="Book Antiqua"/>
          <w:rtl w:val="0"/>
          <w:lang w:val="it-IT"/>
        </w:rPr>
        <w:t>nel comunicare alla provincia di Rieti, con note assunte al protocollo dell'ente al</w:t>
      </w:r>
    </w:p>
    <w:p>
      <w:pPr>
        <w:pStyle w:val="Normal"/>
        <w:ind w:left="567" w:right="567" w:firstLine="0"/>
        <w:jc w:val="both"/>
        <w:rPr>
          <w:rFonts w:ascii="Book Antiqua" w:cs="Book Antiqua" w:hAnsi="Book Antiqua" w:eastAsia="Book Antiqua"/>
        </w:rPr>
      </w:pPr>
      <w:r>
        <w:rPr>
          <w:rFonts w:ascii="Book Antiqua"/>
          <w:rtl w:val="0"/>
          <w:lang w:val="it-IT"/>
        </w:rPr>
        <w:t>n. 20828 del 18.06.2013. al n. 14289 del 28.04.2014 e al n. 22937 del 22.05.2015, al fine di adempiere al punto 19 dell'autorizzazione unica n. 17 del 2011, come modificata dalla determina n. 283 del 10.08.2011, autocertificando la qualit</w:t>
      </w:r>
      <w:r>
        <w:rPr>
          <w:rFonts w:hAnsi="Book Antiqua" w:hint="default"/>
          <w:rtl w:val="0"/>
          <w:lang w:val="it-IT"/>
        </w:rPr>
        <w:t xml:space="preserve">à </w:t>
      </w:r>
      <w:r>
        <w:rPr>
          <w:rFonts w:ascii="Book Antiqua"/>
          <w:rtl w:val="0"/>
          <w:lang w:val="it-IT"/>
        </w:rPr>
        <w:t>del materiale in contrasto con quanto emerso nella relazione dall'ARPA Lazio con nota n. 96983 del 7.12.2015;</w:t>
      </w:r>
    </w:p>
    <w:p>
      <w:pPr>
        <w:pStyle w:val="Normal"/>
        <w:ind w:left="567" w:right="567" w:firstLine="0"/>
        <w:jc w:val="both"/>
        <w:rPr>
          <w:rFonts w:ascii="Book Antiqua" w:cs="Book Antiqua" w:hAnsi="Book Antiqua" w:eastAsia="Book Antiqua"/>
        </w:rPr>
      </w:pPr>
      <w:r>
        <w:rPr>
          <w:rFonts w:ascii="Book Antiqua"/>
          <w:rtl w:val="0"/>
          <w:lang w:val="it-IT"/>
        </w:rPr>
        <w:t>tutto ci</w:t>
      </w:r>
      <w:r>
        <w:rPr>
          <w:rFonts w:hAnsi="Book Antiqua" w:hint="default"/>
          <w:rtl w:val="0"/>
          <w:lang w:val="it-IT"/>
        </w:rPr>
        <w:t xml:space="preserve">ò </w:t>
      </w:r>
      <w:r>
        <w:rPr>
          <w:rFonts w:ascii="Book Antiqua"/>
          <w:rtl w:val="0"/>
          <w:lang w:val="it-IT"/>
        </w:rPr>
        <w:t>al fine di utilizzare, per il funzionamento della centrale a biomasse gestita dalla "Epico Biomasse srl", combustibile non idoneo, cosi inducendo in errore il G.S.E. sulla qualit</w:t>
      </w:r>
      <w:r>
        <w:rPr>
          <w:rFonts w:hAnsi="Book Antiqua" w:hint="default"/>
          <w:rtl w:val="0"/>
          <w:lang w:val="it-IT"/>
        </w:rPr>
        <w:t xml:space="preserve">à </w:t>
      </w:r>
      <w:r>
        <w:rPr>
          <w:rFonts w:ascii="Book Antiqua"/>
          <w:rtl w:val="0"/>
          <w:lang w:val="it-IT"/>
        </w:rPr>
        <w:t xml:space="preserve">del combustibile utilizzato per la produzione di energia elettrica, non conforme alla sopra citata Autorizzazione Unica e a quanto previsto dalla normativa sopra richiamata, si procuravano l'ingiusto profitto, in quanto non dovuto, rappresentato dall'erogazione a loro favore da parte del G.S.E. del contributo previsto dalla tariffa omnicomprensiva per la produzione di energia elettrica "verde", per una cifra complessiva, riferita al quadriennio 2012-2015, pari a </w:t>
      </w:r>
      <w:r>
        <w:rPr>
          <w:rFonts w:hAnsi="Book Antiqua" w:hint="default"/>
          <w:rtl w:val="0"/>
          <w:lang w:val="it-IT"/>
        </w:rPr>
        <w:t xml:space="preserve">€ </w:t>
      </w:r>
      <w:r>
        <w:rPr>
          <w:rFonts w:ascii="Book Antiqua"/>
          <w:rtl w:val="0"/>
          <w:lang w:val="it-IT"/>
        </w:rPr>
        <w:t>2.146.241,06 (cos</w:t>
      </w:r>
      <w:r>
        <w:rPr>
          <w:rFonts w:hAnsi="Book Antiqua" w:hint="default"/>
          <w:rtl w:val="0"/>
          <w:lang w:val="it-IT"/>
        </w:rPr>
        <w:t xml:space="preserve">ì </w:t>
      </w:r>
      <w:r>
        <w:rPr>
          <w:rFonts w:ascii="Book Antiqua"/>
          <w:rtl w:val="0"/>
          <w:lang w:val="it-IT"/>
        </w:rPr>
        <w:t xml:space="preserve">ottenuti: anno 2012 materiale da Tecnogarden 80 per cento totale contributo GSE </w:t>
      </w:r>
      <w:r>
        <w:rPr>
          <w:rFonts w:hAnsi="Book Antiqua" w:hint="default"/>
          <w:rtl w:val="0"/>
          <w:lang w:val="it-IT"/>
        </w:rPr>
        <w:t xml:space="preserve">€ </w:t>
      </w:r>
      <w:r>
        <w:rPr>
          <w:rFonts w:ascii="Book Antiqua"/>
          <w:rtl w:val="0"/>
          <w:lang w:val="it-IT"/>
        </w:rPr>
        <w:t xml:space="preserve">192.191.70 somma illecitamente percepita </w:t>
      </w:r>
      <w:r>
        <w:rPr>
          <w:rFonts w:hAnsi="Book Antiqua" w:hint="default"/>
          <w:rtl w:val="0"/>
          <w:lang w:val="it-IT"/>
        </w:rPr>
        <w:t xml:space="preserve">€ </w:t>
      </w:r>
      <w:r>
        <w:rPr>
          <w:rFonts w:ascii="Book Antiqua"/>
          <w:rtl w:val="0"/>
          <w:lang w:val="it-IT"/>
        </w:rPr>
        <w:t xml:space="preserve">153.753.36; anno 2013 materiale da Tecnogarden 46,92 per cento totale contributo GSE </w:t>
      </w:r>
      <w:r>
        <w:rPr>
          <w:rFonts w:hAnsi="Book Antiqua" w:hint="default"/>
          <w:rtl w:val="0"/>
          <w:lang w:val="it-IT"/>
        </w:rPr>
        <w:t xml:space="preserve">€ </w:t>
      </w:r>
      <w:r>
        <w:rPr>
          <w:rFonts w:ascii="Book Antiqua"/>
          <w:rtl w:val="0"/>
          <w:lang w:val="it-IT"/>
        </w:rPr>
        <w:t xml:space="preserve">1.445.597.61 somma illecitamente percepita </w:t>
      </w:r>
      <w:r>
        <w:rPr>
          <w:rFonts w:hAnsi="Book Antiqua" w:hint="default"/>
          <w:rtl w:val="0"/>
          <w:lang w:val="it-IT"/>
        </w:rPr>
        <w:t xml:space="preserve">€ </w:t>
      </w:r>
      <w:r>
        <w:rPr>
          <w:rFonts w:ascii="Book Antiqua"/>
          <w:rtl w:val="0"/>
          <w:lang w:val="it-IT"/>
        </w:rPr>
        <w:t xml:space="preserve">678.274,39; anno 2014 materiale da Tecnogarden 57,15 per cento totale contributo GSE </w:t>
      </w:r>
      <w:r>
        <w:rPr>
          <w:rFonts w:hAnsi="Book Antiqua" w:hint="default"/>
          <w:rtl w:val="0"/>
          <w:lang w:val="it-IT"/>
        </w:rPr>
        <w:t xml:space="preserve">€ </w:t>
      </w:r>
      <w:r>
        <w:rPr>
          <w:rFonts w:ascii="Book Antiqua"/>
          <w:rtl w:val="0"/>
          <w:lang w:val="it-IT"/>
        </w:rPr>
        <w:t xml:space="preserve">1.536.247.34 somma illecitamente percepita </w:t>
      </w:r>
      <w:r>
        <w:rPr>
          <w:rFonts w:hAnsi="Book Antiqua" w:hint="default"/>
          <w:rtl w:val="0"/>
          <w:lang w:val="it-IT"/>
        </w:rPr>
        <w:t xml:space="preserve">€ </w:t>
      </w:r>
      <w:r>
        <w:rPr>
          <w:rFonts w:ascii="Book Antiqua"/>
          <w:rtl w:val="0"/>
          <w:lang w:val="it-IT"/>
        </w:rPr>
        <w:t xml:space="preserve">877.965,35; anno 2015 materiale da Tecnogarden 28.82 per cento totale contributo GSE </w:t>
      </w:r>
      <w:r>
        <w:rPr>
          <w:rFonts w:hAnsi="Book Antiqua" w:hint="default"/>
          <w:rtl w:val="0"/>
          <w:lang w:val="it-IT"/>
        </w:rPr>
        <w:t xml:space="preserve">€ </w:t>
      </w:r>
      <w:r>
        <w:rPr>
          <w:rFonts w:ascii="Book Antiqua"/>
          <w:rtl w:val="0"/>
          <w:lang w:val="it-IT"/>
        </w:rPr>
        <w:t xml:space="preserve">1.513.698.64 somma illecitamente percepita </w:t>
      </w:r>
      <w:r>
        <w:rPr>
          <w:rFonts w:hAnsi="Book Antiqua" w:hint="default"/>
          <w:rtl w:val="0"/>
          <w:lang w:val="it-IT"/>
        </w:rPr>
        <w:t xml:space="preserve">€ </w:t>
      </w:r>
      <w:r>
        <w:rPr>
          <w:rFonts w:ascii="Book Antiqua"/>
          <w:rtl w:val="0"/>
          <w:lang w:val="it-IT"/>
        </w:rPr>
        <w:t>436.247.95).</w:t>
      </w:r>
    </w:p>
    <w:p>
      <w:pPr>
        <w:pStyle w:val="Normal"/>
        <w:ind w:left="567" w:right="567" w:firstLine="0"/>
        <w:jc w:val="both"/>
        <w:rPr>
          <w:rFonts w:ascii="Book Antiqua" w:cs="Book Antiqua" w:hAnsi="Book Antiqua" w:eastAsia="Book Antiqua"/>
        </w:rPr>
      </w:pPr>
      <w:r>
        <w:rPr>
          <w:rFonts w:ascii="Book Antiqua"/>
          <w:rtl w:val="0"/>
          <w:lang w:val="it-IT"/>
        </w:rPr>
        <w:t>In Cittaducale (RI) fino al 11.01.2016</w:t>
      </w:r>
    </w:p>
    <w:p>
      <w:pPr>
        <w:pStyle w:val="Normal"/>
        <w:ind w:left="567" w:right="567" w:firstLine="0"/>
        <w:jc w:val="both"/>
        <w:rPr>
          <w:rFonts w:ascii="Book Antiqua" w:cs="Book Antiqua" w:hAnsi="Book Antiqua" w:eastAsia="Book Antiqua"/>
        </w:rPr>
      </w:pPr>
      <w:r>
        <w:rPr>
          <w:rFonts w:ascii="Book Antiqua"/>
          <w:rtl w:val="0"/>
          <w:lang w:val="it-IT"/>
        </w:rPr>
        <w:t>del reato di cui agli articoli 81, comma 2, e 110 del codice penale e 256, comma 1,2 e 4, e 256 bis, comma 2, del decreto legisaltivo n. 152 del 2006 per avere, in concorso tra loro, con pi</w:t>
      </w:r>
      <w:r>
        <w:rPr>
          <w:rFonts w:hAnsi="Book Antiqua" w:hint="default"/>
          <w:rtl w:val="0"/>
          <w:lang w:val="it-IT"/>
        </w:rPr>
        <w:t xml:space="preserve">ù </w:t>
      </w:r>
      <w:r>
        <w:rPr>
          <w:rFonts w:ascii="Book Antiqua"/>
          <w:rtl w:val="0"/>
          <w:lang w:val="it-IT"/>
        </w:rPr>
        <w:t>condotte autonome ma convergenti verso il medesimo fine ed esecutive del medesimo disegno criminoso, Beretta Francesco nella qualit</w:t>
      </w:r>
      <w:r>
        <w:rPr>
          <w:rFonts w:hAnsi="Book Antiqua" w:hint="default"/>
          <w:rtl w:val="0"/>
          <w:lang w:val="it-IT"/>
        </w:rPr>
        <w:t xml:space="preserve">à </w:t>
      </w:r>
      <w:r>
        <w:rPr>
          <w:rFonts w:ascii="Book Antiqua"/>
          <w:rtl w:val="0"/>
          <w:lang w:val="it-IT"/>
        </w:rPr>
        <w:t>di legale rappresentante della societ</w:t>
      </w:r>
      <w:r>
        <w:rPr>
          <w:rFonts w:hAnsi="Book Antiqua" w:hint="default"/>
          <w:rtl w:val="0"/>
          <w:lang w:val="it-IT"/>
        </w:rPr>
        <w:t xml:space="preserve">à </w:t>
      </w:r>
      <w:r>
        <w:rPr>
          <w:rFonts w:ascii="Book Antiqua"/>
          <w:rtl w:val="0"/>
          <w:lang w:val="it-IT"/>
        </w:rPr>
        <w:t>"Tecnogarden Service srl" e Andreoli Bonazzi Flavio nella qualit</w:t>
      </w:r>
      <w:r>
        <w:rPr>
          <w:rFonts w:hAnsi="Book Antiqua" w:hint="default"/>
          <w:rtl w:val="0"/>
          <w:lang w:val="it-IT"/>
        </w:rPr>
        <w:t xml:space="preserve">à </w:t>
      </w:r>
      <w:r>
        <w:rPr>
          <w:rFonts w:ascii="Book Antiqua"/>
          <w:rtl w:val="0"/>
          <w:lang w:val="it-IT"/>
        </w:rPr>
        <w:t>di legale rappresentante della societ</w:t>
      </w:r>
      <w:r>
        <w:rPr>
          <w:rFonts w:hAnsi="Book Antiqua" w:hint="default"/>
          <w:rtl w:val="0"/>
          <w:lang w:val="it-IT"/>
        </w:rPr>
        <w:t>à</w:t>
      </w:r>
      <w:r>
        <w:rPr>
          <w:rFonts w:ascii="Book Antiqua"/>
          <w:rtl w:val="0"/>
          <w:lang w:val="it-IT"/>
        </w:rPr>
        <w:t xml:space="preserve"> "Epico Biomasse srl ", effettuato, presso gli impianti delle rispettive societ</w:t>
      </w:r>
      <w:r>
        <w:rPr>
          <w:rFonts w:hAnsi="Book Antiqua" w:hint="default"/>
          <w:rtl w:val="0"/>
          <w:lang w:val="it-IT"/>
        </w:rPr>
        <w:t>à</w:t>
      </w:r>
      <w:r>
        <w:rPr>
          <w:rFonts w:ascii="Book Antiqua"/>
          <w:rtl w:val="0"/>
          <w:lang w:val="it-IT"/>
        </w:rPr>
        <w:t>, distinti entrambi al foglio 5 particella 7 del catasto del comune di Cittaducale (RI), una gestione illecita di rifiuti, cos</w:t>
      </w:r>
      <w:r>
        <w:rPr>
          <w:rFonts w:hAnsi="Book Antiqua" w:hint="default"/>
          <w:rtl w:val="0"/>
          <w:lang w:val="it-IT"/>
        </w:rPr>
        <w:t xml:space="preserve">ì </w:t>
      </w:r>
      <w:r>
        <w:rPr>
          <w:rFonts w:ascii="Book Antiqua"/>
          <w:rtl w:val="0"/>
          <w:lang w:val="it-IT"/>
        </w:rPr>
        <w:t>come meglio descritta nel capo d'imputazione che precede, producendo e avviando alla combustione presso la centrale a biomasse della "Epico Biomasse srl" rifiuti trattati e rifiuti privi di tracciabilit</w:t>
      </w:r>
      <w:r>
        <w:rPr>
          <w:rFonts w:hAnsi="Book Antiqua" w:hint="default"/>
          <w:rtl w:val="0"/>
          <w:lang w:val="it-IT"/>
        </w:rPr>
        <w:t xml:space="preserve">à </w:t>
      </w:r>
      <w:r>
        <w:rPr>
          <w:rFonts w:ascii="Book Antiqua"/>
          <w:rtl w:val="0"/>
          <w:lang w:val="it-IT"/>
        </w:rPr>
        <w:t>in assenza di valide autorizzazioni.</w:t>
      </w:r>
    </w:p>
    <w:p>
      <w:pPr>
        <w:pStyle w:val="Normal"/>
        <w:ind w:left="567" w:right="567" w:firstLine="0"/>
        <w:jc w:val="both"/>
        <w:rPr>
          <w:rFonts w:ascii="Book Antiqua" w:cs="Book Antiqua" w:hAnsi="Book Antiqua" w:eastAsia="Book Antiqua"/>
        </w:rPr>
      </w:pPr>
      <w:r>
        <w:rPr>
          <w:rFonts w:ascii="Book Antiqua"/>
          <w:rtl w:val="0"/>
          <w:lang w:val="it-IT"/>
        </w:rPr>
        <w:t>In Cittaducale (RI) fino al 11.01.2016</w:t>
      </w:r>
      <w:r>
        <w:rPr>
          <w:rFonts w:hAnsi="Book Antiqua" w:hint="default"/>
          <w:rtl w:val="0"/>
          <w:lang w:val="it-IT"/>
        </w:rPr>
        <w:t>”</w:t>
      </w: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i w:val="1"/>
          <w:iCs w:val="1"/>
        </w:rPr>
      </w:pPr>
      <w:r>
        <w:rPr>
          <w:rFonts w:ascii="Book Antiqua"/>
          <w:i w:val="1"/>
          <w:iCs w:val="1"/>
          <w:rtl w:val="0"/>
          <w:lang w:val="it-IT"/>
        </w:rPr>
        <w:t>VITERBO</w:t>
      </w:r>
    </w:p>
    <w:p>
      <w:pPr>
        <w:pStyle w:val="Normal"/>
        <w:ind w:left="567" w:right="567" w:firstLine="0"/>
        <w:jc w:val="both"/>
        <w:rPr>
          <w:rFonts w:ascii="Book Antiqua Bold" w:cs="Book Antiqua Bold" w:hAnsi="Book Antiqua Bold" w:eastAsia="Book Antiqua Bold"/>
          <w:b w:val="1"/>
          <w:bCs w:val="1"/>
        </w:rPr>
      </w:pPr>
    </w:p>
    <w:p>
      <w:pPr>
        <w:pStyle w:val="Normal"/>
        <w:ind w:left="567" w:right="567" w:firstLine="0"/>
        <w:jc w:val="both"/>
        <w:rPr>
          <w:rFonts w:ascii="Book Antiqua" w:cs="Book Antiqua" w:hAnsi="Book Antiqua" w:eastAsia="Book Antiqua"/>
        </w:rPr>
      </w:pPr>
      <w:r>
        <w:rPr>
          <w:rFonts w:ascii="Book Antiqua"/>
          <w:rtl w:val="0"/>
          <w:lang w:val="it-IT"/>
        </w:rPr>
        <w:t>Sotto il profilo generale, la provincia di Viterbo, con una nota del 13 gennaio 2017,</w:t>
      </w:r>
      <w:r>
        <w:rPr>
          <w:rFonts w:ascii="Book Antiqua" w:cs="Book Antiqua" w:hAnsi="Book Antiqua" w:eastAsia="Book Antiqua"/>
          <w:vertAlign w:val="superscript"/>
          <w:rtl w:val="0"/>
        </w:rPr>
        <w:footnoteReference w:id="242"/>
      </w:r>
      <w:r>
        <w:rPr>
          <w:rFonts w:ascii="Book Antiqua"/>
          <w:rtl w:val="0"/>
          <w:lang w:val="it-IT"/>
        </w:rPr>
        <w:t xml:space="preserve"> ha evidenziato la presenza di circa 250 procedimenti di bonifica</w:t>
      </w:r>
      <w:r>
        <w:rPr>
          <w:rFonts w:ascii="Book Antiqua"/>
          <w:u w:val="single"/>
          <w:rtl w:val="0"/>
          <w:lang w:val="it-IT"/>
        </w:rPr>
        <w:t>,</w:t>
      </w:r>
      <w:r>
        <w:rPr>
          <w:rFonts w:ascii="Book Antiqua"/>
          <w:rtl w:val="0"/>
          <w:lang w:val="it-IT"/>
        </w:rPr>
        <w:t xml:space="preserve"> la maggior parte dei quali si riferisce  a bonifiche di ex discariche comunali, ex punti vendita carburanti o abbandoni di rifiuti o piccoli sversamenti sul suolo causati da incidenti stradali e/o guasti, nonch</w:t>
      </w:r>
      <w:r>
        <w:rPr>
          <w:rFonts w:hAnsi="Book Antiqua" w:hint="default"/>
          <w:rtl w:val="0"/>
          <w:lang w:val="it-IT"/>
        </w:rPr>
        <w:t>é</w:t>
      </w:r>
      <w:r>
        <w:rPr>
          <w:rFonts w:ascii="Book Antiqua"/>
          <w:rtl w:val="0"/>
          <w:lang w:val="it-IT"/>
        </w:rPr>
        <w:t xml:space="preserve"> la carente situazione degli scarichi di acque reflue urbane, specie per 61 impianti di depurazione i quali presentano "diffuse problematiche relative all'efficienza depurativa, rilevate nel corso delle attivit</w:t>
      </w:r>
      <w:r>
        <w:rPr>
          <w:rFonts w:hAnsi="Book Antiqua" w:hint="default"/>
          <w:rtl w:val="0"/>
          <w:lang w:val="it-IT"/>
        </w:rPr>
        <w:t xml:space="preserve">à </w:t>
      </w:r>
      <w:r>
        <w:rPr>
          <w:rFonts w:ascii="Book Antiqua"/>
          <w:rtl w:val="0"/>
          <w:lang w:val="it-IT"/>
        </w:rPr>
        <w:t>ispettive effettuate dai tecnici dell'Ufficio e da quelli dell'ARPA Lazio - Sezione di Viterbo".</w:t>
      </w:r>
    </w:p>
    <w:p>
      <w:pPr>
        <w:pStyle w:val="Normal"/>
        <w:ind w:left="567" w:right="567" w:firstLine="0"/>
        <w:jc w:val="both"/>
        <w:rPr>
          <w:rFonts w:ascii="Book Antiqua" w:cs="Book Antiqua" w:hAnsi="Book Antiqua" w:eastAsia="Book Antiqua"/>
        </w:rPr>
      </w:pPr>
      <w:r>
        <w:rPr>
          <w:rFonts w:ascii="Book Antiqua"/>
          <w:rtl w:val="0"/>
          <w:lang w:val="it-IT"/>
        </w:rPr>
        <w:t xml:space="preserve">Ha aggiunto che "i comuni che non possiedono </w:t>
      </w:r>
      <w:r>
        <w:rPr>
          <w:rFonts w:ascii="Book Antiqua"/>
          <w:u w:val="single"/>
          <w:rtl w:val="0"/>
          <w:lang w:val="it-IT"/>
        </w:rPr>
        <w:t>impianti di depurazione</w:t>
      </w:r>
      <w:r>
        <w:rPr>
          <w:rFonts w:ascii="Book Antiqua"/>
          <w:rtl w:val="0"/>
          <w:lang w:val="it-IT"/>
        </w:rPr>
        <w:t xml:space="preserve"> sono 11 (Bagnoregio. Bassano Romano, Canepina, Caprarola, Castel S. Elia,. Corchiano, Fabbrica di Roma, Falena, Gallese, Ischia di Castro, Vignanello), mentre sono presenti in due comuni impianti di depurazione non funzionanti (Graffignano, Vitorchiano). In sette comuni gli impianti risultano sottodimensionati (Bassano in Teverina, Blera. Capranica, Monterosi, Nepi, Sutri, Viterbo), mentre rami fognari non collettati sono presenti nei comuni di Barbarano Romano, Castiglione in Teverina, Civita Castellana, Montefiascone, Orte, Soriano nel Cimino, Vetralla, Villa San Giovanni in Tuscia.</w:t>
      </w:r>
    </w:p>
    <w:p>
      <w:pPr>
        <w:pStyle w:val="Normal"/>
        <w:ind w:left="567" w:right="567" w:firstLine="0"/>
        <w:jc w:val="both"/>
        <w:rPr>
          <w:rFonts w:ascii="Book Antiqua" w:cs="Book Antiqua" w:hAnsi="Book Antiqua" w:eastAsia="Book Antiqua"/>
        </w:rPr>
      </w:pPr>
      <w:r>
        <w:rPr>
          <w:rFonts w:ascii="Book Antiqua"/>
          <w:rtl w:val="0"/>
          <w:lang w:val="it-IT"/>
        </w:rPr>
        <w:t>Una stima approssimativa sugli abitanti equivalenti serviti, indica che dei 322.000 abitanti complessivi della provincia di Viterbo, 227.000 sono quelli effettivamente serviti da depuratori".</w:t>
      </w:r>
    </w:p>
    <w:p>
      <w:pPr>
        <w:pStyle w:val="Normal"/>
        <w:ind w:left="567" w:right="567" w:firstLine="0"/>
        <w:jc w:val="both"/>
        <w:rPr>
          <w:rFonts w:ascii="Book Antiqua" w:cs="Book Antiqua" w:hAnsi="Book Antiqua" w:eastAsia="Book Antiqua"/>
        </w:rPr>
      </w:pPr>
      <w:r>
        <w:rPr>
          <w:rFonts w:ascii="Book Antiqua"/>
          <w:rtl w:val="0"/>
          <w:lang w:val="it-IT"/>
        </w:rPr>
        <w:t>Sotto il profilo giudiziario, il sostituto procuratore della Repubblica di Viterbo, Massimiliano Siddi, nell'audizione del 21 febbraio 2017, ha rilevato che "non c</w:t>
      </w:r>
      <w:r>
        <w:rPr>
          <w:rFonts w:hAnsi="Book Antiqua" w:hint="default"/>
          <w:rtl w:val="0"/>
          <w:lang w:val="it-IT"/>
        </w:rPr>
        <w:t xml:space="preserve">’è </w:t>
      </w:r>
      <w:r>
        <w:rPr>
          <w:rFonts w:ascii="Book Antiqua"/>
          <w:rtl w:val="0"/>
          <w:lang w:val="it-IT"/>
        </w:rPr>
        <w:t>sicuramente un problema eclatante di malaffare in materia di rifiuti, ma ci sono alcune situazioni che sono state oggetto di indagine e di approfondimento", fra cui ha ricordato, oltre ad una indagine, ancora in corso, relativa ad un impianto in cui veniva trasformata una polvere contenente amianto, un procedimento sul mancato trattamento dei rifiuti che arrivavano al TMB di Viterbo, il quale "faceva parte di un filone pi</w:t>
      </w:r>
      <w:r>
        <w:rPr>
          <w:rFonts w:hAnsi="Book Antiqua" w:hint="default"/>
          <w:rtl w:val="0"/>
          <w:lang w:val="it-IT"/>
        </w:rPr>
        <w:t xml:space="preserve">ù </w:t>
      </w:r>
      <w:r>
        <w:rPr>
          <w:rFonts w:ascii="Book Antiqua"/>
          <w:rtl w:val="0"/>
          <w:lang w:val="it-IT"/>
        </w:rPr>
        <w:t>ampio, che concerneva sia il discorso del TMB, sia il discorso di appalto della raccolta dei rifiuti e dello spazzamento del comune di Viterbo"; procedimento attualmente sdoppiato in quanto "</w:t>
      </w:r>
      <w:r>
        <w:rPr>
          <w:rFonts w:hAnsi="Book Antiqua" w:hint="default"/>
          <w:rtl w:val="0"/>
          <w:lang w:val="it-IT"/>
        </w:rPr>
        <w:t xml:space="preserve">è </w:t>
      </w:r>
      <w:r>
        <w:rPr>
          <w:rFonts w:ascii="Book Antiqua"/>
          <w:rtl w:val="0"/>
          <w:lang w:val="it-IT"/>
        </w:rPr>
        <w:t xml:space="preserve">in parte confluito nella Direzione distrettuale antimafia di Roma. La tranche che riguarda il comune </w:t>
      </w:r>
      <w:r>
        <w:rPr>
          <w:rFonts w:hAnsi="Book Antiqua" w:hint="default"/>
          <w:rtl w:val="0"/>
          <w:lang w:val="it-IT"/>
        </w:rPr>
        <w:t xml:space="preserve">è </w:t>
      </w:r>
      <w:r>
        <w:rPr>
          <w:rFonts w:ascii="Book Antiqua"/>
          <w:rtl w:val="0"/>
          <w:lang w:val="it-IT"/>
        </w:rPr>
        <w:t xml:space="preserve">rimasta in carico e in gestione, per competenza, alla procura di Viterbo. Invece, la tranche che riguarda la gestione del TMB </w:t>
      </w:r>
      <w:r>
        <w:rPr>
          <w:rFonts w:hAnsi="Book Antiqua" w:hint="default"/>
          <w:rtl w:val="0"/>
          <w:lang w:val="it-IT"/>
        </w:rPr>
        <w:t xml:space="preserve">è </w:t>
      </w:r>
      <w:r>
        <w:rPr>
          <w:rFonts w:ascii="Book Antiqua"/>
          <w:rtl w:val="0"/>
          <w:lang w:val="it-IT"/>
        </w:rPr>
        <w:t>stata trasferita a Roma per competenza. Attualmente c</w:t>
      </w:r>
      <w:r>
        <w:rPr>
          <w:rFonts w:hAnsi="Book Antiqua" w:hint="default"/>
          <w:rtl w:val="0"/>
          <w:lang w:val="it-IT"/>
        </w:rPr>
        <w:t xml:space="preserve">’è </w:t>
      </w:r>
      <w:r>
        <w:rPr>
          <w:rFonts w:ascii="Book Antiqua"/>
          <w:rtl w:val="0"/>
          <w:lang w:val="it-IT"/>
        </w:rPr>
        <w:t>stata, credo qualche giorno fa, l</w:t>
      </w:r>
      <w:r>
        <w:rPr>
          <w:rFonts w:hAnsi="Book Antiqua" w:hint="default"/>
          <w:rtl w:val="0"/>
          <w:lang w:val="it-IT"/>
        </w:rPr>
        <w:t>’</w:t>
      </w:r>
      <w:r>
        <w:rPr>
          <w:rFonts w:ascii="Book Antiqua"/>
          <w:rtl w:val="0"/>
          <w:lang w:val="it-IT"/>
        </w:rPr>
        <w:t>udienza preliminare [</w:t>
      </w:r>
      <w:r>
        <w:rPr>
          <w:rFonts w:hAnsi="Book Antiqua" w:hint="default"/>
          <w:rtl w:val="0"/>
          <w:lang w:val="it-IT"/>
        </w:rPr>
        <w:t>…</w:t>
      </w:r>
      <w:r>
        <w:rPr>
          <w:rFonts w:ascii="Book Antiqua"/>
          <w:rtl w:val="0"/>
          <w:lang w:val="it-IT"/>
        </w:rPr>
        <w:t>] In buona sostanza, si trattava di mancata effettuazione delle operazioni di trasformazione del rifiuto nell</w:t>
      </w:r>
      <w:r>
        <w:rPr>
          <w:rFonts w:hAnsi="Book Antiqua" w:hint="default"/>
          <w:rtl w:val="0"/>
          <w:lang w:val="it-IT"/>
        </w:rPr>
        <w:t>’</w:t>
      </w:r>
      <w:r>
        <w:rPr>
          <w:rFonts w:ascii="Book Antiqua"/>
          <w:rtl w:val="0"/>
          <w:lang w:val="it-IT"/>
        </w:rPr>
        <w:t>ambito di questo trattamento meccanico-biologico, con ci</w:t>
      </w:r>
      <w:r>
        <w:rPr>
          <w:rFonts w:hAnsi="Book Antiqua" w:hint="default"/>
          <w:rtl w:val="0"/>
          <w:lang w:val="it-IT"/>
        </w:rPr>
        <w:t xml:space="preserve">ò </w:t>
      </w:r>
      <w:r>
        <w:rPr>
          <w:rFonts w:ascii="Book Antiqua"/>
          <w:rtl w:val="0"/>
          <w:lang w:val="it-IT"/>
        </w:rPr>
        <w:t xml:space="preserve">che questo comporta dal punto di vista della percezione indebita di emolumenti e di corrispettivi legati al fatto che, invece, il rifiuto avrebbe dovuto essere trattato in un determinato modo. Questo </w:t>
      </w:r>
      <w:r>
        <w:rPr>
          <w:rFonts w:hAnsi="Book Antiqua" w:hint="default"/>
          <w:rtl w:val="0"/>
          <w:lang w:val="it-IT"/>
        </w:rPr>
        <w:t xml:space="preserve">è </w:t>
      </w:r>
      <w:r>
        <w:rPr>
          <w:rFonts w:ascii="Book Antiqua"/>
          <w:rtl w:val="0"/>
          <w:lang w:val="it-IT"/>
        </w:rPr>
        <w:t>il fatto in estrema sintesi, in estrema sostanza. La parte, invece, che riguarda il comune, di cui mi sto occupando ancora, concerne il contratto comunale di gestione della raccolta dei rifiuti. Siamo, per</w:t>
      </w:r>
      <w:r>
        <w:rPr>
          <w:rFonts w:hAnsi="Book Antiqua" w:hint="default"/>
          <w:rtl w:val="0"/>
          <w:lang w:val="it-IT"/>
        </w:rPr>
        <w:t>ò</w:t>
      </w:r>
      <w:r>
        <w:rPr>
          <w:rFonts w:ascii="Book Antiqua"/>
          <w:rtl w:val="0"/>
          <w:lang w:val="it-IT"/>
        </w:rPr>
        <w:t xml:space="preserve">, ancora nella fase di avviso della conclusione delle indagini. Sono state ipotizzate la frode nelle pubbliche forniture e la truffa, nel senso che anche in quel caso </w:t>
      </w:r>
      <w:r>
        <w:rPr>
          <w:rFonts w:hAnsi="Book Antiqua" w:hint="default"/>
          <w:rtl w:val="0"/>
          <w:lang w:val="it-IT"/>
        </w:rPr>
        <w:t xml:space="preserve">– </w:t>
      </w:r>
      <w:r>
        <w:rPr>
          <w:rFonts w:ascii="Book Antiqua"/>
          <w:rtl w:val="0"/>
          <w:lang w:val="it-IT"/>
        </w:rPr>
        <w:t xml:space="preserve">questa </w:t>
      </w:r>
      <w:r>
        <w:rPr>
          <w:rFonts w:hAnsi="Book Antiqua" w:hint="default"/>
          <w:rtl w:val="0"/>
          <w:lang w:val="it-IT"/>
        </w:rPr>
        <w:t xml:space="preserve">è </w:t>
      </w:r>
      <w:r>
        <w:rPr>
          <w:rFonts w:ascii="Book Antiqua"/>
          <w:rtl w:val="0"/>
          <w:lang w:val="it-IT"/>
        </w:rPr>
        <w:t>l</w:t>
      </w:r>
      <w:r>
        <w:rPr>
          <w:rFonts w:hAnsi="Book Antiqua" w:hint="default"/>
          <w:rtl w:val="0"/>
          <w:lang w:val="it-IT"/>
        </w:rPr>
        <w:t>’</w:t>
      </w:r>
      <w:r>
        <w:rPr>
          <w:rFonts w:ascii="Book Antiqua"/>
          <w:rtl w:val="0"/>
          <w:lang w:val="it-IT"/>
        </w:rPr>
        <w:t xml:space="preserve">ipotesi, ovviamente, della procura </w:t>
      </w:r>
      <w:r>
        <w:rPr>
          <w:rFonts w:hAnsi="Book Antiqua" w:hint="default"/>
          <w:rtl w:val="0"/>
          <w:lang w:val="it-IT"/>
        </w:rPr>
        <w:t xml:space="preserve">– </w:t>
      </w:r>
      <w:r>
        <w:rPr>
          <w:rFonts w:ascii="Book Antiqua"/>
          <w:rtl w:val="0"/>
          <w:lang w:val="it-IT"/>
        </w:rPr>
        <w:t>le operazioni non venivano svolte correttamente, ma si percepivano degli emolumenti come se fossero state svolte in maniera corretta". Di questo procedimento, peraltro, aveva gi</w:t>
      </w:r>
      <w:r>
        <w:rPr>
          <w:rFonts w:hAnsi="Book Antiqua" w:hint="default"/>
          <w:rtl w:val="0"/>
          <w:lang w:val="it-IT"/>
        </w:rPr>
        <w:t xml:space="preserve">à </w:t>
      </w:r>
      <w:r>
        <w:rPr>
          <w:rFonts w:ascii="Book Antiqua"/>
          <w:rtl w:val="0"/>
          <w:lang w:val="it-IT"/>
        </w:rPr>
        <w:t>riferito alla Commissione il comando legione carabinieri del Lazio</w:t>
      </w:r>
      <w:r>
        <w:rPr>
          <w:rFonts w:ascii="Book Antiqua" w:cs="Book Antiqua" w:hAnsi="Book Antiqua" w:eastAsia="Book Antiqua"/>
          <w:vertAlign w:val="superscript"/>
          <w:rtl w:val="0"/>
        </w:rPr>
        <w:footnoteReference w:id="243"/>
      </w:r>
      <w:r>
        <w:rPr>
          <w:rFonts w:ascii="Book Antiqua"/>
          <w:rtl w:val="0"/>
          <w:lang w:val="it-IT"/>
        </w:rPr>
        <w:t xml:space="preserve"> evidenziando che "il 03.06.2015, personale del Comando Carabinieri per la Tutela dell</w:t>
      </w:r>
      <w:r>
        <w:rPr>
          <w:rFonts w:hAnsi="Book Antiqua" w:hint="default"/>
          <w:rtl w:val="0"/>
          <w:lang w:val="it-IT"/>
        </w:rPr>
        <w:t>’</w:t>
      </w:r>
      <w:r>
        <w:rPr>
          <w:rFonts w:ascii="Book Antiqua"/>
          <w:rtl w:val="0"/>
          <w:lang w:val="it-IT"/>
        </w:rPr>
        <w:t>ambiente, unitamente all'Arma di Viterbo ha eseguito nove ordinanze di custodia cautelare agli arresti domiciliari, emessi dal tribunale di Viterbo, nei confronti di imprenditori e pubblici funzionari, responsabili di truffe nei confronti della Pubblica Amministrazione, frode nell'esecuzione e la gestione dei rifiuti urbani conferiti dalle Amministrazioni comunali presso l'impianto di trattamento meccanico biologico in localit</w:t>
      </w:r>
      <w:r>
        <w:rPr>
          <w:rFonts w:hAnsi="Book Antiqua" w:hint="default"/>
          <w:rtl w:val="0"/>
          <w:lang w:val="it-IT"/>
        </w:rPr>
        <w:t xml:space="preserve">à </w:t>
      </w:r>
      <w:r>
        <w:rPr>
          <w:rFonts w:ascii="Book Antiqua"/>
          <w:rtl w:val="0"/>
          <w:lang w:val="it-IT"/>
        </w:rPr>
        <w:t>Casale Bussi di Viterbo, nonch</w:t>
      </w:r>
      <w:r>
        <w:rPr>
          <w:rFonts w:hAnsi="Book Antiqua" w:hint="default"/>
          <w:rtl w:val="0"/>
          <w:lang w:val="it-IT"/>
        </w:rPr>
        <w:t xml:space="preserve">é </w:t>
      </w:r>
      <w:r>
        <w:rPr>
          <w:rFonts w:ascii="Book Antiqua"/>
          <w:rtl w:val="0"/>
          <w:lang w:val="it-IT"/>
        </w:rPr>
        <w:t xml:space="preserve">truffa ai danni, del comune di Viterbo e falso in atto pubblico, in relazione alla reiterata inadempienza degli obblighi derivanti dal contratto per l'affidamento dei servizi di raccolta e trasporto dei rifiuti urbani. Nella circostanza </w:t>
      </w:r>
      <w:r>
        <w:rPr>
          <w:rFonts w:hAnsi="Book Antiqua" w:hint="default"/>
          <w:rtl w:val="0"/>
          <w:lang w:val="it-IT"/>
        </w:rPr>
        <w:t xml:space="preserve">è </w:t>
      </w:r>
      <w:r>
        <w:rPr>
          <w:rFonts w:ascii="Book Antiqua"/>
          <w:rtl w:val="0"/>
          <w:lang w:val="it-IT"/>
        </w:rPr>
        <w:t>stato sottoposto a sequestro il centro di compostaggio, gestito dalla Societ</w:t>
      </w:r>
      <w:r>
        <w:rPr>
          <w:rFonts w:hAnsi="Book Antiqua" w:hint="default"/>
          <w:rtl w:val="0"/>
          <w:lang w:val="it-IT"/>
        </w:rPr>
        <w:t xml:space="preserve">à </w:t>
      </w:r>
      <w:r>
        <w:rPr>
          <w:rFonts w:ascii="Book Antiqua"/>
          <w:rtl w:val="0"/>
          <w:lang w:val="it-IT"/>
        </w:rPr>
        <w:t>Tuscia Ambiente srl, unitamente a 100 tonnellate di rifiuti organici non compostati, ivi stoccati".</w:t>
      </w:r>
    </w:p>
    <w:p>
      <w:pPr>
        <w:pStyle w:val="Normal"/>
        <w:ind w:left="567" w:right="567" w:firstLine="0"/>
        <w:jc w:val="both"/>
        <w:rPr>
          <w:rFonts w:ascii="Book Antiqua" w:cs="Book Antiqua" w:hAnsi="Book Antiqua" w:eastAsia="Book Antiqua"/>
        </w:rPr>
      </w:pPr>
      <w:r>
        <w:rPr>
          <w:rFonts w:ascii="Book Antiqua"/>
          <w:rtl w:val="0"/>
          <w:lang w:val="it-IT"/>
        </w:rPr>
        <w:t>Nella stessa relazione, peraltro, si evidenziava che "il 24.02.2015, personale del Comando Carabinieri per la Tutela dell</w:t>
      </w:r>
      <w:r>
        <w:rPr>
          <w:rFonts w:hAnsi="Book Antiqua" w:hint="default"/>
          <w:rtl w:val="0"/>
          <w:lang w:val="it-IT"/>
        </w:rPr>
        <w:t>’</w:t>
      </w:r>
      <w:r>
        <w:rPr>
          <w:rFonts w:ascii="Book Antiqua"/>
          <w:rtl w:val="0"/>
          <w:lang w:val="it-IT"/>
        </w:rPr>
        <w:t>ambiente, unitamente all'Arma di Viterbo, [ha] deferito in stato di libert</w:t>
      </w:r>
      <w:r>
        <w:rPr>
          <w:rFonts w:hAnsi="Book Antiqua" w:hint="default"/>
          <w:rtl w:val="0"/>
          <w:lang w:val="it-IT"/>
        </w:rPr>
        <w:t xml:space="preserve">à </w:t>
      </w:r>
      <w:r>
        <w:rPr>
          <w:rFonts w:ascii="Book Antiqua"/>
          <w:rtl w:val="0"/>
          <w:lang w:val="it-IT"/>
        </w:rPr>
        <w:t>13 persone responsabili di "attivit</w:t>
      </w:r>
      <w:r>
        <w:rPr>
          <w:rFonts w:hAnsi="Book Antiqua" w:hint="default"/>
          <w:rtl w:val="0"/>
          <w:lang w:val="it-IT"/>
        </w:rPr>
        <w:t xml:space="preserve">à </w:t>
      </w:r>
      <w:r>
        <w:rPr>
          <w:rFonts w:ascii="Book Antiqua"/>
          <w:rtl w:val="0"/>
          <w:lang w:val="it-IT"/>
        </w:rPr>
        <w:t>organizzate per il traffico illecito di rifiuti e sequestro di aree nei comuni di Fabrica di Roma, Vignanello e Carbognano. Le indagini, ancora in corso, coordinate dalla DDA di Roma, che ha disposto l'esecuzione di carotaggi nei luoghi interessati, hanno permesso di individuare alcune societ</w:t>
      </w:r>
      <w:r>
        <w:rPr>
          <w:rFonts w:hAnsi="Book Antiqua" w:hint="default"/>
          <w:rtl w:val="0"/>
          <w:lang w:val="it-IT"/>
        </w:rPr>
        <w:t xml:space="preserve">à </w:t>
      </w:r>
      <w:r>
        <w:rPr>
          <w:rFonts w:ascii="Book Antiqua"/>
          <w:rtl w:val="0"/>
          <w:lang w:val="it-IT"/>
        </w:rPr>
        <w:t>operanti nella provincia di Viterbo che, nel corso degli anni, hanno sotterrato pneumatici usati e materiale contenente amianto</w:t>
      </w:r>
      <w:r>
        <w:rPr>
          <w:rFonts w:hAnsi="Book Antiqua" w:hint="default"/>
          <w:rtl w:val="0"/>
          <w:lang w:val="it-IT"/>
        </w:rPr>
        <w:t>”</w:t>
      </w:r>
      <w:r>
        <w:rPr>
          <w:rFonts w:ascii="Book Antiqua"/>
          <w:rtl w:val="0"/>
          <w:lang w:val="it-IT"/>
        </w:rPr>
        <w:t>.</w:t>
      </w:r>
    </w:p>
    <w:p>
      <w:pPr>
        <w:pStyle w:val="footnote text"/>
        <w:ind w:left="567" w:right="567" w:firstLine="0"/>
        <w:jc w:val="both"/>
        <w:rPr>
          <w:rFonts w:ascii="Book Antiqua" w:cs="Book Antiqua" w:hAnsi="Book Antiqua" w:eastAsia="Book Antiqua"/>
        </w:rPr>
      </w:pPr>
      <w:r>
        <w:rPr>
          <w:rFonts w:ascii="Book Antiqua"/>
          <w:rtl w:val="0"/>
          <w:lang w:val="it-IT"/>
        </w:rPr>
        <w:t xml:space="preserve">Il </w:t>
      </w:r>
      <w:r>
        <w:rPr>
          <w:rFonts w:ascii="Book Antiqua"/>
          <w:rtl w:val="0"/>
          <w:lang w:val="it-IT"/>
        </w:rPr>
        <w:t>viceprefetto di Viterbo</w:t>
      </w:r>
      <w:r>
        <w:rPr>
          <w:rFonts w:ascii="Book Antiqua"/>
          <w:i w:val="1"/>
          <w:iCs w:val="1"/>
          <w:rtl w:val="0"/>
          <w:lang w:val="it-IT"/>
        </w:rPr>
        <w:t xml:space="preserve">, </w:t>
      </w:r>
      <w:r>
        <w:rPr>
          <w:rFonts w:ascii="Book Antiqua"/>
          <w:rtl w:val="0"/>
          <w:lang w:val="it-IT"/>
        </w:rPr>
        <w:t>Salvatore Grillo</w:t>
      </w:r>
      <w:r>
        <w:rPr>
          <w:rFonts w:ascii="Book Antiqua"/>
          <w:i w:val="1"/>
          <w:iCs w:val="1"/>
          <w:rtl w:val="0"/>
          <w:lang w:val="it-IT"/>
        </w:rPr>
        <w:t xml:space="preserve">, </w:t>
      </w:r>
      <w:r>
        <w:rPr>
          <w:rFonts w:ascii="Book Antiqua"/>
          <w:rtl w:val="0"/>
          <w:lang w:val="it-IT"/>
        </w:rPr>
        <w:t>nell'audizione del 20 febbraio 2017, ha sottolineato la problematica, per Viterbo, delle cosiddette "isole di prossimit</w:t>
      </w:r>
      <w:r>
        <w:rPr>
          <w:rFonts w:hAnsi="Book Antiqua" w:hint="default"/>
          <w:rtl w:val="0"/>
          <w:lang w:val="it-IT"/>
        </w:rPr>
        <w:t>à</w:t>
      </w:r>
      <w:r>
        <w:rPr>
          <w:rFonts w:ascii="Book Antiqua"/>
          <w:rtl w:val="0"/>
          <w:lang w:val="it-IT"/>
        </w:rPr>
        <w:t xml:space="preserve">" (diverse dalle cd. "isole ecologiche" o "ecopiazzole" in quanto sono state costituite solo come </w:t>
      </w:r>
      <w:r>
        <w:rPr>
          <w:rFonts w:ascii="Book Antiqua"/>
          <w:rtl w:val="0"/>
          <w:lang w:val="it-IT"/>
        </w:rPr>
        <w:t>un punto di raccolta rifiuti per i residenti nella zona)</w:t>
      </w:r>
      <w:r>
        <w:rPr>
          <w:rFonts w:ascii="Book Antiqua"/>
          <w:i w:val="1"/>
          <w:iCs w:val="1"/>
          <w:rtl w:val="0"/>
          <w:lang w:val="it-IT"/>
        </w:rPr>
        <w:t xml:space="preserve">, </w:t>
      </w:r>
      <w:r>
        <w:rPr>
          <w:rFonts w:ascii="Book Antiqua"/>
          <w:rtl w:val="0"/>
          <w:lang w:val="it-IT"/>
        </w:rPr>
        <w:t xml:space="preserve">evidenziando che in esse </w:t>
      </w:r>
      <w:r>
        <w:rPr>
          <w:rFonts w:hAnsi="Book Antiqua" w:hint="default"/>
          <w:rtl w:val="0"/>
          <w:lang w:val="it-IT"/>
        </w:rPr>
        <w:t>“</w:t>
      </w:r>
      <w:r>
        <w:rPr>
          <w:rFonts w:hAnsi="Book Antiqua" w:hint="default"/>
          <w:rtl w:val="0"/>
          <w:lang w:val="it-IT"/>
        </w:rPr>
        <w:t>è</w:t>
      </w:r>
      <w:r>
        <w:rPr>
          <w:rFonts w:ascii="Book Antiqua"/>
          <w:i w:val="1"/>
          <w:iCs w:val="1"/>
          <w:rtl w:val="0"/>
          <w:lang w:val="it-IT"/>
        </w:rPr>
        <w:t xml:space="preserve"> </w:t>
      </w:r>
      <w:r>
        <w:rPr>
          <w:rFonts w:ascii="Book Antiqua"/>
          <w:rtl w:val="0"/>
          <w:lang w:val="it-IT"/>
        </w:rPr>
        <w:t>stata notata dalle forze di polizia e dalla polizia locale del comune un'attivit</w:t>
      </w:r>
      <w:r>
        <w:rPr>
          <w:rFonts w:hAnsi="Book Antiqua" w:hint="default"/>
          <w:rtl w:val="0"/>
          <w:lang w:val="it-IT"/>
        </w:rPr>
        <w:t xml:space="preserve">à </w:t>
      </w:r>
      <w:r>
        <w:rPr>
          <w:rFonts w:ascii="Book Antiqua"/>
          <w:rtl w:val="0"/>
          <w:lang w:val="it-IT"/>
        </w:rPr>
        <w:t>di sversamento di rifiuti non tossici ma comunque speciali ... provenienti soprattutto da piccole attivit</w:t>
      </w:r>
      <w:r>
        <w:rPr>
          <w:rFonts w:hAnsi="Book Antiqua" w:hint="default"/>
          <w:rtl w:val="0"/>
          <w:lang w:val="it-IT"/>
        </w:rPr>
        <w:t xml:space="preserve">à </w:t>
      </w:r>
      <w:r>
        <w:rPr>
          <w:rFonts w:ascii="Book Antiqua"/>
          <w:rtl w:val="0"/>
          <w:lang w:val="it-IT"/>
        </w:rPr>
        <w:t>artigianali</w:t>
      </w:r>
      <w:r>
        <w:rPr>
          <w:rFonts w:hAnsi="Book Antiqua" w:hint="default"/>
          <w:rtl w:val="0"/>
          <w:lang w:val="it-IT"/>
        </w:rPr>
        <w:t>”</w:t>
      </w:r>
      <w:r>
        <w:rPr>
          <w:rFonts w:ascii="Book Antiqua"/>
          <w:rtl w:val="0"/>
          <w:lang w:val="it-IT"/>
        </w:rPr>
        <w:t xml:space="preserve"> e aggiungendo che </w:t>
      </w:r>
      <w:r>
        <w:rPr>
          <w:rFonts w:hAnsi="Book Antiqua" w:hint="default"/>
          <w:rtl w:val="0"/>
          <w:lang w:val="it-IT"/>
        </w:rPr>
        <w:t>“</w:t>
      </w:r>
      <w:r>
        <w:rPr>
          <w:rFonts w:ascii="Book Antiqua"/>
          <w:rtl w:val="0"/>
          <w:lang w:val="it-IT"/>
        </w:rPr>
        <w:t xml:space="preserve">dopo una serie di servizi posti in essere dalla polizia locale e dalla Guardia di finanza, si </w:t>
      </w:r>
      <w:r>
        <w:rPr>
          <w:rFonts w:hAnsi="Book Antiqua" w:hint="default"/>
          <w:rtl w:val="0"/>
          <w:lang w:val="it-IT"/>
        </w:rPr>
        <w:t xml:space="preserve">è </w:t>
      </w:r>
      <w:r>
        <w:rPr>
          <w:rFonts w:ascii="Book Antiqua"/>
          <w:rtl w:val="0"/>
          <w:lang w:val="it-IT"/>
        </w:rPr>
        <w:t xml:space="preserve">arrivati a fare circa 230 contravvenzioni per un totale di 6.300 euro di proventi complessivi. In sede di commissione per la sicurezza ambientale, che noi svolgiamo all'interno del comitato provinciale per la sicurezza pubblica, </w:t>
      </w:r>
      <w:r>
        <w:rPr>
          <w:rFonts w:hAnsi="Book Antiqua" w:hint="default"/>
          <w:rtl w:val="0"/>
          <w:lang w:val="it-IT"/>
        </w:rPr>
        <w:t xml:space="preserve">è </w:t>
      </w:r>
      <w:r>
        <w:rPr>
          <w:rFonts w:ascii="Book Antiqua"/>
          <w:rtl w:val="0"/>
          <w:lang w:val="it-IT"/>
        </w:rPr>
        <w:t>stato fatto un ragionamento un po</w:t>
      </w:r>
      <w:r>
        <w:rPr>
          <w:rFonts w:hAnsi="Book Antiqua" w:hint="default"/>
          <w:rtl w:val="0"/>
          <w:lang w:val="it-IT"/>
        </w:rPr>
        <w:t xml:space="preserve">’ </w:t>
      </w:r>
      <w:r>
        <w:rPr>
          <w:rFonts w:ascii="Book Antiqua"/>
          <w:rtl w:val="0"/>
          <w:lang w:val="it-IT"/>
        </w:rPr>
        <w:t>pi</w:t>
      </w:r>
      <w:r>
        <w:rPr>
          <w:rFonts w:hAnsi="Book Antiqua" w:hint="default"/>
          <w:rtl w:val="0"/>
          <w:lang w:val="it-IT"/>
        </w:rPr>
        <w:t xml:space="preserve">ù </w:t>
      </w:r>
      <w:r>
        <w:rPr>
          <w:rFonts w:ascii="Book Antiqua"/>
          <w:rtl w:val="0"/>
          <w:lang w:val="it-IT"/>
        </w:rPr>
        <w:t>ampio, chiedendo alle forze di polizia di svolgere servizi pi</w:t>
      </w:r>
      <w:r>
        <w:rPr>
          <w:rFonts w:hAnsi="Book Antiqua" w:hint="default"/>
          <w:rtl w:val="0"/>
          <w:lang w:val="it-IT"/>
        </w:rPr>
        <w:t xml:space="preserve">ù </w:t>
      </w:r>
      <w:r>
        <w:rPr>
          <w:rFonts w:ascii="Book Antiqua"/>
          <w:rtl w:val="0"/>
          <w:lang w:val="it-IT"/>
        </w:rPr>
        <w:t xml:space="preserve">mirati, che ci consentissero non solo di colpire colui che effettua lo sversamento illegale, ma magari con accortezza maggiore di seguirlo e di capire da dove provengono questi rifiuti. Infatti, </w:t>
      </w:r>
      <w:r>
        <w:rPr>
          <w:rFonts w:hAnsi="Book Antiqua" w:hint="default"/>
          <w:rtl w:val="0"/>
          <w:lang w:val="it-IT"/>
        </w:rPr>
        <w:t xml:space="preserve">è </w:t>
      </w:r>
      <w:r>
        <w:rPr>
          <w:rFonts w:ascii="Book Antiqua"/>
          <w:rtl w:val="0"/>
          <w:lang w:val="it-IT"/>
        </w:rPr>
        <w:t>chiaro che si tratta di piccole attivit</w:t>
      </w:r>
      <w:r>
        <w:rPr>
          <w:rFonts w:hAnsi="Book Antiqua" w:hint="default"/>
          <w:rtl w:val="0"/>
          <w:lang w:val="it-IT"/>
        </w:rPr>
        <w:t xml:space="preserve">à </w:t>
      </w:r>
      <w:r>
        <w:rPr>
          <w:rFonts w:ascii="Book Antiqua"/>
          <w:rtl w:val="0"/>
          <w:lang w:val="it-IT"/>
        </w:rPr>
        <w:t>artigianali, ovvero di artigiani che lavorano in nero e che non sversano nelle discariche autorizzate. Si pu</w:t>
      </w:r>
      <w:r>
        <w:rPr>
          <w:rFonts w:hAnsi="Book Antiqua" w:hint="default"/>
          <w:rtl w:val="0"/>
          <w:lang w:val="it-IT"/>
        </w:rPr>
        <w:t>ò</w:t>
      </w:r>
      <w:r>
        <w:rPr>
          <w:rFonts w:ascii="Book Antiqua"/>
          <w:rtl w:val="0"/>
          <w:lang w:val="it-IT"/>
        </w:rPr>
        <w:t>, quindi, recuperare tutta una filiera di illegalit</w:t>
      </w:r>
      <w:r>
        <w:rPr>
          <w:rFonts w:hAnsi="Book Antiqua" w:hint="default"/>
          <w:rtl w:val="0"/>
          <w:lang w:val="it-IT"/>
        </w:rPr>
        <w:t xml:space="preserve">à </w:t>
      </w:r>
      <w:r>
        <w:rPr>
          <w:rFonts w:ascii="Book Antiqua"/>
          <w:rtl w:val="0"/>
          <w:lang w:val="it-IT"/>
        </w:rPr>
        <w:t>che va dallo sversamento illegale di rifiuti fino all'evasione fiscale. Stiamo, quindi, progettando dei servizi mirati in questo senso, anche con l'ausilio di telecamere che abbiamo richiesto al comune</w:t>
      </w:r>
      <w:r>
        <w:rPr>
          <w:rFonts w:hAnsi="Book Antiqua" w:hint="default"/>
          <w:rtl w:val="0"/>
          <w:lang w:val="it-IT"/>
        </w:rPr>
        <w:t>”</w:t>
      </w:r>
      <w:r>
        <w:rPr>
          <w:rFonts w:ascii="Book Antiqua"/>
          <w:rtl w:val="0"/>
          <w:lang w:val="it-IT"/>
        </w:rPr>
        <w:t>.</w:t>
      </w:r>
    </w:p>
    <w:p>
      <w:pPr>
        <w:pStyle w:val="footnote text"/>
        <w:ind w:left="567" w:right="567" w:firstLine="0"/>
        <w:jc w:val="both"/>
        <w:rPr>
          <w:rFonts w:ascii="Book Antiqua" w:cs="Book Antiqua" w:hAnsi="Book Antiqua" w:eastAsia="Book Antiqua"/>
        </w:rPr>
      </w:pPr>
      <w:r>
        <w:rPr>
          <w:rFonts w:ascii="Book Antiqua"/>
          <w:rtl w:val="0"/>
          <w:lang w:val="it-IT"/>
        </w:rPr>
        <w:t xml:space="preserve">L'argomento </w:t>
      </w:r>
      <w:r>
        <w:rPr>
          <w:rFonts w:hAnsi="Book Antiqua" w:hint="default"/>
          <w:rtl w:val="0"/>
          <w:lang w:val="it-IT"/>
        </w:rPr>
        <w:t xml:space="preserve">è </w:t>
      </w:r>
      <w:r>
        <w:rPr>
          <w:rFonts w:ascii="Book Antiqua"/>
          <w:rtl w:val="0"/>
          <w:lang w:val="it-IT"/>
        </w:rPr>
        <w:t>stato meglio precisato il 21 febbraio 2017 con le audizioni del sindaco di Viterbo, Leonardo Michelini, e del dirigente comunale del settore ambiente, Mara Ciambelli, i quali hanno aggiunto che si tratta di 52 aree adibite alla raccolta di rifiuti urbani per il territorio comunale esterno alla citt</w:t>
      </w:r>
      <w:r>
        <w:rPr>
          <w:rFonts w:hAnsi="Book Antiqua" w:hint="default"/>
          <w:rtl w:val="0"/>
          <w:lang w:val="it-IT"/>
        </w:rPr>
        <w:t>à</w:t>
      </w:r>
      <w:r>
        <w:rPr>
          <w:rFonts w:ascii="Book Antiqua"/>
          <w:rtl w:val="0"/>
          <w:lang w:val="it-IT"/>
        </w:rPr>
        <w:t>, non presidiate e non recintate, ubicate su strade provinciali, regionali e statali, munite di cassonetti per l</w:t>
      </w:r>
      <w:r>
        <w:rPr>
          <w:rFonts w:hAnsi="Book Antiqua" w:hint="default"/>
          <w:rtl w:val="0"/>
          <w:lang w:val="it-IT"/>
        </w:rPr>
        <w:t>’</w:t>
      </w:r>
      <w:r>
        <w:rPr>
          <w:rFonts w:ascii="Book Antiqua"/>
          <w:rtl w:val="0"/>
          <w:lang w:val="it-IT"/>
        </w:rPr>
        <w:t>indifferenziato, la plastica, il vetro e la carta, che sono rapidamente divenute "aree di abbandono" per rifiuti di ogni genere (incluso amianto), provenienti molto spesso da soggetti non residenti in Viterbo.</w:t>
      </w:r>
    </w:p>
    <w:p>
      <w:pPr>
        <w:pStyle w:val="intervento"/>
        <w:spacing w:before="0" w:after="0"/>
        <w:ind w:left="567" w:right="567" w:firstLine="0"/>
        <w:jc w:val="both"/>
        <w:rPr>
          <w:rFonts w:ascii="Book Antiqua" w:cs="Book Antiqua" w:hAnsi="Book Antiqua" w:eastAsia="Book Antiqua"/>
        </w:rPr>
      </w:pPr>
      <w:r>
        <w:rPr>
          <w:rFonts w:ascii="Book Antiqua"/>
          <w:rtl w:val="0"/>
          <w:lang w:val="it-IT"/>
        </w:rPr>
        <w:t xml:space="preserve">Peraltro, nella stessa audizione del 20 febbraio, il </w:t>
      </w:r>
      <w:r>
        <w:rPr>
          <w:rFonts w:ascii="Book Antiqua"/>
          <w:rtl w:val="0"/>
          <w:lang w:val="it-IT"/>
        </w:rPr>
        <w:t>Viceprefetto di Viterbo ha richiamato una vicenda che appare particolarmente rilevante se rapportata al fenomeno degli incendi in impianti di trattamenti dei rifiuti, e cio</w:t>
      </w:r>
      <w:r>
        <w:rPr>
          <w:rFonts w:hAnsi="Book Antiqua" w:hint="default"/>
          <w:rtl w:val="0"/>
          <w:lang w:val="it-IT"/>
        </w:rPr>
        <w:t xml:space="preserve">è </w:t>
      </w:r>
      <w:r>
        <w:rPr>
          <w:rFonts w:ascii="Book Antiqua"/>
          <w:rtl w:val="0"/>
          <w:lang w:val="it-IT"/>
        </w:rPr>
        <w:t>"l'</w:t>
      </w:r>
      <w:r>
        <w:rPr>
          <w:rFonts w:ascii="Book Antiqua"/>
          <w:rtl w:val="0"/>
          <w:lang w:val="it-IT"/>
        </w:rPr>
        <w:t xml:space="preserve">incendio di Onano che si </w:t>
      </w:r>
      <w:r>
        <w:rPr>
          <w:rFonts w:hAnsi="Book Antiqua" w:hint="default"/>
          <w:rtl w:val="0"/>
          <w:lang w:val="it-IT"/>
        </w:rPr>
        <w:t xml:space="preserve">è </w:t>
      </w:r>
      <w:r>
        <w:rPr>
          <w:rFonts w:ascii="Book Antiqua"/>
          <w:rtl w:val="0"/>
          <w:lang w:val="it-IT"/>
        </w:rPr>
        <w:t xml:space="preserve">verificato il 3 settembre 2016. Onano </w:t>
      </w:r>
      <w:r>
        <w:rPr>
          <w:rFonts w:hAnsi="Book Antiqua" w:hint="default"/>
          <w:rtl w:val="0"/>
          <w:lang w:val="it-IT"/>
        </w:rPr>
        <w:t xml:space="preserve">è </w:t>
      </w:r>
      <w:r>
        <w:rPr>
          <w:rFonts w:ascii="Book Antiqua"/>
          <w:rtl w:val="0"/>
          <w:lang w:val="it-IT"/>
        </w:rPr>
        <w:t xml:space="preserve">un altro comune della provincia, non particolarmente grande, dove </w:t>
      </w:r>
      <w:r>
        <w:rPr>
          <w:rFonts w:hAnsi="Book Antiqua" w:hint="default"/>
          <w:rtl w:val="0"/>
          <w:lang w:val="it-IT"/>
        </w:rPr>
        <w:t xml:space="preserve">è </w:t>
      </w:r>
      <w:r>
        <w:rPr>
          <w:rFonts w:ascii="Book Antiqua"/>
          <w:rtl w:val="0"/>
          <w:lang w:val="it-IT"/>
        </w:rPr>
        <w:t xml:space="preserve">allocata una struttura che ha uno stoccaggio di materiale plastico. </w:t>
      </w:r>
      <w:r>
        <w:rPr>
          <w:rFonts w:hAnsi="Book Antiqua" w:hint="default"/>
          <w:rtl w:val="0"/>
          <w:lang w:val="it-IT"/>
        </w:rPr>
        <w:t xml:space="preserve">È </w:t>
      </w:r>
      <w:r>
        <w:rPr>
          <w:rFonts w:ascii="Book Antiqua"/>
          <w:rtl w:val="0"/>
          <w:lang w:val="it-IT"/>
        </w:rPr>
        <w:t xml:space="preserve">andato a fuoco questo materiale plastico, composto di polimeri e quant'altro, dominato tecnicamente </w:t>
      </w:r>
      <w:r>
        <w:rPr>
          <w:rFonts w:hAnsi="Book Antiqua" w:hint="default"/>
          <w:rtl w:val="0"/>
          <w:lang w:val="it-IT"/>
        </w:rPr>
        <w:t>«</w:t>
      </w:r>
      <w:r>
        <w:rPr>
          <w:rFonts w:ascii="Book Antiqua"/>
          <w:rtl w:val="0"/>
          <w:lang w:val="it-IT"/>
        </w:rPr>
        <w:t>plast</w:t>
      </w:r>
      <w:r>
        <w:rPr>
          <w:rFonts w:hAnsi="Book Antiqua" w:hint="default"/>
          <w:rtl w:val="0"/>
          <w:lang w:val="it-IT"/>
        </w:rPr>
        <w:t>»</w:t>
      </w:r>
      <w:r>
        <w:rPr>
          <w:rFonts w:ascii="Book Antiqua"/>
          <w:rtl w:val="0"/>
          <w:lang w:val="it-IT"/>
        </w:rPr>
        <w:t xml:space="preserve">, che ha emesso una nube probabilmente tossica. Io la definisco </w:t>
      </w:r>
      <w:r>
        <w:rPr>
          <w:rFonts w:hAnsi="Book Antiqua" w:hint="default"/>
          <w:rtl w:val="0"/>
          <w:lang w:val="it-IT"/>
        </w:rPr>
        <w:t>«</w:t>
      </w:r>
      <w:r>
        <w:rPr>
          <w:rFonts w:ascii="Book Antiqua"/>
          <w:rtl w:val="0"/>
          <w:lang w:val="it-IT"/>
        </w:rPr>
        <w:t>tossica</w:t>
      </w:r>
      <w:r>
        <w:rPr>
          <w:rFonts w:hAnsi="Book Antiqua" w:hint="default"/>
          <w:rtl w:val="0"/>
          <w:lang w:val="it-IT"/>
        </w:rPr>
        <w:t xml:space="preserve">» </w:t>
      </w:r>
      <w:r>
        <w:rPr>
          <w:rFonts w:ascii="Book Antiqua"/>
          <w:rtl w:val="0"/>
          <w:lang w:val="it-IT"/>
        </w:rPr>
        <w:t>perch</w:t>
      </w:r>
      <w:r>
        <w:rPr>
          <w:rFonts w:hAnsi="Book Antiqua" w:hint="default"/>
          <w:rtl w:val="0"/>
          <w:lang w:val="it-IT"/>
        </w:rPr>
        <w:t xml:space="preserve">é </w:t>
      </w:r>
      <w:r>
        <w:rPr>
          <w:rFonts w:ascii="Book Antiqua"/>
          <w:rtl w:val="0"/>
          <w:lang w:val="it-IT"/>
        </w:rPr>
        <w:t>mi risulta che quando si brucia la plastica viene fuori la diossina, per</w:t>
      </w:r>
      <w:r>
        <w:rPr>
          <w:rFonts w:hAnsi="Book Antiqua" w:hint="default"/>
          <w:rtl w:val="0"/>
          <w:lang w:val="it-IT"/>
        </w:rPr>
        <w:t xml:space="preserve">ò </w:t>
      </w:r>
      <w:r>
        <w:rPr>
          <w:rFonts w:ascii="Book Antiqua"/>
          <w:rtl w:val="0"/>
          <w:lang w:val="it-IT"/>
        </w:rPr>
        <w:t>finch</w:t>
      </w:r>
      <w:r>
        <w:rPr>
          <w:rFonts w:hAnsi="Book Antiqua" w:hint="default"/>
          <w:rtl w:val="0"/>
          <w:lang w:val="it-IT"/>
        </w:rPr>
        <w:t xml:space="preserve">é </w:t>
      </w:r>
      <w:r>
        <w:rPr>
          <w:rFonts w:ascii="Book Antiqua"/>
          <w:rtl w:val="0"/>
          <w:lang w:val="it-IT"/>
        </w:rPr>
        <w:t>i risultati dell'ARPA non avranno confermato questo tipo di tossicit</w:t>
      </w:r>
      <w:r>
        <w:rPr>
          <w:rFonts w:hAnsi="Book Antiqua" w:hint="default"/>
          <w:rtl w:val="0"/>
          <w:lang w:val="it-IT"/>
        </w:rPr>
        <w:t>à</w:t>
      </w:r>
      <w:r>
        <w:rPr>
          <w:rFonts w:ascii="Book Antiqua"/>
          <w:rtl w:val="0"/>
          <w:lang w:val="it-IT"/>
        </w:rPr>
        <w:t>". L'incendio ha interessato circa 10 tonnellate di materiale plastico e ha comportato "la sospensione dell'attivit</w:t>
      </w:r>
      <w:r>
        <w:rPr>
          <w:rFonts w:hAnsi="Book Antiqua" w:hint="default"/>
          <w:rtl w:val="0"/>
          <w:lang w:val="it-IT"/>
        </w:rPr>
        <w:t xml:space="preserve">à </w:t>
      </w:r>
      <w:r>
        <w:rPr>
          <w:rFonts w:ascii="Book Antiqua"/>
          <w:rtl w:val="0"/>
          <w:lang w:val="it-IT"/>
        </w:rPr>
        <w:t xml:space="preserve">da parte della ditta, che </w:t>
      </w:r>
      <w:r>
        <w:rPr>
          <w:rFonts w:hAnsi="Book Antiqua" w:hint="default"/>
          <w:rtl w:val="0"/>
          <w:lang w:val="it-IT"/>
        </w:rPr>
        <w:t xml:space="preserve">è </w:t>
      </w:r>
      <w:r>
        <w:rPr>
          <w:rFonts w:ascii="Book Antiqua"/>
          <w:rtl w:val="0"/>
          <w:lang w:val="it-IT"/>
        </w:rPr>
        <w:t>stata anche diffidata a presentare una relazione a firma di un tecnico abilitato attestante il ripristino dell'impianto in conformit</w:t>
      </w:r>
      <w:r>
        <w:rPr>
          <w:rFonts w:hAnsi="Book Antiqua" w:hint="default"/>
          <w:rtl w:val="0"/>
          <w:lang w:val="it-IT"/>
        </w:rPr>
        <w:t xml:space="preserve">à </w:t>
      </w:r>
      <w:r>
        <w:rPr>
          <w:rFonts w:ascii="Book Antiqua"/>
          <w:rtl w:val="0"/>
          <w:lang w:val="it-IT"/>
        </w:rPr>
        <w:t>alle norme di sicurezza e un programma di smaltimento dei rifiuti ivi esistenti. Tuttavia, finch</w:t>
      </w:r>
      <w:r>
        <w:rPr>
          <w:rFonts w:hAnsi="Book Antiqua" w:hint="default"/>
          <w:rtl w:val="0"/>
          <w:lang w:val="it-IT"/>
        </w:rPr>
        <w:t xml:space="preserve">é </w:t>
      </w:r>
      <w:r>
        <w:rPr>
          <w:rFonts w:ascii="Book Antiqua"/>
          <w:rtl w:val="0"/>
          <w:lang w:val="it-IT"/>
        </w:rPr>
        <w:t>l'ARPA Lazio e l'ARPA Toscana (perch</w:t>
      </w:r>
      <w:r>
        <w:rPr>
          <w:rFonts w:hAnsi="Book Antiqua" w:hint="default"/>
          <w:rtl w:val="0"/>
          <w:lang w:val="it-IT"/>
        </w:rPr>
        <w:t xml:space="preserve">é </w:t>
      </w:r>
      <w:r>
        <w:rPr>
          <w:rFonts w:ascii="Book Antiqua"/>
          <w:rtl w:val="0"/>
          <w:lang w:val="it-IT"/>
        </w:rPr>
        <w:t xml:space="preserve">il paese praticamente </w:t>
      </w:r>
      <w:r>
        <w:rPr>
          <w:rFonts w:hAnsi="Book Antiqua" w:hint="default"/>
          <w:rtl w:val="0"/>
          <w:lang w:val="it-IT"/>
        </w:rPr>
        <w:t xml:space="preserve">è </w:t>
      </w:r>
      <w:r>
        <w:rPr>
          <w:rFonts w:ascii="Book Antiqua"/>
          <w:rtl w:val="0"/>
          <w:lang w:val="it-IT"/>
        </w:rPr>
        <w:t>quasi a cavallo tra le due regioni) non avranno stabilito l'effettiva tossicit</w:t>
      </w:r>
      <w:r>
        <w:rPr>
          <w:rFonts w:hAnsi="Book Antiqua" w:hint="default"/>
          <w:rtl w:val="0"/>
          <w:lang w:val="it-IT"/>
        </w:rPr>
        <w:t xml:space="preserve">à </w:t>
      </w:r>
      <w:r>
        <w:rPr>
          <w:rFonts w:ascii="Book Antiqua"/>
          <w:rtl w:val="0"/>
          <w:lang w:val="it-IT"/>
        </w:rPr>
        <w:t>della ricaduta di questa nube sul territorio, evidentemente non sar</w:t>
      </w:r>
      <w:r>
        <w:rPr>
          <w:rFonts w:hAnsi="Book Antiqua" w:hint="default"/>
          <w:rtl w:val="0"/>
          <w:lang w:val="it-IT"/>
        </w:rPr>
        <w:t xml:space="preserve">à </w:t>
      </w:r>
      <w:r>
        <w:rPr>
          <w:rFonts w:ascii="Book Antiqua"/>
          <w:rtl w:val="0"/>
          <w:lang w:val="it-IT"/>
        </w:rPr>
        <w:t>neanche possibile procedere a questo tipo di attivit</w:t>
      </w:r>
      <w:r>
        <w:rPr>
          <w:rFonts w:hAnsi="Book Antiqua" w:hint="default"/>
          <w:rtl w:val="0"/>
          <w:lang w:val="it-IT"/>
        </w:rPr>
        <w:t>à</w:t>
      </w:r>
      <w:r>
        <w:rPr>
          <w:rFonts w:ascii="Book Antiqua"/>
          <w:rtl w:val="0"/>
          <w:lang w:val="it-IT"/>
        </w:rPr>
        <w:t xml:space="preserve">. Siamo in attesa. La vicenda </w:t>
      </w:r>
      <w:r>
        <w:rPr>
          <w:rFonts w:hAnsi="Book Antiqua" w:hint="default"/>
          <w:rtl w:val="0"/>
          <w:lang w:val="it-IT"/>
        </w:rPr>
        <w:t xml:space="preserve">è </w:t>
      </w:r>
      <w:r>
        <w:rPr>
          <w:rFonts w:ascii="Book Antiqua"/>
          <w:rtl w:val="0"/>
          <w:lang w:val="it-IT"/>
        </w:rPr>
        <w:t xml:space="preserve">abbastanza </w:t>
      </w:r>
      <w:r>
        <w:rPr>
          <w:rFonts w:hAnsi="Book Antiqua" w:hint="default"/>
          <w:rtl w:val="0"/>
          <w:lang w:val="it-IT"/>
        </w:rPr>
        <w:t>«</w:t>
      </w:r>
      <w:r>
        <w:rPr>
          <w:rFonts w:ascii="Book Antiqua"/>
          <w:rtl w:val="0"/>
          <w:lang w:val="it-IT"/>
        </w:rPr>
        <w:t>recente</w:t>
      </w:r>
      <w:r>
        <w:rPr>
          <w:rFonts w:hAnsi="Book Antiqua" w:hint="default"/>
          <w:rtl w:val="0"/>
          <w:lang w:val="it-IT"/>
        </w:rPr>
        <w:t xml:space="preserve">» </w:t>
      </w:r>
      <w:r>
        <w:rPr>
          <w:rFonts w:ascii="Book Antiqua"/>
          <w:rtl w:val="0"/>
          <w:lang w:val="it-IT"/>
        </w:rPr>
        <w:t>perch</w:t>
      </w:r>
      <w:r>
        <w:rPr>
          <w:rFonts w:hAnsi="Book Antiqua" w:hint="default"/>
          <w:rtl w:val="0"/>
          <w:lang w:val="it-IT"/>
        </w:rPr>
        <w:t xml:space="preserve">é </w:t>
      </w:r>
      <w:r>
        <w:rPr>
          <w:rFonts w:ascii="Book Antiqua"/>
          <w:rtl w:val="0"/>
          <w:lang w:val="it-IT"/>
        </w:rPr>
        <w:t xml:space="preserve">parliamo di settembre 2013, quindi </w:t>
      </w:r>
      <w:r>
        <w:rPr>
          <w:rFonts w:hAnsi="Book Antiqua" w:hint="default"/>
          <w:rtl w:val="0"/>
          <w:lang w:val="it-IT"/>
        </w:rPr>
        <w:t xml:space="preserve">è </w:t>
      </w:r>
      <w:r>
        <w:rPr>
          <w:rFonts w:ascii="Book Antiqua"/>
          <w:rtl w:val="0"/>
          <w:lang w:val="it-IT"/>
        </w:rPr>
        <w:t>chiaro che non abbiamo ancora delle evidenze pi</w:t>
      </w:r>
      <w:r>
        <w:rPr>
          <w:rFonts w:hAnsi="Book Antiqua" w:hint="default"/>
          <w:rtl w:val="0"/>
          <w:lang w:val="it-IT"/>
        </w:rPr>
        <w:t xml:space="preserve">ù </w:t>
      </w:r>
      <w:r>
        <w:rPr>
          <w:rFonts w:ascii="Book Antiqua"/>
          <w:rtl w:val="0"/>
          <w:lang w:val="it-IT"/>
        </w:rPr>
        <w:t>mirate e pi</w:t>
      </w:r>
      <w:r>
        <w:rPr>
          <w:rFonts w:hAnsi="Book Antiqua" w:hint="default"/>
          <w:rtl w:val="0"/>
          <w:lang w:val="it-IT"/>
        </w:rPr>
        <w:t xml:space="preserve">ù </w:t>
      </w:r>
      <w:r>
        <w:rPr>
          <w:rFonts w:ascii="Book Antiqua"/>
          <w:rtl w:val="0"/>
          <w:lang w:val="it-IT"/>
        </w:rPr>
        <w:t xml:space="preserve">specifiche". </w:t>
      </w:r>
    </w:p>
    <w:p>
      <w:pPr>
        <w:pStyle w:val="Normal"/>
        <w:ind w:left="567" w:right="567" w:firstLine="0"/>
        <w:jc w:val="both"/>
        <w:rPr>
          <w:rFonts w:ascii="Book Antiqua" w:cs="Book Antiqua" w:hAnsi="Book Antiqua" w:eastAsia="Book Antiqua"/>
        </w:rPr>
      </w:pPr>
      <w:r>
        <w:rPr>
          <w:rFonts w:ascii="Book Antiqua"/>
          <w:rtl w:val="0"/>
          <w:lang w:val="it-IT"/>
        </w:rPr>
        <w:t>Alcune vicende della provincia di Viterbo si segnalano per la pertinenza al tema della finanza ambientale.</w:t>
      </w:r>
    </w:p>
    <w:p>
      <w:pPr>
        <w:pStyle w:val="Normal"/>
        <w:ind w:left="567" w:right="567" w:firstLine="0"/>
        <w:jc w:val="both"/>
        <w:rPr>
          <w:rFonts w:ascii="Book Antiqua" w:cs="Book Antiqua" w:hAnsi="Book Antiqua" w:eastAsia="Book Antiqua"/>
        </w:rPr>
      </w:pPr>
      <w:r>
        <w:rPr>
          <w:rFonts w:ascii="Book Antiqua"/>
          <w:rtl w:val="0"/>
          <w:lang w:val="it-IT"/>
        </w:rPr>
        <w:t>La Guardia di finanza di Viterbo ha sintetizzato in una nota trasmessa alla Commissione</w:t>
      </w:r>
      <w:r>
        <w:rPr>
          <w:rFonts w:ascii="Book Antiqua" w:cs="Book Antiqua" w:hAnsi="Book Antiqua" w:eastAsia="Book Antiqua"/>
          <w:vertAlign w:val="superscript"/>
          <w:rtl w:val="0"/>
        </w:rPr>
        <w:footnoteReference w:id="244"/>
      </w:r>
      <w:r>
        <w:rPr>
          <w:rFonts w:ascii="Book Antiqua"/>
          <w:rtl w:val="0"/>
          <w:lang w:val="it-IT"/>
        </w:rPr>
        <w:t xml:space="preserve"> le attivit</w:t>
      </w:r>
      <w:r>
        <w:rPr>
          <w:rFonts w:hAnsi="Book Antiqua" w:hint="default"/>
          <w:rtl w:val="0"/>
          <w:lang w:val="it-IT"/>
        </w:rPr>
        <w:t xml:space="preserve">à </w:t>
      </w:r>
      <w:r>
        <w:rPr>
          <w:rFonts w:ascii="Book Antiqua"/>
          <w:rtl w:val="0"/>
          <w:lang w:val="it-IT"/>
        </w:rPr>
        <w:t>svolte in questo campo, in prevalente collaborazione con la magistratura contabile.</w:t>
      </w:r>
    </w:p>
    <w:p>
      <w:pPr>
        <w:pStyle w:val="Normal (Web)"/>
        <w:spacing w:before="0" w:after="0"/>
        <w:ind w:left="567" w:right="567" w:firstLine="0"/>
        <w:jc w:val="both"/>
        <w:rPr>
          <w:rFonts w:ascii="Book Antiqua" w:cs="Book Antiqua" w:hAnsi="Book Antiqua" w:eastAsia="Book Antiqua"/>
        </w:rPr>
      </w:pPr>
      <w:r>
        <w:rPr>
          <w:rFonts w:ascii="Book Antiqua"/>
          <w:rtl w:val="0"/>
          <w:lang w:val="it-IT"/>
        </w:rPr>
        <w:t>Si tratta dei seguenti accertamenti:</w:t>
      </w:r>
    </w:p>
    <w:p>
      <w:pPr>
        <w:pStyle w:val="Normal (Web)"/>
        <w:spacing w:before="0" w:after="0"/>
        <w:ind w:left="567" w:right="567" w:firstLine="0"/>
        <w:jc w:val="both"/>
        <w:rPr>
          <w:rFonts w:ascii="Book Antiqua" w:cs="Book Antiqua" w:hAnsi="Book Antiqua" w:eastAsia="Book Antiqua"/>
        </w:rPr>
      </w:pPr>
      <w:r>
        <w:rPr>
          <w:rFonts w:ascii="Book Antiqua"/>
          <w:rtl w:val="0"/>
          <w:lang w:val="it-IT"/>
        </w:rPr>
        <w:t xml:space="preserve">1. Vertenza n. V2007/01850/FRS (riunita alla V2008/00020/FRS e dalla V2011/01813/FRS): danno erariale per complessivi </w:t>
      </w:r>
      <w:r>
        <w:rPr>
          <w:rFonts w:hAnsi="Book Antiqua" w:hint="default"/>
          <w:rtl w:val="0"/>
          <w:lang w:val="it-IT"/>
        </w:rPr>
        <w:t xml:space="preserve">€ </w:t>
      </w:r>
      <w:r>
        <w:rPr>
          <w:rFonts w:ascii="Book Antiqua"/>
          <w:rtl w:val="0"/>
          <w:lang w:val="it-IT"/>
        </w:rPr>
        <w:t xml:space="preserve">4.728.653,70 per le seguenti fattispecie: </w:t>
      </w:r>
      <w:r>
        <w:rPr>
          <w:rFonts w:hAnsi="Book Antiqua" w:hint="default"/>
          <w:rtl w:val="0"/>
          <w:lang w:val="it-IT"/>
        </w:rPr>
        <w:t xml:space="preserve">€ </w:t>
      </w:r>
      <w:r>
        <w:rPr>
          <w:rFonts w:ascii="Book Antiqua"/>
          <w:rtl w:val="0"/>
          <w:lang w:val="it-IT"/>
        </w:rPr>
        <w:t xml:space="preserve">1.857.120,35 per mancato pagamento degli interessi di mora dovuti dagli Enti Locali per ritardi nei pagamenti alla Bracciano Ambiente S.p.A.; </w:t>
      </w:r>
      <w:r>
        <w:rPr>
          <w:rFonts w:hAnsi="Book Antiqua" w:hint="default"/>
          <w:rtl w:val="0"/>
          <w:lang w:val="it-IT"/>
        </w:rPr>
        <w:t xml:space="preserve">€ </w:t>
      </w:r>
      <w:r>
        <w:rPr>
          <w:rFonts w:ascii="Book Antiqua"/>
          <w:rtl w:val="0"/>
          <w:lang w:val="it-IT"/>
        </w:rPr>
        <w:t>2.057.092,78 per il riconoscimento di debiti fuori bilancio, ex articolo 194 T.u.e.l., da parte del comune di Bracciano e derivanti dalla stipula di una pluralit</w:t>
      </w:r>
      <w:r>
        <w:rPr>
          <w:rFonts w:hAnsi="Book Antiqua" w:hint="default"/>
          <w:rtl w:val="0"/>
          <w:lang w:val="it-IT"/>
        </w:rPr>
        <w:t xml:space="preserve">à̀ </w:t>
      </w:r>
      <w:r>
        <w:rPr>
          <w:rFonts w:ascii="Book Antiqua"/>
          <w:rtl w:val="0"/>
          <w:lang w:val="it-IT"/>
        </w:rPr>
        <w:t xml:space="preserve">di contratti di servizio (igiene urbana, manutenzione strade, cura del verde, etc.) commissionati alla Bracciano Ambiente S.p.A., con pagamento di corrispettivi insufficienti per la copertura delle spese d'esercizio effettivamente sostenute dal commissionario; </w:t>
      </w:r>
      <w:r>
        <w:rPr>
          <w:rFonts w:hAnsi="Book Antiqua" w:hint="default"/>
          <w:rtl w:val="0"/>
          <w:lang w:val="it-IT"/>
        </w:rPr>
        <w:t xml:space="preserve">€ </w:t>
      </w:r>
      <w:r>
        <w:rPr>
          <w:rFonts w:ascii="Book Antiqua"/>
          <w:rtl w:val="0"/>
          <w:lang w:val="it-IT"/>
        </w:rPr>
        <w:t>814.440,57 per le spese di cessione di crediti ad istituti di factoring sostenute dalla Bracciano Ambiente S.p.A. per sopperire ad esigenze di liquidit</w:t>
      </w:r>
      <w:r>
        <w:rPr>
          <w:rFonts w:hAnsi="Book Antiqua" w:hint="default"/>
          <w:rtl w:val="0"/>
          <w:lang w:val="it-IT"/>
        </w:rPr>
        <w:t>à</w:t>
      </w:r>
      <w:r>
        <w:rPr>
          <w:rFonts w:ascii="Book Antiqua"/>
          <w:rtl w:val="0"/>
          <w:lang w:val="it-IT"/>
        </w:rPr>
        <w:t xml:space="preserve"> causate da ritardi nei pagamenti da parte degli enti locali, in alcuni casi in situazione di cronica insolvenza;</w:t>
      </w:r>
    </w:p>
    <w:p>
      <w:pPr>
        <w:pStyle w:val="Normal (Web)"/>
        <w:spacing w:before="0" w:after="0"/>
        <w:ind w:left="567" w:right="567" w:firstLine="0"/>
        <w:jc w:val="both"/>
        <w:rPr>
          <w:rFonts w:ascii="Book Antiqua" w:cs="Book Antiqua" w:hAnsi="Book Antiqua" w:eastAsia="Book Antiqua"/>
        </w:rPr>
      </w:pPr>
      <w:r>
        <w:rPr>
          <w:rFonts w:ascii="Book Antiqua"/>
          <w:rtl w:val="0"/>
          <w:lang w:val="it-IT"/>
        </w:rPr>
        <w:t xml:space="preserve">2. Vertenza n. V2011/001471/FRS: danno erariale per complessivi </w:t>
      </w:r>
      <w:r>
        <w:rPr>
          <w:rFonts w:hAnsi="Book Antiqua" w:hint="default"/>
          <w:rtl w:val="0"/>
          <w:lang w:val="it-IT"/>
        </w:rPr>
        <w:t xml:space="preserve">€ </w:t>
      </w:r>
      <w:r>
        <w:rPr>
          <w:rFonts w:ascii="Book Antiqua"/>
          <w:rtl w:val="0"/>
          <w:lang w:val="it-IT"/>
        </w:rPr>
        <w:t xml:space="preserve">2.822.309,06 connesso alla realizzazione di un impianto per il trattamento del percolato da parte della Bracciano Ambiente S.p.A. (con sentenza n. 367 del 6 agosto 2015 la Corte dei Conti - Sezione giurisdizionale per il Lazio, ha condannato il sindaco del comune di Bracciano al pagamento dell'importo di </w:t>
      </w:r>
      <w:r>
        <w:rPr>
          <w:rFonts w:hAnsi="Book Antiqua" w:hint="default"/>
          <w:rtl w:val="0"/>
          <w:lang w:val="it-IT"/>
        </w:rPr>
        <w:t xml:space="preserve">€ </w:t>
      </w:r>
      <w:r>
        <w:rPr>
          <w:rFonts w:ascii="Book Antiqua"/>
          <w:rtl w:val="0"/>
          <w:lang w:val="it-IT"/>
        </w:rPr>
        <w:t>900.000 (stabilito in via equitativa) per il danno patrimoniale arrecato al comune di Bracciano quale socio unico della partecipata Bracciano Ambiente S.p.A.);</w:t>
      </w:r>
    </w:p>
    <w:p>
      <w:pPr>
        <w:pStyle w:val="Normal (Web)"/>
        <w:spacing w:before="0" w:after="0"/>
        <w:ind w:left="567" w:right="567" w:firstLine="0"/>
        <w:jc w:val="both"/>
        <w:rPr>
          <w:rFonts w:ascii="Book Antiqua" w:cs="Book Antiqua" w:hAnsi="Book Antiqua" w:eastAsia="Book Antiqua"/>
        </w:rPr>
      </w:pPr>
      <w:r>
        <w:rPr>
          <w:rFonts w:ascii="Book Antiqua"/>
          <w:rtl w:val="0"/>
          <w:lang w:val="it-IT"/>
        </w:rPr>
        <w:t xml:space="preserve">3. Vertenza n. V2014/00799/FRS: utilizzo del fondo </w:t>
      </w:r>
      <w:r>
        <w:rPr>
          <w:rFonts w:ascii="Book Antiqua"/>
          <w:i w:val="1"/>
          <w:iCs w:val="1"/>
          <w:rtl w:val="0"/>
          <w:lang w:val="it-IT"/>
        </w:rPr>
        <w:t>post mortem</w:t>
      </w:r>
      <w:r>
        <w:rPr>
          <w:rFonts w:ascii="Book Antiqua"/>
          <w:rtl w:val="0"/>
          <w:lang w:val="it-IT"/>
        </w:rPr>
        <w:t xml:space="preserve"> della discarica di Cupinoro; all'atto della chiusura della discarica, in data 31 gennaio 2014, la disponibilit</w:t>
      </w:r>
      <w:r>
        <w:rPr>
          <w:rFonts w:hAnsi="Book Antiqua" w:hint="default"/>
          <w:rtl w:val="0"/>
          <w:lang w:val="it-IT"/>
        </w:rPr>
        <w:t xml:space="preserve">à </w:t>
      </w:r>
      <w:r>
        <w:rPr>
          <w:rFonts w:ascii="Book Antiqua"/>
          <w:rtl w:val="0"/>
          <w:lang w:val="it-IT"/>
        </w:rPr>
        <w:t xml:space="preserve">finanziaria del fondo </w:t>
      </w:r>
      <w:r>
        <w:rPr>
          <w:rFonts w:ascii="Book Antiqua"/>
          <w:i w:val="1"/>
          <w:iCs w:val="1"/>
          <w:rtl w:val="0"/>
          <w:lang w:val="it-IT"/>
        </w:rPr>
        <w:t>post mortem</w:t>
      </w:r>
      <w:r>
        <w:rPr>
          <w:rFonts w:ascii="Book Antiqua"/>
          <w:rtl w:val="0"/>
          <w:lang w:val="it-IT"/>
        </w:rPr>
        <w:t xml:space="preserve"> era di </w:t>
      </w:r>
      <w:r>
        <w:rPr>
          <w:rFonts w:hAnsi="Book Antiqua" w:hint="default"/>
          <w:rtl w:val="0"/>
          <w:lang w:val="it-IT"/>
        </w:rPr>
        <w:t xml:space="preserve">€ </w:t>
      </w:r>
      <w:r>
        <w:rPr>
          <w:rFonts w:ascii="Book Antiqua"/>
          <w:rtl w:val="0"/>
          <w:lang w:val="it-IT"/>
        </w:rPr>
        <w:t xml:space="preserve">1.797.136,39, a fronte di accantonamenti </w:t>
      </w:r>
      <w:r>
        <w:rPr>
          <w:rFonts w:hAnsi="Book Antiqua" w:hint="default"/>
          <w:rtl w:val="0"/>
          <w:lang w:val="it-IT"/>
        </w:rPr>
        <w:t xml:space="preserve">– </w:t>
      </w:r>
      <w:r>
        <w:rPr>
          <w:rFonts w:ascii="Book Antiqua"/>
          <w:rtl w:val="0"/>
          <w:lang w:val="it-IT"/>
        </w:rPr>
        <w:t xml:space="preserve">nel periodo 2005/2013 </w:t>
      </w:r>
      <w:r>
        <w:rPr>
          <w:rFonts w:hAnsi="Book Antiqua" w:hint="default"/>
          <w:rtl w:val="0"/>
          <w:lang w:val="it-IT"/>
        </w:rPr>
        <w:t xml:space="preserve">– </w:t>
      </w:r>
      <w:r>
        <w:rPr>
          <w:rFonts w:ascii="Book Antiqua"/>
          <w:rtl w:val="0"/>
          <w:lang w:val="it-IT"/>
        </w:rPr>
        <w:t xml:space="preserve">di </w:t>
      </w:r>
      <w:r>
        <w:rPr>
          <w:rFonts w:hAnsi="Book Antiqua" w:hint="default"/>
          <w:rtl w:val="0"/>
          <w:lang w:val="it-IT"/>
        </w:rPr>
        <w:t xml:space="preserve">€ </w:t>
      </w:r>
      <w:r>
        <w:rPr>
          <w:rFonts w:ascii="Book Antiqua"/>
          <w:rtl w:val="0"/>
          <w:lang w:val="it-IT"/>
        </w:rPr>
        <w:t xml:space="preserve">14.592.596,18 e pertanto con uno sbilancio di </w:t>
      </w:r>
      <w:r>
        <w:rPr>
          <w:rFonts w:hAnsi="Book Antiqua" w:hint="default"/>
          <w:rtl w:val="0"/>
          <w:lang w:val="it-IT"/>
        </w:rPr>
        <w:t xml:space="preserve">€ </w:t>
      </w:r>
      <w:r>
        <w:rPr>
          <w:rFonts w:ascii="Book Antiqua"/>
          <w:rtl w:val="0"/>
          <w:lang w:val="it-IT"/>
        </w:rPr>
        <w:t>12.795.459,79; l</w:t>
      </w:r>
      <w:r>
        <w:rPr>
          <w:rFonts w:hAnsi="Book Antiqua" w:hint="default"/>
          <w:rtl w:val="0"/>
          <w:lang w:val="it-IT"/>
        </w:rPr>
        <w:t>’</w:t>
      </w:r>
      <w:r>
        <w:rPr>
          <w:rFonts w:ascii="Book Antiqua"/>
          <w:rtl w:val="0"/>
          <w:lang w:val="it-IT"/>
        </w:rPr>
        <w:t>utilizzo della quasi totalit</w:t>
      </w:r>
      <w:r>
        <w:rPr>
          <w:rFonts w:hAnsi="Book Antiqua" w:hint="default"/>
          <w:rtl w:val="0"/>
          <w:lang w:val="it-IT"/>
        </w:rPr>
        <w:t xml:space="preserve">à </w:t>
      </w:r>
      <w:r>
        <w:rPr>
          <w:rFonts w:ascii="Book Antiqua"/>
          <w:rtl w:val="0"/>
          <w:lang w:val="it-IT"/>
        </w:rPr>
        <w:t xml:space="preserve">del fondo per scopi diversi, </w:t>
      </w:r>
      <w:r>
        <w:rPr>
          <w:rFonts w:hAnsi="Book Antiqua" w:hint="default"/>
          <w:rtl w:val="0"/>
          <w:lang w:val="it-IT"/>
        </w:rPr>
        <w:t xml:space="preserve">è </w:t>
      </w:r>
      <w:r>
        <w:rPr>
          <w:rFonts w:ascii="Book Antiqua"/>
          <w:rtl w:val="0"/>
          <w:lang w:val="it-IT"/>
        </w:rPr>
        <w:t>stato motivato dalla perdurante carenza di liquidit</w:t>
      </w:r>
      <w:r>
        <w:rPr>
          <w:rFonts w:hAnsi="Book Antiqua" w:hint="default"/>
          <w:rtl w:val="0"/>
          <w:lang w:val="it-IT"/>
        </w:rPr>
        <w:t xml:space="preserve">à </w:t>
      </w:r>
      <w:r>
        <w:rPr>
          <w:rFonts w:ascii="Book Antiqua"/>
          <w:rtl w:val="0"/>
          <w:lang w:val="it-IT"/>
        </w:rPr>
        <w:t>in cui versava la societ</w:t>
      </w:r>
      <w:r>
        <w:rPr>
          <w:rFonts w:hAnsi="Book Antiqua" w:hint="default"/>
          <w:rtl w:val="0"/>
          <w:lang w:val="it-IT"/>
        </w:rPr>
        <w:t xml:space="preserve">à </w:t>
      </w:r>
      <w:r>
        <w:rPr>
          <w:rFonts w:ascii="Book Antiqua"/>
          <w:rtl w:val="0"/>
          <w:lang w:val="it-IT"/>
        </w:rPr>
        <w:t>sin dalla data di costituzione; i fatti sono stati esaminati anche alla procura della Repubblica di Civitavecchia nell</w:t>
      </w:r>
      <w:r>
        <w:rPr>
          <w:rFonts w:hAnsi="Book Antiqua" w:hint="default"/>
          <w:rtl w:val="0"/>
          <w:lang w:val="it-IT"/>
        </w:rPr>
        <w:t>’</w:t>
      </w:r>
      <w:r>
        <w:rPr>
          <w:rFonts w:ascii="Book Antiqua"/>
          <w:rtl w:val="0"/>
          <w:lang w:val="it-IT"/>
        </w:rPr>
        <w:t xml:space="preserve">ambito del procedimento penale n. 4036/2014 r.g.n.r.; peraltro il procedimento penale, instaurato per le ipotesi di reato di peculato e malversazione, si </w:t>
      </w:r>
      <w:r>
        <w:rPr>
          <w:rFonts w:hAnsi="Book Antiqua" w:hint="default"/>
          <w:rtl w:val="0"/>
          <w:lang w:val="it-IT"/>
        </w:rPr>
        <w:t xml:space="preserve">è </w:t>
      </w:r>
      <w:r>
        <w:rPr>
          <w:rFonts w:ascii="Book Antiqua"/>
          <w:rtl w:val="0"/>
          <w:lang w:val="it-IT"/>
        </w:rPr>
        <w:t>concluso con decreto di archiviazione del 24 novembre 2015;</w:t>
      </w:r>
    </w:p>
    <w:p>
      <w:pPr>
        <w:pStyle w:val="Normal"/>
        <w:ind w:left="567" w:right="567" w:firstLine="0"/>
        <w:jc w:val="both"/>
        <w:rPr>
          <w:rFonts w:ascii="Book Antiqua" w:cs="Book Antiqua" w:hAnsi="Book Antiqua" w:eastAsia="Book Antiqua"/>
        </w:rPr>
      </w:pPr>
      <w:r>
        <w:rPr>
          <w:rFonts w:ascii="Book Antiqua"/>
          <w:rtl w:val="0"/>
          <w:lang w:val="it-IT"/>
        </w:rPr>
        <w:t xml:space="preserve">4. Vertenza n. V2015/00944/FRS: decremento del patrimonio netto della Bracciano Ambiente S.p.A., che ha comportato una conseguente considerevole diminuzione del valore della partecipazione sociale del socio unico (comune di Bracciano) nella partecipata pari ad </w:t>
      </w:r>
      <w:r>
        <w:rPr>
          <w:rFonts w:hAnsi="Book Antiqua" w:hint="default"/>
          <w:rtl w:val="0"/>
          <w:lang w:val="it-IT"/>
        </w:rPr>
        <w:t xml:space="preserve">€ </w:t>
      </w:r>
      <w:r>
        <w:rPr>
          <w:rFonts w:ascii="Book Antiqua"/>
          <w:rtl w:val="0"/>
          <w:lang w:val="it-IT"/>
        </w:rPr>
        <w:t>1.271.409,00.</w:t>
      </w:r>
    </w:p>
    <w:p>
      <w:pPr>
        <w:pStyle w:val="Normal"/>
        <w:ind w:left="567" w:right="567" w:firstLine="0"/>
        <w:jc w:val="both"/>
        <w:rPr>
          <w:rFonts w:ascii="Book Antiqua" w:cs="Book Antiqua" w:hAnsi="Book Antiqua" w:eastAsia="Book Antiqua"/>
        </w:rPr>
      </w:pPr>
      <w:r>
        <w:rPr>
          <w:rFonts w:ascii="Book Antiqua"/>
          <w:rtl w:val="0"/>
          <w:lang w:val="it-IT"/>
        </w:rPr>
        <w:t xml:space="preserve">Un aggiornamento sulla situazione di queste vertenze </w:t>
      </w:r>
      <w:r>
        <w:rPr>
          <w:rFonts w:hAnsi="Book Antiqua" w:hint="default"/>
          <w:rtl w:val="0"/>
          <w:lang w:val="it-IT"/>
        </w:rPr>
        <w:t xml:space="preserve">è </w:t>
      </w:r>
      <w:r>
        <w:rPr>
          <w:rFonts w:ascii="Book Antiqua"/>
          <w:rtl w:val="0"/>
          <w:lang w:val="it-IT"/>
        </w:rPr>
        <w:t>stato fornito dal comandante regionale del Lazio della Guardia di finanza, audito dalla Commissione il 7 febbraio 2017, nei termini che seguono:</w:t>
      </w:r>
    </w:p>
    <w:p>
      <w:pPr>
        <w:pStyle w:val="Normal"/>
        <w:ind w:left="567" w:right="567" w:firstLine="0"/>
        <w:jc w:val="both"/>
        <w:rPr>
          <w:rFonts w:ascii="Book Antiqua" w:cs="Book Antiqua" w:hAnsi="Book Antiqua" w:eastAsia="Book Antiqua"/>
        </w:rPr>
      </w:pPr>
      <w:r>
        <w:rPr>
          <w:rFonts w:hAnsi="Book Antiqua" w:hint="default"/>
          <w:rtl w:val="0"/>
          <w:lang w:val="it-IT"/>
        </w:rPr>
        <w:t>“</w:t>
      </w:r>
      <w:r>
        <w:rPr>
          <w:rFonts w:ascii="Book Antiqua"/>
          <w:rtl w:val="0"/>
          <w:lang w:val="it-IT"/>
        </w:rPr>
        <w:t xml:space="preserve">Siamo a tre sentenze di condanna e a una quarta vertenza, che </w:t>
      </w:r>
      <w:r>
        <w:rPr>
          <w:rFonts w:hAnsi="Book Antiqua" w:hint="default"/>
          <w:rtl w:val="0"/>
          <w:lang w:val="it-IT"/>
        </w:rPr>
        <w:t xml:space="preserve">è </w:t>
      </w:r>
      <w:r>
        <w:rPr>
          <w:rFonts w:ascii="Book Antiqua"/>
          <w:rtl w:val="0"/>
          <w:lang w:val="it-IT"/>
        </w:rPr>
        <w:t xml:space="preserve">ancora </w:t>
      </w:r>
      <w:r>
        <w:rPr>
          <w:rFonts w:ascii="Book Antiqua"/>
          <w:i w:val="1"/>
          <w:iCs w:val="1"/>
          <w:rtl w:val="0"/>
          <w:lang w:val="it-IT"/>
        </w:rPr>
        <w:t>in itinere.</w:t>
      </w:r>
      <w:r>
        <w:rPr>
          <w:rFonts w:ascii="Book Antiqua"/>
          <w:rtl w:val="0"/>
          <w:lang w:val="it-IT"/>
        </w:rPr>
        <w:t xml:space="preserve"> Di tutte </w:t>
      </w:r>
      <w:r>
        <w:rPr>
          <w:rFonts w:hAnsi="Book Antiqua" w:hint="default"/>
          <w:rtl w:val="0"/>
          <w:lang w:val="it-IT"/>
        </w:rPr>
        <w:t xml:space="preserve">è </w:t>
      </w:r>
      <w:r>
        <w:rPr>
          <w:rFonts w:ascii="Book Antiqua"/>
          <w:rtl w:val="0"/>
          <w:lang w:val="it-IT"/>
        </w:rPr>
        <w:t>destinatario sempre il comune di Bracciano, amministratori e sindaco compresi.</w:t>
      </w:r>
    </w:p>
    <w:p>
      <w:pPr>
        <w:pStyle w:val="Normal"/>
        <w:ind w:left="567" w:right="567" w:firstLine="0"/>
        <w:jc w:val="both"/>
        <w:rPr>
          <w:rFonts w:ascii="Book Antiqua" w:cs="Book Antiqua" w:hAnsi="Book Antiqua" w:eastAsia="Book Antiqua"/>
        </w:rPr>
      </w:pPr>
      <w:r>
        <w:rPr>
          <w:rFonts w:ascii="Book Antiqua"/>
          <w:rtl w:val="0"/>
          <w:lang w:val="it-IT"/>
        </w:rPr>
        <w:t xml:space="preserve">Le vertenze, in estrema sintesi, comprendono la V/2007, afferente ai danni erariali per il mancato pagamento di interessi moratori, riconoscimento di debiti fuori bilancio e spese per cessione di crediti, per i quali la Corte dei conti, con sentenza del 10 gennaio 2017, ha condannato a vario titolo 30 convenuti, per un risarcimento di un danno complessivo di oltre 3 milioni di euro. </w:t>
      </w:r>
    </w:p>
    <w:p>
      <w:pPr>
        <w:pStyle w:val="Normal"/>
        <w:ind w:left="567" w:right="567" w:firstLine="0"/>
        <w:jc w:val="both"/>
        <w:rPr>
          <w:rFonts w:ascii="Book Antiqua" w:cs="Book Antiqua" w:hAnsi="Book Antiqua" w:eastAsia="Book Antiqua"/>
        </w:rPr>
      </w:pPr>
      <w:r>
        <w:rPr>
          <w:rFonts w:ascii="Book Antiqua"/>
          <w:rtl w:val="0"/>
          <w:lang w:val="it-IT"/>
        </w:rPr>
        <w:t xml:space="preserve">Per quanto riguarda la vertenza V/2014, afferente alla gestione del cosiddetto fondo </w:t>
      </w:r>
      <w:r>
        <w:rPr>
          <w:rFonts w:ascii="Book Antiqua"/>
          <w:i w:val="1"/>
          <w:iCs w:val="1"/>
          <w:rtl w:val="0"/>
          <w:lang w:val="it-IT"/>
        </w:rPr>
        <w:t>post mortem</w:t>
      </w:r>
      <w:r>
        <w:rPr>
          <w:rFonts w:ascii="Book Antiqua"/>
          <w:rtl w:val="0"/>
          <w:lang w:val="it-IT"/>
        </w:rPr>
        <w:t xml:space="preserve"> e al mancato versamento del tributo speciale ecotassa [</w:t>
      </w:r>
      <w:r>
        <w:rPr>
          <w:rFonts w:hAnsi="Book Antiqua" w:hint="default"/>
          <w:rtl w:val="0"/>
          <w:lang w:val="it-IT"/>
        </w:rPr>
        <w:t>…</w:t>
      </w:r>
      <w:r>
        <w:rPr>
          <w:rFonts w:ascii="Book Antiqua"/>
          <w:rtl w:val="0"/>
          <w:lang w:val="it-IT"/>
        </w:rPr>
        <w:t xml:space="preserve">] a seguito di audizione nei confronti del responsabile area ciclo rifiuti della regione Lazio, sono emersi ulteriori profili di danno erariale, ancora in fase di quantificazione. Questa </w:t>
      </w:r>
      <w:r>
        <w:rPr>
          <w:rFonts w:hAnsi="Book Antiqua" w:hint="default"/>
          <w:rtl w:val="0"/>
          <w:lang w:val="it-IT"/>
        </w:rPr>
        <w:t xml:space="preserve">è </w:t>
      </w:r>
      <w:r>
        <w:rPr>
          <w:rFonts w:ascii="Book Antiqua"/>
          <w:rtl w:val="0"/>
          <w:lang w:val="it-IT"/>
        </w:rPr>
        <w:t>l</w:t>
      </w:r>
      <w:r>
        <w:rPr>
          <w:rFonts w:hAnsi="Book Antiqua" w:hint="default"/>
          <w:rtl w:val="0"/>
          <w:lang w:val="it-IT"/>
        </w:rPr>
        <w:t>’</w:t>
      </w:r>
      <w:r>
        <w:rPr>
          <w:rFonts w:ascii="Book Antiqua"/>
          <w:rtl w:val="0"/>
          <w:lang w:val="it-IT"/>
        </w:rPr>
        <w:t>unica vertenza ancora in essere, come Corte dei conti.</w:t>
      </w:r>
    </w:p>
    <w:p>
      <w:pPr>
        <w:pStyle w:val="Normal"/>
        <w:ind w:left="567" w:right="567" w:firstLine="0"/>
        <w:jc w:val="both"/>
        <w:rPr>
          <w:rFonts w:ascii="Book Antiqua" w:cs="Book Antiqua" w:hAnsi="Book Antiqua" w:eastAsia="Book Antiqua"/>
        </w:rPr>
      </w:pPr>
      <w:r>
        <w:rPr>
          <w:rFonts w:ascii="Book Antiqua"/>
          <w:rtl w:val="0"/>
          <w:lang w:val="it-IT"/>
        </w:rPr>
        <w:t xml:space="preserve">Avuto riguardo alla cosiddetta ecotassa </w:t>
      </w:r>
      <w:r>
        <w:rPr>
          <w:rFonts w:hAnsi="Book Antiqua" w:hint="default"/>
          <w:rtl w:val="0"/>
          <w:lang w:val="it-IT"/>
        </w:rPr>
        <w:t xml:space="preserve">– </w:t>
      </w:r>
      <w:r>
        <w:rPr>
          <w:rFonts w:ascii="Book Antiqua"/>
          <w:rtl w:val="0"/>
          <w:lang w:val="it-IT"/>
        </w:rPr>
        <w:t>qui c'</w:t>
      </w:r>
      <w:r>
        <w:rPr>
          <w:rFonts w:hAnsi="Book Antiqua" w:hint="default"/>
          <w:rtl w:val="0"/>
          <w:lang w:val="it-IT"/>
        </w:rPr>
        <w:t xml:space="preserve">è </w:t>
      </w:r>
      <w:r>
        <w:rPr>
          <w:rFonts w:ascii="Book Antiqua"/>
          <w:rtl w:val="0"/>
          <w:lang w:val="it-IT"/>
        </w:rPr>
        <w:t xml:space="preserve">un passaggio, penso, importante </w:t>
      </w:r>
      <w:r>
        <w:rPr>
          <w:rFonts w:hAnsi="Book Antiqua" w:hint="default"/>
          <w:rtl w:val="0"/>
          <w:lang w:val="it-IT"/>
        </w:rPr>
        <w:t xml:space="preserve">– </w:t>
      </w:r>
      <w:r>
        <w:rPr>
          <w:rFonts w:ascii="Book Antiqua"/>
          <w:rtl w:val="0"/>
          <w:lang w:val="it-IT"/>
        </w:rPr>
        <w:t>nonostante l'iniziale rinuncia da parte della regione Lazio alla pretesa erariale, ammontante a oltre 10 milioni di euro dovuti dalla Bracciano Ambiente S.p.A., giustificata in prima battuta dalla concessione di una compensazione con altre spese sostenute dalla Bracciano S.p.A. [</w:t>
      </w:r>
      <w:r>
        <w:rPr>
          <w:rFonts w:hAnsi="Book Antiqua" w:hint="default"/>
          <w:rtl w:val="0"/>
          <w:lang w:val="it-IT"/>
        </w:rPr>
        <w:t>…</w:t>
      </w:r>
      <w:r>
        <w:rPr>
          <w:rFonts w:ascii="Book Antiqua"/>
          <w:rtl w:val="0"/>
          <w:lang w:val="it-IT"/>
        </w:rPr>
        <w:t>] in un secondo momento la regione, appresa l'esistenza di attivit</w:t>
      </w:r>
      <w:r>
        <w:rPr>
          <w:rFonts w:hAnsi="Book Antiqua" w:hint="default"/>
          <w:rtl w:val="0"/>
          <w:lang w:val="it-IT"/>
        </w:rPr>
        <w:t xml:space="preserve">à </w:t>
      </w:r>
      <w:r>
        <w:rPr>
          <w:rFonts w:ascii="Book Antiqua"/>
          <w:rtl w:val="0"/>
          <w:lang w:val="it-IT"/>
        </w:rPr>
        <w:t>di indagine da parte nostra e della Corte dei conti, ha rivisto le proprie posizioni e, con successiva delibera, ha rivendicato la somma dovutale [</w:t>
      </w:r>
      <w:r>
        <w:rPr>
          <w:rFonts w:hAnsi="Book Antiqua" w:hint="default"/>
          <w:rtl w:val="0"/>
          <w:lang w:val="it-IT"/>
        </w:rPr>
        <w:t>…</w:t>
      </w:r>
      <w:r>
        <w:rPr>
          <w:rFonts w:ascii="Book Antiqua"/>
          <w:rtl w:val="0"/>
          <w:lang w:val="it-IT"/>
        </w:rPr>
        <w:t>];</w:t>
      </w:r>
      <w:r>
        <w:rPr>
          <w:rFonts w:hAnsi="Times New Roman" w:hint="default"/>
          <w:rtl w:val="0"/>
          <w:lang w:val="it-IT"/>
        </w:rPr>
        <w:t>  </w:t>
      </w:r>
      <w:r>
        <w:rPr>
          <w:rFonts w:ascii="Book Antiqua"/>
          <w:rtl w:val="0"/>
          <w:lang w:val="it-IT"/>
        </w:rPr>
        <w:t xml:space="preserve">La vertenza V/2015 dovrebbe essere l'ultima afferente alla diminuzione del valore della partecipazione sociale del socio unico comune di Bracciano nella partecipata Bracciano Ambiente S.p.A.: </w:t>
      </w:r>
      <w:r>
        <w:rPr>
          <w:rFonts w:hAnsi="Book Antiqua" w:hint="default"/>
          <w:rtl w:val="0"/>
          <w:lang w:val="it-IT"/>
        </w:rPr>
        <w:t xml:space="preserve">è </w:t>
      </w:r>
      <w:r>
        <w:rPr>
          <w:rFonts w:ascii="Book Antiqua"/>
          <w:rtl w:val="0"/>
          <w:lang w:val="it-IT"/>
        </w:rPr>
        <w:t>stata emessa sentenza di condanna al risarcimento di 200.000 euro nei confronti del sindaco del comune di Bracciano con una sentenza del 21 aprile 2016.</w:t>
      </w:r>
    </w:p>
    <w:p>
      <w:pPr>
        <w:pStyle w:val="Normal"/>
        <w:ind w:left="567" w:right="567" w:firstLine="0"/>
        <w:jc w:val="both"/>
        <w:rPr>
          <w:rFonts w:ascii="Book Antiqua" w:cs="Book Antiqua" w:hAnsi="Book Antiqua" w:eastAsia="Book Antiqua"/>
        </w:rPr>
      </w:pPr>
      <w:r>
        <w:rPr>
          <w:rFonts w:ascii="Book Antiqua"/>
          <w:rtl w:val="0"/>
          <w:lang w:val="it-IT"/>
        </w:rPr>
        <w:t>Si tratta di vicende tuttora in corso, attesa la possibilit</w:t>
      </w:r>
      <w:r>
        <w:rPr>
          <w:rFonts w:hAnsi="Book Antiqua" w:hint="default"/>
          <w:rtl w:val="0"/>
          <w:lang w:val="it-IT"/>
        </w:rPr>
        <w:t xml:space="preserve">à </w:t>
      </w:r>
      <w:r>
        <w:rPr>
          <w:rFonts w:ascii="Book Antiqua"/>
          <w:rtl w:val="0"/>
          <w:lang w:val="it-IT"/>
        </w:rPr>
        <w:t>di impugnazione delle pronunce citate, che, tuttavia, anche a prescindere dall</w:t>
      </w:r>
      <w:r>
        <w:rPr>
          <w:rFonts w:hAnsi="Book Antiqua" w:hint="default"/>
          <w:rtl w:val="0"/>
          <w:lang w:val="it-IT"/>
        </w:rPr>
        <w:t>’</w:t>
      </w:r>
      <w:r>
        <w:rPr>
          <w:rFonts w:ascii="Book Antiqua"/>
          <w:rtl w:val="0"/>
          <w:lang w:val="it-IT"/>
        </w:rPr>
        <w:t>eventuale definitivo accertamento di responsabilit</w:t>
      </w:r>
      <w:r>
        <w:rPr>
          <w:rFonts w:hAnsi="Book Antiqua" w:hint="default"/>
          <w:rtl w:val="0"/>
          <w:lang w:val="it-IT"/>
        </w:rPr>
        <w:t>à</w:t>
      </w:r>
      <w:r>
        <w:rPr>
          <w:rFonts w:ascii="Book Antiqua"/>
          <w:rtl w:val="0"/>
          <w:lang w:val="it-IT"/>
        </w:rPr>
        <w:t xml:space="preserve">, indicano nella finanza ambientale un settore che merita particolare attenzione </w:t>
      </w:r>
      <w:r>
        <w:rPr>
          <w:rFonts w:hAnsi="Book Antiqua" w:hint="default"/>
          <w:rtl w:val="0"/>
          <w:lang w:val="it-IT"/>
        </w:rPr>
        <w:t xml:space="preserve">– </w:t>
      </w:r>
      <w:r>
        <w:rPr>
          <w:rFonts w:ascii="Book Antiqua"/>
          <w:rtl w:val="0"/>
          <w:lang w:val="it-IT"/>
        </w:rPr>
        <w:t>e una riflessione sull</w:t>
      </w:r>
      <w:r>
        <w:rPr>
          <w:rFonts w:hAnsi="Book Antiqua" w:hint="default"/>
          <w:rtl w:val="0"/>
          <w:lang w:val="it-IT"/>
        </w:rPr>
        <w:t>’</w:t>
      </w:r>
      <w:r>
        <w:rPr>
          <w:rFonts w:ascii="Book Antiqua"/>
          <w:rtl w:val="0"/>
          <w:lang w:val="it-IT"/>
        </w:rPr>
        <w:t xml:space="preserve">efficacia delle norme esistenti </w:t>
      </w:r>
      <w:r>
        <w:rPr>
          <w:rFonts w:hAnsi="Book Antiqua" w:hint="default"/>
          <w:rtl w:val="0"/>
          <w:lang w:val="it-IT"/>
        </w:rPr>
        <w:t xml:space="preserve">– </w:t>
      </w:r>
      <w:r>
        <w:rPr>
          <w:rFonts w:ascii="Book Antiqua"/>
          <w:rtl w:val="0"/>
          <w:lang w:val="it-IT"/>
        </w:rPr>
        <w:t>e che, nel Lazio, assume significativa rilevanza.</w:t>
      </w:r>
    </w:p>
    <w:p>
      <w:pPr>
        <w:pStyle w:val="Normal"/>
        <w:ind w:left="567" w:right="567" w:firstLine="0"/>
        <w:jc w:val="both"/>
        <w:rPr>
          <w:rFonts w:ascii="Book Antiqua" w:cs="Book Antiqua" w:hAnsi="Book Antiqua" w:eastAsia="Book Antiqua"/>
        </w:rPr>
      </w:pPr>
      <w:r>
        <w:rPr>
          <w:rFonts w:ascii="Book Antiqua"/>
          <w:rtl w:val="0"/>
          <w:lang w:val="it-IT"/>
        </w:rPr>
        <w:t>Sempre per quanto riguarda la provincia di Viterbo, nel corso dell</w:t>
      </w:r>
      <w:r>
        <w:rPr>
          <w:rFonts w:hAnsi="Book Antiqua" w:hint="default"/>
          <w:rtl w:val="0"/>
          <w:lang w:val="it-IT"/>
        </w:rPr>
        <w:t>’</w:t>
      </w:r>
      <w:r>
        <w:rPr>
          <w:rFonts w:ascii="Book Antiqua"/>
          <w:rtl w:val="0"/>
          <w:lang w:val="it-IT"/>
        </w:rPr>
        <w:t xml:space="preserve">audizione dei rappresentanti di quella prefettura, </w:t>
      </w:r>
      <w:r>
        <w:rPr>
          <w:rFonts w:hAnsi="Book Antiqua" w:hint="default"/>
          <w:rtl w:val="0"/>
          <w:lang w:val="it-IT"/>
        </w:rPr>
        <w:t xml:space="preserve">è </w:t>
      </w:r>
      <w:r>
        <w:rPr>
          <w:rFonts w:ascii="Book Antiqua"/>
          <w:rtl w:val="0"/>
          <w:lang w:val="it-IT"/>
        </w:rPr>
        <w:t>stata evidenziata la criticit</w:t>
      </w:r>
      <w:r>
        <w:rPr>
          <w:rFonts w:hAnsi="Book Antiqua" w:hint="default"/>
          <w:rtl w:val="0"/>
          <w:lang w:val="it-IT"/>
        </w:rPr>
        <w:t xml:space="preserve">à </w:t>
      </w:r>
      <w:r>
        <w:rPr>
          <w:rFonts w:ascii="Book Antiqua"/>
          <w:rtl w:val="0"/>
          <w:lang w:val="it-IT"/>
        </w:rPr>
        <w:t>ambientale relativa a una vasta area sita nel comune di Graffignano; questione che la Commissione ha dunque deciso di approfondire con l</w:t>
      </w:r>
      <w:r>
        <w:rPr>
          <w:rFonts w:hAnsi="Book Antiqua" w:hint="default"/>
          <w:rtl w:val="0"/>
          <w:lang w:val="it-IT"/>
        </w:rPr>
        <w:t>’</w:t>
      </w:r>
      <w:r>
        <w:rPr>
          <w:rFonts w:ascii="Book Antiqua"/>
          <w:rtl w:val="0"/>
          <w:lang w:val="it-IT"/>
        </w:rPr>
        <w:t xml:space="preserve">audizione del sindaco di Graffignano - tenutasi il 16 ottobre 2017 </w:t>
      </w:r>
      <w:r>
        <w:rPr>
          <w:rFonts w:hAnsi="Book Antiqua" w:hint="default"/>
          <w:rtl w:val="0"/>
          <w:lang w:val="it-IT"/>
        </w:rPr>
        <w:t xml:space="preserve">– </w:t>
      </w:r>
      <w:r>
        <w:rPr>
          <w:rFonts w:ascii="Book Antiqua"/>
          <w:rtl w:val="0"/>
          <w:lang w:val="it-IT"/>
        </w:rPr>
        <w:t>da cui emerge una vicenda esemplare delle difficolt</w:t>
      </w:r>
      <w:r>
        <w:rPr>
          <w:rFonts w:hAnsi="Book Antiqua" w:hint="default"/>
          <w:rtl w:val="0"/>
          <w:lang w:val="it-IT"/>
        </w:rPr>
        <w:t xml:space="preserve">à </w:t>
      </w:r>
      <w:r>
        <w:rPr>
          <w:rFonts w:ascii="Book Antiqua"/>
          <w:rtl w:val="0"/>
          <w:lang w:val="it-IT"/>
        </w:rPr>
        <w:t>che incontrano i procedimenti di bonifica di siti inquinati, tanto pi</w:t>
      </w:r>
      <w:r>
        <w:rPr>
          <w:rFonts w:hAnsi="Book Antiqua" w:hint="default"/>
          <w:rtl w:val="0"/>
          <w:lang w:val="it-IT"/>
        </w:rPr>
        <w:t>ù</w:t>
      </w:r>
      <w:r>
        <w:rPr>
          <w:rFonts w:ascii="Book Antiqua"/>
          <w:rtl w:val="0"/>
          <w:lang w:val="it-IT"/>
        </w:rPr>
        <w:t xml:space="preserve"> quando insistano sul territorio di piccoli comuni privi della struttura organizzativa e delle risorse per farvi fronte. Cos</w:t>
      </w:r>
      <w:r>
        <w:rPr>
          <w:rFonts w:hAnsi="Book Antiqua" w:hint="default"/>
          <w:rtl w:val="0"/>
          <w:lang w:val="it-IT"/>
        </w:rPr>
        <w:t xml:space="preserve">ì </w:t>
      </w:r>
      <w:r>
        <w:rPr>
          <w:rFonts w:ascii="Book Antiqua"/>
          <w:rtl w:val="0"/>
          <w:lang w:val="it-IT"/>
        </w:rPr>
        <w:t xml:space="preserve">si era espresso in audizione il viceprefetto di Viterbo, Salvatore Grillo: </w:t>
      </w:r>
      <w:r>
        <w:rPr>
          <w:rFonts w:hAnsi="Book Antiqua" w:hint="default"/>
          <w:rtl w:val="0"/>
          <w:lang w:val="it-IT"/>
        </w:rPr>
        <w:t>“</w:t>
      </w:r>
      <w:r>
        <w:rPr>
          <w:rFonts w:ascii="Book Antiqua"/>
          <w:rtl w:val="0"/>
          <w:lang w:val="it-IT"/>
        </w:rPr>
        <w:t xml:space="preserve">Mi riferisco al comune di Graffignano, che </w:t>
      </w:r>
      <w:r>
        <w:rPr>
          <w:rFonts w:hAnsi="Book Antiqua" w:hint="default"/>
          <w:rtl w:val="0"/>
          <w:lang w:val="it-IT"/>
        </w:rPr>
        <w:t xml:space="preserve">è </w:t>
      </w:r>
      <w:r>
        <w:rPr>
          <w:rFonts w:ascii="Book Antiqua"/>
          <w:rtl w:val="0"/>
          <w:lang w:val="it-IT"/>
        </w:rPr>
        <w:t xml:space="preserve">al confine con la provincia di Terni, diviso dal Tevere. Su quest'area a ridosso delle sponde del Tevere, che </w:t>
      </w:r>
      <w:r>
        <w:rPr>
          <w:rFonts w:hAnsi="Book Antiqua" w:hint="default"/>
          <w:rtl w:val="0"/>
          <w:lang w:val="it-IT"/>
        </w:rPr>
        <w:t xml:space="preserve">è </w:t>
      </w:r>
      <w:r>
        <w:rPr>
          <w:rFonts w:ascii="Book Antiqua"/>
          <w:rtl w:val="0"/>
          <w:lang w:val="it-IT"/>
        </w:rPr>
        <w:t xml:space="preserve">stata stimata in circa 142 ettari, </w:t>
      </w:r>
      <w:r>
        <w:rPr>
          <w:rFonts w:hAnsi="Book Antiqua" w:hint="default"/>
          <w:rtl w:val="0"/>
          <w:lang w:val="it-IT"/>
        </w:rPr>
        <w:t xml:space="preserve">è </w:t>
      </w:r>
      <w:r>
        <w:rPr>
          <w:rFonts w:ascii="Book Antiqua"/>
          <w:rtl w:val="0"/>
          <w:lang w:val="it-IT"/>
        </w:rPr>
        <w:t xml:space="preserve">stata evidenziata una grande movimentazione di rifiuti speciali con grande presenza di metalli pesanti. Questa </w:t>
      </w:r>
      <w:r>
        <w:rPr>
          <w:rFonts w:hAnsi="Book Antiqua" w:hint="default"/>
          <w:rtl w:val="0"/>
          <w:lang w:val="it-IT"/>
        </w:rPr>
        <w:t xml:space="preserve">è </w:t>
      </w:r>
      <w:r>
        <w:rPr>
          <w:rFonts w:ascii="Book Antiqua"/>
          <w:rtl w:val="0"/>
          <w:lang w:val="it-IT"/>
        </w:rPr>
        <w:t>una bomba ecologica della quale bisogna capire la portata, perch</w:t>
      </w:r>
      <w:r>
        <w:rPr>
          <w:rFonts w:hAnsi="Book Antiqua" w:hint="default"/>
          <w:rtl w:val="0"/>
          <w:lang w:val="it-IT"/>
        </w:rPr>
        <w:t>é</w:t>
      </w:r>
      <w:r>
        <w:rPr>
          <w:rFonts w:ascii="Book Antiqua"/>
          <w:rtl w:val="0"/>
          <w:lang w:val="it-IT"/>
        </w:rPr>
        <w:t>, essendo una cosa che risale a dieci anni fa, con i dilavamenti delle piogge e l'erosione delle sponde da parte dell'acqua del fiume, noi non sappiamo se vi sia stato un trasporto in altri siti, attraverso il fiume, di questi metalli</w:t>
      </w:r>
      <w:r>
        <w:rPr>
          <w:rFonts w:hAnsi="Book Antiqua" w:hint="default"/>
          <w:rtl w:val="0"/>
          <w:lang w:val="it-IT"/>
        </w:rPr>
        <w:t>”</w:t>
      </w:r>
      <w:r>
        <w:rPr>
          <w:rFonts w:ascii="Book Antiqua"/>
          <w:rtl w:val="0"/>
          <w:lang w:val="it-IT"/>
        </w:rPr>
        <w:t xml:space="preserve">; aveva aggiunto la dirigente della prefettura Immacolata Amalfitano: </w:t>
      </w:r>
      <w:r>
        <w:rPr>
          <w:rFonts w:hAnsi="Book Antiqua" w:hint="default"/>
          <w:rtl w:val="0"/>
          <w:lang w:val="it-IT"/>
        </w:rPr>
        <w:t>“</w:t>
      </w:r>
      <w:r>
        <w:rPr>
          <w:rFonts w:ascii="Book Antiqua"/>
          <w:rtl w:val="0"/>
          <w:lang w:val="it-IT"/>
        </w:rPr>
        <w:t xml:space="preserve">il sindaco in questo caso </w:t>
      </w:r>
      <w:r>
        <w:rPr>
          <w:rFonts w:hAnsi="Book Antiqua" w:hint="default"/>
          <w:rtl w:val="0"/>
          <w:lang w:val="it-IT"/>
        </w:rPr>
        <w:t xml:space="preserve">è </w:t>
      </w:r>
      <w:r>
        <w:rPr>
          <w:rFonts w:ascii="Book Antiqua"/>
          <w:rtl w:val="0"/>
          <w:lang w:val="it-IT"/>
        </w:rPr>
        <w:t>intervenuto con il potere sostitutivo, per cui, insieme all'Universit</w:t>
      </w:r>
      <w:r>
        <w:rPr>
          <w:rFonts w:hAnsi="Book Antiqua" w:hint="default"/>
          <w:rtl w:val="0"/>
          <w:lang w:val="it-IT"/>
        </w:rPr>
        <w:t xml:space="preserve">à </w:t>
      </w:r>
      <w:r>
        <w:rPr>
          <w:rFonts w:ascii="Book Antiqua"/>
          <w:rtl w:val="0"/>
          <w:lang w:val="it-IT"/>
        </w:rPr>
        <w:t xml:space="preserve">della Tuscia, </w:t>
      </w:r>
      <w:r>
        <w:rPr>
          <w:rFonts w:hAnsi="Book Antiqua" w:hint="default"/>
          <w:rtl w:val="0"/>
          <w:lang w:val="it-IT"/>
        </w:rPr>
        <w:t xml:space="preserve">è </w:t>
      </w:r>
      <w:r>
        <w:rPr>
          <w:rFonts w:ascii="Book Antiqua"/>
          <w:rtl w:val="0"/>
          <w:lang w:val="it-IT"/>
        </w:rPr>
        <w:t>stato fatto un modello preliminare concettuale di caratterizzazione e siamo in attesa di effettuare la caratterizzazione, che ci dar</w:t>
      </w:r>
      <w:r>
        <w:rPr>
          <w:rFonts w:hAnsi="Book Antiqua" w:hint="default"/>
          <w:rtl w:val="0"/>
          <w:lang w:val="it-IT"/>
        </w:rPr>
        <w:t xml:space="preserve">à </w:t>
      </w:r>
      <w:r>
        <w:rPr>
          <w:rFonts w:ascii="Book Antiqua"/>
          <w:rtl w:val="0"/>
          <w:lang w:val="it-IT"/>
        </w:rPr>
        <w:t xml:space="preserve">contezza dell'effettivo danno ambientale, per poi procedere alla bonifica. Il problema </w:t>
      </w:r>
      <w:r>
        <w:rPr>
          <w:rFonts w:hAnsi="Book Antiqua" w:hint="default"/>
          <w:rtl w:val="0"/>
          <w:lang w:val="it-IT"/>
        </w:rPr>
        <w:t xml:space="preserve">è </w:t>
      </w:r>
      <w:r>
        <w:rPr>
          <w:rFonts w:ascii="Book Antiqua"/>
          <w:rtl w:val="0"/>
          <w:lang w:val="it-IT"/>
        </w:rPr>
        <w:t>l'ingente somma di danaro che serve per tutta l'attivit</w:t>
      </w:r>
      <w:r>
        <w:rPr>
          <w:rFonts w:hAnsi="Book Antiqua" w:hint="default"/>
          <w:rtl w:val="0"/>
          <w:lang w:val="it-IT"/>
        </w:rPr>
        <w:t>à</w:t>
      </w:r>
      <w:r>
        <w:rPr>
          <w:rFonts w:ascii="Book Antiqua"/>
          <w:rtl w:val="0"/>
          <w:lang w:val="it-IT"/>
        </w:rPr>
        <w:t>, che si presume solo per la caratterizzazione vada oltre un milione di euro</w:t>
      </w:r>
      <w:r>
        <w:rPr>
          <w:rFonts w:hAnsi="Book Antiqua" w:hint="default"/>
          <w:rtl w:val="0"/>
          <w:lang w:val="it-IT"/>
        </w:rPr>
        <w:t>”</w:t>
      </w:r>
      <w:r>
        <w:rPr>
          <w:rFonts w:ascii="Book Antiqua"/>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Nella nota presentata in occasione dell</w:t>
      </w:r>
      <w:r>
        <w:rPr>
          <w:rFonts w:hAnsi="Book Antiqua" w:hint="default"/>
          <w:rtl w:val="0"/>
          <w:lang w:val="it-IT"/>
        </w:rPr>
        <w:t>’</w:t>
      </w:r>
      <w:r>
        <w:rPr>
          <w:rFonts w:ascii="Book Antiqua"/>
          <w:rtl w:val="0"/>
          <w:lang w:val="it-IT"/>
        </w:rPr>
        <w:t>audizione</w:t>
      </w:r>
      <w:r>
        <w:rPr>
          <w:rFonts w:ascii="Book Antiqua" w:cs="Book Antiqua" w:hAnsi="Book Antiqua" w:eastAsia="Book Antiqua"/>
          <w:vertAlign w:val="superscript"/>
          <w:rtl w:val="0"/>
        </w:rPr>
        <w:footnoteReference w:id="245"/>
      </w:r>
      <w:r>
        <w:rPr>
          <w:rFonts w:ascii="Book Antiqua"/>
          <w:rtl w:val="0"/>
          <w:lang w:val="it-IT"/>
        </w:rPr>
        <w:t>, il sindaco di Graffignano ha ripercorso la vicenda dello sversamento di fanghi inquinati, a partire dall</w:t>
      </w:r>
      <w:r>
        <w:rPr>
          <w:rFonts w:hAnsi="Book Antiqua" w:hint="default"/>
          <w:rtl w:val="0"/>
          <w:lang w:val="it-IT"/>
        </w:rPr>
        <w:t>’</w:t>
      </w:r>
      <w:r>
        <w:rPr>
          <w:rFonts w:ascii="Book Antiqua"/>
          <w:rtl w:val="0"/>
          <w:lang w:val="it-IT"/>
        </w:rPr>
        <w:t>accertamento del Corpo forestale dello Stato nel settembre 2006 sino all</w:t>
      </w:r>
      <w:r>
        <w:rPr>
          <w:rFonts w:hAnsi="Book Antiqua" w:hint="default"/>
          <w:rtl w:val="0"/>
          <w:lang w:val="it-IT"/>
        </w:rPr>
        <w:t>’</w:t>
      </w:r>
      <w:r>
        <w:rPr>
          <w:rFonts w:ascii="Book Antiqua"/>
          <w:rtl w:val="0"/>
          <w:lang w:val="it-IT"/>
        </w:rPr>
        <w:t>irrisolto e attuale problema della bonifica:</w:t>
      </w:r>
    </w:p>
    <w:p>
      <w:pPr>
        <w:pStyle w:val="Normal"/>
        <w:ind w:left="567" w:right="567" w:firstLine="0"/>
        <w:jc w:val="both"/>
        <w:rPr>
          <w:rFonts w:ascii="Book Antiqua" w:cs="Book Antiqua" w:hAnsi="Book Antiqua" w:eastAsia="Book Antiqua"/>
        </w:rPr>
      </w:pPr>
      <w:r>
        <w:rPr>
          <w:rFonts w:hAnsi="Book Antiqua" w:hint="default"/>
          <w:rtl w:val="0"/>
          <w:lang w:val="it-IT"/>
        </w:rPr>
        <w:t>“</w:t>
      </w:r>
      <w:r>
        <w:rPr>
          <w:rFonts w:ascii="Book Antiqua"/>
          <w:rtl w:val="0"/>
          <w:lang w:val="it-IT"/>
        </w:rPr>
        <w:t>La vicenda trae origine il 18 settembre 2006. A seguito di controlli eseguiti dal Corpo forestale dello Stato e dai funzionari della provincia di Viterbo, presso l'impianto di gestione della Soc. ICI S.r.l., in loc. Bivio del Pellegrino, emersero numerose irregolarit</w:t>
      </w:r>
      <w:r>
        <w:rPr>
          <w:rFonts w:hAnsi="Book Antiqua" w:hint="default"/>
          <w:rtl w:val="0"/>
          <w:lang w:val="it-IT"/>
        </w:rPr>
        <w:t xml:space="preserve">à </w:t>
      </w:r>
      <w:r>
        <w:rPr>
          <w:rFonts w:ascii="Book Antiqua"/>
          <w:rtl w:val="0"/>
          <w:lang w:val="it-IT"/>
        </w:rPr>
        <w:t>in ordine alla gestione dei rifiuti, ed esattamente: irregolarit</w:t>
      </w:r>
      <w:r>
        <w:rPr>
          <w:rFonts w:hAnsi="Book Antiqua" w:hint="default"/>
          <w:rtl w:val="0"/>
          <w:lang w:val="it-IT"/>
        </w:rPr>
        <w:t xml:space="preserve">à </w:t>
      </w:r>
      <w:r>
        <w:rPr>
          <w:rFonts w:ascii="Book Antiqua"/>
          <w:rtl w:val="0"/>
          <w:lang w:val="it-IT"/>
        </w:rPr>
        <w:t>attinenti alla gestione e messa in sicurezza dei rifiuti (cumuli di altezza doppia rispetto a quella autorizzata; l'incontrollato percolamento degli inerti e dei fanghi; mancanza delle prescritte recinzioni); irregolarit</w:t>
      </w:r>
      <w:r>
        <w:rPr>
          <w:rFonts w:hAnsi="Book Antiqua" w:hint="default"/>
          <w:rtl w:val="0"/>
          <w:lang w:val="it-IT"/>
        </w:rPr>
        <w:t xml:space="preserve">à </w:t>
      </w:r>
      <w:r>
        <w:rPr>
          <w:rFonts w:ascii="Book Antiqua"/>
          <w:rtl w:val="0"/>
          <w:lang w:val="it-IT"/>
        </w:rPr>
        <w:t>riguardanti la discordanza tra i quantitativi di fanghi industriali presenti sul luogo e le quantit</w:t>
      </w:r>
      <w:r>
        <w:rPr>
          <w:rFonts w:hAnsi="Book Antiqua" w:hint="default"/>
          <w:rtl w:val="0"/>
          <w:lang w:val="it-IT"/>
        </w:rPr>
        <w:t xml:space="preserve">à </w:t>
      </w:r>
      <w:r>
        <w:rPr>
          <w:rFonts w:ascii="Book Antiqua"/>
          <w:rtl w:val="0"/>
          <w:lang w:val="it-IT"/>
        </w:rPr>
        <w:t>risultanti da registri e dai documenti attestanti i movimenti di materiale in uscita ed in entrata (registri di carico e scarico, formulari di identificazione dei materiali) [</w:t>
      </w:r>
      <w:r>
        <w:rPr>
          <w:rFonts w:hAnsi="Book Antiqua" w:hint="default"/>
          <w:rtl w:val="0"/>
          <w:lang w:val="it-IT"/>
        </w:rPr>
        <w:t>…</w:t>
      </w:r>
      <w:r>
        <w:rPr>
          <w:rFonts w:ascii="Book Antiqua"/>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Le analisi eseguite a seguito campionamento del 21.09.2006 evidenziano la presenza di rifiuti con una concentrazione di cromo, 186 volte superiore rispetto al massimo consentito dall'attivit</w:t>
      </w:r>
      <w:r>
        <w:rPr>
          <w:rFonts w:hAnsi="Book Antiqua" w:hint="default"/>
          <w:rtl w:val="0"/>
          <w:lang w:val="it-IT"/>
        </w:rPr>
        <w:t xml:space="preserve">à </w:t>
      </w:r>
      <w:r>
        <w:rPr>
          <w:rFonts w:ascii="Book Antiqua"/>
          <w:rtl w:val="0"/>
          <w:lang w:val="it-IT"/>
        </w:rPr>
        <w:t>autorizzata sul terreno in questione</w:t>
      </w:r>
      <w:r>
        <w:rPr>
          <w:rFonts w:hAnsi="Book Antiqua" w:hint="default"/>
          <w:rtl w:val="0"/>
          <w:lang w:val="it-IT"/>
        </w:rPr>
        <w:t>”</w:t>
      </w:r>
      <w:r>
        <w:rPr>
          <w:rFonts w:ascii="Book Antiqua"/>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Gli accertamenti successivi confermano gli illeciti e il superamento delle concentrazioni soglia di contaminazione.</w:t>
      </w:r>
    </w:p>
    <w:p>
      <w:pPr>
        <w:pStyle w:val="Normal"/>
        <w:ind w:left="567" w:right="567" w:firstLine="0"/>
        <w:jc w:val="both"/>
        <w:rPr>
          <w:rFonts w:ascii="Book Antiqua" w:cs="Book Antiqua" w:hAnsi="Book Antiqua" w:eastAsia="Book Antiqua"/>
        </w:rPr>
      </w:pPr>
      <w:r>
        <w:rPr>
          <w:rFonts w:ascii="Book Antiqua"/>
          <w:rtl w:val="0"/>
          <w:lang w:val="it-IT"/>
        </w:rPr>
        <w:t>Dal punto di vista giudiziario mentre sentenze di primo e secondo grado a Venezia, confermate in Cassazione con sentenza n. 47870 del 2011, accertano che la Nuova Esa S.r.l. ha conferito all'impianto di trattamento gestito dalla ICI S.r.l. ad Alviano, ingenti quantitativi di rifiuti pericolosi non autorizzati, in sede locale il procedimento a carico di Roberto Nocchi + 5 si conclude il 4 febbraio 2015 con declaratoria di non doversi procedere per intervenuta prescrizione</w:t>
      </w:r>
      <w:r>
        <w:rPr>
          <w:rFonts w:ascii="Book Antiqua" w:cs="Book Antiqua" w:hAnsi="Book Antiqua" w:eastAsia="Book Antiqua"/>
          <w:vertAlign w:val="superscript"/>
          <w:rtl w:val="0"/>
        </w:rPr>
        <w:footnoteReference w:id="246"/>
      </w:r>
      <w:r>
        <w:rPr>
          <w:rFonts w:ascii="Book Antiqua"/>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 xml:space="preserve">Dal punto di vista amministrativo, come ha riferito il sindaco, </w:t>
      </w:r>
      <w:r>
        <w:rPr>
          <w:rFonts w:hAnsi="Book Antiqua" w:hint="default"/>
          <w:rtl w:val="0"/>
          <w:lang w:val="it-IT"/>
        </w:rPr>
        <w:t>“</w:t>
      </w:r>
      <w:r>
        <w:rPr>
          <w:rFonts w:ascii="Book Antiqua"/>
          <w:rtl w:val="0"/>
          <w:lang w:val="it-IT"/>
        </w:rPr>
        <w:t>in data 16.02.2009 la provincia di Viterbo emette l'ordinanza n. 10, con la quale, sulla accertata responsabilit</w:t>
      </w:r>
      <w:r>
        <w:rPr>
          <w:rFonts w:hAnsi="Book Antiqua" w:hint="default"/>
          <w:rtl w:val="0"/>
          <w:lang w:val="it-IT"/>
        </w:rPr>
        <w:t xml:space="preserve">à </w:t>
      </w:r>
      <w:r>
        <w:rPr>
          <w:rFonts w:ascii="Book Antiqua"/>
          <w:rtl w:val="0"/>
          <w:lang w:val="it-IT"/>
        </w:rPr>
        <w:t>della ICI srl e della F.lli Nocchi di Nocchi Roberto e C , per aver smaltito illegalmente ingenti partite di rifiuti, diffida i sig.ri Paolo e Roberto Nocchi, assieme al Sig. Gianni Giommi ai sensi dell'articolo 244 del   decreto legislativo n. 152 del 2006, ad adottare i necessari interventi di messa in sicurezza, di bonifica e ripristino, nonch</w:t>
      </w:r>
      <w:r>
        <w:rPr>
          <w:rFonts w:hAnsi="Book Antiqua" w:hint="default"/>
          <w:rtl w:val="0"/>
          <w:lang w:val="it-IT"/>
        </w:rPr>
        <w:t xml:space="preserve">é </w:t>
      </w:r>
      <w:r>
        <w:rPr>
          <w:rFonts w:ascii="Book Antiqua"/>
          <w:rtl w:val="0"/>
          <w:lang w:val="it-IT"/>
        </w:rPr>
        <w:t>a presentare il piano di caratterizzazione entro il termine perentorio di 30 giorni dalla notifica dell'ordinanza.</w:t>
      </w:r>
    </w:p>
    <w:p>
      <w:pPr>
        <w:pStyle w:val="Normal"/>
        <w:ind w:left="567" w:right="567" w:firstLine="0"/>
        <w:jc w:val="both"/>
        <w:rPr>
          <w:rFonts w:ascii="Book Antiqua" w:cs="Book Antiqua" w:hAnsi="Book Antiqua" w:eastAsia="Book Antiqua"/>
        </w:rPr>
      </w:pPr>
      <w:r>
        <w:rPr>
          <w:rFonts w:ascii="Book Antiqua"/>
          <w:rtl w:val="0"/>
          <w:lang w:val="it-IT"/>
        </w:rPr>
        <w:t xml:space="preserve">La ICI e la F.lli Nocchi hanno impugnato il provvedimento provinciale innanzi al TAR Lazio che, con ordinanza del 6 maggio 2009 ha respinto la domanda incidentale di sospensione. I soggetti responsabili dell'inquinamento, presentarono, a quasi 2 anni dall'ordinanza n. 10/2009 della provincia di Viterbo, un sedicente </w:t>
      </w:r>
      <w:r>
        <w:rPr>
          <w:rFonts w:hAnsi="Book Antiqua" w:hint="default"/>
          <w:rtl w:val="0"/>
          <w:lang w:val="it-IT"/>
        </w:rPr>
        <w:t>“</w:t>
      </w:r>
      <w:r>
        <w:rPr>
          <w:rFonts w:ascii="Book Antiqua"/>
          <w:rtl w:val="0"/>
          <w:lang w:val="it-IT"/>
        </w:rPr>
        <w:t>modello concettuale preliminare del sito</w:t>
      </w:r>
      <w:r>
        <w:rPr>
          <w:rFonts w:hAnsi="Book Antiqua" w:hint="default"/>
          <w:rtl w:val="0"/>
          <w:lang w:val="it-IT"/>
        </w:rPr>
        <w:t>”</w:t>
      </w:r>
      <w:r>
        <w:rPr>
          <w:rFonts w:ascii="Book Antiqua"/>
          <w:rtl w:val="0"/>
          <w:lang w:val="it-IT"/>
        </w:rPr>
        <w:t>, elaborato dalle Soc. Geotecna e Depura, basato su 4 campionamenti del suolo e 5 delle acque sotterranee, affermando l'inesistenza di inquinamenti e, quindi, negando la necessit</w:t>
      </w:r>
      <w:r>
        <w:rPr>
          <w:rFonts w:hAnsi="Book Antiqua" w:hint="default"/>
          <w:rtl w:val="0"/>
          <w:lang w:val="it-IT"/>
        </w:rPr>
        <w:t xml:space="preserve">à </w:t>
      </w:r>
      <w:r>
        <w:rPr>
          <w:rFonts w:ascii="Book Antiqua"/>
          <w:rtl w:val="0"/>
          <w:lang w:val="it-IT"/>
        </w:rPr>
        <w:t>di bonificare le aree.</w:t>
      </w:r>
      <w:r>
        <w:rPr>
          <w:rFonts w:hAnsi="Book Antiqua" w:hint="default"/>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L</w:t>
      </w:r>
      <w:r>
        <w:rPr>
          <w:rFonts w:hAnsi="Book Antiqua" w:hint="default"/>
          <w:rtl w:val="0"/>
          <w:lang w:val="it-IT"/>
        </w:rPr>
        <w:t>’</w:t>
      </w:r>
      <w:r>
        <w:rPr>
          <w:rFonts w:ascii="Book Antiqua"/>
          <w:rtl w:val="0"/>
          <w:lang w:val="it-IT"/>
        </w:rPr>
        <w:t>amministrazione comunale e la regione Lazio hanno in seguito posto in essere le attivit</w:t>
      </w:r>
      <w:r>
        <w:rPr>
          <w:rFonts w:hAnsi="Book Antiqua" w:hint="default"/>
          <w:rtl w:val="0"/>
          <w:lang w:val="it-IT"/>
        </w:rPr>
        <w:t xml:space="preserve">à </w:t>
      </w:r>
      <w:r>
        <w:rPr>
          <w:rFonts w:ascii="Book Antiqua"/>
          <w:rtl w:val="0"/>
          <w:lang w:val="it-IT"/>
        </w:rPr>
        <w:t>amministrative di rispettiva competenza - condizionate dall</w:t>
      </w:r>
      <w:r>
        <w:rPr>
          <w:rFonts w:hAnsi="Book Antiqua" w:hint="default"/>
          <w:rtl w:val="0"/>
          <w:lang w:val="it-IT"/>
        </w:rPr>
        <w:t>’</w:t>
      </w:r>
      <w:r>
        <w:rPr>
          <w:rFonts w:ascii="Book Antiqua"/>
          <w:rtl w:val="0"/>
          <w:lang w:val="it-IT"/>
        </w:rPr>
        <w:t>impossibilit</w:t>
      </w:r>
      <w:r>
        <w:rPr>
          <w:rFonts w:hAnsi="Book Antiqua" w:hint="default"/>
          <w:rtl w:val="0"/>
          <w:lang w:val="it-IT"/>
        </w:rPr>
        <w:t xml:space="preserve">à </w:t>
      </w:r>
      <w:r>
        <w:rPr>
          <w:rFonts w:ascii="Book Antiqua"/>
          <w:rtl w:val="0"/>
          <w:lang w:val="it-IT"/>
        </w:rPr>
        <w:t>per il comune di Graffignano di affrontare le ingenti spese, per milioni di euro, per le attivit</w:t>
      </w:r>
      <w:r>
        <w:rPr>
          <w:rFonts w:hAnsi="Book Antiqua" w:hint="default"/>
          <w:rtl w:val="0"/>
          <w:lang w:val="it-IT"/>
        </w:rPr>
        <w:t xml:space="preserve">à </w:t>
      </w:r>
      <w:r>
        <w:rPr>
          <w:rFonts w:ascii="Book Antiqua"/>
          <w:rtl w:val="0"/>
          <w:lang w:val="it-IT"/>
        </w:rPr>
        <w:t>di caratterizzazione e successiva bonifica - cos</w:t>
      </w:r>
      <w:r>
        <w:rPr>
          <w:rFonts w:hAnsi="Book Antiqua" w:hint="default"/>
          <w:rtl w:val="0"/>
          <w:lang w:val="it-IT"/>
        </w:rPr>
        <w:t xml:space="preserve">ì </w:t>
      </w:r>
      <w:r>
        <w:rPr>
          <w:rFonts w:ascii="Book Antiqua"/>
          <w:rtl w:val="0"/>
          <w:lang w:val="it-IT"/>
        </w:rPr>
        <w:t>sintetizzate:</w:t>
      </w:r>
    </w:p>
    <w:p>
      <w:pPr>
        <w:pStyle w:val="Normal"/>
        <w:ind w:left="567" w:right="567" w:firstLine="0"/>
        <w:jc w:val="both"/>
        <w:rPr>
          <w:rFonts w:ascii="Book Antiqua" w:cs="Book Antiqua" w:hAnsi="Book Antiqua" w:eastAsia="Book Antiqua"/>
        </w:rPr>
      </w:pPr>
      <w:r>
        <w:rPr>
          <w:rFonts w:hAnsi="Book Antiqua" w:hint="default"/>
          <w:rtl w:val="0"/>
          <w:lang w:val="it-IT"/>
        </w:rPr>
        <w:t>“</w:t>
      </w:r>
      <w:r>
        <w:rPr>
          <w:rFonts w:ascii="Book Antiqua"/>
          <w:rtl w:val="0"/>
          <w:lang w:val="it-IT"/>
        </w:rPr>
        <w:t xml:space="preserve">fin dall'insediamento del nuovo consiglio comunale nel giugno 2014, l'azione amministrativa </w:t>
      </w:r>
      <w:r>
        <w:rPr>
          <w:rFonts w:hAnsi="Book Antiqua" w:hint="default"/>
          <w:rtl w:val="0"/>
          <w:lang w:val="it-IT"/>
        </w:rPr>
        <w:t xml:space="preserve">è </w:t>
      </w:r>
      <w:r>
        <w:rPr>
          <w:rFonts w:ascii="Book Antiqua"/>
          <w:rtl w:val="0"/>
          <w:lang w:val="it-IT"/>
        </w:rPr>
        <w:t>stata espressamente orientata a sensibilizzare l</w:t>
      </w:r>
      <w:r>
        <w:rPr>
          <w:rFonts w:hAnsi="Book Antiqua" w:hint="default"/>
          <w:rtl w:val="0"/>
          <w:lang w:val="it-IT"/>
        </w:rPr>
        <w:t>’</w:t>
      </w:r>
      <w:r>
        <w:rPr>
          <w:rFonts w:ascii="Book Antiqua"/>
          <w:rtl w:val="0"/>
          <w:lang w:val="it-IT"/>
        </w:rPr>
        <w:t>amministrazione regionale, con incontri, con conferenze di servizi e con tavoli tecnici, affinch</w:t>
      </w:r>
      <w:r>
        <w:rPr>
          <w:rFonts w:hAnsi="Book Antiqua" w:hint="default"/>
          <w:rtl w:val="0"/>
          <w:lang w:val="it-IT"/>
        </w:rPr>
        <w:t xml:space="preserve">é </w:t>
      </w:r>
      <w:r>
        <w:rPr>
          <w:rFonts w:ascii="Book Antiqua"/>
          <w:rtl w:val="0"/>
          <w:lang w:val="it-IT"/>
        </w:rPr>
        <w:t>istituisse apposito fondo, anticipando le somme necessarie a finanziare la caratterizzazione e la successiva bonifica del sito inquinato. Tuttavia, l'amministrazione comunale ha ben pensato di stanziare, immediatamente, nel primo bilancio di previsione una spesa di euro 15.000,00, importo necessario per la redazione del progetto di caratterizzazione. In data 31.12.2014 (l'ultimo giorno dell'anno) il responsabile dell'ufficio tecnico del comune, con la determina 573 stabil</w:t>
      </w:r>
      <w:r>
        <w:rPr>
          <w:rFonts w:hAnsi="Book Antiqua" w:hint="default"/>
          <w:rtl w:val="0"/>
          <w:lang w:val="it-IT"/>
        </w:rPr>
        <w:t xml:space="preserve">ì </w:t>
      </w:r>
      <w:r>
        <w:rPr>
          <w:rFonts w:ascii="Book Antiqua"/>
          <w:rtl w:val="0"/>
          <w:lang w:val="it-IT"/>
        </w:rPr>
        <w:t>di affidare l'incarico alla Universit</w:t>
      </w:r>
      <w:r>
        <w:rPr>
          <w:rFonts w:hAnsi="Book Antiqua" w:hint="default"/>
          <w:rtl w:val="0"/>
          <w:lang w:val="it-IT"/>
        </w:rPr>
        <w:t xml:space="preserve">à </w:t>
      </w:r>
      <w:r>
        <w:rPr>
          <w:rFonts w:ascii="Book Antiqua"/>
          <w:rtl w:val="0"/>
          <w:lang w:val="it-IT"/>
        </w:rPr>
        <w:t>degli studi della Tuscia ed il 28.03.2015, il comune di Graffignano ed il dipartimento di scienze ecologiche e biologiche dell'Universit</w:t>
      </w:r>
      <w:r>
        <w:rPr>
          <w:rFonts w:hAnsi="Book Antiqua" w:hint="default"/>
          <w:rtl w:val="0"/>
          <w:lang w:val="it-IT"/>
        </w:rPr>
        <w:t xml:space="preserve">à </w:t>
      </w:r>
      <w:r>
        <w:rPr>
          <w:rFonts w:ascii="Book Antiqua"/>
          <w:rtl w:val="0"/>
          <w:lang w:val="it-IT"/>
        </w:rPr>
        <w:t xml:space="preserve">degli studi della Tuscia hanno regolato le reciproche obbligazioni. Il 18 maggio 2016, dopo svariate conferenze di servizi e tavoli tecnici, </w:t>
      </w:r>
      <w:r>
        <w:rPr>
          <w:rFonts w:hAnsi="Book Antiqua" w:hint="default"/>
          <w:rtl w:val="0"/>
          <w:lang w:val="it-IT"/>
        </w:rPr>
        <w:t xml:space="preserve">è </w:t>
      </w:r>
      <w:r>
        <w:rPr>
          <w:rFonts w:ascii="Book Antiqua"/>
          <w:rtl w:val="0"/>
          <w:lang w:val="it-IT"/>
        </w:rPr>
        <w:t>stato approvato il piano di caratterizzazione acquisendo il parere favorevole di tutte le Amministrazioni interessate (regione Lazio - provincia di Viterbo - comune di Graffignano), con specifiche prescrizioni formulate dall</w:t>
      </w:r>
      <w:r>
        <w:rPr>
          <w:rFonts w:hAnsi="Book Antiqua" w:hint="default"/>
          <w:rtl w:val="0"/>
          <w:lang w:val="it-IT"/>
        </w:rPr>
        <w:t>’</w:t>
      </w:r>
      <w:r>
        <w:rPr>
          <w:rFonts w:ascii="Book Antiqua"/>
          <w:rtl w:val="0"/>
          <w:lang w:val="it-IT"/>
        </w:rPr>
        <w:t>amministrazione provinciale e dall'ARPA-Lazio, che sono state condivise dal comune di Graffignano e dalla regione Lazio.</w:t>
      </w:r>
    </w:p>
    <w:p>
      <w:pPr>
        <w:pStyle w:val="Normal"/>
        <w:ind w:left="567" w:right="567" w:firstLine="0"/>
        <w:jc w:val="both"/>
        <w:rPr>
          <w:rFonts w:ascii="Book Antiqua" w:cs="Book Antiqua" w:hAnsi="Book Antiqua" w:eastAsia="Book Antiqua"/>
        </w:rPr>
      </w:pPr>
      <w:r>
        <w:rPr>
          <w:rFonts w:ascii="Book Antiqua"/>
          <w:rtl w:val="0"/>
          <w:lang w:val="it-IT"/>
        </w:rPr>
        <w:t>In data 5.12.2016 la regione Lazio ha assegnato un primo finanziamento di euro 42.464,80 per la caratterizzazione ed il comune di Graffignano; in data 22.12.2016, ha approvato il computo metrico estimativo, aggiornato secondo le prescrizioni dettate dalla conferenza di servizi del 18.05.2016, per un importo di euro 220.485,29, nonch</w:t>
      </w:r>
      <w:r>
        <w:rPr>
          <w:rFonts w:hAnsi="Book Antiqua" w:hint="default"/>
          <w:rtl w:val="0"/>
          <w:lang w:val="it-IT"/>
        </w:rPr>
        <w:t xml:space="preserve">é </w:t>
      </w:r>
      <w:r>
        <w:rPr>
          <w:rFonts w:ascii="Book Antiqua"/>
          <w:rtl w:val="0"/>
          <w:lang w:val="it-IT"/>
        </w:rPr>
        <w:t>il quadro economico del piano di caratterizzazione per un totale di euro 585.817,81.</w:t>
      </w:r>
    </w:p>
    <w:p>
      <w:pPr>
        <w:pStyle w:val="Normal"/>
        <w:ind w:left="567" w:right="567" w:firstLine="0"/>
        <w:jc w:val="both"/>
        <w:rPr>
          <w:rFonts w:ascii="Book Antiqua" w:cs="Book Antiqua" w:hAnsi="Book Antiqua" w:eastAsia="Book Antiqua"/>
        </w:rPr>
      </w:pPr>
      <w:r>
        <w:rPr>
          <w:rFonts w:ascii="Book Antiqua"/>
          <w:rtl w:val="0"/>
          <w:lang w:val="it-IT"/>
        </w:rPr>
        <w:t>Il 28 luglio 2017 la regione Lazio ha approvato il quadro tecnico economico dei lavori di caratterizzazione, stabilendo che l'erogazione dei fondi gi</w:t>
      </w:r>
      <w:r>
        <w:rPr>
          <w:rFonts w:hAnsi="Book Antiqua" w:hint="default"/>
          <w:rtl w:val="0"/>
          <w:lang w:val="it-IT"/>
        </w:rPr>
        <w:t xml:space="preserve">à </w:t>
      </w:r>
      <w:r>
        <w:rPr>
          <w:rFonts w:ascii="Book Antiqua"/>
          <w:rtl w:val="0"/>
          <w:lang w:val="it-IT"/>
        </w:rPr>
        <w:t>stanziati dovr</w:t>
      </w:r>
      <w:r>
        <w:rPr>
          <w:rFonts w:hAnsi="Book Antiqua" w:hint="default"/>
          <w:rtl w:val="0"/>
          <w:lang w:val="it-IT"/>
        </w:rPr>
        <w:t xml:space="preserve">à </w:t>
      </w:r>
      <w:r>
        <w:rPr>
          <w:rFonts w:ascii="Book Antiqua"/>
          <w:rtl w:val="0"/>
          <w:lang w:val="it-IT"/>
        </w:rPr>
        <w:t>avvenire secondo le procedure previste per l'utilizzo dei finanziamenti FEASR (fondo europeo agricolo per lo sviluppo rurale) e finanziamenti FAS (fondo per le aree sottosviluppate), disciplinate dalla DGR (delibera di giunta regionale) n. 969 del 22 dicembre 2008.</w:t>
      </w:r>
    </w:p>
    <w:p>
      <w:pPr>
        <w:pStyle w:val="Normal"/>
        <w:ind w:left="567" w:right="567" w:firstLine="0"/>
        <w:jc w:val="both"/>
        <w:rPr>
          <w:rFonts w:ascii="Book Antiqua" w:cs="Book Antiqua" w:hAnsi="Book Antiqua" w:eastAsia="Book Antiqua"/>
        </w:rPr>
      </w:pPr>
      <w:r>
        <w:rPr>
          <w:rFonts w:ascii="Book Antiqua"/>
          <w:rtl w:val="0"/>
          <w:lang w:val="it-IT"/>
        </w:rPr>
        <w:t xml:space="preserve">Infine, il 13 settembre 2017, presso la sede del comune di Graffignano, si </w:t>
      </w:r>
      <w:r>
        <w:rPr>
          <w:rFonts w:hAnsi="Book Antiqua" w:hint="default"/>
          <w:rtl w:val="0"/>
          <w:lang w:val="it-IT"/>
        </w:rPr>
        <w:t xml:space="preserve">è </w:t>
      </w:r>
      <w:r>
        <w:rPr>
          <w:rFonts w:ascii="Book Antiqua"/>
          <w:rtl w:val="0"/>
          <w:lang w:val="it-IT"/>
        </w:rPr>
        <w:t xml:space="preserve">riunito il tavolo tecnico per condividere ogni aspetto propedeutico all'affidamento dei lavori di caratterizzazione, della quale </w:t>
      </w:r>
      <w:r>
        <w:rPr>
          <w:rFonts w:hAnsi="Book Antiqua" w:hint="default"/>
          <w:rtl w:val="0"/>
          <w:lang w:val="it-IT"/>
        </w:rPr>
        <w:t xml:space="preserve">è </w:t>
      </w:r>
      <w:r>
        <w:rPr>
          <w:rFonts w:ascii="Book Antiqua"/>
          <w:rtl w:val="0"/>
          <w:lang w:val="it-IT"/>
        </w:rPr>
        <w:t>attualmente in corso la procedura competitiva per la selezione dell'operatore economico</w:t>
      </w:r>
      <w:r>
        <w:rPr>
          <w:rFonts w:hAnsi="Book Antiqua" w:hint="default"/>
          <w:rtl w:val="0"/>
          <w:lang w:val="it-IT"/>
        </w:rPr>
        <w:t>”</w:t>
      </w:r>
      <w:r>
        <w:rPr>
          <w:rFonts w:ascii="Book Antiqua"/>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Gravano, su questa vicenda amministrativa, che arriva a determinazioni operative a undici anni dalla scoperta dell</w:t>
      </w:r>
      <w:r>
        <w:rPr>
          <w:rFonts w:hAnsi="Book Antiqua" w:hint="default"/>
          <w:rtl w:val="0"/>
          <w:lang w:val="it-IT"/>
        </w:rPr>
        <w:t>’</w:t>
      </w:r>
      <w:r>
        <w:rPr>
          <w:rFonts w:ascii="Book Antiqua"/>
          <w:rtl w:val="0"/>
          <w:lang w:val="it-IT"/>
        </w:rPr>
        <w:t>inquinamento, l</w:t>
      </w:r>
      <w:r>
        <w:rPr>
          <w:rFonts w:hAnsi="Book Antiqua" w:hint="default"/>
          <w:rtl w:val="0"/>
          <w:lang w:val="it-IT"/>
        </w:rPr>
        <w:t>’</w:t>
      </w:r>
      <w:r>
        <w:rPr>
          <w:rFonts w:ascii="Book Antiqua"/>
          <w:rtl w:val="0"/>
          <w:lang w:val="it-IT"/>
        </w:rPr>
        <w:t>incertezza sulla possibilit</w:t>
      </w:r>
      <w:r>
        <w:rPr>
          <w:rFonts w:hAnsi="Book Antiqua" w:hint="default"/>
          <w:rtl w:val="0"/>
          <w:lang w:val="it-IT"/>
        </w:rPr>
        <w:t xml:space="preserve">à </w:t>
      </w:r>
      <w:r>
        <w:rPr>
          <w:rFonts w:ascii="Book Antiqua"/>
          <w:rtl w:val="0"/>
          <w:lang w:val="it-IT"/>
        </w:rPr>
        <w:t>futura di rivalsa in ordine alle somme che gli enti pubblici dovranno spendere e la sequela di ricorsi in sede giurisdizionale amministrativa da parte dell</w:t>
      </w:r>
      <w:r>
        <w:rPr>
          <w:rFonts w:hAnsi="Book Antiqua" w:hint="default"/>
          <w:rtl w:val="0"/>
          <w:lang w:val="it-IT"/>
        </w:rPr>
        <w:t>’</w:t>
      </w:r>
      <w:r>
        <w:rPr>
          <w:rFonts w:ascii="Book Antiqua"/>
          <w:rtl w:val="0"/>
          <w:lang w:val="it-IT"/>
        </w:rPr>
        <w:t>azienda coinvolta (allo stato ne sono pendenti quattro) contro ciascuno degli atti amministrativi posti in essere dall</w:t>
      </w:r>
      <w:r>
        <w:rPr>
          <w:rFonts w:hAnsi="Book Antiqua" w:hint="default"/>
          <w:rtl w:val="0"/>
          <w:lang w:val="it-IT"/>
        </w:rPr>
        <w:t>’</w:t>
      </w:r>
      <w:r>
        <w:rPr>
          <w:rFonts w:ascii="Book Antiqua"/>
          <w:rtl w:val="0"/>
          <w:lang w:val="it-IT"/>
        </w:rPr>
        <w:t>amministrazione locale.</w:t>
      </w: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i w:val="1"/>
          <w:iCs w:val="1"/>
        </w:rPr>
      </w:pPr>
      <w:r>
        <w:rPr>
          <w:rFonts w:ascii="Book Antiqua"/>
          <w:i w:val="1"/>
          <w:iCs w:val="1"/>
          <w:rtl w:val="0"/>
          <w:lang w:val="it-IT"/>
        </w:rPr>
        <w:t>FROSINONE</w:t>
      </w:r>
    </w:p>
    <w:p>
      <w:pPr>
        <w:pStyle w:val="Normal"/>
        <w:ind w:left="567" w:right="567" w:firstLine="0"/>
        <w:jc w:val="both"/>
        <w:rPr>
          <w:rFonts w:ascii="Book Antiqua Bold" w:cs="Book Antiqua Bold" w:hAnsi="Book Antiqua Bold" w:eastAsia="Book Antiqua Bold"/>
          <w:b w:val="1"/>
          <w:bCs w:val="1"/>
        </w:rPr>
      </w:pPr>
    </w:p>
    <w:p>
      <w:pPr>
        <w:pStyle w:val="Normal"/>
        <w:ind w:left="567" w:right="567" w:firstLine="0"/>
        <w:jc w:val="both"/>
        <w:rPr>
          <w:rFonts w:ascii="Book Antiqua" w:cs="Book Antiqua" w:hAnsi="Book Antiqua" w:eastAsia="Book Antiqua"/>
        </w:rPr>
      </w:pPr>
      <w:r>
        <w:rPr>
          <w:rFonts w:ascii="Book Antiqua"/>
          <w:rtl w:val="0"/>
          <w:lang w:val="it-IT"/>
        </w:rPr>
        <w:t>Dalla relazione datata 14 marzo 2017 del procuratore della Repubblica di Frosinone</w:t>
      </w:r>
      <w:r>
        <w:rPr>
          <w:rFonts w:ascii="Book Antiqua" w:cs="Book Antiqua" w:hAnsi="Book Antiqua" w:eastAsia="Book Antiqua"/>
          <w:vertAlign w:val="superscript"/>
          <w:rtl w:val="0"/>
        </w:rPr>
        <w:footnoteReference w:id="247"/>
      </w:r>
      <w:r>
        <w:rPr>
          <w:rFonts w:ascii="Book Antiqua"/>
          <w:rtl w:val="0"/>
          <w:lang w:val="it-IT"/>
        </w:rPr>
        <w:t xml:space="preserve"> risulta la presenza nel territorio di numerosi (anche se non recenti</w:t>
      </w:r>
      <w:r>
        <w:rPr>
          <w:rFonts w:ascii="Book Antiqua" w:cs="Book Antiqua" w:hAnsi="Book Antiqua" w:eastAsia="Book Antiqua"/>
          <w:vertAlign w:val="superscript"/>
          <w:rtl w:val="0"/>
        </w:rPr>
        <w:footnoteReference w:id="248"/>
      </w:r>
      <w:r>
        <w:rPr>
          <w:rFonts w:ascii="Book Antiqua"/>
          <w:rtl w:val="0"/>
          <w:lang w:val="it-IT"/>
        </w:rPr>
        <w:t>) sversamenti di rifiuti oggetto di procedimenti di bonifica in corso: in particolare, viene segnalata la critica situazione della discarica Le Lame del comune di Frosinone</w:t>
      </w:r>
      <w:r>
        <w:rPr>
          <w:rFonts w:ascii="Book Antiqua" w:cs="Book Antiqua" w:hAnsi="Book Antiqua" w:eastAsia="Book Antiqua"/>
          <w:vertAlign w:val="superscript"/>
          <w:rtl w:val="0"/>
        </w:rPr>
        <w:footnoteReference w:id="249"/>
      </w:r>
      <w:r>
        <w:rPr>
          <w:rFonts w:ascii="Book Antiqua"/>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In proposito, il prefetto di Frosinone, nell'audizione del 29 febbraio 2017, ha evidenziato che "il nostro territorio risulta interessato da numerosi siti contaminati: sono circa 300 tra discariche ed ex aree industriali. Sono stati tutti censiti dall'Agenzia della protezione ambientale della regione Lazio di Frosinone e risultano a tutt'oggi non bonificati. Soltanto su alcuni di questi siti sono stati fatti interventi di messa in sicurezza d'emergenza, finanziati con l'accordo di programma quadro tra la regione Lazio, il Ministero dell'economia e delle finanze e il Ministero dell'ambiente"; confermando che buona parte di queste discariche risalgono agli anni successivi al decreto Ronchi quando "molti dei sindaci, per semplificarsi la vita, hanno fatto delle ordinanze e si sono autorizzati da soli le discariche"; attraverso, quindi, un uso distorto dei poteri di ordinanza di urgenza.</w:t>
      </w:r>
    </w:p>
    <w:p>
      <w:pPr>
        <w:pStyle w:val="Normal"/>
        <w:ind w:left="567" w:right="567" w:firstLine="0"/>
        <w:jc w:val="both"/>
        <w:rPr>
          <w:rFonts w:ascii="Book Antiqua" w:cs="Book Antiqua" w:hAnsi="Book Antiqua" w:eastAsia="Book Antiqua"/>
        </w:rPr>
      </w:pPr>
      <w:r>
        <w:rPr>
          <w:rFonts w:ascii="Book Antiqua"/>
          <w:rtl w:val="0"/>
          <w:lang w:val="it-IT"/>
        </w:rPr>
        <w:t>Pi</w:t>
      </w:r>
      <w:r>
        <w:rPr>
          <w:rFonts w:hAnsi="Book Antiqua" w:hint="default"/>
          <w:rtl w:val="0"/>
          <w:lang w:val="it-IT"/>
        </w:rPr>
        <w:t xml:space="preserve">ù </w:t>
      </w:r>
      <w:r>
        <w:rPr>
          <w:rFonts w:ascii="Book Antiqua"/>
          <w:rtl w:val="0"/>
          <w:lang w:val="it-IT"/>
        </w:rPr>
        <w:t>in particolare, quanto alle bonifiche, il sindaco del comune di Frosinone ha fatto pervenire apposita relazione del 13 febbraio 2017</w:t>
      </w:r>
      <w:r>
        <w:rPr>
          <w:rFonts w:ascii="Book Antiqua" w:cs="Book Antiqua" w:hAnsi="Book Antiqua" w:eastAsia="Book Antiqua"/>
          <w:vertAlign w:val="superscript"/>
          <w:rtl w:val="0"/>
        </w:rPr>
        <w:footnoteReference w:id="250"/>
      </w:r>
      <w:r>
        <w:rPr>
          <w:rFonts w:ascii="Book Antiqua"/>
          <w:rtl w:val="0"/>
          <w:lang w:val="it-IT"/>
        </w:rPr>
        <w:t xml:space="preserve"> da cui risulta che " il territorio comunale </w:t>
      </w:r>
      <w:r>
        <w:rPr>
          <w:rFonts w:hAnsi="Book Antiqua" w:hint="default"/>
          <w:rtl w:val="0"/>
          <w:lang w:val="it-IT"/>
        </w:rPr>
        <w:t xml:space="preserve">è </w:t>
      </w:r>
      <w:r>
        <w:rPr>
          <w:rFonts w:ascii="Book Antiqua"/>
          <w:rtl w:val="0"/>
          <w:lang w:val="it-IT"/>
        </w:rPr>
        <w:t xml:space="preserve">interessato complessivamente da 17 siti contaminati per i quali </w:t>
      </w:r>
      <w:r>
        <w:rPr>
          <w:rFonts w:hAnsi="Book Antiqua" w:hint="default"/>
          <w:rtl w:val="0"/>
          <w:lang w:val="it-IT"/>
        </w:rPr>
        <w:t xml:space="preserve">è </w:t>
      </w:r>
      <w:r>
        <w:rPr>
          <w:rFonts w:ascii="Book Antiqua"/>
          <w:rtl w:val="0"/>
          <w:lang w:val="it-IT"/>
        </w:rPr>
        <w:t>in corso una procedura di bonifica ambientale ai sensi del Titolo V della Parte IV del decreto legislativo n. 152 del 2006. Di detti siti contaminati, 7 rientrano nel SIN "Bacino del fiume Sacco" (e per i quali, quindi, ai sensi dell'articolo 252 del decreto legislativo n. 152 del 2006, il ruolo di Autorit</w:t>
      </w:r>
      <w:r>
        <w:rPr>
          <w:rFonts w:hAnsi="Book Antiqua" w:hint="default"/>
          <w:rtl w:val="0"/>
          <w:lang w:val="it-IT"/>
        </w:rPr>
        <w:t xml:space="preserve">à </w:t>
      </w:r>
      <w:r>
        <w:rPr>
          <w:rFonts w:ascii="Book Antiqua"/>
          <w:rtl w:val="0"/>
          <w:lang w:val="it-IT"/>
        </w:rPr>
        <w:t xml:space="preserve">competente per la procedura di bonifica </w:t>
      </w:r>
      <w:r>
        <w:rPr>
          <w:rFonts w:hAnsi="Book Antiqua" w:hint="default"/>
          <w:rtl w:val="0"/>
          <w:lang w:val="it-IT"/>
        </w:rPr>
        <w:t xml:space="preserve">è </w:t>
      </w:r>
      <w:r>
        <w:rPr>
          <w:rFonts w:ascii="Book Antiqua"/>
          <w:rtl w:val="0"/>
          <w:lang w:val="it-IT"/>
        </w:rPr>
        <w:t>attribuita al MATTM)</w:t>
      </w:r>
      <w:r>
        <w:rPr>
          <w:rFonts w:ascii="Book Antiqua" w:cs="Book Antiqua" w:hAnsi="Book Antiqua" w:eastAsia="Book Antiqua"/>
          <w:vertAlign w:val="superscript"/>
          <w:rtl w:val="0"/>
        </w:rPr>
        <w:footnoteReference w:id="251"/>
      </w:r>
      <w:r>
        <w:rPr>
          <w:rFonts w:ascii="Book Antiqua"/>
          <w:rtl w:val="0"/>
          <w:lang w:val="it-IT"/>
        </w:rPr>
        <w:t xml:space="preserve"> e 10 sono invece esclusi dal suddetto SIN (e per i quali, quindi, il ruolo di Autorit</w:t>
      </w:r>
      <w:r>
        <w:rPr>
          <w:rFonts w:hAnsi="Book Antiqua" w:hint="default"/>
          <w:rtl w:val="0"/>
          <w:lang w:val="it-IT"/>
        </w:rPr>
        <w:t xml:space="preserve">à </w:t>
      </w:r>
      <w:r>
        <w:rPr>
          <w:rFonts w:ascii="Book Antiqua"/>
          <w:rtl w:val="0"/>
          <w:lang w:val="it-IT"/>
        </w:rPr>
        <w:t xml:space="preserve">competente per la procedura di bonifica </w:t>
      </w:r>
      <w:r>
        <w:rPr>
          <w:rFonts w:hAnsi="Book Antiqua" w:hint="default"/>
          <w:rtl w:val="0"/>
          <w:lang w:val="it-IT"/>
        </w:rPr>
        <w:t xml:space="preserve">è </w:t>
      </w:r>
      <w:r>
        <w:rPr>
          <w:rFonts w:ascii="Book Antiqua"/>
          <w:rtl w:val="0"/>
          <w:lang w:val="it-IT"/>
        </w:rPr>
        <w:t xml:space="preserve">attribuito alla regione, mentre ai Comuni </w:t>
      </w:r>
      <w:r>
        <w:rPr>
          <w:rFonts w:hAnsi="Book Antiqua" w:hint="default"/>
          <w:rtl w:val="0"/>
          <w:lang w:val="it-IT"/>
        </w:rPr>
        <w:t xml:space="preserve">è </w:t>
      </w:r>
      <w:r>
        <w:rPr>
          <w:rFonts w:ascii="Book Antiqua"/>
          <w:rtl w:val="0"/>
          <w:lang w:val="it-IT"/>
        </w:rPr>
        <w:t>delegato il ruolo di Autorit</w:t>
      </w:r>
      <w:r>
        <w:rPr>
          <w:rFonts w:hAnsi="Book Antiqua" w:hint="default"/>
          <w:rtl w:val="0"/>
          <w:lang w:val="it-IT"/>
        </w:rPr>
        <w:t xml:space="preserve">à </w:t>
      </w:r>
      <w:r>
        <w:rPr>
          <w:rFonts w:ascii="Book Antiqua"/>
          <w:rtl w:val="0"/>
          <w:lang w:val="it-IT"/>
        </w:rPr>
        <w:t xml:space="preserve">procedente e alle province </w:t>
      </w:r>
      <w:r>
        <w:rPr>
          <w:rFonts w:hAnsi="Book Antiqua" w:hint="default"/>
          <w:rtl w:val="0"/>
          <w:lang w:val="it-IT"/>
        </w:rPr>
        <w:t xml:space="preserve">è </w:t>
      </w:r>
      <w:r>
        <w:rPr>
          <w:rFonts w:ascii="Book Antiqua"/>
          <w:rtl w:val="0"/>
          <w:lang w:val="it-IT"/>
        </w:rPr>
        <w:t>delegato il ruolo di Autorit</w:t>
      </w:r>
      <w:r>
        <w:rPr>
          <w:rFonts w:hAnsi="Book Antiqua" w:hint="default"/>
          <w:rtl w:val="0"/>
          <w:lang w:val="it-IT"/>
        </w:rPr>
        <w:t xml:space="preserve">à </w:t>
      </w:r>
      <w:r>
        <w:rPr>
          <w:rFonts w:ascii="Book Antiqua"/>
          <w:rtl w:val="0"/>
          <w:lang w:val="it-IT"/>
        </w:rPr>
        <w:t xml:space="preserve">di controllo). Tra i siti contaminati rientranti nel SIN "Bacino del fiume Sacco" vi </w:t>
      </w:r>
      <w:r>
        <w:rPr>
          <w:rFonts w:hAnsi="Book Antiqua" w:hint="default"/>
          <w:rtl w:val="0"/>
          <w:lang w:val="it-IT"/>
        </w:rPr>
        <w:t xml:space="preserve">è </w:t>
      </w:r>
      <w:r>
        <w:rPr>
          <w:rFonts w:ascii="Book Antiqua"/>
          <w:rtl w:val="0"/>
          <w:lang w:val="it-IT"/>
        </w:rPr>
        <w:t>compreso anche il sito dell'ex discarica di localit</w:t>
      </w:r>
      <w:r>
        <w:rPr>
          <w:rFonts w:hAnsi="Book Antiqua" w:hint="default"/>
          <w:rtl w:val="0"/>
          <w:lang w:val="it-IT"/>
        </w:rPr>
        <w:t xml:space="preserve">à </w:t>
      </w:r>
      <w:r>
        <w:rPr>
          <w:rFonts w:ascii="Book Antiqua"/>
          <w:rtl w:val="0"/>
          <w:lang w:val="it-IT"/>
        </w:rPr>
        <w:t>"Le Lame", al momento oggetto di sequestro giudiziario, da parte della procura della Repubblica presso il tribunale di Frosinone. "</w:t>
      </w:r>
    </w:p>
    <w:p>
      <w:pPr>
        <w:pStyle w:val="Normal"/>
        <w:ind w:left="567" w:right="567" w:firstLine="0"/>
        <w:jc w:val="both"/>
        <w:rPr>
          <w:rFonts w:ascii="Book Antiqua" w:cs="Book Antiqua" w:hAnsi="Book Antiqua" w:eastAsia="Book Antiqua"/>
        </w:rPr>
      </w:pPr>
      <w:r>
        <w:rPr>
          <w:rFonts w:ascii="Book Antiqua"/>
          <w:rtl w:val="0"/>
          <w:lang w:val="it-IT"/>
        </w:rPr>
        <w:t>Quanto alla problematica degli scarichi, gi</w:t>
      </w:r>
      <w:r>
        <w:rPr>
          <w:rFonts w:hAnsi="Book Antiqua" w:hint="default"/>
          <w:rtl w:val="0"/>
          <w:lang w:val="it-IT"/>
        </w:rPr>
        <w:t xml:space="preserve">à </w:t>
      </w:r>
      <w:r>
        <w:rPr>
          <w:rFonts w:ascii="Book Antiqua"/>
          <w:rtl w:val="0"/>
          <w:lang w:val="it-IT"/>
        </w:rPr>
        <w:t>nella relazione del 25 novembre 2015</w:t>
      </w:r>
      <w:r>
        <w:rPr>
          <w:rFonts w:ascii="Book Antiqua" w:cs="Book Antiqua" w:hAnsi="Book Antiqua" w:eastAsia="Book Antiqua"/>
          <w:vertAlign w:val="superscript"/>
          <w:rtl w:val="0"/>
        </w:rPr>
        <w:footnoteReference w:id="252"/>
      </w:r>
      <w:r>
        <w:rPr>
          <w:rFonts w:ascii="Book Antiqua"/>
          <w:rtl w:val="0"/>
          <w:lang w:val="it-IT"/>
        </w:rPr>
        <w:t xml:space="preserve"> il comando legione carabinieri Lazio evidenziava che "il 07.01.2014, personale del Comando provinciale di Frosinone in collaborazione con il Comando Carabinieri per la Tutela dell</w:t>
      </w:r>
      <w:r>
        <w:rPr>
          <w:rFonts w:hAnsi="Book Antiqua" w:hint="default"/>
          <w:rtl w:val="0"/>
          <w:lang w:val="it-IT"/>
        </w:rPr>
        <w:t>’</w:t>
      </w:r>
      <w:r>
        <w:rPr>
          <w:rFonts w:ascii="Book Antiqua"/>
          <w:rtl w:val="0"/>
          <w:lang w:val="it-IT"/>
        </w:rPr>
        <w:t>ambiente, ha deferito in stato di libert</w:t>
      </w:r>
      <w:r>
        <w:rPr>
          <w:rFonts w:hAnsi="Book Antiqua" w:hint="default"/>
          <w:rtl w:val="0"/>
          <w:lang w:val="it-IT"/>
        </w:rPr>
        <w:t xml:space="preserve">à </w:t>
      </w:r>
      <w:r>
        <w:rPr>
          <w:rFonts w:ascii="Book Antiqua"/>
          <w:rtl w:val="0"/>
          <w:lang w:val="it-IT"/>
        </w:rPr>
        <w:t>7 persone responsabili, a vario titolo, di frode, nelle pubbliche forniture, danneggiamento, falsit</w:t>
      </w:r>
      <w:r>
        <w:rPr>
          <w:rFonts w:hAnsi="Book Antiqua" w:hint="default"/>
          <w:rtl w:val="0"/>
          <w:lang w:val="it-IT"/>
        </w:rPr>
        <w:t xml:space="preserve">à </w:t>
      </w:r>
      <w:r>
        <w:rPr>
          <w:rFonts w:ascii="Book Antiqua"/>
          <w:rtl w:val="0"/>
          <w:lang w:val="it-IT"/>
        </w:rPr>
        <w:t>ideologica commessa da privato in atto pubblico, scarico acque, senza autorizzazione e gestione illecita di rifiuti, con sequestro preventivo di 7 impianti comunali di depurazione di acque reflue gestiti dalle societ</w:t>
      </w:r>
      <w:r>
        <w:rPr>
          <w:rFonts w:hAnsi="Book Antiqua" w:hint="default"/>
          <w:rtl w:val="0"/>
          <w:lang w:val="it-IT"/>
        </w:rPr>
        <w:t xml:space="preserve">à </w:t>
      </w:r>
      <w:r>
        <w:rPr>
          <w:rFonts w:ascii="Book Antiqua"/>
          <w:rtl w:val="0"/>
          <w:lang w:val="it-IT"/>
        </w:rPr>
        <w:t>ACEA ATO 2 spa in Trevi nel Lazio e ACEA ATO 5 spa in Ferentino, Anagni, Frosinone, Ceccano, Fiuggi, e Veroli. L'attivit</w:t>
      </w:r>
      <w:r>
        <w:rPr>
          <w:rFonts w:hAnsi="Book Antiqua" w:hint="default"/>
          <w:rtl w:val="0"/>
          <w:lang w:val="it-IT"/>
        </w:rPr>
        <w:t xml:space="preserve">à </w:t>
      </w:r>
      <w:r>
        <w:rPr>
          <w:rFonts w:ascii="Book Antiqua"/>
          <w:rtl w:val="0"/>
          <w:lang w:val="it-IT"/>
        </w:rPr>
        <w:t>ha permesso di accertare che i depuratori, privi di autorizzazione, non rispettavano i limiti di scarico imposti dalla norma provocando l'inquinamento delle acque".</w:t>
      </w:r>
    </w:p>
    <w:p>
      <w:pPr>
        <w:pStyle w:val="Normal"/>
        <w:ind w:left="567" w:right="567" w:firstLine="0"/>
        <w:jc w:val="both"/>
        <w:rPr>
          <w:rFonts w:ascii="Book Antiqua" w:cs="Book Antiqua" w:hAnsi="Book Antiqua" w:eastAsia="Book Antiqua"/>
        </w:rPr>
      </w:pPr>
      <w:r>
        <w:rPr>
          <w:rFonts w:ascii="Book Antiqua"/>
          <w:rtl w:val="0"/>
          <w:lang w:val="it-IT"/>
        </w:rPr>
        <w:t>Attualmente, tuttavia, come evidenziato dal procuratore della Repubblica di Frosinone nell'audizione del 21 febbraio 2017, "ci sono piccoli depuratori che formano oggetto di accertamento, ma nulla di eclatante. Poi ci sono i depuratori del Consorzio ASI. In quel contesto ci sono delle indagini in corso, che per</w:t>
      </w:r>
      <w:r>
        <w:rPr>
          <w:rFonts w:hAnsi="Book Antiqua" w:hint="default"/>
          <w:rtl w:val="0"/>
          <w:lang w:val="it-IT"/>
        </w:rPr>
        <w:t xml:space="preserve">ò </w:t>
      </w:r>
      <w:r>
        <w:rPr>
          <w:rFonts w:ascii="Book Antiqua"/>
          <w:rtl w:val="0"/>
          <w:lang w:val="it-IT"/>
        </w:rPr>
        <w:t>non riguardano tanto l</w:t>
      </w:r>
      <w:r>
        <w:rPr>
          <w:rFonts w:hAnsi="Book Antiqua" w:hint="default"/>
          <w:rtl w:val="0"/>
          <w:lang w:val="it-IT"/>
        </w:rPr>
        <w:t>’</w:t>
      </w:r>
      <w:r>
        <w:rPr>
          <w:rFonts w:ascii="Book Antiqua"/>
          <w:rtl w:val="0"/>
          <w:lang w:val="it-IT"/>
        </w:rPr>
        <w:t>aspetto puramente e strettamente ambientale, quanto aspetti di natura contabile e finanziaria. Per il resto, abbiamo dei procedimenti relativi alla materia degli scarichi di acque reflue"; aggiungendo che "noi cerchiamo di monitorare gli stabilimenti che recapitano soprattutto nel fiume Sacco, che peraltro ormai ha una compromissione elevatissima. Mi chiedo, per esempio, quali problematiche applicative comporter</w:t>
      </w:r>
      <w:r>
        <w:rPr>
          <w:rFonts w:hAnsi="Book Antiqua" w:hint="default"/>
          <w:rtl w:val="0"/>
          <w:lang w:val="it-IT"/>
        </w:rPr>
        <w:t xml:space="preserve">à </w:t>
      </w:r>
      <w:r>
        <w:rPr>
          <w:rFonts w:ascii="Book Antiqua"/>
          <w:rtl w:val="0"/>
          <w:lang w:val="it-IT"/>
        </w:rPr>
        <w:t>l</w:t>
      </w:r>
      <w:r>
        <w:rPr>
          <w:rFonts w:hAnsi="Book Antiqua" w:hint="default"/>
          <w:rtl w:val="0"/>
          <w:lang w:val="it-IT"/>
        </w:rPr>
        <w:t>’</w:t>
      </w:r>
      <w:r>
        <w:rPr>
          <w:rFonts w:ascii="Book Antiqua"/>
          <w:rtl w:val="0"/>
          <w:lang w:val="it-IT"/>
        </w:rPr>
        <w:t>eventuale configurazione dei nuovi delitti di inquinamento e disastro con riferimento a siti gi</w:t>
      </w:r>
      <w:r>
        <w:rPr>
          <w:rFonts w:hAnsi="Book Antiqua" w:hint="default"/>
          <w:rtl w:val="0"/>
          <w:lang w:val="it-IT"/>
        </w:rPr>
        <w:t xml:space="preserve">à </w:t>
      </w:r>
      <w:r>
        <w:rPr>
          <w:rFonts w:ascii="Book Antiqua"/>
          <w:rtl w:val="0"/>
          <w:lang w:val="it-IT"/>
        </w:rPr>
        <w:t>totalmente inquinati e compromessi. Sar</w:t>
      </w:r>
      <w:r>
        <w:rPr>
          <w:rFonts w:hAnsi="Book Antiqua" w:hint="default"/>
          <w:rtl w:val="0"/>
          <w:lang w:val="it-IT"/>
        </w:rPr>
        <w:t xml:space="preserve">à </w:t>
      </w:r>
      <w:r>
        <w:rPr>
          <w:rFonts w:ascii="Book Antiqua"/>
          <w:rtl w:val="0"/>
          <w:lang w:val="it-IT"/>
        </w:rPr>
        <w:t>interessante, se riusciremo poi ad andare avanti con delle indagini, vedere che possibilit</w:t>
      </w:r>
      <w:r>
        <w:rPr>
          <w:rFonts w:hAnsi="Book Antiqua" w:hint="default"/>
          <w:rtl w:val="0"/>
          <w:lang w:val="it-IT"/>
        </w:rPr>
        <w:t xml:space="preserve">à </w:t>
      </w:r>
      <w:r>
        <w:rPr>
          <w:rFonts w:ascii="Book Antiqua"/>
          <w:rtl w:val="0"/>
          <w:lang w:val="it-IT"/>
        </w:rPr>
        <w:t>di applicazione di queste fattispecie di reato ci siano quando le matrici ambientali sono gi</w:t>
      </w:r>
      <w:r>
        <w:rPr>
          <w:rFonts w:hAnsi="Book Antiqua" w:hint="default"/>
          <w:rtl w:val="0"/>
          <w:lang w:val="it-IT"/>
        </w:rPr>
        <w:t xml:space="preserve">à </w:t>
      </w:r>
      <w:r>
        <w:rPr>
          <w:rFonts w:ascii="Book Antiqua"/>
          <w:rtl w:val="0"/>
          <w:lang w:val="it-IT"/>
        </w:rPr>
        <w:t>compromesse". Osservazione che questa Commissione non mancher</w:t>
      </w:r>
      <w:r>
        <w:rPr>
          <w:rFonts w:hAnsi="Book Antiqua" w:hint="default"/>
          <w:rtl w:val="0"/>
          <w:lang w:val="it-IT"/>
        </w:rPr>
        <w:t xml:space="preserve">à </w:t>
      </w:r>
      <w:r>
        <w:rPr>
          <w:rFonts w:ascii="Book Antiqua"/>
          <w:rtl w:val="0"/>
          <w:lang w:val="it-IT"/>
        </w:rPr>
        <w:t>di tenere in considerazione nel suo costante monitoraggio sull'applicazione della legge n. 68 del 2015</w:t>
      </w:r>
      <w:r>
        <w:rPr>
          <w:rFonts w:ascii="Book Antiqua"/>
          <w:i w:val="1"/>
          <w:iCs w:val="1"/>
          <w:rtl w:val="0"/>
          <w:lang w:val="it-IT"/>
        </w:rPr>
        <w:t xml:space="preserve">. </w:t>
      </w:r>
    </w:p>
    <w:p>
      <w:pPr>
        <w:pStyle w:val="Normal"/>
        <w:ind w:left="567" w:right="567" w:firstLine="0"/>
        <w:jc w:val="both"/>
        <w:rPr>
          <w:rFonts w:ascii="Book Antiqua" w:cs="Book Antiqua" w:hAnsi="Book Antiqua" w:eastAsia="Book Antiqua"/>
        </w:rPr>
      </w:pPr>
      <w:r>
        <w:rPr>
          <w:rFonts w:ascii="Book Antiqua"/>
          <w:rtl w:val="0"/>
          <w:lang w:val="it-IT"/>
        </w:rPr>
        <w:t>Sotto il profilo pi</w:t>
      </w:r>
      <w:r>
        <w:rPr>
          <w:rFonts w:hAnsi="Book Antiqua" w:hint="default"/>
          <w:rtl w:val="0"/>
          <w:lang w:val="it-IT"/>
        </w:rPr>
        <w:t xml:space="preserve">ù </w:t>
      </w:r>
      <w:r>
        <w:rPr>
          <w:rFonts w:ascii="Book Antiqua"/>
          <w:rtl w:val="0"/>
          <w:lang w:val="it-IT"/>
        </w:rPr>
        <w:t>strettamente giudiziario, si segnala che molte indagini iniziate a Frosinone in tema di gestione di rifiuti sono state trasmesse per competenza alla DDA competente per territorio, essendo emerso il delitto di traffico illecito di rifiuti (articolo 260 decreto legislativo n. 152 del 2006).</w:t>
      </w:r>
    </w:p>
    <w:p>
      <w:pPr>
        <w:pStyle w:val="Normal"/>
        <w:ind w:left="567" w:right="567" w:firstLine="0"/>
        <w:jc w:val="both"/>
        <w:rPr>
          <w:rFonts w:ascii="Book Antiqua" w:cs="Book Antiqua" w:hAnsi="Book Antiqua" w:eastAsia="Book Antiqua"/>
        </w:rPr>
      </w:pPr>
      <w:r>
        <w:rPr>
          <w:rFonts w:ascii="Book Antiqua"/>
          <w:rtl w:val="0"/>
          <w:lang w:val="it-IT"/>
        </w:rPr>
        <w:t>In particolare, si segnala il procedimento penale relativo al depuratore del Consorzio per lo Sviluppo Industriale di Frosinone (ASI), sito in Ceccano localit</w:t>
      </w:r>
      <w:r>
        <w:rPr>
          <w:rFonts w:hAnsi="Book Antiqua" w:hint="default"/>
          <w:rtl w:val="0"/>
          <w:lang w:val="it-IT"/>
        </w:rPr>
        <w:t xml:space="preserve">à </w:t>
      </w:r>
      <w:r>
        <w:rPr>
          <w:rFonts w:ascii="Book Antiqua"/>
          <w:rtl w:val="0"/>
          <w:lang w:val="it-IT"/>
        </w:rPr>
        <w:t xml:space="preserve">Colle San Paolo, che risulta trasmesso nell'ottobre 2016 alla procura della Repubblica di Roma - DDA, essendosi configurato il reato di cui all'articolo 260 del decreto legislativo n. 152 del 2006 (traffico illecito di rifiuti), oltre al connesso reato di cui all'articolo 29 </w:t>
      </w:r>
      <w:r>
        <w:rPr>
          <w:rFonts w:ascii="Book Antiqua"/>
          <w:i w:val="1"/>
          <w:iCs w:val="1"/>
          <w:rtl w:val="0"/>
          <w:lang w:val="it-IT"/>
        </w:rPr>
        <w:t>quattordecies</w:t>
      </w:r>
      <w:r>
        <w:rPr>
          <w:rFonts w:ascii="Book Antiqua"/>
          <w:rtl w:val="0"/>
          <w:lang w:val="it-IT"/>
        </w:rPr>
        <w:t xml:space="preserve"> del decreto legislativo n. 152 del 2006. </w:t>
      </w:r>
    </w:p>
    <w:p>
      <w:pPr>
        <w:pStyle w:val="Normal"/>
        <w:ind w:left="567" w:right="567" w:firstLine="0"/>
        <w:jc w:val="both"/>
        <w:rPr>
          <w:rFonts w:ascii="Book Antiqua" w:cs="Book Antiqua" w:hAnsi="Book Antiqua" w:eastAsia="Book Antiqua"/>
        </w:rPr>
      </w:pPr>
      <w:r>
        <w:rPr>
          <w:rFonts w:ascii="Book Antiqua"/>
          <w:rtl w:val="0"/>
          <w:lang w:val="it-IT"/>
        </w:rPr>
        <w:t>In proposito, il procuratore della Repubblica di Frosinone, nella sua relazione del 14 marzo 2017</w:t>
      </w:r>
      <w:r>
        <w:rPr>
          <w:rFonts w:ascii="Book Antiqua" w:cs="Book Antiqua" w:hAnsi="Book Antiqua" w:eastAsia="Book Antiqua"/>
          <w:vertAlign w:val="superscript"/>
          <w:rtl w:val="0"/>
        </w:rPr>
        <w:footnoteReference w:id="253"/>
      </w:r>
      <w:r>
        <w:rPr>
          <w:rFonts w:ascii="Book Antiqua"/>
          <w:rtl w:val="0"/>
          <w:lang w:val="it-IT"/>
        </w:rPr>
        <w:t xml:space="preserve"> ( doc. 1818/2), ha precisato che "il Corpo forestale dello Stato ha operato un sopralluogo congiunto con i tecnici dell'ARPA di Frosinone presso il depuratore - che esercita attivit</w:t>
      </w:r>
      <w:r>
        <w:rPr>
          <w:rFonts w:hAnsi="Book Antiqua" w:hint="default"/>
          <w:rtl w:val="0"/>
          <w:lang w:val="it-IT"/>
        </w:rPr>
        <w:t xml:space="preserve">à </w:t>
      </w:r>
      <w:r>
        <w:rPr>
          <w:rFonts w:ascii="Book Antiqua"/>
          <w:rtl w:val="0"/>
          <w:lang w:val="it-IT"/>
        </w:rPr>
        <w:t>di depurazione delle acque industriali e attivit</w:t>
      </w:r>
      <w:r>
        <w:rPr>
          <w:rFonts w:hAnsi="Book Antiqua" w:hint="default"/>
          <w:rtl w:val="0"/>
          <w:lang w:val="it-IT"/>
        </w:rPr>
        <w:t xml:space="preserve">à </w:t>
      </w:r>
      <w:r>
        <w:rPr>
          <w:rFonts w:ascii="Book Antiqua"/>
          <w:rtl w:val="0"/>
          <w:lang w:val="it-IT"/>
        </w:rPr>
        <w:t>di gestione dei fanghi derivanti dal processo di depurazione dei reflui - ed ha evidenziato, oltre l'assenza dell'AIA (Autorizzazione Integrata Ambientale), anche la non corretta gestione dei fanghi. Preciso che l'ARPA Lazio ha riscontrato che risultavano allacciati alla condotta consortile gli scarichi di 206 attivit</w:t>
      </w:r>
      <w:r>
        <w:rPr>
          <w:rFonts w:hAnsi="Book Antiqua" w:hint="default"/>
          <w:rtl w:val="0"/>
          <w:lang w:val="it-IT"/>
        </w:rPr>
        <w:t xml:space="preserve">à </w:t>
      </w:r>
      <w:r>
        <w:rPr>
          <w:rFonts w:ascii="Book Antiqua"/>
          <w:rtl w:val="0"/>
          <w:lang w:val="it-IT"/>
        </w:rPr>
        <w:t>produttive (di cui 18 ricadenti in attivit</w:t>
      </w:r>
      <w:r>
        <w:rPr>
          <w:rFonts w:hAnsi="Book Antiqua" w:hint="default"/>
          <w:rtl w:val="0"/>
          <w:lang w:val="it-IT"/>
        </w:rPr>
        <w:t xml:space="preserve">à </w:t>
      </w:r>
      <w:r>
        <w:rPr>
          <w:rFonts w:ascii="Book Antiqua"/>
          <w:rtl w:val="0"/>
          <w:lang w:val="it-IT"/>
        </w:rPr>
        <w:t xml:space="preserve">AIA) e gli scarichi civili provenienti dai comuni di Frosinone, Ceccano, Patrica, Morolo, Ferentino ed Alatri. Inoltre </w:t>
      </w:r>
      <w:r>
        <w:rPr>
          <w:rFonts w:hAnsi="Book Antiqua" w:hint="default"/>
          <w:rtl w:val="0"/>
          <w:lang w:val="it-IT"/>
        </w:rPr>
        <w:t xml:space="preserve">è </w:t>
      </w:r>
      <w:r>
        <w:rPr>
          <w:rFonts w:ascii="Book Antiqua"/>
          <w:rtl w:val="0"/>
          <w:lang w:val="it-IT"/>
        </w:rPr>
        <w:t xml:space="preserve">emersa una non corretta classificazione dei fanghi da depurazione con riferimento alla tipizzazione relativa ai cosiddetti codici a specchio e all'assenza di analisi esaustive atte ad escludere la presenza nel rifiuto di sostanze pericolose. Il fango esausto proveniente dal processo di depurazione delle acque reflue dell'impianto ASI di Ceccano </w:t>
      </w:r>
      <w:r>
        <w:rPr>
          <w:rFonts w:hAnsi="Book Antiqua" w:hint="default"/>
          <w:rtl w:val="0"/>
          <w:lang w:val="it-IT"/>
        </w:rPr>
        <w:t xml:space="preserve">è </w:t>
      </w:r>
      <w:r>
        <w:rPr>
          <w:rFonts w:ascii="Book Antiqua"/>
          <w:rtl w:val="0"/>
          <w:lang w:val="it-IT"/>
        </w:rPr>
        <w:t xml:space="preserve">stato affidato e gestito come rifiuto non pericoloso dalla ditta Navarra S.p.A. con sede a Ferentino. In altri termini, vi </w:t>
      </w:r>
      <w:r>
        <w:rPr>
          <w:rFonts w:hAnsi="Book Antiqua" w:hint="default"/>
          <w:rtl w:val="0"/>
          <w:lang w:val="it-IT"/>
        </w:rPr>
        <w:t xml:space="preserve">è </w:t>
      </w:r>
      <w:r>
        <w:rPr>
          <w:rFonts w:ascii="Book Antiqua"/>
          <w:rtl w:val="0"/>
          <w:lang w:val="it-IT"/>
        </w:rPr>
        <w:t>stata, mediante l'utilizzo di codici speculari accompagnati da analisi non esaustive e tali da poter escludere la pericolosit</w:t>
      </w:r>
      <w:r>
        <w:rPr>
          <w:rFonts w:hAnsi="Book Antiqua" w:hint="default"/>
          <w:rtl w:val="0"/>
          <w:lang w:val="it-IT"/>
        </w:rPr>
        <w:t xml:space="preserve">à </w:t>
      </w:r>
      <w:r>
        <w:rPr>
          <w:rFonts w:ascii="Book Antiqua"/>
          <w:rtl w:val="0"/>
          <w:lang w:val="it-IT"/>
        </w:rPr>
        <w:t>del rifiuto, una "declassificazione dei rifiuti", da pericolosi a non pericolosi, in modo tale da poter smaltire come non pericolosi rifiuti che, se classificati correttamente, avrebbero dovuto essere smaltiti come pericolosi. Ci</w:t>
      </w:r>
      <w:r>
        <w:rPr>
          <w:rFonts w:hAnsi="Book Antiqua" w:hint="default"/>
          <w:rtl w:val="0"/>
          <w:lang w:val="it-IT"/>
        </w:rPr>
        <w:t xml:space="preserve">ò </w:t>
      </w:r>
      <w:r>
        <w:rPr>
          <w:rFonts w:ascii="Book Antiqua"/>
          <w:rtl w:val="0"/>
          <w:lang w:val="it-IT"/>
        </w:rPr>
        <w:t>ha consentito all'ASI di ottenere un notevole risparmio dei costi di smaltimento"</w:t>
      </w:r>
      <w:r>
        <w:rPr>
          <w:rFonts w:ascii="Book Antiqua"/>
          <w:i w:val="1"/>
          <w:iCs w:val="1"/>
          <w:rtl w:val="0"/>
          <w:lang w:val="it-IT"/>
        </w:rPr>
        <w:t>.</w:t>
      </w:r>
    </w:p>
    <w:p>
      <w:pPr>
        <w:pStyle w:val="Normal"/>
        <w:widowControl w:val="0"/>
        <w:ind w:left="567" w:right="567" w:firstLine="0"/>
        <w:jc w:val="both"/>
        <w:rPr>
          <w:rFonts w:ascii="Book Antiqua" w:cs="Book Antiqua" w:hAnsi="Book Antiqua" w:eastAsia="Book Antiqua"/>
        </w:rPr>
      </w:pPr>
      <w:r>
        <w:rPr>
          <w:rFonts w:ascii="Book Antiqua"/>
          <w:rtl w:val="0"/>
          <w:lang w:val="it-IT"/>
        </w:rPr>
        <w:t>Ha meglio precisato, quindi, con riferimento ai fanghi di depurazione, quanto aveva gi</w:t>
      </w:r>
      <w:r>
        <w:rPr>
          <w:rFonts w:hAnsi="Book Antiqua" w:hint="default"/>
          <w:rtl w:val="0"/>
          <w:lang w:val="it-IT"/>
        </w:rPr>
        <w:t xml:space="preserve">à </w:t>
      </w:r>
      <w:r>
        <w:rPr>
          <w:rFonts w:ascii="Book Antiqua"/>
          <w:rtl w:val="0"/>
          <w:lang w:val="it-IT"/>
        </w:rPr>
        <w:t>anticipato nella audizione del 21 febbraio 2017, quando aveva introdotto, in via generale, la delicata problematica dei rifiuti con "voci a specchio" e cio</w:t>
      </w:r>
      <w:r>
        <w:rPr>
          <w:rFonts w:hAnsi="Book Antiqua" w:hint="default"/>
          <w:rtl w:val="0"/>
          <w:lang w:val="it-IT"/>
        </w:rPr>
        <w:t xml:space="preserve">è </w:t>
      </w:r>
      <w:r>
        <w:rPr>
          <w:rFonts w:ascii="Book Antiqua"/>
          <w:rtl w:val="0"/>
          <w:lang w:val="it-IT"/>
        </w:rPr>
        <w:t>di quei rifiuti che possono essere classificabili come pericolosi o non in base alle caratteristiche di pericolosit</w:t>
      </w:r>
      <w:r>
        <w:rPr>
          <w:rFonts w:hAnsi="Book Antiqua" w:hint="default"/>
          <w:rtl w:val="0"/>
          <w:lang w:val="it-IT"/>
        </w:rPr>
        <w:t>à</w:t>
      </w:r>
      <w:r>
        <w:rPr>
          <w:rFonts w:ascii="Book Antiqua"/>
          <w:rtl w:val="0"/>
          <w:lang w:val="it-IT"/>
        </w:rPr>
        <w:t>, indicandola come "un profilo con riferimento al quale si annidano spesso degli illeciti. Gli imprenditori non caratterizzano i propri rifiuti, nonostante questi siano riconducibili a voci a specchio, perch</w:t>
      </w:r>
      <w:r>
        <w:rPr>
          <w:rFonts w:hAnsi="Book Antiqua" w:hint="default"/>
          <w:rtl w:val="0"/>
          <w:lang w:val="it-IT"/>
        </w:rPr>
        <w:t xml:space="preserve">é </w:t>
      </w:r>
      <w:r>
        <w:rPr>
          <w:rFonts w:ascii="Book Antiqua"/>
          <w:rtl w:val="0"/>
          <w:lang w:val="it-IT"/>
        </w:rPr>
        <w:t>hanno tutto l</w:t>
      </w:r>
      <w:r>
        <w:rPr>
          <w:rFonts w:hAnsi="Book Antiqua" w:hint="default"/>
          <w:rtl w:val="0"/>
          <w:lang w:val="it-IT"/>
        </w:rPr>
        <w:t>’</w:t>
      </w:r>
      <w:r>
        <w:rPr>
          <w:rFonts w:ascii="Book Antiqua"/>
          <w:rtl w:val="0"/>
          <w:lang w:val="it-IT"/>
        </w:rPr>
        <w:t>interesse a gestirli come non pericolosi, mentre, in realt</w:t>
      </w:r>
      <w:r>
        <w:rPr>
          <w:rFonts w:hAnsi="Book Antiqua" w:hint="default"/>
          <w:rtl w:val="0"/>
          <w:lang w:val="it-IT"/>
        </w:rPr>
        <w:t xml:space="preserve">à – </w:t>
      </w:r>
      <w:r>
        <w:rPr>
          <w:rFonts w:ascii="Book Antiqua"/>
          <w:rtl w:val="0"/>
          <w:lang w:val="it-IT"/>
        </w:rPr>
        <w:t>in questo il pronunciamento pi</w:t>
      </w:r>
      <w:r>
        <w:rPr>
          <w:rFonts w:hAnsi="Book Antiqua" w:hint="default"/>
          <w:rtl w:val="0"/>
          <w:lang w:val="it-IT"/>
        </w:rPr>
        <w:t xml:space="preserve">ù </w:t>
      </w:r>
      <w:r>
        <w:rPr>
          <w:rFonts w:ascii="Book Antiqua"/>
          <w:rtl w:val="0"/>
          <w:lang w:val="it-IT"/>
        </w:rPr>
        <w:t xml:space="preserve">recente della Cassazione ci aiuta </w:t>
      </w:r>
      <w:r>
        <w:rPr>
          <w:rFonts w:hAnsi="Book Antiqua" w:hint="default"/>
          <w:rtl w:val="0"/>
          <w:lang w:val="it-IT"/>
        </w:rPr>
        <w:t xml:space="preserve">– </w:t>
      </w:r>
      <w:r>
        <w:rPr>
          <w:rFonts w:ascii="Book Antiqua"/>
          <w:rtl w:val="0"/>
          <w:lang w:val="it-IT"/>
        </w:rPr>
        <w:t>in mancanza di caratterizzazione, devono essere, se non altro per il principio di precauzione, gestiti come pericolosi. Anche qui non dico cose sicuramente nuove. L</w:t>
      </w:r>
      <w:r>
        <w:rPr>
          <w:rFonts w:hAnsi="Book Antiqua" w:hint="default"/>
          <w:rtl w:val="0"/>
          <w:lang w:val="it-IT"/>
        </w:rPr>
        <w:t>’</w:t>
      </w:r>
      <w:r>
        <w:rPr>
          <w:rFonts w:ascii="Book Antiqua"/>
          <w:rtl w:val="0"/>
          <w:lang w:val="it-IT"/>
        </w:rPr>
        <w:t xml:space="preserve">illecito spesso </w:t>
      </w:r>
      <w:r>
        <w:rPr>
          <w:rFonts w:hAnsi="Book Antiqua" w:hint="default"/>
          <w:rtl w:val="0"/>
          <w:lang w:val="it-IT"/>
        </w:rPr>
        <w:t xml:space="preserve">è </w:t>
      </w:r>
      <w:r>
        <w:rPr>
          <w:rFonts w:ascii="Book Antiqua"/>
          <w:rtl w:val="0"/>
          <w:lang w:val="it-IT"/>
        </w:rPr>
        <w:t>nella gestione dei rifiuti pericolosi come non pericolosi, per evidenti motivi di risparmio"</w:t>
      </w:r>
      <w:r>
        <w:rPr>
          <w:rFonts w:ascii="Book Antiqua"/>
          <w:i w:val="1"/>
          <w:iCs w:val="1"/>
          <w:rtl w:val="0"/>
          <w:lang w:val="it-IT"/>
        </w:rPr>
        <w:t>.</w:t>
      </w:r>
      <w:r>
        <w:rPr>
          <w:rFonts w:ascii="Book Antiqua"/>
          <w:rtl w:val="0"/>
          <w:lang w:val="it-IT"/>
        </w:rPr>
        <w:t xml:space="preserve"> </w:t>
      </w:r>
    </w:p>
    <w:p>
      <w:pPr>
        <w:pStyle w:val="Normal"/>
        <w:ind w:left="567" w:right="567" w:firstLine="0"/>
        <w:jc w:val="both"/>
        <w:rPr>
          <w:rFonts w:ascii="Book Antiqua" w:cs="Book Antiqua" w:hAnsi="Book Antiqua" w:eastAsia="Book Antiqua"/>
        </w:rPr>
      </w:pPr>
      <w:r>
        <w:rPr>
          <w:rFonts w:ascii="Book Antiqua"/>
          <w:rtl w:val="0"/>
          <w:lang w:val="it-IT"/>
        </w:rPr>
        <w:t>E</w:t>
      </w:r>
      <w:r>
        <w:rPr>
          <w:rFonts w:hAnsi="Book Antiqua" w:hint="default"/>
          <w:rtl w:val="0"/>
          <w:lang w:val="it-IT"/>
        </w:rPr>
        <w:t xml:space="preserve">’ </w:t>
      </w:r>
      <w:r>
        <w:rPr>
          <w:rFonts w:ascii="Book Antiqua"/>
          <w:rtl w:val="0"/>
          <w:lang w:val="it-IT"/>
        </w:rPr>
        <w:t xml:space="preserve">interessante notare, a questo punto, che si tratta della stessa problematica su cui si </w:t>
      </w:r>
      <w:r>
        <w:rPr>
          <w:rFonts w:hAnsi="Book Antiqua" w:hint="default"/>
          <w:rtl w:val="0"/>
          <w:lang w:val="it-IT"/>
        </w:rPr>
        <w:t xml:space="preserve">è </w:t>
      </w:r>
      <w:r>
        <w:rPr>
          <w:rFonts w:ascii="Book Antiqua"/>
          <w:rtl w:val="0"/>
          <w:lang w:val="it-IT"/>
        </w:rPr>
        <w:t xml:space="preserve">basata la cosiddetta "operazione Maschera", la quale, come riferito dal comandante del NOE di Roma nell'audizione del 7 febbraio 2017 "ha comportato sequestri su Roma, Latina e Frosinone. Sono stati sequestrati degli impianti; </w:t>
      </w:r>
      <w:r>
        <w:rPr>
          <w:rFonts w:hAnsi="Book Antiqua" w:hint="default"/>
          <w:rtl w:val="0"/>
          <w:lang w:val="it-IT"/>
        </w:rPr>
        <w:t xml:space="preserve">è </w:t>
      </w:r>
      <w:r>
        <w:rPr>
          <w:rFonts w:ascii="Book Antiqua"/>
          <w:rtl w:val="0"/>
          <w:lang w:val="it-IT"/>
        </w:rPr>
        <w:t>stato nominato un commissario giudiziale, ma questo non ha comportato il fermo impianti perch</w:t>
      </w:r>
      <w:r>
        <w:rPr>
          <w:rFonts w:hAnsi="Book Antiqua" w:hint="default"/>
          <w:rtl w:val="0"/>
          <w:lang w:val="it-IT"/>
        </w:rPr>
        <w:t xml:space="preserve">é </w:t>
      </w:r>
      <w:r>
        <w:rPr>
          <w:rFonts w:ascii="Book Antiqua"/>
          <w:rtl w:val="0"/>
          <w:lang w:val="it-IT"/>
        </w:rPr>
        <w:t xml:space="preserve">ha assicurato la continuazione della lavorazione e il ripristino di una corretta lavorazione dei rifiuti". </w:t>
      </w:r>
    </w:p>
    <w:p>
      <w:pPr>
        <w:pStyle w:val="Normal"/>
        <w:ind w:left="567" w:right="567" w:firstLine="0"/>
        <w:jc w:val="both"/>
        <w:rPr>
          <w:rFonts w:ascii="Book Antiqua" w:cs="Book Antiqua" w:hAnsi="Book Antiqua" w:eastAsia="Book Antiqua"/>
        </w:rPr>
      </w:pPr>
      <w:r>
        <w:rPr>
          <w:rFonts w:ascii="Book Antiqua"/>
          <w:rtl w:val="0"/>
          <w:lang w:val="it-IT"/>
        </w:rPr>
        <w:t>In proposito, pi</w:t>
      </w:r>
      <w:r>
        <w:rPr>
          <w:rFonts w:hAnsi="Book Antiqua" w:hint="default"/>
          <w:rtl w:val="0"/>
          <w:lang w:val="it-IT"/>
        </w:rPr>
        <w:t xml:space="preserve">ù </w:t>
      </w:r>
      <w:r>
        <w:rPr>
          <w:rFonts w:ascii="Book Antiqua"/>
          <w:rtl w:val="0"/>
          <w:lang w:val="it-IT"/>
        </w:rPr>
        <w:t>recentemente, il sostituto procuratore della Repubblica presso il tribunale di Roma, Alberto Galanti, titolare del relativo procedimento penale, nell</w:t>
      </w:r>
      <w:r>
        <w:rPr>
          <w:rFonts w:hAnsi="Book Antiqua" w:hint="default"/>
          <w:rtl w:val="0"/>
          <w:lang w:val="it-IT"/>
        </w:rPr>
        <w:t>’</w:t>
      </w:r>
      <w:r>
        <w:rPr>
          <w:rFonts w:ascii="Book Antiqua"/>
          <w:rtl w:val="0"/>
          <w:lang w:val="it-IT"/>
        </w:rPr>
        <w:t xml:space="preserve">audizione del 30 maggio 2017, ha confermato che </w:t>
      </w:r>
      <w:r>
        <w:rPr>
          <w:rFonts w:hAnsi="Book Antiqua" w:hint="default"/>
          <w:rtl w:val="0"/>
          <w:lang w:val="it-IT"/>
        </w:rPr>
        <w:t>“</w:t>
      </w:r>
      <w:r>
        <w:rPr>
          <w:rFonts w:ascii="Book Antiqua"/>
          <w:rtl w:val="0"/>
          <w:lang w:val="it-IT"/>
        </w:rPr>
        <w:t xml:space="preserve">nel procedimento Simer si </w:t>
      </w:r>
      <w:r>
        <w:rPr>
          <w:rFonts w:hAnsi="Book Antiqua" w:hint="default"/>
          <w:rtl w:val="0"/>
          <w:lang w:val="it-IT"/>
        </w:rPr>
        <w:t xml:space="preserve">è </w:t>
      </w:r>
      <w:r>
        <w:rPr>
          <w:rFonts w:ascii="Book Antiqua"/>
          <w:rtl w:val="0"/>
          <w:lang w:val="it-IT"/>
        </w:rPr>
        <w:t>arrivati in Cassazione, la cui terza sezione ha stabilito un principio estremamente importante: nel caso di rifiuti cosiddetti con codice a specchio, che a seconda della loro composizione chimica possono essere sia pericolosi sia non pericolosi, occorre che il produttore su cui incombe l</w:t>
      </w:r>
      <w:r>
        <w:rPr>
          <w:rFonts w:hAnsi="Book Antiqua" w:hint="default"/>
          <w:rtl w:val="0"/>
          <w:lang w:val="it-IT"/>
        </w:rPr>
        <w:t>’</w:t>
      </w:r>
      <w:r>
        <w:rPr>
          <w:rFonts w:ascii="Book Antiqua"/>
          <w:rtl w:val="0"/>
          <w:lang w:val="it-IT"/>
        </w:rPr>
        <w:t>onere di classificare il rifiuto, se non in possesso di informazioni certe sulla composizione all</w:t>
      </w:r>
      <w:r>
        <w:rPr>
          <w:rFonts w:hAnsi="Book Antiqua" w:hint="default"/>
          <w:rtl w:val="0"/>
          <w:lang w:val="it-IT"/>
        </w:rPr>
        <w:t>’</w:t>
      </w:r>
      <w:r>
        <w:rPr>
          <w:rFonts w:ascii="Book Antiqua"/>
          <w:rtl w:val="0"/>
          <w:lang w:val="it-IT"/>
        </w:rPr>
        <w:t>origine del rifiuto, come era nel caso di specie per quei rifiuti ospedalieri, proceda a una caratterizzazione analitica esaustiva. Ha enunciato questo principio di diritto</w:t>
      </w:r>
      <w:r>
        <w:rPr>
          <w:rFonts w:hAnsi="Book Antiqua" w:hint="default"/>
          <w:i w:val="1"/>
          <w:iCs w:val="1"/>
          <w:rtl w:val="0"/>
          <w:lang w:val="it-IT"/>
        </w:rPr>
        <w:t>”</w:t>
      </w:r>
      <w:r>
        <w:rPr>
          <w:rFonts w:ascii="Book Antiqua"/>
          <w:i w:val="1"/>
          <w:iCs w:val="1"/>
          <w:rtl w:val="0"/>
          <w:lang w:val="it-IT"/>
        </w:rPr>
        <w:t xml:space="preserve">, </w:t>
      </w:r>
      <w:r>
        <w:rPr>
          <w:rFonts w:ascii="Book Antiqua"/>
          <w:rtl w:val="0"/>
          <w:lang w:val="it-IT"/>
        </w:rPr>
        <w:t>aggiungendo subito dopo che</w:t>
      </w:r>
      <w:r>
        <w:rPr>
          <w:rFonts w:hAnsi="Book Antiqua" w:hint="default"/>
          <w:i w:val="1"/>
          <w:iCs w:val="1"/>
          <w:rtl w:val="0"/>
          <w:lang w:val="it-IT"/>
        </w:rPr>
        <w:t xml:space="preserve"> “</w:t>
      </w:r>
      <w:r>
        <w:rPr>
          <w:rFonts w:ascii="Book Antiqua"/>
          <w:rtl w:val="0"/>
          <w:lang w:val="it-IT"/>
        </w:rPr>
        <w:t>in quest</w:t>
      </w:r>
      <w:r>
        <w:rPr>
          <w:rFonts w:hAnsi="Book Antiqua" w:hint="default"/>
          <w:rtl w:val="0"/>
          <w:lang w:val="it-IT"/>
        </w:rPr>
        <w:t>’</w:t>
      </w:r>
      <w:r>
        <w:rPr>
          <w:rFonts w:ascii="Book Antiqua"/>
          <w:rtl w:val="0"/>
          <w:lang w:val="it-IT"/>
        </w:rPr>
        <w:t xml:space="preserve">altro procedimento, invece, il tribunale del riesame ha espresso un principio diametralmente opposto. Ovviamente, questo ha comportato poi il dissequestro di gran parte degli impianti. Noi abbiamo fatto ricorso per Cassazione e siamo in attesa della sentenza </w:t>
      </w:r>
      <w:r>
        <w:rPr>
          <w:rFonts w:hAnsi="Book Antiqua" w:hint="default"/>
          <w:rtl w:val="0"/>
          <w:lang w:val="it-IT"/>
        </w:rPr>
        <w:t>“</w:t>
      </w:r>
      <w:r>
        <w:rPr>
          <w:rFonts w:ascii="Book Antiqua"/>
          <w:rtl w:val="0"/>
          <w:lang w:val="it-IT"/>
        </w:rPr>
        <w:t xml:space="preserve">. </w:t>
      </w:r>
    </w:p>
    <w:p>
      <w:pPr>
        <w:pStyle w:val="Normal"/>
        <w:ind w:left="567" w:right="567" w:firstLine="0"/>
        <w:jc w:val="both"/>
        <w:rPr>
          <w:rFonts w:ascii="Book Antiqua" w:cs="Book Antiqua" w:hAnsi="Book Antiqua" w:eastAsia="Book Antiqua"/>
        </w:rPr>
      </w:pPr>
      <w:r>
        <w:rPr>
          <w:rFonts w:ascii="Book Antiqua"/>
          <w:rtl w:val="0"/>
          <w:lang w:val="it-IT"/>
        </w:rPr>
        <w:t xml:space="preserve">Quanto ai procedimenti penali in fase dibattimentale, lo stesso procuratore della Repubblica di Frosinone, nella citata relazione del 14 marzo 2017, ha riferito che </w:t>
      </w:r>
      <w:r>
        <w:rPr>
          <w:rFonts w:ascii="Book Antiqua"/>
          <w:i w:val="1"/>
          <w:iCs w:val="1"/>
          <w:rtl w:val="0"/>
          <w:lang w:val="it-IT"/>
        </w:rPr>
        <w:t>"</w:t>
      </w:r>
      <w:r>
        <w:rPr>
          <w:rFonts w:hAnsi="Book Antiqua" w:hint="default"/>
          <w:rtl w:val="0"/>
          <w:lang w:val="it-IT"/>
        </w:rPr>
        <w:t xml:space="preserve">è </w:t>
      </w:r>
      <w:r>
        <w:rPr>
          <w:rFonts w:ascii="Book Antiqua"/>
          <w:rtl w:val="0"/>
          <w:lang w:val="it-IT"/>
        </w:rPr>
        <w:t>pendente avanti al tribunale collegiale un procedimento per articoli 256 decreto legislativo n. 152 del 2006 e 434 del codice penale in relazione all'interramento di rifiuti speciali pericolosi, con contaminazione dei suoli, accertata da ARPA Lazio, al confine tra i comuni di Ceprano e Falvaterra in prossimit</w:t>
      </w:r>
      <w:r>
        <w:rPr>
          <w:rFonts w:hAnsi="Book Antiqua" w:hint="default"/>
          <w:rtl w:val="0"/>
          <w:lang w:val="it-IT"/>
        </w:rPr>
        <w:t xml:space="preserve">à </w:t>
      </w:r>
      <w:r>
        <w:rPr>
          <w:rFonts w:ascii="Book Antiqua"/>
          <w:rtl w:val="0"/>
          <w:lang w:val="it-IT"/>
        </w:rPr>
        <w:t>delle sponde del fiume Sacco [</w:t>
      </w:r>
      <w:r>
        <w:rPr>
          <w:rFonts w:hAnsi="Book Antiqua" w:hint="default"/>
          <w:rtl w:val="0"/>
          <w:lang w:val="it-IT"/>
        </w:rPr>
        <w:t>…</w:t>
      </w:r>
      <w:r>
        <w:rPr>
          <w:rFonts w:ascii="Book Antiqua"/>
          <w:rtl w:val="0"/>
          <w:lang w:val="it-IT"/>
        </w:rPr>
        <w:t xml:space="preserve">]. Analogamente </w:t>
      </w:r>
      <w:r>
        <w:rPr>
          <w:rFonts w:hAnsi="Book Antiqua" w:hint="default"/>
          <w:rtl w:val="0"/>
          <w:lang w:val="it-IT"/>
        </w:rPr>
        <w:t xml:space="preserve">è </w:t>
      </w:r>
      <w:r>
        <w:rPr>
          <w:rFonts w:ascii="Book Antiqua"/>
          <w:rtl w:val="0"/>
          <w:lang w:val="it-IT"/>
        </w:rPr>
        <w:t>pendente avanti al tribunale in fase dibattimentale un procedimento per articolo 257 decreto legislativo n. 152 del 2006 in relazione all'omessa bonifica di un ex-sito industriale nel comune di Ceprano, in prossimit</w:t>
      </w:r>
      <w:r>
        <w:rPr>
          <w:rFonts w:hAnsi="Book Antiqua" w:hint="default"/>
          <w:rtl w:val="0"/>
          <w:lang w:val="it-IT"/>
        </w:rPr>
        <w:t xml:space="preserve">à </w:t>
      </w:r>
      <w:r>
        <w:rPr>
          <w:rFonts w:ascii="Book Antiqua"/>
          <w:rtl w:val="0"/>
          <w:lang w:val="it-IT"/>
        </w:rPr>
        <w:t xml:space="preserve">delle sponde del fiume Liri, ove </w:t>
      </w:r>
      <w:r>
        <w:rPr>
          <w:rFonts w:hAnsi="Book Antiqua" w:hint="default"/>
          <w:rtl w:val="0"/>
          <w:lang w:val="it-IT"/>
        </w:rPr>
        <w:t xml:space="preserve">è </w:t>
      </w:r>
      <w:r>
        <w:rPr>
          <w:rFonts w:ascii="Book Antiqua"/>
          <w:rtl w:val="0"/>
          <w:lang w:val="it-IT"/>
        </w:rPr>
        <w:t xml:space="preserve">stata accertata la contaminazione dei terreni e delle acque sotterranee, per superamenti delle concentrazioni della soglia di rischio. </w:t>
      </w:r>
    </w:p>
    <w:p>
      <w:pPr>
        <w:pStyle w:val="Normal"/>
        <w:ind w:left="567" w:right="567" w:firstLine="0"/>
        <w:jc w:val="both"/>
        <w:rPr>
          <w:rFonts w:ascii="Book Antiqua" w:cs="Book Antiqua" w:hAnsi="Book Antiqua" w:eastAsia="Book Antiqua"/>
        </w:rPr>
      </w:pPr>
      <w:r>
        <w:rPr>
          <w:rFonts w:ascii="Book Antiqua"/>
          <w:rtl w:val="0"/>
          <w:lang w:val="it-IT"/>
        </w:rPr>
        <w:t>Altro procedimento in fase dibattimentale concerne lo smaltimento illecito del percolato proveniente dal sito gi</w:t>
      </w:r>
      <w:r>
        <w:rPr>
          <w:rFonts w:hAnsi="Book Antiqua" w:hint="default"/>
          <w:rtl w:val="0"/>
          <w:lang w:val="it-IT"/>
        </w:rPr>
        <w:t xml:space="preserve">à </w:t>
      </w:r>
      <w:r>
        <w:rPr>
          <w:rFonts w:ascii="Book Antiqua"/>
          <w:rtl w:val="0"/>
          <w:lang w:val="it-IT"/>
        </w:rPr>
        <w:t>adibito a discarica nella localit</w:t>
      </w:r>
      <w:r>
        <w:rPr>
          <w:rFonts w:hAnsi="Book Antiqua" w:hint="default"/>
          <w:rtl w:val="0"/>
          <w:lang w:val="it-IT"/>
        </w:rPr>
        <w:t xml:space="preserve">à </w:t>
      </w:r>
      <w:r>
        <w:rPr>
          <w:rFonts w:ascii="Book Antiqua"/>
          <w:rtl w:val="0"/>
          <w:lang w:val="it-IT"/>
        </w:rPr>
        <w:t>Radicina del comune di Anagni, con conseguente infiltrazione del percolato nel terreno circostante e superamento delle Concentrazioni Soglia di Contaminazione [</w:t>
      </w:r>
      <w:r>
        <w:rPr>
          <w:rFonts w:hAnsi="Book Antiqua" w:hint="default"/>
          <w:rtl w:val="0"/>
          <w:lang w:val="it-IT"/>
        </w:rPr>
        <w:t>…</w:t>
      </w:r>
      <w:r>
        <w:rPr>
          <w:rFonts w:ascii="Book Antiqua"/>
          <w:rtl w:val="0"/>
          <w:lang w:val="it-IT"/>
        </w:rPr>
        <w:t>] In questo procedimento il Ministero dell</w:t>
      </w:r>
      <w:r>
        <w:rPr>
          <w:rFonts w:hAnsi="Book Antiqua" w:hint="default"/>
          <w:rtl w:val="0"/>
          <w:lang w:val="it-IT"/>
        </w:rPr>
        <w:t>’</w:t>
      </w:r>
      <w:r>
        <w:rPr>
          <w:rFonts w:ascii="Book Antiqua"/>
          <w:rtl w:val="0"/>
          <w:lang w:val="it-IT"/>
        </w:rPr>
        <w:t xml:space="preserve">ambiente si </w:t>
      </w:r>
      <w:r>
        <w:rPr>
          <w:rFonts w:hAnsi="Book Antiqua" w:hint="default"/>
          <w:rtl w:val="0"/>
          <w:lang w:val="it-IT"/>
        </w:rPr>
        <w:t xml:space="preserve">è </w:t>
      </w:r>
      <w:r>
        <w:rPr>
          <w:rFonts w:ascii="Book Antiqua"/>
          <w:rtl w:val="0"/>
          <w:lang w:val="it-IT"/>
        </w:rPr>
        <w:t>costituito parte civile.</w:t>
      </w:r>
    </w:p>
    <w:p>
      <w:pPr>
        <w:pStyle w:val="Normal"/>
        <w:ind w:left="567" w:right="567" w:firstLine="0"/>
        <w:jc w:val="both"/>
        <w:rPr>
          <w:rFonts w:ascii="Book Antiqua" w:cs="Book Antiqua" w:hAnsi="Book Antiqua" w:eastAsia="Book Antiqua"/>
        </w:rPr>
      </w:pPr>
      <w:r>
        <w:rPr>
          <w:rFonts w:ascii="Book Antiqua"/>
          <w:rtl w:val="0"/>
          <w:lang w:val="it-IT"/>
        </w:rPr>
        <w:t xml:space="preserve">Pende avanti al tribunale monocratico procedimento relativo all'abbandono incontrollato al suolo di rifiuti pericolosi, comprensivi di ingenti quantitativi di eternit frantumato, provenienti dal complesso di fabbrica di eternit denominata ex CEMAMIT nel comune di Ferentino. </w:t>
      </w:r>
    </w:p>
    <w:p>
      <w:pPr>
        <w:pStyle w:val="Normal"/>
        <w:ind w:left="567" w:right="567" w:firstLine="0"/>
        <w:jc w:val="both"/>
        <w:rPr>
          <w:rFonts w:ascii="Book Antiqua" w:cs="Book Antiqua" w:hAnsi="Book Antiqua" w:eastAsia="Book Antiqua"/>
        </w:rPr>
      </w:pPr>
      <w:r>
        <w:rPr>
          <w:rFonts w:ascii="Book Antiqua"/>
          <w:rtl w:val="0"/>
          <w:lang w:val="it-IT"/>
        </w:rPr>
        <w:t>Il procedimento relativo allo smaltimento di rifiuti industriali nel sottosuolo di un terreno destinato ad uso industriale nel comune di Anagni (di propriet</w:t>
      </w:r>
      <w:r>
        <w:rPr>
          <w:rFonts w:hAnsi="Book Antiqua" w:hint="default"/>
          <w:rtl w:val="0"/>
          <w:lang w:val="it-IT"/>
        </w:rPr>
        <w:t xml:space="preserve">à </w:t>
      </w:r>
      <w:r>
        <w:rPr>
          <w:rFonts w:ascii="Book Antiqua"/>
          <w:rtl w:val="0"/>
          <w:lang w:val="it-IT"/>
        </w:rPr>
        <w:t>di una societ</w:t>
      </w:r>
      <w:r>
        <w:rPr>
          <w:rFonts w:hAnsi="Book Antiqua" w:hint="default"/>
          <w:rtl w:val="0"/>
          <w:lang w:val="it-IT"/>
        </w:rPr>
        <w:t xml:space="preserve">à </w:t>
      </w:r>
      <w:r>
        <w:rPr>
          <w:rFonts w:ascii="Book Antiqua"/>
          <w:rtl w:val="0"/>
          <w:lang w:val="it-IT"/>
        </w:rPr>
        <w:t xml:space="preserve">di produzione di medicinali) si </w:t>
      </w:r>
      <w:r>
        <w:rPr>
          <w:rFonts w:hAnsi="Book Antiqua" w:hint="default"/>
          <w:rtl w:val="0"/>
          <w:lang w:val="it-IT"/>
        </w:rPr>
        <w:t xml:space="preserve">è </w:t>
      </w:r>
      <w:r>
        <w:rPr>
          <w:rFonts w:ascii="Book Antiqua"/>
          <w:rtl w:val="0"/>
          <w:lang w:val="it-IT"/>
        </w:rPr>
        <w:t>concluso in data 12.11.2013 con una pronuncia assolutoria, per non avere commesso il fatto, nei confronti del legale rappresentante della societ</w:t>
      </w:r>
      <w:r>
        <w:rPr>
          <w:rFonts w:hAnsi="Book Antiqua" w:hint="default"/>
          <w:rtl w:val="0"/>
          <w:lang w:val="it-IT"/>
        </w:rPr>
        <w:t>à</w:t>
      </w:r>
      <w:r>
        <w:rPr>
          <w:rFonts w:ascii="Book Antiqua"/>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Si trova, infine, nella fase conclusiva delle indagini il procedimento relativo all'abbandono di rifiuti speciali pericolosi (eternit frantumato a seguito del crollo di coperture collassate a seguito delle nevicata del febbraio 2012) nel sito della ex cartiera di Ferentino".</w:t>
      </w:r>
    </w:p>
    <w:p>
      <w:pPr>
        <w:pStyle w:val="Normal"/>
        <w:ind w:left="567" w:right="567" w:firstLine="0"/>
        <w:jc w:val="both"/>
        <w:rPr>
          <w:rFonts w:ascii="Book Antiqua" w:cs="Book Antiqua" w:hAnsi="Book Antiqua" w:eastAsia="Book Antiqua"/>
        </w:rPr>
      </w:pPr>
      <w:r>
        <w:rPr>
          <w:rFonts w:ascii="Book Antiqua"/>
          <w:rtl w:val="0"/>
          <w:lang w:val="it-IT"/>
        </w:rPr>
        <w:t>Si tratta, evidentemente, di fatti non recentissimi, e, tuttavia, rilevanti ai fini di comprendere le problematiche del territorio rispetto alla gestione dei rifiuti e alla depurazione delle acque.</w:t>
      </w:r>
      <w:r>
        <w:rPr>
          <w:rFonts w:ascii="Book Antiqua" w:cs="Book Antiqua" w:hAnsi="Book Antiqua" w:eastAsia="Book Antiqua"/>
          <w:vertAlign w:val="superscript"/>
          <w:rtl w:val="0"/>
        </w:rPr>
        <w:footnoteReference w:id="254"/>
      </w:r>
    </w:p>
    <w:p>
      <w:pPr>
        <w:pStyle w:val="Normal"/>
        <w:ind w:left="567" w:right="567" w:firstLine="0"/>
        <w:jc w:val="both"/>
        <w:rPr>
          <w:rFonts w:ascii="Book Antiqua" w:cs="Book Antiqua" w:hAnsi="Book Antiqua" w:eastAsia="Book Antiqua"/>
        </w:rPr>
      </w:pPr>
      <w:r>
        <w:rPr>
          <w:rFonts w:ascii="Book Antiqua"/>
          <w:rtl w:val="0"/>
          <w:lang w:val="it-IT"/>
        </w:rPr>
        <w:t>La discarica Camponi di Villalatina, in provincia di Frosinone, permane in situazione di infrazione europea, e per essa il consiglio dei ministri, su proposta del ministro dell</w:t>
      </w:r>
      <w:r>
        <w:rPr>
          <w:rFonts w:hAnsi="Book Antiqua" w:hint="default"/>
          <w:rtl w:val="0"/>
          <w:lang w:val="it-IT"/>
        </w:rPr>
        <w:t>’</w:t>
      </w:r>
      <w:r>
        <w:rPr>
          <w:rFonts w:ascii="Book Antiqua"/>
          <w:rtl w:val="0"/>
          <w:lang w:val="it-IT"/>
        </w:rPr>
        <w:t>ambiente ha disposto il commissariamento (unitamente ad altre ventuno discariche) con decreto del 22 novembre 2017.</w:t>
      </w:r>
    </w:p>
    <w:p>
      <w:pPr>
        <w:pStyle w:val="Normal"/>
        <w:ind w:left="567" w:right="567" w:firstLine="0"/>
        <w:jc w:val="both"/>
        <w:rPr>
          <w:rFonts w:ascii="Book Antiqua" w:cs="Book Antiqua" w:hAnsi="Book Antiqua" w:eastAsia="Book Antiqua"/>
        </w:rPr>
      </w:pPr>
      <w:r>
        <w:rPr>
          <w:rFonts w:ascii="Book Antiqua"/>
          <w:rtl w:val="0"/>
          <w:lang w:val="it-IT"/>
        </w:rPr>
        <w:t>La sentenza 2 dicembre 2014 della Corte di giustizia delle Comunit</w:t>
      </w:r>
      <w:r>
        <w:rPr>
          <w:rFonts w:hAnsi="Book Antiqua" w:hint="default"/>
          <w:rtl w:val="0"/>
          <w:lang w:val="it-IT"/>
        </w:rPr>
        <w:t xml:space="preserve">à </w:t>
      </w:r>
      <w:r>
        <w:rPr>
          <w:rFonts w:ascii="Book Antiqua"/>
          <w:rtl w:val="0"/>
          <w:lang w:val="it-IT"/>
        </w:rPr>
        <w:t>europee  aveva dichiarato la non conformit</w:t>
      </w:r>
      <w:r>
        <w:rPr>
          <w:rFonts w:hAnsi="Book Antiqua" w:hint="default"/>
          <w:rtl w:val="0"/>
          <w:lang w:val="it-IT"/>
        </w:rPr>
        <w:t xml:space="preserve">à </w:t>
      </w:r>
      <w:r>
        <w:rPr>
          <w:rFonts w:ascii="Book Antiqua"/>
          <w:rtl w:val="0"/>
          <w:lang w:val="it-IT"/>
        </w:rPr>
        <w:t>di 198 discariche (di cui 16 di rifiuti pericolosi) alle direttive 75/442 e 91/689 (nel Lazio: 21 e 1) e di 2 discariche alla direttiva 99/31.</w:t>
      </w:r>
    </w:p>
    <w:p>
      <w:pPr>
        <w:pStyle w:val="Normal"/>
        <w:ind w:left="567" w:right="567" w:firstLine="0"/>
        <w:jc w:val="both"/>
        <w:rPr>
          <w:rFonts w:ascii="Book Antiqua" w:cs="Book Antiqua" w:hAnsi="Book Antiqua" w:eastAsia="Book Antiqua"/>
        </w:rPr>
      </w:pPr>
      <w:r>
        <w:rPr>
          <w:rFonts w:ascii="Book Antiqua"/>
          <w:rtl w:val="0"/>
          <w:lang w:val="it-IT"/>
        </w:rPr>
        <w:t xml:space="preserve">Dopo il commissariamento stabilito con decreto del consiglio dei ministri del 24 marzo 2017, nel secondo semestre 2017 rimanevano in procedura di infrazione 77 discariche, di cui 6 nel Lazio: Cerreta </w:t>
      </w:r>
      <w:r>
        <w:rPr>
          <w:rFonts w:hAnsi="Book Antiqua" w:hint="default"/>
          <w:rtl w:val="0"/>
          <w:lang w:val="it-IT"/>
        </w:rPr>
        <w:t xml:space="preserve">– </w:t>
      </w:r>
      <w:r>
        <w:rPr>
          <w:rFonts w:ascii="Book Antiqua"/>
          <w:rtl w:val="0"/>
          <w:lang w:val="it-IT"/>
        </w:rPr>
        <w:t xml:space="preserve">Filettina (FR); Camponi </w:t>
      </w:r>
      <w:r>
        <w:rPr>
          <w:rFonts w:hAnsi="Book Antiqua" w:hint="default"/>
          <w:rtl w:val="0"/>
          <w:lang w:val="it-IT"/>
        </w:rPr>
        <w:t xml:space="preserve">– </w:t>
      </w:r>
      <w:r>
        <w:rPr>
          <w:rFonts w:ascii="Book Antiqua"/>
          <w:rtl w:val="0"/>
          <w:lang w:val="it-IT"/>
        </w:rPr>
        <w:t xml:space="preserve">Villalatina (FR); Casette Caponi </w:t>
      </w:r>
      <w:r>
        <w:rPr>
          <w:rFonts w:hAnsi="Book Antiqua" w:hint="default"/>
          <w:rtl w:val="0"/>
          <w:lang w:val="it-IT"/>
        </w:rPr>
        <w:t xml:space="preserve">– </w:t>
      </w:r>
      <w:r>
        <w:rPr>
          <w:rFonts w:ascii="Book Antiqua"/>
          <w:rtl w:val="0"/>
          <w:lang w:val="it-IT"/>
        </w:rPr>
        <w:t xml:space="preserve">Trevi nel Lazio (FR); Carpineto </w:t>
      </w:r>
      <w:r>
        <w:rPr>
          <w:rFonts w:hAnsi="Book Antiqua" w:hint="default"/>
          <w:rtl w:val="0"/>
          <w:lang w:val="it-IT"/>
        </w:rPr>
        <w:t xml:space="preserve">– </w:t>
      </w:r>
      <w:r>
        <w:rPr>
          <w:rFonts w:ascii="Book Antiqua"/>
          <w:rtl w:val="0"/>
          <w:lang w:val="it-IT"/>
        </w:rPr>
        <w:t xml:space="preserve">Trevi nel Lazio (FR); Ara San Baccano </w:t>
      </w:r>
      <w:r>
        <w:rPr>
          <w:rFonts w:hAnsi="Book Antiqua" w:hint="default"/>
          <w:rtl w:val="0"/>
          <w:lang w:val="it-IT"/>
        </w:rPr>
        <w:t xml:space="preserve">– </w:t>
      </w:r>
      <w:r>
        <w:rPr>
          <w:rFonts w:ascii="Book Antiqua"/>
          <w:rtl w:val="0"/>
          <w:lang w:val="it-IT"/>
        </w:rPr>
        <w:t xml:space="preserve">Oriolo Romano (VT); Piana Perina </w:t>
      </w:r>
      <w:r>
        <w:rPr>
          <w:rFonts w:hAnsi="Book Antiqua" w:hint="default"/>
          <w:rtl w:val="0"/>
          <w:lang w:val="it-IT"/>
        </w:rPr>
        <w:t xml:space="preserve">– </w:t>
      </w:r>
      <w:r>
        <w:rPr>
          <w:rFonts w:ascii="Book Antiqua"/>
          <w:rtl w:val="0"/>
          <w:lang w:val="it-IT"/>
        </w:rPr>
        <w:t>Riano (Roma; rifiuti pericolosi)</w:t>
      </w: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i w:val="1"/>
          <w:iCs w:val="1"/>
        </w:rPr>
      </w:pPr>
      <w:r>
        <w:rPr>
          <w:rFonts w:ascii="Book Antiqua"/>
          <w:i w:val="1"/>
          <w:iCs w:val="1"/>
          <w:rtl w:val="0"/>
          <w:lang w:val="it-IT"/>
        </w:rPr>
        <w:t>LATINA</w:t>
      </w: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rPr>
      </w:pPr>
      <w:r>
        <w:rPr>
          <w:rFonts w:ascii="Book Antiqua"/>
          <w:rtl w:val="0"/>
          <w:lang w:val="it-IT"/>
        </w:rPr>
        <w:t xml:space="preserve">La situazione generale della provincia di Latina </w:t>
      </w:r>
      <w:r>
        <w:rPr>
          <w:rFonts w:hAnsi="Book Antiqua" w:hint="default"/>
          <w:rtl w:val="0"/>
          <w:lang w:val="it-IT"/>
        </w:rPr>
        <w:t xml:space="preserve">è </w:t>
      </w:r>
      <w:r>
        <w:rPr>
          <w:rFonts w:ascii="Book Antiqua"/>
          <w:rtl w:val="0"/>
          <w:lang w:val="it-IT"/>
        </w:rPr>
        <w:t>stata efficacemente rappresentata dal prefetto di Latina nella sua ampia nota del 20 febbraio 2017</w:t>
      </w:r>
      <w:r>
        <w:rPr>
          <w:rFonts w:ascii="Book Antiqua" w:cs="Book Antiqua" w:hAnsi="Book Antiqua" w:eastAsia="Book Antiqua"/>
          <w:vertAlign w:val="superscript"/>
          <w:rtl w:val="0"/>
        </w:rPr>
        <w:footnoteReference w:id="255"/>
      </w:r>
      <w:r>
        <w:rPr>
          <w:rFonts w:ascii="Book Antiqua"/>
          <w:rtl w:val="0"/>
          <w:lang w:val="it-IT"/>
        </w:rPr>
        <w:t xml:space="preserve"> - integrata dalla sua audizione del 21 febbraio 2017 </w:t>
      </w:r>
      <w:r>
        <w:rPr>
          <w:rFonts w:hAnsi="Book Antiqua" w:hint="default"/>
          <w:rtl w:val="0"/>
          <w:lang w:val="it-IT"/>
        </w:rPr>
        <w:t xml:space="preserve">– </w:t>
      </w:r>
      <w:r>
        <w:rPr>
          <w:rFonts w:ascii="Book Antiqua"/>
          <w:rtl w:val="0"/>
          <w:lang w:val="it-IT"/>
        </w:rPr>
        <w:t xml:space="preserve">della quale </w:t>
      </w:r>
      <w:r>
        <w:rPr>
          <w:rFonts w:hAnsi="Book Antiqua" w:hint="default"/>
          <w:rtl w:val="0"/>
          <w:lang w:val="it-IT"/>
        </w:rPr>
        <w:t xml:space="preserve">è </w:t>
      </w:r>
      <w:r>
        <w:rPr>
          <w:rFonts w:ascii="Book Antiqua"/>
          <w:rtl w:val="0"/>
          <w:lang w:val="it-IT"/>
        </w:rPr>
        <w:t>utile riportare passaggi testuali:</w:t>
      </w:r>
    </w:p>
    <w:p>
      <w:pPr>
        <w:pStyle w:val="Normal (Web)"/>
        <w:spacing w:before="0" w:after="0"/>
        <w:ind w:left="567" w:right="567" w:firstLine="0"/>
        <w:jc w:val="both"/>
        <w:rPr>
          <w:rFonts w:ascii="Book Antiqua" w:cs="Book Antiqua" w:hAnsi="Book Antiqua" w:eastAsia="Book Antiqua"/>
        </w:rPr>
      </w:pPr>
      <w:r>
        <w:rPr>
          <w:rFonts w:hAnsi="Book Antiqua" w:hint="default"/>
          <w:rtl w:val="0"/>
          <w:lang w:val="it-IT"/>
        </w:rPr>
        <w:t>“</w:t>
      </w:r>
      <w:r>
        <w:rPr>
          <w:rFonts w:ascii="Book Antiqua"/>
          <w:rtl w:val="0"/>
          <w:lang w:val="it-IT"/>
        </w:rPr>
        <w:t>Nell'ultimo censimento generale del 2011 la provincia di Latina ha fatto registrare una popolazione di 544.732 abitanti, con un incremento, rispetto al precedente censimento del 2001, pari a pi</w:t>
      </w:r>
      <w:r>
        <w:rPr>
          <w:rFonts w:hAnsi="Book Antiqua" w:hint="default"/>
          <w:rtl w:val="0"/>
          <w:lang w:val="it-IT"/>
        </w:rPr>
        <w:t>ù</w:t>
      </w:r>
      <w:r>
        <w:rPr>
          <w:rFonts w:ascii="Book Antiqua"/>
          <w:rtl w:val="0"/>
          <w:lang w:val="it-IT"/>
        </w:rPr>
        <w:t xml:space="preserve"> del 10 per cento. La vocazione agricola del territorio pontino fa registrare una massiccia presenza di cittadini stranieri dediti al lavoro stagionale in agricoltura. Gli stranieri regolari presenti, 48.230 al 1</w:t>
      </w:r>
      <w:r>
        <w:rPr>
          <w:rFonts w:hAnsi="Book Antiqua" w:hint="default"/>
          <w:rtl w:val="0"/>
          <w:lang w:val="it-IT"/>
        </w:rPr>
        <w:t xml:space="preserve">° </w:t>
      </w:r>
      <w:r>
        <w:rPr>
          <w:rFonts w:ascii="Book Antiqua"/>
          <w:rtl w:val="0"/>
          <w:lang w:val="it-IT"/>
        </w:rPr>
        <w:t>gennaio 2016 con un incremento di 2481 unit</w:t>
      </w:r>
      <w:r>
        <w:rPr>
          <w:rFonts w:hAnsi="Book Antiqua" w:hint="default"/>
          <w:rtl w:val="0"/>
          <w:lang w:val="it-IT"/>
        </w:rPr>
        <w:t>à</w:t>
      </w:r>
      <w:r>
        <w:rPr>
          <w:rFonts w:ascii="Book Antiqua"/>
          <w:rtl w:val="0"/>
          <w:lang w:val="it-IT"/>
        </w:rPr>
        <w:t xml:space="preserve"> rispetto all'anno precedente, costituiscono circa l</w:t>
      </w:r>
      <w:r>
        <w:rPr>
          <w:rFonts w:hAnsi="Book Antiqua" w:hint="default"/>
          <w:rtl w:val="0"/>
          <w:lang w:val="it-IT"/>
        </w:rPr>
        <w:t>’</w:t>
      </w:r>
      <w:r>
        <w:rPr>
          <w:rFonts w:ascii="Book Antiqua"/>
          <w:rtl w:val="0"/>
          <w:lang w:val="it-IT"/>
        </w:rPr>
        <w:t>8,4 per cento del totale della popolazione residente, che alla stessa data ha fatto registrare 574.226 abitanti. E' da evidenziare che, nel periodo che va da maggio ad ottobre, si registra un consistente aumento della popolazione che raggiunge picchi di circa 2.500.000 persone [</w:t>
      </w:r>
      <w:r>
        <w:rPr>
          <w:rFonts w:hAnsi="Book Antiqua" w:hint="default"/>
          <w:rtl w:val="0"/>
          <w:lang w:val="it-IT"/>
        </w:rPr>
        <w:t>…</w:t>
      </w:r>
      <w:r>
        <w:rPr>
          <w:rFonts w:ascii="Book Antiqua"/>
          <w:rtl w:val="0"/>
          <w:lang w:val="it-IT"/>
        </w:rPr>
        <w:t>].</w:t>
      </w:r>
    </w:p>
    <w:p>
      <w:pPr>
        <w:pStyle w:val="Normal (Web)"/>
        <w:spacing w:before="0" w:after="0"/>
        <w:ind w:left="567" w:right="567" w:firstLine="0"/>
        <w:jc w:val="both"/>
        <w:rPr>
          <w:rFonts w:ascii="Book Antiqua" w:cs="Book Antiqua" w:hAnsi="Book Antiqua" w:eastAsia="Book Antiqua"/>
        </w:rPr>
      </w:pPr>
      <w:r>
        <w:rPr>
          <w:rFonts w:ascii="Book Antiqua"/>
          <w:rtl w:val="0"/>
          <w:lang w:val="it-IT"/>
        </w:rPr>
        <w:t>In tale contesto, il vigente Piano regionale di gestione dei rifiuti prevede che ogni Ambito Territoriale Ottimale (ATO)</w:t>
      </w:r>
      <w:r>
        <w:rPr>
          <w:rFonts w:ascii="Book Antiqua" w:cs="Book Antiqua" w:hAnsi="Book Antiqua" w:eastAsia="Book Antiqua"/>
          <w:vertAlign w:val="superscript"/>
          <w:rtl w:val="0"/>
        </w:rPr>
        <w:footnoteReference w:id="256"/>
      </w:r>
      <w:r>
        <w:rPr>
          <w:rFonts w:ascii="Book Antiqua"/>
          <w:rtl w:val="0"/>
          <w:lang w:val="it-IT"/>
        </w:rPr>
        <w:t xml:space="preserve"> nel quale e</w:t>
      </w:r>
      <w:r>
        <w:rPr>
          <w:rFonts w:hAnsi="Book Antiqua" w:hint="default"/>
          <w:rtl w:val="0"/>
          <w:lang w:val="it-IT"/>
        </w:rPr>
        <w:t xml:space="preserve">̀ </w:t>
      </w:r>
      <w:r>
        <w:rPr>
          <w:rFonts w:ascii="Book Antiqua"/>
          <w:rtl w:val="0"/>
          <w:lang w:val="it-IT"/>
        </w:rPr>
        <w:t>suddiviso il territorio sia autosufficiente per il trattamento dei rifiuti urbani indifferenziati (Trattamento Meccanico Biologico-TMB) e per lo stoccaggio permanente in discarica dei rifiuti che residuano dagli impianti stessi. Le frazioni di rifiuti raccolte separatamente per caratteristiche merceologiche, sono destinate ad essere conferite ad impianti dedicati afferenti al libero mercato.</w:t>
      </w:r>
      <w:r>
        <w:rPr>
          <w:rFonts w:hAnsi="Book Antiqua" w:hint="default"/>
          <w:rtl w:val="0"/>
          <w:lang w:val="it-IT"/>
        </w:rPr>
        <w:t>”</w:t>
      </w:r>
    </w:p>
    <w:p>
      <w:pPr>
        <w:pStyle w:val="Normal (Web)"/>
        <w:spacing w:before="0" w:after="0"/>
        <w:ind w:left="567" w:right="567" w:firstLine="0"/>
        <w:jc w:val="both"/>
        <w:rPr>
          <w:rFonts w:ascii="Book Antiqua" w:cs="Book Antiqua" w:hAnsi="Book Antiqua" w:eastAsia="Book Antiqua"/>
        </w:rPr>
      </w:pPr>
      <w:r>
        <w:rPr>
          <w:rFonts w:ascii="Book Antiqua"/>
          <w:rtl w:val="0"/>
          <w:lang w:val="it-IT"/>
        </w:rPr>
        <w:t xml:space="preserve">Rispetto alla pianificazione regionale, il compendio attualmente dispone del solo impianto di trattamento meccanico biologico di rifiuti urbani (TMB) e speciali, con produzione di CDR con linea separata di smaltimento di rifiuti liquidi, della RIDA Ambiente S.r.l. nel comune di Aprilia, in quanto quello della Ecoambiente di Borgo Montello non </w:t>
      </w:r>
      <w:r>
        <w:rPr>
          <w:rFonts w:hAnsi="Book Antiqua" w:hint="default"/>
          <w:rtl w:val="0"/>
          <w:lang w:val="it-IT"/>
        </w:rPr>
        <w:t>è</w:t>
      </w:r>
      <w:r>
        <w:rPr>
          <w:rFonts w:ascii="Book Antiqua"/>
          <w:rtl w:val="0"/>
          <w:lang w:val="it-IT"/>
        </w:rPr>
        <w:t xml:space="preserve"> stato realizzato; gli invasi delle due discariche per rifiuti speciali non pericolosi in localit</w:t>
      </w:r>
      <w:r>
        <w:rPr>
          <w:rFonts w:hAnsi="Book Antiqua" w:hint="default"/>
          <w:rtl w:val="0"/>
          <w:lang w:val="it-IT"/>
        </w:rPr>
        <w:t>à</w:t>
      </w:r>
      <w:r>
        <w:rPr>
          <w:rFonts w:ascii="Book Antiqua"/>
          <w:rtl w:val="0"/>
          <w:lang w:val="it-IT"/>
        </w:rPr>
        <w:t xml:space="preserve"> Borgo Montello, una della societ</w:t>
      </w:r>
      <w:r>
        <w:rPr>
          <w:rFonts w:hAnsi="Book Antiqua" w:hint="default"/>
          <w:rtl w:val="0"/>
          <w:lang w:val="it-IT"/>
        </w:rPr>
        <w:t>à</w:t>
      </w:r>
      <w:r>
        <w:rPr>
          <w:rFonts w:ascii="Book Antiqua"/>
          <w:rtl w:val="0"/>
          <w:lang w:val="it-IT"/>
        </w:rPr>
        <w:t xml:space="preserve"> IND.ECO S.r.l. e l</w:t>
      </w:r>
      <w:r>
        <w:rPr>
          <w:rFonts w:hAnsi="Book Antiqua" w:hint="default"/>
          <w:rtl w:val="0"/>
          <w:lang w:val="it-IT"/>
        </w:rPr>
        <w:t>’</w:t>
      </w:r>
      <w:r>
        <w:rPr>
          <w:rFonts w:ascii="Book Antiqua"/>
          <w:rtl w:val="0"/>
          <w:lang w:val="it-IT"/>
        </w:rPr>
        <w:t>altra della societ</w:t>
      </w:r>
      <w:r>
        <w:rPr>
          <w:rFonts w:hAnsi="Book Antiqua" w:hint="default"/>
          <w:rtl w:val="0"/>
          <w:lang w:val="it-IT"/>
        </w:rPr>
        <w:t xml:space="preserve">à </w:t>
      </w:r>
      <w:r>
        <w:rPr>
          <w:rFonts w:ascii="Book Antiqua"/>
          <w:rtl w:val="0"/>
          <w:lang w:val="it-IT"/>
        </w:rPr>
        <w:t>Ecoambiente, partecipata dal comune di Latina, hanno ormai esaurito la loro capacit</w:t>
      </w:r>
      <w:r>
        <w:rPr>
          <w:rFonts w:hAnsi="Book Antiqua" w:hint="default"/>
          <w:rtl w:val="0"/>
          <w:lang w:val="it-IT"/>
        </w:rPr>
        <w:t>à</w:t>
      </w:r>
      <w:r>
        <w:rPr>
          <w:rFonts w:ascii="Book Antiqua"/>
          <w:rtl w:val="0"/>
          <w:lang w:val="it-IT"/>
        </w:rPr>
        <w:t xml:space="preserve"> ricettiva: vi sono quattro impianti per il compostaggio delle frazioni organiche, due ad Aprilia, uno a Pontinia ed uno a Sabaudia, in quanto quello della Ecoambiente di Borgo Montello non </w:t>
      </w:r>
      <w:r>
        <w:rPr>
          <w:rFonts w:hAnsi="Book Antiqua" w:hint="default"/>
          <w:rtl w:val="0"/>
          <w:lang w:val="it-IT"/>
        </w:rPr>
        <w:t>è</w:t>
      </w:r>
      <w:r>
        <w:rPr>
          <w:rFonts w:ascii="Book Antiqua"/>
          <w:rtl w:val="0"/>
          <w:lang w:val="it-IT"/>
        </w:rPr>
        <w:t xml:space="preserve"> stato realizzato.</w:t>
      </w:r>
    </w:p>
    <w:p>
      <w:pPr>
        <w:pStyle w:val="Normal (Web)"/>
        <w:spacing w:before="0" w:after="0"/>
        <w:ind w:left="567" w:right="567" w:firstLine="0"/>
        <w:jc w:val="both"/>
        <w:rPr>
          <w:rFonts w:ascii="Book Antiqua" w:cs="Book Antiqua" w:hAnsi="Book Antiqua" w:eastAsia="Book Antiqua"/>
        </w:rPr>
      </w:pPr>
      <w:r>
        <w:rPr>
          <w:rFonts w:hAnsi="Book Antiqua" w:hint="default"/>
          <w:rtl w:val="0"/>
          <w:lang w:val="it-IT"/>
        </w:rPr>
        <w:t>“</w:t>
      </w:r>
      <w:r>
        <w:rPr>
          <w:rFonts w:ascii="Book Antiqua"/>
          <w:rtl w:val="0"/>
          <w:lang w:val="it-IT"/>
        </w:rPr>
        <w:t>Nel 2015 la RIDA Ambiente aveva rappresentato alla regione Lazio la difficolt</w:t>
      </w:r>
      <w:r>
        <w:rPr>
          <w:rFonts w:hAnsi="Book Antiqua" w:hint="default"/>
          <w:rtl w:val="0"/>
          <w:lang w:val="it-IT"/>
        </w:rPr>
        <w:t>à</w:t>
      </w:r>
      <w:r>
        <w:rPr>
          <w:rFonts w:ascii="Book Antiqua"/>
          <w:rtl w:val="0"/>
          <w:lang w:val="it-IT"/>
        </w:rPr>
        <w:t xml:space="preserve"> di sostenere lo stoccaggio temporaneo dei sovvalli dei comuni serviti, per cui aveva richiesto di poterli conferire fuori regione nelle more del citato ampliamento. La regione, in pi</w:t>
      </w:r>
      <w:r>
        <w:rPr>
          <w:rFonts w:hAnsi="Book Antiqua" w:hint="default"/>
          <w:rtl w:val="0"/>
          <w:lang w:val="it-IT"/>
        </w:rPr>
        <w:t>ù</w:t>
      </w:r>
      <w:r>
        <w:rPr>
          <w:rFonts w:ascii="Book Antiqua"/>
          <w:rtl w:val="0"/>
          <w:lang w:val="it-IT"/>
        </w:rPr>
        <w:t xml:space="preserve"> circostanze, nonostante le richieste della R.I.D.A. Ambiente aveva stabilito il divieto di smaltimento fuori Regione. Conseguentemente la predetta societa</w:t>
      </w:r>
      <w:r>
        <w:rPr>
          <w:rFonts w:hAnsi="Book Antiqua" w:hint="default"/>
          <w:rtl w:val="0"/>
          <w:lang w:val="it-IT"/>
        </w:rPr>
        <w:t xml:space="preserve">̀ </w:t>
      </w:r>
      <w:r>
        <w:rPr>
          <w:rFonts w:ascii="Book Antiqua"/>
          <w:rtl w:val="0"/>
          <w:lang w:val="it-IT"/>
        </w:rPr>
        <w:t>impugnava i provvedimento ostativi regionali proponendo ricorso al T.A.R. del Lazio, il quale con sentenza n. 2902/2016 del 07.03.2016 accoglieva il gravame e ordinava alla regione di individuare, entro il termine di 180 gg. dal deposito della decisione, la "rete integrata ed adeguata" di discariche tale da garantire l'obiettivo dell'autosufficienza regionale "in condizioni di parit</w:t>
      </w:r>
      <w:r>
        <w:rPr>
          <w:rFonts w:hAnsi="Book Antiqua" w:hint="default"/>
          <w:rtl w:val="0"/>
          <w:lang w:val="it-IT"/>
        </w:rPr>
        <w:t>à</w:t>
      </w:r>
      <w:r>
        <w:rPr>
          <w:rFonts w:ascii="Book Antiqua"/>
          <w:rtl w:val="0"/>
          <w:lang w:val="it-IT"/>
        </w:rPr>
        <w:t xml:space="preserve"> e non discriminazione nonch</w:t>
      </w:r>
      <w:r>
        <w:rPr>
          <w:rFonts w:hAnsi="Book Antiqua" w:hint="default"/>
          <w:rtl w:val="0"/>
          <w:lang w:val="it-IT"/>
        </w:rPr>
        <w:t>é</w:t>
      </w:r>
      <w:r>
        <w:rPr>
          <w:rFonts w:ascii="Book Antiqua"/>
          <w:rtl w:val="0"/>
          <w:lang w:val="it-IT"/>
        </w:rPr>
        <w:t xml:space="preserve"> di compatibilit</w:t>
      </w:r>
      <w:r>
        <w:rPr>
          <w:rFonts w:hAnsi="Book Antiqua" w:hint="default"/>
          <w:rtl w:val="0"/>
          <w:lang w:val="it-IT"/>
        </w:rPr>
        <w:t>à</w:t>
      </w:r>
      <w:r>
        <w:rPr>
          <w:rFonts w:ascii="Book Antiqua"/>
          <w:rtl w:val="0"/>
          <w:lang w:val="it-IT"/>
        </w:rPr>
        <w:t xml:space="preserve"> economica con la vigente disciplina regionale tariffaria e con i valori indicati in tal senso da vigente piano regionale dei rifiuti". </w:t>
      </w:r>
    </w:p>
    <w:p>
      <w:pPr>
        <w:pStyle w:val="Normal"/>
        <w:ind w:left="567" w:right="567" w:firstLine="0"/>
        <w:jc w:val="both"/>
        <w:rPr>
          <w:rFonts w:ascii="Book Antiqua" w:cs="Book Antiqua" w:hAnsi="Book Antiqua" w:eastAsia="Book Antiqua"/>
        </w:rPr>
      </w:pPr>
      <w:r>
        <w:rPr>
          <w:rFonts w:ascii="Book Antiqua"/>
          <w:rtl w:val="0"/>
          <w:lang w:val="it-IT"/>
        </w:rPr>
        <w:t>Poich</w:t>
      </w:r>
      <w:r>
        <w:rPr>
          <w:rFonts w:hAnsi="Book Antiqua" w:hint="default"/>
          <w:rtl w:val="0"/>
          <w:lang w:val="it-IT"/>
        </w:rPr>
        <w:t>é</w:t>
      </w:r>
      <w:r>
        <w:rPr>
          <w:rFonts w:ascii="Book Antiqua"/>
          <w:rtl w:val="0"/>
          <w:lang w:val="it-IT"/>
        </w:rPr>
        <w:t xml:space="preserve"> la regione Lazio non ottemperava a quanto disposto dalla predetta sentenza, la RIDA Ambiente provvedeva di sua iniziativa al conferimento dei sovvalli presso le sottonotate discariche: </w:t>
      </w:r>
    </w:p>
    <w:p>
      <w:pPr>
        <w:pStyle w:val="Normal"/>
        <w:ind w:left="567" w:right="567" w:firstLine="0"/>
        <w:jc w:val="both"/>
        <w:rPr>
          <w:rFonts w:ascii="Book Antiqua" w:cs="Book Antiqua" w:hAnsi="Book Antiqua" w:eastAsia="Book Antiqua"/>
        </w:rPr>
      </w:pPr>
      <w:r>
        <w:rPr>
          <w:rFonts w:ascii="Book Antiqua"/>
          <w:rtl w:val="0"/>
          <w:lang w:val="it-IT"/>
        </w:rPr>
        <w:t>anno 2016:</w:t>
      </w:r>
    </w:p>
    <w:p>
      <w:pPr>
        <w:pStyle w:val="Normal"/>
        <w:ind w:left="567" w:right="567" w:firstLine="0"/>
        <w:jc w:val="both"/>
        <w:rPr>
          <w:rFonts w:ascii="Book Antiqua" w:cs="Book Antiqua" w:hAnsi="Book Antiqua" w:eastAsia="Book Antiqua"/>
        </w:rPr>
      </w:pPr>
      <w:r>
        <w:rPr>
          <w:rFonts w:ascii="Book Antiqua"/>
          <w:rtl w:val="0"/>
          <w:lang w:val="it-IT"/>
        </w:rPr>
        <w:t>Civitella Paganico (GR) t. 4.508,02;</w:t>
      </w:r>
    </w:p>
    <w:p>
      <w:pPr>
        <w:pStyle w:val="Normal"/>
        <w:ind w:left="567" w:right="567" w:firstLine="0"/>
        <w:jc w:val="both"/>
        <w:rPr>
          <w:rFonts w:ascii="Book Antiqua" w:cs="Book Antiqua" w:hAnsi="Book Antiqua" w:eastAsia="Book Antiqua"/>
        </w:rPr>
      </w:pPr>
      <w:r>
        <w:rPr>
          <w:rFonts w:ascii="Book Antiqua"/>
          <w:rtl w:val="0"/>
          <w:lang w:val="it-IT"/>
        </w:rPr>
        <w:t>Cisa S.p.A. di Massafra (TA) t. 20.945,66;</w:t>
      </w:r>
    </w:p>
    <w:p>
      <w:pPr>
        <w:pStyle w:val="Normal"/>
        <w:ind w:left="567" w:right="567" w:firstLine="0"/>
        <w:jc w:val="both"/>
        <w:rPr>
          <w:rFonts w:ascii="Book Antiqua" w:cs="Book Antiqua" w:hAnsi="Book Antiqua" w:eastAsia="Book Antiqua"/>
        </w:rPr>
      </w:pPr>
      <w:r>
        <w:rPr>
          <w:rFonts w:ascii="Book Antiqua"/>
          <w:rtl w:val="0"/>
          <w:lang w:val="it-IT"/>
        </w:rPr>
        <w:t>Belvedere di Peccioli (PI) t. 41.395,40;</w:t>
      </w:r>
    </w:p>
    <w:p>
      <w:pPr>
        <w:pStyle w:val="Normal"/>
        <w:ind w:left="567" w:right="567" w:firstLine="0"/>
        <w:jc w:val="both"/>
        <w:rPr>
          <w:rFonts w:ascii="Book Antiqua" w:cs="Book Antiqua" w:hAnsi="Book Antiqua" w:eastAsia="Book Antiqua"/>
        </w:rPr>
      </w:pPr>
      <w:r>
        <w:rPr>
          <w:rFonts w:ascii="Book Antiqua"/>
          <w:rtl w:val="0"/>
          <w:lang w:val="it-IT"/>
        </w:rPr>
        <w:t>Lazio Ambiente di Colleferro (RM) t. 95.440,48;</w:t>
      </w:r>
    </w:p>
    <w:p>
      <w:pPr>
        <w:pStyle w:val="Normal"/>
        <w:ind w:left="567" w:right="567" w:firstLine="0"/>
        <w:jc w:val="both"/>
        <w:rPr>
          <w:rFonts w:ascii="Book Antiqua" w:cs="Book Antiqua" w:hAnsi="Book Antiqua" w:eastAsia="Book Antiqua"/>
        </w:rPr>
      </w:pPr>
      <w:r>
        <w:rPr>
          <w:rFonts w:ascii="Book Antiqua"/>
          <w:rtl w:val="0"/>
          <w:lang w:val="it-IT"/>
        </w:rPr>
        <w:t>nel periodo intercorso tra il 1</w:t>
      </w:r>
      <w:r>
        <w:rPr>
          <w:rFonts w:hAnsi="Book Antiqua" w:hint="default"/>
          <w:rtl w:val="0"/>
          <w:lang w:val="it-IT"/>
        </w:rPr>
        <w:t xml:space="preserve">° </w:t>
      </w:r>
      <w:r>
        <w:rPr>
          <w:rFonts w:ascii="Book Antiqua"/>
          <w:rtl w:val="0"/>
          <w:lang w:val="it-IT"/>
        </w:rPr>
        <w:t>gennaio 2017 ed il 31 gennaio 2017:</w:t>
      </w:r>
    </w:p>
    <w:p>
      <w:pPr>
        <w:pStyle w:val="Normal"/>
        <w:ind w:left="567" w:right="567" w:firstLine="0"/>
        <w:jc w:val="both"/>
        <w:rPr>
          <w:rFonts w:ascii="Book Antiqua" w:cs="Book Antiqua" w:hAnsi="Book Antiqua" w:eastAsia="Book Antiqua"/>
        </w:rPr>
      </w:pPr>
      <w:r>
        <w:rPr>
          <w:rFonts w:ascii="Book Antiqua"/>
          <w:rtl w:val="0"/>
          <w:lang w:val="it-IT"/>
        </w:rPr>
        <w:t>Cisa Spa di Massafra t. 522,37;</w:t>
      </w:r>
    </w:p>
    <w:p>
      <w:pPr>
        <w:pStyle w:val="Normal"/>
        <w:ind w:left="567" w:right="567" w:firstLine="0"/>
        <w:jc w:val="both"/>
        <w:rPr>
          <w:rFonts w:ascii="Book Antiqua" w:cs="Book Antiqua" w:hAnsi="Book Antiqua" w:eastAsia="Book Antiqua"/>
        </w:rPr>
      </w:pPr>
      <w:r>
        <w:rPr>
          <w:rFonts w:ascii="Book Antiqua"/>
          <w:rtl w:val="0"/>
          <w:lang w:val="it-IT"/>
        </w:rPr>
        <w:t>Belvedere di Peccioli t. 2076,38;</w:t>
      </w:r>
    </w:p>
    <w:p>
      <w:pPr>
        <w:pStyle w:val="Normal"/>
        <w:ind w:left="567" w:right="567" w:firstLine="0"/>
        <w:jc w:val="both"/>
        <w:rPr>
          <w:rFonts w:ascii="Book Antiqua" w:cs="Book Antiqua" w:hAnsi="Book Antiqua" w:eastAsia="Book Antiqua"/>
        </w:rPr>
      </w:pPr>
      <w:r>
        <w:rPr>
          <w:rFonts w:ascii="Book Antiqua"/>
          <w:rtl w:val="0"/>
          <w:lang w:val="it-IT"/>
        </w:rPr>
        <w:t>Lazio Ambiente di Colleferro t. 4.477,96.</w:t>
      </w:r>
      <w:r>
        <w:rPr>
          <w:rFonts w:hAnsi="Book Antiqua" w:hint="default"/>
          <w:rtl w:val="0"/>
          <w:lang w:val="it-IT"/>
        </w:rPr>
        <w:t>”</w:t>
      </w:r>
    </w:p>
    <w:p>
      <w:pPr>
        <w:pStyle w:val="Normal"/>
        <w:widowControl w:val="0"/>
        <w:ind w:left="567" w:right="567" w:firstLine="0"/>
        <w:jc w:val="both"/>
        <w:rPr>
          <w:rFonts w:ascii="Book Antiqua" w:cs="Book Antiqua" w:hAnsi="Book Antiqua" w:eastAsia="Book Antiqua"/>
        </w:rPr>
      </w:pPr>
    </w:p>
    <w:p>
      <w:pPr>
        <w:pStyle w:val="Normal"/>
        <w:widowControl w:val="0"/>
        <w:ind w:left="567" w:right="567" w:firstLine="0"/>
        <w:jc w:val="both"/>
        <w:rPr>
          <w:rFonts w:ascii="Book Antiqua Bold" w:cs="Book Antiqua Bold" w:hAnsi="Book Antiqua Bold" w:eastAsia="Book Antiqua Bold"/>
          <w:b w:val="1"/>
          <w:bCs w:val="1"/>
          <w:color w:val="262626"/>
          <w:u w:color="262626"/>
        </w:rPr>
      </w:pPr>
      <w:r>
        <w:rPr>
          <w:rFonts w:ascii="Book Antiqua"/>
          <w:rtl w:val="0"/>
          <w:lang w:val="it-IT"/>
        </w:rPr>
        <w:t xml:space="preserve">RIDA Ambiente gestisce </w:t>
      </w:r>
      <w:r>
        <w:rPr>
          <w:rFonts w:ascii="Book Antiqua"/>
          <w:color w:val="262626"/>
          <w:u w:color="262626"/>
          <w:rtl w:val="0"/>
          <w:lang w:val="it-IT"/>
        </w:rPr>
        <w:t>un TBM sito in Campoverde (Aprilia), autorizzato al trattamento di 409.200 tonnellate annue di rifiuti; serve l'ATO di Latina, l'ATO di Colleferro e ha dato supporto anche a Roma Capitale dopo l</w:t>
      </w:r>
      <w:r>
        <w:rPr>
          <w:rFonts w:hAnsi="Book Antiqua" w:hint="default"/>
          <w:color w:val="262626"/>
          <w:u w:color="262626"/>
          <w:rtl w:val="0"/>
          <w:lang w:val="it-IT"/>
        </w:rPr>
        <w:t>’</w:t>
      </w:r>
      <w:r>
        <w:rPr>
          <w:rFonts w:ascii="Book Antiqua"/>
          <w:color w:val="262626"/>
          <w:u w:color="262626"/>
          <w:rtl w:val="0"/>
          <w:lang w:val="it-IT"/>
        </w:rPr>
        <w:t>incendio dell</w:t>
      </w:r>
      <w:r>
        <w:rPr>
          <w:rFonts w:hAnsi="Book Antiqua" w:hint="default"/>
          <w:color w:val="262626"/>
          <w:u w:color="262626"/>
          <w:rtl w:val="0"/>
          <w:lang w:val="it-IT"/>
        </w:rPr>
        <w:t>’</w:t>
      </w:r>
      <w:r>
        <w:rPr>
          <w:rFonts w:ascii="Book Antiqua"/>
          <w:color w:val="262626"/>
          <w:u w:color="262626"/>
          <w:rtl w:val="0"/>
          <w:lang w:val="it-IT"/>
        </w:rPr>
        <w:t>impianto di Pontina Ambiente.</w:t>
      </w:r>
      <w:r>
        <w:rPr>
          <w:rFonts w:ascii="Book Antiqua"/>
          <w:rtl w:val="0"/>
          <w:lang w:val="it-IT"/>
        </w:rPr>
        <w:t xml:space="preserve"> La complessa situazione dell</w:t>
      </w:r>
      <w:r>
        <w:rPr>
          <w:rFonts w:hAnsi="Book Antiqua" w:hint="default"/>
          <w:rtl w:val="0"/>
          <w:lang w:val="it-IT"/>
        </w:rPr>
        <w:t>’</w:t>
      </w:r>
      <w:r>
        <w:rPr>
          <w:rFonts w:ascii="Book Antiqua"/>
          <w:rtl w:val="0"/>
          <w:lang w:val="it-IT"/>
        </w:rPr>
        <w:t>azienda, anche in relazione a diversi contenziosi,</w:t>
      </w:r>
      <w:r>
        <w:rPr>
          <w:rFonts w:hAnsi="Book Antiqua" w:hint="default"/>
          <w:rtl w:val="0"/>
          <w:lang w:val="it-IT"/>
        </w:rPr>
        <w:t xml:space="preserve"> è </w:t>
      </w:r>
      <w:r>
        <w:rPr>
          <w:rFonts w:ascii="Book Antiqua"/>
          <w:rtl w:val="0"/>
          <w:lang w:val="it-IT"/>
        </w:rPr>
        <w:t>stata illustrata alla Commissione in occasione dell</w:t>
      </w:r>
      <w:r>
        <w:rPr>
          <w:rFonts w:hAnsi="Book Antiqua" w:hint="default"/>
          <w:rtl w:val="0"/>
          <w:lang w:val="it-IT"/>
        </w:rPr>
        <w:t>’</w:t>
      </w:r>
      <w:r>
        <w:rPr>
          <w:rFonts w:ascii="Book Antiqua"/>
          <w:rtl w:val="0"/>
          <w:lang w:val="it-IT"/>
        </w:rPr>
        <w:t>audizione di Fabio Altissimi, amministratore unico, il 12 ottobre 2016.</w:t>
      </w:r>
    </w:p>
    <w:p>
      <w:pPr>
        <w:pStyle w:val="Normal"/>
        <w:widowControl w:val="0"/>
        <w:ind w:left="567" w:right="567" w:firstLine="0"/>
        <w:jc w:val="both"/>
        <w:rPr>
          <w:rFonts w:ascii="Book Antiqua Bold" w:cs="Book Antiqua Bold" w:hAnsi="Book Antiqua Bold" w:eastAsia="Book Antiqua Bold"/>
          <w:b w:val="1"/>
          <w:bCs w:val="1"/>
          <w:color w:val="262626"/>
          <w:u w:color="262626"/>
        </w:rPr>
      </w:pPr>
      <w:r>
        <w:rPr>
          <w:rFonts w:ascii="Book Antiqua"/>
          <w:rtl w:val="0"/>
          <w:lang w:val="it-IT"/>
        </w:rPr>
        <w:t xml:space="preserve">Secondo i dati forniti alla prefettura dalla Guardia di finanza, il volume d'affari sviluppato dal sistema di raccolta e trasporto dei rifiuti solidi urbani </w:t>
      </w:r>
      <w:r>
        <w:rPr>
          <w:rFonts w:hAnsi="Book Antiqua" w:hint="default"/>
          <w:rtl w:val="0"/>
          <w:lang w:val="it-IT"/>
        </w:rPr>
        <w:t xml:space="preserve">è </w:t>
      </w:r>
      <w:r>
        <w:rPr>
          <w:rFonts w:ascii="Book Antiqua"/>
          <w:rtl w:val="0"/>
          <w:lang w:val="it-IT"/>
        </w:rPr>
        <w:t>pari a circa 400.000.000 di euro; mentre la quantit</w:t>
      </w:r>
      <w:r>
        <w:rPr>
          <w:rFonts w:hAnsi="Book Antiqua" w:hint="default"/>
          <w:rtl w:val="0"/>
          <w:lang w:val="it-IT"/>
        </w:rPr>
        <w:t xml:space="preserve">à </w:t>
      </w:r>
      <w:r>
        <w:rPr>
          <w:rFonts w:ascii="Book Antiqua"/>
          <w:rtl w:val="0"/>
          <w:lang w:val="it-IT"/>
        </w:rPr>
        <w:t xml:space="preserve">di rifiuti prodotti in provincia nel 2015 </w:t>
      </w:r>
      <w:r>
        <w:rPr>
          <w:rFonts w:hAnsi="Book Antiqua" w:hint="default"/>
          <w:rtl w:val="0"/>
          <w:lang w:val="it-IT"/>
        </w:rPr>
        <w:t xml:space="preserve">è </w:t>
      </w:r>
      <w:r>
        <w:rPr>
          <w:rFonts w:ascii="Book Antiqua"/>
          <w:rtl w:val="0"/>
          <w:lang w:val="it-IT"/>
        </w:rPr>
        <w:t xml:space="preserve">stata pari a 286.464,356 tonnellate, delle quali circa il 36 per cento entra nel circuito della raccolta differenziata. </w:t>
      </w:r>
    </w:p>
    <w:p>
      <w:pPr>
        <w:pStyle w:val="Normal"/>
        <w:ind w:left="567" w:right="567" w:firstLine="0"/>
        <w:jc w:val="both"/>
        <w:rPr>
          <w:rFonts w:ascii="Book Antiqua" w:cs="Book Antiqua" w:hAnsi="Book Antiqua" w:eastAsia="Book Antiqua"/>
        </w:rPr>
      </w:pPr>
      <w:r>
        <w:rPr>
          <w:rFonts w:ascii="Book Antiqua"/>
          <w:rtl w:val="0"/>
          <w:lang w:val="it-IT"/>
        </w:rPr>
        <w:t>Rilevano anche alcune importanti criticit</w:t>
      </w:r>
      <w:r>
        <w:rPr>
          <w:rFonts w:hAnsi="Book Antiqua" w:hint="default"/>
          <w:rtl w:val="0"/>
          <w:lang w:val="it-IT"/>
        </w:rPr>
        <w:t xml:space="preserve">à </w:t>
      </w:r>
      <w:r>
        <w:rPr>
          <w:rFonts w:ascii="Book Antiqua"/>
          <w:rtl w:val="0"/>
          <w:lang w:val="it-IT"/>
        </w:rPr>
        <w:t>aziendali:</w:t>
      </w:r>
    </w:p>
    <w:p>
      <w:pPr>
        <w:pStyle w:val="Normal (Web)"/>
        <w:spacing w:before="0" w:after="0"/>
        <w:ind w:left="567" w:right="567" w:firstLine="0"/>
        <w:jc w:val="both"/>
        <w:rPr>
          <w:rFonts w:ascii="Book Antiqua" w:cs="Book Antiqua" w:hAnsi="Book Antiqua" w:eastAsia="Book Antiqua"/>
        </w:rPr>
      </w:pPr>
      <w:r>
        <w:rPr>
          <w:rFonts w:hAnsi="Book Antiqua" w:hint="default"/>
          <w:rtl w:val="0"/>
          <w:lang w:val="it-IT"/>
        </w:rPr>
        <w:t>“</w:t>
      </w:r>
      <w:r>
        <w:rPr>
          <w:rFonts w:ascii="Book Antiqua"/>
          <w:rtl w:val="0"/>
          <w:lang w:val="it-IT"/>
        </w:rPr>
        <w:t xml:space="preserve">Particolare attenzione riveste la situazione della </w:t>
      </w:r>
      <w:r>
        <w:rPr>
          <w:rFonts w:hAnsi="Book Antiqua" w:hint="default"/>
          <w:rtl w:val="0"/>
          <w:lang w:val="it-IT"/>
        </w:rPr>
        <w:t>‘</w:t>
      </w:r>
      <w:r>
        <w:rPr>
          <w:rFonts w:ascii="Book Antiqua"/>
          <w:rtl w:val="0"/>
          <w:lang w:val="it-IT"/>
        </w:rPr>
        <w:t>Latina Ambiente</w:t>
      </w:r>
      <w:r>
        <w:rPr>
          <w:rFonts w:hAnsi="Book Antiqua" w:hint="default"/>
          <w:rtl w:val="0"/>
          <w:lang w:val="it-IT"/>
        </w:rPr>
        <w:t>’</w:t>
      </w:r>
      <w:r>
        <w:rPr>
          <w:rFonts w:ascii="Book Antiqua"/>
          <w:rtl w:val="0"/>
          <w:lang w:val="it-IT"/>
        </w:rPr>
        <w:t>, di cui il tribunale di Latina il 7 dicembre 2016 ha dichiarato il fallimento, con autorizzazione alla continuazione dell'esercizio provvisorio. Il comune, pertanto, ha prorogato l'affidamento dei servizi di igiene urbana ed igiene edilizia, a favore della Latina Ambiente, nei medesimi termini di cui agli accordi vigenti (gi</w:t>
      </w:r>
      <w:r>
        <w:rPr>
          <w:rFonts w:hAnsi="Book Antiqua" w:hint="default"/>
          <w:rtl w:val="0"/>
          <w:lang w:val="it-IT"/>
        </w:rPr>
        <w:t>à</w:t>
      </w:r>
      <w:r>
        <w:rPr>
          <w:rFonts w:ascii="Book Antiqua"/>
          <w:rtl w:val="0"/>
          <w:lang w:val="it-IT"/>
        </w:rPr>
        <w:t xml:space="preserve"> in scadenza il 31 dicembre 2016), fino alla data del 31 marzo 2017. Nel frattempo sono stati predisposti, a cura del Settore Ambiente del comune, tutti gli atti idonei all'espletamento della gara ad evidenza pubblica per l'affidamento del servizio a soggetto concessionario. Tuttavia l</w:t>
      </w:r>
      <w:r>
        <w:rPr>
          <w:rFonts w:hAnsi="Book Antiqua" w:hint="default"/>
          <w:rtl w:val="0"/>
          <w:lang w:val="it-IT"/>
        </w:rPr>
        <w:t>’</w:t>
      </w:r>
      <w:r>
        <w:rPr>
          <w:rFonts w:ascii="Book Antiqua"/>
          <w:rtl w:val="0"/>
          <w:lang w:val="it-IT"/>
        </w:rPr>
        <w:t>amministrazione, con deliberazione del Consiglio comunale n. 38 dell</w:t>
      </w:r>
      <w:r>
        <w:rPr>
          <w:rFonts w:hAnsi="Book Antiqua" w:hint="default"/>
          <w:rtl w:val="0"/>
          <w:lang w:val="it-IT"/>
        </w:rPr>
        <w:t>’</w:t>
      </w:r>
      <w:r>
        <w:rPr>
          <w:rFonts w:ascii="Book Antiqua"/>
          <w:rtl w:val="0"/>
          <w:lang w:val="it-IT"/>
        </w:rPr>
        <w:t>11 novembre 2016, ha espresso l</w:t>
      </w:r>
      <w:r>
        <w:rPr>
          <w:rFonts w:hAnsi="Book Antiqua" w:hint="default"/>
          <w:rtl w:val="0"/>
          <w:lang w:val="it-IT"/>
        </w:rPr>
        <w:t>’</w:t>
      </w:r>
      <w:r>
        <w:rPr>
          <w:rFonts w:ascii="Book Antiqua"/>
          <w:rtl w:val="0"/>
          <w:lang w:val="it-IT"/>
        </w:rPr>
        <w:t>indirizzo in merito alla costituzione di una societ</w:t>
      </w:r>
      <w:r>
        <w:rPr>
          <w:rFonts w:hAnsi="Book Antiqua" w:hint="default"/>
          <w:rtl w:val="0"/>
          <w:lang w:val="it-IT"/>
        </w:rPr>
        <w:t xml:space="preserve">à </w:t>
      </w:r>
      <w:r>
        <w:rPr>
          <w:rFonts w:ascii="Book Antiqua"/>
          <w:i w:val="1"/>
          <w:iCs w:val="1"/>
          <w:rtl w:val="0"/>
          <w:lang w:val="it-IT"/>
        </w:rPr>
        <w:t>in house</w:t>
      </w:r>
      <w:r>
        <w:rPr>
          <w:rFonts w:ascii="Book Antiqua"/>
          <w:rtl w:val="0"/>
          <w:lang w:val="it-IT"/>
        </w:rPr>
        <w:t xml:space="preserve"> per la gestione dei servizi di igiene urbana e, con decreto sindacale n. 158821 del 16.11.2016, ha conferito l</w:t>
      </w:r>
      <w:r>
        <w:rPr>
          <w:rFonts w:hAnsi="Book Antiqua" w:hint="default"/>
          <w:rtl w:val="0"/>
          <w:lang w:val="it-IT"/>
        </w:rPr>
        <w:t>’</w:t>
      </w:r>
      <w:r>
        <w:rPr>
          <w:rFonts w:ascii="Book Antiqua"/>
          <w:rtl w:val="0"/>
          <w:lang w:val="it-IT"/>
        </w:rPr>
        <w:t>incarico del progetto di studio della fattibilit</w:t>
      </w:r>
      <w:r>
        <w:rPr>
          <w:rFonts w:hAnsi="Book Antiqua" w:hint="default"/>
          <w:rtl w:val="0"/>
          <w:lang w:val="it-IT"/>
        </w:rPr>
        <w:t>à</w:t>
      </w:r>
      <w:r>
        <w:rPr>
          <w:rFonts w:ascii="Book Antiqua"/>
          <w:rtl w:val="0"/>
          <w:lang w:val="it-IT"/>
        </w:rPr>
        <w:t xml:space="preserve">, della realizzazione e della gestione del progetto </w:t>
      </w:r>
      <w:r>
        <w:rPr>
          <w:rFonts w:ascii="Book Antiqua"/>
          <w:i w:val="1"/>
          <w:iCs w:val="1"/>
          <w:rtl w:val="0"/>
          <w:lang w:val="it-IT"/>
        </w:rPr>
        <w:t>de quo</w:t>
      </w:r>
      <w:r>
        <w:rPr>
          <w:rFonts w:ascii="Book Antiqua"/>
          <w:rtl w:val="0"/>
          <w:lang w:val="it-IT"/>
        </w:rPr>
        <w:t xml:space="preserve"> con contestuale istituzione di una unit</w:t>
      </w:r>
      <w:r>
        <w:rPr>
          <w:rFonts w:hAnsi="Book Antiqua" w:hint="default"/>
          <w:rtl w:val="0"/>
          <w:lang w:val="it-IT"/>
        </w:rPr>
        <w:t>à</w:t>
      </w:r>
      <w:r>
        <w:rPr>
          <w:rFonts w:ascii="Book Antiqua"/>
          <w:rtl w:val="0"/>
          <w:lang w:val="it-IT"/>
        </w:rPr>
        <w:t xml:space="preserve"> tecnica di progetto. </w:t>
      </w:r>
    </w:p>
    <w:p>
      <w:pPr>
        <w:pStyle w:val="Normal"/>
        <w:ind w:left="567" w:right="567" w:firstLine="0"/>
        <w:jc w:val="both"/>
        <w:rPr>
          <w:rFonts w:ascii="Book Antiqua" w:cs="Book Antiqua" w:hAnsi="Book Antiqua" w:eastAsia="Book Antiqua"/>
        </w:rPr>
      </w:pPr>
      <w:r>
        <w:rPr>
          <w:rFonts w:ascii="Book Antiqua"/>
          <w:rtl w:val="0"/>
          <w:lang w:val="it-IT"/>
        </w:rPr>
        <w:t>Anche per la Cisterna Ambiente S.p.A., societ</w:t>
      </w:r>
      <w:r>
        <w:rPr>
          <w:rFonts w:hAnsi="Book Antiqua" w:hint="default"/>
          <w:rtl w:val="0"/>
          <w:lang w:val="it-IT"/>
        </w:rPr>
        <w:t>à</w:t>
      </w:r>
      <w:r>
        <w:rPr>
          <w:rFonts w:ascii="Book Antiqua"/>
          <w:rtl w:val="0"/>
          <w:lang w:val="it-IT"/>
        </w:rPr>
        <w:t xml:space="preserve"> mista, per il 51 per cento del comune e per il 49 per cento dell'AMA e della CNS, dal 2001 incaricata di provvedere alla gestione del servizio di raccolta dei rifiuti urbani, si profila la cessazione, in considerazione della decisione assunta dal Consiglio comunale di Cisterna nel 2015 di mettere la societ</w:t>
      </w:r>
      <w:r>
        <w:rPr>
          <w:rFonts w:hAnsi="Book Antiqua" w:hint="default"/>
          <w:rtl w:val="0"/>
          <w:lang w:val="it-IT"/>
        </w:rPr>
        <w:t>à</w:t>
      </w:r>
      <w:r>
        <w:rPr>
          <w:rFonts w:ascii="Book Antiqua"/>
          <w:rtl w:val="0"/>
          <w:lang w:val="it-IT"/>
        </w:rPr>
        <w:t xml:space="preserve"> in liquidazione</w:t>
      </w:r>
      <w:r>
        <w:rPr>
          <w:rFonts w:hAnsi="Book Antiqua" w:hint="default"/>
          <w:rtl w:val="0"/>
          <w:lang w:val="it-IT"/>
        </w:rPr>
        <w:t>”</w:t>
      </w:r>
      <w:r>
        <w:rPr>
          <w:rFonts w:ascii="Book Antiqua"/>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La provincia di Latina si palesa particolarmente sensibile ai fenomeni illeciti nel campo del ciclo dei rifiuti, come il citato documento conferma:</w:t>
      </w:r>
    </w:p>
    <w:p>
      <w:pPr>
        <w:pStyle w:val="Normal (Web)"/>
        <w:spacing w:before="0" w:after="0"/>
        <w:ind w:left="567" w:right="567" w:firstLine="0"/>
        <w:jc w:val="both"/>
        <w:rPr>
          <w:rFonts w:ascii="Book Antiqua" w:cs="Book Antiqua" w:hAnsi="Book Antiqua" w:eastAsia="Book Antiqua"/>
        </w:rPr>
      </w:pPr>
      <w:r>
        <w:rPr>
          <w:rFonts w:hAnsi="Book Antiqua" w:hint="default"/>
          <w:rtl w:val="0"/>
          <w:lang w:val="it-IT"/>
        </w:rPr>
        <w:t>“</w:t>
      </w:r>
      <w:r>
        <w:rPr>
          <w:rFonts w:ascii="Book Antiqua"/>
          <w:rtl w:val="0"/>
          <w:lang w:val="it-IT"/>
        </w:rPr>
        <w:t>La provincia di Latina, sta assumendo, negli ultimi anni, un ruolo sempre pi</w:t>
      </w:r>
      <w:r>
        <w:rPr>
          <w:rFonts w:hAnsi="Book Antiqua" w:hint="default"/>
          <w:rtl w:val="0"/>
          <w:lang w:val="it-IT"/>
        </w:rPr>
        <w:t>ù</w:t>
      </w:r>
      <w:r>
        <w:rPr>
          <w:rFonts w:ascii="Book Antiqua"/>
          <w:rtl w:val="0"/>
          <w:lang w:val="it-IT"/>
        </w:rPr>
        <w:t xml:space="preserve"> significativo in ordine ad alcune criticit</w:t>
      </w:r>
      <w:r>
        <w:rPr>
          <w:rFonts w:hAnsi="Book Antiqua" w:hint="default"/>
          <w:rtl w:val="0"/>
          <w:lang w:val="it-IT"/>
        </w:rPr>
        <w:t xml:space="preserve">à </w:t>
      </w:r>
      <w:r>
        <w:rPr>
          <w:rFonts w:ascii="Book Antiqua"/>
          <w:rtl w:val="0"/>
          <w:lang w:val="it-IT"/>
        </w:rPr>
        <w:t xml:space="preserve">di carattere ambientale, data anche la sua posizione geografica, tra i territori della provincia di Roma e la regione Campania. </w:t>
      </w:r>
    </w:p>
    <w:p>
      <w:pPr>
        <w:pStyle w:val="Normal"/>
        <w:ind w:left="567" w:right="567" w:firstLine="0"/>
        <w:jc w:val="both"/>
        <w:rPr>
          <w:rFonts w:ascii="Book Antiqua" w:cs="Book Antiqua" w:hAnsi="Book Antiqua" w:eastAsia="Book Antiqua"/>
        </w:rPr>
      </w:pPr>
      <w:r>
        <w:rPr>
          <w:rFonts w:ascii="Book Antiqua"/>
          <w:rtl w:val="0"/>
          <w:lang w:val="it-IT"/>
        </w:rPr>
        <w:t>Le forze di polizia pongono sotto attento esame, periodicamente, aziende che svolgono attivit</w:t>
      </w:r>
      <w:r>
        <w:rPr>
          <w:rFonts w:hAnsi="Book Antiqua" w:hint="default"/>
          <w:rtl w:val="0"/>
          <w:lang w:val="it-IT"/>
        </w:rPr>
        <w:t>à</w:t>
      </w:r>
      <w:r>
        <w:rPr>
          <w:rFonts w:ascii="Book Antiqua"/>
          <w:rtl w:val="0"/>
          <w:lang w:val="it-IT"/>
        </w:rPr>
        <w:t xml:space="preserve"> di rottamazione, di veicoli e parti di essi; alcuni di questi controlli sono sfociati in denunce all'Autorit</w:t>
      </w:r>
      <w:r>
        <w:rPr>
          <w:rFonts w:hAnsi="Book Antiqua" w:hint="default"/>
          <w:rtl w:val="0"/>
          <w:lang w:val="it-IT"/>
        </w:rPr>
        <w:t>à</w:t>
      </w:r>
      <w:r>
        <w:rPr>
          <w:rFonts w:ascii="Book Antiqua"/>
          <w:rtl w:val="0"/>
          <w:lang w:val="it-IT"/>
        </w:rPr>
        <w:t xml:space="preserve"> giudiziaria per reati ambientali, in particolare per gestione illecita di rifiuti, ex articolo 256 del decreto legislativo n. 152 del 2006 (testo unico ambientale). In diverse occasioni, a partire in particolare dal 2016, numerosi controlli che hanno condotto a segnalazioni all'A.G., sono confluiti nel cosiddetto sistema delle prescrizioni, ovverossia la procedura [</w:t>
      </w:r>
      <w:r>
        <w:rPr>
          <w:rFonts w:hAnsi="Book Antiqua" w:hint="default"/>
          <w:rtl w:val="0"/>
          <w:lang w:val="it-IT"/>
        </w:rPr>
        <w:t>…</w:t>
      </w:r>
      <w:r>
        <w:rPr>
          <w:rFonts w:ascii="Book Antiqua"/>
          <w:rtl w:val="0"/>
          <w:lang w:val="it-IT"/>
        </w:rPr>
        <w:t xml:space="preserve">] introdotta con la Legge n. 68/2015 in materia di delitti contro l'ambiente. </w:t>
      </w:r>
    </w:p>
    <w:p>
      <w:pPr>
        <w:pStyle w:val="Normal"/>
        <w:ind w:left="567" w:right="567" w:firstLine="0"/>
        <w:jc w:val="both"/>
        <w:rPr>
          <w:rFonts w:ascii="Book Antiqua" w:cs="Book Antiqua" w:hAnsi="Book Antiqua" w:eastAsia="Book Antiqua"/>
        </w:rPr>
      </w:pPr>
      <w:r>
        <w:rPr>
          <w:rFonts w:ascii="Book Antiqua"/>
          <w:rtl w:val="0"/>
          <w:lang w:val="it-IT"/>
        </w:rPr>
        <w:t xml:space="preserve">Un altro settore, nel campo dei rifiuti, che vede una capillare attenzione da parte delle forze di polizia impegnate nella tutela ambientale, </w:t>
      </w:r>
      <w:r>
        <w:rPr>
          <w:rFonts w:hAnsi="Book Antiqua" w:hint="default"/>
          <w:rtl w:val="0"/>
          <w:lang w:val="it-IT"/>
        </w:rPr>
        <w:t>è</w:t>
      </w:r>
      <w:r>
        <w:rPr>
          <w:rFonts w:ascii="Book Antiqua"/>
          <w:rtl w:val="0"/>
          <w:lang w:val="it-IT"/>
        </w:rPr>
        <w:t xml:space="preserve"> quello dello smaltimento/trattamento di rifiuti solidi urbani, e soprattutto il cd. compost, risultato della bio-ossidazione e dell'umificazione di materie organiche. </w:t>
      </w:r>
    </w:p>
    <w:p>
      <w:pPr>
        <w:pStyle w:val="Normal"/>
        <w:ind w:left="567" w:right="567" w:firstLine="0"/>
        <w:jc w:val="both"/>
        <w:rPr>
          <w:rFonts w:ascii="Book Antiqua" w:cs="Book Antiqua" w:hAnsi="Book Antiqua" w:eastAsia="Book Antiqua"/>
        </w:rPr>
      </w:pPr>
      <w:r>
        <w:rPr>
          <w:rFonts w:ascii="Book Antiqua"/>
          <w:rtl w:val="0"/>
          <w:lang w:val="it-IT"/>
        </w:rPr>
        <w:t>Le aziende che operano in tale settore non sono particolarmente numerose in provincia. Per alcune di esse sono state riscontrate notevoli criticit</w:t>
      </w:r>
      <w:r>
        <w:rPr>
          <w:rFonts w:hAnsi="Book Antiqua" w:hint="default"/>
          <w:rtl w:val="0"/>
          <w:lang w:val="it-IT"/>
        </w:rPr>
        <w:t>à</w:t>
      </w:r>
      <w:r>
        <w:rPr>
          <w:rFonts w:ascii="Book Antiqua"/>
          <w:rtl w:val="0"/>
          <w:lang w:val="it-IT"/>
        </w:rPr>
        <w:t xml:space="preserve"> nel trattamento dei rifiuti organici; si sono svolte numerose attivit</w:t>
      </w:r>
      <w:r>
        <w:rPr>
          <w:rFonts w:hAnsi="Book Antiqua" w:hint="default"/>
          <w:rtl w:val="0"/>
          <w:lang w:val="it-IT"/>
        </w:rPr>
        <w:t>à</w:t>
      </w:r>
      <w:r>
        <w:rPr>
          <w:rFonts w:ascii="Book Antiqua"/>
          <w:rtl w:val="0"/>
          <w:lang w:val="it-IT"/>
        </w:rPr>
        <w:t xml:space="preserve"> di controllo sia di carattere investigativo, sia con reiterati accessi alle aziende, collaborazioni con Enti terzi, quali ARPA, e unit</w:t>
      </w:r>
      <w:r>
        <w:rPr>
          <w:rFonts w:hAnsi="Book Antiqua" w:hint="default"/>
          <w:rtl w:val="0"/>
          <w:lang w:val="it-IT"/>
        </w:rPr>
        <w:t>à</w:t>
      </w:r>
      <w:r>
        <w:rPr>
          <w:rFonts w:ascii="Book Antiqua"/>
          <w:rtl w:val="0"/>
          <w:lang w:val="it-IT"/>
        </w:rPr>
        <w:t xml:space="preserve"> di supporto specialistiche nelle indagini scientifiche. Attualmente </w:t>
      </w:r>
      <w:r>
        <w:rPr>
          <w:rFonts w:hAnsi="Book Antiqua" w:hint="default"/>
          <w:rtl w:val="0"/>
          <w:lang w:val="it-IT"/>
        </w:rPr>
        <w:t>è</w:t>
      </w:r>
      <w:r>
        <w:rPr>
          <w:rFonts w:ascii="Book Antiqua"/>
          <w:rtl w:val="0"/>
          <w:lang w:val="it-IT"/>
        </w:rPr>
        <w:t xml:space="preserve"> incardinato, oltre ad altri procedimenti penali presso la procura di Latina, anche un procedimento penale, presso la Direzione distrettuale antimafia di Roma, con ipotesi di reato di attivit</w:t>
      </w:r>
      <w:r>
        <w:rPr>
          <w:rFonts w:hAnsi="Book Antiqua" w:hint="default"/>
          <w:rtl w:val="0"/>
          <w:lang w:val="it-IT"/>
        </w:rPr>
        <w:t>à</w:t>
      </w:r>
      <w:r>
        <w:rPr>
          <w:rFonts w:ascii="Book Antiqua"/>
          <w:rtl w:val="0"/>
          <w:lang w:val="it-IT"/>
        </w:rPr>
        <w:t xml:space="preserve"> organizzata di traffico illecito di rifiuti disciplinato dall'articolo 260 decreto legislativo n. 152 del 2006 (p.p. 3940/2014). </w:t>
      </w:r>
    </w:p>
    <w:p>
      <w:pPr>
        <w:pStyle w:val="Normal (Web)"/>
        <w:spacing w:before="0" w:after="0"/>
        <w:ind w:left="567" w:right="567" w:firstLine="0"/>
        <w:jc w:val="both"/>
        <w:rPr>
          <w:rFonts w:ascii="Book Antiqua" w:cs="Book Antiqua" w:hAnsi="Book Antiqua" w:eastAsia="Book Antiqua"/>
        </w:rPr>
      </w:pPr>
      <w:r>
        <w:rPr>
          <w:rFonts w:ascii="Book Antiqua"/>
          <w:rtl w:val="0"/>
          <w:lang w:val="it-IT"/>
        </w:rPr>
        <w:t>Nel gennaio [2017] la D.D.A. di Roma ha ipotizzato un traffico organizzato di rifiuti in cui sarebbero coinvolte diverse aziende di trattamento, che conferivano rifiuti pericolosi in una discarica di Frosinone nella quale potevano invece essere smaltiti solo rifiuti non pericolosi. Le investigazioni, supportate da una cospicua attivit</w:t>
      </w:r>
      <w:r>
        <w:rPr>
          <w:rFonts w:hAnsi="Book Antiqua" w:hint="default"/>
          <w:rtl w:val="0"/>
          <w:lang w:val="it-IT"/>
        </w:rPr>
        <w:t>à</w:t>
      </w:r>
      <w:r>
        <w:rPr>
          <w:rFonts w:ascii="Book Antiqua"/>
          <w:rtl w:val="0"/>
          <w:lang w:val="it-IT"/>
        </w:rPr>
        <w:t xml:space="preserve"> tecnica, hanno coinvolto aziende operanti nelle province di Frosinone, Roma e Latina. In questa provincia le aziende coinvolte sono state la Centro Servizi Ambientali (CSA) S.r.l. di Castelforte e la Refecta S.r.l. di Cisterna di Latina, entrambe operanti nel trattamento dei rifiuti, le quali, nel biennio 2014-15, avrebbero conferito ad una azienda di Frosinone significativi quantitativi di rifiuti pericolosi declassificandoli in non pericolosi, con la complicit</w:t>
      </w:r>
      <w:r>
        <w:rPr>
          <w:rFonts w:hAnsi="Book Antiqua" w:hint="default"/>
          <w:rtl w:val="0"/>
          <w:lang w:val="it-IT"/>
        </w:rPr>
        <w:t>à</w:t>
      </w:r>
      <w:r>
        <w:rPr>
          <w:rFonts w:ascii="Book Antiqua"/>
          <w:rtl w:val="0"/>
          <w:lang w:val="it-IT"/>
        </w:rPr>
        <w:t xml:space="preserve"> di diversi laboratori di analisi chimica. </w:t>
      </w:r>
    </w:p>
    <w:p>
      <w:pPr>
        <w:pStyle w:val="Normal"/>
        <w:ind w:left="567" w:right="567" w:firstLine="0"/>
        <w:jc w:val="both"/>
        <w:rPr>
          <w:rFonts w:ascii="Book Antiqua" w:cs="Book Antiqua" w:hAnsi="Book Antiqua" w:eastAsia="Book Antiqua"/>
        </w:rPr>
      </w:pPr>
      <w:r>
        <w:rPr>
          <w:rFonts w:ascii="Book Antiqua"/>
          <w:rtl w:val="0"/>
          <w:lang w:val="it-IT"/>
        </w:rPr>
        <w:t>Anche nell'attivit</w:t>
      </w:r>
      <w:r>
        <w:rPr>
          <w:rFonts w:hAnsi="Book Antiqua" w:hint="default"/>
          <w:rtl w:val="0"/>
          <w:lang w:val="it-IT"/>
        </w:rPr>
        <w:t>à</w:t>
      </w:r>
      <w:r>
        <w:rPr>
          <w:rFonts w:ascii="Book Antiqua"/>
          <w:rtl w:val="0"/>
          <w:lang w:val="it-IT"/>
        </w:rPr>
        <w:t xml:space="preserve"> di recupero di rifiuti si assiste al proliferare di aziende che operano in regime di cd. procedura semplificata (articoli 214-216 decreto legislativo n. 152 del 2006). Al riguardo le forze di polizia hanno evidenziato che, sulla base di diversi monitoraggi e successive ricognizioni, sono emerse, per questa tipologia di aziende, diffuse criticit</w:t>
      </w:r>
      <w:r>
        <w:rPr>
          <w:rFonts w:hAnsi="Book Antiqua" w:hint="default"/>
          <w:rtl w:val="0"/>
          <w:lang w:val="it-IT"/>
        </w:rPr>
        <w:t xml:space="preserve">à </w:t>
      </w:r>
      <w:r>
        <w:rPr>
          <w:rFonts w:ascii="Book Antiqua"/>
          <w:rtl w:val="0"/>
          <w:lang w:val="it-IT"/>
        </w:rPr>
        <w:t>sotto il profilo dell</w:t>
      </w:r>
      <w:r>
        <w:rPr>
          <w:rFonts w:hAnsi="Book Antiqua" w:hint="default"/>
          <w:rtl w:val="0"/>
          <w:lang w:val="it-IT"/>
        </w:rPr>
        <w:t>’</w:t>
      </w:r>
      <w:r>
        <w:rPr>
          <w:rFonts w:ascii="Book Antiqua"/>
          <w:rtl w:val="0"/>
          <w:lang w:val="it-IT"/>
        </w:rPr>
        <w:t>osservanza delle disposizioni ambientali. In particolare si assiste ad un significativo incremento sul territorio provinciale di aziende che trattano i rifiuti, o che hanno chiesto le autorizzazioni di rito per impiantarne di nuove, talvolta con capacit</w:t>
      </w:r>
      <w:r>
        <w:rPr>
          <w:rFonts w:hAnsi="Book Antiqua" w:hint="default"/>
          <w:rtl w:val="0"/>
          <w:lang w:val="it-IT"/>
        </w:rPr>
        <w:t>à</w:t>
      </w:r>
      <w:r>
        <w:rPr>
          <w:rFonts w:ascii="Book Antiqua"/>
          <w:rtl w:val="0"/>
          <w:lang w:val="it-IT"/>
        </w:rPr>
        <w:t xml:space="preserve"> di lavorazione superiori alle attuali esigenze della provincia, segno evidente che il territorio viene individuato, a torto o a ragione, potenzialmente caratterizzato da possibili sviluppi in questo specifico settore. </w:t>
      </w:r>
    </w:p>
    <w:p>
      <w:pPr>
        <w:pStyle w:val="Normal"/>
        <w:ind w:left="567" w:right="567" w:firstLine="0"/>
        <w:jc w:val="both"/>
        <w:rPr>
          <w:rFonts w:ascii="Book Antiqua" w:cs="Book Antiqua" w:hAnsi="Book Antiqua" w:eastAsia="Book Antiqua"/>
        </w:rPr>
      </w:pPr>
      <w:r>
        <w:rPr>
          <w:rFonts w:ascii="Book Antiqua"/>
          <w:rtl w:val="0"/>
          <w:lang w:val="it-IT"/>
        </w:rPr>
        <w:t>Nel territorio provinciale insistono altres</w:t>
      </w:r>
      <w:r>
        <w:rPr>
          <w:rFonts w:hAnsi="Book Antiqua" w:hint="default"/>
          <w:rtl w:val="0"/>
          <w:lang w:val="it-IT"/>
        </w:rPr>
        <w:t>ì</w:t>
      </w:r>
      <w:r>
        <w:rPr>
          <w:rFonts w:ascii="Book Antiqua"/>
          <w:rtl w:val="0"/>
          <w:lang w:val="it-IT"/>
        </w:rPr>
        <w:t xml:space="preserve"> aziende che trattano rifiuti di apparecchiature elettriche ed elettroniche (RAEE). Le attivit</w:t>
      </w:r>
      <w:r>
        <w:rPr>
          <w:rFonts w:hAnsi="Book Antiqua" w:hint="default"/>
          <w:rtl w:val="0"/>
          <w:lang w:val="it-IT"/>
        </w:rPr>
        <w:t>à</w:t>
      </w:r>
      <w:r>
        <w:rPr>
          <w:rFonts w:ascii="Book Antiqua"/>
          <w:rtl w:val="0"/>
          <w:lang w:val="it-IT"/>
        </w:rPr>
        <w:t xml:space="preserve"> di controllo hanno riguardato sia i soggetti che, nell</w:t>
      </w:r>
      <w:r>
        <w:rPr>
          <w:rFonts w:hAnsi="Book Antiqua" w:hint="default"/>
          <w:rtl w:val="0"/>
          <w:lang w:val="it-IT"/>
        </w:rPr>
        <w:t>’</w:t>
      </w:r>
      <w:r>
        <w:rPr>
          <w:rFonts w:ascii="Book Antiqua"/>
          <w:rtl w:val="0"/>
          <w:lang w:val="it-IT"/>
        </w:rPr>
        <w:t xml:space="preserve">ambito della raccolta e trasporto di tali rifiuti, non rispettano la normativa di settore, con contestazioni di gestione illecita oltre che di numerose fattispecie di violazioni amministrative (specie i distributori al dettaglio, anche comunque importanti centri di elettronica di rilevanza nazionale) sia una ricognizione dei centri di raccolta comunali, i quali, spesso attraverso le aziende municipalizzate, effettuano la raccolta di rifiuti elettrici ed elettronici domestici, sia dai privati che dalle ditte, per poi destinarle a recupero o smaltimento, attraverso convenzioni con sistemi collettivi (cd. consorzi). </w:t>
      </w:r>
    </w:p>
    <w:p>
      <w:pPr>
        <w:pStyle w:val="Normal"/>
        <w:ind w:left="567" w:right="567" w:firstLine="0"/>
        <w:jc w:val="both"/>
        <w:rPr>
          <w:rFonts w:ascii="Book Antiqua" w:cs="Book Antiqua" w:hAnsi="Book Antiqua" w:eastAsia="Book Antiqua"/>
        </w:rPr>
      </w:pPr>
      <w:r>
        <w:rPr>
          <w:rFonts w:ascii="Book Antiqua"/>
          <w:rtl w:val="0"/>
          <w:lang w:val="it-IT"/>
        </w:rPr>
        <w:t xml:space="preserve">Altro fenomeno segnalato dalle forze di polizia di tutela ambientale </w:t>
      </w:r>
      <w:r>
        <w:rPr>
          <w:rFonts w:hAnsi="Book Antiqua" w:hint="default"/>
          <w:rtl w:val="0"/>
          <w:lang w:val="it-IT"/>
        </w:rPr>
        <w:t>è</w:t>
      </w:r>
      <w:r>
        <w:rPr>
          <w:rFonts w:ascii="Book Antiqua"/>
          <w:rtl w:val="0"/>
          <w:lang w:val="it-IT"/>
        </w:rPr>
        <w:t xml:space="preserve"> quello relativo al traffico illecito di rifiuti transfrontaliero. </w:t>
      </w:r>
    </w:p>
    <w:p>
      <w:pPr>
        <w:pStyle w:val="Normal"/>
        <w:ind w:left="567" w:right="567" w:firstLine="0"/>
        <w:jc w:val="both"/>
        <w:rPr>
          <w:rFonts w:ascii="Book Antiqua" w:cs="Book Antiqua" w:hAnsi="Book Antiqua" w:eastAsia="Book Antiqua"/>
        </w:rPr>
      </w:pPr>
      <w:r>
        <w:rPr>
          <w:rFonts w:ascii="Book Antiqua"/>
          <w:rtl w:val="0"/>
          <w:lang w:val="it-IT"/>
        </w:rPr>
        <w:t xml:space="preserve">In particolare, in molti casi intermediari o aziende, spesso riconducibili a </w:t>
      </w:r>
      <w:r>
        <w:rPr>
          <w:rFonts w:ascii="Book Antiqua"/>
          <w:i w:val="1"/>
          <w:iCs w:val="1"/>
          <w:rtl w:val="0"/>
          <w:lang w:val="it-IT"/>
        </w:rPr>
        <w:t>brokers</w:t>
      </w:r>
      <w:r>
        <w:rPr>
          <w:rFonts w:ascii="Book Antiqua"/>
          <w:rtl w:val="0"/>
          <w:lang w:val="it-IT"/>
        </w:rPr>
        <w:t xml:space="preserve"> di nazionalit</w:t>
      </w:r>
      <w:r>
        <w:rPr>
          <w:rFonts w:hAnsi="Book Antiqua" w:hint="default"/>
          <w:rtl w:val="0"/>
          <w:lang w:val="it-IT"/>
        </w:rPr>
        <w:t>à</w:t>
      </w:r>
      <w:r>
        <w:rPr>
          <w:rFonts w:ascii="Book Antiqua"/>
          <w:rtl w:val="0"/>
          <w:lang w:val="it-IT"/>
        </w:rPr>
        <w:t xml:space="preserve"> estera, per eludere gli adempimenti necessari a dimostrare la tracciabilit</w:t>
      </w:r>
      <w:r>
        <w:rPr>
          <w:rFonts w:hAnsi="Book Antiqua" w:hint="default"/>
          <w:rtl w:val="0"/>
          <w:lang w:val="it-IT"/>
        </w:rPr>
        <w:t>à</w:t>
      </w:r>
      <w:r>
        <w:rPr>
          <w:rFonts w:ascii="Book Antiqua"/>
          <w:rtl w:val="0"/>
          <w:lang w:val="it-IT"/>
        </w:rPr>
        <w:t xml:space="preserve"> del rifiuto e i conseguenti controlli ambientali, attestano che lo stesso sia un bene usato, destinato all'esportazione in paesi in via di sviluppo. Al riguardo, </w:t>
      </w:r>
      <w:r>
        <w:rPr>
          <w:rFonts w:hAnsi="Book Antiqua" w:hint="default"/>
          <w:rtl w:val="0"/>
          <w:lang w:val="it-IT"/>
        </w:rPr>
        <w:t>è</w:t>
      </w:r>
      <w:r>
        <w:rPr>
          <w:rFonts w:ascii="Book Antiqua"/>
          <w:rtl w:val="0"/>
          <w:lang w:val="it-IT"/>
        </w:rPr>
        <w:t xml:space="preserve"> stata intensificata la collaborazione con l'Agenzia delle Dogane e dei Monopoli, per eventuali transiti di carichi sospetti dal porto di Gaeta</w:t>
      </w:r>
      <w:r>
        <w:rPr>
          <w:rFonts w:hAnsi="Book Antiqua" w:hint="default"/>
          <w:rtl w:val="0"/>
          <w:lang w:val="it-IT"/>
        </w:rPr>
        <w:t>”</w:t>
      </w:r>
      <w:r>
        <w:rPr>
          <w:rFonts w:ascii="Book Antiqua" w:cs="Book Antiqua" w:hAnsi="Book Antiqua" w:eastAsia="Book Antiqua"/>
          <w:vertAlign w:val="superscript"/>
          <w:rtl w:val="0"/>
        </w:rPr>
        <w:footnoteReference w:id="257"/>
      </w:r>
      <w:r>
        <w:rPr>
          <w:rFonts w:ascii="Book Antiqua"/>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Le polizia giudiziarie stanno altres</w:t>
      </w:r>
      <w:r>
        <w:rPr>
          <w:rFonts w:hAnsi="Book Antiqua" w:hint="default"/>
          <w:rtl w:val="0"/>
          <w:lang w:val="it-IT"/>
        </w:rPr>
        <w:t xml:space="preserve">ì </w:t>
      </w:r>
      <w:r>
        <w:rPr>
          <w:rFonts w:ascii="Book Antiqua"/>
          <w:rtl w:val="0"/>
          <w:lang w:val="it-IT"/>
        </w:rPr>
        <w:t>conducendo indagini che traggono origine da episodi qualificabili come intimidatori di operatori del settore</w:t>
      </w:r>
      <w:r>
        <w:rPr>
          <w:rFonts w:ascii="Book Antiqua" w:cs="Book Antiqua" w:hAnsi="Book Antiqua" w:eastAsia="Book Antiqua"/>
          <w:vertAlign w:val="superscript"/>
          <w:rtl w:val="0"/>
        </w:rPr>
        <w:footnoteReference w:id="258"/>
      </w:r>
      <w:r>
        <w:rPr>
          <w:rFonts w:ascii="Book Antiqua"/>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 xml:space="preserve">Dal canto suo, il Questore di Latina, nella audizione del 21 febbraio 2017, aggiungeva che </w:t>
      </w:r>
      <w:r>
        <w:rPr>
          <w:rFonts w:ascii="Book Antiqua"/>
          <w:i w:val="1"/>
          <w:iCs w:val="1"/>
          <w:rtl w:val="0"/>
          <w:lang w:val="it-IT"/>
        </w:rPr>
        <w:t>"</w:t>
      </w:r>
      <w:r>
        <w:rPr>
          <w:rFonts w:ascii="Book Antiqua"/>
          <w:rtl w:val="0"/>
          <w:lang w:val="it-IT"/>
        </w:rPr>
        <w:t xml:space="preserve">bisogna capire che l'area del nord della provincia, quella che si sviluppa tra Borgo San Michele e soprattutto Borgo Montello, ha una vocazione storica per l'interramento dei rifiuti. L'area si chiama </w:t>
      </w:r>
      <w:r>
        <w:rPr>
          <w:rFonts w:hAnsi="Book Antiqua" w:hint="default"/>
          <w:rtl w:val="0"/>
          <w:lang w:val="it-IT"/>
        </w:rPr>
        <w:t>‘</w:t>
      </w:r>
      <w:r>
        <w:rPr>
          <w:rFonts w:ascii="Book Antiqua"/>
          <w:rtl w:val="0"/>
          <w:lang w:val="it-IT"/>
        </w:rPr>
        <w:t>Le ferriere</w:t>
      </w:r>
      <w:r>
        <w:rPr>
          <w:rFonts w:hAnsi="Book Antiqua" w:hint="default"/>
          <w:rtl w:val="0"/>
          <w:lang w:val="it-IT"/>
        </w:rPr>
        <w:t>’</w:t>
      </w:r>
      <w:r>
        <w:rPr>
          <w:rFonts w:ascii="Book Antiqua"/>
          <w:rtl w:val="0"/>
          <w:lang w:val="it-IT"/>
        </w:rPr>
        <w:t xml:space="preserve"> perch</w:t>
      </w:r>
      <w:r>
        <w:rPr>
          <w:rFonts w:hAnsi="Book Antiqua" w:hint="default"/>
          <w:rtl w:val="0"/>
          <w:lang w:val="it-IT"/>
        </w:rPr>
        <w:t xml:space="preserve">é </w:t>
      </w:r>
      <w:r>
        <w:rPr>
          <w:rFonts w:ascii="Book Antiqua"/>
          <w:rtl w:val="0"/>
          <w:lang w:val="it-IT"/>
        </w:rPr>
        <w:t>fin dal XVII secolo c'era un'attivit</w:t>
      </w:r>
      <w:r>
        <w:rPr>
          <w:rFonts w:hAnsi="Book Antiqua" w:hint="default"/>
          <w:rtl w:val="0"/>
          <w:lang w:val="it-IT"/>
        </w:rPr>
        <w:t xml:space="preserve">à </w:t>
      </w:r>
      <w:r>
        <w:rPr>
          <w:rFonts w:ascii="Book Antiqua"/>
          <w:rtl w:val="0"/>
          <w:lang w:val="it-IT"/>
        </w:rPr>
        <w:t>di escavazione, quindi sono vere e proprie cave (la localit</w:t>
      </w:r>
      <w:r>
        <w:rPr>
          <w:rFonts w:hAnsi="Book Antiqua" w:hint="default"/>
          <w:rtl w:val="0"/>
          <w:lang w:val="it-IT"/>
        </w:rPr>
        <w:t xml:space="preserve">à </w:t>
      </w:r>
      <w:r>
        <w:rPr>
          <w:rFonts w:ascii="Book Antiqua"/>
          <w:rtl w:val="0"/>
          <w:lang w:val="it-IT"/>
        </w:rPr>
        <w:t>che oggi si chiama Borgo Montello era la vecchia conca) per estrarre il ferro; con il passare dei secoli si sono formate delle conche naturali, delle cave che sembravano quasi invitare chi volesse fare affari. C'</w:t>
      </w:r>
      <w:r>
        <w:rPr>
          <w:rFonts w:hAnsi="Book Antiqua" w:hint="default"/>
          <w:rtl w:val="0"/>
          <w:lang w:val="it-IT"/>
        </w:rPr>
        <w:t xml:space="preserve">è </w:t>
      </w:r>
      <w:r>
        <w:rPr>
          <w:rFonts w:ascii="Book Antiqua"/>
          <w:rtl w:val="0"/>
          <w:lang w:val="it-IT"/>
        </w:rPr>
        <w:t xml:space="preserve">anche una situazione geologica particolare: quest'area appartiene ad un'area di terra emersa dove per secoli intorno c'era la palude, che </w:t>
      </w:r>
      <w:r>
        <w:rPr>
          <w:rFonts w:hAnsi="Book Antiqua" w:hint="default"/>
          <w:rtl w:val="0"/>
          <w:lang w:val="it-IT"/>
        </w:rPr>
        <w:t xml:space="preserve">è </w:t>
      </w:r>
      <w:r>
        <w:rPr>
          <w:rFonts w:ascii="Book Antiqua"/>
          <w:rtl w:val="0"/>
          <w:lang w:val="it-IT"/>
        </w:rPr>
        <w:t xml:space="preserve">un terreno che ha forti infiltrazioni di falde acquifere, quindi poco si presta allo stoccaggio dei rifiuti. Tenete presente che, essendo palude, era disabitata, mentre questa </w:t>
      </w:r>
      <w:r>
        <w:rPr>
          <w:rFonts w:hAnsi="Book Antiqua" w:hint="default"/>
          <w:rtl w:val="0"/>
          <w:lang w:val="it-IT"/>
        </w:rPr>
        <w:t xml:space="preserve">è </w:t>
      </w:r>
      <w:r>
        <w:rPr>
          <w:rFonts w:ascii="Book Antiqua"/>
          <w:rtl w:val="0"/>
          <w:lang w:val="it-IT"/>
        </w:rPr>
        <w:t xml:space="preserve">l'unica area emersa ed </w:t>
      </w:r>
      <w:r>
        <w:rPr>
          <w:rFonts w:hAnsi="Book Antiqua" w:hint="default"/>
          <w:rtl w:val="0"/>
          <w:lang w:val="it-IT"/>
        </w:rPr>
        <w:t xml:space="preserve">è </w:t>
      </w:r>
      <w:r>
        <w:rPr>
          <w:rFonts w:ascii="Book Antiqua"/>
          <w:rtl w:val="0"/>
          <w:lang w:val="it-IT"/>
        </w:rPr>
        <w:t>destinata alla produzione vinicola. Gli interessi della camorra nella zona sono essenzialmente dovuti ad alcune dichiarazioni che abbiamo riscontrato nell'attivit</w:t>
      </w:r>
      <w:r>
        <w:rPr>
          <w:rFonts w:hAnsi="Book Antiqua" w:hint="default"/>
          <w:rtl w:val="0"/>
          <w:lang w:val="it-IT"/>
        </w:rPr>
        <w:t xml:space="preserve">à </w:t>
      </w:r>
      <w:r>
        <w:rPr>
          <w:rFonts w:ascii="Book Antiqua"/>
          <w:rtl w:val="0"/>
          <w:lang w:val="it-IT"/>
        </w:rPr>
        <w:t>di polizia giudiziaria dovuta a collaboratori di giustizia del clan dei Casalesi".</w:t>
      </w:r>
      <w:r>
        <w:rPr>
          <w:rFonts w:ascii="Book Antiqua" w:cs="Book Antiqua" w:hAnsi="Book Antiqua" w:eastAsia="Book Antiqua"/>
          <w:vertAlign w:val="superscript"/>
          <w:rtl w:val="0"/>
        </w:rPr>
        <w:footnoteReference w:id="259"/>
      </w:r>
    </w:p>
    <w:p>
      <w:pPr>
        <w:pStyle w:val="Normal"/>
        <w:ind w:left="567" w:right="567" w:firstLine="0"/>
        <w:jc w:val="both"/>
        <w:rPr>
          <w:rFonts w:ascii="Book Antiqua" w:cs="Book Antiqua" w:hAnsi="Book Antiqua" w:eastAsia="Book Antiqua"/>
        </w:rPr>
      </w:pPr>
      <w:r>
        <w:rPr>
          <w:rFonts w:ascii="Book Antiqua"/>
          <w:rtl w:val="0"/>
          <w:lang w:val="it-IT"/>
        </w:rPr>
        <w:t>Sotto il profilo pi</w:t>
      </w:r>
      <w:r>
        <w:rPr>
          <w:rFonts w:hAnsi="Book Antiqua" w:hint="default"/>
          <w:rtl w:val="0"/>
          <w:lang w:val="it-IT"/>
        </w:rPr>
        <w:t xml:space="preserve">ù </w:t>
      </w:r>
      <w:r>
        <w:rPr>
          <w:rFonts w:ascii="Book Antiqua"/>
          <w:rtl w:val="0"/>
          <w:lang w:val="it-IT"/>
        </w:rPr>
        <w:t xml:space="preserve">specificamente giudiziario, il procuratore della Repubblica di Latina, Andrea De Gasperis, nella audizione del 21 febbraio 2017, oltre alla vicenda della discarica di Borgo Montello, ha evidenziato la presenza di alcune discariche abusive risalenti nel tempo e in fase di bonifica, precisando che "praticamente la maggioranza dei reati ambientali sono reati </w:t>
      </w:r>
      <w:r>
        <w:rPr>
          <w:rFonts w:hAnsi="Book Antiqua" w:hint="default"/>
          <w:rtl w:val="0"/>
          <w:lang w:val="it-IT"/>
        </w:rPr>
        <w:t>«</w:t>
      </w:r>
      <w:r>
        <w:rPr>
          <w:rFonts w:ascii="Book Antiqua"/>
          <w:rtl w:val="0"/>
          <w:lang w:val="it-IT"/>
        </w:rPr>
        <w:t>di ordinaria contravvenzione</w:t>
      </w:r>
      <w:r>
        <w:rPr>
          <w:rFonts w:hAnsi="Book Antiqua" w:hint="default"/>
          <w:rtl w:val="0"/>
          <w:lang w:val="it-IT"/>
        </w:rPr>
        <w:t>»</w:t>
      </w:r>
      <w:r>
        <w:rPr>
          <w:rFonts w:ascii="Book Antiqua"/>
          <w:rtl w:val="0"/>
          <w:lang w:val="it-IT"/>
        </w:rPr>
        <w:t>, di ordinaria amministrazione, che si definiscono in via amministrativa, perch</w:t>
      </w:r>
      <w:r>
        <w:rPr>
          <w:rFonts w:hAnsi="Book Antiqua" w:hint="default"/>
          <w:rtl w:val="0"/>
          <w:lang w:val="it-IT"/>
        </w:rPr>
        <w:t xml:space="preserve">é </w:t>
      </w:r>
      <w:r>
        <w:rPr>
          <w:rFonts w:ascii="Book Antiqua"/>
          <w:rtl w:val="0"/>
          <w:lang w:val="it-IT"/>
        </w:rPr>
        <w:t>i responsabili risanano [</w:t>
      </w:r>
      <w:r>
        <w:rPr>
          <w:rFonts w:hAnsi="Book Antiqua" w:hint="default"/>
          <w:rtl w:val="0"/>
          <w:lang w:val="it-IT"/>
        </w:rPr>
        <w:t>…</w:t>
      </w:r>
      <w:r>
        <w:rPr>
          <w:rFonts w:ascii="Book Antiqua"/>
          <w:rtl w:val="0"/>
          <w:lang w:val="it-IT"/>
        </w:rPr>
        <w:t>] Vicende di pubblica amministrazione e inquinamento non ce ne sono".</w:t>
      </w: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sz w:val="28"/>
          <w:szCs w:val="28"/>
        </w:rPr>
      </w:pPr>
      <w:r>
        <w:rPr>
          <w:rFonts w:ascii="Book Antiqua"/>
          <w:sz w:val="28"/>
          <w:szCs w:val="28"/>
          <w:rtl w:val="0"/>
          <w:lang w:val="it-IT"/>
        </w:rPr>
        <w:t>6.1.1 Alcune indagini su traffici illeciti di rifiuti</w:t>
      </w: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rPr>
      </w:pPr>
      <w:r>
        <w:rPr>
          <w:rFonts w:ascii="Book Antiqua"/>
          <w:rtl w:val="0"/>
          <w:lang w:val="it-IT"/>
        </w:rPr>
        <w:t>E</w:t>
      </w:r>
      <w:r>
        <w:rPr>
          <w:rFonts w:hAnsi="Book Antiqua" w:hint="default"/>
          <w:rtl w:val="0"/>
          <w:lang w:val="it-IT"/>
        </w:rPr>
        <w:t xml:space="preserve">’ </w:t>
      </w:r>
      <w:r>
        <w:rPr>
          <w:rFonts w:ascii="Book Antiqua"/>
          <w:rtl w:val="0"/>
          <w:lang w:val="it-IT"/>
        </w:rPr>
        <w:t>utile dare qui conto dei contenuti dell</w:t>
      </w:r>
      <w:r>
        <w:rPr>
          <w:rFonts w:hAnsi="Book Antiqua" w:hint="default"/>
          <w:rtl w:val="0"/>
          <w:lang w:val="it-IT"/>
        </w:rPr>
        <w:t>’</w:t>
      </w:r>
      <w:r>
        <w:rPr>
          <w:rFonts w:ascii="Book Antiqua"/>
          <w:rtl w:val="0"/>
          <w:lang w:val="it-IT"/>
        </w:rPr>
        <w:t>audizione del 30 maggio 2017 davanti alla Commissione di magistrati della Repubblica di Roma, nella parte in cui hanno riferito di procedimenti penali in corso per delitti di cui all</w:t>
      </w:r>
      <w:r>
        <w:rPr>
          <w:rFonts w:hAnsi="Book Antiqua" w:hint="default"/>
          <w:rtl w:val="0"/>
          <w:lang w:val="it-IT"/>
        </w:rPr>
        <w:t>’</w:t>
      </w:r>
      <w:r>
        <w:rPr>
          <w:rFonts w:ascii="Book Antiqua"/>
          <w:rtl w:val="0"/>
          <w:lang w:val="it-IT"/>
        </w:rPr>
        <w:t>articolo 260 decreto legislativo n. 152 del 2006 che coinvolgono realt</w:t>
      </w:r>
      <w:r>
        <w:rPr>
          <w:rFonts w:hAnsi="Book Antiqua" w:hint="default"/>
          <w:rtl w:val="0"/>
          <w:lang w:val="it-IT"/>
        </w:rPr>
        <w:t xml:space="preserve">à </w:t>
      </w:r>
      <w:r>
        <w:rPr>
          <w:rFonts w:ascii="Book Antiqua"/>
          <w:rtl w:val="0"/>
          <w:lang w:val="it-IT"/>
        </w:rPr>
        <w:t>regionali, associate alla segnalazione di particolari problemi.</w:t>
      </w:r>
    </w:p>
    <w:p>
      <w:pPr>
        <w:pStyle w:val="Normal"/>
        <w:ind w:left="567" w:right="567" w:firstLine="0"/>
        <w:jc w:val="both"/>
        <w:rPr>
          <w:rFonts w:ascii="Book Antiqua" w:cs="Book Antiqua" w:hAnsi="Book Antiqua" w:eastAsia="Book Antiqua"/>
        </w:rPr>
      </w:pPr>
      <w:r>
        <w:rPr>
          <w:rFonts w:ascii="Book Antiqua"/>
          <w:rtl w:val="0"/>
          <w:lang w:val="it-IT"/>
        </w:rPr>
        <w:t>In particolare, il procuratore aggiunto della Repubblica di Roma, Michele Prestipino Giarritta, ha dichiarato:</w:t>
      </w:r>
    </w:p>
    <w:p>
      <w:pPr>
        <w:pStyle w:val="Normal"/>
        <w:widowControl w:val="0"/>
        <w:ind w:left="567" w:right="567" w:firstLine="0"/>
        <w:jc w:val="both"/>
        <w:rPr>
          <w:rFonts w:ascii="Book Antiqua" w:cs="Book Antiqua" w:hAnsi="Book Antiqua" w:eastAsia="Book Antiqua"/>
          <w:u w:color="1a348d"/>
        </w:rPr>
      </w:pPr>
      <w:r>
        <w:rPr>
          <w:rFonts w:hAnsi="Book Antiqua" w:hint="default"/>
          <w:rtl w:val="0"/>
          <w:lang w:val="it-IT"/>
        </w:rPr>
        <w:t>“</w:t>
      </w:r>
      <w:r>
        <w:rPr>
          <w:rFonts w:ascii="Book Antiqua"/>
          <w:rtl w:val="0"/>
          <w:lang w:val="it-IT"/>
        </w:rPr>
        <w:t>Con Viterbo abbiamo trattato un procedimento sempre per traffico di rifiuti che ha riguardato la gestione abusiva di una quantit</w:t>
      </w:r>
      <w:r>
        <w:rPr>
          <w:rFonts w:hAnsi="Book Antiqua" w:hint="default"/>
          <w:rtl w:val="0"/>
          <w:lang w:val="it-IT"/>
        </w:rPr>
        <w:t xml:space="preserve">à </w:t>
      </w:r>
      <w:r>
        <w:rPr>
          <w:rFonts w:ascii="Book Antiqua"/>
          <w:rtl w:val="0"/>
          <w:lang w:val="it-IT"/>
        </w:rPr>
        <w:t xml:space="preserve">assai significativa </w:t>
      </w:r>
      <w:r>
        <w:rPr>
          <w:rFonts w:hAnsi="Book Antiqua" w:hint="default"/>
          <w:rtl w:val="0"/>
          <w:lang w:val="it-IT"/>
        </w:rPr>
        <w:t xml:space="preserve">– </w:t>
      </w:r>
      <w:r>
        <w:rPr>
          <w:rFonts w:ascii="Book Antiqua"/>
          <w:rtl w:val="0"/>
          <w:lang w:val="it-IT"/>
        </w:rPr>
        <w:t xml:space="preserve">parliamo di milioni di chili di rifiuti nel corso degli anni 2010, 2011, 2012, 2013 e fino al 2015 </w:t>
      </w:r>
      <w:r>
        <w:rPr>
          <w:rFonts w:hAnsi="Book Antiqua" w:hint="default"/>
          <w:rtl w:val="0"/>
          <w:lang w:val="it-IT"/>
        </w:rPr>
        <w:t xml:space="preserve">– </w:t>
      </w:r>
      <w:r>
        <w:rPr>
          <w:rFonts w:ascii="Book Antiqua"/>
          <w:rtl w:val="0"/>
          <w:lang w:val="it-IT"/>
        </w:rPr>
        <w:t>trattati in difformit</w:t>
      </w:r>
      <w:r>
        <w:rPr>
          <w:rFonts w:hAnsi="Book Antiqua" w:hint="default"/>
          <w:rtl w:val="0"/>
          <w:lang w:val="it-IT"/>
        </w:rPr>
        <w:t xml:space="preserve">à </w:t>
      </w:r>
      <w:r>
        <w:rPr>
          <w:rFonts w:ascii="Book Antiqua"/>
          <w:rtl w:val="0"/>
          <w:lang w:val="it-IT"/>
        </w:rPr>
        <w:t>essenziale rispetto agli atti autorizzativi delle attivit</w:t>
      </w:r>
      <w:r>
        <w:rPr>
          <w:rFonts w:hAnsi="Book Antiqua" w:hint="default"/>
          <w:rtl w:val="0"/>
          <w:lang w:val="it-IT"/>
        </w:rPr>
        <w:t xml:space="preserve">à </w:t>
      </w:r>
      <w:r>
        <w:rPr>
          <w:rFonts w:ascii="Book Antiqua"/>
          <w:rtl w:val="0"/>
          <w:lang w:val="it-IT"/>
        </w:rPr>
        <w:t>degli impianti. Sono impianti di trattamento meccanico-biologico siti in Viterbo. Anche qui c'</w:t>
      </w:r>
      <w:r>
        <w:rPr>
          <w:rFonts w:hAnsi="Book Antiqua" w:hint="default"/>
          <w:rtl w:val="0"/>
          <w:lang w:val="it-IT"/>
        </w:rPr>
        <w:t xml:space="preserve">è </w:t>
      </w:r>
      <w:r>
        <w:rPr>
          <w:rFonts w:ascii="Book Antiqua"/>
          <w:rtl w:val="0"/>
          <w:lang w:val="it-IT"/>
        </w:rPr>
        <w:t>una caratteristica comune di queste attivit</w:t>
      </w:r>
      <w:r>
        <w:rPr>
          <w:rFonts w:hAnsi="Book Antiqua" w:hint="default"/>
          <w:rtl w:val="0"/>
          <w:lang w:val="it-IT"/>
        </w:rPr>
        <w:t xml:space="preserve">à </w:t>
      </w:r>
      <w:r>
        <w:rPr>
          <w:rFonts w:ascii="Book Antiqua"/>
          <w:rtl w:val="0"/>
          <w:lang w:val="it-IT"/>
        </w:rPr>
        <w:t>illecite relativa al trattamento fuori dagli schemi, in violazione delle autorizzazioni da parte di imprese, spesso private. Accertiamo, infatti, una serie di reati, che vanno dal falso alla truffa. C'</w:t>
      </w:r>
      <w:r>
        <w:rPr>
          <w:rFonts w:hAnsi="Book Antiqua" w:hint="default"/>
          <w:rtl w:val="0"/>
          <w:lang w:val="it-IT"/>
        </w:rPr>
        <w:t xml:space="preserve">è </w:t>
      </w:r>
      <w:r>
        <w:rPr>
          <w:rFonts w:ascii="Book Antiqua"/>
          <w:rtl w:val="0"/>
          <w:lang w:val="it-IT"/>
        </w:rPr>
        <w:t xml:space="preserve">spesso o l'omissione del trattamento o il trattamento inidoneo e insufficiente con riferimento al rifiuto oggetto che doveva essere trattato, e tutto passa attraverso la falsificazione nell'attribuzione delle sigle e delle qualificazioni dei rifiuti </w:t>
      </w:r>
      <w:r>
        <w:rPr>
          <w:rFonts w:ascii="Book Antiqua"/>
          <w:u w:color="1a348d"/>
          <w:rtl w:val="0"/>
          <w:lang w:val="it-IT"/>
        </w:rPr>
        <w:t>[</w:t>
      </w:r>
      <w:r>
        <w:rPr>
          <w:rFonts w:hAnsi="Book Antiqua" w:hint="default"/>
          <w:u w:color="1a348d"/>
          <w:rtl w:val="0"/>
          <w:lang w:val="it-IT"/>
        </w:rPr>
        <w:t>…</w:t>
      </w:r>
      <w:r>
        <w:rPr>
          <w:rFonts w:ascii="Book Antiqua"/>
          <w:u w:color="1a348d"/>
          <w:rtl w:val="0"/>
          <w:lang w:val="it-IT"/>
        </w:rPr>
        <w:t xml:space="preserve">]. Questa </w:t>
      </w:r>
      <w:r>
        <w:rPr>
          <w:rFonts w:hAnsi="Book Antiqua" w:hint="default"/>
          <w:u w:color="1a348d"/>
          <w:rtl w:val="0"/>
          <w:lang w:val="it-IT"/>
        </w:rPr>
        <w:t xml:space="preserve">è </w:t>
      </w:r>
      <w:r>
        <w:rPr>
          <w:rFonts w:ascii="Book Antiqua"/>
          <w:u w:color="1a348d"/>
          <w:rtl w:val="0"/>
          <w:lang w:val="it-IT"/>
        </w:rPr>
        <w:t>una societ</w:t>
      </w:r>
      <w:r>
        <w:rPr>
          <w:rFonts w:hAnsi="Book Antiqua" w:hint="default"/>
          <w:u w:color="1a348d"/>
          <w:rtl w:val="0"/>
          <w:lang w:val="it-IT"/>
        </w:rPr>
        <w:t xml:space="preserve">à </w:t>
      </w:r>
      <w:r>
        <w:rPr>
          <w:rFonts w:ascii="Book Antiqua"/>
          <w:u w:color="1a348d"/>
          <w:rtl w:val="0"/>
          <w:lang w:val="it-IT"/>
        </w:rPr>
        <w:t xml:space="preserve">che fa parte del gruppo arcipelago Cerroni [...]. </w:t>
      </w:r>
    </w:p>
    <w:p>
      <w:pPr>
        <w:pStyle w:val="Normal"/>
        <w:widowControl w:val="0"/>
        <w:ind w:left="567" w:right="567" w:firstLine="0"/>
        <w:jc w:val="both"/>
        <w:rPr>
          <w:rFonts w:ascii="Book Antiqua" w:cs="Book Antiqua" w:hAnsi="Book Antiqua" w:eastAsia="Book Antiqua"/>
          <w:u w:color="1a348d"/>
        </w:rPr>
      </w:pPr>
      <w:r>
        <w:rPr>
          <w:rFonts w:ascii="Book Antiqua"/>
          <w:u w:color="1a348d"/>
          <w:rtl w:val="0"/>
          <w:lang w:val="it-IT"/>
        </w:rPr>
        <w:t>Di solito, l'attribuzione di codici inesatti al tipo di rifiuto da trattare, fatta in modo malevolo, in malafede, proprio per mascherare l'omissione del trattamento dovuto, l'adozione di particolari cautele nella trattazione dei rifiuti e cos</w:t>
      </w:r>
      <w:r>
        <w:rPr>
          <w:rFonts w:hAnsi="Book Antiqua" w:hint="default"/>
          <w:u w:color="1a348d"/>
          <w:rtl w:val="0"/>
          <w:lang w:val="it-IT"/>
        </w:rPr>
        <w:t xml:space="preserve">ì </w:t>
      </w:r>
      <w:r>
        <w:rPr>
          <w:rFonts w:ascii="Book Antiqua"/>
          <w:u w:color="1a348d"/>
          <w:rtl w:val="0"/>
          <w:lang w:val="it-IT"/>
        </w:rPr>
        <w:t>via, ovviamente, poi, comporta una serie di ulteriori responsabilit</w:t>
      </w:r>
      <w:r>
        <w:rPr>
          <w:rFonts w:hAnsi="Book Antiqua" w:hint="default"/>
          <w:u w:color="1a348d"/>
          <w:rtl w:val="0"/>
          <w:lang w:val="it-IT"/>
        </w:rPr>
        <w:t>à</w:t>
      </w:r>
      <w:r>
        <w:rPr>
          <w:rFonts w:ascii="Book Antiqua"/>
          <w:u w:color="1a348d"/>
          <w:rtl w:val="0"/>
          <w:lang w:val="it-IT"/>
        </w:rPr>
        <w:t>, aggiuntive. Anche in questo caso ci sono le condotte omissive di chi doveva controllare, quindi dei controllori. C'</w:t>
      </w:r>
      <w:r>
        <w:rPr>
          <w:rFonts w:hAnsi="Book Antiqua" w:hint="default"/>
          <w:u w:color="1a348d"/>
          <w:rtl w:val="0"/>
          <w:lang w:val="it-IT"/>
        </w:rPr>
        <w:t xml:space="preserve">è </w:t>
      </w:r>
      <w:r>
        <w:rPr>
          <w:rFonts w:ascii="Book Antiqua"/>
          <w:u w:color="1a348d"/>
          <w:rtl w:val="0"/>
          <w:lang w:val="it-IT"/>
        </w:rPr>
        <w:t>poi il coinvolgimento, che abbiamo verificato in particolare in un'attivit</w:t>
      </w:r>
      <w:r>
        <w:rPr>
          <w:rFonts w:hAnsi="Book Antiqua" w:hint="default"/>
          <w:u w:color="1a348d"/>
          <w:rtl w:val="0"/>
          <w:lang w:val="it-IT"/>
        </w:rPr>
        <w:t xml:space="preserve">à </w:t>
      </w:r>
      <w:r>
        <w:rPr>
          <w:rFonts w:ascii="Book Antiqua"/>
          <w:u w:color="1a348d"/>
          <w:rtl w:val="0"/>
          <w:lang w:val="it-IT"/>
        </w:rPr>
        <w:t>su Frosinone, di pubblici amministratori e via discorrendo. Anche in questo caso, su Viterbo abbiamo proceduto con decreto di sequestro preventivo a maggio 2015 e abbiamo chiuso le indagini con richiesta di rinvio a giudizio a ottobre 2016.</w:t>
      </w:r>
    </w:p>
    <w:p>
      <w:pPr>
        <w:pStyle w:val="Normal"/>
        <w:widowControl w:val="0"/>
        <w:ind w:left="567" w:right="567" w:firstLine="0"/>
        <w:jc w:val="both"/>
        <w:rPr>
          <w:rFonts w:ascii="Book Antiqua" w:cs="Book Antiqua" w:hAnsi="Book Antiqua" w:eastAsia="Book Antiqua"/>
          <w:u w:color="1a348d"/>
        </w:rPr>
      </w:pPr>
      <w:r>
        <w:rPr>
          <w:rFonts w:ascii="Book Antiqua"/>
          <w:u w:color="1a348d"/>
          <w:rtl w:val="0"/>
          <w:lang w:val="it-IT"/>
        </w:rPr>
        <w:t xml:space="preserve">Un altro procedimento significativo da questo punto di vista </w:t>
      </w:r>
      <w:r>
        <w:rPr>
          <w:rFonts w:hAnsi="Book Antiqua" w:hint="default"/>
          <w:u w:color="1a348d"/>
          <w:rtl w:val="0"/>
          <w:lang w:val="it-IT"/>
        </w:rPr>
        <w:t xml:space="preserve">è </w:t>
      </w:r>
      <w:r>
        <w:rPr>
          <w:rFonts w:ascii="Book Antiqua"/>
          <w:u w:color="1a348d"/>
          <w:rtl w:val="0"/>
          <w:lang w:val="it-IT"/>
        </w:rPr>
        <w:t>uno dei due trattati che ci sono pervenuti dalla procura di Frosinone. Qui abbiamo un primo procedimento che riguarda fatti estremamente seri e importanti. Parliamo di un impianto, uno stabilimento grande, nel quale venivano trattati una grande quantit</w:t>
      </w:r>
      <w:r>
        <w:rPr>
          <w:rFonts w:hAnsi="Book Antiqua" w:hint="default"/>
          <w:u w:color="1a348d"/>
          <w:rtl w:val="0"/>
          <w:lang w:val="it-IT"/>
        </w:rPr>
        <w:t xml:space="preserve">à </w:t>
      </w:r>
      <w:r>
        <w:rPr>
          <w:rFonts w:ascii="Book Antiqua"/>
          <w:u w:color="1a348d"/>
          <w:rtl w:val="0"/>
          <w:lang w:val="it-IT"/>
        </w:rPr>
        <w:t>e moltissimi rifiuti di matrice e di provenienza ospedaliera, quindi rifiuti sanitari, di molti ospedali della regione, tra cui molti plessi ospedalieri di Roma. Perch</w:t>
      </w:r>
      <w:r>
        <w:rPr>
          <w:rFonts w:hAnsi="Book Antiqua" w:hint="default"/>
          <w:u w:color="1a348d"/>
          <w:rtl w:val="0"/>
          <w:lang w:val="it-IT"/>
        </w:rPr>
        <w:t xml:space="preserve">é </w:t>
      </w:r>
      <w:r>
        <w:rPr>
          <w:rFonts w:ascii="Book Antiqua"/>
          <w:u w:color="1a348d"/>
          <w:rtl w:val="0"/>
          <w:lang w:val="it-IT"/>
        </w:rPr>
        <w:t>lo dico? Qui siamo in presenza di quantit</w:t>
      </w:r>
      <w:r>
        <w:rPr>
          <w:rFonts w:hAnsi="Book Antiqua" w:hint="default"/>
          <w:u w:color="1a348d"/>
          <w:rtl w:val="0"/>
          <w:lang w:val="it-IT"/>
        </w:rPr>
        <w:t xml:space="preserve">à </w:t>
      </w:r>
      <w:r>
        <w:rPr>
          <w:rFonts w:ascii="Book Antiqua"/>
          <w:u w:color="1a348d"/>
          <w:rtl w:val="0"/>
          <w:lang w:val="it-IT"/>
        </w:rPr>
        <w:t>veramente notevolissime e di fatti che abbiamo accertato, anche attraverso lo svolgimento di consulenze tecniche, che evidenziano una gravit</w:t>
      </w:r>
      <w:r>
        <w:rPr>
          <w:rFonts w:hAnsi="Book Antiqua" w:hint="default"/>
          <w:u w:color="1a348d"/>
          <w:rtl w:val="0"/>
          <w:lang w:val="it-IT"/>
        </w:rPr>
        <w:t xml:space="preserve">à </w:t>
      </w:r>
      <w:r>
        <w:rPr>
          <w:rFonts w:ascii="Book Antiqua"/>
          <w:u w:color="1a348d"/>
          <w:rtl w:val="0"/>
          <w:lang w:val="it-IT"/>
        </w:rPr>
        <w:t>e una pericolosit</w:t>
      </w:r>
      <w:r>
        <w:rPr>
          <w:rFonts w:hAnsi="Book Antiqua" w:hint="default"/>
          <w:u w:color="1a348d"/>
          <w:rtl w:val="0"/>
          <w:lang w:val="it-IT"/>
        </w:rPr>
        <w:t xml:space="preserve">à </w:t>
      </w:r>
      <w:r>
        <w:rPr>
          <w:rFonts w:ascii="Book Antiqua"/>
          <w:u w:color="1a348d"/>
          <w:rtl w:val="0"/>
          <w:lang w:val="it-IT"/>
        </w:rPr>
        <w:t>per la salute pubblica da parte dei responsabili di queste condotte. Che cosa abbiamo verificato che accadeva in quest'impianto di trattamento? Intanto, in quest'impianto di trattamento teoricamente per autorizzazione dovevano essere stoccati e trattati rifiuti non pericolosi, non ospedalieri in senso stretto, ma soprattutto vetro. Questo vetro, prima del conferimento nell'impianto di trattamento, avrebbe dovuto essere trattato, cio</w:t>
      </w:r>
      <w:r>
        <w:rPr>
          <w:rFonts w:hAnsi="Book Antiqua" w:hint="default"/>
          <w:u w:color="1a348d"/>
          <w:rtl w:val="0"/>
          <w:lang w:val="it-IT"/>
        </w:rPr>
        <w:t xml:space="preserve">è </w:t>
      </w:r>
      <w:r>
        <w:rPr>
          <w:rFonts w:ascii="Book Antiqua"/>
          <w:u w:color="1a348d"/>
          <w:rtl w:val="0"/>
          <w:lang w:val="it-IT"/>
        </w:rPr>
        <w:t>pulito e privato di qualsiasi residuo di natura biologica. I nostri consulenti hanno accertato che tutto questo regolarmente non accadeva e che, soprattutto per i rifiuti ospedalieri, veniva stoccata, accumulata e trattata come se si trattasse di rifiuto non pericoloso una serie, per capirci, di contenitori di vetro, bottiglie, contenitori di fleboclisi e cos</w:t>
      </w:r>
      <w:r>
        <w:rPr>
          <w:rFonts w:hAnsi="Book Antiqua" w:hint="default"/>
          <w:u w:color="1a348d"/>
          <w:rtl w:val="0"/>
          <w:lang w:val="it-IT"/>
        </w:rPr>
        <w:t xml:space="preserve">ì </w:t>
      </w:r>
      <w:r>
        <w:rPr>
          <w:rFonts w:ascii="Book Antiqua"/>
          <w:u w:color="1a348d"/>
          <w:rtl w:val="0"/>
          <w:lang w:val="it-IT"/>
        </w:rPr>
        <w:t>via, con ancora tracce di materiale biologico, deflussori, siringhe, guanti di lattice, quindi rifiuti pericolosi, perch</w:t>
      </w:r>
      <w:r>
        <w:rPr>
          <w:rFonts w:hAnsi="Book Antiqua" w:hint="default"/>
          <w:u w:color="1a348d"/>
          <w:rtl w:val="0"/>
          <w:lang w:val="it-IT"/>
        </w:rPr>
        <w:t xml:space="preserve">é </w:t>
      </w:r>
      <w:r>
        <w:rPr>
          <w:rFonts w:ascii="Book Antiqua"/>
          <w:u w:color="1a348d"/>
          <w:rtl w:val="0"/>
          <w:lang w:val="it-IT"/>
        </w:rPr>
        <w:t>a rischio infettivo. Oltre a questi, c'erano anche altri tipi di rifiuti non ospedalieri. L</w:t>
      </w:r>
      <w:r>
        <w:rPr>
          <w:rFonts w:hAnsi="Book Antiqua" w:hint="default"/>
          <w:u w:color="1a348d"/>
          <w:rtl w:val="0"/>
          <w:lang w:val="it-IT"/>
        </w:rPr>
        <w:t xml:space="preserve">ì </w:t>
      </w:r>
      <w:r>
        <w:rPr>
          <w:rFonts w:ascii="Book Antiqua"/>
          <w:u w:color="1a348d"/>
          <w:rtl w:val="0"/>
          <w:lang w:val="it-IT"/>
        </w:rPr>
        <w:t>c</w:t>
      </w:r>
      <w:r>
        <w:rPr>
          <w:rFonts w:hAnsi="Book Antiqua" w:hint="default"/>
          <w:u w:color="1a348d"/>
          <w:rtl w:val="0"/>
          <w:lang w:val="it-IT"/>
        </w:rPr>
        <w:t>’</w:t>
      </w:r>
      <w:r>
        <w:rPr>
          <w:rFonts w:ascii="Book Antiqua"/>
          <w:u w:color="1a348d"/>
          <w:rtl w:val="0"/>
          <w:lang w:val="it-IT"/>
        </w:rPr>
        <w:t>era un altro problema, un'altra situazione di rischio e di pericolosit</w:t>
      </w:r>
      <w:r>
        <w:rPr>
          <w:rFonts w:hAnsi="Book Antiqua" w:hint="default"/>
          <w:u w:color="1a348d"/>
          <w:rtl w:val="0"/>
          <w:lang w:val="it-IT"/>
        </w:rPr>
        <w:t>à</w:t>
      </w:r>
      <w:r>
        <w:rPr>
          <w:rFonts w:ascii="Book Antiqua"/>
          <w:u w:color="1a348d"/>
          <w:rtl w:val="0"/>
          <w:lang w:val="it-IT"/>
        </w:rPr>
        <w:t>. Parliamo di quantit</w:t>
      </w:r>
      <w:r>
        <w:rPr>
          <w:rFonts w:hAnsi="Book Antiqua" w:hint="default"/>
          <w:u w:color="1a348d"/>
          <w:rtl w:val="0"/>
          <w:lang w:val="it-IT"/>
        </w:rPr>
        <w:t xml:space="preserve">à </w:t>
      </w:r>
      <w:r>
        <w:rPr>
          <w:rFonts w:ascii="Book Antiqua"/>
          <w:u w:color="1a348d"/>
          <w:rtl w:val="0"/>
          <w:lang w:val="it-IT"/>
        </w:rPr>
        <w:t xml:space="preserve">importanti, significative, di rifiuti costituiti dai </w:t>
      </w:r>
      <w:r>
        <w:rPr>
          <w:rFonts w:ascii="Book Antiqua"/>
          <w:i w:val="1"/>
          <w:iCs w:val="1"/>
          <w:u w:color="1a348d"/>
          <w:rtl w:val="0"/>
          <w:lang w:val="it-IT"/>
        </w:rPr>
        <w:t>toner</w:t>
      </w:r>
      <w:r>
        <w:rPr>
          <w:rFonts w:ascii="Book Antiqua"/>
          <w:u w:color="1a348d"/>
          <w:rtl w:val="0"/>
          <w:lang w:val="it-IT"/>
        </w:rPr>
        <w:t xml:space="preserve"> per la stampa, da materiali ferrosi costituiti per esempio dalle pastiglie dei freni per auto, una serie di cose che andavano trattate con altre modalit</w:t>
      </w:r>
      <w:r>
        <w:rPr>
          <w:rFonts w:hAnsi="Book Antiqua" w:hint="default"/>
          <w:u w:color="1a348d"/>
          <w:rtl w:val="0"/>
          <w:lang w:val="it-IT"/>
        </w:rPr>
        <w:t>à</w:t>
      </w:r>
      <w:r>
        <w:rPr>
          <w:rFonts w:ascii="Book Antiqua"/>
          <w:u w:color="1a348d"/>
          <w:rtl w:val="0"/>
          <w:lang w:val="it-IT"/>
        </w:rPr>
        <w:t>. Anche in questo caso, abbiamo proceduto con sequestro, cui ha fatto seguito la richiesta di rinvio a giudizio, quindi sono tutti procedimenti con i quali abbiamo lavorato attraverso misure cautelari di tipo reale e, successivamente, con l'esercizio dell'azione penale nei confronti dei responsabili, persone fisiche, e dei responsabili enti e persone giuridiche.</w:t>
      </w:r>
    </w:p>
    <w:p>
      <w:pPr>
        <w:pStyle w:val="Normal"/>
        <w:widowControl w:val="0"/>
        <w:ind w:left="567" w:right="567" w:firstLine="0"/>
        <w:jc w:val="both"/>
        <w:rPr>
          <w:rFonts w:ascii="Book Antiqua" w:cs="Book Antiqua" w:hAnsi="Book Antiqua" w:eastAsia="Book Antiqua"/>
          <w:u w:color="1a348d"/>
        </w:rPr>
      </w:pPr>
      <w:r>
        <w:rPr>
          <w:rFonts w:ascii="Book Antiqua"/>
          <w:u w:color="1a348d"/>
          <w:rtl w:val="0"/>
          <w:lang w:val="it-IT"/>
        </w:rPr>
        <w:t>[Queste indagini] riguardano la stessa azienda [</w:t>
      </w:r>
      <w:r>
        <w:rPr>
          <w:rFonts w:hAnsi="Book Antiqua" w:hint="default"/>
          <w:u w:color="1a348d"/>
          <w:rtl w:val="0"/>
          <w:lang w:val="it-IT"/>
        </w:rPr>
        <w:t>…</w:t>
      </w:r>
      <w:r>
        <w:rPr>
          <w:rFonts w:ascii="Book Antiqua"/>
          <w:u w:color="1a348d"/>
          <w:rtl w:val="0"/>
          <w:lang w:val="it-IT"/>
        </w:rPr>
        <w:t xml:space="preserve">]; l'impianto di trattamento in questione </w:t>
      </w:r>
      <w:r>
        <w:rPr>
          <w:rFonts w:hAnsi="Book Antiqua" w:hint="default"/>
          <w:u w:color="1a348d"/>
          <w:rtl w:val="0"/>
          <w:lang w:val="it-IT"/>
        </w:rPr>
        <w:t xml:space="preserve">è </w:t>
      </w:r>
      <w:r>
        <w:rPr>
          <w:rFonts w:ascii="Book Antiqua"/>
          <w:u w:color="1a348d"/>
          <w:rtl w:val="0"/>
          <w:lang w:val="it-IT"/>
        </w:rPr>
        <w:t>quello gestito da una societ</w:t>
      </w:r>
      <w:r>
        <w:rPr>
          <w:rFonts w:hAnsi="Book Antiqua" w:hint="default"/>
          <w:u w:color="1a348d"/>
          <w:rtl w:val="0"/>
          <w:lang w:val="it-IT"/>
        </w:rPr>
        <w:t xml:space="preserve">à </w:t>
      </w:r>
      <w:r>
        <w:rPr>
          <w:rFonts w:ascii="Book Antiqua"/>
          <w:u w:color="1a348d"/>
          <w:rtl w:val="0"/>
          <w:lang w:val="it-IT"/>
        </w:rPr>
        <w:t xml:space="preserve">che si chiama Simer Srl. L'impianto </w:t>
      </w:r>
      <w:r>
        <w:rPr>
          <w:rFonts w:hAnsi="Book Antiqua" w:hint="default"/>
          <w:u w:color="1a348d"/>
          <w:rtl w:val="0"/>
          <w:lang w:val="it-IT"/>
        </w:rPr>
        <w:t xml:space="preserve">è </w:t>
      </w:r>
      <w:r>
        <w:rPr>
          <w:rFonts w:ascii="Book Antiqua"/>
          <w:u w:color="1a348d"/>
          <w:rtl w:val="0"/>
          <w:lang w:val="it-IT"/>
        </w:rPr>
        <w:t>nella zona di Frosinone.</w:t>
      </w:r>
    </w:p>
    <w:p>
      <w:pPr>
        <w:pStyle w:val="Normal"/>
        <w:widowControl w:val="0"/>
        <w:ind w:left="567" w:right="567" w:firstLine="0"/>
        <w:jc w:val="both"/>
        <w:rPr>
          <w:rFonts w:ascii="Book Antiqua" w:cs="Book Antiqua" w:hAnsi="Book Antiqua" w:eastAsia="Book Antiqua"/>
          <w:u w:color="1a348d"/>
        </w:rPr>
      </w:pPr>
      <w:r>
        <w:rPr>
          <w:rFonts w:ascii="Book Antiqua"/>
          <w:u w:color="1a348d"/>
          <w:rtl w:val="0"/>
          <w:lang w:val="it-IT"/>
        </w:rPr>
        <w:t xml:space="preserve">L'altro procedimento per il quale </w:t>
      </w:r>
      <w:r>
        <w:rPr>
          <w:rFonts w:hAnsi="Book Antiqua" w:hint="default"/>
          <w:u w:color="1a348d"/>
          <w:rtl w:val="0"/>
          <w:lang w:val="it-IT"/>
        </w:rPr>
        <w:t xml:space="preserve">è </w:t>
      </w:r>
      <w:r>
        <w:rPr>
          <w:rFonts w:ascii="Book Antiqua"/>
          <w:u w:color="1a348d"/>
          <w:rtl w:val="0"/>
          <w:lang w:val="it-IT"/>
        </w:rPr>
        <w:t xml:space="preserve">stata interessata la procura della Repubblica di Frosinone </w:t>
      </w:r>
      <w:r>
        <w:rPr>
          <w:rFonts w:hAnsi="Book Antiqua" w:hint="default"/>
          <w:u w:color="1a348d"/>
          <w:rtl w:val="0"/>
          <w:lang w:val="it-IT"/>
        </w:rPr>
        <w:t xml:space="preserve">è </w:t>
      </w:r>
      <w:r>
        <w:rPr>
          <w:rFonts w:ascii="Book Antiqua"/>
          <w:u w:color="1a348d"/>
          <w:rtl w:val="0"/>
          <w:lang w:val="it-IT"/>
        </w:rPr>
        <w:t xml:space="preserve">anche questo particolarmente complesso. Abbiamo lavorato anche qui con una misura cautelare reale, decreto di sequestro preventivo, e poi con successiva richiesta di rinvio a giudizio. Qui si </w:t>
      </w:r>
      <w:r>
        <w:rPr>
          <w:rFonts w:hAnsi="Book Antiqua" w:hint="default"/>
          <w:u w:color="1a348d"/>
          <w:rtl w:val="0"/>
          <w:lang w:val="it-IT"/>
        </w:rPr>
        <w:t xml:space="preserve">è </w:t>
      </w:r>
      <w:r>
        <w:rPr>
          <w:rFonts w:ascii="Book Antiqua"/>
          <w:u w:color="1a348d"/>
          <w:rtl w:val="0"/>
          <w:lang w:val="it-IT"/>
        </w:rPr>
        <w:t>succeduta una serie di vicende particolarmente complesse, perch</w:t>
      </w:r>
      <w:r>
        <w:rPr>
          <w:rFonts w:hAnsi="Book Antiqua" w:hint="default"/>
          <w:u w:color="1a348d"/>
          <w:rtl w:val="0"/>
          <w:lang w:val="it-IT"/>
        </w:rPr>
        <w:t xml:space="preserve">é </w:t>
      </w:r>
      <w:r>
        <w:rPr>
          <w:rFonts w:ascii="Book Antiqua"/>
          <w:u w:color="1a348d"/>
          <w:rtl w:val="0"/>
          <w:lang w:val="it-IT"/>
        </w:rPr>
        <w:t>i fatti di smaltimento erano diversi, grossomodo di due tipi. Nell'ambito di una prima attivit</w:t>
      </w:r>
      <w:r>
        <w:rPr>
          <w:rFonts w:hAnsi="Book Antiqua" w:hint="default"/>
          <w:u w:color="1a348d"/>
          <w:rtl w:val="0"/>
          <w:lang w:val="it-IT"/>
        </w:rPr>
        <w:t xml:space="preserve">à </w:t>
      </w:r>
      <w:r>
        <w:rPr>
          <w:rFonts w:ascii="Book Antiqua"/>
          <w:u w:color="1a348d"/>
          <w:rtl w:val="0"/>
          <w:lang w:val="it-IT"/>
        </w:rPr>
        <w:t xml:space="preserve">di smaltimento, sono stati smaltiti rifiuti speciali con l'attribuzione di un codice CER diverso da quello che spettava a quel tipo di rifiuti, anche qui con un risparmio notevolissimo. L'attribuzione di codici diversi comporta, infatti, oneri e spese nel trattamento nettamente inferiori rispetto ai rifiuti che hanno altro codice. Per l'azienda, significa percepire il prezzo del trattamento da chi conferisce, che </w:t>
      </w:r>
      <w:r>
        <w:rPr>
          <w:rFonts w:hAnsi="Book Antiqua" w:hint="default"/>
          <w:u w:color="1a348d"/>
          <w:rtl w:val="0"/>
          <w:lang w:val="it-IT"/>
        </w:rPr>
        <w:t xml:space="preserve">è </w:t>
      </w:r>
      <w:r>
        <w:rPr>
          <w:rFonts w:ascii="Book Antiqua"/>
          <w:u w:color="1a348d"/>
          <w:rtl w:val="0"/>
          <w:lang w:val="it-IT"/>
        </w:rPr>
        <w:t>il prezzo per il rifiuto speciale, quindi elevato; poi viene trattato in tutt'altro modo, quindi c'</w:t>
      </w:r>
      <w:r>
        <w:rPr>
          <w:rFonts w:hAnsi="Book Antiqua" w:hint="default"/>
          <w:u w:color="1a348d"/>
          <w:rtl w:val="0"/>
          <w:lang w:val="it-IT"/>
        </w:rPr>
        <w:t xml:space="preserve">è </w:t>
      </w:r>
      <w:r>
        <w:rPr>
          <w:rFonts w:ascii="Book Antiqua"/>
          <w:u w:color="1a348d"/>
          <w:rtl w:val="0"/>
          <w:lang w:val="it-IT"/>
        </w:rPr>
        <w:t>un margine di profitto derivante da quest'attivit</w:t>
      </w:r>
      <w:r>
        <w:rPr>
          <w:rFonts w:hAnsi="Book Antiqua" w:hint="default"/>
          <w:u w:color="1a348d"/>
          <w:rtl w:val="0"/>
          <w:lang w:val="it-IT"/>
        </w:rPr>
        <w:t>à</w:t>
      </w:r>
      <w:r>
        <w:rPr>
          <w:rFonts w:ascii="Book Antiqua"/>
          <w:u w:color="1a348d"/>
          <w:rtl w:val="0"/>
          <w:lang w:val="it-IT"/>
        </w:rPr>
        <w:t xml:space="preserve">, chiamiamola genericamente e in modo lato di truffa, che </w:t>
      </w:r>
      <w:r>
        <w:rPr>
          <w:rFonts w:hAnsi="Book Antiqua" w:hint="default"/>
          <w:u w:color="1a348d"/>
          <w:rtl w:val="0"/>
          <w:lang w:val="it-IT"/>
        </w:rPr>
        <w:t xml:space="preserve">è </w:t>
      </w:r>
      <w:r>
        <w:rPr>
          <w:rFonts w:ascii="Book Antiqua"/>
          <w:u w:color="1a348d"/>
          <w:rtl w:val="0"/>
          <w:lang w:val="it-IT"/>
        </w:rPr>
        <w:t>altissimo. Credo che proprio in questo procedimento abbiamo calcolato anche dei margini di guadagno, che troverete indicati nei nostri provvedimenti, che sono importanti, significativi da questo punto di vista. Accanto a questo meccanismo, che riguardava anche qui un certo tipo di rifiuti conferiti da altri soggetti privati, abbiamo accertato anche un'altra situazione di illiceit</w:t>
      </w:r>
      <w:r>
        <w:rPr>
          <w:rFonts w:hAnsi="Book Antiqua" w:hint="default"/>
          <w:u w:color="1a348d"/>
          <w:rtl w:val="0"/>
          <w:lang w:val="it-IT"/>
        </w:rPr>
        <w:t>à</w:t>
      </w:r>
      <w:r>
        <w:rPr>
          <w:rFonts w:ascii="Book Antiqua"/>
          <w:u w:color="1a348d"/>
          <w:rtl w:val="0"/>
          <w:lang w:val="it-IT"/>
        </w:rPr>
        <w:t>, che ha riguardato il conferimento in quest'impianto di stoccaggio provvisorio e di pretrattamento dei rifiuti solidi urbani derivanti dalla raccolta in molti comuni del comprensorio. Sostanzialmente, questi rifiuti dovevano essere stoccati in questo deposito, subire un certo tipo di pretrattamento, per poi essere conferiti e spostati nuovamente. Questo pretrattamento, in realt</w:t>
      </w:r>
      <w:r>
        <w:rPr>
          <w:rFonts w:hAnsi="Book Antiqua" w:hint="default"/>
          <w:u w:color="1a348d"/>
          <w:rtl w:val="0"/>
          <w:lang w:val="it-IT"/>
        </w:rPr>
        <w:t>à</w:t>
      </w:r>
      <w:r>
        <w:rPr>
          <w:rFonts w:ascii="Book Antiqua"/>
          <w:u w:color="1a348d"/>
          <w:rtl w:val="0"/>
          <w:lang w:val="it-IT"/>
        </w:rPr>
        <w:t xml:space="preserve">, non veniva effettuato </w:t>
      </w:r>
      <w:r>
        <w:rPr>
          <w:rFonts w:ascii="Book Antiqua"/>
          <w:i w:val="1"/>
          <w:iCs w:val="1"/>
          <w:u w:color="1a348d"/>
          <w:rtl w:val="0"/>
          <w:lang w:val="it-IT"/>
        </w:rPr>
        <w:t>tout court</w:t>
      </w:r>
      <w:r>
        <w:rPr>
          <w:rFonts w:ascii="Book Antiqua"/>
          <w:u w:color="1a348d"/>
          <w:rtl w:val="0"/>
          <w:lang w:val="it-IT"/>
        </w:rPr>
        <w:t>. Il rifiuto veniva conferito in questo impianto, da cui successivamente, cos</w:t>
      </w:r>
      <w:r>
        <w:rPr>
          <w:rFonts w:hAnsi="Book Antiqua" w:hint="default"/>
          <w:u w:color="1a348d"/>
          <w:rtl w:val="0"/>
          <w:lang w:val="it-IT"/>
        </w:rPr>
        <w:t xml:space="preserve">ì </w:t>
      </w:r>
      <w:r>
        <w:rPr>
          <w:rFonts w:ascii="Book Antiqua"/>
          <w:u w:color="1a348d"/>
          <w:rtl w:val="0"/>
          <w:lang w:val="it-IT"/>
        </w:rPr>
        <w:t xml:space="preserve">com'era stato conferito, veniva trasferito, con tutto quello che da questo consegue. Nell'impianto di successiva destinazione il rifiuto arriva con la documentazione che attestava un pretrattamento, che comportava successivamente una fase di lavorazione del rifiuto completamente diversa da quella che veniva fatta. </w:t>
      </w:r>
    </w:p>
    <w:p>
      <w:pPr>
        <w:pStyle w:val="Normal"/>
        <w:widowControl w:val="0"/>
        <w:ind w:left="567" w:right="567" w:firstLine="0"/>
        <w:jc w:val="both"/>
        <w:rPr>
          <w:rFonts w:ascii="Book Antiqua" w:cs="Book Antiqua" w:hAnsi="Book Antiqua" w:eastAsia="Book Antiqua"/>
          <w:u w:color="1a348d"/>
        </w:rPr>
      </w:pPr>
      <w:r>
        <w:rPr>
          <w:rFonts w:ascii="Book Antiqua"/>
          <w:u w:color="1a348d"/>
          <w:rtl w:val="0"/>
          <w:lang w:val="it-IT"/>
        </w:rPr>
        <w:t>[</w:t>
      </w:r>
      <w:r>
        <w:rPr>
          <w:rFonts w:hAnsi="Book Antiqua" w:hint="default"/>
          <w:u w:color="1a348d"/>
          <w:rtl w:val="0"/>
          <w:lang w:val="it-IT"/>
        </w:rPr>
        <w:t>…</w:t>
      </w:r>
      <w:r>
        <w:rPr>
          <w:rFonts w:ascii="Book Antiqua"/>
          <w:u w:color="1a348d"/>
          <w:rtl w:val="0"/>
          <w:lang w:val="it-IT"/>
        </w:rPr>
        <w:t xml:space="preserve">] </w:t>
      </w:r>
    </w:p>
    <w:p>
      <w:pPr>
        <w:pStyle w:val="Normal"/>
        <w:widowControl w:val="0"/>
        <w:ind w:left="567" w:right="567" w:firstLine="0"/>
        <w:jc w:val="both"/>
        <w:rPr>
          <w:rFonts w:ascii="Book Antiqua" w:cs="Book Antiqua" w:hAnsi="Book Antiqua" w:eastAsia="Book Antiqua"/>
          <w:color w:val="262626"/>
          <w:u w:color="1a348d"/>
        </w:rPr>
      </w:pPr>
      <w:r>
        <w:rPr>
          <w:rFonts w:ascii="Book Antiqua"/>
          <w:color w:val="262626"/>
          <w:u w:color="1a348d"/>
          <w:rtl w:val="0"/>
          <w:lang w:val="it-IT"/>
        </w:rPr>
        <w:t>Mi permetto di concludere con una nota brevissima. Ho detto che abbiamo fatto sequestro preventivo, abbiamo poi esercitato l'azione penale per persone fisiche, persone giuridiche e cos</w:t>
      </w:r>
      <w:r>
        <w:rPr>
          <w:rFonts w:hAnsi="Book Antiqua" w:hint="default"/>
          <w:color w:val="262626"/>
          <w:u w:color="1a348d"/>
          <w:rtl w:val="0"/>
          <w:lang w:val="it-IT"/>
        </w:rPr>
        <w:t xml:space="preserve">ì </w:t>
      </w:r>
      <w:r>
        <w:rPr>
          <w:rFonts w:ascii="Book Antiqua"/>
          <w:color w:val="262626"/>
          <w:u w:color="1a348d"/>
          <w:rtl w:val="0"/>
          <w:lang w:val="it-IT"/>
        </w:rPr>
        <w:t xml:space="preserve">via. Questa </w:t>
      </w:r>
      <w:r>
        <w:rPr>
          <w:rFonts w:hAnsi="Book Antiqua" w:hint="default"/>
          <w:color w:val="262626"/>
          <w:u w:color="1a348d"/>
          <w:rtl w:val="0"/>
          <w:lang w:val="it-IT"/>
        </w:rPr>
        <w:t xml:space="preserve">è </w:t>
      </w:r>
      <w:r>
        <w:rPr>
          <w:rFonts w:ascii="Book Antiqua"/>
          <w:color w:val="262626"/>
          <w:u w:color="1a348d"/>
          <w:rtl w:val="0"/>
          <w:lang w:val="it-IT"/>
        </w:rPr>
        <w:t>una materia in cui spesso bisogna fare attenzione anche alle modalit</w:t>
      </w:r>
      <w:r>
        <w:rPr>
          <w:rFonts w:hAnsi="Book Antiqua" w:hint="default"/>
          <w:color w:val="262626"/>
          <w:u w:color="1a348d"/>
          <w:rtl w:val="0"/>
          <w:lang w:val="it-IT"/>
        </w:rPr>
        <w:t>à</w:t>
      </w:r>
      <w:r>
        <w:rPr>
          <w:rFonts w:ascii="Book Antiqua"/>
          <w:color w:val="262626"/>
          <w:u w:color="1a348d"/>
          <w:rtl w:val="0"/>
          <w:lang w:val="it-IT"/>
        </w:rPr>
        <w:t>, alle forme di intervento. Abbiamo avuto difficolt</w:t>
      </w:r>
      <w:r>
        <w:rPr>
          <w:rFonts w:hAnsi="Book Antiqua" w:hint="default"/>
          <w:color w:val="262626"/>
          <w:u w:color="1a348d"/>
          <w:rtl w:val="0"/>
          <w:lang w:val="it-IT"/>
        </w:rPr>
        <w:t xml:space="preserve">à </w:t>
      </w:r>
      <w:r>
        <w:rPr>
          <w:rFonts w:ascii="Book Antiqua"/>
          <w:color w:val="262626"/>
          <w:u w:color="1a348d"/>
          <w:rtl w:val="0"/>
          <w:lang w:val="it-IT"/>
        </w:rPr>
        <w:t>notevolissime nella gestione della fase del sequestro. Il sequestro di questi plessi aziendali e delle relative attivit</w:t>
      </w:r>
      <w:r>
        <w:rPr>
          <w:rFonts w:hAnsi="Book Antiqua" w:hint="default"/>
          <w:color w:val="262626"/>
          <w:u w:color="1a348d"/>
          <w:rtl w:val="0"/>
          <w:lang w:val="it-IT"/>
        </w:rPr>
        <w:t xml:space="preserve">à </w:t>
      </w:r>
      <w:r>
        <w:rPr>
          <w:rFonts w:ascii="Book Antiqua"/>
          <w:color w:val="262626"/>
          <w:u w:color="1a348d"/>
          <w:rtl w:val="0"/>
          <w:lang w:val="it-IT"/>
        </w:rPr>
        <w:t>spesso pone l'autorit</w:t>
      </w:r>
      <w:r>
        <w:rPr>
          <w:rFonts w:hAnsi="Book Antiqua" w:hint="default"/>
          <w:color w:val="262626"/>
          <w:u w:color="1a348d"/>
          <w:rtl w:val="0"/>
          <w:lang w:val="it-IT"/>
        </w:rPr>
        <w:t xml:space="preserve">à </w:t>
      </w:r>
      <w:r>
        <w:rPr>
          <w:rFonts w:ascii="Book Antiqua"/>
          <w:color w:val="262626"/>
          <w:u w:color="1a348d"/>
          <w:rtl w:val="0"/>
          <w:lang w:val="it-IT"/>
        </w:rPr>
        <w:t>giudiziaria di fronte a un bivio, di far diventare il provvedimento cautelativo meramente formale, nel senso che io sequestro e poi devo necessariamente consegnare l'impianto a chi lo ha gestito in modo illecito e, se mi consentite il termine, truffaldino fino a quel momento. Perch</w:t>
      </w:r>
      <w:r>
        <w:rPr>
          <w:rFonts w:hAnsi="Book Antiqua" w:hint="default"/>
          <w:color w:val="262626"/>
          <w:u w:color="1a348d"/>
          <w:rtl w:val="0"/>
          <w:lang w:val="it-IT"/>
        </w:rPr>
        <w:t>é</w:t>
      </w:r>
      <w:r>
        <w:rPr>
          <w:rFonts w:ascii="Book Antiqua"/>
          <w:color w:val="262626"/>
          <w:u w:color="1a348d"/>
          <w:rtl w:val="0"/>
          <w:lang w:val="it-IT"/>
        </w:rPr>
        <w:t>? Perch</w:t>
      </w:r>
      <w:r>
        <w:rPr>
          <w:rFonts w:hAnsi="Book Antiqua" w:hint="default"/>
          <w:color w:val="262626"/>
          <w:u w:color="1a348d"/>
          <w:rtl w:val="0"/>
          <w:lang w:val="it-IT"/>
        </w:rPr>
        <w:t xml:space="preserve">é è </w:t>
      </w:r>
      <w:r>
        <w:rPr>
          <w:rFonts w:ascii="Book Antiqua"/>
          <w:color w:val="262626"/>
          <w:u w:color="1a348d"/>
          <w:rtl w:val="0"/>
          <w:lang w:val="it-IT"/>
        </w:rPr>
        <w:t xml:space="preserve">quello che ha, bene o male, sia pure con tutte le patologie del caso, il </w:t>
      </w:r>
      <w:r>
        <w:rPr>
          <w:rFonts w:ascii="Book Antiqua"/>
          <w:i w:val="1"/>
          <w:iCs w:val="1"/>
          <w:color w:val="262626"/>
          <w:u w:color="1a348d"/>
          <w:rtl w:val="0"/>
          <w:lang w:val="it-IT"/>
        </w:rPr>
        <w:t>know how</w:t>
      </w:r>
      <w:r>
        <w:rPr>
          <w:rFonts w:ascii="Book Antiqua"/>
          <w:color w:val="262626"/>
          <w:u w:color="1a348d"/>
          <w:rtl w:val="0"/>
          <w:lang w:val="it-IT"/>
        </w:rPr>
        <w:t xml:space="preserve"> per poter continuare l'attivit</w:t>
      </w:r>
      <w:r>
        <w:rPr>
          <w:rFonts w:hAnsi="Book Antiqua" w:hint="default"/>
          <w:color w:val="262626"/>
          <w:u w:color="1a348d"/>
          <w:rtl w:val="0"/>
          <w:lang w:val="it-IT"/>
        </w:rPr>
        <w:t>à</w:t>
      </w:r>
      <w:r>
        <w:rPr>
          <w:rFonts w:ascii="Book Antiqua"/>
          <w:color w:val="262626"/>
          <w:u w:color="1a348d"/>
          <w:rtl w:val="0"/>
          <w:lang w:val="it-IT"/>
        </w:rPr>
        <w:t>. Ovviamente, non sono attivit</w:t>
      </w:r>
      <w:r>
        <w:rPr>
          <w:rFonts w:hAnsi="Book Antiqua" w:hint="default"/>
          <w:color w:val="262626"/>
          <w:u w:color="1a348d"/>
          <w:rtl w:val="0"/>
          <w:lang w:val="it-IT"/>
        </w:rPr>
        <w:t xml:space="preserve">à </w:t>
      </w:r>
      <w:r>
        <w:rPr>
          <w:rFonts w:ascii="Book Antiqua"/>
          <w:color w:val="262626"/>
          <w:u w:color="1a348d"/>
          <w:rtl w:val="0"/>
          <w:lang w:val="it-IT"/>
        </w:rPr>
        <w:t>paragonabili ad altre attivit</w:t>
      </w:r>
      <w:r>
        <w:rPr>
          <w:rFonts w:hAnsi="Book Antiqua" w:hint="default"/>
          <w:color w:val="262626"/>
          <w:u w:color="1a348d"/>
          <w:rtl w:val="0"/>
          <w:lang w:val="it-IT"/>
        </w:rPr>
        <w:t xml:space="preserve">à </w:t>
      </w:r>
      <w:r>
        <w:rPr>
          <w:rFonts w:ascii="Book Antiqua"/>
          <w:color w:val="262626"/>
          <w:u w:color="1a348d"/>
          <w:rtl w:val="0"/>
          <w:lang w:val="it-IT"/>
        </w:rPr>
        <w:t xml:space="preserve">criminali, che chiudi </w:t>
      </w:r>
      <w:r>
        <w:rPr>
          <w:rFonts w:ascii="Book Antiqua"/>
          <w:i w:val="1"/>
          <w:iCs w:val="1"/>
          <w:color w:val="262626"/>
          <w:u w:color="1a348d"/>
          <w:rtl w:val="0"/>
          <w:lang w:val="it-IT"/>
        </w:rPr>
        <w:t>tout court</w:t>
      </w:r>
      <w:r>
        <w:rPr>
          <w:rFonts w:ascii="Book Antiqua"/>
          <w:color w:val="262626"/>
          <w:u w:color="1a348d"/>
          <w:rtl w:val="0"/>
          <w:lang w:val="it-IT"/>
        </w:rPr>
        <w:t xml:space="preserve"> e la cessazione di per s</w:t>
      </w:r>
      <w:r>
        <w:rPr>
          <w:rFonts w:hAnsi="Book Antiqua" w:hint="default"/>
          <w:color w:val="262626"/>
          <w:u w:color="1a348d"/>
          <w:rtl w:val="0"/>
          <w:lang w:val="it-IT"/>
        </w:rPr>
        <w:t xml:space="preserve">é </w:t>
      </w:r>
      <w:r>
        <w:rPr>
          <w:rFonts w:ascii="Book Antiqua"/>
          <w:color w:val="262626"/>
          <w:u w:color="1a348d"/>
          <w:rtl w:val="0"/>
          <w:lang w:val="it-IT"/>
        </w:rPr>
        <w:t>dell'attivit</w:t>
      </w:r>
      <w:r>
        <w:rPr>
          <w:rFonts w:hAnsi="Book Antiqua" w:hint="default"/>
          <w:color w:val="262626"/>
          <w:u w:color="1a348d"/>
          <w:rtl w:val="0"/>
          <w:lang w:val="it-IT"/>
        </w:rPr>
        <w:t xml:space="preserve">à è </w:t>
      </w:r>
      <w:r>
        <w:rPr>
          <w:rFonts w:ascii="Book Antiqua"/>
          <w:color w:val="262626"/>
          <w:u w:color="1a348d"/>
          <w:rtl w:val="0"/>
          <w:lang w:val="it-IT"/>
        </w:rPr>
        <w:t>gi</w:t>
      </w:r>
      <w:r>
        <w:rPr>
          <w:rFonts w:hAnsi="Book Antiqua" w:hint="default"/>
          <w:color w:val="262626"/>
          <w:u w:color="1a348d"/>
          <w:rtl w:val="0"/>
          <w:lang w:val="it-IT"/>
        </w:rPr>
        <w:t xml:space="preserve">à </w:t>
      </w:r>
      <w:r>
        <w:rPr>
          <w:rFonts w:ascii="Book Antiqua"/>
          <w:color w:val="262626"/>
          <w:u w:color="1a348d"/>
          <w:rtl w:val="0"/>
          <w:lang w:val="it-IT"/>
        </w:rPr>
        <w:t>un vantaggio per la societ</w:t>
      </w:r>
      <w:r>
        <w:rPr>
          <w:rFonts w:hAnsi="Book Antiqua" w:hint="default"/>
          <w:color w:val="262626"/>
          <w:u w:color="1a348d"/>
          <w:rtl w:val="0"/>
          <w:lang w:val="it-IT"/>
        </w:rPr>
        <w:t>à</w:t>
      </w:r>
      <w:r>
        <w:rPr>
          <w:rFonts w:ascii="Book Antiqua"/>
          <w:color w:val="262626"/>
          <w:u w:color="1a348d"/>
          <w:rtl w:val="0"/>
          <w:lang w:val="it-IT"/>
        </w:rPr>
        <w:t xml:space="preserve">. Per capirci, chiudere i due impianti di trattamento di Frosinone di cui vi ho parlato significava che dalla mattina dopo gli ospedali di Roma non sapevano dove portare i rifiuti. Se vogliamo invece scegliere </w:t>
      </w:r>
      <w:r>
        <w:rPr>
          <w:rFonts w:hAnsi="Book Antiqua" w:hint="default"/>
          <w:color w:val="262626"/>
          <w:u w:color="1a348d"/>
          <w:rtl w:val="0"/>
          <w:lang w:val="it-IT"/>
        </w:rPr>
        <w:t xml:space="preserve">– </w:t>
      </w:r>
      <w:r>
        <w:rPr>
          <w:rFonts w:ascii="Book Antiqua"/>
          <w:color w:val="262626"/>
          <w:u w:color="1a348d"/>
          <w:rtl w:val="0"/>
          <w:lang w:val="it-IT"/>
        </w:rPr>
        <w:t xml:space="preserve">parlavo di un bivio </w:t>
      </w:r>
      <w:r>
        <w:rPr>
          <w:rFonts w:hAnsi="Book Antiqua" w:hint="default"/>
          <w:color w:val="262626"/>
          <w:u w:color="1a348d"/>
          <w:rtl w:val="0"/>
          <w:lang w:val="it-IT"/>
        </w:rPr>
        <w:t xml:space="preserve">– </w:t>
      </w:r>
      <w:r>
        <w:rPr>
          <w:rFonts w:ascii="Book Antiqua"/>
          <w:color w:val="262626"/>
          <w:u w:color="1a348d"/>
          <w:rtl w:val="0"/>
          <w:lang w:val="it-IT"/>
        </w:rPr>
        <w:t xml:space="preserve">la strada non formale, allora servono persone, amministratori. Qui non </w:t>
      </w:r>
      <w:r>
        <w:rPr>
          <w:rFonts w:hAnsi="Book Antiqua" w:hint="default"/>
          <w:color w:val="262626"/>
          <w:u w:color="1a348d"/>
          <w:rtl w:val="0"/>
          <w:lang w:val="it-IT"/>
        </w:rPr>
        <w:t xml:space="preserve">è </w:t>
      </w:r>
      <w:r>
        <w:rPr>
          <w:rFonts w:ascii="Book Antiqua"/>
          <w:color w:val="262626"/>
          <w:u w:color="1a348d"/>
          <w:rtl w:val="0"/>
          <w:lang w:val="it-IT"/>
        </w:rPr>
        <w:t>un problema di custode, non si pu</w:t>
      </w:r>
      <w:r>
        <w:rPr>
          <w:rFonts w:hAnsi="Book Antiqua" w:hint="default"/>
          <w:color w:val="262626"/>
          <w:u w:color="1a348d"/>
          <w:rtl w:val="0"/>
          <w:lang w:val="it-IT"/>
        </w:rPr>
        <w:t xml:space="preserve">ò </w:t>
      </w:r>
      <w:r>
        <w:rPr>
          <w:rFonts w:ascii="Book Antiqua"/>
          <w:color w:val="262626"/>
          <w:u w:color="1a348d"/>
          <w:rtl w:val="0"/>
          <w:lang w:val="it-IT"/>
        </w:rPr>
        <w:t>nominare un custode. Ci vuole uno che gestisce un'attivit</w:t>
      </w:r>
      <w:r>
        <w:rPr>
          <w:rFonts w:hAnsi="Book Antiqua" w:hint="default"/>
          <w:color w:val="262626"/>
          <w:u w:color="1a348d"/>
          <w:rtl w:val="0"/>
          <w:lang w:val="it-IT"/>
        </w:rPr>
        <w:t xml:space="preserve">à </w:t>
      </w:r>
      <w:r>
        <w:rPr>
          <w:rFonts w:ascii="Book Antiqua"/>
          <w:color w:val="262626"/>
          <w:u w:color="1a348d"/>
          <w:rtl w:val="0"/>
          <w:lang w:val="it-IT"/>
        </w:rPr>
        <w:t>d'impresa e che lo sappia fare. Allora, bisogna trovare i tecnici preparati, attrezzati professionalmente, che hanno studi e che si dedichino a questo tipo di attivit</w:t>
      </w:r>
      <w:r>
        <w:rPr>
          <w:rFonts w:hAnsi="Book Antiqua" w:hint="default"/>
          <w:color w:val="262626"/>
          <w:u w:color="1a348d"/>
          <w:rtl w:val="0"/>
          <w:lang w:val="it-IT"/>
        </w:rPr>
        <w:t>à</w:t>
      </w:r>
      <w:r>
        <w:rPr>
          <w:rFonts w:ascii="Book Antiqua"/>
          <w:color w:val="262626"/>
          <w:u w:color="1a348d"/>
          <w:rtl w:val="0"/>
          <w:lang w:val="it-IT"/>
        </w:rPr>
        <w:t>, ma tutto questo ha un costo, perch</w:t>
      </w:r>
      <w:r>
        <w:rPr>
          <w:rFonts w:hAnsi="Book Antiqua" w:hint="default"/>
          <w:color w:val="262626"/>
          <w:u w:color="1a348d"/>
          <w:rtl w:val="0"/>
          <w:lang w:val="it-IT"/>
        </w:rPr>
        <w:t xml:space="preserve">é </w:t>
      </w:r>
      <w:r>
        <w:rPr>
          <w:rFonts w:ascii="Book Antiqua"/>
          <w:color w:val="262626"/>
          <w:u w:color="1a348d"/>
          <w:rtl w:val="0"/>
          <w:lang w:val="it-IT"/>
        </w:rPr>
        <w:t xml:space="preserve">sono professionisti che hanno un </w:t>
      </w:r>
      <w:r>
        <w:rPr>
          <w:rFonts w:ascii="Book Antiqua"/>
          <w:i w:val="1"/>
          <w:iCs w:val="1"/>
          <w:color w:val="262626"/>
          <w:u w:color="1a348d"/>
          <w:rtl w:val="0"/>
          <w:lang w:val="it-IT"/>
        </w:rPr>
        <w:t>budget</w:t>
      </w:r>
      <w:r>
        <w:rPr>
          <w:rFonts w:ascii="Book Antiqua"/>
          <w:color w:val="262626"/>
          <w:u w:color="1a348d"/>
          <w:rtl w:val="0"/>
          <w:lang w:val="it-IT"/>
        </w:rPr>
        <w:t>, si fanno pagare per le attivit</w:t>
      </w:r>
      <w:r>
        <w:rPr>
          <w:rFonts w:hAnsi="Book Antiqua" w:hint="default"/>
          <w:color w:val="262626"/>
          <w:u w:color="1a348d"/>
          <w:rtl w:val="0"/>
          <w:lang w:val="it-IT"/>
        </w:rPr>
        <w:t xml:space="preserve">à </w:t>
      </w:r>
      <w:r>
        <w:rPr>
          <w:rFonts w:ascii="Book Antiqua"/>
          <w:color w:val="262626"/>
          <w:u w:color="1a348d"/>
          <w:rtl w:val="0"/>
          <w:lang w:val="it-IT"/>
        </w:rPr>
        <w:t>che svolgono.</w:t>
      </w:r>
      <w:r>
        <w:rPr>
          <w:rFonts w:hAnsi="Book Antiqua" w:hint="default"/>
          <w:color w:val="262626"/>
          <w:u w:color="1a348d"/>
          <w:rtl w:val="0"/>
          <w:lang w:val="it-IT"/>
        </w:rPr>
        <w:t>”</w:t>
      </w:r>
    </w:p>
    <w:p>
      <w:pPr>
        <w:pStyle w:val="Normal"/>
        <w:ind w:left="567" w:firstLine="0"/>
        <w:rPr>
          <w:rFonts w:ascii="Book Antiqua" w:cs="Book Antiqua" w:hAnsi="Book Antiqua" w:eastAsia="Book Antiqua"/>
          <w:color w:val="262626"/>
          <w:u w:color="1a348d"/>
        </w:rPr>
      </w:pPr>
    </w:p>
    <w:p>
      <w:pPr>
        <w:pStyle w:val="Normal"/>
        <w:ind w:left="567" w:right="567" w:firstLine="0"/>
        <w:jc w:val="both"/>
        <w:rPr>
          <w:rFonts w:ascii="Book Antiqua" w:cs="Book Antiqua" w:hAnsi="Book Antiqua" w:eastAsia="Book Antiqua"/>
        </w:rPr>
      </w:pPr>
    </w:p>
    <w:p>
      <w:pPr>
        <w:pStyle w:val="List Paragraph"/>
        <w:numPr>
          <w:ilvl w:val="2"/>
          <w:numId w:val="153"/>
        </w:numPr>
        <w:tabs>
          <w:tab w:val="num" w:pos="1183"/>
          <w:tab w:val="clear" w:pos="1286"/>
        </w:tabs>
        <w:bidi w:val="0"/>
        <w:ind w:left="1183" w:right="567" w:hanging="617"/>
        <w:jc w:val="both"/>
        <w:rPr>
          <w:rFonts w:ascii="Book Antiqua" w:cs="Book Antiqua" w:hAnsi="Book Antiqua" w:eastAsia="Book Antiqua"/>
          <w:position w:val="0"/>
          <w:sz w:val="28"/>
          <w:szCs w:val="28"/>
          <w:rtl w:val="0"/>
        </w:rPr>
      </w:pPr>
      <w:r>
        <w:rPr>
          <w:rFonts w:ascii="Book Antiqua"/>
          <w:sz w:val="28"/>
          <w:szCs w:val="28"/>
          <w:rtl w:val="0"/>
          <w:lang w:val="it-IT"/>
        </w:rPr>
        <w:t xml:space="preserve">La problematica dei rifiuti con codici a specchio </w:t>
      </w:r>
    </w:p>
    <w:p>
      <w:pPr>
        <w:pStyle w:val="List Paragraph"/>
        <w:ind w:left="567" w:right="567" w:firstLine="0"/>
        <w:jc w:val="both"/>
        <w:rPr>
          <w:rFonts w:ascii="Book Antiqua" w:cs="Book Antiqua" w:hAnsi="Book Antiqua" w:eastAsia="Book Antiqua"/>
        </w:rPr>
      </w:pPr>
    </w:p>
    <w:p>
      <w:pPr>
        <w:pStyle w:val="List Paragraph"/>
        <w:ind w:left="567" w:right="567" w:firstLine="0"/>
        <w:jc w:val="both"/>
        <w:rPr>
          <w:rFonts w:ascii="Book Antiqua" w:cs="Book Antiqua" w:hAnsi="Book Antiqua" w:eastAsia="Book Antiqua"/>
        </w:rPr>
      </w:pPr>
      <w:r>
        <w:rPr>
          <w:rFonts w:ascii="Book Antiqua"/>
          <w:rtl w:val="0"/>
          <w:lang w:val="it-IT"/>
        </w:rPr>
        <w:t xml:space="preserve">Assume carattere di questione generale la problematica dei rifiuti con codici a specchio, nella quale la Commissione, nel corso delle indagini sulla gestione dei rifiuti nella regione Lazio, si </w:t>
      </w:r>
      <w:r>
        <w:rPr>
          <w:rFonts w:hAnsi="Book Antiqua" w:hint="default"/>
          <w:rtl w:val="0"/>
          <w:lang w:val="it-IT"/>
        </w:rPr>
        <w:t xml:space="preserve">è </w:t>
      </w:r>
      <w:r>
        <w:rPr>
          <w:rFonts w:ascii="Book Antiqua"/>
          <w:rtl w:val="0"/>
          <w:lang w:val="it-IT"/>
        </w:rPr>
        <w:t>pi</w:t>
      </w:r>
      <w:r>
        <w:rPr>
          <w:rFonts w:hAnsi="Book Antiqua" w:hint="default"/>
          <w:rtl w:val="0"/>
          <w:lang w:val="it-IT"/>
        </w:rPr>
        <w:t xml:space="preserve">ù </w:t>
      </w:r>
      <w:r>
        <w:rPr>
          <w:rFonts w:ascii="Book Antiqua"/>
          <w:rtl w:val="0"/>
          <w:lang w:val="it-IT"/>
        </w:rPr>
        <w:t>volte imbattuta: in particolare, essa ricorre nelle audizioni del procuratore della Repubblica di Frosinone, De Falco, del sostituto procuratore di Roma, Galanti, e in quelle dell</w:t>
      </w:r>
      <w:r>
        <w:rPr>
          <w:rFonts w:hAnsi="Book Antiqua" w:hint="default"/>
          <w:rtl w:val="0"/>
          <w:lang w:val="it-IT"/>
        </w:rPr>
        <w:t>’</w:t>
      </w:r>
      <w:r>
        <w:rPr>
          <w:rFonts w:ascii="Book Antiqua"/>
          <w:rtl w:val="0"/>
          <w:lang w:val="it-IT"/>
        </w:rPr>
        <w:t>ARPA Lazio a proposito dei rifiuti oggetto dell</w:t>
      </w:r>
      <w:r>
        <w:rPr>
          <w:rFonts w:hAnsi="Book Antiqua" w:hint="default"/>
          <w:rtl w:val="0"/>
          <w:lang w:val="it-IT"/>
        </w:rPr>
        <w:t>’</w:t>
      </w:r>
      <w:r>
        <w:rPr>
          <w:rFonts w:ascii="Book Antiqua"/>
          <w:rtl w:val="0"/>
          <w:lang w:val="it-IT"/>
        </w:rPr>
        <w:t>incendio alla Eco X di Pomezia</w:t>
      </w:r>
      <w:r>
        <w:rPr>
          <w:rFonts w:ascii="Book Antiqua" w:cs="Book Antiqua" w:hAnsi="Book Antiqua" w:eastAsia="Book Antiqua"/>
          <w:vertAlign w:val="superscript"/>
          <w:rtl w:val="0"/>
        </w:rPr>
        <w:footnoteReference w:id="260"/>
      </w:r>
      <w:r>
        <w:rPr>
          <w:rFonts w:ascii="Book Antiqua"/>
          <w:rtl w:val="0"/>
          <w:lang w:val="it-IT"/>
        </w:rPr>
        <w:t>.</w:t>
      </w:r>
    </w:p>
    <w:p>
      <w:pPr>
        <w:pStyle w:val="Normal"/>
        <w:ind w:left="567" w:right="567" w:firstLine="0"/>
        <w:jc w:val="both"/>
        <w:outlineLvl w:val="1"/>
        <w:rPr>
          <w:rFonts w:ascii="Book Antiqua" w:cs="Book Antiqua" w:hAnsi="Book Antiqua" w:eastAsia="Book Antiqua"/>
        </w:rPr>
      </w:pPr>
      <w:r>
        <w:rPr>
          <w:rFonts w:ascii="Book Antiqua"/>
          <w:rtl w:val="0"/>
          <w:lang w:val="it-IT"/>
        </w:rPr>
        <w:t xml:space="preserve">Come si </w:t>
      </w:r>
      <w:r>
        <w:rPr>
          <w:rFonts w:hAnsi="Book Antiqua" w:hint="default"/>
          <w:rtl w:val="0"/>
          <w:lang w:val="it-IT"/>
        </w:rPr>
        <w:t xml:space="preserve">è </w:t>
      </w:r>
      <w:r>
        <w:rPr>
          <w:rFonts w:ascii="Book Antiqua"/>
          <w:rtl w:val="0"/>
          <w:lang w:val="it-IT"/>
        </w:rPr>
        <w:t xml:space="preserve">visto, un complesso procedimento della DDA di Roma, tuttora in corso, denominato </w:t>
      </w:r>
      <w:r>
        <w:rPr>
          <w:rFonts w:hAnsi="Book Antiqua" w:hint="default"/>
          <w:rtl w:val="0"/>
          <w:lang w:val="it-IT"/>
        </w:rPr>
        <w:t>“</w:t>
      </w:r>
      <w:r>
        <w:rPr>
          <w:rFonts w:ascii="Book Antiqua"/>
          <w:rtl w:val="0"/>
          <w:lang w:val="it-IT"/>
        </w:rPr>
        <w:t>operazione Maschera</w:t>
      </w:r>
      <w:r>
        <w:rPr>
          <w:rFonts w:hAnsi="Book Antiqua" w:hint="default"/>
          <w:rtl w:val="0"/>
          <w:lang w:val="it-IT"/>
        </w:rPr>
        <w:t>”</w:t>
      </w:r>
      <w:r>
        <w:rPr>
          <w:rFonts w:ascii="Book Antiqua"/>
          <w:rtl w:val="0"/>
          <w:lang w:val="it-IT"/>
        </w:rPr>
        <w:t>, si basa proprio sulla esatta qualifica di questi rifiuti.</w:t>
      </w:r>
    </w:p>
    <w:p>
      <w:pPr>
        <w:pStyle w:val="Normal"/>
        <w:ind w:left="567" w:right="567" w:firstLine="0"/>
        <w:jc w:val="both"/>
        <w:outlineLvl w:val="1"/>
        <w:rPr>
          <w:rFonts w:ascii="Book Antiqua" w:cs="Book Antiqua" w:hAnsi="Book Antiqua" w:eastAsia="Book Antiqua"/>
        </w:rPr>
      </w:pPr>
      <w:r>
        <w:rPr>
          <w:rFonts w:ascii="Book Antiqua"/>
          <w:rtl w:val="0"/>
          <w:lang w:val="it-IT"/>
        </w:rPr>
        <w:t>Trattasi di questione tecnico-giuridica molto complessa, pi</w:t>
      </w:r>
      <w:r>
        <w:rPr>
          <w:rFonts w:hAnsi="Book Antiqua" w:hint="default"/>
          <w:rtl w:val="0"/>
          <w:lang w:val="it-IT"/>
        </w:rPr>
        <w:t xml:space="preserve">ù </w:t>
      </w:r>
      <w:r>
        <w:rPr>
          <w:rFonts w:ascii="Book Antiqua"/>
          <w:rtl w:val="0"/>
          <w:lang w:val="it-IT"/>
        </w:rPr>
        <w:t>volte trattata, con toni anche aspri, in dottrina, e oggetto di contrastanti pronunce in giurisprudenza e di due interventi espressi del legislatore, una prima volta con la legge 11 agosto 2014, n. 116. ed una seconda volta (per abrogare il disposto della predetta legge) con l</w:t>
      </w:r>
      <w:r>
        <w:rPr>
          <w:rFonts w:hAnsi="Book Antiqua" w:hint="default"/>
          <w:rtl w:val="0"/>
          <w:lang w:val="it-IT"/>
        </w:rPr>
        <w:t>’</w:t>
      </w:r>
      <w:r>
        <w:rPr>
          <w:rFonts w:ascii="Book Antiqua"/>
          <w:rtl w:val="0"/>
          <w:lang w:val="it-IT"/>
        </w:rPr>
        <w:t xml:space="preserve">articolo 9 del decreto legge n. 91 del 20 giugno 2017. </w:t>
      </w:r>
    </w:p>
    <w:p>
      <w:pPr>
        <w:pStyle w:val="Normal"/>
        <w:ind w:left="567" w:right="567" w:firstLine="0"/>
        <w:jc w:val="both"/>
        <w:outlineLvl w:val="1"/>
        <w:rPr>
          <w:rFonts w:ascii="Book Antiqua" w:cs="Book Antiqua" w:hAnsi="Book Antiqua" w:eastAsia="Book Antiqua"/>
        </w:rPr>
      </w:pPr>
      <w:r>
        <w:rPr>
          <w:rFonts w:ascii="Book Antiqua"/>
          <w:rtl w:val="0"/>
          <w:lang w:val="it-IT"/>
        </w:rPr>
        <w:t xml:space="preserve">Attualmente, la problematica </w:t>
      </w:r>
      <w:r>
        <w:rPr>
          <w:rFonts w:hAnsi="Book Antiqua" w:hint="default"/>
          <w:rtl w:val="0"/>
          <w:lang w:val="it-IT"/>
        </w:rPr>
        <w:t xml:space="preserve">è </w:t>
      </w:r>
      <w:r>
        <w:rPr>
          <w:rFonts w:ascii="Book Antiqua"/>
          <w:rtl w:val="0"/>
          <w:lang w:val="it-IT"/>
        </w:rPr>
        <w:t>stata devoluta, con un rinvio pregiudiziale, dalla Cassazione alla Corte europea di giustizia.</w:t>
      </w:r>
    </w:p>
    <w:p>
      <w:pPr>
        <w:pStyle w:val="Normal"/>
        <w:ind w:left="567" w:right="567" w:firstLine="0"/>
        <w:jc w:val="both"/>
        <w:outlineLvl w:val="1"/>
        <w:rPr>
          <w:rFonts w:ascii="Book Antiqua" w:cs="Book Antiqua" w:hAnsi="Book Antiqua" w:eastAsia="Book Antiqua"/>
        </w:rPr>
      </w:pPr>
      <w:r>
        <w:rPr>
          <w:rFonts w:ascii="Book Antiqua"/>
          <w:rtl w:val="0"/>
          <w:lang w:val="it-IT"/>
        </w:rPr>
        <w:t>L</w:t>
      </w:r>
      <w:r>
        <w:rPr>
          <w:rFonts w:hAnsi="Book Antiqua" w:hint="default"/>
          <w:rtl w:val="0"/>
          <w:lang w:val="it-IT"/>
        </w:rPr>
        <w:t>’</w:t>
      </w:r>
      <w:r>
        <w:rPr>
          <w:rFonts w:ascii="Book Antiqua"/>
          <w:rtl w:val="0"/>
          <w:lang w:val="it-IT"/>
        </w:rPr>
        <w:t>ordinanza</w:t>
      </w:r>
      <w:r>
        <w:rPr>
          <w:rFonts w:ascii="Book Antiqua" w:cs="Book Antiqua" w:hAnsi="Book Antiqua" w:eastAsia="Book Antiqua"/>
          <w:vertAlign w:val="superscript"/>
          <w:rtl w:val="0"/>
        </w:rPr>
        <w:footnoteReference w:id="261"/>
      </w:r>
      <w:r>
        <w:rPr>
          <w:rFonts w:ascii="Book Antiqua"/>
          <w:rtl w:val="0"/>
          <w:lang w:val="it-IT"/>
        </w:rPr>
        <w:t>, peraltro, riguarda proprio il procedimento, gi</w:t>
      </w:r>
      <w:r>
        <w:rPr>
          <w:rFonts w:hAnsi="Book Antiqua" w:hint="default"/>
          <w:rtl w:val="0"/>
          <w:lang w:val="it-IT"/>
        </w:rPr>
        <w:t xml:space="preserve">à </w:t>
      </w:r>
      <w:r>
        <w:rPr>
          <w:rFonts w:ascii="Book Antiqua"/>
          <w:rtl w:val="0"/>
          <w:lang w:val="it-IT"/>
        </w:rPr>
        <w:t xml:space="preserve">citato, relativo alla </w:t>
      </w:r>
      <w:r>
        <w:rPr>
          <w:rFonts w:hAnsi="Book Antiqua" w:hint="default"/>
          <w:rtl w:val="0"/>
          <w:lang w:val="it-IT"/>
        </w:rPr>
        <w:t>“</w:t>
      </w:r>
      <w:r>
        <w:rPr>
          <w:rFonts w:ascii="Book Antiqua"/>
          <w:rtl w:val="0"/>
          <w:lang w:val="it-IT"/>
        </w:rPr>
        <w:t>operazione Maschera</w:t>
      </w:r>
      <w:r>
        <w:rPr>
          <w:rFonts w:hAnsi="Book Antiqua" w:hint="default"/>
          <w:rtl w:val="0"/>
          <w:lang w:val="it-IT"/>
        </w:rPr>
        <w:t>”</w:t>
      </w:r>
      <w:r>
        <w:rPr>
          <w:rFonts w:ascii="Book Antiqua"/>
          <w:rtl w:val="0"/>
          <w:lang w:val="it-IT"/>
        </w:rPr>
        <w:t>, su ricorso del pubblico ministero avverso una ordinanza del tribunale del riesame di Roma attinente ai sequestri eseguiti nel corso della operazione.</w:t>
      </w:r>
    </w:p>
    <w:p>
      <w:pPr>
        <w:pStyle w:val="Normal"/>
        <w:shd w:val="clear" w:color="auto" w:fill="ffffff"/>
        <w:ind w:left="567" w:right="567" w:firstLine="0"/>
        <w:jc w:val="both"/>
        <w:rPr>
          <w:rFonts w:ascii="Book Antiqua" w:cs="Book Antiqua" w:hAnsi="Book Antiqua" w:eastAsia="Book Antiqua"/>
        </w:rPr>
      </w:pPr>
      <w:r>
        <w:rPr>
          <w:rFonts w:ascii="Book Antiqua"/>
          <w:rtl w:val="0"/>
          <w:lang w:val="it-IT"/>
        </w:rPr>
        <w:t xml:space="preserve">Trattasi, come si </w:t>
      </w:r>
      <w:r>
        <w:rPr>
          <w:rFonts w:hAnsi="Book Antiqua" w:hint="default"/>
          <w:rtl w:val="0"/>
          <w:lang w:val="it-IT"/>
        </w:rPr>
        <w:t xml:space="preserve">è </w:t>
      </w:r>
      <w:r>
        <w:rPr>
          <w:rFonts w:ascii="Book Antiqua"/>
          <w:rtl w:val="0"/>
          <w:lang w:val="it-IT"/>
        </w:rPr>
        <w:t>detto, di un complesso procedimento penale nei confronti di trentuno indagati. I soggetti coinvolti sono i gestori della discarica che riceveva i rifiuti, i responsabili delle societ</w:t>
      </w:r>
      <w:r>
        <w:rPr>
          <w:rFonts w:hAnsi="Book Antiqua" w:hint="default"/>
          <w:rtl w:val="0"/>
          <w:lang w:val="it-IT"/>
        </w:rPr>
        <w:t xml:space="preserve">à </w:t>
      </w:r>
      <w:r>
        <w:rPr>
          <w:rFonts w:ascii="Book Antiqua"/>
          <w:rtl w:val="0"/>
          <w:lang w:val="it-IT"/>
        </w:rPr>
        <w:t>conferenti e i professionisti e i laboratori di analisi che si ritiene abbiano eseguito le analisi dei rifiuti in maniera compiacente.</w:t>
      </w:r>
    </w:p>
    <w:p>
      <w:pPr>
        <w:pStyle w:val="Normal"/>
        <w:shd w:val="clear" w:color="auto" w:fill="ffffff"/>
        <w:ind w:left="567" w:right="567" w:firstLine="0"/>
        <w:jc w:val="both"/>
        <w:rPr>
          <w:rFonts w:ascii="Book Antiqua" w:cs="Book Antiqua" w:hAnsi="Book Antiqua" w:eastAsia="Book Antiqua"/>
        </w:rPr>
      </w:pPr>
      <w:r>
        <w:rPr>
          <w:rFonts w:ascii="Book Antiqua"/>
          <w:rtl w:val="0"/>
          <w:lang w:val="it-IT"/>
        </w:rPr>
        <w:t>Si ipotizzano a loro carico ed a vario titolo, diversi reati: articoli 260 del decreto legislativo n. 152 del 2006, 110 e 81 del codice penale, attivit</w:t>
      </w:r>
      <w:r>
        <w:rPr>
          <w:rFonts w:hAnsi="Book Antiqua" w:hint="default"/>
          <w:rtl w:val="0"/>
          <w:lang w:val="it-IT"/>
        </w:rPr>
        <w:t xml:space="preserve">à </w:t>
      </w:r>
      <w:r>
        <w:rPr>
          <w:rFonts w:ascii="Book Antiqua"/>
          <w:rtl w:val="0"/>
          <w:lang w:val="it-IT"/>
        </w:rPr>
        <w:t>organizzate per il traffico illecito di rifiuti, concretatesi nel conferimento, da parte di pi</w:t>
      </w:r>
      <w:r>
        <w:rPr>
          <w:rFonts w:hAnsi="Book Antiqua" w:hint="default"/>
          <w:rtl w:val="0"/>
          <w:lang w:val="it-IT"/>
        </w:rPr>
        <w:t xml:space="preserve">ù </w:t>
      </w:r>
      <w:r>
        <w:rPr>
          <w:rFonts w:ascii="Book Antiqua"/>
          <w:rtl w:val="0"/>
          <w:lang w:val="it-IT"/>
        </w:rPr>
        <w:t>societ</w:t>
      </w:r>
      <w:r>
        <w:rPr>
          <w:rFonts w:hAnsi="Book Antiqua" w:hint="default"/>
          <w:rtl w:val="0"/>
          <w:lang w:val="it-IT"/>
        </w:rPr>
        <w:t>à</w:t>
      </w:r>
      <w:r>
        <w:rPr>
          <w:rFonts w:ascii="Book Antiqua"/>
          <w:rtl w:val="0"/>
          <w:lang w:val="it-IT"/>
        </w:rPr>
        <w:t>, di rifiuti da loro trattati classificabili con voci speculari, da loro trattati, presso discarica autorizzata per i rifiuti non pericolosi, qualificandoli come tali in forza di analisi quantitative e qualitative non esaustive, fornite, con la consapevolezza della loro parzialit</w:t>
      </w:r>
      <w:r>
        <w:rPr>
          <w:rFonts w:hAnsi="Book Antiqua" w:hint="default"/>
          <w:rtl w:val="0"/>
          <w:lang w:val="it-IT"/>
        </w:rPr>
        <w:t>à</w:t>
      </w:r>
      <w:r>
        <w:rPr>
          <w:rFonts w:ascii="Book Antiqua"/>
          <w:rtl w:val="0"/>
          <w:lang w:val="it-IT"/>
        </w:rPr>
        <w:t>, da pi</w:t>
      </w:r>
      <w:r>
        <w:rPr>
          <w:rFonts w:hAnsi="Book Antiqua" w:hint="default"/>
          <w:rtl w:val="0"/>
          <w:lang w:val="it-IT"/>
        </w:rPr>
        <w:t xml:space="preserve">ù </w:t>
      </w:r>
      <w:r>
        <w:rPr>
          <w:rFonts w:ascii="Book Antiqua"/>
          <w:rtl w:val="0"/>
          <w:lang w:val="it-IT"/>
        </w:rPr>
        <w:t>laboratori (capo A dell</w:t>
      </w:r>
      <w:r>
        <w:rPr>
          <w:rFonts w:hAnsi="Book Antiqua" w:hint="default"/>
          <w:rtl w:val="0"/>
          <w:lang w:val="it-IT"/>
        </w:rPr>
        <w:t>’</w:t>
      </w:r>
      <w:r>
        <w:rPr>
          <w:rFonts w:ascii="Book Antiqua"/>
          <w:rtl w:val="0"/>
          <w:lang w:val="it-IT"/>
        </w:rPr>
        <w:t>incolpazione; fatti commessi nel 2014 e nel 2015 con condotta perdurante); attivit</w:t>
      </w:r>
      <w:r>
        <w:rPr>
          <w:rFonts w:hAnsi="Book Antiqua" w:hint="default"/>
          <w:rtl w:val="0"/>
          <w:lang w:val="it-IT"/>
        </w:rPr>
        <w:t xml:space="preserve">à </w:t>
      </w:r>
      <w:r>
        <w:rPr>
          <w:rFonts w:ascii="Book Antiqua"/>
          <w:rtl w:val="0"/>
          <w:lang w:val="it-IT"/>
        </w:rPr>
        <w:t>organizzate per il traffico illecito di rifiuti, concretatesi nel conferimento in discarica, da parte di societ</w:t>
      </w:r>
      <w:r>
        <w:rPr>
          <w:rFonts w:hAnsi="Book Antiqua" w:hint="default"/>
          <w:rtl w:val="0"/>
          <w:lang w:val="it-IT"/>
        </w:rPr>
        <w:t xml:space="preserve">à </w:t>
      </w:r>
      <w:r>
        <w:rPr>
          <w:rFonts w:ascii="Book Antiqua"/>
          <w:rtl w:val="0"/>
          <w:lang w:val="it-IT"/>
        </w:rPr>
        <w:t>autorizzata al trattamento di RSU indifferenziati e differenziati, di ingenti quantitativi di rifiuti generati dallo scarso o inefficace trattamento di recupero, attribuendo codici identificativi non corretti (capo B dell</w:t>
      </w:r>
      <w:r>
        <w:rPr>
          <w:rFonts w:hAnsi="Book Antiqua" w:hint="default"/>
          <w:rtl w:val="0"/>
          <w:lang w:val="it-IT"/>
        </w:rPr>
        <w:t>’</w:t>
      </w:r>
      <w:r>
        <w:rPr>
          <w:rFonts w:ascii="Book Antiqua"/>
          <w:rtl w:val="0"/>
          <w:lang w:val="it-IT"/>
        </w:rPr>
        <w:t>incolpazione; fatti commessi nel 2013, 2014 e 2015 con condotta perdurante); articoli 110, 81 codice penale 29-quattordecies comma 3, lett. b) del decreto legislativo. n. 152 del 2006, inosservanza delle prescrizioni imposte dall</w:t>
      </w:r>
      <w:r>
        <w:rPr>
          <w:rFonts w:hAnsi="Book Antiqua" w:hint="default"/>
          <w:rtl w:val="0"/>
          <w:lang w:val="it-IT"/>
        </w:rPr>
        <w:t>’</w:t>
      </w:r>
      <w:r>
        <w:rPr>
          <w:rFonts w:ascii="Book Antiqua"/>
          <w:rtl w:val="0"/>
          <w:lang w:val="it-IT"/>
        </w:rPr>
        <w:t>autorizzazione integrata ambientale per l</w:t>
      </w:r>
      <w:r>
        <w:rPr>
          <w:rFonts w:hAnsi="Book Antiqua" w:hint="default"/>
          <w:rtl w:val="0"/>
          <w:lang w:val="it-IT"/>
        </w:rPr>
        <w:t>’</w:t>
      </w:r>
      <w:r>
        <w:rPr>
          <w:rFonts w:ascii="Book Antiqua"/>
          <w:rtl w:val="0"/>
          <w:lang w:val="it-IT"/>
        </w:rPr>
        <w:t>ammissibilit</w:t>
      </w:r>
      <w:r>
        <w:rPr>
          <w:rFonts w:hAnsi="Book Antiqua" w:hint="default"/>
          <w:rtl w:val="0"/>
          <w:lang w:val="it-IT"/>
        </w:rPr>
        <w:t xml:space="preserve">à </w:t>
      </w:r>
      <w:r>
        <w:rPr>
          <w:rFonts w:ascii="Book Antiqua"/>
          <w:rtl w:val="0"/>
          <w:lang w:val="it-IT"/>
        </w:rPr>
        <w:t>dei rifiuti in discarica (capo C dell</w:t>
      </w:r>
      <w:r>
        <w:rPr>
          <w:rFonts w:hAnsi="Book Antiqua" w:hint="default"/>
          <w:rtl w:val="0"/>
          <w:lang w:val="it-IT"/>
        </w:rPr>
        <w:t>’</w:t>
      </w:r>
      <w:r>
        <w:rPr>
          <w:rFonts w:ascii="Book Antiqua"/>
          <w:rtl w:val="0"/>
          <w:lang w:val="it-IT"/>
        </w:rPr>
        <w:t>incolpazione; fatti commessi il 4/5/2016), articoli 81, 356 codice penale; frode nelle pubbliche forniture, concretatasi nel rendere una prestazione diversa da quella prevista nel contratto di servizio stipulato con alcune amministrazioni comunali, provvedendo, per lo pi</w:t>
      </w:r>
      <w:r>
        <w:rPr>
          <w:rFonts w:hAnsi="Book Antiqua" w:hint="default"/>
          <w:rtl w:val="0"/>
          <w:lang w:val="it-IT"/>
        </w:rPr>
        <w:t>ù</w:t>
      </w:r>
      <w:r>
        <w:rPr>
          <w:rFonts w:ascii="Book Antiqua"/>
          <w:rtl w:val="0"/>
          <w:lang w:val="it-IT"/>
        </w:rPr>
        <w:t xml:space="preserve">, allo smaltimento dei rifiuti, recuperando come compost solo una parte insignificante dei rifiuti urbani organici da raccolta differenziata, mentre il contratto prevedeva che </w:t>
      </w:r>
      <w:r>
        <w:rPr>
          <w:rFonts w:hAnsi="Book Antiqua" w:hint="default"/>
          <w:rtl w:val="0"/>
          <w:lang w:val="it-IT"/>
        </w:rPr>
        <w:t>“</w:t>
      </w:r>
      <w:r>
        <w:rPr>
          <w:rFonts w:ascii="Book Antiqua"/>
          <w:rtl w:val="0"/>
          <w:lang w:val="it-IT"/>
        </w:rPr>
        <w:t>la gestione smaltimento dei rifiuti urbani ed assimilabili conferiti dai Comuni all</w:t>
      </w:r>
      <w:r>
        <w:rPr>
          <w:rFonts w:hAnsi="Book Antiqua" w:hint="default"/>
          <w:rtl w:val="0"/>
          <w:lang w:val="it-IT"/>
        </w:rPr>
        <w:t>’</w:t>
      </w:r>
      <w:r>
        <w:rPr>
          <w:rFonts w:ascii="Book Antiqua"/>
          <w:rtl w:val="0"/>
          <w:lang w:val="it-IT"/>
        </w:rPr>
        <w:t>impianto di Colfelice verr</w:t>
      </w:r>
      <w:r>
        <w:rPr>
          <w:rFonts w:hAnsi="Book Antiqua" w:hint="default"/>
          <w:rtl w:val="0"/>
          <w:lang w:val="it-IT"/>
        </w:rPr>
        <w:t xml:space="preserve">à </w:t>
      </w:r>
      <w:r>
        <w:rPr>
          <w:rFonts w:ascii="Book Antiqua"/>
          <w:rtl w:val="0"/>
          <w:lang w:val="it-IT"/>
        </w:rPr>
        <w:t>eseguita attraverso il sistema di riciclaggio, trasformazione, recupero e riuso dei rifiuti recuperabili, nonch</w:t>
      </w:r>
      <w:r>
        <w:rPr>
          <w:rFonts w:hAnsi="Book Antiqua" w:hint="default"/>
          <w:rtl w:val="0"/>
          <w:lang w:val="it-IT"/>
        </w:rPr>
        <w:t xml:space="preserve">é </w:t>
      </w:r>
      <w:r>
        <w:rPr>
          <w:rFonts w:ascii="Book Antiqua"/>
          <w:rtl w:val="0"/>
          <w:lang w:val="it-IT"/>
        </w:rPr>
        <w:t>attraverso il collocamento in discarica dei rifiuti non riutilizzabili e degli scarti di lavorazione</w:t>
      </w:r>
      <w:r>
        <w:rPr>
          <w:rFonts w:hAnsi="Book Antiqua" w:hint="default"/>
          <w:rtl w:val="0"/>
          <w:lang w:val="it-IT"/>
        </w:rPr>
        <w:t xml:space="preserve">” </w:t>
      </w:r>
      <w:r>
        <w:rPr>
          <w:rFonts w:ascii="Book Antiqua"/>
          <w:rtl w:val="0"/>
          <w:lang w:val="it-IT"/>
        </w:rPr>
        <w:t>ed introitando dai Comuni importi pari a 2.836.282, 34 euro per il 2014 e 2.971.427,24 euro per il 2015 (capo D dell</w:t>
      </w:r>
      <w:r>
        <w:rPr>
          <w:rFonts w:hAnsi="Book Antiqua" w:hint="default"/>
          <w:rtl w:val="0"/>
          <w:lang w:val="it-IT"/>
        </w:rPr>
        <w:t>’</w:t>
      </w:r>
      <w:r>
        <w:rPr>
          <w:rFonts w:ascii="Book Antiqua"/>
          <w:rtl w:val="0"/>
          <w:lang w:val="it-IT"/>
        </w:rPr>
        <w:t>incolpazione); articolo 640, comma 2, n 1 codice penale, truffa in danno di ente pubblico per il conseguimento di un ingiusto profitto facendo risultare come regolarmente avvenuta l</w:t>
      </w:r>
      <w:r>
        <w:rPr>
          <w:rFonts w:hAnsi="Book Antiqua" w:hint="default"/>
          <w:rtl w:val="0"/>
          <w:lang w:val="it-IT"/>
        </w:rPr>
        <w:t>’</w:t>
      </w:r>
      <w:r>
        <w:rPr>
          <w:rFonts w:ascii="Book Antiqua"/>
          <w:rtl w:val="0"/>
          <w:lang w:val="it-IT"/>
        </w:rPr>
        <w:t>attivit</w:t>
      </w:r>
      <w:r>
        <w:rPr>
          <w:rFonts w:hAnsi="Book Antiqua" w:hint="default"/>
          <w:rtl w:val="0"/>
          <w:lang w:val="it-IT"/>
        </w:rPr>
        <w:t xml:space="preserve">à </w:t>
      </w:r>
      <w:r>
        <w:rPr>
          <w:rFonts w:ascii="Book Antiqua"/>
          <w:rtl w:val="0"/>
          <w:lang w:val="it-IT"/>
        </w:rPr>
        <w:t>di recupero di cui al contratto di servizio stipulato con alcune amministrazioni comunali per la gestione dei rifiuti (capo E dell</w:t>
      </w:r>
      <w:r>
        <w:rPr>
          <w:rFonts w:hAnsi="Book Antiqua" w:hint="default"/>
          <w:rtl w:val="0"/>
          <w:lang w:val="it-IT"/>
        </w:rPr>
        <w:t>’</w:t>
      </w:r>
      <w:r>
        <w:rPr>
          <w:rFonts w:ascii="Book Antiqua"/>
          <w:rtl w:val="0"/>
          <w:lang w:val="it-IT"/>
        </w:rPr>
        <w:t>incolpazione; fatti accertati nel 2014 e nel 2015 con condotta perdurante).</w:t>
      </w:r>
    </w:p>
    <w:p>
      <w:pPr>
        <w:pStyle w:val="Normal"/>
        <w:shd w:val="clear" w:color="auto" w:fill="ffffff"/>
        <w:ind w:left="567" w:right="567" w:firstLine="0"/>
        <w:jc w:val="both"/>
        <w:rPr>
          <w:rFonts w:ascii="Book Antiqua" w:cs="Book Antiqua" w:hAnsi="Book Antiqua" w:eastAsia="Book Antiqua"/>
        </w:rPr>
      </w:pPr>
      <w:r>
        <w:rPr>
          <w:rFonts w:ascii="Book Antiqua"/>
          <w:rtl w:val="0"/>
          <w:lang w:val="it-IT"/>
        </w:rPr>
        <w:t>Venivano inoltre indagate varie persone giuridiche e contestati loro gli illeciti amministrativi di cui agli articoli 5, 24, comma 1, 25-undecies, comma 2, lett. f) del decreto legislativo 8 giugno 2011 n. 231.</w:t>
      </w:r>
    </w:p>
    <w:p>
      <w:pPr>
        <w:pStyle w:val="Normal"/>
        <w:shd w:val="clear" w:color="auto" w:fill="ffffff"/>
        <w:ind w:left="567" w:right="567" w:firstLine="0"/>
        <w:jc w:val="both"/>
        <w:rPr>
          <w:rFonts w:ascii="Book Antiqua" w:cs="Book Antiqua" w:hAnsi="Book Antiqua" w:eastAsia="Book Antiqua"/>
        </w:rPr>
      </w:pPr>
      <w:r>
        <w:rPr>
          <w:rFonts w:ascii="Book Antiqua"/>
          <w:rtl w:val="0"/>
          <w:lang w:val="it-IT"/>
        </w:rPr>
        <w:t>Le fondamentali disposizioni in materia di rifiuti sono attualmente contenute nel decreto legislativo 3 aprile 2006, n. 152. In particolare, l</w:t>
      </w:r>
      <w:r>
        <w:rPr>
          <w:rFonts w:hAnsi="Book Antiqua" w:hint="default"/>
          <w:rtl w:val="0"/>
          <w:lang w:val="it-IT"/>
        </w:rPr>
        <w:t>’</w:t>
      </w:r>
      <w:r>
        <w:rPr>
          <w:rFonts w:ascii="Book Antiqua"/>
          <w:rtl w:val="0"/>
          <w:lang w:val="it-IT"/>
        </w:rPr>
        <w:t>articolo 184 del decreto disciplina la classificazione dei rifiuti, distinguendoli, in base all</w:t>
      </w:r>
      <w:r>
        <w:rPr>
          <w:rFonts w:hAnsi="Book Antiqua" w:hint="default"/>
          <w:rtl w:val="0"/>
          <w:lang w:val="it-IT"/>
        </w:rPr>
        <w:t>’</w:t>
      </w:r>
      <w:r>
        <w:rPr>
          <w:rFonts w:ascii="Book Antiqua"/>
          <w:rtl w:val="0"/>
          <w:lang w:val="it-IT"/>
        </w:rPr>
        <w:t>origine, in rifiuti urbani e rifiuti speciali, che possono, a loro volta, distinguersi, in base alle caratteristiche di pericolosit</w:t>
      </w:r>
      <w:r>
        <w:rPr>
          <w:rFonts w:hAnsi="Book Antiqua" w:hint="default"/>
          <w:rtl w:val="0"/>
          <w:lang w:val="it-IT"/>
        </w:rPr>
        <w:t>à</w:t>
      </w:r>
      <w:r>
        <w:rPr>
          <w:rFonts w:ascii="Book Antiqua"/>
          <w:rtl w:val="0"/>
          <w:lang w:val="it-IT"/>
        </w:rPr>
        <w:t>, in rifiuti pericolosi e non pericolosi.</w:t>
      </w:r>
    </w:p>
    <w:p>
      <w:pPr>
        <w:pStyle w:val="Normal"/>
        <w:shd w:val="clear" w:color="auto" w:fill="ffffff"/>
        <w:ind w:left="567" w:right="567" w:firstLine="0"/>
        <w:jc w:val="both"/>
        <w:rPr>
          <w:rFonts w:ascii="Book Antiqua" w:cs="Book Antiqua" w:hAnsi="Book Antiqua" w:eastAsia="Book Antiqua"/>
        </w:rPr>
      </w:pPr>
      <w:r>
        <w:rPr>
          <w:rFonts w:ascii="Book Antiqua"/>
          <w:rtl w:val="0"/>
          <w:lang w:val="it-IT"/>
        </w:rPr>
        <w:t>L</w:t>
      </w:r>
      <w:r>
        <w:rPr>
          <w:rFonts w:hAnsi="Book Antiqua" w:hint="default"/>
          <w:rtl w:val="0"/>
          <w:lang w:val="it-IT"/>
        </w:rPr>
        <w:t>’</w:t>
      </w:r>
      <w:r>
        <w:rPr>
          <w:rFonts w:ascii="Book Antiqua"/>
          <w:rtl w:val="0"/>
          <w:lang w:val="it-IT"/>
        </w:rPr>
        <w:t>articolo 184 ha subito, nel tempo, diverse modifiche. Originariamente, esso prevedeva, al comma 4, l</w:t>
      </w:r>
      <w:r>
        <w:rPr>
          <w:rFonts w:hAnsi="Book Antiqua" w:hint="default"/>
          <w:rtl w:val="0"/>
          <w:lang w:val="it-IT"/>
        </w:rPr>
        <w:t>’</w:t>
      </w:r>
      <w:r>
        <w:rPr>
          <w:rFonts w:ascii="Book Antiqua"/>
          <w:rtl w:val="0"/>
          <w:lang w:val="it-IT"/>
        </w:rPr>
        <w:t>istituzione, da effettuarsi con decreto interministeriale, di un elenco dei rifiuti in conformit</w:t>
      </w:r>
      <w:r>
        <w:rPr>
          <w:rFonts w:hAnsi="Book Antiqua" w:hint="default"/>
          <w:rtl w:val="0"/>
          <w:lang w:val="it-IT"/>
        </w:rPr>
        <w:t xml:space="preserve">à </w:t>
      </w:r>
      <w:r>
        <w:rPr>
          <w:rFonts w:ascii="Book Antiqua"/>
          <w:rtl w:val="0"/>
          <w:lang w:val="it-IT"/>
        </w:rPr>
        <w:t>all'articolo 1, comma 1, lettera a) della direttiva 75/442/CE ed all'articolo 1, paragrafo 4, della direttiva 91/689/CE, di cui alla decisione della Commissione 2000/532/CE del 3 maggio 2000, disponendo che sino all</w:t>
      </w:r>
      <w:r>
        <w:rPr>
          <w:rFonts w:hAnsi="Book Antiqua" w:hint="default"/>
          <w:rtl w:val="0"/>
          <w:lang w:val="it-IT"/>
        </w:rPr>
        <w:t>’</w:t>
      </w:r>
      <w:r>
        <w:rPr>
          <w:rFonts w:ascii="Book Antiqua"/>
          <w:rtl w:val="0"/>
          <w:lang w:val="it-IT"/>
        </w:rPr>
        <w:t>emanazione di tale decreto continuassero ad applicarsi le disposizioni di cui alla direttiva del Ministro dell'ambiente e della tutela del territorio del 9 aprile 2002, che veniva riportata nell'Allegato D alla parte quarta dello stesso decreto legislativo n. 152 del 2006. Qualificava, inoltre, come pericolosi i rifiuti non domestici indicati espressamente come tali, con apposito asterisco, nell'elenco di cui all'Allegato D alla Parte Quarta del decreto legislativo n. 152 del 2006.</w:t>
      </w:r>
    </w:p>
    <w:p>
      <w:pPr>
        <w:pStyle w:val="Normal"/>
        <w:shd w:val="clear" w:color="auto" w:fill="ffffff"/>
        <w:ind w:left="567" w:right="567" w:firstLine="0"/>
        <w:jc w:val="both"/>
        <w:rPr>
          <w:rFonts w:ascii="Book Antiqua" w:cs="Book Antiqua" w:hAnsi="Book Antiqua" w:eastAsia="Book Antiqua"/>
        </w:rPr>
      </w:pPr>
      <w:r>
        <w:rPr>
          <w:rFonts w:ascii="Book Antiqua"/>
          <w:rtl w:val="0"/>
          <w:lang w:val="it-IT"/>
        </w:rPr>
        <w:t xml:space="preserve">Con il decreto legislativo 3 dicembre 2010 n. 205, recante </w:t>
      </w:r>
      <w:r>
        <w:rPr>
          <w:rFonts w:hAnsi="Book Antiqua" w:hint="default"/>
          <w:rtl w:val="0"/>
          <w:lang w:val="it-IT"/>
        </w:rPr>
        <w:t>“</w:t>
      </w:r>
      <w:r>
        <w:rPr>
          <w:rFonts w:ascii="Book Antiqua"/>
          <w:rtl w:val="0"/>
          <w:lang w:val="it-IT"/>
        </w:rPr>
        <w:t>Disposizioni di attuazione della direttiva 2008/98/CE del Parlamento europeo e del Consiglio del 19 novembre 2008 relativa ai rifiuti e che abroga alcune direttive</w:t>
      </w:r>
      <w:r>
        <w:rPr>
          <w:rFonts w:hAnsi="Book Antiqua" w:hint="default"/>
          <w:rtl w:val="0"/>
          <w:lang w:val="it-IT"/>
        </w:rPr>
        <w:t>”</w:t>
      </w:r>
      <w:r>
        <w:rPr>
          <w:rFonts w:ascii="Book Antiqua"/>
          <w:rtl w:val="0"/>
          <w:lang w:val="it-IT"/>
        </w:rPr>
        <w:t>, i commi 4 e 5 dell</w:t>
      </w:r>
      <w:r>
        <w:rPr>
          <w:rFonts w:hAnsi="Book Antiqua" w:hint="default"/>
          <w:rtl w:val="0"/>
          <w:lang w:val="it-IT"/>
        </w:rPr>
        <w:t>’</w:t>
      </w:r>
      <w:r>
        <w:rPr>
          <w:rFonts w:ascii="Book Antiqua"/>
          <w:rtl w:val="0"/>
          <w:lang w:val="it-IT"/>
        </w:rPr>
        <w:t>articolo 184 venivano modificati, individuando i rifiuti pericolosi come quelli recanti le caratteristiche di cui all'allegato I della Parte Quarta del decreto legislativo n. 152 del 2006 e chiarendo che l'elenco dei rifiuti di cui all'allegato D alla Parte Quarta del medesimo decreto includeva i rifiuti pericolosi e teneva conto dell'origine e della composizione dei rifiuti e, ove necessario, dei valori limite di concentrazione delle sostanze pericolose, precisando, altres</w:t>
      </w:r>
      <w:r>
        <w:rPr>
          <w:rFonts w:hAnsi="Book Antiqua" w:hint="default"/>
          <w:rtl w:val="0"/>
          <w:lang w:val="it-IT"/>
        </w:rPr>
        <w:t>ì</w:t>
      </w:r>
      <w:r>
        <w:rPr>
          <w:rFonts w:ascii="Book Antiqua"/>
          <w:rtl w:val="0"/>
          <w:lang w:val="it-IT"/>
        </w:rPr>
        <w:t xml:space="preserve">, che esso era vincolante per quanto concerne la determinazione dei rifiuti da considerare pericolosi e che l'inclusione di una sostanza o di un oggetto nell'elenco non significava che esso fosse un rifiuto in tutti i casi, ferma restando la definizione di cui all'articolo 183. Si stabiliva, infine, che con decreto del Ministero dell'ambiente e della tutela del territorio e del mare, da adottare entro centottanta giorni dalla data di entrata in vigore della disposizione, potevano essere emanate specifiche linee guida per agevolare l'applicazione della classificazione dei rifiuti introdotta agli allegati D e I. </w:t>
      </w:r>
    </w:p>
    <w:p>
      <w:pPr>
        <w:pStyle w:val="Normal"/>
        <w:shd w:val="clear" w:color="auto" w:fill="ffffff"/>
        <w:ind w:left="567" w:right="567" w:firstLine="0"/>
        <w:jc w:val="both"/>
        <w:rPr>
          <w:rFonts w:ascii="Book Antiqua" w:cs="Book Antiqua" w:hAnsi="Book Antiqua" w:eastAsia="Book Antiqua"/>
        </w:rPr>
      </w:pPr>
      <w:r>
        <w:rPr>
          <w:rFonts w:ascii="Book Antiqua"/>
          <w:rtl w:val="0"/>
          <w:lang w:val="it-IT"/>
        </w:rPr>
        <w:t>L</w:t>
      </w:r>
      <w:r>
        <w:rPr>
          <w:rFonts w:hAnsi="Book Antiqua" w:hint="default"/>
          <w:rtl w:val="0"/>
          <w:lang w:val="it-IT"/>
        </w:rPr>
        <w:t>’</w:t>
      </w:r>
      <w:r>
        <w:rPr>
          <w:rFonts w:ascii="Book Antiqua"/>
          <w:rtl w:val="0"/>
          <w:lang w:val="it-IT"/>
        </w:rPr>
        <w:t xml:space="preserve">articolo 39 dello stesso decreto legislativo 3 dicembre 2010 n. 205 modificava anche l'allegato D alla parte quarta del decreto legislativo n. 152 del 2006, il cui titolo riportava quindi la denominazione </w:t>
      </w:r>
      <w:r>
        <w:rPr>
          <w:rFonts w:hAnsi="Book Antiqua" w:hint="default"/>
          <w:rtl w:val="0"/>
          <w:lang w:val="it-IT"/>
        </w:rPr>
        <w:t>“</w:t>
      </w:r>
      <w:r>
        <w:rPr>
          <w:rFonts w:ascii="Book Antiqua"/>
          <w:rtl w:val="0"/>
          <w:lang w:val="it-IT"/>
        </w:rPr>
        <w:t>Elenco dei rifiuti istituito dalla Decisione della Commissione 2000/532/CE del 3 maggio 2000</w:t>
      </w:r>
      <w:r>
        <w:rPr>
          <w:rFonts w:hAnsi="Book Antiqua" w:hint="default"/>
          <w:rtl w:val="0"/>
          <w:lang w:val="it-IT"/>
        </w:rPr>
        <w:t>”</w:t>
      </w:r>
      <w:r>
        <w:rPr>
          <w:rFonts w:ascii="Book Antiqua"/>
          <w:rtl w:val="0"/>
          <w:lang w:val="it-IT"/>
        </w:rPr>
        <w:t>.</w:t>
      </w:r>
    </w:p>
    <w:p>
      <w:pPr>
        <w:pStyle w:val="Normal"/>
        <w:shd w:val="clear" w:color="auto" w:fill="ffffff"/>
        <w:ind w:left="567" w:right="567" w:firstLine="0"/>
        <w:jc w:val="both"/>
        <w:rPr>
          <w:rFonts w:ascii="Book Antiqua" w:cs="Book Antiqua" w:hAnsi="Book Antiqua" w:eastAsia="Book Antiqua"/>
        </w:rPr>
      </w:pPr>
      <w:r>
        <w:rPr>
          <w:rFonts w:ascii="Book Antiqua"/>
          <w:rtl w:val="0"/>
          <w:lang w:val="it-IT"/>
        </w:rPr>
        <w:t>Il decreto legge 28 gennaio 2012 n. 2, convertito con modificazioni dalla legge 24 marzo 2012, n. 28, disponeva successivamente la sostituzione del punto 5 dell</w:t>
      </w:r>
      <w:r>
        <w:rPr>
          <w:rFonts w:hAnsi="Book Antiqua" w:hint="default"/>
          <w:rtl w:val="0"/>
          <w:lang w:val="it-IT"/>
        </w:rPr>
        <w:t>’</w:t>
      </w:r>
      <w:r>
        <w:rPr>
          <w:rFonts w:ascii="Book Antiqua"/>
          <w:rtl w:val="0"/>
          <w:lang w:val="it-IT"/>
        </w:rPr>
        <w:t>allegato D al decreto legislativo n. 152 del 2006 con il seguente testo:</w:t>
      </w:r>
    </w:p>
    <w:p>
      <w:pPr>
        <w:pStyle w:val="Normal"/>
        <w:shd w:val="clear" w:color="auto" w:fill="ffffff"/>
        <w:ind w:left="567" w:right="567" w:firstLine="0"/>
        <w:jc w:val="both"/>
        <w:rPr>
          <w:rFonts w:ascii="Book Antiqua" w:cs="Book Antiqua" w:hAnsi="Book Antiqua" w:eastAsia="Book Antiqua"/>
        </w:rPr>
      </w:pPr>
      <w:r>
        <w:rPr>
          <w:rFonts w:hAnsi="Book Antiqua" w:hint="default"/>
          <w:rtl w:val="0"/>
          <w:lang w:val="it-IT"/>
        </w:rPr>
        <w:t>“</w:t>
      </w:r>
      <w:r>
        <w:rPr>
          <w:rFonts w:ascii="Book Antiqua"/>
          <w:rtl w:val="0"/>
          <w:lang w:val="it-IT"/>
        </w:rPr>
        <w:t xml:space="preserve">Se un rifiuto </w:t>
      </w:r>
      <w:r>
        <w:rPr>
          <w:rFonts w:hAnsi="Book Antiqua" w:hint="default"/>
          <w:rtl w:val="0"/>
          <w:lang w:val="it-IT"/>
        </w:rPr>
        <w:t xml:space="preserve">è </w:t>
      </w:r>
      <w:r>
        <w:rPr>
          <w:rFonts w:ascii="Book Antiqua"/>
          <w:rtl w:val="0"/>
          <w:lang w:val="it-IT"/>
        </w:rPr>
        <w:t xml:space="preserve">identificato come pericoloso mediante riferimento specifico o generico a sostanze pericolose, esso </w:t>
      </w:r>
      <w:r>
        <w:rPr>
          <w:rFonts w:hAnsi="Book Antiqua" w:hint="default"/>
          <w:rtl w:val="0"/>
          <w:lang w:val="it-IT"/>
        </w:rPr>
        <w:t xml:space="preserve">è </w:t>
      </w:r>
      <w:r>
        <w:rPr>
          <w:rFonts w:ascii="Book Antiqua"/>
          <w:rtl w:val="0"/>
          <w:lang w:val="it-IT"/>
        </w:rPr>
        <w:t>classificato come pericoloso solo se le sostanze raggiungono determinate concentrazioni (ad esempio, percentuale in peso), tali da conferire al rifiuto in questione una o pi</w:t>
      </w:r>
      <w:r>
        <w:rPr>
          <w:rFonts w:hAnsi="Book Antiqua" w:hint="default"/>
          <w:rtl w:val="0"/>
          <w:lang w:val="it-IT"/>
        </w:rPr>
        <w:t xml:space="preserve">ù </w:t>
      </w:r>
      <w:r>
        <w:rPr>
          <w:rFonts w:ascii="Book Antiqua"/>
          <w:rtl w:val="0"/>
          <w:lang w:val="it-IT"/>
        </w:rPr>
        <w:t>delle propriet</w:t>
      </w:r>
      <w:r>
        <w:rPr>
          <w:rFonts w:hAnsi="Book Antiqua" w:hint="default"/>
          <w:rtl w:val="0"/>
          <w:lang w:val="it-IT"/>
        </w:rPr>
        <w:t xml:space="preserve">à </w:t>
      </w:r>
      <w:r>
        <w:rPr>
          <w:rFonts w:ascii="Book Antiqua"/>
          <w:rtl w:val="0"/>
          <w:lang w:val="it-IT"/>
        </w:rPr>
        <w:t>di cui all'allegato I. Per le caratteristiche da H3 a H8, H10 e H11, di cui all'allegato I, si applica quanto previsto al punto 3.4 del presente allegato. Per le caratteristiche H1, H2, H9, H12, H13 e H14, di cui all'allegato I, la decisione 2000/532/CE non prevede al momento alcuna specifica. Nelle more dell'adozione, da parte del Ministero dell'ambiente e della tutela del territorio e del mare, di uno specifico decreto che stabilisca la procedura tecnica per l'attribuzione della caratteristica H14, sentito il parere dell'ISPRA, tale caratteristica viene attribuita ai rifiuti secondo le modalit</w:t>
      </w:r>
      <w:r>
        <w:rPr>
          <w:rFonts w:hAnsi="Book Antiqua" w:hint="default"/>
          <w:rtl w:val="0"/>
          <w:lang w:val="it-IT"/>
        </w:rPr>
        <w:t xml:space="preserve">à </w:t>
      </w:r>
      <w:r>
        <w:rPr>
          <w:rFonts w:ascii="Book Antiqua"/>
          <w:rtl w:val="0"/>
          <w:lang w:val="it-IT"/>
        </w:rPr>
        <w:t>dell'accordo ADR per la classe 9 - M6 e M7</w:t>
      </w:r>
      <w:r>
        <w:rPr>
          <w:rFonts w:hAnsi="Book Antiqua" w:hint="default"/>
          <w:rtl w:val="0"/>
          <w:lang w:val="it-IT"/>
        </w:rPr>
        <w:t>”</w:t>
      </w:r>
      <w:r>
        <w:rPr>
          <w:rFonts w:ascii="Book Antiqua"/>
          <w:rtl w:val="0"/>
          <w:lang w:val="it-IT"/>
        </w:rPr>
        <w:t>.</w:t>
      </w:r>
    </w:p>
    <w:p>
      <w:pPr>
        <w:pStyle w:val="Normal"/>
        <w:shd w:val="clear" w:color="auto" w:fill="ffffff"/>
        <w:ind w:left="567" w:right="567" w:firstLine="0"/>
        <w:jc w:val="both"/>
        <w:rPr>
          <w:rFonts w:ascii="Book Antiqua" w:cs="Book Antiqua" w:hAnsi="Book Antiqua" w:eastAsia="Book Antiqua"/>
        </w:rPr>
      </w:pPr>
      <w:r>
        <w:rPr>
          <w:rFonts w:ascii="Book Antiqua"/>
          <w:rtl w:val="0"/>
          <w:lang w:val="it-IT"/>
        </w:rPr>
        <w:t>Pi</w:t>
      </w:r>
      <w:r>
        <w:rPr>
          <w:rFonts w:hAnsi="Book Antiqua" w:hint="default"/>
          <w:rtl w:val="0"/>
          <w:lang w:val="it-IT"/>
        </w:rPr>
        <w:t xml:space="preserve">ù </w:t>
      </w:r>
      <w:r>
        <w:rPr>
          <w:rFonts w:ascii="Book Antiqua"/>
          <w:rtl w:val="0"/>
          <w:lang w:val="it-IT"/>
        </w:rPr>
        <w:t>recentemente, la legge 11 agosto 2014, n. 116, di conversione, con modificazioni, del decreto legge 24 giugno 2014, n. 91, ha disposto un</w:t>
      </w:r>
      <w:r>
        <w:rPr>
          <w:rFonts w:hAnsi="Book Antiqua" w:hint="default"/>
          <w:rtl w:val="0"/>
          <w:lang w:val="it-IT"/>
        </w:rPr>
        <w:t>’</w:t>
      </w:r>
      <w:r>
        <w:rPr>
          <w:rFonts w:ascii="Book Antiqua"/>
          <w:rtl w:val="0"/>
          <w:lang w:val="it-IT"/>
        </w:rPr>
        <w:t>ulteriore modifica dell</w:t>
      </w:r>
      <w:r>
        <w:rPr>
          <w:rFonts w:hAnsi="Book Antiqua" w:hint="default"/>
          <w:rtl w:val="0"/>
          <w:lang w:val="it-IT"/>
        </w:rPr>
        <w:t>’</w:t>
      </w:r>
      <w:r>
        <w:rPr>
          <w:rFonts w:ascii="Book Antiqua"/>
          <w:rtl w:val="0"/>
          <w:lang w:val="it-IT"/>
        </w:rPr>
        <w:t>allegato D, introducendo la seguente premessa:</w:t>
      </w:r>
    </w:p>
    <w:p>
      <w:pPr>
        <w:pStyle w:val="Normal"/>
        <w:shd w:val="clear" w:color="auto" w:fill="ffffff"/>
        <w:ind w:left="567" w:right="567" w:firstLine="0"/>
        <w:jc w:val="both"/>
        <w:rPr>
          <w:rFonts w:ascii="Book Antiqua" w:cs="Book Antiqua" w:hAnsi="Book Antiqua" w:eastAsia="Book Antiqua"/>
        </w:rPr>
      </w:pPr>
      <w:r>
        <w:rPr>
          <w:rFonts w:hAnsi="Book Antiqua" w:hint="default"/>
          <w:rtl w:val="0"/>
          <w:lang w:val="it-IT"/>
        </w:rPr>
        <w:t>“</w:t>
      </w:r>
      <w:r>
        <w:rPr>
          <w:rFonts w:ascii="Book Antiqua"/>
          <w:rtl w:val="0"/>
          <w:lang w:val="it-IT"/>
        </w:rPr>
        <w:t xml:space="preserve">1. La classificazione dei rifiuti </w:t>
      </w:r>
      <w:r>
        <w:rPr>
          <w:rFonts w:hAnsi="Book Antiqua" w:hint="default"/>
          <w:rtl w:val="0"/>
          <w:lang w:val="it-IT"/>
        </w:rPr>
        <w:t>è</w:t>
      </w:r>
      <w:r>
        <w:rPr>
          <w:rFonts w:ascii="Book Antiqua"/>
          <w:rtl w:val="0"/>
          <w:lang w:val="it-IT"/>
        </w:rPr>
        <w:t xml:space="preserve"> effettuata dal produttore assegnando ad essi il competente codice CER, applicando le disposizioni contenute nella decisione 2000/532/CE.</w:t>
      </w:r>
      <w:r>
        <w:rPr>
          <w:rFonts w:ascii="Book Antiqua" w:cs="Book Antiqua" w:hAnsi="Book Antiqua" w:eastAsia="Book Antiqua"/>
          <w:rtl w:val="0"/>
        </w:rPr>
        <w:br w:type="textWrapping"/>
      </w:r>
      <w:r>
        <w:rPr>
          <w:rFonts w:ascii="Book Antiqua"/>
          <w:rtl w:val="0"/>
          <w:lang w:val="it-IT"/>
        </w:rPr>
        <w:t xml:space="preserve">2. Se un rifiuto </w:t>
      </w:r>
      <w:r>
        <w:rPr>
          <w:rFonts w:hAnsi="Book Antiqua" w:hint="default"/>
          <w:rtl w:val="0"/>
          <w:lang w:val="it-IT"/>
        </w:rPr>
        <w:t>è</w:t>
      </w:r>
      <w:r>
        <w:rPr>
          <w:rFonts w:ascii="Book Antiqua"/>
          <w:rtl w:val="0"/>
          <w:lang w:val="it-IT"/>
        </w:rPr>
        <w:t xml:space="preserve"> classificato con codice CER pericoloso 'assoluto', esso </w:t>
      </w:r>
      <w:r>
        <w:rPr>
          <w:rFonts w:hAnsi="Book Antiqua" w:hint="default"/>
          <w:rtl w:val="0"/>
          <w:lang w:val="it-IT"/>
        </w:rPr>
        <w:t>è</w:t>
      </w:r>
      <w:r>
        <w:rPr>
          <w:rFonts w:ascii="Book Antiqua"/>
          <w:rtl w:val="0"/>
          <w:lang w:val="it-IT"/>
        </w:rPr>
        <w:t xml:space="preserve"> pericoloso senza alcuna ulteriore specificazione. Le propriet</w:t>
      </w:r>
      <w:r>
        <w:rPr>
          <w:rFonts w:hAnsi="Book Antiqua" w:hint="default"/>
          <w:rtl w:val="0"/>
          <w:lang w:val="it-IT"/>
        </w:rPr>
        <w:t xml:space="preserve">à </w:t>
      </w:r>
      <w:r>
        <w:rPr>
          <w:rFonts w:ascii="Book Antiqua"/>
          <w:rtl w:val="0"/>
          <w:lang w:val="it-IT"/>
        </w:rPr>
        <w:t>di pericolo, definite da H1 ad H15, possedute dal rifiuto, devono essere determinate al fine di procedere alla sua gestione.</w:t>
      </w:r>
    </w:p>
    <w:p>
      <w:pPr>
        <w:pStyle w:val="Normal"/>
        <w:shd w:val="clear" w:color="auto" w:fill="ffffff"/>
        <w:ind w:left="567" w:right="567" w:firstLine="0"/>
        <w:jc w:val="both"/>
        <w:rPr>
          <w:rFonts w:ascii="Book Antiqua" w:cs="Book Antiqua" w:hAnsi="Book Antiqua" w:eastAsia="Book Antiqua"/>
        </w:rPr>
      </w:pPr>
      <w:r>
        <w:rPr>
          <w:rFonts w:ascii="Book Antiqua"/>
          <w:rtl w:val="0"/>
          <w:lang w:val="it-IT"/>
        </w:rPr>
        <w:t xml:space="preserve">3. Se un rifiuto </w:t>
      </w:r>
      <w:r>
        <w:rPr>
          <w:rFonts w:hAnsi="Book Antiqua" w:hint="default"/>
          <w:rtl w:val="0"/>
          <w:lang w:val="it-IT"/>
        </w:rPr>
        <w:t xml:space="preserve">è </w:t>
      </w:r>
      <w:r>
        <w:rPr>
          <w:rFonts w:ascii="Book Antiqua"/>
          <w:rtl w:val="0"/>
          <w:lang w:val="it-IT"/>
        </w:rPr>
        <w:t xml:space="preserve">classificato con codice CER non pericoloso 'assoluto', esso </w:t>
      </w:r>
      <w:r>
        <w:rPr>
          <w:rFonts w:hAnsi="Book Antiqua" w:hint="default"/>
          <w:rtl w:val="0"/>
          <w:lang w:val="it-IT"/>
        </w:rPr>
        <w:t>è</w:t>
      </w:r>
      <w:r>
        <w:rPr>
          <w:rFonts w:ascii="Book Antiqua"/>
          <w:rtl w:val="0"/>
          <w:lang w:val="it-IT"/>
        </w:rPr>
        <w:t xml:space="preserve"> non pericoloso senza ulteriore specificazione.</w:t>
      </w:r>
    </w:p>
    <w:p>
      <w:pPr>
        <w:pStyle w:val="Normal"/>
        <w:shd w:val="clear" w:color="auto" w:fill="ffffff"/>
        <w:ind w:left="567" w:right="567" w:firstLine="0"/>
        <w:jc w:val="both"/>
        <w:rPr>
          <w:rFonts w:ascii="Book Antiqua" w:cs="Book Antiqua" w:hAnsi="Book Antiqua" w:eastAsia="Book Antiqua"/>
        </w:rPr>
      </w:pPr>
      <w:r>
        <w:rPr>
          <w:rFonts w:ascii="Book Antiqua"/>
          <w:rtl w:val="0"/>
          <w:lang w:val="it-IT"/>
        </w:rPr>
        <w:t xml:space="preserve">4. Se un rifiuto </w:t>
      </w:r>
      <w:r>
        <w:rPr>
          <w:rFonts w:hAnsi="Book Antiqua" w:hint="default"/>
          <w:rtl w:val="0"/>
          <w:lang w:val="it-IT"/>
        </w:rPr>
        <w:t>è</w:t>
      </w:r>
      <w:r>
        <w:rPr>
          <w:rFonts w:ascii="Book Antiqua"/>
          <w:rtl w:val="0"/>
          <w:lang w:val="it-IT"/>
        </w:rPr>
        <w:t xml:space="preserve"> classificato con codici CER speculari, uno pericoloso ed uno non pericoloso, per stabilire se il rifiuto </w:t>
      </w:r>
      <w:r>
        <w:rPr>
          <w:rFonts w:hAnsi="Book Antiqua" w:hint="default"/>
          <w:rtl w:val="0"/>
          <w:lang w:val="it-IT"/>
        </w:rPr>
        <w:t>è</w:t>
      </w:r>
      <w:r>
        <w:rPr>
          <w:rFonts w:ascii="Book Antiqua"/>
          <w:rtl w:val="0"/>
          <w:lang w:val="it-IT"/>
        </w:rPr>
        <w:t xml:space="preserve"> pericoloso o non pericoloso debbono essere determinate le propriet</w:t>
      </w:r>
      <w:r>
        <w:rPr>
          <w:rFonts w:hAnsi="Book Antiqua" w:hint="default"/>
          <w:rtl w:val="0"/>
          <w:lang w:val="it-IT"/>
        </w:rPr>
        <w:t xml:space="preserve">à </w:t>
      </w:r>
      <w:r>
        <w:rPr>
          <w:rFonts w:ascii="Book Antiqua"/>
          <w:rtl w:val="0"/>
          <w:lang w:val="it-IT"/>
        </w:rPr>
        <w:t>di pericolo che esso possiede. Le indagini da svolgere per determinare le propriet</w:t>
      </w:r>
      <w:r>
        <w:rPr>
          <w:rFonts w:hAnsi="Book Antiqua" w:hint="default"/>
          <w:rtl w:val="0"/>
          <w:lang w:val="it-IT"/>
        </w:rPr>
        <w:t xml:space="preserve">à </w:t>
      </w:r>
      <w:r>
        <w:rPr>
          <w:rFonts w:ascii="Book Antiqua"/>
          <w:rtl w:val="0"/>
          <w:lang w:val="it-IT"/>
        </w:rPr>
        <w:t>di pericolo che un rifiuto possiede sono le seguenti: a) individuare i composti presenti nel rifiuto attraverso: la scheda informativa del produttore; la conoscenza del processo chimico; il campionamento e l'analisi del rifiuto; b) determinare i pericoli connessi a tali composti attraverso: la normativa europea sulla etichettatura delle sostanze e dei preparati pericolosi; le fonti informative europee ed internazionali; la scheda di sicurezza dei prodotti da cui deriva il rifiuto; c) stabilire se le concentrazioni dei composti contenuti comportino che il rifiuto presenti delle caratteristiche di pericolo mediante comparazione delle concentrazioni rilevate all'analisi chimica con il limite soglia per le frasi di rischio specifiche dei componenti, ovvero effettuazione dei test per verificare se il rifiuto ha determinate propriet</w:t>
      </w:r>
      <w:r>
        <w:rPr>
          <w:rFonts w:hAnsi="Book Antiqua" w:hint="default"/>
          <w:rtl w:val="0"/>
          <w:lang w:val="it-IT"/>
        </w:rPr>
        <w:t xml:space="preserve">à </w:t>
      </w:r>
      <w:r>
        <w:rPr>
          <w:rFonts w:ascii="Book Antiqua"/>
          <w:rtl w:val="0"/>
          <w:lang w:val="it-IT"/>
        </w:rPr>
        <w:t>di pericolo.</w:t>
      </w:r>
    </w:p>
    <w:p>
      <w:pPr>
        <w:pStyle w:val="Normal"/>
        <w:shd w:val="clear" w:color="auto" w:fill="ffffff"/>
        <w:ind w:left="567" w:right="567" w:firstLine="0"/>
        <w:jc w:val="both"/>
        <w:rPr>
          <w:rFonts w:ascii="Book Antiqua" w:cs="Book Antiqua" w:hAnsi="Book Antiqua" w:eastAsia="Book Antiqua"/>
        </w:rPr>
      </w:pPr>
      <w:r>
        <w:rPr>
          <w:rFonts w:ascii="Book Antiqua"/>
          <w:rtl w:val="0"/>
          <w:lang w:val="it-IT"/>
        </w:rPr>
        <w:t>5. Se i componenti di un rifiuto sono rilevati dalle analisi chimiche solo in modo aspecifico, e non sono perci</w:t>
      </w:r>
      <w:r>
        <w:rPr>
          <w:rFonts w:hAnsi="Book Antiqua" w:hint="default"/>
          <w:rtl w:val="0"/>
          <w:lang w:val="it-IT"/>
        </w:rPr>
        <w:t xml:space="preserve">ò </w:t>
      </w:r>
      <w:r>
        <w:rPr>
          <w:rFonts w:ascii="Book Antiqua"/>
          <w:rtl w:val="0"/>
          <w:lang w:val="it-IT"/>
        </w:rPr>
        <w:t>noti i composti specifici che lo costituiscono, per individuare le caratteristiche di pericolo del rifiuto devono essere presi come riferimento i composti peggiori, in applicazione del principio di precauzione.</w:t>
      </w:r>
    </w:p>
    <w:p>
      <w:pPr>
        <w:pStyle w:val="Normal"/>
        <w:shd w:val="clear" w:color="auto" w:fill="ffffff"/>
        <w:ind w:left="567" w:right="567" w:firstLine="0"/>
        <w:jc w:val="both"/>
        <w:rPr>
          <w:rFonts w:ascii="Book Antiqua" w:cs="Book Antiqua" w:hAnsi="Book Antiqua" w:eastAsia="Book Antiqua"/>
        </w:rPr>
      </w:pPr>
      <w:r>
        <w:rPr>
          <w:rFonts w:ascii="Book Antiqua"/>
          <w:rtl w:val="0"/>
          <w:lang w:val="it-IT"/>
        </w:rPr>
        <w:t>6. Quando le sostanze presenti in un rifiuto non sono note o non sono determinate con le modalit</w:t>
      </w:r>
      <w:r>
        <w:rPr>
          <w:rFonts w:hAnsi="Book Antiqua" w:hint="default"/>
          <w:rtl w:val="0"/>
          <w:lang w:val="it-IT"/>
        </w:rPr>
        <w:t xml:space="preserve">à </w:t>
      </w:r>
      <w:r>
        <w:rPr>
          <w:rFonts w:ascii="Book Antiqua"/>
          <w:rtl w:val="0"/>
          <w:lang w:val="it-IT"/>
        </w:rPr>
        <w:t>stabilite nei commi precedenti, ovvero le caratteristiche di pericolo non possono essere determinate, il rifiuto si classifica come pericoloso.</w:t>
      </w:r>
    </w:p>
    <w:p>
      <w:pPr>
        <w:pStyle w:val="Normal"/>
        <w:shd w:val="clear" w:color="auto" w:fill="ffffff"/>
        <w:ind w:left="567" w:right="567" w:firstLine="0"/>
        <w:jc w:val="both"/>
        <w:rPr>
          <w:rFonts w:ascii="Book Antiqua" w:cs="Book Antiqua" w:hAnsi="Book Antiqua" w:eastAsia="Book Antiqua"/>
        </w:rPr>
      </w:pPr>
      <w:r>
        <w:rPr>
          <w:rFonts w:ascii="Book Antiqua"/>
          <w:rtl w:val="0"/>
          <w:lang w:val="it-IT"/>
        </w:rPr>
        <w:t>7. La classificazione in ogni caso avviene prima che il rifiuto sia allontanato dal luogo di produzione</w:t>
      </w:r>
      <w:r>
        <w:rPr>
          <w:rFonts w:hAnsi="Book Antiqua" w:hint="default"/>
          <w:rtl w:val="0"/>
          <w:lang w:val="it-IT"/>
        </w:rPr>
        <w:t>”</w:t>
      </w:r>
      <w:r>
        <w:rPr>
          <w:rFonts w:ascii="Book Antiqua"/>
          <w:rtl w:val="0"/>
          <w:lang w:val="it-IT"/>
        </w:rPr>
        <w:t>.</w:t>
      </w:r>
    </w:p>
    <w:p>
      <w:pPr>
        <w:pStyle w:val="Normal"/>
        <w:shd w:val="clear" w:color="auto" w:fill="ffffff"/>
        <w:ind w:left="567" w:right="567" w:firstLine="0"/>
        <w:jc w:val="both"/>
        <w:rPr>
          <w:rFonts w:ascii="Book Antiqua" w:cs="Book Antiqua" w:hAnsi="Book Antiqua" w:eastAsia="Book Antiqua"/>
        </w:rPr>
      </w:pPr>
      <w:r>
        <w:rPr>
          <w:rFonts w:ascii="Book Antiqua"/>
          <w:rtl w:val="0"/>
          <w:lang w:val="it-IT"/>
        </w:rPr>
        <w:t xml:space="preserve"> Infine, il decreto legge 20 giugno 2017 ha disposto che i numeri da 1 a 7 della parte premessa all'introduzione dell'allegato D alla parte IV del decreto legislativo 3 aprile 2006, n. 152 siano sostituiti dal seguente testo:</w:t>
      </w:r>
    </w:p>
    <w:p>
      <w:pPr>
        <w:pStyle w:val="Normal"/>
        <w:shd w:val="clear" w:color="auto" w:fill="ffffff"/>
        <w:ind w:left="567" w:right="567" w:firstLine="0"/>
        <w:jc w:val="both"/>
        <w:rPr>
          <w:rFonts w:ascii="Book Antiqua" w:cs="Book Antiqua" w:hAnsi="Book Antiqua" w:eastAsia="Book Antiqua"/>
        </w:rPr>
      </w:pPr>
      <w:r>
        <w:rPr>
          <w:rFonts w:hAnsi="Book Antiqua" w:hint="default"/>
          <w:rtl w:val="0"/>
          <w:lang w:val="it-IT"/>
        </w:rPr>
        <w:t>“</w:t>
      </w:r>
      <w:r>
        <w:rPr>
          <w:rFonts w:ascii="Book Antiqua"/>
          <w:rtl w:val="0"/>
          <w:lang w:val="it-IT"/>
        </w:rPr>
        <w:t xml:space="preserve">1. La classificazione dei rifiuti </w:t>
      </w:r>
      <w:r>
        <w:rPr>
          <w:rFonts w:hAnsi="Book Antiqua" w:hint="default"/>
          <w:rtl w:val="0"/>
          <w:lang w:val="it-IT"/>
        </w:rPr>
        <w:t xml:space="preserve">è </w:t>
      </w:r>
      <w:r>
        <w:rPr>
          <w:rFonts w:ascii="Book Antiqua"/>
          <w:rtl w:val="0"/>
          <w:lang w:val="it-IT"/>
        </w:rPr>
        <w:t>effettuata dal produttore assegnando ad essi il competente codice CER ed applicando le disposizioni contenute nella decisione 2014/955/UE e nel regolamento (UE) n. 1357/2014 della Commissione, del 18 dicembre 2014</w:t>
      </w:r>
      <w:r>
        <w:rPr>
          <w:rFonts w:hAnsi="Book Antiqua" w:hint="default"/>
          <w:rtl w:val="0"/>
          <w:lang w:val="it-IT"/>
        </w:rPr>
        <w:t>”</w:t>
      </w:r>
      <w:r>
        <w:rPr>
          <w:rFonts w:ascii="Book Antiqua"/>
          <w:rtl w:val="0"/>
          <w:lang w:val="it-IT"/>
        </w:rPr>
        <w:t>.</w:t>
      </w:r>
    </w:p>
    <w:p>
      <w:pPr>
        <w:pStyle w:val="Normal"/>
        <w:shd w:val="clear" w:color="auto" w:fill="ffffff"/>
        <w:ind w:left="567" w:right="567" w:firstLine="0"/>
        <w:jc w:val="both"/>
        <w:rPr>
          <w:rFonts w:ascii="Book Antiqua" w:cs="Book Antiqua" w:hAnsi="Book Antiqua" w:eastAsia="Book Antiqua"/>
          <w:i w:val="1"/>
          <w:iCs w:val="1"/>
        </w:rPr>
      </w:pPr>
      <w:r>
        <w:rPr>
          <w:rFonts w:ascii="Book Antiqua" w:cs="Book Antiqua" w:hAnsi="Book Antiqua" w:eastAsia="Book Antiqua"/>
          <w:i w:val="1"/>
          <w:iCs w:val="1"/>
          <w:rtl w:val="0"/>
        </w:rPr>
        <w:br w:type="textWrapping"/>
      </w:r>
      <w:r>
        <w:rPr>
          <w:rFonts w:ascii="Book Antiqua"/>
          <w:i w:val="1"/>
          <w:iCs w:val="1"/>
          <w:rtl w:val="0"/>
          <w:lang w:val="it-IT"/>
        </w:rPr>
        <w:t>Le pronunce della Corte di cassazione</w:t>
      </w:r>
    </w:p>
    <w:p>
      <w:pPr>
        <w:pStyle w:val="Normal"/>
        <w:shd w:val="clear" w:color="auto" w:fill="ffffff"/>
        <w:ind w:left="567" w:right="567" w:firstLine="0"/>
        <w:jc w:val="both"/>
        <w:rPr>
          <w:rFonts w:ascii="Book Antiqua" w:cs="Book Antiqua" w:hAnsi="Book Antiqua" w:eastAsia="Book Antiqua"/>
        </w:rPr>
      </w:pPr>
    </w:p>
    <w:p>
      <w:pPr>
        <w:pStyle w:val="Normal"/>
        <w:shd w:val="clear" w:color="auto" w:fill="ffffff"/>
        <w:ind w:left="567" w:right="567" w:firstLine="0"/>
        <w:jc w:val="both"/>
        <w:rPr>
          <w:rFonts w:ascii="Book Antiqua" w:cs="Book Antiqua" w:hAnsi="Book Antiqua" w:eastAsia="Book Antiqua"/>
        </w:rPr>
      </w:pPr>
      <w:r>
        <w:rPr>
          <w:rFonts w:ascii="Book Antiqua"/>
          <w:rtl w:val="0"/>
          <w:lang w:val="it-IT"/>
        </w:rPr>
        <w:t>Le prime pronunce della Cassazione in materia di classificazione dei rifiuti pericolosi sono antecedenti all</w:t>
      </w:r>
      <w:r>
        <w:rPr>
          <w:rFonts w:hAnsi="Book Antiqua" w:hint="default"/>
          <w:rtl w:val="0"/>
          <w:lang w:val="it-IT"/>
        </w:rPr>
        <w:t>’</w:t>
      </w:r>
      <w:r>
        <w:rPr>
          <w:rFonts w:ascii="Book Antiqua"/>
          <w:rtl w:val="0"/>
          <w:lang w:val="it-IT"/>
        </w:rPr>
        <w:t>entrata in vigore del decreto legislativo n. 152 del 2006.</w:t>
      </w:r>
    </w:p>
    <w:p>
      <w:pPr>
        <w:pStyle w:val="Normal"/>
        <w:shd w:val="clear" w:color="auto" w:fill="ffffff"/>
        <w:ind w:left="567" w:right="567" w:firstLine="0"/>
        <w:jc w:val="both"/>
        <w:rPr>
          <w:rFonts w:ascii="Book Antiqua" w:cs="Book Antiqua" w:hAnsi="Book Antiqua" w:eastAsia="Book Antiqua"/>
        </w:rPr>
      </w:pPr>
      <w:r>
        <w:rPr>
          <w:rFonts w:ascii="Book Antiqua"/>
          <w:rtl w:val="0"/>
          <w:lang w:val="it-IT"/>
        </w:rPr>
        <w:t>In una prima sentenza (Sez. 3, n. 32143 del 30/5/2002, Parodi G, Rv. 22225601), premessa una approfondita analisi esegetica, si affermava che la previsione contenuta nell</w:t>
      </w:r>
      <w:r>
        <w:rPr>
          <w:rFonts w:hAnsi="Book Antiqua" w:hint="default"/>
          <w:rtl w:val="0"/>
          <w:lang w:val="it-IT"/>
        </w:rPr>
        <w:t>’</w:t>
      </w:r>
      <w:r>
        <w:rPr>
          <w:rFonts w:ascii="Book Antiqua"/>
          <w:rtl w:val="0"/>
          <w:lang w:val="it-IT"/>
        </w:rPr>
        <w:t>elenco dei rifiuti allora introdotto con il Regolamento della Commissione delle Comunit</w:t>
      </w:r>
      <w:r>
        <w:rPr>
          <w:rFonts w:hAnsi="Book Antiqua" w:hint="default"/>
          <w:rtl w:val="0"/>
          <w:lang w:val="it-IT"/>
        </w:rPr>
        <w:t xml:space="preserve">à </w:t>
      </w:r>
      <w:r>
        <w:rPr>
          <w:rFonts w:ascii="Book Antiqua"/>
          <w:rtl w:val="0"/>
          <w:lang w:val="it-IT"/>
        </w:rPr>
        <w:t xml:space="preserve">Europee 28 dicembre 2001 n. 2557 e per la quale, se un rifiuto </w:t>
      </w:r>
      <w:r>
        <w:rPr>
          <w:rFonts w:hAnsi="Book Antiqua" w:hint="default"/>
          <w:rtl w:val="0"/>
          <w:lang w:val="it-IT"/>
        </w:rPr>
        <w:t xml:space="preserve">è </w:t>
      </w:r>
      <w:r>
        <w:rPr>
          <w:rFonts w:ascii="Book Antiqua"/>
          <w:rtl w:val="0"/>
          <w:lang w:val="it-IT"/>
        </w:rPr>
        <w:t xml:space="preserve">identificato come pericoloso mediante riferimento specifico o generico a sostanze pericolose e come non pericoloso in quanto diverso da quello pericoloso (cosiddetto voce a specchio), esso </w:t>
      </w:r>
      <w:r>
        <w:rPr>
          <w:rFonts w:hAnsi="Book Antiqua" w:hint="default"/>
          <w:rtl w:val="0"/>
          <w:lang w:val="it-IT"/>
        </w:rPr>
        <w:t xml:space="preserve">è </w:t>
      </w:r>
      <w:r>
        <w:rPr>
          <w:rFonts w:ascii="Book Antiqua"/>
          <w:rtl w:val="0"/>
          <w:lang w:val="it-IT"/>
        </w:rPr>
        <w:t>qualificato come pericoloso solo se le sostanze raggiungono determinate concentrazioni, tali da conferire al rifiuto in questione una o pi</w:t>
      </w:r>
      <w:r>
        <w:rPr>
          <w:rFonts w:hAnsi="Book Antiqua" w:hint="default"/>
          <w:rtl w:val="0"/>
          <w:lang w:val="it-IT"/>
        </w:rPr>
        <w:t xml:space="preserve">ù </w:t>
      </w:r>
      <w:r>
        <w:rPr>
          <w:rFonts w:ascii="Book Antiqua"/>
          <w:rtl w:val="0"/>
          <w:lang w:val="it-IT"/>
        </w:rPr>
        <w:t>delle propriet</w:t>
      </w:r>
      <w:r>
        <w:rPr>
          <w:rFonts w:hAnsi="Book Antiqua" w:hint="default"/>
          <w:rtl w:val="0"/>
          <w:lang w:val="it-IT"/>
        </w:rPr>
        <w:t xml:space="preserve">à </w:t>
      </w:r>
      <w:r>
        <w:rPr>
          <w:rFonts w:ascii="Book Antiqua"/>
          <w:rtl w:val="0"/>
          <w:lang w:val="it-IT"/>
        </w:rPr>
        <w:t>di cui all'allegato III della direttiva 91/689/CEE, andava intesa nel senso che il criterio della concentrazione limite va applicato esclusivamente nei casi in cui i rifiuti possano essere classificati nelle citate voci specchio o voci speculari, poich</w:t>
      </w:r>
      <w:r>
        <w:rPr>
          <w:rFonts w:hAnsi="Book Antiqua" w:hint="default"/>
          <w:rtl w:val="0"/>
          <w:lang w:val="it-IT"/>
        </w:rPr>
        <w:t xml:space="preserve">é </w:t>
      </w:r>
      <w:r>
        <w:rPr>
          <w:rFonts w:ascii="Book Antiqua"/>
          <w:rtl w:val="0"/>
          <w:lang w:val="it-IT"/>
        </w:rPr>
        <w:t xml:space="preserve">in tali ipotesi risultano nell'elenco due voci, l'una riferita al tipo di rifiuto pericoloso (contrassegnato con asterisco nel Catalogo) ed altra concernente quello non pericoloso; diversamente la concentrazione limite non </w:t>
      </w:r>
      <w:r>
        <w:rPr>
          <w:rFonts w:hAnsi="Book Antiqua" w:hint="default"/>
          <w:rtl w:val="0"/>
          <w:lang w:val="it-IT"/>
        </w:rPr>
        <w:t xml:space="preserve">è </w:t>
      </w:r>
      <w:r>
        <w:rPr>
          <w:rFonts w:ascii="Book Antiqua"/>
          <w:rtl w:val="0"/>
          <w:lang w:val="it-IT"/>
        </w:rPr>
        <w:t>richiesta ove non esistano tali voci specchio, rimanendo unico criterio quello preesistente della natura e provenienza del rifiuto pericoloso.</w:t>
      </w:r>
    </w:p>
    <w:p>
      <w:pPr>
        <w:pStyle w:val="Normal"/>
        <w:shd w:val="clear" w:color="auto" w:fill="ffffff"/>
        <w:ind w:left="567" w:right="567" w:firstLine="0"/>
        <w:jc w:val="both"/>
        <w:rPr>
          <w:rFonts w:ascii="Book Antiqua" w:cs="Book Antiqua" w:hAnsi="Book Antiqua" w:eastAsia="Book Antiqua"/>
        </w:rPr>
      </w:pPr>
      <w:r>
        <w:rPr>
          <w:rFonts w:ascii="Book Antiqua"/>
          <w:rtl w:val="0"/>
          <w:lang w:val="it-IT"/>
        </w:rPr>
        <w:t>Ad analoghe conclusioni perveniva anche una successiva sentenza (Sez. 3, n. 31011 del 18/6/2002, Zatti, Rv. 22239001), nella quale si richiamava, come in quella appena citata, la Direttiva 9 aprile 2001 del Ministero dell</w:t>
      </w:r>
      <w:r>
        <w:rPr>
          <w:rFonts w:hAnsi="Book Antiqua" w:hint="default"/>
          <w:rtl w:val="0"/>
          <w:lang w:val="it-IT"/>
        </w:rPr>
        <w:t>’</w:t>
      </w:r>
      <w:r>
        <w:rPr>
          <w:rFonts w:ascii="Book Antiqua"/>
          <w:rtl w:val="0"/>
          <w:lang w:val="it-IT"/>
        </w:rPr>
        <w:t>ambiente e della tutela del territorio, nella quale si riteneva condiviso l</w:t>
      </w:r>
      <w:r>
        <w:rPr>
          <w:rFonts w:hAnsi="Book Antiqua" w:hint="default"/>
          <w:rtl w:val="0"/>
          <w:lang w:val="it-IT"/>
        </w:rPr>
        <w:t>’</w:t>
      </w:r>
      <w:r>
        <w:rPr>
          <w:rFonts w:ascii="Book Antiqua"/>
          <w:rtl w:val="0"/>
          <w:lang w:val="it-IT"/>
        </w:rPr>
        <w:t>indirizzo interpretativo prospettato.</w:t>
      </w:r>
    </w:p>
    <w:p>
      <w:pPr>
        <w:pStyle w:val="Normal"/>
        <w:shd w:val="clear" w:color="auto" w:fill="ffffff"/>
        <w:ind w:left="567" w:right="567" w:firstLine="0"/>
        <w:jc w:val="both"/>
        <w:rPr>
          <w:rFonts w:ascii="Book Antiqua" w:cs="Book Antiqua" w:hAnsi="Book Antiqua" w:eastAsia="Book Antiqua"/>
        </w:rPr>
      </w:pPr>
      <w:r>
        <w:rPr>
          <w:rFonts w:ascii="Book Antiqua"/>
          <w:rtl w:val="0"/>
          <w:lang w:val="it-IT"/>
        </w:rPr>
        <w:t>Un primo richiamo alla disciplina originariamente introdotta con il decreto legislativo n. 152 del 2006 si rinviene in una successiva decisione, riguardante, per</w:t>
      </w:r>
      <w:r>
        <w:rPr>
          <w:rFonts w:hAnsi="Book Antiqua" w:hint="default"/>
          <w:rtl w:val="0"/>
          <w:lang w:val="it-IT"/>
        </w:rPr>
        <w:t>ò</w:t>
      </w:r>
      <w:r>
        <w:rPr>
          <w:rFonts w:ascii="Book Antiqua"/>
          <w:rtl w:val="0"/>
          <w:lang w:val="it-IT"/>
        </w:rPr>
        <w:t>, fatti commessi prima della sua entrata in vigore (Sez. 3, n. 14750 del 11/3/2008, Gardini, non massimata) ed analogo riferimento si rinviene in una successiva pronuncia (Sez. 3, n. 19882 del 11/3/2009, Carboni, Rv. 24371801) sebbene in entrambe, ricordati i contenuti dell</w:t>
      </w:r>
      <w:r>
        <w:rPr>
          <w:rFonts w:hAnsi="Book Antiqua" w:hint="default"/>
          <w:rtl w:val="0"/>
          <w:lang w:val="it-IT"/>
        </w:rPr>
        <w:t>’</w:t>
      </w:r>
      <w:r>
        <w:rPr>
          <w:rFonts w:ascii="Book Antiqua"/>
          <w:rtl w:val="0"/>
          <w:lang w:val="it-IT"/>
        </w:rPr>
        <w:t xml:space="preserve">allora nuovo elenco dei rifiuti pericolosi di cui Decisione CE 3 maggio 2000, n. 532 e successive modifiche, si facesse rilevare che i rifiuti oggetto del procedimento erano qualificati con codice </w:t>
      </w:r>
      <w:r>
        <w:rPr>
          <w:rFonts w:hAnsi="Book Antiqua" w:hint="default"/>
          <w:rtl w:val="0"/>
          <w:lang w:val="it-IT"/>
        </w:rPr>
        <w:t>“</w:t>
      </w:r>
      <w:r>
        <w:rPr>
          <w:rFonts w:ascii="Book Antiqua"/>
          <w:rtl w:val="0"/>
          <w:lang w:val="it-IT"/>
        </w:rPr>
        <w:t>assoluto</w:t>
      </w:r>
      <w:r>
        <w:rPr>
          <w:rFonts w:hAnsi="Book Antiqua" w:hint="default"/>
          <w:rtl w:val="0"/>
          <w:lang w:val="it-IT"/>
        </w:rPr>
        <w:t>”</w:t>
      </w:r>
      <w:r>
        <w:rPr>
          <w:rFonts w:ascii="Book Antiqua"/>
          <w:rtl w:val="0"/>
          <w:lang w:val="it-IT"/>
        </w:rPr>
        <w:t>.</w:t>
      </w:r>
    </w:p>
    <w:p>
      <w:pPr>
        <w:pStyle w:val="Normal"/>
        <w:shd w:val="clear" w:color="auto" w:fill="ffffff"/>
        <w:ind w:left="567" w:right="567" w:firstLine="0"/>
        <w:jc w:val="both"/>
        <w:rPr>
          <w:rFonts w:ascii="Book Antiqua" w:cs="Book Antiqua" w:hAnsi="Book Antiqua" w:eastAsia="Book Antiqua"/>
        </w:rPr>
      </w:pPr>
      <w:r>
        <w:rPr>
          <w:rFonts w:ascii="Book Antiqua"/>
          <w:rtl w:val="0"/>
          <w:lang w:val="it-IT"/>
        </w:rPr>
        <w:t xml:space="preserve">Quanto evidenziato nella sentenza </w:t>
      </w:r>
      <w:r>
        <w:rPr>
          <w:rFonts w:hAnsi="Book Antiqua" w:hint="default"/>
          <w:rtl w:val="0"/>
          <w:lang w:val="it-IT"/>
        </w:rPr>
        <w:t>“</w:t>
      </w:r>
      <w:r>
        <w:rPr>
          <w:rFonts w:ascii="Book Antiqua"/>
          <w:rtl w:val="0"/>
          <w:lang w:val="it-IT"/>
        </w:rPr>
        <w:t>Carboni</w:t>
      </w:r>
      <w:r>
        <w:rPr>
          <w:rFonts w:hAnsi="Book Antiqua" w:hint="default"/>
          <w:rtl w:val="0"/>
          <w:lang w:val="it-IT"/>
        </w:rPr>
        <w:t xml:space="preserve">” </w:t>
      </w:r>
      <w:r>
        <w:rPr>
          <w:rFonts w:ascii="Book Antiqua"/>
          <w:rtl w:val="0"/>
          <w:lang w:val="it-IT"/>
        </w:rPr>
        <w:t>veniva successivamente richiamato in altra decisione (Sez. 3, n. 971 del 11/12/2014 (dep. 2015), Ventura, Rv. 26179401, non massimata sul punto).</w:t>
      </w:r>
    </w:p>
    <w:p>
      <w:pPr>
        <w:pStyle w:val="Normal"/>
        <w:shd w:val="clear" w:color="auto" w:fill="ffffff"/>
        <w:ind w:left="567" w:right="567" w:firstLine="0"/>
        <w:jc w:val="both"/>
        <w:rPr>
          <w:rFonts w:ascii="Book Antiqua" w:cs="Book Antiqua" w:hAnsi="Book Antiqua" w:eastAsia="Book Antiqua"/>
        </w:rPr>
      </w:pPr>
      <w:r>
        <w:rPr>
          <w:rFonts w:ascii="Book Antiqua"/>
          <w:rtl w:val="0"/>
          <w:lang w:val="it-IT"/>
        </w:rPr>
        <w:t>Pi</w:t>
      </w:r>
      <w:r>
        <w:rPr>
          <w:rFonts w:hAnsi="Book Antiqua" w:hint="default"/>
          <w:rtl w:val="0"/>
          <w:lang w:val="it-IT"/>
        </w:rPr>
        <w:t xml:space="preserve">ù </w:t>
      </w:r>
      <w:r>
        <w:rPr>
          <w:rFonts w:ascii="Book Antiqua"/>
          <w:rtl w:val="0"/>
          <w:lang w:val="it-IT"/>
        </w:rPr>
        <w:t xml:space="preserve">recentemente, la questione della classificazione dei rifiuti con codice speculare </w:t>
      </w:r>
      <w:r>
        <w:rPr>
          <w:rFonts w:hAnsi="Book Antiqua" w:hint="default"/>
          <w:rtl w:val="0"/>
          <w:lang w:val="it-IT"/>
        </w:rPr>
        <w:t xml:space="preserve">è </w:t>
      </w:r>
      <w:r>
        <w:rPr>
          <w:rFonts w:ascii="Book Antiqua"/>
          <w:rtl w:val="0"/>
          <w:lang w:val="it-IT"/>
        </w:rPr>
        <w:t>stata specificamente affrontata, seppure con riferimento a fatti verificatisi dopo l</w:t>
      </w:r>
      <w:r>
        <w:rPr>
          <w:rFonts w:hAnsi="Book Antiqua" w:hint="default"/>
          <w:rtl w:val="0"/>
          <w:lang w:val="it-IT"/>
        </w:rPr>
        <w:t>’</w:t>
      </w:r>
      <w:r>
        <w:rPr>
          <w:rFonts w:ascii="Book Antiqua"/>
          <w:rtl w:val="0"/>
          <w:lang w:val="it-IT"/>
        </w:rPr>
        <w:t>entrata in vigore della legge 11 agosto 2014, n. 116 ma prima del 1 giugno 2015, data in cui sono divenuti applicabili il Regolamento (UE) n. 1357/2014 e la decisione della commissione 2014/955/UE (implicitamente ritenendo la natura procedurale della disciplina sopravvenuta, relativa alla mera classificazione del rifiuto e non direttamente integratrice della norma penale ed escludendone, conseguentemente, ogni eventuale efficacia retroattiva).</w:t>
      </w:r>
      <w:r>
        <w:rPr>
          <w:rFonts w:hAnsi="Book Antiqua" w:hint="default"/>
          <w:rtl w:val="0"/>
          <w:lang w:val="it-IT"/>
        </w:rPr>
        <w:t> </w:t>
      </w:r>
    </w:p>
    <w:p>
      <w:pPr>
        <w:pStyle w:val="Normal"/>
        <w:shd w:val="clear" w:color="auto" w:fill="ffffff"/>
        <w:ind w:left="567" w:right="567" w:firstLine="0"/>
        <w:jc w:val="both"/>
        <w:rPr>
          <w:rFonts w:ascii="Book Antiqua" w:cs="Book Antiqua" w:hAnsi="Book Antiqua" w:eastAsia="Book Antiqua"/>
        </w:rPr>
      </w:pPr>
      <w:r>
        <w:rPr>
          <w:rFonts w:ascii="Book Antiqua"/>
          <w:rtl w:val="0"/>
          <w:lang w:val="it-IT"/>
        </w:rPr>
        <w:t xml:space="preserve">La sentenza (Sez. 3, n. 46897 del 3/5/2016, Arduini e altro, Rv. 26812601), dopo aver ricordato che i codici CER per la classificazione dei rifiuti possono essere di quattro tipi: 1) codici assoluti relativi a rifiuti pericolosi, distinti con un asterisco (*); 2) codici assoluti relativi a rifiuti non pericolosi; 3) codici 'speculari' relativi a rifiuti pericolosi; 4) codici 'speculari' relativi a rifiuti non pericolosi, prende in esame la questione relativa alla corretta classificazione dei codici "a specchio", dando atto del fatto che il ricorrente aveva proposto una interpretazione della legge secondo cui, per classificare un rifiuto con codice CER </w:t>
      </w:r>
      <w:r>
        <w:rPr>
          <w:rFonts w:hAnsi="Book Antiqua" w:hint="default"/>
          <w:rtl w:val="0"/>
          <w:lang w:val="it-IT"/>
        </w:rPr>
        <w:t>“</w:t>
      </w:r>
      <w:r>
        <w:rPr>
          <w:rFonts w:ascii="Book Antiqua"/>
          <w:rtl w:val="0"/>
          <w:lang w:val="it-IT"/>
        </w:rPr>
        <w:t>a specchio</w:t>
      </w:r>
      <w:r>
        <w:rPr>
          <w:rFonts w:hAnsi="Book Antiqua" w:hint="default"/>
          <w:rtl w:val="0"/>
          <w:lang w:val="it-IT"/>
        </w:rPr>
        <w:t>”</w:t>
      </w:r>
      <w:r>
        <w:rPr>
          <w:rFonts w:ascii="Book Antiqua"/>
          <w:rtl w:val="0"/>
          <w:lang w:val="it-IT"/>
        </w:rPr>
        <w:t>, occorrerebbe la prova, mediante analisi, del superamento di determinate concentrazioni di sostanze pericolose.</w:t>
      </w:r>
    </w:p>
    <w:p>
      <w:pPr>
        <w:pStyle w:val="Normal"/>
        <w:shd w:val="clear" w:color="auto" w:fill="ffffff"/>
        <w:ind w:left="567" w:right="567" w:firstLine="0"/>
        <w:jc w:val="both"/>
        <w:rPr>
          <w:rFonts w:ascii="Book Antiqua" w:cs="Book Antiqua" w:hAnsi="Book Antiqua" w:eastAsia="Book Antiqua"/>
        </w:rPr>
      </w:pPr>
      <w:r>
        <w:rPr>
          <w:rFonts w:ascii="Book Antiqua"/>
          <w:rtl w:val="0"/>
          <w:lang w:val="it-IT"/>
        </w:rPr>
        <w:t xml:space="preserve">Si </w:t>
      </w:r>
      <w:r>
        <w:rPr>
          <w:rFonts w:hAnsi="Book Antiqua" w:hint="default"/>
          <w:rtl w:val="0"/>
          <w:lang w:val="it-IT"/>
        </w:rPr>
        <w:t xml:space="preserve">è </w:t>
      </w:r>
      <w:r>
        <w:rPr>
          <w:rFonts w:ascii="Book Antiqua"/>
          <w:rtl w:val="0"/>
          <w:lang w:val="it-IT"/>
        </w:rPr>
        <w:t>osservato, per</w:t>
      </w:r>
      <w:r>
        <w:rPr>
          <w:rFonts w:hAnsi="Book Antiqua" w:hint="default"/>
          <w:rtl w:val="0"/>
          <w:lang w:val="it-IT"/>
        </w:rPr>
        <w:t>ò</w:t>
      </w:r>
      <w:r>
        <w:rPr>
          <w:rFonts w:ascii="Book Antiqua"/>
          <w:rtl w:val="0"/>
          <w:lang w:val="it-IT"/>
        </w:rPr>
        <w:t>, che il punto 5 dell'Allegato D al decreto legislativo n. 152 del 2006 pur definendo il rifiuto con codice speculare pericoloso, non indica le modalit</w:t>
      </w:r>
      <w:r>
        <w:rPr>
          <w:rFonts w:hAnsi="Book Antiqua" w:hint="default"/>
          <w:rtl w:val="0"/>
          <w:lang w:val="it-IT"/>
        </w:rPr>
        <w:t xml:space="preserve">à </w:t>
      </w:r>
      <w:r>
        <w:rPr>
          <w:rFonts w:ascii="Book Antiqua"/>
          <w:rtl w:val="0"/>
          <w:lang w:val="it-IT"/>
        </w:rPr>
        <w:t>di caratterizzazione del rifiuto, presupposto per la sua corretta classificazione, rilevando che la classificazione e la conseguente attribuzione del codice compete al produttore/detentore del rifiuto, con la conseguenza che, relativamente al rifiuto con codice speculare, il detentore sar</w:t>
      </w:r>
      <w:r>
        <w:rPr>
          <w:rFonts w:hAnsi="Book Antiqua" w:hint="default"/>
          <w:rtl w:val="0"/>
          <w:lang w:val="it-IT"/>
        </w:rPr>
        <w:t xml:space="preserve">à </w:t>
      </w:r>
      <w:r>
        <w:rPr>
          <w:rFonts w:ascii="Book Antiqua"/>
          <w:rtl w:val="0"/>
          <w:lang w:val="it-IT"/>
        </w:rPr>
        <w:t xml:space="preserve">obbligato ad eseguire le analisi (chimiche, microbiologiche, ecc.) necessarie per accertare l'eventuale presenza di sostanze pericolose, e l'eventuale superamento delle soglie di concentrazione, mentre la classificazione del rifiuto come non pericoloso </w:t>
      </w:r>
      <w:r>
        <w:rPr>
          <w:rFonts w:hAnsi="Book Antiqua" w:hint="default"/>
          <w:rtl w:val="0"/>
          <w:lang w:val="it-IT"/>
        </w:rPr>
        <w:t xml:space="preserve">è </w:t>
      </w:r>
      <w:r>
        <w:rPr>
          <w:rFonts w:ascii="Book Antiqua"/>
          <w:rtl w:val="0"/>
          <w:lang w:val="it-IT"/>
        </w:rPr>
        <w:t xml:space="preserve">possibile solo in caso di accertamento, in concreto, dell'assenza o del mancato superamento delle soglie, di sostanze pericolose. Si </w:t>
      </w:r>
      <w:r>
        <w:rPr>
          <w:rFonts w:hAnsi="Book Antiqua" w:hint="default"/>
          <w:rtl w:val="0"/>
          <w:lang w:val="it-IT"/>
        </w:rPr>
        <w:t xml:space="preserve">è </w:t>
      </w:r>
      <w:r>
        <w:rPr>
          <w:rFonts w:ascii="Book Antiqua"/>
          <w:rtl w:val="0"/>
          <w:lang w:val="it-IT"/>
        </w:rPr>
        <w:t xml:space="preserve">ulteriormente obiettato che, aderendo alla tesi interpretativa prospettata dal ricorrente, il detentore potrebbe classificare il rifiuto con codice speculare come non pericoloso e gestirlo come tale, in assenza di analisi adeguate, verificandosi in tal caso una situazione di contrasto con gli obblighi di legge ed eccentrica rispetto all'intero sistema normativo che disciplina la gestione del ciclo dei rifiuti ed al principio di precauzione ad esso sotteso. Si </w:t>
      </w:r>
      <w:r>
        <w:rPr>
          <w:rFonts w:hAnsi="Book Antiqua" w:hint="default"/>
          <w:rtl w:val="0"/>
          <w:lang w:val="it-IT"/>
        </w:rPr>
        <w:t xml:space="preserve">è </w:t>
      </w:r>
      <w:r>
        <w:rPr>
          <w:rFonts w:ascii="Book Antiqua"/>
          <w:rtl w:val="0"/>
          <w:lang w:val="it-IT"/>
        </w:rPr>
        <w:t>inoltre richiamata l</w:t>
      </w:r>
      <w:r>
        <w:rPr>
          <w:rFonts w:hAnsi="Book Antiqua" w:hint="default"/>
          <w:rtl w:val="0"/>
          <w:lang w:val="it-IT"/>
        </w:rPr>
        <w:t>’</w:t>
      </w:r>
      <w:r>
        <w:rPr>
          <w:rFonts w:ascii="Book Antiqua"/>
          <w:rtl w:val="0"/>
          <w:lang w:val="it-IT"/>
        </w:rPr>
        <w:t>attenzione sul fatto che le modalit</w:t>
      </w:r>
      <w:r>
        <w:rPr>
          <w:rFonts w:hAnsi="Book Antiqua" w:hint="default"/>
          <w:rtl w:val="0"/>
          <w:lang w:val="it-IT"/>
        </w:rPr>
        <w:t xml:space="preserve">à </w:t>
      </w:r>
      <w:r>
        <w:rPr>
          <w:rFonts w:ascii="Book Antiqua"/>
          <w:rtl w:val="0"/>
          <w:lang w:val="it-IT"/>
        </w:rPr>
        <w:t>di caratterizzazione del rifiuto erano state esplicitate dalla legge 11 agosto 2014, n. 116 attraverso le modifiche all</w:t>
      </w:r>
      <w:r>
        <w:rPr>
          <w:rFonts w:hAnsi="Book Antiqua" w:hint="default"/>
          <w:rtl w:val="0"/>
          <w:lang w:val="it-IT"/>
        </w:rPr>
        <w:t>’</w:t>
      </w:r>
      <w:r>
        <w:rPr>
          <w:rFonts w:ascii="Book Antiqua"/>
          <w:rtl w:val="0"/>
          <w:lang w:val="it-IT"/>
        </w:rPr>
        <w:t>Allegato D del decreto legislativo n. 152 del 2006.</w:t>
      </w:r>
    </w:p>
    <w:p>
      <w:pPr>
        <w:pStyle w:val="Normal"/>
        <w:shd w:val="clear" w:color="auto" w:fill="ffffff"/>
        <w:ind w:left="567" w:right="567" w:firstLine="0"/>
        <w:jc w:val="both"/>
        <w:rPr>
          <w:rFonts w:ascii="Book Antiqua" w:cs="Book Antiqua" w:hAnsi="Book Antiqua" w:eastAsia="Book Antiqua"/>
        </w:rPr>
      </w:pPr>
      <w:r>
        <w:rPr>
          <w:rFonts w:ascii="Book Antiqua"/>
          <w:rtl w:val="0"/>
          <w:lang w:val="it-IT"/>
        </w:rPr>
        <w:t xml:space="preserve">Il principio di diritto conseguentemente affermato </w:t>
      </w:r>
      <w:r>
        <w:rPr>
          <w:rFonts w:hAnsi="Book Antiqua" w:hint="default"/>
          <w:rtl w:val="0"/>
          <w:lang w:val="it-IT"/>
        </w:rPr>
        <w:t xml:space="preserve">è </w:t>
      </w:r>
      <w:r>
        <w:rPr>
          <w:rFonts w:ascii="Book Antiqua"/>
          <w:rtl w:val="0"/>
          <w:lang w:val="it-IT"/>
        </w:rPr>
        <w:t>stato cos</w:t>
      </w:r>
      <w:r>
        <w:rPr>
          <w:rFonts w:hAnsi="Book Antiqua" w:hint="default"/>
          <w:rtl w:val="0"/>
          <w:lang w:val="it-IT"/>
        </w:rPr>
        <w:t xml:space="preserve">ì </w:t>
      </w:r>
      <w:r>
        <w:rPr>
          <w:rFonts w:ascii="Book Antiqua"/>
          <w:rtl w:val="0"/>
          <w:lang w:val="it-IT"/>
        </w:rPr>
        <w:t xml:space="preserve">massimato: </w:t>
      </w:r>
      <w:r>
        <w:rPr>
          <w:rFonts w:hAnsi="Book Antiqua" w:hint="default"/>
          <w:rtl w:val="0"/>
          <w:lang w:val="it-IT"/>
        </w:rPr>
        <w:t>“</w:t>
      </w:r>
      <w:r>
        <w:rPr>
          <w:rFonts w:ascii="Book Antiqua"/>
          <w:rtl w:val="0"/>
          <w:lang w:val="it-IT"/>
        </w:rPr>
        <w:t xml:space="preserve">in caso di gestione di rifiuti identificati con un codice cosiddetto "a specchio" (previsto nelle ipotesi in cui da una medesima operazione o processo produttivo possano derivare, in alternativa, un rifiuto pericoloso o non pericoloso), il produttore/detentore </w:t>
      </w:r>
      <w:r>
        <w:rPr>
          <w:rFonts w:hAnsi="Book Antiqua" w:hint="default"/>
          <w:rtl w:val="0"/>
          <w:lang w:val="it-IT"/>
        </w:rPr>
        <w:t xml:space="preserve">è </w:t>
      </w:r>
      <w:r>
        <w:rPr>
          <w:rFonts w:ascii="Book Antiqua"/>
          <w:rtl w:val="0"/>
          <w:lang w:val="it-IT"/>
        </w:rPr>
        <w:t>tenuto, per classificare il rifiuto e attribuire il codice (pericoloso/non pericoloso), ad eseguire le necessarie analisi volte ad accertare l'eventuale presenza di sostanze pericolose ed il superamento delle soglie di concentrazione, e solo nel caso in cui siano accertati in concreto l'assenza o il mancato superamento di dette soglie, il rifiuto potr</w:t>
      </w:r>
      <w:r>
        <w:rPr>
          <w:rFonts w:hAnsi="Book Antiqua" w:hint="default"/>
          <w:rtl w:val="0"/>
          <w:lang w:val="it-IT"/>
        </w:rPr>
        <w:t xml:space="preserve">à </w:t>
      </w:r>
      <w:r>
        <w:rPr>
          <w:rFonts w:ascii="Book Antiqua"/>
          <w:rtl w:val="0"/>
          <w:lang w:val="it-IT"/>
        </w:rPr>
        <w:t>essere classificato come non pericoloso</w:t>
      </w:r>
      <w:r>
        <w:rPr>
          <w:rFonts w:hAnsi="Book Antiqua" w:hint="default"/>
          <w:rtl w:val="0"/>
          <w:lang w:val="it-IT"/>
        </w:rPr>
        <w:t>”</w:t>
      </w:r>
      <w:r>
        <w:rPr>
          <w:rFonts w:ascii="Book Antiqua"/>
          <w:rtl w:val="0"/>
          <w:lang w:val="it-IT"/>
        </w:rPr>
        <w:t>.</w:t>
      </w:r>
    </w:p>
    <w:p>
      <w:pPr>
        <w:pStyle w:val="Normal"/>
        <w:shd w:val="clear" w:color="auto" w:fill="ffffff"/>
        <w:ind w:left="567" w:right="567" w:firstLine="0"/>
        <w:jc w:val="both"/>
        <w:rPr>
          <w:rFonts w:ascii="Book Antiqua" w:cs="Book Antiqua" w:hAnsi="Book Antiqua" w:eastAsia="Book Antiqua"/>
        </w:rPr>
      </w:pPr>
    </w:p>
    <w:p>
      <w:pPr>
        <w:pStyle w:val="Normal"/>
        <w:shd w:val="clear" w:color="auto" w:fill="ffffff"/>
        <w:ind w:left="567" w:right="567" w:firstLine="0"/>
        <w:jc w:val="both"/>
        <w:rPr>
          <w:rFonts w:ascii="Book Antiqua" w:cs="Book Antiqua" w:hAnsi="Book Antiqua" w:eastAsia="Book Antiqua"/>
          <w:i w:val="1"/>
          <w:iCs w:val="1"/>
        </w:rPr>
      </w:pPr>
      <w:r>
        <w:rPr>
          <w:rFonts w:ascii="Book Antiqua"/>
          <w:i w:val="1"/>
          <w:iCs w:val="1"/>
          <w:rtl w:val="0"/>
          <w:lang w:val="it-IT"/>
        </w:rPr>
        <w:t>La dottrina</w:t>
      </w:r>
    </w:p>
    <w:p>
      <w:pPr>
        <w:pStyle w:val="Normal"/>
        <w:shd w:val="clear" w:color="auto" w:fill="ffffff"/>
        <w:ind w:left="567" w:right="567" w:firstLine="0"/>
        <w:jc w:val="both"/>
        <w:rPr>
          <w:rFonts w:ascii="Book Antiqua Bold" w:cs="Book Antiqua Bold" w:hAnsi="Book Antiqua Bold" w:eastAsia="Book Antiqua Bold"/>
          <w:b w:val="1"/>
          <w:bCs w:val="1"/>
        </w:rPr>
      </w:pPr>
    </w:p>
    <w:p>
      <w:pPr>
        <w:pStyle w:val="Normal"/>
        <w:shd w:val="clear" w:color="auto" w:fill="ffffff"/>
        <w:ind w:left="567" w:right="567" w:firstLine="0"/>
        <w:jc w:val="both"/>
        <w:rPr>
          <w:rFonts w:ascii="Book Antiqua" w:cs="Book Antiqua" w:hAnsi="Book Antiqua" w:eastAsia="Book Antiqua"/>
        </w:rPr>
      </w:pPr>
      <w:r>
        <w:rPr>
          <w:rFonts w:ascii="Book Antiqua"/>
          <w:rtl w:val="0"/>
          <w:lang w:val="it-IT"/>
        </w:rPr>
        <w:t>Prima dell</w:t>
      </w:r>
      <w:r>
        <w:rPr>
          <w:rFonts w:hAnsi="Book Antiqua" w:hint="default"/>
          <w:rtl w:val="0"/>
          <w:lang w:val="it-IT"/>
        </w:rPr>
        <w:t>’</w:t>
      </w:r>
      <w:r>
        <w:rPr>
          <w:rFonts w:ascii="Book Antiqua"/>
          <w:rtl w:val="0"/>
          <w:lang w:val="it-IT"/>
        </w:rPr>
        <w:t>entrata in vigore legge 11 agosto 2014, n. 116 si contrapponevano due opposte tesi, individuabili, attraverso una sommaria e certamente non esaustiva descrizione, per il fatto che, in una, si riteneva la necessit</w:t>
      </w:r>
      <w:r>
        <w:rPr>
          <w:rFonts w:hAnsi="Book Antiqua" w:hint="default"/>
          <w:rtl w:val="0"/>
          <w:lang w:val="it-IT"/>
        </w:rPr>
        <w:t xml:space="preserve">à </w:t>
      </w:r>
      <w:r>
        <w:rPr>
          <w:rFonts w:ascii="Book Antiqua"/>
          <w:rtl w:val="0"/>
          <w:lang w:val="it-IT"/>
        </w:rPr>
        <w:t>del previo accertamento della pericolosit</w:t>
      </w:r>
      <w:r>
        <w:rPr>
          <w:rFonts w:hAnsi="Book Antiqua" w:hint="default"/>
          <w:rtl w:val="0"/>
          <w:lang w:val="it-IT"/>
        </w:rPr>
        <w:t>à</w:t>
      </w:r>
      <w:r>
        <w:rPr>
          <w:rFonts w:ascii="Book Antiqua"/>
          <w:rtl w:val="0"/>
          <w:lang w:val="it-IT"/>
        </w:rPr>
        <w:t>, mediante analisi appropriate, dei rifiuti con codici speculari, mentre nell</w:t>
      </w:r>
      <w:r>
        <w:rPr>
          <w:rFonts w:hAnsi="Book Antiqua" w:hint="default"/>
          <w:rtl w:val="0"/>
          <w:lang w:val="it-IT"/>
        </w:rPr>
        <w:t>’</w:t>
      </w:r>
      <w:r>
        <w:rPr>
          <w:rFonts w:ascii="Book Antiqua"/>
          <w:rtl w:val="0"/>
          <w:lang w:val="it-IT"/>
        </w:rPr>
        <w:t>altra tale pericolosit</w:t>
      </w:r>
      <w:r>
        <w:rPr>
          <w:rFonts w:hAnsi="Book Antiqua" w:hint="default"/>
          <w:rtl w:val="0"/>
          <w:lang w:val="it-IT"/>
        </w:rPr>
        <w:t xml:space="preserve">à </w:t>
      </w:r>
      <w:r>
        <w:rPr>
          <w:rFonts w:ascii="Book Antiqua"/>
          <w:rtl w:val="0"/>
          <w:lang w:val="it-IT"/>
        </w:rPr>
        <w:t>si riteneva presunta, salvo la possibilit</w:t>
      </w:r>
      <w:r>
        <w:rPr>
          <w:rFonts w:hAnsi="Book Antiqua" w:hint="default"/>
          <w:rtl w:val="0"/>
          <w:lang w:val="it-IT"/>
        </w:rPr>
        <w:t xml:space="preserve">à </w:t>
      </w:r>
      <w:r>
        <w:rPr>
          <w:rFonts w:ascii="Book Antiqua"/>
          <w:rtl w:val="0"/>
          <w:lang w:val="it-IT"/>
        </w:rPr>
        <w:t>di escluderla mediante analisi dimostrative dell</w:t>
      </w:r>
      <w:r>
        <w:rPr>
          <w:rFonts w:hAnsi="Book Antiqua" w:hint="default"/>
          <w:rtl w:val="0"/>
          <w:lang w:val="it-IT"/>
        </w:rPr>
        <w:t>’</w:t>
      </w:r>
      <w:r>
        <w:rPr>
          <w:rFonts w:ascii="Book Antiqua"/>
          <w:rtl w:val="0"/>
          <w:lang w:val="it-IT"/>
        </w:rPr>
        <w:t>assenza del pericolo (tesi successivamente definite, in pi</w:t>
      </w:r>
      <w:r>
        <w:rPr>
          <w:rFonts w:hAnsi="Book Antiqua" w:hint="default"/>
          <w:rtl w:val="0"/>
          <w:lang w:val="it-IT"/>
        </w:rPr>
        <w:t xml:space="preserve">ù </w:t>
      </w:r>
      <w:r>
        <w:rPr>
          <w:rFonts w:ascii="Book Antiqua"/>
          <w:rtl w:val="0"/>
          <w:lang w:val="it-IT"/>
        </w:rPr>
        <w:t xml:space="preserve">occasioni, la prima come </w:t>
      </w:r>
      <w:r>
        <w:rPr>
          <w:rFonts w:hAnsi="Book Antiqua" w:hint="default"/>
          <w:rtl w:val="0"/>
          <w:lang w:val="it-IT"/>
        </w:rPr>
        <w:t>“</w:t>
      </w:r>
      <w:r>
        <w:rPr>
          <w:rFonts w:ascii="Book Antiqua"/>
          <w:rtl w:val="0"/>
          <w:lang w:val="it-IT"/>
        </w:rPr>
        <w:t>tesi della probabilit</w:t>
      </w:r>
      <w:r>
        <w:rPr>
          <w:rFonts w:hAnsi="Book Antiqua" w:hint="default"/>
          <w:rtl w:val="0"/>
          <w:lang w:val="it-IT"/>
        </w:rPr>
        <w:t xml:space="preserve">à” </w:t>
      </w:r>
      <w:r>
        <w:rPr>
          <w:rFonts w:ascii="Book Antiqua"/>
          <w:rtl w:val="0"/>
          <w:lang w:val="it-IT"/>
        </w:rPr>
        <w:t xml:space="preserve">e la seconda come </w:t>
      </w:r>
      <w:r>
        <w:rPr>
          <w:rFonts w:hAnsi="Book Antiqua" w:hint="default"/>
          <w:rtl w:val="0"/>
          <w:lang w:val="it-IT"/>
        </w:rPr>
        <w:t>“</w:t>
      </w:r>
      <w:r>
        <w:rPr>
          <w:rFonts w:ascii="Book Antiqua"/>
          <w:rtl w:val="0"/>
          <w:lang w:val="it-IT"/>
        </w:rPr>
        <w:t>tesi della certezza</w:t>
      </w:r>
      <w:r>
        <w:rPr>
          <w:rFonts w:hAnsi="Book Antiqua" w:hint="default"/>
          <w:rtl w:val="0"/>
          <w:lang w:val="it-IT"/>
        </w:rPr>
        <w:t>”</w:t>
      </w:r>
      <w:r>
        <w:rPr>
          <w:rFonts w:ascii="Book Antiqua"/>
          <w:rtl w:val="0"/>
          <w:lang w:val="it-IT"/>
        </w:rPr>
        <w:t>).</w:t>
      </w:r>
    </w:p>
    <w:p>
      <w:pPr>
        <w:pStyle w:val="Normal"/>
        <w:shd w:val="clear" w:color="auto" w:fill="ffffff"/>
        <w:ind w:left="567" w:right="567" w:firstLine="0"/>
        <w:jc w:val="both"/>
        <w:rPr>
          <w:rFonts w:ascii="Book Antiqua" w:cs="Book Antiqua" w:hAnsi="Book Antiqua" w:eastAsia="Book Antiqua"/>
        </w:rPr>
      </w:pPr>
      <w:r>
        <w:rPr>
          <w:rFonts w:ascii="Book Antiqua"/>
          <w:rtl w:val="0"/>
          <w:lang w:val="it-IT"/>
        </w:rPr>
        <w:t>La prima delle tesi prospettata si riteneva ispirata al principio comunitario dello sviluppo sostenibile, mentre la seconda a quello di precauzione.</w:t>
      </w:r>
    </w:p>
    <w:p>
      <w:pPr>
        <w:pStyle w:val="Normal"/>
        <w:shd w:val="clear" w:color="auto" w:fill="ffffff"/>
        <w:ind w:left="567" w:right="567" w:firstLine="0"/>
        <w:jc w:val="both"/>
        <w:rPr>
          <w:rFonts w:ascii="Book Antiqua" w:cs="Book Antiqua" w:hAnsi="Book Antiqua" w:eastAsia="Book Antiqua"/>
        </w:rPr>
      </w:pPr>
      <w:r>
        <w:rPr>
          <w:rFonts w:ascii="Book Antiqua"/>
          <w:rtl w:val="0"/>
          <w:lang w:val="it-IT"/>
        </w:rPr>
        <w:t xml:space="preserve">Il dibattito si </w:t>
      </w:r>
      <w:r>
        <w:rPr>
          <w:rFonts w:hAnsi="Book Antiqua" w:hint="default"/>
          <w:rtl w:val="0"/>
          <w:lang w:val="it-IT"/>
        </w:rPr>
        <w:t xml:space="preserve">è </w:t>
      </w:r>
      <w:r>
        <w:rPr>
          <w:rFonts w:ascii="Book Antiqua"/>
          <w:rtl w:val="0"/>
          <w:lang w:val="it-IT"/>
        </w:rPr>
        <w:t>nuovamente animato dopo l</w:t>
      </w:r>
      <w:r>
        <w:rPr>
          <w:rFonts w:hAnsi="Book Antiqua" w:hint="default"/>
          <w:rtl w:val="0"/>
          <w:lang w:val="it-IT"/>
        </w:rPr>
        <w:t>’</w:t>
      </w:r>
      <w:r>
        <w:rPr>
          <w:rFonts w:ascii="Book Antiqua"/>
          <w:rtl w:val="0"/>
          <w:lang w:val="it-IT"/>
        </w:rPr>
        <w:t>entrata in vigore della pi</w:t>
      </w:r>
      <w:r>
        <w:rPr>
          <w:rFonts w:hAnsi="Book Antiqua" w:hint="default"/>
          <w:rtl w:val="0"/>
          <w:lang w:val="it-IT"/>
        </w:rPr>
        <w:t xml:space="preserve">ù </w:t>
      </w:r>
      <w:r>
        <w:rPr>
          <w:rFonts w:ascii="Book Antiqua"/>
          <w:rtl w:val="0"/>
          <w:lang w:val="it-IT"/>
        </w:rPr>
        <w:t>volte citata legge 11 agosto 2014, n. 116, la quale, avendo fissato le modalit</w:t>
      </w:r>
      <w:r>
        <w:rPr>
          <w:rFonts w:hAnsi="Book Antiqua" w:hint="default"/>
          <w:rtl w:val="0"/>
          <w:lang w:val="it-IT"/>
        </w:rPr>
        <w:t xml:space="preserve">à </w:t>
      </w:r>
      <w:r>
        <w:rPr>
          <w:rFonts w:ascii="Book Antiqua"/>
          <w:rtl w:val="0"/>
          <w:lang w:val="it-IT"/>
        </w:rPr>
        <w:t xml:space="preserve">di caratterizzazione dei rifiuti ai fini della loro classificazione, ha provocato le reazione di quanti, fautori della tesi della </w:t>
      </w:r>
      <w:r>
        <w:rPr>
          <w:rFonts w:hAnsi="Book Antiqua" w:hint="default"/>
          <w:rtl w:val="0"/>
          <w:lang w:val="it-IT"/>
        </w:rPr>
        <w:t>“</w:t>
      </w:r>
      <w:r>
        <w:rPr>
          <w:rFonts w:ascii="Book Antiqua"/>
          <w:rtl w:val="0"/>
          <w:lang w:val="it-IT"/>
        </w:rPr>
        <w:t>pericolosit</w:t>
      </w:r>
      <w:r>
        <w:rPr>
          <w:rFonts w:hAnsi="Book Antiqua" w:hint="default"/>
          <w:rtl w:val="0"/>
          <w:lang w:val="it-IT"/>
        </w:rPr>
        <w:t xml:space="preserve">à </w:t>
      </w:r>
      <w:r>
        <w:rPr>
          <w:rFonts w:ascii="Book Antiqua"/>
          <w:rtl w:val="0"/>
          <w:lang w:val="it-IT"/>
        </w:rPr>
        <w:t>presunta</w:t>
      </w:r>
      <w:r>
        <w:rPr>
          <w:rFonts w:hAnsi="Book Antiqua" w:hint="default"/>
          <w:rtl w:val="0"/>
          <w:lang w:val="it-IT"/>
        </w:rPr>
        <w:t>”</w:t>
      </w:r>
      <w:r>
        <w:rPr>
          <w:rFonts w:ascii="Book Antiqua"/>
          <w:rtl w:val="0"/>
          <w:lang w:val="it-IT"/>
        </w:rPr>
        <w:t>, hanno rinvenuto, nelle nuove norme, la conferma, seppure tardiva, della correttezza dell</w:t>
      </w:r>
      <w:r>
        <w:rPr>
          <w:rFonts w:hAnsi="Book Antiqua" w:hint="default"/>
          <w:rtl w:val="0"/>
          <w:lang w:val="it-IT"/>
        </w:rPr>
        <w:t>’</w:t>
      </w:r>
      <w:r>
        <w:rPr>
          <w:rFonts w:ascii="Book Antiqua"/>
          <w:rtl w:val="0"/>
          <w:lang w:val="it-IT"/>
        </w:rPr>
        <w:t>interpretazione prospettata, ritenuta comunque conforme a quanto previsto dalla Decisione 2000/532/CE, evidenziando come, dopo quindici anni dalla emanazione della decisione, lo Stato italiano non avesse fatto altro che prevedere, per la classificazione dei rifiuti, una procedura che altri Stati membri avevano gi</w:t>
      </w:r>
      <w:r>
        <w:rPr>
          <w:rFonts w:hAnsi="Book Antiqua" w:hint="default"/>
          <w:rtl w:val="0"/>
          <w:lang w:val="it-IT"/>
        </w:rPr>
        <w:t xml:space="preserve">à </w:t>
      </w:r>
      <w:r>
        <w:rPr>
          <w:rFonts w:ascii="Book Antiqua"/>
          <w:rtl w:val="0"/>
          <w:lang w:val="it-IT"/>
        </w:rPr>
        <w:t xml:space="preserve">recepito addirittura in semplici manuali tecnici, citando, a tale proposito, quello del Regno Unito </w:t>
      </w:r>
      <w:r>
        <w:rPr>
          <w:rFonts w:hAnsi="Book Antiqua" w:hint="default"/>
          <w:rtl w:val="0"/>
          <w:lang w:val="it-IT"/>
        </w:rPr>
        <w:t>“</w:t>
      </w:r>
      <w:r>
        <w:rPr>
          <w:rFonts w:ascii="Book Antiqua"/>
          <w:rtl w:val="0"/>
          <w:lang w:val="it-IT"/>
        </w:rPr>
        <w:t>Hazardous waste, Interpretation of the definition and classification of hazardous waste (Technica Guidance WM2)</w:t>
      </w:r>
      <w:r>
        <w:rPr>
          <w:rFonts w:hAnsi="Book Antiqua" w:hint="default"/>
          <w:rtl w:val="0"/>
          <w:lang w:val="it-IT"/>
        </w:rPr>
        <w:t>”</w:t>
      </w:r>
      <w:r>
        <w:rPr>
          <w:rFonts w:ascii="Book Antiqua"/>
          <w:rtl w:val="0"/>
          <w:lang w:val="it-IT"/>
        </w:rPr>
        <w:t>, pubblicato per la prima volta nel 2003.</w:t>
      </w:r>
    </w:p>
    <w:p>
      <w:pPr>
        <w:pStyle w:val="Normal"/>
        <w:shd w:val="clear" w:color="auto" w:fill="ffffff"/>
        <w:ind w:left="567" w:right="567" w:firstLine="0"/>
        <w:jc w:val="both"/>
        <w:rPr>
          <w:rFonts w:ascii="Book Antiqua" w:cs="Book Antiqua" w:hAnsi="Book Antiqua" w:eastAsia="Book Antiqua"/>
        </w:rPr>
      </w:pPr>
      <w:r>
        <w:rPr>
          <w:rFonts w:ascii="Book Antiqua"/>
          <w:rtl w:val="0"/>
          <w:lang w:val="it-IT"/>
        </w:rPr>
        <w:t xml:space="preserve">Si </w:t>
      </w:r>
      <w:r>
        <w:rPr>
          <w:rFonts w:hAnsi="Book Antiqua" w:hint="default"/>
          <w:rtl w:val="0"/>
          <w:lang w:val="it-IT"/>
        </w:rPr>
        <w:t xml:space="preserve">è </w:t>
      </w:r>
      <w:r>
        <w:rPr>
          <w:rFonts w:ascii="Book Antiqua"/>
          <w:rtl w:val="0"/>
          <w:lang w:val="it-IT"/>
        </w:rPr>
        <w:t>anche rilevato come, il 15 giugno 2015, anche la Commissione CE, sebbene soltanto attraverso un documento preparatorio, abbia indicato le modalit</w:t>
      </w:r>
      <w:r>
        <w:rPr>
          <w:rFonts w:hAnsi="Book Antiqua" w:hint="default"/>
          <w:rtl w:val="0"/>
          <w:lang w:val="it-IT"/>
        </w:rPr>
        <w:t xml:space="preserve">à </w:t>
      </w:r>
      <w:r>
        <w:rPr>
          <w:rFonts w:ascii="Book Antiqua"/>
          <w:rtl w:val="0"/>
          <w:lang w:val="it-IT"/>
        </w:rPr>
        <w:t>da adottare per la caratterizzazione dei rifiuti ai fini della loro classificazione in un documento denominato "</w:t>
      </w:r>
      <w:r>
        <w:rPr>
          <w:rFonts w:ascii="Book Antiqua"/>
          <w:i w:val="1"/>
          <w:iCs w:val="1"/>
          <w:rtl w:val="0"/>
          <w:lang w:val="it-IT"/>
        </w:rPr>
        <w:t>Guidance document on the definition and classification of hazardous waste - Draft version from 15 June 2015</w:t>
      </w:r>
      <w:r>
        <w:rPr>
          <w:rFonts w:ascii="Book Antiqua"/>
          <w:rtl w:val="0"/>
          <w:lang w:val="it-IT"/>
        </w:rPr>
        <w:t>", rinvenendo cos</w:t>
      </w:r>
      <w:r>
        <w:rPr>
          <w:rFonts w:hAnsi="Book Antiqua" w:hint="default"/>
          <w:rtl w:val="0"/>
          <w:lang w:val="it-IT"/>
        </w:rPr>
        <w:t>ì</w:t>
      </w:r>
      <w:r>
        <w:rPr>
          <w:rFonts w:ascii="Book Antiqua"/>
          <w:rtl w:val="0"/>
          <w:lang w:val="it-IT"/>
        </w:rPr>
        <w:t>, in tale documento, un</w:t>
      </w:r>
      <w:r>
        <w:rPr>
          <w:rFonts w:hAnsi="Book Antiqua" w:hint="default"/>
          <w:rtl w:val="0"/>
          <w:lang w:val="it-IT"/>
        </w:rPr>
        <w:t>’</w:t>
      </w:r>
      <w:r>
        <w:rPr>
          <w:rFonts w:ascii="Book Antiqua"/>
          <w:rtl w:val="0"/>
          <w:lang w:val="it-IT"/>
        </w:rPr>
        <w:t>ulteriore conferma della correttezza della metodologia fissata dalla legge italiana e della sua conformit</w:t>
      </w:r>
      <w:r>
        <w:rPr>
          <w:rFonts w:hAnsi="Book Antiqua" w:hint="default"/>
          <w:rtl w:val="0"/>
          <w:lang w:val="it-IT"/>
        </w:rPr>
        <w:t xml:space="preserve">à </w:t>
      </w:r>
      <w:r>
        <w:rPr>
          <w:rFonts w:ascii="Book Antiqua"/>
          <w:rtl w:val="0"/>
          <w:lang w:val="it-IT"/>
        </w:rPr>
        <w:t>alla Decisione2000/532/CE.</w:t>
      </w:r>
    </w:p>
    <w:p>
      <w:pPr>
        <w:pStyle w:val="Normal"/>
        <w:shd w:val="clear" w:color="auto" w:fill="ffffff"/>
        <w:ind w:left="567" w:right="567" w:firstLine="0"/>
        <w:jc w:val="both"/>
        <w:rPr>
          <w:rFonts w:ascii="Book Antiqua" w:cs="Book Antiqua" w:hAnsi="Book Antiqua" w:eastAsia="Book Antiqua"/>
        </w:rPr>
      </w:pPr>
      <w:r>
        <w:rPr>
          <w:rFonts w:ascii="Book Antiqua"/>
          <w:rtl w:val="0"/>
          <w:lang w:val="it-IT"/>
        </w:rPr>
        <w:t>Secondo i sostenitori della tesi opposta, invece, la legge 116/2014 sarebbe stata produttiva di effetti decisamente negativi per gli operatori del settore, sia dal punto di vista pratico che economico e palesemente in contrasto con la normativa comunitaria, tanto da prospettare, in un caso, la possibilit</w:t>
      </w:r>
      <w:r>
        <w:rPr>
          <w:rFonts w:hAnsi="Book Antiqua" w:hint="default"/>
          <w:rtl w:val="0"/>
          <w:lang w:val="it-IT"/>
        </w:rPr>
        <w:t xml:space="preserve">à </w:t>
      </w:r>
      <w:r>
        <w:rPr>
          <w:rFonts w:ascii="Book Antiqua"/>
          <w:rtl w:val="0"/>
          <w:lang w:val="it-IT"/>
        </w:rPr>
        <w:t>della sua disapplicazione da parte del giudice nazionale per effetto del mancato adempimento, da parte dello Stato italiano, all</w:t>
      </w:r>
      <w:r>
        <w:rPr>
          <w:rFonts w:hAnsi="Book Antiqua" w:hint="default"/>
          <w:rtl w:val="0"/>
          <w:lang w:val="it-IT"/>
        </w:rPr>
        <w:t>’</w:t>
      </w:r>
      <w:r>
        <w:rPr>
          <w:rFonts w:ascii="Book Antiqua"/>
          <w:rtl w:val="0"/>
          <w:lang w:val="it-IT"/>
        </w:rPr>
        <w:t>obbligo di notifica dei progetti di norme nazionali contenenti regole tecniche alla Commissione europea.</w:t>
      </w:r>
      <w:r>
        <w:rPr>
          <w:rFonts w:ascii="Book Antiqua" w:cs="Book Antiqua" w:hAnsi="Book Antiqua" w:eastAsia="Book Antiqua"/>
          <w:rtl w:val="0"/>
        </w:rPr>
        <w:br w:type="textWrapping"/>
      </w:r>
      <w:r>
        <w:rPr>
          <w:rFonts w:ascii="Book Antiqua"/>
          <w:rtl w:val="0"/>
          <w:lang w:val="it-IT"/>
        </w:rPr>
        <w:t xml:space="preserve">Il decreto, inoltre, </w:t>
      </w:r>
      <w:r>
        <w:rPr>
          <w:rFonts w:hAnsi="Book Antiqua" w:hint="default"/>
          <w:rtl w:val="0"/>
          <w:lang w:val="it-IT"/>
        </w:rPr>
        <w:t xml:space="preserve">è </w:t>
      </w:r>
      <w:r>
        <w:rPr>
          <w:rFonts w:ascii="Book Antiqua"/>
          <w:rtl w:val="0"/>
          <w:lang w:val="it-IT"/>
        </w:rPr>
        <w:t>stato criticato anche sotto il profilo meramente tecnico, osservando come la dimostrazione della non pericolosit</w:t>
      </w:r>
      <w:r>
        <w:rPr>
          <w:rFonts w:hAnsi="Book Antiqua" w:hint="default"/>
          <w:rtl w:val="0"/>
          <w:lang w:val="it-IT"/>
        </w:rPr>
        <w:t xml:space="preserve">à </w:t>
      </w:r>
      <w:r>
        <w:rPr>
          <w:rFonts w:ascii="Book Antiqua"/>
          <w:rtl w:val="0"/>
          <w:lang w:val="it-IT"/>
        </w:rPr>
        <w:t xml:space="preserve">del rifiuto si risolverebbe in una </w:t>
      </w:r>
      <w:r>
        <w:rPr>
          <w:rFonts w:ascii="Book Antiqua"/>
          <w:i w:val="1"/>
          <w:iCs w:val="1"/>
          <w:rtl w:val="0"/>
          <w:lang w:val="it-IT"/>
        </w:rPr>
        <w:t>probatio diabolica</w:t>
      </w:r>
      <w:r>
        <w:rPr>
          <w:rFonts w:ascii="Book Antiqua"/>
          <w:rtl w:val="0"/>
          <w:lang w:val="it-IT"/>
        </w:rPr>
        <w:t>, stante l</w:t>
      </w:r>
      <w:r>
        <w:rPr>
          <w:rFonts w:hAnsi="Book Antiqua" w:hint="default"/>
          <w:rtl w:val="0"/>
          <w:lang w:val="it-IT"/>
        </w:rPr>
        <w:t>’</w:t>
      </w:r>
      <w:r>
        <w:rPr>
          <w:rFonts w:ascii="Book Antiqua"/>
          <w:rtl w:val="0"/>
          <w:lang w:val="it-IT"/>
        </w:rPr>
        <w:t>impossibilit</w:t>
      </w:r>
      <w:r>
        <w:rPr>
          <w:rFonts w:hAnsi="Book Antiqua" w:hint="default"/>
          <w:rtl w:val="0"/>
          <w:lang w:val="it-IT"/>
        </w:rPr>
        <w:t xml:space="preserve">à </w:t>
      </w:r>
      <w:r>
        <w:rPr>
          <w:rFonts w:ascii="Book Antiqua"/>
          <w:rtl w:val="0"/>
          <w:lang w:val="it-IT"/>
        </w:rPr>
        <w:t>di pervenire ad una prova contraria effettivamente esaustiva, costringendo cos</w:t>
      </w:r>
      <w:r>
        <w:rPr>
          <w:rFonts w:hAnsi="Book Antiqua" w:hint="default"/>
          <w:rtl w:val="0"/>
          <w:lang w:val="it-IT"/>
        </w:rPr>
        <w:t xml:space="preserve">ì </w:t>
      </w:r>
      <w:r>
        <w:rPr>
          <w:rFonts w:ascii="Book Antiqua"/>
          <w:rtl w:val="0"/>
          <w:lang w:val="it-IT"/>
        </w:rPr>
        <w:t>il produttore a classificare sempre il rifiuto come pericoloso e rinvenendo una conferma di quanto sostenuto anche nelle argomentazioni sviluppate in alcune pubblicazioni scientifiche.</w:t>
      </w:r>
    </w:p>
    <w:p>
      <w:pPr>
        <w:pStyle w:val="Normal"/>
        <w:shd w:val="clear" w:color="auto" w:fill="ffffff"/>
        <w:ind w:left="567" w:right="567" w:firstLine="0"/>
        <w:jc w:val="both"/>
        <w:rPr>
          <w:rFonts w:ascii="Book Antiqua" w:cs="Book Antiqua" w:hAnsi="Book Antiqua" w:eastAsia="Book Antiqua"/>
        </w:rPr>
      </w:pPr>
      <w:r>
        <w:rPr>
          <w:rFonts w:ascii="Book Antiqua"/>
          <w:rtl w:val="0"/>
          <w:lang w:val="it-IT"/>
        </w:rPr>
        <w:t xml:space="preserve">Tali argomentazioni, in alcune delle quali si </w:t>
      </w:r>
      <w:r>
        <w:rPr>
          <w:rFonts w:hAnsi="Book Antiqua" w:hint="default"/>
          <w:rtl w:val="0"/>
          <w:lang w:val="it-IT"/>
        </w:rPr>
        <w:t xml:space="preserve">è </w:t>
      </w:r>
      <w:r>
        <w:rPr>
          <w:rFonts w:ascii="Book Antiqua"/>
          <w:rtl w:val="0"/>
          <w:lang w:val="it-IT"/>
        </w:rPr>
        <w:t xml:space="preserve">criticata anche la richiamata sentenza </w:t>
      </w:r>
      <w:r>
        <w:rPr>
          <w:rFonts w:hAnsi="Book Antiqua" w:hint="default"/>
          <w:rtl w:val="0"/>
          <w:lang w:val="it-IT"/>
        </w:rPr>
        <w:t>“</w:t>
      </w:r>
      <w:r>
        <w:rPr>
          <w:rFonts w:ascii="Book Antiqua"/>
          <w:rtl w:val="0"/>
          <w:lang w:val="it-IT"/>
        </w:rPr>
        <w:t>Arduini</w:t>
      </w:r>
      <w:r>
        <w:rPr>
          <w:rFonts w:hAnsi="Book Antiqua" w:hint="default"/>
          <w:rtl w:val="0"/>
          <w:lang w:val="it-IT"/>
        </w:rPr>
        <w:t xml:space="preserve">” </w:t>
      </w:r>
      <w:r>
        <w:rPr>
          <w:rFonts w:ascii="Book Antiqua"/>
          <w:rtl w:val="0"/>
          <w:lang w:val="it-IT"/>
        </w:rPr>
        <w:t>di questa Corte, sono state invece ritenute non fondate dai sostenitori dell</w:t>
      </w:r>
      <w:r>
        <w:rPr>
          <w:rFonts w:hAnsi="Book Antiqua" w:hint="default"/>
          <w:rtl w:val="0"/>
          <w:lang w:val="it-IT"/>
        </w:rPr>
        <w:t>’</w:t>
      </w:r>
      <w:r>
        <w:rPr>
          <w:rFonts w:ascii="Book Antiqua"/>
          <w:rtl w:val="0"/>
          <w:lang w:val="it-IT"/>
        </w:rPr>
        <w:t>opposta tesi.</w:t>
      </w:r>
    </w:p>
    <w:p>
      <w:pPr>
        <w:pStyle w:val="Normal"/>
        <w:shd w:val="clear" w:color="auto" w:fill="ffffff"/>
        <w:ind w:left="567" w:right="567" w:firstLine="0"/>
        <w:jc w:val="both"/>
        <w:rPr>
          <w:rFonts w:ascii="Book Antiqua" w:cs="Book Antiqua" w:hAnsi="Book Antiqua" w:eastAsia="Book Antiqua"/>
        </w:rPr>
      </w:pPr>
    </w:p>
    <w:p>
      <w:pPr>
        <w:pStyle w:val="Normal"/>
        <w:shd w:val="clear" w:color="auto" w:fill="ffffff"/>
        <w:ind w:left="567" w:right="567" w:firstLine="0"/>
        <w:jc w:val="both"/>
        <w:rPr>
          <w:rFonts w:ascii="Book Antiqua" w:cs="Book Antiqua" w:hAnsi="Book Antiqua" w:eastAsia="Book Antiqua"/>
          <w:i w:val="1"/>
          <w:iCs w:val="1"/>
        </w:rPr>
      </w:pPr>
      <w:r>
        <w:rPr>
          <w:rFonts w:ascii="Book Antiqua"/>
          <w:i w:val="1"/>
          <w:iCs w:val="1"/>
          <w:rtl w:val="0"/>
          <w:lang w:val="it-IT"/>
        </w:rPr>
        <w:t>Le ultime modifiche della normativa comunitaria</w:t>
      </w:r>
    </w:p>
    <w:p>
      <w:pPr>
        <w:pStyle w:val="Normal"/>
        <w:shd w:val="clear" w:color="auto" w:fill="ffffff"/>
        <w:ind w:left="567" w:right="567" w:firstLine="0"/>
        <w:jc w:val="both"/>
        <w:rPr>
          <w:rFonts w:ascii="Book Antiqua Bold" w:cs="Book Antiqua Bold" w:hAnsi="Book Antiqua Bold" w:eastAsia="Book Antiqua Bold"/>
          <w:b w:val="1"/>
          <w:bCs w:val="1"/>
        </w:rPr>
      </w:pPr>
    </w:p>
    <w:p>
      <w:pPr>
        <w:pStyle w:val="Normal"/>
        <w:shd w:val="clear" w:color="auto" w:fill="ffffff"/>
        <w:ind w:left="567" w:right="567" w:firstLine="0"/>
        <w:jc w:val="both"/>
        <w:rPr>
          <w:rFonts w:ascii="Book Antiqua" w:cs="Book Antiqua" w:hAnsi="Book Antiqua" w:eastAsia="Book Antiqua"/>
        </w:rPr>
      </w:pPr>
      <w:r>
        <w:rPr>
          <w:rFonts w:ascii="Book Antiqua"/>
          <w:rtl w:val="0"/>
          <w:lang w:val="it-IT"/>
        </w:rPr>
        <w:t xml:space="preserve">Un ulteriore argomento di discussione </w:t>
      </w:r>
      <w:r>
        <w:rPr>
          <w:rFonts w:hAnsi="Book Antiqua" w:hint="default"/>
          <w:rtl w:val="0"/>
          <w:lang w:val="it-IT"/>
        </w:rPr>
        <w:t xml:space="preserve">è </w:t>
      </w:r>
      <w:r>
        <w:rPr>
          <w:rFonts w:ascii="Book Antiqua"/>
          <w:rtl w:val="0"/>
          <w:lang w:val="it-IT"/>
        </w:rPr>
        <w:t>stato introdotto dalla emanazione della Decisione 2014/955/UE e del Regolamento (UE) n. 1357/2014, rilevandosi la sopravvenuta incompatibilit</w:t>
      </w:r>
      <w:r>
        <w:rPr>
          <w:rFonts w:hAnsi="Book Antiqua" w:hint="default"/>
          <w:rtl w:val="0"/>
          <w:lang w:val="it-IT"/>
        </w:rPr>
        <w:t xml:space="preserve">à </w:t>
      </w:r>
      <w:r>
        <w:rPr>
          <w:rFonts w:ascii="Book Antiqua"/>
          <w:rtl w:val="0"/>
          <w:lang w:val="it-IT"/>
        </w:rPr>
        <w:t>di quando disposto con la legge 116/2014 con i nuovi provvedimenti comunitari e, in particolare, con quanto riportato nella predetta decisione, secondo cui:</w:t>
      </w:r>
    </w:p>
    <w:p>
      <w:pPr>
        <w:pStyle w:val="Normal"/>
        <w:shd w:val="clear" w:color="auto" w:fill="ffffff"/>
        <w:ind w:left="567" w:right="567" w:firstLine="0"/>
        <w:jc w:val="both"/>
        <w:rPr>
          <w:rFonts w:ascii="Book Antiqua" w:cs="Book Antiqua" w:hAnsi="Book Antiqua" w:eastAsia="Book Antiqua"/>
        </w:rPr>
      </w:pPr>
      <w:r>
        <w:rPr>
          <w:rFonts w:hAnsi="Book Antiqua" w:hint="default"/>
          <w:rtl w:val="0"/>
          <w:lang w:val="it-IT"/>
        </w:rPr>
        <w:t>“</w:t>
      </w:r>
      <w:r>
        <w:rPr>
          <w:rFonts w:ascii="Book Antiqua"/>
          <w:rtl w:val="0"/>
          <w:lang w:val="it-IT"/>
        </w:rPr>
        <w:t xml:space="preserve">Ai rifiuti cui potrebbero essere assegnati codici di rifiuti pericolosi e non pericolosi, si applicano le seguenti disposizioni: </w:t>
      </w:r>
    </w:p>
    <w:p>
      <w:pPr>
        <w:pStyle w:val="Normal"/>
        <w:shd w:val="clear" w:color="auto" w:fill="ffffff"/>
        <w:ind w:left="567" w:right="567" w:firstLine="0"/>
        <w:jc w:val="both"/>
        <w:rPr>
          <w:rFonts w:ascii="Book Antiqua" w:cs="Book Antiqua" w:hAnsi="Book Antiqua" w:eastAsia="Book Antiqua"/>
        </w:rPr>
      </w:pPr>
      <w:r>
        <w:rPr>
          <w:rFonts w:ascii="Book Antiqua"/>
          <w:rtl w:val="0"/>
          <w:lang w:val="it-IT"/>
        </w:rPr>
        <w:t xml:space="preserve">L'iscrizione di una voce nell'elenco armonizzato di rifiuti contrassegnata come pericolosa, con un riferimento specifico o generico a </w:t>
      </w:r>
      <w:r>
        <w:rPr>
          <w:rFonts w:hAnsi="Book Antiqua" w:hint="default"/>
          <w:rtl w:val="0"/>
          <w:lang w:val="it-IT"/>
        </w:rPr>
        <w:t>«</w:t>
      </w:r>
      <w:r>
        <w:rPr>
          <w:rFonts w:ascii="Book Antiqua"/>
          <w:rtl w:val="0"/>
          <w:lang w:val="it-IT"/>
        </w:rPr>
        <w:t>sostanze pericolose</w:t>
      </w:r>
      <w:r>
        <w:rPr>
          <w:rFonts w:hAnsi="Book Antiqua" w:hint="default"/>
          <w:rtl w:val="0"/>
          <w:lang w:val="it-IT"/>
        </w:rPr>
        <w:t>»</w:t>
      </w:r>
      <w:r>
        <w:rPr>
          <w:rFonts w:ascii="Book Antiqua"/>
          <w:rtl w:val="0"/>
          <w:lang w:val="it-IT"/>
        </w:rPr>
        <w:t xml:space="preserve">, </w:t>
      </w:r>
      <w:r>
        <w:rPr>
          <w:rFonts w:hAnsi="Book Antiqua" w:hint="default"/>
          <w:rtl w:val="0"/>
          <w:lang w:val="it-IT"/>
        </w:rPr>
        <w:t xml:space="preserve">è </w:t>
      </w:r>
      <w:r>
        <w:rPr>
          <w:rFonts w:ascii="Book Antiqua"/>
          <w:rtl w:val="0"/>
          <w:lang w:val="it-IT"/>
        </w:rPr>
        <w:t>opportuna solo quando questo rifiuto contiene sostanze pericolose pertinenti che determinano nel rifiuto una o pi</w:t>
      </w:r>
      <w:r>
        <w:rPr>
          <w:rFonts w:hAnsi="Book Antiqua" w:hint="default"/>
          <w:rtl w:val="0"/>
          <w:lang w:val="it-IT"/>
        </w:rPr>
        <w:t xml:space="preserve">ù </w:t>
      </w:r>
      <w:r>
        <w:rPr>
          <w:rFonts w:ascii="Book Antiqua"/>
          <w:rtl w:val="0"/>
          <w:lang w:val="it-IT"/>
        </w:rPr>
        <w:t xml:space="preserve">delle caratteristiche di pericolo da HP 1 a HP 8 e/o da HP 10 a HP 15 di cui all'allegato III della direttiva 2008/98/CE. La valutazione della caratteristica di pericolo HP 9 </w:t>
      </w:r>
      <w:r>
        <w:rPr>
          <w:rFonts w:hAnsi="Book Antiqua" w:hint="default"/>
          <w:rtl w:val="0"/>
          <w:lang w:val="it-IT"/>
        </w:rPr>
        <w:t>«</w:t>
      </w:r>
      <w:r>
        <w:rPr>
          <w:rFonts w:ascii="Book Antiqua"/>
          <w:rtl w:val="0"/>
          <w:lang w:val="it-IT"/>
        </w:rPr>
        <w:t>infettivo</w:t>
      </w:r>
      <w:r>
        <w:rPr>
          <w:rFonts w:hAnsi="Book Antiqua" w:hint="default"/>
          <w:rtl w:val="0"/>
          <w:lang w:val="it-IT"/>
        </w:rPr>
        <w:t xml:space="preserve">» </w:t>
      </w:r>
      <w:r>
        <w:rPr>
          <w:rFonts w:ascii="Book Antiqua"/>
          <w:rtl w:val="0"/>
          <w:lang w:val="it-IT"/>
        </w:rPr>
        <w:t xml:space="preserve">deve essere effettuata conformemente alla legislazione pertinente o ai documenti di riferimento negli Stati membri. </w:t>
      </w:r>
    </w:p>
    <w:p>
      <w:pPr>
        <w:pStyle w:val="Normal"/>
        <w:shd w:val="clear" w:color="auto" w:fill="ffffff"/>
        <w:ind w:left="567" w:right="567" w:firstLine="0"/>
        <w:jc w:val="both"/>
        <w:rPr>
          <w:rFonts w:ascii="Book Antiqua" w:cs="Book Antiqua" w:hAnsi="Book Antiqua" w:eastAsia="Book Antiqua"/>
        </w:rPr>
      </w:pPr>
      <w:r>
        <w:rPr>
          <w:rFonts w:ascii="Book Antiqua"/>
          <w:rtl w:val="0"/>
          <w:lang w:val="it-IT"/>
        </w:rPr>
        <w:t>Una caratteristica di pericolo pu</w:t>
      </w:r>
      <w:r>
        <w:rPr>
          <w:rFonts w:hAnsi="Book Antiqua" w:hint="default"/>
          <w:rtl w:val="0"/>
          <w:lang w:val="it-IT"/>
        </w:rPr>
        <w:t xml:space="preserve">ò </w:t>
      </w:r>
      <w:r>
        <w:rPr>
          <w:rFonts w:ascii="Book Antiqua"/>
          <w:rtl w:val="0"/>
          <w:lang w:val="it-IT"/>
        </w:rPr>
        <w:t>essere valutata utilizzando la concentrazione di sostanze nei rifiuti, come specificato nell'allegato III della direttiva 2008/98/CE o, se non diversamente specificato nel regolamento (CE) n. 1272/2008, eseguendo una prova conformemente al regolamento (CE) n. 440/2008 o altri metodi di prova e linee guida riconosciuti a livello internazionale, tenendo conto dell'articolo 7 del regolamento (CE) n. 1272/2008 per quanto riguarda la sperimentazione animale e umana</w:t>
      </w:r>
      <w:r>
        <w:rPr>
          <w:rFonts w:hAnsi="Book Antiqua" w:hint="default"/>
          <w:rtl w:val="0"/>
          <w:lang w:val="it-IT"/>
        </w:rPr>
        <w:t>”</w:t>
      </w:r>
      <w:r>
        <w:rPr>
          <w:rFonts w:ascii="Book Antiqua"/>
          <w:rtl w:val="0"/>
          <w:lang w:val="it-IT"/>
        </w:rPr>
        <w:t xml:space="preserve">. </w:t>
      </w:r>
    </w:p>
    <w:p>
      <w:pPr>
        <w:pStyle w:val="Normal"/>
        <w:shd w:val="clear" w:color="auto" w:fill="ffffff"/>
        <w:ind w:left="567" w:right="567" w:firstLine="0"/>
        <w:jc w:val="both"/>
        <w:rPr>
          <w:rFonts w:ascii="Book Antiqua" w:cs="Book Antiqua" w:hAnsi="Book Antiqua" w:eastAsia="Book Antiqua"/>
        </w:rPr>
      </w:pPr>
      <w:r>
        <w:rPr>
          <w:rFonts w:ascii="Book Antiqua"/>
          <w:rtl w:val="0"/>
          <w:lang w:val="it-IT"/>
        </w:rPr>
        <w:t>In proposito, una nota (prot. 11845 del 28 settembre 2015) del Ministero dell</w:t>
      </w:r>
      <w:r>
        <w:rPr>
          <w:rFonts w:hAnsi="Book Antiqua" w:hint="default"/>
          <w:rtl w:val="0"/>
          <w:lang w:val="it-IT"/>
        </w:rPr>
        <w:t>’</w:t>
      </w:r>
      <w:r>
        <w:rPr>
          <w:rFonts w:ascii="Book Antiqua"/>
          <w:rtl w:val="0"/>
          <w:lang w:val="it-IT"/>
        </w:rPr>
        <w:t>ambiente e della Tutela del Territorio e del Mare, fa rilevare la piena applicazione del regolamento e della decisione a far data dal giugno 2015, con conseguente inapplicabilit</w:t>
      </w:r>
      <w:r>
        <w:rPr>
          <w:rFonts w:hAnsi="Book Antiqua" w:hint="default"/>
          <w:rtl w:val="0"/>
          <w:lang w:val="it-IT"/>
        </w:rPr>
        <w:t xml:space="preserve">à </w:t>
      </w:r>
      <w:r>
        <w:rPr>
          <w:rFonts w:ascii="Book Antiqua"/>
          <w:rtl w:val="0"/>
          <w:lang w:val="it-IT"/>
        </w:rPr>
        <w:t>degli allegati D ed I del decreto legislativo n. 152 del 2006 se in contrasto con le suddette disposizioni comunitarie. In particolare, il Ministero specifica che, per quanto concerne l'Allegato D al decreto legislativo, dopo le modifiche comunitarie, continuavano ad applicarsi soltanto i punti 6 e 7 del paragrafo intitolato "Introduzione", costituendo recepimento di una disposizione comunitaria introdotta con l'articolo 7, paragrafi 2 e 3 della direttiva 2008/98/CE, ancora vigente nel quadro normativo comunitario e non modificata.</w:t>
      </w:r>
    </w:p>
    <w:p>
      <w:pPr>
        <w:pStyle w:val="Normal"/>
        <w:shd w:val="clear" w:color="auto" w:fill="ffffff"/>
        <w:ind w:left="567" w:right="567" w:firstLine="0"/>
        <w:jc w:val="both"/>
        <w:rPr>
          <w:rFonts w:ascii="Book Antiqua" w:cs="Book Antiqua" w:hAnsi="Book Antiqua" w:eastAsia="Book Antiqua"/>
        </w:rPr>
      </w:pPr>
      <w:r>
        <w:rPr>
          <w:rFonts w:ascii="Book Antiqua"/>
          <w:rtl w:val="0"/>
          <w:lang w:val="it-IT"/>
        </w:rPr>
        <w:t>Secondo i fautori della tesi cosiddetta della certezza, invece, l</w:t>
      </w:r>
      <w:r>
        <w:rPr>
          <w:rFonts w:hAnsi="Book Antiqua" w:hint="default"/>
          <w:rtl w:val="0"/>
          <w:lang w:val="it-IT"/>
        </w:rPr>
        <w:t>’</w:t>
      </w:r>
      <w:r>
        <w:rPr>
          <w:rFonts w:ascii="Book Antiqua"/>
          <w:rtl w:val="0"/>
          <w:lang w:val="it-IT"/>
        </w:rPr>
        <w:t>attuale normativa comunitaria, valutato il testo anche nelle versioni inglese e francese, imporrebbe, cos</w:t>
      </w:r>
      <w:r>
        <w:rPr>
          <w:rFonts w:hAnsi="Book Antiqua" w:hint="default"/>
          <w:rtl w:val="0"/>
          <w:lang w:val="it-IT"/>
        </w:rPr>
        <w:t xml:space="preserve">ì </w:t>
      </w:r>
      <w:r>
        <w:rPr>
          <w:rFonts w:ascii="Book Antiqua"/>
          <w:rtl w:val="0"/>
          <w:lang w:val="it-IT"/>
        </w:rPr>
        <w:t>come quella precedente, che, ai fini dell'attribuzione del CER nei codici a specchio, si verifichi la presenza o meno di sostanze pericolose specifiche o generiche e, conseguentemente, se il rifiuto possieda o meno caratteristiche di pericolo. Sulla base di tali considerazioni, rilevando come la disciplina comunitaria, pur indicando quando una voce speculare riguardi un rifiuto pericoloso, non stabilisca alcuna regola particolare per l</w:t>
      </w:r>
      <w:r>
        <w:rPr>
          <w:rFonts w:hAnsi="Book Antiqua" w:hint="default"/>
          <w:rtl w:val="0"/>
          <w:lang w:val="it-IT"/>
        </w:rPr>
        <w:t>’</w:t>
      </w:r>
      <w:r>
        <w:rPr>
          <w:rFonts w:ascii="Book Antiqua"/>
          <w:rtl w:val="0"/>
          <w:lang w:val="it-IT"/>
        </w:rPr>
        <w:t>accertamento, indicata, invece, dal legislatore nazionale con la legge 11 agosto 2014, n. 116, si esclude ogni incompatibilit</w:t>
      </w:r>
      <w:r>
        <w:rPr>
          <w:rFonts w:hAnsi="Book Antiqua" w:hint="default"/>
          <w:rtl w:val="0"/>
          <w:lang w:val="it-IT"/>
        </w:rPr>
        <w:t xml:space="preserve">à </w:t>
      </w:r>
      <w:r>
        <w:rPr>
          <w:rFonts w:ascii="Book Antiqua"/>
          <w:rtl w:val="0"/>
          <w:lang w:val="it-IT"/>
        </w:rPr>
        <w:t xml:space="preserve">tra la disciplina comunitaria e quella nazionale. A conferma di tale tesi si </w:t>
      </w:r>
      <w:r>
        <w:rPr>
          <w:rFonts w:hAnsi="Book Antiqua" w:hint="default"/>
          <w:rtl w:val="0"/>
          <w:lang w:val="it-IT"/>
        </w:rPr>
        <w:t xml:space="preserve">è </w:t>
      </w:r>
      <w:r>
        <w:rPr>
          <w:rFonts w:ascii="Book Antiqua"/>
          <w:rtl w:val="0"/>
          <w:lang w:val="it-IT"/>
        </w:rPr>
        <w:t>richiamato, ancora una volta, il gi</w:t>
      </w:r>
      <w:r>
        <w:rPr>
          <w:rFonts w:hAnsi="Book Antiqua" w:hint="default"/>
          <w:rtl w:val="0"/>
          <w:lang w:val="it-IT"/>
        </w:rPr>
        <w:t xml:space="preserve">à </w:t>
      </w:r>
      <w:r>
        <w:rPr>
          <w:rFonts w:ascii="Book Antiqua"/>
          <w:rtl w:val="0"/>
          <w:lang w:val="it-IT"/>
        </w:rPr>
        <w:t>citato documento 15 giugno 2015 della Commissione europea, confrontandone il testo con quello della legge 11 agosto 2014, n. 116 ed evidenziando la sostanziale identit</w:t>
      </w:r>
      <w:r>
        <w:rPr>
          <w:rFonts w:hAnsi="Book Antiqua" w:hint="default"/>
          <w:rtl w:val="0"/>
          <w:lang w:val="it-IT"/>
        </w:rPr>
        <w:t xml:space="preserve">à </w:t>
      </w:r>
      <w:r>
        <w:rPr>
          <w:rFonts w:ascii="Book Antiqua"/>
          <w:rtl w:val="0"/>
          <w:lang w:val="it-IT"/>
        </w:rPr>
        <w:t>delle finalit</w:t>
      </w:r>
      <w:r>
        <w:rPr>
          <w:rFonts w:hAnsi="Book Antiqua" w:hint="default"/>
          <w:rtl w:val="0"/>
          <w:lang w:val="it-IT"/>
        </w:rPr>
        <w:t xml:space="preserve">à </w:t>
      </w:r>
      <w:r>
        <w:rPr>
          <w:rFonts w:ascii="Book Antiqua"/>
          <w:rtl w:val="0"/>
          <w:lang w:val="it-IT"/>
        </w:rPr>
        <w:t>perseguite.</w:t>
      </w:r>
    </w:p>
    <w:p>
      <w:pPr>
        <w:pStyle w:val="Normal"/>
        <w:shd w:val="clear" w:color="auto" w:fill="ffffff"/>
        <w:ind w:left="567" w:right="567" w:firstLine="0"/>
        <w:jc w:val="both"/>
        <w:rPr>
          <w:rFonts w:ascii="Book Antiqua" w:cs="Book Antiqua" w:hAnsi="Book Antiqua" w:eastAsia="Book Antiqua"/>
        </w:rPr>
      </w:pPr>
      <w:r>
        <w:rPr>
          <w:rFonts w:ascii="Book Antiqua"/>
          <w:rtl w:val="0"/>
          <w:lang w:val="it-IT"/>
        </w:rPr>
        <w:t>Infine, l</w:t>
      </w:r>
      <w:r>
        <w:rPr>
          <w:rFonts w:hAnsi="Book Antiqua" w:hint="default"/>
          <w:rtl w:val="0"/>
          <w:lang w:val="it-IT"/>
        </w:rPr>
        <w:t>’</w:t>
      </w:r>
      <w:r>
        <w:rPr>
          <w:rFonts w:ascii="Book Antiqua"/>
          <w:rtl w:val="0"/>
          <w:lang w:val="it-IT"/>
        </w:rPr>
        <w:t>emanazione del decreto-legge 20 giugno 2017, n. 91, che ha eliminato quanto introdotto in premessa all</w:t>
      </w:r>
      <w:r>
        <w:rPr>
          <w:rFonts w:hAnsi="Book Antiqua" w:hint="default"/>
          <w:rtl w:val="0"/>
          <w:lang w:val="it-IT"/>
        </w:rPr>
        <w:t>’</w:t>
      </w:r>
      <w:r>
        <w:rPr>
          <w:rFonts w:ascii="Book Antiqua"/>
          <w:rtl w:val="0"/>
          <w:lang w:val="it-IT"/>
        </w:rPr>
        <w:t>Allegato D del decreto legislativo n. 152 del 2006 con la legge 11 agosto 2014, n. 116, ha visto ancora una volta contrapposti coloro che, avuto riguardo al contenuto delle nuove disposizioni, ritengono confermata la tesi dell</w:t>
      </w:r>
      <w:r>
        <w:rPr>
          <w:rFonts w:hAnsi="Book Antiqua" w:hint="default"/>
          <w:rtl w:val="0"/>
          <w:lang w:val="it-IT"/>
        </w:rPr>
        <w:t>’</w:t>
      </w:r>
      <w:r>
        <w:rPr>
          <w:rFonts w:ascii="Book Antiqua"/>
          <w:rtl w:val="0"/>
          <w:lang w:val="it-IT"/>
        </w:rPr>
        <w:t>incompatibilit</w:t>
      </w:r>
      <w:r>
        <w:rPr>
          <w:rFonts w:hAnsi="Book Antiqua" w:hint="default"/>
          <w:rtl w:val="0"/>
          <w:lang w:val="it-IT"/>
        </w:rPr>
        <w:t xml:space="preserve">à </w:t>
      </w:r>
      <w:r>
        <w:rPr>
          <w:rFonts w:ascii="Book Antiqua"/>
          <w:rtl w:val="0"/>
          <w:lang w:val="it-IT"/>
        </w:rPr>
        <w:t>delle norme previgenti con la disciplina comunitaria, rispetto ai fautori della tesi opposta, i quali evidenziano come le nuove disposizioni abrogative non dettino alcun diverso criterio di classificazione dei rifiuti, limitandosi a richiamare le norme comunitarie, rispetto alle quali, per le ragioni pi</w:t>
      </w:r>
      <w:r>
        <w:rPr>
          <w:rFonts w:hAnsi="Book Antiqua" w:hint="default"/>
          <w:rtl w:val="0"/>
          <w:lang w:val="it-IT"/>
        </w:rPr>
        <w:t xml:space="preserve">ù </w:t>
      </w:r>
      <w:r>
        <w:rPr>
          <w:rFonts w:ascii="Book Antiqua"/>
          <w:rtl w:val="0"/>
          <w:lang w:val="it-IT"/>
        </w:rPr>
        <w:t xml:space="preserve">volte evidenziate, un diverso criterio di classificazione (segnatamente quello </w:t>
      </w:r>
      <w:r>
        <w:rPr>
          <w:rFonts w:hAnsi="Book Antiqua" w:hint="default"/>
          <w:rtl w:val="0"/>
          <w:lang w:val="it-IT"/>
        </w:rPr>
        <w:t>“</w:t>
      </w:r>
      <w:r>
        <w:rPr>
          <w:rFonts w:ascii="Book Antiqua"/>
          <w:rtl w:val="0"/>
          <w:lang w:val="it-IT"/>
        </w:rPr>
        <w:t>probabilistico</w:t>
      </w:r>
      <w:r>
        <w:rPr>
          <w:rFonts w:hAnsi="Book Antiqua" w:hint="default"/>
          <w:rtl w:val="0"/>
          <w:lang w:val="it-IT"/>
        </w:rPr>
        <w:t>”</w:t>
      </w:r>
      <w:r>
        <w:rPr>
          <w:rFonts w:ascii="Book Antiqua"/>
          <w:rtl w:val="0"/>
          <w:lang w:val="it-IT"/>
        </w:rPr>
        <w:t>) risulterebbe incompatibile e sollevando anche dubbi sulla conformit</w:t>
      </w:r>
      <w:r>
        <w:rPr>
          <w:rFonts w:hAnsi="Book Antiqua" w:hint="default"/>
          <w:rtl w:val="0"/>
          <w:lang w:val="it-IT"/>
        </w:rPr>
        <w:t xml:space="preserve">à </w:t>
      </w:r>
      <w:r>
        <w:rPr>
          <w:rFonts w:ascii="Book Antiqua"/>
          <w:rtl w:val="0"/>
          <w:lang w:val="it-IT"/>
        </w:rPr>
        <w:t xml:space="preserve">al dettato costituzionale di disposizioni collocate in un provvedimento legislativo avente un preciso oggetto del tutto avulso da quello sulla disciplina dei rifiuti, riguardando il decreto-legge 20 giugno 2017, n. 91 </w:t>
      </w:r>
      <w:r>
        <w:rPr>
          <w:rFonts w:hAnsi="Book Antiqua" w:hint="default"/>
          <w:rtl w:val="0"/>
          <w:lang w:val="it-IT"/>
        </w:rPr>
        <w:t>“</w:t>
      </w:r>
      <w:r>
        <w:rPr>
          <w:rFonts w:ascii="Book Antiqua"/>
          <w:rtl w:val="0"/>
          <w:lang w:val="it-IT"/>
        </w:rPr>
        <w:t>Disposizioni urgenti per la crescita economica nel Mezzogiorno</w:t>
      </w:r>
      <w:r>
        <w:rPr>
          <w:rFonts w:hAnsi="Book Antiqua" w:hint="default"/>
          <w:rtl w:val="0"/>
          <w:lang w:val="it-IT"/>
        </w:rPr>
        <w:t>”</w:t>
      </w:r>
      <w:r>
        <w:rPr>
          <w:rFonts w:ascii="Book Antiqua"/>
          <w:rtl w:val="0"/>
          <w:lang w:val="it-IT"/>
        </w:rPr>
        <w:t>.</w:t>
      </w:r>
    </w:p>
    <w:p>
      <w:pPr>
        <w:pStyle w:val="Normal"/>
        <w:shd w:val="clear" w:color="auto" w:fill="ffffff"/>
        <w:ind w:left="567" w:right="567" w:firstLine="0"/>
        <w:jc w:val="both"/>
        <w:rPr>
          <w:rFonts w:ascii="Book Antiqua" w:cs="Book Antiqua" w:hAnsi="Book Antiqua" w:eastAsia="Book Antiqua"/>
        </w:rPr>
      </w:pPr>
    </w:p>
    <w:p>
      <w:pPr>
        <w:pStyle w:val="Normal"/>
        <w:shd w:val="clear" w:color="auto" w:fill="ffffff"/>
        <w:ind w:left="567" w:right="567" w:firstLine="0"/>
        <w:jc w:val="both"/>
        <w:rPr>
          <w:rFonts w:ascii="Book Antiqua" w:cs="Book Antiqua" w:hAnsi="Book Antiqua" w:eastAsia="Book Antiqua"/>
          <w:i w:val="1"/>
          <w:iCs w:val="1"/>
        </w:rPr>
      </w:pPr>
      <w:r>
        <w:rPr>
          <w:rFonts w:ascii="Book Antiqua"/>
          <w:i w:val="1"/>
          <w:iCs w:val="1"/>
          <w:rtl w:val="0"/>
          <w:lang w:val="it-IT"/>
        </w:rPr>
        <w:t>Le considerazioni della Cassazione; il rinvio pregiudiziale alla Corte di giustizia</w:t>
      </w:r>
    </w:p>
    <w:p>
      <w:pPr>
        <w:pStyle w:val="Normal"/>
        <w:shd w:val="clear" w:color="auto" w:fill="ffffff"/>
        <w:ind w:right="567"/>
        <w:jc w:val="both"/>
        <w:rPr>
          <w:rFonts w:ascii="Book Antiqua Bold" w:cs="Book Antiqua Bold" w:hAnsi="Book Antiqua Bold" w:eastAsia="Book Antiqua Bold"/>
          <w:b w:val="1"/>
          <w:bCs w:val="1"/>
        </w:rPr>
      </w:pPr>
    </w:p>
    <w:p>
      <w:pPr>
        <w:pStyle w:val="Normal"/>
        <w:shd w:val="clear" w:color="auto" w:fill="ffffff"/>
        <w:ind w:left="567" w:right="567" w:firstLine="0"/>
        <w:jc w:val="both"/>
        <w:rPr>
          <w:rFonts w:ascii="Book Antiqua" w:cs="Book Antiqua" w:hAnsi="Book Antiqua" w:eastAsia="Book Antiqua"/>
        </w:rPr>
      </w:pPr>
      <w:r>
        <w:rPr>
          <w:rFonts w:hAnsi="Book Antiqua" w:hint="default"/>
          <w:rtl w:val="0"/>
          <w:lang w:val="it-IT"/>
        </w:rPr>
        <w:t xml:space="preserve"> “</w:t>
      </w:r>
      <w:r>
        <w:rPr>
          <w:rFonts w:ascii="Book Antiqua"/>
          <w:rtl w:val="0"/>
          <w:lang w:val="it-IT"/>
        </w:rPr>
        <w:t xml:space="preserve">La vicenda in esame si fonda sulla sostanziale contrapposizione delle due tesi prospettate in dottrina e delle quali si </w:t>
      </w:r>
      <w:r>
        <w:rPr>
          <w:rFonts w:hAnsi="Book Antiqua" w:hint="default"/>
          <w:rtl w:val="0"/>
          <w:lang w:val="it-IT"/>
        </w:rPr>
        <w:t xml:space="preserve">è </w:t>
      </w:r>
      <w:r>
        <w:rPr>
          <w:rFonts w:ascii="Book Antiqua"/>
          <w:rtl w:val="0"/>
          <w:lang w:val="it-IT"/>
        </w:rPr>
        <w:t xml:space="preserve">in precedenza dato conto ed il ricorso affronta, riguardo alla decisione del tribunale, lo specifico argomento della classificazione dei rifiuti con voci </w:t>
      </w:r>
      <w:r>
        <w:rPr>
          <w:rFonts w:hAnsi="Book Antiqua" w:hint="default"/>
          <w:rtl w:val="0"/>
          <w:lang w:val="it-IT"/>
        </w:rPr>
        <w:t>‘</w:t>
      </w:r>
      <w:r>
        <w:rPr>
          <w:rFonts w:ascii="Book Antiqua"/>
          <w:rtl w:val="0"/>
          <w:lang w:val="it-IT"/>
        </w:rPr>
        <w:t>a specchio</w:t>
      </w:r>
      <w:r>
        <w:rPr>
          <w:rFonts w:hAnsi="Book Antiqua" w:hint="default"/>
          <w:rtl w:val="0"/>
          <w:lang w:val="it-IT"/>
        </w:rPr>
        <w:t xml:space="preserve">’ </w:t>
      </w:r>
      <w:r>
        <w:rPr>
          <w:rFonts w:ascii="Book Antiqua"/>
          <w:rtl w:val="0"/>
          <w:lang w:val="it-IT"/>
        </w:rPr>
        <w:t>[</w:t>
      </w:r>
      <w:r>
        <w:rPr>
          <w:rFonts w:hAnsi="Book Antiqua" w:hint="default"/>
          <w:rtl w:val="0"/>
          <w:lang w:val="it-IT"/>
        </w:rPr>
        <w:t>…</w:t>
      </w:r>
      <w:r>
        <w:rPr>
          <w:rFonts w:ascii="Book Antiqua"/>
          <w:rtl w:val="0"/>
          <w:lang w:val="it-IT"/>
        </w:rPr>
        <w:t>]</w:t>
      </w:r>
    </w:p>
    <w:p>
      <w:pPr>
        <w:pStyle w:val="Normal"/>
        <w:shd w:val="clear" w:color="auto" w:fill="ffffff"/>
        <w:ind w:left="567" w:right="567" w:firstLine="0"/>
        <w:jc w:val="both"/>
        <w:rPr>
          <w:rFonts w:ascii="Book Antiqua" w:cs="Book Antiqua" w:hAnsi="Book Antiqua" w:eastAsia="Book Antiqua"/>
        </w:rPr>
      </w:pPr>
      <w:r>
        <w:rPr>
          <w:rFonts w:ascii="Book Antiqua"/>
          <w:rtl w:val="0"/>
          <w:lang w:val="it-IT"/>
        </w:rPr>
        <w:t>Ci</w:t>
      </w:r>
      <w:r>
        <w:rPr>
          <w:rFonts w:hAnsi="Book Antiqua" w:hint="default"/>
          <w:rtl w:val="0"/>
          <w:lang w:val="it-IT"/>
        </w:rPr>
        <w:t xml:space="preserve">ò </w:t>
      </w:r>
      <w:r>
        <w:rPr>
          <w:rFonts w:ascii="Book Antiqua"/>
          <w:rtl w:val="0"/>
          <w:lang w:val="it-IT"/>
        </w:rPr>
        <w:t>posto, si osserva che, sebbene la decisione impugnata sia stata assunta antecedentemente all</w:t>
      </w:r>
      <w:r>
        <w:rPr>
          <w:rFonts w:hAnsi="Book Antiqua" w:hint="default"/>
          <w:rtl w:val="0"/>
          <w:lang w:val="it-IT"/>
        </w:rPr>
        <w:t>’</w:t>
      </w:r>
      <w:r>
        <w:rPr>
          <w:rFonts w:ascii="Book Antiqua"/>
          <w:rtl w:val="0"/>
          <w:lang w:val="it-IT"/>
        </w:rPr>
        <w:t>entrata in vigore del decreto-legge 20 giugno 2017, n. 91, che ha eliminato, dall</w:t>
      </w:r>
      <w:r>
        <w:rPr>
          <w:rFonts w:hAnsi="Book Antiqua" w:hint="default"/>
          <w:rtl w:val="0"/>
          <w:lang w:val="it-IT"/>
        </w:rPr>
        <w:t>’</w:t>
      </w:r>
      <w:r>
        <w:rPr>
          <w:rFonts w:ascii="Book Antiqua"/>
          <w:rtl w:val="0"/>
          <w:lang w:val="it-IT"/>
        </w:rPr>
        <w:t>Allegato D alla Parte Quarta del decreto legislativo n. 152 del 2006, la premessa all</w:t>
      </w:r>
      <w:r>
        <w:rPr>
          <w:rFonts w:hAnsi="Book Antiqua" w:hint="default"/>
          <w:rtl w:val="0"/>
          <w:lang w:val="it-IT"/>
        </w:rPr>
        <w:t>’</w:t>
      </w:r>
      <w:r>
        <w:rPr>
          <w:rFonts w:ascii="Book Antiqua"/>
          <w:rtl w:val="0"/>
          <w:lang w:val="it-IT"/>
        </w:rPr>
        <w:t>introduzione inserita ad opera della legge 11 agosto 2014, n. 116, i termini della questione non paiono mutati in maniera determinate, poich</w:t>
      </w:r>
      <w:r>
        <w:rPr>
          <w:rFonts w:hAnsi="Book Antiqua" w:hint="default"/>
          <w:rtl w:val="0"/>
          <w:lang w:val="it-IT"/>
        </w:rPr>
        <w:t xml:space="preserve">é </w:t>
      </w:r>
      <w:r>
        <w:rPr>
          <w:rFonts w:ascii="Book Antiqua"/>
          <w:rtl w:val="0"/>
          <w:lang w:val="it-IT"/>
        </w:rPr>
        <w:t>restano comunque da definire le modalit</w:t>
      </w:r>
      <w:r>
        <w:rPr>
          <w:rFonts w:hAnsi="Book Antiqua" w:hint="default"/>
          <w:rtl w:val="0"/>
          <w:lang w:val="it-IT"/>
        </w:rPr>
        <w:t xml:space="preserve">à </w:t>
      </w:r>
      <w:r>
        <w:rPr>
          <w:rFonts w:ascii="Book Antiqua"/>
          <w:rtl w:val="0"/>
          <w:lang w:val="it-IT"/>
        </w:rPr>
        <w:t>di classificazione dei rifiuti pericolosi contraddistinti da voci speculari in conformit</w:t>
      </w:r>
      <w:r>
        <w:rPr>
          <w:rFonts w:hAnsi="Book Antiqua" w:hint="default"/>
          <w:rtl w:val="0"/>
          <w:lang w:val="it-IT"/>
        </w:rPr>
        <w:t xml:space="preserve">à </w:t>
      </w:r>
      <w:r>
        <w:rPr>
          <w:rFonts w:ascii="Book Antiqua"/>
          <w:rtl w:val="0"/>
          <w:lang w:val="it-IT"/>
        </w:rPr>
        <w:t>alla disciplina comunitaria ora vigente.</w:t>
      </w:r>
    </w:p>
    <w:p>
      <w:pPr>
        <w:pStyle w:val="Normal"/>
        <w:shd w:val="clear" w:color="auto" w:fill="ffffff"/>
        <w:ind w:left="567" w:right="567" w:firstLine="0"/>
        <w:jc w:val="both"/>
        <w:rPr>
          <w:rFonts w:ascii="Book Antiqua" w:cs="Book Antiqua" w:hAnsi="Book Antiqua" w:eastAsia="Book Antiqua"/>
        </w:rPr>
      </w:pPr>
      <w:r>
        <w:rPr>
          <w:rFonts w:ascii="Book Antiqua"/>
          <w:rtl w:val="0"/>
          <w:lang w:val="it-IT"/>
        </w:rPr>
        <w:t xml:space="preserve">Si pone, in primo luogo, il problema della corretta interpretazione del punto 2 della voce </w:t>
      </w:r>
      <w:r>
        <w:rPr>
          <w:rFonts w:hAnsi="Book Antiqua" w:hint="default"/>
          <w:rtl w:val="0"/>
          <w:lang w:val="it-IT"/>
        </w:rPr>
        <w:t>“</w:t>
      </w:r>
      <w:r>
        <w:rPr>
          <w:rFonts w:ascii="Book Antiqua"/>
          <w:rtl w:val="0"/>
          <w:lang w:val="it-IT"/>
        </w:rPr>
        <w:t>Valutazione e classificazione</w:t>
      </w:r>
      <w:r>
        <w:rPr>
          <w:rFonts w:hAnsi="Book Antiqua" w:hint="default"/>
          <w:rtl w:val="0"/>
          <w:lang w:val="it-IT"/>
        </w:rPr>
        <w:t xml:space="preserve">” </w:t>
      </w:r>
      <w:r>
        <w:rPr>
          <w:rFonts w:ascii="Book Antiqua"/>
          <w:rtl w:val="0"/>
          <w:lang w:val="it-IT"/>
        </w:rPr>
        <w:t>dell</w:t>
      </w:r>
      <w:r>
        <w:rPr>
          <w:rFonts w:hAnsi="Book Antiqua" w:hint="default"/>
          <w:rtl w:val="0"/>
          <w:lang w:val="it-IT"/>
        </w:rPr>
        <w:t>’</w:t>
      </w:r>
      <w:r>
        <w:rPr>
          <w:rFonts w:ascii="Book Antiqua"/>
          <w:rtl w:val="0"/>
          <w:lang w:val="it-IT"/>
        </w:rPr>
        <w:t xml:space="preserve">Allegato alla Decisione 2014/955/UE, nella parte in cui stabilisce, nel testo in italiano, che </w:t>
      </w:r>
      <w:r>
        <w:rPr>
          <w:rFonts w:hAnsi="Book Antiqua" w:hint="default"/>
          <w:rtl w:val="0"/>
          <w:lang w:val="it-IT"/>
        </w:rPr>
        <w:t>“</w:t>
      </w:r>
      <w:r>
        <w:rPr>
          <w:rFonts w:ascii="Book Antiqua"/>
          <w:i w:val="1"/>
          <w:iCs w:val="1"/>
          <w:rtl w:val="0"/>
          <w:lang w:val="it-IT"/>
        </w:rPr>
        <w:t xml:space="preserve">ai rifiuti cui </w:t>
      </w:r>
      <w:r>
        <w:rPr>
          <w:rFonts w:ascii="Book Antiqua"/>
          <w:rtl w:val="0"/>
          <w:lang w:val="it-IT"/>
        </w:rPr>
        <w:t>potrebbero essere assegnati codici di rifiuti pericolosi e non pericolosi, si applicano le seguenti disposizioni:</w:t>
      </w:r>
    </w:p>
    <w:p>
      <w:pPr>
        <w:pStyle w:val="Normal"/>
        <w:shd w:val="clear" w:color="auto" w:fill="ffffff"/>
        <w:ind w:left="567" w:right="567" w:firstLine="0"/>
        <w:jc w:val="both"/>
        <w:rPr>
          <w:rFonts w:ascii="Book Antiqua" w:cs="Book Antiqua" w:hAnsi="Book Antiqua" w:eastAsia="Book Antiqua"/>
        </w:rPr>
      </w:pPr>
      <w:r>
        <w:rPr>
          <w:rFonts w:ascii="Book Antiqua"/>
          <w:rtl w:val="0"/>
          <w:lang w:val="it-IT"/>
        </w:rPr>
        <w:t xml:space="preserve">l'iscrizione di una voce nell'elenco armonizzato di rifiuti contrassegnata come pericolosa, con un riferimento specifico o generico a </w:t>
      </w:r>
      <w:r>
        <w:rPr>
          <w:rFonts w:hAnsi="Book Antiqua" w:hint="default"/>
          <w:rtl w:val="0"/>
          <w:lang w:val="it-IT"/>
        </w:rPr>
        <w:t>«</w:t>
      </w:r>
      <w:r>
        <w:rPr>
          <w:rFonts w:ascii="Book Antiqua"/>
          <w:rtl w:val="0"/>
          <w:lang w:val="it-IT"/>
        </w:rPr>
        <w:t>sostanze pericolose</w:t>
      </w:r>
      <w:r>
        <w:rPr>
          <w:rFonts w:hAnsi="Book Antiqua" w:hint="default"/>
          <w:rtl w:val="0"/>
          <w:lang w:val="it-IT"/>
        </w:rPr>
        <w:t>»</w:t>
      </w:r>
      <w:r>
        <w:rPr>
          <w:rFonts w:ascii="Book Antiqua"/>
          <w:rtl w:val="0"/>
          <w:lang w:val="it-IT"/>
        </w:rPr>
        <w:t xml:space="preserve">, </w:t>
      </w:r>
      <w:r>
        <w:rPr>
          <w:rFonts w:hAnsi="Book Antiqua" w:hint="default"/>
          <w:rtl w:val="0"/>
          <w:lang w:val="it-IT"/>
        </w:rPr>
        <w:t xml:space="preserve">è </w:t>
      </w:r>
      <w:r>
        <w:rPr>
          <w:rFonts w:ascii="Book Antiqua"/>
          <w:rtl w:val="0"/>
          <w:lang w:val="it-IT"/>
        </w:rPr>
        <w:t>opportuna solo quando questo rifiuto contiene sostanze pericolose pertinenti che determinano nel rifiuto una o pi</w:t>
      </w:r>
      <w:r>
        <w:rPr>
          <w:rFonts w:hAnsi="Book Antiqua" w:hint="default"/>
          <w:rtl w:val="0"/>
          <w:lang w:val="it-IT"/>
        </w:rPr>
        <w:t xml:space="preserve">ù </w:t>
      </w:r>
      <w:r>
        <w:rPr>
          <w:rFonts w:ascii="Book Antiqua"/>
          <w:rtl w:val="0"/>
          <w:lang w:val="it-IT"/>
        </w:rPr>
        <w:t xml:space="preserve">delle caratteristiche di pericolo da HP 1 a HP 8 e/o da HP 10 a HP 15 di cui all'allegato III della direttiva 2008/98/CE. La valutazione della caratteristica di pericolo HP 9 </w:t>
      </w:r>
      <w:r>
        <w:rPr>
          <w:rFonts w:hAnsi="Book Antiqua" w:hint="default"/>
          <w:rtl w:val="0"/>
          <w:lang w:val="it-IT"/>
        </w:rPr>
        <w:t>«</w:t>
      </w:r>
      <w:r>
        <w:rPr>
          <w:rFonts w:ascii="Book Antiqua"/>
          <w:rtl w:val="0"/>
          <w:lang w:val="it-IT"/>
        </w:rPr>
        <w:t>infettivo</w:t>
      </w:r>
      <w:r>
        <w:rPr>
          <w:rFonts w:hAnsi="Book Antiqua" w:hint="default"/>
          <w:rtl w:val="0"/>
          <w:lang w:val="it-IT"/>
        </w:rPr>
        <w:t xml:space="preserve">» </w:t>
      </w:r>
      <w:r>
        <w:rPr>
          <w:rFonts w:ascii="Book Antiqua"/>
          <w:rtl w:val="0"/>
          <w:lang w:val="it-IT"/>
        </w:rPr>
        <w:t>deve essere effettuata conformemente alla legislazione pertinente o ai documenti di riferimento negli Stati membri</w:t>
      </w:r>
      <w:r>
        <w:rPr>
          <w:rFonts w:hAnsi="Book Antiqua" w:hint="default"/>
          <w:rtl w:val="0"/>
          <w:lang w:val="it-IT"/>
        </w:rPr>
        <w:t>”</w:t>
      </w:r>
      <w:r>
        <w:rPr>
          <w:rFonts w:ascii="Book Antiqua"/>
          <w:rtl w:val="0"/>
          <w:lang w:val="it-IT"/>
        </w:rPr>
        <w:t>.</w:t>
      </w:r>
    </w:p>
    <w:p>
      <w:pPr>
        <w:pStyle w:val="Normal"/>
        <w:shd w:val="clear" w:color="auto" w:fill="ffffff"/>
        <w:ind w:left="567" w:right="567" w:firstLine="0"/>
        <w:jc w:val="both"/>
        <w:rPr>
          <w:rFonts w:ascii="Book Antiqua" w:cs="Book Antiqua" w:hAnsi="Book Antiqua" w:eastAsia="Book Antiqua"/>
        </w:rPr>
      </w:pPr>
      <w:r>
        <w:rPr>
          <w:rFonts w:ascii="Book Antiqua"/>
          <w:rtl w:val="0"/>
          <w:lang w:val="it-IT"/>
        </w:rPr>
        <w:t>Invero, secondo alcune interpretazioni, l</w:t>
      </w:r>
      <w:r>
        <w:rPr>
          <w:rFonts w:hAnsi="Book Antiqua" w:hint="default"/>
          <w:rtl w:val="0"/>
          <w:lang w:val="it-IT"/>
        </w:rPr>
        <w:t>’</w:t>
      </w:r>
      <w:r>
        <w:rPr>
          <w:rFonts w:ascii="Book Antiqua"/>
          <w:rtl w:val="0"/>
          <w:lang w:val="it-IT"/>
        </w:rPr>
        <w:t xml:space="preserve">utilizzazione delle espressioni </w:t>
      </w:r>
      <w:r>
        <w:rPr>
          <w:rFonts w:hAnsi="Book Antiqua" w:hint="default"/>
          <w:rtl w:val="0"/>
          <w:lang w:val="it-IT"/>
        </w:rPr>
        <w:t>“</w:t>
      </w:r>
      <w:r>
        <w:rPr>
          <w:rFonts w:ascii="Book Antiqua"/>
          <w:rtl w:val="0"/>
          <w:lang w:val="it-IT"/>
        </w:rPr>
        <w:t>opportuna</w:t>
      </w:r>
      <w:r>
        <w:rPr>
          <w:rFonts w:hAnsi="Book Antiqua" w:hint="default"/>
          <w:rtl w:val="0"/>
          <w:lang w:val="it-IT"/>
        </w:rPr>
        <w:t xml:space="preserve">” </w:t>
      </w:r>
      <w:r>
        <w:rPr>
          <w:rFonts w:ascii="Book Antiqua"/>
          <w:rtl w:val="0"/>
          <w:lang w:val="it-IT"/>
        </w:rPr>
        <w:t xml:space="preserve">e </w:t>
      </w:r>
      <w:r>
        <w:rPr>
          <w:rFonts w:hAnsi="Book Antiqua" w:hint="default"/>
          <w:rtl w:val="0"/>
          <w:lang w:val="it-IT"/>
        </w:rPr>
        <w:t>“</w:t>
      </w:r>
      <w:r>
        <w:rPr>
          <w:rFonts w:ascii="Book Antiqua"/>
          <w:rtl w:val="0"/>
          <w:lang w:val="it-IT"/>
        </w:rPr>
        <w:t>pertinenti</w:t>
      </w:r>
      <w:r>
        <w:rPr>
          <w:rFonts w:hAnsi="Book Antiqua" w:hint="default"/>
          <w:rtl w:val="0"/>
          <w:lang w:val="it-IT"/>
        </w:rPr>
        <w:t>”</w:t>
      </w:r>
      <w:r>
        <w:rPr>
          <w:rFonts w:ascii="Book Antiqua"/>
          <w:rtl w:val="0"/>
          <w:lang w:val="it-IT"/>
        </w:rPr>
        <w:t>, riferita alle voci speculari, avrebbe, da un lato, ammesso la possibilit</w:t>
      </w:r>
      <w:r>
        <w:rPr>
          <w:rFonts w:hAnsi="Book Antiqua" w:hint="default"/>
          <w:rtl w:val="0"/>
          <w:lang w:val="it-IT"/>
        </w:rPr>
        <w:t xml:space="preserve">à </w:t>
      </w:r>
      <w:r>
        <w:rPr>
          <w:rFonts w:ascii="Book Antiqua"/>
          <w:rtl w:val="0"/>
          <w:lang w:val="it-IT"/>
        </w:rPr>
        <w:t>di una discrezionalit</w:t>
      </w:r>
      <w:r>
        <w:rPr>
          <w:rFonts w:hAnsi="Book Antiqua" w:hint="default"/>
          <w:rtl w:val="0"/>
          <w:lang w:val="it-IT"/>
        </w:rPr>
        <w:t xml:space="preserve">à </w:t>
      </w:r>
      <w:r>
        <w:rPr>
          <w:rFonts w:ascii="Book Antiqua"/>
          <w:rtl w:val="0"/>
          <w:lang w:val="it-IT"/>
        </w:rPr>
        <w:t>nella valutazione, mentre la ricerca della pericolosit</w:t>
      </w:r>
      <w:r>
        <w:rPr>
          <w:rFonts w:hAnsi="Book Antiqua" w:hint="default"/>
          <w:rtl w:val="0"/>
          <w:lang w:val="it-IT"/>
        </w:rPr>
        <w:t xml:space="preserve">à </w:t>
      </w:r>
      <w:r>
        <w:rPr>
          <w:rFonts w:ascii="Book Antiqua"/>
          <w:rtl w:val="0"/>
          <w:lang w:val="it-IT"/>
        </w:rPr>
        <w:t>andrebbe limitata ai composti pertinenti in base al processo produttivo dal quale i rifiuti traggono origine, determinandosi, cos</w:t>
      </w:r>
      <w:r>
        <w:rPr>
          <w:rFonts w:hAnsi="Book Antiqua" w:hint="default"/>
          <w:rtl w:val="0"/>
          <w:lang w:val="it-IT"/>
        </w:rPr>
        <w:t>ì</w:t>
      </w:r>
      <w:r>
        <w:rPr>
          <w:rFonts w:ascii="Book Antiqua"/>
          <w:rtl w:val="0"/>
          <w:lang w:val="it-IT"/>
        </w:rPr>
        <w:t>, il superamento di ogni presunzione di pericolosit</w:t>
      </w:r>
      <w:r>
        <w:rPr>
          <w:rFonts w:hAnsi="Book Antiqua" w:hint="default"/>
          <w:rtl w:val="0"/>
          <w:lang w:val="it-IT"/>
        </w:rPr>
        <w:t>à</w:t>
      </w:r>
      <w:r>
        <w:rPr>
          <w:rFonts w:ascii="Book Antiqua"/>
          <w:rtl w:val="0"/>
          <w:lang w:val="it-IT"/>
        </w:rPr>
        <w:t>.</w:t>
      </w:r>
    </w:p>
    <w:p>
      <w:pPr>
        <w:pStyle w:val="Normal"/>
        <w:shd w:val="clear" w:color="auto" w:fill="ffffff"/>
        <w:ind w:left="567" w:right="567" w:firstLine="0"/>
        <w:jc w:val="both"/>
        <w:rPr>
          <w:rFonts w:ascii="Book Antiqua" w:cs="Book Antiqua" w:hAnsi="Book Antiqua" w:eastAsia="Book Antiqua"/>
        </w:rPr>
      </w:pPr>
      <w:r>
        <w:rPr>
          <w:rFonts w:ascii="Book Antiqua"/>
          <w:rtl w:val="0"/>
          <w:lang w:val="it-IT"/>
        </w:rPr>
        <w:t xml:space="preserve">Altre letture del testo, come si </w:t>
      </w:r>
      <w:r>
        <w:rPr>
          <w:rFonts w:hAnsi="Book Antiqua" w:hint="default"/>
          <w:rtl w:val="0"/>
          <w:lang w:val="it-IT"/>
        </w:rPr>
        <w:t xml:space="preserve">è </w:t>
      </w:r>
      <w:r>
        <w:rPr>
          <w:rFonts w:ascii="Book Antiqua"/>
          <w:rtl w:val="0"/>
          <w:lang w:val="it-IT"/>
        </w:rPr>
        <w:t xml:space="preserve">accennato in precedenza, ne rilevano invece il significato attraverso il confronto con i testi in inglese e francese, osservando che il termine </w:t>
      </w:r>
      <w:r>
        <w:rPr>
          <w:rFonts w:hAnsi="Book Antiqua" w:hint="default"/>
          <w:rtl w:val="0"/>
          <w:lang w:val="it-IT"/>
        </w:rPr>
        <w:t>“</w:t>
      </w:r>
      <w:r>
        <w:rPr>
          <w:rFonts w:ascii="Book Antiqua"/>
          <w:rtl w:val="0"/>
          <w:lang w:val="it-IT"/>
        </w:rPr>
        <w:t>opportuna</w:t>
      </w:r>
      <w:r>
        <w:rPr>
          <w:rFonts w:hAnsi="Book Antiqua" w:hint="default"/>
          <w:rtl w:val="0"/>
          <w:lang w:val="it-IT"/>
        </w:rPr>
        <w:t xml:space="preserve">” è </w:t>
      </w:r>
      <w:r>
        <w:rPr>
          <w:rFonts w:ascii="Book Antiqua"/>
          <w:rtl w:val="0"/>
          <w:lang w:val="it-IT"/>
        </w:rPr>
        <w:t xml:space="preserve">espresso, in quelle lingue, rispettivamente con i termini </w:t>
      </w:r>
      <w:r>
        <w:rPr>
          <w:rFonts w:hAnsi="Book Antiqua" w:hint="default"/>
          <w:rtl w:val="0"/>
          <w:lang w:val="it-IT"/>
        </w:rPr>
        <w:t>“</w:t>
      </w:r>
      <w:r>
        <w:rPr>
          <w:rFonts w:ascii="Book Antiqua"/>
          <w:rtl w:val="0"/>
          <w:lang w:val="it-IT"/>
        </w:rPr>
        <w:t>appropriate</w:t>
      </w:r>
      <w:r>
        <w:rPr>
          <w:rFonts w:hAnsi="Book Antiqua" w:hint="default"/>
          <w:rtl w:val="0"/>
          <w:lang w:val="it-IT"/>
        </w:rPr>
        <w:t xml:space="preserve">” </w:t>
      </w:r>
      <w:r>
        <w:rPr>
          <w:rFonts w:ascii="Book Antiqua"/>
          <w:rtl w:val="0"/>
          <w:lang w:val="it-IT"/>
        </w:rPr>
        <w:t xml:space="preserve">e </w:t>
      </w:r>
      <w:r>
        <w:rPr>
          <w:rFonts w:hAnsi="Book Antiqua" w:hint="default"/>
          <w:rtl w:val="0"/>
          <w:lang w:val="it-IT"/>
        </w:rPr>
        <w:t>“</w:t>
      </w:r>
      <w:r>
        <w:rPr>
          <w:rFonts w:ascii="Book Antiqua"/>
          <w:rtl w:val="0"/>
          <w:lang w:val="it-IT"/>
        </w:rPr>
        <w:t>appropri</w:t>
      </w:r>
      <w:r>
        <w:rPr>
          <w:rFonts w:hAnsi="Book Antiqua" w:hint="default"/>
          <w:rtl w:val="0"/>
          <w:lang w:val="it-IT"/>
        </w:rPr>
        <w:t>é</w:t>
      </w:r>
      <w:r>
        <w:rPr>
          <w:rFonts w:ascii="Book Antiqua"/>
          <w:rtl w:val="0"/>
          <w:lang w:val="it-IT"/>
        </w:rPr>
        <w:t>e</w:t>
      </w:r>
      <w:r>
        <w:rPr>
          <w:rFonts w:hAnsi="Book Antiqua" w:hint="default"/>
          <w:rtl w:val="0"/>
          <w:lang w:val="it-IT"/>
        </w:rPr>
        <w:t>”</w:t>
      </w:r>
      <w:r>
        <w:rPr>
          <w:rFonts w:ascii="Book Antiqua"/>
          <w:rtl w:val="0"/>
          <w:lang w:val="it-IT"/>
        </w:rPr>
        <w:t>, indicativi non tanto di una facolt</w:t>
      </w:r>
      <w:r>
        <w:rPr>
          <w:rFonts w:hAnsi="Book Antiqua" w:hint="default"/>
          <w:rtl w:val="0"/>
          <w:lang w:val="it-IT"/>
        </w:rPr>
        <w:t xml:space="preserve">à </w:t>
      </w:r>
      <w:r>
        <w:rPr>
          <w:rFonts w:ascii="Book Antiqua"/>
          <w:rtl w:val="0"/>
          <w:lang w:val="it-IT"/>
        </w:rPr>
        <w:t xml:space="preserve">di scelta, quanto, piuttosto, del corrispondente termine </w:t>
      </w:r>
      <w:r>
        <w:rPr>
          <w:rFonts w:hAnsi="Book Antiqua" w:hint="default"/>
          <w:rtl w:val="0"/>
          <w:lang w:val="it-IT"/>
        </w:rPr>
        <w:t>“</w:t>
      </w:r>
      <w:r>
        <w:rPr>
          <w:rFonts w:ascii="Book Antiqua"/>
          <w:rtl w:val="0"/>
          <w:lang w:val="it-IT"/>
        </w:rPr>
        <w:t>appropriato</w:t>
      </w:r>
      <w:r>
        <w:rPr>
          <w:rFonts w:hAnsi="Book Antiqua" w:hint="default"/>
          <w:rtl w:val="0"/>
          <w:lang w:val="it-IT"/>
        </w:rPr>
        <w:t xml:space="preserve">” </w:t>
      </w:r>
      <w:r>
        <w:rPr>
          <w:rFonts w:ascii="Book Antiqua"/>
          <w:rtl w:val="0"/>
          <w:lang w:val="it-IT"/>
        </w:rPr>
        <w:t xml:space="preserve">nella lingua italiana, il cui significato </w:t>
      </w:r>
      <w:r>
        <w:rPr>
          <w:rFonts w:hAnsi="Book Antiqua" w:hint="default"/>
          <w:rtl w:val="0"/>
          <w:lang w:val="it-IT"/>
        </w:rPr>
        <w:t xml:space="preserve">è </w:t>
      </w:r>
      <w:r>
        <w:rPr>
          <w:rFonts w:ascii="Book Antiqua"/>
          <w:rtl w:val="0"/>
          <w:lang w:val="it-IT"/>
        </w:rPr>
        <w:t xml:space="preserve">quello di </w:t>
      </w:r>
      <w:r>
        <w:rPr>
          <w:rFonts w:hAnsi="Book Antiqua" w:hint="default"/>
          <w:rtl w:val="0"/>
          <w:lang w:val="it-IT"/>
        </w:rPr>
        <w:t>“</w:t>
      </w:r>
      <w:r>
        <w:rPr>
          <w:rFonts w:ascii="Book Antiqua"/>
          <w:rtl w:val="0"/>
          <w:lang w:val="it-IT"/>
        </w:rPr>
        <w:t>adatto</w:t>
      </w:r>
      <w:r>
        <w:rPr>
          <w:rFonts w:hAnsi="Book Antiqua" w:hint="default"/>
          <w:rtl w:val="0"/>
          <w:lang w:val="it-IT"/>
        </w:rPr>
        <w:t xml:space="preserve">” </w:t>
      </w:r>
      <w:r>
        <w:rPr>
          <w:rFonts w:ascii="Book Antiqua"/>
          <w:rtl w:val="0"/>
          <w:lang w:val="it-IT"/>
        </w:rPr>
        <w:t xml:space="preserve">o </w:t>
      </w:r>
      <w:r>
        <w:rPr>
          <w:rFonts w:hAnsi="Book Antiqua" w:hint="default"/>
          <w:rtl w:val="0"/>
          <w:lang w:val="it-IT"/>
        </w:rPr>
        <w:t>“</w:t>
      </w:r>
      <w:r>
        <w:rPr>
          <w:rFonts w:ascii="Book Antiqua"/>
          <w:rtl w:val="0"/>
          <w:lang w:val="it-IT"/>
        </w:rPr>
        <w:t>idoneo</w:t>
      </w:r>
      <w:r>
        <w:rPr>
          <w:rFonts w:hAnsi="Book Antiqua" w:hint="default"/>
          <w:rtl w:val="0"/>
          <w:lang w:val="it-IT"/>
        </w:rPr>
        <w:t>”</w:t>
      </w:r>
      <w:r>
        <w:rPr>
          <w:rFonts w:ascii="Book Antiqua"/>
          <w:rtl w:val="0"/>
          <w:lang w:val="it-IT"/>
        </w:rPr>
        <w:t>, mentre il contesto letterale nel quale in quelle due lingue collocano l</w:t>
      </w:r>
      <w:r>
        <w:rPr>
          <w:rFonts w:hAnsi="Book Antiqua" w:hint="default"/>
          <w:rtl w:val="0"/>
          <w:lang w:val="it-IT"/>
        </w:rPr>
        <w:t>’</w:t>
      </w:r>
      <w:r>
        <w:rPr>
          <w:rFonts w:ascii="Book Antiqua"/>
          <w:rtl w:val="0"/>
          <w:lang w:val="it-IT"/>
        </w:rPr>
        <w:t xml:space="preserve">ulteriore termine </w:t>
      </w:r>
      <w:r>
        <w:rPr>
          <w:rFonts w:hAnsi="Book Antiqua" w:hint="default"/>
          <w:rtl w:val="0"/>
          <w:lang w:val="it-IT"/>
        </w:rPr>
        <w:t>“</w:t>
      </w:r>
      <w:r>
        <w:rPr>
          <w:rFonts w:ascii="Book Antiqua"/>
          <w:rtl w:val="0"/>
          <w:lang w:val="it-IT"/>
        </w:rPr>
        <w:t>pertinenti</w:t>
      </w:r>
      <w:r>
        <w:rPr>
          <w:rFonts w:hAnsi="Book Antiqua" w:hint="default"/>
          <w:rtl w:val="0"/>
          <w:lang w:val="it-IT"/>
        </w:rPr>
        <w:t xml:space="preserve">” </w:t>
      </w:r>
      <w:r>
        <w:rPr>
          <w:rFonts w:ascii="Book Antiqua"/>
          <w:rtl w:val="0"/>
          <w:lang w:val="it-IT"/>
        </w:rPr>
        <w:t>non sarebbe riferito al processo produttivo, bens</w:t>
      </w:r>
      <w:r>
        <w:rPr>
          <w:rFonts w:hAnsi="Book Antiqua" w:hint="default"/>
          <w:rtl w:val="0"/>
          <w:lang w:val="it-IT"/>
        </w:rPr>
        <w:t xml:space="preserve">ì </w:t>
      </w:r>
      <w:r>
        <w:rPr>
          <w:rFonts w:ascii="Book Antiqua"/>
          <w:rtl w:val="0"/>
          <w:lang w:val="it-IT"/>
        </w:rPr>
        <w:t>alle propriet</w:t>
      </w:r>
      <w:r>
        <w:rPr>
          <w:rFonts w:hAnsi="Book Antiqua" w:hint="default"/>
          <w:rtl w:val="0"/>
          <w:lang w:val="it-IT"/>
        </w:rPr>
        <w:t xml:space="preserve">à </w:t>
      </w:r>
      <w:r>
        <w:rPr>
          <w:rFonts w:ascii="Book Antiqua"/>
          <w:rtl w:val="0"/>
          <w:lang w:val="it-IT"/>
        </w:rPr>
        <w:t>di pericolo corrispondenti indicate subito dopo.</w:t>
      </w:r>
    </w:p>
    <w:p>
      <w:pPr>
        <w:pStyle w:val="Normal"/>
        <w:shd w:val="clear" w:color="auto" w:fill="ffffff"/>
        <w:ind w:left="567" w:right="567" w:firstLine="0"/>
        <w:jc w:val="both"/>
        <w:rPr>
          <w:rFonts w:ascii="Book Antiqua" w:cs="Book Antiqua" w:hAnsi="Book Antiqua" w:eastAsia="Book Antiqua"/>
        </w:rPr>
      </w:pPr>
      <w:r>
        <w:rPr>
          <w:rFonts w:ascii="Book Antiqua"/>
          <w:rtl w:val="0"/>
          <w:lang w:val="it-IT"/>
        </w:rPr>
        <w:t xml:space="preserve">Altro dato di rilievo </w:t>
      </w:r>
      <w:r>
        <w:rPr>
          <w:rFonts w:hAnsi="Book Antiqua" w:hint="default"/>
          <w:rtl w:val="0"/>
          <w:lang w:val="it-IT"/>
        </w:rPr>
        <w:t xml:space="preserve">è </w:t>
      </w:r>
      <w:r>
        <w:rPr>
          <w:rFonts w:ascii="Book Antiqua"/>
          <w:rtl w:val="0"/>
          <w:lang w:val="it-IT"/>
        </w:rPr>
        <w:t>rappresentato dal fatto, sul quale sembrano convergere le opinioni dei vari interpreti, che i provvedimenti comunitari pi</w:t>
      </w:r>
      <w:r>
        <w:rPr>
          <w:rFonts w:hAnsi="Book Antiqua" w:hint="default"/>
          <w:rtl w:val="0"/>
          <w:lang w:val="it-IT"/>
        </w:rPr>
        <w:t xml:space="preserve">ù </w:t>
      </w:r>
      <w:r>
        <w:rPr>
          <w:rFonts w:ascii="Book Antiqua"/>
          <w:rtl w:val="0"/>
          <w:lang w:val="it-IT"/>
        </w:rPr>
        <w:t>volte citati non contengono indicazioni prescrittive di specifiche procedure analitiche, che, al contrario, la legge 11 agosto 2014, n. 116 disponeva, ma che ora non sono pi</w:t>
      </w:r>
      <w:r>
        <w:rPr>
          <w:rFonts w:hAnsi="Book Antiqua" w:hint="default"/>
          <w:rtl w:val="0"/>
          <w:lang w:val="it-IT"/>
        </w:rPr>
        <w:t xml:space="preserve">ù </w:t>
      </w:r>
      <w:r>
        <w:rPr>
          <w:rFonts w:ascii="Book Antiqua"/>
          <w:rtl w:val="0"/>
          <w:lang w:val="it-IT"/>
        </w:rPr>
        <w:t>applicabili dopo l</w:t>
      </w:r>
      <w:r>
        <w:rPr>
          <w:rFonts w:hAnsi="Book Antiqua" w:hint="default"/>
          <w:rtl w:val="0"/>
          <w:lang w:val="it-IT"/>
        </w:rPr>
        <w:t>’</w:t>
      </w:r>
      <w:r>
        <w:rPr>
          <w:rFonts w:ascii="Book Antiqua"/>
          <w:rtl w:val="0"/>
          <w:lang w:val="it-IT"/>
        </w:rPr>
        <w:t>intervento abrogativo ad opera del decreto-legge 20 giugno 2017, n. 91 (ovvero, secondo altra interpretazione, a seguito della tacita abrogazione conseguente alla emanazione della Decisione 2014/955/UE del Regolamento (UE) n. 1357/2014)</w:t>
      </w:r>
    </w:p>
    <w:p>
      <w:pPr>
        <w:pStyle w:val="Normal"/>
        <w:shd w:val="clear" w:color="auto" w:fill="ffffff"/>
        <w:ind w:left="567" w:right="567" w:firstLine="0"/>
        <w:jc w:val="both"/>
        <w:rPr>
          <w:rFonts w:ascii="Book Antiqua" w:cs="Book Antiqua" w:hAnsi="Book Antiqua" w:eastAsia="Book Antiqua"/>
        </w:rPr>
      </w:pPr>
      <w:r>
        <w:rPr>
          <w:rFonts w:ascii="Book Antiqua"/>
          <w:rtl w:val="0"/>
          <w:lang w:val="it-IT"/>
        </w:rPr>
        <w:t xml:space="preserve">Ritiene tuttavia la Corte che tra le due tesi interpretative di cui si </w:t>
      </w:r>
      <w:r>
        <w:rPr>
          <w:rFonts w:hAnsi="Book Antiqua" w:hint="default"/>
          <w:rtl w:val="0"/>
          <w:lang w:val="it-IT"/>
        </w:rPr>
        <w:t xml:space="preserve">è </w:t>
      </w:r>
      <w:r>
        <w:rPr>
          <w:rFonts w:ascii="Book Antiqua"/>
          <w:rtl w:val="0"/>
          <w:lang w:val="it-IT"/>
        </w:rPr>
        <w:t>dato conto in precedenza, quella cosiddetta probabilistica viene talvolta proposta con argomentazioni che appaiono equivoche, laddove, sostenendo, ad esempio, l</w:t>
      </w:r>
      <w:r>
        <w:rPr>
          <w:rFonts w:hAnsi="Book Antiqua" w:hint="default"/>
          <w:rtl w:val="0"/>
          <w:lang w:val="it-IT"/>
        </w:rPr>
        <w:t>’</w:t>
      </w:r>
      <w:r>
        <w:rPr>
          <w:rFonts w:ascii="Book Antiqua"/>
          <w:rtl w:val="0"/>
          <w:lang w:val="it-IT"/>
        </w:rPr>
        <w:t>assoluta impossibilit</w:t>
      </w:r>
      <w:r>
        <w:rPr>
          <w:rFonts w:hAnsi="Book Antiqua" w:hint="default"/>
          <w:rtl w:val="0"/>
          <w:lang w:val="it-IT"/>
        </w:rPr>
        <w:t xml:space="preserve">à </w:t>
      </w:r>
      <w:r>
        <w:rPr>
          <w:rFonts w:ascii="Book Antiqua"/>
          <w:rtl w:val="0"/>
          <w:lang w:val="it-IT"/>
        </w:rPr>
        <w:t>tecnica di procedere ad una adeguata analisi del rifiuto, si assume che il produttore del rifiuto possa sostanzialmente classificarlo a sua discrezione o, comunque, attraverso le metodiche ritenute adeguate da chi procede alle analisi, pena la inevitabile classificazione di tutti i rifiuti con voci speculari come pericolosi.</w:t>
      </w:r>
    </w:p>
    <w:p>
      <w:pPr>
        <w:pStyle w:val="Normal"/>
        <w:shd w:val="clear" w:color="auto" w:fill="ffffff"/>
        <w:ind w:left="567" w:right="567" w:firstLine="0"/>
        <w:jc w:val="both"/>
        <w:rPr>
          <w:rFonts w:ascii="Book Antiqua" w:cs="Book Antiqua" w:hAnsi="Book Antiqua" w:eastAsia="Book Antiqua"/>
        </w:rPr>
      </w:pPr>
      <w:r>
        <w:rPr>
          <w:rFonts w:ascii="Book Antiqua"/>
          <w:rtl w:val="0"/>
          <w:lang w:val="it-IT"/>
        </w:rPr>
        <w:t>In realt</w:t>
      </w:r>
      <w:r>
        <w:rPr>
          <w:rFonts w:hAnsi="Book Antiqua" w:hint="default"/>
          <w:rtl w:val="0"/>
          <w:lang w:val="it-IT"/>
        </w:rPr>
        <w:t xml:space="preserve">à </w:t>
      </w:r>
      <w:r>
        <w:rPr>
          <w:rFonts w:ascii="Book Antiqua"/>
          <w:rtl w:val="0"/>
          <w:lang w:val="it-IT"/>
        </w:rPr>
        <w:t>paiono al Collegio condivisibili quelle osservazioni secondo le quali ci</w:t>
      </w:r>
      <w:r>
        <w:rPr>
          <w:rFonts w:hAnsi="Book Antiqua" w:hint="default"/>
          <w:rtl w:val="0"/>
          <w:lang w:val="it-IT"/>
        </w:rPr>
        <w:t xml:space="preserve">ò </w:t>
      </w:r>
      <w:r>
        <w:rPr>
          <w:rFonts w:ascii="Book Antiqua"/>
          <w:rtl w:val="0"/>
          <w:lang w:val="it-IT"/>
        </w:rPr>
        <w:t xml:space="preserve">che si richiede, in tali casi, </w:t>
      </w:r>
      <w:r>
        <w:rPr>
          <w:rFonts w:hAnsi="Book Antiqua" w:hint="default"/>
          <w:rtl w:val="0"/>
          <w:lang w:val="it-IT"/>
        </w:rPr>
        <w:t xml:space="preserve">è </w:t>
      </w:r>
      <w:r>
        <w:rPr>
          <w:rFonts w:ascii="Book Antiqua"/>
          <w:rtl w:val="0"/>
          <w:lang w:val="it-IT"/>
        </w:rPr>
        <w:t>in ogni caso una adeguata caratterizzazione del rifiuto e non anche la ricerca indiscriminata di tutte le sostanze che esso potrebbe astrattamente contenere.</w:t>
      </w:r>
    </w:p>
    <w:p>
      <w:pPr>
        <w:pStyle w:val="Normal"/>
        <w:shd w:val="clear" w:color="auto" w:fill="ffffff"/>
        <w:ind w:left="567" w:right="567" w:firstLine="0"/>
        <w:jc w:val="both"/>
        <w:rPr>
          <w:rFonts w:ascii="Book Antiqua" w:cs="Book Antiqua" w:hAnsi="Book Antiqua" w:eastAsia="Book Antiqua"/>
        </w:rPr>
      </w:pPr>
      <w:r>
        <w:rPr>
          <w:rFonts w:ascii="Book Antiqua"/>
          <w:rtl w:val="0"/>
          <w:lang w:val="it-IT"/>
        </w:rPr>
        <w:t xml:space="preserve">In altre parole </w:t>
      </w:r>
      <w:r>
        <w:rPr>
          <w:rFonts w:hAnsi="Book Antiqua" w:hint="default"/>
          <w:rtl w:val="0"/>
          <w:lang w:val="it-IT"/>
        </w:rPr>
        <w:t xml:space="preserve">– </w:t>
      </w:r>
      <w:r>
        <w:rPr>
          <w:rFonts w:ascii="Book Antiqua"/>
          <w:rtl w:val="0"/>
          <w:lang w:val="it-IT"/>
        </w:rPr>
        <w:t>e l</w:t>
      </w:r>
      <w:r>
        <w:rPr>
          <w:rFonts w:hAnsi="Book Antiqua" w:hint="default"/>
          <w:rtl w:val="0"/>
          <w:lang w:val="it-IT"/>
        </w:rPr>
        <w:t>’</w:t>
      </w:r>
      <w:r>
        <w:rPr>
          <w:rFonts w:ascii="Book Antiqua"/>
          <w:rtl w:val="0"/>
          <w:lang w:val="it-IT"/>
        </w:rPr>
        <w:t xml:space="preserve">assunto sembra del tutto logico </w:t>
      </w:r>
      <w:r>
        <w:rPr>
          <w:rFonts w:hAnsi="Book Antiqua" w:hint="default"/>
          <w:rtl w:val="0"/>
          <w:lang w:val="it-IT"/>
        </w:rPr>
        <w:t xml:space="preserve">– </w:t>
      </w:r>
      <w:r>
        <w:rPr>
          <w:rFonts w:ascii="Book Antiqua"/>
          <w:rtl w:val="0"/>
          <w:lang w:val="it-IT"/>
        </w:rPr>
        <w:t>tale affermazione starebbe a significare che, accertando l</w:t>
      </w:r>
      <w:r>
        <w:rPr>
          <w:rFonts w:hAnsi="Book Antiqua" w:hint="default"/>
          <w:rtl w:val="0"/>
          <w:lang w:val="it-IT"/>
        </w:rPr>
        <w:t>’</w:t>
      </w:r>
      <w:r>
        <w:rPr>
          <w:rFonts w:ascii="Book Antiqua"/>
          <w:rtl w:val="0"/>
          <w:lang w:val="it-IT"/>
        </w:rPr>
        <w:t xml:space="preserve">esatta composizione di un rifiuto, </w:t>
      </w:r>
      <w:r>
        <w:rPr>
          <w:rFonts w:hAnsi="Book Antiqua" w:hint="default"/>
          <w:rtl w:val="0"/>
          <w:lang w:val="it-IT"/>
        </w:rPr>
        <w:t xml:space="preserve">è </w:t>
      </w:r>
      <w:r>
        <w:rPr>
          <w:rFonts w:ascii="Book Antiqua"/>
          <w:rtl w:val="0"/>
          <w:lang w:val="it-IT"/>
        </w:rPr>
        <w:t>conseguentemente possibile verificare la presenza o meno di sostanze pericolose.</w:t>
      </w:r>
      <w:r>
        <w:rPr>
          <w:rFonts w:ascii="Book Antiqua" w:cs="Book Antiqua" w:hAnsi="Book Antiqua" w:eastAsia="Book Antiqua"/>
          <w:rtl w:val="0"/>
        </w:rPr>
        <w:br w:type="textWrapping"/>
      </w:r>
      <w:r>
        <w:rPr>
          <w:rFonts w:ascii="Book Antiqua"/>
          <w:rtl w:val="0"/>
          <w:lang w:val="it-IT"/>
        </w:rPr>
        <w:t>Altrettanto coerente sembra l</w:t>
      </w:r>
      <w:r>
        <w:rPr>
          <w:rFonts w:hAnsi="Book Antiqua" w:hint="default"/>
          <w:rtl w:val="0"/>
          <w:lang w:val="it-IT"/>
        </w:rPr>
        <w:t>’</w:t>
      </w:r>
      <w:r>
        <w:rPr>
          <w:rFonts w:ascii="Book Antiqua"/>
          <w:rtl w:val="0"/>
          <w:lang w:val="it-IT"/>
        </w:rPr>
        <w:t xml:space="preserve">ulteriore osservazione secondo la quale la composizione di un rifiuto non </w:t>
      </w:r>
      <w:r>
        <w:rPr>
          <w:rFonts w:hAnsi="Book Antiqua" w:hint="default"/>
          <w:rtl w:val="0"/>
          <w:lang w:val="it-IT"/>
        </w:rPr>
        <w:t xml:space="preserve">è </w:t>
      </w:r>
      <w:r>
        <w:rPr>
          <w:rFonts w:ascii="Book Antiqua"/>
          <w:rtl w:val="0"/>
          <w:lang w:val="it-IT"/>
        </w:rPr>
        <w:t>sempre desumibile dalla sua origine, come nel caso in cui non derivi da uno specifico processo produttivo, ma sia talvolta conseguenza di altri fenomeni o trattamenti che ne rendono incerta o ne mutano la composizione.</w:t>
      </w:r>
    </w:p>
    <w:p>
      <w:pPr>
        <w:pStyle w:val="Normal"/>
        <w:shd w:val="clear" w:color="auto" w:fill="ffffff"/>
        <w:ind w:left="567" w:right="567" w:firstLine="0"/>
        <w:jc w:val="both"/>
        <w:rPr>
          <w:rFonts w:ascii="Book Antiqua" w:cs="Book Antiqua" w:hAnsi="Book Antiqua" w:eastAsia="Book Antiqua"/>
        </w:rPr>
      </w:pPr>
      <w:r>
        <w:rPr>
          <w:rFonts w:ascii="Book Antiqua"/>
          <w:rtl w:val="0"/>
          <w:lang w:val="it-IT"/>
        </w:rPr>
        <w:t>Prescindendo, quindi, dall</w:t>
      </w:r>
      <w:r>
        <w:rPr>
          <w:rFonts w:hAnsi="Book Antiqua" w:hint="default"/>
          <w:rtl w:val="0"/>
          <w:lang w:val="it-IT"/>
        </w:rPr>
        <w:t>’</w:t>
      </w:r>
      <w:r>
        <w:rPr>
          <w:rFonts w:ascii="Book Antiqua"/>
          <w:rtl w:val="0"/>
          <w:lang w:val="it-IT"/>
        </w:rPr>
        <w:t>esaminare ulteriori aspetti, prettamente tecnici, non sembra al collegio che i provvedimenti comunitari, pi</w:t>
      </w:r>
      <w:r>
        <w:rPr>
          <w:rFonts w:hAnsi="Book Antiqua" w:hint="default"/>
          <w:rtl w:val="0"/>
          <w:lang w:val="it-IT"/>
        </w:rPr>
        <w:t xml:space="preserve">ù </w:t>
      </w:r>
      <w:r>
        <w:rPr>
          <w:rFonts w:ascii="Book Antiqua"/>
          <w:rtl w:val="0"/>
          <w:lang w:val="it-IT"/>
        </w:rPr>
        <w:t>volte richiamati nel prospettare l</w:t>
      </w:r>
      <w:r>
        <w:rPr>
          <w:rFonts w:hAnsi="Book Antiqua" w:hint="default"/>
          <w:rtl w:val="0"/>
          <w:lang w:val="it-IT"/>
        </w:rPr>
        <w:t>’</w:t>
      </w:r>
      <w:r>
        <w:rPr>
          <w:rFonts w:ascii="Book Antiqua"/>
          <w:rtl w:val="0"/>
          <w:lang w:val="it-IT"/>
        </w:rPr>
        <w:t>una o l</w:t>
      </w:r>
      <w:r>
        <w:rPr>
          <w:rFonts w:hAnsi="Book Antiqua" w:hint="default"/>
          <w:rtl w:val="0"/>
          <w:lang w:val="it-IT"/>
        </w:rPr>
        <w:t>’</w:t>
      </w:r>
      <w:r>
        <w:rPr>
          <w:rFonts w:ascii="Book Antiqua"/>
          <w:rtl w:val="0"/>
          <w:lang w:val="it-IT"/>
        </w:rPr>
        <w:t>altra delle tesi contrapposte, consenta di rinvenire, nei provvedimenti medesimi, contenuti che permettano di rilevarne la fondatezza nei termini drastici talvolta prospettati e, conseguentemente, l</w:t>
      </w:r>
      <w:r>
        <w:rPr>
          <w:rFonts w:hAnsi="Book Antiqua" w:hint="default"/>
          <w:rtl w:val="0"/>
          <w:lang w:val="it-IT"/>
        </w:rPr>
        <w:t>’</w:t>
      </w:r>
      <w:r>
        <w:rPr>
          <w:rFonts w:ascii="Book Antiqua"/>
          <w:rtl w:val="0"/>
          <w:lang w:val="it-IT"/>
        </w:rPr>
        <w:t>esistenza di presunzioni o criteri di valutazione fondati sulla probabilit</w:t>
      </w:r>
      <w:r>
        <w:rPr>
          <w:rFonts w:hAnsi="Book Antiqua" w:hint="default"/>
          <w:rtl w:val="0"/>
          <w:lang w:val="it-IT"/>
        </w:rPr>
        <w:t>à</w:t>
      </w:r>
      <w:r>
        <w:rPr>
          <w:rFonts w:ascii="Book Antiqua"/>
          <w:rtl w:val="0"/>
          <w:lang w:val="it-IT"/>
        </w:rPr>
        <w:t>.</w:t>
      </w:r>
    </w:p>
    <w:p>
      <w:pPr>
        <w:pStyle w:val="Normal"/>
        <w:shd w:val="clear" w:color="auto" w:fill="ffffff"/>
        <w:ind w:left="567" w:right="567" w:firstLine="0"/>
        <w:jc w:val="both"/>
        <w:rPr>
          <w:rFonts w:ascii="Book Antiqua" w:cs="Book Antiqua" w:hAnsi="Book Antiqua" w:eastAsia="Book Antiqua"/>
        </w:rPr>
      </w:pPr>
      <w:r>
        <w:rPr>
          <w:rFonts w:ascii="Book Antiqua"/>
          <w:rtl w:val="0"/>
          <w:lang w:val="it-IT"/>
        </w:rPr>
        <w:t>Corretto pare, al contrario, il richiamo al principio di precauzione cui deve conformarsi la gestione dei rifiuti, come espressamente previsto anche dalla disciplina generale di settore (articolo 178 del decreto legislativo n. 152 del 2006), che deve ritenersi applicabile anche nella classificazione dei rifiuti pericolosi con voci speculari al fine di garantire una adeguata protezione dell</w:t>
      </w:r>
      <w:r>
        <w:rPr>
          <w:rFonts w:hAnsi="Book Antiqua" w:hint="default"/>
          <w:rtl w:val="0"/>
          <w:lang w:val="it-IT"/>
        </w:rPr>
        <w:t>’</w:t>
      </w:r>
      <w:r>
        <w:rPr>
          <w:rFonts w:ascii="Book Antiqua"/>
          <w:rtl w:val="0"/>
          <w:lang w:val="it-IT"/>
        </w:rPr>
        <w:t>ambiente e della salute delle persone.</w:t>
      </w:r>
    </w:p>
    <w:p>
      <w:pPr>
        <w:pStyle w:val="Normal"/>
        <w:shd w:val="clear" w:color="auto" w:fill="ffffff"/>
        <w:ind w:left="567" w:right="567" w:firstLine="0"/>
        <w:jc w:val="both"/>
        <w:rPr>
          <w:rFonts w:ascii="Book Antiqua" w:cs="Book Antiqua" w:hAnsi="Book Antiqua" w:eastAsia="Book Antiqua"/>
        </w:rPr>
      </w:pPr>
      <w:r>
        <w:rPr>
          <w:rFonts w:ascii="Book Antiqua"/>
          <w:rtl w:val="0"/>
          <w:lang w:val="it-IT"/>
        </w:rPr>
        <w:t xml:space="preserve">Conforme a tale principio ed a criteri di ragionevolezza sembra la tesi, recentemente prospettata, sulla base di argomentazioni prettamente scientifiche, secondo la quale una caratterizzazione spinta e sistematica del rifiuto sarebbe necessaria quando lo stesso </w:t>
      </w:r>
      <w:r>
        <w:rPr>
          <w:rFonts w:hAnsi="Book Antiqua" w:hint="default"/>
          <w:rtl w:val="0"/>
          <w:lang w:val="it-IT"/>
        </w:rPr>
        <w:t xml:space="preserve">è </w:t>
      </w:r>
      <w:r>
        <w:rPr>
          <w:rFonts w:ascii="Book Antiqua"/>
          <w:rtl w:val="0"/>
          <w:lang w:val="it-IT"/>
        </w:rPr>
        <w:t>sconosciuto, con la conseguenza che se la stessa dovesse richiedere costi eccessivi per il detentore, questi potr</w:t>
      </w:r>
      <w:r>
        <w:rPr>
          <w:rFonts w:hAnsi="Book Antiqua" w:hint="default"/>
          <w:rtl w:val="0"/>
          <w:lang w:val="it-IT"/>
        </w:rPr>
        <w:t xml:space="preserve">à </w:t>
      </w:r>
      <w:r>
        <w:rPr>
          <w:rFonts w:ascii="Book Antiqua"/>
          <w:rtl w:val="0"/>
          <w:lang w:val="it-IT"/>
        </w:rPr>
        <w:t xml:space="preserve">eventualmente classificare comunque il rifiuto come pericoloso. Diversamente, quando il rifiuto </w:t>
      </w:r>
      <w:r>
        <w:rPr>
          <w:rFonts w:hAnsi="Book Antiqua" w:hint="default"/>
          <w:rtl w:val="0"/>
          <w:lang w:val="it-IT"/>
        </w:rPr>
        <w:t xml:space="preserve">è </w:t>
      </w:r>
      <w:r>
        <w:rPr>
          <w:rFonts w:ascii="Book Antiqua"/>
          <w:rtl w:val="0"/>
          <w:lang w:val="it-IT"/>
        </w:rPr>
        <w:t>conosciuto, l</w:t>
      </w:r>
      <w:r>
        <w:rPr>
          <w:rFonts w:hAnsi="Book Antiqua" w:hint="default"/>
          <w:rtl w:val="0"/>
          <w:lang w:val="it-IT"/>
        </w:rPr>
        <w:t>’</w:t>
      </w:r>
      <w:r>
        <w:rPr>
          <w:rFonts w:ascii="Book Antiqua"/>
          <w:rtl w:val="0"/>
          <w:lang w:val="it-IT"/>
        </w:rPr>
        <w:t>analisi chimica dovrebbe riguardare esclusivamente le sostanze che sono potenzialmente presenti in base alle fonti dei dati e del processo di formazione del rifiuto, osservando che una simile scelta non sarebbe comunque aleatoria, ma conseguente alla conoscenza delle materie prime che hanno concorso alla formazione del rifiuto e del processo di formazione dello stesso, con applicazione di metodi razionali di deduzione e che, in ogni caso, ove tale accertamento non fosse possibile, dovrebbe necessariamente procedersi alla classificazione del rifiuto come pericoloso.</w:t>
      </w:r>
    </w:p>
    <w:p>
      <w:pPr>
        <w:pStyle w:val="Normal"/>
        <w:shd w:val="clear" w:color="auto" w:fill="ffffff"/>
        <w:ind w:left="567" w:right="567" w:firstLine="0"/>
        <w:jc w:val="both"/>
        <w:rPr>
          <w:rFonts w:ascii="Book Antiqua" w:cs="Book Antiqua" w:hAnsi="Book Antiqua" w:eastAsia="Book Antiqua"/>
        </w:rPr>
      </w:pPr>
      <w:r>
        <w:rPr>
          <w:rFonts w:ascii="Book Antiqua"/>
          <w:rtl w:val="0"/>
          <w:lang w:val="it-IT"/>
        </w:rPr>
        <w:t>Ci</w:t>
      </w:r>
      <w:r>
        <w:rPr>
          <w:rFonts w:hAnsi="Book Antiqua" w:hint="default"/>
          <w:rtl w:val="0"/>
          <w:lang w:val="it-IT"/>
        </w:rPr>
        <w:t xml:space="preserve">ò </w:t>
      </w:r>
      <w:r>
        <w:rPr>
          <w:rFonts w:ascii="Book Antiqua"/>
          <w:rtl w:val="0"/>
          <w:lang w:val="it-IT"/>
        </w:rPr>
        <w:t>nonostante, restano comunque margini di incertezza circa l</w:t>
      </w:r>
      <w:r>
        <w:rPr>
          <w:rFonts w:hAnsi="Book Antiqua" w:hint="default"/>
          <w:rtl w:val="0"/>
          <w:lang w:val="it-IT"/>
        </w:rPr>
        <w:t>’</w:t>
      </w:r>
      <w:r>
        <w:rPr>
          <w:rFonts w:ascii="Book Antiqua"/>
          <w:rtl w:val="0"/>
          <w:lang w:val="it-IT"/>
        </w:rPr>
        <w:t>ambito di operativit</w:t>
      </w:r>
      <w:r>
        <w:rPr>
          <w:rFonts w:hAnsi="Book Antiqua" w:hint="default"/>
          <w:rtl w:val="0"/>
          <w:lang w:val="it-IT"/>
        </w:rPr>
        <w:t xml:space="preserve">à </w:t>
      </w:r>
      <w:r>
        <w:rPr>
          <w:rFonts w:ascii="Book Antiqua"/>
          <w:rtl w:val="0"/>
          <w:lang w:val="it-IT"/>
        </w:rPr>
        <w:t>della disciplina comunitaria, anche in conseguenza delle modifiche apportate nel tempo alla normativa nazionale, dapprima mediante l</w:t>
      </w:r>
      <w:r>
        <w:rPr>
          <w:rFonts w:hAnsi="Book Antiqua" w:hint="default"/>
          <w:rtl w:val="0"/>
          <w:lang w:val="it-IT"/>
        </w:rPr>
        <w:t>’</w:t>
      </w:r>
      <w:r>
        <w:rPr>
          <w:rFonts w:ascii="Book Antiqua"/>
          <w:rtl w:val="0"/>
          <w:lang w:val="it-IT"/>
        </w:rPr>
        <w:t>imposizione, con la legge 11 agosto 2014, n. 116, di specifiche procedure e, successivamente, con l</w:t>
      </w:r>
      <w:r>
        <w:rPr>
          <w:rFonts w:hAnsi="Book Antiqua" w:hint="default"/>
          <w:rtl w:val="0"/>
          <w:lang w:val="it-IT"/>
        </w:rPr>
        <w:t>’</w:t>
      </w:r>
      <w:r>
        <w:rPr>
          <w:rFonts w:ascii="Book Antiqua"/>
          <w:rtl w:val="0"/>
          <w:lang w:val="it-IT"/>
        </w:rPr>
        <w:t>intervento abrogativo ad opera del decreto-legge 20 giugno 2017 n. 91 - che sembrerebbe recepire gli interventi esplicativi del Ministero e della regione Lazio (peraltro del tutto irrilevanti, perch</w:t>
      </w:r>
      <w:r>
        <w:rPr>
          <w:rFonts w:hAnsi="Book Antiqua" w:hint="default"/>
          <w:rtl w:val="0"/>
          <w:lang w:val="it-IT"/>
        </w:rPr>
        <w:t xml:space="preserve">é </w:t>
      </w:r>
      <w:r>
        <w:rPr>
          <w:rFonts w:ascii="Book Antiqua"/>
          <w:rtl w:val="0"/>
          <w:lang w:val="it-IT"/>
        </w:rPr>
        <w:t xml:space="preserve">non vincolanti ed espressione di una semplice opinione), di cui si </w:t>
      </w:r>
      <w:r>
        <w:rPr>
          <w:rFonts w:hAnsi="Book Antiqua" w:hint="default"/>
          <w:rtl w:val="0"/>
          <w:lang w:val="it-IT"/>
        </w:rPr>
        <w:t xml:space="preserve">è </w:t>
      </w:r>
      <w:r>
        <w:rPr>
          <w:rFonts w:ascii="Book Antiqua"/>
          <w:rtl w:val="0"/>
          <w:lang w:val="it-IT"/>
        </w:rPr>
        <w:t>dato conto in precedenza, sebbene con un mero richiamo alla disciplina comunitaria in vigore dal 1 giugno 2015 e senza rilevarne espressamente l</w:t>
      </w:r>
      <w:r>
        <w:rPr>
          <w:rFonts w:hAnsi="Book Antiqua" w:hint="default"/>
          <w:rtl w:val="0"/>
          <w:lang w:val="it-IT"/>
        </w:rPr>
        <w:t>’</w:t>
      </w:r>
      <w:r>
        <w:rPr>
          <w:rFonts w:ascii="Book Antiqua"/>
          <w:rtl w:val="0"/>
          <w:lang w:val="it-IT"/>
        </w:rPr>
        <w:t>incompatibilit</w:t>
      </w:r>
      <w:r>
        <w:rPr>
          <w:rFonts w:hAnsi="Book Antiqua" w:hint="default"/>
          <w:rtl w:val="0"/>
          <w:lang w:val="it-IT"/>
        </w:rPr>
        <w:t xml:space="preserve">à </w:t>
      </w:r>
      <w:r>
        <w:rPr>
          <w:rFonts w:ascii="Book Antiqua"/>
          <w:rtl w:val="0"/>
          <w:lang w:val="it-IT"/>
        </w:rPr>
        <w:t xml:space="preserve">con la normativa nazionale previgente - con cui pare volersi avvalorarne una lettura nel senso della previsione di parametri di classificazione basati su discrezionali criteri di </w:t>
      </w:r>
      <w:r>
        <w:rPr>
          <w:rFonts w:hAnsi="Book Antiqua" w:hint="default"/>
          <w:rtl w:val="0"/>
          <w:lang w:val="it-IT"/>
        </w:rPr>
        <w:t>“</w:t>
      </w:r>
      <w:r>
        <w:rPr>
          <w:rFonts w:ascii="Book Antiqua"/>
          <w:rtl w:val="0"/>
          <w:lang w:val="it-IT"/>
        </w:rPr>
        <w:t>opportunit</w:t>
      </w:r>
      <w:r>
        <w:rPr>
          <w:rFonts w:hAnsi="Book Antiqua" w:hint="default"/>
          <w:rtl w:val="0"/>
          <w:lang w:val="it-IT"/>
        </w:rPr>
        <w:t xml:space="preserve">à” </w:t>
      </w:r>
      <w:r>
        <w:rPr>
          <w:rFonts w:ascii="Book Antiqua"/>
          <w:rtl w:val="0"/>
          <w:lang w:val="it-IT"/>
        </w:rPr>
        <w:t xml:space="preserve">e </w:t>
      </w:r>
      <w:r>
        <w:rPr>
          <w:rFonts w:hAnsi="Book Antiqua" w:hint="default"/>
          <w:rtl w:val="0"/>
          <w:lang w:val="it-IT"/>
        </w:rPr>
        <w:t>“</w:t>
      </w:r>
      <w:r>
        <w:rPr>
          <w:rFonts w:ascii="Book Antiqua"/>
          <w:rtl w:val="0"/>
          <w:lang w:val="it-IT"/>
        </w:rPr>
        <w:t>pertinenza</w:t>
      </w:r>
      <w:r>
        <w:rPr>
          <w:rFonts w:hAnsi="Book Antiqua" w:hint="default"/>
          <w:rtl w:val="0"/>
          <w:lang w:val="it-IT"/>
        </w:rPr>
        <w:t>”</w:t>
      </w:r>
      <w:r>
        <w:rPr>
          <w:rFonts w:ascii="Book Antiqua"/>
          <w:rtl w:val="0"/>
          <w:lang w:val="it-IT"/>
        </w:rPr>
        <w:t>.</w:t>
      </w:r>
    </w:p>
    <w:p>
      <w:pPr>
        <w:pStyle w:val="Normal"/>
        <w:shd w:val="clear" w:color="auto" w:fill="ffffff"/>
        <w:ind w:left="567" w:right="567" w:firstLine="0"/>
        <w:jc w:val="both"/>
        <w:rPr>
          <w:rFonts w:ascii="Book Antiqua" w:cs="Book Antiqua" w:hAnsi="Book Antiqua" w:eastAsia="Book Antiqua"/>
        </w:rPr>
      </w:pPr>
      <w:r>
        <w:rPr>
          <w:rFonts w:ascii="Book Antiqua"/>
          <w:rtl w:val="0"/>
          <w:lang w:val="it-IT"/>
        </w:rPr>
        <w:t>Paiono invece deporre in senso decisamente contrario alla classificazione meramente discrezionale la traduzione letterale dei richiamati provvedimenti comunitari, mentre i contenuti del citato documento della Commissione europea del giugno 2015, nonch</w:t>
      </w:r>
      <w:r>
        <w:rPr>
          <w:rFonts w:hAnsi="Book Antiqua" w:hint="default"/>
          <w:rtl w:val="0"/>
          <w:lang w:val="it-IT"/>
        </w:rPr>
        <w:t xml:space="preserve">é </w:t>
      </w:r>
      <w:r>
        <w:rPr>
          <w:rFonts w:ascii="Book Antiqua"/>
          <w:rtl w:val="0"/>
          <w:lang w:val="it-IT"/>
        </w:rPr>
        <w:t xml:space="preserve">del manuale tecnico del Regno Unito del 2003, di cui pure si </w:t>
      </w:r>
      <w:r>
        <w:rPr>
          <w:rFonts w:hAnsi="Book Antiqua" w:hint="default"/>
          <w:rtl w:val="0"/>
          <w:lang w:val="it-IT"/>
        </w:rPr>
        <w:t xml:space="preserve">è </w:t>
      </w:r>
      <w:r>
        <w:rPr>
          <w:rFonts w:ascii="Book Antiqua"/>
          <w:rtl w:val="0"/>
          <w:lang w:val="it-IT"/>
        </w:rPr>
        <w:t xml:space="preserve">detto, al quale si </w:t>
      </w:r>
      <w:r>
        <w:rPr>
          <w:rFonts w:hAnsi="Book Antiqua" w:hint="default"/>
          <w:rtl w:val="0"/>
          <w:lang w:val="it-IT"/>
        </w:rPr>
        <w:t xml:space="preserve">è </w:t>
      </w:r>
      <w:r>
        <w:rPr>
          <w:rFonts w:ascii="Book Antiqua"/>
          <w:rtl w:val="0"/>
          <w:lang w:val="it-IT"/>
        </w:rPr>
        <w:t>aggiunto il rapporto 4/2/2016 (</w:t>
      </w:r>
      <w:r>
        <w:rPr>
          <w:rFonts w:hAnsi="Book Antiqua" w:hint="default"/>
          <w:rtl w:val="0"/>
          <w:lang w:val="it-IT"/>
        </w:rPr>
        <w:t>“</w:t>
      </w:r>
      <w:r>
        <w:rPr>
          <w:rFonts w:ascii="Book Antiqua"/>
          <w:rtl w:val="0"/>
          <w:lang w:val="it-IT"/>
        </w:rPr>
        <w:t>Classification r</w:t>
      </w:r>
      <w:r>
        <w:rPr>
          <w:rFonts w:hAnsi="Book Antiqua" w:hint="default"/>
          <w:rtl w:val="0"/>
          <w:lang w:val="it-IT"/>
        </w:rPr>
        <w:t>é</w:t>
      </w:r>
      <w:r>
        <w:rPr>
          <w:rFonts w:ascii="Book Antiqua"/>
          <w:rtl w:val="0"/>
          <w:lang w:val="it-IT"/>
        </w:rPr>
        <w:t>glementaire des d</w:t>
      </w:r>
      <w:r>
        <w:rPr>
          <w:rFonts w:hAnsi="Book Antiqua" w:hint="default"/>
          <w:rtl w:val="0"/>
          <w:lang w:val="it-IT"/>
        </w:rPr>
        <w:t>é</w:t>
      </w:r>
      <w:r>
        <w:rPr>
          <w:rFonts w:ascii="Book Antiqua"/>
          <w:rtl w:val="0"/>
          <w:lang w:val="it-IT"/>
        </w:rPr>
        <w:t>chets. Guide d</w:t>
      </w:r>
      <w:r>
        <w:rPr>
          <w:rFonts w:hAnsi="Book Antiqua" w:hint="default"/>
          <w:rtl w:val="0"/>
          <w:lang w:val="it-IT"/>
        </w:rPr>
        <w:t>’</w:t>
      </w:r>
      <w:r>
        <w:rPr>
          <w:rFonts w:ascii="Book Antiqua"/>
          <w:rtl w:val="0"/>
          <w:lang w:val="it-IT"/>
        </w:rPr>
        <w:t>application pour la caract</w:t>
      </w:r>
      <w:r>
        <w:rPr>
          <w:rFonts w:hAnsi="Book Antiqua" w:hint="default"/>
          <w:rtl w:val="0"/>
          <w:lang w:val="it-IT"/>
        </w:rPr>
        <w:t>é</w:t>
      </w:r>
      <w:r>
        <w:rPr>
          <w:rFonts w:ascii="Book Antiqua"/>
          <w:rtl w:val="0"/>
          <w:lang w:val="it-IT"/>
        </w:rPr>
        <w:t>risation e dangerosit</w:t>
      </w:r>
      <w:r>
        <w:rPr>
          <w:rFonts w:hAnsi="Book Antiqua" w:hint="default"/>
          <w:rtl w:val="0"/>
          <w:lang w:val="it-IT"/>
        </w:rPr>
        <w:t>é”</w:t>
      </w:r>
      <w:r>
        <w:rPr>
          <w:rFonts w:ascii="Book Antiqua"/>
          <w:rtl w:val="0"/>
          <w:lang w:val="it-IT"/>
        </w:rPr>
        <w:t>), realizzato per il Ministero dell</w:t>
      </w:r>
      <w:r>
        <w:rPr>
          <w:rFonts w:hAnsi="Book Antiqua" w:hint="default"/>
          <w:rtl w:val="0"/>
          <w:lang w:val="it-IT"/>
        </w:rPr>
        <w:t>’</w:t>
      </w:r>
      <w:r>
        <w:rPr>
          <w:rFonts w:ascii="Book Antiqua"/>
          <w:rtl w:val="0"/>
          <w:lang w:val="it-IT"/>
        </w:rPr>
        <w:t>ecologia francese (MEDDE) sembrano, al contrario, stabilire precise metodologie per l</w:t>
      </w:r>
      <w:r>
        <w:rPr>
          <w:rFonts w:hAnsi="Book Antiqua" w:hint="default"/>
          <w:rtl w:val="0"/>
          <w:lang w:val="it-IT"/>
        </w:rPr>
        <w:t>’</w:t>
      </w:r>
      <w:r>
        <w:rPr>
          <w:rFonts w:ascii="Book Antiqua"/>
          <w:rtl w:val="0"/>
          <w:lang w:val="it-IT"/>
        </w:rPr>
        <w:t>individuazione delle caratteristiche di pericolosit</w:t>
      </w:r>
      <w:r>
        <w:rPr>
          <w:rFonts w:hAnsi="Book Antiqua" w:hint="default"/>
          <w:rtl w:val="0"/>
          <w:lang w:val="it-IT"/>
        </w:rPr>
        <w:t xml:space="preserve">à </w:t>
      </w:r>
      <w:r>
        <w:rPr>
          <w:rFonts w:ascii="Book Antiqua"/>
          <w:rtl w:val="0"/>
          <w:lang w:val="it-IT"/>
        </w:rPr>
        <w:t>del rifiuto</w:t>
      </w:r>
      <w:r>
        <w:rPr>
          <w:rFonts w:hAnsi="Book Antiqua" w:hint="default"/>
          <w:rtl w:val="0"/>
          <w:lang w:val="it-IT"/>
        </w:rPr>
        <w:t>”</w:t>
      </w:r>
      <w:r>
        <w:rPr>
          <w:rFonts w:ascii="Book Antiqua"/>
          <w:rtl w:val="0"/>
          <w:lang w:val="it-IT"/>
        </w:rPr>
        <w:t xml:space="preserve"> </w:t>
      </w:r>
    </w:p>
    <w:p>
      <w:pPr>
        <w:pStyle w:val="Normal"/>
        <w:shd w:val="clear" w:color="auto" w:fill="ffffff"/>
        <w:ind w:left="567" w:right="567" w:firstLine="0"/>
        <w:jc w:val="both"/>
        <w:rPr>
          <w:rFonts w:ascii="Book Antiqua" w:cs="Book Antiqua" w:hAnsi="Book Antiqua" w:eastAsia="Book Antiqua"/>
        </w:rPr>
      </w:pPr>
      <w:r>
        <w:rPr>
          <w:rFonts w:ascii="Book Antiqua"/>
          <w:rtl w:val="0"/>
          <w:lang w:val="it-IT"/>
        </w:rPr>
        <w:t>[</w:t>
      </w:r>
      <w:r>
        <w:rPr>
          <w:rFonts w:hAnsi="Book Antiqua" w:hint="default"/>
          <w:rtl w:val="0"/>
          <w:lang w:val="it-IT"/>
        </w:rPr>
        <w:t>…</w:t>
      </w:r>
      <w:r>
        <w:rPr>
          <w:rFonts w:ascii="Book Antiqua"/>
          <w:rtl w:val="0"/>
          <w:lang w:val="it-IT"/>
        </w:rPr>
        <w:t>]</w:t>
      </w:r>
      <w:r>
        <w:rPr>
          <w:rFonts w:ascii="Book Antiqua Bold"/>
          <w:b w:val="1"/>
          <w:bCs w:val="1"/>
          <w:rtl w:val="0"/>
          <w:lang w:val="it-IT"/>
        </w:rPr>
        <w:t xml:space="preserve"> </w:t>
      </w:r>
      <w:r>
        <w:rPr>
          <w:rFonts w:hAnsi="Book Antiqua" w:hint="default"/>
          <w:rtl w:val="0"/>
          <w:lang w:val="it-IT"/>
        </w:rPr>
        <w:t>“</w:t>
      </w:r>
      <w:r>
        <w:rPr>
          <w:rFonts w:ascii="Book Antiqua"/>
          <w:rtl w:val="0"/>
          <w:lang w:val="it-IT"/>
        </w:rPr>
        <w:t>Si impone pertanto, ad avviso del Collegio, stante l</w:t>
      </w:r>
      <w:r>
        <w:rPr>
          <w:rFonts w:hAnsi="Book Antiqua" w:hint="default"/>
          <w:rtl w:val="0"/>
          <w:lang w:val="it-IT"/>
        </w:rPr>
        <w:t>’</w:t>
      </w:r>
      <w:r>
        <w:rPr>
          <w:rFonts w:ascii="Book Antiqua"/>
          <w:rtl w:val="0"/>
          <w:lang w:val="it-IT"/>
        </w:rPr>
        <w:t xml:space="preserve">incidenza della questione sul profilo del </w:t>
      </w:r>
      <w:r>
        <w:rPr>
          <w:rFonts w:ascii="Book Antiqua"/>
          <w:i w:val="1"/>
          <w:iCs w:val="1"/>
          <w:rtl w:val="0"/>
          <w:lang w:val="it-IT"/>
        </w:rPr>
        <w:t>fumus commissi delicti</w:t>
      </w:r>
      <w:r>
        <w:rPr>
          <w:rFonts w:ascii="Book Antiqua"/>
          <w:rtl w:val="0"/>
          <w:lang w:val="it-IT"/>
        </w:rPr>
        <w:t>, il rinvio pregiudiziale alla Corte di giustizia secondo quanto previsto dall</w:t>
      </w:r>
      <w:r>
        <w:rPr>
          <w:rFonts w:hAnsi="Book Antiqua" w:hint="default"/>
          <w:rtl w:val="0"/>
          <w:lang w:val="it-IT"/>
        </w:rPr>
        <w:t xml:space="preserve">’ </w:t>
      </w:r>
      <w:r>
        <w:rPr>
          <w:rFonts w:ascii="Book Antiqua"/>
          <w:rtl w:val="0"/>
          <w:lang w:val="it-IT"/>
        </w:rPr>
        <w:t>articolo 267 del T.F.U.E. (che, come noto, prevede, salve le deroghe individuate appunto dalla stessa Corte di giustizia, un obbligo in tal senso a carico dell</w:t>
      </w:r>
      <w:r>
        <w:rPr>
          <w:rFonts w:hAnsi="Book Antiqua" w:hint="default"/>
          <w:rtl w:val="0"/>
          <w:lang w:val="it-IT"/>
        </w:rPr>
        <w:t>’</w:t>
      </w:r>
      <w:r>
        <w:rPr>
          <w:rFonts w:ascii="Book Antiqua"/>
          <w:rtl w:val="0"/>
          <w:lang w:val="it-IT"/>
        </w:rPr>
        <w:t>organo giurisdizionale di ultima istanza).</w:t>
      </w:r>
      <w:r>
        <w:rPr>
          <w:rFonts w:ascii="Book Antiqua" w:cs="Book Antiqua" w:hAnsi="Book Antiqua" w:eastAsia="Book Antiqua"/>
          <w:rtl w:val="0"/>
        </w:rPr>
        <w:br w:type="textWrapping"/>
      </w:r>
      <w:r>
        <w:rPr>
          <w:rFonts w:ascii="Book Antiqua"/>
          <w:rtl w:val="0"/>
          <w:lang w:val="it-IT"/>
        </w:rPr>
        <w:t>Sussistendo, in definitiva, un ragionevole dubbio circa l</w:t>
      </w:r>
      <w:r>
        <w:rPr>
          <w:rFonts w:hAnsi="Book Antiqua" w:hint="default"/>
          <w:rtl w:val="0"/>
          <w:lang w:val="it-IT"/>
        </w:rPr>
        <w:t>’</w:t>
      </w:r>
      <w:r>
        <w:rPr>
          <w:rFonts w:ascii="Book Antiqua"/>
          <w:rtl w:val="0"/>
          <w:lang w:val="it-IT"/>
        </w:rPr>
        <w:t>ambito di operativit</w:t>
      </w:r>
      <w:r>
        <w:rPr>
          <w:rFonts w:hAnsi="Book Antiqua" w:hint="default"/>
          <w:rtl w:val="0"/>
          <w:lang w:val="it-IT"/>
        </w:rPr>
        <w:t xml:space="preserve">à </w:t>
      </w:r>
      <w:r>
        <w:rPr>
          <w:rFonts w:ascii="Book Antiqua"/>
          <w:rtl w:val="0"/>
          <w:lang w:val="it-IT"/>
        </w:rPr>
        <w:t>delle disposizioni comunitarie che l</w:t>
      </w:r>
      <w:r>
        <w:rPr>
          <w:rFonts w:hAnsi="Book Antiqua" w:hint="default"/>
          <w:rtl w:val="0"/>
          <w:lang w:val="it-IT"/>
        </w:rPr>
        <w:t>’</w:t>
      </w:r>
      <w:r>
        <w:rPr>
          <w:rFonts w:ascii="Book Antiqua"/>
          <w:rtl w:val="0"/>
          <w:lang w:val="it-IT"/>
        </w:rPr>
        <w:t>ultimo intervento del legislatore nazionale espressamente richiama, ritiene il Collegio che il presente processo sia sospeso, rimettendo gli atti alla Corte di giustizia affinch</w:t>
      </w:r>
      <w:r>
        <w:rPr>
          <w:rFonts w:hAnsi="Book Antiqua" w:hint="default"/>
          <w:rtl w:val="0"/>
          <w:lang w:val="it-IT"/>
        </w:rPr>
        <w:t xml:space="preserve">é </w:t>
      </w:r>
      <w:r>
        <w:rPr>
          <w:rFonts w:ascii="Book Antiqua"/>
          <w:rtl w:val="0"/>
          <w:lang w:val="it-IT"/>
        </w:rPr>
        <w:t>si pronunci sui seguenti quesiti:</w:t>
      </w:r>
    </w:p>
    <w:p>
      <w:pPr>
        <w:pStyle w:val="Normal"/>
        <w:shd w:val="clear" w:color="auto" w:fill="ffffff"/>
        <w:ind w:left="567" w:right="567" w:firstLine="0"/>
        <w:jc w:val="both"/>
        <w:rPr>
          <w:rFonts w:ascii="Book Antiqua" w:cs="Book Antiqua" w:hAnsi="Book Antiqua" w:eastAsia="Book Antiqua"/>
        </w:rPr>
      </w:pPr>
      <w:r>
        <w:rPr>
          <w:rFonts w:ascii="Book Antiqua"/>
          <w:rtl w:val="0"/>
          <w:lang w:val="it-IT"/>
        </w:rPr>
        <w:t>a) Se l</w:t>
      </w:r>
      <w:r>
        <w:rPr>
          <w:rFonts w:hAnsi="Book Antiqua" w:hint="default"/>
          <w:rtl w:val="0"/>
          <w:lang w:val="it-IT"/>
        </w:rPr>
        <w:t>’</w:t>
      </w:r>
      <w:r>
        <w:rPr>
          <w:rFonts w:ascii="Book Antiqua"/>
          <w:rtl w:val="0"/>
          <w:lang w:val="it-IT"/>
        </w:rPr>
        <w:t xml:space="preserve">allegato alla Decisione 2014/955/UE ed il Regolamento UE n. 1357/2014 vadano o meno interpretati, con riferimento alla classificazione dei rifiuti con voci speculari, nel senso che il produttore del rifiuto, quando non ne </w:t>
      </w:r>
      <w:r>
        <w:rPr>
          <w:rFonts w:hAnsi="Book Antiqua" w:hint="default"/>
          <w:rtl w:val="0"/>
          <w:lang w:val="it-IT"/>
        </w:rPr>
        <w:t xml:space="preserve">è </w:t>
      </w:r>
      <w:r>
        <w:rPr>
          <w:rFonts w:ascii="Book Antiqua"/>
          <w:rtl w:val="0"/>
          <w:lang w:val="it-IT"/>
        </w:rPr>
        <w:t>nota la composizione, debba procedere alla previa caratterizzazione ed in quali eventuali limiti;</w:t>
      </w:r>
    </w:p>
    <w:p>
      <w:pPr>
        <w:pStyle w:val="Normal"/>
        <w:shd w:val="clear" w:color="auto" w:fill="ffffff"/>
        <w:ind w:left="567" w:right="567" w:firstLine="0"/>
        <w:jc w:val="both"/>
        <w:rPr>
          <w:rFonts w:ascii="Book Antiqua" w:cs="Book Antiqua" w:hAnsi="Book Antiqua" w:eastAsia="Book Antiqua"/>
        </w:rPr>
      </w:pPr>
      <w:r>
        <w:rPr>
          <w:rFonts w:ascii="Book Antiqua"/>
          <w:rtl w:val="0"/>
          <w:lang w:val="it-IT"/>
        </w:rPr>
        <w:t>b) Se la ricerca delle sostanze pericolose debba essere fatta in base a metodiche uniformi predeterminate;</w:t>
      </w:r>
    </w:p>
    <w:p>
      <w:pPr>
        <w:pStyle w:val="Normal"/>
        <w:shd w:val="clear" w:color="auto" w:fill="ffffff"/>
        <w:ind w:left="567" w:right="567" w:firstLine="0"/>
        <w:jc w:val="both"/>
        <w:rPr>
          <w:rFonts w:ascii="Book Antiqua" w:cs="Book Antiqua" w:hAnsi="Book Antiqua" w:eastAsia="Book Antiqua"/>
        </w:rPr>
      </w:pPr>
      <w:r>
        <w:rPr>
          <w:rFonts w:ascii="Book Antiqua"/>
          <w:rtl w:val="0"/>
          <w:lang w:val="it-IT"/>
        </w:rPr>
        <w:t>c) Se la ricerca delle sostanze pericolose debba basarsi su una verifica accurata e rappresentativa che tenga conto della composizione del rifiuto, se gi</w:t>
      </w:r>
      <w:r>
        <w:rPr>
          <w:rFonts w:hAnsi="Book Antiqua" w:hint="default"/>
          <w:rtl w:val="0"/>
          <w:lang w:val="it-IT"/>
        </w:rPr>
        <w:t xml:space="preserve">à </w:t>
      </w:r>
      <w:r>
        <w:rPr>
          <w:rFonts w:ascii="Book Antiqua"/>
          <w:rtl w:val="0"/>
          <w:lang w:val="it-IT"/>
        </w:rPr>
        <w:t>nota o individuata in fase di caratterizzazione, o se invece la ricerca delle sostanze pericolose possa essere effettuata secondo criteri probabilistici considerando quelle che potrebbero essere ragionevolmente presenti nel rifiuto</w:t>
      </w:r>
    </w:p>
    <w:p>
      <w:pPr>
        <w:pStyle w:val="Normal"/>
        <w:shd w:val="clear" w:color="auto" w:fill="ffffff"/>
        <w:ind w:left="567" w:right="567" w:firstLine="0"/>
        <w:jc w:val="both"/>
        <w:rPr>
          <w:rFonts w:ascii="Book Antiqua" w:cs="Book Antiqua" w:hAnsi="Book Antiqua" w:eastAsia="Book Antiqua"/>
        </w:rPr>
      </w:pPr>
      <w:r>
        <w:rPr>
          <w:rFonts w:ascii="Book Antiqua"/>
          <w:rtl w:val="0"/>
          <w:lang w:val="it-IT"/>
        </w:rPr>
        <w:t>d) Se, nel dubbio o nell</w:t>
      </w:r>
      <w:r>
        <w:rPr>
          <w:rFonts w:hAnsi="Book Antiqua" w:hint="default"/>
          <w:rtl w:val="0"/>
          <w:lang w:val="it-IT"/>
        </w:rPr>
        <w:t>’</w:t>
      </w:r>
      <w:r>
        <w:rPr>
          <w:rFonts w:ascii="Book Antiqua"/>
          <w:rtl w:val="0"/>
          <w:lang w:val="it-IT"/>
        </w:rPr>
        <w:t>impossibilit</w:t>
      </w:r>
      <w:r>
        <w:rPr>
          <w:rFonts w:hAnsi="Book Antiqua" w:hint="default"/>
          <w:rtl w:val="0"/>
          <w:lang w:val="it-IT"/>
        </w:rPr>
        <w:t xml:space="preserve">à </w:t>
      </w:r>
      <w:r>
        <w:rPr>
          <w:rFonts w:ascii="Book Antiqua"/>
          <w:rtl w:val="0"/>
          <w:lang w:val="it-IT"/>
        </w:rPr>
        <w:t>di provvedere con certezza all</w:t>
      </w:r>
      <w:r>
        <w:rPr>
          <w:rFonts w:hAnsi="Book Antiqua" w:hint="default"/>
          <w:rtl w:val="0"/>
          <w:lang w:val="it-IT"/>
        </w:rPr>
        <w:t>’</w:t>
      </w:r>
      <w:r>
        <w:rPr>
          <w:rFonts w:ascii="Book Antiqua"/>
          <w:rtl w:val="0"/>
          <w:lang w:val="it-IT"/>
        </w:rPr>
        <w:t>individuazione della presenza o meno delle sostanze pericolose nel rifiuto, questo debba o meno essere comunque classificato e trattato come rifiuto pericoloso in applicazione del principio di precauzione</w:t>
      </w:r>
      <w:r>
        <w:rPr>
          <w:rFonts w:hAnsi="Book Antiqua" w:hint="default"/>
          <w:rtl w:val="0"/>
          <w:lang w:val="it-IT"/>
        </w:rPr>
        <w:t>”</w:t>
      </w:r>
      <w:r>
        <w:rPr>
          <w:rFonts w:ascii="Book Antiqua"/>
          <w:rtl w:val="0"/>
          <w:lang w:val="it-IT"/>
        </w:rPr>
        <w:t>.</w:t>
      </w:r>
    </w:p>
    <w:p>
      <w:pPr>
        <w:pStyle w:val="Normal"/>
        <w:shd w:val="clear" w:color="auto" w:fill="ffffff"/>
        <w:ind w:left="567" w:right="567" w:firstLine="0"/>
        <w:jc w:val="both"/>
        <w:rPr>
          <w:rFonts w:ascii="Book Antiqua" w:cs="Book Antiqua" w:hAnsi="Book Antiqua" w:eastAsia="Book Antiqua"/>
        </w:rPr>
      </w:pPr>
      <w:r>
        <w:rPr>
          <w:rFonts w:ascii="Book Antiqua"/>
          <w:rtl w:val="0"/>
          <w:lang w:val="it-IT"/>
        </w:rPr>
        <w:t>Allo stato, quindi, pur in assenza di vincoli formali estrinseci, sarebbe opportuno astenersi da ulteriori interventi legislativi o regolamentari, in attesa della pronuncia della Corte europea il cui dettato dovr</w:t>
      </w:r>
      <w:r>
        <w:rPr>
          <w:rFonts w:hAnsi="Book Antiqua" w:hint="default"/>
          <w:rtl w:val="0"/>
          <w:lang w:val="it-IT"/>
        </w:rPr>
        <w:t xml:space="preserve">à </w:t>
      </w:r>
      <w:r>
        <w:rPr>
          <w:rFonts w:ascii="Book Antiqua"/>
          <w:rtl w:val="0"/>
          <w:lang w:val="it-IT"/>
        </w:rPr>
        <w:t>obbligatoriamente essere applicato dai funzionari e dai giudici italiani.</w:t>
      </w:r>
    </w:p>
    <w:p>
      <w:pPr>
        <w:pStyle w:val="Normal"/>
        <w:ind w:left="567" w:firstLine="0"/>
        <w:rPr>
          <w:rFonts w:ascii="Book Antiqua" w:cs="Book Antiqua" w:hAnsi="Book Antiqua" w:eastAsia="Book Antiqua"/>
          <w:sz w:val="20"/>
          <w:szCs w:val="20"/>
        </w:rPr>
      </w:pPr>
    </w:p>
    <w:p>
      <w:pPr>
        <w:pStyle w:val="Normal"/>
        <w:ind w:left="567" w:right="567" w:firstLine="0"/>
        <w:jc w:val="both"/>
        <w:rPr>
          <w:rFonts w:ascii="Book Antiqua" w:cs="Book Antiqua" w:hAnsi="Book Antiqua" w:eastAsia="Book Antiqua"/>
          <w:sz w:val="28"/>
          <w:szCs w:val="28"/>
        </w:rPr>
      </w:pPr>
    </w:p>
    <w:p>
      <w:pPr>
        <w:pStyle w:val="List Paragraph"/>
        <w:numPr>
          <w:ilvl w:val="1"/>
          <w:numId w:val="156"/>
        </w:numPr>
        <w:tabs>
          <w:tab w:val="num" w:pos="688"/>
          <w:tab w:val="clear" w:pos="567"/>
        </w:tabs>
        <w:bidi w:val="0"/>
        <w:ind w:left="547" w:right="567" w:firstLine="20"/>
        <w:jc w:val="both"/>
        <w:rPr>
          <w:rFonts w:ascii="Book Antiqua" w:cs="Book Antiqua" w:hAnsi="Book Antiqua" w:eastAsia="Book Antiqua"/>
          <w:position w:val="0"/>
          <w:sz w:val="28"/>
          <w:szCs w:val="28"/>
          <w:rtl w:val="0"/>
        </w:rPr>
      </w:pPr>
      <w:r>
        <w:rPr>
          <w:rFonts w:ascii="Book Antiqua"/>
          <w:sz w:val="28"/>
          <w:szCs w:val="28"/>
          <w:rtl w:val="0"/>
          <w:lang w:val="it-IT"/>
        </w:rPr>
        <w:t>Fenomeni illeciti diffusi</w:t>
      </w:r>
    </w:p>
    <w:p>
      <w:pPr>
        <w:pStyle w:val="Normal"/>
        <w:ind w:left="567" w:right="567" w:firstLine="0"/>
        <w:jc w:val="both"/>
        <w:rPr>
          <w:rFonts w:ascii="Book Antiqua" w:cs="Book Antiqua" w:hAnsi="Book Antiqua" w:eastAsia="Book Antiqua"/>
          <w:sz w:val="28"/>
          <w:szCs w:val="28"/>
        </w:rPr>
      </w:pPr>
    </w:p>
    <w:p>
      <w:pPr>
        <w:pStyle w:val="Normal"/>
        <w:ind w:left="567" w:right="567" w:firstLine="0"/>
        <w:jc w:val="both"/>
        <w:rPr>
          <w:rFonts w:ascii="Book Antiqua" w:cs="Book Antiqua" w:hAnsi="Book Antiqua" w:eastAsia="Book Antiqua"/>
          <w:i w:val="1"/>
          <w:iCs w:val="1"/>
        </w:rPr>
      </w:pPr>
      <w:r>
        <w:rPr>
          <w:rFonts w:ascii="Book Antiqua"/>
          <w:i w:val="1"/>
          <w:iCs w:val="1"/>
          <w:rtl w:val="0"/>
          <w:lang w:val="it-IT"/>
        </w:rPr>
        <w:t xml:space="preserve">Incendi di rifiuti </w:t>
      </w:r>
    </w:p>
    <w:p>
      <w:pPr>
        <w:pStyle w:val="List Paragraph"/>
        <w:ind w:left="567" w:right="567" w:firstLine="0"/>
        <w:jc w:val="both"/>
        <w:rPr>
          <w:rFonts w:ascii="Book Antiqua" w:cs="Book Antiqua" w:hAnsi="Book Antiqua" w:eastAsia="Book Antiqua"/>
        </w:rPr>
      </w:pPr>
    </w:p>
    <w:p>
      <w:pPr>
        <w:pStyle w:val="List Paragraph"/>
        <w:ind w:left="567" w:right="567" w:firstLine="0"/>
        <w:jc w:val="both"/>
        <w:rPr>
          <w:rFonts w:ascii="Book Antiqua" w:cs="Book Antiqua" w:hAnsi="Book Antiqua" w:eastAsia="Book Antiqua"/>
        </w:rPr>
      </w:pPr>
      <w:r>
        <w:rPr>
          <w:rFonts w:ascii="Book Antiqua"/>
          <w:rtl w:val="0"/>
          <w:lang w:val="it-IT"/>
        </w:rPr>
        <w:t xml:space="preserve">La situazione del Lazio </w:t>
      </w:r>
      <w:r>
        <w:rPr>
          <w:rFonts w:hAnsi="Book Antiqua" w:hint="default"/>
          <w:rtl w:val="0"/>
          <w:lang w:val="it-IT"/>
        </w:rPr>
        <w:t xml:space="preserve">è </w:t>
      </w:r>
      <w:r>
        <w:rPr>
          <w:rFonts w:ascii="Book Antiqua"/>
          <w:rtl w:val="0"/>
          <w:lang w:val="it-IT"/>
        </w:rPr>
        <w:t>caratterizzata da alcuni fenomeni illeciti diffusi che non comportano presenze criminali strutturate o quantomeno oggetto come tali di indagini rese note alla Commissione, e che sono tuttavia da segnalare in quanto meritevoli di attenzione sia per l</w:t>
      </w:r>
      <w:r>
        <w:rPr>
          <w:rFonts w:hAnsi="Book Antiqua" w:hint="default"/>
          <w:rtl w:val="0"/>
          <w:lang w:val="it-IT"/>
        </w:rPr>
        <w:t>’</w:t>
      </w:r>
      <w:r>
        <w:rPr>
          <w:rFonts w:ascii="Book Antiqua"/>
          <w:rtl w:val="0"/>
          <w:lang w:val="it-IT"/>
        </w:rPr>
        <w:t>impatto negativo sull</w:t>
      </w:r>
      <w:r>
        <w:rPr>
          <w:rFonts w:hAnsi="Book Antiqua" w:hint="default"/>
          <w:rtl w:val="0"/>
          <w:lang w:val="it-IT"/>
        </w:rPr>
        <w:t>’</w:t>
      </w:r>
      <w:r>
        <w:rPr>
          <w:rFonts w:ascii="Book Antiqua"/>
          <w:rtl w:val="0"/>
          <w:lang w:val="it-IT"/>
        </w:rPr>
        <w:t>ambiente che gi</w:t>
      </w:r>
      <w:r>
        <w:rPr>
          <w:rFonts w:hAnsi="Book Antiqua" w:hint="default"/>
          <w:rtl w:val="0"/>
          <w:lang w:val="it-IT"/>
        </w:rPr>
        <w:t xml:space="preserve">à </w:t>
      </w:r>
      <w:r>
        <w:rPr>
          <w:rFonts w:ascii="Book Antiqua"/>
          <w:rtl w:val="0"/>
          <w:lang w:val="it-IT"/>
        </w:rPr>
        <w:t>realizzano, sia per la possibilit</w:t>
      </w:r>
      <w:r>
        <w:rPr>
          <w:rFonts w:hAnsi="Book Antiqua" w:hint="default"/>
          <w:rtl w:val="0"/>
          <w:lang w:val="it-IT"/>
        </w:rPr>
        <w:t xml:space="preserve">à </w:t>
      </w:r>
      <w:r>
        <w:rPr>
          <w:rFonts w:ascii="Book Antiqua"/>
          <w:rtl w:val="0"/>
          <w:lang w:val="it-IT"/>
        </w:rPr>
        <w:t>che diano adito a quegli interessi criminali.</w:t>
      </w:r>
    </w:p>
    <w:p>
      <w:pPr>
        <w:pStyle w:val="List Paragraph"/>
        <w:ind w:left="567" w:right="567" w:firstLine="0"/>
        <w:jc w:val="both"/>
        <w:rPr>
          <w:rFonts w:ascii="Book Antiqua" w:cs="Book Antiqua" w:hAnsi="Book Antiqua" w:eastAsia="Book Antiqua"/>
        </w:rPr>
      </w:pPr>
      <w:r>
        <w:rPr>
          <w:rFonts w:ascii="Book Antiqua"/>
          <w:rtl w:val="0"/>
          <w:lang w:val="it-IT"/>
        </w:rPr>
        <w:t xml:space="preserve">Un primo fenomeno rilevante </w:t>
      </w:r>
      <w:r>
        <w:rPr>
          <w:rFonts w:hAnsi="Book Antiqua" w:hint="default"/>
          <w:rtl w:val="0"/>
          <w:lang w:val="it-IT"/>
        </w:rPr>
        <w:t xml:space="preserve">è </w:t>
      </w:r>
      <w:r>
        <w:rPr>
          <w:rFonts w:ascii="Book Antiqua"/>
          <w:rtl w:val="0"/>
          <w:lang w:val="it-IT"/>
        </w:rPr>
        <w:t>quello della combustione illecita di rifiuti e dei cosiddetti</w:t>
      </w:r>
      <w:r>
        <w:rPr>
          <w:rFonts w:hAnsi="Book Antiqua" w:hint="default"/>
          <w:rtl w:val="0"/>
          <w:lang w:val="it-IT"/>
        </w:rPr>
        <w:t xml:space="preserve"> “</w:t>
      </w:r>
      <w:r>
        <w:rPr>
          <w:rFonts w:ascii="Book Antiqua"/>
          <w:rtl w:val="0"/>
          <w:lang w:val="it-IT"/>
        </w:rPr>
        <w:t>roghi tossici</w:t>
      </w:r>
      <w:r>
        <w:rPr>
          <w:rFonts w:hAnsi="Book Antiqua" w:hint="default"/>
          <w:rtl w:val="0"/>
          <w:lang w:val="it-IT"/>
        </w:rPr>
        <w:t>”</w:t>
      </w:r>
      <w:r>
        <w:rPr>
          <w:rFonts w:ascii="Book Antiqua"/>
          <w:rtl w:val="0"/>
          <w:lang w:val="it-IT"/>
        </w:rPr>
        <w:t>.</w:t>
      </w:r>
    </w:p>
    <w:p>
      <w:pPr>
        <w:pStyle w:val="Normal (Web)"/>
        <w:spacing w:before="0" w:after="0"/>
        <w:ind w:left="567" w:right="567" w:firstLine="0"/>
        <w:jc w:val="both"/>
        <w:rPr>
          <w:rFonts w:ascii="Book Antiqua" w:cs="Book Antiqua" w:hAnsi="Book Antiqua" w:eastAsia="Book Antiqua"/>
        </w:rPr>
      </w:pPr>
      <w:r>
        <w:rPr>
          <w:rFonts w:ascii="Book Antiqua"/>
          <w:rtl w:val="0"/>
          <w:lang w:val="it-IT"/>
        </w:rPr>
        <w:t>Fino al 2013, la combustione illecita di rifiuti rientrava nell</w:t>
      </w:r>
      <w:r>
        <w:rPr>
          <w:rFonts w:hAnsi="Book Antiqua" w:hint="default"/>
          <w:rtl w:val="0"/>
          <w:lang w:val="it-IT"/>
        </w:rPr>
        <w:t>’</w:t>
      </w:r>
      <w:r>
        <w:rPr>
          <w:rFonts w:ascii="Book Antiqua"/>
          <w:rtl w:val="0"/>
          <w:lang w:val="it-IT"/>
        </w:rPr>
        <w:t>ambito del divieto generale di smaltimento (anche attraverso combustione) non autorizzato di rifiuti sanzionato, come contravvenzione, dall</w:t>
      </w:r>
      <w:r>
        <w:rPr>
          <w:rFonts w:hAnsi="Book Antiqua" w:hint="default"/>
          <w:rtl w:val="0"/>
          <w:lang w:val="it-IT"/>
        </w:rPr>
        <w:t>’</w:t>
      </w:r>
      <w:r>
        <w:rPr>
          <w:rFonts w:ascii="Book Antiqua"/>
          <w:rtl w:val="0"/>
          <w:lang w:val="it-IT"/>
        </w:rPr>
        <w:t>articolo 256 del decreto legislativo n. 152 del 2006 con le sanzioni dell</w:t>
      </w:r>
      <w:r>
        <w:rPr>
          <w:rFonts w:hAnsi="Book Antiqua" w:hint="default"/>
          <w:rtl w:val="0"/>
          <w:lang w:val="it-IT"/>
        </w:rPr>
        <w:t>’</w:t>
      </w:r>
      <w:r>
        <w:rPr>
          <w:rFonts w:ascii="Book Antiqua"/>
          <w:rtl w:val="0"/>
          <w:lang w:val="it-IT"/>
        </w:rPr>
        <w:t>arresto e/o dell</w:t>
      </w:r>
      <w:r>
        <w:rPr>
          <w:rFonts w:hAnsi="Book Antiqua" w:hint="default"/>
          <w:rtl w:val="0"/>
          <w:lang w:val="it-IT"/>
        </w:rPr>
        <w:t>’</w:t>
      </w:r>
      <w:r>
        <w:rPr>
          <w:rFonts w:ascii="Book Antiqua"/>
          <w:rtl w:val="0"/>
          <w:lang w:val="it-IT"/>
        </w:rPr>
        <w:t>ammenda.</w:t>
      </w:r>
    </w:p>
    <w:p>
      <w:pPr>
        <w:pStyle w:val="Normal"/>
        <w:ind w:left="567" w:right="567" w:firstLine="0"/>
        <w:jc w:val="both"/>
        <w:rPr>
          <w:rFonts w:ascii="Book Antiqua" w:cs="Book Antiqua" w:hAnsi="Book Antiqua" w:eastAsia="Book Antiqua"/>
        </w:rPr>
      </w:pPr>
      <w:r>
        <w:rPr>
          <w:rFonts w:ascii="Book Antiqua"/>
          <w:rtl w:val="0"/>
          <w:lang w:val="it-IT"/>
        </w:rPr>
        <w:t>Tuttavia, di fronte alla gravit</w:t>
      </w:r>
      <w:r>
        <w:rPr>
          <w:rFonts w:hAnsi="Book Antiqua" w:hint="default"/>
          <w:rtl w:val="0"/>
          <w:lang w:val="it-IT"/>
        </w:rPr>
        <w:t xml:space="preserve">à </w:t>
      </w:r>
      <w:r>
        <w:rPr>
          <w:rFonts w:ascii="Book Antiqua"/>
          <w:rtl w:val="0"/>
          <w:lang w:val="it-IT"/>
        </w:rPr>
        <w:t xml:space="preserve">del fenomeno nella cosiddetta </w:t>
      </w:r>
      <w:r>
        <w:rPr>
          <w:rFonts w:hAnsi="Book Antiqua" w:hint="default"/>
          <w:rtl w:val="0"/>
          <w:lang w:val="it-IT"/>
        </w:rPr>
        <w:t>“</w:t>
      </w:r>
      <w:r>
        <w:rPr>
          <w:rFonts w:ascii="Book Antiqua"/>
          <w:rtl w:val="0"/>
          <w:lang w:val="it-IT"/>
        </w:rPr>
        <w:t>Terra dei fuochi</w:t>
      </w:r>
      <w:r>
        <w:rPr>
          <w:rFonts w:hAnsi="Book Antiqua" w:hint="default"/>
          <w:rtl w:val="0"/>
          <w:lang w:val="it-IT"/>
        </w:rPr>
        <w:t>”</w:t>
      </w:r>
      <w:r>
        <w:rPr>
          <w:rFonts w:ascii="Book Antiqua"/>
          <w:rtl w:val="0"/>
          <w:lang w:val="it-IT"/>
        </w:rPr>
        <w:t>, il legislatore riteneva questa disciplina una "risposta sanzionatoria inadeguata a fronte dei concreti rischi di contaminazione delle matrici ambientali e pregiudizio per la salute umana che le emissioni prodotte dalle combustioni dei rifiuti sono suscettibili di produrre"</w:t>
      </w:r>
      <w:r>
        <w:rPr>
          <w:rFonts w:ascii="Book Antiqua"/>
          <w:i w:val="1"/>
          <w:iCs w:val="1"/>
          <w:rtl w:val="0"/>
          <w:lang w:val="it-IT"/>
        </w:rPr>
        <w:t xml:space="preserve">; </w:t>
      </w:r>
      <w:r>
        <w:rPr>
          <w:rFonts w:ascii="Book Antiqua"/>
          <w:rtl w:val="0"/>
          <w:lang w:val="it-IT"/>
        </w:rPr>
        <w:t>e pertanto interveniva introducendo, prima della legge 22 maggio 2015, n. 68, nel decreto legislativo n. 152 del 2006 (dopo quello di traffico illecito di rifiuti) il (secondo) delitto contro l</w:t>
      </w:r>
      <w:r>
        <w:rPr>
          <w:rFonts w:hAnsi="Book Antiqua" w:hint="default"/>
          <w:rtl w:val="0"/>
          <w:lang w:val="it-IT"/>
        </w:rPr>
        <w:t>’</w:t>
      </w:r>
      <w:r>
        <w:rPr>
          <w:rFonts w:ascii="Book Antiqua"/>
          <w:rtl w:val="0"/>
          <w:lang w:val="it-IT"/>
        </w:rPr>
        <w:t>ambiente, e cio</w:t>
      </w:r>
      <w:r>
        <w:rPr>
          <w:rFonts w:hAnsi="Book Antiqua" w:hint="default"/>
          <w:rtl w:val="0"/>
          <w:lang w:val="it-IT"/>
        </w:rPr>
        <w:t xml:space="preserve">è </w:t>
      </w:r>
      <w:r>
        <w:rPr>
          <w:rFonts w:ascii="Book Antiqua"/>
          <w:rtl w:val="0"/>
          <w:lang w:val="it-IT"/>
        </w:rPr>
        <w:t>quello della  "combustione illecita di rifiuti"</w:t>
      </w:r>
      <w:r>
        <w:rPr>
          <w:rFonts w:ascii="Book Antiqua" w:cs="Book Antiqua" w:hAnsi="Book Antiqua" w:eastAsia="Book Antiqua"/>
          <w:vertAlign w:val="superscript"/>
          <w:rtl w:val="0"/>
        </w:rPr>
        <w:footnoteReference w:id="262"/>
      </w:r>
      <w:r>
        <w:rPr>
          <w:rFonts w:ascii="Book Antiqua"/>
          <w:rtl w:val="0"/>
          <w:lang w:val="it-IT"/>
        </w:rPr>
        <w:t>.</w:t>
      </w:r>
    </w:p>
    <w:p>
      <w:pPr>
        <w:pStyle w:val="Normal (Web)"/>
        <w:spacing w:before="0" w:after="0"/>
        <w:ind w:left="567" w:right="567" w:firstLine="0"/>
        <w:jc w:val="both"/>
        <w:rPr>
          <w:rFonts w:ascii="Book Antiqua" w:cs="Book Antiqua" w:hAnsi="Book Antiqua" w:eastAsia="Book Antiqua"/>
        </w:rPr>
      </w:pPr>
      <w:r>
        <w:rPr>
          <w:rFonts w:ascii="Book Antiqua"/>
          <w:rtl w:val="0"/>
          <w:lang w:val="it-IT"/>
        </w:rPr>
        <w:t xml:space="preserve">Nel nuovo articolo 256-bis del </w:t>
      </w:r>
      <w:r>
        <w:rPr>
          <w:rFonts w:ascii="Book Antiqua"/>
          <w:sz w:val="22"/>
          <w:szCs w:val="22"/>
          <w:rtl w:val="0"/>
          <w:lang w:val="it-IT"/>
        </w:rPr>
        <w:t>decreto legislativo n.</w:t>
      </w:r>
      <w:r>
        <w:rPr>
          <w:rFonts w:ascii="Book Antiqua"/>
          <w:rtl w:val="0"/>
          <w:lang w:val="it-IT"/>
        </w:rPr>
        <w:t xml:space="preserve"> 152 del 2006 si configurano tre nuovi delitti:</w:t>
      </w:r>
    </w:p>
    <w:p>
      <w:pPr>
        <w:pStyle w:val="Normal (Web)"/>
        <w:spacing w:before="0" w:after="0"/>
        <w:ind w:left="567" w:right="567" w:firstLine="0"/>
        <w:jc w:val="both"/>
        <w:rPr>
          <w:rFonts w:ascii="Book Antiqua" w:cs="Book Antiqua" w:hAnsi="Book Antiqua" w:eastAsia="Book Antiqua"/>
        </w:rPr>
      </w:pPr>
      <w:r>
        <w:rPr>
          <w:rFonts w:ascii="Book Antiqua"/>
          <w:rtl w:val="0"/>
          <w:lang w:val="it-IT"/>
        </w:rPr>
        <w:t>1) la combustione illecita di rifiuti (comma 1);</w:t>
      </w:r>
    </w:p>
    <w:p>
      <w:pPr>
        <w:pStyle w:val="Normal (Web)"/>
        <w:spacing w:before="0" w:after="0"/>
        <w:ind w:left="567" w:right="567" w:firstLine="0"/>
        <w:jc w:val="both"/>
        <w:rPr>
          <w:rFonts w:ascii="Book Antiqua" w:cs="Book Antiqua" w:hAnsi="Book Antiqua" w:eastAsia="Book Antiqua"/>
        </w:rPr>
      </w:pPr>
      <w:r>
        <w:rPr>
          <w:rFonts w:ascii="Book Antiqua"/>
          <w:rtl w:val="0"/>
          <w:lang w:val="it-IT"/>
        </w:rPr>
        <w:t>2) la combustione illecita di rifiuti pericolosi (comma 1);</w:t>
      </w:r>
    </w:p>
    <w:p>
      <w:pPr>
        <w:pStyle w:val="Normal (Web)"/>
        <w:spacing w:before="0" w:after="0"/>
        <w:ind w:left="567" w:right="567" w:firstLine="0"/>
        <w:jc w:val="both"/>
        <w:rPr>
          <w:rFonts w:ascii="Book Antiqua" w:cs="Book Antiqua" w:hAnsi="Book Antiqua" w:eastAsia="Book Antiqua"/>
        </w:rPr>
      </w:pPr>
      <w:r>
        <w:rPr>
          <w:rFonts w:ascii="Book Antiqua"/>
          <w:rtl w:val="0"/>
          <w:lang w:val="it-IT"/>
        </w:rPr>
        <w:t>3) l'abbandono, il deposito incontrollato, la raccolta, il trasporto, la spedizione o comunque la gestione senza autorizzazione di rifiuti in funzione della successiva combustione illecita (comma 2).</w:t>
      </w:r>
    </w:p>
    <w:p>
      <w:pPr>
        <w:pStyle w:val="Normal (Web)"/>
        <w:spacing w:before="0" w:after="0"/>
        <w:ind w:left="567" w:right="567" w:firstLine="0"/>
        <w:jc w:val="both"/>
        <w:rPr>
          <w:rFonts w:ascii="Book Antiqua" w:cs="Book Antiqua" w:hAnsi="Book Antiqua" w:eastAsia="Book Antiqua"/>
        </w:rPr>
      </w:pPr>
      <w:r>
        <w:rPr>
          <w:rFonts w:ascii="Book Antiqua"/>
          <w:rtl w:val="0"/>
          <w:lang w:val="it-IT"/>
        </w:rPr>
        <w:t>In primo luogo, si deve notare che il nuovo delitto di combustione illecita di rifiuti contiene una espressa riserva di legge e cio</w:t>
      </w:r>
      <w:r>
        <w:rPr>
          <w:rFonts w:hAnsi="Book Antiqua" w:hint="default"/>
          <w:rtl w:val="0"/>
          <w:lang w:val="it-IT"/>
        </w:rPr>
        <w:t xml:space="preserve">è </w:t>
      </w:r>
      <w:r>
        <w:rPr>
          <w:rFonts w:ascii="Book Antiqua"/>
          <w:rtl w:val="0"/>
          <w:lang w:val="it-IT"/>
        </w:rPr>
        <w:t>non si applica se il fatto costituisce pi</w:t>
      </w:r>
      <w:r>
        <w:rPr>
          <w:rFonts w:hAnsi="Book Antiqua" w:hint="default"/>
          <w:rtl w:val="0"/>
          <w:lang w:val="it-IT"/>
        </w:rPr>
        <w:t xml:space="preserve">ù </w:t>
      </w:r>
      <w:r>
        <w:rPr>
          <w:rFonts w:ascii="Book Antiqua"/>
          <w:rtl w:val="0"/>
          <w:lang w:val="it-IT"/>
        </w:rPr>
        <w:t>grave reato. E, quindi, se da un lato, come spiega il governo nel suo comunicato stampa di presentazione, "la norma ha l</w:t>
      </w:r>
      <w:r>
        <w:rPr>
          <w:rFonts w:hAnsi="Book Antiqua" w:hint="default"/>
          <w:rtl w:val="0"/>
          <w:lang w:val="it-IT"/>
        </w:rPr>
        <w:t>’</w:t>
      </w:r>
      <w:r>
        <w:rPr>
          <w:rFonts w:ascii="Book Antiqua"/>
          <w:rtl w:val="0"/>
          <w:lang w:val="it-IT"/>
        </w:rPr>
        <w:t>obiettivo di introdurre sanzioni penali per contrastare chi appicca i roghi tossici, oggi sanzionabili solo con  contravvenzioni</w:t>
      </w:r>
      <w:r>
        <w:rPr>
          <w:rFonts w:ascii="Book Antiqua"/>
          <w:i w:val="1"/>
          <w:iCs w:val="1"/>
          <w:rtl w:val="0"/>
          <w:lang w:val="it-IT"/>
        </w:rPr>
        <w:t xml:space="preserve">", </w:t>
      </w:r>
      <w:r>
        <w:rPr>
          <w:rFonts w:ascii="Book Antiqua"/>
          <w:rtl w:val="0"/>
          <w:lang w:val="it-IT"/>
        </w:rPr>
        <w:t>dall'altro lascia il passo ad eventuali delitti pi</w:t>
      </w:r>
      <w:r>
        <w:rPr>
          <w:rFonts w:hAnsi="Book Antiqua" w:hint="default"/>
          <w:rtl w:val="0"/>
          <w:lang w:val="it-IT"/>
        </w:rPr>
        <w:t xml:space="preserve">ù </w:t>
      </w:r>
      <w:r>
        <w:rPr>
          <w:rFonts w:ascii="Book Antiqua"/>
          <w:rtl w:val="0"/>
          <w:lang w:val="it-IT"/>
        </w:rPr>
        <w:t>gravi; in particolare ci si riferisce al delitto di "incendio" previsto dall'articolo 423 del codice penale che punisce con la reclusione da 3 a 7 anni "chiunque cagiona un incendio", e cio</w:t>
      </w:r>
      <w:r>
        <w:rPr>
          <w:rFonts w:hAnsi="Book Antiqua" w:hint="default"/>
          <w:rtl w:val="0"/>
          <w:lang w:val="it-IT"/>
        </w:rPr>
        <w:t>è</w:t>
      </w:r>
      <w:r>
        <w:rPr>
          <w:rFonts w:ascii="Book Antiqua"/>
          <w:rtl w:val="0"/>
          <w:lang w:val="it-IT"/>
        </w:rPr>
        <w:t xml:space="preserve">, come chiarito dalla giurisprudenza, "un fuoco distruggitore, dalle proporzioni notevoli, che tende a diffondersi e non </w:t>
      </w:r>
      <w:r>
        <w:rPr>
          <w:rFonts w:hAnsi="Book Antiqua" w:hint="default"/>
          <w:rtl w:val="0"/>
          <w:lang w:val="it-IT"/>
        </w:rPr>
        <w:t xml:space="preserve">è </w:t>
      </w:r>
      <w:r>
        <w:rPr>
          <w:rFonts w:ascii="Book Antiqua"/>
          <w:rtl w:val="0"/>
          <w:lang w:val="it-IT"/>
        </w:rPr>
        <w:t>facile da estinguere" , con conseguente pericolo per l'incolumit</w:t>
      </w:r>
      <w:r>
        <w:rPr>
          <w:rFonts w:hAnsi="Book Antiqua" w:hint="default"/>
          <w:rtl w:val="0"/>
          <w:lang w:val="it-IT"/>
        </w:rPr>
        <w:t xml:space="preserve">à </w:t>
      </w:r>
      <w:r>
        <w:rPr>
          <w:rFonts w:ascii="Book Antiqua"/>
          <w:rtl w:val="0"/>
          <w:lang w:val="it-IT"/>
        </w:rPr>
        <w:t xml:space="preserve">delle persone. </w:t>
      </w:r>
    </w:p>
    <w:p>
      <w:pPr>
        <w:pStyle w:val="Normal (Web)"/>
        <w:spacing w:before="0" w:after="0"/>
        <w:ind w:left="567" w:right="567" w:firstLine="0"/>
        <w:jc w:val="both"/>
        <w:rPr>
          <w:rFonts w:ascii="Book Antiqua" w:cs="Book Antiqua" w:hAnsi="Book Antiqua" w:eastAsia="Book Antiqua"/>
        </w:rPr>
      </w:pPr>
      <w:r>
        <w:rPr>
          <w:rFonts w:ascii="Book Antiqua"/>
          <w:rtl w:val="0"/>
          <w:lang w:val="it-IT"/>
        </w:rPr>
        <w:t xml:space="preserve">Quanto alla formulazione del precetto, il fatto tipico oggetto di incriminazione </w:t>
      </w:r>
      <w:r>
        <w:rPr>
          <w:rFonts w:hAnsi="Book Antiqua" w:hint="default"/>
          <w:rtl w:val="0"/>
          <w:lang w:val="it-IT"/>
        </w:rPr>
        <w:t xml:space="preserve">è </w:t>
      </w:r>
      <w:r>
        <w:rPr>
          <w:rFonts w:ascii="Book Antiqua"/>
          <w:rtl w:val="0"/>
          <w:lang w:val="it-IT"/>
        </w:rPr>
        <w:t>l'"appiccare il fuoco": espressione gi</w:t>
      </w:r>
      <w:r>
        <w:rPr>
          <w:rFonts w:hAnsi="Book Antiqua" w:hint="default"/>
          <w:rtl w:val="0"/>
          <w:lang w:val="it-IT"/>
        </w:rPr>
        <w:t xml:space="preserve">à </w:t>
      </w:r>
      <w:r>
        <w:rPr>
          <w:rFonts w:ascii="Book Antiqua"/>
          <w:rtl w:val="0"/>
          <w:lang w:val="it-IT"/>
        </w:rPr>
        <w:t xml:space="preserve">conosciuta dal nostro diritto penale in quanto, come nota l'ufficio del Massimario della Cassazione nella sua relazione del 18 dicembre 2013, </w:t>
      </w:r>
      <w:r>
        <w:rPr>
          <w:rFonts w:hAnsi="Book Antiqua" w:hint="default"/>
          <w:rtl w:val="0"/>
          <w:lang w:val="it-IT"/>
        </w:rPr>
        <w:t xml:space="preserve">è </w:t>
      </w:r>
      <w:r>
        <w:rPr>
          <w:rFonts w:ascii="Book Antiqua"/>
          <w:rtl w:val="0"/>
          <w:lang w:val="it-IT"/>
        </w:rPr>
        <w:t>la stessa usata dall'articolo 424 del codice penale ("Danneggiamento seguito da incendio") "per indicare un'azione alla quale non segue necessariamente un incendio a norma dell</w:t>
      </w:r>
      <w:r>
        <w:rPr>
          <w:rFonts w:hAnsi="Book Antiqua" w:hint="default"/>
          <w:rtl w:val="0"/>
          <w:lang w:val="it-IT"/>
        </w:rPr>
        <w:t>’</w:t>
      </w:r>
      <w:r>
        <w:rPr>
          <w:rFonts w:ascii="Book Antiqua"/>
          <w:rtl w:val="0"/>
          <w:lang w:val="it-IT"/>
        </w:rPr>
        <w:t>articolo 423 cod. pen. e che, anzi, assumendo significato per l</w:t>
      </w:r>
      <w:r>
        <w:rPr>
          <w:rFonts w:hAnsi="Book Antiqua" w:hint="default"/>
          <w:rtl w:val="0"/>
          <w:lang w:val="it-IT"/>
        </w:rPr>
        <w:t>’</w:t>
      </w:r>
      <w:r>
        <w:rPr>
          <w:rFonts w:ascii="Book Antiqua"/>
          <w:rtl w:val="0"/>
          <w:lang w:val="it-IT"/>
        </w:rPr>
        <w:t xml:space="preserve">ordinamento penale solo se da essa </w:t>
      </w:r>
      <w:r>
        <w:rPr>
          <w:rFonts w:hAnsi="Book Antiqua" w:hint="default"/>
          <w:rtl w:val="0"/>
          <w:lang w:val="it-IT"/>
        </w:rPr>
        <w:t>“</w:t>
      </w:r>
      <w:r>
        <w:rPr>
          <w:rFonts w:ascii="Book Antiqua"/>
          <w:rtl w:val="0"/>
          <w:lang w:val="it-IT"/>
        </w:rPr>
        <w:t>sorge il pericolo di un incendio</w:t>
      </w:r>
      <w:r>
        <w:rPr>
          <w:rFonts w:hAnsi="Book Antiqua" w:hint="default"/>
          <w:rtl w:val="0"/>
          <w:lang w:val="it-IT"/>
        </w:rPr>
        <w:t>”</w:t>
      </w:r>
      <w:r>
        <w:rPr>
          <w:rFonts w:ascii="Book Antiqua"/>
          <w:rtl w:val="0"/>
          <w:lang w:val="it-IT"/>
        </w:rPr>
        <w:t>, potrebbe essere inidonea, di per s</w:t>
      </w:r>
      <w:r>
        <w:rPr>
          <w:rFonts w:hAnsi="Book Antiqua" w:hint="default"/>
          <w:rtl w:val="0"/>
          <w:lang w:val="it-IT"/>
        </w:rPr>
        <w:t>é</w:t>
      </w:r>
      <w:r>
        <w:rPr>
          <w:rFonts w:ascii="Book Antiqua"/>
          <w:rtl w:val="0"/>
          <w:lang w:val="it-IT"/>
        </w:rPr>
        <w:t>, persino a determinare quest</w:t>
      </w:r>
      <w:r>
        <w:rPr>
          <w:rFonts w:hAnsi="Book Antiqua" w:hint="default"/>
          <w:rtl w:val="0"/>
          <w:lang w:val="it-IT"/>
        </w:rPr>
        <w:t>’</w:t>
      </w:r>
      <w:r>
        <w:rPr>
          <w:rFonts w:ascii="Book Antiqua"/>
          <w:rtl w:val="0"/>
          <w:lang w:val="it-IT"/>
        </w:rPr>
        <w:t>ultimo evento".</w:t>
      </w:r>
    </w:p>
    <w:p>
      <w:pPr>
        <w:pStyle w:val="Normal (Web)"/>
        <w:spacing w:before="0" w:after="0"/>
        <w:ind w:left="567" w:right="567" w:firstLine="0"/>
        <w:jc w:val="both"/>
        <w:rPr>
          <w:rFonts w:ascii="Book Antiqua" w:cs="Book Antiqua" w:hAnsi="Book Antiqua" w:eastAsia="Book Antiqua"/>
        </w:rPr>
      </w:pPr>
      <w:r>
        <w:rPr>
          <w:rFonts w:ascii="Book Antiqua"/>
          <w:rtl w:val="0"/>
          <w:lang w:val="it-IT"/>
        </w:rPr>
        <w:t>Oggetto di tale azione devono essere rifiuti abbandonati ovvero depositati in modo incontrollato</w:t>
      </w:r>
      <w:r>
        <w:rPr>
          <w:rFonts w:ascii="Book Antiqua" w:cs="Book Antiqua" w:hAnsi="Book Antiqua" w:eastAsia="Book Antiqua"/>
          <w:vertAlign w:val="superscript"/>
          <w:rtl w:val="0"/>
        </w:rPr>
        <w:footnoteReference w:id="263"/>
      </w:r>
      <w:r>
        <w:rPr>
          <w:rFonts w:ascii="Book Antiqua"/>
          <w:rtl w:val="0"/>
          <w:lang w:val="it-IT"/>
        </w:rPr>
        <w:t>. Con ogni evidenza, quindi, la nuova incriminazione nasce in collegamento con quanto gi</w:t>
      </w:r>
      <w:r>
        <w:rPr>
          <w:rFonts w:hAnsi="Book Antiqua" w:hint="default"/>
          <w:rtl w:val="0"/>
          <w:lang w:val="it-IT"/>
        </w:rPr>
        <w:t xml:space="preserve">à </w:t>
      </w:r>
      <w:r>
        <w:rPr>
          <w:rFonts w:ascii="Book Antiqua"/>
          <w:rtl w:val="0"/>
          <w:lang w:val="it-IT"/>
        </w:rPr>
        <w:t>disposto dall'articolo 192 del decreto legislativo n. 152 del 2006, il cui primo comma sancisce, appunto, il divieto di abbandono e di deposito incontrollato di rifiuti sul suolo e nel suolo; divieto presidiato da sanzione amministrativa (articolo 255, comma 1) o penale (articolo 256, comma 2), a seconda che l'autore dell'abbandono o del deposito incontrollato sia un privato ovvero un titolare di impresa o responsabile di ente.</w:t>
      </w:r>
    </w:p>
    <w:p>
      <w:pPr>
        <w:pStyle w:val="Normal (Web)"/>
        <w:spacing w:before="0" w:after="0"/>
        <w:ind w:left="567" w:right="567" w:firstLine="0"/>
        <w:jc w:val="both"/>
        <w:rPr>
          <w:rFonts w:ascii="Book Antiqua" w:cs="Book Antiqua" w:hAnsi="Book Antiqua" w:eastAsia="Book Antiqua"/>
        </w:rPr>
      </w:pPr>
      <w:r>
        <w:rPr>
          <w:rFonts w:ascii="Book Antiqua"/>
          <w:rtl w:val="0"/>
          <w:lang w:val="it-IT"/>
        </w:rPr>
        <w:t>Con la nuova norma incriminatrice, cio</w:t>
      </w:r>
      <w:r>
        <w:rPr>
          <w:rFonts w:hAnsi="Book Antiqua" w:hint="default"/>
          <w:rtl w:val="0"/>
          <w:lang w:val="it-IT"/>
        </w:rPr>
        <w:t>è</w:t>
      </w:r>
      <w:r>
        <w:rPr>
          <w:rFonts w:ascii="Book Antiqua"/>
          <w:rtl w:val="0"/>
          <w:lang w:val="it-IT"/>
        </w:rPr>
        <w:t>, si stabilisce che appiccare il fuoco a questi rifiuti integra un ulteriore illecito di natura delittuosa, che si aggiunge all'illecito amministrativo o contravvenzionale connesso con l'abbandono o il deposito incontrollato.</w:t>
      </w:r>
    </w:p>
    <w:p>
      <w:pPr>
        <w:pStyle w:val="Normal (Web)"/>
        <w:spacing w:before="0" w:after="0"/>
        <w:ind w:left="567" w:right="567" w:firstLine="0"/>
        <w:jc w:val="both"/>
        <w:rPr>
          <w:rFonts w:ascii="Book Antiqua" w:cs="Book Antiqua" w:hAnsi="Book Antiqua" w:eastAsia="Book Antiqua"/>
        </w:rPr>
      </w:pPr>
      <w:r>
        <w:rPr>
          <w:rFonts w:ascii="Book Antiqua"/>
          <w:rtl w:val="0"/>
          <w:lang w:val="it-IT"/>
        </w:rPr>
        <w:t>E si inserisce un ulteriore collegamento tra queste disposizioni stabilendo (articolo 256-bis, comma 2) che l'abbandono o il deposito incontrollato di rifiuti "in funzione della successiva combustione illecita di rifiuti"</w:t>
      </w:r>
      <w:r>
        <w:rPr>
          <w:rFonts w:ascii="Book Antiqua" w:cs="Book Antiqua" w:hAnsi="Book Antiqua" w:eastAsia="Book Antiqua"/>
          <w:vertAlign w:val="superscript"/>
          <w:rtl w:val="0"/>
        </w:rPr>
        <w:footnoteReference w:id="264"/>
      </w:r>
      <w:r>
        <w:rPr>
          <w:rFonts w:hAnsi="Book Antiqua" w:hint="default"/>
          <w:rtl w:val="0"/>
          <w:lang w:val="it-IT"/>
        </w:rPr>
        <w:t xml:space="preserve"> è </w:t>
      </w:r>
      <w:r>
        <w:rPr>
          <w:rFonts w:ascii="Book Antiqua"/>
          <w:rtl w:val="0"/>
          <w:lang w:val="it-IT"/>
        </w:rPr>
        <w:t>punito con la stessa, nuova sanzione penale, e non pi</w:t>
      </w:r>
      <w:r>
        <w:rPr>
          <w:rFonts w:hAnsi="Book Antiqua" w:hint="default"/>
          <w:rtl w:val="0"/>
          <w:lang w:val="it-IT"/>
        </w:rPr>
        <w:t xml:space="preserve">ù </w:t>
      </w:r>
      <w:r>
        <w:rPr>
          <w:rFonts w:ascii="Book Antiqua"/>
          <w:rtl w:val="0"/>
          <w:lang w:val="it-IT"/>
        </w:rPr>
        <w:t>con la sanzione amministrativa (se privato) o contravvenzionale (se ente o impresa). Quindi, due delitti in entrambi i casi senza alcuna differenziazione di sanzioni (salvo, come vedremo, l</w:t>
      </w:r>
      <w:r>
        <w:rPr>
          <w:rFonts w:hAnsi="Book Antiqua" w:hint="default"/>
          <w:rtl w:val="0"/>
          <w:lang w:val="it-IT"/>
        </w:rPr>
        <w:t>’</w:t>
      </w:r>
      <w:r>
        <w:rPr>
          <w:rFonts w:ascii="Book Antiqua"/>
          <w:rtl w:val="0"/>
          <w:lang w:val="it-IT"/>
        </w:rPr>
        <w:t>aggravante per imprese e attivit</w:t>
      </w:r>
      <w:r>
        <w:rPr>
          <w:rFonts w:hAnsi="Book Antiqua" w:hint="default"/>
          <w:rtl w:val="0"/>
          <w:lang w:val="it-IT"/>
        </w:rPr>
        <w:t xml:space="preserve">à </w:t>
      </w:r>
      <w:r>
        <w:rPr>
          <w:rFonts w:ascii="Book Antiqua"/>
          <w:rtl w:val="0"/>
          <w:lang w:val="it-IT"/>
        </w:rPr>
        <w:t>organizzate).</w:t>
      </w:r>
    </w:p>
    <w:p>
      <w:pPr>
        <w:pStyle w:val="Normal (Web)"/>
        <w:spacing w:before="0" w:after="0"/>
        <w:ind w:left="567" w:right="567" w:firstLine="0"/>
        <w:jc w:val="both"/>
        <w:rPr>
          <w:rFonts w:ascii="Book Antiqua" w:cs="Book Antiqua" w:hAnsi="Book Antiqua" w:eastAsia="Book Antiqua"/>
        </w:rPr>
      </w:pPr>
      <w:r>
        <w:rPr>
          <w:rFonts w:ascii="Book Antiqua"/>
          <w:rtl w:val="0"/>
          <w:lang w:val="it-IT"/>
        </w:rPr>
        <w:t>Quanto alla combustione di rifiuti pericolosi, si rileva che trattasi di autonoma previsione di reato anche se la gi</w:t>
      </w:r>
      <w:r>
        <w:rPr>
          <w:rFonts w:hAnsi="Book Antiqua" w:hint="default"/>
          <w:rtl w:val="0"/>
          <w:lang w:val="it-IT"/>
        </w:rPr>
        <w:t xml:space="preserve">à </w:t>
      </w:r>
      <w:r>
        <w:rPr>
          <w:rFonts w:ascii="Book Antiqua"/>
          <w:rtl w:val="0"/>
          <w:lang w:val="it-IT"/>
        </w:rPr>
        <w:t>citata relazione dell'ufficio del Massimario della Cassazione ritiene "non del tutto implausibile un inquadramento dell'ipotesi in termini di circostanza aggravante perch</w:t>
      </w:r>
      <w:r>
        <w:rPr>
          <w:rFonts w:hAnsi="Book Antiqua" w:hint="default"/>
          <w:rtl w:val="0"/>
          <w:lang w:val="it-IT"/>
        </w:rPr>
        <w:t>é</w:t>
      </w:r>
      <w:r>
        <w:rPr>
          <w:rFonts w:ascii="Book Antiqua"/>
          <w:rtl w:val="0"/>
          <w:lang w:val="it-IT"/>
        </w:rPr>
        <w:t xml:space="preserve"> l'elemento differenziale  rispetto alla fattispecie prevista dal primo periodo del medesimo comma </w:t>
      </w:r>
      <w:r>
        <w:rPr>
          <w:rFonts w:hAnsi="Book Antiqua" w:hint="default"/>
          <w:rtl w:val="0"/>
          <w:lang w:val="it-IT"/>
        </w:rPr>
        <w:t xml:space="preserve">è </w:t>
      </w:r>
      <w:r>
        <w:rPr>
          <w:rFonts w:ascii="Book Antiqua"/>
          <w:rtl w:val="0"/>
          <w:lang w:val="it-IT"/>
        </w:rPr>
        <w:t>costituito esclusivamente dall</w:t>
      </w:r>
      <w:r>
        <w:rPr>
          <w:rFonts w:hAnsi="Book Antiqua" w:hint="default"/>
          <w:rtl w:val="0"/>
          <w:lang w:val="it-IT"/>
        </w:rPr>
        <w:t>’</w:t>
      </w:r>
      <w:r>
        <w:rPr>
          <w:rFonts w:ascii="Book Antiqua"/>
          <w:rtl w:val="0"/>
          <w:lang w:val="it-IT"/>
        </w:rPr>
        <w:t>oggetto materiale, tanto pi</w:t>
      </w:r>
      <w:r>
        <w:rPr>
          <w:rFonts w:hAnsi="Book Antiqua" w:hint="default"/>
          <w:rtl w:val="0"/>
          <w:lang w:val="it-IT"/>
        </w:rPr>
        <w:t xml:space="preserve">ù </w:t>
      </w:r>
      <w:r>
        <w:rPr>
          <w:rFonts w:ascii="Book Antiqua"/>
          <w:rtl w:val="0"/>
          <w:lang w:val="it-IT"/>
        </w:rPr>
        <w:t>che questo si connota in termini di specialit</w:t>
      </w:r>
      <w:r>
        <w:rPr>
          <w:rFonts w:hAnsi="Book Antiqua" w:hint="default"/>
          <w:rtl w:val="0"/>
          <w:lang w:val="it-IT"/>
        </w:rPr>
        <w:t xml:space="preserve">à </w:t>
      </w:r>
      <w:r>
        <w:rPr>
          <w:rFonts w:ascii="Book Antiqua"/>
          <w:rtl w:val="0"/>
          <w:lang w:val="it-IT"/>
        </w:rPr>
        <w:t>e non di assoluta alterit</w:t>
      </w:r>
      <w:r>
        <w:rPr>
          <w:rFonts w:hAnsi="Book Antiqua" w:hint="default"/>
          <w:rtl w:val="0"/>
          <w:lang w:val="it-IT"/>
        </w:rPr>
        <w:t>à</w:t>
      </w:r>
      <w:r>
        <w:rPr>
          <w:rFonts w:ascii="Book Antiqua"/>
          <w:rtl w:val="0"/>
          <w:lang w:val="it-IT"/>
        </w:rPr>
        <w:t>".</w:t>
      </w:r>
    </w:p>
    <w:p>
      <w:pPr>
        <w:pStyle w:val="Normal (Web)"/>
        <w:spacing w:before="0" w:after="0"/>
        <w:ind w:left="567" w:right="567" w:firstLine="0"/>
        <w:jc w:val="both"/>
        <w:rPr>
          <w:rFonts w:ascii="Book Antiqua" w:cs="Book Antiqua" w:hAnsi="Book Antiqua" w:eastAsia="Book Antiqua"/>
        </w:rPr>
      </w:pPr>
      <w:r>
        <w:rPr>
          <w:rFonts w:ascii="Book Antiqua"/>
          <w:rtl w:val="0"/>
          <w:lang w:val="it-IT"/>
        </w:rPr>
        <w:t>Il terzo ed il quarto comma dell'articolo 256-bis prevedono un aumento di pena, qualora la combustione illecita avvenga "nell'ambito dell'attivit</w:t>
      </w:r>
      <w:r>
        <w:rPr>
          <w:rFonts w:hAnsi="Book Antiqua" w:hint="default"/>
          <w:rtl w:val="0"/>
          <w:lang w:val="it-IT"/>
        </w:rPr>
        <w:t xml:space="preserve">à </w:t>
      </w:r>
      <w:r>
        <w:rPr>
          <w:rFonts w:ascii="Book Antiqua"/>
          <w:rtl w:val="0"/>
          <w:lang w:val="it-IT"/>
        </w:rPr>
        <w:t>di un'impresa o comunque di un'attivit</w:t>
      </w:r>
      <w:r>
        <w:rPr>
          <w:rFonts w:hAnsi="Book Antiqua" w:hint="default"/>
          <w:rtl w:val="0"/>
          <w:lang w:val="it-IT"/>
        </w:rPr>
        <w:t xml:space="preserve">à </w:t>
      </w:r>
      <w:r>
        <w:rPr>
          <w:rFonts w:ascii="Book Antiqua"/>
          <w:rtl w:val="0"/>
          <w:lang w:val="it-IT"/>
        </w:rPr>
        <w:t xml:space="preserve">organizzata" ovvero in territori (come la Campania) per cui </w:t>
      </w:r>
      <w:r>
        <w:rPr>
          <w:rFonts w:hAnsi="Book Antiqua" w:hint="default"/>
          <w:rtl w:val="0"/>
          <w:lang w:val="it-IT"/>
        </w:rPr>
        <w:t xml:space="preserve">è </w:t>
      </w:r>
      <w:r>
        <w:rPr>
          <w:rFonts w:ascii="Book Antiqua"/>
          <w:rtl w:val="0"/>
          <w:lang w:val="it-IT"/>
        </w:rPr>
        <w:t>stato dichiarato lo stato di emergenza nel settore dei rifiuti. In proposito, con riferimento alla prima aggravante, appare evidente che essa pu</w:t>
      </w:r>
      <w:r>
        <w:rPr>
          <w:rFonts w:hAnsi="Book Antiqua" w:hint="default"/>
          <w:rtl w:val="0"/>
          <w:lang w:val="it-IT"/>
        </w:rPr>
        <w:t xml:space="preserve">ò </w:t>
      </w:r>
      <w:r>
        <w:rPr>
          <w:rFonts w:ascii="Book Antiqua"/>
          <w:rtl w:val="0"/>
          <w:lang w:val="it-IT"/>
        </w:rPr>
        <w:t>concorrere anche con il delitto di attivit</w:t>
      </w:r>
      <w:r>
        <w:rPr>
          <w:rFonts w:hAnsi="Book Antiqua" w:hint="default"/>
          <w:rtl w:val="0"/>
          <w:lang w:val="it-IT"/>
        </w:rPr>
        <w:t xml:space="preserve">à </w:t>
      </w:r>
      <w:r>
        <w:rPr>
          <w:rFonts w:ascii="Book Antiqua"/>
          <w:rtl w:val="0"/>
          <w:lang w:val="it-IT"/>
        </w:rPr>
        <w:t>organizzate per il traffico illecito di rifiuti di cui all'articolo 260 che punisce la gestione (e, quindi, anche lo smaltimento tramite combustione) abusiva di ingenti quantit</w:t>
      </w:r>
      <w:r>
        <w:rPr>
          <w:rFonts w:hAnsi="Book Antiqua" w:hint="default"/>
          <w:rtl w:val="0"/>
          <w:lang w:val="it-IT"/>
        </w:rPr>
        <w:t xml:space="preserve">à </w:t>
      </w:r>
      <w:r>
        <w:rPr>
          <w:rFonts w:ascii="Book Antiqua"/>
          <w:rtl w:val="0"/>
          <w:lang w:val="it-IT"/>
        </w:rPr>
        <w:t>di rifiuti "attraverso l'allestimento di mezzi e attivit</w:t>
      </w:r>
      <w:r>
        <w:rPr>
          <w:rFonts w:hAnsi="Book Antiqua" w:hint="default"/>
          <w:rtl w:val="0"/>
          <w:lang w:val="it-IT"/>
        </w:rPr>
        <w:t xml:space="preserve">à </w:t>
      </w:r>
      <w:r>
        <w:rPr>
          <w:rFonts w:ascii="Book Antiqua"/>
          <w:rtl w:val="0"/>
          <w:lang w:val="it-IT"/>
        </w:rPr>
        <w:t>continuative organizzate".</w:t>
      </w:r>
    </w:p>
    <w:p>
      <w:pPr>
        <w:pStyle w:val="Normal (Web)"/>
        <w:spacing w:before="0" w:after="0"/>
        <w:ind w:left="567" w:right="567" w:firstLine="0"/>
        <w:jc w:val="both"/>
        <w:rPr>
          <w:rFonts w:ascii="Book Antiqua Bold" w:cs="Book Antiqua Bold" w:hAnsi="Book Antiqua Bold" w:eastAsia="Book Antiqua Bold"/>
          <w:b w:val="1"/>
          <w:bCs w:val="1"/>
        </w:rPr>
      </w:pPr>
      <w:r>
        <w:rPr>
          <w:rFonts w:ascii="Book Antiqua"/>
          <w:rtl w:val="0"/>
          <w:lang w:val="it-IT"/>
        </w:rPr>
        <w:t>Inoltre, il comma 5 prevede, in primo luogo, la confisca obbligatoria, "ai sensi dell'articolo 259, comma 2", dei "mezzi utilizzati</w:t>
      </w:r>
      <w:r>
        <w:rPr>
          <w:rFonts w:ascii="Book Antiqua Bold"/>
          <w:b w:val="1"/>
          <w:bCs w:val="1"/>
          <w:rtl w:val="0"/>
          <w:lang w:val="it-IT"/>
        </w:rPr>
        <w:t xml:space="preserve"> </w:t>
      </w:r>
      <w:r>
        <w:rPr>
          <w:rFonts w:ascii="Book Antiqua"/>
          <w:rtl w:val="0"/>
          <w:lang w:val="it-IT"/>
        </w:rPr>
        <w:t>per il trasporto di  rifiuti  oggetto  del reato di cui al comma 1 del presente articolo,</w:t>
      </w:r>
      <w:r>
        <w:rPr>
          <w:rFonts w:ascii="Book Antiqua Bold"/>
          <w:b w:val="1"/>
          <w:bCs w:val="1"/>
          <w:rtl w:val="0"/>
          <w:lang w:val="it-IT"/>
        </w:rPr>
        <w:t xml:space="preserve"> </w:t>
      </w:r>
      <w:r>
        <w:rPr>
          <w:rFonts w:ascii="Book Antiqua"/>
          <w:rtl w:val="0"/>
          <w:lang w:val="it-IT"/>
        </w:rPr>
        <w:t>inceneriti in  aree  o in impianti non autorizzati</w:t>
      </w:r>
      <w:r>
        <w:rPr>
          <w:rFonts w:ascii="Book Antiqua"/>
          <w:i w:val="1"/>
          <w:iCs w:val="1"/>
          <w:rtl w:val="0"/>
          <w:lang w:val="it-IT"/>
        </w:rPr>
        <w:t>.</w:t>
      </w:r>
      <w:r>
        <w:rPr>
          <w:rFonts w:ascii="Book Antiqua"/>
          <w:rtl w:val="0"/>
          <w:lang w:val="it-IT"/>
        </w:rPr>
        <w:t xml:space="preserve">..". </w:t>
      </w:r>
    </w:p>
    <w:p>
      <w:pPr>
        <w:pStyle w:val="Normal (Web)"/>
        <w:spacing w:before="0" w:after="0"/>
        <w:ind w:left="567" w:right="567" w:firstLine="0"/>
        <w:jc w:val="both"/>
        <w:rPr>
          <w:rFonts w:ascii="Book Antiqua" w:cs="Book Antiqua" w:hAnsi="Book Antiqua" w:eastAsia="Book Antiqua"/>
        </w:rPr>
      </w:pPr>
      <w:r>
        <w:rPr>
          <w:rFonts w:ascii="Book Antiqua"/>
          <w:rtl w:val="0"/>
          <w:lang w:val="it-IT"/>
        </w:rPr>
        <w:t>Trattasi di previsione la cui formulazione ha destato perplessit</w:t>
      </w:r>
      <w:r>
        <w:rPr>
          <w:rFonts w:hAnsi="Book Antiqua" w:hint="default"/>
          <w:rtl w:val="0"/>
          <w:lang w:val="it-IT"/>
        </w:rPr>
        <w:t>à</w:t>
      </w:r>
      <w:r>
        <w:rPr>
          <w:rFonts w:ascii="Book Antiqua"/>
          <w:rtl w:val="0"/>
          <w:lang w:val="it-IT"/>
        </w:rPr>
        <w:t>, condivisibili alla luce dei fenomeni qui esaminati.</w:t>
      </w:r>
    </w:p>
    <w:p>
      <w:pPr>
        <w:pStyle w:val="Normal (Web)"/>
        <w:spacing w:before="0" w:after="0"/>
        <w:ind w:left="567" w:right="567" w:firstLine="0"/>
        <w:jc w:val="both"/>
        <w:rPr>
          <w:rFonts w:ascii="Book Antiqua" w:cs="Book Antiqua" w:hAnsi="Book Antiqua" w:eastAsia="Book Antiqua"/>
        </w:rPr>
      </w:pPr>
      <w:r>
        <w:rPr>
          <w:rFonts w:ascii="Book Antiqua"/>
          <w:rtl w:val="0"/>
          <w:lang w:val="it-IT"/>
        </w:rPr>
        <w:t xml:space="preserve">Infatti, l'articolo 259, comma 2, prevede la confisca dei mezzi di trasporto in caso di trasporto illecito (senza iscrizione o senza formulario in caso di rifiuti pericolosi) mentre, nella ipotesi in esame, non </w:t>
      </w:r>
      <w:r>
        <w:rPr>
          <w:rFonts w:hAnsi="Book Antiqua" w:hint="default"/>
          <w:rtl w:val="0"/>
          <w:lang w:val="it-IT"/>
        </w:rPr>
        <w:t xml:space="preserve">è </w:t>
      </w:r>
      <w:r>
        <w:rPr>
          <w:rFonts w:ascii="Book Antiqua"/>
          <w:rtl w:val="0"/>
          <w:lang w:val="it-IT"/>
        </w:rPr>
        <w:t>il trasporto ad essere illecito, bens</w:t>
      </w:r>
      <w:r>
        <w:rPr>
          <w:rFonts w:hAnsi="Book Antiqua" w:hint="default"/>
          <w:rtl w:val="0"/>
          <w:lang w:val="it-IT"/>
        </w:rPr>
        <w:t xml:space="preserve">ì </w:t>
      </w:r>
      <w:r>
        <w:rPr>
          <w:rFonts w:ascii="Book Antiqua"/>
          <w:rtl w:val="0"/>
          <w:lang w:val="it-IT"/>
        </w:rPr>
        <w:t>lo smaltimento tramite combustione. Sarebbe, quindi, stato molto pi</w:t>
      </w:r>
      <w:r>
        <w:rPr>
          <w:rFonts w:hAnsi="Book Antiqua" w:hint="default"/>
          <w:rtl w:val="0"/>
          <w:lang w:val="it-IT"/>
        </w:rPr>
        <w:t xml:space="preserve">ù </w:t>
      </w:r>
      <w:r>
        <w:rPr>
          <w:rFonts w:ascii="Book Antiqua"/>
          <w:rtl w:val="0"/>
          <w:lang w:val="it-IT"/>
        </w:rPr>
        <w:t>appropriato richiamare, invece, l'articolo 260-ter, comma 5 (in relazione al comma 4), del decreto legislativo n. 152 del 2006, il quale, peraltro, gi</w:t>
      </w:r>
      <w:r>
        <w:rPr>
          <w:rFonts w:hAnsi="Book Antiqua" w:hint="default"/>
          <w:rtl w:val="0"/>
          <w:lang w:val="it-IT"/>
        </w:rPr>
        <w:t xml:space="preserve">à </w:t>
      </w:r>
      <w:r>
        <w:rPr>
          <w:rFonts w:ascii="Book Antiqua"/>
          <w:rtl w:val="0"/>
          <w:lang w:val="it-IT"/>
        </w:rPr>
        <w:t>prevedeva (e prevede) la confisca obbligatoria del veicolo e di qualunque altro mezzo utilizzato per il trasporto dei rifiuti qualora si accertino i reati  (contravvenzionali) previsti dall</w:t>
      </w:r>
      <w:r>
        <w:rPr>
          <w:rFonts w:hAnsi="Book Antiqua" w:hint="default"/>
          <w:rtl w:val="0"/>
          <w:lang w:val="it-IT"/>
        </w:rPr>
        <w:t>’</w:t>
      </w:r>
      <w:r>
        <w:rPr>
          <w:rFonts w:ascii="Book Antiqua"/>
          <w:rtl w:val="0"/>
          <w:lang w:val="it-IT"/>
        </w:rPr>
        <w:t>articolo 256, comma 1; e cio</w:t>
      </w:r>
      <w:r>
        <w:rPr>
          <w:rFonts w:hAnsi="Book Antiqua" w:hint="default"/>
          <w:rtl w:val="0"/>
          <w:lang w:val="it-IT"/>
        </w:rPr>
        <w:t xml:space="preserve">è </w:t>
      </w:r>
      <w:r>
        <w:rPr>
          <w:rFonts w:ascii="Book Antiqua"/>
          <w:rtl w:val="0"/>
          <w:lang w:val="it-IT"/>
        </w:rPr>
        <w:t xml:space="preserve">quelli commessi da </w:t>
      </w:r>
      <w:r>
        <w:rPr>
          <w:rFonts w:hAnsi="Book Antiqua" w:hint="default"/>
          <w:rtl w:val="0"/>
          <w:lang w:val="it-IT"/>
        </w:rPr>
        <w:t>“</w:t>
      </w:r>
      <w:r>
        <w:rPr>
          <w:rFonts w:ascii="Book Antiqua"/>
          <w:rtl w:val="0"/>
          <w:lang w:val="it-IT"/>
        </w:rPr>
        <w:t>chiunque effettua una attivit</w:t>
      </w:r>
      <w:r>
        <w:rPr>
          <w:rFonts w:hAnsi="Book Antiqua" w:hint="default"/>
          <w:rtl w:val="0"/>
          <w:lang w:val="it-IT"/>
        </w:rPr>
        <w:t xml:space="preserve">à </w:t>
      </w:r>
      <w:r>
        <w:rPr>
          <w:rFonts w:ascii="Book Antiqua"/>
          <w:rtl w:val="0"/>
          <w:lang w:val="it-IT"/>
        </w:rPr>
        <w:t>di raccolta, trasporto, recupero, smaltimento, commercio ed intermediazione di rifiuti in mancanza della prescritta autorizzazione, iscrizione o comunicazione di cui agli articoli 208, 209, 210, 211, 212, 214, 215 e 216</w:t>
      </w:r>
      <w:r>
        <w:rPr>
          <w:rFonts w:hAnsi="Book Antiqua" w:hint="default"/>
          <w:rtl w:val="0"/>
          <w:lang w:val="it-IT"/>
        </w:rPr>
        <w:t>”</w:t>
      </w:r>
      <w:r>
        <w:rPr>
          <w:rFonts w:ascii="Book Antiqua"/>
          <w:i w:val="1"/>
          <w:iCs w:val="1"/>
          <w:rtl w:val="0"/>
          <w:lang w:val="it-IT"/>
        </w:rPr>
        <w:t>;</w:t>
      </w:r>
      <w:r>
        <w:rPr>
          <w:rFonts w:ascii="Book Antiqua"/>
          <w:rtl w:val="0"/>
          <w:lang w:val="it-IT"/>
        </w:rPr>
        <w:t xml:space="preserve"> ricomprendendo, quindi anche il reato di smaltimento di rifiuti non autorizzato in cui rientra, ovviamente, come gi</w:t>
      </w:r>
      <w:r>
        <w:rPr>
          <w:rFonts w:hAnsi="Book Antiqua" w:hint="default"/>
          <w:rtl w:val="0"/>
          <w:lang w:val="it-IT"/>
        </w:rPr>
        <w:t xml:space="preserve">à </w:t>
      </w:r>
      <w:r>
        <w:rPr>
          <w:rFonts w:ascii="Book Antiqua"/>
          <w:rtl w:val="0"/>
          <w:lang w:val="it-IT"/>
        </w:rPr>
        <w:t>abbiamo detto, anche la combustione illecita.</w:t>
      </w:r>
    </w:p>
    <w:p>
      <w:pPr>
        <w:pStyle w:val="Normal (Web)"/>
        <w:spacing w:before="0" w:after="0"/>
        <w:ind w:left="567" w:right="567" w:firstLine="0"/>
        <w:jc w:val="both"/>
        <w:rPr>
          <w:rFonts w:ascii="Book Antiqua" w:cs="Book Antiqua" w:hAnsi="Book Antiqua" w:eastAsia="Book Antiqua"/>
        </w:rPr>
      </w:pPr>
      <w:r>
        <w:rPr>
          <w:rFonts w:ascii="Book Antiqua"/>
          <w:rtl w:val="0"/>
          <w:lang w:val="it-IT"/>
        </w:rPr>
        <w:t>Quanto alla confisca dell'area in caso di condanna o patteggiamento, si tratta, in sostanza e con le stesse parole, dell'estensione, per i nuovi delitti di combustione illecita, della confisca obbligatoria gi</w:t>
      </w:r>
      <w:r>
        <w:rPr>
          <w:rFonts w:hAnsi="Book Antiqua" w:hint="default"/>
          <w:rtl w:val="0"/>
          <w:lang w:val="it-IT"/>
        </w:rPr>
        <w:t xml:space="preserve">à </w:t>
      </w:r>
      <w:r>
        <w:rPr>
          <w:rFonts w:ascii="Book Antiqua"/>
          <w:rtl w:val="0"/>
          <w:lang w:val="it-IT"/>
        </w:rPr>
        <w:t>prevista per le discariche abusive dall'articolo 256, comma 3.</w:t>
      </w:r>
    </w:p>
    <w:p>
      <w:pPr>
        <w:pStyle w:val="Normal"/>
        <w:tabs>
          <w:tab w:val="left" w:pos="916"/>
          <w:tab w:val="left" w:pos="1832"/>
          <w:tab w:val="left" w:pos="2748"/>
          <w:tab w:val="left" w:pos="3664"/>
          <w:tab w:val="left" w:pos="4580"/>
          <w:tab w:val="left" w:pos="5496"/>
          <w:tab w:val="left" w:pos="6412"/>
          <w:tab w:val="left" w:pos="7328"/>
          <w:tab w:val="left" w:pos="8244"/>
          <w:tab w:val="left" w:pos="9132"/>
          <w:tab w:val="left" w:pos="9132"/>
          <w:tab w:val="left" w:pos="9132"/>
          <w:tab w:val="left" w:pos="9132"/>
          <w:tab w:val="left" w:pos="9132"/>
          <w:tab w:val="left" w:pos="9132"/>
          <w:tab w:val="left" w:pos="9132"/>
        </w:tabs>
        <w:ind w:left="567" w:right="567" w:firstLine="0"/>
        <w:jc w:val="both"/>
        <w:rPr>
          <w:rFonts w:ascii="Book Antiqua" w:cs="Book Antiqua" w:hAnsi="Book Antiqua" w:eastAsia="Book Antiqua"/>
          <w:u w:val="single"/>
        </w:rPr>
      </w:pPr>
      <w:r>
        <w:rPr>
          <w:rFonts w:ascii="Book Antiqua"/>
          <w:rtl w:val="0"/>
          <w:lang w:val="it-IT"/>
        </w:rPr>
        <w:t xml:space="preserve">Si noti che il comma 6 del nuovo articolo 256-bis prevede che </w:t>
      </w:r>
      <w:r>
        <w:rPr>
          <w:rFonts w:hAnsi="Book Antiqua" w:hint="default"/>
          <w:rtl w:val="0"/>
          <w:lang w:val="it-IT"/>
        </w:rPr>
        <w:t>“</w:t>
      </w:r>
      <w:r>
        <w:rPr>
          <w:rFonts w:ascii="Book Antiqua"/>
          <w:rtl w:val="0"/>
          <w:lang w:val="it-IT"/>
        </w:rPr>
        <w:t>si applicano le sanzioni di cui all'articolo 255</w:t>
      </w:r>
      <w:r>
        <w:rPr>
          <w:rFonts w:ascii="Book Antiqua" w:cs="Book Antiqua" w:hAnsi="Book Antiqua" w:eastAsia="Book Antiqua"/>
          <w:vertAlign w:val="superscript"/>
          <w:rtl w:val="0"/>
        </w:rPr>
        <w:footnoteReference w:id="265"/>
      </w:r>
      <w:r>
        <w:rPr>
          <w:rFonts w:ascii="Book Antiqua"/>
          <w:rtl w:val="0"/>
          <w:lang w:val="it-IT"/>
        </w:rPr>
        <w:t xml:space="preserve"> se le condotte di cui al comma 1 hanno ad oggetto i</w:t>
      </w:r>
      <w:r>
        <w:rPr>
          <w:rFonts w:ascii="Book Antiqua"/>
          <w:i w:val="1"/>
          <w:iCs w:val="1"/>
          <w:rtl w:val="0"/>
          <w:lang w:val="it-IT"/>
        </w:rPr>
        <w:t xml:space="preserve"> </w:t>
      </w:r>
      <w:r>
        <w:rPr>
          <w:rFonts w:ascii="Book Antiqua"/>
          <w:rtl w:val="0"/>
          <w:lang w:val="it-IT"/>
        </w:rPr>
        <w:t>rifiuti di cui all'articolo  184, comma 2, lettera e)</w:t>
      </w:r>
      <w:r>
        <w:rPr>
          <w:rFonts w:hAnsi="Book Antiqua" w:hint="default"/>
          <w:rtl w:val="0"/>
          <w:lang w:val="it-IT"/>
        </w:rPr>
        <w:t>“</w:t>
      </w:r>
      <w:r>
        <w:rPr>
          <w:rFonts w:ascii="Book Antiqua"/>
          <w:rtl w:val="0"/>
          <w:lang w:val="it-IT"/>
        </w:rPr>
        <w:t xml:space="preserve">. E quindi, se la combustione illecita riguarda </w:t>
      </w:r>
      <w:r>
        <w:rPr>
          <w:rFonts w:hAnsi="Book Antiqua" w:hint="default"/>
          <w:rtl w:val="0"/>
          <w:lang w:val="it-IT"/>
        </w:rPr>
        <w:t>“</w:t>
      </w:r>
      <w:r>
        <w:rPr>
          <w:rFonts w:ascii="Book Antiqua"/>
          <w:rtl w:val="0"/>
          <w:lang w:val="it-IT"/>
        </w:rPr>
        <w:t>i rifiuti vegetali provenienti da aree verdi, quali giardini, parchi e aree cimiteriali</w:t>
      </w:r>
      <w:r>
        <w:rPr>
          <w:rFonts w:hAnsi="Book Antiqua" w:hint="default"/>
          <w:rtl w:val="0"/>
          <w:lang w:val="it-IT"/>
        </w:rPr>
        <w:t>”</w:t>
      </w:r>
      <w:r>
        <w:rPr>
          <w:rFonts w:ascii="Book Antiqua"/>
          <w:i w:val="1"/>
          <w:iCs w:val="1"/>
          <w:rtl w:val="0"/>
          <w:lang w:val="it-IT"/>
        </w:rPr>
        <w:t xml:space="preserve">  </w:t>
      </w:r>
      <w:r>
        <w:rPr>
          <w:rFonts w:ascii="Book Antiqua"/>
          <w:rtl w:val="0"/>
          <w:lang w:val="it-IT"/>
        </w:rPr>
        <w:t xml:space="preserve">la pena non </w:t>
      </w:r>
      <w:r>
        <w:rPr>
          <w:rFonts w:hAnsi="Book Antiqua" w:hint="default"/>
          <w:rtl w:val="0"/>
          <w:lang w:val="it-IT"/>
        </w:rPr>
        <w:t xml:space="preserve">è </w:t>
      </w:r>
      <w:r>
        <w:rPr>
          <w:rFonts w:ascii="Book Antiqua"/>
          <w:rtl w:val="0"/>
          <w:lang w:val="it-IT"/>
        </w:rPr>
        <w:t>pi</w:t>
      </w:r>
      <w:r>
        <w:rPr>
          <w:rFonts w:hAnsi="Book Antiqua" w:hint="default"/>
          <w:rtl w:val="0"/>
          <w:lang w:val="it-IT"/>
        </w:rPr>
        <w:t xml:space="preserve">ù </w:t>
      </w:r>
      <w:r>
        <w:rPr>
          <w:rFonts w:ascii="Book Antiqua"/>
          <w:rtl w:val="0"/>
          <w:lang w:val="it-IT"/>
        </w:rPr>
        <w:t>la reclusione, come sopra indicato, ma la sanzione amministrativa pecuniaria da 300 a 3.000 euro.</w:t>
      </w:r>
    </w:p>
    <w:p>
      <w:pPr>
        <w:pStyle w:val="Normal"/>
        <w:tabs>
          <w:tab w:val="left" w:pos="916"/>
          <w:tab w:val="left" w:pos="1832"/>
          <w:tab w:val="left" w:pos="2748"/>
          <w:tab w:val="left" w:pos="3664"/>
          <w:tab w:val="left" w:pos="4580"/>
          <w:tab w:val="left" w:pos="5496"/>
          <w:tab w:val="left" w:pos="6412"/>
          <w:tab w:val="left" w:pos="7328"/>
          <w:tab w:val="left" w:pos="8244"/>
          <w:tab w:val="left" w:pos="9132"/>
          <w:tab w:val="left" w:pos="9132"/>
          <w:tab w:val="left" w:pos="9132"/>
          <w:tab w:val="left" w:pos="9132"/>
          <w:tab w:val="left" w:pos="9132"/>
          <w:tab w:val="left" w:pos="9132"/>
          <w:tab w:val="left" w:pos="9132"/>
        </w:tabs>
        <w:ind w:left="567" w:right="567" w:firstLine="0"/>
        <w:jc w:val="both"/>
        <w:rPr>
          <w:rFonts w:ascii="Book Antiqua" w:cs="Book Antiqua" w:hAnsi="Book Antiqua" w:eastAsia="Book Antiqua"/>
        </w:rPr>
      </w:pPr>
      <w:r>
        <w:rPr>
          <w:rFonts w:ascii="Book Antiqua"/>
          <w:rtl w:val="0"/>
          <w:lang w:val="it-IT"/>
        </w:rPr>
        <w:t xml:space="preserve">In proposito, per completezza, vale la pena di ricordare che nel primo periodo di applicazione di questa fattispecie criminosa si riscontravano numerosi problemi in relazione alla tradizionale pratica agricola della combustione delle stoppie, per cui si rendeva necessario un intervento </w:t>
      </w:r>
      <w:r>
        <w:rPr>
          <w:rFonts w:hAnsi="Book Antiqua" w:hint="default"/>
          <w:rtl w:val="0"/>
          <w:lang w:val="it-IT"/>
        </w:rPr>
        <w:t>“</w:t>
      </w:r>
      <w:r>
        <w:rPr>
          <w:rFonts w:ascii="Book Antiqua"/>
          <w:rtl w:val="0"/>
          <w:lang w:val="it-IT"/>
        </w:rPr>
        <w:t>di alleggerimento</w:t>
      </w:r>
      <w:r>
        <w:rPr>
          <w:rFonts w:hAnsi="Book Antiqua" w:hint="default"/>
          <w:rtl w:val="0"/>
          <w:lang w:val="it-IT"/>
        </w:rPr>
        <w:t xml:space="preserve">” </w:t>
      </w:r>
      <w:r>
        <w:rPr>
          <w:rFonts w:ascii="Book Antiqua"/>
          <w:rtl w:val="0"/>
          <w:lang w:val="it-IT"/>
        </w:rPr>
        <w:t>del legislatore con l'articolo 14, comma 8, decreto legge 24 giugno 2014 n. 91, convertito con legge 11  agosto  2014, n. 116.</w:t>
      </w:r>
    </w:p>
    <w:p>
      <w:pPr>
        <w:pStyle w:val="Normal"/>
        <w:tabs>
          <w:tab w:val="left" w:pos="916"/>
          <w:tab w:val="left" w:pos="1832"/>
          <w:tab w:val="left" w:pos="2748"/>
          <w:tab w:val="left" w:pos="3664"/>
          <w:tab w:val="left" w:pos="4580"/>
          <w:tab w:val="left" w:pos="5496"/>
          <w:tab w:val="left" w:pos="6412"/>
          <w:tab w:val="left" w:pos="7328"/>
          <w:tab w:val="left" w:pos="8244"/>
          <w:tab w:val="left" w:pos="9132"/>
          <w:tab w:val="left" w:pos="9132"/>
          <w:tab w:val="left" w:pos="9132"/>
          <w:tab w:val="left" w:pos="9132"/>
          <w:tab w:val="left" w:pos="9132"/>
          <w:tab w:val="left" w:pos="9132"/>
          <w:tab w:val="left" w:pos="9132"/>
        </w:tabs>
        <w:ind w:left="567" w:right="567" w:firstLine="0"/>
        <w:jc w:val="both"/>
        <w:rPr>
          <w:rFonts w:ascii="Book Antiqua" w:cs="Book Antiqua" w:hAnsi="Book Antiqua" w:eastAsia="Book Antiqua"/>
        </w:rPr>
      </w:pPr>
      <w:r>
        <w:rPr>
          <w:rFonts w:ascii="Book Antiqua"/>
          <w:rtl w:val="0"/>
          <w:lang w:val="it-IT"/>
        </w:rPr>
        <w:t>Una volta cos</w:t>
      </w:r>
      <w:r>
        <w:rPr>
          <w:rFonts w:hAnsi="Book Antiqua" w:hint="default"/>
          <w:rtl w:val="0"/>
          <w:lang w:val="it-IT"/>
        </w:rPr>
        <w:t xml:space="preserve">ì </w:t>
      </w:r>
      <w:r>
        <w:rPr>
          <w:rFonts w:ascii="Book Antiqua"/>
          <w:rtl w:val="0"/>
          <w:lang w:val="it-IT"/>
        </w:rPr>
        <w:t>succintamente delineati i delitti di combustione illecita di rifiuti in via generale, si deve notare che, a distanza di oltre tre anni dalla loro introduzione, essi risultano ben poco applicati</w:t>
      </w:r>
      <w:r>
        <w:rPr>
          <w:rFonts w:ascii="Book Antiqua" w:cs="Book Antiqua" w:hAnsi="Book Antiqua" w:eastAsia="Book Antiqua"/>
          <w:vertAlign w:val="superscript"/>
          <w:rtl w:val="0"/>
        </w:rPr>
        <w:footnoteReference w:id="266"/>
      </w:r>
      <w:r>
        <w:rPr>
          <w:rFonts w:ascii="Book Antiqua"/>
          <w:rtl w:val="0"/>
          <w:lang w:val="it-IT"/>
        </w:rPr>
        <w:t>. Non perch</w:t>
      </w:r>
      <w:r>
        <w:rPr>
          <w:rFonts w:hAnsi="Book Antiqua" w:hint="default"/>
          <w:rtl w:val="0"/>
          <w:lang w:val="it-IT"/>
        </w:rPr>
        <w:t xml:space="preserve">é </w:t>
      </w:r>
      <w:r>
        <w:rPr>
          <w:rFonts w:ascii="Book Antiqua"/>
          <w:rtl w:val="0"/>
          <w:lang w:val="it-IT"/>
        </w:rPr>
        <w:t>non vi siano incendi di rifiuti. Pi</w:t>
      </w:r>
      <w:r>
        <w:rPr>
          <w:rFonts w:hAnsi="Book Antiqua" w:hint="default"/>
          <w:rtl w:val="0"/>
          <w:lang w:val="it-IT"/>
        </w:rPr>
        <w:t xml:space="preserve">ù </w:t>
      </w:r>
      <w:r>
        <w:rPr>
          <w:rFonts w:ascii="Book Antiqua"/>
          <w:rtl w:val="0"/>
          <w:lang w:val="it-IT"/>
        </w:rPr>
        <w:t xml:space="preserve">volte, infatti, nelle indagini su Roma e Lazio, </w:t>
      </w:r>
      <w:r>
        <w:rPr>
          <w:rFonts w:hAnsi="Book Antiqua" w:hint="default"/>
          <w:rtl w:val="0"/>
          <w:lang w:val="it-IT"/>
        </w:rPr>
        <w:t xml:space="preserve">è </w:t>
      </w:r>
      <w:r>
        <w:rPr>
          <w:rFonts w:ascii="Book Antiqua"/>
          <w:rtl w:val="0"/>
          <w:lang w:val="it-IT"/>
        </w:rPr>
        <w:t xml:space="preserve">stato evidenziata alla Commissione la grave problematica dei cd. </w:t>
      </w:r>
      <w:r>
        <w:rPr>
          <w:rFonts w:hAnsi="Book Antiqua" w:hint="default"/>
          <w:rtl w:val="0"/>
          <w:lang w:val="it-IT"/>
        </w:rPr>
        <w:t>“</w:t>
      </w:r>
      <w:r>
        <w:rPr>
          <w:rFonts w:ascii="Book Antiqua"/>
          <w:rtl w:val="0"/>
          <w:lang w:val="it-IT"/>
        </w:rPr>
        <w:t>roghi tossici</w:t>
      </w:r>
      <w:r>
        <w:rPr>
          <w:rFonts w:hAnsi="Book Antiqua" w:hint="default"/>
          <w:rtl w:val="0"/>
          <w:lang w:val="it-IT"/>
        </w:rPr>
        <w:t>”</w:t>
      </w:r>
      <w:r>
        <w:rPr>
          <w:rFonts w:ascii="Book Antiqua"/>
          <w:rtl w:val="0"/>
          <w:lang w:val="it-IT"/>
        </w:rPr>
        <w:t>.</w:t>
      </w:r>
    </w:p>
    <w:p>
      <w:pPr>
        <w:pStyle w:val="intervento"/>
        <w:spacing w:before="0" w:after="0"/>
        <w:ind w:left="567" w:right="567" w:firstLine="0"/>
        <w:jc w:val="both"/>
        <w:rPr>
          <w:rFonts w:ascii="Book Antiqua" w:cs="Book Antiqua" w:hAnsi="Book Antiqua" w:eastAsia="Book Antiqua"/>
        </w:rPr>
      </w:pPr>
      <w:r>
        <w:rPr>
          <w:rFonts w:ascii="Book Antiqua"/>
          <w:rtl w:val="0"/>
          <w:lang w:val="it-IT"/>
        </w:rPr>
        <w:t xml:space="preserve">Ad esempio, il questore di Latina, Giuseppe De Matteis, nella audizione alla Commissione del 20 febbraio 2017, ha parlato di </w:t>
      </w:r>
      <w:r>
        <w:rPr>
          <w:rFonts w:hAnsi="Book Antiqua" w:hint="default"/>
          <w:rtl w:val="0"/>
          <w:lang w:val="it-IT"/>
        </w:rPr>
        <w:t>“</w:t>
      </w:r>
      <w:r>
        <w:rPr>
          <w:rFonts w:ascii="Book Antiqua"/>
          <w:rtl w:val="0"/>
          <w:lang w:val="it-IT"/>
        </w:rPr>
        <w:t>roghi tossici</w:t>
      </w:r>
      <w:r>
        <w:rPr>
          <w:rFonts w:hAnsi="Book Antiqua" w:hint="default"/>
          <w:rtl w:val="0"/>
          <w:lang w:val="it-IT"/>
        </w:rPr>
        <w:t>”</w:t>
      </w:r>
      <w:r>
        <w:rPr>
          <w:rFonts w:ascii="Book Antiqua"/>
          <w:rtl w:val="0"/>
          <w:lang w:val="it-IT"/>
        </w:rPr>
        <w:t>, ponendoli in relazione ad attivit</w:t>
      </w:r>
      <w:r>
        <w:rPr>
          <w:rFonts w:hAnsi="Book Antiqua" w:hint="default"/>
          <w:rtl w:val="0"/>
          <w:lang w:val="it-IT"/>
        </w:rPr>
        <w:t xml:space="preserve">à </w:t>
      </w:r>
      <w:r>
        <w:rPr>
          <w:rFonts w:ascii="Book Antiqua"/>
          <w:rtl w:val="0"/>
          <w:lang w:val="it-IT"/>
        </w:rPr>
        <w:t xml:space="preserve">della camorra ed evidenziando che trattasi di comportamenti attuabili solo </w:t>
      </w:r>
      <w:r>
        <w:rPr>
          <w:rFonts w:hAnsi="Book Antiqua" w:hint="default"/>
          <w:rtl w:val="0"/>
          <w:lang w:val="it-IT"/>
        </w:rPr>
        <w:t>“</w:t>
      </w:r>
      <w:r>
        <w:rPr>
          <w:rFonts w:ascii="Book Antiqua"/>
          <w:rtl w:val="0"/>
          <w:lang w:val="it-IT"/>
        </w:rPr>
        <w:t>nei territori in cui c'</w:t>
      </w:r>
      <w:r>
        <w:rPr>
          <w:rFonts w:hAnsi="Book Antiqua" w:hint="default"/>
          <w:rtl w:val="0"/>
          <w:lang w:val="it-IT"/>
        </w:rPr>
        <w:t xml:space="preserve">è </w:t>
      </w:r>
      <w:r>
        <w:rPr>
          <w:rFonts w:ascii="Book Antiqua"/>
          <w:rtl w:val="0"/>
          <w:lang w:val="it-IT"/>
        </w:rPr>
        <w:t xml:space="preserve">il controllo militare del territorio. </w:t>
      </w:r>
      <w:r>
        <w:rPr>
          <w:rFonts w:hAnsi="Book Antiqua" w:hint="default"/>
          <w:rtl w:val="0"/>
          <w:lang w:val="it-IT"/>
        </w:rPr>
        <w:t xml:space="preserve">È </w:t>
      </w:r>
      <w:r>
        <w:rPr>
          <w:rFonts w:ascii="Book Antiqua"/>
          <w:rtl w:val="0"/>
          <w:lang w:val="it-IT"/>
        </w:rPr>
        <w:t xml:space="preserve">chiaro che, se la volante passa e vede un rogo nella provincia di Latina, nei pressi di Aprilia, si interviene sicuramente subito. </w:t>
      </w:r>
      <w:r>
        <w:rPr>
          <w:rFonts w:hAnsi="Book Antiqua" w:hint="default"/>
          <w:rtl w:val="0"/>
          <w:lang w:val="it-IT"/>
        </w:rPr>
        <w:t xml:space="preserve">È </w:t>
      </w:r>
      <w:r>
        <w:rPr>
          <w:rFonts w:ascii="Book Antiqua"/>
          <w:rtl w:val="0"/>
          <w:lang w:val="it-IT"/>
        </w:rPr>
        <w:t xml:space="preserve">lo stesso problema per cui storicamente i pentiti di mafia dicono che a Milano </w:t>
      </w:r>
      <w:r>
        <w:rPr>
          <w:rFonts w:hAnsi="Book Antiqua" w:hint="default"/>
          <w:rtl w:val="0"/>
          <w:lang w:val="it-IT"/>
        </w:rPr>
        <w:t xml:space="preserve">è </w:t>
      </w:r>
      <w:r>
        <w:rPr>
          <w:rFonts w:ascii="Book Antiqua"/>
          <w:rtl w:val="0"/>
          <w:lang w:val="it-IT"/>
        </w:rPr>
        <w:t>impossibile far sparire i cadaveri bruciandoli con i copertoni, come si fa nelle terre originarie, esattamente perch</w:t>
      </w:r>
      <w:r>
        <w:rPr>
          <w:rFonts w:hAnsi="Book Antiqua" w:hint="default"/>
          <w:rtl w:val="0"/>
          <w:lang w:val="it-IT"/>
        </w:rPr>
        <w:t xml:space="preserve">é </w:t>
      </w:r>
      <w:r>
        <w:rPr>
          <w:rFonts w:ascii="Book Antiqua"/>
          <w:rtl w:val="0"/>
          <w:lang w:val="it-IT"/>
        </w:rPr>
        <w:t xml:space="preserve">il rogo attirerebbe l'attenzione delle forze dell'ordine. Quindi, a Milano negli anni Novanta i cadaveri di mafia venivano interrati e non bruciati. </w:t>
      </w:r>
      <w:r>
        <w:rPr>
          <w:rFonts w:hAnsi="Book Antiqua" w:hint="default"/>
          <w:rtl w:val="0"/>
          <w:lang w:val="it-IT"/>
        </w:rPr>
        <w:t xml:space="preserve">È </w:t>
      </w:r>
      <w:r>
        <w:rPr>
          <w:rFonts w:ascii="Book Antiqua"/>
          <w:rtl w:val="0"/>
          <w:lang w:val="it-IT"/>
        </w:rPr>
        <w:t>lo stesso motivo.</w:t>
      </w:r>
      <w:r>
        <w:rPr>
          <w:rFonts w:hAnsi="Book Antiqua" w:hint="default"/>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Pi</w:t>
      </w:r>
      <w:r>
        <w:rPr>
          <w:rFonts w:hAnsi="Book Antiqua" w:hint="default"/>
          <w:rtl w:val="0"/>
          <w:lang w:val="it-IT"/>
        </w:rPr>
        <w:t xml:space="preserve">ù </w:t>
      </w:r>
      <w:r>
        <w:rPr>
          <w:rFonts w:ascii="Book Antiqua"/>
          <w:rtl w:val="0"/>
          <w:lang w:val="it-IT"/>
        </w:rPr>
        <w:t>di recente, ma con riferimento ai campi nomadi, ha parlato del fenomeno anche Nunzia D</w:t>
      </w:r>
      <w:r>
        <w:rPr>
          <w:rFonts w:hAnsi="Book Antiqua" w:hint="default"/>
          <w:rtl w:val="0"/>
          <w:lang w:val="it-IT"/>
        </w:rPr>
        <w:t>’</w:t>
      </w:r>
      <w:r>
        <w:rPr>
          <w:rFonts w:ascii="Book Antiqua"/>
          <w:rtl w:val="0"/>
          <w:lang w:val="it-IT"/>
        </w:rPr>
        <w:t xml:space="preserve">Elia, procuratore aggiunto della Repubblica presso il tribunale di Roma nella audizione alla Commissione del 30 maggio 2017, evidenziando che in questi campi </w:t>
      </w:r>
      <w:r>
        <w:rPr>
          <w:rFonts w:hAnsi="Book Antiqua" w:hint="default"/>
          <w:rtl w:val="0"/>
          <w:lang w:val="it-IT"/>
        </w:rPr>
        <w:t>“</w:t>
      </w:r>
      <w:r>
        <w:rPr>
          <w:rFonts w:ascii="Book Antiqua"/>
          <w:rtl w:val="0"/>
          <w:lang w:val="it-IT"/>
        </w:rPr>
        <w:t>spesso si consumano eventi che mettono in pericolo la pubblica incolumit</w:t>
      </w:r>
      <w:r>
        <w:rPr>
          <w:rFonts w:hAnsi="Book Antiqua" w:hint="default"/>
          <w:rtl w:val="0"/>
          <w:lang w:val="it-IT"/>
        </w:rPr>
        <w:t>à</w:t>
      </w:r>
      <w:r>
        <w:rPr>
          <w:rFonts w:ascii="Book Antiqua"/>
          <w:rtl w:val="0"/>
          <w:lang w:val="it-IT"/>
        </w:rPr>
        <w:t>. In particolare, i nomadi si dedicano a queste attivit</w:t>
      </w:r>
      <w:r>
        <w:rPr>
          <w:rFonts w:hAnsi="Book Antiqua" w:hint="default"/>
          <w:rtl w:val="0"/>
          <w:lang w:val="it-IT"/>
        </w:rPr>
        <w:t xml:space="preserve">à </w:t>
      </w:r>
      <w:r>
        <w:rPr>
          <w:rFonts w:ascii="Book Antiqua"/>
          <w:rtl w:val="0"/>
          <w:lang w:val="it-IT"/>
        </w:rPr>
        <w:t xml:space="preserve">di raccolta illecita. </w:t>
      </w:r>
      <w:r>
        <w:rPr>
          <w:rFonts w:hAnsi="Book Antiqua" w:hint="default"/>
          <w:rtl w:val="0"/>
          <w:lang w:val="it-IT"/>
        </w:rPr>
        <w:t xml:space="preserve">È </w:t>
      </w:r>
      <w:r>
        <w:rPr>
          <w:rFonts w:ascii="Book Antiqua"/>
          <w:rtl w:val="0"/>
          <w:lang w:val="it-IT"/>
        </w:rPr>
        <w:t>chiaro che [</w:t>
      </w:r>
      <w:r>
        <w:rPr>
          <w:rFonts w:hAnsi="Book Antiqua" w:hint="default"/>
          <w:rtl w:val="0"/>
          <w:lang w:val="it-IT"/>
        </w:rPr>
        <w:t>…</w:t>
      </w:r>
      <w:r>
        <w:rPr>
          <w:rFonts w:ascii="Book Antiqua"/>
          <w:rtl w:val="0"/>
          <w:lang w:val="it-IT"/>
        </w:rPr>
        <w:t>] c</w:t>
      </w:r>
      <w:r>
        <w:rPr>
          <w:rFonts w:hAnsi="Book Antiqua" w:hint="default"/>
          <w:rtl w:val="0"/>
          <w:lang w:val="it-IT"/>
        </w:rPr>
        <w:t xml:space="preserve">’è </w:t>
      </w:r>
      <w:r>
        <w:rPr>
          <w:rFonts w:ascii="Book Antiqua"/>
          <w:rtl w:val="0"/>
          <w:lang w:val="it-IT"/>
        </w:rPr>
        <w:t>spazio per ogni iniziativa di carattere illecito, per cui addirittura ci sono delle situazioni nelle quali i nomadi vanno a prendere i rifiuti mentre i cittadini cercano di portarli nelle discariche. Ovviamente, li prendono senza essere pagati. Questo comporta l</w:t>
      </w:r>
      <w:r>
        <w:rPr>
          <w:rFonts w:hAnsi="Book Antiqua" w:hint="default"/>
          <w:rtl w:val="0"/>
          <w:lang w:val="it-IT"/>
        </w:rPr>
        <w:t>’</w:t>
      </w:r>
      <w:r>
        <w:rPr>
          <w:rFonts w:ascii="Book Antiqua"/>
          <w:rtl w:val="0"/>
          <w:lang w:val="it-IT"/>
        </w:rPr>
        <w:t>abbandono di questi rifiuti nei luoghi vicino ai campi nomadi. Inoltre, si arriva poi all</w:t>
      </w:r>
      <w:r>
        <w:rPr>
          <w:rFonts w:hAnsi="Book Antiqua" w:hint="default"/>
          <w:rtl w:val="0"/>
          <w:lang w:val="it-IT"/>
        </w:rPr>
        <w:t>’</w:t>
      </w:r>
      <w:r>
        <w:rPr>
          <w:rFonts w:ascii="Book Antiqua"/>
          <w:rtl w:val="0"/>
          <w:lang w:val="it-IT"/>
        </w:rPr>
        <w:t xml:space="preserve">altro fenomeno degli incendi dei rifiuti, che per i nomadi </w:t>
      </w:r>
      <w:r>
        <w:rPr>
          <w:rFonts w:hAnsi="Book Antiqua" w:hint="default"/>
          <w:rtl w:val="0"/>
          <w:lang w:val="it-IT"/>
        </w:rPr>
        <w:t xml:space="preserve">è </w:t>
      </w:r>
      <w:r>
        <w:rPr>
          <w:rFonts w:ascii="Book Antiqua"/>
          <w:rtl w:val="0"/>
          <w:lang w:val="it-IT"/>
        </w:rPr>
        <w:t>un metodo normale di smaltimento di rifiuti, che non possono utilizzare</w:t>
      </w:r>
      <w:r>
        <w:rPr>
          <w:rFonts w:hAnsi="Book Antiqua" w:hint="default"/>
          <w:rtl w:val="0"/>
          <w:lang w:val="it-IT"/>
        </w:rPr>
        <w:t>”</w:t>
      </w:r>
      <w:r>
        <w:rPr>
          <w:rFonts w:ascii="Book Antiqua"/>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Argomento ripreso, da ultimo, da diverse associazioni di cittadini, le quali, prendendo spunto dall</w:t>
      </w:r>
      <w:r>
        <w:rPr>
          <w:rFonts w:hAnsi="Book Antiqua" w:hint="default"/>
          <w:rtl w:val="0"/>
          <w:lang w:val="it-IT"/>
        </w:rPr>
        <w:t>’</w:t>
      </w:r>
      <w:r>
        <w:rPr>
          <w:rFonts w:ascii="Book Antiqua"/>
          <w:rtl w:val="0"/>
          <w:lang w:val="it-IT"/>
        </w:rPr>
        <w:t>incendio della Eco X di Pomezia (di cui si tratter</w:t>
      </w:r>
      <w:r>
        <w:rPr>
          <w:rFonts w:hAnsi="Book Antiqua" w:hint="default"/>
          <w:rtl w:val="0"/>
          <w:lang w:val="it-IT"/>
        </w:rPr>
        <w:t xml:space="preserve">à </w:t>
      </w:r>
      <w:r>
        <w:rPr>
          <w:rFonts w:ascii="Book Antiqua"/>
          <w:rtl w:val="0"/>
          <w:lang w:val="it-IT"/>
        </w:rPr>
        <w:t xml:space="preserve">nel </w:t>
      </w:r>
      <w:r>
        <w:rPr>
          <w:rFonts w:hAnsi="Book Antiqua" w:hint="default"/>
          <w:rtl w:val="0"/>
          <w:lang w:val="it-IT"/>
        </w:rPr>
        <w:t xml:space="preserve">§ </w:t>
      </w:r>
      <w:r>
        <w:rPr>
          <w:rFonts w:ascii="Book Antiqua"/>
          <w:rtl w:val="0"/>
          <w:lang w:val="it-IT"/>
        </w:rPr>
        <w:t xml:space="preserve">6.4), hanno scritto alla Commissione per denunciare i </w:t>
      </w:r>
      <w:r>
        <w:rPr>
          <w:rFonts w:hAnsi="Book Antiqua" w:hint="default"/>
          <w:rtl w:val="0"/>
          <w:lang w:val="it-IT"/>
        </w:rPr>
        <w:t>“</w:t>
      </w:r>
      <w:r>
        <w:rPr>
          <w:rFonts w:ascii="Book Antiqua"/>
          <w:rtl w:val="0"/>
          <w:lang w:val="it-IT"/>
        </w:rPr>
        <w:t>roghi tossici</w:t>
      </w:r>
      <w:r>
        <w:rPr>
          <w:rFonts w:hAnsi="Book Antiqua" w:hint="default"/>
          <w:rtl w:val="0"/>
          <w:lang w:val="it-IT"/>
        </w:rPr>
        <w:t xml:space="preserve">” </w:t>
      </w:r>
      <w:r>
        <w:rPr>
          <w:rFonts w:ascii="Book Antiqua"/>
          <w:rtl w:val="0"/>
          <w:lang w:val="it-IT"/>
        </w:rPr>
        <w:t>del campo nomadi di via di Salone in Roma</w:t>
      </w:r>
      <w:r>
        <w:rPr>
          <w:rFonts w:ascii="Book Antiqua" w:cs="Book Antiqua" w:hAnsi="Book Antiqua" w:eastAsia="Book Antiqua"/>
          <w:vertAlign w:val="superscript"/>
          <w:rtl w:val="0"/>
        </w:rPr>
        <w:footnoteReference w:id="267"/>
      </w:r>
      <w:r>
        <w:rPr>
          <w:rFonts w:ascii="Book Antiqua"/>
          <w:rtl w:val="0"/>
          <w:lang w:val="it-IT"/>
        </w:rPr>
        <w:t>.</w:t>
      </w:r>
    </w:p>
    <w:p>
      <w:pPr>
        <w:pStyle w:val="Normal"/>
        <w:tabs>
          <w:tab w:val="left" w:pos="916"/>
          <w:tab w:val="left" w:pos="1832"/>
          <w:tab w:val="left" w:pos="2748"/>
          <w:tab w:val="left" w:pos="3664"/>
          <w:tab w:val="left" w:pos="4580"/>
          <w:tab w:val="left" w:pos="5496"/>
          <w:tab w:val="left" w:pos="6412"/>
          <w:tab w:val="left" w:pos="7328"/>
          <w:tab w:val="left" w:pos="8244"/>
          <w:tab w:val="left" w:pos="9132"/>
          <w:tab w:val="left" w:pos="9132"/>
          <w:tab w:val="left" w:pos="9132"/>
          <w:tab w:val="left" w:pos="9132"/>
          <w:tab w:val="left" w:pos="9132"/>
          <w:tab w:val="left" w:pos="9132"/>
          <w:tab w:val="left" w:pos="9132"/>
        </w:tabs>
        <w:ind w:left="567" w:right="567" w:firstLine="0"/>
        <w:jc w:val="both"/>
        <w:rPr>
          <w:rFonts w:ascii="Book Antiqua" w:cs="Book Antiqua" w:hAnsi="Book Antiqua" w:eastAsia="Book Antiqua"/>
        </w:rPr>
      </w:pPr>
      <w:r>
        <w:rPr>
          <w:rFonts w:ascii="Book Antiqua"/>
          <w:rtl w:val="0"/>
          <w:lang w:val="it-IT"/>
        </w:rPr>
        <w:t>Si tratta, quindi, di un fenomeno delittuoso molto frequente ma generalmente impunito in quanto, di solito, restano ignoti i loro autori, specie in quei territori (</w:t>
      </w:r>
      <w:r>
        <w:rPr>
          <w:rFonts w:hAnsi="Book Antiqua" w:hint="default"/>
          <w:rtl w:val="0"/>
          <w:lang w:val="it-IT"/>
        </w:rPr>
        <w:t>“</w:t>
      </w:r>
      <w:r>
        <w:rPr>
          <w:rFonts w:ascii="Book Antiqua"/>
          <w:rtl w:val="0"/>
          <w:lang w:val="it-IT"/>
        </w:rPr>
        <w:t>Terra dei fuochi</w:t>
      </w:r>
      <w:r>
        <w:rPr>
          <w:rFonts w:hAnsi="Book Antiqua" w:hint="default"/>
          <w:rtl w:val="0"/>
          <w:lang w:val="it-IT"/>
        </w:rPr>
        <w:t>”</w:t>
      </w:r>
      <w:r>
        <w:rPr>
          <w:rFonts w:ascii="Book Antiqua"/>
          <w:rtl w:val="0"/>
          <w:lang w:val="it-IT"/>
        </w:rPr>
        <w:t xml:space="preserve">) in cui, come risulta dalle risultanze sopra illustrate, </w:t>
      </w:r>
      <w:r>
        <w:rPr>
          <w:rFonts w:hAnsi="Book Antiqua" w:hint="default"/>
          <w:rtl w:val="0"/>
          <w:lang w:val="it-IT"/>
        </w:rPr>
        <w:t>“</w:t>
      </w:r>
      <w:r>
        <w:rPr>
          <w:rFonts w:ascii="Book Antiqua"/>
          <w:rtl w:val="0"/>
          <w:lang w:val="it-IT"/>
        </w:rPr>
        <w:t>c'</w:t>
      </w:r>
      <w:r>
        <w:rPr>
          <w:rFonts w:hAnsi="Book Antiqua" w:hint="default"/>
          <w:rtl w:val="0"/>
          <w:lang w:val="it-IT"/>
        </w:rPr>
        <w:t xml:space="preserve">è </w:t>
      </w:r>
      <w:r>
        <w:rPr>
          <w:rFonts w:ascii="Book Antiqua"/>
          <w:rtl w:val="0"/>
          <w:lang w:val="it-IT"/>
        </w:rPr>
        <w:t>il controllo militare del territorio</w:t>
      </w:r>
      <w:r>
        <w:rPr>
          <w:rFonts w:hAnsi="Book Antiqua" w:hint="default"/>
          <w:i w:val="1"/>
          <w:iCs w:val="1"/>
          <w:rtl w:val="0"/>
          <w:lang w:val="it-IT"/>
        </w:rPr>
        <w:t xml:space="preserve">” </w:t>
      </w:r>
      <w:r>
        <w:rPr>
          <w:rFonts w:ascii="Book Antiqua"/>
          <w:rtl w:val="0"/>
          <w:lang w:val="it-IT"/>
        </w:rPr>
        <w:t>da parte della criminalit</w:t>
      </w:r>
      <w:r>
        <w:rPr>
          <w:rFonts w:hAnsi="Book Antiqua" w:hint="default"/>
          <w:rtl w:val="0"/>
          <w:lang w:val="it-IT"/>
        </w:rPr>
        <w:t xml:space="preserve">à </w:t>
      </w:r>
      <w:r>
        <w:rPr>
          <w:rFonts w:ascii="Book Antiqua"/>
          <w:rtl w:val="0"/>
          <w:lang w:val="it-IT"/>
        </w:rPr>
        <w:t>organizzata ovvero quando, come spesso avviene, si riscontrano in campi nomadi.</w:t>
      </w:r>
    </w:p>
    <w:p>
      <w:pPr>
        <w:pStyle w:val="Normal"/>
        <w:tabs>
          <w:tab w:val="left" w:pos="916"/>
          <w:tab w:val="left" w:pos="1832"/>
          <w:tab w:val="left" w:pos="2748"/>
          <w:tab w:val="left" w:pos="3664"/>
          <w:tab w:val="left" w:pos="4580"/>
          <w:tab w:val="left" w:pos="5496"/>
          <w:tab w:val="left" w:pos="6412"/>
          <w:tab w:val="left" w:pos="7328"/>
          <w:tab w:val="left" w:pos="8244"/>
          <w:tab w:val="left" w:pos="9132"/>
          <w:tab w:val="left" w:pos="9132"/>
          <w:tab w:val="left" w:pos="9132"/>
          <w:tab w:val="left" w:pos="9132"/>
          <w:tab w:val="left" w:pos="9132"/>
          <w:tab w:val="left" w:pos="9132"/>
          <w:tab w:val="left" w:pos="9132"/>
        </w:tabs>
        <w:ind w:left="567" w:right="567" w:firstLine="0"/>
        <w:jc w:val="both"/>
        <w:rPr>
          <w:rFonts w:ascii="Book Antiqua" w:cs="Book Antiqua" w:hAnsi="Book Antiqua" w:eastAsia="Book Antiqua"/>
        </w:rPr>
      </w:pPr>
      <w:r>
        <w:rPr>
          <w:rFonts w:ascii="Book Antiqua"/>
          <w:rtl w:val="0"/>
          <w:lang w:val="it-IT"/>
        </w:rPr>
        <w:t>Va quindi rilevato che si tratta, in questi casi, non di carenza legislativa ma di carenza di controlli sul territorio con le relative difficolt</w:t>
      </w:r>
      <w:r>
        <w:rPr>
          <w:rFonts w:hAnsi="Book Antiqua" w:hint="default"/>
          <w:rtl w:val="0"/>
          <w:lang w:val="it-IT"/>
        </w:rPr>
        <w:t xml:space="preserve">à </w:t>
      </w:r>
      <w:r>
        <w:rPr>
          <w:rFonts w:ascii="Book Antiqua"/>
          <w:rtl w:val="0"/>
          <w:lang w:val="it-IT"/>
        </w:rPr>
        <w:t>di indagine; per cui appare indispensabile, insieme al potenziamento dei controlli preventivi e delle indagini su ogni episodio, avere la collaborazione piena, anche culturale, delle popolazioni interessate.</w:t>
      </w:r>
    </w:p>
    <w:p>
      <w:pPr>
        <w:pStyle w:val="Normal"/>
        <w:tabs>
          <w:tab w:val="left" w:pos="916"/>
          <w:tab w:val="left" w:pos="1832"/>
          <w:tab w:val="left" w:pos="2748"/>
          <w:tab w:val="left" w:pos="3664"/>
          <w:tab w:val="left" w:pos="4580"/>
          <w:tab w:val="left" w:pos="5496"/>
          <w:tab w:val="left" w:pos="6412"/>
          <w:tab w:val="left" w:pos="7328"/>
          <w:tab w:val="left" w:pos="8244"/>
          <w:tab w:val="left" w:pos="9132"/>
          <w:tab w:val="left" w:pos="9132"/>
          <w:tab w:val="left" w:pos="9132"/>
          <w:tab w:val="left" w:pos="9132"/>
          <w:tab w:val="left" w:pos="9132"/>
          <w:tab w:val="left" w:pos="9132"/>
          <w:tab w:val="left" w:pos="9132"/>
        </w:tabs>
        <w:ind w:left="567" w:right="567" w:firstLine="0"/>
        <w:jc w:val="both"/>
        <w:rPr>
          <w:rFonts w:ascii="Book Antiqua" w:cs="Book Antiqua" w:hAnsi="Book Antiqua" w:eastAsia="Book Antiqua"/>
        </w:rPr>
      </w:pPr>
      <w:r>
        <w:rPr>
          <w:rFonts w:ascii="Book Antiqua"/>
          <w:rtl w:val="0"/>
          <w:lang w:val="it-IT"/>
        </w:rPr>
        <w:t>C</w:t>
      </w:r>
      <w:r>
        <w:rPr>
          <w:rFonts w:hAnsi="Book Antiqua" w:hint="default"/>
          <w:rtl w:val="0"/>
          <w:lang w:val="it-IT"/>
        </w:rPr>
        <w:t xml:space="preserve">’è </w:t>
      </w:r>
      <w:r>
        <w:rPr>
          <w:rFonts w:ascii="Book Antiqua"/>
          <w:rtl w:val="0"/>
          <w:lang w:val="it-IT"/>
        </w:rPr>
        <w:t xml:space="preserve">tuttavia un problema da evidenziare a proposito della formulazione legislativa adottata per delineare i delitti di cui sopra. </w:t>
      </w:r>
    </w:p>
    <w:p>
      <w:pPr>
        <w:pStyle w:val="Normal"/>
        <w:tabs>
          <w:tab w:val="left" w:pos="916"/>
          <w:tab w:val="left" w:pos="1832"/>
          <w:tab w:val="left" w:pos="2748"/>
          <w:tab w:val="left" w:pos="3664"/>
          <w:tab w:val="left" w:pos="4580"/>
          <w:tab w:val="left" w:pos="5496"/>
          <w:tab w:val="left" w:pos="6412"/>
          <w:tab w:val="left" w:pos="7328"/>
          <w:tab w:val="left" w:pos="8244"/>
          <w:tab w:val="left" w:pos="9132"/>
          <w:tab w:val="left" w:pos="9132"/>
          <w:tab w:val="left" w:pos="9132"/>
          <w:tab w:val="left" w:pos="9132"/>
          <w:tab w:val="left" w:pos="9132"/>
          <w:tab w:val="left" w:pos="9132"/>
          <w:tab w:val="left" w:pos="9132"/>
        </w:tabs>
        <w:ind w:left="567" w:right="567" w:firstLine="0"/>
        <w:jc w:val="both"/>
        <w:rPr>
          <w:rFonts w:ascii="Book Antiqua" w:cs="Book Antiqua" w:hAnsi="Book Antiqua" w:eastAsia="Book Antiqua"/>
        </w:rPr>
      </w:pPr>
      <w:r>
        <w:rPr>
          <w:rFonts w:ascii="Book Antiqua"/>
          <w:rtl w:val="0"/>
          <w:lang w:val="it-IT"/>
        </w:rPr>
        <w:t>Come abbiamo visto, cio</w:t>
      </w:r>
      <w:r>
        <w:rPr>
          <w:rFonts w:hAnsi="Book Antiqua" w:hint="default"/>
          <w:rtl w:val="0"/>
          <w:lang w:val="it-IT"/>
        </w:rPr>
        <w:t>è</w:t>
      </w:r>
      <w:r>
        <w:rPr>
          <w:rFonts w:ascii="Book Antiqua"/>
          <w:rtl w:val="0"/>
          <w:lang w:val="it-IT"/>
        </w:rPr>
        <w:t>, la</w:t>
      </w:r>
      <w:r>
        <w:rPr>
          <w:rFonts w:ascii="Book Antiqua"/>
          <w:i w:val="1"/>
          <w:iCs w:val="1"/>
          <w:rtl w:val="0"/>
          <w:lang w:val="it-IT"/>
        </w:rPr>
        <w:t xml:space="preserve"> </w:t>
      </w:r>
      <w:r>
        <w:rPr>
          <w:rFonts w:ascii="Book Antiqua"/>
          <w:rtl w:val="0"/>
          <w:lang w:val="it-IT"/>
        </w:rPr>
        <w:t>fattispecie criminosa riguarda chiunque appicca  il  fuoco  a rifiuti abbandonati ovvero depositati  in  maniera  incontrollata: specificazione veramente singolare, perch</w:t>
      </w:r>
      <w:r>
        <w:rPr>
          <w:rFonts w:hAnsi="Book Antiqua" w:hint="default"/>
          <w:rtl w:val="0"/>
          <w:lang w:val="it-IT"/>
        </w:rPr>
        <w:t xml:space="preserve">é </w:t>
      </w:r>
      <w:r>
        <w:rPr>
          <w:rFonts w:ascii="Book Antiqua"/>
          <w:rtl w:val="0"/>
          <w:lang w:val="it-IT"/>
        </w:rPr>
        <w:t>un incendio di rifiuti stoccati ordinatamente produce gli stessi effetti dannosi di un incendio di rifiuti abbandonati. E potrebbe portare addirittura alla conclusione che questo delitto non pu</w:t>
      </w:r>
      <w:r>
        <w:rPr>
          <w:rFonts w:hAnsi="Book Antiqua" w:hint="default"/>
          <w:rtl w:val="0"/>
          <w:lang w:val="it-IT"/>
        </w:rPr>
        <w:t xml:space="preserve">ò </w:t>
      </w:r>
      <w:r>
        <w:rPr>
          <w:rFonts w:ascii="Book Antiqua"/>
          <w:rtl w:val="0"/>
          <w:lang w:val="it-IT"/>
        </w:rPr>
        <w:t>applicarsi a chi appicca il fuoco, appunto, a rifiuti non abbandonati ma depositati non in modo incontrollato nel suo impianto;  escludendo, quindi, l</w:t>
      </w:r>
      <w:r>
        <w:rPr>
          <w:rFonts w:hAnsi="Book Antiqua" w:hint="default"/>
          <w:rtl w:val="0"/>
          <w:lang w:val="it-IT"/>
        </w:rPr>
        <w:t>’</w:t>
      </w:r>
      <w:r>
        <w:rPr>
          <w:rFonts w:ascii="Book Antiqua"/>
          <w:rtl w:val="0"/>
          <w:lang w:val="it-IT"/>
        </w:rPr>
        <w:t>applicazione di questi delitti ai titolari di impianti di gestione e smaltimento di rifiuti che appiccano fuoco ai rifiuti da essi detenuti, qualora risulti fossero regolarmente stoccati</w:t>
      </w:r>
      <w:r>
        <w:rPr>
          <w:rFonts w:ascii="Book Antiqua" w:cs="Book Antiqua" w:hAnsi="Book Antiqua" w:eastAsia="Book Antiqua"/>
          <w:vertAlign w:val="superscript"/>
          <w:rtl w:val="0"/>
        </w:rPr>
        <w:footnoteReference w:id="268"/>
      </w:r>
      <w:r>
        <w:rPr>
          <w:rFonts w:ascii="Book Antiqua"/>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Leggendo i lavori preparatori, sembra che questa singolare formulazione sia da attribuirsi alla preoccupazione del legislatore di evitare il pericolo di ricomprendere nell</w:t>
      </w:r>
      <w:r>
        <w:rPr>
          <w:rFonts w:hAnsi="Book Antiqua" w:hint="default"/>
          <w:rtl w:val="0"/>
          <w:lang w:val="it-IT"/>
        </w:rPr>
        <w:t>’</w:t>
      </w:r>
      <w:r>
        <w:rPr>
          <w:rFonts w:ascii="Book Antiqua"/>
          <w:rtl w:val="0"/>
          <w:lang w:val="it-IT"/>
        </w:rPr>
        <w:t>ambito della norma incriminatrice l</w:t>
      </w:r>
      <w:r>
        <w:rPr>
          <w:rFonts w:hAnsi="Book Antiqua" w:hint="default"/>
          <w:rtl w:val="0"/>
          <w:lang w:val="it-IT"/>
        </w:rPr>
        <w:t>’</w:t>
      </w:r>
      <w:r>
        <w:rPr>
          <w:rFonts w:ascii="Book Antiqua"/>
          <w:rtl w:val="0"/>
          <w:lang w:val="it-IT"/>
        </w:rPr>
        <w:t xml:space="preserve">incenerimento (legale) di rifiuti nei termovalorizzatori. </w:t>
      </w:r>
    </w:p>
    <w:p>
      <w:pPr>
        <w:pStyle w:val="Normal"/>
        <w:ind w:left="567" w:right="567" w:firstLine="0"/>
        <w:jc w:val="both"/>
        <w:rPr>
          <w:rFonts w:ascii="Book Antiqua" w:cs="Book Antiqua" w:hAnsi="Book Antiqua" w:eastAsia="Book Antiqua"/>
        </w:rPr>
      </w:pPr>
      <w:r>
        <w:rPr>
          <w:rFonts w:ascii="Book Antiqua"/>
          <w:rtl w:val="0"/>
          <w:lang w:val="it-IT"/>
        </w:rPr>
        <w:t>Lo stesso risultato potrebbe peraltro essere raggiunto molto pi</w:t>
      </w:r>
      <w:r>
        <w:rPr>
          <w:rFonts w:hAnsi="Book Antiqua" w:hint="default"/>
          <w:rtl w:val="0"/>
          <w:lang w:val="it-IT"/>
        </w:rPr>
        <w:t xml:space="preserve">ù </w:t>
      </w:r>
      <w:r>
        <w:rPr>
          <w:rFonts w:ascii="Book Antiqua"/>
          <w:rtl w:val="0"/>
          <w:lang w:val="it-IT"/>
        </w:rPr>
        <w:t>chiaramente ed efficacemente stabilendo, cos</w:t>
      </w:r>
      <w:r>
        <w:rPr>
          <w:rFonts w:hAnsi="Book Antiqua" w:hint="default"/>
          <w:rtl w:val="0"/>
          <w:lang w:val="it-IT"/>
        </w:rPr>
        <w:t xml:space="preserve">ì </w:t>
      </w:r>
      <w:r>
        <w:rPr>
          <w:rFonts w:ascii="Book Antiqua"/>
          <w:rtl w:val="0"/>
          <w:lang w:val="it-IT"/>
        </w:rPr>
        <w:t xml:space="preserve">come per il traffico illecito, che la fattispecie riguarda solo chi appicca fuoco a rifiuti </w:t>
      </w:r>
      <w:r>
        <w:rPr>
          <w:rFonts w:hAnsi="Book Antiqua" w:hint="default"/>
          <w:rtl w:val="0"/>
          <w:lang w:val="it-IT"/>
        </w:rPr>
        <w:t>“</w:t>
      </w:r>
      <w:r>
        <w:rPr>
          <w:rFonts w:ascii="Book Antiqua"/>
          <w:rtl w:val="0"/>
          <w:lang w:val="it-IT"/>
        </w:rPr>
        <w:t>abusivamente</w:t>
      </w:r>
      <w:r>
        <w:rPr>
          <w:rFonts w:hAnsi="Book Antiqua" w:hint="default"/>
          <w:rtl w:val="0"/>
          <w:lang w:val="it-IT"/>
        </w:rPr>
        <w:t xml:space="preserve">” </w:t>
      </w:r>
      <w:r>
        <w:rPr>
          <w:rFonts w:ascii="Book Antiqua"/>
          <w:rtl w:val="0"/>
          <w:lang w:val="it-IT"/>
        </w:rPr>
        <w:t>e cio</w:t>
      </w:r>
      <w:r>
        <w:rPr>
          <w:rFonts w:hAnsi="Book Antiqua" w:hint="default"/>
          <w:rtl w:val="0"/>
          <w:lang w:val="it-IT"/>
        </w:rPr>
        <w:t xml:space="preserve">è </w:t>
      </w:r>
      <w:r>
        <w:rPr>
          <w:rFonts w:ascii="Book Antiqua"/>
          <w:rtl w:val="0"/>
          <w:lang w:val="it-IT"/>
        </w:rPr>
        <w:t>al di fuori dei casi consentiti dalla legge.</w:t>
      </w:r>
    </w:p>
    <w:p>
      <w:pPr>
        <w:pStyle w:val="List Paragraph"/>
        <w:ind w:left="567" w:right="567" w:firstLine="0"/>
        <w:jc w:val="both"/>
        <w:rPr>
          <w:rFonts w:ascii="Book Antiqua" w:cs="Book Antiqua" w:hAnsi="Book Antiqua" w:eastAsia="Book Antiqua"/>
        </w:rPr>
      </w:pPr>
      <w:r>
        <w:rPr>
          <w:rFonts w:ascii="Book Antiqua"/>
          <w:rtl w:val="0"/>
          <w:lang w:val="it-IT"/>
        </w:rPr>
        <w:t xml:space="preserve">La Commissione </w:t>
      </w:r>
      <w:r>
        <w:rPr>
          <w:rFonts w:hAnsi="Book Antiqua" w:hint="default"/>
          <w:rtl w:val="0"/>
          <w:lang w:val="it-IT"/>
        </w:rPr>
        <w:t xml:space="preserve">– </w:t>
      </w:r>
      <w:r>
        <w:rPr>
          <w:rFonts w:ascii="Book Antiqua"/>
          <w:rtl w:val="0"/>
          <w:lang w:val="it-IT"/>
        </w:rPr>
        <w:t xml:space="preserve">come si </w:t>
      </w:r>
      <w:r>
        <w:rPr>
          <w:rFonts w:hAnsi="Book Antiqua" w:hint="default"/>
          <w:rtl w:val="0"/>
          <w:lang w:val="it-IT"/>
        </w:rPr>
        <w:t xml:space="preserve">è </w:t>
      </w:r>
      <w:r>
        <w:rPr>
          <w:rFonts w:ascii="Book Antiqua"/>
          <w:rtl w:val="0"/>
          <w:lang w:val="it-IT"/>
        </w:rPr>
        <w:t xml:space="preserve">detto nel </w:t>
      </w:r>
      <w:r>
        <w:rPr>
          <w:rFonts w:hAnsi="Book Antiqua" w:hint="default"/>
          <w:rtl w:val="0"/>
          <w:lang w:val="it-IT"/>
        </w:rPr>
        <w:t xml:space="preserve">§ </w:t>
      </w:r>
      <w:r>
        <w:rPr>
          <w:rFonts w:ascii="Book Antiqua"/>
          <w:rtl w:val="0"/>
          <w:lang w:val="it-IT"/>
        </w:rPr>
        <w:t xml:space="preserve">5, in fine </w:t>
      </w:r>
      <w:r>
        <w:rPr>
          <w:rFonts w:hAnsi="Book Antiqua" w:hint="default"/>
          <w:rtl w:val="0"/>
          <w:lang w:val="it-IT"/>
        </w:rPr>
        <w:t xml:space="preserve">– </w:t>
      </w:r>
      <w:r>
        <w:rPr>
          <w:rFonts w:ascii="Book Antiqua"/>
          <w:rtl w:val="0"/>
          <w:lang w:val="it-IT"/>
        </w:rPr>
        <w:t>ha avuto occasione di assumere informazioni da alcuni comitati di cittadini e di evidenziare la situazione del campo nomadi di via di Salone a Roma, che si pu</w:t>
      </w:r>
      <w:r>
        <w:rPr>
          <w:rFonts w:hAnsi="Book Antiqua" w:hint="default"/>
          <w:rtl w:val="0"/>
          <w:lang w:val="it-IT"/>
        </w:rPr>
        <w:t xml:space="preserve">ò </w:t>
      </w:r>
      <w:r>
        <w:rPr>
          <w:rFonts w:ascii="Book Antiqua"/>
          <w:rtl w:val="0"/>
          <w:lang w:val="it-IT"/>
        </w:rPr>
        <w:t>assumere come paradigma delle condotte illecite e delle necessit</w:t>
      </w:r>
      <w:r>
        <w:rPr>
          <w:rFonts w:hAnsi="Book Antiqua" w:hint="default"/>
          <w:rtl w:val="0"/>
          <w:lang w:val="it-IT"/>
        </w:rPr>
        <w:t xml:space="preserve">à </w:t>
      </w:r>
      <w:r>
        <w:rPr>
          <w:rFonts w:ascii="Book Antiqua"/>
          <w:rtl w:val="0"/>
          <w:lang w:val="it-IT"/>
        </w:rPr>
        <w:t>di intervento.</w:t>
      </w:r>
    </w:p>
    <w:p>
      <w:pPr>
        <w:pStyle w:val="List Paragraph"/>
        <w:ind w:left="567" w:right="567" w:firstLine="0"/>
        <w:jc w:val="both"/>
        <w:rPr>
          <w:rFonts w:ascii="Book Antiqua" w:cs="Book Antiqua" w:hAnsi="Book Antiqua" w:eastAsia="Book Antiqua"/>
        </w:rPr>
      </w:pPr>
      <w:r>
        <w:rPr>
          <w:rFonts w:ascii="Book Antiqua"/>
          <w:rtl w:val="0"/>
          <w:lang w:val="it-IT"/>
        </w:rPr>
        <w:t>Riprendendo qui alcune delle considerazioni gi</w:t>
      </w:r>
      <w:r>
        <w:rPr>
          <w:rFonts w:hAnsi="Book Antiqua" w:hint="default"/>
          <w:rtl w:val="0"/>
          <w:lang w:val="it-IT"/>
        </w:rPr>
        <w:t xml:space="preserve">à </w:t>
      </w:r>
      <w:r>
        <w:rPr>
          <w:rFonts w:ascii="Book Antiqua"/>
          <w:rtl w:val="0"/>
          <w:lang w:val="it-IT"/>
        </w:rPr>
        <w:t xml:space="preserve">svolte </w:t>
      </w:r>
      <w:r>
        <w:rPr>
          <w:rFonts w:hAnsi="Book Antiqua" w:hint="default"/>
          <w:rtl w:val="0"/>
          <w:lang w:val="it-IT"/>
        </w:rPr>
        <w:t>“</w:t>
      </w:r>
      <w:r>
        <w:rPr>
          <w:rFonts w:ascii="Book Antiqua"/>
          <w:rtl w:val="0"/>
          <w:lang w:val="it-IT"/>
        </w:rPr>
        <w:t>risulta evidente che l</w:t>
      </w:r>
      <w:r>
        <w:rPr>
          <w:rFonts w:hAnsi="Book Antiqua" w:hint="default"/>
          <w:rtl w:val="0"/>
          <w:lang w:val="it-IT"/>
        </w:rPr>
        <w:t>’</w:t>
      </w:r>
      <w:r>
        <w:rPr>
          <w:rFonts w:ascii="Book Antiqua"/>
          <w:rtl w:val="0"/>
          <w:lang w:val="it-IT"/>
        </w:rPr>
        <w:t>osservazione diretta dei cittadini induce a ritenere che all</w:t>
      </w:r>
      <w:r>
        <w:rPr>
          <w:rFonts w:hAnsi="Book Antiqua" w:hint="default"/>
          <w:rtl w:val="0"/>
          <w:lang w:val="it-IT"/>
        </w:rPr>
        <w:t>’</w:t>
      </w:r>
      <w:r>
        <w:rPr>
          <w:rFonts w:ascii="Book Antiqua"/>
          <w:rtl w:val="0"/>
          <w:lang w:val="it-IT"/>
        </w:rPr>
        <w:t>interno e nelle immediata prossimit</w:t>
      </w:r>
      <w:r>
        <w:rPr>
          <w:rFonts w:hAnsi="Book Antiqua" w:hint="default"/>
          <w:rtl w:val="0"/>
          <w:lang w:val="it-IT"/>
        </w:rPr>
        <w:t xml:space="preserve">à </w:t>
      </w:r>
      <w:r>
        <w:rPr>
          <w:rFonts w:ascii="Book Antiqua"/>
          <w:rtl w:val="0"/>
          <w:lang w:val="it-IT"/>
        </w:rPr>
        <w:t>del campo nomadi di via Salone si svolgano delle attivit</w:t>
      </w:r>
      <w:r>
        <w:rPr>
          <w:rFonts w:hAnsi="Book Antiqua" w:hint="default"/>
          <w:rtl w:val="0"/>
          <w:lang w:val="it-IT"/>
        </w:rPr>
        <w:t xml:space="preserve">à </w:t>
      </w:r>
      <w:r>
        <w:rPr>
          <w:rFonts w:ascii="Book Antiqua"/>
          <w:rtl w:val="0"/>
          <w:lang w:val="it-IT"/>
        </w:rPr>
        <w:t xml:space="preserve">illecite </w:t>
      </w:r>
      <w:r>
        <w:rPr>
          <w:rFonts w:hAnsi="Book Antiqua" w:hint="default"/>
          <w:rtl w:val="0"/>
          <w:lang w:val="it-IT"/>
        </w:rPr>
        <w:t xml:space="preserve">– </w:t>
      </w:r>
      <w:r>
        <w:rPr>
          <w:rFonts w:ascii="Book Antiqua"/>
          <w:rtl w:val="0"/>
          <w:lang w:val="it-IT"/>
        </w:rPr>
        <w:t>su cui a seguito delle notizie di reato ricevute sono certamente pendenti le dovute indagini da parte della procura della Repubblica di Roma - la cui ipotizzabile qualificazione giuridica discende, per quanto reso noto alla Commissione, dal contenuto delle audizioni citate, delle immagini  e dei documenti prodotti. Si tratta, dunque, oltre all</w:t>
      </w:r>
      <w:r>
        <w:rPr>
          <w:rFonts w:hAnsi="Book Antiqua" w:hint="default"/>
          <w:rtl w:val="0"/>
          <w:lang w:val="it-IT"/>
        </w:rPr>
        <w:t>’</w:t>
      </w:r>
      <w:r>
        <w:rPr>
          <w:rFonts w:ascii="Book Antiqua"/>
          <w:rtl w:val="0"/>
          <w:lang w:val="it-IT"/>
        </w:rPr>
        <w:t>illecito amministrativo di cui all</w:t>
      </w:r>
      <w:r>
        <w:rPr>
          <w:rFonts w:hAnsi="Book Antiqua" w:hint="default"/>
          <w:rtl w:val="0"/>
          <w:lang w:val="it-IT"/>
        </w:rPr>
        <w:t>’</w:t>
      </w:r>
      <w:r>
        <w:rPr>
          <w:rFonts w:ascii="Book Antiqua"/>
          <w:rtl w:val="0"/>
          <w:lang w:val="it-IT"/>
        </w:rPr>
        <w:t>articolo 255 decreto legislativo n. 152 del 2006, quantomeno dei reati di cui agli articoli 256 e 256-bis decreto legislativo n. 152 del 2006; uno sviluppo di indagine ulteriore, sul versante degli effetti di tali condotte, potrebbe far ipotizzare il delitto di cui all</w:t>
      </w:r>
      <w:r>
        <w:rPr>
          <w:rFonts w:hAnsi="Book Antiqua" w:hint="default"/>
          <w:rtl w:val="0"/>
          <w:lang w:val="it-IT"/>
        </w:rPr>
        <w:t>’</w:t>
      </w:r>
      <w:r>
        <w:rPr>
          <w:rFonts w:ascii="Book Antiqua"/>
          <w:rtl w:val="0"/>
          <w:lang w:val="it-IT"/>
        </w:rPr>
        <w:t>articolo 452-bis del codice penale e, sul versante delle cause, inteso come tale in primo luogo l</w:t>
      </w:r>
      <w:r>
        <w:rPr>
          <w:rFonts w:hAnsi="Book Antiqua" w:hint="default"/>
          <w:rtl w:val="0"/>
          <w:lang w:val="it-IT"/>
        </w:rPr>
        <w:t>’”</w:t>
      </w:r>
      <w:r>
        <w:rPr>
          <w:rFonts w:ascii="Book Antiqua"/>
          <w:rtl w:val="0"/>
          <w:lang w:val="it-IT"/>
        </w:rPr>
        <w:t>approvvigionamento di materia</w:t>
      </w:r>
      <w:r>
        <w:rPr>
          <w:rFonts w:hAnsi="Book Antiqua" w:hint="default"/>
          <w:rtl w:val="0"/>
          <w:lang w:val="it-IT"/>
        </w:rPr>
        <w:t xml:space="preserve">” </w:t>
      </w:r>
      <w:r>
        <w:rPr>
          <w:rFonts w:ascii="Book Antiqua"/>
          <w:rtl w:val="0"/>
          <w:lang w:val="it-IT"/>
        </w:rPr>
        <w:t>(dalle auto e parti di esse, ai materiali frutto di rovistaggio, ai preziosi), potrebbe condurre ad accertare delitti di cui agli articoli 624-625 del codice penale e 648 del codice penale.</w:t>
      </w:r>
    </w:p>
    <w:p>
      <w:pPr>
        <w:pStyle w:val="List Paragraph"/>
        <w:ind w:left="567" w:right="567" w:firstLine="0"/>
        <w:jc w:val="both"/>
        <w:rPr>
          <w:rFonts w:ascii="Book Antiqua" w:cs="Book Antiqua" w:hAnsi="Book Antiqua" w:eastAsia="Book Antiqua"/>
        </w:rPr>
      </w:pPr>
      <w:r>
        <w:rPr>
          <w:rFonts w:ascii="Book Antiqua"/>
          <w:rtl w:val="0"/>
          <w:lang w:val="it-IT"/>
        </w:rPr>
        <w:t xml:space="preserve">Di fronte a questo insieme di ipotesi non vi </w:t>
      </w:r>
      <w:r>
        <w:rPr>
          <w:rFonts w:hAnsi="Book Antiqua" w:hint="default"/>
          <w:rtl w:val="0"/>
          <w:lang w:val="it-IT"/>
        </w:rPr>
        <w:t xml:space="preserve">è </w:t>
      </w:r>
      <w:r>
        <w:rPr>
          <w:rFonts w:ascii="Book Antiqua"/>
          <w:rtl w:val="0"/>
          <w:lang w:val="it-IT"/>
        </w:rPr>
        <w:t>dubbio che le indagini necessitino di mezzi incisivi e dell</w:t>
      </w:r>
      <w:r>
        <w:rPr>
          <w:rFonts w:hAnsi="Book Antiqua" w:hint="default"/>
          <w:rtl w:val="0"/>
          <w:lang w:val="it-IT"/>
        </w:rPr>
        <w:t>’</w:t>
      </w:r>
      <w:r>
        <w:rPr>
          <w:rFonts w:ascii="Book Antiqua"/>
          <w:rtl w:val="0"/>
          <w:lang w:val="it-IT"/>
        </w:rPr>
        <w:t>impiego di risorse investigative adeguate, anche al fine, se ve ne fossero i presupposti normativamente previsti, dell</w:t>
      </w:r>
      <w:r>
        <w:rPr>
          <w:rFonts w:hAnsi="Book Antiqua" w:hint="default"/>
          <w:rtl w:val="0"/>
          <w:lang w:val="it-IT"/>
        </w:rPr>
        <w:t>’</w:t>
      </w:r>
      <w:r>
        <w:rPr>
          <w:rFonts w:ascii="Book Antiqua"/>
          <w:rtl w:val="0"/>
          <w:lang w:val="it-IT"/>
        </w:rPr>
        <w:t>applicazione di misure cautelari reali ovvero di misure precautelari e cautelari personali; lo stesso intervento di polizia giudiziaria e di prevenzione ai sensi dell</w:t>
      </w:r>
      <w:r>
        <w:rPr>
          <w:rFonts w:hAnsi="Book Antiqua" w:hint="default"/>
          <w:rtl w:val="0"/>
          <w:lang w:val="it-IT"/>
        </w:rPr>
        <w:t>’</w:t>
      </w:r>
      <w:r>
        <w:rPr>
          <w:rFonts w:ascii="Book Antiqua"/>
          <w:rtl w:val="0"/>
          <w:lang w:val="it-IT"/>
        </w:rPr>
        <w:t>articolo 55 del codice di procedura penale, deve necessariamente essere calibrato sulla gravit</w:t>
      </w:r>
      <w:r>
        <w:rPr>
          <w:rFonts w:hAnsi="Book Antiqua" w:hint="default"/>
          <w:rtl w:val="0"/>
          <w:lang w:val="it-IT"/>
        </w:rPr>
        <w:t xml:space="preserve">à </w:t>
      </w:r>
      <w:r>
        <w:rPr>
          <w:rFonts w:ascii="Book Antiqua"/>
          <w:rtl w:val="0"/>
          <w:lang w:val="it-IT"/>
        </w:rPr>
        <w:t>e sulla cronicit</w:t>
      </w:r>
      <w:r>
        <w:rPr>
          <w:rFonts w:hAnsi="Book Antiqua" w:hint="default"/>
          <w:rtl w:val="0"/>
          <w:lang w:val="it-IT"/>
        </w:rPr>
        <w:t xml:space="preserve">à </w:t>
      </w:r>
      <w:r>
        <w:rPr>
          <w:rFonts w:ascii="Book Antiqua"/>
          <w:rtl w:val="0"/>
          <w:lang w:val="it-IT"/>
        </w:rPr>
        <w:t>di queste condotte illecite</w:t>
      </w:r>
      <w:r>
        <w:rPr>
          <w:rFonts w:hAnsi="Book Antiqua" w:hint="default"/>
          <w:rtl w:val="0"/>
          <w:lang w:val="it-IT"/>
        </w:rPr>
        <w:t>”</w:t>
      </w:r>
      <w:r>
        <w:rPr>
          <w:rFonts w:ascii="Book Antiqua"/>
          <w:rtl w:val="0"/>
          <w:lang w:val="it-IT"/>
        </w:rPr>
        <w:t>.</w:t>
      </w:r>
    </w:p>
    <w:p>
      <w:pPr>
        <w:pStyle w:val="List Paragraph"/>
        <w:ind w:left="567" w:right="567" w:firstLine="0"/>
        <w:jc w:val="both"/>
        <w:rPr>
          <w:rFonts w:ascii="Book Antiqua" w:cs="Book Antiqua" w:hAnsi="Book Antiqua" w:eastAsia="Book Antiqua"/>
        </w:rPr>
      </w:pPr>
    </w:p>
    <w:p>
      <w:pPr>
        <w:pStyle w:val="List Paragraph"/>
        <w:ind w:left="567" w:right="567" w:firstLine="0"/>
        <w:jc w:val="both"/>
        <w:rPr>
          <w:rFonts w:ascii="Book Antiqua" w:cs="Book Antiqua" w:hAnsi="Book Antiqua" w:eastAsia="Book Antiqua"/>
          <w:i w:val="1"/>
          <w:iCs w:val="1"/>
        </w:rPr>
      </w:pPr>
      <w:r>
        <w:rPr>
          <w:rFonts w:ascii="Book Antiqua"/>
          <w:i w:val="1"/>
          <w:iCs w:val="1"/>
          <w:rtl w:val="0"/>
          <w:lang w:val="it-IT"/>
        </w:rPr>
        <w:t>Isole ecologiche</w:t>
      </w:r>
    </w:p>
    <w:p>
      <w:pPr>
        <w:pStyle w:val="List Paragraph"/>
        <w:ind w:left="567" w:right="567" w:firstLine="0"/>
        <w:jc w:val="both"/>
        <w:rPr>
          <w:rFonts w:ascii="Book Antiqua" w:cs="Book Antiqua" w:hAnsi="Book Antiqua" w:eastAsia="Book Antiqua"/>
        </w:rPr>
      </w:pPr>
    </w:p>
    <w:p>
      <w:pPr>
        <w:pStyle w:val="List Paragraph"/>
        <w:ind w:left="567" w:right="567" w:firstLine="0"/>
        <w:jc w:val="both"/>
        <w:rPr>
          <w:rFonts w:ascii="Book Antiqua" w:cs="Book Antiqua" w:hAnsi="Book Antiqua" w:eastAsia="Book Antiqua"/>
        </w:rPr>
      </w:pPr>
      <w:r>
        <w:rPr>
          <w:rFonts w:ascii="Book Antiqua"/>
          <w:rtl w:val="0"/>
          <w:lang w:val="it-IT"/>
        </w:rPr>
        <w:t xml:space="preserve">Altra questione emergente </w:t>
      </w:r>
      <w:r>
        <w:rPr>
          <w:rFonts w:hAnsi="Book Antiqua" w:hint="default"/>
          <w:rtl w:val="0"/>
          <w:lang w:val="it-IT"/>
        </w:rPr>
        <w:t xml:space="preserve">è </w:t>
      </w:r>
      <w:r>
        <w:rPr>
          <w:rFonts w:ascii="Book Antiqua"/>
          <w:rtl w:val="0"/>
          <w:lang w:val="it-IT"/>
        </w:rPr>
        <w:t xml:space="preserve">quella dei centri di raccolta comunali, le </w:t>
      </w:r>
      <w:r>
        <w:rPr>
          <w:rFonts w:hAnsi="Book Antiqua" w:hint="default"/>
          <w:rtl w:val="0"/>
          <w:lang w:val="it-IT"/>
        </w:rPr>
        <w:t>“</w:t>
      </w:r>
      <w:r>
        <w:rPr>
          <w:rFonts w:ascii="Book Antiqua"/>
          <w:rtl w:val="0"/>
          <w:lang w:val="it-IT"/>
        </w:rPr>
        <w:t>isole ecologiche</w:t>
      </w:r>
      <w:r>
        <w:rPr>
          <w:rFonts w:hAnsi="Book Antiqua" w:hint="default"/>
          <w:rtl w:val="0"/>
          <w:lang w:val="it-IT"/>
        </w:rPr>
        <w:t>”</w:t>
      </w:r>
      <w:r>
        <w:rPr>
          <w:rFonts w:ascii="Book Antiqua"/>
          <w:rtl w:val="0"/>
          <w:lang w:val="it-IT"/>
        </w:rPr>
        <w:t>.</w:t>
      </w:r>
    </w:p>
    <w:p>
      <w:pPr>
        <w:pStyle w:val="Title"/>
        <w:spacing w:before="0" w:after="0"/>
        <w:ind w:left="567" w:right="567" w:firstLine="0"/>
        <w:jc w:val="both"/>
        <w:rPr>
          <w:rFonts w:ascii="Book Antiqua" w:cs="Book Antiqua" w:hAnsi="Book Antiqua" w:eastAsia="Book Antiqua"/>
        </w:rPr>
      </w:pPr>
      <w:r>
        <w:rPr>
          <w:rFonts w:ascii="Book Antiqua"/>
          <w:rtl w:val="0"/>
          <w:lang w:val="it-IT"/>
        </w:rPr>
        <w:t>Pi</w:t>
      </w:r>
      <w:r>
        <w:rPr>
          <w:rFonts w:hAnsi="Book Antiqua" w:hint="default"/>
          <w:rtl w:val="0"/>
          <w:lang w:val="it-IT"/>
        </w:rPr>
        <w:t xml:space="preserve">ù </w:t>
      </w:r>
      <w:r>
        <w:rPr>
          <w:rFonts w:ascii="Book Antiqua"/>
          <w:rtl w:val="0"/>
          <w:lang w:val="it-IT"/>
        </w:rPr>
        <w:t xml:space="preserve">volte infatti, nelle audizioni e nella documentazione trasmessa alla Commissione, ricorre la problematica delle cd. </w:t>
      </w:r>
      <w:r>
        <w:rPr>
          <w:rFonts w:hAnsi="Book Antiqua" w:hint="default"/>
          <w:rtl w:val="0"/>
          <w:lang w:val="it-IT"/>
        </w:rPr>
        <w:t>“</w:t>
      </w:r>
      <w:r>
        <w:rPr>
          <w:rFonts w:ascii="Book Antiqua"/>
          <w:rtl w:val="0"/>
          <w:lang w:val="it-IT"/>
        </w:rPr>
        <w:t>ecopiazzole</w:t>
      </w:r>
      <w:r>
        <w:rPr>
          <w:rFonts w:hAnsi="Book Antiqua" w:hint="default"/>
          <w:rtl w:val="0"/>
          <w:lang w:val="it-IT"/>
        </w:rPr>
        <w:t xml:space="preserve">” </w:t>
      </w:r>
      <w:r>
        <w:rPr>
          <w:rFonts w:ascii="Book Antiqua"/>
          <w:rtl w:val="0"/>
          <w:lang w:val="it-IT"/>
        </w:rPr>
        <w:t xml:space="preserve">ovvero </w:t>
      </w:r>
      <w:r>
        <w:rPr>
          <w:rFonts w:hAnsi="Book Antiqua" w:hint="default"/>
          <w:rtl w:val="0"/>
          <w:lang w:val="it-IT"/>
        </w:rPr>
        <w:t>“</w:t>
      </w:r>
      <w:r>
        <w:rPr>
          <w:rFonts w:ascii="Book Antiqua"/>
          <w:rtl w:val="0"/>
          <w:lang w:val="it-IT"/>
        </w:rPr>
        <w:t>isole ecologiche</w:t>
      </w:r>
      <w:r>
        <w:rPr>
          <w:rFonts w:hAnsi="Book Antiqua" w:hint="default"/>
          <w:rtl w:val="0"/>
          <w:lang w:val="it-IT"/>
        </w:rPr>
        <w:t>”</w:t>
      </w:r>
      <w:r>
        <w:rPr>
          <w:rFonts w:ascii="Book Antiqua"/>
          <w:rtl w:val="0"/>
          <w:lang w:val="it-IT"/>
        </w:rPr>
        <w:t xml:space="preserve">, </w:t>
      </w:r>
      <w:r>
        <w:rPr>
          <w:rFonts w:hAnsi="Book Antiqua" w:hint="default"/>
          <w:rtl w:val="0"/>
          <w:lang w:val="it-IT"/>
        </w:rPr>
        <w:t>“</w:t>
      </w:r>
      <w:r>
        <w:rPr>
          <w:rFonts w:ascii="Book Antiqua"/>
          <w:rtl w:val="0"/>
          <w:lang w:val="it-IT"/>
        </w:rPr>
        <w:t>isole di prossimit</w:t>
      </w:r>
      <w:r>
        <w:rPr>
          <w:rFonts w:hAnsi="Book Antiqua" w:hint="default"/>
          <w:rtl w:val="0"/>
          <w:lang w:val="it-IT"/>
        </w:rPr>
        <w:t xml:space="preserve">à” </w:t>
      </w:r>
      <w:r>
        <w:rPr>
          <w:rFonts w:ascii="Book Antiqua"/>
          <w:rtl w:val="0"/>
          <w:lang w:val="it-IT"/>
        </w:rPr>
        <w:t>e simili: termini con cui si vuole indicare un</w:t>
      </w:r>
      <w:r>
        <w:rPr>
          <w:rFonts w:hAnsi="Book Antiqua" w:hint="default"/>
          <w:rtl w:val="0"/>
          <w:lang w:val="it-IT"/>
        </w:rPr>
        <w:t xml:space="preserve">’ </w:t>
      </w:r>
      <w:r>
        <w:rPr>
          <w:rFonts w:ascii="Book Antiqua"/>
          <w:rtl w:val="0"/>
          <w:lang w:val="it-IT"/>
        </w:rPr>
        <w:t>area scelta dai Comuni per la raccolta dei rifiuti urbani ed assimilati.</w:t>
      </w:r>
    </w:p>
    <w:p>
      <w:pPr>
        <w:pStyle w:val="Title"/>
        <w:spacing w:before="0" w:after="0"/>
        <w:ind w:left="567" w:right="567" w:firstLine="0"/>
        <w:jc w:val="both"/>
        <w:rPr>
          <w:rFonts w:ascii="Book Antiqua" w:cs="Book Antiqua" w:hAnsi="Book Antiqua" w:eastAsia="Book Antiqua"/>
        </w:rPr>
      </w:pPr>
      <w:r>
        <w:rPr>
          <w:rFonts w:ascii="Book Antiqua"/>
          <w:rtl w:val="0"/>
          <w:lang w:val="it-IT"/>
        </w:rPr>
        <w:t>Appare, allora, opportuno approfondire, anche se sinteticamente, tale problematica sotto il profilo giuridico anche e soprattutto perch</w:t>
      </w:r>
      <w:r>
        <w:rPr>
          <w:rFonts w:hAnsi="Book Antiqua" w:hint="default"/>
          <w:rtl w:val="0"/>
          <w:lang w:val="it-IT"/>
        </w:rPr>
        <w:t>é</w:t>
      </w:r>
      <w:r>
        <w:rPr>
          <w:rFonts w:ascii="Book Antiqua"/>
          <w:rtl w:val="0"/>
          <w:lang w:val="it-IT"/>
        </w:rPr>
        <w:t xml:space="preserve"> la normativa relativa appare complessa e poco conosciuta dai Comuni con inevitabili ripercussioni penali.</w:t>
      </w:r>
    </w:p>
    <w:p>
      <w:pPr>
        <w:pStyle w:val="Normal"/>
        <w:ind w:left="567" w:right="567" w:firstLine="0"/>
        <w:jc w:val="both"/>
        <w:rPr>
          <w:rFonts w:ascii="Book Antiqua" w:cs="Book Antiqua" w:hAnsi="Book Antiqua" w:eastAsia="Book Antiqua"/>
        </w:rPr>
      </w:pPr>
      <w:r>
        <w:rPr>
          <w:rFonts w:ascii="Book Antiqua"/>
          <w:rtl w:val="0"/>
          <w:lang w:val="it-IT"/>
        </w:rPr>
        <w:t>A tal fine, in primo luogo occorre richiamare i principi generali per quanto concerne gli obblighi relativi alla gestione dei rifiuti, ricordando che, ai sensi dell</w:t>
      </w:r>
      <w:r>
        <w:rPr>
          <w:rFonts w:hAnsi="Book Antiqua" w:hint="default"/>
          <w:rtl w:val="0"/>
          <w:lang w:val="it-IT"/>
        </w:rPr>
        <w:t>’</w:t>
      </w:r>
      <w:r>
        <w:rPr>
          <w:rFonts w:ascii="Book Antiqua"/>
          <w:rtl w:val="0"/>
          <w:lang w:val="it-IT"/>
        </w:rPr>
        <w:t xml:space="preserve">articolo 256 del decreto legislativo n. 152 del 2006, </w:t>
      </w:r>
      <w:r>
        <w:rPr>
          <w:rFonts w:hAnsi="Book Antiqua" w:hint="default"/>
          <w:rtl w:val="0"/>
          <w:lang w:val="it-IT"/>
        </w:rPr>
        <w:t>“</w:t>
      </w:r>
      <w:r>
        <w:rPr>
          <w:rFonts w:ascii="Book Antiqua"/>
          <w:rtl w:val="0"/>
          <w:lang w:val="it-IT"/>
        </w:rPr>
        <w:t>chiunque effettua una attivit</w:t>
      </w:r>
      <w:r>
        <w:rPr>
          <w:rFonts w:hAnsi="Book Antiqua" w:hint="default"/>
          <w:rtl w:val="0"/>
          <w:lang w:val="it-IT"/>
        </w:rPr>
        <w:t xml:space="preserve">à </w:t>
      </w:r>
      <w:r>
        <w:rPr>
          <w:rFonts w:ascii="Book Antiqua"/>
          <w:rtl w:val="0"/>
          <w:lang w:val="it-IT"/>
        </w:rPr>
        <w:t>di raccolta</w:t>
      </w:r>
      <w:r>
        <w:rPr>
          <w:rFonts w:ascii="Book Antiqua Bold"/>
          <w:b w:val="1"/>
          <w:bCs w:val="1"/>
          <w:rtl w:val="0"/>
          <w:lang w:val="it-IT"/>
        </w:rPr>
        <w:t xml:space="preserve">, </w:t>
      </w:r>
      <w:r>
        <w:rPr>
          <w:rFonts w:ascii="Book Antiqua"/>
          <w:rtl w:val="0"/>
          <w:lang w:val="it-IT"/>
        </w:rPr>
        <w:t xml:space="preserve">trasporto, recupero, smaltimento, commercio ed intermediazione di rifiuti in mancanza della prescritta autorizzazione, iscrizione o comunicazione di cui agli articoli 208, 209, 210, 211, 212, 214, 215 e 216 </w:t>
      </w:r>
      <w:r>
        <w:rPr>
          <w:rFonts w:hAnsi="Book Antiqua" w:hint="default"/>
          <w:rtl w:val="0"/>
          <w:lang w:val="it-IT"/>
        </w:rPr>
        <w:t xml:space="preserve">è </w:t>
      </w:r>
      <w:r>
        <w:rPr>
          <w:rFonts w:ascii="Book Antiqua"/>
          <w:rtl w:val="0"/>
          <w:lang w:val="it-IT"/>
        </w:rPr>
        <w:t>punito: a) con la pena dell'arresto da tre mesi a un anno o con l'ammenda da 2.600 euro a 26.000 euro se si tratta di rifiuti non pericolosi; b) con la pena dell'arresto da sei mesi a due anni e con l</w:t>
      </w:r>
      <w:r>
        <w:rPr>
          <w:rFonts w:hAnsi="Book Antiqua" w:hint="default"/>
          <w:rtl w:val="0"/>
          <w:lang w:val="it-IT"/>
        </w:rPr>
        <w:t>’</w:t>
      </w:r>
      <w:r>
        <w:rPr>
          <w:rFonts w:ascii="Book Antiqua"/>
          <w:rtl w:val="0"/>
          <w:lang w:val="it-IT"/>
        </w:rPr>
        <w:t>ammenda da 2.600 euro a 26.000 euro se si tratta di rifiuti pericolosi.</w:t>
      </w:r>
      <w:r>
        <w:rPr>
          <w:rFonts w:hAnsi="Book Antiqua" w:hint="default"/>
          <w:rtl w:val="0"/>
          <w:lang w:val="it-IT"/>
        </w:rPr>
        <w:t>”</w:t>
      </w:r>
    </w:p>
    <w:p>
      <w:pPr>
        <w:pStyle w:val="Normal"/>
        <w:ind w:left="567" w:right="567" w:firstLine="0"/>
        <w:jc w:val="both"/>
        <w:rPr>
          <w:rFonts w:ascii="Book Antiqua" w:cs="Book Antiqua" w:hAnsi="Book Antiqua" w:eastAsia="Book Antiqua"/>
          <w:i w:val="1"/>
          <w:iCs w:val="1"/>
        </w:rPr>
      </w:pPr>
      <w:r>
        <w:rPr>
          <w:rFonts w:ascii="Book Antiqua"/>
          <w:rtl w:val="0"/>
          <w:lang w:val="it-IT"/>
        </w:rPr>
        <w:t>E pertanto, ogni attivit</w:t>
      </w:r>
      <w:r>
        <w:rPr>
          <w:rFonts w:hAnsi="Book Antiqua" w:hint="default"/>
          <w:rtl w:val="0"/>
          <w:lang w:val="it-IT"/>
        </w:rPr>
        <w:t xml:space="preserve">à </w:t>
      </w:r>
      <w:r>
        <w:rPr>
          <w:rFonts w:ascii="Book Antiqua"/>
          <w:rtl w:val="0"/>
          <w:lang w:val="it-IT"/>
        </w:rPr>
        <w:t xml:space="preserve">di raccolta e deposito di rifiuti deve essere autorizzata. Proprio per questo,   in una prima fase la Cassazione affermava che </w:t>
      </w:r>
      <w:r>
        <w:rPr>
          <w:rFonts w:hAnsi="Book Antiqua" w:hint="default"/>
          <w:rtl w:val="0"/>
          <w:lang w:val="it-IT"/>
        </w:rPr>
        <w:t>“</w:t>
      </w:r>
      <w:r>
        <w:rPr>
          <w:rFonts w:ascii="Book Antiqua"/>
          <w:rtl w:val="0"/>
          <w:lang w:val="it-IT"/>
        </w:rPr>
        <w:t xml:space="preserve">le </w:t>
      </w:r>
      <w:r>
        <w:rPr>
          <w:rFonts w:hAnsi="Book Antiqua" w:hint="default"/>
          <w:rtl w:val="0"/>
          <w:lang w:val="it-IT"/>
        </w:rPr>
        <w:t>‘</w:t>
      </w:r>
      <w:r>
        <w:rPr>
          <w:rFonts w:ascii="Book Antiqua"/>
          <w:rtl w:val="0"/>
          <w:lang w:val="it-IT"/>
        </w:rPr>
        <w:t>isole ecologiche</w:t>
      </w:r>
      <w:r>
        <w:rPr>
          <w:rFonts w:hAnsi="Book Antiqua" w:hint="default"/>
          <w:rtl w:val="0"/>
          <w:lang w:val="it-IT"/>
        </w:rPr>
        <w:t xml:space="preserve">’ </w:t>
      </w:r>
      <w:r>
        <w:rPr>
          <w:rFonts w:ascii="Book Antiqua"/>
          <w:rtl w:val="0"/>
          <w:lang w:val="it-IT"/>
        </w:rPr>
        <w:t xml:space="preserve">sono soggette ad autorizzazione e non </w:t>
      </w:r>
      <w:r>
        <w:rPr>
          <w:rFonts w:hAnsi="Book Antiqua" w:hint="default"/>
          <w:rtl w:val="0"/>
          <w:lang w:val="it-IT"/>
        </w:rPr>
        <w:t xml:space="preserve">è </w:t>
      </w:r>
      <w:r>
        <w:rPr>
          <w:rFonts w:ascii="Book Antiqua"/>
          <w:rtl w:val="0"/>
          <w:lang w:val="it-IT"/>
        </w:rPr>
        <w:t xml:space="preserve">di ostacolo a tali conclusioni il richiamo all'articolo 21 decreto legislativo n. 22/97 (ora 198 decreto legislativo  152 del 2006). Vero </w:t>
      </w:r>
      <w:r>
        <w:rPr>
          <w:rFonts w:hAnsi="Book Antiqua" w:hint="default"/>
          <w:rtl w:val="0"/>
          <w:lang w:val="it-IT"/>
        </w:rPr>
        <w:t xml:space="preserve">è </w:t>
      </w:r>
      <w:r>
        <w:rPr>
          <w:rFonts w:ascii="Book Antiqua"/>
          <w:rtl w:val="0"/>
          <w:lang w:val="it-IT"/>
        </w:rPr>
        <w:t>che la disposizione in esame affida al comune la scelta sulle modalit</w:t>
      </w:r>
      <w:r>
        <w:rPr>
          <w:rFonts w:hAnsi="Book Antiqua" w:hint="default"/>
          <w:rtl w:val="0"/>
          <w:lang w:val="it-IT"/>
        </w:rPr>
        <w:t xml:space="preserve">à </w:t>
      </w:r>
      <w:r>
        <w:rPr>
          <w:rFonts w:ascii="Book Antiqua"/>
          <w:rtl w:val="0"/>
          <w:lang w:val="it-IT"/>
        </w:rPr>
        <w:t>di servizio di raccolta e trasporto dei rifiuti urbani, cos</w:t>
      </w:r>
      <w:r>
        <w:rPr>
          <w:rFonts w:hAnsi="Book Antiqua" w:hint="default"/>
          <w:rtl w:val="0"/>
          <w:lang w:val="it-IT"/>
        </w:rPr>
        <w:t xml:space="preserve">ì </w:t>
      </w:r>
      <w:r>
        <w:rPr>
          <w:rFonts w:ascii="Book Antiqua"/>
          <w:rtl w:val="0"/>
          <w:lang w:val="it-IT"/>
        </w:rPr>
        <w:t>come quelle di conferimento della raccolta differenziata e del trasporto dei rifiuti stessi al fine di garantire una distinta gestione delle diverse frazioni di rifiuti e di promuovere il recupero degli stessi, ma ci</w:t>
      </w:r>
      <w:r>
        <w:rPr>
          <w:rFonts w:hAnsi="Book Antiqua" w:hint="default"/>
          <w:rtl w:val="0"/>
          <w:lang w:val="it-IT"/>
        </w:rPr>
        <w:t xml:space="preserve">ò </w:t>
      </w:r>
      <w:r>
        <w:rPr>
          <w:rFonts w:ascii="Book Antiqua"/>
          <w:rtl w:val="0"/>
          <w:lang w:val="it-IT"/>
        </w:rPr>
        <w:t>di per s</w:t>
      </w:r>
      <w:r>
        <w:rPr>
          <w:rFonts w:hAnsi="Book Antiqua" w:hint="default"/>
          <w:rtl w:val="0"/>
          <w:lang w:val="it-IT"/>
        </w:rPr>
        <w:t xml:space="preserve">é </w:t>
      </w:r>
      <w:r>
        <w:rPr>
          <w:rFonts w:ascii="Book Antiqua"/>
          <w:rtl w:val="0"/>
          <w:lang w:val="it-IT"/>
        </w:rPr>
        <w:t>non esclude evidentemente la necessit</w:t>
      </w:r>
      <w:r>
        <w:rPr>
          <w:rFonts w:hAnsi="Book Antiqua" w:hint="default"/>
          <w:rtl w:val="0"/>
          <w:lang w:val="it-IT"/>
        </w:rPr>
        <w:t xml:space="preserve">à </w:t>
      </w:r>
      <w:r>
        <w:rPr>
          <w:rFonts w:ascii="Book Antiqua"/>
          <w:rtl w:val="0"/>
          <w:lang w:val="it-IT"/>
        </w:rPr>
        <w:t>dell</w:t>
      </w:r>
      <w:r>
        <w:rPr>
          <w:rFonts w:hAnsi="Book Antiqua" w:hint="default"/>
          <w:rtl w:val="0"/>
          <w:lang w:val="it-IT"/>
        </w:rPr>
        <w:t>’</w:t>
      </w:r>
      <w:r>
        <w:rPr>
          <w:rFonts w:ascii="Book Antiqua"/>
          <w:rtl w:val="0"/>
          <w:lang w:val="it-IT"/>
        </w:rPr>
        <w:t>autorizzazione regionale e/o provinciale secondo quanto previsto dal decreto legislativo 5 febbraio 1997, n. 22, ora n. 152 del 3 aprile 2006, o, comunque, il ricorso alla procedura semplificata secondo quanto indicato da talune normative regionali (per esempio, articolo 22 decreto del presidente della giunta regionale Toscana 25 febbraio 2004, n. 14-R; articolo 25 legge regionale Abruzzi 28 aprile 2000, n. 83). Non va dimenticato, infatti, che tanto il decreto legislativo 5 febbraio 1997, n. 22, quanto il decreto legislativo n. 152 del 2006 prevedono che la gestione dei rifiuti sul territorio avvenga mediante un'azione integrata e di coordinamento del comune con gli altri enti territoriali di riferimento - regione e provincia - e, soprattutto, con la prima cui anche nella vigenza del decreto legislativo n. 152 del 2006 continuano ad essere riservati nella specifica materia poteri di coordinamento e di controllo, anche in forma sostitutiva, delle operazioni di gestione dei rifiuti, della funzionalit</w:t>
      </w:r>
      <w:r>
        <w:rPr>
          <w:rFonts w:hAnsi="Book Antiqua" w:hint="default"/>
          <w:rtl w:val="0"/>
          <w:lang w:val="it-IT"/>
        </w:rPr>
        <w:t xml:space="preserve">à </w:t>
      </w:r>
      <w:r>
        <w:rPr>
          <w:rFonts w:ascii="Book Antiqua"/>
          <w:rtl w:val="0"/>
          <w:lang w:val="it-IT"/>
        </w:rPr>
        <w:t>dei relativi impianti e del rispetto dei limiti e delle prescrizioni previste dalle relative autorizzazioni (articoli 196 e 200 comma 4).</w:t>
      </w:r>
      <w:r>
        <w:rPr>
          <w:rFonts w:ascii="Book Antiqua" w:cs="Book Antiqua" w:hAnsi="Book Antiqua" w:eastAsia="Book Antiqua"/>
          <w:vertAlign w:val="superscript"/>
          <w:rtl w:val="0"/>
        </w:rPr>
        <w:footnoteReference w:id="269"/>
      </w:r>
    </w:p>
    <w:p>
      <w:pPr>
        <w:pStyle w:val="Normal (Web)"/>
        <w:spacing w:before="0" w:after="0"/>
        <w:ind w:left="567" w:right="567" w:firstLine="0"/>
        <w:jc w:val="both"/>
        <w:rPr>
          <w:rFonts w:ascii="Book Antiqua" w:cs="Book Antiqua" w:hAnsi="Book Antiqua" w:eastAsia="Book Antiqua"/>
        </w:rPr>
      </w:pPr>
      <w:r>
        <w:rPr>
          <w:rFonts w:ascii="Book Antiqua"/>
          <w:rtl w:val="0"/>
          <w:lang w:val="it-IT"/>
        </w:rPr>
        <w:t xml:space="preserve">Tuttavia, proprio con riferimento alle </w:t>
      </w:r>
      <w:r>
        <w:rPr>
          <w:rFonts w:hAnsi="Book Antiqua" w:hint="default"/>
          <w:rtl w:val="0"/>
          <w:lang w:val="it-IT"/>
        </w:rPr>
        <w:t>“</w:t>
      </w:r>
      <w:r>
        <w:rPr>
          <w:rFonts w:ascii="Book Antiqua"/>
          <w:rtl w:val="0"/>
          <w:lang w:val="it-IT"/>
        </w:rPr>
        <w:t>isole ecologiche</w:t>
      </w:r>
      <w:r>
        <w:rPr>
          <w:rFonts w:hAnsi="Book Antiqua" w:hint="default"/>
          <w:rtl w:val="0"/>
          <w:lang w:val="it-IT"/>
        </w:rPr>
        <w:t>”</w:t>
      </w:r>
      <w:r>
        <w:rPr>
          <w:rFonts w:ascii="Book Antiqua"/>
          <w:rtl w:val="0"/>
          <w:lang w:val="it-IT"/>
        </w:rPr>
        <w:t>, il legislatore interveniva nel 2008 e nel 2010, modificando alcune disposizioni del decreto legislativo n. 152 del 2006, sancendo, in particolare, nell</w:t>
      </w:r>
      <w:r>
        <w:rPr>
          <w:rFonts w:hAnsi="Book Antiqua" w:hint="default"/>
          <w:rtl w:val="0"/>
          <w:lang w:val="it-IT"/>
        </w:rPr>
        <w:t>’</w:t>
      </w:r>
      <w:r>
        <w:rPr>
          <w:rFonts w:ascii="Book Antiqua"/>
          <w:rtl w:val="0"/>
          <w:lang w:val="it-IT"/>
        </w:rPr>
        <w:t>articolo 183, che</w:t>
      </w:r>
      <w:r>
        <w:rPr>
          <w:rFonts w:hAnsi="Book Antiqua" w:hint="default"/>
          <w:rtl w:val="0"/>
          <w:lang w:val="it-IT"/>
        </w:rPr>
        <w:t xml:space="preserve"> “</w:t>
      </w:r>
      <w:r>
        <w:rPr>
          <w:rFonts w:ascii="Book Antiqua"/>
          <w:rtl w:val="0"/>
          <w:lang w:val="it-IT"/>
        </w:rPr>
        <w:t>si intende per</w:t>
      </w:r>
      <w:r>
        <w:rPr>
          <w:rFonts w:ascii="Book Antiqua"/>
          <w:i w:val="1"/>
          <w:iCs w:val="1"/>
          <w:rtl w:val="0"/>
          <w:lang w:val="it-IT"/>
        </w:rPr>
        <w:t xml:space="preserve"> </w:t>
      </w:r>
      <w:r>
        <w:rPr>
          <w:rFonts w:hAnsi="Book Antiqua" w:hint="default"/>
          <w:rtl w:val="0"/>
          <w:lang w:val="it-IT"/>
        </w:rPr>
        <w:t>‘</w:t>
      </w:r>
      <w:r>
        <w:rPr>
          <w:rFonts w:ascii="Book Antiqua"/>
          <w:rtl w:val="0"/>
          <w:lang w:val="it-IT"/>
        </w:rPr>
        <w:t>raccolta</w:t>
      </w:r>
      <w:r>
        <w:rPr>
          <w:rFonts w:hAnsi="Book Antiqua" w:hint="default"/>
          <w:rtl w:val="0"/>
          <w:lang w:val="it-IT"/>
        </w:rPr>
        <w:t xml:space="preserve">’ </w:t>
      </w:r>
      <w:r>
        <w:rPr>
          <w:rFonts w:ascii="Book Antiqua"/>
          <w:rtl w:val="0"/>
          <w:lang w:val="it-IT"/>
        </w:rPr>
        <w:t xml:space="preserve">il prelievo dei rifiuti, compresi la cernita preliminare e il deposito, ivi compresa la gestione dei centri di raccolta di cui alla lettera </w:t>
      </w:r>
      <w:r>
        <w:rPr>
          <w:rFonts w:hAnsi="Book Antiqua" w:hint="default"/>
          <w:rtl w:val="0"/>
          <w:lang w:val="it-IT"/>
        </w:rPr>
        <w:t>“</w:t>
      </w:r>
      <w:r>
        <w:rPr>
          <w:rFonts w:ascii="Book Antiqua"/>
          <w:rtl w:val="0"/>
          <w:lang w:val="it-IT"/>
        </w:rPr>
        <w:t>mm</w:t>
      </w:r>
      <w:r>
        <w:rPr>
          <w:rFonts w:hAnsi="Book Antiqua Bold" w:hint="default"/>
          <w:b w:val="1"/>
          <w:bCs w:val="1"/>
          <w:rtl w:val="0"/>
          <w:lang w:val="it-IT"/>
        </w:rPr>
        <w:t>”</w:t>
      </w:r>
      <w:r>
        <w:rPr>
          <w:rFonts w:ascii="Book Antiqua"/>
          <w:rtl w:val="0"/>
          <w:lang w:val="it-IT"/>
        </w:rPr>
        <w:t>, ai fini del loro trasporto in un impianto di trattamento</w:t>
      </w:r>
      <w:r>
        <w:rPr>
          <w:rFonts w:hAnsi="Book Antiqua" w:hint="default"/>
          <w:rtl w:val="0"/>
          <w:lang w:val="it-IT"/>
        </w:rPr>
        <w:t>”</w:t>
      </w:r>
      <w:r>
        <w:rPr>
          <w:rFonts w:ascii="Book Antiqua"/>
          <w:i w:val="1"/>
          <w:iCs w:val="1"/>
          <w:rtl w:val="0"/>
          <w:lang w:val="it-IT"/>
        </w:rPr>
        <w:t xml:space="preserve"> </w:t>
      </w:r>
      <w:r>
        <w:rPr>
          <w:rFonts w:ascii="Book Antiqua"/>
          <w:rtl w:val="0"/>
          <w:lang w:val="it-IT"/>
        </w:rPr>
        <w:t xml:space="preserve">(lett. </w:t>
      </w:r>
      <w:r>
        <w:rPr>
          <w:rFonts w:hAnsi="Book Antiqua" w:hint="default"/>
          <w:rtl w:val="0"/>
          <w:lang w:val="it-IT"/>
        </w:rPr>
        <w:t>“</w:t>
      </w:r>
      <w:r>
        <w:rPr>
          <w:rFonts w:ascii="Book Antiqua"/>
          <w:rtl w:val="0"/>
          <w:lang w:val="it-IT"/>
        </w:rPr>
        <w:t>o</w:t>
      </w:r>
      <w:r>
        <w:rPr>
          <w:rFonts w:hAnsi="Book Antiqua" w:hint="default"/>
          <w:rtl w:val="0"/>
          <w:lang w:val="it-IT"/>
        </w:rPr>
        <w:t>”</w:t>
      </w:r>
      <w:r>
        <w:rPr>
          <w:rFonts w:ascii="Book Antiqua Bold"/>
          <w:b w:val="1"/>
          <w:bCs w:val="1"/>
          <w:rtl w:val="0"/>
          <w:lang w:val="it-IT"/>
        </w:rPr>
        <w:t xml:space="preserve">); </w:t>
      </w:r>
      <w:r>
        <w:rPr>
          <w:rFonts w:ascii="Book Antiqua Bold"/>
          <w:b w:val="1"/>
          <w:bCs w:val="1"/>
          <w:i w:val="1"/>
          <w:iCs w:val="1"/>
          <w:rtl w:val="0"/>
          <w:lang w:val="it-IT"/>
        </w:rPr>
        <w:t xml:space="preserve"> </w:t>
      </w:r>
      <w:r>
        <w:rPr>
          <w:rFonts w:ascii="Book Antiqua"/>
          <w:rtl w:val="0"/>
          <w:lang w:val="it-IT"/>
        </w:rPr>
        <w:t xml:space="preserve">e aggiungendo, appunto, alla lettera </w:t>
      </w:r>
      <w:r>
        <w:rPr>
          <w:rFonts w:hAnsi="Book Antiqua" w:hint="default"/>
          <w:rtl w:val="0"/>
          <w:lang w:val="it-IT"/>
        </w:rPr>
        <w:t>“</w:t>
      </w:r>
      <w:r>
        <w:rPr>
          <w:rFonts w:ascii="Book Antiqua"/>
          <w:rtl w:val="0"/>
          <w:lang w:val="it-IT"/>
        </w:rPr>
        <w:t>mm</w:t>
      </w:r>
      <w:r>
        <w:rPr>
          <w:rFonts w:hAnsi="Book Antiqua" w:hint="default"/>
          <w:rtl w:val="0"/>
          <w:lang w:val="it-IT"/>
        </w:rPr>
        <w:t>”</w:t>
      </w:r>
      <w:r>
        <w:rPr>
          <w:rFonts w:ascii="Book Antiqua"/>
          <w:rtl w:val="0"/>
          <w:lang w:val="it-IT"/>
        </w:rPr>
        <w:t>, la definizione di</w:t>
      </w:r>
      <w:r>
        <w:rPr>
          <w:rFonts w:ascii="Book Antiqua"/>
          <w:i w:val="1"/>
          <w:iCs w:val="1"/>
          <w:rtl w:val="0"/>
          <w:lang w:val="it-IT"/>
        </w:rPr>
        <w:t xml:space="preserve">  </w:t>
      </w:r>
      <w:r>
        <w:rPr>
          <w:rFonts w:hAnsi="Book Antiqua" w:hint="default"/>
          <w:rtl w:val="0"/>
          <w:lang w:val="it-IT"/>
        </w:rPr>
        <w:t>“</w:t>
      </w:r>
      <w:r>
        <w:rPr>
          <w:rFonts w:ascii="Book Antiqua"/>
          <w:rtl w:val="0"/>
          <w:lang w:val="it-IT"/>
        </w:rPr>
        <w:t>centro di raccolta</w:t>
      </w:r>
      <w:r>
        <w:rPr>
          <w:rFonts w:hAnsi="Book Antiqua" w:hint="default"/>
          <w:rtl w:val="0"/>
          <w:lang w:val="it-IT"/>
        </w:rPr>
        <w:t>”</w:t>
      </w:r>
      <w:r>
        <w:rPr>
          <w:rFonts w:ascii="Book Antiqua"/>
          <w:rtl w:val="0"/>
          <w:lang w:val="it-IT"/>
        </w:rPr>
        <w:t>: area presidiata ed allestita, senza nuovi o maggiori oneri a carico della finanza pubblica, per l'attivit</w:t>
      </w:r>
      <w:r>
        <w:rPr>
          <w:rFonts w:hAnsi="Book Antiqua" w:hint="default"/>
          <w:rtl w:val="0"/>
          <w:lang w:val="it-IT"/>
        </w:rPr>
        <w:t xml:space="preserve">à </w:t>
      </w:r>
      <w:r>
        <w:rPr>
          <w:rFonts w:ascii="Book Antiqua"/>
          <w:rtl w:val="0"/>
          <w:lang w:val="it-IT"/>
        </w:rPr>
        <w:t xml:space="preserve">di raccolta mediante raggruppamento differenziato dei rifiuti urbani per frazioni omogenee conferiti dai detentori per il trasporto agli impianti di recupero e trattamento. La disciplina dei centri di raccolta </w:t>
      </w:r>
      <w:r>
        <w:rPr>
          <w:rFonts w:hAnsi="Book Antiqua" w:hint="default"/>
          <w:rtl w:val="0"/>
          <w:lang w:val="it-IT"/>
        </w:rPr>
        <w:t xml:space="preserve">è </w:t>
      </w:r>
      <w:r>
        <w:rPr>
          <w:rFonts w:ascii="Book Antiqua"/>
          <w:rtl w:val="0"/>
          <w:lang w:val="it-IT"/>
        </w:rPr>
        <w:t>data con decreto del Ministro dell'ambiente e della tutela del territorio e del mare, sentita la Conferenza unificata , di cui al decreto legislativo 28 agosto 1997, n. 281</w:t>
      </w:r>
      <w:r>
        <w:rPr>
          <w:rFonts w:hAnsi="Book Antiqua" w:hint="default"/>
          <w:rtl w:val="0"/>
          <w:lang w:val="it-IT"/>
        </w:rPr>
        <w:t xml:space="preserve"> “</w:t>
      </w:r>
      <w:r>
        <w:rPr>
          <w:rFonts w:ascii="Book Antiqua"/>
          <w:rtl w:val="0"/>
          <w:lang w:val="it-IT"/>
        </w:rPr>
        <w:t>. Precisava altres</w:t>
      </w:r>
      <w:r>
        <w:rPr>
          <w:rFonts w:hAnsi="Book Antiqua" w:hint="default"/>
          <w:rtl w:val="0"/>
          <w:lang w:val="it-IT"/>
        </w:rPr>
        <w:t>ì</w:t>
      </w:r>
      <w:r>
        <w:rPr>
          <w:rFonts w:ascii="Book Antiqua"/>
          <w:rtl w:val="0"/>
          <w:lang w:val="it-IT"/>
        </w:rPr>
        <w:t>, nell</w:t>
      </w:r>
      <w:r>
        <w:rPr>
          <w:rFonts w:hAnsi="Book Antiqua" w:hint="default"/>
          <w:rtl w:val="0"/>
          <w:lang w:val="it-IT"/>
        </w:rPr>
        <w:t>’</w:t>
      </w:r>
      <w:r>
        <w:rPr>
          <w:rFonts w:ascii="Book Antiqua"/>
          <w:rtl w:val="0"/>
          <w:lang w:val="it-IT"/>
        </w:rPr>
        <w:t>articolo 190, comma 9, relativo all</w:t>
      </w:r>
      <w:r>
        <w:rPr>
          <w:rFonts w:hAnsi="Book Antiqua" w:hint="default"/>
          <w:rtl w:val="0"/>
          <w:lang w:val="it-IT"/>
        </w:rPr>
        <w:t>’</w:t>
      </w:r>
      <w:r>
        <w:rPr>
          <w:rFonts w:ascii="Book Antiqua"/>
          <w:rtl w:val="0"/>
          <w:lang w:val="it-IT"/>
        </w:rPr>
        <w:t xml:space="preserve">obbligo dei registri di carico e scarico, che </w:t>
      </w:r>
      <w:r>
        <w:rPr>
          <w:rFonts w:hAnsi="Book Antiqua" w:hint="default"/>
          <w:rtl w:val="0"/>
          <w:lang w:val="it-IT"/>
        </w:rPr>
        <w:t>“</w:t>
      </w:r>
      <w:r>
        <w:rPr>
          <w:rFonts w:ascii="Book Antiqua"/>
          <w:rtl w:val="0"/>
          <w:lang w:val="it-IT"/>
        </w:rPr>
        <w:t>le operazioni di gestione dei centri di raccolta di cui all</w:t>
      </w:r>
      <w:r>
        <w:rPr>
          <w:rFonts w:hAnsi="Book Antiqua" w:hint="default"/>
          <w:rtl w:val="0"/>
          <w:lang w:val="it-IT"/>
        </w:rPr>
        <w:t>’</w:t>
      </w:r>
      <w:r>
        <w:rPr>
          <w:rFonts w:ascii="Book Antiqua"/>
          <w:rtl w:val="0"/>
          <w:lang w:val="it-IT"/>
        </w:rPr>
        <w:t>articolo 183, comma 1, lettera mm), sono escluse dagli obblighi del presente articolo limitatamente ai rifiuti non pericolosi. Per i rifiuti pericolosi la registrazione del carico e dello scarico pu</w:t>
      </w:r>
      <w:r>
        <w:rPr>
          <w:rFonts w:hAnsi="Book Antiqua" w:hint="default"/>
          <w:rtl w:val="0"/>
          <w:lang w:val="it-IT"/>
        </w:rPr>
        <w:t xml:space="preserve">ò </w:t>
      </w:r>
      <w:r>
        <w:rPr>
          <w:rFonts w:ascii="Book Antiqua"/>
          <w:rtl w:val="0"/>
          <w:lang w:val="it-IT"/>
        </w:rPr>
        <w:t>essere effettuata contestualmente al momento dell</w:t>
      </w:r>
      <w:r>
        <w:rPr>
          <w:rFonts w:hAnsi="Book Antiqua" w:hint="default"/>
          <w:rtl w:val="0"/>
          <w:lang w:val="it-IT"/>
        </w:rPr>
        <w:t>’</w:t>
      </w:r>
      <w:r>
        <w:rPr>
          <w:rFonts w:ascii="Book Antiqua"/>
          <w:rtl w:val="0"/>
          <w:lang w:val="it-IT"/>
        </w:rPr>
        <w:t>uscita dei rifiuti stessi dal centro di raccolta e in maniera cumulativa per ciascun codice dell</w:t>
      </w:r>
      <w:r>
        <w:rPr>
          <w:rFonts w:hAnsi="Book Antiqua" w:hint="default"/>
          <w:rtl w:val="0"/>
          <w:lang w:val="it-IT"/>
        </w:rPr>
        <w:t>’</w:t>
      </w:r>
      <w:r>
        <w:rPr>
          <w:rFonts w:ascii="Book Antiqua"/>
          <w:rtl w:val="0"/>
          <w:lang w:val="it-IT"/>
        </w:rPr>
        <w:t>elenco dei rifiuti.</w:t>
      </w:r>
      <w:r>
        <w:rPr>
          <w:rFonts w:hAnsi="Book Antiqua" w:hint="default"/>
          <w:rtl w:val="0"/>
          <w:lang w:val="it-IT"/>
        </w:rPr>
        <w:t>”</w:t>
      </w:r>
    </w:p>
    <w:p>
      <w:pPr>
        <w:pStyle w:val="Normal (Web)"/>
        <w:spacing w:before="0" w:after="0"/>
        <w:ind w:left="567" w:right="567" w:firstLine="0"/>
        <w:jc w:val="both"/>
        <w:rPr>
          <w:rFonts w:ascii="Book Antiqua" w:cs="Book Antiqua" w:hAnsi="Book Antiqua" w:eastAsia="Book Antiqua"/>
        </w:rPr>
      </w:pPr>
      <w:r>
        <w:rPr>
          <w:rFonts w:ascii="Book Antiqua"/>
          <w:rtl w:val="0"/>
          <w:lang w:val="it-IT"/>
        </w:rPr>
        <w:t>Pertanto, con queste modifiche la disciplina di questi centri di raccolta veniva demandata ad un successivo decreto ministeriale, che veniva emanato l</w:t>
      </w:r>
      <w:r>
        <w:rPr>
          <w:rFonts w:hAnsi="Book Antiqua" w:hint="default"/>
          <w:rtl w:val="0"/>
          <w:lang w:val="it-IT"/>
        </w:rPr>
        <w:t>’</w:t>
      </w:r>
      <w:r>
        <w:rPr>
          <w:rFonts w:ascii="Book Antiqua"/>
          <w:rtl w:val="0"/>
          <w:lang w:val="it-IT"/>
        </w:rPr>
        <w:t>8 aprile 2008 (con successive modifiche del  13 maggio 2009).</w:t>
      </w:r>
    </w:p>
    <w:p>
      <w:pPr>
        <w:pStyle w:val="Normal"/>
        <w:ind w:left="567" w:right="567" w:firstLine="0"/>
        <w:jc w:val="both"/>
        <w:rPr>
          <w:rFonts w:ascii="Book Antiqua" w:cs="Book Antiqua" w:hAnsi="Book Antiqua" w:eastAsia="Book Antiqua"/>
        </w:rPr>
      </w:pPr>
      <w:r>
        <w:rPr>
          <w:rFonts w:ascii="Book Antiqua"/>
          <w:rtl w:val="0"/>
          <w:lang w:val="it-IT"/>
        </w:rPr>
        <w:t xml:space="preserve">Il D.M, in primo luogo, amplia e precisa  la nozione di </w:t>
      </w:r>
      <w:r>
        <w:rPr>
          <w:rFonts w:hAnsi="Book Antiqua" w:hint="default"/>
          <w:rtl w:val="0"/>
          <w:lang w:val="it-IT"/>
        </w:rPr>
        <w:t>“</w:t>
      </w:r>
      <w:r>
        <w:rPr>
          <w:rFonts w:ascii="Book Antiqua"/>
          <w:rtl w:val="0"/>
          <w:lang w:val="it-IT"/>
        </w:rPr>
        <w:t>centri di raccolta</w:t>
      </w:r>
      <w:r>
        <w:rPr>
          <w:rFonts w:hAnsi="Book Antiqua" w:hint="default"/>
          <w:rtl w:val="0"/>
          <w:lang w:val="it-IT"/>
        </w:rPr>
        <w:t xml:space="preserve">” </w:t>
      </w:r>
      <w:r>
        <w:rPr>
          <w:rFonts w:ascii="Book Antiqua"/>
          <w:rtl w:val="0"/>
          <w:lang w:val="it-IT"/>
        </w:rPr>
        <w:t>comunali o intercomunali definiti dall</w:t>
      </w:r>
      <w:r>
        <w:rPr>
          <w:rFonts w:hAnsi="Book Antiqua" w:hint="default"/>
          <w:rtl w:val="0"/>
          <w:lang w:val="it-IT"/>
        </w:rPr>
        <w:t>’</w:t>
      </w:r>
      <w:r>
        <w:rPr>
          <w:rFonts w:ascii="Book Antiqua"/>
          <w:rtl w:val="0"/>
          <w:lang w:val="it-IT"/>
        </w:rPr>
        <w:t xml:space="preserve">articolo 1 </w:t>
      </w:r>
      <w:r>
        <w:rPr>
          <w:rFonts w:hAnsi="Book Antiqua" w:hint="default"/>
          <w:rtl w:val="0"/>
          <w:lang w:val="it-IT"/>
        </w:rPr>
        <w:t>“</w:t>
      </w:r>
      <w:r>
        <w:rPr>
          <w:rFonts w:ascii="Book Antiqua"/>
          <w:rtl w:val="0"/>
          <w:lang w:val="it-IT"/>
        </w:rPr>
        <w:t>aree presidiate ed allestite ove si svolge unicamente attivit</w:t>
      </w:r>
      <w:r>
        <w:rPr>
          <w:rFonts w:hAnsi="Book Antiqua" w:hint="default"/>
          <w:rtl w:val="0"/>
          <w:lang w:val="it-IT"/>
        </w:rPr>
        <w:t xml:space="preserve">à </w:t>
      </w:r>
      <w:r>
        <w:rPr>
          <w:rFonts w:ascii="Book Antiqua"/>
          <w:rtl w:val="0"/>
          <w:lang w:val="it-IT"/>
        </w:rPr>
        <w:t>di raccolta, mediante raggruppamento per frazioni omogenee per il trasporto agli impianti di recupero, trattamento e, per le frazioni non recuperabili, di smaltimento, dei rifiuti urbani e assimilati elencati in allegato i, paragrafo 4.2, conferiti in maniera differenziata rispettivamente dalle utenze domestiche e non domestiche, anche attraverso il gestore del pubblico servizio nonch</w:t>
      </w:r>
      <w:r>
        <w:rPr>
          <w:rFonts w:hAnsi="Book Antiqua" w:hint="default"/>
          <w:rtl w:val="0"/>
          <w:lang w:val="it-IT"/>
        </w:rPr>
        <w:t xml:space="preserve">é </w:t>
      </w:r>
      <w:r>
        <w:rPr>
          <w:rFonts w:ascii="Book Antiqua"/>
          <w:rtl w:val="0"/>
          <w:lang w:val="it-IT"/>
        </w:rPr>
        <w:t>dagli altri soggetti tenuti in base alle vigenti normative settoriali al ritiro di specifiche  tipologie di rifiuti dalle utenze domestiche</w:t>
      </w:r>
      <w:r>
        <w:rPr>
          <w:rFonts w:hAnsi="Book Antiqua" w:hint="default"/>
          <w:rtl w:val="0"/>
          <w:lang w:val="it-IT"/>
        </w:rPr>
        <w:t>”</w:t>
      </w:r>
      <w:r>
        <w:rPr>
          <w:rFonts w:ascii="Book Antiqua"/>
          <w:rtl w:val="0"/>
          <w:lang w:val="it-IT"/>
        </w:rPr>
        <w:t xml:space="preserve">. </w:t>
      </w:r>
    </w:p>
    <w:p>
      <w:pPr>
        <w:pStyle w:val="Normal (Web)"/>
        <w:spacing w:before="0" w:after="0"/>
        <w:ind w:left="567" w:right="567" w:firstLine="0"/>
        <w:jc w:val="both"/>
        <w:rPr>
          <w:rFonts w:ascii="Book Antiqua" w:cs="Book Antiqua" w:hAnsi="Book Antiqua" w:eastAsia="Book Antiqua"/>
        </w:rPr>
      </w:pPr>
      <w:r>
        <w:rPr>
          <w:rFonts w:ascii="Book Antiqua"/>
          <w:rtl w:val="0"/>
          <w:lang w:val="it-IT"/>
        </w:rPr>
        <w:t xml:space="preserve">Nozione che </w:t>
      </w:r>
      <w:r>
        <w:rPr>
          <w:rFonts w:hAnsi="Book Antiqua" w:hint="default"/>
          <w:rtl w:val="0"/>
          <w:lang w:val="it-IT"/>
        </w:rPr>
        <w:t xml:space="preserve">è </w:t>
      </w:r>
      <w:r>
        <w:rPr>
          <w:rFonts w:ascii="Book Antiqua"/>
          <w:rtl w:val="0"/>
          <w:lang w:val="it-IT"/>
        </w:rPr>
        <w:t>stata recentemente ampliata dalla legge 28 dicembre 2015 n. 221 (Collegato ambientale), che ha aggiunto all</w:t>
      </w:r>
      <w:r>
        <w:rPr>
          <w:rFonts w:hAnsi="Book Antiqua" w:hint="default"/>
          <w:rtl w:val="0"/>
          <w:lang w:val="it-IT"/>
        </w:rPr>
        <w:t>’</w:t>
      </w:r>
      <w:r>
        <w:rPr>
          <w:rFonts w:ascii="Book Antiqua"/>
          <w:rtl w:val="0"/>
          <w:lang w:val="it-IT"/>
        </w:rPr>
        <w:t xml:space="preserve">articolo 180 bis decreto legislativo n. 152 del 2006 un comma 1-bis secondo cui </w:t>
      </w:r>
      <w:r>
        <w:rPr>
          <w:rFonts w:hAnsi="Book Antiqua" w:hint="default"/>
          <w:rtl w:val="0"/>
          <w:lang w:val="it-IT"/>
        </w:rPr>
        <w:t>“</w:t>
      </w:r>
      <w:r>
        <w:rPr>
          <w:rFonts w:ascii="Book Antiqua"/>
          <w:rtl w:val="0"/>
          <w:lang w:val="it-IT"/>
        </w:rPr>
        <w:t xml:space="preserve">ai </w:t>
      </w:r>
      <w:r>
        <w:rPr>
          <w:rFonts w:hAnsi="Book Antiqua" w:hint="default"/>
          <w:rtl w:val="0"/>
          <w:lang w:val="it-IT"/>
        </w:rPr>
        <w:t>ﬁ</w:t>
      </w:r>
      <w:r>
        <w:rPr>
          <w:rFonts w:ascii="Book Antiqua"/>
          <w:rtl w:val="0"/>
          <w:lang w:val="it-IT"/>
        </w:rPr>
        <w:t>ni di cui al comma 1, i comuni possono individuare anche appositi spazi, presso i centri di raccolta di cui all</w:t>
      </w:r>
      <w:r>
        <w:rPr>
          <w:rFonts w:hAnsi="Book Antiqua" w:hint="default"/>
          <w:rtl w:val="0"/>
          <w:lang w:val="it-IT"/>
        </w:rPr>
        <w:t>’</w:t>
      </w:r>
      <w:r>
        <w:rPr>
          <w:rFonts w:ascii="Book Antiqua"/>
          <w:rtl w:val="0"/>
          <w:lang w:val="it-IT"/>
        </w:rPr>
        <w:t>articolo 183, comma 1, lettera mm), per l</w:t>
      </w:r>
      <w:r>
        <w:rPr>
          <w:rFonts w:hAnsi="Book Antiqua" w:hint="default"/>
          <w:rtl w:val="0"/>
          <w:lang w:val="it-IT"/>
        </w:rPr>
        <w:t>’</w:t>
      </w:r>
      <w:r>
        <w:rPr>
          <w:rFonts w:ascii="Book Antiqua"/>
          <w:rtl w:val="0"/>
          <w:lang w:val="it-IT"/>
        </w:rPr>
        <w:t xml:space="preserve">esposizione temporanea, </w:t>
      </w:r>
      <w:r>
        <w:rPr>
          <w:rFonts w:hAnsi="Book Antiqua" w:hint="default"/>
          <w:rtl w:val="0"/>
          <w:lang w:val="it-IT"/>
        </w:rPr>
        <w:t>ﬁ</w:t>
      </w:r>
      <w:r>
        <w:rPr>
          <w:rFonts w:ascii="Book Antiqua"/>
          <w:rtl w:val="0"/>
          <w:lang w:val="it-IT"/>
        </w:rPr>
        <w:t>nalizzata allo scambio tra privati, di beni usati e funzionanti direttamente idonei al riutilizzo. Nei centri di raccolta possono altres</w:t>
      </w:r>
      <w:r>
        <w:rPr>
          <w:rFonts w:hAnsi="Book Antiqua" w:hint="default"/>
          <w:rtl w:val="0"/>
          <w:lang w:val="it-IT"/>
        </w:rPr>
        <w:t xml:space="preserve">ì </w:t>
      </w:r>
      <w:r>
        <w:rPr>
          <w:rFonts w:ascii="Book Antiqua"/>
          <w:rtl w:val="0"/>
          <w:lang w:val="it-IT"/>
        </w:rPr>
        <w:t>essere individuate apposite aree adibite al deposito preliminare alla raccolta dei ri</w:t>
      </w:r>
      <w:r>
        <w:rPr>
          <w:rFonts w:hAnsi="Book Antiqua" w:hint="default"/>
          <w:rtl w:val="0"/>
          <w:lang w:val="it-IT"/>
        </w:rPr>
        <w:t>ﬁ</w:t>
      </w:r>
      <w:r>
        <w:rPr>
          <w:rFonts w:ascii="Book Antiqua"/>
          <w:rtl w:val="0"/>
          <w:lang w:val="it-IT"/>
        </w:rPr>
        <w:t>uti destinati alla preparazione per il riutilizzo e alla raccolta di beni riutilizzabili. Nei centri di raccolta possono anche essere individuati spazi dedicati alla prevenzione della produzione di rifiuti, con l</w:t>
      </w:r>
      <w:r>
        <w:rPr>
          <w:rFonts w:hAnsi="Book Antiqua" w:hint="default"/>
          <w:rtl w:val="0"/>
          <w:lang w:val="it-IT"/>
        </w:rPr>
        <w:t>’</w:t>
      </w:r>
      <w:r>
        <w:rPr>
          <w:rFonts w:ascii="Book Antiqua"/>
          <w:rtl w:val="0"/>
          <w:lang w:val="it-IT"/>
        </w:rPr>
        <w:t xml:space="preserve">obiettivo di consentire la raccolta di beni da destinare al riutilizzo, nel quadro di operazioni di intercettazione e schemi di </w:t>
      </w:r>
      <w:r>
        <w:rPr>
          <w:rFonts w:hAnsi="Book Antiqua" w:hint="default"/>
          <w:rtl w:val="0"/>
          <w:lang w:val="it-IT"/>
        </w:rPr>
        <w:t>ﬁ</w:t>
      </w:r>
      <w:r>
        <w:rPr>
          <w:rFonts w:ascii="Book Antiqua"/>
          <w:rtl w:val="0"/>
          <w:lang w:val="it-IT"/>
        </w:rPr>
        <w:t>liera degli operatori professionali dell</w:t>
      </w:r>
      <w:r>
        <w:rPr>
          <w:rFonts w:hAnsi="Book Antiqua" w:hint="default"/>
          <w:rtl w:val="0"/>
          <w:lang w:val="it-IT"/>
        </w:rPr>
        <w:t>’</w:t>
      </w:r>
      <w:r>
        <w:rPr>
          <w:rFonts w:ascii="Book Antiqua"/>
          <w:rtl w:val="0"/>
          <w:lang w:val="it-IT"/>
        </w:rPr>
        <w:t>usato autorizzati dagli enti locali e dalle aziende di igiene urbana</w:t>
      </w:r>
      <w:r>
        <w:rPr>
          <w:rFonts w:hAnsi="Book Antiqua" w:hint="default"/>
          <w:rtl w:val="0"/>
          <w:lang w:val="it-IT"/>
        </w:rPr>
        <w:t>”</w:t>
      </w:r>
      <w:r>
        <w:rPr>
          <w:rFonts w:ascii="Book Antiqua"/>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Quanto alle autorizzazioni, nell</w:t>
      </w:r>
      <w:r>
        <w:rPr>
          <w:rFonts w:hAnsi="Book Antiqua" w:hint="default"/>
          <w:rtl w:val="0"/>
          <w:lang w:val="it-IT"/>
        </w:rPr>
        <w:t>’</w:t>
      </w:r>
      <w:r>
        <w:rPr>
          <w:rFonts w:ascii="Book Antiqua"/>
          <w:rtl w:val="0"/>
          <w:lang w:val="it-IT"/>
        </w:rPr>
        <w:t xml:space="preserve">articolo 2 si dispone che </w:t>
      </w:r>
      <w:r>
        <w:rPr>
          <w:rFonts w:hAnsi="Book Antiqua" w:hint="default"/>
          <w:rtl w:val="0"/>
          <w:lang w:val="it-IT"/>
        </w:rPr>
        <w:t>“</w:t>
      </w:r>
      <w:r>
        <w:rPr>
          <w:rFonts w:ascii="Book Antiqua"/>
          <w:rtl w:val="0"/>
          <w:lang w:val="it-IT"/>
        </w:rPr>
        <w:t>la realizzazione o l</w:t>
      </w:r>
      <w:r>
        <w:rPr>
          <w:rFonts w:hAnsi="Book Antiqua" w:hint="default"/>
          <w:rtl w:val="0"/>
          <w:lang w:val="it-IT"/>
        </w:rPr>
        <w:t>’</w:t>
      </w:r>
      <w:r>
        <w:rPr>
          <w:rFonts w:ascii="Book Antiqua"/>
          <w:rtl w:val="0"/>
          <w:lang w:val="it-IT"/>
        </w:rPr>
        <w:t>adeguamento dei centri di raccolta di cui all</w:t>
      </w:r>
      <w:r>
        <w:rPr>
          <w:rFonts w:hAnsi="Book Antiqua" w:hint="default"/>
          <w:rtl w:val="0"/>
          <w:lang w:val="it-IT"/>
        </w:rPr>
        <w:t>’</w:t>
      </w:r>
      <w:r>
        <w:rPr>
          <w:rFonts w:ascii="Book Antiqua"/>
          <w:rtl w:val="0"/>
          <w:lang w:val="it-IT"/>
        </w:rPr>
        <w:t xml:space="preserve">articolo 1 </w:t>
      </w:r>
      <w:r>
        <w:rPr>
          <w:rFonts w:hAnsi="Book Antiqua" w:hint="default"/>
          <w:rtl w:val="0"/>
          <w:lang w:val="it-IT"/>
        </w:rPr>
        <w:t xml:space="preserve">è </w:t>
      </w:r>
      <w:r>
        <w:rPr>
          <w:rFonts w:ascii="Book Antiqua"/>
          <w:rtl w:val="0"/>
          <w:lang w:val="it-IT"/>
        </w:rPr>
        <w:t>eseguito in conformit</w:t>
      </w:r>
      <w:r>
        <w:rPr>
          <w:rFonts w:hAnsi="Book Antiqua" w:hint="default"/>
          <w:rtl w:val="0"/>
          <w:lang w:val="it-IT"/>
        </w:rPr>
        <w:t xml:space="preserve">à </w:t>
      </w:r>
      <w:r>
        <w:rPr>
          <w:rFonts w:ascii="Book Antiqua"/>
          <w:rtl w:val="0"/>
          <w:lang w:val="it-IT"/>
        </w:rPr>
        <w:t>con la normativa vigente in materia urbanistica ed edilizia e il comune territorialmente competente ne d</w:t>
      </w:r>
      <w:r>
        <w:rPr>
          <w:rFonts w:hAnsi="Book Antiqua" w:hint="default"/>
          <w:rtl w:val="0"/>
          <w:lang w:val="it-IT"/>
        </w:rPr>
        <w:t xml:space="preserve">à </w:t>
      </w:r>
      <w:r>
        <w:rPr>
          <w:rFonts w:ascii="Book Antiqua"/>
          <w:rtl w:val="0"/>
          <w:lang w:val="it-IT"/>
        </w:rPr>
        <w:t>comunicazione alla regione e alla provincia</w:t>
      </w:r>
      <w:r>
        <w:rPr>
          <w:rFonts w:hAnsi="Book Antiqua" w:hint="default"/>
          <w:rtl w:val="0"/>
          <w:lang w:val="it-IT"/>
        </w:rPr>
        <w:t xml:space="preserve">” </w:t>
      </w:r>
      <w:r>
        <w:rPr>
          <w:rFonts w:ascii="Book Antiqua"/>
          <w:rtl w:val="0"/>
          <w:lang w:val="it-IT"/>
        </w:rPr>
        <w:t xml:space="preserve">(comma 1), aggiungendo (comma 2) che questi centri </w:t>
      </w:r>
      <w:r>
        <w:rPr>
          <w:rFonts w:hAnsi="Book Antiqua" w:hint="default"/>
          <w:rtl w:val="0"/>
          <w:lang w:val="it-IT"/>
        </w:rPr>
        <w:t>“</w:t>
      </w:r>
      <w:r>
        <w:rPr>
          <w:rFonts w:ascii="Book Antiqua"/>
          <w:rtl w:val="0"/>
          <w:lang w:val="it-IT"/>
        </w:rPr>
        <w:t>sono allestiti e gestiti in conformit</w:t>
      </w:r>
      <w:r>
        <w:rPr>
          <w:rFonts w:hAnsi="Book Antiqua" w:hint="default"/>
          <w:rtl w:val="0"/>
          <w:lang w:val="it-IT"/>
        </w:rPr>
        <w:t xml:space="preserve">à </w:t>
      </w:r>
      <w:r>
        <w:rPr>
          <w:rFonts w:ascii="Book Antiqua"/>
          <w:rtl w:val="0"/>
          <w:lang w:val="it-IT"/>
        </w:rPr>
        <w:t>alle disposizioni di cui  all</w:t>
      </w:r>
      <w:r>
        <w:rPr>
          <w:rFonts w:hAnsi="Book Antiqua" w:hint="default"/>
          <w:rtl w:val="0"/>
          <w:lang w:val="it-IT"/>
        </w:rPr>
        <w:t>’</w:t>
      </w:r>
      <w:r>
        <w:rPr>
          <w:rFonts w:ascii="Book Antiqua"/>
          <w:rtl w:val="0"/>
          <w:lang w:val="it-IT"/>
        </w:rPr>
        <w:t>allegato i, che costituisce parte integrante del presente decreto</w:t>
      </w:r>
      <w:r>
        <w:rPr>
          <w:rFonts w:hAnsi="Book Antiqua" w:hint="default"/>
          <w:rtl w:val="0"/>
          <w:lang w:val="it-IT"/>
        </w:rPr>
        <w:t xml:space="preserve">“ </w:t>
      </w:r>
      <w:r>
        <w:rPr>
          <w:rFonts w:ascii="Book Antiqua"/>
          <w:rtl w:val="0"/>
          <w:lang w:val="it-IT"/>
        </w:rPr>
        <w:t xml:space="preserve">e che </w:t>
      </w:r>
      <w:r>
        <w:rPr>
          <w:rFonts w:hAnsi="Book Antiqua" w:hint="default"/>
          <w:rtl w:val="0"/>
          <w:lang w:val="it-IT"/>
        </w:rPr>
        <w:t>“</w:t>
      </w:r>
      <w:r>
        <w:rPr>
          <w:rFonts w:ascii="Book Antiqua"/>
          <w:rtl w:val="0"/>
          <w:lang w:val="it-IT"/>
        </w:rPr>
        <w:t xml:space="preserve">il soggetto che gestisce il centro di raccolta </w:t>
      </w:r>
      <w:r>
        <w:rPr>
          <w:rFonts w:hAnsi="Book Antiqua" w:hint="default"/>
          <w:rtl w:val="0"/>
          <w:lang w:val="it-IT"/>
        </w:rPr>
        <w:t xml:space="preserve">è </w:t>
      </w:r>
      <w:r>
        <w:rPr>
          <w:rFonts w:ascii="Book Antiqua"/>
          <w:rtl w:val="0"/>
          <w:lang w:val="it-IT"/>
        </w:rPr>
        <w:t>iscritto all</w:t>
      </w:r>
      <w:r>
        <w:rPr>
          <w:rFonts w:hAnsi="Book Antiqua" w:hint="default"/>
          <w:rtl w:val="0"/>
          <w:lang w:val="it-IT"/>
        </w:rPr>
        <w:t>’</w:t>
      </w:r>
      <w:r>
        <w:rPr>
          <w:rFonts w:ascii="Book Antiqua"/>
          <w:rtl w:val="0"/>
          <w:lang w:val="it-IT"/>
        </w:rPr>
        <w:t xml:space="preserve">Albo nazionale gestori ambientali di cui all'articolo 212 del decreto legislativo 3 aprile 2006, n. 152, e successive modifiche, nella Categoria 1 </w:t>
      </w:r>
      <w:r>
        <w:rPr>
          <w:rFonts w:hAnsi="Book Antiqua" w:hint="default"/>
          <w:rtl w:val="0"/>
          <w:lang w:val="it-IT"/>
        </w:rPr>
        <w:t>«</w:t>
      </w:r>
      <w:r>
        <w:rPr>
          <w:rFonts w:ascii="Book Antiqua"/>
          <w:rtl w:val="0"/>
          <w:lang w:val="it-IT"/>
        </w:rPr>
        <w:t>Raccolta e trasporto dei rifiuti urbani</w:t>
      </w:r>
      <w:r>
        <w:rPr>
          <w:rFonts w:hAnsi="Book Antiqua" w:hint="default"/>
          <w:rtl w:val="0"/>
          <w:lang w:val="it-IT"/>
        </w:rPr>
        <w:t xml:space="preserve">» </w:t>
      </w:r>
      <w:r>
        <w:rPr>
          <w:rFonts w:ascii="Book Antiqua"/>
          <w:rtl w:val="0"/>
          <w:lang w:val="it-IT"/>
        </w:rPr>
        <w:t>di cui all</w:t>
      </w:r>
      <w:r>
        <w:rPr>
          <w:rFonts w:hAnsi="Book Antiqua" w:hint="default"/>
          <w:rtl w:val="0"/>
          <w:lang w:val="it-IT"/>
        </w:rPr>
        <w:t>’</w:t>
      </w:r>
      <w:r>
        <w:rPr>
          <w:rFonts w:ascii="Book Antiqua"/>
          <w:rtl w:val="0"/>
          <w:lang w:val="it-IT"/>
        </w:rPr>
        <w:t>articolo 8 del decreto del Ministro dell</w:t>
      </w:r>
      <w:r>
        <w:rPr>
          <w:rFonts w:hAnsi="Book Antiqua" w:hint="default"/>
          <w:rtl w:val="0"/>
          <w:lang w:val="it-IT"/>
        </w:rPr>
        <w:t>’</w:t>
      </w:r>
      <w:r>
        <w:rPr>
          <w:rFonts w:ascii="Book Antiqua"/>
          <w:rtl w:val="0"/>
          <w:lang w:val="it-IT"/>
        </w:rPr>
        <w:t>ambiente 28 aprile 1998, n. 406</w:t>
      </w:r>
      <w:r>
        <w:rPr>
          <w:rFonts w:hAnsi="Book Antiqua" w:hint="default"/>
          <w:rtl w:val="0"/>
          <w:lang w:val="it-IT"/>
        </w:rPr>
        <w:t xml:space="preserve">” </w:t>
      </w:r>
      <w:r>
        <w:rPr>
          <w:rFonts w:ascii="Book Antiqua"/>
          <w:rtl w:val="0"/>
          <w:lang w:val="it-IT"/>
        </w:rPr>
        <w:t>(comma 4)</w:t>
      </w:r>
      <w:r>
        <w:rPr>
          <w:rFonts w:hAnsi="Book Antiqua" w:hint="default"/>
          <w:rtl w:val="0"/>
          <w:lang w:val="it-IT"/>
        </w:rPr>
        <w:t>”</w:t>
      </w:r>
      <w:r>
        <w:rPr>
          <w:rFonts w:ascii="Book Antiqua"/>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 xml:space="preserve">In sostanza, quindi, come confermato dalla Corte costituzionale, oggi </w:t>
      </w:r>
      <w:r>
        <w:rPr>
          <w:rFonts w:hAnsi="Book Antiqua" w:hint="default"/>
          <w:rtl w:val="0"/>
          <w:lang w:val="it-IT"/>
        </w:rPr>
        <w:t>“</w:t>
      </w:r>
      <w:r>
        <w:rPr>
          <w:rFonts w:ascii="Book Antiqua"/>
          <w:rtl w:val="0"/>
          <w:lang w:val="it-IT"/>
        </w:rPr>
        <w:t xml:space="preserve">la disciplina di tali centri non </w:t>
      </w:r>
      <w:r>
        <w:rPr>
          <w:rFonts w:hAnsi="Book Antiqua" w:hint="default"/>
          <w:rtl w:val="0"/>
          <w:lang w:val="it-IT"/>
        </w:rPr>
        <w:t xml:space="preserve">è </w:t>
      </w:r>
      <w:r>
        <w:rPr>
          <w:rFonts w:ascii="Book Antiqua"/>
          <w:rtl w:val="0"/>
          <w:lang w:val="it-IT"/>
        </w:rPr>
        <w:t>subordinata al regime autorizzatorio, previsto dagli articoli 208 e 216 del decreto legislativo n. 152 del 2006, per lo smaltimento ed il recupero dei rifiuti</w:t>
      </w:r>
      <w:r>
        <w:rPr>
          <w:rFonts w:hAnsi="Book Antiqua" w:hint="default"/>
          <w:rtl w:val="0"/>
          <w:lang w:val="it-IT"/>
        </w:rPr>
        <w:t>”</w:t>
      </w:r>
      <w:r>
        <w:rPr>
          <w:rFonts w:ascii="Book Antiqua" w:cs="Book Antiqua" w:hAnsi="Book Antiqua" w:eastAsia="Book Antiqua"/>
          <w:vertAlign w:val="superscript"/>
          <w:rtl w:val="0"/>
        </w:rPr>
        <w:footnoteReference w:id="270"/>
      </w:r>
      <w:r>
        <w:rPr>
          <w:rFonts w:ascii="Book Antiqua"/>
          <w:rtl w:val="0"/>
          <w:lang w:val="it-IT"/>
        </w:rPr>
        <w:t xml:space="preserve"> ma unicamente a quanto disposto nei decreti ministeriali di attuazione sia per quanto concerne il loro </w:t>
      </w:r>
      <w:r>
        <w:rPr>
          <w:rFonts w:hAnsi="Book Antiqua" w:hint="default"/>
          <w:rtl w:val="0"/>
          <w:lang w:val="it-IT"/>
        </w:rPr>
        <w:t>“</w:t>
      </w:r>
      <w:r>
        <w:rPr>
          <w:rFonts w:ascii="Book Antiqua"/>
          <w:rtl w:val="0"/>
          <w:lang w:val="it-IT"/>
        </w:rPr>
        <w:t>allestimento</w:t>
      </w:r>
      <w:r>
        <w:rPr>
          <w:rFonts w:hAnsi="Book Antiqua" w:hint="default"/>
          <w:rtl w:val="0"/>
          <w:lang w:val="it-IT"/>
        </w:rPr>
        <w:t xml:space="preserve">” </w:t>
      </w:r>
      <w:r>
        <w:rPr>
          <w:rFonts w:ascii="Book Antiqua"/>
          <w:rtl w:val="0"/>
          <w:lang w:val="it-IT"/>
        </w:rPr>
        <w:t>(compresa la scelta dell</w:t>
      </w:r>
      <w:r>
        <w:rPr>
          <w:rFonts w:hAnsi="Book Antiqua" w:hint="default"/>
          <w:rtl w:val="0"/>
          <w:lang w:val="it-IT"/>
        </w:rPr>
        <w:t>’</w:t>
      </w:r>
      <w:r>
        <w:rPr>
          <w:rFonts w:ascii="Book Antiqua"/>
          <w:rtl w:val="0"/>
          <w:lang w:val="it-IT"/>
        </w:rPr>
        <w:t>ubicazione) sia per quanto concerne i rifiuti che ivi possono essere raccolti e la durata del deposito (non superiore a 3 mesi).</w:t>
      </w:r>
      <w:r>
        <w:rPr>
          <w:rFonts w:ascii="Book Antiqua"/>
          <w:sz w:val="16"/>
          <w:szCs w:val="16"/>
          <w:rtl w:val="0"/>
          <w:lang w:val="it-IT"/>
        </w:rPr>
        <w:t xml:space="preserve"> </w:t>
      </w:r>
      <w:r>
        <w:rPr>
          <w:rFonts w:ascii="Book Antiqua"/>
          <w:rtl w:val="0"/>
          <w:lang w:val="it-IT"/>
        </w:rPr>
        <w:t xml:space="preserve">In altri termini, </w:t>
      </w:r>
      <w:r>
        <w:rPr>
          <w:rFonts w:hAnsi="Book Antiqua" w:hint="default"/>
          <w:rtl w:val="0"/>
          <w:lang w:val="it-IT"/>
        </w:rPr>
        <w:t>“</w:t>
      </w:r>
      <w:r>
        <w:rPr>
          <w:rFonts w:ascii="Book Antiqua"/>
          <w:rtl w:val="0"/>
          <w:lang w:val="it-IT"/>
        </w:rPr>
        <w:t>l'attivazione e la conduzione di un centro di raccolta, non richiede, pertanto, alcuna autorizzazione regionale non potendo questo essere classificato alla stregua degli impianti di smaltimento e/o recupero dei rifiuti, per i quali continua, invece, a rendersi necessaria l</w:t>
      </w:r>
      <w:r>
        <w:rPr>
          <w:rFonts w:hAnsi="Book Antiqua" w:hint="default"/>
          <w:rtl w:val="0"/>
          <w:lang w:val="it-IT"/>
        </w:rPr>
        <w:t>’</w:t>
      </w:r>
      <w:r>
        <w:rPr>
          <w:rFonts w:ascii="Book Antiqua"/>
          <w:rtl w:val="0"/>
          <w:lang w:val="it-IT"/>
        </w:rPr>
        <w:t>autorizzazione regionale (cos</w:t>
      </w:r>
      <w:r>
        <w:rPr>
          <w:rFonts w:hAnsi="Book Antiqua" w:hint="default"/>
          <w:rtl w:val="0"/>
          <w:lang w:val="it-IT"/>
        </w:rPr>
        <w:t>ì</w:t>
      </w:r>
      <w:r>
        <w:rPr>
          <w:rFonts w:ascii="Book Antiqua"/>
          <w:rtl w:val="0"/>
          <w:lang w:val="it-IT"/>
        </w:rPr>
        <w:t>, in termini: Corte di cassazione, Sezione III penale, 14 gennaio 2013, n. 1690; idem Sezione III penale, 9 maggio 2011, n. 17864)</w:t>
      </w:r>
      <w:r>
        <w:rPr>
          <w:rFonts w:hAnsi="Book Antiqua" w:hint="default"/>
          <w:rtl w:val="0"/>
          <w:lang w:val="it-IT"/>
        </w:rPr>
        <w:t>”</w:t>
      </w:r>
      <w:r>
        <w:rPr>
          <w:rFonts w:ascii="Book Antiqua"/>
          <w:rtl w:val="0"/>
          <w:lang w:val="it-IT"/>
        </w:rPr>
        <w:t xml:space="preserve">, di modo che </w:t>
      </w:r>
      <w:r>
        <w:rPr>
          <w:rFonts w:hAnsi="Book Antiqua" w:hint="default"/>
          <w:rtl w:val="0"/>
          <w:lang w:val="it-IT"/>
        </w:rPr>
        <w:t>“</w:t>
      </w:r>
      <w:r>
        <w:rPr>
          <w:rFonts w:ascii="Book Antiqua"/>
          <w:rtl w:val="0"/>
          <w:lang w:val="it-IT"/>
        </w:rPr>
        <w:t xml:space="preserve">deve conseguentemente escludersi che, al di fuori dell'ipotesi contemplata dal legislatore, la predisposizione di aree attrezzate per il conferimento di rifiuti astrattamente riconducibili ad un generico concetto di </w:t>
      </w:r>
      <w:r>
        <w:rPr>
          <w:rFonts w:hAnsi="Book Antiqua" w:hint="default"/>
          <w:rtl w:val="0"/>
          <w:lang w:val="it-IT"/>
        </w:rPr>
        <w:t>«</w:t>
      </w:r>
      <w:r>
        <w:rPr>
          <w:rFonts w:ascii="Book Antiqua"/>
          <w:rtl w:val="0"/>
          <w:lang w:val="it-IT"/>
        </w:rPr>
        <w:t>ecopiazzola</w:t>
      </w:r>
      <w:r>
        <w:rPr>
          <w:rFonts w:hAnsi="Book Antiqua" w:hint="default"/>
          <w:rtl w:val="0"/>
          <w:lang w:val="it-IT"/>
        </w:rPr>
        <w:t xml:space="preserve">» </w:t>
      </w:r>
      <w:r>
        <w:rPr>
          <w:rFonts w:ascii="Book Antiqua"/>
          <w:rtl w:val="0"/>
          <w:lang w:val="it-IT"/>
        </w:rPr>
        <w:t xml:space="preserve">o </w:t>
      </w:r>
      <w:r>
        <w:rPr>
          <w:rFonts w:hAnsi="Book Antiqua" w:hint="default"/>
          <w:rtl w:val="0"/>
          <w:lang w:val="it-IT"/>
        </w:rPr>
        <w:t>«</w:t>
      </w:r>
      <w:r>
        <w:rPr>
          <w:rFonts w:ascii="Book Antiqua"/>
          <w:rtl w:val="0"/>
          <w:lang w:val="it-IT"/>
        </w:rPr>
        <w:t>isola ecologica</w:t>
      </w:r>
      <w:r>
        <w:rPr>
          <w:rFonts w:hAnsi="Book Antiqua" w:hint="default"/>
          <w:rtl w:val="0"/>
          <w:lang w:val="it-IT"/>
        </w:rPr>
        <w:t xml:space="preserve">» </w:t>
      </w:r>
      <w:r>
        <w:rPr>
          <w:rFonts w:ascii="Book Antiqua"/>
          <w:rtl w:val="0"/>
          <w:lang w:val="it-IT"/>
        </w:rPr>
        <w:t>possa ritenersi sottratta alla disciplina generale sui rifiuti, poich</w:t>
      </w:r>
      <w:r>
        <w:rPr>
          <w:rFonts w:hAnsi="Book Antiqua" w:hint="default"/>
          <w:rtl w:val="0"/>
          <w:lang w:val="it-IT"/>
        </w:rPr>
        <w:t xml:space="preserve">é </w:t>
      </w:r>
      <w:r>
        <w:rPr>
          <w:rFonts w:ascii="Book Antiqua"/>
          <w:rtl w:val="0"/>
          <w:lang w:val="it-IT"/>
        </w:rPr>
        <w:t xml:space="preserve">l'intervento del legislatore ha ormai definitivamente delimitato tale nozione prevedendo, peraltro, una regime autorizzatorio e gestionale che, come si </w:t>
      </w:r>
      <w:r>
        <w:rPr>
          <w:rFonts w:hAnsi="Book Antiqua" w:hint="default"/>
          <w:rtl w:val="0"/>
          <w:lang w:val="it-IT"/>
        </w:rPr>
        <w:t xml:space="preserve">è </w:t>
      </w:r>
      <w:r>
        <w:rPr>
          <w:rFonts w:ascii="Book Antiqua"/>
          <w:rtl w:val="0"/>
          <w:lang w:val="it-IT"/>
        </w:rPr>
        <w:t>visto, consente il conferimento ai centri di raccolta di un'ampia gamma di rifiuti in maniera controllata. In tutti i casi in cui non vi sia corrispondenza con quanto indicato dal legislatore dovr</w:t>
      </w:r>
      <w:r>
        <w:rPr>
          <w:rFonts w:hAnsi="Book Antiqua" w:hint="default"/>
          <w:rtl w:val="0"/>
          <w:lang w:val="it-IT"/>
        </w:rPr>
        <w:t xml:space="preserve">à </w:t>
      </w:r>
      <w:r>
        <w:rPr>
          <w:rFonts w:ascii="Book Antiqua"/>
          <w:rtl w:val="0"/>
          <w:lang w:val="it-IT"/>
        </w:rPr>
        <w:t>procedersi ad una valutazione dell'attivit</w:t>
      </w:r>
      <w:r>
        <w:rPr>
          <w:rFonts w:hAnsi="Book Antiqua" w:hint="default"/>
          <w:rtl w:val="0"/>
          <w:lang w:val="it-IT"/>
        </w:rPr>
        <w:t xml:space="preserve">à </w:t>
      </w:r>
      <w:r>
        <w:rPr>
          <w:rFonts w:ascii="Book Antiqua"/>
          <w:rtl w:val="0"/>
          <w:lang w:val="it-IT"/>
        </w:rPr>
        <w:t>posta in essere secondo i principi generali in materia di rifiuti (Cass. pen, sez. 3, ud. 14 gennaio 2013, n. 1690)</w:t>
      </w:r>
      <w:r>
        <w:rPr>
          <w:rFonts w:hAnsi="Book Antiqua" w:hint="default"/>
          <w:rtl w:val="0"/>
          <w:lang w:val="it-IT"/>
        </w:rPr>
        <w:t xml:space="preserve">” </w:t>
      </w:r>
      <w:r>
        <w:rPr>
          <w:rFonts w:ascii="Book Antiqua" w:cs="Book Antiqua" w:hAnsi="Book Antiqua" w:eastAsia="Book Antiqua"/>
          <w:vertAlign w:val="superscript"/>
          <w:rtl w:val="0"/>
        </w:rPr>
        <w:footnoteReference w:id="271"/>
      </w:r>
    </w:p>
    <w:p>
      <w:pPr>
        <w:pStyle w:val="Normal"/>
        <w:ind w:left="567" w:right="567" w:firstLine="0"/>
        <w:jc w:val="both"/>
        <w:rPr>
          <w:rFonts w:ascii="Book Antiqua" w:cs="Book Antiqua" w:hAnsi="Book Antiqua" w:eastAsia="Book Antiqua"/>
        </w:rPr>
      </w:pPr>
      <w:r>
        <w:rPr>
          <w:rFonts w:ascii="Book Antiqua"/>
          <w:rtl w:val="0"/>
          <w:lang w:val="it-IT"/>
        </w:rPr>
        <w:t xml:space="preserve">Il decreto ministeriale 8 aprile 2008 ha disciplinato i </w:t>
      </w:r>
      <w:r>
        <w:rPr>
          <w:rFonts w:hAnsi="Book Antiqua" w:hint="default"/>
          <w:rtl w:val="0"/>
          <w:lang w:val="it-IT"/>
        </w:rPr>
        <w:t>“</w:t>
      </w:r>
      <w:r>
        <w:rPr>
          <w:rFonts w:ascii="Book Antiqua"/>
          <w:rtl w:val="0"/>
          <w:lang w:val="it-IT"/>
        </w:rPr>
        <w:t>centri di raccolta dei rifiuti urbani raccolti in modo differenziato, come previsto dall'articolo 183, comma 1, lettera cc) del decreto legislativo 3 aprile 2006, n. 152, e successive modifiche</w:t>
      </w:r>
      <w:r>
        <w:rPr>
          <w:rFonts w:hAnsi="Book Antiqua" w:hint="default"/>
          <w:rtl w:val="0"/>
          <w:lang w:val="it-IT"/>
        </w:rPr>
        <w:t>”</w:t>
      </w:r>
      <w:r>
        <w:rPr>
          <w:rFonts w:ascii="Book Antiqua" w:cs="Book Antiqua" w:hAnsi="Book Antiqua" w:eastAsia="Book Antiqua"/>
          <w:vertAlign w:val="superscript"/>
          <w:rtl w:val="0"/>
        </w:rPr>
        <w:footnoteReference w:id="272"/>
      </w:r>
      <w:r>
        <w:rPr>
          <w:rFonts w:ascii="Book Antiqua"/>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Secondo l</w:t>
      </w:r>
      <w:r>
        <w:rPr>
          <w:rFonts w:hAnsi="Book Antiqua" w:hint="default"/>
          <w:rtl w:val="0"/>
          <w:lang w:val="it-IT"/>
        </w:rPr>
        <w:t>’</w:t>
      </w:r>
      <w:r>
        <w:rPr>
          <w:rFonts w:ascii="Book Antiqua"/>
          <w:rtl w:val="0"/>
          <w:lang w:val="it-IT"/>
        </w:rPr>
        <w:t xml:space="preserve">articolo 1 del D. M. 8 aprile 2008, nei centri in esame si dovrebbero raccogliere solo </w:t>
      </w:r>
      <w:r>
        <w:rPr>
          <w:rFonts w:hAnsi="Book Antiqua" w:hint="default"/>
          <w:rtl w:val="0"/>
          <w:lang w:val="it-IT"/>
        </w:rPr>
        <w:t>“</w:t>
      </w:r>
      <w:r>
        <w:rPr>
          <w:rFonts w:ascii="Book Antiqua"/>
          <w:rtl w:val="0"/>
          <w:lang w:val="it-IT"/>
        </w:rPr>
        <w:t>rifiuti urbani ed assimilati</w:t>
      </w:r>
      <w:r>
        <w:rPr>
          <w:rFonts w:hAnsi="Book Antiqua" w:hint="default"/>
          <w:rtl w:val="0"/>
          <w:lang w:val="it-IT"/>
        </w:rPr>
        <w:t xml:space="preserve">” </w:t>
      </w:r>
      <w:r>
        <w:rPr>
          <w:rFonts w:ascii="Book Antiqua"/>
          <w:rtl w:val="0"/>
          <w:lang w:val="it-IT"/>
        </w:rPr>
        <w:t>di cui al punto 4.2 dell</w:t>
      </w:r>
      <w:r>
        <w:rPr>
          <w:rFonts w:hAnsi="Book Antiqua" w:hint="default"/>
          <w:rtl w:val="0"/>
          <w:lang w:val="it-IT"/>
        </w:rPr>
        <w:t>’</w:t>
      </w:r>
      <w:r>
        <w:rPr>
          <w:rFonts w:ascii="Book Antiqua"/>
          <w:rtl w:val="0"/>
          <w:lang w:val="it-IT"/>
        </w:rPr>
        <w:t>elenco contenuto nell</w:t>
      </w:r>
      <w:r>
        <w:rPr>
          <w:rFonts w:hAnsi="Book Antiqua" w:hint="default"/>
          <w:rtl w:val="0"/>
          <w:lang w:val="it-IT"/>
        </w:rPr>
        <w:t>’</w:t>
      </w:r>
      <w:r>
        <w:rPr>
          <w:rFonts w:ascii="Book Antiqua"/>
          <w:rtl w:val="0"/>
          <w:lang w:val="it-IT"/>
        </w:rPr>
        <w:t xml:space="preserve">allegato. Tuttavia, solo la tipologia n. 32 di tale elenco si riferisce ai </w:t>
      </w:r>
      <w:r>
        <w:rPr>
          <w:rFonts w:hAnsi="Book Antiqua" w:hint="default"/>
          <w:rtl w:val="0"/>
          <w:lang w:val="it-IT"/>
        </w:rPr>
        <w:t>“</w:t>
      </w:r>
      <w:r>
        <w:rPr>
          <w:rFonts w:ascii="Book Antiqua"/>
          <w:rtl w:val="0"/>
          <w:lang w:val="it-IT"/>
        </w:rPr>
        <w:t>rifiuti assimilati ai rifiuti urbani sulla base dei regolamenti comunali</w:t>
      </w:r>
      <w:r>
        <w:rPr>
          <w:rFonts w:hAnsi="Book Antiqua" w:hint="default"/>
          <w:rtl w:val="0"/>
          <w:lang w:val="it-IT"/>
        </w:rPr>
        <w:t>”</w:t>
      </w:r>
      <w:r>
        <w:rPr>
          <w:rFonts w:ascii="Book Antiqua"/>
          <w:rtl w:val="0"/>
          <w:lang w:val="it-IT"/>
        </w:rPr>
        <w:t>: e, quindi, le altre 31 tipologie dovrebbero essere rifiuti urbani. Ma basta leggere l</w:t>
      </w:r>
      <w:r>
        <w:rPr>
          <w:rFonts w:hAnsi="Book Antiqua" w:hint="default"/>
          <w:rtl w:val="0"/>
          <w:lang w:val="it-IT"/>
        </w:rPr>
        <w:t>’</w:t>
      </w:r>
      <w:r>
        <w:rPr>
          <w:rFonts w:ascii="Book Antiqua"/>
          <w:rtl w:val="0"/>
          <w:lang w:val="it-IT"/>
        </w:rPr>
        <w:t>elenco per vedere che cos</w:t>
      </w:r>
      <w:r>
        <w:rPr>
          <w:rFonts w:hAnsi="Book Antiqua" w:hint="default"/>
          <w:rtl w:val="0"/>
          <w:lang w:val="it-IT"/>
        </w:rPr>
        <w:t xml:space="preserve">ì </w:t>
      </w:r>
      <w:r>
        <w:rPr>
          <w:rFonts w:ascii="Book Antiqua"/>
          <w:rtl w:val="0"/>
          <w:lang w:val="it-IT"/>
        </w:rPr>
        <w:t xml:space="preserve">non </w:t>
      </w:r>
      <w:r>
        <w:rPr>
          <w:rFonts w:hAnsi="Book Antiqua" w:hint="default"/>
          <w:rtl w:val="0"/>
          <w:lang w:val="it-IT"/>
        </w:rPr>
        <w:t>è</w:t>
      </w:r>
      <w:r>
        <w:rPr>
          <w:rFonts w:ascii="Book Antiqua"/>
          <w:rtl w:val="0"/>
          <w:lang w:val="it-IT"/>
        </w:rPr>
        <w:t>. Le perplessit</w:t>
      </w:r>
      <w:r>
        <w:rPr>
          <w:rFonts w:hAnsi="Book Antiqua" w:hint="default"/>
          <w:rtl w:val="0"/>
          <w:lang w:val="it-IT"/>
        </w:rPr>
        <w:t xml:space="preserve">à </w:t>
      </w:r>
      <w:r>
        <w:rPr>
          <w:rFonts w:ascii="Book Antiqua"/>
          <w:rtl w:val="0"/>
          <w:lang w:val="it-IT"/>
        </w:rPr>
        <w:t>si fanno ancora pi</w:t>
      </w:r>
      <w:r>
        <w:rPr>
          <w:rFonts w:hAnsi="Book Antiqua" w:hint="default"/>
          <w:rtl w:val="0"/>
          <w:lang w:val="it-IT"/>
        </w:rPr>
        <w:t xml:space="preserve">ù </w:t>
      </w:r>
      <w:r>
        <w:rPr>
          <w:rFonts w:ascii="Book Antiqua"/>
          <w:rtl w:val="0"/>
          <w:lang w:val="it-IT"/>
        </w:rPr>
        <w:t>consistenti se si considerano le integrazioni all</w:t>
      </w:r>
      <w:r>
        <w:rPr>
          <w:rFonts w:hAnsi="Book Antiqua" w:hint="default"/>
          <w:rtl w:val="0"/>
          <w:lang w:val="it-IT"/>
        </w:rPr>
        <w:t>’</w:t>
      </w:r>
      <w:r>
        <w:rPr>
          <w:rFonts w:ascii="Book Antiqua"/>
          <w:rtl w:val="0"/>
          <w:lang w:val="it-IT"/>
        </w:rPr>
        <w:t>allegato inserite dal decreto ministeriale del 2009 ove si elencano anche rifiuti pericolosi e si parla, tra l</w:t>
      </w:r>
      <w:r>
        <w:rPr>
          <w:rFonts w:hAnsi="Book Antiqua" w:hint="default"/>
          <w:rtl w:val="0"/>
          <w:lang w:val="it-IT"/>
        </w:rPr>
        <w:t>’</w:t>
      </w:r>
      <w:r>
        <w:rPr>
          <w:rFonts w:ascii="Book Antiqua"/>
          <w:rtl w:val="0"/>
          <w:lang w:val="it-IT"/>
        </w:rPr>
        <w:t xml:space="preserve">altro, di filtri olio, pneumatici fuori uso, batterie ed accumulatori, rifiuti da costruzione e demolizione, </w:t>
      </w:r>
      <w:r>
        <w:rPr>
          <w:rFonts w:hAnsi="Book Antiqua" w:hint="default"/>
          <w:rtl w:val="0"/>
          <w:lang w:val="it-IT"/>
        </w:rPr>
        <w:t>“</w:t>
      </w:r>
      <w:r>
        <w:rPr>
          <w:rFonts w:ascii="Book Antiqua"/>
          <w:rtl w:val="0"/>
          <w:lang w:val="it-IT"/>
        </w:rPr>
        <w:t>altri rifiuti non biodegradabili</w:t>
      </w:r>
      <w:r>
        <w:rPr>
          <w:rFonts w:hAnsi="Book Antiqua" w:hint="default"/>
          <w:rtl w:val="0"/>
          <w:lang w:val="it-IT"/>
        </w:rPr>
        <w:t xml:space="preserve">” </w:t>
      </w:r>
      <w:r>
        <w:rPr>
          <w:rFonts w:ascii="Book Antiqua"/>
          <w:rtl w:val="0"/>
          <w:lang w:val="it-IT"/>
        </w:rPr>
        <w:t>ecc.; e se si considera che, come abbiamo visto, la modifica del 2010 all</w:t>
      </w:r>
      <w:r>
        <w:rPr>
          <w:rFonts w:hAnsi="Book Antiqua" w:hint="default"/>
          <w:rtl w:val="0"/>
          <w:lang w:val="it-IT"/>
        </w:rPr>
        <w:t>’</w:t>
      </w:r>
      <w:r>
        <w:rPr>
          <w:rFonts w:ascii="Book Antiqua"/>
          <w:rtl w:val="0"/>
          <w:lang w:val="it-IT"/>
        </w:rPr>
        <w:t xml:space="preserve">articolo 190 parla anche di </w:t>
      </w:r>
      <w:r>
        <w:rPr>
          <w:rFonts w:hAnsi="Book Antiqua" w:hint="default"/>
          <w:rtl w:val="0"/>
          <w:lang w:val="it-IT"/>
        </w:rPr>
        <w:t>“</w:t>
      </w:r>
      <w:r>
        <w:rPr>
          <w:rFonts w:ascii="Book Antiqua"/>
          <w:rtl w:val="0"/>
          <w:lang w:val="it-IT"/>
        </w:rPr>
        <w:t>rifiuti pericolosi</w:t>
      </w:r>
      <w:r>
        <w:rPr>
          <w:rFonts w:hAnsi="Book Antiqua" w:hint="default"/>
          <w:rtl w:val="0"/>
          <w:lang w:val="it-IT"/>
        </w:rPr>
        <w:t>”</w:t>
      </w:r>
      <w:r>
        <w:rPr>
          <w:rFonts w:ascii="Book Antiqua"/>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 xml:space="preserve">Vi </w:t>
      </w:r>
      <w:r>
        <w:rPr>
          <w:rFonts w:hAnsi="Book Antiqua" w:hint="default"/>
          <w:rtl w:val="0"/>
          <w:lang w:val="it-IT"/>
        </w:rPr>
        <w:t>è</w:t>
      </w:r>
      <w:r>
        <w:rPr>
          <w:rFonts w:ascii="Book Antiqua"/>
          <w:rtl w:val="0"/>
          <w:lang w:val="it-IT"/>
        </w:rPr>
        <w:t>, quindi, il rischio concreto che, cos</w:t>
      </w:r>
      <w:r>
        <w:rPr>
          <w:rFonts w:hAnsi="Book Antiqua" w:hint="default"/>
          <w:rtl w:val="0"/>
          <w:lang w:val="it-IT"/>
        </w:rPr>
        <w:t xml:space="preserve">ì </w:t>
      </w:r>
      <w:r>
        <w:rPr>
          <w:rFonts w:ascii="Book Antiqua"/>
          <w:rtl w:val="0"/>
          <w:lang w:val="it-IT"/>
        </w:rPr>
        <w:t xml:space="preserve">come evidenziato da alcune audizioni (che si riferiscono a  </w:t>
      </w:r>
      <w:r>
        <w:rPr>
          <w:rFonts w:hAnsi="Book Antiqua" w:hint="default"/>
          <w:rtl w:val="0"/>
          <w:lang w:val="it-IT"/>
        </w:rPr>
        <w:t>“</w:t>
      </w:r>
      <w:r>
        <w:rPr>
          <w:rFonts w:ascii="Book Antiqua"/>
          <w:rtl w:val="0"/>
          <w:lang w:val="it-IT"/>
        </w:rPr>
        <w:t>centri di prossimit</w:t>
      </w:r>
      <w:r>
        <w:rPr>
          <w:rFonts w:hAnsi="Book Antiqua" w:hint="default"/>
          <w:rtl w:val="0"/>
          <w:lang w:val="it-IT"/>
        </w:rPr>
        <w:t>à”</w:t>
      </w:r>
      <w:r>
        <w:rPr>
          <w:rFonts w:ascii="Book Antiqua"/>
          <w:rtl w:val="0"/>
          <w:lang w:val="it-IT"/>
        </w:rPr>
        <w:t>), attraverso questi centri, esclusi dall</w:t>
      </w:r>
      <w:r>
        <w:rPr>
          <w:rFonts w:hAnsi="Book Antiqua" w:hint="default"/>
          <w:rtl w:val="0"/>
          <w:lang w:val="it-IT"/>
        </w:rPr>
        <w:t>’</w:t>
      </w:r>
      <w:r>
        <w:rPr>
          <w:rFonts w:ascii="Book Antiqua"/>
          <w:rtl w:val="0"/>
          <w:lang w:val="it-IT"/>
        </w:rPr>
        <w:t>obbligo di autorizzazione preventiva e  dove per l</w:t>
      </w:r>
      <w:r>
        <w:rPr>
          <w:rFonts w:hAnsi="Book Antiqua" w:hint="default"/>
          <w:rtl w:val="0"/>
          <w:lang w:val="it-IT"/>
        </w:rPr>
        <w:t>’</w:t>
      </w:r>
      <w:r>
        <w:rPr>
          <w:rFonts w:ascii="Book Antiqua"/>
          <w:rtl w:val="0"/>
          <w:lang w:val="it-IT"/>
        </w:rPr>
        <w:t xml:space="preserve">accettazione al centro </w:t>
      </w:r>
      <w:r>
        <w:rPr>
          <w:rFonts w:hAnsi="Book Antiqua" w:hint="default"/>
          <w:rtl w:val="0"/>
          <w:lang w:val="it-IT"/>
        </w:rPr>
        <w:t xml:space="preserve">è </w:t>
      </w:r>
      <w:r>
        <w:rPr>
          <w:rFonts w:ascii="Book Antiqua"/>
          <w:rtl w:val="0"/>
          <w:lang w:val="it-IT"/>
        </w:rPr>
        <w:t xml:space="preserve">previsto solo un </w:t>
      </w:r>
      <w:r>
        <w:rPr>
          <w:rFonts w:hAnsi="Book Antiqua" w:hint="default"/>
          <w:rtl w:val="0"/>
          <w:lang w:val="it-IT"/>
        </w:rPr>
        <w:t>“</w:t>
      </w:r>
      <w:r>
        <w:rPr>
          <w:rFonts w:ascii="Book Antiqua"/>
          <w:rtl w:val="0"/>
          <w:lang w:val="it-IT"/>
        </w:rPr>
        <w:t>esame visivo effettuato dall</w:t>
      </w:r>
      <w:r>
        <w:rPr>
          <w:rFonts w:hAnsi="Book Antiqua" w:hint="default"/>
          <w:rtl w:val="0"/>
          <w:lang w:val="it-IT"/>
        </w:rPr>
        <w:t>’</w:t>
      </w:r>
      <w:r>
        <w:rPr>
          <w:rFonts w:ascii="Book Antiqua"/>
          <w:rtl w:val="0"/>
          <w:lang w:val="it-IT"/>
        </w:rPr>
        <w:t>addetto</w:t>
      </w:r>
      <w:r>
        <w:rPr>
          <w:rFonts w:hAnsi="Book Antiqua" w:hint="default"/>
          <w:rtl w:val="0"/>
          <w:lang w:val="it-IT"/>
        </w:rPr>
        <w:t xml:space="preserve">” </w:t>
      </w:r>
      <w:r>
        <w:rPr>
          <w:rFonts w:ascii="Book Antiqua"/>
          <w:rtl w:val="0"/>
          <w:lang w:val="it-IT"/>
        </w:rPr>
        <w:t>(punto 4.1 dell</w:t>
      </w:r>
      <w:r>
        <w:rPr>
          <w:rFonts w:hAnsi="Book Antiqua" w:hint="default"/>
          <w:rtl w:val="0"/>
          <w:lang w:val="it-IT"/>
        </w:rPr>
        <w:t>’</w:t>
      </w:r>
      <w:r>
        <w:rPr>
          <w:rFonts w:ascii="Book Antiqua"/>
          <w:rtl w:val="0"/>
          <w:lang w:val="it-IT"/>
        </w:rPr>
        <w:t xml:space="preserve">allegato), vengano raccolti, sotto le insegne e a spese dei Comuni, rifiuti speciali, o anche pericolosi che certamente non possono essere trattati e gestiti come i normali rifiuti urbani ed assimilati di competenza comunale. </w:t>
      </w:r>
    </w:p>
    <w:p>
      <w:pPr>
        <w:pStyle w:val="Normal"/>
        <w:ind w:left="567" w:right="567" w:firstLine="0"/>
        <w:jc w:val="both"/>
        <w:rPr>
          <w:rFonts w:ascii="Book Antiqua" w:cs="Book Antiqua" w:hAnsi="Book Antiqua" w:eastAsia="Book Antiqua"/>
        </w:rPr>
      </w:pPr>
      <w:r>
        <w:rPr>
          <w:rFonts w:ascii="Book Antiqua"/>
          <w:rtl w:val="0"/>
          <w:lang w:val="it-IT"/>
        </w:rPr>
        <w:t xml:space="preserve">Peraltro, non </w:t>
      </w:r>
      <w:r>
        <w:rPr>
          <w:rFonts w:hAnsi="Book Antiqua" w:hint="default"/>
          <w:rtl w:val="0"/>
          <w:lang w:val="it-IT"/>
        </w:rPr>
        <w:t xml:space="preserve">è </w:t>
      </w:r>
      <w:r>
        <w:rPr>
          <w:rFonts w:ascii="Book Antiqua"/>
          <w:rtl w:val="0"/>
          <w:lang w:val="it-IT"/>
        </w:rPr>
        <w:t>chiaro quale sanzione debba applicarsi qualora il gestore non si attenga a taluna delle prescrizioni tecniche stabilite dall</w:t>
      </w:r>
      <w:r>
        <w:rPr>
          <w:rFonts w:hAnsi="Book Antiqua" w:hint="default"/>
          <w:rtl w:val="0"/>
          <w:lang w:val="it-IT"/>
        </w:rPr>
        <w:t>’</w:t>
      </w:r>
      <w:r>
        <w:rPr>
          <w:rFonts w:ascii="Book Antiqua"/>
          <w:rtl w:val="0"/>
          <w:lang w:val="it-IT"/>
        </w:rPr>
        <w:t>allegato al decreto ministeriale (ad esempio se la frazione organica umida non venga conferita in cassoni a tenuta stagna, dotati di sistema di chiusura; punto 5.9)</w:t>
      </w:r>
      <w:r>
        <w:rPr>
          <w:rFonts w:ascii="Book Antiqua" w:cs="Book Antiqua" w:hAnsi="Book Antiqua" w:eastAsia="Book Antiqua"/>
          <w:vertAlign w:val="superscript"/>
          <w:rtl w:val="0"/>
        </w:rPr>
        <w:footnoteReference w:id="273"/>
      </w:r>
      <w:r>
        <w:rPr>
          <w:rFonts w:ascii="Book Antiqua"/>
          <w:rtl w:val="0"/>
          <w:lang w:val="it-IT"/>
        </w:rPr>
        <w:t>, anche se la Corte di cassazione sembra propendere sempre per il reato di gestione non autorizzata</w:t>
      </w:r>
      <w:r>
        <w:rPr>
          <w:rFonts w:ascii="Book Antiqua" w:cs="Book Antiqua" w:hAnsi="Book Antiqua" w:eastAsia="Book Antiqua"/>
          <w:vertAlign w:val="superscript"/>
          <w:rtl w:val="0"/>
        </w:rPr>
        <w:footnoteReference w:id="274"/>
      </w:r>
      <w:r>
        <w:rPr>
          <w:rFonts w:ascii="Book Antiqua"/>
          <w:rtl w:val="0"/>
          <w:lang w:val="it-IT"/>
        </w:rPr>
        <w:t xml:space="preserve">, senza distinguere, in caso di violazione, tra le prescrizioni per la installazione del centro e quelle relative alla sua gestione. Distinzione che, invece, viene utilizzata dalla Cassazione quando afferma che </w:t>
      </w:r>
      <w:r>
        <w:rPr>
          <w:rFonts w:hAnsi="Book Antiqua" w:hint="default"/>
          <w:rtl w:val="0"/>
          <w:lang w:val="it-IT"/>
        </w:rPr>
        <w:t>“</w:t>
      </w:r>
      <w:r>
        <w:rPr>
          <w:rFonts w:ascii="Book Antiqua"/>
          <w:rtl w:val="0"/>
          <w:lang w:val="it-IT"/>
        </w:rPr>
        <w:t>la decisione di istituire un</w:t>
      </w:r>
      <w:r>
        <w:rPr>
          <w:rFonts w:hAnsi="Book Antiqua" w:hint="default"/>
          <w:rtl w:val="0"/>
          <w:lang w:val="it-IT"/>
        </w:rPr>
        <w:t>’</w:t>
      </w:r>
      <w:r>
        <w:rPr>
          <w:rFonts w:ascii="Book Antiqua"/>
          <w:rtl w:val="0"/>
          <w:lang w:val="it-IT"/>
        </w:rPr>
        <w:t>isola ecologica ha natura prevalentemente politica mentre la sua gestione pu</w:t>
      </w:r>
      <w:r>
        <w:rPr>
          <w:rFonts w:hAnsi="Book Antiqua" w:hint="default"/>
          <w:rtl w:val="0"/>
          <w:lang w:val="it-IT"/>
        </w:rPr>
        <w:t xml:space="preserve">ò </w:t>
      </w:r>
      <w:r>
        <w:rPr>
          <w:rFonts w:ascii="Book Antiqua"/>
          <w:rtl w:val="0"/>
          <w:lang w:val="it-IT"/>
        </w:rPr>
        <w:t>essere affidata a dirigenti amministrativi. Il compito di chiedere l</w:t>
      </w:r>
      <w:r>
        <w:rPr>
          <w:rFonts w:hAnsi="Book Antiqua" w:hint="default"/>
          <w:rtl w:val="0"/>
          <w:lang w:val="it-IT"/>
        </w:rPr>
        <w:t>’</w:t>
      </w:r>
      <w:r>
        <w:rPr>
          <w:rFonts w:ascii="Book Antiqua"/>
          <w:rtl w:val="0"/>
          <w:lang w:val="it-IT"/>
        </w:rPr>
        <w:t>autorizzazione incombe in primo luogo proprio sull</w:t>
      </w:r>
      <w:r>
        <w:rPr>
          <w:rFonts w:hAnsi="Book Antiqua" w:hint="default"/>
          <w:rtl w:val="0"/>
          <w:lang w:val="it-IT"/>
        </w:rPr>
        <w:t>’</w:t>
      </w:r>
      <w:r>
        <w:rPr>
          <w:rFonts w:ascii="Book Antiqua"/>
          <w:rtl w:val="0"/>
          <w:lang w:val="it-IT"/>
        </w:rPr>
        <w:t>autorit</w:t>
      </w:r>
      <w:r>
        <w:rPr>
          <w:rFonts w:hAnsi="Book Antiqua" w:hint="default"/>
          <w:rtl w:val="0"/>
          <w:lang w:val="it-IT"/>
        </w:rPr>
        <w:t xml:space="preserve">à </w:t>
      </w:r>
      <w:r>
        <w:rPr>
          <w:rFonts w:ascii="Book Antiqua"/>
          <w:rtl w:val="0"/>
          <w:lang w:val="it-IT"/>
        </w:rPr>
        <w:t>politica che ha deciso di istituire quel centro di raccolta di rifiuti mentre la gestione quotidiana pu</w:t>
      </w:r>
      <w:r>
        <w:rPr>
          <w:rFonts w:hAnsi="Book Antiqua" w:hint="default"/>
          <w:rtl w:val="0"/>
          <w:lang w:val="it-IT"/>
        </w:rPr>
        <w:t xml:space="preserve">ò </w:t>
      </w:r>
      <w:r>
        <w:rPr>
          <w:rFonts w:ascii="Book Antiqua"/>
          <w:rtl w:val="0"/>
          <w:lang w:val="it-IT"/>
        </w:rPr>
        <w:t>essere affidata a dirigenti amministrativi. In ogni caso l</w:t>
      </w:r>
      <w:r>
        <w:rPr>
          <w:rFonts w:hAnsi="Book Antiqua" w:hint="default"/>
          <w:rtl w:val="0"/>
          <w:lang w:val="it-IT"/>
        </w:rPr>
        <w:t>’</w:t>
      </w:r>
      <w:r>
        <w:rPr>
          <w:rFonts w:ascii="Book Antiqua"/>
          <w:rtl w:val="0"/>
          <w:lang w:val="it-IT"/>
        </w:rPr>
        <w:t xml:space="preserve">istituto della delega delle funzioni non </w:t>
      </w:r>
      <w:r>
        <w:rPr>
          <w:rFonts w:hAnsi="Book Antiqua" w:hint="default"/>
          <w:rtl w:val="0"/>
          <w:lang w:val="it-IT"/>
        </w:rPr>
        <w:t xml:space="preserve">è </w:t>
      </w:r>
      <w:r>
        <w:rPr>
          <w:rFonts w:ascii="Book Antiqua"/>
          <w:rtl w:val="0"/>
          <w:lang w:val="it-IT"/>
        </w:rPr>
        <w:t>invocabile allorch</w:t>
      </w:r>
      <w:r>
        <w:rPr>
          <w:rFonts w:hAnsi="Book Antiqua" w:hint="default"/>
          <w:rtl w:val="0"/>
          <w:lang w:val="it-IT"/>
        </w:rPr>
        <w:t xml:space="preserve">é </w:t>
      </w:r>
      <w:r>
        <w:rPr>
          <w:rFonts w:ascii="Book Antiqua"/>
          <w:rtl w:val="0"/>
          <w:lang w:val="it-IT"/>
        </w:rPr>
        <w:t xml:space="preserve">il delegante si </w:t>
      </w:r>
      <w:r>
        <w:rPr>
          <w:rFonts w:hAnsi="Book Antiqua" w:hint="default"/>
          <w:rtl w:val="0"/>
          <w:lang w:val="it-IT"/>
        </w:rPr>
        <w:t xml:space="preserve">è </w:t>
      </w:r>
      <w:r>
        <w:rPr>
          <w:rFonts w:ascii="Book Antiqua"/>
          <w:rtl w:val="0"/>
          <w:lang w:val="it-IT"/>
        </w:rPr>
        <w:t>inserito nella gestione della piazzola ecologica.</w:t>
      </w:r>
      <w:r>
        <w:rPr>
          <w:rFonts w:ascii="Book Antiqua" w:cs="Book Antiqua" w:hAnsi="Book Antiqua" w:eastAsia="Book Antiqua"/>
          <w:vertAlign w:val="superscript"/>
          <w:rtl w:val="0"/>
        </w:rPr>
        <w:footnoteReference w:id="275"/>
      </w:r>
      <w:r>
        <w:rPr>
          <w:rFonts w:ascii="Book Antiqua"/>
          <w:rtl w:val="0"/>
          <w:lang w:val="it-IT"/>
        </w:rPr>
        <w:t xml:space="preserve"> </w:t>
      </w:r>
    </w:p>
    <w:p>
      <w:pPr>
        <w:pStyle w:val="Normal"/>
        <w:ind w:left="567" w:right="567" w:firstLine="0"/>
        <w:jc w:val="both"/>
        <w:rPr>
          <w:rFonts w:ascii="Book Antiqua" w:cs="Book Antiqua" w:hAnsi="Book Antiqua" w:eastAsia="Book Antiqua"/>
        </w:rPr>
      </w:pPr>
      <w:r>
        <w:rPr>
          <w:rFonts w:ascii="Book Antiqua"/>
          <w:rtl w:val="0"/>
          <w:lang w:val="it-IT"/>
        </w:rPr>
        <w:t xml:space="preserve">La concretezza di questo problema </w:t>
      </w:r>
      <w:r>
        <w:rPr>
          <w:rFonts w:hAnsi="Book Antiqua" w:hint="default"/>
          <w:rtl w:val="0"/>
          <w:lang w:val="it-IT"/>
        </w:rPr>
        <w:t xml:space="preserve">è </w:t>
      </w:r>
      <w:r>
        <w:rPr>
          <w:rFonts w:ascii="Book Antiqua"/>
          <w:rtl w:val="0"/>
          <w:lang w:val="it-IT"/>
        </w:rPr>
        <w:t>stata rappresentata nell</w:t>
      </w:r>
      <w:r>
        <w:rPr>
          <w:rFonts w:hAnsi="Book Antiqua" w:hint="default"/>
          <w:rtl w:val="0"/>
          <w:lang w:val="it-IT"/>
        </w:rPr>
        <w:t>’</w:t>
      </w:r>
      <w:r>
        <w:rPr>
          <w:rFonts w:ascii="Book Antiqua"/>
          <w:rtl w:val="0"/>
          <w:lang w:val="it-IT"/>
        </w:rPr>
        <w:t xml:space="preserve">audizione del viceprefetto di Viterbo del 20 febbraio 2017, insieme a taluni presupposti: </w:t>
      </w:r>
      <w:r>
        <w:rPr>
          <w:rFonts w:hAnsi="Book Antiqua" w:hint="default"/>
          <w:rtl w:val="0"/>
          <w:lang w:val="it-IT"/>
        </w:rPr>
        <w:t>“</w:t>
      </w:r>
      <w:r>
        <w:rPr>
          <w:rFonts w:ascii="Book Antiqua"/>
          <w:rtl w:val="0"/>
          <w:lang w:val="it-IT"/>
        </w:rPr>
        <w:t>queste isole di prossimit</w:t>
      </w:r>
      <w:r>
        <w:rPr>
          <w:rFonts w:hAnsi="Book Antiqua" w:hint="default"/>
          <w:rtl w:val="0"/>
          <w:lang w:val="it-IT"/>
        </w:rPr>
        <w:t xml:space="preserve">à </w:t>
      </w:r>
      <w:r>
        <w:rPr>
          <w:rFonts w:ascii="Book Antiqua"/>
          <w:rtl w:val="0"/>
          <w:lang w:val="it-IT"/>
        </w:rPr>
        <w:t>sono state oggetto di sversamenti illeciti e incontrollati. Parliamo di rifiuti speciali ma non tossici, provenienti soprattutto da piccole attivit</w:t>
      </w:r>
      <w:r>
        <w:rPr>
          <w:rFonts w:hAnsi="Book Antiqua" w:hint="default"/>
          <w:rtl w:val="0"/>
          <w:lang w:val="it-IT"/>
        </w:rPr>
        <w:t xml:space="preserve">à </w:t>
      </w:r>
      <w:r>
        <w:rPr>
          <w:rFonts w:ascii="Book Antiqua"/>
          <w:rtl w:val="0"/>
          <w:lang w:val="it-IT"/>
        </w:rPr>
        <w:t>artigianali. In realt</w:t>
      </w:r>
      <w:r>
        <w:rPr>
          <w:rFonts w:hAnsi="Book Antiqua" w:hint="default"/>
          <w:rtl w:val="0"/>
          <w:lang w:val="it-IT"/>
        </w:rPr>
        <w:t>à</w:t>
      </w:r>
      <w:r>
        <w:rPr>
          <w:rFonts w:ascii="Book Antiqua"/>
          <w:rtl w:val="0"/>
          <w:lang w:val="it-IT"/>
        </w:rPr>
        <w:t xml:space="preserve">, dopo una serie di servizi posti in essere dalla polizia locale e dalla Guardia di finanza, si </w:t>
      </w:r>
      <w:r>
        <w:rPr>
          <w:rFonts w:hAnsi="Book Antiqua" w:hint="default"/>
          <w:rtl w:val="0"/>
          <w:lang w:val="it-IT"/>
        </w:rPr>
        <w:t xml:space="preserve">è </w:t>
      </w:r>
      <w:r>
        <w:rPr>
          <w:rFonts w:ascii="Book Antiqua"/>
          <w:rtl w:val="0"/>
          <w:lang w:val="it-IT"/>
        </w:rPr>
        <w:t xml:space="preserve">arrivati a fare circa 230 contravvenzioni per un totale di 6.300 euro di proventi complessivi. In sede di commissione per la sicurezza ambientale, che noi svolgiamo all'interno del comitato provinciale per la sicurezza pubblica, </w:t>
      </w:r>
      <w:r>
        <w:rPr>
          <w:rFonts w:hAnsi="Book Antiqua" w:hint="default"/>
          <w:rtl w:val="0"/>
          <w:lang w:val="it-IT"/>
        </w:rPr>
        <w:t xml:space="preserve">è </w:t>
      </w:r>
      <w:r>
        <w:rPr>
          <w:rFonts w:ascii="Book Antiqua"/>
          <w:rtl w:val="0"/>
          <w:lang w:val="it-IT"/>
        </w:rPr>
        <w:t>stato fatto un ragionamento un po</w:t>
      </w:r>
      <w:r>
        <w:rPr>
          <w:rFonts w:hAnsi="Book Antiqua" w:hint="default"/>
          <w:rtl w:val="0"/>
          <w:lang w:val="it-IT"/>
        </w:rPr>
        <w:t xml:space="preserve">’ </w:t>
      </w:r>
      <w:r>
        <w:rPr>
          <w:rFonts w:ascii="Book Antiqua"/>
          <w:rtl w:val="0"/>
          <w:lang w:val="it-IT"/>
        </w:rPr>
        <w:t>pi</w:t>
      </w:r>
      <w:r>
        <w:rPr>
          <w:rFonts w:hAnsi="Book Antiqua" w:hint="default"/>
          <w:rtl w:val="0"/>
          <w:lang w:val="it-IT"/>
        </w:rPr>
        <w:t xml:space="preserve">ù </w:t>
      </w:r>
      <w:r>
        <w:rPr>
          <w:rFonts w:ascii="Book Antiqua"/>
          <w:rtl w:val="0"/>
          <w:lang w:val="it-IT"/>
        </w:rPr>
        <w:t>ampio, chiedendo alle forze di polizia di svolgere servizi pi</w:t>
      </w:r>
      <w:r>
        <w:rPr>
          <w:rFonts w:hAnsi="Book Antiqua" w:hint="default"/>
          <w:rtl w:val="0"/>
          <w:lang w:val="it-IT"/>
        </w:rPr>
        <w:t xml:space="preserve">ù </w:t>
      </w:r>
      <w:r>
        <w:rPr>
          <w:rFonts w:ascii="Book Antiqua"/>
          <w:rtl w:val="0"/>
          <w:lang w:val="it-IT"/>
        </w:rPr>
        <w:t xml:space="preserve">mirati, che ci consentissero non solo di colpire colui che effettua lo sversamento illegale, ma magari con accortezza maggiore di seguirlo e di capire da dove provengono questi rifiuti.  Infatti, </w:t>
      </w:r>
      <w:r>
        <w:rPr>
          <w:rFonts w:hAnsi="Book Antiqua" w:hint="default"/>
          <w:rtl w:val="0"/>
          <w:lang w:val="it-IT"/>
        </w:rPr>
        <w:t xml:space="preserve">è </w:t>
      </w:r>
      <w:r>
        <w:rPr>
          <w:rFonts w:ascii="Book Antiqua"/>
          <w:rtl w:val="0"/>
          <w:lang w:val="it-IT"/>
        </w:rPr>
        <w:t>chiaro che si tratta di piccole attivit</w:t>
      </w:r>
      <w:r>
        <w:rPr>
          <w:rFonts w:hAnsi="Book Antiqua" w:hint="default"/>
          <w:rtl w:val="0"/>
          <w:lang w:val="it-IT"/>
        </w:rPr>
        <w:t xml:space="preserve">à </w:t>
      </w:r>
      <w:r>
        <w:rPr>
          <w:rFonts w:ascii="Book Antiqua"/>
          <w:rtl w:val="0"/>
          <w:lang w:val="it-IT"/>
        </w:rPr>
        <w:t>artigianali, ovvero di artigiani che lavorano in nero e che non sversano nelle discariche autorizzate. Si pu</w:t>
      </w:r>
      <w:r>
        <w:rPr>
          <w:rFonts w:hAnsi="Book Antiqua" w:hint="default"/>
          <w:rtl w:val="0"/>
          <w:lang w:val="it-IT"/>
        </w:rPr>
        <w:t>ò</w:t>
      </w:r>
      <w:r>
        <w:rPr>
          <w:rFonts w:ascii="Book Antiqua"/>
          <w:rtl w:val="0"/>
          <w:lang w:val="it-IT"/>
        </w:rPr>
        <w:t>, quindi, recuperare tutta una filiera di illegalit</w:t>
      </w:r>
      <w:r>
        <w:rPr>
          <w:rFonts w:hAnsi="Book Antiqua" w:hint="default"/>
          <w:rtl w:val="0"/>
          <w:lang w:val="it-IT"/>
        </w:rPr>
        <w:t xml:space="preserve">à </w:t>
      </w:r>
      <w:r>
        <w:rPr>
          <w:rFonts w:ascii="Book Antiqua"/>
          <w:rtl w:val="0"/>
          <w:lang w:val="it-IT"/>
        </w:rPr>
        <w:t>che va dallo sversamento illegale di rifiuti fino all'evasione fiscale.</w:t>
      </w:r>
    </w:p>
    <w:p>
      <w:pPr>
        <w:pStyle w:val="Normal (Web)"/>
        <w:spacing w:before="0" w:after="0"/>
        <w:ind w:left="567" w:right="567" w:firstLine="0"/>
        <w:jc w:val="both"/>
        <w:rPr>
          <w:rFonts w:ascii="Book Antiqua" w:cs="Book Antiqua" w:hAnsi="Book Antiqua" w:eastAsia="Book Antiqua"/>
        </w:rPr>
      </w:pPr>
      <w:r>
        <w:rPr>
          <w:rFonts w:ascii="Book Antiqua"/>
          <w:rtl w:val="0"/>
          <w:lang w:val="it-IT"/>
        </w:rPr>
        <w:t>A fronte di questi elementi di incertezza, dovuti soprattutto al mancato coordinamento della normativa, primaria e secondaria, relativa ai centri di raccolta comunali, potrebbe essere opportuno un intervento normativo chiarificatore sia in ordine alle attivit</w:t>
      </w:r>
      <w:r>
        <w:rPr>
          <w:rFonts w:hAnsi="Book Antiqua" w:hint="default"/>
          <w:rtl w:val="0"/>
          <w:lang w:val="it-IT"/>
        </w:rPr>
        <w:t xml:space="preserve">à </w:t>
      </w:r>
      <w:r>
        <w:rPr>
          <w:rFonts w:ascii="Book Antiqua"/>
          <w:rtl w:val="0"/>
          <w:lang w:val="it-IT"/>
        </w:rPr>
        <w:t xml:space="preserve">consentite sia in relazione alle sanzioni da applicare in caso di inadempienza. </w:t>
      </w:r>
    </w:p>
    <w:p>
      <w:pPr>
        <w:pStyle w:val="List Paragraph"/>
        <w:ind w:left="567" w:right="567" w:firstLine="0"/>
        <w:jc w:val="both"/>
        <w:rPr>
          <w:rFonts w:ascii="Book Antiqua" w:cs="Book Antiqua" w:hAnsi="Book Antiqua" w:eastAsia="Book Antiqua"/>
        </w:rPr>
      </w:pPr>
      <w:r>
        <w:rPr>
          <w:rFonts w:ascii="Book Antiqua"/>
          <w:rtl w:val="0"/>
          <w:lang w:val="it-IT"/>
        </w:rPr>
        <w:t>Riprendendo in termini generali le questioni qui affrontate, l</w:t>
      </w:r>
      <w:r>
        <w:rPr>
          <w:rFonts w:hAnsi="Book Antiqua" w:hint="default"/>
          <w:rtl w:val="0"/>
          <w:lang w:val="it-IT"/>
        </w:rPr>
        <w:t>’</w:t>
      </w:r>
      <w:r>
        <w:rPr>
          <w:rFonts w:ascii="Book Antiqua"/>
          <w:rtl w:val="0"/>
          <w:lang w:val="it-IT"/>
        </w:rPr>
        <w:t xml:space="preserve">attenzione ad alcuni significativi e diffusi illeciti nel ciclo dei rifiuti </w:t>
      </w:r>
      <w:r>
        <w:rPr>
          <w:rFonts w:hAnsi="Book Antiqua" w:hint="default"/>
          <w:rtl w:val="0"/>
          <w:lang w:val="it-IT"/>
        </w:rPr>
        <w:t xml:space="preserve">è </w:t>
      </w:r>
      <w:r>
        <w:rPr>
          <w:rFonts w:ascii="Book Antiqua"/>
          <w:rtl w:val="0"/>
          <w:lang w:val="it-IT"/>
        </w:rPr>
        <w:t xml:space="preserve">quindi necessaria sia per quanto si </w:t>
      </w:r>
      <w:r>
        <w:rPr>
          <w:rFonts w:hAnsi="Book Antiqua" w:hint="default"/>
          <w:rtl w:val="0"/>
          <w:lang w:val="it-IT"/>
        </w:rPr>
        <w:t xml:space="preserve">è </w:t>
      </w:r>
      <w:r>
        <w:rPr>
          <w:rFonts w:ascii="Book Antiqua"/>
          <w:rtl w:val="0"/>
          <w:lang w:val="it-IT"/>
        </w:rPr>
        <w:t>detto sopra a proposito dell</w:t>
      </w:r>
      <w:r>
        <w:rPr>
          <w:rFonts w:hAnsi="Book Antiqua" w:hint="default"/>
          <w:rtl w:val="0"/>
          <w:lang w:val="it-IT"/>
        </w:rPr>
        <w:t>’</w:t>
      </w:r>
      <w:r>
        <w:rPr>
          <w:rFonts w:ascii="Book Antiqua"/>
          <w:rtl w:val="0"/>
          <w:lang w:val="it-IT"/>
        </w:rPr>
        <w:t>impatto negativo sull</w:t>
      </w:r>
      <w:r>
        <w:rPr>
          <w:rFonts w:hAnsi="Book Antiqua" w:hint="default"/>
          <w:rtl w:val="0"/>
          <w:lang w:val="it-IT"/>
        </w:rPr>
        <w:t>’</w:t>
      </w:r>
      <w:r>
        <w:rPr>
          <w:rFonts w:ascii="Book Antiqua"/>
          <w:rtl w:val="0"/>
          <w:lang w:val="it-IT"/>
        </w:rPr>
        <w:t>ambiente che gi</w:t>
      </w:r>
      <w:r>
        <w:rPr>
          <w:rFonts w:hAnsi="Book Antiqua" w:hint="default"/>
          <w:rtl w:val="0"/>
          <w:lang w:val="it-IT"/>
        </w:rPr>
        <w:t xml:space="preserve">à </w:t>
      </w:r>
      <w:r>
        <w:rPr>
          <w:rFonts w:ascii="Book Antiqua"/>
          <w:rtl w:val="0"/>
          <w:lang w:val="it-IT"/>
        </w:rPr>
        <w:t>realizzano, e della possibilit</w:t>
      </w:r>
      <w:r>
        <w:rPr>
          <w:rFonts w:hAnsi="Book Antiqua" w:hint="default"/>
          <w:rtl w:val="0"/>
          <w:lang w:val="it-IT"/>
        </w:rPr>
        <w:t xml:space="preserve">à </w:t>
      </w:r>
      <w:r>
        <w:rPr>
          <w:rFonts w:ascii="Book Antiqua"/>
          <w:rtl w:val="0"/>
          <w:lang w:val="it-IT"/>
        </w:rPr>
        <w:t>che diano adito a strutturati interessi criminali, sia perch</w:t>
      </w:r>
      <w:r>
        <w:rPr>
          <w:rFonts w:hAnsi="Book Antiqua" w:hint="default"/>
          <w:rtl w:val="0"/>
          <w:lang w:val="it-IT"/>
        </w:rPr>
        <w:t xml:space="preserve">é – </w:t>
      </w:r>
      <w:r>
        <w:rPr>
          <w:rFonts w:ascii="Book Antiqua"/>
          <w:rtl w:val="0"/>
          <w:lang w:val="it-IT"/>
        </w:rPr>
        <w:t xml:space="preserve">come si </w:t>
      </w:r>
      <w:r>
        <w:rPr>
          <w:rFonts w:hAnsi="Book Antiqua" w:hint="default"/>
          <w:rtl w:val="0"/>
          <w:lang w:val="it-IT"/>
        </w:rPr>
        <w:t xml:space="preserve">è </w:t>
      </w:r>
      <w:r>
        <w:rPr>
          <w:rFonts w:ascii="Book Antiqua"/>
          <w:rtl w:val="0"/>
          <w:lang w:val="it-IT"/>
        </w:rPr>
        <w:t>gi</w:t>
      </w:r>
      <w:r>
        <w:rPr>
          <w:rFonts w:hAnsi="Book Antiqua" w:hint="default"/>
          <w:rtl w:val="0"/>
          <w:lang w:val="it-IT"/>
        </w:rPr>
        <w:t xml:space="preserve">à </w:t>
      </w:r>
      <w:r>
        <w:rPr>
          <w:rFonts w:ascii="Book Antiqua"/>
          <w:rtl w:val="0"/>
          <w:lang w:val="it-IT"/>
        </w:rPr>
        <w:t>avuto modo di osservare - incidono in senso deteriore sull</w:t>
      </w:r>
      <w:r>
        <w:rPr>
          <w:rFonts w:hAnsi="Book Antiqua" w:hint="default"/>
          <w:rtl w:val="0"/>
          <w:lang w:val="it-IT"/>
        </w:rPr>
        <w:t>’</w:t>
      </w:r>
      <w:r>
        <w:rPr>
          <w:rFonts w:ascii="Book Antiqua"/>
          <w:rtl w:val="0"/>
          <w:lang w:val="it-IT"/>
        </w:rPr>
        <w:t xml:space="preserve">ambizione al decoro urbano, la cui tutela, nelle sue diverse declinazioni, dovrebbe rientrare tra i compiti primari </w:t>
      </w:r>
      <w:r>
        <w:rPr>
          <w:rFonts w:hAnsi="Book Antiqua" w:hint="default"/>
          <w:rtl w:val="0"/>
          <w:lang w:val="it-IT"/>
        </w:rPr>
        <w:t xml:space="preserve">– </w:t>
      </w:r>
      <w:r>
        <w:rPr>
          <w:rFonts w:ascii="Book Antiqua"/>
          <w:rtl w:val="0"/>
          <w:lang w:val="it-IT"/>
        </w:rPr>
        <w:t xml:space="preserve">nelle rispettive competenze </w:t>
      </w:r>
      <w:r>
        <w:rPr>
          <w:rFonts w:hAnsi="Book Antiqua" w:hint="default"/>
          <w:rtl w:val="0"/>
          <w:lang w:val="it-IT"/>
        </w:rPr>
        <w:t xml:space="preserve">– </w:t>
      </w:r>
      <w:r>
        <w:rPr>
          <w:rFonts w:ascii="Book Antiqua"/>
          <w:rtl w:val="0"/>
          <w:lang w:val="it-IT"/>
        </w:rPr>
        <w:t xml:space="preserve">delle forze di polizia e delle amministrazioni locali. </w:t>
      </w: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rPr>
      </w:pPr>
    </w:p>
    <w:p>
      <w:pPr>
        <w:pStyle w:val="Normal"/>
        <w:numPr>
          <w:ilvl w:val="1"/>
          <w:numId w:val="156"/>
        </w:numPr>
        <w:tabs>
          <w:tab w:val="num" w:pos="688"/>
          <w:tab w:val="clear" w:pos="567"/>
        </w:tabs>
        <w:bidi w:val="0"/>
        <w:ind w:left="547" w:right="567" w:firstLine="20"/>
        <w:jc w:val="both"/>
        <w:rPr>
          <w:rFonts w:ascii="Book Antiqua" w:cs="Book Antiqua" w:hAnsi="Book Antiqua" w:eastAsia="Book Antiqua"/>
          <w:position w:val="0"/>
          <w:sz w:val="28"/>
          <w:szCs w:val="28"/>
          <w:rtl w:val="0"/>
        </w:rPr>
      </w:pPr>
      <w:r>
        <w:rPr>
          <w:rFonts w:ascii="Book Antiqua"/>
          <w:sz w:val="28"/>
          <w:szCs w:val="28"/>
          <w:rtl w:val="0"/>
          <w:lang w:val="it-IT"/>
        </w:rPr>
        <w:t>Gli incendi presso impianti di trattamento e smaltimento dei rifiuti. In particolare: l</w:t>
      </w:r>
      <w:r>
        <w:rPr>
          <w:rFonts w:hAnsi="Book Antiqua" w:hint="default"/>
          <w:sz w:val="28"/>
          <w:szCs w:val="28"/>
          <w:rtl w:val="0"/>
          <w:lang w:val="it-IT"/>
        </w:rPr>
        <w:t>’</w:t>
      </w:r>
      <w:r>
        <w:rPr>
          <w:rFonts w:ascii="Book Antiqua"/>
          <w:sz w:val="28"/>
          <w:szCs w:val="28"/>
          <w:rtl w:val="0"/>
          <w:lang w:val="it-IT"/>
        </w:rPr>
        <w:t xml:space="preserve">incendio della Eco X di Pomezia </w:t>
      </w: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rPr>
      </w:pPr>
      <w:r>
        <w:rPr>
          <w:rFonts w:ascii="Book Antiqua"/>
          <w:rtl w:val="0"/>
          <w:lang w:val="it-IT"/>
        </w:rPr>
        <w:t xml:space="preserve">La Commissione si </w:t>
      </w:r>
      <w:r>
        <w:rPr>
          <w:rFonts w:hAnsi="Book Antiqua" w:hint="default"/>
          <w:rtl w:val="0"/>
          <w:lang w:val="it-IT"/>
        </w:rPr>
        <w:t xml:space="preserve">è </w:t>
      </w:r>
      <w:r>
        <w:rPr>
          <w:rFonts w:ascii="Book Antiqua"/>
          <w:rtl w:val="0"/>
          <w:lang w:val="it-IT"/>
        </w:rPr>
        <w:t>occupata in particolare dell</w:t>
      </w:r>
      <w:r>
        <w:rPr>
          <w:rFonts w:hAnsi="Book Antiqua" w:hint="default"/>
          <w:rtl w:val="0"/>
          <w:lang w:val="it-IT"/>
        </w:rPr>
        <w:t>’</w:t>
      </w:r>
      <w:r>
        <w:rPr>
          <w:rFonts w:ascii="Book Antiqua"/>
          <w:rtl w:val="0"/>
          <w:lang w:val="it-IT"/>
        </w:rPr>
        <w:t>incendio, ampiamente pubblicizzato sulla stampa, all</w:t>
      </w:r>
      <w:r>
        <w:rPr>
          <w:rFonts w:hAnsi="Book Antiqua" w:hint="default"/>
          <w:rtl w:val="0"/>
          <w:lang w:val="it-IT"/>
        </w:rPr>
        <w:t>’</w:t>
      </w:r>
      <w:r>
        <w:rPr>
          <w:rFonts w:ascii="Book Antiqua"/>
          <w:rtl w:val="0"/>
          <w:lang w:val="it-IT"/>
        </w:rPr>
        <w:t>impianto per il trattamento e lo stoccaggio di rifiuti della societ</w:t>
      </w:r>
      <w:r>
        <w:rPr>
          <w:rFonts w:hAnsi="Book Antiqua" w:hint="default"/>
          <w:rtl w:val="0"/>
          <w:lang w:val="it-IT"/>
        </w:rPr>
        <w:t>à</w:t>
      </w:r>
      <w:r>
        <w:rPr>
          <w:rFonts w:ascii="Book Antiqua"/>
          <w:rtl w:val="0"/>
          <w:lang w:val="it-IT"/>
        </w:rPr>
        <w:t>, Eco X di Pomezia, verificatosi il  5 maggio 2017.</w:t>
      </w:r>
    </w:p>
    <w:p>
      <w:pPr>
        <w:pStyle w:val="Normal"/>
        <w:ind w:left="567" w:right="567" w:firstLine="0"/>
        <w:jc w:val="both"/>
        <w:rPr>
          <w:rFonts w:ascii="Book Antiqua" w:cs="Book Antiqua" w:hAnsi="Book Antiqua" w:eastAsia="Book Antiqua"/>
          <w:i w:val="1"/>
          <w:iCs w:val="1"/>
        </w:rPr>
      </w:pPr>
      <w:r>
        <w:rPr>
          <w:rFonts w:ascii="Book Antiqua"/>
          <w:rtl w:val="0"/>
          <w:lang w:val="it-IT"/>
        </w:rPr>
        <w:t xml:space="preserve">A tal fine, il 29 maggio sono stati ascoltati il </w:t>
      </w:r>
      <w:r>
        <w:rPr>
          <w:rFonts w:ascii="Book Antiqua"/>
          <w:rtl w:val="0"/>
          <w:lang w:val="it-IT"/>
        </w:rPr>
        <w:t xml:space="preserve">direttore generale di ARPA Lazio, </w:t>
      </w:r>
      <w:r>
        <w:rPr>
          <w:rFonts w:ascii="Book Antiqua"/>
          <w:rtl w:val="0"/>
          <w:lang w:val="it-IT"/>
        </w:rPr>
        <w:t>Marco Lupo; il procuratore</w:t>
      </w:r>
      <w:r>
        <w:rPr>
          <w:rFonts w:ascii="Book Antiqua"/>
          <w:rtl w:val="0"/>
          <w:lang w:val="it-IT"/>
        </w:rPr>
        <w:t xml:space="preserve"> della Repubblica presso il tribunale di Velletri, </w:t>
      </w:r>
      <w:r>
        <w:rPr>
          <w:rFonts w:ascii="Book Antiqua"/>
          <w:rtl w:val="0"/>
          <w:lang w:val="it-IT"/>
        </w:rPr>
        <w:t>Francesco Prete,</w:t>
      </w:r>
      <w:r>
        <w:rPr>
          <w:rFonts w:ascii="Book Antiqua"/>
          <w:i w:val="1"/>
          <w:iCs w:val="1"/>
          <w:rtl w:val="0"/>
          <w:lang w:val="it-IT"/>
        </w:rPr>
        <w:t xml:space="preserve"> </w:t>
      </w:r>
      <w:r>
        <w:rPr>
          <w:rFonts w:ascii="Book Antiqua"/>
          <w:rtl w:val="0"/>
          <w:lang w:val="it-IT"/>
        </w:rPr>
        <w:t>accompagnato dal sostituto procuratore L</w:t>
      </w:r>
      <w:r>
        <w:rPr>
          <w:rFonts w:ascii="Book Antiqua"/>
          <w:rtl w:val="0"/>
          <w:lang w:val="it-IT"/>
        </w:rPr>
        <w:t xml:space="preserve">uigi Paoletti, e il  </w:t>
      </w:r>
      <w:r>
        <w:rPr>
          <w:rFonts w:ascii="Book Antiqua"/>
          <w:rtl w:val="0"/>
          <w:lang w:val="it-IT"/>
        </w:rPr>
        <w:t>capitano del NOE Carabinieri di Roma,</w:t>
      </w:r>
      <w:r>
        <w:rPr>
          <w:rFonts w:ascii="Book Antiqua"/>
          <w:rtl w:val="0"/>
          <w:lang w:val="it-IT"/>
        </w:rPr>
        <w:t xml:space="preserve"> Marco Cavallo</w:t>
      </w:r>
      <w:r>
        <w:rPr>
          <w:rFonts w:ascii="Book Antiqua"/>
          <w:i w:val="1"/>
          <w:iCs w:val="1"/>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Con missione del 30 maggio a Pomezia, la Commissione procedeva ad un sopralluogo dell</w:t>
      </w:r>
      <w:r>
        <w:rPr>
          <w:rFonts w:hAnsi="Book Antiqua" w:hint="default"/>
          <w:rtl w:val="0"/>
          <w:lang w:val="it-IT"/>
        </w:rPr>
        <w:t>’</w:t>
      </w:r>
      <w:r>
        <w:rPr>
          <w:rFonts w:ascii="Book Antiqua"/>
          <w:rtl w:val="0"/>
          <w:lang w:val="it-IT"/>
        </w:rPr>
        <w:t>area oggetto dell</w:t>
      </w:r>
      <w:r>
        <w:rPr>
          <w:rFonts w:hAnsi="Book Antiqua" w:hint="default"/>
          <w:rtl w:val="0"/>
          <w:lang w:val="it-IT"/>
        </w:rPr>
        <w:t>’</w:t>
      </w:r>
      <w:r>
        <w:rPr>
          <w:rFonts w:ascii="Book Antiqua"/>
          <w:rtl w:val="0"/>
          <w:lang w:val="it-IT"/>
        </w:rPr>
        <w:t>incendio e ascoltava Fabio Fucci, sindaco di Pomezia, Angelo Pizzoli, comandante della polizia locale di Pomezia; Narciso Mostarda, direttore generale dell</w:t>
      </w:r>
      <w:r>
        <w:rPr>
          <w:rFonts w:hAnsi="Book Antiqua" w:hint="default"/>
          <w:rtl w:val="0"/>
          <w:lang w:val="it-IT"/>
        </w:rPr>
        <w:t>’</w:t>
      </w:r>
      <w:r>
        <w:rPr>
          <w:rFonts w:ascii="Book Antiqua"/>
          <w:rtl w:val="0"/>
          <w:lang w:val="it-IT"/>
        </w:rPr>
        <w:t>ASL 6, accompagnato da Mariano Sigismondi, direttore del dipartimento prevenzione, e da Marco Valentini, dirigente chimico del dipartimento prevenzione; Manuela Manetti, direttore della direzione regionale territorio, urbanistica e mobilit</w:t>
      </w:r>
      <w:r>
        <w:rPr>
          <w:rFonts w:hAnsi="Book Antiqua" w:hint="default"/>
          <w:rtl w:val="0"/>
          <w:lang w:val="it-IT"/>
        </w:rPr>
        <w:t xml:space="preserve">à </w:t>
      </w:r>
      <w:r>
        <w:rPr>
          <w:rFonts w:ascii="Book Antiqua"/>
          <w:rtl w:val="0"/>
          <w:lang w:val="it-IT"/>
        </w:rPr>
        <w:t>della regione Lazio, accompagnata da Gianfrancesco Gianni, dirigente della direzione regionale territorio, urbanistica e mobilit</w:t>
      </w:r>
      <w:r>
        <w:rPr>
          <w:rFonts w:hAnsi="Book Antiqua" w:hint="default"/>
          <w:rtl w:val="0"/>
          <w:lang w:val="it-IT"/>
        </w:rPr>
        <w:t xml:space="preserve">à </w:t>
      </w:r>
      <w:r>
        <w:rPr>
          <w:rFonts w:ascii="Book Antiqua"/>
          <w:rtl w:val="0"/>
          <w:lang w:val="it-IT"/>
        </w:rPr>
        <w:t>della regione Lazio, Mauro Lasagna, direttore della direzione regionale risorse idriche, difesa del suolo e rifiuti della regione Lazio, e Flaminia Tosini, dirigente della direzione regionale risorse idriche, difesa del suolo e rifiuti della regione Lazio; Marco Ghimenti, comandante provinciale dei Vigili del fuoco, accompagnato da Luigi Liolli, responsabile della sala operativa e del coordinamento soccorso dei Vigili del fuoco di Roma, nonch</w:t>
      </w:r>
      <w:r>
        <w:rPr>
          <w:rFonts w:hAnsi="Book Antiqua" w:hint="default"/>
          <w:rtl w:val="0"/>
          <w:lang w:val="it-IT"/>
        </w:rPr>
        <w:t xml:space="preserve">é </w:t>
      </w:r>
      <w:r>
        <w:rPr>
          <w:rFonts w:ascii="Book Antiqua"/>
          <w:rtl w:val="0"/>
          <w:lang w:val="it-IT"/>
        </w:rPr>
        <w:t>Antonio Buongiovanni, socio unico e amministratore unico di Ecoservizi per l</w:t>
      </w:r>
      <w:r>
        <w:rPr>
          <w:rFonts w:hAnsi="Book Antiqua" w:hint="default"/>
          <w:rtl w:val="0"/>
          <w:lang w:val="it-IT"/>
        </w:rPr>
        <w:t>’</w:t>
      </w:r>
      <w:r>
        <w:rPr>
          <w:rFonts w:ascii="Book Antiqua"/>
          <w:rtl w:val="0"/>
          <w:lang w:val="it-IT"/>
        </w:rPr>
        <w:t>ambiente S.r.l., e Salvatore Guglielmino, procuratore speciale di Ecoservizi per l</w:t>
      </w:r>
      <w:r>
        <w:rPr>
          <w:rFonts w:hAnsi="Book Antiqua" w:hint="default"/>
          <w:rtl w:val="0"/>
          <w:lang w:val="it-IT"/>
        </w:rPr>
        <w:t>’</w:t>
      </w:r>
      <w:r>
        <w:rPr>
          <w:rFonts w:ascii="Book Antiqua"/>
          <w:rtl w:val="0"/>
          <w:lang w:val="it-IT"/>
        </w:rPr>
        <w:t>ambiente S.r.l. .</w:t>
      </w:r>
    </w:p>
    <w:p>
      <w:pPr>
        <w:pStyle w:val="Normal"/>
        <w:ind w:left="567" w:right="567" w:firstLine="0"/>
        <w:jc w:val="both"/>
        <w:rPr>
          <w:rFonts w:ascii="Book Antiqua" w:cs="Book Antiqua" w:hAnsi="Book Antiqua" w:eastAsia="Book Antiqua"/>
        </w:rPr>
      </w:pPr>
      <w:r>
        <w:rPr>
          <w:rFonts w:ascii="Book Antiqua"/>
          <w:rtl w:val="0"/>
          <w:lang w:val="it-IT"/>
        </w:rPr>
        <w:t>Come risulta da un primo appunto del NOE Carabinieri</w:t>
      </w:r>
      <w:r>
        <w:rPr>
          <w:rFonts w:ascii="Book Antiqua" w:cs="Book Antiqua" w:hAnsi="Book Antiqua" w:eastAsia="Book Antiqua"/>
          <w:vertAlign w:val="superscript"/>
          <w:rtl w:val="0"/>
        </w:rPr>
        <w:footnoteReference w:id="276"/>
      </w:r>
      <w:r>
        <w:rPr>
          <w:rFonts w:hAnsi="Book Antiqua" w:hint="default"/>
          <w:rtl w:val="0"/>
          <w:lang w:val="it-IT"/>
        </w:rPr>
        <w:t xml:space="preserve"> “</w:t>
      </w:r>
      <w:r>
        <w:rPr>
          <w:rFonts w:ascii="Book Antiqua"/>
          <w:rtl w:val="0"/>
          <w:lang w:val="it-IT"/>
        </w:rPr>
        <w:t>in data 5 maggio 2017 verso le ore 08.10/08.15 si sviluppava un imponente incendio presso l'impresa Eco Servizi per l'ambiente S.r.l</w:t>
      </w:r>
      <w:r>
        <w:rPr>
          <w:rFonts w:hAnsi="Book Antiqua" w:hint="default"/>
          <w:rtl w:val="0"/>
          <w:lang w:val="it-IT"/>
        </w:rPr>
        <w:t>»</w:t>
      </w:r>
      <w:r>
        <w:rPr>
          <w:rFonts w:ascii="Book Antiqua"/>
          <w:rtl w:val="0"/>
          <w:lang w:val="it-IT"/>
        </w:rPr>
        <w:t>, sita in Pomezia via Pontina Vecchia 33+300 mentre l'impianto era operativo e vi erano operai intenti a caricare e scaricare materiale nel piazzale. Vano il tentativo degli operai con gli estintori di domare le fiamme che richiedevano l'intervento dei VV.FF. Sebbene le operazioni di spegnimento siano proseguite incessantemente h/24 ancora oggi non sono terminate e verosimilmente proseguiranno per qualche giorno per mettere completamente in sicurezza l'area. Non si sono registrati feriti da parte del personale dell'impresa. Intervenivano sul posto altres</w:t>
      </w:r>
      <w:r>
        <w:rPr>
          <w:rFonts w:hAnsi="Book Antiqua" w:hint="default"/>
          <w:rtl w:val="0"/>
          <w:lang w:val="it-IT"/>
        </w:rPr>
        <w:t xml:space="preserve">ì </w:t>
      </w:r>
      <w:r>
        <w:rPr>
          <w:rFonts w:ascii="Book Antiqua"/>
          <w:rtl w:val="0"/>
          <w:lang w:val="it-IT"/>
        </w:rPr>
        <w:t>Carabinieri della Stazione CC di Pomezia e personale del NOE di Roma che provvedevano a raccogliere le testimonianze dei dipendenti della ditta, personale dell'ARPA Lazio - Sez. di Roma che installava una centralina i cui dati non sono ancora disponibili, inoltre venivano diffusi i dati delle centraline mobili gi</w:t>
      </w:r>
      <w:r>
        <w:rPr>
          <w:rFonts w:hAnsi="Book Antiqua" w:hint="default"/>
          <w:rtl w:val="0"/>
          <w:lang w:val="it-IT"/>
        </w:rPr>
        <w:t xml:space="preserve">à </w:t>
      </w:r>
      <w:r>
        <w:rPr>
          <w:rFonts w:ascii="Book Antiqua"/>
          <w:rtl w:val="0"/>
          <w:lang w:val="it-IT"/>
        </w:rPr>
        <w:t>presenti nei territori limitrofi, sempre di ARPA, che non rilevavano variazioni sulla qualit</w:t>
      </w:r>
      <w:r>
        <w:rPr>
          <w:rFonts w:hAnsi="Book Antiqua" w:hint="default"/>
          <w:rtl w:val="0"/>
          <w:lang w:val="it-IT"/>
        </w:rPr>
        <w:t xml:space="preserve">à </w:t>
      </w:r>
      <w:r>
        <w:rPr>
          <w:rFonts w:ascii="Book Antiqua"/>
          <w:rtl w:val="0"/>
          <w:lang w:val="it-IT"/>
        </w:rPr>
        <w:t>dell'aria.</w:t>
      </w:r>
    </w:p>
    <w:p>
      <w:pPr>
        <w:pStyle w:val="Normal"/>
        <w:ind w:left="567" w:right="567" w:firstLine="0"/>
        <w:jc w:val="both"/>
        <w:rPr>
          <w:rFonts w:ascii="Book Antiqua" w:cs="Book Antiqua" w:hAnsi="Book Antiqua" w:eastAsia="Book Antiqua"/>
        </w:rPr>
      </w:pPr>
      <w:r>
        <w:rPr>
          <w:rFonts w:ascii="Book Antiqua"/>
          <w:rtl w:val="0"/>
          <w:lang w:val="it-IT"/>
        </w:rPr>
        <w:t>Si tratta di un impianto di trattamento rifiuti speciali non pericolosi (plastica, carta, legno materiali da demolizione ecc) con autorizzazione regionale ed una capacit</w:t>
      </w:r>
      <w:r>
        <w:rPr>
          <w:rFonts w:hAnsi="Book Antiqua" w:hint="default"/>
          <w:rtl w:val="0"/>
          <w:lang w:val="it-IT"/>
        </w:rPr>
        <w:t xml:space="preserve">à </w:t>
      </w:r>
      <w:r>
        <w:rPr>
          <w:rFonts w:ascii="Book Antiqua"/>
          <w:rtl w:val="0"/>
          <w:lang w:val="it-IT"/>
        </w:rPr>
        <w:t>annua di 85.000 tonnellate. Si estende su circa 20.000 mq ove insistono due capannoni industriali e una zona uffici.</w:t>
      </w:r>
    </w:p>
    <w:p>
      <w:pPr>
        <w:pStyle w:val="Normal"/>
        <w:ind w:left="567" w:right="567" w:firstLine="0"/>
        <w:jc w:val="both"/>
        <w:rPr>
          <w:rFonts w:ascii="Book Antiqua" w:cs="Book Antiqua" w:hAnsi="Book Antiqua" w:eastAsia="Book Antiqua"/>
        </w:rPr>
      </w:pPr>
      <w:r>
        <w:rPr>
          <w:rFonts w:ascii="Book Antiqua"/>
          <w:rtl w:val="0"/>
          <w:lang w:val="it-IT"/>
        </w:rPr>
        <w:t xml:space="preserve">Allo stato non ci sono motivi di ritenere l'incendio di natura dolosa, ma non si esclude nessuna ipotesi, ed in data odierna la struttura </w:t>
      </w:r>
      <w:r>
        <w:rPr>
          <w:rFonts w:hAnsi="Book Antiqua" w:hint="default"/>
          <w:rtl w:val="0"/>
          <w:lang w:val="it-IT"/>
        </w:rPr>
        <w:t xml:space="preserve">è </w:t>
      </w:r>
      <w:r>
        <w:rPr>
          <w:rFonts w:ascii="Book Antiqua"/>
          <w:rtl w:val="0"/>
          <w:lang w:val="it-IT"/>
        </w:rPr>
        <w:t xml:space="preserve">stata interamente sottoposta a sequestro probatorio da parte del NOE, sebbene le operazioni di spegnimento siano ancora in corso, al fine di preservare </w:t>
      </w:r>
      <w:r>
        <w:rPr>
          <w:rFonts w:hAnsi="Book Antiqua" w:hint="default"/>
          <w:rtl w:val="0"/>
          <w:lang w:val="it-IT"/>
        </w:rPr>
        <w:t>–</w:t>
      </w:r>
      <w:r>
        <w:rPr>
          <w:rFonts w:ascii="Book Antiqua"/>
          <w:rtl w:val="0"/>
          <w:lang w:val="it-IT"/>
        </w:rPr>
        <w:t xml:space="preserve"> nei limiti - la scena del crimine per gli accertamenti tecnici che disporr</w:t>
      </w:r>
      <w:r>
        <w:rPr>
          <w:rFonts w:hAnsi="Book Antiqua" w:hint="default"/>
          <w:rtl w:val="0"/>
          <w:lang w:val="it-IT"/>
        </w:rPr>
        <w:t xml:space="preserve">à </w:t>
      </w:r>
      <w:r>
        <w:rPr>
          <w:rFonts w:ascii="Book Antiqua"/>
          <w:rtl w:val="0"/>
          <w:lang w:val="it-IT"/>
        </w:rPr>
        <w:t>la procura della Repubblica di Velletri, affidandolo in custodia all'Amministratore Unico.</w:t>
      </w:r>
      <w:r>
        <w:rPr>
          <w:rFonts w:hAnsi="Book Antiqua" w:hint="default"/>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In proposito la Commissione ha svolto diretti accertamenti sulla struttura della societ</w:t>
      </w:r>
      <w:r>
        <w:rPr>
          <w:rFonts w:hAnsi="Book Antiqua" w:hint="default"/>
          <w:rtl w:val="0"/>
          <w:lang w:val="it-IT"/>
        </w:rPr>
        <w:t>à</w:t>
      </w:r>
      <w:r>
        <w:rPr>
          <w:rFonts w:ascii="Book Antiqua"/>
          <w:rtl w:val="0"/>
          <w:lang w:val="it-IT"/>
        </w:rPr>
        <w:t>, i cui esiti di seguito si riportano</w:t>
      </w:r>
      <w:r>
        <w:rPr>
          <w:rFonts w:ascii="Book Antiqua" w:cs="Book Antiqua" w:hAnsi="Book Antiqua" w:eastAsia="Book Antiqua"/>
          <w:vertAlign w:val="superscript"/>
          <w:rtl w:val="0"/>
        </w:rPr>
        <w:footnoteReference w:id="277"/>
      </w:r>
      <w:r>
        <w:rPr>
          <w:rFonts w:ascii="Book Antiqua"/>
          <w:rtl w:val="0"/>
          <w:lang w:val="it-IT"/>
        </w:rPr>
        <w:t>:</w:t>
      </w:r>
    </w:p>
    <w:p>
      <w:pPr>
        <w:pStyle w:val="Normal"/>
        <w:ind w:left="567" w:right="567" w:firstLine="0"/>
        <w:jc w:val="both"/>
        <w:rPr>
          <w:rFonts w:ascii="Book Antiqua" w:cs="Book Antiqua" w:hAnsi="Book Antiqua" w:eastAsia="Book Antiqua"/>
          <w:sz w:val="22"/>
          <w:szCs w:val="22"/>
        </w:rPr>
      </w:pPr>
    </w:p>
    <w:p>
      <w:pPr>
        <w:pStyle w:val="Normal"/>
        <w:ind w:left="567" w:right="567" w:firstLine="0"/>
        <w:jc w:val="both"/>
        <w:rPr>
          <w:rFonts w:ascii="Book Antiqua" w:cs="Book Antiqua" w:hAnsi="Book Antiqua" w:eastAsia="Book Antiqua"/>
          <w:sz w:val="22"/>
          <w:szCs w:val="22"/>
        </w:rPr>
      </w:pPr>
      <w:r>
        <w:rPr>
          <w:rFonts w:hAnsi="Book Antiqua" w:hint="default"/>
          <w:sz w:val="22"/>
          <w:szCs w:val="22"/>
          <w:rtl w:val="0"/>
          <w:lang w:val="it-IT"/>
        </w:rPr>
        <w:t>“</w:t>
      </w:r>
      <w:r>
        <w:rPr>
          <w:rFonts w:ascii="Book Antiqua"/>
          <w:sz w:val="22"/>
          <w:szCs w:val="22"/>
          <w:rtl w:val="0"/>
          <w:lang w:val="it-IT"/>
        </w:rPr>
        <w:t>La "ECO X S.r.l.", proprietaria dell'impianto in parola, costituita in data 07/01/2002 ed iscritta alla C.C.I.A.A. in data 06/03/2002, con sede in Roma, Via Taranto 3 (C.F. 06871211006), esercente l'attivit</w:t>
      </w:r>
      <w:r>
        <w:rPr>
          <w:rFonts w:hAnsi="Book Antiqua" w:hint="default"/>
          <w:sz w:val="22"/>
          <w:szCs w:val="22"/>
          <w:rtl w:val="0"/>
          <w:lang w:val="it-IT"/>
        </w:rPr>
        <w:t xml:space="preserve">à </w:t>
      </w:r>
      <w:r>
        <w:rPr>
          <w:rFonts w:ascii="Book Antiqua"/>
          <w:sz w:val="22"/>
          <w:szCs w:val="22"/>
          <w:rtl w:val="0"/>
          <w:lang w:val="it-IT"/>
        </w:rPr>
        <w:t>di spazzatura, raccolta, trattamento, recupero e trasformazione di rifiuti, ha un capitale sociale di euro 119.000, le cui quote sono detenute interamente da tale FRAIOLI Maurizio.</w:t>
      </w:r>
    </w:p>
    <w:p>
      <w:pPr>
        <w:pStyle w:val="Normal"/>
        <w:ind w:left="567" w:right="567" w:firstLine="0"/>
        <w:jc w:val="both"/>
        <w:rPr>
          <w:rFonts w:ascii="Book Antiqua" w:cs="Book Antiqua" w:hAnsi="Book Antiqua" w:eastAsia="Book Antiqua"/>
          <w:sz w:val="22"/>
          <w:szCs w:val="22"/>
        </w:rPr>
      </w:pPr>
      <w:r>
        <w:rPr>
          <w:rFonts w:ascii="Book Antiqua"/>
          <w:sz w:val="22"/>
          <w:szCs w:val="22"/>
          <w:rtl w:val="0"/>
          <w:lang w:val="it-IT"/>
        </w:rPr>
        <w:t>Le quote societarie dell'impresa in argomento sono giunte al predetto FRAIOLI attraverso un atto di compravendita - datato 02/10/2015 - mediante il quale predetto FRAIOLI ha acquistato la propriet</w:t>
      </w:r>
      <w:r>
        <w:rPr>
          <w:rFonts w:hAnsi="Book Antiqua" w:hint="default"/>
          <w:sz w:val="22"/>
          <w:szCs w:val="22"/>
          <w:rtl w:val="0"/>
          <w:lang w:val="it-IT"/>
        </w:rPr>
        <w:t xml:space="preserve">à </w:t>
      </w:r>
      <w:r>
        <w:rPr>
          <w:rFonts w:ascii="Book Antiqua"/>
          <w:sz w:val="22"/>
          <w:szCs w:val="22"/>
          <w:rtl w:val="0"/>
          <w:lang w:val="it-IT"/>
        </w:rPr>
        <w:t>dell'azienda da tale CIRINCIONE Mario (socio unico dall'11/09/2014 al 02/10/2015); quest'ultimo, a sua volta, aveva acquistato - atto di compravendita datato 08/09/2014 - la totalit</w:t>
      </w:r>
      <w:r>
        <w:rPr>
          <w:rFonts w:hAnsi="Book Antiqua" w:hint="default"/>
          <w:sz w:val="22"/>
          <w:szCs w:val="22"/>
          <w:rtl w:val="0"/>
          <w:lang w:val="it-IT"/>
        </w:rPr>
        <w:t xml:space="preserve">à </w:t>
      </w:r>
      <w:r>
        <w:rPr>
          <w:rFonts w:ascii="Book Antiqua"/>
          <w:sz w:val="22"/>
          <w:szCs w:val="22"/>
          <w:rtl w:val="0"/>
          <w:lang w:val="it-IT"/>
        </w:rPr>
        <w:t>delle quote societarie da tale GUGLIELMINO Marcello (socio unico dal 05/05/2011 all'11/09/2014).</w:t>
      </w:r>
    </w:p>
    <w:p>
      <w:pPr>
        <w:pStyle w:val="Normal"/>
        <w:ind w:left="567" w:right="567" w:firstLine="0"/>
        <w:jc w:val="both"/>
        <w:rPr>
          <w:rFonts w:ascii="Book Antiqua" w:cs="Book Antiqua" w:hAnsi="Book Antiqua" w:eastAsia="Book Antiqua"/>
          <w:sz w:val="22"/>
          <w:szCs w:val="22"/>
        </w:rPr>
      </w:pPr>
      <w:r>
        <w:rPr>
          <w:rFonts w:ascii="Book Antiqua"/>
          <w:sz w:val="22"/>
          <w:szCs w:val="22"/>
          <w:rtl w:val="0"/>
          <w:lang w:val="it-IT"/>
        </w:rPr>
        <w:t>L'Amministrazione della societ</w:t>
      </w:r>
      <w:r>
        <w:rPr>
          <w:rFonts w:hAnsi="Book Antiqua" w:hint="default"/>
          <w:sz w:val="22"/>
          <w:szCs w:val="22"/>
          <w:rtl w:val="0"/>
          <w:lang w:val="it-IT"/>
        </w:rPr>
        <w:t xml:space="preserve">à è </w:t>
      </w:r>
      <w:r>
        <w:rPr>
          <w:rFonts w:ascii="Book Antiqua"/>
          <w:sz w:val="22"/>
          <w:szCs w:val="22"/>
          <w:rtl w:val="0"/>
          <w:lang w:val="it-IT"/>
        </w:rPr>
        <w:t>affidata a SODDU Fabio Antonio, amministratore unico.</w:t>
      </w:r>
    </w:p>
    <w:p>
      <w:pPr>
        <w:pStyle w:val="Normal"/>
        <w:ind w:left="567" w:right="567" w:firstLine="0"/>
        <w:jc w:val="both"/>
        <w:rPr>
          <w:rFonts w:ascii="Book Antiqua" w:cs="Book Antiqua" w:hAnsi="Book Antiqua" w:eastAsia="Book Antiqua"/>
          <w:sz w:val="22"/>
          <w:szCs w:val="22"/>
        </w:rPr>
      </w:pPr>
      <w:r>
        <w:rPr>
          <w:rFonts w:ascii="Book Antiqua"/>
          <w:sz w:val="22"/>
          <w:szCs w:val="22"/>
          <w:rtl w:val="0"/>
          <w:lang w:val="it-IT"/>
        </w:rPr>
        <w:t>Gli amministratori succedutisi nel tempo sono stati:</w:t>
      </w:r>
    </w:p>
    <w:p>
      <w:pPr>
        <w:pStyle w:val="Normal"/>
        <w:ind w:left="567" w:right="567" w:firstLine="0"/>
        <w:jc w:val="both"/>
        <w:rPr>
          <w:rFonts w:ascii="Book Antiqua" w:cs="Book Antiqua" w:hAnsi="Book Antiqua" w:eastAsia="Book Antiqua"/>
          <w:sz w:val="22"/>
          <w:szCs w:val="22"/>
        </w:rPr>
      </w:pPr>
      <w:r>
        <w:rPr>
          <w:rFonts w:ascii="Book Antiqua"/>
          <w:sz w:val="22"/>
          <w:szCs w:val="22"/>
          <w:rtl w:val="0"/>
          <w:lang w:val="it-IT"/>
        </w:rPr>
        <w:t>- BOFFI Marco6, dal 06/03/2002 al 22/12/2003;</w:t>
      </w:r>
    </w:p>
    <w:p>
      <w:pPr>
        <w:pStyle w:val="Normal"/>
        <w:ind w:left="567" w:right="567" w:firstLine="0"/>
        <w:jc w:val="both"/>
        <w:rPr>
          <w:rFonts w:ascii="Book Antiqua" w:cs="Book Antiqua" w:hAnsi="Book Antiqua" w:eastAsia="Book Antiqua"/>
          <w:sz w:val="22"/>
          <w:szCs w:val="22"/>
        </w:rPr>
      </w:pPr>
      <w:r>
        <w:rPr>
          <w:rFonts w:ascii="Book Antiqua"/>
          <w:sz w:val="22"/>
          <w:szCs w:val="22"/>
          <w:rtl w:val="0"/>
          <w:lang w:val="it-IT"/>
        </w:rPr>
        <w:t>- GUGLIELMINO Marcello, s.m.g., dal 22/12/2003 al 15/10/2010;</w:t>
      </w:r>
    </w:p>
    <w:p>
      <w:pPr>
        <w:pStyle w:val="Normal"/>
        <w:ind w:left="567" w:right="567" w:firstLine="0"/>
        <w:jc w:val="both"/>
        <w:rPr>
          <w:rFonts w:ascii="Book Antiqua" w:cs="Book Antiqua" w:hAnsi="Book Antiqua" w:eastAsia="Book Antiqua"/>
          <w:sz w:val="22"/>
          <w:szCs w:val="22"/>
        </w:rPr>
      </w:pPr>
      <w:r>
        <w:rPr>
          <w:rFonts w:ascii="Book Antiqua"/>
          <w:sz w:val="22"/>
          <w:szCs w:val="22"/>
          <w:rtl w:val="0"/>
          <w:lang w:val="it-IT"/>
        </w:rPr>
        <w:t>- SODDU Fabio Antonio, s.m.g., dal 15/10/2010.</w:t>
      </w:r>
    </w:p>
    <w:p>
      <w:pPr>
        <w:pStyle w:val="Normal"/>
        <w:ind w:left="567" w:right="567" w:firstLine="0"/>
        <w:jc w:val="both"/>
        <w:rPr>
          <w:rFonts w:ascii="Book Antiqua" w:cs="Book Antiqua" w:hAnsi="Book Antiqua" w:eastAsia="Book Antiqua"/>
          <w:sz w:val="22"/>
          <w:szCs w:val="22"/>
        </w:rPr>
      </w:pPr>
      <w:r>
        <w:rPr>
          <w:rFonts w:ascii="Book Antiqua"/>
          <w:sz w:val="22"/>
          <w:szCs w:val="22"/>
          <w:rtl w:val="0"/>
          <w:lang w:val="it-IT"/>
        </w:rPr>
        <w:t>Il soggetto economico in parola non annovera partecipazioni in altre societ</w:t>
      </w:r>
      <w:r>
        <w:rPr>
          <w:rFonts w:hAnsi="Book Antiqua" w:hint="default"/>
          <w:sz w:val="22"/>
          <w:szCs w:val="22"/>
          <w:rtl w:val="0"/>
          <w:lang w:val="it-IT"/>
        </w:rPr>
        <w:t>à</w:t>
      </w:r>
      <w:r>
        <w:rPr>
          <w:rFonts w:ascii="Book Antiqua"/>
          <w:sz w:val="22"/>
          <w:szCs w:val="22"/>
          <w:rtl w:val="0"/>
          <w:lang w:val="it-IT"/>
        </w:rPr>
        <w:t>.</w:t>
      </w:r>
    </w:p>
    <w:p>
      <w:pPr>
        <w:pStyle w:val="Normal"/>
        <w:ind w:left="567" w:right="567" w:firstLine="0"/>
        <w:jc w:val="both"/>
        <w:rPr>
          <w:rFonts w:ascii="Book Antiqua" w:cs="Book Antiqua" w:hAnsi="Book Antiqua" w:eastAsia="Book Antiqua"/>
          <w:sz w:val="22"/>
          <w:szCs w:val="22"/>
        </w:rPr>
      </w:pPr>
      <w:r>
        <w:rPr>
          <w:rFonts w:ascii="Book Antiqua"/>
          <w:sz w:val="22"/>
          <w:szCs w:val="22"/>
          <w:rtl w:val="0"/>
          <w:lang w:val="it-IT"/>
        </w:rPr>
        <w:t>Per completezza si segnala che la societ</w:t>
      </w:r>
      <w:r>
        <w:rPr>
          <w:rFonts w:hAnsi="Book Antiqua" w:hint="default"/>
          <w:sz w:val="22"/>
          <w:szCs w:val="22"/>
          <w:rtl w:val="0"/>
          <w:lang w:val="it-IT"/>
        </w:rPr>
        <w:t xml:space="preserve">à </w:t>
      </w:r>
      <w:r>
        <w:rPr>
          <w:rFonts w:ascii="Book Antiqua"/>
          <w:sz w:val="22"/>
          <w:szCs w:val="22"/>
          <w:rtl w:val="0"/>
          <w:lang w:val="it-IT"/>
        </w:rPr>
        <w:t>in argomento:</w:t>
      </w:r>
    </w:p>
    <w:p>
      <w:pPr>
        <w:pStyle w:val="Normal"/>
        <w:ind w:left="567" w:right="567" w:firstLine="0"/>
        <w:jc w:val="both"/>
        <w:rPr>
          <w:rFonts w:ascii="Book Antiqua" w:cs="Book Antiqua" w:hAnsi="Book Antiqua" w:eastAsia="Book Antiqua"/>
          <w:sz w:val="22"/>
          <w:szCs w:val="22"/>
        </w:rPr>
      </w:pPr>
      <w:r>
        <w:rPr>
          <w:rFonts w:ascii="Book Antiqua"/>
          <w:sz w:val="22"/>
          <w:szCs w:val="22"/>
          <w:rtl w:val="0"/>
          <w:lang w:val="it-IT"/>
        </w:rPr>
        <w:t xml:space="preserve">a. </w:t>
      </w:r>
      <w:r>
        <w:rPr>
          <w:rFonts w:hAnsi="Book Antiqua" w:hint="default"/>
          <w:sz w:val="22"/>
          <w:szCs w:val="22"/>
          <w:rtl w:val="0"/>
          <w:lang w:val="it-IT"/>
        </w:rPr>
        <w:t xml:space="preserve">è </w:t>
      </w:r>
      <w:r>
        <w:rPr>
          <w:rFonts w:ascii="Book Antiqua"/>
          <w:sz w:val="22"/>
          <w:szCs w:val="22"/>
          <w:rtl w:val="0"/>
          <w:lang w:val="it-IT"/>
        </w:rPr>
        <w:t>proprietaria dell'impianto di rifiuti speciali pericolosi e non sito in Pomezia, via Pontina Vecchia - km 33 + 381, dalla stessa gestito fino al 2014;</w:t>
      </w:r>
    </w:p>
    <w:p>
      <w:pPr>
        <w:pStyle w:val="Normal"/>
        <w:ind w:left="567" w:right="567" w:firstLine="0"/>
        <w:jc w:val="both"/>
        <w:rPr>
          <w:rFonts w:ascii="Book Antiqua" w:cs="Book Antiqua" w:hAnsi="Book Antiqua" w:eastAsia="Book Antiqua"/>
          <w:sz w:val="22"/>
          <w:szCs w:val="22"/>
        </w:rPr>
      </w:pPr>
      <w:r>
        <w:rPr>
          <w:rFonts w:ascii="Book Antiqua"/>
          <w:sz w:val="22"/>
          <w:szCs w:val="22"/>
          <w:rtl w:val="0"/>
          <w:lang w:val="it-IT"/>
        </w:rPr>
        <w:t xml:space="preserve">b. in ragione della gestione di detto impianto, </w:t>
      </w:r>
      <w:r>
        <w:rPr>
          <w:rFonts w:hAnsi="Book Antiqua" w:hint="default"/>
          <w:sz w:val="22"/>
          <w:szCs w:val="22"/>
          <w:rtl w:val="0"/>
          <w:lang w:val="it-IT"/>
        </w:rPr>
        <w:t xml:space="preserve">è </w:t>
      </w:r>
      <w:r>
        <w:rPr>
          <w:rFonts w:ascii="Book Antiqua"/>
          <w:sz w:val="22"/>
          <w:szCs w:val="22"/>
          <w:rtl w:val="0"/>
          <w:lang w:val="it-IT"/>
        </w:rPr>
        <w:t>stata titolare dell'autorizzazione all'esercizio rilasciata dalla regione Lazio con determinazione B2232 del 21/04/2010, a firma del Direttore del Dipartimento del Territorio pro tempore, dott. Raniero De Filippis;</w:t>
      </w:r>
    </w:p>
    <w:p>
      <w:pPr>
        <w:pStyle w:val="Normal"/>
        <w:ind w:left="567" w:right="567" w:firstLine="0"/>
        <w:jc w:val="both"/>
        <w:rPr>
          <w:rFonts w:ascii="Book Antiqua" w:cs="Book Antiqua" w:hAnsi="Book Antiqua" w:eastAsia="Book Antiqua"/>
          <w:sz w:val="22"/>
          <w:szCs w:val="22"/>
        </w:rPr>
      </w:pPr>
      <w:r>
        <w:rPr>
          <w:rFonts w:ascii="Book Antiqua"/>
          <w:sz w:val="22"/>
          <w:szCs w:val="22"/>
          <w:rtl w:val="0"/>
          <w:lang w:val="it-IT"/>
        </w:rPr>
        <w:t>c. in data 17/02/2014, con atto del notaio De Angelis di Roma (repertorio 3857/1649 registrato al n. 4145, serie 1T del 18/02/2014) ha ceduto in locazione il ramo d'azienda, compreso l'impianto di rifiuti speciali pericolosi e non sito in Pomezia, alla "ECO SERVIZI PER L'AMBIENTE S.r.l." (vedi infra);</w:t>
      </w:r>
    </w:p>
    <w:p>
      <w:pPr>
        <w:pStyle w:val="Normal"/>
        <w:ind w:left="567" w:right="567" w:firstLine="0"/>
        <w:jc w:val="both"/>
        <w:rPr>
          <w:rFonts w:ascii="Book Antiqua" w:cs="Book Antiqua" w:hAnsi="Book Antiqua" w:eastAsia="Book Antiqua"/>
          <w:sz w:val="22"/>
          <w:szCs w:val="22"/>
        </w:rPr>
      </w:pPr>
      <w:r>
        <w:rPr>
          <w:rFonts w:ascii="Book Antiqua"/>
          <w:sz w:val="22"/>
          <w:szCs w:val="22"/>
          <w:rtl w:val="0"/>
          <w:lang w:val="it-IT"/>
        </w:rPr>
        <w:t>d. ha subito una serie di interventi/accertamenti da parte della Guardia di finanza. In particolare:</w:t>
      </w:r>
    </w:p>
    <w:p>
      <w:pPr>
        <w:pStyle w:val="Normal"/>
        <w:ind w:left="567" w:right="567" w:firstLine="0"/>
        <w:jc w:val="both"/>
        <w:rPr>
          <w:rFonts w:ascii="Book Antiqua" w:cs="Book Antiqua" w:hAnsi="Book Antiqua" w:eastAsia="Book Antiqua"/>
          <w:sz w:val="22"/>
          <w:szCs w:val="22"/>
        </w:rPr>
      </w:pPr>
      <w:r>
        <w:rPr>
          <w:rFonts w:ascii="Book Antiqua"/>
          <w:sz w:val="22"/>
          <w:szCs w:val="22"/>
          <w:rtl w:val="0"/>
          <w:lang w:val="it-IT"/>
        </w:rPr>
        <w:t>(1) negli anni 2004 e 2005, il II Gruppo di Napoli, in 2 distinte operazioni di servizio, ha sequestrato, negli spazi doganali del porto campano, complessivamente 22 container contenti quasi 5.000 tonnellate di rifiuti speciali (ritagli, cascami e avanzi di materie plastiche), denunciando GUGLIELMINO Marcello, nella sua qualit</w:t>
      </w:r>
      <w:r>
        <w:rPr>
          <w:rFonts w:hAnsi="Book Antiqua" w:hint="default"/>
          <w:sz w:val="22"/>
          <w:szCs w:val="22"/>
          <w:rtl w:val="0"/>
          <w:lang w:val="it-IT"/>
        </w:rPr>
        <w:t xml:space="preserve">à </w:t>
      </w:r>
      <w:r>
        <w:rPr>
          <w:rFonts w:ascii="Book Antiqua"/>
          <w:sz w:val="22"/>
          <w:szCs w:val="22"/>
          <w:rtl w:val="0"/>
          <w:lang w:val="it-IT"/>
        </w:rPr>
        <w:t>di amministratore della societ</w:t>
      </w:r>
      <w:r>
        <w:rPr>
          <w:rFonts w:hAnsi="Book Antiqua" w:hint="default"/>
          <w:sz w:val="22"/>
          <w:szCs w:val="22"/>
          <w:rtl w:val="0"/>
          <w:lang w:val="it-IT"/>
        </w:rPr>
        <w:t>à</w:t>
      </w:r>
      <w:r>
        <w:rPr>
          <w:rFonts w:ascii="Book Antiqua"/>
          <w:sz w:val="22"/>
          <w:szCs w:val="22"/>
          <w:rtl w:val="0"/>
          <w:lang w:val="it-IT"/>
        </w:rPr>
        <w:t>, per traffico illecito di rifiuti (violazione all'articolo 53 decreto legislativo n. 22 del 1997);</w:t>
      </w:r>
    </w:p>
    <w:p>
      <w:pPr>
        <w:pStyle w:val="Normal"/>
        <w:ind w:left="567" w:right="567" w:firstLine="0"/>
        <w:jc w:val="both"/>
        <w:rPr>
          <w:rFonts w:ascii="Book Antiqua" w:cs="Book Antiqua" w:hAnsi="Book Antiqua" w:eastAsia="Book Antiqua"/>
          <w:sz w:val="22"/>
          <w:szCs w:val="22"/>
        </w:rPr>
      </w:pPr>
      <w:r>
        <w:rPr>
          <w:rFonts w:ascii="Book Antiqua"/>
          <w:sz w:val="22"/>
          <w:szCs w:val="22"/>
          <w:rtl w:val="0"/>
          <w:lang w:val="it-IT"/>
        </w:rPr>
        <w:t>(2) nel 2011, la Compagnia di Pomezia ha denunciato GUGLIELMINO Marcello, nella sua qualit</w:t>
      </w:r>
      <w:r>
        <w:rPr>
          <w:rFonts w:hAnsi="Book Antiqua" w:hint="default"/>
          <w:sz w:val="22"/>
          <w:szCs w:val="22"/>
          <w:rtl w:val="0"/>
          <w:lang w:val="it-IT"/>
        </w:rPr>
        <w:t xml:space="preserve">à </w:t>
      </w:r>
      <w:r>
        <w:rPr>
          <w:rFonts w:ascii="Book Antiqua"/>
          <w:sz w:val="22"/>
          <w:szCs w:val="22"/>
          <w:rtl w:val="0"/>
          <w:lang w:val="it-IT"/>
        </w:rPr>
        <w:t>di amministratore della societ</w:t>
      </w:r>
      <w:r>
        <w:rPr>
          <w:rFonts w:hAnsi="Book Antiqua" w:hint="default"/>
          <w:sz w:val="22"/>
          <w:szCs w:val="22"/>
          <w:rtl w:val="0"/>
          <w:lang w:val="it-IT"/>
        </w:rPr>
        <w:t>à</w:t>
      </w:r>
      <w:r>
        <w:rPr>
          <w:rFonts w:ascii="Book Antiqua"/>
          <w:sz w:val="22"/>
          <w:szCs w:val="22"/>
          <w:rtl w:val="0"/>
          <w:lang w:val="it-IT"/>
        </w:rPr>
        <w:t>, per utilizzo di fatture per operazioni inesistenti e indebita deduzione di elementi negativi di reddito (violazione agli articoli 2 e 4 del decreto legislativo 74/2000);</w:t>
      </w:r>
    </w:p>
    <w:p>
      <w:pPr>
        <w:pStyle w:val="Normal"/>
        <w:ind w:left="567" w:right="567" w:firstLine="0"/>
        <w:jc w:val="both"/>
        <w:rPr>
          <w:rFonts w:ascii="Book Antiqua" w:cs="Book Antiqua" w:hAnsi="Book Antiqua" w:eastAsia="Book Antiqua"/>
          <w:sz w:val="22"/>
          <w:szCs w:val="22"/>
        </w:rPr>
      </w:pPr>
      <w:r>
        <w:rPr>
          <w:rFonts w:ascii="Book Antiqua"/>
          <w:sz w:val="22"/>
          <w:szCs w:val="22"/>
          <w:rtl w:val="0"/>
          <w:lang w:val="it-IT"/>
        </w:rPr>
        <w:t>(3) nel 2013, la Compagnia di Pomezia ha denunciato SODDU Fabio Antonio, nella sua qualit</w:t>
      </w:r>
      <w:r>
        <w:rPr>
          <w:rFonts w:hAnsi="Book Antiqua" w:hint="default"/>
          <w:sz w:val="22"/>
          <w:szCs w:val="22"/>
          <w:rtl w:val="0"/>
          <w:lang w:val="it-IT"/>
        </w:rPr>
        <w:t xml:space="preserve">à </w:t>
      </w:r>
      <w:r>
        <w:rPr>
          <w:rFonts w:ascii="Book Antiqua"/>
          <w:sz w:val="22"/>
          <w:szCs w:val="22"/>
          <w:rtl w:val="0"/>
          <w:lang w:val="it-IT"/>
        </w:rPr>
        <w:t>di amministratore della societ</w:t>
      </w:r>
      <w:r>
        <w:rPr>
          <w:rFonts w:hAnsi="Book Antiqua" w:hint="default"/>
          <w:sz w:val="22"/>
          <w:szCs w:val="22"/>
          <w:rtl w:val="0"/>
          <w:lang w:val="it-IT"/>
        </w:rPr>
        <w:t>à</w:t>
      </w:r>
      <w:r>
        <w:rPr>
          <w:rFonts w:ascii="Book Antiqua"/>
          <w:sz w:val="22"/>
          <w:szCs w:val="22"/>
          <w:rtl w:val="0"/>
          <w:lang w:val="it-IT"/>
        </w:rPr>
        <w:t>, per omessa presentazione della dichiarazione dei redditi relativa all'anno 2010 (violazione all'articolo 5 del decreto legislativo 74/2000) e GUGLIELMINO Salvatore (vedi infra), nella sua qualit</w:t>
      </w:r>
      <w:r>
        <w:rPr>
          <w:rFonts w:hAnsi="Book Antiqua" w:hint="default"/>
          <w:sz w:val="22"/>
          <w:szCs w:val="22"/>
          <w:rtl w:val="0"/>
          <w:lang w:val="it-IT"/>
        </w:rPr>
        <w:t xml:space="preserve">à </w:t>
      </w:r>
      <w:r>
        <w:rPr>
          <w:rFonts w:ascii="Book Antiqua"/>
          <w:sz w:val="22"/>
          <w:szCs w:val="22"/>
          <w:rtl w:val="0"/>
          <w:lang w:val="it-IT"/>
        </w:rPr>
        <w:t>di amministratore di fatto della societ</w:t>
      </w:r>
      <w:r>
        <w:rPr>
          <w:rFonts w:hAnsi="Book Antiqua" w:hint="default"/>
          <w:sz w:val="22"/>
          <w:szCs w:val="22"/>
          <w:rtl w:val="0"/>
          <w:lang w:val="it-IT"/>
        </w:rPr>
        <w:t>à</w:t>
      </w:r>
      <w:r>
        <w:rPr>
          <w:rFonts w:ascii="Book Antiqua"/>
          <w:sz w:val="22"/>
          <w:szCs w:val="22"/>
          <w:rtl w:val="0"/>
          <w:lang w:val="it-IT"/>
        </w:rPr>
        <w:t>, per omessa presentazione della dichiarazione dei redditi relativa all'anno 2010 e per presentazione di dichiarazione infedele per gli anni 2009, 2008, 2007 e 2006 (violazione agli articoli 4 e 5 del decreto legislativo 74/2000).</w:t>
      </w:r>
    </w:p>
    <w:p>
      <w:pPr>
        <w:pStyle w:val="Normal"/>
        <w:ind w:left="567" w:right="567" w:firstLine="0"/>
        <w:jc w:val="both"/>
        <w:rPr>
          <w:rFonts w:ascii="Book Antiqua" w:cs="Book Antiqua" w:hAnsi="Book Antiqua" w:eastAsia="Book Antiqua"/>
          <w:sz w:val="22"/>
          <w:szCs w:val="22"/>
        </w:rPr>
      </w:pPr>
      <w:r>
        <w:rPr>
          <w:rFonts w:ascii="Book Antiqua"/>
          <w:sz w:val="22"/>
          <w:szCs w:val="22"/>
          <w:rtl w:val="0"/>
          <w:lang w:val="it-IT"/>
        </w:rPr>
        <w:t>2. La "ECO SERVIZI PER L'AMBIENTE S.r.l.", gerente dell'impianto in parola, costituita in data 20/01/2014 ed iscritta alla C.C.I.A.A. in data 27/01/2014, con sede in Pomezia (RM), via Pontina Vecchia - km 33 + 381 (C.F. 12700011005), esercente l'attivit</w:t>
      </w:r>
      <w:r>
        <w:rPr>
          <w:rFonts w:hAnsi="Book Antiqua" w:hint="default"/>
          <w:sz w:val="22"/>
          <w:szCs w:val="22"/>
          <w:rtl w:val="0"/>
          <w:lang w:val="it-IT"/>
        </w:rPr>
        <w:t xml:space="preserve">à </w:t>
      </w:r>
      <w:r>
        <w:rPr>
          <w:rFonts w:ascii="Book Antiqua"/>
          <w:sz w:val="22"/>
          <w:szCs w:val="22"/>
          <w:rtl w:val="0"/>
          <w:lang w:val="it-IT"/>
        </w:rPr>
        <w:t>di spazzatura, raccolta, trattamento, recupero e trasformazione di rifiuti, ha un capitale sociale di euro 40.000, le cui quote sono detenute interamente da tale BUONGIOVANNI Antonio.</w:t>
      </w:r>
    </w:p>
    <w:p>
      <w:pPr>
        <w:pStyle w:val="Normal"/>
        <w:ind w:left="567" w:right="567" w:firstLine="0"/>
        <w:jc w:val="both"/>
        <w:rPr>
          <w:rFonts w:ascii="Book Antiqua" w:cs="Book Antiqua" w:hAnsi="Book Antiqua" w:eastAsia="Book Antiqua"/>
          <w:sz w:val="22"/>
          <w:szCs w:val="22"/>
        </w:rPr>
      </w:pPr>
      <w:r>
        <w:rPr>
          <w:rFonts w:ascii="Book Antiqua"/>
          <w:sz w:val="22"/>
          <w:szCs w:val="22"/>
          <w:rtl w:val="0"/>
          <w:lang w:val="it-IT"/>
        </w:rPr>
        <w:t>[</w:t>
      </w:r>
      <w:r>
        <w:rPr>
          <w:rFonts w:hAnsi="Book Antiqua" w:hint="default"/>
          <w:sz w:val="22"/>
          <w:szCs w:val="22"/>
          <w:rtl w:val="0"/>
          <w:lang w:val="it-IT"/>
        </w:rPr>
        <w:t>…</w:t>
      </w:r>
      <w:r>
        <w:rPr>
          <w:rFonts w:ascii="Book Antiqua"/>
          <w:sz w:val="22"/>
          <w:szCs w:val="22"/>
          <w:rtl w:val="0"/>
          <w:lang w:val="it-IT"/>
        </w:rPr>
        <w:t>]</w:t>
      </w:r>
    </w:p>
    <w:p>
      <w:pPr>
        <w:pStyle w:val="Normal"/>
        <w:ind w:left="567" w:right="567" w:firstLine="0"/>
        <w:jc w:val="both"/>
        <w:rPr>
          <w:rFonts w:ascii="Book Antiqua" w:cs="Book Antiqua" w:hAnsi="Book Antiqua" w:eastAsia="Book Antiqua"/>
          <w:sz w:val="22"/>
          <w:szCs w:val="22"/>
        </w:rPr>
      </w:pPr>
      <w:r>
        <w:rPr>
          <w:rFonts w:ascii="Book Antiqua"/>
          <w:sz w:val="22"/>
          <w:szCs w:val="22"/>
          <w:rtl w:val="0"/>
          <w:lang w:val="it-IT"/>
        </w:rPr>
        <w:t>Le quote societarie dell'impresa in argomento sono giunte al predetto BUONGIOVANNI attraverso due atti di compravendita, in virt</w:t>
      </w:r>
      <w:r>
        <w:rPr>
          <w:rFonts w:hAnsi="Book Antiqua" w:hint="default"/>
          <w:sz w:val="22"/>
          <w:szCs w:val="22"/>
          <w:rtl w:val="0"/>
          <w:lang w:val="it-IT"/>
        </w:rPr>
        <w:t xml:space="preserve">ù </w:t>
      </w:r>
      <w:r>
        <w:rPr>
          <w:rFonts w:ascii="Book Antiqua"/>
          <w:sz w:val="22"/>
          <w:szCs w:val="22"/>
          <w:rtl w:val="0"/>
          <w:lang w:val="it-IT"/>
        </w:rPr>
        <w:t>dei quali quest'ultimo:</w:t>
      </w:r>
    </w:p>
    <w:p>
      <w:pPr>
        <w:pStyle w:val="Normal"/>
        <w:ind w:left="567" w:right="567" w:firstLine="0"/>
        <w:jc w:val="both"/>
        <w:rPr>
          <w:rFonts w:ascii="Book Antiqua" w:cs="Book Antiqua" w:hAnsi="Book Antiqua" w:eastAsia="Book Antiqua"/>
          <w:sz w:val="22"/>
          <w:szCs w:val="22"/>
        </w:rPr>
      </w:pPr>
      <w:r>
        <w:rPr>
          <w:rFonts w:ascii="Book Antiqua"/>
          <w:sz w:val="22"/>
          <w:szCs w:val="22"/>
          <w:rtl w:val="0"/>
          <w:lang w:val="it-IT"/>
        </w:rPr>
        <w:t>- in data 05/03/2015, ha acquistato quote sociali da tale ROMANO Vincenzo, per un valore di euro 20.000, e da tale CAMPION Pamela, per un valore di euro 8.000;</w:t>
      </w:r>
    </w:p>
    <w:p>
      <w:pPr>
        <w:pStyle w:val="Normal"/>
        <w:ind w:left="567" w:right="567" w:firstLine="0"/>
        <w:jc w:val="both"/>
        <w:rPr>
          <w:rFonts w:ascii="Book Antiqua" w:cs="Book Antiqua" w:hAnsi="Book Antiqua" w:eastAsia="Book Antiqua"/>
          <w:sz w:val="22"/>
          <w:szCs w:val="22"/>
        </w:rPr>
      </w:pPr>
      <w:r>
        <w:rPr>
          <w:rFonts w:ascii="Book Antiqua"/>
          <w:sz w:val="22"/>
          <w:szCs w:val="22"/>
          <w:rtl w:val="0"/>
          <w:lang w:val="it-IT"/>
        </w:rPr>
        <w:t>- in data 14/05/2005, ha acquistato quote sociali da tale PALMIERI Mario Maurizio, per un valore di euro 12.000.</w:t>
      </w:r>
    </w:p>
    <w:p>
      <w:pPr>
        <w:pStyle w:val="Normal"/>
        <w:ind w:left="567" w:right="567" w:firstLine="0"/>
        <w:jc w:val="both"/>
        <w:rPr>
          <w:rFonts w:ascii="Book Antiqua" w:cs="Book Antiqua" w:hAnsi="Book Antiqua" w:eastAsia="Book Antiqua"/>
          <w:sz w:val="22"/>
          <w:szCs w:val="22"/>
        </w:rPr>
      </w:pPr>
      <w:r>
        <w:rPr>
          <w:rFonts w:ascii="Book Antiqua"/>
          <w:sz w:val="22"/>
          <w:szCs w:val="22"/>
          <w:rtl w:val="0"/>
          <w:lang w:val="it-IT"/>
        </w:rPr>
        <w:t>L'Amministrazione della societ</w:t>
      </w:r>
      <w:r>
        <w:rPr>
          <w:rFonts w:hAnsi="Book Antiqua" w:hint="default"/>
          <w:sz w:val="22"/>
          <w:szCs w:val="22"/>
          <w:rtl w:val="0"/>
          <w:lang w:val="it-IT"/>
        </w:rPr>
        <w:t xml:space="preserve">à è </w:t>
      </w:r>
      <w:r>
        <w:rPr>
          <w:rFonts w:ascii="Book Antiqua"/>
          <w:sz w:val="22"/>
          <w:szCs w:val="22"/>
          <w:rtl w:val="0"/>
          <w:lang w:val="it-IT"/>
        </w:rPr>
        <w:t>affidata a:</w:t>
      </w:r>
    </w:p>
    <w:p>
      <w:pPr>
        <w:pStyle w:val="Normal"/>
        <w:ind w:left="567" w:right="567" w:firstLine="0"/>
        <w:jc w:val="both"/>
        <w:rPr>
          <w:rFonts w:ascii="Book Antiqua" w:cs="Book Antiqua" w:hAnsi="Book Antiqua" w:eastAsia="Book Antiqua"/>
          <w:sz w:val="22"/>
          <w:szCs w:val="22"/>
        </w:rPr>
      </w:pPr>
      <w:r>
        <w:rPr>
          <w:rFonts w:ascii="Book Antiqua"/>
          <w:sz w:val="22"/>
          <w:szCs w:val="22"/>
          <w:rtl w:val="0"/>
          <w:lang w:val="it-IT"/>
        </w:rPr>
        <w:t>- BUONGIOVANNI Antonio, s.m.g., amministratore unico;</w:t>
      </w:r>
    </w:p>
    <w:p>
      <w:pPr>
        <w:pStyle w:val="Normal"/>
        <w:ind w:left="567" w:right="567" w:firstLine="0"/>
        <w:jc w:val="both"/>
        <w:rPr>
          <w:rFonts w:ascii="Book Antiqua" w:cs="Book Antiqua" w:hAnsi="Book Antiqua" w:eastAsia="Book Antiqua"/>
          <w:sz w:val="22"/>
          <w:szCs w:val="22"/>
        </w:rPr>
      </w:pPr>
      <w:r>
        <w:rPr>
          <w:rFonts w:ascii="Book Antiqua"/>
          <w:sz w:val="22"/>
          <w:szCs w:val="22"/>
          <w:rtl w:val="0"/>
          <w:lang w:val="it-IT"/>
        </w:rPr>
        <w:t>- GUGLIELMINO Salvatore (vedi sopra), procuratore speciale.</w:t>
      </w:r>
    </w:p>
    <w:p>
      <w:pPr>
        <w:pStyle w:val="Normal"/>
        <w:ind w:left="567" w:right="567" w:firstLine="0"/>
        <w:jc w:val="both"/>
        <w:rPr>
          <w:rFonts w:ascii="Book Antiqua" w:cs="Book Antiqua" w:hAnsi="Book Antiqua" w:eastAsia="Book Antiqua"/>
          <w:sz w:val="22"/>
          <w:szCs w:val="22"/>
        </w:rPr>
      </w:pPr>
      <w:r>
        <w:rPr>
          <w:rFonts w:ascii="Book Antiqua"/>
          <w:sz w:val="22"/>
          <w:szCs w:val="22"/>
          <w:rtl w:val="0"/>
          <w:lang w:val="it-IT"/>
        </w:rPr>
        <w:t>Per completezza si segnala che la societ</w:t>
      </w:r>
      <w:r>
        <w:rPr>
          <w:rFonts w:hAnsi="Book Antiqua" w:hint="default"/>
          <w:sz w:val="22"/>
          <w:szCs w:val="22"/>
          <w:rtl w:val="0"/>
          <w:lang w:val="it-IT"/>
        </w:rPr>
        <w:t xml:space="preserve">à </w:t>
      </w:r>
      <w:r>
        <w:rPr>
          <w:rFonts w:ascii="Book Antiqua"/>
          <w:sz w:val="22"/>
          <w:szCs w:val="22"/>
          <w:rtl w:val="0"/>
          <w:lang w:val="it-IT"/>
        </w:rPr>
        <w:t>in argomento:</w:t>
      </w:r>
    </w:p>
    <w:p>
      <w:pPr>
        <w:pStyle w:val="Normal"/>
        <w:ind w:left="567" w:right="567" w:firstLine="0"/>
        <w:jc w:val="both"/>
        <w:rPr>
          <w:rFonts w:ascii="Book Antiqua" w:cs="Book Antiqua" w:hAnsi="Book Antiqua" w:eastAsia="Book Antiqua"/>
          <w:sz w:val="22"/>
          <w:szCs w:val="22"/>
        </w:rPr>
      </w:pPr>
      <w:r>
        <w:rPr>
          <w:rFonts w:ascii="Book Antiqua"/>
          <w:sz w:val="22"/>
          <w:szCs w:val="22"/>
          <w:rtl w:val="0"/>
          <w:lang w:val="it-IT"/>
        </w:rPr>
        <w:t>a) in data 17/02/2014, con atto del notaio De Angelis di Roma (repertorio 3857/1649 registrato al n. 4145, serie 1T del 18/02/2014) ha preso in locazione dalla "ECO X S.r.l." (vedi sopra) il ramo d'azienda, compreso l'impianto di rifiuti speciali pericolosi e non sito in Pomezia, via Pontina Vecchia - km 33 + 381;</w:t>
      </w:r>
    </w:p>
    <w:p>
      <w:pPr>
        <w:pStyle w:val="Normal"/>
        <w:ind w:left="567" w:right="567" w:firstLine="0"/>
        <w:jc w:val="both"/>
        <w:rPr>
          <w:rFonts w:ascii="Book Antiqua" w:cs="Book Antiqua" w:hAnsi="Book Antiqua" w:eastAsia="Book Antiqua"/>
          <w:sz w:val="22"/>
          <w:szCs w:val="22"/>
        </w:rPr>
      </w:pPr>
      <w:r>
        <w:rPr>
          <w:rFonts w:ascii="Book Antiqua"/>
          <w:sz w:val="22"/>
          <w:szCs w:val="22"/>
          <w:rtl w:val="0"/>
          <w:lang w:val="it-IT"/>
        </w:rPr>
        <w:t>b) in ragione dell'affitto di ramo d'azienda ed ai fini della gestione di detto impianto, ha richiesto ed ottenuto la voltura dell'autorizzazione all'esercizio giusta determinazione G14725 datata 17/10/2014 rilasciata dalla regione Lazio, a firma del Direttore del Dipartimento del Territorio pro tempore, arch. Manuela Manetti</w:t>
      </w:r>
      <w:r>
        <w:rPr>
          <w:rFonts w:hAnsi="Book Antiqua" w:hint="default"/>
          <w:sz w:val="22"/>
          <w:szCs w:val="22"/>
          <w:rtl w:val="0"/>
          <w:lang w:val="it-IT"/>
        </w:rPr>
        <w:t>”</w:t>
      </w:r>
      <w:r>
        <w:rPr>
          <w:rFonts w:ascii="Book Antiqua"/>
          <w:sz w:val="22"/>
          <w:szCs w:val="22"/>
          <w:rtl w:val="0"/>
          <w:lang w:val="it-IT"/>
        </w:rPr>
        <w:t>.</w:t>
      </w: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rPr>
      </w:pPr>
      <w:r>
        <w:rPr>
          <w:rFonts w:ascii="Book Antiqua"/>
          <w:rtl w:val="0"/>
          <w:lang w:val="it-IT"/>
        </w:rPr>
        <w:t>Le indagini della Commissione si sono indirizzate su diversi filoni che appare opportuno, per chiarezza, tenere distinti.</w:t>
      </w: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i w:val="1"/>
          <w:iCs w:val="1"/>
        </w:rPr>
      </w:pPr>
      <w:r>
        <w:rPr>
          <w:rFonts w:ascii="Book Antiqua"/>
          <w:i w:val="1"/>
          <w:iCs w:val="1"/>
          <w:rtl w:val="0"/>
          <w:lang w:val="it-IT"/>
        </w:rPr>
        <w:t>Le cause dirette dell</w:t>
      </w:r>
      <w:r>
        <w:rPr>
          <w:rFonts w:hAnsi="Book Antiqua" w:hint="default"/>
          <w:i w:val="1"/>
          <w:iCs w:val="1"/>
          <w:rtl w:val="0"/>
          <w:lang w:val="it-IT"/>
        </w:rPr>
        <w:t>’</w:t>
      </w:r>
      <w:r>
        <w:rPr>
          <w:rFonts w:ascii="Book Antiqua"/>
          <w:i w:val="1"/>
          <w:iCs w:val="1"/>
          <w:rtl w:val="0"/>
          <w:lang w:val="it-IT"/>
        </w:rPr>
        <w:t>incendio</w:t>
      </w:r>
    </w:p>
    <w:p>
      <w:pPr>
        <w:pStyle w:val="List Paragraph"/>
        <w:ind w:left="567" w:right="567" w:firstLine="0"/>
        <w:jc w:val="both"/>
        <w:rPr>
          <w:rFonts w:ascii="Book Antiqua" w:cs="Book Antiqua" w:hAnsi="Book Antiqua" w:eastAsia="Book Antiqua"/>
        </w:rPr>
      </w:pPr>
    </w:p>
    <w:p>
      <w:pPr>
        <w:pStyle w:val="List Paragraph"/>
        <w:ind w:left="567" w:right="567" w:firstLine="0"/>
        <w:jc w:val="both"/>
        <w:rPr>
          <w:rFonts w:ascii="Book Antiqua" w:cs="Book Antiqua" w:hAnsi="Book Antiqua" w:eastAsia="Book Antiqua"/>
        </w:rPr>
      </w:pPr>
      <w:r>
        <w:rPr>
          <w:rFonts w:ascii="Book Antiqua"/>
          <w:rtl w:val="0"/>
          <w:lang w:val="it-IT"/>
        </w:rPr>
        <w:t xml:space="preserve">Nella sua audizione del 24 maggio 2017, il procuratore della Repubblica di Velletri ha evidenziato di avere in corso indagini per tre ipotesi di reato: </w:t>
      </w:r>
      <w:r>
        <w:rPr>
          <w:rFonts w:hAnsi="Book Antiqua" w:hint="default"/>
          <w:rtl w:val="0"/>
          <w:lang w:val="it-IT"/>
        </w:rPr>
        <w:t>“</w:t>
      </w:r>
      <w:r>
        <w:rPr>
          <w:rFonts w:ascii="Book Antiqua"/>
          <w:rtl w:val="0"/>
          <w:lang w:val="it-IT"/>
        </w:rPr>
        <w:t xml:space="preserve">la prima </w:t>
      </w:r>
      <w:r>
        <w:rPr>
          <w:rFonts w:hAnsi="Book Antiqua" w:hint="default"/>
          <w:rtl w:val="0"/>
          <w:lang w:val="it-IT"/>
        </w:rPr>
        <w:t xml:space="preserve">è </w:t>
      </w:r>
      <w:r>
        <w:rPr>
          <w:rFonts w:ascii="Book Antiqua"/>
          <w:rtl w:val="0"/>
          <w:lang w:val="it-IT"/>
        </w:rPr>
        <w:t xml:space="preserve">quella di incendio, che per il momento </w:t>
      </w:r>
      <w:r>
        <w:rPr>
          <w:rFonts w:hAnsi="Book Antiqua" w:hint="default"/>
          <w:rtl w:val="0"/>
          <w:lang w:val="it-IT"/>
        </w:rPr>
        <w:t xml:space="preserve">è </w:t>
      </w:r>
      <w:r>
        <w:rPr>
          <w:rFonts w:ascii="Book Antiqua"/>
          <w:rtl w:val="0"/>
          <w:lang w:val="it-IT"/>
        </w:rPr>
        <w:t xml:space="preserve">stato iscritto nella sua natura colposa; la seconda </w:t>
      </w:r>
      <w:r>
        <w:rPr>
          <w:rFonts w:hAnsi="Book Antiqua" w:hint="default"/>
          <w:rtl w:val="0"/>
          <w:lang w:val="it-IT"/>
        </w:rPr>
        <w:t xml:space="preserve">è </w:t>
      </w:r>
      <w:r>
        <w:rPr>
          <w:rFonts w:ascii="Book Antiqua"/>
          <w:rtl w:val="0"/>
          <w:lang w:val="it-IT"/>
        </w:rPr>
        <w:t xml:space="preserve">quella dell'inquinamento ambientale, che </w:t>
      </w:r>
      <w:r>
        <w:rPr>
          <w:rFonts w:hAnsi="Book Antiqua" w:hint="default"/>
          <w:rtl w:val="0"/>
          <w:lang w:val="it-IT"/>
        </w:rPr>
        <w:t xml:space="preserve">è </w:t>
      </w:r>
      <w:r>
        <w:rPr>
          <w:rFonts w:ascii="Book Antiqua"/>
          <w:rtl w:val="0"/>
          <w:lang w:val="it-IT"/>
        </w:rPr>
        <w:t xml:space="preserve">stata iscritta nella sua connotazione colposa; la terza </w:t>
      </w:r>
      <w:r>
        <w:rPr>
          <w:rFonts w:hAnsi="Book Antiqua" w:hint="default"/>
          <w:rtl w:val="0"/>
          <w:lang w:val="it-IT"/>
        </w:rPr>
        <w:t xml:space="preserve">è </w:t>
      </w:r>
      <w:r>
        <w:rPr>
          <w:rFonts w:ascii="Book Antiqua"/>
          <w:rtl w:val="0"/>
          <w:lang w:val="it-IT"/>
        </w:rPr>
        <w:t>un reato doloso, che noi abbiamo ritenuto di configurare nell'omissione di cautele idonee a prevenire disastri o infortuni sul lavoro</w:t>
      </w:r>
      <w:r>
        <w:rPr>
          <w:rFonts w:hAnsi="Book Antiqua" w:hint="default"/>
          <w:rtl w:val="0"/>
          <w:lang w:val="it-IT"/>
        </w:rPr>
        <w:t>”</w:t>
      </w:r>
      <w:r>
        <w:rPr>
          <w:rFonts w:ascii="Book Antiqua"/>
          <w:rtl w:val="0"/>
          <w:lang w:val="it-IT"/>
        </w:rPr>
        <w:t xml:space="preserve">. </w:t>
      </w:r>
    </w:p>
    <w:p>
      <w:pPr>
        <w:pStyle w:val="Normal"/>
        <w:ind w:left="567" w:right="567" w:firstLine="0"/>
        <w:jc w:val="both"/>
        <w:rPr>
          <w:rFonts w:ascii="Book Antiqua" w:cs="Book Antiqua" w:hAnsi="Book Antiqua" w:eastAsia="Book Antiqua"/>
        </w:rPr>
      </w:pPr>
      <w:r>
        <w:rPr>
          <w:rFonts w:ascii="Book Antiqua"/>
          <w:rtl w:val="0"/>
          <w:lang w:val="it-IT"/>
        </w:rPr>
        <w:t>Lo stesso procuratore, quanto alle cause dell</w:t>
      </w:r>
      <w:r>
        <w:rPr>
          <w:rFonts w:hAnsi="Book Antiqua" w:hint="default"/>
          <w:rtl w:val="0"/>
          <w:lang w:val="it-IT"/>
        </w:rPr>
        <w:t>’</w:t>
      </w:r>
      <w:r>
        <w:rPr>
          <w:rFonts w:ascii="Book Antiqua"/>
          <w:rtl w:val="0"/>
          <w:lang w:val="it-IT"/>
        </w:rPr>
        <w:t xml:space="preserve">incendio, ha precisato che esso si </w:t>
      </w:r>
      <w:r>
        <w:rPr>
          <w:rFonts w:hAnsi="Book Antiqua" w:hint="default"/>
          <w:rtl w:val="0"/>
          <w:lang w:val="it-IT"/>
        </w:rPr>
        <w:t xml:space="preserve">è </w:t>
      </w:r>
      <w:r>
        <w:rPr>
          <w:rFonts w:ascii="Book Antiqua"/>
          <w:rtl w:val="0"/>
          <w:lang w:val="it-IT"/>
        </w:rPr>
        <w:t>generato alle 8.05 del 5 maggio 2017, in una zona esterna del capannone, non coperta da telecamere e non interessata dal passaggio di fili elettrici, da un cumulo di macerie da cui, secondo le testimonianze degli operai,  c'</w:t>
      </w:r>
      <w:r>
        <w:rPr>
          <w:rFonts w:hAnsi="Book Antiqua" w:hint="default"/>
          <w:rtl w:val="0"/>
          <w:lang w:val="it-IT"/>
        </w:rPr>
        <w:t xml:space="preserve">è </w:t>
      </w:r>
      <w:r>
        <w:rPr>
          <w:rFonts w:ascii="Book Antiqua"/>
          <w:rtl w:val="0"/>
          <w:lang w:val="it-IT"/>
        </w:rPr>
        <w:t xml:space="preserve">stato l'innesco, evidenziando, comunque, di non escludere come possibile pista investigativa la matrice dolosa, anche se le prospettive di giungere a un accertamento positivo </w:t>
      </w:r>
      <w:r>
        <w:rPr>
          <w:rFonts w:hAnsi="Book Antiqua" w:hint="default"/>
          <w:rtl w:val="0"/>
          <w:lang w:val="it-IT"/>
        </w:rPr>
        <w:t>“</w:t>
      </w:r>
      <w:r>
        <w:rPr>
          <w:rFonts w:ascii="Book Antiqua"/>
          <w:rtl w:val="0"/>
          <w:lang w:val="it-IT"/>
        </w:rPr>
        <w:t>sulla genesi, sulle cause e sul punto di innesco dell'incendio paiono piuttosto remote, non fosse altro perch</w:t>
      </w:r>
      <w:r>
        <w:rPr>
          <w:rFonts w:hAnsi="Book Antiqua" w:hint="default"/>
          <w:rtl w:val="0"/>
          <w:lang w:val="it-IT"/>
        </w:rPr>
        <w:t xml:space="preserve">é è </w:t>
      </w:r>
      <w:r>
        <w:rPr>
          <w:rFonts w:ascii="Book Antiqua"/>
          <w:rtl w:val="0"/>
          <w:lang w:val="it-IT"/>
        </w:rPr>
        <w:t>andato tutto completamente a fuoco e probabilmente anche ci</w:t>
      </w:r>
      <w:r>
        <w:rPr>
          <w:rFonts w:hAnsi="Book Antiqua" w:hint="default"/>
          <w:rtl w:val="0"/>
          <w:lang w:val="it-IT"/>
        </w:rPr>
        <w:t xml:space="preserve">ò </w:t>
      </w:r>
      <w:r>
        <w:rPr>
          <w:rFonts w:ascii="Book Antiqua"/>
          <w:rtl w:val="0"/>
          <w:lang w:val="it-IT"/>
        </w:rPr>
        <w:t>che ha costituito lo stesso fattore di innesco[</w:t>
      </w:r>
      <w:r>
        <w:rPr>
          <w:rFonts w:hAnsi="Book Antiqua" w:hint="default"/>
          <w:rtl w:val="0"/>
          <w:lang w:val="it-IT"/>
        </w:rPr>
        <w:t>…</w:t>
      </w:r>
      <w:r>
        <w:rPr>
          <w:rFonts w:ascii="Book Antiqua"/>
          <w:rtl w:val="0"/>
          <w:lang w:val="it-IT"/>
        </w:rPr>
        <w:t>] I rifiuti erano in gran parte costituiti da materie plastiche e da altro materiale di scarto di facile combustione. D'altra parte, il repentino propagarsi delle fiamme testimonia esattamente il fatto che la natura del materiale ha favorito la propagazione dell'incendio</w:t>
      </w:r>
      <w:r>
        <w:rPr>
          <w:rFonts w:hAnsi="Book Antiqua" w:hint="default"/>
          <w:rtl w:val="0"/>
          <w:lang w:val="it-IT"/>
        </w:rPr>
        <w:t>”</w:t>
      </w:r>
      <w:r>
        <w:rPr>
          <w:rFonts w:ascii="Book Antiqua"/>
          <w:rtl w:val="0"/>
          <w:lang w:val="it-IT"/>
        </w:rPr>
        <w:t xml:space="preserve">. </w:t>
      </w:r>
    </w:p>
    <w:p>
      <w:pPr>
        <w:pStyle w:val="Normal"/>
        <w:ind w:left="567" w:right="567" w:firstLine="0"/>
        <w:jc w:val="both"/>
        <w:rPr>
          <w:rFonts w:ascii="Book Antiqua" w:cs="Book Antiqua" w:hAnsi="Book Antiqua" w:eastAsia="Book Antiqua"/>
        </w:rPr>
      </w:pPr>
      <w:r>
        <w:rPr>
          <w:rFonts w:ascii="Book Antiqua"/>
          <w:rtl w:val="0"/>
          <w:lang w:val="it-IT"/>
        </w:rPr>
        <w:t>A questo proposito, sembra rilevante riportare anche l</w:t>
      </w:r>
      <w:r>
        <w:rPr>
          <w:rFonts w:hAnsi="Book Antiqua" w:hint="default"/>
          <w:rtl w:val="0"/>
          <w:lang w:val="it-IT"/>
        </w:rPr>
        <w:t>’</w:t>
      </w:r>
      <w:r>
        <w:rPr>
          <w:rFonts w:ascii="Book Antiqua"/>
          <w:rtl w:val="0"/>
          <w:lang w:val="it-IT"/>
        </w:rPr>
        <w:t>affermazione secondo cui presso la societ</w:t>
      </w:r>
      <w:r>
        <w:rPr>
          <w:rFonts w:hAnsi="Book Antiqua" w:hint="default"/>
          <w:rtl w:val="0"/>
          <w:lang w:val="it-IT"/>
        </w:rPr>
        <w:t xml:space="preserve">à </w:t>
      </w:r>
      <w:r>
        <w:rPr>
          <w:rFonts w:ascii="Book Antiqua"/>
          <w:rtl w:val="0"/>
          <w:lang w:val="it-IT"/>
        </w:rPr>
        <w:t xml:space="preserve">Eco X </w:t>
      </w:r>
      <w:r>
        <w:rPr>
          <w:rFonts w:hAnsi="Book Antiqua" w:hint="default"/>
          <w:rtl w:val="0"/>
          <w:lang w:val="it-IT"/>
        </w:rPr>
        <w:t>“</w:t>
      </w:r>
      <w:r>
        <w:rPr>
          <w:rFonts w:ascii="Book Antiqua"/>
          <w:rtl w:val="0"/>
          <w:lang w:val="it-IT"/>
        </w:rPr>
        <w:t xml:space="preserve">vi era un sistema di accatastamento dei rifiuti oserei dire </w:t>
      </w:r>
      <w:r>
        <w:rPr>
          <w:rFonts w:hAnsi="Book Antiqua" w:hint="default"/>
          <w:rtl w:val="0"/>
          <w:lang w:val="it-IT"/>
        </w:rPr>
        <w:t xml:space="preserve">– </w:t>
      </w:r>
      <w:r>
        <w:rPr>
          <w:rFonts w:ascii="Book Antiqua"/>
          <w:rtl w:val="0"/>
          <w:lang w:val="it-IT"/>
        </w:rPr>
        <w:t xml:space="preserve">preferisco parlare in termini prudenti </w:t>
      </w:r>
      <w:r>
        <w:rPr>
          <w:rFonts w:hAnsi="Book Antiqua" w:hint="default"/>
          <w:rtl w:val="0"/>
          <w:lang w:val="it-IT"/>
        </w:rPr>
        <w:t xml:space="preserve">– </w:t>
      </w:r>
      <w:r>
        <w:rPr>
          <w:rFonts w:ascii="Book Antiqua"/>
          <w:rtl w:val="0"/>
          <w:lang w:val="it-IT"/>
        </w:rPr>
        <w:t>non conforme all'autorizzazione, ma che in realt</w:t>
      </w:r>
      <w:r>
        <w:rPr>
          <w:rFonts w:hAnsi="Book Antiqua" w:hint="default"/>
          <w:rtl w:val="0"/>
          <w:lang w:val="it-IT"/>
        </w:rPr>
        <w:t xml:space="preserve">à </w:t>
      </w:r>
      <w:r>
        <w:rPr>
          <w:rFonts w:ascii="Book Antiqua"/>
          <w:rtl w:val="0"/>
          <w:lang w:val="it-IT"/>
        </w:rPr>
        <w:t>poteva e si pu</w:t>
      </w:r>
      <w:r>
        <w:rPr>
          <w:rFonts w:hAnsi="Book Antiqua" w:hint="default"/>
          <w:rtl w:val="0"/>
          <w:lang w:val="it-IT"/>
        </w:rPr>
        <w:t xml:space="preserve">ò </w:t>
      </w:r>
      <w:r>
        <w:rPr>
          <w:rFonts w:ascii="Book Antiqua"/>
          <w:rtl w:val="0"/>
          <w:lang w:val="it-IT"/>
        </w:rPr>
        <w:t>tuttora evincere e valutare dall'osservazione delle foto scattate da Google, quindi dal satellite. Le foto ci offrono la misura di come questi enormi cumuli di rifiuti fossero accantonati non solo all'interno dei capannoni, ma anche all'esterno degli stessi. Questo accumulo scriteriato di materiale di facile combustione ha facilitato la propagazione delle fiamme. Vorrei fornire un dato sull'aspetto ponderale dei rifiuti, ossia sulla quantit</w:t>
      </w:r>
      <w:r>
        <w:rPr>
          <w:rFonts w:hAnsi="Book Antiqua" w:hint="default"/>
          <w:rtl w:val="0"/>
          <w:lang w:val="it-IT"/>
        </w:rPr>
        <w:t>à</w:t>
      </w:r>
      <w:r>
        <w:rPr>
          <w:rFonts w:ascii="Book Antiqua"/>
          <w:rtl w:val="0"/>
          <w:lang w:val="it-IT"/>
        </w:rPr>
        <w:t>. La societ</w:t>
      </w:r>
      <w:r>
        <w:rPr>
          <w:rFonts w:hAnsi="Book Antiqua" w:hint="default"/>
          <w:rtl w:val="0"/>
          <w:lang w:val="it-IT"/>
        </w:rPr>
        <w:t xml:space="preserve">à </w:t>
      </w:r>
      <w:r>
        <w:rPr>
          <w:rFonts w:ascii="Book Antiqua"/>
          <w:rtl w:val="0"/>
          <w:lang w:val="it-IT"/>
        </w:rPr>
        <w:t>era autorizzata a uno stoccaggio istantaneo di 3.200 tonnellate. Dall'osservazione fatta dai competenti organi e dall'analisi del MUD fatto dai carabinieri, nonch</w:t>
      </w:r>
      <w:r>
        <w:rPr>
          <w:rFonts w:hAnsi="Book Antiqua" w:hint="default"/>
          <w:rtl w:val="0"/>
          <w:lang w:val="it-IT"/>
        </w:rPr>
        <w:t xml:space="preserve">é </w:t>
      </w:r>
      <w:r>
        <w:rPr>
          <w:rFonts w:ascii="Book Antiqua"/>
          <w:rtl w:val="0"/>
          <w:lang w:val="it-IT"/>
        </w:rPr>
        <w:t xml:space="preserve">dai registri di carico e scarico i carabinieri del NOE hanno potuto ricostruire che al 31 marzo 2017, a fronte delle 3.200 tonnellate che avrebbero dovuto costituire il limite massimo di stoccaggio istantaneo, ve n'erano 8.413. Naturalmente, questo ha determinato un aumento </w:t>
      </w:r>
      <w:r>
        <w:rPr>
          <w:rFonts w:hAnsi="Book Antiqua" w:hint="default"/>
          <w:rtl w:val="0"/>
          <w:lang w:val="it-IT"/>
        </w:rPr>
        <w:t xml:space="preserve">– </w:t>
      </w:r>
      <w:r>
        <w:rPr>
          <w:rFonts w:ascii="Book Antiqua"/>
          <w:rtl w:val="0"/>
          <w:lang w:val="it-IT"/>
        </w:rPr>
        <w:t xml:space="preserve">vorrei dire corposo, esponenziale </w:t>
      </w:r>
      <w:r>
        <w:rPr>
          <w:rFonts w:hAnsi="Book Antiqua" w:hint="default"/>
          <w:rtl w:val="0"/>
          <w:lang w:val="it-IT"/>
        </w:rPr>
        <w:t xml:space="preserve">– </w:t>
      </w:r>
      <w:r>
        <w:rPr>
          <w:rFonts w:ascii="Book Antiqua"/>
          <w:rtl w:val="0"/>
          <w:lang w:val="it-IT"/>
        </w:rPr>
        <w:t xml:space="preserve">del rischio di propagazione, che poi </w:t>
      </w:r>
      <w:r>
        <w:rPr>
          <w:rFonts w:hAnsi="Book Antiqua" w:hint="default"/>
          <w:rtl w:val="0"/>
          <w:lang w:val="it-IT"/>
        </w:rPr>
        <w:t xml:space="preserve">è </w:t>
      </w:r>
      <w:r>
        <w:rPr>
          <w:rFonts w:ascii="Book Antiqua"/>
          <w:rtl w:val="0"/>
          <w:lang w:val="it-IT"/>
        </w:rPr>
        <w:t>diventato evento.</w:t>
      </w:r>
      <w:r>
        <w:rPr>
          <w:rFonts w:hAnsi="Book Antiqua" w:hint="default"/>
          <w:rtl w:val="0"/>
          <w:lang w:val="it-IT"/>
        </w:rPr>
        <w:t xml:space="preserve">” </w:t>
      </w:r>
    </w:p>
    <w:p>
      <w:pPr>
        <w:pStyle w:val="Normal"/>
        <w:ind w:left="567" w:right="567" w:firstLine="0"/>
        <w:jc w:val="both"/>
        <w:rPr>
          <w:rFonts w:ascii="Book Antiqua" w:cs="Book Antiqua" w:hAnsi="Book Antiqua" w:eastAsia="Book Antiqua"/>
        </w:rPr>
      </w:pPr>
      <w:r>
        <w:rPr>
          <w:rFonts w:ascii="Book Antiqua"/>
          <w:rtl w:val="0"/>
          <w:lang w:val="it-IT"/>
        </w:rPr>
        <w:t>In sostanza, quindi, l</w:t>
      </w:r>
      <w:r>
        <w:rPr>
          <w:rFonts w:hAnsi="Book Antiqua" w:hint="default"/>
          <w:rtl w:val="0"/>
          <w:lang w:val="it-IT"/>
        </w:rPr>
        <w:t>’</w:t>
      </w:r>
      <w:r>
        <w:rPr>
          <w:rFonts w:ascii="Book Antiqua"/>
          <w:rtl w:val="0"/>
          <w:lang w:val="it-IT"/>
        </w:rPr>
        <w:t>innesco ed il propagarsi violento dell</w:t>
      </w:r>
      <w:r>
        <w:rPr>
          <w:rFonts w:hAnsi="Book Antiqua" w:hint="default"/>
          <w:rtl w:val="0"/>
          <w:lang w:val="it-IT"/>
        </w:rPr>
        <w:t>’</w:t>
      </w:r>
      <w:r>
        <w:rPr>
          <w:rFonts w:ascii="Book Antiqua"/>
          <w:rtl w:val="0"/>
          <w:lang w:val="it-IT"/>
        </w:rPr>
        <w:t xml:space="preserve">incendio </w:t>
      </w:r>
      <w:r>
        <w:rPr>
          <w:rFonts w:hAnsi="Book Antiqua" w:hint="default"/>
          <w:rtl w:val="0"/>
          <w:lang w:val="it-IT"/>
        </w:rPr>
        <w:t xml:space="preserve">è </w:t>
      </w:r>
      <w:r>
        <w:rPr>
          <w:rFonts w:ascii="Book Antiqua"/>
          <w:rtl w:val="0"/>
          <w:lang w:val="it-IT"/>
        </w:rPr>
        <w:t>attribuibile anche alla violazione delle prescrizioni autorizzative circa la quantit</w:t>
      </w:r>
      <w:r>
        <w:rPr>
          <w:rFonts w:hAnsi="Book Antiqua" w:hint="default"/>
          <w:rtl w:val="0"/>
          <w:lang w:val="it-IT"/>
        </w:rPr>
        <w:t xml:space="preserve">à </w:t>
      </w:r>
      <w:r>
        <w:rPr>
          <w:rFonts w:ascii="Book Antiqua"/>
          <w:rtl w:val="0"/>
          <w:lang w:val="it-IT"/>
        </w:rPr>
        <w:t xml:space="preserve">di rifiuti da stoccare, che </w:t>
      </w:r>
      <w:r>
        <w:rPr>
          <w:rFonts w:hAnsi="Book Antiqua" w:hint="default"/>
          <w:rtl w:val="0"/>
          <w:lang w:val="it-IT"/>
        </w:rPr>
        <w:t xml:space="preserve">è </w:t>
      </w:r>
      <w:r>
        <w:rPr>
          <w:rFonts w:ascii="Book Antiqua"/>
          <w:rtl w:val="0"/>
          <w:lang w:val="it-IT"/>
        </w:rPr>
        <w:t>risultata essere quasi il triplo del dovuto.</w:t>
      </w:r>
    </w:p>
    <w:p>
      <w:pPr>
        <w:pStyle w:val="Normal"/>
        <w:ind w:left="567" w:right="567" w:firstLine="0"/>
        <w:jc w:val="both"/>
        <w:rPr>
          <w:rFonts w:ascii="Book Antiqua" w:cs="Book Antiqua" w:hAnsi="Book Antiqua" w:eastAsia="Book Antiqua"/>
        </w:rPr>
      </w:pPr>
      <w:r>
        <w:rPr>
          <w:rFonts w:ascii="Book Antiqua"/>
          <w:rtl w:val="0"/>
          <w:lang w:val="it-IT"/>
        </w:rPr>
        <w:t>In particolare, come evidenziato da  Marco Ghimenti, comandante provinciale dei Vigili del fuoco, nella sua audizione durante la missione del 30 maggio 2017, c</w:t>
      </w:r>
      <w:r>
        <w:rPr>
          <w:rFonts w:hAnsi="Book Antiqua" w:hint="default"/>
          <w:rtl w:val="0"/>
          <w:lang w:val="it-IT"/>
        </w:rPr>
        <w:t>’</w:t>
      </w:r>
      <w:r>
        <w:rPr>
          <w:rFonts w:ascii="Book Antiqua"/>
          <w:rtl w:val="0"/>
          <w:lang w:val="it-IT"/>
        </w:rPr>
        <w:t xml:space="preserve">era un notevole </w:t>
      </w:r>
      <w:r>
        <w:rPr>
          <w:rFonts w:hAnsi="Book Antiqua" w:hint="default"/>
          <w:rtl w:val="0"/>
          <w:lang w:val="it-IT"/>
        </w:rPr>
        <w:t>“</w:t>
      </w:r>
      <w:r>
        <w:rPr>
          <w:rFonts w:ascii="Book Antiqua"/>
          <w:rtl w:val="0"/>
          <w:lang w:val="it-IT"/>
        </w:rPr>
        <w:t>sovraccarico</w:t>
      </w:r>
      <w:r>
        <w:rPr>
          <w:rFonts w:hAnsi="Book Antiqua" w:hint="default"/>
          <w:rtl w:val="0"/>
          <w:lang w:val="it-IT"/>
        </w:rPr>
        <w:t>”</w:t>
      </w:r>
      <w:r>
        <w:rPr>
          <w:rFonts w:ascii="Book Antiqua"/>
          <w:rtl w:val="0"/>
          <w:lang w:val="it-IT"/>
        </w:rPr>
        <w:t xml:space="preserve">, di gran lunga superiore anche al carico ammesso dalle prescrizioni provvisorie per la prevenzione incendi; aggiungendo che </w:t>
      </w:r>
      <w:r>
        <w:rPr>
          <w:rFonts w:hAnsi="Book Antiqua" w:hint="default"/>
          <w:rtl w:val="0"/>
          <w:lang w:val="it-IT"/>
        </w:rPr>
        <w:t>“</w:t>
      </w:r>
      <w:r>
        <w:rPr>
          <w:rFonts w:ascii="Book Antiqua"/>
          <w:rtl w:val="0"/>
          <w:lang w:val="it-IT"/>
        </w:rPr>
        <w:t xml:space="preserve">in una struttura del genere, poi, </w:t>
      </w:r>
      <w:r>
        <w:rPr>
          <w:rFonts w:hAnsi="Book Antiqua" w:hint="default"/>
          <w:rtl w:val="0"/>
          <w:lang w:val="it-IT"/>
        </w:rPr>
        <w:t xml:space="preserve">è </w:t>
      </w:r>
      <w:r>
        <w:rPr>
          <w:rFonts w:ascii="Book Antiqua"/>
          <w:rtl w:val="0"/>
          <w:lang w:val="it-IT"/>
        </w:rPr>
        <w:t>fondamentale il rispetto anche dell</w:t>
      </w:r>
      <w:r>
        <w:rPr>
          <w:rFonts w:hAnsi="Book Antiqua" w:hint="default"/>
          <w:rtl w:val="0"/>
          <w:lang w:val="it-IT"/>
        </w:rPr>
        <w:t>’</w:t>
      </w:r>
      <w:r>
        <w:rPr>
          <w:rFonts w:ascii="Book Antiqua"/>
          <w:rtl w:val="0"/>
          <w:lang w:val="it-IT"/>
        </w:rPr>
        <w:t>ordine dal punto di vista della distribuzione del materiale, delle vie di percorrenza e delle vie di fuga, ma anche dal punto di vista della possibilit</w:t>
      </w:r>
      <w:r>
        <w:rPr>
          <w:rFonts w:hAnsi="Book Antiqua" w:hint="default"/>
          <w:rtl w:val="0"/>
          <w:lang w:val="it-IT"/>
        </w:rPr>
        <w:t xml:space="preserve">à </w:t>
      </w:r>
      <w:r>
        <w:rPr>
          <w:rFonts w:ascii="Book Antiqua"/>
          <w:rtl w:val="0"/>
          <w:lang w:val="it-IT"/>
        </w:rPr>
        <w:t>stessa di attacco all</w:t>
      </w:r>
      <w:r>
        <w:rPr>
          <w:rFonts w:hAnsi="Book Antiqua" w:hint="default"/>
          <w:rtl w:val="0"/>
          <w:lang w:val="it-IT"/>
        </w:rPr>
        <w:t>’</w:t>
      </w:r>
      <w:r>
        <w:rPr>
          <w:rFonts w:ascii="Book Antiqua"/>
          <w:rtl w:val="0"/>
          <w:lang w:val="it-IT"/>
        </w:rPr>
        <w:t>eventuale principio di incendio. La sensazione, al di l</w:t>
      </w:r>
      <w:r>
        <w:rPr>
          <w:rFonts w:hAnsi="Book Antiqua" w:hint="default"/>
          <w:rtl w:val="0"/>
          <w:lang w:val="it-IT"/>
        </w:rPr>
        <w:t xml:space="preserve">à </w:t>
      </w:r>
      <w:r>
        <w:rPr>
          <w:rFonts w:ascii="Book Antiqua"/>
          <w:rtl w:val="0"/>
          <w:lang w:val="it-IT"/>
        </w:rPr>
        <w:t>di essere comunque arrivati obiettivamente con un incendio sviluppato completamente e in forma generalizzata, era che, comunque, questo ordine comunque iniziale di presupposto non ci fosse. Questo ha reso anche pi</w:t>
      </w:r>
      <w:r>
        <w:rPr>
          <w:rFonts w:hAnsi="Book Antiqua" w:hint="default"/>
          <w:rtl w:val="0"/>
          <w:lang w:val="it-IT"/>
        </w:rPr>
        <w:t xml:space="preserve">ù </w:t>
      </w:r>
      <w:r>
        <w:rPr>
          <w:rFonts w:ascii="Book Antiqua"/>
          <w:rtl w:val="0"/>
          <w:lang w:val="it-IT"/>
        </w:rPr>
        <w:t>difficile, al di l</w:t>
      </w:r>
      <w:r>
        <w:rPr>
          <w:rFonts w:hAnsi="Book Antiqua" w:hint="default"/>
          <w:rtl w:val="0"/>
          <w:lang w:val="it-IT"/>
        </w:rPr>
        <w:t xml:space="preserve">à </w:t>
      </w:r>
      <w:r>
        <w:rPr>
          <w:rFonts w:ascii="Book Antiqua"/>
          <w:rtl w:val="0"/>
          <w:lang w:val="it-IT"/>
        </w:rPr>
        <w:t>dell</w:t>
      </w:r>
      <w:r>
        <w:rPr>
          <w:rFonts w:hAnsi="Book Antiqua" w:hint="default"/>
          <w:rtl w:val="0"/>
          <w:lang w:val="it-IT"/>
        </w:rPr>
        <w:t>’</w:t>
      </w:r>
      <w:r>
        <w:rPr>
          <w:rFonts w:ascii="Book Antiqua"/>
          <w:rtl w:val="0"/>
          <w:lang w:val="it-IT"/>
        </w:rPr>
        <w:t>essere sottovento o sopravento o di porsi nella posizione adeguata per attaccare l</w:t>
      </w:r>
      <w:r>
        <w:rPr>
          <w:rFonts w:hAnsi="Book Antiqua" w:hint="default"/>
          <w:rtl w:val="0"/>
          <w:lang w:val="it-IT"/>
        </w:rPr>
        <w:t>’</w:t>
      </w:r>
      <w:r>
        <w:rPr>
          <w:rFonts w:ascii="Book Antiqua"/>
          <w:rtl w:val="0"/>
          <w:lang w:val="it-IT"/>
        </w:rPr>
        <w:t>incendio, l</w:t>
      </w:r>
      <w:r>
        <w:rPr>
          <w:rFonts w:hAnsi="Book Antiqua" w:hint="default"/>
          <w:rtl w:val="0"/>
          <w:lang w:val="it-IT"/>
        </w:rPr>
        <w:t>’</w:t>
      </w:r>
      <w:r>
        <w:rPr>
          <w:rFonts w:ascii="Book Antiqua"/>
          <w:rtl w:val="0"/>
          <w:lang w:val="it-IT"/>
        </w:rPr>
        <w:t>intervento, nel senso che ha reso assolutamente perimetrale la possibilit</w:t>
      </w:r>
      <w:r>
        <w:rPr>
          <w:rFonts w:hAnsi="Book Antiqua" w:hint="default"/>
          <w:rtl w:val="0"/>
          <w:lang w:val="it-IT"/>
        </w:rPr>
        <w:t xml:space="preserve">à </w:t>
      </w:r>
      <w:r>
        <w:rPr>
          <w:rFonts w:ascii="Book Antiqua"/>
          <w:rtl w:val="0"/>
          <w:lang w:val="it-IT"/>
        </w:rPr>
        <w:t xml:space="preserve">di una prolungata prima azione. Questo </w:t>
      </w:r>
      <w:r>
        <w:rPr>
          <w:rFonts w:hAnsi="Book Antiqua" w:hint="default"/>
          <w:rtl w:val="0"/>
          <w:lang w:val="it-IT"/>
        </w:rPr>
        <w:t xml:space="preserve">è </w:t>
      </w:r>
      <w:r>
        <w:rPr>
          <w:rFonts w:ascii="Book Antiqua"/>
          <w:rtl w:val="0"/>
          <w:lang w:val="it-IT"/>
        </w:rPr>
        <w:t>accaduto dal punto di vista dell</w:t>
      </w:r>
      <w:r>
        <w:rPr>
          <w:rFonts w:hAnsi="Book Antiqua" w:hint="default"/>
          <w:rtl w:val="0"/>
          <w:lang w:val="it-IT"/>
        </w:rPr>
        <w:t>’</w:t>
      </w:r>
      <w:r>
        <w:rPr>
          <w:rFonts w:ascii="Book Antiqua"/>
          <w:rtl w:val="0"/>
          <w:lang w:val="it-IT"/>
        </w:rPr>
        <w:t>organizzazione del sito e del lavoro, pur essendo arrivati in una situazione di parziale turbativa dell</w:t>
      </w:r>
      <w:r>
        <w:rPr>
          <w:rFonts w:hAnsi="Book Antiqua" w:hint="default"/>
          <w:rtl w:val="0"/>
          <w:lang w:val="it-IT"/>
        </w:rPr>
        <w:t>’</w:t>
      </w:r>
      <w:r>
        <w:rPr>
          <w:rFonts w:ascii="Book Antiqua"/>
          <w:rtl w:val="0"/>
          <w:lang w:val="it-IT"/>
        </w:rPr>
        <w:t>area</w:t>
      </w:r>
      <w:r>
        <w:rPr>
          <w:rFonts w:hAnsi="Book Antiqua" w:hint="default"/>
          <w:rtl w:val="0"/>
          <w:lang w:val="it-IT"/>
        </w:rPr>
        <w:t>”</w:t>
      </w:r>
      <w:r>
        <w:rPr>
          <w:rFonts w:ascii="Book Antiqua"/>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Sull</w:t>
      </w:r>
      <w:r>
        <w:rPr>
          <w:rFonts w:hAnsi="Book Antiqua" w:hint="default"/>
          <w:rtl w:val="0"/>
          <w:lang w:val="it-IT"/>
        </w:rPr>
        <w:t>’</w:t>
      </w:r>
      <w:r>
        <w:rPr>
          <w:rFonts w:ascii="Book Antiqua"/>
          <w:rtl w:val="0"/>
          <w:lang w:val="it-IT"/>
        </w:rPr>
        <w:t>argomento si pronunciava anche Salvatore Guglielmino, procuratore speciale di Ecoservizi per l</w:t>
      </w:r>
      <w:r>
        <w:rPr>
          <w:rFonts w:hAnsi="Book Antiqua" w:hint="default"/>
          <w:rtl w:val="0"/>
          <w:lang w:val="it-IT"/>
        </w:rPr>
        <w:t>’</w:t>
      </w:r>
      <w:r>
        <w:rPr>
          <w:rFonts w:ascii="Book Antiqua"/>
          <w:rtl w:val="0"/>
          <w:lang w:val="it-IT"/>
        </w:rPr>
        <w:t>ambiente srl., audito, in presenza del suo difensore, durante la missione del 30 maggio 2017, il quale esprimeva l</w:t>
      </w:r>
      <w:r>
        <w:rPr>
          <w:rFonts w:hAnsi="Book Antiqua" w:hint="default"/>
          <w:rtl w:val="0"/>
          <w:lang w:val="it-IT"/>
        </w:rPr>
        <w:t>’</w:t>
      </w:r>
      <w:r>
        <w:rPr>
          <w:rFonts w:ascii="Book Antiqua"/>
          <w:rtl w:val="0"/>
          <w:lang w:val="it-IT"/>
        </w:rPr>
        <w:t>opinione la causa dell</w:t>
      </w:r>
      <w:r>
        <w:rPr>
          <w:rFonts w:hAnsi="Book Antiqua" w:hint="default"/>
          <w:rtl w:val="0"/>
          <w:lang w:val="it-IT"/>
        </w:rPr>
        <w:t>’</w:t>
      </w:r>
      <w:r>
        <w:rPr>
          <w:rFonts w:ascii="Book Antiqua"/>
          <w:rtl w:val="0"/>
          <w:lang w:val="it-IT"/>
        </w:rPr>
        <w:t xml:space="preserve">incendio fosse da attribuire ad un corto circuito, in quanto </w:t>
      </w:r>
      <w:r>
        <w:rPr>
          <w:rFonts w:hAnsi="Book Antiqua" w:hint="default"/>
          <w:rtl w:val="0"/>
          <w:lang w:val="it-IT"/>
        </w:rPr>
        <w:t>“</w:t>
      </w:r>
      <w:r>
        <w:rPr>
          <w:rFonts w:ascii="Book Antiqua"/>
          <w:rtl w:val="0"/>
          <w:lang w:val="it-IT"/>
        </w:rPr>
        <w:t xml:space="preserve">nel momento in cui hanno messo in funzione il gruppo elettrogeno (due da 1000 chilowatt cadauno), qualcosa </w:t>
      </w:r>
      <w:r>
        <w:rPr>
          <w:rFonts w:hAnsi="Book Antiqua" w:hint="default"/>
          <w:rtl w:val="0"/>
          <w:lang w:val="it-IT"/>
        </w:rPr>
        <w:t xml:space="preserve">è </w:t>
      </w:r>
      <w:r>
        <w:rPr>
          <w:rFonts w:ascii="Book Antiqua"/>
          <w:rtl w:val="0"/>
          <w:lang w:val="it-IT"/>
        </w:rPr>
        <w:t xml:space="preserve">andato a fuoco. Alle otto meno un quarto di mattina </w:t>
      </w:r>
      <w:r>
        <w:rPr>
          <w:rFonts w:hAnsi="Book Antiqua" w:hint="default"/>
          <w:rtl w:val="0"/>
          <w:lang w:val="it-IT"/>
        </w:rPr>
        <w:t xml:space="preserve">è </w:t>
      </w:r>
      <w:r>
        <w:rPr>
          <w:rFonts w:ascii="Book Antiqua"/>
          <w:rtl w:val="0"/>
          <w:lang w:val="it-IT"/>
        </w:rPr>
        <w:t>partito questo fuoco. Un po</w:t>
      </w:r>
      <w:r>
        <w:rPr>
          <w:rFonts w:hAnsi="Book Antiqua" w:hint="default"/>
          <w:rtl w:val="0"/>
          <w:lang w:val="it-IT"/>
        </w:rPr>
        <w:t xml:space="preserve">’ </w:t>
      </w:r>
      <w:r>
        <w:rPr>
          <w:rFonts w:ascii="Book Antiqua"/>
          <w:rtl w:val="0"/>
          <w:lang w:val="it-IT"/>
        </w:rPr>
        <w:t>per il ritardo dei pompieri, un po</w:t>
      </w:r>
      <w:r>
        <w:rPr>
          <w:rFonts w:hAnsi="Book Antiqua" w:hint="default"/>
          <w:rtl w:val="0"/>
          <w:lang w:val="it-IT"/>
        </w:rPr>
        <w:t xml:space="preserve">’ </w:t>
      </w:r>
      <w:r>
        <w:rPr>
          <w:rFonts w:ascii="Book Antiqua"/>
          <w:rtl w:val="0"/>
          <w:lang w:val="it-IT"/>
        </w:rPr>
        <w:t>per gli operai, che, anzich</w:t>
      </w:r>
      <w:r>
        <w:rPr>
          <w:rFonts w:hAnsi="Book Antiqua" w:hint="default"/>
          <w:rtl w:val="0"/>
          <w:lang w:val="it-IT"/>
        </w:rPr>
        <w:t xml:space="preserve">é </w:t>
      </w:r>
      <w:r>
        <w:rPr>
          <w:rFonts w:ascii="Book Antiqua"/>
          <w:rtl w:val="0"/>
          <w:lang w:val="it-IT"/>
        </w:rPr>
        <w:t xml:space="preserve">aiutare, creavano confusione, </w:t>
      </w:r>
      <w:r>
        <w:rPr>
          <w:rFonts w:hAnsi="Book Antiqua" w:hint="default"/>
          <w:rtl w:val="0"/>
          <w:lang w:val="it-IT"/>
        </w:rPr>
        <w:t xml:space="preserve">è </w:t>
      </w:r>
      <w:r>
        <w:rPr>
          <w:rFonts w:ascii="Book Antiqua"/>
          <w:rtl w:val="0"/>
          <w:lang w:val="it-IT"/>
        </w:rPr>
        <w:t>andato a fuoco questo magazzino</w:t>
      </w:r>
      <w:r>
        <w:rPr>
          <w:rFonts w:hAnsi="Book Antiqua" w:hint="default"/>
          <w:rtl w:val="0"/>
          <w:lang w:val="it-IT"/>
        </w:rPr>
        <w:t>”</w:t>
      </w:r>
      <w:r>
        <w:rPr>
          <w:rFonts w:ascii="Book Antiqua"/>
          <w:rtl w:val="0"/>
          <w:lang w:val="it-IT"/>
        </w:rPr>
        <w:t xml:space="preserve">. </w:t>
      </w: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i w:val="1"/>
          <w:iCs w:val="1"/>
        </w:rPr>
      </w:pPr>
      <w:r>
        <w:rPr>
          <w:rFonts w:ascii="Book Antiqua"/>
          <w:i w:val="1"/>
          <w:iCs w:val="1"/>
          <w:rtl w:val="0"/>
          <w:lang w:val="it-IT"/>
        </w:rPr>
        <w:t>L</w:t>
      </w:r>
      <w:r>
        <w:rPr>
          <w:rFonts w:hAnsi="Book Antiqua" w:hint="default"/>
          <w:i w:val="1"/>
          <w:iCs w:val="1"/>
          <w:rtl w:val="0"/>
          <w:lang w:val="it-IT"/>
        </w:rPr>
        <w:t>’</w:t>
      </w:r>
      <w:r>
        <w:rPr>
          <w:rFonts w:ascii="Book Antiqua"/>
          <w:i w:val="1"/>
          <w:iCs w:val="1"/>
          <w:rtl w:val="0"/>
          <w:lang w:val="it-IT"/>
        </w:rPr>
        <w:t>autorizzazione data alla Eco X e le relative vicende societarie</w:t>
      </w: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rPr>
      </w:pPr>
      <w:r>
        <w:rPr>
          <w:rFonts w:ascii="Book Antiqua"/>
          <w:rtl w:val="0"/>
          <w:lang w:val="it-IT"/>
        </w:rPr>
        <w:t>Nel corso delle indagini, la Commissione riteneva di approfondire le vicende relative all</w:t>
      </w:r>
      <w:r>
        <w:rPr>
          <w:rFonts w:hAnsi="Book Antiqua" w:hint="default"/>
          <w:rtl w:val="0"/>
          <w:lang w:val="it-IT"/>
        </w:rPr>
        <w:t>’</w:t>
      </w:r>
      <w:r>
        <w:rPr>
          <w:rFonts w:ascii="Book Antiqua"/>
          <w:rtl w:val="0"/>
          <w:lang w:val="it-IT"/>
        </w:rPr>
        <w:t>autorizzazione rilasciata alla Eco X con le relative modifiche societarie, gi</w:t>
      </w:r>
      <w:r>
        <w:rPr>
          <w:rFonts w:hAnsi="Book Antiqua" w:hint="default"/>
          <w:rtl w:val="0"/>
          <w:lang w:val="it-IT"/>
        </w:rPr>
        <w:t xml:space="preserve">à </w:t>
      </w:r>
      <w:r>
        <w:rPr>
          <w:rFonts w:ascii="Book Antiqua"/>
          <w:rtl w:val="0"/>
          <w:lang w:val="it-IT"/>
        </w:rPr>
        <w:t xml:space="preserve">evidenziate nella citata nota della Guardia di finanza. </w:t>
      </w:r>
    </w:p>
    <w:p>
      <w:pPr>
        <w:pStyle w:val="Normal"/>
        <w:ind w:left="567" w:right="567" w:firstLine="0"/>
        <w:jc w:val="both"/>
        <w:rPr>
          <w:rFonts w:ascii="Book Antiqua" w:cs="Book Antiqua" w:hAnsi="Book Antiqua" w:eastAsia="Book Antiqua"/>
        </w:rPr>
      </w:pPr>
      <w:r>
        <w:rPr>
          <w:rFonts w:ascii="Book Antiqua"/>
          <w:rtl w:val="0"/>
          <w:lang w:val="it-IT"/>
        </w:rPr>
        <w:t xml:space="preserve">In proposito, Marco Lupo, </w:t>
      </w:r>
      <w:r>
        <w:rPr>
          <w:rFonts w:ascii="Book Antiqua"/>
          <w:rtl w:val="0"/>
          <w:lang w:val="it-IT"/>
        </w:rPr>
        <w:t>direttore generale di ARPA Lazio</w:t>
      </w:r>
      <w:r>
        <w:rPr>
          <w:rFonts w:ascii="Book Antiqua"/>
          <w:i w:val="1"/>
          <w:iCs w:val="1"/>
          <w:rtl w:val="0"/>
          <w:lang w:val="it-IT"/>
        </w:rPr>
        <w:t>,</w:t>
      </w:r>
      <w:r>
        <w:rPr>
          <w:rFonts w:ascii="Book Antiqua"/>
          <w:rtl w:val="0"/>
          <w:lang w:val="it-IT"/>
        </w:rPr>
        <w:t xml:space="preserve"> nell</w:t>
      </w:r>
      <w:r>
        <w:rPr>
          <w:rFonts w:hAnsi="Book Antiqua" w:hint="default"/>
          <w:rtl w:val="0"/>
          <w:lang w:val="it-IT"/>
        </w:rPr>
        <w:t>’</w:t>
      </w:r>
      <w:r>
        <w:rPr>
          <w:rFonts w:ascii="Book Antiqua"/>
          <w:rtl w:val="0"/>
          <w:lang w:val="it-IT"/>
        </w:rPr>
        <w:t xml:space="preserve">audizione del 24 maggio 2017 precisava che si trattava di </w:t>
      </w:r>
      <w:r>
        <w:rPr>
          <w:rFonts w:hAnsi="Book Antiqua" w:hint="default"/>
          <w:rtl w:val="0"/>
          <w:lang w:val="it-IT"/>
        </w:rPr>
        <w:t>“</w:t>
      </w:r>
      <w:r>
        <w:rPr>
          <w:rFonts w:ascii="Book Antiqua"/>
          <w:rtl w:val="0"/>
          <w:lang w:val="it-IT"/>
        </w:rPr>
        <w:t xml:space="preserve">un impianto che raccoglieva soprattutto imballaggi, soprattutto da centri commerciali. </w:t>
      </w:r>
      <w:r>
        <w:rPr>
          <w:rFonts w:hAnsi="Book Antiqua" w:hint="default"/>
          <w:rtl w:val="0"/>
          <w:lang w:val="it-IT"/>
        </w:rPr>
        <w:t xml:space="preserve">È </w:t>
      </w:r>
      <w:r>
        <w:rPr>
          <w:rFonts w:ascii="Book Antiqua"/>
          <w:rtl w:val="0"/>
          <w:lang w:val="it-IT"/>
        </w:rPr>
        <w:t xml:space="preserve">un impianto che non </w:t>
      </w:r>
      <w:r>
        <w:rPr>
          <w:rFonts w:hAnsi="Book Antiqua" w:hint="default"/>
          <w:rtl w:val="0"/>
          <w:lang w:val="it-IT"/>
        </w:rPr>
        <w:t xml:space="preserve">è </w:t>
      </w:r>
      <w:r>
        <w:rPr>
          <w:rFonts w:ascii="Book Antiqua"/>
          <w:rtl w:val="0"/>
          <w:lang w:val="it-IT"/>
        </w:rPr>
        <w:t>che facesse operazioni industriali particolarmente importanti. Si faceva una selezione manuale: si separava la plastica dal legno, dalla carta. Si trattava, pi</w:t>
      </w:r>
      <w:r>
        <w:rPr>
          <w:rFonts w:hAnsi="Book Antiqua" w:hint="default"/>
          <w:rtl w:val="0"/>
          <w:lang w:val="it-IT"/>
        </w:rPr>
        <w:t xml:space="preserve">ù </w:t>
      </w:r>
      <w:r>
        <w:rPr>
          <w:rFonts w:ascii="Book Antiqua"/>
          <w:rtl w:val="0"/>
          <w:lang w:val="it-IT"/>
        </w:rPr>
        <w:t>che altro, di un lavoro di selezione manuale. Di trattamenti meccanici certamente c'era solo quello della plastica, nel senso che questa veniva pressata per ridurne la volumetria. In alcuni casi veniva triturata in mulini, sempre a fini di riduzione volumetrica, dopodich</w:t>
      </w:r>
      <w:r>
        <w:rPr>
          <w:rFonts w:hAnsi="Book Antiqua" w:hint="default"/>
          <w:rtl w:val="0"/>
          <w:lang w:val="it-IT"/>
        </w:rPr>
        <w:t xml:space="preserve">é </w:t>
      </w:r>
      <w:r>
        <w:rPr>
          <w:rFonts w:ascii="Book Antiqua"/>
          <w:rtl w:val="0"/>
          <w:lang w:val="it-IT"/>
        </w:rPr>
        <w:t>questo materiale veniva recuperato, o mandato in altri impianti di recupero, oppure mandato in altri impianti di smaltimento. Fondamentalmente, nel sito si svolgeva un'attivit</w:t>
      </w:r>
      <w:r>
        <w:rPr>
          <w:rFonts w:hAnsi="Book Antiqua" w:hint="default"/>
          <w:rtl w:val="0"/>
          <w:lang w:val="it-IT"/>
        </w:rPr>
        <w:t xml:space="preserve">à </w:t>
      </w:r>
      <w:r>
        <w:rPr>
          <w:rFonts w:ascii="Book Antiqua"/>
          <w:rtl w:val="0"/>
          <w:lang w:val="it-IT"/>
        </w:rPr>
        <w:t>di selezione manuale, quindi non era un impianto complesso</w:t>
      </w:r>
      <w:r>
        <w:rPr>
          <w:rFonts w:hAnsi="Book Antiqua" w:hint="default"/>
          <w:rtl w:val="0"/>
          <w:lang w:val="it-IT"/>
        </w:rPr>
        <w:t>…”</w:t>
      </w:r>
      <w:r>
        <w:rPr>
          <w:rFonts w:ascii="Book Antiqua"/>
          <w:i w:val="1"/>
          <w:iCs w:val="1"/>
          <w:rtl w:val="0"/>
          <w:lang w:val="it-IT"/>
        </w:rPr>
        <w:t xml:space="preserve">, </w:t>
      </w:r>
      <w:r>
        <w:rPr>
          <w:rFonts w:ascii="Book Antiqua"/>
          <w:rtl w:val="0"/>
          <w:lang w:val="it-IT"/>
        </w:rPr>
        <w:t>e pertanto si trattava di impianto con autorizzazione ordinaria ex articolo 208 TUA per la capacit</w:t>
      </w:r>
      <w:r>
        <w:rPr>
          <w:rFonts w:hAnsi="Book Antiqua" w:hint="default"/>
          <w:rtl w:val="0"/>
          <w:lang w:val="it-IT"/>
        </w:rPr>
        <w:t xml:space="preserve">à </w:t>
      </w:r>
      <w:r>
        <w:rPr>
          <w:rFonts w:ascii="Book Antiqua"/>
          <w:rtl w:val="0"/>
          <w:lang w:val="it-IT"/>
        </w:rPr>
        <w:t xml:space="preserve">complessiva annua di 85.000 tonnellate per rifiuti sia pericolosi, sia non pericolosi, aggiungendo che </w:t>
      </w:r>
      <w:r>
        <w:rPr>
          <w:rFonts w:hAnsi="Book Antiqua" w:hint="default"/>
          <w:rtl w:val="0"/>
          <w:lang w:val="it-IT"/>
        </w:rPr>
        <w:t>“</w:t>
      </w:r>
      <w:r>
        <w:rPr>
          <w:rFonts w:ascii="Book Antiqua"/>
          <w:rtl w:val="0"/>
          <w:lang w:val="it-IT"/>
        </w:rPr>
        <w:t xml:space="preserve">successivamente, con una determina del 2014, </w:t>
      </w:r>
      <w:r>
        <w:rPr>
          <w:rFonts w:hAnsi="Book Antiqua" w:hint="default"/>
          <w:rtl w:val="0"/>
          <w:lang w:val="it-IT"/>
        </w:rPr>
        <w:t xml:space="preserve">è </w:t>
      </w:r>
      <w:r>
        <w:rPr>
          <w:rFonts w:ascii="Book Antiqua"/>
          <w:rtl w:val="0"/>
          <w:lang w:val="it-IT"/>
        </w:rPr>
        <w:t>stata modificata la propriet</w:t>
      </w:r>
      <w:r>
        <w:rPr>
          <w:rFonts w:hAnsi="Book Antiqua" w:hint="default"/>
          <w:rtl w:val="0"/>
          <w:lang w:val="it-IT"/>
        </w:rPr>
        <w:t>à</w:t>
      </w:r>
      <w:r>
        <w:rPr>
          <w:rFonts w:ascii="Book Antiqua"/>
          <w:rtl w:val="0"/>
          <w:lang w:val="it-IT"/>
        </w:rPr>
        <w:t>, cio</w:t>
      </w:r>
      <w:r>
        <w:rPr>
          <w:rFonts w:hAnsi="Book Antiqua" w:hint="default"/>
          <w:rtl w:val="0"/>
          <w:lang w:val="it-IT"/>
        </w:rPr>
        <w:t xml:space="preserve">è </w:t>
      </w:r>
      <w:r>
        <w:rPr>
          <w:rFonts w:ascii="Book Antiqua"/>
          <w:rtl w:val="0"/>
          <w:lang w:val="it-IT"/>
        </w:rPr>
        <w:t xml:space="preserve">la ragione sociale, che </w:t>
      </w:r>
      <w:r>
        <w:rPr>
          <w:rFonts w:hAnsi="Book Antiqua" w:hint="default"/>
          <w:rtl w:val="0"/>
          <w:lang w:val="it-IT"/>
        </w:rPr>
        <w:t xml:space="preserve">è </w:t>
      </w:r>
      <w:r>
        <w:rPr>
          <w:rFonts w:ascii="Book Antiqua"/>
          <w:rtl w:val="0"/>
          <w:lang w:val="it-IT"/>
        </w:rPr>
        <w:t xml:space="preserve">passata da Eco X a Ecoservizi Srl. Successivamente, il 23 febbraio 2015, </w:t>
      </w:r>
      <w:r>
        <w:rPr>
          <w:rFonts w:hAnsi="Book Antiqua" w:hint="default"/>
          <w:rtl w:val="0"/>
          <w:lang w:val="it-IT"/>
        </w:rPr>
        <w:t xml:space="preserve">è </w:t>
      </w:r>
      <w:r>
        <w:rPr>
          <w:rFonts w:ascii="Book Antiqua"/>
          <w:rtl w:val="0"/>
          <w:lang w:val="it-IT"/>
        </w:rPr>
        <w:t>stata fatta una modifica non sostanziale dell'autorizzazione: a parit</w:t>
      </w:r>
      <w:r>
        <w:rPr>
          <w:rFonts w:hAnsi="Book Antiqua" w:hint="default"/>
          <w:rtl w:val="0"/>
          <w:lang w:val="it-IT"/>
        </w:rPr>
        <w:t xml:space="preserve">à </w:t>
      </w:r>
      <w:r>
        <w:rPr>
          <w:rFonts w:ascii="Book Antiqua"/>
          <w:rtl w:val="0"/>
          <w:lang w:val="it-IT"/>
        </w:rPr>
        <w:t>di capacit</w:t>
      </w:r>
      <w:r>
        <w:rPr>
          <w:rFonts w:hAnsi="Book Antiqua" w:hint="default"/>
          <w:rtl w:val="0"/>
          <w:lang w:val="it-IT"/>
        </w:rPr>
        <w:t xml:space="preserve">à </w:t>
      </w:r>
      <w:r>
        <w:rPr>
          <w:rFonts w:ascii="Book Antiqua"/>
          <w:rtl w:val="0"/>
          <w:lang w:val="it-IT"/>
        </w:rPr>
        <w:t>complessiva, cio</w:t>
      </w:r>
      <w:r>
        <w:rPr>
          <w:rFonts w:hAnsi="Book Antiqua" w:hint="default"/>
          <w:rtl w:val="0"/>
          <w:lang w:val="it-IT"/>
        </w:rPr>
        <w:t xml:space="preserve">è </w:t>
      </w:r>
      <w:r>
        <w:rPr>
          <w:rFonts w:ascii="Book Antiqua"/>
          <w:rtl w:val="0"/>
          <w:lang w:val="it-IT"/>
        </w:rPr>
        <w:t xml:space="preserve">85.000 tonnellate annue, </w:t>
      </w:r>
      <w:r>
        <w:rPr>
          <w:rFonts w:hAnsi="Book Antiqua" w:hint="default"/>
          <w:rtl w:val="0"/>
          <w:lang w:val="it-IT"/>
        </w:rPr>
        <w:t xml:space="preserve">è </w:t>
      </w:r>
      <w:r>
        <w:rPr>
          <w:rFonts w:ascii="Book Antiqua"/>
          <w:rtl w:val="0"/>
          <w:lang w:val="it-IT"/>
        </w:rPr>
        <w:t>stata ridotta la capacit</w:t>
      </w:r>
      <w:r>
        <w:rPr>
          <w:rFonts w:hAnsi="Book Antiqua" w:hint="default"/>
          <w:rtl w:val="0"/>
          <w:lang w:val="it-IT"/>
        </w:rPr>
        <w:t xml:space="preserve">à </w:t>
      </w:r>
      <w:r>
        <w:rPr>
          <w:rFonts w:ascii="Book Antiqua"/>
          <w:rtl w:val="0"/>
          <w:lang w:val="it-IT"/>
        </w:rPr>
        <w:t xml:space="preserve">di pericolosi di mille e, in modo correlato, </w:t>
      </w:r>
      <w:r>
        <w:rPr>
          <w:rFonts w:hAnsi="Book Antiqua" w:hint="default"/>
          <w:rtl w:val="0"/>
          <w:lang w:val="it-IT"/>
        </w:rPr>
        <w:t xml:space="preserve">è </w:t>
      </w:r>
      <w:r>
        <w:rPr>
          <w:rFonts w:ascii="Book Antiqua"/>
          <w:rtl w:val="0"/>
          <w:lang w:val="it-IT"/>
        </w:rPr>
        <w:t>stata aumentata quella di non pericolosi, sempre di mille, in modo che la capacit</w:t>
      </w:r>
      <w:r>
        <w:rPr>
          <w:rFonts w:hAnsi="Book Antiqua" w:hint="default"/>
          <w:rtl w:val="0"/>
          <w:lang w:val="it-IT"/>
        </w:rPr>
        <w:t xml:space="preserve">à </w:t>
      </w:r>
      <w:r>
        <w:rPr>
          <w:rFonts w:ascii="Book Antiqua"/>
          <w:rtl w:val="0"/>
          <w:lang w:val="it-IT"/>
        </w:rPr>
        <w:t xml:space="preserve">rimanesse di 85.000 tonnellate. Io ho dato una occhiata a tutti i codici e mi pare che questa modifica abbia eliminato, di fatto, tutti i codici pericolosi: batterie a piombo, batterie a nichel, batterie contenenti mercurio, elettroliti di batterie, accumulatori, sono stati eliminati come codici. </w:t>
      </w:r>
      <w:r>
        <w:rPr>
          <w:rFonts w:hAnsi="Book Antiqua" w:hint="default"/>
          <w:rtl w:val="0"/>
          <w:lang w:val="it-IT"/>
        </w:rPr>
        <w:t xml:space="preserve">È </w:t>
      </w:r>
      <w:r>
        <w:rPr>
          <w:rFonts w:ascii="Book Antiqua"/>
          <w:rtl w:val="0"/>
          <w:lang w:val="it-IT"/>
        </w:rPr>
        <w:t>chiaro che rimangono i codici a specchio. Voi conoscete tutta la questione dei codici a specchio. Ci sono rifiuti pericolosi per natura, poi ci sono i rifiuti che non sono pericolosi per natura ma che, a seconda delle sostanze che contengono, possono assumere la veste di pericolosi o di non pericolosi: di codici a specchio ce n'erano parecchi</w:t>
      </w:r>
      <w:r>
        <w:rPr>
          <w:rFonts w:hAnsi="Book Antiqua" w:hint="default"/>
          <w:rtl w:val="0"/>
          <w:lang w:val="it-IT"/>
        </w:rPr>
        <w:t>”</w:t>
      </w:r>
      <w:r>
        <w:rPr>
          <w:rFonts w:ascii="Book Antiqua"/>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 xml:space="preserve">Queste affermazioni venivano confermate in audizione anche dal procuratore della Repubblica di Velletri, il quale precisava che </w:t>
      </w:r>
      <w:r>
        <w:rPr>
          <w:rFonts w:hAnsi="Book Antiqua" w:hint="default"/>
          <w:rtl w:val="0"/>
          <w:lang w:val="it-IT"/>
        </w:rPr>
        <w:t>“</w:t>
      </w:r>
      <w:r>
        <w:rPr>
          <w:rFonts w:ascii="Book Antiqua"/>
          <w:rtl w:val="0"/>
          <w:lang w:val="it-IT"/>
        </w:rPr>
        <w:t>la societ</w:t>
      </w:r>
      <w:r>
        <w:rPr>
          <w:rFonts w:hAnsi="Book Antiqua" w:hint="default"/>
          <w:rtl w:val="0"/>
          <w:lang w:val="it-IT"/>
        </w:rPr>
        <w:t xml:space="preserve">à </w:t>
      </w:r>
      <w:r>
        <w:rPr>
          <w:rFonts w:ascii="Book Antiqua"/>
          <w:rtl w:val="0"/>
          <w:lang w:val="it-IT"/>
        </w:rPr>
        <w:t xml:space="preserve">titolare dell'autorizzazione, rilasciata il 15 marzo 2010, </w:t>
      </w:r>
      <w:r>
        <w:rPr>
          <w:rFonts w:hAnsi="Book Antiqua" w:hint="default"/>
          <w:rtl w:val="0"/>
          <w:lang w:val="it-IT"/>
        </w:rPr>
        <w:t xml:space="preserve">è </w:t>
      </w:r>
      <w:r>
        <w:rPr>
          <w:rFonts w:ascii="Book Antiqua"/>
          <w:rtl w:val="0"/>
          <w:lang w:val="it-IT"/>
        </w:rPr>
        <w:t xml:space="preserve">la Eco X, che </w:t>
      </w:r>
      <w:r>
        <w:rPr>
          <w:rFonts w:hAnsi="Book Antiqua" w:hint="default"/>
          <w:rtl w:val="0"/>
          <w:lang w:val="it-IT"/>
        </w:rPr>
        <w:t xml:space="preserve">è </w:t>
      </w:r>
      <w:r>
        <w:rPr>
          <w:rFonts w:ascii="Book Antiqua"/>
          <w:rtl w:val="0"/>
          <w:lang w:val="it-IT"/>
        </w:rPr>
        <w:t>la proprietaria del terreno e dei muri. La societ</w:t>
      </w:r>
      <w:r>
        <w:rPr>
          <w:rFonts w:hAnsi="Book Antiqua" w:hint="default"/>
          <w:rtl w:val="0"/>
          <w:lang w:val="it-IT"/>
        </w:rPr>
        <w:t xml:space="preserve">à </w:t>
      </w:r>
      <w:r>
        <w:rPr>
          <w:rFonts w:ascii="Book Antiqua"/>
          <w:rtl w:val="0"/>
          <w:lang w:val="it-IT"/>
        </w:rPr>
        <w:t xml:space="preserve">Eco X era amministrata ed </w:t>
      </w:r>
      <w:r>
        <w:rPr>
          <w:rFonts w:hAnsi="Book Antiqua" w:hint="default"/>
          <w:rtl w:val="0"/>
          <w:lang w:val="it-IT"/>
        </w:rPr>
        <w:t xml:space="preserve">è </w:t>
      </w:r>
      <w:r>
        <w:rPr>
          <w:rFonts w:ascii="Book Antiqua"/>
          <w:rtl w:val="0"/>
          <w:lang w:val="it-IT"/>
        </w:rPr>
        <w:t>amministrata da Soddu Fabio. L'originaria autorizzazione prevedeva un limite di stoccaggio di 3.200 tonnellate e un limite massimo di rifiuti di 85.000 tonnellate annue. Nel 2014 subentra l'Eco Servizi per l'Ambiente, la societ</w:t>
      </w:r>
      <w:r>
        <w:rPr>
          <w:rFonts w:hAnsi="Book Antiqua" w:hint="default"/>
          <w:rtl w:val="0"/>
          <w:lang w:val="it-IT"/>
        </w:rPr>
        <w:t xml:space="preserve">à </w:t>
      </w:r>
      <w:r>
        <w:rPr>
          <w:rFonts w:ascii="Book Antiqua"/>
          <w:rtl w:val="0"/>
          <w:lang w:val="it-IT"/>
        </w:rPr>
        <w:t xml:space="preserve">che </w:t>
      </w:r>
      <w:r>
        <w:rPr>
          <w:rFonts w:hAnsi="Book Antiqua" w:hint="default"/>
          <w:rtl w:val="0"/>
          <w:lang w:val="it-IT"/>
        </w:rPr>
        <w:t xml:space="preserve">è </w:t>
      </w:r>
      <w:r>
        <w:rPr>
          <w:rFonts w:ascii="Book Antiqua"/>
          <w:rtl w:val="0"/>
          <w:lang w:val="it-IT"/>
        </w:rPr>
        <w:t>tuttora titolare dell'autorizzazione e che gestisce l'impianto. L'Eco Servizi per l'Ambiente, in virt</w:t>
      </w:r>
      <w:r>
        <w:rPr>
          <w:rFonts w:hAnsi="Book Antiqua" w:hint="default"/>
          <w:rtl w:val="0"/>
          <w:lang w:val="it-IT"/>
        </w:rPr>
        <w:t xml:space="preserve">ù </w:t>
      </w:r>
      <w:r>
        <w:rPr>
          <w:rFonts w:ascii="Book Antiqua"/>
          <w:rtl w:val="0"/>
          <w:lang w:val="it-IT"/>
        </w:rPr>
        <w:t>di un contratto di cessione di ramo d'azienda, acquisisce l'autorizzazione e la regione Lazio, con delibera del 2014, voltura l'autorizzazione da Eco X a Eco Servizi per l'Ambiente [</w:t>
      </w:r>
      <w:r>
        <w:rPr>
          <w:rFonts w:hAnsi="Book Antiqua" w:hint="default"/>
          <w:rtl w:val="0"/>
          <w:lang w:val="it-IT"/>
        </w:rPr>
        <w:t>…</w:t>
      </w:r>
      <w:r>
        <w:rPr>
          <w:rFonts w:ascii="Book Antiqua"/>
          <w:rtl w:val="0"/>
          <w:lang w:val="it-IT"/>
        </w:rPr>
        <w:t>] Nel 2015 l'Eco Servizi per l'Ambiente fa istanza, allegando una perizia di variante non sostanziale, alla regione per modificare i limiti soprattutto qualitativi. Fermo restando il limite delle 85.000 tonnellate annue, la societ</w:t>
      </w:r>
      <w:r>
        <w:rPr>
          <w:rFonts w:hAnsi="Book Antiqua" w:hint="default"/>
          <w:rtl w:val="0"/>
          <w:lang w:val="it-IT"/>
        </w:rPr>
        <w:t xml:space="preserve">à </w:t>
      </w:r>
      <w:r>
        <w:rPr>
          <w:rFonts w:ascii="Book Antiqua"/>
          <w:rtl w:val="0"/>
          <w:lang w:val="it-IT"/>
        </w:rPr>
        <w:t>chiede e ottiene di non trattare pi</w:t>
      </w:r>
      <w:r>
        <w:rPr>
          <w:rFonts w:hAnsi="Book Antiqua" w:hint="default"/>
          <w:rtl w:val="0"/>
          <w:lang w:val="it-IT"/>
        </w:rPr>
        <w:t xml:space="preserve">ù </w:t>
      </w:r>
      <w:r>
        <w:rPr>
          <w:rFonts w:ascii="Book Antiqua"/>
          <w:rtl w:val="0"/>
          <w:lang w:val="it-IT"/>
        </w:rPr>
        <w:t>i rifiuti pericolosi per i quali era originariamente autorizzata e di scomputare quelle 1.000 tonnellate annue di rifiuti pericolosi come rifiuti non pericolosi. Sicch</w:t>
      </w:r>
      <w:r>
        <w:rPr>
          <w:rFonts w:hAnsi="Book Antiqua" w:hint="default"/>
          <w:rtl w:val="0"/>
          <w:lang w:val="it-IT"/>
        </w:rPr>
        <w:t xml:space="preserve">é </w:t>
      </w:r>
      <w:r>
        <w:rPr>
          <w:rFonts w:ascii="Book Antiqua"/>
          <w:rtl w:val="0"/>
          <w:lang w:val="it-IT"/>
        </w:rPr>
        <w:t>si azzera l'autorizzazione per i rifiuti pericolosi e si incrementa, sia pur di poco, quella per i rifiuti non pericolosi. Succede nel 2011 un ultimo fatto che pu</w:t>
      </w:r>
      <w:r>
        <w:rPr>
          <w:rFonts w:hAnsi="Book Antiqua" w:hint="default"/>
          <w:rtl w:val="0"/>
          <w:lang w:val="it-IT"/>
        </w:rPr>
        <w:t xml:space="preserve">ò </w:t>
      </w:r>
      <w:r>
        <w:rPr>
          <w:rFonts w:ascii="Book Antiqua"/>
          <w:rtl w:val="0"/>
          <w:lang w:val="it-IT"/>
        </w:rPr>
        <w:t>costituire elemento di valutazione. Si avvia una procedura esecutiva attivata da una societ</w:t>
      </w:r>
      <w:r>
        <w:rPr>
          <w:rFonts w:hAnsi="Book Antiqua" w:hint="default"/>
          <w:rtl w:val="0"/>
          <w:lang w:val="it-IT"/>
        </w:rPr>
        <w:t xml:space="preserve">à </w:t>
      </w:r>
      <w:r>
        <w:rPr>
          <w:rFonts w:ascii="Book Antiqua"/>
          <w:rtl w:val="0"/>
          <w:lang w:val="it-IT"/>
        </w:rPr>
        <w:t>finanziaria che aveva erogato un mutuo e da un'altra societ</w:t>
      </w:r>
      <w:r>
        <w:rPr>
          <w:rFonts w:hAnsi="Book Antiqua" w:hint="default"/>
          <w:rtl w:val="0"/>
          <w:lang w:val="it-IT"/>
        </w:rPr>
        <w:t>à</w:t>
      </w:r>
      <w:r>
        <w:rPr>
          <w:rFonts w:ascii="Book Antiqua"/>
          <w:rtl w:val="0"/>
          <w:lang w:val="it-IT"/>
        </w:rPr>
        <w:t xml:space="preserve">, BMW finanziaria </w:t>
      </w:r>
      <w:r>
        <w:rPr>
          <w:rFonts w:hAnsi="Book Antiqua" w:hint="default"/>
          <w:rtl w:val="0"/>
          <w:lang w:val="it-IT"/>
        </w:rPr>
        <w:t xml:space="preserve">– </w:t>
      </w:r>
      <w:r>
        <w:rPr>
          <w:rFonts w:ascii="Book Antiqua"/>
          <w:rtl w:val="0"/>
          <w:lang w:val="it-IT"/>
        </w:rPr>
        <w:t xml:space="preserve">immagino </w:t>
      </w:r>
      <w:r>
        <w:rPr>
          <w:rFonts w:hAnsi="Book Antiqua" w:hint="default"/>
          <w:rtl w:val="0"/>
          <w:lang w:val="it-IT"/>
        </w:rPr>
        <w:t xml:space="preserve">– </w:t>
      </w:r>
      <w:r>
        <w:rPr>
          <w:rFonts w:ascii="Book Antiqua"/>
          <w:rtl w:val="0"/>
          <w:lang w:val="it-IT"/>
        </w:rPr>
        <w:t>per la vendita di autoveicoli. In pendenza della procedura esecutiva, pur essendo stati pignorati i beni, il giudice dell'esecuzione autorizza la societ</w:t>
      </w:r>
      <w:r>
        <w:rPr>
          <w:rFonts w:hAnsi="Book Antiqua" w:hint="default"/>
          <w:rtl w:val="0"/>
          <w:lang w:val="it-IT"/>
        </w:rPr>
        <w:t xml:space="preserve">à </w:t>
      </w:r>
      <w:r>
        <w:rPr>
          <w:rFonts w:ascii="Book Antiqua"/>
          <w:rtl w:val="0"/>
          <w:lang w:val="it-IT"/>
        </w:rPr>
        <w:t>Eco Servizi per l'Ambiente a proseguire l'attivit</w:t>
      </w:r>
      <w:r>
        <w:rPr>
          <w:rFonts w:hAnsi="Book Antiqua" w:hint="default"/>
          <w:rtl w:val="0"/>
          <w:lang w:val="it-IT"/>
        </w:rPr>
        <w:t>à</w:t>
      </w:r>
      <w:r>
        <w:rPr>
          <w:rFonts w:ascii="Book Antiqua"/>
          <w:rtl w:val="0"/>
          <w:lang w:val="it-IT"/>
        </w:rPr>
        <w:t>, addossandole nei confronti della procedura un debito di 240.000 euro annui che la societ</w:t>
      </w:r>
      <w:r>
        <w:rPr>
          <w:rFonts w:hAnsi="Book Antiqua" w:hint="default"/>
          <w:rtl w:val="0"/>
          <w:lang w:val="it-IT"/>
        </w:rPr>
        <w:t xml:space="preserve">à </w:t>
      </w:r>
      <w:r>
        <w:rPr>
          <w:rFonts w:ascii="Book Antiqua"/>
          <w:rtl w:val="0"/>
          <w:lang w:val="it-IT"/>
        </w:rPr>
        <w:t>avrebbe dovuto versare alla procedura per estinguere, o quantomeno limitare, l'entit</w:t>
      </w:r>
      <w:r>
        <w:rPr>
          <w:rFonts w:hAnsi="Book Antiqua" w:hint="default"/>
          <w:rtl w:val="0"/>
          <w:lang w:val="it-IT"/>
        </w:rPr>
        <w:t xml:space="preserve">à </w:t>
      </w:r>
      <w:r>
        <w:rPr>
          <w:rFonts w:ascii="Book Antiqua"/>
          <w:rtl w:val="0"/>
          <w:lang w:val="it-IT"/>
        </w:rPr>
        <w:t xml:space="preserve">dei crediti. In base alle notizie che abbiamo non </w:t>
      </w:r>
      <w:r>
        <w:rPr>
          <w:rFonts w:hAnsi="Book Antiqua" w:hint="default"/>
          <w:rtl w:val="0"/>
          <w:lang w:val="it-IT"/>
        </w:rPr>
        <w:t xml:space="preserve">è </w:t>
      </w:r>
      <w:r>
        <w:rPr>
          <w:rFonts w:ascii="Book Antiqua"/>
          <w:rtl w:val="0"/>
          <w:lang w:val="it-IT"/>
        </w:rPr>
        <w:t xml:space="preserve">mai stato versato neppure un euro alla procedura esecutiva, che pare fosse </w:t>
      </w:r>
      <w:r>
        <w:rPr>
          <w:rFonts w:hAnsi="Book Antiqua" w:hint="default"/>
          <w:rtl w:val="0"/>
          <w:lang w:val="it-IT"/>
        </w:rPr>
        <w:t xml:space="preserve">– </w:t>
      </w:r>
      <w:r>
        <w:rPr>
          <w:rFonts w:ascii="Book Antiqua"/>
          <w:rtl w:val="0"/>
          <w:lang w:val="it-IT"/>
        </w:rPr>
        <w:t>cos</w:t>
      </w:r>
      <w:r>
        <w:rPr>
          <w:rFonts w:hAnsi="Book Antiqua" w:hint="default"/>
          <w:rtl w:val="0"/>
          <w:lang w:val="it-IT"/>
        </w:rPr>
        <w:t xml:space="preserve">ì </w:t>
      </w:r>
      <w:r>
        <w:rPr>
          <w:rFonts w:ascii="Book Antiqua"/>
          <w:rtl w:val="0"/>
          <w:lang w:val="it-IT"/>
        </w:rPr>
        <w:t xml:space="preserve">ci </w:t>
      </w:r>
      <w:r>
        <w:rPr>
          <w:rFonts w:hAnsi="Book Antiqua" w:hint="default"/>
          <w:rtl w:val="0"/>
          <w:lang w:val="it-IT"/>
        </w:rPr>
        <w:t xml:space="preserve">è </w:t>
      </w:r>
      <w:r>
        <w:rPr>
          <w:rFonts w:ascii="Book Antiqua"/>
          <w:rtl w:val="0"/>
          <w:lang w:val="it-IT"/>
        </w:rPr>
        <w:t xml:space="preserve">stato riferito </w:t>
      </w:r>
      <w:r>
        <w:rPr>
          <w:rFonts w:hAnsi="Book Antiqua" w:hint="default"/>
          <w:rtl w:val="0"/>
          <w:lang w:val="it-IT"/>
        </w:rPr>
        <w:t xml:space="preserve">– </w:t>
      </w:r>
      <w:r>
        <w:rPr>
          <w:rFonts w:ascii="Book Antiqua"/>
          <w:rtl w:val="0"/>
          <w:lang w:val="it-IT"/>
        </w:rPr>
        <w:t xml:space="preserve">all'oscuro della cessione di ramo d'azienda. Era convinta, quindi, di dover trattare ancora con Eco X ed </w:t>
      </w:r>
      <w:r>
        <w:rPr>
          <w:rFonts w:hAnsi="Book Antiqua" w:hint="default"/>
          <w:rtl w:val="0"/>
          <w:lang w:val="it-IT"/>
        </w:rPr>
        <w:t xml:space="preserve">è </w:t>
      </w:r>
      <w:r>
        <w:rPr>
          <w:rFonts w:ascii="Book Antiqua"/>
          <w:rtl w:val="0"/>
          <w:lang w:val="it-IT"/>
        </w:rPr>
        <w:t>venuta a sapere poi che la societ</w:t>
      </w:r>
      <w:r>
        <w:rPr>
          <w:rFonts w:hAnsi="Book Antiqua" w:hint="default"/>
          <w:rtl w:val="0"/>
          <w:lang w:val="it-IT"/>
        </w:rPr>
        <w:t xml:space="preserve">à </w:t>
      </w:r>
      <w:r>
        <w:rPr>
          <w:rFonts w:ascii="Book Antiqua"/>
          <w:rtl w:val="0"/>
          <w:lang w:val="it-IT"/>
        </w:rPr>
        <w:t>che era subentrata era l'Eco Servizi per l'Ambiente</w:t>
      </w:r>
      <w:r>
        <w:rPr>
          <w:rFonts w:hAnsi="Book Antiqua" w:hint="default"/>
          <w:rtl w:val="0"/>
          <w:lang w:val="it-IT"/>
        </w:rPr>
        <w:t>”</w:t>
      </w:r>
      <w:r>
        <w:rPr>
          <w:rFonts w:ascii="Book Antiqua"/>
          <w:rtl w:val="0"/>
          <w:lang w:val="it-IT"/>
        </w:rPr>
        <w:t xml:space="preserve">. </w:t>
      </w:r>
    </w:p>
    <w:p>
      <w:pPr>
        <w:pStyle w:val="Normal"/>
        <w:ind w:left="567" w:right="567" w:firstLine="0"/>
        <w:jc w:val="both"/>
        <w:rPr>
          <w:rFonts w:ascii="Book Antiqua" w:cs="Book Antiqua" w:hAnsi="Book Antiqua" w:eastAsia="Book Antiqua"/>
        </w:rPr>
      </w:pPr>
      <w:r>
        <w:rPr>
          <w:rFonts w:ascii="Book Antiqua"/>
          <w:rtl w:val="0"/>
          <w:lang w:val="it-IT"/>
        </w:rPr>
        <w:t>In proposito, durante l</w:t>
      </w:r>
      <w:r>
        <w:rPr>
          <w:rFonts w:hAnsi="Book Antiqua" w:hint="default"/>
          <w:rtl w:val="0"/>
          <w:lang w:val="it-IT"/>
        </w:rPr>
        <w:t>’</w:t>
      </w:r>
      <w:r>
        <w:rPr>
          <w:rFonts w:ascii="Book Antiqua"/>
          <w:rtl w:val="0"/>
          <w:lang w:val="it-IT"/>
        </w:rPr>
        <w:t>audizione del rappresentanti della procura di Velletri, la Commissione chiedeva chiarimenti circa le vicende dell</w:t>
      </w:r>
      <w:r>
        <w:rPr>
          <w:rFonts w:hAnsi="Book Antiqua" w:hint="default"/>
          <w:rtl w:val="0"/>
          <w:lang w:val="it-IT"/>
        </w:rPr>
        <w:t>’</w:t>
      </w:r>
      <w:r>
        <w:rPr>
          <w:rFonts w:ascii="Book Antiqua"/>
          <w:rtl w:val="0"/>
          <w:lang w:val="it-IT"/>
        </w:rPr>
        <w:t>autorizzazione e le fideiussioni ad essa relative, con particolare riferimento ad alcuni personaggi gi</w:t>
      </w:r>
      <w:r>
        <w:rPr>
          <w:rFonts w:hAnsi="Book Antiqua" w:hint="default"/>
          <w:rtl w:val="0"/>
          <w:lang w:val="it-IT"/>
        </w:rPr>
        <w:t xml:space="preserve">à </w:t>
      </w:r>
      <w:r>
        <w:rPr>
          <w:rFonts w:ascii="Book Antiqua"/>
          <w:rtl w:val="0"/>
          <w:lang w:val="it-IT"/>
        </w:rPr>
        <w:t xml:space="preserve">implicati in vicende relative ad illeciti nel settore dei rifiuti e ad alcune incongruenze chiaramente rilevabili nei vari passaggi societari.  </w:t>
      </w:r>
    </w:p>
    <w:p>
      <w:pPr>
        <w:pStyle w:val="Normal"/>
        <w:ind w:left="567" w:right="567" w:firstLine="0"/>
        <w:jc w:val="both"/>
        <w:rPr>
          <w:rFonts w:ascii="Book Antiqua" w:cs="Book Antiqua" w:hAnsi="Book Antiqua" w:eastAsia="Book Antiqua"/>
        </w:rPr>
      </w:pPr>
      <w:r>
        <w:rPr>
          <w:rFonts w:ascii="Book Antiqua"/>
          <w:rtl w:val="0"/>
          <w:lang w:val="it-IT"/>
        </w:rPr>
        <w:t xml:space="preserve">I riferimenti erano alle fideiussioni della City Insurance; a una perizia firmata dall'ingegner Fabiani, che </w:t>
      </w:r>
      <w:r>
        <w:rPr>
          <w:rFonts w:hAnsi="Book Antiqua" w:hint="default"/>
          <w:rtl w:val="0"/>
          <w:lang w:val="it-IT"/>
        </w:rPr>
        <w:t xml:space="preserve">è </w:t>
      </w:r>
      <w:r>
        <w:rPr>
          <w:rFonts w:ascii="Book Antiqua"/>
          <w:rtl w:val="0"/>
          <w:lang w:val="it-IT"/>
        </w:rPr>
        <w:t>amministratore anche della Pellini S.r.l; all</w:t>
      </w:r>
      <w:r>
        <w:rPr>
          <w:rFonts w:hAnsi="Book Antiqua" w:hint="default"/>
          <w:rtl w:val="0"/>
          <w:lang w:val="it-IT"/>
        </w:rPr>
        <w:t>’</w:t>
      </w:r>
      <w:r>
        <w:rPr>
          <w:rFonts w:ascii="Book Antiqua"/>
          <w:rtl w:val="0"/>
          <w:lang w:val="it-IT"/>
        </w:rPr>
        <w:t>acquirente Maurizio Fraioli (che avrebbe acquistato l</w:t>
      </w:r>
      <w:r>
        <w:rPr>
          <w:rFonts w:hAnsi="Book Antiqua" w:hint="default"/>
          <w:rtl w:val="0"/>
          <w:lang w:val="it-IT"/>
        </w:rPr>
        <w:t>’</w:t>
      </w:r>
      <w:r>
        <w:rPr>
          <w:rFonts w:ascii="Book Antiqua"/>
          <w:rtl w:val="0"/>
          <w:lang w:val="it-IT"/>
        </w:rPr>
        <w:t xml:space="preserve">azienda per soli seimila euro, risultando di professione </w:t>
      </w:r>
      <w:r>
        <w:rPr>
          <w:rFonts w:ascii="Book Antiqua"/>
          <w:i w:val="1"/>
          <w:iCs w:val="1"/>
          <w:rtl w:val="0"/>
          <w:lang w:val="it-IT"/>
        </w:rPr>
        <w:t>ma</w:t>
      </w:r>
      <w:r>
        <w:rPr>
          <w:rFonts w:hAnsi="Book Antiqua" w:hint="default"/>
          <w:i w:val="1"/>
          <w:iCs w:val="1"/>
          <w:rtl w:val="0"/>
          <w:lang w:val="it-IT"/>
        </w:rPr>
        <w:t>î</w:t>
      </w:r>
      <w:r>
        <w:rPr>
          <w:rFonts w:ascii="Book Antiqua"/>
          <w:i w:val="1"/>
          <w:iCs w:val="1"/>
          <w:rtl w:val="0"/>
          <w:lang w:val="it-IT"/>
        </w:rPr>
        <w:t>tre</w:t>
      </w:r>
      <w:r>
        <w:rPr>
          <w:rFonts w:ascii="Book Antiqua"/>
          <w:rtl w:val="0"/>
          <w:lang w:val="it-IT"/>
        </w:rPr>
        <w:t xml:space="preserve"> o barman; al dichiarato procuratore generale, Salvatore Guglielmino di Catania, mentre un altro Marcello Guglielmino, sempre di Catania, era l'originario proprietario di Eco X nel 2002; al precedente titolare di Eco Servizi per l'Ambiente, certo Vincenzo Romano, che aveva 14 societ</w:t>
      </w:r>
      <w:r>
        <w:rPr>
          <w:rFonts w:hAnsi="Book Antiqua" w:hint="default"/>
          <w:rtl w:val="0"/>
          <w:lang w:val="it-IT"/>
        </w:rPr>
        <w:t xml:space="preserve">à </w:t>
      </w:r>
      <w:r>
        <w:rPr>
          <w:rFonts w:ascii="Book Antiqua"/>
          <w:rtl w:val="0"/>
          <w:lang w:val="it-IT"/>
        </w:rPr>
        <w:t>campane, tutte poi finite in liquidazione; all</w:t>
      </w:r>
      <w:r>
        <w:rPr>
          <w:rFonts w:hAnsi="Book Antiqua" w:hint="default"/>
          <w:rtl w:val="0"/>
          <w:lang w:val="it-IT"/>
        </w:rPr>
        <w:t>’</w:t>
      </w:r>
      <w:r>
        <w:rPr>
          <w:rFonts w:ascii="Book Antiqua"/>
          <w:rtl w:val="0"/>
          <w:lang w:val="it-IT"/>
        </w:rPr>
        <w:t>intervento della Guardia di finanza che ad Avezzano il 13 gennaio 2015 aveva bloccato dei camion con 27 tonnellate di rifiuti, il cui trasportatore era Caturano Autotrasporti di Caserta, ma i camion trasportavano rifiuti per conto di Eco X, e tra questi rifiuti c'erano rifiuti ospedalieri</w:t>
      </w:r>
      <w:r>
        <w:rPr>
          <w:rFonts w:hAnsi="Book Antiqua" w:hint="default"/>
          <w:rtl w:val="0"/>
          <w:lang w:val="it-IT"/>
        </w:rPr>
        <w:t>”</w:t>
      </w:r>
    </w:p>
    <w:p>
      <w:pPr>
        <w:pStyle w:val="Normal"/>
        <w:widowControl w:val="0"/>
        <w:ind w:left="567" w:right="567" w:firstLine="0"/>
        <w:jc w:val="both"/>
        <w:rPr>
          <w:rFonts w:ascii="Book Antiqua" w:cs="Book Antiqua" w:hAnsi="Book Antiqua" w:eastAsia="Book Antiqua"/>
        </w:rPr>
      </w:pPr>
      <w:r>
        <w:rPr>
          <w:rFonts w:ascii="Book Antiqua"/>
          <w:rtl w:val="0"/>
          <w:lang w:val="it-IT"/>
        </w:rPr>
        <w:t xml:space="preserve">Questioni rilevanti, alle quali rispondeva brevemente ma significativamente Luigi Paoletti, </w:t>
      </w:r>
      <w:r>
        <w:rPr>
          <w:rFonts w:ascii="Book Antiqua"/>
          <w:rtl w:val="0"/>
          <w:lang w:val="it-IT"/>
        </w:rPr>
        <w:t>sostituto procuratore presso il tribunale di Velletri</w:t>
      </w:r>
      <w:r>
        <w:rPr>
          <w:rFonts w:ascii="Book Antiqua"/>
          <w:i w:val="1"/>
          <w:iCs w:val="1"/>
          <w:rtl w:val="0"/>
          <w:lang w:val="it-IT"/>
        </w:rPr>
        <w:t>,</w:t>
      </w:r>
      <w:r>
        <w:rPr>
          <w:rFonts w:ascii="Book Antiqua"/>
          <w:rtl w:val="0"/>
          <w:lang w:val="it-IT"/>
        </w:rPr>
        <w:t xml:space="preserve"> titolare delle indagini, il quale ammetteva che </w:t>
      </w:r>
      <w:r>
        <w:rPr>
          <w:rFonts w:hAnsi="Book Antiqua" w:hint="default"/>
          <w:rtl w:val="0"/>
          <w:lang w:val="it-IT"/>
        </w:rPr>
        <w:t>“</w:t>
      </w:r>
      <w:r>
        <w:rPr>
          <w:rFonts w:ascii="Book Antiqua"/>
          <w:rtl w:val="0"/>
          <w:lang w:val="it-IT"/>
        </w:rPr>
        <w:t>sono dati corretti, che la procura ha acquisito e sta acquisendo. Le vicende societarie [</w:t>
      </w:r>
      <w:r>
        <w:rPr>
          <w:rFonts w:hAnsi="Book Antiqua" w:hint="default"/>
          <w:rtl w:val="0"/>
          <w:lang w:val="it-IT"/>
        </w:rPr>
        <w:t>…</w:t>
      </w:r>
      <w:r>
        <w:rPr>
          <w:rFonts w:ascii="Book Antiqua"/>
          <w:rtl w:val="0"/>
          <w:lang w:val="it-IT"/>
        </w:rPr>
        <w:t>] dell'Eco X e dell'Eco Servizi per l'Ambiente sono sotto attento vaglio della procura perch</w:t>
      </w:r>
      <w:r>
        <w:rPr>
          <w:rFonts w:hAnsi="Book Antiqua" w:hint="default"/>
          <w:rtl w:val="0"/>
          <w:lang w:val="it-IT"/>
        </w:rPr>
        <w:t>é</w:t>
      </w:r>
      <w:r>
        <w:rPr>
          <w:rFonts w:ascii="Book Antiqua"/>
          <w:rtl w:val="0"/>
          <w:lang w:val="it-IT"/>
        </w:rPr>
        <w:t>, indubbiamente, ci sono degli aspetti meritevoli di approfondimento circa le operazioni poste in essere fra le due societ</w:t>
      </w:r>
      <w:r>
        <w:rPr>
          <w:rFonts w:hAnsi="Book Antiqua" w:hint="default"/>
          <w:rtl w:val="0"/>
          <w:lang w:val="it-IT"/>
        </w:rPr>
        <w:t xml:space="preserve">à </w:t>
      </w:r>
      <w:r>
        <w:rPr>
          <w:rFonts w:ascii="Book Antiqua"/>
          <w:rtl w:val="0"/>
          <w:lang w:val="it-IT"/>
        </w:rPr>
        <w:t xml:space="preserve">e anche in merito alle posizioni soggettive e ai personaggi citati. Su questi aspetti l'indagine </w:t>
      </w:r>
      <w:r>
        <w:rPr>
          <w:rFonts w:hAnsi="Book Antiqua" w:hint="default"/>
          <w:rtl w:val="0"/>
          <w:lang w:val="it-IT"/>
        </w:rPr>
        <w:t>è</w:t>
      </w:r>
      <w:r>
        <w:rPr>
          <w:rFonts w:ascii="Book Antiqua"/>
          <w:rtl w:val="0"/>
          <w:lang w:val="it-IT"/>
        </w:rPr>
        <w:t xml:space="preserve">, ovviamente, in una fase iniziale, ma </w:t>
      </w:r>
      <w:r>
        <w:rPr>
          <w:rFonts w:hAnsi="Book Antiqua" w:hint="default"/>
          <w:rtl w:val="0"/>
          <w:lang w:val="it-IT"/>
        </w:rPr>
        <w:t xml:space="preserve">è – </w:t>
      </w:r>
      <w:r>
        <w:rPr>
          <w:rFonts w:ascii="Book Antiqua"/>
          <w:rtl w:val="0"/>
          <w:lang w:val="it-IT"/>
        </w:rPr>
        <w:t>per cos</w:t>
      </w:r>
      <w:r>
        <w:rPr>
          <w:rFonts w:hAnsi="Book Antiqua" w:hint="default"/>
          <w:rtl w:val="0"/>
          <w:lang w:val="it-IT"/>
        </w:rPr>
        <w:t xml:space="preserve">ì </w:t>
      </w:r>
      <w:r>
        <w:rPr>
          <w:rFonts w:ascii="Book Antiqua"/>
          <w:rtl w:val="0"/>
          <w:lang w:val="it-IT"/>
        </w:rPr>
        <w:t xml:space="preserve">dire </w:t>
      </w:r>
      <w:r>
        <w:rPr>
          <w:rFonts w:hAnsi="Book Antiqua" w:hint="default"/>
          <w:rtl w:val="0"/>
          <w:lang w:val="it-IT"/>
        </w:rPr>
        <w:t xml:space="preserve">– </w:t>
      </w:r>
      <w:r>
        <w:rPr>
          <w:rFonts w:ascii="Book Antiqua"/>
          <w:rtl w:val="0"/>
          <w:lang w:val="it-IT"/>
        </w:rPr>
        <w:t xml:space="preserve">viva e sta affrontando anche tutte le questioni evidenziate sotto il profilo </w:t>
      </w:r>
      <w:r>
        <w:rPr>
          <w:rFonts w:hAnsi="Book Antiqua" w:hint="default"/>
          <w:rtl w:val="0"/>
          <w:lang w:val="it-IT"/>
        </w:rPr>
        <w:t xml:space="preserve">– </w:t>
      </w:r>
      <w:r>
        <w:rPr>
          <w:rFonts w:ascii="Book Antiqua"/>
          <w:rtl w:val="0"/>
          <w:lang w:val="it-IT"/>
        </w:rPr>
        <w:t xml:space="preserve">ripeto </w:t>
      </w:r>
      <w:r>
        <w:rPr>
          <w:rFonts w:hAnsi="Book Antiqua" w:hint="default"/>
          <w:rtl w:val="0"/>
          <w:lang w:val="it-IT"/>
        </w:rPr>
        <w:t xml:space="preserve">– </w:t>
      </w:r>
      <w:r>
        <w:rPr>
          <w:rFonts w:ascii="Book Antiqua"/>
          <w:rtl w:val="0"/>
          <w:lang w:val="it-IT"/>
        </w:rPr>
        <w:t>oggettivo e soggettivo.</w:t>
      </w:r>
      <w:r>
        <w:rPr>
          <w:rFonts w:hAnsi="Book Antiqua" w:hint="default"/>
          <w:rtl w:val="0"/>
          <w:lang w:val="it-IT"/>
        </w:rPr>
        <w:t>”</w:t>
      </w:r>
    </w:p>
    <w:p>
      <w:pPr>
        <w:pStyle w:val="Normal"/>
        <w:widowControl w:val="0"/>
        <w:ind w:left="567" w:right="567" w:firstLine="0"/>
        <w:jc w:val="both"/>
        <w:rPr>
          <w:rFonts w:ascii="Book Antiqua" w:cs="Book Antiqua" w:hAnsi="Book Antiqua" w:eastAsia="Book Antiqua"/>
        </w:rPr>
      </w:pPr>
      <w:r>
        <w:rPr>
          <w:rFonts w:ascii="Book Antiqua"/>
          <w:rtl w:val="0"/>
          <w:lang w:val="it-IT"/>
        </w:rPr>
        <w:t>Resta solo da aggiungere che le vicende societarie sono state oggetto di diverse domande rivolte dalla Commissione a Salvatore Guglielmino, procuratore speciale di Ecoservizi per l</w:t>
      </w:r>
      <w:r>
        <w:rPr>
          <w:rFonts w:hAnsi="Book Antiqua" w:hint="default"/>
          <w:rtl w:val="0"/>
          <w:lang w:val="it-IT"/>
        </w:rPr>
        <w:t>’</w:t>
      </w:r>
      <w:r>
        <w:rPr>
          <w:rFonts w:ascii="Book Antiqua"/>
          <w:rtl w:val="0"/>
          <w:lang w:val="it-IT"/>
        </w:rPr>
        <w:t>ambiente srl. audito, in presenza del suo difensore, il 30 maggio 2017, il quale ha fornito una versione piuttosto confusa e, in parte contraddittoria, confermando, tuttavia, che tali vicende erano dovute a difficolt</w:t>
      </w:r>
      <w:r>
        <w:rPr>
          <w:rFonts w:hAnsi="Book Antiqua" w:hint="default"/>
          <w:rtl w:val="0"/>
          <w:lang w:val="it-IT"/>
        </w:rPr>
        <w:t xml:space="preserve">à </w:t>
      </w:r>
      <w:r>
        <w:rPr>
          <w:rFonts w:ascii="Book Antiqua"/>
          <w:rtl w:val="0"/>
          <w:lang w:val="it-IT"/>
        </w:rPr>
        <w:t>finanziarie e che l</w:t>
      </w:r>
      <w:r>
        <w:rPr>
          <w:rFonts w:hAnsi="Book Antiqua" w:hint="default"/>
          <w:rtl w:val="0"/>
          <w:lang w:val="it-IT"/>
        </w:rPr>
        <w:t>’</w:t>
      </w:r>
      <w:r>
        <w:rPr>
          <w:rFonts w:ascii="Book Antiqua"/>
          <w:rtl w:val="0"/>
          <w:lang w:val="it-IT"/>
        </w:rPr>
        <w:t>azienda commerciava con altre societ</w:t>
      </w:r>
      <w:r>
        <w:rPr>
          <w:rFonts w:hAnsi="Book Antiqua" w:hint="default"/>
          <w:rtl w:val="0"/>
          <w:lang w:val="it-IT"/>
        </w:rPr>
        <w:t xml:space="preserve">à </w:t>
      </w:r>
      <w:r>
        <w:rPr>
          <w:rFonts w:ascii="Book Antiqua"/>
          <w:rtl w:val="0"/>
          <w:lang w:val="it-IT"/>
        </w:rPr>
        <w:t>e personaggi coinvolte in attivit</w:t>
      </w:r>
      <w:r>
        <w:rPr>
          <w:rFonts w:hAnsi="Book Antiqua" w:hint="default"/>
          <w:rtl w:val="0"/>
          <w:lang w:val="it-IT"/>
        </w:rPr>
        <w:t xml:space="preserve">à </w:t>
      </w:r>
      <w:r>
        <w:rPr>
          <w:rFonts w:ascii="Book Antiqua"/>
          <w:rtl w:val="0"/>
          <w:lang w:val="it-IT"/>
        </w:rPr>
        <w:t>criminose nel settore della gestione dei rifiuti.</w:t>
      </w:r>
    </w:p>
    <w:p>
      <w:pPr>
        <w:pStyle w:val="Normal"/>
        <w:ind w:left="567" w:right="567" w:firstLine="0"/>
        <w:jc w:val="both"/>
        <w:rPr>
          <w:rFonts w:ascii="Book Antiqua" w:cs="Book Antiqua" w:hAnsi="Book Antiqua" w:eastAsia="Book Antiqua"/>
        </w:rPr>
      </w:pPr>
      <w:r>
        <w:rPr>
          <w:rFonts w:ascii="Book Antiqua"/>
          <w:rtl w:val="0"/>
          <w:lang w:val="it-IT"/>
        </w:rPr>
        <w:t>Infine, a proposito di queste vicende societarie, si evidenzia che Antonio Buongiovanni, socio unico e amministratore unico di Ecoservizi per l</w:t>
      </w:r>
      <w:r>
        <w:rPr>
          <w:rFonts w:hAnsi="Book Antiqua" w:hint="default"/>
          <w:rtl w:val="0"/>
          <w:lang w:val="it-IT"/>
        </w:rPr>
        <w:t>’</w:t>
      </w:r>
      <w:r>
        <w:rPr>
          <w:rFonts w:ascii="Book Antiqua"/>
          <w:rtl w:val="0"/>
          <w:lang w:val="it-IT"/>
        </w:rPr>
        <w:t>ambiente S.r.l., convocato durante la missione del 30 maggio 2017, nella sua qualit</w:t>
      </w:r>
      <w:r>
        <w:rPr>
          <w:rFonts w:hAnsi="Book Antiqua" w:hint="default"/>
          <w:rtl w:val="0"/>
          <w:lang w:val="it-IT"/>
        </w:rPr>
        <w:t xml:space="preserve">à </w:t>
      </w:r>
      <w:r>
        <w:rPr>
          <w:rFonts w:ascii="Book Antiqua"/>
          <w:rtl w:val="0"/>
          <w:lang w:val="it-IT"/>
        </w:rPr>
        <w:t xml:space="preserve">di indagato per i fatti di cui la Commissione si stava contestualmente occupando, si </w:t>
      </w:r>
      <w:r>
        <w:rPr>
          <w:rFonts w:hAnsi="Book Antiqua" w:hint="default"/>
          <w:rtl w:val="0"/>
          <w:lang w:val="it-IT"/>
        </w:rPr>
        <w:t xml:space="preserve">è </w:t>
      </w:r>
      <w:r>
        <w:rPr>
          <w:rFonts w:ascii="Book Antiqua"/>
          <w:rtl w:val="0"/>
          <w:lang w:val="it-IT"/>
        </w:rPr>
        <w:t>avvalso della facolt</w:t>
      </w:r>
      <w:r>
        <w:rPr>
          <w:rFonts w:hAnsi="Book Antiqua" w:hint="default"/>
          <w:rtl w:val="0"/>
          <w:lang w:val="it-IT"/>
        </w:rPr>
        <w:t xml:space="preserve">à </w:t>
      </w:r>
      <w:r>
        <w:rPr>
          <w:rFonts w:ascii="Book Antiqua"/>
          <w:rtl w:val="0"/>
          <w:lang w:val="it-IT"/>
        </w:rPr>
        <w:t>di non rispondere.</w:t>
      </w:r>
    </w:p>
    <w:p>
      <w:pPr>
        <w:pStyle w:val="Normal"/>
        <w:widowControl w:val="0"/>
        <w:ind w:left="567" w:right="567" w:firstLine="0"/>
        <w:rPr>
          <w:rtl w:val="0"/>
        </w:rPr>
      </w:pPr>
      <w:r>
        <w:rPr>
          <w:rtl w:val="0"/>
          <w:lang w:val="it-IT"/>
        </w:rPr>
        <w:t xml:space="preserve">  </w:t>
      </w:r>
    </w:p>
    <w:p>
      <w:pPr>
        <w:pStyle w:val="Normal"/>
        <w:widowControl w:val="0"/>
        <w:ind w:left="567" w:right="567" w:firstLine="0"/>
        <w:rPr>
          <w:rFonts w:ascii="Book Antiqua" w:cs="Book Antiqua" w:hAnsi="Book Antiqua" w:eastAsia="Book Antiqua"/>
          <w:i w:val="1"/>
          <w:iCs w:val="1"/>
        </w:rPr>
      </w:pPr>
      <w:r>
        <w:rPr>
          <w:rFonts w:ascii="Book Antiqua"/>
          <w:i w:val="1"/>
          <w:iCs w:val="1"/>
          <w:rtl w:val="0"/>
          <w:lang w:val="it-IT"/>
        </w:rPr>
        <w:t>I controlli</w:t>
      </w:r>
    </w:p>
    <w:p>
      <w:pPr>
        <w:pStyle w:val="Normal"/>
        <w:ind w:left="567" w:right="567" w:firstLine="0"/>
        <w:rPr>
          <w:rFonts w:ascii="Book Antiqua" w:cs="Book Antiqua" w:hAnsi="Book Antiqua" w:eastAsia="Book Antiqua"/>
        </w:rPr>
      </w:pPr>
    </w:p>
    <w:p>
      <w:pPr>
        <w:pStyle w:val="Normal"/>
        <w:ind w:left="567" w:right="567" w:firstLine="0"/>
        <w:jc w:val="both"/>
        <w:rPr>
          <w:rFonts w:ascii="Book Antiqua" w:cs="Book Antiqua" w:hAnsi="Book Antiqua" w:eastAsia="Book Antiqua"/>
        </w:rPr>
      </w:pPr>
      <w:r>
        <w:rPr>
          <w:rFonts w:ascii="Book Antiqua"/>
          <w:rtl w:val="0"/>
          <w:lang w:val="it-IT"/>
        </w:rPr>
        <w:t>Strettamente collegata alle vicende autorizzative appare la problematica dei controlli.</w:t>
      </w:r>
    </w:p>
    <w:p>
      <w:pPr>
        <w:pStyle w:val="Normal"/>
        <w:ind w:left="567" w:right="567" w:firstLine="0"/>
        <w:jc w:val="both"/>
        <w:rPr>
          <w:rFonts w:ascii="Book Antiqua" w:cs="Book Antiqua" w:hAnsi="Book Antiqua" w:eastAsia="Book Antiqua"/>
        </w:rPr>
      </w:pPr>
      <w:r>
        <w:rPr>
          <w:rFonts w:ascii="Book Antiqua"/>
          <w:rtl w:val="0"/>
          <w:lang w:val="it-IT"/>
        </w:rPr>
        <w:t>Quanto al comune, Fabio Fucci, sindaco di Pomezia, ascoltato nel corso della missione, precisava che le competenze del comune in proposito riguardano solo la materia urbanistica e, richiesto circa la posizione dell</w:t>
      </w:r>
      <w:r>
        <w:rPr>
          <w:rFonts w:hAnsi="Book Antiqua" w:hint="default"/>
          <w:rtl w:val="0"/>
          <w:lang w:val="it-IT"/>
        </w:rPr>
        <w:t>’</w:t>
      </w:r>
      <w:r>
        <w:rPr>
          <w:rFonts w:ascii="Book Antiqua"/>
          <w:rtl w:val="0"/>
          <w:lang w:val="it-IT"/>
        </w:rPr>
        <w:t>Eco X come industria insalubre ai sensi dell</w:t>
      </w:r>
      <w:r>
        <w:rPr>
          <w:rFonts w:hAnsi="Book Antiqua" w:hint="default"/>
          <w:rtl w:val="0"/>
          <w:lang w:val="it-IT"/>
        </w:rPr>
        <w:t>’</w:t>
      </w:r>
      <w:r>
        <w:rPr>
          <w:rFonts w:ascii="Book Antiqua"/>
          <w:rtl w:val="0"/>
          <w:lang w:val="it-IT"/>
        </w:rPr>
        <w:t>articolo 216 T.U. LL.SS del 1934, rispondeva di non aver trovato, negli incartamenti, un particolare riferimento alla normativa riguardo a questo tipo di attivit</w:t>
      </w:r>
      <w:r>
        <w:rPr>
          <w:rFonts w:hAnsi="Book Antiqua" w:hint="default"/>
          <w:rtl w:val="0"/>
          <w:lang w:val="it-IT"/>
        </w:rPr>
        <w:t>à</w:t>
      </w:r>
      <w:r>
        <w:rPr>
          <w:rFonts w:ascii="Book Antiqua"/>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 xml:space="preserve">Dal canto suo, Marco Lupo, </w:t>
      </w:r>
      <w:r>
        <w:rPr>
          <w:rFonts w:ascii="Book Antiqua"/>
          <w:rtl w:val="0"/>
          <w:lang w:val="it-IT"/>
        </w:rPr>
        <w:t>direttore generale di ARPA Lazio</w:t>
      </w:r>
      <w:r>
        <w:rPr>
          <w:rFonts w:ascii="Book Antiqua"/>
          <w:i w:val="1"/>
          <w:iCs w:val="1"/>
          <w:rtl w:val="0"/>
          <w:lang w:val="it-IT"/>
        </w:rPr>
        <w:t>,</w:t>
      </w:r>
      <w:r>
        <w:rPr>
          <w:rFonts w:ascii="Book Antiqua"/>
          <w:rtl w:val="0"/>
          <w:lang w:val="it-IT"/>
        </w:rPr>
        <w:t xml:space="preserve"> nell</w:t>
      </w:r>
      <w:r>
        <w:rPr>
          <w:rFonts w:hAnsi="Book Antiqua" w:hint="default"/>
          <w:rtl w:val="0"/>
          <w:lang w:val="it-IT"/>
        </w:rPr>
        <w:t>’</w:t>
      </w:r>
      <w:r>
        <w:rPr>
          <w:rFonts w:ascii="Book Antiqua"/>
          <w:rtl w:val="0"/>
          <w:lang w:val="it-IT"/>
        </w:rPr>
        <w:t xml:space="preserve">audizione del 24 maggio 2017, ricordava che </w:t>
      </w:r>
      <w:r>
        <w:rPr>
          <w:rFonts w:hAnsi="Book Antiqua" w:hint="default"/>
          <w:rtl w:val="0"/>
          <w:lang w:val="it-IT"/>
        </w:rPr>
        <w:t>“</w:t>
      </w:r>
      <w:r>
        <w:rPr>
          <w:rFonts w:ascii="Book Antiqua"/>
          <w:rtl w:val="0"/>
          <w:lang w:val="it-IT"/>
        </w:rPr>
        <w:t>per quanto riguarda i controlli, certamente diamo una maggiore importanza agli impianti in autorizzazione integrata ambientale, non solo perch</w:t>
      </w:r>
      <w:r>
        <w:rPr>
          <w:rFonts w:hAnsi="Book Antiqua" w:hint="default"/>
          <w:rtl w:val="0"/>
          <w:lang w:val="it-IT"/>
        </w:rPr>
        <w:t xml:space="preserve">é </w:t>
      </w:r>
      <w:r>
        <w:rPr>
          <w:rFonts w:ascii="Book Antiqua"/>
          <w:rtl w:val="0"/>
          <w:lang w:val="it-IT"/>
        </w:rPr>
        <w:t>sono pi</w:t>
      </w:r>
      <w:r>
        <w:rPr>
          <w:rFonts w:hAnsi="Book Antiqua" w:hint="default"/>
          <w:rtl w:val="0"/>
          <w:lang w:val="it-IT"/>
        </w:rPr>
        <w:t xml:space="preserve">ù </w:t>
      </w:r>
      <w:r>
        <w:rPr>
          <w:rFonts w:ascii="Book Antiqua"/>
          <w:rtl w:val="0"/>
          <w:lang w:val="it-IT"/>
        </w:rPr>
        <w:t>importanti ma anche perch</w:t>
      </w:r>
      <w:r>
        <w:rPr>
          <w:rFonts w:hAnsi="Book Antiqua" w:hint="default"/>
          <w:rtl w:val="0"/>
          <w:lang w:val="it-IT"/>
        </w:rPr>
        <w:t xml:space="preserve">é </w:t>
      </w:r>
      <w:r>
        <w:rPr>
          <w:rFonts w:ascii="Book Antiqua"/>
          <w:rtl w:val="0"/>
          <w:lang w:val="it-IT"/>
        </w:rPr>
        <w:t xml:space="preserve">facciamo in via esclusiva il controllo. Viceversa, per gli impianti </w:t>
      </w:r>
      <w:r>
        <w:rPr>
          <w:rFonts w:ascii="Book Antiqua"/>
          <w:i w:val="1"/>
          <w:iCs w:val="1"/>
          <w:rtl w:val="0"/>
          <w:lang w:val="it-IT"/>
        </w:rPr>
        <w:t>ex</w:t>
      </w:r>
      <w:r>
        <w:rPr>
          <w:rFonts w:ascii="Book Antiqua"/>
          <w:rtl w:val="0"/>
          <w:lang w:val="it-IT"/>
        </w:rPr>
        <w:t xml:space="preserve"> articolo 208, ma anche per quelli in semplificata, anche per quelli in AUA </w:t>
      </w:r>
      <w:r>
        <w:rPr>
          <w:rFonts w:hAnsi="Book Antiqua" w:hint="default"/>
          <w:rtl w:val="0"/>
          <w:lang w:val="it-IT"/>
        </w:rPr>
        <w:t xml:space="preserve">– </w:t>
      </w:r>
      <w:r>
        <w:rPr>
          <w:rFonts w:ascii="Book Antiqua"/>
          <w:rtl w:val="0"/>
          <w:lang w:val="it-IT"/>
        </w:rPr>
        <w:t xml:space="preserve">sono tanti gli impianti connessi al ciclo dei rifiuti, i soggetti che li autorizzano e le tipologie </w:t>
      </w:r>
      <w:r>
        <w:rPr>
          <w:rFonts w:hAnsi="Book Antiqua" w:hint="default"/>
          <w:rtl w:val="0"/>
          <w:lang w:val="it-IT"/>
        </w:rPr>
        <w:t xml:space="preserve">– </w:t>
      </w:r>
      <w:r>
        <w:rPr>
          <w:rFonts w:ascii="Book Antiqua"/>
          <w:rtl w:val="0"/>
          <w:lang w:val="it-IT"/>
        </w:rPr>
        <w:t>sarebbe una competenza precipua della provincia, mi pare ai sensi dell</w:t>
      </w:r>
      <w:r>
        <w:rPr>
          <w:rFonts w:hAnsi="Book Antiqua" w:hint="default"/>
          <w:rtl w:val="0"/>
          <w:lang w:val="it-IT"/>
        </w:rPr>
        <w:t>’</w:t>
      </w:r>
      <w:r>
        <w:rPr>
          <w:rFonts w:ascii="Book Antiqua"/>
          <w:rtl w:val="0"/>
          <w:lang w:val="it-IT"/>
        </w:rPr>
        <w:t xml:space="preserve">articolo 197 del 152. </w:t>
      </w:r>
      <w:r>
        <w:rPr>
          <w:rFonts w:hAnsi="Book Antiqua" w:hint="default"/>
          <w:rtl w:val="0"/>
          <w:lang w:val="it-IT"/>
        </w:rPr>
        <w:t xml:space="preserve">È </w:t>
      </w:r>
      <w:r>
        <w:rPr>
          <w:rFonts w:ascii="Book Antiqua"/>
          <w:rtl w:val="0"/>
          <w:lang w:val="it-IT"/>
        </w:rPr>
        <w:t>chiaro che nella nostra attivit</w:t>
      </w:r>
      <w:r>
        <w:rPr>
          <w:rFonts w:hAnsi="Book Antiqua" w:hint="default"/>
          <w:rtl w:val="0"/>
          <w:lang w:val="it-IT"/>
        </w:rPr>
        <w:t xml:space="preserve">à </w:t>
      </w:r>
      <w:r>
        <w:rPr>
          <w:rFonts w:ascii="Book Antiqua"/>
          <w:rtl w:val="0"/>
          <w:lang w:val="it-IT"/>
        </w:rPr>
        <w:t>cerchiamo comunque di programmare dei controlli anche su questo tipo di impianti: ne facciamo, ma teniamo conto che nella regione Lazio gli impianti connessi al ciclo dei rifiuti, se ricomprendiamo sia quelli in AIA, sia quelli in 208, sia quelli in semplificata, sia quelli in AUA, sono pi</w:t>
      </w:r>
      <w:r>
        <w:rPr>
          <w:rFonts w:hAnsi="Book Antiqua" w:hint="default"/>
          <w:rtl w:val="0"/>
          <w:lang w:val="it-IT"/>
        </w:rPr>
        <w:t xml:space="preserve">ù </w:t>
      </w:r>
      <w:r>
        <w:rPr>
          <w:rFonts w:ascii="Book Antiqua"/>
          <w:rtl w:val="0"/>
          <w:lang w:val="it-IT"/>
        </w:rPr>
        <w:t xml:space="preserve">di mille. </w:t>
      </w:r>
      <w:r>
        <w:rPr>
          <w:rFonts w:hAnsi="Book Antiqua" w:hint="default"/>
          <w:rtl w:val="0"/>
          <w:lang w:val="it-IT"/>
        </w:rPr>
        <w:t xml:space="preserve">È </w:t>
      </w:r>
      <w:r>
        <w:rPr>
          <w:rFonts w:ascii="Book Antiqua"/>
          <w:rtl w:val="0"/>
          <w:lang w:val="it-IT"/>
        </w:rPr>
        <w:t>chiaro che non si possono controllare, soprattutto quelli meno impattanti, con troppa frequenza. Io ho fatto una verifica. Sono soltanto da due anni all'ARPA, quindi insieme al dottor Ceradini, direttore della sezione di Roma, e all'ingegnere Cintoli, il direttore tecnico, abbiamo verificato il pregresso. Abbiamo verificato che tra la fine del 2013 e la fine del 2014 sono stati fatti due controlli sugli scarichi, quindi in particolare acque di lavaggio, dilavamento dei piazzali e scarichi anche di servizi igienici. I risultati sono stati trasmessi a tutti gli enti e, comunque, non sono state rilevate particolari anomalie. Ho verificato al protocollo che un controllo sull'impianto era stato fatto, un po</w:t>
      </w:r>
      <w:r>
        <w:rPr>
          <w:rFonts w:hAnsi="Book Antiqua" w:hint="default"/>
          <w:rtl w:val="0"/>
          <w:lang w:val="it-IT"/>
        </w:rPr>
        <w:t xml:space="preserve">’ </w:t>
      </w:r>
      <w:r>
        <w:rPr>
          <w:rFonts w:ascii="Book Antiqua"/>
          <w:rtl w:val="0"/>
          <w:lang w:val="it-IT"/>
        </w:rPr>
        <w:t xml:space="preserve">remoto, a fine 2011. L'impianto, evidentemente, era ancora di </w:t>
      </w:r>
      <w:r>
        <w:rPr>
          <w:rFonts w:hAnsi="Book Antiqua" w:hint="default"/>
          <w:rtl w:val="0"/>
          <w:lang w:val="it-IT"/>
        </w:rPr>
        <w:t>«</w:t>
      </w:r>
      <w:r>
        <w:rPr>
          <w:rFonts w:ascii="Book Antiqua"/>
          <w:rtl w:val="0"/>
          <w:lang w:val="it-IT"/>
        </w:rPr>
        <w:t>giovane autorizzazione</w:t>
      </w:r>
      <w:r>
        <w:rPr>
          <w:rFonts w:hAnsi="Book Antiqua" w:hint="default"/>
          <w:rtl w:val="0"/>
          <w:lang w:val="it-IT"/>
        </w:rPr>
        <w:t xml:space="preserve">» </w:t>
      </w:r>
      <w:r>
        <w:rPr>
          <w:rFonts w:ascii="Book Antiqua"/>
          <w:rtl w:val="0"/>
          <w:lang w:val="it-IT"/>
        </w:rPr>
        <w:t>perch</w:t>
      </w:r>
      <w:r>
        <w:rPr>
          <w:rFonts w:hAnsi="Book Antiqua" w:hint="default"/>
          <w:rtl w:val="0"/>
          <w:lang w:val="it-IT"/>
        </w:rPr>
        <w:t xml:space="preserve">é </w:t>
      </w:r>
      <w:r>
        <w:rPr>
          <w:rFonts w:ascii="Book Antiqua"/>
          <w:rtl w:val="0"/>
          <w:lang w:val="it-IT"/>
        </w:rPr>
        <w:t>era stato autorizzato nel 2010, quindi le quantit</w:t>
      </w:r>
      <w:r>
        <w:rPr>
          <w:rFonts w:hAnsi="Book Antiqua" w:hint="default"/>
          <w:rtl w:val="0"/>
          <w:lang w:val="it-IT"/>
        </w:rPr>
        <w:t xml:space="preserve">à </w:t>
      </w:r>
      <w:r>
        <w:rPr>
          <w:rFonts w:ascii="Book Antiqua"/>
          <w:rtl w:val="0"/>
          <w:lang w:val="it-IT"/>
        </w:rPr>
        <w:t xml:space="preserve">erano abbastanza limitate. Di questo controllo </w:t>
      </w:r>
      <w:r>
        <w:rPr>
          <w:rFonts w:hAnsi="Book Antiqua" w:hint="default"/>
          <w:rtl w:val="0"/>
          <w:lang w:val="it-IT"/>
        </w:rPr>
        <w:t xml:space="preserve">è </w:t>
      </w:r>
      <w:r>
        <w:rPr>
          <w:rFonts w:ascii="Book Antiqua"/>
          <w:rtl w:val="0"/>
          <w:lang w:val="it-IT"/>
        </w:rPr>
        <w:t xml:space="preserve">stata data </w:t>
      </w:r>
      <w:r>
        <w:rPr>
          <w:rFonts w:ascii="Book Antiqua"/>
          <w:i w:val="1"/>
          <w:iCs w:val="1"/>
          <w:rtl w:val="0"/>
          <w:lang w:val="it-IT"/>
        </w:rPr>
        <w:t>illo tempore</w:t>
      </w:r>
      <w:r>
        <w:rPr>
          <w:rFonts w:hAnsi="Book Antiqua" w:hint="default"/>
          <w:rtl w:val="0"/>
          <w:lang w:val="it-IT"/>
        </w:rPr>
        <w:t xml:space="preserve"> – </w:t>
      </w:r>
      <w:r>
        <w:rPr>
          <w:rFonts w:ascii="Book Antiqua"/>
          <w:rtl w:val="0"/>
          <w:lang w:val="it-IT"/>
        </w:rPr>
        <w:t xml:space="preserve">stiamo parlando di molti anni fa </w:t>
      </w:r>
      <w:r>
        <w:rPr>
          <w:rFonts w:hAnsi="Book Antiqua" w:hint="default"/>
          <w:rtl w:val="0"/>
          <w:lang w:val="it-IT"/>
        </w:rPr>
        <w:t xml:space="preserve">– </w:t>
      </w:r>
      <w:r>
        <w:rPr>
          <w:rFonts w:ascii="Book Antiqua"/>
          <w:rtl w:val="0"/>
          <w:lang w:val="it-IT"/>
        </w:rPr>
        <w:t xml:space="preserve">comunicazione alla regione e alla provincia, in quanto la provincia </w:t>
      </w:r>
      <w:r>
        <w:rPr>
          <w:rFonts w:hAnsi="Book Antiqua" w:hint="default"/>
          <w:rtl w:val="0"/>
          <w:lang w:val="it-IT"/>
        </w:rPr>
        <w:t xml:space="preserve">è </w:t>
      </w:r>
      <w:r>
        <w:rPr>
          <w:rFonts w:ascii="Book Antiqua"/>
          <w:rtl w:val="0"/>
          <w:lang w:val="it-IT"/>
        </w:rPr>
        <w:t xml:space="preserve">il soggetto competente all'irrogazione di eventuali sanzioni amministrative per inosservanze di prescrizioni. Questo </w:t>
      </w:r>
      <w:r>
        <w:rPr>
          <w:rFonts w:hAnsi="Book Antiqua" w:hint="default"/>
          <w:rtl w:val="0"/>
          <w:lang w:val="it-IT"/>
        </w:rPr>
        <w:t xml:space="preserve">è </w:t>
      </w:r>
      <w:r>
        <w:rPr>
          <w:rFonts w:ascii="Book Antiqua"/>
          <w:rtl w:val="0"/>
          <w:lang w:val="it-IT"/>
        </w:rPr>
        <w:t xml:space="preserve">il quadro in estrema sintesi. In generale, quando lei mi chiede del personale, quello </w:t>
      </w:r>
      <w:r>
        <w:rPr>
          <w:rFonts w:hAnsi="Book Antiqua" w:hint="default"/>
          <w:rtl w:val="0"/>
          <w:lang w:val="it-IT"/>
        </w:rPr>
        <w:t xml:space="preserve">è </w:t>
      </w:r>
      <w:r>
        <w:rPr>
          <w:rFonts w:ascii="Book Antiqua"/>
          <w:rtl w:val="0"/>
          <w:lang w:val="it-IT"/>
        </w:rPr>
        <w:t xml:space="preserve">un discorso molto complesso, che voi conoscete benissimo, che avete fatto anche diverse volte con me, quindi non lo sto a ripetere. </w:t>
      </w:r>
      <w:r>
        <w:rPr>
          <w:rFonts w:hAnsi="Book Antiqua" w:hint="default"/>
          <w:rtl w:val="0"/>
          <w:lang w:val="it-IT"/>
        </w:rPr>
        <w:t xml:space="preserve">È </w:t>
      </w:r>
      <w:r>
        <w:rPr>
          <w:rFonts w:ascii="Book Antiqua"/>
          <w:rtl w:val="0"/>
          <w:lang w:val="it-IT"/>
        </w:rPr>
        <w:t xml:space="preserve">un problema generalizzato. </w:t>
      </w:r>
      <w:r>
        <w:rPr>
          <w:rFonts w:hAnsi="Book Antiqua" w:hint="default"/>
          <w:rtl w:val="0"/>
          <w:lang w:val="it-IT"/>
        </w:rPr>
        <w:t xml:space="preserve">È </w:t>
      </w:r>
      <w:r>
        <w:rPr>
          <w:rFonts w:ascii="Book Antiqua"/>
          <w:rtl w:val="0"/>
          <w:lang w:val="it-IT"/>
        </w:rPr>
        <w:t xml:space="preserve">un discorso sul controllo ambientale che credo vada fatto nel suo complesso, soprattutto in considerazione del fatto che la legge n. 132 </w:t>
      </w:r>
      <w:r>
        <w:rPr>
          <w:rFonts w:hAnsi="Book Antiqua" w:hint="default"/>
          <w:rtl w:val="0"/>
          <w:lang w:val="it-IT"/>
        </w:rPr>
        <w:t xml:space="preserve">è </w:t>
      </w:r>
      <w:r>
        <w:rPr>
          <w:rFonts w:ascii="Book Antiqua"/>
          <w:rtl w:val="0"/>
          <w:lang w:val="it-IT"/>
        </w:rPr>
        <w:t xml:space="preserve">in fase di attuazione e pone degli obiettivi, in particolare quelli di rendere omogenei i controlli a livello nazionale, o comunque rendere omogenei i livelli di prestazione ambientale. </w:t>
      </w:r>
      <w:r>
        <w:rPr>
          <w:rFonts w:hAnsi="Book Antiqua" w:hint="default"/>
          <w:rtl w:val="0"/>
          <w:lang w:val="it-IT"/>
        </w:rPr>
        <w:t xml:space="preserve">È </w:t>
      </w:r>
      <w:r>
        <w:rPr>
          <w:rFonts w:ascii="Book Antiqua"/>
          <w:rtl w:val="0"/>
          <w:lang w:val="it-IT"/>
        </w:rPr>
        <w:t>chiaro che questo discorso diventa teorico se non si lavora poi sulle dotazioni umane e finanziarie. Questo, per</w:t>
      </w:r>
      <w:r>
        <w:rPr>
          <w:rFonts w:hAnsi="Book Antiqua" w:hint="default"/>
          <w:rtl w:val="0"/>
          <w:lang w:val="it-IT"/>
        </w:rPr>
        <w:t>ò</w:t>
      </w:r>
      <w:r>
        <w:rPr>
          <w:rFonts w:ascii="Book Antiqua"/>
          <w:rtl w:val="0"/>
          <w:lang w:val="it-IT"/>
        </w:rPr>
        <w:t xml:space="preserve">, </w:t>
      </w:r>
      <w:r>
        <w:rPr>
          <w:rFonts w:hAnsi="Book Antiqua" w:hint="default"/>
          <w:rtl w:val="0"/>
          <w:lang w:val="it-IT"/>
        </w:rPr>
        <w:t xml:space="preserve">è </w:t>
      </w:r>
      <w:r>
        <w:rPr>
          <w:rFonts w:ascii="Book Antiqua"/>
          <w:rtl w:val="0"/>
          <w:lang w:val="it-IT"/>
        </w:rPr>
        <w:t>un discorso molto pi</w:t>
      </w:r>
      <w:r>
        <w:rPr>
          <w:rFonts w:hAnsi="Book Antiqua" w:hint="default"/>
          <w:rtl w:val="0"/>
          <w:lang w:val="it-IT"/>
        </w:rPr>
        <w:t xml:space="preserve">ù </w:t>
      </w:r>
      <w:r>
        <w:rPr>
          <w:rFonts w:ascii="Book Antiqua"/>
          <w:rtl w:val="0"/>
          <w:lang w:val="it-IT"/>
        </w:rPr>
        <w:t xml:space="preserve">complesso. Quanto alla tipologia di impianto e di controlli, anche questo </w:t>
      </w:r>
      <w:r>
        <w:rPr>
          <w:rFonts w:hAnsi="Book Antiqua" w:hint="default"/>
          <w:rtl w:val="0"/>
          <w:lang w:val="it-IT"/>
        </w:rPr>
        <w:t xml:space="preserve">è </w:t>
      </w:r>
      <w:r>
        <w:rPr>
          <w:rFonts w:ascii="Book Antiqua"/>
          <w:rtl w:val="0"/>
          <w:lang w:val="it-IT"/>
        </w:rPr>
        <w:t>un discorso molto interessante. Certamente si pu</w:t>
      </w:r>
      <w:r>
        <w:rPr>
          <w:rFonts w:hAnsi="Book Antiqua" w:hint="default"/>
          <w:rtl w:val="0"/>
          <w:lang w:val="it-IT"/>
        </w:rPr>
        <w:t xml:space="preserve">ò </w:t>
      </w:r>
      <w:r>
        <w:rPr>
          <w:rFonts w:ascii="Book Antiqua"/>
          <w:rtl w:val="0"/>
          <w:lang w:val="it-IT"/>
        </w:rPr>
        <w:t>sempre migliorare nel programmare le attivit</w:t>
      </w:r>
      <w:r>
        <w:rPr>
          <w:rFonts w:hAnsi="Book Antiqua" w:hint="default"/>
          <w:rtl w:val="0"/>
          <w:lang w:val="it-IT"/>
        </w:rPr>
        <w:t xml:space="preserve">à </w:t>
      </w:r>
      <w:r>
        <w:rPr>
          <w:rFonts w:ascii="Book Antiqua"/>
          <w:rtl w:val="0"/>
          <w:lang w:val="it-IT"/>
        </w:rPr>
        <w:t>di controllo, tenuto conto che, chiaramente, l'attivit</w:t>
      </w:r>
      <w:r>
        <w:rPr>
          <w:rFonts w:hAnsi="Book Antiqua" w:hint="default"/>
          <w:rtl w:val="0"/>
          <w:lang w:val="it-IT"/>
        </w:rPr>
        <w:t xml:space="preserve">à </w:t>
      </w:r>
      <w:r>
        <w:rPr>
          <w:rFonts w:ascii="Book Antiqua"/>
          <w:rtl w:val="0"/>
          <w:lang w:val="it-IT"/>
        </w:rPr>
        <w:t>di controllo, non potendo coprire il cento per cento degli impianti, dovrebbe individuare quelli da controllare sulla base di criteri che siano quanto pi</w:t>
      </w:r>
      <w:r>
        <w:rPr>
          <w:rFonts w:hAnsi="Book Antiqua" w:hint="default"/>
          <w:rtl w:val="0"/>
          <w:lang w:val="it-IT"/>
        </w:rPr>
        <w:t xml:space="preserve">ù </w:t>
      </w:r>
      <w:r>
        <w:rPr>
          <w:rFonts w:ascii="Book Antiqua"/>
          <w:rtl w:val="0"/>
          <w:lang w:val="it-IT"/>
        </w:rPr>
        <w:t>possibile indicatori di possibili problematiche. Si dovrebbe cercare di fare il controllo nell'impianto che potrebbe avere pi</w:t>
      </w:r>
      <w:r>
        <w:rPr>
          <w:rFonts w:hAnsi="Book Antiqua" w:hint="default"/>
          <w:rtl w:val="0"/>
          <w:lang w:val="it-IT"/>
        </w:rPr>
        <w:t xml:space="preserve">ù </w:t>
      </w:r>
      <w:r>
        <w:rPr>
          <w:rFonts w:ascii="Book Antiqua"/>
          <w:rtl w:val="0"/>
          <w:lang w:val="it-IT"/>
        </w:rPr>
        <w:t>problematiche. Io credo che nei sistemi, nei metodi di programmazione dei controlli, anche dal punto di vista comunicativo, di coordinamento con altri enti, di scambio di informazioni con tutti i soggetti che si occupano del settore, vadano fatti certamente dei passi in avanti e si debba assolutamente migliorare</w:t>
      </w:r>
      <w:r>
        <w:rPr>
          <w:rFonts w:hAnsi="Book Antiqua" w:hint="default"/>
          <w:rtl w:val="0"/>
          <w:lang w:val="it-IT"/>
        </w:rPr>
        <w:t>”</w:t>
      </w:r>
      <w:r>
        <w:rPr>
          <w:rFonts w:ascii="Book Antiqua"/>
          <w:rtl w:val="0"/>
          <w:lang w:val="it-IT"/>
        </w:rPr>
        <w:t xml:space="preserve">. </w:t>
      </w:r>
    </w:p>
    <w:p>
      <w:pPr>
        <w:pStyle w:val="Normal"/>
        <w:ind w:left="567" w:right="567" w:firstLine="0"/>
        <w:jc w:val="both"/>
        <w:rPr>
          <w:rFonts w:ascii="Book Antiqua" w:cs="Book Antiqua" w:hAnsi="Book Antiqua" w:eastAsia="Book Antiqua"/>
        </w:rPr>
      </w:pPr>
      <w:r>
        <w:rPr>
          <w:rFonts w:ascii="Book Antiqua"/>
          <w:rtl w:val="0"/>
          <w:lang w:val="it-IT"/>
        </w:rPr>
        <w:t>Quanto alla ASL, la Commissione ha richiamato l</w:t>
      </w:r>
      <w:r>
        <w:rPr>
          <w:rFonts w:hAnsi="Book Antiqua" w:hint="default"/>
          <w:rtl w:val="0"/>
          <w:lang w:val="it-IT"/>
        </w:rPr>
        <w:t>’</w:t>
      </w:r>
      <w:r>
        <w:rPr>
          <w:rFonts w:ascii="Book Antiqua"/>
          <w:rtl w:val="0"/>
          <w:lang w:val="it-IT"/>
        </w:rPr>
        <w:t>attenzione sulle competenze in tema di sicurezza sul lavoro, visto che, in base alla relativa normativa, ogni azienda deve presentare e conservare un DVR (documento valutazione dei rischi) che deve contenere anche le norme antincendio e un piano di emergenza, nominando e formando adeguatamente addetti antincendio.</w:t>
      </w:r>
    </w:p>
    <w:p>
      <w:pPr>
        <w:pStyle w:val="Normal"/>
        <w:ind w:left="567" w:right="567" w:firstLine="0"/>
        <w:jc w:val="both"/>
        <w:rPr>
          <w:rFonts w:ascii="Book Antiqua" w:cs="Book Antiqua" w:hAnsi="Book Antiqua" w:eastAsia="Book Antiqua"/>
        </w:rPr>
      </w:pPr>
      <w:r>
        <w:rPr>
          <w:rFonts w:ascii="Book Antiqua"/>
          <w:rtl w:val="0"/>
          <w:lang w:val="it-IT"/>
        </w:rPr>
        <w:t>In proposito, Mariano Sigismondi, direttore del dipartimento prevenzione dell</w:t>
      </w:r>
      <w:r>
        <w:rPr>
          <w:rFonts w:hAnsi="Book Antiqua" w:hint="default"/>
          <w:rtl w:val="0"/>
          <w:lang w:val="it-IT"/>
        </w:rPr>
        <w:t>’</w:t>
      </w:r>
      <w:r>
        <w:rPr>
          <w:rFonts w:ascii="Book Antiqua"/>
          <w:rtl w:val="0"/>
          <w:lang w:val="it-IT"/>
        </w:rPr>
        <w:t xml:space="preserve">ASL 6, audito nel corso della missione del 30 maggio 2017, rispondeva che </w:t>
      </w:r>
      <w:r>
        <w:rPr>
          <w:rFonts w:hAnsi="Book Antiqua" w:hint="default"/>
          <w:rtl w:val="0"/>
          <w:lang w:val="it-IT"/>
        </w:rPr>
        <w:t>“</w:t>
      </w:r>
      <w:r>
        <w:rPr>
          <w:rFonts w:ascii="Book Antiqua"/>
          <w:rtl w:val="0"/>
          <w:lang w:val="it-IT"/>
        </w:rPr>
        <w:t>non abbiamo agli atti il documento di valutazione dei rischi: non l</w:t>
      </w:r>
      <w:r>
        <w:rPr>
          <w:rFonts w:hAnsi="Book Antiqua" w:hint="default"/>
          <w:rtl w:val="0"/>
          <w:lang w:val="it-IT"/>
        </w:rPr>
        <w:t>’</w:t>
      </w:r>
      <w:r>
        <w:rPr>
          <w:rFonts w:ascii="Book Antiqua"/>
          <w:rtl w:val="0"/>
          <w:lang w:val="it-IT"/>
        </w:rPr>
        <w:t>ho visto e non ne ho evidenza</w:t>
      </w:r>
      <w:r>
        <w:rPr>
          <w:rFonts w:hAnsi="Book Antiqua" w:hint="default"/>
          <w:rtl w:val="0"/>
          <w:lang w:val="it-IT"/>
        </w:rPr>
        <w:t>”</w:t>
      </w:r>
      <w:r>
        <w:rPr>
          <w:rFonts w:ascii="Book Antiqua"/>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La problematica dei controlli veniva ripresa, nel medesimo contesto, da Flaminia Tosini, dirigente dell</w:t>
      </w:r>
      <w:r>
        <w:rPr>
          <w:rFonts w:hAnsi="Book Antiqua" w:hint="default"/>
          <w:rtl w:val="0"/>
          <w:lang w:val="it-IT"/>
        </w:rPr>
        <w:t>’</w:t>
      </w:r>
      <w:r>
        <w:rPr>
          <w:rFonts w:ascii="Book Antiqua"/>
          <w:rtl w:val="0"/>
          <w:lang w:val="it-IT"/>
        </w:rPr>
        <w:t xml:space="preserve">area rifiuti della regione Lazio, la quale, evidenziava che il certificato di prevenzione incendi non </w:t>
      </w:r>
      <w:r>
        <w:rPr>
          <w:rFonts w:hAnsi="Book Antiqua" w:hint="default"/>
          <w:rtl w:val="0"/>
          <w:lang w:val="it-IT"/>
        </w:rPr>
        <w:t xml:space="preserve">è </w:t>
      </w:r>
      <w:r>
        <w:rPr>
          <w:rFonts w:ascii="Book Antiqua"/>
          <w:rtl w:val="0"/>
          <w:lang w:val="it-IT"/>
        </w:rPr>
        <w:t>condizione sine qua non per il rilascio di un</w:t>
      </w:r>
      <w:r>
        <w:rPr>
          <w:rFonts w:hAnsi="Book Antiqua" w:hint="default"/>
          <w:rtl w:val="0"/>
          <w:lang w:val="it-IT"/>
        </w:rPr>
        <w:t>’</w:t>
      </w:r>
      <w:r>
        <w:rPr>
          <w:rFonts w:ascii="Book Antiqua"/>
          <w:rtl w:val="0"/>
          <w:lang w:val="it-IT"/>
        </w:rPr>
        <w:t>autorizzazione all</w:t>
      </w:r>
      <w:r>
        <w:rPr>
          <w:rFonts w:hAnsi="Book Antiqua" w:hint="default"/>
          <w:rtl w:val="0"/>
          <w:lang w:val="it-IT"/>
        </w:rPr>
        <w:t>’</w:t>
      </w:r>
      <w:r>
        <w:rPr>
          <w:rFonts w:ascii="Book Antiqua"/>
          <w:rtl w:val="0"/>
          <w:lang w:val="it-IT"/>
        </w:rPr>
        <w:t>impianto di rifiuti, che per</w:t>
      </w:r>
      <w:r>
        <w:rPr>
          <w:rFonts w:hAnsi="Book Antiqua" w:hint="default"/>
          <w:rtl w:val="0"/>
          <w:lang w:val="it-IT"/>
        </w:rPr>
        <w:t xml:space="preserve">ò </w:t>
      </w:r>
      <w:r>
        <w:rPr>
          <w:rFonts w:ascii="Book Antiqua"/>
          <w:rtl w:val="0"/>
          <w:lang w:val="it-IT"/>
        </w:rPr>
        <w:t>va acquisito come normalmente avviene per qualsiasi altra attivit</w:t>
      </w:r>
      <w:r>
        <w:rPr>
          <w:rFonts w:hAnsi="Book Antiqua" w:hint="default"/>
          <w:rtl w:val="0"/>
          <w:lang w:val="it-IT"/>
        </w:rPr>
        <w:t xml:space="preserve">à </w:t>
      </w:r>
      <w:r>
        <w:rPr>
          <w:rFonts w:ascii="Book Antiqua"/>
          <w:rtl w:val="0"/>
          <w:lang w:val="it-IT"/>
        </w:rPr>
        <w:t>e qualsiasi permesso a costruire. Nel caso della Eco X era, per</w:t>
      </w:r>
      <w:r>
        <w:rPr>
          <w:rFonts w:hAnsi="Book Antiqua" w:hint="default"/>
          <w:rtl w:val="0"/>
          <w:lang w:val="it-IT"/>
        </w:rPr>
        <w:t>ò</w:t>
      </w:r>
      <w:r>
        <w:rPr>
          <w:rFonts w:ascii="Book Antiqua"/>
          <w:rtl w:val="0"/>
          <w:lang w:val="it-IT"/>
        </w:rPr>
        <w:t xml:space="preserve">, condizionato dalla presentazione di una perizia giurata da parte del tecnico, che </w:t>
      </w:r>
      <w:r>
        <w:rPr>
          <w:rFonts w:hAnsi="Book Antiqua" w:hint="default"/>
          <w:rtl w:val="0"/>
          <w:lang w:val="it-IT"/>
        </w:rPr>
        <w:t xml:space="preserve">è </w:t>
      </w:r>
      <w:r>
        <w:rPr>
          <w:rFonts w:ascii="Book Antiqua"/>
          <w:rtl w:val="0"/>
          <w:lang w:val="it-IT"/>
        </w:rPr>
        <w:t xml:space="preserve">stata presentata. E pertanto </w:t>
      </w:r>
      <w:r>
        <w:rPr>
          <w:rFonts w:hAnsi="Book Antiqua" w:hint="default"/>
          <w:rtl w:val="0"/>
          <w:lang w:val="it-IT"/>
        </w:rPr>
        <w:t>“</w:t>
      </w:r>
      <w:r>
        <w:rPr>
          <w:rFonts w:ascii="Book Antiqua"/>
          <w:rtl w:val="0"/>
          <w:lang w:val="it-IT"/>
        </w:rPr>
        <w:t>l</w:t>
      </w:r>
      <w:r>
        <w:rPr>
          <w:rFonts w:hAnsi="Book Antiqua" w:hint="default"/>
          <w:rtl w:val="0"/>
          <w:lang w:val="it-IT"/>
        </w:rPr>
        <w:t>’</w:t>
      </w:r>
      <w:r>
        <w:rPr>
          <w:rFonts w:ascii="Book Antiqua"/>
          <w:rtl w:val="0"/>
          <w:lang w:val="it-IT"/>
        </w:rPr>
        <w:t>attivit</w:t>
      </w:r>
      <w:r>
        <w:rPr>
          <w:rFonts w:hAnsi="Book Antiqua" w:hint="default"/>
          <w:rtl w:val="0"/>
          <w:lang w:val="it-IT"/>
        </w:rPr>
        <w:t xml:space="preserve">à </w:t>
      </w:r>
      <w:r>
        <w:rPr>
          <w:rFonts w:ascii="Book Antiqua"/>
          <w:rtl w:val="0"/>
          <w:lang w:val="it-IT"/>
        </w:rPr>
        <w:t>relativa alle polizze e alla documentazione presentata era coerente ed esaustiva rispetto ai requisiti previsti. Non si prevedevano sopralluoghi o altre verifiche, perch</w:t>
      </w:r>
      <w:r>
        <w:rPr>
          <w:rFonts w:hAnsi="Book Antiqua" w:hint="default"/>
          <w:rtl w:val="0"/>
          <w:lang w:val="it-IT"/>
        </w:rPr>
        <w:t xml:space="preserve">é </w:t>
      </w:r>
      <w:r>
        <w:rPr>
          <w:rFonts w:ascii="Book Antiqua"/>
          <w:rtl w:val="0"/>
          <w:lang w:val="it-IT"/>
        </w:rPr>
        <w:t>quelli si fanno solamente in caso di modifiche sostanziali, e non era questo il caso</w:t>
      </w:r>
      <w:r>
        <w:rPr>
          <w:rFonts w:hAnsi="Book Antiqua" w:hint="default"/>
          <w:rtl w:val="0"/>
          <w:lang w:val="it-IT"/>
        </w:rPr>
        <w:t>”</w:t>
      </w:r>
      <w:r>
        <w:rPr>
          <w:rFonts w:ascii="Book Antiqua"/>
          <w:rtl w:val="0"/>
          <w:lang w:val="it-IT"/>
        </w:rPr>
        <w:t xml:space="preserve">; aggiungendo che </w:t>
      </w:r>
      <w:r>
        <w:rPr>
          <w:rFonts w:hAnsi="Book Antiqua" w:hint="default"/>
          <w:rtl w:val="0"/>
          <w:lang w:val="it-IT"/>
        </w:rPr>
        <w:t>“</w:t>
      </w:r>
      <w:r>
        <w:rPr>
          <w:rFonts w:ascii="Book Antiqua"/>
          <w:rtl w:val="0"/>
          <w:lang w:val="it-IT"/>
        </w:rPr>
        <w:t>per quanto riguarda, invece, le attivit</w:t>
      </w:r>
      <w:r>
        <w:rPr>
          <w:rFonts w:hAnsi="Book Antiqua" w:hint="default"/>
          <w:rtl w:val="0"/>
          <w:lang w:val="it-IT"/>
        </w:rPr>
        <w:t xml:space="preserve">à </w:t>
      </w:r>
      <w:r>
        <w:rPr>
          <w:rFonts w:ascii="Book Antiqua"/>
          <w:rtl w:val="0"/>
          <w:lang w:val="it-IT"/>
        </w:rPr>
        <w:t>di controllo effettuate sull</w:t>
      </w:r>
      <w:r>
        <w:rPr>
          <w:rFonts w:hAnsi="Book Antiqua" w:hint="default"/>
          <w:rtl w:val="0"/>
          <w:lang w:val="it-IT"/>
        </w:rPr>
        <w:t>’</w:t>
      </w:r>
      <w:r>
        <w:rPr>
          <w:rFonts w:ascii="Book Antiqua"/>
          <w:rtl w:val="0"/>
          <w:lang w:val="it-IT"/>
        </w:rPr>
        <w:t>impianto, ci sono una serie di controlli effettuati con pareri dell</w:t>
      </w:r>
      <w:r>
        <w:rPr>
          <w:rFonts w:hAnsi="Book Antiqua" w:hint="default"/>
          <w:rtl w:val="0"/>
          <w:lang w:val="it-IT"/>
        </w:rPr>
        <w:t>’</w:t>
      </w:r>
      <w:r>
        <w:rPr>
          <w:rFonts w:ascii="Book Antiqua"/>
          <w:rtl w:val="0"/>
          <w:lang w:val="it-IT"/>
        </w:rPr>
        <w:t>ARPA anche relativi al piano di monitoraggio e controllo. Successivamente si fa presente che l</w:t>
      </w:r>
      <w:r>
        <w:rPr>
          <w:rFonts w:hAnsi="Book Antiqua" w:hint="default"/>
          <w:rtl w:val="0"/>
          <w:lang w:val="it-IT"/>
        </w:rPr>
        <w:t>’</w:t>
      </w:r>
      <w:r>
        <w:rPr>
          <w:rFonts w:ascii="Book Antiqua"/>
          <w:rtl w:val="0"/>
          <w:lang w:val="it-IT"/>
        </w:rPr>
        <w:t xml:space="preserve">articolo 210, che ora </w:t>
      </w:r>
      <w:r>
        <w:rPr>
          <w:rFonts w:hAnsi="Book Antiqua" w:hint="default"/>
          <w:rtl w:val="0"/>
          <w:lang w:val="it-IT"/>
        </w:rPr>
        <w:t xml:space="preserve">è </w:t>
      </w:r>
      <w:r>
        <w:rPr>
          <w:rFonts w:ascii="Book Antiqua"/>
          <w:rtl w:val="0"/>
          <w:lang w:val="it-IT"/>
        </w:rPr>
        <w:t>208 nel testo del decreto n. 152, prevede che i controlli siano a carico della provincia. Mentre per le AIA l</w:t>
      </w:r>
      <w:r>
        <w:rPr>
          <w:rFonts w:hAnsi="Book Antiqua" w:hint="default"/>
          <w:rtl w:val="0"/>
          <w:lang w:val="it-IT"/>
        </w:rPr>
        <w:t>’</w:t>
      </w:r>
      <w:r>
        <w:rPr>
          <w:rFonts w:ascii="Book Antiqua"/>
          <w:rtl w:val="0"/>
          <w:lang w:val="it-IT"/>
        </w:rPr>
        <w:t>autorizzazione rimane in carico alla regione, che effettua le verifiche tramite ARPA, per i 208 le attivit</w:t>
      </w:r>
      <w:r>
        <w:rPr>
          <w:rFonts w:hAnsi="Book Antiqua" w:hint="default"/>
          <w:rtl w:val="0"/>
          <w:lang w:val="it-IT"/>
        </w:rPr>
        <w:t xml:space="preserve">à </w:t>
      </w:r>
      <w:r>
        <w:rPr>
          <w:rFonts w:ascii="Book Antiqua"/>
          <w:rtl w:val="0"/>
          <w:lang w:val="it-IT"/>
        </w:rPr>
        <w:t>stanno in carico in questo caso alla citt</w:t>
      </w:r>
      <w:r>
        <w:rPr>
          <w:rFonts w:hAnsi="Book Antiqua" w:hint="default"/>
          <w:rtl w:val="0"/>
          <w:lang w:val="it-IT"/>
        </w:rPr>
        <w:t xml:space="preserve">à </w:t>
      </w:r>
      <w:r>
        <w:rPr>
          <w:rFonts w:ascii="Book Antiqua"/>
          <w:rtl w:val="0"/>
          <w:lang w:val="it-IT"/>
        </w:rPr>
        <w:t>metropolitana. Non abbiamo avuto nessun tipo di segnalazione n</w:t>
      </w:r>
      <w:r>
        <w:rPr>
          <w:rFonts w:hAnsi="Book Antiqua" w:hint="default"/>
          <w:rtl w:val="0"/>
          <w:lang w:val="it-IT"/>
        </w:rPr>
        <w:t xml:space="preserve">é </w:t>
      </w:r>
      <w:r>
        <w:rPr>
          <w:rFonts w:ascii="Book Antiqua"/>
          <w:rtl w:val="0"/>
          <w:lang w:val="it-IT"/>
        </w:rPr>
        <w:t>altro relativamente alla gestione di questo impianto. Normalmente noi riceviamo dai sopralluoghi di ARPA segnalazioni di inottemperanza oppure a volte ci sono casi di segnalazioni degli enti competenti o anche di cittadini, ma su questo impianto non c</w:t>
      </w:r>
      <w:r>
        <w:rPr>
          <w:rFonts w:hAnsi="Book Antiqua" w:hint="default"/>
          <w:rtl w:val="0"/>
          <w:lang w:val="it-IT"/>
        </w:rPr>
        <w:t xml:space="preserve">’è </w:t>
      </w:r>
      <w:r>
        <w:rPr>
          <w:rFonts w:ascii="Book Antiqua"/>
          <w:rtl w:val="0"/>
          <w:lang w:val="it-IT"/>
        </w:rPr>
        <w:t>stata nessuna segnalazione agli atti della regione</w:t>
      </w:r>
      <w:r>
        <w:rPr>
          <w:rFonts w:hAnsi="Book Antiqua" w:hint="default"/>
          <w:rtl w:val="0"/>
          <w:lang w:val="it-IT"/>
        </w:rPr>
        <w:t>”</w:t>
      </w:r>
      <w:r>
        <w:rPr>
          <w:rFonts w:ascii="Book Antiqua"/>
          <w:rtl w:val="0"/>
          <w:lang w:val="it-IT"/>
        </w:rPr>
        <w:t xml:space="preserve">. </w:t>
      </w:r>
    </w:p>
    <w:p>
      <w:pPr>
        <w:pStyle w:val="Normal"/>
        <w:ind w:right="567"/>
        <w:jc w:val="both"/>
        <w:rPr>
          <w:rFonts w:ascii="Book Antiqua" w:cs="Book Antiqua" w:hAnsi="Book Antiqua" w:eastAsia="Book Antiqua"/>
        </w:rPr>
      </w:pPr>
    </w:p>
    <w:p>
      <w:pPr>
        <w:pStyle w:val="intervento"/>
        <w:spacing w:before="0" w:after="0"/>
        <w:ind w:left="567" w:right="567" w:firstLine="0"/>
        <w:jc w:val="both"/>
        <w:rPr>
          <w:rFonts w:ascii="Book Antiqua" w:cs="Book Antiqua" w:hAnsi="Book Antiqua" w:eastAsia="Book Antiqua"/>
          <w:i w:val="1"/>
          <w:iCs w:val="1"/>
        </w:rPr>
      </w:pPr>
      <w:r>
        <w:rPr>
          <w:rFonts w:ascii="Book Antiqua"/>
          <w:i w:val="1"/>
          <w:iCs w:val="1"/>
          <w:rtl w:val="0"/>
          <w:lang w:val="it-IT"/>
        </w:rPr>
        <w:t>Gli esposti dei cittadini prima dell</w:t>
      </w:r>
      <w:r>
        <w:rPr>
          <w:rFonts w:hAnsi="Book Antiqua" w:hint="default"/>
          <w:i w:val="1"/>
          <w:iCs w:val="1"/>
          <w:rtl w:val="0"/>
          <w:lang w:val="it-IT"/>
        </w:rPr>
        <w:t>’</w:t>
      </w:r>
      <w:r>
        <w:rPr>
          <w:rFonts w:ascii="Book Antiqua"/>
          <w:i w:val="1"/>
          <w:iCs w:val="1"/>
          <w:rtl w:val="0"/>
          <w:lang w:val="it-IT"/>
        </w:rPr>
        <w:t>incendio</w:t>
      </w:r>
    </w:p>
    <w:p>
      <w:pPr>
        <w:pStyle w:val="intervento"/>
        <w:spacing w:before="0" w:after="0"/>
        <w:ind w:left="567" w:right="567" w:firstLine="0"/>
        <w:jc w:val="both"/>
        <w:rPr>
          <w:rFonts w:ascii="Book Antiqua" w:cs="Book Antiqua" w:hAnsi="Book Antiqua" w:eastAsia="Book Antiqua"/>
        </w:rPr>
      </w:pPr>
    </w:p>
    <w:p>
      <w:pPr>
        <w:pStyle w:val="intervento"/>
        <w:spacing w:before="0" w:after="0"/>
        <w:ind w:left="567" w:right="567" w:firstLine="0"/>
        <w:jc w:val="both"/>
        <w:rPr>
          <w:rFonts w:ascii="Book Antiqua" w:cs="Book Antiqua" w:hAnsi="Book Antiqua" w:eastAsia="Book Antiqua"/>
        </w:rPr>
      </w:pPr>
      <w:r>
        <w:rPr>
          <w:rFonts w:ascii="Book Antiqua"/>
          <w:rtl w:val="0"/>
          <w:lang w:val="it-IT"/>
        </w:rPr>
        <w:t>La Commissione ha approfondito anche la tematica, ampiamente riportata dalla stampa, relativa agli esposti di cittadini e comitati contro l</w:t>
      </w:r>
      <w:r>
        <w:rPr>
          <w:rFonts w:hAnsi="Book Antiqua" w:hint="default"/>
          <w:rtl w:val="0"/>
          <w:lang w:val="it-IT"/>
        </w:rPr>
        <w:t>’</w:t>
      </w:r>
      <w:r>
        <w:rPr>
          <w:rFonts w:ascii="Book Antiqua"/>
          <w:rtl w:val="0"/>
          <w:lang w:val="it-IT"/>
        </w:rPr>
        <w:t>azienda prima che si verificasse l</w:t>
      </w:r>
      <w:r>
        <w:rPr>
          <w:rFonts w:hAnsi="Book Antiqua" w:hint="default"/>
          <w:rtl w:val="0"/>
          <w:lang w:val="it-IT"/>
        </w:rPr>
        <w:t>’</w:t>
      </w:r>
      <w:r>
        <w:rPr>
          <w:rFonts w:ascii="Book Antiqua"/>
          <w:rtl w:val="0"/>
          <w:lang w:val="it-IT"/>
        </w:rPr>
        <w:t>incendio.</w:t>
      </w:r>
    </w:p>
    <w:p>
      <w:pPr>
        <w:pStyle w:val="intervento"/>
        <w:spacing w:before="0" w:after="0"/>
        <w:ind w:left="567" w:right="567" w:firstLine="0"/>
        <w:jc w:val="both"/>
        <w:rPr>
          <w:rFonts w:ascii="Book Antiqua" w:cs="Book Antiqua" w:hAnsi="Book Antiqua" w:eastAsia="Book Antiqua"/>
        </w:rPr>
      </w:pPr>
      <w:r>
        <w:rPr>
          <w:rFonts w:ascii="Book Antiqua"/>
          <w:rtl w:val="0"/>
          <w:lang w:val="it-IT"/>
        </w:rPr>
        <w:t>L</w:t>
      </w:r>
      <w:r>
        <w:rPr>
          <w:rFonts w:hAnsi="Book Antiqua" w:hint="default"/>
          <w:rtl w:val="0"/>
          <w:lang w:val="it-IT"/>
        </w:rPr>
        <w:t>’</w:t>
      </w:r>
      <w:r>
        <w:rPr>
          <w:rFonts w:ascii="Book Antiqua"/>
          <w:rtl w:val="0"/>
          <w:lang w:val="it-IT"/>
        </w:rPr>
        <w:t xml:space="preserve">argomento veniva trattato, in sede di audizione da Marco Cavallo, </w:t>
      </w:r>
      <w:r>
        <w:rPr>
          <w:rFonts w:ascii="Book Antiqua"/>
          <w:rtl w:val="0"/>
          <w:lang w:val="it-IT"/>
        </w:rPr>
        <w:t>capitano del NOE di Roma</w:t>
      </w:r>
      <w:r>
        <w:rPr>
          <w:rFonts w:ascii="Book Antiqua"/>
          <w:i w:val="1"/>
          <w:iCs w:val="1"/>
          <w:rtl w:val="0"/>
          <w:lang w:val="it-IT"/>
        </w:rPr>
        <w:t>,</w:t>
      </w:r>
      <w:r>
        <w:rPr>
          <w:rFonts w:ascii="Book Antiqua"/>
          <w:rtl w:val="0"/>
          <w:lang w:val="it-IT"/>
        </w:rPr>
        <w:t xml:space="preserve"> il quale precisava che </w:t>
      </w:r>
      <w:r>
        <w:rPr>
          <w:rFonts w:hAnsi="Book Antiqua" w:hint="default"/>
          <w:rtl w:val="0"/>
          <w:lang w:val="it-IT"/>
        </w:rPr>
        <w:t>“</w:t>
      </w:r>
      <w:r>
        <w:rPr>
          <w:rFonts w:ascii="Book Antiqua"/>
          <w:rtl w:val="0"/>
          <w:lang w:val="it-IT"/>
        </w:rPr>
        <w:t xml:space="preserve">il 4 novembre 2016 il comitato di quartiere Castagnetta-Cinque Poderi </w:t>
      </w:r>
      <w:r>
        <w:rPr>
          <w:rFonts w:hAnsi="Book Antiqua" w:hint="default"/>
          <w:rtl w:val="0"/>
          <w:lang w:val="it-IT"/>
        </w:rPr>
        <w:t xml:space="preserve">– </w:t>
      </w:r>
      <w:r>
        <w:rPr>
          <w:rFonts w:ascii="Book Antiqua"/>
          <w:rtl w:val="0"/>
          <w:lang w:val="it-IT"/>
        </w:rPr>
        <w:t>cos</w:t>
      </w:r>
      <w:r>
        <w:rPr>
          <w:rFonts w:hAnsi="Book Antiqua" w:hint="default"/>
          <w:rtl w:val="0"/>
          <w:lang w:val="it-IT"/>
        </w:rPr>
        <w:t xml:space="preserve">ì </w:t>
      </w:r>
      <w:r>
        <w:rPr>
          <w:rFonts w:ascii="Book Antiqua"/>
          <w:rtl w:val="0"/>
          <w:lang w:val="it-IT"/>
        </w:rPr>
        <w:t xml:space="preserve">si chiama </w:t>
      </w:r>
      <w:r>
        <w:rPr>
          <w:rFonts w:hAnsi="Book Antiqua" w:hint="default"/>
          <w:rtl w:val="0"/>
          <w:lang w:val="it-IT"/>
        </w:rPr>
        <w:t xml:space="preserve">– </w:t>
      </w:r>
      <w:r>
        <w:rPr>
          <w:rFonts w:ascii="Book Antiqua"/>
          <w:rtl w:val="0"/>
          <w:lang w:val="it-IT"/>
        </w:rPr>
        <w:t xml:space="preserve">che ha una carta intestata, deposita al comune di Pomezia, facendolo protocollare, un esposto diretto alla cortese attenzione del sindaco del comune di Pomezia e al comandante della polizia locale di Pomezia. A questo esposto allega anche delle fotografie. Il 22 dicembre la polizia locale manda una nota diretta al NOE Carabinieri e all'ASL locale, chiedendo di fare un sopralluogo congiunto e rimettendo un contatto telefonico all'interno della stessa missiva per quanto riguardava tale sopralluogo congiunto: che cosa chiedeva l'esponente a nome del comitato di quartiere? </w:t>
      </w:r>
      <w:r>
        <w:rPr>
          <w:rFonts w:hAnsi="Book Antiqua" w:hint="default"/>
          <w:rtl w:val="0"/>
          <w:lang w:val="it-IT"/>
        </w:rPr>
        <w:t xml:space="preserve">È </w:t>
      </w:r>
      <w:r>
        <w:rPr>
          <w:rFonts w:ascii="Book Antiqua"/>
          <w:rtl w:val="0"/>
          <w:lang w:val="it-IT"/>
        </w:rPr>
        <w:t>molto semplice. Le fotografie dicevano che c'erano questi rifiuti e che gli interessati temevano la potenzialit</w:t>
      </w:r>
      <w:r>
        <w:rPr>
          <w:rFonts w:hAnsi="Book Antiqua" w:hint="default"/>
          <w:rtl w:val="0"/>
          <w:lang w:val="it-IT"/>
        </w:rPr>
        <w:t xml:space="preserve">à </w:t>
      </w:r>
      <w:r>
        <w:rPr>
          <w:rFonts w:ascii="Book Antiqua"/>
          <w:rtl w:val="0"/>
          <w:lang w:val="it-IT"/>
        </w:rPr>
        <w:t>di un incidente. Noi abbiamo dato disponibilit</w:t>
      </w:r>
      <w:r>
        <w:rPr>
          <w:rFonts w:hAnsi="Book Antiqua" w:hint="default"/>
          <w:rtl w:val="0"/>
          <w:lang w:val="it-IT"/>
        </w:rPr>
        <w:t xml:space="preserve">à </w:t>
      </w:r>
      <w:r>
        <w:rPr>
          <w:rFonts w:ascii="Book Antiqua"/>
          <w:rtl w:val="0"/>
          <w:lang w:val="it-IT"/>
        </w:rPr>
        <w:t xml:space="preserve">e abbiamo contattato. Il 21 febbraio siamo andati a Pomezia (una squadra del NOE </w:t>
      </w:r>
      <w:r>
        <w:rPr>
          <w:rFonts w:hAnsi="Book Antiqua" w:hint="default"/>
          <w:rtl w:val="0"/>
          <w:lang w:val="it-IT"/>
        </w:rPr>
        <w:t xml:space="preserve">è </w:t>
      </w:r>
      <w:r>
        <w:rPr>
          <w:rFonts w:ascii="Book Antiqua"/>
          <w:rtl w:val="0"/>
          <w:lang w:val="it-IT"/>
        </w:rPr>
        <w:t>andata a Pomezia)</w:t>
      </w:r>
      <w:r>
        <w:rPr>
          <w:rFonts w:hAnsi="Book Antiqua" w:hint="default"/>
          <w:rtl w:val="0"/>
          <w:lang w:val="it-IT"/>
        </w:rPr>
        <w:t>”</w:t>
      </w:r>
      <w:r>
        <w:rPr>
          <w:rFonts w:ascii="Book Antiqua"/>
          <w:rtl w:val="0"/>
          <w:lang w:val="it-IT"/>
        </w:rPr>
        <w:t xml:space="preserve">. </w:t>
      </w:r>
    </w:p>
    <w:p>
      <w:pPr>
        <w:pStyle w:val="intervento"/>
        <w:spacing w:before="0" w:after="0"/>
        <w:ind w:left="567" w:right="567" w:firstLine="0"/>
        <w:jc w:val="both"/>
        <w:rPr>
          <w:rFonts w:ascii="Book Antiqua" w:cs="Book Antiqua" w:hAnsi="Book Antiqua" w:eastAsia="Book Antiqua"/>
        </w:rPr>
      </w:pPr>
      <w:r>
        <w:rPr>
          <w:rFonts w:ascii="Book Antiqua"/>
          <w:rtl w:val="0"/>
          <w:lang w:val="it-IT"/>
        </w:rPr>
        <w:t>Tuttavia, a quel punto, la polizia locale comunicava al NOE di avere in corso un sopralluogo per uno sversamento illecito che riguardava un</w:t>
      </w:r>
      <w:r>
        <w:rPr>
          <w:rFonts w:hAnsi="Book Antiqua" w:hint="default"/>
          <w:rtl w:val="0"/>
          <w:lang w:val="it-IT"/>
        </w:rPr>
        <w:t>’</w:t>
      </w:r>
      <w:r>
        <w:rPr>
          <w:rFonts w:ascii="Book Antiqua"/>
          <w:rtl w:val="0"/>
          <w:lang w:val="it-IT"/>
        </w:rPr>
        <w:t>altra azienda della zona; e, pertanto, non si dava corso al programmato controllo sulla Eco X, che, peraltro, non veniva pi</w:t>
      </w:r>
      <w:r>
        <w:rPr>
          <w:rFonts w:hAnsi="Book Antiqua" w:hint="default"/>
          <w:rtl w:val="0"/>
          <w:lang w:val="it-IT"/>
        </w:rPr>
        <w:t xml:space="preserve">ù </w:t>
      </w:r>
      <w:r>
        <w:rPr>
          <w:rFonts w:ascii="Book Antiqua"/>
          <w:rtl w:val="0"/>
          <w:lang w:val="it-IT"/>
        </w:rPr>
        <w:t>riproposto al NOE dalla polizia locale. Queste circostanze relative al dirottamento delle indagini su altro sito senza pi</w:t>
      </w:r>
      <w:r>
        <w:rPr>
          <w:rFonts w:hAnsi="Book Antiqua" w:hint="default"/>
          <w:rtl w:val="0"/>
          <w:lang w:val="it-IT"/>
        </w:rPr>
        <w:t xml:space="preserve">ù </w:t>
      </w:r>
      <w:r>
        <w:rPr>
          <w:rFonts w:ascii="Book Antiqua"/>
          <w:rtl w:val="0"/>
          <w:lang w:val="it-IT"/>
        </w:rPr>
        <w:t>fissare una nuova data per i controlli alla Eco X venivano integralmente confermate davanti alla Commissione da Angelo Pizzoli, comandante della Polizia locale di Pomezia.</w:t>
      </w:r>
    </w:p>
    <w:p>
      <w:pPr>
        <w:pStyle w:val="intervento"/>
        <w:spacing w:before="0" w:after="0"/>
        <w:ind w:left="567" w:right="567" w:firstLine="0"/>
        <w:jc w:val="both"/>
        <w:rPr>
          <w:rFonts w:ascii="Book Antiqua" w:cs="Book Antiqua" w:hAnsi="Book Antiqua" w:eastAsia="Book Antiqua"/>
        </w:rPr>
      </w:pPr>
    </w:p>
    <w:p>
      <w:pPr>
        <w:pStyle w:val="intervento"/>
        <w:spacing w:before="0" w:after="0"/>
        <w:ind w:left="567" w:right="567" w:firstLine="0"/>
        <w:jc w:val="both"/>
        <w:rPr>
          <w:rFonts w:ascii="Book Antiqua" w:cs="Book Antiqua" w:hAnsi="Book Antiqua" w:eastAsia="Book Antiqua"/>
        </w:rPr>
      </w:pPr>
    </w:p>
    <w:p>
      <w:pPr>
        <w:pStyle w:val="intervento"/>
        <w:spacing w:before="0" w:after="0"/>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i w:val="1"/>
          <w:iCs w:val="1"/>
        </w:rPr>
      </w:pPr>
      <w:r>
        <w:rPr>
          <w:rFonts w:ascii="Book Antiqua"/>
          <w:i w:val="1"/>
          <w:iCs w:val="1"/>
          <w:rtl w:val="0"/>
          <w:lang w:val="it-IT"/>
        </w:rPr>
        <w:t>In particolare: la violazione della normativa antincendio e l</w:t>
      </w:r>
      <w:r>
        <w:rPr>
          <w:rFonts w:hAnsi="Book Antiqua" w:hint="default"/>
          <w:i w:val="1"/>
          <w:iCs w:val="1"/>
          <w:rtl w:val="0"/>
          <w:lang w:val="it-IT"/>
        </w:rPr>
        <w:t>’</w:t>
      </w:r>
      <w:r>
        <w:rPr>
          <w:rFonts w:ascii="Book Antiqua"/>
          <w:i w:val="1"/>
          <w:iCs w:val="1"/>
          <w:rtl w:val="0"/>
          <w:lang w:val="it-IT"/>
        </w:rPr>
        <w:t>inottemperanza alle prescrizioni dei Vigili del fuoco</w:t>
      </w:r>
    </w:p>
    <w:p>
      <w:pPr>
        <w:pStyle w:val="Normal"/>
        <w:ind w:left="567" w:right="567" w:firstLine="0"/>
        <w:jc w:val="both"/>
        <w:rPr>
          <w:rFonts w:ascii="Book Antiqua Bold" w:cs="Book Antiqua Bold" w:hAnsi="Book Antiqua Bold" w:eastAsia="Book Antiqua Bold"/>
          <w:b w:val="1"/>
          <w:bCs w:val="1"/>
        </w:rPr>
      </w:pPr>
    </w:p>
    <w:p>
      <w:pPr>
        <w:pStyle w:val="Normal"/>
        <w:ind w:left="567" w:right="567" w:firstLine="0"/>
        <w:jc w:val="both"/>
        <w:rPr>
          <w:rFonts w:ascii="Book Antiqua" w:cs="Book Antiqua" w:hAnsi="Book Antiqua" w:eastAsia="Book Antiqua"/>
        </w:rPr>
      </w:pPr>
      <w:r>
        <w:rPr>
          <w:rFonts w:ascii="Book Antiqua"/>
          <w:rtl w:val="0"/>
          <w:lang w:val="it-IT"/>
        </w:rPr>
        <w:t>Quanto alle responsabilit</w:t>
      </w:r>
      <w:r>
        <w:rPr>
          <w:rFonts w:hAnsi="Book Antiqua" w:hint="default"/>
          <w:rtl w:val="0"/>
          <w:lang w:val="it-IT"/>
        </w:rPr>
        <w:t xml:space="preserve">à </w:t>
      </w:r>
      <w:r>
        <w:rPr>
          <w:rFonts w:ascii="Book Antiqua"/>
          <w:rtl w:val="0"/>
          <w:lang w:val="it-IT"/>
        </w:rPr>
        <w:t>per il propagarsi dell</w:t>
      </w:r>
      <w:r>
        <w:rPr>
          <w:rFonts w:hAnsi="Book Antiqua" w:hint="default"/>
          <w:rtl w:val="0"/>
          <w:lang w:val="it-IT"/>
        </w:rPr>
        <w:t>’</w:t>
      </w:r>
      <w:r>
        <w:rPr>
          <w:rFonts w:ascii="Book Antiqua"/>
          <w:rtl w:val="0"/>
          <w:lang w:val="it-IT"/>
        </w:rPr>
        <w:t>incendio, il procuratore di Velletri, nell</w:t>
      </w:r>
      <w:r>
        <w:rPr>
          <w:rFonts w:hAnsi="Book Antiqua" w:hint="default"/>
          <w:rtl w:val="0"/>
          <w:lang w:val="it-IT"/>
        </w:rPr>
        <w:t>’</w:t>
      </w:r>
      <w:r>
        <w:rPr>
          <w:rFonts w:ascii="Book Antiqua"/>
          <w:rtl w:val="0"/>
          <w:lang w:val="it-IT"/>
        </w:rPr>
        <w:t xml:space="preserve">audizione del 24 maggio 2017 ha puntualizzato che </w:t>
      </w:r>
      <w:r>
        <w:rPr>
          <w:rFonts w:hAnsi="Book Antiqua" w:hint="default"/>
          <w:rtl w:val="0"/>
          <w:lang w:val="it-IT"/>
        </w:rPr>
        <w:t>“</w:t>
      </w:r>
      <w:r>
        <w:rPr>
          <w:rFonts w:ascii="Book Antiqua"/>
          <w:rtl w:val="0"/>
          <w:lang w:val="it-IT"/>
        </w:rPr>
        <w:t>la societ</w:t>
      </w:r>
      <w:r>
        <w:rPr>
          <w:rFonts w:hAnsi="Book Antiqua" w:hint="default"/>
          <w:rtl w:val="0"/>
          <w:lang w:val="it-IT"/>
        </w:rPr>
        <w:t xml:space="preserve">à </w:t>
      </w:r>
      <w:r>
        <w:rPr>
          <w:rFonts w:ascii="Book Antiqua"/>
          <w:rtl w:val="0"/>
          <w:lang w:val="it-IT"/>
        </w:rPr>
        <w:t>Eco Servizi per l'Ambiente non aveva un impianto antincendio a norma. In particolare, non aveva un certificato di prevenzione incendi e non aveva presentato una SCIA per progettare le opere necessarie ad allestire un impianto antincendio. Inoltre, non aveva un sistema idrico idoneo a consentire lo spegnimento delle fiamme. Questo, al di l</w:t>
      </w:r>
      <w:r>
        <w:rPr>
          <w:rFonts w:hAnsi="Book Antiqua" w:hint="default"/>
          <w:rtl w:val="0"/>
          <w:lang w:val="it-IT"/>
        </w:rPr>
        <w:t xml:space="preserve">à </w:t>
      </w:r>
      <w:r>
        <w:rPr>
          <w:rFonts w:ascii="Book Antiqua"/>
          <w:rtl w:val="0"/>
          <w:lang w:val="it-IT"/>
        </w:rPr>
        <w:t xml:space="preserve">del fatto che lo si </w:t>
      </w:r>
      <w:r>
        <w:rPr>
          <w:rFonts w:hAnsi="Book Antiqua" w:hint="default"/>
          <w:rtl w:val="0"/>
          <w:lang w:val="it-IT"/>
        </w:rPr>
        <w:t xml:space="preserve">è </w:t>
      </w:r>
      <w:r>
        <w:rPr>
          <w:rFonts w:ascii="Book Antiqua"/>
          <w:rtl w:val="0"/>
          <w:lang w:val="it-IT"/>
        </w:rPr>
        <w:t>potuto constatare in sede di sopralluogo, l'abbiamo desunto anche da quanto riferitoci dai vigili del fuoco, i quali sono stati costretti ad approvvigionarsi dell'acqua necessaria allo spegnimento delle fiamme andando a circa due chilometri dal sito</w:t>
      </w:r>
      <w:r>
        <w:rPr>
          <w:rFonts w:ascii="Book Antiqua" w:cs="Book Antiqua" w:hAnsi="Book Antiqua" w:eastAsia="Book Antiqua"/>
          <w:vertAlign w:val="superscript"/>
          <w:rtl w:val="0"/>
        </w:rPr>
        <w:footnoteReference w:id="278"/>
      </w:r>
      <w:r>
        <w:rPr>
          <w:rFonts w:ascii="Book Antiqua"/>
          <w:rtl w:val="0"/>
          <w:lang w:val="it-IT"/>
        </w:rPr>
        <w:t>. Come terzo elemento, non aveva muri di compartimentazione dell'impianto, sicch</w:t>
      </w:r>
      <w:r>
        <w:rPr>
          <w:rFonts w:hAnsi="Book Antiqua" w:hint="default"/>
          <w:rtl w:val="0"/>
          <w:lang w:val="it-IT"/>
        </w:rPr>
        <w:t xml:space="preserve">é </w:t>
      </w:r>
      <w:r>
        <w:rPr>
          <w:rFonts w:ascii="Book Antiqua"/>
          <w:rtl w:val="0"/>
          <w:lang w:val="it-IT"/>
        </w:rPr>
        <w:t>le fiamme si sono potute liberamente sprigionare e propagare in tutti i due ettari che rappresentano l'estensione del sito</w:t>
      </w:r>
      <w:r>
        <w:rPr>
          <w:rFonts w:hAnsi="Book Antiqua" w:hint="default"/>
          <w:rtl w:val="0"/>
          <w:lang w:val="it-IT"/>
        </w:rPr>
        <w:t>”</w:t>
      </w:r>
      <w:r>
        <w:rPr>
          <w:rFonts w:ascii="Book Antiqua"/>
          <w:rtl w:val="0"/>
          <w:lang w:val="it-IT"/>
        </w:rPr>
        <w:t xml:space="preserve">, aggiungendo che </w:t>
      </w:r>
      <w:r>
        <w:rPr>
          <w:rFonts w:hAnsi="Book Antiqua" w:hint="default"/>
          <w:rtl w:val="0"/>
          <w:lang w:val="it-IT"/>
        </w:rPr>
        <w:t>“</w:t>
      </w:r>
      <w:r>
        <w:rPr>
          <w:rFonts w:ascii="Book Antiqua"/>
          <w:rtl w:val="0"/>
          <w:lang w:val="it-IT"/>
        </w:rPr>
        <w:t>nel 2011 il comando provinciale dei vigili del fuoco di Roma aveva effettuato una verifica sull'impianto antincendio di questa societ</w:t>
      </w:r>
      <w:r>
        <w:rPr>
          <w:rFonts w:hAnsi="Book Antiqua" w:hint="default"/>
          <w:rtl w:val="0"/>
          <w:lang w:val="it-IT"/>
        </w:rPr>
        <w:t>à</w:t>
      </w:r>
      <w:r>
        <w:rPr>
          <w:rFonts w:ascii="Book Antiqua"/>
          <w:rtl w:val="0"/>
          <w:lang w:val="it-IT"/>
        </w:rPr>
        <w:t>, rilevando le criticit</w:t>
      </w:r>
      <w:r>
        <w:rPr>
          <w:rFonts w:hAnsi="Book Antiqua" w:hint="default"/>
          <w:rtl w:val="0"/>
          <w:lang w:val="it-IT"/>
        </w:rPr>
        <w:t xml:space="preserve">à </w:t>
      </w:r>
      <w:r>
        <w:rPr>
          <w:rFonts w:ascii="Book Antiqua"/>
          <w:rtl w:val="0"/>
          <w:lang w:val="it-IT"/>
        </w:rPr>
        <w:t>che prima ho ricordato. Il comando ha impartito delle prescrizioni alla societ</w:t>
      </w:r>
      <w:r>
        <w:rPr>
          <w:rFonts w:hAnsi="Book Antiqua" w:hint="default"/>
          <w:rtl w:val="0"/>
          <w:lang w:val="it-IT"/>
        </w:rPr>
        <w:t xml:space="preserve">à </w:t>
      </w:r>
      <w:r>
        <w:rPr>
          <w:rFonts w:ascii="Book Antiqua"/>
          <w:rtl w:val="0"/>
          <w:lang w:val="it-IT"/>
        </w:rPr>
        <w:t xml:space="preserve">e poi, all'esito del termine assegnato per </w:t>
      </w:r>
      <w:r>
        <w:rPr>
          <w:rFonts w:hAnsi="Book Antiqua" w:hint="default"/>
          <w:rtl w:val="0"/>
          <w:lang w:val="it-IT"/>
        </w:rPr>
        <w:t xml:space="preserve">– </w:t>
      </w:r>
      <w:r>
        <w:rPr>
          <w:rFonts w:ascii="Book Antiqua"/>
          <w:rtl w:val="0"/>
          <w:lang w:val="it-IT"/>
        </w:rPr>
        <w:t xml:space="preserve">eventualmente </w:t>
      </w:r>
      <w:r>
        <w:rPr>
          <w:rFonts w:hAnsi="Book Antiqua" w:hint="default"/>
          <w:rtl w:val="0"/>
          <w:lang w:val="it-IT"/>
        </w:rPr>
        <w:t xml:space="preserve">– </w:t>
      </w:r>
      <w:r>
        <w:rPr>
          <w:rFonts w:ascii="Book Antiqua"/>
          <w:rtl w:val="0"/>
          <w:lang w:val="it-IT"/>
        </w:rPr>
        <w:t>adeguarsi alle prescrizioni, ha constatato che in effetti la societ</w:t>
      </w:r>
      <w:r>
        <w:rPr>
          <w:rFonts w:hAnsi="Book Antiqua" w:hint="default"/>
          <w:rtl w:val="0"/>
          <w:lang w:val="it-IT"/>
        </w:rPr>
        <w:t xml:space="preserve">à </w:t>
      </w:r>
      <w:r>
        <w:rPr>
          <w:rFonts w:ascii="Book Antiqua"/>
          <w:rtl w:val="0"/>
          <w:lang w:val="it-IT"/>
        </w:rPr>
        <w:t>non si era affatto adeguata alle medesime, pertanto il comando dei vigili del fuoco ha denunciato l'amministratore unico della societ</w:t>
      </w:r>
      <w:r>
        <w:rPr>
          <w:rFonts w:hAnsi="Book Antiqua" w:hint="default"/>
          <w:rtl w:val="0"/>
          <w:lang w:val="it-IT"/>
        </w:rPr>
        <w:t xml:space="preserve">à </w:t>
      </w:r>
      <w:r>
        <w:rPr>
          <w:rFonts w:ascii="Book Antiqua"/>
          <w:rtl w:val="0"/>
          <w:lang w:val="it-IT"/>
        </w:rPr>
        <w:t xml:space="preserve">alla procura della Repubblica di Velletri, la quale ha definito il procedimento penale a suo carico con un decreto penale di condanna. </w:t>
      </w:r>
      <w:r>
        <w:rPr>
          <w:rFonts w:hAnsi="Book Antiqua" w:hint="default"/>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Nell</w:t>
      </w:r>
      <w:r>
        <w:rPr>
          <w:rFonts w:hAnsi="Book Antiqua" w:hint="default"/>
          <w:rtl w:val="0"/>
          <w:lang w:val="it-IT"/>
        </w:rPr>
        <w:t>’</w:t>
      </w:r>
      <w:r>
        <w:rPr>
          <w:rFonts w:ascii="Book Antiqua"/>
          <w:rtl w:val="0"/>
          <w:lang w:val="it-IT"/>
        </w:rPr>
        <w:t>audizione del 30 maggio 2017, Marco Ghimenti, comandante provinciale dei Vigili del fuoco, richiesto di chiarimenti in proposito dalla Commissione, precisava che, dopo la presentazione, nel 2004, di un primo progetto antincendio relativo a un</w:t>
      </w:r>
      <w:r>
        <w:rPr>
          <w:rFonts w:hAnsi="Book Antiqua" w:hint="default"/>
          <w:rtl w:val="0"/>
          <w:lang w:val="it-IT"/>
        </w:rPr>
        <w:t>’</w:t>
      </w:r>
      <w:r>
        <w:rPr>
          <w:rFonts w:ascii="Book Antiqua"/>
          <w:rtl w:val="0"/>
          <w:lang w:val="it-IT"/>
        </w:rPr>
        <w:t>attivit</w:t>
      </w:r>
      <w:r>
        <w:rPr>
          <w:rFonts w:hAnsi="Book Antiqua" w:hint="default"/>
          <w:rtl w:val="0"/>
          <w:lang w:val="it-IT"/>
        </w:rPr>
        <w:t xml:space="preserve">à </w:t>
      </w:r>
      <w:r>
        <w:rPr>
          <w:rFonts w:ascii="Book Antiqua"/>
          <w:rtl w:val="0"/>
          <w:lang w:val="it-IT"/>
        </w:rPr>
        <w:t>di deposito carta, la societ</w:t>
      </w:r>
      <w:r>
        <w:rPr>
          <w:rFonts w:hAnsi="Book Antiqua" w:hint="default"/>
          <w:rtl w:val="0"/>
          <w:lang w:val="it-IT"/>
        </w:rPr>
        <w:t>à</w:t>
      </w:r>
      <w:r>
        <w:rPr>
          <w:rFonts w:ascii="Book Antiqua"/>
          <w:rtl w:val="0"/>
          <w:lang w:val="it-IT"/>
        </w:rPr>
        <w:t>, nel 2008, presentava una ulteriore documentazione a integrazione, cio</w:t>
      </w:r>
      <w:r>
        <w:rPr>
          <w:rFonts w:hAnsi="Book Antiqua" w:hint="default"/>
          <w:rtl w:val="0"/>
          <w:lang w:val="it-IT"/>
        </w:rPr>
        <w:t xml:space="preserve">è </w:t>
      </w:r>
      <w:r>
        <w:rPr>
          <w:rFonts w:ascii="Book Antiqua"/>
          <w:rtl w:val="0"/>
          <w:lang w:val="it-IT"/>
        </w:rPr>
        <w:t xml:space="preserve">dichiarava </w:t>
      </w:r>
      <w:r>
        <w:rPr>
          <w:rFonts w:hAnsi="Book Antiqua" w:hint="default"/>
          <w:rtl w:val="0"/>
          <w:lang w:val="it-IT"/>
        </w:rPr>
        <w:t>“</w:t>
      </w:r>
      <w:r>
        <w:rPr>
          <w:rFonts w:ascii="Book Antiqua"/>
          <w:rtl w:val="0"/>
          <w:lang w:val="it-IT"/>
        </w:rPr>
        <w:t>un</w:t>
      </w:r>
      <w:r>
        <w:rPr>
          <w:rFonts w:hAnsi="Book Antiqua" w:hint="default"/>
          <w:rtl w:val="0"/>
          <w:lang w:val="it-IT"/>
        </w:rPr>
        <w:t>’</w:t>
      </w:r>
      <w:r>
        <w:rPr>
          <w:rFonts w:ascii="Book Antiqua"/>
          <w:rtl w:val="0"/>
          <w:lang w:val="it-IT"/>
        </w:rPr>
        <w:t>ulteriore attivit</w:t>
      </w:r>
      <w:r>
        <w:rPr>
          <w:rFonts w:hAnsi="Book Antiqua" w:hint="default"/>
          <w:rtl w:val="0"/>
          <w:lang w:val="it-IT"/>
        </w:rPr>
        <w:t>à</w:t>
      </w:r>
      <w:r>
        <w:rPr>
          <w:rFonts w:ascii="Book Antiqua"/>
          <w:rtl w:val="0"/>
          <w:lang w:val="it-IT"/>
        </w:rPr>
        <w:t xml:space="preserve">, la n. 8, che, nella sostanza, </w:t>
      </w:r>
      <w:r>
        <w:rPr>
          <w:rFonts w:hAnsi="Book Antiqua" w:hint="default"/>
          <w:rtl w:val="0"/>
          <w:lang w:val="it-IT"/>
        </w:rPr>
        <w:t xml:space="preserve">è </w:t>
      </w:r>
      <w:r>
        <w:rPr>
          <w:rFonts w:ascii="Book Antiqua"/>
          <w:rtl w:val="0"/>
          <w:lang w:val="it-IT"/>
        </w:rPr>
        <w:t>costituita da officine meccaniche con lavorazioni a caldo e che integra l</w:t>
      </w:r>
      <w:r>
        <w:rPr>
          <w:rFonts w:hAnsi="Book Antiqua" w:hint="default"/>
          <w:rtl w:val="0"/>
          <w:lang w:val="it-IT"/>
        </w:rPr>
        <w:t>’</w:t>
      </w:r>
      <w:r>
        <w:rPr>
          <w:rFonts w:ascii="Book Antiqua"/>
          <w:rtl w:val="0"/>
          <w:lang w:val="it-IT"/>
        </w:rPr>
        <w:t>attivit</w:t>
      </w:r>
      <w:r>
        <w:rPr>
          <w:rFonts w:hAnsi="Book Antiqua" w:hint="default"/>
          <w:rtl w:val="0"/>
          <w:lang w:val="it-IT"/>
        </w:rPr>
        <w:t xml:space="preserve">à </w:t>
      </w:r>
      <w:r>
        <w:rPr>
          <w:rFonts w:ascii="Book Antiqua"/>
          <w:rtl w:val="0"/>
          <w:lang w:val="it-IT"/>
        </w:rPr>
        <w:t>principale, ossia quella del 2004 che, dalla presentazione del progetto, era appunto, come dicevo prima, di deposito carta. Nel 2010, viene presentato un progetto un po</w:t>
      </w:r>
      <w:r>
        <w:rPr>
          <w:rFonts w:hAnsi="Book Antiqua" w:hint="default"/>
          <w:rtl w:val="0"/>
          <w:lang w:val="it-IT"/>
        </w:rPr>
        <w:t xml:space="preserve">’ </w:t>
      </w:r>
      <w:r>
        <w:rPr>
          <w:rFonts w:ascii="Book Antiqua"/>
          <w:rtl w:val="0"/>
          <w:lang w:val="it-IT"/>
        </w:rPr>
        <w:t>pi</w:t>
      </w:r>
      <w:r>
        <w:rPr>
          <w:rFonts w:hAnsi="Book Antiqua" w:hint="default"/>
          <w:rtl w:val="0"/>
          <w:lang w:val="it-IT"/>
        </w:rPr>
        <w:t xml:space="preserve">ù </w:t>
      </w:r>
      <w:r>
        <w:rPr>
          <w:rFonts w:ascii="Book Antiqua"/>
          <w:rtl w:val="0"/>
          <w:lang w:val="it-IT"/>
        </w:rPr>
        <w:t>generale, che rivede alcuni aspetti, nella parte variante e aggiornamento. Si prevedono l</w:t>
      </w:r>
      <w:r>
        <w:rPr>
          <w:rFonts w:hAnsi="Book Antiqua" w:hint="default"/>
          <w:rtl w:val="0"/>
          <w:lang w:val="it-IT"/>
        </w:rPr>
        <w:t>’</w:t>
      </w:r>
      <w:r>
        <w:rPr>
          <w:rFonts w:ascii="Book Antiqua"/>
          <w:rtl w:val="0"/>
          <w:lang w:val="it-IT"/>
        </w:rPr>
        <w:t>attivit</w:t>
      </w:r>
      <w:r>
        <w:rPr>
          <w:rFonts w:hAnsi="Book Antiqua" w:hint="default"/>
          <w:rtl w:val="0"/>
          <w:lang w:val="it-IT"/>
        </w:rPr>
        <w:t xml:space="preserve">à </w:t>
      </w:r>
      <w:r>
        <w:rPr>
          <w:rFonts w:ascii="Book Antiqua"/>
          <w:rtl w:val="0"/>
          <w:lang w:val="it-IT"/>
        </w:rPr>
        <w:t>n. 88, che sarebbe di deposito di materiali vari fino a 4.000 metri quadrati di superficie, e l</w:t>
      </w:r>
      <w:r>
        <w:rPr>
          <w:rFonts w:hAnsi="Book Antiqua" w:hint="default"/>
          <w:rtl w:val="0"/>
          <w:lang w:val="it-IT"/>
        </w:rPr>
        <w:t>’</w:t>
      </w:r>
      <w:r>
        <w:rPr>
          <w:rFonts w:ascii="Book Antiqua"/>
          <w:rtl w:val="0"/>
          <w:lang w:val="it-IT"/>
        </w:rPr>
        <w:t>attivit</w:t>
      </w:r>
      <w:r>
        <w:rPr>
          <w:rFonts w:hAnsi="Book Antiqua" w:hint="default"/>
          <w:rtl w:val="0"/>
          <w:lang w:val="it-IT"/>
        </w:rPr>
        <w:t xml:space="preserve">à </w:t>
      </w:r>
      <w:r>
        <w:rPr>
          <w:rFonts w:ascii="Book Antiqua"/>
          <w:rtl w:val="0"/>
          <w:lang w:val="it-IT"/>
        </w:rPr>
        <w:t>n. 18 per gli impianti fissi di distribuzione di carburante nonch</w:t>
      </w:r>
      <w:r>
        <w:rPr>
          <w:rFonts w:hAnsi="Book Antiqua" w:hint="default"/>
          <w:rtl w:val="0"/>
          <w:lang w:val="it-IT"/>
        </w:rPr>
        <w:t>é</w:t>
      </w:r>
      <w:r>
        <w:rPr>
          <w:rFonts w:ascii="Book Antiqua"/>
          <w:rtl w:val="0"/>
          <w:lang w:val="it-IT"/>
        </w:rPr>
        <w:t>, per gruppi elettrogeni e deposito di liquido infiammabile, quindi serbatoi, l</w:t>
      </w:r>
      <w:r>
        <w:rPr>
          <w:rFonts w:hAnsi="Book Antiqua" w:hint="default"/>
          <w:rtl w:val="0"/>
          <w:lang w:val="it-IT"/>
        </w:rPr>
        <w:t>’</w:t>
      </w:r>
      <w:r>
        <w:rPr>
          <w:rFonts w:ascii="Book Antiqua"/>
          <w:rtl w:val="0"/>
          <w:lang w:val="it-IT"/>
        </w:rPr>
        <w:t>attivit</w:t>
      </w:r>
      <w:r>
        <w:rPr>
          <w:rFonts w:hAnsi="Book Antiqua" w:hint="default"/>
          <w:rtl w:val="0"/>
          <w:lang w:val="it-IT"/>
        </w:rPr>
        <w:t xml:space="preserve">à </w:t>
      </w:r>
      <w:r>
        <w:rPr>
          <w:rFonts w:ascii="Book Antiqua"/>
          <w:rtl w:val="0"/>
          <w:lang w:val="it-IT"/>
        </w:rPr>
        <w:t>n. 15</w:t>
      </w:r>
      <w:r>
        <w:rPr>
          <w:rFonts w:hAnsi="Book Antiqua" w:hint="default"/>
          <w:rtl w:val="0"/>
          <w:lang w:val="it-IT"/>
        </w:rPr>
        <w:t>”</w:t>
      </w:r>
      <w:r>
        <w:rPr>
          <w:rFonts w:ascii="Book Antiqua"/>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La pratica seguiva il normale iter delle procedure di prevenzione incendi, con la presentazione di un progetto, seguita da una valutazione e un parere con indicazioni di opere da eseguire da parte dei Vigili del fuoco</w:t>
      </w:r>
      <w:r>
        <w:rPr>
          <w:rFonts w:hAnsi="Book Antiqua" w:hint="default"/>
          <w:rtl w:val="0"/>
          <w:lang w:val="it-IT"/>
        </w:rPr>
        <w:t xml:space="preserve"> “</w:t>
      </w:r>
      <w:r>
        <w:rPr>
          <w:rFonts w:ascii="Book Antiqua"/>
          <w:rtl w:val="0"/>
          <w:lang w:val="it-IT"/>
        </w:rPr>
        <w:t>Dopodich</w:t>
      </w:r>
      <w:r>
        <w:rPr>
          <w:rFonts w:hAnsi="Book Antiqua" w:hint="default"/>
          <w:rtl w:val="0"/>
          <w:lang w:val="it-IT"/>
        </w:rPr>
        <w:t>é</w:t>
      </w:r>
      <w:r>
        <w:rPr>
          <w:rFonts w:ascii="Book Antiqua"/>
          <w:rtl w:val="0"/>
          <w:lang w:val="it-IT"/>
        </w:rPr>
        <w:t xml:space="preserve">, </w:t>
      </w:r>
      <w:r>
        <w:rPr>
          <w:rFonts w:hAnsi="Book Antiqua" w:hint="default"/>
          <w:rtl w:val="0"/>
          <w:lang w:val="it-IT"/>
        </w:rPr>
        <w:t xml:space="preserve">è </w:t>
      </w:r>
      <w:r>
        <w:rPr>
          <w:rFonts w:ascii="Book Antiqua"/>
          <w:rtl w:val="0"/>
          <w:lang w:val="it-IT"/>
        </w:rPr>
        <w:t>il titolare dell</w:t>
      </w:r>
      <w:r>
        <w:rPr>
          <w:rFonts w:hAnsi="Book Antiqua" w:hint="default"/>
          <w:rtl w:val="0"/>
          <w:lang w:val="it-IT"/>
        </w:rPr>
        <w:t>’</w:t>
      </w:r>
      <w:r>
        <w:rPr>
          <w:rFonts w:ascii="Book Antiqua"/>
          <w:rtl w:val="0"/>
          <w:lang w:val="it-IT"/>
        </w:rPr>
        <w:t>attivit</w:t>
      </w:r>
      <w:r>
        <w:rPr>
          <w:rFonts w:hAnsi="Book Antiqua" w:hint="default"/>
          <w:rtl w:val="0"/>
          <w:lang w:val="it-IT"/>
        </w:rPr>
        <w:t xml:space="preserve">à </w:t>
      </w:r>
      <w:r>
        <w:rPr>
          <w:rFonts w:ascii="Book Antiqua"/>
          <w:rtl w:val="0"/>
          <w:lang w:val="it-IT"/>
        </w:rPr>
        <w:t>che deve rappresentare l</w:t>
      </w:r>
      <w:r>
        <w:rPr>
          <w:rFonts w:hAnsi="Book Antiqua" w:hint="default"/>
          <w:rtl w:val="0"/>
          <w:lang w:val="it-IT"/>
        </w:rPr>
        <w:t>’</w:t>
      </w:r>
      <w:r>
        <w:rPr>
          <w:rFonts w:ascii="Book Antiqua"/>
          <w:rtl w:val="0"/>
          <w:lang w:val="it-IT"/>
        </w:rPr>
        <w:t>effettuazione dei lavori e procedere successivamente al sopralluogo, da cui scaturisce la verifica della congruit</w:t>
      </w:r>
      <w:r>
        <w:rPr>
          <w:rFonts w:hAnsi="Book Antiqua" w:hint="default"/>
          <w:rtl w:val="0"/>
          <w:lang w:val="it-IT"/>
        </w:rPr>
        <w:t xml:space="preserve">à </w:t>
      </w:r>
      <w:r>
        <w:rPr>
          <w:rFonts w:ascii="Book Antiqua"/>
          <w:rtl w:val="0"/>
          <w:lang w:val="it-IT"/>
        </w:rPr>
        <w:t>tra il progetto e la realt</w:t>
      </w:r>
      <w:r>
        <w:rPr>
          <w:rFonts w:hAnsi="Book Antiqua" w:hint="default"/>
          <w:rtl w:val="0"/>
          <w:lang w:val="it-IT"/>
        </w:rPr>
        <w:t xml:space="preserve">à </w:t>
      </w:r>
      <w:r>
        <w:rPr>
          <w:rFonts w:ascii="Book Antiqua"/>
          <w:rtl w:val="0"/>
          <w:lang w:val="it-IT"/>
        </w:rPr>
        <w:t>esecutiva, quindi l</w:t>
      </w:r>
      <w:r>
        <w:rPr>
          <w:rFonts w:hAnsi="Book Antiqua" w:hint="default"/>
          <w:rtl w:val="0"/>
          <w:lang w:val="it-IT"/>
        </w:rPr>
        <w:t>’</w:t>
      </w:r>
      <w:r>
        <w:rPr>
          <w:rFonts w:ascii="Book Antiqua"/>
          <w:rtl w:val="0"/>
          <w:lang w:val="it-IT"/>
        </w:rPr>
        <w:t>eventuale rilascio del certificato di prevenzione incendi. Dopodich</w:t>
      </w:r>
      <w:r>
        <w:rPr>
          <w:rFonts w:hAnsi="Book Antiqua" w:hint="default"/>
          <w:rtl w:val="0"/>
          <w:lang w:val="it-IT"/>
        </w:rPr>
        <w:t>é</w:t>
      </w:r>
      <w:r>
        <w:rPr>
          <w:rFonts w:ascii="Book Antiqua"/>
          <w:rtl w:val="0"/>
          <w:lang w:val="it-IT"/>
        </w:rPr>
        <w:t>, si passa direttamente all</w:t>
      </w:r>
      <w:r>
        <w:rPr>
          <w:rFonts w:hAnsi="Book Antiqua" w:hint="default"/>
          <w:rtl w:val="0"/>
          <w:lang w:val="it-IT"/>
        </w:rPr>
        <w:t>’</w:t>
      </w:r>
      <w:r>
        <w:rPr>
          <w:rFonts w:ascii="Book Antiqua"/>
          <w:rtl w:val="0"/>
          <w:lang w:val="it-IT"/>
        </w:rPr>
        <w:t>attivit</w:t>
      </w:r>
      <w:r>
        <w:rPr>
          <w:rFonts w:hAnsi="Book Antiqua" w:hint="default"/>
          <w:rtl w:val="0"/>
          <w:lang w:val="it-IT"/>
        </w:rPr>
        <w:t xml:space="preserve">à </w:t>
      </w:r>
      <w:r>
        <w:rPr>
          <w:rFonts w:ascii="Book Antiqua"/>
          <w:rtl w:val="0"/>
          <w:lang w:val="it-IT"/>
        </w:rPr>
        <w:t>di accertamento e di controllo, ai sensi dell</w:t>
      </w:r>
      <w:r>
        <w:rPr>
          <w:rFonts w:hAnsi="Book Antiqua" w:hint="default"/>
          <w:rtl w:val="0"/>
          <w:lang w:val="it-IT"/>
        </w:rPr>
        <w:t>’</w:t>
      </w:r>
      <w:r>
        <w:rPr>
          <w:rFonts w:ascii="Book Antiqua"/>
          <w:rtl w:val="0"/>
          <w:lang w:val="it-IT"/>
        </w:rPr>
        <w:t>articolo 19 del decreto n. 139.</w:t>
      </w:r>
      <w:r>
        <w:rPr>
          <w:rFonts w:hAnsi="Book Antiqua" w:hint="default"/>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Nel caso in esame, il controllo, eseguito il 13 dicembre 2011, dava esito negativo, con la contestazione di alcune violazioni (quali assenza della rilevazione fumi e di compartimentazioni) ed il conseguente rilascio di apposite prescrizioni, fra cui l</w:t>
      </w:r>
      <w:r>
        <w:rPr>
          <w:rFonts w:hAnsi="Book Antiqua" w:hint="default"/>
          <w:rtl w:val="0"/>
          <w:lang w:val="it-IT"/>
        </w:rPr>
        <w:t>’</w:t>
      </w:r>
      <w:r>
        <w:rPr>
          <w:rFonts w:ascii="Book Antiqua"/>
          <w:rtl w:val="0"/>
          <w:lang w:val="it-IT"/>
        </w:rPr>
        <w:t>obbligo di presentazione di una SCIA nonch</w:t>
      </w:r>
      <w:r>
        <w:rPr>
          <w:rFonts w:hAnsi="Book Antiqua" w:hint="default"/>
          <w:rtl w:val="0"/>
          <w:lang w:val="it-IT"/>
        </w:rPr>
        <w:t>é</w:t>
      </w:r>
      <w:r>
        <w:rPr>
          <w:rFonts w:ascii="Book Antiqua"/>
          <w:rtl w:val="0"/>
          <w:lang w:val="it-IT"/>
        </w:rPr>
        <w:t>, quale misura per poter continuare l</w:t>
      </w:r>
      <w:r>
        <w:rPr>
          <w:rFonts w:hAnsi="Book Antiqua" w:hint="default"/>
          <w:rtl w:val="0"/>
          <w:lang w:val="it-IT"/>
        </w:rPr>
        <w:t>’</w:t>
      </w:r>
      <w:r>
        <w:rPr>
          <w:rFonts w:ascii="Book Antiqua"/>
          <w:rtl w:val="0"/>
          <w:lang w:val="it-IT"/>
        </w:rPr>
        <w:t>attivit</w:t>
      </w:r>
      <w:r>
        <w:rPr>
          <w:rFonts w:hAnsi="Book Antiqua" w:hint="default"/>
          <w:rtl w:val="0"/>
          <w:lang w:val="it-IT"/>
        </w:rPr>
        <w:t>à</w:t>
      </w:r>
      <w:r>
        <w:rPr>
          <w:rFonts w:ascii="Book Antiqua"/>
          <w:rtl w:val="0"/>
          <w:lang w:val="it-IT"/>
        </w:rPr>
        <w:t>, l</w:t>
      </w:r>
      <w:r>
        <w:rPr>
          <w:rFonts w:hAnsi="Book Antiqua" w:hint="default"/>
          <w:rtl w:val="0"/>
          <w:lang w:val="it-IT"/>
        </w:rPr>
        <w:t>’</w:t>
      </w:r>
      <w:r>
        <w:rPr>
          <w:rFonts w:ascii="Book Antiqua"/>
          <w:rtl w:val="0"/>
          <w:lang w:val="it-IT"/>
        </w:rPr>
        <w:t>ordine di attuare una riduzione del carico d</w:t>
      </w:r>
      <w:r>
        <w:rPr>
          <w:rFonts w:hAnsi="Book Antiqua" w:hint="default"/>
          <w:rtl w:val="0"/>
          <w:lang w:val="it-IT"/>
        </w:rPr>
        <w:t>’</w:t>
      </w:r>
      <w:r>
        <w:rPr>
          <w:rFonts w:ascii="Book Antiqua"/>
          <w:rtl w:val="0"/>
          <w:lang w:val="it-IT"/>
        </w:rPr>
        <w:t xml:space="preserve">incendio, limitandolo a 15 chilogrammi al metro quadro e indicando una tempistica per adempiere alle mancanze e alle carenze verificate. Di queste prescrizioni il 20 dicembre 2011 veniva data comunicazione al comune di Pomezia e al prefetto di Latina. </w:t>
      </w:r>
    </w:p>
    <w:p>
      <w:pPr>
        <w:pStyle w:val="Normal"/>
        <w:ind w:left="567" w:right="567" w:firstLine="0"/>
        <w:jc w:val="both"/>
        <w:rPr>
          <w:rFonts w:ascii="Book Antiqua" w:cs="Book Antiqua" w:hAnsi="Book Antiqua" w:eastAsia="Book Antiqua"/>
        </w:rPr>
      </w:pPr>
      <w:r>
        <w:rPr>
          <w:rFonts w:ascii="Book Antiqua"/>
          <w:rtl w:val="0"/>
          <w:lang w:val="it-IT"/>
        </w:rPr>
        <w:t>Scaduti i termini concessi, all</w:t>
      </w:r>
      <w:r>
        <w:rPr>
          <w:rFonts w:hAnsi="Book Antiqua" w:hint="default"/>
          <w:rtl w:val="0"/>
          <w:lang w:val="it-IT"/>
        </w:rPr>
        <w:t>’</w:t>
      </w:r>
      <w:r>
        <w:rPr>
          <w:rFonts w:ascii="Book Antiqua"/>
          <w:rtl w:val="0"/>
          <w:lang w:val="it-IT"/>
        </w:rPr>
        <w:t>esito di un successivo controllo, il 3 ottobre 2012, i Vigili del fuoco inoltravano denuncia alla procura della Repubblica di Velletri, la quale, come riferito nell</w:t>
      </w:r>
      <w:r>
        <w:rPr>
          <w:rFonts w:hAnsi="Book Antiqua" w:hint="default"/>
          <w:rtl w:val="0"/>
          <w:lang w:val="it-IT"/>
        </w:rPr>
        <w:t>’</w:t>
      </w:r>
      <w:r>
        <w:rPr>
          <w:rFonts w:ascii="Book Antiqua"/>
          <w:rtl w:val="0"/>
          <w:lang w:val="it-IT"/>
        </w:rPr>
        <w:t>audizione del 24 maggio 2017 dal procuratore, defin</w:t>
      </w:r>
      <w:r>
        <w:rPr>
          <w:rFonts w:hAnsi="Book Antiqua" w:hint="default"/>
          <w:rtl w:val="0"/>
          <w:lang w:val="it-IT"/>
        </w:rPr>
        <w:t xml:space="preserve">ì </w:t>
      </w:r>
      <w:r>
        <w:rPr>
          <w:rFonts w:ascii="Book Antiqua"/>
          <w:rtl w:val="0"/>
          <w:lang w:val="it-IT"/>
        </w:rPr>
        <w:t>il procedimento con la richiesta di un decreto penale di condanna, emesso dal giudice per le indagini preliminari nel 2015.</w:t>
      </w:r>
    </w:p>
    <w:p>
      <w:pPr>
        <w:pStyle w:val="Normal"/>
        <w:ind w:left="567" w:right="567" w:firstLine="0"/>
        <w:jc w:val="both"/>
        <w:rPr>
          <w:rFonts w:ascii="Book Antiqua" w:cs="Book Antiqua" w:hAnsi="Book Antiqua" w:eastAsia="Book Antiqua"/>
        </w:rPr>
      </w:pPr>
      <w:r>
        <w:rPr>
          <w:rFonts w:ascii="Book Antiqua"/>
          <w:rtl w:val="0"/>
          <w:lang w:val="it-IT"/>
        </w:rPr>
        <w:t>Sul punto il procuratore, a specifica domanda della Commissione, ha dichiarato:</w:t>
      </w:r>
      <w:r>
        <w:rPr>
          <w:rFonts w:hAnsi="Book Antiqua" w:hint="default"/>
          <w:rtl w:val="0"/>
          <w:lang w:val="it-IT"/>
        </w:rPr>
        <w:t xml:space="preserve"> “</w:t>
      </w:r>
      <w:r>
        <w:rPr>
          <w:rFonts w:ascii="Book Antiqua"/>
          <w:rtl w:val="0"/>
          <w:lang w:val="it-IT"/>
        </w:rPr>
        <w:t xml:space="preserve">la procura della Repubblica ha fatto quello che la legge le prescrive, ossia ha acquisito la notizia di reato. I vigili del fuoco hanno segnalato l'inottemperanza alle prescrizioni. Non dimentichiamo che l'articolo </w:t>
      </w:r>
      <w:r>
        <w:rPr>
          <w:rFonts w:hAnsi="Book Antiqua" w:hint="default"/>
          <w:rtl w:val="0"/>
          <w:lang w:val="it-IT"/>
        </w:rPr>
        <w:t xml:space="preserve">è </w:t>
      </w:r>
      <w:r>
        <w:rPr>
          <w:rFonts w:ascii="Book Antiqua"/>
          <w:rtl w:val="0"/>
          <w:lang w:val="it-IT"/>
        </w:rPr>
        <w:t>una mera contravvenzione. L'articolo prevede una sanzione che pu</w:t>
      </w:r>
      <w:r>
        <w:rPr>
          <w:rFonts w:hAnsi="Book Antiqua" w:hint="default"/>
          <w:rtl w:val="0"/>
          <w:lang w:val="it-IT"/>
        </w:rPr>
        <w:t xml:space="preserve">ò </w:t>
      </w:r>
      <w:r>
        <w:rPr>
          <w:rFonts w:ascii="Book Antiqua"/>
          <w:rtl w:val="0"/>
          <w:lang w:val="it-IT"/>
        </w:rPr>
        <w:t xml:space="preserve">essere anche pecuniaria. Quindi, la procura della Repubblica quello che doveva fare l'ha fatto. Non so se poi coglie nel segno, ma la questione travalica il caso di specie e, probabilmente, ci pone degli interrogativi sull'adeguatezza della normativa. Tuttavia, se questa </w:t>
      </w:r>
      <w:r>
        <w:rPr>
          <w:rFonts w:hAnsi="Book Antiqua" w:hint="default"/>
          <w:rtl w:val="0"/>
          <w:lang w:val="it-IT"/>
        </w:rPr>
        <w:t xml:space="preserve">è </w:t>
      </w:r>
      <w:r>
        <w:rPr>
          <w:rFonts w:ascii="Book Antiqua"/>
          <w:rtl w:val="0"/>
          <w:lang w:val="it-IT"/>
        </w:rPr>
        <w:t>la norma, noi questa applichiamo</w:t>
      </w:r>
      <w:r>
        <w:rPr>
          <w:rFonts w:hAnsi="Book Antiqua" w:hint="default"/>
          <w:rtl w:val="0"/>
          <w:lang w:val="it-IT"/>
        </w:rPr>
        <w:t>”</w:t>
      </w:r>
      <w:r>
        <w:rPr>
          <w:rFonts w:ascii="Book Antiqua"/>
          <w:rtl w:val="0"/>
          <w:lang w:val="it-IT"/>
        </w:rPr>
        <w:t>. Esprimeva, infine, l</w:t>
      </w:r>
      <w:r>
        <w:rPr>
          <w:rFonts w:hAnsi="Book Antiqua" w:hint="default"/>
          <w:rtl w:val="0"/>
          <w:lang w:val="it-IT"/>
        </w:rPr>
        <w:t>’</w:t>
      </w:r>
      <w:r>
        <w:rPr>
          <w:rFonts w:ascii="Book Antiqua"/>
          <w:rtl w:val="0"/>
          <w:lang w:val="it-IT"/>
        </w:rPr>
        <w:t xml:space="preserve">opinione che </w:t>
      </w:r>
      <w:r>
        <w:rPr>
          <w:rFonts w:hAnsi="Book Antiqua" w:hint="default"/>
          <w:rtl w:val="0"/>
          <w:lang w:val="it-IT"/>
        </w:rPr>
        <w:t>“</w:t>
      </w:r>
      <w:r>
        <w:rPr>
          <w:rFonts w:ascii="Book Antiqua"/>
          <w:rtl w:val="0"/>
          <w:lang w:val="it-IT"/>
        </w:rPr>
        <w:t xml:space="preserve">se si pone il giudice penale come punta della piramide, non andiamo, forse, molto lontano. Se venissero ripristinati </w:t>
      </w:r>
      <w:r>
        <w:rPr>
          <w:rFonts w:hAnsi="Book Antiqua" w:hint="default"/>
          <w:rtl w:val="0"/>
          <w:lang w:val="it-IT"/>
        </w:rPr>
        <w:t xml:space="preserve">– </w:t>
      </w:r>
      <w:r>
        <w:rPr>
          <w:rFonts w:ascii="Book Antiqua"/>
          <w:rtl w:val="0"/>
          <w:lang w:val="it-IT"/>
        </w:rPr>
        <w:t xml:space="preserve">questa </w:t>
      </w:r>
      <w:r>
        <w:rPr>
          <w:rFonts w:hAnsi="Book Antiqua" w:hint="default"/>
          <w:rtl w:val="0"/>
          <w:lang w:val="it-IT"/>
        </w:rPr>
        <w:t xml:space="preserve">è </w:t>
      </w:r>
      <w:r>
        <w:rPr>
          <w:rFonts w:ascii="Book Antiqua"/>
          <w:rtl w:val="0"/>
          <w:lang w:val="it-IT"/>
        </w:rPr>
        <w:t xml:space="preserve">una valutazione che mi permetto di fare </w:t>
      </w:r>
      <w:r>
        <w:rPr>
          <w:rFonts w:hAnsi="Book Antiqua" w:hint="default"/>
          <w:rtl w:val="0"/>
          <w:lang w:val="it-IT"/>
        </w:rPr>
        <w:t xml:space="preserve">– </w:t>
      </w:r>
      <w:r>
        <w:rPr>
          <w:rFonts w:ascii="Book Antiqua"/>
          <w:rtl w:val="0"/>
          <w:lang w:val="it-IT"/>
        </w:rPr>
        <w:t>in capo alle autorit</w:t>
      </w:r>
      <w:r>
        <w:rPr>
          <w:rFonts w:hAnsi="Book Antiqua" w:hint="default"/>
          <w:rtl w:val="0"/>
          <w:lang w:val="it-IT"/>
        </w:rPr>
        <w:t xml:space="preserve">à </w:t>
      </w:r>
      <w:r>
        <w:rPr>
          <w:rFonts w:ascii="Book Antiqua"/>
          <w:rtl w:val="0"/>
          <w:lang w:val="it-IT"/>
        </w:rPr>
        <w:t>amministrative poteri pi</w:t>
      </w:r>
      <w:r>
        <w:rPr>
          <w:rFonts w:hAnsi="Book Antiqua" w:hint="default"/>
          <w:rtl w:val="0"/>
          <w:lang w:val="it-IT"/>
        </w:rPr>
        <w:t xml:space="preserve">ù </w:t>
      </w:r>
      <w:r>
        <w:rPr>
          <w:rFonts w:ascii="Book Antiqua"/>
          <w:rtl w:val="0"/>
          <w:lang w:val="it-IT"/>
        </w:rPr>
        <w:t xml:space="preserve">incisivi di controllo e di repressione, senza </w:t>
      </w:r>
      <w:r>
        <w:rPr>
          <w:rFonts w:hAnsi="Book Antiqua" w:hint="default"/>
          <w:rtl w:val="0"/>
          <w:lang w:val="it-IT"/>
        </w:rPr>
        <w:t xml:space="preserve">– </w:t>
      </w:r>
      <w:r>
        <w:rPr>
          <w:rFonts w:ascii="Book Antiqua"/>
          <w:rtl w:val="0"/>
          <w:lang w:val="it-IT"/>
        </w:rPr>
        <w:t xml:space="preserve">mi permetto un tono polemico </w:t>
      </w:r>
      <w:r>
        <w:rPr>
          <w:rFonts w:hAnsi="Book Antiqua" w:hint="default"/>
          <w:rtl w:val="0"/>
          <w:lang w:val="it-IT"/>
        </w:rPr>
        <w:t xml:space="preserve">– </w:t>
      </w:r>
      <w:r>
        <w:rPr>
          <w:rFonts w:ascii="Book Antiqua"/>
          <w:rtl w:val="0"/>
          <w:lang w:val="it-IT"/>
        </w:rPr>
        <w:t>scaricare tutto sempre sul giudice penale, che certamente non ha gli strumenti per valutare se un impianto antincendio sia buono o non sia buono, forse raggiungeremmo pi</w:t>
      </w:r>
      <w:r>
        <w:rPr>
          <w:rFonts w:hAnsi="Book Antiqua" w:hint="default"/>
          <w:rtl w:val="0"/>
          <w:lang w:val="it-IT"/>
        </w:rPr>
        <w:t xml:space="preserve">ù </w:t>
      </w:r>
      <w:r>
        <w:rPr>
          <w:rFonts w:ascii="Book Antiqua"/>
          <w:rtl w:val="0"/>
          <w:lang w:val="it-IT"/>
        </w:rPr>
        <w:t>la sostanza delle cose, senza trincerarci dietro la forma.</w:t>
      </w:r>
      <w:r>
        <w:rPr>
          <w:rFonts w:hAnsi="Book Antiqua" w:hint="default"/>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In sostanza, la circostanza che pi</w:t>
      </w:r>
      <w:r>
        <w:rPr>
          <w:rFonts w:hAnsi="Book Antiqua" w:hint="default"/>
          <w:rtl w:val="0"/>
          <w:lang w:val="it-IT"/>
        </w:rPr>
        <w:t xml:space="preserve">ù </w:t>
      </w:r>
      <w:r>
        <w:rPr>
          <w:rFonts w:ascii="Book Antiqua"/>
          <w:rtl w:val="0"/>
          <w:lang w:val="it-IT"/>
        </w:rPr>
        <w:t>colpisce</w:t>
      </w:r>
      <w:r>
        <w:rPr>
          <w:rFonts w:hAnsi="Book Antiqua" w:hint="default"/>
          <w:rtl w:val="0"/>
          <w:lang w:val="it-IT"/>
        </w:rPr>
        <w:t xml:space="preserve"> è </w:t>
      </w:r>
      <w:r>
        <w:rPr>
          <w:rFonts w:ascii="Book Antiqua"/>
          <w:rtl w:val="0"/>
          <w:lang w:val="it-IT"/>
        </w:rPr>
        <w:t>la totale inadempienza, due volte riscontrata, alle prescrizioni antincendio, conclusasi con un semplice decreto penale di condanna senza alcuna sospensione dell</w:t>
      </w:r>
      <w:r>
        <w:rPr>
          <w:rFonts w:hAnsi="Book Antiqua" w:hint="default"/>
          <w:rtl w:val="0"/>
          <w:lang w:val="it-IT"/>
        </w:rPr>
        <w:t>’</w:t>
      </w:r>
      <w:r>
        <w:rPr>
          <w:rFonts w:ascii="Book Antiqua"/>
          <w:rtl w:val="0"/>
          <w:lang w:val="it-IT"/>
        </w:rPr>
        <w:t>attivit</w:t>
      </w:r>
      <w:r>
        <w:rPr>
          <w:rFonts w:hAnsi="Book Antiqua" w:hint="default"/>
          <w:rtl w:val="0"/>
          <w:lang w:val="it-IT"/>
        </w:rPr>
        <w:t xml:space="preserve">à </w:t>
      </w:r>
      <w:r>
        <w:rPr>
          <w:rFonts w:ascii="Book Antiqua"/>
          <w:rtl w:val="0"/>
          <w:lang w:val="it-IT"/>
        </w:rPr>
        <w:t>che, se ci fosse stata, probabilmente avrebbe evitato l</w:t>
      </w:r>
      <w:r>
        <w:rPr>
          <w:rFonts w:hAnsi="Book Antiqua" w:hint="default"/>
          <w:rtl w:val="0"/>
          <w:lang w:val="it-IT"/>
        </w:rPr>
        <w:t>’</w:t>
      </w:r>
      <w:r>
        <w:rPr>
          <w:rFonts w:ascii="Book Antiqua"/>
          <w:rtl w:val="0"/>
          <w:lang w:val="it-IT"/>
        </w:rPr>
        <w:t>incendio o, quanto meno, ne avrebbe limitato le conseguenze.</w:t>
      </w:r>
    </w:p>
    <w:p>
      <w:pPr>
        <w:pStyle w:val="Normal"/>
        <w:ind w:left="567" w:right="567" w:firstLine="0"/>
        <w:jc w:val="both"/>
        <w:rPr>
          <w:rFonts w:ascii="Book Antiqua" w:cs="Book Antiqua" w:hAnsi="Book Antiqua" w:eastAsia="Book Antiqua"/>
        </w:rPr>
      </w:pPr>
      <w:r>
        <w:rPr>
          <w:rFonts w:ascii="Book Antiqua"/>
          <w:rtl w:val="0"/>
          <w:lang w:val="it-IT"/>
        </w:rPr>
        <w:t>Su questa circostanza sono state rivolte numerose domande nel corso dell</w:t>
      </w:r>
      <w:r>
        <w:rPr>
          <w:rFonts w:hAnsi="Book Antiqua" w:hint="default"/>
          <w:rtl w:val="0"/>
          <w:lang w:val="it-IT"/>
        </w:rPr>
        <w:t>’</w:t>
      </w:r>
      <w:r>
        <w:rPr>
          <w:rFonts w:ascii="Book Antiqua"/>
          <w:rtl w:val="0"/>
          <w:lang w:val="it-IT"/>
        </w:rPr>
        <w:t>audizione di Marco Ghimenti, comandante provinciale dei Vigili del fuoco.</w:t>
      </w:r>
    </w:p>
    <w:p>
      <w:pPr>
        <w:pStyle w:val="Normal"/>
        <w:ind w:left="567" w:right="567" w:firstLine="0"/>
        <w:jc w:val="both"/>
        <w:rPr>
          <w:rFonts w:ascii="Book Antiqua" w:cs="Book Antiqua" w:hAnsi="Book Antiqua" w:eastAsia="Book Antiqua"/>
        </w:rPr>
      </w:pPr>
      <w:r>
        <w:rPr>
          <w:rFonts w:ascii="Book Antiqua"/>
          <w:rtl w:val="0"/>
          <w:lang w:val="it-IT"/>
        </w:rPr>
        <w:t xml:space="preserve">In sintesi, il comandante da un lato ha evidenziato che, avendo fatto una prima segnalazione al sindaco di Pomezia ed al prefetto di Latina, aveva </w:t>
      </w:r>
      <w:r>
        <w:rPr>
          <w:rFonts w:hAnsi="Book Antiqua" w:hint="default"/>
          <w:rtl w:val="0"/>
          <w:lang w:val="it-IT"/>
        </w:rPr>
        <w:t>“</w:t>
      </w:r>
      <w:r>
        <w:rPr>
          <w:rFonts w:ascii="Book Antiqua"/>
          <w:rtl w:val="0"/>
          <w:lang w:val="it-IT"/>
        </w:rPr>
        <w:t>rinviato</w:t>
      </w:r>
      <w:r>
        <w:rPr>
          <w:rFonts w:hAnsi="Book Antiqua" w:hint="default"/>
          <w:rtl w:val="0"/>
          <w:lang w:val="it-IT"/>
        </w:rPr>
        <w:t xml:space="preserve">” </w:t>
      </w:r>
      <w:r>
        <w:rPr>
          <w:rFonts w:ascii="Book Antiqua"/>
          <w:rtl w:val="0"/>
          <w:lang w:val="it-IT"/>
        </w:rPr>
        <w:t xml:space="preserve">a loro eventuali decisioni: </w:t>
      </w:r>
      <w:r>
        <w:rPr>
          <w:rFonts w:hAnsi="Book Antiqua" w:hint="default"/>
          <w:rtl w:val="0"/>
          <w:lang w:val="it-IT"/>
        </w:rPr>
        <w:t>“</w:t>
      </w:r>
      <w:r>
        <w:rPr>
          <w:rFonts w:ascii="Book Antiqua"/>
          <w:rtl w:val="0"/>
          <w:lang w:val="it-IT"/>
        </w:rPr>
        <w:t>L</w:t>
      </w:r>
      <w:r>
        <w:rPr>
          <w:rFonts w:hAnsi="Book Antiqua" w:hint="default"/>
          <w:rtl w:val="0"/>
          <w:lang w:val="it-IT"/>
        </w:rPr>
        <w:t>’</w:t>
      </w:r>
      <w:r>
        <w:rPr>
          <w:rFonts w:ascii="Book Antiqua"/>
          <w:rtl w:val="0"/>
          <w:lang w:val="it-IT"/>
        </w:rPr>
        <w:t>articolo 20 del decreto n. 139 dice che la possibilit</w:t>
      </w:r>
      <w:r>
        <w:rPr>
          <w:rFonts w:hAnsi="Book Antiqua" w:hint="default"/>
          <w:rtl w:val="0"/>
          <w:lang w:val="it-IT"/>
        </w:rPr>
        <w:t xml:space="preserve">à </w:t>
      </w:r>
      <w:r>
        <w:rPr>
          <w:rFonts w:ascii="Book Antiqua"/>
          <w:rtl w:val="0"/>
          <w:lang w:val="it-IT"/>
        </w:rPr>
        <w:t>di disporre la sospensione ricade nelle mani di altre autorit</w:t>
      </w:r>
      <w:r>
        <w:rPr>
          <w:rFonts w:hAnsi="Book Antiqua" w:hint="default"/>
          <w:rtl w:val="0"/>
          <w:lang w:val="it-IT"/>
        </w:rPr>
        <w:t>à</w:t>
      </w:r>
      <w:r>
        <w:rPr>
          <w:rFonts w:ascii="Book Antiqua"/>
          <w:rtl w:val="0"/>
          <w:lang w:val="it-IT"/>
        </w:rPr>
        <w:t>, quali il prefetto e, nel caso specifico, il sindaco, anche perch</w:t>
      </w:r>
      <w:r>
        <w:rPr>
          <w:rFonts w:hAnsi="Book Antiqua" w:hint="default"/>
          <w:rtl w:val="0"/>
          <w:lang w:val="it-IT"/>
        </w:rPr>
        <w:t xml:space="preserve">é </w:t>
      </w:r>
      <w:r>
        <w:rPr>
          <w:rFonts w:ascii="Book Antiqua"/>
          <w:rtl w:val="0"/>
          <w:lang w:val="it-IT"/>
        </w:rPr>
        <w:t>concorrono aspetti che riguardano la sicurezza, ma c</w:t>
      </w:r>
      <w:r>
        <w:rPr>
          <w:rFonts w:hAnsi="Book Antiqua" w:hint="default"/>
          <w:rtl w:val="0"/>
          <w:lang w:val="it-IT"/>
        </w:rPr>
        <w:t xml:space="preserve">’è </w:t>
      </w:r>
      <w:r>
        <w:rPr>
          <w:rFonts w:ascii="Book Antiqua"/>
          <w:rtl w:val="0"/>
          <w:lang w:val="it-IT"/>
        </w:rPr>
        <w:t xml:space="preserve">di mezzo anche un inadempimento di natura </w:t>
      </w:r>
      <w:r>
        <w:rPr>
          <w:rFonts w:hAnsi="Book Antiqua" w:hint="default"/>
          <w:rtl w:val="0"/>
          <w:lang w:val="it-IT"/>
        </w:rPr>
        <w:t xml:space="preserve">– </w:t>
      </w:r>
      <w:r>
        <w:rPr>
          <w:rFonts w:ascii="Book Antiqua"/>
          <w:rtl w:val="0"/>
          <w:lang w:val="it-IT"/>
        </w:rPr>
        <w:t xml:space="preserve">forse, lo dico impropriamente </w:t>
      </w:r>
      <w:r>
        <w:rPr>
          <w:rFonts w:hAnsi="Book Antiqua" w:hint="default"/>
          <w:rtl w:val="0"/>
          <w:lang w:val="it-IT"/>
        </w:rPr>
        <w:t xml:space="preserve">– </w:t>
      </w:r>
      <w:r>
        <w:rPr>
          <w:rFonts w:ascii="Book Antiqua"/>
          <w:rtl w:val="0"/>
          <w:lang w:val="it-IT"/>
        </w:rPr>
        <w:t>giuridico-amministrativa o un adempimento di altra natura, per cui, a quel punto, scattano anche altre competenze</w:t>
      </w:r>
      <w:r>
        <w:rPr>
          <w:rFonts w:hAnsi="Book Antiqua" w:hint="default"/>
          <w:rtl w:val="0"/>
          <w:lang w:val="it-IT"/>
        </w:rPr>
        <w:t>”</w:t>
      </w:r>
      <w:r>
        <w:rPr>
          <w:rFonts w:ascii="Book Antiqua"/>
          <w:rtl w:val="0"/>
          <w:lang w:val="it-IT"/>
        </w:rPr>
        <w:t xml:space="preserve">, aggiungendo che </w:t>
      </w:r>
      <w:r>
        <w:rPr>
          <w:rFonts w:hAnsi="Book Antiqua" w:hint="default"/>
          <w:rtl w:val="0"/>
          <w:lang w:val="it-IT"/>
        </w:rPr>
        <w:t>“</w:t>
      </w:r>
      <w:r>
        <w:rPr>
          <w:rFonts w:ascii="Book Antiqua"/>
          <w:rtl w:val="0"/>
          <w:lang w:val="it-IT"/>
        </w:rPr>
        <w:t>il combinato della nostra azione per far fronte a un pericolo imminente, che fa anche altri tipi di valutazione, come le dicevo prima, e, secondo me, deve farle, pu</w:t>
      </w:r>
      <w:r>
        <w:rPr>
          <w:rFonts w:hAnsi="Book Antiqua" w:hint="default"/>
          <w:rtl w:val="0"/>
          <w:lang w:val="it-IT"/>
        </w:rPr>
        <w:t xml:space="preserve">ò </w:t>
      </w:r>
      <w:r>
        <w:rPr>
          <w:rFonts w:ascii="Book Antiqua"/>
          <w:rtl w:val="0"/>
          <w:lang w:val="it-IT"/>
        </w:rPr>
        <w:t>valutare che ci possano essere i tempi e le modalit</w:t>
      </w:r>
      <w:r>
        <w:rPr>
          <w:rFonts w:hAnsi="Book Antiqua" w:hint="default"/>
          <w:rtl w:val="0"/>
          <w:lang w:val="it-IT"/>
        </w:rPr>
        <w:t xml:space="preserve">à </w:t>
      </w:r>
      <w:r>
        <w:rPr>
          <w:rFonts w:ascii="Book Antiqua"/>
          <w:rtl w:val="0"/>
          <w:lang w:val="it-IT"/>
        </w:rPr>
        <w:t>con cui ridurre il rischio e mantenere un</w:t>
      </w:r>
      <w:r>
        <w:rPr>
          <w:rFonts w:hAnsi="Book Antiqua" w:hint="default"/>
          <w:rtl w:val="0"/>
          <w:lang w:val="it-IT"/>
        </w:rPr>
        <w:t>’</w:t>
      </w:r>
      <w:r>
        <w:rPr>
          <w:rFonts w:ascii="Book Antiqua"/>
          <w:rtl w:val="0"/>
          <w:lang w:val="it-IT"/>
        </w:rPr>
        <w:t>attivit</w:t>
      </w:r>
      <w:r>
        <w:rPr>
          <w:rFonts w:hAnsi="Book Antiqua" w:hint="default"/>
          <w:rtl w:val="0"/>
          <w:lang w:val="it-IT"/>
        </w:rPr>
        <w:t>à</w:t>
      </w:r>
      <w:r>
        <w:rPr>
          <w:rFonts w:ascii="Book Antiqua"/>
          <w:rtl w:val="0"/>
          <w:lang w:val="it-IT"/>
        </w:rPr>
        <w:t>. Ci</w:t>
      </w:r>
      <w:r>
        <w:rPr>
          <w:rFonts w:hAnsi="Book Antiqua" w:hint="default"/>
          <w:rtl w:val="0"/>
          <w:lang w:val="it-IT"/>
        </w:rPr>
        <w:t xml:space="preserve">ò è </w:t>
      </w:r>
      <w:r>
        <w:rPr>
          <w:rFonts w:ascii="Book Antiqua"/>
          <w:rtl w:val="0"/>
          <w:lang w:val="it-IT"/>
        </w:rPr>
        <w:t>compensato dal fatto che, nel momento in cui si constata una situazione come quella che abbiamo visto nella prima fase, quindi nella data cui lei fa riferimento, viene subito fatta comunicazione agli enti che hanno la possibilit</w:t>
      </w:r>
      <w:r>
        <w:rPr>
          <w:rFonts w:hAnsi="Book Antiqua" w:hint="default"/>
          <w:rtl w:val="0"/>
          <w:lang w:val="it-IT"/>
        </w:rPr>
        <w:t xml:space="preserve">à </w:t>
      </w:r>
      <w:r>
        <w:rPr>
          <w:rFonts w:ascii="Book Antiqua"/>
          <w:rtl w:val="0"/>
          <w:lang w:val="it-IT"/>
        </w:rPr>
        <w:t>eventualmente, a norma, di sospendere</w:t>
      </w:r>
      <w:r>
        <w:rPr>
          <w:rFonts w:hAnsi="Book Antiqua" w:hint="default"/>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Dall</w:t>
      </w:r>
      <w:r>
        <w:rPr>
          <w:rFonts w:hAnsi="Book Antiqua" w:hint="default"/>
          <w:rtl w:val="0"/>
          <w:lang w:val="it-IT"/>
        </w:rPr>
        <w:t>’</w:t>
      </w:r>
      <w:r>
        <w:rPr>
          <w:rFonts w:ascii="Book Antiqua"/>
          <w:rtl w:val="0"/>
          <w:lang w:val="it-IT"/>
        </w:rPr>
        <w:t>altro, di fronte all</w:t>
      </w:r>
      <w:r>
        <w:rPr>
          <w:rFonts w:hAnsi="Book Antiqua" w:hint="default"/>
          <w:rtl w:val="0"/>
          <w:lang w:val="it-IT"/>
        </w:rPr>
        <w:t xml:space="preserve">’ </w:t>
      </w:r>
      <w:r>
        <w:rPr>
          <w:rFonts w:ascii="Book Antiqua"/>
          <w:rtl w:val="0"/>
          <w:lang w:val="it-IT"/>
        </w:rPr>
        <w:t>inadempimento alla prescrizione relativa alla riduzione del carico, mirata a consentire l</w:t>
      </w:r>
      <w:r>
        <w:rPr>
          <w:rFonts w:hAnsi="Book Antiqua" w:hint="default"/>
          <w:rtl w:val="0"/>
          <w:lang w:val="it-IT"/>
        </w:rPr>
        <w:t>’</w:t>
      </w:r>
      <w:r>
        <w:rPr>
          <w:rFonts w:ascii="Book Antiqua"/>
          <w:rtl w:val="0"/>
          <w:lang w:val="it-IT"/>
        </w:rPr>
        <w:t>attivit</w:t>
      </w:r>
      <w:r>
        <w:rPr>
          <w:rFonts w:hAnsi="Book Antiqua" w:hint="default"/>
          <w:rtl w:val="0"/>
          <w:lang w:val="it-IT"/>
        </w:rPr>
        <w:t xml:space="preserve">à </w:t>
      </w:r>
      <w:r>
        <w:rPr>
          <w:rFonts w:ascii="Book Antiqua"/>
          <w:rtl w:val="0"/>
          <w:lang w:val="it-IT"/>
        </w:rPr>
        <w:t xml:space="preserve">nonostante le violazioni, ha precisato di non sapere se questo inadempimento era stato realmente accertato in sede di controllo ma che chi ha fatto quel controllo se non </w:t>
      </w:r>
      <w:r>
        <w:rPr>
          <w:rFonts w:hAnsi="Book Antiqua" w:hint="default"/>
          <w:rtl w:val="0"/>
          <w:lang w:val="it-IT"/>
        </w:rPr>
        <w:t xml:space="preserve">è </w:t>
      </w:r>
      <w:r>
        <w:rPr>
          <w:rFonts w:ascii="Book Antiqua"/>
          <w:rtl w:val="0"/>
          <w:lang w:val="it-IT"/>
        </w:rPr>
        <w:t>arrivato a inibire l</w:t>
      </w:r>
      <w:r>
        <w:rPr>
          <w:rFonts w:hAnsi="Book Antiqua" w:hint="default"/>
          <w:rtl w:val="0"/>
          <w:lang w:val="it-IT"/>
        </w:rPr>
        <w:t>’</w:t>
      </w:r>
      <w:r>
        <w:rPr>
          <w:rFonts w:ascii="Book Antiqua"/>
          <w:rtl w:val="0"/>
          <w:lang w:val="it-IT"/>
        </w:rPr>
        <w:t>attivit</w:t>
      </w:r>
      <w:r>
        <w:rPr>
          <w:rFonts w:hAnsi="Book Antiqua" w:hint="default"/>
          <w:rtl w:val="0"/>
          <w:lang w:val="it-IT"/>
        </w:rPr>
        <w:t>à</w:t>
      </w:r>
      <w:r>
        <w:rPr>
          <w:rFonts w:ascii="Book Antiqua"/>
          <w:rtl w:val="0"/>
          <w:lang w:val="it-IT"/>
        </w:rPr>
        <w:t xml:space="preserve">, </w:t>
      </w:r>
      <w:r>
        <w:rPr>
          <w:rFonts w:hAnsi="Book Antiqua" w:hint="default"/>
          <w:rtl w:val="0"/>
          <w:lang w:val="it-IT"/>
        </w:rPr>
        <w:t>“</w:t>
      </w:r>
      <w:r>
        <w:rPr>
          <w:rFonts w:ascii="Book Antiqua"/>
          <w:rtl w:val="0"/>
          <w:lang w:val="it-IT"/>
        </w:rPr>
        <w:t>per la fotografia che ha fatto in quel momento</w:t>
      </w:r>
      <w:r>
        <w:rPr>
          <w:rFonts w:hAnsi="Book Antiqua" w:hint="default"/>
          <w:rtl w:val="0"/>
          <w:lang w:val="it-IT"/>
        </w:rPr>
        <w:t>”</w:t>
      </w:r>
      <w:r>
        <w:rPr>
          <w:rFonts w:ascii="Book Antiqua"/>
          <w:rtl w:val="0"/>
          <w:lang w:val="it-IT"/>
        </w:rPr>
        <w:t>, ha probabilmente ritenuto che comunque l</w:t>
      </w:r>
      <w:r>
        <w:rPr>
          <w:rFonts w:hAnsi="Book Antiqua" w:hint="default"/>
          <w:rtl w:val="0"/>
          <w:lang w:val="it-IT"/>
        </w:rPr>
        <w:t>’</w:t>
      </w:r>
      <w:r>
        <w:rPr>
          <w:rFonts w:ascii="Book Antiqua"/>
          <w:rtl w:val="0"/>
          <w:lang w:val="it-IT"/>
        </w:rPr>
        <w:t xml:space="preserve">impianto dovesse andare avanti lo stesso. Aggiungendo che </w:t>
      </w:r>
      <w:r>
        <w:rPr>
          <w:rFonts w:hAnsi="Book Antiqua" w:hint="default"/>
          <w:rtl w:val="0"/>
          <w:lang w:val="it-IT"/>
        </w:rPr>
        <w:t>“</w:t>
      </w:r>
      <w:r>
        <w:rPr>
          <w:rFonts w:ascii="Book Antiqua"/>
          <w:rtl w:val="0"/>
          <w:lang w:val="it-IT"/>
        </w:rPr>
        <w:t xml:space="preserve">sicuramente, tutto </w:t>
      </w:r>
      <w:r>
        <w:rPr>
          <w:rFonts w:hAnsi="Book Antiqua" w:hint="default"/>
          <w:rtl w:val="0"/>
          <w:lang w:val="it-IT"/>
        </w:rPr>
        <w:t xml:space="preserve">è </w:t>
      </w:r>
      <w:r>
        <w:rPr>
          <w:rFonts w:ascii="Book Antiqua"/>
          <w:rtl w:val="0"/>
          <w:lang w:val="it-IT"/>
        </w:rPr>
        <w:t xml:space="preserve">migliorabile e, lavorandoci, le dico che tante riflessioni vengono anche noi. Certo, muovere il legislatore per suggerimenti che nascono sul campo, di volta in volta, non </w:t>
      </w:r>
      <w:r>
        <w:rPr>
          <w:rFonts w:hAnsi="Book Antiqua" w:hint="default"/>
          <w:rtl w:val="0"/>
          <w:lang w:val="it-IT"/>
        </w:rPr>
        <w:t xml:space="preserve">è </w:t>
      </w:r>
      <w:r>
        <w:rPr>
          <w:rFonts w:ascii="Book Antiqua"/>
          <w:rtl w:val="0"/>
          <w:lang w:val="it-IT"/>
        </w:rPr>
        <w:t>cos</w:t>
      </w:r>
      <w:r>
        <w:rPr>
          <w:rFonts w:hAnsi="Book Antiqua" w:hint="default"/>
          <w:rtl w:val="0"/>
          <w:lang w:val="it-IT"/>
        </w:rPr>
        <w:t xml:space="preserve">ì </w:t>
      </w:r>
      <w:r>
        <w:rPr>
          <w:rFonts w:ascii="Book Antiqua"/>
          <w:rtl w:val="0"/>
          <w:lang w:val="it-IT"/>
        </w:rPr>
        <w:t>facile, quindi concordo con lei che ci siano degli affidamenti da fare e, per primo, ci metterei una forma di Conferenza di servizi continuativa su questi temi</w:t>
      </w:r>
      <w:r>
        <w:rPr>
          <w:rFonts w:hAnsi="Book Antiqua" w:hint="default"/>
          <w:rtl w:val="0"/>
          <w:lang w:val="it-IT"/>
        </w:rPr>
        <w:t>”</w:t>
      </w:r>
      <w:r>
        <w:rPr>
          <w:rFonts w:ascii="Book Antiqua"/>
          <w:rtl w:val="0"/>
          <w:lang w:val="it-IT"/>
        </w:rPr>
        <w:t>.</w:t>
      </w: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i w:val="1"/>
          <w:iCs w:val="1"/>
        </w:rPr>
      </w:pPr>
      <w:r>
        <w:rPr>
          <w:rFonts w:ascii="Book Antiqua"/>
          <w:i w:val="1"/>
          <w:iCs w:val="1"/>
          <w:rtl w:val="0"/>
          <w:lang w:val="it-IT"/>
        </w:rPr>
        <w:t>Le conseguenze dell</w:t>
      </w:r>
      <w:r>
        <w:rPr>
          <w:rFonts w:hAnsi="Book Antiqua" w:hint="default"/>
          <w:i w:val="1"/>
          <w:iCs w:val="1"/>
          <w:rtl w:val="0"/>
          <w:lang w:val="it-IT"/>
        </w:rPr>
        <w:t>’</w:t>
      </w:r>
      <w:r>
        <w:rPr>
          <w:rFonts w:ascii="Book Antiqua"/>
          <w:i w:val="1"/>
          <w:iCs w:val="1"/>
          <w:rtl w:val="0"/>
          <w:lang w:val="it-IT"/>
        </w:rPr>
        <w:t>incendio sull</w:t>
      </w:r>
      <w:r>
        <w:rPr>
          <w:rFonts w:hAnsi="Book Antiqua" w:hint="default"/>
          <w:i w:val="1"/>
          <w:iCs w:val="1"/>
          <w:rtl w:val="0"/>
          <w:lang w:val="it-IT"/>
        </w:rPr>
        <w:t>’</w:t>
      </w:r>
      <w:r>
        <w:rPr>
          <w:rFonts w:ascii="Book Antiqua"/>
          <w:i w:val="1"/>
          <w:iCs w:val="1"/>
          <w:rtl w:val="0"/>
          <w:lang w:val="it-IT"/>
        </w:rPr>
        <w:t>ambiente</w:t>
      </w:r>
    </w:p>
    <w:p>
      <w:pPr>
        <w:pStyle w:val="Normal"/>
        <w:ind w:left="567" w:right="567" w:firstLine="0"/>
        <w:jc w:val="both"/>
        <w:rPr>
          <w:rFonts w:ascii="Book Antiqua Bold" w:cs="Book Antiqua Bold" w:hAnsi="Book Antiqua Bold" w:eastAsia="Book Antiqua Bold"/>
          <w:b w:val="1"/>
          <w:bCs w:val="1"/>
        </w:rPr>
      </w:pPr>
    </w:p>
    <w:p>
      <w:pPr>
        <w:pStyle w:val="Normal"/>
        <w:ind w:left="567" w:right="567" w:firstLine="0"/>
        <w:jc w:val="both"/>
        <w:rPr>
          <w:rFonts w:ascii="Book Antiqua" w:cs="Book Antiqua" w:hAnsi="Book Antiqua" w:eastAsia="Book Antiqua"/>
        </w:rPr>
      </w:pPr>
      <w:r>
        <w:rPr>
          <w:rFonts w:ascii="Book Antiqua"/>
          <w:rtl w:val="0"/>
          <w:lang w:val="it-IT"/>
        </w:rPr>
        <w:t>Nel corso delle indagini, la Commissione ha raccolto ampia documentazione circa i primi risultati relativi alle conseguenze sull</w:t>
      </w:r>
      <w:r>
        <w:rPr>
          <w:rFonts w:hAnsi="Book Antiqua" w:hint="default"/>
          <w:rtl w:val="0"/>
          <w:lang w:val="it-IT"/>
        </w:rPr>
        <w:t>’</w:t>
      </w:r>
      <w:r>
        <w:rPr>
          <w:rFonts w:ascii="Book Antiqua"/>
          <w:rtl w:val="0"/>
          <w:lang w:val="it-IT"/>
        </w:rPr>
        <w:t>ambiente a causa dell</w:t>
      </w:r>
      <w:r>
        <w:rPr>
          <w:rFonts w:hAnsi="Book Antiqua" w:hint="default"/>
          <w:rtl w:val="0"/>
          <w:lang w:val="it-IT"/>
        </w:rPr>
        <w:t>’</w:t>
      </w:r>
      <w:r>
        <w:rPr>
          <w:rFonts w:ascii="Book Antiqua"/>
          <w:rtl w:val="0"/>
          <w:lang w:val="it-IT"/>
        </w:rPr>
        <w:t>incendio della Eco X, nel corso delle audizioni del procuratore della Repubblica di Velletri, dei responsabili della ASL, e, soprattutto, del direttore e dei tecnici dell</w:t>
      </w:r>
      <w:r>
        <w:rPr>
          <w:rFonts w:hAnsi="Book Antiqua" w:hint="default"/>
          <w:rtl w:val="0"/>
          <w:lang w:val="it-IT"/>
        </w:rPr>
        <w:t>’</w:t>
      </w:r>
      <w:r>
        <w:rPr>
          <w:rFonts w:ascii="Book Antiqua"/>
          <w:rtl w:val="0"/>
          <w:lang w:val="it-IT"/>
        </w:rPr>
        <w:t>ARPA Lazio.</w:t>
      </w:r>
    </w:p>
    <w:p>
      <w:pPr>
        <w:pStyle w:val="Normal"/>
        <w:ind w:left="567" w:right="567" w:firstLine="0"/>
        <w:jc w:val="both"/>
        <w:rPr>
          <w:rFonts w:ascii="Book Antiqua" w:cs="Book Antiqua" w:hAnsi="Book Antiqua" w:eastAsia="Book Antiqua"/>
        </w:rPr>
      </w:pPr>
      <w:r>
        <w:rPr>
          <w:rFonts w:ascii="Book Antiqua"/>
          <w:rtl w:val="0"/>
          <w:lang w:val="it-IT"/>
        </w:rPr>
        <w:t xml:space="preserve">Premesso che, ovviamente, </w:t>
      </w:r>
      <w:r>
        <w:rPr>
          <w:rFonts w:hAnsi="Book Antiqua" w:hint="default"/>
          <w:rtl w:val="0"/>
          <w:lang w:val="it-IT"/>
        </w:rPr>
        <w:t xml:space="preserve">è </w:t>
      </w:r>
      <w:r>
        <w:rPr>
          <w:rFonts w:ascii="Book Antiqua"/>
          <w:rtl w:val="0"/>
          <w:lang w:val="it-IT"/>
        </w:rPr>
        <w:t>prematuro voler trarre conclusioni in proposito, ci si pu</w:t>
      </w:r>
      <w:r>
        <w:rPr>
          <w:rFonts w:hAnsi="Book Antiqua" w:hint="default"/>
          <w:rtl w:val="0"/>
          <w:lang w:val="it-IT"/>
        </w:rPr>
        <w:t>ò</w:t>
      </w:r>
      <w:r>
        <w:rPr>
          <w:rFonts w:ascii="Book Antiqua"/>
          <w:rtl w:val="0"/>
          <w:lang w:val="it-IT"/>
        </w:rPr>
        <w:t xml:space="preserve"> riportare integralmente alla relazione ARPA Lazio del 24 maggio 2017, con tutti gli annessi, circa gli interventi di monitoraggio, eseguiti con la ASL competente</w:t>
      </w:r>
      <w:r>
        <w:rPr>
          <w:rFonts w:ascii="Book Antiqua" w:cs="Book Antiqua" w:hAnsi="Book Antiqua" w:eastAsia="Book Antiqua"/>
          <w:vertAlign w:val="superscript"/>
          <w:rtl w:val="0"/>
        </w:rPr>
        <w:footnoteReference w:id="279"/>
      </w:r>
      <w:r>
        <w:rPr>
          <w:rFonts w:ascii="Book Antiqua"/>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 xml:space="preserve">In sede di audizione, Marco Lupo, </w:t>
      </w:r>
      <w:r>
        <w:rPr>
          <w:rFonts w:ascii="Book Antiqua"/>
          <w:rtl w:val="0"/>
          <w:lang w:val="it-IT"/>
        </w:rPr>
        <w:t xml:space="preserve">direttore generale di ARPA Lazio, ha affermato di ritenere che </w:t>
      </w:r>
      <w:r>
        <w:rPr>
          <w:rFonts w:hAnsi="Book Antiqua" w:hint="default"/>
          <w:rtl w:val="0"/>
          <w:lang w:val="it-IT"/>
        </w:rPr>
        <w:t>“</w:t>
      </w:r>
      <w:r>
        <w:rPr>
          <w:rFonts w:ascii="Book Antiqua"/>
          <w:rtl w:val="0"/>
          <w:lang w:val="it-IT"/>
        </w:rPr>
        <w:t xml:space="preserve">quanto avvenuto sia stato un evento particolarmente importante, che certamente ha determinato una ripercussione sull'ambiente. I livelli di diossine che abbiamo potuto misurare nelle immediate vicinanze dell'incendio ne sono, evidentemente, una prova. </w:t>
      </w:r>
      <w:r>
        <w:rPr>
          <w:rFonts w:hAnsi="Book Antiqua" w:hint="default"/>
          <w:rtl w:val="0"/>
          <w:lang w:val="it-IT"/>
        </w:rPr>
        <w:t xml:space="preserve">È </w:t>
      </w:r>
      <w:r>
        <w:rPr>
          <w:rFonts w:ascii="Book Antiqua"/>
          <w:rtl w:val="0"/>
          <w:lang w:val="it-IT"/>
        </w:rPr>
        <w:t xml:space="preserve">un fenomeno, quindi, che non deve assolutamente essere sottovalutato, anzi deve essere attenzionato fortemente sia da noi, sia dalle ASL: lo stiamo facendo, cercando di monitorare con grande attenzione. Sapete che le diossine, comunque, sono pericolose una volta che entrano nella catena alimentare, quindi occorre fare molta attenzione ai prodotti delle zone limitrofe. I sindaci hanno adottato, anche sulla base delle indicazioni fornite dalle ASL, in via precauzionale, dei provvedimenti che andavano a limitare il consumo di questi prodotti in un'area di cinque chilometri. Ritengo che siano state delle misure assolutamente adeguate. </w:t>
      </w:r>
      <w:r>
        <w:rPr>
          <w:rFonts w:hAnsi="Book Antiqua" w:hint="default"/>
          <w:rtl w:val="0"/>
          <w:lang w:val="it-IT"/>
        </w:rPr>
        <w:t xml:space="preserve">È </w:t>
      </w:r>
      <w:r>
        <w:rPr>
          <w:rFonts w:ascii="Book Antiqua"/>
          <w:rtl w:val="0"/>
          <w:lang w:val="it-IT"/>
        </w:rPr>
        <w:t>un fenomeno che va attenzionato ma, obiettivamente, credo che non debbano essere fatti allarmismi oltre misura: attenzione s</w:t>
      </w:r>
      <w:r>
        <w:rPr>
          <w:rFonts w:hAnsi="Book Antiqua" w:hint="default"/>
          <w:rtl w:val="0"/>
          <w:lang w:val="it-IT"/>
        </w:rPr>
        <w:t>ì</w:t>
      </w:r>
      <w:r>
        <w:rPr>
          <w:rFonts w:ascii="Book Antiqua"/>
          <w:rtl w:val="0"/>
          <w:lang w:val="it-IT"/>
        </w:rPr>
        <w:t>, ma esagerazione credo di no</w:t>
      </w:r>
      <w:r>
        <w:rPr>
          <w:rFonts w:hAnsi="Book Antiqua" w:hint="default"/>
          <w:rtl w:val="0"/>
          <w:lang w:val="it-IT"/>
        </w:rPr>
        <w:t>”</w:t>
      </w:r>
      <w:r>
        <w:rPr>
          <w:rFonts w:ascii="Book Antiqua"/>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 xml:space="preserve">Quanto agli effetti sulla salute, Francesco Prete, </w:t>
      </w:r>
      <w:r>
        <w:rPr>
          <w:rFonts w:ascii="Book Antiqua"/>
          <w:rtl w:val="0"/>
          <w:lang w:val="it-IT"/>
        </w:rPr>
        <w:t>procuratore della Repubblica presso il tribunale di Velletri</w:t>
      </w:r>
      <w:r>
        <w:rPr>
          <w:rFonts w:ascii="Book Antiqua"/>
          <w:i w:val="1"/>
          <w:iCs w:val="1"/>
          <w:rtl w:val="0"/>
          <w:lang w:val="it-IT"/>
        </w:rPr>
        <w:t>,</w:t>
      </w:r>
      <w:r>
        <w:rPr>
          <w:rFonts w:ascii="Book Antiqua"/>
          <w:rtl w:val="0"/>
          <w:lang w:val="it-IT"/>
        </w:rPr>
        <w:t xml:space="preserve"> nell</w:t>
      </w:r>
      <w:r>
        <w:rPr>
          <w:rFonts w:hAnsi="Book Antiqua" w:hint="default"/>
          <w:rtl w:val="0"/>
          <w:lang w:val="it-IT"/>
        </w:rPr>
        <w:t>’</w:t>
      </w:r>
      <w:r>
        <w:rPr>
          <w:rFonts w:ascii="Book Antiqua"/>
          <w:rtl w:val="0"/>
          <w:lang w:val="it-IT"/>
        </w:rPr>
        <w:t xml:space="preserve">audizione del 24 maggio 2017 evidenziava che </w:t>
      </w:r>
      <w:r>
        <w:rPr>
          <w:rFonts w:hAnsi="Book Antiqua" w:hint="default"/>
          <w:rtl w:val="0"/>
          <w:lang w:val="it-IT"/>
        </w:rPr>
        <w:t>“</w:t>
      </w:r>
      <w:r>
        <w:rPr>
          <w:rFonts w:ascii="Book Antiqua"/>
          <w:rtl w:val="0"/>
          <w:lang w:val="it-IT"/>
        </w:rPr>
        <w:t>una quindicina di persone, abitanti nella zona, si sono recate presso il pronto soccorso, lamentando lieve faringodinia, modesta cefalea e bruciore agli occhi. Un vigile del fuoco ha accusato lieve intossicazione. Credo che la Commissione sia al corrente dei dati del PM10 nell'aria, della diossina nell'aria e sui prodotti ortofrutticoli circostanti e degli idrocarburi</w:t>
      </w:r>
      <w:r>
        <w:rPr>
          <w:rFonts w:hAnsi="Book Antiqua" w:hint="default"/>
          <w:rtl w:val="0"/>
          <w:lang w:val="it-IT"/>
        </w:rPr>
        <w:t>”</w:t>
      </w:r>
      <w:r>
        <w:rPr>
          <w:rFonts w:ascii="Book Antiqua"/>
          <w:rtl w:val="0"/>
          <w:lang w:val="it-IT"/>
        </w:rPr>
        <w:t xml:space="preserve">, aggiungendo che </w:t>
      </w:r>
      <w:r>
        <w:rPr>
          <w:rFonts w:hAnsi="Book Antiqua" w:hint="default"/>
          <w:rtl w:val="0"/>
          <w:lang w:val="it-IT"/>
        </w:rPr>
        <w:t>“</w:t>
      </w:r>
      <w:r>
        <w:rPr>
          <w:rFonts w:ascii="Book Antiqua"/>
          <w:rtl w:val="0"/>
          <w:lang w:val="it-IT"/>
        </w:rPr>
        <w:t xml:space="preserve">forse merita di essere ricordato che, pur non essendo stati trovati idrocarburi e diossine nei terreni circostanti, tuttavia, a distanza di 1,3 chilometri dal sito, il giorno 10 maggio sono state trovate sostanze velenose e nocive su un campo di orzo, mentre la diossina non dovrebbe essersi dispersa oltre un raggio di 100-200 metri dal sito. L'ARPA ha segnalato un valore altalenante del PM10, che era certamente superiore alla norma il giorno dell'incendio, ma lo </w:t>
      </w:r>
      <w:r>
        <w:rPr>
          <w:rFonts w:hAnsi="Book Antiqua" w:hint="default"/>
          <w:rtl w:val="0"/>
          <w:lang w:val="it-IT"/>
        </w:rPr>
        <w:t xml:space="preserve">è </w:t>
      </w:r>
      <w:r>
        <w:rPr>
          <w:rFonts w:ascii="Book Antiqua"/>
          <w:rtl w:val="0"/>
          <w:lang w:val="it-IT"/>
        </w:rPr>
        <w:t xml:space="preserve">stato, in particolare, 2-3 giorni dopo, in particolare domenica 10, raggiungendo un picco di 373, laddove quello soglia, come sappiamo, </w:t>
      </w:r>
      <w:r>
        <w:rPr>
          <w:rFonts w:hAnsi="Book Antiqua" w:hint="default"/>
          <w:rtl w:val="0"/>
          <w:lang w:val="it-IT"/>
        </w:rPr>
        <w:t xml:space="preserve">è </w:t>
      </w:r>
      <w:r>
        <w:rPr>
          <w:rFonts w:ascii="Book Antiqua"/>
          <w:rtl w:val="0"/>
          <w:lang w:val="it-IT"/>
        </w:rPr>
        <w:t xml:space="preserve">di 50. Il 12 maggio, probabilmente per un effetto meteorologico legato al vento di scirocco proveniente dal sud, il PM10 </w:t>
      </w:r>
      <w:r>
        <w:rPr>
          <w:rFonts w:hAnsi="Book Antiqua" w:hint="default"/>
          <w:rtl w:val="0"/>
          <w:lang w:val="it-IT"/>
        </w:rPr>
        <w:t xml:space="preserve">è </w:t>
      </w:r>
      <w:r>
        <w:rPr>
          <w:rFonts w:ascii="Book Antiqua"/>
          <w:rtl w:val="0"/>
          <w:lang w:val="it-IT"/>
        </w:rPr>
        <w:t>stato rilevato anche dalle centraline site in Roma e in Albano Laziale</w:t>
      </w:r>
      <w:r>
        <w:rPr>
          <w:rFonts w:hAnsi="Book Antiqua" w:hint="default"/>
          <w:rtl w:val="0"/>
          <w:lang w:val="it-IT"/>
        </w:rPr>
        <w:t>”</w:t>
      </w:r>
      <w:r>
        <w:rPr>
          <w:rFonts w:ascii="Book Antiqua"/>
          <w:rtl w:val="0"/>
          <w:lang w:val="it-IT"/>
        </w:rPr>
        <w:t>.</w:t>
      </w: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i w:val="1"/>
          <w:iCs w:val="1"/>
        </w:rPr>
      </w:pPr>
      <w:r>
        <w:rPr>
          <w:rFonts w:ascii="Book Antiqua"/>
          <w:i w:val="1"/>
          <w:iCs w:val="1"/>
          <w:rtl w:val="0"/>
          <w:lang w:val="it-IT"/>
        </w:rPr>
        <w:t>Ulteriore approfondimento della Commissione</w:t>
      </w: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rPr>
      </w:pPr>
      <w:r>
        <w:rPr>
          <w:rFonts w:ascii="Book Antiqua"/>
          <w:rtl w:val="0"/>
          <w:lang w:val="it-IT"/>
        </w:rPr>
        <w:t xml:space="preserve">Il caso della Eco X di Pomezia non </w:t>
      </w:r>
      <w:r>
        <w:rPr>
          <w:rFonts w:hAnsi="Book Antiqua" w:hint="default"/>
          <w:rtl w:val="0"/>
          <w:lang w:val="it-IT"/>
        </w:rPr>
        <w:t xml:space="preserve">è </w:t>
      </w:r>
      <w:r>
        <w:rPr>
          <w:rFonts w:ascii="Book Antiqua"/>
          <w:rtl w:val="0"/>
          <w:lang w:val="it-IT"/>
        </w:rPr>
        <w:t xml:space="preserve">certamente isolato ed </w:t>
      </w:r>
      <w:r>
        <w:rPr>
          <w:rFonts w:hAnsi="Book Antiqua" w:hint="default"/>
          <w:rtl w:val="0"/>
          <w:lang w:val="it-IT"/>
        </w:rPr>
        <w:t xml:space="preserve">è </w:t>
      </w:r>
      <w:r>
        <w:rPr>
          <w:rFonts w:ascii="Book Antiqua"/>
          <w:rtl w:val="0"/>
          <w:lang w:val="it-IT"/>
        </w:rPr>
        <w:t xml:space="preserve">anzi paradigmatico per tutto il settore degli impianti di trattamento dei rifiuti, interessati nel recente periodo da una serie di incendi: al tema la Commissione ha deliberato di dedicare uno specifico approfondimento. </w:t>
      </w:r>
    </w:p>
    <w:p>
      <w:pPr>
        <w:pStyle w:val="Normal"/>
        <w:ind w:left="567" w:right="567" w:firstLine="0"/>
        <w:jc w:val="both"/>
        <w:rPr>
          <w:rFonts w:ascii="Book Antiqua" w:cs="Book Antiqua" w:hAnsi="Book Antiqua" w:eastAsia="Book Antiqua"/>
        </w:rPr>
      </w:pPr>
      <w:r>
        <w:rPr>
          <w:rFonts w:ascii="Book Antiqua"/>
          <w:rtl w:val="0"/>
          <w:lang w:val="it-IT"/>
        </w:rPr>
        <w:t>Sin da ora si pu</w:t>
      </w:r>
      <w:r>
        <w:rPr>
          <w:rFonts w:hAnsi="Book Antiqua" w:hint="default"/>
          <w:rtl w:val="0"/>
          <w:lang w:val="it-IT"/>
        </w:rPr>
        <w:t xml:space="preserve">ò </w:t>
      </w:r>
      <w:r>
        <w:rPr>
          <w:rFonts w:ascii="Book Antiqua"/>
          <w:rtl w:val="0"/>
          <w:lang w:val="it-IT"/>
        </w:rPr>
        <w:t>peraltro affermare che esiste un problema di adeguatezza della normativa ma soprattutto di coordinamento dei controlli con relativi provvedimenti da adottare in caso di inadempimento.</w:t>
      </w:r>
    </w:p>
    <w:p>
      <w:pPr>
        <w:pStyle w:val="Normal"/>
        <w:ind w:left="567" w:right="567" w:firstLine="0"/>
        <w:jc w:val="both"/>
        <w:rPr>
          <w:rFonts w:ascii="Book Antiqua" w:cs="Book Antiqua" w:hAnsi="Book Antiqua" w:eastAsia="Book Antiqua"/>
        </w:rPr>
      </w:pPr>
      <w:r>
        <w:rPr>
          <w:rFonts w:ascii="Book Antiqua"/>
          <w:rtl w:val="0"/>
          <w:lang w:val="it-IT"/>
        </w:rPr>
        <w:t xml:space="preserve">Come </w:t>
      </w:r>
      <w:r>
        <w:rPr>
          <w:rFonts w:hAnsi="Book Antiqua" w:hint="default"/>
          <w:rtl w:val="0"/>
          <w:lang w:val="it-IT"/>
        </w:rPr>
        <w:t xml:space="preserve">è </w:t>
      </w:r>
      <w:r>
        <w:rPr>
          <w:rFonts w:ascii="Book Antiqua"/>
          <w:rtl w:val="0"/>
          <w:lang w:val="it-IT"/>
        </w:rPr>
        <w:t>emerso nel caso qui esaminato risulta totalmente disattesa la normativa sulle industrie insalubri (sconosciuta al sindaco) e quella sulla salute dei lavoratori (la ASL non ha neppure acquisito il DVR che dovrebbe comprendere anche il rischio di incendio); l</w:t>
      </w:r>
      <w:r>
        <w:rPr>
          <w:rFonts w:hAnsi="Book Antiqua" w:hint="default"/>
          <w:rtl w:val="0"/>
          <w:lang w:val="it-IT"/>
        </w:rPr>
        <w:t>’</w:t>
      </w:r>
      <w:r>
        <w:rPr>
          <w:rFonts w:ascii="Book Antiqua"/>
          <w:rtl w:val="0"/>
          <w:lang w:val="it-IT"/>
        </w:rPr>
        <w:t xml:space="preserve">esposto dei cittadini </w:t>
      </w:r>
      <w:r>
        <w:rPr>
          <w:rFonts w:hAnsi="Book Antiqua" w:hint="default"/>
          <w:rtl w:val="0"/>
          <w:lang w:val="it-IT"/>
        </w:rPr>
        <w:t xml:space="preserve">è </w:t>
      </w:r>
      <w:r>
        <w:rPr>
          <w:rFonts w:ascii="Book Antiqua"/>
          <w:rtl w:val="0"/>
          <w:lang w:val="it-IT"/>
        </w:rPr>
        <w:t>rimasto inevaso e l</w:t>
      </w:r>
      <w:r>
        <w:rPr>
          <w:rFonts w:hAnsi="Book Antiqua" w:hint="default"/>
          <w:rtl w:val="0"/>
          <w:lang w:val="it-IT"/>
        </w:rPr>
        <w:t>’</w:t>
      </w:r>
      <w:r>
        <w:rPr>
          <w:rFonts w:ascii="Book Antiqua"/>
          <w:rtl w:val="0"/>
          <w:lang w:val="it-IT"/>
        </w:rPr>
        <w:t xml:space="preserve">assenza di misure antincendio si </w:t>
      </w:r>
      <w:r>
        <w:rPr>
          <w:rFonts w:hAnsi="Book Antiqua" w:hint="default"/>
          <w:rtl w:val="0"/>
          <w:lang w:val="it-IT"/>
        </w:rPr>
        <w:t xml:space="preserve">è </w:t>
      </w:r>
      <w:r>
        <w:rPr>
          <w:rFonts w:ascii="Book Antiqua"/>
          <w:rtl w:val="0"/>
          <w:lang w:val="it-IT"/>
        </w:rPr>
        <w:t>risolta con un decreto penale di condanna e alcune segnalazioni burocratiche rimaste senza esito.</w:t>
      </w:r>
    </w:p>
    <w:p>
      <w:pPr>
        <w:pStyle w:val="Normal"/>
        <w:ind w:left="567" w:right="567" w:firstLine="0"/>
        <w:jc w:val="both"/>
        <w:rPr>
          <w:rFonts w:ascii="Book Antiqua" w:cs="Book Antiqua" w:hAnsi="Book Antiqua" w:eastAsia="Book Antiqua"/>
        </w:rPr>
      </w:pPr>
      <w:r>
        <w:rPr>
          <w:rFonts w:ascii="Book Antiqua"/>
          <w:rtl w:val="0"/>
          <w:lang w:val="it-IT"/>
        </w:rPr>
        <w:t>Per altro verso va tuttavia rilevato come l</w:t>
      </w:r>
      <w:r>
        <w:rPr>
          <w:rFonts w:hAnsi="Book Antiqua" w:hint="default"/>
          <w:rtl w:val="0"/>
          <w:lang w:val="it-IT"/>
        </w:rPr>
        <w:t>’</w:t>
      </w:r>
      <w:r>
        <w:rPr>
          <w:rFonts w:ascii="Book Antiqua"/>
          <w:rtl w:val="0"/>
          <w:lang w:val="it-IT"/>
        </w:rPr>
        <w:t>attivit</w:t>
      </w:r>
      <w:r>
        <w:rPr>
          <w:rFonts w:hAnsi="Book Antiqua" w:hint="default"/>
          <w:rtl w:val="0"/>
          <w:lang w:val="it-IT"/>
        </w:rPr>
        <w:t xml:space="preserve">à </w:t>
      </w:r>
      <w:r>
        <w:rPr>
          <w:rFonts w:ascii="Book Antiqua"/>
          <w:rtl w:val="0"/>
          <w:lang w:val="it-IT"/>
        </w:rPr>
        <w:t>dell</w:t>
      </w:r>
      <w:r>
        <w:rPr>
          <w:rFonts w:hAnsi="Book Antiqua" w:hint="default"/>
          <w:rtl w:val="0"/>
          <w:lang w:val="it-IT"/>
        </w:rPr>
        <w:t>’</w:t>
      </w:r>
      <w:r>
        <w:rPr>
          <w:rFonts w:ascii="Book Antiqua"/>
          <w:rtl w:val="0"/>
          <w:lang w:val="it-IT"/>
        </w:rPr>
        <w:t>impianto in questione avesse dato luogo, anche prima dell</w:t>
      </w:r>
      <w:r>
        <w:rPr>
          <w:rFonts w:hAnsi="Book Antiqua" w:hint="default"/>
          <w:rtl w:val="0"/>
          <w:lang w:val="it-IT"/>
        </w:rPr>
        <w:t>’</w:t>
      </w:r>
      <w:r>
        <w:rPr>
          <w:rFonts w:ascii="Book Antiqua"/>
          <w:rtl w:val="0"/>
          <w:lang w:val="it-IT"/>
        </w:rPr>
        <w:t>evento incendiario, ad atti di impulso investigativo della DNAA, in relazione a possibili traffici illeciti di rifiuti</w:t>
      </w:r>
      <w:r>
        <w:rPr>
          <w:rFonts w:ascii="Book Antiqua" w:cs="Book Antiqua" w:hAnsi="Book Antiqua" w:eastAsia="Book Antiqua"/>
          <w:vertAlign w:val="superscript"/>
          <w:rtl w:val="0"/>
        </w:rPr>
        <w:footnoteReference w:id="280"/>
      </w:r>
      <w:r>
        <w:rPr>
          <w:rFonts w:ascii="Book Antiqua"/>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Il 18 ottobre 2017, con una nota di risposta a richiesta della Commissione nell</w:t>
      </w:r>
      <w:r>
        <w:rPr>
          <w:rFonts w:hAnsi="Book Antiqua" w:hint="default"/>
          <w:rtl w:val="0"/>
          <w:lang w:val="it-IT"/>
        </w:rPr>
        <w:t>’</w:t>
      </w:r>
      <w:r>
        <w:rPr>
          <w:rFonts w:ascii="Book Antiqua"/>
          <w:rtl w:val="0"/>
          <w:lang w:val="it-IT"/>
        </w:rPr>
        <w:t>ambito dell</w:t>
      </w:r>
      <w:r>
        <w:rPr>
          <w:rFonts w:hAnsi="Book Antiqua" w:hint="default"/>
          <w:rtl w:val="0"/>
          <w:lang w:val="it-IT"/>
        </w:rPr>
        <w:t>’</w:t>
      </w:r>
      <w:r>
        <w:rPr>
          <w:rFonts w:ascii="Book Antiqua"/>
          <w:rtl w:val="0"/>
          <w:lang w:val="it-IT"/>
        </w:rPr>
        <w:t>approfondimento sul tema degli incendi, di cui s</w:t>
      </w:r>
      <w:r>
        <w:rPr>
          <w:rFonts w:hAnsi="Book Antiqua" w:hint="default"/>
          <w:rtl w:val="0"/>
          <w:lang w:val="it-IT"/>
        </w:rPr>
        <w:t xml:space="preserve">’è </w:t>
      </w:r>
      <w:r>
        <w:rPr>
          <w:rFonts w:ascii="Book Antiqua"/>
          <w:rtl w:val="0"/>
          <w:lang w:val="it-IT"/>
        </w:rPr>
        <w:t xml:space="preserve">fatto cenno, il procuratore della Repubblica di Velletri ha informato che il procedimento penale </w:t>
      </w:r>
      <w:r>
        <w:rPr>
          <w:rFonts w:hAnsi="Book Antiqua" w:hint="default"/>
          <w:rtl w:val="0"/>
          <w:lang w:val="it-IT"/>
        </w:rPr>
        <w:t xml:space="preserve">è </w:t>
      </w:r>
      <w:r>
        <w:rPr>
          <w:rFonts w:ascii="Book Antiqua"/>
          <w:rtl w:val="0"/>
          <w:lang w:val="it-IT"/>
        </w:rPr>
        <w:t>prossimo alla conclusione delle indagini e risulta rubricato per le ipotesi di incendio colposo, inquinamento ambientale colposo e omissione dolosa di cautele contro gli infortuni sul lavoro, a carico dei legali rappresentanti delle societ</w:t>
      </w:r>
      <w:r>
        <w:rPr>
          <w:rFonts w:hAnsi="Book Antiqua" w:hint="default"/>
          <w:rtl w:val="0"/>
          <w:lang w:val="it-IT"/>
        </w:rPr>
        <w:t xml:space="preserve">à </w:t>
      </w:r>
      <w:r>
        <w:rPr>
          <w:rFonts w:ascii="Book Antiqua"/>
          <w:rtl w:val="0"/>
          <w:lang w:val="it-IT"/>
        </w:rPr>
        <w:t>Eco Servizi per l</w:t>
      </w:r>
      <w:r>
        <w:rPr>
          <w:rFonts w:hAnsi="Book Antiqua" w:hint="default"/>
          <w:rtl w:val="0"/>
          <w:lang w:val="it-IT"/>
        </w:rPr>
        <w:t>’</w:t>
      </w:r>
      <w:r>
        <w:rPr>
          <w:rFonts w:ascii="Book Antiqua"/>
          <w:rtl w:val="0"/>
          <w:lang w:val="it-IT"/>
        </w:rPr>
        <w:t>Ambiente ed Eco X e dei loro amministratore di fatto (nel frattempo deceduto)</w:t>
      </w:r>
      <w:r>
        <w:rPr>
          <w:rFonts w:ascii="Book Antiqua" w:cs="Book Antiqua" w:hAnsi="Book Antiqua" w:eastAsia="Book Antiqua"/>
          <w:vertAlign w:val="superscript"/>
          <w:rtl w:val="0"/>
        </w:rPr>
        <w:footnoteReference w:id="281"/>
      </w:r>
      <w:r>
        <w:rPr>
          <w:rFonts w:ascii="Book Antiqua"/>
          <w:rtl w:val="0"/>
          <w:lang w:val="it-IT"/>
        </w:rPr>
        <w:t>.</w:t>
      </w:r>
    </w:p>
    <w:p>
      <w:pPr>
        <w:pStyle w:val="Normal"/>
        <w:ind w:left="567" w:right="567" w:firstLine="0"/>
        <w:jc w:val="both"/>
        <w:rPr>
          <w:rFonts w:ascii="Book Antiqua" w:cs="Book Antiqua" w:hAnsi="Book Antiqua" w:eastAsia="Book Antiqua"/>
        </w:rPr>
      </w:pPr>
    </w:p>
    <w:p>
      <w:pPr>
        <w:pStyle w:val="intervento"/>
        <w:spacing w:before="0" w:after="0"/>
        <w:ind w:left="567" w:right="567" w:firstLine="0"/>
        <w:rPr>
          <w:rFonts w:ascii="Book Antiqua Bold" w:cs="Book Antiqua Bold" w:hAnsi="Book Antiqua Bold" w:eastAsia="Book Antiqua Bold"/>
          <w:b w:val="1"/>
          <w:bCs w:val="1"/>
        </w:rPr>
      </w:pPr>
    </w:p>
    <w:p>
      <w:pPr>
        <w:pStyle w:val="List Paragraph"/>
        <w:numPr>
          <w:ilvl w:val="1"/>
          <w:numId w:val="161"/>
        </w:numPr>
        <w:tabs>
          <w:tab w:val="num" w:pos="1184"/>
          <w:tab w:val="clear" w:pos="1287"/>
        </w:tabs>
        <w:bidi w:val="0"/>
        <w:ind w:left="1184" w:right="567" w:hanging="617"/>
        <w:jc w:val="both"/>
        <w:rPr>
          <w:rFonts w:ascii="Book Antiqua" w:cs="Book Antiqua" w:hAnsi="Book Antiqua" w:eastAsia="Book Antiqua"/>
          <w:position w:val="0"/>
          <w:sz w:val="28"/>
          <w:szCs w:val="28"/>
          <w:rtl w:val="0"/>
        </w:rPr>
      </w:pPr>
      <w:r>
        <w:rPr>
          <w:rFonts w:ascii="Book Antiqua"/>
          <w:sz w:val="28"/>
          <w:szCs w:val="28"/>
          <w:rtl w:val="0"/>
          <w:lang w:val="it-IT"/>
        </w:rPr>
        <w:t>Il sito di Valle Galeria</w:t>
      </w: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rPr>
      </w:pPr>
      <w:r>
        <w:rPr>
          <w:rFonts w:ascii="Book Antiqua"/>
          <w:rtl w:val="0"/>
          <w:lang w:val="it-IT"/>
        </w:rPr>
        <w:t>La Commissione, riprendendo spunti derivati da diverse acquisizioni istruttorie</w:t>
      </w:r>
      <w:r>
        <w:rPr>
          <w:rFonts w:ascii="Book Antiqua" w:cs="Book Antiqua" w:hAnsi="Book Antiqua" w:eastAsia="Book Antiqua"/>
          <w:vertAlign w:val="superscript"/>
          <w:rtl w:val="0"/>
        </w:rPr>
        <w:footnoteReference w:id="282"/>
      </w:r>
      <w:r>
        <w:rPr>
          <w:rFonts w:ascii="Book Antiqua"/>
          <w:rtl w:val="0"/>
          <w:lang w:val="it-IT"/>
        </w:rPr>
        <w:t xml:space="preserve"> e da un primo sopralluogo dell</w:t>
      </w:r>
      <w:r>
        <w:rPr>
          <w:rFonts w:hAnsi="Book Antiqua" w:hint="default"/>
          <w:rtl w:val="0"/>
          <w:lang w:val="it-IT"/>
        </w:rPr>
        <w:t>’</w:t>
      </w:r>
      <w:r>
        <w:rPr>
          <w:rFonts w:ascii="Book Antiqua"/>
          <w:rtl w:val="0"/>
          <w:lang w:val="it-IT"/>
        </w:rPr>
        <w:t>11 ottobre 2016, allora limitato alla discarica di Malagrotta (un secondo e pi</w:t>
      </w:r>
      <w:r>
        <w:rPr>
          <w:rFonts w:hAnsi="Book Antiqua" w:hint="default"/>
          <w:rtl w:val="0"/>
          <w:lang w:val="it-IT"/>
        </w:rPr>
        <w:t xml:space="preserve">ù </w:t>
      </w:r>
      <w:r>
        <w:rPr>
          <w:rFonts w:ascii="Book Antiqua"/>
          <w:rtl w:val="0"/>
          <w:lang w:val="it-IT"/>
        </w:rPr>
        <w:t xml:space="preserve">ampio sopralluogo </w:t>
      </w:r>
      <w:r>
        <w:rPr>
          <w:rFonts w:hAnsi="Book Antiqua" w:hint="default"/>
          <w:rtl w:val="0"/>
          <w:lang w:val="it-IT"/>
        </w:rPr>
        <w:t>è</w:t>
      </w:r>
      <w:r>
        <w:rPr>
          <w:rFonts w:ascii="Book Antiqua"/>
          <w:rtl w:val="0"/>
          <w:lang w:val="it-IT"/>
        </w:rPr>
        <w:t xml:space="preserve"> stato svolto l</w:t>
      </w:r>
      <w:r>
        <w:rPr>
          <w:rFonts w:hAnsi="Book Antiqua" w:hint="default"/>
          <w:rtl w:val="0"/>
          <w:lang w:val="it-IT"/>
        </w:rPr>
        <w:t>’</w:t>
      </w:r>
      <w:r>
        <w:rPr>
          <w:rFonts w:ascii="Book Antiqua"/>
          <w:rtl w:val="0"/>
          <w:lang w:val="it-IT"/>
        </w:rPr>
        <w:t xml:space="preserve">11 luglio 2017) ha ritenuto di dover individuare il </w:t>
      </w:r>
      <w:r>
        <w:rPr>
          <w:rFonts w:hAnsi="Book Antiqua" w:hint="default"/>
          <w:rtl w:val="0"/>
          <w:lang w:val="it-IT"/>
        </w:rPr>
        <w:t>“</w:t>
      </w:r>
      <w:r>
        <w:rPr>
          <w:rFonts w:ascii="Book Antiqua"/>
          <w:rtl w:val="0"/>
          <w:lang w:val="it-IT"/>
        </w:rPr>
        <w:t>sito di Valle Galeria</w:t>
      </w:r>
      <w:r>
        <w:rPr>
          <w:rFonts w:hAnsi="Book Antiqua" w:hint="default"/>
          <w:rtl w:val="0"/>
          <w:lang w:val="it-IT"/>
        </w:rPr>
        <w:t xml:space="preserve">” </w:t>
      </w:r>
      <w:r>
        <w:rPr>
          <w:rFonts w:ascii="Book Antiqua"/>
          <w:rtl w:val="0"/>
          <w:lang w:val="it-IT"/>
        </w:rPr>
        <w:t>come area interessata a fenomeni di significativo impatto ambientale, anche ulteriori rispetto alla discarica, e oggetto di necessario progressivo intervento di recupero.</w:t>
      </w:r>
    </w:p>
    <w:p>
      <w:pPr>
        <w:pStyle w:val="Normal"/>
        <w:ind w:left="567" w:right="567" w:firstLine="0"/>
        <w:jc w:val="both"/>
        <w:rPr>
          <w:rFonts w:ascii="Book Antiqua" w:cs="Book Antiqua" w:hAnsi="Book Antiqua" w:eastAsia="Book Antiqua"/>
        </w:rPr>
      </w:pPr>
      <w:r>
        <w:rPr>
          <w:rFonts w:ascii="Book Antiqua"/>
          <w:rtl w:val="0"/>
          <w:lang w:val="it-IT"/>
        </w:rPr>
        <w:t>L</w:t>
      </w:r>
      <w:r>
        <w:rPr>
          <w:rFonts w:hAnsi="Book Antiqua" w:hint="default"/>
          <w:rtl w:val="0"/>
          <w:lang w:val="it-IT"/>
        </w:rPr>
        <w:t>’</w:t>
      </w:r>
      <w:r>
        <w:rPr>
          <w:rFonts w:ascii="Book Antiqua"/>
          <w:rtl w:val="0"/>
          <w:lang w:val="it-IT"/>
        </w:rPr>
        <w:t>area, in prima approssimazione, pu</w:t>
      </w:r>
      <w:r>
        <w:rPr>
          <w:rFonts w:hAnsi="Book Antiqua" w:hint="default"/>
          <w:rtl w:val="0"/>
          <w:lang w:val="it-IT"/>
        </w:rPr>
        <w:t xml:space="preserve">ò </w:t>
      </w:r>
      <w:r>
        <w:rPr>
          <w:rFonts w:ascii="Book Antiqua"/>
          <w:rtl w:val="0"/>
          <w:lang w:val="it-IT"/>
        </w:rPr>
        <w:t xml:space="preserve">essere collocata nel basso bacino del Rio Galeria, </w:t>
      </w:r>
      <w:r>
        <w:rPr>
          <w:rFonts w:hAnsi="Book Antiqua" w:hint="default"/>
          <w:rtl w:val="0"/>
          <w:lang w:val="it-IT"/>
        </w:rPr>
        <w:t xml:space="preserve">è </w:t>
      </w:r>
      <w:r>
        <w:rPr>
          <w:rFonts w:ascii="Book Antiqua"/>
          <w:rtl w:val="0"/>
          <w:lang w:val="it-IT"/>
        </w:rPr>
        <w:t>limitrofa alla discarica e ai centri abitati di Massimina-Casal Lumbroso, Fontignani, Ponte Malnome, e comprende edifici sparsi e attivit</w:t>
      </w:r>
      <w:r>
        <w:rPr>
          <w:rFonts w:hAnsi="Book Antiqua" w:hint="default"/>
          <w:rtl w:val="0"/>
          <w:lang w:val="it-IT"/>
        </w:rPr>
        <w:t xml:space="preserve">à </w:t>
      </w:r>
      <w:r>
        <w:rPr>
          <w:rFonts w:ascii="Book Antiqua"/>
          <w:rtl w:val="0"/>
          <w:lang w:val="it-IT"/>
        </w:rPr>
        <w:t>agricole e di allevamento lungo via di Malagrotta e via Cigliutti.</w:t>
      </w:r>
    </w:p>
    <w:p>
      <w:pPr>
        <w:pStyle w:val="Normal"/>
        <w:ind w:left="567" w:right="567" w:firstLine="0"/>
        <w:jc w:val="both"/>
        <w:rPr>
          <w:rFonts w:ascii="Book Antiqua" w:cs="Book Antiqua" w:hAnsi="Book Antiqua" w:eastAsia="Book Antiqua"/>
        </w:rPr>
      </w:pPr>
      <w:r>
        <w:rPr>
          <w:rFonts w:ascii="Book Antiqua"/>
          <w:rtl w:val="0"/>
          <w:lang w:val="it-IT"/>
        </w:rPr>
        <w:t xml:space="preserve">L'area della Valle Galeria, fortemente popolata, a ridosso esterno del Grande raccordo anulare di Roma e a circa sei chilometri in linea d'aria dal Vaticano, </w:t>
      </w:r>
      <w:r>
        <w:rPr>
          <w:rFonts w:hAnsi="Book Antiqua" w:hint="default"/>
          <w:rtl w:val="0"/>
          <w:lang w:val="it-IT"/>
        </w:rPr>
        <w:t xml:space="preserve">è </w:t>
      </w:r>
      <w:r>
        <w:rPr>
          <w:rFonts w:ascii="Book Antiqua"/>
          <w:rtl w:val="0"/>
          <w:lang w:val="it-IT"/>
        </w:rPr>
        <w:t xml:space="preserve">caratterizzata dalla presenza della discarica di Malagrotta, di cui la presente Relazione si occupa ampiamente nel </w:t>
      </w:r>
      <w:r>
        <w:rPr>
          <w:rFonts w:hAnsi="Book Antiqua" w:hint="default"/>
          <w:rtl w:val="0"/>
          <w:lang w:val="it-IT"/>
        </w:rPr>
        <w:t xml:space="preserve">§ </w:t>
      </w:r>
      <w:r>
        <w:rPr>
          <w:rFonts w:ascii="Book Antiqua"/>
          <w:rtl w:val="0"/>
          <w:lang w:val="it-IT"/>
        </w:rPr>
        <w:t>3.3.</w:t>
      </w:r>
    </w:p>
    <w:p>
      <w:pPr>
        <w:pStyle w:val="Normal"/>
        <w:ind w:left="567" w:right="567" w:firstLine="0"/>
        <w:jc w:val="both"/>
        <w:rPr>
          <w:rFonts w:ascii="Book Antiqua" w:cs="Book Antiqua" w:hAnsi="Book Antiqua" w:eastAsia="Book Antiqua"/>
        </w:rPr>
      </w:pPr>
      <w:r>
        <w:rPr>
          <w:rFonts w:ascii="Book Antiqua"/>
          <w:rtl w:val="0"/>
          <w:lang w:val="it-IT"/>
        </w:rPr>
        <w:t xml:space="preserve">A quanto in quel contesto si </w:t>
      </w:r>
      <w:r>
        <w:rPr>
          <w:rFonts w:hAnsi="Book Antiqua" w:hint="default"/>
          <w:rtl w:val="0"/>
          <w:lang w:val="it-IT"/>
        </w:rPr>
        <w:t xml:space="preserve">è </w:t>
      </w:r>
      <w:r>
        <w:rPr>
          <w:rFonts w:ascii="Book Antiqua"/>
          <w:rtl w:val="0"/>
          <w:lang w:val="it-IT"/>
        </w:rPr>
        <w:t>detto, va aggiunto che, cessati dal 2013 i conferimenti dei rifiuti e pur non essendo ancora ultimate le operazioni di passaggio dalla gestione operativa a quella post mortem previste ai sensi del decreto legislativo 13 gennaio 2003, n.  36, la presenza nel sito degli impianti di trattamento meccanico biologico Co.La.Ri (che pretrattano circa la met</w:t>
      </w:r>
      <w:r>
        <w:rPr>
          <w:rFonts w:hAnsi="Book Antiqua" w:hint="default"/>
          <w:rtl w:val="0"/>
          <w:lang w:val="it-IT"/>
        </w:rPr>
        <w:t xml:space="preserve">à </w:t>
      </w:r>
      <w:r>
        <w:rPr>
          <w:rFonts w:ascii="Book Antiqua"/>
          <w:rtl w:val="0"/>
          <w:lang w:val="it-IT"/>
        </w:rPr>
        <w:t xml:space="preserve">dei rifiuti indifferenziati di Roma salvo poi conferirli in altri siti di smaltimento dopo la cessazione del conferimento nella discarica di Malagrotta), ha generato sospetto nell'opinione pubblica, dal momento che i camion dei rifiuti non hanno mai smesso di entrare e uscire dal sito. </w:t>
      </w:r>
    </w:p>
    <w:p>
      <w:pPr>
        <w:pStyle w:val="Normal"/>
        <w:ind w:left="567" w:right="567" w:firstLine="0"/>
        <w:jc w:val="both"/>
        <w:rPr>
          <w:rFonts w:ascii="Book Antiqua" w:cs="Book Antiqua" w:hAnsi="Book Antiqua" w:eastAsia="Book Antiqua"/>
        </w:rPr>
      </w:pPr>
      <w:r>
        <w:rPr>
          <w:rFonts w:ascii="Book Antiqua"/>
          <w:rtl w:val="0"/>
          <w:lang w:val="it-IT"/>
        </w:rPr>
        <w:t>Peraltro l'attivit</w:t>
      </w:r>
      <w:r>
        <w:rPr>
          <w:rFonts w:hAnsi="Book Antiqua" w:hint="default"/>
          <w:rtl w:val="0"/>
          <w:lang w:val="it-IT"/>
        </w:rPr>
        <w:t xml:space="preserve">à </w:t>
      </w:r>
      <w:r>
        <w:rPr>
          <w:rFonts w:ascii="Book Antiqua"/>
          <w:rtl w:val="0"/>
          <w:lang w:val="it-IT"/>
        </w:rPr>
        <w:t>dei TMB ha registrato alcuni problemi gestionali (e di conseguenza problemi di emissioni, subiti dai cittadini) tanto che, come ha riferito il presidente dell</w:t>
      </w:r>
      <w:r>
        <w:rPr>
          <w:rFonts w:hAnsi="Book Antiqua" w:hint="default"/>
          <w:rtl w:val="0"/>
          <w:lang w:val="it-IT"/>
        </w:rPr>
        <w:t>’</w:t>
      </w:r>
      <w:r>
        <w:rPr>
          <w:rFonts w:ascii="Book Antiqua"/>
          <w:rtl w:val="0"/>
          <w:lang w:val="it-IT"/>
        </w:rPr>
        <w:t>ANAC; Raffaele Cantone, nell</w:t>
      </w:r>
      <w:r>
        <w:rPr>
          <w:rFonts w:hAnsi="Book Antiqua" w:hint="default"/>
          <w:rtl w:val="0"/>
          <w:lang w:val="it-IT"/>
        </w:rPr>
        <w:t>’</w:t>
      </w:r>
      <w:r>
        <w:rPr>
          <w:rFonts w:ascii="Book Antiqua"/>
          <w:rtl w:val="0"/>
          <w:lang w:val="it-IT"/>
        </w:rPr>
        <w:t xml:space="preserve">audizione del 17 ottobre 2017: </w:t>
      </w:r>
      <w:r>
        <w:rPr>
          <w:rFonts w:hAnsi="Book Antiqua" w:hint="default"/>
          <w:rtl w:val="0"/>
          <w:lang w:val="it-IT"/>
        </w:rPr>
        <w:t>“</w:t>
      </w:r>
      <w:r>
        <w:rPr>
          <w:rFonts w:ascii="Book Antiqua"/>
          <w:rtl w:val="0"/>
          <w:lang w:val="it-IT"/>
        </w:rPr>
        <w:t>malgrado la tariffa sia particolarmente elevata, per funzionare gli impianti hanno bisogno di investimenti molto seri, tant'</w:t>
      </w:r>
      <w:r>
        <w:rPr>
          <w:rFonts w:hAnsi="Book Antiqua" w:hint="default"/>
          <w:rtl w:val="0"/>
          <w:lang w:val="it-IT"/>
        </w:rPr>
        <w:t xml:space="preserve">è </w:t>
      </w:r>
      <w:r>
        <w:rPr>
          <w:rFonts w:ascii="Book Antiqua"/>
          <w:rtl w:val="0"/>
          <w:lang w:val="it-IT"/>
        </w:rPr>
        <w:t>che AMA anticipa una parte di quei soldi riconosciuti dal TAR per consentire al commissario di intervenire sugli impianti</w:t>
      </w:r>
      <w:r>
        <w:rPr>
          <w:rFonts w:hAnsi="Book Antiqua" w:hint="default"/>
          <w:rtl w:val="0"/>
          <w:lang w:val="it-IT"/>
        </w:rPr>
        <w:t xml:space="preserve">” </w:t>
      </w:r>
      <w:r>
        <w:rPr>
          <w:rFonts w:ascii="Book Antiqua"/>
          <w:rtl w:val="0"/>
          <w:lang w:val="it-IT"/>
        </w:rPr>
        <w:t>prevedendosi dunque un vincolo dei fondi pagati da AMA a Co.La.Ri per la funzionalit</w:t>
      </w:r>
      <w:r>
        <w:rPr>
          <w:rFonts w:hAnsi="Book Antiqua" w:hint="default"/>
          <w:rtl w:val="0"/>
          <w:lang w:val="it-IT"/>
        </w:rPr>
        <w:t xml:space="preserve">à </w:t>
      </w:r>
      <w:r>
        <w:rPr>
          <w:rFonts w:ascii="Book Antiqua"/>
          <w:rtl w:val="0"/>
          <w:lang w:val="it-IT"/>
        </w:rPr>
        <w:t>degli impianti di Malagrotta.</w:t>
      </w:r>
      <w:r>
        <w:rPr>
          <w:rFonts w:ascii="Book Antiqua" w:cs="Book Antiqua" w:hAnsi="Book Antiqua" w:eastAsia="Book Antiqua"/>
          <w:vertAlign w:val="superscript"/>
          <w:rtl w:val="0"/>
        </w:rPr>
        <w:footnoteReference w:id="283"/>
      </w:r>
      <w:r>
        <w:rPr>
          <w:rFonts w:ascii="Book Antiqua"/>
          <w:rtl w:val="0"/>
          <w:lang w:val="it-IT"/>
        </w:rPr>
        <w:t xml:space="preserve"> </w:t>
      </w:r>
    </w:p>
    <w:p>
      <w:pPr>
        <w:pStyle w:val="Normal"/>
        <w:ind w:left="567" w:right="567" w:firstLine="0"/>
        <w:jc w:val="both"/>
        <w:rPr>
          <w:rFonts w:ascii="Book Antiqua" w:cs="Book Antiqua" w:hAnsi="Book Antiqua" w:eastAsia="Book Antiqua"/>
        </w:rPr>
      </w:pPr>
      <w:r>
        <w:rPr>
          <w:rFonts w:ascii="Book Antiqua"/>
          <w:rtl w:val="0"/>
          <w:lang w:val="it-IT"/>
        </w:rPr>
        <w:t>Oltre il sito di gestione dei rifiuti di Malagrotta, nell'area della Valle Galeria grava una concentrazione di impianti di varia natura - nonostante il territorio sia classificato dall'autorit</w:t>
      </w:r>
      <w:r>
        <w:rPr>
          <w:rFonts w:hAnsi="Book Antiqua" w:hint="default"/>
          <w:rtl w:val="0"/>
          <w:lang w:val="it-IT"/>
        </w:rPr>
        <w:t xml:space="preserve">à </w:t>
      </w:r>
      <w:r>
        <w:rPr>
          <w:rFonts w:ascii="Book Antiqua"/>
          <w:rtl w:val="0"/>
          <w:lang w:val="it-IT"/>
        </w:rPr>
        <w:t xml:space="preserve">di bacino in buona parte a rischio idrogeologico </w:t>
      </w:r>
      <w:r>
        <w:rPr>
          <w:rFonts w:hAnsi="Book Antiqua" w:hint="default"/>
          <w:rtl w:val="0"/>
          <w:lang w:val="it-IT"/>
        </w:rPr>
        <w:t xml:space="preserve">– </w:t>
      </w:r>
      <w:r>
        <w:rPr>
          <w:rFonts w:ascii="Book Antiqua"/>
          <w:rtl w:val="0"/>
          <w:lang w:val="it-IT"/>
        </w:rPr>
        <w:t>e per alcune aree esistono richieste di costruire nuovi impianti.</w:t>
      </w:r>
    </w:p>
    <w:p>
      <w:pPr>
        <w:pStyle w:val="Normal"/>
        <w:ind w:left="567" w:right="567" w:firstLine="0"/>
        <w:jc w:val="both"/>
        <w:rPr>
          <w:rFonts w:ascii="Book Antiqua" w:cs="Book Antiqua" w:hAnsi="Book Antiqua" w:eastAsia="Book Antiqua"/>
        </w:rPr>
      </w:pPr>
      <w:r>
        <w:rPr>
          <w:rFonts w:ascii="Book Antiqua"/>
          <w:rtl w:val="0"/>
          <w:lang w:val="it-IT"/>
        </w:rPr>
        <w:t>Uno studio condotto da Ispra negli anni 2010-2011, individuava come significativi diversi impianti ed attivit</w:t>
      </w:r>
      <w:r>
        <w:rPr>
          <w:rFonts w:hAnsi="Book Antiqua" w:hint="default"/>
          <w:rtl w:val="0"/>
          <w:lang w:val="it-IT"/>
        </w:rPr>
        <w:t xml:space="preserve">à </w:t>
      </w:r>
      <w:r>
        <w:rPr>
          <w:rFonts w:ascii="Book Antiqua"/>
          <w:rtl w:val="0"/>
          <w:lang w:val="it-IT"/>
        </w:rPr>
        <w:t>industriali, allora cos</w:t>
      </w:r>
      <w:r>
        <w:rPr>
          <w:rFonts w:hAnsi="Book Antiqua" w:hint="default"/>
          <w:rtl w:val="0"/>
          <w:lang w:val="it-IT"/>
        </w:rPr>
        <w:t xml:space="preserve">ì </w:t>
      </w:r>
      <w:r>
        <w:rPr>
          <w:rFonts w:ascii="Book Antiqua"/>
          <w:rtl w:val="0"/>
          <w:lang w:val="it-IT"/>
        </w:rPr>
        <w:t xml:space="preserve">sinteticamente descritti: </w:t>
      </w:r>
    </w:p>
    <w:p>
      <w:pPr>
        <w:pStyle w:val="List Paragraph"/>
        <w:numPr>
          <w:ilvl w:val="0"/>
          <w:numId w:val="163"/>
        </w:numPr>
        <w:tabs>
          <w:tab w:val="num" w:pos="1287"/>
          <w:tab w:val="clear" w:pos="0"/>
        </w:tabs>
        <w:bidi w:val="0"/>
        <w:ind w:left="1287" w:right="567" w:hanging="360"/>
        <w:jc w:val="both"/>
        <w:rPr>
          <w:rFonts w:ascii="Book Antiqua" w:cs="Book Antiqua" w:hAnsi="Book Antiqua" w:eastAsia="Book Antiqua"/>
          <w:position w:val="0"/>
          <w:sz w:val="24"/>
          <w:szCs w:val="24"/>
          <w:rtl w:val="0"/>
        </w:rPr>
      </w:pPr>
      <w:r>
        <w:rPr>
          <w:rFonts w:ascii="Book Antiqua"/>
          <w:rtl w:val="0"/>
          <w:lang w:val="it-IT"/>
        </w:rPr>
        <w:t>inceneritore di rifiuti ospedalieri di propriet</w:t>
      </w:r>
      <w:r>
        <w:rPr>
          <w:rFonts w:hAnsi="Book Antiqua" w:hint="default"/>
          <w:rtl w:val="0"/>
          <w:lang w:val="it-IT"/>
        </w:rPr>
        <w:t xml:space="preserve">à </w:t>
      </w:r>
      <w:r>
        <w:rPr>
          <w:rFonts w:ascii="Book Antiqua"/>
          <w:rtl w:val="0"/>
          <w:lang w:val="it-IT"/>
        </w:rPr>
        <w:t>AMA, ubicato in localit</w:t>
      </w:r>
      <w:r>
        <w:rPr>
          <w:rFonts w:hAnsi="Book Antiqua" w:hint="default"/>
          <w:rtl w:val="0"/>
          <w:lang w:val="it-IT"/>
        </w:rPr>
        <w:t xml:space="preserve">à </w:t>
      </w:r>
      <w:r>
        <w:rPr>
          <w:rFonts w:ascii="Book Antiqua"/>
          <w:rtl w:val="0"/>
          <w:lang w:val="it-IT"/>
        </w:rPr>
        <w:t>Ponte Malnome, attivo dal 1996;</w:t>
      </w:r>
    </w:p>
    <w:p>
      <w:pPr>
        <w:pStyle w:val="List Paragraph"/>
        <w:numPr>
          <w:ilvl w:val="0"/>
          <w:numId w:val="164"/>
        </w:numPr>
        <w:tabs>
          <w:tab w:val="num" w:pos="1287"/>
          <w:tab w:val="clear" w:pos="0"/>
        </w:tabs>
        <w:bidi w:val="0"/>
        <w:ind w:left="1287" w:right="567" w:hanging="360"/>
        <w:jc w:val="both"/>
        <w:rPr>
          <w:rFonts w:ascii="Book Antiqua" w:cs="Book Antiqua" w:hAnsi="Book Antiqua" w:eastAsia="Book Antiqua"/>
          <w:position w:val="0"/>
          <w:sz w:val="24"/>
          <w:szCs w:val="24"/>
          <w:rtl w:val="0"/>
        </w:rPr>
      </w:pPr>
      <w:r>
        <w:rPr>
          <w:rFonts w:ascii="Book Antiqua"/>
          <w:rtl w:val="0"/>
          <w:lang w:val="it-IT"/>
        </w:rPr>
        <w:t>Raffineria di Roma, un complesso industriale che si estende su una superficie di 93 ettari; in passato era dedicato alla trasformazione del greggio in diversi prodotti combustibili e carburanti (gpl, benzine, kerosene, gasoli, oli combustibili), poi utilizzato come deposito carburanti con parco serbatoi dal volume complessivo di 1.259.500 metri cubi; essendo stata riscontrata la presenza di una contaminazione nel sottosuolo, il sito era stato sottoposto a messa in sicurezza operativa mediante barriera perimetrale costituita da pozzi di emungimento lungo la sponda destra del Rio Galeria</w:t>
      </w:r>
      <w:r>
        <w:rPr>
          <w:rFonts w:ascii="Book Antiqua" w:cs="Book Antiqua" w:hAnsi="Book Antiqua" w:eastAsia="Book Antiqua"/>
          <w:vertAlign w:val="superscript"/>
        </w:rPr>
        <w:footnoteReference w:id="284"/>
      </w:r>
      <w:r>
        <w:rPr>
          <w:rFonts w:ascii="Book Antiqua"/>
          <w:rtl w:val="0"/>
          <w:lang w:val="it-IT"/>
        </w:rPr>
        <w:t>;</w:t>
      </w:r>
    </w:p>
    <w:p>
      <w:pPr>
        <w:pStyle w:val="List Paragraph"/>
        <w:numPr>
          <w:ilvl w:val="0"/>
          <w:numId w:val="166"/>
        </w:numPr>
        <w:tabs>
          <w:tab w:val="num" w:pos="567"/>
          <w:tab w:val="clear" w:pos="0"/>
        </w:tabs>
        <w:bidi w:val="0"/>
        <w:ind w:left="567" w:right="567" w:hanging="360"/>
        <w:jc w:val="both"/>
        <w:rPr>
          <w:rFonts w:ascii="Book Antiqua" w:cs="Book Antiqua" w:hAnsi="Book Antiqua" w:eastAsia="Book Antiqua"/>
          <w:position w:val="0"/>
          <w:sz w:val="24"/>
          <w:szCs w:val="24"/>
          <w:rtl w:val="0"/>
        </w:rPr>
      </w:pPr>
      <w:r>
        <w:rPr>
          <w:rFonts w:ascii="Book Antiqua"/>
          <w:rtl w:val="0"/>
          <w:lang w:val="it-IT"/>
        </w:rPr>
        <w:t>Deposito Comune (De.Co Scarl), ubicato in localit</w:t>
      </w:r>
      <w:r>
        <w:rPr>
          <w:rFonts w:hAnsi="Book Antiqua" w:hint="default"/>
          <w:rtl w:val="0"/>
          <w:lang w:val="it-IT"/>
        </w:rPr>
        <w:t xml:space="preserve">à </w:t>
      </w:r>
      <w:r>
        <w:rPr>
          <w:rFonts w:ascii="Book Antiqua"/>
          <w:rtl w:val="0"/>
          <w:lang w:val="it-IT"/>
        </w:rPr>
        <w:t>Pantano di Grano, a nord-ovest della discarica; occupa un</w:t>
      </w:r>
      <w:r>
        <w:rPr>
          <w:rFonts w:hAnsi="Book Antiqua" w:hint="default"/>
          <w:rtl w:val="0"/>
          <w:lang w:val="it-IT"/>
        </w:rPr>
        <w:t>’</w:t>
      </w:r>
      <w:r>
        <w:rPr>
          <w:rFonts w:ascii="Book Antiqua"/>
          <w:rtl w:val="0"/>
          <w:lang w:val="it-IT"/>
        </w:rPr>
        <w:t>area di circa 22.000 metri quadrati, delimitata a sud dalla discarica di Malagrotta e a ovest con via di Malagrotta e il Rio Galeria. Le attivit</w:t>
      </w:r>
      <w:r>
        <w:rPr>
          <w:rFonts w:hAnsi="Book Antiqua" w:hint="default"/>
          <w:rtl w:val="0"/>
          <w:lang w:val="it-IT"/>
        </w:rPr>
        <w:t xml:space="preserve">à </w:t>
      </w:r>
      <w:r>
        <w:rPr>
          <w:rFonts w:ascii="Book Antiqua"/>
          <w:rtl w:val="0"/>
          <w:lang w:val="it-IT"/>
        </w:rPr>
        <w:t xml:space="preserve">del deposito consistono nella ricezione, transito, deposito, stoccaggio, trasformazione e miscelazione di prodotti petroliferi; il deposito </w:t>
      </w:r>
      <w:r>
        <w:rPr>
          <w:rFonts w:hAnsi="Book Antiqua" w:hint="default"/>
          <w:rtl w:val="0"/>
          <w:lang w:val="it-IT"/>
        </w:rPr>
        <w:t xml:space="preserve">è </w:t>
      </w:r>
      <w:r>
        <w:rPr>
          <w:rFonts w:ascii="Book Antiqua"/>
          <w:rtl w:val="0"/>
          <w:lang w:val="it-IT"/>
        </w:rPr>
        <w:t>costituito da 4 oleodotti per la movimentazione dei carburanti dalla Raffineria di Roma, un parco serbatoi da 8500 metri cubi e un ponte di carico per le autobotti; attivit</w:t>
      </w:r>
      <w:r>
        <w:rPr>
          <w:rFonts w:hAnsi="Book Antiqua" w:hint="default"/>
          <w:rtl w:val="0"/>
          <w:lang w:val="it-IT"/>
        </w:rPr>
        <w:t xml:space="preserve">à </w:t>
      </w:r>
      <w:r>
        <w:rPr>
          <w:rFonts w:ascii="Book Antiqua"/>
          <w:rtl w:val="0"/>
          <w:lang w:val="it-IT"/>
        </w:rPr>
        <w:t>estrattive di cui solo una parte ancora attiva.</w:t>
      </w:r>
    </w:p>
    <w:p>
      <w:pPr>
        <w:pStyle w:val="Normal"/>
        <w:ind w:left="20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rPr>
      </w:pPr>
      <w:r>
        <w:rPr>
          <w:rFonts w:ascii="Book Antiqua"/>
          <w:rtl w:val="0"/>
          <w:lang w:val="it-IT"/>
        </w:rPr>
        <w:t xml:space="preserve">Il sito, definito </w:t>
      </w:r>
      <w:r>
        <w:rPr>
          <w:rFonts w:hAnsi="Book Antiqua" w:hint="default"/>
          <w:rtl w:val="0"/>
          <w:lang w:val="it-IT"/>
        </w:rPr>
        <w:t>“</w:t>
      </w:r>
      <w:r>
        <w:rPr>
          <w:rFonts w:ascii="Book Antiqua"/>
          <w:rtl w:val="0"/>
          <w:lang w:val="it-IT"/>
        </w:rPr>
        <w:t>area complessa di Malagrotta</w:t>
      </w:r>
      <w:r>
        <w:rPr>
          <w:rFonts w:hAnsi="Book Antiqua" w:hint="default"/>
          <w:rtl w:val="0"/>
          <w:lang w:val="it-IT"/>
        </w:rPr>
        <w:t xml:space="preserve">” è </w:t>
      </w:r>
      <w:r>
        <w:rPr>
          <w:rFonts w:ascii="Book Antiqua"/>
          <w:rtl w:val="0"/>
          <w:lang w:val="it-IT"/>
        </w:rPr>
        <w:t>stato altres</w:t>
      </w:r>
      <w:r>
        <w:rPr>
          <w:rFonts w:hAnsi="Book Antiqua" w:hint="default"/>
          <w:rtl w:val="0"/>
          <w:lang w:val="it-IT"/>
        </w:rPr>
        <w:t xml:space="preserve">ì </w:t>
      </w:r>
      <w:r>
        <w:rPr>
          <w:rFonts w:ascii="Book Antiqua"/>
          <w:rtl w:val="0"/>
          <w:lang w:val="it-IT"/>
        </w:rPr>
        <w:t>oggetto di un</w:t>
      </w:r>
      <w:r>
        <w:rPr>
          <w:rFonts w:hAnsi="Book Antiqua" w:hint="default"/>
          <w:rtl w:val="0"/>
          <w:lang w:val="it-IT"/>
        </w:rPr>
        <w:t>’</w:t>
      </w:r>
      <w:r>
        <w:rPr>
          <w:rFonts w:ascii="Book Antiqua"/>
          <w:rtl w:val="0"/>
          <w:lang w:val="it-IT"/>
        </w:rPr>
        <w:t xml:space="preserve">indagine epidemiologica (Rapporto </w:t>
      </w:r>
      <w:r>
        <w:rPr>
          <w:rFonts w:hAnsi="Book Antiqua" w:hint="default"/>
          <w:rtl w:val="0"/>
          <w:lang w:val="it-IT"/>
        </w:rPr>
        <w:t>“</w:t>
      </w:r>
      <w:r>
        <w:rPr>
          <w:rFonts w:ascii="Book Antiqua"/>
          <w:rtl w:val="0"/>
          <w:lang w:val="it-IT"/>
        </w:rPr>
        <w:t>Epidemiologia rifiuti ambiente salute nel Lazio - ERAS Lazio - Valutazione epidemiologica dello stato di salute della popolazione esposta a processi di raccolta, trasformazione e smaltimento dei rifiuti urbani nella regione Lazio</w:t>
      </w:r>
      <w:r>
        <w:rPr>
          <w:rFonts w:hAnsi="Book Antiqua" w:hint="default"/>
          <w:rtl w:val="0"/>
          <w:lang w:val="it-IT"/>
        </w:rPr>
        <w:t>”</w:t>
      </w:r>
      <w:r>
        <w:rPr>
          <w:rFonts w:ascii="Book Antiqua"/>
          <w:rtl w:val="0"/>
          <w:lang w:val="it-IT"/>
        </w:rPr>
        <w:t>), del dipartimento di epidemiologia del Servizio sanitario regionale - regione Lazio, con ARPA Lazio, basato su dati antecedenti il 2013, ma tuttora utile anche come traccia per ulteriori necessarie valutazioni</w:t>
      </w:r>
      <w:r>
        <w:rPr>
          <w:rFonts w:ascii="Book Antiqua" w:cs="Book Antiqua" w:hAnsi="Book Antiqua" w:eastAsia="Book Antiqua"/>
          <w:vertAlign w:val="superscript"/>
          <w:rtl w:val="0"/>
        </w:rPr>
        <w:footnoteReference w:id="285"/>
      </w:r>
      <w:r>
        <w:rPr>
          <w:rFonts w:ascii="Book Antiqua"/>
          <w:rtl w:val="0"/>
          <w:lang w:val="it-IT"/>
        </w:rPr>
        <w:t xml:space="preserve">. </w:t>
      </w:r>
    </w:p>
    <w:p>
      <w:pPr>
        <w:pStyle w:val="Normal"/>
        <w:ind w:left="567" w:right="567" w:firstLine="0"/>
        <w:jc w:val="both"/>
        <w:rPr>
          <w:rFonts w:ascii="Book Antiqua" w:cs="Book Antiqua" w:hAnsi="Book Antiqua" w:eastAsia="Book Antiqua"/>
          <w:color w:val="272727"/>
          <w:u w:color="272727"/>
        </w:rPr>
      </w:pPr>
      <w:r>
        <w:rPr>
          <w:rFonts w:ascii="Book Antiqua"/>
          <w:rtl w:val="0"/>
          <w:lang w:val="it-IT"/>
        </w:rPr>
        <w:t>La Commissione ha chiesto ad ARPA Lazio una relazione che individuasse le attuali criticit</w:t>
      </w:r>
      <w:r>
        <w:rPr>
          <w:rFonts w:hAnsi="Book Antiqua" w:hint="default"/>
          <w:rtl w:val="0"/>
          <w:lang w:val="it-IT"/>
        </w:rPr>
        <w:t xml:space="preserve">à </w:t>
      </w:r>
      <w:r>
        <w:rPr>
          <w:rFonts w:ascii="Book Antiqua"/>
          <w:rtl w:val="0"/>
          <w:lang w:val="it-IT"/>
        </w:rPr>
        <w:t>ambientali, ricevendo un quadro</w:t>
      </w:r>
      <w:r>
        <w:rPr>
          <w:rFonts w:ascii="Book Antiqua" w:cs="Book Antiqua" w:hAnsi="Book Antiqua" w:eastAsia="Book Antiqua"/>
          <w:vertAlign w:val="superscript"/>
          <w:rtl w:val="0"/>
        </w:rPr>
        <w:footnoteReference w:id="286"/>
      </w:r>
      <w:r>
        <w:rPr>
          <w:rFonts w:ascii="Book Antiqua"/>
          <w:rtl w:val="0"/>
          <w:lang w:val="it-IT"/>
        </w:rPr>
        <w:t xml:space="preserve"> che conferma la rilevanza della questione e la configurabilit</w:t>
      </w:r>
      <w:r>
        <w:rPr>
          <w:rFonts w:hAnsi="Book Antiqua" w:hint="default"/>
          <w:rtl w:val="0"/>
          <w:lang w:val="it-IT"/>
        </w:rPr>
        <w:t xml:space="preserve">à </w:t>
      </w:r>
      <w:r>
        <w:rPr>
          <w:rFonts w:ascii="Book Antiqua"/>
          <w:rtl w:val="0"/>
          <w:lang w:val="it-IT"/>
        </w:rPr>
        <w:t xml:space="preserve">effettiva di un </w:t>
      </w:r>
      <w:r>
        <w:rPr>
          <w:rFonts w:hAnsi="Book Antiqua" w:hint="default"/>
          <w:rtl w:val="0"/>
          <w:lang w:val="it-IT"/>
        </w:rPr>
        <w:t>“</w:t>
      </w:r>
      <w:r>
        <w:rPr>
          <w:rFonts w:ascii="Book Antiqua"/>
          <w:rtl w:val="0"/>
          <w:lang w:val="it-IT"/>
        </w:rPr>
        <w:t>sito della Valle Galeria</w:t>
      </w:r>
      <w:r>
        <w:rPr>
          <w:rFonts w:hAnsi="Book Antiqua" w:hint="default"/>
          <w:rtl w:val="0"/>
          <w:lang w:val="it-IT"/>
        </w:rPr>
        <w:t>”</w:t>
      </w:r>
      <w:r>
        <w:rPr>
          <w:rFonts w:ascii="Book Antiqua"/>
          <w:rtl w:val="0"/>
          <w:lang w:val="it-IT"/>
        </w:rPr>
        <w:t xml:space="preserve">, comprendente impianti </w:t>
      </w:r>
      <w:r>
        <w:rPr>
          <w:rFonts w:ascii="Book Antiqua"/>
          <w:color w:val="272727"/>
          <w:u w:color="272727"/>
          <w:rtl w:val="0"/>
          <w:lang w:val="it-IT"/>
        </w:rPr>
        <w:t>oggetto di necessario controllo quanto alla gestione dei rifiuti, alla bonifica di siti contaminati e alle emissioni in atmosfera.</w:t>
      </w: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color w:val="272a2b"/>
          <w:u w:color="272a2b"/>
        </w:rPr>
      </w:pPr>
      <w:r>
        <w:rPr>
          <w:rFonts w:ascii="Book Antiqua"/>
          <w:color w:val="272a2b"/>
          <w:u w:color="272a2b"/>
          <w:rtl w:val="0"/>
          <w:lang w:val="it-IT"/>
        </w:rPr>
        <w:t>L</w:t>
      </w:r>
      <w:r>
        <w:rPr>
          <w:rFonts w:hAnsi="Book Antiqua" w:hint="default"/>
          <w:color w:val="272a2b"/>
          <w:u w:color="272a2b"/>
          <w:rtl w:val="0"/>
          <w:lang w:val="it-IT"/>
        </w:rPr>
        <w:t>’</w:t>
      </w:r>
      <w:r>
        <w:rPr>
          <w:rFonts w:ascii="Book Antiqua"/>
          <w:color w:val="272a2b"/>
          <w:u w:color="272a2b"/>
          <w:rtl w:val="0"/>
          <w:lang w:val="it-IT"/>
        </w:rPr>
        <w:t xml:space="preserve">area di interesse </w:t>
      </w:r>
      <w:r>
        <w:rPr>
          <w:rFonts w:hAnsi="Book Antiqua" w:hint="default"/>
          <w:color w:val="272a2b"/>
          <w:u w:color="272a2b"/>
          <w:rtl w:val="0"/>
          <w:lang w:val="it-IT"/>
        </w:rPr>
        <w:t xml:space="preserve">è </w:t>
      </w:r>
      <w:r>
        <w:rPr>
          <w:rFonts w:ascii="Book Antiqua"/>
          <w:color w:val="272a2b"/>
          <w:u w:color="272a2b"/>
          <w:rtl w:val="0"/>
          <w:lang w:val="it-IT"/>
        </w:rPr>
        <w:t>stata delimitata con un poligono con asse il fiume Galeria, di larghezza 5 chilometri e di lunghezza 8 chilometri</w:t>
      </w:r>
    </w:p>
    <w:p>
      <w:pPr>
        <w:pStyle w:val="Normal"/>
        <w:ind w:left="567" w:right="567" w:firstLine="0"/>
        <w:jc w:val="both"/>
        <w:rPr>
          <w:rFonts w:ascii="Book Antiqua" w:cs="Book Antiqua" w:hAnsi="Book Antiqua" w:eastAsia="Book Antiqua"/>
          <w:color w:val="272a2b"/>
          <w:u w:color="272a2b"/>
        </w:rPr>
      </w:pPr>
    </w:p>
    <w:p>
      <w:pPr>
        <w:pStyle w:val="Normal"/>
        <w:ind w:left="567" w:right="567" w:firstLine="0"/>
        <w:jc w:val="both"/>
        <w:rPr>
          <w:rFonts w:ascii="Book Antiqua" w:cs="Book Antiqua" w:hAnsi="Book Antiqua" w:eastAsia="Book Antiqua"/>
          <w:color w:val="272a2b"/>
          <w:u w:color="272a2b"/>
        </w:rPr>
      </w:pPr>
      <w:r>
        <w:rPr>
          <w:rFonts w:ascii="Book Antiqua"/>
          <w:color w:val="272a2b"/>
          <w:u w:color="272a2b"/>
          <w:shd w:val="clear" w:color="auto" w:fill="ffff00"/>
          <w:rtl w:val="0"/>
          <w:lang w:val="it-IT"/>
        </w:rPr>
        <w:t>Inserire le immagini contenute nei file 2042.003.pdf poi 2536.002.pdf ed infine 2030.002.pdf una pagine ad immagine</w:t>
      </w:r>
    </w:p>
    <w:p>
      <w:pPr>
        <w:pStyle w:val="Normal"/>
        <w:rPr>
          <w:rFonts w:ascii="Book Antiqua" w:cs="Book Antiqua" w:hAnsi="Book Antiqua" w:eastAsia="Book Antiqua"/>
        </w:rPr>
      </w:pP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272a2b"/>
          <w:u w:color="272a2b"/>
        </w:rPr>
      </w:pPr>
      <w:r>
        <w:rPr>
          <w:rFonts w:ascii="Book Antiqua"/>
          <w:color w:val="272a2b"/>
          <w:u w:color="272a2b"/>
          <w:rtl w:val="0"/>
          <w:lang w:val="it-IT"/>
        </w:rPr>
        <w:t>Prendendo a riferimento i controlli effettuati dall</w:t>
      </w:r>
      <w:r>
        <w:rPr>
          <w:rFonts w:hAnsi="Book Antiqua" w:hint="default"/>
          <w:color w:val="272a2b"/>
          <w:u w:color="272a2b"/>
          <w:rtl w:val="0"/>
          <w:lang w:val="it-IT"/>
        </w:rPr>
        <w:t>’</w:t>
      </w:r>
      <w:r>
        <w:rPr>
          <w:rFonts w:ascii="Book Antiqua"/>
          <w:color w:val="272a2b"/>
          <w:u w:color="272a2b"/>
          <w:rtl w:val="0"/>
          <w:lang w:val="it-IT"/>
        </w:rPr>
        <w:t>ARPA, gli impianti produttivi di significativo impatto ambientale individuati nell</w:t>
      </w:r>
      <w:r>
        <w:rPr>
          <w:rFonts w:hAnsi="Book Antiqua" w:hint="default"/>
          <w:color w:val="272a2b"/>
          <w:u w:color="272a2b"/>
          <w:rtl w:val="0"/>
          <w:lang w:val="it-IT"/>
        </w:rPr>
        <w:t>’</w:t>
      </w:r>
      <w:r>
        <w:rPr>
          <w:rFonts w:ascii="Book Antiqua"/>
          <w:color w:val="272a2b"/>
          <w:u w:color="272a2b"/>
          <w:rtl w:val="0"/>
          <w:lang w:val="it-IT"/>
        </w:rPr>
        <w:t>area sono i seguenti:</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272a2b"/>
          <w:u w:color="272a2b"/>
        </w:rPr>
      </w:pP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272a2b"/>
          <w:u w:color="272a2b"/>
        </w:rPr>
      </w:pPr>
      <w:r>
        <w:rPr>
          <w:rFonts w:hAnsi="Book Antiqua" w:hint="default"/>
          <w:color w:val="272a2b"/>
          <w:u w:color="272a2b"/>
          <w:rtl w:val="0"/>
          <w:lang w:val="it-IT"/>
        </w:rPr>
        <w:t>“</w:t>
      </w:r>
      <w:r>
        <w:rPr>
          <w:rFonts w:ascii="Book Antiqua"/>
          <w:color w:val="272a2b"/>
          <w:u w:color="272a2b"/>
          <w:rtl w:val="0"/>
          <w:lang w:val="it-IT"/>
        </w:rPr>
        <w:t>Impianti di trattamento rifiuti</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272a2b"/>
          <w:u w:color="272a2b"/>
        </w:rPr>
      </w:pP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i w:val="1"/>
          <w:iCs w:val="1"/>
          <w:color w:val="272a2b"/>
          <w:u w:color="272a2b"/>
        </w:rPr>
      </w:pPr>
      <w:r>
        <w:rPr>
          <w:rFonts w:ascii="Book Antiqua"/>
          <w:i w:val="1"/>
          <w:iCs w:val="1"/>
          <w:color w:val="272a2b"/>
          <w:u w:color="272a2b"/>
          <w:rtl w:val="0"/>
          <w:lang w:val="it-IT"/>
        </w:rPr>
        <w:t xml:space="preserve">Cerchio Chiuso - via della Pisana 2015 </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272a2b"/>
          <w:u w:color="272a2b"/>
        </w:rPr>
      </w:pPr>
      <w:r>
        <w:rPr>
          <w:rFonts w:ascii="Book Antiqua"/>
          <w:color w:val="272a2b"/>
          <w:u w:color="272a2b"/>
          <w:rtl w:val="0"/>
          <w:lang w:val="it-IT"/>
        </w:rPr>
        <w:t>La Societ</w:t>
      </w:r>
      <w:r>
        <w:rPr>
          <w:rFonts w:hAnsi="Book Antiqua" w:hint="default"/>
          <w:color w:val="272a2b"/>
          <w:u w:color="272a2b"/>
          <w:rtl w:val="0"/>
          <w:lang w:val="it-IT"/>
        </w:rPr>
        <w:t xml:space="preserve">à </w:t>
      </w:r>
      <w:r>
        <w:rPr>
          <w:rFonts w:ascii="Book Antiqua"/>
          <w:color w:val="272a2b"/>
          <w:u w:color="272a2b"/>
          <w:rtl w:val="0"/>
          <w:lang w:val="it-IT"/>
        </w:rPr>
        <w:t>svolge attivit</w:t>
      </w:r>
      <w:r>
        <w:rPr>
          <w:rFonts w:hAnsi="Book Antiqua" w:hint="default"/>
          <w:color w:val="272a2b"/>
          <w:u w:color="272a2b"/>
          <w:rtl w:val="0"/>
          <w:lang w:val="it-IT"/>
        </w:rPr>
        <w:t xml:space="preserve">à </w:t>
      </w:r>
      <w:r>
        <w:rPr>
          <w:rFonts w:ascii="Book Antiqua"/>
          <w:color w:val="272a2b"/>
          <w:u w:color="272a2b"/>
          <w:rtl w:val="0"/>
          <w:lang w:val="it-IT"/>
        </w:rPr>
        <w:t xml:space="preserve">di recupero di rifiuti inerti, ed </w:t>
      </w:r>
      <w:r>
        <w:rPr>
          <w:rFonts w:hAnsi="Book Antiqua" w:hint="default"/>
          <w:color w:val="272a2b"/>
          <w:u w:color="272a2b"/>
          <w:rtl w:val="0"/>
          <w:lang w:val="it-IT"/>
        </w:rPr>
        <w:t xml:space="preserve">è </w:t>
      </w:r>
      <w:r>
        <w:rPr>
          <w:rFonts w:ascii="Book Antiqua"/>
          <w:color w:val="272a2b"/>
          <w:u w:color="272a2b"/>
          <w:rtl w:val="0"/>
          <w:lang w:val="it-IT"/>
        </w:rPr>
        <w:t xml:space="preserve">stata autorizzata con determinazione della regione Lazio n. A07406 del 20 settembre 2013. A seguito di controllo effettuato nel corso del 2016 e completato nel corrente anno, sono state rilevate numerose violazioni delle prescrizioni, di cui </w:t>
      </w:r>
      <w:r>
        <w:rPr>
          <w:rFonts w:hAnsi="Book Antiqua" w:hint="default"/>
          <w:color w:val="272a2b"/>
          <w:u w:color="272a2b"/>
          <w:rtl w:val="0"/>
          <w:lang w:val="it-IT"/>
        </w:rPr>
        <w:t xml:space="preserve">è </w:t>
      </w:r>
      <w:r>
        <w:rPr>
          <w:rFonts w:ascii="Book Antiqua"/>
          <w:color w:val="272a2b"/>
          <w:u w:color="272a2b"/>
          <w:rtl w:val="0"/>
          <w:lang w:val="it-IT"/>
        </w:rPr>
        <w:t>stata data comunicazione sia alle autorit</w:t>
      </w:r>
      <w:r>
        <w:rPr>
          <w:rFonts w:hAnsi="Book Antiqua" w:hint="default"/>
          <w:color w:val="272a2b"/>
          <w:u w:color="272a2b"/>
          <w:rtl w:val="0"/>
          <w:lang w:val="it-IT"/>
        </w:rPr>
        <w:t xml:space="preserve">à </w:t>
      </w:r>
      <w:r>
        <w:rPr>
          <w:rFonts w:ascii="Book Antiqua"/>
          <w:color w:val="272a2b"/>
          <w:u w:color="272a2b"/>
          <w:rtl w:val="0"/>
          <w:lang w:val="it-IT"/>
        </w:rPr>
        <w:t>amministrative competenti, sia all'autorit</w:t>
      </w:r>
      <w:r>
        <w:rPr>
          <w:rFonts w:hAnsi="Book Antiqua" w:hint="default"/>
          <w:color w:val="272a2b"/>
          <w:u w:color="272a2b"/>
          <w:rtl w:val="0"/>
          <w:lang w:val="it-IT"/>
        </w:rPr>
        <w:t xml:space="preserve">à </w:t>
      </w:r>
      <w:r>
        <w:rPr>
          <w:rFonts w:ascii="Book Antiqua"/>
          <w:color w:val="272a2b"/>
          <w:u w:color="272a2b"/>
          <w:rtl w:val="0"/>
          <w:lang w:val="it-IT"/>
        </w:rPr>
        <w:t>giudiziaria, con nota prot. n. 15121 del 27.02.17.</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272a2b"/>
          <w:u w:color="272a2b"/>
        </w:rPr>
      </w:pP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i w:val="1"/>
          <w:iCs w:val="1"/>
          <w:color w:val="272a2b"/>
          <w:u w:color="272a2b"/>
        </w:rPr>
      </w:pPr>
      <w:r>
        <w:rPr>
          <w:rFonts w:ascii="Book Antiqua"/>
          <w:i w:val="1"/>
          <w:iCs w:val="1"/>
          <w:color w:val="272a2b"/>
          <w:u w:color="272a2b"/>
          <w:rtl w:val="0"/>
          <w:lang w:val="it-IT"/>
        </w:rPr>
        <w:t>GECO Ambiente srl- via Bari</w:t>
      </w:r>
      <w:r>
        <w:rPr>
          <w:rFonts w:hAnsi="Book Antiqua" w:hint="default"/>
          <w:i w:val="1"/>
          <w:iCs w:val="1"/>
          <w:color w:val="272a2b"/>
          <w:u w:color="272a2b"/>
          <w:rtl w:val="0"/>
          <w:lang w:val="it-IT"/>
        </w:rPr>
        <w:t xml:space="preserve">è </w:t>
      </w:r>
      <w:r>
        <w:rPr>
          <w:rFonts w:ascii="Book Antiqua"/>
          <w:i w:val="1"/>
          <w:iCs w:val="1"/>
          <w:color w:val="272a2b"/>
          <w:u w:color="272a2b"/>
          <w:rtl w:val="0"/>
          <w:lang w:val="it-IT"/>
        </w:rPr>
        <w:t xml:space="preserve">70 </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272a2b"/>
          <w:u w:color="272a2b"/>
        </w:rPr>
      </w:pPr>
      <w:r>
        <w:rPr>
          <w:rFonts w:ascii="Book Antiqua"/>
          <w:color w:val="272a2b"/>
          <w:u w:color="272a2b"/>
          <w:rtl w:val="0"/>
          <w:lang w:val="it-IT"/>
        </w:rPr>
        <w:t xml:space="preserve">L'impianto, iscritto nel registro delle imprese che effettuano operazioni di recupero di rifiuti non pericolosi ai sensi dell'articolo 216 del decreto legislativo n. 15212006, </w:t>
      </w:r>
      <w:r>
        <w:rPr>
          <w:rFonts w:hAnsi="Book Antiqua" w:hint="default"/>
          <w:color w:val="272a2b"/>
          <w:u w:color="272a2b"/>
          <w:rtl w:val="0"/>
          <w:lang w:val="it-IT"/>
        </w:rPr>
        <w:t xml:space="preserve">è </w:t>
      </w:r>
      <w:r>
        <w:rPr>
          <w:rFonts w:ascii="Book Antiqua"/>
          <w:color w:val="272a2b"/>
          <w:u w:color="272a2b"/>
          <w:rtl w:val="0"/>
          <w:lang w:val="it-IT"/>
        </w:rPr>
        <w:t>stato oggetto di sopralluogo nel corso del 2016. AI momento del controllo l'impianto risultava non attivo, in attesa di nuova autorizzazione ai sensi dell</w:t>
      </w:r>
      <w:r>
        <w:rPr>
          <w:rFonts w:hAnsi="Book Antiqua" w:hint="default"/>
          <w:color w:val="272a2b"/>
          <w:u w:color="272a2b"/>
          <w:rtl w:val="0"/>
          <w:lang w:val="it-IT"/>
        </w:rPr>
        <w:t>’</w:t>
      </w:r>
      <w:r>
        <w:rPr>
          <w:rFonts w:ascii="Book Antiqua"/>
          <w:color w:val="272a2b"/>
          <w:u w:color="272a2b"/>
          <w:rtl w:val="0"/>
          <w:lang w:val="it-IT"/>
        </w:rPr>
        <w:t>articolo 208 del decreto legislativo n. 152 del 2006</w:t>
      </w:r>
      <w:r>
        <w:rPr>
          <w:rFonts w:ascii="Book Antiqua"/>
          <w:color w:val="424c55"/>
          <w:u w:color="424c55"/>
          <w:rtl w:val="0"/>
          <w:lang w:val="it-IT"/>
        </w:rPr>
        <w:t xml:space="preserve">. </w:t>
      </w:r>
      <w:r>
        <w:rPr>
          <w:rFonts w:ascii="Book Antiqua"/>
          <w:color w:val="272a2b"/>
          <w:u w:color="272a2b"/>
          <w:rtl w:val="0"/>
          <w:lang w:val="it-IT"/>
        </w:rPr>
        <w:t>L</w:t>
      </w:r>
      <w:r>
        <w:rPr>
          <w:rFonts w:ascii="Book Antiqua"/>
          <w:color w:val="424c55"/>
          <w:u w:color="424c55"/>
          <w:rtl w:val="0"/>
          <w:lang w:val="it-IT"/>
        </w:rPr>
        <w:t>'</w:t>
      </w:r>
      <w:r>
        <w:rPr>
          <w:rFonts w:ascii="Book Antiqua"/>
          <w:color w:val="272a2b"/>
          <w:u w:color="272a2b"/>
          <w:rtl w:val="0"/>
          <w:lang w:val="it-IT"/>
        </w:rPr>
        <w:t>impianto risultava realizzato conformemente a quanto previsto dagli atti autorizzativi, come da nostra comunicazione prot. n. 42500 del 04.06.2016.</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272a2b"/>
          <w:u w:color="272a2b"/>
        </w:rPr>
      </w:pP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i w:val="1"/>
          <w:iCs w:val="1"/>
          <w:color w:val="272a2b"/>
          <w:u w:color="272a2b"/>
        </w:rPr>
      </w:pPr>
      <w:r>
        <w:rPr>
          <w:rFonts w:ascii="Book Antiqua"/>
          <w:i w:val="1"/>
          <w:iCs w:val="1"/>
          <w:color w:val="272a2b"/>
          <w:u w:color="272a2b"/>
          <w:rtl w:val="0"/>
          <w:lang w:val="it-IT"/>
        </w:rPr>
        <w:t xml:space="preserve">Ariete Fattoria Latte Sano via della Muratella 165 </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272727"/>
          <w:u w:color="272727"/>
        </w:rPr>
      </w:pPr>
      <w:r>
        <w:rPr>
          <w:rFonts w:ascii="Book Antiqua"/>
          <w:color w:val="272a2b"/>
          <w:u w:color="272a2b"/>
          <w:rtl w:val="0"/>
          <w:lang w:val="it-IT"/>
        </w:rPr>
        <w:t>L'azienda, che svolge attivit</w:t>
      </w:r>
      <w:r>
        <w:rPr>
          <w:rFonts w:hAnsi="Book Antiqua" w:hint="default"/>
          <w:color w:val="272a2b"/>
          <w:u w:color="272a2b"/>
          <w:rtl w:val="0"/>
          <w:lang w:val="it-IT"/>
        </w:rPr>
        <w:t xml:space="preserve">à </w:t>
      </w:r>
      <w:r>
        <w:rPr>
          <w:rFonts w:ascii="Book Antiqua"/>
          <w:color w:val="272a2b"/>
          <w:u w:color="272a2b"/>
          <w:rtl w:val="0"/>
          <w:lang w:val="it-IT"/>
        </w:rPr>
        <w:t xml:space="preserve">agricole zootecniche e di produzione di latte e latticini, </w:t>
      </w:r>
      <w:r>
        <w:rPr>
          <w:rFonts w:hAnsi="Book Antiqua" w:hint="default"/>
          <w:color w:val="272a2b"/>
          <w:u w:color="272a2b"/>
          <w:rtl w:val="0"/>
          <w:lang w:val="it-IT"/>
        </w:rPr>
        <w:t xml:space="preserve">è </w:t>
      </w:r>
      <w:r>
        <w:rPr>
          <w:rFonts w:ascii="Book Antiqua"/>
          <w:color w:val="272a2b"/>
          <w:u w:color="272a2b"/>
          <w:rtl w:val="0"/>
          <w:lang w:val="it-IT"/>
        </w:rPr>
        <w:t>stata pi</w:t>
      </w:r>
      <w:r>
        <w:rPr>
          <w:rFonts w:hAnsi="Book Antiqua" w:hint="default"/>
          <w:color w:val="272a2b"/>
          <w:u w:color="272a2b"/>
          <w:rtl w:val="0"/>
          <w:lang w:val="it-IT"/>
        </w:rPr>
        <w:t xml:space="preserve">ù </w:t>
      </w:r>
      <w:r>
        <w:rPr>
          <w:rFonts w:ascii="Book Antiqua"/>
          <w:color w:val="272a2b"/>
          <w:u w:color="272a2b"/>
          <w:rtl w:val="0"/>
          <w:lang w:val="it-IT"/>
        </w:rPr>
        <w:t>volte oggetto di esposti e segnalazioni per i cattivi odori. Sono stati effettuati sopralluoghi, anche con il prelievo di campioni di terreno, finalizzati alla verifica del corretto spandimento in particolare dei fanghi del depuratore a servizio delle attivit</w:t>
      </w:r>
      <w:r>
        <w:rPr>
          <w:rFonts w:hAnsi="Book Antiqua" w:hint="default"/>
          <w:color w:val="272a2b"/>
          <w:u w:color="272a2b"/>
          <w:rtl w:val="0"/>
          <w:lang w:val="it-IT"/>
        </w:rPr>
        <w:t xml:space="preserve">à </w:t>
      </w:r>
      <w:r>
        <w:rPr>
          <w:rFonts w:ascii="Book Antiqua"/>
          <w:color w:val="272a2b"/>
          <w:u w:color="272a2b"/>
          <w:rtl w:val="0"/>
          <w:lang w:val="it-IT"/>
        </w:rPr>
        <w:t xml:space="preserve">dell'Azienda. Con nota prot. n. 98085 del 24 dicembre 2014 sono stati trasmessi gli esiti dei controlli, che hanno evidenziato la correttezza delle </w:t>
      </w:r>
      <w:r>
        <w:rPr>
          <w:rFonts w:ascii="Book Antiqua"/>
          <w:color w:val="272727"/>
          <w:u w:color="272727"/>
          <w:rtl w:val="0"/>
          <w:lang w:val="it-IT"/>
        </w:rPr>
        <w:t>operazioni svolte.</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272727"/>
          <w:u w:color="272727"/>
        </w:rPr>
      </w:pP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i w:val="1"/>
          <w:iCs w:val="1"/>
          <w:color w:val="272727"/>
          <w:u w:color="272727"/>
        </w:rPr>
      </w:pPr>
      <w:r>
        <w:rPr>
          <w:rFonts w:ascii="Book Antiqua"/>
          <w:i w:val="1"/>
          <w:iCs w:val="1"/>
          <w:color w:val="272727"/>
          <w:u w:color="272727"/>
          <w:rtl w:val="0"/>
          <w:lang w:val="it-IT"/>
        </w:rPr>
        <w:t>Cava Bartolini - localit</w:t>
      </w:r>
      <w:r>
        <w:rPr>
          <w:rFonts w:hAnsi="Book Antiqua" w:hint="default"/>
          <w:i w:val="1"/>
          <w:iCs w:val="1"/>
          <w:color w:val="272727"/>
          <w:u w:color="272727"/>
          <w:rtl w:val="0"/>
          <w:lang w:val="it-IT"/>
        </w:rPr>
        <w:t xml:space="preserve">à </w:t>
      </w:r>
      <w:r>
        <w:rPr>
          <w:rFonts w:ascii="Book Antiqua"/>
          <w:i w:val="1"/>
          <w:iCs w:val="1"/>
          <w:color w:val="272727"/>
          <w:u w:color="272727"/>
          <w:rtl w:val="0"/>
          <w:lang w:val="it-IT"/>
        </w:rPr>
        <w:t xml:space="preserve">Pescaccio </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272727"/>
          <w:u w:color="272727"/>
        </w:rPr>
      </w:pPr>
      <w:r>
        <w:rPr>
          <w:rFonts w:ascii="Book Antiqua"/>
          <w:color w:val="272727"/>
          <w:u w:color="272727"/>
          <w:rtl w:val="0"/>
          <w:lang w:val="it-IT"/>
        </w:rPr>
        <w:t xml:space="preserve">La cava </w:t>
      </w:r>
      <w:r>
        <w:rPr>
          <w:rFonts w:hAnsi="Book Antiqua" w:hint="default"/>
          <w:color w:val="272727"/>
          <w:u w:color="272727"/>
          <w:rtl w:val="0"/>
          <w:lang w:val="it-IT"/>
        </w:rPr>
        <w:t xml:space="preserve">è </w:t>
      </w:r>
      <w:r>
        <w:rPr>
          <w:rFonts w:ascii="Book Antiqua"/>
          <w:color w:val="272727"/>
          <w:u w:color="272727"/>
          <w:rtl w:val="0"/>
          <w:lang w:val="it-IT"/>
        </w:rPr>
        <w:t>stata oggetto di procedimento penale della Direzione Distrettuale Antimafia relativo al ripristino ambientale della cava, utilizzata in passato per lo smaltimento di ingenti quantit</w:t>
      </w:r>
      <w:r>
        <w:rPr>
          <w:rFonts w:hAnsi="Book Antiqua" w:hint="default"/>
          <w:color w:val="272727"/>
          <w:u w:color="272727"/>
          <w:rtl w:val="0"/>
          <w:lang w:val="it-IT"/>
        </w:rPr>
        <w:t xml:space="preserve">à </w:t>
      </w:r>
      <w:r>
        <w:rPr>
          <w:rFonts w:ascii="Book Antiqua"/>
          <w:color w:val="272727"/>
          <w:u w:color="272727"/>
          <w:rtl w:val="0"/>
          <w:lang w:val="it-IT"/>
        </w:rPr>
        <w:t>di rifiuti</w:t>
      </w:r>
      <w:r>
        <w:rPr>
          <w:rFonts w:ascii="Book Antiqua"/>
          <w:color w:val="515151"/>
          <w:u w:color="515151"/>
          <w:rtl w:val="0"/>
          <w:lang w:val="it-IT"/>
        </w:rPr>
        <w:t xml:space="preserve">. </w:t>
      </w:r>
      <w:r>
        <w:rPr>
          <w:rFonts w:ascii="Book Antiqua"/>
          <w:color w:val="272727"/>
          <w:u w:color="272727"/>
          <w:rtl w:val="0"/>
          <w:lang w:val="it-IT"/>
        </w:rPr>
        <w:t>L'Agenzia, a partire dal 2012, ha fornito supporto tecnico all'autorit</w:t>
      </w:r>
      <w:r>
        <w:rPr>
          <w:rFonts w:hAnsi="Book Antiqua" w:hint="default"/>
          <w:color w:val="272727"/>
          <w:u w:color="272727"/>
          <w:rtl w:val="0"/>
          <w:lang w:val="it-IT"/>
        </w:rPr>
        <w:t xml:space="preserve">à </w:t>
      </w:r>
      <w:r>
        <w:rPr>
          <w:rFonts w:ascii="Book Antiqua"/>
          <w:color w:val="272727"/>
          <w:u w:color="272727"/>
          <w:rtl w:val="0"/>
          <w:lang w:val="it-IT"/>
        </w:rPr>
        <w:t>giudiziaria, effettuando anche campionamenti finalizzati alla verifica delle sostanze contenute nei rifiuti interrati e del successivo progetto di ripristino</w:t>
      </w:r>
      <w:r>
        <w:rPr>
          <w:rFonts w:ascii="Book Antiqua"/>
          <w:color w:val="3e3e3e"/>
          <w:u w:color="3e3e3e"/>
          <w:rtl w:val="0"/>
          <w:lang w:val="it-IT"/>
        </w:rPr>
        <w:t xml:space="preserve">. </w:t>
      </w:r>
      <w:r>
        <w:rPr>
          <w:rFonts w:ascii="Book Antiqua"/>
          <w:color w:val="272727"/>
          <w:u w:color="272727"/>
          <w:rtl w:val="0"/>
          <w:lang w:val="it-IT"/>
        </w:rPr>
        <w:t>L'Agenzia ha relazionato all</w:t>
      </w:r>
      <w:r>
        <w:rPr>
          <w:rFonts w:hAnsi="Book Antiqua" w:hint="default"/>
          <w:color w:val="272727"/>
          <w:u w:color="272727"/>
          <w:rtl w:val="0"/>
          <w:lang w:val="it-IT"/>
        </w:rPr>
        <w:t>’</w:t>
      </w:r>
      <w:r>
        <w:rPr>
          <w:rFonts w:ascii="Book Antiqua"/>
          <w:color w:val="272727"/>
          <w:u w:color="272727"/>
          <w:rtl w:val="0"/>
          <w:lang w:val="it-IT"/>
        </w:rPr>
        <w:t>autorit</w:t>
      </w:r>
      <w:r>
        <w:rPr>
          <w:rFonts w:hAnsi="Book Antiqua" w:hint="default"/>
          <w:color w:val="272727"/>
          <w:u w:color="272727"/>
          <w:rtl w:val="0"/>
          <w:lang w:val="it-IT"/>
        </w:rPr>
        <w:t xml:space="preserve">à </w:t>
      </w:r>
      <w:r>
        <w:rPr>
          <w:rFonts w:ascii="Book Antiqua"/>
          <w:color w:val="272727"/>
          <w:u w:color="272727"/>
          <w:rtl w:val="0"/>
          <w:lang w:val="it-IT"/>
        </w:rPr>
        <w:t>giudiziaria con nota prot. n</w:t>
      </w:r>
      <w:r>
        <w:rPr>
          <w:rFonts w:ascii="Book Antiqua"/>
          <w:color w:val="3e3e3e"/>
          <w:u w:color="3e3e3e"/>
          <w:rtl w:val="0"/>
          <w:lang w:val="it-IT"/>
        </w:rPr>
        <w:t xml:space="preserve">. </w:t>
      </w:r>
      <w:r>
        <w:rPr>
          <w:rFonts w:ascii="Book Antiqua"/>
          <w:color w:val="272727"/>
          <w:u w:color="272727"/>
          <w:rtl w:val="0"/>
          <w:lang w:val="it-IT"/>
        </w:rPr>
        <w:t>20131 del 18 marzo 2014 e alle autorit</w:t>
      </w:r>
      <w:r>
        <w:rPr>
          <w:rFonts w:hAnsi="Book Antiqua" w:hint="default"/>
          <w:color w:val="272727"/>
          <w:u w:color="272727"/>
          <w:rtl w:val="0"/>
          <w:lang w:val="it-IT"/>
        </w:rPr>
        <w:t xml:space="preserve">à </w:t>
      </w:r>
      <w:r>
        <w:rPr>
          <w:rFonts w:ascii="Book Antiqua"/>
          <w:color w:val="272727"/>
          <w:u w:color="272727"/>
          <w:rtl w:val="0"/>
          <w:lang w:val="it-IT"/>
        </w:rPr>
        <w:t>amministrative, da ultimo con nota prot. n</w:t>
      </w:r>
      <w:r>
        <w:rPr>
          <w:rFonts w:ascii="Book Antiqua"/>
          <w:color w:val="3e3e3e"/>
          <w:u w:color="3e3e3e"/>
          <w:rtl w:val="0"/>
          <w:lang w:val="it-IT"/>
        </w:rPr>
        <w:t xml:space="preserve">. </w:t>
      </w:r>
      <w:r>
        <w:rPr>
          <w:rFonts w:ascii="Book Antiqua"/>
          <w:color w:val="272727"/>
          <w:u w:color="272727"/>
          <w:rtl w:val="0"/>
          <w:lang w:val="it-IT"/>
        </w:rPr>
        <w:t>45293 del 19 giugno 2014.</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272727"/>
          <w:u w:color="272727"/>
        </w:rPr>
      </w:pP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i w:val="1"/>
          <w:iCs w:val="1"/>
          <w:color w:val="272727"/>
          <w:u w:color="272727"/>
        </w:rPr>
      </w:pPr>
      <w:r>
        <w:rPr>
          <w:rFonts w:ascii="Book Antiqua"/>
          <w:i w:val="1"/>
          <w:iCs w:val="1"/>
          <w:color w:val="272727"/>
          <w:u w:color="272727"/>
          <w:rtl w:val="0"/>
          <w:lang w:val="it-IT"/>
        </w:rPr>
        <w:t>Siti oggetto di procedimento di bonifica</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272727"/>
          <w:u w:color="272727"/>
        </w:rPr>
      </w:pP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272727"/>
          <w:u w:color="272727"/>
        </w:rPr>
      </w:pPr>
      <w:r>
        <w:rPr>
          <w:rFonts w:ascii="Book Antiqua"/>
          <w:color w:val="272727"/>
          <w:u w:color="272727"/>
          <w:rtl w:val="0"/>
          <w:lang w:val="it-IT"/>
        </w:rPr>
        <w:t xml:space="preserve">L'area di Valle Galeria </w:t>
      </w:r>
      <w:r>
        <w:rPr>
          <w:rFonts w:hAnsi="Book Antiqua" w:hint="default"/>
          <w:color w:val="272727"/>
          <w:u w:color="272727"/>
          <w:rtl w:val="0"/>
          <w:lang w:val="it-IT"/>
        </w:rPr>
        <w:t xml:space="preserve">è </w:t>
      </w:r>
      <w:r>
        <w:rPr>
          <w:rFonts w:ascii="Book Antiqua"/>
          <w:color w:val="272727"/>
          <w:u w:color="272727"/>
          <w:rtl w:val="0"/>
          <w:lang w:val="it-IT"/>
        </w:rPr>
        <w:t>interessata da una significativa presenza di depositi di carburanti e dalle infrastrutture di d</w:t>
      </w:r>
      <w:r>
        <w:rPr>
          <w:rFonts w:ascii="Book Antiqua"/>
          <w:color w:val="3e3e3e"/>
          <w:u w:color="3e3e3e"/>
          <w:rtl w:val="0"/>
          <w:lang w:val="it-IT"/>
        </w:rPr>
        <w:t>i</w:t>
      </w:r>
      <w:r>
        <w:rPr>
          <w:rFonts w:ascii="Book Antiqua"/>
          <w:color w:val="272727"/>
          <w:u w:color="272727"/>
          <w:rtl w:val="0"/>
          <w:lang w:val="it-IT"/>
        </w:rPr>
        <w:t>stribuzione in misura importante connesse all'aeroporto di Fiumicino</w:t>
      </w:r>
      <w:r>
        <w:rPr>
          <w:rFonts w:ascii="Book Antiqua"/>
          <w:color w:val="3e3e3e"/>
          <w:u w:color="3e3e3e"/>
          <w:rtl w:val="0"/>
          <w:lang w:val="it-IT"/>
        </w:rPr>
        <w:t xml:space="preserve">. </w:t>
      </w:r>
      <w:r>
        <w:rPr>
          <w:rFonts w:ascii="Book Antiqua"/>
          <w:color w:val="272727"/>
          <w:u w:color="272727"/>
          <w:rtl w:val="0"/>
          <w:lang w:val="it-IT"/>
        </w:rPr>
        <w:t>Soprattutto negli ultimi anni gli oleodotti sono stati interessati da numerosi episodi di effrazione dolosa, con contestuale rilascio di prodotti idrocarburici nelle matrici ambientali. L</w:t>
      </w:r>
      <w:r>
        <w:rPr>
          <w:rFonts w:ascii="Book Antiqua"/>
          <w:color w:val="3e3e3e"/>
          <w:u w:color="3e3e3e"/>
          <w:rtl w:val="0"/>
          <w:lang w:val="it-IT"/>
        </w:rPr>
        <w:t>'</w:t>
      </w:r>
      <w:r>
        <w:rPr>
          <w:rFonts w:ascii="Book Antiqua"/>
          <w:color w:val="272727"/>
          <w:u w:color="272727"/>
          <w:rtl w:val="0"/>
          <w:lang w:val="it-IT"/>
        </w:rPr>
        <w:t>evento di entit</w:t>
      </w:r>
      <w:r>
        <w:rPr>
          <w:rFonts w:hAnsi="Book Antiqua" w:hint="default"/>
          <w:color w:val="272727"/>
          <w:u w:color="272727"/>
          <w:rtl w:val="0"/>
          <w:lang w:val="it-IT"/>
        </w:rPr>
        <w:t xml:space="preserve">à </w:t>
      </w:r>
      <w:r>
        <w:rPr>
          <w:rFonts w:ascii="Book Antiqua"/>
          <w:color w:val="272727"/>
          <w:u w:color="272727"/>
          <w:rtl w:val="0"/>
          <w:lang w:val="it-IT"/>
        </w:rPr>
        <w:t>pi</w:t>
      </w:r>
      <w:r>
        <w:rPr>
          <w:rFonts w:hAnsi="Book Antiqua" w:hint="default"/>
          <w:color w:val="272727"/>
          <w:u w:color="272727"/>
          <w:rtl w:val="0"/>
          <w:lang w:val="it-IT"/>
        </w:rPr>
        <w:t xml:space="preserve">ù </w:t>
      </w:r>
      <w:r>
        <w:rPr>
          <w:rFonts w:ascii="Book Antiqua"/>
          <w:color w:val="272727"/>
          <w:u w:color="272727"/>
          <w:rtl w:val="0"/>
          <w:lang w:val="it-IT"/>
        </w:rPr>
        <w:t>rilevante, avvenuto in data 15</w:t>
      </w:r>
      <w:r>
        <w:rPr>
          <w:rFonts w:ascii="Book Antiqua"/>
          <w:color w:val="3e3e3e"/>
          <w:u w:color="3e3e3e"/>
          <w:rtl w:val="0"/>
          <w:lang w:val="it-IT"/>
        </w:rPr>
        <w:t xml:space="preserve"> settembre </w:t>
      </w:r>
      <w:r>
        <w:rPr>
          <w:rFonts w:ascii="Book Antiqua"/>
          <w:color w:val="272727"/>
          <w:u w:color="272727"/>
          <w:rtl w:val="0"/>
          <w:lang w:val="it-IT"/>
        </w:rPr>
        <w:t>2015, si riferisce alla dispersione di circa 90 mila litri di jet fuel in via Salvatore Ottolenghi.</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3e3e3e"/>
          <w:u w:color="3e3e3e"/>
        </w:rPr>
      </w:pPr>
      <w:r>
        <w:rPr>
          <w:rFonts w:ascii="Book Antiqua"/>
          <w:color w:val="272727"/>
          <w:u w:color="272727"/>
          <w:rtl w:val="0"/>
          <w:lang w:val="it-IT"/>
        </w:rPr>
        <w:t>Tutti i citati eventi sono oggetto di messa in sicurezza di emergenza e di relativo procedimento di bonifica. Con riferimento ai citati grandi depositi di carburanti presenti nell'area, si riporta di seguito una sintetica relazione inerente lo stato del procedimento di bonifica</w:t>
      </w:r>
      <w:r>
        <w:rPr>
          <w:rFonts w:ascii="Book Antiqua"/>
          <w:color w:val="3e3e3e"/>
          <w:u w:color="3e3e3e"/>
          <w:rtl w:val="0"/>
          <w:lang w:val="it-IT"/>
        </w:rPr>
        <w:t>.</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3e3e3e"/>
          <w:u w:color="3e3e3e"/>
        </w:rPr>
      </w:pP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i w:val="1"/>
          <w:iCs w:val="1"/>
          <w:color w:val="272727"/>
          <w:u w:color="272727"/>
        </w:rPr>
      </w:pPr>
      <w:r>
        <w:rPr>
          <w:rFonts w:ascii="Book Antiqua"/>
          <w:i w:val="1"/>
          <w:iCs w:val="1"/>
          <w:color w:val="272727"/>
          <w:u w:color="272727"/>
          <w:rtl w:val="0"/>
          <w:lang w:val="it-IT"/>
        </w:rPr>
        <w:t xml:space="preserve">DE.CO. - via degli Idrocarburi </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3e3e3e"/>
          <w:u w:color="3e3e3e"/>
        </w:rPr>
      </w:pPr>
      <w:r>
        <w:rPr>
          <w:rFonts w:ascii="Book Antiqua"/>
          <w:color w:val="272727"/>
          <w:u w:color="272727"/>
          <w:rtl w:val="0"/>
          <w:lang w:val="it-IT"/>
        </w:rPr>
        <w:t>Il depos</w:t>
      </w:r>
      <w:r>
        <w:rPr>
          <w:rFonts w:ascii="Book Antiqua"/>
          <w:color w:val="3e3e3e"/>
          <w:u w:color="3e3e3e"/>
          <w:rtl w:val="0"/>
          <w:lang w:val="it-IT"/>
        </w:rPr>
        <w:t>i</w:t>
      </w:r>
      <w:r>
        <w:rPr>
          <w:rFonts w:ascii="Book Antiqua"/>
          <w:color w:val="272727"/>
          <w:u w:color="272727"/>
          <w:rtl w:val="0"/>
          <w:lang w:val="it-IT"/>
        </w:rPr>
        <w:t xml:space="preserve">to carburanti </w:t>
      </w:r>
      <w:r>
        <w:rPr>
          <w:rFonts w:hAnsi="Book Antiqua" w:hint="default"/>
          <w:color w:val="272727"/>
          <w:u w:color="272727"/>
          <w:rtl w:val="0"/>
          <w:lang w:val="it-IT"/>
        </w:rPr>
        <w:t xml:space="preserve">è </w:t>
      </w:r>
      <w:r>
        <w:rPr>
          <w:rFonts w:ascii="Book Antiqua"/>
          <w:color w:val="272727"/>
          <w:u w:color="272727"/>
          <w:rtl w:val="0"/>
          <w:lang w:val="it-IT"/>
        </w:rPr>
        <w:t>oggetto di un procedimento ambientale per contaminazione da idrocarburi</w:t>
      </w:r>
      <w:r>
        <w:rPr>
          <w:rFonts w:ascii="Book Antiqua"/>
          <w:color w:val="515151"/>
          <w:u w:color="515151"/>
          <w:rtl w:val="0"/>
          <w:lang w:val="it-IT"/>
        </w:rPr>
        <w:t xml:space="preserve">. </w:t>
      </w:r>
      <w:r>
        <w:rPr>
          <w:rFonts w:ascii="Book Antiqua"/>
          <w:color w:val="272727"/>
          <w:u w:color="272727"/>
          <w:rtl w:val="0"/>
          <w:lang w:val="it-IT"/>
        </w:rPr>
        <w:t xml:space="preserve">Negli ultimi tre anni, </w:t>
      </w:r>
      <w:r>
        <w:rPr>
          <w:rFonts w:hAnsi="Book Antiqua" w:hint="default"/>
          <w:color w:val="272727"/>
          <w:u w:color="272727"/>
          <w:rtl w:val="0"/>
          <w:lang w:val="it-IT"/>
        </w:rPr>
        <w:t xml:space="preserve">è </w:t>
      </w:r>
      <w:r>
        <w:rPr>
          <w:rFonts w:ascii="Book Antiqua"/>
          <w:color w:val="272727"/>
          <w:u w:color="272727"/>
          <w:rtl w:val="0"/>
          <w:lang w:val="it-IT"/>
        </w:rPr>
        <w:t>stato approvato il progetto di messa in sicurezza operativa con determina dirigenziale n. 100 del 14 gennaio 2014 di Roma Capitale. A seguito della relazione di conclusione dei lavori di bonifica, ARPA Lazio ha eseguito, a settembre 2016</w:t>
      </w:r>
      <w:r>
        <w:rPr>
          <w:rFonts w:ascii="Book Antiqua"/>
          <w:color w:val="3e3e3e"/>
          <w:u w:color="3e3e3e"/>
          <w:rtl w:val="0"/>
          <w:lang w:val="it-IT"/>
        </w:rPr>
        <w:t xml:space="preserve">, </w:t>
      </w:r>
      <w:r>
        <w:rPr>
          <w:rFonts w:ascii="Book Antiqua"/>
          <w:color w:val="272727"/>
          <w:u w:color="272727"/>
          <w:rtl w:val="0"/>
          <w:lang w:val="it-IT"/>
        </w:rPr>
        <w:t>un campionamento di collaudo con successiva relazione degli interventi ai sensi dell'articolo 248 c. 2 del decreto legislativo n. 152 del 2006 trasmessa a Citt</w:t>
      </w:r>
      <w:r>
        <w:rPr>
          <w:rFonts w:hAnsi="Book Antiqua" w:hint="default"/>
          <w:color w:val="272727"/>
          <w:u w:color="272727"/>
          <w:rtl w:val="0"/>
          <w:lang w:val="it-IT"/>
        </w:rPr>
        <w:t xml:space="preserve">à </w:t>
      </w:r>
      <w:r>
        <w:rPr>
          <w:rFonts w:ascii="Book Antiqua"/>
          <w:color w:val="272727"/>
          <w:u w:color="272727"/>
          <w:rtl w:val="0"/>
          <w:lang w:val="it-IT"/>
        </w:rPr>
        <w:t>Metropolitana di Roma Capitale con prot. n. 94689 del 19</w:t>
      </w:r>
      <w:r>
        <w:rPr>
          <w:rFonts w:ascii="Book Antiqua"/>
          <w:color w:val="3e3e3e"/>
          <w:u w:color="3e3e3e"/>
          <w:rtl w:val="0"/>
          <w:lang w:val="it-IT"/>
        </w:rPr>
        <w:t xml:space="preserve"> dicembre </w:t>
      </w:r>
      <w:r>
        <w:rPr>
          <w:rFonts w:ascii="Book Antiqua"/>
          <w:color w:val="272727"/>
          <w:u w:color="272727"/>
          <w:rtl w:val="0"/>
          <w:lang w:val="it-IT"/>
        </w:rPr>
        <w:t>2016</w:t>
      </w:r>
      <w:r>
        <w:rPr>
          <w:rFonts w:ascii="Book Antiqua"/>
          <w:color w:val="3e3e3e"/>
          <w:u w:color="3e3e3e"/>
          <w:rtl w:val="0"/>
          <w:lang w:val="it-IT"/>
        </w:rPr>
        <w:t>.</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3e3e3e"/>
          <w:u w:color="3e3e3e"/>
        </w:rPr>
      </w:pP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i w:val="1"/>
          <w:iCs w:val="1"/>
          <w:color w:val="272727"/>
          <w:u w:color="272727"/>
        </w:rPr>
      </w:pPr>
      <w:r>
        <w:rPr>
          <w:rFonts w:ascii="Book Antiqua"/>
          <w:i w:val="1"/>
          <w:iCs w:val="1"/>
          <w:color w:val="272727"/>
          <w:u w:color="272727"/>
          <w:rtl w:val="0"/>
          <w:lang w:val="it-IT"/>
        </w:rPr>
        <w:t xml:space="preserve">Ex Deposito petrolifero ENI - via di Ponte Galeria </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282828"/>
          <w:u w:color="282828"/>
        </w:rPr>
      </w:pPr>
      <w:r>
        <w:rPr>
          <w:rFonts w:ascii="Book Antiqua"/>
          <w:color w:val="272727"/>
          <w:u w:color="272727"/>
          <w:rtl w:val="0"/>
          <w:lang w:val="it-IT"/>
        </w:rPr>
        <w:t xml:space="preserve">Sul sito </w:t>
      </w:r>
      <w:r>
        <w:rPr>
          <w:rFonts w:hAnsi="Book Antiqua" w:hint="default"/>
          <w:color w:val="272727"/>
          <w:u w:color="272727"/>
          <w:rtl w:val="0"/>
          <w:lang w:val="it-IT"/>
        </w:rPr>
        <w:t xml:space="preserve">è </w:t>
      </w:r>
      <w:r>
        <w:rPr>
          <w:rFonts w:ascii="Book Antiqua"/>
          <w:color w:val="272727"/>
          <w:u w:color="272727"/>
          <w:rtl w:val="0"/>
          <w:lang w:val="it-IT"/>
        </w:rPr>
        <w:t>attivo un procedimento ambientale per contaminazione da idrocarburi. E' stato approvato un progetto operativo di bonifica in pi</w:t>
      </w:r>
      <w:r>
        <w:rPr>
          <w:rFonts w:hAnsi="Book Antiqua" w:hint="default"/>
          <w:color w:val="272727"/>
          <w:u w:color="272727"/>
          <w:rtl w:val="0"/>
          <w:lang w:val="it-IT"/>
        </w:rPr>
        <w:t xml:space="preserve">ù </w:t>
      </w:r>
      <w:r>
        <w:rPr>
          <w:rFonts w:ascii="Book Antiqua"/>
          <w:color w:val="272727"/>
          <w:u w:color="272727"/>
          <w:rtl w:val="0"/>
          <w:lang w:val="it-IT"/>
        </w:rPr>
        <w:t>fasi dell'area del deposito, con conferenze di servizi convocate da Roma Capitale e per le quali ARPA Lazio ha inviato i pareri tecnici di competenza (aprile 2011, gennaio 2012, maggio 2014, settembre 2014)</w:t>
      </w:r>
      <w:r>
        <w:rPr>
          <w:rFonts w:ascii="Book Antiqua"/>
          <w:color w:val="3e3e3e"/>
          <w:u w:color="3e3e3e"/>
          <w:rtl w:val="0"/>
          <w:lang w:val="it-IT"/>
        </w:rPr>
        <w:t xml:space="preserve">. </w:t>
      </w:r>
      <w:r>
        <w:rPr>
          <w:rFonts w:ascii="Book Antiqua"/>
          <w:color w:val="272727"/>
          <w:u w:color="272727"/>
          <w:rtl w:val="0"/>
          <w:lang w:val="it-IT"/>
        </w:rPr>
        <w:t xml:space="preserve">Negli ultimi tre anni, relativamente ad una porzione dell'area del deposito, ARPA Lazio ha eseguito un collaudo dei terreni (ottobre 2014) ed un campionamento dei piezometri (settembre 2016). Tutte </w:t>
      </w:r>
      <w:r>
        <w:rPr>
          <w:rFonts w:ascii="Book Antiqua"/>
          <w:color w:val="282828"/>
          <w:u w:color="282828"/>
          <w:rtl w:val="0"/>
          <w:lang w:val="it-IT"/>
        </w:rPr>
        <w:t>le attivit</w:t>
      </w:r>
      <w:r>
        <w:rPr>
          <w:rFonts w:hAnsi="Book Antiqua" w:hint="default"/>
          <w:color w:val="282828"/>
          <w:u w:color="282828"/>
          <w:rtl w:val="0"/>
          <w:lang w:val="it-IT"/>
        </w:rPr>
        <w:t xml:space="preserve">à </w:t>
      </w:r>
      <w:r>
        <w:rPr>
          <w:rFonts w:ascii="Book Antiqua"/>
          <w:color w:val="282828"/>
          <w:u w:color="282828"/>
          <w:rtl w:val="0"/>
          <w:lang w:val="it-IT"/>
        </w:rPr>
        <w:t>sono state relazionate alle autorit</w:t>
      </w:r>
      <w:r>
        <w:rPr>
          <w:rFonts w:hAnsi="Book Antiqua" w:hint="default"/>
          <w:color w:val="282828"/>
          <w:u w:color="282828"/>
          <w:rtl w:val="0"/>
          <w:lang w:val="it-IT"/>
        </w:rPr>
        <w:t xml:space="preserve">à </w:t>
      </w:r>
      <w:r>
        <w:rPr>
          <w:rFonts w:ascii="Book Antiqua"/>
          <w:color w:val="282828"/>
          <w:u w:color="282828"/>
          <w:rtl w:val="0"/>
          <w:lang w:val="it-IT"/>
        </w:rPr>
        <w:t>amministrative competenti, da ultimo con nota prot. n.</w:t>
      </w:r>
      <w:r>
        <w:rPr>
          <w:rFonts w:ascii="Book Antiqua"/>
          <w:color w:val="272727"/>
          <w:u w:color="272727"/>
          <w:rtl w:val="0"/>
          <w:lang w:val="it-IT"/>
        </w:rPr>
        <w:t xml:space="preserve"> </w:t>
      </w:r>
      <w:r>
        <w:rPr>
          <w:rFonts w:ascii="Book Antiqua"/>
          <w:color w:val="282828"/>
          <w:u w:color="282828"/>
          <w:rtl w:val="0"/>
          <w:lang w:val="it-IT"/>
        </w:rPr>
        <w:t>35992 dell</w:t>
      </w:r>
      <w:r>
        <w:rPr>
          <w:rFonts w:hAnsi="Book Antiqua" w:hint="default"/>
          <w:color w:val="282828"/>
          <w:u w:color="282828"/>
          <w:rtl w:val="0"/>
          <w:lang w:val="it-IT"/>
        </w:rPr>
        <w:t>’</w:t>
      </w:r>
      <w:r>
        <w:rPr>
          <w:rFonts w:ascii="Book Antiqua"/>
          <w:color w:val="282828"/>
          <w:u w:color="282828"/>
          <w:rtl w:val="0"/>
          <w:lang w:val="it-IT"/>
        </w:rPr>
        <w:t xml:space="preserve">11 maggio 2016. </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282828"/>
          <w:u w:color="282828"/>
        </w:rPr>
      </w:pP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i w:val="1"/>
          <w:iCs w:val="1"/>
          <w:color w:val="272727"/>
          <w:u w:color="272727"/>
        </w:rPr>
      </w:pPr>
      <w:r>
        <w:rPr>
          <w:rFonts w:ascii="Book Antiqua"/>
          <w:i w:val="1"/>
          <w:iCs w:val="1"/>
          <w:color w:val="282828"/>
          <w:u w:color="282828"/>
          <w:rtl w:val="0"/>
          <w:lang w:val="it-IT"/>
        </w:rPr>
        <w:t>Esondazione Rio Galeria</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282828"/>
          <w:u w:color="282828"/>
        </w:rPr>
      </w:pPr>
      <w:r>
        <w:rPr>
          <w:rFonts w:ascii="Book Antiqua"/>
          <w:color w:val="282828"/>
          <w:u w:color="282828"/>
          <w:rtl w:val="0"/>
          <w:lang w:val="it-IT"/>
        </w:rPr>
        <w:t xml:space="preserve">In data 2 febbraio 2014, la valle Galeria </w:t>
      </w:r>
      <w:r>
        <w:rPr>
          <w:rFonts w:hAnsi="Book Antiqua" w:hint="default"/>
          <w:color w:val="282828"/>
          <w:u w:color="282828"/>
          <w:rtl w:val="0"/>
          <w:lang w:val="it-IT"/>
        </w:rPr>
        <w:t xml:space="preserve">è </w:t>
      </w:r>
      <w:r>
        <w:rPr>
          <w:rFonts w:ascii="Book Antiqua"/>
          <w:color w:val="282828"/>
          <w:u w:color="282828"/>
          <w:rtl w:val="0"/>
          <w:lang w:val="it-IT"/>
        </w:rPr>
        <w:t>stata interessata dall'esondazione del Rio Galeria, che ha causato l</w:t>
      </w:r>
      <w:r>
        <w:rPr>
          <w:rFonts w:hAnsi="Book Antiqua" w:hint="default"/>
          <w:color w:val="282828"/>
          <w:u w:color="282828"/>
          <w:rtl w:val="0"/>
          <w:lang w:val="it-IT"/>
        </w:rPr>
        <w:t>’</w:t>
      </w:r>
      <w:r>
        <w:rPr>
          <w:rFonts w:ascii="Book Antiqua"/>
          <w:color w:val="282828"/>
          <w:u w:color="282828"/>
          <w:rtl w:val="0"/>
          <w:lang w:val="it-IT"/>
        </w:rPr>
        <w:t xml:space="preserve">allagamento del complesso AMA di Ponte Malnome e di parte della Raffineria di Roma, con dispersione di rifiuti ospedalieri da un lato e di chiazze oleose nei terreni circostanti dall'altro. </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282828"/>
          <w:u w:color="282828"/>
        </w:rPr>
      </w:pPr>
      <w:r>
        <w:rPr>
          <w:rFonts w:ascii="Book Antiqua"/>
          <w:color w:val="282828"/>
          <w:u w:color="282828"/>
          <w:rtl w:val="0"/>
          <w:lang w:val="it-IT"/>
        </w:rPr>
        <w:t>ARPA Lazio, anche a supporto dell'autorit</w:t>
      </w:r>
      <w:r>
        <w:rPr>
          <w:rFonts w:hAnsi="Book Antiqua" w:hint="default"/>
          <w:color w:val="282828"/>
          <w:u w:color="282828"/>
          <w:rtl w:val="0"/>
          <w:lang w:val="it-IT"/>
        </w:rPr>
        <w:t xml:space="preserve">à </w:t>
      </w:r>
      <w:r>
        <w:rPr>
          <w:rFonts w:ascii="Book Antiqua"/>
          <w:color w:val="282828"/>
          <w:u w:color="282828"/>
          <w:rtl w:val="0"/>
          <w:lang w:val="it-IT"/>
        </w:rPr>
        <w:t>giudiziaria ha controllato lo stato dei luoghi nella fase di emergenza (vedi note prot. n. 7742 del  3 febbraio 2014 e prot. n. 15569 del 3 marzo 2014) ed ha presenziato alle operazioni di ripristino dello stato dei luoghi fino alla conclusione delle attivit</w:t>
      </w:r>
      <w:r>
        <w:rPr>
          <w:rFonts w:hAnsi="Book Antiqua" w:hint="default"/>
          <w:color w:val="282828"/>
          <w:u w:color="282828"/>
          <w:rtl w:val="0"/>
          <w:lang w:val="it-IT"/>
        </w:rPr>
        <w:t xml:space="preserve">à </w:t>
      </w:r>
      <w:r>
        <w:rPr>
          <w:rFonts w:ascii="Book Antiqua"/>
          <w:color w:val="282828"/>
          <w:u w:color="282828"/>
          <w:rtl w:val="0"/>
          <w:lang w:val="it-IT"/>
        </w:rPr>
        <w:t>di messa in sicurezza.</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282828"/>
          <w:u w:color="282828"/>
        </w:rPr>
      </w:pP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i w:val="1"/>
          <w:iCs w:val="1"/>
          <w:color w:val="282828"/>
          <w:u w:color="282828"/>
        </w:rPr>
      </w:pPr>
      <w:r>
        <w:rPr>
          <w:rFonts w:ascii="Book Antiqua"/>
          <w:i w:val="1"/>
          <w:iCs w:val="1"/>
          <w:color w:val="282828"/>
          <w:u w:color="282828"/>
          <w:rtl w:val="0"/>
          <w:lang w:val="it-IT"/>
        </w:rPr>
        <w:t>Raffineria di Roma - via di Malagrotta 266</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282828"/>
          <w:u w:color="282828"/>
        </w:rPr>
      </w:pPr>
      <w:r>
        <w:rPr>
          <w:rFonts w:ascii="Book Antiqua"/>
          <w:color w:val="282828"/>
          <w:u w:color="282828"/>
          <w:rtl w:val="0"/>
          <w:lang w:val="it-IT"/>
        </w:rPr>
        <w:t>Il sito fino al 2016 era deputato alla raffinazione di prodotti petroliferi, con autorizzazione integrata ambientale rilasciata dal Ministero dell</w:t>
      </w:r>
      <w:r>
        <w:rPr>
          <w:rFonts w:hAnsi="Book Antiqua" w:hint="default"/>
          <w:color w:val="282828"/>
          <w:u w:color="282828"/>
          <w:rtl w:val="0"/>
          <w:lang w:val="it-IT"/>
        </w:rPr>
        <w:t>’</w:t>
      </w:r>
      <w:r>
        <w:rPr>
          <w:rFonts w:ascii="Book Antiqua"/>
          <w:color w:val="282828"/>
          <w:u w:color="282828"/>
          <w:rtl w:val="0"/>
          <w:lang w:val="it-IT"/>
        </w:rPr>
        <w:t xml:space="preserve">ambiente. Successivamente </w:t>
      </w:r>
      <w:r>
        <w:rPr>
          <w:rFonts w:hAnsi="Book Antiqua" w:hint="default"/>
          <w:color w:val="282828"/>
          <w:u w:color="282828"/>
          <w:rtl w:val="0"/>
          <w:lang w:val="it-IT"/>
        </w:rPr>
        <w:t xml:space="preserve">è </w:t>
      </w:r>
      <w:r>
        <w:rPr>
          <w:rFonts w:ascii="Book Antiqua"/>
          <w:color w:val="282828"/>
          <w:u w:color="282828"/>
          <w:rtl w:val="0"/>
          <w:lang w:val="it-IT"/>
        </w:rPr>
        <w:t>stato destinato alla sola attivit</w:t>
      </w:r>
      <w:r>
        <w:rPr>
          <w:rFonts w:hAnsi="Book Antiqua" w:hint="default"/>
          <w:color w:val="282828"/>
          <w:u w:color="282828"/>
          <w:rtl w:val="0"/>
          <w:lang w:val="it-IT"/>
        </w:rPr>
        <w:t xml:space="preserve">à </w:t>
      </w:r>
      <w:r>
        <w:rPr>
          <w:rFonts w:ascii="Book Antiqua"/>
          <w:color w:val="282828"/>
          <w:u w:color="282828"/>
          <w:rtl w:val="0"/>
          <w:lang w:val="it-IT"/>
        </w:rPr>
        <w:t xml:space="preserve">di deposito carburanti. Il sito </w:t>
      </w:r>
      <w:r>
        <w:rPr>
          <w:rFonts w:hAnsi="Book Antiqua" w:hint="default"/>
          <w:color w:val="282828"/>
          <w:u w:color="282828"/>
          <w:rtl w:val="0"/>
          <w:lang w:val="it-IT"/>
        </w:rPr>
        <w:t xml:space="preserve">è </w:t>
      </w:r>
      <w:r>
        <w:rPr>
          <w:rFonts w:ascii="Book Antiqua"/>
          <w:color w:val="282828"/>
          <w:u w:color="282828"/>
          <w:rtl w:val="0"/>
          <w:lang w:val="it-IT"/>
        </w:rPr>
        <w:t xml:space="preserve">notificato da oltre 10 anni per contaminazione da idrocarburi del suolo e delle acque sotterranee. Il progetto di bonifica </w:t>
      </w:r>
      <w:r>
        <w:rPr>
          <w:rFonts w:hAnsi="Book Antiqua" w:hint="default"/>
          <w:color w:val="282828"/>
          <w:u w:color="282828"/>
          <w:rtl w:val="0"/>
          <w:lang w:val="it-IT"/>
        </w:rPr>
        <w:t xml:space="preserve">è </w:t>
      </w:r>
      <w:r>
        <w:rPr>
          <w:rFonts w:ascii="Book Antiqua"/>
          <w:color w:val="282828"/>
          <w:u w:color="282828"/>
          <w:rtl w:val="0"/>
          <w:lang w:val="it-IT"/>
        </w:rPr>
        <w:t>stato approvato con determinazioni dirigenziali n. 880/2009 e n. 1824/2010 di Roma Capitale. ARPA Lazio effettua annualmente la verifica documentale dei report trasmessi dalla societ</w:t>
      </w:r>
      <w:r>
        <w:rPr>
          <w:rFonts w:hAnsi="Book Antiqua" w:hint="default"/>
          <w:color w:val="282828"/>
          <w:u w:color="282828"/>
          <w:rtl w:val="0"/>
          <w:lang w:val="it-IT"/>
        </w:rPr>
        <w:t xml:space="preserve">à </w:t>
      </w:r>
      <w:r>
        <w:rPr>
          <w:rFonts w:ascii="Book Antiqua"/>
          <w:color w:val="282828"/>
          <w:u w:color="282828"/>
          <w:rtl w:val="0"/>
          <w:lang w:val="it-IT"/>
        </w:rPr>
        <w:t>relativi alla messa in sicurezza operativa (MISOP) del sito.</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282828"/>
          <w:u w:color="282828"/>
        </w:rPr>
      </w:pP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i w:val="1"/>
          <w:iCs w:val="1"/>
          <w:color w:val="282828"/>
          <w:u w:color="282828"/>
        </w:rPr>
      </w:pPr>
      <w:r>
        <w:rPr>
          <w:rFonts w:ascii="Book Antiqua"/>
          <w:i w:val="1"/>
          <w:iCs w:val="1"/>
          <w:color w:val="282828"/>
          <w:u w:color="282828"/>
          <w:rtl w:val="0"/>
          <w:lang w:val="it-IT"/>
        </w:rPr>
        <w:t>Controllo scarichi acque reflue</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282828"/>
          <w:u w:color="282828"/>
        </w:rPr>
      </w:pPr>
      <w:r>
        <w:rPr>
          <w:rFonts w:ascii="Book Antiqua"/>
          <w:color w:val="282828"/>
          <w:u w:color="282828"/>
          <w:rtl w:val="0"/>
          <w:lang w:val="it-IT"/>
        </w:rPr>
        <w:t>Le attivit</w:t>
      </w:r>
      <w:r>
        <w:rPr>
          <w:rFonts w:hAnsi="Book Antiqua" w:hint="default"/>
          <w:color w:val="282828"/>
          <w:u w:color="282828"/>
          <w:rtl w:val="0"/>
          <w:lang w:val="it-IT"/>
        </w:rPr>
        <w:t xml:space="preserve">à </w:t>
      </w:r>
      <w:r>
        <w:rPr>
          <w:rFonts w:ascii="Book Antiqua"/>
          <w:color w:val="282828"/>
          <w:u w:color="282828"/>
          <w:rtl w:val="0"/>
          <w:lang w:val="it-IT"/>
        </w:rPr>
        <w:t>che generano scarichi significativi di acque reflue presenti nell'area di riferimento, [</w:t>
      </w:r>
      <w:r>
        <w:rPr>
          <w:rFonts w:hAnsi="Book Antiqua" w:hint="default"/>
          <w:color w:val="282828"/>
          <w:u w:color="282828"/>
          <w:rtl w:val="0"/>
          <w:lang w:val="it-IT"/>
        </w:rPr>
        <w:t>…</w:t>
      </w:r>
      <w:r>
        <w:rPr>
          <w:rFonts w:ascii="Book Antiqua"/>
          <w:color w:val="282828"/>
          <w:u w:color="282828"/>
          <w:rtl w:val="0"/>
          <w:lang w:val="it-IT"/>
        </w:rPr>
        <w:t>] sono stati oggetto di numerosi controlli</w:t>
      </w:r>
      <w:r>
        <w:rPr>
          <w:rFonts w:ascii="Book Antiqua" w:cs="Book Antiqua" w:hAnsi="Book Antiqua" w:eastAsia="Book Antiqua"/>
          <w:color w:val="282828"/>
          <w:u w:color="282828"/>
          <w:vertAlign w:val="superscript"/>
          <w:rtl w:val="0"/>
        </w:rPr>
        <w:footnoteReference w:id="287"/>
      </w:r>
      <w:r>
        <w:rPr>
          <w:rFonts w:ascii="Book Antiqua"/>
          <w:color w:val="282828"/>
          <w:u w:color="282828"/>
          <w:rtl w:val="0"/>
          <w:lang w:val="it-IT"/>
        </w:rPr>
        <w:t xml:space="preserve"> nell'ultimo triennio (2014-2017): </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282828"/>
          <w:u w:color="282828"/>
        </w:rPr>
      </w:pPr>
      <w:r>
        <w:rPr>
          <w:rFonts w:ascii="Book Antiqua"/>
          <w:color w:val="282828"/>
          <w:u w:color="282828"/>
          <w:rtl w:val="0"/>
          <w:lang w:val="it-IT"/>
        </w:rPr>
        <w:t>Depuratore Commercity: 5 sopralluoghi. 14 campioni prelevati</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282828"/>
          <w:u w:color="282828"/>
        </w:rPr>
      </w:pPr>
      <w:r>
        <w:rPr>
          <w:rFonts w:ascii="Book Antiqua"/>
          <w:color w:val="282828"/>
          <w:u w:color="282828"/>
          <w:rtl w:val="0"/>
          <w:lang w:val="it-IT"/>
        </w:rPr>
        <w:t>Depuratore Ponte Galeria</w:t>
      </w:r>
      <w:r>
        <w:rPr>
          <w:rFonts w:ascii="Book Antiqua"/>
          <w:color w:val="474747"/>
          <w:u w:color="474747"/>
          <w:rtl w:val="0"/>
          <w:lang w:val="it-IT"/>
        </w:rPr>
        <w:t xml:space="preserve">: </w:t>
      </w:r>
      <w:r>
        <w:rPr>
          <w:rFonts w:ascii="Book Antiqua"/>
          <w:color w:val="282828"/>
          <w:u w:color="282828"/>
          <w:rtl w:val="0"/>
          <w:lang w:val="it-IT"/>
        </w:rPr>
        <w:t xml:space="preserve">7 sopralluoghi, 8 campioni prelevati </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rPr>
      </w:pPr>
      <w:r>
        <w:rPr>
          <w:rFonts w:ascii="Book Antiqua"/>
          <w:rtl w:val="0"/>
          <w:lang w:val="it-IT"/>
        </w:rPr>
        <w:t xml:space="preserve">Depuratore Roma Massimina: 9 sopralluoghi, 24 campioni prelevati </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rPr>
      </w:pPr>
      <w:r>
        <w:rPr>
          <w:rFonts w:ascii="Book Antiqua"/>
          <w:rtl w:val="0"/>
          <w:lang w:val="it-IT"/>
        </w:rPr>
        <w:t xml:space="preserve">Depuratore Roma Pisana: 4 sopralluoghi, 7 campioni prelevati </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rPr>
      </w:pPr>
      <w:r>
        <w:rPr>
          <w:rFonts w:ascii="Book Antiqua"/>
          <w:rtl w:val="0"/>
          <w:lang w:val="it-IT"/>
        </w:rPr>
        <w:t xml:space="preserve">Deposito Carburanti ENI: </w:t>
      </w:r>
      <w:r>
        <w:rPr>
          <w:rFonts w:ascii="Book Antiqua"/>
          <w:i w:val="1"/>
          <w:iCs w:val="1"/>
          <w:rtl w:val="0"/>
          <w:lang w:val="it-IT"/>
        </w:rPr>
        <w:t xml:space="preserve">5 </w:t>
      </w:r>
      <w:r>
        <w:rPr>
          <w:rFonts w:ascii="Book Antiqua"/>
          <w:rtl w:val="0"/>
          <w:lang w:val="it-IT"/>
        </w:rPr>
        <w:t xml:space="preserve">sopralluoghi, 6 campioni prelevati </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rPr>
      </w:pPr>
      <w:r>
        <w:rPr>
          <w:rFonts w:ascii="Book Antiqua"/>
          <w:rtl w:val="0"/>
          <w:lang w:val="it-IT"/>
        </w:rPr>
        <w:t>Ariete Fattoria Lattesano Spa: 2 sopralluoghi effettuati, 2 campioni prelevati</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rPr>
      </w:pPr>
      <w:r>
        <w:rPr>
          <w:rFonts w:ascii="Book Antiqua"/>
          <w:rtl w:val="0"/>
          <w:lang w:val="it-IT"/>
        </w:rPr>
        <w:t>[</w:t>
      </w:r>
      <w:r>
        <w:rPr>
          <w:rFonts w:hAnsi="Book Antiqua" w:hint="default"/>
          <w:rtl w:val="0"/>
          <w:lang w:val="it-IT"/>
        </w:rPr>
        <w:t>…</w:t>
      </w:r>
      <w:r>
        <w:rPr>
          <w:rFonts w:ascii="Book Antiqua"/>
          <w:rtl w:val="0"/>
          <w:lang w:val="it-IT"/>
        </w:rPr>
        <w:t>]</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rPr>
      </w:pP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i w:val="1"/>
          <w:iCs w:val="1"/>
        </w:rPr>
      </w:pPr>
      <w:r>
        <w:rPr>
          <w:rFonts w:ascii="Book Antiqua"/>
          <w:i w:val="1"/>
          <w:iCs w:val="1"/>
          <w:rtl w:val="0"/>
          <w:lang w:val="it-IT"/>
        </w:rPr>
        <w:t>Controllo emissioni in atmosfera</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rPr>
      </w:pPr>
      <w:r>
        <w:rPr>
          <w:rFonts w:ascii="Book Antiqua"/>
          <w:rtl w:val="0"/>
          <w:lang w:val="it-IT"/>
        </w:rPr>
        <w:t>Sempre relativamente all</w:t>
      </w:r>
      <w:r>
        <w:rPr>
          <w:rFonts w:hAnsi="Book Antiqua" w:hint="default"/>
          <w:rtl w:val="0"/>
          <w:lang w:val="it-IT"/>
        </w:rPr>
        <w:t>’</w:t>
      </w:r>
      <w:r>
        <w:rPr>
          <w:rFonts w:ascii="Book Antiqua"/>
          <w:rtl w:val="0"/>
          <w:lang w:val="it-IT"/>
        </w:rPr>
        <w:t xml:space="preserve">impiantistica presente nella Valle Galeria. a seguito di numerose segnalazioni ed esposti relativi alla percezione da parte dei residenti di esalazioni di sostanze odorigene, sono stati effettuati sopralluoghi presso gli impianti a partire dal 13 maggio 2015. </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rPr>
      </w:pPr>
      <w:r>
        <w:rPr>
          <w:rFonts w:ascii="Book Antiqua"/>
          <w:rtl w:val="0"/>
          <w:lang w:val="it-IT"/>
        </w:rPr>
        <w:t>Durante i sopralluoghi (che hanno riguardato le societ</w:t>
      </w:r>
      <w:r>
        <w:rPr>
          <w:rFonts w:hAnsi="Book Antiqua" w:hint="default"/>
          <w:rtl w:val="0"/>
          <w:lang w:val="it-IT"/>
        </w:rPr>
        <w:t xml:space="preserve">à </w:t>
      </w:r>
      <w:r>
        <w:rPr>
          <w:rFonts w:ascii="Book Antiqua"/>
          <w:rtl w:val="0"/>
          <w:lang w:val="it-IT"/>
        </w:rPr>
        <w:t>Energas S.p.A., Raffinerie di Roma S.p.A., E.Giovi impianto di valorizzazione energetica, depuratore di Massimina) il personale dell'agenzia non ha rilevato criticit</w:t>
      </w:r>
      <w:r>
        <w:rPr>
          <w:rFonts w:hAnsi="Book Antiqua" w:hint="default"/>
          <w:rtl w:val="0"/>
          <w:lang w:val="it-IT"/>
        </w:rPr>
        <w:t xml:space="preserve">à </w:t>
      </w:r>
      <w:r>
        <w:rPr>
          <w:rFonts w:ascii="Book Antiqua"/>
          <w:rtl w:val="0"/>
          <w:lang w:val="it-IT"/>
        </w:rPr>
        <w:t>relative alla percezione di sostanze odorigene, come da nota 59739 del 23 luglio 2015. Successivamente alla comunicazione degli esiti dei sopralluoghi, la procura della Repubblica di Roma ha disposto controlli notturni da effettuarsi ad opera di personale di ARPA Lazio supportato logisticamente dalla Polizia Locale di Roma Capitale (vedi nota prot. n. 37350 del 16 maggio 2016). Sono stati pertanto effettuati sopralluoghi notturni nelle date concordate (vedi nota prot. n. 44826 del 13 giugno 2016), i cui esiti sono stati trasmessi da parte della polizia locale di Roma Capitale all'autorit</w:t>
      </w:r>
      <w:r>
        <w:rPr>
          <w:rFonts w:hAnsi="Book Antiqua" w:hint="default"/>
          <w:rtl w:val="0"/>
          <w:lang w:val="it-IT"/>
        </w:rPr>
        <w:t xml:space="preserve">à </w:t>
      </w:r>
      <w:r>
        <w:rPr>
          <w:rFonts w:ascii="Book Antiqua"/>
          <w:rtl w:val="0"/>
          <w:lang w:val="it-IT"/>
        </w:rPr>
        <w:t>giudiziaria.</w:t>
      </w:r>
    </w:p>
    <w:p>
      <w:pPr>
        <w:pStyle w:val="Normal"/>
        <w:ind w:left="567" w:right="567" w:firstLine="0"/>
        <w:jc w:val="both"/>
        <w:rPr>
          <w:rFonts w:ascii="Book Antiqua" w:cs="Book Antiqua" w:hAnsi="Book Antiqua" w:eastAsia="Book Antiqua"/>
        </w:rPr>
      </w:pPr>
      <w:r>
        <w:rPr>
          <w:rFonts w:ascii="Book Antiqua"/>
          <w:rtl w:val="0"/>
          <w:lang w:val="it-IT"/>
        </w:rPr>
        <w:t xml:space="preserve">Alla data attuale </w:t>
      </w:r>
      <w:r>
        <w:rPr>
          <w:rFonts w:hAnsi="Book Antiqua" w:hint="default"/>
          <w:rtl w:val="0"/>
          <w:lang w:val="it-IT"/>
        </w:rPr>
        <w:t xml:space="preserve">è </w:t>
      </w:r>
      <w:r>
        <w:rPr>
          <w:rFonts w:ascii="Book Antiqua"/>
          <w:rtl w:val="0"/>
          <w:lang w:val="it-IT"/>
        </w:rPr>
        <w:t>in corso un controllo delle emissioni convogliate dell'impianto di valorizzazione energetica del biogas della societ</w:t>
      </w:r>
      <w:r>
        <w:rPr>
          <w:rFonts w:hAnsi="Book Antiqua" w:hint="default"/>
          <w:rtl w:val="0"/>
          <w:lang w:val="it-IT"/>
        </w:rPr>
        <w:t xml:space="preserve">à </w:t>
      </w:r>
      <w:r>
        <w:rPr>
          <w:rFonts w:ascii="Book Antiqua"/>
          <w:rtl w:val="0"/>
          <w:lang w:val="it-IT"/>
        </w:rPr>
        <w:t>E. Giovi, i cui esiti, non appena disponibili verranno relazionati alle autorit</w:t>
      </w:r>
      <w:r>
        <w:rPr>
          <w:rFonts w:hAnsi="Book Antiqua" w:hint="default"/>
          <w:rtl w:val="0"/>
          <w:lang w:val="it-IT"/>
        </w:rPr>
        <w:t xml:space="preserve">à </w:t>
      </w:r>
      <w:r>
        <w:rPr>
          <w:rFonts w:ascii="Book Antiqua"/>
          <w:rtl w:val="0"/>
          <w:lang w:val="it-IT"/>
        </w:rPr>
        <w:t>competenti.</w:t>
      </w:r>
      <w:r>
        <w:rPr>
          <w:rFonts w:hAnsi="Book Antiqua" w:hint="default"/>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 xml:space="preserve">La rilevanza della questione ambientale del sito della Valle Galeria </w:t>
      </w:r>
      <w:r>
        <w:rPr>
          <w:rFonts w:hAnsi="Book Antiqua" w:hint="default"/>
          <w:rtl w:val="0"/>
          <w:lang w:val="it-IT"/>
        </w:rPr>
        <w:t xml:space="preserve">è </w:t>
      </w:r>
      <w:r>
        <w:rPr>
          <w:rFonts w:ascii="Book Antiqua"/>
          <w:rtl w:val="0"/>
          <w:lang w:val="it-IT"/>
        </w:rPr>
        <w:t>attestata altres</w:t>
      </w:r>
      <w:r>
        <w:rPr>
          <w:rFonts w:hAnsi="Book Antiqua" w:hint="default"/>
          <w:rtl w:val="0"/>
          <w:lang w:val="it-IT"/>
        </w:rPr>
        <w:t xml:space="preserve">ì </w:t>
      </w:r>
      <w:r>
        <w:rPr>
          <w:rFonts w:ascii="Book Antiqua"/>
          <w:rtl w:val="0"/>
          <w:lang w:val="it-IT"/>
        </w:rPr>
        <w:t>da quanto riferito da ARPA Lazio in ordine alle violazioni di natura ambientale accertate, ad esito dei controlli sul trattamento rifiuti, le bonifiche, gli scarichi di acque reflue, le emissioni in atmosfera</w:t>
      </w:r>
      <w:r>
        <w:rPr>
          <w:rFonts w:ascii="Book Antiqua" w:cs="Book Antiqua" w:hAnsi="Book Antiqua" w:eastAsia="Book Antiqua"/>
          <w:vertAlign w:val="superscript"/>
          <w:rtl w:val="0"/>
        </w:rPr>
        <w:footnoteReference w:id="288"/>
      </w:r>
      <w:r>
        <w:rPr>
          <w:rFonts w:ascii="Book Antiqua"/>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 xml:space="preserve">Un altro fattore unificante del sito </w:t>
      </w:r>
      <w:r>
        <w:rPr>
          <w:rFonts w:hAnsi="Book Antiqua" w:hint="default"/>
          <w:rtl w:val="0"/>
          <w:lang w:val="it-IT"/>
        </w:rPr>
        <w:t xml:space="preserve">è </w:t>
      </w:r>
      <w:r>
        <w:rPr>
          <w:rFonts w:ascii="Book Antiqua"/>
          <w:rtl w:val="0"/>
          <w:lang w:val="it-IT"/>
        </w:rPr>
        <w:t>la concentrazione di industrie a rischio di incidente rilevante ai sensi del decreto legislativo 26 giugno 2015, n. 105 (in precedenza: decreto legislativo 17 agosto 1999, n. 33).</w:t>
      </w:r>
    </w:p>
    <w:p>
      <w:pPr>
        <w:pStyle w:val="Normal"/>
        <w:ind w:left="567" w:right="567" w:firstLine="0"/>
        <w:jc w:val="both"/>
        <w:rPr>
          <w:rFonts w:ascii="Book Antiqua" w:cs="Book Antiqua" w:hAnsi="Book Antiqua" w:eastAsia="Book Antiqua"/>
        </w:rPr>
      </w:pPr>
      <w:r>
        <w:rPr>
          <w:rFonts w:ascii="Book Antiqua"/>
          <w:rtl w:val="0"/>
          <w:lang w:val="it-IT"/>
        </w:rPr>
        <w:t>La prefettura di Roma, con nota del 12 luglio 2017</w:t>
      </w:r>
      <w:r>
        <w:rPr>
          <w:rFonts w:ascii="Book Antiqua" w:cs="Book Antiqua" w:hAnsi="Book Antiqua" w:eastAsia="Book Antiqua"/>
          <w:vertAlign w:val="superscript"/>
          <w:rtl w:val="0"/>
        </w:rPr>
        <w:footnoteReference w:id="289"/>
      </w:r>
      <w:r>
        <w:rPr>
          <w:rFonts w:ascii="Book Antiqua"/>
          <w:rtl w:val="0"/>
          <w:lang w:val="it-IT"/>
        </w:rPr>
        <w:t xml:space="preserve"> ha, sotto questo profilo e sulla base dei piani di emergenza esterna approvati, cos</w:t>
      </w:r>
      <w:r>
        <w:rPr>
          <w:rFonts w:hAnsi="Book Antiqua" w:hint="default"/>
          <w:rtl w:val="0"/>
          <w:lang w:val="it-IT"/>
        </w:rPr>
        <w:t xml:space="preserve">ì </w:t>
      </w:r>
      <w:r>
        <w:rPr>
          <w:rFonts w:ascii="Book Antiqua"/>
          <w:rtl w:val="0"/>
          <w:lang w:val="it-IT"/>
        </w:rPr>
        <w:t>descritto tali impianti:</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u w:color="000000"/>
        </w:rPr>
      </w:pPr>
      <w:r>
        <w:rPr>
          <w:rFonts w:hAnsi="Book Antiqua" w:hint="default"/>
          <w:rtl w:val="0"/>
          <w:lang w:val="it-IT"/>
        </w:rPr>
        <w:t>“</w:t>
      </w:r>
      <w:r>
        <w:rPr>
          <w:rFonts w:ascii="Book Antiqua"/>
          <w:rtl w:val="0"/>
          <w:lang w:val="it-IT"/>
        </w:rPr>
        <w:t>1) L'attivit</w:t>
      </w:r>
      <w:r>
        <w:rPr>
          <w:rFonts w:hAnsi="Book Antiqua" w:hint="default"/>
          <w:rtl w:val="0"/>
          <w:lang w:val="it-IT"/>
        </w:rPr>
        <w:t xml:space="preserve">à </w:t>
      </w:r>
      <w:r>
        <w:rPr>
          <w:rFonts w:ascii="Book Antiqua"/>
          <w:rtl w:val="0"/>
          <w:lang w:val="it-IT"/>
        </w:rPr>
        <w:t>svolta nel deposito Eni (ex PraoiI) consiste nella movimentazione e nello stoccaggio di prodotti petroliferi liquidi e prevede le seguenti operazioni: ricezione a mezzo oleodotti di prodotti petroliferi liquidi dal Deposito Costiero ENI R&amp;M di Civitavecchia verso il Deposito SERAM; stoccaggio di tali</w:t>
      </w:r>
      <w:r>
        <w:rPr>
          <w:rFonts w:ascii="Book Antiqua"/>
          <w:color w:val="000000"/>
          <w:u w:color="000000"/>
          <w:rtl w:val="0"/>
          <w:lang w:val="it-IT"/>
        </w:rPr>
        <w:t xml:space="preserve"> prodotti in serbatoi; stazioni di pompaggio; servizi ausiliari.</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2) Nel deposito DE.CO (Deposito Comune) S.c.a.r.l sono presenti sostanze pericolose quali benzine, gasoli, additivi e petrolio lampante, utilizzati per le attivit</w:t>
      </w:r>
      <w:r>
        <w:rPr>
          <w:rFonts w:hAnsi="Book Antiqua" w:hint="default"/>
          <w:color w:val="000000"/>
          <w:u w:color="000000"/>
          <w:rtl w:val="0"/>
          <w:lang w:val="it-IT"/>
        </w:rPr>
        <w:t xml:space="preserve">à </w:t>
      </w:r>
      <w:r>
        <w:rPr>
          <w:rFonts w:ascii="Book Antiqua"/>
          <w:color w:val="000000"/>
          <w:u w:color="000000"/>
          <w:rtl w:val="0"/>
          <w:lang w:val="it-IT"/>
        </w:rPr>
        <w:t xml:space="preserve">in esso svolte, il deposito </w:t>
      </w:r>
      <w:r>
        <w:rPr>
          <w:rFonts w:hAnsi="Book Antiqua" w:hint="default"/>
          <w:color w:val="000000"/>
          <w:u w:color="000000"/>
          <w:rtl w:val="0"/>
          <w:lang w:val="it-IT"/>
        </w:rPr>
        <w:t xml:space="preserve">è </w:t>
      </w:r>
      <w:r>
        <w:rPr>
          <w:rFonts w:ascii="Book Antiqua"/>
          <w:color w:val="000000"/>
          <w:u w:color="000000"/>
          <w:rtl w:val="0"/>
          <w:lang w:val="it-IT"/>
        </w:rPr>
        <w:t>dotato di un impianto classificabile come "stoccaggio e movimentazione di idrocarburi liquidi". Nello stabilimento, infatti, non si effettuano operazioni di processo o lavorazioni di prodotti petroliferi, ma solo operazioni di ricezione di idrocarburi liquidi da oleodotto, stoccaggio in serbatoi dedicati, trasferimento in area di carico e caricamento su autobotti; tali idrocarburi sono specificatamente la benzina ed il gasolio, entrambi per autotrazione. Sono inoltre presenti alcuni additivi, che vengono impiegati per l'additivazione del carburante, in fase di caricazione [</w:t>
      </w:r>
      <w:r>
        <w:rPr>
          <w:rFonts w:ascii="Book Antiqua"/>
          <w:i w:val="1"/>
          <w:iCs w:val="1"/>
          <w:color w:val="000000"/>
          <w:u w:color="000000"/>
          <w:rtl w:val="0"/>
          <w:lang w:val="it-IT"/>
        </w:rPr>
        <w:t>rectius</w:t>
      </w:r>
      <w:r>
        <w:rPr>
          <w:rFonts w:ascii="Book Antiqua"/>
          <w:color w:val="000000"/>
          <w:u w:color="000000"/>
          <w:rtl w:val="0"/>
          <w:lang w:val="it-IT"/>
        </w:rPr>
        <w:t>: caricamento] dello stesso.</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3) Nello stabilimento della societ</w:t>
      </w:r>
      <w:r>
        <w:rPr>
          <w:rFonts w:hAnsi="Book Antiqua" w:hint="default"/>
          <w:color w:val="000000"/>
          <w:u w:color="000000"/>
          <w:rtl w:val="0"/>
          <w:lang w:val="it-IT"/>
        </w:rPr>
        <w:t xml:space="preserve">à </w:t>
      </w:r>
      <w:r>
        <w:rPr>
          <w:rFonts w:ascii="Book Antiqua"/>
          <w:color w:val="000000"/>
          <w:u w:color="000000"/>
          <w:rtl w:val="0"/>
          <w:lang w:val="it-IT"/>
        </w:rPr>
        <w:t>Lampogas Tirrena (ex Lampogas Romana) sono presenti sostanze pericolose quale GPL (gas di petrolio liquefatto) utilizzato per l'attivit</w:t>
      </w:r>
      <w:r>
        <w:rPr>
          <w:rFonts w:hAnsi="Book Antiqua" w:hint="default"/>
          <w:color w:val="000000"/>
          <w:u w:color="000000"/>
          <w:rtl w:val="0"/>
          <w:lang w:val="it-IT"/>
        </w:rPr>
        <w:t xml:space="preserve">à </w:t>
      </w:r>
      <w:r>
        <w:rPr>
          <w:rFonts w:ascii="Book Antiqua"/>
          <w:color w:val="000000"/>
          <w:u w:color="000000"/>
          <w:rtl w:val="0"/>
          <w:lang w:val="it-IT"/>
        </w:rPr>
        <w:t xml:space="preserve">di stoccaggio e travaso. L'area di stoccaggio </w:t>
      </w:r>
      <w:r>
        <w:rPr>
          <w:rFonts w:hAnsi="Book Antiqua" w:hint="default"/>
          <w:color w:val="000000"/>
          <w:u w:color="000000"/>
          <w:rtl w:val="0"/>
          <w:lang w:val="it-IT"/>
        </w:rPr>
        <w:t xml:space="preserve">è </w:t>
      </w:r>
      <w:r>
        <w:rPr>
          <w:rFonts w:ascii="Book Antiqua"/>
          <w:color w:val="000000"/>
          <w:u w:color="000000"/>
          <w:rtl w:val="0"/>
          <w:lang w:val="it-IT"/>
        </w:rPr>
        <w:t xml:space="preserve">costituita da n. 2 serbatoi da 200 metri cubi cadauno, cilindrici, ad asse orizzontale, installati tumulati. L'Area compressori </w:t>
      </w:r>
      <w:r>
        <w:rPr>
          <w:rFonts w:hAnsi="Book Antiqua" w:hint="default"/>
          <w:color w:val="000000"/>
          <w:u w:color="000000"/>
          <w:rtl w:val="0"/>
          <w:lang w:val="it-IT"/>
        </w:rPr>
        <w:t xml:space="preserve">è </w:t>
      </w:r>
      <w:r>
        <w:rPr>
          <w:rFonts w:ascii="Book Antiqua"/>
          <w:color w:val="000000"/>
          <w:u w:color="000000"/>
          <w:rtl w:val="0"/>
          <w:lang w:val="it-IT"/>
        </w:rPr>
        <w:t>costituita da una superficie di circa 30 mq con tettoia e pavimento in cemento ove sono installati 2 compressori da 108 metri cubi/ora per le operazioni di carico e scarico autobotti. Nell'Area Rampe di travaso sono presenti due rampe di travaso adibite a ricevere le autocisterne per le operazioni di carico/scarico mediante un sistema di travaso a ciclo chiuso tramite bracci metallici, sia in fase liquida che gas.</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4) La societ</w:t>
      </w:r>
      <w:r>
        <w:rPr>
          <w:rFonts w:hAnsi="Book Antiqua" w:hint="default"/>
          <w:color w:val="000000"/>
          <w:u w:color="000000"/>
          <w:rtl w:val="0"/>
          <w:lang w:val="it-IT"/>
        </w:rPr>
        <w:t xml:space="preserve">à </w:t>
      </w:r>
      <w:r>
        <w:rPr>
          <w:rFonts w:ascii="Book Antiqua"/>
          <w:color w:val="000000"/>
          <w:u w:color="000000"/>
          <w:rtl w:val="0"/>
          <w:lang w:val="it-IT"/>
        </w:rPr>
        <w:t>Raffiner</w:t>
      </w:r>
      <w:r>
        <w:rPr>
          <w:rFonts w:hAnsi="Book Antiqua" w:hint="default"/>
          <w:color w:val="000000"/>
          <w:u w:color="000000"/>
          <w:rtl w:val="0"/>
          <w:lang w:val="it-IT"/>
        </w:rPr>
        <w:t>ì</w:t>
      </w:r>
      <w:r>
        <w:rPr>
          <w:rFonts w:ascii="Book Antiqua"/>
          <w:color w:val="000000"/>
          <w:u w:color="000000"/>
          <w:rtl w:val="0"/>
          <w:lang w:val="it-IT"/>
        </w:rPr>
        <w:t xml:space="preserve">a di Roma S.p.A. gestisce un deposito di Oli Minerali classificabile come "stoccaggio e movimentazione di idrocarburi liquidi e GPL" all'interno del quale non si effettuano operazioni di processo, ma solo operazioni di ricezione, stoccaggio in serbatoi dedicati, miscelazione prodotti, additivazione e spedizione; il parco serbatoio della Raffineria di Roma </w:t>
      </w:r>
      <w:r>
        <w:rPr>
          <w:rFonts w:hAnsi="Book Antiqua" w:hint="default"/>
          <w:color w:val="000000"/>
          <w:u w:color="000000"/>
          <w:rtl w:val="0"/>
          <w:lang w:val="it-IT"/>
        </w:rPr>
        <w:t xml:space="preserve">è </w:t>
      </w:r>
      <w:r>
        <w:rPr>
          <w:rFonts w:ascii="Book Antiqua"/>
          <w:color w:val="000000"/>
          <w:u w:color="000000"/>
          <w:rtl w:val="0"/>
          <w:lang w:val="it-IT"/>
        </w:rPr>
        <w:t>costituito da circa 100 serbatoi, destinati allo stoccaggio di sostanze idrocarburiche liquide quali: petrolio grezzo, MTBE, benzina, kerosene, gasolio ed olio combustibile. Il parco di stoccaggio atmosferico riceve prodotti a mezzo tubazioni dal terminale marittimo di Fiumicino, quest'ultimo di propriet</w:t>
      </w:r>
      <w:r>
        <w:rPr>
          <w:rFonts w:hAnsi="Book Antiqua" w:hint="default"/>
          <w:color w:val="000000"/>
          <w:u w:color="000000"/>
          <w:rtl w:val="0"/>
          <w:lang w:val="it-IT"/>
        </w:rPr>
        <w:t xml:space="preserve">à </w:t>
      </w:r>
      <w:r>
        <w:rPr>
          <w:rFonts w:ascii="Book Antiqua"/>
          <w:color w:val="000000"/>
          <w:u w:color="000000"/>
          <w:rtl w:val="0"/>
          <w:lang w:val="it-IT"/>
        </w:rPr>
        <w:t>e gestione RdR S.p.A. e da autocisterne. Dal parco gli idrocarburi, tramite pompe, vengono spediti a mezzo oleodotti, autocisterne e navi cisterne.</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 xml:space="preserve">Il parco di stoccaggio GPL della Raffineria di Roma </w:t>
      </w:r>
      <w:r>
        <w:rPr>
          <w:rFonts w:hAnsi="Book Antiqua" w:hint="default"/>
          <w:color w:val="000000"/>
          <w:u w:color="000000"/>
          <w:rtl w:val="0"/>
          <w:lang w:val="it-IT"/>
        </w:rPr>
        <w:t xml:space="preserve">è </w:t>
      </w:r>
      <w:r>
        <w:rPr>
          <w:rFonts w:ascii="Book Antiqua"/>
          <w:color w:val="000000"/>
          <w:u w:color="000000"/>
          <w:rtl w:val="0"/>
          <w:lang w:val="it-IT"/>
        </w:rPr>
        <w:t>composto da 4 sfere di capacit</w:t>
      </w:r>
      <w:r>
        <w:rPr>
          <w:rFonts w:hAnsi="Book Antiqua" w:hint="default"/>
          <w:color w:val="000000"/>
          <w:u w:color="000000"/>
          <w:rtl w:val="0"/>
          <w:lang w:val="it-IT"/>
        </w:rPr>
        <w:t xml:space="preserve">à </w:t>
      </w:r>
      <w:r>
        <w:rPr>
          <w:rFonts w:ascii="Book Antiqua"/>
          <w:color w:val="000000"/>
          <w:u w:color="000000"/>
          <w:rtl w:val="0"/>
          <w:lang w:val="it-IT"/>
        </w:rPr>
        <w:t>variabile tra 1.000 e 2.598 metri cubi. I prodotti stoccati sono propano bianco (odorizzato e non denaturato) e GPL bianco (odorizzato e non denaturato). I prodotti, stoccati all'interno delle sfere sopra richiamate, vengono poi inviati a bracci di carico dedicati per le operazioni di caricamento delle cisterne.</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5) L'attivit</w:t>
      </w:r>
      <w:r>
        <w:rPr>
          <w:rFonts w:hAnsi="Book Antiqua" w:hint="default"/>
          <w:color w:val="000000"/>
          <w:u w:color="000000"/>
          <w:rtl w:val="0"/>
          <w:lang w:val="it-IT"/>
        </w:rPr>
        <w:t xml:space="preserve">à </w:t>
      </w:r>
      <w:r>
        <w:rPr>
          <w:rFonts w:ascii="Book Antiqua"/>
          <w:color w:val="000000"/>
          <w:u w:color="000000"/>
          <w:rtl w:val="0"/>
          <w:lang w:val="it-IT"/>
        </w:rPr>
        <w:t>dello stabilimento Energas (ex Sudgas) si sviluppa essenzialmente tramite l'esecuzione delle seguenti operazioni: trasferimento di GPL in serbatoi di stoccaggio da autocisterne stradali mediante l'utilizzo di compressori; trasferimento di GPL dai serbatoi fissi in serbatoi mobili (bombole e autocisterne) mediante l'ausilio di pompe; stoccaggio temporaneo di bombole piene in attesa di spedizione; manutenzione, verniciatura e collaudo delle bombole recuperate</w:t>
      </w:r>
      <w:r>
        <w:rPr>
          <w:rFonts w:hAnsi="Book Antiqua" w:hint="default"/>
          <w:color w:val="000000"/>
          <w:u w:color="000000"/>
          <w:rtl w:val="0"/>
          <w:lang w:val="it-IT"/>
        </w:rPr>
        <w:t>”</w:t>
      </w:r>
      <w:r>
        <w:rPr>
          <w:rFonts w:ascii="Book Antiqua"/>
          <w:color w:val="000000"/>
          <w:u w:color="000000"/>
          <w:rtl w:val="0"/>
          <w:lang w:val="it-IT"/>
        </w:rPr>
        <w:t>.</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La sensibilit</w:t>
      </w:r>
      <w:r>
        <w:rPr>
          <w:rFonts w:hAnsi="Book Antiqua" w:hint="default"/>
          <w:color w:val="000000"/>
          <w:u w:color="000000"/>
          <w:rtl w:val="0"/>
          <w:lang w:val="it-IT"/>
        </w:rPr>
        <w:t xml:space="preserve">à </w:t>
      </w:r>
      <w:r>
        <w:rPr>
          <w:rFonts w:ascii="Book Antiqua"/>
          <w:color w:val="000000"/>
          <w:u w:color="000000"/>
          <w:rtl w:val="0"/>
          <w:lang w:val="it-IT"/>
        </w:rPr>
        <w:t>ambientale del sito di Valle Galeria deriva anche dalla situazione idrogeologica, su cui la Commissione ha chiesto informazioni all</w:t>
      </w:r>
      <w:r>
        <w:rPr>
          <w:rFonts w:hAnsi="Book Antiqua" w:hint="default"/>
          <w:color w:val="000000"/>
          <w:u w:color="000000"/>
          <w:rtl w:val="0"/>
          <w:lang w:val="it-IT"/>
        </w:rPr>
        <w:t>’</w:t>
      </w:r>
      <w:r>
        <w:rPr>
          <w:rFonts w:ascii="Book Antiqua"/>
          <w:color w:val="000000"/>
          <w:u w:color="000000"/>
          <w:rtl w:val="0"/>
          <w:lang w:val="it-IT"/>
        </w:rPr>
        <w:t>Autorit</w:t>
      </w:r>
      <w:r>
        <w:rPr>
          <w:rFonts w:hAnsi="Book Antiqua" w:hint="default"/>
          <w:color w:val="000000"/>
          <w:u w:color="000000"/>
          <w:rtl w:val="0"/>
          <w:lang w:val="it-IT"/>
        </w:rPr>
        <w:t xml:space="preserve">à </w:t>
      </w:r>
      <w:r>
        <w:rPr>
          <w:rFonts w:ascii="Book Antiqua"/>
          <w:color w:val="000000"/>
          <w:u w:color="000000"/>
          <w:rtl w:val="0"/>
          <w:lang w:val="it-IT"/>
        </w:rPr>
        <w:t>di bacino del fiume Tevere.</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L</w:t>
      </w:r>
      <w:r>
        <w:rPr>
          <w:rFonts w:hAnsi="Book Antiqua" w:hint="default"/>
          <w:color w:val="000000"/>
          <w:u w:color="000000"/>
          <w:rtl w:val="0"/>
          <w:lang w:val="it-IT"/>
        </w:rPr>
        <w:t>’</w:t>
      </w:r>
      <w:r>
        <w:rPr>
          <w:rFonts w:ascii="Book Antiqua"/>
          <w:color w:val="000000"/>
          <w:u w:color="000000"/>
          <w:rtl w:val="0"/>
          <w:lang w:val="it-IT"/>
        </w:rPr>
        <w:t xml:space="preserve">ambito territoriale della valle del Rio Galeria </w:t>
      </w:r>
      <w:r>
        <w:rPr>
          <w:rFonts w:hAnsi="Book Antiqua" w:hint="default"/>
          <w:color w:val="000000"/>
          <w:u w:color="000000"/>
          <w:rtl w:val="0"/>
          <w:lang w:val="it-IT"/>
        </w:rPr>
        <w:t xml:space="preserve">è </w:t>
      </w:r>
      <w:r>
        <w:rPr>
          <w:rFonts w:ascii="Book Antiqua"/>
          <w:color w:val="000000"/>
          <w:u w:color="000000"/>
          <w:rtl w:val="0"/>
          <w:lang w:val="it-IT"/>
        </w:rPr>
        <w:t>disciplinato dai seguenti piani:</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1. "PS5 - piano di bacino per l'area metropolitana romana" approvato con decreto del Presidente del Consiglio dei ministri del 3 marzo 2009 pubblicato sulla Gazzetta ufficiale n. 114 del 19 maggio 2009;</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2. "PAI - piano di assetto idrogeologico" reso vigente con decreto segretariale n. 32 pubblicato sul BUR della regione Lazio n. 56 del 14 luglio 2015;</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3. Piano di gestione del distretto idrografico dell'appennino centrale (PGDAC), approvato con decreto del Presidente del Consiglio dei ministri del 5 luglio 2013 (il piano</w:t>
      </w:r>
      <w:r>
        <w:rPr>
          <w:rFonts w:hAnsi="Book Antiqua" w:hint="default"/>
          <w:color w:val="000000"/>
          <w:u w:color="000000"/>
          <w:rtl w:val="0"/>
          <w:lang w:val="it-IT"/>
        </w:rPr>
        <w:t xml:space="preserve"> è </w:t>
      </w:r>
      <w:r>
        <w:rPr>
          <w:rFonts w:ascii="Book Antiqua"/>
          <w:color w:val="000000"/>
          <w:u w:color="000000"/>
          <w:rtl w:val="0"/>
          <w:lang w:val="it-IT"/>
        </w:rPr>
        <w:t>stato aggiornato in data 17 dicembre 2015 da parte del comitato istituzionale).</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L</w:t>
      </w:r>
      <w:r>
        <w:rPr>
          <w:rFonts w:hAnsi="Book Antiqua" w:hint="default"/>
          <w:color w:val="000000"/>
          <w:u w:color="000000"/>
          <w:rtl w:val="0"/>
          <w:lang w:val="it-IT"/>
        </w:rPr>
        <w:t>’</w:t>
      </w:r>
      <w:r>
        <w:rPr>
          <w:rFonts w:ascii="Book Antiqua"/>
          <w:color w:val="000000"/>
          <w:u w:color="000000"/>
          <w:rtl w:val="0"/>
          <w:lang w:val="it-IT"/>
        </w:rPr>
        <w:t>autorit</w:t>
      </w:r>
      <w:r>
        <w:rPr>
          <w:rFonts w:hAnsi="Book Antiqua" w:hint="default"/>
          <w:color w:val="000000"/>
          <w:u w:color="000000"/>
          <w:rtl w:val="0"/>
          <w:lang w:val="it-IT"/>
        </w:rPr>
        <w:t xml:space="preserve">à </w:t>
      </w:r>
      <w:r>
        <w:rPr>
          <w:rFonts w:ascii="Book Antiqua"/>
          <w:color w:val="000000"/>
          <w:u w:color="000000"/>
          <w:rtl w:val="0"/>
          <w:lang w:val="it-IT"/>
        </w:rPr>
        <w:t>ha fornito informazioni</w:t>
      </w:r>
      <w:r>
        <w:rPr>
          <w:rFonts w:ascii="Book Antiqua" w:cs="Book Antiqua" w:hAnsi="Book Antiqua" w:eastAsia="Book Antiqua"/>
          <w:color w:val="000000"/>
          <w:u w:color="000000"/>
          <w:vertAlign w:val="superscript"/>
          <w:rtl w:val="0"/>
        </w:rPr>
        <w:footnoteReference w:id="290"/>
      </w:r>
      <w:r>
        <w:rPr>
          <w:rFonts w:ascii="Book Antiqua"/>
          <w:color w:val="000000"/>
          <w:u w:color="000000"/>
          <w:rtl w:val="0"/>
          <w:lang w:val="it-IT"/>
        </w:rPr>
        <w:t xml:space="preserve"> che qualificano la complessit</w:t>
      </w:r>
      <w:r>
        <w:rPr>
          <w:rFonts w:hAnsi="Book Antiqua" w:hint="default"/>
          <w:color w:val="000000"/>
          <w:u w:color="000000"/>
          <w:rtl w:val="0"/>
          <w:lang w:val="it-IT"/>
        </w:rPr>
        <w:t xml:space="preserve">à </w:t>
      </w:r>
      <w:r>
        <w:rPr>
          <w:rFonts w:ascii="Book Antiqua"/>
          <w:color w:val="000000"/>
          <w:u w:color="000000"/>
          <w:rtl w:val="0"/>
          <w:lang w:val="it-IT"/>
        </w:rPr>
        <w:t>del contesto e, come detto, la sensibilit</w:t>
      </w:r>
      <w:r>
        <w:rPr>
          <w:rFonts w:hAnsi="Book Antiqua" w:hint="default"/>
          <w:color w:val="000000"/>
          <w:u w:color="000000"/>
          <w:rtl w:val="0"/>
          <w:lang w:val="it-IT"/>
        </w:rPr>
        <w:t xml:space="preserve">à </w:t>
      </w:r>
      <w:r>
        <w:rPr>
          <w:rFonts w:ascii="Book Antiqua"/>
          <w:color w:val="000000"/>
          <w:u w:color="000000"/>
          <w:rtl w:val="0"/>
          <w:lang w:val="it-IT"/>
        </w:rPr>
        <w:t>ambientale del sito:</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u w:color="000000"/>
        </w:rPr>
      </w:pPr>
      <w:r>
        <w:rPr>
          <w:rFonts w:hAnsi="Book Antiqua" w:hint="default"/>
          <w:color w:val="000000"/>
          <w:u w:color="000000"/>
          <w:rtl w:val="0"/>
          <w:lang w:val="it-IT"/>
        </w:rPr>
        <w:t>“</w:t>
      </w:r>
      <w:r>
        <w:rPr>
          <w:rFonts w:ascii="Book Antiqua"/>
          <w:color w:val="000000"/>
          <w:u w:color="000000"/>
          <w:rtl w:val="0"/>
          <w:lang w:val="it-IT"/>
        </w:rPr>
        <w:t>Per quanto concerne il PS5 le norme prevedono la costituzione del corridoio ambientale del Rio Galeria da inserire nelle aree naturali protette della regione Lazio con 3 diverse destinazioni d'uso che mitigano l'impatto antropico cos</w:t>
      </w:r>
      <w:r>
        <w:rPr>
          <w:rFonts w:hAnsi="Book Antiqua" w:hint="default"/>
          <w:color w:val="000000"/>
          <w:u w:color="000000"/>
          <w:rtl w:val="0"/>
          <w:lang w:val="it-IT"/>
        </w:rPr>
        <w:t xml:space="preserve">ì </w:t>
      </w:r>
      <w:r>
        <w:rPr>
          <w:rFonts w:ascii="Book Antiqua"/>
          <w:color w:val="000000"/>
          <w:u w:color="000000"/>
          <w:rtl w:val="0"/>
          <w:lang w:val="it-IT"/>
        </w:rPr>
        <w:t>come regolamentate dal titolo III dagli articoli 14 al 18 delle NTA rappresentate nelle tavole di aggiornamento P7_Ca_GAL da 1 a 5: ambito delle formazioni vegetali; ambito di riconnessione; ambito delle acque. Il piano individua altres</w:t>
      </w:r>
      <w:r>
        <w:rPr>
          <w:rFonts w:hAnsi="Book Antiqua" w:hint="default"/>
          <w:color w:val="000000"/>
          <w:u w:color="000000"/>
          <w:rtl w:val="0"/>
          <w:lang w:val="it-IT"/>
        </w:rPr>
        <w:t xml:space="preserve">ì </w:t>
      </w:r>
      <w:r>
        <w:rPr>
          <w:rFonts w:ascii="Book Antiqua"/>
          <w:color w:val="000000"/>
          <w:u w:color="000000"/>
          <w:rtl w:val="0"/>
          <w:lang w:val="it-IT"/>
        </w:rPr>
        <w:t>le "aree interessate da pericolosit</w:t>
      </w:r>
      <w:r>
        <w:rPr>
          <w:rFonts w:hAnsi="Book Antiqua" w:hint="default"/>
          <w:color w:val="000000"/>
          <w:u w:color="000000"/>
          <w:rtl w:val="0"/>
          <w:lang w:val="it-IT"/>
        </w:rPr>
        <w:t xml:space="preserve">à </w:t>
      </w:r>
      <w:r>
        <w:rPr>
          <w:rFonts w:ascii="Book Antiqua"/>
          <w:color w:val="000000"/>
          <w:u w:color="000000"/>
          <w:rtl w:val="0"/>
          <w:lang w:val="it-IT"/>
        </w:rPr>
        <w:t>idraulica potenziale" cos</w:t>
      </w:r>
      <w:r>
        <w:rPr>
          <w:rFonts w:hAnsi="Book Antiqua" w:hint="default"/>
          <w:color w:val="000000"/>
          <w:u w:color="000000"/>
          <w:rtl w:val="0"/>
          <w:lang w:val="it-IT"/>
        </w:rPr>
        <w:t xml:space="preserve">ì </w:t>
      </w:r>
      <w:r>
        <w:rPr>
          <w:rFonts w:ascii="Book Antiqua"/>
          <w:color w:val="000000"/>
          <w:u w:color="000000"/>
          <w:rtl w:val="0"/>
          <w:lang w:val="it-IT"/>
        </w:rPr>
        <w:t>come rappresentate nelle tavole P3Bi n. 3, 4, 5 e 12, classifica il bacino idrografico del Rio Galeria in classe S2 a media permeabilit</w:t>
      </w:r>
      <w:r>
        <w:rPr>
          <w:rFonts w:hAnsi="Book Antiqua" w:hint="default"/>
          <w:color w:val="000000"/>
          <w:u w:color="000000"/>
          <w:rtl w:val="0"/>
          <w:lang w:val="it-IT"/>
        </w:rPr>
        <w:t xml:space="preserve">à </w:t>
      </w:r>
      <w:r>
        <w:rPr>
          <w:rFonts w:ascii="Book Antiqua"/>
          <w:color w:val="000000"/>
          <w:u w:color="000000"/>
          <w:rtl w:val="0"/>
          <w:lang w:val="it-IT"/>
        </w:rPr>
        <w:t>e prescrive un indice di permeabilit</w:t>
      </w:r>
      <w:r>
        <w:rPr>
          <w:rFonts w:hAnsi="Book Antiqua" w:hint="default"/>
          <w:color w:val="000000"/>
          <w:u w:color="000000"/>
          <w:rtl w:val="0"/>
          <w:lang w:val="it-IT"/>
        </w:rPr>
        <w:t xml:space="preserve">à </w:t>
      </w:r>
      <w:r>
        <w:rPr>
          <w:rFonts w:ascii="Book Antiqua"/>
          <w:color w:val="000000"/>
          <w:u w:color="000000"/>
          <w:rtl w:val="0"/>
          <w:lang w:val="it-IT"/>
        </w:rPr>
        <w:t xml:space="preserve">all'interno del Corridoio ambientale pari almeno al 60 per cento. Inoltre la piana alluvionale ricade nella perimetrazione delle aree di attenzione (tavola Pl- Bi-1) definite dall'articolo 8, comma 2, delle NTA come "aree in cui si evidenzia una alterazione della circolazione idrica non direttamente correlabile ai prelievi"; per dette aree l'articolo 9 delle NTA stabilisce che "il rilascio delle autorizzazioni alla ricerca e delle concessioni di acque sotterranee </w:t>
      </w:r>
      <w:r>
        <w:rPr>
          <w:rFonts w:hAnsi="Book Antiqua" w:hint="default"/>
          <w:color w:val="000000"/>
          <w:u w:color="000000"/>
          <w:rtl w:val="0"/>
          <w:lang w:val="it-IT"/>
        </w:rPr>
        <w:t xml:space="preserve">è </w:t>
      </w:r>
      <w:r>
        <w:rPr>
          <w:rFonts w:ascii="Book Antiqua"/>
          <w:color w:val="000000"/>
          <w:u w:color="000000"/>
          <w:rtl w:val="0"/>
          <w:lang w:val="it-IT"/>
        </w:rPr>
        <w:t>subordinato alla verifica che le quantit</w:t>
      </w:r>
      <w:r>
        <w:rPr>
          <w:rFonts w:hAnsi="Book Antiqua" w:hint="default"/>
          <w:color w:val="000000"/>
          <w:u w:color="000000"/>
          <w:rtl w:val="0"/>
          <w:lang w:val="it-IT"/>
        </w:rPr>
        <w:t xml:space="preserve">à </w:t>
      </w:r>
      <w:r>
        <w:rPr>
          <w:rFonts w:ascii="Book Antiqua"/>
          <w:color w:val="000000"/>
          <w:u w:color="000000"/>
          <w:rtl w:val="0"/>
          <w:lang w:val="it-IT"/>
        </w:rPr>
        <w:t>richieste non siano approvvigionabili in altro modo ". Le norme pi</w:t>
      </w:r>
      <w:r>
        <w:rPr>
          <w:rFonts w:hAnsi="Book Antiqua" w:hint="default"/>
          <w:color w:val="000000"/>
          <w:u w:color="000000"/>
          <w:rtl w:val="0"/>
          <w:lang w:val="it-IT"/>
        </w:rPr>
        <w:t xml:space="preserve">ù </w:t>
      </w:r>
      <w:r>
        <w:rPr>
          <w:rFonts w:ascii="Book Antiqua"/>
          <w:color w:val="000000"/>
          <w:u w:color="000000"/>
          <w:rtl w:val="0"/>
          <w:lang w:val="it-IT"/>
        </w:rPr>
        <w:t>restrittive sono comunque quelle</w:t>
        <w:tab/>
        <w:t>contenute nelle NTA del PAI che individuano vaste zone edificate adibite prevalentemente a depositi per lo stoccaggio di prodotti petroliferi presenti soprattutto in destra idraulica all'altezza circa della discarica di Malagrotta, classificate a diversi livelli di rischio e/o pericolosit</w:t>
      </w:r>
      <w:r>
        <w:rPr>
          <w:rFonts w:hAnsi="Book Antiqua" w:hint="default"/>
          <w:color w:val="000000"/>
          <w:u w:color="000000"/>
          <w:rtl w:val="0"/>
          <w:lang w:val="it-IT"/>
        </w:rPr>
        <w:t xml:space="preserve">à </w:t>
      </w:r>
      <w:r>
        <w:rPr>
          <w:rFonts w:ascii="Book Antiqua"/>
          <w:color w:val="000000"/>
          <w:u w:color="000000"/>
          <w:rtl w:val="0"/>
          <w:lang w:val="it-IT"/>
        </w:rPr>
        <w:t>idraulica [</w:t>
      </w:r>
      <w:r>
        <w:rPr>
          <w:rFonts w:hAnsi="Book Antiqua" w:hint="default"/>
          <w:color w:val="000000"/>
          <w:u w:color="000000"/>
          <w:rtl w:val="0"/>
          <w:lang w:val="it-IT"/>
        </w:rPr>
        <w:t>…</w:t>
      </w:r>
      <w:r>
        <w:rPr>
          <w:rFonts w:ascii="Book Antiqua"/>
          <w:color w:val="000000"/>
          <w:u w:color="000000"/>
          <w:rtl w:val="0"/>
          <w:lang w:val="it-IT"/>
        </w:rPr>
        <w:t>] e di fatto limitano la possibilit</w:t>
      </w:r>
      <w:r>
        <w:rPr>
          <w:rFonts w:hAnsi="Book Antiqua" w:hint="default"/>
          <w:color w:val="000000"/>
          <w:u w:color="000000"/>
          <w:rtl w:val="0"/>
          <w:lang w:val="it-IT"/>
        </w:rPr>
        <w:t xml:space="preserve">à </w:t>
      </w:r>
      <w:r>
        <w:rPr>
          <w:rFonts w:ascii="Book Antiqua"/>
          <w:color w:val="000000"/>
          <w:u w:color="000000"/>
          <w:rtl w:val="0"/>
          <w:lang w:val="it-IT"/>
        </w:rPr>
        <w:t>edificatoria prevedendo la messa in sicurezza delle stesse.</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Nel PGDAC si rileva che sul Rio Galeria sono individuati due corpi idrici superficiali, categoria fiumi, denominati rispettivamente Rio Galeria 1 (tratto di monte) e Rio Galeria 2 (tratto di valle). Per quanto riguarda le problematiche connesse con i lavori della Commissione, si pu</w:t>
      </w:r>
      <w:r>
        <w:rPr>
          <w:rFonts w:hAnsi="Book Antiqua" w:hint="default"/>
          <w:color w:val="000000"/>
          <w:u w:color="000000"/>
          <w:rtl w:val="0"/>
          <w:lang w:val="it-IT"/>
        </w:rPr>
        <w:t xml:space="preserve">ò </w:t>
      </w:r>
      <w:r>
        <w:rPr>
          <w:rFonts w:ascii="Book Antiqua"/>
          <w:color w:val="000000"/>
          <w:u w:color="000000"/>
          <w:rtl w:val="0"/>
          <w:lang w:val="it-IT"/>
        </w:rPr>
        <w:t>affermare che le zone di maggior attenzione sono quelle della parte bassa del bacino, vale a dire dalla SS Aurelia fino alla confluenza con il fiume Tevere, compreso nel corpo idrico Rio Galeria 2.</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I 2 corpi idrici sono sottoposti al monitoraggio della rete istituita ai sensi dell'articolo 6 della direttiva quadro sulle acque 2000/60/CE e risultano in "cattivo" stato ecologico e in "buono" stato chimico.</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II bacino del Rio Galeria interessa anche il corpo idrico sotterraneo ITE_106 Unit</w:t>
      </w:r>
      <w:r>
        <w:rPr>
          <w:rFonts w:hAnsi="Book Antiqua" w:hint="default"/>
          <w:color w:val="000000"/>
          <w:u w:color="000000"/>
          <w:rtl w:val="0"/>
          <w:lang w:val="it-IT"/>
        </w:rPr>
        <w:t xml:space="preserve">à </w:t>
      </w:r>
      <w:r>
        <w:rPr>
          <w:rFonts w:ascii="Book Antiqua"/>
          <w:color w:val="000000"/>
          <w:u w:color="000000"/>
          <w:rtl w:val="0"/>
          <w:lang w:val="it-IT"/>
        </w:rPr>
        <w:t xml:space="preserve">dei Monti Sabatini, di estensione maggiore rispetto al bacino stesso. Lo stato quantitativo non risulta ancora definito, mentre lo stato chimico </w:t>
      </w:r>
      <w:r>
        <w:rPr>
          <w:rFonts w:hAnsi="Book Antiqua" w:hint="default"/>
          <w:color w:val="000000"/>
          <w:u w:color="000000"/>
          <w:rtl w:val="0"/>
          <w:lang w:val="it-IT"/>
        </w:rPr>
        <w:t xml:space="preserve">è </w:t>
      </w:r>
      <w:r>
        <w:rPr>
          <w:rFonts w:ascii="Book Antiqua"/>
          <w:color w:val="000000"/>
          <w:u w:color="000000"/>
          <w:rtl w:val="0"/>
          <w:lang w:val="it-IT"/>
        </w:rPr>
        <w:t>"buono".</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In sintesi la valle appare fortemente interessata da fenomeni di carattere idraulico per esondazione del Rio Galeria con tempi di ritorno di 50 e 200 anni con una tendenza, negli ultimi anni, ad una riduzione degli stessi ed un aumento della frequenza che compromettono ulteriormente la situazione ambientale e la sicurezza degli abitanti esposti. In particolare nel tratto di valle gli insediamenti produttivi presenti interferiscono con la continuit</w:t>
      </w:r>
      <w:r>
        <w:rPr>
          <w:rFonts w:hAnsi="Book Antiqua" w:hint="default"/>
          <w:color w:val="000000"/>
          <w:u w:color="000000"/>
          <w:rtl w:val="0"/>
          <w:lang w:val="it-IT"/>
        </w:rPr>
        <w:t xml:space="preserve">à </w:t>
      </w:r>
      <w:r>
        <w:rPr>
          <w:rFonts w:ascii="Book Antiqua"/>
          <w:color w:val="000000"/>
          <w:u w:color="000000"/>
          <w:rtl w:val="0"/>
          <w:lang w:val="it-IT"/>
        </w:rPr>
        <w:t>ecologica del fosso per circa 2 chilometri creando un'interruzione del Corridoio ambientale.</w:t>
      </w:r>
      <w:r>
        <w:rPr>
          <w:rFonts w:hAnsi="Book Antiqua" w:hint="default"/>
          <w:color w:val="000000"/>
          <w:u w:color="000000"/>
          <w:rtl w:val="0"/>
          <w:lang w:val="it-IT"/>
        </w:rPr>
        <w:t>”</w:t>
      </w:r>
    </w:p>
    <w:p>
      <w:pPr>
        <w:pStyle w:val="Normal"/>
        <w:ind w:left="567" w:right="567" w:firstLine="0"/>
        <w:jc w:val="both"/>
        <w:rPr>
          <w:rFonts w:ascii="Book Antiqua" w:cs="Book Antiqua" w:hAnsi="Book Antiqua" w:eastAsia="Book Antiqua"/>
          <w:color w:val="262626"/>
          <w:u w:color="262626"/>
        </w:rPr>
      </w:pPr>
      <w:r>
        <w:rPr>
          <w:rFonts w:ascii="Book Antiqua"/>
          <w:color w:val="262626"/>
          <w:u w:color="262626"/>
          <w:rtl w:val="0"/>
          <w:lang w:val="it-IT"/>
        </w:rPr>
        <w:t>La Commissione ha ritenuto opportuno richiedere relazioni ai municipi Roma XI e Roma XII per valutare l</w:t>
      </w:r>
      <w:r>
        <w:rPr>
          <w:rFonts w:hAnsi="Book Antiqua" w:hint="default"/>
          <w:color w:val="262626"/>
          <w:u w:color="262626"/>
          <w:rtl w:val="0"/>
          <w:lang w:val="it-IT"/>
        </w:rPr>
        <w:t>’</w:t>
      </w:r>
      <w:r>
        <w:rPr>
          <w:rFonts w:ascii="Book Antiqua"/>
          <w:color w:val="262626"/>
          <w:u w:color="262626"/>
          <w:rtl w:val="0"/>
          <w:lang w:val="it-IT"/>
        </w:rPr>
        <w:t>impatto della situazione ambientale come percepito dal livello di amministrazione locale pi</w:t>
      </w:r>
      <w:r>
        <w:rPr>
          <w:rFonts w:hAnsi="Book Antiqua" w:hint="default"/>
          <w:color w:val="262626"/>
          <w:u w:color="262626"/>
          <w:rtl w:val="0"/>
          <w:lang w:val="it-IT"/>
        </w:rPr>
        <w:t xml:space="preserve">ù </w:t>
      </w:r>
      <w:r>
        <w:rPr>
          <w:rFonts w:ascii="Book Antiqua"/>
          <w:color w:val="262626"/>
          <w:u w:color="262626"/>
          <w:rtl w:val="0"/>
          <w:lang w:val="it-IT"/>
        </w:rPr>
        <w:t>prossimo ai cittadini.</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u w:color="000000"/>
        </w:rPr>
      </w:pPr>
      <w:r>
        <w:rPr>
          <w:rFonts w:ascii="Book Antiqua"/>
          <w:color w:val="262626"/>
          <w:u w:color="262626"/>
          <w:rtl w:val="0"/>
          <w:lang w:val="it-IT"/>
        </w:rPr>
        <w:t>Con una nota del 23 giugno 2017</w:t>
      </w:r>
      <w:r>
        <w:rPr>
          <w:rFonts w:ascii="Book Antiqua" w:cs="Book Antiqua" w:hAnsi="Book Antiqua" w:eastAsia="Book Antiqua"/>
          <w:color w:val="262626"/>
          <w:u w:color="262626"/>
          <w:vertAlign w:val="superscript"/>
          <w:rtl w:val="0"/>
        </w:rPr>
        <w:footnoteReference w:id="291"/>
      </w:r>
      <w:r>
        <w:rPr>
          <w:rFonts w:ascii="Book Antiqua"/>
          <w:color w:val="262626"/>
          <w:u w:color="262626"/>
          <w:rtl w:val="0"/>
          <w:lang w:val="it-IT"/>
        </w:rPr>
        <w:t xml:space="preserve">, il Municipio Roma XII ha confermato che </w:t>
      </w:r>
      <w:r>
        <w:rPr>
          <w:rFonts w:hAnsi="Book Antiqua" w:hint="default"/>
          <w:color w:val="262626"/>
          <w:u w:color="262626"/>
          <w:rtl w:val="0"/>
          <w:lang w:val="it-IT"/>
        </w:rPr>
        <w:t>“</w:t>
      </w:r>
      <w:r>
        <w:rPr>
          <w:rFonts w:ascii="Book Antiqua"/>
          <w:color w:val="000000"/>
          <w:u w:color="000000"/>
          <w:rtl w:val="0"/>
          <w:lang w:val="it-IT"/>
        </w:rPr>
        <w:t>nella parte pi</w:t>
      </w:r>
      <w:r>
        <w:rPr>
          <w:rFonts w:hAnsi="Book Antiqua" w:hint="default"/>
          <w:color w:val="000000"/>
          <w:u w:color="000000"/>
          <w:rtl w:val="0"/>
          <w:lang w:val="it-IT"/>
        </w:rPr>
        <w:t xml:space="preserve">ù </w:t>
      </w:r>
      <w:r>
        <w:rPr>
          <w:rFonts w:ascii="Book Antiqua"/>
          <w:color w:val="000000"/>
          <w:u w:color="000000"/>
          <w:rtl w:val="0"/>
          <w:lang w:val="it-IT"/>
        </w:rPr>
        <w:t>esterna del territorio di competenza del Municipio Roma XII, insiste la Valle Galeria ed il quartiere popolare di Massimina. Si tratta di una zona periferica fortemente degradata che negli anni ha subito un profondo carico ambientale derivante dalla presenza della ex discarica di Malagrotta e relativi impianti di gestione rifiuti ad essa collegati. Oltre ci</w:t>
      </w:r>
      <w:r>
        <w:rPr>
          <w:rFonts w:hAnsi="Book Antiqua" w:hint="default"/>
          <w:color w:val="000000"/>
          <w:u w:color="000000"/>
          <w:rtl w:val="0"/>
          <w:lang w:val="it-IT"/>
        </w:rPr>
        <w:t xml:space="preserve">ò </w:t>
      </w:r>
      <w:r>
        <w:rPr>
          <w:rFonts w:ascii="Book Antiqua"/>
          <w:color w:val="000000"/>
          <w:u w:color="000000"/>
          <w:rtl w:val="0"/>
          <w:lang w:val="it-IT"/>
        </w:rPr>
        <w:t>nella medesima area impattano diversi impianti industriali a rischio d'incidente rilevante, soggetti in parte alla disciplina della ed. Seveso III (direttiva 2012/18/UE, recepita con il decreto legislativo 26 giugno 2015 n. 105) [</w:t>
      </w:r>
      <w:r>
        <w:rPr>
          <w:rFonts w:hAnsi="Book Antiqua" w:hint="default"/>
          <w:color w:val="000000"/>
          <w:u w:color="000000"/>
          <w:rtl w:val="0"/>
          <w:lang w:val="it-IT"/>
        </w:rPr>
        <w:t>…</w:t>
      </w:r>
      <w:r>
        <w:rPr>
          <w:rFonts w:ascii="Book Antiqua"/>
          <w:color w:val="000000"/>
          <w:u w:color="000000"/>
          <w:rtl w:val="0"/>
          <w:lang w:val="it-IT"/>
        </w:rPr>
        <w:t>] Recentemente l'intero quadrante della Valle Galeria, come gi</w:t>
      </w:r>
      <w:r>
        <w:rPr>
          <w:rFonts w:hAnsi="Book Antiqua" w:hint="default"/>
          <w:color w:val="000000"/>
          <w:u w:color="000000"/>
          <w:rtl w:val="0"/>
          <w:lang w:val="it-IT"/>
        </w:rPr>
        <w:t xml:space="preserve">à </w:t>
      </w:r>
      <w:r>
        <w:rPr>
          <w:rFonts w:ascii="Book Antiqua"/>
          <w:color w:val="000000"/>
          <w:u w:color="000000"/>
          <w:rtl w:val="0"/>
          <w:lang w:val="it-IT"/>
        </w:rPr>
        <w:t xml:space="preserve">accaduto anche negli anni passati, </w:t>
      </w:r>
      <w:r>
        <w:rPr>
          <w:rFonts w:hAnsi="Book Antiqua" w:hint="default"/>
          <w:color w:val="000000"/>
          <w:u w:color="000000"/>
          <w:rtl w:val="0"/>
          <w:lang w:val="it-IT"/>
        </w:rPr>
        <w:t xml:space="preserve">è </w:t>
      </w:r>
      <w:r>
        <w:rPr>
          <w:rFonts w:ascii="Book Antiqua"/>
          <w:color w:val="000000"/>
          <w:u w:color="000000"/>
          <w:rtl w:val="0"/>
          <w:lang w:val="it-IT"/>
        </w:rPr>
        <w:t>stato interessato da forti miasmi che hanno provocato grande disagio alla popolazione. Infine in data 25 maggio u.s. all'interno dell'area di propriet</w:t>
      </w:r>
      <w:r>
        <w:rPr>
          <w:rFonts w:hAnsi="Book Antiqua" w:hint="default"/>
          <w:color w:val="000000"/>
          <w:u w:color="000000"/>
          <w:rtl w:val="0"/>
          <w:lang w:val="it-IT"/>
        </w:rPr>
        <w:t xml:space="preserve">à </w:t>
      </w:r>
      <w:r>
        <w:rPr>
          <w:rFonts w:ascii="Book Antiqua"/>
          <w:color w:val="000000"/>
          <w:u w:color="000000"/>
          <w:rtl w:val="0"/>
          <w:lang w:val="it-IT"/>
        </w:rPr>
        <w:t xml:space="preserve">Co.La.Ri, si </w:t>
      </w:r>
      <w:r>
        <w:rPr>
          <w:rFonts w:hAnsi="Book Antiqua" w:hint="default"/>
          <w:color w:val="000000"/>
          <w:u w:color="000000"/>
          <w:rtl w:val="0"/>
          <w:lang w:val="it-IT"/>
        </w:rPr>
        <w:t xml:space="preserve">è </w:t>
      </w:r>
      <w:r>
        <w:rPr>
          <w:rFonts w:ascii="Book Antiqua"/>
          <w:color w:val="000000"/>
          <w:u w:color="000000"/>
          <w:rtl w:val="0"/>
          <w:lang w:val="it-IT"/>
        </w:rPr>
        <w:t>verificato un incendio che fortunatamente non ha prodotto danni ingenti</w:t>
      </w:r>
      <w:r>
        <w:rPr>
          <w:rFonts w:hAnsi="Book Antiqua" w:hint="default"/>
          <w:color w:val="000000"/>
          <w:u w:color="000000"/>
          <w:rtl w:val="0"/>
          <w:lang w:val="it-IT"/>
        </w:rPr>
        <w:t>”</w:t>
      </w:r>
      <w:r>
        <w:rPr>
          <w:rFonts w:ascii="Book Antiqua"/>
          <w:color w:val="000000"/>
          <w:u w:color="000000"/>
          <w:rtl w:val="0"/>
          <w:lang w:val="it-IT"/>
        </w:rPr>
        <w:t>.</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La nota inviata alla Commissione dal Municipio XI riposta considerazioni analitiche sugli impianti presenti nel sito, con la significativa premessa della necessit</w:t>
      </w:r>
      <w:r>
        <w:rPr>
          <w:rFonts w:hAnsi="Book Antiqua" w:hint="default"/>
          <w:color w:val="000000"/>
          <w:u w:color="000000"/>
          <w:rtl w:val="0"/>
          <w:lang w:val="it-IT"/>
        </w:rPr>
        <w:t xml:space="preserve">à </w:t>
      </w:r>
      <w:r>
        <w:rPr>
          <w:rFonts w:ascii="Book Antiqua"/>
          <w:color w:val="000000"/>
          <w:u w:color="000000"/>
          <w:rtl w:val="0"/>
          <w:lang w:val="it-IT"/>
        </w:rPr>
        <w:t>di una valutazione unitaria che superi le divisioni amministrative.</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Tra il novembre 2016 e il giugno 2017 sono state approvate all</w:t>
      </w:r>
      <w:r>
        <w:rPr>
          <w:rFonts w:hAnsi="Book Antiqua" w:hint="default"/>
          <w:color w:val="000000"/>
          <w:u w:color="000000"/>
          <w:rtl w:val="0"/>
          <w:lang w:val="it-IT"/>
        </w:rPr>
        <w:t>’</w:t>
      </w:r>
      <w:r>
        <w:rPr>
          <w:rFonts w:ascii="Book Antiqua"/>
          <w:color w:val="000000"/>
          <w:u w:color="000000"/>
          <w:rtl w:val="0"/>
          <w:lang w:val="it-IT"/>
        </w:rPr>
        <w:t>unanimit</w:t>
      </w:r>
      <w:r>
        <w:rPr>
          <w:rFonts w:hAnsi="Book Antiqua" w:hint="default"/>
          <w:color w:val="000000"/>
          <w:u w:color="000000"/>
          <w:rtl w:val="0"/>
          <w:lang w:val="it-IT"/>
        </w:rPr>
        <w:t xml:space="preserve">à </w:t>
      </w:r>
      <w:r>
        <w:rPr>
          <w:rFonts w:ascii="Book Antiqua"/>
          <w:color w:val="000000"/>
          <w:u w:color="000000"/>
          <w:rtl w:val="0"/>
          <w:lang w:val="it-IT"/>
        </w:rPr>
        <w:t>dal consiglio del Municipio XI (nel primo caso congiunto al consiglio del Municipio XII) quattro mozioni contrarie al posizionamento di nuovi impianti nella Valle Galeria.</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Quanto all</w:t>
      </w:r>
      <w:r>
        <w:rPr>
          <w:rFonts w:hAnsi="Book Antiqua" w:hint="default"/>
          <w:color w:val="000000"/>
          <w:u w:color="000000"/>
          <w:rtl w:val="0"/>
          <w:lang w:val="it-IT"/>
        </w:rPr>
        <w:t>’</w:t>
      </w:r>
      <w:r>
        <w:rPr>
          <w:rFonts w:ascii="Book Antiqua"/>
          <w:color w:val="000000"/>
          <w:u w:color="000000"/>
          <w:rtl w:val="0"/>
          <w:lang w:val="it-IT"/>
        </w:rPr>
        <w:t>esistente cos</w:t>
      </w:r>
      <w:r>
        <w:rPr>
          <w:rFonts w:hAnsi="Book Antiqua" w:hint="default"/>
          <w:color w:val="000000"/>
          <w:u w:color="000000"/>
          <w:rtl w:val="0"/>
          <w:lang w:val="it-IT"/>
        </w:rPr>
        <w:t xml:space="preserve">ì </w:t>
      </w:r>
      <w:r>
        <w:rPr>
          <w:rFonts w:ascii="Book Antiqua"/>
          <w:color w:val="000000"/>
          <w:u w:color="000000"/>
          <w:rtl w:val="0"/>
          <w:lang w:val="it-IT"/>
        </w:rPr>
        <w:t>si esprime la nota citata:</w:t>
      </w:r>
    </w:p>
    <w:p>
      <w:pPr>
        <w:pStyle w:val="Normal"/>
        <w:ind w:left="567" w:right="567" w:firstLine="0"/>
        <w:jc w:val="both"/>
        <w:rPr>
          <w:rFonts w:ascii="Book Antiqua Bold" w:cs="Book Antiqua Bold" w:hAnsi="Book Antiqua Bold" w:eastAsia="Book Antiqua Bold"/>
          <w:b w:val="1"/>
          <w:bCs w:val="1"/>
        </w:rPr>
      </w:pPr>
      <w:r>
        <w:rPr>
          <w:rFonts w:hAnsi="Book Antiqua" w:hint="default"/>
          <w:color w:val="000000"/>
          <w:u w:color="000000"/>
          <w:rtl w:val="0"/>
          <w:lang w:val="it-IT"/>
        </w:rPr>
        <w:t>“</w:t>
      </w:r>
      <w:r>
        <w:rPr>
          <w:rFonts w:ascii="Book Antiqua"/>
          <w:i w:val="1"/>
          <w:iCs w:val="1"/>
          <w:rtl w:val="0"/>
          <w:lang w:val="it-IT"/>
        </w:rPr>
        <w:t>Area ENI (ex Agip) nell'XI municipio:</w:t>
      </w:r>
    </w:p>
    <w:p>
      <w:pPr>
        <w:pStyle w:val="Normal"/>
        <w:ind w:left="567" w:right="567" w:firstLine="0"/>
        <w:jc w:val="both"/>
        <w:rPr>
          <w:rFonts w:ascii="Book Antiqua" w:cs="Book Antiqua" w:hAnsi="Book Antiqua" w:eastAsia="Book Antiqua"/>
        </w:rPr>
      </w:pPr>
      <w:r>
        <w:rPr>
          <w:rFonts w:ascii="Book Antiqua"/>
          <w:rtl w:val="0"/>
          <w:lang w:val="it-IT"/>
        </w:rPr>
        <w:t xml:space="preserve">ex sito a rischio incidente rilevante attualmente in corso di bonifica di cui </w:t>
      </w:r>
      <w:r>
        <w:rPr>
          <w:rFonts w:hAnsi="Book Antiqua" w:hint="default"/>
          <w:rtl w:val="0"/>
          <w:lang w:val="it-IT"/>
        </w:rPr>
        <w:t xml:space="preserve">è </w:t>
      </w:r>
      <w:r>
        <w:rPr>
          <w:rFonts w:ascii="Book Antiqua"/>
          <w:rtl w:val="0"/>
          <w:lang w:val="it-IT"/>
        </w:rPr>
        <w:t xml:space="preserve">prevista la vendita attraverso pubblica asta alla fine della bonifica prevista nel 2018. Si rileva che </w:t>
      </w:r>
      <w:r>
        <w:rPr>
          <w:rFonts w:hAnsi="Book Antiqua" w:hint="default"/>
          <w:rtl w:val="0"/>
          <w:lang w:val="it-IT"/>
        </w:rPr>
        <w:t xml:space="preserve">è </w:t>
      </w:r>
      <w:r>
        <w:rPr>
          <w:rFonts w:ascii="Book Antiqua"/>
          <w:rtl w:val="0"/>
          <w:lang w:val="it-IT"/>
        </w:rPr>
        <w:t>presente un accordo (stipulato a fine mandato dal sindaco Alemanno) tra ENI, comune di Roma ed AMA che prevede la permuta dell'area con 9 stazioni di servizio di propriet</w:t>
      </w:r>
      <w:r>
        <w:rPr>
          <w:rFonts w:hAnsi="Book Antiqua" w:hint="default"/>
          <w:rtl w:val="0"/>
          <w:lang w:val="it-IT"/>
        </w:rPr>
        <w:t>à</w:t>
      </w:r>
      <w:r>
        <w:rPr>
          <w:rFonts w:ascii="Book Antiqua"/>
          <w:rtl w:val="0"/>
          <w:lang w:val="it-IT"/>
        </w:rPr>
        <w:t xml:space="preserve"> comunale ed in concessione ad ENI ed il successivo affidamento dell'area acquisita ad AMA per l'ampliamento impiantistico di Ponte Malnome.</w:t>
      </w:r>
    </w:p>
    <w:p>
      <w:pPr>
        <w:pStyle w:val="Normal"/>
        <w:ind w:left="567" w:right="567" w:firstLine="0"/>
        <w:jc w:val="both"/>
        <w:rPr>
          <w:rFonts w:ascii="Book Antiqua" w:cs="Book Antiqua" w:hAnsi="Book Antiqua" w:eastAsia="Book Antiqua"/>
          <w:i w:val="1"/>
          <w:iCs w:val="1"/>
        </w:rPr>
      </w:pPr>
      <w:r>
        <w:rPr>
          <w:rFonts w:ascii="Book Antiqua"/>
          <w:i w:val="1"/>
          <w:iCs w:val="1"/>
          <w:rtl w:val="0"/>
          <w:lang w:val="it-IT"/>
        </w:rPr>
        <w:t>Stabilimento AMA di Ponte Malnome nell'XI municipio:</w:t>
      </w:r>
    </w:p>
    <w:p>
      <w:pPr>
        <w:pStyle w:val="Normal"/>
        <w:ind w:left="567" w:right="567" w:firstLine="0"/>
        <w:jc w:val="both"/>
        <w:rPr>
          <w:rFonts w:ascii="Book Antiqua" w:cs="Book Antiqua" w:hAnsi="Book Antiqua" w:eastAsia="Book Antiqua"/>
        </w:rPr>
      </w:pPr>
      <w:r>
        <w:rPr>
          <w:rFonts w:ascii="Book Antiqua"/>
          <w:rtl w:val="0"/>
          <w:lang w:val="it-IT"/>
        </w:rPr>
        <w:t xml:space="preserve">Su cui insiste un inceneritore di rifiuti ospedalieri attualmente spento ma con progetto </w:t>
      </w:r>
      <w:r>
        <w:rPr>
          <w:rFonts w:ascii="Book Antiqua"/>
          <w:i w:val="1"/>
          <w:iCs w:val="1"/>
          <w:rtl w:val="0"/>
          <w:lang w:val="it-IT"/>
        </w:rPr>
        <w:t>revamping</w:t>
      </w:r>
      <w:r>
        <w:rPr>
          <w:rFonts w:ascii="Book Antiqua"/>
          <w:rtl w:val="0"/>
          <w:lang w:val="it-IT"/>
        </w:rPr>
        <w:t>, trasferenza rifiuti plastici dalla raccolta differenziata, deposito mezzi, officina meccanica ed edifici industriali dismessi e mai bonificati. Si evidenziano elevati rischi di allagamento con assenza di dispositivi, opere ed attivit</w:t>
      </w:r>
      <w:r>
        <w:rPr>
          <w:rFonts w:hAnsi="Book Antiqua" w:hint="default"/>
          <w:rtl w:val="0"/>
          <w:lang w:val="it-IT"/>
        </w:rPr>
        <w:t xml:space="preserve">à </w:t>
      </w:r>
      <w:r>
        <w:rPr>
          <w:rFonts w:ascii="Book Antiqua"/>
          <w:rtl w:val="0"/>
          <w:lang w:val="it-IT"/>
        </w:rPr>
        <w:t>poste a protezione degli impianti dalle piene del Rio Galeria. Si rappresenta che gi</w:t>
      </w:r>
      <w:r>
        <w:rPr>
          <w:rFonts w:hAnsi="Book Antiqua" w:hint="default"/>
          <w:rtl w:val="0"/>
          <w:lang w:val="it-IT"/>
        </w:rPr>
        <w:t xml:space="preserve">à </w:t>
      </w:r>
      <w:r>
        <w:rPr>
          <w:rFonts w:ascii="Book Antiqua"/>
          <w:rtl w:val="0"/>
          <w:lang w:val="it-IT"/>
        </w:rPr>
        <w:t>a seguito dell'alluvione del 31 gennaio 2014 tutte le aree dell'impianto sono state interessate dallo scorrimento di oltre un metro, di acqua dal torrente con dispersione di rifiuti ospedalieri nei terreni limitrofi. Le aree a rischio sono inserite nella Mappa delle pericolosit</w:t>
      </w:r>
      <w:r>
        <w:rPr>
          <w:rFonts w:hAnsi="Book Antiqua" w:hint="default"/>
          <w:rtl w:val="0"/>
          <w:lang w:val="it-IT"/>
        </w:rPr>
        <w:t xml:space="preserve">à </w:t>
      </w:r>
      <w:r>
        <w:rPr>
          <w:rFonts w:ascii="Book Antiqua"/>
          <w:rtl w:val="0"/>
          <w:lang w:val="it-IT"/>
        </w:rPr>
        <w:t>redatta dall'autorit</w:t>
      </w:r>
      <w:r>
        <w:rPr>
          <w:rFonts w:hAnsi="Book Antiqua" w:hint="default"/>
          <w:rtl w:val="0"/>
          <w:lang w:val="it-IT"/>
        </w:rPr>
        <w:t xml:space="preserve">à </w:t>
      </w:r>
      <w:r>
        <w:rPr>
          <w:rFonts w:ascii="Book Antiqua"/>
          <w:rtl w:val="0"/>
          <w:lang w:val="it-IT"/>
        </w:rPr>
        <w:t>di Bacino del fiume Tevere nel dicembre 2013 che, nonostante i gravi rischi evidenziati hanno mantenuto basso il vincolo nelle aree industriali attualmente inedificate.</w:t>
      </w:r>
    </w:p>
    <w:p>
      <w:pPr>
        <w:pStyle w:val="Normal"/>
        <w:ind w:left="567" w:right="567" w:firstLine="0"/>
        <w:jc w:val="both"/>
        <w:rPr>
          <w:rFonts w:ascii="Book Antiqua" w:cs="Book Antiqua" w:hAnsi="Book Antiqua" w:eastAsia="Book Antiqua"/>
          <w:i w:val="1"/>
          <w:iCs w:val="1"/>
        </w:rPr>
      </w:pPr>
      <w:r>
        <w:rPr>
          <w:rFonts w:ascii="Book Antiqua"/>
          <w:i w:val="1"/>
          <w:iCs w:val="1"/>
          <w:rtl w:val="0"/>
          <w:lang w:val="it-IT"/>
        </w:rPr>
        <w:t>Nuova impiantistica ACEA per la selezione di plastiche da rifiuti nell'XI municipio:</w:t>
      </w:r>
    </w:p>
    <w:p>
      <w:pPr>
        <w:pStyle w:val="Normal"/>
        <w:ind w:left="567" w:right="567" w:firstLine="0"/>
        <w:jc w:val="both"/>
        <w:rPr>
          <w:rFonts w:ascii="Book Antiqua" w:cs="Book Antiqua" w:hAnsi="Book Antiqua" w:eastAsia="Book Antiqua"/>
        </w:rPr>
      </w:pPr>
      <w:r>
        <w:rPr>
          <w:rFonts w:ascii="Book Antiqua"/>
          <w:rtl w:val="0"/>
          <w:lang w:val="it-IT"/>
        </w:rPr>
        <w:t>In data 4 maggio 2017 ACEA ha presentato presso la regione Lazio un progetto per la realizzazione di un impianto di selezione di materiali plastici provenienti dalla raccolta differenziata. L'area di sedime insiste sulle aree adiacenti allo stabilimento AMA di Ponte Malnome, in prossimit</w:t>
      </w:r>
      <w:r>
        <w:rPr>
          <w:rFonts w:hAnsi="Book Antiqua" w:hint="default"/>
          <w:rtl w:val="0"/>
          <w:lang w:val="it-IT"/>
        </w:rPr>
        <w:t xml:space="preserve">à </w:t>
      </w:r>
      <w:r>
        <w:rPr>
          <w:rFonts w:ascii="Book Antiqua"/>
          <w:rtl w:val="0"/>
          <w:lang w:val="it-IT"/>
        </w:rPr>
        <w:t xml:space="preserve">della Raffineria di Roma, su terreni contaminati dalla dispersione di carburanti nell'evento alluvionale del 2014, che ha causato il disseccamento del filare di pini presenti lungo via di Ponte Malnome. L'area </w:t>
      </w:r>
      <w:r>
        <w:rPr>
          <w:rFonts w:hAnsi="Book Antiqua" w:hint="default"/>
          <w:rtl w:val="0"/>
          <w:lang w:val="it-IT"/>
        </w:rPr>
        <w:t xml:space="preserve">è </w:t>
      </w:r>
      <w:r>
        <w:rPr>
          <w:rFonts w:ascii="Book Antiqua"/>
          <w:rtl w:val="0"/>
          <w:lang w:val="it-IT"/>
        </w:rPr>
        <w:t xml:space="preserve">inserita in fascia A di rischio idraulico del piano stralcio di assetto idrogeologico (PAI), incastonata tra aree a rischio R4, che durante l'alluvione del 2014 sono state attraversate da una marea di almeno 120 cm d'acqua. Il progetto </w:t>
      </w:r>
      <w:r>
        <w:rPr>
          <w:rFonts w:hAnsi="Book Antiqua" w:hint="default"/>
          <w:rtl w:val="0"/>
          <w:lang w:val="it-IT"/>
        </w:rPr>
        <w:t xml:space="preserve">è </w:t>
      </w:r>
      <w:r>
        <w:rPr>
          <w:rFonts w:ascii="Book Antiqua"/>
          <w:rtl w:val="0"/>
          <w:lang w:val="it-IT"/>
        </w:rPr>
        <w:t>in corso di valutazione da parte degli uffici regionali.</w:t>
      </w:r>
    </w:p>
    <w:p>
      <w:pPr>
        <w:pStyle w:val="Normal"/>
        <w:ind w:left="567" w:right="567" w:firstLine="0"/>
        <w:jc w:val="both"/>
        <w:rPr>
          <w:rFonts w:ascii="Book Antiqua" w:cs="Book Antiqua" w:hAnsi="Book Antiqua" w:eastAsia="Book Antiqua"/>
        </w:rPr>
      </w:pPr>
      <w:r>
        <w:rPr>
          <w:rFonts w:ascii="Book Antiqua"/>
          <w:rtl w:val="0"/>
          <w:lang w:val="it-IT"/>
        </w:rPr>
        <w:t xml:space="preserve">Si evidenzia che il municipio XI si </w:t>
      </w:r>
      <w:r>
        <w:rPr>
          <w:rFonts w:hAnsi="Book Antiqua" w:hint="default"/>
          <w:rtl w:val="0"/>
          <w:lang w:val="it-IT"/>
        </w:rPr>
        <w:t xml:space="preserve">è </w:t>
      </w:r>
      <w:r>
        <w:rPr>
          <w:rFonts w:ascii="Book Antiqua"/>
          <w:rtl w:val="0"/>
          <w:lang w:val="it-IT"/>
        </w:rPr>
        <w:t>espresso contrariamente al posizionamento di questo impianto con la Mozione n. 33 del 1</w:t>
      </w:r>
      <w:r>
        <w:rPr>
          <w:rFonts w:hAnsi="Book Antiqua" w:hint="default"/>
          <w:rtl w:val="0"/>
          <w:lang w:val="it-IT"/>
        </w:rPr>
        <w:t xml:space="preserve">° </w:t>
      </w:r>
      <w:r>
        <w:rPr>
          <w:rFonts w:ascii="Book Antiqua"/>
          <w:rtl w:val="0"/>
          <w:lang w:val="it-IT"/>
        </w:rPr>
        <w:t>giugno 2017, approvata in consiglio all'unanimit</w:t>
      </w:r>
      <w:r>
        <w:rPr>
          <w:rFonts w:hAnsi="Book Antiqua" w:hint="default"/>
          <w:rtl w:val="0"/>
          <w:lang w:val="it-IT"/>
        </w:rPr>
        <w:t xml:space="preserve">à </w:t>
      </w:r>
      <w:r>
        <w:rPr>
          <w:rFonts w:ascii="Book Antiqua"/>
          <w:rtl w:val="0"/>
          <w:lang w:val="it-IT"/>
        </w:rPr>
        <w:t>da maggioranza ed opposizione.</w:t>
      </w:r>
    </w:p>
    <w:p>
      <w:pPr>
        <w:pStyle w:val="Normal"/>
        <w:ind w:left="567" w:right="567" w:firstLine="0"/>
        <w:jc w:val="both"/>
        <w:rPr>
          <w:rFonts w:ascii="Book Antiqua" w:cs="Book Antiqua" w:hAnsi="Book Antiqua" w:eastAsia="Book Antiqua"/>
          <w:i w:val="1"/>
          <w:iCs w:val="1"/>
        </w:rPr>
      </w:pPr>
      <w:r>
        <w:rPr>
          <w:rFonts w:ascii="Book Antiqua"/>
          <w:i w:val="1"/>
          <w:iCs w:val="1"/>
          <w:rtl w:val="0"/>
          <w:lang w:val="it-IT"/>
        </w:rPr>
        <w:t>Progetto di discarica a Monti dell'Ortaccio nell'XI municipio:</w:t>
      </w:r>
    </w:p>
    <w:p>
      <w:pPr>
        <w:pStyle w:val="Normal"/>
        <w:ind w:left="567" w:right="567" w:firstLine="0"/>
        <w:jc w:val="both"/>
        <w:rPr>
          <w:rFonts w:ascii="Book Antiqua" w:cs="Book Antiqua" w:hAnsi="Book Antiqua" w:eastAsia="Book Antiqua"/>
        </w:rPr>
      </w:pPr>
      <w:r>
        <w:rPr>
          <w:rFonts w:ascii="Book Antiqua"/>
          <w:rtl w:val="0"/>
          <w:lang w:val="it-IT"/>
        </w:rPr>
        <w:t>Il gestore della discarica di Malagrotta, al termine di una attivit</w:t>
      </w:r>
      <w:r>
        <w:rPr>
          <w:rFonts w:hAnsi="Book Antiqua" w:hint="default"/>
          <w:rtl w:val="0"/>
          <w:lang w:val="it-IT"/>
        </w:rPr>
        <w:t xml:space="preserve">à </w:t>
      </w:r>
      <w:r>
        <w:rPr>
          <w:rFonts w:ascii="Book Antiqua"/>
          <w:rtl w:val="0"/>
          <w:lang w:val="it-IT"/>
        </w:rPr>
        <w:t xml:space="preserve">estrattiva nelle aree di Monti dell'Ortaccio e di Monte del Lumacaro, ha richiesto autorizzazione per la realizzazione di una discarica di rifiuti urbani. A seguito delle contestazioni relative alle autorizzazioni, all'apertura di scavi in falda e all'assenza di adeguate e valide garanzie finanziarie, la regione Lazio ha ritirato l'autorizzazione integrata ambientale (AIA). Il gestore ha opposto ricorso che, dopo un pronunciamento negativo del TAR, ora pende in sede di Consiglio di Stato. Nel sito </w:t>
      </w:r>
      <w:r>
        <w:rPr>
          <w:rFonts w:hAnsi="Book Antiqua" w:hint="default"/>
          <w:rtl w:val="0"/>
          <w:lang w:val="it-IT"/>
        </w:rPr>
        <w:t xml:space="preserve">è </w:t>
      </w:r>
      <w:r>
        <w:rPr>
          <w:rFonts w:ascii="Book Antiqua"/>
          <w:rtl w:val="0"/>
          <w:lang w:val="it-IT"/>
        </w:rPr>
        <w:t>presente un lago artificiale a testimonianza del fatto che lo scavo ha alterato la falda superficiale e profonda costituendo di fatto un fattore di rischio per la realizzazione della discarica in assenza di idonea barriera geologica naturale.</w:t>
      </w:r>
    </w:p>
    <w:p>
      <w:pPr>
        <w:pStyle w:val="Normal"/>
        <w:ind w:left="567" w:right="567" w:firstLine="0"/>
        <w:jc w:val="both"/>
        <w:rPr>
          <w:rFonts w:ascii="Book Antiqua" w:cs="Book Antiqua" w:hAnsi="Book Antiqua" w:eastAsia="Book Antiqua"/>
          <w:i w:val="1"/>
          <w:iCs w:val="1"/>
        </w:rPr>
      </w:pPr>
      <w:r>
        <w:rPr>
          <w:rFonts w:ascii="Book Antiqua"/>
          <w:i w:val="1"/>
          <w:iCs w:val="1"/>
          <w:rtl w:val="0"/>
          <w:lang w:val="it-IT"/>
        </w:rPr>
        <w:t>Progetto di discarica di amianto, unica nel Lazio, in procedura di valutazione impatto ambientale (VIA), nell'XI municipio:</w:t>
      </w:r>
    </w:p>
    <w:p>
      <w:pPr>
        <w:pStyle w:val="Normal"/>
        <w:ind w:left="567" w:right="567" w:firstLine="0"/>
        <w:jc w:val="both"/>
        <w:rPr>
          <w:rFonts w:ascii="Book Antiqua" w:cs="Book Antiqua" w:hAnsi="Book Antiqua" w:eastAsia="Book Antiqua"/>
        </w:rPr>
      </w:pPr>
      <w:r>
        <w:rPr>
          <w:rFonts w:ascii="Book Antiqua"/>
          <w:rtl w:val="0"/>
          <w:lang w:val="it-IT"/>
        </w:rPr>
        <w:t xml:space="preserve">Nel sito di Monte Carnevale, a poche centinaia di metri da Malagrotta e Ponte Malnome, </w:t>
      </w:r>
      <w:r>
        <w:rPr>
          <w:rFonts w:hAnsi="Book Antiqua" w:hint="default"/>
          <w:rtl w:val="0"/>
          <w:lang w:val="it-IT"/>
        </w:rPr>
        <w:t xml:space="preserve">è </w:t>
      </w:r>
      <w:r>
        <w:rPr>
          <w:rFonts w:ascii="Book Antiqua"/>
          <w:rtl w:val="0"/>
          <w:lang w:val="it-IT"/>
        </w:rPr>
        <w:t xml:space="preserve">stato proposto un progetto di discarica di rifiuti contenenti amianto (RCA) ed inerti proposta da N.G.R. - New Green Roma S.r.l. al n. 63/2016 del registro elenco progetti. Il sito di discarica </w:t>
      </w:r>
      <w:r>
        <w:rPr>
          <w:rFonts w:hAnsi="Book Antiqua" w:hint="default"/>
          <w:rtl w:val="0"/>
          <w:lang w:val="it-IT"/>
        </w:rPr>
        <w:t xml:space="preserve">è </w:t>
      </w:r>
      <w:r>
        <w:rPr>
          <w:rFonts w:ascii="Book Antiqua"/>
          <w:rtl w:val="0"/>
          <w:lang w:val="it-IT"/>
        </w:rPr>
        <w:t>progettato in una area adibita ad attivit</w:t>
      </w:r>
      <w:r>
        <w:rPr>
          <w:rFonts w:hAnsi="Book Antiqua" w:hint="default"/>
          <w:rtl w:val="0"/>
          <w:lang w:val="it-IT"/>
        </w:rPr>
        <w:t xml:space="preserve">à </w:t>
      </w:r>
      <w:r>
        <w:rPr>
          <w:rFonts w:ascii="Book Antiqua"/>
          <w:rtl w:val="0"/>
          <w:lang w:val="it-IT"/>
        </w:rPr>
        <w:t xml:space="preserve">estrattiva dove non </w:t>
      </w:r>
      <w:r>
        <w:rPr>
          <w:rFonts w:hAnsi="Book Antiqua" w:hint="default"/>
          <w:rtl w:val="0"/>
          <w:lang w:val="it-IT"/>
        </w:rPr>
        <w:t xml:space="preserve">è </w:t>
      </w:r>
      <w:r>
        <w:rPr>
          <w:rFonts w:ascii="Book Antiqua"/>
          <w:rtl w:val="0"/>
          <w:lang w:val="it-IT"/>
        </w:rPr>
        <w:t xml:space="preserve">mai stato completato il risanamento ambientale da parte dei precedenti gestori della cava Cavedill srl e Miri Mix srl. In sede di conferenza dei servizi il municipio XI ed il comune hanno espresso diniego tecnico, amministrativo e politico all'apertura della discarica. In particolare si ricorda che la mozione con cui </w:t>
      </w:r>
      <w:r>
        <w:rPr>
          <w:rFonts w:hAnsi="Book Antiqua" w:hint="default"/>
          <w:rtl w:val="0"/>
          <w:lang w:val="it-IT"/>
        </w:rPr>
        <w:t xml:space="preserve">è </w:t>
      </w:r>
      <w:r>
        <w:rPr>
          <w:rFonts w:ascii="Book Antiqua"/>
          <w:rtl w:val="0"/>
          <w:lang w:val="it-IT"/>
        </w:rPr>
        <w:t>stata votata la contrariet</w:t>
      </w:r>
      <w:r>
        <w:rPr>
          <w:rFonts w:hAnsi="Book Antiqua" w:hint="default"/>
          <w:rtl w:val="0"/>
          <w:lang w:val="it-IT"/>
        </w:rPr>
        <w:t xml:space="preserve">à </w:t>
      </w:r>
      <w:r>
        <w:rPr>
          <w:rFonts w:ascii="Book Antiqua"/>
          <w:rtl w:val="0"/>
          <w:lang w:val="it-IT"/>
        </w:rPr>
        <w:t xml:space="preserve">alla realizzazione della discarica per rifiuti contenenti amianto </w:t>
      </w:r>
      <w:r>
        <w:rPr>
          <w:rFonts w:hAnsi="Book Antiqua" w:hint="default"/>
          <w:rtl w:val="0"/>
          <w:lang w:val="it-IT"/>
        </w:rPr>
        <w:t xml:space="preserve">è </w:t>
      </w:r>
      <w:r>
        <w:rPr>
          <w:rFonts w:ascii="Book Antiqua"/>
          <w:rtl w:val="0"/>
          <w:lang w:val="it-IT"/>
        </w:rPr>
        <w:t>stata approvata in consiglio all'unanimit</w:t>
      </w:r>
      <w:r>
        <w:rPr>
          <w:rFonts w:hAnsi="Book Antiqua" w:hint="default"/>
          <w:rtl w:val="0"/>
          <w:lang w:val="it-IT"/>
        </w:rPr>
        <w:t xml:space="preserve">à </w:t>
      </w:r>
      <w:r>
        <w:rPr>
          <w:rFonts w:ascii="Book Antiqua"/>
          <w:rtl w:val="0"/>
          <w:lang w:val="it-IT"/>
        </w:rPr>
        <w:t xml:space="preserve">da maggioranza ed opposizione. Si rileva che la regione Lazio si </w:t>
      </w:r>
      <w:r>
        <w:rPr>
          <w:rFonts w:hAnsi="Book Antiqua" w:hint="default"/>
          <w:rtl w:val="0"/>
          <w:lang w:val="it-IT"/>
        </w:rPr>
        <w:t xml:space="preserve">è </w:t>
      </w:r>
      <w:r>
        <w:rPr>
          <w:rFonts w:ascii="Book Antiqua"/>
          <w:rtl w:val="0"/>
          <w:lang w:val="it-IT"/>
        </w:rPr>
        <w:t xml:space="preserve">invece espressa favorevolmente alla realizzazione della prima discarica di amianto del Lazio e dell'Italia centrale in adiacenza a Malagrotta, dimenticando che il territorio </w:t>
      </w:r>
      <w:r>
        <w:rPr>
          <w:rFonts w:hAnsi="Book Antiqua" w:hint="default"/>
          <w:rtl w:val="0"/>
          <w:lang w:val="it-IT"/>
        </w:rPr>
        <w:t xml:space="preserve">è </w:t>
      </w:r>
      <w:r>
        <w:rPr>
          <w:rFonts w:ascii="Book Antiqua"/>
          <w:rtl w:val="0"/>
          <w:lang w:val="it-IT"/>
        </w:rPr>
        <w:t>martoriato da decenni di sfruttamento impiantistico e che per la popolazione ci</w:t>
      </w:r>
      <w:r>
        <w:rPr>
          <w:rFonts w:hAnsi="Book Antiqua" w:hint="default"/>
          <w:rtl w:val="0"/>
          <w:lang w:val="it-IT"/>
        </w:rPr>
        <w:t xml:space="preserve">ò è </w:t>
      </w:r>
      <w:r>
        <w:rPr>
          <w:rFonts w:ascii="Book Antiqua"/>
          <w:rtl w:val="0"/>
          <w:lang w:val="it-IT"/>
        </w:rPr>
        <w:t>insostenibile</w:t>
      </w:r>
      <w:r>
        <w:rPr>
          <w:rFonts w:hAnsi="Book Antiqua" w:hint="default"/>
          <w:rtl w:val="0"/>
          <w:lang w:val="it-IT"/>
        </w:rPr>
        <w:t>“</w:t>
      </w:r>
      <w:r>
        <w:rPr>
          <w:rFonts w:ascii="Book Antiqua"/>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Nel corso dell</w:t>
      </w:r>
      <w:r>
        <w:rPr>
          <w:rFonts w:hAnsi="Book Antiqua" w:hint="default"/>
          <w:rtl w:val="0"/>
          <w:lang w:val="it-IT"/>
        </w:rPr>
        <w:t>’</w:t>
      </w:r>
      <w:r>
        <w:rPr>
          <w:rFonts w:ascii="Book Antiqua"/>
          <w:rtl w:val="0"/>
          <w:lang w:val="it-IT"/>
        </w:rPr>
        <w:t>audizione del 31 gennaio 2017, all</w:t>
      </w:r>
      <w:r>
        <w:rPr>
          <w:rFonts w:hAnsi="Book Antiqua" w:hint="default"/>
          <w:rtl w:val="0"/>
          <w:lang w:val="it-IT"/>
        </w:rPr>
        <w:t>’</w:t>
      </w:r>
      <w:r>
        <w:rPr>
          <w:rFonts w:ascii="Book Antiqua"/>
          <w:rtl w:val="0"/>
          <w:lang w:val="it-IT"/>
        </w:rPr>
        <w:t>assessora alla sostenibilit</w:t>
      </w:r>
      <w:r>
        <w:rPr>
          <w:rFonts w:hAnsi="Book Antiqua" w:hint="default"/>
          <w:rtl w:val="0"/>
          <w:lang w:val="it-IT"/>
        </w:rPr>
        <w:t xml:space="preserve">à </w:t>
      </w:r>
      <w:r>
        <w:rPr>
          <w:rFonts w:ascii="Book Antiqua"/>
          <w:rtl w:val="0"/>
          <w:lang w:val="it-IT"/>
        </w:rPr>
        <w:t>ambientale del comune di Roma, Giuseppina Montanari, sono state richieste informazioni sulla possibilit</w:t>
      </w:r>
      <w:r>
        <w:rPr>
          <w:rFonts w:hAnsi="Book Antiqua" w:hint="default"/>
          <w:rtl w:val="0"/>
          <w:lang w:val="it-IT"/>
        </w:rPr>
        <w:t xml:space="preserve">à </w:t>
      </w:r>
      <w:r>
        <w:rPr>
          <w:rFonts w:ascii="Book Antiqua"/>
          <w:rtl w:val="0"/>
          <w:lang w:val="it-IT"/>
        </w:rPr>
        <w:t>della realizzazione a Ponte Malnome di una di circa di inerti e amianto.</w:t>
      </w:r>
    </w:p>
    <w:p>
      <w:pPr>
        <w:pStyle w:val="Normal"/>
        <w:ind w:left="567" w:right="567" w:firstLine="0"/>
        <w:jc w:val="both"/>
        <w:rPr>
          <w:rFonts w:ascii="Book Antiqua" w:cs="Book Antiqua" w:hAnsi="Book Antiqua" w:eastAsia="Book Antiqua"/>
        </w:rPr>
      </w:pPr>
      <w:r>
        <w:rPr>
          <w:rFonts w:ascii="Book Antiqua"/>
          <w:rtl w:val="0"/>
          <w:lang w:val="it-IT"/>
        </w:rPr>
        <w:t>L</w:t>
      </w:r>
      <w:r>
        <w:rPr>
          <w:rFonts w:hAnsi="Book Antiqua" w:hint="default"/>
          <w:rtl w:val="0"/>
          <w:lang w:val="it-IT"/>
        </w:rPr>
        <w:t>’</w:t>
      </w:r>
      <w:r>
        <w:rPr>
          <w:rFonts w:ascii="Book Antiqua"/>
          <w:rtl w:val="0"/>
          <w:lang w:val="it-IT"/>
        </w:rPr>
        <w:t xml:space="preserve">assessora ha dichiarato: </w:t>
      </w:r>
      <w:r>
        <w:rPr>
          <w:rFonts w:hAnsi="Book Antiqua" w:hint="default"/>
          <w:rtl w:val="0"/>
          <w:lang w:val="it-IT"/>
        </w:rPr>
        <w:t>“</w:t>
      </w:r>
      <w:r>
        <w:rPr>
          <w:rFonts w:ascii="Book Antiqua"/>
          <w:rtl w:val="0"/>
          <w:lang w:val="it-IT"/>
        </w:rPr>
        <w:t>Stiamo facendo una valutazione attenta della dimensione delle potenzialit</w:t>
      </w:r>
      <w:r>
        <w:rPr>
          <w:rFonts w:hAnsi="Book Antiqua" w:hint="default"/>
          <w:rtl w:val="0"/>
          <w:lang w:val="it-IT"/>
        </w:rPr>
        <w:t xml:space="preserve">à </w:t>
      </w:r>
      <w:r>
        <w:rPr>
          <w:rFonts w:ascii="Book Antiqua"/>
          <w:rtl w:val="0"/>
          <w:lang w:val="it-IT"/>
        </w:rPr>
        <w:t xml:space="preserve">di questo luogo. A nostro avviso, come ad avviso della commissione ambiente, che si </w:t>
      </w:r>
      <w:r>
        <w:rPr>
          <w:rFonts w:hAnsi="Book Antiqua" w:hint="default"/>
          <w:rtl w:val="0"/>
          <w:lang w:val="it-IT"/>
        </w:rPr>
        <w:t xml:space="preserve">è </w:t>
      </w:r>
      <w:r>
        <w:rPr>
          <w:rFonts w:ascii="Book Antiqua"/>
          <w:rtl w:val="0"/>
          <w:lang w:val="it-IT"/>
        </w:rPr>
        <w:t>gi</w:t>
      </w:r>
      <w:r>
        <w:rPr>
          <w:rFonts w:hAnsi="Book Antiqua" w:hint="default"/>
          <w:rtl w:val="0"/>
          <w:lang w:val="it-IT"/>
        </w:rPr>
        <w:t xml:space="preserve">à </w:t>
      </w:r>
      <w:r>
        <w:rPr>
          <w:rFonts w:ascii="Book Antiqua"/>
          <w:rtl w:val="0"/>
          <w:lang w:val="it-IT"/>
        </w:rPr>
        <w:t xml:space="preserve">espressa, non ci sono le condizioni nell'area individuata </w:t>
      </w:r>
      <w:r>
        <w:rPr>
          <w:rFonts w:hAnsi="Book Antiqua" w:hint="default"/>
          <w:rtl w:val="0"/>
          <w:lang w:val="it-IT"/>
        </w:rPr>
        <w:t xml:space="preserve">– </w:t>
      </w:r>
      <w:r>
        <w:rPr>
          <w:rFonts w:ascii="Book Antiqua"/>
          <w:rtl w:val="0"/>
          <w:lang w:val="it-IT"/>
        </w:rPr>
        <w:t xml:space="preserve">abbiamo fatto un sopralluogo anche una settimana fa </w:t>
      </w:r>
      <w:r>
        <w:rPr>
          <w:rFonts w:hAnsi="Book Antiqua" w:hint="default"/>
          <w:rtl w:val="0"/>
          <w:lang w:val="it-IT"/>
        </w:rPr>
        <w:t xml:space="preserve">– </w:t>
      </w:r>
      <w:r>
        <w:rPr>
          <w:rFonts w:ascii="Book Antiqua"/>
          <w:rtl w:val="0"/>
          <w:lang w:val="it-IT"/>
        </w:rPr>
        <w:t>per esprimere valutazioni positive. A nostro avviso, l'area si presenta come un'area naturalistica, anche forse l'ultima rimasta in quell'area di connessione ecologica</w:t>
      </w:r>
      <w:r>
        <w:rPr>
          <w:rFonts w:hAnsi="Book Antiqua" w:hint="default"/>
          <w:rtl w:val="0"/>
          <w:lang w:val="it-IT"/>
        </w:rPr>
        <w:t>”</w:t>
      </w:r>
      <w:r>
        <w:rPr>
          <w:rFonts w:ascii="Book Antiqua"/>
          <w:rtl w:val="0"/>
          <w:lang w:val="it-IT"/>
        </w:rPr>
        <w:t>; precisazioni sono state fornite da Mariella Maffini, dello staff dell</w:t>
      </w:r>
      <w:r>
        <w:rPr>
          <w:rFonts w:hAnsi="Book Antiqua" w:hint="default"/>
          <w:rtl w:val="0"/>
          <w:lang w:val="it-IT"/>
        </w:rPr>
        <w:t>’</w:t>
      </w:r>
      <w:r>
        <w:rPr>
          <w:rFonts w:ascii="Book Antiqua"/>
          <w:rtl w:val="0"/>
          <w:lang w:val="it-IT"/>
        </w:rPr>
        <w:t>assessorato, presente all</w:t>
      </w:r>
      <w:r>
        <w:rPr>
          <w:rFonts w:hAnsi="Book Antiqua" w:hint="default"/>
          <w:rtl w:val="0"/>
          <w:lang w:val="it-IT"/>
        </w:rPr>
        <w:t>’</w:t>
      </w:r>
      <w:r>
        <w:rPr>
          <w:rFonts w:ascii="Book Antiqua"/>
          <w:rtl w:val="0"/>
          <w:lang w:val="it-IT"/>
        </w:rPr>
        <w:t xml:space="preserve">audizione: </w:t>
      </w:r>
      <w:r>
        <w:rPr>
          <w:rFonts w:hAnsi="Book Antiqua" w:hint="default"/>
          <w:rtl w:val="0"/>
          <w:lang w:val="it-IT"/>
        </w:rPr>
        <w:t>“</w:t>
      </w:r>
      <w:r>
        <w:rPr>
          <w:rFonts w:ascii="Book Antiqua"/>
          <w:rtl w:val="0"/>
          <w:lang w:val="it-IT"/>
        </w:rPr>
        <w:t>per quanto riguarda la discarica di Ponte Malnome di rifiuti inerti e di amianto, abbiamo affrontato il tema con gli uffici del dipartimento che se ne occupano nell'ambito dell'autorizzazione che dovr</w:t>
      </w:r>
      <w:r>
        <w:rPr>
          <w:rFonts w:hAnsi="Book Antiqua" w:hint="default"/>
          <w:rtl w:val="0"/>
          <w:lang w:val="it-IT"/>
        </w:rPr>
        <w:t xml:space="preserve">à </w:t>
      </w:r>
      <w:r>
        <w:rPr>
          <w:rFonts w:ascii="Book Antiqua"/>
          <w:rtl w:val="0"/>
          <w:lang w:val="it-IT"/>
        </w:rPr>
        <w:t xml:space="preserve">rilasciare la regione. Ad oggi, questa richiesta </w:t>
      </w:r>
      <w:r>
        <w:rPr>
          <w:rFonts w:hAnsi="Book Antiqua" w:hint="default"/>
          <w:rtl w:val="0"/>
          <w:lang w:val="it-IT"/>
        </w:rPr>
        <w:t xml:space="preserve">è </w:t>
      </w:r>
      <w:r>
        <w:rPr>
          <w:rFonts w:ascii="Book Antiqua"/>
          <w:rtl w:val="0"/>
          <w:lang w:val="it-IT"/>
        </w:rPr>
        <w:t>in fase di VIA. I nostri uffici del dipartimento che si occupano di VIA stanno raccogliendo tutti i pareri dai vari dipartimenti, quindi dall'urbanistica alla viabilit</w:t>
      </w:r>
      <w:r>
        <w:rPr>
          <w:rFonts w:hAnsi="Book Antiqua" w:hint="default"/>
          <w:rtl w:val="0"/>
          <w:lang w:val="it-IT"/>
        </w:rPr>
        <w:t>à</w:t>
      </w:r>
      <w:r>
        <w:rPr>
          <w:rFonts w:ascii="Book Antiqua"/>
          <w:rtl w:val="0"/>
          <w:lang w:val="it-IT"/>
        </w:rPr>
        <w:t>, all'ambiente. Alcuni pareri sono gi</w:t>
      </w:r>
      <w:r>
        <w:rPr>
          <w:rFonts w:hAnsi="Book Antiqua" w:hint="default"/>
          <w:rtl w:val="0"/>
          <w:lang w:val="it-IT"/>
        </w:rPr>
        <w:t xml:space="preserve">à </w:t>
      </w:r>
      <w:r>
        <w:rPr>
          <w:rFonts w:ascii="Book Antiqua"/>
          <w:rtl w:val="0"/>
          <w:lang w:val="it-IT"/>
        </w:rPr>
        <w:t>arrivati. La scadenza era fissata proprio per ieri, perch</w:t>
      </w:r>
      <w:r>
        <w:rPr>
          <w:rFonts w:hAnsi="Book Antiqua" w:hint="default"/>
          <w:rtl w:val="0"/>
          <w:lang w:val="it-IT"/>
        </w:rPr>
        <w:t xml:space="preserve">é </w:t>
      </w:r>
      <w:r>
        <w:rPr>
          <w:rFonts w:ascii="Book Antiqua"/>
          <w:rtl w:val="0"/>
          <w:lang w:val="it-IT"/>
        </w:rPr>
        <w:t>entro il 6 febbraio dobbiamo consegnare le nostre osservazioni alla regione. Una parte di pareri che sono gi</w:t>
      </w:r>
      <w:r>
        <w:rPr>
          <w:rFonts w:hAnsi="Book Antiqua" w:hint="default"/>
          <w:rtl w:val="0"/>
          <w:lang w:val="it-IT"/>
        </w:rPr>
        <w:t xml:space="preserve">à </w:t>
      </w:r>
      <w:r>
        <w:rPr>
          <w:rFonts w:ascii="Book Antiqua"/>
          <w:rtl w:val="0"/>
          <w:lang w:val="it-IT"/>
        </w:rPr>
        <w:t xml:space="preserve">arrivati </w:t>
      </w:r>
      <w:r>
        <w:rPr>
          <w:rFonts w:hAnsi="Book Antiqua" w:hint="default"/>
          <w:rtl w:val="0"/>
          <w:lang w:val="it-IT"/>
        </w:rPr>
        <w:t xml:space="preserve">è </w:t>
      </w:r>
      <w:r>
        <w:rPr>
          <w:rFonts w:ascii="Book Antiqua"/>
          <w:rtl w:val="0"/>
          <w:lang w:val="it-IT"/>
        </w:rPr>
        <w:t>negativa, soprattutto perch</w:t>
      </w:r>
      <w:r>
        <w:rPr>
          <w:rFonts w:hAnsi="Book Antiqua" w:hint="default"/>
          <w:rtl w:val="0"/>
          <w:lang w:val="it-IT"/>
        </w:rPr>
        <w:t xml:space="preserve">é </w:t>
      </w:r>
      <w:r>
        <w:rPr>
          <w:rFonts w:ascii="Book Antiqua"/>
          <w:rtl w:val="0"/>
          <w:lang w:val="it-IT"/>
        </w:rPr>
        <w:t>nel piano regolatore generale la localizzazione di questa discarica andrebbe in un'area agro a componente primaria. In quest'area potrebbe essere accolta, quindi, una discarica di rifiuti inerti, ma non di amianto. Inoltre, relativamente alla discarica, che vorrebbero costruire su una vecchia cava, ci sono problemi anche in riferimento alla cava. I proprietari sono stati diffidati perch</w:t>
      </w:r>
      <w:r>
        <w:rPr>
          <w:rFonts w:hAnsi="Book Antiqua" w:hint="default"/>
          <w:rtl w:val="0"/>
          <w:lang w:val="it-IT"/>
        </w:rPr>
        <w:t xml:space="preserve">é </w:t>
      </w:r>
      <w:r>
        <w:rPr>
          <w:rFonts w:ascii="Book Antiqua"/>
          <w:rtl w:val="0"/>
          <w:lang w:val="it-IT"/>
        </w:rPr>
        <w:t xml:space="preserve">la cava non </w:t>
      </w:r>
      <w:r>
        <w:rPr>
          <w:rFonts w:hAnsi="Book Antiqua" w:hint="default"/>
          <w:rtl w:val="0"/>
          <w:lang w:val="it-IT"/>
        </w:rPr>
        <w:t xml:space="preserve">è </w:t>
      </w:r>
      <w:r>
        <w:rPr>
          <w:rFonts w:ascii="Book Antiqua"/>
          <w:rtl w:val="0"/>
          <w:lang w:val="it-IT"/>
        </w:rPr>
        <w:t xml:space="preserve">stata coltivata secondo le disposizioni e le autorizzazioni. Anche il parere paesaggistico </w:t>
      </w:r>
      <w:r>
        <w:rPr>
          <w:rFonts w:hAnsi="Book Antiqua" w:hint="default"/>
          <w:rtl w:val="0"/>
          <w:lang w:val="it-IT"/>
        </w:rPr>
        <w:t xml:space="preserve">è </w:t>
      </w:r>
      <w:r>
        <w:rPr>
          <w:rFonts w:ascii="Book Antiqua"/>
          <w:rtl w:val="0"/>
          <w:lang w:val="it-IT"/>
        </w:rPr>
        <w:t>negativo.</w:t>
      </w:r>
      <w:r>
        <w:rPr>
          <w:rFonts w:hAnsi="Book Antiqua" w:hint="default"/>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 xml:space="preserve">Nel sito, come si </w:t>
      </w:r>
      <w:r>
        <w:rPr>
          <w:rFonts w:hAnsi="Book Antiqua" w:hint="default"/>
          <w:rtl w:val="0"/>
          <w:lang w:val="it-IT"/>
        </w:rPr>
        <w:t xml:space="preserve">è </w:t>
      </w:r>
      <w:r>
        <w:rPr>
          <w:rFonts w:ascii="Book Antiqua"/>
          <w:rtl w:val="0"/>
          <w:lang w:val="it-IT"/>
        </w:rPr>
        <w:t>visto, si trova anche un impianto AMA di termovalorizzazione di rifiuti sanitari (Ponte Malnome).</w:t>
      </w:r>
    </w:p>
    <w:p>
      <w:pPr>
        <w:pStyle w:val="Normal"/>
        <w:ind w:left="567" w:right="567" w:firstLine="0"/>
        <w:jc w:val="both"/>
        <w:rPr>
          <w:rFonts w:ascii="Book Antiqua" w:cs="Book Antiqua" w:hAnsi="Book Antiqua" w:eastAsia="Book Antiqua"/>
        </w:rPr>
      </w:pPr>
      <w:r>
        <w:rPr>
          <w:rFonts w:ascii="Book Antiqua"/>
          <w:rtl w:val="0"/>
          <w:lang w:val="it-IT"/>
        </w:rPr>
        <w:t>L</w:t>
      </w:r>
      <w:r>
        <w:rPr>
          <w:rFonts w:hAnsi="Book Antiqua" w:hint="default"/>
          <w:rtl w:val="0"/>
          <w:lang w:val="it-IT"/>
        </w:rPr>
        <w:t>’</w:t>
      </w:r>
      <w:r>
        <w:rPr>
          <w:rFonts w:ascii="Book Antiqua"/>
          <w:rtl w:val="0"/>
          <w:lang w:val="it-IT"/>
        </w:rPr>
        <w:t xml:space="preserve">impianto </w:t>
      </w:r>
      <w:r>
        <w:rPr>
          <w:rFonts w:hAnsi="Book Antiqua" w:hint="default"/>
          <w:rtl w:val="0"/>
          <w:lang w:val="it-IT"/>
        </w:rPr>
        <w:t xml:space="preserve">è </w:t>
      </w:r>
      <w:r>
        <w:rPr>
          <w:rFonts w:ascii="Book Antiqua"/>
          <w:rtl w:val="0"/>
          <w:lang w:val="it-IT"/>
        </w:rPr>
        <w:t>peraltro fermo dal maggio 2015 e ha progressivamente assunto la funzione di stazione di trasferenza</w:t>
      </w:r>
      <w:r>
        <w:rPr>
          <w:rFonts w:ascii="Book Antiqua" w:cs="Book Antiqua" w:hAnsi="Book Antiqua" w:eastAsia="Book Antiqua"/>
          <w:sz w:val="22"/>
          <w:szCs w:val="22"/>
          <w:vertAlign w:val="superscript"/>
          <w:rtl w:val="0"/>
        </w:rPr>
        <w:footnoteReference w:id="292"/>
      </w:r>
    </w:p>
    <w:p>
      <w:pPr>
        <w:pStyle w:val="Normal"/>
        <w:ind w:left="567" w:right="567" w:firstLine="0"/>
        <w:jc w:val="both"/>
        <w:rPr>
          <w:rFonts w:ascii="Book Antiqua" w:cs="Book Antiqua" w:hAnsi="Book Antiqua" w:eastAsia="Book Antiqua"/>
          <w:i w:val="1"/>
          <w:iCs w:val="1"/>
          <w:color w:val="000000"/>
          <w:sz w:val="28"/>
          <w:szCs w:val="28"/>
          <w:u w:val="single" w:color="000000"/>
        </w:rPr>
      </w:pPr>
    </w:p>
    <w:p>
      <w:pPr>
        <w:pStyle w:val="Normal"/>
        <w:rPr>
          <w:b w:val="1"/>
          <w:bCs w:val="1"/>
          <w:i w:val="1"/>
          <w:iCs w:val="1"/>
        </w:rPr>
      </w:pPr>
      <w:r>
        <w:rPr>
          <w:b w:val="1"/>
          <w:bCs w:val="1"/>
          <w:i w:val="1"/>
          <w:iCs w:val="1"/>
          <w:rtl w:val="0"/>
        </w:rPr>
        <w:drawing>
          <wp:inline distT="0" distB="0" distL="0" distR="0">
            <wp:extent cx="6134006" cy="3803650"/>
            <wp:effectExtent l="0" t="0" r="0" b="0"/>
            <wp:docPr id="1073741877" name="officeArt object" descr="ponte_malnome_2.png"/>
            <wp:cNvGraphicFramePr/>
            <a:graphic xmlns:a="http://schemas.openxmlformats.org/drawingml/2006/main">
              <a:graphicData uri="http://schemas.openxmlformats.org/drawingml/2006/picture">
                <pic:pic xmlns:pic="http://schemas.openxmlformats.org/drawingml/2006/picture">
                  <pic:nvPicPr>
                    <pic:cNvPr id="1073741877" name="image51.png" descr="ponte_malnome_2.png"/>
                    <pic:cNvPicPr/>
                  </pic:nvPicPr>
                  <pic:blipFill>
                    <a:blip r:embed="rId61">
                      <a:extLst/>
                    </a:blip>
                    <a:stretch>
                      <a:fillRect/>
                    </a:stretch>
                  </pic:blipFill>
                  <pic:spPr>
                    <a:xfrm>
                      <a:off x="0" y="0"/>
                      <a:ext cx="6134006" cy="3803650"/>
                    </a:xfrm>
                    <a:prstGeom prst="rect">
                      <a:avLst/>
                    </a:prstGeom>
                    <a:ln w="12700" cap="flat">
                      <a:noFill/>
                      <a:miter lim="400000"/>
                    </a:ln>
                    <a:effectLst/>
                  </pic:spPr>
                </pic:pic>
              </a:graphicData>
            </a:graphic>
          </wp:inline>
        </w:drawing>
      </w: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rPr>
      </w:pPr>
    </w:p>
    <w:p>
      <w:pPr>
        <w:pStyle w:val="intervento"/>
        <w:spacing w:before="0" w:after="0"/>
        <w:ind w:left="567" w:right="567" w:firstLine="0"/>
        <w:jc w:val="both"/>
        <w:rPr>
          <w:rFonts w:ascii="Book Antiqua" w:cs="Book Antiqua" w:hAnsi="Book Antiqua" w:eastAsia="Book Antiqua"/>
        </w:rPr>
      </w:pPr>
      <w:r>
        <w:rPr>
          <w:rFonts w:ascii="Book Antiqua"/>
          <w:rtl w:val="0"/>
          <w:lang w:val="it-IT"/>
        </w:rPr>
        <w:t>L</w:t>
      </w:r>
      <w:r>
        <w:rPr>
          <w:rFonts w:hAnsi="Book Antiqua" w:hint="default"/>
          <w:rtl w:val="0"/>
          <w:lang w:val="it-IT"/>
        </w:rPr>
        <w:t>’</w:t>
      </w:r>
      <w:r>
        <w:rPr>
          <w:rFonts w:ascii="Book Antiqua"/>
          <w:rtl w:val="0"/>
          <w:lang w:val="it-IT"/>
        </w:rPr>
        <w:t>AMA ha a suo tempo riferito alla Commissione di avere presentato alcuni progetti relativi all</w:t>
      </w:r>
      <w:r>
        <w:rPr>
          <w:rFonts w:hAnsi="Book Antiqua" w:hint="default"/>
          <w:rtl w:val="0"/>
          <w:lang w:val="it-IT"/>
        </w:rPr>
        <w:t>’</w:t>
      </w:r>
      <w:r>
        <w:rPr>
          <w:rFonts w:ascii="Book Antiqua"/>
          <w:rtl w:val="0"/>
          <w:lang w:val="it-IT"/>
        </w:rPr>
        <w:t>impiantistica di Ponte Malnome, i cui procedimenti risultano tutti ancora in corso, e cos</w:t>
      </w:r>
      <w:r>
        <w:rPr>
          <w:rFonts w:hAnsi="Book Antiqua" w:hint="default"/>
          <w:rtl w:val="0"/>
          <w:lang w:val="it-IT"/>
        </w:rPr>
        <w:t xml:space="preserve">ì </w:t>
      </w:r>
      <w:r>
        <w:rPr>
          <w:rFonts w:ascii="Book Antiqua"/>
          <w:rtl w:val="0"/>
          <w:lang w:val="it-IT"/>
        </w:rPr>
        <w:t>vengono riferiti dall</w:t>
      </w:r>
      <w:r>
        <w:rPr>
          <w:rFonts w:hAnsi="Book Antiqua" w:hint="default"/>
          <w:rtl w:val="0"/>
          <w:lang w:val="it-IT"/>
        </w:rPr>
        <w:t>’</w:t>
      </w:r>
      <w:r>
        <w:rPr>
          <w:rFonts w:ascii="Book Antiqua"/>
          <w:rtl w:val="0"/>
          <w:lang w:val="it-IT"/>
        </w:rPr>
        <w:t>azienda</w:t>
      </w:r>
      <w:r>
        <w:rPr>
          <w:rFonts w:ascii="Book Antiqua" w:cs="Book Antiqua" w:hAnsi="Book Antiqua" w:eastAsia="Book Antiqua"/>
          <w:vertAlign w:val="superscript"/>
          <w:rtl w:val="0"/>
        </w:rPr>
        <w:footnoteReference w:id="293"/>
      </w:r>
      <w:r>
        <w:rPr>
          <w:rFonts w:ascii="Book Antiqua"/>
          <w:rtl w:val="0"/>
          <w:lang w:val="it-IT"/>
        </w:rPr>
        <w:t>:</w:t>
      </w:r>
    </w:p>
    <w:p>
      <w:pPr>
        <w:pStyle w:val="intervento"/>
        <w:spacing w:before="0" w:after="0"/>
        <w:ind w:left="567" w:right="567" w:firstLine="0"/>
        <w:jc w:val="both"/>
        <w:rPr>
          <w:rFonts w:ascii="Book Antiqua" w:cs="Book Antiqua" w:hAnsi="Book Antiqua" w:eastAsia="Book Antiqua"/>
        </w:rPr>
      </w:pPr>
    </w:p>
    <w:p>
      <w:pPr>
        <w:pStyle w:val="Elenco a colori - Colore 11"/>
        <w:spacing w:after="0" w:line="240" w:lineRule="auto"/>
        <w:ind w:left="567" w:right="567" w:firstLine="0"/>
        <w:jc w:val="both"/>
        <w:rPr>
          <w:rFonts w:ascii="Book Antiqua Bold" w:cs="Book Antiqua Bold" w:hAnsi="Book Antiqua Bold" w:eastAsia="Book Antiqua Bold"/>
          <w:b w:val="1"/>
          <w:bCs w:val="1"/>
          <w:sz w:val="24"/>
          <w:szCs w:val="24"/>
        </w:rPr>
      </w:pPr>
      <w:r>
        <w:rPr>
          <w:rFonts w:ascii="Book Antiqua Bold"/>
          <w:b w:val="1"/>
          <w:bCs w:val="1"/>
          <w:sz w:val="24"/>
          <w:szCs w:val="24"/>
          <w:rtl w:val="0"/>
          <w:lang w:val="it-IT"/>
        </w:rPr>
        <w:t>Trasferenza multimateriale Ponte Malnome</w:t>
      </w:r>
    </w:p>
    <w:p>
      <w:pPr>
        <w:pStyle w:val="Normal"/>
        <w:ind w:left="567" w:right="567" w:firstLine="0"/>
        <w:jc w:val="both"/>
        <w:rPr>
          <w:rFonts w:ascii="Book Antiqua" w:cs="Book Antiqua" w:hAnsi="Book Antiqua" w:eastAsia="Book Antiqua"/>
        </w:rPr>
      </w:pPr>
      <w:r>
        <w:rPr>
          <w:rFonts w:ascii="Book Antiqua"/>
          <w:rtl w:val="0"/>
          <w:lang w:val="it-IT"/>
        </w:rPr>
        <w:t>Autorizzata con D.D. 3338 dell</w:t>
      </w:r>
      <w:r>
        <w:rPr>
          <w:rFonts w:hAnsi="Book Antiqua" w:hint="default"/>
          <w:rtl w:val="0"/>
          <w:lang w:val="it-IT"/>
        </w:rPr>
        <w:t>’</w:t>
      </w:r>
      <w:r>
        <w:rPr>
          <w:rFonts w:ascii="Book Antiqua"/>
          <w:rtl w:val="0"/>
          <w:lang w:val="it-IT"/>
        </w:rPr>
        <w:t>11 giugno 2010; presentata istanza in data 24 luglio 2015 con nota prot. H1525/15/PTA2.6 con la quale si chiede la modifica non sostanziale dell'autorizzazione rilasciata, riguardo ad aspetti di carattere logistico (giorni di esercizio) e relativo incremento delle quantit</w:t>
      </w:r>
      <w:r>
        <w:rPr>
          <w:rFonts w:hAnsi="Book Antiqua" w:hint="default"/>
          <w:rtl w:val="0"/>
          <w:lang w:val="it-IT"/>
        </w:rPr>
        <w:t xml:space="preserve">à </w:t>
      </w:r>
      <w:r>
        <w:rPr>
          <w:rFonts w:ascii="Book Antiqua"/>
          <w:rtl w:val="0"/>
          <w:lang w:val="it-IT"/>
        </w:rPr>
        <w:t>movimentate. La citt</w:t>
      </w:r>
      <w:r>
        <w:rPr>
          <w:rFonts w:hAnsi="Book Antiqua" w:hint="default"/>
          <w:rtl w:val="0"/>
          <w:lang w:val="it-IT"/>
        </w:rPr>
        <w:t xml:space="preserve">à </w:t>
      </w:r>
      <w:r>
        <w:rPr>
          <w:rFonts w:ascii="Book Antiqua"/>
          <w:rtl w:val="0"/>
          <w:lang w:val="it-IT"/>
        </w:rPr>
        <w:t>metropolitana di Roma Capitale ha risposto con nota n. 82158/16 in data 9 giugno 2016 classificando la modifica come sostanziale e convocando una conferenza dei servizi per il giorno 5 luglio 2016.</w:t>
      </w:r>
    </w:p>
    <w:p>
      <w:pPr>
        <w:pStyle w:val="Elenco a colori - Colore 11"/>
        <w:spacing w:after="0" w:line="240" w:lineRule="auto"/>
        <w:ind w:left="567" w:right="567" w:firstLine="0"/>
        <w:jc w:val="both"/>
        <w:rPr>
          <w:rFonts w:ascii="Book Antiqua Bold" w:cs="Book Antiqua Bold" w:hAnsi="Book Antiqua Bold" w:eastAsia="Book Antiqua Bold"/>
          <w:b w:val="1"/>
          <w:bCs w:val="1"/>
          <w:sz w:val="24"/>
          <w:szCs w:val="24"/>
        </w:rPr>
      </w:pPr>
      <w:r>
        <w:rPr>
          <w:rFonts w:ascii="Book Antiqua Bold"/>
          <w:b w:val="1"/>
          <w:bCs w:val="1"/>
          <w:sz w:val="24"/>
          <w:szCs w:val="24"/>
          <w:rtl w:val="0"/>
          <w:lang w:val="it-IT"/>
        </w:rPr>
        <w:t>Revamping impianto incenerimento RSO Ponte Malnome</w:t>
      </w:r>
    </w:p>
    <w:p>
      <w:pPr>
        <w:pStyle w:val="Normal"/>
        <w:ind w:left="567" w:right="567" w:firstLine="0"/>
        <w:jc w:val="both"/>
        <w:rPr>
          <w:rFonts w:ascii="Book Antiqua" w:cs="Book Antiqua" w:hAnsi="Book Antiqua" w:eastAsia="Book Antiqua"/>
        </w:rPr>
      </w:pPr>
      <w:r>
        <w:rPr>
          <w:rFonts w:ascii="Book Antiqua"/>
          <w:rtl w:val="0"/>
          <w:lang w:val="it-IT"/>
        </w:rPr>
        <w:t>Richiesta con nota 4 agosto 2015 prot. 36095/U istanza di modifica non sostanziale. L'intervento riguarda le necessit</w:t>
      </w:r>
      <w:r>
        <w:rPr>
          <w:rFonts w:hAnsi="Book Antiqua" w:hint="default"/>
          <w:rtl w:val="0"/>
          <w:lang w:val="it-IT"/>
        </w:rPr>
        <w:t xml:space="preserve">à </w:t>
      </w:r>
      <w:r>
        <w:rPr>
          <w:rFonts w:ascii="Book Antiqua"/>
          <w:rtl w:val="0"/>
          <w:lang w:val="it-IT"/>
        </w:rPr>
        <w:t>di adeguamento dell'impianto dedicato all'incenerimento dei rifiuti speciali ospedalieri, messo in esercizio nel 1995 e che per mantenere un valore adeguato di redditivit</w:t>
      </w:r>
      <w:r>
        <w:rPr>
          <w:rFonts w:hAnsi="Book Antiqua" w:hint="default"/>
          <w:rtl w:val="0"/>
          <w:lang w:val="it-IT"/>
        </w:rPr>
        <w:t xml:space="preserve">à </w:t>
      </w:r>
      <w:r>
        <w:rPr>
          <w:rFonts w:ascii="Book Antiqua"/>
          <w:rtl w:val="0"/>
          <w:lang w:val="it-IT"/>
        </w:rPr>
        <w:t xml:space="preserve">deve essere sottoposto a migliorie/modifiche tecnologiche </w:t>
      </w:r>
    </w:p>
    <w:p>
      <w:pPr>
        <w:pStyle w:val="Normal"/>
        <w:ind w:left="567" w:right="567" w:firstLine="0"/>
        <w:jc w:val="both"/>
        <w:rPr>
          <w:rFonts w:ascii="Book Antiqua" w:cs="Book Antiqua" w:hAnsi="Book Antiqua" w:eastAsia="Book Antiqua"/>
        </w:rPr>
      </w:pPr>
      <w:r>
        <w:rPr>
          <w:rFonts w:ascii="Book Antiqua"/>
          <w:rtl w:val="0"/>
          <w:lang w:val="it-IT"/>
        </w:rPr>
        <w:t>Le linee principali dell'intervento di revamping sono: (a) inserimento di sezione di sterilizzazione a monte per semplificare le attivit</w:t>
      </w:r>
      <w:r>
        <w:rPr>
          <w:rFonts w:hAnsi="Book Antiqua" w:hint="default"/>
          <w:rtl w:val="0"/>
          <w:lang w:val="it-IT"/>
        </w:rPr>
        <w:t xml:space="preserve">à </w:t>
      </w:r>
      <w:r>
        <w:rPr>
          <w:rFonts w:ascii="Book Antiqua"/>
          <w:rtl w:val="0"/>
          <w:lang w:val="it-IT"/>
        </w:rPr>
        <w:t xml:space="preserve">di stoccaggio e di garantire anche trattamenti temporaneamente sostitutivi dell'incenerimento (produzione CDR/CSS); (b) rifacimento completo della caldaia a recupero energetico e linee trasporto polveri e ceneri; (c) rifacimento del sistema di automazione e controllo per adeguarlo alle migliori tecnologie disponibili (DCS/SCADA) e permettere configurazioni di automazione e controlli non operabili con la tecnologia obsoleta a PLC degli anni </w:t>
      </w:r>
      <w:r>
        <w:rPr>
          <w:rFonts w:hAnsi="Book Antiqua" w:hint="default"/>
          <w:rtl w:val="0"/>
          <w:lang w:val="it-IT"/>
        </w:rPr>
        <w:t>‘</w:t>
      </w:r>
      <w:r>
        <w:rPr>
          <w:rFonts w:ascii="Book Antiqua"/>
          <w:rtl w:val="0"/>
          <w:lang w:val="it-IT"/>
        </w:rPr>
        <w:t>90.</w:t>
      </w:r>
    </w:p>
    <w:p>
      <w:pPr>
        <w:pStyle w:val="Elenco a colori - Colore 11"/>
        <w:spacing w:after="0" w:line="240" w:lineRule="auto"/>
        <w:ind w:left="567" w:right="567" w:firstLine="0"/>
        <w:jc w:val="both"/>
        <w:rPr>
          <w:rFonts w:ascii="Book Antiqua Bold" w:cs="Book Antiqua Bold" w:hAnsi="Book Antiqua Bold" w:eastAsia="Book Antiqua Bold"/>
          <w:b w:val="1"/>
          <w:bCs w:val="1"/>
          <w:sz w:val="24"/>
          <w:szCs w:val="24"/>
        </w:rPr>
      </w:pPr>
      <w:r>
        <w:rPr>
          <w:rFonts w:ascii="Book Antiqua Bold"/>
          <w:b w:val="1"/>
          <w:bCs w:val="1"/>
          <w:sz w:val="24"/>
          <w:szCs w:val="24"/>
          <w:rtl w:val="0"/>
          <w:lang w:val="it-IT"/>
        </w:rPr>
        <w:t xml:space="preserve">Piattaforma trasferenza rifiuti urbani a Ponte Malnome </w:t>
      </w:r>
    </w:p>
    <w:p>
      <w:pPr>
        <w:pStyle w:val="Normal"/>
        <w:ind w:left="567" w:right="567" w:firstLine="0"/>
        <w:jc w:val="both"/>
        <w:rPr>
          <w:rFonts w:ascii="Book Antiqua" w:cs="Book Antiqua" w:hAnsi="Book Antiqua" w:eastAsia="Book Antiqua"/>
        </w:rPr>
      </w:pPr>
      <w:r>
        <w:rPr>
          <w:rFonts w:ascii="Book Antiqua"/>
          <w:rtl w:val="0"/>
          <w:lang w:val="it-IT"/>
        </w:rPr>
        <w:t>Presentata con prot. 51316/U del 16 ottobre 2013 presso la provincia di Roma e la regione Lazio istanza per l'autorizzazione, ai sensi dell'articolo 208 del decreto legislativo n. 152 del 2006, alla realizzazione di una piattaforma per attivit</w:t>
      </w:r>
      <w:r>
        <w:rPr>
          <w:rFonts w:hAnsi="Book Antiqua" w:hint="default"/>
          <w:rtl w:val="0"/>
          <w:lang w:val="it-IT"/>
        </w:rPr>
        <w:t xml:space="preserve">à </w:t>
      </w:r>
      <w:r>
        <w:rPr>
          <w:rFonts w:ascii="Book Antiqua"/>
          <w:rtl w:val="0"/>
          <w:lang w:val="it-IT"/>
        </w:rPr>
        <w:t>di trasferenza rifiuti urbani non differenziati (CER 20 03 01) e rifiuti ingombranti (CER 20 03 07) presso lo stabilimento AMA di Ponte Malnome. Tale iter, a seguito di due sedute di conferenze di servizio tra AMA, regione Lazio, Roma Capitale, provincia di Roma, ARPA Lazio, ASL RM D tenutesi rispettivamente in data 30 gennaio 2014 e 8 luglio 2014 risulta ancora al momento non concluso e quindi tuttora aperto. L'istanza prevede la realizzazione della piattaforma di trasferenza e quindi l'autorizzazione all'esercizio della stessa (cod CER 200302, 200201, 200108, 150106) con annessa attivit</w:t>
      </w:r>
      <w:r>
        <w:rPr>
          <w:rFonts w:hAnsi="Book Antiqua" w:hint="default"/>
          <w:rtl w:val="0"/>
          <w:lang w:val="it-IT"/>
        </w:rPr>
        <w:t xml:space="preserve">à </w:t>
      </w:r>
      <w:r>
        <w:rPr>
          <w:rFonts w:ascii="Book Antiqua"/>
          <w:rtl w:val="0"/>
          <w:lang w:val="it-IT"/>
        </w:rPr>
        <w:t>di tritovagliatura per il codice CER 200301. La piattaforma sar</w:t>
      </w:r>
      <w:r>
        <w:rPr>
          <w:rFonts w:hAnsi="Book Antiqua" w:hint="default"/>
          <w:rtl w:val="0"/>
          <w:lang w:val="it-IT"/>
        </w:rPr>
        <w:t xml:space="preserve">à </w:t>
      </w:r>
      <w:r>
        <w:rPr>
          <w:rFonts w:ascii="Book Antiqua"/>
          <w:rtl w:val="0"/>
          <w:lang w:val="it-IT"/>
        </w:rPr>
        <w:t>ubicata all'interno dello stabilimento di Ponte Malnome in un capannone esistente da ristrutturare. Il progetto prevede la ristrutturazione edile del capannone con pareti perimetrali di contenimento e soletta armata, nonch</w:t>
      </w:r>
      <w:r>
        <w:rPr>
          <w:rFonts w:hAnsi="Book Antiqua" w:hint="default"/>
          <w:rtl w:val="0"/>
          <w:lang w:val="it-IT"/>
        </w:rPr>
        <w:t xml:space="preserve">é </w:t>
      </w:r>
      <w:r>
        <w:rPr>
          <w:rFonts w:ascii="Book Antiqua"/>
          <w:rtl w:val="0"/>
          <w:lang w:val="it-IT"/>
        </w:rPr>
        <w:t xml:space="preserve">lucernai semitrasparenti, canalette di raccolta liquidi di lavaggio, serbatoio di stoccaggio dei liquidi di lavaggio, rampa e baia di scarico mezzi, impianti elettrici, antincendio, trattamento aria. </w:t>
      </w:r>
    </w:p>
    <w:p>
      <w:pPr>
        <w:pStyle w:val="Normal"/>
        <w:ind w:left="567" w:right="567" w:firstLine="0"/>
        <w:jc w:val="both"/>
        <w:rPr>
          <w:rFonts w:ascii="Book Antiqua" w:cs="Book Antiqua" w:hAnsi="Book Antiqua" w:eastAsia="Book Antiqua"/>
        </w:rPr>
      </w:pPr>
      <w:r>
        <w:rPr>
          <w:rFonts w:ascii="Book Antiqua"/>
          <w:rtl w:val="0"/>
          <w:lang w:val="it-IT"/>
        </w:rPr>
        <w:t xml:space="preserve">Nel nuovo piano industriale AMA del maggio 2017 non si fa riferimento ad alcuna azione precisa relativa a Ponte Malnome: vi </w:t>
      </w:r>
      <w:r>
        <w:rPr>
          <w:rFonts w:hAnsi="Book Antiqua" w:hint="default"/>
          <w:rtl w:val="0"/>
          <w:lang w:val="it-IT"/>
        </w:rPr>
        <w:t xml:space="preserve">è </w:t>
      </w:r>
      <w:r>
        <w:rPr>
          <w:rFonts w:ascii="Book Antiqua"/>
          <w:rtl w:val="0"/>
          <w:lang w:val="it-IT"/>
        </w:rPr>
        <w:t xml:space="preserve">una citazione del sito come sede di una </w:t>
      </w:r>
      <w:r>
        <w:rPr>
          <w:rFonts w:hAnsi="Book Antiqua" w:hint="default"/>
          <w:rtl w:val="0"/>
          <w:lang w:val="it-IT"/>
        </w:rPr>
        <w:t>“</w:t>
      </w:r>
      <w:r>
        <w:rPr>
          <w:rFonts w:ascii="Book Antiqua"/>
          <w:rtl w:val="0"/>
          <w:lang w:val="it-IT"/>
        </w:rPr>
        <w:t>autofficina principale</w:t>
      </w:r>
      <w:r>
        <w:rPr>
          <w:rFonts w:hAnsi="Book Antiqua" w:hint="default"/>
          <w:rtl w:val="0"/>
          <w:lang w:val="it-IT"/>
        </w:rPr>
        <w:t>”</w:t>
      </w:r>
      <w:r>
        <w:rPr>
          <w:rFonts w:ascii="Book Antiqua" w:cs="Book Antiqua" w:hAnsi="Book Antiqua" w:eastAsia="Book Antiqua"/>
          <w:vertAlign w:val="superscript"/>
          <w:rtl w:val="0"/>
        </w:rPr>
        <w:footnoteReference w:id="294"/>
      </w:r>
      <w:r>
        <w:rPr>
          <w:rFonts w:ascii="Book Antiqua"/>
          <w:rtl w:val="0"/>
          <w:lang w:val="it-IT"/>
        </w:rPr>
        <w:t xml:space="preserve"> e per contro un</w:t>
      </w:r>
      <w:r>
        <w:rPr>
          <w:rFonts w:hAnsi="Book Antiqua" w:hint="default"/>
          <w:rtl w:val="0"/>
          <w:lang w:val="it-IT"/>
        </w:rPr>
        <w:t>’</w:t>
      </w:r>
      <w:r>
        <w:rPr>
          <w:rFonts w:ascii="Book Antiqua"/>
          <w:rtl w:val="0"/>
          <w:lang w:val="it-IT"/>
        </w:rPr>
        <w:t xml:space="preserve">indicazione complessiva di investimenti di 83 milioni di euro per </w:t>
      </w:r>
      <w:r>
        <w:rPr>
          <w:rFonts w:hAnsi="Book Antiqua" w:hint="default"/>
          <w:rtl w:val="0"/>
          <w:lang w:val="it-IT"/>
        </w:rPr>
        <w:t>“</w:t>
      </w:r>
      <w:r>
        <w:rPr>
          <w:rFonts w:ascii="Book Antiqua"/>
          <w:rtl w:val="0"/>
          <w:lang w:val="it-IT"/>
        </w:rPr>
        <w:t>adeguamento/</w:t>
      </w:r>
      <w:r>
        <w:rPr>
          <w:rFonts w:ascii="Book Antiqua"/>
          <w:i w:val="1"/>
          <w:iCs w:val="1"/>
          <w:rtl w:val="0"/>
          <w:lang w:val="it-IT"/>
        </w:rPr>
        <w:t>revamping</w:t>
      </w:r>
      <w:r>
        <w:rPr>
          <w:rFonts w:ascii="Book Antiqua"/>
          <w:rtl w:val="0"/>
          <w:lang w:val="it-IT"/>
        </w:rPr>
        <w:t xml:space="preserve"> di impianti</w:t>
      </w:r>
      <w:r>
        <w:rPr>
          <w:rFonts w:ascii="Book Antiqua" w:cs="Book Antiqua" w:hAnsi="Book Antiqua" w:eastAsia="Book Antiqua"/>
          <w:vertAlign w:val="superscript"/>
          <w:rtl w:val="0"/>
        </w:rPr>
        <w:footnoteReference w:id="295"/>
      </w:r>
      <w:r>
        <w:rPr>
          <w:rFonts w:ascii="Book Antiqua"/>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Tuttavia con comunicazione a questa Commissione del 7 dicembre 2017 l</w:t>
      </w:r>
      <w:r>
        <w:rPr>
          <w:rFonts w:hAnsi="Book Antiqua" w:hint="default"/>
          <w:rtl w:val="0"/>
          <w:lang w:val="it-IT"/>
        </w:rPr>
        <w:t>’</w:t>
      </w:r>
      <w:r>
        <w:rPr>
          <w:rFonts w:ascii="Book Antiqua"/>
          <w:rtl w:val="0"/>
          <w:lang w:val="it-IT"/>
        </w:rPr>
        <w:t>assessorato all</w:t>
      </w:r>
      <w:r>
        <w:rPr>
          <w:rFonts w:hAnsi="Book Antiqua" w:hint="default"/>
          <w:rtl w:val="0"/>
          <w:lang w:val="it-IT"/>
        </w:rPr>
        <w:t>’</w:t>
      </w:r>
      <w:r>
        <w:rPr>
          <w:rFonts w:ascii="Book Antiqua"/>
          <w:rtl w:val="0"/>
          <w:lang w:val="it-IT"/>
        </w:rPr>
        <w:t xml:space="preserve">ambiente del Roma Capitale ha informato che </w:t>
      </w:r>
      <w:r>
        <w:rPr>
          <w:rFonts w:hAnsi="Book Antiqua" w:hint="default"/>
          <w:rtl w:val="0"/>
          <w:lang w:val="it-IT"/>
        </w:rPr>
        <w:t>“</w:t>
      </w:r>
      <w:r>
        <w:rPr>
          <w:rFonts w:ascii="Book Antiqua"/>
          <w:rtl w:val="0"/>
          <w:lang w:val="it-IT"/>
        </w:rPr>
        <w:t>l</w:t>
      </w:r>
      <w:r>
        <w:rPr>
          <w:rFonts w:hAnsi="Book Antiqua" w:hint="default"/>
          <w:rtl w:val="0"/>
          <w:lang w:val="it-IT"/>
        </w:rPr>
        <w:t>’</w:t>
      </w:r>
      <w:r>
        <w:rPr>
          <w:rFonts w:ascii="Book Antiqua"/>
          <w:rtl w:val="0"/>
          <w:lang w:val="it-IT"/>
        </w:rPr>
        <w:t>inceneritore per rifiuti ospedalieri di Ponte Malnome non sar</w:t>
      </w:r>
      <w:r>
        <w:rPr>
          <w:rFonts w:hAnsi="Book Antiqua" w:hint="default"/>
          <w:rtl w:val="0"/>
          <w:lang w:val="it-IT"/>
        </w:rPr>
        <w:t xml:space="preserve">à </w:t>
      </w:r>
      <w:r>
        <w:rPr>
          <w:rFonts w:ascii="Book Antiqua"/>
          <w:rtl w:val="0"/>
          <w:lang w:val="it-IT"/>
        </w:rPr>
        <w:t>oggetto di revamping, bens</w:t>
      </w:r>
      <w:r>
        <w:rPr>
          <w:rFonts w:hAnsi="Book Antiqua" w:hint="default"/>
          <w:rtl w:val="0"/>
          <w:lang w:val="it-IT"/>
        </w:rPr>
        <w:t xml:space="preserve">ì </w:t>
      </w:r>
      <w:r>
        <w:rPr>
          <w:rFonts w:ascii="Book Antiqua"/>
          <w:rtl w:val="0"/>
          <w:lang w:val="it-IT"/>
        </w:rPr>
        <w:t>di trasformazione in impianto per il trattamento a freddo dei rifiuti ospedalieri.</w:t>
      </w:r>
      <w:r>
        <w:rPr>
          <w:rFonts w:hAnsi="Book Antiqua" w:hint="default"/>
          <w:rtl w:val="0"/>
          <w:lang w:val="it-IT"/>
        </w:rPr>
        <w:t>”</w:t>
      </w:r>
      <w:r>
        <w:rPr>
          <w:rFonts w:ascii="Book Antiqua" w:cs="Book Antiqua" w:hAnsi="Book Antiqua" w:eastAsia="Book Antiqua"/>
          <w:vertAlign w:val="superscript"/>
          <w:rtl w:val="0"/>
        </w:rPr>
        <w:footnoteReference w:id="296"/>
      </w:r>
    </w:p>
    <w:p>
      <w:pPr>
        <w:pStyle w:val="intervento"/>
        <w:spacing w:before="0" w:after="0"/>
        <w:ind w:left="567" w:right="567" w:firstLine="0"/>
        <w:jc w:val="both"/>
        <w:rPr>
          <w:rFonts w:ascii="Book Antiqua" w:cs="Book Antiqua" w:hAnsi="Book Antiqua" w:eastAsia="Book Antiqua"/>
        </w:rPr>
      </w:pPr>
      <w:r>
        <w:rPr>
          <w:rFonts w:ascii="Book Antiqua"/>
          <w:rtl w:val="0"/>
          <w:lang w:val="it-IT"/>
        </w:rPr>
        <w:t>Quanto sin qui riferito conferma la necessit</w:t>
      </w:r>
      <w:r>
        <w:rPr>
          <w:rFonts w:hAnsi="Book Antiqua" w:hint="default"/>
          <w:rtl w:val="0"/>
          <w:lang w:val="it-IT"/>
        </w:rPr>
        <w:t xml:space="preserve">à </w:t>
      </w:r>
      <w:r>
        <w:rPr>
          <w:rFonts w:ascii="Book Antiqua"/>
          <w:rtl w:val="0"/>
          <w:lang w:val="it-IT"/>
        </w:rPr>
        <w:t xml:space="preserve">di un approccio unitario al </w:t>
      </w:r>
      <w:r>
        <w:rPr>
          <w:rFonts w:hAnsi="Book Antiqua" w:hint="default"/>
          <w:rtl w:val="0"/>
          <w:lang w:val="it-IT"/>
        </w:rPr>
        <w:t>“</w:t>
      </w:r>
      <w:r>
        <w:rPr>
          <w:rFonts w:ascii="Book Antiqua"/>
          <w:rtl w:val="0"/>
          <w:lang w:val="it-IT"/>
        </w:rPr>
        <w:t>sito della Valle Galeria</w:t>
      </w:r>
      <w:r>
        <w:rPr>
          <w:rFonts w:hAnsi="Book Antiqua" w:hint="default"/>
          <w:rtl w:val="0"/>
          <w:lang w:val="it-IT"/>
        </w:rPr>
        <w:t>”</w:t>
      </w:r>
      <w:r>
        <w:rPr>
          <w:rFonts w:ascii="Book Antiqua"/>
          <w:rtl w:val="0"/>
          <w:lang w:val="it-IT"/>
        </w:rPr>
        <w:t>, nel quale la presenza di una articolata realt</w:t>
      </w:r>
      <w:r>
        <w:rPr>
          <w:rFonts w:hAnsi="Book Antiqua" w:hint="default"/>
          <w:rtl w:val="0"/>
          <w:lang w:val="it-IT"/>
        </w:rPr>
        <w:t xml:space="preserve">à </w:t>
      </w:r>
      <w:r>
        <w:rPr>
          <w:rFonts w:ascii="Book Antiqua"/>
          <w:rtl w:val="0"/>
          <w:lang w:val="it-IT"/>
        </w:rPr>
        <w:t xml:space="preserve">di impianti per il trattamento dei rifiuti e di impianti industriali </w:t>
      </w:r>
      <w:r>
        <w:rPr>
          <w:rFonts w:hAnsi="Book Antiqua" w:hint="default"/>
          <w:rtl w:val="0"/>
          <w:lang w:val="it-IT"/>
        </w:rPr>
        <w:t xml:space="preserve">è </w:t>
      </w:r>
      <w:r>
        <w:rPr>
          <w:rFonts w:ascii="Book Antiqua"/>
          <w:rtl w:val="0"/>
          <w:lang w:val="it-IT"/>
        </w:rPr>
        <w:t xml:space="preserve">suscettibile di produrre un </w:t>
      </w:r>
      <w:r>
        <w:rPr>
          <w:rFonts w:hAnsi="Book Antiqua" w:hint="default"/>
          <w:rtl w:val="0"/>
          <w:lang w:val="it-IT"/>
        </w:rPr>
        <w:t>“</w:t>
      </w:r>
      <w:r>
        <w:rPr>
          <w:rFonts w:ascii="Book Antiqua"/>
          <w:rtl w:val="0"/>
          <w:lang w:val="it-IT"/>
        </w:rPr>
        <w:t>effetto domino</w:t>
      </w:r>
      <w:r>
        <w:rPr>
          <w:rFonts w:hAnsi="Book Antiqua" w:hint="default"/>
          <w:rtl w:val="0"/>
          <w:lang w:val="it-IT"/>
        </w:rPr>
        <w:t xml:space="preserve">” </w:t>
      </w:r>
      <w:r>
        <w:rPr>
          <w:rFonts w:ascii="Book Antiqua"/>
          <w:rtl w:val="0"/>
          <w:lang w:val="it-IT"/>
        </w:rPr>
        <w:t>sia dal punto di vista della sicurezza rispetto a incidenti rilevanti, sia dal punto di vista dell</w:t>
      </w:r>
      <w:r>
        <w:rPr>
          <w:rFonts w:hAnsi="Book Antiqua" w:hint="default"/>
          <w:rtl w:val="0"/>
          <w:lang w:val="it-IT"/>
        </w:rPr>
        <w:t>’</w:t>
      </w:r>
      <w:r>
        <w:rPr>
          <w:rFonts w:ascii="Book Antiqua"/>
          <w:rtl w:val="0"/>
          <w:lang w:val="it-IT"/>
        </w:rPr>
        <w:t>impatto ambientale.</w:t>
      </w:r>
    </w:p>
    <w:p>
      <w:pPr>
        <w:pStyle w:val="intervento"/>
        <w:spacing w:before="0" w:after="0"/>
        <w:ind w:left="567" w:right="567" w:firstLine="0"/>
        <w:jc w:val="both"/>
        <w:rPr>
          <w:rFonts w:ascii="Book Antiqua" w:cs="Book Antiqua" w:hAnsi="Book Antiqua" w:eastAsia="Book Antiqua"/>
        </w:rPr>
      </w:pPr>
    </w:p>
    <w:p>
      <w:pPr>
        <w:pStyle w:val="Normal"/>
      </w:pPr>
      <w:r>
        <w:rPr>
          <w:rFonts w:ascii="Book Antiqua" w:cs="Book Antiqua" w:hAnsi="Book Antiqua" w:eastAsia="Book Antiqua"/>
          <w:rtl w:val="0"/>
        </w:rPr>
        <w:br w:type="page"/>
      </w:r>
    </w:p>
    <w:p>
      <w:pPr>
        <w:pStyle w:val="Normal"/>
        <w:rPr>
          <w:rFonts w:ascii="Book Antiqua" w:cs="Book Antiqua" w:hAnsi="Book Antiqua" w:eastAsia="Book Antiqua"/>
        </w:rPr>
      </w:pPr>
    </w:p>
    <w:p>
      <w:pPr>
        <w:pStyle w:val="List Paragraph"/>
        <w:numPr>
          <w:ilvl w:val="0"/>
          <w:numId w:val="169"/>
        </w:numPr>
        <w:tabs>
          <w:tab w:val="num" w:pos="1204"/>
          <w:tab w:val="clear" w:pos="849"/>
        </w:tabs>
        <w:suppressAutoHyphens w:val="1"/>
        <w:bidi w:val="0"/>
        <w:ind w:left="637" w:right="567" w:hanging="70"/>
        <w:jc w:val="both"/>
        <w:rPr>
          <w:rFonts w:ascii="Book Antiqua" w:cs="Book Antiqua" w:hAnsi="Book Antiqua" w:eastAsia="Book Antiqua"/>
          <w:kern w:val="1"/>
          <w:position w:val="0"/>
          <w:sz w:val="32"/>
          <w:szCs w:val="32"/>
          <w:rtl w:val="0"/>
        </w:rPr>
      </w:pPr>
      <w:r>
        <w:rPr>
          <w:rFonts w:ascii="Book Antiqua"/>
          <w:kern w:val="1"/>
          <w:sz w:val="32"/>
          <w:szCs w:val="32"/>
          <w:rtl w:val="0"/>
          <w:lang w:val="it-IT"/>
        </w:rPr>
        <w:t>La questione degli illeciti ambientali nel Basso Lazio</w:t>
      </w:r>
    </w:p>
    <w:p>
      <w:pPr>
        <w:pStyle w:val="List Paragraph"/>
        <w:suppressAutoHyphens w:val="1"/>
        <w:ind w:left="567" w:right="567" w:firstLine="0"/>
        <w:jc w:val="both"/>
        <w:rPr>
          <w:rFonts w:ascii="Book Antiqua" w:cs="Book Antiqua" w:hAnsi="Book Antiqua" w:eastAsia="Book Antiqua"/>
          <w:kern w:val="1"/>
        </w:rPr>
      </w:pPr>
    </w:p>
    <w:p>
      <w:pPr>
        <w:pStyle w:val="List Paragraph"/>
        <w:suppressAutoHyphens w:val="1"/>
        <w:ind w:left="567" w:right="567" w:firstLine="0"/>
        <w:jc w:val="both"/>
        <w:rPr>
          <w:rFonts w:ascii="Book Antiqua" w:cs="Book Antiqua" w:hAnsi="Book Antiqua" w:eastAsia="Book Antiqua"/>
          <w:kern w:val="1"/>
        </w:rPr>
      </w:pPr>
    </w:p>
    <w:p>
      <w:pPr>
        <w:pStyle w:val="List Paragraph"/>
        <w:suppressAutoHyphens w:val="1"/>
        <w:ind w:left="567" w:right="567" w:firstLine="0"/>
        <w:jc w:val="both"/>
        <w:rPr>
          <w:rFonts w:ascii="Book Antiqua" w:cs="Book Antiqua" w:hAnsi="Book Antiqua" w:eastAsia="Book Antiqua"/>
          <w:kern w:val="1"/>
        </w:rPr>
      </w:pPr>
    </w:p>
    <w:p>
      <w:pPr>
        <w:pStyle w:val="List Paragraph"/>
        <w:ind w:left="567" w:right="567" w:firstLine="0"/>
        <w:jc w:val="both"/>
        <w:rPr>
          <w:rFonts w:ascii="Book Antiqua" w:cs="Book Antiqua" w:hAnsi="Book Antiqua" w:eastAsia="Book Antiqua"/>
          <w:sz w:val="28"/>
          <w:szCs w:val="28"/>
        </w:rPr>
      </w:pPr>
      <w:r>
        <w:rPr>
          <w:rFonts w:ascii="Book Antiqua"/>
          <w:sz w:val="28"/>
          <w:szCs w:val="28"/>
          <w:rtl w:val="0"/>
          <w:lang w:val="it-IT"/>
        </w:rPr>
        <w:t xml:space="preserve">7.1 La discarica di Borgo Montello </w:t>
      </w:r>
    </w:p>
    <w:p>
      <w:pPr>
        <w:pStyle w:val="Titolo 21"/>
        <w:spacing w:before="0" w:after="0"/>
        <w:ind w:left="567" w:right="567" w:firstLine="0"/>
        <w:jc w:val="both"/>
        <w:rPr>
          <w:rFonts w:ascii="Book Antiqua" w:cs="Book Antiqua" w:hAnsi="Book Antiqua" w:eastAsia="Book Antiqua"/>
          <w:sz w:val="24"/>
          <w:szCs w:val="24"/>
        </w:rPr>
      </w:pP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rPr>
      </w:pPr>
      <w:r>
        <w:rPr>
          <w:rFonts w:ascii="Book Antiqua"/>
          <w:rtl w:val="0"/>
          <w:lang w:val="it-IT"/>
        </w:rPr>
        <w:t xml:space="preserve">La discarica di Borgo Montello </w:t>
      </w:r>
      <w:r>
        <w:rPr>
          <w:rFonts w:hAnsi="Book Antiqua" w:hint="default"/>
          <w:rtl w:val="0"/>
          <w:lang w:val="it-IT"/>
        </w:rPr>
        <w:t xml:space="preserve">è </w:t>
      </w:r>
      <w:r>
        <w:rPr>
          <w:rFonts w:ascii="Book Antiqua"/>
          <w:rtl w:val="0"/>
          <w:lang w:val="it-IT"/>
        </w:rPr>
        <w:t>considerata la quarta in Italia per estensione e per volume di rifiuti abbancati. La data d</w:t>
      </w:r>
      <w:r>
        <w:rPr>
          <w:rFonts w:hAnsi="Book Antiqua" w:hint="default"/>
          <w:rtl w:val="0"/>
          <w:lang w:val="it-IT"/>
        </w:rPr>
        <w:t>’</w:t>
      </w:r>
      <w:r>
        <w:rPr>
          <w:rFonts w:ascii="Book Antiqua"/>
          <w:rtl w:val="0"/>
          <w:lang w:val="it-IT"/>
        </w:rPr>
        <w:t>inizio delle attivit</w:t>
      </w:r>
      <w:r>
        <w:rPr>
          <w:rFonts w:hAnsi="Book Antiqua" w:hint="default"/>
          <w:rtl w:val="0"/>
          <w:lang w:val="it-IT"/>
        </w:rPr>
        <w:t xml:space="preserve">à </w:t>
      </w:r>
      <w:r>
        <w:rPr>
          <w:rFonts w:ascii="Book Antiqua"/>
          <w:rtl w:val="0"/>
          <w:lang w:val="it-IT"/>
        </w:rPr>
        <w:t xml:space="preserve">di smaltimento </w:t>
      </w:r>
      <w:r>
        <w:rPr>
          <w:rFonts w:hAnsi="Book Antiqua" w:hint="default"/>
          <w:rtl w:val="0"/>
          <w:lang w:val="it-IT"/>
        </w:rPr>
        <w:t xml:space="preserve">è </w:t>
      </w:r>
      <w:r>
        <w:rPr>
          <w:rFonts w:ascii="Book Antiqua"/>
          <w:rtl w:val="0"/>
          <w:lang w:val="it-IT"/>
        </w:rPr>
        <w:t>il 1971 (o poco dopo, secondo altre fonti). Oggi occupa un</w:t>
      </w:r>
      <w:r>
        <w:rPr>
          <w:rFonts w:hAnsi="Book Antiqua" w:hint="default"/>
          <w:rtl w:val="0"/>
          <w:lang w:val="it-IT"/>
        </w:rPr>
        <w:t>’</w:t>
      </w:r>
      <w:r>
        <w:rPr>
          <w:rFonts w:ascii="Book Antiqua"/>
          <w:rtl w:val="0"/>
          <w:lang w:val="it-IT"/>
        </w:rPr>
        <w:t>area di circa 50 ettari, divisi tra due societ</w:t>
      </w:r>
      <w:r>
        <w:rPr>
          <w:rFonts w:hAnsi="Book Antiqua" w:hint="default"/>
          <w:rtl w:val="0"/>
          <w:lang w:val="it-IT"/>
        </w:rPr>
        <w:t>à</w:t>
      </w:r>
      <w:r>
        <w:rPr>
          <w:rFonts w:ascii="Book Antiqua"/>
          <w:rtl w:val="0"/>
          <w:lang w:val="it-IT"/>
        </w:rPr>
        <w:t>, la Ind.Eco S.r.l., riconducibile al gruppo Green Holding di Milano e la Ecoambiente S.r.l., con quote divise tra Latina Ambiente (gestore del servizio di raccolta del comune di Latina, partecipata al 51 per cento dall</w:t>
      </w:r>
      <w:r>
        <w:rPr>
          <w:rFonts w:hAnsi="Book Antiqua" w:hint="default"/>
          <w:rtl w:val="0"/>
          <w:lang w:val="it-IT"/>
        </w:rPr>
        <w:t>’</w:t>
      </w:r>
      <w:r>
        <w:rPr>
          <w:rFonts w:ascii="Book Antiqua"/>
          <w:rtl w:val="0"/>
          <w:lang w:val="it-IT"/>
        </w:rPr>
        <w:t>ente locale e al 49 per cento da societ</w:t>
      </w:r>
      <w:r>
        <w:rPr>
          <w:rFonts w:hAnsi="Book Antiqua" w:hint="default"/>
          <w:rtl w:val="0"/>
          <w:lang w:val="it-IT"/>
        </w:rPr>
        <w:t xml:space="preserve">à </w:t>
      </w:r>
      <w:r>
        <w:rPr>
          <w:rFonts w:ascii="Book Antiqua"/>
          <w:rtl w:val="0"/>
          <w:lang w:val="it-IT"/>
        </w:rPr>
        <w:t>riconducibile alla famiglia Colucci) e societ</w:t>
      </w:r>
      <w:r>
        <w:rPr>
          <w:rFonts w:hAnsi="Book Antiqua" w:hint="default"/>
          <w:rtl w:val="0"/>
          <w:lang w:val="it-IT"/>
        </w:rPr>
        <w:t xml:space="preserve">à </w:t>
      </w:r>
      <w:r>
        <w:rPr>
          <w:rFonts w:ascii="Book Antiqua"/>
          <w:rtl w:val="0"/>
          <w:lang w:val="it-IT"/>
        </w:rPr>
        <w:t>della holding Cerroni.</w:t>
      </w:r>
    </w:p>
    <w:p>
      <w:pPr>
        <w:pStyle w:val="Normal"/>
        <w:ind w:left="567" w:right="567" w:firstLine="0"/>
        <w:jc w:val="both"/>
        <w:rPr>
          <w:rFonts w:ascii="Book Antiqua" w:cs="Book Antiqua" w:hAnsi="Book Antiqua" w:eastAsia="Book Antiqua"/>
        </w:rPr>
      </w:pPr>
      <w:r>
        <w:rPr>
          <w:rFonts w:ascii="Book Antiqua"/>
          <w:rtl w:val="0"/>
          <w:lang w:val="it-IT"/>
        </w:rPr>
        <w:t xml:space="preserve">La storia della discarica </w:t>
      </w:r>
      <w:r>
        <w:rPr>
          <w:rFonts w:hAnsi="Book Antiqua" w:hint="default"/>
          <w:rtl w:val="0"/>
          <w:lang w:val="it-IT"/>
        </w:rPr>
        <w:t xml:space="preserve">è </w:t>
      </w:r>
      <w:r>
        <w:rPr>
          <w:rFonts w:ascii="Book Antiqua"/>
          <w:rtl w:val="0"/>
          <w:lang w:val="it-IT"/>
        </w:rPr>
        <w:t xml:space="preserve">complessa e, per molti aspetti, ancora nebulosa. Nelle passate legislature la Commissione si </w:t>
      </w:r>
      <w:r>
        <w:rPr>
          <w:rFonts w:hAnsi="Book Antiqua" w:hint="default"/>
          <w:rtl w:val="0"/>
          <w:lang w:val="it-IT"/>
        </w:rPr>
        <w:t xml:space="preserve">è </w:t>
      </w:r>
      <w:r>
        <w:rPr>
          <w:rFonts w:ascii="Book Antiqua"/>
          <w:rtl w:val="0"/>
          <w:lang w:val="it-IT"/>
        </w:rPr>
        <w:t>occupata di diversi aspetti relativi alla gestione degli invasi, senza, peraltro, mai svolgere inchieste dirette.</w:t>
      </w:r>
    </w:p>
    <w:p>
      <w:pPr>
        <w:pStyle w:val="Normal"/>
        <w:ind w:left="567" w:right="567" w:firstLine="0"/>
        <w:jc w:val="both"/>
        <w:rPr>
          <w:rFonts w:ascii="Book Antiqua" w:cs="Book Antiqua" w:hAnsi="Book Antiqua" w:eastAsia="Book Antiqua"/>
        </w:rPr>
      </w:pPr>
      <w:r>
        <w:rPr>
          <w:rFonts w:ascii="Book Antiqua"/>
          <w:rtl w:val="0"/>
          <w:lang w:val="it-IT"/>
        </w:rPr>
        <w:t xml:space="preserve">Sulla discarica di Borgo Montello aleggia da anni il sospetto di un utilizzo illecito per lo sversamento di rifiuti industriali pericolosi, sotto forma di fusti o di fanghi. Tantissime le testimonianze apparse negli anni scorsi sulla stampa, locale e nazionale. Lo stesso collaboratore di giustizia Carmine Schiavone ha parlato di collegamenti tra il clan dei Casalesi e la discarica di Latina, indicando </w:t>
      </w:r>
      <w:r>
        <w:rPr>
          <w:rFonts w:hAnsi="Book Antiqua" w:hint="default"/>
          <w:rtl w:val="0"/>
          <w:lang w:val="it-IT"/>
        </w:rPr>
        <w:t xml:space="preserve">– </w:t>
      </w:r>
      <w:r>
        <w:rPr>
          <w:rFonts w:ascii="Book Antiqua"/>
          <w:rtl w:val="0"/>
          <w:lang w:val="it-IT"/>
        </w:rPr>
        <w:t xml:space="preserve">nel 1996 a sommarie informazioni e poi, poco prima della sua morte, in interviste a diverse testate giornalistiche </w:t>
      </w:r>
      <w:r>
        <w:rPr>
          <w:rFonts w:hAnsi="Book Antiqua" w:hint="default"/>
          <w:rtl w:val="0"/>
          <w:lang w:val="it-IT"/>
        </w:rPr>
        <w:t xml:space="preserve">– </w:t>
      </w:r>
      <w:r>
        <w:rPr>
          <w:rFonts w:ascii="Book Antiqua"/>
          <w:rtl w:val="0"/>
          <w:lang w:val="it-IT"/>
        </w:rPr>
        <w:t>nomi e circostanze riconducibili a sversamenti illeciti di rifiuti nell</w:t>
      </w:r>
      <w:r>
        <w:rPr>
          <w:rFonts w:hAnsi="Book Antiqua" w:hint="default"/>
          <w:rtl w:val="0"/>
          <w:lang w:val="it-IT"/>
        </w:rPr>
        <w:t>’</w:t>
      </w:r>
      <w:r>
        <w:rPr>
          <w:rFonts w:ascii="Book Antiqua"/>
          <w:rtl w:val="0"/>
          <w:lang w:val="it-IT"/>
        </w:rPr>
        <w:t>area della discarica.</w:t>
      </w:r>
    </w:p>
    <w:p>
      <w:pPr>
        <w:pStyle w:val="Normal"/>
        <w:ind w:left="567" w:right="567" w:firstLine="0"/>
        <w:jc w:val="both"/>
        <w:rPr>
          <w:rFonts w:ascii="Book Antiqua" w:cs="Book Antiqua" w:hAnsi="Book Antiqua" w:eastAsia="Book Antiqua"/>
        </w:rPr>
      </w:pPr>
      <w:r>
        <w:rPr>
          <w:rFonts w:ascii="Book Antiqua"/>
          <w:rtl w:val="0"/>
          <w:lang w:val="it-IT"/>
        </w:rPr>
        <w:t xml:space="preserve">Oggi la discarica </w:t>
      </w:r>
      <w:r>
        <w:rPr>
          <w:rFonts w:hAnsi="Book Antiqua" w:hint="default"/>
          <w:rtl w:val="0"/>
          <w:lang w:val="it-IT"/>
        </w:rPr>
        <w:t xml:space="preserve">è </w:t>
      </w:r>
      <w:r>
        <w:rPr>
          <w:rFonts w:ascii="Book Antiqua"/>
          <w:rtl w:val="0"/>
          <w:lang w:val="it-IT"/>
        </w:rPr>
        <w:t>ferma, per l</w:t>
      </w:r>
      <w:r>
        <w:rPr>
          <w:rFonts w:hAnsi="Book Antiqua" w:hint="default"/>
          <w:rtl w:val="0"/>
          <w:lang w:val="it-IT"/>
        </w:rPr>
        <w:t>’</w:t>
      </w:r>
      <w:r>
        <w:rPr>
          <w:rFonts w:ascii="Book Antiqua"/>
          <w:rtl w:val="0"/>
          <w:lang w:val="it-IT"/>
        </w:rPr>
        <w:t>esaurimento delle volumetrie (fino ad oggi sono stati sversati negli anni pi</w:t>
      </w:r>
      <w:r>
        <w:rPr>
          <w:rFonts w:hAnsi="Book Antiqua" w:hint="default"/>
          <w:rtl w:val="0"/>
          <w:lang w:val="it-IT"/>
        </w:rPr>
        <w:t xml:space="preserve">ù </w:t>
      </w:r>
      <w:r>
        <w:rPr>
          <w:rFonts w:ascii="Book Antiqua"/>
          <w:rtl w:val="0"/>
          <w:lang w:val="it-IT"/>
        </w:rPr>
        <w:t>di 6 milioni di tonnellate di rifiuti solidi urbani, secondo stime conservative). In un caso, l</w:t>
      </w:r>
      <w:r>
        <w:rPr>
          <w:rFonts w:hAnsi="Book Antiqua" w:hint="default"/>
          <w:rtl w:val="0"/>
          <w:lang w:val="it-IT"/>
        </w:rPr>
        <w:t>’</w:t>
      </w:r>
      <w:r>
        <w:rPr>
          <w:rFonts w:ascii="Book Antiqua"/>
          <w:rtl w:val="0"/>
          <w:lang w:val="it-IT"/>
        </w:rPr>
        <w:t xml:space="preserve">area gestita dalla Ind.Eco, il sito </w:t>
      </w:r>
      <w:r>
        <w:rPr>
          <w:rFonts w:hAnsi="Book Antiqua" w:hint="default"/>
          <w:rtl w:val="0"/>
          <w:lang w:val="it-IT"/>
        </w:rPr>
        <w:t xml:space="preserve">è </w:t>
      </w:r>
      <w:r>
        <w:rPr>
          <w:rFonts w:ascii="Book Antiqua"/>
          <w:rtl w:val="0"/>
          <w:lang w:val="it-IT"/>
        </w:rPr>
        <w:t>stato sottoposto a sequestro preventivo da parte dell</w:t>
      </w:r>
      <w:r>
        <w:rPr>
          <w:rFonts w:hAnsi="Book Antiqua" w:hint="default"/>
          <w:rtl w:val="0"/>
          <w:lang w:val="it-IT"/>
        </w:rPr>
        <w:t>’</w:t>
      </w:r>
      <w:r>
        <w:rPr>
          <w:rFonts w:ascii="Book Antiqua"/>
          <w:rtl w:val="0"/>
          <w:lang w:val="it-IT"/>
        </w:rPr>
        <w:t>autorit</w:t>
      </w:r>
      <w:r>
        <w:rPr>
          <w:rFonts w:hAnsi="Book Antiqua" w:hint="default"/>
          <w:rtl w:val="0"/>
          <w:lang w:val="it-IT"/>
        </w:rPr>
        <w:t xml:space="preserve">à </w:t>
      </w:r>
      <w:r>
        <w:rPr>
          <w:rFonts w:ascii="Book Antiqua"/>
          <w:rtl w:val="0"/>
          <w:lang w:val="it-IT"/>
        </w:rPr>
        <w:t>giudiziaria; l</w:t>
      </w:r>
      <w:r>
        <w:rPr>
          <w:rFonts w:hAnsi="Book Antiqua" w:hint="default"/>
          <w:rtl w:val="0"/>
          <w:lang w:val="it-IT"/>
        </w:rPr>
        <w:t>’</w:t>
      </w:r>
      <w:r>
        <w:rPr>
          <w:rFonts w:ascii="Book Antiqua"/>
          <w:rtl w:val="0"/>
          <w:lang w:val="it-IT"/>
        </w:rPr>
        <w:t>altro gestore, Ecoambiente, ha operato ed opera su terreni confiscati dalla sezione misure di prevenzione del tribunale di Roma, nell</w:t>
      </w:r>
      <w:r>
        <w:rPr>
          <w:rFonts w:hAnsi="Book Antiqua" w:hint="default"/>
          <w:rtl w:val="0"/>
          <w:lang w:val="it-IT"/>
        </w:rPr>
        <w:t>’</w:t>
      </w:r>
      <w:r>
        <w:rPr>
          <w:rFonts w:ascii="Book Antiqua"/>
          <w:rtl w:val="0"/>
          <w:lang w:val="it-IT"/>
        </w:rPr>
        <w:t>ambito di un procedimento penale nei confronti dell</w:t>
      </w:r>
      <w:r>
        <w:rPr>
          <w:rFonts w:hAnsi="Book Antiqua" w:hint="default"/>
          <w:rtl w:val="0"/>
          <w:lang w:val="it-IT"/>
        </w:rPr>
        <w:t>’</w:t>
      </w:r>
      <w:r>
        <w:rPr>
          <w:rFonts w:ascii="Book Antiqua"/>
          <w:rtl w:val="0"/>
          <w:lang w:val="it-IT"/>
        </w:rPr>
        <w:t xml:space="preserve">imprenditore De Pierro, accusato di riciclaggio. Una situazione complessa, che si </w:t>
      </w:r>
      <w:r>
        <w:rPr>
          <w:rFonts w:hAnsi="Book Antiqua" w:hint="default"/>
          <w:rtl w:val="0"/>
          <w:lang w:val="it-IT"/>
        </w:rPr>
        <w:t xml:space="preserve">è </w:t>
      </w:r>
      <w:r>
        <w:rPr>
          <w:rFonts w:ascii="Book Antiqua"/>
          <w:rtl w:val="0"/>
          <w:lang w:val="it-IT"/>
        </w:rPr>
        <w:t>sviluppata su un</w:t>
      </w:r>
      <w:r>
        <w:rPr>
          <w:rFonts w:hAnsi="Book Antiqua" w:hint="default"/>
          <w:rtl w:val="0"/>
          <w:lang w:val="it-IT"/>
        </w:rPr>
        <w:t>’</w:t>
      </w:r>
      <w:r>
        <w:rPr>
          <w:rFonts w:ascii="Book Antiqua"/>
          <w:rtl w:val="0"/>
          <w:lang w:val="it-IT"/>
        </w:rPr>
        <w:t>area compromessa dal punto di vista ambientale, come documentato dagli studi ARPA e ISPRA.</w:t>
      </w:r>
    </w:p>
    <w:p>
      <w:pPr>
        <w:pStyle w:val="Normal"/>
        <w:ind w:left="567" w:right="567" w:firstLine="0"/>
        <w:jc w:val="both"/>
        <w:rPr>
          <w:rFonts w:ascii="Book Antiqua" w:cs="Book Antiqua" w:hAnsi="Book Antiqua" w:eastAsia="Book Antiqua"/>
        </w:rPr>
      </w:pPr>
      <w:r>
        <w:rPr>
          <w:rFonts w:ascii="Book Antiqua"/>
          <w:rtl w:val="0"/>
          <w:lang w:val="it-IT"/>
        </w:rPr>
        <w:t>La questione dello sversamento di rifiuti pericolosi nel passato ha creato e continua a creare un forte allarme sociale. E</w:t>
      </w:r>
      <w:r>
        <w:rPr>
          <w:rFonts w:hAnsi="Book Antiqua" w:hint="default"/>
          <w:rtl w:val="0"/>
          <w:lang w:val="it-IT"/>
        </w:rPr>
        <w:t xml:space="preserve">’ </w:t>
      </w:r>
      <w:r>
        <w:rPr>
          <w:rFonts w:ascii="Book Antiqua"/>
          <w:rtl w:val="0"/>
          <w:lang w:val="it-IT"/>
        </w:rPr>
        <w:t>evidente che la presenza nel sottosuolo di rifiuti pericolosi allo stato sconosciuti, oltre ad essere un indicatore importante di criticit</w:t>
      </w:r>
      <w:r>
        <w:rPr>
          <w:rFonts w:hAnsi="Book Antiqua" w:hint="default"/>
          <w:rtl w:val="0"/>
          <w:lang w:val="it-IT"/>
        </w:rPr>
        <w:t xml:space="preserve">à </w:t>
      </w:r>
      <w:r>
        <w:rPr>
          <w:rFonts w:ascii="Book Antiqua"/>
          <w:rtl w:val="0"/>
          <w:lang w:val="it-IT"/>
        </w:rPr>
        <w:t xml:space="preserve">gestionali nel passato (anni </w:t>
      </w:r>
      <w:r>
        <w:rPr>
          <w:rFonts w:hAnsi="Book Antiqua" w:hint="default"/>
          <w:rtl w:val="0"/>
          <w:lang w:val="it-IT"/>
        </w:rPr>
        <w:t>‘</w:t>
      </w:r>
      <w:r>
        <w:rPr>
          <w:rFonts w:ascii="Book Antiqua"/>
          <w:rtl w:val="0"/>
          <w:lang w:val="it-IT"/>
        </w:rPr>
        <w:t xml:space="preserve">80 e </w:t>
      </w:r>
      <w:r>
        <w:rPr>
          <w:rFonts w:hAnsi="Book Antiqua" w:hint="default"/>
          <w:rtl w:val="0"/>
          <w:lang w:val="it-IT"/>
        </w:rPr>
        <w:t>‘</w:t>
      </w:r>
      <w:r>
        <w:rPr>
          <w:rFonts w:ascii="Book Antiqua"/>
          <w:rtl w:val="0"/>
          <w:lang w:val="it-IT"/>
        </w:rPr>
        <w:t xml:space="preserve">90), </w:t>
      </w:r>
      <w:r>
        <w:rPr>
          <w:rFonts w:hAnsi="Book Antiqua" w:hint="default"/>
          <w:rtl w:val="0"/>
          <w:lang w:val="it-IT"/>
        </w:rPr>
        <w:t xml:space="preserve">è </w:t>
      </w:r>
      <w:r>
        <w:rPr>
          <w:rFonts w:ascii="Book Antiqua"/>
          <w:rtl w:val="0"/>
          <w:lang w:val="it-IT"/>
        </w:rPr>
        <w:t>un elemento molto importante per la ricostruzione puntuale della criminalit</w:t>
      </w:r>
      <w:r>
        <w:rPr>
          <w:rFonts w:hAnsi="Book Antiqua" w:hint="default"/>
          <w:rtl w:val="0"/>
          <w:lang w:val="it-IT"/>
        </w:rPr>
        <w:t xml:space="preserve">à </w:t>
      </w:r>
      <w:r>
        <w:rPr>
          <w:rFonts w:ascii="Book Antiqua"/>
          <w:rtl w:val="0"/>
          <w:lang w:val="it-IT"/>
        </w:rPr>
        <w:t>ambientale nella regione Lazio. Accanto a questo elemento non pu</w:t>
      </w:r>
      <w:r>
        <w:rPr>
          <w:rFonts w:hAnsi="Book Antiqua" w:hint="default"/>
          <w:rtl w:val="0"/>
          <w:lang w:val="it-IT"/>
        </w:rPr>
        <w:t xml:space="preserve">ò </w:t>
      </w:r>
      <w:r>
        <w:rPr>
          <w:rFonts w:ascii="Book Antiqua"/>
          <w:rtl w:val="0"/>
          <w:lang w:val="it-IT"/>
        </w:rPr>
        <w:t>essere trascurata la ormai consolidata conoscenza delle infiltrazioni della criminalit</w:t>
      </w:r>
      <w:r>
        <w:rPr>
          <w:rFonts w:hAnsi="Book Antiqua" w:hint="default"/>
          <w:rtl w:val="0"/>
          <w:lang w:val="it-IT"/>
        </w:rPr>
        <w:t xml:space="preserve">à </w:t>
      </w:r>
      <w:r>
        <w:rPr>
          <w:rFonts w:ascii="Book Antiqua"/>
          <w:rtl w:val="0"/>
          <w:lang w:val="it-IT"/>
        </w:rPr>
        <w:t>organizzata nella zona di Latina, che si intreccia inevitabilmente con il business ambientale.</w:t>
      </w:r>
    </w:p>
    <w:p>
      <w:pPr>
        <w:pStyle w:val="Normal"/>
        <w:ind w:left="567" w:right="567" w:firstLine="0"/>
        <w:jc w:val="both"/>
        <w:rPr>
          <w:rFonts w:ascii="Book Antiqua" w:cs="Book Antiqua" w:hAnsi="Book Antiqua" w:eastAsia="Book Antiqua"/>
        </w:rPr>
      </w:pPr>
      <w:r>
        <w:rPr>
          <w:rFonts w:ascii="Book Antiqua"/>
          <w:rtl w:val="0"/>
          <w:lang w:val="it-IT"/>
        </w:rPr>
        <w:t>La Commissione ha, dunque, deciso di concentrare l</w:t>
      </w:r>
      <w:r>
        <w:rPr>
          <w:rFonts w:hAnsi="Book Antiqua" w:hint="default"/>
          <w:rtl w:val="0"/>
          <w:lang w:val="it-IT"/>
        </w:rPr>
        <w:t>’</w:t>
      </w:r>
      <w:r>
        <w:rPr>
          <w:rFonts w:ascii="Book Antiqua"/>
          <w:rtl w:val="0"/>
          <w:lang w:val="it-IT"/>
        </w:rPr>
        <w:t>approfondimento su questo versante, puntando a fornire al Parlamento elementi oggettivi rispetto al traffico illecito di rifiuti pericolosi nell</w:t>
      </w:r>
      <w:r>
        <w:rPr>
          <w:rFonts w:hAnsi="Book Antiqua" w:hint="default"/>
          <w:rtl w:val="0"/>
          <w:lang w:val="it-IT"/>
        </w:rPr>
        <w:t>’</w:t>
      </w:r>
      <w:r>
        <w:rPr>
          <w:rFonts w:ascii="Book Antiqua"/>
          <w:rtl w:val="0"/>
          <w:lang w:val="it-IT"/>
        </w:rPr>
        <w:t>area di Borgo Montello, anche in connessione con organizzazioni criminali.</w:t>
      </w:r>
    </w:p>
    <w:p>
      <w:pPr>
        <w:pStyle w:val="Titolo 21"/>
        <w:spacing w:before="0" w:after="0"/>
        <w:ind w:left="567" w:right="567" w:firstLine="0"/>
        <w:jc w:val="both"/>
        <w:rPr>
          <w:rFonts w:ascii="Book Antiqua" w:cs="Book Antiqua" w:hAnsi="Book Antiqua" w:eastAsia="Book Antiqua"/>
          <w:sz w:val="24"/>
          <w:szCs w:val="24"/>
        </w:rPr>
      </w:pPr>
      <w:r>
        <w:rPr>
          <w:rFonts w:ascii="Book Antiqua"/>
          <w:sz w:val="24"/>
          <w:szCs w:val="24"/>
          <w:rtl w:val="0"/>
          <w:lang w:val="it-IT"/>
        </w:rPr>
        <w:t>Anticipando quanto si dir</w:t>
      </w:r>
      <w:r>
        <w:rPr>
          <w:rFonts w:hAnsi="Book Antiqua" w:hint="default"/>
          <w:sz w:val="24"/>
          <w:szCs w:val="24"/>
          <w:rtl w:val="0"/>
          <w:lang w:val="it-IT"/>
        </w:rPr>
        <w:t xml:space="preserve">à </w:t>
      </w:r>
      <w:r>
        <w:rPr>
          <w:rFonts w:ascii="Book Antiqua"/>
          <w:sz w:val="24"/>
          <w:szCs w:val="24"/>
          <w:rtl w:val="0"/>
          <w:lang w:val="it-IT"/>
        </w:rPr>
        <w:t xml:space="preserve">oltre in dettaglio,  il primo elemento di rilievo riguarda la presenza di rifiuti industriali </w:t>
      </w:r>
      <w:r>
        <w:rPr>
          <w:rFonts w:hAnsi="Book Antiqua" w:hint="default"/>
          <w:sz w:val="24"/>
          <w:szCs w:val="24"/>
          <w:rtl w:val="0"/>
          <w:lang w:val="it-IT"/>
        </w:rPr>
        <w:t xml:space="preserve">– </w:t>
      </w:r>
      <w:r>
        <w:rPr>
          <w:rFonts w:ascii="Book Antiqua"/>
          <w:sz w:val="24"/>
          <w:szCs w:val="24"/>
          <w:rtl w:val="0"/>
          <w:lang w:val="it-IT"/>
        </w:rPr>
        <w:t xml:space="preserve">anche pericolosi </w:t>
      </w:r>
      <w:r>
        <w:rPr>
          <w:rFonts w:hAnsi="Book Antiqua" w:hint="default"/>
          <w:sz w:val="24"/>
          <w:szCs w:val="24"/>
          <w:rtl w:val="0"/>
          <w:lang w:val="it-IT"/>
        </w:rPr>
        <w:t xml:space="preserve">– </w:t>
      </w:r>
      <w:r>
        <w:rPr>
          <w:rFonts w:ascii="Book Antiqua"/>
          <w:sz w:val="24"/>
          <w:szCs w:val="24"/>
          <w:rtl w:val="0"/>
          <w:lang w:val="it-IT"/>
        </w:rPr>
        <w:t>nell'area di Borgo Montello. Questo elemento ha una importanza chiave anche, e soprattutto, nella fase di bonifica del sito. Dalla documentazione ufficiale raccolta nel corso dell'inchiesta parlamentare non sono emersi approfondimenti istituzionali in questo senso. La regione Lazio, interpellata sul punto, non ha fornito elementi conoscitivi, evidenziando una lacuna istruttoria.</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 xml:space="preserve">Dalle indagini e acquisizioni della Commissione risulta che nell'area di Borgo Montello sono stati stoccati </w:t>
      </w:r>
      <w:r>
        <w:rPr>
          <w:rFonts w:hAnsi="Book Antiqua" w:hint="default"/>
          <w:sz w:val="24"/>
          <w:szCs w:val="24"/>
          <w:rtl w:val="0"/>
          <w:lang w:val="it-IT"/>
        </w:rPr>
        <w:t xml:space="preserve">– </w:t>
      </w:r>
      <w:r>
        <w:rPr>
          <w:rFonts w:ascii="Book Antiqua"/>
          <w:i w:val="1"/>
          <w:iCs w:val="1"/>
          <w:sz w:val="24"/>
          <w:szCs w:val="24"/>
          <w:rtl w:val="0"/>
          <w:lang w:val="it-IT"/>
        </w:rPr>
        <w:t>extra ordinem</w:t>
      </w:r>
      <w:r>
        <w:rPr>
          <w:rFonts w:ascii="Book Antiqua"/>
          <w:sz w:val="24"/>
          <w:szCs w:val="24"/>
          <w:rtl w:val="0"/>
          <w:lang w:val="it-IT"/>
        </w:rPr>
        <w:t xml:space="preserve"> e, in alcuni casi, illegalmente </w:t>
      </w:r>
      <w:r>
        <w:rPr>
          <w:rFonts w:hAnsi="Book Antiqua" w:hint="default"/>
          <w:sz w:val="24"/>
          <w:szCs w:val="24"/>
          <w:rtl w:val="0"/>
          <w:lang w:val="it-IT"/>
        </w:rPr>
        <w:t xml:space="preserve">– </w:t>
      </w:r>
      <w:r>
        <w:rPr>
          <w:rFonts w:ascii="Book Antiqua"/>
          <w:sz w:val="24"/>
          <w:szCs w:val="24"/>
          <w:rtl w:val="0"/>
          <w:lang w:val="it-IT"/>
        </w:rPr>
        <w:t xml:space="preserve">rifiuti speciali pericolosi, tra la fine degli anni '80 e i primi anni '90. Questo elemento conoscitivo, che ha visto un importante sforzo investigativo da parte della commissione, conferma quanto da sempre sostenuto dalla popolazione locale, allarmata da voci, confidenze e notizie giornalistiche. </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 xml:space="preserve">Vi </w:t>
      </w:r>
      <w:r>
        <w:rPr>
          <w:rFonts w:hAnsi="Book Antiqua" w:hint="default"/>
          <w:sz w:val="24"/>
          <w:szCs w:val="24"/>
          <w:rtl w:val="0"/>
          <w:lang w:val="it-IT"/>
        </w:rPr>
        <w:t xml:space="preserve">è </w:t>
      </w:r>
      <w:r>
        <w:rPr>
          <w:rFonts w:ascii="Book Antiqua"/>
          <w:sz w:val="24"/>
          <w:szCs w:val="24"/>
          <w:rtl w:val="0"/>
          <w:lang w:val="it-IT"/>
        </w:rPr>
        <w:t>stato un conferimento di rifiuti pericolosi di origine industriale nell'area denominata 2B, come accertato nel corso del processo di primo grado nei confronti di Adriano Musso, amministratore della societ</w:t>
      </w:r>
      <w:r>
        <w:rPr>
          <w:rFonts w:hAnsi="Book Antiqua" w:hint="default"/>
          <w:sz w:val="24"/>
          <w:szCs w:val="24"/>
          <w:rtl w:val="0"/>
          <w:lang w:val="it-IT"/>
        </w:rPr>
        <w:t xml:space="preserve">à </w:t>
      </w:r>
      <w:r>
        <w:rPr>
          <w:rFonts w:ascii="Book Antiqua"/>
          <w:sz w:val="24"/>
          <w:szCs w:val="24"/>
          <w:rtl w:val="0"/>
          <w:lang w:val="it-IT"/>
        </w:rPr>
        <w:t xml:space="preserve">Ecotecna, gestore dell'epoca dell'invaso. In questo caso </w:t>
      </w:r>
      <w:r>
        <w:rPr>
          <w:rFonts w:hAnsi="Book Antiqua" w:hint="default"/>
          <w:sz w:val="24"/>
          <w:szCs w:val="24"/>
          <w:rtl w:val="0"/>
          <w:lang w:val="it-IT"/>
        </w:rPr>
        <w:t xml:space="preserve">è </w:t>
      </w:r>
      <w:r>
        <w:rPr>
          <w:rFonts w:ascii="Book Antiqua"/>
          <w:sz w:val="24"/>
          <w:szCs w:val="24"/>
          <w:rtl w:val="0"/>
          <w:lang w:val="it-IT"/>
        </w:rPr>
        <w:t>possibile anche individuare almeno una parte della tipologia di rifiuti sversati, grazie alla consulenza tecnica svolta nel corso di quelle indagini. Si tratta di un caso particolarmente significativo e grave, anche dal punto di vista ambientale. La zona dello sversamento, infatti, era gi</w:t>
      </w:r>
      <w:r>
        <w:rPr>
          <w:rFonts w:hAnsi="Book Antiqua" w:hint="default"/>
          <w:sz w:val="24"/>
          <w:szCs w:val="24"/>
          <w:rtl w:val="0"/>
          <w:lang w:val="it-IT"/>
        </w:rPr>
        <w:t xml:space="preserve">à </w:t>
      </w:r>
      <w:r>
        <w:rPr>
          <w:rFonts w:ascii="Book Antiqua"/>
          <w:sz w:val="24"/>
          <w:szCs w:val="24"/>
          <w:rtl w:val="0"/>
          <w:lang w:val="it-IT"/>
        </w:rPr>
        <w:t xml:space="preserve">stata definita all'epoca come non idonea dal punto di vista geologico per la realizzazione di una discarica per rifiuti pericolosi (secondo la normativa dell'epoca, il decreto del Presidente della Repubblica n. 915 del 1982). La regione Lazio, attraverso una semplice ordinanza, permise lo stoccaggio dei rifiuti industriali, indicando il sito come </w:t>
      </w:r>
      <w:r>
        <w:rPr>
          <w:rFonts w:hAnsi="Book Antiqua" w:hint="default"/>
          <w:sz w:val="24"/>
          <w:szCs w:val="24"/>
          <w:rtl w:val="0"/>
          <w:lang w:val="it-IT"/>
        </w:rPr>
        <w:t>“</w:t>
      </w:r>
      <w:r>
        <w:rPr>
          <w:rFonts w:ascii="Book Antiqua"/>
          <w:sz w:val="24"/>
          <w:szCs w:val="24"/>
          <w:rtl w:val="0"/>
          <w:lang w:val="it-IT"/>
        </w:rPr>
        <w:t>temporaneo</w:t>
      </w:r>
      <w:r>
        <w:rPr>
          <w:rFonts w:hAnsi="Book Antiqua" w:hint="default"/>
          <w:sz w:val="24"/>
          <w:szCs w:val="24"/>
          <w:rtl w:val="0"/>
          <w:lang w:val="it-IT"/>
        </w:rPr>
        <w:t>”</w:t>
      </w:r>
      <w:r>
        <w:rPr>
          <w:rFonts w:ascii="Book Antiqua"/>
          <w:sz w:val="24"/>
          <w:szCs w:val="24"/>
          <w:rtl w:val="0"/>
          <w:lang w:val="it-IT"/>
        </w:rPr>
        <w:t xml:space="preserve">. Non vi </w:t>
      </w:r>
      <w:r>
        <w:rPr>
          <w:rFonts w:hAnsi="Book Antiqua" w:hint="default"/>
          <w:sz w:val="24"/>
          <w:szCs w:val="24"/>
          <w:rtl w:val="0"/>
          <w:lang w:val="it-IT"/>
        </w:rPr>
        <w:t xml:space="preserve">è </w:t>
      </w:r>
      <w:r>
        <w:rPr>
          <w:rFonts w:ascii="Book Antiqua"/>
          <w:sz w:val="24"/>
          <w:szCs w:val="24"/>
          <w:rtl w:val="0"/>
          <w:lang w:val="it-IT"/>
        </w:rPr>
        <w:t xml:space="preserve">agli atti nessun elemento che possa indicare il successivo trasporto di quei rifiuti in altro luogo. Anzi, le motivazioni della citata sentenza indicano il contrario. La successiva sentenza di appello ha poi revocato l'ordine di bonifica e ripristino dei luoghi che i giudici di primo grado avevano imposto seguendo il dettato della legge. Nessun elemento che possa far immaginare un successivo intervento di bonifica </w:t>
      </w:r>
      <w:r>
        <w:rPr>
          <w:rFonts w:hAnsi="Book Antiqua" w:hint="default"/>
          <w:sz w:val="24"/>
          <w:szCs w:val="24"/>
          <w:rtl w:val="0"/>
          <w:lang w:val="it-IT"/>
        </w:rPr>
        <w:t xml:space="preserve">è </w:t>
      </w:r>
      <w:r>
        <w:rPr>
          <w:rFonts w:ascii="Book Antiqua"/>
          <w:sz w:val="24"/>
          <w:szCs w:val="24"/>
          <w:rtl w:val="0"/>
          <w:lang w:val="it-IT"/>
        </w:rPr>
        <w:t xml:space="preserve">stato presentato alla commissione o ritrovato nella copiosa documentazione acquisita. Si deve, dunque, dedurre che quei rifiuti pericolosi di origine industriale siano ancora interrati nel primo strato dell'invaso </w:t>
      </w:r>
      <w:r>
        <w:rPr>
          <w:rFonts w:hAnsi="Book Antiqua" w:hint="default"/>
          <w:sz w:val="24"/>
          <w:szCs w:val="24"/>
          <w:rtl w:val="0"/>
          <w:lang w:val="it-IT"/>
        </w:rPr>
        <w:t>“</w:t>
      </w:r>
      <w:r>
        <w:rPr>
          <w:rFonts w:ascii="Book Antiqua"/>
          <w:sz w:val="24"/>
          <w:szCs w:val="24"/>
          <w:rtl w:val="0"/>
          <w:lang w:val="it-IT"/>
        </w:rPr>
        <w:t>2B</w:t>
      </w:r>
      <w:r>
        <w:rPr>
          <w:rFonts w:hAnsi="Book Antiqua" w:hint="default"/>
          <w:sz w:val="24"/>
          <w:szCs w:val="24"/>
          <w:rtl w:val="0"/>
          <w:lang w:val="it-IT"/>
        </w:rPr>
        <w:t xml:space="preserve">” </w:t>
      </w:r>
      <w:r>
        <w:rPr>
          <w:rFonts w:ascii="Book Antiqua"/>
          <w:sz w:val="24"/>
          <w:szCs w:val="24"/>
          <w:rtl w:val="0"/>
          <w:lang w:val="it-IT"/>
        </w:rPr>
        <w:t>(area gestita attualmente dalla societ</w:t>
      </w:r>
      <w:r>
        <w:rPr>
          <w:rFonts w:hAnsi="Book Antiqua" w:hint="default"/>
          <w:sz w:val="24"/>
          <w:szCs w:val="24"/>
          <w:rtl w:val="0"/>
          <w:lang w:val="it-IT"/>
        </w:rPr>
        <w:t xml:space="preserve">à </w:t>
      </w:r>
      <w:r>
        <w:rPr>
          <w:rFonts w:ascii="Book Antiqua"/>
          <w:sz w:val="24"/>
          <w:szCs w:val="24"/>
          <w:rtl w:val="0"/>
          <w:lang w:val="it-IT"/>
        </w:rPr>
        <w:t>Indeco), poi ricoperta negli anni da altre discariche per rifiuti solidi urbani. Questo elemento dovrebbe essere accuratamente analizzato per capire quale impatto sulle matrici ambientali vi possa essere, considerando anche il tempo trascorso e la gi</w:t>
      </w:r>
      <w:r>
        <w:rPr>
          <w:rFonts w:hAnsi="Book Antiqua" w:hint="default"/>
          <w:sz w:val="24"/>
          <w:szCs w:val="24"/>
          <w:rtl w:val="0"/>
          <w:lang w:val="it-IT"/>
        </w:rPr>
        <w:t xml:space="preserve">à </w:t>
      </w:r>
      <w:r>
        <w:rPr>
          <w:rFonts w:ascii="Book Antiqua"/>
          <w:sz w:val="24"/>
          <w:szCs w:val="24"/>
          <w:rtl w:val="0"/>
          <w:lang w:val="it-IT"/>
        </w:rPr>
        <w:t>grave situazione della sottostante falda acquifera.</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 xml:space="preserve">Vi sono poi tanti elementi </w:t>
      </w:r>
      <w:r>
        <w:rPr>
          <w:rFonts w:hAnsi="Book Antiqua" w:hint="default"/>
          <w:sz w:val="24"/>
          <w:szCs w:val="24"/>
          <w:rtl w:val="0"/>
          <w:lang w:val="it-IT"/>
        </w:rPr>
        <w:t xml:space="preserve">– </w:t>
      </w:r>
      <w:r>
        <w:rPr>
          <w:rFonts w:ascii="Book Antiqua"/>
          <w:sz w:val="24"/>
          <w:szCs w:val="24"/>
          <w:rtl w:val="0"/>
          <w:lang w:val="it-IT"/>
        </w:rPr>
        <w:t xml:space="preserve">concordanti tra di loro </w:t>
      </w:r>
      <w:r>
        <w:rPr>
          <w:rFonts w:hAnsi="Book Antiqua" w:hint="default"/>
          <w:sz w:val="24"/>
          <w:szCs w:val="24"/>
          <w:rtl w:val="0"/>
          <w:lang w:val="it-IT"/>
        </w:rPr>
        <w:t xml:space="preserve">– </w:t>
      </w:r>
      <w:r>
        <w:rPr>
          <w:rFonts w:ascii="Book Antiqua"/>
          <w:sz w:val="24"/>
          <w:szCs w:val="24"/>
          <w:rtl w:val="0"/>
          <w:lang w:val="it-IT"/>
        </w:rPr>
        <w:t xml:space="preserve">che portano a ritenere altamente probabile </w:t>
      </w:r>
      <w:r>
        <w:rPr>
          <w:rFonts w:hAnsi="Book Antiqua" w:hint="default"/>
          <w:sz w:val="24"/>
          <w:szCs w:val="24"/>
          <w:rtl w:val="0"/>
          <w:lang w:val="it-IT"/>
        </w:rPr>
        <w:t xml:space="preserve">– </w:t>
      </w:r>
      <w:r>
        <w:rPr>
          <w:rFonts w:ascii="Book Antiqua"/>
          <w:sz w:val="24"/>
          <w:szCs w:val="24"/>
          <w:rtl w:val="0"/>
          <w:lang w:val="it-IT"/>
        </w:rPr>
        <w:t xml:space="preserve">se non sicura </w:t>
      </w:r>
      <w:r>
        <w:rPr>
          <w:rFonts w:hAnsi="Book Antiqua" w:hint="default"/>
          <w:sz w:val="24"/>
          <w:szCs w:val="24"/>
          <w:rtl w:val="0"/>
          <w:lang w:val="it-IT"/>
        </w:rPr>
        <w:t xml:space="preserve">– </w:t>
      </w:r>
      <w:r>
        <w:rPr>
          <w:rFonts w:ascii="Book Antiqua"/>
          <w:sz w:val="24"/>
          <w:szCs w:val="24"/>
          <w:rtl w:val="0"/>
          <w:lang w:val="it-IT"/>
        </w:rPr>
        <w:t>la presenza di rifiuti industriali anche nella zona della discarica a cavallo tra gli invasi S3-S1 (area attualmente gestita, in post mortem, dalla societ</w:t>
      </w:r>
      <w:r>
        <w:rPr>
          <w:rFonts w:hAnsi="Book Antiqua" w:hint="default"/>
          <w:sz w:val="24"/>
          <w:szCs w:val="24"/>
          <w:rtl w:val="0"/>
          <w:lang w:val="it-IT"/>
        </w:rPr>
        <w:t xml:space="preserve">à </w:t>
      </w:r>
      <w:r>
        <w:rPr>
          <w:rFonts w:ascii="Book Antiqua"/>
          <w:sz w:val="24"/>
          <w:szCs w:val="24"/>
          <w:rtl w:val="0"/>
          <w:lang w:val="it-IT"/>
        </w:rPr>
        <w:t xml:space="preserve">Ecoambiente). In questo caso le testimonianze raccolte dalla commissione nel corso delle indagini forniscono elementi concordanti con quanto ricostruito dalla pregevole inchiesta della squadra mobile di Latina nel 2013. Uno dei testimoni ascoltati a sommarie informazioni dalla Commissione ha lavorato per lungo periodo all'interno della discarica (tra la fine degli anni '80 e l'inizio degli anni '90) e, dunque, </w:t>
      </w:r>
      <w:r>
        <w:rPr>
          <w:rFonts w:hAnsi="Book Antiqua" w:hint="default"/>
          <w:sz w:val="24"/>
          <w:szCs w:val="24"/>
          <w:rtl w:val="0"/>
          <w:lang w:val="it-IT"/>
        </w:rPr>
        <w:t xml:space="preserve">è </w:t>
      </w:r>
      <w:r>
        <w:rPr>
          <w:rFonts w:ascii="Book Antiqua"/>
          <w:sz w:val="24"/>
          <w:szCs w:val="24"/>
          <w:rtl w:val="0"/>
          <w:lang w:val="it-IT"/>
        </w:rPr>
        <w:t xml:space="preserve">stato protagonista diretto dei fatti narrati. Questo stesso testimone lavora ancora oggi nel settore dei rifiuti speciali ed </w:t>
      </w:r>
      <w:r>
        <w:rPr>
          <w:rFonts w:hAnsi="Book Antiqua" w:hint="default"/>
          <w:sz w:val="24"/>
          <w:szCs w:val="24"/>
          <w:rtl w:val="0"/>
          <w:lang w:val="it-IT"/>
        </w:rPr>
        <w:t xml:space="preserve">è </w:t>
      </w:r>
      <w:r>
        <w:rPr>
          <w:rFonts w:ascii="Book Antiqua"/>
          <w:sz w:val="24"/>
          <w:szCs w:val="24"/>
          <w:rtl w:val="0"/>
          <w:lang w:val="it-IT"/>
        </w:rPr>
        <w:t xml:space="preserve">in possesso delle certificazioni necessarie per operare nel campo. Ha, dunque, il necessario </w:t>
      </w:r>
      <w:r>
        <w:rPr>
          <w:rFonts w:ascii="Book Antiqua"/>
          <w:i w:val="1"/>
          <w:iCs w:val="1"/>
          <w:sz w:val="24"/>
          <w:szCs w:val="24"/>
          <w:rtl w:val="0"/>
          <w:lang w:val="it-IT"/>
        </w:rPr>
        <w:t>know-how</w:t>
      </w:r>
      <w:r>
        <w:rPr>
          <w:rFonts w:ascii="Book Antiqua"/>
          <w:sz w:val="24"/>
          <w:szCs w:val="24"/>
          <w:rtl w:val="0"/>
          <w:lang w:val="it-IT"/>
        </w:rPr>
        <w:t xml:space="preserve"> per poter fornire informazioni precise. Secondo la sua testimonianza durante il periodo di gestione della discarica da parte della societ</w:t>
      </w:r>
      <w:r>
        <w:rPr>
          <w:rFonts w:hAnsi="Book Antiqua" w:hint="default"/>
          <w:sz w:val="24"/>
          <w:szCs w:val="24"/>
          <w:rtl w:val="0"/>
          <w:lang w:val="it-IT"/>
        </w:rPr>
        <w:t xml:space="preserve">à </w:t>
      </w:r>
      <w:r>
        <w:rPr>
          <w:rFonts w:ascii="Book Antiqua"/>
          <w:sz w:val="24"/>
          <w:szCs w:val="24"/>
          <w:rtl w:val="0"/>
          <w:lang w:val="it-IT"/>
        </w:rPr>
        <w:t>Pro.Chi arrivavano in media 300-400 fusti al mese. Si pu</w:t>
      </w:r>
      <w:r>
        <w:rPr>
          <w:rFonts w:hAnsi="Book Antiqua" w:hint="default"/>
          <w:sz w:val="24"/>
          <w:szCs w:val="24"/>
          <w:rtl w:val="0"/>
          <w:lang w:val="it-IT"/>
        </w:rPr>
        <w:t>ò</w:t>
      </w:r>
      <w:r>
        <w:rPr>
          <w:rFonts w:ascii="Book Antiqua"/>
          <w:sz w:val="24"/>
          <w:szCs w:val="24"/>
          <w:rtl w:val="0"/>
          <w:lang w:val="it-IT"/>
        </w:rPr>
        <w:t xml:space="preserve">, dunque, facilmente stimare in diverse migliaia i fusti di rifiuti industriali probabilmente interrati in quell'area. </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Anche in questo caso l'impatto ambientale potrebbe essere di rilievo. L'area indicata dai testimoni si trova all'interno della zona utilizzata fin dal 2000 dalla societa Ecoambiente per lo smaltimento di rifiuti solidi urbani. Nel 1998 la societ</w:t>
      </w:r>
      <w:r>
        <w:rPr>
          <w:rFonts w:hAnsi="Book Antiqua" w:hint="default"/>
          <w:sz w:val="24"/>
          <w:szCs w:val="24"/>
          <w:rtl w:val="0"/>
          <w:lang w:val="it-IT"/>
        </w:rPr>
        <w:t xml:space="preserve">à </w:t>
      </w:r>
      <w:r>
        <w:rPr>
          <w:rFonts w:ascii="Book Antiqua"/>
          <w:sz w:val="24"/>
          <w:szCs w:val="24"/>
          <w:rtl w:val="0"/>
          <w:lang w:val="it-IT"/>
        </w:rPr>
        <w:t xml:space="preserve">aveva presentato un progetto di messa in sicurezza che escludeva la presenza di rifiuti pericolosi, realizzando un sistema di barramento idraulico con un </w:t>
      </w:r>
      <w:r>
        <w:rPr>
          <w:rFonts w:ascii="Book Antiqua"/>
          <w:i w:val="1"/>
          <w:iCs w:val="1"/>
          <w:sz w:val="24"/>
          <w:szCs w:val="24"/>
          <w:rtl w:val="0"/>
          <w:lang w:val="it-IT"/>
        </w:rPr>
        <w:t>polder</w:t>
      </w:r>
      <w:r>
        <w:rPr>
          <w:rFonts w:ascii="Book Antiqua"/>
          <w:sz w:val="24"/>
          <w:szCs w:val="24"/>
          <w:rtl w:val="0"/>
          <w:lang w:val="it-IT"/>
        </w:rPr>
        <w:t>. Tale soluzione, per</w:t>
      </w:r>
      <w:r>
        <w:rPr>
          <w:rFonts w:hAnsi="Book Antiqua" w:hint="default"/>
          <w:sz w:val="24"/>
          <w:szCs w:val="24"/>
          <w:rtl w:val="0"/>
          <w:lang w:val="it-IT"/>
        </w:rPr>
        <w:t>ò</w:t>
      </w:r>
      <w:r>
        <w:rPr>
          <w:rFonts w:ascii="Book Antiqua"/>
          <w:sz w:val="24"/>
          <w:szCs w:val="24"/>
          <w:rtl w:val="0"/>
          <w:lang w:val="it-IT"/>
        </w:rPr>
        <w:t xml:space="preserve">, </w:t>
      </w:r>
      <w:r>
        <w:rPr>
          <w:rFonts w:hAnsi="Book Antiqua" w:hint="default"/>
          <w:sz w:val="24"/>
          <w:szCs w:val="24"/>
          <w:rtl w:val="0"/>
          <w:lang w:val="it-IT"/>
        </w:rPr>
        <w:t xml:space="preserve">è </w:t>
      </w:r>
      <w:r>
        <w:rPr>
          <w:rFonts w:ascii="Book Antiqua"/>
          <w:sz w:val="24"/>
          <w:szCs w:val="24"/>
          <w:rtl w:val="0"/>
          <w:lang w:val="it-IT"/>
        </w:rPr>
        <w:t>stata ritenuta non idonea da due perizie disposte dalla procura e dal Gup del tribunale di Latina, che hanno deciso di rinviare a giudizio gli amministratori della societ</w:t>
      </w:r>
      <w:r>
        <w:rPr>
          <w:rFonts w:hAnsi="Book Antiqua" w:hint="default"/>
          <w:sz w:val="24"/>
          <w:szCs w:val="24"/>
          <w:rtl w:val="0"/>
          <w:lang w:val="it-IT"/>
        </w:rPr>
        <w:t>à</w:t>
      </w:r>
      <w:r>
        <w:rPr>
          <w:rFonts w:ascii="Book Antiqua"/>
          <w:sz w:val="24"/>
          <w:szCs w:val="24"/>
          <w:rtl w:val="0"/>
          <w:lang w:val="it-IT"/>
        </w:rPr>
        <w:t>, oggi imputati per avvelenamento delle acque. La presenza di rifiuti industriali in quantit</w:t>
      </w:r>
      <w:r>
        <w:rPr>
          <w:rFonts w:hAnsi="Book Antiqua" w:hint="default"/>
          <w:sz w:val="24"/>
          <w:szCs w:val="24"/>
          <w:rtl w:val="0"/>
          <w:lang w:val="it-IT"/>
        </w:rPr>
        <w:t xml:space="preserve">à </w:t>
      </w:r>
      <w:r>
        <w:rPr>
          <w:rFonts w:ascii="Book Antiqua"/>
          <w:sz w:val="24"/>
          <w:szCs w:val="24"/>
          <w:rtl w:val="0"/>
          <w:lang w:val="it-IT"/>
        </w:rPr>
        <w:t xml:space="preserve">significativa </w:t>
      </w:r>
      <w:r>
        <w:rPr>
          <w:rFonts w:hAnsi="Book Antiqua" w:hint="default"/>
          <w:sz w:val="24"/>
          <w:szCs w:val="24"/>
          <w:rtl w:val="0"/>
          <w:lang w:val="it-IT"/>
        </w:rPr>
        <w:t xml:space="preserve">– </w:t>
      </w:r>
      <w:r>
        <w:rPr>
          <w:rFonts w:ascii="Book Antiqua"/>
          <w:sz w:val="24"/>
          <w:szCs w:val="24"/>
          <w:rtl w:val="0"/>
          <w:lang w:val="it-IT"/>
        </w:rPr>
        <w:t xml:space="preserve">come indicato dai testimoni </w:t>
      </w:r>
      <w:r>
        <w:rPr>
          <w:rFonts w:hAnsi="Book Antiqua" w:hint="default"/>
          <w:sz w:val="24"/>
          <w:szCs w:val="24"/>
          <w:rtl w:val="0"/>
          <w:lang w:val="it-IT"/>
        </w:rPr>
        <w:t xml:space="preserve">– </w:t>
      </w:r>
      <w:r>
        <w:rPr>
          <w:rFonts w:ascii="Book Antiqua"/>
          <w:sz w:val="24"/>
          <w:szCs w:val="24"/>
          <w:rtl w:val="0"/>
          <w:lang w:val="it-IT"/>
        </w:rPr>
        <w:t>potrebbe rappresentare un ulteriore aggravamento della situazione, gi</w:t>
      </w:r>
      <w:r>
        <w:rPr>
          <w:rFonts w:hAnsi="Book Antiqua" w:hint="default"/>
          <w:sz w:val="24"/>
          <w:szCs w:val="24"/>
          <w:rtl w:val="0"/>
          <w:lang w:val="it-IT"/>
        </w:rPr>
        <w:t xml:space="preserve">ù </w:t>
      </w:r>
      <w:r>
        <w:rPr>
          <w:rFonts w:ascii="Book Antiqua"/>
          <w:sz w:val="24"/>
          <w:szCs w:val="24"/>
          <w:rtl w:val="0"/>
          <w:lang w:val="it-IT"/>
        </w:rPr>
        <w:t>grave, della sottostante falda acquifera. In ogni caso questo elemento deve essere preso in considerazione nell'ambito della bonifica dell'area.</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 xml:space="preserve">Per quanto riguarda la presenza criminale nell'area, di particolare rilievo </w:t>
      </w:r>
      <w:r>
        <w:rPr>
          <w:rFonts w:hAnsi="Book Antiqua" w:hint="default"/>
          <w:sz w:val="24"/>
          <w:szCs w:val="24"/>
          <w:rtl w:val="0"/>
          <w:lang w:val="it-IT"/>
        </w:rPr>
        <w:t xml:space="preserve">è </w:t>
      </w:r>
      <w:r>
        <w:rPr>
          <w:rFonts w:ascii="Book Antiqua"/>
          <w:sz w:val="24"/>
          <w:szCs w:val="24"/>
          <w:rtl w:val="0"/>
          <w:lang w:val="it-IT"/>
        </w:rPr>
        <w:t>la figura di Michele Coppola, soggetto gi</w:t>
      </w:r>
      <w:r>
        <w:rPr>
          <w:rFonts w:hAnsi="Book Antiqua" w:hint="default"/>
          <w:sz w:val="24"/>
          <w:szCs w:val="24"/>
          <w:rtl w:val="0"/>
          <w:lang w:val="it-IT"/>
        </w:rPr>
        <w:t xml:space="preserve">à </w:t>
      </w:r>
      <w:r>
        <w:rPr>
          <w:rFonts w:ascii="Book Antiqua"/>
          <w:sz w:val="24"/>
          <w:szCs w:val="24"/>
          <w:rtl w:val="0"/>
          <w:lang w:val="it-IT"/>
        </w:rPr>
        <w:t>indicato nel 1996 dal collaboratore di giustizia del clan dei casalesi Carmine Schiavone come contiguo al gruppo criminale di Casal di Principe. Coppola fin dal 1988-1989 ha vissuto a ridosso della discarica di Borgo Montello. Parte delle propriet</w:t>
      </w:r>
      <w:r>
        <w:rPr>
          <w:rFonts w:hAnsi="Book Antiqua" w:hint="default"/>
          <w:sz w:val="24"/>
          <w:szCs w:val="24"/>
          <w:rtl w:val="0"/>
          <w:lang w:val="it-IT"/>
        </w:rPr>
        <w:t xml:space="preserve">à </w:t>
      </w:r>
      <w:r>
        <w:rPr>
          <w:rFonts w:ascii="Book Antiqua"/>
          <w:sz w:val="24"/>
          <w:szCs w:val="24"/>
          <w:rtl w:val="0"/>
          <w:lang w:val="it-IT"/>
        </w:rPr>
        <w:t xml:space="preserve">a lui affidate dal clan </w:t>
      </w:r>
      <w:r>
        <w:rPr>
          <w:rFonts w:hAnsi="Book Antiqua" w:hint="default"/>
          <w:sz w:val="24"/>
          <w:szCs w:val="24"/>
          <w:rtl w:val="0"/>
          <w:lang w:val="it-IT"/>
        </w:rPr>
        <w:t xml:space="preserve">– </w:t>
      </w:r>
      <w:r>
        <w:rPr>
          <w:rFonts w:ascii="Book Antiqua"/>
          <w:sz w:val="24"/>
          <w:szCs w:val="24"/>
          <w:rtl w:val="0"/>
          <w:lang w:val="it-IT"/>
        </w:rPr>
        <w:t xml:space="preserve">secondo quanto ricostruito dallo Schiavone </w:t>
      </w:r>
      <w:r>
        <w:rPr>
          <w:rFonts w:hAnsi="Book Antiqua" w:hint="default"/>
          <w:sz w:val="24"/>
          <w:szCs w:val="24"/>
          <w:rtl w:val="0"/>
          <w:lang w:val="it-IT"/>
        </w:rPr>
        <w:t xml:space="preserve">– </w:t>
      </w:r>
      <w:r>
        <w:rPr>
          <w:rFonts w:ascii="Book Antiqua"/>
          <w:sz w:val="24"/>
          <w:szCs w:val="24"/>
          <w:rtl w:val="0"/>
          <w:lang w:val="it-IT"/>
        </w:rPr>
        <w:t>sono poi state vendute ad uno dei gestori della discarica, la societ</w:t>
      </w:r>
      <w:r>
        <w:rPr>
          <w:rFonts w:hAnsi="Book Antiqua" w:hint="default"/>
          <w:sz w:val="24"/>
          <w:szCs w:val="24"/>
          <w:rtl w:val="0"/>
          <w:lang w:val="it-IT"/>
        </w:rPr>
        <w:t xml:space="preserve">à </w:t>
      </w:r>
      <w:r>
        <w:rPr>
          <w:rFonts w:ascii="Book Antiqua"/>
          <w:sz w:val="24"/>
          <w:szCs w:val="24"/>
          <w:rtl w:val="0"/>
          <w:lang w:val="it-IT"/>
        </w:rPr>
        <w:t xml:space="preserve">Indeco. Coppola poteva disporre di diverse armi, come verificato dalla Commissione. Nel dicembre del 1995 venne arrestato nell'ambito del procedimento penale contro il clan Schiavone (processo </w:t>
      </w:r>
      <w:r>
        <w:rPr>
          <w:rFonts w:hAnsi="Book Antiqua" w:hint="default"/>
          <w:sz w:val="24"/>
          <w:szCs w:val="24"/>
          <w:rtl w:val="0"/>
          <w:lang w:val="it-IT"/>
        </w:rPr>
        <w:t>“</w:t>
      </w:r>
      <w:r>
        <w:rPr>
          <w:rFonts w:ascii="Book Antiqua"/>
          <w:sz w:val="24"/>
          <w:szCs w:val="24"/>
          <w:rtl w:val="0"/>
          <w:lang w:val="it-IT"/>
        </w:rPr>
        <w:t>Spartacus</w:t>
      </w:r>
      <w:r>
        <w:rPr>
          <w:rFonts w:hAnsi="Book Antiqua" w:hint="default"/>
          <w:sz w:val="24"/>
          <w:szCs w:val="24"/>
          <w:rtl w:val="0"/>
          <w:lang w:val="it-IT"/>
        </w:rPr>
        <w:t>”</w:t>
      </w:r>
      <w:r>
        <w:rPr>
          <w:rFonts w:ascii="Book Antiqua"/>
          <w:sz w:val="24"/>
          <w:szCs w:val="24"/>
          <w:rtl w:val="0"/>
          <w:lang w:val="it-IT"/>
        </w:rPr>
        <w:t>); sentenze successive, relative ad altri procedimenti, passate in giudicato, hanno dimostrato la sua appartenenza al clan.</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Nel corso dell'inchiesta condotta da questa Commissione sul sito di Borgo Montello sono emersi dettagli significativi rispetto ai contatti stretti tra Coppola e lavoratori della discarica (uno dei testimoni ha raccontato di essere andato a Casal di Principe, dove avrebbe incontrato anche Carmine Schiavone, prima dell'inizio della sua collaborazione, quando, dunque, era pienamente operativo all'interno del clan, in posizione apicale), alcune testimonianze de relato hanno poi indicato punti di contatto tra Coppola ed esponenti politici e delle forze di polizia locali, che destano preoccupazione.</w:t>
      </w: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rPr>
      </w:pPr>
      <w:r>
        <w:rPr>
          <w:rFonts w:ascii="Book Antiqua"/>
          <w:rtl w:val="0"/>
          <w:lang w:val="it-IT"/>
        </w:rPr>
        <w:t>La Commissione ha proceduto a diverse audizioni, i cui contenuti hanno orientato le successive attivit</w:t>
      </w:r>
      <w:r>
        <w:rPr>
          <w:rFonts w:hAnsi="Book Antiqua" w:hint="default"/>
          <w:rtl w:val="0"/>
          <w:lang w:val="it-IT"/>
        </w:rPr>
        <w:t>à</w:t>
      </w:r>
      <w:r>
        <w:rPr>
          <w:rFonts w:ascii="Book Antiqua"/>
          <w:rtl w:val="0"/>
          <w:lang w:val="it-IT"/>
        </w:rPr>
        <w:t xml:space="preserve">. Il 16 marzo 2016 </w:t>
      </w:r>
      <w:r>
        <w:rPr>
          <w:rFonts w:hAnsi="Book Antiqua" w:hint="default"/>
          <w:rtl w:val="0"/>
          <w:lang w:val="it-IT"/>
        </w:rPr>
        <w:t xml:space="preserve">è </w:t>
      </w:r>
      <w:r>
        <w:rPr>
          <w:rFonts w:ascii="Book Antiqua"/>
          <w:rtl w:val="0"/>
          <w:lang w:val="it-IT"/>
        </w:rPr>
        <w:t>stato audito Giorgio Libralato, consulente tecnico delle famiglie di Borgo Montello, accompagnato dai rappresentanti dei Comitati riuniti dei borghi Montello e Bainsizza</w:t>
      </w:r>
      <w:r>
        <w:rPr>
          <w:rFonts w:ascii="Book Antiqua" w:cs="Book Antiqua" w:hAnsi="Book Antiqua" w:eastAsia="Book Antiqua"/>
          <w:vertAlign w:val="superscript"/>
          <w:rtl w:val="0"/>
        </w:rPr>
        <w:footnoteReference w:id="297"/>
      </w:r>
      <w:r>
        <w:rPr>
          <w:rFonts w:ascii="Book Antiqua"/>
          <w:rtl w:val="0"/>
          <w:lang w:val="it-IT"/>
        </w:rPr>
        <w:t>. L</w:t>
      </w:r>
      <w:r>
        <w:rPr>
          <w:rFonts w:hAnsi="Book Antiqua" w:hint="default"/>
          <w:rtl w:val="0"/>
          <w:lang w:val="it-IT"/>
        </w:rPr>
        <w:t>’</w:t>
      </w:r>
      <w:r>
        <w:rPr>
          <w:rFonts w:ascii="Book Antiqua"/>
          <w:rtl w:val="0"/>
          <w:lang w:val="it-IT"/>
        </w:rPr>
        <w:t xml:space="preserve">audizione </w:t>
      </w:r>
      <w:r>
        <w:rPr>
          <w:rFonts w:hAnsi="Book Antiqua" w:hint="default"/>
          <w:rtl w:val="0"/>
          <w:lang w:val="it-IT"/>
        </w:rPr>
        <w:t xml:space="preserve">è </w:t>
      </w:r>
      <w:r>
        <w:rPr>
          <w:rFonts w:ascii="Book Antiqua"/>
          <w:rtl w:val="0"/>
          <w:lang w:val="it-IT"/>
        </w:rPr>
        <w:t xml:space="preserve">successiva alla visita della Commissione nella discarica di Borgo Montello, avvenuta subito dopo la </w:t>
      </w:r>
      <w:r>
        <w:rPr>
          <w:rFonts w:ascii="Book Antiqua"/>
          <w:i w:val="1"/>
          <w:iCs w:val="1"/>
          <w:rtl w:val="0"/>
          <w:lang w:val="it-IT"/>
        </w:rPr>
        <w:t>discovery</w:t>
      </w:r>
      <w:r>
        <w:rPr>
          <w:rFonts w:ascii="Book Antiqua"/>
          <w:rtl w:val="0"/>
          <w:lang w:val="it-IT"/>
        </w:rPr>
        <w:t xml:space="preserve"> processuale (con ordinanza di custodia cautelare) della prima indagine giudiziaria del tribunale di Latina, in epoca recente, sulla societ</w:t>
      </w:r>
      <w:r>
        <w:rPr>
          <w:rFonts w:hAnsi="Book Antiqua" w:hint="default"/>
          <w:rtl w:val="0"/>
          <w:lang w:val="it-IT"/>
        </w:rPr>
        <w:t xml:space="preserve">à </w:t>
      </w:r>
      <w:r>
        <w:rPr>
          <w:rFonts w:ascii="Book Antiqua"/>
          <w:rtl w:val="0"/>
          <w:lang w:val="it-IT"/>
        </w:rPr>
        <w:t xml:space="preserve">Indeco, gestore di parte della discarica. </w:t>
      </w:r>
    </w:p>
    <w:p>
      <w:pPr>
        <w:pStyle w:val="Normal"/>
        <w:ind w:left="567" w:right="567" w:firstLine="0"/>
        <w:jc w:val="both"/>
        <w:rPr>
          <w:rFonts w:ascii="Book Antiqua" w:cs="Book Antiqua" w:hAnsi="Book Antiqua" w:eastAsia="Book Antiqua"/>
        </w:rPr>
      </w:pPr>
      <w:r>
        <w:rPr>
          <w:rFonts w:ascii="Book Antiqua"/>
          <w:rtl w:val="0"/>
          <w:lang w:val="it-IT"/>
        </w:rPr>
        <w:t>E' stato chiesto all</w:t>
      </w:r>
      <w:r>
        <w:rPr>
          <w:rFonts w:hAnsi="Book Antiqua" w:hint="default"/>
          <w:rtl w:val="0"/>
          <w:lang w:val="it-IT"/>
        </w:rPr>
        <w:t>’</w:t>
      </w:r>
      <w:r>
        <w:rPr>
          <w:rFonts w:ascii="Book Antiqua"/>
          <w:rtl w:val="0"/>
          <w:lang w:val="it-IT"/>
        </w:rPr>
        <w:t>audito di presentare le problematiche della discarica, evidenziando il punto di vista dei cittadini che abitano in prossimit</w:t>
      </w:r>
      <w:r>
        <w:rPr>
          <w:rFonts w:hAnsi="Book Antiqua" w:hint="default"/>
          <w:rtl w:val="0"/>
          <w:lang w:val="it-IT"/>
        </w:rPr>
        <w:t xml:space="preserve">à </w:t>
      </w:r>
      <w:r>
        <w:rPr>
          <w:rFonts w:ascii="Book Antiqua"/>
          <w:rtl w:val="0"/>
          <w:lang w:val="it-IT"/>
        </w:rPr>
        <w:t xml:space="preserve">del sito. Giorgio Libralato, a nome dei cittadini di Borgo Montello, ha ricordato la presentazione di una petizione al Parlamento europeo, presso il quale alcuni abitanti dalla zona sono stati auditi nel novembre 2013. La petizione </w:t>
      </w:r>
      <w:r>
        <w:rPr>
          <w:rFonts w:hAnsi="Book Antiqua" w:hint="default"/>
          <w:rtl w:val="0"/>
          <w:lang w:val="it-IT"/>
        </w:rPr>
        <w:t xml:space="preserve">è </w:t>
      </w:r>
      <w:r>
        <w:rPr>
          <w:rFonts w:ascii="Book Antiqua"/>
          <w:rtl w:val="0"/>
          <w:lang w:val="it-IT"/>
        </w:rPr>
        <w:t>tuttora aperta. I rappresentanti dei cittadini sono stati altres</w:t>
      </w:r>
      <w:r>
        <w:rPr>
          <w:rFonts w:hAnsi="Book Antiqua" w:hint="default"/>
          <w:rtl w:val="0"/>
          <w:lang w:val="it-IT"/>
        </w:rPr>
        <w:t xml:space="preserve">ì </w:t>
      </w:r>
      <w:r>
        <w:rPr>
          <w:rFonts w:ascii="Book Antiqua"/>
          <w:rtl w:val="0"/>
          <w:lang w:val="it-IT"/>
        </w:rPr>
        <w:t>ascoltati il 26 maggio 2015 dalla Commissione rifiuti regione Lazio. Era la prima volta che venivano auditi dalla Commissione parlamentare d</w:t>
      </w:r>
      <w:r>
        <w:rPr>
          <w:rFonts w:hAnsi="Book Antiqua" w:hint="default"/>
          <w:rtl w:val="0"/>
          <w:lang w:val="it-IT"/>
        </w:rPr>
        <w:t>’</w:t>
      </w:r>
      <w:r>
        <w:rPr>
          <w:rFonts w:ascii="Book Antiqua"/>
          <w:rtl w:val="0"/>
          <w:lang w:val="it-IT"/>
        </w:rPr>
        <w:t xml:space="preserve">inchiesta. </w:t>
      </w:r>
    </w:p>
    <w:p>
      <w:pPr>
        <w:pStyle w:val="Normal"/>
        <w:ind w:left="567" w:right="567" w:firstLine="0"/>
        <w:jc w:val="both"/>
        <w:rPr>
          <w:rFonts w:ascii="Book Antiqua" w:cs="Book Antiqua" w:hAnsi="Book Antiqua" w:eastAsia="Book Antiqua"/>
        </w:rPr>
      </w:pPr>
      <w:r>
        <w:rPr>
          <w:rFonts w:ascii="Book Antiqua"/>
          <w:rtl w:val="0"/>
          <w:lang w:val="it-IT"/>
        </w:rPr>
        <w:t xml:space="preserve">Giorgio Libralato ha richiamato alcuni eventi giudiziari poi oggetto di specifico approfondimento da parte della Commissione: </w:t>
      </w:r>
    </w:p>
    <w:p>
      <w:pPr>
        <w:pStyle w:val="Normal"/>
        <w:ind w:left="567" w:right="567" w:firstLine="0"/>
        <w:jc w:val="both"/>
        <w:rPr>
          <w:rFonts w:ascii="Book Antiqua" w:cs="Book Antiqua" w:hAnsi="Book Antiqua" w:eastAsia="Book Antiqua"/>
        </w:rPr>
      </w:pPr>
      <w:r>
        <w:rPr>
          <w:rFonts w:hAnsi="Book Antiqua" w:hint="default"/>
          <w:rtl w:val="0"/>
          <w:lang w:val="it-IT"/>
        </w:rPr>
        <w:t>“</w:t>
      </w:r>
      <w:r>
        <w:rPr>
          <w:rFonts w:ascii="Book Antiqua"/>
          <w:rtl w:val="0"/>
          <w:lang w:val="it-IT"/>
        </w:rPr>
        <w:t>Una cosa fondamentale avviene il 29 gennaio 2014: con la solita inchiesta - anche in quel caso, gruppo De Pierro, Capitolina, Giulia e altre societ</w:t>
      </w:r>
      <w:r>
        <w:rPr>
          <w:rFonts w:hAnsi="Book Antiqua" w:hint="default"/>
          <w:rtl w:val="0"/>
          <w:lang w:val="it-IT"/>
        </w:rPr>
        <w:t xml:space="preserve">à </w:t>
      </w:r>
      <w:r>
        <w:rPr>
          <w:rFonts w:ascii="Book Antiqua"/>
          <w:rtl w:val="0"/>
          <w:lang w:val="it-IT"/>
        </w:rPr>
        <w:t>- viene sequestrata dal GICO della Guardia di finanza una parte attiva della discarica di Borgo Montello, ovviamente con atti giudiziari e atti di conservatoria, ma non succede assolutamente nulla</w:t>
      </w:r>
      <w:r>
        <w:rPr>
          <w:rFonts w:hAnsi="Book Antiqua" w:hint="default"/>
          <w:rtl w:val="0"/>
          <w:lang w:val="it-IT"/>
        </w:rPr>
        <w:t>”</w:t>
      </w:r>
      <w:r>
        <w:rPr>
          <w:rFonts w:ascii="Book Antiqua"/>
          <w:rtl w:val="0"/>
          <w:lang w:val="it-IT"/>
        </w:rPr>
        <w:t>. Rispetto a questa azione giudiziaria (sulla quale si ritorner</w:t>
      </w:r>
      <w:r>
        <w:rPr>
          <w:rFonts w:hAnsi="Book Antiqua" w:hint="default"/>
          <w:rtl w:val="0"/>
          <w:lang w:val="it-IT"/>
        </w:rPr>
        <w:t xml:space="preserve">à </w:t>
      </w:r>
      <w:r>
        <w:rPr>
          <w:rFonts w:ascii="Book Antiqua"/>
          <w:rtl w:val="0"/>
          <w:lang w:val="it-IT"/>
        </w:rPr>
        <w:t xml:space="preserve">in seguito) ha aggiunto: </w:t>
      </w:r>
      <w:r>
        <w:rPr>
          <w:rFonts w:hAnsi="Book Antiqua" w:hint="default"/>
          <w:rtl w:val="0"/>
          <w:lang w:val="it-IT"/>
        </w:rPr>
        <w:t>“</w:t>
      </w:r>
      <w:r>
        <w:rPr>
          <w:rFonts w:ascii="Book Antiqua"/>
          <w:rtl w:val="0"/>
          <w:lang w:val="it-IT"/>
        </w:rPr>
        <w:t>La propriet</w:t>
      </w:r>
      <w:r>
        <w:rPr>
          <w:rFonts w:hAnsi="Book Antiqua" w:hint="default"/>
          <w:rtl w:val="0"/>
          <w:lang w:val="it-IT"/>
        </w:rPr>
        <w:t xml:space="preserve">à </w:t>
      </w:r>
      <w:r>
        <w:rPr>
          <w:rFonts w:ascii="Book Antiqua"/>
          <w:rtl w:val="0"/>
          <w:lang w:val="it-IT"/>
        </w:rPr>
        <w:t xml:space="preserve">della discarica </w:t>
      </w:r>
      <w:r>
        <w:rPr>
          <w:rFonts w:hAnsi="Book Antiqua" w:hint="default"/>
          <w:rtl w:val="0"/>
          <w:lang w:val="it-IT"/>
        </w:rPr>
        <w:t xml:space="preserve">è </w:t>
      </w:r>
      <w:r>
        <w:rPr>
          <w:rFonts w:ascii="Book Antiqua"/>
          <w:rtl w:val="0"/>
          <w:lang w:val="it-IT"/>
        </w:rPr>
        <w:t xml:space="preserve">della Ecomont e non della Ecoambiente come falsamente dichiarato dalla regione Lazio nell'AIA del 2009. Allo stesso modo, </w:t>
      </w:r>
      <w:r>
        <w:rPr>
          <w:rFonts w:hAnsi="Book Antiqua" w:hint="default"/>
          <w:rtl w:val="0"/>
          <w:lang w:val="it-IT"/>
        </w:rPr>
        <w:t xml:space="preserve">è </w:t>
      </w:r>
      <w:r>
        <w:rPr>
          <w:rFonts w:ascii="Book Antiqua"/>
          <w:rtl w:val="0"/>
          <w:lang w:val="it-IT"/>
        </w:rPr>
        <w:t xml:space="preserve">falso uno dei verbali di rinnovo dell'AIA, che appunto scadeva l'8 aprile 2012, dove si dichiara che quest'invaso non </w:t>
      </w:r>
      <w:r>
        <w:rPr>
          <w:rFonts w:hAnsi="Book Antiqua" w:hint="default"/>
          <w:rtl w:val="0"/>
          <w:lang w:val="it-IT"/>
        </w:rPr>
        <w:t xml:space="preserve">è </w:t>
      </w:r>
      <w:r>
        <w:rPr>
          <w:rFonts w:ascii="Book Antiqua"/>
          <w:rtl w:val="0"/>
          <w:lang w:val="it-IT"/>
        </w:rPr>
        <w:t xml:space="preserve">stato sequestrato, ma invece, </w:t>
      </w:r>
      <w:r>
        <w:rPr>
          <w:rFonts w:hAnsi="Book Antiqua" w:hint="default"/>
          <w:rtl w:val="0"/>
          <w:lang w:val="it-IT"/>
        </w:rPr>
        <w:t xml:space="preserve">è </w:t>
      </w:r>
      <w:r>
        <w:rPr>
          <w:rFonts w:ascii="Book Antiqua"/>
          <w:rtl w:val="0"/>
          <w:lang w:val="it-IT"/>
        </w:rPr>
        <w:t>stato sequestrato. Sono state fatte tutte le segnalazioni ma non sono state sufficienti</w:t>
      </w:r>
      <w:r>
        <w:rPr>
          <w:rFonts w:hAnsi="Book Antiqua" w:hint="default"/>
          <w:rtl w:val="0"/>
          <w:lang w:val="it-IT"/>
        </w:rPr>
        <w:t>”</w:t>
      </w:r>
      <w:r>
        <w:rPr>
          <w:rFonts w:ascii="Book Antiqua"/>
          <w:rtl w:val="0"/>
          <w:lang w:val="it-IT"/>
        </w:rPr>
        <w:t xml:space="preserve">. </w:t>
      </w:r>
    </w:p>
    <w:p>
      <w:pPr>
        <w:pStyle w:val="Normal"/>
        <w:ind w:left="567" w:right="567" w:firstLine="0"/>
        <w:jc w:val="both"/>
        <w:rPr>
          <w:rFonts w:ascii="Book Antiqua" w:cs="Book Antiqua" w:hAnsi="Book Antiqua" w:eastAsia="Book Antiqua"/>
        </w:rPr>
      </w:pPr>
      <w:r>
        <w:rPr>
          <w:rFonts w:ascii="Book Antiqua"/>
          <w:rtl w:val="0"/>
          <w:lang w:val="it-IT"/>
        </w:rPr>
        <w:t xml:space="preserve">Su un altro delicato punto, ovvero la ricerca di </w:t>
      </w:r>
      <w:r>
        <w:rPr>
          <w:rFonts w:hAnsi="Book Antiqua" w:hint="default"/>
          <w:rtl w:val="0"/>
          <w:lang w:val="it-IT"/>
        </w:rPr>
        <w:t>“</w:t>
      </w:r>
      <w:r>
        <w:rPr>
          <w:rFonts w:ascii="Book Antiqua"/>
          <w:rtl w:val="0"/>
          <w:lang w:val="it-IT"/>
        </w:rPr>
        <w:t>fusti tossici</w:t>
      </w:r>
      <w:r>
        <w:rPr>
          <w:rFonts w:hAnsi="Book Antiqua" w:hint="default"/>
          <w:rtl w:val="0"/>
          <w:lang w:val="it-IT"/>
        </w:rPr>
        <w:t xml:space="preserve">” </w:t>
      </w:r>
      <w:r>
        <w:rPr>
          <w:rFonts w:ascii="Book Antiqua"/>
          <w:rtl w:val="0"/>
          <w:lang w:val="it-IT"/>
        </w:rPr>
        <w:t>o, pi</w:t>
      </w:r>
      <w:r>
        <w:rPr>
          <w:rFonts w:hAnsi="Book Antiqua" w:hint="default"/>
          <w:rtl w:val="0"/>
          <w:lang w:val="it-IT"/>
        </w:rPr>
        <w:t xml:space="preserve">ù </w:t>
      </w:r>
      <w:r>
        <w:rPr>
          <w:rFonts w:ascii="Book Antiqua"/>
          <w:rtl w:val="0"/>
          <w:lang w:val="it-IT"/>
        </w:rPr>
        <w:t xml:space="preserve">in generale, di tracce di sversamenti di rifiuti pericolosi in epoca passata, Libralato ha dichiarato: </w:t>
      </w:r>
    </w:p>
    <w:p>
      <w:pPr>
        <w:pStyle w:val="Normal"/>
        <w:ind w:left="567" w:right="567" w:firstLine="0"/>
        <w:jc w:val="both"/>
        <w:rPr>
          <w:rFonts w:ascii="Book Antiqua" w:cs="Book Antiqua" w:hAnsi="Book Antiqua" w:eastAsia="Book Antiqua"/>
        </w:rPr>
      </w:pPr>
      <w:r>
        <w:rPr>
          <w:rFonts w:hAnsi="Book Antiqua" w:hint="default"/>
          <w:rtl w:val="0"/>
          <w:lang w:val="it-IT"/>
        </w:rPr>
        <w:t>“</w:t>
      </w:r>
      <w:r>
        <w:rPr>
          <w:rFonts w:ascii="Book Antiqua"/>
          <w:rtl w:val="0"/>
          <w:lang w:val="it-IT"/>
        </w:rPr>
        <w:t xml:space="preserve">Nell'agosto 2012, iniziano anche i famosi scavi nell'invaso S0, che non </w:t>
      </w:r>
      <w:r>
        <w:rPr>
          <w:rFonts w:hAnsi="Book Antiqua" w:hint="default"/>
          <w:rtl w:val="0"/>
          <w:lang w:val="it-IT"/>
        </w:rPr>
        <w:t xml:space="preserve">è </w:t>
      </w:r>
      <w:r>
        <w:rPr>
          <w:rFonts w:ascii="Book Antiqua"/>
          <w:rtl w:val="0"/>
          <w:lang w:val="it-IT"/>
        </w:rPr>
        <w:t>di nessuno, e quindi spetta alla comunit</w:t>
      </w:r>
      <w:r>
        <w:rPr>
          <w:rFonts w:hAnsi="Book Antiqua" w:hint="default"/>
          <w:rtl w:val="0"/>
          <w:lang w:val="it-IT"/>
        </w:rPr>
        <w:t>à</w:t>
      </w:r>
      <w:r>
        <w:rPr>
          <w:rFonts w:ascii="Book Antiqua"/>
          <w:rtl w:val="0"/>
          <w:lang w:val="it-IT"/>
        </w:rPr>
        <w:t>. La regione Lazio eroga un finanziamento di circa 700.000 euro per fare questi scavi, viene affidato un appalto di circa 400.000 euro, ma gli scavi vengono effettuati solo parzialmente [...] La ragione di questi scavi ha origine dalla dichiarazione di Carmine Schiavone che nella discarica di Borgo Montello erano stati conferiti dei fusti tossici. Uno studio dell'ENEA del 1995 certificava che nella S0, in una delle tante vasche, la prima, la pi</w:t>
      </w:r>
      <w:r>
        <w:rPr>
          <w:rFonts w:hAnsi="Book Antiqua" w:hint="default"/>
          <w:rtl w:val="0"/>
          <w:lang w:val="it-IT"/>
        </w:rPr>
        <w:t xml:space="preserve">ù </w:t>
      </w:r>
      <w:r>
        <w:rPr>
          <w:rFonts w:ascii="Book Antiqua"/>
          <w:rtl w:val="0"/>
          <w:lang w:val="it-IT"/>
        </w:rPr>
        <w:t xml:space="preserve">antica, c'erano queste masse metalliche che potevano far pensare alla presenza di fusti metallici. Questa massa metallica </w:t>
      </w:r>
      <w:r>
        <w:rPr>
          <w:rFonts w:hAnsi="Book Antiqua" w:hint="default"/>
          <w:rtl w:val="0"/>
          <w:lang w:val="it-IT"/>
        </w:rPr>
        <w:t xml:space="preserve">è </w:t>
      </w:r>
      <w:r>
        <w:rPr>
          <w:rFonts w:ascii="Book Antiqua"/>
          <w:rtl w:val="0"/>
          <w:lang w:val="it-IT"/>
        </w:rPr>
        <w:t>stata poi confermata dalle ricerche dell'INGV, e quindi sono stati fatti gli scavi.</w:t>
      </w:r>
      <w:r>
        <w:rPr>
          <w:rtl w:val="0"/>
          <w:lang w:val="it-IT"/>
        </w:rPr>
        <w:t xml:space="preserve"> </w:t>
      </w:r>
      <w:r>
        <w:rPr>
          <w:rFonts w:ascii="Book Antiqua"/>
          <w:rtl w:val="0"/>
          <w:lang w:val="it-IT"/>
        </w:rPr>
        <w:t>Durante una conferenza pubblica, il 20 settembre 2012, uno dei direttori dei lavori, il direttore dell'Istituto nazionale di geofisica e vulcanologia, ha dichiarato che si sarebbero fatti tutti gli scavi perch</w:t>
      </w:r>
      <w:r>
        <w:rPr>
          <w:rFonts w:hAnsi="Book Antiqua" w:hint="default"/>
          <w:rtl w:val="0"/>
          <w:lang w:val="it-IT"/>
        </w:rPr>
        <w:t xml:space="preserve">é </w:t>
      </w:r>
      <w:r>
        <w:rPr>
          <w:rFonts w:ascii="Book Antiqua"/>
          <w:rtl w:val="0"/>
          <w:lang w:val="it-IT"/>
        </w:rPr>
        <w:t>per loro quello che avevano trovato era sufficiente per dire che quella massa metallica era o del ferro che si trovava nei copertoni o armature metalliche delle recinzioni dell'epoca</w:t>
      </w:r>
      <w:r>
        <w:rPr>
          <w:rFonts w:hAnsi="Book Antiqua" w:hint="default"/>
          <w:rtl w:val="0"/>
          <w:lang w:val="it-IT"/>
        </w:rPr>
        <w:t>”</w:t>
      </w:r>
      <w:r>
        <w:rPr>
          <w:rFonts w:ascii="Book Antiqua"/>
          <w:rtl w:val="0"/>
          <w:lang w:val="it-IT"/>
        </w:rPr>
        <w:t xml:space="preserve">. </w:t>
      </w:r>
    </w:p>
    <w:p>
      <w:pPr>
        <w:pStyle w:val="Normal"/>
        <w:ind w:left="567" w:right="567" w:firstLine="0"/>
        <w:jc w:val="both"/>
        <w:rPr>
          <w:rFonts w:ascii="Book Antiqua" w:cs="Book Antiqua" w:hAnsi="Book Antiqua" w:eastAsia="Book Antiqua"/>
        </w:rPr>
      </w:pPr>
      <w:r>
        <w:rPr>
          <w:rFonts w:ascii="Book Antiqua"/>
          <w:rtl w:val="0"/>
          <w:lang w:val="it-IT"/>
        </w:rPr>
        <w:t>Il consulente degli abitanti di Borgo Montello fa riferimento alla campagna di scavi nel sito pi</w:t>
      </w:r>
      <w:r>
        <w:rPr>
          <w:rFonts w:hAnsi="Book Antiqua" w:hint="default"/>
          <w:rtl w:val="0"/>
          <w:lang w:val="it-IT"/>
        </w:rPr>
        <w:t xml:space="preserve">ù </w:t>
      </w:r>
      <w:r>
        <w:rPr>
          <w:rFonts w:ascii="Book Antiqua"/>
          <w:rtl w:val="0"/>
          <w:lang w:val="it-IT"/>
        </w:rPr>
        <w:t>antico della discarica del 2012: secondo la documentazione acquisita dalla Commissione, l'esito di quella ricerca fu negativo.</w:t>
      </w:r>
    </w:p>
    <w:p>
      <w:pPr>
        <w:pStyle w:val="Normal"/>
        <w:ind w:left="567" w:right="567" w:firstLine="0"/>
        <w:jc w:val="both"/>
        <w:rPr>
          <w:rFonts w:ascii="Book Antiqua" w:cs="Book Antiqua" w:hAnsi="Book Antiqua" w:eastAsia="Book Antiqua"/>
        </w:rPr>
      </w:pPr>
      <w:r>
        <w:rPr>
          <w:rFonts w:ascii="Book Antiqua"/>
          <w:rtl w:val="0"/>
          <w:lang w:val="it-IT"/>
        </w:rPr>
        <w:t>Rispetto a questo punto l</w:t>
      </w:r>
      <w:r>
        <w:rPr>
          <w:rFonts w:hAnsi="Book Antiqua" w:hint="default"/>
          <w:rtl w:val="0"/>
          <w:lang w:val="it-IT"/>
        </w:rPr>
        <w:t>’</w:t>
      </w:r>
      <w:r>
        <w:rPr>
          <w:rFonts w:ascii="Book Antiqua"/>
          <w:rtl w:val="0"/>
          <w:lang w:val="it-IT"/>
        </w:rPr>
        <w:t xml:space="preserve">audito ha aggiunto: </w:t>
      </w:r>
    </w:p>
    <w:p>
      <w:pPr>
        <w:pStyle w:val="Normal"/>
        <w:ind w:left="567" w:right="567" w:firstLine="0"/>
        <w:jc w:val="both"/>
        <w:rPr>
          <w:rFonts w:ascii="Book Antiqua" w:cs="Book Antiqua" w:hAnsi="Book Antiqua" w:eastAsia="Book Antiqua"/>
        </w:rPr>
      </w:pPr>
      <w:r>
        <w:rPr>
          <w:rFonts w:hAnsi="Book Antiqua" w:hint="default"/>
          <w:rtl w:val="0"/>
          <w:lang w:val="it-IT"/>
        </w:rPr>
        <w:t>“</w:t>
      </w:r>
      <w:r>
        <w:rPr>
          <w:rFonts w:ascii="Book Antiqua"/>
          <w:rtl w:val="0"/>
          <w:lang w:val="it-IT"/>
        </w:rPr>
        <w:t xml:space="preserve">Il problema </w:t>
      </w:r>
      <w:r>
        <w:rPr>
          <w:rFonts w:hAnsi="Book Antiqua" w:hint="default"/>
          <w:rtl w:val="0"/>
          <w:lang w:val="it-IT"/>
        </w:rPr>
        <w:t xml:space="preserve">è </w:t>
      </w:r>
      <w:r>
        <w:rPr>
          <w:rFonts w:ascii="Book Antiqua"/>
          <w:rtl w:val="0"/>
          <w:lang w:val="it-IT"/>
        </w:rPr>
        <w:t>sorto perch</w:t>
      </w:r>
      <w:r>
        <w:rPr>
          <w:rFonts w:hAnsi="Book Antiqua" w:hint="default"/>
          <w:rtl w:val="0"/>
          <w:lang w:val="it-IT"/>
        </w:rPr>
        <w:t xml:space="preserve">é </w:t>
      </w:r>
      <w:r>
        <w:rPr>
          <w:rFonts w:ascii="Book Antiqua"/>
          <w:rtl w:val="0"/>
          <w:lang w:val="it-IT"/>
        </w:rPr>
        <w:t>durante gli scavi l'assessore provinciale all'ambiente dell'epoca, Gerardo Stefanelli, ha dichiarato che non andavano cercati l</w:t>
      </w:r>
      <w:r>
        <w:rPr>
          <w:rFonts w:hAnsi="Book Antiqua" w:hint="default"/>
          <w:rtl w:val="0"/>
          <w:lang w:val="it-IT"/>
        </w:rPr>
        <w:t xml:space="preserve">ì </w:t>
      </w:r>
      <w:r>
        <w:rPr>
          <w:rFonts w:ascii="Book Antiqua"/>
          <w:rtl w:val="0"/>
          <w:lang w:val="it-IT"/>
        </w:rPr>
        <w:t>i fusti perch</w:t>
      </w:r>
      <w:r>
        <w:rPr>
          <w:rFonts w:hAnsi="Book Antiqua" w:hint="default"/>
          <w:rtl w:val="0"/>
          <w:lang w:val="it-IT"/>
        </w:rPr>
        <w:t xml:space="preserve">é </w:t>
      </w:r>
      <w:r>
        <w:rPr>
          <w:rFonts w:ascii="Book Antiqua"/>
          <w:rtl w:val="0"/>
          <w:lang w:val="it-IT"/>
        </w:rPr>
        <w:t>probabilmente erano in altri invasi. Lo stesso ha dichiarato Carmine Schiavone in diverse interviste, dicendo di aver visto dove avevano scavato e che non era l</w:t>
      </w:r>
      <w:r>
        <w:rPr>
          <w:rFonts w:hAnsi="Book Antiqua" w:hint="default"/>
          <w:rtl w:val="0"/>
          <w:lang w:val="it-IT"/>
        </w:rPr>
        <w:t xml:space="preserve">ì </w:t>
      </w:r>
      <w:r>
        <w:rPr>
          <w:rFonts w:ascii="Book Antiqua"/>
          <w:rtl w:val="0"/>
          <w:lang w:val="it-IT"/>
        </w:rPr>
        <w:t xml:space="preserve">che dovevano cercare i fusti. Questo </w:t>
      </w:r>
      <w:r>
        <w:rPr>
          <w:rFonts w:hAnsi="Book Antiqua" w:hint="default"/>
          <w:rtl w:val="0"/>
          <w:lang w:val="it-IT"/>
        </w:rPr>
        <w:t xml:space="preserve">è </w:t>
      </w:r>
      <w:r>
        <w:rPr>
          <w:rFonts w:ascii="Book Antiqua"/>
          <w:rtl w:val="0"/>
          <w:lang w:val="it-IT"/>
        </w:rPr>
        <w:t xml:space="preserve">solo uno dei problemi, considerato che </w:t>
      </w:r>
      <w:r>
        <w:rPr>
          <w:rFonts w:hAnsi="Book Antiqua" w:hint="default"/>
          <w:rtl w:val="0"/>
          <w:lang w:val="it-IT"/>
        </w:rPr>
        <w:t xml:space="preserve">è </w:t>
      </w:r>
      <w:r>
        <w:rPr>
          <w:rFonts w:ascii="Book Antiqua"/>
          <w:rtl w:val="0"/>
          <w:lang w:val="it-IT"/>
        </w:rPr>
        <w:t>dalle prime analisi del 2005 che si evidenzia l</w:t>
      </w:r>
      <w:r>
        <w:rPr>
          <w:rFonts w:hAnsi="Book Antiqua" w:hint="default"/>
          <w:rtl w:val="0"/>
          <w:lang w:val="it-IT"/>
        </w:rPr>
        <w:t>’</w:t>
      </w:r>
      <w:r>
        <w:rPr>
          <w:rFonts w:ascii="Book Antiqua"/>
          <w:rtl w:val="0"/>
          <w:lang w:val="it-IT"/>
        </w:rPr>
        <w:t>inquinamento delle falde acquifere. L</w:t>
      </w:r>
      <w:r>
        <w:rPr>
          <w:rFonts w:hAnsi="Book Antiqua" w:hint="default"/>
          <w:rtl w:val="0"/>
          <w:lang w:val="it-IT"/>
        </w:rPr>
        <w:t>’</w:t>
      </w:r>
      <w:r>
        <w:rPr>
          <w:rFonts w:ascii="Book Antiqua"/>
          <w:rtl w:val="0"/>
          <w:lang w:val="it-IT"/>
        </w:rPr>
        <w:t>ARPA ha verificato queste analisi cos</w:t>
      </w:r>
      <w:r>
        <w:rPr>
          <w:rFonts w:hAnsi="Book Antiqua" w:hint="default"/>
          <w:rtl w:val="0"/>
          <w:lang w:val="it-IT"/>
        </w:rPr>
        <w:t xml:space="preserve">ì </w:t>
      </w:r>
      <w:r>
        <w:rPr>
          <w:rFonts w:ascii="Book Antiqua"/>
          <w:rtl w:val="0"/>
          <w:lang w:val="it-IT"/>
        </w:rPr>
        <w:t xml:space="preserve">come i periti del tribunale di Latina, a cui </w:t>
      </w:r>
      <w:r>
        <w:rPr>
          <w:rFonts w:hAnsi="Book Antiqua" w:hint="default"/>
          <w:rtl w:val="0"/>
          <w:lang w:val="it-IT"/>
        </w:rPr>
        <w:t xml:space="preserve">è </w:t>
      </w:r>
      <w:r>
        <w:rPr>
          <w:rFonts w:ascii="Book Antiqua"/>
          <w:rtl w:val="0"/>
          <w:lang w:val="it-IT"/>
        </w:rPr>
        <w:t>seguito a un processo tuttora in corso con il rinvio a giudizio di tre esponenti dell'epoca di Ecoambiente, sempre Bruno Landi, Rondoni e Nicola Colucci, che a vario titolo avevano partecipato alla gestione della discarica. In particolare, l'ultimo dei periti, il professor Tomaso Munari di Genova, vicepresidente dell'ordine nazionale dei chimici, ha certificato quest'inquinamento, ovviamente con analisi di laboratorio eseguite sul posto, e ha indicato un livello di inquinamento pi</w:t>
      </w:r>
      <w:r>
        <w:rPr>
          <w:rFonts w:hAnsi="Book Antiqua" w:hint="default"/>
          <w:rtl w:val="0"/>
          <w:lang w:val="it-IT"/>
        </w:rPr>
        <w:t xml:space="preserve">ù </w:t>
      </w:r>
      <w:r>
        <w:rPr>
          <w:rFonts w:ascii="Book Antiqua"/>
          <w:rtl w:val="0"/>
          <w:lang w:val="it-IT"/>
        </w:rPr>
        <w:t>alto rispetto a quello certificato per esempio da ARPA Lazio o ISPRA. In particolare, il professor Munari ha indicato anche che il famoso progetto che doveva essere fatto di protezione delle falde da parte di Ecoambiente in realt</w:t>
      </w:r>
      <w:r>
        <w:rPr>
          <w:rFonts w:hAnsi="Book Antiqua" w:hint="default"/>
          <w:rtl w:val="0"/>
          <w:lang w:val="it-IT"/>
        </w:rPr>
        <w:t xml:space="preserve">à </w:t>
      </w:r>
      <w:r>
        <w:rPr>
          <w:rFonts w:ascii="Book Antiqua"/>
          <w:rtl w:val="0"/>
          <w:lang w:val="it-IT"/>
        </w:rPr>
        <w:t xml:space="preserve">non </w:t>
      </w:r>
      <w:r>
        <w:rPr>
          <w:rFonts w:hAnsi="Book Antiqua" w:hint="default"/>
          <w:rtl w:val="0"/>
          <w:lang w:val="it-IT"/>
        </w:rPr>
        <w:t xml:space="preserve">è </w:t>
      </w:r>
      <w:r>
        <w:rPr>
          <w:rFonts w:ascii="Book Antiqua"/>
          <w:rtl w:val="0"/>
          <w:lang w:val="it-IT"/>
        </w:rPr>
        <w:t>stato fatto come doveva</w:t>
      </w:r>
      <w:r>
        <w:rPr>
          <w:rFonts w:hAnsi="Book Antiqua" w:hint="default"/>
          <w:rtl w:val="0"/>
          <w:lang w:val="it-IT"/>
        </w:rPr>
        <w:t>”</w:t>
      </w:r>
      <w:r>
        <w:rPr>
          <w:rFonts w:ascii="Book Antiqua"/>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Dunque, secondo Giorgio Libralato, le ricerche andrebbero ampliate anche ad altre zone della discarica (gli invasi sono circa una decina); lo stesso consulente delle famiglie di Borgo Montello ha poi richiamato la campagna di monitoraggio della falda acquifera effettuata da ARPA Lazio e la perizia svolta da Tomaso Munari, nominato dal GUP del tribunale di Latina. Questi due punti verranno ulteriormente approfonditi in seguito.</w:t>
      </w:r>
    </w:p>
    <w:p>
      <w:pPr>
        <w:pStyle w:val="Normal"/>
        <w:ind w:left="567" w:right="567" w:firstLine="0"/>
        <w:jc w:val="both"/>
        <w:rPr>
          <w:rFonts w:ascii="Book Antiqua" w:cs="Book Antiqua" w:hAnsi="Book Antiqua" w:eastAsia="Book Antiqua"/>
        </w:rPr>
      </w:pPr>
      <w:r>
        <w:rPr>
          <w:rFonts w:ascii="Book Antiqua"/>
          <w:rtl w:val="0"/>
          <w:lang w:val="it-IT"/>
        </w:rPr>
        <w:t xml:space="preserve">Libralato ha poi fatto notare che l'ultima analisi dell'ARPA Lazio, risalente al marzo 2013, </w:t>
      </w:r>
      <w:r>
        <w:rPr>
          <w:rFonts w:hAnsi="Book Antiqua" w:hint="default"/>
          <w:rtl w:val="0"/>
          <w:lang w:val="it-IT"/>
        </w:rPr>
        <w:t xml:space="preserve">è </w:t>
      </w:r>
      <w:r>
        <w:rPr>
          <w:rFonts w:ascii="Book Antiqua"/>
          <w:rtl w:val="0"/>
          <w:lang w:val="it-IT"/>
        </w:rPr>
        <w:t>stata resa nota con molta difficolt</w:t>
      </w:r>
      <w:r>
        <w:rPr>
          <w:rFonts w:hAnsi="Book Antiqua" w:hint="default"/>
          <w:rtl w:val="0"/>
          <w:lang w:val="it-IT"/>
        </w:rPr>
        <w:t xml:space="preserve">à </w:t>
      </w:r>
      <w:r>
        <w:rPr>
          <w:rFonts w:ascii="Book Antiqua"/>
          <w:rtl w:val="0"/>
          <w:lang w:val="it-IT"/>
        </w:rPr>
        <w:t>solo a novembre 2014. Ha poi aggiunto che le stesse emissioni odorigene sono state pi</w:t>
      </w:r>
      <w:r>
        <w:rPr>
          <w:rFonts w:hAnsi="Book Antiqua" w:hint="default"/>
          <w:rtl w:val="0"/>
          <w:lang w:val="it-IT"/>
        </w:rPr>
        <w:t xml:space="preserve">ù </w:t>
      </w:r>
      <w:r>
        <w:rPr>
          <w:rFonts w:ascii="Book Antiqua"/>
          <w:rtl w:val="0"/>
          <w:lang w:val="it-IT"/>
        </w:rPr>
        <w:t xml:space="preserve">volte segnalate da lui stesso, e dai cittadini, con telefonate, lettere, mail certificate e in tanti altri modi. L'ARPA Lazio ha realizzato un monitoraggio ad hoc sulla discarica </w:t>
      </w:r>
      <w:r>
        <w:rPr>
          <w:rFonts w:hAnsi="Book Antiqua" w:hint="default"/>
          <w:rtl w:val="0"/>
          <w:lang w:val="it-IT"/>
        </w:rPr>
        <w:t xml:space="preserve">– </w:t>
      </w:r>
      <w:r>
        <w:rPr>
          <w:rFonts w:ascii="Book Antiqua"/>
          <w:rtl w:val="0"/>
          <w:lang w:val="it-IT"/>
        </w:rPr>
        <w:t xml:space="preserve">ha sostenuto Libralato </w:t>
      </w:r>
      <w:r>
        <w:rPr>
          <w:rFonts w:hAnsi="Book Antiqua" w:hint="default"/>
          <w:rtl w:val="0"/>
          <w:lang w:val="it-IT"/>
        </w:rPr>
        <w:t xml:space="preserve">– </w:t>
      </w:r>
      <w:r>
        <w:rPr>
          <w:rFonts w:ascii="Book Antiqua"/>
          <w:rtl w:val="0"/>
          <w:lang w:val="it-IT"/>
        </w:rPr>
        <w:t xml:space="preserve">nell'agosto del 2015, </w:t>
      </w:r>
      <w:r>
        <w:rPr>
          <w:rFonts w:hAnsi="Book Antiqua" w:hint="default"/>
          <w:rtl w:val="0"/>
          <w:lang w:val="it-IT"/>
        </w:rPr>
        <w:t>“</w:t>
      </w:r>
      <w:r>
        <w:rPr>
          <w:rFonts w:ascii="Book Antiqua"/>
          <w:rtl w:val="0"/>
          <w:lang w:val="it-IT"/>
        </w:rPr>
        <w:t>quando dall'estate 2015 non avviene praticamente nessun conferimento, tranne qualche camion che sporadicamente continua ad arrivare in discarica</w:t>
      </w:r>
      <w:r>
        <w:rPr>
          <w:rFonts w:hAnsi="Book Antiqua" w:hint="default"/>
          <w:rtl w:val="0"/>
          <w:lang w:val="it-IT"/>
        </w:rPr>
        <w:t>”</w:t>
      </w:r>
      <w:r>
        <w:rPr>
          <w:rFonts w:ascii="Book Antiqua"/>
          <w:rtl w:val="0"/>
          <w:lang w:val="it-IT"/>
        </w:rPr>
        <w:t xml:space="preserve">. </w:t>
      </w:r>
    </w:p>
    <w:p>
      <w:pPr>
        <w:pStyle w:val="Normal"/>
        <w:ind w:left="567" w:right="567" w:firstLine="0"/>
        <w:jc w:val="both"/>
        <w:rPr>
          <w:rFonts w:ascii="Book Antiqua" w:cs="Book Antiqua" w:hAnsi="Book Antiqua" w:eastAsia="Book Antiqua"/>
        </w:rPr>
      </w:pPr>
      <w:r>
        <w:rPr>
          <w:rFonts w:ascii="Book Antiqua"/>
          <w:rtl w:val="0"/>
          <w:lang w:val="it-IT"/>
        </w:rPr>
        <w:t>Rispetto alle procedure autorizzative in corso, l</w:t>
      </w:r>
      <w:r>
        <w:rPr>
          <w:rFonts w:hAnsi="Book Antiqua" w:hint="default"/>
          <w:rtl w:val="0"/>
          <w:lang w:val="it-IT"/>
        </w:rPr>
        <w:t>’</w:t>
      </w:r>
      <w:r>
        <w:rPr>
          <w:rFonts w:ascii="Book Antiqua"/>
          <w:rtl w:val="0"/>
          <w:lang w:val="it-IT"/>
        </w:rPr>
        <w:t>audito ha sostenuto come per Ecoambiente vi siano alcune importanti criticit</w:t>
      </w:r>
      <w:r>
        <w:rPr>
          <w:rFonts w:hAnsi="Book Antiqua" w:hint="default"/>
          <w:rtl w:val="0"/>
          <w:lang w:val="it-IT"/>
        </w:rPr>
        <w:t>à</w:t>
      </w:r>
      <w:r>
        <w:rPr>
          <w:rFonts w:ascii="Book Antiqua"/>
          <w:rtl w:val="0"/>
          <w:lang w:val="it-IT"/>
        </w:rPr>
        <w:t>, la prima relativa alla propriet</w:t>
      </w:r>
      <w:r>
        <w:rPr>
          <w:rFonts w:hAnsi="Book Antiqua" w:hint="default"/>
          <w:rtl w:val="0"/>
          <w:lang w:val="it-IT"/>
        </w:rPr>
        <w:t xml:space="preserve">à </w:t>
      </w:r>
      <w:r>
        <w:rPr>
          <w:rFonts w:ascii="Book Antiqua"/>
          <w:rtl w:val="0"/>
          <w:lang w:val="it-IT"/>
        </w:rPr>
        <w:t>e alla disponibilit</w:t>
      </w:r>
      <w:r>
        <w:rPr>
          <w:rFonts w:hAnsi="Book Antiqua" w:hint="default"/>
          <w:rtl w:val="0"/>
          <w:lang w:val="it-IT"/>
        </w:rPr>
        <w:t>à</w:t>
      </w:r>
      <w:r>
        <w:rPr>
          <w:rFonts w:ascii="Book Antiqua"/>
          <w:rtl w:val="0"/>
          <w:lang w:val="it-IT"/>
        </w:rPr>
        <w:t xml:space="preserve">: </w:t>
      </w:r>
      <w:r>
        <w:rPr>
          <w:rFonts w:hAnsi="Book Antiqua" w:hint="default"/>
          <w:rtl w:val="0"/>
          <w:lang w:val="it-IT"/>
        </w:rPr>
        <w:t>“</w:t>
      </w:r>
      <w:r>
        <w:rPr>
          <w:rFonts w:ascii="Book Antiqua"/>
          <w:rtl w:val="0"/>
          <w:lang w:val="it-IT"/>
        </w:rPr>
        <w:t>Si sa che se c</w:t>
      </w:r>
      <w:r>
        <w:rPr>
          <w:rFonts w:hAnsi="Book Antiqua" w:hint="default"/>
          <w:rtl w:val="0"/>
          <w:lang w:val="it-IT"/>
        </w:rPr>
        <w:t xml:space="preserve">’è </w:t>
      </w:r>
      <w:r>
        <w:rPr>
          <w:rFonts w:ascii="Book Antiqua"/>
          <w:rtl w:val="0"/>
          <w:lang w:val="it-IT"/>
        </w:rPr>
        <w:t>un sequestro della Guardia di finanza o della magistratura, non si pu</w:t>
      </w:r>
      <w:r>
        <w:rPr>
          <w:rFonts w:hAnsi="Book Antiqua" w:hint="default"/>
          <w:rtl w:val="0"/>
          <w:lang w:val="it-IT"/>
        </w:rPr>
        <w:t xml:space="preserve">ò </w:t>
      </w:r>
      <w:r>
        <w:rPr>
          <w:rFonts w:ascii="Book Antiqua"/>
          <w:rtl w:val="0"/>
          <w:lang w:val="it-IT"/>
        </w:rPr>
        <w:t xml:space="preserve">dichiarare che </w:t>
      </w:r>
      <w:r>
        <w:rPr>
          <w:rFonts w:hAnsi="Book Antiqua" w:hint="default"/>
          <w:rtl w:val="0"/>
          <w:lang w:val="it-IT"/>
        </w:rPr>
        <w:t xml:space="preserve">è </w:t>
      </w:r>
      <w:r>
        <w:rPr>
          <w:rFonts w:ascii="Book Antiqua"/>
          <w:rtl w:val="0"/>
          <w:lang w:val="it-IT"/>
        </w:rPr>
        <w:t>nella disponibilit</w:t>
      </w:r>
      <w:r>
        <w:rPr>
          <w:rFonts w:hAnsi="Book Antiqua" w:hint="default"/>
          <w:rtl w:val="0"/>
          <w:lang w:val="it-IT"/>
        </w:rPr>
        <w:t xml:space="preserve">à </w:t>
      </w:r>
      <w:r>
        <w:rPr>
          <w:rFonts w:ascii="Book Antiqua"/>
          <w:rtl w:val="0"/>
          <w:lang w:val="it-IT"/>
        </w:rPr>
        <w:t>della societ</w:t>
      </w:r>
      <w:r>
        <w:rPr>
          <w:rFonts w:hAnsi="Book Antiqua" w:hint="default"/>
          <w:rtl w:val="0"/>
          <w:lang w:val="it-IT"/>
        </w:rPr>
        <w:t>à”</w:t>
      </w:r>
      <w:r>
        <w:rPr>
          <w:rFonts w:ascii="Book Antiqua"/>
          <w:rtl w:val="0"/>
          <w:lang w:val="it-IT"/>
        </w:rPr>
        <w:t>. Il secondo problema, ha aggiunto, riguarda la polizza fideiussoria per la societ</w:t>
      </w:r>
      <w:r>
        <w:rPr>
          <w:rFonts w:hAnsi="Book Antiqua" w:hint="default"/>
          <w:rtl w:val="0"/>
          <w:lang w:val="it-IT"/>
        </w:rPr>
        <w:t xml:space="preserve">à </w:t>
      </w:r>
      <w:r>
        <w:rPr>
          <w:rFonts w:ascii="Book Antiqua"/>
          <w:rtl w:val="0"/>
          <w:lang w:val="it-IT"/>
        </w:rPr>
        <w:t xml:space="preserve">Ecoambiente. Il terzo problema, infine, </w:t>
      </w:r>
      <w:r>
        <w:rPr>
          <w:rFonts w:hAnsi="Book Antiqua" w:hint="default"/>
          <w:rtl w:val="0"/>
          <w:lang w:val="it-IT"/>
        </w:rPr>
        <w:t xml:space="preserve">“è </w:t>
      </w:r>
      <w:r>
        <w:rPr>
          <w:rFonts w:ascii="Book Antiqua"/>
          <w:rtl w:val="0"/>
          <w:lang w:val="it-IT"/>
        </w:rPr>
        <w:t xml:space="preserve">che </w:t>
      </w:r>
      <w:r>
        <w:rPr>
          <w:rFonts w:hAnsi="Book Antiqua" w:hint="default"/>
          <w:rtl w:val="0"/>
          <w:lang w:val="it-IT"/>
        </w:rPr>
        <w:t xml:space="preserve">– </w:t>
      </w:r>
      <w:r>
        <w:rPr>
          <w:rFonts w:ascii="Book Antiqua"/>
          <w:rtl w:val="0"/>
          <w:lang w:val="it-IT"/>
        </w:rPr>
        <w:t xml:space="preserve">lo prevedeva la conclusione della procedura AIA del 25 giugno 2014 della regione Lazio </w:t>
      </w:r>
      <w:r>
        <w:rPr>
          <w:rFonts w:hAnsi="Book Antiqua" w:hint="default"/>
          <w:rtl w:val="0"/>
          <w:lang w:val="it-IT"/>
        </w:rPr>
        <w:t xml:space="preserve">– </w:t>
      </w:r>
      <w:r>
        <w:rPr>
          <w:rFonts w:ascii="Book Antiqua"/>
          <w:rtl w:val="0"/>
          <w:lang w:val="it-IT"/>
        </w:rPr>
        <w:t xml:space="preserve">doveva esserci anche la variante urbanistica del comune di Latina, essendo stati rilevati problemi urbanistici nel 2012. Si tratta di un'area con indirizzo rurale, per cui la circostanza era incompatibile con la normativa urbanistica; </w:t>
      </w:r>
      <w:r>
        <w:rPr>
          <w:rFonts w:hAnsi="Book Antiqua" w:hint="default"/>
          <w:rtl w:val="0"/>
          <w:lang w:val="it-IT"/>
        </w:rPr>
        <w:t xml:space="preserve">è </w:t>
      </w:r>
      <w:r>
        <w:rPr>
          <w:rFonts w:ascii="Book Antiqua"/>
          <w:rtl w:val="0"/>
          <w:lang w:val="it-IT"/>
        </w:rPr>
        <w:t xml:space="preserve">stata fatta una variante, si </w:t>
      </w:r>
      <w:r>
        <w:rPr>
          <w:rFonts w:hAnsi="Book Antiqua" w:hint="default"/>
          <w:rtl w:val="0"/>
          <w:lang w:val="it-IT"/>
        </w:rPr>
        <w:t xml:space="preserve">è </w:t>
      </w:r>
      <w:r>
        <w:rPr>
          <w:rFonts w:ascii="Book Antiqua"/>
          <w:rtl w:val="0"/>
          <w:lang w:val="it-IT"/>
        </w:rPr>
        <w:t>perimetrata l'area, impegnandosi il 28 dicembre 2012 all'unanimit</w:t>
      </w:r>
      <w:r>
        <w:rPr>
          <w:rFonts w:hAnsi="Book Antiqua" w:hint="default"/>
          <w:rtl w:val="0"/>
          <w:lang w:val="it-IT"/>
        </w:rPr>
        <w:t xml:space="preserve">à </w:t>
      </w:r>
      <w:r>
        <w:rPr>
          <w:rFonts w:ascii="Book Antiqua"/>
          <w:rtl w:val="0"/>
          <w:lang w:val="it-IT"/>
        </w:rPr>
        <w:t>a risarcire i cittadini e a delocalizzarli, e anche a delimitare, ad esempio ponendo dei vincoli di inedificabilit</w:t>
      </w:r>
      <w:r>
        <w:rPr>
          <w:rFonts w:hAnsi="Book Antiqua" w:hint="default"/>
          <w:rtl w:val="0"/>
          <w:lang w:val="it-IT"/>
        </w:rPr>
        <w:t xml:space="preserve">à </w:t>
      </w:r>
      <w:r>
        <w:rPr>
          <w:rFonts w:ascii="Book Antiqua"/>
          <w:rtl w:val="0"/>
          <w:lang w:val="it-IT"/>
        </w:rPr>
        <w:t>per cento metri su confini su cui dovevano essere piantumate delle essenze, ovviamente per mitigare, l'impatto</w:t>
      </w:r>
      <w:r>
        <w:rPr>
          <w:rFonts w:hAnsi="Book Antiqua" w:hint="default"/>
          <w:rtl w:val="0"/>
          <w:lang w:val="it-IT"/>
        </w:rPr>
        <w:t>”</w:t>
      </w:r>
      <w:r>
        <w:rPr>
          <w:rFonts w:ascii="Book Antiqua"/>
          <w:rtl w:val="0"/>
          <w:lang w:val="it-IT"/>
        </w:rPr>
        <w:t xml:space="preserve">. </w:t>
      </w:r>
    </w:p>
    <w:p>
      <w:pPr>
        <w:pStyle w:val="Normal"/>
        <w:ind w:left="567" w:right="567" w:firstLine="0"/>
        <w:jc w:val="both"/>
        <w:rPr>
          <w:rFonts w:ascii="Book Antiqua" w:cs="Book Antiqua" w:hAnsi="Book Antiqua" w:eastAsia="Book Antiqua"/>
        </w:rPr>
      </w:pPr>
      <w:r>
        <w:rPr>
          <w:rFonts w:ascii="Book Antiqua"/>
          <w:rtl w:val="0"/>
          <w:lang w:val="it-IT"/>
        </w:rPr>
        <w:t>L</w:t>
      </w:r>
      <w:r>
        <w:rPr>
          <w:rFonts w:hAnsi="Book Antiqua" w:hint="default"/>
          <w:rtl w:val="0"/>
          <w:lang w:val="it-IT"/>
        </w:rPr>
        <w:t>’</w:t>
      </w:r>
      <w:r>
        <w:rPr>
          <w:rFonts w:ascii="Book Antiqua"/>
          <w:rtl w:val="0"/>
          <w:lang w:val="it-IT"/>
        </w:rPr>
        <w:t xml:space="preserve">audito si </w:t>
      </w:r>
      <w:r>
        <w:rPr>
          <w:rFonts w:hAnsi="Book Antiqua" w:hint="default"/>
          <w:rtl w:val="0"/>
          <w:lang w:val="it-IT"/>
        </w:rPr>
        <w:t xml:space="preserve">è </w:t>
      </w:r>
      <w:r>
        <w:rPr>
          <w:rFonts w:ascii="Book Antiqua"/>
          <w:rtl w:val="0"/>
          <w:lang w:val="it-IT"/>
        </w:rPr>
        <w:t xml:space="preserve">soffermato sulle procedure in corso: </w:t>
      </w:r>
      <w:r>
        <w:rPr>
          <w:rFonts w:hAnsi="Book Antiqua" w:hint="default"/>
          <w:rtl w:val="0"/>
          <w:lang w:val="it-IT"/>
        </w:rPr>
        <w:t>“</w:t>
      </w:r>
      <w:r>
        <w:rPr>
          <w:rFonts w:ascii="Book Antiqua"/>
          <w:rtl w:val="0"/>
          <w:lang w:val="it-IT"/>
        </w:rPr>
        <w:t>Siccome entrambe le societ</w:t>
      </w:r>
      <w:r>
        <w:rPr>
          <w:rFonts w:hAnsi="Book Antiqua" w:hint="default"/>
          <w:rtl w:val="0"/>
          <w:lang w:val="it-IT"/>
        </w:rPr>
        <w:t xml:space="preserve">à </w:t>
      </w:r>
      <w:r>
        <w:rPr>
          <w:rFonts w:ascii="Book Antiqua"/>
          <w:rtl w:val="0"/>
          <w:lang w:val="it-IT"/>
        </w:rPr>
        <w:t>hanno esaurito i loro volumi, chiedono un sopralzo, quindi l'aumento del conferimento dei volumi, al di sopra della stessa area sulla quale gi</w:t>
      </w:r>
      <w:r>
        <w:rPr>
          <w:rFonts w:hAnsi="Book Antiqua" w:hint="default"/>
          <w:rtl w:val="0"/>
          <w:lang w:val="it-IT"/>
        </w:rPr>
        <w:t xml:space="preserve">à </w:t>
      </w:r>
      <w:r>
        <w:rPr>
          <w:rFonts w:ascii="Book Antiqua"/>
          <w:rtl w:val="0"/>
          <w:lang w:val="it-IT"/>
        </w:rPr>
        <w:t>avevano conferito, S8 per Indeco, un nuovo e distinto invaso per Ecoambiente, quello sequestrato dalla Guardia di finanza. Si sono aperte nuovamente le procedure AIA e di valutazione d'impatto ambientale</w:t>
      </w:r>
      <w:r>
        <w:rPr>
          <w:rFonts w:hAnsi="Book Antiqua" w:hint="default"/>
          <w:rtl w:val="0"/>
          <w:lang w:val="it-IT"/>
        </w:rPr>
        <w:t>”</w:t>
      </w:r>
      <w:r>
        <w:rPr>
          <w:rFonts w:ascii="Book Antiqua"/>
          <w:rtl w:val="0"/>
          <w:lang w:val="it-IT"/>
        </w:rPr>
        <w:t xml:space="preserve">. </w:t>
      </w:r>
    </w:p>
    <w:p>
      <w:pPr>
        <w:pStyle w:val="Normal"/>
        <w:ind w:left="567" w:right="567" w:firstLine="0"/>
        <w:jc w:val="both"/>
        <w:rPr>
          <w:rFonts w:ascii="Book Antiqua" w:cs="Book Antiqua" w:hAnsi="Book Antiqua" w:eastAsia="Book Antiqua"/>
        </w:rPr>
      </w:pPr>
      <w:r>
        <w:rPr>
          <w:rFonts w:ascii="Book Antiqua"/>
          <w:rtl w:val="0"/>
          <w:lang w:val="it-IT"/>
        </w:rPr>
        <w:t>Per quanto riguarda l'impatto della discarica sulle matrici ambientali e, di conseguenza, sulla qualit</w:t>
      </w:r>
      <w:r>
        <w:rPr>
          <w:rFonts w:hAnsi="Book Antiqua" w:hint="default"/>
          <w:rtl w:val="0"/>
          <w:lang w:val="it-IT"/>
        </w:rPr>
        <w:t xml:space="preserve">à </w:t>
      </w:r>
      <w:r>
        <w:rPr>
          <w:rFonts w:ascii="Book Antiqua"/>
          <w:rtl w:val="0"/>
          <w:lang w:val="it-IT"/>
        </w:rPr>
        <w:t xml:space="preserve">della vita degli abitanti della zona, Libralato ha ripercorso lo stato delle procedure di bonifica: </w:t>
      </w:r>
      <w:r>
        <w:rPr>
          <w:rFonts w:hAnsi="Book Antiqua" w:hint="default"/>
          <w:rtl w:val="0"/>
          <w:lang w:val="it-IT"/>
        </w:rPr>
        <w:t>“</w:t>
      </w:r>
      <w:r>
        <w:rPr>
          <w:rFonts w:ascii="Book Antiqua"/>
          <w:rtl w:val="0"/>
          <w:lang w:val="it-IT"/>
        </w:rPr>
        <w:t>In seguito a questo inquinamento, riconosciuto anche da Ecoambiente, hanno fatto un progetto per quella che loro definiscono bonifica, ma c</w:t>
      </w:r>
      <w:r>
        <w:rPr>
          <w:rFonts w:hAnsi="Book Antiqua" w:hint="default"/>
          <w:rtl w:val="0"/>
          <w:lang w:val="it-IT"/>
        </w:rPr>
        <w:t xml:space="preserve">’è </w:t>
      </w:r>
      <w:r>
        <w:rPr>
          <w:rFonts w:ascii="Book Antiqua"/>
          <w:rtl w:val="0"/>
          <w:lang w:val="it-IT"/>
        </w:rPr>
        <w:t>una differenza tra bonifica e contenimento dell'inquinamento. Questa cosiddetta bonifica di Ecoambiente, secondo tutti i protocolli, procedure e accordi di programma, doveva iniziare a marzo 2014, ma inizier</w:t>
      </w:r>
      <w:r>
        <w:rPr>
          <w:rFonts w:hAnsi="Book Antiqua" w:hint="default"/>
          <w:rtl w:val="0"/>
          <w:lang w:val="it-IT"/>
        </w:rPr>
        <w:t xml:space="preserve">à </w:t>
      </w:r>
      <w:r>
        <w:rPr>
          <w:rFonts w:ascii="Book Antiqua"/>
          <w:rtl w:val="0"/>
          <w:lang w:val="it-IT"/>
        </w:rPr>
        <w:t>invece un paio di mesi dopo, perch</w:t>
      </w:r>
      <w:r>
        <w:rPr>
          <w:rFonts w:hAnsi="Book Antiqua" w:hint="default"/>
          <w:rtl w:val="0"/>
          <w:lang w:val="it-IT"/>
        </w:rPr>
        <w:t xml:space="preserve">é </w:t>
      </w:r>
      <w:r>
        <w:rPr>
          <w:rFonts w:ascii="Book Antiqua"/>
          <w:rtl w:val="0"/>
          <w:lang w:val="it-IT"/>
        </w:rPr>
        <w:t>i cittadini, hanno iniziato a chiedere conto di quest'avvenuta bonifica, che ovviamente non era iniziata. Secondo la provincia di Latina e secondo il comune di Latina, questa bonifica non era in corso</w:t>
      </w:r>
      <w:r>
        <w:rPr>
          <w:rFonts w:hAnsi="Book Antiqua" w:hint="default"/>
          <w:rtl w:val="0"/>
          <w:lang w:val="it-IT"/>
        </w:rPr>
        <w:t>”</w:t>
      </w:r>
      <w:r>
        <w:rPr>
          <w:rFonts w:ascii="Book Antiqua"/>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Per quanto riguarda pi</w:t>
      </w:r>
      <w:r>
        <w:rPr>
          <w:rFonts w:hAnsi="Book Antiqua" w:hint="default"/>
          <w:rtl w:val="0"/>
          <w:lang w:val="it-IT"/>
        </w:rPr>
        <w:t xml:space="preserve">ù </w:t>
      </w:r>
      <w:r>
        <w:rPr>
          <w:rFonts w:ascii="Book Antiqua"/>
          <w:rtl w:val="0"/>
          <w:lang w:val="it-IT"/>
        </w:rPr>
        <w:t xml:space="preserve">in generale la gestione dei rifiuti nel comune di Latina, gli incroci societari tra gestori della raccolta e gestori della discarica e il delicato tema delle polizze fideiussorie, Libralato ha dichiarato: </w:t>
      </w:r>
      <w:r>
        <w:rPr>
          <w:rFonts w:hAnsi="Book Antiqua" w:hint="default"/>
          <w:rtl w:val="0"/>
          <w:lang w:val="it-IT"/>
        </w:rPr>
        <w:t>“</w:t>
      </w:r>
      <w:r>
        <w:rPr>
          <w:rFonts w:ascii="Book Antiqua"/>
          <w:rtl w:val="0"/>
          <w:lang w:val="it-IT"/>
        </w:rPr>
        <w:t xml:space="preserve">Un altro problema </w:t>
      </w:r>
      <w:r>
        <w:rPr>
          <w:rFonts w:hAnsi="Book Antiqua" w:hint="default"/>
          <w:rtl w:val="0"/>
          <w:lang w:val="it-IT"/>
        </w:rPr>
        <w:t xml:space="preserve">è </w:t>
      </w:r>
      <w:r>
        <w:rPr>
          <w:rFonts w:ascii="Book Antiqua"/>
          <w:rtl w:val="0"/>
          <w:lang w:val="it-IT"/>
        </w:rPr>
        <w:t xml:space="preserve">Latina Ambiente, che </w:t>
      </w:r>
      <w:r>
        <w:rPr>
          <w:rFonts w:hAnsi="Book Antiqua" w:hint="default"/>
          <w:rtl w:val="0"/>
          <w:lang w:val="it-IT"/>
        </w:rPr>
        <w:t xml:space="preserve">è </w:t>
      </w:r>
      <w:r>
        <w:rPr>
          <w:rFonts w:ascii="Book Antiqua"/>
          <w:rtl w:val="0"/>
          <w:lang w:val="it-IT"/>
        </w:rPr>
        <w:t>partecipata per il 51 per cento dal comune di Latina e partecipa per il 51 per cento alla societ</w:t>
      </w:r>
      <w:r>
        <w:rPr>
          <w:rFonts w:hAnsi="Book Antiqua" w:hint="default"/>
          <w:rtl w:val="0"/>
          <w:lang w:val="it-IT"/>
        </w:rPr>
        <w:t xml:space="preserve">à </w:t>
      </w:r>
      <w:r>
        <w:rPr>
          <w:rFonts w:ascii="Book Antiqua"/>
          <w:rtl w:val="0"/>
          <w:lang w:val="it-IT"/>
        </w:rPr>
        <w:t>Ecoambiente, per la quale, (alla data dell</w:t>
      </w:r>
      <w:r>
        <w:rPr>
          <w:rFonts w:hAnsi="Book Antiqua" w:hint="default"/>
          <w:rtl w:val="0"/>
          <w:lang w:val="it-IT"/>
        </w:rPr>
        <w:t>’</w:t>
      </w:r>
      <w:r>
        <w:rPr>
          <w:rFonts w:ascii="Book Antiqua"/>
          <w:rtl w:val="0"/>
          <w:lang w:val="it-IT"/>
        </w:rPr>
        <w:t xml:space="preserve">audizione) </w:t>
      </w:r>
      <w:r>
        <w:rPr>
          <w:rFonts w:hAnsi="Book Antiqua" w:hint="default"/>
          <w:rtl w:val="0"/>
          <w:lang w:val="it-IT"/>
        </w:rPr>
        <w:t xml:space="preserve">è </w:t>
      </w:r>
      <w:r>
        <w:rPr>
          <w:rFonts w:ascii="Book Antiqua"/>
          <w:rtl w:val="0"/>
          <w:lang w:val="it-IT"/>
        </w:rPr>
        <w:t>in corso il fallimento. Latina Ambiente si occupa, per conto del comune di Latina, del servizio di raccolta dei rifiuti solidi. (Bruno Landi al momento dell</w:t>
      </w:r>
      <w:r>
        <w:rPr>
          <w:rFonts w:hAnsi="Book Antiqua" w:hint="default"/>
          <w:rtl w:val="0"/>
          <w:lang w:val="it-IT"/>
        </w:rPr>
        <w:t>’</w:t>
      </w:r>
      <w:r>
        <w:rPr>
          <w:rFonts w:ascii="Book Antiqua"/>
          <w:rtl w:val="0"/>
          <w:lang w:val="it-IT"/>
        </w:rPr>
        <w:t xml:space="preserve">arresto era contemporaneamente amministratore delegato di Latina ambiente e di Ecoambiente). Per quanto attiene le fideiussioni, si sa che girano polizze fideiussorie dalla Gable false, e la Gable </w:t>
      </w:r>
      <w:r>
        <w:rPr>
          <w:rFonts w:hAnsi="Book Antiqua" w:hint="default"/>
          <w:rtl w:val="0"/>
          <w:lang w:val="it-IT"/>
        </w:rPr>
        <w:t xml:space="preserve">è </w:t>
      </w:r>
      <w:r>
        <w:rPr>
          <w:rFonts w:ascii="Book Antiqua"/>
          <w:rtl w:val="0"/>
          <w:lang w:val="it-IT"/>
        </w:rPr>
        <w:t>quella societ</w:t>
      </w:r>
      <w:r>
        <w:rPr>
          <w:rFonts w:hAnsi="Book Antiqua" w:hint="default"/>
          <w:rtl w:val="0"/>
          <w:lang w:val="it-IT"/>
        </w:rPr>
        <w:t xml:space="preserve">à </w:t>
      </w:r>
      <w:r>
        <w:rPr>
          <w:rFonts w:ascii="Book Antiqua"/>
          <w:rtl w:val="0"/>
          <w:lang w:val="it-IT"/>
        </w:rPr>
        <w:t>che ha fatto la polizza fideiussoria per Ecoambiente, ma anche per un'altra societ</w:t>
      </w:r>
      <w:r>
        <w:rPr>
          <w:rFonts w:hAnsi="Book Antiqua" w:hint="default"/>
          <w:rtl w:val="0"/>
          <w:lang w:val="it-IT"/>
        </w:rPr>
        <w:t xml:space="preserve">à </w:t>
      </w:r>
      <w:r>
        <w:rPr>
          <w:rFonts w:ascii="Book Antiqua"/>
          <w:rtl w:val="0"/>
          <w:lang w:val="it-IT"/>
        </w:rPr>
        <w:t>che opera pi</w:t>
      </w:r>
      <w:r>
        <w:rPr>
          <w:rFonts w:hAnsi="Book Antiqua" w:hint="default"/>
          <w:rtl w:val="0"/>
          <w:lang w:val="it-IT"/>
        </w:rPr>
        <w:t xml:space="preserve">ù </w:t>
      </w:r>
      <w:r>
        <w:rPr>
          <w:rFonts w:ascii="Book Antiqua"/>
          <w:rtl w:val="0"/>
          <w:lang w:val="it-IT"/>
        </w:rPr>
        <w:t xml:space="preserve">o meno nello stesso settore nel comune di Latina, la Agri Power, che gestisce una centrale a biogas. Questa polizza fideiussoria della Gable </w:t>
      </w:r>
      <w:r>
        <w:rPr>
          <w:rFonts w:hAnsi="Book Antiqua" w:hint="default"/>
          <w:rtl w:val="0"/>
          <w:lang w:val="it-IT"/>
        </w:rPr>
        <w:t xml:space="preserve">è </w:t>
      </w:r>
      <w:r>
        <w:rPr>
          <w:rFonts w:ascii="Book Antiqua"/>
          <w:rtl w:val="0"/>
          <w:lang w:val="it-IT"/>
        </w:rPr>
        <w:t xml:space="preserve">stata rifiutata dal comune di Latina, e quindi l'Agri Power </w:t>
      </w:r>
      <w:r>
        <w:rPr>
          <w:rFonts w:hAnsi="Book Antiqua" w:hint="default"/>
          <w:rtl w:val="0"/>
          <w:lang w:val="it-IT"/>
        </w:rPr>
        <w:t xml:space="preserve">è </w:t>
      </w:r>
      <w:r>
        <w:rPr>
          <w:rFonts w:ascii="Book Antiqua"/>
          <w:rtl w:val="0"/>
          <w:lang w:val="it-IT"/>
        </w:rPr>
        <w:t>senza alcuna polizza fideiussoria perch</w:t>
      </w:r>
      <w:r>
        <w:rPr>
          <w:rFonts w:hAnsi="Book Antiqua" w:hint="default"/>
          <w:rtl w:val="0"/>
          <w:lang w:val="it-IT"/>
        </w:rPr>
        <w:t xml:space="preserve">é </w:t>
      </w:r>
      <w:r>
        <w:rPr>
          <w:rFonts w:ascii="Book Antiqua"/>
          <w:rtl w:val="0"/>
          <w:lang w:val="it-IT"/>
        </w:rPr>
        <w:t>la precedente era stata emessa da una societ</w:t>
      </w:r>
      <w:r>
        <w:rPr>
          <w:rFonts w:hAnsi="Book Antiqua" w:hint="default"/>
          <w:rtl w:val="0"/>
          <w:lang w:val="it-IT"/>
        </w:rPr>
        <w:t xml:space="preserve">à </w:t>
      </w:r>
      <w:r>
        <w:rPr>
          <w:rFonts w:ascii="Book Antiqua"/>
          <w:rtl w:val="0"/>
          <w:lang w:val="it-IT"/>
        </w:rPr>
        <w:t>che secondo l</w:t>
      </w:r>
      <w:r>
        <w:rPr>
          <w:rFonts w:hAnsi="Book Antiqua" w:hint="default"/>
          <w:rtl w:val="0"/>
          <w:lang w:val="it-IT"/>
        </w:rPr>
        <w:t>’</w:t>
      </w:r>
      <w:r>
        <w:rPr>
          <w:rFonts w:ascii="Book Antiqua"/>
          <w:rtl w:val="0"/>
          <w:lang w:val="it-IT"/>
        </w:rPr>
        <w:t>associazione non aveva i titoli, ma che comunque era  fallita subito dopo. Sono quattro anni che non ha questa polizza fideiussoria. La polizza fideiussoria dalla Gable, per il comune di Latina non era valida, non aveva una firma autentica, non vi erano i poteri di chi firma di chiarire che poteva firmare, e l</w:t>
      </w:r>
      <w:r>
        <w:rPr>
          <w:rFonts w:hAnsi="Book Antiqua" w:hint="default"/>
          <w:rtl w:val="0"/>
          <w:lang w:val="it-IT"/>
        </w:rPr>
        <w:t>’</w:t>
      </w:r>
      <w:r>
        <w:rPr>
          <w:rFonts w:ascii="Book Antiqua"/>
          <w:rtl w:val="0"/>
          <w:lang w:val="it-IT"/>
        </w:rPr>
        <w:t xml:space="preserve">allegato </w:t>
      </w:r>
      <w:r>
        <w:rPr>
          <w:rFonts w:hAnsi="Book Antiqua" w:hint="default"/>
          <w:rtl w:val="0"/>
          <w:lang w:val="it-IT"/>
        </w:rPr>
        <w:t xml:space="preserve">è </w:t>
      </w:r>
      <w:r>
        <w:rPr>
          <w:rFonts w:ascii="Book Antiqua"/>
          <w:rtl w:val="0"/>
          <w:lang w:val="it-IT"/>
        </w:rPr>
        <w:t>stato mandato due mesi dopo rispetto all'emissione della polizza. Poi la Gable, ha sede a Vaduz, in Lichtenstein, e per il comune di Latina non era una garanzia</w:t>
      </w:r>
      <w:r>
        <w:rPr>
          <w:rFonts w:hAnsi="Book Antiqua" w:hint="default"/>
          <w:rtl w:val="0"/>
          <w:lang w:val="it-IT"/>
        </w:rPr>
        <w:t>”</w:t>
      </w:r>
      <w:r>
        <w:rPr>
          <w:rFonts w:ascii="Book Antiqua"/>
          <w:rtl w:val="0"/>
          <w:lang w:val="it-IT"/>
        </w:rPr>
        <w:t xml:space="preserve">. </w:t>
      </w:r>
    </w:p>
    <w:p>
      <w:pPr>
        <w:pStyle w:val="Normal"/>
        <w:ind w:left="567" w:right="567" w:firstLine="0"/>
        <w:jc w:val="both"/>
        <w:rPr>
          <w:rFonts w:ascii="Book Antiqua" w:cs="Book Antiqua" w:hAnsi="Book Antiqua" w:eastAsia="Book Antiqua"/>
        </w:rPr>
      </w:pPr>
      <w:r>
        <w:rPr>
          <w:rFonts w:ascii="Book Antiqua"/>
          <w:rtl w:val="0"/>
          <w:lang w:val="it-IT"/>
        </w:rPr>
        <w:t>Ci sono pareri dell</w:t>
      </w:r>
      <w:r>
        <w:rPr>
          <w:rFonts w:hAnsi="Book Antiqua" w:hint="default"/>
          <w:rtl w:val="0"/>
          <w:lang w:val="it-IT"/>
        </w:rPr>
        <w:t>’</w:t>
      </w:r>
      <w:r>
        <w:rPr>
          <w:rFonts w:ascii="Book Antiqua"/>
          <w:rtl w:val="0"/>
          <w:lang w:val="it-IT"/>
        </w:rPr>
        <w:t>ASL secondo cui i cittadini l</w:t>
      </w:r>
      <w:r>
        <w:rPr>
          <w:rFonts w:hAnsi="Book Antiqua" w:hint="default"/>
          <w:rtl w:val="0"/>
          <w:lang w:val="it-IT"/>
        </w:rPr>
        <w:t xml:space="preserve">ì </w:t>
      </w:r>
      <w:r>
        <w:rPr>
          <w:rFonts w:ascii="Book Antiqua"/>
          <w:rtl w:val="0"/>
          <w:lang w:val="it-IT"/>
        </w:rPr>
        <w:t xml:space="preserve">non possono risiedere </w:t>
      </w:r>
      <w:r>
        <w:rPr>
          <w:rFonts w:hAnsi="Book Antiqua" w:hint="default"/>
          <w:rtl w:val="0"/>
          <w:lang w:val="it-IT"/>
        </w:rPr>
        <w:t xml:space="preserve">– </w:t>
      </w:r>
      <w:r>
        <w:rPr>
          <w:rFonts w:ascii="Book Antiqua"/>
          <w:rtl w:val="0"/>
          <w:lang w:val="it-IT"/>
        </w:rPr>
        <w:t>hanno poi spiegato i rappresentati dei comitati e dei cittadini residenti nella zona - essendo gli insediamenti autorizzati ad una distanza inferiore da quella prescritta dalla legge regionale del Lazio. Per quanto riguarda le analisi dell</w:t>
      </w:r>
      <w:r>
        <w:rPr>
          <w:rFonts w:hAnsi="Book Antiqua" w:hint="default"/>
          <w:rtl w:val="0"/>
          <w:lang w:val="it-IT"/>
        </w:rPr>
        <w:t>’</w:t>
      </w:r>
      <w:r>
        <w:rPr>
          <w:rFonts w:ascii="Book Antiqua"/>
          <w:rtl w:val="0"/>
          <w:lang w:val="it-IT"/>
        </w:rPr>
        <w:t xml:space="preserve">ARPA, non si </w:t>
      </w:r>
      <w:r>
        <w:rPr>
          <w:rFonts w:hAnsi="Book Antiqua" w:hint="default"/>
          <w:rtl w:val="0"/>
          <w:lang w:val="it-IT"/>
        </w:rPr>
        <w:t xml:space="preserve">è </w:t>
      </w:r>
      <w:r>
        <w:rPr>
          <w:rFonts w:ascii="Book Antiqua"/>
          <w:rtl w:val="0"/>
          <w:lang w:val="it-IT"/>
        </w:rPr>
        <w:t>avuta copia perch</w:t>
      </w:r>
      <w:r>
        <w:rPr>
          <w:rFonts w:hAnsi="Book Antiqua" w:hint="default"/>
          <w:rtl w:val="0"/>
          <w:lang w:val="it-IT"/>
        </w:rPr>
        <w:t xml:space="preserve">é </w:t>
      </w:r>
      <w:r>
        <w:rPr>
          <w:rFonts w:ascii="Book Antiqua"/>
          <w:rtl w:val="0"/>
          <w:lang w:val="it-IT"/>
        </w:rPr>
        <w:t>l'ARPA Lazio le trasmette all'ISPRA, che poi doveva analizzarle e spiegare perch</w:t>
      </w:r>
      <w:r>
        <w:rPr>
          <w:rFonts w:hAnsi="Book Antiqua" w:hint="default"/>
          <w:rtl w:val="0"/>
          <w:lang w:val="it-IT"/>
        </w:rPr>
        <w:t xml:space="preserve">é </w:t>
      </w:r>
      <w:r>
        <w:rPr>
          <w:rFonts w:ascii="Book Antiqua"/>
          <w:rtl w:val="0"/>
          <w:lang w:val="it-IT"/>
        </w:rPr>
        <w:t>c'erano questi inquinanti e qual era il quadro. Sono state rilevate varie sostanze con valori molto alti, per esempio alcuni dell'arsenico sono con i valori a circa 300, trenta volte quelli ammessi per legge. Ci sono ferro, manganese e anche altri inquinanti. Alla domanda se ci fosse rischio per la popolazione, per le persone che vivono l</w:t>
      </w:r>
      <w:r>
        <w:rPr>
          <w:rFonts w:hAnsi="Book Antiqua" w:hint="default"/>
          <w:rtl w:val="0"/>
          <w:lang w:val="it-IT"/>
        </w:rPr>
        <w:t>ì</w:t>
      </w:r>
      <w:r>
        <w:rPr>
          <w:rFonts w:ascii="Book Antiqua"/>
          <w:rtl w:val="0"/>
          <w:lang w:val="it-IT"/>
        </w:rPr>
        <w:t>, per l</w:t>
      </w:r>
      <w:r>
        <w:rPr>
          <w:rFonts w:hAnsi="Book Antiqua" w:hint="default"/>
          <w:rtl w:val="0"/>
          <w:lang w:val="it-IT"/>
        </w:rPr>
        <w:t>’</w:t>
      </w:r>
      <w:r>
        <w:rPr>
          <w:rFonts w:ascii="Book Antiqua"/>
          <w:rtl w:val="0"/>
          <w:lang w:val="it-IT"/>
        </w:rPr>
        <w:t>agricoltura, sulla possibilit</w:t>
      </w:r>
      <w:r>
        <w:rPr>
          <w:rFonts w:hAnsi="Book Antiqua" w:hint="default"/>
          <w:rtl w:val="0"/>
          <w:lang w:val="it-IT"/>
        </w:rPr>
        <w:t xml:space="preserve">à </w:t>
      </w:r>
      <w:r>
        <w:rPr>
          <w:rFonts w:ascii="Book Antiqua"/>
          <w:rtl w:val="0"/>
          <w:lang w:val="it-IT"/>
        </w:rPr>
        <w:t>di utilizzare i pozzi, se quest</w:t>
      </w:r>
      <w:r>
        <w:rPr>
          <w:rFonts w:hAnsi="Book Antiqua" w:hint="default"/>
          <w:rtl w:val="0"/>
          <w:lang w:val="it-IT"/>
        </w:rPr>
        <w:t>’</w:t>
      </w:r>
      <w:r>
        <w:rPr>
          <w:rFonts w:ascii="Book Antiqua"/>
          <w:rtl w:val="0"/>
          <w:lang w:val="it-IT"/>
        </w:rPr>
        <w:t>acqua possa essere usata a scopo igienico ed alimentare n</w:t>
      </w:r>
      <w:r>
        <w:rPr>
          <w:rFonts w:hAnsi="Book Antiqua" w:hint="default"/>
          <w:rtl w:val="0"/>
          <w:lang w:val="it-IT"/>
        </w:rPr>
        <w:t xml:space="preserve">é </w:t>
      </w:r>
      <w:r>
        <w:rPr>
          <w:rFonts w:ascii="Book Antiqua"/>
          <w:rtl w:val="0"/>
          <w:lang w:val="it-IT"/>
        </w:rPr>
        <w:t>ISPRA, n</w:t>
      </w:r>
      <w:r>
        <w:rPr>
          <w:rFonts w:hAnsi="Book Antiqua" w:hint="default"/>
          <w:rtl w:val="0"/>
          <w:lang w:val="it-IT"/>
        </w:rPr>
        <w:t xml:space="preserve">é </w:t>
      </w:r>
      <w:r>
        <w:rPr>
          <w:rFonts w:ascii="Book Antiqua"/>
          <w:rtl w:val="0"/>
          <w:lang w:val="it-IT"/>
        </w:rPr>
        <w:t xml:space="preserve">ARPA Lazio hanno mai risposto. </w:t>
      </w:r>
    </w:p>
    <w:p>
      <w:pPr>
        <w:pStyle w:val="Normal"/>
        <w:ind w:left="567" w:right="567" w:firstLine="0"/>
        <w:jc w:val="both"/>
        <w:rPr>
          <w:rFonts w:ascii="Book Antiqua" w:cs="Book Antiqua" w:hAnsi="Book Antiqua" w:eastAsia="Book Antiqua"/>
        </w:rPr>
      </w:pPr>
      <w:r>
        <w:rPr>
          <w:rFonts w:ascii="Book Antiqua"/>
          <w:rtl w:val="0"/>
          <w:lang w:val="it-IT"/>
        </w:rPr>
        <w:t>Sono stati segnalati casi di decessi o malattie gravi che sembrano legati all</w:t>
      </w:r>
      <w:r>
        <w:rPr>
          <w:rFonts w:hAnsi="Book Antiqua" w:hint="default"/>
          <w:rtl w:val="0"/>
          <w:lang w:val="it-IT"/>
        </w:rPr>
        <w:t>’</w:t>
      </w:r>
      <w:r>
        <w:rPr>
          <w:rFonts w:ascii="Book Antiqua"/>
          <w:rtl w:val="0"/>
          <w:lang w:val="it-IT"/>
        </w:rPr>
        <w:t>inquinamento ma non sono stati eseguiti esami epidemiologici o tossicologici, esame quest</w:t>
      </w:r>
      <w:r>
        <w:rPr>
          <w:rFonts w:hAnsi="Book Antiqua" w:hint="default"/>
          <w:rtl w:val="0"/>
          <w:lang w:val="it-IT"/>
        </w:rPr>
        <w:t>’</w:t>
      </w:r>
      <w:r>
        <w:rPr>
          <w:rFonts w:ascii="Book Antiqua"/>
          <w:rtl w:val="0"/>
          <w:lang w:val="it-IT"/>
        </w:rPr>
        <w:t>ultimo che - da quanto afferma Ivan Eotvos rappresentante del comitato - l</w:t>
      </w:r>
      <w:r>
        <w:rPr>
          <w:rFonts w:hAnsi="Book Antiqua" w:hint="default"/>
          <w:rtl w:val="0"/>
          <w:lang w:val="it-IT"/>
        </w:rPr>
        <w:t>’</w:t>
      </w:r>
      <w:r>
        <w:rPr>
          <w:rFonts w:ascii="Book Antiqua"/>
          <w:rtl w:val="0"/>
          <w:lang w:val="it-IT"/>
        </w:rPr>
        <w:t>ARPA Lazio non ha fatto nemmeno sulla centrale nucleare.</w:t>
      </w:r>
      <w:r>
        <w:rPr>
          <w:rFonts w:hAnsi="Times New Roman" w:hint="default"/>
          <w:rtl w:val="0"/>
          <w:lang w:val="it-IT"/>
        </w:rPr>
        <w:t> </w:t>
      </w:r>
    </w:p>
    <w:p>
      <w:pPr>
        <w:pStyle w:val="Normal"/>
        <w:ind w:left="567" w:right="567" w:firstLine="0"/>
        <w:jc w:val="both"/>
        <w:rPr>
          <w:rFonts w:ascii="Book Antiqua" w:cs="Book Antiqua" w:hAnsi="Book Antiqua" w:eastAsia="Book Antiqua"/>
        </w:rPr>
      </w:pPr>
      <w:r>
        <w:rPr>
          <w:rFonts w:ascii="Book Antiqua"/>
          <w:rtl w:val="0"/>
          <w:lang w:val="it-IT"/>
        </w:rPr>
        <w:t xml:space="preserve">Libralato chiarisce su questo punto dicendo che quest'indagine epidemiologica non </w:t>
      </w:r>
      <w:r>
        <w:rPr>
          <w:rFonts w:hAnsi="Book Antiqua" w:hint="default"/>
          <w:rtl w:val="0"/>
          <w:lang w:val="it-IT"/>
        </w:rPr>
        <w:t xml:space="preserve">è </w:t>
      </w:r>
      <w:r>
        <w:rPr>
          <w:rFonts w:ascii="Book Antiqua"/>
          <w:rtl w:val="0"/>
          <w:lang w:val="it-IT"/>
        </w:rPr>
        <w:t>stata chiesta solo dai cittadini ma anche dall</w:t>
      </w:r>
      <w:r>
        <w:rPr>
          <w:rFonts w:hAnsi="Book Antiqua" w:hint="default"/>
          <w:rtl w:val="0"/>
          <w:lang w:val="it-IT"/>
        </w:rPr>
        <w:t>’</w:t>
      </w:r>
      <w:r>
        <w:rPr>
          <w:rFonts w:ascii="Book Antiqua"/>
          <w:rtl w:val="0"/>
          <w:lang w:val="it-IT"/>
        </w:rPr>
        <w:t xml:space="preserve">ASL, ARPA e anche dalla regione Lazio, al fine di rilasciare qualsiasi autorizzazione, valendo il principio di precauzione. </w:t>
      </w:r>
    </w:p>
    <w:p>
      <w:pPr>
        <w:pStyle w:val="Normal"/>
        <w:ind w:left="567" w:right="567" w:firstLine="0"/>
        <w:jc w:val="both"/>
        <w:rPr>
          <w:rFonts w:ascii="Book Antiqua" w:cs="Book Antiqua" w:hAnsi="Book Antiqua" w:eastAsia="Book Antiqua"/>
        </w:rPr>
      </w:pPr>
      <w:r>
        <w:rPr>
          <w:rFonts w:ascii="Book Antiqua"/>
          <w:rtl w:val="0"/>
          <w:lang w:val="it-IT"/>
        </w:rPr>
        <w:t>Circa le polizze fideiussorie, in generale, secondo gli auditi ci sono stati una serie di scandali perch</w:t>
      </w:r>
      <w:r>
        <w:rPr>
          <w:rFonts w:hAnsi="Book Antiqua" w:hint="default"/>
          <w:rtl w:val="0"/>
          <w:lang w:val="it-IT"/>
        </w:rPr>
        <w:t xml:space="preserve">é </w:t>
      </w:r>
      <w:r>
        <w:rPr>
          <w:rFonts w:ascii="Book Antiqua"/>
          <w:rtl w:val="0"/>
          <w:lang w:val="it-IT"/>
        </w:rPr>
        <w:t>ci sono stati interventi urbanistici, di risanamento che non potevano essere fatti, proprio perch</w:t>
      </w:r>
      <w:r>
        <w:rPr>
          <w:rFonts w:hAnsi="Book Antiqua" w:hint="default"/>
          <w:rtl w:val="0"/>
          <w:lang w:val="it-IT"/>
        </w:rPr>
        <w:t xml:space="preserve">é </w:t>
      </w:r>
      <w:r>
        <w:rPr>
          <w:rFonts w:ascii="Book Antiqua"/>
          <w:rtl w:val="0"/>
          <w:lang w:val="it-IT"/>
        </w:rPr>
        <w:t xml:space="preserve">le polizze non garantivano nulla, tanto che vi </w:t>
      </w:r>
      <w:r>
        <w:rPr>
          <w:rFonts w:hAnsi="Book Antiqua" w:hint="default"/>
          <w:rtl w:val="0"/>
          <w:lang w:val="it-IT"/>
        </w:rPr>
        <w:t xml:space="preserve">è  </w:t>
      </w:r>
      <w:r>
        <w:rPr>
          <w:rFonts w:ascii="Book Antiqua"/>
          <w:rtl w:val="0"/>
          <w:lang w:val="it-IT"/>
        </w:rPr>
        <w:t>una fabbrica all'ingresso di Latina che da dieci anni non pu</w:t>
      </w:r>
      <w:r>
        <w:rPr>
          <w:rFonts w:hAnsi="Book Antiqua" w:hint="default"/>
          <w:rtl w:val="0"/>
          <w:lang w:val="it-IT"/>
        </w:rPr>
        <w:t xml:space="preserve">ò </w:t>
      </w:r>
      <w:r>
        <w:rPr>
          <w:rFonts w:ascii="Book Antiqua"/>
          <w:rtl w:val="0"/>
          <w:lang w:val="it-IT"/>
        </w:rPr>
        <w:t>essere bonificata proprio perch</w:t>
      </w:r>
      <w:r>
        <w:rPr>
          <w:rFonts w:hAnsi="Book Antiqua" w:hint="default"/>
          <w:rtl w:val="0"/>
          <w:lang w:val="it-IT"/>
        </w:rPr>
        <w:t xml:space="preserve">é </w:t>
      </w:r>
      <w:r>
        <w:rPr>
          <w:rFonts w:ascii="Book Antiqua"/>
          <w:rtl w:val="0"/>
          <w:lang w:val="it-IT"/>
        </w:rPr>
        <w:t>la societ</w:t>
      </w:r>
      <w:r>
        <w:rPr>
          <w:rFonts w:hAnsi="Book Antiqua" w:hint="default"/>
          <w:rtl w:val="0"/>
          <w:lang w:val="it-IT"/>
        </w:rPr>
        <w:t xml:space="preserve">à </w:t>
      </w:r>
      <w:r>
        <w:rPr>
          <w:rFonts w:ascii="Book Antiqua"/>
          <w:rtl w:val="0"/>
          <w:lang w:val="it-IT"/>
        </w:rPr>
        <w:t xml:space="preserve">che ha emesso la polizza non adempie ai suoi obblighi. Questo </w:t>
      </w:r>
      <w:r>
        <w:rPr>
          <w:rFonts w:hAnsi="Book Antiqua" w:hint="default"/>
          <w:rtl w:val="0"/>
          <w:lang w:val="it-IT"/>
        </w:rPr>
        <w:t xml:space="preserve">è </w:t>
      </w:r>
      <w:r>
        <w:rPr>
          <w:rFonts w:ascii="Book Antiqua"/>
          <w:rtl w:val="0"/>
          <w:lang w:val="it-IT"/>
        </w:rPr>
        <w:t xml:space="preserve">un problema che si presenta per tutti gli impianti, biogas, biomasse, turbogas, rifiuti. </w:t>
      </w:r>
    </w:p>
    <w:p>
      <w:pPr>
        <w:pStyle w:val="Normal"/>
        <w:ind w:left="567" w:right="567" w:firstLine="0"/>
        <w:jc w:val="both"/>
        <w:rPr>
          <w:rFonts w:ascii="Book Antiqua" w:cs="Book Antiqua" w:hAnsi="Book Antiqua" w:eastAsia="Book Antiqua"/>
        </w:rPr>
      </w:pPr>
      <w:r>
        <w:rPr>
          <w:rFonts w:ascii="Book Antiqua"/>
          <w:rtl w:val="0"/>
          <w:lang w:val="it-IT"/>
        </w:rPr>
        <w:t>Riguardo alle propriet</w:t>
      </w:r>
      <w:r>
        <w:rPr>
          <w:rFonts w:hAnsi="Book Antiqua" w:hint="default"/>
          <w:rtl w:val="0"/>
          <w:lang w:val="it-IT"/>
        </w:rPr>
        <w:t xml:space="preserve">à </w:t>
      </w:r>
      <w:r>
        <w:rPr>
          <w:rFonts w:ascii="Book Antiqua"/>
          <w:rtl w:val="0"/>
          <w:lang w:val="it-IT"/>
        </w:rPr>
        <w:t xml:space="preserve">dei terreni </w:t>
      </w:r>
      <w:r>
        <w:rPr>
          <w:rFonts w:hAnsi="Book Antiqua" w:hint="default"/>
          <w:rtl w:val="0"/>
          <w:lang w:val="it-IT"/>
        </w:rPr>
        <w:t>“</w:t>
      </w:r>
      <w:r>
        <w:rPr>
          <w:rFonts w:ascii="Book Antiqua"/>
          <w:rtl w:val="0"/>
          <w:lang w:val="it-IT"/>
        </w:rPr>
        <w:t>intorno agli anni Ottanta, da parte del clan dei Casalesi, tramite un parente di Carmine Schiavone, Michele Coppola, c</w:t>
      </w:r>
      <w:r>
        <w:rPr>
          <w:rFonts w:hAnsi="Book Antiqua" w:hint="default"/>
          <w:rtl w:val="0"/>
          <w:lang w:val="it-IT"/>
        </w:rPr>
        <w:t xml:space="preserve">’è </w:t>
      </w:r>
      <w:r>
        <w:rPr>
          <w:rFonts w:ascii="Book Antiqua"/>
          <w:rtl w:val="0"/>
          <w:lang w:val="it-IT"/>
        </w:rPr>
        <w:t>stato l'acquisto di questi terreni, inizialmente sembrava per coltivarci, ma poi Carmine Schiavone spiega l'evoluzione di come l'organizzazione dei casalesi scopr</w:t>
      </w:r>
      <w:r>
        <w:rPr>
          <w:rFonts w:hAnsi="Book Antiqua" w:hint="default"/>
          <w:rtl w:val="0"/>
          <w:lang w:val="it-IT"/>
        </w:rPr>
        <w:t xml:space="preserve">ì </w:t>
      </w:r>
      <w:r>
        <w:rPr>
          <w:rFonts w:ascii="Book Antiqua"/>
          <w:rtl w:val="0"/>
          <w:lang w:val="it-IT"/>
        </w:rPr>
        <w:t>che il settore dei rifiuti era molto pi</w:t>
      </w:r>
      <w:r>
        <w:rPr>
          <w:rFonts w:hAnsi="Book Antiqua" w:hint="default"/>
          <w:rtl w:val="0"/>
          <w:lang w:val="it-IT"/>
        </w:rPr>
        <w:t xml:space="preserve">ù </w:t>
      </w:r>
      <w:r>
        <w:rPr>
          <w:rFonts w:ascii="Book Antiqua"/>
          <w:rtl w:val="0"/>
          <w:lang w:val="it-IT"/>
        </w:rPr>
        <w:t>importante e redditizio di quello della droga. Alcune delle propriet</w:t>
      </w:r>
      <w:r>
        <w:rPr>
          <w:rFonts w:hAnsi="Book Antiqua" w:hint="default"/>
          <w:rtl w:val="0"/>
          <w:lang w:val="it-IT"/>
        </w:rPr>
        <w:t xml:space="preserve">à </w:t>
      </w:r>
      <w:r>
        <w:rPr>
          <w:rFonts w:ascii="Book Antiqua"/>
          <w:rtl w:val="0"/>
          <w:lang w:val="it-IT"/>
        </w:rPr>
        <w:t>ex Michele Coppola vengono vendute a qualcuna delle societ</w:t>
      </w:r>
      <w:r>
        <w:rPr>
          <w:rFonts w:hAnsi="Book Antiqua" w:hint="default"/>
          <w:rtl w:val="0"/>
          <w:lang w:val="it-IT"/>
        </w:rPr>
        <w:t>à</w:t>
      </w:r>
      <w:r>
        <w:rPr>
          <w:rFonts w:ascii="Book Antiqua"/>
          <w:rtl w:val="0"/>
          <w:lang w:val="it-IT"/>
        </w:rPr>
        <w:t>, in particolare anche all'Indeco, una delle due societ</w:t>
      </w:r>
      <w:r>
        <w:rPr>
          <w:rFonts w:hAnsi="Book Antiqua" w:hint="default"/>
          <w:rtl w:val="0"/>
          <w:lang w:val="it-IT"/>
        </w:rPr>
        <w:t>à”</w:t>
      </w:r>
      <w:r>
        <w:rPr>
          <w:rFonts w:ascii="Book Antiqua"/>
          <w:rtl w:val="0"/>
          <w:lang w:val="it-IT"/>
        </w:rPr>
        <w:t xml:space="preserve">. </w:t>
      </w:r>
    </w:p>
    <w:p>
      <w:pPr>
        <w:pStyle w:val="Normal"/>
        <w:ind w:left="567" w:right="567" w:firstLine="0"/>
        <w:jc w:val="both"/>
        <w:rPr>
          <w:rFonts w:ascii="Book Antiqua" w:cs="Book Antiqua" w:hAnsi="Book Antiqua" w:eastAsia="Book Antiqua"/>
        </w:rPr>
      </w:pPr>
      <w:r>
        <w:rPr>
          <w:rFonts w:hAnsi="Book Antiqua" w:hint="default"/>
          <w:rtl w:val="0"/>
          <w:lang w:val="it-IT"/>
        </w:rPr>
        <w:t>“</w:t>
      </w:r>
      <w:r>
        <w:rPr>
          <w:rFonts w:ascii="Book Antiqua"/>
          <w:rtl w:val="0"/>
          <w:lang w:val="it-IT"/>
        </w:rPr>
        <w:t>Sempre per rimanere nell'ambito della propriet</w:t>
      </w:r>
      <w:r>
        <w:rPr>
          <w:rFonts w:hAnsi="Book Antiqua" w:hint="default"/>
          <w:rtl w:val="0"/>
          <w:lang w:val="it-IT"/>
        </w:rPr>
        <w:t xml:space="preserve">à – </w:t>
      </w:r>
      <w:r>
        <w:rPr>
          <w:rFonts w:ascii="Book Antiqua"/>
          <w:rtl w:val="0"/>
          <w:lang w:val="it-IT"/>
        </w:rPr>
        <w:t>prosegue la relazione dei comitati - la societ</w:t>
      </w:r>
      <w:r>
        <w:rPr>
          <w:rFonts w:hAnsi="Book Antiqua" w:hint="default"/>
          <w:rtl w:val="0"/>
          <w:lang w:val="it-IT"/>
        </w:rPr>
        <w:t xml:space="preserve">à </w:t>
      </w:r>
      <w:r>
        <w:rPr>
          <w:rFonts w:ascii="Book Antiqua"/>
          <w:rtl w:val="0"/>
          <w:lang w:val="it-IT"/>
        </w:rPr>
        <w:t>Capitolina aveva stipulato un contratto d'affitto per il nuovo e distinto invaso, quello di Ecoambiente, nel 1998, che durava nove anni rinnovato per altri nove, che quindi con scadenza il 4 agosto 2016</w:t>
      </w:r>
      <w:r>
        <w:rPr>
          <w:rFonts w:hAnsi="Book Antiqua" w:hint="default"/>
          <w:rtl w:val="0"/>
          <w:lang w:val="it-IT"/>
        </w:rPr>
        <w:t>”</w:t>
      </w:r>
      <w:r>
        <w:rPr>
          <w:rFonts w:ascii="Book Antiqua"/>
          <w:rtl w:val="0"/>
          <w:lang w:val="it-IT"/>
        </w:rPr>
        <w:t xml:space="preserve">. Secondo il comitato, siccome il ricorso della curatela fallimentare </w:t>
      </w:r>
      <w:r>
        <w:rPr>
          <w:rFonts w:hAnsi="Book Antiqua" w:hint="default"/>
          <w:rtl w:val="0"/>
          <w:lang w:val="it-IT"/>
        </w:rPr>
        <w:t xml:space="preserve">è </w:t>
      </w:r>
      <w:r>
        <w:rPr>
          <w:rFonts w:ascii="Book Antiqua"/>
          <w:rtl w:val="0"/>
          <w:lang w:val="it-IT"/>
        </w:rPr>
        <w:t>del 1994, quindi antecedente al contratto d'affitto, siccome la curatela fallimentare ha vinto tutti i ricorsi contro queste societ</w:t>
      </w:r>
      <w:r>
        <w:rPr>
          <w:rFonts w:hAnsi="Book Antiqua" w:hint="default"/>
          <w:rtl w:val="0"/>
          <w:lang w:val="it-IT"/>
        </w:rPr>
        <w:t xml:space="preserve">à </w:t>
      </w:r>
      <w:r>
        <w:rPr>
          <w:rFonts w:ascii="Book Antiqua"/>
          <w:rtl w:val="0"/>
          <w:lang w:val="it-IT"/>
        </w:rPr>
        <w:t>gruppo De Pierro, siccome queste sentenze sono diventate definitive perch</w:t>
      </w:r>
      <w:r>
        <w:rPr>
          <w:rFonts w:hAnsi="Book Antiqua" w:hint="default"/>
          <w:rtl w:val="0"/>
          <w:lang w:val="it-IT"/>
        </w:rPr>
        <w:t xml:space="preserve">é </w:t>
      </w:r>
      <w:r>
        <w:rPr>
          <w:rFonts w:ascii="Book Antiqua"/>
          <w:rtl w:val="0"/>
          <w:lang w:val="it-IT"/>
        </w:rPr>
        <w:t>non c</w:t>
      </w:r>
      <w:r>
        <w:rPr>
          <w:rFonts w:hAnsi="Book Antiqua" w:hint="default"/>
          <w:rtl w:val="0"/>
          <w:lang w:val="it-IT"/>
        </w:rPr>
        <w:t xml:space="preserve">’è </w:t>
      </w:r>
      <w:r>
        <w:rPr>
          <w:rFonts w:ascii="Book Antiqua"/>
          <w:rtl w:val="0"/>
          <w:lang w:val="it-IT"/>
        </w:rPr>
        <w:t>stato alcun ricorso, siccome la titolarit</w:t>
      </w:r>
      <w:r>
        <w:rPr>
          <w:rFonts w:hAnsi="Book Antiqua" w:hint="default"/>
          <w:rtl w:val="0"/>
          <w:lang w:val="it-IT"/>
        </w:rPr>
        <w:t xml:space="preserve">à </w:t>
      </w:r>
      <w:r>
        <w:rPr>
          <w:rFonts w:ascii="Book Antiqua"/>
          <w:rtl w:val="0"/>
          <w:lang w:val="it-IT"/>
        </w:rPr>
        <w:t xml:space="preserve">della curatela fallimentare Ecomont </w:t>
      </w:r>
      <w:r>
        <w:rPr>
          <w:rFonts w:hAnsi="Book Antiqua" w:hint="default"/>
          <w:rtl w:val="0"/>
          <w:lang w:val="it-IT"/>
        </w:rPr>
        <w:t xml:space="preserve">è </w:t>
      </w:r>
      <w:r>
        <w:rPr>
          <w:rFonts w:ascii="Book Antiqua"/>
          <w:rtl w:val="0"/>
          <w:lang w:val="it-IT"/>
        </w:rPr>
        <w:t xml:space="preserve">antecedente al contratto d'affitto, quel contratto non vale nulla. </w:t>
      </w:r>
    </w:p>
    <w:p>
      <w:pPr>
        <w:pStyle w:val="Normal"/>
        <w:ind w:left="567" w:right="567" w:firstLine="0"/>
        <w:jc w:val="both"/>
        <w:rPr>
          <w:rFonts w:ascii="Book Antiqua" w:cs="Book Antiqua" w:hAnsi="Book Antiqua" w:eastAsia="Book Antiqua"/>
        </w:rPr>
      </w:pPr>
      <w:r>
        <w:rPr>
          <w:rFonts w:ascii="Book Antiqua"/>
          <w:rtl w:val="0"/>
          <w:lang w:val="it-IT"/>
        </w:rPr>
        <w:t>Quanto alle motivazioni per cui il comitato ha contestato le AIA, i residenti del luogo chiedevano come facessero a rilasciare l'AIA alla societ</w:t>
      </w:r>
      <w:r>
        <w:rPr>
          <w:rFonts w:hAnsi="Book Antiqua" w:hint="default"/>
          <w:rtl w:val="0"/>
          <w:lang w:val="it-IT"/>
        </w:rPr>
        <w:t xml:space="preserve">à </w:t>
      </w:r>
      <w:r>
        <w:rPr>
          <w:rFonts w:ascii="Book Antiqua"/>
          <w:rtl w:val="0"/>
          <w:lang w:val="it-IT"/>
        </w:rPr>
        <w:t xml:space="preserve">Ecoambiente: </w:t>
      </w:r>
      <w:r>
        <w:rPr>
          <w:rFonts w:hAnsi="Book Antiqua" w:hint="default"/>
          <w:rtl w:val="0"/>
          <w:lang w:val="it-IT"/>
        </w:rPr>
        <w:t>“</w:t>
      </w:r>
      <w:r>
        <w:rPr>
          <w:rFonts w:ascii="Book Antiqua"/>
          <w:rtl w:val="0"/>
          <w:lang w:val="it-IT"/>
        </w:rPr>
        <w:t>Intanto, non aveva la disponibilit</w:t>
      </w:r>
      <w:r>
        <w:rPr>
          <w:rFonts w:hAnsi="Book Antiqua" w:hint="default"/>
          <w:rtl w:val="0"/>
          <w:lang w:val="it-IT"/>
        </w:rPr>
        <w:t xml:space="preserve">à </w:t>
      </w:r>
      <w:r>
        <w:rPr>
          <w:rFonts w:ascii="Book Antiqua"/>
          <w:rtl w:val="0"/>
          <w:lang w:val="it-IT"/>
        </w:rPr>
        <w:t>dell'area ma in ogni caso, anche ammesso che ritenessero valido il contratto del 1998, questo scadeva il 4 agosto 2016, per cui qualsiasi AIA poteva essere rilasciata fino a quando se ne aveva la disponibilit</w:t>
      </w:r>
      <w:r>
        <w:rPr>
          <w:rFonts w:hAnsi="Book Antiqua" w:hint="default"/>
          <w:rtl w:val="0"/>
          <w:lang w:val="it-IT"/>
        </w:rPr>
        <w:t>à</w:t>
      </w:r>
      <w:r>
        <w:rPr>
          <w:rFonts w:ascii="Book Antiqua"/>
          <w:rtl w:val="0"/>
          <w:lang w:val="it-IT"/>
        </w:rPr>
        <w:t>. Anche la societ</w:t>
      </w:r>
      <w:r>
        <w:rPr>
          <w:rFonts w:hAnsi="Book Antiqua" w:hint="default"/>
          <w:rtl w:val="0"/>
          <w:lang w:val="it-IT"/>
        </w:rPr>
        <w:t xml:space="preserve">à </w:t>
      </w:r>
      <w:r>
        <w:rPr>
          <w:rFonts w:ascii="Book Antiqua"/>
          <w:rtl w:val="0"/>
          <w:lang w:val="it-IT"/>
        </w:rPr>
        <w:t>Ecoambiente ha cercato di costruire un impianto TMB. Siccome entrava nell'area di vincolo della famosa delibera n.</w:t>
      </w:r>
      <w:r>
        <w:rPr>
          <w:rFonts w:hAnsi="Times New Roman" w:hint="default"/>
          <w:rtl w:val="0"/>
          <w:lang w:val="it-IT"/>
        </w:rPr>
        <w:t> </w:t>
      </w:r>
      <w:r>
        <w:rPr>
          <w:rFonts w:ascii="Book Antiqua"/>
          <w:rtl w:val="0"/>
          <w:lang w:val="it-IT"/>
        </w:rPr>
        <w:t>163 del 28 dicembre 2012, non poteva pi</w:t>
      </w:r>
      <w:r>
        <w:rPr>
          <w:rFonts w:hAnsi="Book Antiqua" w:hint="default"/>
          <w:rtl w:val="0"/>
          <w:lang w:val="it-IT"/>
        </w:rPr>
        <w:t xml:space="preserve">ù </w:t>
      </w:r>
      <w:r>
        <w:rPr>
          <w:rFonts w:ascii="Book Antiqua"/>
          <w:rtl w:val="0"/>
          <w:lang w:val="it-IT"/>
        </w:rPr>
        <w:t>essere costruito, e quindi ci sono stati i pareri contrari del comune di Latina, chiedendo di spostare il vincolo</w:t>
      </w:r>
      <w:r>
        <w:rPr>
          <w:rFonts w:hAnsi="Book Antiqua" w:hint="default"/>
          <w:rtl w:val="0"/>
          <w:lang w:val="it-IT"/>
        </w:rPr>
        <w:t>”</w:t>
      </w:r>
      <w:r>
        <w:rPr>
          <w:rFonts w:ascii="Book Antiqua"/>
          <w:rtl w:val="0"/>
          <w:lang w:val="it-IT"/>
        </w:rPr>
        <w:t xml:space="preserve">. </w:t>
      </w:r>
    </w:p>
    <w:p>
      <w:pPr>
        <w:pStyle w:val="Normal"/>
        <w:ind w:left="567" w:right="567" w:firstLine="0"/>
        <w:jc w:val="both"/>
        <w:rPr>
          <w:rFonts w:ascii="Book Antiqua" w:cs="Book Antiqua" w:hAnsi="Book Antiqua" w:eastAsia="Book Antiqua"/>
        </w:rPr>
      </w:pPr>
      <w:r>
        <w:rPr>
          <w:rFonts w:ascii="Book Antiqua"/>
          <w:rtl w:val="0"/>
          <w:lang w:val="it-IT"/>
        </w:rPr>
        <w:t xml:space="preserve">Per quanto riguarda la provenienza dei rifiuti, sono stati fotografati i camion: </w:t>
      </w:r>
      <w:r>
        <w:rPr>
          <w:rFonts w:hAnsi="Book Antiqua" w:hint="default"/>
          <w:rtl w:val="0"/>
          <w:lang w:val="it-IT"/>
        </w:rPr>
        <w:t>“</w:t>
      </w:r>
      <w:r>
        <w:rPr>
          <w:rFonts w:ascii="Book Antiqua"/>
          <w:rtl w:val="0"/>
          <w:lang w:val="it-IT"/>
        </w:rPr>
        <w:t>Provengono da fuori provincia, anche dalla provincia di Roma</w:t>
      </w:r>
      <w:r>
        <w:rPr>
          <w:rFonts w:hAnsi="Book Antiqua" w:hint="default"/>
          <w:rtl w:val="0"/>
          <w:lang w:val="it-IT"/>
        </w:rPr>
        <w:t>”</w:t>
      </w:r>
      <w:r>
        <w:rPr>
          <w:rFonts w:ascii="Book Antiqua"/>
          <w:rtl w:val="0"/>
          <w:lang w:val="it-IT"/>
        </w:rPr>
        <w:t xml:space="preserve">. </w:t>
      </w:r>
    </w:p>
    <w:p>
      <w:pPr>
        <w:pStyle w:val="Normal"/>
        <w:ind w:left="567" w:right="567" w:firstLine="0"/>
        <w:jc w:val="both"/>
        <w:rPr>
          <w:rFonts w:ascii="Book Antiqua" w:cs="Book Antiqua" w:hAnsi="Book Antiqua" w:eastAsia="Book Antiqua"/>
        </w:rPr>
      </w:pPr>
      <w:r>
        <w:rPr>
          <w:rFonts w:hAnsi="Book Antiqua" w:hint="default"/>
          <w:rtl w:val="0"/>
          <w:lang w:val="it-IT"/>
        </w:rPr>
        <w:t>“</w:t>
      </w:r>
      <w:r>
        <w:rPr>
          <w:rFonts w:ascii="Book Antiqua"/>
          <w:rtl w:val="0"/>
          <w:lang w:val="it-IT"/>
        </w:rPr>
        <w:t xml:space="preserve">Per quanto per quanto riguarda la ricerca dei fusti tossici </w:t>
      </w:r>
      <w:r>
        <w:rPr>
          <w:rFonts w:hAnsi="Book Antiqua" w:hint="default"/>
          <w:rtl w:val="0"/>
          <w:lang w:val="it-IT"/>
        </w:rPr>
        <w:t xml:space="preserve">– </w:t>
      </w:r>
      <w:r>
        <w:rPr>
          <w:rFonts w:ascii="Book Antiqua"/>
          <w:rtl w:val="0"/>
          <w:lang w:val="it-IT"/>
        </w:rPr>
        <w:t>ha aggiunto Libralato - sono stati finanziati, come dicevo, per un'analisi condotta dall'ENEA nel 1995, che aveva verificato solo l'area S0, e c'erano tre masse metalliche che facevano pensare alla presenza di materiale metallico, e quindi di fusti tossici. L'Istituto nazionale di geofisica e vulcanologia, con altre strumentazioni succedutesi poi nel tempo, molto pi</w:t>
      </w:r>
      <w:r>
        <w:rPr>
          <w:rFonts w:hAnsi="Book Antiqua" w:hint="default"/>
          <w:rtl w:val="0"/>
          <w:lang w:val="it-IT"/>
        </w:rPr>
        <w:t xml:space="preserve">ù </w:t>
      </w:r>
      <w:r>
        <w:rPr>
          <w:rFonts w:ascii="Book Antiqua"/>
          <w:rtl w:val="0"/>
          <w:lang w:val="it-IT"/>
        </w:rPr>
        <w:t>precise e sofisticate, ha certificato pi</w:t>
      </w:r>
      <w:r>
        <w:rPr>
          <w:rFonts w:hAnsi="Book Antiqua" w:hint="default"/>
          <w:rtl w:val="0"/>
          <w:lang w:val="it-IT"/>
        </w:rPr>
        <w:t xml:space="preserve">ù </w:t>
      </w:r>
      <w:r>
        <w:rPr>
          <w:rFonts w:ascii="Book Antiqua"/>
          <w:rtl w:val="0"/>
          <w:lang w:val="it-IT"/>
        </w:rPr>
        <w:t>o meno nella stessa conformazione che aveva fatto l'ENEA, quindi con altra strumentazione, la presenza di queste masse metalliche. Questi scavi, ad esempio, dovevano essere a profondit</w:t>
      </w:r>
      <w:r>
        <w:rPr>
          <w:rFonts w:hAnsi="Book Antiqua" w:hint="default"/>
          <w:rtl w:val="0"/>
          <w:lang w:val="it-IT"/>
        </w:rPr>
        <w:t xml:space="preserve">à </w:t>
      </w:r>
      <w:r>
        <w:rPr>
          <w:rFonts w:ascii="Book Antiqua"/>
          <w:rtl w:val="0"/>
          <w:lang w:val="it-IT"/>
        </w:rPr>
        <w:t>di 6-7 metri o con dimensioni di 30x40 in pianta, ma quando gli scavi sono arrivati a 3 metri e hanno trovato del materiale metallico, hanno sospeso le ricerche. Come dicevo, il 20 settembre 2012, c</w:t>
      </w:r>
      <w:r>
        <w:rPr>
          <w:rFonts w:hAnsi="Book Antiqua" w:hint="default"/>
          <w:rtl w:val="0"/>
          <w:lang w:val="it-IT"/>
        </w:rPr>
        <w:t xml:space="preserve">’è </w:t>
      </w:r>
      <w:r>
        <w:rPr>
          <w:rFonts w:ascii="Book Antiqua"/>
          <w:rtl w:val="0"/>
          <w:lang w:val="it-IT"/>
        </w:rPr>
        <w:t>stata questa conferenza pubblica con il dottor Marcucci dell'Istituto nazionale di geofisica e vulcanologia, che spiegava che non avrebbero approfondito perch</w:t>
      </w:r>
      <w:r>
        <w:rPr>
          <w:rFonts w:hAnsi="Book Antiqua" w:hint="default"/>
          <w:rtl w:val="0"/>
          <w:lang w:val="it-IT"/>
        </w:rPr>
        <w:t xml:space="preserve">é </w:t>
      </w:r>
      <w:r>
        <w:rPr>
          <w:rFonts w:ascii="Book Antiqua"/>
          <w:rtl w:val="0"/>
          <w:lang w:val="it-IT"/>
        </w:rPr>
        <w:t>erano in attesa della caratterizzazione dei rifiuti, se fosse stata conforme e se, una volta rinterrate le buche, trattava di rifiuti tossici, la ricerca si sarebbe sospesa. I 700.000 euro erano solo per la vasca S0. In quell'occasione ho fatto la domanda al dottor Marcucci. Nel giugno dello stesso anno c'</w:t>
      </w:r>
      <w:r>
        <w:rPr>
          <w:rFonts w:hAnsi="Book Antiqua" w:hint="default"/>
          <w:rtl w:val="0"/>
          <w:lang w:val="it-IT"/>
        </w:rPr>
        <w:t xml:space="preserve">è </w:t>
      </w:r>
      <w:r>
        <w:rPr>
          <w:rFonts w:ascii="Book Antiqua"/>
          <w:rtl w:val="0"/>
          <w:lang w:val="it-IT"/>
        </w:rPr>
        <w:t>stata l'audizione di Achille Cester, ingegnere ex dirigente della discarica di Borgo Montello, il quale diceva che prima che arrivasse lui, quindi fino al 1996, l</w:t>
      </w:r>
      <w:r>
        <w:rPr>
          <w:rFonts w:hAnsi="Book Antiqua" w:hint="default"/>
          <w:rtl w:val="0"/>
          <w:lang w:val="it-IT"/>
        </w:rPr>
        <w:t xml:space="preserve">ì </w:t>
      </w:r>
      <w:r>
        <w:rPr>
          <w:rFonts w:ascii="Book Antiqua"/>
          <w:rtl w:val="0"/>
          <w:lang w:val="it-IT"/>
        </w:rPr>
        <w:t xml:space="preserve">avveniva di tutto e i rifiuti venivano tritati, quindi secondo lui non si sarebbe trovato nulla. Il dottor Marcucci afferma che, se avesse dovuto nasconderli li avrebbero messi nell'S1 e nell'S2 e ci avrebbe messo altri rifiuti sopra, come effettivamente </w:t>
      </w:r>
      <w:r>
        <w:rPr>
          <w:rFonts w:hAnsi="Book Antiqua" w:hint="default"/>
          <w:rtl w:val="0"/>
          <w:lang w:val="it-IT"/>
        </w:rPr>
        <w:t xml:space="preserve">è </w:t>
      </w:r>
      <w:r>
        <w:rPr>
          <w:rFonts w:ascii="Book Antiqua"/>
          <w:rtl w:val="0"/>
          <w:lang w:val="it-IT"/>
        </w:rPr>
        <w:t xml:space="preserve">successo. Il costo di questa operazione per lo Stato italiano sarebbe stato di 10.000 euro per tutta la discarica, ma questa ricerca non </w:t>
      </w:r>
      <w:r>
        <w:rPr>
          <w:rFonts w:hAnsi="Book Antiqua" w:hint="default"/>
          <w:rtl w:val="0"/>
          <w:lang w:val="it-IT"/>
        </w:rPr>
        <w:t xml:space="preserve">è </w:t>
      </w:r>
      <w:r>
        <w:rPr>
          <w:rFonts w:ascii="Book Antiqua"/>
          <w:rtl w:val="0"/>
          <w:lang w:val="it-IT"/>
        </w:rPr>
        <w:t>stata fatta</w:t>
      </w:r>
      <w:r>
        <w:rPr>
          <w:rFonts w:hAnsi="Book Antiqua" w:hint="default"/>
          <w:rtl w:val="0"/>
          <w:lang w:val="it-IT"/>
        </w:rPr>
        <w:t>”</w:t>
      </w:r>
      <w:r>
        <w:rPr>
          <w:rFonts w:ascii="Book Antiqua"/>
          <w:rtl w:val="0"/>
          <w:lang w:val="it-IT"/>
        </w:rPr>
        <w:t xml:space="preserve">. </w:t>
      </w:r>
    </w:p>
    <w:p>
      <w:pPr>
        <w:pStyle w:val="Normal"/>
        <w:ind w:left="567" w:right="567" w:firstLine="0"/>
        <w:jc w:val="both"/>
        <w:rPr>
          <w:rFonts w:ascii="Book Antiqua" w:cs="Book Antiqua" w:hAnsi="Book Antiqua" w:eastAsia="Book Antiqua"/>
        </w:rPr>
      </w:pPr>
      <w:r>
        <w:rPr>
          <w:rFonts w:hAnsi="Book Antiqua" w:hint="default"/>
          <w:rtl w:val="0"/>
          <w:lang w:val="it-IT"/>
        </w:rPr>
        <w:t>“</w:t>
      </w:r>
      <w:r>
        <w:rPr>
          <w:rFonts w:ascii="Book Antiqua"/>
          <w:rtl w:val="0"/>
          <w:lang w:val="it-IT"/>
        </w:rPr>
        <w:t xml:space="preserve">Per le procedure di richiesta informazioni </w:t>
      </w:r>
      <w:r>
        <w:rPr>
          <w:rFonts w:hAnsi="Book Antiqua" w:hint="default"/>
          <w:rtl w:val="0"/>
          <w:lang w:val="it-IT"/>
        </w:rPr>
        <w:t xml:space="preserve">– </w:t>
      </w:r>
      <w:r>
        <w:rPr>
          <w:rFonts w:ascii="Book Antiqua"/>
          <w:rtl w:val="0"/>
          <w:lang w:val="it-IT"/>
        </w:rPr>
        <w:t>ha aggiunto Libralato - ogni ente ha la propria. Al comune di Latina si comunica normalmente tramite PEC. Entro i trenta giorni canonici, rispondono e mettono a disposizione la documentazione. Cos</w:t>
      </w:r>
      <w:r>
        <w:rPr>
          <w:rFonts w:hAnsi="Book Antiqua" w:hint="default"/>
          <w:rtl w:val="0"/>
          <w:lang w:val="it-IT"/>
        </w:rPr>
        <w:t xml:space="preserve">ì </w:t>
      </w:r>
      <w:r>
        <w:rPr>
          <w:rFonts w:ascii="Book Antiqua"/>
          <w:rtl w:val="0"/>
          <w:lang w:val="it-IT"/>
        </w:rPr>
        <w:t>la provincia di Latina, ma tramite modulistica. ARPA Lazio qualche volta mette a disposizione la documentazione, qualche volta ci mette pi</w:t>
      </w:r>
      <w:r>
        <w:rPr>
          <w:rFonts w:hAnsi="Book Antiqua" w:hint="default"/>
          <w:rtl w:val="0"/>
          <w:lang w:val="it-IT"/>
        </w:rPr>
        <w:t xml:space="preserve">ù </w:t>
      </w:r>
      <w:r>
        <w:rPr>
          <w:rFonts w:ascii="Book Antiqua"/>
          <w:rtl w:val="0"/>
          <w:lang w:val="it-IT"/>
        </w:rPr>
        <w:t>tempo. Dalla regione non hanno mai avuto risposta. La regione ha segretato i documenti relativi alle VIA, compresi quelli di Indeco e Ecoambiente. Riguardo alla popolazione l</w:t>
      </w:r>
      <w:r>
        <w:rPr>
          <w:rFonts w:hAnsi="Book Antiqua" w:hint="default"/>
          <w:rtl w:val="0"/>
          <w:lang w:val="it-IT"/>
        </w:rPr>
        <w:t xml:space="preserve">ì </w:t>
      </w:r>
      <w:r>
        <w:rPr>
          <w:rFonts w:ascii="Book Antiqua"/>
          <w:rtl w:val="0"/>
          <w:lang w:val="it-IT"/>
        </w:rPr>
        <w:t xml:space="preserve">localizzata, riguardava essenzialmente il podere la famiglia Piovesan, quindi circa 16 ettari. Per sette famiglie, sono circa venti persone, abitano proprio dall'altra parte della discarica. L'impatto si estende anche ai ristoratori, agli agricoltori. Un noto ristorante </w:t>
      </w:r>
      <w:r>
        <w:rPr>
          <w:rFonts w:hAnsi="Book Antiqua" w:hint="default"/>
          <w:rtl w:val="0"/>
          <w:lang w:val="it-IT"/>
        </w:rPr>
        <w:t>«</w:t>
      </w:r>
      <w:r>
        <w:rPr>
          <w:rFonts w:ascii="Book Antiqua"/>
          <w:rtl w:val="0"/>
          <w:lang w:val="it-IT"/>
        </w:rPr>
        <w:t>Villa Patrizia</w:t>
      </w:r>
      <w:r>
        <w:rPr>
          <w:rFonts w:hAnsi="Book Antiqua" w:hint="default"/>
          <w:rtl w:val="0"/>
          <w:lang w:val="it-IT"/>
        </w:rPr>
        <w:t>»</w:t>
      </w:r>
      <w:r>
        <w:rPr>
          <w:rFonts w:ascii="Book Antiqua"/>
          <w:rtl w:val="0"/>
          <w:lang w:val="it-IT"/>
        </w:rPr>
        <w:t xml:space="preserve">, </w:t>
      </w:r>
      <w:r>
        <w:rPr>
          <w:rFonts w:hAnsi="Book Antiqua" w:hint="default"/>
          <w:rtl w:val="0"/>
          <w:lang w:val="it-IT"/>
        </w:rPr>
        <w:t xml:space="preserve">è </w:t>
      </w:r>
      <w:r>
        <w:rPr>
          <w:rFonts w:ascii="Book Antiqua"/>
          <w:rtl w:val="0"/>
          <w:lang w:val="it-IT"/>
        </w:rPr>
        <w:t>a 800 metri. E la scuola materna</w:t>
      </w:r>
      <w:r>
        <w:rPr>
          <w:rFonts w:hAnsi="Times New Roman" w:hint="default"/>
          <w:rtl w:val="0"/>
          <w:lang w:val="it-IT"/>
        </w:rPr>
        <w:t> </w:t>
      </w:r>
      <w:r>
        <w:rPr>
          <w:rFonts w:hAnsi="Book Antiqua" w:hint="default"/>
          <w:rtl w:val="0"/>
          <w:lang w:val="it-IT"/>
        </w:rPr>
        <w:t xml:space="preserve">è </w:t>
      </w:r>
      <w:r>
        <w:rPr>
          <w:rFonts w:ascii="Book Antiqua"/>
          <w:rtl w:val="0"/>
          <w:lang w:val="it-IT"/>
        </w:rPr>
        <w:t>a 800 metri. A 810 metri c</w:t>
      </w:r>
      <w:r>
        <w:rPr>
          <w:rFonts w:hAnsi="Book Antiqua" w:hint="default"/>
          <w:rtl w:val="0"/>
          <w:lang w:val="it-IT"/>
        </w:rPr>
        <w:t xml:space="preserve">’è </w:t>
      </w:r>
      <w:r>
        <w:rPr>
          <w:rFonts w:ascii="Book Antiqua"/>
          <w:rtl w:val="0"/>
          <w:lang w:val="it-IT"/>
        </w:rPr>
        <w:t xml:space="preserve">la scuola elementare. Ci sono migliaia di persone. Borgo Montello </w:t>
      </w:r>
      <w:r>
        <w:rPr>
          <w:rFonts w:hAnsi="Book Antiqua" w:hint="default"/>
          <w:rtl w:val="0"/>
          <w:lang w:val="it-IT"/>
        </w:rPr>
        <w:t xml:space="preserve">è </w:t>
      </w:r>
      <w:r>
        <w:rPr>
          <w:rFonts w:ascii="Book Antiqua"/>
          <w:rtl w:val="0"/>
          <w:lang w:val="it-IT"/>
        </w:rPr>
        <w:t xml:space="preserve">a un chilometro e poco. La cantina sociale </w:t>
      </w:r>
      <w:r>
        <w:rPr>
          <w:rFonts w:hAnsi="Book Antiqua" w:hint="default"/>
          <w:rtl w:val="0"/>
          <w:lang w:val="it-IT"/>
        </w:rPr>
        <w:t xml:space="preserve">è </w:t>
      </w:r>
      <w:r>
        <w:rPr>
          <w:rFonts w:ascii="Book Antiqua"/>
          <w:rtl w:val="0"/>
          <w:lang w:val="it-IT"/>
        </w:rPr>
        <w:t>a qualche centinaio di metri. Le persone che sono qui [presenti in audizione] sono a dieci metri</w:t>
      </w:r>
      <w:r>
        <w:rPr>
          <w:rFonts w:hAnsi="Book Antiqua" w:hint="default"/>
          <w:rtl w:val="0"/>
          <w:lang w:val="it-IT"/>
        </w:rPr>
        <w:t>”</w:t>
      </w:r>
      <w:r>
        <w:rPr>
          <w:rFonts w:ascii="Book Antiqua"/>
          <w:rtl w:val="0"/>
          <w:lang w:val="it-IT"/>
        </w:rPr>
        <w:t xml:space="preserve">. </w:t>
      </w:r>
    </w:p>
    <w:p>
      <w:pPr>
        <w:pStyle w:val="Normal"/>
        <w:ind w:left="567" w:right="567" w:firstLine="0"/>
        <w:jc w:val="both"/>
        <w:rPr>
          <w:rFonts w:ascii="Book Antiqua" w:cs="Book Antiqua" w:hAnsi="Book Antiqua" w:eastAsia="Book Antiqua"/>
        </w:rPr>
      </w:pPr>
      <w:r>
        <w:rPr>
          <w:rFonts w:ascii="Book Antiqua"/>
          <w:rtl w:val="0"/>
          <w:lang w:val="it-IT"/>
        </w:rPr>
        <w:t>Nel corso dell</w:t>
      </w:r>
      <w:r>
        <w:rPr>
          <w:rFonts w:hAnsi="Book Antiqua" w:hint="default"/>
          <w:rtl w:val="0"/>
          <w:lang w:val="it-IT"/>
        </w:rPr>
        <w:t>’</w:t>
      </w:r>
      <w:r>
        <w:rPr>
          <w:rFonts w:ascii="Book Antiqua"/>
          <w:rtl w:val="0"/>
          <w:lang w:val="it-IT"/>
        </w:rPr>
        <w:t>attivit</w:t>
      </w:r>
      <w:r>
        <w:rPr>
          <w:rFonts w:hAnsi="Book Antiqua" w:hint="default"/>
          <w:rtl w:val="0"/>
          <w:lang w:val="it-IT"/>
        </w:rPr>
        <w:t xml:space="preserve">à </w:t>
      </w:r>
      <w:r>
        <w:rPr>
          <w:rFonts w:ascii="Book Antiqua"/>
          <w:rtl w:val="0"/>
          <w:lang w:val="it-IT"/>
        </w:rPr>
        <w:t>d</w:t>
      </w:r>
      <w:r>
        <w:rPr>
          <w:rFonts w:hAnsi="Book Antiqua" w:hint="default"/>
          <w:rtl w:val="0"/>
          <w:lang w:val="it-IT"/>
        </w:rPr>
        <w:t>’</w:t>
      </w:r>
      <w:r>
        <w:rPr>
          <w:rFonts w:ascii="Book Antiqua"/>
          <w:rtl w:val="0"/>
          <w:lang w:val="it-IT"/>
        </w:rPr>
        <w:t xml:space="preserve">inchiesta la Commissione ha svolto un sopralluogo sul sito di Borgo Montello </w:t>
      </w:r>
      <w:r>
        <w:rPr>
          <w:rFonts w:hAnsi="Book Antiqua" w:hint="default"/>
          <w:rtl w:val="0"/>
          <w:lang w:val="it-IT"/>
        </w:rPr>
        <w:t xml:space="preserve">– </w:t>
      </w:r>
      <w:r>
        <w:rPr>
          <w:rFonts w:ascii="Book Antiqua"/>
          <w:rtl w:val="0"/>
          <w:lang w:val="it-IT"/>
        </w:rPr>
        <w:t xml:space="preserve">area gestita da Ecoambiente </w:t>
      </w:r>
      <w:r>
        <w:rPr>
          <w:rFonts w:hAnsi="Book Antiqua" w:hint="default"/>
          <w:rtl w:val="0"/>
          <w:lang w:val="it-IT"/>
        </w:rPr>
        <w:t xml:space="preserve">– </w:t>
      </w:r>
      <w:r>
        <w:rPr>
          <w:rFonts w:ascii="Book Antiqua"/>
          <w:rtl w:val="0"/>
          <w:lang w:val="it-IT"/>
        </w:rPr>
        <w:t>nell</w:t>
      </w:r>
      <w:r>
        <w:rPr>
          <w:rFonts w:hAnsi="Book Antiqua" w:hint="default"/>
          <w:rtl w:val="0"/>
          <w:lang w:val="it-IT"/>
        </w:rPr>
        <w:t>’</w:t>
      </w:r>
      <w:r>
        <w:rPr>
          <w:rFonts w:ascii="Book Antiqua"/>
          <w:rtl w:val="0"/>
          <w:lang w:val="it-IT"/>
        </w:rPr>
        <w:t>ottobre del 2014. Sono stati poi auditi i due gestori, relativamente a temi d</w:t>
      </w:r>
      <w:r>
        <w:rPr>
          <w:rFonts w:hAnsi="Book Antiqua" w:hint="default"/>
          <w:rtl w:val="0"/>
          <w:lang w:val="it-IT"/>
        </w:rPr>
        <w:t>’</w:t>
      </w:r>
      <w:r>
        <w:rPr>
          <w:rFonts w:ascii="Book Antiqua"/>
          <w:rtl w:val="0"/>
          <w:lang w:val="it-IT"/>
        </w:rPr>
        <w:t>interesse per l</w:t>
      </w:r>
      <w:r>
        <w:rPr>
          <w:rFonts w:hAnsi="Book Antiqua" w:hint="default"/>
          <w:rtl w:val="0"/>
          <w:lang w:val="it-IT"/>
        </w:rPr>
        <w:t>’</w:t>
      </w:r>
      <w:r>
        <w:rPr>
          <w:rFonts w:ascii="Book Antiqua"/>
          <w:rtl w:val="0"/>
          <w:lang w:val="it-IT"/>
        </w:rPr>
        <w:t>inchiesta. Alcune questioni trattate nel corso dell</w:t>
      </w:r>
      <w:r>
        <w:rPr>
          <w:rFonts w:hAnsi="Book Antiqua" w:hint="default"/>
          <w:rtl w:val="0"/>
          <w:lang w:val="it-IT"/>
        </w:rPr>
        <w:t>’</w:t>
      </w:r>
      <w:r>
        <w:rPr>
          <w:rFonts w:ascii="Book Antiqua"/>
          <w:rtl w:val="0"/>
          <w:lang w:val="it-IT"/>
        </w:rPr>
        <w:t>audizione attengono strettamente all</w:t>
      </w:r>
      <w:r>
        <w:rPr>
          <w:rFonts w:hAnsi="Book Antiqua" w:hint="default"/>
          <w:rtl w:val="0"/>
          <w:lang w:val="it-IT"/>
        </w:rPr>
        <w:t>’</w:t>
      </w:r>
      <w:r>
        <w:rPr>
          <w:rFonts w:ascii="Book Antiqua"/>
          <w:rtl w:val="0"/>
          <w:lang w:val="it-IT"/>
        </w:rPr>
        <w:t>approfondimento qui affrontato, ovvero la presenza della criminalit</w:t>
      </w:r>
      <w:r>
        <w:rPr>
          <w:rFonts w:hAnsi="Book Antiqua" w:hint="default"/>
          <w:rtl w:val="0"/>
          <w:lang w:val="it-IT"/>
        </w:rPr>
        <w:t xml:space="preserve">à </w:t>
      </w:r>
      <w:r>
        <w:rPr>
          <w:rFonts w:ascii="Book Antiqua"/>
          <w:rtl w:val="0"/>
          <w:lang w:val="it-IT"/>
        </w:rPr>
        <w:t>organizzata nell</w:t>
      </w:r>
      <w:r>
        <w:rPr>
          <w:rFonts w:hAnsi="Book Antiqua" w:hint="default"/>
          <w:rtl w:val="0"/>
          <w:lang w:val="it-IT"/>
        </w:rPr>
        <w:t>’</w:t>
      </w:r>
      <w:r>
        <w:rPr>
          <w:rFonts w:ascii="Book Antiqua"/>
          <w:rtl w:val="0"/>
          <w:lang w:val="it-IT"/>
        </w:rPr>
        <w:t>area della discarica e il passato sversamento di rifiuti industriali, con le relative problematiche ambientali.</w:t>
      </w:r>
    </w:p>
    <w:p>
      <w:pPr>
        <w:pStyle w:val="Normal"/>
        <w:ind w:left="567" w:right="567" w:firstLine="0"/>
        <w:jc w:val="both"/>
        <w:rPr>
          <w:rFonts w:ascii="Book Antiqua" w:cs="Book Antiqua" w:hAnsi="Book Antiqua" w:eastAsia="Book Antiqua"/>
        </w:rPr>
      </w:pPr>
      <w:r>
        <w:rPr>
          <w:rFonts w:ascii="Book Antiqua"/>
          <w:rtl w:val="0"/>
          <w:lang w:val="it-IT"/>
        </w:rPr>
        <w:t>Il 9 giugno 2016 sono stati auditi Luca Giudetti, avvocato difensore di Ind.Eco S.r.l., l'avvocato Salvatore Pino, difensore della Green Holding S.p.A., e Paolo Titta, responsabile dell'area legale di Green Holding. L</w:t>
      </w:r>
      <w:r>
        <w:rPr>
          <w:rFonts w:hAnsi="Book Antiqua" w:hint="default"/>
          <w:rtl w:val="0"/>
          <w:lang w:val="it-IT"/>
        </w:rPr>
        <w:t>’</w:t>
      </w:r>
      <w:r>
        <w:rPr>
          <w:rFonts w:ascii="Book Antiqua"/>
          <w:rtl w:val="0"/>
          <w:lang w:val="it-IT"/>
        </w:rPr>
        <w:t>audizione ha riguardato soprattutto una recente vicenda giudiziaria, che ha portato al sequestro della discarica da parte del Gip di Latina per il superamento delle quote di abbancamento. Oltre a questo tema, ai rappresentanti della societ</w:t>
      </w:r>
      <w:r>
        <w:rPr>
          <w:rFonts w:hAnsi="Book Antiqua" w:hint="default"/>
          <w:rtl w:val="0"/>
          <w:lang w:val="it-IT"/>
        </w:rPr>
        <w:t xml:space="preserve">à è </w:t>
      </w:r>
      <w:r>
        <w:rPr>
          <w:rFonts w:ascii="Book Antiqua"/>
          <w:rtl w:val="0"/>
          <w:lang w:val="it-IT"/>
        </w:rPr>
        <w:t>stato chiesto di esporre quanto a loro conoscenza relativamente all</w:t>
      </w:r>
      <w:r>
        <w:rPr>
          <w:rFonts w:hAnsi="Book Antiqua" w:hint="default"/>
          <w:rtl w:val="0"/>
          <w:lang w:val="it-IT"/>
        </w:rPr>
        <w:t>’</w:t>
      </w:r>
      <w:r>
        <w:rPr>
          <w:rFonts w:ascii="Book Antiqua"/>
          <w:rtl w:val="0"/>
          <w:lang w:val="it-IT"/>
        </w:rPr>
        <w:t xml:space="preserve">acquisto di terreni appartenenti </w:t>
      </w:r>
      <w:r>
        <w:rPr>
          <w:rFonts w:hAnsi="Book Antiqua" w:hint="default"/>
          <w:rtl w:val="0"/>
          <w:lang w:val="it-IT"/>
        </w:rPr>
        <w:t xml:space="preserve">– </w:t>
      </w:r>
      <w:r>
        <w:rPr>
          <w:rFonts w:ascii="Book Antiqua"/>
          <w:rtl w:val="0"/>
          <w:lang w:val="it-IT"/>
        </w:rPr>
        <w:t xml:space="preserve">o comunque riconducibili </w:t>
      </w:r>
      <w:r>
        <w:rPr>
          <w:rFonts w:hAnsi="Book Antiqua" w:hint="default"/>
          <w:rtl w:val="0"/>
          <w:lang w:val="it-IT"/>
        </w:rPr>
        <w:t xml:space="preserve">– </w:t>
      </w:r>
      <w:r>
        <w:rPr>
          <w:rFonts w:ascii="Book Antiqua"/>
          <w:rtl w:val="0"/>
          <w:lang w:val="it-IT"/>
        </w:rPr>
        <w:t>a soggetti considerati contigui al clan dei Casalesi. L</w:t>
      </w:r>
      <w:r>
        <w:rPr>
          <w:rFonts w:hAnsi="Book Antiqua" w:hint="default"/>
          <w:rtl w:val="0"/>
          <w:lang w:val="it-IT"/>
        </w:rPr>
        <w:t>’</w:t>
      </w:r>
      <w:r>
        <w:rPr>
          <w:rFonts w:ascii="Book Antiqua"/>
          <w:rtl w:val="0"/>
          <w:lang w:val="it-IT"/>
        </w:rPr>
        <w:t xml:space="preserve">avvocato di Green Holding </w:t>
      </w:r>
      <w:r>
        <w:rPr>
          <w:rFonts w:hAnsi="Book Antiqua" w:hint="default"/>
          <w:rtl w:val="0"/>
          <w:lang w:val="it-IT"/>
        </w:rPr>
        <w:t xml:space="preserve">– </w:t>
      </w:r>
      <w:r>
        <w:rPr>
          <w:rFonts w:ascii="Book Antiqua"/>
          <w:rtl w:val="0"/>
          <w:lang w:val="it-IT"/>
        </w:rPr>
        <w:t xml:space="preserve">gruppo che controlla oggi Ind.eco. Srl </w:t>
      </w:r>
      <w:r>
        <w:rPr>
          <w:rFonts w:hAnsi="Book Antiqua" w:hint="default"/>
          <w:rtl w:val="0"/>
          <w:lang w:val="it-IT"/>
        </w:rPr>
        <w:t xml:space="preserve">– </w:t>
      </w:r>
      <w:r>
        <w:rPr>
          <w:rFonts w:ascii="Book Antiqua"/>
          <w:rtl w:val="0"/>
          <w:lang w:val="it-IT"/>
        </w:rPr>
        <w:t xml:space="preserve">ha dichiarato: </w:t>
      </w:r>
      <w:r>
        <w:rPr>
          <w:rFonts w:hAnsi="Book Antiqua" w:hint="default"/>
          <w:rtl w:val="0"/>
          <w:lang w:val="it-IT"/>
        </w:rPr>
        <w:t>“</w:t>
      </w:r>
      <w:r>
        <w:rPr>
          <w:rFonts w:ascii="Book Antiqua"/>
          <w:rtl w:val="0"/>
          <w:lang w:val="it-IT"/>
        </w:rPr>
        <w:t>In particolare, credo che si tratti semplicemente di una circostanza (l</w:t>
      </w:r>
      <w:r>
        <w:rPr>
          <w:rFonts w:hAnsi="Book Antiqua" w:hint="default"/>
          <w:rtl w:val="0"/>
          <w:lang w:val="it-IT"/>
        </w:rPr>
        <w:t>’</w:t>
      </w:r>
      <w:r>
        <w:rPr>
          <w:rFonts w:ascii="Book Antiqua"/>
          <w:rtl w:val="0"/>
          <w:lang w:val="it-IT"/>
        </w:rPr>
        <w:t>acquisto dei terreni della famiglia Schiavone per l</w:t>
      </w:r>
      <w:r>
        <w:rPr>
          <w:rFonts w:hAnsi="Book Antiqua" w:hint="default"/>
          <w:rtl w:val="0"/>
          <w:lang w:val="it-IT"/>
        </w:rPr>
        <w:t>’</w:t>
      </w:r>
      <w:r>
        <w:rPr>
          <w:rFonts w:ascii="Book Antiqua"/>
          <w:rtl w:val="0"/>
          <w:lang w:val="it-IT"/>
        </w:rPr>
        <w:t>ampliamento della discarica, ndr) che era gi</w:t>
      </w:r>
      <w:r>
        <w:rPr>
          <w:rFonts w:hAnsi="Book Antiqua" w:hint="default"/>
          <w:rtl w:val="0"/>
          <w:lang w:val="it-IT"/>
        </w:rPr>
        <w:t xml:space="preserve">à </w:t>
      </w:r>
      <w:r>
        <w:rPr>
          <w:rFonts w:ascii="Book Antiqua"/>
          <w:rtl w:val="0"/>
          <w:lang w:val="it-IT"/>
        </w:rPr>
        <w:t>oggettivamente esistente. Se c'</w:t>
      </w:r>
      <w:r>
        <w:rPr>
          <w:rFonts w:hAnsi="Book Antiqua" w:hint="default"/>
          <w:rtl w:val="0"/>
          <w:lang w:val="it-IT"/>
        </w:rPr>
        <w:t xml:space="preserve">è </w:t>
      </w:r>
      <w:r>
        <w:rPr>
          <w:rFonts w:ascii="Book Antiqua"/>
          <w:rtl w:val="0"/>
          <w:lang w:val="it-IT"/>
        </w:rPr>
        <w:t xml:space="preserve">una questione da indagare, </w:t>
      </w:r>
      <w:r>
        <w:rPr>
          <w:rFonts w:hAnsi="Book Antiqua" w:hint="default"/>
          <w:rtl w:val="0"/>
          <w:lang w:val="it-IT"/>
        </w:rPr>
        <w:t xml:space="preserve">è </w:t>
      </w:r>
      <w:r>
        <w:rPr>
          <w:rFonts w:ascii="Book Antiqua"/>
          <w:rtl w:val="0"/>
          <w:lang w:val="it-IT"/>
        </w:rPr>
        <w:t>quella di verificare come mai i terreni limitrofi alla zona destinata a discarica fossero gi</w:t>
      </w:r>
      <w:r>
        <w:rPr>
          <w:rFonts w:hAnsi="Book Antiqua" w:hint="default"/>
          <w:rtl w:val="0"/>
          <w:lang w:val="it-IT"/>
        </w:rPr>
        <w:t xml:space="preserve">à </w:t>
      </w:r>
      <w:r>
        <w:rPr>
          <w:rFonts w:ascii="Book Antiqua"/>
          <w:rtl w:val="0"/>
          <w:lang w:val="it-IT"/>
        </w:rPr>
        <w:t>di propriet</w:t>
      </w:r>
      <w:r>
        <w:rPr>
          <w:rFonts w:hAnsi="Book Antiqua" w:hint="default"/>
          <w:rtl w:val="0"/>
          <w:lang w:val="it-IT"/>
        </w:rPr>
        <w:t xml:space="preserve">à </w:t>
      </w:r>
      <w:r>
        <w:rPr>
          <w:rFonts w:ascii="Book Antiqua"/>
          <w:rtl w:val="0"/>
          <w:lang w:val="it-IT"/>
        </w:rPr>
        <w:t>degli Schiavone, credo del cugino dello Schiavone. La societ</w:t>
      </w:r>
      <w:r>
        <w:rPr>
          <w:rFonts w:hAnsi="Book Antiqua" w:hint="default"/>
          <w:rtl w:val="0"/>
          <w:lang w:val="it-IT"/>
        </w:rPr>
        <w:t xml:space="preserve">à </w:t>
      </w:r>
      <w:r>
        <w:rPr>
          <w:rFonts w:ascii="Book Antiqua"/>
          <w:rtl w:val="0"/>
          <w:lang w:val="it-IT"/>
        </w:rPr>
        <w:t xml:space="preserve">si </w:t>
      </w:r>
      <w:r>
        <w:rPr>
          <w:rFonts w:hAnsi="Book Antiqua" w:hint="default"/>
          <w:rtl w:val="0"/>
          <w:lang w:val="it-IT"/>
        </w:rPr>
        <w:t xml:space="preserve">è </w:t>
      </w:r>
      <w:r>
        <w:rPr>
          <w:rFonts w:ascii="Book Antiqua"/>
          <w:rtl w:val="0"/>
          <w:lang w:val="it-IT"/>
        </w:rPr>
        <w:t>limitata a dover prendere atto di questa circostanza, che se anche suona sinistra, non pu</w:t>
      </w:r>
      <w:r>
        <w:rPr>
          <w:rFonts w:hAnsi="Book Antiqua" w:hint="default"/>
          <w:rtl w:val="0"/>
          <w:lang w:val="it-IT"/>
        </w:rPr>
        <w:t xml:space="preserve">ò </w:t>
      </w:r>
      <w:r>
        <w:rPr>
          <w:rFonts w:ascii="Book Antiqua"/>
          <w:rtl w:val="0"/>
          <w:lang w:val="it-IT"/>
        </w:rPr>
        <w:t>certo suonare sinistra per la societ</w:t>
      </w:r>
      <w:r>
        <w:rPr>
          <w:rFonts w:hAnsi="Book Antiqua" w:hint="default"/>
          <w:rtl w:val="0"/>
          <w:lang w:val="it-IT"/>
        </w:rPr>
        <w:t>à</w:t>
      </w:r>
      <w:r>
        <w:rPr>
          <w:rFonts w:ascii="Book Antiqua"/>
          <w:rtl w:val="0"/>
          <w:lang w:val="it-IT"/>
        </w:rPr>
        <w:t>: pu</w:t>
      </w:r>
      <w:r>
        <w:rPr>
          <w:rFonts w:hAnsi="Book Antiqua" w:hint="default"/>
          <w:rtl w:val="0"/>
          <w:lang w:val="it-IT"/>
        </w:rPr>
        <w:t xml:space="preserve">ò </w:t>
      </w:r>
      <w:r>
        <w:rPr>
          <w:rFonts w:ascii="Book Antiqua"/>
          <w:rtl w:val="0"/>
          <w:lang w:val="it-IT"/>
        </w:rPr>
        <w:t>suonare sinistra per il momento in cui questi terreni sono stati acquistati da questi signori, ma non per il momento in cui la societ</w:t>
      </w:r>
      <w:r>
        <w:rPr>
          <w:rFonts w:hAnsi="Book Antiqua" w:hint="default"/>
          <w:rtl w:val="0"/>
          <w:lang w:val="it-IT"/>
        </w:rPr>
        <w:t xml:space="preserve">à </w:t>
      </w:r>
      <w:r>
        <w:rPr>
          <w:rFonts w:ascii="Book Antiqua"/>
          <w:rtl w:val="0"/>
          <w:lang w:val="it-IT"/>
        </w:rPr>
        <w:t>li va ad acquistare. Si tratta dei terreni limitrofi, quindi gli unici che potessero consentire un ampliamento dell'area, o comunque un ampliamento della zona di lavorazione</w:t>
      </w:r>
      <w:r>
        <w:rPr>
          <w:rFonts w:hAnsi="Book Antiqua" w:hint="default"/>
          <w:rtl w:val="0"/>
          <w:lang w:val="it-IT"/>
        </w:rPr>
        <w:t>”</w:t>
      </w:r>
      <w:r>
        <w:rPr>
          <w:rFonts w:ascii="Book Antiqua"/>
          <w:rtl w:val="0"/>
          <w:lang w:val="it-IT"/>
        </w:rPr>
        <w:t>. Sul punto gli auditi non hanno aggiunto ulteriori elementi.</w:t>
      </w:r>
    </w:p>
    <w:p>
      <w:pPr>
        <w:pStyle w:val="Normal"/>
        <w:ind w:left="567" w:right="567" w:firstLine="0"/>
        <w:jc w:val="both"/>
        <w:rPr>
          <w:rFonts w:ascii="Book Antiqua" w:cs="Book Antiqua" w:hAnsi="Book Antiqua" w:eastAsia="Book Antiqua"/>
        </w:rPr>
      </w:pPr>
      <w:r>
        <w:rPr>
          <w:rFonts w:ascii="Book Antiqua"/>
          <w:rtl w:val="0"/>
          <w:lang w:val="it-IT"/>
        </w:rPr>
        <w:t xml:space="preserve">Il 12 dicembre 2016 sono stati auditi Stefano Gori, presidente di Ecoambiente, e Pierpaolo Lombardi, amministratore delegato di Ecoambiente. </w:t>
      </w:r>
    </w:p>
    <w:p>
      <w:pPr>
        <w:pStyle w:val="Normal"/>
        <w:ind w:left="567" w:right="567" w:firstLine="0"/>
        <w:jc w:val="both"/>
        <w:rPr>
          <w:rFonts w:ascii="Book Antiqua" w:cs="Book Antiqua" w:hAnsi="Book Antiqua" w:eastAsia="Book Antiqua"/>
        </w:rPr>
      </w:pPr>
      <w:r>
        <w:rPr>
          <w:rFonts w:ascii="Book Antiqua"/>
          <w:rtl w:val="0"/>
          <w:lang w:val="it-IT"/>
        </w:rPr>
        <w:t xml:space="preserve">Stefano Gori ha inizialmente illustrato la storia del sito di Borgo Montello: </w:t>
      </w:r>
    </w:p>
    <w:p>
      <w:pPr>
        <w:pStyle w:val="Normal"/>
        <w:ind w:left="567" w:right="567" w:firstLine="0"/>
        <w:jc w:val="both"/>
        <w:rPr>
          <w:rFonts w:ascii="Book Antiqua" w:cs="Book Antiqua" w:hAnsi="Book Antiqua" w:eastAsia="Book Antiqua"/>
        </w:rPr>
      </w:pPr>
      <w:r>
        <w:rPr>
          <w:rFonts w:hAnsi="Book Antiqua" w:hint="default"/>
          <w:rtl w:val="0"/>
          <w:lang w:val="it-IT"/>
        </w:rPr>
        <w:t>“</w:t>
      </w:r>
      <w:r>
        <w:rPr>
          <w:rFonts w:ascii="Book Antiqua"/>
          <w:rtl w:val="0"/>
          <w:lang w:val="it-IT"/>
        </w:rPr>
        <w:t xml:space="preserve">La discarica di Borgo Montello nasce orientativamente </w:t>
      </w:r>
      <w:r>
        <w:rPr>
          <w:rFonts w:hAnsi="Book Antiqua" w:hint="default"/>
          <w:rtl w:val="0"/>
          <w:lang w:val="it-IT"/>
        </w:rPr>
        <w:t xml:space="preserve">– </w:t>
      </w:r>
      <w:r>
        <w:rPr>
          <w:rFonts w:ascii="Book Antiqua"/>
          <w:rtl w:val="0"/>
          <w:lang w:val="it-IT"/>
        </w:rPr>
        <w:t xml:space="preserve">non si ha certezza matematica </w:t>
      </w:r>
      <w:r>
        <w:rPr>
          <w:rFonts w:hAnsi="Book Antiqua" w:hint="default"/>
          <w:rtl w:val="0"/>
          <w:lang w:val="it-IT"/>
        </w:rPr>
        <w:t xml:space="preserve">– </w:t>
      </w:r>
      <w:r>
        <w:rPr>
          <w:rFonts w:ascii="Book Antiqua"/>
          <w:rtl w:val="0"/>
          <w:lang w:val="it-IT"/>
        </w:rPr>
        <w:t xml:space="preserve">nel 1971, quando alcuni privati cominciano a sversare nell'area, quella che oggi </w:t>
      </w:r>
      <w:r>
        <w:rPr>
          <w:rFonts w:hAnsi="Book Antiqua" w:hint="default"/>
          <w:rtl w:val="0"/>
          <w:lang w:val="it-IT"/>
        </w:rPr>
        <w:t xml:space="preserve">è </w:t>
      </w:r>
      <w:r>
        <w:rPr>
          <w:rFonts w:ascii="Book Antiqua"/>
          <w:rtl w:val="0"/>
          <w:lang w:val="it-IT"/>
        </w:rPr>
        <w:t xml:space="preserve">la discarica di Borgo Montello, dei rifiuti. Da quel momento nasce il sito, che viene identificato oggi ed </w:t>
      </w:r>
      <w:r>
        <w:rPr>
          <w:rFonts w:hAnsi="Book Antiqua" w:hint="default"/>
          <w:rtl w:val="0"/>
          <w:lang w:val="it-IT"/>
        </w:rPr>
        <w:t xml:space="preserve">è </w:t>
      </w:r>
      <w:r>
        <w:rPr>
          <w:rFonts w:ascii="Book Antiqua"/>
          <w:rtl w:val="0"/>
          <w:lang w:val="it-IT"/>
        </w:rPr>
        <w:t>purtroppo conosciuto da tutti come S0 [</w:t>
      </w:r>
      <w:r>
        <w:rPr>
          <w:rFonts w:hAnsi="Book Antiqua" w:hint="default"/>
          <w:rtl w:val="0"/>
          <w:lang w:val="it-IT"/>
        </w:rPr>
        <w:t>…</w:t>
      </w:r>
      <w:r>
        <w:rPr>
          <w:rFonts w:ascii="Book Antiqua"/>
          <w:rtl w:val="0"/>
          <w:lang w:val="it-IT"/>
        </w:rPr>
        <w:t>] Questo sito a ridosso del fiume Astura veniva usato bellamente per ricevere rifiuti dall'alto. Era un dirupo: entravano i camion in retromarcia e sversavano rifiuti verso il fiume, questo all'inizio degli anni Settanta, senza nessun tipo di protezione, n</w:t>
      </w:r>
      <w:r>
        <w:rPr>
          <w:rFonts w:hAnsi="Book Antiqua" w:hint="default"/>
          <w:rtl w:val="0"/>
          <w:lang w:val="it-IT"/>
        </w:rPr>
        <w:t xml:space="preserve">é </w:t>
      </w:r>
      <w:r>
        <w:rPr>
          <w:rFonts w:ascii="Book Antiqua"/>
          <w:rtl w:val="0"/>
          <w:lang w:val="it-IT"/>
        </w:rPr>
        <w:t>superficiale n</w:t>
      </w:r>
      <w:r>
        <w:rPr>
          <w:rFonts w:hAnsi="Book Antiqua" w:hint="default"/>
          <w:rtl w:val="0"/>
          <w:lang w:val="it-IT"/>
        </w:rPr>
        <w:t xml:space="preserve">é </w:t>
      </w:r>
      <w:r>
        <w:rPr>
          <w:rFonts w:ascii="Book Antiqua"/>
          <w:rtl w:val="0"/>
          <w:lang w:val="it-IT"/>
        </w:rPr>
        <w:t>di altro tipo.</w:t>
      </w:r>
    </w:p>
    <w:p>
      <w:pPr>
        <w:pStyle w:val="Normal"/>
        <w:ind w:left="567" w:right="567" w:firstLine="0"/>
        <w:jc w:val="both"/>
        <w:rPr>
          <w:rFonts w:ascii="Book Antiqua" w:cs="Book Antiqua" w:hAnsi="Book Antiqua" w:eastAsia="Book Antiqua"/>
        </w:rPr>
      </w:pPr>
      <w:r>
        <w:rPr>
          <w:rFonts w:ascii="Book Antiqua"/>
          <w:rtl w:val="0"/>
          <w:lang w:val="it-IT"/>
        </w:rPr>
        <w:t>Questo and</w:t>
      </w:r>
      <w:r>
        <w:rPr>
          <w:rFonts w:hAnsi="Book Antiqua" w:hint="default"/>
          <w:rtl w:val="0"/>
          <w:lang w:val="it-IT"/>
        </w:rPr>
        <w:t xml:space="preserve">ò </w:t>
      </w:r>
      <w:r>
        <w:rPr>
          <w:rFonts w:ascii="Book Antiqua"/>
          <w:rtl w:val="0"/>
          <w:lang w:val="it-IT"/>
        </w:rPr>
        <w:t xml:space="preserve">avanti fino a 1986, anno di chiusura del sito S0. Questa S0 </w:t>
      </w:r>
      <w:r>
        <w:rPr>
          <w:rFonts w:hAnsi="Book Antiqua" w:hint="default"/>
          <w:rtl w:val="0"/>
          <w:lang w:val="it-IT"/>
        </w:rPr>
        <w:t xml:space="preserve">è </w:t>
      </w:r>
      <w:r>
        <w:rPr>
          <w:rFonts w:ascii="Book Antiqua"/>
          <w:rtl w:val="0"/>
          <w:lang w:val="it-IT"/>
        </w:rPr>
        <w:t>stata gestita da privati, ma negli ultimi anni, come vi ha anche detto nell'audizione del 13 ottobre scorso il rappresentante dell'ARPA, direttamente dal comune di Latina. Nel 1986, questo sito chiude. Perch</w:t>
      </w:r>
      <w:r>
        <w:rPr>
          <w:rFonts w:hAnsi="Book Antiqua" w:hint="default"/>
          <w:rtl w:val="0"/>
          <w:lang w:val="it-IT"/>
        </w:rPr>
        <w:t xml:space="preserve">é </w:t>
      </w:r>
      <w:r>
        <w:rPr>
          <w:rFonts w:ascii="Book Antiqua"/>
          <w:rtl w:val="0"/>
          <w:lang w:val="it-IT"/>
        </w:rPr>
        <w:t>sottolineo queste date? Ecoambiente diventa operativa all'interno del sito di Borgo Montello nel 2000 e viene costituita nel 1998 a seguito di una sorta di disastro ambientale che si verifica nel 1997, quando il gestore dell'allora sito di Borgo Montello fallisce (fallimento Ecomont, ben conosciuto) e di fatto abbandona l'area. Di questo ci si accorge forse un po</w:t>
      </w:r>
      <w:r>
        <w:rPr>
          <w:rFonts w:hAnsi="Book Antiqua" w:hint="default"/>
          <w:rtl w:val="0"/>
          <w:lang w:val="it-IT"/>
        </w:rPr>
        <w:t xml:space="preserve">’ </w:t>
      </w:r>
      <w:r>
        <w:rPr>
          <w:rFonts w:ascii="Book Antiqua"/>
          <w:rtl w:val="0"/>
          <w:lang w:val="it-IT"/>
        </w:rPr>
        <w:t xml:space="preserve">in ritardo e dopo qualche settimana, anche dopo qualche mese, si aprono i cancelli con le cesoie, si rompono proprio le catene </w:t>
      </w:r>
      <w:r>
        <w:rPr>
          <w:rFonts w:hAnsi="Book Antiqua" w:hint="default"/>
          <w:rtl w:val="0"/>
          <w:lang w:val="it-IT"/>
        </w:rPr>
        <w:t xml:space="preserve">– </w:t>
      </w:r>
      <w:r>
        <w:rPr>
          <w:rFonts w:ascii="Book Antiqua"/>
          <w:rtl w:val="0"/>
          <w:lang w:val="it-IT"/>
        </w:rPr>
        <w:t>l</w:t>
      </w:r>
      <w:r>
        <w:rPr>
          <w:rFonts w:hAnsi="Book Antiqua" w:hint="default"/>
          <w:rtl w:val="0"/>
          <w:lang w:val="it-IT"/>
        </w:rPr>
        <w:t xml:space="preserve">ì </w:t>
      </w:r>
      <w:r>
        <w:rPr>
          <w:rFonts w:ascii="Book Antiqua"/>
          <w:rtl w:val="0"/>
          <w:lang w:val="it-IT"/>
        </w:rPr>
        <w:t xml:space="preserve">era chiuso </w:t>
      </w:r>
      <w:r>
        <w:rPr>
          <w:rFonts w:hAnsi="Book Antiqua" w:hint="default"/>
          <w:rtl w:val="0"/>
          <w:lang w:val="it-IT"/>
        </w:rPr>
        <w:t xml:space="preserve">– </w:t>
      </w:r>
      <w:r>
        <w:rPr>
          <w:rFonts w:ascii="Book Antiqua"/>
          <w:rtl w:val="0"/>
          <w:lang w:val="it-IT"/>
        </w:rPr>
        <w:t>e si trova la situazione che vedete nelle carte che vi abbiamo distribuito, nell'ultimo foglio. L'ultimo foglio che vedete sono le foto, le immagini del sito di Borgo Montello in quella data, nel 1997: invasi S1, S2, S3. Le vasche sono completamente piene di percolato, che non veniva emunto da mesi, perch</w:t>
      </w:r>
      <w:r>
        <w:rPr>
          <w:rFonts w:hAnsi="Book Antiqua" w:hint="default"/>
          <w:rtl w:val="0"/>
          <w:lang w:val="it-IT"/>
        </w:rPr>
        <w:t xml:space="preserve">é </w:t>
      </w:r>
      <w:r>
        <w:rPr>
          <w:rFonts w:ascii="Book Antiqua"/>
          <w:rtl w:val="0"/>
          <w:lang w:val="it-IT"/>
        </w:rPr>
        <w:t>tra l'altro l'ENEL aveva staccato la corrente, quindi le pompe non funzionavano pi</w:t>
      </w:r>
      <w:r>
        <w:rPr>
          <w:rFonts w:hAnsi="Book Antiqua" w:hint="default"/>
          <w:rtl w:val="0"/>
          <w:lang w:val="it-IT"/>
        </w:rPr>
        <w:t>ù</w:t>
      </w:r>
      <w:r>
        <w:rPr>
          <w:rFonts w:ascii="Book Antiqua"/>
          <w:rtl w:val="0"/>
          <w:lang w:val="it-IT"/>
        </w:rPr>
        <w:t>. Il percolato tracimava sui terreni circostanti e all'interno del fiume Astura. Nel 1997, trovata questa situazione, interviene immediatamente la regione Lazio con 1,5 miliardi di vecchie lire per emungere immediatamente il percolato che stava tracimando. Si fanno altri interventi nel frattempo, ma si capisce immediatamente che c'</w:t>
      </w:r>
      <w:r>
        <w:rPr>
          <w:rFonts w:hAnsi="Book Antiqua" w:hint="default"/>
          <w:rtl w:val="0"/>
          <w:lang w:val="it-IT"/>
        </w:rPr>
        <w:t xml:space="preserve">è </w:t>
      </w:r>
      <w:r>
        <w:rPr>
          <w:rFonts w:ascii="Book Antiqua"/>
          <w:rtl w:val="0"/>
          <w:lang w:val="it-IT"/>
        </w:rPr>
        <w:t>una situazione veramente di disastro e si calcola che l'intervento supera i 10 miliardi delle vecchie lire. Non essendoci pi</w:t>
      </w:r>
      <w:r>
        <w:rPr>
          <w:rFonts w:hAnsi="Book Antiqua" w:hint="default"/>
          <w:rtl w:val="0"/>
          <w:lang w:val="it-IT"/>
        </w:rPr>
        <w:t xml:space="preserve">ù </w:t>
      </w:r>
      <w:r>
        <w:rPr>
          <w:rFonts w:ascii="Book Antiqua"/>
          <w:rtl w:val="0"/>
          <w:lang w:val="it-IT"/>
        </w:rPr>
        <w:t>riferimenti perch</w:t>
      </w:r>
      <w:r>
        <w:rPr>
          <w:rFonts w:hAnsi="Book Antiqua" w:hint="default"/>
          <w:rtl w:val="0"/>
          <w:lang w:val="it-IT"/>
        </w:rPr>
        <w:t xml:space="preserve">é </w:t>
      </w:r>
      <w:r>
        <w:rPr>
          <w:rFonts w:ascii="Book Antiqua"/>
          <w:rtl w:val="0"/>
          <w:lang w:val="it-IT"/>
        </w:rPr>
        <w:t xml:space="preserve">la Ecomont era fallita, la cosa andava in capo al comune di Latina, l'ente territoriale di riferimento. In quel momento, il comune era sull'orlo del dissesto finanziario per altre vicende. Su iniziativa del comune nasce Ecoambiente. Tramite la propria controllata, che faceva il servizio di raccolta dei rifiuti, facendo una </w:t>
      </w:r>
      <w:r>
        <w:rPr>
          <w:rFonts w:ascii="Book Antiqua"/>
          <w:i w:val="1"/>
          <w:iCs w:val="1"/>
          <w:rtl w:val="0"/>
          <w:lang w:val="it-IT"/>
        </w:rPr>
        <w:t>joint venture</w:t>
      </w:r>
      <w:r>
        <w:rPr>
          <w:rFonts w:ascii="Book Antiqua"/>
          <w:rtl w:val="0"/>
          <w:lang w:val="it-IT"/>
        </w:rPr>
        <w:t xml:space="preserve"> con un privato che si occupava di gestione di discariche, costituisce la Ecoambiente. La </w:t>
      </w:r>
      <w:r>
        <w:rPr>
          <w:rFonts w:ascii="Book Antiqua"/>
          <w:i w:val="1"/>
          <w:iCs w:val="1"/>
          <w:rtl w:val="0"/>
          <w:lang w:val="it-IT"/>
        </w:rPr>
        <w:t>mission</w:t>
      </w:r>
      <w:r>
        <w:rPr>
          <w:rFonts w:ascii="Book Antiqua"/>
          <w:rtl w:val="0"/>
          <w:lang w:val="it-IT"/>
        </w:rPr>
        <w:t xml:space="preserve"> di Ecoambiente </w:t>
      </w:r>
      <w:r>
        <w:rPr>
          <w:rFonts w:hAnsi="Book Antiqua" w:hint="default"/>
          <w:rtl w:val="0"/>
          <w:lang w:val="it-IT"/>
        </w:rPr>
        <w:t xml:space="preserve">– </w:t>
      </w:r>
      <w:r>
        <w:rPr>
          <w:rFonts w:ascii="Book Antiqua"/>
          <w:rtl w:val="0"/>
          <w:lang w:val="it-IT"/>
        </w:rPr>
        <w:t xml:space="preserve">adesso veniamo a noi </w:t>
      </w:r>
      <w:r>
        <w:rPr>
          <w:rFonts w:hAnsi="Book Antiqua" w:hint="default"/>
          <w:rtl w:val="0"/>
          <w:lang w:val="it-IT"/>
        </w:rPr>
        <w:t xml:space="preserve">– è </w:t>
      </w:r>
      <w:r>
        <w:rPr>
          <w:rFonts w:ascii="Book Antiqua"/>
          <w:rtl w:val="0"/>
          <w:lang w:val="it-IT"/>
        </w:rPr>
        <w:t>questa: bonificate queste S1, S2, S3 [</w:t>
      </w:r>
      <w:r>
        <w:rPr>
          <w:rFonts w:hAnsi="Book Antiqua" w:hint="default"/>
          <w:rtl w:val="0"/>
          <w:lang w:val="it-IT"/>
        </w:rPr>
        <w:t>…</w:t>
      </w:r>
      <w:r>
        <w:rPr>
          <w:rFonts w:ascii="Book Antiqua"/>
          <w:rtl w:val="0"/>
          <w:lang w:val="it-IT"/>
        </w:rPr>
        <w:t xml:space="preserve">] continuare a gestire l'area; negli spazi che si trovano a seguito della bonifica, continuare a gestire ulteriori volumetrie, ma facendosi carico dei 10 miliardi di vecchie lire per rimettere in sicurezza l'rea. I 10 miliardi sono diventati poi quasi 12 a carico di Ecoambiente. </w:t>
      </w:r>
      <w:r>
        <w:rPr>
          <w:rFonts w:hAnsi="Book Antiqua" w:hint="default"/>
          <w:rtl w:val="0"/>
          <w:lang w:val="it-IT"/>
        </w:rPr>
        <w:t xml:space="preserve">È </w:t>
      </w:r>
      <w:r>
        <w:rPr>
          <w:rFonts w:ascii="Book Antiqua"/>
          <w:rtl w:val="0"/>
          <w:lang w:val="it-IT"/>
        </w:rPr>
        <w:t xml:space="preserve">stato fatto un intervento di messa in sicurezza particolarmente importante. Questa </w:t>
      </w:r>
      <w:r>
        <w:rPr>
          <w:rFonts w:hAnsi="Book Antiqua" w:hint="default"/>
          <w:rtl w:val="0"/>
          <w:lang w:val="it-IT"/>
        </w:rPr>
        <w:t xml:space="preserve">è </w:t>
      </w:r>
      <w:r>
        <w:rPr>
          <w:rFonts w:ascii="Book Antiqua"/>
          <w:rtl w:val="0"/>
          <w:lang w:val="it-IT"/>
        </w:rPr>
        <w:t>la mission di Ecoambiente, che porta avanti dal 1998 a oggi. Ci tengo a dire che Ecoambiente oltretutto ha smaltito in quel sito 12.000, forse qualcosa di pi</w:t>
      </w:r>
      <w:r>
        <w:rPr>
          <w:rFonts w:hAnsi="Book Antiqua" w:hint="default"/>
          <w:rtl w:val="0"/>
          <w:lang w:val="it-IT"/>
        </w:rPr>
        <w:t>ù</w:t>
      </w:r>
      <w:r>
        <w:rPr>
          <w:rFonts w:ascii="Book Antiqua"/>
          <w:rtl w:val="0"/>
          <w:lang w:val="it-IT"/>
        </w:rPr>
        <w:t xml:space="preserve">, metri cubi di percolato. C'era, infatti, percolato da mesi e mesi che si accumulava. Da quel momento, Ecoambiente </w:t>
      </w:r>
      <w:r>
        <w:rPr>
          <w:rFonts w:hAnsi="Book Antiqua" w:hint="default"/>
          <w:rtl w:val="0"/>
          <w:lang w:val="it-IT"/>
        </w:rPr>
        <w:t xml:space="preserve">è </w:t>
      </w:r>
      <w:r>
        <w:rPr>
          <w:rFonts w:ascii="Book Antiqua"/>
          <w:rtl w:val="0"/>
          <w:lang w:val="it-IT"/>
        </w:rPr>
        <w:t>diventata soggetto interessato dell'area, ma non responsabile, perch</w:t>
      </w:r>
      <w:r>
        <w:rPr>
          <w:rFonts w:hAnsi="Book Antiqua" w:hint="default"/>
          <w:rtl w:val="0"/>
          <w:lang w:val="it-IT"/>
        </w:rPr>
        <w:t xml:space="preserve">é </w:t>
      </w:r>
      <w:r>
        <w:rPr>
          <w:rFonts w:ascii="Book Antiqua"/>
          <w:rtl w:val="0"/>
          <w:lang w:val="it-IT"/>
        </w:rPr>
        <w:t>tutto quello che era avvenuto prima, cio</w:t>
      </w:r>
      <w:r>
        <w:rPr>
          <w:rFonts w:hAnsi="Book Antiqua" w:hint="default"/>
          <w:rtl w:val="0"/>
          <w:lang w:val="it-IT"/>
        </w:rPr>
        <w:t xml:space="preserve">è </w:t>
      </w:r>
      <w:r>
        <w:rPr>
          <w:rFonts w:ascii="Book Antiqua"/>
          <w:rtl w:val="0"/>
          <w:lang w:val="it-IT"/>
        </w:rPr>
        <w:t xml:space="preserve">lo spargimento di percolato, la S0 senza impermeabilizzazione, erano tutti accadimenti avvenuti addirittura prima della nascita di Ecoambiente. </w:t>
      </w:r>
    </w:p>
    <w:p>
      <w:pPr>
        <w:pStyle w:val="Normal"/>
        <w:ind w:left="567" w:right="567" w:firstLine="0"/>
        <w:jc w:val="both"/>
        <w:rPr>
          <w:rFonts w:ascii="Book Antiqua" w:cs="Book Antiqua" w:hAnsi="Book Antiqua" w:eastAsia="Book Antiqua"/>
        </w:rPr>
      </w:pPr>
      <w:r>
        <w:rPr>
          <w:rFonts w:ascii="Book Antiqua"/>
          <w:rtl w:val="0"/>
          <w:lang w:val="it-IT"/>
        </w:rPr>
        <w:t xml:space="preserve">Comunicazioni di vario tipo individuano Ecoambiente come una delle responsabili dell'inquinamento di Borgo Montello, ma questo proprio non </w:t>
      </w:r>
      <w:r>
        <w:rPr>
          <w:rFonts w:hAnsi="Book Antiqua" w:hint="default"/>
          <w:rtl w:val="0"/>
          <w:lang w:val="it-IT"/>
        </w:rPr>
        <w:t xml:space="preserve">è </w:t>
      </w:r>
      <w:r>
        <w:rPr>
          <w:rFonts w:ascii="Book Antiqua"/>
          <w:rtl w:val="0"/>
          <w:lang w:val="it-IT"/>
        </w:rPr>
        <w:t xml:space="preserve">possibile nei fatti, le date non coincidono. Capisco che qualcuno, non conoscendo bene la situazione, </w:t>
      </w:r>
      <w:r>
        <w:rPr>
          <w:rFonts w:hAnsi="Book Antiqua" w:hint="default"/>
          <w:rtl w:val="0"/>
          <w:lang w:val="it-IT"/>
        </w:rPr>
        <w:t xml:space="preserve">è </w:t>
      </w:r>
      <w:r>
        <w:rPr>
          <w:rFonts w:ascii="Book Antiqua"/>
          <w:rtl w:val="0"/>
          <w:lang w:val="it-IT"/>
        </w:rPr>
        <w:t>uno dei motivi per cui siamo qua, non riesce a far coincidere bene le date</w:t>
      </w:r>
      <w:r>
        <w:rPr>
          <w:rFonts w:hAnsi="Book Antiqua" w:hint="default"/>
          <w:rtl w:val="0"/>
          <w:lang w:val="it-IT"/>
        </w:rPr>
        <w:t>”</w:t>
      </w:r>
      <w:r>
        <w:rPr>
          <w:rFonts w:ascii="Book Antiqua"/>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 xml:space="preserve">Relativamente agli interventi di bonifica attualmente in corso </w:t>
      </w:r>
      <w:r>
        <w:rPr>
          <w:rFonts w:hAnsi="Book Antiqua" w:hint="default"/>
          <w:rtl w:val="0"/>
          <w:lang w:val="it-IT"/>
        </w:rPr>
        <w:t xml:space="preserve">è </w:t>
      </w:r>
      <w:r>
        <w:rPr>
          <w:rFonts w:ascii="Book Antiqua"/>
          <w:rtl w:val="0"/>
          <w:lang w:val="it-IT"/>
        </w:rPr>
        <w:t xml:space="preserve">intervenuto Pierpaolo Lombardi, amministratore delegato di Ecoambiente: </w:t>
      </w:r>
      <w:r>
        <w:rPr>
          <w:rFonts w:hAnsi="Book Antiqua" w:hint="default"/>
          <w:rtl w:val="0"/>
          <w:lang w:val="it-IT"/>
        </w:rPr>
        <w:t>“</w:t>
      </w:r>
      <w:r>
        <w:rPr>
          <w:rFonts w:ascii="Book Antiqua"/>
          <w:rtl w:val="0"/>
          <w:lang w:val="it-IT"/>
        </w:rPr>
        <w:t xml:space="preserve">L'intervento che </w:t>
      </w:r>
      <w:r>
        <w:rPr>
          <w:rFonts w:hAnsi="Book Antiqua" w:hint="default"/>
          <w:rtl w:val="0"/>
          <w:lang w:val="it-IT"/>
        </w:rPr>
        <w:t xml:space="preserve">è </w:t>
      </w:r>
      <w:r>
        <w:rPr>
          <w:rFonts w:ascii="Book Antiqua"/>
          <w:rtl w:val="0"/>
          <w:lang w:val="it-IT"/>
        </w:rPr>
        <w:t>stato eseguito nel 2000 sui vecchi bacini S1, S2 e S3 deve essere essenzialmente una messa in sicurezza definitiva, cio</w:t>
      </w:r>
      <w:r>
        <w:rPr>
          <w:rFonts w:hAnsi="Book Antiqua" w:hint="default"/>
          <w:rtl w:val="0"/>
          <w:lang w:val="it-IT"/>
        </w:rPr>
        <w:t xml:space="preserve">è </w:t>
      </w:r>
      <w:r>
        <w:rPr>
          <w:rFonts w:ascii="Book Antiqua"/>
          <w:rtl w:val="0"/>
          <w:lang w:val="it-IT"/>
        </w:rPr>
        <w:t xml:space="preserve">un confinamento della fonte di contaminazione, allora identificata in S1, S2 e S3. Su questi sono stati realizzati nuovi bacini di discarica, impermeabilizzati a norma di legge. Su questo </w:t>
      </w:r>
      <w:r>
        <w:rPr>
          <w:rFonts w:hAnsi="Book Antiqua" w:hint="default"/>
          <w:rtl w:val="0"/>
          <w:lang w:val="it-IT"/>
        </w:rPr>
        <w:t xml:space="preserve">è </w:t>
      </w:r>
      <w:r>
        <w:rPr>
          <w:rFonts w:ascii="Book Antiqua"/>
          <w:rtl w:val="0"/>
          <w:lang w:val="it-IT"/>
        </w:rPr>
        <w:t>continuata l'attivit</w:t>
      </w:r>
      <w:r>
        <w:rPr>
          <w:rFonts w:hAnsi="Book Antiqua" w:hint="default"/>
          <w:rtl w:val="0"/>
          <w:lang w:val="it-IT"/>
        </w:rPr>
        <w:t xml:space="preserve">à </w:t>
      </w:r>
      <w:r>
        <w:rPr>
          <w:rFonts w:ascii="Book Antiqua"/>
          <w:rtl w:val="0"/>
          <w:lang w:val="it-IT"/>
        </w:rPr>
        <w:t>di Ecoambiente di smaltimento dei rifiuti per circa un milione di metri cubi, dal 2001 fino all'ottobre 2009, su tutta l'area del lotto che adesso definiamo lotto A per distinguerlo dall'altro lotto, B</w:t>
      </w:r>
      <w:r>
        <w:rPr>
          <w:rFonts w:hAnsi="Book Antiqua" w:hint="default"/>
          <w:rtl w:val="0"/>
          <w:lang w:val="it-IT"/>
        </w:rPr>
        <w:t>”</w:t>
      </w:r>
      <w:r>
        <w:rPr>
          <w:rFonts w:ascii="Book Antiqua"/>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Rispetto all</w:t>
      </w:r>
      <w:r>
        <w:rPr>
          <w:rFonts w:hAnsi="Book Antiqua" w:hint="default"/>
          <w:rtl w:val="0"/>
          <w:lang w:val="it-IT"/>
        </w:rPr>
        <w:t>’</w:t>
      </w:r>
      <w:r>
        <w:rPr>
          <w:rFonts w:ascii="Book Antiqua"/>
          <w:rtl w:val="0"/>
          <w:lang w:val="it-IT"/>
        </w:rPr>
        <w:t xml:space="preserve">intervento eseguito nel 2000 va ricordato che </w:t>
      </w:r>
      <w:r>
        <w:rPr>
          <w:rFonts w:hAnsi="Book Antiqua" w:hint="default"/>
          <w:rtl w:val="0"/>
          <w:lang w:val="it-IT"/>
        </w:rPr>
        <w:t xml:space="preserve">è </w:t>
      </w:r>
      <w:r>
        <w:rPr>
          <w:rFonts w:ascii="Book Antiqua"/>
          <w:rtl w:val="0"/>
          <w:lang w:val="it-IT"/>
        </w:rPr>
        <w:t>attualmente pendente davanti al tribunale di Latina un procedimento penale nei confronti dei passati amministratori di Ecoambiente per avvelenamento delle acque: infatti il 15 dicembre 2014 il giudice dell</w:t>
      </w:r>
      <w:r>
        <w:rPr>
          <w:rFonts w:hAnsi="Book Antiqua" w:hint="default"/>
          <w:rtl w:val="0"/>
          <w:lang w:val="it-IT"/>
        </w:rPr>
        <w:t>’</w:t>
      </w:r>
      <w:r>
        <w:rPr>
          <w:rFonts w:ascii="Book Antiqua"/>
          <w:rtl w:val="0"/>
          <w:lang w:val="it-IT"/>
        </w:rPr>
        <w:t>udienza preliminare ha emesso il decreto che dispone il giudizio</w:t>
      </w:r>
      <w:r>
        <w:rPr>
          <w:rFonts w:ascii="Book Antiqua" w:cs="Book Antiqua" w:hAnsi="Book Antiqua" w:eastAsia="Book Antiqua"/>
          <w:vertAlign w:val="superscript"/>
          <w:rtl w:val="0"/>
        </w:rPr>
        <w:footnoteReference w:id="298"/>
      </w:r>
      <w:r>
        <w:rPr>
          <w:rFonts w:ascii="Book Antiqua"/>
          <w:rtl w:val="0"/>
          <w:lang w:val="it-IT"/>
        </w:rPr>
        <w:t xml:space="preserve"> per il delitto di cui all</w:t>
      </w:r>
      <w:r>
        <w:rPr>
          <w:rFonts w:hAnsi="Book Antiqua" w:hint="default"/>
          <w:rtl w:val="0"/>
          <w:lang w:val="it-IT"/>
        </w:rPr>
        <w:t>’</w:t>
      </w:r>
      <w:r>
        <w:rPr>
          <w:rFonts w:ascii="Book Antiqua"/>
          <w:rtl w:val="0"/>
          <w:lang w:val="it-IT"/>
        </w:rPr>
        <w:t>articolo 440 del codice penale a carico di Bruno Landi, Vincenzo Rondoni e Nicola Colucci (proc. pen. n. 849/2005 r.g.n.r.); il nucleo dell</w:t>
      </w:r>
      <w:r>
        <w:rPr>
          <w:rFonts w:hAnsi="Book Antiqua" w:hint="default"/>
          <w:rtl w:val="0"/>
          <w:lang w:val="it-IT"/>
        </w:rPr>
        <w:t>’</w:t>
      </w:r>
      <w:r>
        <w:rPr>
          <w:rFonts w:ascii="Book Antiqua"/>
          <w:rtl w:val="0"/>
          <w:lang w:val="it-IT"/>
        </w:rPr>
        <w:t>accusa consiste nell</w:t>
      </w:r>
      <w:r>
        <w:rPr>
          <w:rFonts w:hAnsi="Book Antiqua" w:hint="default"/>
          <w:rtl w:val="0"/>
          <w:lang w:val="it-IT"/>
        </w:rPr>
        <w:t>’”</w:t>
      </w:r>
      <w:r>
        <w:rPr>
          <w:rFonts w:ascii="Book Antiqua"/>
          <w:rtl w:val="0"/>
          <w:lang w:val="it-IT"/>
        </w:rPr>
        <w:t>omesso controllo circa la sicurezza degli invasi denominati S1, S2, S3 e S0</w:t>
      </w:r>
      <w:r>
        <w:rPr>
          <w:rFonts w:hAnsi="Book Antiqua" w:hint="default"/>
          <w:rtl w:val="0"/>
          <w:lang w:val="it-IT"/>
        </w:rPr>
        <w:t>”</w:t>
      </w:r>
      <w:r>
        <w:rPr>
          <w:rFonts w:ascii="Book Antiqua"/>
          <w:rtl w:val="0"/>
          <w:lang w:val="it-IT"/>
        </w:rPr>
        <w:t xml:space="preserve">, la </w:t>
      </w:r>
      <w:r>
        <w:rPr>
          <w:rFonts w:hAnsi="Book Antiqua" w:hint="default"/>
          <w:rtl w:val="0"/>
          <w:lang w:val="it-IT"/>
        </w:rPr>
        <w:t>“</w:t>
      </w:r>
      <w:r>
        <w:rPr>
          <w:rFonts w:ascii="Book Antiqua"/>
          <w:rtl w:val="0"/>
          <w:lang w:val="it-IT"/>
        </w:rPr>
        <w:t>mancata esecuzione di opere di impermeabilizzazione di detti impianti</w:t>
      </w:r>
      <w:r>
        <w:rPr>
          <w:rFonts w:hAnsi="Book Antiqua" w:hint="default"/>
          <w:rtl w:val="0"/>
          <w:lang w:val="it-IT"/>
        </w:rPr>
        <w:t>”</w:t>
      </w:r>
      <w:r>
        <w:rPr>
          <w:rFonts w:ascii="Book Antiqua"/>
          <w:rtl w:val="0"/>
          <w:lang w:val="it-IT"/>
        </w:rPr>
        <w:t>, bench</w:t>
      </w:r>
      <w:r>
        <w:rPr>
          <w:rFonts w:hAnsi="Book Antiqua" w:hint="default"/>
          <w:rtl w:val="0"/>
          <w:lang w:val="it-IT"/>
        </w:rPr>
        <w:t xml:space="preserve">é </w:t>
      </w:r>
      <w:r>
        <w:rPr>
          <w:rFonts w:ascii="Book Antiqua"/>
          <w:rtl w:val="0"/>
          <w:lang w:val="it-IT"/>
        </w:rPr>
        <w:t>le carenze strutturali fossero note da tempo (in forza di studi ENEA del 1995-96, di ordinanza del sindaco di Latina del 18 agosto 1998, di plurime comunicazioni dell</w:t>
      </w:r>
      <w:r>
        <w:rPr>
          <w:rFonts w:hAnsi="Book Antiqua" w:hint="default"/>
          <w:rtl w:val="0"/>
          <w:lang w:val="it-IT"/>
        </w:rPr>
        <w:t>’</w:t>
      </w:r>
      <w:r>
        <w:rPr>
          <w:rFonts w:ascii="Book Antiqua"/>
          <w:rtl w:val="0"/>
          <w:lang w:val="it-IT"/>
        </w:rPr>
        <w:t xml:space="preserve">ARPA Lazio); con la conseguente produzione di </w:t>
      </w:r>
      <w:r>
        <w:rPr>
          <w:rFonts w:hAnsi="Book Antiqua" w:hint="default"/>
          <w:rtl w:val="0"/>
          <w:lang w:val="it-IT"/>
        </w:rPr>
        <w:t>“</w:t>
      </w:r>
      <w:r>
        <w:rPr>
          <w:rFonts w:ascii="Book Antiqua"/>
          <w:rtl w:val="0"/>
          <w:lang w:val="it-IT"/>
        </w:rPr>
        <w:t>reiterati fenomeni di fuoriuscita del percolato dai siti indicati, percolato contenente tra l</w:t>
      </w:r>
      <w:r>
        <w:rPr>
          <w:rFonts w:hAnsi="Book Antiqua" w:hint="default"/>
          <w:rtl w:val="0"/>
          <w:lang w:val="it-IT"/>
        </w:rPr>
        <w:t>’</w:t>
      </w:r>
      <w:r>
        <w:rPr>
          <w:rFonts w:ascii="Book Antiqua"/>
          <w:rtl w:val="0"/>
          <w:lang w:val="it-IT"/>
        </w:rPr>
        <w:t>altro sostanze pericolose quali piombo, rame e zinco</w:t>
      </w:r>
      <w:r>
        <w:rPr>
          <w:rFonts w:hAnsi="Book Antiqua" w:hint="default"/>
          <w:rtl w:val="0"/>
          <w:lang w:val="it-IT"/>
        </w:rPr>
        <w:t>”</w:t>
      </w:r>
      <w:r>
        <w:rPr>
          <w:rFonts w:ascii="Book Antiqua"/>
          <w:rtl w:val="0"/>
          <w:lang w:val="it-IT"/>
        </w:rPr>
        <w:t>, con la conseguenza di adulterare le acque di falda poste in prossimit</w:t>
      </w:r>
      <w:r>
        <w:rPr>
          <w:rFonts w:hAnsi="Book Antiqua" w:hint="default"/>
          <w:rtl w:val="0"/>
          <w:lang w:val="it-IT"/>
        </w:rPr>
        <w:t xml:space="preserve">à </w:t>
      </w:r>
      <w:r>
        <w:rPr>
          <w:rFonts w:ascii="Book Antiqua"/>
          <w:rtl w:val="0"/>
          <w:lang w:val="it-IT"/>
        </w:rPr>
        <w:t xml:space="preserve">del sito </w:t>
      </w:r>
      <w:r>
        <w:rPr>
          <w:rFonts w:hAnsi="Book Antiqua" w:hint="default"/>
          <w:rtl w:val="0"/>
          <w:lang w:val="it-IT"/>
        </w:rPr>
        <w:t>“</w:t>
      </w:r>
      <w:r>
        <w:rPr>
          <w:rFonts w:ascii="Book Antiqua"/>
          <w:rtl w:val="0"/>
          <w:lang w:val="it-IT"/>
        </w:rPr>
        <w:t>rendendole pericolose per la salute pubblica</w:t>
      </w:r>
      <w:r>
        <w:rPr>
          <w:rFonts w:hAnsi="Book Antiqua" w:hint="default"/>
          <w:rtl w:val="0"/>
          <w:lang w:val="it-IT"/>
        </w:rPr>
        <w:t>”</w:t>
      </w:r>
      <w:r>
        <w:rPr>
          <w:rFonts w:ascii="Book Antiqua"/>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L</w:t>
      </w:r>
      <w:r>
        <w:rPr>
          <w:rFonts w:hAnsi="Book Antiqua" w:hint="default"/>
          <w:rtl w:val="0"/>
          <w:lang w:val="it-IT"/>
        </w:rPr>
        <w:t>’</w:t>
      </w:r>
      <w:r>
        <w:rPr>
          <w:rFonts w:ascii="Book Antiqua"/>
          <w:rtl w:val="0"/>
          <w:lang w:val="it-IT"/>
        </w:rPr>
        <w:t>ipotesi dell</w:t>
      </w:r>
      <w:r>
        <w:rPr>
          <w:rFonts w:hAnsi="Book Antiqua" w:hint="default"/>
          <w:rtl w:val="0"/>
          <w:lang w:val="it-IT"/>
        </w:rPr>
        <w:t>’</w:t>
      </w:r>
      <w:r>
        <w:rPr>
          <w:rFonts w:ascii="Book Antiqua"/>
          <w:rtl w:val="0"/>
          <w:lang w:val="it-IT"/>
        </w:rPr>
        <w:t xml:space="preserve">accusa </w:t>
      </w:r>
      <w:r>
        <w:rPr>
          <w:rFonts w:hAnsi="Book Antiqua" w:hint="default"/>
          <w:rtl w:val="0"/>
          <w:lang w:val="it-IT"/>
        </w:rPr>
        <w:t xml:space="preserve">– </w:t>
      </w:r>
      <w:r>
        <w:rPr>
          <w:rFonts w:ascii="Book Antiqua"/>
          <w:rtl w:val="0"/>
          <w:lang w:val="it-IT"/>
        </w:rPr>
        <w:t>supportata da una perizia disposta dal giudice dell</w:t>
      </w:r>
      <w:r>
        <w:rPr>
          <w:rFonts w:hAnsi="Book Antiqua" w:hint="default"/>
          <w:rtl w:val="0"/>
          <w:lang w:val="it-IT"/>
        </w:rPr>
        <w:t>’</w:t>
      </w:r>
      <w:r>
        <w:rPr>
          <w:rFonts w:ascii="Book Antiqua"/>
          <w:rtl w:val="0"/>
          <w:lang w:val="it-IT"/>
        </w:rPr>
        <w:t>udienza preliminare che verr</w:t>
      </w:r>
      <w:r>
        <w:rPr>
          <w:rFonts w:hAnsi="Book Antiqua" w:hint="default"/>
          <w:rtl w:val="0"/>
          <w:lang w:val="it-IT"/>
        </w:rPr>
        <w:t xml:space="preserve">à </w:t>
      </w:r>
      <w:r>
        <w:rPr>
          <w:rFonts w:ascii="Book Antiqua"/>
          <w:rtl w:val="0"/>
          <w:lang w:val="it-IT"/>
        </w:rPr>
        <w:t xml:space="preserve">analizzata in seguito </w:t>
      </w:r>
      <w:r>
        <w:rPr>
          <w:rFonts w:hAnsi="Book Antiqua" w:hint="default"/>
          <w:rtl w:val="0"/>
          <w:lang w:val="it-IT"/>
        </w:rPr>
        <w:t xml:space="preserve">– è </w:t>
      </w:r>
      <w:r>
        <w:rPr>
          <w:rFonts w:ascii="Book Antiqua"/>
          <w:rtl w:val="0"/>
          <w:lang w:val="it-IT"/>
        </w:rPr>
        <w:t>che, nonostante gli interventi di messa in sicurezza dell</w:t>
      </w:r>
      <w:r>
        <w:rPr>
          <w:rFonts w:hAnsi="Book Antiqua" w:hint="default"/>
          <w:rtl w:val="0"/>
          <w:lang w:val="it-IT"/>
        </w:rPr>
        <w:t>’</w:t>
      </w:r>
      <w:r>
        <w:rPr>
          <w:rFonts w:ascii="Book Antiqua"/>
          <w:rtl w:val="0"/>
          <w:lang w:val="it-IT"/>
        </w:rPr>
        <w:t>area S1, S2 e S3, sia avvenuta una contaminazione della falda, ascrivibile all</w:t>
      </w:r>
      <w:r>
        <w:rPr>
          <w:rFonts w:hAnsi="Book Antiqua" w:hint="default"/>
          <w:rtl w:val="0"/>
          <w:lang w:val="it-IT"/>
        </w:rPr>
        <w:t>’</w:t>
      </w:r>
      <w:r>
        <w:rPr>
          <w:rFonts w:ascii="Book Antiqua"/>
          <w:rtl w:val="0"/>
          <w:lang w:val="it-IT"/>
        </w:rPr>
        <w:t>area gestita da Ecoambiente.</w:t>
      </w:r>
    </w:p>
    <w:p>
      <w:pPr>
        <w:pStyle w:val="Normal"/>
        <w:ind w:left="567" w:right="567" w:firstLine="0"/>
        <w:jc w:val="both"/>
        <w:rPr>
          <w:rFonts w:ascii="Book Antiqua" w:cs="Book Antiqua" w:hAnsi="Book Antiqua" w:eastAsia="Book Antiqua"/>
        </w:rPr>
      </w:pPr>
      <w:r>
        <w:rPr>
          <w:rFonts w:ascii="Book Antiqua"/>
          <w:rtl w:val="0"/>
          <w:lang w:val="it-IT"/>
        </w:rPr>
        <w:t xml:space="preserve">Su questo specifico punto prosegue Pierpaolo Lombardi: </w:t>
      </w:r>
      <w:r>
        <w:rPr>
          <w:rFonts w:hAnsi="Book Antiqua" w:hint="default"/>
          <w:rtl w:val="0"/>
          <w:lang w:val="it-IT"/>
        </w:rPr>
        <w:t>“</w:t>
      </w:r>
      <w:r>
        <w:rPr>
          <w:rFonts w:ascii="Book Antiqua"/>
          <w:rtl w:val="0"/>
          <w:lang w:val="it-IT"/>
        </w:rPr>
        <w:t xml:space="preserve">Ci tengo a dire che </w:t>
      </w:r>
      <w:r>
        <w:rPr>
          <w:rFonts w:hAnsi="Book Antiqua" w:hint="default"/>
          <w:rtl w:val="0"/>
          <w:lang w:val="it-IT"/>
        </w:rPr>
        <w:t xml:space="preserve">è </w:t>
      </w:r>
      <w:r>
        <w:rPr>
          <w:rFonts w:ascii="Book Antiqua"/>
          <w:rtl w:val="0"/>
          <w:lang w:val="it-IT"/>
        </w:rPr>
        <w:t>una messa in sicurezza definitiva. In 25 anni, dal 1971 fino al 1997, in pratica di abbandono, di conferimento incontrollato dei rifiuti, tutto il percolato e tutto il biogas non idoneamente recuperato e trattato, hanno contaminato le matrici ambientali, tra cui il terreno, le acque di falda profonde e le acque superficiali. L</w:t>
      </w:r>
      <w:r>
        <w:rPr>
          <w:rFonts w:hAnsi="Book Antiqua" w:hint="default"/>
          <w:rtl w:val="0"/>
          <w:lang w:val="it-IT"/>
        </w:rPr>
        <w:t xml:space="preserve">ì </w:t>
      </w:r>
      <w:r>
        <w:rPr>
          <w:rFonts w:ascii="Book Antiqua"/>
          <w:rtl w:val="0"/>
          <w:lang w:val="it-IT"/>
        </w:rPr>
        <w:t>vicino, infatti, c'</w:t>
      </w:r>
      <w:r>
        <w:rPr>
          <w:rFonts w:hAnsi="Book Antiqua" w:hint="default"/>
          <w:rtl w:val="0"/>
          <w:lang w:val="it-IT"/>
        </w:rPr>
        <w:t xml:space="preserve">è </w:t>
      </w:r>
      <w:r>
        <w:rPr>
          <w:rFonts w:ascii="Book Antiqua"/>
          <w:rtl w:val="0"/>
          <w:lang w:val="it-IT"/>
        </w:rPr>
        <w:t>il fiume Astura.</w:t>
      </w:r>
    </w:p>
    <w:p>
      <w:pPr>
        <w:pStyle w:val="Normal"/>
        <w:ind w:left="567" w:right="567" w:firstLine="0"/>
        <w:jc w:val="both"/>
        <w:rPr>
          <w:rFonts w:ascii="Book Antiqua" w:cs="Book Antiqua" w:hAnsi="Book Antiqua" w:eastAsia="Book Antiqua"/>
        </w:rPr>
      </w:pPr>
      <w:r>
        <w:rPr>
          <w:rFonts w:hAnsi="Book Antiqua" w:hint="default"/>
          <w:rtl w:val="0"/>
          <w:lang w:val="it-IT"/>
        </w:rPr>
        <w:t xml:space="preserve">È </w:t>
      </w:r>
      <w:r>
        <w:rPr>
          <w:rFonts w:ascii="Book Antiqua"/>
          <w:rtl w:val="0"/>
          <w:lang w:val="it-IT"/>
        </w:rPr>
        <w:t>ovvio che abbiamo bloccato la fonte di contaminazione, ma tutto quello che nel frattempo si era allontanato da quell'area era l</w:t>
      </w:r>
      <w:r>
        <w:rPr>
          <w:rFonts w:hAnsi="Book Antiqua" w:hint="default"/>
          <w:rtl w:val="0"/>
          <w:lang w:val="it-IT"/>
        </w:rPr>
        <w:t>ì</w:t>
      </w:r>
      <w:r>
        <w:rPr>
          <w:rFonts w:ascii="Book Antiqua"/>
          <w:rtl w:val="0"/>
          <w:lang w:val="it-IT"/>
        </w:rPr>
        <w:t xml:space="preserve">. Su questo attualmente stiamo intervenendo. A valle di questa verifica effettuata dall'ARPA nel 2005, in cui </w:t>
      </w:r>
      <w:r>
        <w:rPr>
          <w:rFonts w:hAnsi="Book Antiqua" w:hint="default"/>
          <w:rtl w:val="0"/>
          <w:lang w:val="it-IT"/>
        </w:rPr>
        <w:t xml:space="preserve">è </w:t>
      </w:r>
      <w:r>
        <w:rPr>
          <w:rFonts w:ascii="Book Antiqua"/>
          <w:rtl w:val="0"/>
          <w:lang w:val="it-IT"/>
        </w:rPr>
        <w:t xml:space="preserve">stata verificata questa residua contaminazione esterna all'area dei bacini di discarica, </w:t>
      </w:r>
      <w:r>
        <w:rPr>
          <w:rFonts w:hAnsi="Book Antiqua" w:hint="default"/>
          <w:rtl w:val="0"/>
          <w:lang w:val="it-IT"/>
        </w:rPr>
        <w:t xml:space="preserve">è </w:t>
      </w:r>
      <w:r>
        <w:rPr>
          <w:rFonts w:ascii="Book Antiqua"/>
          <w:rtl w:val="0"/>
          <w:lang w:val="it-IT"/>
        </w:rPr>
        <w:t>stato avviato un monitoraggio da parte di ARPA, durato un ulteriore decennio, per appunto verificare l'evoluzione della contaminazione all'interno dell'area [</w:t>
      </w:r>
      <w:r>
        <w:rPr>
          <w:rFonts w:hAnsi="Book Antiqua" w:hint="default"/>
          <w:rtl w:val="0"/>
          <w:lang w:val="it-IT"/>
        </w:rPr>
        <w:t>…</w:t>
      </w:r>
      <w:r>
        <w:rPr>
          <w:rFonts w:ascii="Book Antiqua"/>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Abbiamo realizzato la messa in sicurezza definitiva, dopodich</w:t>
      </w:r>
      <w:r>
        <w:rPr>
          <w:rFonts w:hAnsi="Book Antiqua" w:hint="default"/>
          <w:rtl w:val="0"/>
          <w:lang w:val="it-IT"/>
        </w:rPr>
        <w:t>é</w:t>
      </w:r>
      <w:r>
        <w:rPr>
          <w:rFonts w:ascii="Book Antiqua"/>
          <w:rtl w:val="0"/>
          <w:lang w:val="it-IT"/>
        </w:rPr>
        <w:t xml:space="preserve">, nel 2005, </w:t>
      </w:r>
      <w:r>
        <w:rPr>
          <w:rFonts w:hAnsi="Book Antiqua" w:hint="default"/>
          <w:rtl w:val="0"/>
          <w:lang w:val="it-IT"/>
        </w:rPr>
        <w:t xml:space="preserve">è </w:t>
      </w:r>
      <w:r>
        <w:rPr>
          <w:rFonts w:ascii="Book Antiqua"/>
          <w:rtl w:val="0"/>
          <w:lang w:val="it-IT"/>
        </w:rPr>
        <w:t xml:space="preserve">stata rilevata una contaminazione residua esterna a questi invasi, e pertanto </w:t>
      </w:r>
      <w:r>
        <w:rPr>
          <w:rFonts w:hAnsi="Book Antiqua" w:hint="default"/>
          <w:rtl w:val="0"/>
          <w:lang w:val="it-IT"/>
        </w:rPr>
        <w:t xml:space="preserve">è </w:t>
      </w:r>
      <w:r>
        <w:rPr>
          <w:rFonts w:ascii="Book Antiqua"/>
          <w:rtl w:val="0"/>
          <w:lang w:val="it-IT"/>
        </w:rPr>
        <w:t xml:space="preserve">partito un secondo procedimento di bonifica, che </w:t>
      </w:r>
      <w:r>
        <w:rPr>
          <w:rFonts w:hAnsi="Book Antiqua" w:hint="default"/>
          <w:rtl w:val="0"/>
          <w:lang w:val="it-IT"/>
        </w:rPr>
        <w:t xml:space="preserve">è </w:t>
      </w:r>
      <w:r>
        <w:rPr>
          <w:rFonts w:ascii="Book Antiqua"/>
          <w:rtl w:val="0"/>
          <w:lang w:val="it-IT"/>
        </w:rPr>
        <w:t>stato accolto da Ecoambiente, come diceva il presidente Gori, come soggetto interessato. Come soggetto interessato, abbiamo proposto un secondo intervento di bonifica, successivo alla messa in sicurezza definitiva iniziale, che prevede l'immissione di reagenti in falda direttamente all'interno della falda, utilizzando i piezometri esistenti nell'area di Borgo Montello.</w:t>
      </w:r>
    </w:p>
    <w:p>
      <w:pPr>
        <w:pStyle w:val="Normal"/>
        <w:ind w:left="567" w:right="567" w:firstLine="0"/>
        <w:jc w:val="both"/>
        <w:rPr>
          <w:rFonts w:ascii="Book Antiqua" w:cs="Book Antiqua" w:hAnsi="Book Antiqua" w:eastAsia="Book Antiqua"/>
        </w:rPr>
      </w:pPr>
      <w:r>
        <w:rPr>
          <w:rFonts w:ascii="Book Antiqua"/>
          <w:rtl w:val="0"/>
          <w:lang w:val="it-IT"/>
        </w:rPr>
        <w:t xml:space="preserve">Tra quelli realizzati da ARPA, direttamente da noi e da Indeco, ci sono 44 piezometri in tutta l'area di Borgo Montello. Il progetto, presentato nel 2006 </w:t>
      </w:r>
      <w:r>
        <w:rPr>
          <w:rFonts w:hAnsi="Book Antiqua" w:hint="default"/>
          <w:rtl w:val="0"/>
          <w:lang w:val="it-IT"/>
        </w:rPr>
        <w:t xml:space="preserve">– è </w:t>
      </w:r>
      <w:r>
        <w:rPr>
          <w:rFonts w:ascii="Book Antiqua"/>
          <w:rtl w:val="0"/>
          <w:lang w:val="it-IT"/>
        </w:rPr>
        <w:t xml:space="preserve">stata fatta l'analisi di rischio, le caratterizzazione classiche, le procedure propedeutiche all'elaborazione di un progetto di bonifica </w:t>
      </w:r>
      <w:r>
        <w:rPr>
          <w:rFonts w:hAnsi="Book Antiqua" w:hint="default"/>
          <w:rtl w:val="0"/>
          <w:lang w:val="it-IT"/>
        </w:rPr>
        <w:t xml:space="preserve">– è </w:t>
      </w:r>
      <w:r>
        <w:rPr>
          <w:rFonts w:ascii="Book Antiqua"/>
          <w:rtl w:val="0"/>
          <w:lang w:val="it-IT"/>
        </w:rPr>
        <w:t xml:space="preserve">stato elaborato da Ecoambiente ed </w:t>
      </w:r>
      <w:r>
        <w:rPr>
          <w:rFonts w:hAnsi="Book Antiqua" w:hint="default"/>
          <w:rtl w:val="0"/>
          <w:lang w:val="it-IT"/>
        </w:rPr>
        <w:t xml:space="preserve">è </w:t>
      </w:r>
      <w:r>
        <w:rPr>
          <w:rFonts w:ascii="Book Antiqua"/>
          <w:rtl w:val="0"/>
          <w:lang w:val="it-IT"/>
        </w:rPr>
        <w:t xml:space="preserve">stato approvato dal comune, dalla provincia, dalla regione, dall'ARPA e dall'ASL di Latina, ed </w:t>
      </w:r>
      <w:r>
        <w:rPr>
          <w:rFonts w:hAnsi="Book Antiqua" w:hint="default"/>
          <w:rtl w:val="0"/>
          <w:lang w:val="it-IT"/>
        </w:rPr>
        <w:t xml:space="preserve">è </w:t>
      </w:r>
      <w:r>
        <w:rPr>
          <w:rFonts w:ascii="Book Antiqua"/>
          <w:rtl w:val="0"/>
          <w:lang w:val="it-IT"/>
        </w:rPr>
        <w:t>stato avviato nel 2009, quando si sono avviate essenzialmente le attivit</w:t>
      </w:r>
      <w:r>
        <w:rPr>
          <w:rFonts w:hAnsi="Book Antiqua" w:hint="default"/>
          <w:rtl w:val="0"/>
          <w:lang w:val="it-IT"/>
        </w:rPr>
        <w:t xml:space="preserve">à </w:t>
      </w:r>
      <w:r>
        <w:rPr>
          <w:rFonts w:ascii="Book Antiqua"/>
          <w:rtl w:val="0"/>
          <w:lang w:val="it-IT"/>
        </w:rPr>
        <w:t>di verifica di laboratorio e di verifica di campo, appunto per verificare il processo sito-specifico.</w:t>
      </w:r>
    </w:p>
    <w:p>
      <w:pPr>
        <w:pStyle w:val="Normal"/>
        <w:ind w:left="567" w:right="567" w:firstLine="0"/>
        <w:jc w:val="both"/>
        <w:rPr>
          <w:rFonts w:ascii="Book Antiqua" w:cs="Book Antiqua" w:hAnsi="Book Antiqua" w:eastAsia="Book Antiqua"/>
        </w:rPr>
      </w:pPr>
      <w:r>
        <w:rPr>
          <w:rFonts w:ascii="Book Antiqua"/>
          <w:rtl w:val="0"/>
          <w:lang w:val="it-IT"/>
        </w:rPr>
        <w:t>Il periodo di tempo della verifica, di tre anni, ha portato una piccola variazione di questo progetto, variante non sostanziale, essenzialmente sull'utilizzo di un determinato reagente [</w:t>
      </w:r>
      <w:r>
        <w:rPr>
          <w:rFonts w:hAnsi="Book Antiqua" w:hint="default"/>
          <w:rtl w:val="0"/>
          <w:lang w:val="it-IT"/>
        </w:rPr>
        <w:t>…</w:t>
      </w:r>
      <w:r>
        <w:rPr>
          <w:rFonts w:ascii="Book Antiqua"/>
          <w:rtl w:val="0"/>
          <w:lang w:val="it-IT"/>
        </w:rPr>
        <w:t>] Dopo quest'approvazione a gennaio 2014, a maggio 2014, l'Ecoambiente ha avviato queste attivit</w:t>
      </w:r>
      <w:r>
        <w:rPr>
          <w:rFonts w:hAnsi="Book Antiqua" w:hint="default"/>
          <w:rtl w:val="0"/>
          <w:lang w:val="it-IT"/>
        </w:rPr>
        <w:t xml:space="preserve">à </w:t>
      </w:r>
      <w:r>
        <w:rPr>
          <w:rFonts w:ascii="Book Antiqua"/>
          <w:rtl w:val="0"/>
          <w:lang w:val="it-IT"/>
        </w:rPr>
        <w:t xml:space="preserve">di immissione, inizialmente su un numero di otto </w:t>
      </w:r>
      <w:r>
        <w:rPr>
          <w:rFonts w:ascii="Book Antiqua"/>
          <w:i w:val="1"/>
          <w:iCs w:val="1"/>
          <w:rtl w:val="0"/>
          <w:lang w:val="it-IT"/>
        </w:rPr>
        <w:t>hotspot</w:t>
      </w:r>
      <w:r>
        <w:rPr>
          <w:rFonts w:ascii="Book Antiqua"/>
          <w:rtl w:val="0"/>
          <w:lang w:val="it-IT"/>
        </w:rPr>
        <w:t xml:space="preserve">, ossia otto punti critici individuati, su cui si </w:t>
      </w:r>
      <w:r>
        <w:rPr>
          <w:rFonts w:hAnsi="Book Antiqua" w:hint="default"/>
          <w:rtl w:val="0"/>
          <w:lang w:val="it-IT"/>
        </w:rPr>
        <w:t xml:space="preserve">è </w:t>
      </w:r>
      <w:r>
        <w:rPr>
          <w:rFonts w:ascii="Book Antiqua"/>
          <w:rtl w:val="0"/>
          <w:lang w:val="it-IT"/>
        </w:rPr>
        <w:t xml:space="preserve">agito direttamente; successivamente, su qualsiasi piezometro della rete piezometrica presente all'interno dell'area che risultasse con una concentrazione delle soglie di contaminazione superiore a quella di legge. </w:t>
      </w:r>
    </w:p>
    <w:p>
      <w:pPr>
        <w:pStyle w:val="Normal"/>
        <w:ind w:left="567" w:right="567" w:firstLine="0"/>
        <w:jc w:val="both"/>
        <w:rPr>
          <w:rFonts w:ascii="Book Antiqua" w:cs="Book Antiqua" w:hAnsi="Book Antiqua" w:eastAsia="Book Antiqua"/>
        </w:rPr>
      </w:pPr>
      <w:r>
        <w:rPr>
          <w:rFonts w:ascii="Book Antiqua"/>
          <w:rtl w:val="0"/>
          <w:lang w:val="it-IT"/>
        </w:rPr>
        <w:t xml:space="preserve">Di questi iniziali otto </w:t>
      </w:r>
      <w:r>
        <w:rPr>
          <w:rFonts w:ascii="Book Antiqua"/>
          <w:i w:val="1"/>
          <w:iCs w:val="1"/>
          <w:rtl w:val="0"/>
          <w:lang w:val="it-IT"/>
        </w:rPr>
        <w:t>hotspot</w:t>
      </w:r>
      <w:r>
        <w:rPr>
          <w:rFonts w:ascii="Book Antiqua"/>
          <w:rtl w:val="0"/>
          <w:lang w:val="it-IT"/>
        </w:rPr>
        <w:t xml:space="preserve"> ne sono rimasti tre, ossia la situazione </w:t>
      </w:r>
      <w:r>
        <w:rPr>
          <w:rFonts w:hAnsi="Book Antiqua" w:hint="default"/>
          <w:rtl w:val="0"/>
          <w:lang w:val="it-IT"/>
        </w:rPr>
        <w:t xml:space="preserve">è </w:t>
      </w:r>
      <w:r>
        <w:rPr>
          <w:rFonts w:ascii="Book Antiqua"/>
          <w:rtl w:val="0"/>
          <w:lang w:val="it-IT"/>
        </w:rPr>
        <w:t xml:space="preserve">migliorata notevolmente, non solo in quelle aree, ma anche in tutte le altre aree. Non si evidenziano, infatti, cosiddetti effetti </w:t>
      </w:r>
      <w:r>
        <w:rPr>
          <w:rFonts w:ascii="Book Antiqua"/>
          <w:i w:val="1"/>
          <w:iCs w:val="1"/>
          <w:rtl w:val="0"/>
          <w:lang w:val="it-IT"/>
        </w:rPr>
        <w:t>rebounding</w:t>
      </w:r>
      <w:r>
        <w:rPr>
          <w:rFonts w:ascii="Book Antiqua"/>
          <w:rtl w:val="0"/>
          <w:lang w:val="it-IT"/>
        </w:rPr>
        <w:t>, ossia non c'</w:t>
      </w:r>
      <w:r>
        <w:rPr>
          <w:rFonts w:hAnsi="Book Antiqua" w:hint="default"/>
          <w:rtl w:val="0"/>
          <w:lang w:val="it-IT"/>
        </w:rPr>
        <w:t xml:space="preserve">è </w:t>
      </w:r>
      <w:r>
        <w:rPr>
          <w:rFonts w:ascii="Book Antiqua"/>
          <w:rtl w:val="0"/>
          <w:lang w:val="it-IT"/>
        </w:rPr>
        <w:t>all'interno di quel piezometro un ritorno della contaminazione che superi nuovamente la concentrazione di soglia di contaminazione</w:t>
      </w:r>
      <w:r>
        <w:rPr>
          <w:rFonts w:hAnsi="Book Antiqua" w:hint="default"/>
          <w:rtl w:val="0"/>
          <w:lang w:val="it-IT"/>
        </w:rPr>
        <w:t>”</w:t>
      </w:r>
      <w:r>
        <w:rPr>
          <w:rFonts w:ascii="Book Antiqua"/>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Relativamente al citato procedimento penale in corso davanti al tribunale di Latina l</w:t>
      </w:r>
      <w:r>
        <w:rPr>
          <w:rFonts w:hAnsi="Book Antiqua" w:hint="default"/>
          <w:rtl w:val="0"/>
          <w:lang w:val="it-IT"/>
        </w:rPr>
        <w:t>’</w:t>
      </w:r>
      <w:r>
        <w:rPr>
          <w:rFonts w:ascii="Book Antiqua"/>
          <w:rtl w:val="0"/>
          <w:lang w:val="it-IT"/>
        </w:rPr>
        <w:t>amministratore delegato Pierpaolo Lombardi ha esposto il punto di vista dell</w:t>
      </w:r>
      <w:r>
        <w:rPr>
          <w:rFonts w:hAnsi="Book Antiqua" w:hint="default"/>
          <w:rtl w:val="0"/>
          <w:lang w:val="it-IT"/>
        </w:rPr>
        <w:t>’</w:t>
      </w:r>
      <w:r>
        <w:rPr>
          <w:rFonts w:ascii="Book Antiqua"/>
          <w:rtl w:val="0"/>
          <w:lang w:val="it-IT"/>
        </w:rPr>
        <w:t xml:space="preserve">azienda: </w:t>
      </w:r>
      <w:r>
        <w:rPr>
          <w:rFonts w:hAnsi="Book Antiqua" w:hint="default"/>
          <w:rtl w:val="0"/>
          <w:lang w:val="it-IT"/>
        </w:rPr>
        <w:t>“</w:t>
      </w:r>
      <w:r>
        <w:rPr>
          <w:rFonts w:ascii="Book Antiqua"/>
          <w:rtl w:val="0"/>
          <w:lang w:val="it-IT"/>
        </w:rPr>
        <w:t xml:space="preserve">Hanno avuto un'udienza a ottobre di quest'anno, ed </w:t>
      </w:r>
      <w:r>
        <w:rPr>
          <w:rFonts w:hAnsi="Book Antiqua" w:hint="default"/>
          <w:rtl w:val="0"/>
          <w:lang w:val="it-IT"/>
        </w:rPr>
        <w:t xml:space="preserve">è </w:t>
      </w:r>
      <w:r>
        <w:rPr>
          <w:rFonts w:ascii="Book Antiqua"/>
          <w:rtl w:val="0"/>
          <w:lang w:val="it-IT"/>
        </w:rPr>
        <w:t>stato rinviato il tutto al 17 aprile. Stanno andando avanti. Vedremo. Quanto alla perizia Munari, la conosco bene. Alla perizia Munari abbiamo risposto con una nostra controperizia. Ve ne faccio avere copia. Secondo noi, c'</w:t>
      </w:r>
      <w:r>
        <w:rPr>
          <w:rFonts w:hAnsi="Book Antiqua" w:hint="default"/>
          <w:rtl w:val="0"/>
          <w:lang w:val="it-IT"/>
        </w:rPr>
        <w:t xml:space="preserve">è </w:t>
      </w:r>
      <w:r>
        <w:rPr>
          <w:rFonts w:ascii="Book Antiqua"/>
          <w:rtl w:val="0"/>
          <w:lang w:val="it-IT"/>
        </w:rPr>
        <w:t>una serie di elementi non considerati correttamente</w:t>
      </w:r>
      <w:r>
        <w:rPr>
          <w:rFonts w:hAnsi="Book Antiqua" w:hint="default"/>
          <w:rtl w:val="0"/>
          <w:lang w:val="it-IT"/>
        </w:rPr>
        <w:t>”</w:t>
      </w:r>
      <w:r>
        <w:rPr>
          <w:rFonts w:ascii="Book Antiqua"/>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Infine Lombardi ha citato la richiesta di autorizzazione per l</w:t>
      </w:r>
      <w:r>
        <w:rPr>
          <w:rFonts w:hAnsi="Book Antiqua" w:hint="default"/>
          <w:rtl w:val="0"/>
          <w:lang w:val="it-IT"/>
        </w:rPr>
        <w:t>’</w:t>
      </w:r>
      <w:r>
        <w:rPr>
          <w:rFonts w:ascii="Book Antiqua"/>
          <w:rtl w:val="0"/>
          <w:lang w:val="it-IT"/>
        </w:rPr>
        <w:t xml:space="preserve">ampliamento della discarica presentata alla regione Lazio: </w:t>
      </w:r>
      <w:r>
        <w:rPr>
          <w:rFonts w:hAnsi="Book Antiqua" w:hint="default"/>
          <w:rtl w:val="0"/>
          <w:lang w:val="it-IT"/>
        </w:rPr>
        <w:t>“</w:t>
      </w:r>
      <w:r>
        <w:rPr>
          <w:rFonts w:ascii="Book Antiqua"/>
          <w:rtl w:val="0"/>
          <w:lang w:val="it-IT"/>
        </w:rPr>
        <w:t xml:space="preserve">Siamo in attesa di un'autorizzazione in fase abbastanza avanzata. </w:t>
      </w:r>
      <w:r>
        <w:rPr>
          <w:rFonts w:hAnsi="Book Antiqua" w:hint="default"/>
          <w:rtl w:val="0"/>
          <w:lang w:val="it-IT"/>
        </w:rPr>
        <w:t xml:space="preserve">È </w:t>
      </w:r>
      <w:r>
        <w:rPr>
          <w:rFonts w:ascii="Book Antiqua"/>
          <w:rtl w:val="0"/>
          <w:lang w:val="it-IT"/>
        </w:rPr>
        <w:t>una sopraelevazione, che vedete sulla cartina, il lotto B, di ulteriori 400.000 metri cubi, tra l'altro previsti e inseriti nella determina n. 199 della giunta regionale sul fabbisogno della regione Lazio. Viene inserita tra le possibilit</w:t>
      </w:r>
      <w:r>
        <w:rPr>
          <w:rFonts w:hAnsi="Book Antiqua" w:hint="default"/>
          <w:rtl w:val="0"/>
          <w:lang w:val="it-IT"/>
        </w:rPr>
        <w:t>à</w:t>
      </w:r>
      <w:r>
        <w:rPr>
          <w:rFonts w:ascii="Book Antiqua"/>
          <w:rtl w:val="0"/>
          <w:lang w:val="it-IT"/>
        </w:rPr>
        <w:t xml:space="preserve">, ma non </w:t>
      </w:r>
      <w:r>
        <w:rPr>
          <w:rFonts w:hAnsi="Book Antiqua" w:hint="default"/>
          <w:rtl w:val="0"/>
          <w:lang w:val="it-IT"/>
        </w:rPr>
        <w:t xml:space="preserve">è </w:t>
      </w:r>
      <w:r>
        <w:rPr>
          <w:rFonts w:ascii="Book Antiqua"/>
          <w:rtl w:val="0"/>
          <w:lang w:val="it-IT"/>
        </w:rPr>
        <w:t>ancora autorizzata, perch</w:t>
      </w:r>
      <w:r>
        <w:rPr>
          <w:rFonts w:hAnsi="Book Antiqua" w:hint="default"/>
          <w:rtl w:val="0"/>
          <w:lang w:val="it-IT"/>
        </w:rPr>
        <w:t xml:space="preserve">é </w:t>
      </w:r>
      <w:r>
        <w:rPr>
          <w:rFonts w:ascii="Book Antiqua"/>
          <w:rtl w:val="0"/>
          <w:lang w:val="it-IT"/>
        </w:rPr>
        <w:t>ha ancora bisogno di alcuni passaggi dal punto di vista strutturale</w:t>
      </w:r>
      <w:r>
        <w:rPr>
          <w:rFonts w:hAnsi="Book Antiqua" w:hint="default"/>
          <w:rtl w:val="0"/>
          <w:lang w:val="it-IT"/>
        </w:rPr>
        <w:t>”</w:t>
      </w:r>
      <w:r>
        <w:rPr>
          <w:rFonts w:ascii="Book Antiqua"/>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Le due societ</w:t>
      </w:r>
      <w:r>
        <w:rPr>
          <w:rFonts w:hAnsi="Book Antiqua" w:hint="default"/>
          <w:rtl w:val="0"/>
          <w:lang w:val="it-IT"/>
        </w:rPr>
        <w:t xml:space="preserve">à </w:t>
      </w:r>
      <w:r>
        <w:rPr>
          <w:rFonts w:ascii="Book Antiqua"/>
          <w:rtl w:val="0"/>
          <w:lang w:val="it-IT"/>
        </w:rPr>
        <w:t>non hanno mai fatto riferimento, nel corso delle loro audizioni, alle problematiche relative alla presenza di rifiuti industriali pericolosi negli invasi da loro gestiti.</w:t>
      </w:r>
    </w:p>
    <w:p>
      <w:pPr>
        <w:pStyle w:val="Normal"/>
        <w:ind w:left="567" w:right="567" w:firstLine="0"/>
        <w:jc w:val="both"/>
        <w:rPr>
          <w:rFonts w:ascii="Book Antiqua" w:cs="Book Antiqua" w:hAnsi="Book Antiqua" w:eastAsia="Book Antiqua"/>
        </w:rPr>
      </w:pPr>
      <w:r>
        <w:rPr>
          <w:rFonts w:ascii="Book Antiqua"/>
          <w:rtl w:val="0"/>
          <w:lang w:val="it-IT"/>
        </w:rPr>
        <w:t>La Commissione ha audito, l</w:t>
      </w:r>
      <w:r>
        <w:rPr>
          <w:rFonts w:hAnsi="Book Antiqua" w:hint="default"/>
          <w:rtl w:val="0"/>
          <w:lang w:val="it-IT"/>
        </w:rPr>
        <w:t>’</w:t>
      </w:r>
      <w:r>
        <w:rPr>
          <w:rFonts w:ascii="Book Antiqua"/>
          <w:rtl w:val="0"/>
          <w:lang w:val="it-IT"/>
        </w:rPr>
        <w:t>11 luglio 2016, la dirigente dell'area ciclo integrato rifiuti della regione Lazio, Flaminia Tosini, che sulla discarica di Borgo Montello ha reso le dichiarazioni di seguito sintetizzate:</w:t>
      </w:r>
    </w:p>
    <w:p>
      <w:pPr>
        <w:pStyle w:val="Normal"/>
        <w:ind w:left="567" w:right="567" w:firstLine="0"/>
        <w:jc w:val="both"/>
        <w:rPr>
          <w:rFonts w:ascii="Book Antiqua" w:cs="Book Antiqua" w:hAnsi="Book Antiqua" w:eastAsia="Book Antiqua"/>
        </w:rPr>
      </w:pPr>
      <w:r>
        <w:rPr>
          <w:rFonts w:hAnsi="Book Antiqua" w:hint="default"/>
          <w:rtl w:val="0"/>
          <w:lang w:val="it-IT"/>
        </w:rPr>
        <w:t xml:space="preserve"> “</w:t>
      </w:r>
      <w:r>
        <w:rPr>
          <w:rFonts w:ascii="Book Antiqua"/>
          <w:rtl w:val="0"/>
          <w:lang w:val="it-IT"/>
        </w:rPr>
        <w:t xml:space="preserve">Il tema di Borgo Montello, per quanto concerne il mio ufficio, riguarda fondamentalmente due impianti di discarica limitrofi l'uno all'altro, ossia la discarica di Indeco e la discarica di Ecoambiente. </w:t>
      </w:r>
    </w:p>
    <w:p>
      <w:pPr>
        <w:pStyle w:val="Normal"/>
        <w:ind w:left="567" w:right="567" w:firstLine="0"/>
        <w:jc w:val="both"/>
        <w:rPr>
          <w:rFonts w:ascii="Book Antiqua" w:cs="Book Antiqua" w:hAnsi="Book Antiqua" w:eastAsia="Book Antiqua"/>
        </w:rPr>
      </w:pPr>
      <w:r>
        <w:rPr>
          <w:rFonts w:ascii="Book Antiqua"/>
          <w:rtl w:val="0"/>
          <w:lang w:val="it-IT"/>
        </w:rPr>
        <w:t>Le due discariche sono al momento praticamente senza possibilit</w:t>
      </w:r>
      <w:r>
        <w:rPr>
          <w:rFonts w:hAnsi="Book Antiqua" w:hint="default"/>
          <w:rtl w:val="0"/>
          <w:lang w:val="it-IT"/>
        </w:rPr>
        <w:t xml:space="preserve">à </w:t>
      </w:r>
      <w:r>
        <w:rPr>
          <w:rFonts w:ascii="Book Antiqua"/>
          <w:rtl w:val="0"/>
          <w:lang w:val="it-IT"/>
        </w:rPr>
        <w:t xml:space="preserve">di ricezione rifiuti per esaurimento delle volumetrie autorizzate. </w:t>
      </w:r>
    </w:p>
    <w:p>
      <w:pPr>
        <w:pStyle w:val="Normal"/>
        <w:ind w:left="567" w:right="567" w:firstLine="0"/>
        <w:jc w:val="both"/>
        <w:rPr>
          <w:rFonts w:ascii="Book Antiqua" w:cs="Book Antiqua" w:hAnsi="Book Antiqua" w:eastAsia="Book Antiqua"/>
        </w:rPr>
      </w:pPr>
      <w:r>
        <w:rPr>
          <w:rFonts w:ascii="Book Antiqua"/>
          <w:rtl w:val="0"/>
          <w:lang w:val="it-IT"/>
        </w:rPr>
        <w:t xml:space="preserve">La discarica di Indeco </w:t>
      </w:r>
      <w:r>
        <w:rPr>
          <w:rFonts w:hAnsi="Book Antiqua" w:hint="default"/>
          <w:rtl w:val="0"/>
          <w:lang w:val="it-IT"/>
        </w:rPr>
        <w:t xml:space="preserve">è </w:t>
      </w:r>
      <w:r>
        <w:rPr>
          <w:rFonts w:ascii="Book Antiqua"/>
          <w:rtl w:val="0"/>
          <w:lang w:val="it-IT"/>
        </w:rPr>
        <w:t>una discarica addirittura sequestrata dalla magistratura, al momento, perch</w:t>
      </w:r>
      <w:r>
        <w:rPr>
          <w:rFonts w:hAnsi="Book Antiqua" w:hint="default"/>
          <w:rtl w:val="0"/>
          <w:lang w:val="it-IT"/>
        </w:rPr>
        <w:t xml:space="preserve">é </w:t>
      </w:r>
      <w:r>
        <w:rPr>
          <w:rFonts w:ascii="Book Antiqua"/>
          <w:rtl w:val="0"/>
          <w:lang w:val="it-IT"/>
        </w:rPr>
        <w:t xml:space="preserve">nel corso di verifiche </w:t>
      </w:r>
      <w:r>
        <w:rPr>
          <w:rFonts w:hAnsi="Book Antiqua" w:hint="default"/>
          <w:rtl w:val="0"/>
          <w:lang w:val="it-IT"/>
        </w:rPr>
        <w:t xml:space="preserve">è </w:t>
      </w:r>
      <w:r>
        <w:rPr>
          <w:rFonts w:ascii="Book Antiqua"/>
          <w:rtl w:val="0"/>
          <w:lang w:val="it-IT"/>
        </w:rPr>
        <w:t xml:space="preserve">risultato che vi siano stati conferiti rifiuti per una volumetria superiore a quella consentita, con un superamento delle quote finali di abbancato dell'ordine di 4-5 metri rispetto alla media. Al momento, quindi, la discarica </w:t>
      </w:r>
      <w:r>
        <w:rPr>
          <w:rFonts w:hAnsi="Book Antiqua" w:hint="default"/>
          <w:rtl w:val="0"/>
          <w:lang w:val="it-IT"/>
        </w:rPr>
        <w:t xml:space="preserve">è </w:t>
      </w:r>
      <w:r>
        <w:rPr>
          <w:rFonts w:ascii="Book Antiqua"/>
          <w:rtl w:val="0"/>
          <w:lang w:val="it-IT"/>
        </w:rPr>
        <w:t>sequestrata e non abbiamo altre notizie in merito. Il conferimento di rifiuti era gi</w:t>
      </w:r>
      <w:r>
        <w:rPr>
          <w:rFonts w:hAnsi="Book Antiqua" w:hint="default"/>
          <w:rtl w:val="0"/>
          <w:lang w:val="it-IT"/>
        </w:rPr>
        <w:t xml:space="preserve">à </w:t>
      </w:r>
      <w:r>
        <w:rPr>
          <w:rFonts w:ascii="Book Antiqua"/>
          <w:rtl w:val="0"/>
          <w:lang w:val="it-IT"/>
        </w:rPr>
        <w:t xml:space="preserve">terminato dall'anno scorso rispetto ai volumi che avevo monitorato, anche personalmente da quando ci sono io, ossia da un anno e mezzo. </w:t>
      </w:r>
      <w:r>
        <w:rPr>
          <w:rFonts w:hAnsi="Times New Roman" w:hint="default"/>
          <w:rtl w:val="0"/>
          <w:lang w:val="it-IT"/>
        </w:rPr>
        <w:t>  </w:t>
      </w:r>
    </w:p>
    <w:p>
      <w:pPr>
        <w:pStyle w:val="Normal"/>
        <w:ind w:left="567" w:right="567" w:firstLine="0"/>
        <w:jc w:val="both"/>
        <w:rPr>
          <w:rFonts w:ascii="Book Antiqua" w:cs="Book Antiqua" w:hAnsi="Book Antiqua" w:eastAsia="Book Antiqua"/>
        </w:rPr>
      </w:pPr>
      <w:r>
        <w:rPr>
          <w:rFonts w:ascii="Book Antiqua"/>
          <w:rtl w:val="0"/>
          <w:lang w:val="it-IT"/>
        </w:rPr>
        <w:t xml:space="preserve">Per quanto riguarda, invece, l'altra discarica anch'essa ha terminato le volumetrie consentite e al momento non sta ricevendo rifiuti. </w:t>
      </w:r>
    </w:p>
    <w:p>
      <w:pPr>
        <w:pStyle w:val="Normal"/>
        <w:ind w:left="567" w:right="567" w:firstLine="0"/>
        <w:jc w:val="both"/>
        <w:rPr>
          <w:rFonts w:ascii="Book Antiqua" w:cs="Book Antiqua" w:hAnsi="Book Antiqua" w:eastAsia="Book Antiqua"/>
        </w:rPr>
      </w:pPr>
      <w:r>
        <w:rPr>
          <w:rFonts w:ascii="Book Antiqua"/>
          <w:rtl w:val="0"/>
          <w:lang w:val="it-IT"/>
        </w:rPr>
        <w:t>Questa situazione ha messo in difficolt</w:t>
      </w:r>
      <w:r>
        <w:rPr>
          <w:rFonts w:hAnsi="Book Antiqua" w:hint="default"/>
          <w:rtl w:val="0"/>
          <w:lang w:val="it-IT"/>
        </w:rPr>
        <w:t xml:space="preserve">à </w:t>
      </w:r>
      <w:r>
        <w:rPr>
          <w:rFonts w:ascii="Book Antiqua"/>
          <w:rtl w:val="0"/>
          <w:lang w:val="it-IT"/>
        </w:rPr>
        <w:t xml:space="preserve">l'ATO della provincia di Latina come destinazione finale degli eventuali scarti che derivano dal trattamento dei rifiuti urbani. </w:t>
      </w:r>
      <w:r>
        <w:rPr>
          <w:rFonts w:hAnsi="Times New Roman" w:hint="default"/>
          <w:rtl w:val="0"/>
          <w:lang w:val="it-IT"/>
        </w:rPr>
        <w:t>  </w:t>
      </w:r>
    </w:p>
    <w:p>
      <w:pPr>
        <w:pStyle w:val="Normal"/>
        <w:ind w:left="567" w:right="567" w:firstLine="0"/>
        <w:jc w:val="both"/>
        <w:rPr>
          <w:rFonts w:ascii="Book Antiqua" w:cs="Book Antiqua" w:hAnsi="Book Antiqua" w:eastAsia="Book Antiqua"/>
        </w:rPr>
      </w:pPr>
      <w:r>
        <w:rPr>
          <w:rFonts w:ascii="Book Antiqua"/>
          <w:rtl w:val="0"/>
          <w:lang w:val="it-IT"/>
        </w:rPr>
        <w:t>Le due societ</w:t>
      </w:r>
      <w:r>
        <w:rPr>
          <w:rFonts w:hAnsi="Book Antiqua" w:hint="default"/>
          <w:rtl w:val="0"/>
          <w:lang w:val="it-IT"/>
        </w:rPr>
        <w:t xml:space="preserve">à </w:t>
      </w:r>
      <w:r>
        <w:rPr>
          <w:rFonts w:ascii="Book Antiqua"/>
          <w:rtl w:val="0"/>
          <w:lang w:val="it-IT"/>
        </w:rPr>
        <w:t>avevano presentato, gi</w:t>
      </w:r>
      <w:r>
        <w:rPr>
          <w:rFonts w:hAnsi="Book Antiqua" w:hint="default"/>
          <w:rtl w:val="0"/>
          <w:lang w:val="it-IT"/>
        </w:rPr>
        <w:t xml:space="preserve">à </w:t>
      </w:r>
      <w:r>
        <w:rPr>
          <w:rFonts w:ascii="Book Antiqua"/>
          <w:rtl w:val="0"/>
          <w:lang w:val="it-IT"/>
        </w:rPr>
        <w:t xml:space="preserve">dall'anno scorso, una richiesta di valutazione di impatto ambientale per l'ampliamento delle discariche in sopraelevazione e in ampliamento. </w:t>
      </w:r>
    </w:p>
    <w:p>
      <w:pPr>
        <w:pStyle w:val="Normal"/>
        <w:ind w:left="567" w:right="567" w:firstLine="0"/>
        <w:jc w:val="both"/>
        <w:rPr>
          <w:rFonts w:ascii="Book Antiqua" w:cs="Book Antiqua" w:hAnsi="Book Antiqua" w:eastAsia="Book Antiqua"/>
        </w:rPr>
      </w:pPr>
      <w:r>
        <w:rPr>
          <w:rFonts w:ascii="Book Antiqua"/>
          <w:rtl w:val="0"/>
          <w:lang w:val="it-IT"/>
        </w:rPr>
        <w:t>I procedimenti sono al momento fermi presso l'ufficio VIA perch</w:t>
      </w:r>
      <w:r>
        <w:rPr>
          <w:rFonts w:hAnsi="Book Antiqua" w:hint="default"/>
          <w:rtl w:val="0"/>
          <w:lang w:val="it-IT"/>
        </w:rPr>
        <w:t xml:space="preserve">é </w:t>
      </w:r>
      <w:r>
        <w:rPr>
          <w:rFonts w:ascii="Book Antiqua"/>
          <w:rtl w:val="0"/>
          <w:lang w:val="it-IT"/>
        </w:rPr>
        <w:t>la regione Lazio mancava anche di una programmazione adeguata; c'era un piano di rifiuti che indicava delle volumetrie previste di gestione, ma che era rimasto fermo e non aveva avuto pi</w:t>
      </w:r>
      <w:r>
        <w:rPr>
          <w:rFonts w:hAnsi="Book Antiqua" w:hint="default"/>
          <w:rtl w:val="0"/>
          <w:lang w:val="it-IT"/>
        </w:rPr>
        <w:t xml:space="preserve">ù </w:t>
      </w:r>
      <w:r>
        <w:rPr>
          <w:rFonts w:ascii="Book Antiqua"/>
          <w:rtl w:val="0"/>
          <w:lang w:val="it-IT"/>
        </w:rPr>
        <w:t xml:space="preserve">aggiornamenti legati a questo aspetto. </w:t>
      </w:r>
      <w:r>
        <w:rPr>
          <w:rFonts w:hAnsi="Times New Roman" w:hint="default"/>
          <w:rtl w:val="0"/>
          <w:lang w:val="it-IT"/>
        </w:rPr>
        <w:t> </w:t>
      </w:r>
    </w:p>
    <w:p>
      <w:pPr>
        <w:pStyle w:val="Normal"/>
        <w:ind w:left="567" w:right="567" w:firstLine="0"/>
        <w:jc w:val="both"/>
        <w:rPr>
          <w:rFonts w:ascii="Book Antiqua" w:cs="Book Antiqua" w:hAnsi="Book Antiqua" w:eastAsia="Book Antiqua"/>
        </w:rPr>
      </w:pPr>
      <w:r>
        <w:rPr>
          <w:rFonts w:ascii="Book Antiqua"/>
          <w:rtl w:val="0"/>
          <w:lang w:val="it-IT"/>
        </w:rPr>
        <w:t xml:space="preserve">[Su Borgo Montello e le procedure per la chiusura delle discariche] per quanto riguarda la discarica della Indeco, quella sequestrata, </w:t>
      </w:r>
      <w:r>
        <w:rPr>
          <w:rFonts w:hAnsi="Book Antiqua" w:hint="default"/>
          <w:rtl w:val="0"/>
          <w:lang w:val="it-IT"/>
        </w:rPr>
        <w:t xml:space="preserve">è </w:t>
      </w:r>
      <w:r>
        <w:rPr>
          <w:rFonts w:ascii="Book Antiqua"/>
          <w:rtl w:val="0"/>
          <w:lang w:val="it-IT"/>
        </w:rPr>
        <w:t>stato realizzato il capping provvisorio ancora prima del sequestro. Quindi [</w:t>
      </w:r>
      <w:r>
        <w:rPr>
          <w:rFonts w:hAnsi="Book Antiqua" w:hint="default"/>
          <w:rtl w:val="0"/>
          <w:lang w:val="it-IT"/>
        </w:rPr>
        <w:t>…</w:t>
      </w:r>
      <w:r>
        <w:rPr>
          <w:rFonts w:ascii="Book Antiqua"/>
          <w:rtl w:val="0"/>
          <w:lang w:val="it-IT"/>
        </w:rPr>
        <w:t xml:space="preserve">] in questo momento la discarica </w:t>
      </w:r>
      <w:r>
        <w:rPr>
          <w:rFonts w:hAnsi="Book Antiqua" w:hint="default"/>
          <w:rtl w:val="0"/>
          <w:lang w:val="it-IT"/>
        </w:rPr>
        <w:t xml:space="preserve">è </w:t>
      </w:r>
      <w:r>
        <w:rPr>
          <w:rFonts w:ascii="Book Antiqua"/>
          <w:rtl w:val="0"/>
          <w:lang w:val="it-IT"/>
        </w:rPr>
        <w:t>sequestrata, ma il capping provvisorio, cos</w:t>
      </w:r>
      <w:r>
        <w:rPr>
          <w:rFonts w:hAnsi="Book Antiqua" w:hint="default"/>
          <w:rtl w:val="0"/>
          <w:lang w:val="it-IT"/>
        </w:rPr>
        <w:t xml:space="preserve">ì </w:t>
      </w:r>
      <w:r>
        <w:rPr>
          <w:rFonts w:ascii="Book Antiqua"/>
          <w:rtl w:val="0"/>
          <w:lang w:val="it-IT"/>
        </w:rPr>
        <w:t>come previsto dal n. 36, era stato gi</w:t>
      </w:r>
      <w:r>
        <w:rPr>
          <w:rFonts w:hAnsi="Book Antiqua" w:hint="default"/>
          <w:rtl w:val="0"/>
          <w:lang w:val="it-IT"/>
        </w:rPr>
        <w:t xml:space="preserve">à </w:t>
      </w:r>
      <w:r>
        <w:rPr>
          <w:rFonts w:ascii="Book Antiqua"/>
          <w:rtl w:val="0"/>
          <w:lang w:val="it-IT"/>
        </w:rPr>
        <w:t>realizzato in precedenza. L'altra societ</w:t>
      </w:r>
      <w:r>
        <w:rPr>
          <w:rFonts w:hAnsi="Book Antiqua" w:hint="default"/>
          <w:rtl w:val="0"/>
          <w:lang w:val="it-IT"/>
        </w:rPr>
        <w:t xml:space="preserve">à </w:t>
      </w:r>
      <w:r>
        <w:rPr>
          <w:rFonts w:ascii="Book Antiqua"/>
          <w:rtl w:val="0"/>
          <w:lang w:val="it-IT"/>
        </w:rPr>
        <w:t>ha portato pi</w:t>
      </w:r>
      <w:r>
        <w:rPr>
          <w:rFonts w:hAnsi="Book Antiqua" w:hint="default"/>
          <w:rtl w:val="0"/>
          <w:lang w:val="it-IT"/>
        </w:rPr>
        <w:t xml:space="preserve">ù </w:t>
      </w:r>
      <w:r>
        <w:rPr>
          <w:rFonts w:ascii="Book Antiqua"/>
          <w:rtl w:val="0"/>
          <w:lang w:val="it-IT"/>
        </w:rPr>
        <w:t xml:space="preserve">a lungo le volumetrie disponibili. Al momento sono ancora disponibili poche migliaia di tonnellate. </w:t>
      </w:r>
      <w:r>
        <w:rPr>
          <w:rFonts w:hAnsi="Book Antiqua" w:hint="default"/>
          <w:rtl w:val="0"/>
          <w:lang w:val="it-IT"/>
        </w:rPr>
        <w:t xml:space="preserve">È </w:t>
      </w:r>
      <w:r>
        <w:rPr>
          <w:rFonts w:ascii="Book Antiqua"/>
          <w:rtl w:val="0"/>
          <w:lang w:val="it-IT"/>
        </w:rPr>
        <w:t>questa pi</w:t>
      </w:r>
      <w:r>
        <w:rPr>
          <w:rFonts w:hAnsi="Book Antiqua" w:hint="default"/>
          <w:rtl w:val="0"/>
          <w:lang w:val="it-IT"/>
        </w:rPr>
        <w:t xml:space="preserve">ù </w:t>
      </w:r>
      <w:r>
        <w:rPr>
          <w:rFonts w:ascii="Book Antiqua"/>
          <w:rtl w:val="0"/>
          <w:lang w:val="it-IT"/>
        </w:rPr>
        <w:t>un'ipotesi, in attesa di verificare se la VIA uscir</w:t>
      </w:r>
      <w:r>
        <w:rPr>
          <w:rFonts w:hAnsi="Book Antiqua" w:hint="default"/>
          <w:rtl w:val="0"/>
          <w:lang w:val="it-IT"/>
        </w:rPr>
        <w:t xml:space="preserve">à </w:t>
      </w:r>
      <w:r>
        <w:rPr>
          <w:rFonts w:ascii="Book Antiqua"/>
          <w:rtl w:val="0"/>
          <w:lang w:val="it-IT"/>
        </w:rPr>
        <w:t>o non uscir</w:t>
      </w:r>
      <w:r>
        <w:rPr>
          <w:rFonts w:hAnsi="Book Antiqua" w:hint="default"/>
          <w:rtl w:val="0"/>
          <w:lang w:val="it-IT"/>
        </w:rPr>
        <w:t>à</w:t>
      </w:r>
      <w:r>
        <w:rPr>
          <w:rFonts w:ascii="Book Antiqua"/>
          <w:rtl w:val="0"/>
          <w:lang w:val="it-IT"/>
        </w:rPr>
        <w:t xml:space="preserve">. Questa </w:t>
      </w:r>
      <w:r>
        <w:rPr>
          <w:rFonts w:hAnsi="Book Antiqua" w:hint="default"/>
          <w:rtl w:val="0"/>
          <w:lang w:val="it-IT"/>
        </w:rPr>
        <w:t xml:space="preserve">è </w:t>
      </w:r>
      <w:r>
        <w:rPr>
          <w:rFonts w:ascii="Book Antiqua"/>
          <w:rtl w:val="0"/>
          <w:lang w:val="it-IT"/>
        </w:rPr>
        <w:t>una valutazione che dobbiamo fare, ma dipende fondamentalmente, oltre che dal fabbisogno, come ho detto prima, anche dalla valutazione sul procedimento di bonifica: sono aspetti collegati.</w:t>
      </w:r>
    </w:p>
    <w:p>
      <w:pPr>
        <w:pStyle w:val="Normal"/>
        <w:ind w:left="567" w:right="567" w:firstLine="0"/>
        <w:jc w:val="both"/>
        <w:rPr>
          <w:rFonts w:ascii="Book Antiqua" w:cs="Book Antiqua" w:hAnsi="Book Antiqua" w:eastAsia="Book Antiqua"/>
        </w:rPr>
      </w:pPr>
      <w:r>
        <w:rPr>
          <w:rFonts w:ascii="Book Antiqua"/>
          <w:rtl w:val="0"/>
          <w:lang w:val="it-IT"/>
        </w:rPr>
        <w:t>Per quanto riguarda la bonifica [di Borgo Montello] in questo momento nel sito c'</w:t>
      </w:r>
      <w:r>
        <w:rPr>
          <w:rFonts w:hAnsi="Book Antiqua" w:hint="default"/>
          <w:rtl w:val="0"/>
          <w:lang w:val="it-IT"/>
        </w:rPr>
        <w:t xml:space="preserve">è </w:t>
      </w:r>
      <w:r>
        <w:rPr>
          <w:rFonts w:ascii="Book Antiqua"/>
          <w:rtl w:val="0"/>
          <w:lang w:val="it-IT"/>
        </w:rPr>
        <w:t xml:space="preserve">una procedura di bonifica in corso. Il sito perimetrato, come zona soggetta a bonifica, </w:t>
      </w:r>
      <w:r>
        <w:rPr>
          <w:rFonts w:hAnsi="Book Antiqua" w:hint="default"/>
          <w:rtl w:val="0"/>
          <w:lang w:val="it-IT"/>
        </w:rPr>
        <w:t xml:space="preserve">è </w:t>
      </w:r>
      <w:r>
        <w:rPr>
          <w:rFonts w:ascii="Book Antiqua"/>
          <w:rtl w:val="0"/>
          <w:lang w:val="it-IT"/>
        </w:rPr>
        <w:t xml:space="preserve">quello che viene chiamato S0 e ricade all'interno della discarica attualmente gestita da Ecoambiente. All'epoca non c'era la Ecoambiente che gestiva: il sito </w:t>
      </w:r>
      <w:r>
        <w:rPr>
          <w:rFonts w:hAnsi="Book Antiqua" w:hint="default"/>
          <w:rtl w:val="0"/>
          <w:lang w:val="it-IT"/>
        </w:rPr>
        <w:t xml:space="preserve">è </w:t>
      </w:r>
      <w:r>
        <w:rPr>
          <w:rFonts w:ascii="Book Antiqua"/>
          <w:rtl w:val="0"/>
          <w:lang w:val="it-IT"/>
        </w:rPr>
        <w:t xml:space="preserve">l'S0. </w:t>
      </w:r>
      <w:r>
        <w:rPr>
          <w:rFonts w:hAnsi="Times New Roman" w:hint="default"/>
          <w:rtl w:val="0"/>
          <w:lang w:val="it-IT"/>
        </w:rPr>
        <w:t>  </w:t>
      </w:r>
    </w:p>
    <w:p>
      <w:pPr>
        <w:pStyle w:val="Normal"/>
        <w:ind w:left="567" w:right="567" w:firstLine="0"/>
        <w:jc w:val="both"/>
        <w:rPr>
          <w:rFonts w:ascii="Book Antiqua" w:cs="Book Antiqua" w:hAnsi="Book Antiqua" w:eastAsia="Book Antiqua"/>
        </w:rPr>
      </w:pPr>
      <w:r>
        <w:rPr>
          <w:rFonts w:ascii="Book Antiqua"/>
          <w:rtl w:val="0"/>
          <w:lang w:val="it-IT"/>
        </w:rPr>
        <w:t xml:space="preserve">Per quello che mi risulta dalle carte che ho letto </w:t>
      </w:r>
      <w:r>
        <w:rPr>
          <w:rFonts w:hAnsi="Book Antiqua" w:hint="default"/>
          <w:rtl w:val="0"/>
          <w:lang w:val="it-IT"/>
        </w:rPr>
        <w:t xml:space="preserve">– </w:t>
      </w:r>
      <w:r>
        <w:rPr>
          <w:rFonts w:ascii="Book Antiqua"/>
          <w:rtl w:val="0"/>
          <w:lang w:val="it-IT"/>
        </w:rPr>
        <w:t>perch</w:t>
      </w:r>
      <w:r>
        <w:rPr>
          <w:rFonts w:hAnsi="Book Antiqua" w:hint="default"/>
          <w:rtl w:val="0"/>
          <w:lang w:val="it-IT"/>
        </w:rPr>
        <w:t xml:space="preserve">é </w:t>
      </w:r>
      <w:r>
        <w:rPr>
          <w:rFonts w:ascii="Book Antiqua"/>
          <w:rtl w:val="0"/>
          <w:lang w:val="it-IT"/>
        </w:rPr>
        <w:t xml:space="preserve">questo </w:t>
      </w:r>
      <w:r>
        <w:rPr>
          <w:rFonts w:hAnsi="Book Antiqua" w:hint="default"/>
          <w:rtl w:val="0"/>
          <w:lang w:val="it-IT"/>
        </w:rPr>
        <w:t xml:space="preserve">è </w:t>
      </w:r>
      <w:r>
        <w:rPr>
          <w:rFonts w:ascii="Book Antiqua"/>
          <w:rtl w:val="0"/>
          <w:lang w:val="it-IT"/>
        </w:rPr>
        <w:t xml:space="preserve">precedente al mio arrivo </w:t>
      </w:r>
      <w:r>
        <w:rPr>
          <w:rFonts w:hAnsi="Book Antiqua" w:hint="default"/>
          <w:rtl w:val="0"/>
          <w:lang w:val="it-IT"/>
        </w:rPr>
        <w:t xml:space="preserve">– </w:t>
      </w:r>
      <w:r>
        <w:rPr>
          <w:rFonts w:ascii="Book Antiqua"/>
          <w:rtl w:val="0"/>
          <w:lang w:val="it-IT"/>
        </w:rPr>
        <w:t>sono stati fatti dei monitoraggi e delle verifiche su S0 che non hanno rilevato alcun tipo di problema; anche alcune masse metalliche, che erano state trovate e riferite, non hanno evidenziato questi problemi. Attualmente c'</w:t>
      </w:r>
      <w:r>
        <w:rPr>
          <w:rFonts w:hAnsi="Book Antiqua" w:hint="default"/>
          <w:rtl w:val="0"/>
          <w:lang w:val="it-IT"/>
        </w:rPr>
        <w:t xml:space="preserve">è </w:t>
      </w:r>
      <w:r>
        <w:rPr>
          <w:rFonts w:ascii="Book Antiqua"/>
          <w:rtl w:val="0"/>
          <w:lang w:val="it-IT"/>
        </w:rPr>
        <w:t>uno studio fatto da ISPRA ed ARPA contemporaneamente su questo sito per monitorare l'andamento della contaminazione. Sono gi</w:t>
      </w:r>
      <w:r>
        <w:rPr>
          <w:rFonts w:hAnsi="Book Antiqua" w:hint="default"/>
          <w:rtl w:val="0"/>
          <w:lang w:val="it-IT"/>
        </w:rPr>
        <w:t xml:space="preserve">à </w:t>
      </w:r>
      <w:r>
        <w:rPr>
          <w:rFonts w:ascii="Book Antiqua"/>
          <w:rtl w:val="0"/>
          <w:lang w:val="it-IT"/>
        </w:rPr>
        <w:t>sei anni che esiste questo studio. L'ultimo aggiornamento risale ad ottobre 2014 e, praticamente, indica dati in diminuzione rispetto all'inquinamento. Fondamentalmente si tratta di inquinanti organici di cloro propano, che veniva misurato in questi pozzi. Al momento, non solo non c'</w:t>
      </w:r>
      <w:r>
        <w:rPr>
          <w:rFonts w:hAnsi="Book Antiqua" w:hint="default"/>
          <w:rtl w:val="0"/>
          <w:lang w:val="it-IT"/>
        </w:rPr>
        <w:t xml:space="preserve">è </w:t>
      </w:r>
      <w:r>
        <w:rPr>
          <w:rFonts w:ascii="Book Antiqua"/>
          <w:rtl w:val="0"/>
          <w:lang w:val="it-IT"/>
        </w:rPr>
        <w:t xml:space="preserve">stato un ampliamento della zona ma sono stati identificati esattamente i livelli di flusso: laddove il fiume crea effettivamente una barriera idraulica rispetto alla contaminazione, i valori di contaminazione si sono mantenuti costanti o ridotti. Quindi, direi che la situazione </w:t>
      </w:r>
      <w:r>
        <w:rPr>
          <w:rFonts w:hAnsi="Book Antiqua" w:hint="default"/>
          <w:rtl w:val="0"/>
          <w:lang w:val="it-IT"/>
        </w:rPr>
        <w:t xml:space="preserve">è </w:t>
      </w:r>
      <w:r>
        <w:rPr>
          <w:rFonts w:ascii="Book Antiqua"/>
          <w:rtl w:val="0"/>
          <w:lang w:val="it-IT"/>
        </w:rPr>
        <w:t>sotto controllo. Tuttora c'</w:t>
      </w:r>
      <w:r>
        <w:rPr>
          <w:rFonts w:hAnsi="Book Antiqua" w:hint="default"/>
          <w:rtl w:val="0"/>
          <w:lang w:val="it-IT"/>
        </w:rPr>
        <w:t xml:space="preserve">è </w:t>
      </w:r>
      <w:r>
        <w:rPr>
          <w:rFonts w:ascii="Book Antiqua"/>
          <w:rtl w:val="0"/>
          <w:lang w:val="it-IT"/>
        </w:rPr>
        <w:t>questo studio in piedi e di materiale radioattivo non c'</w:t>
      </w:r>
      <w:r>
        <w:rPr>
          <w:rFonts w:hAnsi="Book Antiqua" w:hint="default"/>
          <w:rtl w:val="0"/>
          <w:lang w:val="it-IT"/>
        </w:rPr>
        <w:t xml:space="preserve">è </w:t>
      </w:r>
      <w:r>
        <w:rPr>
          <w:rFonts w:ascii="Book Antiqua"/>
          <w:rtl w:val="0"/>
          <w:lang w:val="it-IT"/>
        </w:rPr>
        <w:t>traccia da nessuna parte. Ci sono solamente inquinanti organici. C'</w:t>
      </w:r>
      <w:r>
        <w:rPr>
          <w:rFonts w:hAnsi="Book Antiqua" w:hint="default"/>
          <w:rtl w:val="0"/>
          <w:lang w:val="it-IT"/>
        </w:rPr>
        <w:t xml:space="preserve">è </w:t>
      </w:r>
      <w:r>
        <w:rPr>
          <w:rFonts w:ascii="Book Antiqua"/>
          <w:rtl w:val="0"/>
          <w:lang w:val="it-IT"/>
        </w:rPr>
        <w:t>una messa in sicurezza operativa [</w:t>
      </w:r>
      <w:r>
        <w:rPr>
          <w:rFonts w:hAnsi="Book Antiqua" w:hint="default"/>
          <w:rtl w:val="0"/>
          <w:lang w:val="it-IT"/>
        </w:rPr>
        <w:t>…</w:t>
      </w:r>
      <w:r>
        <w:rPr>
          <w:rFonts w:ascii="Book Antiqua"/>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Sulla questione dell</w:t>
      </w:r>
      <w:r>
        <w:rPr>
          <w:rFonts w:hAnsi="Book Antiqua" w:hint="default"/>
          <w:rtl w:val="0"/>
          <w:lang w:val="it-IT"/>
        </w:rPr>
        <w:t>’</w:t>
      </w:r>
      <w:r>
        <w:rPr>
          <w:rFonts w:ascii="Book Antiqua"/>
          <w:rtl w:val="0"/>
          <w:lang w:val="it-IT"/>
        </w:rPr>
        <w:t>interramento di rifiuti industriali a Borgo Montello non ne so nulla</w:t>
      </w:r>
      <w:r>
        <w:rPr>
          <w:rFonts w:hAnsi="Book Antiqua" w:hint="default"/>
          <w:rtl w:val="0"/>
          <w:lang w:val="it-IT"/>
        </w:rPr>
        <w:t>”</w:t>
      </w:r>
      <w:r>
        <w:rPr>
          <w:rFonts w:ascii="Book Antiqua"/>
          <w:rtl w:val="0"/>
          <w:lang w:val="it-IT"/>
        </w:rPr>
        <w:t>.</w:t>
      </w:r>
    </w:p>
    <w:p>
      <w:pPr>
        <w:pStyle w:val="Normal"/>
        <w:ind w:left="567" w:right="567" w:firstLine="0"/>
        <w:jc w:val="both"/>
        <w:rPr>
          <w:rFonts w:ascii="Book Antiqua" w:cs="Book Antiqua" w:hAnsi="Book Antiqua" w:eastAsia="Book Antiqua"/>
        </w:rPr>
      </w:pPr>
    </w:p>
    <w:p>
      <w:pPr>
        <w:pStyle w:val="List Paragraph"/>
        <w:numPr>
          <w:ilvl w:val="1"/>
          <w:numId w:val="172"/>
        </w:numPr>
        <w:tabs>
          <w:tab w:val="num" w:pos="688"/>
          <w:tab w:val="clear" w:pos="567"/>
        </w:tabs>
        <w:bidi w:val="0"/>
        <w:ind w:left="547" w:right="567" w:firstLine="20"/>
        <w:jc w:val="both"/>
        <w:rPr>
          <w:rFonts w:ascii="Book Antiqua" w:cs="Book Antiqua" w:hAnsi="Book Antiqua" w:eastAsia="Book Antiqua"/>
          <w:position w:val="0"/>
          <w:sz w:val="28"/>
          <w:szCs w:val="28"/>
          <w:rtl w:val="0"/>
        </w:rPr>
      </w:pPr>
      <w:r>
        <w:rPr>
          <w:rFonts w:ascii="Book Antiqua"/>
          <w:sz w:val="28"/>
          <w:szCs w:val="28"/>
          <w:rtl w:val="0"/>
          <w:lang w:val="it-IT"/>
        </w:rPr>
        <w:t>Presenze della criminalit</w:t>
      </w:r>
      <w:r>
        <w:rPr>
          <w:rFonts w:hAnsi="Book Antiqua" w:hint="default"/>
          <w:sz w:val="28"/>
          <w:szCs w:val="28"/>
          <w:rtl w:val="0"/>
          <w:lang w:val="it-IT"/>
        </w:rPr>
        <w:t xml:space="preserve">à </w:t>
      </w:r>
      <w:r>
        <w:rPr>
          <w:rFonts w:ascii="Book Antiqua"/>
          <w:sz w:val="28"/>
          <w:szCs w:val="28"/>
          <w:rtl w:val="0"/>
          <w:lang w:val="it-IT"/>
        </w:rPr>
        <w:t>ambientale</w:t>
      </w:r>
    </w:p>
    <w:p>
      <w:pPr>
        <w:pStyle w:val="List Paragraph"/>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rPr>
      </w:pPr>
      <w:r>
        <w:rPr>
          <w:rFonts w:ascii="Book Antiqua"/>
          <w:rtl w:val="0"/>
          <w:lang w:val="it-IT"/>
        </w:rPr>
        <w:t xml:space="preserve">Prima di esaminare il tema relativo alla presenza di rifiuti pericolosi sversati illegalmente negli anni passati </w:t>
      </w:r>
      <w:r>
        <w:rPr>
          <w:rFonts w:hAnsi="Book Antiqua" w:hint="default"/>
          <w:rtl w:val="0"/>
          <w:lang w:val="it-IT"/>
        </w:rPr>
        <w:t xml:space="preserve">– </w:t>
      </w:r>
      <w:r>
        <w:rPr>
          <w:rFonts w:ascii="Book Antiqua"/>
          <w:rtl w:val="0"/>
          <w:lang w:val="it-IT"/>
        </w:rPr>
        <w:t xml:space="preserve">che, come visto, </w:t>
      </w:r>
      <w:r>
        <w:rPr>
          <w:rFonts w:hAnsi="Book Antiqua" w:hint="default"/>
          <w:rtl w:val="0"/>
          <w:lang w:val="it-IT"/>
        </w:rPr>
        <w:t xml:space="preserve">è </w:t>
      </w:r>
      <w:r>
        <w:rPr>
          <w:rFonts w:ascii="Book Antiqua"/>
          <w:rtl w:val="0"/>
          <w:lang w:val="it-IT"/>
        </w:rPr>
        <w:t>considerato da sempre un tema socialmente sensibile per la popolazione dell</w:t>
      </w:r>
      <w:r>
        <w:rPr>
          <w:rFonts w:hAnsi="Book Antiqua" w:hint="default"/>
          <w:rtl w:val="0"/>
          <w:lang w:val="it-IT"/>
        </w:rPr>
        <w:t>’</w:t>
      </w:r>
      <w:r>
        <w:rPr>
          <w:rFonts w:ascii="Book Antiqua"/>
          <w:rtl w:val="0"/>
          <w:lang w:val="it-IT"/>
        </w:rPr>
        <w:t xml:space="preserve">area </w:t>
      </w:r>
      <w:r>
        <w:rPr>
          <w:rFonts w:hAnsi="Book Antiqua" w:hint="default"/>
          <w:rtl w:val="0"/>
          <w:lang w:val="it-IT"/>
        </w:rPr>
        <w:t xml:space="preserve">– è </w:t>
      </w:r>
      <w:r>
        <w:rPr>
          <w:rFonts w:ascii="Book Antiqua"/>
          <w:rtl w:val="0"/>
          <w:lang w:val="it-IT"/>
        </w:rPr>
        <w:t>bene disegnare un quadro relativo alla presenza della criminalit</w:t>
      </w:r>
      <w:r>
        <w:rPr>
          <w:rFonts w:hAnsi="Book Antiqua" w:hint="default"/>
          <w:rtl w:val="0"/>
          <w:lang w:val="it-IT"/>
        </w:rPr>
        <w:t xml:space="preserve">à </w:t>
      </w:r>
      <w:r>
        <w:rPr>
          <w:rFonts w:ascii="Book Antiqua"/>
          <w:rtl w:val="0"/>
          <w:lang w:val="it-IT"/>
        </w:rPr>
        <w:t>organizzata nell</w:t>
      </w:r>
      <w:r>
        <w:rPr>
          <w:rFonts w:hAnsi="Book Antiqua" w:hint="default"/>
          <w:rtl w:val="0"/>
          <w:lang w:val="it-IT"/>
        </w:rPr>
        <w:t>’</w:t>
      </w:r>
      <w:r>
        <w:rPr>
          <w:rFonts w:ascii="Book Antiqua"/>
          <w:rtl w:val="0"/>
          <w:lang w:val="it-IT"/>
        </w:rPr>
        <w:t xml:space="preserve">area. </w:t>
      </w:r>
    </w:p>
    <w:p>
      <w:pPr>
        <w:pStyle w:val="Normal"/>
        <w:ind w:left="567" w:right="567" w:firstLine="0"/>
        <w:jc w:val="both"/>
        <w:rPr>
          <w:rFonts w:ascii="Book Antiqua" w:cs="Book Antiqua" w:hAnsi="Book Antiqua" w:eastAsia="Book Antiqua"/>
        </w:rPr>
      </w:pPr>
      <w:r>
        <w:rPr>
          <w:rFonts w:ascii="Book Antiqua"/>
          <w:rtl w:val="0"/>
          <w:lang w:val="it-IT"/>
        </w:rPr>
        <w:t xml:space="preserve">Si tratta sostanzialmente di elementi riconducibili al clan dei Casalesi, organizzazione, come </w:t>
      </w:r>
      <w:r>
        <w:rPr>
          <w:rFonts w:hAnsi="Book Antiqua" w:hint="default"/>
          <w:rtl w:val="0"/>
          <w:lang w:val="it-IT"/>
        </w:rPr>
        <w:t xml:space="preserve">è </w:t>
      </w:r>
      <w:r>
        <w:rPr>
          <w:rFonts w:ascii="Book Antiqua"/>
          <w:rtl w:val="0"/>
          <w:lang w:val="it-IT"/>
        </w:rPr>
        <w:t xml:space="preserve">noto, particolarmente attiva nel campo del business ambientale, soprattutto tra la fine degli anni </w:t>
      </w:r>
      <w:r>
        <w:rPr>
          <w:rFonts w:hAnsi="Book Antiqua" w:hint="default"/>
          <w:rtl w:val="0"/>
          <w:lang w:val="it-IT"/>
        </w:rPr>
        <w:t>‘</w:t>
      </w:r>
      <w:r>
        <w:rPr>
          <w:rFonts w:ascii="Book Antiqua"/>
          <w:rtl w:val="0"/>
          <w:lang w:val="it-IT"/>
        </w:rPr>
        <w:t>80 (la seconda met</w:t>
      </w:r>
      <w:r>
        <w:rPr>
          <w:rFonts w:hAnsi="Book Antiqua" w:hint="default"/>
          <w:rtl w:val="0"/>
          <w:lang w:val="it-IT"/>
        </w:rPr>
        <w:t xml:space="preserve">à </w:t>
      </w:r>
      <w:r>
        <w:rPr>
          <w:rFonts w:ascii="Book Antiqua"/>
          <w:rtl w:val="0"/>
          <w:lang w:val="it-IT"/>
        </w:rPr>
        <w:t xml:space="preserve">del 1988) e gli anni </w:t>
      </w:r>
      <w:r>
        <w:rPr>
          <w:rFonts w:hAnsi="Book Antiqua" w:hint="default"/>
          <w:rtl w:val="0"/>
          <w:lang w:val="it-IT"/>
        </w:rPr>
        <w:t>‘</w:t>
      </w:r>
      <w:r>
        <w:rPr>
          <w:rFonts w:ascii="Book Antiqua"/>
          <w:rtl w:val="0"/>
          <w:lang w:val="it-IT"/>
        </w:rPr>
        <w:t xml:space="preserve">90. </w:t>
      </w:r>
    </w:p>
    <w:p>
      <w:pPr>
        <w:pStyle w:val="Normal"/>
        <w:ind w:left="567" w:right="567" w:firstLine="0"/>
        <w:jc w:val="both"/>
        <w:rPr>
          <w:rFonts w:ascii="Book Antiqua" w:cs="Book Antiqua" w:hAnsi="Book Antiqua" w:eastAsia="Book Antiqua"/>
        </w:rPr>
      </w:pPr>
      <w:r>
        <w:rPr>
          <w:rFonts w:ascii="Book Antiqua"/>
          <w:rtl w:val="0"/>
          <w:lang w:val="it-IT"/>
        </w:rPr>
        <w:t>Come gi</w:t>
      </w:r>
      <w:r>
        <w:rPr>
          <w:rFonts w:hAnsi="Book Antiqua" w:hint="default"/>
          <w:rtl w:val="0"/>
          <w:lang w:val="it-IT"/>
        </w:rPr>
        <w:t xml:space="preserve">à </w:t>
      </w:r>
      <w:r>
        <w:rPr>
          <w:rFonts w:ascii="Book Antiqua"/>
          <w:rtl w:val="0"/>
          <w:lang w:val="it-IT"/>
        </w:rPr>
        <w:t>ricordato in sede di audizione della societ</w:t>
      </w:r>
      <w:r>
        <w:rPr>
          <w:rFonts w:hAnsi="Book Antiqua" w:hint="default"/>
          <w:rtl w:val="0"/>
          <w:lang w:val="it-IT"/>
        </w:rPr>
        <w:t xml:space="preserve">à </w:t>
      </w:r>
      <w:r>
        <w:rPr>
          <w:rFonts w:ascii="Book Antiqua"/>
          <w:rtl w:val="0"/>
          <w:lang w:val="it-IT"/>
        </w:rPr>
        <w:t>Ind.Eco il clan disponeva (attraverso alcuni soggetti che verranno compiutamente analizzati) di propriet</w:t>
      </w:r>
      <w:r>
        <w:rPr>
          <w:rFonts w:hAnsi="Book Antiqua" w:hint="default"/>
          <w:rtl w:val="0"/>
          <w:lang w:val="it-IT"/>
        </w:rPr>
        <w:t xml:space="preserve">à </w:t>
      </w:r>
      <w:r>
        <w:rPr>
          <w:rFonts w:ascii="Book Antiqua"/>
          <w:rtl w:val="0"/>
          <w:lang w:val="it-IT"/>
        </w:rPr>
        <w:t>importanti proprio a ridosso della discarica. Elemento, questo, che riveste una certa importanza per comprendere appieno il contesto di Borgo Montello.</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 xml:space="preserve">Le prime notizie sulla presenza di esponenti e di investimenti riconducibili al clan dei Casalesi provengono da alcuni atti di indagine scaturiti dal processo </w:t>
      </w:r>
      <w:r>
        <w:rPr>
          <w:rFonts w:hAnsi="Book Antiqua" w:hint="default"/>
          <w:sz w:val="24"/>
          <w:szCs w:val="24"/>
          <w:rtl w:val="0"/>
          <w:lang w:val="it-IT"/>
        </w:rPr>
        <w:t>“</w:t>
      </w:r>
      <w:r>
        <w:rPr>
          <w:rFonts w:ascii="Book Antiqua"/>
          <w:sz w:val="24"/>
          <w:szCs w:val="24"/>
          <w:rtl w:val="0"/>
          <w:lang w:val="it-IT"/>
        </w:rPr>
        <w:t>Spartacus</w:t>
      </w:r>
      <w:r>
        <w:rPr>
          <w:rFonts w:hAnsi="Book Antiqua" w:hint="default"/>
          <w:sz w:val="24"/>
          <w:szCs w:val="24"/>
          <w:rtl w:val="0"/>
          <w:lang w:val="it-IT"/>
        </w:rPr>
        <w:t>”</w:t>
      </w:r>
      <w:r>
        <w:rPr>
          <w:rFonts w:ascii="Book Antiqua"/>
          <w:sz w:val="24"/>
          <w:szCs w:val="24"/>
          <w:rtl w:val="0"/>
          <w:lang w:val="it-IT"/>
        </w:rPr>
        <w:t>. Nell'ambito di questa inchiesta il 13 marzo del 1996 la polizia giudiziaria di Latina  interrog</w:t>
      </w:r>
      <w:r>
        <w:rPr>
          <w:rFonts w:hAnsi="Book Antiqua" w:hint="default"/>
          <w:sz w:val="24"/>
          <w:szCs w:val="24"/>
          <w:rtl w:val="0"/>
          <w:lang w:val="it-IT"/>
        </w:rPr>
        <w:t xml:space="preserve">ò </w:t>
      </w:r>
      <w:r>
        <w:rPr>
          <w:rFonts w:ascii="Book Antiqua"/>
          <w:sz w:val="24"/>
          <w:szCs w:val="24"/>
          <w:rtl w:val="0"/>
          <w:lang w:val="it-IT"/>
        </w:rPr>
        <w:t xml:space="preserve">l'allora collaboratore di giustizia Carmine Schiavone </w:t>
      </w:r>
      <w:r>
        <w:rPr>
          <w:rFonts w:hAnsi="Book Antiqua" w:hint="default"/>
          <w:sz w:val="24"/>
          <w:szCs w:val="24"/>
          <w:rtl w:val="0"/>
          <w:lang w:val="it-IT"/>
        </w:rPr>
        <w:t>“</w:t>
      </w:r>
      <w:r>
        <w:rPr>
          <w:rFonts w:ascii="Book Antiqua"/>
          <w:sz w:val="24"/>
          <w:szCs w:val="24"/>
          <w:rtl w:val="0"/>
          <w:lang w:val="it-IT"/>
        </w:rPr>
        <w:t>in relazione all'indagine in corso su diversi fenomeni criminosi riguardanti la provincia di Latina</w:t>
      </w:r>
      <w:r>
        <w:rPr>
          <w:rFonts w:hAnsi="Book Antiqua" w:hint="default"/>
          <w:sz w:val="24"/>
          <w:szCs w:val="24"/>
          <w:rtl w:val="0"/>
          <w:lang w:val="it-IT"/>
        </w:rPr>
        <w:t>”</w:t>
      </w:r>
      <w:r>
        <w:rPr>
          <w:rFonts w:ascii="Book Antiqua" w:cs="Book Antiqua" w:hAnsi="Book Antiqua" w:eastAsia="Book Antiqua"/>
          <w:sz w:val="24"/>
          <w:szCs w:val="24"/>
          <w:vertAlign w:val="superscript"/>
          <w:rtl w:val="0"/>
        </w:rPr>
        <w:footnoteReference w:id="299"/>
      </w:r>
      <w:r>
        <w:rPr>
          <w:rFonts w:ascii="Book Antiqua"/>
          <w:sz w:val="24"/>
          <w:szCs w:val="24"/>
          <w:rtl w:val="0"/>
          <w:lang w:val="it-IT"/>
        </w:rPr>
        <w:t xml:space="preserve">. Il verbale venne poi utilizzato in alcuni procedimenti penali della DDA di Roma (processo </w:t>
      </w:r>
      <w:r>
        <w:rPr>
          <w:rFonts w:hAnsi="Book Antiqua" w:hint="default"/>
          <w:sz w:val="24"/>
          <w:szCs w:val="24"/>
          <w:rtl w:val="0"/>
          <w:lang w:val="it-IT"/>
        </w:rPr>
        <w:t>“</w:t>
      </w:r>
      <w:r>
        <w:rPr>
          <w:rFonts w:ascii="Book Antiqua"/>
          <w:sz w:val="24"/>
          <w:szCs w:val="24"/>
          <w:rtl w:val="0"/>
          <w:lang w:val="it-IT"/>
        </w:rPr>
        <w:t>Anni '90</w:t>
      </w:r>
      <w:r>
        <w:rPr>
          <w:rFonts w:hAnsi="Book Antiqua" w:hint="default"/>
          <w:sz w:val="24"/>
          <w:szCs w:val="24"/>
          <w:rtl w:val="0"/>
          <w:lang w:val="it-IT"/>
        </w:rPr>
        <w:t xml:space="preserve">” </w:t>
      </w:r>
      <w:r>
        <w:rPr>
          <w:rFonts w:ascii="Book Antiqua"/>
          <w:sz w:val="24"/>
          <w:szCs w:val="24"/>
          <w:rtl w:val="0"/>
          <w:lang w:val="it-IT"/>
        </w:rPr>
        <w:t xml:space="preserve">e processo </w:t>
      </w:r>
      <w:r>
        <w:rPr>
          <w:rFonts w:hAnsi="Book Antiqua" w:hint="default"/>
          <w:sz w:val="24"/>
          <w:szCs w:val="24"/>
          <w:rtl w:val="0"/>
          <w:lang w:val="it-IT"/>
        </w:rPr>
        <w:t>“</w:t>
      </w:r>
      <w:r>
        <w:rPr>
          <w:rFonts w:ascii="Book Antiqua"/>
          <w:sz w:val="24"/>
          <w:szCs w:val="24"/>
          <w:rtl w:val="0"/>
          <w:lang w:val="it-IT"/>
        </w:rPr>
        <w:t>Damasco</w:t>
      </w:r>
      <w:r>
        <w:rPr>
          <w:rFonts w:hAnsi="Book Antiqua" w:hint="default"/>
          <w:sz w:val="24"/>
          <w:szCs w:val="24"/>
          <w:rtl w:val="0"/>
          <w:lang w:val="it-IT"/>
        </w:rPr>
        <w:t>”</w:t>
      </w:r>
      <w:r>
        <w:rPr>
          <w:rFonts w:ascii="Book Antiqua"/>
          <w:sz w:val="24"/>
          <w:szCs w:val="24"/>
          <w:rtl w:val="0"/>
          <w:lang w:val="it-IT"/>
        </w:rPr>
        <w:t>).</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 xml:space="preserve">Lo Schiavone specificava di riferire notizie </w:t>
      </w:r>
      <w:r>
        <w:rPr>
          <w:rFonts w:hAnsi="Book Antiqua" w:hint="default"/>
          <w:sz w:val="24"/>
          <w:szCs w:val="24"/>
          <w:rtl w:val="0"/>
          <w:lang w:val="it-IT"/>
        </w:rPr>
        <w:t>“</w:t>
      </w:r>
      <w:r>
        <w:rPr>
          <w:rFonts w:ascii="Book Antiqua"/>
          <w:sz w:val="24"/>
          <w:szCs w:val="24"/>
          <w:rtl w:val="0"/>
          <w:lang w:val="it-IT"/>
        </w:rPr>
        <w:t>circa le attivit</w:t>
      </w:r>
      <w:r>
        <w:rPr>
          <w:rFonts w:hAnsi="Book Antiqua" w:hint="default"/>
          <w:sz w:val="24"/>
          <w:szCs w:val="24"/>
          <w:rtl w:val="0"/>
          <w:lang w:val="it-IT"/>
        </w:rPr>
        <w:t xml:space="preserve">à </w:t>
      </w:r>
      <w:r>
        <w:rPr>
          <w:rFonts w:ascii="Book Antiqua"/>
          <w:sz w:val="24"/>
          <w:szCs w:val="24"/>
          <w:rtl w:val="0"/>
          <w:lang w:val="it-IT"/>
        </w:rPr>
        <w:t>criminali condotte in provincia di Latina dal gruppo di appartenenza</w:t>
      </w:r>
      <w:r>
        <w:rPr>
          <w:rFonts w:hAnsi="Book Antiqua" w:hint="default"/>
          <w:sz w:val="24"/>
          <w:szCs w:val="24"/>
          <w:rtl w:val="0"/>
          <w:lang w:val="it-IT"/>
        </w:rPr>
        <w:t xml:space="preserve">” </w:t>
      </w:r>
      <w:r>
        <w:rPr>
          <w:rFonts w:ascii="Book Antiqua"/>
          <w:sz w:val="24"/>
          <w:szCs w:val="24"/>
          <w:rtl w:val="0"/>
          <w:lang w:val="it-IT"/>
        </w:rPr>
        <w:t xml:space="preserve">ovvero il clan dei Casalesi; tali notizie erano </w:t>
      </w:r>
      <w:r>
        <w:rPr>
          <w:rFonts w:hAnsi="Book Antiqua" w:hint="default"/>
          <w:sz w:val="24"/>
          <w:szCs w:val="24"/>
          <w:rtl w:val="0"/>
          <w:lang w:val="it-IT"/>
        </w:rPr>
        <w:t>“</w:t>
      </w:r>
      <w:r>
        <w:rPr>
          <w:rFonts w:ascii="Book Antiqua"/>
          <w:sz w:val="24"/>
          <w:szCs w:val="24"/>
          <w:rtl w:val="0"/>
          <w:lang w:val="it-IT"/>
        </w:rPr>
        <w:t>frutto di conoscenze dirette e di incontri con i soggetti di cui parlo</w:t>
      </w:r>
      <w:r>
        <w:rPr>
          <w:rFonts w:hAnsi="Book Antiqua" w:hint="default"/>
          <w:sz w:val="24"/>
          <w:szCs w:val="24"/>
          <w:rtl w:val="0"/>
          <w:lang w:val="it-IT"/>
        </w:rPr>
        <w:t>”</w:t>
      </w:r>
      <w:r>
        <w:rPr>
          <w:rFonts w:ascii="Book Antiqua"/>
          <w:sz w:val="24"/>
          <w:szCs w:val="24"/>
          <w:rtl w:val="0"/>
          <w:lang w:val="it-IT"/>
        </w:rPr>
        <w:t>.</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 xml:space="preserve">Secondo il collaboratore giustizia </w:t>
      </w:r>
      <w:r>
        <w:rPr>
          <w:rFonts w:hAnsi="Book Antiqua" w:hint="default"/>
          <w:sz w:val="24"/>
          <w:szCs w:val="24"/>
          <w:rtl w:val="0"/>
          <w:lang w:val="it-IT"/>
        </w:rPr>
        <w:t xml:space="preserve">– </w:t>
      </w:r>
      <w:r>
        <w:rPr>
          <w:rFonts w:ascii="Book Antiqua"/>
          <w:sz w:val="24"/>
          <w:szCs w:val="24"/>
          <w:rtl w:val="0"/>
          <w:lang w:val="it-IT"/>
        </w:rPr>
        <w:t xml:space="preserve">le cui informazioni sono poi state confermate in sede processuale - </w:t>
      </w:r>
      <w:r>
        <w:rPr>
          <w:rFonts w:hAnsi="Book Antiqua" w:hint="default"/>
          <w:sz w:val="24"/>
          <w:szCs w:val="24"/>
          <w:rtl w:val="0"/>
          <w:lang w:val="it-IT"/>
        </w:rPr>
        <w:t>“</w:t>
      </w:r>
      <w:r>
        <w:rPr>
          <w:rFonts w:ascii="Book Antiqua"/>
          <w:sz w:val="24"/>
          <w:szCs w:val="24"/>
          <w:rtl w:val="0"/>
          <w:lang w:val="it-IT"/>
        </w:rPr>
        <w:t>il clan dei Casalesi da moltissimi anni ha avviato, nella provincia di Latina, un'opera di infiltrazione e di investimento degli illeciti introiti comunque ricavati</w:t>
      </w:r>
      <w:r>
        <w:rPr>
          <w:rFonts w:hAnsi="Book Antiqua" w:hint="default"/>
          <w:sz w:val="24"/>
          <w:szCs w:val="24"/>
          <w:rtl w:val="0"/>
          <w:lang w:val="it-IT"/>
        </w:rPr>
        <w:t>”</w:t>
      </w:r>
      <w:r>
        <w:rPr>
          <w:rFonts w:ascii="Book Antiqua"/>
          <w:sz w:val="24"/>
          <w:szCs w:val="24"/>
          <w:rtl w:val="0"/>
          <w:lang w:val="it-IT"/>
        </w:rPr>
        <w:t xml:space="preserve">. A capo dell'organizzazione in terra pontina vi era Antonio Salzillo, </w:t>
      </w:r>
      <w:r>
        <w:rPr>
          <w:rFonts w:ascii="Book Antiqua"/>
          <w:i w:val="1"/>
          <w:iCs w:val="1"/>
          <w:sz w:val="24"/>
          <w:szCs w:val="24"/>
          <w:rtl w:val="0"/>
          <w:lang w:val="it-IT"/>
        </w:rPr>
        <w:t>alias</w:t>
      </w:r>
      <w:r>
        <w:rPr>
          <w:rFonts w:hAnsi="Book Antiqua" w:hint="default"/>
          <w:sz w:val="24"/>
          <w:szCs w:val="24"/>
          <w:rtl w:val="0"/>
          <w:lang w:val="it-IT"/>
        </w:rPr>
        <w:t xml:space="preserve"> “</w:t>
      </w:r>
      <w:r>
        <w:rPr>
          <w:rFonts w:ascii="Book Antiqua"/>
          <w:sz w:val="24"/>
          <w:szCs w:val="24"/>
          <w:rtl w:val="0"/>
          <w:lang w:val="it-IT"/>
        </w:rPr>
        <w:t>Capocchione</w:t>
      </w:r>
      <w:r>
        <w:rPr>
          <w:rFonts w:hAnsi="Book Antiqua" w:hint="default"/>
          <w:sz w:val="24"/>
          <w:szCs w:val="24"/>
          <w:rtl w:val="0"/>
          <w:lang w:val="it-IT"/>
        </w:rPr>
        <w:t>”</w:t>
      </w:r>
      <w:r>
        <w:rPr>
          <w:rFonts w:ascii="Book Antiqua"/>
          <w:sz w:val="24"/>
          <w:szCs w:val="24"/>
          <w:rtl w:val="0"/>
          <w:lang w:val="it-IT"/>
        </w:rPr>
        <w:t xml:space="preserve">, nipote di Ernesto ed Antonio Bardellino. Fino al 1988 la famiglia Bardellino era alleata con la famiglia Schiavone, formando un unico gruppo cresciuto in maniera esponenziale negli anni '80 dopo lo scontro con i cutoliani. Salzillo, capo zona di Latina, </w:t>
      </w:r>
      <w:r>
        <w:rPr>
          <w:rFonts w:hAnsi="Book Antiqua" w:hint="default"/>
          <w:sz w:val="24"/>
          <w:szCs w:val="24"/>
          <w:rtl w:val="0"/>
          <w:lang w:val="it-IT"/>
        </w:rPr>
        <w:t>“</w:t>
      </w:r>
      <w:r>
        <w:rPr>
          <w:rFonts w:ascii="Book Antiqua"/>
          <w:sz w:val="24"/>
          <w:szCs w:val="24"/>
          <w:rtl w:val="0"/>
          <w:lang w:val="it-IT"/>
        </w:rPr>
        <w:t>ha subito trovato come attivit</w:t>
      </w:r>
      <w:r>
        <w:rPr>
          <w:rFonts w:hAnsi="Book Antiqua" w:hint="default"/>
          <w:sz w:val="24"/>
          <w:szCs w:val="24"/>
          <w:rtl w:val="0"/>
          <w:lang w:val="it-IT"/>
        </w:rPr>
        <w:t xml:space="preserve">à </w:t>
      </w:r>
      <w:r>
        <w:rPr>
          <w:rFonts w:ascii="Book Antiqua"/>
          <w:sz w:val="24"/>
          <w:szCs w:val="24"/>
          <w:rtl w:val="0"/>
          <w:lang w:val="it-IT"/>
        </w:rPr>
        <w:t>di copertura la cointeressenza occulta nella societ</w:t>
      </w:r>
      <w:r>
        <w:rPr>
          <w:rFonts w:hAnsi="Book Antiqua" w:hint="default"/>
          <w:sz w:val="24"/>
          <w:szCs w:val="24"/>
          <w:rtl w:val="0"/>
          <w:lang w:val="it-IT"/>
        </w:rPr>
        <w:t xml:space="preserve">à </w:t>
      </w:r>
      <w:r>
        <w:rPr>
          <w:rFonts w:ascii="Book Antiqua"/>
          <w:sz w:val="24"/>
          <w:szCs w:val="24"/>
          <w:rtl w:val="0"/>
          <w:lang w:val="it-IT"/>
        </w:rPr>
        <w:t>dei fratelli Diana, che avevano la concessionaria di veicoli industriali Scania, con sede in Latina</w:t>
      </w:r>
      <w:r>
        <w:rPr>
          <w:rFonts w:hAnsi="Book Antiqua" w:hint="default"/>
          <w:sz w:val="24"/>
          <w:szCs w:val="24"/>
          <w:rtl w:val="0"/>
          <w:lang w:val="it-IT"/>
        </w:rPr>
        <w:t xml:space="preserve">” </w:t>
      </w:r>
      <w:r>
        <w:rPr>
          <w:rFonts w:ascii="Book Antiqua"/>
          <w:sz w:val="24"/>
          <w:szCs w:val="24"/>
          <w:rtl w:val="0"/>
          <w:lang w:val="it-IT"/>
        </w:rPr>
        <w:t>a borgo San Michele. I due fratelli Costantino e Armando Diana</w:t>
      </w:r>
      <w:r>
        <w:rPr>
          <w:rFonts w:ascii="Book Antiqua" w:cs="Book Antiqua" w:hAnsi="Book Antiqua" w:eastAsia="Book Antiqua"/>
          <w:sz w:val="24"/>
          <w:szCs w:val="24"/>
          <w:vertAlign w:val="superscript"/>
          <w:rtl w:val="0"/>
        </w:rPr>
        <w:footnoteReference w:id="300"/>
      </w:r>
      <w:r>
        <w:rPr>
          <w:rFonts w:ascii="Book Antiqua"/>
          <w:sz w:val="24"/>
          <w:szCs w:val="24"/>
          <w:rtl w:val="0"/>
          <w:lang w:val="it-IT"/>
        </w:rPr>
        <w:t xml:space="preserve"> sin dalla data del loro trasferimento a Latina erano, secondo Schiavone, </w:t>
      </w:r>
      <w:r>
        <w:rPr>
          <w:rFonts w:hAnsi="Book Antiqua" w:hint="default"/>
          <w:sz w:val="24"/>
          <w:szCs w:val="24"/>
          <w:rtl w:val="0"/>
          <w:lang w:val="it-IT"/>
        </w:rPr>
        <w:t>“</w:t>
      </w:r>
      <w:r>
        <w:rPr>
          <w:rFonts w:ascii="Book Antiqua"/>
          <w:sz w:val="24"/>
          <w:szCs w:val="24"/>
          <w:rtl w:val="0"/>
          <w:lang w:val="it-IT"/>
        </w:rPr>
        <w:t>espressione diretta del gruppo dei casalesi in terra pontina</w:t>
      </w:r>
      <w:r>
        <w:rPr>
          <w:rFonts w:hAnsi="Book Antiqua" w:hint="default"/>
          <w:sz w:val="24"/>
          <w:szCs w:val="24"/>
          <w:rtl w:val="0"/>
          <w:lang w:val="it-IT"/>
        </w:rPr>
        <w:t>”</w:t>
      </w:r>
      <w:r>
        <w:rPr>
          <w:rFonts w:ascii="Book Antiqua"/>
          <w:sz w:val="24"/>
          <w:szCs w:val="24"/>
          <w:rtl w:val="0"/>
          <w:lang w:val="it-IT"/>
        </w:rPr>
        <w:t>.</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 xml:space="preserve">L'impresa dei fratelli Diana </w:t>
      </w:r>
      <w:r>
        <w:rPr>
          <w:rFonts w:hAnsi="Book Antiqua" w:hint="default"/>
          <w:sz w:val="24"/>
          <w:szCs w:val="24"/>
          <w:rtl w:val="0"/>
          <w:lang w:val="it-IT"/>
        </w:rPr>
        <w:t xml:space="preserve">– </w:t>
      </w:r>
      <w:r>
        <w:rPr>
          <w:rFonts w:ascii="Book Antiqua"/>
          <w:sz w:val="24"/>
          <w:szCs w:val="24"/>
          <w:rtl w:val="0"/>
          <w:lang w:val="it-IT"/>
        </w:rPr>
        <w:t xml:space="preserve">spiega Schiavone </w:t>
      </w:r>
      <w:r>
        <w:rPr>
          <w:rFonts w:hAnsi="Book Antiqua" w:hint="default"/>
          <w:sz w:val="24"/>
          <w:szCs w:val="24"/>
          <w:rtl w:val="0"/>
          <w:lang w:val="it-IT"/>
        </w:rPr>
        <w:t xml:space="preserve">– </w:t>
      </w:r>
      <w:r>
        <w:rPr>
          <w:rFonts w:ascii="Book Antiqua"/>
          <w:sz w:val="24"/>
          <w:szCs w:val="24"/>
          <w:rtl w:val="0"/>
          <w:lang w:val="it-IT"/>
        </w:rPr>
        <w:t>aveva partecipato fin dagli anni '80 ad importanti lavori pubblici, come la realizzazione della terza corsia dell'autostrada</w:t>
      </w:r>
      <w:r>
        <w:rPr>
          <w:rFonts w:ascii="Book Antiqua" w:cs="Book Antiqua" w:hAnsi="Book Antiqua" w:eastAsia="Book Antiqua"/>
          <w:sz w:val="24"/>
          <w:szCs w:val="24"/>
          <w:vertAlign w:val="superscript"/>
          <w:rtl w:val="0"/>
        </w:rPr>
        <w:footnoteReference w:id="301"/>
      </w:r>
      <w:r>
        <w:rPr>
          <w:rFonts w:ascii="Book Antiqua"/>
          <w:sz w:val="24"/>
          <w:szCs w:val="24"/>
          <w:rtl w:val="0"/>
          <w:lang w:val="it-IT"/>
        </w:rPr>
        <w:t>. Salzillo controllava direttamente la societ</w:t>
      </w:r>
      <w:r>
        <w:rPr>
          <w:rFonts w:hAnsi="Book Antiqua" w:hint="default"/>
          <w:sz w:val="24"/>
          <w:szCs w:val="24"/>
          <w:rtl w:val="0"/>
          <w:lang w:val="it-IT"/>
        </w:rPr>
        <w:t xml:space="preserve">à </w:t>
      </w:r>
      <w:r>
        <w:rPr>
          <w:rFonts w:ascii="Book Antiqua"/>
          <w:sz w:val="24"/>
          <w:szCs w:val="24"/>
          <w:rtl w:val="0"/>
          <w:lang w:val="it-IT"/>
        </w:rPr>
        <w:t>riscuotendo una percentuale del 10 per cento sulle commesse, versata nelle casse del clan.</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 xml:space="preserve">L'area controllata da Antonio Salzillo (almeno fino al 1988, anno dell'omicidio di Antonio Bardellino e del prevalere ai vertici dell'organizzazione della famiglia Schiavone, diretta da Francesco </w:t>
      </w:r>
      <w:r>
        <w:rPr>
          <w:rFonts w:hAnsi="Book Antiqua" w:hint="default"/>
          <w:sz w:val="24"/>
          <w:szCs w:val="24"/>
          <w:rtl w:val="0"/>
          <w:lang w:val="it-IT"/>
        </w:rPr>
        <w:t>“</w:t>
      </w:r>
      <w:r>
        <w:rPr>
          <w:rFonts w:ascii="Book Antiqua"/>
          <w:sz w:val="24"/>
          <w:szCs w:val="24"/>
          <w:rtl w:val="0"/>
          <w:lang w:val="it-IT"/>
        </w:rPr>
        <w:t>Sandokan</w:t>
      </w:r>
      <w:r>
        <w:rPr>
          <w:rFonts w:hAnsi="Book Antiqua" w:hint="default"/>
          <w:sz w:val="24"/>
          <w:szCs w:val="24"/>
          <w:rtl w:val="0"/>
          <w:lang w:val="it-IT"/>
        </w:rPr>
        <w:t xml:space="preserve">” </w:t>
      </w:r>
      <w:r>
        <w:rPr>
          <w:rFonts w:ascii="Book Antiqua"/>
          <w:sz w:val="24"/>
          <w:szCs w:val="24"/>
          <w:rtl w:val="0"/>
          <w:lang w:val="it-IT"/>
        </w:rPr>
        <w:t>Schiavone) era compresa tra Sabaudia e Roma. Includeva, quindi, la citt</w:t>
      </w:r>
      <w:r>
        <w:rPr>
          <w:rFonts w:hAnsi="Book Antiqua" w:hint="default"/>
          <w:sz w:val="24"/>
          <w:szCs w:val="24"/>
          <w:rtl w:val="0"/>
          <w:lang w:val="it-IT"/>
        </w:rPr>
        <w:t xml:space="preserve">à </w:t>
      </w:r>
      <w:r>
        <w:rPr>
          <w:rFonts w:ascii="Book Antiqua"/>
          <w:sz w:val="24"/>
          <w:szCs w:val="24"/>
          <w:rtl w:val="0"/>
          <w:lang w:val="it-IT"/>
        </w:rPr>
        <w:t xml:space="preserve">di Latina e l'intera area nord della provincia. Spiega Schiavone: </w:t>
      </w:r>
      <w:r>
        <w:rPr>
          <w:rFonts w:hAnsi="Book Antiqua" w:hint="default"/>
          <w:sz w:val="24"/>
          <w:szCs w:val="24"/>
          <w:rtl w:val="0"/>
          <w:lang w:val="it-IT"/>
        </w:rPr>
        <w:t>“</w:t>
      </w:r>
      <w:r>
        <w:rPr>
          <w:rFonts w:ascii="Book Antiqua"/>
          <w:sz w:val="24"/>
          <w:szCs w:val="24"/>
          <w:rtl w:val="0"/>
          <w:lang w:val="it-IT"/>
        </w:rPr>
        <w:t>Salzillo ricordo che gestiva un gruppo di circa trenta persone che venivano regolarmente stipendiate da me come cassiere del clan. Ogni mese io attribuivo circa cento milioni delle casse del clan al Salzillo perch</w:t>
      </w:r>
      <w:r>
        <w:rPr>
          <w:rFonts w:hAnsi="Book Antiqua" w:hint="default"/>
          <w:sz w:val="24"/>
          <w:szCs w:val="24"/>
          <w:rtl w:val="0"/>
          <w:lang w:val="it-IT"/>
        </w:rPr>
        <w:t xml:space="preserve">é </w:t>
      </w:r>
      <w:r>
        <w:rPr>
          <w:rFonts w:ascii="Book Antiqua"/>
          <w:sz w:val="24"/>
          <w:szCs w:val="24"/>
          <w:rtl w:val="0"/>
          <w:lang w:val="it-IT"/>
        </w:rPr>
        <w:t xml:space="preserve">potesse pagare i suoi uomini. Considerando che lo stipendio dei </w:t>
      </w:r>
      <w:r>
        <w:rPr>
          <w:rFonts w:hAnsi="Book Antiqua" w:hint="default"/>
          <w:sz w:val="24"/>
          <w:szCs w:val="24"/>
          <w:rtl w:val="0"/>
          <w:lang w:val="it-IT"/>
        </w:rPr>
        <w:t>“</w:t>
      </w:r>
      <w:r>
        <w:rPr>
          <w:rFonts w:ascii="Book Antiqua"/>
          <w:sz w:val="24"/>
          <w:szCs w:val="24"/>
          <w:rtl w:val="0"/>
          <w:lang w:val="it-IT"/>
        </w:rPr>
        <w:t>soldati</w:t>
      </w:r>
      <w:r>
        <w:rPr>
          <w:rFonts w:hAnsi="Book Antiqua" w:hint="default"/>
          <w:sz w:val="24"/>
          <w:szCs w:val="24"/>
          <w:rtl w:val="0"/>
          <w:lang w:val="it-IT"/>
        </w:rPr>
        <w:t xml:space="preserve">” </w:t>
      </w:r>
      <w:r>
        <w:rPr>
          <w:rFonts w:ascii="Book Antiqua"/>
          <w:sz w:val="24"/>
          <w:szCs w:val="24"/>
          <w:rtl w:val="0"/>
          <w:lang w:val="it-IT"/>
        </w:rPr>
        <w:t>o di coloro che comunque venivano utilizzati per le attivit</w:t>
      </w:r>
      <w:r>
        <w:rPr>
          <w:rFonts w:hAnsi="Book Antiqua" w:hint="default"/>
          <w:sz w:val="24"/>
          <w:szCs w:val="24"/>
          <w:rtl w:val="0"/>
          <w:lang w:val="it-IT"/>
        </w:rPr>
        <w:t xml:space="preserve">à </w:t>
      </w:r>
      <w:r>
        <w:rPr>
          <w:rFonts w:ascii="Book Antiqua"/>
          <w:sz w:val="24"/>
          <w:szCs w:val="24"/>
          <w:rtl w:val="0"/>
          <w:lang w:val="it-IT"/>
        </w:rPr>
        <w:t>del gruppo era di tre milioni di lire al mese, posso dirvi che i ragazzi del Salzillo erano circa trenta</w:t>
      </w:r>
      <w:r>
        <w:rPr>
          <w:rFonts w:hAnsi="Book Antiqua" w:hint="default"/>
          <w:sz w:val="24"/>
          <w:szCs w:val="24"/>
          <w:rtl w:val="0"/>
          <w:lang w:val="it-IT"/>
        </w:rPr>
        <w:t>”</w:t>
      </w:r>
      <w:r>
        <w:rPr>
          <w:rFonts w:ascii="Book Antiqua"/>
          <w:sz w:val="24"/>
          <w:szCs w:val="24"/>
          <w:rtl w:val="0"/>
          <w:lang w:val="it-IT"/>
        </w:rPr>
        <w:t>.</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L'area a sud di Sabaudia, compresa tra Terracina e Formia/Gaeta, era controllata da Gennaro De Angelis, che gestiva un florido commercio di automobili. Uomo di fiducia del clan a Formia era il proprietario della discoteca SevenUp (poi distrutta da un incendio, probabilmente doloso) era Aldo Ferrucci. Altra figura sicuramente strategica per il clan a Formia era Ernesto Bardellino, fratello di Antonio, ex sindaco di San Cipriano d'Aversa.</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Schiavone aveva gi</w:t>
      </w:r>
      <w:r>
        <w:rPr>
          <w:rFonts w:hAnsi="Book Antiqua" w:hint="default"/>
          <w:sz w:val="24"/>
          <w:szCs w:val="24"/>
          <w:rtl w:val="0"/>
          <w:lang w:val="it-IT"/>
        </w:rPr>
        <w:t xml:space="preserve">à </w:t>
      </w:r>
      <w:r>
        <w:rPr>
          <w:rFonts w:ascii="Book Antiqua"/>
          <w:sz w:val="24"/>
          <w:szCs w:val="24"/>
          <w:rtl w:val="0"/>
          <w:lang w:val="it-IT"/>
        </w:rPr>
        <w:t>riferito negli interrogatori resi davanti all'autorit</w:t>
      </w:r>
      <w:r>
        <w:rPr>
          <w:rFonts w:hAnsi="Book Antiqua" w:hint="default"/>
          <w:sz w:val="24"/>
          <w:szCs w:val="24"/>
          <w:rtl w:val="0"/>
          <w:lang w:val="it-IT"/>
        </w:rPr>
        <w:t xml:space="preserve">à </w:t>
      </w:r>
      <w:r>
        <w:rPr>
          <w:rFonts w:ascii="Book Antiqua"/>
          <w:sz w:val="24"/>
          <w:szCs w:val="24"/>
          <w:rtl w:val="0"/>
          <w:lang w:val="it-IT"/>
        </w:rPr>
        <w:t xml:space="preserve">giudiziaria di Napoli sugli investimenti realizzati dal clan in provincia di Latina. Nell'interrogatorio del marzo 1996 fornisce ulteriori dettagli, concentrando l'attenzione sull'area di Borgo Montello (comune di Latina). </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Altre informazioni sono desumibili dallo stenografico dell'audizione di Carmine Schiavone in Commissione parlamentare d</w:t>
      </w:r>
      <w:r>
        <w:rPr>
          <w:rFonts w:hAnsi="Book Antiqua" w:hint="default"/>
          <w:sz w:val="24"/>
          <w:szCs w:val="24"/>
          <w:rtl w:val="0"/>
          <w:lang w:val="it-IT"/>
        </w:rPr>
        <w:t>’</w:t>
      </w:r>
      <w:r>
        <w:rPr>
          <w:rFonts w:ascii="Book Antiqua"/>
          <w:sz w:val="24"/>
          <w:szCs w:val="24"/>
          <w:rtl w:val="0"/>
          <w:lang w:val="it-IT"/>
        </w:rPr>
        <w:t xml:space="preserve">inchiesta sul ciclo dei rifiuti nella XIII legislatura, del 7 ottobre 1997: </w:t>
      </w:r>
    </w:p>
    <w:p>
      <w:pPr>
        <w:pStyle w:val="Corpo A"/>
        <w:ind w:left="567" w:right="567" w:firstLine="0"/>
        <w:jc w:val="both"/>
        <w:rPr>
          <w:rFonts w:ascii="Book Antiqua" w:cs="Book Antiqua" w:hAnsi="Book Antiqua" w:eastAsia="Book Antiqua"/>
          <w:sz w:val="24"/>
          <w:szCs w:val="24"/>
          <w:lang w:val="it-IT"/>
        </w:rPr>
      </w:pPr>
      <w:r>
        <w:rPr>
          <w:rFonts w:hAnsi="Book Antiqua" w:hint="default"/>
          <w:sz w:val="24"/>
          <w:szCs w:val="24"/>
          <w:rtl w:val="0"/>
          <w:lang w:val="it-IT"/>
        </w:rPr>
        <w:t>“</w:t>
      </w:r>
      <w:r>
        <w:rPr>
          <w:rFonts w:ascii="Book Antiqua"/>
          <w:sz w:val="24"/>
          <w:szCs w:val="24"/>
          <w:rtl w:val="0"/>
          <w:lang w:val="it-IT"/>
        </w:rPr>
        <w:t>Per quanto riguarda i rifiuti noi gi</w:t>
      </w:r>
      <w:r>
        <w:rPr>
          <w:rFonts w:hAnsi="Book Antiqua" w:hint="default"/>
          <w:sz w:val="24"/>
          <w:szCs w:val="24"/>
          <w:rtl w:val="0"/>
          <w:lang w:val="it-IT"/>
        </w:rPr>
        <w:t xml:space="preserve">à </w:t>
      </w:r>
      <w:r>
        <w:rPr>
          <w:rFonts w:ascii="Book Antiqua"/>
          <w:sz w:val="24"/>
          <w:szCs w:val="24"/>
          <w:rtl w:val="0"/>
          <w:lang w:val="it-IT"/>
        </w:rPr>
        <w:t>arrivavamo fino alla zona di Latina; Borgo San Michele e le zone vicine erano gi</w:t>
      </w:r>
      <w:r>
        <w:rPr>
          <w:rFonts w:hAnsi="Book Antiqua" w:hint="default"/>
          <w:sz w:val="24"/>
          <w:szCs w:val="24"/>
          <w:rtl w:val="0"/>
          <w:lang w:val="it-IT"/>
        </w:rPr>
        <w:t xml:space="preserve">à </w:t>
      </w:r>
      <w:r>
        <w:rPr>
          <w:rFonts w:ascii="Book Antiqua"/>
          <w:sz w:val="24"/>
          <w:szCs w:val="24"/>
          <w:rtl w:val="0"/>
          <w:lang w:val="it-IT"/>
        </w:rPr>
        <w:t>di influenza bardelliniana, perch</w:t>
      </w:r>
      <w:r>
        <w:rPr>
          <w:rFonts w:hAnsi="Book Antiqua" w:hint="default"/>
          <w:sz w:val="24"/>
          <w:szCs w:val="24"/>
          <w:rtl w:val="0"/>
          <w:lang w:val="it-IT"/>
        </w:rPr>
        <w:t xml:space="preserve">é </w:t>
      </w:r>
      <w:r>
        <w:rPr>
          <w:rFonts w:ascii="Book Antiqua"/>
          <w:sz w:val="24"/>
          <w:szCs w:val="24"/>
          <w:rtl w:val="0"/>
          <w:lang w:val="it-IT"/>
        </w:rPr>
        <w:t>avevano societ</w:t>
      </w:r>
      <w:r>
        <w:rPr>
          <w:rFonts w:hAnsi="Book Antiqua" w:hint="default"/>
          <w:sz w:val="24"/>
          <w:szCs w:val="24"/>
          <w:rtl w:val="0"/>
          <w:lang w:val="it-IT"/>
        </w:rPr>
        <w:t xml:space="preserve">à </w:t>
      </w:r>
      <w:r>
        <w:rPr>
          <w:rFonts w:ascii="Book Antiqua"/>
          <w:sz w:val="24"/>
          <w:szCs w:val="24"/>
          <w:rtl w:val="0"/>
          <w:lang w:val="it-IT"/>
        </w:rPr>
        <w:t>che vendevano nella zona di Latina insieme ai Diana</w:t>
      </w:r>
      <w:r>
        <w:rPr>
          <w:rFonts w:hAnsi="Book Antiqua" w:hint="default"/>
          <w:sz w:val="24"/>
          <w:szCs w:val="24"/>
          <w:rtl w:val="0"/>
          <w:lang w:val="it-IT"/>
        </w:rPr>
        <w:t>”</w:t>
      </w:r>
      <w:r>
        <w:rPr>
          <w:rFonts w:ascii="Book Antiqua"/>
          <w:sz w:val="24"/>
          <w:szCs w:val="24"/>
          <w:rtl w:val="0"/>
          <w:lang w:val="it-IT"/>
        </w:rPr>
        <w:t xml:space="preserve">. Lo Schiavone aggiunge poi un dettaglio molto importante: </w:t>
      </w:r>
      <w:r>
        <w:rPr>
          <w:rFonts w:hAnsi="Book Antiqua" w:hint="default"/>
          <w:sz w:val="24"/>
          <w:szCs w:val="24"/>
          <w:rtl w:val="0"/>
          <w:lang w:val="it-IT"/>
        </w:rPr>
        <w:t>“</w:t>
      </w:r>
      <w:r>
        <w:rPr>
          <w:rFonts w:ascii="Book Antiqua"/>
          <w:sz w:val="24"/>
          <w:szCs w:val="24"/>
          <w:rtl w:val="0"/>
          <w:lang w:val="it-IT"/>
        </w:rPr>
        <w:t>Dopo la guerra del 1988 contro i Bardellino, arrivammo noi [ovvero la famiglia Schiavone]. Io e mio cugino avevamo comprato un'azienda, che mi sono fatto sequestrare perch</w:t>
      </w:r>
      <w:r>
        <w:rPr>
          <w:rFonts w:hAnsi="Book Antiqua" w:hint="default"/>
          <w:sz w:val="24"/>
          <w:szCs w:val="24"/>
          <w:rtl w:val="0"/>
          <w:lang w:val="it-IT"/>
        </w:rPr>
        <w:t xml:space="preserve">é </w:t>
      </w:r>
      <w:r>
        <w:rPr>
          <w:rFonts w:ascii="Book Antiqua"/>
          <w:sz w:val="24"/>
          <w:szCs w:val="24"/>
          <w:rtl w:val="0"/>
          <w:lang w:val="it-IT"/>
        </w:rPr>
        <w:t>era 'sporca', proprio nella zona di Latina</w:t>
      </w:r>
      <w:r>
        <w:rPr>
          <w:rFonts w:hAnsi="Book Antiqua" w:hint="default"/>
          <w:sz w:val="24"/>
          <w:szCs w:val="24"/>
          <w:rtl w:val="0"/>
          <w:lang w:val="it-IT"/>
        </w:rPr>
        <w:t>”</w:t>
      </w:r>
      <w:r>
        <w:rPr>
          <w:rFonts w:ascii="Book Antiqua" w:cs="Book Antiqua" w:hAnsi="Book Antiqua" w:eastAsia="Book Antiqua"/>
          <w:sz w:val="24"/>
          <w:szCs w:val="24"/>
          <w:vertAlign w:val="superscript"/>
          <w:rtl w:val="0"/>
        </w:rPr>
        <w:footnoteReference w:id="302"/>
      </w:r>
      <w:r>
        <w:rPr>
          <w:rFonts w:ascii="Book Antiqua"/>
          <w:sz w:val="24"/>
          <w:szCs w:val="24"/>
          <w:rtl w:val="0"/>
          <w:lang w:val="it-IT"/>
        </w:rPr>
        <w:t>.</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 xml:space="preserve">Rispetto a questo investimento lo Schiavone aveva riferito nel 1996: </w:t>
      </w:r>
      <w:r>
        <w:rPr>
          <w:rFonts w:hAnsi="Book Antiqua" w:hint="default"/>
          <w:sz w:val="24"/>
          <w:szCs w:val="24"/>
          <w:rtl w:val="0"/>
          <w:lang w:val="it-IT"/>
        </w:rPr>
        <w:t>“</w:t>
      </w:r>
      <w:r>
        <w:rPr>
          <w:rFonts w:ascii="Book Antiqua"/>
          <w:sz w:val="24"/>
          <w:szCs w:val="24"/>
          <w:rtl w:val="0"/>
          <w:lang w:val="it-IT"/>
        </w:rPr>
        <w:t>Come ho gi</w:t>
      </w:r>
      <w:r>
        <w:rPr>
          <w:rFonts w:hAnsi="Book Antiqua" w:hint="default"/>
          <w:sz w:val="24"/>
          <w:szCs w:val="24"/>
          <w:rtl w:val="0"/>
          <w:lang w:val="it-IT"/>
        </w:rPr>
        <w:t xml:space="preserve">à </w:t>
      </w:r>
      <w:r>
        <w:rPr>
          <w:rFonts w:ascii="Book Antiqua"/>
          <w:sz w:val="24"/>
          <w:szCs w:val="24"/>
          <w:rtl w:val="0"/>
          <w:lang w:val="it-IT"/>
        </w:rPr>
        <w:t>avuto modo di riferire nella mia collaborazione a Napoli, proprio a Latina il mio gruppo ha realizzato un investimento di notevole entit</w:t>
      </w:r>
      <w:r>
        <w:rPr>
          <w:rFonts w:hAnsi="Book Antiqua" w:hint="default"/>
          <w:sz w:val="24"/>
          <w:szCs w:val="24"/>
          <w:rtl w:val="0"/>
          <w:lang w:val="it-IT"/>
        </w:rPr>
        <w:t xml:space="preserve">à </w:t>
      </w:r>
      <w:r>
        <w:rPr>
          <w:rFonts w:ascii="Book Antiqua"/>
          <w:sz w:val="24"/>
          <w:szCs w:val="24"/>
          <w:rtl w:val="0"/>
          <w:lang w:val="it-IT"/>
        </w:rPr>
        <w:t>in un'azienda agricola a Borgo Montello, ora non so se sottoposta a sequestro, costata alle casse del clan circa tre miliardi, comprensivi dei lavori fatti nei vigneti e nelle altre colture</w:t>
      </w:r>
      <w:r>
        <w:rPr>
          <w:rFonts w:hAnsi="Book Antiqua" w:hint="default"/>
          <w:sz w:val="24"/>
          <w:szCs w:val="24"/>
          <w:rtl w:val="0"/>
          <w:lang w:val="it-IT"/>
        </w:rPr>
        <w:t>”</w:t>
      </w:r>
      <w:r>
        <w:rPr>
          <w:rFonts w:ascii="Book Antiqua" w:cs="Book Antiqua" w:hAnsi="Book Antiqua" w:eastAsia="Book Antiqua"/>
          <w:sz w:val="24"/>
          <w:szCs w:val="24"/>
          <w:vertAlign w:val="superscript"/>
          <w:rtl w:val="0"/>
        </w:rPr>
        <w:footnoteReference w:id="303"/>
      </w:r>
      <w:r>
        <w:rPr>
          <w:rFonts w:ascii="Book Antiqua"/>
          <w:sz w:val="24"/>
          <w:szCs w:val="24"/>
          <w:rtl w:val="0"/>
          <w:lang w:val="it-IT"/>
        </w:rPr>
        <w:t xml:space="preserve">.  </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 xml:space="preserve">Ancora: </w:t>
      </w:r>
      <w:r>
        <w:rPr>
          <w:rFonts w:hAnsi="Book Antiqua" w:hint="default"/>
          <w:sz w:val="24"/>
          <w:szCs w:val="24"/>
          <w:rtl w:val="0"/>
          <w:lang w:val="it-IT"/>
        </w:rPr>
        <w:t>“</w:t>
      </w:r>
      <w:r>
        <w:rPr>
          <w:rFonts w:ascii="Book Antiqua"/>
          <w:sz w:val="24"/>
          <w:szCs w:val="24"/>
          <w:rtl w:val="0"/>
          <w:lang w:val="it-IT"/>
        </w:rPr>
        <w:t>L'azienda agricola acquistata qui a Borgo Montello, di cui ho gi</w:t>
      </w:r>
      <w:r>
        <w:rPr>
          <w:rFonts w:hAnsi="Book Antiqua" w:hint="default"/>
          <w:sz w:val="24"/>
          <w:szCs w:val="24"/>
          <w:rtl w:val="0"/>
          <w:lang w:val="it-IT"/>
        </w:rPr>
        <w:t xml:space="preserve">à </w:t>
      </w:r>
      <w:r>
        <w:rPr>
          <w:rFonts w:ascii="Book Antiqua"/>
          <w:sz w:val="24"/>
          <w:szCs w:val="24"/>
          <w:rtl w:val="0"/>
          <w:lang w:val="it-IT"/>
        </w:rPr>
        <w:t>parlato, era intestata a mio cugino Antonio Schiavone fu Giovanni, persona incensurata ed alla quale mi rivolsi io per chiedere di intestarsi il bene che comunque consideravo mio e di mio cugino Sandokan</w:t>
      </w:r>
      <w:r>
        <w:rPr>
          <w:rFonts w:hAnsi="Book Antiqua" w:hint="default"/>
          <w:sz w:val="24"/>
          <w:szCs w:val="24"/>
          <w:rtl w:val="0"/>
          <w:lang w:val="it-IT"/>
        </w:rPr>
        <w:t xml:space="preserve">” </w:t>
      </w:r>
      <w:r>
        <w:rPr>
          <w:rFonts w:ascii="Book Antiqua" w:cs="Book Antiqua" w:hAnsi="Book Antiqua" w:eastAsia="Book Antiqua"/>
          <w:sz w:val="24"/>
          <w:szCs w:val="24"/>
          <w:vertAlign w:val="superscript"/>
          <w:rtl w:val="0"/>
        </w:rPr>
        <w:footnoteReference w:id="304"/>
      </w:r>
      <w:r>
        <w:rPr>
          <w:rFonts w:ascii="Book Antiqua"/>
          <w:sz w:val="24"/>
          <w:szCs w:val="24"/>
          <w:rtl w:val="0"/>
          <w:lang w:val="it-IT"/>
        </w:rPr>
        <w:t>.</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 xml:space="preserve">Dunque dopo il 1988 </w:t>
      </w:r>
      <w:r>
        <w:rPr>
          <w:rFonts w:hAnsi="Book Antiqua" w:hint="default"/>
          <w:sz w:val="24"/>
          <w:szCs w:val="24"/>
          <w:rtl w:val="0"/>
          <w:lang w:val="it-IT"/>
        </w:rPr>
        <w:t xml:space="preserve">– </w:t>
      </w:r>
      <w:r>
        <w:rPr>
          <w:rFonts w:ascii="Book Antiqua"/>
          <w:sz w:val="24"/>
          <w:szCs w:val="24"/>
          <w:rtl w:val="0"/>
          <w:lang w:val="it-IT"/>
        </w:rPr>
        <w:t xml:space="preserve">anno dell'omicidio di Antonio Bardellino e dell'ascesa del gruppo Schiavone ai vertici del clan </w:t>
      </w:r>
      <w:r>
        <w:rPr>
          <w:rFonts w:hAnsi="Book Antiqua" w:hint="default"/>
          <w:sz w:val="24"/>
          <w:szCs w:val="24"/>
          <w:rtl w:val="0"/>
          <w:lang w:val="it-IT"/>
        </w:rPr>
        <w:t xml:space="preserve">– </w:t>
      </w:r>
      <w:r>
        <w:rPr>
          <w:rFonts w:ascii="Book Antiqua"/>
          <w:sz w:val="24"/>
          <w:szCs w:val="24"/>
          <w:rtl w:val="0"/>
          <w:lang w:val="it-IT"/>
        </w:rPr>
        <w:t>lo stesso Carmine Schiavone, in qualit</w:t>
      </w:r>
      <w:r>
        <w:rPr>
          <w:rFonts w:hAnsi="Book Antiqua" w:hint="default"/>
          <w:sz w:val="24"/>
          <w:szCs w:val="24"/>
          <w:rtl w:val="0"/>
          <w:lang w:val="it-IT"/>
        </w:rPr>
        <w:t xml:space="preserve">à </w:t>
      </w:r>
      <w:r>
        <w:rPr>
          <w:rFonts w:ascii="Book Antiqua"/>
          <w:sz w:val="24"/>
          <w:szCs w:val="24"/>
          <w:rtl w:val="0"/>
          <w:lang w:val="it-IT"/>
        </w:rPr>
        <w:t xml:space="preserve">di cassiere del gruppo, decide di investire la considerevole cifra di tre miliardi di lire nell'area di Borgo Montello, dove, fin dal 1972, funzionava una discarica per rifiuti solidi urbani. </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Rispetto a questo investimento esiste un riscontro documentale diretto relativo all'acquisto della propriet</w:t>
      </w:r>
      <w:r>
        <w:rPr>
          <w:rFonts w:hAnsi="Book Antiqua" w:hint="default"/>
          <w:sz w:val="24"/>
          <w:szCs w:val="24"/>
          <w:rtl w:val="0"/>
          <w:lang w:val="it-IT"/>
        </w:rPr>
        <w:t xml:space="preserve">à </w:t>
      </w:r>
      <w:r>
        <w:rPr>
          <w:rFonts w:ascii="Book Antiqua"/>
          <w:sz w:val="24"/>
          <w:szCs w:val="24"/>
          <w:rtl w:val="0"/>
          <w:lang w:val="it-IT"/>
        </w:rPr>
        <w:t>e alla confisca di una parte delle terre acquistate dalla famiglia Schiavone. Il 6 ottobre 1989 il notaio Raffaella Mandato di Latina registra presso la conservatoria dei registri immobiliari di Latina la nota di trascrizione dell'atto di vendita a favore di Antonio Schiavone</w:t>
      </w:r>
      <w:r>
        <w:rPr>
          <w:rFonts w:ascii="Book Antiqua" w:cs="Book Antiqua" w:hAnsi="Book Antiqua" w:eastAsia="Book Antiqua"/>
          <w:sz w:val="24"/>
          <w:szCs w:val="24"/>
          <w:vertAlign w:val="superscript"/>
          <w:rtl w:val="0"/>
        </w:rPr>
        <w:footnoteReference w:id="305"/>
      </w:r>
      <w:r>
        <w:rPr>
          <w:rFonts w:ascii="Book Antiqua"/>
          <w:sz w:val="24"/>
          <w:szCs w:val="24"/>
          <w:rtl w:val="0"/>
          <w:lang w:val="it-IT"/>
        </w:rPr>
        <w:t>, di un fondo rustico sito in localit</w:t>
      </w:r>
      <w:r>
        <w:rPr>
          <w:rFonts w:hAnsi="Book Antiqua" w:hint="default"/>
          <w:sz w:val="24"/>
          <w:szCs w:val="24"/>
          <w:rtl w:val="0"/>
          <w:lang w:val="it-IT"/>
        </w:rPr>
        <w:t xml:space="preserve">à </w:t>
      </w:r>
      <w:r>
        <w:rPr>
          <w:rFonts w:ascii="Book Antiqua"/>
          <w:sz w:val="24"/>
          <w:szCs w:val="24"/>
          <w:rtl w:val="0"/>
          <w:lang w:val="it-IT"/>
        </w:rPr>
        <w:t>Borgo Montello, via del Pero, di diciassette ettari</w:t>
      </w:r>
      <w:r>
        <w:rPr>
          <w:rFonts w:ascii="Book Antiqua" w:cs="Book Antiqua" w:hAnsi="Book Antiqua" w:eastAsia="Book Antiqua"/>
          <w:sz w:val="24"/>
          <w:szCs w:val="24"/>
          <w:vertAlign w:val="superscript"/>
          <w:rtl w:val="0"/>
        </w:rPr>
        <w:footnoteReference w:id="306"/>
      </w:r>
      <w:r>
        <w:rPr>
          <w:rFonts w:ascii="Book Antiqua"/>
          <w:sz w:val="24"/>
          <w:szCs w:val="24"/>
          <w:rtl w:val="0"/>
          <w:lang w:val="it-IT"/>
        </w:rPr>
        <w:t>. Una seconda propriet</w:t>
      </w:r>
      <w:r>
        <w:rPr>
          <w:rFonts w:hAnsi="Book Antiqua" w:hint="default"/>
          <w:sz w:val="24"/>
          <w:szCs w:val="24"/>
          <w:rtl w:val="0"/>
          <w:lang w:val="it-IT"/>
        </w:rPr>
        <w:t xml:space="preserve">à </w:t>
      </w:r>
      <w:r>
        <w:rPr>
          <w:rFonts w:ascii="Book Antiqua"/>
          <w:sz w:val="24"/>
          <w:szCs w:val="24"/>
          <w:rtl w:val="0"/>
          <w:lang w:val="it-IT"/>
        </w:rPr>
        <w:t>intestata a Nicola Schiavone, sita nel comune di Cisterna di Latina, localit</w:t>
      </w:r>
      <w:r>
        <w:rPr>
          <w:rFonts w:hAnsi="Book Antiqua" w:hint="default"/>
          <w:sz w:val="24"/>
          <w:szCs w:val="24"/>
          <w:rtl w:val="0"/>
          <w:lang w:val="it-IT"/>
        </w:rPr>
        <w:t xml:space="preserve">à </w:t>
      </w:r>
      <w:r>
        <w:rPr>
          <w:rFonts w:ascii="Book Antiqua"/>
          <w:sz w:val="24"/>
          <w:szCs w:val="24"/>
          <w:rtl w:val="0"/>
          <w:lang w:val="it-IT"/>
        </w:rPr>
        <w:t xml:space="preserve">Piano Rosso, via della Curva Snc (poco distante da Borgo Montello) </w:t>
      </w:r>
      <w:r>
        <w:rPr>
          <w:rFonts w:hAnsi="Book Antiqua" w:hint="default"/>
          <w:sz w:val="24"/>
          <w:szCs w:val="24"/>
          <w:rtl w:val="0"/>
          <w:lang w:val="it-IT"/>
        </w:rPr>
        <w:t xml:space="preserve">è </w:t>
      </w:r>
      <w:r>
        <w:rPr>
          <w:rFonts w:ascii="Book Antiqua"/>
          <w:sz w:val="24"/>
          <w:szCs w:val="24"/>
          <w:rtl w:val="0"/>
          <w:lang w:val="it-IT"/>
        </w:rPr>
        <w:t>stata definitivamente confiscata il 7 febbraio 2002.</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 xml:space="preserve">La collocazione geografica dei diciassette ettari acquistati nel 1989 da Antonio Schiavone </w:t>
      </w:r>
      <w:r>
        <w:rPr>
          <w:rFonts w:hAnsi="Book Antiqua" w:hint="default"/>
          <w:sz w:val="24"/>
          <w:szCs w:val="24"/>
          <w:rtl w:val="0"/>
          <w:lang w:val="it-IT"/>
        </w:rPr>
        <w:t xml:space="preserve">– </w:t>
      </w:r>
      <w:r>
        <w:rPr>
          <w:rFonts w:ascii="Book Antiqua"/>
          <w:sz w:val="24"/>
          <w:szCs w:val="24"/>
          <w:rtl w:val="0"/>
          <w:lang w:val="it-IT"/>
        </w:rPr>
        <w:t xml:space="preserve">su mandato dell'allora cassiere del clan, secondo le dichiarazioni del collaboratore di giustizia Carmine Schiavone </w:t>
      </w:r>
      <w:r>
        <w:rPr>
          <w:rFonts w:hAnsi="Book Antiqua" w:hint="default"/>
          <w:sz w:val="24"/>
          <w:szCs w:val="24"/>
          <w:rtl w:val="0"/>
          <w:lang w:val="it-IT"/>
        </w:rPr>
        <w:t xml:space="preserve">– è </w:t>
      </w:r>
      <w:r>
        <w:rPr>
          <w:rFonts w:ascii="Book Antiqua"/>
          <w:sz w:val="24"/>
          <w:szCs w:val="24"/>
          <w:rtl w:val="0"/>
          <w:lang w:val="it-IT"/>
        </w:rPr>
        <w:t xml:space="preserve">particolare. </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La propriet</w:t>
      </w:r>
      <w:r>
        <w:rPr>
          <w:rFonts w:hAnsi="Book Antiqua" w:hint="default"/>
          <w:sz w:val="24"/>
          <w:szCs w:val="24"/>
          <w:rtl w:val="0"/>
          <w:lang w:val="it-IT"/>
        </w:rPr>
        <w:t xml:space="preserve">à è </w:t>
      </w:r>
      <w:r>
        <w:rPr>
          <w:rFonts w:ascii="Book Antiqua"/>
          <w:sz w:val="24"/>
          <w:szCs w:val="24"/>
          <w:rtl w:val="0"/>
          <w:lang w:val="it-IT"/>
        </w:rPr>
        <w:t>infatti sita a fianco dell'area occupata, fin dal 1972, dalla discarica di Borgo Montello.</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 xml:space="preserve">La scelta della zona sembrerebbe non essere casuale. Dichiarava nel 1996 Schiavone: </w:t>
      </w:r>
      <w:r>
        <w:rPr>
          <w:rFonts w:hAnsi="Book Antiqua" w:hint="default"/>
          <w:sz w:val="24"/>
          <w:szCs w:val="24"/>
          <w:rtl w:val="0"/>
          <w:lang w:val="it-IT"/>
        </w:rPr>
        <w:t>“</w:t>
      </w:r>
      <w:r>
        <w:rPr>
          <w:rFonts w:ascii="Book Antiqua"/>
          <w:sz w:val="24"/>
          <w:szCs w:val="24"/>
          <w:rtl w:val="0"/>
          <w:lang w:val="it-IT"/>
        </w:rPr>
        <w:t>Mi diceva Salzillo, ai tempi in cui faceva ancora parte del nostro gruppo, che lui operava con la discarica di Borgo Montello. Da tale struttura lui prendeva una percentuale sui rifiuti smaltiti lecitamente ed in tale struttura lui faceva occultare bidoni di rifiuti tossico o nocivi per ognuno dei quali mi diceva di prendere 500 mila lire</w:t>
      </w:r>
      <w:r>
        <w:rPr>
          <w:rFonts w:hAnsi="Book Antiqua" w:hint="default"/>
          <w:sz w:val="24"/>
          <w:szCs w:val="24"/>
          <w:rtl w:val="0"/>
          <w:lang w:val="it-IT"/>
        </w:rPr>
        <w:t>”</w:t>
      </w:r>
      <w:r>
        <w:rPr>
          <w:rFonts w:ascii="Book Antiqua" w:cs="Book Antiqua" w:hAnsi="Book Antiqua" w:eastAsia="Book Antiqua"/>
          <w:sz w:val="24"/>
          <w:szCs w:val="24"/>
          <w:vertAlign w:val="superscript"/>
          <w:rtl w:val="0"/>
        </w:rPr>
        <w:footnoteReference w:id="307"/>
      </w:r>
      <w:r>
        <w:rPr>
          <w:rFonts w:ascii="Book Antiqua"/>
          <w:sz w:val="24"/>
          <w:szCs w:val="24"/>
          <w:rtl w:val="0"/>
          <w:lang w:val="it-IT"/>
        </w:rPr>
        <w:t xml:space="preserve">. L'indicazione del prezzo stabilito per il presunto smaltimento illecito di rifiuti pericolosi era in linea con </w:t>
      </w:r>
      <w:r>
        <w:rPr>
          <w:rFonts w:hAnsi="Book Antiqua" w:hint="default"/>
          <w:sz w:val="24"/>
          <w:szCs w:val="24"/>
          <w:rtl w:val="0"/>
          <w:lang w:val="it-IT"/>
        </w:rPr>
        <w:t>“</w:t>
      </w:r>
      <w:r>
        <w:rPr>
          <w:rFonts w:ascii="Book Antiqua"/>
          <w:sz w:val="24"/>
          <w:szCs w:val="24"/>
          <w:rtl w:val="0"/>
          <w:lang w:val="it-IT"/>
        </w:rPr>
        <w:t>il mercato</w:t>
      </w:r>
      <w:r>
        <w:rPr>
          <w:rFonts w:hAnsi="Book Antiqua" w:hint="default"/>
          <w:sz w:val="24"/>
          <w:szCs w:val="24"/>
          <w:rtl w:val="0"/>
          <w:lang w:val="it-IT"/>
        </w:rPr>
        <w:t xml:space="preserve">” </w:t>
      </w:r>
      <w:r>
        <w:rPr>
          <w:rFonts w:ascii="Book Antiqua"/>
          <w:sz w:val="24"/>
          <w:szCs w:val="24"/>
          <w:rtl w:val="0"/>
          <w:lang w:val="it-IT"/>
        </w:rPr>
        <w:t>gestito dai casalesi anche nella zona del casertano, come lo stesso Schiavone ha ricostruito in Commissione d</w:t>
      </w:r>
      <w:r>
        <w:rPr>
          <w:rFonts w:hAnsi="Book Antiqua" w:hint="default"/>
          <w:sz w:val="24"/>
          <w:szCs w:val="24"/>
          <w:rtl w:val="0"/>
          <w:lang w:val="it-IT"/>
        </w:rPr>
        <w:t>’</w:t>
      </w:r>
      <w:r>
        <w:rPr>
          <w:rFonts w:ascii="Book Antiqua"/>
          <w:sz w:val="24"/>
          <w:szCs w:val="24"/>
          <w:rtl w:val="0"/>
          <w:lang w:val="it-IT"/>
        </w:rPr>
        <w:t xml:space="preserve">inchiesta sul ciclo dei rifiuti: </w:t>
      </w:r>
      <w:r>
        <w:rPr>
          <w:rFonts w:hAnsi="Book Antiqua" w:hint="default"/>
          <w:sz w:val="24"/>
          <w:szCs w:val="24"/>
          <w:rtl w:val="0"/>
          <w:lang w:val="it-IT"/>
        </w:rPr>
        <w:t>“</w:t>
      </w:r>
      <w:r>
        <w:rPr>
          <w:rFonts w:ascii="Book Antiqua"/>
          <w:sz w:val="24"/>
          <w:szCs w:val="24"/>
          <w:rtl w:val="0"/>
          <w:lang w:val="it-IT"/>
        </w:rPr>
        <w:t>Pagavano 500 mila lire a fusto, perch</w:t>
      </w:r>
      <w:r>
        <w:rPr>
          <w:rFonts w:hAnsi="Book Antiqua" w:hint="default"/>
          <w:sz w:val="24"/>
          <w:szCs w:val="24"/>
          <w:rtl w:val="0"/>
          <w:lang w:val="it-IT"/>
        </w:rPr>
        <w:t xml:space="preserve">é </w:t>
      </w:r>
      <w:r>
        <w:rPr>
          <w:rFonts w:ascii="Book Antiqua"/>
          <w:sz w:val="24"/>
          <w:szCs w:val="24"/>
          <w:rtl w:val="0"/>
          <w:lang w:val="it-IT"/>
        </w:rPr>
        <w:t>per distruggerli dovevano avere una attrezzatura speciale, per cui ci volevano 2 milioni e mezzo. Allora lui [si riferisce a Chianese e alla DiFraBi] incassava per la ditta i 2 milioni e mezzo (o i due milioni) ed il clan incassava 500 mila lire a fusto</w:t>
      </w:r>
      <w:r>
        <w:rPr>
          <w:rFonts w:hAnsi="Book Antiqua" w:hint="default"/>
          <w:sz w:val="24"/>
          <w:szCs w:val="24"/>
          <w:rtl w:val="0"/>
          <w:lang w:val="it-IT"/>
        </w:rPr>
        <w:t>”</w:t>
      </w:r>
      <w:r>
        <w:rPr>
          <w:rFonts w:ascii="Book Antiqua" w:cs="Book Antiqua" w:hAnsi="Book Antiqua" w:eastAsia="Book Antiqua"/>
          <w:sz w:val="24"/>
          <w:szCs w:val="24"/>
          <w:vertAlign w:val="superscript"/>
          <w:rtl w:val="0"/>
        </w:rPr>
        <w:footnoteReference w:id="308"/>
      </w:r>
      <w:r>
        <w:rPr>
          <w:rFonts w:ascii="Book Antiqua"/>
          <w:sz w:val="24"/>
          <w:szCs w:val="24"/>
          <w:rtl w:val="0"/>
          <w:lang w:val="it-IT"/>
        </w:rPr>
        <w:t>.</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Dunque lo schema utilizzato fino al 1988 era quello classico e tristemente noto dell'area dell'agro aversano, con un accordo tra imprese, intermediari e clan dei casalesi. Un sistema che coinvolgeva anche la provincia di Latina, come lo stesso Schiavone ha spiegato.</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 xml:space="preserve">L'inizio degli affari dei casalesi nel campo dello smaltimento illegale di rifiuti pericolosi ha una data precisa. </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Cos</w:t>
      </w:r>
      <w:r>
        <w:rPr>
          <w:rFonts w:hAnsi="Book Antiqua" w:hint="default"/>
          <w:sz w:val="24"/>
          <w:szCs w:val="24"/>
          <w:rtl w:val="0"/>
          <w:lang w:val="it-IT"/>
        </w:rPr>
        <w:t xml:space="preserve">ì </w:t>
      </w:r>
      <w:r>
        <w:rPr>
          <w:rFonts w:ascii="Book Antiqua"/>
          <w:sz w:val="24"/>
          <w:szCs w:val="24"/>
          <w:rtl w:val="0"/>
          <w:lang w:val="it-IT"/>
        </w:rPr>
        <w:t xml:space="preserve">ricostruisce i fatti Schiavone davanti alla Commissione: </w:t>
      </w:r>
    </w:p>
    <w:p>
      <w:pPr>
        <w:pStyle w:val="Corpo A"/>
        <w:ind w:left="567" w:right="567" w:firstLine="0"/>
        <w:jc w:val="both"/>
        <w:rPr>
          <w:rFonts w:ascii="Book Antiqua" w:cs="Book Antiqua" w:hAnsi="Book Antiqua" w:eastAsia="Book Antiqua"/>
          <w:sz w:val="24"/>
          <w:szCs w:val="24"/>
          <w:lang w:val="it-IT"/>
        </w:rPr>
      </w:pPr>
      <w:r>
        <w:rPr>
          <w:rFonts w:hAnsi="Book Antiqua" w:hint="default"/>
          <w:sz w:val="24"/>
          <w:szCs w:val="24"/>
          <w:rtl w:val="0"/>
          <w:lang w:val="it-IT"/>
        </w:rPr>
        <w:t>“</w:t>
      </w:r>
      <w:r>
        <w:rPr>
          <w:rFonts w:ascii="Book Antiqua"/>
          <w:sz w:val="24"/>
          <w:szCs w:val="24"/>
          <w:rtl w:val="0"/>
          <w:lang w:val="it-IT"/>
        </w:rPr>
        <w:t>Questo avveniva dal 1988 a salire. Gi</w:t>
      </w:r>
      <w:r>
        <w:rPr>
          <w:rFonts w:hAnsi="Book Antiqua" w:hint="default"/>
          <w:sz w:val="24"/>
          <w:szCs w:val="24"/>
          <w:rtl w:val="0"/>
          <w:lang w:val="it-IT"/>
        </w:rPr>
        <w:t xml:space="preserve">à </w:t>
      </w:r>
      <w:r>
        <w:rPr>
          <w:rFonts w:ascii="Book Antiqua"/>
          <w:sz w:val="24"/>
          <w:szCs w:val="24"/>
          <w:rtl w:val="0"/>
          <w:lang w:val="it-IT"/>
        </w:rPr>
        <w:t>prima, per</w:t>
      </w:r>
      <w:r>
        <w:rPr>
          <w:rFonts w:hAnsi="Book Antiqua" w:hint="default"/>
          <w:sz w:val="24"/>
          <w:szCs w:val="24"/>
          <w:rtl w:val="0"/>
          <w:lang w:val="it-IT"/>
        </w:rPr>
        <w:t>ò</w:t>
      </w:r>
      <w:r>
        <w:rPr>
          <w:rFonts w:ascii="Book Antiqua"/>
          <w:sz w:val="24"/>
          <w:szCs w:val="24"/>
          <w:rtl w:val="0"/>
          <w:lang w:val="it-IT"/>
        </w:rPr>
        <w:t>, la gestivano i Bardellino [</w:t>
      </w:r>
      <w:r>
        <w:rPr>
          <w:rFonts w:hAnsi="Book Antiqua" w:hint="default"/>
          <w:sz w:val="24"/>
          <w:szCs w:val="24"/>
          <w:rtl w:val="0"/>
          <w:lang w:val="it-IT"/>
        </w:rPr>
        <w:t>…</w:t>
      </w:r>
      <w:r>
        <w:rPr>
          <w:rFonts w:ascii="Book Antiqua"/>
          <w:sz w:val="24"/>
          <w:szCs w:val="24"/>
          <w:rtl w:val="0"/>
          <w:lang w:val="it-IT"/>
        </w:rPr>
        <w:t>] Presidente: [</w:t>
      </w:r>
      <w:r>
        <w:rPr>
          <w:rFonts w:hAnsi="Book Antiqua" w:hint="default"/>
          <w:sz w:val="24"/>
          <w:szCs w:val="24"/>
          <w:rtl w:val="0"/>
          <w:lang w:val="it-IT"/>
        </w:rPr>
        <w:t>…</w:t>
      </w:r>
      <w:r>
        <w:rPr>
          <w:rFonts w:ascii="Book Antiqua"/>
          <w:sz w:val="24"/>
          <w:szCs w:val="24"/>
          <w:rtl w:val="0"/>
          <w:lang w:val="it-IT"/>
        </w:rPr>
        <w:t xml:space="preserve">] Mi </w:t>
      </w:r>
      <w:r>
        <w:rPr>
          <w:rFonts w:hAnsi="Book Antiqua" w:hint="default"/>
          <w:sz w:val="24"/>
          <w:szCs w:val="24"/>
          <w:rtl w:val="0"/>
          <w:lang w:val="it-IT"/>
        </w:rPr>
        <w:t xml:space="preserve">è </w:t>
      </w:r>
      <w:r>
        <w:rPr>
          <w:rFonts w:ascii="Book Antiqua"/>
          <w:sz w:val="24"/>
          <w:szCs w:val="24"/>
          <w:rtl w:val="0"/>
          <w:lang w:val="it-IT"/>
        </w:rPr>
        <w:t>sembrato di capire che l'attivit</w:t>
      </w:r>
      <w:r>
        <w:rPr>
          <w:rFonts w:hAnsi="Book Antiqua" w:hint="default"/>
          <w:sz w:val="24"/>
          <w:szCs w:val="24"/>
          <w:rtl w:val="0"/>
          <w:lang w:val="it-IT"/>
        </w:rPr>
        <w:t xml:space="preserve">à </w:t>
      </w:r>
      <w:r>
        <w:rPr>
          <w:rFonts w:ascii="Book Antiqua"/>
          <w:sz w:val="24"/>
          <w:szCs w:val="24"/>
          <w:rtl w:val="0"/>
          <w:lang w:val="it-IT"/>
        </w:rPr>
        <w:t>di smaltimento illegale dei rifiuti fosse posta in essere, per conto del clan dei Bardellino, in epoca antecedente al 1988 in tutta la provincia di Latina. E' cos</w:t>
      </w:r>
      <w:r>
        <w:rPr>
          <w:rFonts w:hAnsi="Book Antiqua" w:hint="default"/>
          <w:sz w:val="24"/>
          <w:szCs w:val="24"/>
          <w:rtl w:val="0"/>
          <w:lang w:val="it-IT"/>
        </w:rPr>
        <w:t>ì</w:t>
      </w:r>
      <w:r>
        <w:rPr>
          <w:rFonts w:ascii="Book Antiqua"/>
          <w:sz w:val="24"/>
          <w:szCs w:val="24"/>
          <w:rtl w:val="0"/>
          <w:lang w:val="it-IT"/>
        </w:rPr>
        <w:t xml:space="preserve">? </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Schiavone: S</w:t>
      </w:r>
      <w:r>
        <w:rPr>
          <w:rFonts w:hAnsi="Book Antiqua" w:hint="default"/>
          <w:sz w:val="24"/>
          <w:szCs w:val="24"/>
          <w:rtl w:val="0"/>
          <w:lang w:val="it-IT"/>
        </w:rPr>
        <w:t>ì</w:t>
      </w:r>
      <w:r>
        <w:rPr>
          <w:rFonts w:ascii="Book Antiqua"/>
          <w:sz w:val="24"/>
          <w:szCs w:val="24"/>
          <w:rtl w:val="0"/>
          <w:lang w:val="it-IT"/>
        </w:rPr>
        <w:t>. Quando noi abbiamo fatto gli scavi... da noi gli scavi per la superstrada sono iniziati nel 1987, nel periodo giugno-luglio. Man mano che finivano gli scavi, questi ultimi venivano sistematicamente riempiti</w:t>
      </w:r>
      <w:r>
        <w:rPr>
          <w:rFonts w:hAnsi="Book Antiqua" w:hint="default"/>
          <w:sz w:val="24"/>
          <w:szCs w:val="24"/>
          <w:rtl w:val="0"/>
          <w:lang w:val="it-IT"/>
        </w:rPr>
        <w:t>”</w:t>
      </w:r>
      <w:r>
        <w:rPr>
          <w:rFonts w:ascii="Book Antiqua" w:cs="Book Antiqua" w:hAnsi="Book Antiqua" w:eastAsia="Book Antiqua"/>
          <w:sz w:val="24"/>
          <w:szCs w:val="24"/>
          <w:vertAlign w:val="superscript"/>
          <w:rtl w:val="0"/>
        </w:rPr>
        <w:footnoteReference w:id="309"/>
      </w:r>
      <w:r>
        <w:rPr>
          <w:rFonts w:ascii="Book Antiqua"/>
          <w:sz w:val="24"/>
          <w:szCs w:val="24"/>
          <w:rtl w:val="0"/>
          <w:lang w:val="it-IT"/>
        </w:rPr>
        <w:t>.</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 xml:space="preserve">L'investimento del clan nell'area nord della provincia di Latina, dunque, </w:t>
      </w:r>
      <w:r>
        <w:rPr>
          <w:rFonts w:hAnsi="Book Antiqua" w:hint="default"/>
          <w:sz w:val="24"/>
          <w:szCs w:val="24"/>
          <w:rtl w:val="0"/>
          <w:lang w:val="it-IT"/>
        </w:rPr>
        <w:t xml:space="preserve">è </w:t>
      </w:r>
      <w:r>
        <w:rPr>
          <w:rFonts w:ascii="Book Antiqua"/>
          <w:sz w:val="24"/>
          <w:szCs w:val="24"/>
          <w:rtl w:val="0"/>
          <w:lang w:val="it-IT"/>
        </w:rPr>
        <w:t xml:space="preserve">stato considerevole, sia nell'era della gestione Bardellino, sia successivamente con il clan Schiavone. Oltre alla cifra di tre miliardi di lire </w:t>
      </w:r>
      <w:r>
        <w:rPr>
          <w:rFonts w:hAnsi="Book Antiqua" w:hint="default"/>
          <w:sz w:val="24"/>
          <w:szCs w:val="24"/>
          <w:rtl w:val="0"/>
          <w:lang w:val="it-IT"/>
        </w:rPr>
        <w:t xml:space="preserve">– </w:t>
      </w:r>
      <w:r>
        <w:rPr>
          <w:rFonts w:ascii="Book Antiqua"/>
          <w:sz w:val="24"/>
          <w:szCs w:val="24"/>
          <w:rtl w:val="0"/>
          <w:lang w:val="it-IT"/>
        </w:rPr>
        <w:t xml:space="preserve">indicata dall'ex collaboratore di giustizia Schiavone come investimento nei terreni e  nelle opere nell'area di Borgo Montello </w:t>
      </w:r>
      <w:r>
        <w:rPr>
          <w:rFonts w:hAnsi="Book Antiqua" w:hint="default"/>
          <w:sz w:val="24"/>
          <w:szCs w:val="24"/>
          <w:rtl w:val="0"/>
          <w:lang w:val="it-IT"/>
        </w:rPr>
        <w:t xml:space="preserve">– </w:t>
      </w:r>
      <w:r>
        <w:rPr>
          <w:rFonts w:ascii="Book Antiqua"/>
          <w:sz w:val="24"/>
          <w:szCs w:val="24"/>
          <w:rtl w:val="0"/>
          <w:lang w:val="it-IT"/>
        </w:rPr>
        <w:t xml:space="preserve">il cartello dei Casalesi avrebbe mantenuto una struttura militare notevole, con un costo di circa 100 milioni di lire al mese, pari a 1,2 miliardi di lire all'anno. Questo sarebbe avvenuto almeno per quattro anni (dal 1988, anno della morte di Antonio Bardellino, al 1992, anno dell'uscita di Schiavone dal clan), con una cifra ipotetica di quasi cinque miliardi di </w:t>
      </w:r>
      <w:r>
        <w:rPr>
          <w:rFonts w:hAnsi="Book Antiqua" w:hint="default"/>
          <w:sz w:val="24"/>
          <w:szCs w:val="24"/>
          <w:rtl w:val="0"/>
          <w:lang w:val="it-IT"/>
        </w:rPr>
        <w:t>“</w:t>
      </w:r>
      <w:r>
        <w:rPr>
          <w:rFonts w:ascii="Book Antiqua"/>
          <w:sz w:val="24"/>
          <w:szCs w:val="24"/>
          <w:rtl w:val="0"/>
          <w:lang w:val="it-IT"/>
        </w:rPr>
        <w:t>costo di gestione</w:t>
      </w:r>
      <w:r>
        <w:rPr>
          <w:rFonts w:hAnsi="Book Antiqua" w:hint="default"/>
          <w:sz w:val="24"/>
          <w:szCs w:val="24"/>
          <w:rtl w:val="0"/>
          <w:lang w:val="it-IT"/>
        </w:rPr>
        <w:t>”</w:t>
      </w:r>
      <w:r>
        <w:rPr>
          <w:rFonts w:ascii="Book Antiqua"/>
          <w:sz w:val="24"/>
          <w:szCs w:val="24"/>
          <w:rtl w:val="0"/>
          <w:lang w:val="it-IT"/>
        </w:rPr>
        <w:t>.</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Secondo gli esiti di alcune indagini della direzione distrettuale antimafia (</w:t>
      </w:r>
      <w:r>
        <w:rPr>
          <w:rFonts w:hAnsi="Book Antiqua" w:hint="default"/>
          <w:sz w:val="24"/>
          <w:szCs w:val="24"/>
          <w:rtl w:val="0"/>
          <w:lang w:val="it-IT"/>
        </w:rPr>
        <w:t>“</w:t>
      </w:r>
      <w:r>
        <w:rPr>
          <w:rFonts w:ascii="Book Antiqua"/>
          <w:sz w:val="24"/>
          <w:szCs w:val="24"/>
          <w:rtl w:val="0"/>
          <w:lang w:val="it-IT"/>
        </w:rPr>
        <w:t>Anni '90</w:t>
      </w:r>
      <w:r>
        <w:rPr>
          <w:rFonts w:hAnsi="Book Antiqua" w:hint="default"/>
          <w:sz w:val="24"/>
          <w:szCs w:val="24"/>
          <w:rtl w:val="0"/>
          <w:lang w:val="it-IT"/>
        </w:rPr>
        <w:t>”</w:t>
      </w:r>
      <w:r>
        <w:rPr>
          <w:rFonts w:ascii="Book Antiqua"/>
          <w:sz w:val="24"/>
          <w:szCs w:val="24"/>
          <w:rtl w:val="0"/>
          <w:lang w:val="it-IT"/>
        </w:rPr>
        <w:t>) il clan dei Casalesi avrebbe tentato di entrare nella piazza del comune di Latina anche nella gestione del traffico di stupefacenti e delle estorsioni, scontrandosi con il clan sinti dei Di Silvio e Ciarelli, divenuti, poi, predominanti. La situazione degli ultimi anni vede una mappa dove il cartello dell'agro aversano mantiene una forte influenza sul sud pontino (sostanzialmente fino a Terracina), dopo aver lasciato la piazza del capoluogo ai sinti</w:t>
      </w:r>
      <w:r>
        <w:rPr>
          <w:rFonts w:ascii="Book Antiqua" w:cs="Book Antiqua" w:hAnsi="Book Antiqua" w:eastAsia="Book Antiqua"/>
          <w:sz w:val="24"/>
          <w:szCs w:val="24"/>
          <w:vertAlign w:val="superscript"/>
          <w:rtl w:val="0"/>
        </w:rPr>
        <w:footnoteReference w:id="310"/>
      </w:r>
      <w:r>
        <w:rPr>
          <w:rFonts w:ascii="Book Antiqua"/>
          <w:sz w:val="24"/>
          <w:szCs w:val="24"/>
          <w:rtl w:val="0"/>
          <w:lang w:val="it-IT"/>
        </w:rPr>
        <w:t xml:space="preserve"> (cfr. audizione del Questore di Latina Giuseppe De Matteis in commissione antimafia, XVII legislatura, 18 maggio 2016).</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Nel 2008 gli investimenti della famiglia Schiavone nell'area di Borgo Montello vengono dismessi, con la vendita dell'area di diciassette ettari nella via adiacente la discarica a favore della societ</w:t>
      </w:r>
      <w:r>
        <w:rPr>
          <w:rFonts w:hAnsi="Book Antiqua" w:hint="default"/>
          <w:sz w:val="24"/>
          <w:szCs w:val="24"/>
          <w:rtl w:val="0"/>
          <w:lang w:val="it-IT"/>
        </w:rPr>
        <w:t xml:space="preserve">à </w:t>
      </w:r>
      <w:r>
        <w:rPr>
          <w:rFonts w:ascii="Book Antiqua"/>
          <w:sz w:val="24"/>
          <w:szCs w:val="24"/>
          <w:rtl w:val="0"/>
          <w:lang w:val="it-IT"/>
        </w:rPr>
        <w:t>Indeco. Negli anni precedenti l'altro immobile adibito a fattoria nel comune di Cisterna di Latina (zona Piano Rosso) era stato, come gi</w:t>
      </w:r>
      <w:r>
        <w:rPr>
          <w:rFonts w:hAnsi="Book Antiqua" w:hint="default"/>
          <w:sz w:val="24"/>
          <w:szCs w:val="24"/>
          <w:rtl w:val="0"/>
          <w:lang w:val="it-IT"/>
        </w:rPr>
        <w:t xml:space="preserve">à </w:t>
      </w:r>
      <w:r>
        <w:rPr>
          <w:rFonts w:ascii="Book Antiqua"/>
          <w:sz w:val="24"/>
          <w:szCs w:val="24"/>
          <w:rtl w:val="0"/>
          <w:lang w:val="it-IT"/>
        </w:rPr>
        <w:t xml:space="preserve">detto, confiscato. Dunque il periodo di riferimento oggetto dell'approfondimento </w:t>
      </w:r>
      <w:r>
        <w:rPr>
          <w:rFonts w:hAnsi="Book Antiqua" w:hint="default"/>
          <w:sz w:val="24"/>
          <w:szCs w:val="24"/>
          <w:rtl w:val="0"/>
          <w:lang w:val="it-IT"/>
        </w:rPr>
        <w:t xml:space="preserve">è </w:t>
      </w:r>
      <w:r>
        <w:rPr>
          <w:rFonts w:ascii="Book Antiqua"/>
          <w:sz w:val="24"/>
          <w:szCs w:val="24"/>
          <w:rtl w:val="0"/>
          <w:lang w:val="it-IT"/>
        </w:rPr>
        <w:t>di due decenni, dal 1989 al 2008.</w:t>
      </w:r>
    </w:p>
    <w:p>
      <w:pPr>
        <w:pStyle w:val="Corpo A"/>
        <w:tabs>
          <w:tab w:val="left" w:pos="3713"/>
        </w:tabs>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 xml:space="preserve">Il fattore incaricato dalla famiglia Schiavone per curare gli immobili acquistati nel comune di Latina </w:t>
      </w:r>
      <w:r>
        <w:rPr>
          <w:rFonts w:hAnsi="Book Antiqua" w:hint="default"/>
          <w:sz w:val="24"/>
          <w:szCs w:val="24"/>
          <w:rtl w:val="0"/>
          <w:lang w:val="it-IT"/>
        </w:rPr>
        <w:t xml:space="preserve">– </w:t>
      </w:r>
      <w:r>
        <w:rPr>
          <w:rFonts w:ascii="Book Antiqua"/>
          <w:sz w:val="24"/>
          <w:szCs w:val="24"/>
          <w:rtl w:val="0"/>
          <w:lang w:val="it-IT"/>
        </w:rPr>
        <w:t xml:space="preserve">Borgo Montello </w:t>
      </w:r>
      <w:r>
        <w:rPr>
          <w:rFonts w:hAnsi="Book Antiqua" w:hint="default"/>
          <w:sz w:val="24"/>
          <w:szCs w:val="24"/>
          <w:rtl w:val="0"/>
          <w:lang w:val="it-IT"/>
        </w:rPr>
        <w:t xml:space="preserve">– è </w:t>
      </w:r>
      <w:r>
        <w:rPr>
          <w:rFonts w:ascii="Book Antiqua"/>
          <w:sz w:val="24"/>
          <w:szCs w:val="24"/>
          <w:rtl w:val="0"/>
          <w:lang w:val="it-IT"/>
        </w:rPr>
        <w:t xml:space="preserve">Michele Coppola. Quando nel 1996 Carmine Schiavone depone davanti ai carabinieri di Latina, Coppola </w:t>
      </w:r>
      <w:r>
        <w:rPr>
          <w:rFonts w:hAnsi="Book Antiqua" w:hint="default"/>
          <w:sz w:val="24"/>
          <w:szCs w:val="24"/>
          <w:rtl w:val="0"/>
          <w:lang w:val="it-IT"/>
        </w:rPr>
        <w:t xml:space="preserve">è </w:t>
      </w:r>
      <w:r>
        <w:rPr>
          <w:rFonts w:ascii="Book Antiqua"/>
          <w:sz w:val="24"/>
          <w:szCs w:val="24"/>
          <w:rtl w:val="0"/>
          <w:lang w:val="it-IT"/>
        </w:rPr>
        <w:t>gi</w:t>
      </w:r>
      <w:r>
        <w:rPr>
          <w:rFonts w:hAnsi="Book Antiqua" w:hint="default"/>
          <w:sz w:val="24"/>
          <w:szCs w:val="24"/>
          <w:rtl w:val="0"/>
          <w:lang w:val="it-IT"/>
        </w:rPr>
        <w:t xml:space="preserve">à </w:t>
      </w:r>
      <w:r>
        <w:rPr>
          <w:rFonts w:ascii="Book Antiqua"/>
          <w:sz w:val="24"/>
          <w:szCs w:val="24"/>
          <w:rtl w:val="0"/>
          <w:lang w:val="it-IT"/>
        </w:rPr>
        <w:t>conosciuto dalle autorit</w:t>
      </w:r>
      <w:r>
        <w:rPr>
          <w:rFonts w:hAnsi="Book Antiqua" w:hint="default"/>
          <w:sz w:val="24"/>
          <w:szCs w:val="24"/>
          <w:rtl w:val="0"/>
          <w:lang w:val="it-IT"/>
        </w:rPr>
        <w:t xml:space="preserve">à </w:t>
      </w:r>
      <w:r>
        <w:rPr>
          <w:rFonts w:ascii="Book Antiqua"/>
          <w:sz w:val="24"/>
          <w:szCs w:val="24"/>
          <w:rtl w:val="0"/>
          <w:lang w:val="it-IT"/>
        </w:rPr>
        <w:t>giudiziarie. Risulta dalle banche dati un primo arresto eseguito il 5 dicembre 1995, per associazione mafiosa (articolo 416-bis del codice penale) e porto abusivo d'armi; verr</w:t>
      </w:r>
      <w:r>
        <w:rPr>
          <w:rFonts w:hAnsi="Book Antiqua" w:hint="default"/>
          <w:sz w:val="24"/>
          <w:szCs w:val="24"/>
          <w:rtl w:val="0"/>
          <w:lang w:val="it-IT"/>
        </w:rPr>
        <w:t xml:space="preserve">à </w:t>
      </w:r>
      <w:r>
        <w:rPr>
          <w:rFonts w:ascii="Book Antiqua"/>
          <w:sz w:val="24"/>
          <w:szCs w:val="24"/>
          <w:rtl w:val="0"/>
          <w:lang w:val="it-IT"/>
        </w:rPr>
        <w:t>scarcerato il 4 marzo 1997.</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 xml:space="preserve">Michele Coppola </w:t>
      </w:r>
      <w:r>
        <w:rPr>
          <w:rFonts w:hAnsi="Book Antiqua" w:hint="default"/>
          <w:sz w:val="24"/>
          <w:szCs w:val="24"/>
          <w:rtl w:val="0"/>
          <w:lang w:val="it-IT"/>
        </w:rPr>
        <w:t xml:space="preserve">è </w:t>
      </w:r>
      <w:r>
        <w:rPr>
          <w:rFonts w:ascii="Book Antiqua"/>
          <w:sz w:val="24"/>
          <w:szCs w:val="24"/>
          <w:rtl w:val="0"/>
          <w:lang w:val="it-IT"/>
        </w:rPr>
        <w:t xml:space="preserve">stato poi colpito da un fermo per tentata estorsione aggravata dal metodo mafioso il 26 novembre del 2009, nell'ambito del procedimento penale 56021/09 r.g.n.r. della DDA di Napoli; il procedimento si </w:t>
      </w:r>
      <w:r>
        <w:rPr>
          <w:rFonts w:hAnsi="Book Antiqua" w:hint="default"/>
          <w:sz w:val="24"/>
          <w:szCs w:val="24"/>
          <w:rtl w:val="0"/>
          <w:lang w:val="it-IT"/>
        </w:rPr>
        <w:t xml:space="preserve">è </w:t>
      </w:r>
      <w:r>
        <w:rPr>
          <w:rFonts w:ascii="Book Antiqua"/>
          <w:sz w:val="24"/>
          <w:szCs w:val="24"/>
          <w:rtl w:val="0"/>
          <w:lang w:val="it-IT"/>
        </w:rPr>
        <w:t xml:space="preserve">concluso con una condanna passata in giudicato nel 2015. </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Dalle informazioni contenute negli archivi della polizia giudiziaria Coppola ha detenuto fin dagli anni '80 una importante quantit</w:t>
      </w:r>
      <w:r>
        <w:rPr>
          <w:rFonts w:hAnsi="Book Antiqua" w:hint="default"/>
          <w:sz w:val="24"/>
          <w:szCs w:val="24"/>
          <w:rtl w:val="0"/>
          <w:lang w:val="it-IT"/>
        </w:rPr>
        <w:t xml:space="preserve">à </w:t>
      </w:r>
      <w:r>
        <w:rPr>
          <w:rFonts w:ascii="Book Antiqua"/>
          <w:sz w:val="24"/>
          <w:szCs w:val="24"/>
          <w:rtl w:val="0"/>
          <w:lang w:val="it-IT"/>
        </w:rPr>
        <w:t>di armi, anche automatiche. Circostanza che conferma quanto riferito da testimoni locali, che hanno parlato di numerose armi detenute e mostrate dal Coppola</w:t>
      </w:r>
      <w:r>
        <w:rPr>
          <w:rFonts w:ascii="Book Antiqua" w:cs="Book Antiqua" w:hAnsi="Book Antiqua" w:eastAsia="Book Antiqua"/>
          <w:sz w:val="24"/>
          <w:szCs w:val="24"/>
          <w:vertAlign w:val="superscript"/>
          <w:rtl w:val="0"/>
        </w:rPr>
        <w:footnoteReference w:id="311"/>
      </w:r>
      <w:r>
        <w:rPr>
          <w:rFonts w:ascii="Book Antiqua"/>
          <w:sz w:val="24"/>
          <w:szCs w:val="24"/>
          <w:rtl w:val="0"/>
          <w:lang w:val="it-IT"/>
        </w:rPr>
        <w:t>.</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 xml:space="preserve">Nella sua deposizione del 1996 Carmine Schiavone dichiara: </w:t>
      </w:r>
    </w:p>
    <w:p>
      <w:pPr>
        <w:pStyle w:val="Corpo A"/>
        <w:ind w:left="567" w:right="567" w:firstLine="0"/>
        <w:jc w:val="both"/>
        <w:rPr>
          <w:rFonts w:ascii="Book Antiqua" w:cs="Book Antiqua" w:hAnsi="Book Antiqua" w:eastAsia="Book Antiqua"/>
          <w:sz w:val="24"/>
          <w:szCs w:val="24"/>
          <w:lang w:val="it-IT"/>
        </w:rPr>
      </w:pPr>
      <w:r>
        <w:rPr>
          <w:rFonts w:hAnsi="Book Antiqua" w:hint="default"/>
          <w:sz w:val="24"/>
          <w:szCs w:val="24"/>
          <w:rtl w:val="0"/>
          <w:lang w:val="it-IT"/>
        </w:rPr>
        <w:t>“</w:t>
      </w:r>
      <w:r>
        <w:rPr>
          <w:rFonts w:ascii="Book Antiqua"/>
          <w:sz w:val="24"/>
          <w:szCs w:val="24"/>
          <w:rtl w:val="0"/>
          <w:lang w:val="it-IT"/>
        </w:rPr>
        <w:t>L</w:t>
      </w:r>
      <w:r>
        <w:rPr>
          <w:rFonts w:hAnsi="Book Antiqua" w:hint="default"/>
          <w:sz w:val="24"/>
          <w:szCs w:val="24"/>
          <w:rtl w:val="0"/>
          <w:lang w:val="it-IT"/>
        </w:rPr>
        <w:t>’</w:t>
      </w:r>
      <w:r>
        <w:rPr>
          <w:rFonts w:ascii="Book Antiqua"/>
          <w:sz w:val="24"/>
          <w:szCs w:val="24"/>
          <w:rtl w:val="0"/>
          <w:lang w:val="it-IT"/>
        </w:rPr>
        <w:t>azienda agricola acquisita qui a Borgo Montello, di cui ho gi</w:t>
      </w:r>
      <w:r>
        <w:rPr>
          <w:rFonts w:hAnsi="Book Antiqua" w:hint="default"/>
          <w:sz w:val="24"/>
          <w:szCs w:val="24"/>
          <w:rtl w:val="0"/>
          <w:lang w:val="it-IT"/>
        </w:rPr>
        <w:t xml:space="preserve">à </w:t>
      </w:r>
      <w:r>
        <w:rPr>
          <w:rFonts w:ascii="Book Antiqua"/>
          <w:sz w:val="24"/>
          <w:szCs w:val="24"/>
          <w:rtl w:val="0"/>
          <w:lang w:val="it-IT"/>
        </w:rPr>
        <w:t>parlato, era intestata a mio cugino Antonio Schiavone fu Giovanni, persona incensurata e alla quale mi rivolsi io per chiedere di intestarsi il bene che comunque consideravo mio e di mio cugino Sandokan. So che dopo il mio pentimento il gruppo ha minacciato Antonio Schiavone che fu costretto a cedere la propriet</w:t>
      </w:r>
      <w:r>
        <w:rPr>
          <w:rFonts w:hAnsi="Book Antiqua" w:hint="default"/>
          <w:sz w:val="24"/>
          <w:szCs w:val="24"/>
          <w:rtl w:val="0"/>
          <w:lang w:val="it-IT"/>
        </w:rPr>
        <w:t xml:space="preserve">à </w:t>
      </w:r>
      <w:r>
        <w:rPr>
          <w:rFonts w:ascii="Book Antiqua"/>
          <w:sz w:val="24"/>
          <w:szCs w:val="24"/>
          <w:rtl w:val="0"/>
          <w:lang w:val="it-IT"/>
        </w:rPr>
        <w:t>alla societ</w:t>
      </w:r>
      <w:r>
        <w:rPr>
          <w:rFonts w:hAnsi="Book Antiqua" w:hint="default"/>
          <w:sz w:val="24"/>
          <w:szCs w:val="24"/>
          <w:rtl w:val="0"/>
          <w:lang w:val="it-IT"/>
        </w:rPr>
        <w:t xml:space="preserve">à </w:t>
      </w:r>
      <w:r>
        <w:rPr>
          <w:rFonts w:ascii="Book Antiqua"/>
          <w:sz w:val="24"/>
          <w:szCs w:val="24"/>
          <w:rtl w:val="0"/>
          <w:lang w:val="it-IT"/>
        </w:rPr>
        <w:t>dei Coppola, denominata Enogea. Tali Coppola, cognati di Walter Schiavone, fratello di Sandokan, erano in realt</w:t>
      </w:r>
      <w:r>
        <w:rPr>
          <w:rFonts w:hAnsi="Book Antiqua" w:hint="default"/>
          <w:sz w:val="24"/>
          <w:szCs w:val="24"/>
          <w:rtl w:val="0"/>
          <w:lang w:val="it-IT"/>
        </w:rPr>
        <w:t xml:space="preserve">à </w:t>
      </w:r>
      <w:r>
        <w:rPr>
          <w:rFonts w:ascii="Book Antiqua"/>
          <w:sz w:val="24"/>
          <w:szCs w:val="24"/>
          <w:rtl w:val="0"/>
          <w:lang w:val="it-IT"/>
        </w:rPr>
        <w:t>i fattori. In effetti il fattore era Michele Coppola, da me e da Sandokan sistemato qui a Latina in quanto si era sposato e non aveva una casa. Lo piazzammo l</w:t>
      </w:r>
      <w:r>
        <w:rPr>
          <w:rFonts w:hAnsi="Book Antiqua" w:hint="default"/>
          <w:sz w:val="24"/>
          <w:szCs w:val="24"/>
          <w:rtl w:val="0"/>
          <w:lang w:val="it-IT"/>
        </w:rPr>
        <w:t xml:space="preserve">ì </w:t>
      </w:r>
      <w:r>
        <w:rPr>
          <w:rFonts w:ascii="Book Antiqua"/>
          <w:sz w:val="24"/>
          <w:szCs w:val="24"/>
          <w:rtl w:val="0"/>
          <w:lang w:val="it-IT"/>
        </w:rPr>
        <w:t>e gli passavamo anche tre milioni al mese dalla cassa del clan poich</w:t>
      </w:r>
      <w:r>
        <w:rPr>
          <w:rFonts w:hAnsi="Book Antiqua" w:hint="default"/>
          <w:sz w:val="24"/>
          <w:szCs w:val="24"/>
          <w:rtl w:val="0"/>
          <w:lang w:val="it-IT"/>
        </w:rPr>
        <w:t xml:space="preserve">é </w:t>
      </w:r>
      <w:r>
        <w:rPr>
          <w:rFonts w:ascii="Book Antiqua"/>
          <w:sz w:val="24"/>
          <w:szCs w:val="24"/>
          <w:rtl w:val="0"/>
          <w:lang w:val="it-IT"/>
        </w:rPr>
        <w:t>l</w:t>
      </w:r>
      <w:r>
        <w:rPr>
          <w:rFonts w:hAnsi="Book Antiqua" w:hint="default"/>
          <w:sz w:val="24"/>
          <w:szCs w:val="24"/>
          <w:rtl w:val="0"/>
          <w:lang w:val="it-IT"/>
        </w:rPr>
        <w:t>’</w:t>
      </w:r>
      <w:r>
        <w:rPr>
          <w:rFonts w:ascii="Book Antiqua"/>
          <w:sz w:val="24"/>
          <w:szCs w:val="24"/>
          <w:rtl w:val="0"/>
          <w:lang w:val="it-IT"/>
        </w:rPr>
        <w:t>azienda non rendeva ancora. Antonio Coppola, fratello di Michele, era rimasto a Casale, dove aveva un</w:t>
      </w:r>
      <w:r>
        <w:rPr>
          <w:rFonts w:hAnsi="Book Antiqua" w:hint="default"/>
          <w:sz w:val="24"/>
          <w:szCs w:val="24"/>
          <w:rtl w:val="0"/>
          <w:lang w:val="it-IT"/>
        </w:rPr>
        <w:t>’</w:t>
      </w:r>
      <w:r>
        <w:rPr>
          <w:rFonts w:ascii="Book Antiqua"/>
          <w:sz w:val="24"/>
          <w:szCs w:val="24"/>
          <w:rtl w:val="0"/>
          <w:lang w:val="it-IT"/>
        </w:rPr>
        <w:t>impresa e, fino a quando non ho deciso di collaborare, non si occupava dell</w:t>
      </w:r>
      <w:r>
        <w:rPr>
          <w:rFonts w:hAnsi="Book Antiqua" w:hint="default"/>
          <w:sz w:val="24"/>
          <w:szCs w:val="24"/>
          <w:rtl w:val="0"/>
          <w:lang w:val="it-IT"/>
        </w:rPr>
        <w:t>’</w:t>
      </w:r>
      <w:r>
        <w:rPr>
          <w:rFonts w:ascii="Book Antiqua"/>
          <w:sz w:val="24"/>
          <w:szCs w:val="24"/>
          <w:rtl w:val="0"/>
          <w:lang w:val="it-IT"/>
        </w:rPr>
        <w:t>azienda di Latina</w:t>
      </w:r>
      <w:r>
        <w:rPr>
          <w:rFonts w:hAnsi="Book Antiqua" w:hint="default"/>
          <w:sz w:val="24"/>
          <w:szCs w:val="24"/>
          <w:rtl w:val="0"/>
          <w:lang w:val="it-IT"/>
        </w:rPr>
        <w:t>”</w:t>
      </w:r>
      <w:r>
        <w:rPr>
          <w:rFonts w:ascii="Book Antiqua"/>
          <w:sz w:val="24"/>
          <w:szCs w:val="24"/>
          <w:rtl w:val="0"/>
          <w:lang w:val="it-IT"/>
        </w:rPr>
        <w:t>.</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L</w:t>
      </w:r>
      <w:r>
        <w:rPr>
          <w:rFonts w:hAnsi="Book Antiqua" w:hint="default"/>
          <w:sz w:val="24"/>
          <w:szCs w:val="24"/>
          <w:rtl w:val="0"/>
          <w:lang w:val="it-IT"/>
        </w:rPr>
        <w:t>’</w:t>
      </w:r>
      <w:r>
        <w:rPr>
          <w:rFonts w:ascii="Book Antiqua"/>
          <w:sz w:val="24"/>
          <w:szCs w:val="24"/>
          <w:rtl w:val="0"/>
          <w:lang w:val="it-IT"/>
        </w:rPr>
        <w:t>episodio criminale pi</w:t>
      </w:r>
      <w:r>
        <w:rPr>
          <w:rFonts w:hAnsi="Book Antiqua" w:hint="default"/>
          <w:sz w:val="24"/>
          <w:szCs w:val="24"/>
          <w:rtl w:val="0"/>
          <w:lang w:val="it-IT"/>
        </w:rPr>
        <w:t xml:space="preserve">ù </w:t>
      </w:r>
      <w:r>
        <w:rPr>
          <w:rFonts w:ascii="Book Antiqua"/>
          <w:sz w:val="24"/>
          <w:szCs w:val="24"/>
          <w:rtl w:val="0"/>
          <w:lang w:val="it-IT"/>
        </w:rPr>
        <w:t xml:space="preserve">noto </w:t>
      </w:r>
      <w:r>
        <w:rPr>
          <w:rFonts w:hAnsi="Book Antiqua" w:hint="default"/>
          <w:sz w:val="24"/>
          <w:szCs w:val="24"/>
          <w:rtl w:val="0"/>
          <w:lang w:val="it-IT"/>
        </w:rPr>
        <w:t xml:space="preserve">– </w:t>
      </w:r>
      <w:r>
        <w:rPr>
          <w:rFonts w:ascii="Book Antiqua"/>
          <w:sz w:val="24"/>
          <w:szCs w:val="24"/>
          <w:rtl w:val="0"/>
          <w:lang w:val="it-IT"/>
        </w:rPr>
        <w:t xml:space="preserve">per il clamore suscitato </w:t>
      </w:r>
      <w:r>
        <w:rPr>
          <w:rFonts w:hAnsi="Book Antiqua" w:hint="default"/>
          <w:sz w:val="24"/>
          <w:szCs w:val="24"/>
          <w:rtl w:val="0"/>
          <w:lang w:val="it-IT"/>
        </w:rPr>
        <w:t xml:space="preserve">– </w:t>
      </w:r>
      <w:r>
        <w:rPr>
          <w:rFonts w:ascii="Book Antiqua"/>
          <w:sz w:val="24"/>
          <w:szCs w:val="24"/>
          <w:rtl w:val="0"/>
          <w:lang w:val="it-IT"/>
        </w:rPr>
        <w:t xml:space="preserve">avvenuto nella zona di Borgo Montello </w:t>
      </w:r>
      <w:r>
        <w:rPr>
          <w:rFonts w:hAnsi="Book Antiqua" w:hint="default"/>
          <w:sz w:val="24"/>
          <w:szCs w:val="24"/>
          <w:rtl w:val="0"/>
          <w:lang w:val="it-IT"/>
        </w:rPr>
        <w:t xml:space="preserve">è </w:t>
      </w:r>
      <w:r>
        <w:rPr>
          <w:rFonts w:ascii="Book Antiqua"/>
          <w:sz w:val="24"/>
          <w:szCs w:val="24"/>
          <w:rtl w:val="0"/>
          <w:lang w:val="it-IT"/>
        </w:rPr>
        <w:t>l'omicidio dell'anziano parroco don Cesare Boschin, avvenuto nella notte tra il 29 e il 30 marzo 1995. Sul caso ha indagato la procura della Repubblica di Latina, con l'ausilio dei carabinieri (stazione di Borgo Pogdora e NORM della Compagnia di Latina); una specifica delega venne affidata alla Questura di Latina, squadra mobile, nel 1996.</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Don Cesare Boschin venne ritrovato cadavere verso le ore 9 del 30 marzo 1995 da Franca Rosato, sua assistente. Era sdraiato sul suo letto con le mani legate da nastro adesivo, un giro di nastro adesivo lento attorno al collo (probabilmente sceso dalla bocca) e un asciugamano annodato attorno ad un gamba. In sede di ricognizione del cadavere venne ritrovata la dentiera tra la gola e l'esofago, facendo ipotizzare la morte per asfissia.</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L'allora procuratore della Repubblica di Latina deleg</w:t>
      </w:r>
      <w:r>
        <w:rPr>
          <w:rFonts w:hAnsi="Book Antiqua" w:hint="default"/>
          <w:sz w:val="24"/>
          <w:szCs w:val="24"/>
          <w:rtl w:val="0"/>
          <w:lang w:val="it-IT"/>
        </w:rPr>
        <w:t xml:space="preserve">ò </w:t>
      </w:r>
      <w:r>
        <w:rPr>
          <w:rFonts w:ascii="Book Antiqua"/>
          <w:sz w:val="24"/>
          <w:szCs w:val="24"/>
          <w:rtl w:val="0"/>
          <w:lang w:val="it-IT"/>
        </w:rPr>
        <w:t>per le indagini il pubblico ministero Barbara Callari. Il 21 ottobre 1995, dopo alcuni mesi di indagini il pubblico ministero chiese l'archiviazione; il fascicolo risulta archiviato dal Gip il 22 dicembre 1995.</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Due mesi dopo, il 20 febbraio 1996, viene segnalata al pubblico ministero l</w:t>
      </w:r>
      <w:r>
        <w:rPr>
          <w:rFonts w:hAnsi="Book Antiqua" w:hint="default"/>
          <w:sz w:val="24"/>
          <w:szCs w:val="24"/>
          <w:rtl w:val="0"/>
          <w:lang w:val="it-IT"/>
        </w:rPr>
        <w:t>’</w:t>
      </w:r>
      <w:r>
        <w:rPr>
          <w:rFonts w:ascii="Book Antiqua"/>
          <w:sz w:val="24"/>
          <w:szCs w:val="24"/>
          <w:rtl w:val="0"/>
          <w:lang w:val="it-IT"/>
        </w:rPr>
        <w:t>opportunit</w:t>
      </w:r>
      <w:r>
        <w:rPr>
          <w:rFonts w:hAnsi="Book Antiqua" w:hint="default"/>
          <w:sz w:val="24"/>
          <w:szCs w:val="24"/>
          <w:rtl w:val="0"/>
          <w:lang w:val="it-IT"/>
        </w:rPr>
        <w:t xml:space="preserve">à </w:t>
      </w:r>
      <w:r>
        <w:rPr>
          <w:rFonts w:ascii="Book Antiqua"/>
          <w:sz w:val="24"/>
          <w:szCs w:val="24"/>
          <w:rtl w:val="0"/>
          <w:lang w:val="it-IT"/>
        </w:rPr>
        <w:t>di chiedere la riapertura indagini con informativa a firma del comandante del NORM Carabinieri di Latina. Un</w:t>
      </w:r>
      <w:r>
        <w:rPr>
          <w:rFonts w:hAnsi="Book Antiqua" w:hint="default"/>
          <w:sz w:val="24"/>
          <w:szCs w:val="24"/>
          <w:rtl w:val="0"/>
          <w:lang w:val="it-IT"/>
        </w:rPr>
        <w:t>’</w:t>
      </w:r>
      <w:r>
        <w:rPr>
          <w:rFonts w:ascii="Book Antiqua"/>
          <w:sz w:val="24"/>
          <w:szCs w:val="24"/>
          <w:rtl w:val="0"/>
          <w:lang w:val="it-IT"/>
        </w:rPr>
        <w:t xml:space="preserve">ulteriore informativa della Squadra mobile di Latina, del 22 febbraio 1996 </w:t>
      </w:r>
      <w:r>
        <w:rPr>
          <w:rFonts w:hAnsi="Book Antiqua" w:hint="default"/>
          <w:sz w:val="24"/>
          <w:szCs w:val="24"/>
          <w:rtl w:val="0"/>
          <w:lang w:val="it-IT"/>
        </w:rPr>
        <w:t xml:space="preserve">è </w:t>
      </w:r>
      <w:r>
        <w:rPr>
          <w:rFonts w:ascii="Book Antiqua"/>
          <w:sz w:val="24"/>
          <w:szCs w:val="24"/>
          <w:rtl w:val="0"/>
          <w:lang w:val="it-IT"/>
        </w:rPr>
        <w:t>inviata alla procura con analoga richiesta di apertura delle indagini.</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Il 1</w:t>
      </w:r>
      <w:r>
        <w:rPr>
          <w:rFonts w:hAnsi="Book Antiqua" w:hint="default"/>
          <w:sz w:val="24"/>
          <w:szCs w:val="24"/>
          <w:rtl w:val="0"/>
          <w:lang w:val="it-IT"/>
        </w:rPr>
        <w:t xml:space="preserve">° </w:t>
      </w:r>
      <w:r>
        <w:rPr>
          <w:rFonts w:ascii="Book Antiqua"/>
          <w:sz w:val="24"/>
          <w:szCs w:val="24"/>
          <w:rtl w:val="0"/>
          <w:lang w:val="it-IT"/>
        </w:rPr>
        <w:t>marzo 1996 il pubblico ministero chiede al Gip la riapertura della indagini. Il 2 maggio 1996 vengono iscritti nel registro degli indagati un sacerdote di nazionalit</w:t>
      </w:r>
      <w:r>
        <w:rPr>
          <w:rFonts w:hAnsi="Book Antiqua" w:hint="default"/>
          <w:sz w:val="24"/>
          <w:szCs w:val="24"/>
          <w:rtl w:val="0"/>
          <w:lang w:val="it-IT"/>
        </w:rPr>
        <w:t xml:space="preserve">à </w:t>
      </w:r>
      <w:r>
        <w:rPr>
          <w:rFonts w:ascii="Book Antiqua"/>
          <w:sz w:val="24"/>
          <w:szCs w:val="24"/>
          <w:rtl w:val="0"/>
          <w:lang w:val="it-IT"/>
        </w:rPr>
        <w:t>colombiana e un cittadino polacco. L'8 luglio 1996 il procuratore Francesco Lazzaro assegna il fascicolo al pubblio ministero Pietro Allotta, che il 2 novembre 1999 chiede l'archiviazione del procedimento, accolta il 9 gennaio 2001 dal giudice per le indagini preliminari. Nessun ulteriore elemento a carico dei due indagati era stato acquisito.</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 xml:space="preserve">Nella prima fase delle indagini (30 marzo 1995 </w:t>
      </w:r>
      <w:r>
        <w:rPr>
          <w:rFonts w:hAnsi="Book Antiqua" w:hint="default"/>
          <w:sz w:val="24"/>
          <w:szCs w:val="24"/>
          <w:rtl w:val="0"/>
          <w:lang w:val="it-IT"/>
        </w:rPr>
        <w:t xml:space="preserve">– </w:t>
      </w:r>
      <w:r>
        <w:rPr>
          <w:rFonts w:ascii="Book Antiqua"/>
          <w:sz w:val="24"/>
          <w:szCs w:val="24"/>
          <w:rtl w:val="0"/>
          <w:lang w:val="it-IT"/>
        </w:rPr>
        <w:t>21 ottobre 1995) i Carabinieri seguirono esclusivamente la pista del delitto derivato da un tentativo di rapina o da contrasti economici (era stata individuata l'ipotesi di prestiti effettuati dal parroco). Vennero ascoltati a sommarie informazioni diversi abitanti della zona, alcuni soggetti tossicodipendenti o conosciuti per reati minori. Non venne iscritto nessuno nel registro degli indagati. Particolarmente attivo in questa fase era il maresciallo della stazione carabinieri di Borgo Pogdora, Antonio Menchella.</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Nella seconda fase d'indagini (dal febbraio 1996) l'attenzione investigativa si concentr</w:t>
      </w:r>
      <w:r>
        <w:rPr>
          <w:rFonts w:hAnsi="Book Antiqua" w:hint="default"/>
          <w:sz w:val="24"/>
          <w:szCs w:val="24"/>
          <w:rtl w:val="0"/>
          <w:lang w:val="it-IT"/>
        </w:rPr>
        <w:t xml:space="preserve">ò </w:t>
      </w:r>
      <w:r>
        <w:rPr>
          <w:rFonts w:ascii="Book Antiqua"/>
          <w:sz w:val="24"/>
          <w:szCs w:val="24"/>
          <w:rtl w:val="0"/>
          <w:lang w:val="it-IT"/>
        </w:rPr>
        <w:t>su un cittadino polacco senza fissa dimora, che aveva abbandonato la zona di Latina il 30 marzo 1995, nelle prime ore della mattina e su un sacerdote colombiano, legato a don Boschin da stretti rapporti, pare anche di natura economica (avrebbe ricevuto un prestito dall'anziano parroco), ritenuto inizialmente legato ad una famiglia di narcotrafficanti di Medellin (ipotesi poi caduta a seguito di specifica ricerca informativa, che diede risultato negativo). Anche queste due ipotesi si rivelarono inconsistenti e non supportate da indizi.</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 xml:space="preserve">Per quanto riguarda il movente </w:t>
      </w:r>
      <w:r>
        <w:rPr>
          <w:rFonts w:hAnsi="Book Antiqua" w:hint="default"/>
          <w:sz w:val="24"/>
          <w:szCs w:val="24"/>
          <w:rtl w:val="0"/>
          <w:lang w:val="it-IT"/>
        </w:rPr>
        <w:t xml:space="preserve">è </w:t>
      </w:r>
      <w:r>
        <w:rPr>
          <w:rFonts w:ascii="Book Antiqua"/>
          <w:sz w:val="24"/>
          <w:szCs w:val="24"/>
          <w:rtl w:val="0"/>
          <w:lang w:val="it-IT"/>
        </w:rPr>
        <w:t>da notare che nulla di valore venne sottratto al parroco: al polso aveva un orologio, nel portafogli circa 600 mila lire e altri oggetti (anche preziosi) nella canonica. L'ipotesi, dunque, di un omicidio come conseguenza di una rapina sembra non avere nessun fondamento negli elementi oggettivi desumibili dagli atti delle indagini; dai quali non emergono particolari approfondimenti rispetto ad altre ipotesi investigative.</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Rispetto al possibile legame dell</w:t>
      </w:r>
      <w:r>
        <w:rPr>
          <w:rFonts w:hAnsi="Book Antiqua" w:hint="default"/>
          <w:sz w:val="24"/>
          <w:szCs w:val="24"/>
          <w:rtl w:val="0"/>
          <w:lang w:val="it-IT"/>
        </w:rPr>
        <w:t>’</w:t>
      </w:r>
      <w:r>
        <w:rPr>
          <w:rFonts w:ascii="Book Antiqua"/>
          <w:sz w:val="24"/>
          <w:szCs w:val="24"/>
          <w:rtl w:val="0"/>
          <w:lang w:val="it-IT"/>
        </w:rPr>
        <w:t>omicidio Boschin con la discarica di Borgo Montello nel fascicolo sono reperibili pochi elementi. Il principale riguarda la deposizione di un agricoltore residente nella zona, ex seminarista, vicino a don Cesare Boschin, Claudio Gatto, che dichiar</w:t>
      </w:r>
      <w:r>
        <w:rPr>
          <w:rFonts w:hAnsi="Book Antiqua" w:hint="default"/>
          <w:sz w:val="24"/>
          <w:szCs w:val="24"/>
          <w:rtl w:val="0"/>
          <w:lang w:val="it-IT"/>
        </w:rPr>
        <w:t xml:space="preserve">ò </w:t>
      </w:r>
      <w:r>
        <w:rPr>
          <w:rFonts w:ascii="Book Antiqua"/>
          <w:sz w:val="24"/>
          <w:szCs w:val="24"/>
          <w:rtl w:val="0"/>
          <w:lang w:val="it-IT"/>
        </w:rPr>
        <w:t xml:space="preserve">agli investigatori: </w:t>
      </w:r>
      <w:r>
        <w:rPr>
          <w:rFonts w:hAnsi="Book Antiqua" w:hint="default"/>
          <w:sz w:val="24"/>
          <w:szCs w:val="24"/>
          <w:rtl w:val="0"/>
          <w:lang w:val="it-IT"/>
        </w:rPr>
        <w:t>“</w:t>
      </w:r>
      <w:r>
        <w:rPr>
          <w:rFonts w:ascii="Book Antiqua"/>
          <w:sz w:val="24"/>
          <w:szCs w:val="24"/>
          <w:rtl w:val="0"/>
          <w:lang w:val="it-IT"/>
        </w:rPr>
        <w:t xml:space="preserve">Ricordo infatti che una volta, circa sei-sette anni fa, don Cesare, nel narrarmi di persone dirigenti della discarica che si erano resi disponibili alla riparazione del tetto della chiesa, probabilmente per accattivarsi la sua simpatia in considerazione che la discarica non era e non </w:t>
      </w:r>
      <w:r>
        <w:rPr>
          <w:rFonts w:hAnsi="Book Antiqua" w:hint="default"/>
          <w:sz w:val="24"/>
          <w:szCs w:val="24"/>
          <w:rtl w:val="0"/>
          <w:lang w:val="it-IT"/>
        </w:rPr>
        <w:t xml:space="preserve">è </w:t>
      </w:r>
      <w:r>
        <w:rPr>
          <w:rFonts w:ascii="Book Antiqua"/>
          <w:sz w:val="24"/>
          <w:szCs w:val="24"/>
          <w:rtl w:val="0"/>
          <w:lang w:val="it-IT"/>
        </w:rPr>
        <w:t xml:space="preserve">ben vista dagli abitanti del luogo e da don Cesare in particolare, questi rispose che </w:t>
      </w:r>
      <w:r>
        <w:rPr>
          <w:rFonts w:hAnsi="Book Antiqua" w:hint="default"/>
          <w:sz w:val="24"/>
          <w:szCs w:val="24"/>
          <w:rtl w:val="0"/>
          <w:lang w:val="it-IT"/>
        </w:rPr>
        <w:t>‘</w:t>
      </w:r>
      <w:r>
        <w:rPr>
          <w:rFonts w:ascii="Book Antiqua"/>
          <w:sz w:val="24"/>
          <w:szCs w:val="24"/>
          <w:rtl w:val="0"/>
          <w:lang w:val="it-IT"/>
        </w:rPr>
        <w:t>con i soldi miei la chiesa posso rifarla dalla prima pietra</w:t>
      </w:r>
      <w:r>
        <w:rPr>
          <w:rFonts w:hAnsi="Book Antiqua" w:hint="default"/>
          <w:sz w:val="24"/>
          <w:szCs w:val="24"/>
          <w:rtl w:val="0"/>
          <w:lang w:val="it-IT"/>
        </w:rPr>
        <w:t>’”</w:t>
      </w:r>
      <w:r>
        <w:rPr>
          <w:rFonts w:ascii="Book Antiqua"/>
          <w:sz w:val="24"/>
          <w:szCs w:val="24"/>
          <w:rtl w:val="0"/>
          <w:lang w:val="it-IT"/>
        </w:rPr>
        <w:t>. Lo stesso Gatto il 29 aprile 1995 dichiara al pubblico ministero:</w:t>
      </w:r>
    </w:p>
    <w:p>
      <w:pPr>
        <w:pStyle w:val="Corpo A"/>
        <w:ind w:left="567" w:right="567" w:firstLine="0"/>
        <w:jc w:val="both"/>
        <w:rPr>
          <w:rFonts w:ascii="Book Antiqua" w:cs="Book Antiqua" w:hAnsi="Book Antiqua" w:eastAsia="Book Antiqua"/>
          <w:sz w:val="24"/>
          <w:szCs w:val="24"/>
          <w:lang w:val="it-IT"/>
        </w:rPr>
      </w:pPr>
      <w:r>
        <w:rPr>
          <w:rFonts w:hAnsi="Book Antiqua" w:hint="default"/>
          <w:sz w:val="24"/>
          <w:szCs w:val="24"/>
          <w:rtl w:val="0"/>
          <w:lang w:val="it-IT"/>
        </w:rPr>
        <w:t xml:space="preserve"> “</w:t>
      </w:r>
      <w:r>
        <w:rPr>
          <w:rFonts w:ascii="Book Antiqua"/>
          <w:sz w:val="24"/>
          <w:szCs w:val="24"/>
          <w:rtl w:val="0"/>
          <w:lang w:val="it-IT"/>
        </w:rPr>
        <w:t xml:space="preserve">ADR: Confermo quanto dichiarato ai CC; voglio precisare che la figura di don Cesare - che negli ultimi due anni effettivamente si era ritirato quasi completamente a vita privata </w:t>
      </w:r>
      <w:r>
        <w:rPr>
          <w:rFonts w:hAnsi="Book Antiqua" w:hint="default"/>
          <w:sz w:val="24"/>
          <w:szCs w:val="24"/>
          <w:rtl w:val="0"/>
          <w:lang w:val="it-IT"/>
        </w:rPr>
        <w:t xml:space="preserve">– </w:t>
      </w:r>
      <w:r>
        <w:rPr>
          <w:rFonts w:ascii="Book Antiqua"/>
          <w:sz w:val="24"/>
          <w:szCs w:val="24"/>
          <w:rtl w:val="0"/>
          <w:lang w:val="it-IT"/>
        </w:rPr>
        <w:t>conservava comunque una grande importanza nel borgo; ci</w:t>
      </w:r>
      <w:r>
        <w:rPr>
          <w:rFonts w:hAnsi="Book Antiqua" w:hint="default"/>
          <w:sz w:val="24"/>
          <w:szCs w:val="24"/>
          <w:rtl w:val="0"/>
          <w:lang w:val="it-IT"/>
        </w:rPr>
        <w:t xml:space="preserve">ò </w:t>
      </w:r>
      <w:r>
        <w:rPr>
          <w:rFonts w:ascii="Book Antiqua"/>
          <w:sz w:val="24"/>
          <w:szCs w:val="24"/>
          <w:rtl w:val="0"/>
          <w:lang w:val="it-IT"/>
        </w:rPr>
        <w:t>in quanto da una parte costituiva la memoria vivente della popolazione del borgo e dall'altra negli anni passati aveva di fatto partecipato alla vita del luogo; intendo riferirmi in particolare alle vicende che hanno riguardato la discarica negli anni passati ed attualmente la realizzazione dell'inceneritore.</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ADR: In proposito posso aggiungere che negli anni passati don Cesare aveva manifestato chiaramente la sua opposizione alla realizzazione della discarica in ci</w:t>
      </w:r>
      <w:r>
        <w:rPr>
          <w:rFonts w:hAnsi="Book Antiqua" w:hint="default"/>
          <w:sz w:val="24"/>
          <w:szCs w:val="24"/>
          <w:rtl w:val="0"/>
          <w:lang w:val="it-IT"/>
        </w:rPr>
        <w:t xml:space="preserve">ò </w:t>
      </w:r>
      <w:r>
        <w:rPr>
          <w:rFonts w:ascii="Book Antiqua"/>
          <w:sz w:val="24"/>
          <w:szCs w:val="24"/>
          <w:rtl w:val="0"/>
          <w:lang w:val="it-IT"/>
        </w:rPr>
        <w:t>sostenendo quel comitato di cittadini che io con altri del borgo avevamo fondato; in particolare mi riferisco al comitato per la tutela ambientale del quale io faccio parte cos</w:t>
      </w:r>
      <w:r>
        <w:rPr>
          <w:rFonts w:hAnsi="Book Antiqua" w:hint="default"/>
          <w:sz w:val="24"/>
          <w:szCs w:val="24"/>
          <w:rtl w:val="0"/>
          <w:lang w:val="it-IT"/>
        </w:rPr>
        <w:t xml:space="preserve">ì </w:t>
      </w:r>
      <w:r>
        <w:rPr>
          <w:rFonts w:ascii="Book Antiqua"/>
          <w:sz w:val="24"/>
          <w:szCs w:val="24"/>
          <w:rtl w:val="0"/>
          <w:lang w:val="it-IT"/>
        </w:rPr>
        <w:t xml:space="preserve">come Solazzi Loreto, Menegatti Rolando Favoriti Vittorio - attuale presidente della circoscrizione </w:t>
      </w:r>
      <w:r>
        <w:rPr>
          <w:rFonts w:hAnsi="Book Antiqua" w:hint="default"/>
          <w:sz w:val="24"/>
          <w:szCs w:val="24"/>
          <w:rtl w:val="0"/>
          <w:lang w:val="it-IT"/>
        </w:rPr>
        <w:t xml:space="preserve">– </w:t>
      </w:r>
      <w:r>
        <w:rPr>
          <w:rFonts w:ascii="Book Antiqua"/>
          <w:sz w:val="24"/>
          <w:szCs w:val="24"/>
          <w:rtl w:val="0"/>
          <w:lang w:val="it-IT"/>
        </w:rPr>
        <w:t>Gomiero Valerio, Paolo Bortoletto e svariati altri</w:t>
      </w:r>
      <w:r>
        <w:rPr>
          <w:rFonts w:hAnsi="Book Antiqua" w:hint="default"/>
          <w:sz w:val="24"/>
          <w:szCs w:val="24"/>
          <w:rtl w:val="0"/>
          <w:lang w:val="it-IT"/>
        </w:rPr>
        <w:t>”</w:t>
      </w:r>
      <w:r>
        <w:rPr>
          <w:rFonts w:ascii="Book Antiqua" w:cs="Book Antiqua" w:hAnsi="Book Antiqua" w:eastAsia="Book Antiqua"/>
          <w:sz w:val="24"/>
          <w:szCs w:val="24"/>
          <w:vertAlign w:val="superscript"/>
          <w:rtl w:val="0"/>
        </w:rPr>
        <w:footnoteReference w:id="312"/>
      </w:r>
      <w:r>
        <w:rPr>
          <w:rFonts w:ascii="Book Antiqua"/>
          <w:sz w:val="24"/>
          <w:szCs w:val="24"/>
          <w:rtl w:val="0"/>
          <w:lang w:val="it-IT"/>
        </w:rPr>
        <w:t>.</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Queste dichiarazioni non vennero, per</w:t>
      </w:r>
      <w:r>
        <w:rPr>
          <w:rFonts w:hAnsi="Book Antiqua" w:hint="default"/>
          <w:sz w:val="24"/>
          <w:szCs w:val="24"/>
          <w:rtl w:val="0"/>
          <w:lang w:val="it-IT"/>
        </w:rPr>
        <w:t>ò</w:t>
      </w:r>
      <w:r>
        <w:rPr>
          <w:rFonts w:ascii="Book Antiqua"/>
          <w:sz w:val="24"/>
          <w:szCs w:val="24"/>
          <w:rtl w:val="0"/>
          <w:lang w:val="it-IT"/>
        </w:rPr>
        <w:t>, approfondite nel corso delle indagini. E' anche vero che altri abitanti del luogo affermarono la sostanziale estraneit</w:t>
      </w:r>
      <w:r>
        <w:rPr>
          <w:rFonts w:hAnsi="Book Antiqua" w:hint="default"/>
          <w:sz w:val="24"/>
          <w:szCs w:val="24"/>
          <w:rtl w:val="0"/>
          <w:lang w:val="it-IT"/>
        </w:rPr>
        <w:t xml:space="preserve">à </w:t>
      </w:r>
      <w:r>
        <w:rPr>
          <w:rFonts w:ascii="Book Antiqua"/>
          <w:sz w:val="24"/>
          <w:szCs w:val="24"/>
          <w:rtl w:val="0"/>
          <w:lang w:val="it-IT"/>
        </w:rPr>
        <w:t>di don Cesare Boschin alle attivit</w:t>
      </w:r>
      <w:r>
        <w:rPr>
          <w:rFonts w:hAnsi="Book Antiqua" w:hint="default"/>
          <w:sz w:val="24"/>
          <w:szCs w:val="24"/>
          <w:rtl w:val="0"/>
          <w:lang w:val="it-IT"/>
        </w:rPr>
        <w:t xml:space="preserve">à </w:t>
      </w:r>
      <w:r>
        <w:rPr>
          <w:rFonts w:ascii="Book Antiqua"/>
          <w:sz w:val="24"/>
          <w:szCs w:val="24"/>
          <w:rtl w:val="0"/>
          <w:lang w:val="it-IT"/>
        </w:rPr>
        <w:t>del comitati antidiscarica. In tempi pi</w:t>
      </w:r>
      <w:r>
        <w:rPr>
          <w:rFonts w:hAnsi="Book Antiqua" w:hint="default"/>
          <w:sz w:val="24"/>
          <w:szCs w:val="24"/>
          <w:rtl w:val="0"/>
          <w:lang w:val="it-IT"/>
        </w:rPr>
        <w:t xml:space="preserve">ù </w:t>
      </w:r>
      <w:r>
        <w:rPr>
          <w:rFonts w:ascii="Book Antiqua"/>
          <w:sz w:val="24"/>
          <w:szCs w:val="24"/>
          <w:rtl w:val="0"/>
          <w:lang w:val="it-IT"/>
        </w:rPr>
        <w:t>recenti Gatto ha ulteriormente rafforzato le sue dichiarazioni in diversi articoli di stampa.</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Gli investigatori esclusero completamente anche la pista della criminalit</w:t>
      </w:r>
      <w:r>
        <w:rPr>
          <w:rFonts w:hAnsi="Book Antiqua" w:hint="default"/>
          <w:sz w:val="24"/>
          <w:szCs w:val="24"/>
          <w:rtl w:val="0"/>
          <w:lang w:val="it-IT"/>
        </w:rPr>
        <w:t xml:space="preserve">à </w:t>
      </w:r>
      <w:r>
        <w:rPr>
          <w:rFonts w:ascii="Book Antiqua"/>
          <w:sz w:val="24"/>
          <w:szCs w:val="24"/>
          <w:rtl w:val="0"/>
          <w:lang w:val="it-IT"/>
        </w:rPr>
        <w:t xml:space="preserve">organizzata. </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 xml:space="preserve">Michele Coppola </w:t>
      </w:r>
      <w:r>
        <w:rPr>
          <w:rFonts w:hAnsi="Book Antiqua" w:hint="default"/>
          <w:sz w:val="24"/>
          <w:szCs w:val="24"/>
          <w:rtl w:val="0"/>
          <w:lang w:val="it-IT"/>
        </w:rPr>
        <w:t xml:space="preserve">– </w:t>
      </w:r>
      <w:r>
        <w:rPr>
          <w:rFonts w:ascii="Book Antiqua"/>
          <w:sz w:val="24"/>
          <w:szCs w:val="24"/>
          <w:rtl w:val="0"/>
          <w:lang w:val="it-IT"/>
        </w:rPr>
        <w:t xml:space="preserve">residente all'epoca dei fatti a Borgo Montello, a ridosso della discarica - non </w:t>
      </w:r>
      <w:r>
        <w:rPr>
          <w:rFonts w:hAnsi="Book Antiqua" w:hint="default"/>
          <w:sz w:val="24"/>
          <w:szCs w:val="24"/>
          <w:rtl w:val="0"/>
          <w:lang w:val="it-IT"/>
        </w:rPr>
        <w:t xml:space="preserve">è </w:t>
      </w:r>
      <w:r>
        <w:rPr>
          <w:rFonts w:ascii="Book Antiqua"/>
          <w:sz w:val="24"/>
          <w:szCs w:val="24"/>
          <w:rtl w:val="0"/>
          <w:lang w:val="it-IT"/>
        </w:rPr>
        <w:t>stato mai interessato dalle indagini, pur essendo gi</w:t>
      </w:r>
      <w:r>
        <w:rPr>
          <w:rFonts w:hAnsi="Book Antiqua" w:hint="default"/>
          <w:sz w:val="24"/>
          <w:szCs w:val="24"/>
          <w:rtl w:val="0"/>
          <w:lang w:val="it-IT"/>
        </w:rPr>
        <w:t xml:space="preserve">à </w:t>
      </w:r>
      <w:r>
        <w:rPr>
          <w:rFonts w:ascii="Book Antiqua"/>
          <w:sz w:val="24"/>
          <w:szCs w:val="24"/>
          <w:rtl w:val="0"/>
          <w:lang w:val="it-IT"/>
        </w:rPr>
        <w:t>all'epoca un soggetto molto conosciuto nella zona ed essendo nota alla polizia giudiziaria la detenzione di diverse armi da fuoco (fatto registrato, come gi</w:t>
      </w:r>
      <w:r>
        <w:rPr>
          <w:rFonts w:hAnsi="Book Antiqua" w:hint="default"/>
          <w:sz w:val="24"/>
          <w:szCs w:val="24"/>
          <w:rtl w:val="0"/>
          <w:lang w:val="it-IT"/>
        </w:rPr>
        <w:t xml:space="preserve">à </w:t>
      </w:r>
      <w:r>
        <w:rPr>
          <w:rFonts w:ascii="Book Antiqua"/>
          <w:sz w:val="24"/>
          <w:szCs w:val="24"/>
          <w:rtl w:val="0"/>
          <w:lang w:val="it-IT"/>
        </w:rPr>
        <w:t xml:space="preserve">detto, nelle banche dati delle forze di polizia fin dagli anni '80). Anche il successivo arresto di Coppola nell'ambito dell'inchiesta sul clan dei casalesi </w:t>
      </w:r>
      <w:r>
        <w:rPr>
          <w:rFonts w:hAnsi="Book Antiqua" w:hint="default"/>
          <w:sz w:val="24"/>
          <w:szCs w:val="24"/>
          <w:rtl w:val="0"/>
          <w:lang w:val="it-IT"/>
        </w:rPr>
        <w:t>“</w:t>
      </w:r>
      <w:r>
        <w:rPr>
          <w:rFonts w:ascii="Book Antiqua"/>
          <w:sz w:val="24"/>
          <w:szCs w:val="24"/>
          <w:rtl w:val="0"/>
          <w:lang w:val="it-IT"/>
        </w:rPr>
        <w:t>Spartacus</w:t>
      </w:r>
      <w:r>
        <w:rPr>
          <w:rFonts w:hAnsi="Book Antiqua" w:hint="default"/>
          <w:sz w:val="24"/>
          <w:szCs w:val="24"/>
          <w:rtl w:val="0"/>
          <w:lang w:val="it-IT"/>
        </w:rPr>
        <w:t xml:space="preserve">” </w:t>
      </w:r>
      <w:r>
        <w:rPr>
          <w:rFonts w:ascii="Book Antiqua"/>
          <w:sz w:val="24"/>
          <w:szCs w:val="24"/>
          <w:rtl w:val="0"/>
          <w:lang w:val="it-IT"/>
        </w:rPr>
        <w:t xml:space="preserve">(avvenuto il 5 dicembre 1995) non spinse gli inquirenti ad approfondire un eventuale coinvolgimento del clan nell'omicidio. Nulla </w:t>
      </w:r>
      <w:r>
        <w:rPr>
          <w:rFonts w:hAnsi="Book Antiqua" w:hint="default"/>
          <w:sz w:val="24"/>
          <w:szCs w:val="24"/>
          <w:rtl w:val="0"/>
          <w:lang w:val="it-IT"/>
        </w:rPr>
        <w:t xml:space="preserve">è </w:t>
      </w:r>
      <w:r>
        <w:rPr>
          <w:rFonts w:ascii="Book Antiqua"/>
          <w:sz w:val="24"/>
          <w:szCs w:val="24"/>
          <w:rtl w:val="0"/>
          <w:lang w:val="it-IT"/>
        </w:rPr>
        <w:t>accaduto neanche dopo le dichiarazioni di Carmine Schiavone del marzo 1996, davanti a quelle stesse forze di polizia delegate alle indagini.</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L</w:t>
      </w:r>
      <w:r>
        <w:rPr>
          <w:rFonts w:hAnsi="Book Antiqua" w:hint="default"/>
          <w:sz w:val="24"/>
          <w:szCs w:val="24"/>
          <w:rtl w:val="0"/>
          <w:lang w:val="it-IT"/>
        </w:rPr>
        <w:t>’</w:t>
      </w:r>
      <w:r>
        <w:rPr>
          <w:rFonts w:ascii="Book Antiqua"/>
          <w:sz w:val="24"/>
          <w:szCs w:val="24"/>
          <w:rtl w:val="0"/>
          <w:lang w:val="it-IT"/>
        </w:rPr>
        <w:t>inchiesta appare per alcuni aspetti lacunosa. Nel fascicolo non sono presenti attivit</w:t>
      </w:r>
      <w:r>
        <w:rPr>
          <w:rFonts w:hAnsi="Book Antiqua" w:hint="default"/>
          <w:sz w:val="24"/>
          <w:szCs w:val="24"/>
          <w:rtl w:val="0"/>
          <w:lang w:val="it-IT"/>
        </w:rPr>
        <w:t xml:space="preserve">à </w:t>
      </w:r>
      <w:r>
        <w:rPr>
          <w:rFonts w:ascii="Book Antiqua"/>
          <w:sz w:val="24"/>
          <w:szCs w:val="24"/>
          <w:rtl w:val="0"/>
          <w:lang w:val="it-IT"/>
        </w:rPr>
        <w:t xml:space="preserve">tecniche o analisi di tabulati telefonici (ad esempio una analisi del traffico telefonico di don Cesare Boschin avrebbe potuto fornire indicazioni importanti) e le indicazioni, anche se parziali, fornite da alcuni testimoni su una eventuale pista investigativa riconducibile ai traffici illeciti di rifiuti non venne seguita fino in fondo.  </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 xml:space="preserve">A distanza di oltre due decenni dai fatti appare oggi difficile riuscire a ricostruire gli eventi. La figura di don Cesare Boschin, in ogni caso, </w:t>
      </w:r>
      <w:r>
        <w:rPr>
          <w:rFonts w:hAnsi="Book Antiqua" w:hint="default"/>
          <w:sz w:val="24"/>
          <w:szCs w:val="24"/>
          <w:rtl w:val="0"/>
          <w:lang w:val="it-IT"/>
        </w:rPr>
        <w:t xml:space="preserve">è </w:t>
      </w:r>
      <w:r>
        <w:rPr>
          <w:rFonts w:ascii="Book Antiqua"/>
          <w:sz w:val="24"/>
          <w:szCs w:val="24"/>
          <w:rtl w:val="0"/>
          <w:lang w:val="it-IT"/>
        </w:rPr>
        <w:t>nel tempo divenuta una icona della lotta alla criminalit</w:t>
      </w:r>
      <w:r>
        <w:rPr>
          <w:rFonts w:hAnsi="Book Antiqua" w:hint="default"/>
          <w:sz w:val="24"/>
          <w:szCs w:val="24"/>
          <w:rtl w:val="0"/>
          <w:lang w:val="it-IT"/>
        </w:rPr>
        <w:t xml:space="preserve">à </w:t>
      </w:r>
      <w:r>
        <w:rPr>
          <w:rFonts w:ascii="Book Antiqua"/>
          <w:sz w:val="24"/>
          <w:szCs w:val="24"/>
          <w:rtl w:val="0"/>
          <w:lang w:val="it-IT"/>
        </w:rPr>
        <w:t>mafiosa. Dunque sarebbe in ogni caso auspicabile riconsiderare quelle indagini, chiuse dall</w:t>
      </w:r>
      <w:r>
        <w:rPr>
          <w:rFonts w:hAnsi="Book Antiqua" w:hint="default"/>
          <w:sz w:val="24"/>
          <w:szCs w:val="24"/>
          <w:rtl w:val="0"/>
          <w:lang w:val="it-IT"/>
        </w:rPr>
        <w:t>’</w:t>
      </w:r>
      <w:r>
        <w:rPr>
          <w:rFonts w:ascii="Book Antiqua"/>
          <w:sz w:val="24"/>
          <w:szCs w:val="24"/>
          <w:rtl w:val="0"/>
          <w:lang w:val="it-IT"/>
        </w:rPr>
        <w:t>autorit</w:t>
      </w:r>
      <w:r>
        <w:rPr>
          <w:rFonts w:hAnsi="Book Antiqua" w:hint="default"/>
          <w:sz w:val="24"/>
          <w:szCs w:val="24"/>
          <w:rtl w:val="0"/>
          <w:lang w:val="it-IT"/>
        </w:rPr>
        <w:t xml:space="preserve">à </w:t>
      </w:r>
      <w:r>
        <w:rPr>
          <w:rFonts w:ascii="Book Antiqua"/>
          <w:sz w:val="24"/>
          <w:szCs w:val="24"/>
          <w:rtl w:val="0"/>
          <w:lang w:val="it-IT"/>
        </w:rPr>
        <w:t>giudiziaria, per tentare di ricostruire almeno il contesto, ascoltando anche i tanti collaboratori di giustizia che hanno gi</w:t>
      </w:r>
      <w:r>
        <w:rPr>
          <w:rFonts w:hAnsi="Book Antiqua" w:hint="default"/>
          <w:sz w:val="24"/>
          <w:szCs w:val="24"/>
          <w:rtl w:val="0"/>
          <w:lang w:val="it-IT"/>
        </w:rPr>
        <w:t xml:space="preserve">à </w:t>
      </w:r>
      <w:r>
        <w:rPr>
          <w:rFonts w:ascii="Book Antiqua"/>
          <w:sz w:val="24"/>
          <w:szCs w:val="24"/>
          <w:rtl w:val="0"/>
          <w:lang w:val="it-IT"/>
        </w:rPr>
        <w:t>illustrato fatti relativi al sud del Lazio.</w:t>
      </w: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sz w:val="28"/>
          <w:szCs w:val="28"/>
        </w:rPr>
      </w:pPr>
      <w:r>
        <w:rPr>
          <w:rFonts w:ascii="Book Antiqua"/>
          <w:sz w:val="28"/>
          <w:szCs w:val="28"/>
          <w:rtl w:val="0"/>
          <w:lang w:val="it-IT"/>
        </w:rPr>
        <w:t>7.3 I rifiuti di origine industriale nella discarica di Borgo Montello</w:t>
      </w:r>
    </w:p>
    <w:p>
      <w:pPr>
        <w:pStyle w:val="Corpo A"/>
        <w:ind w:left="567" w:right="567" w:firstLine="0"/>
        <w:jc w:val="both"/>
        <w:rPr>
          <w:rFonts w:ascii="Book Antiqua" w:cs="Book Antiqua" w:hAnsi="Book Antiqua" w:eastAsia="Book Antiqua"/>
          <w:sz w:val="24"/>
          <w:szCs w:val="24"/>
          <w:lang w:val="it-IT"/>
        </w:rPr>
      </w:pP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Per diversi anni si sono susseguite ipotesi - investigative e nell</w:t>
      </w:r>
      <w:r>
        <w:rPr>
          <w:rFonts w:hAnsi="Book Antiqua" w:hint="default"/>
          <w:sz w:val="24"/>
          <w:szCs w:val="24"/>
          <w:rtl w:val="0"/>
          <w:lang w:val="it-IT"/>
        </w:rPr>
        <w:t>’</w:t>
      </w:r>
      <w:r>
        <w:rPr>
          <w:rFonts w:ascii="Book Antiqua"/>
          <w:sz w:val="24"/>
          <w:szCs w:val="24"/>
          <w:rtl w:val="0"/>
          <w:lang w:val="it-IT"/>
        </w:rPr>
        <w:t>opinione pubblica - rispetto  all</w:t>
      </w:r>
      <w:r>
        <w:rPr>
          <w:rFonts w:hAnsi="Book Antiqua" w:hint="default"/>
          <w:sz w:val="24"/>
          <w:szCs w:val="24"/>
          <w:rtl w:val="0"/>
          <w:lang w:val="it-IT"/>
        </w:rPr>
        <w:t>’</w:t>
      </w:r>
      <w:r>
        <w:rPr>
          <w:rFonts w:ascii="Book Antiqua"/>
          <w:sz w:val="24"/>
          <w:szCs w:val="24"/>
          <w:rtl w:val="0"/>
          <w:lang w:val="it-IT"/>
        </w:rPr>
        <w:t>utilizzo dell</w:t>
      </w:r>
      <w:r>
        <w:rPr>
          <w:rFonts w:hAnsi="Book Antiqua" w:hint="default"/>
          <w:sz w:val="24"/>
          <w:szCs w:val="24"/>
          <w:rtl w:val="0"/>
          <w:lang w:val="it-IT"/>
        </w:rPr>
        <w:t>’</w:t>
      </w:r>
      <w:r>
        <w:rPr>
          <w:rFonts w:ascii="Book Antiqua"/>
          <w:sz w:val="24"/>
          <w:szCs w:val="24"/>
          <w:rtl w:val="0"/>
          <w:lang w:val="it-IT"/>
        </w:rPr>
        <w:t>area della discarica di Borgo Montello per l</w:t>
      </w:r>
      <w:r>
        <w:rPr>
          <w:rFonts w:hAnsi="Book Antiqua" w:hint="default"/>
          <w:sz w:val="24"/>
          <w:szCs w:val="24"/>
          <w:rtl w:val="0"/>
          <w:lang w:val="it-IT"/>
        </w:rPr>
        <w:t>’</w:t>
      </w:r>
      <w:r>
        <w:rPr>
          <w:rFonts w:ascii="Book Antiqua"/>
          <w:sz w:val="24"/>
          <w:szCs w:val="24"/>
          <w:rtl w:val="0"/>
          <w:lang w:val="it-IT"/>
        </w:rPr>
        <w:t>interramento di rifiuti pericolosi, sia sotto forma di fusti, sia attraverso la dispersione di fanghi industriali, mescolati con i rifiuti solidi urbani. Lo stesso collaboratore di giustizia Carmine Schiavone, gi</w:t>
      </w:r>
      <w:r>
        <w:rPr>
          <w:rFonts w:hAnsi="Book Antiqua" w:hint="default"/>
          <w:sz w:val="24"/>
          <w:szCs w:val="24"/>
          <w:rtl w:val="0"/>
          <w:lang w:val="it-IT"/>
        </w:rPr>
        <w:t xml:space="preserve">à </w:t>
      </w:r>
      <w:r>
        <w:rPr>
          <w:rFonts w:ascii="Book Antiqua"/>
          <w:sz w:val="24"/>
          <w:szCs w:val="24"/>
          <w:rtl w:val="0"/>
          <w:lang w:val="it-IT"/>
        </w:rPr>
        <w:t>nel 1996, dichiar</w:t>
      </w:r>
      <w:r>
        <w:rPr>
          <w:rFonts w:hAnsi="Book Antiqua" w:hint="default"/>
          <w:sz w:val="24"/>
          <w:szCs w:val="24"/>
          <w:rtl w:val="0"/>
          <w:lang w:val="it-IT"/>
        </w:rPr>
        <w:t xml:space="preserve">ò </w:t>
      </w:r>
      <w:r>
        <w:rPr>
          <w:rFonts w:ascii="Book Antiqua"/>
          <w:sz w:val="24"/>
          <w:szCs w:val="24"/>
          <w:rtl w:val="0"/>
          <w:lang w:val="it-IT"/>
        </w:rPr>
        <w:t>che il clan dei Casalesi avrebbe utilizzato quel sito - tra la fine degli anni '80 e l'inizio degli anni '90 - per lo sversamento illecito di rifiuti pericolosi.</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Tali ipotesi hanno assunto particolare forza - soprattutto tra i comitati e la popolazione - dopo il 1990, quando si dimostr</w:t>
      </w:r>
      <w:r>
        <w:rPr>
          <w:rFonts w:hAnsi="Book Antiqua" w:hint="default"/>
          <w:sz w:val="24"/>
          <w:szCs w:val="24"/>
          <w:rtl w:val="0"/>
          <w:lang w:val="it-IT"/>
        </w:rPr>
        <w:t xml:space="preserve">ò </w:t>
      </w:r>
      <w:r>
        <w:rPr>
          <w:rFonts w:ascii="Book Antiqua"/>
          <w:sz w:val="24"/>
          <w:szCs w:val="24"/>
          <w:rtl w:val="0"/>
          <w:lang w:val="it-IT"/>
        </w:rPr>
        <w:t>l</w:t>
      </w:r>
      <w:r>
        <w:rPr>
          <w:rFonts w:hAnsi="Book Antiqua" w:hint="default"/>
          <w:sz w:val="24"/>
          <w:szCs w:val="24"/>
          <w:rtl w:val="0"/>
          <w:lang w:val="it-IT"/>
        </w:rPr>
        <w:t>’</w:t>
      </w:r>
      <w:r>
        <w:rPr>
          <w:rFonts w:ascii="Book Antiqua"/>
          <w:sz w:val="24"/>
          <w:szCs w:val="24"/>
          <w:rtl w:val="0"/>
          <w:lang w:val="it-IT"/>
        </w:rPr>
        <w:t>interesse delle industrie farmaceutiche e chimiche con sede produttiva nei dintorni del sito di Borgo Montello per l'utilizzazione dell</w:t>
      </w:r>
      <w:r>
        <w:rPr>
          <w:rFonts w:hAnsi="Book Antiqua" w:hint="default"/>
          <w:sz w:val="24"/>
          <w:szCs w:val="24"/>
          <w:rtl w:val="0"/>
          <w:lang w:val="it-IT"/>
        </w:rPr>
        <w:t>’</w:t>
      </w:r>
      <w:r>
        <w:rPr>
          <w:rFonts w:ascii="Book Antiqua"/>
          <w:sz w:val="24"/>
          <w:szCs w:val="24"/>
          <w:rtl w:val="0"/>
          <w:lang w:val="it-IT"/>
        </w:rPr>
        <w:t>area ai fini dello smaltimento dei residui. La Recordati, la Sigma Tau e la Bristol costituirono un apposito consorzio che - dalle intenzioni dei promotori - avrebbe dovuto realizzare un impianto di trattamento degli scarti delle lavorazioni</w:t>
      </w:r>
      <w:r>
        <w:rPr>
          <w:rFonts w:ascii="Book Antiqua" w:cs="Book Antiqua" w:hAnsi="Book Antiqua" w:eastAsia="Book Antiqua"/>
          <w:sz w:val="24"/>
          <w:szCs w:val="24"/>
          <w:vertAlign w:val="superscript"/>
          <w:rtl w:val="0"/>
        </w:rPr>
        <w:footnoteReference w:id="313"/>
      </w:r>
      <w:r>
        <w:rPr>
          <w:rFonts w:ascii="Book Antiqua"/>
          <w:sz w:val="24"/>
          <w:szCs w:val="24"/>
          <w:rtl w:val="0"/>
          <w:lang w:val="it-IT"/>
        </w:rPr>
        <w:t>. Le tre industrie avevano - e in parte hanno - siti produttivi non molto distanti dalla discarica, come si pu</w:t>
      </w:r>
      <w:r>
        <w:rPr>
          <w:rFonts w:hAnsi="Book Antiqua" w:hint="default"/>
          <w:sz w:val="24"/>
          <w:szCs w:val="24"/>
          <w:rtl w:val="0"/>
          <w:lang w:val="it-IT"/>
        </w:rPr>
        <w:t xml:space="preserve">ò </w:t>
      </w:r>
      <w:r>
        <w:rPr>
          <w:rFonts w:ascii="Book Antiqua"/>
          <w:sz w:val="24"/>
          <w:szCs w:val="24"/>
          <w:rtl w:val="0"/>
          <w:lang w:val="it-IT"/>
        </w:rPr>
        <w:t>vedere nella mappa, ben collegati dalla strada statale Pontina.</w:t>
      </w:r>
    </w:p>
    <w:p>
      <w:pPr>
        <w:pStyle w:val="Corpo A"/>
        <w:ind w:left="567" w:right="567" w:firstLine="0"/>
        <w:jc w:val="both"/>
        <w:rPr>
          <w:rFonts w:ascii="Book Antiqua" w:cs="Book Antiqua" w:hAnsi="Book Antiqua" w:eastAsia="Book Antiqua"/>
          <w:sz w:val="24"/>
          <w:szCs w:val="24"/>
          <w:lang w:val="it-IT"/>
        </w:rPr>
      </w:pPr>
    </w:p>
    <w:p>
      <w:pPr>
        <w:pStyle w:val="Corpo A"/>
        <w:ind w:left="567" w:right="567" w:firstLine="0"/>
        <w:jc w:val="both"/>
        <w:rPr>
          <w:rFonts w:ascii="Book Antiqua" w:cs="Book Antiqua" w:hAnsi="Book Antiqua" w:eastAsia="Book Antiqua"/>
          <w:sz w:val="24"/>
          <w:szCs w:val="24"/>
          <w:lang w:val="it-IT"/>
        </w:rPr>
      </w:pPr>
    </w:p>
    <w:p>
      <w:pPr>
        <w:pStyle w:val="Titolo 31"/>
        <w:spacing w:before="0" w:after="0"/>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7.3.1 I primi studi, l</w:t>
      </w:r>
      <w:r>
        <w:rPr>
          <w:rFonts w:hAnsi="Book Antiqua" w:hint="default"/>
          <w:color w:val="000000"/>
          <w:u w:color="000000"/>
          <w:rtl w:val="0"/>
          <w:lang w:val="it-IT"/>
        </w:rPr>
        <w:t>’</w:t>
      </w:r>
      <w:r>
        <w:rPr>
          <w:rFonts w:ascii="Book Antiqua"/>
          <w:color w:val="000000"/>
          <w:u w:color="000000"/>
          <w:rtl w:val="0"/>
          <w:lang w:val="it-IT"/>
        </w:rPr>
        <w:t>attivit</w:t>
      </w:r>
      <w:r>
        <w:rPr>
          <w:rFonts w:hAnsi="Book Antiqua" w:hint="default"/>
          <w:color w:val="000000"/>
          <w:u w:color="000000"/>
          <w:rtl w:val="0"/>
          <w:lang w:val="it-IT"/>
        </w:rPr>
        <w:t xml:space="preserve">à </w:t>
      </w:r>
      <w:r>
        <w:rPr>
          <w:rFonts w:ascii="Book Antiqua"/>
          <w:color w:val="000000"/>
          <w:u w:color="000000"/>
          <w:rtl w:val="0"/>
          <w:lang w:val="it-IT"/>
        </w:rPr>
        <w:t>degli enti pubblici, la perizia nel processo per avvelenamento di acque</w:t>
      </w:r>
    </w:p>
    <w:p>
      <w:pPr>
        <w:pStyle w:val="Corpo A"/>
        <w:ind w:left="567" w:right="567" w:firstLine="0"/>
        <w:jc w:val="both"/>
        <w:rPr>
          <w:rFonts w:ascii="Book Antiqua" w:cs="Book Antiqua" w:hAnsi="Book Antiqua" w:eastAsia="Book Antiqua"/>
          <w:sz w:val="24"/>
          <w:szCs w:val="24"/>
          <w:lang w:val="it-IT"/>
        </w:rPr>
      </w:pP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All'inizio degli anni '90 il comune di Latina affid</w:t>
      </w:r>
      <w:r>
        <w:rPr>
          <w:rFonts w:hAnsi="Book Antiqua" w:hint="default"/>
          <w:sz w:val="24"/>
          <w:szCs w:val="24"/>
          <w:rtl w:val="0"/>
          <w:lang w:val="it-IT"/>
        </w:rPr>
        <w:t xml:space="preserve">ò </w:t>
      </w:r>
      <w:r>
        <w:rPr>
          <w:rFonts w:ascii="Book Antiqua"/>
          <w:sz w:val="24"/>
          <w:szCs w:val="24"/>
          <w:rtl w:val="0"/>
          <w:lang w:val="it-IT"/>
        </w:rPr>
        <w:t>all'Enea uno studio finalizzato alla "Individuazione dei siti idonei ad ospitare gli impianti di smaltimento dei rifiuti". Lo stesso comune di Latina nel 1995 aveva chiesto un secondo studio al gruppo di lavoro Enea, Unichim, Centro comune di ricerca (CCR) di Ispra, per la caratterizzazione e bonifica del sito di Borgo Montello, gi</w:t>
      </w:r>
      <w:r>
        <w:rPr>
          <w:rFonts w:hAnsi="Book Antiqua" w:hint="default"/>
          <w:sz w:val="24"/>
          <w:szCs w:val="24"/>
          <w:rtl w:val="0"/>
          <w:lang w:val="it-IT"/>
        </w:rPr>
        <w:t xml:space="preserve">à </w:t>
      </w:r>
      <w:r>
        <w:rPr>
          <w:rFonts w:ascii="Book Antiqua"/>
          <w:sz w:val="24"/>
          <w:szCs w:val="24"/>
          <w:rtl w:val="0"/>
          <w:lang w:val="it-IT"/>
        </w:rPr>
        <w:t>in uso fin dai primi anni '70. Si tratta del primo monitoraggio di un certo rilievo effettuato sull'area. L'intervento era finalizzato alla bonifica dei siti S1, S2 e S3.</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Gli studi rientravano in un piano generale di analisi dello stato della discarica di Borgo Montello. Con deliberazione della giunta municipale n. 24889 del 24 dicembre 1994, il comune di Latina aveva aderito alla iniziativa dell'Enea, dell'Unichim e dei Centro comune di ricerca, per uno studio comparativo su alcuni siti contaminati italiani.</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 xml:space="preserve">Lo studio - che si </w:t>
      </w:r>
      <w:r>
        <w:rPr>
          <w:rFonts w:hAnsi="Book Antiqua" w:hint="default"/>
          <w:sz w:val="24"/>
          <w:szCs w:val="24"/>
          <w:rtl w:val="0"/>
          <w:lang w:val="it-IT"/>
        </w:rPr>
        <w:t xml:space="preserve">è </w:t>
      </w:r>
      <w:r>
        <w:rPr>
          <w:rFonts w:ascii="Book Antiqua"/>
          <w:sz w:val="24"/>
          <w:szCs w:val="24"/>
          <w:rtl w:val="0"/>
          <w:lang w:val="it-IT"/>
        </w:rPr>
        <w:t xml:space="preserve">concluso nel 1998 - si </w:t>
      </w:r>
      <w:r>
        <w:rPr>
          <w:rFonts w:hAnsi="Book Antiqua" w:hint="default"/>
          <w:sz w:val="24"/>
          <w:szCs w:val="24"/>
          <w:rtl w:val="0"/>
          <w:lang w:val="it-IT"/>
        </w:rPr>
        <w:t xml:space="preserve">è </w:t>
      </w:r>
      <w:r>
        <w:rPr>
          <w:rFonts w:ascii="Book Antiqua"/>
          <w:sz w:val="24"/>
          <w:szCs w:val="24"/>
          <w:rtl w:val="0"/>
          <w:lang w:val="it-IT"/>
        </w:rPr>
        <w:t>scontrato con alcune difficolt</w:t>
      </w:r>
      <w:r>
        <w:rPr>
          <w:rFonts w:hAnsi="Book Antiqua" w:hint="default"/>
          <w:sz w:val="24"/>
          <w:szCs w:val="24"/>
          <w:rtl w:val="0"/>
          <w:lang w:val="it-IT"/>
        </w:rPr>
        <w:t xml:space="preserve">à </w:t>
      </w:r>
      <w:r>
        <w:rPr>
          <w:rFonts w:ascii="Book Antiqua"/>
          <w:sz w:val="24"/>
          <w:szCs w:val="24"/>
          <w:rtl w:val="0"/>
          <w:lang w:val="it-IT"/>
        </w:rPr>
        <w:t>oggettive per la ricostruzione storica degli abbancamenti dei rifiuti all'interno dei tre siti. Si legge nel report del giugno 1998: "L'ultima societ</w:t>
      </w:r>
      <w:r>
        <w:rPr>
          <w:rFonts w:hAnsi="Book Antiqua" w:hint="default"/>
          <w:sz w:val="24"/>
          <w:szCs w:val="24"/>
          <w:rtl w:val="0"/>
          <w:lang w:val="it-IT"/>
        </w:rPr>
        <w:t xml:space="preserve">à </w:t>
      </w:r>
      <w:r>
        <w:rPr>
          <w:rFonts w:ascii="Book Antiqua"/>
          <w:sz w:val="24"/>
          <w:szCs w:val="24"/>
          <w:rtl w:val="0"/>
          <w:lang w:val="it-IT"/>
        </w:rPr>
        <w:t xml:space="preserve">(Ecomont) che ha gestito in ordine di tempo le discariche S1 S2 e S3 ha dichiarato fallimento e quindi non </w:t>
      </w:r>
      <w:r>
        <w:rPr>
          <w:rFonts w:hAnsi="Book Antiqua" w:hint="default"/>
          <w:sz w:val="24"/>
          <w:szCs w:val="24"/>
          <w:rtl w:val="0"/>
          <w:lang w:val="it-IT"/>
        </w:rPr>
        <w:t xml:space="preserve">è </w:t>
      </w:r>
      <w:r>
        <w:rPr>
          <w:rFonts w:ascii="Book Antiqua"/>
          <w:sz w:val="24"/>
          <w:szCs w:val="24"/>
          <w:rtl w:val="0"/>
          <w:lang w:val="it-IT"/>
        </w:rPr>
        <w:t>stato possibile rintracciare la documentazione necessaria per ricostruire con esattezza la memoria storica relativa alla gestione delle discarica". Lo studio parte, poi, dall'assunto che "</w:t>
      </w:r>
      <w:r>
        <w:rPr>
          <w:rFonts w:hAnsi="Book Antiqua" w:hint="default"/>
          <w:sz w:val="24"/>
          <w:szCs w:val="24"/>
          <w:rtl w:val="0"/>
          <w:lang w:val="it-IT"/>
        </w:rPr>
        <w:t xml:space="preserve">è </w:t>
      </w:r>
      <w:r>
        <w:rPr>
          <w:rFonts w:ascii="Book Antiqua"/>
          <w:sz w:val="24"/>
          <w:szCs w:val="24"/>
          <w:rtl w:val="0"/>
          <w:lang w:val="it-IT"/>
        </w:rPr>
        <w:t xml:space="preserve">ragionevole presumere che la natura dei rifiuti stoccati sia quella tipica degli RSU e di quelli ad essi assimilati". </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Nello stesso documento si legge: "Non risulta che negli anni di coltivazione delle discariche ora dismesse siano stati fatti esposti o denunce in grado di evidenziare lo smaltimento di sostanze pericolose all'interno dell'area, in settori non autorizzati a ricevere tale tipologia di rifiuti".</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In realt</w:t>
      </w:r>
      <w:r>
        <w:rPr>
          <w:rFonts w:hAnsi="Book Antiqua" w:hint="default"/>
          <w:sz w:val="24"/>
          <w:szCs w:val="24"/>
          <w:rtl w:val="0"/>
          <w:lang w:val="it-IT"/>
        </w:rPr>
        <w:t>à</w:t>
      </w:r>
      <w:r>
        <w:rPr>
          <w:rFonts w:ascii="Book Antiqua"/>
          <w:sz w:val="24"/>
          <w:szCs w:val="24"/>
          <w:rtl w:val="0"/>
          <w:lang w:val="it-IT"/>
        </w:rPr>
        <w:t>, come abbiamo visto, nel 1996 vi erano state le dichiarazioni di Carmine Schiavone. Non solo. Nella prima met</w:t>
      </w:r>
      <w:r>
        <w:rPr>
          <w:rFonts w:hAnsi="Book Antiqua" w:hint="default"/>
          <w:sz w:val="24"/>
          <w:szCs w:val="24"/>
          <w:rtl w:val="0"/>
          <w:lang w:val="it-IT"/>
        </w:rPr>
        <w:t xml:space="preserve">à </w:t>
      </w:r>
      <w:r>
        <w:rPr>
          <w:rFonts w:ascii="Book Antiqua"/>
          <w:sz w:val="24"/>
          <w:szCs w:val="24"/>
          <w:rtl w:val="0"/>
          <w:lang w:val="it-IT"/>
        </w:rPr>
        <w:t xml:space="preserve">degli anni </w:t>
      </w:r>
      <w:r>
        <w:rPr>
          <w:rFonts w:hAnsi="Book Antiqua" w:hint="default"/>
          <w:sz w:val="24"/>
          <w:szCs w:val="24"/>
          <w:rtl w:val="0"/>
          <w:lang w:val="it-IT"/>
        </w:rPr>
        <w:t>‘</w:t>
      </w:r>
      <w:r>
        <w:rPr>
          <w:rFonts w:ascii="Book Antiqua"/>
          <w:sz w:val="24"/>
          <w:szCs w:val="24"/>
          <w:rtl w:val="0"/>
          <w:lang w:val="it-IT"/>
        </w:rPr>
        <w:t>90 era stato indagato e poi condannato Adriano Musso</w:t>
      </w:r>
      <w:r>
        <w:rPr>
          <w:rFonts w:ascii="Book Antiqua" w:cs="Book Antiqua" w:hAnsi="Book Antiqua" w:eastAsia="Book Antiqua"/>
          <w:sz w:val="24"/>
          <w:szCs w:val="24"/>
          <w:vertAlign w:val="superscript"/>
          <w:rtl w:val="0"/>
        </w:rPr>
        <w:footnoteReference w:id="314"/>
      </w:r>
      <w:r>
        <w:rPr>
          <w:rFonts w:ascii="Book Antiqua"/>
          <w:sz w:val="24"/>
          <w:szCs w:val="24"/>
          <w:rtl w:val="0"/>
          <w:lang w:val="it-IT"/>
        </w:rPr>
        <w:t xml:space="preserve"> per lo sversamento non autorizzato di rifiuti anche pericolosi, all'interno della discarica di Borgo Montello. Anche se i fatti si riferivano - come vedremo </w:t>
      </w:r>
      <w:r>
        <w:rPr>
          <w:rFonts w:hAnsi="Book Antiqua" w:hint="default"/>
          <w:sz w:val="24"/>
          <w:szCs w:val="24"/>
          <w:rtl w:val="0"/>
          <w:lang w:val="it-IT"/>
        </w:rPr>
        <w:t xml:space="preserve">– </w:t>
      </w:r>
      <w:r>
        <w:rPr>
          <w:rFonts w:ascii="Book Antiqua"/>
          <w:sz w:val="24"/>
          <w:szCs w:val="24"/>
          <w:rtl w:val="0"/>
          <w:lang w:val="it-IT"/>
        </w:rPr>
        <w:t>al sito B2, sarebbe stato perlomeno opportuno prendere in considerazione l'ipotesi di possibili sversamenti di rifiuti pericolosi in altre aree della discarica.</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In ogni caso lo studio si pone come obiettivo "l'accertamento della presenza di rifiuti pericolosi di origine industriale, attraverso indagini geofisiche e analisi di matrici ambientali".</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Le analisi effettuate - come si legge nello studio - si basano, per</w:t>
      </w:r>
      <w:r>
        <w:rPr>
          <w:rFonts w:hAnsi="Book Antiqua" w:hint="default"/>
          <w:sz w:val="24"/>
          <w:szCs w:val="24"/>
          <w:rtl w:val="0"/>
          <w:lang w:val="it-IT"/>
        </w:rPr>
        <w:t>ò</w:t>
      </w:r>
      <w:r>
        <w:rPr>
          <w:rFonts w:ascii="Book Antiqua"/>
          <w:sz w:val="24"/>
          <w:szCs w:val="24"/>
          <w:rtl w:val="0"/>
          <w:lang w:val="it-IT"/>
        </w:rPr>
        <w:t xml:space="preserve">, sull'assunto: "pur non essendo nota la composizione del materiale depositato nella discarica, si presume comunque che possa essere prevalentemente costituito da RSU". </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Durante lo studio l'attenzione si concentr</w:t>
      </w:r>
      <w:r>
        <w:rPr>
          <w:rFonts w:hAnsi="Book Antiqua" w:hint="default"/>
          <w:sz w:val="24"/>
          <w:szCs w:val="24"/>
          <w:rtl w:val="0"/>
          <w:lang w:val="it-IT"/>
        </w:rPr>
        <w:t xml:space="preserve">ò </w:t>
      </w:r>
      <w:r>
        <w:rPr>
          <w:rFonts w:ascii="Book Antiqua"/>
          <w:sz w:val="24"/>
          <w:szCs w:val="24"/>
          <w:rtl w:val="0"/>
          <w:lang w:val="it-IT"/>
        </w:rPr>
        <w:t>sul sito S0, attivo tra il 1971 e il 1986, sotto la responsabilit</w:t>
      </w:r>
      <w:r>
        <w:rPr>
          <w:rFonts w:hAnsi="Book Antiqua" w:hint="default"/>
          <w:sz w:val="24"/>
          <w:szCs w:val="24"/>
          <w:rtl w:val="0"/>
          <w:lang w:val="it-IT"/>
        </w:rPr>
        <w:t xml:space="preserve">à </w:t>
      </w:r>
      <w:r>
        <w:rPr>
          <w:rFonts w:ascii="Book Antiqua"/>
          <w:sz w:val="24"/>
          <w:szCs w:val="24"/>
          <w:rtl w:val="0"/>
          <w:lang w:val="it-IT"/>
        </w:rPr>
        <w:t>del comune di Latina (anche se la gestione operativa era demandata ai proprietari dell'area Proietto e Chini). Attraverso un rilievo geomagnetico vennero individuate tre anomalie poste a poca distanza dal fiume Astura, corrispondenti a masse metalliche. Solo negli 2000 verranno effettuati degli scavi per studiare l'origine delle anomalie.</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 xml:space="preserve">Un secondo studio sullo stato dei siti S1, S2 ed S3 </w:t>
      </w:r>
      <w:r>
        <w:rPr>
          <w:rFonts w:hAnsi="Book Antiqua" w:hint="default"/>
          <w:sz w:val="24"/>
          <w:szCs w:val="24"/>
          <w:rtl w:val="0"/>
          <w:lang w:val="it-IT"/>
        </w:rPr>
        <w:t xml:space="preserve">è </w:t>
      </w:r>
      <w:r>
        <w:rPr>
          <w:rFonts w:ascii="Book Antiqua"/>
          <w:sz w:val="24"/>
          <w:szCs w:val="24"/>
          <w:rtl w:val="0"/>
          <w:lang w:val="it-IT"/>
        </w:rPr>
        <w:t>del 1998. Si tratta del "Progetto per la bonifica degli invasi S1, S2 e S3 in localit</w:t>
      </w:r>
      <w:r>
        <w:rPr>
          <w:rFonts w:hAnsi="Book Antiqua" w:hint="default"/>
          <w:sz w:val="24"/>
          <w:szCs w:val="24"/>
          <w:rtl w:val="0"/>
          <w:lang w:val="it-IT"/>
        </w:rPr>
        <w:t xml:space="preserve">à </w:t>
      </w:r>
      <w:r>
        <w:rPr>
          <w:rFonts w:ascii="Book Antiqua"/>
          <w:sz w:val="24"/>
          <w:szCs w:val="24"/>
          <w:rtl w:val="0"/>
          <w:lang w:val="it-IT"/>
        </w:rPr>
        <w:t>Borgo Montello", committente la societ</w:t>
      </w:r>
      <w:r>
        <w:rPr>
          <w:rFonts w:hAnsi="Book Antiqua" w:hint="default"/>
          <w:sz w:val="24"/>
          <w:szCs w:val="24"/>
          <w:rtl w:val="0"/>
          <w:lang w:val="it-IT"/>
        </w:rPr>
        <w:t xml:space="preserve">à </w:t>
      </w:r>
      <w:r>
        <w:rPr>
          <w:rFonts w:ascii="Book Antiqua"/>
          <w:sz w:val="24"/>
          <w:szCs w:val="24"/>
          <w:rtl w:val="0"/>
          <w:lang w:val="it-IT"/>
        </w:rPr>
        <w:t>Ecoambiente, partecipata dal comune di Latina e dal gruppo riconducibile a Manlio Cerroni. Lo studio, firmato dal professor Gian Mario Baruchello, era finalizzato alla proposta di bonifica dell'area per la successiva utilizzazione degli invasi come impianto di discarica per rifiuti solidi urbani. A pagina 45 del documento (inserito nella documentazione consegnata alla commissione dal consulente tecnico delle famiglie di Borgo Montello, parte civile nel processo in corso a Latina contro il management di Ecoambiente per avvelenamento delle acque) si legge: "Prendendo atto di quanto affermato nello studio ENEA in merito alla tipologia dei rifiuti abbancati, in relazione alla data di entrata in funzione degli invasi, successiva all'emanazione del DPR 915/82, si pu</w:t>
      </w:r>
      <w:r>
        <w:rPr>
          <w:rFonts w:hAnsi="Book Antiqua" w:hint="default"/>
          <w:sz w:val="24"/>
          <w:szCs w:val="24"/>
          <w:rtl w:val="0"/>
          <w:lang w:val="it-IT"/>
        </w:rPr>
        <w:t xml:space="preserve">ò </w:t>
      </w:r>
      <w:r>
        <w:rPr>
          <w:rFonts w:ascii="Book Antiqua"/>
          <w:sz w:val="24"/>
          <w:szCs w:val="24"/>
          <w:rtl w:val="0"/>
          <w:lang w:val="it-IT"/>
        </w:rPr>
        <w:t>ipotizzare con una certa sicurezza che ci si trovi in presenza di rifiuti urbani o a questi assimilati, nonch</w:t>
      </w:r>
      <w:r>
        <w:rPr>
          <w:rFonts w:hAnsi="Book Antiqua" w:hint="default"/>
          <w:sz w:val="24"/>
          <w:szCs w:val="24"/>
          <w:rtl w:val="0"/>
          <w:lang w:val="it-IT"/>
        </w:rPr>
        <w:t xml:space="preserve">é </w:t>
      </w:r>
      <w:r>
        <w:rPr>
          <w:rFonts w:ascii="Book Antiqua"/>
          <w:sz w:val="24"/>
          <w:szCs w:val="24"/>
          <w:rtl w:val="0"/>
          <w:lang w:val="it-IT"/>
        </w:rPr>
        <w:t xml:space="preserve">di rifiuti smaltibili in discarica di </w:t>
      </w:r>
      <w:hyperlink r:id="rId62" w:history="1">
        <w:r>
          <w:rPr>
            <w:rStyle w:val="Hyperlink.3"/>
            <w:rFonts w:ascii="Book Antiqua"/>
            <w:sz w:val="24"/>
            <w:szCs w:val="24"/>
            <w:rtl w:val="0"/>
            <w:lang w:val="it-IT"/>
          </w:rPr>
          <w:t>1.ma</w:t>
        </w:r>
      </w:hyperlink>
      <w:r>
        <w:rPr>
          <w:rFonts w:ascii="Book Antiqua"/>
          <w:sz w:val="24"/>
          <w:szCs w:val="24"/>
          <w:rtl w:val="0"/>
          <w:lang w:val="it-IT"/>
        </w:rPr>
        <w:t xml:space="preserve"> categoria come i fanghi prodotti da impianti di depurazione di liquami civili". </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Gli studi effettuati, dunque, sulle aree gestite fino alla met</w:t>
      </w:r>
      <w:r>
        <w:rPr>
          <w:rFonts w:hAnsi="Book Antiqua" w:hint="default"/>
          <w:sz w:val="24"/>
          <w:szCs w:val="24"/>
          <w:rtl w:val="0"/>
          <w:lang w:val="it-IT"/>
        </w:rPr>
        <w:t xml:space="preserve">à </w:t>
      </w:r>
      <w:r>
        <w:rPr>
          <w:rFonts w:ascii="Book Antiqua"/>
          <w:sz w:val="24"/>
          <w:szCs w:val="24"/>
          <w:rtl w:val="0"/>
          <w:lang w:val="it-IT"/>
        </w:rPr>
        <w:t>degli anni '90 (prima dal comune di Latina, poi dalla Pro.Chi e quindi dalla fallita Ecomont) non hanno approfondito l'eventuale esistenza di rifiuti pericolosi di origine industriale nelle aree S1, S2 e S3. Per quanto riguarda gli invasi gi</w:t>
      </w:r>
      <w:r>
        <w:rPr>
          <w:rFonts w:hAnsi="Book Antiqua" w:hint="default"/>
          <w:sz w:val="24"/>
          <w:szCs w:val="24"/>
          <w:rtl w:val="0"/>
          <w:lang w:val="it-IT"/>
        </w:rPr>
        <w:t xml:space="preserve">à </w:t>
      </w:r>
      <w:r>
        <w:rPr>
          <w:rFonts w:ascii="Book Antiqua"/>
          <w:sz w:val="24"/>
          <w:szCs w:val="24"/>
          <w:rtl w:val="0"/>
          <w:lang w:val="it-IT"/>
        </w:rPr>
        <w:t>all'epoca gestiti dalla societ</w:t>
      </w:r>
      <w:r>
        <w:rPr>
          <w:rFonts w:hAnsi="Book Antiqua" w:hint="default"/>
          <w:sz w:val="24"/>
          <w:szCs w:val="24"/>
          <w:rtl w:val="0"/>
          <w:lang w:val="it-IT"/>
        </w:rPr>
        <w:t xml:space="preserve">à </w:t>
      </w:r>
      <w:r>
        <w:rPr>
          <w:rFonts w:ascii="Book Antiqua"/>
          <w:sz w:val="24"/>
          <w:szCs w:val="24"/>
          <w:rtl w:val="0"/>
          <w:lang w:val="it-IT"/>
        </w:rPr>
        <w:t>Ind.Eco. (S4) e l'area utilizzata all'inizio degli anni '90 per lo stoccaggio di "rifiuti speciali" (B2, gestita dalla societ</w:t>
      </w:r>
      <w:r>
        <w:rPr>
          <w:rFonts w:hAnsi="Book Antiqua" w:hint="default"/>
          <w:sz w:val="24"/>
          <w:szCs w:val="24"/>
          <w:rtl w:val="0"/>
          <w:lang w:val="it-IT"/>
        </w:rPr>
        <w:t xml:space="preserve">à </w:t>
      </w:r>
      <w:r>
        <w:rPr>
          <w:rFonts w:ascii="Book Antiqua"/>
          <w:sz w:val="24"/>
          <w:szCs w:val="24"/>
          <w:rtl w:val="0"/>
          <w:lang w:val="it-IT"/>
        </w:rPr>
        <w:t>Ecotecna) non risultano agli atti studi di caratterizzazione. La stessa societ</w:t>
      </w:r>
      <w:r>
        <w:rPr>
          <w:rFonts w:hAnsi="Book Antiqua" w:hint="default"/>
          <w:sz w:val="24"/>
          <w:szCs w:val="24"/>
          <w:rtl w:val="0"/>
          <w:lang w:val="it-IT"/>
        </w:rPr>
        <w:t xml:space="preserve">à </w:t>
      </w:r>
      <w:r>
        <w:rPr>
          <w:rFonts w:ascii="Book Antiqua"/>
          <w:sz w:val="24"/>
          <w:szCs w:val="24"/>
          <w:rtl w:val="0"/>
          <w:lang w:val="it-IT"/>
        </w:rPr>
        <w:t xml:space="preserve">Indeco - audita dalla commissione - non ha depositato documentazione in tal senso. </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L'attivit</w:t>
      </w:r>
      <w:r>
        <w:rPr>
          <w:rFonts w:hAnsi="Book Antiqua" w:hint="default"/>
          <w:sz w:val="24"/>
          <w:szCs w:val="24"/>
          <w:rtl w:val="0"/>
          <w:lang w:val="it-IT"/>
        </w:rPr>
        <w:t xml:space="preserve">à </w:t>
      </w:r>
      <w:r>
        <w:rPr>
          <w:rFonts w:ascii="Book Antiqua"/>
          <w:sz w:val="24"/>
          <w:szCs w:val="24"/>
          <w:rtl w:val="0"/>
          <w:lang w:val="it-IT"/>
        </w:rPr>
        <w:t>di monitoraggio della falda acquifera svolta da ARPA Lazio e da ISPRA negli anni 2000 non sembra, anche in questo caso, aver approfondito l'eventuale presenza di rifiuti speciali pericolosi, concentrando l'attenzione sulla contaminazione derivante dalla gestione dei soli rifiuti solidi urbani. Nella relazione conclusiva dell'ottobre 2014, acquisita dalla commissione</w:t>
      </w:r>
      <w:r>
        <w:rPr>
          <w:rFonts w:ascii="Book Antiqua" w:cs="Book Antiqua" w:hAnsi="Book Antiqua" w:eastAsia="Book Antiqua"/>
          <w:sz w:val="24"/>
          <w:szCs w:val="24"/>
          <w:vertAlign w:val="superscript"/>
          <w:rtl w:val="0"/>
        </w:rPr>
        <w:footnoteReference w:id="315"/>
      </w:r>
      <w:r>
        <w:rPr>
          <w:rFonts w:ascii="Book Antiqua"/>
          <w:sz w:val="24"/>
          <w:szCs w:val="24"/>
          <w:rtl w:val="0"/>
          <w:lang w:val="it-IT"/>
        </w:rPr>
        <w:t>, pur dichiarando nelle premesse che l'attivit</w:t>
      </w:r>
      <w:r>
        <w:rPr>
          <w:rFonts w:hAnsi="Book Antiqua" w:hint="default"/>
          <w:sz w:val="24"/>
          <w:szCs w:val="24"/>
          <w:rtl w:val="0"/>
          <w:lang w:val="it-IT"/>
        </w:rPr>
        <w:t xml:space="preserve">à </w:t>
      </w:r>
      <w:r>
        <w:rPr>
          <w:rFonts w:ascii="Book Antiqua"/>
          <w:sz w:val="24"/>
          <w:szCs w:val="24"/>
          <w:rtl w:val="0"/>
          <w:lang w:val="it-IT"/>
        </w:rPr>
        <w:t xml:space="preserve">avrebbe preso in considerazione "le fonti della contaminazione", nella parte di ricostruzione storica non compie una puntuale analisi degli atti autorizzativi (e, di conseguenza, delle diverse tipologie di rifiuto conferiti) nel corso della lunga e complessa storia della discarica. Vi </w:t>
      </w:r>
      <w:r>
        <w:rPr>
          <w:rFonts w:hAnsi="Book Antiqua" w:hint="default"/>
          <w:sz w:val="24"/>
          <w:szCs w:val="24"/>
          <w:rtl w:val="0"/>
          <w:lang w:val="it-IT"/>
        </w:rPr>
        <w:t xml:space="preserve">è </w:t>
      </w:r>
      <w:r>
        <w:rPr>
          <w:rFonts w:ascii="Book Antiqua"/>
          <w:sz w:val="24"/>
          <w:szCs w:val="24"/>
          <w:rtl w:val="0"/>
          <w:lang w:val="it-IT"/>
        </w:rPr>
        <w:t>solo un veloce cenno rispetto alla gestione passata di "rifiuti speciali" per il sito "2B", posto all'interno dell'area gestita attualmente dalla societ</w:t>
      </w:r>
      <w:r>
        <w:rPr>
          <w:rFonts w:hAnsi="Book Antiqua" w:hint="default"/>
          <w:sz w:val="24"/>
          <w:szCs w:val="24"/>
          <w:rtl w:val="0"/>
          <w:lang w:val="it-IT"/>
        </w:rPr>
        <w:t xml:space="preserve">à </w:t>
      </w:r>
      <w:r>
        <w:rPr>
          <w:rFonts w:ascii="Book Antiqua"/>
          <w:sz w:val="24"/>
          <w:szCs w:val="24"/>
          <w:rtl w:val="0"/>
          <w:lang w:val="it-IT"/>
        </w:rPr>
        <w:t>Ind.Eco.</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Va evidenziato che - per quanto acquisito dalla Commissione - l'agenzia regionale per l'ambiente ARPA Lazio non ha mai documentato una contaminazione significativa derivante da rifiuti di origine industriale. Il responsabile rifiuti e bonifiche dell' ARPA sezione di Latina, Dino Chiarucci, sentito a sommarie informazioni dalla Squadra mobile di Latina l'11 novembre 2013</w:t>
      </w:r>
      <w:r>
        <w:rPr>
          <w:rFonts w:ascii="Book Antiqua" w:cs="Book Antiqua" w:hAnsi="Book Antiqua" w:eastAsia="Book Antiqua"/>
          <w:sz w:val="24"/>
          <w:szCs w:val="24"/>
          <w:vertAlign w:val="superscript"/>
          <w:rtl w:val="0"/>
        </w:rPr>
        <w:footnoteReference w:id="316"/>
      </w:r>
      <w:r>
        <w:rPr>
          <w:rFonts w:ascii="Book Antiqua"/>
          <w:sz w:val="24"/>
          <w:szCs w:val="24"/>
          <w:rtl w:val="0"/>
          <w:lang w:val="it-IT"/>
        </w:rPr>
        <w:t xml:space="preserve">, aveva dichiarato: </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 xml:space="preserve">"Il meccanismo dell'inquinamento </w:t>
      </w:r>
      <w:r>
        <w:rPr>
          <w:rFonts w:hAnsi="Book Antiqua" w:hint="default"/>
          <w:sz w:val="24"/>
          <w:szCs w:val="24"/>
          <w:rtl w:val="0"/>
          <w:lang w:val="it-IT"/>
        </w:rPr>
        <w:t xml:space="preserve">è </w:t>
      </w:r>
      <w:r>
        <w:rPr>
          <w:rFonts w:ascii="Book Antiqua"/>
          <w:sz w:val="24"/>
          <w:szCs w:val="24"/>
          <w:rtl w:val="0"/>
          <w:lang w:val="it-IT"/>
        </w:rPr>
        <w:t>derivante da rifiuti solidi perch</w:t>
      </w:r>
      <w:r>
        <w:rPr>
          <w:rFonts w:hAnsi="Book Antiqua" w:hint="default"/>
          <w:sz w:val="24"/>
          <w:szCs w:val="24"/>
          <w:rtl w:val="0"/>
          <w:lang w:val="it-IT"/>
        </w:rPr>
        <w:t xml:space="preserve">é </w:t>
      </w:r>
      <w:r>
        <w:rPr>
          <w:rFonts w:ascii="Book Antiqua"/>
          <w:sz w:val="24"/>
          <w:szCs w:val="24"/>
          <w:rtl w:val="0"/>
          <w:lang w:val="it-IT"/>
        </w:rPr>
        <w:t xml:space="preserve">parto dall'assunto che questa discarica </w:t>
      </w:r>
      <w:r>
        <w:rPr>
          <w:rFonts w:hAnsi="Book Antiqua" w:hint="default"/>
          <w:sz w:val="24"/>
          <w:szCs w:val="24"/>
          <w:rtl w:val="0"/>
          <w:lang w:val="it-IT"/>
        </w:rPr>
        <w:t xml:space="preserve">è </w:t>
      </w:r>
      <w:r>
        <w:rPr>
          <w:rFonts w:ascii="Book Antiqua"/>
          <w:sz w:val="24"/>
          <w:szCs w:val="24"/>
          <w:rtl w:val="0"/>
          <w:lang w:val="it-IT"/>
        </w:rPr>
        <w:t>stata adibita a rifiuti solidi urbani.</w:t>
      </w:r>
    </w:p>
    <w:p>
      <w:pPr>
        <w:pStyle w:val="Corpo A"/>
        <w:ind w:left="567" w:right="567" w:firstLine="0"/>
        <w:jc w:val="both"/>
        <w:rPr>
          <w:rFonts w:ascii="Book Antiqua" w:cs="Book Antiqua" w:hAnsi="Book Antiqua" w:eastAsia="Book Antiqua"/>
          <w:sz w:val="24"/>
          <w:szCs w:val="24"/>
          <w:lang w:val="it-IT"/>
        </w:rPr>
      </w:pPr>
      <w:r>
        <w:rPr>
          <w:rFonts w:ascii="Book Antiqua"/>
          <w:i w:val="1"/>
          <w:iCs w:val="1"/>
          <w:sz w:val="24"/>
          <w:szCs w:val="24"/>
          <w:rtl w:val="0"/>
          <w:lang w:val="it-IT"/>
        </w:rPr>
        <w:t>Domanda</w:t>
      </w:r>
      <w:r>
        <w:rPr>
          <w:rFonts w:ascii="Book Antiqua"/>
          <w:sz w:val="24"/>
          <w:szCs w:val="24"/>
          <w:rtl w:val="0"/>
          <w:lang w:val="it-IT"/>
        </w:rPr>
        <w:t>: Piombo, Cadmio, Cromo e Nichel sono fattori diretti d'inquinamento?</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S</w:t>
      </w:r>
      <w:r>
        <w:rPr>
          <w:rFonts w:hAnsi="Book Antiqua" w:hint="default"/>
          <w:sz w:val="24"/>
          <w:szCs w:val="24"/>
          <w:rtl w:val="0"/>
          <w:lang w:val="it-IT"/>
        </w:rPr>
        <w:t>ì</w:t>
      </w:r>
      <w:r>
        <w:rPr>
          <w:rFonts w:ascii="Book Antiqua"/>
          <w:sz w:val="24"/>
          <w:szCs w:val="24"/>
          <w:rtl w:val="0"/>
          <w:lang w:val="it-IT"/>
        </w:rPr>
        <w:t>.</w:t>
      </w:r>
    </w:p>
    <w:p>
      <w:pPr>
        <w:pStyle w:val="Corpo A"/>
        <w:ind w:left="567" w:right="567" w:firstLine="0"/>
        <w:jc w:val="both"/>
        <w:rPr>
          <w:rFonts w:ascii="Book Antiqua" w:cs="Book Antiqua" w:hAnsi="Book Antiqua" w:eastAsia="Book Antiqua"/>
          <w:sz w:val="24"/>
          <w:szCs w:val="24"/>
          <w:lang w:val="it-IT"/>
        </w:rPr>
      </w:pPr>
      <w:r>
        <w:rPr>
          <w:rFonts w:ascii="Book Antiqua"/>
          <w:i w:val="1"/>
          <w:iCs w:val="1"/>
          <w:sz w:val="24"/>
          <w:szCs w:val="24"/>
          <w:rtl w:val="0"/>
          <w:lang w:val="it-IT"/>
        </w:rPr>
        <w:t>Domanda</w:t>
      </w:r>
      <w:r>
        <w:rPr>
          <w:rFonts w:ascii="Book Antiqua"/>
          <w:sz w:val="24"/>
          <w:szCs w:val="24"/>
          <w:rtl w:val="0"/>
          <w:lang w:val="it-IT"/>
        </w:rPr>
        <w:t>: Da cosa possono derivare?</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Dai rifiuti depositati ma non sono in grado di riferire la tipologia di rifiuto da cui possa derivare</w:t>
      </w:r>
    </w:p>
    <w:p>
      <w:pPr>
        <w:pStyle w:val="Corpo A"/>
        <w:ind w:left="567" w:right="567" w:firstLine="0"/>
        <w:jc w:val="both"/>
        <w:rPr>
          <w:rFonts w:ascii="Book Antiqua" w:cs="Book Antiqua" w:hAnsi="Book Antiqua" w:eastAsia="Book Antiqua"/>
          <w:sz w:val="24"/>
          <w:szCs w:val="24"/>
          <w:lang w:val="it-IT"/>
        </w:rPr>
      </w:pPr>
      <w:r>
        <w:rPr>
          <w:rFonts w:ascii="Book Antiqua"/>
          <w:i w:val="1"/>
          <w:iCs w:val="1"/>
          <w:sz w:val="24"/>
          <w:szCs w:val="24"/>
          <w:rtl w:val="0"/>
          <w:lang w:val="it-IT"/>
        </w:rPr>
        <w:t>Domanda</w:t>
      </w:r>
      <w:r>
        <w:rPr>
          <w:rFonts w:ascii="Book Antiqua"/>
          <w:sz w:val="24"/>
          <w:szCs w:val="24"/>
          <w:rtl w:val="0"/>
          <w:lang w:val="it-IT"/>
        </w:rPr>
        <w:t>: L' ARPA prima di iniziare il monitoraggio ha acquisito il regime delle autorizzazioni per l'esercizio della discarica da parte delle societ</w:t>
      </w:r>
      <w:r>
        <w:rPr>
          <w:rFonts w:hAnsi="Book Antiqua" w:hint="default"/>
          <w:sz w:val="24"/>
          <w:szCs w:val="24"/>
          <w:rtl w:val="0"/>
          <w:lang w:val="it-IT"/>
        </w:rPr>
        <w:t xml:space="preserve">à </w:t>
      </w:r>
      <w:r>
        <w:rPr>
          <w:rFonts w:ascii="Book Antiqua"/>
          <w:sz w:val="24"/>
          <w:szCs w:val="24"/>
          <w:rtl w:val="0"/>
          <w:lang w:val="it-IT"/>
        </w:rPr>
        <w:t>che vi operano?</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No. Non c'</w:t>
      </w:r>
      <w:r>
        <w:rPr>
          <w:rFonts w:hAnsi="Book Antiqua" w:hint="default"/>
          <w:sz w:val="24"/>
          <w:szCs w:val="24"/>
          <w:rtl w:val="0"/>
          <w:lang w:val="it-IT"/>
        </w:rPr>
        <w:t xml:space="preserve">è </w:t>
      </w:r>
      <w:r>
        <w:rPr>
          <w:rFonts w:ascii="Book Antiqua"/>
          <w:sz w:val="24"/>
          <w:szCs w:val="24"/>
          <w:rtl w:val="0"/>
          <w:lang w:val="it-IT"/>
        </w:rPr>
        <w:t>stata mai un'indagine sul tipo di rifiuti che vi hanno portato"</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Sentito dal pubblico ministero titolare delle indagini Giuseppe Miliano il 14 novembre 2013</w:t>
      </w:r>
      <w:r>
        <w:rPr>
          <w:rFonts w:ascii="Book Antiqua" w:cs="Book Antiqua" w:hAnsi="Book Antiqua" w:eastAsia="Book Antiqua"/>
          <w:sz w:val="24"/>
          <w:szCs w:val="24"/>
          <w:vertAlign w:val="superscript"/>
          <w:rtl w:val="0"/>
        </w:rPr>
        <w:footnoteReference w:id="317"/>
      </w:r>
      <w:r>
        <w:rPr>
          <w:rFonts w:ascii="Book Antiqua"/>
          <w:sz w:val="24"/>
          <w:szCs w:val="24"/>
          <w:rtl w:val="0"/>
          <w:lang w:val="it-IT"/>
        </w:rPr>
        <w:t>, Chiarucci ha aggiunto alcuni elementi in relazione al sito B2 (area delle discarica destinata in passato a ricevere rifiuti speciali industriali, vedi oltre)</w:t>
      </w:r>
    </w:p>
    <w:p>
      <w:pPr>
        <w:pStyle w:val="Corpo A"/>
        <w:ind w:left="567" w:right="567" w:firstLine="0"/>
        <w:jc w:val="both"/>
        <w:rPr>
          <w:rFonts w:ascii="Book Antiqua" w:cs="Book Antiqua" w:hAnsi="Book Antiqua" w:eastAsia="Book Antiqua"/>
          <w:sz w:val="24"/>
          <w:szCs w:val="24"/>
          <w:lang w:val="it-IT"/>
        </w:rPr>
      </w:pPr>
      <w:r>
        <w:rPr>
          <w:rFonts w:ascii="Book Antiqua"/>
          <w:i w:val="1"/>
          <w:iCs w:val="1"/>
          <w:sz w:val="24"/>
          <w:szCs w:val="24"/>
          <w:rtl w:val="0"/>
          <w:lang w:val="it-IT"/>
        </w:rPr>
        <w:t>Domanda</w:t>
      </w:r>
      <w:r>
        <w:rPr>
          <w:rFonts w:ascii="Book Antiqua"/>
          <w:sz w:val="24"/>
          <w:szCs w:val="24"/>
          <w:rtl w:val="0"/>
          <w:lang w:val="it-IT"/>
        </w:rPr>
        <w:t>: Cosa era il sito B2?</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Era la ex Ecotecna; all'epoca pensarono di fare un sito apposito per i rifiuti speciali tenuti distinti dai solidi urbani, ricordo, per sentito dire, che fecero questo sito con accorgimenti specifici per contenere tali rifiuti speciali. Tale sito venne utilizzato soltanto in parte e poi fu dismesso. Successivamente la societ</w:t>
      </w:r>
      <w:r>
        <w:rPr>
          <w:rFonts w:hAnsi="Book Antiqua" w:hint="default"/>
          <w:sz w:val="24"/>
          <w:szCs w:val="24"/>
          <w:rtl w:val="0"/>
          <w:lang w:val="it-IT"/>
        </w:rPr>
        <w:t xml:space="preserve">à </w:t>
      </w:r>
      <w:r>
        <w:rPr>
          <w:rFonts w:ascii="Book Antiqua"/>
          <w:sz w:val="24"/>
          <w:szCs w:val="24"/>
          <w:rtl w:val="0"/>
          <w:lang w:val="it-IT"/>
        </w:rPr>
        <w:t>Indeco chiese di poterla utilizzare con rifiuti solidi urbani previa separazione dei rifiuti speciali; separazione avvenuta dapprima effettuando un controllo sulla tipologia di rifiuti speciali attraverso un'indagine con delle trivellazioni per escludere la presenza di rifiuti tossici pericolosi. Tale operazione dur</w:t>
      </w:r>
      <w:r>
        <w:rPr>
          <w:rFonts w:hAnsi="Book Antiqua" w:hint="default"/>
          <w:sz w:val="24"/>
          <w:szCs w:val="24"/>
          <w:rtl w:val="0"/>
          <w:lang w:val="it-IT"/>
        </w:rPr>
        <w:t xml:space="preserve">ò </w:t>
      </w:r>
      <w:r>
        <w:rPr>
          <w:rFonts w:ascii="Book Antiqua"/>
          <w:sz w:val="24"/>
          <w:szCs w:val="24"/>
          <w:rtl w:val="0"/>
          <w:lang w:val="it-IT"/>
        </w:rPr>
        <w:t>circa una mesata alla fine degli anni '90".</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In sede di audizione innanzi alla Commissione, nella seduta del 13 ottobre 2016, lo stesso Chiarucci ha fornito pochi elementi aggiuntivi sul tema:</w:t>
      </w:r>
    </w:p>
    <w:p>
      <w:pPr>
        <w:pStyle w:val="Corpo A"/>
        <w:ind w:left="567" w:right="567" w:firstLine="0"/>
        <w:jc w:val="both"/>
        <w:rPr>
          <w:rFonts w:ascii="Book Antiqua" w:cs="Book Antiqua" w:hAnsi="Book Antiqua" w:eastAsia="Book Antiqua"/>
          <w:sz w:val="24"/>
          <w:szCs w:val="24"/>
          <w:lang w:val="it-IT"/>
        </w:rPr>
      </w:pPr>
      <w:r>
        <w:rPr>
          <w:rFonts w:hAnsi="Book Antiqua" w:hint="default"/>
          <w:sz w:val="24"/>
          <w:szCs w:val="24"/>
          <w:rtl w:val="0"/>
          <w:lang w:val="it-IT"/>
        </w:rPr>
        <w:t>“</w:t>
      </w:r>
      <w:r>
        <w:rPr>
          <w:rFonts w:ascii="Book Antiqua"/>
          <w:sz w:val="24"/>
          <w:szCs w:val="24"/>
          <w:rtl w:val="0"/>
          <w:lang w:val="it-IT"/>
        </w:rPr>
        <w:t xml:space="preserve">dall'altra parte </w:t>
      </w:r>
      <w:r>
        <w:rPr>
          <w:rFonts w:hAnsi="Book Antiqua" w:hint="default"/>
          <w:sz w:val="24"/>
          <w:szCs w:val="24"/>
          <w:rtl w:val="0"/>
          <w:lang w:val="it-IT"/>
        </w:rPr>
        <w:t xml:space="preserve">è </w:t>
      </w:r>
      <w:r>
        <w:rPr>
          <w:rFonts w:ascii="Book Antiqua"/>
          <w:sz w:val="24"/>
          <w:szCs w:val="24"/>
          <w:rtl w:val="0"/>
          <w:lang w:val="it-IT"/>
        </w:rPr>
        <w:t>nata la Indeco, ha rilevato anche la ex B2, che era un altro invaso costruito nel frattempo secondo i criteri della direttiva sui rifiuti, dove erano stati abbancati inizialmente anche rifiuti speciali derivanti da attivit</w:t>
      </w:r>
      <w:r>
        <w:rPr>
          <w:rFonts w:hAnsi="Book Antiqua" w:hint="default"/>
          <w:sz w:val="24"/>
          <w:szCs w:val="24"/>
          <w:rtl w:val="0"/>
          <w:lang w:val="it-IT"/>
        </w:rPr>
        <w:t xml:space="preserve">à </w:t>
      </w:r>
      <w:r>
        <w:rPr>
          <w:rFonts w:ascii="Book Antiqua"/>
          <w:sz w:val="24"/>
          <w:szCs w:val="24"/>
          <w:rtl w:val="0"/>
          <w:lang w:val="it-IT"/>
        </w:rPr>
        <w:t>produttiva</w:t>
      </w:r>
      <w:r>
        <w:rPr>
          <w:rFonts w:hAnsi="Book Antiqua" w:hint="default"/>
          <w:sz w:val="24"/>
          <w:szCs w:val="24"/>
          <w:rtl w:val="0"/>
          <w:lang w:val="it-IT"/>
        </w:rPr>
        <w:t>”</w:t>
      </w:r>
      <w:r>
        <w:rPr>
          <w:rFonts w:ascii="Book Antiqua"/>
          <w:sz w:val="24"/>
          <w:szCs w:val="24"/>
          <w:rtl w:val="0"/>
          <w:lang w:val="it-IT"/>
        </w:rPr>
        <w:t>.</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Secondo il tecnico ARPA, responsabile della sezione di Latina, l</w:t>
      </w:r>
      <w:r>
        <w:rPr>
          <w:rFonts w:hAnsi="Book Antiqua" w:hint="default"/>
          <w:sz w:val="24"/>
          <w:szCs w:val="24"/>
          <w:rtl w:val="0"/>
          <w:lang w:val="it-IT"/>
        </w:rPr>
        <w:t>’</w:t>
      </w:r>
      <w:r>
        <w:rPr>
          <w:rFonts w:ascii="Book Antiqua"/>
          <w:sz w:val="24"/>
          <w:szCs w:val="24"/>
          <w:rtl w:val="0"/>
          <w:lang w:val="it-IT"/>
        </w:rPr>
        <w:t xml:space="preserve">eventuale inquinamento da sostanze industriali sarebbe confinato nella zona chiamata S0, bacino attivo nei primi anni </w:t>
      </w:r>
      <w:r>
        <w:rPr>
          <w:rFonts w:hAnsi="Book Antiqua" w:hint="default"/>
          <w:sz w:val="24"/>
          <w:szCs w:val="24"/>
          <w:rtl w:val="0"/>
          <w:lang w:val="it-IT"/>
        </w:rPr>
        <w:t>‘</w:t>
      </w:r>
      <w:r>
        <w:rPr>
          <w:rFonts w:ascii="Book Antiqua"/>
          <w:sz w:val="24"/>
          <w:szCs w:val="24"/>
          <w:rtl w:val="0"/>
          <w:lang w:val="it-IT"/>
        </w:rPr>
        <w:t>80, e in parte negli invasi S1, S2, S3:</w:t>
      </w:r>
    </w:p>
    <w:p>
      <w:pPr>
        <w:pStyle w:val="Corpo A"/>
        <w:ind w:left="567" w:right="567" w:firstLine="0"/>
        <w:jc w:val="both"/>
        <w:rPr>
          <w:rFonts w:ascii="Book Antiqua" w:cs="Book Antiqua" w:hAnsi="Book Antiqua" w:eastAsia="Book Antiqua"/>
          <w:sz w:val="24"/>
          <w:szCs w:val="24"/>
          <w:lang w:val="it-IT"/>
        </w:rPr>
      </w:pPr>
      <w:r>
        <w:rPr>
          <w:rFonts w:hAnsi="Book Antiqua" w:hint="default"/>
          <w:sz w:val="24"/>
          <w:szCs w:val="24"/>
          <w:rtl w:val="0"/>
          <w:lang w:val="it-IT"/>
        </w:rPr>
        <w:t>“</w:t>
      </w:r>
      <w:r>
        <w:rPr>
          <w:rFonts w:ascii="Book Antiqua"/>
          <w:sz w:val="24"/>
          <w:szCs w:val="24"/>
          <w:rtl w:val="0"/>
          <w:lang w:val="it-IT"/>
        </w:rPr>
        <w:t xml:space="preserve">La situazione di Borgo Montello </w:t>
      </w:r>
      <w:r>
        <w:rPr>
          <w:rFonts w:hAnsi="Book Antiqua" w:hint="default"/>
          <w:sz w:val="24"/>
          <w:szCs w:val="24"/>
          <w:rtl w:val="0"/>
          <w:lang w:val="it-IT"/>
        </w:rPr>
        <w:t xml:space="preserve">è </w:t>
      </w:r>
      <w:r>
        <w:rPr>
          <w:rFonts w:ascii="Book Antiqua"/>
          <w:sz w:val="24"/>
          <w:szCs w:val="24"/>
          <w:rtl w:val="0"/>
          <w:lang w:val="it-IT"/>
        </w:rPr>
        <w:t xml:space="preserve">effettivamente complessa. Come accennato dal direttore, la problematica nasce proprio con la discarica, nel senso che il primo bacino di abbancamento, il famoso S0, che </w:t>
      </w:r>
      <w:r>
        <w:rPr>
          <w:rFonts w:hAnsi="Book Antiqua" w:hint="default"/>
          <w:sz w:val="24"/>
          <w:szCs w:val="24"/>
          <w:rtl w:val="0"/>
          <w:lang w:val="it-IT"/>
        </w:rPr>
        <w:t xml:space="preserve">è </w:t>
      </w:r>
      <w:r>
        <w:rPr>
          <w:rFonts w:ascii="Book Antiqua"/>
          <w:sz w:val="24"/>
          <w:szCs w:val="24"/>
          <w:rtl w:val="0"/>
          <w:lang w:val="it-IT"/>
        </w:rPr>
        <w:t xml:space="preserve">fonte di parecchie vicende interne alla discarica, nasce negli anni </w:t>
      </w:r>
      <w:r>
        <w:rPr>
          <w:rFonts w:hAnsi="Book Antiqua" w:hint="default"/>
          <w:sz w:val="24"/>
          <w:szCs w:val="24"/>
          <w:rtl w:val="0"/>
          <w:lang w:val="it-IT"/>
        </w:rPr>
        <w:t>’</w:t>
      </w:r>
      <w:r>
        <w:rPr>
          <w:rFonts w:ascii="Book Antiqua"/>
          <w:sz w:val="24"/>
          <w:szCs w:val="24"/>
          <w:rtl w:val="0"/>
          <w:lang w:val="it-IT"/>
        </w:rPr>
        <w:t>70 proprio sulle sponde dell'Astura, sull'area golenale che era stata presa come sversatoio perch</w:t>
      </w:r>
      <w:r>
        <w:rPr>
          <w:rFonts w:hAnsi="Book Antiqua" w:hint="default"/>
          <w:sz w:val="24"/>
          <w:szCs w:val="24"/>
          <w:rtl w:val="0"/>
          <w:lang w:val="it-IT"/>
        </w:rPr>
        <w:t xml:space="preserve">é </w:t>
      </w:r>
      <w:r>
        <w:rPr>
          <w:rFonts w:ascii="Book Antiqua"/>
          <w:sz w:val="24"/>
          <w:szCs w:val="24"/>
          <w:rtl w:val="0"/>
          <w:lang w:val="it-IT"/>
        </w:rPr>
        <w:t xml:space="preserve">c'era una parete naturale, quindi </w:t>
      </w:r>
      <w:r>
        <w:rPr>
          <w:rFonts w:hAnsi="Book Antiqua" w:hint="default"/>
          <w:sz w:val="24"/>
          <w:szCs w:val="24"/>
          <w:rtl w:val="0"/>
          <w:lang w:val="it-IT"/>
        </w:rPr>
        <w:t xml:space="preserve">è </w:t>
      </w:r>
      <w:r>
        <w:rPr>
          <w:rFonts w:ascii="Book Antiqua"/>
          <w:sz w:val="24"/>
          <w:szCs w:val="24"/>
          <w:rtl w:val="0"/>
          <w:lang w:val="it-IT"/>
        </w:rPr>
        <w:t xml:space="preserve">stato sversato questo rifiuto per anni. </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 xml:space="preserve">S0 </w:t>
      </w:r>
      <w:r>
        <w:rPr>
          <w:rFonts w:hAnsi="Book Antiqua" w:hint="default"/>
          <w:sz w:val="24"/>
          <w:szCs w:val="24"/>
          <w:rtl w:val="0"/>
          <w:lang w:val="it-IT"/>
        </w:rPr>
        <w:t xml:space="preserve">è </w:t>
      </w:r>
      <w:r>
        <w:rPr>
          <w:rFonts w:ascii="Book Antiqua"/>
          <w:sz w:val="24"/>
          <w:szCs w:val="24"/>
          <w:rtl w:val="0"/>
          <w:lang w:val="it-IT"/>
        </w:rPr>
        <w:t xml:space="preserve">stato coltivato fino al 1984, l'ha seguito il comune nell'ultima parte, fino agli anni </w:t>
      </w:r>
      <w:r>
        <w:rPr>
          <w:rFonts w:hAnsi="Book Antiqua" w:hint="default"/>
          <w:sz w:val="24"/>
          <w:szCs w:val="24"/>
          <w:rtl w:val="0"/>
          <w:lang w:val="it-IT"/>
        </w:rPr>
        <w:t>’</w:t>
      </w:r>
      <w:r>
        <w:rPr>
          <w:rFonts w:ascii="Book Antiqua"/>
          <w:sz w:val="24"/>
          <w:szCs w:val="24"/>
          <w:rtl w:val="0"/>
          <w:lang w:val="it-IT"/>
        </w:rPr>
        <w:t>90 si potevano tranquillamente portare rifiuti di tipo industriale e rifiuti urbani mescolati fra loro soprattutto nelle discariche S1, S2, S3, i famosi bacini che poi sono un tutt'uno</w:t>
      </w:r>
      <w:r>
        <w:rPr>
          <w:rFonts w:hAnsi="Book Antiqua" w:hint="default"/>
          <w:sz w:val="24"/>
          <w:szCs w:val="24"/>
          <w:rtl w:val="0"/>
          <w:lang w:val="it-IT"/>
        </w:rPr>
        <w:t>”</w:t>
      </w:r>
      <w:r>
        <w:rPr>
          <w:rFonts w:ascii="Book Antiqua"/>
          <w:sz w:val="24"/>
          <w:szCs w:val="24"/>
          <w:rtl w:val="0"/>
          <w:lang w:val="it-IT"/>
        </w:rPr>
        <w:t xml:space="preserve">. </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 xml:space="preserve">Anche il settore rifiuti della regione Lazio sembra non disporre di conoscenze dirette rispetto alla presenza di rifiuti industriali, anche pericolosi, nell'area della discarica. La dirigente Flaminia Tosini (responsabile del settore rifiuti e, al momento dell'audizione, con l'incarico ad </w:t>
      </w:r>
      <w:r>
        <w:rPr>
          <w:rFonts w:ascii="Book Antiqua"/>
          <w:i w:val="1"/>
          <w:iCs w:val="1"/>
          <w:sz w:val="24"/>
          <w:szCs w:val="24"/>
          <w:rtl w:val="0"/>
          <w:lang w:val="it-IT"/>
        </w:rPr>
        <w:t>interim</w:t>
      </w:r>
      <w:r>
        <w:rPr>
          <w:rFonts w:ascii="Book Antiqua"/>
          <w:sz w:val="24"/>
          <w:szCs w:val="24"/>
          <w:rtl w:val="0"/>
          <w:lang w:val="it-IT"/>
        </w:rPr>
        <w:t xml:space="preserve"> di responsabile bonifiche) nel corso dell'audizione dell'11 luglio 2016 ha dichiarato di non avere conoscenza dell'interramento di rifiuti industriali.</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Sia l</w:t>
      </w:r>
      <w:r>
        <w:rPr>
          <w:rFonts w:hAnsi="Book Antiqua" w:hint="default"/>
          <w:sz w:val="24"/>
          <w:szCs w:val="24"/>
          <w:rtl w:val="0"/>
          <w:lang w:val="it-IT"/>
        </w:rPr>
        <w:t>’</w:t>
      </w:r>
      <w:r>
        <w:rPr>
          <w:rFonts w:ascii="Book Antiqua"/>
          <w:sz w:val="24"/>
          <w:szCs w:val="24"/>
          <w:rtl w:val="0"/>
          <w:lang w:val="it-IT"/>
        </w:rPr>
        <w:t>ARPA che la regione Lazio, dunque, dichiarano di non possedere elementi certi di ricostruzione storica rispetto all'utilizzo del sito di Borgo Montello per lo stoccaggio di rifiuti industriali, anche pericolosi, al di l</w:t>
      </w:r>
      <w:r>
        <w:rPr>
          <w:rFonts w:hAnsi="Book Antiqua" w:hint="default"/>
          <w:sz w:val="24"/>
          <w:szCs w:val="24"/>
          <w:rtl w:val="0"/>
          <w:lang w:val="it-IT"/>
        </w:rPr>
        <w:t xml:space="preserve">à </w:t>
      </w:r>
      <w:r>
        <w:rPr>
          <w:rFonts w:ascii="Book Antiqua"/>
          <w:sz w:val="24"/>
          <w:szCs w:val="24"/>
          <w:rtl w:val="0"/>
          <w:lang w:val="it-IT"/>
        </w:rPr>
        <w:t xml:space="preserve">delle indagini sul sito S0. Tale assenza di informazioni appare grave: se </w:t>
      </w:r>
      <w:r>
        <w:rPr>
          <w:rFonts w:hAnsi="Book Antiqua" w:hint="default"/>
          <w:sz w:val="24"/>
          <w:szCs w:val="24"/>
          <w:rtl w:val="0"/>
          <w:lang w:val="it-IT"/>
        </w:rPr>
        <w:t xml:space="preserve">è </w:t>
      </w:r>
      <w:r>
        <w:rPr>
          <w:rFonts w:ascii="Book Antiqua"/>
          <w:sz w:val="24"/>
          <w:szCs w:val="24"/>
          <w:rtl w:val="0"/>
          <w:lang w:val="it-IT"/>
        </w:rPr>
        <w:t xml:space="preserve">giustificabile sul versante dei presunti sversamenti illeciti (affrontati in questa relazione nel dettaglio), meno comprensibile </w:t>
      </w:r>
      <w:r>
        <w:rPr>
          <w:rFonts w:hAnsi="Book Antiqua" w:hint="default"/>
          <w:sz w:val="24"/>
          <w:szCs w:val="24"/>
          <w:rtl w:val="0"/>
          <w:lang w:val="it-IT"/>
        </w:rPr>
        <w:t xml:space="preserve">è </w:t>
      </w:r>
      <w:r>
        <w:rPr>
          <w:rFonts w:ascii="Book Antiqua"/>
          <w:sz w:val="24"/>
          <w:szCs w:val="24"/>
          <w:rtl w:val="0"/>
          <w:lang w:val="it-IT"/>
        </w:rPr>
        <w:t xml:space="preserve">la mancata analisi della documentazione autorizzativa della stessa regione Lazio. Tra il 1990 e il 1993 fu infatti la stessa regione ad autorizzare - con un provvedimento decisamente atipico, come vedremo - lo stoccaggio di rifiuti speciali anche pericolosi all'interno di un invaso del sito di Borgo Montello. Quell'atto, tra l'altro, diede origine ad un lungo contenzioso amministrativo e a un processo penale connotato, come si </w:t>
      </w:r>
      <w:r>
        <w:rPr>
          <w:rFonts w:hAnsi="Book Antiqua" w:hint="default"/>
          <w:sz w:val="24"/>
          <w:szCs w:val="24"/>
          <w:rtl w:val="0"/>
          <w:lang w:val="it-IT"/>
        </w:rPr>
        <w:t xml:space="preserve">è </w:t>
      </w:r>
      <w:r>
        <w:rPr>
          <w:rFonts w:ascii="Book Antiqua"/>
          <w:sz w:val="24"/>
          <w:szCs w:val="24"/>
          <w:rtl w:val="0"/>
          <w:lang w:val="it-IT"/>
        </w:rPr>
        <w:t>detto, da una condanna in primo grado dell'allora responsabile della gestione Adriano Musso.</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Il lavoro di monitoraggio della falda acquifera svolto dall</w:t>
      </w:r>
      <w:r>
        <w:rPr>
          <w:rFonts w:hAnsi="Book Antiqua" w:hint="default"/>
          <w:sz w:val="24"/>
          <w:szCs w:val="24"/>
          <w:rtl w:val="0"/>
          <w:lang w:val="it-IT"/>
        </w:rPr>
        <w:t>’</w:t>
      </w:r>
      <w:r>
        <w:rPr>
          <w:rFonts w:ascii="Book Antiqua"/>
          <w:sz w:val="24"/>
          <w:szCs w:val="24"/>
          <w:rtl w:val="0"/>
          <w:lang w:val="it-IT"/>
        </w:rPr>
        <w:t xml:space="preserve">ARPA Lazio (che </w:t>
      </w:r>
      <w:r>
        <w:rPr>
          <w:rFonts w:hAnsi="Book Antiqua" w:hint="default"/>
          <w:sz w:val="24"/>
          <w:szCs w:val="24"/>
          <w:rtl w:val="0"/>
          <w:lang w:val="it-IT"/>
        </w:rPr>
        <w:t xml:space="preserve">è </w:t>
      </w:r>
      <w:r>
        <w:rPr>
          <w:rFonts w:ascii="Book Antiqua"/>
          <w:sz w:val="24"/>
          <w:szCs w:val="24"/>
          <w:rtl w:val="0"/>
          <w:lang w:val="it-IT"/>
        </w:rPr>
        <w:t xml:space="preserve">alla base del progetto di bonifica oggi in attesa di VIA da parte della regione Lazio) </w:t>
      </w:r>
      <w:r>
        <w:rPr>
          <w:rFonts w:hAnsi="Book Antiqua" w:hint="default"/>
          <w:sz w:val="24"/>
          <w:szCs w:val="24"/>
          <w:rtl w:val="0"/>
          <w:lang w:val="it-IT"/>
        </w:rPr>
        <w:t xml:space="preserve">è </w:t>
      </w:r>
      <w:r>
        <w:rPr>
          <w:rFonts w:ascii="Book Antiqua"/>
          <w:sz w:val="24"/>
          <w:szCs w:val="24"/>
          <w:rtl w:val="0"/>
          <w:lang w:val="it-IT"/>
        </w:rPr>
        <w:t>iniziato nel 2005.</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Nell'ottobre 2014 l'ISPRA ha completato la relazione conclusiva per la definizione del modello idrogeologico dell'area adibita a discarica in localit</w:t>
      </w:r>
      <w:r>
        <w:rPr>
          <w:rFonts w:hAnsi="Book Antiqua" w:hint="default"/>
          <w:sz w:val="24"/>
          <w:szCs w:val="24"/>
          <w:rtl w:val="0"/>
          <w:lang w:val="it-IT"/>
        </w:rPr>
        <w:t xml:space="preserve">à </w:t>
      </w:r>
      <w:r>
        <w:rPr>
          <w:rFonts w:ascii="Book Antiqua"/>
          <w:sz w:val="24"/>
          <w:szCs w:val="24"/>
          <w:rtl w:val="0"/>
          <w:lang w:val="it-IT"/>
        </w:rPr>
        <w:t>Borgo Montello. Il rapporto</w:t>
      </w:r>
      <w:r>
        <w:rPr>
          <w:rFonts w:ascii="Book Antiqua" w:cs="Book Antiqua" w:hAnsi="Book Antiqua" w:eastAsia="Book Antiqua"/>
          <w:sz w:val="24"/>
          <w:szCs w:val="24"/>
          <w:vertAlign w:val="superscript"/>
          <w:rtl w:val="0"/>
        </w:rPr>
        <w:footnoteReference w:id="318"/>
      </w:r>
      <w:r>
        <w:rPr>
          <w:rFonts w:hAnsi="Book Antiqua" w:hint="default"/>
          <w:sz w:val="24"/>
          <w:szCs w:val="24"/>
          <w:rtl w:val="0"/>
          <w:lang w:val="it-IT"/>
        </w:rPr>
        <w:t xml:space="preserve"> è </w:t>
      </w:r>
      <w:r>
        <w:rPr>
          <w:rFonts w:ascii="Book Antiqua"/>
          <w:sz w:val="24"/>
          <w:szCs w:val="24"/>
          <w:rtl w:val="0"/>
          <w:lang w:val="it-IT"/>
        </w:rPr>
        <w:t>una valutazione complessiva dei risultati del secondo triennio (2009-2013) di monitoraggio idrochimico delle falde dell'area.</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Le conclusioni hanno, in sintesi, evidenziato:</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 xml:space="preserve">a) per la sostanza 1,2 dicloropropano </w:t>
      </w:r>
      <w:r>
        <w:rPr>
          <w:rFonts w:hAnsi="Book Antiqua" w:hint="default"/>
          <w:sz w:val="24"/>
          <w:szCs w:val="24"/>
          <w:rtl w:val="0"/>
          <w:lang w:val="it-IT"/>
        </w:rPr>
        <w:t xml:space="preserve">è </w:t>
      </w:r>
      <w:r>
        <w:rPr>
          <w:rFonts w:ascii="Book Antiqua"/>
          <w:sz w:val="24"/>
          <w:szCs w:val="24"/>
          <w:rtl w:val="0"/>
          <w:lang w:val="it-IT"/>
        </w:rPr>
        <w:t>stata rilevata una concentrazione superiore alle CSC in 28 campioni, pari al 18,7 per cento del totale, all'interno  dell'area della discarica;</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 xml:space="preserve">b) per la sostanza 1,4 diclorobenzene  </w:t>
      </w:r>
      <w:r>
        <w:rPr>
          <w:rFonts w:hAnsi="Book Antiqua" w:hint="default"/>
          <w:sz w:val="24"/>
          <w:szCs w:val="24"/>
          <w:rtl w:val="0"/>
          <w:lang w:val="it-IT"/>
        </w:rPr>
        <w:t xml:space="preserve">è </w:t>
      </w:r>
      <w:r>
        <w:rPr>
          <w:rFonts w:ascii="Book Antiqua"/>
          <w:sz w:val="24"/>
          <w:szCs w:val="24"/>
          <w:rtl w:val="0"/>
          <w:lang w:val="it-IT"/>
        </w:rPr>
        <w:t>stata rilevata una concentrazione superiore alle CSC in 27 campioni, pari al 18 per cento del totale, all'interno dell'area della discarica;</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 xml:space="preserve">Per quanto riguarda questi due indicatori la maggior presenza </w:t>
      </w:r>
      <w:r>
        <w:rPr>
          <w:rFonts w:hAnsi="Book Antiqua" w:hint="default"/>
          <w:sz w:val="24"/>
          <w:szCs w:val="24"/>
          <w:rtl w:val="0"/>
          <w:lang w:val="it-IT"/>
        </w:rPr>
        <w:t xml:space="preserve">è </w:t>
      </w:r>
      <w:r>
        <w:rPr>
          <w:rFonts w:ascii="Book Antiqua"/>
          <w:sz w:val="24"/>
          <w:szCs w:val="24"/>
          <w:rtl w:val="0"/>
          <w:lang w:val="it-IT"/>
        </w:rPr>
        <w:t>stata rilevata attorno all'opera di isolamento idraulico (</w:t>
      </w:r>
      <w:r>
        <w:rPr>
          <w:rFonts w:ascii="Book Antiqua"/>
          <w:i w:val="1"/>
          <w:iCs w:val="1"/>
          <w:sz w:val="24"/>
          <w:szCs w:val="24"/>
          <w:rtl w:val="0"/>
          <w:lang w:val="it-IT"/>
        </w:rPr>
        <w:t>polder</w:t>
      </w:r>
      <w:r>
        <w:rPr>
          <w:rFonts w:ascii="Book Antiqua"/>
          <w:sz w:val="24"/>
          <w:szCs w:val="24"/>
          <w:rtl w:val="0"/>
          <w:lang w:val="it-IT"/>
        </w:rPr>
        <w:t>), realizzato all'inizio degli anni 2000 nell'area gestita dalla societ</w:t>
      </w:r>
      <w:r>
        <w:rPr>
          <w:rFonts w:hAnsi="Book Antiqua" w:hint="default"/>
          <w:sz w:val="24"/>
          <w:szCs w:val="24"/>
          <w:rtl w:val="0"/>
          <w:lang w:val="it-IT"/>
        </w:rPr>
        <w:t xml:space="preserve">à </w:t>
      </w:r>
      <w:r>
        <w:rPr>
          <w:rFonts w:ascii="Book Antiqua"/>
          <w:sz w:val="24"/>
          <w:szCs w:val="24"/>
          <w:rtl w:val="0"/>
          <w:lang w:val="it-IT"/>
        </w:rPr>
        <w:t xml:space="preserve">Ecoambiente (siti S1 S2 e S3).c) per la sostanza ferro </w:t>
      </w:r>
      <w:r>
        <w:rPr>
          <w:rFonts w:hAnsi="Book Antiqua" w:hint="default"/>
          <w:sz w:val="24"/>
          <w:szCs w:val="24"/>
          <w:rtl w:val="0"/>
          <w:lang w:val="it-IT"/>
        </w:rPr>
        <w:t xml:space="preserve">è </w:t>
      </w:r>
      <w:r>
        <w:rPr>
          <w:rFonts w:ascii="Book Antiqua"/>
          <w:sz w:val="24"/>
          <w:szCs w:val="24"/>
          <w:rtl w:val="0"/>
          <w:lang w:val="it-IT"/>
        </w:rPr>
        <w:t>stata rilevata una concentrazione superiore alle CSC in 77 campioni, pari al 33 per cento del totale, con una presenza prevalente all'interno dell'area della discarica; le massime concentrazioni sono state rilevate in prossimit</w:t>
      </w:r>
      <w:r>
        <w:rPr>
          <w:rFonts w:hAnsi="Book Antiqua" w:hint="default"/>
          <w:sz w:val="24"/>
          <w:szCs w:val="24"/>
          <w:rtl w:val="0"/>
          <w:lang w:val="it-IT"/>
        </w:rPr>
        <w:t xml:space="preserve">à </w:t>
      </w:r>
      <w:r>
        <w:rPr>
          <w:rFonts w:ascii="Book Antiqua"/>
          <w:sz w:val="24"/>
          <w:szCs w:val="24"/>
          <w:rtl w:val="0"/>
          <w:lang w:val="it-IT"/>
        </w:rPr>
        <w:t xml:space="preserve">del citato </w:t>
      </w:r>
      <w:r>
        <w:rPr>
          <w:rFonts w:ascii="Book Antiqua"/>
          <w:i w:val="1"/>
          <w:iCs w:val="1"/>
          <w:sz w:val="24"/>
          <w:szCs w:val="24"/>
          <w:rtl w:val="0"/>
          <w:lang w:val="it-IT"/>
        </w:rPr>
        <w:t>polder</w:t>
      </w:r>
      <w:r>
        <w:rPr>
          <w:rFonts w:ascii="Book Antiqua"/>
          <w:sz w:val="24"/>
          <w:szCs w:val="24"/>
          <w:rtl w:val="0"/>
          <w:lang w:val="it-IT"/>
        </w:rPr>
        <w:t>;</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 xml:space="preserve">d) per la sostanza manganese </w:t>
      </w:r>
      <w:r>
        <w:rPr>
          <w:rFonts w:hAnsi="Book Antiqua" w:hint="default"/>
          <w:sz w:val="24"/>
          <w:szCs w:val="24"/>
          <w:rtl w:val="0"/>
          <w:lang w:val="it-IT"/>
        </w:rPr>
        <w:t xml:space="preserve">è </w:t>
      </w:r>
      <w:r>
        <w:rPr>
          <w:rFonts w:ascii="Book Antiqua"/>
          <w:sz w:val="24"/>
          <w:szCs w:val="24"/>
          <w:rtl w:val="0"/>
          <w:lang w:val="it-IT"/>
        </w:rPr>
        <w:t xml:space="preserve">stata rilevata una concentrazione superiore alle CSC nel 60 per cento dei campioni; </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 xml:space="preserve">e) per la sostanza arsenico </w:t>
      </w:r>
      <w:r>
        <w:rPr>
          <w:rFonts w:hAnsi="Book Antiqua" w:hint="default"/>
          <w:sz w:val="24"/>
          <w:szCs w:val="24"/>
          <w:rtl w:val="0"/>
          <w:lang w:val="it-IT"/>
        </w:rPr>
        <w:t xml:space="preserve">è </w:t>
      </w:r>
      <w:r>
        <w:rPr>
          <w:rFonts w:ascii="Book Antiqua"/>
          <w:sz w:val="24"/>
          <w:szCs w:val="24"/>
          <w:rtl w:val="0"/>
          <w:lang w:val="it-IT"/>
        </w:rPr>
        <w:t xml:space="preserve">stata rilevata una concentrazione superiore alle CSC nel 30 per cento dei campioni; </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 xml:space="preserve">f) per la sostanza piombo </w:t>
      </w:r>
      <w:r>
        <w:rPr>
          <w:rFonts w:hAnsi="Book Antiqua" w:hint="default"/>
          <w:sz w:val="24"/>
          <w:szCs w:val="24"/>
          <w:rtl w:val="0"/>
          <w:lang w:val="it-IT"/>
        </w:rPr>
        <w:t xml:space="preserve">è </w:t>
      </w:r>
      <w:r>
        <w:rPr>
          <w:rFonts w:ascii="Book Antiqua"/>
          <w:sz w:val="24"/>
          <w:szCs w:val="24"/>
          <w:rtl w:val="0"/>
          <w:lang w:val="it-IT"/>
        </w:rPr>
        <w:t>stata rilevata una concentrazione superiore alle CSC nel 14 per cento dei campioni (presenza giudicata sporadica dall' ISPRA);</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 xml:space="preserve">g)  per la sostanza solfati </w:t>
      </w:r>
      <w:r>
        <w:rPr>
          <w:rFonts w:hAnsi="Book Antiqua" w:hint="default"/>
          <w:sz w:val="24"/>
          <w:szCs w:val="24"/>
          <w:rtl w:val="0"/>
          <w:lang w:val="it-IT"/>
        </w:rPr>
        <w:t xml:space="preserve">è </w:t>
      </w:r>
      <w:r>
        <w:rPr>
          <w:rFonts w:ascii="Book Antiqua"/>
          <w:sz w:val="24"/>
          <w:szCs w:val="24"/>
          <w:rtl w:val="0"/>
          <w:lang w:val="it-IT"/>
        </w:rPr>
        <w:t>stata rilevata una concentrazione superiore alle CSC nel 3,9 per cento dei campioni della rete interna e nel 3 per cento della rete esterna all'area della discarica. Sono stati infine rilevati superamenti occasionali di altre sostanze: idrocarburi totali (1), cloroformio (3), cloruro di vinile (2); in concentrazioni inferiori alle CSC: benzene, toluene, p-xilene, 1,1 dicloroetano, 1,2 dicloroetilene, tricloroetilene e tetracloroetilene.</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L' ISPRA cos</w:t>
      </w:r>
      <w:r>
        <w:rPr>
          <w:rFonts w:hAnsi="Book Antiqua" w:hint="default"/>
          <w:sz w:val="24"/>
          <w:szCs w:val="24"/>
          <w:rtl w:val="0"/>
          <w:lang w:val="it-IT"/>
        </w:rPr>
        <w:t xml:space="preserve">ì </w:t>
      </w:r>
      <w:r>
        <w:rPr>
          <w:rFonts w:ascii="Book Antiqua"/>
          <w:sz w:val="24"/>
          <w:szCs w:val="24"/>
          <w:rtl w:val="0"/>
          <w:lang w:val="it-IT"/>
        </w:rPr>
        <w:t xml:space="preserve">conclude lo  studio: </w:t>
      </w:r>
      <w:r>
        <w:rPr>
          <w:rFonts w:hAnsi="Book Antiqua" w:hint="default"/>
          <w:sz w:val="24"/>
          <w:szCs w:val="24"/>
          <w:rtl w:val="0"/>
          <w:lang w:val="it-IT"/>
        </w:rPr>
        <w:t>“</w:t>
      </w:r>
      <w:r>
        <w:rPr>
          <w:rFonts w:ascii="Book Antiqua"/>
          <w:sz w:val="24"/>
          <w:szCs w:val="24"/>
          <w:rtl w:val="0"/>
          <w:lang w:val="it-IT"/>
        </w:rPr>
        <w:t>In considerazione del fatto che sono stati riscontrati superamenti delle CSC ai punti di conformit</w:t>
      </w:r>
      <w:r>
        <w:rPr>
          <w:rFonts w:hAnsi="Book Antiqua" w:hint="default"/>
          <w:sz w:val="24"/>
          <w:szCs w:val="24"/>
          <w:rtl w:val="0"/>
          <w:lang w:val="it-IT"/>
        </w:rPr>
        <w:t>à</w:t>
      </w:r>
      <w:r>
        <w:rPr>
          <w:rFonts w:ascii="Book Antiqua"/>
          <w:sz w:val="24"/>
          <w:szCs w:val="24"/>
          <w:rtl w:val="0"/>
          <w:lang w:val="it-IT"/>
        </w:rPr>
        <w:t>, si ritiene che ai sensi della normativa vigente (Parte Quarta, Titolo V, del decreto legislativo n. 152 del 2006 e ss.mm.ii.) corra l'obbligo alle ditte di intervenire con misure di messa  in sicurezza e/o bonifica delle acque sotterranee</w:t>
      </w:r>
      <w:r>
        <w:rPr>
          <w:rFonts w:hAnsi="Book Antiqua" w:hint="default"/>
          <w:sz w:val="24"/>
          <w:szCs w:val="24"/>
          <w:rtl w:val="0"/>
          <w:lang w:val="it-IT"/>
        </w:rPr>
        <w:t>”</w:t>
      </w:r>
      <w:r>
        <w:rPr>
          <w:rFonts w:ascii="Book Antiqua"/>
          <w:sz w:val="24"/>
          <w:szCs w:val="24"/>
          <w:rtl w:val="0"/>
          <w:lang w:val="it-IT"/>
        </w:rPr>
        <w:t>. Viene inoltre ritenuto indispensabile il proseguimento del monitoraggio da parte di ARPA Lazio, con prelievi almeno semestrali.</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Nella documentazione presentata da ARPA Lazio alla Commissione non c</w:t>
      </w:r>
      <w:r>
        <w:rPr>
          <w:rFonts w:hAnsi="Book Antiqua" w:hint="default"/>
          <w:sz w:val="24"/>
          <w:szCs w:val="24"/>
          <w:rtl w:val="0"/>
          <w:lang w:val="it-IT"/>
        </w:rPr>
        <w:t xml:space="preserve">’è </w:t>
      </w:r>
      <w:r>
        <w:rPr>
          <w:rFonts w:ascii="Book Antiqua"/>
          <w:sz w:val="24"/>
          <w:szCs w:val="24"/>
          <w:rtl w:val="0"/>
          <w:lang w:val="it-IT"/>
        </w:rPr>
        <w:t>tuttavia traccia di ulteriori monitoraggi specifici delle falde.</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Nell'ambito del gi</w:t>
      </w:r>
      <w:r>
        <w:rPr>
          <w:rFonts w:hAnsi="Book Antiqua" w:hint="default"/>
          <w:sz w:val="24"/>
          <w:szCs w:val="24"/>
          <w:rtl w:val="0"/>
          <w:lang w:val="it-IT"/>
        </w:rPr>
        <w:t xml:space="preserve">à </w:t>
      </w:r>
      <w:r>
        <w:rPr>
          <w:rFonts w:ascii="Book Antiqua"/>
          <w:sz w:val="24"/>
          <w:szCs w:val="24"/>
          <w:rtl w:val="0"/>
          <w:lang w:val="it-IT"/>
        </w:rPr>
        <w:t xml:space="preserve">citato procedimento penale pendente davanti al tribunale di Latina per avvelenamento delle acque, relativo alla gestione di parte della discarica di Borgo Montello, in fase di udienza preliminare il perito Tomaso Munari ha ricostruito lo stato ambientale dell'area, realizzando nuovi prelievi. </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Nella relazione finale depositata al giudice dell</w:t>
      </w:r>
      <w:r>
        <w:rPr>
          <w:rFonts w:hAnsi="Book Antiqua" w:hint="default"/>
          <w:sz w:val="24"/>
          <w:szCs w:val="24"/>
          <w:rtl w:val="0"/>
          <w:lang w:val="it-IT"/>
        </w:rPr>
        <w:t>’</w:t>
      </w:r>
      <w:r>
        <w:rPr>
          <w:rFonts w:ascii="Book Antiqua"/>
          <w:sz w:val="24"/>
          <w:szCs w:val="24"/>
          <w:rtl w:val="0"/>
          <w:lang w:val="it-IT"/>
        </w:rPr>
        <w:t>udienza preliminare</w:t>
      </w:r>
      <w:r>
        <w:rPr>
          <w:rFonts w:ascii="Book Antiqua" w:cs="Book Antiqua" w:hAnsi="Book Antiqua" w:eastAsia="Book Antiqua"/>
          <w:sz w:val="24"/>
          <w:szCs w:val="24"/>
          <w:vertAlign w:val="superscript"/>
          <w:rtl w:val="0"/>
        </w:rPr>
        <w:footnoteReference w:id="319"/>
      </w:r>
      <w:r>
        <w:rPr>
          <w:rFonts w:ascii="Book Antiqua"/>
          <w:sz w:val="24"/>
          <w:szCs w:val="24"/>
          <w:rtl w:val="0"/>
          <w:lang w:val="it-IT"/>
        </w:rPr>
        <w:t>, sono evidenziate alcune criticit</w:t>
      </w:r>
      <w:r>
        <w:rPr>
          <w:rFonts w:hAnsi="Book Antiqua" w:hint="default"/>
          <w:sz w:val="24"/>
          <w:szCs w:val="24"/>
          <w:rtl w:val="0"/>
          <w:lang w:val="it-IT"/>
        </w:rPr>
        <w:t xml:space="preserve">à </w:t>
      </w:r>
      <w:r>
        <w:rPr>
          <w:rFonts w:ascii="Book Antiqua"/>
          <w:sz w:val="24"/>
          <w:szCs w:val="24"/>
          <w:rtl w:val="0"/>
          <w:lang w:val="it-IT"/>
        </w:rPr>
        <w:t xml:space="preserve">dello studio realizzato da ARPA Lazio e ISPRA, che porterebbero a considerare come sottostimati i livelli di inquinamento </w:t>
      </w:r>
      <w:r>
        <w:rPr>
          <w:rFonts w:hAnsi="Book Antiqua" w:hint="default"/>
          <w:sz w:val="24"/>
          <w:szCs w:val="24"/>
          <w:rtl w:val="0"/>
          <w:lang w:val="it-IT"/>
        </w:rPr>
        <w:t xml:space="preserve">– </w:t>
      </w:r>
      <w:r>
        <w:rPr>
          <w:rFonts w:ascii="Book Antiqua"/>
          <w:sz w:val="24"/>
          <w:szCs w:val="24"/>
          <w:rtl w:val="0"/>
          <w:lang w:val="it-IT"/>
        </w:rPr>
        <w:t>gi</w:t>
      </w:r>
      <w:r>
        <w:rPr>
          <w:rFonts w:hAnsi="Book Antiqua" w:hint="default"/>
          <w:sz w:val="24"/>
          <w:szCs w:val="24"/>
          <w:rtl w:val="0"/>
          <w:lang w:val="it-IT"/>
        </w:rPr>
        <w:t xml:space="preserve">à </w:t>
      </w:r>
      <w:r>
        <w:rPr>
          <w:rFonts w:ascii="Book Antiqua"/>
          <w:sz w:val="24"/>
          <w:szCs w:val="24"/>
          <w:rtl w:val="0"/>
          <w:lang w:val="it-IT"/>
        </w:rPr>
        <w:t xml:space="preserve">di per se rilevanti </w:t>
      </w:r>
      <w:r>
        <w:rPr>
          <w:rFonts w:hAnsi="Book Antiqua" w:hint="default"/>
          <w:sz w:val="24"/>
          <w:szCs w:val="24"/>
          <w:rtl w:val="0"/>
          <w:lang w:val="it-IT"/>
        </w:rPr>
        <w:t xml:space="preserve">– </w:t>
      </w:r>
      <w:r>
        <w:rPr>
          <w:rFonts w:ascii="Book Antiqua"/>
          <w:sz w:val="24"/>
          <w:szCs w:val="24"/>
          <w:rtl w:val="0"/>
          <w:lang w:val="it-IT"/>
        </w:rPr>
        <w:t xml:space="preserve">riportati. Si legge nello studio di Munari: </w:t>
      </w:r>
      <w:r>
        <w:rPr>
          <w:rFonts w:hAnsi="Book Antiqua" w:hint="default"/>
          <w:sz w:val="24"/>
          <w:szCs w:val="24"/>
          <w:rtl w:val="0"/>
          <w:lang w:val="it-IT"/>
        </w:rPr>
        <w:t>“</w:t>
      </w:r>
      <w:r>
        <w:rPr>
          <w:rFonts w:ascii="Book Antiqua"/>
          <w:sz w:val="24"/>
          <w:szCs w:val="24"/>
          <w:rtl w:val="0"/>
          <w:lang w:val="it-IT"/>
        </w:rPr>
        <w:t>la ricostruzione della geologia del sottosuolo, certamente assai complessa sia per cause naturali che per le alterazioni indotte dalle attivit</w:t>
      </w:r>
      <w:r>
        <w:rPr>
          <w:rFonts w:hAnsi="Book Antiqua" w:hint="default"/>
          <w:sz w:val="24"/>
          <w:szCs w:val="24"/>
          <w:rtl w:val="0"/>
          <w:lang w:val="it-IT"/>
        </w:rPr>
        <w:t xml:space="preserve">à </w:t>
      </w:r>
      <w:r>
        <w:rPr>
          <w:rFonts w:ascii="Book Antiqua"/>
          <w:sz w:val="24"/>
          <w:szCs w:val="24"/>
          <w:rtl w:val="0"/>
          <w:lang w:val="it-IT"/>
        </w:rPr>
        <w:t>umane - sia in tempi precedenti alla realizzazione delle discariche sia conseguenti all'attuale uso del sito -  non fornisce elementi sicuri di valutazione circa la congruit</w:t>
      </w:r>
      <w:r>
        <w:rPr>
          <w:rFonts w:hAnsi="Book Antiqua" w:hint="default"/>
          <w:sz w:val="24"/>
          <w:szCs w:val="24"/>
          <w:rtl w:val="0"/>
          <w:lang w:val="it-IT"/>
        </w:rPr>
        <w:t xml:space="preserve">à </w:t>
      </w:r>
      <w:r>
        <w:rPr>
          <w:rFonts w:ascii="Book Antiqua"/>
          <w:sz w:val="24"/>
          <w:szCs w:val="24"/>
          <w:rtl w:val="0"/>
          <w:lang w:val="it-IT"/>
        </w:rPr>
        <w:t xml:space="preserve">delle </w:t>
      </w:r>
      <w:r>
        <w:rPr>
          <w:rFonts w:hAnsi="Book Antiqua" w:hint="default"/>
          <w:sz w:val="24"/>
          <w:szCs w:val="24"/>
          <w:rtl w:val="0"/>
          <w:lang w:val="it-IT"/>
        </w:rPr>
        <w:t>‘</w:t>
      </w:r>
      <w:r>
        <w:rPr>
          <w:rFonts w:ascii="Book Antiqua"/>
          <w:sz w:val="24"/>
          <w:szCs w:val="24"/>
          <w:rtl w:val="0"/>
          <w:lang w:val="it-IT"/>
        </w:rPr>
        <w:t>opere di bonifica</w:t>
      </w:r>
      <w:r>
        <w:rPr>
          <w:rFonts w:hAnsi="Book Antiqua" w:hint="default"/>
          <w:sz w:val="24"/>
          <w:szCs w:val="24"/>
          <w:rtl w:val="0"/>
          <w:lang w:val="it-IT"/>
        </w:rPr>
        <w:t xml:space="preserve">’ </w:t>
      </w:r>
      <w:r>
        <w:rPr>
          <w:rFonts w:ascii="Book Antiqua"/>
          <w:sz w:val="24"/>
          <w:szCs w:val="24"/>
          <w:rtl w:val="0"/>
          <w:lang w:val="it-IT"/>
        </w:rPr>
        <w:t>e altrettanto inconclusive e/o insufficientemente informative, risultano le indagini chimiche ed idrologiche condotte negli anni. Si rammenta che dette indagini sono state realizzate da molteplici soggetti, tra cui ARPA Lazio che ha, tra l'altro, elaborato un modello per descrivere la circolazione delle acque di falda  nel sottosuolo della discarica ma, a causa della complessa geologia e dei limiti conoscitivi sulla reale natura del sito e delle opere realizzate, il modello non pu</w:t>
      </w:r>
      <w:r>
        <w:rPr>
          <w:rFonts w:hAnsi="Book Antiqua" w:hint="default"/>
          <w:sz w:val="24"/>
          <w:szCs w:val="24"/>
          <w:rtl w:val="0"/>
          <w:lang w:val="it-IT"/>
        </w:rPr>
        <w:t xml:space="preserve">ò </w:t>
      </w:r>
      <w:r>
        <w:rPr>
          <w:rFonts w:ascii="Book Antiqua"/>
          <w:sz w:val="24"/>
          <w:szCs w:val="24"/>
          <w:rtl w:val="0"/>
          <w:lang w:val="it-IT"/>
        </w:rPr>
        <w:t>essere considerato pienamente soddisfacente</w:t>
      </w:r>
      <w:r>
        <w:rPr>
          <w:rFonts w:hAnsi="Book Antiqua" w:hint="default"/>
          <w:sz w:val="24"/>
          <w:szCs w:val="24"/>
          <w:rtl w:val="0"/>
          <w:lang w:val="it-IT"/>
        </w:rPr>
        <w:t>”</w:t>
      </w:r>
      <w:r>
        <w:rPr>
          <w:rFonts w:ascii="Book Antiqua"/>
          <w:sz w:val="24"/>
          <w:szCs w:val="24"/>
          <w:rtl w:val="0"/>
          <w:lang w:val="it-IT"/>
        </w:rPr>
        <w:t xml:space="preserve">. </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Lo studio del perito individua la criticit</w:t>
      </w:r>
      <w:r>
        <w:rPr>
          <w:rFonts w:hAnsi="Book Antiqua" w:hint="default"/>
          <w:sz w:val="24"/>
          <w:szCs w:val="24"/>
          <w:rtl w:val="0"/>
          <w:lang w:val="it-IT"/>
        </w:rPr>
        <w:t xml:space="preserve">à </w:t>
      </w:r>
      <w:r>
        <w:rPr>
          <w:rFonts w:ascii="Book Antiqua"/>
          <w:sz w:val="24"/>
          <w:szCs w:val="24"/>
          <w:rtl w:val="0"/>
          <w:lang w:val="it-IT"/>
        </w:rPr>
        <w:t>nella modalit</w:t>
      </w:r>
      <w:r>
        <w:rPr>
          <w:rFonts w:hAnsi="Book Antiqua" w:hint="default"/>
          <w:sz w:val="24"/>
          <w:szCs w:val="24"/>
          <w:rtl w:val="0"/>
          <w:lang w:val="it-IT"/>
        </w:rPr>
        <w:t xml:space="preserve">à </w:t>
      </w:r>
      <w:r>
        <w:rPr>
          <w:rFonts w:ascii="Book Antiqua"/>
          <w:sz w:val="24"/>
          <w:szCs w:val="24"/>
          <w:rtl w:val="0"/>
          <w:lang w:val="it-IT"/>
        </w:rPr>
        <w:t xml:space="preserve">utilizzata per la realizzazione dei pozzi piezometri di controllo: </w:t>
      </w:r>
    </w:p>
    <w:p>
      <w:pPr>
        <w:pStyle w:val="Corpo A"/>
        <w:ind w:left="567" w:right="567" w:firstLine="0"/>
        <w:jc w:val="both"/>
        <w:rPr>
          <w:rFonts w:ascii="Book Antiqua" w:cs="Book Antiqua" w:hAnsi="Book Antiqua" w:eastAsia="Book Antiqua"/>
          <w:sz w:val="24"/>
          <w:szCs w:val="24"/>
          <w:lang w:val="it-IT"/>
        </w:rPr>
      </w:pPr>
      <w:r>
        <w:rPr>
          <w:rFonts w:hAnsi="Book Antiqua" w:hint="default"/>
          <w:sz w:val="24"/>
          <w:szCs w:val="24"/>
          <w:rtl w:val="0"/>
          <w:lang w:val="it-IT"/>
        </w:rPr>
        <w:t>“</w:t>
      </w:r>
      <w:r>
        <w:rPr>
          <w:rFonts w:ascii="Book Antiqua"/>
          <w:sz w:val="24"/>
          <w:szCs w:val="24"/>
          <w:rtl w:val="0"/>
          <w:lang w:val="it-IT"/>
        </w:rPr>
        <w:t xml:space="preserve">Esiste infatti un ostacolo rilevante al fine di permettere, allo scrivente, di considerare le campagne di monitoraggio analitico, svolte indifferentemente dai diversi soggetti sulle acque del sito, idonee a rappresentare l'effettivo grado di contaminazione dello stesso. Detto ostacolo </w:t>
      </w:r>
      <w:r>
        <w:rPr>
          <w:rFonts w:hAnsi="Book Antiqua" w:hint="default"/>
          <w:sz w:val="24"/>
          <w:szCs w:val="24"/>
          <w:rtl w:val="0"/>
          <w:lang w:val="it-IT"/>
        </w:rPr>
        <w:t xml:space="preserve">è </w:t>
      </w:r>
      <w:r>
        <w:rPr>
          <w:rFonts w:ascii="Book Antiqua"/>
          <w:sz w:val="24"/>
          <w:szCs w:val="24"/>
          <w:rtl w:val="0"/>
          <w:lang w:val="it-IT"/>
        </w:rPr>
        <w:t>costituito dal fatto che l'assoluta maggioranza dei piezometri destinati al controllo delle acque, ma anche buona parte di quelli destinati al controllo della tenuta della parete impermeabile, sono stati spinti finanche alla profondit</w:t>
      </w:r>
      <w:r>
        <w:rPr>
          <w:rFonts w:hAnsi="Book Antiqua" w:hint="default"/>
          <w:sz w:val="24"/>
          <w:szCs w:val="24"/>
          <w:rtl w:val="0"/>
          <w:lang w:val="it-IT"/>
        </w:rPr>
        <w:t xml:space="preserve">à </w:t>
      </w:r>
      <w:r>
        <w:rPr>
          <w:rFonts w:ascii="Book Antiqua"/>
          <w:sz w:val="24"/>
          <w:szCs w:val="24"/>
          <w:rtl w:val="0"/>
          <w:lang w:val="it-IT"/>
        </w:rPr>
        <w:t>di circa 40 m rispetto al piano di campagna (che lo scrivente ricorda essere, con l'esclusione dei rilievi costituiti dalle discariche, tra i 12 e 30 m s.l.m.), ma che la finestratura (ovvero il tratto forato e permeabile alle acque sotterranee) ha generalmente interessato solo la parte pi</w:t>
      </w:r>
      <w:r>
        <w:rPr>
          <w:rFonts w:hAnsi="Book Antiqua" w:hint="default"/>
          <w:sz w:val="24"/>
          <w:szCs w:val="24"/>
          <w:rtl w:val="0"/>
          <w:lang w:val="it-IT"/>
        </w:rPr>
        <w:t xml:space="preserve">ù </w:t>
      </w:r>
      <w:r>
        <w:rPr>
          <w:rFonts w:ascii="Book Antiqua"/>
          <w:sz w:val="24"/>
          <w:szCs w:val="24"/>
          <w:rtl w:val="0"/>
          <w:lang w:val="it-IT"/>
        </w:rPr>
        <w:t>profonda del piezometro, spesso i 20 m pi</w:t>
      </w:r>
      <w:r>
        <w:rPr>
          <w:rFonts w:hAnsi="Book Antiqua" w:hint="default"/>
          <w:sz w:val="24"/>
          <w:szCs w:val="24"/>
          <w:rtl w:val="0"/>
          <w:lang w:val="it-IT"/>
        </w:rPr>
        <w:t xml:space="preserve">ù </w:t>
      </w:r>
      <w:r>
        <w:rPr>
          <w:rFonts w:ascii="Book Antiqua"/>
          <w:sz w:val="24"/>
          <w:szCs w:val="24"/>
          <w:rtl w:val="0"/>
          <w:lang w:val="it-IT"/>
        </w:rPr>
        <w:t>profondi dei piezometri/pozzi spia. Questa inusuale scelta realizzativa, oltre ad essere difforme alle norme di buona tecnica appare in contrasto con le modalit</w:t>
      </w:r>
      <w:r>
        <w:rPr>
          <w:rFonts w:hAnsi="Book Antiqua" w:hint="default"/>
          <w:sz w:val="24"/>
          <w:szCs w:val="24"/>
          <w:rtl w:val="0"/>
          <w:lang w:val="it-IT"/>
        </w:rPr>
        <w:t xml:space="preserve">à </w:t>
      </w:r>
      <w:r>
        <w:rPr>
          <w:rFonts w:ascii="Book Antiqua"/>
          <w:sz w:val="24"/>
          <w:szCs w:val="24"/>
          <w:rtl w:val="0"/>
          <w:lang w:val="it-IT"/>
        </w:rPr>
        <w:t xml:space="preserve">costruttive riportate nel "[Piano di] Monitoraggio idrogeologico finalizzato al collaudo ambientale delle opere di messa in sicurezza realizzate e alle valutazione dell'impatto dell'opera sul sito in esame" redatto da ARPA Lazio il 22/1/2004 nelle more delle prescrizioni per la concessione di ulteriori volumetrie. Detto piano prevedeva sia per i piezometri esistenti che per i piezometri nuovi (punti 3 e punto 4 rispettivamente) che gli stessi dovessero presentare una finestratura lungo tutta la zona satura (ove </w:t>
      </w:r>
      <w:r>
        <w:rPr>
          <w:rFonts w:hAnsi="Book Antiqua" w:hint="default"/>
          <w:sz w:val="24"/>
          <w:szCs w:val="24"/>
          <w:rtl w:val="0"/>
          <w:lang w:val="it-IT"/>
        </w:rPr>
        <w:t xml:space="preserve">è </w:t>
      </w:r>
      <w:r>
        <w:rPr>
          <w:rFonts w:ascii="Book Antiqua"/>
          <w:sz w:val="24"/>
          <w:szCs w:val="24"/>
          <w:rtl w:val="0"/>
          <w:lang w:val="it-IT"/>
        </w:rPr>
        <w:t xml:space="preserve">presente costantemente acqua sotterranea) e nella zona insatura interessata dalle fluttuazioni della falda. Il mancato rispetto della buona prassi, e dell'esplicita prescrizione, non appare essere stata rilevata da ISPRA e dalla stessa ARPA Lazio neppure nelle relazioni annuali di monitoraggio nelle quali, pur tabulando dati di finestratura dei pozzi chiaramente inidonei al monitoraggio, non hanno ritenuto - inspiegabilmente - la questione di alcun interesse. Questo fatto </w:t>
      </w:r>
      <w:r>
        <w:rPr>
          <w:rFonts w:hAnsi="Book Antiqua" w:hint="default"/>
          <w:sz w:val="24"/>
          <w:szCs w:val="24"/>
          <w:rtl w:val="0"/>
          <w:lang w:val="it-IT"/>
        </w:rPr>
        <w:t xml:space="preserve">è </w:t>
      </w:r>
      <w:r>
        <w:rPr>
          <w:rFonts w:ascii="Book Antiqua"/>
          <w:sz w:val="24"/>
          <w:szCs w:val="24"/>
          <w:rtl w:val="0"/>
          <w:lang w:val="it-IT"/>
        </w:rPr>
        <w:t>ancor pi</w:t>
      </w:r>
      <w:r>
        <w:rPr>
          <w:rFonts w:hAnsi="Book Antiqua" w:hint="default"/>
          <w:sz w:val="24"/>
          <w:szCs w:val="24"/>
          <w:rtl w:val="0"/>
          <w:lang w:val="it-IT"/>
        </w:rPr>
        <w:t xml:space="preserve">ù </w:t>
      </w:r>
      <w:r>
        <w:rPr>
          <w:rFonts w:ascii="Book Antiqua"/>
          <w:sz w:val="24"/>
          <w:szCs w:val="24"/>
          <w:rtl w:val="0"/>
          <w:lang w:val="it-IT"/>
        </w:rPr>
        <w:t>sorprendente posto che ben 6 tecnici qualificati (chimici, ingegneri e geologi) di ISPRA e ARPA Lazio hanno sottoscritto le suddette relazioni. La criticit</w:t>
      </w:r>
      <w:r>
        <w:rPr>
          <w:rFonts w:hAnsi="Book Antiqua" w:hint="default"/>
          <w:sz w:val="24"/>
          <w:szCs w:val="24"/>
          <w:rtl w:val="0"/>
          <w:lang w:val="it-IT"/>
        </w:rPr>
        <w:t xml:space="preserve">à </w:t>
      </w:r>
      <w:r>
        <w:rPr>
          <w:rFonts w:ascii="Book Antiqua"/>
          <w:sz w:val="24"/>
          <w:szCs w:val="24"/>
          <w:rtl w:val="0"/>
          <w:lang w:val="it-IT"/>
        </w:rPr>
        <w:t>della circostanza risiede nel fatto che la contaminazione del sito dipende da sorgenti localizzate in prossimit</w:t>
      </w:r>
      <w:r>
        <w:rPr>
          <w:rFonts w:hAnsi="Book Antiqua" w:hint="default"/>
          <w:sz w:val="24"/>
          <w:szCs w:val="24"/>
          <w:rtl w:val="0"/>
          <w:lang w:val="it-IT"/>
        </w:rPr>
        <w:t xml:space="preserve">à </w:t>
      </w:r>
      <w:r>
        <w:rPr>
          <w:rFonts w:ascii="Book Antiqua"/>
          <w:sz w:val="24"/>
          <w:szCs w:val="24"/>
          <w:rtl w:val="0"/>
          <w:lang w:val="it-IT"/>
        </w:rPr>
        <w:t>della superficie, mentre i piezometri  cos</w:t>
      </w:r>
      <w:r>
        <w:rPr>
          <w:rFonts w:hAnsi="Book Antiqua" w:hint="default"/>
          <w:sz w:val="24"/>
          <w:szCs w:val="24"/>
          <w:rtl w:val="0"/>
          <w:lang w:val="it-IT"/>
        </w:rPr>
        <w:t xml:space="preserve">ì </w:t>
      </w:r>
      <w:r>
        <w:rPr>
          <w:rFonts w:ascii="Book Antiqua"/>
          <w:sz w:val="24"/>
          <w:szCs w:val="24"/>
          <w:rtl w:val="0"/>
          <w:lang w:val="it-IT"/>
        </w:rPr>
        <w:t>realizzati possono fornire informazioni al pi</w:t>
      </w:r>
      <w:r>
        <w:rPr>
          <w:rFonts w:hAnsi="Book Antiqua" w:hint="default"/>
          <w:sz w:val="24"/>
          <w:szCs w:val="24"/>
          <w:rtl w:val="0"/>
          <w:lang w:val="it-IT"/>
        </w:rPr>
        <w:t xml:space="preserve">ù </w:t>
      </w:r>
      <w:r>
        <w:rPr>
          <w:rFonts w:ascii="Book Antiqua"/>
          <w:sz w:val="24"/>
          <w:szCs w:val="24"/>
          <w:rtl w:val="0"/>
          <w:lang w:val="it-IT"/>
        </w:rPr>
        <w:t>rappresentative della qualit</w:t>
      </w:r>
      <w:r>
        <w:rPr>
          <w:rFonts w:hAnsi="Book Antiqua" w:hint="default"/>
          <w:sz w:val="24"/>
          <w:szCs w:val="24"/>
          <w:rtl w:val="0"/>
          <w:lang w:val="it-IT"/>
        </w:rPr>
        <w:t xml:space="preserve">à </w:t>
      </w:r>
      <w:r>
        <w:rPr>
          <w:rFonts w:ascii="Book Antiqua"/>
          <w:sz w:val="24"/>
          <w:szCs w:val="24"/>
          <w:rtl w:val="0"/>
          <w:lang w:val="it-IT"/>
        </w:rPr>
        <w:t>della porzione pi</w:t>
      </w:r>
      <w:r>
        <w:rPr>
          <w:rFonts w:hAnsi="Book Antiqua" w:hint="default"/>
          <w:sz w:val="24"/>
          <w:szCs w:val="24"/>
          <w:rtl w:val="0"/>
          <w:lang w:val="it-IT"/>
        </w:rPr>
        <w:t xml:space="preserve">ù </w:t>
      </w:r>
      <w:r>
        <w:rPr>
          <w:rFonts w:ascii="Book Antiqua"/>
          <w:sz w:val="24"/>
          <w:szCs w:val="24"/>
          <w:rtl w:val="0"/>
          <w:lang w:val="it-IT"/>
        </w:rPr>
        <w:t>profonda (e quindi meno interessata dalla contaminazione) delle acque sotterranee</w:t>
      </w:r>
      <w:r>
        <w:rPr>
          <w:rFonts w:hAnsi="Book Antiqua" w:hint="default"/>
          <w:sz w:val="24"/>
          <w:szCs w:val="24"/>
          <w:rtl w:val="0"/>
          <w:lang w:val="it-IT"/>
        </w:rPr>
        <w:t>”</w:t>
      </w:r>
      <w:r>
        <w:rPr>
          <w:rFonts w:ascii="Book Antiqua" w:cs="Book Antiqua" w:hAnsi="Book Antiqua" w:eastAsia="Book Antiqua"/>
          <w:sz w:val="24"/>
          <w:szCs w:val="24"/>
          <w:vertAlign w:val="superscript"/>
          <w:rtl w:val="0"/>
        </w:rPr>
        <w:footnoteReference w:id="320"/>
      </w:r>
      <w:r>
        <w:rPr>
          <w:rFonts w:ascii="Book Antiqua"/>
          <w:sz w:val="24"/>
          <w:szCs w:val="24"/>
          <w:rtl w:val="0"/>
          <w:lang w:val="it-IT"/>
        </w:rPr>
        <w:t>.</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Nel contesto di queste valutazioni vanno peraltro distinte le posizioni di ARPA Lazio, soggetto istituzionalmente incaricato dei controlli e monitoraggi, e di ISPRA, soggetto intervenuto come referente tecnico-scientifico a esaminare dati e risultati.</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In una nota acquisita dalla Commissione</w:t>
      </w:r>
      <w:r>
        <w:rPr>
          <w:rFonts w:ascii="Book Antiqua" w:cs="Book Antiqua" w:hAnsi="Book Antiqua" w:eastAsia="Book Antiqua"/>
          <w:sz w:val="24"/>
          <w:szCs w:val="24"/>
          <w:vertAlign w:val="superscript"/>
          <w:rtl w:val="0"/>
        </w:rPr>
        <w:footnoteReference w:id="321"/>
      </w:r>
      <w:r>
        <w:rPr>
          <w:rFonts w:ascii="Book Antiqua"/>
          <w:sz w:val="24"/>
          <w:szCs w:val="24"/>
          <w:rtl w:val="0"/>
          <w:lang w:val="it-IT"/>
        </w:rPr>
        <w:t>, ISPRA chiarisce il ruolo svolto, nei seguenti termini:</w:t>
      </w:r>
    </w:p>
    <w:p>
      <w:pPr>
        <w:pStyle w:val="Normal"/>
        <w:ind w:left="567" w:right="567" w:firstLine="0"/>
        <w:jc w:val="both"/>
        <w:rPr>
          <w:rFonts w:ascii="Book Antiqua" w:cs="Book Antiqua" w:hAnsi="Book Antiqua" w:eastAsia="Book Antiqua"/>
        </w:rPr>
      </w:pPr>
      <w:r>
        <w:rPr>
          <w:rFonts w:hAnsi="Book Antiqua" w:hint="default"/>
          <w:rtl w:val="0"/>
          <w:lang w:val="it-IT"/>
        </w:rPr>
        <w:t>“</w:t>
      </w:r>
      <w:r>
        <w:rPr>
          <w:rFonts w:ascii="Book Antiqua"/>
          <w:rtl w:val="0"/>
          <w:lang w:val="it-IT"/>
        </w:rPr>
        <w:t>Le attivit</w:t>
      </w:r>
      <w:r>
        <w:rPr>
          <w:rFonts w:hAnsi="Book Antiqua" w:hint="default"/>
          <w:rtl w:val="0"/>
          <w:lang w:val="it-IT"/>
        </w:rPr>
        <w:t xml:space="preserve">à </w:t>
      </w:r>
      <w:r>
        <w:rPr>
          <w:rFonts w:ascii="Book Antiqua"/>
          <w:rtl w:val="0"/>
          <w:lang w:val="it-IT"/>
        </w:rPr>
        <w:t>sono state svolte da ISPRA nell'ambito di una convenzione triennale stipulata nel novembre 2011 con ARPA Lazio, volta alla collaborazione tecnico-scientifica per la definizione del modello idrogeclogico e concettuale dell'area adibita a discariche in localit</w:t>
      </w:r>
      <w:r>
        <w:rPr>
          <w:rFonts w:hAnsi="Book Antiqua" w:hint="default"/>
          <w:rtl w:val="0"/>
          <w:lang w:val="it-IT"/>
        </w:rPr>
        <w:t xml:space="preserve">à </w:t>
      </w:r>
      <w:r>
        <w:rPr>
          <w:rFonts w:ascii="Book Antiqua"/>
          <w:rtl w:val="0"/>
          <w:lang w:val="it-IT"/>
        </w:rPr>
        <w:t>Borgo Montello, nel comune di Latina, e del tratto del fiume Astura ad essa prospiciente. Le attivit</w:t>
      </w:r>
      <w:r>
        <w:rPr>
          <w:rFonts w:hAnsi="Book Antiqua" w:hint="default"/>
          <w:rtl w:val="0"/>
          <w:lang w:val="it-IT"/>
        </w:rPr>
        <w:t xml:space="preserve">à </w:t>
      </w:r>
      <w:r>
        <w:rPr>
          <w:rFonts w:ascii="Book Antiqua"/>
          <w:rtl w:val="0"/>
          <w:lang w:val="it-IT"/>
        </w:rPr>
        <w:t>previste nella convenzione hanno riguardato l'analisi dei monitoraggi sulle acque di falda condotte da ARPA Lazio e l'aggiornamento del modello idrogeologico.</w:t>
      </w:r>
    </w:p>
    <w:p>
      <w:pPr>
        <w:pStyle w:val="Normal"/>
        <w:ind w:left="567" w:right="567" w:firstLine="0"/>
        <w:jc w:val="both"/>
        <w:rPr>
          <w:rFonts w:ascii="Book Antiqua" w:cs="Book Antiqua" w:hAnsi="Book Antiqua" w:eastAsia="Book Antiqua"/>
        </w:rPr>
      </w:pPr>
      <w:r>
        <w:rPr>
          <w:rFonts w:ascii="Book Antiqua"/>
          <w:rtl w:val="0"/>
          <w:lang w:val="it-IT"/>
        </w:rPr>
        <w:t>Per quanto riguarda i monitoraggi sulle acque di falda sono stati predisposti tre rapporti: il primo consistito nella elaborazione preliminare dei dati raccolti nel periodo marzo 2009-settembre 2011; il secondo ha riguardato il monitoraggio integrato con i dati relativi al periodo dicembre 2011 - settembre 2012; il terzo relativo al monitoraggio svolto nel periodo dicembre 2012 - aprile 2013.</w:t>
      </w:r>
    </w:p>
    <w:p>
      <w:pPr>
        <w:pStyle w:val="Normal"/>
        <w:ind w:left="567" w:right="567" w:firstLine="0"/>
        <w:jc w:val="both"/>
        <w:rPr>
          <w:rFonts w:ascii="Book Antiqua" w:cs="Book Antiqua" w:hAnsi="Book Antiqua" w:eastAsia="Book Antiqua"/>
        </w:rPr>
      </w:pPr>
      <w:r>
        <w:rPr>
          <w:rFonts w:ascii="Book Antiqua"/>
          <w:rtl w:val="0"/>
          <w:lang w:val="it-IT"/>
        </w:rPr>
        <w:t xml:space="preserve">Per quanto riguarda invece il modello concettuale definitivo, esso </w:t>
      </w:r>
      <w:r>
        <w:rPr>
          <w:rFonts w:hAnsi="Book Antiqua" w:hint="default"/>
          <w:rtl w:val="0"/>
          <w:lang w:val="it-IT"/>
        </w:rPr>
        <w:t xml:space="preserve">è </w:t>
      </w:r>
      <w:r>
        <w:rPr>
          <w:rFonts w:ascii="Book Antiqua"/>
          <w:rtl w:val="0"/>
          <w:lang w:val="it-IT"/>
        </w:rPr>
        <w:t>stato aggiornato nel rapporto conclusivo che illustra le descrizioni delle caratteristiche stratigrafiche e idrogeologiche del sito, con particolare riferimento alle litologie presenti e alla loro permeabilit</w:t>
      </w:r>
      <w:r>
        <w:rPr>
          <w:rFonts w:hAnsi="Book Antiqua" w:hint="default"/>
          <w:rtl w:val="0"/>
          <w:lang w:val="it-IT"/>
        </w:rPr>
        <w:t xml:space="preserve">à </w:t>
      </w:r>
      <w:r>
        <w:rPr>
          <w:rFonts w:ascii="Book Antiqua"/>
          <w:rtl w:val="0"/>
          <w:lang w:val="it-IT"/>
        </w:rPr>
        <w:t>nonch</w:t>
      </w:r>
      <w:r>
        <w:rPr>
          <w:rFonts w:hAnsi="Book Antiqua" w:hint="default"/>
          <w:rtl w:val="0"/>
          <w:lang w:val="it-IT"/>
        </w:rPr>
        <w:t xml:space="preserve">é </w:t>
      </w:r>
      <w:r>
        <w:rPr>
          <w:rFonts w:ascii="Book Antiqua"/>
          <w:rtl w:val="0"/>
          <w:lang w:val="it-IT"/>
        </w:rPr>
        <w:t>all'identificazione delle falde, delle loro caratteristiche, delle eventuali relazioni reciproche e quelle con il fiume Astura, l'individuazione delle sostanze contaminanti presenti nelle diverse componenti ambientali influenzate dal sito: terreni, acque superficiali e sotterranee, tossicit</w:t>
      </w:r>
      <w:r>
        <w:rPr>
          <w:rFonts w:hAnsi="Book Antiqua" w:hint="default"/>
          <w:rtl w:val="0"/>
          <w:lang w:val="it-IT"/>
        </w:rPr>
        <w:t xml:space="preserve">à </w:t>
      </w:r>
      <w:r>
        <w:rPr>
          <w:rFonts w:ascii="Book Antiqua"/>
          <w:rtl w:val="0"/>
          <w:lang w:val="it-IT"/>
        </w:rPr>
        <w:t>e caratteristiche chimico-f</w:t>
      </w:r>
      <w:r>
        <w:rPr>
          <w:rFonts w:hAnsi="Book Antiqua" w:hint="default"/>
          <w:rtl w:val="0"/>
          <w:lang w:val="it-IT"/>
        </w:rPr>
        <w:t>ì</w:t>
      </w:r>
      <w:r>
        <w:rPr>
          <w:rFonts w:ascii="Book Antiqua"/>
          <w:rtl w:val="0"/>
          <w:lang w:val="it-IT"/>
        </w:rPr>
        <w:t>siche delle sostanze presenti [</w:t>
      </w:r>
      <w:r>
        <w:rPr>
          <w:rFonts w:hAnsi="Book Antiqua" w:hint="default"/>
          <w:rtl w:val="0"/>
          <w:lang w:val="it-IT"/>
        </w:rPr>
        <w:t>…</w:t>
      </w:r>
      <w:r>
        <w:rPr>
          <w:rFonts w:ascii="Book Antiqua"/>
          <w:rtl w:val="0"/>
          <w:lang w:val="it-IT"/>
        </w:rPr>
        <w:t>] obiettivo dell'attivit</w:t>
      </w:r>
      <w:r>
        <w:rPr>
          <w:rFonts w:hAnsi="Book Antiqua" w:hint="default"/>
          <w:rtl w:val="0"/>
          <w:lang w:val="it-IT"/>
        </w:rPr>
        <w:t xml:space="preserve">à </w:t>
      </w:r>
      <w:r>
        <w:rPr>
          <w:rFonts w:ascii="Book Antiqua"/>
          <w:rtl w:val="0"/>
          <w:lang w:val="it-IT"/>
        </w:rPr>
        <w:t>svolta dall'lSPRA era la definizione del modello idrogeologico dell'area oggetto della convenzione. A tal fine ISPRA ha utilizzato oltre ai dati forniti dalle ditte Ind.Eco. ed Ecoambiente, quelli prodotti da ARPA Lazio nell'ambito delle attivit</w:t>
      </w:r>
      <w:r>
        <w:rPr>
          <w:rFonts w:hAnsi="Book Antiqua" w:hint="default"/>
          <w:rtl w:val="0"/>
          <w:lang w:val="it-IT"/>
        </w:rPr>
        <w:t xml:space="preserve">à </w:t>
      </w:r>
      <w:r>
        <w:rPr>
          <w:rFonts w:ascii="Book Antiqua"/>
          <w:rtl w:val="0"/>
          <w:lang w:val="it-IT"/>
        </w:rPr>
        <w:t>di monitoraggio delle acque di falda nella rete piezometrica insistente nelle aree oggetto di studio. Tali attivit</w:t>
      </w:r>
      <w:r>
        <w:rPr>
          <w:rFonts w:hAnsi="Book Antiqua" w:hint="default"/>
          <w:rtl w:val="0"/>
          <w:lang w:val="it-IT"/>
        </w:rPr>
        <w:t xml:space="preserve">à </w:t>
      </w:r>
      <w:r>
        <w:rPr>
          <w:rFonts w:ascii="Book Antiqua"/>
          <w:rtl w:val="0"/>
          <w:lang w:val="it-IT"/>
        </w:rPr>
        <w:t>si inserivano in un progetto di monitoraggio pi</w:t>
      </w:r>
      <w:r>
        <w:rPr>
          <w:rFonts w:hAnsi="Book Antiqua" w:hint="default"/>
          <w:rtl w:val="0"/>
          <w:lang w:val="it-IT"/>
        </w:rPr>
        <w:t xml:space="preserve">ù </w:t>
      </w:r>
      <w:r>
        <w:rPr>
          <w:rFonts w:ascii="Book Antiqua"/>
          <w:rtl w:val="0"/>
          <w:lang w:val="it-IT"/>
        </w:rPr>
        <w:t>articolato descritto nel documento "Monitoraggio idrogeologico finalizzato al collaudo ambientale delle opere di messa in sicurezza realizzate e alla valutazione dell'impatto dell'opera sul sito in esame" predisposto da ARPA Lazio Sezione provinciale di Latina, approvato da comune, provincia, regione e dalle societ</w:t>
      </w:r>
      <w:r>
        <w:rPr>
          <w:rFonts w:hAnsi="Book Antiqua" w:hint="default"/>
          <w:rtl w:val="0"/>
          <w:lang w:val="it-IT"/>
        </w:rPr>
        <w:t xml:space="preserve">à </w:t>
      </w:r>
      <w:r>
        <w:rPr>
          <w:rFonts w:ascii="Book Antiqua"/>
          <w:rtl w:val="0"/>
          <w:lang w:val="it-IT"/>
        </w:rPr>
        <w:t>che gestiscono i siti di discarica (2005).</w:t>
      </w:r>
    </w:p>
    <w:p>
      <w:pPr>
        <w:pStyle w:val="Normal"/>
        <w:ind w:left="567" w:right="567" w:firstLine="0"/>
        <w:jc w:val="both"/>
        <w:rPr>
          <w:rFonts w:ascii="Book Antiqua" w:cs="Book Antiqua" w:hAnsi="Book Antiqua" w:eastAsia="Book Antiqua"/>
        </w:rPr>
      </w:pPr>
      <w:r>
        <w:rPr>
          <w:rFonts w:ascii="Book Antiqua"/>
          <w:rtl w:val="0"/>
          <w:lang w:val="it-IT"/>
        </w:rPr>
        <w:t>ISPRA non ha quindi partecipato alla definizione e all'approvazione del progetto di monitoraggio n</w:t>
      </w:r>
      <w:r>
        <w:rPr>
          <w:rFonts w:hAnsi="Book Antiqua" w:hint="default"/>
          <w:rtl w:val="0"/>
          <w:lang w:val="it-IT"/>
        </w:rPr>
        <w:t xml:space="preserve">é </w:t>
      </w:r>
      <w:r>
        <w:rPr>
          <w:rFonts w:ascii="Book Antiqua"/>
          <w:rtl w:val="0"/>
          <w:lang w:val="it-IT"/>
        </w:rPr>
        <w:t xml:space="preserve">alle fasi di campionamento ed analisi ma si </w:t>
      </w:r>
      <w:r>
        <w:rPr>
          <w:rFonts w:hAnsi="Book Antiqua" w:hint="default"/>
          <w:rtl w:val="0"/>
          <w:lang w:val="it-IT"/>
        </w:rPr>
        <w:t xml:space="preserve">è </w:t>
      </w:r>
      <w:r>
        <w:rPr>
          <w:rFonts w:ascii="Book Antiqua"/>
          <w:rtl w:val="0"/>
          <w:lang w:val="it-IT"/>
        </w:rPr>
        <w:t>limitata a fornire una valutazione dei risultati di un circoscritto periodo di monitoraggio, il secondo triennio, effettuando confronti con gli andamenti nel periodo precedente, laddove possibile.</w:t>
      </w:r>
    </w:p>
    <w:p>
      <w:pPr>
        <w:pStyle w:val="Normal"/>
        <w:ind w:left="567" w:right="567" w:firstLine="0"/>
        <w:jc w:val="both"/>
        <w:rPr>
          <w:rFonts w:ascii="Book Antiqua" w:cs="Book Antiqua" w:hAnsi="Book Antiqua" w:eastAsia="Book Antiqua"/>
        </w:rPr>
      </w:pPr>
      <w:r>
        <w:rPr>
          <w:rFonts w:ascii="Book Antiqua"/>
          <w:rtl w:val="0"/>
          <w:lang w:val="it-IT"/>
        </w:rPr>
        <w:t>ISPRA non ha e non ha avuto alcun ruolo di validazione e controllo dell'attivit</w:t>
      </w:r>
      <w:r>
        <w:rPr>
          <w:rFonts w:hAnsi="Book Antiqua" w:hint="default"/>
          <w:rtl w:val="0"/>
          <w:lang w:val="it-IT"/>
        </w:rPr>
        <w:t xml:space="preserve">à </w:t>
      </w:r>
      <w:r>
        <w:rPr>
          <w:rFonts w:ascii="Book Antiqua"/>
          <w:rtl w:val="0"/>
          <w:lang w:val="it-IT"/>
        </w:rPr>
        <w:t>di monitoraggio che resta, come previsto dalla norma, in capo agli Enti di Controllo</w:t>
      </w:r>
      <w:r>
        <w:rPr>
          <w:rFonts w:hAnsi="Book Antiqua" w:hint="default"/>
          <w:rtl w:val="0"/>
          <w:lang w:val="it-IT"/>
        </w:rPr>
        <w:t>”</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La perizia stigmatizza in effetti la fragilit</w:t>
      </w:r>
      <w:r>
        <w:rPr>
          <w:rFonts w:hAnsi="Book Antiqua" w:hint="default"/>
          <w:sz w:val="24"/>
          <w:szCs w:val="24"/>
          <w:rtl w:val="0"/>
          <w:lang w:val="it-IT"/>
        </w:rPr>
        <w:t xml:space="preserve">à </w:t>
      </w:r>
      <w:r>
        <w:rPr>
          <w:rFonts w:ascii="Book Antiqua"/>
          <w:sz w:val="24"/>
          <w:szCs w:val="24"/>
          <w:rtl w:val="0"/>
          <w:lang w:val="it-IT"/>
        </w:rPr>
        <w:t xml:space="preserve">dei controlli pubblici realizzati nell'area interessata dal </w:t>
      </w:r>
      <w:r>
        <w:rPr>
          <w:rFonts w:ascii="Book Antiqua"/>
          <w:i w:val="1"/>
          <w:iCs w:val="1"/>
          <w:sz w:val="24"/>
          <w:szCs w:val="24"/>
          <w:rtl w:val="0"/>
          <w:lang w:val="it-IT"/>
        </w:rPr>
        <w:t>polder</w:t>
      </w:r>
      <w:r>
        <w:rPr>
          <w:rFonts w:ascii="Book Antiqua"/>
          <w:sz w:val="24"/>
          <w:szCs w:val="24"/>
          <w:rtl w:val="0"/>
          <w:lang w:val="it-IT"/>
        </w:rPr>
        <w:t xml:space="preserve"> realizzato all'inizio degli anni 2000, unica opera di intervento ambientale rilevante </w:t>
      </w:r>
      <w:r>
        <w:rPr>
          <w:rFonts w:hAnsi="Book Antiqua" w:hint="default"/>
          <w:sz w:val="24"/>
          <w:szCs w:val="24"/>
          <w:rtl w:val="0"/>
          <w:lang w:val="it-IT"/>
        </w:rPr>
        <w:t xml:space="preserve">– </w:t>
      </w:r>
      <w:r>
        <w:rPr>
          <w:rFonts w:ascii="Book Antiqua"/>
          <w:sz w:val="24"/>
          <w:szCs w:val="24"/>
          <w:rtl w:val="0"/>
          <w:lang w:val="it-IT"/>
        </w:rPr>
        <w:t xml:space="preserve">almeno dal punto di vista economico </w:t>
      </w:r>
      <w:r>
        <w:rPr>
          <w:rFonts w:hAnsi="Book Antiqua" w:hint="default"/>
          <w:sz w:val="24"/>
          <w:szCs w:val="24"/>
          <w:rtl w:val="0"/>
          <w:lang w:val="it-IT"/>
        </w:rPr>
        <w:t xml:space="preserve">– </w:t>
      </w:r>
      <w:r>
        <w:rPr>
          <w:rFonts w:ascii="Book Antiqua"/>
          <w:sz w:val="24"/>
          <w:szCs w:val="24"/>
          <w:rtl w:val="0"/>
          <w:lang w:val="it-IT"/>
        </w:rPr>
        <w:t>nei quarant</w:t>
      </w:r>
      <w:r>
        <w:rPr>
          <w:rFonts w:hAnsi="Book Antiqua" w:hint="default"/>
          <w:sz w:val="24"/>
          <w:szCs w:val="24"/>
          <w:rtl w:val="0"/>
          <w:lang w:val="it-IT"/>
        </w:rPr>
        <w:t>’</w:t>
      </w:r>
      <w:r>
        <w:rPr>
          <w:rFonts w:ascii="Book Antiqua"/>
          <w:sz w:val="24"/>
          <w:szCs w:val="24"/>
          <w:rtl w:val="0"/>
          <w:lang w:val="it-IT"/>
        </w:rPr>
        <w:t xml:space="preserve">anni di funzionamento ininterrotto della discarica di Borgo Montello: </w:t>
      </w:r>
    </w:p>
    <w:p>
      <w:pPr>
        <w:pStyle w:val="Corpo A"/>
        <w:ind w:left="567" w:right="567" w:firstLine="0"/>
        <w:jc w:val="both"/>
        <w:rPr>
          <w:rFonts w:ascii="Book Antiqua" w:cs="Book Antiqua" w:hAnsi="Book Antiqua" w:eastAsia="Book Antiqua"/>
          <w:sz w:val="24"/>
          <w:szCs w:val="24"/>
          <w:lang w:val="it-IT"/>
        </w:rPr>
      </w:pPr>
      <w:r>
        <w:rPr>
          <w:rFonts w:hAnsi="Book Antiqua" w:hint="default"/>
          <w:sz w:val="24"/>
          <w:szCs w:val="24"/>
          <w:rtl w:val="0"/>
          <w:lang w:val="it-IT"/>
        </w:rPr>
        <w:t>“</w:t>
      </w:r>
      <w:r>
        <w:rPr>
          <w:rFonts w:ascii="Book Antiqua"/>
          <w:sz w:val="24"/>
          <w:szCs w:val="24"/>
          <w:rtl w:val="0"/>
          <w:lang w:val="it-IT"/>
        </w:rPr>
        <w:t>Anche in relazione alla singolarit</w:t>
      </w:r>
      <w:r>
        <w:rPr>
          <w:rFonts w:hAnsi="Book Antiqua" w:hint="default"/>
          <w:sz w:val="24"/>
          <w:szCs w:val="24"/>
          <w:rtl w:val="0"/>
          <w:lang w:val="it-IT"/>
        </w:rPr>
        <w:t xml:space="preserve">à </w:t>
      </w:r>
      <w:r>
        <w:rPr>
          <w:rFonts w:ascii="Book Antiqua"/>
          <w:sz w:val="24"/>
          <w:szCs w:val="24"/>
          <w:rtl w:val="0"/>
          <w:lang w:val="it-IT"/>
        </w:rPr>
        <w:t>della quantit</w:t>
      </w:r>
      <w:r>
        <w:rPr>
          <w:rFonts w:hAnsi="Book Antiqua" w:hint="default"/>
          <w:sz w:val="24"/>
          <w:szCs w:val="24"/>
          <w:rtl w:val="0"/>
          <w:lang w:val="it-IT"/>
        </w:rPr>
        <w:t>à</w:t>
      </w:r>
      <w:r>
        <w:rPr>
          <w:rFonts w:ascii="Book Antiqua"/>
          <w:sz w:val="24"/>
          <w:szCs w:val="24"/>
          <w:rtl w:val="0"/>
          <w:lang w:val="it-IT"/>
        </w:rPr>
        <w:t>/qualit</w:t>
      </w:r>
      <w:r>
        <w:rPr>
          <w:rFonts w:hAnsi="Book Antiqua" w:hint="default"/>
          <w:sz w:val="24"/>
          <w:szCs w:val="24"/>
          <w:rtl w:val="0"/>
          <w:lang w:val="it-IT"/>
        </w:rPr>
        <w:t xml:space="preserve">à </w:t>
      </w:r>
      <w:r>
        <w:rPr>
          <w:rFonts w:ascii="Book Antiqua"/>
          <w:sz w:val="24"/>
          <w:szCs w:val="24"/>
          <w:rtl w:val="0"/>
          <w:lang w:val="it-IT"/>
        </w:rPr>
        <w:t>del percolato, non appare che gli enti di controllo abbiano posto la necessaria attenzione al monitoraggio del livello della  falda all'interno ed all'esterno del diaframma in relazione alle fluttuazioni della stessa o, molto pi</w:t>
      </w:r>
      <w:r>
        <w:rPr>
          <w:rFonts w:hAnsi="Book Antiqua" w:hint="default"/>
          <w:sz w:val="24"/>
          <w:szCs w:val="24"/>
          <w:rtl w:val="0"/>
          <w:lang w:val="it-IT"/>
        </w:rPr>
        <w:t xml:space="preserve">ù </w:t>
      </w:r>
      <w:r>
        <w:rPr>
          <w:rFonts w:ascii="Book Antiqua"/>
          <w:sz w:val="24"/>
          <w:szCs w:val="24"/>
          <w:rtl w:val="0"/>
          <w:lang w:val="it-IT"/>
        </w:rPr>
        <w:t xml:space="preserve">semplicemente, alla verifica dell'esistenza di un emungimento delle acque sotterranei dai pozzi spia, nominalmente di monitoraggio, realizzati all'interno della </w:t>
      </w:r>
      <w:r>
        <w:rPr>
          <w:rFonts w:hAnsi="Book Antiqua" w:hint="default"/>
          <w:sz w:val="24"/>
          <w:szCs w:val="24"/>
          <w:rtl w:val="0"/>
          <w:lang w:val="it-IT"/>
        </w:rPr>
        <w:t>‘</w:t>
      </w:r>
      <w:r>
        <w:rPr>
          <w:rFonts w:ascii="Book Antiqua"/>
          <w:sz w:val="24"/>
          <w:szCs w:val="24"/>
          <w:rtl w:val="0"/>
          <w:lang w:val="it-IT"/>
        </w:rPr>
        <w:t>barriera impermeabile</w:t>
      </w:r>
      <w:r>
        <w:rPr>
          <w:rFonts w:hAnsi="Book Antiqua" w:hint="default"/>
          <w:sz w:val="24"/>
          <w:szCs w:val="24"/>
          <w:rtl w:val="0"/>
          <w:lang w:val="it-IT"/>
        </w:rPr>
        <w:t>’</w:t>
      </w:r>
      <w:r>
        <w:rPr>
          <w:rFonts w:ascii="Book Antiqua"/>
          <w:sz w:val="24"/>
          <w:szCs w:val="24"/>
          <w:rtl w:val="0"/>
          <w:lang w:val="it-IT"/>
        </w:rPr>
        <w:t>, circostanza invece pacificamente emersa durante le attivit</w:t>
      </w:r>
      <w:r>
        <w:rPr>
          <w:rFonts w:hAnsi="Book Antiqua" w:hint="default"/>
          <w:sz w:val="24"/>
          <w:szCs w:val="24"/>
          <w:rtl w:val="0"/>
          <w:lang w:val="it-IT"/>
        </w:rPr>
        <w:t xml:space="preserve">à </w:t>
      </w:r>
      <w:r>
        <w:rPr>
          <w:rFonts w:ascii="Book Antiqua"/>
          <w:sz w:val="24"/>
          <w:szCs w:val="24"/>
          <w:rtl w:val="0"/>
          <w:lang w:val="it-IT"/>
        </w:rPr>
        <w:t>di campo svolte dallo scrivente, e che avrebbe dovuto essere riscontrata anche dai controllori, osservando lo stabile posizionamento di una pompa fissa, in ogni pozzo spia interno, destinata all'emungimento delle acque sotterranee</w:t>
      </w:r>
      <w:r>
        <w:rPr>
          <w:rFonts w:hAnsi="Book Antiqua" w:hint="default"/>
          <w:sz w:val="24"/>
          <w:szCs w:val="24"/>
          <w:rtl w:val="0"/>
          <w:lang w:val="it-IT"/>
        </w:rPr>
        <w:t>”</w:t>
      </w:r>
      <w:r>
        <w:rPr>
          <w:rFonts w:ascii="Book Antiqua" w:cs="Book Antiqua" w:hAnsi="Book Antiqua" w:eastAsia="Book Antiqua"/>
          <w:sz w:val="24"/>
          <w:szCs w:val="24"/>
          <w:vertAlign w:val="superscript"/>
          <w:rtl w:val="0"/>
        </w:rPr>
        <w:footnoteReference w:id="322"/>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 xml:space="preserve">La perizia auspica, in questo senso, </w:t>
      </w:r>
      <w:r>
        <w:rPr>
          <w:rFonts w:hAnsi="Book Antiqua" w:hint="default"/>
          <w:sz w:val="24"/>
          <w:szCs w:val="24"/>
          <w:rtl w:val="0"/>
          <w:lang w:val="it-IT"/>
        </w:rPr>
        <w:t>“</w:t>
      </w:r>
      <w:r>
        <w:rPr>
          <w:rFonts w:ascii="Book Antiqua"/>
          <w:sz w:val="24"/>
          <w:szCs w:val="24"/>
          <w:rtl w:val="0"/>
          <w:lang w:val="it-IT"/>
        </w:rPr>
        <w:t>l'effettiva realizzazione delle opere funzionali</w:t>
      </w:r>
      <w:r>
        <w:rPr>
          <w:rFonts w:hAnsi="Book Antiqua" w:hint="default"/>
          <w:sz w:val="24"/>
          <w:szCs w:val="24"/>
          <w:rtl w:val="0"/>
          <w:lang w:val="it-IT"/>
        </w:rPr>
        <w:t>”</w:t>
      </w:r>
      <w:r>
        <w:rPr>
          <w:rFonts w:ascii="Book Antiqua"/>
          <w:sz w:val="24"/>
          <w:szCs w:val="24"/>
          <w:rtl w:val="0"/>
          <w:lang w:val="it-IT"/>
        </w:rPr>
        <w:t xml:space="preserve">, </w:t>
      </w:r>
      <w:r>
        <w:rPr>
          <w:rFonts w:hAnsi="Book Antiqua" w:hint="default"/>
          <w:sz w:val="24"/>
          <w:szCs w:val="24"/>
          <w:rtl w:val="0"/>
          <w:lang w:val="it-IT"/>
        </w:rPr>
        <w:t>“</w:t>
      </w:r>
      <w:r>
        <w:rPr>
          <w:rFonts w:ascii="Book Antiqua"/>
          <w:sz w:val="24"/>
          <w:szCs w:val="24"/>
          <w:rtl w:val="0"/>
          <w:lang w:val="it-IT"/>
        </w:rPr>
        <w:t>le  verifiche previste dagli atti autorizzativi</w:t>
      </w:r>
      <w:r>
        <w:rPr>
          <w:rFonts w:hAnsi="Book Antiqua" w:hint="default"/>
          <w:sz w:val="24"/>
          <w:szCs w:val="24"/>
          <w:rtl w:val="0"/>
          <w:lang w:val="it-IT"/>
        </w:rPr>
        <w:t xml:space="preserve">” </w:t>
      </w:r>
      <w:r>
        <w:rPr>
          <w:rFonts w:ascii="Book Antiqua"/>
          <w:sz w:val="24"/>
          <w:szCs w:val="24"/>
          <w:rtl w:val="0"/>
          <w:lang w:val="it-IT"/>
        </w:rPr>
        <w:t xml:space="preserve">e lo </w:t>
      </w:r>
      <w:r>
        <w:rPr>
          <w:rFonts w:hAnsi="Book Antiqua" w:hint="default"/>
          <w:sz w:val="24"/>
          <w:szCs w:val="24"/>
          <w:rtl w:val="0"/>
          <w:lang w:val="it-IT"/>
        </w:rPr>
        <w:t>“</w:t>
      </w:r>
      <w:r>
        <w:rPr>
          <w:rFonts w:ascii="Book Antiqua"/>
          <w:sz w:val="24"/>
          <w:szCs w:val="24"/>
          <w:rtl w:val="0"/>
          <w:lang w:val="it-IT"/>
        </w:rPr>
        <w:t>svolgimento di attivit</w:t>
      </w:r>
      <w:r>
        <w:rPr>
          <w:rFonts w:hAnsi="Book Antiqua" w:hint="default"/>
          <w:sz w:val="24"/>
          <w:szCs w:val="24"/>
          <w:rtl w:val="0"/>
          <w:lang w:val="it-IT"/>
        </w:rPr>
        <w:t xml:space="preserve">à </w:t>
      </w:r>
      <w:r>
        <w:rPr>
          <w:rFonts w:ascii="Book Antiqua"/>
          <w:sz w:val="24"/>
          <w:szCs w:val="24"/>
          <w:rtl w:val="0"/>
          <w:lang w:val="it-IT"/>
        </w:rPr>
        <w:t>di monitoraggio efficaci, e non solo formali</w:t>
      </w:r>
      <w:r>
        <w:rPr>
          <w:rFonts w:hAnsi="Book Antiqua" w:hint="default"/>
          <w:sz w:val="24"/>
          <w:szCs w:val="24"/>
          <w:rtl w:val="0"/>
          <w:lang w:val="it-IT"/>
        </w:rPr>
        <w:t>”</w:t>
      </w:r>
      <w:r>
        <w:rPr>
          <w:rFonts w:ascii="Book Antiqua"/>
          <w:sz w:val="24"/>
          <w:szCs w:val="24"/>
          <w:rtl w:val="0"/>
          <w:lang w:val="it-IT"/>
        </w:rPr>
        <w:t>.</w:t>
      </w:r>
    </w:p>
    <w:p>
      <w:pPr>
        <w:pStyle w:val="Titolo 21"/>
        <w:spacing w:before="0" w:after="0"/>
        <w:ind w:left="567" w:right="567" w:firstLine="0"/>
        <w:jc w:val="both"/>
        <w:rPr>
          <w:rFonts w:ascii="Book Antiqua" w:cs="Book Antiqua" w:hAnsi="Book Antiqua" w:eastAsia="Book Antiqua"/>
          <w:sz w:val="24"/>
          <w:szCs w:val="24"/>
        </w:rPr>
      </w:pPr>
    </w:p>
    <w:p>
      <w:pPr>
        <w:pStyle w:val="Titolo 21"/>
        <w:spacing w:before="0" w:after="0"/>
        <w:ind w:left="567" w:right="567" w:firstLine="0"/>
        <w:jc w:val="both"/>
        <w:rPr>
          <w:rFonts w:ascii="Book Antiqua" w:cs="Book Antiqua" w:hAnsi="Book Antiqua" w:eastAsia="Book Antiqua"/>
          <w:sz w:val="24"/>
          <w:szCs w:val="24"/>
        </w:rPr>
      </w:pPr>
    </w:p>
    <w:p>
      <w:pPr>
        <w:pStyle w:val="Titolo 21"/>
        <w:spacing w:before="0" w:after="0"/>
        <w:ind w:left="567" w:right="567" w:firstLine="0"/>
        <w:jc w:val="both"/>
        <w:rPr>
          <w:rFonts w:ascii="Book Antiqua" w:cs="Book Antiqua" w:hAnsi="Book Antiqua" w:eastAsia="Book Antiqua"/>
          <w:sz w:val="28"/>
          <w:szCs w:val="28"/>
        </w:rPr>
      </w:pPr>
      <w:r>
        <w:rPr>
          <w:rFonts w:ascii="Book Antiqua"/>
          <w:sz w:val="28"/>
          <w:szCs w:val="28"/>
          <w:rtl w:val="0"/>
          <w:lang w:val="it-IT"/>
        </w:rPr>
        <w:t>7.3.2 L</w:t>
      </w:r>
      <w:r>
        <w:rPr>
          <w:rFonts w:hAnsi="Book Antiqua" w:hint="default"/>
          <w:sz w:val="28"/>
          <w:szCs w:val="28"/>
          <w:rtl w:val="0"/>
          <w:lang w:val="it-IT"/>
        </w:rPr>
        <w:t>’</w:t>
      </w:r>
      <w:r>
        <w:rPr>
          <w:rFonts w:ascii="Book Antiqua"/>
          <w:sz w:val="28"/>
          <w:szCs w:val="28"/>
          <w:rtl w:val="0"/>
          <w:lang w:val="it-IT"/>
        </w:rPr>
        <w:t>indagine della Squadra mobile di Latina (2013-2014)</w:t>
      </w:r>
    </w:p>
    <w:p>
      <w:pPr>
        <w:pStyle w:val="Titolo 21"/>
        <w:spacing w:before="0" w:after="0"/>
        <w:ind w:left="567" w:right="567" w:firstLine="0"/>
        <w:jc w:val="both"/>
        <w:rPr>
          <w:rFonts w:ascii="Book Antiqua" w:cs="Book Antiqua" w:hAnsi="Book Antiqua" w:eastAsia="Book Antiqua"/>
          <w:sz w:val="24"/>
          <w:szCs w:val="24"/>
        </w:rPr>
      </w:pP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La Commissione ha acquisito l'intero fascicolo del procedimento penale 14948/13/19 modello 44 contro ignoti della procura della Repubblica di Latina, archiviato il 20 aprile 2014</w:t>
      </w:r>
      <w:r>
        <w:rPr>
          <w:rFonts w:ascii="Book Antiqua" w:cs="Book Antiqua" w:hAnsi="Book Antiqua" w:eastAsia="Book Antiqua"/>
          <w:sz w:val="24"/>
          <w:szCs w:val="24"/>
          <w:vertAlign w:val="superscript"/>
          <w:rtl w:val="0"/>
        </w:rPr>
        <w:footnoteReference w:id="323"/>
      </w:r>
      <w:r>
        <w:rPr>
          <w:rFonts w:ascii="Book Antiqua"/>
          <w:sz w:val="24"/>
          <w:szCs w:val="24"/>
          <w:rtl w:val="0"/>
          <w:lang w:val="it-IT"/>
        </w:rPr>
        <w:t>. Gli atti di indagine svolti - seppur  su fatti che il giudice per le indagini preliminari ha ritenuto non penalmente rilevanti, disponendo l'archiviazione del procedimento - sono particolarmente significativi, in quanto permettono la ricostruzione puntuale della storia del sito di Borgo Montello, evidenziando importanti criticit</w:t>
      </w:r>
      <w:r>
        <w:rPr>
          <w:rFonts w:hAnsi="Book Antiqua" w:hint="default"/>
          <w:sz w:val="24"/>
          <w:szCs w:val="24"/>
          <w:rtl w:val="0"/>
          <w:lang w:val="it-IT"/>
        </w:rPr>
        <w:t>à</w:t>
      </w:r>
      <w:r>
        <w:rPr>
          <w:rFonts w:ascii="Book Antiqua"/>
          <w:sz w:val="24"/>
          <w:szCs w:val="24"/>
          <w:rtl w:val="0"/>
          <w:lang w:val="it-IT"/>
        </w:rPr>
        <w:t>.</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Con una prima informativa del 15 ottobre 2013 - che ipotizzava il reato previsto e punito dall</w:t>
      </w:r>
      <w:r>
        <w:rPr>
          <w:rFonts w:hAnsi="Book Antiqua" w:hint="default"/>
          <w:sz w:val="24"/>
          <w:szCs w:val="24"/>
          <w:rtl w:val="0"/>
          <w:lang w:val="it-IT"/>
        </w:rPr>
        <w:t>’</w:t>
      </w:r>
      <w:r>
        <w:rPr>
          <w:rFonts w:ascii="Book Antiqua"/>
          <w:sz w:val="24"/>
          <w:szCs w:val="24"/>
          <w:rtl w:val="0"/>
          <w:lang w:val="it-IT"/>
        </w:rPr>
        <w:t>articolo 439 del codice penale - la Squadra mobile della Polizia di Stato di Latina richiedeva all</w:t>
      </w:r>
      <w:r>
        <w:rPr>
          <w:rFonts w:hAnsi="Book Antiqua" w:hint="default"/>
          <w:sz w:val="24"/>
          <w:szCs w:val="24"/>
          <w:rtl w:val="0"/>
          <w:lang w:val="it-IT"/>
        </w:rPr>
        <w:t>’</w:t>
      </w:r>
      <w:r>
        <w:rPr>
          <w:rFonts w:ascii="Book Antiqua"/>
          <w:sz w:val="24"/>
          <w:szCs w:val="24"/>
          <w:rtl w:val="0"/>
          <w:lang w:val="it-IT"/>
        </w:rPr>
        <w:t>autorit</w:t>
      </w:r>
      <w:r>
        <w:rPr>
          <w:rFonts w:hAnsi="Book Antiqua" w:hint="default"/>
          <w:sz w:val="24"/>
          <w:szCs w:val="24"/>
          <w:rtl w:val="0"/>
          <w:lang w:val="it-IT"/>
        </w:rPr>
        <w:t xml:space="preserve">à </w:t>
      </w:r>
      <w:r>
        <w:rPr>
          <w:rFonts w:ascii="Book Antiqua"/>
          <w:sz w:val="24"/>
          <w:szCs w:val="24"/>
          <w:rtl w:val="0"/>
          <w:lang w:val="it-IT"/>
        </w:rPr>
        <w:t>giudiziaria una specifica delega (con l</w:t>
      </w:r>
      <w:r>
        <w:rPr>
          <w:rFonts w:hAnsi="Book Antiqua" w:hint="default"/>
          <w:sz w:val="24"/>
          <w:szCs w:val="24"/>
          <w:rtl w:val="0"/>
          <w:lang w:val="it-IT"/>
        </w:rPr>
        <w:t>’</w:t>
      </w:r>
      <w:r>
        <w:rPr>
          <w:rFonts w:ascii="Book Antiqua"/>
          <w:sz w:val="24"/>
          <w:szCs w:val="24"/>
          <w:rtl w:val="0"/>
          <w:lang w:val="it-IT"/>
        </w:rPr>
        <w:t>attivazione di intercettazioni telefoniche e ambientali) per approfondire quanto denunciato dal presidente dei Verdi del Lazio Nando Bonessio e dall</w:t>
      </w:r>
      <w:r>
        <w:rPr>
          <w:rFonts w:hAnsi="Book Antiqua" w:hint="default"/>
          <w:sz w:val="24"/>
          <w:szCs w:val="24"/>
          <w:rtl w:val="0"/>
          <w:lang w:val="it-IT"/>
        </w:rPr>
        <w:t>’</w:t>
      </w:r>
      <w:r>
        <w:rPr>
          <w:rFonts w:ascii="Book Antiqua"/>
          <w:sz w:val="24"/>
          <w:szCs w:val="24"/>
          <w:rtl w:val="0"/>
          <w:lang w:val="it-IT"/>
        </w:rPr>
        <w:t>ambientalista Giorgio Libralato all</w:t>
      </w:r>
      <w:r>
        <w:rPr>
          <w:rFonts w:hAnsi="Book Antiqua" w:hint="default"/>
          <w:sz w:val="24"/>
          <w:szCs w:val="24"/>
          <w:rtl w:val="0"/>
          <w:lang w:val="it-IT"/>
        </w:rPr>
        <w:t>’</w:t>
      </w:r>
      <w:r>
        <w:rPr>
          <w:rFonts w:ascii="Book Antiqua"/>
          <w:sz w:val="24"/>
          <w:szCs w:val="24"/>
          <w:rtl w:val="0"/>
          <w:lang w:val="it-IT"/>
        </w:rPr>
        <w:t xml:space="preserve">agenzia di stampa AGR: </w:t>
      </w:r>
      <w:r>
        <w:rPr>
          <w:rFonts w:hAnsi="Book Antiqua" w:hint="default"/>
          <w:sz w:val="24"/>
          <w:szCs w:val="24"/>
          <w:rtl w:val="0"/>
          <w:lang w:val="it-IT"/>
        </w:rPr>
        <w:t>“</w:t>
      </w:r>
      <w:r>
        <w:rPr>
          <w:rFonts w:ascii="Book Antiqua"/>
          <w:sz w:val="24"/>
          <w:szCs w:val="24"/>
          <w:rtl w:val="0"/>
          <w:lang w:val="it-IT"/>
        </w:rPr>
        <w:t>Da 7 anni, ovvero dal 2005, le falde acquifere di Borgo Montello risultano fortemente inquinate da metalli pesanti e presenza di anomale masse magnetiche, ma nonostante ci</w:t>
      </w:r>
      <w:r>
        <w:rPr>
          <w:rFonts w:hAnsi="Book Antiqua" w:hint="default"/>
          <w:sz w:val="24"/>
          <w:szCs w:val="24"/>
          <w:rtl w:val="0"/>
          <w:lang w:val="it-IT"/>
        </w:rPr>
        <w:t>ò</w:t>
      </w:r>
      <w:r>
        <w:rPr>
          <w:rFonts w:ascii="Book Antiqua"/>
          <w:sz w:val="24"/>
          <w:szCs w:val="24"/>
          <w:rtl w:val="0"/>
          <w:lang w:val="it-IT"/>
        </w:rPr>
        <w:t xml:space="preserve">, nessuna precauzione </w:t>
      </w:r>
      <w:r>
        <w:rPr>
          <w:rFonts w:hAnsi="Book Antiqua" w:hint="default"/>
          <w:sz w:val="24"/>
          <w:szCs w:val="24"/>
          <w:rtl w:val="0"/>
          <w:lang w:val="it-IT"/>
        </w:rPr>
        <w:t xml:space="preserve">è </w:t>
      </w:r>
      <w:r>
        <w:rPr>
          <w:rFonts w:ascii="Book Antiqua"/>
          <w:sz w:val="24"/>
          <w:szCs w:val="24"/>
          <w:rtl w:val="0"/>
          <w:lang w:val="it-IT"/>
        </w:rPr>
        <w:t>stata attuata dalle istituzioni competenti</w:t>
      </w:r>
      <w:r>
        <w:rPr>
          <w:rFonts w:hAnsi="Book Antiqua" w:hint="default"/>
          <w:sz w:val="24"/>
          <w:szCs w:val="24"/>
          <w:rtl w:val="0"/>
          <w:lang w:val="it-IT"/>
        </w:rPr>
        <w:t>”</w:t>
      </w:r>
      <w:r>
        <w:rPr>
          <w:rFonts w:ascii="Book Antiqua"/>
          <w:sz w:val="24"/>
          <w:szCs w:val="24"/>
          <w:rtl w:val="0"/>
          <w:lang w:val="it-IT"/>
        </w:rPr>
        <w:t>. Tali dichiarazioni si basavano su quanto dichiarato dall</w:t>
      </w:r>
      <w:r>
        <w:rPr>
          <w:rFonts w:hAnsi="Book Antiqua" w:hint="default"/>
          <w:sz w:val="24"/>
          <w:szCs w:val="24"/>
          <w:rtl w:val="0"/>
          <w:lang w:val="it-IT"/>
        </w:rPr>
        <w:t>’</w:t>
      </w:r>
      <w:r>
        <w:rPr>
          <w:rFonts w:ascii="Book Antiqua"/>
          <w:sz w:val="24"/>
          <w:szCs w:val="24"/>
          <w:rtl w:val="0"/>
          <w:lang w:val="it-IT"/>
        </w:rPr>
        <w:t>allora commissario dell</w:t>
      </w:r>
      <w:r>
        <w:rPr>
          <w:rFonts w:hAnsi="Book Antiqua" w:hint="default"/>
          <w:sz w:val="24"/>
          <w:szCs w:val="24"/>
          <w:rtl w:val="0"/>
          <w:lang w:val="it-IT"/>
        </w:rPr>
        <w:t>’</w:t>
      </w:r>
      <w:r>
        <w:rPr>
          <w:rFonts w:ascii="Book Antiqua"/>
          <w:sz w:val="24"/>
          <w:szCs w:val="24"/>
          <w:rtl w:val="0"/>
          <w:lang w:val="it-IT"/>
        </w:rPr>
        <w:t>ARPA Lazio Corrado Carruba durante un</w:t>
      </w:r>
      <w:r>
        <w:rPr>
          <w:rFonts w:hAnsi="Book Antiqua" w:hint="default"/>
          <w:sz w:val="24"/>
          <w:szCs w:val="24"/>
          <w:rtl w:val="0"/>
          <w:lang w:val="it-IT"/>
        </w:rPr>
        <w:t>’</w:t>
      </w:r>
      <w:r>
        <w:rPr>
          <w:rFonts w:ascii="Book Antiqua"/>
          <w:sz w:val="24"/>
          <w:szCs w:val="24"/>
          <w:rtl w:val="0"/>
          <w:lang w:val="it-IT"/>
        </w:rPr>
        <w:t xml:space="preserve">audizione della commissione </w:t>
      </w:r>
      <w:r>
        <w:rPr>
          <w:rFonts w:hAnsi="Book Antiqua" w:hint="default"/>
          <w:sz w:val="24"/>
          <w:szCs w:val="24"/>
          <w:rtl w:val="0"/>
          <w:lang w:val="it-IT"/>
        </w:rPr>
        <w:t>“</w:t>
      </w:r>
      <w:r>
        <w:rPr>
          <w:rFonts w:ascii="Book Antiqua"/>
          <w:sz w:val="24"/>
          <w:szCs w:val="24"/>
          <w:rtl w:val="0"/>
          <w:lang w:val="it-IT"/>
        </w:rPr>
        <w:t>Criminalit</w:t>
      </w:r>
      <w:r>
        <w:rPr>
          <w:rFonts w:hAnsi="Book Antiqua" w:hint="default"/>
          <w:sz w:val="24"/>
          <w:szCs w:val="24"/>
          <w:rtl w:val="0"/>
          <w:lang w:val="it-IT"/>
        </w:rPr>
        <w:t xml:space="preserve">à” </w:t>
      </w:r>
      <w:r>
        <w:rPr>
          <w:rFonts w:ascii="Book Antiqua"/>
          <w:sz w:val="24"/>
          <w:szCs w:val="24"/>
          <w:rtl w:val="0"/>
          <w:lang w:val="it-IT"/>
        </w:rPr>
        <w:t>del Consiglio regionale del Lazio.</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L</w:t>
      </w:r>
      <w:r>
        <w:rPr>
          <w:rFonts w:hAnsi="Book Antiqua" w:hint="default"/>
          <w:sz w:val="24"/>
          <w:szCs w:val="24"/>
          <w:rtl w:val="0"/>
          <w:lang w:val="it-IT"/>
        </w:rPr>
        <w:t>’</w:t>
      </w:r>
      <w:r>
        <w:rPr>
          <w:rFonts w:ascii="Book Antiqua"/>
          <w:sz w:val="24"/>
          <w:szCs w:val="24"/>
          <w:rtl w:val="0"/>
          <w:lang w:val="it-IT"/>
        </w:rPr>
        <w:t>informativa della polizia giudiziaria riferisce su una prima attivit</w:t>
      </w:r>
      <w:r>
        <w:rPr>
          <w:rFonts w:hAnsi="Book Antiqua" w:hint="default"/>
          <w:sz w:val="24"/>
          <w:szCs w:val="24"/>
          <w:rtl w:val="0"/>
          <w:lang w:val="it-IT"/>
        </w:rPr>
        <w:t xml:space="preserve">à </w:t>
      </w:r>
      <w:r>
        <w:rPr>
          <w:rFonts w:ascii="Book Antiqua"/>
          <w:sz w:val="24"/>
          <w:szCs w:val="24"/>
          <w:rtl w:val="0"/>
          <w:lang w:val="it-IT"/>
        </w:rPr>
        <w:t xml:space="preserve">di riscontro: </w:t>
      </w:r>
      <w:r>
        <w:rPr>
          <w:rFonts w:hAnsi="Book Antiqua" w:hint="default"/>
          <w:sz w:val="24"/>
          <w:szCs w:val="24"/>
          <w:rtl w:val="0"/>
          <w:lang w:val="it-IT"/>
        </w:rPr>
        <w:t>“</w:t>
      </w:r>
      <w:r>
        <w:rPr>
          <w:rFonts w:ascii="Book Antiqua"/>
          <w:sz w:val="24"/>
          <w:szCs w:val="24"/>
          <w:rtl w:val="0"/>
          <w:lang w:val="it-IT"/>
        </w:rPr>
        <w:t>Questa Squadra Mobile ha avviato specifiche attivit</w:t>
      </w:r>
      <w:r>
        <w:rPr>
          <w:rFonts w:hAnsi="Book Antiqua" w:hint="default"/>
          <w:sz w:val="24"/>
          <w:szCs w:val="24"/>
          <w:rtl w:val="0"/>
          <w:lang w:val="it-IT"/>
        </w:rPr>
        <w:t xml:space="preserve">à </w:t>
      </w:r>
      <w:r>
        <w:rPr>
          <w:rFonts w:ascii="Book Antiqua"/>
          <w:sz w:val="24"/>
          <w:szCs w:val="24"/>
          <w:rtl w:val="0"/>
          <w:lang w:val="it-IT"/>
        </w:rPr>
        <w:t xml:space="preserve">info-investigative da cui </w:t>
      </w:r>
      <w:r>
        <w:rPr>
          <w:rFonts w:hAnsi="Book Antiqua" w:hint="default"/>
          <w:sz w:val="24"/>
          <w:szCs w:val="24"/>
          <w:rtl w:val="0"/>
          <w:lang w:val="it-IT"/>
        </w:rPr>
        <w:t xml:space="preserve">è </w:t>
      </w:r>
      <w:r>
        <w:rPr>
          <w:rFonts w:ascii="Book Antiqua"/>
          <w:sz w:val="24"/>
          <w:szCs w:val="24"/>
          <w:rtl w:val="0"/>
          <w:lang w:val="it-IT"/>
        </w:rPr>
        <w:t>scaturito che in una specifica porzione dell</w:t>
      </w:r>
      <w:r>
        <w:rPr>
          <w:rFonts w:hAnsi="Book Antiqua" w:hint="default"/>
          <w:sz w:val="24"/>
          <w:szCs w:val="24"/>
          <w:rtl w:val="0"/>
          <w:lang w:val="it-IT"/>
        </w:rPr>
        <w:t>’</w:t>
      </w:r>
      <w:r>
        <w:rPr>
          <w:rFonts w:ascii="Book Antiqua"/>
          <w:sz w:val="24"/>
          <w:szCs w:val="24"/>
          <w:rtl w:val="0"/>
          <w:lang w:val="it-IT"/>
        </w:rPr>
        <w:t xml:space="preserve">area, ove insiste la discarica di Borgo Montello, che questo ufficio </w:t>
      </w:r>
      <w:r>
        <w:rPr>
          <w:rFonts w:hAnsi="Book Antiqua" w:hint="default"/>
          <w:sz w:val="24"/>
          <w:szCs w:val="24"/>
          <w:rtl w:val="0"/>
          <w:lang w:val="it-IT"/>
        </w:rPr>
        <w:t xml:space="preserve">è </w:t>
      </w:r>
      <w:r>
        <w:rPr>
          <w:rFonts w:ascii="Book Antiqua"/>
          <w:sz w:val="24"/>
          <w:szCs w:val="24"/>
          <w:rtl w:val="0"/>
          <w:lang w:val="it-IT"/>
        </w:rPr>
        <w:t>in grado di raggiungere seguendo indicazioni precise, gestita attualmente dalle societ</w:t>
      </w:r>
      <w:r>
        <w:rPr>
          <w:rFonts w:hAnsi="Book Antiqua" w:hint="default"/>
          <w:sz w:val="24"/>
          <w:szCs w:val="24"/>
          <w:rtl w:val="0"/>
          <w:lang w:val="it-IT"/>
        </w:rPr>
        <w:t xml:space="preserve">à </w:t>
      </w:r>
      <w:r>
        <w:rPr>
          <w:rFonts w:ascii="Book Antiqua"/>
          <w:sz w:val="24"/>
          <w:szCs w:val="24"/>
          <w:rtl w:val="0"/>
          <w:lang w:val="it-IT"/>
        </w:rPr>
        <w:t>Ecoambiente srl, per quanto attiene agli invasi denominati S0, S1,S2 e S3, ed Indeco srl, per l</w:t>
      </w:r>
      <w:r>
        <w:rPr>
          <w:rFonts w:hAnsi="Book Antiqua" w:hint="default"/>
          <w:sz w:val="24"/>
          <w:szCs w:val="24"/>
          <w:rtl w:val="0"/>
          <w:lang w:val="it-IT"/>
        </w:rPr>
        <w:t>’</w:t>
      </w:r>
      <w:r>
        <w:rPr>
          <w:rFonts w:ascii="Book Antiqua"/>
          <w:sz w:val="24"/>
          <w:szCs w:val="24"/>
          <w:rtl w:val="0"/>
          <w:lang w:val="it-IT"/>
        </w:rPr>
        <w:t>area contrassegnata dalle sigle S4, S5, S6 e B2, sono stati interrati, tra il 1987 ed il 1990, rifiuti altamente pericolosi, tali da inquinare le falde acquifere</w:t>
      </w:r>
      <w:r>
        <w:rPr>
          <w:rFonts w:hAnsi="Book Antiqua" w:hint="default"/>
          <w:sz w:val="24"/>
          <w:szCs w:val="24"/>
          <w:rtl w:val="0"/>
          <w:lang w:val="it-IT"/>
        </w:rPr>
        <w:t>”</w:t>
      </w:r>
      <w:r>
        <w:rPr>
          <w:rFonts w:ascii="Book Antiqua"/>
          <w:sz w:val="24"/>
          <w:szCs w:val="24"/>
          <w:rtl w:val="0"/>
          <w:lang w:val="it-IT"/>
        </w:rPr>
        <w:t>, allegando una mappa con l</w:t>
      </w:r>
      <w:r>
        <w:rPr>
          <w:rFonts w:hAnsi="Book Antiqua" w:hint="default"/>
          <w:sz w:val="24"/>
          <w:szCs w:val="24"/>
          <w:rtl w:val="0"/>
          <w:lang w:val="it-IT"/>
        </w:rPr>
        <w:t>’</w:t>
      </w:r>
      <w:r>
        <w:rPr>
          <w:rFonts w:ascii="Book Antiqua"/>
          <w:sz w:val="24"/>
          <w:szCs w:val="24"/>
          <w:rtl w:val="0"/>
          <w:lang w:val="it-IT"/>
        </w:rPr>
        <w:t>indicazione precisa del punto di interramento.</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L</w:t>
      </w:r>
      <w:r>
        <w:rPr>
          <w:rFonts w:hAnsi="Book Antiqua" w:hint="default"/>
          <w:sz w:val="24"/>
          <w:szCs w:val="24"/>
          <w:rtl w:val="0"/>
          <w:lang w:val="it-IT"/>
        </w:rPr>
        <w:t>’</w:t>
      </w:r>
      <w:r>
        <w:rPr>
          <w:rFonts w:ascii="Book Antiqua"/>
          <w:sz w:val="24"/>
          <w:szCs w:val="24"/>
          <w:rtl w:val="0"/>
          <w:lang w:val="it-IT"/>
        </w:rPr>
        <w:t>informativa individua uno dei presunti responsabili dell</w:t>
      </w:r>
      <w:r>
        <w:rPr>
          <w:rFonts w:hAnsi="Book Antiqua" w:hint="default"/>
          <w:sz w:val="24"/>
          <w:szCs w:val="24"/>
          <w:rtl w:val="0"/>
          <w:lang w:val="it-IT"/>
        </w:rPr>
        <w:t>’</w:t>
      </w:r>
      <w:r>
        <w:rPr>
          <w:rFonts w:ascii="Book Antiqua"/>
          <w:sz w:val="24"/>
          <w:szCs w:val="24"/>
          <w:rtl w:val="0"/>
          <w:lang w:val="it-IT"/>
        </w:rPr>
        <w:t>attivit</w:t>
      </w:r>
      <w:r>
        <w:rPr>
          <w:rFonts w:hAnsi="Book Antiqua" w:hint="default"/>
          <w:sz w:val="24"/>
          <w:szCs w:val="24"/>
          <w:rtl w:val="0"/>
          <w:lang w:val="it-IT"/>
        </w:rPr>
        <w:t xml:space="preserve">à </w:t>
      </w:r>
      <w:r>
        <w:rPr>
          <w:rFonts w:ascii="Book Antiqua"/>
          <w:sz w:val="24"/>
          <w:szCs w:val="24"/>
          <w:rtl w:val="0"/>
          <w:lang w:val="it-IT"/>
        </w:rPr>
        <w:t xml:space="preserve">illecita: </w:t>
      </w:r>
      <w:r>
        <w:rPr>
          <w:rFonts w:hAnsi="Book Antiqua" w:hint="default"/>
          <w:sz w:val="24"/>
          <w:szCs w:val="24"/>
          <w:rtl w:val="0"/>
          <w:lang w:val="it-IT"/>
        </w:rPr>
        <w:t>“</w:t>
      </w:r>
      <w:r>
        <w:rPr>
          <w:rFonts w:ascii="Book Antiqua"/>
          <w:sz w:val="24"/>
          <w:szCs w:val="24"/>
          <w:rtl w:val="0"/>
          <w:lang w:val="it-IT"/>
        </w:rPr>
        <w:t>L</w:t>
      </w:r>
      <w:r>
        <w:rPr>
          <w:rFonts w:hAnsi="Book Antiqua" w:hint="default"/>
          <w:sz w:val="24"/>
          <w:szCs w:val="24"/>
          <w:rtl w:val="0"/>
          <w:lang w:val="it-IT"/>
        </w:rPr>
        <w:t>’</w:t>
      </w:r>
      <w:r>
        <w:rPr>
          <w:rFonts w:ascii="Book Antiqua"/>
          <w:sz w:val="24"/>
          <w:szCs w:val="24"/>
          <w:rtl w:val="0"/>
          <w:lang w:val="it-IT"/>
        </w:rPr>
        <w:t>interramento dei fusti contenti rifiuti pericolosi sarebbe avvenuto utilizzando la ditta di [</w:t>
      </w:r>
      <w:r>
        <w:rPr>
          <w:rFonts w:hAnsi="Book Antiqua" w:hint="default"/>
          <w:sz w:val="24"/>
          <w:szCs w:val="24"/>
          <w:rtl w:val="0"/>
          <w:lang w:val="it-IT"/>
        </w:rPr>
        <w:t>…</w:t>
      </w:r>
      <w:r>
        <w:rPr>
          <w:rFonts w:ascii="Book Antiqua"/>
          <w:sz w:val="24"/>
          <w:szCs w:val="24"/>
          <w:rtl w:val="0"/>
          <w:lang w:val="it-IT"/>
        </w:rPr>
        <w:t>], specializzata nel movimento terra. Il [</w:t>
      </w:r>
      <w:r>
        <w:rPr>
          <w:rFonts w:hAnsi="Book Antiqua" w:hint="default"/>
          <w:sz w:val="24"/>
          <w:szCs w:val="24"/>
          <w:rtl w:val="0"/>
          <w:lang w:val="it-IT"/>
        </w:rPr>
        <w:t>…</w:t>
      </w:r>
      <w:r>
        <w:rPr>
          <w:rFonts w:ascii="Book Antiqua"/>
          <w:sz w:val="24"/>
          <w:szCs w:val="24"/>
          <w:rtl w:val="0"/>
          <w:lang w:val="it-IT"/>
        </w:rPr>
        <w:t xml:space="preserve">] sarebbe stato ingaggiato, ricevendo per la sua opera ed il suo </w:t>
      </w:r>
      <w:r>
        <w:rPr>
          <w:rFonts w:hAnsi="Book Antiqua" w:hint="default"/>
          <w:sz w:val="24"/>
          <w:szCs w:val="24"/>
          <w:rtl w:val="0"/>
          <w:lang w:val="it-IT"/>
        </w:rPr>
        <w:t>“</w:t>
      </w:r>
      <w:r>
        <w:rPr>
          <w:rFonts w:ascii="Book Antiqua"/>
          <w:sz w:val="24"/>
          <w:szCs w:val="24"/>
          <w:rtl w:val="0"/>
          <w:lang w:val="it-IT"/>
        </w:rPr>
        <w:t>silenzio</w:t>
      </w:r>
      <w:r>
        <w:rPr>
          <w:rFonts w:hAnsi="Book Antiqua" w:hint="default"/>
          <w:sz w:val="24"/>
          <w:szCs w:val="24"/>
          <w:rtl w:val="0"/>
          <w:lang w:val="it-IT"/>
        </w:rPr>
        <w:t xml:space="preserve">” </w:t>
      </w:r>
      <w:r>
        <w:rPr>
          <w:rFonts w:ascii="Book Antiqua"/>
          <w:sz w:val="24"/>
          <w:szCs w:val="24"/>
          <w:rtl w:val="0"/>
          <w:lang w:val="it-IT"/>
        </w:rPr>
        <w:t>una cifra oscillante tra 60 ed 80 milioni del vecchio conio, da tale Proietto Andrea</w:t>
      </w:r>
      <w:r>
        <w:rPr>
          <w:rFonts w:hAnsi="Book Antiqua" w:hint="default"/>
          <w:sz w:val="24"/>
          <w:szCs w:val="24"/>
          <w:rtl w:val="0"/>
          <w:lang w:val="it-IT"/>
        </w:rPr>
        <w:t>”</w:t>
      </w:r>
      <w:r>
        <w:rPr>
          <w:rFonts w:ascii="Book Antiqua"/>
          <w:sz w:val="24"/>
          <w:szCs w:val="24"/>
          <w:rtl w:val="0"/>
          <w:lang w:val="it-IT"/>
        </w:rPr>
        <w:t>. Va aggiunto che i nomi citati non risultano iscritti nel registro degli indagati nell</w:t>
      </w:r>
      <w:r>
        <w:rPr>
          <w:rFonts w:hAnsi="Book Antiqua" w:hint="default"/>
          <w:sz w:val="24"/>
          <w:szCs w:val="24"/>
          <w:rtl w:val="0"/>
          <w:lang w:val="it-IT"/>
        </w:rPr>
        <w:t>’</w:t>
      </w:r>
      <w:r>
        <w:rPr>
          <w:rFonts w:ascii="Book Antiqua"/>
          <w:sz w:val="24"/>
          <w:szCs w:val="24"/>
          <w:rtl w:val="0"/>
          <w:lang w:val="it-IT"/>
        </w:rPr>
        <w:t xml:space="preserve">ambito del procedimento  14948/13/19 e che </w:t>
      </w:r>
      <w:r>
        <w:rPr>
          <w:rFonts w:hAnsi="Book Antiqua" w:hint="default"/>
          <w:sz w:val="24"/>
          <w:szCs w:val="24"/>
          <w:rtl w:val="0"/>
          <w:lang w:val="it-IT"/>
        </w:rPr>
        <w:t xml:space="preserve">– </w:t>
      </w:r>
      <w:r>
        <w:rPr>
          <w:rFonts w:ascii="Book Antiqua"/>
          <w:sz w:val="24"/>
          <w:szCs w:val="24"/>
          <w:rtl w:val="0"/>
          <w:lang w:val="it-IT"/>
        </w:rPr>
        <w:t xml:space="preserve">a conclusione delle indagini </w:t>
      </w:r>
      <w:r>
        <w:rPr>
          <w:rFonts w:hAnsi="Book Antiqua" w:hint="default"/>
          <w:sz w:val="24"/>
          <w:szCs w:val="24"/>
          <w:rtl w:val="0"/>
          <w:lang w:val="it-IT"/>
        </w:rPr>
        <w:t xml:space="preserve">– </w:t>
      </w:r>
      <w:r>
        <w:rPr>
          <w:rFonts w:ascii="Book Antiqua"/>
          <w:sz w:val="24"/>
          <w:szCs w:val="24"/>
          <w:rtl w:val="0"/>
          <w:lang w:val="it-IT"/>
        </w:rPr>
        <w:t>il giudice per le indagini preliminari ha disposto l</w:t>
      </w:r>
      <w:r>
        <w:rPr>
          <w:rFonts w:hAnsi="Book Antiqua" w:hint="default"/>
          <w:sz w:val="24"/>
          <w:szCs w:val="24"/>
          <w:rtl w:val="0"/>
          <w:lang w:val="it-IT"/>
        </w:rPr>
        <w:t>’</w:t>
      </w:r>
      <w:r>
        <w:rPr>
          <w:rFonts w:ascii="Book Antiqua"/>
          <w:sz w:val="24"/>
          <w:szCs w:val="24"/>
          <w:rtl w:val="0"/>
          <w:lang w:val="it-IT"/>
        </w:rPr>
        <w:t>archiviazione, accogliendo al richiesta della procura della Repubblica di Latina.</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Andrea Proietto</w:t>
      </w:r>
      <w:r>
        <w:rPr>
          <w:rFonts w:ascii="Book Antiqua" w:cs="Book Antiqua" w:hAnsi="Book Antiqua" w:eastAsia="Book Antiqua"/>
          <w:sz w:val="24"/>
          <w:szCs w:val="24"/>
          <w:vertAlign w:val="superscript"/>
          <w:rtl w:val="0"/>
        </w:rPr>
        <w:footnoteReference w:id="324"/>
      </w:r>
      <w:r>
        <w:rPr>
          <w:rFonts w:hAnsi="Book Antiqua" w:hint="default"/>
          <w:sz w:val="24"/>
          <w:szCs w:val="24"/>
          <w:rtl w:val="0"/>
          <w:lang w:val="it-IT"/>
        </w:rPr>
        <w:t xml:space="preserve"> è </w:t>
      </w:r>
      <w:r>
        <w:rPr>
          <w:rFonts w:ascii="Book Antiqua"/>
          <w:sz w:val="24"/>
          <w:szCs w:val="24"/>
          <w:rtl w:val="0"/>
          <w:lang w:val="it-IT"/>
        </w:rPr>
        <w:t>stato uno dei due soci della societ</w:t>
      </w:r>
      <w:r>
        <w:rPr>
          <w:rFonts w:hAnsi="Book Antiqua" w:hint="default"/>
          <w:sz w:val="24"/>
          <w:szCs w:val="24"/>
          <w:rtl w:val="0"/>
          <w:lang w:val="it-IT"/>
        </w:rPr>
        <w:t xml:space="preserve">à </w:t>
      </w:r>
      <w:r>
        <w:rPr>
          <w:rFonts w:ascii="Book Antiqua"/>
          <w:sz w:val="24"/>
          <w:szCs w:val="24"/>
          <w:rtl w:val="0"/>
          <w:lang w:val="it-IT"/>
        </w:rPr>
        <w:t>Pro.Chi.</w:t>
      </w:r>
      <w:r>
        <w:rPr>
          <w:rFonts w:ascii="Book Antiqua" w:cs="Book Antiqua" w:hAnsi="Book Antiqua" w:eastAsia="Book Antiqua"/>
          <w:sz w:val="24"/>
          <w:szCs w:val="24"/>
          <w:vertAlign w:val="superscript"/>
          <w:rtl w:val="0"/>
        </w:rPr>
        <w:footnoteReference w:id="325"/>
      </w:r>
      <w:r>
        <w:rPr>
          <w:rFonts w:ascii="Book Antiqua"/>
          <w:sz w:val="24"/>
          <w:szCs w:val="24"/>
          <w:rtl w:val="0"/>
          <w:lang w:val="it-IT"/>
        </w:rPr>
        <w:t>, responsabile della gestione della discarica di Borgo Montello dall</w:t>
      </w:r>
      <w:r>
        <w:rPr>
          <w:rFonts w:hAnsi="Book Antiqua" w:hint="default"/>
          <w:sz w:val="24"/>
          <w:szCs w:val="24"/>
          <w:rtl w:val="0"/>
          <w:lang w:val="it-IT"/>
        </w:rPr>
        <w:t>’</w:t>
      </w:r>
      <w:r>
        <w:rPr>
          <w:rFonts w:ascii="Book Antiqua"/>
          <w:sz w:val="24"/>
          <w:szCs w:val="24"/>
          <w:rtl w:val="0"/>
          <w:lang w:val="it-IT"/>
        </w:rPr>
        <w:t xml:space="preserve">inizio degli anni </w:t>
      </w:r>
      <w:r>
        <w:rPr>
          <w:rFonts w:hAnsi="Book Antiqua" w:hint="default"/>
          <w:sz w:val="24"/>
          <w:szCs w:val="24"/>
          <w:rtl w:val="0"/>
          <w:lang w:val="it-IT"/>
        </w:rPr>
        <w:t>’</w:t>
      </w:r>
      <w:r>
        <w:rPr>
          <w:rFonts w:ascii="Book Antiqua"/>
          <w:sz w:val="24"/>
          <w:szCs w:val="24"/>
          <w:rtl w:val="0"/>
          <w:lang w:val="it-IT"/>
        </w:rPr>
        <w:t xml:space="preserve">80 fino al 1988/1989. </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 xml:space="preserve">Una seconda informativa </w:t>
      </w:r>
      <w:r>
        <w:rPr>
          <w:rFonts w:hAnsi="Book Antiqua" w:hint="default"/>
          <w:sz w:val="24"/>
          <w:szCs w:val="24"/>
          <w:rtl w:val="0"/>
          <w:lang w:val="it-IT"/>
        </w:rPr>
        <w:t xml:space="preserve">è </w:t>
      </w:r>
      <w:r>
        <w:rPr>
          <w:rFonts w:ascii="Book Antiqua"/>
          <w:sz w:val="24"/>
          <w:szCs w:val="24"/>
          <w:rtl w:val="0"/>
          <w:lang w:val="it-IT"/>
        </w:rPr>
        <w:t>stata inviata dalla Squadra mobile di Latina all</w:t>
      </w:r>
      <w:r>
        <w:rPr>
          <w:rFonts w:hAnsi="Book Antiqua" w:hint="default"/>
          <w:sz w:val="24"/>
          <w:szCs w:val="24"/>
          <w:rtl w:val="0"/>
          <w:lang w:val="it-IT"/>
        </w:rPr>
        <w:t>’</w:t>
      </w:r>
      <w:r>
        <w:rPr>
          <w:rFonts w:ascii="Book Antiqua"/>
          <w:sz w:val="24"/>
          <w:szCs w:val="24"/>
          <w:rtl w:val="0"/>
          <w:lang w:val="it-IT"/>
        </w:rPr>
        <w:t>autorit</w:t>
      </w:r>
      <w:r>
        <w:rPr>
          <w:rFonts w:hAnsi="Book Antiqua" w:hint="default"/>
          <w:sz w:val="24"/>
          <w:szCs w:val="24"/>
          <w:rtl w:val="0"/>
          <w:lang w:val="it-IT"/>
        </w:rPr>
        <w:t xml:space="preserve">à </w:t>
      </w:r>
      <w:r>
        <w:rPr>
          <w:rFonts w:ascii="Book Antiqua"/>
          <w:sz w:val="24"/>
          <w:szCs w:val="24"/>
          <w:rtl w:val="0"/>
          <w:lang w:val="it-IT"/>
        </w:rPr>
        <w:t>giudiziaria l</w:t>
      </w:r>
      <w:r>
        <w:rPr>
          <w:rFonts w:hAnsi="Book Antiqua" w:hint="default"/>
          <w:sz w:val="24"/>
          <w:szCs w:val="24"/>
          <w:rtl w:val="0"/>
          <w:lang w:val="it-IT"/>
        </w:rPr>
        <w:t>’</w:t>
      </w:r>
      <w:r>
        <w:rPr>
          <w:rFonts w:ascii="Book Antiqua"/>
          <w:sz w:val="24"/>
          <w:szCs w:val="24"/>
          <w:rtl w:val="0"/>
          <w:lang w:val="it-IT"/>
        </w:rPr>
        <w:t>8 gennaio del 2014, con ulteriori elementi particolarmente rilevanti.</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 xml:space="preserve">L'inchiesta ha ripercorso le precedenti indagini partite all'inizio degli anni '90 </w:t>
      </w:r>
      <w:r>
        <w:rPr>
          <w:rFonts w:hAnsi="Book Antiqua" w:hint="default"/>
          <w:sz w:val="24"/>
          <w:szCs w:val="24"/>
          <w:rtl w:val="0"/>
          <w:lang w:val="it-IT"/>
        </w:rPr>
        <w:t xml:space="preserve">– </w:t>
      </w:r>
      <w:r>
        <w:rPr>
          <w:rFonts w:ascii="Book Antiqua"/>
          <w:sz w:val="24"/>
          <w:szCs w:val="24"/>
          <w:rtl w:val="0"/>
          <w:lang w:val="it-IT"/>
        </w:rPr>
        <w:t>che hanno dato luogo alla citata condanna in primo grado e declaratoria di prescrizione in appello - per sversamento di rifiuti pericolosi. La Squadra mobile ha poi approfondito alcune informative dei primi anni '90, ricostruendo il complesso intreccio societario dei gestori dell'epoca (alcuni dei quali sono, dopo diversi passaggi di azioni, ancora oggi operativi sul sito di Borgo Montello).</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 xml:space="preserve">Il risultato dello sforzo investigativo della squadra mobile di Latina ha portato alla individuazione puntuale di almeno due invasi dove </w:t>
      </w:r>
      <w:r>
        <w:rPr>
          <w:rFonts w:hAnsi="Book Antiqua" w:hint="default"/>
          <w:sz w:val="24"/>
          <w:szCs w:val="24"/>
          <w:rtl w:val="0"/>
          <w:lang w:val="it-IT"/>
        </w:rPr>
        <w:t xml:space="preserve">– </w:t>
      </w:r>
      <w:r>
        <w:rPr>
          <w:rFonts w:ascii="Book Antiqua"/>
          <w:sz w:val="24"/>
          <w:szCs w:val="24"/>
          <w:rtl w:val="0"/>
          <w:lang w:val="it-IT"/>
        </w:rPr>
        <w:t xml:space="preserve">tra la fine degli anni '80 e i primi anni '90 </w:t>
      </w:r>
      <w:r>
        <w:rPr>
          <w:rFonts w:hAnsi="Book Antiqua" w:hint="default"/>
          <w:sz w:val="24"/>
          <w:szCs w:val="24"/>
          <w:rtl w:val="0"/>
          <w:lang w:val="it-IT"/>
        </w:rPr>
        <w:t xml:space="preserve">– </w:t>
      </w:r>
      <w:r>
        <w:rPr>
          <w:rFonts w:ascii="Book Antiqua"/>
          <w:sz w:val="24"/>
          <w:szCs w:val="24"/>
          <w:rtl w:val="0"/>
          <w:lang w:val="it-IT"/>
        </w:rPr>
        <w:t>sono stati sversati rifiuti pericolosi</w:t>
      </w:r>
      <w:r>
        <w:rPr>
          <w:rFonts w:ascii="Book Antiqua" w:cs="Book Antiqua" w:hAnsi="Book Antiqua" w:eastAsia="Book Antiqua"/>
          <w:sz w:val="24"/>
          <w:szCs w:val="24"/>
          <w:vertAlign w:val="superscript"/>
          <w:rtl w:val="0"/>
        </w:rPr>
        <w:footnoteReference w:id="326"/>
      </w:r>
      <w:r>
        <w:rPr>
          <w:rFonts w:ascii="Book Antiqua"/>
          <w:sz w:val="24"/>
          <w:szCs w:val="24"/>
          <w:rtl w:val="0"/>
          <w:lang w:val="it-IT"/>
        </w:rPr>
        <w:t>.</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 xml:space="preserve">I due punti individuati corrispondono con l'invaso denominato </w:t>
      </w:r>
      <w:r>
        <w:rPr>
          <w:rFonts w:hAnsi="Book Antiqua" w:hint="default"/>
          <w:sz w:val="24"/>
          <w:szCs w:val="24"/>
          <w:rtl w:val="0"/>
          <w:lang w:val="it-IT"/>
        </w:rPr>
        <w:t>“</w:t>
      </w:r>
      <w:r>
        <w:rPr>
          <w:rFonts w:ascii="Book Antiqua"/>
          <w:sz w:val="24"/>
          <w:szCs w:val="24"/>
          <w:rtl w:val="0"/>
          <w:lang w:val="it-IT"/>
        </w:rPr>
        <w:t>B2</w:t>
      </w:r>
      <w:r>
        <w:rPr>
          <w:rFonts w:hAnsi="Book Antiqua" w:hint="default"/>
          <w:sz w:val="24"/>
          <w:szCs w:val="24"/>
          <w:rtl w:val="0"/>
          <w:lang w:val="it-IT"/>
        </w:rPr>
        <w:t>”</w:t>
      </w:r>
      <w:r>
        <w:rPr>
          <w:rFonts w:ascii="Book Antiqua"/>
          <w:sz w:val="24"/>
          <w:szCs w:val="24"/>
          <w:rtl w:val="0"/>
          <w:lang w:val="it-IT"/>
        </w:rPr>
        <w:t>, inserito nella parte della discarica attualmente gestito dalla societ</w:t>
      </w:r>
      <w:r>
        <w:rPr>
          <w:rFonts w:hAnsi="Book Antiqua" w:hint="default"/>
          <w:sz w:val="24"/>
          <w:szCs w:val="24"/>
          <w:rtl w:val="0"/>
          <w:lang w:val="it-IT"/>
        </w:rPr>
        <w:t xml:space="preserve">à </w:t>
      </w:r>
      <w:r>
        <w:rPr>
          <w:rFonts w:ascii="Book Antiqua"/>
          <w:sz w:val="24"/>
          <w:szCs w:val="24"/>
          <w:rtl w:val="0"/>
          <w:lang w:val="it-IT"/>
        </w:rPr>
        <w:t>Indeco srl, e la zona compresa tra i siti S3 e S1, oggi gestita dalla societ</w:t>
      </w:r>
      <w:r>
        <w:rPr>
          <w:rFonts w:hAnsi="Book Antiqua" w:hint="default"/>
          <w:sz w:val="24"/>
          <w:szCs w:val="24"/>
          <w:rtl w:val="0"/>
          <w:lang w:val="it-IT"/>
        </w:rPr>
        <w:t xml:space="preserve">à </w:t>
      </w:r>
      <w:r>
        <w:rPr>
          <w:rFonts w:ascii="Book Antiqua"/>
          <w:sz w:val="24"/>
          <w:szCs w:val="24"/>
          <w:rtl w:val="0"/>
          <w:lang w:val="it-IT"/>
        </w:rPr>
        <w:t xml:space="preserve">Ecoambiente srl. Nel primo caso (B2) vi </w:t>
      </w:r>
      <w:r>
        <w:rPr>
          <w:rFonts w:hAnsi="Book Antiqua" w:hint="default"/>
          <w:sz w:val="24"/>
          <w:szCs w:val="24"/>
          <w:rtl w:val="0"/>
          <w:lang w:val="it-IT"/>
        </w:rPr>
        <w:t xml:space="preserve">è </w:t>
      </w:r>
      <w:r>
        <w:rPr>
          <w:rFonts w:ascii="Book Antiqua"/>
          <w:sz w:val="24"/>
          <w:szCs w:val="24"/>
          <w:rtl w:val="0"/>
          <w:lang w:val="it-IT"/>
        </w:rPr>
        <w:t xml:space="preserve">una certezza </w:t>
      </w:r>
      <w:r>
        <w:rPr>
          <w:rFonts w:ascii="Book Antiqua"/>
          <w:i w:val="1"/>
          <w:iCs w:val="1"/>
          <w:sz w:val="24"/>
          <w:szCs w:val="24"/>
          <w:rtl w:val="0"/>
          <w:lang w:val="it-IT"/>
        </w:rPr>
        <w:t>per tabulas</w:t>
      </w:r>
      <w:r>
        <w:rPr>
          <w:rFonts w:ascii="Book Antiqua"/>
          <w:sz w:val="24"/>
          <w:szCs w:val="24"/>
          <w:rtl w:val="0"/>
          <w:lang w:val="it-IT"/>
        </w:rPr>
        <w:t xml:space="preserve"> rispetto allo sversamento di rifiuti speciali pericolosi, comprovata nel corso di un processo penale (il giudicato sulla declaratoria di prescrizione conferma l</w:t>
      </w:r>
      <w:r>
        <w:rPr>
          <w:rFonts w:hAnsi="Book Antiqua" w:hint="default"/>
          <w:sz w:val="24"/>
          <w:szCs w:val="24"/>
          <w:rtl w:val="0"/>
          <w:lang w:val="it-IT"/>
        </w:rPr>
        <w:t>’</w:t>
      </w:r>
      <w:r>
        <w:rPr>
          <w:rFonts w:ascii="Book Antiqua"/>
          <w:sz w:val="24"/>
          <w:szCs w:val="24"/>
          <w:rtl w:val="0"/>
          <w:lang w:val="it-IT"/>
        </w:rPr>
        <w:t>accertamento che aveva portato alla condanna in primo grado dell</w:t>
      </w:r>
      <w:r>
        <w:rPr>
          <w:rFonts w:hAnsi="Book Antiqua" w:hint="default"/>
          <w:sz w:val="24"/>
          <w:szCs w:val="24"/>
          <w:rtl w:val="0"/>
          <w:lang w:val="it-IT"/>
        </w:rPr>
        <w:t>’</w:t>
      </w:r>
      <w:r>
        <w:rPr>
          <w:rFonts w:ascii="Book Antiqua"/>
          <w:sz w:val="24"/>
          <w:szCs w:val="24"/>
          <w:rtl w:val="0"/>
          <w:lang w:val="it-IT"/>
        </w:rPr>
        <w:t xml:space="preserve">unico imputato); nel secondo caso (S1-S3) vi sono almeno due testimonianze dirette concordanti e una testimonianza </w:t>
      </w:r>
      <w:r>
        <w:rPr>
          <w:rFonts w:ascii="Book Antiqua"/>
          <w:i w:val="1"/>
          <w:iCs w:val="1"/>
          <w:sz w:val="24"/>
          <w:szCs w:val="24"/>
          <w:rtl w:val="0"/>
          <w:lang w:val="it-IT"/>
        </w:rPr>
        <w:t>de relato</w:t>
      </w:r>
      <w:r>
        <w:rPr>
          <w:rFonts w:ascii="Book Antiqua"/>
          <w:sz w:val="24"/>
          <w:szCs w:val="24"/>
          <w:rtl w:val="0"/>
          <w:lang w:val="it-IT"/>
        </w:rPr>
        <w:t xml:space="preserve"> particolarmente attendibile.</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L'indagine condotta dalla squadra mobile di Latina ha ricostruito puntualmente una fase cruciale per la discarica di Borgo Montello, utilizzata all'inizio degli anni '90 anche per lo stoccaggio di rifiuti speciali non pericolosi e - come vedremo - pericolosi. Le originarie informazioni raccolte dagli investigatori provenivano dal fascicolo d</w:t>
      </w:r>
      <w:r>
        <w:rPr>
          <w:rFonts w:hAnsi="Book Antiqua" w:hint="default"/>
          <w:sz w:val="24"/>
          <w:szCs w:val="24"/>
          <w:rtl w:val="0"/>
          <w:lang w:val="it-IT"/>
        </w:rPr>
        <w:t>’</w:t>
      </w:r>
      <w:r>
        <w:rPr>
          <w:rFonts w:ascii="Book Antiqua"/>
          <w:sz w:val="24"/>
          <w:szCs w:val="24"/>
          <w:rtl w:val="0"/>
          <w:lang w:val="it-IT"/>
        </w:rPr>
        <w:t xml:space="preserve">indagine aperto nel 1992 dalla procura di Latina </w:t>
      </w:r>
      <w:r>
        <w:rPr>
          <w:rFonts w:ascii="Book Antiqua" w:cs="Book Antiqua" w:hAnsi="Book Antiqua" w:eastAsia="Book Antiqua"/>
          <w:sz w:val="24"/>
          <w:szCs w:val="24"/>
          <w:vertAlign w:val="superscript"/>
          <w:rtl w:val="0"/>
        </w:rPr>
        <w:footnoteReference w:id="327"/>
      </w:r>
      <w:r>
        <w:rPr>
          <w:rFonts w:ascii="Book Antiqua"/>
          <w:sz w:val="24"/>
          <w:szCs w:val="24"/>
          <w:rtl w:val="0"/>
          <w:lang w:val="it-IT"/>
        </w:rPr>
        <w:t xml:space="preserve">. </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 xml:space="preserve">Dai documenti allegati all'informativa citata </w:t>
      </w:r>
      <w:r>
        <w:rPr>
          <w:rFonts w:hAnsi="Book Antiqua" w:hint="default"/>
          <w:sz w:val="24"/>
          <w:szCs w:val="24"/>
          <w:rtl w:val="0"/>
          <w:lang w:val="it-IT"/>
        </w:rPr>
        <w:t xml:space="preserve">è </w:t>
      </w:r>
      <w:r>
        <w:rPr>
          <w:rFonts w:ascii="Book Antiqua"/>
          <w:sz w:val="24"/>
          <w:szCs w:val="24"/>
          <w:rtl w:val="0"/>
          <w:lang w:val="it-IT"/>
        </w:rPr>
        <w:t>possibile ricostruire la storia del sito denominato "B2" - gestito dalla societ</w:t>
      </w:r>
      <w:r>
        <w:rPr>
          <w:rFonts w:hAnsi="Book Antiqua" w:hint="default"/>
          <w:sz w:val="24"/>
          <w:szCs w:val="24"/>
          <w:rtl w:val="0"/>
          <w:lang w:val="it-IT"/>
        </w:rPr>
        <w:t xml:space="preserve">à </w:t>
      </w:r>
      <w:r>
        <w:rPr>
          <w:rFonts w:ascii="Book Antiqua"/>
          <w:sz w:val="24"/>
          <w:szCs w:val="24"/>
          <w:rtl w:val="0"/>
          <w:lang w:val="it-IT"/>
        </w:rPr>
        <w:t xml:space="preserve">Ecotecna </w:t>
      </w:r>
      <w:r>
        <w:rPr>
          <w:rFonts w:hAnsi="Book Antiqua" w:hint="default"/>
          <w:sz w:val="24"/>
          <w:szCs w:val="24"/>
          <w:rtl w:val="0"/>
          <w:lang w:val="it-IT"/>
        </w:rPr>
        <w:t xml:space="preserve">– </w:t>
      </w:r>
      <w:r>
        <w:rPr>
          <w:rFonts w:ascii="Book Antiqua"/>
          <w:sz w:val="24"/>
          <w:szCs w:val="24"/>
          <w:rtl w:val="0"/>
          <w:lang w:val="it-IT"/>
        </w:rPr>
        <w:t>e della serie di autorizzazioni, concesse tra il 1990 e il 1991, in regime di emergenza (attraverso ordinanze del presidente della Giunta regionale), che hanno consentito lo smaltimento in discarica di rifiuti speciali, anche pericolosi</w:t>
      </w:r>
      <w:r>
        <w:rPr>
          <w:rFonts w:ascii="Book Antiqua" w:cs="Book Antiqua" w:hAnsi="Book Antiqua" w:eastAsia="Book Antiqua"/>
          <w:sz w:val="24"/>
          <w:szCs w:val="24"/>
          <w:vertAlign w:val="superscript"/>
          <w:rtl w:val="0"/>
        </w:rPr>
        <w:footnoteReference w:id="328"/>
      </w:r>
      <w:r>
        <w:rPr>
          <w:rFonts w:ascii="Book Antiqua"/>
          <w:sz w:val="24"/>
          <w:szCs w:val="24"/>
          <w:rtl w:val="0"/>
          <w:lang w:val="it-IT"/>
        </w:rPr>
        <w:t xml:space="preserve">. </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E' bene sottolineare fin da subito che gli atti autorizzativi</w:t>
      </w:r>
      <w:r>
        <w:rPr>
          <w:rFonts w:ascii="Book Antiqua" w:cs="Book Antiqua" w:hAnsi="Book Antiqua" w:eastAsia="Book Antiqua"/>
          <w:sz w:val="24"/>
          <w:szCs w:val="24"/>
          <w:vertAlign w:val="superscript"/>
          <w:rtl w:val="0"/>
        </w:rPr>
        <w:footnoteReference w:id="329"/>
      </w:r>
      <w:r>
        <w:rPr>
          <w:rFonts w:ascii="Book Antiqua"/>
          <w:sz w:val="24"/>
          <w:szCs w:val="24"/>
          <w:rtl w:val="0"/>
          <w:lang w:val="it-IT"/>
        </w:rPr>
        <w:t xml:space="preserve"> si riferivano ad un "temporaneo" stoccaggio, come vedremo in dettaglio, la cui esigenza derivava da una presunta emergenza. Orbene, quei rifiuti sversati nel bacino B2 sono rimasti l</w:t>
      </w:r>
      <w:r>
        <w:rPr>
          <w:rFonts w:hAnsi="Book Antiqua" w:hint="default"/>
          <w:sz w:val="24"/>
          <w:szCs w:val="24"/>
          <w:rtl w:val="0"/>
          <w:lang w:val="it-IT"/>
        </w:rPr>
        <w:t>ì</w:t>
      </w:r>
      <w:r>
        <w:rPr>
          <w:rFonts w:ascii="Book Antiqua"/>
          <w:sz w:val="24"/>
          <w:szCs w:val="24"/>
          <w:rtl w:val="0"/>
          <w:lang w:val="it-IT"/>
        </w:rPr>
        <w:t>; terminata la fase di utilizzo del sito come discarica di seconda categoria B, la stessa societ</w:t>
      </w:r>
      <w:r>
        <w:rPr>
          <w:rFonts w:hAnsi="Book Antiqua" w:hint="default"/>
          <w:sz w:val="24"/>
          <w:szCs w:val="24"/>
          <w:rtl w:val="0"/>
          <w:lang w:val="it-IT"/>
        </w:rPr>
        <w:t xml:space="preserve">à </w:t>
      </w:r>
      <w:r>
        <w:rPr>
          <w:rFonts w:ascii="Book Antiqua"/>
          <w:sz w:val="24"/>
          <w:szCs w:val="24"/>
          <w:rtl w:val="0"/>
          <w:lang w:val="it-IT"/>
        </w:rPr>
        <w:t>Ecotecna ha chiesto ed ottenuto un'autorizzazione per la realizzazione di un sito per rifiuti solidi urbani a copertura dell'invaso</w:t>
      </w:r>
      <w:r>
        <w:rPr>
          <w:rFonts w:ascii="Book Antiqua" w:cs="Book Antiqua" w:hAnsi="Book Antiqua" w:eastAsia="Book Antiqua"/>
          <w:sz w:val="24"/>
          <w:szCs w:val="24"/>
          <w:vertAlign w:val="superscript"/>
          <w:rtl w:val="0"/>
        </w:rPr>
        <w:footnoteReference w:id="330"/>
      </w:r>
      <w:r>
        <w:rPr>
          <w:rFonts w:ascii="Book Antiqua"/>
          <w:sz w:val="24"/>
          <w:szCs w:val="24"/>
          <w:rtl w:val="0"/>
          <w:lang w:val="it-IT"/>
        </w:rPr>
        <w:t xml:space="preserve">. Oggi l'area </w:t>
      </w:r>
      <w:r>
        <w:rPr>
          <w:rFonts w:hAnsi="Book Antiqua" w:hint="default"/>
          <w:sz w:val="24"/>
          <w:szCs w:val="24"/>
          <w:rtl w:val="0"/>
          <w:lang w:val="it-IT"/>
        </w:rPr>
        <w:t xml:space="preserve">è </w:t>
      </w:r>
      <w:r>
        <w:rPr>
          <w:rFonts w:ascii="Book Antiqua"/>
          <w:sz w:val="24"/>
          <w:szCs w:val="24"/>
          <w:rtl w:val="0"/>
          <w:lang w:val="it-IT"/>
        </w:rPr>
        <w:t xml:space="preserve">dunque stratificata, con alla base l'antico sito di conferimento di rifiuti speciali, anche pericolosi. </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Prima di entrare nel merito delle vicende occorre avere un quadro d'insieme dei passaggi societari, che si incrociano con le autorizzazioni.</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Di seguito uno schema cronologico riassuntivo:</w:t>
      </w:r>
    </w:p>
    <w:p>
      <w:pPr>
        <w:pStyle w:val="Corpo A"/>
        <w:ind w:left="567" w:right="567" w:firstLine="0"/>
        <w:jc w:val="both"/>
        <w:rPr>
          <w:rFonts w:ascii="Book Antiqua" w:cs="Book Antiqua" w:hAnsi="Book Antiqua" w:eastAsia="Book Antiqua"/>
          <w:sz w:val="24"/>
          <w:szCs w:val="24"/>
          <w:lang w:val="it-IT"/>
        </w:rPr>
      </w:pPr>
    </w:p>
    <w:p>
      <w:pPr>
        <w:pStyle w:val="Normal"/>
        <w:ind w:left="567" w:right="567" w:firstLine="0"/>
        <w:jc w:val="both"/>
        <w:rPr>
          <w:rFonts w:ascii="Book Antiqua" w:cs="Book Antiqua" w:hAnsi="Book Antiqua" w:eastAsia="Book Antiqua"/>
        </w:rPr>
      </w:pPr>
    </w:p>
    <w:tbl>
      <w:tblPr>
        <w:tblW w:w="8505" w:type="dxa"/>
        <w:jc w:val="left"/>
        <w:tblInd w:w="726" w:type="dxa"/>
        <w:tblBorders>
          <w:top w:val="single" w:color="000000" w:sz="2" w:space="0" w:shadow="0" w:frame="0"/>
          <w:left w:val="single" w:color="000000" w:sz="2" w:space="0" w:shadow="0" w:frame="0"/>
          <w:bottom w:val="single" w:color="000000" w:sz="2" w:space="0" w:shadow="0" w:frame="0"/>
          <w:right w:val="single" w:color="000000" w:sz="2" w:space="0" w:shadow="0" w:frame="0"/>
          <w:insideH w:val="single" w:color="000000" w:sz="2" w:space="0" w:shadow="0" w:frame="0"/>
          <w:insideV w:val="single" w:color="000000" w:sz="2" w:space="0" w:shadow="0" w:frame="0"/>
        </w:tblBorders>
        <w:shd w:val="clear" w:color="auto" w:fill="auto"/>
        <w:tblLayout w:type="fixed"/>
      </w:tblPr>
      <w:tblGrid>
        <w:gridCol w:w="2694"/>
        <w:gridCol w:w="2551"/>
        <w:gridCol w:w="3260"/>
      </w:tblGrid>
      <w:tr>
        <w:tblPrEx>
          <w:shd w:val="clear" w:color="auto" w:fill="auto"/>
        </w:tblPrEx>
        <w:trPr>
          <w:trHeight w:val="1205" w:hRule="atLeast"/>
        </w:trPr>
        <w:tc>
          <w:tcPr>
            <w:tcW w:type="dxa" w:w="2694"/>
            <w:tcBorders>
              <w:top w:val="single" w:color="000001" w:sz="2" w:space="0" w:shadow="0" w:frame="0"/>
              <w:left w:val="single" w:color="000001" w:sz="2" w:space="0" w:shadow="0" w:frame="0"/>
              <w:bottom w:val="single" w:color="000001" w:sz="2" w:space="0" w:shadow="0" w:frame="0"/>
              <w:right w:val="single" w:color="000001" w:sz="2" w:space="0" w:shadow="0" w:frame="0"/>
            </w:tcBorders>
            <w:shd w:val="clear" w:color="auto" w:fill="auto"/>
            <w:tcMar>
              <w:top w:type="dxa" w:w="80"/>
              <w:left w:type="dxa" w:w="80"/>
              <w:bottom w:type="dxa" w:w="80"/>
              <w:right w:type="dxa" w:w="647"/>
            </w:tcMar>
            <w:vAlign w:val="top"/>
          </w:tcPr>
          <w:p>
            <w:pPr>
              <w:pStyle w:val="Contenuto tabella"/>
              <w:ind w:left="567" w:right="567"/>
            </w:pPr>
            <w:r>
              <w:rPr>
                <w:rFonts w:ascii="Book Antiqua"/>
                <w:caps w:val="0"/>
                <w:smallCaps w:val="0"/>
                <w:strike w:val="0"/>
                <w:dstrike w:val="0"/>
                <w:outline w:val="0"/>
                <w:color w:val="00000a"/>
                <w:spacing w:val="0"/>
                <w:kern w:val="0"/>
                <w:position w:val="0"/>
                <w:sz w:val="20"/>
                <w:szCs w:val="20"/>
                <w:u w:val="none" w:color="00000a"/>
                <w:vertAlign w:val="baseline"/>
                <w:rtl w:val="0"/>
                <w:lang w:val="it-IT"/>
              </w:rPr>
              <w:t>21 febbraio 1990</w:t>
            </w:r>
          </w:p>
        </w:tc>
        <w:tc>
          <w:tcPr>
            <w:tcW w:type="dxa" w:w="2551"/>
            <w:tcBorders>
              <w:top w:val="single" w:color="000001" w:sz="2" w:space="0" w:shadow="0" w:frame="0"/>
              <w:left w:val="single" w:color="000001" w:sz="2" w:space="0" w:shadow="0" w:frame="0"/>
              <w:bottom w:val="single" w:color="000001" w:sz="2" w:space="0" w:shadow="0" w:frame="0"/>
              <w:right w:val="single" w:color="000001" w:sz="2" w:space="0" w:shadow="0" w:frame="0"/>
            </w:tcBorders>
            <w:shd w:val="clear" w:color="auto" w:fill="auto"/>
            <w:tcMar>
              <w:top w:type="dxa" w:w="80"/>
              <w:left w:type="dxa" w:w="80"/>
              <w:bottom w:type="dxa" w:w="80"/>
              <w:right w:type="dxa" w:w="647"/>
            </w:tcMar>
            <w:vAlign w:val="top"/>
          </w:tcPr>
          <w:p>
            <w:pPr>
              <w:pStyle w:val="Contenuto tabella"/>
              <w:ind w:left="567" w:right="567"/>
            </w:pPr>
            <w:r>
              <w:rPr>
                <w:rFonts w:ascii="Book Antiqua"/>
                <w:caps w:val="0"/>
                <w:smallCaps w:val="0"/>
                <w:strike w:val="0"/>
                <w:dstrike w:val="0"/>
                <w:outline w:val="0"/>
                <w:color w:val="00000a"/>
                <w:spacing w:val="0"/>
                <w:kern w:val="0"/>
                <w:position w:val="0"/>
                <w:sz w:val="20"/>
                <w:szCs w:val="20"/>
                <w:u w:val="none" w:color="00000a"/>
                <w:vertAlign w:val="baseline"/>
                <w:rtl w:val="0"/>
                <w:lang w:val="it-IT"/>
              </w:rPr>
              <w:t>Guastella Srl</w:t>
            </w:r>
          </w:p>
        </w:tc>
        <w:tc>
          <w:tcPr>
            <w:tcW w:type="dxa" w:w="3260"/>
            <w:tcBorders>
              <w:top w:val="single" w:color="000001" w:sz="2" w:space="0" w:shadow="0" w:frame="0"/>
              <w:left w:val="single" w:color="000001" w:sz="2" w:space="0" w:shadow="0" w:frame="0"/>
              <w:bottom w:val="single" w:color="000001" w:sz="2" w:space="0" w:shadow="0" w:frame="0"/>
              <w:right w:val="single" w:color="000001" w:sz="2" w:space="0" w:shadow="0" w:frame="0"/>
            </w:tcBorders>
            <w:shd w:val="clear" w:color="auto" w:fill="auto"/>
            <w:tcMar>
              <w:top w:type="dxa" w:w="80"/>
              <w:left w:type="dxa" w:w="80"/>
              <w:bottom w:type="dxa" w:w="80"/>
              <w:right w:type="dxa" w:w="647"/>
            </w:tcMar>
            <w:vAlign w:val="top"/>
          </w:tcPr>
          <w:p>
            <w:pPr>
              <w:pStyle w:val="Contenuto tabella"/>
              <w:ind w:left="567" w:right="567"/>
            </w:pPr>
            <w:r>
              <w:rPr>
                <w:rFonts w:ascii="Book Antiqua"/>
                <w:caps w:val="0"/>
                <w:smallCaps w:val="0"/>
                <w:strike w:val="0"/>
                <w:dstrike w:val="0"/>
                <w:outline w:val="0"/>
                <w:color w:val="00000a"/>
                <w:spacing w:val="0"/>
                <w:kern w:val="0"/>
                <w:position w:val="0"/>
                <w:sz w:val="20"/>
                <w:szCs w:val="20"/>
                <w:u w:val="none" w:color="00000a"/>
                <w:vertAlign w:val="baseline"/>
                <w:rtl w:val="0"/>
                <w:lang w:val="it-IT"/>
              </w:rPr>
              <w:t xml:space="preserve">Sito </w:t>
            </w:r>
            <w:r>
              <w:rPr>
                <w:rFonts w:hAnsi="Book Antiqua" w:hint="default"/>
                <w:caps w:val="0"/>
                <w:smallCaps w:val="0"/>
                <w:strike w:val="0"/>
                <w:dstrike w:val="0"/>
                <w:outline w:val="0"/>
                <w:color w:val="00000a"/>
                <w:spacing w:val="0"/>
                <w:kern w:val="0"/>
                <w:position w:val="0"/>
                <w:sz w:val="20"/>
                <w:szCs w:val="20"/>
                <w:u w:val="none" w:color="00000a"/>
                <w:vertAlign w:val="baseline"/>
                <w:rtl w:val="0"/>
                <w:lang w:val="it-IT"/>
              </w:rPr>
              <w:t>“</w:t>
            </w:r>
            <w:r>
              <w:rPr>
                <w:rFonts w:ascii="Book Antiqua"/>
                <w:caps w:val="0"/>
                <w:smallCaps w:val="0"/>
                <w:strike w:val="0"/>
                <w:dstrike w:val="0"/>
                <w:outline w:val="0"/>
                <w:color w:val="00000a"/>
                <w:spacing w:val="0"/>
                <w:kern w:val="0"/>
                <w:position w:val="0"/>
                <w:sz w:val="20"/>
                <w:szCs w:val="20"/>
                <w:u w:val="none" w:color="00000a"/>
                <w:vertAlign w:val="baseline"/>
                <w:rtl w:val="0"/>
                <w:lang w:val="it-IT"/>
              </w:rPr>
              <w:t>B2</w:t>
            </w:r>
            <w:r>
              <w:rPr>
                <w:rFonts w:hAnsi="Book Antiqua" w:hint="default"/>
                <w:caps w:val="0"/>
                <w:smallCaps w:val="0"/>
                <w:strike w:val="0"/>
                <w:dstrike w:val="0"/>
                <w:outline w:val="0"/>
                <w:color w:val="00000a"/>
                <w:spacing w:val="0"/>
                <w:kern w:val="0"/>
                <w:position w:val="0"/>
                <w:sz w:val="20"/>
                <w:szCs w:val="20"/>
                <w:u w:val="none" w:color="00000a"/>
                <w:vertAlign w:val="baseline"/>
                <w:rtl w:val="0"/>
                <w:lang w:val="it-IT"/>
              </w:rPr>
              <w:t xml:space="preserve">” </w:t>
            </w:r>
            <w:r>
              <w:rPr>
                <w:rFonts w:ascii="Book Antiqua"/>
                <w:caps w:val="0"/>
                <w:smallCaps w:val="0"/>
                <w:strike w:val="0"/>
                <w:dstrike w:val="0"/>
                <w:outline w:val="0"/>
                <w:color w:val="00000a"/>
                <w:spacing w:val="0"/>
                <w:kern w:val="0"/>
                <w:position w:val="0"/>
                <w:sz w:val="20"/>
                <w:szCs w:val="20"/>
                <w:u w:val="none" w:color="00000a"/>
                <w:vertAlign w:val="baseline"/>
                <w:rtl w:val="0"/>
                <w:lang w:val="it-IT"/>
              </w:rPr>
              <w:t>autorizzato da regione Lazio per rifiuti speciali (ord. 76 del 21 febbraio 1990)</w:t>
            </w:r>
          </w:p>
        </w:tc>
      </w:tr>
      <w:tr>
        <w:tblPrEx>
          <w:shd w:val="clear" w:color="auto" w:fill="auto"/>
        </w:tblPrEx>
        <w:trPr>
          <w:trHeight w:val="1205" w:hRule="atLeast"/>
        </w:trPr>
        <w:tc>
          <w:tcPr>
            <w:tcW w:type="dxa" w:w="2694"/>
            <w:tcBorders>
              <w:top w:val="single" w:color="000001" w:sz="2" w:space="0" w:shadow="0" w:frame="0"/>
              <w:left w:val="single" w:color="000001" w:sz="2" w:space="0" w:shadow="0" w:frame="0"/>
              <w:bottom w:val="single" w:color="000001" w:sz="2" w:space="0" w:shadow="0" w:frame="0"/>
              <w:right w:val="single" w:color="000001" w:sz="2" w:space="0" w:shadow="0" w:frame="0"/>
            </w:tcBorders>
            <w:shd w:val="clear" w:color="auto" w:fill="auto"/>
            <w:tcMar>
              <w:top w:type="dxa" w:w="80"/>
              <w:left w:type="dxa" w:w="80"/>
              <w:bottom w:type="dxa" w:w="80"/>
              <w:right w:type="dxa" w:w="647"/>
            </w:tcMar>
            <w:vAlign w:val="top"/>
          </w:tcPr>
          <w:p>
            <w:pPr>
              <w:pStyle w:val="Contenuto tabella"/>
              <w:ind w:left="567" w:right="567"/>
            </w:pPr>
            <w:r>
              <w:rPr>
                <w:rFonts w:ascii="Book Antiqua"/>
                <w:caps w:val="0"/>
                <w:smallCaps w:val="0"/>
                <w:strike w:val="0"/>
                <w:dstrike w:val="0"/>
                <w:outline w:val="0"/>
                <w:color w:val="00000a"/>
                <w:spacing w:val="0"/>
                <w:kern w:val="0"/>
                <w:position w:val="0"/>
                <w:sz w:val="20"/>
                <w:szCs w:val="20"/>
                <w:u w:val="none" w:color="00000a"/>
                <w:vertAlign w:val="baseline"/>
                <w:rtl w:val="0"/>
                <w:lang w:val="it-IT"/>
              </w:rPr>
              <w:t>26 marzo 1990</w:t>
            </w:r>
          </w:p>
        </w:tc>
        <w:tc>
          <w:tcPr>
            <w:tcW w:type="dxa" w:w="2551"/>
            <w:tcBorders>
              <w:top w:val="single" w:color="000001" w:sz="2" w:space="0" w:shadow="0" w:frame="0"/>
              <w:left w:val="single" w:color="000001" w:sz="2" w:space="0" w:shadow="0" w:frame="0"/>
              <w:bottom w:val="single" w:color="000001" w:sz="2" w:space="0" w:shadow="0" w:frame="0"/>
              <w:right w:val="single" w:color="000001" w:sz="2" w:space="0" w:shadow="0" w:frame="0"/>
            </w:tcBorders>
            <w:shd w:val="clear" w:color="auto" w:fill="auto"/>
            <w:tcMar>
              <w:top w:type="dxa" w:w="80"/>
              <w:left w:type="dxa" w:w="80"/>
              <w:bottom w:type="dxa" w:w="80"/>
              <w:right w:type="dxa" w:w="647"/>
            </w:tcMar>
            <w:vAlign w:val="top"/>
          </w:tcPr>
          <w:p>
            <w:pPr>
              <w:pStyle w:val="Contenuto tabella"/>
              <w:ind w:left="567" w:right="567"/>
            </w:pPr>
            <w:r>
              <w:rPr>
                <w:rFonts w:ascii="Book Antiqua"/>
                <w:caps w:val="0"/>
                <w:smallCaps w:val="0"/>
                <w:strike w:val="0"/>
                <w:dstrike w:val="0"/>
                <w:outline w:val="0"/>
                <w:color w:val="00000a"/>
                <w:spacing w:val="0"/>
                <w:kern w:val="0"/>
                <w:position w:val="0"/>
                <w:sz w:val="20"/>
                <w:szCs w:val="20"/>
                <w:u w:val="none" w:color="00000a"/>
                <w:vertAlign w:val="baseline"/>
                <w:rtl w:val="0"/>
                <w:lang w:val="it-IT"/>
              </w:rPr>
              <w:t>Guastella Srl</w:t>
            </w:r>
          </w:p>
        </w:tc>
        <w:tc>
          <w:tcPr>
            <w:tcW w:type="dxa" w:w="3260"/>
            <w:tcBorders>
              <w:top w:val="single" w:color="000001" w:sz="2" w:space="0" w:shadow="0" w:frame="0"/>
              <w:left w:val="single" w:color="000001" w:sz="2" w:space="0" w:shadow="0" w:frame="0"/>
              <w:bottom w:val="single" w:color="000001" w:sz="2" w:space="0" w:shadow="0" w:frame="0"/>
              <w:right w:val="single" w:color="000001" w:sz="2" w:space="0" w:shadow="0" w:frame="0"/>
            </w:tcBorders>
            <w:shd w:val="clear" w:color="auto" w:fill="auto"/>
            <w:tcMar>
              <w:top w:type="dxa" w:w="80"/>
              <w:left w:type="dxa" w:w="80"/>
              <w:bottom w:type="dxa" w:w="80"/>
              <w:right w:type="dxa" w:w="647"/>
            </w:tcMar>
            <w:vAlign w:val="top"/>
          </w:tcPr>
          <w:p>
            <w:pPr>
              <w:pStyle w:val="Contenuto tabella"/>
              <w:ind w:left="567" w:right="567"/>
            </w:pPr>
            <w:r>
              <w:rPr>
                <w:rFonts w:ascii="Book Antiqua"/>
                <w:caps w:val="0"/>
                <w:smallCaps w:val="0"/>
                <w:strike w:val="0"/>
                <w:dstrike w:val="0"/>
                <w:outline w:val="0"/>
                <w:color w:val="00000a"/>
                <w:spacing w:val="0"/>
                <w:kern w:val="0"/>
                <w:position w:val="0"/>
                <w:sz w:val="20"/>
                <w:szCs w:val="20"/>
                <w:u w:val="none" w:color="00000a"/>
                <w:vertAlign w:val="baseline"/>
                <w:rtl w:val="0"/>
                <w:lang w:val="it-IT"/>
              </w:rPr>
              <w:t xml:space="preserve">Sito </w:t>
            </w:r>
            <w:r>
              <w:rPr>
                <w:rFonts w:hAnsi="Book Antiqua" w:hint="default"/>
                <w:caps w:val="0"/>
                <w:smallCaps w:val="0"/>
                <w:strike w:val="0"/>
                <w:dstrike w:val="0"/>
                <w:outline w:val="0"/>
                <w:color w:val="00000a"/>
                <w:spacing w:val="0"/>
                <w:kern w:val="0"/>
                <w:position w:val="0"/>
                <w:sz w:val="20"/>
                <w:szCs w:val="20"/>
                <w:u w:val="none" w:color="00000a"/>
                <w:vertAlign w:val="baseline"/>
                <w:rtl w:val="0"/>
                <w:lang w:val="it-IT"/>
              </w:rPr>
              <w:t>“</w:t>
            </w:r>
            <w:r>
              <w:rPr>
                <w:rFonts w:ascii="Book Antiqua"/>
                <w:caps w:val="0"/>
                <w:smallCaps w:val="0"/>
                <w:strike w:val="0"/>
                <w:dstrike w:val="0"/>
                <w:outline w:val="0"/>
                <w:color w:val="00000a"/>
                <w:spacing w:val="0"/>
                <w:kern w:val="0"/>
                <w:position w:val="0"/>
                <w:sz w:val="20"/>
                <w:szCs w:val="20"/>
                <w:u w:val="none" w:color="00000a"/>
                <w:vertAlign w:val="baseline"/>
                <w:rtl w:val="0"/>
                <w:lang w:val="it-IT"/>
              </w:rPr>
              <w:t>B2</w:t>
            </w:r>
            <w:r>
              <w:rPr>
                <w:rFonts w:hAnsi="Book Antiqua" w:hint="default"/>
                <w:caps w:val="0"/>
                <w:smallCaps w:val="0"/>
                <w:strike w:val="0"/>
                <w:dstrike w:val="0"/>
                <w:outline w:val="0"/>
                <w:color w:val="00000a"/>
                <w:spacing w:val="0"/>
                <w:kern w:val="0"/>
                <w:position w:val="0"/>
                <w:sz w:val="20"/>
                <w:szCs w:val="20"/>
                <w:u w:val="none" w:color="00000a"/>
                <w:vertAlign w:val="baseline"/>
                <w:rtl w:val="0"/>
                <w:lang w:val="it-IT"/>
              </w:rPr>
              <w:t xml:space="preserve">” </w:t>
            </w:r>
            <w:r>
              <w:rPr>
                <w:rFonts w:ascii="Book Antiqua"/>
                <w:caps w:val="0"/>
                <w:smallCaps w:val="0"/>
                <w:strike w:val="0"/>
                <w:dstrike w:val="0"/>
                <w:outline w:val="0"/>
                <w:color w:val="00000a"/>
                <w:spacing w:val="0"/>
                <w:kern w:val="0"/>
                <w:position w:val="0"/>
                <w:sz w:val="20"/>
                <w:szCs w:val="20"/>
                <w:u w:val="none" w:color="00000a"/>
                <w:vertAlign w:val="baseline"/>
                <w:rtl w:val="0"/>
                <w:lang w:val="it-IT"/>
              </w:rPr>
              <w:t>autorizzato da regione Lazio per rifiuti anche pericolosi (ord. 215 del 26 marzo 1990)</w:t>
            </w:r>
          </w:p>
        </w:tc>
      </w:tr>
      <w:tr>
        <w:tblPrEx>
          <w:shd w:val="clear" w:color="auto" w:fill="auto"/>
        </w:tblPrEx>
        <w:trPr>
          <w:trHeight w:val="725" w:hRule="atLeast"/>
        </w:trPr>
        <w:tc>
          <w:tcPr>
            <w:tcW w:type="dxa" w:w="2694"/>
            <w:tcBorders>
              <w:top w:val="single" w:color="000001" w:sz="2" w:space="0" w:shadow="0" w:frame="0"/>
              <w:left w:val="single" w:color="000001" w:sz="2" w:space="0" w:shadow="0" w:frame="0"/>
              <w:bottom w:val="single" w:color="000001" w:sz="2" w:space="0" w:shadow="0" w:frame="0"/>
              <w:right w:val="single" w:color="000001" w:sz="2" w:space="0" w:shadow="0" w:frame="0"/>
            </w:tcBorders>
            <w:shd w:val="clear" w:color="auto" w:fill="auto"/>
            <w:tcMar>
              <w:top w:type="dxa" w:w="80"/>
              <w:left w:type="dxa" w:w="80"/>
              <w:bottom w:type="dxa" w:w="80"/>
              <w:right w:type="dxa" w:w="647"/>
            </w:tcMar>
            <w:vAlign w:val="top"/>
          </w:tcPr>
          <w:p>
            <w:pPr>
              <w:pStyle w:val="Contenuto tabella"/>
              <w:ind w:left="567" w:right="567"/>
            </w:pPr>
            <w:r>
              <w:rPr>
                <w:rFonts w:ascii="Book Antiqua"/>
                <w:caps w:val="0"/>
                <w:smallCaps w:val="0"/>
                <w:strike w:val="0"/>
                <w:dstrike w:val="0"/>
                <w:outline w:val="0"/>
                <w:color w:val="00000a"/>
                <w:spacing w:val="0"/>
                <w:kern w:val="0"/>
                <w:position w:val="0"/>
                <w:sz w:val="20"/>
                <w:szCs w:val="20"/>
                <w:u w:val="none" w:color="00000a"/>
                <w:vertAlign w:val="baseline"/>
                <w:rtl w:val="0"/>
                <w:lang w:val="it-IT"/>
              </w:rPr>
              <w:t>maggio 1990</w:t>
            </w:r>
          </w:p>
        </w:tc>
        <w:tc>
          <w:tcPr>
            <w:tcW w:type="dxa" w:w="2551"/>
            <w:tcBorders>
              <w:top w:val="single" w:color="000001" w:sz="2" w:space="0" w:shadow="0" w:frame="0"/>
              <w:left w:val="single" w:color="000001" w:sz="2" w:space="0" w:shadow="0" w:frame="0"/>
              <w:bottom w:val="single" w:color="000001" w:sz="2" w:space="0" w:shadow="0" w:frame="0"/>
              <w:right w:val="single" w:color="000001" w:sz="2" w:space="0" w:shadow="0" w:frame="0"/>
            </w:tcBorders>
            <w:shd w:val="clear" w:color="auto" w:fill="auto"/>
            <w:tcMar>
              <w:top w:type="dxa" w:w="80"/>
              <w:left w:type="dxa" w:w="80"/>
              <w:bottom w:type="dxa" w:w="80"/>
              <w:right w:type="dxa" w:w="647"/>
            </w:tcMar>
            <w:vAlign w:val="top"/>
          </w:tcPr>
          <w:p>
            <w:pPr>
              <w:pStyle w:val="Contenuto tabella"/>
              <w:ind w:left="567" w:right="567"/>
            </w:pPr>
            <w:r>
              <w:rPr>
                <w:rFonts w:ascii="Book Antiqua"/>
                <w:caps w:val="0"/>
                <w:smallCaps w:val="0"/>
                <w:strike w:val="0"/>
                <w:dstrike w:val="0"/>
                <w:outline w:val="0"/>
                <w:color w:val="00000a"/>
                <w:spacing w:val="0"/>
                <w:kern w:val="0"/>
                <w:position w:val="0"/>
                <w:sz w:val="20"/>
                <w:szCs w:val="20"/>
                <w:u w:val="none" w:color="00000a"/>
                <w:vertAlign w:val="baseline"/>
                <w:rtl w:val="0"/>
                <w:lang w:val="it-IT"/>
              </w:rPr>
              <w:t xml:space="preserve">Guastella </w:t>
            </w:r>
            <w:r>
              <w:rPr>
                <w:rFonts w:hAnsi="Times New Roman" w:hint="default"/>
                <w:caps w:val="0"/>
                <w:smallCaps w:val="0"/>
                <w:strike w:val="0"/>
                <w:dstrike w:val="0"/>
                <w:outline w:val="0"/>
                <w:color w:val="00000a"/>
                <w:spacing w:val="0"/>
                <w:kern w:val="0"/>
                <w:position w:val="0"/>
                <w:sz w:val="20"/>
                <w:szCs w:val="20"/>
                <w:u w:val="none" w:color="00000a"/>
                <w:vertAlign w:val="baseline"/>
                <w:rtl w:val="0"/>
                <w:lang w:val="it-IT"/>
              </w:rPr>
              <w:t>→</w:t>
            </w:r>
            <w:r>
              <w:rPr>
                <w:rFonts w:ascii="Book Antiqua"/>
                <w:caps w:val="0"/>
                <w:smallCaps w:val="0"/>
                <w:strike w:val="0"/>
                <w:dstrike w:val="0"/>
                <w:outline w:val="0"/>
                <w:color w:val="00000a"/>
                <w:spacing w:val="0"/>
                <w:kern w:val="0"/>
                <w:position w:val="0"/>
                <w:sz w:val="20"/>
                <w:szCs w:val="20"/>
                <w:u w:val="none" w:color="00000a"/>
                <w:vertAlign w:val="baseline"/>
                <w:rtl w:val="0"/>
                <w:lang w:val="it-IT"/>
              </w:rPr>
              <w:t xml:space="preserve"> Ecomont</w:t>
            </w:r>
          </w:p>
        </w:tc>
        <w:tc>
          <w:tcPr>
            <w:tcW w:type="dxa" w:w="3260"/>
            <w:tcBorders>
              <w:top w:val="single" w:color="000001" w:sz="2" w:space="0" w:shadow="0" w:frame="0"/>
              <w:left w:val="single" w:color="000001" w:sz="2" w:space="0" w:shadow="0" w:frame="0"/>
              <w:bottom w:val="single" w:color="000001" w:sz="2" w:space="0" w:shadow="0" w:frame="0"/>
              <w:right w:val="single" w:color="000001" w:sz="2" w:space="0" w:shadow="0" w:frame="0"/>
            </w:tcBorders>
            <w:shd w:val="clear" w:color="auto" w:fill="auto"/>
            <w:tcMar>
              <w:top w:type="dxa" w:w="80"/>
              <w:left w:type="dxa" w:w="80"/>
              <w:bottom w:type="dxa" w:w="80"/>
              <w:right w:type="dxa" w:w="647"/>
            </w:tcMar>
            <w:vAlign w:val="top"/>
          </w:tcPr>
          <w:p>
            <w:pPr>
              <w:pStyle w:val="Contenuto tabella"/>
              <w:ind w:left="567" w:right="567"/>
            </w:pPr>
            <w:r>
              <w:rPr>
                <w:rFonts w:ascii="Book Antiqua"/>
                <w:caps w:val="0"/>
                <w:smallCaps w:val="0"/>
                <w:strike w:val="0"/>
                <w:dstrike w:val="0"/>
                <w:outline w:val="0"/>
                <w:color w:val="00000a"/>
                <w:spacing w:val="0"/>
                <w:kern w:val="0"/>
                <w:position w:val="0"/>
                <w:sz w:val="20"/>
                <w:szCs w:val="20"/>
                <w:u w:val="none" w:color="00000a"/>
                <w:vertAlign w:val="baseline"/>
                <w:rtl w:val="0"/>
                <w:lang w:val="it-IT"/>
              </w:rPr>
              <w:t>Incorporazione per fusione con SOREGIN</w:t>
            </w:r>
          </w:p>
        </w:tc>
      </w:tr>
      <w:tr>
        <w:tblPrEx>
          <w:shd w:val="clear" w:color="auto" w:fill="auto"/>
        </w:tblPrEx>
        <w:trPr>
          <w:trHeight w:val="3142" w:hRule="atLeast"/>
        </w:trPr>
        <w:tc>
          <w:tcPr>
            <w:tcW w:type="dxa" w:w="2694"/>
            <w:tcBorders>
              <w:top w:val="single" w:color="000001" w:sz="2" w:space="0" w:shadow="0" w:frame="0"/>
              <w:left w:val="single" w:color="000001" w:sz="2" w:space="0" w:shadow="0" w:frame="0"/>
              <w:bottom w:val="single" w:color="000001" w:sz="2" w:space="0" w:shadow="0" w:frame="0"/>
              <w:right w:val="single" w:color="000001" w:sz="2" w:space="0" w:shadow="0" w:frame="0"/>
            </w:tcBorders>
            <w:shd w:val="clear" w:color="auto" w:fill="auto"/>
            <w:tcMar>
              <w:top w:type="dxa" w:w="80"/>
              <w:left w:type="dxa" w:w="80"/>
              <w:bottom w:type="dxa" w:w="80"/>
              <w:right w:type="dxa" w:w="647"/>
            </w:tcMar>
            <w:vAlign w:val="top"/>
          </w:tcPr>
          <w:p>
            <w:pPr>
              <w:pStyle w:val="Contenuto tabella"/>
              <w:ind w:left="567" w:right="567"/>
            </w:pPr>
            <w:r>
              <w:rPr>
                <w:rFonts w:ascii="Book Antiqua"/>
                <w:caps w:val="0"/>
                <w:smallCaps w:val="0"/>
                <w:strike w:val="0"/>
                <w:dstrike w:val="0"/>
                <w:outline w:val="0"/>
                <w:color w:val="00000a"/>
                <w:spacing w:val="0"/>
                <w:kern w:val="0"/>
                <w:position w:val="0"/>
                <w:sz w:val="20"/>
                <w:szCs w:val="20"/>
                <w:u w:val="none" w:color="00000a"/>
                <w:vertAlign w:val="baseline"/>
                <w:rtl w:val="0"/>
                <w:lang w:val="it-IT"/>
              </w:rPr>
              <w:t>26 settembre 1990</w:t>
            </w:r>
          </w:p>
        </w:tc>
        <w:tc>
          <w:tcPr>
            <w:tcW w:type="dxa" w:w="2551"/>
            <w:tcBorders>
              <w:top w:val="single" w:color="000001" w:sz="2" w:space="0" w:shadow="0" w:frame="0"/>
              <w:left w:val="single" w:color="000001" w:sz="2" w:space="0" w:shadow="0" w:frame="0"/>
              <w:bottom w:val="single" w:color="000001" w:sz="2" w:space="0" w:shadow="0" w:frame="0"/>
              <w:right w:val="single" w:color="000001" w:sz="2" w:space="0" w:shadow="0" w:frame="0"/>
            </w:tcBorders>
            <w:shd w:val="clear" w:color="auto" w:fill="auto"/>
            <w:tcMar>
              <w:top w:type="dxa" w:w="80"/>
              <w:left w:type="dxa" w:w="80"/>
              <w:bottom w:type="dxa" w:w="80"/>
              <w:right w:type="dxa" w:w="647"/>
            </w:tcMar>
            <w:vAlign w:val="top"/>
          </w:tcPr>
          <w:p>
            <w:pPr>
              <w:pStyle w:val="Contenuto tabella"/>
              <w:ind w:left="567" w:right="567"/>
            </w:pPr>
            <w:r>
              <w:rPr>
                <w:rFonts w:ascii="Book Antiqua"/>
                <w:caps w:val="0"/>
                <w:smallCaps w:val="0"/>
                <w:strike w:val="0"/>
                <w:dstrike w:val="0"/>
                <w:outline w:val="0"/>
                <w:color w:val="00000a"/>
                <w:spacing w:val="0"/>
                <w:kern w:val="0"/>
                <w:position w:val="0"/>
                <w:sz w:val="20"/>
                <w:szCs w:val="20"/>
                <w:u w:val="none" w:color="00000a"/>
                <w:vertAlign w:val="baseline"/>
                <w:rtl w:val="0"/>
                <w:lang w:val="it-IT"/>
              </w:rPr>
              <w:t xml:space="preserve">ECOMONT </w:t>
            </w:r>
            <w:r>
              <w:rPr>
                <w:rFonts w:hAnsi="Times New Roman" w:hint="default"/>
                <w:caps w:val="0"/>
                <w:smallCaps w:val="0"/>
                <w:strike w:val="0"/>
                <w:dstrike w:val="0"/>
                <w:outline w:val="0"/>
                <w:color w:val="00000a"/>
                <w:spacing w:val="0"/>
                <w:kern w:val="0"/>
                <w:position w:val="0"/>
                <w:sz w:val="20"/>
                <w:szCs w:val="20"/>
                <w:u w:val="none" w:color="00000a"/>
                <w:vertAlign w:val="baseline"/>
                <w:rtl w:val="0"/>
                <w:lang w:val="it-IT"/>
              </w:rPr>
              <w:t>→</w:t>
            </w:r>
            <w:r>
              <w:rPr>
                <w:rFonts w:ascii="Book Antiqua"/>
                <w:caps w:val="0"/>
                <w:smallCaps w:val="0"/>
                <w:strike w:val="0"/>
                <w:dstrike w:val="0"/>
                <w:outline w:val="0"/>
                <w:color w:val="00000a"/>
                <w:spacing w:val="0"/>
                <w:kern w:val="0"/>
                <w:position w:val="0"/>
                <w:sz w:val="20"/>
                <w:szCs w:val="20"/>
                <w:u w:val="none" w:color="00000a"/>
                <w:vertAlign w:val="baseline"/>
                <w:rtl w:val="0"/>
                <w:lang w:val="it-IT"/>
              </w:rPr>
              <w:t xml:space="preserve"> Affitta B2 a </w:t>
            </w:r>
            <w:r>
              <w:rPr>
                <w:rFonts w:hAnsi="Times New Roman" w:hint="default"/>
                <w:caps w:val="0"/>
                <w:smallCaps w:val="0"/>
                <w:strike w:val="0"/>
                <w:dstrike w:val="0"/>
                <w:outline w:val="0"/>
                <w:color w:val="00000a"/>
                <w:spacing w:val="0"/>
                <w:kern w:val="0"/>
                <w:position w:val="0"/>
                <w:sz w:val="20"/>
                <w:szCs w:val="20"/>
                <w:u w:val="none" w:color="00000a"/>
                <w:vertAlign w:val="baseline"/>
                <w:rtl w:val="0"/>
                <w:lang w:val="it-IT"/>
              </w:rPr>
              <w:t>→</w:t>
            </w:r>
            <w:r>
              <w:rPr>
                <w:rFonts w:ascii="Book Antiqua"/>
                <w:caps w:val="0"/>
                <w:smallCaps w:val="0"/>
                <w:strike w:val="0"/>
                <w:dstrike w:val="0"/>
                <w:outline w:val="0"/>
                <w:color w:val="00000a"/>
                <w:spacing w:val="0"/>
                <w:kern w:val="0"/>
                <w:position w:val="0"/>
                <w:sz w:val="20"/>
                <w:szCs w:val="20"/>
                <w:u w:val="none" w:color="00000a"/>
                <w:vertAlign w:val="baseline"/>
                <w:rtl w:val="0"/>
                <w:lang w:val="it-IT"/>
              </w:rPr>
              <w:t xml:space="preserve"> ECOTECNA</w:t>
            </w:r>
          </w:p>
        </w:tc>
        <w:tc>
          <w:tcPr>
            <w:tcW w:type="dxa" w:w="3260"/>
            <w:tcBorders>
              <w:top w:val="single" w:color="000001" w:sz="2" w:space="0" w:shadow="0" w:frame="0"/>
              <w:left w:val="single" w:color="000001" w:sz="2" w:space="0" w:shadow="0" w:frame="0"/>
              <w:bottom w:val="single" w:color="000001" w:sz="2" w:space="0" w:shadow="0" w:frame="0"/>
              <w:right w:val="single" w:color="000001" w:sz="2" w:space="0" w:shadow="0" w:frame="0"/>
            </w:tcBorders>
            <w:shd w:val="clear" w:color="auto" w:fill="auto"/>
            <w:tcMar>
              <w:top w:type="dxa" w:w="80"/>
              <w:left w:type="dxa" w:w="80"/>
              <w:bottom w:type="dxa" w:w="80"/>
              <w:right w:type="dxa" w:w="647"/>
            </w:tcMar>
            <w:vAlign w:val="top"/>
          </w:tcPr>
          <w:p>
            <w:pPr>
              <w:pStyle w:val="Contenuto tabella"/>
              <w:ind w:left="567" w:right="567"/>
            </w:pPr>
            <w:r>
              <w:rPr>
                <w:rFonts w:ascii="Book Antiqua"/>
                <w:caps w:val="0"/>
                <w:smallCaps w:val="0"/>
                <w:strike w:val="0"/>
                <w:dstrike w:val="0"/>
                <w:outline w:val="0"/>
                <w:color w:val="00000a"/>
                <w:spacing w:val="0"/>
                <w:kern w:val="0"/>
                <w:position w:val="0"/>
                <w:sz w:val="20"/>
                <w:szCs w:val="20"/>
                <w:u w:val="none" w:color="00000a"/>
                <w:vertAlign w:val="baseline"/>
                <w:rtl w:val="0"/>
                <w:lang w:val="it-IT"/>
              </w:rPr>
              <w:t xml:space="preserve">ECOTECNA </w:t>
            </w:r>
            <w:r>
              <w:rPr>
                <w:rFonts w:hAnsi="Times New Roman" w:hint="default"/>
                <w:caps w:val="0"/>
                <w:smallCaps w:val="0"/>
                <w:strike w:val="0"/>
                <w:dstrike w:val="0"/>
                <w:outline w:val="0"/>
                <w:color w:val="00000a"/>
                <w:spacing w:val="0"/>
                <w:kern w:val="0"/>
                <w:position w:val="0"/>
                <w:sz w:val="20"/>
                <w:szCs w:val="20"/>
                <w:u w:val="none" w:color="00000a"/>
                <w:vertAlign w:val="baseline"/>
                <w:rtl w:val="0"/>
                <w:lang w:val="it-IT"/>
              </w:rPr>
              <w:t>←</w:t>
            </w:r>
            <w:r>
              <w:rPr>
                <w:rFonts w:ascii="Book Antiqua"/>
                <w:caps w:val="0"/>
                <w:smallCaps w:val="0"/>
                <w:strike w:val="0"/>
                <w:dstrike w:val="0"/>
                <w:outline w:val="0"/>
                <w:color w:val="00000a"/>
                <w:spacing w:val="0"/>
                <w:kern w:val="0"/>
                <w:position w:val="0"/>
                <w:sz w:val="20"/>
                <w:szCs w:val="20"/>
                <w:u w:val="none" w:color="00000a"/>
                <w:vertAlign w:val="baseline"/>
                <w:rtl w:val="0"/>
                <w:lang w:val="it-IT"/>
              </w:rPr>
              <w:t xml:space="preserve"> ECOITALIA (maggioranza) e LED (minoranza); ECOITALIA </w:t>
            </w:r>
            <w:r>
              <w:rPr>
                <w:rFonts w:hAnsi="Times New Roman" w:hint="default"/>
                <w:caps w:val="0"/>
                <w:smallCaps w:val="0"/>
                <w:strike w:val="0"/>
                <w:dstrike w:val="0"/>
                <w:outline w:val="0"/>
                <w:color w:val="00000a"/>
                <w:spacing w:val="0"/>
                <w:kern w:val="0"/>
                <w:position w:val="0"/>
                <w:sz w:val="20"/>
                <w:szCs w:val="20"/>
                <w:u w:val="none" w:color="00000a"/>
                <w:vertAlign w:val="baseline"/>
                <w:rtl w:val="0"/>
                <w:lang w:val="it-IT"/>
              </w:rPr>
              <w:t>←</w:t>
            </w:r>
            <w:r>
              <w:rPr>
                <w:rFonts w:ascii="Book Antiqua"/>
                <w:caps w:val="0"/>
                <w:smallCaps w:val="0"/>
                <w:strike w:val="0"/>
                <w:dstrike w:val="0"/>
                <w:outline w:val="0"/>
                <w:color w:val="00000a"/>
                <w:spacing w:val="0"/>
                <w:kern w:val="0"/>
                <w:position w:val="0"/>
                <w:sz w:val="20"/>
                <w:szCs w:val="20"/>
                <w:u w:val="none" w:color="00000a"/>
                <w:vertAlign w:val="baseline"/>
                <w:rtl w:val="0"/>
                <w:lang w:val="it-IT"/>
              </w:rPr>
              <w:t xml:space="preserve"> SERVIZI INDUSTRIALI srl (AD all'epoca Osvaldo Nirino, poi Paolo Borbon, riconducibile all'epoca al gruppo TEXECO)</w:t>
            </w:r>
          </w:p>
        </w:tc>
      </w:tr>
      <w:tr>
        <w:tblPrEx>
          <w:shd w:val="clear" w:color="auto" w:fill="auto"/>
        </w:tblPrEx>
        <w:trPr>
          <w:trHeight w:val="1445" w:hRule="atLeast"/>
        </w:trPr>
        <w:tc>
          <w:tcPr>
            <w:tcW w:type="dxa" w:w="2694"/>
            <w:tcBorders>
              <w:top w:val="single" w:color="000001" w:sz="2" w:space="0" w:shadow="0" w:frame="0"/>
              <w:left w:val="single" w:color="000001" w:sz="2" w:space="0" w:shadow="0" w:frame="0"/>
              <w:bottom w:val="single" w:color="000001" w:sz="2" w:space="0" w:shadow="0" w:frame="0"/>
              <w:right w:val="single" w:color="000001" w:sz="2" w:space="0" w:shadow="0" w:frame="0"/>
            </w:tcBorders>
            <w:shd w:val="clear" w:color="auto" w:fill="auto"/>
            <w:tcMar>
              <w:top w:type="dxa" w:w="80"/>
              <w:left w:type="dxa" w:w="80"/>
              <w:bottom w:type="dxa" w:w="80"/>
              <w:right w:type="dxa" w:w="647"/>
            </w:tcMar>
            <w:vAlign w:val="top"/>
          </w:tcPr>
          <w:p>
            <w:pPr>
              <w:pStyle w:val="Contenuto tabella"/>
              <w:ind w:left="567" w:right="567"/>
            </w:pPr>
            <w:r>
              <w:rPr>
                <w:rFonts w:ascii="Book Antiqua"/>
                <w:caps w:val="0"/>
                <w:smallCaps w:val="0"/>
                <w:strike w:val="0"/>
                <w:dstrike w:val="0"/>
                <w:outline w:val="0"/>
                <w:color w:val="00000a"/>
                <w:spacing w:val="0"/>
                <w:kern w:val="0"/>
                <w:position w:val="0"/>
                <w:sz w:val="20"/>
                <w:szCs w:val="20"/>
                <w:u w:val="none" w:color="00000a"/>
                <w:vertAlign w:val="baseline"/>
                <w:rtl w:val="0"/>
                <w:lang w:val="it-IT"/>
              </w:rPr>
              <w:t>1991</w:t>
            </w:r>
          </w:p>
        </w:tc>
        <w:tc>
          <w:tcPr>
            <w:tcW w:type="dxa" w:w="2551"/>
            <w:tcBorders>
              <w:top w:val="single" w:color="000001" w:sz="2" w:space="0" w:shadow="0" w:frame="0"/>
              <w:left w:val="single" w:color="000001" w:sz="2" w:space="0" w:shadow="0" w:frame="0"/>
              <w:bottom w:val="single" w:color="000001" w:sz="2" w:space="0" w:shadow="0" w:frame="0"/>
              <w:right w:val="single" w:color="000001" w:sz="2" w:space="0" w:shadow="0" w:frame="0"/>
            </w:tcBorders>
            <w:shd w:val="clear" w:color="auto" w:fill="auto"/>
            <w:tcMar>
              <w:top w:type="dxa" w:w="80"/>
              <w:left w:type="dxa" w:w="80"/>
              <w:bottom w:type="dxa" w:w="80"/>
              <w:right w:type="dxa" w:w="647"/>
            </w:tcMar>
            <w:vAlign w:val="top"/>
          </w:tcPr>
          <w:p>
            <w:pPr>
              <w:pStyle w:val="Contenuto tabella"/>
              <w:ind w:left="567" w:right="567"/>
            </w:pPr>
            <w:r>
              <w:rPr>
                <w:rFonts w:ascii="Book Antiqua"/>
                <w:caps w:val="0"/>
                <w:smallCaps w:val="0"/>
                <w:strike w:val="0"/>
                <w:dstrike w:val="0"/>
                <w:outline w:val="0"/>
                <w:color w:val="00000a"/>
                <w:spacing w:val="0"/>
                <w:kern w:val="0"/>
                <w:position w:val="0"/>
                <w:sz w:val="20"/>
                <w:szCs w:val="20"/>
                <w:u w:val="none" w:color="00000a"/>
                <w:vertAlign w:val="baseline"/>
                <w:rtl w:val="0"/>
                <w:lang w:val="it-IT"/>
              </w:rPr>
              <w:t>Ecotecna</w:t>
            </w:r>
          </w:p>
        </w:tc>
        <w:tc>
          <w:tcPr>
            <w:tcW w:type="dxa" w:w="3260"/>
            <w:tcBorders>
              <w:top w:val="single" w:color="000001" w:sz="2" w:space="0" w:shadow="0" w:frame="0"/>
              <w:left w:val="single" w:color="000001" w:sz="2" w:space="0" w:shadow="0" w:frame="0"/>
              <w:bottom w:val="single" w:color="000001" w:sz="2" w:space="0" w:shadow="0" w:frame="0"/>
              <w:right w:val="single" w:color="000001" w:sz="2" w:space="0" w:shadow="0" w:frame="0"/>
            </w:tcBorders>
            <w:shd w:val="clear" w:color="auto" w:fill="auto"/>
            <w:tcMar>
              <w:top w:type="dxa" w:w="80"/>
              <w:left w:type="dxa" w:w="80"/>
              <w:bottom w:type="dxa" w:w="80"/>
              <w:right w:type="dxa" w:w="647"/>
            </w:tcMar>
            <w:vAlign w:val="top"/>
          </w:tcPr>
          <w:p>
            <w:pPr>
              <w:pStyle w:val="Contenuto tabella"/>
              <w:ind w:left="567" w:right="567"/>
            </w:pPr>
            <w:r>
              <w:rPr>
                <w:rFonts w:ascii="Book Antiqua"/>
                <w:caps w:val="0"/>
                <w:smallCaps w:val="0"/>
                <w:strike w:val="0"/>
                <w:dstrike w:val="0"/>
                <w:outline w:val="0"/>
                <w:color w:val="00000a"/>
                <w:spacing w:val="0"/>
                <w:kern w:val="0"/>
                <w:position w:val="0"/>
                <w:sz w:val="20"/>
                <w:szCs w:val="20"/>
                <w:u w:val="none" w:color="00000a"/>
                <w:vertAlign w:val="baseline"/>
                <w:rtl w:val="0"/>
                <w:lang w:val="it-IT"/>
              </w:rPr>
              <w:t>La propriet</w:t>
            </w:r>
            <w:r>
              <w:rPr>
                <w:rFonts w:hAnsi="Book Antiqua" w:hint="default"/>
                <w:caps w:val="0"/>
                <w:smallCaps w:val="0"/>
                <w:strike w:val="0"/>
                <w:dstrike w:val="0"/>
                <w:outline w:val="0"/>
                <w:color w:val="00000a"/>
                <w:spacing w:val="0"/>
                <w:kern w:val="0"/>
                <w:position w:val="0"/>
                <w:sz w:val="20"/>
                <w:szCs w:val="20"/>
                <w:u w:val="none" w:color="00000a"/>
                <w:vertAlign w:val="baseline"/>
                <w:rtl w:val="0"/>
                <w:lang w:val="it-IT"/>
              </w:rPr>
              <w:t xml:space="preserve">à </w:t>
            </w:r>
            <w:r>
              <w:rPr>
                <w:rFonts w:ascii="Book Antiqua"/>
                <w:caps w:val="0"/>
                <w:smallCaps w:val="0"/>
                <w:strike w:val="0"/>
                <w:dstrike w:val="0"/>
                <w:outline w:val="0"/>
                <w:color w:val="00000a"/>
                <w:spacing w:val="0"/>
                <w:kern w:val="0"/>
                <w:position w:val="0"/>
                <w:sz w:val="20"/>
                <w:szCs w:val="20"/>
                <w:u w:val="none" w:color="00000a"/>
                <w:vertAlign w:val="baseline"/>
                <w:rtl w:val="0"/>
                <w:lang w:val="it-IT"/>
              </w:rPr>
              <w:t>della Servizi Idustriali (controllore della Ecotecna) passa per il 50% al gruppo Acqua e il 50% alla BFI</w:t>
            </w:r>
          </w:p>
        </w:tc>
      </w:tr>
      <w:tr>
        <w:tblPrEx>
          <w:shd w:val="clear" w:color="auto" w:fill="auto"/>
        </w:tblPrEx>
        <w:trPr>
          <w:trHeight w:val="1685" w:hRule="atLeast"/>
        </w:trPr>
        <w:tc>
          <w:tcPr>
            <w:tcW w:type="dxa" w:w="2694"/>
            <w:tcBorders>
              <w:top w:val="single" w:color="000001" w:sz="2" w:space="0" w:shadow="0" w:frame="0"/>
              <w:left w:val="single" w:color="000001" w:sz="2" w:space="0" w:shadow="0" w:frame="0"/>
              <w:bottom w:val="single" w:color="000001" w:sz="2" w:space="0" w:shadow="0" w:frame="0"/>
              <w:right w:val="single" w:color="000001" w:sz="2" w:space="0" w:shadow="0" w:frame="0"/>
            </w:tcBorders>
            <w:shd w:val="clear" w:color="auto" w:fill="auto"/>
            <w:tcMar>
              <w:top w:type="dxa" w:w="80"/>
              <w:left w:type="dxa" w:w="80"/>
              <w:bottom w:type="dxa" w:w="80"/>
              <w:right w:type="dxa" w:w="647"/>
            </w:tcMar>
            <w:vAlign w:val="top"/>
          </w:tcPr>
          <w:p>
            <w:pPr>
              <w:pStyle w:val="Contenuto tabella"/>
              <w:ind w:left="567" w:right="567"/>
            </w:pPr>
            <w:r>
              <w:rPr>
                <w:rFonts w:ascii="Book Antiqua"/>
                <w:caps w:val="0"/>
                <w:smallCaps w:val="0"/>
                <w:strike w:val="0"/>
                <w:dstrike w:val="0"/>
                <w:outline w:val="0"/>
                <w:color w:val="00000a"/>
                <w:spacing w:val="0"/>
                <w:kern w:val="0"/>
                <w:position w:val="0"/>
                <w:sz w:val="20"/>
                <w:szCs w:val="20"/>
                <w:u w:val="none" w:color="00000a"/>
                <w:vertAlign w:val="baseline"/>
                <w:rtl w:val="0"/>
                <w:lang w:val="it-IT"/>
              </w:rPr>
              <w:t>31 dicembre 1992</w:t>
            </w:r>
          </w:p>
        </w:tc>
        <w:tc>
          <w:tcPr>
            <w:tcW w:type="dxa" w:w="2551"/>
            <w:tcBorders>
              <w:top w:val="single" w:color="000001" w:sz="2" w:space="0" w:shadow="0" w:frame="0"/>
              <w:left w:val="single" w:color="000001" w:sz="2" w:space="0" w:shadow="0" w:frame="0"/>
              <w:bottom w:val="single" w:color="000001" w:sz="2" w:space="0" w:shadow="0" w:frame="0"/>
              <w:right w:val="single" w:color="000001" w:sz="2" w:space="0" w:shadow="0" w:frame="0"/>
            </w:tcBorders>
            <w:shd w:val="clear" w:color="auto" w:fill="auto"/>
            <w:tcMar>
              <w:top w:type="dxa" w:w="80"/>
              <w:left w:type="dxa" w:w="80"/>
              <w:bottom w:type="dxa" w:w="80"/>
              <w:right w:type="dxa" w:w="647"/>
            </w:tcMar>
            <w:vAlign w:val="top"/>
          </w:tcPr>
          <w:p>
            <w:pPr>
              <w:pStyle w:val="Contenuto tabella"/>
              <w:ind w:left="567" w:right="567"/>
            </w:pPr>
            <w:r>
              <w:rPr>
                <w:rFonts w:ascii="Book Antiqua"/>
                <w:caps w:val="0"/>
                <w:smallCaps w:val="0"/>
                <w:strike w:val="0"/>
                <w:dstrike w:val="0"/>
                <w:outline w:val="0"/>
                <w:color w:val="00000a"/>
                <w:spacing w:val="0"/>
                <w:kern w:val="0"/>
                <w:position w:val="0"/>
                <w:sz w:val="20"/>
                <w:szCs w:val="20"/>
                <w:u w:val="none" w:color="00000a"/>
                <w:vertAlign w:val="baseline"/>
                <w:rtl w:val="0"/>
                <w:lang w:val="it-IT"/>
              </w:rPr>
              <w:t>Ecotecna, Sito B2</w:t>
            </w:r>
          </w:p>
        </w:tc>
        <w:tc>
          <w:tcPr>
            <w:tcW w:type="dxa" w:w="3260"/>
            <w:tcBorders>
              <w:top w:val="single" w:color="000001" w:sz="2" w:space="0" w:shadow="0" w:frame="0"/>
              <w:left w:val="single" w:color="000001" w:sz="2" w:space="0" w:shadow="0" w:frame="0"/>
              <w:bottom w:val="single" w:color="000001" w:sz="2" w:space="0" w:shadow="0" w:frame="0"/>
              <w:right w:val="single" w:color="000001" w:sz="2" w:space="0" w:shadow="0" w:frame="0"/>
            </w:tcBorders>
            <w:shd w:val="clear" w:color="auto" w:fill="auto"/>
            <w:tcMar>
              <w:top w:type="dxa" w:w="80"/>
              <w:left w:type="dxa" w:w="80"/>
              <w:bottom w:type="dxa" w:w="80"/>
              <w:right w:type="dxa" w:w="647"/>
            </w:tcMar>
            <w:vAlign w:val="top"/>
          </w:tcPr>
          <w:p>
            <w:pPr>
              <w:pStyle w:val="Contenuto tabella"/>
              <w:ind w:left="567" w:right="567"/>
            </w:pPr>
            <w:r>
              <w:rPr>
                <w:rFonts w:ascii="Book Antiqua"/>
                <w:caps w:val="0"/>
                <w:smallCaps w:val="0"/>
                <w:strike w:val="0"/>
                <w:dstrike w:val="0"/>
                <w:outline w:val="0"/>
                <w:color w:val="00000a"/>
                <w:spacing w:val="0"/>
                <w:kern w:val="0"/>
                <w:position w:val="0"/>
                <w:sz w:val="20"/>
                <w:szCs w:val="20"/>
                <w:u w:val="none" w:color="00000a"/>
                <w:vertAlign w:val="baseline"/>
                <w:rtl w:val="0"/>
                <w:lang w:val="it-IT"/>
              </w:rPr>
              <w:t>Scade il termine dell'ordinanza sospensiva del consiglio di Stato sulla sentenza del TAR di chiusura del sito B2</w:t>
            </w:r>
          </w:p>
        </w:tc>
      </w:tr>
      <w:tr>
        <w:tblPrEx>
          <w:shd w:val="clear" w:color="auto" w:fill="auto"/>
        </w:tblPrEx>
        <w:trPr>
          <w:trHeight w:val="1685" w:hRule="atLeast"/>
        </w:trPr>
        <w:tc>
          <w:tcPr>
            <w:tcW w:type="dxa" w:w="2694"/>
            <w:tcBorders>
              <w:top w:val="single" w:color="000001" w:sz="2" w:space="0" w:shadow="0" w:frame="0"/>
              <w:left w:val="single" w:color="000001" w:sz="2" w:space="0" w:shadow="0" w:frame="0"/>
              <w:bottom w:val="single" w:color="000001" w:sz="2" w:space="0" w:shadow="0" w:frame="0"/>
              <w:right w:val="single" w:color="000001" w:sz="2" w:space="0" w:shadow="0" w:frame="0"/>
            </w:tcBorders>
            <w:shd w:val="clear" w:color="auto" w:fill="auto"/>
            <w:tcMar>
              <w:top w:type="dxa" w:w="80"/>
              <w:left w:type="dxa" w:w="80"/>
              <w:bottom w:type="dxa" w:w="80"/>
              <w:right w:type="dxa" w:w="647"/>
            </w:tcMar>
            <w:vAlign w:val="top"/>
          </w:tcPr>
          <w:p>
            <w:pPr>
              <w:pStyle w:val="Contenuto tabella"/>
              <w:ind w:left="567" w:right="567"/>
            </w:pPr>
            <w:r>
              <w:rPr>
                <w:rFonts w:ascii="Book Antiqua"/>
                <w:caps w:val="0"/>
                <w:smallCaps w:val="0"/>
                <w:strike w:val="0"/>
                <w:dstrike w:val="0"/>
                <w:outline w:val="0"/>
                <w:color w:val="00000a"/>
                <w:spacing w:val="0"/>
                <w:kern w:val="0"/>
                <w:position w:val="0"/>
                <w:sz w:val="20"/>
                <w:szCs w:val="20"/>
                <w:u w:val="none" w:color="00000a"/>
                <w:vertAlign w:val="baseline"/>
                <w:rtl w:val="0"/>
                <w:lang w:val="it-IT"/>
              </w:rPr>
              <w:t>23 febbraio 1993</w:t>
            </w:r>
          </w:p>
        </w:tc>
        <w:tc>
          <w:tcPr>
            <w:tcW w:type="dxa" w:w="2551"/>
            <w:tcBorders>
              <w:top w:val="single" w:color="000001" w:sz="2" w:space="0" w:shadow="0" w:frame="0"/>
              <w:left w:val="single" w:color="000001" w:sz="2" w:space="0" w:shadow="0" w:frame="0"/>
              <w:bottom w:val="single" w:color="000001" w:sz="2" w:space="0" w:shadow="0" w:frame="0"/>
              <w:right w:val="single" w:color="000001" w:sz="2" w:space="0" w:shadow="0" w:frame="0"/>
            </w:tcBorders>
            <w:shd w:val="clear" w:color="auto" w:fill="auto"/>
            <w:tcMar>
              <w:top w:type="dxa" w:w="80"/>
              <w:left w:type="dxa" w:w="80"/>
              <w:bottom w:type="dxa" w:w="80"/>
              <w:right w:type="dxa" w:w="647"/>
            </w:tcMar>
            <w:vAlign w:val="top"/>
          </w:tcPr>
          <w:p>
            <w:pPr>
              <w:pStyle w:val="Contenuto tabella"/>
              <w:ind w:left="567" w:right="567"/>
            </w:pPr>
            <w:r>
              <w:rPr>
                <w:rFonts w:ascii="Book Antiqua"/>
                <w:caps w:val="0"/>
                <w:smallCaps w:val="0"/>
                <w:strike w:val="0"/>
                <w:dstrike w:val="0"/>
                <w:outline w:val="0"/>
                <w:color w:val="00000a"/>
                <w:spacing w:val="0"/>
                <w:kern w:val="0"/>
                <w:position w:val="0"/>
                <w:sz w:val="20"/>
                <w:szCs w:val="20"/>
                <w:u w:val="none" w:color="00000a"/>
                <w:vertAlign w:val="baseline"/>
                <w:rtl w:val="0"/>
                <w:lang w:val="it-IT"/>
              </w:rPr>
              <w:t>Ecotecna</w:t>
            </w:r>
          </w:p>
        </w:tc>
        <w:tc>
          <w:tcPr>
            <w:tcW w:type="dxa" w:w="3260"/>
            <w:tcBorders>
              <w:top w:val="single" w:color="000001" w:sz="2" w:space="0" w:shadow="0" w:frame="0"/>
              <w:left w:val="single" w:color="000001" w:sz="2" w:space="0" w:shadow="0" w:frame="0"/>
              <w:bottom w:val="single" w:color="000001" w:sz="2" w:space="0" w:shadow="0" w:frame="0"/>
              <w:right w:val="single" w:color="000001" w:sz="2" w:space="0" w:shadow="0" w:frame="0"/>
            </w:tcBorders>
            <w:shd w:val="clear" w:color="auto" w:fill="auto"/>
            <w:tcMar>
              <w:top w:type="dxa" w:w="80"/>
              <w:left w:type="dxa" w:w="80"/>
              <w:bottom w:type="dxa" w:w="80"/>
              <w:right w:type="dxa" w:w="647"/>
            </w:tcMar>
            <w:vAlign w:val="top"/>
          </w:tcPr>
          <w:p>
            <w:pPr>
              <w:pStyle w:val="Contenuto tabella"/>
              <w:ind w:left="567" w:right="567"/>
            </w:pPr>
            <w:r>
              <w:rPr>
                <w:rFonts w:ascii="Book Antiqua"/>
                <w:caps w:val="0"/>
                <w:smallCaps w:val="0"/>
                <w:strike w:val="0"/>
                <w:dstrike w:val="0"/>
                <w:outline w:val="0"/>
                <w:color w:val="00000a"/>
                <w:spacing w:val="0"/>
                <w:kern w:val="0"/>
                <w:position w:val="0"/>
                <w:sz w:val="20"/>
                <w:szCs w:val="20"/>
                <w:u w:val="none" w:color="00000a"/>
                <w:vertAlign w:val="baseline"/>
                <w:rtl w:val="0"/>
                <w:lang w:val="it-IT"/>
              </w:rPr>
              <w:t>Vista la situazione (chiusura della B2 per i rifiuti pericolosi), l'Ad Adriano Musso propone di riconvertire l'invaso in discarica per RSU</w:t>
            </w:r>
          </w:p>
        </w:tc>
      </w:tr>
      <w:tr>
        <w:tblPrEx>
          <w:shd w:val="clear" w:color="auto" w:fill="auto"/>
        </w:tblPrEx>
        <w:trPr>
          <w:trHeight w:val="965" w:hRule="atLeast"/>
        </w:trPr>
        <w:tc>
          <w:tcPr>
            <w:tcW w:type="dxa" w:w="2694"/>
            <w:tcBorders>
              <w:top w:val="single" w:color="000001" w:sz="2" w:space="0" w:shadow="0" w:frame="0"/>
              <w:left w:val="single" w:color="000001" w:sz="2" w:space="0" w:shadow="0" w:frame="0"/>
              <w:bottom w:val="single" w:color="000001" w:sz="2" w:space="0" w:shadow="0" w:frame="0"/>
              <w:right w:val="single" w:color="000001" w:sz="2" w:space="0" w:shadow="0" w:frame="0"/>
            </w:tcBorders>
            <w:shd w:val="clear" w:color="auto" w:fill="auto"/>
            <w:tcMar>
              <w:top w:type="dxa" w:w="80"/>
              <w:left w:type="dxa" w:w="80"/>
              <w:bottom w:type="dxa" w:w="80"/>
              <w:right w:type="dxa" w:w="647"/>
            </w:tcMar>
            <w:vAlign w:val="top"/>
          </w:tcPr>
          <w:p>
            <w:pPr>
              <w:pStyle w:val="Contenuto tabella"/>
              <w:ind w:left="567" w:right="567"/>
            </w:pPr>
            <w:r>
              <w:rPr>
                <w:rFonts w:ascii="Book Antiqua"/>
                <w:caps w:val="0"/>
                <w:smallCaps w:val="0"/>
                <w:strike w:val="0"/>
                <w:dstrike w:val="0"/>
                <w:outline w:val="0"/>
                <w:color w:val="00000a"/>
                <w:spacing w:val="0"/>
                <w:kern w:val="0"/>
                <w:position w:val="0"/>
                <w:sz w:val="20"/>
                <w:szCs w:val="20"/>
                <w:u w:val="none" w:color="00000a"/>
                <w:vertAlign w:val="baseline"/>
                <w:rtl w:val="0"/>
                <w:lang w:val="it-IT"/>
              </w:rPr>
              <w:t>Dicembre 1994</w:t>
            </w:r>
          </w:p>
        </w:tc>
        <w:tc>
          <w:tcPr>
            <w:tcW w:type="dxa" w:w="2551"/>
            <w:tcBorders>
              <w:top w:val="single" w:color="000001" w:sz="2" w:space="0" w:shadow="0" w:frame="0"/>
              <w:left w:val="single" w:color="000001" w:sz="2" w:space="0" w:shadow="0" w:frame="0"/>
              <w:bottom w:val="single" w:color="000001" w:sz="2" w:space="0" w:shadow="0" w:frame="0"/>
              <w:right w:val="single" w:color="000001" w:sz="2" w:space="0" w:shadow="0" w:frame="0"/>
            </w:tcBorders>
            <w:shd w:val="clear" w:color="auto" w:fill="auto"/>
            <w:tcMar>
              <w:top w:type="dxa" w:w="80"/>
              <w:left w:type="dxa" w:w="80"/>
              <w:bottom w:type="dxa" w:w="80"/>
              <w:right w:type="dxa" w:w="647"/>
            </w:tcMar>
            <w:vAlign w:val="top"/>
          </w:tcPr>
          <w:p>
            <w:pPr>
              <w:pStyle w:val="Contenuto tabella"/>
              <w:ind w:left="567" w:right="567"/>
            </w:pPr>
            <w:r>
              <w:rPr>
                <w:rFonts w:ascii="Book Antiqua"/>
                <w:caps w:val="0"/>
                <w:smallCaps w:val="0"/>
                <w:strike w:val="0"/>
                <w:dstrike w:val="0"/>
                <w:outline w:val="0"/>
                <w:color w:val="00000a"/>
                <w:spacing w:val="0"/>
                <w:kern w:val="0"/>
                <w:position w:val="0"/>
                <w:sz w:val="20"/>
                <w:szCs w:val="20"/>
                <w:u w:val="none" w:color="00000a"/>
                <w:vertAlign w:val="baseline"/>
                <w:rtl w:val="0"/>
                <w:lang w:val="it-IT"/>
              </w:rPr>
              <w:t>Ecotecna</w:t>
            </w:r>
          </w:p>
        </w:tc>
        <w:tc>
          <w:tcPr>
            <w:tcW w:type="dxa" w:w="3260"/>
            <w:tcBorders>
              <w:top w:val="single" w:color="000001" w:sz="2" w:space="0" w:shadow="0" w:frame="0"/>
              <w:left w:val="single" w:color="000001" w:sz="2" w:space="0" w:shadow="0" w:frame="0"/>
              <w:bottom w:val="single" w:color="000001" w:sz="2" w:space="0" w:shadow="0" w:frame="0"/>
              <w:right w:val="single" w:color="000001" w:sz="2" w:space="0" w:shadow="0" w:frame="0"/>
            </w:tcBorders>
            <w:shd w:val="clear" w:color="auto" w:fill="auto"/>
            <w:tcMar>
              <w:top w:type="dxa" w:w="80"/>
              <w:left w:type="dxa" w:w="80"/>
              <w:bottom w:type="dxa" w:w="80"/>
              <w:right w:type="dxa" w:w="647"/>
            </w:tcMar>
            <w:vAlign w:val="top"/>
          </w:tcPr>
          <w:p>
            <w:pPr>
              <w:pStyle w:val="Contenuto tabella"/>
              <w:ind w:left="567" w:right="567"/>
            </w:pPr>
            <w:r>
              <w:rPr>
                <w:rFonts w:ascii="Book Antiqua"/>
                <w:caps w:val="0"/>
                <w:smallCaps w:val="0"/>
                <w:strike w:val="0"/>
                <w:dstrike w:val="0"/>
                <w:outline w:val="0"/>
                <w:color w:val="00000a"/>
                <w:spacing w:val="0"/>
                <w:kern w:val="0"/>
                <w:position w:val="0"/>
                <w:sz w:val="20"/>
                <w:szCs w:val="20"/>
                <w:u w:val="none" w:color="00000a"/>
                <w:vertAlign w:val="baseline"/>
                <w:rtl w:val="0"/>
                <w:lang w:val="it-IT"/>
              </w:rPr>
              <w:t>Il gruppo Bfi compra le quote della Servizi Industriali possedute dal gruppo Acqua</w:t>
            </w:r>
          </w:p>
        </w:tc>
      </w:tr>
    </w:tbl>
    <w:p>
      <w:pPr>
        <w:pStyle w:val="Normal"/>
        <w:ind w:left="618" w:right="567" w:hanging="51"/>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rPr>
      </w:pPr>
      <w:r>
        <w:rPr>
          <w:rFonts w:ascii="Book Antiqua"/>
          <w:rtl w:val="0"/>
          <w:lang w:val="it-IT"/>
        </w:rPr>
        <w:t xml:space="preserve">Il primo atto autorizzativo del sito </w:t>
      </w:r>
      <w:r>
        <w:rPr>
          <w:rFonts w:hAnsi="Book Antiqua" w:hint="default"/>
          <w:rtl w:val="0"/>
          <w:lang w:val="it-IT"/>
        </w:rPr>
        <w:t>“</w:t>
      </w:r>
      <w:r>
        <w:rPr>
          <w:rFonts w:ascii="Book Antiqua"/>
          <w:rtl w:val="0"/>
          <w:lang w:val="it-IT"/>
        </w:rPr>
        <w:t>B2</w:t>
      </w:r>
      <w:r>
        <w:rPr>
          <w:rFonts w:hAnsi="Book Antiqua" w:hint="default"/>
          <w:rtl w:val="0"/>
          <w:lang w:val="it-IT"/>
        </w:rPr>
        <w:t xml:space="preserve">” </w:t>
      </w:r>
      <w:r>
        <w:rPr>
          <w:rFonts w:ascii="Book Antiqua"/>
          <w:rtl w:val="0"/>
          <w:lang w:val="it-IT"/>
        </w:rPr>
        <w:t xml:space="preserve">di Borgo Montello </w:t>
      </w:r>
      <w:r>
        <w:rPr>
          <w:rFonts w:hAnsi="Book Antiqua" w:hint="default"/>
          <w:rtl w:val="0"/>
          <w:lang w:val="it-IT"/>
        </w:rPr>
        <w:t xml:space="preserve">è </w:t>
      </w:r>
      <w:r>
        <w:rPr>
          <w:rFonts w:ascii="Book Antiqua"/>
          <w:rtl w:val="0"/>
          <w:lang w:val="it-IT"/>
        </w:rPr>
        <w:t>l'ordinanza numero 76 del febbraio 1990, firmata dall'allora presidente della regione Lazio Bruno Landi (che, negli anni successivi, entrer</w:t>
      </w:r>
      <w:r>
        <w:rPr>
          <w:rFonts w:hAnsi="Book Antiqua" w:hint="default"/>
          <w:rtl w:val="0"/>
          <w:lang w:val="it-IT"/>
        </w:rPr>
        <w:t xml:space="preserve">à </w:t>
      </w:r>
      <w:r>
        <w:rPr>
          <w:rFonts w:ascii="Book Antiqua"/>
          <w:rtl w:val="0"/>
          <w:lang w:val="it-IT"/>
        </w:rPr>
        <w:t>come amministratore nel gruppo Cerroni, occupandosi, tra l'altro, proprio del sito di Borgo Montello). Gli elementi chiave del provvedimento sono:</w:t>
      </w:r>
    </w:p>
    <w:p>
      <w:pPr>
        <w:pStyle w:val="Normal"/>
        <w:ind w:left="567" w:right="567" w:firstLine="0"/>
        <w:jc w:val="both"/>
        <w:rPr>
          <w:rFonts w:ascii="Book Antiqua" w:cs="Book Antiqua" w:hAnsi="Book Antiqua" w:eastAsia="Book Antiqua"/>
        </w:rPr>
      </w:pPr>
      <w:r>
        <w:rPr>
          <w:rFonts w:ascii="Book Antiqua"/>
          <w:rtl w:val="0"/>
          <w:lang w:val="it-IT"/>
        </w:rPr>
        <w:t>a) stato di emergenza della regione Lazio per lo stoccaggio e il trattamento dei rifiuti di origine industriale; la documentazione a base della dichiarazione di emergenza (che in successiva sentenza del TAR Lazio dell'11 dicembre 1990 verr</w:t>
      </w:r>
      <w:r>
        <w:rPr>
          <w:rFonts w:hAnsi="Book Antiqua" w:hint="default"/>
          <w:rtl w:val="0"/>
          <w:lang w:val="it-IT"/>
        </w:rPr>
        <w:t xml:space="preserve">à </w:t>
      </w:r>
      <w:r>
        <w:rPr>
          <w:rFonts w:ascii="Book Antiqua"/>
          <w:rtl w:val="0"/>
          <w:lang w:val="it-IT"/>
        </w:rPr>
        <w:t xml:space="preserve">definita </w:t>
      </w:r>
      <w:r>
        <w:rPr>
          <w:rFonts w:hAnsi="Book Antiqua" w:hint="default"/>
          <w:rtl w:val="0"/>
          <w:lang w:val="it-IT"/>
        </w:rPr>
        <w:t>“</w:t>
      </w:r>
      <w:r>
        <w:rPr>
          <w:rFonts w:ascii="Book Antiqua"/>
          <w:rtl w:val="0"/>
          <w:lang w:val="it-IT"/>
        </w:rPr>
        <w:t xml:space="preserve">se per ipotesi esistente, non </w:t>
      </w:r>
      <w:r>
        <w:rPr>
          <w:rFonts w:hAnsi="Book Antiqua" w:hint="default"/>
          <w:rtl w:val="0"/>
          <w:lang w:val="it-IT"/>
        </w:rPr>
        <w:t xml:space="preserve">è </w:t>
      </w:r>
      <w:r>
        <w:rPr>
          <w:rFonts w:ascii="Book Antiqua"/>
          <w:rtl w:val="0"/>
          <w:lang w:val="it-IT"/>
        </w:rPr>
        <w:t>stata, nonostante le molte parole, adeguatamente illustrata</w:t>
      </w:r>
      <w:r>
        <w:rPr>
          <w:rFonts w:hAnsi="Book Antiqua" w:hint="default"/>
          <w:rtl w:val="0"/>
          <w:lang w:val="it-IT"/>
        </w:rPr>
        <w:t>”</w:t>
      </w:r>
      <w:r>
        <w:rPr>
          <w:rFonts w:ascii="Book Antiqua"/>
          <w:rtl w:val="0"/>
          <w:lang w:val="it-IT"/>
        </w:rPr>
        <w:t>) era costituita dalla risoluzione del Consiglio regionale numero 101 del 6 luglio 1989 e dalla successiva deliberazione della Giunta regionale numero 7394 del 5 agosto 1989</w:t>
      </w:r>
      <w:r>
        <w:rPr>
          <w:rFonts w:ascii="Book Antiqua" w:cs="Book Antiqua" w:hAnsi="Book Antiqua" w:eastAsia="Book Antiqua"/>
          <w:vertAlign w:val="superscript"/>
          <w:rtl w:val="0"/>
        </w:rPr>
        <w:footnoteReference w:id="331"/>
      </w:r>
      <w:r>
        <w:rPr>
          <w:rFonts w:ascii="Book Antiqua"/>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b) la delibera ordinava alla societ</w:t>
      </w:r>
      <w:r>
        <w:rPr>
          <w:rFonts w:hAnsi="Book Antiqua" w:hint="default"/>
          <w:rtl w:val="0"/>
          <w:lang w:val="it-IT"/>
        </w:rPr>
        <w:t xml:space="preserve">à </w:t>
      </w:r>
      <w:r>
        <w:rPr>
          <w:rFonts w:ascii="Book Antiqua"/>
          <w:rtl w:val="0"/>
          <w:lang w:val="it-IT"/>
        </w:rPr>
        <w:t xml:space="preserve">Guastella Impianti srl, gestore all'epoca dell'intera area di Borgo Montello, di attivare l'impianto di discarica per rifiuti speciali </w:t>
      </w:r>
      <w:r>
        <w:rPr>
          <w:rFonts w:hAnsi="Book Antiqua" w:hint="default"/>
          <w:rtl w:val="0"/>
          <w:lang w:val="it-IT"/>
        </w:rPr>
        <w:t xml:space="preserve">– </w:t>
      </w:r>
      <w:r>
        <w:rPr>
          <w:rFonts w:ascii="Book Antiqua"/>
          <w:rtl w:val="0"/>
          <w:lang w:val="it-IT"/>
        </w:rPr>
        <w:t xml:space="preserve">escludendo inizialmente i pericolosi - </w:t>
      </w:r>
      <w:r>
        <w:rPr>
          <w:rFonts w:hAnsi="Book Antiqua" w:hint="default"/>
          <w:rtl w:val="0"/>
          <w:lang w:val="it-IT"/>
        </w:rPr>
        <w:t>“</w:t>
      </w:r>
      <w:r>
        <w:rPr>
          <w:rFonts w:ascii="Book Antiqua"/>
          <w:rtl w:val="0"/>
          <w:lang w:val="it-IT"/>
        </w:rPr>
        <w:t>in via temporanea</w:t>
      </w:r>
      <w:r>
        <w:rPr>
          <w:rFonts w:hAnsi="Book Antiqua" w:hint="default"/>
          <w:rtl w:val="0"/>
          <w:lang w:val="it-IT"/>
        </w:rPr>
        <w:t>”</w:t>
      </w:r>
      <w:r>
        <w:rPr>
          <w:rFonts w:ascii="Book Antiqua"/>
          <w:rtl w:val="0"/>
          <w:lang w:val="it-IT"/>
        </w:rPr>
        <w:t>; il progetto prevedeva il funzionamento per sei anni dell'impianto, per una capacit</w:t>
      </w:r>
      <w:r>
        <w:rPr>
          <w:rFonts w:hAnsi="Book Antiqua" w:hint="default"/>
          <w:rtl w:val="0"/>
          <w:lang w:val="it-IT"/>
        </w:rPr>
        <w:t xml:space="preserve">à </w:t>
      </w:r>
      <w:r>
        <w:rPr>
          <w:rFonts w:ascii="Book Antiqua"/>
          <w:rtl w:val="0"/>
          <w:lang w:val="it-IT"/>
        </w:rPr>
        <w:t xml:space="preserve">complessiva di 460 mila tonnellate; l'ordinanza indicava il periodo </w:t>
      </w:r>
      <w:r>
        <w:rPr>
          <w:rFonts w:hAnsi="Book Antiqua" w:hint="default"/>
          <w:rtl w:val="0"/>
          <w:lang w:val="it-IT"/>
        </w:rPr>
        <w:t>“</w:t>
      </w:r>
      <w:r>
        <w:rPr>
          <w:rFonts w:ascii="Book Antiqua"/>
          <w:rtl w:val="0"/>
          <w:lang w:val="it-IT"/>
        </w:rPr>
        <w:t>temporaneo</w:t>
      </w:r>
      <w:r>
        <w:rPr>
          <w:rFonts w:hAnsi="Book Antiqua" w:hint="default"/>
          <w:rtl w:val="0"/>
          <w:lang w:val="it-IT"/>
        </w:rPr>
        <w:t xml:space="preserve">” </w:t>
      </w:r>
      <w:r>
        <w:rPr>
          <w:rFonts w:ascii="Book Antiqua"/>
          <w:rtl w:val="0"/>
          <w:lang w:val="it-IT"/>
        </w:rPr>
        <w:t>in due anni, con una evidente contraddizione tra progetto e autorizzazione;</w:t>
      </w:r>
    </w:p>
    <w:p>
      <w:pPr>
        <w:pStyle w:val="Normal"/>
        <w:ind w:left="567" w:right="567" w:firstLine="0"/>
        <w:jc w:val="both"/>
        <w:rPr>
          <w:rFonts w:ascii="Book Antiqua" w:cs="Book Antiqua" w:hAnsi="Book Antiqua" w:eastAsia="Book Antiqua"/>
        </w:rPr>
      </w:pPr>
      <w:r>
        <w:rPr>
          <w:rFonts w:ascii="Book Antiqua"/>
          <w:rtl w:val="0"/>
          <w:lang w:val="it-IT"/>
        </w:rPr>
        <w:t xml:space="preserve">c) nella citata consulenza del pubblico ministero sono analizzati gli atti della consulta regionale richiamati dall'ordinanza; scrivono i consulenti: </w:t>
      </w:r>
      <w:r>
        <w:rPr>
          <w:rFonts w:hAnsi="Book Antiqua" w:hint="default"/>
          <w:rtl w:val="0"/>
          <w:lang w:val="it-IT"/>
        </w:rPr>
        <w:t>“</w:t>
      </w:r>
      <w:r>
        <w:rPr>
          <w:rFonts w:ascii="Book Antiqua"/>
          <w:rtl w:val="0"/>
          <w:lang w:val="it-IT"/>
        </w:rPr>
        <w:t>In definitiva, a sommesso avviso degli scriventi, la consulta non ha approvato la realizzazione della discarica II B, anzi, non ha ritenuto naturalmente idoneo il suolo proposto per il suddetto impianto definitivo. La consulta ha espresso solo il parere di massima in relazione alla possibilit</w:t>
      </w:r>
      <w:r>
        <w:rPr>
          <w:rFonts w:hAnsi="Book Antiqua" w:hint="default"/>
          <w:rtl w:val="0"/>
          <w:lang w:val="it-IT"/>
        </w:rPr>
        <w:t xml:space="preserve">à </w:t>
      </w:r>
      <w:r>
        <w:rPr>
          <w:rFonts w:ascii="Book Antiqua"/>
          <w:rtl w:val="0"/>
          <w:lang w:val="it-IT"/>
        </w:rPr>
        <w:t xml:space="preserve">di realizzare in quel sito e con quel progetto una </w:t>
      </w:r>
      <w:r>
        <w:rPr>
          <w:rFonts w:hAnsi="Book Antiqua" w:hint="default"/>
          <w:rtl w:val="0"/>
          <w:lang w:val="it-IT"/>
        </w:rPr>
        <w:t>‘</w:t>
      </w:r>
      <w:r>
        <w:rPr>
          <w:rFonts w:ascii="Book Antiqua"/>
          <w:rtl w:val="0"/>
          <w:lang w:val="it-IT"/>
        </w:rPr>
        <w:t>messa in sicurezza</w:t>
      </w:r>
      <w:r>
        <w:rPr>
          <w:rFonts w:hAnsi="Book Antiqua" w:hint="default"/>
          <w:rtl w:val="0"/>
          <w:lang w:val="it-IT"/>
        </w:rPr>
        <w:t xml:space="preserve">’ </w:t>
      </w:r>
      <w:r>
        <w:rPr>
          <w:rFonts w:ascii="Book Antiqua"/>
          <w:rtl w:val="0"/>
          <w:lang w:val="it-IT"/>
        </w:rPr>
        <w:t>di rifiuti industriali, provvisoriamente, per la eventuale bonifica locale, sempre nel rispetto delle esplicite prescrizioni formulate</w:t>
      </w:r>
      <w:r>
        <w:rPr>
          <w:rFonts w:hAnsi="Book Antiqua" w:hint="default"/>
          <w:rtl w:val="0"/>
          <w:lang w:val="it-IT"/>
        </w:rPr>
        <w:t>”</w:t>
      </w:r>
      <w:r>
        <w:rPr>
          <w:rFonts w:ascii="Book Antiqua"/>
          <w:rtl w:val="0"/>
          <w:lang w:val="it-IT"/>
        </w:rPr>
        <w:t>. In realt</w:t>
      </w:r>
      <w:r>
        <w:rPr>
          <w:rFonts w:hAnsi="Book Antiqua" w:hint="default"/>
          <w:rtl w:val="0"/>
          <w:lang w:val="it-IT"/>
        </w:rPr>
        <w:t xml:space="preserve">à </w:t>
      </w:r>
      <w:r>
        <w:rPr>
          <w:rFonts w:ascii="Book Antiqua"/>
          <w:rtl w:val="0"/>
          <w:lang w:val="it-IT"/>
        </w:rPr>
        <w:t>la prima ordinanza ordina la realizzazione di un sito definitivo, non pi</w:t>
      </w:r>
      <w:r>
        <w:rPr>
          <w:rFonts w:hAnsi="Book Antiqua" w:hint="default"/>
          <w:rtl w:val="0"/>
          <w:lang w:val="it-IT"/>
        </w:rPr>
        <w:t xml:space="preserve">ù </w:t>
      </w:r>
      <w:r>
        <w:rPr>
          <w:rFonts w:ascii="Book Antiqua"/>
          <w:rtl w:val="0"/>
          <w:lang w:val="it-IT"/>
        </w:rPr>
        <w:t>destinato a ricevere i residui delle bonifiche locali, ma rifiuti industriali provenienti da tutto il territorio della regione Lazio.</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Di certo il volume di affari che il nuovo sito poteva produrre era ingente. In una nota della Guastella Impianti alla regione Lazio del 30 aprile 1990 era indicato il prezzo previsto per il conferimento, pari a 100-130 lire al chilogrammo. Considerando la quantit</w:t>
      </w:r>
      <w:r>
        <w:rPr>
          <w:rFonts w:hAnsi="Book Antiqua" w:hint="default"/>
          <w:sz w:val="24"/>
          <w:szCs w:val="24"/>
          <w:rtl w:val="0"/>
          <w:lang w:val="it-IT"/>
        </w:rPr>
        <w:t xml:space="preserve">à </w:t>
      </w:r>
      <w:r>
        <w:rPr>
          <w:rFonts w:ascii="Book Antiqua"/>
          <w:sz w:val="24"/>
          <w:szCs w:val="24"/>
          <w:rtl w:val="0"/>
          <w:lang w:val="it-IT"/>
        </w:rPr>
        <w:t>autorizzata, il valore commerciale dell'impianto era di almeno 46 miliardi di lire (stima con prezzo a 100 lire al chilo), nei sei anni di funzionamento. Cifra destinata a crescere ulteriormente negli anni (la stima fatta dal gestore in un ricorso presentato al TAR del Lazio dai legali della societ</w:t>
      </w:r>
      <w:r>
        <w:rPr>
          <w:rFonts w:hAnsi="Book Antiqua" w:hint="default"/>
          <w:sz w:val="24"/>
          <w:szCs w:val="24"/>
          <w:rtl w:val="0"/>
          <w:lang w:val="it-IT"/>
        </w:rPr>
        <w:t xml:space="preserve">à </w:t>
      </w:r>
      <w:r>
        <w:rPr>
          <w:rFonts w:ascii="Book Antiqua"/>
          <w:sz w:val="24"/>
          <w:szCs w:val="24"/>
          <w:rtl w:val="0"/>
          <w:lang w:val="it-IT"/>
        </w:rPr>
        <w:t xml:space="preserve">Ecotecna il 18 maggio 1999 parla di </w:t>
      </w:r>
      <w:r>
        <w:rPr>
          <w:rFonts w:hAnsi="Book Antiqua" w:hint="default"/>
          <w:sz w:val="24"/>
          <w:szCs w:val="24"/>
          <w:rtl w:val="0"/>
          <w:lang w:val="it-IT"/>
        </w:rPr>
        <w:t>“</w:t>
      </w:r>
      <w:r>
        <w:rPr>
          <w:rFonts w:ascii="Book Antiqua"/>
          <w:sz w:val="24"/>
          <w:szCs w:val="24"/>
          <w:rtl w:val="0"/>
          <w:lang w:val="it-IT"/>
        </w:rPr>
        <w:t>mancato guadagno</w:t>
      </w:r>
      <w:r>
        <w:rPr>
          <w:rFonts w:hAnsi="Book Antiqua" w:hint="default"/>
          <w:sz w:val="24"/>
          <w:szCs w:val="24"/>
          <w:rtl w:val="0"/>
          <w:lang w:val="it-IT"/>
        </w:rPr>
        <w:t xml:space="preserve">” </w:t>
      </w:r>
      <w:r>
        <w:rPr>
          <w:rFonts w:ascii="Book Antiqua"/>
          <w:sz w:val="24"/>
          <w:szCs w:val="24"/>
          <w:rtl w:val="0"/>
          <w:lang w:val="it-IT"/>
        </w:rPr>
        <w:t>derivato dalla successiva chiusura dell'invaso superiore ai 66 miliardi di lire</w:t>
      </w:r>
      <w:r>
        <w:rPr>
          <w:rFonts w:ascii="Book Antiqua" w:cs="Book Antiqua" w:hAnsi="Book Antiqua" w:eastAsia="Book Antiqua"/>
          <w:sz w:val="24"/>
          <w:szCs w:val="24"/>
          <w:vertAlign w:val="superscript"/>
          <w:rtl w:val="0"/>
        </w:rPr>
        <w:footnoteReference w:id="332"/>
      </w:r>
      <w:r>
        <w:rPr>
          <w:rFonts w:ascii="Book Antiqua"/>
          <w:sz w:val="24"/>
          <w:szCs w:val="24"/>
          <w:rtl w:val="0"/>
          <w:lang w:val="it-IT"/>
        </w:rPr>
        <w:t>).</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La consulenza ha stabilito, rispetto a questo primo atto autorizzativo, la mancanza di un "idoneit</w:t>
      </w:r>
      <w:r>
        <w:rPr>
          <w:rFonts w:hAnsi="Book Antiqua" w:hint="default"/>
          <w:sz w:val="24"/>
          <w:szCs w:val="24"/>
          <w:rtl w:val="0"/>
          <w:lang w:val="it-IT"/>
        </w:rPr>
        <w:t xml:space="preserve">à </w:t>
      </w:r>
      <w:r>
        <w:rPr>
          <w:rFonts w:ascii="Book Antiqua"/>
          <w:sz w:val="24"/>
          <w:szCs w:val="24"/>
          <w:rtl w:val="0"/>
          <w:lang w:val="it-IT"/>
        </w:rPr>
        <w:t xml:space="preserve">naturale" del sito per "garantire una sufficiente protezione nei riguardi della migrazione di sostanze inquinanti verso il sottosuolo e verso le acque di falda". Sul punto l'analisi dei consulenti </w:t>
      </w:r>
      <w:r>
        <w:rPr>
          <w:rFonts w:hAnsi="Book Antiqua" w:hint="default"/>
          <w:sz w:val="24"/>
          <w:szCs w:val="24"/>
          <w:rtl w:val="0"/>
          <w:lang w:val="it-IT"/>
        </w:rPr>
        <w:t xml:space="preserve">è </w:t>
      </w:r>
      <w:r>
        <w:rPr>
          <w:rFonts w:ascii="Book Antiqua"/>
          <w:sz w:val="24"/>
          <w:szCs w:val="24"/>
          <w:rtl w:val="0"/>
          <w:lang w:val="it-IT"/>
        </w:rPr>
        <w:t xml:space="preserve">chiara: </w:t>
      </w:r>
      <w:r>
        <w:rPr>
          <w:rFonts w:hAnsi="Book Antiqua" w:hint="default"/>
          <w:sz w:val="24"/>
          <w:szCs w:val="24"/>
          <w:rtl w:val="0"/>
          <w:lang w:val="it-IT"/>
        </w:rPr>
        <w:t>“</w:t>
      </w:r>
      <w:r>
        <w:rPr>
          <w:rFonts w:ascii="Book Antiqua"/>
          <w:sz w:val="24"/>
          <w:szCs w:val="24"/>
          <w:rtl w:val="0"/>
          <w:lang w:val="it-IT"/>
        </w:rPr>
        <w:t xml:space="preserve">per quanto riguarda lo specifico progetto di discarica II B della Guastella impianti a Borgo Montello nel verbale della consulta (pagina 13) si afferma che il progetto stesso insiste su </w:t>
      </w:r>
      <w:r>
        <w:rPr>
          <w:rFonts w:hAnsi="Book Antiqua" w:hint="default"/>
          <w:sz w:val="24"/>
          <w:szCs w:val="24"/>
          <w:rtl w:val="0"/>
          <w:lang w:val="it-IT"/>
        </w:rPr>
        <w:t>‘</w:t>
      </w:r>
      <w:r>
        <w:rPr>
          <w:rFonts w:ascii="Book Antiqua"/>
          <w:sz w:val="24"/>
          <w:szCs w:val="24"/>
          <w:rtl w:val="0"/>
          <w:lang w:val="it-IT"/>
        </w:rPr>
        <w:t>suoli con caratteristiche naturali non idonee alla ubicazione di impianti di discarica di rifiuti industriali</w:t>
      </w:r>
      <w:r>
        <w:rPr>
          <w:rFonts w:hAnsi="Book Antiqua" w:hint="default"/>
          <w:sz w:val="24"/>
          <w:szCs w:val="24"/>
          <w:rtl w:val="0"/>
          <w:lang w:val="it-IT"/>
        </w:rPr>
        <w:t>’”</w:t>
      </w:r>
      <w:r>
        <w:rPr>
          <w:rFonts w:ascii="Book Antiqua"/>
          <w:sz w:val="24"/>
          <w:szCs w:val="24"/>
          <w:rtl w:val="0"/>
          <w:lang w:val="it-IT"/>
        </w:rPr>
        <w:t xml:space="preserve">. Per cercare di ovviare a questa osservazione vennero realizzate dal gestore dell'epoca </w:t>
      </w:r>
      <w:r>
        <w:rPr>
          <w:rFonts w:hAnsi="Book Antiqua" w:hint="default"/>
          <w:sz w:val="24"/>
          <w:szCs w:val="24"/>
          <w:rtl w:val="0"/>
          <w:lang w:val="it-IT"/>
        </w:rPr>
        <w:t>“</w:t>
      </w:r>
      <w:r>
        <w:rPr>
          <w:rFonts w:ascii="Book Antiqua"/>
          <w:sz w:val="24"/>
          <w:szCs w:val="24"/>
          <w:rtl w:val="0"/>
          <w:lang w:val="it-IT"/>
        </w:rPr>
        <w:t>opere di impermeabilizzazione artificiale, delle sponde e del fondo, attraverso un sistema combinato di barriere minerali (argille bentoniche) e barriera sintetica costituita da geomembrana in resina (polietilene ad alta densit</w:t>
      </w:r>
      <w:r>
        <w:rPr>
          <w:rFonts w:hAnsi="Book Antiqua" w:hint="default"/>
          <w:sz w:val="24"/>
          <w:szCs w:val="24"/>
          <w:rtl w:val="0"/>
          <w:lang w:val="it-IT"/>
        </w:rPr>
        <w:t>à</w:t>
      </w:r>
      <w:r>
        <w:rPr>
          <w:rFonts w:ascii="Book Antiqua"/>
          <w:sz w:val="24"/>
          <w:szCs w:val="24"/>
          <w:rtl w:val="0"/>
          <w:lang w:val="it-IT"/>
        </w:rPr>
        <w:t>, PEAD, spessore 2,5 mm)</w:t>
      </w:r>
      <w:r>
        <w:rPr>
          <w:rFonts w:hAnsi="Book Antiqua" w:hint="default"/>
          <w:sz w:val="24"/>
          <w:szCs w:val="24"/>
          <w:rtl w:val="0"/>
          <w:lang w:val="it-IT"/>
        </w:rPr>
        <w:t>”</w:t>
      </w:r>
      <w:r>
        <w:rPr>
          <w:rFonts w:ascii="Book Antiqua"/>
          <w:sz w:val="24"/>
          <w:szCs w:val="24"/>
          <w:rtl w:val="0"/>
          <w:lang w:val="it-IT"/>
        </w:rPr>
        <w:t>. Soluzione, per</w:t>
      </w:r>
      <w:r>
        <w:rPr>
          <w:rFonts w:hAnsi="Book Antiqua" w:hint="default"/>
          <w:sz w:val="24"/>
          <w:szCs w:val="24"/>
          <w:rtl w:val="0"/>
          <w:lang w:val="it-IT"/>
        </w:rPr>
        <w:t>ò</w:t>
      </w:r>
      <w:r>
        <w:rPr>
          <w:rFonts w:ascii="Book Antiqua"/>
          <w:sz w:val="24"/>
          <w:szCs w:val="24"/>
          <w:rtl w:val="0"/>
          <w:lang w:val="it-IT"/>
        </w:rPr>
        <w:t>, ritenuta adeguata solo per lo stoccaggio temporaneo e non per uno smaltimento definitivo.</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La seconda ordinanza, firmata sempre dal presidente della regione Lazio Bruno Landi, datata 26 marzo 1990 (meno di un mese rispetto al primo atto autorizzativo), numero 215, integra e modifica l'ordinanza 76 del 21 febbraio 1990, autorizzando lo stoccaggio di rifiuti compresi all'interno della categoria B (paragrafo 4.2.3.2 della deliberazione del comitato interministeriale del 27 luglio 1994), inclusi i rifiuti pericolosi</w:t>
      </w:r>
      <w:r>
        <w:rPr>
          <w:rFonts w:ascii="Book Antiqua" w:cs="Book Antiqua" w:hAnsi="Book Antiqua" w:eastAsia="Book Antiqua"/>
          <w:sz w:val="24"/>
          <w:szCs w:val="24"/>
          <w:vertAlign w:val="superscript"/>
          <w:rtl w:val="0"/>
        </w:rPr>
        <w:footnoteReference w:id="333"/>
      </w:r>
      <w:r>
        <w:rPr>
          <w:rFonts w:ascii="Book Antiqua"/>
          <w:sz w:val="24"/>
          <w:szCs w:val="24"/>
          <w:rtl w:val="0"/>
          <w:lang w:val="it-IT"/>
        </w:rPr>
        <w:t>.</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 xml:space="preserve">Successivamente il comune di Latina, la cooperativa Satricum e cinque cittadini propongono </w:t>
      </w:r>
      <w:r>
        <w:rPr>
          <w:rFonts w:hAnsi="Book Antiqua" w:hint="default"/>
          <w:sz w:val="24"/>
          <w:szCs w:val="24"/>
          <w:rtl w:val="0"/>
          <w:lang w:val="it-IT"/>
        </w:rPr>
        <w:t xml:space="preserve">– </w:t>
      </w:r>
      <w:r>
        <w:rPr>
          <w:rFonts w:ascii="Book Antiqua"/>
          <w:sz w:val="24"/>
          <w:szCs w:val="24"/>
          <w:rtl w:val="0"/>
          <w:lang w:val="it-IT"/>
        </w:rPr>
        <w:t xml:space="preserve">con atti distinti - ricorso al TAR contro le ordinanze citate. Dopo una prima decisione dei giudici amministrativi (che accolgono il ricorso, prima sospendendo l'ordinanza 215 e poi anche la prima autorizzazione, l'ordinanza numero 76), il Consiglio di Stato, con la decisione 441/1991, sospende per un anno (fino al 9 aprile 1992) l'efficacia della decisione del TAR </w:t>
      </w:r>
      <w:r>
        <w:rPr>
          <w:rFonts w:hAnsi="Book Antiqua" w:hint="default"/>
          <w:sz w:val="24"/>
          <w:szCs w:val="24"/>
          <w:rtl w:val="0"/>
          <w:lang w:val="it-IT"/>
        </w:rPr>
        <w:t>“</w:t>
      </w:r>
      <w:r>
        <w:rPr>
          <w:rFonts w:ascii="Book Antiqua"/>
          <w:sz w:val="24"/>
          <w:szCs w:val="24"/>
          <w:rtl w:val="0"/>
          <w:lang w:val="it-IT"/>
        </w:rPr>
        <w:t>in considerazione dell'interesse pubblico all'immediata attivazione dell'impianto in questione nelle more delle misure ordinarie</w:t>
      </w:r>
      <w:r>
        <w:rPr>
          <w:rFonts w:hAnsi="Book Antiqua" w:hint="default"/>
          <w:sz w:val="24"/>
          <w:szCs w:val="24"/>
          <w:rtl w:val="0"/>
          <w:lang w:val="it-IT"/>
        </w:rPr>
        <w:t>”</w:t>
      </w:r>
      <w:r>
        <w:rPr>
          <w:rFonts w:ascii="Book Antiqua" w:cs="Book Antiqua" w:hAnsi="Book Antiqua" w:eastAsia="Book Antiqua"/>
          <w:sz w:val="24"/>
          <w:szCs w:val="24"/>
          <w:vertAlign w:val="superscript"/>
          <w:rtl w:val="0"/>
        </w:rPr>
        <w:footnoteReference w:id="334"/>
      </w:r>
      <w:r>
        <w:rPr>
          <w:rFonts w:ascii="Book Antiqua"/>
          <w:sz w:val="24"/>
          <w:szCs w:val="24"/>
          <w:rtl w:val="0"/>
          <w:lang w:val="it-IT"/>
        </w:rPr>
        <w:t xml:space="preserve">. Il 14 aprile 1992 vi </w:t>
      </w:r>
      <w:r>
        <w:rPr>
          <w:rFonts w:hAnsi="Book Antiqua" w:hint="default"/>
          <w:sz w:val="24"/>
          <w:szCs w:val="24"/>
          <w:rtl w:val="0"/>
          <w:lang w:val="it-IT"/>
        </w:rPr>
        <w:t xml:space="preserve">è </w:t>
      </w:r>
      <w:r>
        <w:rPr>
          <w:rFonts w:ascii="Book Antiqua"/>
          <w:sz w:val="24"/>
          <w:szCs w:val="24"/>
          <w:rtl w:val="0"/>
          <w:lang w:val="it-IT"/>
        </w:rPr>
        <w:t>un</w:t>
      </w:r>
      <w:r>
        <w:rPr>
          <w:rFonts w:hAnsi="Book Antiqua" w:hint="default"/>
          <w:sz w:val="24"/>
          <w:szCs w:val="24"/>
          <w:rtl w:val="0"/>
          <w:lang w:val="it-IT"/>
        </w:rPr>
        <w:t>’</w:t>
      </w:r>
      <w:r>
        <w:rPr>
          <w:rFonts w:ascii="Book Antiqua"/>
          <w:sz w:val="24"/>
          <w:szCs w:val="24"/>
          <w:rtl w:val="0"/>
          <w:lang w:val="it-IT"/>
        </w:rPr>
        <w:t>ulteriore sospensione dell'efficacia della sentenza del TAR da parte del Consiglio di Stato (ordinanza n. 422/92), fino al 31 dicembre 1992.</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Nel frattempo la terza ordinanza regionale, numero 575 del 4 novembre 1991, firmata dal presidente della regione Lazio, Rodolfo Gigli, richiamata la prima ordinanza del 21 febbraio 1990 e preso atto della decisione del Consiglio di Stato, ordinava alla societ</w:t>
      </w:r>
      <w:r>
        <w:rPr>
          <w:rFonts w:hAnsi="Book Antiqua" w:hint="default"/>
          <w:sz w:val="24"/>
          <w:szCs w:val="24"/>
          <w:rtl w:val="0"/>
          <w:lang w:val="it-IT"/>
        </w:rPr>
        <w:t xml:space="preserve">à </w:t>
      </w:r>
      <w:r>
        <w:rPr>
          <w:rFonts w:ascii="Book Antiqua"/>
          <w:sz w:val="24"/>
          <w:szCs w:val="24"/>
          <w:rtl w:val="0"/>
          <w:lang w:val="it-IT"/>
        </w:rPr>
        <w:t xml:space="preserve">Ecotecna </w:t>
      </w:r>
      <w:r>
        <w:rPr>
          <w:rFonts w:hAnsi="Book Antiqua" w:hint="default"/>
          <w:sz w:val="24"/>
          <w:szCs w:val="24"/>
          <w:rtl w:val="0"/>
          <w:lang w:val="it-IT"/>
        </w:rPr>
        <w:t xml:space="preserve">– </w:t>
      </w:r>
      <w:r>
        <w:rPr>
          <w:rFonts w:ascii="Book Antiqua"/>
          <w:sz w:val="24"/>
          <w:szCs w:val="24"/>
          <w:rtl w:val="0"/>
          <w:lang w:val="it-IT"/>
        </w:rPr>
        <w:t xml:space="preserve">che nel frattempo aveva affittato il ramo d'azienda dalla Guastella srl </w:t>
      </w:r>
      <w:r>
        <w:rPr>
          <w:rFonts w:hAnsi="Book Antiqua" w:hint="default"/>
          <w:sz w:val="24"/>
          <w:szCs w:val="24"/>
          <w:rtl w:val="0"/>
          <w:lang w:val="it-IT"/>
        </w:rPr>
        <w:t xml:space="preserve">– </w:t>
      </w:r>
      <w:r>
        <w:rPr>
          <w:rFonts w:ascii="Book Antiqua"/>
          <w:sz w:val="24"/>
          <w:szCs w:val="24"/>
          <w:rtl w:val="0"/>
          <w:lang w:val="it-IT"/>
        </w:rPr>
        <w:t xml:space="preserve">di attivare l'impianto, stabilendo la tariffa a 120 lire al chilogrammo. Nel testo della nuova ordinanza si escludevano i rifiuti </w:t>
      </w:r>
      <w:r>
        <w:rPr>
          <w:rFonts w:hAnsi="Book Antiqua" w:hint="default"/>
          <w:sz w:val="24"/>
          <w:szCs w:val="24"/>
          <w:rtl w:val="0"/>
          <w:lang w:val="it-IT"/>
        </w:rPr>
        <w:t>“</w:t>
      </w:r>
      <w:r>
        <w:rPr>
          <w:rFonts w:ascii="Book Antiqua"/>
          <w:sz w:val="24"/>
          <w:szCs w:val="24"/>
          <w:rtl w:val="0"/>
          <w:lang w:val="it-IT"/>
        </w:rPr>
        <w:t>tossico-nocivi</w:t>
      </w:r>
      <w:r>
        <w:rPr>
          <w:rFonts w:hAnsi="Book Antiqua" w:hint="default"/>
          <w:sz w:val="24"/>
          <w:szCs w:val="24"/>
          <w:rtl w:val="0"/>
          <w:lang w:val="it-IT"/>
        </w:rPr>
        <w:t>”</w:t>
      </w:r>
      <w:r>
        <w:rPr>
          <w:rFonts w:ascii="Book Antiqua"/>
          <w:sz w:val="24"/>
          <w:szCs w:val="24"/>
          <w:rtl w:val="0"/>
          <w:lang w:val="it-IT"/>
        </w:rPr>
        <w:t xml:space="preserve">, ma, nel contempo, non veniva revocata l'ordinanza 215 che, a sua volta, aveva </w:t>
      </w:r>
      <w:r>
        <w:rPr>
          <w:rFonts w:hAnsi="Book Antiqua" w:hint="default"/>
          <w:sz w:val="24"/>
          <w:szCs w:val="24"/>
          <w:rtl w:val="0"/>
          <w:lang w:val="it-IT"/>
        </w:rPr>
        <w:t>“</w:t>
      </w:r>
      <w:r>
        <w:rPr>
          <w:rFonts w:ascii="Book Antiqua"/>
          <w:sz w:val="24"/>
          <w:szCs w:val="24"/>
          <w:rtl w:val="0"/>
          <w:lang w:val="it-IT"/>
        </w:rPr>
        <w:t>emendato</w:t>
      </w:r>
      <w:r>
        <w:rPr>
          <w:rFonts w:hAnsi="Book Antiqua" w:hint="default"/>
          <w:sz w:val="24"/>
          <w:szCs w:val="24"/>
          <w:rtl w:val="0"/>
          <w:lang w:val="it-IT"/>
        </w:rPr>
        <w:t xml:space="preserve">” </w:t>
      </w:r>
      <w:r>
        <w:rPr>
          <w:rFonts w:ascii="Book Antiqua"/>
          <w:sz w:val="24"/>
          <w:szCs w:val="24"/>
          <w:rtl w:val="0"/>
          <w:lang w:val="it-IT"/>
        </w:rPr>
        <w:t>il primo atto autorizzativo. Anche questa ordinanza verr</w:t>
      </w:r>
      <w:r>
        <w:rPr>
          <w:rFonts w:hAnsi="Book Antiqua" w:hint="default"/>
          <w:sz w:val="24"/>
          <w:szCs w:val="24"/>
          <w:rtl w:val="0"/>
          <w:lang w:val="it-IT"/>
        </w:rPr>
        <w:t xml:space="preserve">à </w:t>
      </w:r>
      <w:r>
        <w:rPr>
          <w:rFonts w:ascii="Book Antiqua"/>
          <w:sz w:val="24"/>
          <w:szCs w:val="24"/>
          <w:rtl w:val="0"/>
          <w:lang w:val="it-IT"/>
        </w:rPr>
        <w:t>a sua volta annullata dal TAR del Lazio il 10 aprile 1992. Dopo la sospensione dell'efficacia delle decisioni TAR da parte del Consiglio di Stato (vedi sopra), l'8 maggio 1992 il presidente della regione Lazio firma una nota ordinando alla Ecotecna di riattivare l'impianto</w:t>
      </w:r>
      <w:r>
        <w:rPr>
          <w:rFonts w:ascii="Book Antiqua" w:cs="Book Antiqua" w:hAnsi="Book Antiqua" w:eastAsia="Book Antiqua"/>
          <w:sz w:val="24"/>
          <w:szCs w:val="24"/>
          <w:vertAlign w:val="superscript"/>
          <w:rtl w:val="0"/>
        </w:rPr>
        <w:footnoteReference w:id="335"/>
      </w:r>
      <w:r>
        <w:rPr>
          <w:rFonts w:ascii="Book Antiqua"/>
          <w:sz w:val="24"/>
          <w:szCs w:val="24"/>
          <w:rtl w:val="0"/>
          <w:lang w:val="it-IT"/>
        </w:rPr>
        <w:t>.</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 xml:space="preserve">La sospensione della prima sentenza del TAR </w:t>
      </w:r>
      <w:r>
        <w:rPr>
          <w:rFonts w:hAnsi="Book Antiqua" w:hint="default"/>
          <w:sz w:val="24"/>
          <w:szCs w:val="24"/>
          <w:rtl w:val="0"/>
          <w:lang w:val="it-IT"/>
        </w:rPr>
        <w:t xml:space="preserve">– </w:t>
      </w:r>
      <w:r>
        <w:rPr>
          <w:rFonts w:ascii="Book Antiqua"/>
          <w:sz w:val="24"/>
          <w:szCs w:val="24"/>
          <w:rtl w:val="0"/>
          <w:lang w:val="it-IT"/>
        </w:rPr>
        <w:t xml:space="preserve">che annullava le due ordinanze del 1990, chiudendo di fatto l'impianto </w:t>
      </w:r>
      <w:r>
        <w:rPr>
          <w:rFonts w:hAnsi="Book Antiqua" w:hint="default"/>
          <w:sz w:val="24"/>
          <w:szCs w:val="24"/>
          <w:rtl w:val="0"/>
          <w:lang w:val="it-IT"/>
        </w:rPr>
        <w:t xml:space="preserve">– </w:t>
      </w:r>
      <w:r>
        <w:rPr>
          <w:rFonts w:ascii="Book Antiqua"/>
          <w:sz w:val="24"/>
          <w:szCs w:val="24"/>
          <w:rtl w:val="0"/>
          <w:lang w:val="it-IT"/>
        </w:rPr>
        <w:t>verr</w:t>
      </w:r>
      <w:r>
        <w:rPr>
          <w:rFonts w:hAnsi="Book Antiqua" w:hint="default"/>
          <w:sz w:val="24"/>
          <w:szCs w:val="24"/>
          <w:rtl w:val="0"/>
          <w:lang w:val="it-IT"/>
        </w:rPr>
        <w:t xml:space="preserve">à </w:t>
      </w:r>
      <w:r>
        <w:rPr>
          <w:rFonts w:ascii="Book Antiqua"/>
          <w:sz w:val="24"/>
          <w:szCs w:val="24"/>
          <w:rtl w:val="0"/>
          <w:lang w:val="it-IT"/>
        </w:rPr>
        <w:t>reiterata per una seconda volta.</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La gi</w:t>
      </w:r>
      <w:r>
        <w:rPr>
          <w:rFonts w:hAnsi="Book Antiqua" w:hint="default"/>
          <w:sz w:val="24"/>
          <w:szCs w:val="24"/>
          <w:rtl w:val="0"/>
          <w:lang w:val="it-IT"/>
        </w:rPr>
        <w:t xml:space="preserve">à </w:t>
      </w:r>
      <w:r>
        <w:rPr>
          <w:rFonts w:ascii="Book Antiqua"/>
          <w:sz w:val="24"/>
          <w:szCs w:val="24"/>
          <w:rtl w:val="0"/>
          <w:lang w:val="it-IT"/>
        </w:rPr>
        <w:t xml:space="preserve">complessa situazione diviene paradossale nel 1993, quando il presidente della regione Lazio firma una nuova ordinanza, la numero 1/1993. </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 xml:space="preserve">Annota la Squadra mobile di Latina su questo passaggio: </w:t>
      </w:r>
      <w:r>
        <w:rPr>
          <w:rFonts w:hAnsi="Book Antiqua" w:hint="default"/>
          <w:sz w:val="24"/>
          <w:szCs w:val="24"/>
          <w:rtl w:val="0"/>
          <w:lang w:val="it-IT"/>
        </w:rPr>
        <w:t>“</w:t>
      </w:r>
      <w:r>
        <w:rPr>
          <w:rFonts w:ascii="Book Antiqua"/>
          <w:sz w:val="24"/>
          <w:szCs w:val="24"/>
          <w:rtl w:val="0"/>
          <w:lang w:val="it-IT"/>
        </w:rPr>
        <w:t>La citata delibera ha autorizzato la societ</w:t>
      </w:r>
      <w:r>
        <w:rPr>
          <w:rFonts w:hAnsi="Book Antiqua" w:hint="default"/>
          <w:sz w:val="24"/>
          <w:szCs w:val="24"/>
          <w:rtl w:val="0"/>
          <w:lang w:val="it-IT"/>
        </w:rPr>
        <w:t xml:space="preserve">à </w:t>
      </w:r>
      <w:r>
        <w:rPr>
          <w:rFonts w:ascii="Book Antiqua"/>
          <w:sz w:val="24"/>
          <w:szCs w:val="24"/>
          <w:rtl w:val="0"/>
          <w:lang w:val="it-IT"/>
        </w:rPr>
        <w:t xml:space="preserve">Ecotecna [...] a continuare a ricevere rifiuti speciali, di cui al paragrafo 4.2.3.2. comma 1 della deliberazione 27 luglio 1984 del comitato interministeriale richiamata nell'articolo 5 del decreto del Presidente della Repubblica 915/1982, con esclusione di quelli tossico nocivi, provenienti da impianti di stoccaggio della sola regione Lazio. Sebbene nella ordinanza n.1 del 1993 </w:t>
      </w:r>
      <w:r>
        <w:rPr>
          <w:rFonts w:hAnsi="Book Antiqua" w:hint="default"/>
          <w:sz w:val="24"/>
          <w:szCs w:val="24"/>
          <w:rtl w:val="0"/>
          <w:lang w:val="it-IT"/>
        </w:rPr>
        <w:t xml:space="preserve">è </w:t>
      </w:r>
      <w:r>
        <w:rPr>
          <w:rFonts w:ascii="Book Antiqua"/>
          <w:sz w:val="24"/>
          <w:szCs w:val="24"/>
          <w:rtl w:val="0"/>
          <w:lang w:val="it-IT"/>
        </w:rPr>
        <w:t>stata prevista l</w:t>
      </w:r>
      <w:r>
        <w:rPr>
          <w:rFonts w:hAnsi="Book Antiqua" w:hint="default"/>
          <w:sz w:val="24"/>
          <w:szCs w:val="24"/>
          <w:rtl w:val="0"/>
          <w:lang w:val="it-IT"/>
        </w:rPr>
        <w:t>’</w:t>
      </w:r>
      <w:r>
        <w:rPr>
          <w:rFonts w:ascii="Book Antiqua"/>
          <w:sz w:val="24"/>
          <w:szCs w:val="24"/>
          <w:rtl w:val="0"/>
          <w:lang w:val="it-IT"/>
        </w:rPr>
        <w:t>esclusione dei rifiuti tossico nocivi da conferire nella discarica di Borgo Montello, la categoria dei rifiuti speciali richiamata ai sensi della predetta deliberazione, contempla anche rifiuti tossico nocivi purch</w:t>
      </w:r>
      <w:r>
        <w:rPr>
          <w:rFonts w:hAnsi="Book Antiqua" w:hint="default"/>
          <w:sz w:val="24"/>
          <w:szCs w:val="24"/>
          <w:rtl w:val="0"/>
          <w:lang w:val="it-IT"/>
        </w:rPr>
        <w:t xml:space="preserve">é </w:t>
      </w:r>
      <w:r>
        <w:rPr>
          <w:rFonts w:ascii="Book Antiqua"/>
          <w:sz w:val="24"/>
          <w:szCs w:val="24"/>
          <w:rtl w:val="0"/>
          <w:lang w:val="it-IT"/>
        </w:rPr>
        <w:t>non eccedenti concertazioni di sostanze ritenute pericolose per la salute pubblica specificatamente indicate nel decreto del Presidente della Repubblica 915/1982</w:t>
      </w:r>
      <w:r>
        <w:rPr>
          <w:rFonts w:hAnsi="Book Antiqua" w:hint="default"/>
          <w:sz w:val="24"/>
          <w:szCs w:val="24"/>
          <w:rtl w:val="0"/>
          <w:lang w:val="it-IT"/>
        </w:rPr>
        <w:t>”</w:t>
      </w:r>
      <w:r>
        <w:rPr>
          <w:rFonts w:ascii="Book Antiqua"/>
          <w:sz w:val="24"/>
          <w:szCs w:val="24"/>
          <w:rtl w:val="0"/>
          <w:lang w:val="it-IT"/>
        </w:rPr>
        <w:t>.</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Tra il 1991 e il 1993 si crea dunque un intreccio complesso tra ordinanze della regione Lazio, decisioni contrastanti dei giudici amministrativi e cambi societari dei proprietari della discarica (la Guastella, che aveva concesso in affitto il ramo d'azienda alla Ecotecna, societ</w:t>
      </w:r>
      <w:r>
        <w:rPr>
          <w:rFonts w:hAnsi="Book Antiqua" w:hint="default"/>
          <w:sz w:val="24"/>
          <w:szCs w:val="24"/>
          <w:rtl w:val="0"/>
          <w:lang w:val="it-IT"/>
        </w:rPr>
        <w:t xml:space="preserve">à </w:t>
      </w:r>
      <w:r>
        <w:rPr>
          <w:rFonts w:ascii="Book Antiqua"/>
          <w:sz w:val="24"/>
          <w:szCs w:val="24"/>
          <w:rtl w:val="0"/>
          <w:lang w:val="it-IT"/>
        </w:rPr>
        <w:t>riferibile all'epoca al gruppo Acqua dei fratelli Pisante e alla statunitense Bfi).</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 xml:space="preserve">L'attenzione investigativa della Squadra mobile ha cercato di mettere a fuoco questo delicato passaggio: </w:t>
      </w:r>
      <w:r>
        <w:rPr>
          <w:rFonts w:hAnsi="Book Antiqua" w:hint="default"/>
          <w:sz w:val="24"/>
          <w:szCs w:val="24"/>
          <w:rtl w:val="0"/>
          <w:lang w:val="it-IT"/>
        </w:rPr>
        <w:t>“</w:t>
      </w:r>
      <w:r>
        <w:rPr>
          <w:rFonts w:ascii="Book Antiqua"/>
          <w:sz w:val="24"/>
          <w:szCs w:val="24"/>
          <w:rtl w:val="0"/>
          <w:lang w:val="it-IT"/>
        </w:rPr>
        <w:t>In seguito all</w:t>
      </w:r>
      <w:r>
        <w:rPr>
          <w:rFonts w:hAnsi="Book Antiqua" w:hint="default"/>
          <w:sz w:val="24"/>
          <w:szCs w:val="24"/>
          <w:rtl w:val="0"/>
          <w:lang w:val="it-IT"/>
        </w:rPr>
        <w:t>’</w:t>
      </w:r>
      <w:r>
        <w:rPr>
          <w:rFonts w:ascii="Book Antiqua"/>
          <w:sz w:val="24"/>
          <w:szCs w:val="24"/>
          <w:rtl w:val="0"/>
          <w:lang w:val="it-IT"/>
        </w:rPr>
        <w:t>adozione di detti provvedimenti da parte dei Presidenti della Giunta Regionale del Lazio (P.G.R.L.) pro tempore, il comune di Latina ha impugnato le citate ordinanze al tribunale Amministrativo Regionale, ottenendone l</w:t>
      </w:r>
      <w:r>
        <w:rPr>
          <w:rFonts w:hAnsi="Book Antiqua" w:hint="default"/>
          <w:sz w:val="24"/>
          <w:szCs w:val="24"/>
          <w:rtl w:val="0"/>
          <w:lang w:val="it-IT"/>
        </w:rPr>
        <w:t>’</w:t>
      </w:r>
      <w:r>
        <w:rPr>
          <w:rFonts w:ascii="Book Antiqua"/>
          <w:sz w:val="24"/>
          <w:szCs w:val="24"/>
          <w:rtl w:val="0"/>
          <w:lang w:val="it-IT"/>
        </w:rPr>
        <w:t>annullamento. Ma la societ</w:t>
      </w:r>
      <w:r>
        <w:rPr>
          <w:rFonts w:hAnsi="Book Antiqua" w:hint="default"/>
          <w:sz w:val="24"/>
          <w:szCs w:val="24"/>
          <w:rtl w:val="0"/>
          <w:lang w:val="it-IT"/>
        </w:rPr>
        <w:t xml:space="preserve">à </w:t>
      </w:r>
      <w:r>
        <w:rPr>
          <w:rFonts w:ascii="Book Antiqua"/>
          <w:sz w:val="24"/>
          <w:szCs w:val="24"/>
          <w:rtl w:val="0"/>
          <w:lang w:val="it-IT"/>
        </w:rPr>
        <w:t>gestore, e proprietaria dei terreni, della discarica, ovvero la Guastella Impianti, ha fatto ricorso al Consiglio di Stato chiedendo la sospensiva della sentenza. Il supremo consesso di Giustizia Amministrativa ha concesso una proroga all</w:t>
      </w:r>
      <w:r>
        <w:rPr>
          <w:rFonts w:hAnsi="Book Antiqua" w:hint="default"/>
          <w:sz w:val="24"/>
          <w:szCs w:val="24"/>
          <w:rtl w:val="0"/>
          <w:lang w:val="it-IT"/>
        </w:rPr>
        <w:t>’</w:t>
      </w:r>
      <w:r>
        <w:rPr>
          <w:rFonts w:ascii="Book Antiqua"/>
          <w:sz w:val="24"/>
          <w:szCs w:val="24"/>
          <w:rtl w:val="0"/>
          <w:lang w:val="it-IT"/>
        </w:rPr>
        <w:t>esercizio dell</w:t>
      </w:r>
      <w:r>
        <w:rPr>
          <w:rFonts w:hAnsi="Book Antiqua" w:hint="default"/>
          <w:sz w:val="24"/>
          <w:szCs w:val="24"/>
          <w:rtl w:val="0"/>
          <w:lang w:val="it-IT"/>
        </w:rPr>
        <w:t>’</w:t>
      </w:r>
      <w:r>
        <w:rPr>
          <w:rFonts w:ascii="Book Antiqua"/>
          <w:sz w:val="24"/>
          <w:szCs w:val="24"/>
          <w:rtl w:val="0"/>
          <w:lang w:val="it-IT"/>
        </w:rPr>
        <w:t>impianto per rifiuti speciali, successivamente prorogato di un altro anno fino al 31.12.1992</w:t>
      </w:r>
      <w:r>
        <w:rPr>
          <w:rFonts w:hAnsi="Book Antiqua" w:hint="default"/>
          <w:sz w:val="24"/>
          <w:szCs w:val="24"/>
          <w:rtl w:val="0"/>
          <w:lang w:val="it-IT"/>
        </w:rPr>
        <w:t>”</w:t>
      </w:r>
      <w:r>
        <w:rPr>
          <w:rFonts w:ascii="Book Antiqua"/>
          <w:sz w:val="24"/>
          <w:szCs w:val="24"/>
          <w:rtl w:val="0"/>
          <w:lang w:val="it-IT"/>
        </w:rPr>
        <w:t>.</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Dopo questi passaggi, particolarmente significativi, l</w:t>
      </w:r>
      <w:r>
        <w:rPr>
          <w:rFonts w:hAnsi="Book Antiqua" w:hint="default"/>
          <w:sz w:val="24"/>
          <w:szCs w:val="24"/>
          <w:rtl w:val="0"/>
          <w:lang w:val="it-IT"/>
        </w:rPr>
        <w:t>’</w:t>
      </w:r>
      <w:r>
        <w:rPr>
          <w:rFonts w:ascii="Book Antiqua"/>
          <w:sz w:val="24"/>
          <w:szCs w:val="24"/>
          <w:rtl w:val="0"/>
          <w:lang w:val="it-IT"/>
        </w:rPr>
        <w:t>allora gestore del sito B2 di Borgo Montello intraprende alcune modifiche societarie:</w:t>
      </w:r>
    </w:p>
    <w:p>
      <w:pPr>
        <w:pStyle w:val="Corpo A"/>
        <w:ind w:left="567" w:right="567" w:firstLine="0"/>
        <w:jc w:val="both"/>
        <w:rPr>
          <w:rFonts w:ascii="Book Antiqua" w:cs="Book Antiqua" w:hAnsi="Book Antiqua" w:eastAsia="Book Antiqua"/>
          <w:sz w:val="24"/>
          <w:szCs w:val="24"/>
          <w:lang w:val="it-IT"/>
        </w:rPr>
      </w:pPr>
      <w:r>
        <w:rPr>
          <w:rFonts w:hAnsi="Book Antiqua" w:hint="default"/>
          <w:sz w:val="24"/>
          <w:szCs w:val="24"/>
          <w:rtl w:val="0"/>
          <w:lang w:val="it-IT"/>
        </w:rPr>
        <w:t xml:space="preserve"> “</w:t>
      </w:r>
      <w:r>
        <w:rPr>
          <w:rFonts w:ascii="Book Antiqua"/>
          <w:i w:val="1"/>
          <w:iCs w:val="1"/>
          <w:sz w:val="24"/>
          <w:szCs w:val="24"/>
          <w:rtl w:val="0"/>
          <w:lang w:val="it-IT"/>
        </w:rPr>
        <w:t>Medio tempore</w:t>
      </w:r>
      <w:r>
        <w:rPr>
          <w:rFonts w:ascii="Book Antiqua"/>
          <w:sz w:val="24"/>
          <w:szCs w:val="24"/>
          <w:rtl w:val="0"/>
          <w:lang w:val="it-IT"/>
        </w:rPr>
        <w:t xml:space="preserve">, la Guastella </w:t>
      </w:r>
      <w:r>
        <w:rPr>
          <w:rFonts w:hAnsi="Book Antiqua" w:hint="default"/>
          <w:sz w:val="24"/>
          <w:szCs w:val="24"/>
          <w:rtl w:val="0"/>
          <w:lang w:val="it-IT"/>
        </w:rPr>
        <w:t xml:space="preserve">è </w:t>
      </w:r>
      <w:r>
        <w:rPr>
          <w:rFonts w:ascii="Book Antiqua"/>
          <w:sz w:val="24"/>
          <w:szCs w:val="24"/>
          <w:rtl w:val="0"/>
          <w:lang w:val="it-IT"/>
        </w:rPr>
        <w:t xml:space="preserve">stata incorporata dalla Ecomont srl. La Ecomont altro non </w:t>
      </w:r>
      <w:r>
        <w:rPr>
          <w:rFonts w:hAnsi="Book Antiqua" w:hint="default"/>
          <w:sz w:val="24"/>
          <w:szCs w:val="24"/>
          <w:rtl w:val="0"/>
          <w:lang w:val="it-IT"/>
        </w:rPr>
        <w:t xml:space="preserve">è </w:t>
      </w:r>
      <w:r>
        <w:rPr>
          <w:rFonts w:ascii="Book Antiqua"/>
          <w:sz w:val="24"/>
          <w:szCs w:val="24"/>
          <w:rtl w:val="0"/>
          <w:lang w:val="it-IT"/>
        </w:rPr>
        <w:t>che la societ</w:t>
      </w:r>
      <w:r>
        <w:rPr>
          <w:rFonts w:hAnsi="Book Antiqua" w:hint="default"/>
          <w:sz w:val="24"/>
          <w:szCs w:val="24"/>
          <w:rtl w:val="0"/>
          <w:lang w:val="it-IT"/>
        </w:rPr>
        <w:t xml:space="preserve">à </w:t>
      </w:r>
      <w:r>
        <w:rPr>
          <w:rFonts w:ascii="Book Antiqua"/>
          <w:sz w:val="24"/>
          <w:szCs w:val="24"/>
          <w:rtl w:val="0"/>
          <w:lang w:val="it-IT"/>
        </w:rPr>
        <w:t>Realizzazioni Industriali (So.Re.G.In). Infatti con verbale d</w:t>
      </w:r>
      <w:r>
        <w:rPr>
          <w:rFonts w:hAnsi="Book Antiqua" w:hint="default"/>
          <w:sz w:val="24"/>
          <w:szCs w:val="24"/>
          <w:rtl w:val="0"/>
          <w:lang w:val="it-IT"/>
        </w:rPr>
        <w:t>’</w:t>
      </w:r>
      <w:r>
        <w:rPr>
          <w:rFonts w:ascii="Book Antiqua"/>
          <w:sz w:val="24"/>
          <w:szCs w:val="24"/>
          <w:rtl w:val="0"/>
          <w:lang w:val="it-IT"/>
        </w:rPr>
        <w:t>assemblea del 18.07.1990 i soci della So.Re.G.In, Maruca Biagio Giuseppe, Maruca Gabriella, Trincia Sergio e Ruggeri Patrizia, rappresentante del socio easing e Diversi (L.E.D.), hanno deliberato la incorporazione della Guastella e contestuale cambio di denominazione della So.Re.G.In in Ecomont srl. Il cambio di denominazione, cos</w:t>
      </w:r>
      <w:r>
        <w:rPr>
          <w:rFonts w:hAnsi="Book Antiqua" w:hint="default"/>
          <w:sz w:val="24"/>
          <w:szCs w:val="24"/>
          <w:rtl w:val="0"/>
          <w:lang w:val="it-IT"/>
        </w:rPr>
        <w:t xml:space="preserve">ì </w:t>
      </w:r>
      <w:r>
        <w:rPr>
          <w:rFonts w:ascii="Book Antiqua"/>
          <w:sz w:val="24"/>
          <w:szCs w:val="24"/>
          <w:rtl w:val="0"/>
          <w:lang w:val="it-IT"/>
        </w:rPr>
        <w:t>come l'incorporazione mediante fusione della Guastella nella So.Re.G.In, poi Ecomont, sono stati [...] frutto di un preciso piano delittuoso, i cui ideatori sono allo stato degli atti sconosciuti perch</w:t>
      </w:r>
      <w:r>
        <w:rPr>
          <w:rFonts w:hAnsi="Book Antiqua" w:hint="default"/>
          <w:sz w:val="24"/>
          <w:szCs w:val="24"/>
          <w:rtl w:val="0"/>
          <w:lang w:val="it-IT"/>
        </w:rPr>
        <w:t xml:space="preserve">é </w:t>
      </w:r>
      <w:r>
        <w:rPr>
          <w:rFonts w:ascii="Book Antiqua"/>
          <w:sz w:val="24"/>
          <w:szCs w:val="24"/>
          <w:rtl w:val="0"/>
          <w:lang w:val="it-IT"/>
        </w:rPr>
        <w:t>hanno utilizzato prestanome per realizzare detta progettualit</w:t>
      </w:r>
      <w:r>
        <w:rPr>
          <w:rFonts w:hAnsi="Book Antiqua" w:hint="default"/>
          <w:sz w:val="24"/>
          <w:szCs w:val="24"/>
          <w:rtl w:val="0"/>
          <w:lang w:val="it-IT"/>
        </w:rPr>
        <w:t xml:space="preserve">à </w:t>
      </w:r>
      <w:r>
        <w:rPr>
          <w:rFonts w:ascii="Book Antiqua"/>
          <w:sz w:val="24"/>
          <w:szCs w:val="24"/>
          <w:rtl w:val="0"/>
          <w:lang w:val="it-IT"/>
        </w:rPr>
        <w:t>illecita, teso a fare in modo che, formalmente ed apparentemente, vi fossero dei passaggi di propriet</w:t>
      </w:r>
      <w:r>
        <w:rPr>
          <w:rFonts w:hAnsi="Book Antiqua" w:hint="default"/>
          <w:sz w:val="24"/>
          <w:szCs w:val="24"/>
          <w:rtl w:val="0"/>
          <w:lang w:val="it-IT"/>
        </w:rPr>
        <w:t xml:space="preserve">à </w:t>
      </w:r>
      <w:r>
        <w:rPr>
          <w:rFonts w:ascii="Book Antiqua"/>
          <w:sz w:val="24"/>
          <w:szCs w:val="24"/>
          <w:rtl w:val="0"/>
          <w:lang w:val="it-IT"/>
        </w:rPr>
        <w:t xml:space="preserve">tra persone giuridiche, solo esteriormente, diverse. Sul punto </w:t>
      </w:r>
      <w:r>
        <w:rPr>
          <w:rFonts w:hAnsi="Book Antiqua" w:hint="default"/>
          <w:sz w:val="24"/>
          <w:szCs w:val="24"/>
          <w:rtl w:val="0"/>
          <w:lang w:val="it-IT"/>
        </w:rPr>
        <w:t xml:space="preserve">è </w:t>
      </w:r>
      <w:r>
        <w:rPr>
          <w:rFonts w:ascii="Book Antiqua"/>
          <w:sz w:val="24"/>
          <w:szCs w:val="24"/>
          <w:rtl w:val="0"/>
          <w:lang w:val="it-IT"/>
        </w:rPr>
        <w:t>plausibile ritenere, da quanto emerso nel corso delle attivit</w:t>
      </w:r>
      <w:r>
        <w:rPr>
          <w:rFonts w:hAnsi="Book Antiqua" w:hint="default"/>
          <w:sz w:val="24"/>
          <w:szCs w:val="24"/>
          <w:rtl w:val="0"/>
          <w:lang w:val="it-IT"/>
        </w:rPr>
        <w:t xml:space="preserve">à </w:t>
      </w:r>
      <w:r>
        <w:rPr>
          <w:rFonts w:ascii="Book Antiqua"/>
          <w:sz w:val="24"/>
          <w:szCs w:val="24"/>
          <w:rtl w:val="0"/>
          <w:lang w:val="it-IT"/>
        </w:rPr>
        <w:t>investigative, per lo pi</w:t>
      </w:r>
      <w:r>
        <w:rPr>
          <w:rFonts w:hAnsi="Book Antiqua" w:hint="default"/>
          <w:sz w:val="24"/>
          <w:szCs w:val="24"/>
          <w:rtl w:val="0"/>
          <w:lang w:val="it-IT"/>
        </w:rPr>
        <w:t xml:space="preserve">ù </w:t>
      </w:r>
      <w:r>
        <w:rPr>
          <w:rFonts w:ascii="Book Antiqua"/>
          <w:sz w:val="24"/>
          <w:szCs w:val="24"/>
          <w:rtl w:val="0"/>
          <w:lang w:val="it-IT"/>
        </w:rPr>
        <w:t>documentali, compendiate nella presente comunicazione di reato, che tuttavia sono suscettibili di ulteriori integrazioni mediante attivit</w:t>
      </w:r>
      <w:r>
        <w:rPr>
          <w:rFonts w:hAnsi="Book Antiqua" w:hint="default"/>
          <w:sz w:val="24"/>
          <w:szCs w:val="24"/>
          <w:rtl w:val="0"/>
          <w:lang w:val="it-IT"/>
        </w:rPr>
        <w:t xml:space="preserve">à </w:t>
      </w:r>
      <w:r>
        <w:rPr>
          <w:rFonts w:ascii="Book Antiqua"/>
          <w:sz w:val="24"/>
          <w:szCs w:val="24"/>
          <w:rtl w:val="0"/>
          <w:lang w:val="it-IT"/>
        </w:rPr>
        <w:t>di ricerca della prova anche di tipo tecnico, finalizzate ad individuare i promotori del sodalizio criminale in esame, che l'incorporazione tra Guastella ed Ecomont, cos</w:t>
      </w:r>
      <w:r>
        <w:rPr>
          <w:rFonts w:hAnsi="Book Antiqua" w:hint="default"/>
          <w:sz w:val="24"/>
          <w:szCs w:val="24"/>
          <w:rtl w:val="0"/>
          <w:lang w:val="it-IT"/>
        </w:rPr>
        <w:t xml:space="preserve">ì </w:t>
      </w:r>
      <w:r>
        <w:rPr>
          <w:rFonts w:ascii="Book Antiqua"/>
          <w:sz w:val="24"/>
          <w:szCs w:val="24"/>
          <w:rtl w:val="0"/>
          <w:lang w:val="it-IT"/>
        </w:rPr>
        <w:t>come il fallimento di quest'ultima, sono stati espedienti tesi a prolungare, in punto di fatto, la sospensiva rilasciata dal Consiglio di Stato per l'esercizio dell'attivit</w:t>
      </w:r>
      <w:r>
        <w:rPr>
          <w:rFonts w:hAnsi="Book Antiqua" w:hint="default"/>
          <w:sz w:val="24"/>
          <w:szCs w:val="24"/>
          <w:rtl w:val="0"/>
          <w:lang w:val="it-IT"/>
        </w:rPr>
        <w:t xml:space="preserve">à </w:t>
      </w:r>
      <w:r>
        <w:rPr>
          <w:rFonts w:ascii="Book Antiqua"/>
          <w:sz w:val="24"/>
          <w:szCs w:val="24"/>
          <w:rtl w:val="0"/>
          <w:lang w:val="it-IT"/>
        </w:rPr>
        <w:t xml:space="preserve">di discarica alla Guastella. Infatti, la citata decisione </w:t>
      </w:r>
      <w:r>
        <w:rPr>
          <w:rFonts w:hAnsi="Book Antiqua" w:hint="default"/>
          <w:sz w:val="24"/>
          <w:szCs w:val="24"/>
          <w:rtl w:val="0"/>
          <w:lang w:val="it-IT"/>
        </w:rPr>
        <w:t xml:space="preserve">è </w:t>
      </w:r>
      <w:r>
        <w:rPr>
          <w:rFonts w:ascii="Book Antiqua"/>
          <w:sz w:val="24"/>
          <w:szCs w:val="24"/>
          <w:rtl w:val="0"/>
          <w:lang w:val="it-IT"/>
        </w:rPr>
        <w:t>stata emessa perch</w:t>
      </w:r>
      <w:r>
        <w:rPr>
          <w:rFonts w:hAnsi="Book Antiqua" w:hint="default"/>
          <w:sz w:val="24"/>
          <w:szCs w:val="24"/>
          <w:rtl w:val="0"/>
          <w:lang w:val="it-IT"/>
        </w:rPr>
        <w:t xml:space="preserve">é </w:t>
      </w:r>
      <w:r>
        <w:rPr>
          <w:rFonts w:ascii="Book Antiqua"/>
          <w:sz w:val="24"/>
          <w:szCs w:val="24"/>
          <w:rtl w:val="0"/>
          <w:lang w:val="it-IT"/>
        </w:rPr>
        <w:t>avesse validit</w:t>
      </w:r>
      <w:r>
        <w:rPr>
          <w:rFonts w:hAnsi="Book Antiqua" w:hint="default"/>
          <w:sz w:val="24"/>
          <w:szCs w:val="24"/>
          <w:rtl w:val="0"/>
          <w:lang w:val="it-IT"/>
        </w:rPr>
        <w:t xml:space="preserve">à </w:t>
      </w:r>
      <w:r>
        <w:rPr>
          <w:rFonts w:ascii="Book Antiqua"/>
          <w:sz w:val="24"/>
          <w:szCs w:val="24"/>
          <w:rtl w:val="0"/>
          <w:lang w:val="it-IT"/>
        </w:rPr>
        <w:t>un anno. Ma una volta subentrato il nuovo, solo apparentemente soggetto giuridico (Ecomont), quest'ultimo ha chiesto il differimento dei termini, che sono stati autorizzati, per un ulteriore anno. Atteso che, come emerger</w:t>
      </w:r>
      <w:r>
        <w:rPr>
          <w:rFonts w:hAnsi="Book Antiqua" w:hint="default"/>
          <w:sz w:val="24"/>
          <w:szCs w:val="24"/>
          <w:rtl w:val="0"/>
          <w:lang w:val="it-IT"/>
        </w:rPr>
        <w:t xml:space="preserve">à </w:t>
      </w:r>
      <w:r>
        <w:rPr>
          <w:rFonts w:ascii="Book Antiqua"/>
          <w:sz w:val="24"/>
          <w:szCs w:val="24"/>
          <w:rtl w:val="0"/>
          <w:lang w:val="it-IT"/>
        </w:rPr>
        <w:t xml:space="preserve">nel corso dell'esposizione dei fatti, Guastella ed Ecomontsono riconducibili ai medesimi soggetti, </w:t>
      </w:r>
      <w:r>
        <w:rPr>
          <w:rFonts w:hAnsi="Book Antiqua" w:hint="default"/>
          <w:sz w:val="24"/>
          <w:szCs w:val="24"/>
          <w:rtl w:val="0"/>
          <w:lang w:val="it-IT"/>
        </w:rPr>
        <w:t xml:space="preserve">è </w:t>
      </w:r>
      <w:r>
        <w:rPr>
          <w:rFonts w:ascii="Book Antiqua"/>
          <w:sz w:val="24"/>
          <w:szCs w:val="24"/>
          <w:rtl w:val="0"/>
          <w:lang w:val="it-IT"/>
        </w:rPr>
        <w:t>verosimile quanto ipotizzato</w:t>
      </w:r>
      <w:r>
        <w:rPr>
          <w:rFonts w:hAnsi="Book Antiqua" w:hint="default"/>
          <w:sz w:val="24"/>
          <w:szCs w:val="24"/>
          <w:rtl w:val="0"/>
          <w:lang w:val="it-IT"/>
        </w:rPr>
        <w:t>”</w:t>
      </w:r>
      <w:r>
        <w:rPr>
          <w:rFonts w:ascii="Book Antiqua"/>
          <w:sz w:val="24"/>
          <w:szCs w:val="24"/>
          <w:rtl w:val="0"/>
          <w:lang w:val="it-IT"/>
        </w:rPr>
        <w:t>.</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 xml:space="preserve">Dunque, la complessa vicenda amministrativa ha di fatto creato una sorta di finestra </w:t>
      </w:r>
      <w:r>
        <w:rPr>
          <w:rFonts w:ascii="Book Antiqua"/>
          <w:i w:val="1"/>
          <w:iCs w:val="1"/>
          <w:sz w:val="24"/>
          <w:szCs w:val="24"/>
          <w:rtl w:val="0"/>
          <w:lang w:val="it-IT"/>
        </w:rPr>
        <w:t>extra ordinem</w:t>
      </w:r>
      <w:r>
        <w:rPr>
          <w:rFonts w:ascii="Book Antiqua"/>
          <w:sz w:val="24"/>
          <w:szCs w:val="24"/>
          <w:rtl w:val="0"/>
          <w:lang w:val="it-IT"/>
        </w:rPr>
        <w:t xml:space="preserve"> che ha consentito lo smaltimento </w:t>
      </w:r>
      <w:r>
        <w:rPr>
          <w:rFonts w:hAnsi="Book Antiqua" w:hint="default"/>
          <w:sz w:val="24"/>
          <w:szCs w:val="24"/>
          <w:rtl w:val="0"/>
          <w:lang w:val="it-IT"/>
        </w:rPr>
        <w:t xml:space="preserve">– </w:t>
      </w:r>
      <w:r>
        <w:rPr>
          <w:rFonts w:ascii="Book Antiqua"/>
          <w:sz w:val="24"/>
          <w:szCs w:val="24"/>
          <w:rtl w:val="0"/>
          <w:lang w:val="it-IT"/>
        </w:rPr>
        <w:t>non pi</w:t>
      </w:r>
      <w:r>
        <w:rPr>
          <w:rFonts w:hAnsi="Book Antiqua" w:hint="default"/>
          <w:sz w:val="24"/>
          <w:szCs w:val="24"/>
          <w:rtl w:val="0"/>
          <w:lang w:val="it-IT"/>
        </w:rPr>
        <w:t xml:space="preserve">ù </w:t>
      </w:r>
      <w:r>
        <w:rPr>
          <w:rFonts w:ascii="Book Antiqua"/>
          <w:sz w:val="24"/>
          <w:szCs w:val="24"/>
          <w:rtl w:val="0"/>
          <w:lang w:val="it-IT"/>
        </w:rPr>
        <w:t xml:space="preserve">temporaneo, ma definitivo </w:t>
      </w:r>
      <w:r>
        <w:rPr>
          <w:rFonts w:hAnsi="Book Antiqua" w:hint="default"/>
          <w:sz w:val="24"/>
          <w:szCs w:val="24"/>
          <w:rtl w:val="0"/>
          <w:lang w:val="it-IT"/>
        </w:rPr>
        <w:t xml:space="preserve">– </w:t>
      </w:r>
      <w:r>
        <w:rPr>
          <w:rFonts w:ascii="Book Antiqua"/>
          <w:sz w:val="24"/>
          <w:szCs w:val="24"/>
          <w:rtl w:val="0"/>
          <w:lang w:val="it-IT"/>
        </w:rPr>
        <w:t xml:space="preserve">di rifiuti industriali, anche pericolosi, nell'invaso </w:t>
      </w:r>
      <w:r>
        <w:rPr>
          <w:rFonts w:hAnsi="Book Antiqua" w:hint="default"/>
          <w:sz w:val="24"/>
          <w:szCs w:val="24"/>
          <w:rtl w:val="0"/>
          <w:lang w:val="it-IT"/>
        </w:rPr>
        <w:t>“</w:t>
      </w:r>
      <w:r>
        <w:rPr>
          <w:rFonts w:ascii="Book Antiqua"/>
          <w:sz w:val="24"/>
          <w:szCs w:val="24"/>
          <w:rtl w:val="0"/>
          <w:lang w:val="it-IT"/>
        </w:rPr>
        <w:t>B2</w:t>
      </w:r>
      <w:r>
        <w:rPr>
          <w:rFonts w:hAnsi="Book Antiqua" w:hint="default"/>
          <w:sz w:val="24"/>
          <w:szCs w:val="24"/>
          <w:rtl w:val="0"/>
          <w:lang w:val="it-IT"/>
        </w:rPr>
        <w:t>”</w:t>
      </w:r>
      <w:r>
        <w:rPr>
          <w:rFonts w:ascii="Book Antiqua"/>
          <w:sz w:val="24"/>
          <w:szCs w:val="24"/>
          <w:rtl w:val="0"/>
          <w:lang w:val="it-IT"/>
        </w:rPr>
        <w:t xml:space="preserve">, per almeno due anni (ovvero per quel periodo temporale creato dalle due sospensioni della esecuzione delle sentenze TAR da parte del Consiglio di Stato). Situazione che, secondo la Squadra mobile di Latina, era stata creata ad arte attraverso cambi societari, decisi sostanzialmente per poter ottenere le sospensioni della decisione del TAR (che imponeva la chiusura degli impianti) da parte del Consiglio di Stato. </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Si tratta ora di capire che tipo di rifiuti siano stati smaltiti nel sito in questione in quel periodo storico, utilizzando l</w:t>
      </w:r>
      <w:r>
        <w:rPr>
          <w:rFonts w:hAnsi="Book Antiqua" w:hint="default"/>
          <w:sz w:val="24"/>
          <w:szCs w:val="24"/>
          <w:rtl w:val="0"/>
          <w:lang w:val="it-IT"/>
        </w:rPr>
        <w:t>’”</w:t>
      </w:r>
      <w:r>
        <w:rPr>
          <w:rFonts w:ascii="Book Antiqua"/>
          <w:sz w:val="24"/>
          <w:szCs w:val="24"/>
          <w:rtl w:val="0"/>
          <w:lang w:val="it-IT"/>
        </w:rPr>
        <w:t>opportunit</w:t>
      </w:r>
      <w:r>
        <w:rPr>
          <w:rFonts w:hAnsi="Book Antiqua" w:hint="default"/>
          <w:sz w:val="24"/>
          <w:szCs w:val="24"/>
          <w:rtl w:val="0"/>
          <w:lang w:val="it-IT"/>
        </w:rPr>
        <w:t xml:space="preserve">à” </w:t>
      </w:r>
      <w:r>
        <w:rPr>
          <w:rFonts w:ascii="Book Antiqua"/>
          <w:sz w:val="24"/>
          <w:szCs w:val="24"/>
          <w:rtl w:val="0"/>
          <w:lang w:val="it-IT"/>
        </w:rPr>
        <w:t>nata con le ordinanze della regione Lazio del 1990.</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La procura presso la pretura di Latina gi</w:t>
      </w:r>
      <w:r>
        <w:rPr>
          <w:rFonts w:hAnsi="Book Antiqua" w:hint="default"/>
          <w:sz w:val="24"/>
          <w:szCs w:val="24"/>
          <w:rtl w:val="0"/>
          <w:lang w:val="it-IT"/>
        </w:rPr>
        <w:t xml:space="preserve">à </w:t>
      </w:r>
      <w:r>
        <w:rPr>
          <w:rFonts w:ascii="Book Antiqua"/>
          <w:sz w:val="24"/>
          <w:szCs w:val="24"/>
          <w:rtl w:val="0"/>
          <w:lang w:val="it-IT"/>
        </w:rPr>
        <w:t>dal maggio 1992 aveva aperto un fascicolo d</w:t>
      </w:r>
      <w:r>
        <w:rPr>
          <w:rFonts w:hAnsi="Book Antiqua" w:hint="default"/>
          <w:sz w:val="24"/>
          <w:szCs w:val="24"/>
          <w:rtl w:val="0"/>
          <w:lang w:val="it-IT"/>
        </w:rPr>
        <w:t>’</w:t>
      </w:r>
      <w:r>
        <w:rPr>
          <w:rFonts w:ascii="Book Antiqua"/>
          <w:sz w:val="24"/>
          <w:szCs w:val="24"/>
          <w:rtl w:val="0"/>
          <w:lang w:val="it-IT"/>
        </w:rPr>
        <w:t>indagine, ricevendo una prima comunicazione di notizia di reato dalla polizia provinciale (la ricostruzione degli atti presenti nel fascicolo viene svolta dai consulenti nonch</w:t>
      </w:r>
      <w:r>
        <w:rPr>
          <w:rFonts w:hAnsi="Book Antiqua" w:hint="default"/>
          <w:sz w:val="24"/>
          <w:szCs w:val="24"/>
          <w:rtl w:val="0"/>
          <w:lang w:val="it-IT"/>
        </w:rPr>
        <w:t xml:space="preserve">é </w:t>
      </w:r>
      <w:r>
        <w:rPr>
          <w:rFonts w:ascii="Book Antiqua"/>
          <w:sz w:val="24"/>
          <w:szCs w:val="24"/>
          <w:rtl w:val="0"/>
          <w:lang w:val="it-IT"/>
        </w:rPr>
        <w:t>nella citata sentenza nei confronti di Adriano Musso e la sentenza del 1997). Gi</w:t>
      </w:r>
      <w:r>
        <w:rPr>
          <w:rFonts w:hAnsi="Book Antiqua" w:hint="default"/>
          <w:sz w:val="24"/>
          <w:szCs w:val="24"/>
          <w:rtl w:val="0"/>
          <w:lang w:val="it-IT"/>
        </w:rPr>
        <w:t xml:space="preserve">à </w:t>
      </w:r>
      <w:r>
        <w:rPr>
          <w:rFonts w:ascii="Book Antiqua"/>
          <w:sz w:val="24"/>
          <w:szCs w:val="24"/>
          <w:rtl w:val="0"/>
          <w:lang w:val="it-IT"/>
        </w:rPr>
        <w:t xml:space="preserve">in quell'anno un consulente del pubblico ministero aveva compiuto degli accertamenti, come </w:t>
      </w:r>
      <w:r>
        <w:rPr>
          <w:rFonts w:hAnsi="Book Antiqua" w:hint="default"/>
          <w:sz w:val="24"/>
          <w:szCs w:val="24"/>
          <w:rtl w:val="0"/>
          <w:lang w:val="it-IT"/>
        </w:rPr>
        <w:t xml:space="preserve">è </w:t>
      </w:r>
      <w:r>
        <w:rPr>
          <w:rFonts w:ascii="Book Antiqua"/>
          <w:sz w:val="24"/>
          <w:szCs w:val="24"/>
          <w:rtl w:val="0"/>
          <w:lang w:val="it-IT"/>
        </w:rPr>
        <w:t xml:space="preserve">possibile leggere dalle motivazioni della sentenza: </w:t>
      </w:r>
    </w:p>
    <w:p>
      <w:pPr>
        <w:pStyle w:val="Corpo A"/>
        <w:ind w:left="567" w:right="567" w:firstLine="0"/>
        <w:jc w:val="both"/>
        <w:rPr>
          <w:rFonts w:ascii="Book Antiqua" w:cs="Book Antiqua" w:hAnsi="Book Antiqua" w:eastAsia="Book Antiqua"/>
          <w:sz w:val="24"/>
          <w:szCs w:val="24"/>
          <w:lang w:val="it-IT"/>
        </w:rPr>
      </w:pPr>
      <w:r>
        <w:rPr>
          <w:rFonts w:hAnsi="Book Antiqua" w:hint="default"/>
          <w:sz w:val="24"/>
          <w:szCs w:val="24"/>
          <w:rtl w:val="0"/>
          <w:lang w:val="it-IT"/>
        </w:rPr>
        <w:t>“</w:t>
      </w:r>
      <w:r>
        <w:rPr>
          <w:rFonts w:ascii="Book Antiqua"/>
          <w:sz w:val="24"/>
          <w:szCs w:val="24"/>
          <w:rtl w:val="0"/>
          <w:lang w:val="it-IT"/>
        </w:rPr>
        <w:t>Nei sopralluoghi compiuti nel 1992 (dal marzo al settembre), il consulente aveva verificato che, nella predetta discarica, vi erano anche fanghi di depurazione provenienti dalla produzione di composti farmaceutici e chimici, residui di verniciatura ed altri materiali ricompresi nella categoria dei rifiuti tossico-nocivi [</w:t>
      </w:r>
      <w:r>
        <w:rPr>
          <w:rFonts w:hAnsi="Book Antiqua" w:hint="default"/>
          <w:sz w:val="24"/>
          <w:szCs w:val="24"/>
          <w:rtl w:val="0"/>
          <w:lang w:val="it-IT"/>
        </w:rPr>
        <w:t>…</w:t>
      </w:r>
      <w:r>
        <w:rPr>
          <w:rFonts w:ascii="Book Antiqua"/>
          <w:sz w:val="24"/>
          <w:szCs w:val="24"/>
          <w:rtl w:val="0"/>
          <w:lang w:val="it-IT"/>
        </w:rPr>
        <w:t>] Secondo il consulente, le caratteristiche di permeabilit</w:t>
      </w:r>
      <w:r>
        <w:rPr>
          <w:rFonts w:hAnsi="Book Antiqua" w:hint="default"/>
          <w:sz w:val="24"/>
          <w:szCs w:val="24"/>
          <w:rtl w:val="0"/>
          <w:lang w:val="it-IT"/>
        </w:rPr>
        <w:t>à</w:t>
      </w:r>
      <w:r>
        <w:rPr>
          <w:rFonts w:ascii="Book Antiqua"/>
          <w:sz w:val="24"/>
          <w:szCs w:val="24"/>
          <w:rtl w:val="0"/>
          <w:lang w:val="it-IT"/>
        </w:rPr>
        <w:t>, capacit</w:t>
      </w:r>
      <w:r>
        <w:rPr>
          <w:rFonts w:hAnsi="Book Antiqua" w:hint="default"/>
          <w:sz w:val="24"/>
          <w:szCs w:val="24"/>
          <w:rtl w:val="0"/>
          <w:lang w:val="it-IT"/>
        </w:rPr>
        <w:t xml:space="preserve">à </w:t>
      </w:r>
      <w:r>
        <w:rPr>
          <w:rFonts w:ascii="Book Antiqua"/>
          <w:sz w:val="24"/>
          <w:szCs w:val="24"/>
          <w:rtl w:val="0"/>
          <w:lang w:val="it-IT"/>
        </w:rPr>
        <w:t>di ritenzione e assorbimento del terreno in questione non erano tali da preservare le acque superficiali e di falda, condizione per lo smaltimento di rifiuti tossico-nocivi</w:t>
      </w:r>
      <w:r>
        <w:rPr>
          <w:rFonts w:hAnsi="Book Antiqua" w:hint="default"/>
          <w:sz w:val="24"/>
          <w:szCs w:val="24"/>
          <w:rtl w:val="0"/>
          <w:lang w:val="it-IT"/>
        </w:rPr>
        <w:t>”</w:t>
      </w:r>
      <w:r>
        <w:rPr>
          <w:rFonts w:ascii="Book Antiqua"/>
          <w:sz w:val="24"/>
          <w:szCs w:val="24"/>
          <w:rtl w:val="0"/>
          <w:lang w:val="it-IT"/>
        </w:rPr>
        <w:t>.</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 xml:space="preserve">Questo passaggio </w:t>
      </w:r>
      <w:r>
        <w:rPr>
          <w:rFonts w:hAnsi="Book Antiqua" w:hint="default"/>
          <w:sz w:val="24"/>
          <w:szCs w:val="24"/>
          <w:rtl w:val="0"/>
          <w:lang w:val="it-IT"/>
        </w:rPr>
        <w:t xml:space="preserve">è </w:t>
      </w:r>
      <w:r>
        <w:rPr>
          <w:rFonts w:ascii="Book Antiqua"/>
          <w:sz w:val="24"/>
          <w:szCs w:val="24"/>
          <w:rtl w:val="0"/>
          <w:lang w:val="it-IT"/>
        </w:rPr>
        <w:t>particolarmente importante perch</w:t>
      </w:r>
      <w:r>
        <w:rPr>
          <w:rFonts w:hAnsi="Book Antiqua" w:hint="default"/>
          <w:sz w:val="24"/>
          <w:szCs w:val="24"/>
          <w:rtl w:val="0"/>
          <w:lang w:val="it-IT"/>
        </w:rPr>
        <w:t xml:space="preserve">é </w:t>
      </w:r>
      <w:r>
        <w:rPr>
          <w:rFonts w:ascii="Book Antiqua"/>
          <w:sz w:val="24"/>
          <w:szCs w:val="24"/>
          <w:rtl w:val="0"/>
          <w:lang w:val="it-IT"/>
        </w:rPr>
        <w:t>attesta l</w:t>
      </w:r>
      <w:r>
        <w:rPr>
          <w:rFonts w:hAnsi="Book Antiqua" w:hint="default"/>
          <w:sz w:val="24"/>
          <w:szCs w:val="24"/>
          <w:rtl w:val="0"/>
          <w:lang w:val="it-IT"/>
        </w:rPr>
        <w:t>’</w:t>
      </w:r>
      <w:r>
        <w:rPr>
          <w:rFonts w:ascii="Book Antiqua"/>
          <w:sz w:val="24"/>
          <w:szCs w:val="24"/>
          <w:rtl w:val="0"/>
          <w:lang w:val="it-IT"/>
        </w:rPr>
        <w:t>avvenuto smaltimento di rifiuti pericolosi all</w:t>
      </w:r>
      <w:r>
        <w:rPr>
          <w:rFonts w:hAnsi="Book Antiqua" w:hint="default"/>
          <w:sz w:val="24"/>
          <w:szCs w:val="24"/>
          <w:rtl w:val="0"/>
          <w:lang w:val="it-IT"/>
        </w:rPr>
        <w:t>’</w:t>
      </w:r>
      <w:r>
        <w:rPr>
          <w:rFonts w:ascii="Book Antiqua"/>
          <w:sz w:val="24"/>
          <w:szCs w:val="24"/>
          <w:rtl w:val="0"/>
          <w:lang w:val="it-IT"/>
        </w:rPr>
        <w:t>interno dell</w:t>
      </w:r>
      <w:r>
        <w:rPr>
          <w:rFonts w:hAnsi="Book Antiqua" w:hint="default"/>
          <w:sz w:val="24"/>
          <w:szCs w:val="24"/>
          <w:rtl w:val="0"/>
          <w:lang w:val="it-IT"/>
        </w:rPr>
        <w:t>’</w:t>
      </w:r>
      <w:r>
        <w:rPr>
          <w:rFonts w:ascii="Book Antiqua"/>
          <w:sz w:val="24"/>
          <w:szCs w:val="24"/>
          <w:rtl w:val="0"/>
          <w:lang w:val="it-IT"/>
        </w:rPr>
        <w:t xml:space="preserve">area B2 della discarica di Montello, come abbiamo visto. </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 xml:space="preserve">Su questo sito </w:t>
      </w:r>
      <w:r>
        <w:rPr>
          <w:rFonts w:hAnsi="Book Antiqua" w:hint="default"/>
          <w:sz w:val="24"/>
          <w:szCs w:val="24"/>
          <w:rtl w:val="0"/>
          <w:lang w:val="it-IT"/>
        </w:rPr>
        <w:t xml:space="preserve">– </w:t>
      </w:r>
      <w:r>
        <w:rPr>
          <w:rFonts w:ascii="Book Antiqua"/>
          <w:sz w:val="24"/>
          <w:szCs w:val="24"/>
          <w:rtl w:val="0"/>
          <w:lang w:val="it-IT"/>
        </w:rPr>
        <w:t xml:space="preserve">giova ricordarlo </w:t>
      </w:r>
      <w:r>
        <w:rPr>
          <w:rFonts w:hAnsi="Book Antiqua" w:hint="default"/>
          <w:sz w:val="24"/>
          <w:szCs w:val="24"/>
          <w:rtl w:val="0"/>
          <w:lang w:val="it-IT"/>
        </w:rPr>
        <w:t xml:space="preserve">– </w:t>
      </w:r>
      <w:r>
        <w:rPr>
          <w:rFonts w:ascii="Book Antiqua"/>
          <w:sz w:val="24"/>
          <w:szCs w:val="24"/>
          <w:rtl w:val="0"/>
          <w:lang w:val="it-IT"/>
        </w:rPr>
        <w:t xml:space="preserve">negli anni seguenti </w:t>
      </w:r>
      <w:r>
        <w:rPr>
          <w:rFonts w:hAnsi="Book Antiqua" w:hint="default"/>
          <w:sz w:val="24"/>
          <w:szCs w:val="24"/>
          <w:rtl w:val="0"/>
          <w:lang w:val="it-IT"/>
        </w:rPr>
        <w:t xml:space="preserve">è </w:t>
      </w:r>
      <w:r>
        <w:rPr>
          <w:rFonts w:ascii="Book Antiqua"/>
          <w:sz w:val="24"/>
          <w:szCs w:val="24"/>
          <w:rtl w:val="0"/>
          <w:lang w:val="it-IT"/>
        </w:rPr>
        <w:t>stata realizzata una seconda discarica per rifiuti solidi urbani, mentre l</w:t>
      </w:r>
      <w:r>
        <w:rPr>
          <w:rFonts w:hAnsi="Book Antiqua" w:hint="default"/>
          <w:sz w:val="24"/>
          <w:szCs w:val="24"/>
          <w:rtl w:val="0"/>
          <w:lang w:val="it-IT"/>
        </w:rPr>
        <w:t>’</w:t>
      </w:r>
      <w:r>
        <w:rPr>
          <w:rFonts w:ascii="Book Antiqua"/>
          <w:sz w:val="24"/>
          <w:szCs w:val="24"/>
          <w:rtl w:val="0"/>
          <w:lang w:val="it-IT"/>
        </w:rPr>
        <w:t>area adiacente l</w:t>
      </w:r>
      <w:r>
        <w:rPr>
          <w:rFonts w:hAnsi="Book Antiqua" w:hint="default"/>
          <w:sz w:val="24"/>
          <w:szCs w:val="24"/>
          <w:rtl w:val="0"/>
          <w:lang w:val="it-IT"/>
        </w:rPr>
        <w:t>’</w:t>
      </w:r>
      <w:r>
        <w:rPr>
          <w:rFonts w:ascii="Book Antiqua"/>
          <w:sz w:val="24"/>
          <w:szCs w:val="24"/>
          <w:rtl w:val="0"/>
          <w:lang w:val="it-IT"/>
        </w:rPr>
        <w:t xml:space="preserve">invaso </w:t>
      </w:r>
      <w:r>
        <w:rPr>
          <w:rFonts w:hAnsi="Book Antiqua" w:hint="default"/>
          <w:sz w:val="24"/>
          <w:szCs w:val="24"/>
          <w:rtl w:val="0"/>
          <w:lang w:val="it-IT"/>
        </w:rPr>
        <w:t xml:space="preserve">è </w:t>
      </w:r>
      <w:r>
        <w:rPr>
          <w:rFonts w:ascii="Book Antiqua"/>
          <w:sz w:val="24"/>
          <w:szCs w:val="24"/>
          <w:rtl w:val="0"/>
          <w:lang w:val="it-IT"/>
        </w:rPr>
        <w:t>oggi oggetto di richiesta di ampliamento presentata dalla societ</w:t>
      </w:r>
      <w:r>
        <w:rPr>
          <w:rFonts w:hAnsi="Book Antiqua" w:hint="default"/>
          <w:sz w:val="24"/>
          <w:szCs w:val="24"/>
          <w:rtl w:val="0"/>
          <w:lang w:val="it-IT"/>
        </w:rPr>
        <w:t xml:space="preserve">à </w:t>
      </w:r>
      <w:r>
        <w:rPr>
          <w:rFonts w:ascii="Book Antiqua"/>
          <w:sz w:val="24"/>
          <w:szCs w:val="24"/>
          <w:rtl w:val="0"/>
          <w:lang w:val="it-IT"/>
        </w:rPr>
        <w:t>Indeco al settore rifiuti della regione Lazio</w:t>
      </w:r>
      <w:r>
        <w:rPr>
          <w:rFonts w:ascii="Book Antiqua" w:cs="Book Antiqua" w:hAnsi="Book Antiqua" w:eastAsia="Book Antiqua"/>
          <w:sz w:val="24"/>
          <w:szCs w:val="24"/>
          <w:vertAlign w:val="superscript"/>
          <w:rtl w:val="0"/>
        </w:rPr>
        <w:footnoteReference w:id="336"/>
      </w:r>
      <w:r>
        <w:rPr>
          <w:rFonts w:ascii="Book Antiqua"/>
          <w:sz w:val="24"/>
          <w:szCs w:val="24"/>
          <w:rtl w:val="0"/>
          <w:lang w:val="it-IT"/>
        </w:rPr>
        <w:t>. L</w:t>
      </w:r>
      <w:r>
        <w:rPr>
          <w:rFonts w:hAnsi="Book Antiqua" w:hint="default"/>
          <w:sz w:val="24"/>
          <w:szCs w:val="24"/>
          <w:rtl w:val="0"/>
          <w:lang w:val="it-IT"/>
        </w:rPr>
        <w:t>’</w:t>
      </w:r>
      <w:r>
        <w:rPr>
          <w:rFonts w:ascii="Book Antiqua"/>
          <w:sz w:val="24"/>
          <w:szCs w:val="24"/>
          <w:rtl w:val="0"/>
          <w:lang w:val="it-IT"/>
        </w:rPr>
        <w:t>intervento di bonifica dell</w:t>
      </w:r>
      <w:r>
        <w:rPr>
          <w:rFonts w:hAnsi="Book Antiqua" w:hint="default"/>
          <w:sz w:val="24"/>
          <w:szCs w:val="24"/>
          <w:rtl w:val="0"/>
          <w:lang w:val="it-IT"/>
        </w:rPr>
        <w:t>’</w:t>
      </w:r>
      <w:r>
        <w:rPr>
          <w:rFonts w:ascii="Book Antiqua"/>
          <w:sz w:val="24"/>
          <w:szCs w:val="24"/>
          <w:rtl w:val="0"/>
          <w:lang w:val="it-IT"/>
        </w:rPr>
        <w:t xml:space="preserve">area </w:t>
      </w:r>
      <w:r>
        <w:rPr>
          <w:rFonts w:hAnsi="Book Antiqua" w:hint="default"/>
          <w:sz w:val="24"/>
          <w:szCs w:val="24"/>
          <w:rtl w:val="0"/>
          <w:lang w:val="it-IT"/>
        </w:rPr>
        <w:t xml:space="preserve">– </w:t>
      </w:r>
      <w:r>
        <w:rPr>
          <w:rFonts w:ascii="Book Antiqua"/>
          <w:sz w:val="24"/>
          <w:szCs w:val="24"/>
          <w:rtl w:val="0"/>
          <w:lang w:val="it-IT"/>
        </w:rPr>
        <w:t>come gi</w:t>
      </w:r>
      <w:r>
        <w:rPr>
          <w:rFonts w:hAnsi="Book Antiqua" w:hint="default"/>
          <w:sz w:val="24"/>
          <w:szCs w:val="24"/>
          <w:rtl w:val="0"/>
          <w:lang w:val="it-IT"/>
        </w:rPr>
        <w:t xml:space="preserve">à </w:t>
      </w:r>
      <w:r>
        <w:rPr>
          <w:rFonts w:ascii="Book Antiqua"/>
          <w:sz w:val="24"/>
          <w:szCs w:val="24"/>
          <w:rtl w:val="0"/>
          <w:lang w:val="it-IT"/>
        </w:rPr>
        <w:t xml:space="preserve">ricordato </w:t>
      </w:r>
      <w:r>
        <w:rPr>
          <w:rFonts w:hAnsi="Book Antiqua" w:hint="default"/>
          <w:sz w:val="24"/>
          <w:szCs w:val="24"/>
          <w:rtl w:val="0"/>
          <w:lang w:val="it-IT"/>
        </w:rPr>
        <w:t xml:space="preserve">– </w:t>
      </w:r>
      <w:r>
        <w:rPr>
          <w:rFonts w:ascii="Book Antiqua"/>
          <w:sz w:val="24"/>
          <w:szCs w:val="24"/>
          <w:rtl w:val="0"/>
          <w:lang w:val="it-IT"/>
        </w:rPr>
        <w:t>non sembra per</w:t>
      </w:r>
      <w:r>
        <w:rPr>
          <w:rFonts w:hAnsi="Book Antiqua" w:hint="default"/>
          <w:sz w:val="24"/>
          <w:szCs w:val="24"/>
          <w:rtl w:val="0"/>
          <w:lang w:val="it-IT"/>
        </w:rPr>
        <w:t xml:space="preserve">ò </w:t>
      </w:r>
      <w:r>
        <w:rPr>
          <w:rFonts w:ascii="Book Antiqua"/>
          <w:sz w:val="24"/>
          <w:szCs w:val="24"/>
          <w:rtl w:val="0"/>
          <w:lang w:val="it-IT"/>
        </w:rPr>
        <w:t xml:space="preserve">prevedere una procedura specifica che tenga conto della presenza di rifiuti industriali pericolosi. </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 xml:space="preserve">Come si </w:t>
      </w:r>
      <w:r>
        <w:rPr>
          <w:rFonts w:hAnsi="Book Antiqua" w:hint="default"/>
          <w:sz w:val="24"/>
          <w:szCs w:val="24"/>
          <w:rtl w:val="0"/>
          <w:lang w:val="it-IT"/>
        </w:rPr>
        <w:t xml:space="preserve">è </w:t>
      </w:r>
      <w:r>
        <w:rPr>
          <w:rFonts w:ascii="Book Antiqua"/>
          <w:sz w:val="24"/>
          <w:szCs w:val="24"/>
          <w:rtl w:val="0"/>
          <w:lang w:val="it-IT"/>
        </w:rPr>
        <w:t xml:space="preserve">ricordato, il procedimento si </w:t>
      </w:r>
      <w:r>
        <w:rPr>
          <w:rFonts w:hAnsi="Book Antiqua" w:hint="default"/>
          <w:sz w:val="24"/>
          <w:szCs w:val="24"/>
          <w:rtl w:val="0"/>
          <w:lang w:val="it-IT"/>
        </w:rPr>
        <w:t xml:space="preserve">è </w:t>
      </w:r>
      <w:r>
        <w:rPr>
          <w:rFonts w:ascii="Book Antiqua"/>
          <w:sz w:val="24"/>
          <w:szCs w:val="24"/>
          <w:rtl w:val="0"/>
          <w:lang w:val="it-IT"/>
        </w:rPr>
        <w:t>concluso in primo grado con una sentenza di condanna e in appello con una declaratoria di non doversi procedere per intervenuta prescrizione</w:t>
      </w:r>
      <w:r>
        <w:rPr>
          <w:rFonts w:ascii="Book Antiqua" w:cs="Book Antiqua" w:hAnsi="Book Antiqua" w:eastAsia="Book Antiqua"/>
          <w:sz w:val="24"/>
          <w:szCs w:val="24"/>
          <w:vertAlign w:val="superscript"/>
          <w:rtl w:val="0"/>
        </w:rPr>
        <w:footnoteReference w:id="337"/>
      </w:r>
      <w:r>
        <w:rPr>
          <w:rFonts w:ascii="Book Antiqua"/>
          <w:sz w:val="24"/>
          <w:szCs w:val="24"/>
          <w:rtl w:val="0"/>
          <w:lang w:val="it-IT"/>
        </w:rPr>
        <w:t xml:space="preserve">. </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 xml:space="preserve">La ricostruzione puntuale dei rifiuti conferiti nell'invaso B2 </w:t>
      </w:r>
      <w:r>
        <w:rPr>
          <w:rFonts w:hAnsi="Book Antiqua" w:hint="default"/>
          <w:sz w:val="24"/>
          <w:szCs w:val="24"/>
          <w:rtl w:val="0"/>
          <w:lang w:val="it-IT"/>
        </w:rPr>
        <w:t xml:space="preserve">è </w:t>
      </w:r>
      <w:r>
        <w:rPr>
          <w:rFonts w:ascii="Book Antiqua"/>
          <w:sz w:val="24"/>
          <w:szCs w:val="24"/>
          <w:rtl w:val="0"/>
          <w:lang w:val="it-IT"/>
        </w:rPr>
        <w:t>contenuta nella consulenza</w:t>
      </w:r>
      <w:r>
        <w:rPr>
          <w:rFonts w:ascii="Book Antiqua" w:cs="Book Antiqua" w:hAnsi="Book Antiqua" w:eastAsia="Book Antiqua"/>
          <w:sz w:val="24"/>
          <w:szCs w:val="24"/>
          <w:vertAlign w:val="superscript"/>
          <w:rtl w:val="0"/>
        </w:rPr>
        <w:footnoteReference w:id="338"/>
      </w:r>
      <w:r>
        <w:rPr>
          <w:rFonts w:ascii="Book Antiqua"/>
          <w:sz w:val="24"/>
          <w:szCs w:val="24"/>
          <w:rtl w:val="0"/>
          <w:lang w:val="it-IT"/>
        </w:rPr>
        <w:t xml:space="preserve"> che si basa sulla consultazione della relazione tecnica compilata dal responsabile settore ambiente del presidio multizonale di prevenzione di Latina, documento contenuto nel fascicolo processuale della Pretura di Latina del 1992. </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 xml:space="preserve">Scrivono i consulenti: </w:t>
      </w:r>
      <w:r>
        <w:rPr>
          <w:rFonts w:hAnsi="Book Antiqua" w:hint="default"/>
          <w:sz w:val="24"/>
          <w:szCs w:val="24"/>
          <w:rtl w:val="0"/>
          <w:lang w:val="it-IT"/>
        </w:rPr>
        <w:t>“</w:t>
      </w:r>
      <w:r>
        <w:rPr>
          <w:rFonts w:ascii="Book Antiqua"/>
          <w:sz w:val="24"/>
          <w:szCs w:val="24"/>
          <w:rtl w:val="0"/>
          <w:lang w:val="it-IT"/>
        </w:rPr>
        <w:t xml:space="preserve">Gli accertamenti riguardano 19 schede concernenti altrettante tipologie di rifiuti smaltiti; orbene solo per 8 schede la relazione conclude con un giudizio di </w:t>
      </w:r>
      <w:r>
        <w:rPr>
          <w:rFonts w:hAnsi="Book Antiqua" w:hint="default"/>
          <w:sz w:val="24"/>
          <w:szCs w:val="24"/>
          <w:rtl w:val="0"/>
          <w:lang w:val="it-IT"/>
        </w:rPr>
        <w:t>‘</w:t>
      </w:r>
      <w:r>
        <w:rPr>
          <w:rFonts w:ascii="Book Antiqua"/>
          <w:sz w:val="24"/>
          <w:szCs w:val="24"/>
          <w:rtl w:val="0"/>
          <w:lang w:val="it-IT"/>
        </w:rPr>
        <w:t>corretta accettazione</w:t>
      </w:r>
      <w:r>
        <w:rPr>
          <w:rFonts w:hAnsi="Book Antiqua" w:hint="default"/>
          <w:sz w:val="24"/>
          <w:szCs w:val="24"/>
          <w:rtl w:val="0"/>
          <w:lang w:val="it-IT"/>
        </w:rPr>
        <w:t xml:space="preserve">’ </w:t>
      </w:r>
      <w:r>
        <w:rPr>
          <w:rFonts w:ascii="Book Antiqua"/>
          <w:sz w:val="24"/>
          <w:szCs w:val="24"/>
          <w:rtl w:val="0"/>
          <w:lang w:val="it-IT"/>
        </w:rPr>
        <w:t>del rifiuto in discarica: per le altre schede si evidenziano analisi incongruenti e/o insufficienti, difficolt</w:t>
      </w:r>
      <w:r>
        <w:rPr>
          <w:rFonts w:hAnsi="Book Antiqua" w:hint="default"/>
          <w:sz w:val="24"/>
          <w:szCs w:val="24"/>
          <w:rtl w:val="0"/>
          <w:lang w:val="it-IT"/>
        </w:rPr>
        <w:t xml:space="preserve">à </w:t>
      </w:r>
      <w:r>
        <w:rPr>
          <w:rFonts w:ascii="Book Antiqua"/>
          <w:sz w:val="24"/>
          <w:szCs w:val="24"/>
          <w:rtl w:val="0"/>
          <w:lang w:val="it-IT"/>
        </w:rPr>
        <w:t>varia di classificazione dei rifiuti, perplessit</w:t>
      </w:r>
      <w:r>
        <w:rPr>
          <w:rFonts w:hAnsi="Book Antiqua" w:hint="default"/>
          <w:sz w:val="24"/>
          <w:szCs w:val="24"/>
          <w:rtl w:val="0"/>
          <w:lang w:val="it-IT"/>
        </w:rPr>
        <w:t xml:space="preserve">à </w:t>
      </w:r>
      <w:r>
        <w:rPr>
          <w:rFonts w:ascii="Book Antiqua"/>
          <w:sz w:val="24"/>
          <w:szCs w:val="24"/>
          <w:rtl w:val="0"/>
          <w:lang w:val="it-IT"/>
        </w:rPr>
        <w:t>sulla correttezza di ammissione in discarica, impossibilit</w:t>
      </w:r>
      <w:r>
        <w:rPr>
          <w:rFonts w:hAnsi="Book Antiqua" w:hint="default"/>
          <w:sz w:val="24"/>
          <w:szCs w:val="24"/>
          <w:rtl w:val="0"/>
          <w:lang w:val="it-IT"/>
        </w:rPr>
        <w:t xml:space="preserve">à </w:t>
      </w:r>
      <w:r>
        <w:rPr>
          <w:rFonts w:ascii="Book Antiqua"/>
          <w:sz w:val="24"/>
          <w:szCs w:val="24"/>
          <w:rtl w:val="0"/>
          <w:lang w:val="it-IT"/>
        </w:rPr>
        <w:t xml:space="preserve">di classificazione e/o declassificazione da </w:t>
      </w:r>
      <w:r>
        <w:rPr>
          <w:rFonts w:hAnsi="Book Antiqua" w:hint="default"/>
          <w:sz w:val="24"/>
          <w:szCs w:val="24"/>
          <w:rtl w:val="0"/>
          <w:lang w:val="it-IT"/>
        </w:rPr>
        <w:t>‘</w:t>
      </w:r>
      <w:r>
        <w:rPr>
          <w:rFonts w:ascii="Book Antiqua"/>
          <w:sz w:val="24"/>
          <w:szCs w:val="24"/>
          <w:rtl w:val="0"/>
          <w:lang w:val="it-IT"/>
        </w:rPr>
        <w:t>tossico nocivo</w:t>
      </w:r>
      <w:r>
        <w:rPr>
          <w:rFonts w:hAnsi="Book Antiqua" w:hint="default"/>
          <w:sz w:val="24"/>
          <w:szCs w:val="24"/>
          <w:rtl w:val="0"/>
          <w:lang w:val="it-IT"/>
        </w:rPr>
        <w:t xml:space="preserve">’ </w:t>
      </w:r>
      <w:r>
        <w:rPr>
          <w:rFonts w:ascii="Book Antiqua"/>
          <w:sz w:val="24"/>
          <w:szCs w:val="24"/>
          <w:rtl w:val="0"/>
          <w:lang w:val="it-IT"/>
        </w:rPr>
        <w:t xml:space="preserve">a speciale fino ad </w:t>
      </w:r>
      <w:r>
        <w:rPr>
          <w:rFonts w:hAnsi="Book Antiqua" w:hint="default"/>
          <w:sz w:val="24"/>
          <w:szCs w:val="24"/>
          <w:rtl w:val="0"/>
          <w:lang w:val="it-IT"/>
        </w:rPr>
        <w:t>‘</w:t>
      </w:r>
      <w:r>
        <w:rPr>
          <w:rFonts w:ascii="Book Antiqua"/>
          <w:sz w:val="24"/>
          <w:szCs w:val="24"/>
          <w:rtl w:val="0"/>
          <w:lang w:val="it-IT"/>
        </w:rPr>
        <w:t>assimilabile ai rifiuti urbani</w:t>
      </w:r>
      <w:r>
        <w:rPr>
          <w:rFonts w:hAnsi="Book Antiqua" w:hint="default"/>
          <w:sz w:val="24"/>
          <w:szCs w:val="24"/>
          <w:rtl w:val="0"/>
          <w:lang w:val="it-IT"/>
        </w:rPr>
        <w:t>’ ”</w:t>
      </w:r>
      <w:r>
        <w:rPr>
          <w:rFonts w:ascii="Book Antiqua"/>
          <w:sz w:val="24"/>
          <w:szCs w:val="24"/>
          <w:rtl w:val="0"/>
          <w:lang w:val="it-IT"/>
        </w:rPr>
        <w:t>.</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I consulenti avevano effettuato un sopralluogo nel marzo 1992 (quindi nella fase iniziale di coltivazione della discarica). I risultati hanno portato ad individuare una serie di rifiuti - alcuni con caratteristiche ascrivibili ai pericolosi (ex tossico nocivi) - smaltiti tra il marzo e il settembre 1992 (epoca degli accessi all'impianto da parte dei periti).</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 xml:space="preserve">L'elenco che segue, dunque, </w:t>
      </w:r>
      <w:r>
        <w:rPr>
          <w:rFonts w:hAnsi="Book Antiqua" w:hint="default"/>
          <w:sz w:val="24"/>
          <w:szCs w:val="24"/>
          <w:rtl w:val="0"/>
          <w:lang w:val="it-IT"/>
        </w:rPr>
        <w:t xml:space="preserve">è </w:t>
      </w:r>
      <w:r>
        <w:rPr>
          <w:rFonts w:ascii="Book Antiqua"/>
          <w:sz w:val="24"/>
          <w:szCs w:val="24"/>
          <w:rtl w:val="0"/>
          <w:lang w:val="it-IT"/>
        </w:rPr>
        <w:t>parziale e si riferisce solo periodo di sette mesi indicato:</w:t>
      </w:r>
    </w:p>
    <w:p>
      <w:pPr>
        <w:pStyle w:val="Corpo A"/>
        <w:ind w:left="567" w:right="567" w:firstLine="0"/>
        <w:jc w:val="both"/>
        <w:rPr>
          <w:rFonts w:ascii="Book Antiqua" w:cs="Book Antiqua" w:hAnsi="Book Antiqua" w:eastAsia="Book Antiqua"/>
          <w:sz w:val="24"/>
          <w:szCs w:val="24"/>
          <w:lang w:val="it-IT"/>
        </w:rPr>
      </w:pPr>
    </w:p>
    <w:p>
      <w:pPr>
        <w:pStyle w:val="Corpo A"/>
        <w:ind w:left="567" w:right="567" w:firstLine="0"/>
        <w:jc w:val="both"/>
        <w:rPr>
          <w:rFonts w:ascii="Book Antiqua" w:cs="Book Antiqua" w:hAnsi="Book Antiqua" w:eastAsia="Book Antiqua"/>
          <w:lang w:val="it-IT"/>
        </w:rPr>
      </w:pPr>
      <w:r>
        <w:rPr>
          <w:rFonts w:ascii="Book Antiqua"/>
          <w:rtl w:val="0"/>
          <w:lang w:val="it-IT"/>
        </w:rPr>
        <w:t>- Fango di depurazione reflui nella produzione di sapone e detergenti sintetici. Produttore Colgate Palmolive di Anzio.</w:t>
      </w:r>
    </w:p>
    <w:p>
      <w:pPr>
        <w:pStyle w:val="Corpo A"/>
        <w:ind w:left="567" w:right="567" w:firstLine="0"/>
        <w:jc w:val="both"/>
        <w:rPr>
          <w:rFonts w:ascii="Book Antiqua" w:cs="Book Antiqua" w:hAnsi="Book Antiqua" w:eastAsia="Book Antiqua"/>
          <w:lang w:val="it-IT"/>
        </w:rPr>
      </w:pPr>
      <w:r>
        <w:rPr>
          <w:rFonts w:ascii="Book Antiqua"/>
          <w:rtl w:val="0"/>
          <w:lang w:val="it-IT"/>
        </w:rPr>
        <w:t>- Fango inorganico da impianto di depurazione dei reflui nella produzione e prima trasformazione dei metalli non ferrosi. Produttore Tubettificio europeo Spa di Anzio.</w:t>
      </w:r>
    </w:p>
    <w:p>
      <w:pPr>
        <w:pStyle w:val="Corpo A"/>
        <w:ind w:left="567" w:right="567" w:firstLine="0"/>
        <w:jc w:val="both"/>
        <w:rPr>
          <w:rFonts w:ascii="Book Antiqua" w:cs="Book Antiqua" w:hAnsi="Book Antiqua" w:eastAsia="Book Antiqua"/>
          <w:lang w:val="it-IT"/>
        </w:rPr>
      </w:pPr>
      <w:r>
        <w:rPr>
          <w:rFonts w:ascii="Book Antiqua"/>
          <w:rtl w:val="0"/>
          <w:lang w:val="it-IT"/>
        </w:rPr>
        <w:t>- Scorie metalliche sottoposte a lavaggio. Produttore Consortium di Ferentino.</w:t>
      </w:r>
    </w:p>
    <w:p>
      <w:pPr>
        <w:pStyle w:val="Corpo A"/>
        <w:ind w:left="567" w:right="567" w:firstLine="0"/>
        <w:jc w:val="both"/>
        <w:rPr>
          <w:rFonts w:ascii="Book Antiqua" w:cs="Book Antiqua" w:hAnsi="Book Antiqua" w:eastAsia="Book Antiqua"/>
          <w:lang w:val="it-IT"/>
        </w:rPr>
      </w:pPr>
      <w:r>
        <w:rPr>
          <w:rFonts w:ascii="Book Antiqua"/>
          <w:rtl w:val="0"/>
          <w:lang w:val="it-IT"/>
        </w:rPr>
        <w:t>- Materiale eternit proveniente dalla demolizione di tettoie raccolte presso lo stabilimento IRBI di Pomezia.</w:t>
      </w:r>
    </w:p>
    <w:p>
      <w:pPr>
        <w:pStyle w:val="Corpo A"/>
        <w:ind w:left="567" w:right="567" w:firstLine="0"/>
        <w:jc w:val="both"/>
        <w:rPr>
          <w:rFonts w:ascii="Book Antiqua" w:cs="Book Antiqua" w:hAnsi="Book Antiqua" w:eastAsia="Book Antiqua"/>
          <w:lang w:val="it-IT"/>
        </w:rPr>
      </w:pPr>
      <w:r>
        <w:rPr>
          <w:rFonts w:ascii="Book Antiqua"/>
          <w:rtl w:val="0"/>
          <w:lang w:val="it-IT"/>
        </w:rPr>
        <w:t>- Fango originato da impianto di depurazione per rifiuti organici servizi igienici, residui di fermentazione terreni produzione antibiotici. Provenienza IRFI di Ferentino.</w:t>
      </w:r>
    </w:p>
    <w:p>
      <w:pPr>
        <w:pStyle w:val="Corpo A"/>
        <w:ind w:left="567" w:right="567" w:firstLine="0"/>
        <w:jc w:val="both"/>
        <w:rPr>
          <w:rFonts w:ascii="Book Antiqua" w:cs="Book Antiqua" w:hAnsi="Book Antiqua" w:eastAsia="Book Antiqua"/>
          <w:lang w:val="it-IT"/>
        </w:rPr>
      </w:pPr>
      <w:r>
        <w:rPr>
          <w:rFonts w:ascii="Book Antiqua"/>
          <w:rtl w:val="0"/>
          <w:lang w:val="it-IT"/>
        </w:rPr>
        <w:t xml:space="preserve">- Fango da depurazione in processo di materie prime per la produzione di saponi e detergenti, indicato come </w:t>
      </w:r>
      <w:r>
        <w:rPr>
          <w:rFonts w:hAnsi="Book Antiqua" w:hint="default"/>
          <w:rtl w:val="0"/>
          <w:lang w:val="it-IT"/>
        </w:rPr>
        <w:t>“</w:t>
      </w:r>
      <w:r>
        <w:rPr>
          <w:rFonts w:ascii="Book Antiqua"/>
          <w:rtl w:val="0"/>
          <w:lang w:val="it-IT"/>
        </w:rPr>
        <w:t>tripolifosfato di sodio su pallets</w:t>
      </w:r>
      <w:r>
        <w:rPr>
          <w:rFonts w:hAnsi="Book Antiqua" w:hint="default"/>
          <w:rtl w:val="0"/>
          <w:lang w:val="it-IT"/>
        </w:rPr>
        <w:t>”</w:t>
      </w:r>
      <w:r>
        <w:rPr>
          <w:rFonts w:ascii="Book Antiqua"/>
          <w:rtl w:val="0"/>
          <w:lang w:val="it-IT"/>
        </w:rPr>
        <w:t>. Societ</w:t>
      </w:r>
      <w:r>
        <w:rPr>
          <w:rFonts w:hAnsi="Book Antiqua" w:hint="default"/>
          <w:rtl w:val="0"/>
          <w:lang w:val="it-IT"/>
        </w:rPr>
        <w:t xml:space="preserve">à </w:t>
      </w:r>
      <w:r>
        <w:rPr>
          <w:rFonts w:ascii="Book Antiqua"/>
          <w:rtl w:val="0"/>
          <w:lang w:val="it-IT"/>
        </w:rPr>
        <w:t>Gezia navigazione spa, Anzio Padiglione.</w:t>
      </w:r>
    </w:p>
    <w:p>
      <w:pPr>
        <w:pStyle w:val="Corpo A"/>
        <w:ind w:left="567" w:right="567" w:firstLine="0"/>
        <w:jc w:val="both"/>
        <w:rPr>
          <w:rFonts w:ascii="Book Antiqua" w:cs="Book Antiqua" w:hAnsi="Book Antiqua" w:eastAsia="Book Antiqua"/>
          <w:lang w:val="it-IT"/>
        </w:rPr>
      </w:pPr>
      <w:r>
        <w:rPr>
          <w:rFonts w:ascii="Book Antiqua"/>
          <w:rtl w:val="0"/>
          <w:lang w:val="it-IT"/>
        </w:rPr>
        <w:t>- Fango di depurazione biologica prodotto in Cantina Produttori Frascati a Vermicino (Roma).</w:t>
      </w:r>
    </w:p>
    <w:p>
      <w:pPr>
        <w:pStyle w:val="Corpo A"/>
        <w:ind w:left="567" w:right="567" w:firstLine="0"/>
        <w:jc w:val="both"/>
        <w:rPr>
          <w:rFonts w:ascii="Book Antiqua" w:cs="Book Antiqua" w:hAnsi="Book Antiqua" w:eastAsia="Book Antiqua"/>
          <w:lang w:val="it-IT"/>
        </w:rPr>
      </w:pPr>
      <w:r>
        <w:rPr>
          <w:rFonts w:ascii="Book Antiqua"/>
          <w:rtl w:val="0"/>
          <w:lang w:val="it-IT"/>
        </w:rPr>
        <w:t xml:space="preserve">- </w:t>
      </w:r>
      <w:r>
        <w:rPr>
          <w:rFonts w:hAnsi="Book Antiqua" w:hint="default"/>
          <w:rtl w:val="0"/>
          <w:lang w:val="it-IT"/>
        </w:rPr>
        <w:t>“</w:t>
      </w:r>
      <w:r>
        <w:rPr>
          <w:rFonts w:ascii="Book Antiqua"/>
          <w:rtl w:val="0"/>
          <w:lang w:val="it-IT"/>
        </w:rPr>
        <w:t>Polvere</w:t>
      </w:r>
      <w:r>
        <w:rPr>
          <w:rFonts w:hAnsi="Book Antiqua" w:hint="default"/>
          <w:rtl w:val="0"/>
          <w:lang w:val="it-IT"/>
        </w:rPr>
        <w:t xml:space="preserve">” </w:t>
      </w:r>
      <w:r>
        <w:rPr>
          <w:rFonts w:ascii="Book Antiqua"/>
          <w:rtl w:val="0"/>
          <w:lang w:val="it-IT"/>
        </w:rPr>
        <w:t>ottenuta in impianto di depurazione delle acque reflue di processo di zincatura, fango secco trattato con fitopressa. Stabilimento Pisanti srl di Pomezia.</w:t>
      </w:r>
    </w:p>
    <w:p>
      <w:pPr>
        <w:pStyle w:val="Corpo A"/>
        <w:ind w:left="567" w:right="567" w:firstLine="0"/>
        <w:jc w:val="both"/>
        <w:rPr>
          <w:rFonts w:ascii="Book Antiqua" w:cs="Book Antiqua" w:hAnsi="Book Antiqua" w:eastAsia="Book Antiqua"/>
          <w:lang w:val="it-IT"/>
        </w:rPr>
      </w:pPr>
      <w:r>
        <w:rPr>
          <w:rFonts w:ascii="Book Antiqua"/>
          <w:rtl w:val="0"/>
          <w:lang w:val="it-IT"/>
        </w:rPr>
        <w:t>- Fango da depurazione, definito di natura organica, originato dalla depurazione delle acque reflue, processo con detergenti e saponi liquidi. Impianto Novembal di Sezze.</w:t>
      </w:r>
    </w:p>
    <w:p>
      <w:pPr>
        <w:pStyle w:val="Corpo A"/>
        <w:ind w:left="567" w:right="567" w:firstLine="0"/>
        <w:jc w:val="both"/>
        <w:rPr>
          <w:rFonts w:ascii="Book Antiqua" w:cs="Book Antiqua" w:hAnsi="Book Antiqua" w:eastAsia="Book Antiqua"/>
          <w:lang w:val="it-IT"/>
        </w:rPr>
      </w:pPr>
      <w:r>
        <w:rPr>
          <w:rFonts w:ascii="Book Antiqua"/>
          <w:rtl w:val="0"/>
          <w:lang w:val="it-IT"/>
        </w:rPr>
        <w:t>- Morchie di cabina di verniciatura. Societ</w:t>
      </w:r>
      <w:r>
        <w:rPr>
          <w:rFonts w:hAnsi="Book Antiqua" w:hint="default"/>
          <w:rtl w:val="0"/>
          <w:lang w:val="it-IT"/>
        </w:rPr>
        <w:t xml:space="preserve">à </w:t>
      </w:r>
      <w:r>
        <w:rPr>
          <w:rFonts w:ascii="Book Antiqua"/>
          <w:rtl w:val="0"/>
          <w:lang w:val="it-IT"/>
        </w:rPr>
        <w:t>Devoto Claudio di Cisterna di Latina.</w:t>
      </w:r>
    </w:p>
    <w:p>
      <w:pPr>
        <w:pStyle w:val="Corpo A"/>
        <w:ind w:left="567" w:right="567" w:firstLine="0"/>
        <w:jc w:val="both"/>
        <w:rPr>
          <w:rFonts w:ascii="Book Antiqua" w:cs="Book Antiqua" w:hAnsi="Book Antiqua" w:eastAsia="Book Antiqua"/>
          <w:lang w:val="it-IT"/>
        </w:rPr>
      </w:pPr>
      <w:r>
        <w:rPr>
          <w:rFonts w:ascii="Book Antiqua"/>
          <w:rtl w:val="0"/>
          <w:lang w:val="it-IT"/>
        </w:rPr>
        <w:t xml:space="preserve">- Fango da depurazione di acque provenienti dal depuratore Consorzio per il nucleo di industrializzazione di Rieti </w:t>
      </w:r>
      <w:r>
        <w:rPr>
          <w:rFonts w:hAnsi="Book Antiqua" w:hint="default"/>
          <w:rtl w:val="0"/>
          <w:lang w:val="it-IT"/>
        </w:rPr>
        <w:t xml:space="preserve">– </w:t>
      </w:r>
      <w:r>
        <w:rPr>
          <w:rFonts w:ascii="Book Antiqua"/>
          <w:rtl w:val="0"/>
          <w:lang w:val="it-IT"/>
        </w:rPr>
        <w:t>Cittadella.</w:t>
      </w:r>
    </w:p>
    <w:p>
      <w:pPr>
        <w:pStyle w:val="Corpo A"/>
        <w:ind w:left="567" w:right="567" w:firstLine="0"/>
        <w:jc w:val="both"/>
        <w:rPr>
          <w:rFonts w:ascii="Book Antiqua" w:cs="Book Antiqua" w:hAnsi="Book Antiqua" w:eastAsia="Book Antiqua"/>
          <w:lang w:val="it-IT"/>
        </w:rPr>
      </w:pPr>
      <w:r>
        <w:rPr>
          <w:rFonts w:ascii="Book Antiqua"/>
          <w:rtl w:val="0"/>
          <w:lang w:val="it-IT"/>
        </w:rPr>
        <w:t>- Scarti di pulizia, materiale disomogeneo di carta, plastica, vetro, polistirolo. Sigma Tau, Pomezia.</w:t>
      </w:r>
    </w:p>
    <w:p>
      <w:pPr>
        <w:pStyle w:val="Corpo A"/>
        <w:ind w:left="567" w:right="567" w:firstLine="0"/>
        <w:jc w:val="both"/>
        <w:rPr>
          <w:rFonts w:ascii="Book Antiqua" w:cs="Book Antiqua" w:hAnsi="Book Antiqua" w:eastAsia="Book Antiqua"/>
          <w:lang w:val="it-IT"/>
        </w:rPr>
      </w:pPr>
      <w:r>
        <w:rPr>
          <w:rFonts w:ascii="Book Antiqua"/>
          <w:rtl w:val="0"/>
          <w:lang w:val="it-IT"/>
        </w:rPr>
        <w:t xml:space="preserve">- Fanghi biologici stabilizzati, palabili. Impianto di depurazione a fanghi attivi per le acque dei servizi, cucine e </w:t>
      </w:r>
      <w:r>
        <w:rPr>
          <w:rFonts w:hAnsi="Book Antiqua" w:hint="default"/>
          <w:rtl w:val="0"/>
          <w:lang w:val="it-IT"/>
        </w:rPr>
        <w:t>“</w:t>
      </w:r>
      <w:r>
        <w:rPr>
          <w:rFonts w:ascii="Book Antiqua"/>
          <w:rtl w:val="0"/>
          <w:lang w:val="it-IT"/>
        </w:rPr>
        <w:t>altro</w:t>
      </w:r>
      <w:r>
        <w:rPr>
          <w:rFonts w:hAnsi="Book Antiqua" w:hint="default"/>
          <w:rtl w:val="0"/>
          <w:lang w:val="it-IT"/>
        </w:rPr>
        <w:t>”</w:t>
      </w:r>
      <w:r>
        <w:rPr>
          <w:rFonts w:ascii="Book Antiqua"/>
          <w:rtl w:val="0"/>
          <w:lang w:val="it-IT"/>
        </w:rPr>
        <w:t>. Biosint, Sermoneta.</w:t>
      </w:r>
    </w:p>
    <w:p>
      <w:pPr>
        <w:pStyle w:val="Corpo A"/>
        <w:ind w:left="567" w:right="567" w:firstLine="0"/>
        <w:jc w:val="both"/>
        <w:rPr>
          <w:rFonts w:ascii="Book Antiqua" w:cs="Book Antiqua" w:hAnsi="Book Antiqua" w:eastAsia="Book Antiqua"/>
          <w:lang w:val="it-IT"/>
        </w:rPr>
      </w:pPr>
      <w:r>
        <w:rPr>
          <w:rFonts w:ascii="Book Antiqua"/>
          <w:rtl w:val="0"/>
          <w:lang w:val="it-IT"/>
        </w:rPr>
        <w:t>- Terriccio e sansa proveniente dalla pulizia dei luoghi di stoccaggio della Pasqualini  spa, Cisterna di Latina.</w:t>
      </w:r>
    </w:p>
    <w:p>
      <w:pPr>
        <w:pStyle w:val="Corpo A"/>
        <w:ind w:left="567" w:right="567" w:firstLine="0"/>
        <w:jc w:val="both"/>
        <w:rPr>
          <w:rFonts w:ascii="Book Antiqua" w:cs="Book Antiqua" w:hAnsi="Book Antiqua" w:eastAsia="Book Antiqua"/>
          <w:lang w:val="it-IT"/>
        </w:rPr>
      </w:pPr>
      <w:r>
        <w:rPr>
          <w:rFonts w:ascii="Book Antiqua"/>
          <w:rtl w:val="0"/>
          <w:lang w:val="it-IT"/>
        </w:rPr>
        <w:t>- Fango industriale da cartiera. Cartiera di Subiaco.</w:t>
      </w:r>
    </w:p>
    <w:p>
      <w:pPr>
        <w:pStyle w:val="Corpo A"/>
        <w:ind w:left="567" w:right="567" w:firstLine="0"/>
        <w:jc w:val="both"/>
        <w:rPr>
          <w:rFonts w:ascii="Book Antiqua" w:cs="Book Antiqua" w:hAnsi="Book Antiqua" w:eastAsia="Book Antiqua"/>
          <w:lang w:val="it-IT"/>
        </w:rPr>
      </w:pPr>
      <w:r>
        <w:rPr>
          <w:rFonts w:ascii="Book Antiqua"/>
          <w:rtl w:val="0"/>
          <w:lang w:val="it-IT"/>
        </w:rPr>
        <w:t>- Fango filtro-pressato ottenuto nella depurazione dei reflui dalla produzione bibite. Terme di Recoaro, Castrocielo (Frosinone).</w:t>
      </w:r>
    </w:p>
    <w:p>
      <w:pPr>
        <w:pStyle w:val="Corpo A"/>
        <w:ind w:left="567" w:right="567" w:firstLine="0"/>
        <w:jc w:val="both"/>
        <w:rPr>
          <w:rFonts w:ascii="Book Antiqua" w:cs="Book Antiqua" w:hAnsi="Book Antiqua" w:eastAsia="Book Antiqua"/>
          <w:lang w:val="it-IT"/>
        </w:rPr>
      </w:pPr>
      <w:r>
        <w:rPr>
          <w:rFonts w:ascii="Book Antiqua"/>
          <w:rtl w:val="0"/>
          <w:lang w:val="it-IT"/>
        </w:rPr>
        <w:t>- Polietilene, carta, plastica sporca, pittura a fase acrilica indurita derivanti da ex imballi. Rover colori e vernici, Aprilia.</w:t>
      </w:r>
    </w:p>
    <w:p>
      <w:pPr>
        <w:pStyle w:val="Corpo A"/>
        <w:ind w:left="567" w:right="567" w:firstLine="0"/>
        <w:jc w:val="both"/>
        <w:rPr>
          <w:rFonts w:ascii="Book Antiqua" w:cs="Book Antiqua" w:hAnsi="Book Antiqua" w:eastAsia="Book Antiqua"/>
          <w:lang w:val="it-IT"/>
        </w:rPr>
      </w:pPr>
      <w:r>
        <w:rPr>
          <w:rFonts w:ascii="Book Antiqua"/>
          <w:rtl w:val="0"/>
          <w:lang w:val="it-IT"/>
        </w:rPr>
        <w:t>- Fango di natura prevalentemente organica da depurazione acque reflue da lavorazione dell'orzo. Orzo Saplo, Pomezia.</w:t>
      </w:r>
    </w:p>
    <w:p>
      <w:pPr>
        <w:pStyle w:val="Corpo A"/>
        <w:ind w:left="567" w:right="567" w:firstLine="0"/>
        <w:jc w:val="both"/>
        <w:rPr>
          <w:rFonts w:ascii="Book Antiqua" w:cs="Book Antiqua" w:hAnsi="Book Antiqua" w:eastAsia="Book Antiqua"/>
          <w:lang w:val="it-IT"/>
        </w:rPr>
      </w:pPr>
      <w:r>
        <w:rPr>
          <w:rFonts w:ascii="Book Antiqua"/>
          <w:rtl w:val="0"/>
          <w:lang w:val="it-IT"/>
        </w:rPr>
        <w:t>- Eternit obsoleto, disomogeneo, da demolizione tettoie. Ditta di produzione farmaceutici di Roma (nome non comprensibile sulla copia della perizia).</w:t>
      </w:r>
    </w:p>
    <w:p>
      <w:pPr>
        <w:pStyle w:val="Corpo A"/>
        <w:ind w:left="567" w:right="567" w:firstLine="0"/>
        <w:jc w:val="both"/>
        <w:rPr>
          <w:rFonts w:ascii="Book Antiqua" w:cs="Book Antiqua" w:hAnsi="Book Antiqua" w:eastAsia="Book Antiqua"/>
          <w:lang w:val="it-IT"/>
        </w:rPr>
      </w:pPr>
      <w:r>
        <w:rPr>
          <w:rFonts w:ascii="Book Antiqua"/>
          <w:rtl w:val="0"/>
          <w:lang w:val="it-IT"/>
        </w:rPr>
        <w:t>- Fango originato da produzione alimentare. Ica foods, Pomezia.</w:t>
      </w:r>
    </w:p>
    <w:p>
      <w:pPr>
        <w:pStyle w:val="Corpo A"/>
        <w:ind w:left="567" w:right="567" w:firstLine="0"/>
        <w:jc w:val="both"/>
        <w:rPr>
          <w:rFonts w:ascii="Book Antiqua" w:cs="Book Antiqua" w:hAnsi="Book Antiqua" w:eastAsia="Book Antiqua"/>
          <w:lang w:val="it-IT"/>
        </w:rPr>
      </w:pPr>
      <w:r>
        <w:rPr>
          <w:rFonts w:ascii="Book Antiqua"/>
          <w:rtl w:val="0"/>
          <w:lang w:val="it-IT"/>
        </w:rPr>
        <w:t>- Fango proveniente dalla depurazione di acque reflue miste. Klopman, Frosinone.</w:t>
      </w:r>
    </w:p>
    <w:p>
      <w:pPr>
        <w:pStyle w:val="Corpo A"/>
        <w:ind w:left="567" w:right="567" w:firstLine="0"/>
        <w:jc w:val="both"/>
        <w:rPr>
          <w:rFonts w:ascii="Book Antiqua" w:cs="Book Antiqua" w:hAnsi="Book Antiqua" w:eastAsia="Book Antiqua"/>
          <w:sz w:val="24"/>
          <w:szCs w:val="24"/>
          <w:lang w:val="it-IT"/>
        </w:rPr>
      </w:pPr>
    </w:p>
    <w:p>
      <w:pPr>
        <w:pStyle w:val="Corpo A"/>
        <w:ind w:left="567" w:right="567" w:firstLine="0"/>
        <w:jc w:val="both"/>
        <w:rPr>
          <w:rFonts w:ascii="Book Antiqua" w:cs="Book Antiqua" w:hAnsi="Book Antiqua" w:eastAsia="Book Antiqua"/>
          <w:lang w:val="it-IT"/>
        </w:rPr>
      </w:pPr>
      <w:r>
        <w:rPr>
          <w:rFonts w:ascii="Book Antiqua"/>
          <w:sz w:val="24"/>
          <w:szCs w:val="24"/>
          <w:rtl w:val="0"/>
          <w:lang w:val="it-IT"/>
        </w:rPr>
        <w:t xml:space="preserve">L'elenco, come detto, </w:t>
      </w:r>
      <w:r>
        <w:rPr>
          <w:rFonts w:hAnsi="Book Antiqua" w:hint="default"/>
          <w:sz w:val="24"/>
          <w:szCs w:val="24"/>
          <w:rtl w:val="0"/>
          <w:lang w:val="it-IT"/>
        </w:rPr>
        <w:t xml:space="preserve">è </w:t>
      </w:r>
      <w:r>
        <w:rPr>
          <w:rFonts w:ascii="Book Antiqua"/>
          <w:sz w:val="24"/>
          <w:szCs w:val="24"/>
          <w:rtl w:val="0"/>
          <w:lang w:val="it-IT"/>
        </w:rPr>
        <w:t>parziale, anche se indicativo dei rifiuti smaltiti nel sito B2. I periti hanno per</w:t>
      </w:r>
      <w:r>
        <w:rPr>
          <w:rFonts w:hAnsi="Book Antiqua" w:hint="default"/>
          <w:sz w:val="24"/>
          <w:szCs w:val="24"/>
          <w:rtl w:val="0"/>
          <w:lang w:val="it-IT"/>
        </w:rPr>
        <w:t xml:space="preserve">ò </w:t>
      </w:r>
      <w:r>
        <w:rPr>
          <w:rFonts w:ascii="Book Antiqua"/>
          <w:sz w:val="24"/>
          <w:szCs w:val="24"/>
          <w:rtl w:val="0"/>
          <w:lang w:val="it-IT"/>
        </w:rPr>
        <w:t xml:space="preserve">ricostruito la scansione temporale della tipologia di rifiuti potenzialmente conferibili nell'impianto, partendo dalle diverse ordinanze della regione Lazio, con le modifiche subentrate a seguito delle sentenze del TAR e del Consiglio di Stato. Nel periodo indicato vi </w:t>
      </w:r>
      <w:r>
        <w:rPr>
          <w:rFonts w:hAnsi="Book Antiqua" w:hint="default"/>
          <w:sz w:val="24"/>
          <w:szCs w:val="24"/>
          <w:rtl w:val="0"/>
          <w:lang w:val="it-IT"/>
        </w:rPr>
        <w:t xml:space="preserve">è </w:t>
      </w:r>
      <w:r>
        <w:rPr>
          <w:rFonts w:ascii="Book Antiqua"/>
          <w:sz w:val="24"/>
          <w:szCs w:val="24"/>
          <w:rtl w:val="0"/>
          <w:lang w:val="it-IT"/>
        </w:rPr>
        <w:t xml:space="preserve">stata, dunque, una </w:t>
      </w:r>
      <w:r>
        <w:rPr>
          <w:rFonts w:hAnsi="Book Antiqua" w:hint="default"/>
          <w:sz w:val="24"/>
          <w:szCs w:val="24"/>
          <w:rtl w:val="0"/>
          <w:lang w:val="it-IT"/>
        </w:rPr>
        <w:t>“</w:t>
      </w:r>
      <w:r>
        <w:rPr>
          <w:rFonts w:ascii="Book Antiqua"/>
          <w:sz w:val="24"/>
          <w:szCs w:val="24"/>
          <w:rtl w:val="0"/>
          <w:lang w:val="it-IT"/>
        </w:rPr>
        <w:t>finestra temporale</w:t>
      </w:r>
      <w:r>
        <w:rPr>
          <w:rFonts w:hAnsi="Book Antiqua" w:hint="default"/>
          <w:sz w:val="24"/>
          <w:szCs w:val="24"/>
          <w:rtl w:val="0"/>
          <w:lang w:val="it-IT"/>
        </w:rPr>
        <w:t xml:space="preserve">” </w:t>
      </w:r>
      <w:r>
        <w:rPr>
          <w:rFonts w:ascii="Book Antiqua"/>
          <w:sz w:val="24"/>
          <w:szCs w:val="24"/>
          <w:rtl w:val="0"/>
          <w:lang w:val="it-IT"/>
        </w:rPr>
        <w:t>di circa due anni per l'accettazione dei rifiuti pericolosi.</w:t>
      </w:r>
      <w:r>
        <w:rPr>
          <w:rFonts w:ascii="Book Antiqua"/>
          <w:rtl w:val="0"/>
          <w:lang w:val="it-IT"/>
        </w:rPr>
        <w:t xml:space="preserve"> </w:t>
      </w:r>
    </w:p>
    <w:p>
      <w:pPr>
        <w:pStyle w:val="Corpo A"/>
        <w:ind w:left="567" w:right="567" w:firstLine="0"/>
        <w:jc w:val="both"/>
        <w:rPr>
          <w:rFonts w:ascii="Book Antiqua" w:cs="Book Antiqua" w:hAnsi="Book Antiqua" w:eastAsia="Book Antiqua"/>
          <w:sz w:val="20"/>
          <w:szCs w:val="20"/>
          <w:lang w:val="it-IT"/>
        </w:rPr>
      </w:pPr>
    </w:p>
    <w:tbl>
      <w:tblPr>
        <w:tblW w:w="8500" w:type="dxa"/>
        <w:jc w:val="left"/>
        <w:tblInd w:w="675" w:type="dxa"/>
        <w:tblBorders>
          <w:top w:val="single" w:color="000000" w:sz="2" w:space="0" w:shadow="0" w:frame="0"/>
          <w:left w:val="single" w:color="000000" w:sz="2" w:space="0" w:shadow="0" w:frame="0"/>
          <w:bottom w:val="single" w:color="000000" w:sz="2" w:space="0" w:shadow="0" w:frame="0"/>
          <w:right w:val="single" w:color="000000" w:sz="2" w:space="0" w:shadow="0" w:frame="0"/>
          <w:insideH w:val="single" w:color="000000" w:sz="2" w:space="0" w:shadow="0" w:frame="0"/>
          <w:insideV w:val="single" w:color="000000" w:sz="2" w:space="0" w:shadow="0" w:frame="0"/>
        </w:tblBorders>
        <w:shd w:val="clear" w:color="auto" w:fill="auto"/>
        <w:tblLayout w:type="fixed"/>
      </w:tblPr>
      <w:tblGrid>
        <w:gridCol w:w="2388"/>
        <w:gridCol w:w="2560"/>
        <w:gridCol w:w="3552"/>
      </w:tblGrid>
      <w:tr>
        <w:tblPrEx>
          <w:shd w:val="clear" w:color="auto" w:fill="auto"/>
        </w:tblPrEx>
        <w:trPr>
          <w:trHeight w:val="445" w:hRule="atLeast"/>
        </w:trPr>
        <w:tc>
          <w:tcPr>
            <w:tcW w:type="dxa" w:w="2388"/>
            <w:tcBorders>
              <w:top w:val="single" w:color="000001" w:sz="2" w:space="0" w:shadow="0" w:frame="0"/>
              <w:left w:val="single" w:color="000001" w:sz="2" w:space="0" w:shadow="0" w:frame="0"/>
              <w:bottom w:val="single" w:color="000001" w:sz="2" w:space="0" w:shadow="0" w:frame="0"/>
              <w:right w:val="single" w:color="000001" w:sz="2" w:space="0" w:shadow="0" w:frame="0"/>
            </w:tcBorders>
            <w:shd w:val="clear" w:color="auto" w:fill="auto"/>
            <w:tcMar>
              <w:top w:type="dxa" w:w="80"/>
              <w:left w:type="dxa" w:w="80"/>
              <w:bottom w:type="dxa" w:w="80"/>
              <w:right w:type="dxa" w:w="647"/>
            </w:tcMar>
            <w:vAlign w:val="top"/>
          </w:tcPr>
          <w:p>
            <w:pPr>
              <w:pStyle w:val="Contenuto tabella"/>
              <w:ind w:left="567" w:right="567"/>
            </w:pPr>
            <w:r>
              <w:rPr>
                <w:rFonts w:ascii="Book Antiqua"/>
                <w:caps w:val="0"/>
                <w:smallCaps w:val="0"/>
                <w:strike w:val="0"/>
                <w:dstrike w:val="0"/>
                <w:outline w:val="0"/>
                <w:color w:val="00000a"/>
                <w:spacing w:val="0"/>
                <w:kern w:val="0"/>
                <w:position w:val="0"/>
                <w:sz w:val="18"/>
                <w:szCs w:val="18"/>
                <w:u w:val="none" w:color="00000a"/>
                <w:vertAlign w:val="baseline"/>
                <w:rtl w:val="0"/>
                <w:lang w:val="it-IT"/>
              </w:rPr>
              <w:t>21.02.1990</w:t>
            </w:r>
          </w:p>
        </w:tc>
        <w:tc>
          <w:tcPr>
            <w:tcW w:type="dxa" w:w="2560"/>
            <w:tcBorders>
              <w:top w:val="single" w:color="000001" w:sz="2" w:space="0" w:shadow="0" w:frame="0"/>
              <w:left w:val="single" w:color="000001" w:sz="2" w:space="0" w:shadow="0" w:frame="0"/>
              <w:bottom w:val="single" w:color="000001" w:sz="2" w:space="0" w:shadow="0" w:frame="0"/>
              <w:right w:val="single" w:color="000001" w:sz="2" w:space="0" w:shadow="0" w:frame="0"/>
            </w:tcBorders>
            <w:shd w:val="clear" w:color="auto" w:fill="auto"/>
            <w:tcMar>
              <w:top w:type="dxa" w:w="80"/>
              <w:left w:type="dxa" w:w="80"/>
              <w:bottom w:type="dxa" w:w="80"/>
              <w:right w:type="dxa" w:w="647"/>
            </w:tcMar>
            <w:vAlign w:val="top"/>
          </w:tcPr>
          <w:p>
            <w:pPr>
              <w:pStyle w:val="Contenuto tabella"/>
              <w:ind w:left="567" w:right="567"/>
            </w:pPr>
            <w:r>
              <w:rPr>
                <w:rFonts w:ascii="Book Antiqua"/>
                <w:caps w:val="0"/>
                <w:smallCaps w:val="0"/>
                <w:strike w:val="0"/>
                <w:dstrike w:val="0"/>
                <w:outline w:val="0"/>
                <w:color w:val="00000a"/>
                <w:spacing w:val="0"/>
                <w:kern w:val="0"/>
                <w:position w:val="0"/>
                <w:sz w:val="18"/>
                <w:szCs w:val="18"/>
                <w:u w:val="none" w:color="00000a"/>
                <w:vertAlign w:val="baseline"/>
                <w:rtl w:val="0"/>
                <w:lang w:val="it-IT"/>
              </w:rPr>
              <w:t>26.03.1990</w:t>
            </w:r>
          </w:p>
        </w:tc>
        <w:tc>
          <w:tcPr>
            <w:tcW w:type="dxa" w:w="3552"/>
            <w:tcBorders>
              <w:top w:val="single" w:color="000001" w:sz="2" w:space="0" w:shadow="0" w:frame="0"/>
              <w:left w:val="single" w:color="000001" w:sz="2" w:space="0" w:shadow="0" w:frame="0"/>
              <w:bottom w:val="single" w:color="000001" w:sz="2" w:space="0" w:shadow="0" w:frame="0"/>
              <w:right w:val="single" w:color="000001" w:sz="2" w:space="0" w:shadow="0" w:frame="0"/>
            </w:tcBorders>
            <w:shd w:val="clear" w:color="auto" w:fill="auto"/>
            <w:tcMar>
              <w:top w:type="dxa" w:w="80"/>
              <w:left w:type="dxa" w:w="80"/>
              <w:bottom w:type="dxa" w:w="80"/>
              <w:right w:type="dxa" w:w="647"/>
            </w:tcMar>
            <w:vAlign w:val="top"/>
          </w:tcPr>
          <w:p>
            <w:pPr>
              <w:pStyle w:val="Contenuto tabella"/>
              <w:ind w:left="567" w:right="567"/>
            </w:pPr>
            <w:r>
              <w:rPr>
                <w:rFonts w:ascii="Book Antiqua"/>
                <w:caps w:val="0"/>
                <w:smallCaps w:val="0"/>
                <w:strike w:val="0"/>
                <w:dstrike w:val="0"/>
                <w:outline w:val="0"/>
                <w:color w:val="00000a"/>
                <w:spacing w:val="0"/>
                <w:kern w:val="0"/>
                <w:position w:val="0"/>
                <w:sz w:val="18"/>
                <w:szCs w:val="18"/>
                <w:u w:val="none" w:color="00000a"/>
                <w:vertAlign w:val="baseline"/>
                <w:rtl w:val="0"/>
                <w:lang w:val="it-IT"/>
              </w:rPr>
              <w:t>Rifiuti speciali non tossico nocivi</w:t>
            </w:r>
          </w:p>
        </w:tc>
      </w:tr>
      <w:tr>
        <w:tblPrEx>
          <w:shd w:val="clear" w:color="auto" w:fill="auto"/>
        </w:tblPrEx>
        <w:trPr>
          <w:trHeight w:val="445" w:hRule="atLeast"/>
        </w:trPr>
        <w:tc>
          <w:tcPr>
            <w:tcW w:type="dxa" w:w="2388"/>
            <w:tcBorders>
              <w:top w:val="single" w:color="000001" w:sz="2" w:space="0" w:shadow="0" w:frame="0"/>
              <w:left w:val="single" w:color="000001" w:sz="2" w:space="0" w:shadow="0" w:frame="0"/>
              <w:bottom w:val="single" w:color="000001" w:sz="2" w:space="0" w:shadow="0" w:frame="0"/>
              <w:right w:val="single" w:color="000001" w:sz="2" w:space="0" w:shadow="0" w:frame="0"/>
            </w:tcBorders>
            <w:shd w:val="clear" w:color="auto" w:fill="auto"/>
            <w:tcMar>
              <w:top w:type="dxa" w:w="80"/>
              <w:left w:type="dxa" w:w="80"/>
              <w:bottom w:type="dxa" w:w="80"/>
              <w:right w:type="dxa" w:w="647"/>
            </w:tcMar>
            <w:vAlign w:val="top"/>
          </w:tcPr>
          <w:p>
            <w:pPr>
              <w:pStyle w:val="Contenuto tabella"/>
              <w:ind w:left="567" w:right="567"/>
            </w:pPr>
            <w:r>
              <w:rPr>
                <w:rFonts w:ascii="Book Antiqua Bold"/>
                <w:b w:val="1"/>
                <w:bCs w:val="1"/>
                <w:caps w:val="0"/>
                <w:smallCaps w:val="0"/>
                <w:strike w:val="0"/>
                <w:dstrike w:val="0"/>
                <w:outline w:val="0"/>
                <w:color w:val="00000a"/>
                <w:spacing w:val="0"/>
                <w:kern w:val="0"/>
                <w:position w:val="0"/>
                <w:sz w:val="18"/>
                <w:szCs w:val="18"/>
                <w:u w:val="none" w:color="00000a"/>
                <w:vertAlign w:val="baseline"/>
                <w:rtl w:val="0"/>
                <w:lang w:val="it-IT"/>
              </w:rPr>
              <w:t>26.03.1990</w:t>
            </w:r>
          </w:p>
        </w:tc>
        <w:tc>
          <w:tcPr>
            <w:tcW w:type="dxa" w:w="2560"/>
            <w:tcBorders>
              <w:top w:val="single" w:color="000001" w:sz="2" w:space="0" w:shadow="0" w:frame="0"/>
              <w:left w:val="single" w:color="000001" w:sz="2" w:space="0" w:shadow="0" w:frame="0"/>
              <w:bottom w:val="single" w:color="000001" w:sz="2" w:space="0" w:shadow="0" w:frame="0"/>
              <w:right w:val="single" w:color="000001" w:sz="2" w:space="0" w:shadow="0" w:frame="0"/>
            </w:tcBorders>
            <w:shd w:val="clear" w:color="auto" w:fill="auto"/>
            <w:tcMar>
              <w:top w:type="dxa" w:w="80"/>
              <w:left w:type="dxa" w:w="80"/>
              <w:bottom w:type="dxa" w:w="80"/>
              <w:right w:type="dxa" w:w="647"/>
            </w:tcMar>
            <w:vAlign w:val="top"/>
          </w:tcPr>
          <w:p>
            <w:pPr>
              <w:pStyle w:val="Contenuto tabella"/>
              <w:ind w:left="567" w:right="567"/>
            </w:pPr>
            <w:r>
              <w:rPr>
                <w:rFonts w:ascii="Book Antiqua Bold"/>
                <w:b w:val="1"/>
                <w:bCs w:val="1"/>
                <w:caps w:val="0"/>
                <w:smallCaps w:val="0"/>
                <w:strike w:val="0"/>
                <w:dstrike w:val="0"/>
                <w:outline w:val="0"/>
                <w:color w:val="00000a"/>
                <w:spacing w:val="0"/>
                <w:kern w:val="0"/>
                <w:position w:val="0"/>
                <w:sz w:val="18"/>
                <w:szCs w:val="18"/>
                <w:u w:val="none" w:color="00000a"/>
                <w:vertAlign w:val="baseline"/>
                <w:rtl w:val="0"/>
                <w:lang w:val="it-IT"/>
              </w:rPr>
              <w:t>18.05.1990</w:t>
            </w:r>
          </w:p>
        </w:tc>
        <w:tc>
          <w:tcPr>
            <w:tcW w:type="dxa" w:w="3552"/>
            <w:tcBorders>
              <w:top w:val="single" w:color="000001" w:sz="2" w:space="0" w:shadow="0" w:frame="0"/>
              <w:left w:val="single" w:color="000001" w:sz="2" w:space="0" w:shadow="0" w:frame="0"/>
              <w:bottom w:val="single" w:color="000001" w:sz="2" w:space="0" w:shadow="0" w:frame="0"/>
              <w:right w:val="single" w:color="000001" w:sz="2" w:space="0" w:shadow="0" w:frame="0"/>
            </w:tcBorders>
            <w:shd w:val="clear" w:color="auto" w:fill="auto"/>
            <w:tcMar>
              <w:top w:type="dxa" w:w="80"/>
              <w:left w:type="dxa" w:w="80"/>
              <w:bottom w:type="dxa" w:w="80"/>
              <w:right w:type="dxa" w:w="647"/>
            </w:tcMar>
            <w:vAlign w:val="top"/>
          </w:tcPr>
          <w:p>
            <w:pPr>
              <w:pStyle w:val="Contenuto tabella"/>
              <w:ind w:left="567" w:right="567"/>
            </w:pPr>
            <w:r>
              <w:rPr>
                <w:rFonts w:ascii="Book Antiqua Bold"/>
                <w:b w:val="1"/>
                <w:bCs w:val="1"/>
                <w:caps w:val="0"/>
                <w:smallCaps w:val="0"/>
                <w:strike w:val="0"/>
                <w:dstrike w:val="0"/>
                <w:outline w:val="0"/>
                <w:color w:val="00000a"/>
                <w:spacing w:val="0"/>
                <w:kern w:val="0"/>
                <w:position w:val="0"/>
                <w:sz w:val="18"/>
                <w:szCs w:val="18"/>
                <w:u w:val="none" w:color="00000a"/>
                <w:vertAlign w:val="baseline"/>
                <w:rtl w:val="0"/>
                <w:lang w:val="it-IT"/>
              </w:rPr>
              <w:t>Rifiuti speciali, anche tossico nocivi</w:t>
            </w:r>
          </w:p>
        </w:tc>
      </w:tr>
      <w:tr>
        <w:tblPrEx>
          <w:shd w:val="clear" w:color="auto" w:fill="auto"/>
        </w:tblPrEx>
        <w:trPr>
          <w:trHeight w:val="445" w:hRule="atLeast"/>
        </w:trPr>
        <w:tc>
          <w:tcPr>
            <w:tcW w:type="dxa" w:w="2388"/>
            <w:tcBorders>
              <w:top w:val="single" w:color="000001" w:sz="2" w:space="0" w:shadow="0" w:frame="0"/>
              <w:left w:val="single" w:color="000001" w:sz="2" w:space="0" w:shadow="0" w:frame="0"/>
              <w:bottom w:val="single" w:color="000001" w:sz="2" w:space="0" w:shadow="0" w:frame="0"/>
              <w:right w:val="single" w:color="000001" w:sz="2" w:space="0" w:shadow="0" w:frame="0"/>
            </w:tcBorders>
            <w:shd w:val="clear" w:color="auto" w:fill="auto"/>
            <w:tcMar>
              <w:top w:type="dxa" w:w="80"/>
              <w:left w:type="dxa" w:w="80"/>
              <w:bottom w:type="dxa" w:w="80"/>
              <w:right w:type="dxa" w:w="647"/>
            </w:tcMar>
            <w:vAlign w:val="top"/>
          </w:tcPr>
          <w:p>
            <w:pPr>
              <w:pStyle w:val="Contenuto tabella"/>
              <w:ind w:left="567" w:right="567"/>
            </w:pPr>
            <w:r>
              <w:rPr>
                <w:rFonts w:ascii="Book Antiqua"/>
                <w:caps w:val="0"/>
                <w:smallCaps w:val="0"/>
                <w:strike w:val="0"/>
                <w:dstrike w:val="0"/>
                <w:outline w:val="0"/>
                <w:color w:val="00000a"/>
                <w:spacing w:val="0"/>
                <w:kern w:val="0"/>
                <w:position w:val="0"/>
                <w:sz w:val="18"/>
                <w:szCs w:val="18"/>
                <w:u w:val="none" w:color="00000a"/>
                <w:vertAlign w:val="baseline"/>
                <w:rtl w:val="0"/>
                <w:lang w:val="it-IT"/>
              </w:rPr>
              <w:t>18.05.1990</w:t>
            </w:r>
          </w:p>
        </w:tc>
        <w:tc>
          <w:tcPr>
            <w:tcW w:type="dxa" w:w="2560"/>
            <w:tcBorders>
              <w:top w:val="single" w:color="000001" w:sz="2" w:space="0" w:shadow="0" w:frame="0"/>
              <w:left w:val="single" w:color="000001" w:sz="2" w:space="0" w:shadow="0" w:frame="0"/>
              <w:bottom w:val="single" w:color="000001" w:sz="2" w:space="0" w:shadow="0" w:frame="0"/>
              <w:right w:val="single" w:color="000001" w:sz="2" w:space="0" w:shadow="0" w:frame="0"/>
            </w:tcBorders>
            <w:shd w:val="clear" w:color="auto" w:fill="auto"/>
            <w:tcMar>
              <w:top w:type="dxa" w:w="80"/>
              <w:left w:type="dxa" w:w="80"/>
              <w:bottom w:type="dxa" w:w="80"/>
              <w:right w:type="dxa" w:w="647"/>
            </w:tcMar>
            <w:vAlign w:val="top"/>
          </w:tcPr>
          <w:p>
            <w:pPr>
              <w:pStyle w:val="Contenuto tabella"/>
              <w:ind w:left="567" w:right="567"/>
            </w:pPr>
            <w:r>
              <w:rPr>
                <w:rFonts w:ascii="Book Antiqua"/>
                <w:caps w:val="0"/>
                <w:smallCaps w:val="0"/>
                <w:strike w:val="0"/>
                <w:dstrike w:val="0"/>
                <w:outline w:val="0"/>
                <w:color w:val="00000a"/>
                <w:spacing w:val="0"/>
                <w:kern w:val="0"/>
                <w:position w:val="0"/>
                <w:sz w:val="18"/>
                <w:szCs w:val="18"/>
                <w:u w:val="none" w:color="00000a"/>
                <w:vertAlign w:val="baseline"/>
                <w:rtl w:val="0"/>
                <w:lang w:val="it-IT"/>
              </w:rPr>
              <w:t>11.12.1990</w:t>
            </w:r>
          </w:p>
        </w:tc>
        <w:tc>
          <w:tcPr>
            <w:tcW w:type="dxa" w:w="3552"/>
            <w:tcBorders>
              <w:top w:val="single" w:color="000001" w:sz="2" w:space="0" w:shadow="0" w:frame="0"/>
              <w:left w:val="single" w:color="000001" w:sz="2" w:space="0" w:shadow="0" w:frame="0"/>
              <w:bottom w:val="single" w:color="000001" w:sz="2" w:space="0" w:shadow="0" w:frame="0"/>
              <w:right w:val="single" w:color="000001" w:sz="2" w:space="0" w:shadow="0" w:frame="0"/>
            </w:tcBorders>
            <w:shd w:val="clear" w:color="auto" w:fill="auto"/>
            <w:tcMar>
              <w:top w:type="dxa" w:w="80"/>
              <w:left w:type="dxa" w:w="80"/>
              <w:bottom w:type="dxa" w:w="80"/>
              <w:right w:type="dxa" w:w="647"/>
            </w:tcMar>
            <w:vAlign w:val="top"/>
          </w:tcPr>
          <w:p>
            <w:pPr>
              <w:pStyle w:val="Contenuto tabella"/>
              <w:ind w:left="567" w:right="567"/>
            </w:pPr>
            <w:r>
              <w:rPr>
                <w:rFonts w:ascii="Book Antiqua"/>
                <w:caps w:val="0"/>
                <w:smallCaps w:val="0"/>
                <w:strike w:val="0"/>
                <w:dstrike w:val="0"/>
                <w:outline w:val="0"/>
                <w:color w:val="00000a"/>
                <w:spacing w:val="0"/>
                <w:kern w:val="0"/>
                <w:position w:val="0"/>
                <w:sz w:val="18"/>
                <w:szCs w:val="18"/>
                <w:u w:val="none" w:color="00000a"/>
                <w:vertAlign w:val="baseline"/>
                <w:rtl w:val="0"/>
                <w:lang w:val="it-IT"/>
              </w:rPr>
              <w:t>Rifiuti speciali non tossico nocivi</w:t>
            </w:r>
          </w:p>
        </w:tc>
      </w:tr>
      <w:tr>
        <w:tblPrEx>
          <w:shd w:val="clear" w:color="auto" w:fill="auto"/>
        </w:tblPrEx>
        <w:trPr>
          <w:trHeight w:val="225" w:hRule="atLeast"/>
        </w:trPr>
        <w:tc>
          <w:tcPr>
            <w:tcW w:type="dxa" w:w="2388"/>
            <w:tcBorders>
              <w:top w:val="single" w:color="000001" w:sz="2" w:space="0" w:shadow="0" w:frame="0"/>
              <w:left w:val="single" w:color="000001" w:sz="2" w:space="0" w:shadow="0" w:frame="0"/>
              <w:bottom w:val="single" w:color="000001" w:sz="2" w:space="0" w:shadow="0" w:frame="0"/>
              <w:right w:val="single" w:color="000001" w:sz="2" w:space="0" w:shadow="0" w:frame="0"/>
            </w:tcBorders>
            <w:shd w:val="clear" w:color="auto" w:fill="auto"/>
            <w:tcMar>
              <w:top w:type="dxa" w:w="80"/>
              <w:left w:type="dxa" w:w="80"/>
              <w:bottom w:type="dxa" w:w="80"/>
              <w:right w:type="dxa" w:w="647"/>
            </w:tcMar>
            <w:vAlign w:val="top"/>
          </w:tcPr>
          <w:p>
            <w:pPr>
              <w:pStyle w:val="Contenuto tabella"/>
              <w:ind w:left="567" w:right="567"/>
            </w:pPr>
            <w:r>
              <w:rPr>
                <w:rFonts w:ascii="Book Antiqua"/>
                <w:caps w:val="0"/>
                <w:smallCaps w:val="0"/>
                <w:strike w:val="0"/>
                <w:dstrike w:val="0"/>
                <w:outline w:val="0"/>
                <w:color w:val="00000a"/>
                <w:spacing w:val="0"/>
                <w:kern w:val="0"/>
                <w:position w:val="0"/>
                <w:sz w:val="18"/>
                <w:szCs w:val="18"/>
                <w:u w:val="none" w:color="00000a"/>
                <w:vertAlign w:val="baseline"/>
                <w:rtl w:val="0"/>
                <w:lang w:val="it-IT"/>
              </w:rPr>
              <w:t>11.12.1990</w:t>
            </w:r>
          </w:p>
        </w:tc>
        <w:tc>
          <w:tcPr>
            <w:tcW w:type="dxa" w:w="2560"/>
            <w:tcBorders>
              <w:top w:val="single" w:color="000001" w:sz="2" w:space="0" w:shadow="0" w:frame="0"/>
              <w:left w:val="single" w:color="000001" w:sz="2" w:space="0" w:shadow="0" w:frame="0"/>
              <w:bottom w:val="single" w:color="000001" w:sz="2" w:space="0" w:shadow="0" w:frame="0"/>
              <w:right w:val="single" w:color="000001" w:sz="2" w:space="0" w:shadow="0" w:frame="0"/>
            </w:tcBorders>
            <w:shd w:val="clear" w:color="auto" w:fill="auto"/>
            <w:tcMar>
              <w:top w:type="dxa" w:w="80"/>
              <w:left w:type="dxa" w:w="80"/>
              <w:bottom w:type="dxa" w:w="80"/>
              <w:right w:type="dxa" w:w="647"/>
            </w:tcMar>
            <w:vAlign w:val="top"/>
          </w:tcPr>
          <w:p>
            <w:pPr>
              <w:pStyle w:val="Contenuto tabella"/>
              <w:ind w:left="567" w:right="567"/>
            </w:pPr>
            <w:r>
              <w:rPr>
                <w:rFonts w:ascii="Book Antiqua"/>
                <w:caps w:val="0"/>
                <w:smallCaps w:val="0"/>
                <w:strike w:val="0"/>
                <w:dstrike w:val="0"/>
                <w:outline w:val="0"/>
                <w:color w:val="00000a"/>
                <w:spacing w:val="0"/>
                <w:kern w:val="0"/>
                <w:position w:val="0"/>
                <w:sz w:val="18"/>
                <w:szCs w:val="18"/>
                <w:u w:val="none" w:color="00000a"/>
                <w:vertAlign w:val="baseline"/>
                <w:rtl w:val="0"/>
                <w:lang w:val="it-IT"/>
              </w:rPr>
              <w:t>09.04.1991</w:t>
            </w:r>
          </w:p>
        </w:tc>
        <w:tc>
          <w:tcPr>
            <w:tcW w:type="dxa" w:w="3552"/>
            <w:tcBorders>
              <w:top w:val="single" w:color="000001" w:sz="2" w:space="0" w:shadow="0" w:frame="0"/>
              <w:left w:val="single" w:color="000001" w:sz="2" w:space="0" w:shadow="0" w:frame="0"/>
              <w:bottom w:val="single" w:color="000001" w:sz="2" w:space="0" w:shadow="0" w:frame="0"/>
              <w:right w:val="single" w:color="000001" w:sz="2" w:space="0" w:shadow="0" w:frame="0"/>
            </w:tcBorders>
            <w:shd w:val="clear" w:color="auto" w:fill="auto"/>
            <w:tcMar>
              <w:top w:type="dxa" w:w="80"/>
              <w:left w:type="dxa" w:w="80"/>
              <w:bottom w:type="dxa" w:w="80"/>
              <w:right w:type="dxa" w:w="647"/>
            </w:tcMar>
            <w:vAlign w:val="top"/>
          </w:tcPr>
          <w:p>
            <w:pPr>
              <w:pStyle w:val="Contenuto tabella"/>
              <w:ind w:left="567" w:right="567"/>
            </w:pPr>
            <w:r>
              <w:rPr>
                <w:rFonts w:ascii="Book Antiqua"/>
                <w:caps w:val="0"/>
                <w:smallCaps w:val="0"/>
                <w:strike w:val="0"/>
                <w:dstrike w:val="0"/>
                <w:outline w:val="0"/>
                <w:color w:val="00000a"/>
                <w:spacing w:val="0"/>
                <w:kern w:val="0"/>
                <w:position w:val="0"/>
                <w:sz w:val="18"/>
                <w:szCs w:val="18"/>
                <w:u w:val="none" w:color="00000a"/>
                <w:vertAlign w:val="baseline"/>
                <w:rtl w:val="0"/>
                <w:lang w:val="it-IT"/>
              </w:rPr>
              <w:t>Nessun rifiuto</w:t>
            </w:r>
          </w:p>
        </w:tc>
      </w:tr>
      <w:tr>
        <w:tblPrEx>
          <w:shd w:val="clear" w:color="auto" w:fill="auto"/>
        </w:tblPrEx>
        <w:trPr>
          <w:trHeight w:val="445" w:hRule="atLeast"/>
        </w:trPr>
        <w:tc>
          <w:tcPr>
            <w:tcW w:type="dxa" w:w="2388"/>
            <w:tcBorders>
              <w:top w:val="single" w:color="000001" w:sz="2" w:space="0" w:shadow="0" w:frame="0"/>
              <w:left w:val="single" w:color="000001" w:sz="2" w:space="0" w:shadow="0" w:frame="0"/>
              <w:bottom w:val="single" w:color="000001" w:sz="2" w:space="0" w:shadow="0" w:frame="0"/>
              <w:right w:val="single" w:color="000001" w:sz="2" w:space="0" w:shadow="0" w:frame="0"/>
            </w:tcBorders>
            <w:shd w:val="clear" w:color="auto" w:fill="auto"/>
            <w:tcMar>
              <w:top w:type="dxa" w:w="80"/>
              <w:left w:type="dxa" w:w="80"/>
              <w:bottom w:type="dxa" w:w="80"/>
              <w:right w:type="dxa" w:w="647"/>
            </w:tcMar>
            <w:vAlign w:val="top"/>
          </w:tcPr>
          <w:p>
            <w:pPr>
              <w:pStyle w:val="Contenuto tabella"/>
              <w:ind w:left="567" w:right="567"/>
            </w:pPr>
            <w:r>
              <w:rPr>
                <w:rFonts w:ascii="Book Antiqua Bold"/>
                <w:b w:val="1"/>
                <w:bCs w:val="1"/>
                <w:caps w:val="0"/>
                <w:smallCaps w:val="0"/>
                <w:strike w:val="0"/>
                <w:dstrike w:val="0"/>
                <w:outline w:val="0"/>
                <w:color w:val="00000a"/>
                <w:spacing w:val="0"/>
                <w:kern w:val="0"/>
                <w:position w:val="0"/>
                <w:sz w:val="18"/>
                <w:szCs w:val="18"/>
                <w:u w:val="none" w:color="00000a"/>
                <w:vertAlign w:val="baseline"/>
                <w:rtl w:val="0"/>
                <w:lang w:val="it-IT"/>
              </w:rPr>
              <w:t>09.04.1991</w:t>
            </w:r>
          </w:p>
        </w:tc>
        <w:tc>
          <w:tcPr>
            <w:tcW w:type="dxa" w:w="2560"/>
            <w:tcBorders>
              <w:top w:val="single" w:color="000001" w:sz="2" w:space="0" w:shadow="0" w:frame="0"/>
              <w:left w:val="single" w:color="000001" w:sz="2" w:space="0" w:shadow="0" w:frame="0"/>
              <w:bottom w:val="single" w:color="000001" w:sz="2" w:space="0" w:shadow="0" w:frame="0"/>
              <w:right w:val="single" w:color="000001" w:sz="2" w:space="0" w:shadow="0" w:frame="0"/>
            </w:tcBorders>
            <w:shd w:val="clear" w:color="auto" w:fill="auto"/>
            <w:tcMar>
              <w:top w:type="dxa" w:w="80"/>
              <w:left w:type="dxa" w:w="80"/>
              <w:bottom w:type="dxa" w:w="80"/>
              <w:right w:type="dxa" w:w="647"/>
            </w:tcMar>
            <w:vAlign w:val="top"/>
          </w:tcPr>
          <w:p>
            <w:pPr>
              <w:pStyle w:val="Contenuto tabella"/>
              <w:ind w:left="567" w:right="567"/>
            </w:pPr>
            <w:r>
              <w:rPr>
                <w:rFonts w:ascii="Book Antiqua Bold"/>
                <w:b w:val="1"/>
                <w:bCs w:val="1"/>
                <w:caps w:val="0"/>
                <w:smallCaps w:val="0"/>
                <w:strike w:val="0"/>
                <w:dstrike w:val="0"/>
                <w:outline w:val="0"/>
                <w:color w:val="00000a"/>
                <w:spacing w:val="0"/>
                <w:kern w:val="0"/>
                <w:position w:val="0"/>
                <w:sz w:val="18"/>
                <w:szCs w:val="18"/>
                <w:u w:val="none" w:color="00000a"/>
                <w:vertAlign w:val="baseline"/>
                <w:rtl w:val="0"/>
                <w:lang w:val="it-IT"/>
              </w:rPr>
              <w:t>09.04.1992</w:t>
            </w:r>
          </w:p>
        </w:tc>
        <w:tc>
          <w:tcPr>
            <w:tcW w:type="dxa" w:w="3552"/>
            <w:tcBorders>
              <w:top w:val="single" w:color="000001" w:sz="2" w:space="0" w:shadow="0" w:frame="0"/>
              <w:left w:val="single" w:color="000001" w:sz="2" w:space="0" w:shadow="0" w:frame="0"/>
              <w:bottom w:val="single" w:color="000001" w:sz="2" w:space="0" w:shadow="0" w:frame="0"/>
              <w:right w:val="single" w:color="000001" w:sz="2" w:space="0" w:shadow="0" w:frame="0"/>
            </w:tcBorders>
            <w:shd w:val="clear" w:color="auto" w:fill="auto"/>
            <w:tcMar>
              <w:top w:type="dxa" w:w="80"/>
              <w:left w:type="dxa" w:w="80"/>
              <w:bottom w:type="dxa" w:w="80"/>
              <w:right w:type="dxa" w:w="647"/>
            </w:tcMar>
            <w:vAlign w:val="top"/>
          </w:tcPr>
          <w:p>
            <w:pPr>
              <w:pStyle w:val="Contenuto tabella"/>
              <w:ind w:left="567" w:right="567"/>
            </w:pPr>
            <w:r>
              <w:rPr>
                <w:rFonts w:ascii="Book Antiqua Bold"/>
                <w:b w:val="1"/>
                <w:bCs w:val="1"/>
                <w:caps w:val="0"/>
                <w:smallCaps w:val="0"/>
                <w:strike w:val="0"/>
                <w:dstrike w:val="0"/>
                <w:outline w:val="0"/>
                <w:color w:val="00000a"/>
                <w:spacing w:val="0"/>
                <w:kern w:val="0"/>
                <w:position w:val="0"/>
                <w:sz w:val="18"/>
                <w:szCs w:val="18"/>
                <w:u w:val="none" w:color="00000a"/>
                <w:vertAlign w:val="baseline"/>
                <w:rtl w:val="0"/>
                <w:lang w:val="it-IT"/>
              </w:rPr>
              <w:t>Rifiuti speciali, anche tossico nocivi</w:t>
            </w:r>
          </w:p>
        </w:tc>
      </w:tr>
      <w:tr>
        <w:tblPrEx>
          <w:shd w:val="clear" w:color="auto" w:fill="auto"/>
        </w:tblPrEx>
        <w:trPr>
          <w:trHeight w:val="448" w:hRule="atLeast"/>
        </w:trPr>
        <w:tc>
          <w:tcPr>
            <w:tcW w:type="dxa" w:w="2388"/>
            <w:tcBorders>
              <w:top w:val="single" w:color="000001" w:sz="2" w:space="0" w:shadow="0" w:frame="0"/>
              <w:left w:val="single" w:color="000001" w:sz="2" w:space="0" w:shadow="0" w:frame="0"/>
              <w:bottom w:val="single" w:color="000000" w:sz="4" w:space="0" w:shadow="0" w:frame="0"/>
              <w:right w:val="single" w:color="000001" w:sz="2" w:space="0" w:shadow="0" w:frame="0"/>
            </w:tcBorders>
            <w:shd w:val="clear" w:color="auto" w:fill="auto"/>
            <w:tcMar>
              <w:top w:type="dxa" w:w="80"/>
              <w:left w:type="dxa" w:w="80"/>
              <w:bottom w:type="dxa" w:w="80"/>
              <w:right w:type="dxa" w:w="647"/>
            </w:tcMar>
            <w:vAlign w:val="top"/>
          </w:tcPr>
          <w:p>
            <w:pPr>
              <w:pStyle w:val="Contenuto tabella"/>
              <w:ind w:left="567" w:right="567"/>
            </w:pPr>
            <w:r>
              <w:rPr>
                <w:rFonts w:ascii="Book Antiqua Bold"/>
                <w:b w:val="1"/>
                <w:bCs w:val="1"/>
                <w:caps w:val="0"/>
                <w:smallCaps w:val="0"/>
                <w:strike w:val="0"/>
                <w:dstrike w:val="0"/>
                <w:outline w:val="0"/>
                <w:color w:val="00000a"/>
                <w:spacing w:val="0"/>
                <w:kern w:val="0"/>
                <w:position w:val="0"/>
                <w:sz w:val="18"/>
                <w:szCs w:val="18"/>
                <w:u w:val="none" w:color="00000a"/>
                <w:vertAlign w:val="baseline"/>
                <w:rtl w:val="0"/>
                <w:lang w:val="it-IT"/>
              </w:rPr>
              <w:t>14.04.1992</w:t>
            </w:r>
          </w:p>
        </w:tc>
        <w:tc>
          <w:tcPr>
            <w:tcW w:type="dxa" w:w="2560"/>
            <w:tcBorders>
              <w:top w:val="single" w:color="000001" w:sz="2" w:space="0" w:shadow="0" w:frame="0"/>
              <w:left w:val="single" w:color="000001" w:sz="2" w:space="0" w:shadow="0" w:frame="0"/>
              <w:bottom w:val="single" w:color="000000" w:sz="4" w:space="0" w:shadow="0" w:frame="0"/>
              <w:right w:val="single" w:color="000001" w:sz="2" w:space="0" w:shadow="0" w:frame="0"/>
            </w:tcBorders>
            <w:shd w:val="clear" w:color="auto" w:fill="auto"/>
            <w:tcMar>
              <w:top w:type="dxa" w:w="80"/>
              <w:left w:type="dxa" w:w="80"/>
              <w:bottom w:type="dxa" w:w="80"/>
              <w:right w:type="dxa" w:w="647"/>
            </w:tcMar>
            <w:vAlign w:val="top"/>
          </w:tcPr>
          <w:p>
            <w:pPr>
              <w:pStyle w:val="Contenuto tabella"/>
              <w:ind w:left="567" w:right="567"/>
            </w:pPr>
            <w:r>
              <w:rPr>
                <w:rFonts w:ascii="Book Antiqua Bold"/>
                <w:b w:val="1"/>
                <w:bCs w:val="1"/>
                <w:caps w:val="0"/>
                <w:smallCaps w:val="0"/>
                <w:strike w:val="0"/>
                <w:dstrike w:val="0"/>
                <w:outline w:val="0"/>
                <w:color w:val="00000a"/>
                <w:spacing w:val="0"/>
                <w:kern w:val="0"/>
                <w:position w:val="0"/>
                <w:sz w:val="18"/>
                <w:szCs w:val="18"/>
                <w:u w:val="none" w:color="00000a"/>
                <w:vertAlign w:val="baseline"/>
                <w:rtl w:val="0"/>
                <w:lang w:val="it-IT"/>
              </w:rPr>
              <w:t>31.12.1992</w:t>
            </w:r>
          </w:p>
        </w:tc>
        <w:tc>
          <w:tcPr>
            <w:tcW w:type="dxa" w:w="3552"/>
            <w:tcBorders>
              <w:top w:val="single" w:color="000001" w:sz="2" w:space="0" w:shadow="0" w:frame="0"/>
              <w:left w:val="single" w:color="000001" w:sz="2" w:space="0" w:shadow="0" w:frame="0"/>
              <w:bottom w:val="single" w:color="000000" w:sz="4" w:space="0" w:shadow="0" w:frame="0"/>
              <w:right w:val="single" w:color="000001" w:sz="2" w:space="0" w:shadow="0" w:frame="0"/>
            </w:tcBorders>
            <w:shd w:val="clear" w:color="auto" w:fill="auto"/>
            <w:tcMar>
              <w:top w:type="dxa" w:w="80"/>
              <w:left w:type="dxa" w:w="80"/>
              <w:bottom w:type="dxa" w:w="80"/>
              <w:right w:type="dxa" w:w="647"/>
            </w:tcMar>
            <w:vAlign w:val="top"/>
          </w:tcPr>
          <w:p>
            <w:pPr>
              <w:pStyle w:val="Contenuto tabella"/>
              <w:ind w:left="567" w:right="567"/>
            </w:pPr>
            <w:r>
              <w:rPr>
                <w:rFonts w:ascii="Book Antiqua Bold"/>
                <w:b w:val="1"/>
                <w:bCs w:val="1"/>
                <w:caps w:val="0"/>
                <w:smallCaps w:val="0"/>
                <w:strike w:val="0"/>
                <w:dstrike w:val="0"/>
                <w:outline w:val="0"/>
                <w:color w:val="00000a"/>
                <w:spacing w:val="0"/>
                <w:kern w:val="0"/>
                <w:position w:val="0"/>
                <w:sz w:val="18"/>
                <w:szCs w:val="18"/>
                <w:u w:val="none" w:color="00000a"/>
                <w:vertAlign w:val="baseline"/>
                <w:rtl w:val="0"/>
                <w:lang w:val="it-IT"/>
              </w:rPr>
              <w:t>Rifiuti speciali, anche tossico nocivi</w:t>
            </w:r>
          </w:p>
        </w:tc>
      </w:tr>
      <w:tr>
        <w:tblPrEx>
          <w:shd w:val="clear" w:color="auto" w:fill="auto"/>
        </w:tblPrEx>
        <w:trPr>
          <w:trHeight w:val="265" w:hRule="atLeast"/>
        </w:trPr>
        <w:tc>
          <w:tcPr>
            <w:tcW w:type="dxa" w:w="2388"/>
            <w:tcBorders>
              <w:top w:val="single" w:color="000000" w:sz="4" w:space="0" w:shadow="0" w:frame="0"/>
              <w:left w:val="nil"/>
              <w:bottom w:val="nil"/>
              <w:right w:val="nil"/>
            </w:tcBorders>
            <w:shd w:val="clear" w:color="auto" w:fill="auto"/>
            <w:tcMar>
              <w:top w:type="dxa" w:w="80"/>
              <w:left w:type="dxa" w:w="80"/>
              <w:bottom w:type="dxa" w:w="80"/>
              <w:right w:type="dxa" w:w="647"/>
            </w:tcMar>
            <w:vAlign w:val="top"/>
          </w:tcPr>
          <w:p/>
        </w:tc>
        <w:tc>
          <w:tcPr>
            <w:tcW w:type="dxa" w:w="2560"/>
            <w:tcBorders>
              <w:top w:val="single" w:color="000000" w:sz="4" w:space="0" w:shadow="0" w:frame="0"/>
              <w:left w:val="nil"/>
              <w:bottom w:val="nil"/>
              <w:right w:val="nil"/>
            </w:tcBorders>
            <w:shd w:val="clear" w:color="auto" w:fill="auto"/>
            <w:tcMar>
              <w:top w:type="dxa" w:w="80"/>
              <w:left w:type="dxa" w:w="80"/>
              <w:bottom w:type="dxa" w:w="80"/>
              <w:right w:type="dxa" w:w="647"/>
            </w:tcMar>
            <w:vAlign w:val="top"/>
          </w:tcPr>
          <w:p/>
        </w:tc>
        <w:tc>
          <w:tcPr>
            <w:tcW w:type="dxa" w:w="3552"/>
            <w:tcBorders>
              <w:top w:val="single" w:color="000000" w:sz="4" w:space="0" w:shadow="0" w:frame="0"/>
              <w:left w:val="nil"/>
              <w:bottom w:val="nil"/>
              <w:right w:val="nil"/>
            </w:tcBorders>
            <w:shd w:val="clear" w:color="auto" w:fill="auto"/>
            <w:tcMar>
              <w:top w:type="dxa" w:w="80"/>
              <w:left w:type="dxa" w:w="80"/>
              <w:bottom w:type="dxa" w:w="80"/>
              <w:right w:type="dxa" w:w="647"/>
            </w:tcMar>
            <w:vAlign w:val="top"/>
          </w:tcPr>
          <w:p/>
        </w:tc>
      </w:tr>
    </w:tbl>
    <w:p>
      <w:pPr>
        <w:pStyle w:val="Corpo A"/>
        <w:ind w:left="567" w:right="567" w:firstLine="0"/>
        <w:jc w:val="both"/>
        <w:rPr>
          <w:rFonts w:ascii="Book Antiqua" w:cs="Book Antiqua" w:hAnsi="Book Antiqua" w:eastAsia="Book Antiqua"/>
          <w:sz w:val="20"/>
          <w:szCs w:val="20"/>
          <w:lang w:val="it-IT"/>
        </w:rPr>
      </w:pPr>
    </w:p>
    <w:p>
      <w:pPr>
        <w:pStyle w:val="Corpo A"/>
        <w:ind w:left="567" w:right="567" w:firstLine="0"/>
        <w:jc w:val="both"/>
        <w:rPr>
          <w:rFonts w:ascii="Book Antiqua" w:cs="Book Antiqua" w:hAnsi="Book Antiqua" w:eastAsia="Book Antiqua"/>
          <w:sz w:val="24"/>
          <w:szCs w:val="24"/>
          <w:lang w:val="it-IT"/>
        </w:rPr>
      </w:pPr>
    </w:p>
    <w:p>
      <w:pPr>
        <w:pStyle w:val="Normal"/>
        <w:ind w:left="567" w:right="567" w:firstLine="0"/>
        <w:jc w:val="both"/>
        <w:rPr>
          <w:rFonts w:ascii="Book Antiqua Bold" w:cs="Book Antiqua Bold" w:hAnsi="Book Antiqua Bold" w:eastAsia="Book Antiqua Bold"/>
          <w:b w:val="1"/>
          <w:bCs w:val="1"/>
          <w:sz w:val="20"/>
          <w:szCs w:val="20"/>
        </w:rPr>
      </w:pPr>
      <w:r>
        <w:rPr>
          <w:rFonts w:ascii="Book Antiqua" w:cs="Book Antiqua" w:hAnsi="Book Antiqua" w:eastAsia="Book Antiqua"/>
          <w:sz w:val="20"/>
          <w:szCs w:val="20"/>
          <w:rtl w:val="0"/>
        </w:rPr>
        <mc:AlternateContent>
          <mc:Choice Requires="wpg">
            <w:drawing>
              <wp:anchor distT="152400" distB="152400" distL="152400" distR="152400" simplePos="0" relativeHeight="251662336" behindDoc="0" locked="0" layoutInCell="1" allowOverlap="1">
                <wp:simplePos x="0" y="0"/>
                <wp:positionH relativeFrom="page">
                  <wp:posOffset>654049</wp:posOffset>
                </wp:positionH>
                <wp:positionV relativeFrom="page">
                  <wp:posOffset>114300</wp:posOffset>
                </wp:positionV>
                <wp:extent cx="6120766" cy="3354705"/>
                <wp:effectExtent l="0" t="0" r="0" b="0"/>
                <wp:wrapTopAndBottom distT="152400" distB="152400"/>
                <wp:docPr id="1073741880" name="officeArt object"/>
                <wp:cNvGraphicFramePr/>
                <a:graphic xmlns:a="http://schemas.openxmlformats.org/drawingml/2006/main">
                  <a:graphicData uri="http://schemas.microsoft.com/office/word/2010/wordprocessingGroup">
                    <wpg:wgp>
                      <wpg:cNvGrpSpPr/>
                      <wpg:grpSpPr>
                        <a:xfrm>
                          <a:off x="0" y="0"/>
                          <a:ext cx="6120766" cy="3354705"/>
                          <a:chOff x="0" y="0"/>
                          <a:chExt cx="6120765" cy="3354704"/>
                        </a:xfrm>
                      </wpg:grpSpPr>
                      <pic:pic xmlns:pic="http://schemas.openxmlformats.org/drawingml/2006/picture">
                        <pic:nvPicPr>
                          <pic:cNvPr id="1073741878" name="image52.png"/>
                          <pic:cNvPicPr/>
                        </pic:nvPicPr>
                        <pic:blipFill>
                          <a:blip r:embed="rId63">
                            <a:extLst/>
                          </a:blip>
                          <a:stretch>
                            <a:fillRect/>
                          </a:stretch>
                        </pic:blipFill>
                        <pic:spPr>
                          <a:xfrm>
                            <a:off x="50800" y="50800"/>
                            <a:ext cx="6019166" cy="3253105"/>
                          </a:xfrm>
                          <a:prstGeom prst="rect">
                            <a:avLst/>
                          </a:prstGeom>
                          <a:ln w="12700" cap="flat">
                            <a:noFill/>
                            <a:miter lim="400000"/>
                          </a:ln>
                          <a:effectLst/>
                        </pic:spPr>
                      </pic:pic>
                      <pic:pic xmlns:pic="http://schemas.openxmlformats.org/drawingml/2006/picture">
                        <pic:nvPicPr>
                          <pic:cNvPr id="1073741879" name="image53.png"/>
                          <pic:cNvPicPr/>
                        </pic:nvPicPr>
                        <pic:blipFill>
                          <a:blip r:embed="rId64">
                            <a:extLst/>
                          </a:blip>
                          <a:stretch>
                            <a:fillRect/>
                          </a:stretch>
                        </pic:blipFill>
                        <pic:spPr>
                          <a:xfrm>
                            <a:off x="0" y="0"/>
                            <a:ext cx="6120766" cy="3354705"/>
                          </a:xfrm>
                          <a:prstGeom prst="rect">
                            <a:avLst/>
                          </a:prstGeom>
                          <a:ln w="12700" cap="flat">
                            <a:noFill/>
                            <a:miter lim="400000"/>
                          </a:ln>
                          <a:effectLst/>
                        </pic:spPr>
                      </pic:pic>
                    </wpg:wgp>
                  </a:graphicData>
                </a:graphic>
              </wp:anchor>
            </w:drawing>
          </mc:Choice>
          <mc:Fallback>
            <w:pict>
              <v:group id="_x0000_s1026" style="visibility:visible;position:absolute;margin-left:51.5pt;margin-top:9.0pt;width:482.0pt;height:264.1pt;z-index:251662336;mso-position-horizontal:absolute;mso-position-horizontal-relative:page;mso-position-vertical:absolute;mso-position-vertical-relative:page;mso-wrap-distance-left:12.0pt;mso-wrap-distance-top:12.0pt;mso-wrap-distance-right:12.0pt;mso-wrap-distance-bottom:12.0pt;" coordorigin="0,0" coordsize="6120765,3354705">
                <w10:wrap type="topAndBottom" side="bothSides" anchorx="page" anchory="page"/>
                <v:shape id="_x0000_s1027" type="#_x0000_t75" style="position:absolute;left:50800;top:50800;width:6019165;height:3253105;">
                  <v:imagedata r:id="rId63" o:title="image52.png"/>
                </v:shape>
                <v:shape id="_x0000_s1028" type="#_x0000_t75" style="position:absolute;left:0;top:0;width:6120765;height:3354705;">
                  <v:imagedata r:id="rId64" o:title="image53.png"/>
                </v:shape>
              </v:group>
            </w:pict>
          </mc:Fallback>
        </mc:AlternateContent>
      </w:r>
      <w:r>
        <w:rPr>
          <w:rFonts w:ascii="Book Antiqua Bold"/>
          <w:b w:val="1"/>
          <w:bCs w:val="1"/>
          <w:sz w:val="20"/>
          <w:szCs w:val="20"/>
          <w:rtl w:val="0"/>
          <w:lang w:val="it-IT"/>
        </w:rPr>
        <w:t>Mappa contenuta all</w:t>
      </w:r>
      <w:r>
        <w:rPr>
          <w:rFonts w:hAnsi="Book Antiqua Bold" w:hint="default"/>
          <w:b w:val="1"/>
          <w:bCs w:val="1"/>
          <w:sz w:val="20"/>
          <w:szCs w:val="20"/>
          <w:rtl w:val="0"/>
          <w:lang w:val="it-IT"/>
        </w:rPr>
        <w:t>’</w:t>
      </w:r>
      <w:r>
        <w:rPr>
          <w:rFonts w:ascii="Book Antiqua Bold"/>
          <w:b w:val="1"/>
          <w:bCs w:val="1"/>
          <w:sz w:val="20"/>
          <w:szCs w:val="20"/>
          <w:rtl w:val="0"/>
          <w:lang w:val="it-IT"/>
        </w:rPr>
        <w:t>interno della prima informativa della Squadra Mobile di Latina del 15 ottobre 2013: l</w:t>
      </w:r>
      <w:r>
        <w:rPr>
          <w:rFonts w:hAnsi="Book Antiqua Bold" w:hint="default"/>
          <w:b w:val="1"/>
          <w:bCs w:val="1"/>
          <w:sz w:val="20"/>
          <w:szCs w:val="20"/>
          <w:rtl w:val="0"/>
          <w:lang w:val="it-IT"/>
        </w:rPr>
        <w:t>’</w:t>
      </w:r>
      <w:r>
        <w:rPr>
          <w:rFonts w:ascii="Book Antiqua Bold"/>
          <w:b w:val="1"/>
          <w:bCs w:val="1"/>
          <w:sz w:val="20"/>
          <w:szCs w:val="20"/>
          <w:rtl w:val="0"/>
          <w:lang w:val="it-IT"/>
        </w:rPr>
        <w:t>area corrisponde a una zona compresa tra gli invasi S3 e S1</w:t>
      </w: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rPr>
      </w:pPr>
      <w:r>
        <w:rPr>
          <w:rFonts w:ascii="Book Antiqua"/>
          <w:rtl w:val="0"/>
          <w:lang w:val="it-IT"/>
        </w:rPr>
        <w:t xml:space="preserve">In particolare, secondo la perizia e la sentenza di primo grado della Pretura di Latina, i rifiuti speciali </w:t>
      </w:r>
      <w:r>
        <w:rPr>
          <w:rFonts w:hAnsi="Book Antiqua" w:hint="default"/>
          <w:rtl w:val="0"/>
          <w:lang w:val="it-IT"/>
        </w:rPr>
        <w:t>“</w:t>
      </w:r>
      <w:r>
        <w:rPr>
          <w:rFonts w:ascii="Book Antiqua"/>
          <w:rtl w:val="0"/>
          <w:lang w:val="it-IT"/>
        </w:rPr>
        <w:t>tossico nocivi</w:t>
      </w:r>
      <w:r>
        <w:rPr>
          <w:rFonts w:hAnsi="Book Antiqua" w:hint="default"/>
          <w:rtl w:val="0"/>
          <w:lang w:val="it-IT"/>
        </w:rPr>
        <w:t xml:space="preserve">” </w:t>
      </w:r>
      <w:r>
        <w:rPr>
          <w:rFonts w:ascii="Book Antiqua"/>
          <w:rtl w:val="0"/>
          <w:lang w:val="it-IT"/>
        </w:rPr>
        <w:t>sicuramente conferiti in questo periodo sono:</w:t>
      </w:r>
    </w:p>
    <w:p>
      <w:pPr>
        <w:pStyle w:val="Normal"/>
        <w:ind w:left="567" w:right="567" w:firstLine="0"/>
        <w:jc w:val="both"/>
        <w:rPr>
          <w:rFonts w:ascii="Book Antiqua" w:cs="Book Antiqua" w:hAnsi="Book Antiqua" w:eastAsia="Book Antiqua"/>
        </w:rPr>
      </w:pPr>
      <w:r>
        <w:rPr>
          <w:rFonts w:ascii="Book Antiqua"/>
          <w:rtl w:val="0"/>
          <w:lang w:val="it-IT"/>
        </w:rPr>
        <w:t>- fanghi di depurazione di impianti di produzione di composti farmaceutici</w:t>
      </w:r>
    </w:p>
    <w:p>
      <w:pPr>
        <w:pStyle w:val="Normal"/>
        <w:ind w:left="567" w:right="567" w:firstLine="0"/>
        <w:jc w:val="both"/>
        <w:rPr>
          <w:rFonts w:ascii="Book Antiqua" w:cs="Book Antiqua" w:hAnsi="Book Antiqua" w:eastAsia="Book Antiqua"/>
        </w:rPr>
      </w:pPr>
      <w:r>
        <w:rPr>
          <w:rFonts w:ascii="Book Antiqua"/>
          <w:rtl w:val="0"/>
          <w:lang w:val="it-IT"/>
        </w:rPr>
        <w:t>- morchie di verniciatura</w:t>
      </w:r>
    </w:p>
    <w:p>
      <w:pPr>
        <w:pStyle w:val="Normal"/>
        <w:ind w:left="567" w:right="567" w:firstLine="0"/>
        <w:jc w:val="both"/>
        <w:rPr>
          <w:rFonts w:ascii="Book Antiqua" w:cs="Book Antiqua" w:hAnsi="Book Antiqua" w:eastAsia="Book Antiqua"/>
        </w:rPr>
      </w:pPr>
      <w:r>
        <w:rPr>
          <w:rFonts w:ascii="Book Antiqua"/>
          <w:rtl w:val="0"/>
          <w:lang w:val="it-IT"/>
        </w:rPr>
        <w:t>- fanghi di depurazione di impianti di produzione ed utilizzazione di composti chimici</w:t>
      </w:r>
    </w:p>
    <w:p>
      <w:pPr>
        <w:pStyle w:val="Normal"/>
        <w:ind w:left="567" w:right="567" w:firstLine="0"/>
        <w:jc w:val="both"/>
        <w:rPr>
          <w:rFonts w:ascii="Book Antiqua" w:cs="Book Antiqua" w:hAnsi="Book Antiqua" w:eastAsia="Book Antiqua"/>
        </w:rPr>
      </w:pPr>
      <w:r>
        <w:rPr>
          <w:rFonts w:ascii="Book Antiqua"/>
          <w:rtl w:val="0"/>
          <w:lang w:val="it-IT"/>
        </w:rPr>
        <w:t>Per quanto riguarda il periodo successivo al 31 dicembre 1992 non si hanno notizie in merito alla tipologia di rifiuti conferiti nell'invaso B2.</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La prima informativa della Squadra mobile di Latina presentava una mappa con l'indicazione di un punto preciso a ridosso dei siti S1-S3, indicato da una fonte confidenziale come il luogo di interramento di fusti con rifiuti probabilmente pericolosi.</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 xml:space="preserve">Il 12 settembre 2013 la Squadra mobile di Latina redige una informativa relativa alla </w:t>
      </w:r>
      <w:r>
        <w:rPr>
          <w:rFonts w:hAnsi="Book Antiqua" w:hint="default"/>
          <w:sz w:val="24"/>
          <w:szCs w:val="24"/>
          <w:rtl w:val="0"/>
          <w:lang w:val="it-IT"/>
        </w:rPr>
        <w:t>“</w:t>
      </w:r>
      <w:r>
        <w:rPr>
          <w:rFonts w:ascii="Book Antiqua"/>
          <w:sz w:val="24"/>
          <w:szCs w:val="24"/>
          <w:rtl w:val="0"/>
          <w:lang w:val="it-IT"/>
        </w:rPr>
        <w:t>acquisizione di notizia confidenziale</w:t>
      </w:r>
      <w:r>
        <w:rPr>
          <w:rFonts w:hAnsi="Book Antiqua" w:hint="default"/>
          <w:sz w:val="24"/>
          <w:szCs w:val="24"/>
          <w:rtl w:val="0"/>
          <w:lang w:val="it-IT"/>
        </w:rPr>
        <w:t>”</w:t>
      </w:r>
      <w:r>
        <w:rPr>
          <w:rFonts w:ascii="Book Antiqua"/>
          <w:sz w:val="24"/>
          <w:szCs w:val="24"/>
          <w:rtl w:val="0"/>
          <w:lang w:val="it-IT"/>
        </w:rPr>
        <w:t xml:space="preserve">: </w:t>
      </w:r>
    </w:p>
    <w:p>
      <w:pPr>
        <w:pStyle w:val="Corpo A"/>
        <w:ind w:left="567" w:right="567" w:firstLine="0"/>
        <w:jc w:val="both"/>
        <w:rPr>
          <w:rFonts w:ascii="Book Antiqua" w:cs="Book Antiqua" w:hAnsi="Book Antiqua" w:eastAsia="Book Antiqua"/>
          <w:sz w:val="24"/>
          <w:szCs w:val="24"/>
          <w:lang w:val="it-IT"/>
        </w:rPr>
      </w:pPr>
      <w:r>
        <w:rPr>
          <w:rFonts w:hAnsi="Book Antiqua" w:hint="default"/>
          <w:sz w:val="24"/>
          <w:szCs w:val="24"/>
          <w:rtl w:val="0"/>
          <w:lang w:val="it-IT"/>
        </w:rPr>
        <w:t>“</w:t>
      </w:r>
      <w:r>
        <w:rPr>
          <w:rFonts w:ascii="Book Antiqua"/>
          <w:sz w:val="24"/>
          <w:szCs w:val="24"/>
          <w:rtl w:val="0"/>
          <w:lang w:val="it-IT"/>
        </w:rPr>
        <w:t>Nell'ambito della normale attivit</w:t>
      </w:r>
      <w:r>
        <w:rPr>
          <w:rFonts w:hAnsi="Book Antiqua" w:hint="default"/>
          <w:sz w:val="24"/>
          <w:szCs w:val="24"/>
          <w:rtl w:val="0"/>
          <w:lang w:val="it-IT"/>
        </w:rPr>
        <w:t xml:space="preserve">à </w:t>
      </w:r>
      <w:r>
        <w:rPr>
          <w:rFonts w:ascii="Book Antiqua"/>
          <w:sz w:val="24"/>
          <w:szCs w:val="24"/>
          <w:rtl w:val="0"/>
          <w:lang w:val="it-IT"/>
        </w:rPr>
        <w:t>info-investigativa i verbalizzanti apprendevano riservatamente che negli anni pregressi e pi</w:t>
      </w:r>
      <w:r>
        <w:rPr>
          <w:rFonts w:hAnsi="Book Antiqua" w:hint="default"/>
          <w:sz w:val="24"/>
          <w:szCs w:val="24"/>
          <w:rtl w:val="0"/>
          <w:lang w:val="it-IT"/>
        </w:rPr>
        <w:t xml:space="preserve">ù </w:t>
      </w:r>
      <w:r>
        <w:rPr>
          <w:rFonts w:ascii="Book Antiqua"/>
          <w:sz w:val="24"/>
          <w:szCs w:val="24"/>
          <w:rtl w:val="0"/>
          <w:lang w:val="it-IT"/>
        </w:rPr>
        <w:t>esattamente a far data dall'anno 1987 al 1993 presso la discarica comunale di Borgo Montello (LT) denominata "Latina Ambiente' erano stati interrati numerosi fusti in metallo di cui per</w:t>
      </w:r>
      <w:r>
        <w:rPr>
          <w:rFonts w:hAnsi="Book Antiqua" w:hint="default"/>
          <w:sz w:val="24"/>
          <w:szCs w:val="24"/>
          <w:rtl w:val="0"/>
          <w:lang w:val="it-IT"/>
        </w:rPr>
        <w:t xml:space="preserve">ò </w:t>
      </w:r>
      <w:r>
        <w:rPr>
          <w:rFonts w:ascii="Book Antiqua"/>
          <w:sz w:val="24"/>
          <w:szCs w:val="24"/>
          <w:rtl w:val="0"/>
          <w:lang w:val="it-IT"/>
        </w:rPr>
        <w:t>non sapeva indicarne il colore, contenenti materiali altamente inquinanti e nocivi per la salute pubblica, provenienti da aziende chimiche del nord d'Italia e trasportati con dei furgoni e camioncini i quali, per evitare possibili controlli da parte delle forze dell'ordine effettuavano percorsi diversi rispetto alle arterie ordinarie.</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La fonte asseriva che negli ultimi periodi seppur erano stati eseguiti dei carotaggi volti ad accertare le contaminazioni dei terreni in seno alla discarica da parte degli organi preposti cosi come ampiamente pubblicato dalle cronache giornalistiche locali e nazionali, precisava che i rilevamenti erano stati effettuati su invasi diversi rispetto a quelli ove si trovavano interrati i bidoni</w:t>
      </w:r>
      <w:r>
        <w:rPr>
          <w:rFonts w:hAnsi="Book Antiqua" w:hint="default"/>
          <w:sz w:val="24"/>
          <w:szCs w:val="24"/>
          <w:rtl w:val="0"/>
          <w:lang w:val="it-IT"/>
        </w:rPr>
        <w:t>”</w:t>
      </w:r>
      <w:r>
        <w:rPr>
          <w:rFonts w:ascii="Book Antiqua"/>
          <w:sz w:val="24"/>
          <w:szCs w:val="24"/>
          <w:rtl w:val="0"/>
          <w:lang w:val="it-IT"/>
        </w:rPr>
        <w:t>.</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La fonte confidenziale faceva evidente riferimento alla campagna di scavi realizzata dal comune di Latina, dalla regione Lazio e dalla societ</w:t>
      </w:r>
      <w:r>
        <w:rPr>
          <w:rFonts w:hAnsi="Book Antiqua" w:hint="default"/>
          <w:sz w:val="24"/>
          <w:szCs w:val="24"/>
          <w:rtl w:val="0"/>
          <w:lang w:val="it-IT"/>
        </w:rPr>
        <w:t xml:space="preserve">à </w:t>
      </w:r>
      <w:r>
        <w:rPr>
          <w:rFonts w:ascii="Book Antiqua"/>
          <w:sz w:val="24"/>
          <w:szCs w:val="24"/>
          <w:rtl w:val="0"/>
          <w:lang w:val="it-IT"/>
        </w:rPr>
        <w:t>Ecoambiente nell</w:t>
      </w:r>
      <w:r>
        <w:rPr>
          <w:rFonts w:hAnsi="Book Antiqua" w:hint="default"/>
          <w:sz w:val="24"/>
          <w:szCs w:val="24"/>
          <w:rtl w:val="0"/>
          <w:lang w:val="it-IT"/>
        </w:rPr>
        <w:t>’</w:t>
      </w:r>
      <w:r>
        <w:rPr>
          <w:rFonts w:ascii="Book Antiqua"/>
          <w:sz w:val="24"/>
          <w:szCs w:val="24"/>
          <w:rtl w:val="0"/>
          <w:lang w:val="it-IT"/>
        </w:rPr>
        <w:t>area denominata S0. Secondo la fonte in realt</w:t>
      </w:r>
      <w:r>
        <w:rPr>
          <w:rFonts w:hAnsi="Book Antiqua" w:hint="default"/>
          <w:sz w:val="24"/>
          <w:szCs w:val="24"/>
          <w:rtl w:val="0"/>
          <w:lang w:val="it-IT"/>
        </w:rPr>
        <w:t xml:space="preserve">à </w:t>
      </w:r>
      <w:r>
        <w:rPr>
          <w:rFonts w:ascii="Book Antiqua"/>
          <w:sz w:val="24"/>
          <w:szCs w:val="24"/>
          <w:rtl w:val="0"/>
          <w:lang w:val="it-IT"/>
        </w:rPr>
        <w:t xml:space="preserve">i </w:t>
      </w:r>
      <w:r>
        <w:rPr>
          <w:rFonts w:hAnsi="Book Antiqua" w:hint="default"/>
          <w:sz w:val="24"/>
          <w:szCs w:val="24"/>
          <w:rtl w:val="0"/>
          <w:lang w:val="it-IT"/>
        </w:rPr>
        <w:t>“</w:t>
      </w:r>
      <w:r>
        <w:rPr>
          <w:rFonts w:ascii="Book Antiqua"/>
          <w:sz w:val="24"/>
          <w:szCs w:val="24"/>
          <w:rtl w:val="0"/>
          <w:lang w:val="it-IT"/>
        </w:rPr>
        <w:t>fusti</w:t>
      </w:r>
      <w:r>
        <w:rPr>
          <w:rFonts w:hAnsi="Book Antiqua" w:hint="default"/>
          <w:sz w:val="24"/>
          <w:szCs w:val="24"/>
          <w:rtl w:val="0"/>
          <w:lang w:val="it-IT"/>
        </w:rPr>
        <w:t xml:space="preserve">” </w:t>
      </w:r>
      <w:r>
        <w:rPr>
          <w:rFonts w:ascii="Book Antiqua"/>
          <w:sz w:val="24"/>
          <w:szCs w:val="24"/>
          <w:rtl w:val="0"/>
          <w:lang w:val="it-IT"/>
        </w:rPr>
        <w:t>si trovavano in un altro invaso.</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 xml:space="preserve">Si prosegue: </w:t>
      </w:r>
      <w:r>
        <w:rPr>
          <w:rFonts w:hAnsi="Book Antiqua" w:hint="default"/>
          <w:sz w:val="24"/>
          <w:szCs w:val="24"/>
          <w:rtl w:val="0"/>
          <w:lang w:val="it-IT"/>
        </w:rPr>
        <w:t>“</w:t>
      </w:r>
      <w:r>
        <w:rPr>
          <w:rFonts w:ascii="Book Antiqua"/>
          <w:sz w:val="24"/>
          <w:szCs w:val="24"/>
          <w:rtl w:val="0"/>
          <w:lang w:val="it-IT"/>
        </w:rPr>
        <w:t>Nel corso del colloquio investigativo l'informatore dichiarava che uno dei due operai che si era adoperato all'interramento dei fusti in parola utilizzando delle pale meccaniche ed effettuato nelle ore notturne e lontani da sguardi indiscreti risultava essere tale [</w:t>
      </w:r>
      <w:r>
        <w:rPr>
          <w:rFonts w:hAnsi="Book Antiqua" w:hint="default"/>
          <w:sz w:val="24"/>
          <w:szCs w:val="24"/>
          <w:rtl w:val="0"/>
          <w:lang w:val="it-IT"/>
        </w:rPr>
        <w:t>…</w:t>
      </w:r>
      <w:r>
        <w:rPr>
          <w:rFonts w:ascii="Book Antiqua"/>
          <w:sz w:val="24"/>
          <w:szCs w:val="24"/>
          <w:rtl w:val="0"/>
          <w:lang w:val="it-IT"/>
        </w:rPr>
        <w:t>], frazione di Borgo Montello (LT) ubicata nelle immediate vicinanze della discarica. Per la sua prestazione e soprattutto per il "silenzio" avrebbe ottenuto lauti guadagni da parte di tale Proietto Andrea, titolare della societ</w:t>
      </w:r>
      <w:r>
        <w:rPr>
          <w:rFonts w:hAnsi="Book Antiqua" w:hint="default"/>
          <w:sz w:val="24"/>
          <w:szCs w:val="24"/>
          <w:rtl w:val="0"/>
          <w:lang w:val="it-IT"/>
        </w:rPr>
        <w:t xml:space="preserve">à </w:t>
      </w:r>
      <w:r>
        <w:rPr>
          <w:rFonts w:ascii="Book Antiqua"/>
          <w:sz w:val="24"/>
          <w:szCs w:val="24"/>
          <w:rtl w:val="0"/>
          <w:lang w:val="it-IT"/>
        </w:rPr>
        <w:t>per la raccolta di rifiuti. l compensi stipulati verbalmente tra le parti, stimati attorno ai 60 - 80.000 milioni delle vecchie lire erano stati solo in parte erogati da parte dal Proietto Andrea. Con il passare del tempo, la circostanza relativa all'incompleto compenso stimato attorno ai 20,000 euro, faceva scaturire rabbia e rancore da parte del citato [</w:t>
      </w:r>
      <w:r>
        <w:rPr>
          <w:rFonts w:hAnsi="Book Antiqua" w:hint="default"/>
          <w:sz w:val="24"/>
          <w:szCs w:val="24"/>
          <w:rtl w:val="0"/>
          <w:lang w:val="it-IT"/>
        </w:rPr>
        <w:t>…</w:t>
      </w:r>
      <w:r>
        <w:rPr>
          <w:rFonts w:ascii="Book Antiqua"/>
          <w:sz w:val="24"/>
          <w:szCs w:val="24"/>
          <w:rtl w:val="0"/>
          <w:lang w:val="it-IT"/>
        </w:rPr>
        <w:t>], che finanche alla presenza di pi</w:t>
      </w:r>
      <w:r>
        <w:rPr>
          <w:rFonts w:hAnsi="Book Antiqua" w:hint="default"/>
          <w:sz w:val="24"/>
          <w:szCs w:val="24"/>
          <w:rtl w:val="0"/>
          <w:lang w:val="it-IT"/>
        </w:rPr>
        <w:t xml:space="preserve">ù </w:t>
      </w:r>
      <w:r>
        <w:rPr>
          <w:rFonts w:ascii="Book Antiqua"/>
          <w:sz w:val="24"/>
          <w:szCs w:val="24"/>
          <w:rtl w:val="0"/>
          <w:lang w:val="it-IT"/>
        </w:rPr>
        <w:t>persone lamentava l'insolvenza del Proietto Andrea. Nelle sedute intrattenute con le fonti, [</w:t>
      </w:r>
      <w:r>
        <w:rPr>
          <w:rFonts w:hAnsi="Book Antiqua" w:hint="default"/>
          <w:sz w:val="24"/>
          <w:szCs w:val="24"/>
          <w:rtl w:val="0"/>
          <w:lang w:val="it-IT"/>
        </w:rPr>
        <w:t>…</w:t>
      </w:r>
      <w:r>
        <w:rPr>
          <w:rFonts w:ascii="Book Antiqua"/>
          <w:sz w:val="24"/>
          <w:szCs w:val="24"/>
          <w:rtl w:val="0"/>
          <w:lang w:val="it-IT"/>
        </w:rPr>
        <w:t>], precisava che i percolati vigenti nei fusti oramai logorati dal tempo e che gi</w:t>
      </w:r>
      <w:r>
        <w:rPr>
          <w:rFonts w:hAnsi="Book Antiqua" w:hint="default"/>
          <w:sz w:val="24"/>
          <w:szCs w:val="24"/>
          <w:rtl w:val="0"/>
          <w:lang w:val="it-IT"/>
        </w:rPr>
        <w:t xml:space="preserve">à </w:t>
      </w:r>
      <w:r>
        <w:rPr>
          <w:rFonts w:ascii="Book Antiqua"/>
          <w:sz w:val="24"/>
          <w:szCs w:val="24"/>
          <w:rtl w:val="0"/>
          <w:lang w:val="it-IT"/>
        </w:rPr>
        <w:t>all'epoca apparivano in ebollizione, stavano indubbiamente inquinando le falde acquifere sottostanti del circondario dei borghi limitrofi alla discarica [B.go Montello; B.go Le Ferriere; B.go Bainsizza e B.go Santa Maria] e che se non si fosse intervenuti con una immediata bonifica del sottosuolo si sarebbero verificati numerosi decessi, per carcinomi di ogni genere</w:t>
      </w:r>
      <w:r>
        <w:rPr>
          <w:rFonts w:hAnsi="Book Antiqua" w:hint="default"/>
          <w:sz w:val="24"/>
          <w:szCs w:val="24"/>
          <w:rtl w:val="0"/>
          <w:lang w:val="it-IT"/>
        </w:rPr>
        <w:t>”</w:t>
      </w:r>
      <w:r>
        <w:rPr>
          <w:rFonts w:ascii="Book Antiqua"/>
          <w:sz w:val="24"/>
          <w:szCs w:val="24"/>
          <w:rtl w:val="0"/>
          <w:lang w:val="it-IT"/>
        </w:rPr>
        <w:t>.</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 xml:space="preserve">Per confermare le indicazioni fornite dalla fonte confidenziale gli investigatori hanno consultato altre fonti, che </w:t>
      </w:r>
      <w:r>
        <w:rPr>
          <w:rFonts w:hAnsi="Book Antiqua" w:hint="default"/>
          <w:sz w:val="24"/>
          <w:szCs w:val="24"/>
          <w:rtl w:val="0"/>
          <w:lang w:val="it-IT"/>
        </w:rPr>
        <w:t xml:space="preserve">– </w:t>
      </w:r>
      <w:r>
        <w:rPr>
          <w:rFonts w:ascii="Book Antiqua"/>
          <w:sz w:val="24"/>
          <w:szCs w:val="24"/>
          <w:rtl w:val="0"/>
          <w:lang w:val="it-IT"/>
        </w:rPr>
        <w:t xml:space="preserve">dopo </w:t>
      </w:r>
      <w:r>
        <w:rPr>
          <w:rFonts w:hAnsi="Book Antiqua" w:hint="default"/>
          <w:sz w:val="24"/>
          <w:szCs w:val="24"/>
          <w:rtl w:val="0"/>
          <w:lang w:val="it-IT"/>
        </w:rPr>
        <w:t>“</w:t>
      </w:r>
      <w:r>
        <w:rPr>
          <w:rFonts w:ascii="Book Antiqua"/>
          <w:sz w:val="24"/>
          <w:szCs w:val="24"/>
          <w:rtl w:val="0"/>
          <w:lang w:val="it-IT"/>
        </w:rPr>
        <w:t>aver superato le paure</w:t>
      </w:r>
      <w:r>
        <w:rPr>
          <w:rFonts w:hAnsi="Book Antiqua" w:hint="default"/>
          <w:sz w:val="24"/>
          <w:szCs w:val="24"/>
          <w:rtl w:val="0"/>
          <w:lang w:val="it-IT"/>
        </w:rPr>
        <w:t xml:space="preserve">” </w:t>
      </w:r>
      <w:r>
        <w:rPr>
          <w:rFonts w:ascii="Book Antiqua"/>
          <w:sz w:val="24"/>
          <w:szCs w:val="24"/>
          <w:rtl w:val="0"/>
          <w:lang w:val="it-IT"/>
        </w:rPr>
        <w:t xml:space="preserve">- hanno confermato quanto riferito. </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 xml:space="preserve">La squadra mobile ha quindi operato un sopralluogo </w:t>
      </w:r>
      <w:r>
        <w:rPr>
          <w:rFonts w:hAnsi="Book Antiqua" w:hint="default"/>
          <w:sz w:val="24"/>
          <w:szCs w:val="24"/>
          <w:rtl w:val="0"/>
          <w:lang w:val="it-IT"/>
        </w:rPr>
        <w:t>“</w:t>
      </w:r>
      <w:r>
        <w:rPr>
          <w:rFonts w:ascii="Book Antiqua"/>
          <w:sz w:val="24"/>
          <w:szCs w:val="24"/>
          <w:rtl w:val="0"/>
          <w:lang w:val="it-IT"/>
        </w:rPr>
        <w:t>riservato</w:t>
      </w:r>
      <w:r>
        <w:rPr>
          <w:rFonts w:hAnsi="Book Antiqua" w:hint="default"/>
          <w:sz w:val="24"/>
          <w:szCs w:val="24"/>
          <w:rtl w:val="0"/>
          <w:lang w:val="it-IT"/>
        </w:rPr>
        <w:t xml:space="preserve">” </w:t>
      </w:r>
      <w:r>
        <w:rPr>
          <w:rFonts w:ascii="Book Antiqua"/>
          <w:sz w:val="24"/>
          <w:szCs w:val="24"/>
          <w:rtl w:val="0"/>
          <w:lang w:val="it-IT"/>
        </w:rPr>
        <w:t>all</w:t>
      </w:r>
      <w:r>
        <w:rPr>
          <w:rFonts w:hAnsi="Book Antiqua" w:hint="default"/>
          <w:sz w:val="24"/>
          <w:szCs w:val="24"/>
          <w:rtl w:val="0"/>
          <w:lang w:val="it-IT"/>
        </w:rPr>
        <w:t>’</w:t>
      </w:r>
      <w:r>
        <w:rPr>
          <w:rFonts w:ascii="Book Antiqua"/>
          <w:sz w:val="24"/>
          <w:szCs w:val="24"/>
          <w:rtl w:val="0"/>
          <w:lang w:val="it-IT"/>
        </w:rPr>
        <w:t xml:space="preserve">interno della discarica insieme alle diverse fonti, per individuare con certezza il punto dello sversamento di rifiuti pericolosi (i </w:t>
      </w:r>
      <w:r>
        <w:rPr>
          <w:rFonts w:hAnsi="Book Antiqua" w:hint="default"/>
          <w:sz w:val="24"/>
          <w:szCs w:val="24"/>
          <w:rtl w:val="0"/>
          <w:lang w:val="it-IT"/>
        </w:rPr>
        <w:t>“</w:t>
      </w:r>
      <w:r>
        <w:rPr>
          <w:rFonts w:ascii="Book Antiqua"/>
          <w:sz w:val="24"/>
          <w:szCs w:val="24"/>
          <w:rtl w:val="0"/>
          <w:lang w:val="it-IT"/>
        </w:rPr>
        <w:t>fusti</w:t>
      </w:r>
      <w:r>
        <w:rPr>
          <w:rFonts w:hAnsi="Book Antiqua" w:hint="default"/>
          <w:sz w:val="24"/>
          <w:szCs w:val="24"/>
          <w:rtl w:val="0"/>
          <w:lang w:val="it-IT"/>
        </w:rPr>
        <w:t>”</w:t>
      </w:r>
      <w:r>
        <w:rPr>
          <w:rFonts w:ascii="Book Antiqua"/>
          <w:sz w:val="24"/>
          <w:szCs w:val="24"/>
          <w:rtl w:val="0"/>
          <w:lang w:val="it-IT"/>
        </w:rPr>
        <w:t>), individuando un</w:t>
      </w:r>
      <w:r>
        <w:rPr>
          <w:rFonts w:hAnsi="Book Antiqua" w:hint="default"/>
          <w:sz w:val="24"/>
          <w:szCs w:val="24"/>
          <w:rtl w:val="0"/>
          <w:lang w:val="it-IT"/>
        </w:rPr>
        <w:t>’</w:t>
      </w:r>
      <w:r>
        <w:rPr>
          <w:rFonts w:ascii="Book Antiqua"/>
          <w:sz w:val="24"/>
          <w:szCs w:val="24"/>
          <w:rtl w:val="0"/>
          <w:lang w:val="it-IT"/>
        </w:rPr>
        <w:t>area a cavallo tra gli invasi S3 e S1. Nell</w:t>
      </w:r>
      <w:r>
        <w:rPr>
          <w:rFonts w:hAnsi="Book Antiqua" w:hint="default"/>
          <w:sz w:val="24"/>
          <w:szCs w:val="24"/>
          <w:rtl w:val="0"/>
          <w:lang w:val="it-IT"/>
        </w:rPr>
        <w:t>’</w:t>
      </w:r>
      <w:r>
        <w:rPr>
          <w:rFonts w:ascii="Book Antiqua"/>
          <w:sz w:val="24"/>
          <w:szCs w:val="24"/>
          <w:rtl w:val="0"/>
          <w:lang w:val="it-IT"/>
        </w:rPr>
        <w:t>informativa sono riportate le coordinate GPS del punto di osservazione, con la foto dell</w:t>
      </w:r>
      <w:r>
        <w:rPr>
          <w:rFonts w:hAnsi="Book Antiqua" w:hint="default"/>
          <w:sz w:val="24"/>
          <w:szCs w:val="24"/>
          <w:rtl w:val="0"/>
          <w:lang w:val="it-IT"/>
        </w:rPr>
        <w:t>’</w:t>
      </w:r>
      <w:r>
        <w:rPr>
          <w:rFonts w:ascii="Book Antiqua"/>
          <w:sz w:val="24"/>
          <w:szCs w:val="24"/>
          <w:rtl w:val="0"/>
          <w:lang w:val="it-IT"/>
        </w:rPr>
        <w:t>area indicata dai testimoni.</w:t>
      </w:r>
    </w:p>
    <w:p>
      <w:pPr>
        <w:pStyle w:val="Normal"/>
        <w:ind w:left="567" w:right="567" w:firstLine="0"/>
        <w:jc w:val="both"/>
        <w:rPr>
          <w:rFonts w:ascii="Book Antiqua" w:cs="Book Antiqua" w:hAnsi="Book Antiqua" w:eastAsia="Book Antiqua"/>
        </w:rPr>
      </w:pPr>
      <w:r>
        <w:rPr>
          <w:rFonts w:ascii="Book Antiqua"/>
          <w:rtl w:val="0"/>
          <w:lang w:val="it-IT"/>
        </w:rPr>
        <w:t>L'altra area di interesse corrisponde alla parte di discarica oggi gestita dalla societ</w:t>
      </w:r>
      <w:r>
        <w:rPr>
          <w:rFonts w:hAnsi="Book Antiqua" w:hint="default"/>
          <w:rtl w:val="0"/>
          <w:lang w:val="it-IT"/>
        </w:rPr>
        <w:t xml:space="preserve">à </w:t>
      </w:r>
      <w:r>
        <w:rPr>
          <w:rFonts w:ascii="Book Antiqua"/>
          <w:rtl w:val="0"/>
          <w:lang w:val="it-IT"/>
        </w:rPr>
        <w:t>Ecoambiente. Come gi</w:t>
      </w:r>
      <w:r>
        <w:rPr>
          <w:rFonts w:hAnsi="Book Antiqua" w:hint="default"/>
          <w:rtl w:val="0"/>
          <w:lang w:val="it-IT"/>
        </w:rPr>
        <w:t xml:space="preserve">à </w:t>
      </w:r>
      <w:r>
        <w:rPr>
          <w:rFonts w:ascii="Book Antiqua"/>
          <w:rtl w:val="0"/>
          <w:lang w:val="it-IT"/>
        </w:rPr>
        <w:t>ricordato, in questa zona di Borgo Montello furono creati 3 invasi tra gli anni '80 e '90, destinati ad accogliere I rifiuti solidi urbani della citt</w:t>
      </w:r>
      <w:r>
        <w:rPr>
          <w:rFonts w:hAnsi="Book Antiqua" w:hint="default"/>
          <w:rtl w:val="0"/>
          <w:lang w:val="it-IT"/>
        </w:rPr>
        <w:t xml:space="preserve">à </w:t>
      </w:r>
      <w:r>
        <w:rPr>
          <w:rFonts w:ascii="Book Antiqua"/>
          <w:rtl w:val="0"/>
          <w:lang w:val="it-IT"/>
        </w:rPr>
        <w:t>di Latina. Secondo le testimonianze raccolte dalla commissione nel corso delle indagini direttamente svolte, in questa porzione della discarica sono stati sversati anche rifiuti di origine industriale, contenuti in fusti interrati senza le cautele previste dalla normativa dell'epoca</w:t>
      </w:r>
      <w:r>
        <w:rPr>
          <w:rFonts w:ascii="Book Antiqua" w:cs="Book Antiqua" w:hAnsi="Book Antiqua" w:eastAsia="Book Antiqua"/>
          <w:vertAlign w:val="superscript"/>
          <w:rtl w:val="0"/>
        </w:rPr>
        <w:footnoteReference w:id="339"/>
      </w:r>
      <w:r>
        <w:rPr>
          <w:rFonts w:ascii="Book Antiqua"/>
          <w:rtl w:val="0"/>
          <w:lang w:val="it-IT"/>
        </w:rPr>
        <w:t xml:space="preserve">. </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Valorizzando queste prime informazioni fornite dalla fonte confidenziale, la Squadra mobile ha iniziato una ampia e complessa attivit</w:t>
      </w:r>
      <w:r>
        <w:rPr>
          <w:rFonts w:hAnsi="Book Antiqua" w:hint="default"/>
          <w:sz w:val="24"/>
          <w:szCs w:val="24"/>
          <w:rtl w:val="0"/>
          <w:lang w:val="it-IT"/>
        </w:rPr>
        <w:t xml:space="preserve">à </w:t>
      </w:r>
      <w:r>
        <w:rPr>
          <w:rFonts w:ascii="Book Antiqua"/>
          <w:sz w:val="24"/>
          <w:szCs w:val="24"/>
          <w:rtl w:val="0"/>
          <w:lang w:val="it-IT"/>
        </w:rPr>
        <w:t>d</w:t>
      </w:r>
      <w:r>
        <w:rPr>
          <w:rFonts w:hAnsi="Book Antiqua" w:hint="default"/>
          <w:sz w:val="24"/>
          <w:szCs w:val="24"/>
          <w:rtl w:val="0"/>
          <w:lang w:val="it-IT"/>
        </w:rPr>
        <w:t>’</w:t>
      </w:r>
      <w:r>
        <w:rPr>
          <w:rFonts w:ascii="Book Antiqua"/>
          <w:sz w:val="24"/>
          <w:szCs w:val="24"/>
          <w:rtl w:val="0"/>
          <w:lang w:val="it-IT"/>
        </w:rPr>
        <w:t>indagine sull</w:t>
      </w:r>
      <w:r>
        <w:rPr>
          <w:rFonts w:hAnsi="Book Antiqua" w:hint="default"/>
          <w:sz w:val="24"/>
          <w:szCs w:val="24"/>
          <w:rtl w:val="0"/>
          <w:lang w:val="it-IT"/>
        </w:rPr>
        <w:t>’</w:t>
      </w:r>
      <w:r>
        <w:rPr>
          <w:rFonts w:ascii="Book Antiqua"/>
          <w:sz w:val="24"/>
          <w:szCs w:val="24"/>
          <w:rtl w:val="0"/>
          <w:lang w:val="it-IT"/>
        </w:rPr>
        <w:t xml:space="preserve">intero sito di Borgo Montello. Sono state riprese e analizzate le inchieste degli anni </w:t>
      </w:r>
      <w:r>
        <w:rPr>
          <w:rFonts w:hAnsi="Book Antiqua" w:hint="default"/>
          <w:sz w:val="24"/>
          <w:szCs w:val="24"/>
          <w:rtl w:val="0"/>
          <w:lang w:val="it-IT"/>
        </w:rPr>
        <w:t>‘</w:t>
      </w:r>
      <w:r>
        <w:rPr>
          <w:rFonts w:ascii="Book Antiqua"/>
          <w:sz w:val="24"/>
          <w:szCs w:val="24"/>
          <w:rtl w:val="0"/>
          <w:lang w:val="it-IT"/>
        </w:rPr>
        <w:t xml:space="preserve">90 </w:t>
      </w:r>
      <w:r>
        <w:rPr>
          <w:rFonts w:hAnsi="Book Antiqua" w:hint="default"/>
          <w:sz w:val="24"/>
          <w:szCs w:val="24"/>
          <w:rtl w:val="0"/>
          <w:lang w:val="it-IT"/>
        </w:rPr>
        <w:t xml:space="preserve">– </w:t>
      </w:r>
      <w:r>
        <w:rPr>
          <w:rFonts w:ascii="Book Antiqua"/>
          <w:sz w:val="24"/>
          <w:szCs w:val="24"/>
          <w:rtl w:val="0"/>
          <w:lang w:val="it-IT"/>
        </w:rPr>
        <w:t xml:space="preserve">che spesso non hanno avuto un seguito </w:t>
      </w:r>
      <w:r>
        <w:rPr>
          <w:rFonts w:hAnsi="Book Antiqua" w:hint="default"/>
          <w:sz w:val="24"/>
          <w:szCs w:val="24"/>
          <w:rtl w:val="0"/>
          <w:lang w:val="it-IT"/>
        </w:rPr>
        <w:t xml:space="preserve">– </w:t>
      </w:r>
      <w:r>
        <w:rPr>
          <w:rFonts w:ascii="Book Antiqua"/>
          <w:sz w:val="24"/>
          <w:szCs w:val="24"/>
          <w:rtl w:val="0"/>
          <w:lang w:val="it-IT"/>
        </w:rPr>
        <w:t>in grado di fornire importanti elementi, soprattutto se incrociate con le nuove testimonianze.</w:t>
      </w:r>
    </w:p>
    <w:p>
      <w:pPr>
        <w:pStyle w:val="Normal"/>
        <w:ind w:left="567" w:right="567" w:firstLine="0"/>
        <w:jc w:val="both"/>
        <w:rPr>
          <w:rFonts w:ascii="Book Antiqua" w:cs="Book Antiqua" w:hAnsi="Book Antiqua" w:eastAsia="Book Antiqua"/>
        </w:rPr>
      </w:pPr>
      <w:r>
        <w:rPr>
          <w:rFonts w:ascii="Book Antiqua"/>
          <w:rtl w:val="0"/>
          <w:lang w:val="it-IT"/>
        </w:rPr>
        <w:t xml:space="preserve">Le vicende societarie dei gestori dell'epoca sono complesse, con incroci molto spesso opachi. L'indagine citata della squadra mobile Latina ha inoltre ricostruito </w:t>
      </w:r>
      <w:r>
        <w:rPr>
          <w:rFonts w:hAnsi="Book Antiqua" w:hint="default"/>
          <w:rtl w:val="0"/>
          <w:lang w:val="it-IT"/>
        </w:rPr>
        <w:t xml:space="preserve">– </w:t>
      </w:r>
      <w:r>
        <w:rPr>
          <w:rFonts w:ascii="Book Antiqua"/>
          <w:rtl w:val="0"/>
          <w:lang w:val="it-IT"/>
        </w:rPr>
        <w:t xml:space="preserve">riprendendo informative del 1994 </w:t>
      </w:r>
      <w:r>
        <w:rPr>
          <w:rFonts w:hAnsi="Book Antiqua" w:hint="default"/>
          <w:rtl w:val="0"/>
          <w:lang w:val="it-IT"/>
        </w:rPr>
        <w:t xml:space="preserve">– </w:t>
      </w:r>
      <w:r>
        <w:rPr>
          <w:rFonts w:ascii="Book Antiqua"/>
          <w:rtl w:val="0"/>
          <w:lang w:val="it-IT"/>
        </w:rPr>
        <w:t xml:space="preserve">anche una possibile </w:t>
      </w:r>
      <w:r>
        <w:rPr>
          <w:rFonts w:hAnsi="Book Antiqua" w:hint="default"/>
          <w:rtl w:val="0"/>
          <w:lang w:val="it-IT"/>
        </w:rPr>
        <w:t>“</w:t>
      </w:r>
      <w:r>
        <w:rPr>
          <w:rFonts w:ascii="Book Antiqua"/>
          <w:rtl w:val="0"/>
          <w:lang w:val="it-IT"/>
        </w:rPr>
        <w:t>copertura politica</w:t>
      </w:r>
      <w:r>
        <w:rPr>
          <w:rFonts w:hAnsi="Book Antiqua" w:hint="default"/>
          <w:rtl w:val="0"/>
          <w:lang w:val="it-IT"/>
        </w:rPr>
        <w:t xml:space="preserve">” </w:t>
      </w:r>
      <w:r>
        <w:rPr>
          <w:rFonts w:ascii="Book Antiqua"/>
          <w:rtl w:val="0"/>
          <w:lang w:val="it-IT"/>
        </w:rPr>
        <w:t>di alto livello nei confronti dei gestori dell'epoca, che verr</w:t>
      </w:r>
      <w:r>
        <w:rPr>
          <w:rFonts w:hAnsi="Book Antiqua" w:hint="default"/>
          <w:rtl w:val="0"/>
          <w:lang w:val="it-IT"/>
        </w:rPr>
        <w:t xml:space="preserve">à </w:t>
      </w:r>
      <w:r>
        <w:rPr>
          <w:rFonts w:ascii="Book Antiqua"/>
          <w:rtl w:val="0"/>
          <w:lang w:val="it-IT"/>
        </w:rPr>
        <w:t>richiamata pi</w:t>
      </w:r>
      <w:r>
        <w:rPr>
          <w:rFonts w:hAnsi="Book Antiqua" w:hint="default"/>
          <w:rtl w:val="0"/>
          <w:lang w:val="it-IT"/>
        </w:rPr>
        <w:t xml:space="preserve">ù </w:t>
      </w:r>
      <w:r>
        <w:rPr>
          <w:rFonts w:ascii="Book Antiqua"/>
          <w:rtl w:val="0"/>
          <w:lang w:val="it-IT"/>
        </w:rPr>
        <w:t>oltre.</w:t>
      </w:r>
    </w:p>
    <w:p>
      <w:pPr>
        <w:pStyle w:val="Normal"/>
        <w:ind w:left="567" w:right="567" w:firstLine="0"/>
        <w:jc w:val="both"/>
        <w:rPr>
          <w:rFonts w:ascii="Book Antiqua" w:cs="Book Antiqua" w:hAnsi="Book Antiqua" w:eastAsia="Book Antiqua"/>
        </w:rPr>
      </w:pPr>
      <w:r>
        <w:rPr>
          <w:rFonts w:ascii="Book Antiqua"/>
          <w:rtl w:val="0"/>
          <w:lang w:val="it-IT"/>
        </w:rPr>
        <w:t xml:space="preserve">Le testimonianze raccolte </w:t>
      </w:r>
      <w:r>
        <w:rPr>
          <w:rFonts w:hAnsi="Book Antiqua" w:hint="default"/>
          <w:rtl w:val="0"/>
          <w:lang w:val="it-IT"/>
        </w:rPr>
        <w:t xml:space="preserve">– </w:t>
      </w:r>
      <w:r>
        <w:rPr>
          <w:rFonts w:ascii="Book Antiqua"/>
          <w:rtl w:val="0"/>
          <w:lang w:val="it-IT"/>
        </w:rPr>
        <w:t xml:space="preserve">sia contenute nelle indagini pregresse di Latina, sia raccolte direttamente dalla Commissione </w:t>
      </w:r>
      <w:r>
        <w:rPr>
          <w:rFonts w:hAnsi="Book Antiqua" w:hint="default"/>
          <w:rtl w:val="0"/>
          <w:lang w:val="it-IT"/>
        </w:rPr>
        <w:t xml:space="preserve">– </w:t>
      </w:r>
      <w:r>
        <w:rPr>
          <w:rFonts w:ascii="Book Antiqua"/>
          <w:rtl w:val="0"/>
          <w:lang w:val="it-IT"/>
        </w:rPr>
        <w:t xml:space="preserve">indicano un periodo temporale preciso riguardo agli interramenti di rifiuti pericolosi, compreso sostanzialmente tra il 1988 e il 1994. </w:t>
      </w:r>
    </w:p>
    <w:p>
      <w:pPr>
        <w:pStyle w:val="Normal"/>
        <w:ind w:left="567" w:right="567" w:firstLine="0"/>
        <w:jc w:val="both"/>
        <w:rPr>
          <w:rFonts w:ascii="Book Antiqua" w:cs="Book Antiqua" w:hAnsi="Book Antiqua" w:eastAsia="Book Antiqua"/>
        </w:rPr>
      </w:pPr>
      <w:r>
        <w:rPr>
          <w:rFonts w:ascii="Book Antiqua"/>
          <w:rtl w:val="0"/>
          <w:lang w:val="it-IT"/>
        </w:rPr>
        <w:t>Si tratta di un momento storico chiave per la discarica, interessata da complessi passaggi di propriet</w:t>
      </w:r>
      <w:r>
        <w:rPr>
          <w:rFonts w:hAnsi="Book Antiqua" w:hint="default"/>
          <w:rtl w:val="0"/>
          <w:lang w:val="it-IT"/>
        </w:rPr>
        <w:t xml:space="preserve">à </w:t>
      </w:r>
      <w:r>
        <w:rPr>
          <w:rFonts w:ascii="Book Antiqua"/>
          <w:rtl w:val="0"/>
          <w:lang w:val="it-IT"/>
        </w:rPr>
        <w:t>sia delle societ</w:t>
      </w:r>
      <w:r>
        <w:rPr>
          <w:rFonts w:hAnsi="Book Antiqua" w:hint="default"/>
          <w:rtl w:val="0"/>
          <w:lang w:val="it-IT"/>
        </w:rPr>
        <w:t xml:space="preserve">à </w:t>
      </w:r>
      <w:r>
        <w:rPr>
          <w:rFonts w:ascii="Book Antiqua"/>
          <w:rtl w:val="0"/>
          <w:lang w:val="it-IT"/>
        </w:rPr>
        <w:t xml:space="preserve">che dei terreni. </w:t>
      </w:r>
    </w:p>
    <w:p>
      <w:pPr>
        <w:pStyle w:val="Normal"/>
        <w:ind w:left="567" w:right="567" w:firstLine="0"/>
        <w:jc w:val="both"/>
        <w:rPr>
          <w:rFonts w:ascii="Book Antiqua" w:cs="Book Antiqua" w:hAnsi="Book Antiqua" w:eastAsia="Book Antiqua"/>
        </w:rPr>
      </w:pPr>
      <w:r>
        <w:rPr>
          <w:rFonts w:ascii="Book Antiqua"/>
          <w:rtl w:val="0"/>
          <w:lang w:val="it-IT"/>
        </w:rPr>
        <w:t>La parte pi</w:t>
      </w:r>
      <w:r>
        <w:rPr>
          <w:rFonts w:hAnsi="Book Antiqua" w:hint="default"/>
          <w:rtl w:val="0"/>
          <w:lang w:val="it-IT"/>
        </w:rPr>
        <w:t xml:space="preserve">ù </w:t>
      </w:r>
      <w:r>
        <w:rPr>
          <w:rFonts w:ascii="Book Antiqua"/>
          <w:rtl w:val="0"/>
          <w:lang w:val="it-IT"/>
        </w:rPr>
        <w:t>antica della discarica di Borgo Montello (corrispondente agli invasi S0, S1, S2 e S3) era stata inizialmente gestita dalla societ</w:t>
      </w:r>
      <w:r>
        <w:rPr>
          <w:rFonts w:hAnsi="Book Antiqua" w:hint="default"/>
          <w:rtl w:val="0"/>
          <w:lang w:val="it-IT"/>
        </w:rPr>
        <w:t xml:space="preserve">à </w:t>
      </w:r>
      <w:r>
        <w:rPr>
          <w:rFonts w:ascii="Book Antiqua"/>
          <w:rtl w:val="0"/>
          <w:lang w:val="it-IT"/>
        </w:rPr>
        <w:t>Pro.Chi, riferibile alle famiglie Proietto e Chini. Successivamente, tra il 1988 e il 1989, la Pro.Chi ha venduto il terreno e l'attivit</w:t>
      </w:r>
      <w:r>
        <w:rPr>
          <w:rFonts w:hAnsi="Book Antiqua" w:hint="default"/>
          <w:rtl w:val="0"/>
          <w:lang w:val="it-IT"/>
        </w:rPr>
        <w:t xml:space="preserve">à </w:t>
      </w:r>
      <w:r>
        <w:rPr>
          <w:rFonts w:ascii="Book Antiqua"/>
          <w:rtl w:val="0"/>
          <w:lang w:val="it-IT"/>
        </w:rPr>
        <w:t>alla societ</w:t>
      </w:r>
      <w:r>
        <w:rPr>
          <w:rFonts w:hAnsi="Book Antiqua" w:hint="default"/>
          <w:rtl w:val="0"/>
          <w:lang w:val="it-IT"/>
        </w:rPr>
        <w:t xml:space="preserve">à </w:t>
      </w:r>
      <w:r>
        <w:rPr>
          <w:rFonts w:ascii="Book Antiqua"/>
          <w:rtl w:val="0"/>
          <w:lang w:val="it-IT"/>
        </w:rPr>
        <w:t>Guastella srl, riconducibile all</w:t>
      </w:r>
      <w:r>
        <w:rPr>
          <w:rFonts w:hAnsi="Book Antiqua" w:hint="default"/>
          <w:rtl w:val="0"/>
          <w:lang w:val="it-IT"/>
        </w:rPr>
        <w:t>’</w:t>
      </w:r>
      <w:r>
        <w:rPr>
          <w:rFonts w:ascii="Book Antiqua"/>
          <w:rtl w:val="0"/>
          <w:lang w:val="it-IT"/>
        </w:rPr>
        <w:t xml:space="preserve">imprenditore Biagio Maruca. </w:t>
      </w:r>
    </w:p>
    <w:p>
      <w:pPr>
        <w:pStyle w:val="Normal"/>
        <w:ind w:left="567" w:right="567" w:firstLine="0"/>
        <w:jc w:val="both"/>
        <w:rPr>
          <w:rFonts w:ascii="Book Antiqua" w:cs="Book Antiqua" w:hAnsi="Book Antiqua" w:eastAsia="Book Antiqua"/>
        </w:rPr>
      </w:pPr>
      <w:r>
        <w:rPr>
          <w:rFonts w:ascii="Book Antiqua"/>
          <w:rtl w:val="0"/>
          <w:lang w:val="it-IT"/>
        </w:rPr>
        <w:t>Questo passaggio di propriet</w:t>
      </w:r>
      <w:r>
        <w:rPr>
          <w:rFonts w:hAnsi="Book Antiqua" w:hint="default"/>
          <w:rtl w:val="0"/>
          <w:lang w:val="it-IT"/>
        </w:rPr>
        <w:t xml:space="preserve">à è </w:t>
      </w:r>
      <w:r>
        <w:rPr>
          <w:rFonts w:ascii="Book Antiqua"/>
          <w:rtl w:val="0"/>
          <w:lang w:val="it-IT"/>
        </w:rPr>
        <w:t>solo l</w:t>
      </w:r>
      <w:r>
        <w:rPr>
          <w:rFonts w:hAnsi="Book Antiqua" w:hint="default"/>
          <w:rtl w:val="0"/>
          <w:lang w:val="it-IT"/>
        </w:rPr>
        <w:t>’</w:t>
      </w:r>
      <w:r>
        <w:rPr>
          <w:rFonts w:ascii="Book Antiqua"/>
          <w:rtl w:val="0"/>
          <w:lang w:val="it-IT"/>
        </w:rPr>
        <w:t xml:space="preserve">inizio di un primo snodo importante nella storia della discarica di Borgo Montello, che </w:t>
      </w:r>
      <w:r>
        <w:rPr>
          <w:rFonts w:hAnsi="Book Antiqua" w:hint="default"/>
          <w:rtl w:val="0"/>
          <w:lang w:val="it-IT"/>
        </w:rPr>
        <w:t xml:space="preserve">è </w:t>
      </w:r>
      <w:r>
        <w:rPr>
          <w:rFonts w:ascii="Book Antiqua"/>
          <w:rtl w:val="0"/>
          <w:lang w:val="it-IT"/>
        </w:rPr>
        <w:t>bene ricostruire, prima di ritornare al tema dell</w:t>
      </w:r>
      <w:r>
        <w:rPr>
          <w:rFonts w:hAnsi="Book Antiqua" w:hint="default"/>
          <w:rtl w:val="0"/>
          <w:lang w:val="it-IT"/>
        </w:rPr>
        <w:t>’</w:t>
      </w:r>
      <w:r>
        <w:rPr>
          <w:rFonts w:ascii="Book Antiqua"/>
          <w:rtl w:val="0"/>
          <w:lang w:val="it-IT"/>
        </w:rPr>
        <w:t>interramento dei fusti all</w:t>
      </w:r>
      <w:r>
        <w:rPr>
          <w:rFonts w:hAnsi="Book Antiqua" w:hint="default"/>
          <w:rtl w:val="0"/>
          <w:lang w:val="it-IT"/>
        </w:rPr>
        <w:t>’</w:t>
      </w:r>
      <w:r>
        <w:rPr>
          <w:rFonts w:ascii="Book Antiqua"/>
          <w:rtl w:val="0"/>
          <w:lang w:val="it-IT"/>
        </w:rPr>
        <w:t>interno della discarica.</w:t>
      </w:r>
    </w:p>
    <w:p>
      <w:pPr>
        <w:pStyle w:val="Normal"/>
        <w:ind w:left="567" w:right="567" w:firstLine="0"/>
        <w:jc w:val="both"/>
        <w:rPr>
          <w:rFonts w:ascii="Book Antiqua" w:cs="Book Antiqua" w:hAnsi="Book Antiqua" w:eastAsia="Book Antiqua"/>
        </w:rPr>
      </w:pPr>
      <w:r>
        <w:rPr>
          <w:rFonts w:ascii="Book Antiqua"/>
          <w:rtl w:val="0"/>
          <w:lang w:val="it-IT"/>
        </w:rPr>
        <w:t>Con assemblea dei soci del 1990, la Guastella delibera la fusione con una seconda societ</w:t>
      </w:r>
      <w:r>
        <w:rPr>
          <w:rFonts w:hAnsi="Book Antiqua" w:hint="default"/>
          <w:rtl w:val="0"/>
          <w:lang w:val="it-IT"/>
        </w:rPr>
        <w:t xml:space="preserve">à </w:t>
      </w:r>
      <w:r>
        <w:rPr>
          <w:rFonts w:ascii="Book Antiqua"/>
          <w:rtl w:val="0"/>
          <w:lang w:val="it-IT"/>
        </w:rPr>
        <w:t>la Soregin srl, cambiando denominazione sociale in Ecomont srl. I soci della neocreata Ecomont risultano essere:</w:t>
      </w:r>
    </w:p>
    <w:p>
      <w:pPr>
        <w:pStyle w:val="Normal"/>
        <w:ind w:left="567" w:right="567" w:firstLine="0"/>
        <w:jc w:val="both"/>
        <w:rPr>
          <w:rFonts w:ascii="Book Antiqua" w:cs="Book Antiqua" w:hAnsi="Book Antiqua" w:eastAsia="Book Antiqua"/>
        </w:rPr>
      </w:pPr>
      <w:r>
        <w:rPr>
          <w:rFonts w:ascii="Book Antiqua"/>
          <w:rtl w:val="0"/>
          <w:lang w:val="it-IT"/>
        </w:rPr>
        <w:t>1. Maruca Biagio Giuseppe, nato a Bompietro il 3.06.1936 domiciliato a Roma in via Farini 16, sede legale della L.E.D., impiegato;</w:t>
      </w:r>
    </w:p>
    <w:p>
      <w:pPr>
        <w:pStyle w:val="Normal"/>
        <w:ind w:left="567" w:right="567" w:firstLine="0"/>
        <w:jc w:val="both"/>
        <w:rPr>
          <w:rFonts w:ascii="Book Antiqua" w:cs="Book Antiqua" w:hAnsi="Book Antiqua" w:eastAsia="Book Antiqua"/>
        </w:rPr>
      </w:pPr>
      <w:r>
        <w:rPr>
          <w:rFonts w:ascii="Book Antiqua"/>
          <w:rtl w:val="0"/>
          <w:lang w:val="it-IT"/>
        </w:rPr>
        <w:t>2. Trincia Sergio, nato a Ficulle (TR) il 20.11.1938 domiciliato a Roma in via Scipione Gaetano n. 13 professione operaio</w:t>
      </w:r>
    </w:p>
    <w:p>
      <w:pPr>
        <w:pStyle w:val="Normal"/>
        <w:ind w:left="567" w:right="567" w:firstLine="0"/>
        <w:jc w:val="both"/>
        <w:rPr>
          <w:rFonts w:ascii="Book Antiqua" w:cs="Book Antiqua" w:hAnsi="Book Antiqua" w:eastAsia="Book Antiqua"/>
        </w:rPr>
      </w:pPr>
      <w:r>
        <w:rPr>
          <w:rFonts w:ascii="Book Antiqua"/>
          <w:rtl w:val="0"/>
          <w:lang w:val="it-IT"/>
        </w:rPr>
        <w:t>3. Maruca Gabriella</w:t>
      </w:r>
    </w:p>
    <w:p>
      <w:pPr>
        <w:pStyle w:val="Normal"/>
        <w:ind w:left="567" w:right="567" w:firstLine="0"/>
        <w:jc w:val="both"/>
        <w:rPr>
          <w:rFonts w:ascii="Book Antiqua" w:cs="Book Antiqua" w:hAnsi="Book Antiqua" w:eastAsia="Book Antiqua"/>
        </w:rPr>
      </w:pPr>
      <w:r>
        <w:rPr>
          <w:rFonts w:ascii="Book Antiqua"/>
          <w:rtl w:val="0"/>
          <w:lang w:val="it-IT"/>
        </w:rPr>
        <w:t xml:space="preserve">La famiglia Maruca </w:t>
      </w:r>
      <w:r>
        <w:rPr>
          <w:rFonts w:hAnsi="Book Antiqua" w:hint="default"/>
          <w:rtl w:val="0"/>
          <w:lang w:val="it-IT"/>
        </w:rPr>
        <w:t xml:space="preserve">– </w:t>
      </w:r>
      <w:r>
        <w:rPr>
          <w:rFonts w:ascii="Book Antiqua"/>
          <w:rtl w:val="0"/>
          <w:lang w:val="it-IT"/>
        </w:rPr>
        <w:t>gi</w:t>
      </w:r>
      <w:r>
        <w:rPr>
          <w:rFonts w:hAnsi="Book Antiqua" w:hint="default"/>
          <w:rtl w:val="0"/>
          <w:lang w:val="it-IT"/>
        </w:rPr>
        <w:t xml:space="preserve">à </w:t>
      </w:r>
      <w:r>
        <w:rPr>
          <w:rFonts w:ascii="Book Antiqua"/>
          <w:rtl w:val="0"/>
          <w:lang w:val="it-IT"/>
        </w:rPr>
        <w:t xml:space="preserve">a capo della Guastella </w:t>
      </w:r>
      <w:r>
        <w:rPr>
          <w:rFonts w:hAnsi="Book Antiqua" w:hint="default"/>
          <w:rtl w:val="0"/>
          <w:lang w:val="it-IT"/>
        </w:rPr>
        <w:t xml:space="preserve">– è </w:t>
      </w:r>
      <w:r>
        <w:rPr>
          <w:rFonts w:ascii="Book Antiqua"/>
          <w:rtl w:val="0"/>
          <w:lang w:val="it-IT"/>
        </w:rPr>
        <w:t>il punto di riferimento societario in questa delicata fase. La neo costituita Ecomont vedr</w:t>
      </w:r>
      <w:r>
        <w:rPr>
          <w:rFonts w:hAnsi="Book Antiqua" w:hint="default"/>
          <w:rtl w:val="0"/>
          <w:lang w:val="it-IT"/>
        </w:rPr>
        <w:t xml:space="preserve">à </w:t>
      </w:r>
      <w:r>
        <w:rPr>
          <w:rFonts w:ascii="Book Antiqua"/>
          <w:rtl w:val="0"/>
          <w:lang w:val="it-IT"/>
        </w:rPr>
        <w:t>come amministratore delegato Riccardo Maruca, altro membro della famiglia.</w:t>
      </w:r>
    </w:p>
    <w:p>
      <w:pPr>
        <w:pStyle w:val="Normal"/>
        <w:ind w:left="567" w:right="567" w:firstLine="0"/>
        <w:jc w:val="both"/>
        <w:rPr>
          <w:rFonts w:ascii="Book Antiqua" w:cs="Book Antiqua" w:hAnsi="Book Antiqua" w:eastAsia="Book Antiqua"/>
        </w:rPr>
      </w:pPr>
      <w:r>
        <w:rPr>
          <w:rFonts w:ascii="Book Antiqua"/>
          <w:rtl w:val="0"/>
          <w:lang w:val="it-IT"/>
        </w:rPr>
        <w:t xml:space="preserve">Secondo le indagini di Latina, tra i soci della Ecomont vi </w:t>
      </w:r>
      <w:r>
        <w:rPr>
          <w:rFonts w:hAnsi="Book Antiqua" w:hint="default"/>
          <w:rtl w:val="0"/>
          <w:lang w:val="it-IT"/>
        </w:rPr>
        <w:t xml:space="preserve">è </w:t>
      </w:r>
      <w:r>
        <w:rPr>
          <w:rFonts w:ascii="Book Antiqua"/>
          <w:rtl w:val="0"/>
          <w:lang w:val="it-IT"/>
        </w:rPr>
        <w:t xml:space="preserve">poi la L.E.D., avente per oggetto sociale la consulenza alle aziende. Questa ditta </w:t>
      </w:r>
      <w:r>
        <w:rPr>
          <w:rFonts w:hAnsi="Book Antiqua" w:hint="default"/>
          <w:rtl w:val="0"/>
          <w:lang w:val="it-IT"/>
        </w:rPr>
        <w:t xml:space="preserve">è </w:t>
      </w:r>
      <w:r>
        <w:rPr>
          <w:rFonts w:ascii="Book Antiqua"/>
          <w:rtl w:val="0"/>
          <w:lang w:val="it-IT"/>
        </w:rPr>
        <w:t>risultata fallita con procedura concorsuale aperta il 19 luglio 1997 e conclusasi il 18 dicembre 2003.</w:t>
      </w:r>
    </w:p>
    <w:p>
      <w:pPr>
        <w:pStyle w:val="Normal"/>
        <w:ind w:left="567" w:right="567" w:firstLine="0"/>
        <w:jc w:val="both"/>
        <w:rPr>
          <w:rFonts w:ascii="Book Antiqua" w:cs="Book Antiqua" w:hAnsi="Book Antiqua" w:eastAsia="Book Antiqua"/>
        </w:rPr>
      </w:pPr>
      <w:r>
        <w:rPr>
          <w:rFonts w:ascii="Book Antiqua"/>
          <w:rtl w:val="0"/>
          <w:lang w:val="it-IT"/>
        </w:rPr>
        <w:t>Gabriella Maruca a sua volta aveva all</w:t>
      </w:r>
      <w:r>
        <w:rPr>
          <w:rFonts w:hAnsi="Book Antiqua" w:hint="default"/>
          <w:rtl w:val="0"/>
          <w:lang w:val="it-IT"/>
        </w:rPr>
        <w:t>’</w:t>
      </w:r>
      <w:r>
        <w:rPr>
          <w:rFonts w:ascii="Book Antiqua"/>
          <w:rtl w:val="0"/>
          <w:lang w:val="it-IT"/>
        </w:rPr>
        <w:t>epoca dei legami con la societ</w:t>
      </w:r>
      <w:r>
        <w:rPr>
          <w:rFonts w:hAnsi="Book Antiqua" w:hint="default"/>
          <w:rtl w:val="0"/>
          <w:lang w:val="it-IT"/>
        </w:rPr>
        <w:t xml:space="preserve">à </w:t>
      </w:r>
      <w:r>
        <w:rPr>
          <w:rFonts w:ascii="Book Antiqua"/>
          <w:rtl w:val="0"/>
          <w:lang w:val="it-IT"/>
        </w:rPr>
        <w:t>Indeco, ditta legata alla gestione degli invasi S4, S5 e S6, oltre al sito ex B2, ovvero l'area che ha accolto i rifiuti pericolosi all'inizio degli anni '90. Secondo le indagini della Squadra mobile di Latina, Gabriella Maruca avrebbe infatti lavorato per la Indeco dal 1991 al 1994.</w:t>
      </w:r>
    </w:p>
    <w:p>
      <w:pPr>
        <w:pStyle w:val="Normal"/>
        <w:ind w:left="567" w:right="567" w:firstLine="0"/>
        <w:jc w:val="both"/>
        <w:rPr>
          <w:rFonts w:ascii="Book Antiqua" w:cs="Book Antiqua" w:hAnsi="Book Antiqua" w:eastAsia="Book Antiqua"/>
        </w:rPr>
      </w:pPr>
      <w:r>
        <w:rPr>
          <w:rFonts w:ascii="Book Antiqua"/>
          <w:rtl w:val="0"/>
          <w:lang w:val="it-IT"/>
        </w:rPr>
        <w:t xml:space="preserve">Risulterebbero, poi, contatti diretti anche con la famiglia Proietto, ovvero i primi gestori della discarica di Borgo Montello. La stessa Maruca, infatti, risulta aver lavorato per la Romana Ambiente, ex Global service avente per oggetto sociale la gestione di discariche autorizzate. </w:t>
      </w:r>
      <w:r>
        <w:rPr>
          <w:rFonts w:hAnsi="Book Antiqua" w:hint="default"/>
          <w:rtl w:val="0"/>
          <w:lang w:val="it-IT"/>
        </w:rPr>
        <w:t>“</w:t>
      </w:r>
      <w:r>
        <w:rPr>
          <w:rFonts w:ascii="Book Antiqua"/>
          <w:rtl w:val="0"/>
          <w:lang w:val="it-IT"/>
        </w:rPr>
        <w:t xml:space="preserve">La citata ditta </w:t>
      </w:r>
      <w:r>
        <w:rPr>
          <w:rFonts w:hAnsi="Book Antiqua" w:hint="default"/>
          <w:rtl w:val="0"/>
          <w:lang w:val="it-IT"/>
        </w:rPr>
        <w:t xml:space="preserve">– </w:t>
      </w:r>
      <w:r>
        <w:rPr>
          <w:rFonts w:ascii="Book Antiqua"/>
          <w:rtl w:val="0"/>
          <w:lang w:val="it-IT"/>
        </w:rPr>
        <w:t>annotano gli investigatori della Polizia di Stato - ha annoverato tra i soci fondatori, nonch</w:t>
      </w:r>
      <w:r>
        <w:rPr>
          <w:rFonts w:hAnsi="Book Antiqua" w:hint="default"/>
          <w:rtl w:val="0"/>
          <w:lang w:val="it-IT"/>
        </w:rPr>
        <w:t xml:space="preserve">é </w:t>
      </w:r>
      <w:r>
        <w:rPr>
          <w:rFonts w:ascii="Book Antiqua"/>
          <w:rtl w:val="0"/>
          <w:lang w:val="it-IT"/>
        </w:rPr>
        <w:t xml:space="preserve">amministratore, Proietto Stefano, prossimo congiunto di Andrea, ex proprietario della Pro.Chi, a cui </w:t>
      </w:r>
      <w:r>
        <w:rPr>
          <w:rFonts w:hAnsi="Book Antiqua" w:hint="default"/>
          <w:rtl w:val="0"/>
          <w:lang w:val="it-IT"/>
        </w:rPr>
        <w:t xml:space="preserve">è </w:t>
      </w:r>
      <w:r>
        <w:rPr>
          <w:rFonts w:ascii="Book Antiqua"/>
          <w:rtl w:val="0"/>
          <w:lang w:val="it-IT"/>
        </w:rPr>
        <w:t>succeduto proprio Maruca Riccardo, in sostituzione di tale Primiani Federico</w:t>
      </w:r>
      <w:r>
        <w:rPr>
          <w:rFonts w:hAnsi="Book Antiqua" w:hint="default"/>
          <w:rtl w:val="0"/>
          <w:lang w:val="it-IT"/>
        </w:rPr>
        <w:t>”</w:t>
      </w:r>
      <w:r>
        <w:rPr>
          <w:rFonts w:ascii="Book Antiqua"/>
          <w:rtl w:val="0"/>
          <w:lang w:val="it-IT"/>
        </w:rPr>
        <w:t xml:space="preserve">. Risulta, poi, che </w:t>
      </w:r>
      <w:r>
        <w:rPr>
          <w:rFonts w:hAnsi="Book Antiqua" w:hint="default"/>
          <w:rtl w:val="0"/>
          <w:lang w:val="it-IT"/>
        </w:rPr>
        <w:t>“</w:t>
      </w:r>
      <w:r>
        <w:rPr>
          <w:rFonts w:ascii="Book Antiqua"/>
          <w:rtl w:val="0"/>
          <w:lang w:val="it-IT"/>
        </w:rPr>
        <w:t>attualmente tra i proprietari delle quote sociali della menzionata societ</w:t>
      </w:r>
      <w:r>
        <w:rPr>
          <w:rFonts w:hAnsi="Book Antiqua" w:hint="default"/>
          <w:rtl w:val="0"/>
          <w:lang w:val="it-IT"/>
        </w:rPr>
        <w:t>à</w:t>
      </w:r>
      <w:r>
        <w:rPr>
          <w:rFonts w:ascii="Book Antiqua"/>
          <w:rtl w:val="0"/>
          <w:lang w:val="it-IT"/>
        </w:rPr>
        <w:t xml:space="preserve">, la Romana Ambiente Global Service, vi </w:t>
      </w:r>
      <w:r>
        <w:rPr>
          <w:rFonts w:hAnsi="Book Antiqua" w:hint="default"/>
          <w:rtl w:val="0"/>
          <w:lang w:val="it-IT"/>
        </w:rPr>
        <w:t xml:space="preserve">è </w:t>
      </w:r>
      <w:r>
        <w:rPr>
          <w:rFonts w:ascii="Book Antiqua"/>
          <w:rtl w:val="0"/>
          <w:lang w:val="it-IT"/>
        </w:rPr>
        <w:t>Pacini Simona, convivente di Maruca Riccardo</w:t>
      </w:r>
      <w:r>
        <w:rPr>
          <w:rFonts w:hAnsi="Book Antiqua" w:hint="default"/>
          <w:rtl w:val="0"/>
          <w:lang w:val="it-IT"/>
        </w:rPr>
        <w:t>”</w:t>
      </w:r>
      <w:r>
        <w:rPr>
          <w:rFonts w:ascii="Book Antiqua"/>
          <w:rtl w:val="0"/>
          <w:lang w:val="it-IT"/>
        </w:rPr>
        <w:t xml:space="preserve">. </w:t>
      </w:r>
    </w:p>
    <w:p>
      <w:pPr>
        <w:pStyle w:val="Normal"/>
        <w:ind w:left="567" w:right="567" w:firstLine="0"/>
        <w:jc w:val="both"/>
        <w:rPr>
          <w:rFonts w:ascii="Book Antiqua" w:cs="Book Antiqua" w:hAnsi="Book Antiqua" w:eastAsia="Book Antiqua"/>
        </w:rPr>
      </w:pPr>
      <w:r>
        <w:rPr>
          <w:rFonts w:ascii="Book Antiqua"/>
          <w:rtl w:val="0"/>
          <w:lang w:val="it-IT"/>
        </w:rPr>
        <w:t xml:space="preserve">Il nuovo gestore Ecomont </w:t>
      </w:r>
      <w:r>
        <w:rPr>
          <w:rFonts w:hAnsi="Book Antiqua" w:hint="default"/>
          <w:rtl w:val="0"/>
          <w:lang w:val="it-IT"/>
        </w:rPr>
        <w:t xml:space="preserve">è </w:t>
      </w:r>
      <w:r>
        <w:rPr>
          <w:rFonts w:ascii="Book Antiqua"/>
          <w:rtl w:val="0"/>
          <w:lang w:val="it-IT"/>
        </w:rPr>
        <w:t xml:space="preserve">stato oggetto di una procedura concorsuale aperta il 6 novembre 1996, conclusasi solo il 7 agosto 2013 con la dichiarazione di fallimento. </w:t>
      </w:r>
    </w:p>
    <w:p>
      <w:pPr>
        <w:pStyle w:val="Normal"/>
        <w:ind w:left="567" w:right="567" w:firstLine="0"/>
        <w:jc w:val="both"/>
        <w:rPr>
          <w:rFonts w:ascii="Book Antiqua" w:cs="Book Antiqua" w:hAnsi="Book Antiqua" w:eastAsia="Book Antiqua"/>
        </w:rPr>
      </w:pPr>
      <w:r>
        <w:rPr>
          <w:rFonts w:ascii="Book Antiqua"/>
          <w:rtl w:val="0"/>
          <w:lang w:val="it-IT"/>
        </w:rPr>
        <w:t>Prima dell'apertura della procedura la Ecomont ha venduto i terreni, relativi alla discarica di Borgo Montello, precedentemente ereditati dalla Guastella, che a sua  volta li aveva acquistati dalla Pro.Chi, alla societ</w:t>
      </w:r>
      <w:r>
        <w:rPr>
          <w:rFonts w:hAnsi="Book Antiqua" w:hint="default"/>
          <w:rtl w:val="0"/>
          <w:lang w:val="it-IT"/>
        </w:rPr>
        <w:t xml:space="preserve">à </w:t>
      </w:r>
      <w:r>
        <w:rPr>
          <w:rFonts w:ascii="Book Antiqua"/>
          <w:rtl w:val="0"/>
          <w:lang w:val="it-IT"/>
        </w:rPr>
        <w:t xml:space="preserve">Immobiliare Giulia srl (divenuta poi Giulia Service srl). Un passaggio sottolineato nel corso dell'inchiesta di Latina, e ritenuto dalla Squadra mobile particolarmente delicato. </w:t>
      </w:r>
    </w:p>
    <w:p>
      <w:pPr>
        <w:pStyle w:val="Normal"/>
        <w:ind w:left="567" w:right="567" w:firstLine="0"/>
        <w:jc w:val="both"/>
        <w:rPr>
          <w:rFonts w:ascii="Book Antiqua" w:cs="Book Antiqua" w:hAnsi="Book Antiqua" w:eastAsia="Book Antiqua"/>
        </w:rPr>
      </w:pPr>
      <w:r>
        <w:rPr>
          <w:rFonts w:ascii="Book Antiqua"/>
          <w:rtl w:val="0"/>
          <w:lang w:val="it-IT"/>
        </w:rPr>
        <w:t xml:space="preserve">Un altro lotto di terreni della discarica </w:t>
      </w:r>
      <w:r>
        <w:rPr>
          <w:rFonts w:hAnsi="Book Antiqua" w:hint="default"/>
          <w:rtl w:val="0"/>
          <w:lang w:val="it-IT"/>
        </w:rPr>
        <w:t xml:space="preserve">è </w:t>
      </w:r>
      <w:r>
        <w:rPr>
          <w:rFonts w:ascii="Book Antiqua"/>
          <w:rtl w:val="0"/>
          <w:lang w:val="it-IT"/>
        </w:rPr>
        <w:t>stato ceduto dalla Ecomont nel 1996, a ridosso dell'avvio della procedura concorsuale alla societ</w:t>
      </w:r>
      <w:r>
        <w:rPr>
          <w:rFonts w:hAnsi="Book Antiqua" w:hint="default"/>
          <w:rtl w:val="0"/>
          <w:lang w:val="it-IT"/>
        </w:rPr>
        <w:t xml:space="preserve">à </w:t>
      </w:r>
      <w:r>
        <w:rPr>
          <w:rFonts w:ascii="Book Antiqua"/>
          <w:rtl w:val="0"/>
          <w:lang w:val="it-IT"/>
        </w:rPr>
        <w:t>Monika srl. In precedenza, la Guastella/Ecomont ha ceduto in via definitiva le attivit</w:t>
      </w:r>
      <w:r>
        <w:rPr>
          <w:rFonts w:hAnsi="Book Antiqua" w:hint="default"/>
          <w:rtl w:val="0"/>
          <w:lang w:val="it-IT"/>
        </w:rPr>
        <w:t xml:space="preserve">à </w:t>
      </w:r>
      <w:r>
        <w:rPr>
          <w:rFonts w:ascii="Book Antiqua"/>
          <w:rtl w:val="0"/>
          <w:lang w:val="it-IT"/>
        </w:rPr>
        <w:t>riferite al conferimento di rifiuti urbani alla Indeco e di rifiuti speciali e tossico nocivi, in locazione del ramo d</w:t>
      </w:r>
      <w:r>
        <w:rPr>
          <w:rFonts w:hAnsi="Book Antiqua" w:hint="default"/>
          <w:rtl w:val="0"/>
          <w:lang w:val="it-IT"/>
        </w:rPr>
        <w:t>’</w:t>
      </w:r>
      <w:r>
        <w:rPr>
          <w:rFonts w:ascii="Book Antiqua"/>
          <w:rtl w:val="0"/>
          <w:lang w:val="it-IT"/>
        </w:rPr>
        <w:t>azienda, alla Ecotecna Trattamento Rifiuti srl, a sua volta incorporata dalla stessa Indeco nel 2005.</w:t>
      </w:r>
    </w:p>
    <w:p>
      <w:pPr>
        <w:pStyle w:val="Normal"/>
        <w:ind w:left="567" w:right="567" w:firstLine="0"/>
        <w:jc w:val="both"/>
        <w:rPr>
          <w:rFonts w:ascii="Book Antiqua" w:cs="Book Antiqua" w:hAnsi="Book Antiqua" w:eastAsia="Book Antiqua"/>
        </w:rPr>
      </w:pPr>
      <w:r>
        <w:rPr>
          <w:rFonts w:ascii="Book Antiqua"/>
          <w:rtl w:val="0"/>
          <w:lang w:val="it-IT"/>
        </w:rPr>
        <w:t xml:space="preserve">Dunque il secondo snodo </w:t>
      </w:r>
      <w:r>
        <w:rPr>
          <w:rFonts w:hAnsi="Book Antiqua" w:hint="default"/>
          <w:rtl w:val="0"/>
          <w:lang w:val="it-IT"/>
        </w:rPr>
        <w:t xml:space="preserve">è </w:t>
      </w:r>
      <w:r>
        <w:rPr>
          <w:rFonts w:ascii="Book Antiqua"/>
          <w:rtl w:val="0"/>
          <w:lang w:val="it-IT"/>
        </w:rPr>
        <w:t>il periodo compreso tra il 1994 e il 1996, quando i terreni e le attivit</w:t>
      </w:r>
      <w:r>
        <w:rPr>
          <w:rFonts w:hAnsi="Book Antiqua" w:hint="default"/>
          <w:rtl w:val="0"/>
          <w:lang w:val="it-IT"/>
        </w:rPr>
        <w:t xml:space="preserve">à </w:t>
      </w:r>
      <w:r>
        <w:rPr>
          <w:rFonts w:ascii="Book Antiqua"/>
          <w:rtl w:val="0"/>
          <w:lang w:val="it-IT"/>
        </w:rPr>
        <w:t xml:space="preserve">escono dal patrimonio sociale della Ecomont </w:t>
      </w:r>
      <w:r>
        <w:rPr>
          <w:rFonts w:hAnsi="Book Antiqua" w:hint="default"/>
          <w:rtl w:val="0"/>
          <w:lang w:val="it-IT"/>
        </w:rPr>
        <w:t xml:space="preserve">– </w:t>
      </w:r>
      <w:r>
        <w:rPr>
          <w:rFonts w:ascii="Book Antiqua"/>
          <w:rtl w:val="0"/>
          <w:lang w:val="it-IT"/>
        </w:rPr>
        <w:t xml:space="preserve">erede della Guastella </w:t>
      </w:r>
      <w:r>
        <w:rPr>
          <w:rFonts w:hAnsi="Book Antiqua" w:hint="default"/>
          <w:rtl w:val="0"/>
          <w:lang w:val="it-IT"/>
        </w:rPr>
        <w:t xml:space="preserve">– </w:t>
      </w:r>
      <w:r>
        <w:rPr>
          <w:rFonts w:ascii="Book Antiqua"/>
          <w:rtl w:val="0"/>
          <w:lang w:val="it-IT"/>
        </w:rPr>
        <w:t>per essere acquisite da gruppi immobiliari (che, come vedremo, fanno capo ad un imprenditore colpito negli anni scorsi da un provvedimento di confisca dei beni per riciclaggio, Giovanni De Pierro) e societ</w:t>
      </w:r>
      <w:r>
        <w:rPr>
          <w:rFonts w:hAnsi="Book Antiqua" w:hint="default"/>
          <w:rtl w:val="0"/>
          <w:lang w:val="it-IT"/>
        </w:rPr>
        <w:t xml:space="preserve">à </w:t>
      </w:r>
      <w:r>
        <w:rPr>
          <w:rFonts w:ascii="Book Antiqua"/>
          <w:rtl w:val="0"/>
          <w:lang w:val="it-IT"/>
        </w:rPr>
        <w:t>del settore ambientale (il gruppo Indeco, poi acquistato dalla holding della famiglia Grossi).</w:t>
      </w:r>
    </w:p>
    <w:p>
      <w:pPr>
        <w:pStyle w:val="Normal"/>
        <w:ind w:left="567" w:right="567" w:firstLine="0"/>
        <w:jc w:val="both"/>
        <w:rPr>
          <w:rFonts w:ascii="Book Antiqua" w:cs="Book Antiqua" w:hAnsi="Book Antiqua" w:eastAsia="Book Antiqua"/>
        </w:rPr>
      </w:pPr>
      <w:r>
        <w:rPr>
          <w:rFonts w:ascii="Book Antiqua"/>
          <w:rtl w:val="0"/>
          <w:lang w:val="it-IT"/>
        </w:rPr>
        <w:t>Rispetto al passaggio dei terreni la Squadra mobile di Latina segnala un episodio ritenuto indicativo. La Ecomont prima del fallimento cede alla societ</w:t>
      </w:r>
      <w:r>
        <w:rPr>
          <w:rFonts w:hAnsi="Book Antiqua" w:hint="default"/>
          <w:rtl w:val="0"/>
          <w:lang w:val="it-IT"/>
        </w:rPr>
        <w:t xml:space="preserve">à </w:t>
      </w:r>
      <w:r>
        <w:rPr>
          <w:rFonts w:ascii="Book Antiqua"/>
          <w:rtl w:val="0"/>
          <w:lang w:val="it-IT"/>
        </w:rPr>
        <w:t xml:space="preserve">Cogea srl una parte del terreno (zona dove oggi insiste un operatore del settore dei rifiuti industriali). Il socio di maggioranza della Cogea </w:t>
      </w:r>
      <w:r>
        <w:rPr>
          <w:rFonts w:hAnsi="Book Antiqua" w:hint="default"/>
          <w:rtl w:val="0"/>
          <w:lang w:val="it-IT"/>
        </w:rPr>
        <w:t xml:space="preserve">è </w:t>
      </w:r>
      <w:r>
        <w:rPr>
          <w:rFonts w:ascii="Book Antiqua"/>
          <w:rtl w:val="0"/>
          <w:lang w:val="it-IT"/>
        </w:rPr>
        <w:t xml:space="preserve">Aesti Italia srl Gruppo Sistemi &amp; Servizi In Sigla Aesti Italia srl (capitale sociale 10.000 euro ed oggetto sociale bonifica e recupero ambientale); il presidente del consiglio di amministrazione </w:t>
      </w:r>
      <w:r>
        <w:rPr>
          <w:rFonts w:hAnsi="Book Antiqua" w:hint="default"/>
          <w:rtl w:val="0"/>
          <w:lang w:val="it-IT"/>
        </w:rPr>
        <w:t xml:space="preserve">è </w:t>
      </w:r>
      <w:r>
        <w:rPr>
          <w:rFonts w:ascii="Book Antiqua"/>
          <w:rtl w:val="0"/>
          <w:lang w:val="it-IT"/>
        </w:rPr>
        <w:t xml:space="preserve">Alvaro Seccafieno </w:t>
      </w:r>
      <w:r>
        <w:rPr>
          <w:rFonts w:hAnsi="Book Antiqua" w:hint="default"/>
          <w:rtl w:val="0"/>
          <w:lang w:val="it-IT"/>
        </w:rPr>
        <w:t>“</w:t>
      </w:r>
      <w:r>
        <w:rPr>
          <w:rFonts w:ascii="Book Antiqua"/>
          <w:rtl w:val="0"/>
          <w:lang w:val="it-IT"/>
        </w:rPr>
        <w:t>dipendente, da una consultazione in banca dati INPS della Pro.Chi, della Romana Ambiente, della Ecomont e della Indeco</w:t>
      </w:r>
      <w:r>
        <w:rPr>
          <w:rFonts w:hAnsi="Book Antiqua" w:hint="default"/>
          <w:rtl w:val="0"/>
          <w:lang w:val="it-IT"/>
        </w:rPr>
        <w:t>”</w:t>
      </w:r>
      <w:r>
        <w:rPr>
          <w:rFonts w:ascii="Book Antiqua"/>
          <w:rtl w:val="0"/>
          <w:lang w:val="it-IT"/>
        </w:rPr>
        <w:t xml:space="preserve">. Annotano gli investigatori: </w:t>
      </w:r>
      <w:r>
        <w:rPr>
          <w:rFonts w:hAnsi="Book Antiqua" w:hint="default"/>
          <w:rtl w:val="0"/>
          <w:lang w:val="it-IT"/>
        </w:rPr>
        <w:t>“</w:t>
      </w:r>
      <w:r>
        <w:rPr>
          <w:rFonts w:ascii="Book Antiqua"/>
          <w:rtl w:val="0"/>
          <w:lang w:val="it-IT"/>
        </w:rPr>
        <w:t>Pertanto, a distanza di circa 23 anni dall</w:t>
      </w:r>
      <w:r>
        <w:rPr>
          <w:rFonts w:hAnsi="Book Antiqua" w:hint="default"/>
          <w:rtl w:val="0"/>
          <w:lang w:val="it-IT"/>
        </w:rPr>
        <w:t>’</w:t>
      </w:r>
      <w:r>
        <w:rPr>
          <w:rFonts w:ascii="Book Antiqua"/>
          <w:rtl w:val="0"/>
          <w:lang w:val="it-IT"/>
        </w:rPr>
        <w:t>atto di vendita tra la Pro.Chi e la Guastella, il patrimonio della Guastella/Ecomont (</w:t>
      </w:r>
      <w:r>
        <w:rPr>
          <w:rFonts w:hAnsi="Book Antiqua" w:hint="default"/>
          <w:rtl w:val="0"/>
          <w:lang w:val="it-IT"/>
        </w:rPr>
        <w:t>…</w:t>
      </w:r>
      <w:r>
        <w:rPr>
          <w:rFonts w:ascii="Book Antiqua"/>
          <w:rtl w:val="0"/>
          <w:lang w:val="it-IT"/>
        </w:rPr>
        <w:t xml:space="preserve">) </w:t>
      </w:r>
      <w:r>
        <w:rPr>
          <w:rFonts w:hAnsi="Book Antiqua" w:hint="default"/>
          <w:rtl w:val="0"/>
          <w:lang w:val="it-IT"/>
        </w:rPr>
        <w:t xml:space="preserve">è </w:t>
      </w:r>
      <w:r>
        <w:rPr>
          <w:rFonts w:ascii="Book Antiqua"/>
          <w:rtl w:val="0"/>
          <w:lang w:val="it-IT"/>
        </w:rPr>
        <w:t>ritornato nella disponibilit</w:t>
      </w:r>
      <w:r>
        <w:rPr>
          <w:rFonts w:hAnsi="Book Antiqua" w:hint="default"/>
          <w:rtl w:val="0"/>
          <w:lang w:val="it-IT"/>
        </w:rPr>
        <w:t xml:space="preserve">à </w:t>
      </w:r>
      <w:r>
        <w:rPr>
          <w:rFonts w:ascii="Book Antiqua"/>
          <w:rtl w:val="0"/>
          <w:lang w:val="it-IT"/>
        </w:rPr>
        <w:t>di un soggetto contiguo alla Pro.Chi e alla Indeco, Seccafieno Alvaro, gravato, secondo quanto emerso dalla consultazione nella banca dati in uso alle Forze di Polizia (SDI), da un provvedimento di sequestro preventivo da parte dell</w:t>
      </w:r>
      <w:r>
        <w:rPr>
          <w:rFonts w:hAnsi="Book Antiqua" w:hint="default"/>
          <w:rtl w:val="0"/>
          <w:lang w:val="it-IT"/>
        </w:rPr>
        <w:t>’</w:t>
      </w:r>
      <w:r>
        <w:rPr>
          <w:rFonts w:ascii="Book Antiqua"/>
          <w:rtl w:val="0"/>
          <w:lang w:val="it-IT"/>
        </w:rPr>
        <w:t>Autorit</w:t>
      </w:r>
      <w:r>
        <w:rPr>
          <w:rFonts w:hAnsi="Book Antiqua" w:hint="default"/>
          <w:rtl w:val="0"/>
          <w:lang w:val="it-IT"/>
        </w:rPr>
        <w:t xml:space="preserve">à </w:t>
      </w:r>
      <w:r>
        <w:rPr>
          <w:rFonts w:ascii="Book Antiqua"/>
          <w:rtl w:val="0"/>
          <w:lang w:val="it-IT"/>
        </w:rPr>
        <w:t>giudiziaria di Latina per esercizio di attivit</w:t>
      </w:r>
      <w:r>
        <w:rPr>
          <w:rFonts w:hAnsi="Book Antiqua" w:hint="default"/>
          <w:rtl w:val="0"/>
          <w:lang w:val="it-IT"/>
        </w:rPr>
        <w:t xml:space="preserve">à </w:t>
      </w:r>
      <w:r>
        <w:rPr>
          <w:rFonts w:ascii="Book Antiqua"/>
          <w:rtl w:val="0"/>
          <w:lang w:val="it-IT"/>
        </w:rPr>
        <w:t>di gestione rifiuti non autorizzata</w:t>
      </w:r>
      <w:r>
        <w:rPr>
          <w:rFonts w:hAnsi="Book Antiqua" w:hint="default"/>
          <w:rtl w:val="0"/>
          <w:lang w:val="it-IT"/>
        </w:rPr>
        <w:t>”</w:t>
      </w:r>
      <w:r>
        <w:rPr>
          <w:rFonts w:ascii="Book Antiqua"/>
          <w:rtl w:val="0"/>
          <w:lang w:val="it-IT"/>
        </w:rPr>
        <w:t xml:space="preserve">. </w:t>
      </w:r>
    </w:p>
    <w:p>
      <w:pPr>
        <w:pStyle w:val="Normal"/>
        <w:ind w:left="567" w:right="567" w:firstLine="0"/>
        <w:jc w:val="both"/>
        <w:rPr>
          <w:rFonts w:ascii="Book Antiqua" w:cs="Book Antiqua" w:hAnsi="Book Antiqua" w:eastAsia="Book Antiqua"/>
        </w:rPr>
      </w:pPr>
      <w:r>
        <w:rPr>
          <w:rFonts w:ascii="Book Antiqua"/>
          <w:rtl w:val="0"/>
          <w:lang w:val="it-IT"/>
        </w:rPr>
        <w:t xml:space="preserve">Vi </w:t>
      </w:r>
      <w:r>
        <w:rPr>
          <w:rFonts w:hAnsi="Book Antiqua" w:hint="default"/>
          <w:rtl w:val="0"/>
          <w:lang w:val="it-IT"/>
        </w:rPr>
        <w:t xml:space="preserve">è </w:t>
      </w:r>
      <w:r>
        <w:rPr>
          <w:rFonts w:ascii="Book Antiqua"/>
          <w:rtl w:val="0"/>
          <w:lang w:val="it-IT"/>
        </w:rPr>
        <w:t>di pi</w:t>
      </w:r>
      <w:r>
        <w:rPr>
          <w:rFonts w:hAnsi="Book Antiqua" w:hint="default"/>
          <w:rtl w:val="0"/>
          <w:lang w:val="it-IT"/>
        </w:rPr>
        <w:t>ù</w:t>
      </w:r>
      <w:r>
        <w:rPr>
          <w:rFonts w:ascii="Book Antiqua"/>
          <w:rtl w:val="0"/>
          <w:lang w:val="it-IT"/>
        </w:rPr>
        <w:t>. I terreni utilizzati dal 1998 in poi dalla societ</w:t>
      </w:r>
      <w:r>
        <w:rPr>
          <w:rFonts w:hAnsi="Book Antiqua" w:hint="default"/>
          <w:rtl w:val="0"/>
          <w:lang w:val="it-IT"/>
        </w:rPr>
        <w:t xml:space="preserve">à </w:t>
      </w:r>
      <w:r>
        <w:rPr>
          <w:rFonts w:ascii="Book Antiqua"/>
          <w:rtl w:val="0"/>
          <w:lang w:val="it-IT"/>
        </w:rPr>
        <w:t xml:space="preserve">Ecoambiente srl (partecipata, tra gli altri, dalla Latina Ambiente, che vede come socio di maggioranza il comune di Latina) per la gestione di diversi invasi per rifiuti solidi urbani, sono stati oggetto di un contratto di locazione con la Capitolina srl, </w:t>
      </w:r>
      <w:r>
        <w:rPr>
          <w:rFonts w:hAnsi="Book Antiqua" w:hint="default"/>
          <w:rtl w:val="0"/>
          <w:lang w:val="it-IT"/>
        </w:rPr>
        <w:t>“</w:t>
      </w:r>
      <w:r>
        <w:rPr>
          <w:rFonts w:ascii="Book Antiqua"/>
          <w:rtl w:val="0"/>
          <w:lang w:val="it-IT"/>
        </w:rPr>
        <w:t>senza verificare la piena titolarit</w:t>
      </w:r>
      <w:r>
        <w:rPr>
          <w:rFonts w:hAnsi="Book Antiqua" w:hint="default"/>
          <w:rtl w:val="0"/>
          <w:lang w:val="it-IT"/>
        </w:rPr>
        <w:t xml:space="preserve">à </w:t>
      </w:r>
      <w:r>
        <w:rPr>
          <w:rFonts w:ascii="Book Antiqua"/>
          <w:rtl w:val="0"/>
          <w:lang w:val="it-IT"/>
        </w:rPr>
        <w:t>della propriet</w:t>
      </w:r>
      <w:r>
        <w:rPr>
          <w:rFonts w:hAnsi="Book Antiqua" w:hint="default"/>
          <w:rtl w:val="0"/>
          <w:lang w:val="it-IT"/>
        </w:rPr>
        <w:t xml:space="preserve">à </w:t>
      </w:r>
      <w:r>
        <w:rPr>
          <w:rFonts w:ascii="Book Antiqua"/>
          <w:rtl w:val="0"/>
          <w:lang w:val="it-IT"/>
        </w:rPr>
        <w:t>dei terreni</w:t>
      </w:r>
      <w:r>
        <w:rPr>
          <w:rFonts w:hAnsi="Book Antiqua" w:hint="default"/>
          <w:rtl w:val="0"/>
          <w:lang w:val="it-IT"/>
        </w:rPr>
        <w:t>”</w:t>
      </w:r>
      <w:r>
        <w:rPr>
          <w:rFonts w:ascii="Book Antiqua"/>
          <w:rtl w:val="0"/>
          <w:lang w:val="it-IT"/>
        </w:rPr>
        <w:t xml:space="preserve">. </w:t>
      </w:r>
    </w:p>
    <w:p>
      <w:pPr>
        <w:pStyle w:val="Normal"/>
        <w:ind w:left="567" w:right="567" w:firstLine="0"/>
        <w:jc w:val="both"/>
        <w:rPr>
          <w:rFonts w:ascii="Book Antiqua" w:cs="Book Antiqua" w:hAnsi="Book Antiqua" w:eastAsia="Book Antiqua"/>
        </w:rPr>
      </w:pPr>
      <w:r>
        <w:rPr>
          <w:rFonts w:ascii="Book Antiqua"/>
          <w:rtl w:val="0"/>
          <w:lang w:val="it-IT"/>
        </w:rPr>
        <w:t>La tortuosa storia delle propriet</w:t>
      </w:r>
      <w:r>
        <w:rPr>
          <w:rFonts w:hAnsi="Book Antiqua" w:hint="default"/>
          <w:rtl w:val="0"/>
          <w:lang w:val="it-IT"/>
        </w:rPr>
        <w:t xml:space="preserve">à </w:t>
      </w:r>
      <w:r>
        <w:rPr>
          <w:rFonts w:ascii="Book Antiqua"/>
          <w:rtl w:val="0"/>
          <w:lang w:val="it-IT"/>
        </w:rPr>
        <w:t xml:space="preserve">dei terreni si </w:t>
      </w:r>
      <w:r>
        <w:rPr>
          <w:rFonts w:hAnsi="Book Antiqua" w:hint="default"/>
          <w:rtl w:val="0"/>
          <w:lang w:val="it-IT"/>
        </w:rPr>
        <w:t xml:space="preserve">è </w:t>
      </w:r>
      <w:r>
        <w:rPr>
          <w:rFonts w:ascii="Book Antiqua"/>
          <w:rtl w:val="0"/>
          <w:lang w:val="it-IT"/>
        </w:rPr>
        <w:t>parzialmente conclusa nel 2016, quando il tribunale di Roma ha decretato la confisca definitiva delle propriet</w:t>
      </w:r>
      <w:r>
        <w:rPr>
          <w:rFonts w:hAnsi="Book Antiqua" w:hint="default"/>
          <w:rtl w:val="0"/>
          <w:lang w:val="it-IT"/>
        </w:rPr>
        <w:t xml:space="preserve">à </w:t>
      </w:r>
      <w:r>
        <w:rPr>
          <w:rFonts w:ascii="Book Antiqua"/>
          <w:rtl w:val="0"/>
          <w:lang w:val="it-IT"/>
        </w:rPr>
        <w:t xml:space="preserve">del gruppo </w:t>
      </w:r>
      <w:r>
        <w:rPr>
          <w:rFonts w:hAnsi="Book Antiqua" w:hint="default"/>
          <w:rtl w:val="0"/>
          <w:lang w:val="it-IT"/>
        </w:rPr>
        <w:t>“</w:t>
      </w:r>
      <w:r>
        <w:rPr>
          <w:rFonts w:ascii="Book Antiqua"/>
          <w:rtl w:val="0"/>
          <w:lang w:val="it-IT"/>
        </w:rPr>
        <w:t>De Pierro</w:t>
      </w:r>
      <w:r>
        <w:rPr>
          <w:rFonts w:hAnsi="Book Antiqua" w:hint="default"/>
          <w:rtl w:val="0"/>
          <w:lang w:val="it-IT"/>
        </w:rPr>
        <w:t>”</w:t>
      </w:r>
      <w:r>
        <w:rPr>
          <w:rFonts w:ascii="Book Antiqua"/>
          <w:rtl w:val="0"/>
          <w:lang w:val="it-IT"/>
        </w:rPr>
        <w:t xml:space="preserve">. Si tratta di una vera e propria holding riconducibile a Giovanni De Pierro, nato a Napoli il 30 maggio 1950; nel provvedimento di confisca del tribunale di Roma, sezione specializzata per le misure di prevenzione, del 25 luglio 2016,  l'imprenditore viene indicato come a capo di </w:t>
      </w:r>
      <w:r>
        <w:rPr>
          <w:rFonts w:hAnsi="Book Antiqua" w:hint="default"/>
          <w:rtl w:val="0"/>
          <w:lang w:val="it-IT"/>
        </w:rPr>
        <w:t>“</w:t>
      </w:r>
      <w:r>
        <w:rPr>
          <w:rFonts w:ascii="Book Antiqua"/>
          <w:rtl w:val="0"/>
          <w:lang w:val="it-IT"/>
        </w:rPr>
        <w:t>un vero e proprio sistema criminale, consistente nella creazione di decine di societ</w:t>
      </w:r>
      <w:r>
        <w:rPr>
          <w:rFonts w:hAnsi="Book Antiqua" w:hint="default"/>
          <w:rtl w:val="0"/>
          <w:lang w:val="it-IT"/>
        </w:rPr>
        <w:t>à</w:t>
      </w:r>
      <w:r>
        <w:rPr>
          <w:rFonts w:ascii="Book Antiqua"/>
          <w:rtl w:val="0"/>
          <w:lang w:val="it-IT"/>
        </w:rPr>
        <w:t>, tutte intestate a prestanome, che venivano utilizzate per brevissimi periodi come sub-appaltatrici (</w:t>
      </w:r>
      <w:r>
        <w:rPr>
          <w:rFonts w:ascii="Book Antiqua"/>
          <w:i w:val="1"/>
          <w:iCs w:val="1"/>
          <w:rtl w:val="0"/>
          <w:lang w:val="it-IT"/>
        </w:rPr>
        <w:t>rectius</w:t>
      </w:r>
      <w:r>
        <w:rPr>
          <w:rFonts w:ascii="Book Antiqua"/>
          <w:rtl w:val="0"/>
          <w:lang w:val="it-IT"/>
        </w:rPr>
        <w:t xml:space="preserve"> come esecutrici del contratto di appalto) di servizi di pulizia e/o di facchinaggio, e attraverso le quali il De Pierro riusciva a separare i costi delle attivit</w:t>
      </w:r>
      <w:r>
        <w:rPr>
          <w:rFonts w:hAnsi="Book Antiqua" w:hint="default"/>
          <w:rtl w:val="0"/>
          <w:lang w:val="it-IT"/>
        </w:rPr>
        <w:t>à</w:t>
      </w:r>
      <w:r>
        <w:rPr>
          <w:rFonts w:ascii="Book Antiqua"/>
          <w:rtl w:val="0"/>
          <w:lang w:val="it-IT"/>
        </w:rPr>
        <w:t>, in particolare quelli di natura tributaria e contributiva, dai proventi</w:t>
      </w:r>
      <w:r>
        <w:rPr>
          <w:rFonts w:hAnsi="Book Antiqua" w:hint="default"/>
          <w:rtl w:val="0"/>
          <w:lang w:val="it-IT"/>
        </w:rPr>
        <w:t>”</w:t>
      </w:r>
      <w:r>
        <w:rPr>
          <w:rFonts w:ascii="Book Antiqua"/>
          <w:rtl w:val="0"/>
          <w:lang w:val="it-IT"/>
        </w:rPr>
        <w:t xml:space="preserve">. </w:t>
      </w:r>
    </w:p>
    <w:p>
      <w:pPr>
        <w:pStyle w:val="Normal"/>
        <w:ind w:left="567" w:right="567" w:firstLine="0"/>
        <w:jc w:val="both"/>
        <w:rPr>
          <w:rFonts w:ascii="Book Antiqua" w:cs="Book Antiqua" w:hAnsi="Book Antiqua" w:eastAsia="Book Antiqua"/>
        </w:rPr>
      </w:pPr>
      <w:r>
        <w:rPr>
          <w:rFonts w:ascii="Book Antiqua"/>
          <w:rtl w:val="0"/>
          <w:lang w:val="it-IT"/>
        </w:rPr>
        <w:t xml:space="preserve">Aggiungono i magistrati: </w:t>
      </w:r>
      <w:r>
        <w:rPr>
          <w:rFonts w:hAnsi="Book Antiqua" w:hint="default"/>
          <w:rtl w:val="0"/>
          <w:lang w:val="it-IT"/>
        </w:rPr>
        <w:t>“</w:t>
      </w:r>
      <w:r>
        <w:rPr>
          <w:rFonts w:ascii="Book Antiqua"/>
          <w:rtl w:val="0"/>
          <w:lang w:val="it-IT"/>
        </w:rPr>
        <w:t xml:space="preserve">i proventi, infatti, venivano immediatamente trasferiti, senza alcuna giustificazione o con causali apparenti, quali </w:t>
      </w:r>
      <w:r>
        <w:rPr>
          <w:rFonts w:hAnsi="Book Antiqua" w:hint="default"/>
          <w:rtl w:val="0"/>
          <w:lang w:val="it-IT"/>
        </w:rPr>
        <w:t>‘</w:t>
      </w:r>
      <w:r>
        <w:rPr>
          <w:rFonts w:ascii="Book Antiqua"/>
          <w:rtl w:val="0"/>
          <w:lang w:val="it-IT"/>
        </w:rPr>
        <w:t>finanziamento</w:t>
      </w:r>
      <w:r>
        <w:rPr>
          <w:rFonts w:hAnsi="Book Antiqua" w:hint="default"/>
          <w:rtl w:val="0"/>
          <w:lang w:val="it-IT"/>
        </w:rPr>
        <w:t xml:space="preserve">’ </w:t>
      </w:r>
      <w:r>
        <w:rPr>
          <w:rFonts w:ascii="Book Antiqua"/>
          <w:rtl w:val="0"/>
          <w:lang w:val="it-IT"/>
        </w:rPr>
        <w:t xml:space="preserve">o </w:t>
      </w:r>
      <w:r>
        <w:rPr>
          <w:rFonts w:hAnsi="Book Antiqua" w:hint="default"/>
          <w:rtl w:val="0"/>
          <w:lang w:val="it-IT"/>
        </w:rPr>
        <w:t>‘</w:t>
      </w:r>
      <w:r>
        <w:rPr>
          <w:rFonts w:ascii="Book Antiqua"/>
          <w:rtl w:val="0"/>
          <w:lang w:val="it-IT"/>
        </w:rPr>
        <w:t>giroconto</w:t>
      </w:r>
      <w:r>
        <w:rPr>
          <w:rFonts w:hAnsi="Book Antiqua" w:hint="default"/>
          <w:rtl w:val="0"/>
          <w:lang w:val="it-IT"/>
        </w:rPr>
        <w:t>’</w:t>
      </w:r>
      <w:r>
        <w:rPr>
          <w:rFonts w:ascii="Book Antiqua"/>
          <w:rtl w:val="0"/>
          <w:lang w:val="it-IT"/>
        </w:rPr>
        <w:t>, ad altre societ</w:t>
      </w:r>
      <w:r>
        <w:rPr>
          <w:rFonts w:hAnsi="Book Antiqua" w:hint="default"/>
          <w:rtl w:val="0"/>
          <w:lang w:val="it-IT"/>
        </w:rPr>
        <w:t xml:space="preserve">à </w:t>
      </w:r>
      <w:r>
        <w:rPr>
          <w:rFonts w:ascii="Book Antiqua"/>
          <w:rtl w:val="0"/>
          <w:lang w:val="it-IT"/>
        </w:rPr>
        <w:t>riferibili al De Pierro, mentre i debiti fiscali e contributivi, occultati mediante dichiarazioni mendaci, restavano in capo alla societ</w:t>
      </w:r>
      <w:r>
        <w:rPr>
          <w:rFonts w:hAnsi="Book Antiqua" w:hint="default"/>
          <w:rtl w:val="0"/>
          <w:lang w:val="it-IT"/>
        </w:rPr>
        <w:t>à</w:t>
      </w:r>
      <w:r>
        <w:rPr>
          <w:rFonts w:ascii="Book Antiqua"/>
          <w:rtl w:val="0"/>
          <w:lang w:val="it-IT"/>
        </w:rPr>
        <w:t>, che veniva subito dismessa, con cambio di amministratori, cambio di denominazione (spesso con l'inversione dell'acronimo) e trasferimento all'estero. Le indagini hanno documentato come tale sistema fosse gi</w:t>
      </w:r>
      <w:r>
        <w:rPr>
          <w:rFonts w:hAnsi="Book Antiqua" w:hint="default"/>
          <w:rtl w:val="0"/>
          <w:lang w:val="it-IT"/>
        </w:rPr>
        <w:t xml:space="preserve">à </w:t>
      </w:r>
      <w:r>
        <w:rPr>
          <w:rFonts w:ascii="Book Antiqua"/>
          <w:rtl w:val="0"/>
          <w:lang w:val="it-IT"/>
        </w:rPr>
        <w:t>in atto nel 1996, periodo cui si riferiscono i prelevamenti dal conto della societ</w:t>
      </w:r>
      <w:r>
        <w:rPr>
          <w:rFonts w:hAnsi="Book Antiqua" w:hint="default"/>
          <w:rtl w:val="0"/>
          <w:lang w:val="it-IT"/>
        </w:rPr>
        <w:t xml:space="preserve">à </w:t>
      </w:r>
      <w:r>
        <w:rPr>
          <w:rFonts w:ascii="Book Antiqua"/>
          <w:rtl w:val="0"/>
          <w:lang w:val="it-IT"/>
        </w:rPr>
        <w:t>Florex, dal cui fallimento hanno avuto avvio le indagini. Non sono stati svolti accertamenti con riferimento ai periodi precedenti, in ragione del regime di prescrizione dei reati (in particolare dopo la modifica, intervenuta nel 2005, dell'articolo 158 del codice penale che ha escluso la unitariet</w:t>
      </w:r>
      <w:r>
        <w:rPr>
          <w:rFonts w:hAnsi="Book Antiqua" w:hint="default"/>
          <w:rtl w:val="0"/>
          <w:lang w:val="it-IT"/>
        </w:rPr>
        <w:t xml:space="preserve">à </w:t>
      </w:r>
      <w:r>
        <w:rPr>
          <w:rFonts w:ascii="Book Antiqua"/>
          <w:rtl w:val="0"/>
          <w:lang w:val="it-IT"/>
        </w:rPr>
        <w:t>del termine di prescrizione nel reato continuato), anche se dagli elementi acquisiti in quel procedimento (in particolare avendo riferimento all'epoca di costituzione delle societ</w:t>
      </w:r>
      <w:r>
        <w:rPr>
          <w:rFonts w:hAnsi="Book Antiqua" w:hint="default"/>
          <w:rtl w:val="0"/>
          <w:lang w:val="it-IT"/>
        </w:rPr>
        <w:t xml:space="preserve">à </w:t>
      </w:r>
      <w:r>
        <w:rPr>
          <w:rFonts w:ascii="Book Antiqua"/>
          <w:rtl w:val="0"/>
          <w:lang w:val="it-IT"/>
        </w:rPr>
        <w:t xml:space="preserve">cd. "madri") </w:t>
      </w:r>
      <w:r>
        <w:rPr>
          <w:rFonts w:hAnsi="Book Antiqua" w:hint="default"/>
          <w:rtl w:val="0"/>
          <w:lang w:val="it-IT"/>
        </w:rPr>
        <w:t xml:space="preserve">è </w:t>
      </w:r>
      <w:r>
        <w:rPr>
          <w:rFonts w:ascii="Book Antiqua"/>
          <w:rtl w:val="0"/>
          <w:lang w:val="it-IT"/>
        </w:rPr>
        <w:t>possibile desumere che l'attivit</w:t>
      </w:r>
      <w:r>
        <w:rPr>
          <w:rFonts w:hAnsi="Book Antiqua" w:hint="default"/>
          <w:rtl w:val="0"/>
          <w:lang w:val="it-IT"/>
        </w:rPr>
        <w:t xml:space="preserve">à </w:t>
      </w:r>
      <w:r>
        <w:rPr>
          <w:rFonts w:ascii="Book Antiqua"/>
          <w:rtl w:val="0"/>
          <w:lang w:val="it-IT"/>
        </w:rPr>
        <w:t>illecita abbia avuto inizio in epoca ben pi</w:t>
      </w:r>
      <w:r>
        <w:rPr>
          <w:rFonts w:hAnsi="Book Antiqua" w:hint="default"/>
          <w:rtl w:val="0"/>
          <w:lang w:val="it-IT"/>
        </w:rPr>
        <w:t xml:space="preserve">ù </w:t>
      </w:r>
      <w:r>
        <w:rPr>
          <w:rFonts w:ascii="Book Antiqua"/>
          <w:rtl w:val="0"/>
          <w:lang w:val="it-IT"/>
        </w:rPr>
        <w:t>risalente</w:t>
      </w:r>
      <w:r>
        <w:rPr>
          <w:rFonts w:hAnsi="Book Antiqua" w:hint="default"/>
          <w:rtl w:val="0"/>
          <w:lang w:val="it-IT"/>
        </w:rPr>
        <w:t>”</w:t>
      </w:r>
      <w:r>
        <w:rPr>
          <w:rFonts w:ascii="Book Antiqua"/>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Tra le societ</w:t>
      </w:r>
      <w:r>
        <w:rPr>
          <w:rFonts w:hAnsi="Book Antiqua" w:hint="default"/>
          <w:rtl w:val="0"/>
          <w:lang w:val="it-IT"/>
        </w:rPr>
        <w:t xml:space="preserve">à </w:t>
      </w:r>
      <w:r>
        <w:rPr>
          <w:rFonts w:ascii="Book Antiqua"/>
          <w:rtl w:val="0"/>
          <w:lang w:val="it-IT"/>
        </w:rPr>
        <w:t>della holding De Pierro sottoposte a confisca vi sono le gi</w:t>
      </w:r>
      <w:r>
        <w:rPr>
          <w:rFonts w:hAnsi="Book Antiqua" w:hint="default"/>
          <w:rtl w:val="0"/>
          <w:lang w:val="it-IT"/>
        </w:rPr>
        <w:t xml:space="preserve">à </w:t>
      </w:r>
      <w:r>
        <w:rPr>
          <w:rFonts w:ascii="Book Antiqua"/>
          <w:rtl w:val="0"/>
          <w:lang w:val="it-IT"/>
        </w:rPr>
        <w:t>citate Capitolina srl</w:t>
      </w:r>
      <w:r>
        <w:rPr>
          <w:rFonts w:ascii="Book Antiqua" w:cs="Book Antiqua" w:hAnsi="Book Antiqua" w:eastAsia="Book Antiqua"/>
          <w:vertAlign w:val="superscript"/>
          <w:rtl w:val="0"/>
        </w:rPr>
        <w:footnoteReference w:id="340"/>
      </w:r>
      <w:r>
        <w:rPr>
          <w:rFonts w:ascii="Book Antiqua"/>
          <w:rtl w:val="0"/>
          <w:lang w:val="it-IT"/>
        </w:rPr>
        <w:t xml:space="preserve"> e Immobiliare Giulia srl (poi Giulia Service srl)</w:t>
      </w:r>
      <w:r>
        <w:rPr>
          <w:rFonts w:ascii="Book Antiqua" w:cs="Book Antiqua" w:hAnsi="Book Antiqua" w:eastAsia="Book Antiqua"/>
          <w:vertAlign w:val="superscript"/>
          <w:rtl w:val="0"/>
        </w:rPr>
        <w:footnoteReference w:id="341"/>
      </w:r>
      <w:r>
        <w:rPr>
          <w:rFonts w:ascii="Book Antiqua"/>
          <w:rtl w:val="0"/>
          <w:lang w:val="it-IT"/>
        </w:rPr>
        <w:t>, con i relativi terreni. E' stata inoltre sottoposta a confisca la cooperativa Ideal Building Maintenance che possiede il 60,38 per cento della fallita Ecomont.</w:t>
      </w:r>
    </w:p>
    <w:p>
      <w:pPr>
        <w:pStyle w:val="Normal"/>
        <w:ind w:left="567" w:right="567" w:firstLine="0"/>
        <w:jc w:val="both"/>
        <w:rPr>
          <w:rFonts w:ascii="Book Antiqua" w:cs="Book Antiqua" w:hAnsi="Book Antiqua" w:eastAsia="Book Antiqua"/>
        </w:rPr>
      </w:pPr>
      <w:r>
        <w:rPr>
          <w:rFonts w:ascii="Book Antiqua"/>
          <w:rtl w:val="0"/>
          <w:lang w:val="it-IT"/>
        </w:rPr>
        <w:t xml:space="preserve">Le indagini della Squadra mobile di Latina hanno sviluppato ulteriormente la storia societaria della Immobiliare Giulia srl (divenuta poi Giulia Service srl), una delle ditte riconducibili a De Pierro, acquirente di parte dei terreni della discarica dalla Ecomont. </w:t>
      </w:r>
    </w:p>
    <w:p>
      <w:pPr>
        <w:pStyle w:val="Normal"/>
        <w:ind w:left="567" w:right="567" w:firstLine="0"/>
        <w:jc w:val="both"/>
        <w:rPr>
          <w:rFonts w:ascii="Book Antiqua" w:cs="Book Antiqua" w:hAnsi="Book Antiqua" w:eastAsia="Book Antiqua"/>
        </w:rPr>
      </w:pPr>
      <w:r>
        <w:rPr>
          <w:rFonts w:ascii="Book Antiqua"/>
          <w:rtl w:val="0"/>
          <w:lang w:val="it-IT"/>
        </w:rPr>
        <w:t xml:space="preserve">Si legge nell'informativa citata: </w:t>
      </w:r>
      <w:r>
        <w:rPr>
          <w:rFonts w:hAnsi="Book Antiqua" w:hint="default"/>
          <w:rtl w:val="0"/>
          <w:lang w:val="it-IT"/>
        </w:rPr>
        <w:t>“</w:t>
      </w:r>
      <w:r>
        <w:rPr>
          <w:rFonts w:ascii="Book Antiqua"/>
          <w:rtl w:val="0"/>
          <w:lang w:val="it-IT"/>
        </w:rPr>
        <w:t xml:space="preserve">Relativamente alla Immobiliare Giulia </w:t>
      </w:r>
      <w:r>
        <w:rPr>
          <w:rFonts w:hAnsi="Book Antiqua" w:hint="default"/>
          <w:rtl w:val="0"/>
          <w:lang w:val="it-IT"/>
        </w:rPr>
        <w:t xml:space="preserve">è </w:t>
      </w:r>
      <w:r>
        <w:rPr>
          <w:rFonts w:ascii="Book Antiqua"/>
          <w:rtl w:val="0"/>
          <w:lang w:val="it-IT"/>
        </w:rPr>
        <w:t>scaturito, da una disamina degli atti presenti presso la Camera di commercio di Roma, che tra i proprietari delle quote del capitale sociale vi fossero, fino al 1996, Maruca Giuseppe, dipendente della L.E.D. nonch</w:t>
      </w:r>
      <w:r>
        <w:rPr>
          <w:rFonts w:hAnsi="Book Antiqua" w:hint="default"/>
          <w:rtl w:val="0"/>
          <w:lang w:val="it-IT"/>
        </w:rPr>
        <w:t xml:space="preserve">é </w:t>
      </w:r>
      <w:r>
        <w:rPr>
          <w:rFonts w:ascii="Book Antiqua"/>
          <w:rtl w:val="0"/>
          <w:lang w:val="it-IT"/>
        </w:rPr>
        <w:t>conduttore dell</w:t>
      </w:r>
      <w:r>
        <w:rPr>
          <w:rFonts w:hAnsi="Book Antiqua" w:hint="default"/>
          <w:rtl w:val="0"/>
          <w:lang w:val="it-IT"/>
        </w:rPr>
        <w:t>’</w:t>
      </w:r>
      <w:r>
        <w:rPr>
          <w:rFonts w:ascii="Book Antiqua"/>
          <w:rtl w:val="0"/>
          <w:lang w:val="it-IT"/>
        </w:rPr>
        <w:t>ufficio sito in via Ignazio Silone 252 a Roma, sede legale anche della Romana Ambiente Global Service [</w:t>
      </w:r>
      <w:r>
        <w:rPr>
          <w:rFonts w:hAnsi="Book Antiqua" w:hint="default"/>
          <w:rtl w:val="0"/>
          <w:lang w:val="it-IT"/>
        </w:rPr>
        <w:t>…</w:t>
      </w:r>
      <w:r>
        <w:rPr>
          <w:rFonts w:ascii="Book Antiqua"/>
          <w:rtl w:val="0"/>
          <w:lang w:val="it-IT"/>
        </w:rPr>
        <w:t>] locato a Maruca Alessandra, e Maruca Biagio Giuseppe, che annovera anche la carica di socio amministratore della Ecomont</w:t>
      </w:r>
      <w:r>
        <w:rPr>
          <w:rFonts w:hAnsi="Book Antiqua" w:hint="default"/>
          <w:rtl w:val="0"/>
          <w:lang w:val="it-IT"/>
        </w:rPr>
        <w:t>”</w:t>
      </w:r>
      <w:r>
        <w:rPr>
          <w:rFonts w:ascii="Book Antiqua"/>
          <w:rtl w:val="0"/>
          <w:lang w:val="it-IT"/>
        </w:rPr>
        <w:t xml:space="preserve">. Dal 2002 Giuseppe Maruca torna in possesso delle quote della Immobiliare Giulia. In sostanza vi sarebbe stato passaggio di quote societarie tra De Pierro e Maruca. </w:t>
      </w:r>
    </w:p>
    <w:p>
      <w:pPr>
        <w:pStyle w:val="Normal"/>
        <w:ind w:left="567" w:right="567" w:firstLine="0"/>
        <w:jc w:val="both"/>
        <w:rPr>
          <w:rFonts w:ascii="Book Antiqua" w:cs="Book Antiqua" w:hAnsi="Book Antiqua" w:eastAsia="Book Antiqua"/>
        </w:rPr>
      </w:pPr>
      <w:r>
        <w:rPr>
          <w:rFonts w:ascii="Book Antiqua"/>
          <w:rtl w:val="0"/>
          <w:lang w:val="it-IT"/>
        </w:rPr>
        <w:t>In sintesi:</w:t>
      </w:r>
    </w:p>
    <w:p>
      <w:pPr>
        <w:pStyle w:val="Normal"/>
        <w:ind w:left="567" w:right="567" w:firstLine="0"/>
        <w:jc w:val="both"/>
        <w:rPr>
          <w:rFonts w:ascii="Book Antiqua" w:cs="Book Antiqua" w:hAnsi="Book Antiqua" w:eastAsia="Book Antiqua"/>
        </w:rPr>
      </w:pPr>
      <w:r>
        <w:rPr>
          <w:rFonts w:ascii="Book Antiqua"/>
          <w:rtl w:val="0"/>
          <w:lang w:val="it-IT"/>
        </w:rPr>
        <w:t>- nel 1990 la societ</w:t>
      </w:r>
      <w:r>
        <w:rPr>
          <w:rFonts w:hAnsi="Book Antiqua" w:hint="default"/>
          <w:rtl w:val="0"/>
          <w:lang w:val="it-IT"/>
        </w:rPr>
        <w:t xml:space="preserve">à </w:t>
      </w:r>
      <w:r>
        <w:rPr>
          <w:rFonts w:ascii="Book Antiqua"/>
          <w:rtl w:val="0"/>
          <w:lang w:val="it-IT"/>
        </w:rPr>
        <w:t xml:space="preserve">Guastella impianti </w:t>
      </w:r>
      <w:r>
        <w:rPr>
          <w:rFonts w:hAnsi="Book Antiqua" w:hint="default"/>
          <w:rtl w:val="0"/>
          <w:lang w:val="it-IT"/>
        </w:rPr>
        <w:t xml:space="preserve">– </w:t>
      </w:r>
      <w:r>
        <w:rPr>
          <w:rFonts w:ascii="Book Antiqua"/>
          <w:rtl w:val="0"/>
          <w:lang w:val="it-IT"/>
        </w:rPr>
        <w:t xml:space="preserve">riconducibile alla famiglia Maruca </w:t>
      </w:r>
      <w:r>
        <w:rPr>
          <w:rFonts w:hAnsi="Book Antiqua" w:hint="default"/>
          <w:rtl w:val="0"/>
          <w:lang w:val="it-IT"/>
        </w:rPr>
        <w:t xml:space="preserve">– </w:t>
      </w:r>
      <w:r>
        <w:rPr>
          <w:rFonts w:ascii="Book Antiqua"/>
          <w:rtl w:val="0"/>
          <w:lang w:val="it-IT"/>
        </w:rPr>
        <w:t>crea per incorporazione la Ecomont srl, che diviene il gestore e proprietario degli invasi S1, S2, S3 (ovvero le zone indicate dai testimoni come luogo di interramento dei fusti con rifiuti industriali); esistono contatti di vario genere tra Pro.Chi. e la famiglia Maruca, evidenziati nelle indagini di Latina;</w:t>
      </w:r>
    </w:p>
    <w:p>
      <w:pPr>
        <w:pStyle w:val="Normal"/>
        <w:ind w:left="567" w:right="567" w:firstLine="0"/>
        <w:jc w:val="both"/>
        <w:rPr>
          <w:rFonts w:ascii="Book Antiqua" w:cs="Book Antiqua" w:hAnsi="Book Antiqua" w:eastAsia="Book Antiqua"/>
        </w:rPr>
      </w:pPr>
      <w:r>
        <w:rPr>
          <w:rFonts w:ascii="Book Antiqua"/>
          <w:rtl w:val="0"/>
          <w:lang w:val="it-IT"/>
        </w:rPr>
        <w:t>- tra il 1994 e il 1996 i terreni vengono ceduti a societ</w:t>
      </w:r>
      <w:r>
        <w:rPr>
          <w:rFonts w:hAnsi="Book Antiqua" w:hint="default"/>
          <w:rtl w:val="0"/>
          <w:lang w:val="it-IT"/>
        </w:rPr>
        <w:t xml:space="preserve">à </w:t>
      </w:r>
      <w:r>
        <w:rPr>
          <w:rFonts w:ascii="Book Antiqua"/>
          <w:rtl w:val="0"/>
          <w:lang w:val="it-IT"/>
        </w:rPr>
        <w:t>riconducibili alla holding di Giovanni De Pierro, soggetto poi sottoposto a misure di prevenzione (confisca) per riciclaggio;</w:t>
      </w:r>
    </w:p>
    <w:p>
      <w:pPr>
        <w:pStyle w:val="Normal"/>
        <w:ind w:left="567" w:right="567" w:firstLine="0"/>
        <w:jc w:val="both"/>
        <w:rPr>
          <w:rFonts w:ascii="Book Antiqua" w:cs="Book Antiqua" w:hAnsi="Book Antiqua" w:eastAsia="Book Antiqua"/>
        </w:rPr>
      </w:pPr>
      <w:r>
        <w:rPr>
          <w:rFonts w:ascii="Book Antiqua"/>
          <w:rtl w:val="0"/>
          <w:lang w:val="it-IT"/>
        </w:rPr>
        <w:t xml:space="preserve">- anche la maggioranza delle quote della stessa Ecomont </w:t>
      </w:r>
      <w:r>
        <w:rPr>
          <w:rFonts w:hAnsi="Book Antiqua" w:hint="default"/>
          <w:rtl w:val="0"/>
          <w:lang w:val="it-IT"/>
        </w:rPr>
        <w:t xml:space="preserve">è </w:t>
      </w:r>
      <w:r>
        <w:rPr>
          <w:rFonts w:ascii="Book Antiqua"/>
          <w:rtl w:val="0"/>
          <w:lang w:val="it-IT"/>
        </w:rPr>
        <w:t>finita nella disponibilit</w:t>
      </w:r>
      <w:r>
        <w:rPr>
          <w:rFonts w:hAnsi="Book Antiqua" w:hint="default"/>
          <w:rtl w:val="0"/>
          <w:lang w:val="it-IT"/>
        </w:rPr>
        <w:t xml:space="preserve">à </w:t>
      </w:r>
      <w:r>
        <w:rPr>
          <w:rFonts w:ascii="Book Antiqua"/>
          <w:rtl w:val="0"/>
          <w:lang w:val="it-IT"/>
        </w:rPr>
        <w:t>del gruppo De Pierro e sottoposta a confisca;</w:t>
      </w:r>
    </w:p>
    <w:p>
      <w:pPr>
        <w:pStyle w:val="Normal"/>
        <w:ind w:left="567" w:right="567" w:firstLine="0"/>
        <w:jc w:val="both"/>
        <w:rPr>
          <w:rFonts w:ascii="Book Antiqua" w:cs="Book Antiqua" w:hAnsi="Book Antiqua" w:eastAsia="Book Antiqua"/>
        </w:rPr>
      </w:pPr>
      <w:r>
        <w:rPr>
          <w:rFonts w:ascii="Book Antiqua"/>
          <w:rtl w:val="0"/>
          <w:lang w:val="it-IT"/>
        </w:rPr>
        <w:t>- la Ecomont cede alla Indeco i terreni e l'attivit</w:t>
      </w:r>
      <w:r>
        <w:rPr>
          <w:rFonts w:hAnsi="Book Antiqua" w:hint="default"/>
          <w:rtl w:val="0"/>
          <w:lang w:val="it-IT"/>
        </w:rPr>
        <w:t xml:space="preserve">à </w:t>
      </w:r>
      <w:r>
        <w:rPr>
          <w:rFonts w:ascii="Book Antiqua"/>
          <w:rtl w:val="0"/>
          <w:lang w:val="it-IT"/>
        </w:rPr>
        <w:t>per la zona degli altri invasi;</w:t>
      </w:r>
    </w:p>
    <w:p>
      <w:pPr>
        <w:pStyle w:val="Normal"/>
        <w:ind w:left="567" w:right="567" w:firstLine="0"/>
        <w:jc w:val="both"/>
        <w:rPr>
          <w:rFonts w:ascii="Book Antiqua" w:cs="Book Antiqua" w:hAnsi="Book Antiqua" w:eastAsia="Book Antiqua"/>
        </w:rPr>
      </w:pPr>
      <w:r>
        <w:rPr>
          <w:rFonts w:ascii="Book Antiqua"/>
          <w:rtl w:val="0"/>
          <w:lang w:val="it-IT"/>
        </w:rPr>
        <w:t>- poco dopo la cessione dei terreni e della attivit</w:t>
      </w:r>
      <w:r>
        <w:rPr>
          <w:rFonts w:hAnsi="Book Antiqua" w:hint="default"/>
          <w:rtl w:val="0"/>
          <w:lang w:val="it-IT"/>
        </w:rPr>
        <w:t xml:space="preserve">à </w:t>
      </w:r>
      <w:r>
        <w:rPr>
          <w:rFonts w:ascii="Book Antiqua"/>
          <w:rtl w:val="0"/>
          <w:lang w:val="it-IT"/>
        </w:rPr>
        <w:t>la Ecomont fallisce.</w:t>
      </w:r>
    </w:p>
    <w:p>
      <w:pPr>
        <w:pStyle w:val="Normal"/>
        <w:ind w:left="567" w:right="567" w:firstLine="0"/>
        <w:jc w:val="both"/>
        <w:rPr>
          <w:rFonts w:ascii="Book Antiqua" w:cs="Book Antiqua" w:hAnsi="Book Antiqua" w:eastAsia="Book Antiqua"/>
        </w:rPr>
      </w:pPr>
      <w:r>
        <w:rPr>
          <w:rFonts w:ascii="Book Antiqua"/>
          <w:rtl w:val="0"/>
          <w:lang w:val="it-IT"/>
        </w:rPr>
        <w:t>Secondo la Squadra mobile di Latina questi passaggi sarebbero serviti per sottrarre alla procedura concorsuale la propriet</w:t>
      </w:r>
      <w:r>
        <w:rPr>
          <w:rFonts w:hAnsi="Book Antiqua" w:hint="default"/>
          <w:rtl w:val="0"/>
          <w:lang w:val="it-IT"/>
        </w:rPr>
        <w:t xml:space="preserve">à </w:t>
      </w:r>
      <w:r>
        <w:rPr>
          <w:rFonts w:ascii="Book Antiqua"/>
          <w:rtl w:val="0"/>
          <w:lang w:val="it-IT"/>
        </w:rPr>
        <w:t>dei terreni utilizzati come discarica, consentendo di proseguire l'attivit</w:t>
      </w:r>
      <w:r>
        <w:rPr>
          <w:rFonts w:hAnsi="Book Antiqua" w:hint="default"/>
          <w:rtl w:val="0"/>
          <w:lang w:val="it-IT"/>
        </w:rPr>
        <w:t xml:space="preserve">à </w:t>
      </w:r>
      <w:r>
        <w:rPr>
          <w:rFonts w:ascii="Book Antiqua"/>
          <w:rtl w:val="0"/>
          <w:lang w:val="it-IT"/>
        </w:rPr>
        <w:t xml:space="preserve">di gestione di rifiuti solidi urbani </w:t>
      </w:r>
      <w:r>
        <w:rPr>
          <w:rFonts w:hAnsi="Book Antiqua" w:hint="default"/>
          <w:rtl w:val="0"/>
          <w:lang w:val="it-IT"/>
        </w:rPr>
        <w:t>“</w:t>
      </w:r>
      <w:r>
        <w:rPr>
          <w:rFonts w:ascii="Book Antiqua"/>
          <w:rtl w:val="0"/>
          <w:lang w:val="it-IT"/>
        </w:rPr>
        <w:t>per assicurare a terzi, allo stato degli atti non ancora individuati, il profitto dell</w:t>
      </w:r>
      <w:r>
        <w:rPr>
          <w:rFonts w:hAnsi="Book Antiqua" w:hint="default"/>
          <w:rtl w:val="0"/>
          <w:lang w:val="it-IT"/>
        </w:rPr>
        <w:t>’</w:t>
      </w:r>
      <w:r>
        <w:rPr>
          <w:rFonts w:ascii="Book Antiqua"/>
          <w:rtl w:val="0"/>
          <w:lang w:val="it-IT"/>
        </w:rPr>
        <w:t>attivit</w:t>
      </w:r>
      <w:r>
        <w:rPr>
          <w:rFonts w:hAnsi="Book Antiqua" w:hint="default"/>
          <w:rtl w:val="0"/>
          <w:lang w:val="it-IT"/>
        </w:rPr>
        <w:t xml:space="preserve">à </w:t>
      </w:r>
      <w:r>
        <w:rPr>
          <w:rFonts w:ascii="Book Antiqua"/>
          <w:rtl w:val="0"/>
          <w:lang w:val="it-IT"/>
        </w:rPr>
        <w:t>illecita consumata nell</w:t>
      </w:r>
      <w:r>
        <w:rPr>
          <w:rFonts w:hAnsi="Book Antiqua" w:hint="default"/>
          <w:rtl w:val="0"/>
          <w:lang w:val="it-IT"/>
        </w:rPr>
        <w:t>’</w:t>
      </w:r>
      <w:r>
        <w:rPr>
          <w:rFonts w:ascii="Book Antiqua"/>
          <w:rtl w:val="0"/>
          <w:lang w:val="it-IT"/>
        </w:rPr>
        <w:t>ambito del presente procedimento penale, corrispondente all</w:t>
      </w:r>
      <w:r>
        <w:rPr>
          <w:rFonts w:hAnsi="Book Antiqua" w:hint="default"/>
          <w:rtl w:val="0"/>
          <w:lang w:val="it-IT"/>
        </w:rPr>
        <w:t>’</w:t>
      </w:r>
      <w:r>
        <w:rPr>
          <w:rFonts w:ascii="Book Antiqua"/>
          <w:rtl w:val="0"/>
          <w:lang w:val="it-IT"/>
        </w:rPr>
        <w:t>omessa bonifica del sito inquinato di Borgo Montello per fare in modo che potessero essere conferiti ulteriori rifiuti</w:t>
      </w:r>
      <w:r>
        <w:rPr>
          <w:rFonts w:hAnsi="Book Antiqua" w:hint="default"/>
          <w:rtl w:val="0"/>
          <w:lang w:val="it-IT"/>
        </w:rPr>
        <w:t xml:space="preserve">” </w:t>
      </w:r>
      <w:r>
        <w:rPr>
          <w:rFonts w:ascii="Book Antiqua"/>
          <w:rtl w:val="0"/>
          <w:lang w:val="it-IT"/>
        </w:rPr>
        <w:t>(citata informativa della Squadra Mobile di Latina, pagina 29).</w:t>
      </w:r>
    </w:p>
    <w:p>
      <w:pPr>
        <w:pStyle w:val="Normal"/>
        <w:ind w:left="567" w:right="567" w:firstLine="0"/>
        <w:jc w:val="both"/>
        <w:rPr>
          <w:rFonts w:ascii="Book Antiqua" w:cs="Book Antiqua" w:hAnsi="Book Antiqua" w:eastAsia="Book Antiqua"/>
        </w:rPr>
      </w:pPr>
      <w:r>
        <w:rPr>
          <w:rFonts w:ascii="Book Antiqua"/>
          <w:rtl w:val="0"/>
          <w:lang w:val="it-IT"/>
        </w:rPr>
        <w:t>Oggi l'eredit</w:t>
      </w:r>
      <w:r>
        <w:rPr>
          <w:rFonts w:hAnsi="Book Antiqua" w:hint="default"/>
          <w:rtl w:val="0"/>
          <w:lang w:val="it-IT"/>
        </w:rPr>
        <w:t xml:space="preserve">à </w:t>
      </w:r>
      <w:r>
        <w:rPr>
          <w:rFonts w:ascii="Book Antiqua"/>
          <w:rtl w:val="0"/>
          <w:lang w:val="it-IT"/>
        </w:rPr>
        <w:t xml:space="preserve">della complessa situazione vede la confisca di buona parte dei terreni dove insiste la discarica di Borgo Montello, corrispondente agli invasi S1, S2, S3 </w:t>
      </w:r>
      <w:r>
        <w:rPr>
          <w:rFonts w:hAnsi="Book Antiqua" w:hint="default"/>
          <w:rtl w:val="0"/>
          <w:lang w:val="it-IT"/>
        </w:rPr>
        <w:t xml:space="preserve">– </w:t>
      </w:r>
      <w:r>
        <w:rPr>
          <w:rFonts w:ascii="Book Antiqua"/>
          <w:rtl w:val="0"/>
          <w:lang w:val="it-IT"/>
        </w:rPr>
        <w:t xml:space="preserve">e successivi ampliamenti, compresa parte del </w:t>
      </w:r>
      <w:r>
        <w:rPr>
          <w:rFonts w:hAnsi="Book Antiqua" w:hint="default"/>
          <w:rtl w:val="0"/>
          <w:lang w:val="it-IT"/>
        </w:rPr>
        <w:t>“</w:t>
      </w:r>
      <w:r>
        <w:rPr>
          <w:rFonts w:ascii="Book Antiqua"/>
          <w:rtl w:val="0"/>
          <w:lang w:val="it-IT"/>
        </w:rPr>
        <w:t>nuovo e distinto invaso</w:t>
      </w:r>
      <w:r>
        <w:rPr>
          <w:rFonts w:hAnsi="Book Antiqua" w:hint="default"/>
          <w:rtl w:val="0"/>
          <w:lang w:val="it-IT"/>
        </w:rPr>
        <w:t>”</w:t>
      </w:r>
      <w:r>
        <w:rPr>
          <w:rFonts w:ascii="Book Antiqua"/>
          <w:rtl w:val="0"/>
          <w:lang w:val="it-IT"/>
        </w:rPr>
        <w:t>, la cui attivit</w:t>
      </w:r>
      <w:r>
        <w:rPr>
          <w:rFonts w:hAnsi="Book Antiqua" w:hint="default"/>
          <w:rtl w:val="0"/>
          <w:lang w:val="it-IT"/>
        </w:rPr>
        <w:t xml:space="preserve">à è </w:t>
      </w:r>
      <w:r>
        <w:rPr>
          <w:rFonts w:ascii="Book Antiqua"/>
          <w:rtl w:val="0"/>
          <w:lang w:val="it-IT"/>
        </w:rPr>
        <w:t xml:space="preserve">proseguita fino all'ottobre 2016 </w:t>
      </w:r>
      <w:r>
        <w:rPr>
          <w:rFonts w:hAnsi="Book Antiqua" w:hint="default"/>
          <w:rtl w:val="0"/>
          <w:lang w:val="it-IT"/>
        </w:rPr>
        <w:t xml:space="preserve">– </w:t>
      </w:r>
      <w:r>
        <w:rPr>
          <w:rFonts w:ascii="Book Antiqua"/>
          <w:rtl w:val="0"/>
          <w:lang w:val="it-IT"/>
        </w:rPr>
        <w:t>gestiti dalla societ</w:t>
      </w:r>
      <w:r>
        <w:rPr>
          <w:rFonts w:hAnsi="Book Antiqua" w:hint="default"/>
          <w:rtl w:val="0"/>
          <w:lang w:val="it-IT"/>
        </w:rPr>
        <w:t xml:space="preserve">à </w:t>
      </w:r>
      <w:r>
        <w:rPr>
          <w:rFonts w:ascii="Book Antiqua"/>
          <w:rtl w:val="0"/>
          <w:lang w:val="it-IT"/>
        </w:rPr>
        <w:t xml:space="preserve">Ecoambiente. L'area </w:t>
      </w:r>
      <w:r>
        <w:rPr>
          <w:rFonts w:hAnsi="Book Antiqua" w:hint="default"/>
          <w:rtl w:val="0"/>
          <w:lang w:val="it-IT"/>
        </w:rPr>
        <w:t xml:space="preserve">è </w:t>
      </w:r>
      <w:r>
        <w:rPr>
          <w:rFonts w:ascii="Book Antiqua"/>
          <w:rtl w:val="0"/>
          <w:lang w:val="it-IT"/>
        </w:rPr>
        <w:t xml:space="preserve">tra l'altro soggetta a bonifica ed </w:t>
      </w:r>
      <w:r>
        <w:rPr>
          <w:rFonts w:hAnsi="Book Antiqua" w:hint="default"/>
          <w:rtl w:val="0"/>
          <w:lang w:val="it-IT"/>
        </w:rPr>
        <w:t xml:space="preserve">è </w:t>
      </w:r>
      <w:r>
        <w:rPr>
          <w:rFonts w:ascii="Book Antiqua"/>
          <w:rtl w:val="0"/>
          <w:lang w:val="it-IT"/>
        </w:rPr>
        <w:t xml:space="preserve">interessata dal procedimento penale in corso davanti al tribunale di Latina per avvelenamento delle acque. Una situazione che crea notevoli preoccupazioni per quanto riguarda l'impatto ambientale e le garanzie per la bonifica stessa. </w:t>
      </w:r>
    </w:p>
    <w:p>
      <w:pPr>
        <w:pStyle w:val="Corpo A"/>
        <w:ind w:left="567" w:right="567" w:firstLine="0"/>
        <w:jc w:val="both"/>
        <w:rPr>
          <w:rFonts w:ascii="Book Antiqua" w:cs="Book Antiqua" w:hAnsi="Book Antiqua" w:eastAsia="Book Antiqua"/>
          <w:sz w:val="24"/>
          <w:szCs w:val="24"/>
          <w:lang w:val="it-IT"/>
        </w:rPr>
      </w:pPr>
    </w:p>
    <w:p>
      <w:pPr>
        <w:pStyle w:val="Corpo A"/>
        <w:ind w:left="567" w:right="567" w:firstLine="0"/>
        <w:jc w:val="both"/>
        <w:rPr>
          <w:rFonts w:ascii="Book Antiqua" w:cs="Book Antiqua" w:hAnsi="Book Antiqua" w:eastAsia="Book Antiqua"/>
          <w:sz w:val="24"/>
          <w:szCs w:val="24"/>
          <w:lang w:val="it-IT"/>
        </w:rPr>
      </w:pPr>
    </w:p>
    <w:p>
      <w:pPr>
        <w:pStyle w:val="Normal"/>
        <w:ind w:left="567" w:right="567" w:firstLine="0"/>
        <w:jc w:val="both"/>
        <w:rPr>
          <w:rFonts w:ascii="Book Antiqua" w:cs="Book Antiqua" w:hAnsi="Book Antiqua" w:eastAsia="Book Antiqua"/>
          <w:sz w:val="28"/>
          <w:szCs w:val="28"/>
        </w:rPr>
      </w:pPr>
      <w:r>
        <w:rPr>
          <w:rFonts w:ascii="Book Antiqua"/>
          <w:sz w:val="28"/>
          <w:szCs w:val="28"/>
          <w:rtl w:val="0"/>
          <w:lang w:val="it-IT"/>
        </w:rPr>
        <w:t>7.4 L</w:t>
      </w:r>
      <w:r>
        <w:rPr>
          <w:rFonts w:hAnsi="Book Antiqua" w:hint="default"/>
          <w:sz w:val="28"/>
          <w:szCs w:val="28"/>
          <w:rtl w:val="0"/>
          <w:lang w:val="it-IT"/>
        </w:rPr>
        <w:t>’</w:t>
      </w:r>
      <w:r>
        <w:rPr>
          <w:rFonts w:ascii="Book Antiqua"/>
          <w:sz w:val="28"/>
          <w:szCs w:val="28"/>
          <w:rtl w:val="0"/>
          <w:lang w:val="it-IT"/>
        </w:rPr>
        <w:t>attivit</w:t>
      </w:r>
      <w:r>
        <w:rPr>
          <w:rFonts w:hAnsi="Book Antiqua" w:hint="default"/>
          <w:sz w:val="28"/>
          <w:szCs w:val="28"/>
          <w:rtl w:val="0"/>
          <w:lang w:val="it-IT"/>
        </w:rPr>
        <w:t xml:space="preserve">à </w:t>
      </w:r>
      <w:r>
        <w:rPr>
          <w:rFonts w:ascii="Book Antiqua"/>
          <w:sz w:val="28"/>
          <w:szCs w:val="28"/>
          <w:rtl w:val="0"/>
          <w:lang w:val="it-IT"/>
        </w:rPr>
        <w:t>d</w:t>
      </w:r>
      <w:r>
        <w:rPr>
          <w:rFonts w:hAnsi="Book Antiqua" w:hint="default"/>
          <w:sz w:val="28"/>
          <w:szCs w:val="28"/>
          <w:rtl w:val="0"/>
          <w:lang w:val="it-IT"/>
        </w:rPr>
        <w:t>’</w:t>
      </w:r>
      <w:r>
        <w:rPr>
          <w:rFonts w:ascii="Book Antiqua"/>
          <w:sz w:val="28"/>
          <w:szCs w:val="28"/>
          <w:rtl w:val="0"/>
          <w:lang w:val="it-IT"/>
        </w:rPr>
        <w:t>indagine svolta dalla Commissione</w:t>
      </w:r>
    </w:p>
    <w:p>
      <w:pPr>
        <w:pStyle w:val="Corpo A"/>
        <w:ind w:left="567" w:right="567" w:firstLine="0"/>
        <w:jc w:val="both"/>
        <w:rPr>
          <w:rFonts w:ascii="Book Antiqua" w:cs="Book Antiqua" w:hAnsi="Book Antiqua" w:eastAsia="Book Antiqua"/>
          <w:sz w:val="24"/>
          <w:szCs w:val="24"/>
          <w:lang w:val="it-IT"/>
        </w:rPr>
      </w:pP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La Commissione ha svolto uno specifico approfondimento d</w:t>
      </w:r>
      <w:r>
        <w:rPr>
          <w:rFonts w:hAnsi="Book Antiqua" w:hint="default"/>
          <w:sz w:val="24"/>
          <w:szCs w:val="24"/>
          <w:rtl w:val="0"/>
          <w:lang w:val="it-IT"/>
        </w:rPr>
        <w:t>’</w:t>
      </w:r>
      <w:r>
        <w:rPr>
          <w:rFonts w:ascii="Book Antiqua"/>
          <w:sz w:val="24"/>
          <w:szCs w:val="24"/>
          <w:rtl w:val="0"/>
          <w:lang w:val="it-IT"/>
        </w:rPr>
        <w:t>indagine sullo sversamento e interramento di rifiuti pericolosi nell</w:t>
      </w:r>
      <w:r>
        <w:rPr>
          <w:rFonts w:hAnsi="Book Antiqua" w:hint="default"/>
          <w:sz w:val="24"/>
          <w:szCs w:val="24"/>
          <w:rtl w:val="0"/>
          <w:lang w:val="it-IT"/>
        </w:rPr>
        <w:t>’</w:t>
      </w:r>
      <w:r>
        <w:rPr>
          <w:rFonts w:ascii="Book Antiqua"/>
          <w:sz w:val="24"/>
          <w:szCs w:val="24"/>
          <w:rtl w:val="0"/>
          <w:lang w:val="it-IT"/>
        </w:rPr>
        <w:t>area di Borgo Montello. L</w:t>
      </w:r>
      <w:r>
        <w:rPr>
          <w:rFonts w:hAnsi="Book Antiqua" w:hint="default"/>
          <w:sz w:val="24"/>
          <w:szCs w:val="24"/>
          <w:rtl w:val="0"/>
          <w:lang w:val="it-IT"/>
        </w:rPr>
        <w:t>’</w:t>
      </w:r>
      <w:r>
        <w:rPr>
          <w:rFonts w:ascii="Book Antiqua"/>
          <w:sz w:val="24"/>
          <w:szCs w:val="24"/>
          <w:rtl w:val="0"/>
          <w:lang w:val="it-IT"/>
        </w:rPr>
        <w:t>eventuale presenza di scorie di origine industriale pu</w:t>
      </w:r>
      <w:r>
        <w:rPr>
          <w:rFonts w:hAnsi="Book Antiqua" w:hint="default"/>
          <w:sz w:val="24"/>
          <w:szCs w:val="24"/>
          <w:rtl w:val="0"/>
          <w:lang w:val="it-IT"/>
        </w:rPr>
        <w:t xml:space="preserve">ò </w:t>
      </w:r>
      <w:r>
        <w:rPr>
          <w:rFonts w:ascii="Book Antiqua"/>
          <w:sz w:val="24"/>
          <w:szCs w:val="24"/>
          <w:rtl w:val="0"/>
          <w:lang w:val="it-IT"/>
        </w:rPr>
        <w:t xml:space="preserve">comportare - come </w:t>
      </w:r>
      <w:r>
        <w:rPr>
          <w:rFonts w:hAnsi="Book Antiqua" w:hint="default"/>
          <w:sz w:val="24"/>
          <w:szCs w:val="24"/>
          <w:rtl w:val="0"/>
          <w:lang w:val="it-IT"/>
        </w:rPr>
        <w:t xml:space="preserve">è </w:t>
      </w:r>
      <w:r>
        <w:rPr>
          <w:rFonts w:ascii="Book Antiqua"/>
          <w:sz w:val="24"/>
          <w:szCs w:val="24"/>
          <w:rtl w:val="0"/>
          <w:lang w:val="it-IT"/>
        </w:rPr>
        <w:t>evidente - la necessit</w:t>
      </w:r>
      <w:r>
        <w:rPr>
          <w:rFonts w:hAnsi="Book Antiqua" w:hint="default"/>
          <w:sz w:val="24"/>
          <w:szCs w:val="24"/>
          <w:rtl w:val="0"/>
          <w:lang w:val="it-IT"/>
        </w:rPr>
        <w:t xml:space="preserve">à </w:t>
      </w:r>
      <w:r>
        <w:rPr>
          <w:rFonts w:ascii="Book Antiqua"/>
          <w:sz w:val="24"/>
          <w:szCs w:val="24"/>
          <w:rtl w:val="0"/>
          <w:lang w:val="it-IT"/>
        </w:rPr>
        <w:t>di interventi di bonifica ben differenti rispetto a quelli fino ad oggi ipotizzati, che prendono in considerazione la sola contaminazione da rifiuti solidi urbani</w:t>
      </w:r>
      <w:r>
        <w:rPr>
          <w:rFonts w:ascii="Book Antiqua" w:cs="Book Antiqua" w:hAnsi="Book Antiqua" w:eastAsia="Book Antiqua"/>
          <w:sz w:val="24"/>
          <w:szCs w:val="24"/>
          <w:vertAlign w:val="superscript"/>
          <w:rtl w:val="0"/>
        </w:rPr>
        <w:footnoteReference w:id="342"/>
      </w:r>
      <w:r>
        <w:rPr>
          <w:rFonts w:ascii="Book Antiqua"/>
          <w:sz w:val="24"/>
          <w:szCs w:val="24"/>
          <w:rtl w:val="0"/>
          <w:lang w:val="it-IT"/>
        </w:rPr>
        <w:t xml:space="preserve">. </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E</w:t>
      </w:r>
      <w:r>
        <w:rPr>
          <w:rFonts w:hAnsi="Book Antiqua" w:hint="default"/>
          <w:sz w:val="24"/>
          <w:szCs w:val="24"/>
          <w:rtl w:val="0"/>
          <w:lang w:val="it-IT"/>
        </w:rPr>
        <w:t xml:space="preserve">’ </w:t>
      </w:r>
      <w:r>
        <w:rPr>
          <w:rFonts w:ascii="Book Antiqua"/>
          <w:sz w:val="24"/>
          <w:szCs w:val="24"/>
          <w:rtl w:val="0"/>
          <w:lang w:val="it-IT"/>
        </w:rPr>
        <w:t>bene poi ricordare come l</w:t>
      </w:r>
      <w:r>
        <w:rPr>
          <w:rFonts w:hAnsi="Book Antiqua" w:hint="default"/>
          <w:sz w:val="24"/>
          <w:szCs w:val="24"/>
          <w:rtl w:val="0"/>
          <w:lang w:val="it-IT"/>
        </w:rPr>
        <w:t>’</w:t>
      </w:r>
      <w:r>
        <w:rPr>
          <w:rFonts w:ascii="Book Antiqua"/>
          <w:sz w:val="24"/>
          <w:szCs w:val="24"/>
          <w:rtl w:val="0"/>
          <w:lang w:val="it-IT"/>
        </w:rPr>
        <w:t>unico intervento di messa in sicurezza realizzato nell</w:t>
      </w:r>
      <w:r>
        <w:rPr>
          <w:rFonts w:hAnsi="Book Antiqua" w:hint="default"/>
          <w:sz w:val="24"/>
          <w:szCs w:val="24"/>
          <w:rtl w:val="0"/>
          <w:lang w:val="it-IT"/>
        </w:rPr>
        <w:t>’</w:t>
      </w:r>
      <w:r>
        <w:rPr>
          <w:rFonts w:ascii="Book Antiqua"/>
          <w:sz w:val="24"/>
          <w:szCs w:val="24"/>
          <w:rtl w:val="0"/>
          <w:lang w:val="it-IT"/>
        </w:rPr>
        <w:t xml:space="preserve">area fino ad oggi (realizzazione di un </w:t>
      </w:r>
      <w:r>
        <w:rPr>
          <w:rFonts w:ascii="Book Antiqua"/>
          <w:i w:val="1"/>
          <w:iCs w:val="1"/>
          <w:sz w:val="24"/>
          <w:szCs w:val="24"/>
          <w:rtl w:val="0"/>
          <w:lang w:val="it-IT"/>
        </w:rPr>
        <w:t>polder</w:t>
      </w:r>
      <w:r>
        <w:rPr>
          <w:rFonts w:ascii="Book Antiqua"/>
          <w:sz w:val="24"/>
          <w:szCs w:val="24"/>
          <w:rtl w:val="0"/>
          <w:lang w:val="it-IT"/>
        </w:rPr>
        <w:t xml:space="preserve"> da parte della societ</w:t>
      </w:r>
      <w:r>
        <w:rPr>
          <w:rFonts w:hAnsi="Book Antiqua" w:hint="default"/>
          <w:sz w:val="24"/>
          <w:szCs w:val="24"/>
          <w:rtl w:val="0"/>
          <w:lang w:val="it-IT"/>
        </w:rPr>
        <w:t xml:space="preserve">à </w:t>
      </w:r>
      <w:r>
        <w:rPr>
          <w:rFonts w:ascii="Book Antiqua"/>
          <w:sz w:val="24"/>
          <w:szCs w:val="24"/>
          <w:rtl w:val="0"/>
          <w:lang w:val="it-IT"/>
        </w:rPr>
        <w:t xml:space="preserve">Ecoambiente S.r.l., su progetto del professor Gianmario Baruchello del 1998) si basa su una analisi dei dati che escludeva la presenza di rifiuti pericolosi di origine industriale. Tale intervento </w:t>
      </w:r>
      <w:r>
        <w:rPr>
          <w:rFonts w:hAnsi="Book Antiqua" w:hint="default"/>
          <w:sz w:val="24"/>
          <w:szCs w:val="24"/>
          <w:rtl w:val="0"/>
          <w:lang w:val="it-IT"/>
        </w:rPr>
        <w:t>è</w:t>
      </w:r>
      <w:r>
        <w:rPr>
          <w:rFonts w:ascii="Book Antiqua"/>
          <w:sz w:val="24"/>
          <w:szCs w:val="24"/>
          <w:rtl w:val="0"/>
          <w:lang w:val="it-IT"/>
        </w:rPr>
        <w:t>, tra l</w:t>
      </w:r>
      <w:r>
        <w:rPr>
          <w:rFonts w:hAnsi="Book Antiqua" w:hint="default"/>
          <w:sz w:val="24"/>
          <w:szCs w:val="24"/>
          <w:rtl w:val="0"/>
          <w:lang w:val="it-IT"/>
        </w:rPr>
        <w:t>’</w:t>
      </w:r>
      <w:r>
        <w:rPr>
          <w:rFonts w:ascii="Book Antiqua"/>
          <w:sz w:val="24"/>
          <w:szCs w:val="24"/>
          <w:rtl w:val="0"/>
          <w:lang w:val="it-IT"/>
        </w:rPr>
        <w:t>altro, oggi contestato nell</w:t>
      </w:r>
      <w:r>
        <w:rPr>
          <w:rFonts w:hAnsi="Book Antiqua" w:hint="default"/>
          <w:sz w:val="24"/>
          <w:szCs w:val="24"/>
          <w:rtl w:val="0"/>
          <w:lang w:val="it-IT"/>
        </w:rPr>
        <w:t>’</w:t>
      </w:r>
      <w:r>
        <w:rPr>
          <w:rFonts w:ascii="Book Antiqua"/>
          <w:sz w:val="24"/>
          <w:szCs w:val="24"/>
          <w:rtl w:val="0"/>
          <w:lang w:val="it-IT"/>
        </w:rPr>
        <w:t xml:space="preserve">ambito del procedimento penale in corso davanti al tribunale di Latina per avvelenamento delle acque, del quale si </w:t>
      </w:r>
      <w:r>
        <w:rPr>
          <w:rFonts w:hAnsi="Book Antiqua" w:hint="default"/>
          <w:sz w:val="24"/>
          <w:szCs w:val="24"/>
          <w:rtl w:val="0"/>
          <w:lang w:val="it-IT"/>
        </w:rPr>
        <w:t xml:space="preserve">è </w:t>
      </w:r>
      <w:r>
        <w:rPr>
          <w:rFonts w:ascii="Book Antiqua"/>
          <w:sz w:val="24"/>
          <w:szCs w:val="24"/>
          <w:rtl w:val="0"/>
          <w:lang w:val="it-IT"/>
        </w:rPr>
        <w:t>detto in precedenza.</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Per quanto riguarda l</w:t>
      </w:r>
      <w:r>
        <w:rPr>
          <w:rFonts w:hAnsi="Book Antiqua" w:hint="default"/>
          <w:sz w:val="24"/>
          <w:szCs w:val="24"/>
          <w:rtl w:val="0"/>
          <w:lang w:val="it-IT"/>
        </w:rPr>
        <w:t>’</w:t>
      </w:r>
      <w:r>
        <w:rPr>
          <w:rFonts w:ascii="Book Antiqua"/>
          <w:sz w:val="24"/>
          <w:szCs w:val="24"/>
          <w:rtl w:val="0"/>
          <w:lang w:val="it-IT"/>
        </w:rPr>
        <w:t xml:space="preserve">area </w:t>
      </w:r>
      <w:r>
        <w:rPr>
          <w:rFonts w:hAnsi="Book Antiqua" w:hint="default"/>
          <w:sz w:val="24"/>
          <w:szCs w:val="24"/>
          <w:rtl w:val="0"/>
          <w:lang w:val="it-IT"/>
        </w:rPr>
        <w:t>“</w:t>
      </w:r>
      <w:r>
        <w:rPr>
          <w:rFonts w:ascii="Book Antiqua"/>
          <w:sz w:val="24"/>
          <w:szCs w:val="24"/>
          <w:rtl w:val="0"/>
          <w:lang w:val="it-IT"/>
        </w:rPr>
        <w:t>B2</w:t>
      </w:r>
      <w:r>
        <w:rPr>
          <w:rFonts w:hAnsi="Book Antiqua" w:hint="default"/>
          <w:sz w:val="24"/>
          <w:szCs w:val="24"/>
          <w:rtl w:val="0"/>
          <w:lang w:val="it-IT"/>
        </w:rPr>
        <w:t>”</w:t>
      </w:r>
      <w:r>
        <w:rPr>
          <w:rFonts w:ascii="Book Antiqua"/>
          <w:sz w:val="24"/>
          <w:szCs w:val="24"/>
          <w:rtl w:val="0"/>
          <w:lang w:val="it-IT"/>
        </w:rPr>
        <w:t xml:space="preserve">, come abbiamo visto, i documenti acquisiti hanno consentito di almeno definire con un certo grado di certezza il tipo di rifiuto conferito negli anni </w:t>
      </w:r>
      <w:r>
        <w:rPr>
          <w:rFonts w:hAnsi="Book Antiqua" w:hint="default"/>
          <w:sz w:val="24"/>
          <w:szCs w:val="24"/>
          <w:rtl w:val="0"/>
          <w:lang w:val="it-IT"/>
        </w:rPr>
        <w:t>‘</w:t>
      </w:r>
      <w:r>
        <w:rPr>
          <w:rFonts w:ascii="Book Antiqua"/>
          <w:sz w:val="24"/>
          <w:szCs w:val="24"/>
          <w:rtl w:val="0"/>
          <w:lang w:val="it-IT"/>
        </w:rPr>
        <w:t>90, delimitando l</w:t>
      </w:r>
      <w:r>
        <w:rPr>
          <w:rFonts w:hAnsi="Book Antiqua" w:hint="default"/>
          <w:sz w:val="24"/>
          <w:szCs w:val="24"/>
          <w:rtl w:val="0"/>
          <w:lang w:val="it-IT"/>
        </w:rPr>
        <w:t>’</w:t>
      </w:r>
      <w:r>
        <w:rPr>
          <w:rFonts w:ascii="Book Antiqua"/>
          <w:sz w:val="24"/>
          <w:szCs w:val="24"/>
          <w:rtl w:val="0"/>
          <w:lang w:val="it-IT"/>
        </w:rPr>
        <w:t xml:space="preserve">area, il periodo storico e gli attori. </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Lo stesso non si pu</w:t>
      </w:r>
      <w:r>
        <w:rPr>
          <w:rFonts w:hAnsi="Book Antiqua" w:hint="default"/>
          <w:sz w:val="24"/>
          <w:szCs w:val="24"/>
          <w:rtl w:val="0"/>
          <w:lang w:val="it-IT"/>
        </w:rPr>
        <w:t xml:space="preserve">ò </w:t>
      </w:r>
      <w:r>
        <w:rPr>
          <w:rFonts w:ascii="Book Antiqua"/>
          <w:sz w:val="24"/>
          <w:szCs w:val="24"/>
          <w:rtl w:val="0"/>
          <w:lang w:val="it-IT"/>
        </w:rPr>
        <w:t>dire per le altre zone interessate da sversamenti illeciti. L</w:t>
      </w:r>
      <w:r>
        <w:rPr>
          <w:rFonts w:hAnsi="Book Antiqua" w:hint="default"/>
          <w:sz w:val="24"/>
          <w:szCs w:val="24"/>
          <w:rtl w:val="0"/>
          <w:lang w:val="it-IT"/>
        </w:rPr>
        <w:t>’</w:t>
      </w:r>
      <w:r>
        <w:rPr>
          <w:rFonts w:ascii="Book Antiqua"/>
          <w:sz w:val="24"/>
          <w:szCs w:val="24"/>
          <w:rtl w:val="0"/>
          <w:lang w:val="it-IT"/>
        </w:rPr>
        <w:t xml:space="preserve">area indicata dalle finti confidenziali della Squadra mobile di Latina non </w:t>
      </w:r>
      <w:r>
        <w:rPr>
          <w:rFonts w:hAnsi="Book Antiqua" w:hint="default"/>
          <w:sz w:val="24"/>
          <w:szCs w:val="24"/>
          <w:rtl w:val="0"/>
          <w:lang w:val="it-IT"/>
        </w:rPr>
        <w:t xml:space="preserve">è </w:t>
      </w:r>
      <w:r>
        <w:rPr>
          <w:rFonts w:ascii="Book Antiqua"/>
          <w:sz w:val="24"/>
          <w:szCs w:val="24"/>
          <w:rtl w:val="0"/>
          <w:lang w:val="it-IT"/>
        </w:rPr>
        <w:t xml:space="preserve">stata mai interessata da procedimenti penali relativi allo sversamento di rifiuti pericolosi, come invece </w:t>
      </w:r>
      <w:r>
        <w:rPr>
          <w:rFonts w:hAnsi="Book Antiqua" w:hint="default"/>
          <w:sz w:val="24"/>
          <w:szCs w:val="24"/>
          <w:rtl w:val="0"/>
          <w:lang w:val="it-IT"/>
        </w:rPr>
        <w:t xml:space="preserve">è </w:t>
      </w:r>
      <w:r>
        <w:rPr>
          <w:rFonts w:ascii="Book Antiqua"/>
          <w:sz w:val="24"/>
          <w:szCs w:val="24"/>
          <w:rtl w:val="0"/>
          <w:lang w:val="it-IT"/>
        </w:rPr>
        <w:t xml:space="preserve">avvenuto per il sito </w:t>
      </w:r>
      <w:r>
        <w:rPr>
          <w:rFonts w:hAnsi="Book Antiqua" w:hint="default"/>
          <w:sz w:val="24"/>
          <w:szCs w:val="24"/>
          <w:rtl w:val="0"/>
          <w:lang w:val="it-IT"/>
        </w:rPr>
        <w:t>“</w:t>
      </w:r>
      <w:r>
        <w:rPr>
          <w:rFonts w:ascii="Book Antiqua"/>
          <w:sz w:val="24"/>
          <w:szCs w:val="24"/>
          <w:rtl w:val="0"/>
          <w:lang w:val="it-IT"/>
        </w:rPr>
        <w:t>B2</w:t>
      </w:r>
      <w:r>
        <w:rPr>
          <w:rFonts w:hAnsi="Book Antiqua" w:hint="default"/>
          <w:sz w:val="24"/>
          <w:szCs w:val="24"/>
          <w:rtl w:val="0"/>
          <w:lang w:val="it-IT"/>
        </w:rPr>
        <w:t>”</w:t>
      </w:r>
      <w:r>
        <w:rPr>
          <w:rFonts w:ascii="Book Antiqua"/>
          <w:sz w:val="24"/>
          <w:szCs w:val="24"/>
          <w:rtl w:val="0"/>
          <w:lang w:val="it-IT"/>
        </w:rPr>
        <w:t xml:space="preserve">. </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La Commissione ha, dunque, esercitato i poteri di natura giudiziaria conferitile dalla Costituzione e dalla legge istitutiva, assumendo a sommarie informazioni, a mezzo di personale di polizia giudiziaria, alcuni testimoni residenti nell</w:t>
      </w:r>
      <w:r>
        <w:rPr>
          <w:rFonts w:hAnsi="Book Antiqua" w:hint="default"/>
          <w:sz w:val="24"/>
          <w:szCs w:val="24"/>
          <w:rtl w:val="0"/>
          <w:lang w:val="it-IT"/>
        </w:rPr>
        <w:t>’</w:t>
      </w:r>
      <w:r>
        <w:rPr>
          <w:rFonts w:ascii="Book Antiqua"/>
          <w:sz w:val="24"/>
          <w:szCs w:val="24"/>
          <w:rtl w:val="0"/>
          <w:lang w:val="it-IT"/>
        </w:rPr>
        <w:t>area di Borgo Montello e alcuni ex dipendenti delle societ</w:t>
      </w:r>
      <w:r>
        <w:rPr>
          <w:rFonts w:hAnsi="Book Antiqua" w:hint="default"/>
          <w:sz w:val="24"/>
          <w:szCs w:val="24"/>
          <w:rtl w:val="0"/>
          <w:lang w:val="it-IT"/>
        </w:rPr>
        <w:t xml:space="preserve">à </w:t>
      </w:r>
      <w:r>
        <w:rPr>
          <w:rFonts w:ascii="Book Antiqua"/>
          <w:sz w:val="24"/>
          <w:szCs w:val="24"/>
          <w:rtl w:val="0"/>
          <w:lang w:val="it-IT"/>
        </w:rPr>
        <w:t>di gestione dell</w:t>
      </w:r>
      <w:r>
        <w:rPr>
          <w:rFonts w:hAnsi="Book Antiqua" w:hint="default"/>
          <w:sz w:val="24"/>
          <w:szCs w:val="24"/>
          <w:rtl w:val="0"/>
          <w:lang w:val="it-IT"/>
        </w:rPr>
        <w:t>’</w:t>
      </w:r>
      <w:r>
        <w:rPr>
          <w:rFonts w:ascii="Book Antiqua"/>
          <w:sz w:val="24"/>
          <w:szCs w:val="24"/>
          <w:rtl w:val="0"/>
          <w:lang w:val="it-IT"/>
        </w:rPr>
        <w:t>area gi</w:t>
      </w:r>
      <w:r>
        <w:rPr>
          <w:rFonts w:hAnsi="Book Antiqua" w:hint="default"/>
          <w:sz w:val="24"/>
          <w:szCs w:val="24"/>
          <w:rtl w:val="0"/>
          <w:lang w:val="it-IT"/>
        </w:rPr>
        <w:t xml:space="preserve">à </w:t>
      </w:r>
      <w:r>
        <w:rPr>
          <w:rFonts w:ascii="Book Antiqua"/>
          <w:sz w:val="24"/>
          <w:szCs w:val="24"/>
          <w:rtl w:val="0"/>
          <w:lang w:val="it-IT"/>
        </w:rPr>
        <w:t>indicata dalle fonti confidenziali della squadra mobile di Latina come interessata allo sversamento di rifiuti pericolosi. La loro testimonianza - particolarmente importante - permette di ricostruire la presunta attivit</w:t>
      </w:r>
      <w:r>
        <w:rPr>
          <w:rFonts w:hAnsi="Book Antiqua" w:hint="default"/>
          <w:sz w:val="24"/>
          <w:szCs w:val="24"/>
          <w:rtl w:val="0"/>
          <w:lang w:val="it-IT"/>
        </w:rPr>
        <w:t xml:space="preserve">à </w:t>
      </w:r>
      <w:r>
        <w:rPr>
          <w:rFonts w:ascii="Book Antiqua"/>
          <w:sz w:val="24"/>
          <w:szCs w:val="24"/>
          <w:rtl w:val="0"/>
          <w:lang w:val="it-IT"/>
        </w:rPr>
        <w:t>illecita di interramento di fusti contenenti scarti industriali all</w:t>
      </w:r>
      <w:r>
        <w:rPr>
          <w:rFonts w:hAnsi="Book Antiqua" w:hint="default"/>
          <w:sz w:val="24"/>
          <w:szCs w:val="24"/>
          <w:rtl w:val="0"/>
          <w:lang w:val="it-IT"/>
        </w:rPr>
        <w:t>’</w:t>
      </w:r>
      <w:r>
        <w:rPr>
          <w:rFonts w:ascii="Book Antiqua"/>
          <w:sz w:val="24"/>
          <w:szCs w:val="24"/>
          <w:rtl w:val="0"/>
          <w:lang w:val="it-IT"/>
        </w:rPr>
        <w:t xml:space="preserve">interno della citata zona, nel periodo degli anni </w:t>
      </w:r>
      <w:r>
        <w:rPr>
          <w:rFonts w:hAnsi="Book Antiqua" w:hint="default"/>
          <w:sz w:val="24"/>
          <w:szCs w:val="24"/>
          <w:rtl w:val="0"/>
          <w:lang w:val="it-IT"/>
        </w:rPr>
        <w:t>’</w:t>
      </w:r>
      <w:r>
        <w:rPr>
          <w:rFonts w:ascii="Book Antiqua"/>
          <w:sz w:val="24"/>
          <w:szCs w:val="24"/>
          <w:rtl w:val="0"/>
          <w:lang w:val="it-IT"/>
        </w:rPr>
        <w:t xml:space="preserve">80 e </w:t>
      </w:r>
      <w:r>
        <w:rPr>
          <w:rFonts w:hAnsi="Book Antiqua" w:hint="default"/>
          <w:sz w:val="24"/>
          <w:szCs w:val="24"/>
          <w:rtl w:val="0"/>
          <w:lang w:val="it-IT"/>
        </w:rPr>
        <w:t>’</w:t>
      </w:r>
      <w:r>
        <w:rPr>
          <w:rFonts w:ascii="Book Antiqua"/>
          <w:sz w:val="24"/>
          <w:szCs w:val="24"/>
          <w:rtl w:val="0"/>
          <w:lang w:val="it-IT"/>
        </w:rPr>
        <w:t>90. Tali testimonianze sono concordanti con quanto ricostruito nel corso dell</w:t>
      </w:r>
      <w:r>
        <w:rPr>
          <w:rFonts w:hAnsi="Book Antiqua" w:hint="default"/>
          <w:sz w:val="24"/>
          <w:szCs w:val="24"/>
          <w:rtl w:val="0"/>
          <w:lang w:val="it-IT"/>
        </w:rPr>
        <w:t>’</w:t>
      </w:r>
      <w:r>
        <w:rPr>
          <w:rFonts w:ascii="Book Antiqua"/>
          <w:sz w:val="24"/>
          <w:szCs w:val="24"/>
          <w:rtl w:val="0"/>
          <w:lang w:val="it-IT"/>
        </w:rPr>
        <w:t>attivit</w:t>
      </w:r>
      <w:r>
        <w:rPr>
          <w:rFonts w:hAnsi="Book Antiqua" w:hint="default"/>
          <w:sz w:val="24"/>
          <w:szCs w:val="24"/>
          <w:rtl w:val="0"/>
          <w:lang w:val="it-IT"/>
        </w:rPr>
        <w:t xml:space="preserve">à </w:t>
      </w:r>
      <w:r>
        <w:rPr>
          <w:rFonts w:ascii="Book Antiqua"/>
          <w:sz w:val="24"/>
          <w:szCs w:val="24"/>
          <w:rtl w:val="0"/>
          <w:lang w:val="it-IT"/>
        </w:rPr>
        <w:t>di indagine delegata alla Squadra mobile di Latina, consentendo di delineare uno scenario altamente probabile.</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E</w:t>
      </w:r>
      <w:r>
        <w:rPr>
          <w:rFonts w:hAnsi="Book Antiqua" w:hint="default"/>
          <w:sz w:val="24"/>
          <w:szCs w:val="24"/>
          <w:rtl w:val="0"/>
          <w:lang w:val="it-IT"/>
        </w:rPr>
        <w:t xml:space="preserve">’ </w:t>
      </w:r>
      <w:r>
        <w:rPr>
          <w:rFonts w:ascii="Book Antiqua"/>
          <w:sz w:val="24"/>
          <w:szCs w:val="24"/>
          <w:rtl w:val="0"/>
          <w:lang w:val="it-IT"/>
        </w:rPr>
        <w:t>evidente che per supportare ulteriormente la ricostruzione degli sversamenti avvenuti durante le passate gestioni degli invasi sarebbe necessaria un</w:t>
      </w:r>
      <w:r>
        <w:rPr>
          <w:rFonts w:hAnsi="Book Antiqua" w:hint="default"/>
          <w:sz w:val="24"/>
          <w:szCs w:val="24"/>
          <w:rtl w:val="0"/>
          <w:lang w:val="it-IT"/>
        </w:rPr>
        <w:t>’</w:t>
      </w:r>
      <w:r>
        <w:rPr>
          <w:rFonts w:ascii="Book Antiqua"/>
          <w:sz w:val="24"/>
          <w:szCs w:val="24"/>
          <w:rtl w:val="0"/>
          <w:lang w:val="it-IT"/>
        </w:rPr>
        <w:t>attivit</w:t>
      </w:r>
      <w:r>
        <w:rPr>
          <w:rFonts w:hAnsi="Book Antiqua" w:hint="default"/>
          <w:sz w:val="24"/>
          <w:szCs w:val="24"/>
          <w:rtl w:val="0"/>
          <w:lang w:val="it-IT"/>
        </w:rPr>
        <w:t xml:space="preserve">à </w:t>
      </w:r>
      <w:r>
        <w:rPr>
          <w:rFonts w:ascii="Book Antiqua"/>
          <w:sz w:val="24"/>
          <w:szCs w:val="24"/>
          <w:rtl w:val="0"/>
          <w:lang w:val="it-IT"/>
        </w:rPr>
        <w:t>tecnica di scavo, carotaggio e analisi nei punti indicati dai testimoni: peraltro il successivo abbancamento di rifiuti urbani nei punti dove, secondo le testimonianze dirette, sono stati interrati i fusti rende estremamente difficile e costosa questa attivit</w:t>
      </w:r>
      <w:r>
        <w:rPr>
          <w:rFonts w:hAnsi="Book Antiqua" w:hint="default"/>
          <w:sz w:val="24"/>
          <w:szCs w:val="24"/>
          <w:rtl w:val="0"/>
          <w:lang w:val="it-IT"/>
        </w:rPr>
        <w:t>à</w:t>
      </w:r>
      <w:r>
        <w:rPr>
          <w:rFonts w:ascii="Book Antiqua"/>
          <w:sz w:val="24"/>
          <w:szCs w:val="24"/>
          <w:rtl w:val="0"/>
          <w:lang w:val="it-IT"/>
        </w:rPr>
        <w:t>.</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 xml:space="preserve">I verbali completi di assunzione di sommarie informazioni testimoniali permangono in regime di segretezza, mentre le parti richiamate sono state declassificate, con opportuni </w:t>
      </w:r>
      <w:r>
        <w:rPr>
          <w:rFonts w:ascii="Book Antiqua"/>
          <w:i w:val="1"/>
          <w:iCs w:val="1"/>
          <w:sz w:val="24"/>
          <w:szCs w:val="24"/>
          <w:rtl w:val="0"/>
          <w:lang w:val="it-IT"/>
        </w:rPr>
        <w:t>omissis</w:t>
      </w:r>
      <w:r>
        <w:rPr>
          <w:rFonts w:ascii="Book Antiqua"/>
          <w:sz w:val="24"/>
          <w:szCs w:val="24"/>
          <w:rtl w:val="0"/>
          <w:lang w:val="it-IT"/>
        </w:rPr>
        <w:t>; in particolare per la tutela delle identit</w:t>
      </w:r>
      <w:r>
        <w:rPr>
          <w:rFonts w:hAnsi="Book Antiqua" w:hint="default"/>
          <w:sz w:val="24"/>
          <w:szCs w:val="24"/>
          <w:rtl w:val="0"/>
          <w:lang w:val="it-IT"/>
        </w:rPr>
        <w:t xml:space="preserve">à </w:t>
      </w:r>
      <w:r>
        <w:rPr>
          <w:rFonts w:ascii="Book Antiqua"/>
          <w:sz w:val="24"/>
          <w:szCs w:val="24"/>
          <w:rtl w:val="0"/>
          <w:lang w:val="it-IT"/>
        </w:rPr>
        <w:t>dei testimoni, che nel seguito verranno indicati con le lettere A, B, C e D.</w:t>
      </w:r>
    </w:p>
    <w:p>
      <w:pPr>
        <w:pStyle w:val="Corpo A"/>
        <w:ind w:left="567" w:right="567" w:firstLine="0"/>
        <w:jc w:val="both"/>
        <w:rPr>
          <w:rFonts w:ascii="Book Antiqua" w:cs="Book Antiqua" w:hAnsi="Book Antiqua" w:eastAsia="Book Antiqua"/>
          <w:sz w:val="24"/>
          <w:szCs w:val="24"/>
          <w:lang w:val="it-IT"/>
        </w:rPr>
      </w:pPr>
    </w:p>
    <w:p>
      <w:pPr>
        <w:pStyle w:val="Titolo 31"/>
        <w:spacing w:before="0" w:after="0"/>
        <w:ind w:left="567" w:right="567" w:firstLine="0"/>
        <w:jc w:val="both"/>
        <w:rPr>
          <w:rFonts w:ascii="Book Antiqua" w:cs="Book Antiqua" w:hAnsi="Book Antiqua" w:eastAsia="Book Antiqua"/>
          <w:i w:val="1"/>
          <w:iCs w:val="1"/>
          <w:color w:val="000000"/>
          <w:sz w:val="24"/>
          <w:szCs w:val="24"/>
          <w:u w:color="000000"/>
        </w:rPr>
      </w:pPr>
      <w:r>
        <w:rPr>
          <w:rFonts w:ascii="Book Antiqua"/>
          <w:i w:val="1"/>
          <w:iCs w:val="1"/>
          <w:color w:val="000000"/>
          <w:sz w:val="24"/>
          <w:szCs w:val="24"/>
          <w:u w:color="000000"/>
          <w:rtl w:val="0"/>
          <w:lang w:val="it-IT"/>
        </w:rPr>
        <w:t xml:space="preserve">Il teste A </w:t>
      </w:r>
      <w:r>
        <w:rPr>
          <w:rFonts w:ascii="Book Antiqua" w:cs="Book Antiqua" w:hAnsi="Book Antiqua" w:eastAsia="Book Antiqua"/>
          <w:i w:val="1"/>
          <w:iCs w:val="1"/>
          <w:color w:val="000000"/>
          <w:sz w:val="24"/>
          <w:szCs w:val="24"/>
          <w:u w:color="000000"/>
          <w:vertAlign w:val="superscript"/>
          <w:rtl w:val="0"/>
        </w:rPr>
        <w:footnoteReference w:id="343"/>
      </w:r>
    </w:p>
    <w:p>
      <w:pPr>
        <w:pStyle w:val="Titolo 31"/>
        <w:spacing w:before="0" w:after="0"/>
        <w:ind w:left="567" w:right="567" w:firstLine="0"/>
        <w:jc w:val="both"/>
        <w:rPr>
          <w:rFonts w:ascii="Book Antiqua" w:cs="Book Antiqua" w:hAnsi="Book Antiqua" w:eastAsia="Book Antiqua"/>
          <w:i w:val="1"/>
          <w:iCs w:val="1"/>
          <w:color w:val="000000"/>
          <w:sz w:val="24"/>
          <w:szCs w:val="24"/>
          <w:u w:color="000000"/>
        </w:rPr>
      </w:pP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 xml:space="preserve">Si tratta di un abitante della zona che, nel corso degli anni, ha raccolto le testimonianze di alcuni ex dipendenti e fornitori dei gestori della discarica di Borgo Montello (anni </w:t>
      </w:r>
      <w:r>
        <w:rPr>
          <w:rFonts w:hAnsi="Book Antiqua" w:hint="default"/>
          <w:sz w:val="24"/>
          <w:szCs w:val="24"/>
          <w:rtl w:val="0"/>
          <w:lang w:val="it-IT"/>
        </w:rPr>
        <w:t>’</w:t>
      </w:r>
      <w:r>
        <w:rPr>
          <w:rFonts w:ascii="Book Antiqua"/>
          <w:sz w:val="24"/>
          <w:szCs w:val="24"/>
          <w:rtl w:val="0"/>
          <w:lang w:val="it-IT"/>
        </w:rPr>
        <w:t xml:space="preserve">80 e anni </w:t>
      </w:r>
      <w:r>
        <w:rPr>
          <w:rFonts w:hAnsi="Book Antiqua" w:hint="default"/>
          <w:sz w:val="24"/>
          <w:szCs w:val="24"/>
          <w:rtl w:val="0"/>
          <w:lang w:val="it-IT"/>
        </w:rPr>
        <w:t>’</w:t>
      </w:r>
      <w:r>
        <w:rPr>
          <w:rFonts w:ascii="Book Antiqua"/>
          <w:sz w:val="24"/>
          <w:szCs w:val="24"/>
          <w:rtl w:val="0"/>
          <w:lang w:val="it-IT"/>
        </w:rPr>
        <w:t>90). E</w:t>
      </w:r>
      <w:r>
        <w:rPr>
          <w:rFonts w:hAnsi="Book Antiqua" w:hint="default"/>
          <w:sz w:val="24"/>
          <w:szCs w:val="24"/>
          <w:rtl w:val="0"/>
          <w:lang w:val="it-IT"/>
        </w:rPr>
        <w:t xml:space="preserve">’ </w:t>
      </w:r>
      <w:r>
        <w:rPr>
          <w:rFonts w:ascii="Book Antiqua"/>
          <w:sz w:val="24"/>
          <w:szCs w:val="24"/>
          <w:rtl w:val="0"/>
          <w:lang w:val="it-IT"/>
        </w:rPr>
        <w:t xml:space="preserve">stato ascoltato a sommarie informazioni il 7 giugno 2016. </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Il teste ha riferito:</w:t>
      </w:r>
    </w:p>
    <w:p>
      <w:pPr>
        <w:pStyle w:val="Normal"/>
        <w:ind w:left="567" w:right="567" w:firstLine="0"/>
        <w:jc w:val="both"/>
        <w:rPr>
          <w:rFonts w:ascii="Book Antiqua" w:cs="Book Antiqua" w:hAnsi="Book Antiqua" w:eastAsia="Book Antiqua"/>
        </w:rPr>
      </w:pPr>
      <w:r>
        <w:rPr>
          <w:rFonts w:ascii="Book Antiqua"/>
          <w:rtl w:val="0"/>
          <w:lang w:val="it-IT"/>
        </w:rPr>
        <w:t>che Carmine Schiavone, nel corso di una trasmissione dell</w:t>
      </w:r>
      <w:r>
        <w:rPr>
          <w:rFonts w:hAnsi="Book Antiqua" w:hint="default"/>
          <w:rtl w:val="0"/>
          <w:lang w:val="it-IT"/>
        </w:rPr>
        <w:t>’</w:t>
      </w:r>
      <w:r>
        <w:rPr>
          <w:rFonts w:ascii="Book Antiqua"/>
          <w:rtl w:val="0"/>
          <w:lang w:val="it-IT"/>
        </w:rPr>
        <w:t xml:space="preserve">emittente </w:t>
      </w:r>
      <w:r>
        <w:rPr>
          <w:rFonts w:hAnsi="Book Antiqua" w:hint="default"/>
          <w:rtl w:val="0"/>
          <w:lang w:val="it-IT"/>
        </w:rPr>
        <w:t>“</w:t>
      </w:r>
      <w:r>
        <w:rPr>
          <w:rFonts w:ascii="Book Antiqua"/>
          <w:rtl w:val="0"/>
          <w:lang w:val="it-IT"/>
        </w:rPr>
        <w:t>Lazio Tv</w:t>
      </w:r>
      <w:r>
        <w:rPr>
          <w:rFonts w:hAnsi="Book Antiqua" w:hint="default"/>
          <w:rtl w:val="0"/>
          <w:lang w:val="it-IT"/>
        </w:rPr>
        <w:t>”</w:t>
      </w:r>
      <w:r>
        <w:rPr>
          <w:rFonts w:ascii="Book Antiqua"/>
          <w:rtl w:val="0"/>
          <w:lang w:val="it-IT"/>
        </w:rPr>
        <w:t>, ha riferito sulla presenza nell</w:t>
      </w:r>
      <w:r>
        <w:rPr>
          <w:rFonts w:hAnsi="Book Antiqua" w:hint="default"/>
          <w:rtl w:val="0"/>
          <w:lang w:val="it-IT"/>
        </w:rPr>
        <w:t>’</w:t>
      </w:r>
      <w:r>
        <w:rPr>
          <w:rFonts w:ascii="Book Antiqua"/>
          <w:rtl w:val="0"/>
          <w:lang w:val="it-IT"/>
        </w:rPr>
        <w:t xml:space="preserve">area di Borgo Montello di Michele Coppola, alias </w:t>
      </w:r>
      <w:r>
        <w:rPr>
          <w:rFonts w:hAnsi="Book Antiqua" w:hint="default"/>
          <w:rtl w:val="0"/>
          <w:lang w:val="it-IT"/>
        </w:rPr>
        <w:t>“</w:t>
      </w:r>
      <w:r>
        <w:rPr>
          <w:rFonts w:ascii="Book Antiqua"/>
          <w:rtl w:val="0"/>
          <w:lang w:val="it-IT"/>
        </w:rPr>
        <w:t>O Zannuto</w:t>
      </w:r>
      <w:r>
        <w:rPr>
          <w:rFonts w:hAnsi="Book Antiqua" w:hint="default"/>
          <w:rtl w:val="0"/>
          <w:lang w:val="it-IT"/>
        </w:rPr>
        <w:t>”</w:t>
      </w:r>
      <w:r>
        <w:rPr>
          <w:rFonts w:ascii="Book Antiqua"/>
          <w:rtl w:val="0"/>
          <w:lang w:val="it-IT"/>
        </w:rPr>
        <w:t>; di essere stato pi</w:t>
      </w:r>
      <w:r>
        <w:rPr>
          <w:rFonts w:hAnsi="Book Antiqua" w:hint="default"/>
          <w:rtl w:val="0"/>
          <w:lang w:val="it-IT"/>
        </w:rPr>
        <w:t xml:space="preserve">ù </w:t>
      </w:r>
      <w:r>
        <w:rPr>
          <w:rFonts w:ascii="Book Antiqua"/>
          <w:rtl w:val="0"/>
          <w:lang w:val="it-IT"/>
        </w:rPr>
        <w:t>volte minacciato verbalmente dalla moglie di Michele Coppola; che alcuni abitanti della zona gli avevano riferito di aver visto il baule dell</w:t>
      </w:r>
      <w:r>
        <w:rPr>
          <w:rFonts w:hAnsi="Book Antiqua" w:hint="default"/>
          <w:rtl w:val="0"/>
          <w:lang w:val="it-IT"/>
        </w:rPr>
        <w:t>’</w:t>
      </w:r>
      <w:r>
        <w:rPr>
          <w:rFonts w:ascii="Book Antiqua"/>
          <w:rtl w:val="0"/>
          <w:lang w:val="it-IT"/>
        </w:rPr>
        <w:t xml:space="preserve">automobile del Coppola </w:t>
      </w:r>
      <w:r>
        <w:rPr>
          <w:rFonts w:hAnsi="Book Antiqua" w:hint="default"/>
          <w:rtl w:val="0"/>
          <w:lang w:val="it-IT"/>
        </w:rPr>
        <w:t>“</w:t>
      </w:r>
      <w:r>
        <w:rPr>
          <w:rFonts w:ascii="Book Antiqua"/>
          <w:rtl w:val="0"/>
          <w:lang w:val="it-IT"/>
        </w:rPr>
        <w:t>pieno di armi</w:t>
      </w:r>
      <w:r>
        <w:rPr>
          <w:rFonts w:hAnsi="Book Antiqua" w:hint="default"/>
          <w:rtl w:val="0"/>
          <w:lang w:val="it-IT"/>
        </w:rPr>
        <w:t>”</w:t>
      </w:r>
      <w:r>
        <w:rPr>
          <w:rFonts w:ascii="Book Antiqua"/>
          <w:rtl w:val="0"/>
          <w:lang w:val="it-IT"/>
        </w:rPr>
        <w:t xml:space="preserve">; che alla fine degli anni </w:t>
      </w:r>
      <w:r>
        <w:rPr>
          <w:rFonts w:hAnsi="Book Antiqua" w:hint="default"/>
          <w:rtl w:val="0"/>
          <w:lang w:val="it-IT"/>
        </w:rPr>
        <w:t>’</w:t>
      </w:r>
      <w:r>
        <w:rPr>
          <w:rFonts w:ascii="Book Antiqua"/>
          <w:rtl w:val="0"/>
          <w:lang w:val="it-IT"/>
        </w:rPr>
        <w:t xml:space="preserve">90 Coppola </w:t>
      </w:r>
      <w:r>
        <w:rPr>
          <w:rFonts w:hAnsi="Book Antiqua" w:hint="default"/>
          <w:rtl w:val="0"/>
          <w:lang w:val="it-IT"/>
        </w:rPr>
        <w:t>“</w:t>
      </w:r>
      <w:r>
        <w:rPr>
          <w:rFonts w:ascii="Book Antiqua"/>
          <w:rtl w:val="0"/>
          <w:lang w:val="it-IT"/>
        </w:rPr>
        <w:t>fece sversare numerosi autocarri con fanghi in una scarpata attigua all</w:t>
      </w:r>
      <w:r>
        <w:rPr>
          <w:rFonts w:hAnsi="Book Antiqua" w:hint="default"/>
          <w:rtl w:val="0"/>
          <w:lang w:val="it-IT"/>
        </w:rPr>
        <w:t>’</w:t>
      </w:r>
      <w:r>
        <w:rPr>
          <w:rFonts w:ascii="Book Antiqua"/>
          <w:rtl w:val="0"/>
          <w:lang w:val="it-IT"/>
        </w:rPr>
        <w:t>azienda sequestrata allo stesso Coppola, sulla curva della strada prima dei poderi di Salvalaggio</w:t>
      </w:r>
      <w:r>
        <w:rPr>
          <w:rFonts w:hAnsi="Book Antiqua" w:hint="default"/>
          <w:rtl w:val="0"/>
          <w:lang w:val="it-IT"/>
        </w:rPr>
        <w:t>”</w:t>
      </w:r>
      <w:r>
        <w:rPr>
          <w:rFonts w:ascii="Book Antiqua"/>
          <w:rtl w:val="0"/>
          <w:lang w:val="it-IT"/>
        </w:rPr>
        <w:t xml:space="preserve">; di essere a conoscenza, rispetto a questi fatti, di un esposto anonimo al Corpo forestale di Cisterna di Latina; di aver ascoltato, circa quattro anni prima, il teste D, riferire di interramenti di </w:t>
      </w:r>
      <w:r>
        <w:rPr>
          <w:rFonts w:hAnsi="Book Antiqua" w:hint="default"/>
          <w:rtl w:val="0"/>
          <w:lang w:val="it-IT"/>
        </w:rPr>
        <w:t>“</w:t>
      </w:r>
      <w:r>
        <w:rPr>
          <w:rFonts w:ascii="Book Antiqua"/>
          <w:rtl w:val="0"/>
          <w:lang w:val="it-IT"/>
        </w:rPr>
        <w:t>fusti tossici</w:t>
      </w:r>
      <w:r>
        <w:rPr>
          <w:rFonts w:hAnsi="Book Antiqua" w:hint="default"/>
          <w:rtl w:val="0"/>
          <w:lang w:val="it-IT"/>
        </w:rPr>
        <w:t>”</w:t>
      </w:r>
      <w:r>
        <w:rPr>
          <w:rFonts w:ascii="Book Antiqua"/>
          <w:rtl w:val="0"/>
          <w:lang w:val="it-IT"/>
        </w:rPr>
        <w:t xml:space="preserve">, </w:t>
      </w:r>
      <w:r>
        <w:rPr>
          <w:rFonts w:hAnsi="Book Antiqua" w:hint="default"/>
          <w:rtl w:val="0"/>
          <w:lang w:val="it-IT"/>
        </w:rPr>
        <w:t>“</w:t>
      </w:r>
      <w:r>
        <w:rPr>
          <w:rFonts w:ascii="Book Antiqua"/>
          <w:rtl w:val="0"/>
          <w:lang w:val="it-IT"/>
        </w:rPr>
        <w:t>puntando il dito sulla predetta mappa (nel punto) dove io ho indicato una X</w:t>
      </w:r>
      <w:r>
        <w:rPr>
          <w:rFonts w:hAnsi="Book Antiqua" w:hint="default"/>
          <w:rtl w:val="0"/>
          <w:lang w:val="it-IT"/>
        </w:rPr>
        <w:t>”</w:t>
      </w:r>
      <w:r>
        <w:rPr>
          <w:rFonts w:ascii="Book Antiqua"/>
          <w:rtl w:val="0"/>
          <w:lang w:val="it-IT"/>
        </w:rPr>
        <w:t>; di aver ricevuto conferma di tale indicazione dal teste C; di avere ricevuto alcune confidenze dal teste B.</w:t>
      </w:r>
    </w:p>
    <w:p>
      <w:pPr>
        <w:pStyle w:val="Normal"/>
        <w:ind w:left="567" w:right="567" w:firstLine="0"/>
        <w:jc w:val="both"/>
        <w:rPr>
          <w:rFonts w:ascii="Book Antiqua" w:cs="Book Antiqua" w:hAnsi="Book Antiqua" w:eastAsia="Book Antiqua"/>
        </w:rPr>
      </w:pPr>
      <w:r>
        <w:rPr>
          <w:rFonts w:ascii="Book Antiqua"/>
          <w:rtl w:val="0"/>
          <w:lang w:val="it-IT"/>
        </w:rPr>
        <w:t>In particolare:</w:t>
      </w:r>
    </w:p>
    <w:p>
      <w:pPr>
        <w:pStyle w:val="Normal"/>
        <w:ind w:left="567" w:right="567" w:firstLine="0"/>
        <w:jc w:val="both"/>
        <w:rPr>
          <w:rFonts w:ascii="Book Antiqua" w:cs="Book Antiqua" w:hAnsi="Book Antiqua" w:eastAsia="Book Antiqua"/>
        </w:rPr>
      </w:pPr>
      <w:r>
        <w:rPr>
          <w:rFonts w:ascii="Book Antiqua"/>
          <w:rtl w:val="0"/>
          <w:lang w:val="it-IT"/>
        </w:rPr>
        <w:t>i fusti indicati nella zona compresa tra gli invasi S1 e S3, in realt</w:t>
      </w:r>
      <w:r>
        <w:rPr>
          <w:rFonts w:hAnsi="Book Antiqua" w:hint="default"/>
          <w:rtl w:val="0"/>
          <w:lang w:val="it-IT"/>
        </w:rPr>
        <w:t>à</w:t>
      </w:r>
      <w:r>
        <w:rPr>
          <w:rFonts w:ascii="Book Antiqua"/>
          <w:rtl w:val="0"/>
          <w:lang w:val="it-IT"/>
        </w:rPr>
        <w:t xml:space="preserve">, erano stati </w:t>
      </w:r>
      <w:r>
        <w:rPr>
          <w:rFonts w:hAnsi="Book Antiqua" w:hint="default"/>
          <w:rtl w:val="0"/>
          <w:lang w:val="it-IT"/>
        </w:rPr>
        <w:t>“</w:t>
      </w:r>
      <w:r>
        <w:rPr>
          <w:rFonts w:ascii="Book Antiqua"/>
          <w:rtl w:val="0"/>
          <w:lang w:val="it-IT"/>
        </w:rPr>
        <w:t xml:space="preserve">sversati negli anni </w:t>
      </w:r>
      <w:r>
        <w:rPr>
          <w:rFonts w:hAnsi="Book Antiqua" w:hint="default"/>
          <w:rtl w:val="0"/>
          <w:lang w:val="it-IT"/>
        </w:rPr>
        <w:t>’</w:t>
      </w:r>
      <w:r>
        <w:rPr>
          <w:rFonts w:ascii="Book Antiqua"/>
          <w:rtl w:val="0"/>
          <w:lang w:val="it-IT"/>
        </w:rPr>
        <w:t>90 da autocarri di cui lui vedeva e firmava le bolle di ingresso nella discarica e mi riferiva che in realt</w:t>
      </w:r>
      <w:r>
        <w:rPr>
          <w:rFonts w:hAnsi="Book Antiqua" w:hint="default"/>
          <w:rtl w:val="0"/>
          <w:lang w:val="it-IT"/>
        </w:rPr>
        <w:t xml:space="preserve">à </w:t>
      </w:r>
      <w:r>
        <w:rPr>
          <w:rFonts w:ascii="Book Antiqua"/>
          <w:rtl w:val="0"/>
          <w:lang w:val="it-IT"/>
        </w:rPr>
        <w:t>erano contenitori di plastica di forma cubica</w:t>
      </w:r>
      <w:r>
        <w:rPr>
          <w:rFonts w:hAnsi="Book Antiqua" w:hint="default"/>
          <w:rtl w:val="0"/>
          <w:lang w:val="it-IT"/>
        </w:rPr>
        <w:t>”</w:t>
      </w:r>
      <w:r>
        <w:rPr>
          <w:rFonts w:ascii="Book Antiqua"/>
          <w:rtl w:val="0"/>
          <w:lang w:val="it-IT"/>
        </w:rPr>
        <w:t xml:space="preserve">; </w:t>
      </w:r>
    </w:p>
    <w:p>
      <w:pPr>
        <w:pStyle w:val="Normal"/>
        <w:ind w:left="567" w:right="567" w:firstLine="0"/>
        <w:jc w:val="both"/>
        <w:rPr>
          <w:rFonts w:ascii="Book Antiqua" w:cs="Book Antiqua" w:hAnsi="Book Antiqua" w:eastAsia="Book Antiqua"/>
        </w:rPr>
      </w:pPr>
      <w:r>
        <w:rPr>
          <w:rFonts w:ascii="Book Antiqua"/>
          <w:rtl w:val="0"/>
          <w:lang w:val="it-IT"/>
        </w:rPr>
        <w:t xml:space="preserve">B </w:t>
      </w:r>
      <w:r>
        <w:rPr>
          <w:rFonts w:hAnsi="Book Antiqua" w:hint="default"/>
          <w:rtl w:val="0"/>
          <w:lang w:val="it-IT"/>
        </w:rPr>
        <w:t>“</w:t>
      </w:r>
      <w:r>
        <w:rPr>
          <w:rFonts w:ascii="Book Antiqua"/>
          <w:rtl w:val="0"/>
          <w:lang w:val="it-IT"/>
        </w:rPr>
        <w:t>faceva dei viaggi fino a Treviso dove cambiavano le bolle e tornavano con lo stesso materiale per poi sversarlo a Borgo Montello o in altri posti</w:t>
      </w:r>
      <w:r>
        <w:rPr>
          <w:rFonts w:hAnsi="Book Antiqua" w:hint="default"/>
          <w:rtl w:val="0"/>
          <w:lang w:val="it-IT"/>
        </w:rPr>
        <w:t>”</w:t>
      </w:r>
      <w:r>
        <w:rPr>
          <w:rFonts w:ascii="Book Antiqua"/>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 xml:space="preserve">B aveva rapporti </w:t>
      </w:r>
      <w:r>
        <w:rPr>
          <w:rFonts w:hAnsi="Book Antiqua" w:hint="default"/>
          <w:rtl w:val="0"/>
          <w:lang w:val="it-IT"/>
        </w:rPr>
        <w:t>“</w:t>
      </w:r>
      <w:r>
        <w:rPr>
          <w:rFonts w:ascii="Book Antiqua"/>
          <w:rtl w:val="0"/>
          <w:lang w:val="it-IT"/>
        </w:rPr>
        <w:t>particolari</w:t>
      </w:r>
      <w:r>
        <w:rPr>
          <w:rFonts w:hAnsi="Book Antiqua" w:hint="default"/>
          <w:rtl w:val="0"/>
          <w:lang w:val="it-IT"/>
        </w:rPr>
        <w:t xml:space="preserve">” </w:t>
      </w:r>
      <w:r>
        <w:rPr>
          <w:rFonts w:ascii="Book Antiqua"/>
          <w:rtl w:val="0"/>
          <w:lang w:val="it-IT"/>
        </w:rPr>
        <w:t>con Michele Coppola tanto da essere stato invitato a Casal di Principe;</w:t>
      </w:r>
    </w:p>
    <w:p>
      <w:pPr>
        <w:pStyle w:val="Normal"/>
        <w:ind w:left="567" w:right="567" w:firstLine="0"/>
        <w:jc w:val="both"/>
        <w:rPr>
          <w:rFonts w:ascii="Book Antiqua" w:cs="Book Antiqua" w:hAnsi="Book Antiqua" w:eastAsia="Book Antiqua"/>
        </w:rPr>
      </w:pPr>
      <w:r>
        <w:rPr>
          <w:rFonts w:ascii="Book Antiqua"/>
          <w:rtl w:val="0"/>
          <w:lang w:val="it-IT"/>
        </w:rPr>
        <w:t xml:space="preserve">B ha riferito di cene a casa di Michele Coppola con persone che lui (Coppola) chiamava i </w:t>
      </w:r>
      <w:r>
        <w:rPr>
          <w:rFonts w:hAnsi="Book Antiqua" w:hint="default"/>
          <w:rtl w:val="0"/>
          <w:lang w:val="it-IT"/>
        </w:rPr>
        <w:t>“</w:t>
      </w:r>
      <w:r>
        <w:rPr>
          <w:rFonts w:ascii="Book Antiqua"/>
          <w:rtl w:val="0"/>
          <w:lang w:val="it-IT"/>
        </w:rPr>
        <w:t>4 zii pi</w:t>
      </w:r>
      <w:r>
        <w:rPr>
          <w:rFonts w:hAnsi="Book Antiqua" w:hint="default"/>
          <w:rtl w:val="0"/>
          <w:lang w:val="it-IT"/>
        </w:rPr>
        <w:t xml:space="preserve">ù </w:t>
      </w:r>
      <w:r>
        <w:rPr>
          <w:rFonts w:ascii="Book Antiqua"/>
          <w:rtl w:val="0"/>
          <w:lang w:val="it-IT"/>
        </w:rPr>
        <w:t>importanti di Casal di Principe</w:t>
      </w:r>
      <w:r>
        <w:rPr>
          <w:rFonts w:hAnsi="Book Antiqua" w:hint="default"/>
          <w:rtl w:val="0"/>
          <w:lang w:val="it-IT"/>
        </w:rPr>
        <w:t>”</w:t>
      </w:r>
      <w:r>
        <w:rPr>
          <w:rFonts w:ascii="Book Antiqua"/>
          <w:rtl w:val="0"/>
          <w:lang w:val="it-IT"/>
        </w:rPr>
        <w:t>, includendo tale Carmine, identificato nel collaboratore di giustizia Carmine Schiavone;</w:t>
      </w:r>
    </w:p>
    <w:p>
      <w:pPr>
        <w:pStyle w:val="Normal"/>
        <w:ind w:left="567" w:right="567" w:firstLine="0"/>
        <w:jc w:val="both"/>
        <w:rPr>
          <w:rFonts w:ascii="Book Antiqua" w:cs="Book Antiqua" w:hAnsi="Book Antiqua" w:eastAsia="Book Antiqua"/>
        </w:rPr>
      </w:pPr>
      <w:r>
        <w:rPr>
          <w:rFonts w:ascii="Book Antiqua"/>
          <w:rtl w:val="0"/>
          <w:lang w:val="it-IT"/>
        </w:rPr>
        <w:t>in alcune occasioni avrebbero partecipato a tale cena un maresciallo dei carabinieri di Latina e un esponente politico locale.</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 xml:space="preserve">Al verbale di sommarie informazioni </w:t>
      </w:r>
      <w:r>
        <w:rPr>
          <w:rFonts w:hAnsi="Book Antiqua" w:hint="default"/>
          <w:sz w:val="24"/>
          <w:szCs w:val="24"/>
          <w:rtl w:val="0"/>
          <w:lang w:val="it-IT"/>
        </w:rPr>
        <w:t xml:space="preserve">è </w:t>
      </w:r>
      <w:r>
        <w:rPr>
          <w:rFonts w:ascii="Book Antiqua"/>
          <w:sz w:val="24"/>
          <w:szCs w:val="24"/>
          <w:rtl w:val="0"/>
          <w:lang w:val="it-IT"/>
        </w:rPr>
        <w:t>allegata la mappa con l</w:t>
      </w:r>
      <w:r>
        <w:rPr>
          <w:rFonts w:hAnsi="Book Antiqua" w:hint="default"/>
          <w:sz w:val="24"/>
          <w:szCs w:val="24"/>
          <w:rtl w:val="0"/>
          <w:lang w:val="it-IT"/>
        </w:rPr>
        <w:t>’</w:t>
      </w:r>
      <w:r>
        <w:rPr>
          <w:rFonts w:ascii="Book Antiqua"/>
          <w:sz w:val="24"/>
          <w:szCs w:val="24"/>
          <w:rtl w:val="0"/>
          <w:lang w:val="it-IT"/>
        </w:rPr>
        <w:t xml:space="preserve">indicazione del punto interessato </w:t>
      </w:r>
      <w:r>
        <w:rPr>
          <w:rFonts w:ascii="Book Antiqua" w:cs="Book Antiqua" w:hAnsi="Book Antiqua" w:eastAsia="Book Antiqua"/>
          <w:sz w:val="24"/>
          <w:szCs w:val="24"/>
          <w:rtl w:val="0"/>
        </w:rPr>
        <w:drawing>
          <wp:anchor distT="152400" distB="152400" distL="152400" distR="152400" simplePos="0" relativeHeight="251659264" behindDoc="0" locked="0" layoutInCell="1" allowOverlap="1">
            <wp:simplePos x="0" y="0"/>
            <wp:positionH relativeFrom="column">
              <wp:posOffset>12700</wp:posOffset>
            </wp:positionH>
            <wp:positionV relativeFrom="line">
              <wp:posOffset>609600</wp:posOffset>
            </wp:positionV>
            <wp:extent cx="6120130" cy="2891790"/>
            <wp:effectExtent l="0" t="0" r="0" b="0"/>
            <wp:wrapThrough wrapText="bothSides" distL="152400" distR="152400">
              <wp:wrapPolygon edited="1">
                <wp:start x="0" y="0"/>
                <wp:lineTo x="0" y="21600"/>
                <wp:lineTo x="21600" y="21600"/>
                <wp:lineTo x="21600" y="0"/>
                <wp:lineTo x="0" y="0"/>
              </wp:wrapPolygon>
            </wp:wrapThrough>
            <wp:docPr id="1073741881" name="officeArt object"/>
            <wp:cNvGraphicFramePr/>
            <a:graphic xmlns:a="http://schemas.openxmlformats.org/drawingml/2006/main">
              <a:graphicData uri="http://schemas.openxmlformats.org/drawingml/2006/picture">
                <pic:pic xmlns:pic="http://schemas.openxmlformats.org/drawingml/2006/picture">
                  <pic:nvPicPr>
                    <pic:cNvPr id="1073741881" name="image54.png"/>
                    <pic:cNvPicPr/>
                  </pic:nvPicPr>
                  <pic:blipFill>
                    <a:blip r:embed="rId65">
                      <a:extLst/>
                    </a:blip>
                    <a:stretch>
                      <a:fillRect/>
                    </a:stretch>
                  </pic:blipFill>
                  <pic:spPr>
                    <a:xfrm>
                      <a:off x="0" y="0"/>
                      <a:ext cx="6120130" cy="2891790"/>
                    </a:xfrm>
                    <a:prstGeom prst="rect">
                      <a:avLst/>
                    </a:prstGeom>
                    <a:ln w="12700" cap="flat">
                      <a:noFill/>
                      <a:miter lim="400000"/>
                    </a:ln>
                    <a:effectLst/>
                  </pic:spPr>
                </pic:pic>
              </a:graphicData>
            </a:graphic>
          </wp:anchor>
        </w:drawing>
      </w:r>
      <w:r>
        <w:rPr>
          <w:rFonts w:ascii="Book Antiqua"/>
          <w:sz w:val="24"/>
          <w:szCs w:val="24"/>
          <w:rtl w:val="0"/>
          <w:lang w:val="it-IT"/>
        </w:rPr>
        <w:t>dall</w:t>
      </w:r>
      <w:r>
        <w:rPr>
          <w:rFonts w:hAnsi="Book Antiqua" w:hint="default"/>
          <w:sz w:val="24"/>
          <w:szCs w:val="24"/>
          <w:rtl w:val="0"/>
          <w:lang w:val="it-IT"/>
        </w:rPr>
        <w:t>’</w:t>
      </w:r>
      <w:r>
        <w:rPr>
          <w:rFonts w:ascii="Book Antiqua"/>
          <w:sz w:val="24"/>
          <w:szCs w:val="24"/>
          <w:rtl w:val="0"/>
          <w:lang w:val="it-IT"/>
        </w:rPr>
        <w:t>interramento dei fusti:</w:t>
      </w:r>
    </w:p>
    <w:p>
      <w:pPr>
        <w:pStyle w:val="Corpo A"/>
        <w:ind w:left="567" w:right="567" w:firstLine="0"/>
        <w:jc w:val="both"/>
        <w:rPr>
          <w:rFonts w:ascii="Book Antiqua" w:cs="Book Antiqua" w:hAnsi="Book Antiqua" w:eastAsia="Book Antiqua"/>
          <w:sz w:val="24"/>
          <w:szCs w:val="24"/>
          <w:lang w:val="it-IT"/>
        </w:rPr>
      </w:pPr>
      <w:r>
        <w:rPr>
          <w:rFonts w:ascii="Book Antiqua" w:cs="Book Antiqua" w:hAnsi="Book Antiqua" w:eastAsia="Book Antiqua"/>
          <w:sz w:val="24"/>
          <w:szCs w:val="24"/>
          <w:rtl w:val="0"/>
        </w:rPr>
        <mc:AlternateContent>
          <mc:Choice Requires="wps">
            <w:drawing>
              <wp:anchor distT="57150" distB="57150" distL="57150" distR="57150" simplePos="0" relativeHeight="251661312" behindDoc="0" locked="0" layoutInCell="1" allowOverlap="1">
                <wp:simplePos x="0" y="0"/>
                <wp:positionH relativeFrom="column">
                  <wp:posOffset>1814195</wp:posOffset>
                </wp:positionH>
                <wp:positionV relativeFrom="line">
                  <wp:posOffset>1196975</wp:posOffset>
                </wp:positionV>
                <wp:extent cx="219075" cy="260985"/>
                <wp:effectExtent l="0" t="0" r="0" b="0"/>
                <wp:wrapThrough wrapText="bothSides" distL="57150" distR="57150">
                  <wp:wrapPolygon edited="1">
                    <wp:start x="10683" y="-788"/>
                    <wp:lineTo x="-704" y="10281"/>
                    <wp:lineTo x="-704" y="11299"/>
                    <wp:lineTo x="10096" y="22106"/>
                    <wp:lineTo x="11426" y="22172"/>
                    <wp:lineTo x="22304" y="11299"/>
                    <wp:lineTo x="22304" y="10281"/>
                    <wp:lineTo x="11504" y="-493"/>
                    <wp:lineTo x="10683" y="-788"/>
                  </wp:wrapPolygon>
                </wp:wrapThrough>
                <wp:docPr id="1073741882" name="officeArt object"/>
                <wp:cNvGraphicFramePr/>
                <a:graphic xmlns:a="http://schemas.openxmlformats.org/drawingml/2006/main">
                  <a:graphicData uri="http://schemas.microsoft.com/office/word/2010/wordprocessingShape">
                    <wps:wsp>
                      <wps:cNvSpPr/>
                      <wps:spPr>
                        <a:xfrm>
                          <a:off x="0" y="0"/>
                          <a:ext cx="219075" cy="260985"/>
                        </a:xfrm>
                        <a:prstGeom prst="diamond">
                          <a:avLst/>
                        </a:prstGeom>
                        <a:solidFill>
                          <a:srgbClr val="000000"/>
                        </a:solidFill>
                        <a:ln w="19050" cap="flat">
                          <a:solidFill>
                            <a:srgbClr val="4A7EBB"/>
                          </a:solidFill>
                          <a:prstDash val="solid"/>
                          <a:round/>
                        </a:ln>
                        <a:effectLst>
                          <a:outerShdw sx="100000" sy="100000" kx="0" ky="0" algn="b" rotWithShape="0" blurRad="12700" dist="25400" dir="5400000">
                            <a:srgbClr val="808080">
                              <a:alpha val="35000"/>
                            </a:srgbClr>
                          </a:outerShdw>
                        </a:effectLst>
                      </wps:spPr>
                      <wps:bodyPr/>
                    </wps:wsp>
                  </a:graphicData>
                </a:graphic>
              </wp:anchor>
            </w:drawing>
          </mc:Choice>
          <mc:Fallback>
            <w:pict>
              <v:shape id="_x0000_s1029" type="#_x0000_t4" style="visibility:visible;position:absolute;margin-left:0.0pt;margin-top:0.0pt;width:17.2pt;height:20.5pt;z-index:251661312;mso-position-horizontal:absolute;mso-position-horizontal-relative:text;mso-position-vertical:absolute;mso-position-vertical-relative:line;mso-wrap-distance-left:4.5pt;mso-wrap-distance-top:4.5pt;mso-wrap-distance-right:4.5pt;mso-wrap-distance-bottom:4.5pt;">
                <v:fill color="#000000" opacity="100.0%" type="solid"/>
                <v:stroke filltype="solid" color="#4A7EBB" opacity="100.0%" weight="1.5pt" dashstyle="solid" endcap="flat" joinstyle="round" linestyle="single" startarrow="none" startarrowwidth="medium" startarrowlength="medium" endarrow="none" endarrowwidth="medium" endarrowlength="medium"/>
                <v:shadow on="t" color="#808080" opacity="0.3500061" offset="0.0pt,2.0pt"/>
                <w10:wrap type="through" side="bothSides" anchorx="text"/>
              </v:shape>
            </w:pict>
          </mc:Fallback>
        </mc:AlternateContent>
      </w:r>
    </w:p>
    <w:p>
      <w:pPr>
        <w:pStyle w:val="Corpo A"/>
        <w:ind w:left="567" w:right="567" w:firstLine="0"/>
        <w:jc w:val="both"/>
        <w:rPr>
          <w:rFonts w:ascii="Book Antiqua" w:cs="Book Antiqua" w:hAnsi="Book Antiqua" w:eastAsia="Book Antiqua"/>
          <w:sz w:val="24"/>
          <w:szCs w:val="24"/>
          <w:lang w:val="it-IT"/>
        </w:rPr>
      </w:pP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Comparando la mappa fornita dal teste A con la mappa allegata all</w:t>
      </w:r>
      <w:r>
        <w:rPr>
          <w:rFonts w:hAnsi="Book Antiqua" w:hint="default"/>
          <w:sz w:val="24"/>
          <w:szCs w:val="24"/>
          <w:rtl w:val="0"/>
          <w:lang w:val="it-IT"/>
        </w:rPr>
        <w:t>’</w:t>
      </w:r>
      <w:r>
        <w:rPr>
          <w:rFonts w:ascii="Book Antiqua"/>
          <w:sz w:val="24"/>
          <w:szCs w:val="24"/>
          <w:rtl w:val="0"/>
          <w:lang w:val="it-IT"/>
        </w:rPr>
        <w:t>informativa della Squadra mobile di Latina si nota la coincidenza dei due punti, che distano uno dall</w:t>
      </w:r>
      <w:r>
        <w:rPr>
          <w:rFonts w:hAnsi="Book Antiqua" w:hint="default"/>
          <w:sz w:val="24"/>
          <w:szCs w:val="24"/>
          <w:rtl w:val="0"/>
          <w:lang w:val="it-IT"/>
        </w:rPr>
        <w:t>’</w:t>
      </w:r>
      <w:r>
        <w:rPr>
          <w:rFonts w:ascii="Book Antiqua"/>
          <w:sz w:val="24"/>
          <w:szCs w:val="24"/>
          <w:rtl w:val="0"/>
          <w:lang w:val="it-IT"/>
        </w:rPr>
        <w:t>altro pochi metri, ambedue a cavallo tra l</w:t>
      </w:r>
      <w:r>
        <w:rPr>
          <w:rFonts w:hAnsi="Book Antiqua" w:hint="default"/>
          <w:sz w:val="24"/>
          <w:szCs w:val="24"/>
          <w:rtl w:val="0"/>
          <w:lang w:val="it-IT"/>
        </w:rPr>
        <w:t>’</w:t>
      </w:r>
      <w:r>
        <w:rPr>
          <w:rFonts w:ascii="Book Antiqua"/>
          <w:sz w:val="24"/>
          <w:szCs w:val="24"/>
          <w:rtl w:val="0"/>
          <w:lang w:val="it-IT"/>
        </w:rPr>
        <w:t>invaso S3 e l</w:t>
      </w:r>
      <w:r>
        <w:rPr>
          <w:rFonts w:hAnsi="Book Antiqua" w:hint="default"/>
          <w:sz w:val="24"/>
          <w:szCs w:val="24"/>
          <w:rtl w:val="0"/>
          <w:lang w:val="it-IT"/>
        </w:rPr>
        <w:t>’</w:t>
      </w:r>
      <w:r>
        <w:rPr>
          <w:rFonts w:ascii="Book Antiqua"/>
          <w:sz w:val="24"/>
          <w:szCs w:val="24"/>
          <w:rtl w:val="0"/>
          <w:lang w:val="it-IT"/>
        </w:rPr>
        <w:t xml:space="preserve">invaso S1. </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Da accertamenti effettuati sulle banche dati in uso alla polizia giudiziaria il teste non risulta avere precedenti giudiziari. Non risulta, inoltre, avere mai ricevuto querele per i reati di diffamazione o calunnia.</w:t>
      </w:r>
    </w:p>
    <w:p>
      <w:pPr>
        <w:pStyle w:val="Corpo A"/>
        <w:ind w:left="567" w:right="567" w:firstLine="0"/>
        <w:jc w:val="both"/>
        <w:rPr>
          <w:rFonts w:ascii="Book Antiqua" w:cs="Book Antiqua" w:hAnsi="Book Antiqua" w:eastAsia="Book Antiqua"/>
          <w:sz w:val="24"/>
          <w:szCs w:val="24"/>
          <w:lang w:val="it-IT"/>
        </w:rPr>
      </w:pPr>
    </w:p>
    <w:p>
      <w:pPr>
        <w:pStyle w:val="Titolo 31"/>
        <w:spacing w:before="0" w:after="0"/>
        <w:ind w:left="567" w:right="567" w:firstLine="0"/>
        <w:jc w:val="both"/>
        <w:rPr>
          <w:rFonts w:ascii="Book Antiqua" w:cs="Book Antiqua" w:hAnsi="Book Antiqua" w:eastAsia="Book Antiqua"/>
          <w:i w:val="1"/>
          <w:iCs w:val="1"/>
          <w:color w:val="000000"/>
          <w:sz w:val="24"/>
          <w:szCs w:val="24"/>
          <w:u w:color="000000"/>
        </w:rPr>
      </w:pPr>
      <w:r>
        <w:rPr>
          <w:rFonts w:ascii="Book Antiqua"/>
          <w:i w:val="1"/>
          <w:iCs w:val="1"/>
          <w:color w:val="000000"/>
          <w:sz w:val="24"/>
          <w:szCs w:val="24"/>
          <w:u w:color="000000"/>
          <w:rtl w:val="0"/>
          <w:lang w:val="it-IT"/>
        </w:rPr>
        <w:t xml:space="preserve">Il teste B </w:t>
      </w:r>
      <w:r>
        <w:rPr>
          <w:rFonts w:ascii="Book Antiqua" w:cs="Book Antiqua" w:hAnsi="Book Antiqua" w:eastAsia="Book Antiqua"/>
          <w:i w:val="1"/>
          <w:iCs w:val="1"/>
          <w:color w:val="000000"/>
          <w:sz w:val="24"/>
          <w:szCs w:val="24"/>
          <w:u w:color="000000"/>
          <w:vertAlign w:val="superscript"/>
          <w:rtl w:val="0"/>
        </w:rPr>
        <w:footnoteReference w:id="344"/>
      </w:r>
    </w:p>
    <w:p>
      <w:pPr>
        <w:pStyle w:val="Titolo 31"/>
        <w:spacing w:before="0" w:after="0"/>
        <w:ind w:left="567" w:right="567" w:firstLine="0"/>
        <w:jc w:val="both"/>
        <w:rPr>
          <w:rFonts w:ascii="Book Antiqua" w:cs="Book Antiqua" w:hAnsi="Book Antiqua" w:eastAsia="Book Antiqua"/>
          <w:i w:val="1"/>
          <w:iCs w:val="1"/>
          <w:color w:val="000000"/>
          <w:sz w:val="24"/>
          <w:szCs w:val="24"/>
          <w:u w:color="000000"/>
        </w:rPr>
      </w:pP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 xml:space="preserve">Il teste </w:t>
      </w:r>
      <w:r>
        <w:rPr>
          <w:rFonts w:hAnsi="Book Antiqua" w:hint="default"/>
          <w:sz w:val="24"/>
          <w:szCs w:val="24"/>
          <w:rtl w:val="0"/>
          <w:lang w:val="it-IT"/>
        </w:rPr>
        <w:t>“</w:t>
      </w:r>
      <w:r>
        <w:rPr>
          <w:rFonts w:ascii="Book Antiqua"/>
          <w:sz w:val="24"/>
          <w:szCs w:val="24"/>
          <w:rtl w:val="0"/>
          <w:lang w:val="it-IT"/>
        </w:rPr>
        <w:t>B</w:t>
      </w:r>
      <w:r>
        <w:rPr>
          <w:rFonts w:hAnsi="Book Antiqua" w:hint="default"/>
          <w:sz w:val="24"/>
          <w:szCs w:val="24"/>
          <w:rtl w:val="0"/>
          <w:lang w:val="it-IT"/>
        </w:rPr>
        <w:t>”</w:t>
      </w:r>
      <w:r>
        <w:rPr>
          <w:rFonts w:ascii="Book Antiqua"/>
          <w:sz w:val="24"/>
          <w:szCs w:val="24"/>
          <w:rtl w:val="0"/>
          <w:lang w:val="it-IT"/>
        </w:rPr>
        <w:t xml:space="preserve">, indicato dal teste </w:t>
      </w:r>
      <w:r>
        <w:rPr>
          <w:rFonts w:hAnsi="Book Antiqua" w:hint="default"/>
          <w:sz w:val="24"/>
          <w:szCs w:val="24"/>
          <w:rtl w:val="0"/>
          <w:lang w:val="it-IT"/>
        </w:rPr>
        <w:t>“</w:t>
      </w:r>
      <w:r>
        <w:rPr>
          <w:rFonts w:ascii="Book Antiqua"/>
          <w:sz w:val="24"/>
          <w:szCs w:val="24"/>
          <w:rtl w:val="0"/>
          <w:lang w:val="it-IT"/>
        </w:rPr>
        <w:t>A</w:t>
      </w:r>
      <w:r>
        <w:rPr>
          <w:rFonts w:hAnsi="Book Antiqua" w:hint="default"/>
          <w:sz w:val="24"/>
          <w:szCs w:val="24"/>
          <w:rtl w:val="0"/>
          <w:lang w:val="it-IT"/>
        </w:rPr>
        <w:t xml:space="preserve">” </w:t>
      </w:r>
      <w:r>
        <w:rPr>
          <w:rFonts w:ascii="Book Antiqua"/>
          <w:sz w:val="24"/>
          <w:szCs w:val="24"/>
          <w:rtl w:val="0"/>
          <w:lang w:val="it-IT"/>
        </w:rPr>
        <w:t>come particolarmente informato sui fatti oggetto dell</w:t>
      </w:r>
      <w:r>
        <w:rPr>
          <w:rFonts w:hAnsi="Book Antiqua" w:hint="default"/>
          <w:sz w:val="24"/>
          <w:szCs w:val="24"/>
          <w:rtl w:val="0"/>
          <w:lang w:val="it-IT"/>
        </w:rPr>
        <w:t>’</w:t>
      </w:r>
      <w:r>
        <w:rPr>
          <w:rFonts w:ascii="Book Antiqua"/>
          <w:sz w:val="24"/>
          <w:szCs w:val="24"/>
          <w:rtl w:val="0"/>
          <w:lang w:val="it-IT"/>
        </w:rPr>
        <w:t xml:space="preserve">indagine, </w:t>
      </w:r>
      <w:r>
        <w:rPr>
          <w:rFonts w:hAnsi="Book Antiqua" w:hint="default"/>
          <w:sz w:val="24"/>
          <w:szCs w:val="24"/>
          <w:rtl w:val="0"/>
          <w:lang w:val="it-IT"/>
        </w:rPr>
        <w:t xml:space="preserve">è </w:t>
      </w:r>
      <w:r>
        <w:rPr>
          <w:rFonts w:ascii="Book Antiqua"/>
          <w:sz w:val="24"/>
          <w:szCs w:val="24"/>
          <w:rtl w:val="0"/>
          <w:lang w:val="it-IT"/>
        </w:rPr>
        <w:t>stato sentito a sommarie informazioni l</w:t>
      </w:r>
      <w:r>
        <w:rPr>
          <w:rFonts w:hAnsi="Book Antiqua" w:hint="default"/>
          <w:sz w:val="24"/>
          <w:szCs w:val="24"/>
          <w:rtl w:val="0"/>
          <w:lang w:val="it-IT"/>
        </w:rPr>
        <w:t>’</w:t>
      </w:r>
      <w:r>
        <w:rPr>
          <w:rFonts w:ascii="Book Antiqua"/>
          <w:sz w:val="24"/>
          <w:szCs w:val="24"/>
          <w:rtl w:val="0"/>
          <w:lang w:val="it-IT"/>
        </w:rPr>
        <w:t>8 giugno 2016, dopo una complessa attivit</w:t>
      </w:r>
      <w:r>
        <w:rPr>
          <w:rFonts w:hAnsi="Book Antiqua" w:hint="default"/>
          <w:sz w:val="24"/>
          <w:szCs w:val="24"/>
          <w:rtl w:val="0"/>
          <w:lang w:val="it-IT"/>
        </w:rPr>
        <w:t xml:space="preserve">à </w:t>
      </w:r>
      <w:r>
        <w:rPr>
          <w:rFonts w:ascii="Book Antiqua"/>
          <w:sz w:val="24"/>
          <w:szCs w:val="24"/>
          <w:rtl w:val="0"/>
          <w:lang w:val="it-IT"/>
        </w:rPr>
        <w:t xml:space="preserve">di individuazione del domicilio. </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Il teste ha riferito:</w:t>
      </w:r>
    </w:p>
    <w:p>
      <w:pPr>
        <w:pStyle w:val="Normal"/>
        <w:ind w:left="567" w:right="567" w:firstLine="0"/>
        <w:jc w:val="both"/>
        <w:rPr>
          <w:rFonts w:ascii="Book Antiqua" w:cs="Book Antiqua" w:hAnsi="Book Antiqua" w:eastAsia="Book Antiqua"/>
        </w:rPr>
      </w:pPr>
      <w:r>
        <w:rPr>
          <w:rFonts w:hAnsi="Book Antiqua" w:hint="default"/>
          <w:rtl w:val="0"/>
          <w:lang w:val="it-IT"/>
        </w:rPr>
        <w:t>“</w:t>
      </w:r>
      <w:r>
        <w:rPr>
          <w:rFonts w:ascii="Book Antiqua"/>
          <w:rtl w:val="0"/>
          <w:lang w:val="it-IT"/>
        </w:rPr>
        <w:t>Premetto che [</w:t>
      </w:r>
      <w:r>
        <w:rPr>
          <w:rFonts w:hAnsi="Book Antiqua" w:hint="default"/>
          <w:rtl w:val="0"/>
          <w:lang w:val="it-IT"/>
        </w:rPr>
        <w:t>…</w:t>
      </w:r>
      <w:r>
        <w:rPr>
          <w:rFonts w:ascii="Book Antiqua"/>
          <w:rtl w:val="0"/>
          <w:lang w:val="it-IT"/>
        </w:rPr>
        <w:t>] ho lavorato come agricoltore presso il fondo di Chini Umberto, sito in Borgo Montello con azienda agricola in via Monfalcone 25 [</w:t>
      </w:r>
      <w:r>
        <w:rPr>
          <w:rFonts w:hAnsi="Book Antiqua" w:hint="default"/>
          <w:rtl w:val="0"/>
          <w:lang w:val="it-IT"/>
        </w:rPr>
        <w:t>…</w:t>
      </w:r>
      <w:r>
        <w:rPr>
          <w:rFonts w:ascii="Book Antiqua"/>
          <w:rtl w:val="0"/>
          <w:lang w:val="it-IT"/>
        </w:rPr>
        <w:t>]. In quegli anni in una zona avvallata del podere, verso il canale Astura, venivano sversati rifiuti urbani, provenienti perlopi</w:t>
      </w:r>
      <w:r>
        <w:rPr>
          <w:rFonts w:hAnsi="Book Antiqua" w:hint="default"/>
          <w:rtl w:val="0"/>
          <w:lang w:val="it-IT"/>
        </w:rPr>
        <w:t xml:space="preserve">ù </w:t>
      </w:r>
      <w:r>
        <w:rPr>
          <w:rFonts w:ascii="Book Antiqua"/>
          <w:rtl w:val="0"/>
          <w:lang w:val="it-IT"/>
        </w:rPr>
        <w:t>da Anzio, Nettuno, Latina e Velletri. Quando il Chini e il Proietto hanno capito che il terreno dava pi</w:t>
      </w:r>
      <w:r>
        <w:rPr>
          <w:rFonts w:hAnsi="Book Antiqua" w:hint="default"/>
          <w:rtl w:val="0"/>
          <w:lang w:val="it-IT"/>
        </w:rPr>
        <w:t xml:space="preserve">ù </w:t>
      </w:r>
      <w:r>
        <w:rPr>
          <w:rFonts w:ascii="Book Antiqua"/>
          <w:rtl w:val="0"/>
          <w:lang w:val="it-IT"/>
        </w:rPr>
        <w:t xml:space="preserve">denaro con i rifiuti che con la vigna, negli anni </w:t>
      </w:r>
      <w:r>
        <w:rPr>
          <w:rFonts w:hAnsi="Book Antiqua" w:hint="default"/>
          <w:rtl w:val="0"/>
          <w:lang w:val="it-IT"/>
        </w:rPr>
        <w:t>‘</w:t>
      </w:r>
      <w:r>
        <w:rPr>
          <w:rFonts w:ascii="Book Antiqua"/>
          <w:rtl w:val="0"/>
          <w:lang w:val="it-IT"/>
        </w:rPr>
        <w:t>80 Proietto ha liquidato Chini acquistando il podere trasformando la zona in una discarica molto pi</w:t>
      </w:r>
      <w:r>
        <w:rPr>
          <w:rFonts w:hAnsi="Book Antiqua" w:hint="default"/>
          <w:rtl w:val="0"/>
          <w:lang w:val="it-IT"/>
        </w:rPr>
        <w:t xml:space="preserve">ù </w:t>
      </w:r>
      <w:r>
        <w:rPr>
          <w:rFonts w:ascii="Book Antiqua"/>
          <w:rtl w:val="0"/>
          <w:lang w:val="it-IT"/>
        </w:rPr>
        <w:t>grande dove conferivano molti pi</w:t>
      </w:r>
      <w:r>
        <w:rPr>
          <w:rFonts w:hAnsi="Book Antiqua" w:hint="default"/>
          <w:rtl w:val="0"/>
          <w:lang w:val="it-IT"/>
        </w:rPr>
        <w:t xml:space="preserve">ù </w:t>
      </w:r>
      <w:r>
        <w:rPr>
          <w:rFonts w:ascii="Book Antiqua"/>
          <w:rtl w:val="0"/>
          <w:lang w:val="it-IT"/>
        </w:rPr>
        <w:t>rifiuti [</w:t>
      </w:r>
      <w:r>
        <w:rPr>
          <w:rFonts w:hAnsi="Book Antiqua" w:hint="default"/>
          <w:rtl w:val="0"/>
          <w:lang w:val="it-IT"/>
        </w:rPr>
        <w:t>…</w:t>
      </w:r>
      <w:r>
        <w:rPr>
          <w:rFonts w:ascii="Book Antiqua"/>
          <w:rtl w:val="0"/>
          <w:lang w:val="it-IT"/>
        </w:rPr>
        <w:t xml:space="preserve">]. Alla fine degli anni </w:t>
      </w:r>
      <w:r>
        <w:rPr>
          <w:rFonts w:hAnsi="Book Antiqua" w:hint="default"/>
          <w:rtl w:val="0"/>
          <w:lang w:val="it-IT"/>
        </w:rPr>
        <w:t>‘</w:t>
      </w:r>
      <w:r>
        <w:rPr>
          <w:rFonts w:ascii="Book Antiqua"/>
          <w:rtl w:val="0"/>
          <w:lang w:val="it-IT"/>
        </w:rPr>
        <w:t>80 tale Maruca Biagio acquista l</w:t>
      </w:r>
      <w:r>
        <w:rPr>
          <w:rFonts w:hAnsi="Book Antiqua" w:hint="default"/>
          <w:rtl w:val="0"/>
          <w:lang w:val="it-IT"/>
        </w:rPr>
        <w:t>’</w:t>
      </w:r>
      <w:r>
        <w:rPr>
          <w:rFonts w:ascii="Book Antiqua"/>
          <w:rtl w:val="0"/>
          <w:lang w:val="it-IT"/>
        </w:rPr>
        <w:t>intera area liquidando Proietto con 12 miliardi delle vecchie lire. Io rimango a lavorare come sempre e vengo definito da Proietto uomo di fiducia</w:t>
      </w:r>
      <w:r>
        <w:rPr>
          <w:rFonts w:hAnsi="Book Antiqua" w:hint="default"/>
          <w:rtl w:val="0"/>
          <w:lang w:val="it-IT"/>
        </w:rPr>
        <w:t>”</w:t>
      </w:r>
      <w:r>
        <w:rPr>
          <w:rFonts w:ascii="Book Antiqua"/>
          <w:rtl w:val="0"/>
          <w:lang w:val="it-IT"/>
        </w:rPr>
        <w:t xml:space="preserve">; </w:t>
      </w:r>
    </w:p>
    <w:p>
      <w:pPr>
        <w:pStyle w:val="Normal"/>
        <w:ind w:left="567" w:right="567" w:firstLine="0"/>
        <w:jc w:val="both"/>
        <w:rPr>
          <w:rFonts w:ascii="Book Antiqua" w:cs="Book Antiqua" w:hAnsi="Book Antiqua" w:eastAsia="Book Antiqua"/>
        </w:rPr>
      </w:pPr>
      <w:r>
        <w:rPr>
          <w:rFonts w:hAnsi="Book Antiqua" w:hint="default"/>
          <w:rtl w:val="0"/>
          <w:lang w:val="it-IT"/>
        </w:rPr>
        <w:t>“</w:t>
      </w:r>
      <w:r>
        <w:rPr>
          <w:rFonts w:ascii="Book Antiqua"/>
          <w:rtl w:val="0"/>
          <w:lang w:val="it-IT"/>
        </w:rPr>
        <w:t>Proietto all</w:t>
      </w:r>
      <w:r>
        <w:rPr>
          <w:rFonts w:hAnsi="Book Antiqua" w:hint="default"/>
          <w:rtl w:val="0"/>
          <w:lang w:val="it-IT"/>
        </w:rPr>
        <w:t>’</w:t>
      </w:r>
      <w:r>
        <w:rPr>
          <w:rFonts w:ascii="Book Antiqua"/>
          <w:rtl w:val="0"/>
          <w:lang w:val="it-IT"/>
        </w:rPr>
        <w:t>epoca era molto amico con il senatore Calvi Maurizio. Questi veniva spesso a trovarlo e la gente diceva che grazie a questa amicizia la discarica otteneva le autorizzazioni e in cambio tutti votavano Calvi. L</w:t>
      </w:r>
      <w:r>
        <w:rPr>
          <w:rFonts w:hAnsi="Book Antiqua" w:hint="default"/>
          <w:rtl w:val="0"/>
          <w:lang w:val="it-IT"/>
        </w:rPr>
        <w:t>’</w:t>
      </w:r>
      <w:r>
        <w:rPr>
          <w:rFonts w:ascii="Book Antiqua"/>
          <w:rtl w:val="0"/>
          <w:lang w:val="it-IT"/>
        </w:rPr>
        <w:t>autista di Calvi era uno dei dipendenti della discarica, tale Fraulin Sergio. L</w:t>
      </w:r>
      <w:r>
        <w:rPr>
          <w:rFonts w:hAnsi="Book Antiqua" w:hint="default"/>
          <w:rtl w:val="0"/>
          <w:lang w:val="it-IT"/>
        </w:rPr>
        <w:t>’</w:t>
      </w:r>
      <w:r>
        <w:rPr>
          <w:rFonts w:ascii="Book Antiqua"/>
          <w:rtl w:val="0"/>
          <w:lang w:val="it-IT"/>
        </w:rPr>
        <w:t>autovettura di Calvi era intestata a Proietto e di fatto Fraulin era pagato da Proietto</w:t>
      </w:r>
      <w:r>
        <w:rPr>
          <w:rFonts w:hAnsi="Book Antiqua" w:hint="default"/>
          <w:rtl w:val="0"/>
          <w:lang w:val="it-IT"/>
        </w:rPr>
        <w:t xml:space="preserve">” </w:t>
      </w:r>
      <w:r>
        <w:rPr>
          <w:rFonts w:ascii="Book Antiqua" w:cs="Book Antiqua" w:hAnsi="Book Antiqua" w:eastAsia="Book Antiqua"/>
          <w:vertAlign w:val="superscript"/>
          <w:rtl w:val="0"/>
        </w:rPr>
        <w:footnoteReference w:id="345"/>
      </w:r>
      <w:r>
        <w:rPr>
          <w:rFonts w:ascii="Book Antiqua"/>
          <w:rtl w:val="0"/>
          <w:lang w:val="it-IT"/>
        </w:rPr>
        <w:t xml:space="preserve">; </w:t>
      </w:r>
    </w:p>
    <w:p>
      <w:pPr>
        <w:pStyle w:val="Normal"/>
        <w:ind w:left="567" w:right="567" w:firstLine="0"/>
        <w:jc w:val="both"/>
        <w:rPr>
          <w:rFonts w:ascii="Book Antiqua" w:cs="Book Antiqua" w:hAnsi="Book Antiqua" w:eastAsia="Book Antiqua"/>
        </w:rPr>
      </w:pPr>
      <w:r>
        <w:rPr>
          <w:rFonts w:hAnsi="Book Antiqua" w:hint="default"/>
          <w:rtl w:val="0"/>
          <w:lang w:val="it-IT"/>
        </w:rPr>
        <w:t>“</w:t>
      </w:r>
      <w:r>
        <w:rPr>
          <w:rFonts w:ascii="Book Antiqua"/>
          <w:rtl w:val="0"/>
          <w:lang w:val="it-IT"/>
        </w:rPr>
        <w:t xml:space="preserve">Sempre alla fine degli anni </w:t>
      </w:r>
      <w:r>
        <w:rPr>
          <w:rFonts w:hAnsi="Book Antiqua" w:hint="default"/>
          <w:rtl w:val="0"/>
          <w:lang w:val="it-IT"/>
        </w:rPr>
        <w:t>‘</w:t>
      </w:r>
      <w:r>
        <w:rPr>
          <w:rFonts w:ascii="Book Antiqua"/>
          <w:rtl w:val="0"/>
          <w:lang w:val="it-IT"/>
        </w:rPr>
        <w:t>80 ho avuto modo di conoscere Michele Coppola, personaggio molto potente che girava spesso con armi e macchine di grossa cilindrata [</w:t>
      </w:r>
      <w:r>
        <w:rPr>
          <w:rFonts w:hAnsi="Book Antiqua" w:hint="default"/>
          <w:rtl w:val="0"/>
          <w:lang w:val="it-IT"/>
        </w:rPr>
        <w:t>…</w:t>
      </w:r>
      <w:r>
        <w:rPr>
          <w:rFonts w:ascii="Book Antiqua"/>
          <w:rtl w:val="0"/>
          <w:lang w:val="it-IT"/>
        </w:rPr>
        <w:t>] Io ogni tanto andavo con lui e ricordo un particolare curioso che quando doveva entrare in casa sua tirava fuori la pistola e controllava se dentro casa vi fosse qualcuno. Io ero presente per testimoniare eventualmente l</w:t>
      </w:r>
      <w:r>
        <w:rPr>
          <w:rFonts w:hAnsi="Book Antiqua" w:hint="default"/>
          <w:rtl w:val="0"/>
          <w:lang w:val="it-IT"/>
        </w:rPr>
        <w:t>’</w:t>
      </w:r>
      <w:r>
        <w:rPr>
          <w:rFonts w:ascii="Book Antiqua"/>
          <w:rtl w:val="0"/>
          <w:lang w:val="it-IT"/>
        </w:rPr>
        <w:t xml:space="preserve">uso di legittima difesa nel caso in cui avesse sparato a qualcuno, cosa mai avvenuta fortunatamente, Una volta mi ha portato a casa sua a Casal di Principe. Ricordo che </w:t>
      </w:r>
      <w:r>
        <w:rPr>
          <w:rFonts w:hAnsi="Book Antiqua" w:hint="default"/>
          <w:rtl w:val="0"/>
          <w:lang w:val="it-IT"/>
        </w:rPr>
        <w:t xml:space="preserve">è </w:t>
      </w:r>
      <w:r>
        <w:rPr>
          <w:rFonts w:ascii="Book Antiqua"/>
          <w:rtl w:val="0"/>
          <w:lang w:val="it-IT"/>
        </w:rPr>
        <w:t xml:space="preserve">arrivato al paese, ricordo bellissime case e mi ha presentato i suoi parenti che chiamava tutti </w:t>
      </w:r>
      <w:r>
        <w:rPr>
          <w:rFonts w:hAnsi="Book Antiqua" w:hint="default"/>
          <w:rtl w:val="0"/>
          <w:lang w:val="it-IT"/>
        </w:rPr>
        <w:t>“</w:t>
      </w:r>
      <w:r>
        <w:rPr>
          <w:rFonts w:ascii="Book Antiqua"/>
          <w:rtl w:val="0"/>
          <w:lang w:val="it-IT"/>
        </w:rPr>
        <w:t>zii</w:t>
      </w:r>
      <w:r>
        <w:rPr>
          <w:rFonts w:hAnsi="Book Antiqua" w:hint="default"/>
          <w:rtl w:val="0"/>
          <w:lang w:val="it-IT"/>
        </w:rPr>
        <w:t>”</w:t>
      </w:r>
      <w:r>
        <w:rPr>
          <w:rFonts w:ascii="Book Antiqua"/>
          <w:rtl w:val="0"/>
          <w:lang w:val="it-IT"/>
        </w:rPr>
        <w:t>. Ho anche conosciuto Carmine Schiavone, che poi ho riconosciuto sui giornali quando hanno dato la notizia della sua morte. Ricordo che Schiavone vedendomi ha chiesto a Coppola chi ero io e Coppola l</w:t>
      </w:r>
      <w:r>
        <w:rPr>
          <w:rFonts w:hAnsi="Book Antiqua" w:hint="default"/>
          <w:rtl w:val="0"/>
          <w:lang w:val="it-IT"/>
        </w:rPr>
        <w:t>’</w:t>
      </w:r>
      <w:r>
        <w:rPr>
          <w:rFonts w:ascii="Book Antiqua"/>
          <w:rtl w:val="0"/>
          <w:lang w:val="it-IT"/>
        </w:rPr>
        <w:t>ha tranquillizzato dicendo che ero un amico. Abbiamo pranzato in famiglia e poi siamo tornati con la sua Mercedes</w:t>
      </w:r>
      <w:r>
        <w:rPr>
          <w:rFonts w:hAnsi="Book Antiqua" w:hint="default"/>
          <w:rtl w:val="0"/>
          <w:lang w:val="it-IT"/>
        </w:rPr>
        <w:t>”</w:t>
      </w:r>
      <w:r>
        <w:rPr>
          <w:rFonts w:ascii="Book Antiqua"/>
          <w:rtl w:val="0"/>
          <w:lang w:val="it-IT"/>
        </w:rPr>
        <w:t>;</w:t>
      </w:r>
    </w:p>
    <w:p>
      <w:pPr>
        <w:pStyle w:val="Normal"/>
        <w:ind w:left="567" w:right="567" w:firstLine="0"/>
        <w:jc w:val="both"/>
        <w:rPr>
          <w:rFonts w:ascii="Book Antiqua" w:cs="Book Antiqua" w:hAnsi="Book Antiqua" w:eastAsia="Book Antiqua"/>
        </w:rPr>
      </w:pPr>
      <w:r>
        <w:rPr>
          <w:rFonts w:hAnsi="Book Antiqua" w:hint="default"/>
          <w:rtl w:val="0"/>
          <w:lang w:val="it-IT"/>
        </w:rPr>
        <w:t>“</w:t>
      </w:r>
      <w:r>
        <w:rPr>
          <w:rFonts w:ascii="Book Antiqua"/>
          <w:rtl w:val="0"/>
          <w:lang w:val="it-IT"/>
        </w:rPr>
        <w:t>Ricordo che il maresciallo Menchella andava a controllare a casa sua [di Michele Coppola] le armi che deteneva</w:t>
      </w:r>
      <w:r>
        <w:rPr>
          <w:rFonts w:hAnsi="Book Antiqua" w:hint="default"/>
          <w:rtl w:val="0"/>
          <w:lang w:val="it-IT"/>
        </w:rPr>
        <w:t>”</w:t>
      </w:r>
      <w:r>
        <w:rPr>
          <w:rFonts w:ascii="Book Antiqua"/>
          <w:rtl w:val="0"/>
          <w:lang w:val="it-IT"/>
        </w:rPr>
        <w:t>.</w:t>
      </w:r>
    </w:p>
    <w:p>
      <w:pPr>
        <w:pStyle w:val="Normal"/>
        <w:ind w:left="567" w:right="567" w:firstLine="0"/>
        <w:jc w:val="both"/>
        <w:rPr>
          <w:rFonts w:ascii="Book Antiqua" w:cs="Book Antiqua" w:hAnsi="Book Antiqua" w:eastAsia="Book Antiqua"/>
        </w:rPr>
      </w:pPr>
      <w:r>
        <w:rPr>
          <w:rFonts w:hAnsi="Book Antiqua" w:hint="default"/>
          <w:rtl w:val="0"/>
          <w:lang w:val="it-IT"/>
        </w:rPr>
        <w:t>“</w:t>
      </w:r>
      <w:r>
        <w:rPr>
          <w:rFonts w:ascii="Book Antiqua"/>
          <w:rtl w:val="0"/>
          <w:lang w:val="it-IT"/>
        </w:rPr>
        <w:t>I viaggi che facevamo a Treviso erano per andare a conferire i fanghi, andavamo fino a Treviso perch</w:t>
      </w:r>
      <w:r>
        <w:rPr>
          <w:rFonts w:hAnsi="Book Antiqua" w:hint="default"/>
          <w:rtl w:val="0"/>
          <w:lang w:val="it-IT"/>
        </w:rPr>
        <w:t xml:space="preserve">é </w:t>
      </w:r>
      <w:r>
        <w:rPr>
          <w:rFonts w:ascii="Book Antiqua"/>
          <w:rtl w:val="0"/>
          <w:lang w:val="it-IT"/>
        </w:rPr>
        <w:t>pagavamo meno</w:t>
      </w:r>
      <w:r>
        <w:rPr>
          <w:rFonts w:hAnsi="Book Antiqua" w:hint="default"/>
          <w:rtl w:val="0"/>
          <w:lang w:val="it-IT"/>
        </w:rPr>
        <w:t>”</w:t>
      </w:r>
      <w:r>
        <w:rPr>
          <w:rFonts w:ascii="Book Antiqua"/>
          <w:rtl w:val="0"/>
          <w:lang w:val="it-IT"/>
        </w:rPr>
        <w:t>;</w:t>
      </w:r>
    </w:p>
    <w:p>
      <w:pPr>
        <w:pStyle w:val="Normal"/>
        <w:ind w:left="567" w:right="567" w:firstLine="0"/>
        <w:jc w:val="both"/>
        <w:rPr>
          <w:rFonts w:ascii="Book Antiqua" w:cs="Book Antiqua" w:hAnsi="Book Antiqua" w:eastAsia="Book Antiqua"/>
        </w:rPr>
      </w:pPr>
      <w:r>
        <w:rPr>
          <w:rFonts w:hAnsi="Book Antiqua" w:hint="default"/>
          <w:rtl w:val="0"/>
          <w:lang w:val="it-IT"/>
        </w:rPr>
        <w:t>“</w:t>
      </w:r>
      <w:r>
        <w:rPr>
          <w:rFonts w:ascii="Book Antiqua"/>
          <w:rtl w:val="0"/>
          <w:lang w:val="it-IT"/>
        </w:rPr>
        <w:t>I viaggi a Piombino, invece, erano legati al fatto che andavamo a ritirare i rifiuti urbani sull</w:t>
      </w:r>
      <w:r>
        <w:rPr>
          <w:rFonts w:hAnsi="Book Antiqua" w:hint="default"/>
          <w:rtl w:val="0"/>
          <w:lang w:val="it-IT"/>
        </w:rPr>
        <w:t>’</w:t>
      </w:r>
      <w:r>
        <w:rPr>
          <w:rFonts w:ascii="Book Antiqua"/>
          <w:rtl w:val="0"/>
          <w:lang w:val="it-IT"/>
        </w:rPr>
        <w:t>isola d</w:t>
      </w:r>
      <w:r>
        <w:rPr>
          <w:rFonts w:hAnsi="Book Antiqua" w:hint="default"/>
          <w:rtl w:val="0"/>
          <w:lang w:val="it-IT"/>
        </w:rPr>
        <w:t>’</w:t>
      </w:r>
      <w:r>
        <w:rPr>
          <w:rFonts w:ascii="Book Antiqua"/>
          <w:rtl w:val="0"/>
          <w:lang w:val="it-IT"/>
        </w:rPr>
        <w:t>Elba. Passavamo da Frosinone, ci cambiavano la bolla e poi portavamo i rifiuti a Viterbo</w:t>
      </w:r>
      <w:r>
        <w:rPr>
          <w:rFonts w:hAnsi="Book Antiqua" w:hint="default"/>
          <w:rtl w:val="0"/>
          <w:lang w:val="it-IT"/>
        </w:rPr>
        <w:t>”</w:t>
      </w:r>
      <w:r>
        <w:rPr>
          <w:rFonts w:ascii="Book Antiqua"/>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 xml:space="preserve">Rispetto ad altri punti riferiti </w:t>
      </w:r>
      <w:r>
        <w:rPr>
          <w:rFonts w:ascii="Book Antiqua"/>
          <w:i w:val="1"/>
          <w:iCs w:val="1"/>
          <w:rtl w:val="0"/>
          <w:lang w:val="it-IT"/>
        </w:rPr>
        <w:t>de relato</w:t>
      </w:r>
      <w:r>
        <w:rPr>
          <w:rFonts w:ascii="Book Antiqua"/>
          <w:rtl w:val="0"/>
          <w:lang w:val="it-IT"/>
        </w:rPr>
        <w:t xml:space="preserve"> dal teste A, il teste B non ha confermato:</w:t>
      </w:r>
    </w:p>
    <w:p>
      <w:pPr>
        <w:pStyle w:val="Normal"/>
        <w:ind w:left="567" w:right="567" w:firstLine="0"/>
        <w:jc w:val="both"/>
        <w:rPr>
          <w:rFonts w:ascii="Book Antiqua" w:cs="Book Antiqua" w:hAnsi="Book Antiqua" w:eastAsia="Book Antiqua"/>
        </w:rPr>
      </w:pPr>
      <w:r>
        <w:rPr>
          <w:rFonts w:hAnsi="Book Antiqua" w:hint="default"/>
          <w:rtl w:val="0"/>
          <w:lang w:val="it-IT"/>
        </w:rPr>
        <w:t>“</w:t>
      </w:r>
      <w:r>
        <w:rPr>
          <w:rFonts w:ascii="Book Antiqua"/>
          <w:rtl w:val="0"/>
          <w:lang w:val="it-IT"/>
        </w:rPr>
        <w:t>non so di cene elettorali organizzate da Coppola Michele</w:t>
      </w:r>
      <w:r>
        <w:rPr>
          <w:rFonts w:hAnsi="Book Antiqua" w:hint="default"/>
          <w:rtl w:val="0"/>
          <w:lang w:val="it-IT"/>
        </w:rPr>
        <w:t>”</w:t>
      </w:r>
      <w:r>
        <w:rPr>
          <w:rFonts w:ascii="Book Antiqua"/>
          <w:rtl w:val="0"/>
          <w:lang w:val="it-IT"/>
        </w:rPr>
        <w:t>;</w:t>
      </w:r>
    </w:p>
    <w:p>
      <w:pPr>
        <w:pStyle w:val="Normal"/>
        <w:ind w:left="567" w:right="567" w:firstLine="0"/>
        <w:jc w:val="both"/>
        <w:rPr>
          <w:rFonts w:ascii="Book Antiqua" w:cs="Book Antiqua" w:hAnsi="Book Antiqua" w:eastAsia="Book Antiqua"/>
        </w:rPr>
      </w:pPr>
      <w:r>
        <w:rPr>
          <w:rFonts w:hAnsi="Book Antiqua" w:hint="default"/>
          <w:rtl w:val="0"/>
          <w:lang w:val="it-IT"/>
        </w:rPr>
        <w:t>“</w:t>
      </w:r>
      <w:r>
        <w:rPr>
          <w:rFonts w:ascii="Book Antiqua"/>
          <w:rtl w:val="0"/>
          <w:lang w:val="it-IT"/>
        </w:rPr>
        <w:t>della vicenda di don Cesare Boschin non so nulla</w:t>
      </w:r>
      <w:r>
        <w:rPr>
          <w:rFonts w:hAnsi="Book Antiqua" w:hint="default"/>
          <w:rtl w:val="0"/>
          <w:lang w:val="it-IT"/>
        </w:rPr>
        <w:t>”</w:t>
      </w:r>
      <w:r>
        <w:rPr>
          <w:rFonts w:ascii="Book Antiqua"/>
          <w:rtl w:val="0"/>
          <w:lang w:val="it-IT"/>
        </w:rPr>
        <w:t>;</w:t>
      </w:r>
    </w:p>
    <w:p>
      <w:pPr>
        <w:pStyle w:val="Normal"/>
        <w:ind w:left="567" w:right="567" w:firstLine="0"/>
        <w:jc w:val="both"/>
        <w:rPr>
          <w:rFonts w:ascii="Book Antiqua" w:cs="Book Antiqua" w:hAnsi="Book Antiqua" w:eastAsia="Book Antiqua"/>
        </w:rPr>
      </w:pPr>
      <w:r>
        <w:rPr>
          <w:rFonts w:hAnsi="Book Antiqua" w:hint="default"/>
          <w:rtl w:val="0"/>
          <w:lang w:val="it-IT"/>
        </w:rPr>
        <w:t>“</w:t>
      </w:r>
      <w:r>
        <w:rPr>
          <w:rFonts w:ascii="Book Antiqua"/>
          <w:rtl w:val="0"/>
          <w:lang w:val="it-IT"/>
        </w:rPr>
        <w:t>della costruzione della casa del maresciallo Menchella e dei favori fatti con viaggi di materiali diretti alla sua propriet</w:t>
      </w:r>
      <w:r>
        <w:rPr>
          <w:rFonts w:hAnsi="Book Antiqua" w:hint="default"/>
          <w:rtl w:val="0"/>
          <w:lang w:val="it-IT"/>
        </w:rPr>
        <w:t xml:space="preserve">à </w:t>
      </w:r>
      <w:r>
        <w:rPr>
          <w:rFonts w:ascii="Book Antiqua"/>
          <w:rtl w:val="0"/>
          <w:lang w:val="it-IT"/>
        </w:rPr>
        <w:t>non so dire nulla</w:t>
      </w:r>
      <w:r>
        <w:rPr>
          <w:rFonts w:hAnsi="Book Antiqua" w:hint="default"/>
          <w:rtl w:val="0"/>
          <w:lang w:val="it-IT"/>
        </w:rPr>
        <w:t>”</w:t>
      </w:r>
      <w:r>
        <w:rPr>
          <w:rFonts w:ascii="Book Antiqua"/>
          <w:rtl w:val="0"/>
          <w:lang w:val="it-IT"/>
        </w:rPr>
        <w:t>;</w:t>
      </w:r>
    </w:p>
    <w:p>
      <w:pPr>
        <w:pStyle w:val="Normal"/>
        <w:ind w:left="567" w:right="567" w:firstLine="0"/>
        <w:jc w:val="both"/>
        <w:rPr>
          <w:rFonts w:ascii="Book Antiqua" w:cs="Book Antiqua" w:hAnsi="Book Antiqua" w:eastAsia="Book Antiqua"/>
        </w:rPr>
      </w:pPr>
      <w:r>
        <w:rPr>
          <w:rFonts w:hAnsi="Book Antiqua" w:hint="default"/>
          <w:rtl w:val="0"/>
          <w:lang w:val="it-IT"/>
        </w:rPr>
        <w:t>“</w:t>
      </w:r>
      <w:r>
        <w:rPr>
          <w:rFonts w:ascii="Book Antiqua"/>
          <w:rtl w:val="0"/>
          <w:lang w:val="it-IT"/>
        </w:rPr>
        <w:t>non so di fusti interrati nella discarica</w:t>
      </w:r>
      <w:r>
        <w:rPr>
          <w:rFonts w:hAnsi="Book Antiqua" w:hint="default"/>
          <w:rtl w:val="0"/>
          <w:lang w:val="it-IT"/>
        </w:rPr>
        <w:t>”</w:t>
      </w:r>
      <w:r>
        <w:rPr>
          <w:rFonts w:ascii="Book Antiqua"/>
          <w:rtl w:val="0"/>
          <w:lang w:val="it-IT"/>
        </w:rPr>
        <w:t>;</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 xml:space="preserve">Anche per il teste B non risultano precedenti penali o querele per i reati di diffamazione o calunnia. Va evidenziato che B si </w:t>
      </w:r>
      <w:r>
        <w:rPr>
          <w:rFonts w:hAnsi="Book Antiqua" w:hint="default"/>
          <w:sz w:val="24"/>
          <w:szCs w:val="24"/>
          <w:rtl w:val="0"/>
          <w:lang w:val="it-IT"/>
        </w:rPr>
        <w:t xml:space="preserve">è </w:t>
      </w:r>
      <w:r>
        <w:rPr>
          <w:rFonts w:ascii="Book Antiqua"/>
          <w:sz w:val="24"/>
          <w:szCs w:val="24"/>
          <w:rtl w:val="0"/>
          <w:lang w:val="it-IT"/>
        </w:rPr>
        <w:t>rifiutato di firmare il verbale di sommarie informazioni, mostrando alla fine dell</w:t>
      </w:r>
      <w:r>
        <w:rPr>
          <w:rFonts w:hAnsi="Book Antiqua" w:hint="default"/>
          <w:sz w:val="24"/>
          <w:szCs w:val="24"/>
          <w:rtl w:val="0"/>
          <w:lang w:val="it-IT"/>
        </w:rPr>
        <w:t>’</w:t>
      </w:r>
      <w:r>
        <w:rPr>
          <w:rFonts w:ascii="Book Antiqua"/>
          <w:sz w:val="24"/>
          <w:szCs w:val="24"/>
          <w:rtl w:val="0"/>
          <w:lang w:val="it-IT"/>
        </w:rPr>
        <w:t>interrogatorio un evidente stato di agitazione e paura.</w:t>
      </w:r>
    </w:p>
    <w:p>
      <w:pPr>
        <w:pStyle w:val="Corpo A"/>
        <w:ind w:left="567" w:right="567" w:firstLine="0"/>
        <w:jc w:val="both"/>
        <w:rPr>
          <w:rFonts w:ascii="Book Antiqua" w:cs="Book Antiqua" w:hAnsi="Book Antiqua" w:eastAsia="Book Antiqua"/>
          <w:sz w:val="24"/>
          <w:szCs w:val="24"/>
          <w:lang w:val="it-IT"/>
        </w:rPr>
      </w:pPr>
    </w:p>
    <w:p>
      <w:pPr>
        <w:pStyle w:val="Titolo 31"/>
        <w:spacing w:before="0" w:after="0"/>
        <w:ind w:left="567" w:right="567" w:firstLine="0"/>
        <w:jc w:val="both"/>
        <w:rPr>
          <w:rFonts w:ascii="Book Antiqua" w:cs="Book Antiqua" w:hAnsi="Book Antiqua" w:eastAsia="Book Antiqua"/>
          <w:i w:val="1"/>
          <w:iCs w:val="1"/>
          <w:color w:val="000000"/>
          <w:sz w:val="24"/>
          <w:szCs w:val="24"/>
          <w:u w:color="000000"/>
        </w:rPr>
      </w:pPr>
      <w:r>
        <w:rPr>
          <w:rFonts w:ascii="Book Antiqua"/>
          <w:i w:val="1"/>
          <w:iCs w:val="1"/>
          <w:color w:val="000000"/>
          <w:sz w:val="24"/>
          <w:szCs w:val="24"/>
          <w:u w:color="000000"/>
          <w:rtl w:val="0"/>
          <w:lang w:val="it-IT"/>
        </w:rPr>
        <w:t xml:space="preserve">Il teste C </w:t>
      </w:r>
      <w:r>
        <w:rPr>
          <w:rFonts w:ascii="Book Antiqua" w:cs="Book Antiqua" w:hAnsi="Book Antiqua" w:eastAsia="Book Antiqua"/>
          <w:i w:val="1"/>
          <w:iCs w:val="1"/>
          <w:color w:val="000000"/>
          <w:sz w:val="24"/>
          <w:szCs w:val="24"/>
          <w:u w:color="000000"/>
          <w:vertAlign w:val="superscript"/>
          <w:rtl w:val="0"/>
        </w:rPr>
        <w:footnoteReference w:id="346"/>
      </w:r>
    </w:p>
    <w:p>
      <w:pPr>
        <w:pStyle w:val="Titolo 31"/>
        <w:spacing w:before="0" w:after="0"/>
        <w:ind w:left="567" w:right="567" w:firstLine="0"/>
        <w:jc w:val="both"/>
        <w:rPr>
          <w:rFonts w:ascii="Book Antiqua" w:cs="Book Antiqua" w:hAnsi="Book Antiqua" w:eastAsia="Book Antiqua"/>
          <w:i w:val="1"/>
          <w:iCs w:val="1"/>
          <w:color w:val="000000"/>
          <w:sz w:val="24"/>
          <w:szCs w:val="24"/>
          <w:u w:color="000000"/>
        </w:rPr>
      </w:pP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 xml:space="preserve">Il teste </w:t>
      </w:r>
      <w:r>
        <w:rPr>
          <w:rFonts w:hAnsi="Book Antiqua" w:hint="default"/>
          <w:sz w:val="24"/>
          <w:szCs w:val="24"/>
          <w:rtl w:val="0"/>
          <w:lang w:val="it-IT"/>
        </w:rPr>
        <w:t>“</w:t>
      </w:r>
      <w:r>
        <w:rPr>
          <w:rFonts w:ascii="Book Antiqua"/>
          <w:sz w:val="24"/>
          <w:szCs w:val="24"/>
          <w:rtl w:val="0"/>
          <w:lang w:val="it-IT"/>
        </w:rPr>
        <w:t>C</w:t>
      </w:r>
      <w:r>
        <w:rPr>
          <w:rFonts w:hAnsi="Book Antiqua" w:hint="default"/>
          <w:sz w:val="24"/>
          <w:szCs w:val="24"/>
          <w:rtl w:val="0"/>
          <w:lang w:val="it-IT"/>
        </w:rPr>
        <w:t xml:space="preserve">” è </w:t>
      </w:r>
      <w:r>
        <w:rPr>
          <w:rFonts w:ascii="Book Antiqua"/>
          <w:sz w:val="24"/>
          <w:szCs w:val="24"/>
          <w:rtl w:val="0"/>
          <w:lang w:val="it-IT"/>
        </w:rPr>
        <w:t xml:space="preserve">stato ascoltato a sommarie informazioni il 12 luglio 2016. Era stato indicato dal teste </w:t>
      </w:r>
      <w:r>
        <w:rPr>
          <w:rFonts w:hAnsi="Book Antiqua" w:hint="default"/>
          <w:sz w:val="24"/>
          <w:szCs w:val="24"/>
          <w:rtl w:val="0"/>
          <w:lang w:val="it-IT"/>
        </w:rPr>
        <w:t>“</w:t>
      </w:r>
      <w:r>
        <w:rPr>
          <w:rFonts w:ascii="Book Antiqua"/>
          <w:sz w:val="24"/>
          <w:szCs w:val="24"/>
          <w:rtl w:val="0"/>
          <w:lang w:val="it-IT"/>
        </w:rPr>
        <w:t>A</w:t>
      </w:r>
      <w:r>
        <w:rPr>
          <w:rFonts w:hAnsi="Book Antiqua" w:hint="default"/>
          <w:sz w:val="24"/>
          <w:szCs w:val="24"/>
          <w:rtl w:val="0"/>
          <w:lang w:val="it-IT"/>
        </w:rPr>
        <w:t xml:space="preserve">” </w:t>
      </w:r>
      <w:r>
        <w:rPr>
          <w:rFonts w:ascii="Book Antiqua"/>
          <w:sz w:val="24"/>
          <w:szCs w:val="24"/>
          <w:rtl w:val="0"/>
          <w:lang w:val="it-IT"/>
        </w:rPr>
        <w:t>come persona informata rispetto a interramenti di fusti con rifiuti speciali, anche pericolosi, nell</w:t>
      </w:r>
      <w:r>
        <w:rPr>
          <w:rFonts w:hAnsi="Book Antiqua" w:hint="default"/>
          <w:sz w:val="24"/>
          <w:szCs w:val="24"/>
          <w:rtl w:val="0"/>
          <w:lang w:val="it-IT"/>
        </w:rPr>
        <w:t>’</w:t>
      </w:r>
      <w:r>
        <w:rPr>
          <w:rFonts w:ascii="Book Antiqua"/>
          <w:sz w:val="24"/>
          <w:szCs w:val="24"/>
          <w:rtl w:val="0"/>
          <w:lang w:val="it-IT"/>
        </w:rPr>
        <w:t xml:space="preserve">area della discarica di Borgo Montello. </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Ha riferito:</w:t>
      </w:r>
    </w:p>
    <w:p>
      <w:pPr>
        <w:pStyle w:val="Normal"/>
        <w:ind w:left="567" w:right="567" w:firstLine="0"/>
        <w:jc w:val="both"/>
        <w:rPr>
          <w:rFonts w:ascii="Book Antiqua" w:cs="Book Antiqua" w:hAnsi="Book Antiqua" w:eastAsia="Book Antiqua"/>
        </w:rPr>
      </w:pPr>
      <w:r>
        <w:rPr>
          <w:rFonts w:ascii="Book Antiqua"/>
          <w:rtl w:val="0"/>
          <w:lang w:val="it-IT"/>
        </w:rPr>
        <w:t>di conoscere Andrea Proietto (gi</w:t>
      </w:r>
      <w:r>
        <w:rPr>
          <w:rFonts w:hAnsi="Book Antiqua" w:hint="default"/>
          <w:rtl w:val="0"/>
          <w:lang w:val="it-IT"/>
        </w:rPr>
        <w:t xml:space="preserve">à </w:t>
      </w:r>
      <w:r>
        <w:rPr>
          <w:rFonts w:ascii="Book Antiqua"/>
          <w:rtl w:val="0"/>
          <w:lang w:val="it-IT"/>
        </w:rPr>
        <w:t xml:space="preserve">gestore della discarica) </w:t>
      </w:r>
      <w:r>
        <w:rPr>
          <w:rFonts w:hAnsi="Book Antiqua" w:hint="default"/>
          <w:rtl w:val="0"/>
          <w:lang w:val="it-IT"/>
        </w:rPr>
        <w:t>“</w:t>
      </w:r>
      <w:r>
        <w:rPr>
          <w:rFonts w:ascii="Book Antiqua"/>
          <w:rtl w:val="0"/>
          <w:lang w:val="it-IT"/>
        </w:rPr>
        <w:t>da sempre</w:t>
      </w:r>
      <w:r>
        <w:rPr>
          <w:rFonts w:hAnsi="Book Antiqua" w:hint="default"/>
          <w:rtl w:val="0"/>
          <w:lang w:val="it-IT"/>
        </w:rPr>
        <w:t>”</w:t>
      </w:r>
      <w:r>
        <w:rPr>
          <w:rFonts w:ascii="Book Antiqua"/>
          <w:rtl w:val="0"/>
          <w:lang w:val="it-IT"/>
        </w:rPr>
        <w:t>; inizi</w:t>
      </w:r>
      <w:r>
        <w:rPr>
          <w:rFonts w:hAnsi="Book Antiqua" w:hint="default"/>
          <w:rtl w:val="0"/>
          <w:lang w:val="it-IT"/>
        </w:rPr>
        <w:t xml:space="preserve">ò </w:t>
      </w:r>
      <w:r>
        <w:rPr>
          <w:rFonts w:ascii="Book Antiqua"/>
          <w:rtl w:val="0"/>
          <w:lang w:val="it-IT"/>
        </w:rPr>
        <w:t>a lavorare per questo imprenditore all</w:t>
      </w:r>
      <w:r>
        <w:rPr>
          <w:rFonts w:hAnsi="Book Antiqua" w:hint="default"/>
          <w:rtl w:val="0"/>
          <w:lang w:val="it-IT"/>
        </w:rPr>
        <w:t>’</w:t>
      </w:r>
      <w:r>
        <w:rPr>
          <w:rFonts w:ascii="Book Antiqua"/>
          <w:rtl w:val="0"/>
          <w:lang w:val="it-IT"/>
        </w:rPr>
        <w:t>et</w:t>
      </w:r>
      <w:r>
        <w:rPr>
          <w:rFonts w:hAnsi="Book Antiqua" w:hint="default"/>
          <w:rtl w:val="0"/>
          <w:lang w:val="it-IT"/>
        </w:rPr>
        <w:t xml:space="preserve">à </w:t>
      </w:r>
      <w:r>
        <w:rPr>
          <w:rFonts w:ascii="Book Antiqua"/>
          <w:rtl w:val="0"/>
          <w:lang w:val="it-IT"/>
        </w:rPr>
        <w:t>di 23, 24 anni, occupandosi come carrozziere dei mezzi della societ</w:t>
      </w:r>
      <w:r>
        <w:rPr>
          <w:rFonts w:hAnsi="Book Antiqua" w:hint="default"/>
          <w:rtl w:val="0"/>
          <w:lang w:val="it-IT"/>
        </w:rPr>
        <w:t xml:space="preserve">à </w:t>
      </w:r>
      <w:r>
        <w:rPr>
          <w:rFonts w:ascii="Book Antiqua"/>
          <w:rtl w:val="0"/>
          <w:lang w:val="it-IT"/>
        </w:rPr>
        <w:t xml:space="preserve">Global. Riferisce di essere stato assunto </w:t>
      </w:r>
      <w:r>
        <w:rPr>
          <w:rFonts w:hAnsi="Book Antiqua" w:hint="default"/>
          <w:rtl w:val="0"/>
          <w:lang w:val="it-IT"/>
        </w:rPr>
        <w:t>“</w:t>
      </w:r>
      <w:r>
        <w:rPr>
          <w:rFonts w:ascii="Book Antiqua"/>
          <w:rtl w:val="0"/>
          <w:lang w:val="it-IT"/>
        </w:rPr>
        <w:t>in epoca elettorale</w:t>
      </w:r>
      <w:r>
        <w:rPr>
          <w:rFonts w:hAnsi="Book Antiqua" w:hint="default"/>
          <w:rtl w:val="0"/>
          <w:lang w:val="it-IT"/>
        </w:rPr>
        <w:t xml:space="preserve">” </w:t>
      </w:r>
      <w:r>
        <w:rPr>
          <w:rFonts w:ascii="Book Antiqua"/>
          <w:rtl w:val="0"/>
          <w:lang w:val="it-IT"/>
        </w:rPr>
        <w:t>e che gli venne chiesto il voto a favore del partito di riferimento del Proietto (non indica il nome della lista);</w:t>
      </w:r>
    </w:p>
    <w:p>
      <w:pPr>
        <w:pStyle w:val="Normal"/>
        <w:ind w:left="567" w:right="567" w:firstLine="0"/>
        <w:jc w:val="both"/>
        <w:rPr>
          <w:rFonts w:ascii="Book Antiqua" w:cs="Book Antiqua" w:hAnsi="Book Antiqua" w:eastAsia="Book Antiqua"/>
        </w:rPr>
      </w:pPr>
      <w:r>
        <w:rPr>
          <w:rFonts w:ascii="Book Antiqua"/>
          <w:rtl w:val="0"/>
          <w:lang w:val="it-IT"/>
        </w:rPr>
        <w:t xml:space="preserve">conosceva molto bene i custodi della discarica, tra i quali il teste </w:t>
      </w:r>
      <w:r>
        <w:rPr>
          <w:rFonts w:hAnsi="Book Antiqua" w:hint="default"/>
          <w:rtl w:val="0"/>
          <w:lang w:val="it-IT"/>
        </w:rPr>
        <w:t>“</w:t>
      </w:r>
      <w:r>
        <w:rPr>
          <w:rFonts w:ascii="Book Antiqua"/>
          <w:rtl w:val="0"/>
          <w:lang w:val="it-IT"/>
        </w:rPr>
        <w:t>B</w:t>
      </w:r>
      <w:r>
        <w:rPr>
          <w:rFonts w:hAnsi="Book Antiqua" w:hint="default"/>
          <w:rtl w:val="0"/>
          <w:lang w:val="it-IT"/>
        </w:rPr>
        <w:t>”</w:t>
      </w:r>
      <w:r>
        <w:rPr>
          <w:rFonts w:ascii="Book Antiqua"/>
          <w:rtl w:val="0"/>
          <w:lang w:val="it-IT"/>
        </w:rPr>
        <w:t>, che aveva anche la responsabilit</w:t>
      </w:r>
      <w:r>
        <w:rPr>
          <w:rFonts w:hAnsi="Book Antiqua" w:hint="default"/>
          <w:rtl w:val="0"/>
          <w:lang w:val="it-IT"/>
        </w:rPr>
        <w:t xml:space="preserve">à </w:t>
      </w:r>
      <w:r>
        <w:rPr>
          <w:rFonts w:ascii="Book Antiqua"/>
          <w:rtl w:val="0"/>
          <w:lang w:val="it-IT"/>
        </w:rPr>
        <w:t>di movimentare la terra all</w:t>
      </w:r>
      <w:r>
        <w:rPr>
          <w:rFonts w:hAnsi="Book Antiqua" w:hint="default"/>
          <w:rtl w:val="0"/>
          <w:lang w:val="it-IT"/>
        </w:rPr>
        <w:t>’</w:t>
      </w:r>
      <w:r>
        <w:rPr>
          <w:rFonts w:ascii="Book Antiqua"/>
          <w:rtl w:val="0"/>
          <w:lang w:val="it-IT"/>
        </w:rPr>
        <w:t>interno dell</w:t>
      </w:r>
      <w:r>
        <w:rPr>
          <w:rFonts w:hAnsi="Book Antiqua" w:hint="default"/>
          <w:rtl w:val="0"/>
          <w:lang w:val="it-IT"/>
        </w:rPr>
        <w:t>’</w:t>
      </w:r>
      <w:r>
        <w:rPr>
          <w:rFonts w:ascii="Book Antiqua"/>
          <w:rtl w:val="0"/>
          <w:lang w:val="it-IT"/>
        </w:rPr>
        <w:t>invaso;</w:t>
      </w:r>
    </w:p>
    <w:p>
      <w:pPr>
        <w:pStyle w:val="Normal"/>
        <w:ind w:left="567" w:right="567" w:firstLine="0"/>
        <w:jc w:val="both"/>
        <w:rPr>
          <w:rFonts w:ascii="Book Antiqua" w:cs="Book Antiqua" w:hAnsi="Book Antiqua" w:eastAsia="Book Antiqua"/>
        </w:rPr>
      </w:pPr>
      <w:r>
        <w:rPr>
          <w:rFonts w:ascii="Book Antiqua"/>
          <w:rtl w:val="0"/>
          <w:lang w:val="it-IT"/>
        </w:rPr>
        <w:t xml:space="preserve">quando Proietto ha venduto la gestione a Maruca, il teste </w:t>
      </w:r>
      <w:r>
        <w:rPr>
          <w:rFonts w:hAnsi="Book Antiqua" w:hint="default"/>
          <w:rtl w:val="0"/>
          <w:lang w:val="it-IT"/>
        </w:rPr>
        <w:t>“</w:t>
      </w:r>
      <w:r>
        <w:rPr>
          <w:rFonts w:ascii="Book Antiqua"/>
          <w:rtl w:val="0"/>
          <w:lang w:val="it-IT"/>
        </w:rPr>
        <w:t>C</w:t>
      </w:r>
      <w:r>
        <w:rPr>
          <w:rFonts w:hAnsi="Book Antiqua" w:hint="default"/>
          <w:rtl w:val="0"/>
          <w:lang w:val="it-IT"/>
        </w:rPr>
        <w:t xml:space="preserve">” </w:t>
      </w:r>
      <w:r>
        <w:rPr>
          <w:rFonts w:ascii="Book Antiqua"/>
          <w:rtl w:val="0"/>
          <w:lang w:val="it-IT"/>
        </w:rPr>
        <w:t>ha proseguito il suo rapporto di lavoro con la societ</w:t>
      </w:r>
      <w:r>
        <w:rPr>
          <w:rFonts w:hAnsi="Book Antiqua" w:hint="default"/>
          <w:rtl w:val="0"/>
          <w:lang w:val="it-IT"/>
        </w:rPr>
        <w:t>à “</w:t>
      </w:r>
      <w:r>
        <w:rPr>
          <w:rFonts w:ascii="Book Antiqua"/>
          <w:rtl w:val="0"/>
          <w:lang w:val="it-IT"/>
        </w:rPr>
        <w:t>Global service</w:t>
      </w:r>
      <w:r>
        <w:rPr>
          <w:rFonts w:hAnsi="Book Antiqua" w:hint="default"/>
          <w:rtl w:val="0"/>
          <w:lang w:val="it-IT"/>
        </w:rPr>
        <w:t>”</w:t>
      </w:r>
      <w:r>
        <w:rPr>
          <w:rFonts w:ascii="Book Antiqua"/>
          <w:rtl w:val="0"/>
          <w:lang w:val="it-IT"/>
        </w:rPr>
        <w:t>, insieme ad altri dipendenti. Nel 1995 torna a lavorare per la famiglia Proietto, in localit</w:t>
      </w:r>
      <w:r>
        <w:rPr>
          <w:rFonts w:hAnsi="Book Antiqua" w:hint="default"/>
          <w:rtl w:val="0"/>
          <w:lang w:val="it-IT"/>
        </w:rPr>
        <w:t>à “</w:t>
      </w:r>
      <w:r>
        <w:rPr>
          <w:rFonts w:ascii="Book Antiqua"/>
          <w:rtl w:val="0"/>
          <w:lang w:val="it-IT"/>
        </w:rPr>
        <w:t>Tre cancelli</w:t>
      </w:r>
      <w:r>
        <w:rPr>
          <w:rFonts w:hAnsi="Book Antiqua" w:hint="default"/>
          <w:rtl w:val="0"/>
          <w:lang w:val="it-IT"/>
        </w:rPr>
        <w:t xml:space="preserve">” </w:t>
      </w:r>
      <w:r>
        <w:rPr>
          <w:rFonts w:ascii="Book Antiqua"/>
          <w:rtl w:val="0"/>
          <w:lang w:val="it-IT"/>
        </w:rPr>
        <w:t>a Nettuno;</w:t>
      </w:r>
    </w:p>
    <w:p>
      <w:pPr>
        <w:pStyle w:val="Normal"/>
        <w:ind w:left="567" w:right="567" w:firstLine="0"/>
        <w:jc w:val="both"/>
        <w:rPr>
          <w:rFonts w:ascii="Book Antiqua" w:cs="Book Antiqua" w:hAnsi="Book Antiqua" w:eastAsia="Book Antiqua"/>
        </w:rPr>
      </w:pPr>
      <w:r>
        <w:rPr>
          <w:rFonts w:ascii="Book Antiqua"/>
          <w:rtl w:val="0"/>
          <w:lang w:val="it-IT"/>
        </w:rPr>
        <w:t xml:space="preserve">di avere conosciuto Michele Coppola; </w:t>
      </w:r>
    </w:p>
    <w:p>
      <w:pPr>
        <w:pStyle w:val="Normal"/>
        <w:ind w:left="567" w:right="567" w:firstLine="0"/>
        <w:jc w:val="both"/>
        <w:rPr>
          <w:rFonts w:ascii="Book Antiqua" w:cs="Book Antiqua" w:hAnsi="Book Antiqua" w:eastAsia="Book Antiqua"/>
        </w:rPr>
      </w:pPr>
      <w:r>
        <w:rPr>
          <w:rFonts w:ascii="Book Antiqua"/>
          <w:rtl w:val="0"/>
          <w:lang w:val="it-IT"/>
        </w:rPr>
        <w:t xml:space="preserve">di avere accompagnato una volta Michele Coppola al </w:t>
      </w:r>
      <w:r>
        <w:rPr>
          <w:rFonts w:hAnsi="Book Antiqua" w:hint="default"/>
          <w:rtl w:val="0"/>
          <w:lang w:val="it-IT"/>
        </w:rPr>
        <w:t>“</w:t>
      </w:r>
      <w:r>
        <w:rPr>
          <w:rFonts w:ascii="Book Antiqua"/>
          <w:rtl w:val="0"/>
          <w:lang w:val="it-IT"/>
        </w:rPr>
        <w:t>commissariato di Cisterna di Latina, perch</w:t>
      </w:r>
      <w:r>
        <w:rPr>
          <w:rFonts w:hAnsi="Book Antiqua" w:hint="default"/>
          <w:rtl w:val="0"/>
          <w:lang w:val="it-IT"/>
        </w:rPr>
        <w:t xml:space="preserve">é </w:t>
      </w:r>
      <w:r>
        <w:rPr>
          <w:rFonts w:ascii="Book Antiqua"/>
          <w:rtl w:val="0"/>
          <w:lang w:val="it-IT"/>
        </w:rPr>
        <w:t>preoccupato [il Coppola] dell</w:t>
      </w:r>
      <w:r>
        <w:rPr>
          <w:rFonts w:hAnsi="Book Antiqua" w:hint="default"/>
          <w:rtl w:val="0"/>
          <w:lang w:val="it-IT"/>
        </w:rPr>
        <w:t>’</w:t>
      </w:r>
      <w:r>
        <w:rPr>
          <w:rFonts w:ascii="Book Antiqua"/>
          <w:rtl w:val="0"/>
          <w:lang w:val="it-IT"/>
        </w:rPr>
        <w:t>inquinamento della discarica</w:t>
      </w:r>
      <w:r>
        <w:rPr>
          <w:rFonts w:hAnsi="Book Antiqua" w:hint="default"/>
          <w:rtl w:val="0"/>
          <w:lang w:val="it-IT"/>
        </w:rPr>
        <w:t>”</w:t>
      </w:r>
      <w:r>
        <w:rPr>
          <w:rFonts w:ascii="Book Antiqua"/>
          <w:rtl w:val="0"/>
          <w:lang w:val="it-IT"/>
        </w:rPr>
        <w:t xml:space="preserve">. </w:t>
      </w:r>
      <w:r>
        <w:rPr>
          <w:rFonts w:hAnsi="Book Antiqua" w:hint="default"/>
          <w:rtl w:val="0"/>
          <w:lang w:val="it-IT"/>
        </w:rPr>
        <w:t>“</w:t>
      </w:r>
      <w:r>
        <w:rPr>
          <w:rFonts w:ascii="Book Antiqua"/>
          <w:rtl w:val="0"/>
          <w:lang w:val="it-IT"/>
        </w:rPr>
        <w:t>In quella sede - ha riferito C - Coppola mi chiese di riferire al funzionario di Polizia se avevo visto o se sapevo che all</w:t>
      </w:r>
      <w:r>
        <w:rPr>
          <w:rFonts w:hAnsi="Book Antiqua" w:hint="default"/>
          <w:rtl w:val="0"/>
          <w:lang w:val="it-IT"/>
        </w:rPr>
        <w:t>’</w:t>
      </w:r>
      <w:r>
        <w:rPr>
          <w:rFonts w:ascii="Book Antiqua"/>
          <w:rtl w:val="0"/>
          <w:lang w:val="it-IT"/>
        </w:rPr>
        <w:t>interno della discarica i mezzi conferivano oltre che i rifiuti urbani anche i fusti. Io dissi la verit</w:t>
      </w:r>
      <w:r>
        <w:rPr>
          <w:rFonts w:hAnsi="Book Antiqua" w:hint="default"/>
          <w:rtl w:val="0"/>
          <w:lang w:val="it-IT"/>
        </w:rPr>
        <w:t xml:space="preserve">à </w:t>
      </w:r>
      <w:r>
        <w:rPr>
          <w:rFonts w:ascii="Book Antiqua"/>
          <w:rtl w:val="0"/>
          <w:lang w:val="it-IT"/>
        </w:rPr>
        <w:t>confermando di aver visto con i miei occhi la presenza dei fusti che venivano buttati in mezzo all</w:t>
      </w:r>
      <w:r>
        <w:rPr>
          <w:rFonts w:hAnsi="Book Antiqua" w:hint="default"/>
          <w:rtl w:val="0"/>
          <w:lang w:val="it-IT"/>
        </w:rPr>
        <w:t>’</w:t>
      </w:r>
      <w:r>
        <w:rPr>
          <w:rFonts w:ascii="Book Antiqua"/>
          <w:rtl w:val="0"/>
          <w:lang w:val="it-IT"/>
        </w:rPr>
        <w:t>invaso della discarica</w:t>
      </w:r>
      <w:r>
        <w:rPr>
          <w:rFonts w:hAnsi="Book Antiqua" w:hint="default"/>
          <w:rtl w:val="0"/>
          <w:lang w:val="it-IT"/>
        </w:rPr>
        <w:t>”</w:t>
      </w:r>
      <w:r>
        <w:rPr>
          <w:rFonts w:ascii="Book Antiqua"/>
          <w:rtl w:val="0"/>
          <w:lang w:val="it-IT"/>
        </w:rPr>
        <w:t xml:space="preserve">; ricorda che queste dichiarazioni </w:t>
      </w:r>
      <w:r>
        <w:rPr>
          <w:rFonts w:hAnsi="Book Antiqua" w:hint="default"/>
          <w:rtl w:val="0"/>
          <w:lang w:val="it-IT"/>
        </w:rPr>
        <w:t>“</w:t>
      </w:r>
      <w:r>
        <w:rPr>
          <w:rFonts w:ascii="Book Antiqua"/>
          <w:rtl w:val="0"/>
          <w:lang w:val="it-IT"/>
        </w:rPr>
        <w:t>non vennero prese a verbale dal funzionario o almeno non ricordo di aver firmato alcun verbale</w:t>
      </w:r>
      <w:r>
        <w:rPr>
          <w:rFonts w:hAnsi="Book Antiqua" w:hint="default"/>
          <w:rtl w:val="0"/>
          <w:lang w:val="it-IT"/>
        </w:rPr>
        <w:t>”</w:t>
      </w:r>
      <w:r>
        <w:rPr>
          <w:rFonts w:ascii="Book Antiqua"/>
          <w:rtl w:val="0"/>
          <w:lang w:val="it-IT"/>
        </w:rPr>
        <w:t>;</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Il teste ha quindi confermato quanto dichiarato all</w:t>
      </w:r>
      <w:r>
        <w:rPr>
          <w:rFonts w:hAnsi="Book Antiqua" w:hint="default"/>
          <w:sz w:val="24"/>
          <w:szCs w:val="24"/>
          <w:rtl w:val="0"/>
          <w:lang w:val="it-IT"/>
        </w:rPr>
        <w:t>’</w:t>
      </w:r>
      <w:r>
        <w:rPr>
          <w:rFonts w:ascii="Book Antiqua"/>
          <w:sz w:val="24"/>
          <w:szCs w:val="24"/>
          <w:rtl w:val="0"/>
          <w:lang w:val="it-IT"/>
        </w:rPr>
        <w:t xml:space="preserve">epoca - fa risalire la sua testimonianza ai primi anni </w:t>
      </w:r>
      <w:r>
        <w:rPr>
          <w:rFonts w:hAnsi="Book Antiqua" w:hint="default"/>
          <w:sz w:val="24"/>
          <w:szCs w:val="24"/>
          <w:rtl w:val="0"/>
          <w:lang w:val="it-IT"/>
        </w:rPr>
        <w:t>’</w:t>
      </w:r>
      <w:r>
        <w:rPr>
          <w:rFonts w:ascii="Book Antiqua"/>
          <w:sz w:val="24"/>
          <w:szCs w:val="24"/>
          <w:rtl w:val="0"/>
          <w:lang w:val="it-IT"/>
        </w:rPr>
        <w:t xml:space="preserve">90 - aggiungendo: </w:t>
      </w:r>
    </w:p>
    <w:p>
      <w:pPr>
        <w:pStyle w:val="Corpo A"/>
        <w:ind w:left="567" w:right="567" w:firstLine="0"/>
        <w:jc w:val="both"/>
        <w:rPr>
          <w:rFonts w:ascii="Book Antiqua" w:cs="Book Antiqua" w:hAnsi="Book Antiqua" w:eastAsia="Book Antiqua"/>
          <w:sz w:val="24"/>
          <w:szCs w:val="24"/>
          <w:lang w:val="it-IT"/>
        </w:rPr>
      </w:pPr>
      <w:r>
        <w:rPr>
          <w:rFonts w:hAnsi="Book Antiqua" w:hint="default"/>
          <w:sz w:val="24"/>
          <w:szCs w:val="24"/>
          <w:rtl w:val="0"/>
          <w:lang w:val="it-IT"/>
        </w:rPr>
        <w:t>“</w:t>
      </w:r>
      <w:r>
        <w:rPr>
          <w:rFonts w:ascii="Book Antiqua"/>
          <w:sz w:val="24"/>
          <w:szCs w:val="24"/>
          <w:rtl w:val="0"/>
          <w:lang w:val="it-IT"/>
        </w:rPr>
        <w:t>In quel periodo tutti quello che abitavano o lavoravano in zona sapevano che i mezzi entravano in discarica e scaricavano dei fusti (bidoni da 200 litri in lamiera e altri fusti in plastica) in mezzo ai rifiuti e che questi fusti venivano mescolati e interrati con i mezzi della discarica. Questa operazione all</w:t>
      </w:r>
      <w:r>
        <w:rPr>
          <w:rFonts w:hAnsi="Book Antiqua" w:hint="default"/>
          <w:sz w:val="24"/>
          <w:szCs w:val="24"/>
          <w:rtl w:val="0"/>
          <w:lang w:val="it-IT"/>
        </w:rPr>
        <w:t>’</w:t>
      </w:r>
      <w:r>
        <w:rPr>
          <w:rFonts w:ascii="Book Antiqua"/>
          <w:sz w:val="24"/>
          <w:szCs w:val="24"/>
          <w:rtl w:val="0"/>
          <w:lang w:val="it-IT"/>
        </w:rPr>
        <w:t>interno della discarica la faceva soprattutto [</w:t>
      </w:r>
      <w:r>
        <w:rPr>
          <w:rFonts w:ascii="Book Antiqua"/>
          <w:i w:val="1"/>
          <w:iCs w:val="1"/>
          <w:sz w:val="24"/>
          <w:szCs w:val="24"/>
          <w:rtl w:val="0"/>
          <w:lang w:val="it-IT"/>
        </w:rPr>
        <w:t>omissis</w:t>
      </w:r>
      <w:r>
        <w:rPr>
          <w:rFonts w:ascii="Book Antiqua"/>
          <w:sz w:val="24"/>
          <w:szCs w:val="24"/>
          <w:rtl w:val="0"/>
          <w:lang w:val="it-IT"/>
        </w:rPr>
        <w:t>] in quanto aveva accesso alle ruspe e faceva lavori di spargimento di rifiuti per riempire gli invasi S3 e S1. In pratica i fusti venivano buttati in mezzo ai rifiuti normali e con le ruspe venivano compattati in mezzo agli altri rifiuti. Le voci dell</w:t>
      </w:r>
      <w:r>
        <w:rPr>
          <w:rFonts w:hAnsi="Book Antiqua" w:hint="default"/>
          <w:sz w:val="24"/>
          <w:szCs w:val="24"/>
          <w:rtl w:val="0"/>
          <w:lang w:val="it-IT"/>
        </w:rPr>
        <w:t>’</w:t>
      </w:r>
      <w:r>
        <w:rPr>
          <w:rFonts w:ascii="Book Antiqua"/>
          <w:sz w:val="24"/>
          <w:szCs w:val="24"/>
          <w:rtl w:val="0"/>
          <w:lang w:val="it-IT"/>
        </w:rPr>
        <w:t>epoca dicevano che venivano dal nord Italia, Grosseto, Perugia, Rieti ed erano fusti normalmente utilizzati per raccogliere rifiuti industriali e non di certo rifiuti domestici</w:t>
      </w:r>
      <w:r>
        <w:rPr>
          <w:rFonts w:hAnsi="Book Antiqua" w:hint="default"/>
          <w:sz w:val="24"/>
          <w:szCs w:val="24"/>
          <w:rtl w:val="0"/>
          <w:lang w:val="it-IT"/>
        </w:rPr>
        <w:t>”</w:t>
      </w:r>
      <w:r>
        <w:rPr>
          <w:rFonts w:ascii="Book Antiqua"/>
          <w:sz w:val="24"/>
          <w:szCs w:val="24"/>
          <w:rtl w:val="0"/>
          <w:lang w:val="it-IT"/>
        </w:rPr>
        <w:t xml:space="preserve">. Il teste ha specificato di occuparsi ancora oggi di raccolta rifiuti e di avere </w:t>
      </w:r>
      <w:r>
        <w:rPr>
          <w:rFonts w:hAnsi="Book Antiqua" w:hint="default"/>
          <w:sz w:val="24"/>
          <w:szCs w:val="24"/>
          <w:rtl w:val="0"/>
          <w:lang w:val="it-IT"/>
        </w:rPr>
        <w:t>“</w:t>
      </w:r>
      <w:r>
        <w:rPr>
          <w:rFonts w:ascii="Book Antiqua"/>
          <w:sz w:val="24"/>
          <w:szCs w:val="24"/>
          <w:rtl w:val="0"/>
          <w:lang w:val="it-IT"/>
        </w:rPr>
        <w:t>il patentino per rifiuti speciali</w:t>
      </w:r>
      <w:r>
        <w:rPr>
          <w:rFonts w:hAnsi="Book Antiqua" w:hint="default"/>
          <w:sz w:val="24"/>
          <w:szCs w:val="24"/>
          <w:rtl w:val="0"/>
          <w:lang w:val="it-IT"/>
        </w:rPr>
        <w:t xml:space="preserve">” </w:t>
      </w:r>
      <w:r>
        <w:rPr>
          <w:rFonts w:ascii="Book Antiqua"/>
          <w:sz w:val="24"/>
          <w:szCs w:val="24"/>
          <w:rtl w:val="0"/>
          <w:lang w:val="it-IT"/>
        </w:rPr>
        <w:t xml:space="preserve">e di essere quindi in grado di </w:t>
      </w:r>
      <w:r>
        <w:rPr>
          <w:rFonts w:hAnsi="Book Antiqua" w:hint="default"/>
          <w:sz w:val="24"/>
          <w:szCs w:val="24"/>
          <w:rtl w:val="0"/>
          <w:lang w:val="it-IT"/>
        </w:rPr>
        <w:t>“</w:t>
      </w:r>
      <w:r>
        <w:rPr>
          <w:rFonts w:ascii="Book Antiqua"/>
          <w:sz w:val="24"/>
          <w:szCs w:val="24"/>
          <w:rtl w:val="0"/>
          <w:lang w:val="it-IT"/>
        </w:rPr>
        <w:t>capire la differenza tra tipi di rifiuti</w:t>
      </w:r>
      <w:r>
        <w:rPr>
          <w:rFonts w:hAnsi="Book Antiqua" w:hint="default"/>
          <w:sz w:val="24"/>
          <w:szCs w:val="24"/>
          <w:rtl w:val="0"/>
          <w:lang w:val="it-IT"/>
        </w:rPr>
        <w:t>”</w:t>
      </w:r>
      <w:r>
        <w:rPr>
          <w:rFonts w:ascii="Book Antiqua"/>
          <w:sz w:val="24"/>
          <w:szCs w:val="24"/>
          <w:rtl w:val="0"/>
          <w:lang w:val="it-IT"/>
        </w:rPr>
        <w:t xml:space="preserve">. </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 xml:space="preserve">Ha specificato che fino a quando la discarica </w:t>
      </w:r>
      <w:r>
        <w:rPr>
          <w:rFonts w:hAnsi="Book Antiqua" w:hint="default"/>
          <w:sz w:val="24"/>
          <w:szCs w:val="24"/>
          <w:rtl w:val="0"/>
          <w:lang w:val="it-IT"/>
        </w:rPr>
        <w:t xml:space="preserve">è </w:t>
      </w:r>
      <w:r>
        <w:rPr>
          <w:rFonts w:ascii="Book Antiqua"/>
          <w:sz w:val="24"/>
          <w:szCs w:val="24"/>
          <w:rtl w:val="0"/>
          <w:lang w:val="it-IT"/>
        </w:rPr>
        <w:t>stata gestita da Andrea Proietto [il 1989] il flusso di rifiuti industriali gettati negli invasi (con le modalit</w:t>
      </w:r>
      <w:r>
        <w:rPr>
          <w:rFonts w:hAnsi="Book Antiqua" w:hint="default"/>
          <w:sz w:val="24"/>
          <w:szCs w:val="24"/>
          <w:rtl w:val="0"/>
          <w:lang w:val="it-IT"/>
        </w:rPr>
        <w:t xml:space="preserve">à </w:t>
      </w:r>
      <w:r>
        <w:rPr>
          <w:rFonts w:ascii="Book Antiqua"/>
          <w:sz w:val="24"/>
          <w:szCs w:val="24"/>
          <w:rtl w:val="0"/>
          <w:lang w:val="it-IT"/>
        </w:rPr>
        <w:t>descritte e quindi non rispettando nessuna norma o buona pratica per lo stoccaggio di rifiuti speciali e pericolosi) raggiungeva la quantit</w:t>
      </w:r>
      <w:r>
        <w:rPr>
          <w:rFonts w:hAnsi="Book Antiqua" w:hint="default"/>
          <w:sz w:val="24"/>
          <w:szCs w:val="24"/>
          <w:rtl w:val="0"/>
          <w:lang w:val="it-IT"/>
        </w:rPr>
        <w:t xml:space="preserve">à </w:t>
      </w:r>
      <w:r>
        <w:rPr>
          <w:rFonts w:ascii="Book Antiqua"/>
          <w:sz w:val="24"/>
          <w:szCs w:val="24"/>
          <w:rtl w:val="0"/>
          <w:lang w:val="it-IT"/>
        </w:rPr>
        <w:t>di 300-400 fusti al mese.</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 xml:space="preserve">Il teste C ha dichiarato di </w:t>
      </w:r>
      <w:r>
        <w:rPr>
          <w:rFonts w:hAnsi="Book Antiqua" w:hint="default"/>
          <w:sz w:val="24"/>
          <w:szCs w:val="24"/>
          <w:rtl w:val="0"/>
          <w:lang w:val="it-IT"/>
        </w:rPr>
        <w:t>“</w:t>
      </w:r>
      <w:r>
        <w:rPr>
          <w:rFonts w:ascii="Book Antiqua"/>
          <w:sz w:val="24"/>
          <w:szCs w:val="24"/>
          <w:rtl w:val="0"/>
          <w:lang w:val="it-IT"/>
        </w:rPr>
        <w:t>temere di perdere il posto di lavoro</w:t>
      </w:r>
      <w:r>
        <w:rPr>
          <w:rFonts w:hAnsi="Book Antiqua" w:hint="default"/>
          <w:sz w:val="24"/>
          <w:szCs w:val="24"/>
          <w:rtl w:val="0"/>
          <w:lang w:val="it-IT"/>
        </w:rPr>
        <w:t xml:space="preserve">” </w:t>
      </w:r>
      <w:r>
        <w:rPr>
          <w:rFonts w:ascii="Book Antiqua"/>
          <w:sz w:val="24"/>
          <w:szCs w:val="24"/>
          <w:rtl w:val="0"/>
          <w:lang w:val="it-IT"/>
        </w:rPr>
        <w:t>qualora la sua identit</w:t>
      </w:r>
      <w:r>
        <w:rPr>
          <w:rFonts w:hAnsi="Book Antiqua" w:hint="default"/>
          <w:sz w:val="24"/>
          <w:szCs w:val="24"/>
          <w:rtl w:val="0"/>
          <w:lang w:val="it-IT"/>
        </w:rPr>
        <w:t xml:space="preserve">à </w:t>
      </w:r>
      <w:r>
        <w:rPr>
          <w:rFonts w:ascii="Book Antiqua"/>
          <w:sz w:val="24"/>
          <w:szCs w:val="24"/>
          <w:rtl w:val="0"/>
          <w:lang w:val="it-IT"/>
        </w:rPr>
        <w:t>fosse rivelata.</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Nel corso dell</w:t>
      </w:r>
      <w:r>
        <w:rPr>
          <w:rFonts w:hAnsi="Book Antiqua" w:hint="default"/>
          <w:sz w:val="24"/>
          <w:szCs w:val="24"/>
          <w:rtl w:val="0"/>
          <w:lang w:val="it-IT"/>
        </w:rPr>
        <w:t>’</w:t>
      </w:r>
      <w:r>
        <w:rPr>
          <w:rFonts w:ascii="Book Antiqua"/>
          <w:sz w:val="24"/>
          <w:szCs w:val="24"/>
          <w:rtl w:val="0"/>
          <w:lang w:val="it-IT"/>
        </w:rPr>
        <w:t xml:space="preserve">esame il teste ha indicato su una mappa tratta da Google maps il punto dello sversamento. </w:t>
      </w:r>
    </w:p>
    <w:p>
      <w:pPr>
        <w:pStyle w:val="Corpo A"/>
        <w:ind w:left="567" w:right="567" w:firstLine="0"/>
        <w:jc w:val="both"/>
        <w:rPr>
          <w:rFonts w:ascii="Book Antiqua" w:cs="Book Antiqua" w:hAnsi="Book Antiqua" w:eastAsia="Book Antiqua"/>
          <w:sz w:val="24"/>
          <w:szCs w:val="24"/>
          <w:lang w:val="it-IT"/>
        </w:rPr>
      </w:pPr>
    </w:p>
    <w:p>
      <w:pPr>
        <w:pStyle w:val="Normal"/>
        <w:ind w:left="567" w:right="567" w:firstLine="0"/>
        <w:jc w:val="both"/>
        <w:rPr>
          <w:rFonts w:ascii="Book Antiqua Bold" w:cs="Book Antiqua Bold" w:hAnsi="Book Antiqua Bold" w:eastAsia="Book Antiqua Bold"/>
          <w:b w:val="1"/>
          <w:bCs w:val="1"/>
          <w:sz w:val="20"/>
          <w:szCs w:val="20"/>
        </w:rPr>
      </w:pPr>
      <w:r>
        <w:rPr>
          <w:rFonts w:ascii="Book Antiqua" w:cs="Book Antiqua" w:hAnsi="Book Antiqua" w:eastAsia="Book Antiqua"/>
          <w:sz w:val="20"/>
          <w:szCs w:val="20"/>
          <w:rtl w:val="0"/>
        </w:rPr>
        <w:drawing>
          <wp:anchor distT="152400" distB="152400" distL="152400" distR="152400" simplePos="0" relativeHeight="251660288" behindDoc="0" locked="0" layoutInCell="1" allowOverlap="1">
            <wp:simplePos x="0" y="0"/>
            <wp:positionH relativeFrom="column">
              <wp:posOffset>422910</wp:posOffset>
            </wp:positionH>
            <wp:positionV relativeFrom="line">
              <wp:posOffset>480694</wp:posOffset>
            </wp:positionV>
            <wp:extent cx="5581650" cy="4071621"/>
            <wp:effectExtent l="0" t="0" r="0" b="0"/>
            <wp:wrapTopAndBottom distT="152400" distB="152400"/>
            <wp:docPr id="1073741883" name="officeArt object"/>
            <wp:cNvGraphicFramePr/>
            <a:graphic xmlns:a="http://schemas.openxmlformats.org/drawingml/2006/main">
              <a:graphicData uri="http://schemas.openxmlformats.org/drawingml/2006/picture">
                <pic:pic xmlns:pic="http://schemas.openxmlformats.org/drawingml/2006/picture">
                  <pic:nvPicPr>
                    <pic:cNvPr id="1073741883" name="image55.png"/>
                    <pic:cNvPicPr/>
                  </pic:nvPicPr>
                  <pic:blipFill>
                    <a:blip r:embed="rId66">
                      <a:extLst/>
                    </a:blip>
                    <a:stretch>
                      <a:fillRect/>
                    </a:stretch>
                  </pic:blipFill>
                  <pic:spPr>
                    <a:xfrm>
                      <a:off x="0" y="0"/>
                      <a:ext cx="5581650" cy="4071621"/>
                    </a:xfrm>
                    <a:prstGeom prst="rect">
                      <a:avLst/>
                    </a:prstGeom>
                    <a:ln w="12700" cap="flat">
                      <a:noFill/>
                      <a:miter lim="400000"/>
                    </a:ln>
                    <a:effectLst/>
                  </pic:spPr>
                </pic:pic>
              </a:graphicData>
            </a:graphic>
          </wp:anchor>
        </w:drawing>
      </w:r>
      <w:r>
        <w:rPr>
          <w:rFonts w:ascii="Book Antiqua Bold"/>
          <w:b w:val="1"/>
          <w:bCs w:val="1"/>
          <w:sz w:val="20"/>
          <w:szCs w:val="20"/>
          <w:rtl w:val="0"/>
          <w:lang w:val="it-IT"/>
        </w:rPr>
        <w:t>Immagine dell'area della discarica di Borgo Montello, con il luogo indicato dal teste C</w:t>
      </w:r>
    </w:p>
    <w:p>
      <w:pPr>
        <w:pStyle w:val="Titolo 31"/>
        <w:spacing w:before="0" w:after="0"/>
        <w:ind w:left="567" w:right="567" w:firstLine="0"/>
        <w:jc w:val="both"/>
        <w:rPr>
          <w:rFonts w:ascii="Book Antiqua" w:cs="Book Antiqua" w:hAnsi="Book Antiqua" w:eastAsia="Book Antiqua"/>
        </w:rPr>
      </w:pPr>
    </w:p>
    <w:p>
      <w:pPr>
        <w:pStyle w:val="Titolo 31"/>
        <w:spacing w:before="0" w:after="0"/>
        <w:ind w:left="567" w:right="567" w:firstLine="0"/>
        <w:jc w:val="both"/>
        <w:rPr>
          <w:rFonts w:ascii="Book Antiqua" w:cs="Book Antiqua" w:hAnsi="Book Antiqua" w:eastAsia="Book Antiqua"/>
        </w:rPr>
      </w:pPr>
    </w:p>
    <w:p>
      <w:pPr>
        <w:pStyle w:val="Titolo 31"/>
        <w:spacing w:before="0" w:after="0"/>
        <w:ind w:left="567" w:right="567" w:firstLine="0"/>
        <w:jc w:val="both"/>
        <w:rPr>
          <w:rFonts w:ascii="Book Antiqua" w:cs="Book Antiqua" w:hAnsi="Book Antiqua" w:eastAsia="Book Antiqua"/>
          <w:i w:val="1"/>
          <w:iCs w:val="1"/>
          <w:color w:val="000000"/>
          <w:sz w:val="24"/>
          <w:szCs w:val="24"/>
          <w:u w:color="000000"/>
        </w:rPr>
      </w:pPr>
      <w:r>
        <w:rPr>
          <w:rFonts w:ascii="Book Antiqua"/>
          <w:i w:val="1"/>
          <w:iCs w:val="1"/>
          <w:color w:val="000000"/>
          <w:sz w:val="24"/>
          <w:szCs w:val="24"/>
          <w:u w:color="000000"/>
          <w:rtl w:val="0"/>
          <w:lang w:val="it-IT"/>
        </w:rPr>
        <w:t xml:space="preserve">Il teste D </w:t>
      </w:r>
      <w:r>
        <w:rPr>
          <w:rFonts w:ascii="Book Antiqua" w:cs="Book Antiqua" w:hAnsi="Book Antiqua" w:eastAsia="Book Antiqua"/>
          <w:i w:val="1"/>
          <w:iCs w:val="1"/>
          <w:color w:val="000000"/>
          <w:sz w:val="24"/>
          <w:szCs w:val="24"/>
          <w:u w:color="000000"/>
          <w:vertAlign w:val="superscript"/>
          <w:rtl w:val="0"/>
        </w:rPr>
        <w:footnoteReference w:id="347"/>
      </w:r>
    </w:p>
    <w:p>
      <w:pPr>
        <w:pStyle w:val="Titolo 31"/>
        <w:spacing w:before="0" w:after="0"/>
        <w:ind w:left="567" w:right="567" w:firstLine="0"/>
        <w:jc w:val="both"/>
        <w:rPr>
          <w:rFonts w:ascii="Book Antiqua" w:cs="Book Antiqua" w:hAnsi="Book Antiqua" w:eastAsia="Book Antiqua"/>
          <w:i w:val="1"/>
          <w:iCs w:val="1"/>
          <w:color w:val="000000"/>
          <w:sz w:val="24"/>
          <w:szCs w:val="24"/>
          <w:u w:color="000000"/>
        </w:rPr>
      </w:pP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Il teste D era gi</w:t>
      </w:r>
      <w:r>
        <w:rPr>
          <w:rFonts w:hAnsi="Book Antiqua" w:hint="default"/>
          <w:sz w:val="24"/>
          <w:szCs w:val="24"/>
          <w:rtl w:val="0"/>
          <w:lang w:val="it-IT"/>
        </w:rPr>
        <w:t xml:space="preserve">à </w:t>
      </w:r>
      <w:r>
        <w:rPr>
          <w:rFonts w:ascii="Book Antiqua"/>
          <w:sz w:val="24"/>
          <w:szCs w:val="24"/>
          <w:rtl w:val="0"/>
          <w:lang w:val="it-IT"/>
        </w:rPr>
        <w:t>stato indicato nell</w:t>
      </w:r>
      <w:r>
        <w:rPr>
          <w:rFonts w:hAnsi="Book Antiqua" w:hint="default"/>
          <w:sz w:val="24"/>
          <w:szCs w:val="24"/>
          <w:rtl w:val="0"/>
          <w:lang w:val="it-IT"/>
        </w:rPr>
        <w:t>’</w:t>
      </w:r>
      <w:r>
        <w:rPr>
          <w:rFonts w:ascii="Book Antiqua"/>
          <w:sz w:val="24"/>
          <w:szCs w:val="24"/>
          <w:rtl w:val="0"/>
          <w:lang w:val="it-IT"/>
        </w:rPr>
        <w:t>informativa della squadra mobile di Latina dell</w:t>
      </w:r>
      <w:r>
        <w:rPr>
          <w:rFonts w:hAnsi="Book Antiqua" w:hint="default"/>
          <w:sz w:val="24"/>
          <w:szCs w:val="24"/>
          <w:rtl w:val="0"/>
          <w:lang w:val="it-IT"/>
        </w:rPr>
        <w:t>’</w:t>
      </w:r>
      <w:r>
        <w:rPr>
          <w:rFonts w:ascii="Book Antiqua"/>
          <w:sz w:val="24"/>
          <w:szCs w:val="24"/>
          <w:rtl w:val="0"/>
          <w:lang w:val="it-IT"/>
        </w:rPr>
        <w:t>ottobre 2013 come coinvolto nello sversamento illecito di rifiuti pericolosi negli invasi della discarica. Secondo le fonti confidenziali degli investigatori, D avrebbe incassato ottanta milioni di lire negli passati per il suo supporto. Secondo quanto ricostruito nella citata informativa, il teste avrebbe effettivamente lavorato nel movimento terra all</w:t>
      </w:r>
      <w:r>
        <w:rPr>
          <w:rFonts w:hAnsi="Book Antiqua" w:hint="default"/>
          <w:sz w:val="24"/>
          <w:szCs w:val="24"/>
          <w:rtl w:val="0"/>
          <w:lang w:val="it-IT"/>
        </w:rPr>
        <w:t>’</w:t>
      </w:r>
      <w:r>
        <w:rPr>
          <w:rFonts w:ascii="Book Antiqua"/>
          <w:sz w:val="24"/>
          <w:szCs w:val="24"/>
          <w:rtl w:val="0"/>
          <w:lang w:val="it-IT"/>
        </w:rPr>
        <w:t>interno della discarica di Borgo Montello per diversi anni.</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D era stato chiamato in causa dal teste A, come persona informata rispetto al punto di interramento dei fusti. Interrogato il 12 luglio 2016 su questo specifico punto, D ha sostenuto di non sapere assolutamente nulla sul punto e di aver riferito alcune cose al teste A in tono scherzoso e solo come mera ipotesi: "ricordo un episodio dove in effetti ci siamo ritrovati io [</w:t>
      </w:r>
      <w:r>
        <w:rPr>
          <w:rFonts w:ascii="Book Antiqua"/>
          <w:i w:val="1"/>
          <w:iCs w:val="1"/>
          <w:sz w:val="24"/>
          <w:szCs w:val="24"/>
          <w:rtl w:val="0"/>
          <w:lang w:val="it-IT"/>
        </w:rPr>
        <w:t>omissis</w:t>
      </w:r>
      <w:r>
        <w:rPr>
          <w:rFonts w:ascii="Book Antiqua"/>
          <w:sz w:val="24"/>
          <w:szCs w:val="24"/>
          <w:rtl w:val="0"/>
          <w:lang w:val="it-IT"/>
        </w:rPr>
        <w:t>] e altre persone, e in modo scherzoso io dissi che se c</w:t>
      </w:r>
      <w:r>
        <w:rPr>
          <w:rFonts w:hAnsi="Book Antiqua" w:hint="default"/>
          <w:sz w:val="24"/>
          <w:szCs w:val="24"/>
          <w:rtl w:val="0"/>
          <w:lang w:val="it-IT"/>
        </w:rPr>
        <w:t>’</w:t>
      </w:r>
      <w:r>
        <w:rPr>
          <w:rFonts w:ascii="Book Antiqua"/>
          <w:sz w:val="24"/>
          <w:szCs w:val="24"/>
          <w:rtl w:val="0"/>
          <w:lang w:val="it-IT"/>
        </w:rPr>
        <w:t>erano dei fusti nella discarica questi dovevano stare nell</w:t>
      </w:r>
      <w:r>
        <w:rPr>
          <w:rFonts w:hAnsi="Book Antiqua" w:hint="default"/>
          <w:sz w:val="24"/>
          <w:szCs w:val="24"/>
          <w:rtl w:val="0"/>
          <w:lang w:val="it-IT"/>
        </w:rPr>
        <w:t>’</w:t>
      </w:r>
      <w:r>
        <w:rPr>
          <w:rFonts w:ascii="Book Antiqua"/>
          <w:sz w:val="24"/>
          <w:szCs w:val="24"/>
          <w:rtl w:val="0"/>
          <w:lang w:val="it-IT"/>
        </w:rPr>
        <w:t>invaso realizzato successivamente a S0. Ma questa mia affermazione non era basata su alcuna mia conoscenza diretta o indiretta di conferimenti di fusti all</w:t>
      </w:r>
      <w:r>
        <w:rPr>
          <w:rFonts w:hAnsi="Book Antiqua" w:hint="default"/>
          <w:sz w:val="24"/>
          <w:szCs w:val="24"/>
          <w:rtl w:val="0"/>
          <w:lang w:val="it-IT"/>
        </w:rPr>
        <w:t>’</w:t>
      </w:r>
      <w:r>
        <w:rPr>
          <w:rFonts w:ascii="Book Antiqua"/>
          <w:sz w:val="24"/>
          <w:szCs w:val="24"/>
          <w:rtl w:val="0"/>
          <w:lang w:val="it-IT"/>
        </w:rPr>
        <w:t xml:space="preserve">interno della discarica. Per me quelle erano solo voci come quella che la morte del prete era dovuta alla discarica". </w:t>
      </w:r>
    </w:p>
    <w:p>
      <w:pPr>
        <w:pStyle w:val="Corpo A"/>
        <w:ind w:left="567" w:right="567" w:firstLine="0"/>
        <w:jc w:val="both"/>
        <w:rPr>
          <w:rFonts w:ascii="Book Antiqua" w:cs="Book Antiqua" w:hAnsi="Book Antiqua" w:eastAsia="Book Antiqua"/>
          <w:color w:val="000000"/>
          <w:sz w:val="24"/>
          <w:szCs w:val="24"/>
          <w:u w:color="000000"/>
          <w:lang w:val="it-IT"/>
        </w:rPr>
      </w:pPr>
    </w:p>
    <w:p>
      <w:pPr>
        <w:pStyle w:val="Titolo 31"/>
        <w:spacing w:before="0" w:after="0"/>
        <w:ind w:left="567" w:right="567" w:firstLine="0"/>
        <w:jc w:val="both"/>
        <w:rPr>
          <w:rFonts w:ascii="Book Antiqua" w:cs="Book Antiqua" w:hAnsi="Book Antiqua" w:eastAsia="Book Antiqua"/>
          <w:i w:val="1"/>
          <w:iCs w:val="1"/>
          <w:color w:val="000000"/>
          <w:sz w:val="24"/>
          <w:szCs w:val="24"/>
          <w:u w:color="000000"/>
        </w:rPr>
      </w:pPr>
      <w:r>
        <w:rPr>
          <w:rFonts w:ascii="Book Antiqua"/>
          <w:i w:val="1"/>
          <w:iCs w:val="1"/>
          <w:color w:val="000000"/>
          <w:sz w:val="24"/>
          <w:szCs w:val="24"/>
          <w:u w:color="000000"/>
          <w:rtl w:val="0"/>
          <w:lang w:val="it-IT"/>
        </w:rPr>
        <w:t xml:space="preserve">I riscontri sulle testimonianze </w:t>
      </w:r>
    </w:p>
    <w:p>
      <w:pPr>
        <w:pStyle w:val="Titolo 31"/>
        <w:spacing w:before="0" w:after="0"/>
        <w:ind w:left="567" w:right="567" w:firstLine="0"/>
        <w:jc w:val="both"/>
        <w:rPr>
          <w:rFonts w:ascii="Book Antiqua" w:cs="Book Antiqua" w:hAnsi="Book Antiqua" w:eastAsia="Book Antiqua"/>
          <w:i w:val="1"/>
          <w:iCs w:val="1"/>
          <w:color w:val="000000"/>
          <w:sz w:val="24"/>
          <w:szCs w:val="24"/>
          <w:u w:color="000000"/>
        </w:rPr>
      </w:pP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Il teste A era gi</w:t>
      </w:r>
      <w:r>
        <w:rPr>
          <w:rFonts w:hAnsi="Book Antiqua" w:hint="default"/>
          <w:sz w:val="24"/>
          <w:szCs w:val="24"/>
          <w:rtl w:val="0"/>
          <w:lang w:val="it-IT"/>
        </w:rPr>
        <w:t xml:space="preserve">à </w:t>
      </w:r>
      <w:r>
        <w:rPr>
          <w:rFonts w:ascii="Book Antiqua"/>
          <w:sz w:val="24"/>
          <w:szCs w:val="24"/>
          <w:rtl w:val="0"/>
          <w:lang w:val="it-IT"/>
        </w:rPr>
        <w:t>stato ascoltato a sommarie informazioni negli anni scorsi della Squadra mobile di Latina. I verbali - acquisiti dalla Commissione - riportano sostanzialmente gli stessi fatti (salvo i riferimenti al teste B, che si basano per</w:t>
      </w:r>
      <w:r>
        <w:rPr>
          <w:rFonts w:hAnsi="Book Antiqua" w:hint="default"/>
          <w:sz w:val="24"/>
          <w:szCs w:val="24"/>
          <w:rtl w:val="0"/>
          <w:lang w:val="it-IT"/>
        </w:rPr>
        <w:t xml:space="preserve">ò </w:t>
      </w:r>
      <w:r>
        <w:rPr>
          <w:rFonts w:ascii="Book Antiqua"/>
          <w:sz w:val="24"/>
          <w:szCs w:val="24"/>
          <w:rtl w:val="0"/>
          <w:lang w:val="it-IT"/>
        </w:rPr>
        <w:t xml:space="preserve">su informazioni acquisite da A solo successivamente agli interrogatori resi alla polizia giudiziaria di Latina). Da questo punto di vista </w:t>
      </w:r>
      <w:r>
        <w:rPr>
          <w:rFonts w:hAnsi="Book Antiqua" w:hint="default"/>
          <w:sz w:val="24"/>
          <w:szCs w:val="24"/>
          <w:rtl w:val="0"/>
          <w:lang w:val="it-IT"/>
        </w:rPr>
        <w:t xml:space="preserve">è </w:t>
      </w:r>
      <w:r>
        <w:rPr>
          <w:rFonts w:ascii="Book Antiqua"/>
          <w:sz w:val="24"/>
          <w:szCs w:val="24"/>
          <w:rtl w:val="0"/>
          <w:lang w:val="it-IT"/>
        </w:rPr>
        <w:t>altamente probabile che A abbia riferito fedelmente quanto ascoltato dagli altri testimoni.</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Per quanto riguarda le testimonianze di B, C e D - che riferiscono su fatti dei quali sono stati testimoni diretti - l</w:t>
      </w:r>
      <w:r>
        <w:rPr>
          <w:rFonts w:hAnsi="Book Antiqua" w:hint="default"/>
          <w:sz w:val="24"/>
          <w:szCs w:val="24"/>
          <w:rtl w:val="0"/>
          <w:lang w:val="it-IT"/>
        </w:rPr>
        <w:t>’</w:t>
      </w:r>
      <w:r>
        <w:rPr>
          <w:rFonts w:ascii="Book Antiqua"/>
          <w:sz w:val="24"/>
          <w:szCs w:val="24"/>
          <w:rtl w:val="0"/>
          <w:lang w:val="it-IT"/>
        </w:rPr>
        <w:t>attivit</w:t>
      </w:r>
      <w:r>
        <w:rPr>
          <w:rFonts w:hAnsi="Book Antiqua" w:hint="default"/>
          <w:sz w:val="24"/>
          <w:szCs w:val="24"/>
          <w:rtl w:val="0"/>
          <w:lang w:val="it-IT"/>
        </w:rPr>
        <w:t xml:space="preserve">à </w:t>
      </w:r>
      <w:r>
        <w:rPr>
          <w:rFonts w:ascii="Book Antiqua"/>
          <w:sz w:val="24"/>
          <w:szCs w:val="24"/>
          <w:rtl w:val="0"/>
          <w:lang w:val="it-IT"/>
        </w:rPr>
        <w:t xml:space="preserve">di riscontro si </w:t>
      </w:r>
      <w:r>
        <w:rPr>
          <w:rFonts w:hAnsi="Book Antiqua" w:hint="default"/>
          <w:sz w:val="24"/>
          <w:szCs w:val="24"/>
          <w:rtl w:val="0"/>
          <w:lang w:val="it-IT"/>
        </w:rPr>
        <w:t xml:space="preserve">è </w:t>
      </w:r>
      <w:r>
        <w:rPr>
          <w:rFonts w:ascii="Book Antiqua"/>
          <w:sz w:val="24"/>
          <w:szCs w:val="24"/>
          <w:rtl w:val="0"/>
          <w:lang w:val="it-IT"/>
        </w:rPr>
        <w:t>basata sull</w:t>
      </w:r>
      <w:r>
        <w:rPr>
          <w:rFonts w:hAnsi="Book Antiqua" w:hint="default"/>
          <w:sz w:val="24"/>
          <w:szCs w:val="24"/>
          <w:rtl w:val="0"/>
          <w:lang w:val="it-IT"/>
        </w:rPr>
        <w:t>’</w:t>
      </w:r>
      <w:r>
        <w:rPr>
          <w:rFonts w:ascii="Book Antiqua"/>
          <w:sz w:val="24"/>
          <w:szCs w:val="24"/>
          <w:rtl w:val="0"/>
          <w:lang w:val="it-IT"/>
        </w:rPr>
        <w:t>analisi dei dati contenuti nella Banche dati in uso alla polizia giudiziaria, sulla storia lavorativa dei testimoni, sull</w:t>
      </w:r>
      <w:r>
        <w:rPr>
          <w:rFonts w:hAnsi="Book Antiqua" w:hint="default"/>
          <w:sz w:val="24"/>
          <w:szCs w:val="24"/>
          <w:rtl w:val="0"/>
          <w:lang w:val="it-IT"/>
        </w:rPr>
        <w:t>’</w:t>
      </w:r>
      <w:r>
        <w:rPr>
          <w:rFonts w:ascii="Book Antiqua"/>
          <w:sz w:val="24"/>
          <w:szCs w:val="24"/>
          <w:rtl w:val="0"/>
          <w:lang w:val="it-IT"/>
        </w:rPr>
        <w:t>incrocio con quanto gi</w:t>
      </w:r>
      <w:r>
        <w:rPr>
          <w:rFonts w:hAnsi="Book Antiqua" w:hint="default"/>
          <w:sz w:val="24"/>
          <w:szCs w:val="24"/>
          <w:rtl w:val="0"/>
          <w:lang w:val="it-IT"/>
        </w:rPr>
        <w:t xml:space="preserve">à </w:t>
      </w:r>
      <w:r>
        <w:rPr>
          <w:rFonts w:ascii="Book Antiqua"/>
          <w:sz w:val="24"/>
          <w:szCs w:val="24"/>
          <w:rtl w:val="0"/>
          <w:lang w:val="it-IT"/>
        </w:rPr>
        <w:t>accertato dalla magistratura di Latina in procedimenti penali, i cui atti sono stati acquisiti dalla commissione.</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 xml:space="preserve">Quanto riportato dai testi su Michele Coppola trova diretto riscontro in atti giudiziari e nelle banche dati. Coppola </w:t>
      </w:r>
      <w:r>
        <w:rPr>
          <w:rFonts w:hAnsi="Book Antiqua" w:hint="default"/>
          <w:sz w:val="24"/>
          <w:szCs w:val="24"/>
          <w:rtl w:val="0"/>
          <w:lang w:val="it-IT"/>
        </w:rPr>
        <w:t xml:space="preserve">è </w:t>
      </w:r>
      <w:r>
        <w:rPr>
          <w:rFonts w:ascii="Book Antiqua"/>
          <w:sz w:val="24"/>
          <w:szCs w:val="24"/>
          <w:rtl w:val="0"/>
          <w:lang w:val="it-IT"/>
        </w:rPr>
        <w:t>stato condannato in via definitiva per estorsione aggravata dal metodo mafioso (articolo 7 legge n. 203/1991), con sentenza emessa il 10 maggio 2012 dal tribunale di Santa Maria Capua Vetere (la sentenza della Corte di cassazione, Sez. II,  n. 4121/2015, ha respinto il ricorso degli imputati). Dalle banche dati in uso alle forze di polizia risulta il possesso di numerose armi da fuoco.</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 xml:space="preserve">Un altro testimone, sentito a sommarie informazioni dalla squadra mobile di Latina il 30 ottobre 2013, riferiva di esplicite minacce provenienti dal Coppola dirette ad evitare denunce sulla discarica: </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w:t>
      </w:r>
      <w:bookmarkStart w:name="_DdeLink__1432_1488316001" w:id="0"/>
      <w:r>
        <w:rPr>
          <w:rFonts w:ascii="Book Antiqua"/>
          <w:sz w:val="24"/>
          <w:szCs w:val="24"/>
          <w:rtl w:val="0"/>
          <w:lang w:val="it-IT"/>
        </w:rPr>
        <w:t>Ricordo un'altra circostanza che ho vissuto</w:t>
      </w:r>
      <w:bookmarkEnd w:id="0"/>
      <w:r>
        <w:rPr>
          <w:rFonts w:ascii="Book Antiqua"/>
          <w:sz w:val="24"/>
          <w:szCs w:val="24"/>
          <w:rtl w:val="0"/>
          <w:lang w:val="it-IT"/>
        </w:rPr>
        <w:t xml:space="preserve"> in prima persona in quel periodo. Un pomeriggio si ferm</w:t>
      </w:r>
      <w:r>
        <w:rPr>
          <w:rFonts w:hAnsi="Book Antiqua" w:hint="default"/>
          <w:sz w:val="24"/>
          <w:szCs w:val="24"/>
          <w:rtl w:val="0"/>
          <w:lang w:val="it-IT"/>
        </w:rPr>
        <w:t xml:space="preserve">ò </w:t>
      </w:r>
      <w:r>
        <w:rPr>
          <w:rFonts w:ascii="Book Antiqua"/>
          <w:sz w:val="24"/>
          <w:szCs w:val="24"/>
          <w:rtl w:val="0"/>
          <w:lang w:val="it-IT"/>
        </w:rPr>
        <w:t>fuori dalla mia abitazione e azienda agricola sita in [</w:t>
      </w:r>
      <w:r>
        <w:rPr>
          <w:rFonts w:ascii="Book Antiqua"/>
          <w:i w:val="1"/>
          <w:iCs w:val="1"/>
          <w:sz w:val="24"/>
          <w:szCs w:val="24"/>
          <w:rtl w:val="0"/>
          <w:lang w:val="it-IT"/>
        </w:rPr>
        <w:t>omissis</w:t>
      </w:r>
      <w:r>
        <w:rPr>
          <w:rFonts w:ascii="Book Antiqua"/>
          <w:sz w:val="24"/>
          <w:szCs w:val="24"/>
          <w:rtl w:val="0"/>
          <w:lang w:val="it-IT"/>
        </w:rPr>
        <w:t>] un bilico. L'autista venne da me per chiedere l'indirizzo della societ</w:t>
      </w:r>
      <w:r>
        <w:rPr>
          <w:rFonts w:hAnsi="Book Antiqua" w:hint="default"/>
          <w:sz w:val="24"/>
          <w:szCs w:val="24"/>
          <w:rtl w:val="0"/>
          <w:lang w:val="it-IT"/>
        </w:rPr>
        <w:t xml:space="preserve">à </w:t>
      </w:r>
      <w:r>
        <w:rPr>
          <w:rFonts w:ascii="Book Antiqua"/>
          <w:sz w:val="24"/>
          <w:szCs w:val="24"/>
          <w:rtl w:val="0"/>
          <w:lang w:val="it-IT"/>
        </w:rPr>
        <w:t>Indeco, dove appunto era diretto. Aggiunse che si era perso in quanto non conosceva le strade nonch</w:t>
      </w:r>
      <w:r>
        <w:rPr>
          <w:rFonts w:hAnsi="Book Antiqua" w:hint="default"/>
          <w:sz w:val="24"/>
          <w:szCs w:val="24"/>
          <w:rtl w:val="0"/>
          <w:lang w:val="it-IT"/>
        </w:rPr>
        <w:t xml:space="preserve">é </w:t>
      </w:r>
      <w:r>
        <w:rPr>
          <w:rFonts w:ascii="Book Antiqua"/>
          <w:sz w:val="24"/>
          <w:szCs w:val="24"/>
          <w:rtl w:val="0"/>
          <w:lang w:val="it-IT"/>
        </w:rPr>
        <w:t>che era partito da Bologna. Trascorsi alcuni minuti dalla sosta, l'aria divenne irrespirabile a causa del fetore emanato dal carico del camion che si allontan</w:t>
      </w:r>
      <w:r>
        <w:rPr>
          <w:rFonts w:hAnsi="Book Antiqua" w:hint="default"/>
          <w:sz w:val="24"/>
          <w:szCs w:val="24"/>
          <w:rtl w:val="0"/>
          <w:lang w:val="it-IT"/>
        </w:rPr>
        <w:t xml:space="preserve">ò </w:t>
      </w:r>
      <w:r>
        <w:rPr>
          <w:rFonts w:ascii="Book Antiqua"/>
          <w:sz w:val="24"/>
          <w:szCs w:val="24"/>
          <w:rtl w:val="0"/>
          <w:lang w:val="it-IT"/>
        </w:rPr>
        <w:t>quasi subito. Preciso che 10 minuti dopo si presentarono da me i vicini e confinanti infuriati additandomi quale responsabile del male odore diffusosi nella zona. Credevano che fosse causato dalla mia azienda agricola tant'</w:t>
      </w:r>
      <w:r>
        <w:rPr>
          <w:rFonts w:hAnsi="Book Antiqua" w:hint="default"/>
          <w:sz w:val="24"/>
          <w:szCs w:val="24"/>
          <w:rtl w:val="0"/>
          <w:lang w:val="it-IT"/>
        </w:rPr>
        <w:t xml:space="preserve">è </w:t>
      </w:r>
      <w:r>
        <w:rPr>
          <w:rFonts w:ascii="Book Antiqua"/>
          <w:sz w:val="24"/>
          <w:szCs w:val="24"/>
          <w:rtl w:val="0"/>
          <w:lang w:val="it-IT"/>
        </w:rPr>
        <w:t>che fui costretto a far fare un sopralluogo per scongiurare possibili conseguenze. Incuriosito presi la mia autovettura e raggiunsi la discarica; il camion o bilico era gi</w:t>
      </w:r>
      <w:r>
        <w:rPr>
          <w:rFonts w:hAnsi="Book Antiqua" w:hint="default"/>
          <w:sz w:val="24"/>
          <w:szCs w:val="24"/>
          <w:rtl w:val="0"/>
          <w:lang w:val="it-IT"/>
        </w:rPr>
        <w:t xml:space="preserve">à </w:t>
      </w:r>
      <w:r>
        <w:rPr>
          <w:rFonts w:ascii="Book Antiqua"/>
          <w:sz w:val="24"/>
          <w:szCs w:val="24"/>
          <w:rtl w:val="0"/>
          <w:lang w:val="it-IT"/>
        </w:rPr>
        <w:t>presente all'interno  e rimase l</w:t>
      </w:r>
      <w:r>
        <w:rPr>
          <w:rFonts w:hAnsi="Book Antiqua" w:hint="default"/>
          <w:sz w:val="24"/>
          <w:szCs w:val="24"/>
          <w:rtl w:val="0"/>
          <w:lang w:val="it-IT"/>
        </w:rPr>
        <w:t xml:space="preserve">à </w:t>
      </w:r>
      <w:r>
        <w:rPr>
          <w:rFonts w:ascii="Book Antiqua"/>
          <w:sz w:val="24"/>
          <w:szCs w:val="24"/>
          <w:rtl w:val="0"/>
          <w:lang w:val="it-IT"/>
        </w:rPr>
        <w:t>per almeno tre giorni. Non ho potuto constatare cosa trasportasse il bilico n</w:t>
      </w:r>
      <w:r>
        <w:rPr>
          <w:rFonts w:hAnsi="Book Antiqua" w:hint="default"/>
          <w:sz w:val="24"/>
          <w:szCs w:val="24"/>
          <w:rtl w:val="0"/>
          <w:lang w:val="it-IT"/>
        </w:rPr>
        <w:t xml:space="preserve">é </w:t>
      </w:r>
      <w:r>
        <w:rPr>
          <w:rFonts w:ascii="Book Antiqua"/>
          <w:sz w:val="24"/>
          <w:szCs w:val="24"/>
          <w:rtl w:val="0"/>
          <w:lang w:val="it-IT"/>
        </w:rPr>
        <w:t xml:space="preserve">ho appreso successivamente la natura delle cose trasportate. [...] In questa occasione non mi rivolsi ai Carabinieri di Borgo Pogdora per segnalare il fatto, a causa di una precedente denuncia presentata dal comitato a Carabinieri appena citati ricevetti una visita di Michele Coppola [...]. In quel caso mi fece capire che </w:t>
      </w:r>
      <w:r>
        <w:rPr>
          <w:rFonts w:ascii="Book Antiqua"/>
          <w:rtl w:val="0"/>
          <w:lang w:val="it-IT"/>
        </w:rPr>
        <w:t>per il futuro sarebbe stato meglio evitare denunce in merito alla discarica".</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Sulla presenza dei fusti altri testimoni - ascoltati a sommarie informazioni dalla Squadra mobile di Latina - hanno confermato il racconto del teste C, con particolare riferimento a quanto da lui gi</w:t>
      </w:r>
      <w:r>
        <w:rPr>
          <w:rFonts w:hAnsi="Book Antiqua" w:hint="default"/>
          <w:sz w:val="24"/>
          <w:szCs w:val="24"/>
          <w:rtl w:val="0"/>
          <w:lang w:val="it-IT"/>
        </w:rPr>
        <w:t xml:space="preserve">à </w:t>
      </w:r>
      <w:r>
        <w:rPr>
          <w:rFonts w:ascii="Book Antiqua"/>
          <w:sz w:val="24"/>
          <w:szCs w:val="24"/>
          <w:rtl w:val="0"/>
          <w:lang w:val="it-IT"/>
        </w:rPr>
        <w:t>denunciato alla Polizia di Stato negli anni passati.</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 xml:space="preserve">Il teste A aveva riferito di aver ascoltato, circa quattro anni fa, il teste D riferire di interramenti di </w:t>
      </w:r>
      <w:r>
        <w:rPr>
          <w:rFonts w:hAnsi="Book Antiqua" w:hint="default"/>
          <w:sz w:val="24"/>
          <w:szCs w:val="24"/>
          <w:rtl w:val="0"/>
          <w:lang w:val="it-IT"/>
        </w:rPr>
        <w:t>“</w:t>
      </w:r>
      <w:r>
        <w:rPr>
          <w:rFonts w:ascii="Book Antiqua"/>
          <w:sz w:val="24"/>
          <w:szCs w:val="24"/>
          <w:rtl w:val="0"/>
          <w:lang w:val="it-IT"/>
        </w:rPr>
        <w:t>fusti tossici</w:t>
      </w:r>
      <w:r>
        <w:rPr>
          <w:rFonts w:hAnsi="Book Antiqua" w:hint="default"/>
          <w:sz w:val="24"/>
          <w:szCs w:val="24"/>
          <w:rtl w:val="0"/>
          <w:lang w:val="it-IT"/>
        </w:rPr>
        <w:t>”</w:t>
      </w:r>
      <w:r>
        <w:rPr>
          <w:rFonts w:ascii="Book Antiqua"/>
          <w:sz w:val="24"/>
          <w:szCs w:val="24"/>
          <w:rtl w:val="0"/>
          <w:lang w:val="it-IT"/>
        </w:rPr>
        <w:t xml:space="preserve">, </w:t>
      </w:r>
      <w:r>
        <w:rPr>
          <w:rFonts w:hAnsi="Book Antiqua" w:hint="default"/>
          <w:sz w:val="24"/>
          <w:szCs w:val="24"/>
          <w:rtl w:val="0"/>
          <w:lang w:val="it-IT"/>
        </w:rPr>
        <w:t>“</w:t>
      </w:r>
      <w:r>
        <w:rPr>
          <w:rFonts w:ascii="Book Antiqua"/>
          <w:sz w:val="24"/>
          <w:szCs w:val="24"/>
          <w:rtl w:val="0"/>
          <w:lang w:val="it-IT"/>
        </w:rPr>
        <w:t>puntando il dito sulla predetta mappa (nel punto) dove io ho indicato una X</w:t>
      </w:r>
      <w:r>
        <w:rPr>
          <w:rFonts w:hAnsi="Book Antiqua" w:hint="default"/>
          <w:sz w:val="24"/>
          <w:szCs w:val="24"/>
          <w:rtl w:val="0"/>
          <w:lang w:val="it-IT"/>
        </w:rPr>
        <w:t>”</w:t>
      </w:r>
      <w:r>
        <w:rPr>
          <w:rFonts w:ascii="Book Antiqua"/>
          <w:sz w:val="24"/>
          <w:szCs w:val="24"/>
          <w:rtl w:val="0"/>
          <w:lang w:val="it-IT"/>
        </w:rPr>
        <w:t>; come gi</w:t>
      </w:r>
      <w:r>
        <w:rPr>
          <w:rFonts w:hAnsi="Book Antiqua" w:hint="default"/>
          <w:sz w:val="24"/>
          <w:szCs w:val="24"/>
          <w:rtl w:val="0"/>
          <w:lang w:val="it-IT"/>
        </w:rPr>
        <w:t xml:space="preserve">à </w:t>
      </w:r>
      <w:r>
        <w:rPr>
          <w:rFonts w:ascii="Book Antiqua"/>
          <w:sz w:val="24"/>
          <w:szCs w:val="24"/>
          <w:rtl w:val="0"/>
          <w:lang w:val="it-IT"/>
        </w:rPr>
        <w:t>riferito, sentito a sommarie informazioni, il teste D ha smentito queste affermazioni. In realt</w:t>
      </w:r>
      <w:r>
        <w:rPr>
          <w:rFonts w:hAnsi="Book Antiqua" w:hint="default"/>
          <w:sz w:val="24"/>
          <w:szCs w:val="24"/>
          <w:rtl w:val="0"/>
          <w:lang w:val="it-IT"/>
        </w:rPr>
        <w:t xml:space="preserve">à </w:t>
      </w:r>
      <w:r>
        <w:rPr>
          <w:rFonts w:ascii="Book Antiqua"/>
          <w:sz w:val="24"/>
          <w:szCs w:val="24"/>
          <w:rtl w:val="0"/>
          <w:lang w:val="it-IT"/>
        </w:rPr>
        <w:t xml:space="preserve">le circostanze riportate dal primo teste sono pienamente confermate da un terzo testimone, sentito a sommarie informazioni dalla squadra mobile di Latina il 31 ottobre 2013. Questo terzo teste (la cui testimonianza </w:t>
      </w:r>
      <w:r>
        <w:rPr>
          <w:rFonts w:hAnsi="Book Antiqua" w:hint="default"/>
          <w:sz w:val="24"/>
          <w:szCs w:val="24"/>
          <w:rtl w:val="0"/>
          <w:lang w:val="it-IT"/>
        </w:rPr>
        <w:t xml:space="preserve">è </w:t>
      </w:r>
      <w:r>
        <w:rPr>
          <w:rFonts w:ascii="Book Antiqua"/>
          <w:sz w:val="24"/>
          <w:szCs w:val="24"/>
          <w:rtl w:val="0"/>
          <w:lang w:val="it-IT"/>
        </w:rPr>
        <w:t>contenuta negli atti giudiziari della procura di Latina acquisiti dalla Commissione) ha aggiunto ulteriori considerazioni sul ruolo di D: "Ho dedotto che i fusti in argomento fossero stati interrati da D, in quanto nei primi anni '90 lavorava in subappalto presso la discarica di Borgo Montello".</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 xml:space="preserve">Il teste B ha confermato solo parzialmente quanto riferito </w:t>
      </w:r>
      <w:r>
        <w:rPr>
          <w:rFonts w:hAnsi="Book Antiqua" w:hint="default"/>
          <w:sz w:val="24"/>
          <w:szCs w:val="24"/>
          <w:rtl w:val="0"/>
          <w:lang w:val="it-IT"/>
        </w:rPr>
        <w:t xml:space="preserve">– </w:t>
      </w:r>
      <w:r>
        <w:rPr>
          <w:rFonts w:ascii="Book Antiqua"/>
          <w:sz w:val="24"/>
          <w:szCs w:val="24"/>
          <w:rtl w:val="0"/>
          <w:lang w:val="it-IT"/>
        </w:rPr>
        <w:t xml:space="preserve">de relato </w:t>
      </w:r>
      <w:r>
        <w:rPr>
          <w:rFonts w:hAnsi="Book Antiqua" w:hint="default"/>
          <w:sz w:val="24"/>
          <w:szCs w:val="24"/>
          <w:rtl w:val="0"/>
          <w:lang w:val="it-IT"/>
        </w:rPr>
        <w:t xml:space="preserve">– </w:t>
      </w:r>
      <w:r>
        <w:rPr>
          <w:rFonts w:ascii="Book Antiqua"/>
          <w:sz w:val="24"/>
          <w:szCs w:val="24"/>
          <w:rtl w:val="0"/>
          <w:lang w:val="it-IT"/>
        </w:rPr>
        <w:t>dal teste A. Va per</w:t>
      </w:r>
      <w:r>
        <w:rPr>
          <w:rFonts w:hAnsi="Book Antiqua" w:hint="default"/>
          <w:sz w:val="24"/>
          <w:szCs w:val="24"/>
          <w:rtl w:val="0"/>
          <w:lang w:val="it-IT"/>
        </w:rPr>
        <w:t xml:space="preserve">ò </w:t>
      </w:r>
      <w:r>
        <w:rPr>
          <w:rFonts w:ascii="Book Antiqua"/>
          <w:sz w:val="24"/>
          <w:szCs w:val="24"/>
          <w:rtl w:val="0"/>
          <w:lang w:val="it-IT"/>
        </w:rPr>
        <w:t>evidenziato lo stato di evidente timore del teste, che vive attualmente in un contesto degradato e senza nessuna sicurezza personale. In ogni caso B ha confermato alcuni punti essenziali, quali gli stretti rapporti con Michele Coppola (che, dunque, si interessava di quanto avveniva nella discarica, stringendo relazioni con l</w:t>
      </w:r>
      <w:r>
        <w:rPr>
          <w:rFonts w:hAnsi="Book Antiqua" w:hint="default"/>
          <w:sz w:val="24"/>
          <w:szCs w:val="24"/>
          <w:rtl w:val="0"/>
          <w:lang w:val="it-IT"/>
        </w:rPr>
        <w:t>’</w:t>
      </w:r>
      <w:r>
        <w:rPr>
          <w:rFonts w:ascii="Book Antiqua"/>
          <w:sz w:val="24"/>
          <w:szCs w:val="24"/>
          <w:rtl w:val="0"/>
          <w:lang w:val="it-IT"/>
        </w:rPr>
        <w:t>uomo di fiducia del gestore Proietto), tanto da portare il teste B a Casal di Principe, facendogli conoscere i vertici del clan dei Casalesi (ad esempio Carmine Schiavone, all</w:t>
      </w:r>
      <w:r>
        <w:rPr>
          <w:rFonts w:hAnsi="Book Antiqua" w:hint="default"/>
          <w:sz w:val="24"/>
          <w:szCs w:val="24"/>
          <w:rtl w:val="0"/>
          <w:lang w:val="it-IT"/>
        </w:rPr>
        <w:t>’</w:t>
      </w:r>
      <w:r>
        <w:rPr>
          <w:rFonts w:ascii="Book Antiqua"/>
          <w:sz w:val="24"/>
          <w:szCs w:val="24"/>
          <w:rtl w:val="0"/>
          <w:lang w:val="it-IT"/>
        </w:rPr>
        <w:t xml:space="preserve">epoca non ancora collaboratore di giustizia e considerato il </w:t>
      </w:r>
      <w:r>
        <w:rPr>
          <w:rFonts w:hAnsi="Book Antiqua" w:hint="default"/>
          <w:sz w:val="24"/>
          <w:szCs w:val="24"/>
          <w:rtl w:val="0"/>
          <w:lang w:val="it-IT"/>
        </w:rPr>
        <w:t>“</w:t>
      </w:r>
      <w:r>
        <w:rPr>
          <w:rFonts w:ascii="Book Antiqua"/>
          <w:sz w:val="24"/>
          <w:szCs w:val="24"/>
          <w:rtl w:val="0"/>
          <w:lang w:val="it-IT"/>
        </w:rPr>
        <w:t>cassiere</w:t>
      </w:r>
      <w:r>
        <w:rPr>
          <w:rFonts w:hAnsi="Book Antiqua" w:hint="default"/>
          <w:sz w:val="24"/>
          <w:szCs w:val="24"/>
          <w:rtl w:val="0"/>
          <w:lang w:val="it-IT"/>
        </w:rPr>
        <w:t xml:space="preserve">” </w:t>
      </w:r>
      <w:r>
        <w:rPr>
          <w:rFonts w:ascii="Book Antiqua"/>
          <w:sz w:val="24"/>
          <w:szCs w:val="24"/>
          <w:rtl w:val="0"/>
          <w:lang w:val="it-IT"/>
        </w:rPr>
        <w:t>del gruppo criminale).</w:t>
      </w:r>
    </w:p>
    <w:p>
      <w:pPr>
        <w:pStyle w:val="Corpo A"/>
        <w:ind w:left="567" w:right="567" w:firstLine="0"/>
        <w:jc w:val="both"/>
        <w:rPr>
          <w:rFonts w:ascii="Book Antiqua" w:cs="Book Antiqua" w:hAnsi="Book Antiqua" w:eastAsia="Book Antiqua"/>
          <w:sz w:val="24"/>
          <w:szCs w:val="24"/>
          <w:lang w:val="it-IT"/>
        </w:rPr>
      </w:pPr>
    </w:p>
    <w:p>
      <w:pPr>
        <w:pStyle w:val="Normal"/>
        <w:ind w:left="567" w:right="567" w:firstLine="0"/>
        <w:jc w:val="both"/>
        <w:rPr>
          <w:rFonts w:ascii="Book Antiqua" w:cs="Book Antiqua" w:hAnsi="Book Antiqua" w:eastAsia="Book Antiqua"/>
          <w:sz w:val="28"/>
          <w:szCs w:val="28"/>
        </w:rPr>
      </w:pPr>
      <w:r>
        <w:rPr>
          <w:rFonts w:ascii="Book Antiqua"/>
          <w:sz w:val="28"/>
          <w:szCs w:val="28"/>
          <w:rtl w:val="0"/>
          <w:lang w:val="it-IT"/>
        </w:rPr>
        <w:t>7.5 Le indagini storiche sui referenti politici</w:t>
      </w:r>
    </w:p>
    <w:p>
      <w:pPr>
        <w:pStyle w:val="Corpo A"/>
        <w:ind w:left="567" w:right="567" w:firstLine="0"/>
        <w:jc w:val="both"/>
        <w:rPr>
          <w:rFonts w:ascii="Book Antiqua" w:cs="Book Antiqua" w:hAnsi="Book Antiqua" w:eastAsia="Book Antiqua"/>
          <w:color w:val="000000"/>
          <w:sz w:val="24"/>
          <w:szCs w:val="24"/>
          <w:u w:color="000000"/>
          <w:lang w:val="it-IT"/>
        </w:rPr>
      </w:pP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Le indagini del 2013 hanno sviluppato informative della DIGOS risalenti al 1994, che approfondivano il ruolo dell'ex senatore Maurizio Calvi, gi</w:t>
      </w:r>
      <w:r>
        <w:rPr>
          <w:rFonts w:hAnsi="Book Antiqua" w:hint="default"/>
          <w:sz w:val="24"/>
          <w:szCs w:val="24"/>
          <w:rtl w:val="0"/>
          <w:lang w:val="it-IT"/>
        </w:rPr>
        <w:t xml:space="preserve">à </w:t>
      </w:r>
      <w:r>
        <w:rPr>
          <w:rFonts w:ascii="Book Antiqua"/>
          <w:sz w:val="24"/>
          <w:szCs w:val="24"/>
          <w:rtl w:val="0"/>
          <w:lang w:val="it-IT"/>
        </w:rPr>
        <w:t>componente e vicepresidente della Commissione parlamentare d'inchiesta sul fenomeno della mafia e sulle altre associazioni criminali similari (X legislatura: componente dal 13 luglio 1988 al 28 luglio 1988, vicepresidente dal 28 luglio 1988 al 22 aprile 1992; XI legislatura: componente dal 23 settembre 1992 al 20 maggio 1993, vicepresidente  dal 20 maggio 1993 al 24 marzo 1994, componente dal 24 marzo 1994 al 14 aprile 1994).</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L'indagine della DIGOS di Latina inizia dopo la presentazione di una interrogazione parlamentare dell'onorevole Giulio Maceratini il 17 febbraio 1993 (XI legislatura)</w:t>
      </w:r>
      <w:r>
        <w:rPr>
          <w:rFonts w:ascii="Book Antiqua" w:cs="Book Antiqua" w:hAnsi="Book Antiqua" w:eastAsia="Book Antiqua"/>
          <w:sz w:val="24"/>
          <w:szCs w:val="24"/>
          <w:vertAlign w:val="superscript"/>
          <w:rtl w:val="0"/>
        </w:rPr>
        <w:footnoteReference w:id="348"/>
      </w:r>
      <w:r>
        <w:rPr>
          <w:rFonts w:ascii="Book Antiqua"/>
          <w:sz w:val="24"/>
          <w:szCs w:val="24"/>
          <w:rtl w:val="0"/>
          <w:lang w:val="it-IT"/>
        </w:rPr>
        <w:t xml:space="preserve">. </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Il 3 febbraio 1994 la DIGOS di Latina invia una informativa d'indagine alla procura della Repubblica della capitale pontina, all'attenzione del sostituto procuratore della Repubblica Barbara Callari.</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In sintesi gli investigatori accertarono che:</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nell'interrogazione era citata la societ</w:t>
      </w:r>
      <w:r>
        <w:rPr>
          <w:rFonts w:hAnsi="Book Antiqua" w:hint="default"/>
          <w:sz w:val="24"/>
          <w:szCs w:val="24"/>
          <w:rtl w:val="0"/>
          <w:lang w:val="it-IT"/>
        </w:rPr>
        <w:t xml:space="preserve">à </w:t>
      </w:r>
      <w:r>
        <w:rPr>
          <w:rFonts w:ascii="Book Antiqua"/>
          <w:sz w:val="24"/>
          <w:szCs w:val="24"/>
          <w:rtl w:val="0"/>
          <w:lang w:val="it-IT"/>
        </w:rPr>
        <w:t>Pro.Chi., gi</w:t>
      </w:r>
      <w:r>
        <w:rPr>
          <w:rFonts w:hAnsi="Book Antiqua" w:hint="default"/>
          <w:sz w:val="24"/>
          <w:szCs w:val="24"/>
          <w:rtl w:val="0"/>
          <w:lang w:val="it-IT"/>
        </w:rPr>
        <w:t xml:space="preserve">à </w:t>
      </w:r>
      <w:r>
        <w:rPr>
          <w:rFonts w:ascii="Book Antiqua"/>
          <w:sz w:val="24"/>
          <w:szCs w:val="24"/>
          <w:rtl w:val="0"/>
          <w:lang w:val="it-IT"/>
        </w:rPr>
        <w:t>gestore della discarica di Borgo Montello; la Digos specifica che la ditta aveva operato nell'invaso fino al 18 aprile 1990;</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l'amministratore unico della societ</w:t>
      </w:r>
      <w:r>
        <w:rPr>
          <w:rFonts w:hAnsi="Book Antiqua" w:hint="default"/>
          <w:sz w:val="24"/>
          <w:szCs w:val="24"/>
          <w:rtl w:val="0"/>
          <w:lang w:val="it-IT"/>
        </w:rPr>
        <w:t xml:space="preserve">à </w:t>
      </w:r>
      <w:r>
        <w:rPr>
          <w:rFonts w:ascii="Book Antiqua"/>
          <w:sz w:val="24"/>
          <w:szCs w:val="24"/>
          <w:rtl w:val="0"/>
          <w:lang w:val="it-IT"/>
        </w:rPr>
        <w:t>era Andrea Proietto, titolare di varie attivit</w:t>
      </w:r>
      <w:r>
        <w:rPr>
          <w:rFonts w:hAnsi="Book Antiqua" w:hint="default"/>
          <w:sz w:val="24"/>
          <w:szCs w:val="24"/>
          <w:rtl w:val="0"/>
          <w:lang w:val="it-IT"/>
        </w:rPr>
        <w:t xml:space="preserve">à </w:t>
      </w:r>
      <w:r>
        <w:rPr>
          <w:rFonts w:ascii="Book Antiqua"/>
          <w:sz w:val="24"/>
          <w:szCs w:val="24"/>
          <w:rtl w:val="0"/>
          <w:lang w:val="it-IT"/>
        </w:rPr>
        <w:t>imprenditoriali;</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tra queste vi era la Fideco srl, avente come domicilio fiscale via Augusto D'Andrea 3, Nettuno (Roma);</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l'utenza cellulare della citata societ</w:t>
      </w:r>
      <w:r>
        <w:rPr>
          <w:rFonts w:hAnsi="Book Antiqua" w:hint="default"/>
          <w:sz w:val="24"/>
          <w:szCs w:val="24"/>
          <w:rtl w:val="0"/>
          <w:lang w:val="it-IT"/>
        </w:rPr>
        <w:t xml:space="preserve">à </w:t>
      </w:r>
      <w:r>
        <w:rPr>
          <w:rFonts w:ascii="Book Antiqua"/>
          <w:sz w:val="24"/>
          <w:szCs w:val="24"/>
          <w:rtl w:val="0"/>
          <w:lang w:val="it-IT"/>
        </w:rPr>
        <w:t xml:space="preserve">corrispondeva al numero 0337.778465, intestata alla stessa Fideco; questo numero </w:t>
      </w:r>
      <w:r>
        <w:rPr>
          <w:rFonts w:hAnsi="Book Antiqua" w:hint="default"/>
          <w:sz w:val="24"/>
          <w:szCs w:val="24"/>
          <w:rtl w:val="0"/>
          <w:lang w:val="it-IT"/>
        </w:rPr>
        <w:t xml:space="preserve">“è </w:t>
      </w:r>
      <w:r>
        <w:rPr>
          <w:rFonts w:ascii="Book Antiqua"/>
          <w:sz w:val="24"/>
          <w:szCs w:val="24"/>
          <w:rtl w:val="0"/>
          <w:lang w:val="it-IT"/>
        </w:rPr>
        <w:t>stato in uso per un lungo periodo che va dal periodo preelettorale (elezioni politiche '92) al periodo postelettorale, presumibilmente dal febbraio '92 al maggio-giugno '92, al segretario particolare del senatore Calvi, tale Giorgi Piercarlo</w:t>
      </w:r>
      <w:r>
        <w:rPr>
          <w:rFonts w:hAnsi="Book Antiqua" w:hint="default"/>
          <w:sz w:val="24"/>
          <w:szCs w:val="24"/>
          <w:rtl w:val="0"/>
          <w:lang w:val="it-IT"/>
        </w:rPr>
        <w:t>”</w:t>
      </w:r>
      <w:r>
        <w:rPr>
          <w:rFonts w:ascii="Book Antiqua"/>
          <w:sz w:val="24"/>
          <w:szCs w:val="24"/>
          <w:rtl w:val="0"/>
          <w:lang w:val="it-IT"/>
        </w:rPr>
        <w:t xml:space="preserve">; </w:t>
      </w:r>
      <w:r>
        <w:rPr>
          <w:rFonts w:hAnsi="Book Antiqua" w:hint="default"/>
          <w:sz w:val="24"/>
          <w:szCs w:val="24"/>
          <w:rtl w:val="0"/>
          <w:lang w:val="it-IT"/>
        </w:rPr>
        <w:t>“</w:t>
      </w:r>
      <w:r>
        <w:rPr>
          <w:rFonts w:ascii="Book Antiqua"/>
          <w:sz w:val="24"/>
          <w:szCs w:val="24"/>
          <w:rtl w:val="0"/>
          <w:lang w:val="it-IT"/>
        </w:rPr>
        <w:t>In tale periodo da quell'utenza sono partite telefonate a  varie agenzie pubblicitarie che hanno prodotto servizi di campagna elettorale per il Senatore citato</w:t>
      </w:r>
      <w:r>
        <w:rPr>
          <w:rFonts w:hAnsi="Book Antiqua" w:hint="default"/>
          <w:sz w:val="24"/>
          <w:szCs w:val="24"/>
          <w:rtl w:val="0"/>
          <w:lang w:val="it-IT"/>
        </w:rPr>
        <w:t>”</w:t>
      </w:r>
      <w:r>
        <w:rPr>
          <w:rFonts w:ascii="Book Antiqua"/>
          <w:sz w:val="24"/>
          <w:szCs w:val="24"/>
          <w:rtl w:val="0"/>
          <w:lang w:val="it-IT"/>
        </w:rPr>
        <w:t>;</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le bollette telefoniche dell'utenza cellulare vennero pagate dalla Fideco di Proietto;</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 xml:space="preserve">l'utenza fissa 0773.660110 </w:t>
      </w:r>
      <w:r>
        <w:rPr>
          <w:rFonts w:hAnsi="Book Antiqua" w:hint="default"/>
          <w:sz w:val="24"/>
          <w:szCs w:val="24"/>
          <w:rtl w:val="0"/>
          <w:lang w:val="it-IT"/>
        </w:rPr>
        <w:t>“</w:t>
      </w:r>
      <w:r>
        <w:rPr>
          <w:rFonts w:ascii="Book Antiqua"/>
          <w:sz w:val="24"/>
          <w:szCs w:val="24"/>
          <w:rtl w:val="0"/>
          <w:lang w:val="it-IT"/>
        </w:rPr>
        <w:t>risulta intestata a tale societ</w:t>
      </w:r>
      <w:r>
        <w:rPr>
          <w:rFonts w:hAnsi="Book Antiqua" w:hint="default"/>
          <w:sz w:val="24"/>
          <w:szCs w:val="24"/>
          <w:rtl w:val="0"/>
          <w:lang w:val="it-IT"/>
        </w:rPr>
        <w:t xml:space="preserve">à </w:t>
      </w:r>
      <w:r>
        <w:rPr>
          <w:rFonts w:ascii="Book Antiqua"/>
          <w:sz w:val="24"/>
          <w:szCs w:val="24"/>
          <w:rtl w:val="0"/>
          <w:lang w:val="it-IT"/>
        </w:rPr>
        <w:t>FAB srl, avente come sede la stessa della Fideco e come oggetto attivit</w:t>
      </w:r>
      <w:r>
        <w:rPr>
          <w:rFonts w:hAnsi="Book Antiqua" w:hint="default"/>
          <w:sz w:val="24"/>
          <w:szCs w:val="24"/>
          <w:rtl w:val="0"/>
          <w:lang w:val="it-IT"/>
        </w:rPr>
        <w:t xml:space="preserve">à </w:t>
      </w:r>
      <w:r>
        <w:rPr>
          <w:rFonts w:ascii="Book Antiqua"/>
          <w:sz w:val="24"/>
          <w:szCs w:val="24"/>
          <w:rtl w:val="0"/>
          <w:lang w:val="it-IT"/>
        </w:rPr>
        <w:t>analoga a quella della citata Pro.Chi. E che vede come amministratore unico il figlio del Proietto Andrea e cio</w:t>
      </w:r>
      <w:r>
        <w:rPr>
          <w:rFonts w:hAnsi="Book Antiqua" w:hint="default"/>
          <w:sz w:val="24"/>
          <w:szCs w:val="24"/>
          <w:rtl w:val="0"/>
          <w:lang w:val="it-IT"/>
        </w:rPr>
        <w:t xml:space="preserve">è </w:t>
      </w:r>
      <w:r>
        <w:rPr>
          <w:rFonts w:ascii="Book Antiqua"/>
          <w:sz w:val="24"/>
          <w:szCs w:val="24"/>
          <w:rtl w:val="0"/>
          <w:lang w:val="it-IT"/>
        </w:rPr>
        <w:t>Proietto Stefano, nato a Tunisi il 23 luglio 1961</w:t>
      </w:r>
      <w:r>
        <w:rPr>
          <w:rFonts w:hAnsi="Book Antiqua" w:hint="default"/>
          <w:sz w:val="24"/>
          <w:szCs w:val="24"/>
          <w:rtl w:val="0"/>
          <w:lang w:val="it-IT"/>
        </w:rPr>
        <w:t>”</w:t>
      </w:r>
      <w:r>
        <w:rPr>
          <w:rFonts w:ascii="Book Antiqua"/>
          <w:sz w:val="24"/>
          <w:szCs w:val="24"/>
          <w:rtl w:val="0"/>
          <w:lang w:val="it-IT"/>
        </w:rPr>
        <w:t xml:space="preserve">; </w:t>
      </w:r>
      <w:r>
        <w:rPr>
          <w:rFonts w:hAnsi="Book Antiqua" w:hint="default"/>
          <w:sz w:val="24"/>
          <w:szCs w:val="24"/>
          <w:rtl w:val="0"/>
          <w:lang w:val="it-IT"/>
        </w:rPr>
        <w:t xml:space="preserve">“è </w:t>
      </w:r>
      <w:r>
        <w:rPr>
          <w:rFonts w:ascii="Book Antiqua"/>
          <w:sz w:val="24"/>
          <w:szCs w:val="24"/>
          <w:rtl w:val="0"/>
          <w:lang w:val="it-IT"/>
        </w:rPr>
        <w:t xml:space="preserve">opportuno precisare che un'altra utenza telefonica (0773.660258) comunemente usata come indirizzo telefonico della segreteria politica del senatore Calvi </w:t>
      </w:r>
      <w:r>
        <w:rPr>
          <w:rFonts w:hAnsi="Book Antiqua" w:hint="default"/>
          <w:sz w:val="24"/>
          <w:szCs w:val="24"/>
          <w:rtl w:val="0"/>
          <w:lang w:val="it-IT"/>
        </w:rPr>
        <w:t xml:space="preserve">è </w:t>
      </w:r>
      <w:r>
        <w:rPr>
          <w:rFonts w:ascii="Book Antiqua"/>
          <w:sz w:val="24"/>
          <w:szCs w:val="24"/>
          <w:rtl w:val="0"/>
          <w:lang w:val="it-IT"/>
        </w:rPr>
        <w:t>un realt</w:t>
      </w:r>
      <w:r>
        <w:rPr>
          <w:rFonts w:hAnsi="Book Antiqua" w:hint="default"/>
          <w:sz w:val="24"/>
          <w:szCs w:val="24"/>
          <w:rtl w:val="0"/>
          <w:lang w:val="it-IT"/>
        </w:rPr>
        <w:t xml:space="preserve">à </w:t>
      </w:r>
      <w:r>
        <w:rPr>
          <w:rFonts w:ascii="Book Antiqua"/>
          <w:sz w:val="24"/>
          <w:szCs w:val="24"/>
          <w:rtl w:val="0"/>
          <w:lang w:val="it-IT"/>
        </w:rPr>
        <w:t>intestata alla FAB srl gi</w:t>
      </w:r>
      <w:r>
        <w:rPr>
          <w:rFonts w:hAnsi="Book Antiqua" w:hint="default"/>
          <w:sz w:val="24"/>
          <w:szCs w:val="24"/>
          <w:rtl w:val="0"/>
          <w:lang w:val="it-IT"/>
        </w:rPr>
        <w:t xml:space="preserve">à </w:t>
      </w:r>
      <w:r>
        <w:rPr>
          <w:rFonts w:ascii="Book Antiqua"/>
          <w:sz w:val="24"/>
          <w:szCs w:val="24"/>
          <w:rtl w:val="0"/>
          <w:lang w:val="it-IT"/>
        </w:rPr>
        <w:t>citata</w:t>
      </w:r>
      <w:r>
        <w:rPr>
          <w:rFonts w:hAnsi="Book Antiqua" w:hint="default"/>
          <w:sz w:val="24"/>
          <w:szCs w:val="24"/>
          <w:rtl w:val="0"/>
          <w:lang w:val="it-IT"/>
        </w:rPr>
        <w:t>”</w:t>
      </w:r>
      <w:r>
        <w:rPr>
          <w:rFonts w:ascii="Book Antiqua"/>
          <w:sz w:val="24"/>
          <w:szCs w:val="24"/>
          <w:rtl w:val="0"/>
          <w:lang w:val="it-IT"/>
        </w:rPr>
        <w:t xml:space="preserve">; </w:t>
      </w:r>
      <w:r>
        <w:rPr>
          <w:rFonts w:hAnsi="Book Antiqua" w:hint="default"/>
          <w:sz w:val="24"/>
          <w:szCs w:val="24"/>
          <w:rtl w:val="0"/>
          <w:lang w:val="it-IT"/>
        </w:rPr>
        <w:t>“</w:t>
      </w:r>
      <w:r>
        <w:rPr>
          <w:rFonts w:ascii="Book Antiqua"/>
          <w:sz w:val="24"/>
          <w:szCs w:val="24"/>
          <w:rtl w:val="0"/>
          <w:lang w:val="it-IT"/>
        </w:rPr>
        <w:t xml:space="preserve">l'ubicazione di tale impianto Sip </w:t>
      </w:r>
      <w:r>
        <w:rPr>
          <w:rFonts w:hAnsi="Book Antiqua" w:hint="default"/>
          <w:sz w:val="24"/>
          <w:szCs w:val="24"/>
          <w:rtl w:val="0"/>
          <w:lang w:val="it-IT"/>
        </w:rPr>
        <w:t xml:space="preserve">è </w:t>
      </w:r>
      <w:r>
        <w:rPr>
          <w:rFonts w:ascii="Book Antiqua"/>
          <w:sz w:val="24"/>
          <w:szCs w:val="24"/>
          <w:rtl w:val="0"/>
          <w:lang w:val="it-IT"/>
        </w:rPr>
        <w:t>sito all'interno della segreteria politica del senatore Calvi e cio</w:t>
      </w:r>
      <w:r>
        <w:rPr>
          <w:rFonts w:hAnsi="Book Antiqua" w:hint="default"/>
          <w:sz w:val="24"/>
          <w:szCs w:val="24"/>
          <w:rtl w:val="0"/>
          <w:lang w:val="it-IT"/>
        </w:rPr>
        <w:t xml:space="preserve">è </w:t>
      </w:r>
      <w:r>
        <w:rPr>
          <w:rFonts w:ascii="Book Antiqua"/>
          <w:sz w:val="24"/>
          <w:szCs w:val="24"/>
          <w:rtl w:val="0"/>
          <w:lang w:val="it-IT"/>
        </w:rPr>
        <w:t>in via Cairoli 13 o 16 (vecchia e nuova numerazione). Tuttora tale utenza viene utilizzata per lo svolgimento di affari riguardanti l'operato politico del senatore citato;</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l'indirizzo utilizzato come segreteria politica dell'allora vicepresidente della commissione antimafia era stato acquistato da Andrea Proietto;</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 xml:space="preserve">l'utenza Enel dell'immobile citato </w:t>
      </w:r>
      <w:r>
        <w:rPr>
          <w:rFonts w:hAnsi="Book Antiqua" w:hint="default"/>
          <w:sz w:val="24"/>
          <w:szCs w:val="24"/>
          <w:rtl w:val="0"/>
          <w:lang w:val="it-IT"/>
        </w:rPr>
        <w:t xml:space="preserve">– </w:t>
      </w:r>
      <w:r>
        <w:rPr>
          <w:rFonts w:ascii="Book Antiqua"/>
          <w:sz w:val="24"/>
          <w:szCs w:val="24"/>
          <w:rtl w:val="0"/>
          <w:lang w:val="it-IT"/>
        </w:rPr>
        <w:t>di propriet</w:t>
      </w:r>
      <w:r>
        <w:rPr>
          <w:rFonts w:hAnsi="Book Antiqua" w:hint="default"/>
          <w:sz w:val="24"/>
          <w:szCs w:val="24"/>
          <w:rtl w:val="0"/>
          <w:lang w:val="it-IT"/>
        </w:rPr>
        <w:t xml:space="preserve">à </w:t>
      </w:r>
      <w:r>
        <w:rPr>
          <w:rFonts w:ascii="Book Antiqua"/>
          <w:sz w:val="24"/>
          <w:szCs w:val="24"/>
          <w:rtl w:val="0"/>
          <w:lang w:val="it-IT"/>
        </w:rPr>
        <w:t xml:space="preserve">di Andrea Proietto e utilizzato come sede della segreteria politica del senatore Calvi </w:t>
      </w:r>
      <w:r>
        <w:rPr>
          <w:rFonts w:hAnsi="Book Antiqua" w:hint="default"/>
          <w:sz w:val="24"/>
          <w:szCs w:val="24"/>
          <w:rtl w:val="0"/>
          <w:lang w:val="it-IT"/>
        </w:rPr>
        <w:t xml:space="preserve">– </w:t>
      </w:r>
      <w:r>
        <w:rPr>
          <w:rFonts w:ascii="Book Antiqua"/>
          <w:sz w:val="24"/>
          <w:szCs w:val="24"/>
          <w:rtl w:val="0"/>
          <w:lang w:val="it-IT"/>
        </w:rPr>
        <w:t>era pagata dalla societ</w:t>
      </w:r>
      <w:r>
        <w:rPr>
          <w:rFonts w:hAnsi="Book Antiqua" w:hint="default"/>
          <w:sz w:val="24"/>
          <w:szCs w:val="24"/>
          <w:rtl w:val="0"/>
          <w:lang w:val="it-IT"/>
        </w:rPr>
        <w:t xml:space="preserve">à </w:t>
      </w:r>
      <w:r>
        <w:rPr>
          <w:rFonts w:ascii="Book Antiqua"/>
          <w:sz w:val="24"/>
          <w:szCs w:val="24"/>
          <w:rtl w:val="0"/>
          <w:lang w:val="it-IT"/>
        </w:rPr>
        <w:t>Roma Cine TV srl, con sede in via Panama 11, Roma. Da fonti aperte la societ</w:t>
      </w:r>
      <w:r>
        <w:rPr>
          <w:rFonts w:hAnsi="Book Antiqua" w:hint="default"/>
          <w:sz w:val="24"/>
          <w:szCs w:val="24"/>
          <w:rtl w:val="0"/>
          <w:lang w:val="it-IT"/>
        </w:rPr>
        <w:t xml:space="preserve">à </w:t>
      </w:r>
      <w:r>
        <w:rPr>
          <w:rFonts w:ascii="Book Antiqua"/>
          <w:sz w:val="24"/>
          <w:szCs w:val="24"/>
          <w:rtl w:val="0"/>
          <w:lang w:val="it-IT"/>
        </w:rPr>
        <w:t>era all'epoca socio di riferimento dell'emittente televisiva GBR, i cui uffici era situati allo stesso indirizzo di Via Panama 11;</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anche l'utenza telefonica 0773.691644 era intestata alla societ</w:t>
      </w:r>
      <w:r>
        <w:rPr>
          <w:rFonts w:hAnsi="Book Antiqua" w:hint="default"/>
          <w:sz w:val="24"/>
          <w:szCs w:val="24"/>
          <w:rtl w:val="0"/>
          <w:lang w:val="it-IT"/>
        </w:rPr>
        <w:t xml:space="preserve">à </w:t>
      </w:r>
      <w:r>
        <w:rPr>
          <w:rFonts w:ascii="Book Antiqua"/>
          <w:sz w:val="24"/>
          <w:szCs w:val="24"/>
          <w:rtl w:val="0"/>
          <w:lang w:val="it-IT"/>
        </w:rPr>
        <w:t>Roma Cine TV e attestata in un ufficio all'interno 4, primo piano dell'immobile di Latina;</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 xml:space="preserve">Piercarlo Giorgi, segretario del senatore Calvi, aveva utilizzato come </w:t>
      </w:r>
      <w:r>
        <w:rPr>
          <w:rFonts w:hAnsi="Book Antiqua" w:hint="default"/>
          <w:sz w:val="24"/>
          <w:szCs w:val="24"/>
          <w:rtl w:val="0"/>
          <w:lang w:val="it-IT"/>
        </w:rPr>
        <w:t>“</w:t>
      </w:r>
      <w:r>
        <w:rPr>
          <w:rFonts w:ascii="Book Antiqua"/>
          <w:sz w:val="24"/>
          <w:szCs w:val="24"/>
          <w:rtl w:val="0"/>
          <w:lang w:val="it-IT"/>
        </w:rPr>
        <w:t>appendice della segreteria politica del senatore in argomento anche quell'immobile, attualmente sede dell'emittente televisiva Gbr</w:t>
      </w:r>
      <w:r>
        <w:rPr>
          <w:rFonts w:hAnsi="Book Antiqua" w:hint="default"/>
          <w:sz w:val="24"/>
          <w:szCs w:val="24"/>
          <w:rtl w:val="0"/>
          <w:lang w:val="it-IT"/>
        </w:rPr>
        <w:t>”</w:t>
      </w:r>
      <w:r>
        <w:rPr>
          <w:rFonts w:ascii="Book Antiqua"/>
          <w:sz w:val="24"/>
          <w:szCs w:val="24"/>
          <w:rtl w:val="0"/>
          <w:lang w:val="it-IT"/>
        </w:rPr>
        <w:t>; secondo la DIGOS l'utenza telefonica 0773.691644 era utilizzata per l'attivit</w:t>
      </w:r>
      <w:r>
        <w:rPr>
          <w:rFonts w:hAnsi="Book Antiqua" w:hint="default"/>
          <w:sz w:val="24"/>
          <w:szCs w:val="24"/>
          <w:rtl w:val="0"/>
          <w:lang w:val="it-IT"/>
        </w:rPr>
        <w:t xml:space="preserve">à </w:t>
      </w:r>
      <w:r>
        <w:rPr>
          <w:rFonts w:ascii="Book Antiqua"/>
          <w:sz w:val="24"/>
          <w:szCs w:val="24"/>
          <w:rtl w:val="0"/>
          <w:lang w:val="it-IT"/>
        </w:rPr>
        <w:t>politica del senatore Calvi;</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Sergio Fraulin, gi</w:t>
      </w:r>
      <w:r>
        <w:rPr>
          <w:rFonts w:hAnsi="Book Antiqua" w:hint="default"/>
          <w:sz w:val="24"/>
          <w:szCs w:val="24"/>
          <w:rtl w:val="0"/>
          <w:lang w:val="it-IT"/>
        </w:rPr>
        <w:t xml:space="preserve">à </w:t>
      </w:r>
      <w:r>
        <w:rPr>
          <w:rFonts w:ascii="Book Antiqua"/>
          <w:sz w:val="24"/>
          <w:szCs w:val="24"/>
          <w:rtl w:val="0"/>
          <w:lang w:val="it-IT"/>
        </w:rPr>
        <w:t>dipendente della Pro.Chi.</w:t>
      </w:r>
      <w:r>
        <w:rPr>
          <w:rFonts w:ascii="Book Antiqua" w:cs="Book Antiqua" w:hAnsi="Book Antiqua" w:eastAsia="Book Antiqua"/>
          <w:sz w:val="24"/>
          <w:szCs w:val="24"/>
          <w:vertAlign w:val="superscript"/>
          <w:rtl w:val="0"/>
        </w:rPr>
        <w:footnoteReference w:id="349"/>
      </w:r>
      <w:r>
        <w:rPr>
          <w:rFonts w:ascii="Book Antiqua"/>
          <w:sz w:val="24"/>
          <w:szCs w:val="24"/>
          <w:rtl w:val="0"/>
          <w:lang w:val="it-IT"/>
        </w:rPr>
        <w:t>, e dipendente della citata FAB srl al momento della redazione dell'informativa della Digos, era stato in passato autista a tempo pieno del senatore Maurizio Calvi;</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il gi</w:t>
      </w:r>
      <w:r>
        <w:rPr>
          <w:rFonts w:hAnsi="Book Antiqua" w:hint="default"/>
          <w:sz w:val="24"/>
          <w:szCs w:val="24"/>
          <w:rtl w:val="0"/>
          <w:lang w:val="it-IT"/>
        </w:rPr>
        <w:t xml:space="preserve">à </w:t>
      </w:r>
      <w:r>
        <w:rPr>
          <w:rFonts w:ascii="Book Antiqua"/>
          <w:sz w:val="24"/>
          <w:szCs w:val="24"/>
          <w:rtl w:val="0"/>
          <w:lang w:val="it-IT"/>
        </w:rPr>
        <w:t xml:space="preserve">citato Piercarlo Giorgi, </w:t>
      </w:r>
      <w:r>
        <w:rPr>
          <w:rFonts w:hAnsi="Book Antiqua" w:hint="default"/>
          <w:sz w:val="24"/>
          <w:szCs w:val="24"/>
          <w:rtl w:val="0"/>
          <w:lang w:val="it-IT"/>
        </w:rPr>
        <w:t>“</w:t>
      </w:r>
      <w:r>
        <w:rPr>
          <w:rFonts w:ascii="Book Antiqua"/>
          <w:sz w:val="24"/>
          <w:szCs w:val="24"/>
          <w:rtl w:val="0"/>
          <w:lang w:val="it-IT"/>
        </w:rPr>
        <w:t>notoriamente conosciuto a tutti i livelli come segretario del senatore Calvi</w:t>
      </w:r>
      <w:r>
        <w:rPr>
          <w:rFonts w:hAnsi="Book Antiqua" w:hint="default"/>
          <w:sz w:val="24"/>
          <w:szCs w:val="24"/>
          <w:rtl w:val="0"/>
          <w:lang w:val="it-IT"/>
        </w:rPr>
        <w:t>”</w:t>
      </w:r>
      <w:r>
        <w:rPr>
          <w:rFonts w:ascii="Book Antiqua"/>
          <w:sz w:val="24"/>
          <w:szCs w:val="24"/>
          <w:rtl w:val="0"/>
          <w:lang w:val="it-IT"/>
        </w:rPr>
        <w:t>, risultava a sua volta dipendente della Ecologica Tirrena, avente sede ad Anzio; rappresentante legale della societ</w:t>
      </w:r>
      <w:r>
        <w:rPr>
          <w:rFonts w:hAnsi="Book Antiqua" w:hint="default"/>
          <w:sz w:val="24"/>
          <w:szCs w:val="24"/>
          <w:rtl w:val="0"/>
          <w:lang w:val="it-IT"/>
        </w:rPr>
        <w:t xml:space="preserve">à </w:t>
      </w:r>
      <w:r>
        <w:rPr>
          <w:rFonts w:ascii="Book Antiqua"/>
          <w:sz w:val="24"/>
          <w:szCs w:val="24"/>
          <w:rtl w:val="0"/>
          <w:lang w:val="it-IT"/>
        </w:rPr>
        <w:t>era Stefano Proietto, figlio di Andrea Proietto;</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l'autovettura Citroen CX Pallas, utilizzata secondo l'interrogazione dell'onorevole Giulio Maceratini dal senatore Maurizio Calvi e oggetto di un furto avvenuto a Latina il 11 aprile 1989, era intestata alla citata Ecologica Tirrena;</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in un</w:t>
      </w:r>
      <w:r>
        <w:rPr>
          <w:rFonts w:hAnsi="Book Antiqua" w:hint="default"/>
          <w:sz w:val="24"/>
          <w:szCs w:val="24"/>
          <w:rtl w:val="0"/>
          <w:lang w:val="it-IT"/>
        </w:rPr>
        <w:t>’</w:t>
      </w:r>
      <w:r>
        <w:rPr>
          <w:rFonts w:ascii="Book Antiqua"/>
          <w:sz w:val="24"/>
          <w:szCs w:val="24"/>
          <w:rtl w:val="0"/>
          <w:lang w:val="it-IT"/>
        </w:rPr>
        <w:t xml:space="preserve">intervista rilasciata il 19 febbraio 1993 in risposta all'interrogazione citata, il senatore Maurizio Calvi sosteneva rispetto all'automobile Citroen: </w:t>
      </w:r>
      <w:r>
        <w:rPr>
          <w:rFonts w:hAnsi="Book Antiqua" w:hint="default"/>
          <w:sz w:val="24"/>
          <w:szCs w:val="24"/>
          <w:rtl w:val="0"/>
          <w:lang w:val="it-IT"/>
        </w:rPr>
        <w:t>“</w:t>
      </w:r>
      <w:r>
        <w:rPr>
          <w:rFonts w:ascii="Book Antiqua"/>
          <w:sz w:val="24"/>
          <w:szCs w:val="24"/>
          <w:rtl w:val="0"/>
          <w:lang w:val="it-IT"/>
        </w:rPr>
        <w:t xml:space="preserve">Quell'auto non l'ho mai avuta in possesso, mi </w:t>
      </w:r>
      <w:r>
        <w:rPr>
          <w:rFonts w:hAnsi="Book Antiqua" w:hint="default"/>
          <w:sz w:val="24"/>
          <w:szCs w:val="24"/>
          <w:rtl w:val="0"/>
          <w:lang w:val="it-IT"/>
        </w:rPr>
        <w:t xml:space="preserve">è </w:t>
      </w:r>
      <w:r>
        <w:rPr>
          <w:rFonts w:ascii="Book Antiqua"/>
          <w:sz w:val="24"/>
          <w:szCs w:val="24"/>
          <w:rtl w:val="0"/>
          <w:lang w:val="it-IT"/>
        </w:rPr>
        <w:t>stata prestata in maniera contingente</w:t>
      </w:r>
      <w:r>
        <w:rPr>
          <w:rFonts w:hAnsi="Book Antiqua" w:hint="default"/>
          <w:sz w:val="24"/>
          <w:szCs w:val="24"/>
          <w:rtl w:val="0"/>
          <w:lang w:val="it-IT"/>
        </w:rPr>
        <w:t>”</w:t>
      </w:r>
      <w:r>
        <w:rPr>
          <w:rFonts w:ascii="Book Antiqua"/>
          <w:sz w:val="24"/>
          <w:szCs w:val="24"/>
          <w:rtl w:val="0"/>
          <w:lang w:val="it-IT"/>
        </w:rPr>
        <w:t>. Annota la Digos che sull'automobile poi rubata vi era installato un telefono radiomobile (utenza 0333.719016) intestato al senatore e che quindi fosse poco credibile la versione del prestito contingente e momentaneo.</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 xml:space="preserve">Tra gli atti acquisiti dalla commissione non vi </w:t>
      </w:r>
      <w:r>
        <w:rPr>
          <w:rFonts w:hAnsi="Book Antiqua" w:hint="default"/>
          <w:sz w:val="24"/>
          <w:szCs w:val="24"/>
          <w:rtl w:val="0"/>
          <w:lang w:val="it-IT"/>
        </w:rPr>
        <w:t xml:space="preserve">è </w:t>
      </w:r>
      <w:r>
        <w:rPr>
          <w:rFonts w:ascii="Book Antiqua"/>
          <w:sz w:val="24"/>
          <w:szCs w:val="24"/>
          <w:rtl w:val="0"/>
          <w:lang w:val="it-IT"/>
        </w:rPr>
        <w:t>traccia di successive indagini o di deleghe specifiche da parte della autorit</w:t>
      </w:r>
      <w:r>
        <w:rPr>
          <w:rFonts w:hAnsi="Book Antiqua" w:hint="default"/>
          <w:sz w:val="24"/>
          <w:szCs w:val="24"/>
          <w:rtl w:val="0"/>
          <w:lang w:val="it-IT"/>
        </w:rPr>
        <w:t xml:space="preserve">à </w:t>
      </w:r>
      <w:r>
        <w:rPr>
          <w:rFonts w:ascii="Book Antiqua"/>
          <w:sz w:val="24"/>
          <w:szCs w:val="24"/>
          <w:rtl w:val="0"/>
          <w:lang w:val="it-IT"/>
        </w:rPr>
        <w:t>giudiziaria.</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 xml:space="preserve">L'informativa della squadra mobile di Latina del gennaio 2013, dopo aver riassunto quanto era emerso nel corso delle indagini del 1994, evidenzia: </w:t>
      </w:r>
      <w:r>
        <w:rPr>
          <w:rFonts w:hAnsi="Book Antiqua" w:hint="default"/>
          <w:sz w:val="24"/>
          <w:szCs w:val="24"/>
          <w:rtl w:val="0"/>
          <w:lang w:val="it-IT"/>
        </w:rPr>
        <w:t>“</w:t>
      </w:r>
      <w:r>
        <w:rPr>
          <w:rFonts w:ascii="Book Antiqua"/>
          <w:sz w:val="24"/>
          <w:szCs w:val="24"/>
          <w:rtl w:val="0"/>
          <w:lang w:val="it-IT"/>
        </w:rPr>
        <w:t>Da quanto descritto sono emersi univoci elementi informativi circa contiguit</w:t>
      </w:r>
      <w:r>
        <w:rPr>
          <w:rFonts w:hAnsi="Book Antiqua" w:hint="default"/>
          <w:sz w:val="24"/>
          <w:szCs w:val="24"/>
          <w:rtl w:val="0"/>
          <w:lang w:val="it-IT"/>
        </w:rPr>
        <w:t>à</w:t>
      </w:r>
      <w:r>
        <w:rPr>
          <w:rFonts w:ascii="Book Antiqua"/>
          <w:sz w:val="24"/>
          <w:szCs w:val="24"/>
          <w:rtl w:val="0"/>
          <w:lang w:val="it-IT"/>
        </w:rPr>
        <w:t>, non meglio specificate, se non per ci</w:t>
      </w:r>
      <w:r>
        <w:rPr>
          <w:rFonts w:hAnsi="Book Antiqua" w:hint="default"/>
          <w:sz w:val="24"/>
          <w:szCs w:val="24"/>
          <w:rtl w:val="0"/>
          <w:lang w:val="it-IT"/>
        </w:rPr>
        <w:t xml:space="preserve">ò </w:t>
      </w:r>
      <w:r>
        <w:rPr>
          <w:rFonts w:ascii="Book Antiqua"/>
          <w:sz w:val="24"/>
          <w:szCs w:val="24"/>
          <w:rtl w:val="0"/>
          <w:lang w:val="it-IT"/>
        </w:rPr>
        <w:t>che riguarda rapporti di lavoro di collaboratori del senatore Calvi (Giorgi e Fraulin) con societ</w:t>
      </w:r>
      <w:r>
        <w:rPr>
          <w:rFonts w:hAnsi="Book Antiqua" w:hint="default"/>
          <w:sz w:val="24"/>
          <w:szCs w:val="24"/>
          <w:rtl w:val="0"/>
          <w:lang w:val="it-IT"/>
        </w:rPr>
        <w:t xml:space="preserve">à </w:t>
      </w:r>
      <w:r>
        <w:rPr>
          <w:rFonts w:ascii="Book Antiqua"/>
          <w:sz w:val="24"/>
          <w:szCs w:val="24"/>
          <w:rtl w:val="0"/>
          <w:lang w:val="it-IT"/>
        </w:rPr>
        <w:t>riconducibili alla famiglia Proietto. E</w:t>
      </w:r>
      <w:r>
        <w:rPr>
          <w:rFonts w:hAnsi="Book Antiqua" w:hint="default"/>
          <w:sz w:val="24"/>
          <w:szCs w:val="24"/>
          <w:rtl w:val="0"/>
          <w:lang w:val="it-IT"/>
        </w:rPr>
        <w:t xml:space="preserve">’ </w:t>
      </w:r>
      <w:r>
        <w:rPr>
          <w:rFonts w:ascii="Book Antiqua"/>
          <w:sz w:val="24"/>
          <w:szCs w:val="24"/>
          <w:rtl w:val="0"/>
          <w:lang w:val="it-IT"/>
        </w:rPr>
        <w:t>plausibile ritenere che i predetti collaboratori fossero remunerati dalle societ</w:t>
      </w:r>
      <w:r>
        <w:rPr>
          <w:rFonts w:hAnsi="Book Antiqua" w:hint="default"/>
          <w:sz w:val="24"/>
          <w:szCs w:val="24"/>
          <w:rtl w:val="0"/>
          <w:lang w:val="it-IT"/>
        </w:rPr>
        <w:t xml:space="preserve">à </w:t>
      </w:r>
      <w:r>
        <w:rPr>
          <w:rFonts w:ascii="Book Antiqua"/>
          <w:sz w:val="24"/>
          <w:szCs w:val="24"/>
          <w:rtl w:val="0"/>
          <w:lang w:val="it-IT"/>
        </w:rPr>
        <w:t xml:space="preserve">riconducibili ai Proietto. Altro particolare che rileva </w:t>
      </w:r>
      <w:r>
        <w:rPr>
          <w:rFonts w:hAnsi="Book Antiqua" w:hint="default"/>
          <w:sz w:val="24"/>
          <w:szCs w:val="24"/>
          <w:rtl w:val="0"/>
          <w:lang w:val="it-IT"/>
        </w:rPr>
        <w:t xml:space="preserve">è </w:t>
      </w:r>
      <w:r>
        <w:rPr>
          <w:rFonts w:ascii="Book Antiqua"/>
          <w:sz w:val="24"/>
          <w:szCs w:val="24"/>
          <w:rtl w:val="0"/>
          <w:lang w:val="it-IT"/>
        </w:rPr>
        <w:t xml:space="preserve">il fatto che i Proietto nel periodo in cui hanno gestito la discarica avessero chiesto, ed ottenuto un ampliamento della stessa, da 5 a 42 ettari, da parte del presidente della regione Lazio. Il Presidente pro tempore </w:t>
      </w:r>
      <w:r>
        <w:rPr>
          <w:rFonts w:hAnsi="Book Antiqua" w:hint="default"/>
          <w:sz w:val="24"/>
          <w:szCs w:val="24"/>
          <w:rtl w:val="0"/>
          <w:lang w:val="it-IT"/>
        </w:rPr>
        <w:t xml:space="preserve">è </w:t>
      </w:r>
      <w:r>
        <w:rPr>
          <w:rFonts w:ascii="Book Antiqua"/>
          <w:sz w:val="24"/>
          <w:szCs w:val="24"/>
          <w:rtl w:val="0"/>
          <w:lang w:val="it-IT"/>
        </w:rPr>
        <w:t>stato identificato in Santarelli Giulio, anch</w:t>
      </w:r>
      <w:r>
        <w:rPr>
          <w:rFonts w:hAnsi="Book Antiqua" w:hint="default"/>
          <w:sz w:val="24"/>
          <w:szCs w:val="24"/>
          <w:rtl w:val="0"/>
          <w:lang w:val="it-IT"/>
        </w:rPr>
        <w:t>’</w:t>
      </w:r>
      <w:r>
        <w:rPr>
          <w:rFonts w:ascii="Book Antiqua"/>
          <w:sz w:val="24"/>
          <w:szCs w:val="24"/>
          <w:rtl w:val="0"/>
          <w:lang w:val="it-IT"/>
        </w:rPr>
        <w:t>egli esponente del partito socialista come il senatore Calvi</w:t>
      </w:r>
      <w:r>
        <w:rPr>
          <w:rFonts w:hAnsi="Book Antiqua" w:hint="default"/>
          <w:sz w:val="24"/>
          <w:szCs w:val="24"/>
          <w:rtl w:val="0"/>
          <w:lang w:val="it-IT"/>
        </w:rPr>
        <w:t>”</w:t>
      </w:r>
      <w:r>
        <w:rPr>
          <w:rFonts w:ascii="Book Antiqua"/>
          <w:sz w:val="24"/>
          <w:szCs w:val="24"/>
          <w:rtl w:val="0"/>
          <w:lang w:val="it-IT"/>
        </w:rPr>
        <w:t>.</w:t>
      </w:r>
    </w:p>
    <w:p>
      <w:pPr>
        <w:pStyle w:val="Corpo A"/>
        <w:ind w:left="567" w:right="567" w:firstLine="0"/>
        <w:jc w:val="both"/>
        <w:rPr>
          <w:rFonts w:ascii="Book Antiqua" w:cs="Book Antiqua" w:hAnsi="Book Antiqua" w:eastAsia="Book Antiqua"/>
          <w:sz w:val="24"/>
          <w:szCs w:val="24"/>
          <w:lang w:val="it-IT"/>
        </w:rPr>
      </w:pPr>
      <w:r>
        <w:rPr>
          <w:rFonts w:ascii="Book Antiqua"/>
          <w:sz w:val="24"/>
          <w:szCs w:val="24"/>
          <w:rtl w:val="0"/>
          <w:lang w:val="it-IT"/>
        </w:rPr>
        <w:t>A quanto gi</w:t>
      </w:r>
      <w:r>
        <w:rPr>
          <w:rFonts w:hAnsi="Book Antiqua" w:hint="default"/>
          <w:sz w:val="24"/>
          <w:szCs w:val="24"/>
          <w:rtl w:val="0"/>
          <w:lang w:val="it-IT"/>
        </w:rPr>
        <w:t xml:space="preserve">à </w:t>
      </w:r>
      <w:r>
        <w:rPr>
          <w:rFonts w:ascii="Book Antiqua"/>
          <w:sz w:val="24"/>
          <w:szCs w:val="24"/>
          <w:rtl w:val="0"/>
          <w:lang w:val="it-IT"/>
        </w:rPr>
        <w:t>osservato dagli investigatori di Latina va aggiunto un ulteriore elemento. Il citato Giulio Santarelli aveva preceduto nella guida della regione Lazio Bruno Landi, politico dello stesso partito. Fu lo stesso Landi ad autorizzare, come abbiamo visto, l'utilizzo dell'invaso ex 2B di Borgo Montello per accogliere i rifiuti pericolosi; durante il suo mandato la Pro.Chi. della famiglia Proietto ha poi visto ampliare il volume d'affari, fino alla cessione delle quote alla famiglia Maruca. Bruno Landi alla fine degli anni '90 entrer</w:t>
      </w:r>
      <w:r>
        <w:rPr>
          <w:rFonts w:hAnsi="Book Antiqua" w:hint="default"/>
          <w:sz w:val="24"/>
          <w:szCs w:val="24"/>
          <w:rtl w:val="0"/>
          <w:lang w:val="it-IT"/>
        </w:rPr>
        <w:t xml:space="preserve">à </w:t>
      </w:r>
      <w:r>
        <w:rPr>
          <w:rFonts w:ascii="Book Antiqua"/>
          <w:sz w:val="24"/>
          <w:szCs w:val="24"/>
          <w:rtl w:val="0"/>
          <w:lang w:val="it-IT"/>
        </w:rPr>
        <w:t>nel management del gruppo Cerroni, fino ad arrivare alla nomina di amministratore delegato della Ecoambiente S.r.l., uno dei due attuali gestori.</w:t>
      </w:r>
    </w:p>
    <w:p>
      <w:pPr>
        <w:pStyle w:val="Corpo A"/>
        <w:ind w:left="567" w:right="567" w:firstLine="0"/>
        <w:jc w:val="both"/>
        <w:rPr>
          <w:rFonts w:ascii="Book Antiqua" w:cs="Book Antiqua" w:hAnsi="Book Antiqua" w:eastAsia="Book Antiqua"/>
          <w:sz w:val="24"/>
          <w:szCs w:val="24"/>
          <w:lang w:val="it-IT"/>
        </w:rPr>
      </w:pPr>
    </w:p>
    <w:p>
      <w:pPr>
        <w:pStyle w:val="Corpo A"/>
        <w:ind w:left="567" w:right="567" w:firstLine="0"/>
        <w:jc w:val="both"/>
        <w:rPr>
          <w:rFonts w:ascii="Book Antiqua" w:cs="Book Antiqua" w:hAnsi="Book Antiqua" w:eastAsia="Book Antiqua"/>
          <w:sz w:val="24"/>
          <w:szCs w:val="24"/>
          <w:lang w:val="it-IT"/>
        </w:rPr>
      </w:pPr>
    </w:p>
    <w:p>
      <w:pPr>
        <w:pStyle w:val="Corpo A"/>
        <w:ind w:left="567" w:right="567" w:firstLine="0"/>
        <w:jc w:val="both"/>
        <w:rPr>
          <w:rFonts w:ascii="Book Antiqua" w:cs="Book Antiqua" w:hAnsi="Book Antiqua" w:eastAsia="Book Antiqua"/>
          <w:sz w:val="28"/>
          <w:szCs w:val="28"/>
          <w:lang w:val="it-IT"/>
        </w:rPr>
      </w:pPr>
      <w:r>
        <w:rPr>
          <w:rFonts w:ascii="Book Antiqua"/>
          <w:sz w:val="28"/>
          <w:szCs w:val="28"/>
          <w:rtl w:val="0"/>
          <w:lang w:val="it-IT"/>
        </w:rPr>
        <w:t>7.6 La presenza attuale della criminalit</w:t>
      </w:r>
      <w:r>
        <w:rPr>
          <w:rFonts w:hAnsi="Book Antiqua" w:hint="default"/>
          <w:sz w:val="28"/>
          <w:szCs w:val="28"/>
          <w:rtl w:val="0"/>
          <w:lang w:val="it-IT"/>
        </w:rPr>
        <w:t xml:space="preserve">à </w:t>
      </w:r>
      <w:r>
        <w:rPr>
          <w:rFonts w:ascii="Book Antiqua"/>
          <w:sz w:val="28"/>
          <w:szCs w:val="28"/>
          <w:rtl w:val="0"/>
          <w:lang w:val="it-IT"/>
        </w:rPr>
        <w:t>organizzata</w:t>
      </w:r>
    </w:p>
    <w:p>
      <w:pPr>
        <w:pStyle w:val="Normal"/>
        <w:suppressAutoHyphens w:val="1"/>
        <w:ind w:left="567" w:right="567" w:firstLine="0"/>
        <w:jc w:val="both"/>
        <w:rPr>
          <w:rFonts w:ascii="Book Antiqua" w:cs="Book Antiqua" w:hAnsi="Book Antiqua" w:eastAsia="Book Antiqua"/>
          <w:kern w:val="1"/>
          <w:sz w:val="28"/>
          <w:szCs w:val="28"/>
        </w:rPr>
      </w:pPr>
    </w:p>
    <w:p>
      <w:pPr>
        <w:pStyle w:val="Normal"/>
        <w:suppressAutoHyphens w:val="1"/>
        <w:ind w:left="567" w:right="567" w:firstLine="0"/>
        <w:jc w:val="both"/>
        <w:rPr>
          <w:rFonts w:ascii="Book Antiqua" w:cs="Book Antiqua" w:hAnsi="Book Antiqua" w:eastAsia="Book Antiqua"/>
          <w:kern w:val="1"/>
        </w:rPr>
      </w:pPr>
      <w:r>
        <w:rPr>
          <w:rFonts w:ascii="Book Antiqua"/>
          <w:kern w:val="1"/>
          <w:rtl w:val="0"/>
          <w:lang w:val="it-IT"/>
        </w:rPr>
        <w:t>Le considerazioni che precedono, pur orientate in prospettiva storica, si legano alla situazione attuale della provincia di Latina, sia sotto i richiamati aspetti di tutela dell</w:t>
      </w:r>
      <w:r>
        <w:rPr>
          <w:rFonts w:hAnsi="Book Antiqua" w:hint="default"/>
          <w:kern w:val="1"/>
          <w:rtl w:val="0"/>
          <w:lang w:val="it-IT"/>
        </w:rPr>
        <w:t>’</w:t>
      </w:r>
      <w:r>
        <w:rPr>
          <w:rFonts w:ascii="Book Antiqua"/>
          <w:kern w:val="1"/>
          <w:rtl w:val="0"/>
          <w:lang w:val="it-IT"/>
        </w:rPr>
        <w:t xml:space="preserve">ambiente, sua per quanto riguarda possibili persistenti interessi criminali. Da questo punto di vista vale il richiamo a quanto si </w:t>
      </w:r>
      <w:r>
        <w:rPr>
          <w:rFonts w:hAnsi="Book Antiqua" w:hint="default"/>
          <w:kern w:val="1"/>
          <w:rtl w:val="0"/>
          <w:lang w:val="it-IT"/>
        </w:rPr>
        <w:t xml:space="preserve">è </w:t>
      </w:r>
      <w:r>
        <w:rPr>
          <w:rFonts w:ascii="Book Antiqua"/>
          <w:kern w:val="1"/>
          <w:rtl w:val="0"/>
          <w:lang w:val="it-IT"/>
        </w:rPr>
        <w:t xml:space="preserve">detto, a proposito della situazione di quel territorio, nel </w:t>
      </w:r>
      <w:r>
        <w:rPr>
          <w:rFonts w:hAnsi="Book Antiqua" w:hint="default"/>
          <w:kern w:val="1"/>
          <w:rtl w:val="0"/>
          <w:lang w:val="it-IT"/>
        </w:rPr>
        <w:t xml:space="preserve">§ </w:t>
      </w:r>
      <w:r>
        <w:rPr>
          <w:rFonts w:ascii="Book Antiqua"/>
          <w:kern w:val="1"/>
          <w:rtl w:val="0"/>
          <w:lang w:val="it-IT"/>
        </w:rPr>
        <w:t>6.1, e pu</w:t>
      </w:r>
      <w:r>
        <w:rPr>
          <w:rFonts w:hAnsi="Book Antiqua" w:hint="default"/>
          <w:kern w:val="1"/>
          <w:rtl w:val="0"/>
          <w:lang w:val="it-IT"/>
        </w:rPr>
        <w:t xml:space="preserve">ò </w:t>
      </w:r>
      <w:r>
        <w:rPr>
          <w:rFonts w:ascii="Book Antiqua"/>
          <w:kern w:val="1"/>
          <w:rtl w:val="0"/>
          <w:lang w:val="it-IT"/>
        </w:rPr>
        <w:t>essere qui citato il contenuto informativo offerto alla Commissione dalla prefettura di Latina</w:t>
      </w:r>
      <w:r>
        <w:rPr>
          <w:rFonts w:ascii="Book Antiqua" w:cs="Book Antiqua" w:hAnsi="Book Antiqua" w:eastAsia="Book Antiqua"/>
          <w:kern w:val="1"/>
          <w:vertAlign w:val="superscript"/>
          <w:rtl w:val="0"/>
        </w:rPr>
        <w:footnoteReference w:id="350"/>
      </w:r>
      <w:r>
        <w:rPr>
          <w:rFonts w:ascii="Book Antiqua"/>
          <w:kern w:val="1"/>
          <w:rtl w:val="0"/>
          <w:lang w:val="it-IT"/>
        </w:rPr>
        <w:t xml:space="preserve"> a proposito del contesto locale:</w:t>
      </w:r>
    </w:p>
    <w:p>
      <w:pPr>
        <w:pStyle w:val="Normal"/>
        <w:ind w:left="567" w:right="567" w:firstLine="0"/>
        <w:jc w:val="both"/>
        <w:rPr>
          <w:rFonts w:ascii="Book Antiqua" w:cs="Book Antiqua" w:hAnsi="Book Antiqua" w:eastAsia="Book Antiqua"/>
        </w:rPr>
      </w:pPr>
      <w:r>
        <w:rPr>
          <w:rFonts w:hAnsi="Book Antiqua" w:hint="default"/>
          <w:kern w:val="1"/>
          <w:rtl w:val="0"/>
          <w:lang w:val="it-IT"/>
        </w:rPr>
        <w:t>“</w:t>
      </w:r>
      <w:r>
        <w:rPr>
          <w:rFonts w:ascii="Book Antiqua"/>
          <w:rtl w:val="0"/>
          <w:lang w:val="it-IT"/>
        </w:rPr>
        <w:t>La provincia di Latina si caratterizza per la compresenza di vari tipi di organizzazioni criminali, da quelle mafiose tradizionali (camorra, 'ndrangheta e cosa nostra) a quelle autoctone.</w:t>
      </w:r>
    </w:p>
    <w:p>
      <w:pPr>
        <w:pStyle w:val="Normal"/>
        <w:ind w:left="567" w:right="567" w:firstLine="0"/>
        <w:jc w:val="both"/>
        <w:rPr>
          <w:rFonts w:ascii="Book Antiqua" w:cs="Book Antiqua" w:hAnsi="Book Antiqua" w:eastAsia="Book Antiqua"/>
        </w:rPr>
      </w:pPr>
      <w:r>
        <w:rPr>
          <w:rFonts w:ascii="Book Antiqua"/>
          <w:rtl w:val="0"/>
          <w:lang w:val="it-IT"/>
        </w:rPr>
        <w:t>Il territorio pontino, infatti, ha rappresentato da tempo un bacino geoeconomico</w:t>
      </w:r>
    </w:p>
    <w:p>
      <w:pPr>
        <w:pStyle w:val="Normal"/>
        <w:ind w:left="567" w:right="567" w:firstLine="0"/>
        <w:jc w:val="both"/>
        <w:rPr>
          <w:rFonts w:ascii="Book Antiqua" w:cs="Book Antiqua" w:hAnsi="Book Antiqua" w:eastAsia="Book Antiqua"/>
        </w:rPr>
      </w:pPr>
      <w:r>
        <w:rPr>
          <w:rFonts w:ascii="Book Antiqua"/>
          <w:rtl w:val="0"/>
          <w:lang w:val="it-IT"/>
        </w:rPr>
        <w:t>appetibile per le organizzazioni criminali grazie alla sua peculiare dislocazione geografica.</w:t>
      </w:r>
    </w:p>
    <w:p>
      <w:pPr>
        <w:pStyle w:val="Normal"/>
        <w:ind w:left="567" w:right="567" w:firstLine="0"/>
        <w:jc w:val="both"/>
        <w:rPr>
          <w:rFonts w:ascii="Book Antiqua" w:cs="Book Antiqua" w:hAnsi="Book Antiqua" w:eastAsia="Book Antiqua"/>
        </w:rPr>
      </w:pPr>
      <w:r>
        <w:rPr>
          <w:rFonts w:ascii="Book Antiqua"/>
          <w:rtl w:val="0"/>
          <w:lang w:val="it-IT"/>
        </w:rPr>
        <w:t>La vicinanza a realt</w:t>
      </w:r>
      <w:r>
        <w:rPr>
          <w:rFonts w:hAnsi="Book Antiqua" w:hint="default"/>
          <w:rtl w:val="0"/>
          <w:lang w:val="it-IT"/>
        </w:rPr>
        <w:t xml:space="preserve">à </w:t>
      </w:r>
      <w:r>
        <w:rPr>
          <w:rFonts w:ascii="Book Antiqua"/>
          <w:rtl w:val="0"/>
          <w:lang w:val="it-IT"/>
        </w:rPr>
        <w:t>significative per dimensione e consistenza criminale, come quella casertana e napoletana nonch</w:t>
      </w:r>
      <w:r>
        <w:rPr>
          <w:rFonts w:hAnsi="Book Antiqua" w:hint="default"/>
          <w:rtl w:val="0"/>
          <w:lang w:val="it-IT"/>
        </w:rPr>
        <w:t xml:space="preserve">é </w:t>
      </w:r>
      <w:r>
        <w:rPr>
          <w:rFonts w:ascii="Book Antiqua"/>
          <w:rtl w:val="0"/>
          <w:lang w:val="it-IT"/>
        </w:rPr>
        <w:t>la presenza, sin dagli anni '60/70, di pregiudicati campani e calabresi, inviati nella provincia, in soggiorno obbligato o perch</w:t>
      </w:r>
      <w:r>
        <w:rPr>
          <w:rFonts w:hAnsi="Book Antiqua" w:hint="default"/>
          <w:rtl w:val="0"/>
          <w:lang w:val="it-IT"/>
        </w:rPr>
        <w:t xml:space="preserve">é </w:t>
      </w:r>
      <w:r>
        <w:rPr>
          <w:rFonts w:ascii="Book Antiqua"/>
          <w:rtl w:val="0"/>
          <w:lang w:val="it-IT"/>
        </w:rPr>
        <w:t>colpiti da altre misure di prevenzione personale, ha favorito l'incursione di propri affiliati, per costituirvi articolazioni logistiche per il riciclaggio e/o per il reimpiego dei proventi illeciti in attivit</w:t>
      </w:r>
      <w:r>
        <w:rPr>
          <w:rFonts w:hAnsi="Book Antiqua" w:hint="default"/>
          <w:rtl w:val="0"/>
          <w:lang w:val="it-IT"/>
        </w:rPr>
        <w:t xml:space="preserve">à </w:t>
      </w:r>
      <w:r>
        <w:rPr>
          <w:rFonts w:ascii="Book Antiqua"/>
          <w:rtl w:val="0"/>
          <w:lang w:val="it-IT"/>
        </w:rPr>
        <w:t>imprenditoriali apparentemente lecite, sfruttando, tra l'altro, l</w:t>
      </w:r>
      <w:r>
        <w:rPr>
          <w:rFonts w:hAnsi="Book Antiqua" w:hint="default"/>
          <w:rtl w:val="0"/>
          <w:lang w:val="it-IT"/>
        </w:rPr>
        <w:t>’</w:t>
      </w:r>
      <w:r>
        <w:rPr>
          <w:rFonts w:ascii="Book Antiqua"/>
          <w:rtl w:val="0"/>
          <w:lang w:val="it-IT"/>
        </w:rPr>
        <w:t>elevata vocazione agricola, la presenza del mercato ortofrutticolo di Fondi (M.O.F.) ed i settori dell'edilizia, della logistica, del turismo,</w:t>
      </w:r>
    </w:p>
    <w:p>
      <w:pPr>
        <w:pStyle w:val="Normal"/>
        <w:ind w:left="567" w:right="567" w:firstLine="0"/>
        <w:jc w:val="both"/>
        <w:rPr>
          <w:rFonts w:ascii="Book Antiqua" w:cs="Book Antiqua" w:hAnsi="Book Antiqua" w:eastAsia="Book Antiqua"/>
        </w:rPr>
      </w:pPr>
      <w:r>
        <w:rPr>
          <w:rFonts w:ascii="Book Antiqua"/>
          <w:rtl w:val="0"/>
          <w:lang w:val="it-IT"/>
        </w:rPr>
        <w:t>del commercio all'ingrosso e di quello al dettaglio.</w:t>
      </w:r>
    </w:p>
    <w:p>
      <w:pPr>
        <w:pStyle w:val="Normal"/>
        <w:ind w:left="567" w:right="567" w:firstLine="0"/>
        <w:jc w:val="both"/>
        <w:rPr>
          <w:rFonts w:ascii="Book Antiqua" w:cs="Book Antiqua" w:hAnsi="Book Antiqua" w:eastAsia="Book Antiqua"/>
        </w:rPr>
      </w:pPr>
      <w:r>
        <w:rPr>
          <w:rFonts w:ascii="Book Antiqua"/>
          <w:rtl w:val="0"/>
          <w:lang w:val="it-IT"/>
        </w:rPr>
        <w:t>In particolare tali sodalizi sono stati attratti soprattutto per la possibilit</w:t>
      </w:r>
      <w:r>
        <w:rPr>
          <w:rFonts w:hAnsi="Book Antiqua" w:hint="default"/>
          <w:rtl w:val="0"/>
          <w:lang w:val="it-IT"/>
        </w:rPr>
        <w:t xml:space="preserve">à </w:t>
      </w:r>
      <w:r>
        <w:rPr>
          <w:rFonts w:ascii="Book Antiqua"/>
          <w:rtl w:val="0"/>
          <w:lang w:val="it-IT"/>
        </w:rPr>
        <w:t>di reinvestire in modo pi</w:t>
      </w:r>
      <w:r>
        <w:rPr>
          <w:rFonts w:hAnsi="Book Antiqua" w:hint="default"/>
          <w:rtl w:val="0"/>
          <w:lang w:val="it-IT"/>
        </w:rPr>
        <w:t xml:space="preserve">ù </w:t>
      </w:r>
      <w:r>
        <w:rPr>
          <w:rFonts w:ascii="Book Antiqua"/>
          <w:rtl w:val="0"/>
          <w:lang w:val="it-IT"/>
        </w:rPr>
        <w:t>sicuro i loro ingenti proventi illeciti, considerata:</w:t>
      </w:r>
    </w:p>
    <w:p>
      <w:pPr>
        <w:pStyle w:val="Normal"/>
        <w:ind w:left="567" w:right="567" w:firstLine="0"/>
        <w:jc w:val="both"/>
        <w:rPr>
          <w:rFonts w:ascii="Book Antiqua" w:cs="Book Antiqua" w:hAnsi="Book Antiqua" w:eastAsia="Book Antiqua"/>
        </w:rPr>
      </w:pPr>
      <w:r>
        <w:rPr>
          <w:rFonts w:ascii="Book Antiqua"/>
          <w:rtl w:val="0"/>
          <w:lang w:val="it-IT"/>
        </w:rPr>
        <w:t>la posizione geografica centrale e la sua vicinanza con Roma e la Campania;</w:t>
      </w:r>
    </w:p>
    <w:p>
      <w:pPr>
        <w:pStyle w:val="Normal"/>
        <w:ind w:left="567" w:right="567" w:firstLine="0"/>
        <w:jc w:val="both"/>
        <w:rPr>
          <w:rFonts w:ascii="Book Antiqua" w:cs="Book Antiqua" w:hAnsi="Book Antiqua" w:eastAsia="Book Antiqua"/>
        </w:rPr>
      </w:pPr>
      <w:r>
        <w:rPr>
          <w:rFonts w:ascii="Book Antiqua"/>
          <w:rtl w:val="0"/>
          <w:lang w:val="it-IT"/>
        </w:rPr>
        <w:t>la presenza in zona di numerose e diversificate attivit</w:t>
      </w:r>
      <w:r>
        <w:rPr>
          <w:rFonts w:hAnsi="Book Antiqua" w:hint="default"/>
          <w:rtl w:val="0"/>
          <w:lang w:val="it-IT"/>
        </w:rPr>
        <w:t xml:space="preserve">à </w:t>
      </w:r>
      <w:r>
        <w:rPr>
          <w:rFonts w:ascii="Book Antiqua"/>
          <w:rtl w:val="0"/>
          <w:lang w:val="it-IT"/>
        </w:rPr>
        <w:t>commerciali, che consentivano una pi</w:t>
      </w:r>
      <w:r>
        <w:rPr>
          <w:rFonts w:hAnsi="Book Antiqua" w:hint="default"/>
          <w:rtl w:val="0"/>
          <w:lang w:val="it-IT"/>
        </w:rPr>
        <w:t xml:space="preserve">ù </w:t>
      </w:r>
      <w:r>
        <w:rPr>
          <w:rFonts w:ascii="Book Antiqua"/>
          <w:rtl w:val="0"/>
          <w:lang w:val="it-IT"/>
        </w:rPr>
        <w:t>facile mimetizzazione delle risorse impiegate;</w:t>
      </w:r>
    </w:p>
    <w:p>
      <w:pPr>
        <w:pStyle w:val="Normal"/>
        <w:ind w:left="567" w:right="567" w:firstLine="0"/>
        <w:jc w:val="both"/>
        <w:rPr>
          <w:rFonts w:ascii="Book Antiqua" w:cs="Book Antiqua" w:hAnsi="Book Antiqua" w:eastAsia="Book Antiqua"/>
        </w:rPr>
      </w:pPr>
      <w:r>
        <w:rPr>
          <w:rFonts w:ascii="Book Antiqua"/>
          <w:rtl w:val="0"/>
          <w:lang w:val="it-IT"/>
        </w:rPr>
        <w:t>l'assenza di una organizzazione criminale dominante locale, a fronte di una realt</w:t>
      </w:r>
      <w:r>
        <w:rPr>
          <w:rFonts w:hAnsi="Book Antiqua" w:hint="default"/>
          <w:rtl w:val="0"/>
          <w:lang w:val="it-IT"/>
        </w:rPr>
        <w:t xml:space="preserve">à </w:t>
      </w:r>
      <w:r>
        <w:rPr>
          <w:rFonts w:ascii="Book Antiqua"/>
          <w:rtl w:val="0"/>
          <w:lang w:val="it-IT"/>
        </w:rPr>
        <w:t>relativamente tranquilla, che favoriva la possibilit</w:t>
      </w:r>
      <w:r>
        <w:rPr>
          <w:rFonts w:hAnsi="Book Antiqua" w:hint="default"/>
          <w:rtl w:val="0"/>
          <w:lang w:val="it-IT"/>
        </w:rPr>
        <w:t xml:space="preserve">à </w:t>
      </w:r>
      <w:r>
        <w:rPr>
          <w:rFonts w:ascii="Book Antiqua"/>
          <w:rtl w:val="0"/>
          <w:lang w:val="it-IT"/>
        </w:rPr>
        <w:t>di affermazione delle varie organizzazioni nel territorio;</w:t>
      </w:r>
    </w:p>
    <w:p>
      <w:pPr>
        <w:pStyle w:val="Normal"/>
        <w:ind w:left="567" w:right="567" w:firstLine="0"/>
        <w:jc w:val="both"/>
        <w:rPr>
          <w:rFonts w:ascii="Book Antiqua" w:cs="Book Antiqua" w:hAnsi="Book Antiqua" w:eastAsia="Book Antiqua"/>
        </w:rPr>
      </w:pPr>
      <w:r>
        <w:rPr>
          <w:rFonts w:ascii="Book Antiqua"/>
          <w:rtl w:val="0"/>
          <w:lang w:val="it-IT"/>
        </w:rPr>
        <w:t>una pi</w:t>
      </w:r>
      <w:r>
        <w:rPr>
          <w:rFonts w:hAnsi="Book Antiqua" w:hint="default"/>
          <w:rtl w:val="0"/>
          <w:lang w:val="it-IT"/>
        </w:rPr>
        <w:t xml:space="preserve">ù </w:t>
      </w:r>
      <w:r>
        <w:rPr>
          <w:rFonts w:ascii="Book Antiqua"/>
          <w:rtl w:val="0"/>
          <w:lang w:val="it-IT"/>
        </w:rPr>
        <w:t>facile mimetizzazione rispetto ai territori d'origine;</w:t>
      </w:r>
    </w:p>
    <w:p>
      <w:pPr>
        <w:pStyle w:val="Normal"/>
        <w:ind w:left="567" w:right="567" w:firstLine="0"/>
        <w:jc w:val="both"/>
        <w:rPr>
          <w:rFonts w:ascii="Book Antiqua" w:cs="Book Antiqua" w:hAnsi="Book Antiqua" w:eastAsia="Book Antiqua"/>
        </w:rPr>
      </w:pPr>
      <w:r>
        <w:rPr>
          <w:rFonts w:ascii="Book Antiqua"/>
          <w:rtl w:val="0"/>
          <w:lang w:val="it-IT"/>
        </w:rPr>
        <w:t>la possibilit</w:t>
      </w:r>
      <w:r>
        <w:rPr>
          <w:rFonts w:hAnsi="Book Antiqua" w:hint="default"/>
          <w:rtl w:val="0"/>
          <w:lang w:val="it-IT"/>
        </w:rPr>
        <w:t xml:space="preserve">à </w:t>
      </w:r>
      <w:r>
        <w:rPr>
          <w:rFonts w:ascii="Book Antiqua"/>
          <w:rtl w:val="0"/>
          <w:lang w:val="it-IT"/>
        </w:rPr>
        <w:t>di investire sull'acquisto di grandi appezzamenti terrieri al fine di intraprendere redditizie attivit</w:t>
      </w:r>
      <w:r>
        <w:rPr>
          <w:rFonts w:hAnsi="Book Antiqua" w:hint="default"/>
          <w:rtl w:val="0"/>
          <w:lang w:val="it-IT"/>
        </w:rPr>
        <w:t xml:space="preserve">à </w:t>
      </w:r>
      <w:r>
        <w:rPr>
          <w:rFonts w:ascii="Book Antiqua"/>
          <w:rtl w:val="0"/>
          <w:lang w:val="it-IT"/>
        </w:rPr>
        <w:t>economiche sia commerciali che immobiliari.</w:t>
      </w:r>
    </w:p>
    <w:p>
      <w:pPr>
        <w:pStyle w:val="Normal"/>
        <w:ind w:left="567" w:right="567" w:firstLine="0"/>
        <w:jc w:val="both"/>
        <w:rPr>
          <w:rFonts w:ascii="Book Antiqua" w:cs="Book Antiqua" w:hAnsi="Book Antiqua" w:eastAsia="Book Antiqua"/>
        </w:rPr>
      </w:pPr>
      <w:r>
        <w:rPr>
          <w:rFonts w:ascii="Book Antiqua"/>
          <w:rtl w:val="0"/>
          <w:lang w:val="it-IT"/>
        </w:rPr>
        <w:t xml:space="preserve">A partire dagli anni </w:t>
      </w:r>
      <w:r>
        <w:rPr>
          <w:rFonts w:hAnsi="Book Antiqua" w:hint="default"/>
          <w:rtl w:val="0"/>
          <w:lang w:val="it-IT"/>
        </w:rPr>
        <w:t>‘</w:t>
      </w:r>
      <w:r>
        <w:rPr>
          <w:rFonts w:ascii="Book Antiqua"/>
          <w:rtl w:val="0"/>
          <w:lang w:val="it-IT"/>
        </w:rPr>
        <w:t xml:space="preserve">80 si </w:t>
      </w:r>
      <w:r>
        <w:rPr>
          <w:rFonts w:hAnsi="Book Antiqua" w:hint="default"/>
          <w:rtl w:val="0"/>
          <w:lang w:val="it-IT"/>
        </w:rPr>
        <w:t xml:space="preserve">è </w:t>
      </w:r>
      <w:r>
        <w:rPr>
          <w:rFonts w:ascii="Book Antiqua"/>
          <w:rtl w:val="0"/>
          <w:lang w:val="it-IT"/>
        </w:rPr>
        <w:t>quindi assistito ad un graduale ingresso dei diversi sodalizi mafiosi, nei settori agro-alimentare, commerciale, immobiliare, turistico-balneare, soprattutto attraverso la costituzione o l'acquisto di quote sociali per mezzo di prestanome di fiducia.</w:t>
      </w:r>
    </w:p>
    <w:p>
      <w:pPr>
        <w:pStyle w:val="Normal"/>
        <w:ind w:left="567" w:right="567" w:firstLine="0"/>
        <w:jc w:val="both"/>
        <w:rPr>
          <w:rFonts w:ascii="Book Antiqua" w:cs="Book Antiqua" w:hAnsi="Book Antiqua" w:eastAsia="Book Antiqua"/>
        </w:rPr>
      </w:pPr>
      <w:r>
        <w:rPr>
          <w:rFonts w:ascii="Book Antiqua"/>
          <w:rtl w:val="0"/>
          <w:lang w:val="it-IT"/>
        </w:rPr>
        <w:t>A differenza di quanto accaduto nelle regioni d'origine, dove tendono ad assumere un controllo del territorio di tipo militare, in questa provincia le organizzazioni criminali non sembrano aver posto in essere comportamenti manifestamente e continuativamente violenti, ma hanno cercato di realizzare una forma di inserimento, attraverso l'instaurazione di relazioni con politici, imprenditori, commercianti, professionisti e operatori del mondo finanziario.</w:t>
      </w:r>
    </w:p>
    <w:p>
      <w:pPr>
        <w:pStyle w:val="Normal"/>
        <w:ind w:left="567" w:right="567" w:firstLine="0"/>
        <w:jc w:val="both"/>
        <w:rPr>
          <w:rFonts w:ascii="Book Antiqua" w:cs="Book Antiqua" w:hAnsi="Book Antiqua" w:eastAsia="Book Antiqua"/>
        </w:rPr>
      </w:pPr>
      <w:r>
        <w:rPr>
          <w:rFonts w:ascii="Book Antiqua"/>
          <w:rtl w:val="0"/>
          <w:lang w:val="it-IT"/>
        </w:rPr>
        <w:t xml:space="preserve">Uno dei settori maggiormente interessati al fenomeno </w:t>
      </w:r>
      <w:r>
        <w:rPr>
          <w:rFonts w:hAnsi="Book Antiqua" w:hint="default"/>
          <w:rtl w:val="0"/>
          <w:lang w:val="it-IT"/>
        </w:rPr>
        <w:t xml:space="preserve">è </w:t>
      </w:r>
      <w:r>
        <w:rPr>
          <w:rFonts w:ascii="Book Antiqua"/>
          <w:rtl w:val="0"/>
          <w:lang w:val="it-IT"/>
        </w:rPr>
        <w:t>stato quello dell'edilizia, che ha coinvolto anche le attivit</w:t>
      </w:r>
      <w:r>
        <w:rPr>
          <w:rFonts w:hAnsi="Book Antiqua" w:hint="default"/>
          <w:rtl w:val="0"/>
          <w:lang w:val="it-IT"/>
        </w:rPr>
        <w:t xml:space="preserve">à </w:t>
      </w:r>
      <w:r>
        <w:rPr>
          <w:rFonts w:ascii="Book Antiqua"/>
          <w:rtl w:val="0"/>
          <w:lang w:val="it-IT"/>
        </w:rPr>
        <w:t>collaterali del trasporto, delle cave, dell'estrazione dei materiali inerti, dello smaltimento dei rifiuti, in cui hanno avuto un ruolo dominante le imprese controllate dal clan dei Casalesi che sono riusciti, in alcuni casi, a imporre il proprio controllo sull'intera filiera produttiva.</w:t>
      </w:r>
    </w:p>
    <w:p>
      <w:pPr>
        <w:pStyle w:val="Normal"/>
        <w:ind w:left="567" w:right="567" w:firstLine="0"/>
        <w:jc w:val="both"/>
        <w:rPr>
          <w:rFonts w:ascii="Book Antiqua" w:cs="Book Antiqua" w:hAnsi="Book Antiqua" w:eastAsia="Book Antiqua"/>
        </w:rPr>
      </w:pPr>
      <w:r>
        <w:rPr>
          <w:rFonts w:ascii="Book Antiqua"/>
          <w:rtl w:val="0"/>
          <w:lang w:val="it-IT"/>
        </w:rPr>
        <w:t>Tale fenomeno ha determinato una infiltrazione della criminalit</w:t>
      </w:r>
      <w:r>
        <w:rPr>
          <w:rFonts w:hAnsi="Book Antiqua" w:hint="default"/>
          <w:rtl w:val="0"/>
          <w:lang w:val="it-IT"/>
        </w:rPr>
        <w:t xml:space="preserve">à </w:t>
      </w:r>
      <w:r>
        <w:rPr>
          <w:rFonts w:ascii="Book Antiqua"/>
          <w:rtl w:val="0"/>
          <w:lang w:val="it-IT"/>
        </w:rPr>
        <w:t>anche nel settore degli appalti pubblici, mediante la corruzione di pubblici funzionari e/o l'imposizione di subappalti, contratti di nolo e fornitura o dei servizi di guardiania, se non di tangenti alle imprese aggiudicatarie.</w:t>
      </w:r>
    </w:p>
    <w:p>
      <w:pPr>
        <w:pStyle w:val="Normal"/>
        <w:ind w:left="567" w:right="567" w:firstLine="0"/>
        <w:jc w:val="both"/>
        <w:rPr>
          <w:rFonts w:ascii="Book Antiqua" w:cs="Book Antiqua" w:hAnsi="Book Antiqua" w:eastAsia="Book Antiqua"/>
        </w:rPr>
      </w:pPr>
      <w:r>
        <w:rPr>
          <w:rFonts w:ascii="Book Antiqua"/>
          <w:rtl w:val="0"/>
          <w:lang w:val="it-IT"/>
        </w:rPr>
        <w:t>Parallelamente si sono registrate nel tempo anche quelle manifestazioni criminali tipiche di tali sodalizi, come dimostrano le varie indagini susseguitesi negli anni, che hanno riguardato il traffico di sostanze stupefacenti, l'usura, le estorsioni, la ricettazione, il riciclaggio ed il trasferimento fraudolento di valori.</w:t>
      </w:r>
    </w:p>
    <w:p>
      <w:pPr>
        <w:pStyle w:val="Normal"/>
        <w:ind w:left="567" w:right="567" w:firstLine="0"/>
        <w:jc w:val="both"/>
        <w:rPr>
          <w:rFonts w:ascii="Book Antiqua" w:cs="Book Antiqua" w:hAnsi="Book Antiqua" w:eastAsia="Book Antiqua"/>
        </w:rPr>
      </w:pPr>
      <w:r>
        <w:rPr>
          <w:rFonts w:ascii="Book Antiqua"/>
          <w:rtl w:val="0"/>
          <w:lang w:val="it-IT"/>
        </w:rPr>
        <w:t>Allo stato attuale, comunque, pur evidenziandosi il tentativo di radicamento di attivit</w:t>
      </w:r>
      <w:r>
        <w:rPr>
          <w:rFonts w:hAnsi="Book Antiqua" w:hint="default"/>
          <w:rtl w:val="0"/>
          <w:lang w:val="it-IT"/>
        </w:rPr>
        <w:t xml:space="preserve">à </w:t>
      </w:r>
      <w:r>
        <w:rPr>
          <w:rFonts w:ascii="Book Antiqua"/>
          <w:rtl w:val="0"/>
          <w:lang w:val="it-IT"/>
        </w:rPr>
        <w:t>illecite connesse agli interessi delle organizzazioni criminali di tipo mafioso extraregionali, si pu</w:t>
      </w:r>
      <w:r>
        <w:rPr>
          <w:rFonts w:hAnsi="Book Antiqua" w:hint="default"/>
          <w:rtl w:val="0"/>
          <w:lang w:val="it-IT"/>
        </w:rPr>
        <w:t xml:space="preserve">ò </w:t>
      </w:r>
      <w:r>
        <w:rPr>
          <w:rFonts w:ascii="Book Antiqua"/>
          <w:rtl w:val="0"/>
          <w:lang w:val="it-IT"/>
        </w:rPr>
        <w:t>ritenere che le stesse non abbiano interesse ad una forma di controllo militarizzato del territorio, ma siano pi</w:t>
      </w:r>
      <w:r>
        <w:rPr>
          <w:rFonts w:hAnsi="Book Antiqua" w:hint="default"/>
          <w:rtl w:val="0"/>
          <w:lang w:val="it-IT"/>
        </w:rPr>
        <w:t xml:space="preserve">ù </w:t>
      </w:r>
      <w:r>
        <w:rPr>
          <w:rFonts w:ascii="Book Antiqua"/>
          <w:rtl w:val="0"/>
          <w:lang w:val="it-IT"/>
        </w:rPr>
        <w:t>interessate a sviluppare una coesistenza e convivenza con le altre realt</w:t>
      </w:r>
      <w:r>
        <w:rPr>
          <w:rFonts w:hAnsi="Book Antiqua" w:hint="default"/>
          <w:rtl w:val="0"/>
          <w:lang w:val="it-IT"/>
        </w:rPr>
        <w:t xml:space="preserve">à </w:t>
      </w:r>
      <w:r>
        <w:rPr>
          <w:rFonts w:ascii="Book Antiqua"/>
          <w:rtl w:val="0"/>
          <w:lang w:val="it-IT"/>
        </w:rPr>
        <w:t>presenti, realizzando una commistione tra illecito e lecito e confondendosi sempre pi</w:t>
      </w:r>
      <w:r>
        <w:rPr>
          <w:rFonts w:hAnsi="Book Antiqua" w:hint="default"/>
          <w:rtl w:val="0"/>
          <w:lang w:val="it-IT"/>
        </w:rPr>
        <w:t xml:space="preserve">ù </w:t>
      </w:r>
      <w:r>
        <w:rPr>
          <w:rFonts w:ascii="Book Antiqua"/>
          <w:rtl w:val="0"/>
          <w:lang w:val="it-IT"/>
        </w:rPr>
        <w:t>nella societ</w:t>
      </w:r>
      <w:r>
        <w:rPr>
          <w:rFonts w:hAnsi="Book Antiqua" w:hint="default"/>
          <w:rtl w:val="0"/>
          <w:lang w:val="it-IT"/>
        </w:rPr>
        <w:t xml:space="preserve">à </w:t>
      </w:r>
      <w:r>
        <w:rPr>
          <w:rFonts w:ascii="Book Antiqua"/>
          <w:rtl w:val="0"/>
          <w:lang w:val="it-IT"/>
        </w:rPr>
        <w:t>civile e legale.</w:t>
      </w:r>
    </w:p>
    <w:p>
      <w:pPr>
        <w:pStyle w:val="Normal"/>
        <w:ind w:left="567" w:right="567" w:firstLine="0"/>
        <w:jc w:val="both"/>
        <w:rPr>
          <w:rFonts w:ascii="Book Antiqua" w:cs="Book Antiqua" w:hAnsi="Book Antiqua" w:eastAsia="Book Antiqua"/>
        </w:rPr>
      </w:pPr>
      <w:r>
        <w:rPr>
          <w:rFonts w:ascii="Book Antiqua"/>
          <w:rtl w:val="0"/>
          <w:lang w:val="it-IT"/>
        </w:rPr>
        <w:t>La complessit</w:t>
      </w:r>
      <w:r>
        <w:rPr>
          <w:rFonts w:hAnsi="Book Antiqua" w:hint="default"/>
          <w:rtl w:val="0"/>
          <w:lang w:val="it-IT"/>
        </w:rPr>
        <w:t xml:space="preserve">à </w:t>
      </w:r>
      <w:r>
        <w:rPr>
          <w:rFonts w:ascii="Book Antiqua"/>
          <w:rtl w:val="0"/>
          <w:lang w:val="it-IT"/>
        </w:rPr>
        <w:t>ad attestare questa strisciante infiltrazione, sia a livello investigativo che giudiziario, deriva dalla gi</w:t>
      </w:r>
      <w:r>
        <w:rPr>
          <w:rFonts w:hAnsi="Book Antiqua" w:hint="default"/>
          <w:rtl w:val="0"/>
          <w:lang w:val="it-IT"/>
        </w:rPr>
        <w:t xml:space="preserve">à </w:t>
      </w:r>
      <w:r>
        <w:rPr>
          <w:rFonts w:ascii="Book Antiqua"/>
          <w:rtl w:val="0"/>
          <w:lang w:val="it-IT"/>
        </w:rPr>
        <w:t>accennata minore frequenza del ricorso a manifestazioni criminali violente, antitetiche rispetto ad attivit</w:t>
      </w:r>
      <w:r>
        <w:rPr>
          <w:rFonts w:hAnsi="Book Antiqua" w:hint="default"/>
          <w:rtl w:val="0"/>
          <w:lang w:val="it-IT"/>
        </w:rPr>
        <w:t xml:space="preserve">à </w:t>
      </w:r>
      <w:r>
        <w:rPr>
          <w:rFonts w:ascii="Book Antiqua"/>
          <w:rtl w:val="0"/>
          <w:lang w:val="it-IT"/>
        </w:rPr>
        <w:t xml:space="preserve">di riciclaggio, cui </w:t>
      </w:r>
      <w:r>
        <w:rPr>
          <w:rFonts w:hAnsi="Book Antiqua" w:hint="default"/>
          <w:rtl w:val="0"/>
          <w:lang w:val="it-IT"/>
        </w:rPr>
        <w:t xml:space="preserve">è </w:t>
      </w:r>
      <w:r>
        <w:rPr>
          <w:rFonts w:ascii="Book Antiqua"/>
          <w:rtl w:val="0"/>
          <w:lang w:val="it-IT"/>
        </w:rPr>
        <w:t>funzionale la mimetizzazione nel contesto socio economico.</w:t>
      </w:r>
    </w:p>
    <w:p>
      <w:pPr>
        <w:pStyle w:val="Normal"/>
        <w:ind w:left="567" w:right="567" w:firstLine="0"/>
        <w:jc w:val="both"/>
        <w:rPr>
          <w:rFonts w:ascii="Book Antiqua" w:cs="Book Antiqua" w:hAnsi="Book Antiqua" w:eastAsia="Book Antiqua"/>
        </w:rPr>
      </w:pPr>
      <w:r>
        <w:rPr>
          <w:rFonts w:ascii="Book Antiqua"/>
          <w:rtl w:val="0"/>
          <w:lang w:val="it-IT"/>
        </w:rPr>
        <w:t>Le proiezioni delle organizzazioni criminali nell'area in esame risultano, infatti, sino ad oggi essere prevalentemente di natura economico-finanziaria, legate alle attivit</w:t>
      </w:r>
      <w:r>
        <w:rPr>
          <w:rFonts w:hAnsi="Book Antiqua" w:hint="default"/>
          <w:rtl w:val="0"/>
          <w:lang w:val="it-IT"/>
        </w:rPr>
        <w:t xml:space="preserve">à </w:t>
      </w:r>
      <w:r>
        <w:rPr>
          <w:rFonts w:ascii="Book Antiqua"/>
          <w:rtl w:val="0"/>
          <w:lang w:val="it-IT"/>
        </w:rPr>
        <w:t>di riciclaggio/reimpiego di proventi illeciti poste in essere da soggetti contigui ai consessi criminali.</w:t>
      </w:r>
    </w:p>
    <w:p>
      <w:pPr>
        <w:pStyle w:val="Normal"/>
        <w:ind w:left="567" w:right="567" w:firstLine="0"/>
        <w:jc w:val="both"/>
        <w:rPr>
          <w:rFonts w:ascii="Book Antiqua" w:cs="Book Antiqua" w:hAnsi="Book Antiqua" w:eastAsia="Book Antiqua"/>
        </w:rPr>
      </w:pPr>
      <w:r>
        <w:rPr>
          <w:rFonts w:ascii="Book Antiqua"/>
          <w:rtl w:val="0"/>
          <w:lang w:val="it-IT"/>
        </w:rPr>
        <w:t>I gruppi criminali hanno preferito investire in pubblici esercizi, in attivit</w:t>
      </w:r>
      <w:r>
        <w:rPr>
          <w:rFonts w:hAnsi="Book Antiqua" w:hint="default"/>
          <w:rtl w:val="0"/>
          <w:lang w:val="it-IT"/>
        </w:rPr>
        <w:t>à</w:t>
      </w:r>
      <w:r>
        <w:rPr>
          <w:rFonts w:ascii="Book Antiqua"/>
          <w:rtl w:val="0"/>
          <w:lang w:val="it-IT"/>
        </w:rPr>
        <w:t xml:space="preserve"> commerciali, nonch</w:t>
      </w:r>
      <w:r>
        <w:rPr>
          <w:rFonts w:hAnsi="Book Antiqua" w:hint="default"/>
          <w:rtl w:val="0"/>
          <w:lang w:val="it-IT"/>
        </w:rPr>
        <w:t xml:space="preserve">é </w:t>
      </w:r>
      <w:r>
        <w:rPr>
          <w:rFonts w:ascii="Book Antiqua"/>
          <w:rtl w:val="0"/>
          <w:lang w:val="it-IT"/>
        </w:rPr>
        <w:t>nel settore delle costruzioni edili, poich</w:t>
      </w:r>
      <w:r>
        <w:rPr>
          <w:rFonts w:hAnsi="Book Antiqua" w:hint="default"/>
          <w:rtl w:val="0"/>
          <w:lang w:val="it-IT"/>
        </w:rPr>
        <w:t xml:space="preserve">é </w:t>
      </w:r>
      <w:r>
        <w:rPr>
          <w:rFonts w:ascii="Book Antiqua"/>
          <w:rtl w:val="0"/>
          <w:lang w:val="it-IT"/>
        </w:rPr>
        <w:t>la circolazione intensa di grandi quantit</w:t>
      </w:r>
      <w:r>
        <w:rPr>
          <w:rFonts w:hAnsi="Book Antiqua" w:hint="default"/>
          <w:rtl w:val="0"/>
          <w:lang w:val="it-IT"/>
        </w:rPr>
        <w:t xml:space="preserve">à </w:t>
      </w:r>
      <w:r>
        <w:rPr>
          <w:rFonts w:ascii="Book Antiqua"/>
          <w:rtl w:val="0"/>
          <w:lang w:val="it-IT"/>
        </w:rPr>
        <w:t>di contante che li contraddistingue, consente l'immissione, con pochi rischi, di ingenti somme di denaro "sporco" nel circuito</w:t>
      </w:r>
    </w:p>
    <w:p>
      <w:pPr>
        <w:pStyle w:val="Normal"/>
        <w:ind w:left="567" w:right="567" w:firstLine="0"/>
        <w:jc w:val="both"/>
        <w:rPr>
          <w:rFonts w:ascii="Book Antiqua" w:cs="Book Antiqua" w:hAnsi="Book Antiqua" w:eastAsia="Book Antiqua"/>
        </w:rPr>
      </w:pPr>
      <w:r>
        <w:rPr>
          <w:rFonts w:ascii="Book Antiqua"/>
          <w:rtl w:val="0"/>
          <w:lang w:val="it-IT"/>
        </w:rPr>
        <w:t>economico lecito.</w:t>
      </w:r>
    </w:p>
    <w:p>
      <w:pPr>
        <w:pStyle w:val="Normal"/>
        <w:ind w:left="567" w:right="567" w:firstLine="0"/>
        <w:jc w:val="both"/>
        <w:rPr>
          <w:rFonts w:ascii="Book Antiqua" w:cs="Book Antiqua" w:hAnsi="Book Antiqua" w:eastAsia="Book Antiqua"/>
        </w:rPr>
      </w:pPr>
      <w:r>
        <w:rPr>
          <w:rFonts w:ascii="Book Antiqua"/>
          <w:rtl w:val="0"/>
          <w:lang w:val="it-IT"/>
        </w:rPr>
        <w:t>L'uso di societ</w:t>
      </w:r>
      <w:r>
        <w:rPr>
          <w:rFonts w:hAnsi="Book Antiqua" w:hint="default"/>
          <w:rtl w:val="0"/>
          <w:lang w:val="it-IT"/>
        </w:rPr>
        <w:t xml:space="preserve">à </w:t>
      </w:r>
      <w:r>
        <w:rPr>
          <w:rFonts w:ascii="Book Antiqua"/>
          <w:rtl w:val="0"/>
          <w:lang w:val="it-IT"/>
        </w:rPr>
        <w:t>o altri enti dotati di personalit</w:t>
      </w:r>
      <w:r>
        <w:rPr>
          <w:rFonts w:hAnsi="Book Antiqua" w:hint="default"/>
          <w:rtl w:val="0"/>
          <w:lang w:val="it-IT"/>
        </w:rPr>
        <w:t xml:space="preserve">à </w:t>
      </w:r>
      <w:r>
        <w:rPr>
          <w:rFonts w:ascii="Book Antiqua"/>
          <w:rtl w:val="0"/>
          <w:lang w:val="it-IT"/>
        </w:rPr>
        <w:t>giuridica (es. associazioni, cooperative, etc.) rende pi</w:t>
      </w:r>
      <w:r>
        <w:rPr>
          <w:rFonts w:hAnsi="Book Antiqua" w:hint="default"/>
          <w:rtl w:val="0"/>
          <w:lang w:val="it-IT"/>
        </w:rPr>
        <w:t xml:space="preserve">ù </w:t>
      </w:r>
      <w:r>
        <w:rPr>
          <w:rFonts w:ascii="Book Antiqua"/>
          <w:rtl w:val="0"/>
          <w:lang w:val="it-IT"/>
        </w:rPr>
        <w:t>difficile la tracciabilit</w:t>
      </w:r>
      <w:r>
        <w:rPr>
          <w:rFonts w:hAnsi="Book Antiqua" w:hint="default"/>
          <w:rtl w:val="0"/>
          <w:lang w:val="it-IT"/>
        </w:rPr>
        <w:t xml:space="preserve">à </w:t>
      </w:r>
      <w:r>
        <w:rPr>
          <w:rFonts w:ascii="Book Antiqua"/>
          <w:rtl w:val="0"/>
          <w:lang w:val="it-IT"/>
        </w:rPr>
        <w:t>dei beni e consente di diversificare meglio l'investimento e quindi di renderlo meno aggredibile dalle attivit</w:t>
      </w:r>
      <w:r>
        <w:rPr>
          <w:rFonts w:hAnsi="Book Antiqua" w:hint="default"/>
          <w:rtl w:val="0"/>
          <w:lang w:val="it-IT"/>
        </w:rPr>
        <w:t xml:space="preserve">à </w:t>
      </w:r>
      <w:r>
        <w:rPr>
          <w:rFonts w:ascii="Book Antiqua"/>
          <w:rtl w:val="0"/>
          <w:lang w:val="it-IT"/>
        </w:rPr>
        <w:t>di indagine. La frammentazione del patrimonio in pacchetti azionari/quote di diverse societ</w:t>
      </w:r>
      <w:r>
        <w:rPr>
          <w:rFonts w:hAnsi="Book Antiqua" w:hint="default"/>
          <w:rtl w:val="0"/>
          <w:lang w:val="it-IT"/>
        </w:rPr>
        <w:t>à</w:t>
      </w:r>
      <w:r>
        <w:rPr>
          <w:rFonts w:ascii="Book Antiqua"/>
          <w:rtl w:val="0"/>
          <w:lang w:val="it-IT"/>
        </w:rPr>
        <w:t>, intestati soprattutto a prestanome, riduce il rischio che questo possa venire sequestrato o confiscato nella sua interezza.</w:t>
      </w:r>
    </w:p>
    <w:p>
      <w:pPr>
        <w:pStyle w:val="Normal"/>
        <w:ind w:left="567" w:right="567" w:firstLine="0"/>
        <w:jc w:val="both"/>
        <w:rPr>
          <w:rFonts w:ascii="Book Antiqua" w:cs="Book Antiqua" w:hAnsi="Book Antiqua" w:eastAsia="Book Antiqua"/>
        </w:rPr>
      </w:pPr>
      <w:r>
        <w:rPr>
          <w:rFonts w:ascii="Book Antiqua"/>
          <w:rtl w:val="0"/>
          <w:lang w:val="it-IT"/>
        </w:rPr>
        <w:t>L'analisi delle evidenze investigative sul territorio pontino, alcune delle quali trasfuse in provvedimenti patrimoniali giudiziari, hanno evidenziato che gli investimenti si concentrano nelle costruzioni e commercio al dettaglio, in particolare di autovetture, nelle attivit</w:t>
      </w:r>
      <w:r>
        <w:rPr>
          <w:rFonts w:hAnsi="Book Antiqua" w:hint="default"/>
          <w:rtl w:val="0"/>
          <w:lang w:val="it-IT"/>
        </w:rPr>
        <w:t xml:space="preserve">à </w:t>
      </w:r>
      <w:r>
        <w:rPr>
          <w:rFonts w:ascii="Book Antiqua"/>
          <w:rtl w:val="0"/>
          <w:lang w:val="it-IT"/>
        </w:rPr>
        <w:t>di bar/ristorante e commercio all'ingrosso e dettaglio, nell'attivit</w:t>
      </w:r>
      <w:r>
        <w:rPr>
          <w:rFonts w:hAnsi="Book Antiqua" w:hint="default"/>
          <w:rtl w:val="0"/>
          <w:lang w:val="it-IT"/>
        </w:rPr>
        <w:t xml:space="preserve">à </w:t>
      </w:r>
      <w:r>
        <w:rPr>
          <w:rFonts w:ascii="Book Antiqua"/>
          <w:rtl w:val="0"/>
          <w:lang w:val="it-IT"/>
        </w:rPr>
        <w:t>di onoranze funebri.</w:t>
      </w:r>
    </w:p>
    <w:p>
      <w:pPr>
        <w:pStyle w:val="Normal"/>
        <w:ind w:left="567" w:right="567" w:firstLine="0"/>
        <w:jc w:val="both"/>
        <w:rPr>
          <w:rFonts w:ascii="Book Antiqua" w:cs="Book Antiqua" w:hAnsi="Book Antiqua" w:eastAsia="Book Antiqua"/>
        </w:rPr>
      </w:pPr>
      <w:r>
        <w:rPr>
          <w:rFonts w:ascii="Book Antiqua"/>
          <w:rtl w:val="0"/>
          <w:lang w:val="it-IT"/>
        </w:rPr>
        <w:t>I rapporti tra le diverse organizzazioni criminali si svolgono prevalentemente su un piano paritario di accettazione e di convivenza che non fa escludere la possibilit</w:t>
      </w:r>
      <w:r>
        <w:rPr>
          <w:rFonts w:hAnsi="Book Antiqua" w:hint="default"/>
          <w:rtl w:val="0"/>
          <w:lang w:val="it-IT"/>
        </w:rPr>
        <w:t xml:space="preserve">à </w:t>
      </w:r>
      <w:r>
        <w:rPr>
          <w:rFonts w:ascii="Book Antiqua"/>
          <w:rtl w:val="0"/>
          <w:lang w:val="it-IT"/>
        </w:rPr>
        <w:t>di una fattiva collaborazione.</w:t>
      </w:r>
    </w:p>
    <w:p>
      <w:pPr>
        <w:pStyle w:val="Normal"/>
        <w:ind w:left="567" w:right="567" w:firstLine="0"/>
        <w:jc w:val="both"/>
        <w:rPr>
          <w:rFonts w:ascii="Book Antiqua" w:cs="Book Antiqua" w:hAnsi="Book Antiqua" w:eastAsia="Book Antiqua"/>
        </w:rPr>
      </w:pPr>
      <w:r>
        <w:rPr>
          <w:rFonts w:ascii="Book Antiqua"/>
          <w:rtl w:val="0"/>
          <w:lang w:val="it-IT"/>
        </w:rPr>
        <w:t>Tale dato costituisce un tratto del tutto peculiare che contraddistingue la realt</w:t>
      </w:r>
      <w:r>
        <w:rPr>
          <w:rFonts w:hAnsi="Book Antiqua" w:hint="default"/>
          <w:rtl w:val="0"/>
          <w:lang w:val="it-IT"/>
        </w:rPr>
        <w:t xml:space="preserve">à </w:t>
      </w:r>
      <w:r>
        <w:rPr>
          <w:rFonts w:ascii="Book Antiqua"/>
          <w:rtl w:val="0"/>
          <w:lang w:val="it-IT"/>
        </w:rPr>
        <w:t>del sud pontino rispetto ai territori di origine, caratterizzati invece dalla prevalenza di una organizzazione sulle altre e/o da frequenti scontri per la conquista di una posizione di egemonia sul piano locale.</w:t>
      </w:r>
    </w:p>
    <w:p>
      <w:pPr>
        <w:pStyle w:val="Normal"/>
        <w:ind w:left="567" w:right="567" w:firstLine="0"/>
        <w:jc w:val="both"/>
        <w:rPr>
          <w:rFonts w:ascii="Book Antiqua" w:cs="Book Antiqua" w:hAnsi="Book Antiqua" w:eastAsia="Book Antiqua"/>
        </w:rPr>
      </w:pPr>
      <w:r>
        <w:rPr>
          <w:rFonts w:ascii="Book Antiqua"/>
          <w:rtl w:val="0"/>
          <w:lang w:val="it-IT"/>
        </w:rPr>
        <w:t>[</w:t>
      </w:r>
      <w:r>
        <w:rPr>
          <w:rFonts w:hAnsi="Book Antiqua" w:hint="default"/>
          <w:rtl w:val="0"/>
          <w:lang w:val="it-IT"/>
        </w:rPr>
        <w:t>…</w:t>
      </w:r>
      <w:r>
        <w:rPr>
          <w:rFonts w:ascii="Book Antiqua"/>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Particolare attenzione, anche per l'allarme che ha suscitato nell'opinione pubblica, ha destato l'arresto in un casolare nella campagna di Cisterna di Latina del latitante Michele Cuccaro, reggente dell'omonimo clan di camorra, avvenuto nell'ottobre del 2015. Tale evento ha fatto seguito all'arresto in Campania, per legami con il clan dei casalesi, dell'Architetto Carmine Domenico Nocera, risultato nel maggio dello stesso anno tra i vincitori di un bando di concorso per il conferimento di un incarico tecnico presso il comune di Cisterna di Latina e al quale lo stesso aveva rinunciato nel mese di agosto senza adottare alcun atto connesso all'incarico in questione.</w:t>
      </w:r>
    </w:p>
    <w:p>
      <w:pPr>
        <w:pStyle w:val="Normal"/>
        <w:ind w:left="567" w:right="567" w:firstLine="0"/>
        <w:jc w:val="both"/>
        <w:rPr>
          <w:rFonts w:ascii="Book Antiqua" w:cs="Book Antiqua" w:hAnsi="Book Antiqua" w:eastAsia="Book Antiqua"/>
        </w:rPr>
      </w:pPr>
      <w:r>
        <w:rPr>
          <w:rFonts w:ascii="Book Antiqua"/>
          <w:rtl w:val="0"/>
          <w:lang w:val="it-IT"/>
        </w:rPr>
        <w:t>Per quanto non ancora configurabile come organizzazione di tipo mafioso, nell'area di Latina si registra la presenza di una struttura autoctona, costituita da appartenenti alle famiglie di etnia rom Garelli e Di Silvio, legate da rapporti di parentela con la [</w:t>
      </w:r>
      <w:r>
        <w:rPr>
          <w:rFonts w:hAnsi="Book Antiqua" w:hint="default"/>
          <w:rtl w:val="0"/>
          <w:lang w:val="it-IT"/>
        </w:rPr>
        <w:t>…</w:t>
      </w:r>
      <w:r>
        <w:rPr>
          <w:rFonts w:ascii="Book Antiqua"/>
          <w:rtl w:val="0"/>
          <w:lang w:val="it-IT"/>
        </w:rPr>
        <w:t>] famiglia sinti dei Casamonica di Roma e con l'omonimo clan Ciarelli, radicato nella citt</w:t>
      </w:r>
      <w:r>
        <w:rPr>
          <w:rFonts w:hAnsi="Book Antiqua" w:hint="default"/>
          <w:rtl w:val="0"/>
          <w:lang w:val="it-IT"/>
        </w:rPr>
        <w:t xml:space="preserve">à </w:t>
      </w:r>
      <w:r>
        <w:rPr>
          <w:rFonts w:ascii="Book Antiqua"/>
          <w:rtl w:val="0"/>
          <w:lang w:val="it-IT"/>
        </w:rPr>
        <w:t>di Pescara, dediti prevalentemente all'usura, allo spaccio di stupefacenti, all'estorsione ed al settore immobiliare.</w:t>
      </w:r>
      <w:r>
        <w:rPr>
          <w:rFonts w:hAnsi="Book Antiqua" w:hint="default"/>
          <w:rtl w:val="0"/>
          <w:lang w:val="it-IT"/>
        </w:rPr>
        <w:t>”</w:t>
      </w:r>
    </w:p>
    <w:p>
      <w:pPr>
        <w:pStyle w:val="Normal"/>
        <w:ind w:left="567" w:right="567" w:firstLine="0"/>
        <w:jc w:val="both"/>
        <w:rPr>
          <w:rFonts w:ascii="Book Antiqua" w:cs="Book Antiqua" w:hAnsi="Book Antiqua" w:eastAsia="Book Antiqua"/>
        </w:rPr>
      </w:pPr>
      <w:r>
        <w:rPr>
          <w:rFonts w:ascii="Book Antiqua"/>
          <w:rtl w:val="0"/>
          <w:lang w:val="it-IT"/>
        </w:rPr>
        <w:t xml:space="preserve">Si tratta di una complessiva situazione nella quale </w:t>
      </w:r>
      <w:r>
        <w:rPr>
          <w:rFonts w:hAnsi="Book Antiqua" w:hint="default"/>
          <w:rtl w:val="0"/>
          <w:lang w:val="it-IT"/>
        </w:rPr>
        <w:t xml:space="preserve">è </w:t>
      </w:r>
      <w:r>
        <w:rPr>
          <w:rFonts w:ascii="Book Antiqua"/>
          <w:rtl w:val="0"/>
          <w:lang w:val="it-IT"/>
        </w:rPr>
        <w:t>tipicamente ipotizzabile l</w:t>
      </w:r>
      <w:r>
        <w:rPr>
          <w:rFonts w:hAnsi="Book Antiqua" w:hint="default"/>
          <w:rtl w:val="0"/>
          <w:lang w:val="it-IT"/>
        </w:rPr>
        <w:t>’</w:t>
      </w:r>
      <w:r>
        <w:rPr>
          <w:rFonts w:ascii="Book Antiqua"/>
          <w:rtl w:val="0"/>
          <w:lang w:val="it-IT"/>
        </w:rPr>
        <w:t>offerta da parte di realt</w:t>
      </w:r>
      <w:r>
        <w:rPr>
          <w:rFonts w:hAnsi="Book Antiqua" w:hint="default"/>
          <w:rtl w:val="0"/>
          <w:lang w:val="it-IT"/>
        </w:rPr>
        <w:t xml:space="preserve">à </w:t>
      </w:r>
      <w:r>
        <w:rPr>
          <w:rFonts w:ascii="Book Antiqua"/>
          <w:rtl w:val="0"/>
          <w:lang w:val="it-IT"/>
        </w:rPr>
        <w:t xml:space="preserve">criminali di </w:t>
      </w:r>
      <w:r>
        <w:rPr>
          <w:rFonts w:hAnsi="Book Antiqua" w:hint="default"/>
          <w:rtl w:val="0"/>
          <w:lang w:val="it-IT"/>
        </w:rPr>
        <w:t>“</w:t>
      </w:r>
      <w:r>
        <w:rPr>
          <w:rFonts w:ascii="Book Antiqua"/>
          <w:rtl w:val="0"/>
          <w:lang w:val="it-IT"/>
        </w:rPr>
        <w:t>servizi</w:t>
      </w:r>
      <w:r>
        <w:rPr>
          <w:rFonts w:hAnsi="Book Antiqua" w:hint="default"/>
          <w:rtl w:val="0"/>
          <w:lang w:val="it-IT"/>
        </w:rPr>
        <w:t xml:space="preserve">” </w:t>
      </w:r>
      <w:r>
        <w:rPr>
          <w:rFonts w:ascii="Book Antiqua"/>
          <w:rtl w:val="0"/>
          <w:lang w:val="it-IT"/>
        </w:rPr>
        <w:t>ambientali illeciti, operativamente contigui ai settori dell</w:t>
      </w:r>
      <w:r>
        <w:rPr>
          <w:rFonts w:hAnsi="Book Antiqua" w:hint="default"/>
          <w:rtl w:val="0"/>
          <w:lang w:val="it-IT"/>
        </w:rPr>
        <w:t>’</w:t>
      </w:r>
      <w:r>
        <w:rPr>
          <w:rFonts w:ascii="Book Antiqua"/>
          <w:rtl w:val="0"/>
          <w:lang w:val="it-IT"/>
        </w:rPr>
        <w:t>edilizia o del movimento terra, che quindi impone la massima attenzione di tutti i soggetti pubblici.</w:t>
      </w: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sz w:val="28"/>
          <w:szCs w:val="28"/>
        </w:rPr>
      </w:pPr>
      <w:r>
        <w:rPr>
          <w:rFonts w:ascii="Book Antiqua"/>
          <w:sz w:val="28"/>
          <w:szCs w:val="28"/>
          <w:rtl w:val="0"/>
          <w:lang w:val="it-IT"/>
        </w:rPr>
        <w:t>Proposizioni conclusive</w:t>
      </w: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rPr>
      </w:pPr>
    </w:p>
    <w:p>
      <w:pPr>
        <w:pStyle w:val="Normal"/>
        <w:ind w:left="567" w:right="567" w:firstLine="0"/>
        <w:jc w:val="both"/>
        <w:rPr>
          <w:rFonts w:ascii="Book Antiqua" w:cs="Book Antiqua" w:hAnsi="Book Antiqua" w:eastAsia="Book Antiqua"/>
        </w:rPr>
      </w:pPr>
      <w:r>
        <w:rPr>
          <w:rFonts w:ascii="Book Antiqua"/>
          <w:rtl w:val="0"/>
          <w:lang w:val="it-IT"/>
        </w:rPr>
        <w:t>La complessit</w:t>
      </w:r>
      <w:r>
        <w:rPr>
          <w:rFonts w:hAnsi="Book Antiqua" w:hint="default"/>
          <w:rtl w:val="0"/>
          <w:lang w:val="it-IT"/>
        </w:rPr>
        <w:t>à</w:t>
      </w:r>
      <w:r>
        <w:rPr>
          <w:rFonts w:ascii="Book Antiqua"/>
          <w:rtl w:val="0"/>
          <w:lang w:val="it-IT"/>
        </w:rPr>
        <w:t xml:space="preserve"> della situazione riguardante il ciclo dei rifiuti nella regione Lazio e a Roma si associa a vicende politico-amministrative e giudiziarie che hanno portato alla luce criticit</w:t>
      </w:r>
      <w:r>
        <w:rPr>
          <w:rFonts w:hAnsi="Book Antiqua" w:hint="default"/>
          <w:rtl w:val="0"/>
          <w:lang w:val="it-IT"/>
        </w:rPr>
        <w:t xml:space="preserve">à </w:t>
      </w:r>
      <w:r>
        <w:rPr>
          <w:rFonts w:ascii="Book Antiqua"/>
          <w:rtl w:val="0"/>
          <w:lang w:val="it-IT"/>
        </w:rPr>
        <w:t xml:space="preserve">derivanti da scelte compiute </w:t>
      </w:r>
      <w:r>
        <w:rPr>
          <w:rFonts w:hAnsi="Book Antiqua" w:hint="default"/>
          <w:rtl w:val="0"/>
          <w:lang w:val="it-IT"/>
        </w:rPr>
        <w:t xml:space="preserve">– </w:t>
      </w:r>
      <w:r>
        <w:rPr>
          <w:rFonts w:ascii="Book Antiqua"/>
          <w:rtl w:val="0"/>
          <w:lang w:val="it-IT"/>
        </w:rPr>
        <w:t>o omesse -  per diversi lustri e riguardanti soprattutto la Capitale.</w:t>
      </w:r>
    </w:p>
    <w:p>
      <w:pPr>
        <w:pStyle w:val="Normal"/>
        <w:ind w:left="567" w:right="567" w:firstLine="0"/>
        <w:jc w:val="both"/>
        <w:rPr>
          <w:rFonts w:ascii="Book Antiqua" w:cs="Book Antiqua" w:hAnsi="Book Antiqua" w:eastAsia="Book Antiqua"/>
        </w:rPr>
      </w:pPr>
      <w:r>
        <w:rPr>
          <w:rFonts w:ascii="Book Antiqua"/>
          <w:rtl w:val="0"/>
          <w:lang w:val="it-IT"/>
        </w:rPr>
        <w:t xml:space="preserve">Tema centrale </w:t>
      </w:r>
      <w:r>
        <w:rPr>
          <w:rFonts w:hAnsi="Book Antiqua" w:hint="default"/>
          <w:rtl w:val="0"/>
          <w:lang w:val="it-IT"/>
        </w:rPr>
        <w:t xml:space="preserve">è </w:t>
      </w:r>
      <w:r>
        <w:rPr>
          <w:rFonts w:ascii="Book Antiqua"/>
          <w:rtl w:val="0"/>
          <w:lang w:val="it-IT"/>
        </w:rPr>
        <w:t>la criticit</w:t>
      </w:r>
      <w:r>
        <w:rPr>
          <w:rFonts w:hAnsi="Book Antiqua" w:hint="default"/>
          <w:rtl w:val="0"/>
          <w:lang w:val="it-IT"/>
        </w:rPr>
        <w:t xml:space="preserve">à </w:t>
      </w:r>
      <w:r>
        <w:rPr>
          <w:rFonts w:ascii="Book Antiqua"/>
          <w:rtl w:val="0"/>
          <w:lang w:val="it-IT"/>
        </w:rPr>
        <w:t>del ciclo dei rifiuti di Roma, dove rimane tuttora dirimente la questione impiantistica, aggravata dall</w:t>
      </w:r>
      <w:r>
        <w:rPr>
          <w:rFonts w:hAnsi="Book Antiqua" w:hint="default"/>
          <w:rtl w:val="0"/>
          <w:lang w:val="it-IT"/>
        </w:rPr>
        <w:t>’</w:t>
      </w:r>
      <w:r>
        <w:rPr>
          <w:rFonts w:ascii="Book Antiqua"/>
          <w:rtl w:val="0"/>
          <w:lang w:val="it-IT"/>
        </w:rPr>
        <w:t>assenza, in concreto, di alternative alla discarica di Malagrotta, che da quattro anni ha cessato di operare.</w:t>
      </w:r>
    </w:p>
    <w:p>
      <w:pPr>
        <w:pStyle w:val="Normal"/>
        <w:ind w:left="567" w:right="567" w:firstLine="0"/>
        <w:jc w:val="both"/>
        <w:rPr>
          <w:rFonts w:ascii="Book Antiqua" w:cs="Book Antiqua" w:hAnsi="Book Antiqua" w:eastAsia="Book Antiqua"/>
        </w:rPr>
      </w:pPr>
      <w:r>
        <w:rPr>
          <w:rFonts w:ascii="Book Antiqua"/>
          <w:rtl w:val="0"/>
          <w:lang w:val="it-IT"/>
        </w:rPr>
        <w:t>La storia recente di AMA e l</w:t>
      </w:r>
      <w:r>
        <w:rPr>
          <w:rFonts w:hAnsi="Book Antiqua" w:hint="default"/>
          <w:rtl w:val="0"/>
          <w:lang w:val="it-IT"/>
        </w:rPr>
        <w:t>’</w:t>
      </w:r>
      <w:r>
        <w:rPr>
          <w:rFonts w:ascii="Book Antiqua"/>
          <w:rtl w:val="0"/>
          <w:lang w:val="it-IT"/>
        </w:rPr>
        <w:t xml:space="preserve">attuale destinazione itinerante dei rifiuti di Roma Capitale segnalano la mancata chiusura del ciclo dei rifiuti, che genera un saldo ambientale negativo e costituisce il presupposto per un rischio di condotte illecite. </w:t>
      </w:r>
    </w:p>
    <w:p>
      <w:pPr>
        <w:pStyle w:val="Normal"/>
        <w:ind w:left="567" w:right="567" w:firstLine="0"/>
        <w:jc w:val="both"/>
        <w:rPr>
          <w:rFonts w:ascii="Book Antiqua" w:cs="Book Antiqua" w:hAnsi="Book Antiqua" w:eastAsia="Book Antiqua"/>
        </w:rPr>
      </w:pPr>
      <w:r>
        <w:rPr>
          <w:rFonts w:ascii="Book Antiqua"/>
          <w:rtl w:val="0"/>
          <w:lang w:val="it-IT"/>
        </w:rPr>
        <w:t xml:space="preserve">La situazione attuale </w:t>
      </w:r>
      <w:r>
        <w:rPr>
          <w:rFonts w:hAnsi="Book Antiqua" w:hint="default"/>
          <w:rtl w:val="0"/>
          <w:lang w:val="it-IT"/>
        </w:rPr>
        <w:t xml:space="preserve">è </w:t>
      </w:r>
      <w:r>
        <w:rPr>
          <w:rFonts w:ascii="Book Antiqua"/>
          <w:rtl w:val="0"/>
          <w:lang w:val="it-IT"/>
        </w:rPr>
        <w:t>ancora di forte dipendenza dall</w:t>
      </w:r>
      <w:r>
        <w:rPr>
          <w:rFonts w:hAnsi="Book Antiqua" w:hint="default"/>
          <w:rtl w:val="0"/>
          <w:lang w:val="it-IT"/>
        </w:rPr>
        <w:t>’</w:t>
      </w:r>
      <w:r>
        <w:rPr>
          <w:rFonts w:ascii="Book Antiqua"/>
          <w:rtl w:val="0"/>
          <w:lang w:val="it-IT"/>
        </w:rPr>
        <w:t>impiantistica extraregionale: a fronte di questi limiti strutturali l</w:t>
      </w:r>
      <w:r>
        <w:rPr>
          <w:rFonts w:hAnsi="Book Antiqua" w:hint="default"/>
          <w:rtl w:val="0"/>
          <w:lang w:val="it-IT"/>
        </w:rPr>
        <w:t>’</w:t>
      </w:r>
      <w:r>
        <w:rPr>
          <w:rFonts w:ascii="Book Antiqua"/>
          <w:rtl w:val="0"/>
          <w:lang w:val="it-IT"/>
        </w:rPr>
        <w:t>intero territorio regionale e in particolare la citt</w:t>
      </w:r>
      <w:r>
        <w:rPr>
          <w:rFonts w:hAnsi="Book Antiqua" w:hint="default"/>
          <w:rtl w:val="0"/>
          <w:lang w:val="it-IT"/>
        </w:rPr>
        <w:t xml:space="preserve">à </w:t>
      </w:r>
      <w:r>
        <w:rPr>
          <w:rFonts w:ascii="Book Antiqua"/>
          <w:rtl w:val="0"/>
          <w:lang w:val="it-IT"/>
        </w:rPr>
        <w:t>di Roma, risultano condizionati da eventi assolutamente prevedibili, che tuttavia diventerebbero subito ingovernabili.</w:t>
      </w:r>
    </w:p>
    <w:p>
      <w:pPr>
        <w:pStyle w:val="Normal"/>
        <w:ind w:left="567" w:right="567" w:firstLine="0"/>
        <w:jc w:val="both"/>
        <w:rPr>
          <w:rFonts w:ascii="Book Antiqua" w:cs="Book Antiqua" w:hAnsi="Book Antiqua" w:eastAsia="Book Antiqua"/>
        </w:rPr>
      </w:pPr>
      <w:r>
        <w:rPr>
          <w:rFonts w:ascii="Book Antiqua"/>
          <w:rtl w:val="0"/>
          <w:lang w:val="it-IT"/>
        </w:rPr>
        <w:t>L'assetto attuale rimane arretrato in quanto orientato a generare, attraverso i TMB, rifiuti da rifiuti che vanno ad alimentare impianti all</w:t>
      </w:r>
      <w:r>
        <w:rPr>
          <w:rFonts w:hAnsi="Book Antiqua" w:hint="default"/>
          <w:rtl w:val="0"/>
          <w:lang w:val="it-IT"/>
        </w:rPr>
        <w:t>’</w:t>
      </w:r>
      <w:r>
        <w:rPr>
          <w:rFonts w:ascii="Book Antiqua"/>
          <w:rtl w:val="0"/>
          <w:lang w:val="it-IT"/>
        </w:rPr>
        <w:t>esterno di Roma Capitale; manca un</w:t>
      </w:r>
      <w:r>
        <w:rPr>
          <w:rFonts w:hAnsi="Book Antiqua" w:hint="default"/>
          <w:rtl w:val="0"/>
          <w:lang w:val="it-IT"/>
        </w:rPr>
        <w:t>’</w:t>
      </w:r>
      <w:r>
        <w:rPr>
          <w:rFonts w:ascii="Book Antiqua"/>
          <w:rtl w:val="0"/>
          <w:lang w:val="it-IT"/>
        </w:rPr>
        <w:t>impiantistica per il compostaggio e anche in questo caso Roma Capitale avvia tuttora rilevanti quantit</w:t>
      </w:r>
      <w:r>
        <w:rPr>
          <w:rFonts w:hAnsi="Book Antiqua" w:hint="default"/>
          <w:rtl w:val="0"/>
          <w:lang w:val="it-IT"/>
        </w:rPr>
        <w:t xml:space="preserve">à </w:t>
      </w:r>
      <w:r>
        <w:rPr>
          <w:rFonts w:ascii="Book Antiqua"/>
          <w:rtl w:val="0"/>
          <w:lang w:val="it-IT"/>
        </w:rPr>
        <w:t>di materia fuori regione, con aumento esponenziale di costi e impatto ambientale.</w:t>
      </w:r>
    </w:p>
    <w:p>
      <w:pPr>
        <w:pStyle w:val="Normal"/>
        <w:ind w:left="567" w:right="567" w:firstLine="0"/>
        <w:jc w:val="both"/>
        <w:rPr>
          <w:rFonts w:ascii="Book Antiqua" w:cs="Book Antiqua" w:hAnsi="Book Antiqua" w:eastAsia="Book Antiqua"/>
        </w:rPr>
      </w:pPr>
      <w:r>
        <w:rPr>
          <w:rFonts w:ascii="Book Antiqua"/>
          <w:rtl w:val="0"/>
          <w:lang w:val="it-IT"/>
        </w:rPr>
        <w:t>Sino ad oggi il sistema ha retto tra molte difficolt</w:t>
      </w:r>
      <w:r>
        <w:rPr>
          <w:rFonts w:hAnsi="Book Antiqua" w:hint="default"/>
          <w:rtl w:val="0"/>
          <w:lang w:val="it-IT"/>
        </w:rPr>
        <w:t>à</w:t>
      </w:r>
      <w:r>
        <w:rPr>
          <w:rFonts w:ascii="Book Antiqua"/>
          <w:rtl w:val="0"/>
          <w:lang w:val="it-IT"/>
        </w:rPr>
        <w:t>, con l</w:t>
      </w:r>
      <w:r>
        <w:rPr>
          <w:rFonts w:hAnsi="Book Antiqua" w:hint="default"/>
          <w:rtl w:val="0"/>
          <w:lang w:val="it-IT"/>
        </w:rPr>
        <w:t>’</w:t>
      </w:r>
      <w:r>
        <w:rPr>
          <w:rFonts w:ascii="Book Antiqua"/>
          <w:rtl w:val="0"/>
          <w:lang w:val="it-IT"/>
        </w:rPr>
        <w:t>aiuto indispensabile di impianti localizzati fuori Roma, con viaggi di centinaia di migliaia di tonnellate di rifiuti verso il resto della regione Lazio, verso altre regioni, verso l</w:t>
      </w:r>
      <w:r>
        <w:rPr>
          <w:rFonts w:hAnsi="Book Antiqua" w:hint="default"/>
          <w:rtl w:val="0"/>
          <w:lang w:val="it-IT"/>
        </w:rPr>
        <w:t>’</w:t>
      </w:r>
      <w:r>
        <w:rPr>
          <w:rFonts w:ascii="Book Antiqua"/>
          <w:rtl w:val="0"/>
          <w:lang w:val="it-IT"/>
        </w:rPr>
        <w:t xml:space="preserve">estero. </w:t>
      </w:r>
    </w:p>
    <w:p>
      <w:pPr>
        <w:pStyle w:val="Normal"/>
        <w:ind w:left="567" w:right="567" w:firstLine="0"/>
        <w:jc w:val="both"/>
        <w:rPr>
          <w:rFonts w:ascii="Book Antiqua" w:cs="Book Antiqua" w:hAnsi="Book Antiqua" w:eastAsia="Book Antiqua"/>
        </w:rPr>
      </w:pPr>
      <w:r>
        <w:rPr>
          <w:rFonts w:ascii="Book Antiqua"/>
          <w:rtl w:val="0"/>
          <w:lang w:val="it-IT"/>
        </w:rPr>
        <w:t>Il ridimensionamento, per ragioni materiali o giuridiche, di uno di questi ausili produrrebbe, di riflesso, l</w:t>
      </w:r>
      <w:r>
        <w:rPr>
          <w:rFonts w:hAnsi="Book Antiqua" w:hint="default"/>
          <w:rtl w:val="0"/>
          <w:lang w:val="it-IT"/>
        </w:rPr>
        <w:t>’</w:t>
      </w:r>
      <w:r>
        <w:rPr>
          <w:rFonts w:ascii="Book Antiqua"/>
          <w:rtl w:val="0"/>
          <w:lang w:val="it-IT"/>
        </w:rPr>
        <w:t>impossibilit</w:t>
      </w:r>
      <w:r>
        <w:rPr>
          <w:rFonts w:hAnsi="Book Antiqua" w:hint="default"/>
          <w:rtl w:val="0"/>
          <w:lang w:val="it-IT"/>
        </w:rPr>
        <w:t xml:space="preserve">à </w:t>
      </w:r>
      <w:r>
        <w:rPr>
          <w:rFonts w:ascii="Book Antiqua"/>
          <w:rtl w:val="0"/>
          <w:lang w:val="it-IT"/>
        </w:rPr>
        <w:t>della stessa regolare raccolta dei rifiuti a Roma. N</w:t>
      </w:r>
      <w:r>
        <w:rPr>
          <w:rFonts w:hAnsi="Book Antiqua" w:hint="default"/>
          <w:rtl w:val="0"/>
          <w:lang w:val="it-IT"/>
        </w:rPr>
        <w:t xml:space="preserve">é </w:t>
      </w:r>
      <w:r>
        <w:rPr>
          <w:rFonts w:ascii="Book Antiqua"/>
          <w:rtl w:val="0"/>
          <w:lang w:val="it-IT"/>
        </w:rPr>
        <w:t>si pu</w:t>
      </w:r>
      <w:r>
        <w:rPr>
          <w:rFonts w:hAnsi="Book Antiqua" w:hint="default"/>
          <w:rtl w:val="0"/>
          <w:lang w:val="it-IT"/>
        </w:rPr>
        <w:t xml:space="preserve">ò </w:t>
      </w:r>
      <w:r>
        <w:rPr>
          <w:rFonts w:ascii="Book Antiqua"/>
          <w:rtl w:val="0"/>
          <w:lang w:val="it-IT"/>
        </w:rPr>
        <w:t>dimenticare che gli stessi TMB romani presentano cronici problemi di funzionalit</w:t>
      </w:r>
      <w:r>
        <w:rPr>
          <w:rFonts w:hAnsi="Book Antiqua" w:hint="default"/>
          <w:rtl w:val="0"/>
          <w:lang w:val="it-IT"/>
        </w:rPr>
        <w:t xml:space="preserve">à </w:t>
      </w:r>
      <w:r>
        <w:rPr>
          <w:rFonts w:ascii="Book Antiqua"/>
          <w:rtl w:val="0"/>
          <w:lang w:val="it-IT"/>
        </w:rPr>
        <w:t>degli impianti, tali da determinare interventi di controllo da parte di pi</w:t>
      </w:r>
      <w:r>
        <w:rPr>
          <w:rFonts w:hAnsi="Book Antiqua" w:hint="default"/>
          <w:rtl w:val="0"/>
          <w:lang w:val="it-IT"/>
        </w:rPr>
        <w:t xml:space="preserve">ù </w:t>
      </w:r>
      <w:r>
        <w:rPr>
          <w:rFonts w:ascii="Book Antiqua"/>
          <w:rtl w:val="0"/>
          <w:lang w:val="it-IT"/>
        </w:rPr>
        <w:t>soggetti istituzionali e reazioni dei cittadini che vivono nelle zone di insediamento degli impianti.</w:t>
      </w:r>
    </w:p>
    <w:p>
      <w:pPr>
        <w:pStyle w:val="Normal"/>
        <w:ind w:left="567" w:right="567" w:firstLine="0"/>
        <w:jc w:val="both"/>
        <w:rPr>
          <w:rFonts w:ascii="Book Antiqua" w:cs="Book Antiqua" w:hAnsi="Book Antiqua" w:eastAsia="Book Antiqua"/>
        </w:rPr>
      </w:pPr>
      <w:r>
        <w:rPr>
          <w:rFonts w:ascii="Book Antiqua"/>
          <w:rtl w:val="0"/>
          <w:lang w:val="it-IT"/>
        </w:rPr>
        <w:t>La mancata attuazione di progetti innovativi ha sostituito a un ciclo dei rifiuti discaricocentrico, un ciclo privo di chiusura, con conseguente aumento dei costi di gestione dei rifiuti e dei costi per i cittadini: maggiori spese conseguenti al trattamento di una quantit</w:t>
      </w:r>
      <w:r>
        <w:rPr>
          <w:rFonts w:hAnsi="Book Antiqua" w:hint="default"/>
          <w:rtl w:val="0"/>
          <w:lang w:val="it-IT"/>
        </w:rPr>
        <w:t xml:space="preserve">à </w:t>
      </w:r>
      <w:r>
        <w:rPr>
          <w:rFonts w:ascii="Book Antiqua"/>
          <w:rtl w:val="0"/>
          <w:lang w:val="it-IT"/>
        </w:rPr>
        <w:t>considerevole di rifiuti indifferenziati, allo smaltimento fuori regione dei rifiuti prodotti dagli impianti TMB, nonch</w:t>
      </w:r>
      <w:r>
        <w:rPr>
          <w:rFonts w:hAnsi="Book Antiqua" w:hint="default"/>
          <w:rtl w:val="0"/>
          <w:lang w:val="it-IT"/>
        </w:rPr>
        <w:t>é</w:t>
      </w:r>
      <w:r>
        <w:rPr>
          <w:rFonts w:ascii="Book Antiqua"/>
          <w:rtl w:val="0"/>
          <w:lang w:val="it-IT"/>
        </w:rPr>
        <w:t xml:space="preserve"> alla destinazione a impianti di compostaggio extraregionali della frazione organica proveniente da raccolta differenziata; l</w:t>
      </w:r>
      <w:r>
        <w:rPr>
          <w:rFonts w:hAnsi="Book Antiqua" w:hint="default"/>
          <w:rtl w:val="0"/>
          <w:lang w:val="it-IT"/>
        </w:rPr>
        <w:t>’</w:t>
      </w:r>
      <w:r>
        <w:rPr>
          <w:rFonts w:ascii="Book Antiqua"/>
          <w:rtl w:val="0"/>
          <w:lang w:val="it-IT"/>
        </w:rPr>
        <w:t>eredit</w:t>
      </w:r>
      <w:r>
        <w:rPr>
          <w:rFonts w:hAnsi="Book Antiqua" w:hint="default"/>
          <w:rtl w:val="0"/>
          <w:lang w:val="it-IT"/>
        </w:rPr>
        <w:t>à</w:t>
      </w:r>
      <w:r>
        <w:rPr>
          <w:rFonts w:ascii="Book Antiqua"/>
          <w:rtl w:val="0"/>
          <w:lang w:val="it-IT"/>
        </w:rPr>
        <w:t xml:space="preserve"> contenziosa di AMA, frutto di una storica indefinizione giuridica dei rapporti con i privati, collocata in fasi </w:t>
      </w:r>
      <w:r>
        <w:rPr>
          <w:rFonts w:hAnsi="Book Antiqua" w:hint="default"/>
          <w:rtl w:val="0"/>
          <w:lang w:val="it-IT"/>
        </w:rPr>
        <w:t>“</w:t>
      </w:r>
      <w:r>
        <w:rPr>
          <w:rFonts w:ascii="Book Antiqua"/>
          <w:rtl w:val="0"/>
          <w:lang w:val="it-IT"/>
        </w:rPr>
        <w:t>emergenziali</w:t>
      </w:r>
      <w:r>
        <w:rPr>
          <w:rFonts w:hAnsi="Book Antiqua" w:hint="default"/>
          <w:rtl w:val="0"/>
          <w:lang w:val="it-IT"/>
        </w:rPr>
        <w:t>”</w:t>
      </w:r>
      <w:r>
        <w:rPr>
          <w:rFonts w:ascii="Book Antiqua"/>
          <w:rtl w:val="0"/>
          <w:lang w:val="it-IT"/>
        </w:rPr>
        <w:t xml:space="preserve"> e solo di recente superata da un contratto-ponte, rischia tuttora di comportare un elevato esborso di risorse economiche da parte di Roma Capitale ossia da parte di tutti i cittadini romani; il contratto ponte, tuttavia, rappresenta fattore di superamento di una storica situazione monopolistica con riflessi anche tariffari.</w:t>
      </w:r>
    </w:p>
    <w:p>
      <w:pPr>
        <w:pStyle w:val="Normal"/>
        <w:ind w:left="567" w:right="567" w:firstLine="0"/>
        <w:jc w:val="both"/>
        <w:rPr>
          <w:rFonts w:ascii="Book Antiqua" w:cs="Book Antiqua" w:hAnsi="Book Antiqua" w:eastAsia="Book Antiqua"/>
        </w:rPr>
      </w:pPr>
      <w:r>
        <w:rPr>
          <w:rFonts w:ascii="Book Antiqua"/>
          <w:rtl w:val="0"/>
          <w:lang w:val="it-IT"/>
        </w:rPr>
        <w:t>Nelle debolezze del ciclo dei rifiuti si inseriscono fenomeni illeciti diffusi: dal rovistaggio, ai roghi di rifiuti, alle filiere improprie dell</w:t>
      </w:r>
      <w:r>
        <w:rPr>
          <w:rFonts w:hAnsi="Book Antiqua" w:hint="default"/>
          <w:rtl w:val="0"/>
          <w:lang w:val="it-IT"/>
        </w:rPr>
        <w:t>’</w:t>
      </w:r>
      <w:r>
        <w:rPr>
          <w:rFonts w:ascii="Book Antiqua"/>
          <w:rtl w:val="0"/>
          <w:lang w:val="it-IT"/>
        </w:rPr>
        <w:t>autodemolizione, all</w:t>
      </w:r>
      <w:r>
        <w:rPr>
          <w:rFonts w:hAnsi="Book Antiqua" w:hint="default"/>
          <w:rtl w:val="0"/>
          <w:lang w:val="it-IT"/>
        </w:rPr>
        <w:t>’</w:t>
      </w:r>
      <w:r>
        <w:rPr>
          <w:rFonts w:ascii="Book Antiqua"/>
          <w:rtl w:val="0"/>
          <w:lang w:val="it-IT"/>
        </w:rPr>
        <w:t>abbandono di rifiuti di origine edilizia, al degrado ambientale che interessa i campi nomadi,</w:t>
      </w:r>
      <w:r>
        <w:rPr>
          <w:rFonts w:ascii="Book Antiqua"/>
          <w:i w:val="1"/>
          <w:iCs w:val="1"/>
          <w:rtl w:val="0"/>
          <w:lang w:val="it-IT"/>
        </w:rPr>
        <w:t xml:space="preserve"> </w:t>
      </w:r>
      <w:r>
        <w:rPr>
          <w:rFonts w:ascii="Book Antiqua"/>
          <w:rtl w:val="0"/>
          <w:lang w:val="it-IT"/>
        </w:rPr>
        <w:t>sede di raccolta illecita, abbandono e incendi di rifiuti; fenomeni sui quali sono in corso iniziative investigative dell</w:t>
      </w:r>
      <w:r>
        <w:rPr>
          <w:rFonts w:hAnsi="Book Antiqua" w:hint="default"/>
          <w:rtl w:val="0"/>
          <w:lang w:val="it-IT"/>
        </w:rPr>
        <w:t>’</w:t>
      </w:r>
      <w:r>
        <w:rPr>
          <w:rFonts w:ascii="Book Antiqua"/>
          <w:rtl w:val="0"/>
          <w:lang w:val="it-IT"/>
        </w:rPr>
        <w:t>autorit</w:t>
      </w:r>
      <w:r>
        <w:rPr>
          <w:rFonts w:hAnsi="Book Antiqua" w:hint="default"/>
          <w:rtl w:val="0"/>
          <w:lang w:val="it-IT"/>
        </w:rPr>
        <w:t xml:space="preserve">à </w:t>
      </w:r>
      <w:r>
        <w:rPr>
          <w:rFonts w:ascii="Book Antiqua"/>
          <w:rtl w:val="0"/>
          <w:lang w:val="it-IT"/>
        </w:rPr>
        <w:t>giudiziaria e delle polizie giudiziarie, ma che richiamano fortemente la responsabilit</w:t>
      </w:r>
      <w:r>
        <w:rPr>
          <w:rFonts w:hAnsi="Book Antiqua" w:hint="default"/>
          <w:rtl w:val="0"/>
          <w:lang w:val="it-IT"/>
        </w:rPr>
        <w:t xml:space="preserve">à </w:t>
      </w:r>
      <w:r>
        <w:rPr>
          <w:rFonts w:ascii="Book Antiqua"/>
          <w:rtl w:val="0"/>
          <w:lang w:val="it-IT"/>
        </w:rPr>
        <w:t>dei soggetti pubblici che hanno compiti di amministrazione attiva, di pianificazione e di controllo, non solo per quanto riguarda gli aspetti ambientali ma anche per il governo delle attivit</w:t>
      </w:r>
      <w:r>
        <w:rPr>
          <w:rFonts w:hAnsi="Book Antiqua" w:hint="default"/>
          <w:rtl w:val="0"/>
          <w:lang w:val="it-IT"/>
        </w:rPr>
        <w:t xml:space="preserve">à </w:t>
      </w:r>
      <w:r>
        <w:rPr>
          <w:rFonts w:ascii="Book Antiqua"/>
          <w:rtl w:val="0"/>
          <w:lang w:val="it-IT"/>
        </w:rPr>
        <w:t>economiche e degli insediamenti antropici e per l</w:t>
      </w:r>
      <w:r>
        <w:rPr>
          <w:rFonts w:hAnsi="Book Antiqua" w:hint="default"/>
          <w:rtl w:val="0"/>
          <w:lang w:val="it-IT"/>
        </w:rPr>
        <w:t>’</w:t>
      </w:r>
      <w:r>
        <w:rPr>
          <w:rFonts w:ascii="Book Antiqua"/>
          <w:rtl w:val="0"/>
          <w:lang w:val="it-IT"/>
        </w:rPr>
        <w:t>azione di contrasto al degrado urbano.</w:t>
      </w:r>
    </w:p>
    <w:p>
      <w:pPr>
        <w:pStyle w:val="Normal"/>
        <w:ind w:left="567" w:right="567" w:firstLine="0"/>
        <w:jc w:val="both"/>
        <w:rPr>
          <w:rFonts w:ascii="Book Antiqua" w:cs="Book Antiqua" w:hAnsi="Book Antiqua" w:eastAsia="Book Antiqua"/>
          <w:color w:val="262626"/>
          <w:u w:color="262626"/>
        </w:rPr>
      </w:pPr>
      <w:r>
        <w:rPr>
          <w:rFonts w:ascii="Book Antiqua"/>
          <w:rtl w:val="0"/>
          <w:lang w:val="it-IT"/>
        </w:rPr>
        <w:t xml:space="preserve">In questa situazione non </w:t>
      </w:r>
      <w:r>
        <w:rPr>
          <w:rFonts w:hAnsi="Book Antiqua" w:hint="default"/>
          <w:rtl w:val="0"/>
          <w:lang w:val="it-IT"/>
        </w:rPr>
        <w:t xml:space="preserve">è </w:t>
      </w:r>
      <w:r>
        <w:rPr>
          <w:rFonts w:ascii="Book Antiqua"/>
          <w:rtl w:val="0"/>
          <w:lang w:val="it-IT"/>
        </w:rPr>
        <w:t xml:space="preserve">pensabile una divergenza degli obiettivi di massima tra Roma Capitale e regione Lazio: il problema si incentra su Roma Capitale, posto che, </w:t>
      </w:r>
      <w:r>
        <w:rPr>
          <w:rFonts w:ascii="Book Antiqua"/>
          <w:color w:val="262626"/>
          <w:u w:color="262626"/>
          <w:rtl w:val="0"/>
          <w:lang w:val="it-IT"/>
        </w:rPr>
        <w:t>per quanto riguarda gli impianti di trattamento dei rifiuti urbani indifferenziati, con le nuove autorizzazioni, gli ampliamenti e l'ottimizzazione dei quantitativi autorizzati e degli impianti gi</w:t>
      </w:r>
      <w:r>
        <w:rPr>
          <w:rFonts w:hAnsi="Book Antiqua" w:hint="default"/>
          <w:color w:val="262626"/>
          <w:u w:color="262626"/>
          <w:rtl w:val="0"/>
          <w:lang w:val="it-IT"/>
        </w:rPr>
        <w:t xml:space="preserve">à </w:t>
      </w:r>
      <w:r>
        <w:rPr>
          <w:rFonts w:ascii="Book Antiqua"/>
          <w:color w:val="262626"/>
          <w:u w:color="262626"/>
          <w:rtl w:val="0"/>
          <w:lang w:val="it-IT"/>
        </w:rPr>
        <w:t xml:space="preserve">esistenti, si </w:t>
      </w:r>
      <w:r>
        <w:rPr>
          <w:rFonts w:hAnsi="Book Antiqua" w:hint="default"/>
          <w:color w:val="262626"/>
          <w:u w:color="262626"/>
          <w:rtl w:val="0"/>
          <w:lang w:val="it-IT"/>
        </w:rPr>
        <w:t xml:space="preserve">è </w:t>
      </w:r>
      <w:r>
        <w:rPr>
          <w:rFonts w:ascii="Book Antiqua"/>
          <w:color w:val="262626"/>
          <w:u w:color="262626"/>
          <w:rtl w:val="0"/>
          <w:lang w:val="it-IT"/>
        </w:rPr>
        <w:t>raggiunta l</w:t>
      </w:r>
      <w:r>
        <w:rPr>
          <w:rFonts w:hAnsi="Book Antiqua" w:hint="default"/>
          <w:color w:val="262626"/>
          <w:u w:color="262626"/>
          <w:rtl w:val="0"/>
          <w:lang w:val="it-IT"/>
        </w:rPr>
        <w:t>’</w:t>
      </w:r>
      <w:r>
        <w:rPr>
          <w:rFonts w:ascii="Book Antiqua"/>
          <w:color w:val="262626"/>
          <w:u w:color="262626"/>
          <w:rtl w:val="0"/>
          <w:lang w:val="it-IT"/>
        </w:rPr>
        <w:t>autosufficienza a livello regionale</w:t>
      </w:r>
      <w:r>
        <w:rPr>
          <w:rFonts w:ascii="Book Antiqua"/>
          <w:rtl w:val="0"/>
          <w:lang w:val="it-IT"/>
        </w:rPr>
        <w:t xml:space="preserve">; comuni dovranno quindi essere </w:t>
      </w:r>
      <w:r>
        <w:rPr>
          <w:rFonts w:ascii="Book Antiqua"/>
          <w:color w:val="262626"/>
          <w:u w:color="262626"/>
          <w:rtl w:val="0"/>
          <w:lang w:val="it-IT"/>
        </w:rPr>
        <w:t>le azioni per il raggiungimento degli obiettivi della prevenzione, della promozione del riutilizzo, dell</w:t>
      </w:r>
      <w:r>
        <w:rPr>
          <w:rFonts w:hAnsi="Book Antiqua" w:hint="default"/>
          <w:color w:val="262626"/>
          <w:u w:color="262626"/>
          <w:rtl w:val="0"/>
          <w:lang w:val="it-IT"/>
        </w:rPr>
        <w:t>’</w:t>
      </w:r>
      <w:r>
        <w:rPr>
          <w:rFonts w:ascii="Book Antiqua"/>
          <w:color w:val="262626"/>
          <w:u w:color="262626"/>
          <w:rtl w:val="0"/>
          <w:lang w:val="it-IT"/>
        </w:rPr>
        <w:t>aumento della raccolta differenziata, con l</w:t>
      </w:r>
      <w:r>
        <w:rPr>
          <w:rFonts w:hAnsi="Book Antiqua" w:hint="default"/>
          <w:color w:val="262626"/>
          <w:u w:color="262626"/>
          <w:rtl w:val="0"/>
          <w:lang w:val="it-IT"/>
        </w:rPr>
        <w:t>’</w:t>
      </w:r>
      <w:r>
        <w:rPr>
          <w:rFonts w:ascii="Book Antiqua"/>
          <w:color w:val="262626"/>
          <w:u w:color="262626"/>
          <w:rtl w:val="0"/>
          <w:lang w:val="it-IT"/>
        </w:rPr>
        <w:t>indispensabile corollario di un</w:t>
      </w:r>
      <w:r>
        <w:rPr>
          <w:rFonts w:hAnsi="Book Antiqua" w:hint="default"/>
          <w:color w:val="262626"/>
          <w:u w:color="262626"/>
          <w:rtl w:val="0"/>
          <w:lang w:val="it-IT"/>
        </w:rPr>
        <w:t>’</w:t>
      </w:r>
      <w:r>
        <w:rPr>
          <w:rFonts w:ascii="Book Antiqua"/>
          <w:color w:val="262626"/>
          <w:u w:color="262626"/>
          <w:rtl w:val="0"/>
          <w:lang w:val="it-IT"/>
        </w:rPr>
        <w:t>impiantistica calibrata su una realt</w:t>
      </w:r>
      <w:r>
        <w:rPr>
          <w:rFonts w:hAnsi="Book Antiqua" w:hint="default"/>
          <w:color w:val="262626"/>
          <w:u w:color="262626"/>
          <w:rtl w:val="0"/>
          <w:lang w:val="it-IT"/>
        </w:rPr>
        <w:t xml:space="preserve">à </w:t>
      </w:r>
      <w:r>
        <w:rPr>
          <w:rFonts w:ascii="Book Antiqua"/>
          <w:color w:val="262626"/>
          <w:u w:color="262626"/>
          <w:rtl w:val="0"/>
          <w:lang w:val="it-IT"/>
        </w:rPr>
        <w:t xml:space="preserve">costantemente esposta al rischio di quella che, impropriamente, verrebbe definita emergenza, ma che invece </w:t>
      </w:r>
      <w:r>
        <w:rPr>
          <w:rFonts w:hAnsi="Book Antiqua" w:hint="default"/>
          <w:color w:val="262626"/>
          <w:u w:color="262626"/>
          <w:rtl w:val="0"/>
          <w:lang w:val="it-IT"/>
        </w:rPr>
        <w:t xml:space="preserve">è </w:t>
      </w:r>
      <w:r>
        <w:rPr>
          <w:rFonts w:ascii="Book Antiqua"/>
          <w:color w:val="262626"/>
          <w:u w:color="262626"/>
          <w:rtl w:val="0"/>
          <w:lang w:val="it-IT"/>
        </w:rPr>
        <w:t>una prospettiva insita nella fragilit</w:t>
      </w:r>
      <w:r>
        <w:rPr>
          <w:rFonts w:hAnsi="Book Antiqua" w:hint="default"/>
          <w:color w:val="262626"/>
          <w:u w:color="262626"/>
          <w:rtl w:val="0"/>
          <w:lang w:val="it-IT"/>
        </w:rPr>
        <w:t xml:space="preserve">à </w:t>
      </w:r>
      <w:r>
        <w:rPr>
          <w:rFonts w:ascii="Book Antiqua"/>
          <w:color w:val="262626"/>
          <w:u w:color="262626"/>
          <w:rtl w:val="0"/>
          <w:lang w:val="it-IT"/>
        </w:rPr>
        <w:t xml:space="preserve">di un ciclo privo di chiusura impiantistica e non solo su auspici futuri di un cambio di modello di consumi, considerato che </w:t>
      </w:r>
      <w:r>
        <w:rPr>
          <w:rFonts w:ascii="Book Antiqua"/>
          <w:rtl w:val="0"/>
          <w:lang w:val="it-IT"/>
        </w:rPr>
        <w:t>il fattore dimensionale delle grandi aree metropolitane nell</w:t>
      </w:r>
      <w:r>
        <w:rPr>
          <w:rFonts w:hAnsi="Book Antiqua" w:hint="default"/>
          <w:rtl w:val="0"/>
          <w:lang w:val="it-IT"/>
        </w:rPr>
        <w:t>’</w:t>
      </w:r>
      <w:r>
        <w:rPr>
          <w:rFonts w:ascii="Book Antiqua"/>
          <w:rtl w:val="0"/>
          <w:lang w:val="it-IT"/>
        </w:rPr>
        <w:t>esperienza europea gi</w:t>
      </w:r>
      <w:r>
        <w:rPr>
          <w:rFonts w:hAnsi="Book Antiqua" w:hint="default"/>
          <w:rtl w:val="0"/>
          <w:lang w:val="it-IT"/>
        </w:rPr>
        <w:t xml:space="preserve">à </w:t>
      </w:r>
      <w:r>
        <w:rPr>
          <w:rFonts w:ascii="Book Antiqua"/>
          <w:rtl w:val="0"/>
          <w:lang w:val="it-IT"/>
        </w:rPr>
        <w:t>colloca Roma Capitale in una fascia elevata di raccolta differenziata</w:t>
      </w:r>
      <w:r>
        <w:rPr>
          <w:rFonts w:ascii="Book Antiqua"/>
          <w:color w:val="262626"/>
          <w:u w:color="262626"/>
          <w:rtl w:val="0"/>
          <w:lang w:val="it-IT"/>
        </w:rPr>
        <w:t>. Solo il raggiungimento al 2021 della riduzione post-consumo preconizzata in un piano dell</w:t>
      </w:r>
      <w:r>
        <w:rPr>
          <w:rFonts w:hAnsi="Book Antiqua" w:hint="default"/>
          <w:color w:val="262626"/>
          <w:u w:color="262626"/>
          <w:rtl w:val="0"/>
          <w:lang w:val="it-IT"/>
        </w:rPr>
        <w:t>’</w:t>
      </w:r>
      <w:r>
        <w:rPr>
          <w:rFonts w:ascii="Book Antiqua"/>
          <w:color w:val="262626"/>
          <w:u w:color="262626"/>
          <w:rtl w:val="0"/>
          <w:lang w:val="it-IT"/>
        </w:rPr>
        <w:t>attuale amministrazione capitolina potrebbe ipoteticamente prefigurare un salto in avanti.</w:t>
      </w:r>
    </w:p>
    <w:p>
      <w:pPr>
        <w:pStyle w:val="Normal"/>
        <w:ind w:left="567" w:right="567" w:firstLine="0"/>
        <w:jc w:val="both"/>
        <w:rPr>
          <w:rFonts w:ascii="Book Antiqua" w:cs="Book Antiqua" w:hAnsi="Book Antiqua" w:eastAsia="Book Antiqua"/>
          <w:color w:val="262626"/>
          <w:u w:color="262626"/>
        </w:rPr>
      </w:pPr>
      <w:r>
        <w:rPr>
          <w:rFonts w:ascii="Book Antiqua"/>
          <w:rtl w:val="0"/>
          <w:lang w:val="it-IT"/>
        </w:rPr>
        <w:t>In ogni caso, l</w:t>
      </w:r>
      <w:r>
        <w:rPr>
          <w:rFonts w:hAnsi="Book Antiqua" w:hint="default"/>
          <w:rtl w:val="0"/>
          <w:lang w:val="it-IT"/>
        </w:rPr>
        <w:t>’</w:t>
      </w:r>
      <w:r>
        <w:rPr>
          <w:rFonts w:ascii="Book Antiqua"/>
          <w:rtl w:val="0"/>
          <w:lang w:val="it-IT"/>
        </w:rPr>
        <w:t>attualit</w:t>
      </w:r>
      <w:r>
        <w:rPr>
          <w:rFonts w:hAnsi="Book Antiqua" w:hint="default"/>
          <w:rtl w:val="0"/>
          <w:lang w:val="it-IT"/>
        </w:rPr>
        <w:t xml:space="preserve">à </w:t>
      </w:r>
      <w:r>
        <w:rPr>
          <w:rFonts w:ascii="Book Antiqua"/>
          <w:rtl w:val="0"/>
          <w:lang w:val="it-IT"/>
        </w:rPr>
        <w:t>delle esigenze e dei rischi per la legalit</w:t>
      </w:r>
      <w:r>
        <w:rPr>
          <w:rFonts w:hAnsi="Book Antiqua" w:hint="default"/>
          <w:rtl w:val="0"/>
          <w:lang w:val="it-IT"/>
        </w:rPr>
        <w:t xml:space="preserve">à </w:t>
      </w:r>
      <w:r>
        <w:rPr>
          <w:rFonts w:ascii="Book Antiqua"/>
          <w:rtl w:val="0"/>
          <w:lang w:val="it-IT"/>
        </w:rPr>
        <w:t>e per l</w:t>
      </w:r>
      <w:r>
        <w:rPr>
          <w:rFonts w:hAnsi="Book Antiqua" w:hint="default"/>
          <w:rtl w:val="0"/>
          <w:lang w:val="it-IT"/>
        </w:rPr>
        <w:t>’</w:t>
      </w:r>
      <w:r>
        <w:rPr>
          <w:rFonts w:ascii="Book Antiqua"/>
          <w:rtl w:val="0"/>
          <w:lang w:val="it-IT"/>
        </w:rPr>
        <w:t xml:space="preserve">ambiente impone ai soggetti pubblici </w:t>
      </w:r>
      <w:r>
        <w:rPr>
          <w:rFonts w:ascii="Book Antiqua"/>
          <w:color w:val="000000"/>
          <w:u w:color="000000"/>
          <w:rtl w:val="0"/>
          <w:lang w:val="it-IT"/>
        </w:rPr>
        <w:t>una programmazione del ciclo dei rifiuti giuridicamente legittima, ambientalmente sostenibile, concretamente praticabile nell</w:t>
      </w:r>
      <w:r>
        <w:rPr>
          <w:rFonts w:hAnsi="Book Antiqua" w:hint="default"/>
          <w:color w:val="000000"/>
          <w:u w:color="000000"/>
          <w:rtl w:val="0"/>
          <w:lang w:val="it-IT"/>
        </w:rPr>
        <w:t>’</w:t>
      </w:r>
      <w:r>
        <w:rPr>
          <w:rFonts w:ascii="Book Antiqua"/>
          <w:color w:val="000000"/>
          <w:u w:color="000000"/>
          <w:rtl w:val="0"/>
          <w:lang w:val="it-IT"/>
        </w:rPr>
        <w:t>immediato.</w:t>
      </w:r>
    </w:p>
    <w:p>
      <w:pPr>
        <w:pStyle w:val="Normal"/>
        <w:ind w:left="567" w:right="567" w:firstLine="0"/>
        <w:jc w:val="both"/>
        <w:rPr>
          <w:rFonts w:ascii="Book Antiqua" w:cs="Book Antiqua" w:hAnsi="Book Antiqua" w:eastAsia="Book Antiqua"/>
        </w:rPr>
      </w:pPr>
      <w:r>
        <w:rPr>
          <w:rFonts w:ascii="Book Antiqua"/>
          <w:color w:val="262626"/>
          <w:u w:color="262626"/>
          <w:rtl w:val="0"/>
          <w:lang w:val="it-IT"/>
        </w:rPr>
        <w:t>L</w:t>
      </w:r>
      <w:r>
        <w:rPr>
          <w:rFonts w:hAnsi="Book Antiqua" w:hint="default"/>
          <w:rtl w:val="0"/>
          <w:lang w:val="it-IT"/>
        </w:rPr>
        <w:t>’</w:t>
      </w:r>
      <w:r>
        <w:rPr>
          <w:rFonts w:ascii="Book Antiqua"/>
          <w:rtl w:val="0"/>
          <w:lang w:val="it-IT"/>
        </w:rPr>
        <w:t>incremento di efficienza e di presenza avanzata di AMA nel ciclo dei rifiuti pu</w:t>
      </w:r>
      <w:r>
        <w:rPr>
          <w:rFonts w:hAnsi="Book Antiqua" w:hint="default"/>
          <w:rtl w:val="0"/>
          <w:lang w:val="it-IT"/>
        </w:rPr>
        <w:t>ò</w:t>
      </w:r>
      <w:r>
        <w:rPr>
          <w:rFonts w:ascii="Book Antiqua"/>
          <w:rtl w:val="0"/>
          <w:lang w:val="it-IT"/>
        </w:rPr>
        <w:t xml:space="preserve"> essere una garanzia di legalit</w:t>
      </w:r>
      <w:r>
        <w:rPr>
          <w:rFonts w:hAnsi="Book Antiqua" w:hint="default"/>
          <w:rtl w:val="0"/>
          <w:lang w:val="it-IT"/>
        </w:rPr>
        <w:t>à</w:t>
      </w:r>
      <w:r>
        <w:rPr>
          <w:rFonts w:ascii="Book Antiqua"/>
          <w:rtl w:val="0"/>
          <w:lang w:val="it-IT"/>
        </w:rPr>
        <w:t>, a condizione di una gestione trasparente ed efficiente della societ</w:t>
      </w:r>
      <w:r>
        <w:rPr>
          <w:rFonts w:hAnsi="Book Antiqua" w:hint="default"/>
          <w:rtl w:val="0"/>
          <w:lang w:val="it-IT"/>
        </w:rPr>
        <w:t xml:space="preserve">à </w:t>
      </w:r>
      <w:r>
        <w:rPr>
          <w:rFonts w:ascii="Book Antiqua"/>
          <w:rtl w:val="0"/>
          <w:lang w:val="it-IT"/>
        </w:rPr>
        <w:t xml:space="preserve">pubblica. </w:t>
      </w:r>
    </w:p>
    <w:p>
      <w:pPr>
        <w:pStyle w:val="Normal"/>
        <w:ind w:left="567" w:right="567" w:firstLine="0"/>
        <w:jc w:val="both"/>
        <w:rPr>
          <w:rFonts w:ascii="Book Antiqua" w:cs="Book Antiqua" w:hAnsi="Book Antiqua" w:eastAsia="Book Antiqua"/>
        </w:rPr>
      </w:pPr>
      <w:r>
        <w:rPr>
          <w:rFonts w:ascii="Book Antiqua"/>
          <w:rtl w:val="0"/>
          <w:lang w:val="it-IT"/>
        </w:rPr>
        <w:t>La questione di una corretta chiusura del ciclo dei rifiuti nella regione Lazio, con particolare riguardo all</w:t>
      </w:r>
      <w:r>
        <w:rPr>
          <w:rFonts w:hAnsi="Book Antiqua" w:hint="default"/>
          <w:rtl w:val="0"/>
          <w:lang w:val="it-IT"/>
        </w:rPr>
        <w:t>’</w:t>
      </w:r>
      <w:r>
        <w:rPr>
          <w:rFonts w:ascii="Book Antiqua"/>
          <w:rtl w:val="0"/>
          <w:lang w:val="it-IT"/>
        </w:rPr>
        <w:t>impatto della produzione di rifiuti a Roma Capitale rimane dunque centrale, ponendosi la carenza progettuale e la mancata realizzazione di impianti come precondizione per vicende illecite in campo ambientale ma anche per condizionamenti impropri delle politiche pubbliche da parte di soggetti privati.</w:t>
      </w:r>
    </w:p>
    <w:p>
      <w:pPr>
        <w:pStyle w:val="Normal"/>
        <w:ind w:left="567" w:right="567" w:firstLine="0"/>
        <w:jc w:val="both"/>
        <w:rPr>
          <w:rFonts w:ascii="Book Antiqua" w:cs="Book Antiqua" w:hAnsi="Book Antiqua" w:eastAsia="Book Antiqua"/>
        </w:rPr>
      </w:pPr>
      <w:r>
        <w:rPr>
          <w:rFonts w:ascii="Book Antiqua"/>
          <w:rtl w:val="0"/>
          <w:lang w:val="it-IT"/>
        </w:rPr>
        <w:t>L</w:t>
      </w:r>
      <w:r>
        <w:rPr>
          <w:rFonts w:hAnsi="Book Antiqua" w:hint="default"/>
          <w:rtl w:val="0"/>
          <w:lang w:val="it-IT"/>
        </w:rPr>
        <w:t>’</w:t>
      </w:r>
      <w:r>
        <w:rPr>
          <w:rFonts w:ascii="Book Antiqua"/>
          <w:rtl w:val="0"/>
          <w:lang w:val="it-IT"/>
        </w:rPr>
        <w:t xml:space="preserve">obiettiva rilevanza, per dimensioni gestionali e storia, del ciclo dei rifiuti nella regione Lazio e a Roma Capitale, si </w:t>
      </w:r>
      <w:r>
        <w:rPr>
          <w:rFonts w:hAnsi="Book Antiqua" w:hint="default"/>
          <w:rtl w:val="0"/>
          <w:lang w:val="it-IT"/>
        </w:rPr>
        <w:t xml:space="preserve">è </w:t>
      </w:r>
      <w:r>
        <w:rPr>
          <w:rFonts w:ascii="Book Antiqua"/>
          <w:rtl w:val="0"/>
          <w:lang w:val="it-IT"/>
        </w:rPr>
        <w:t>associata  a recenti vicende giudiziarie che hanno portato alla luce ipotesi di illeciti collegati a quella complessit</w:t>
      </w:r>
      <w:r>
        <w:rPr>
          <w:rFonts w:hAnsi="Book Antiqua" w:hint="default"/>
          <w:rtl w:val="0"/>
          <w:lang w:val="it-IT"/>
        </w:rPr>
        <w:t xml:space="preserve">à </w:t>
      </w:r>
      <w:r>
        <w:rPr>
          <w:rFonts w:ascii="Book Antiqua"/>
          <w:rtl w:val="0"/>
          <w:lang w:val="it-IT"/>
        </w:rPr>
        <w:t>e alle scelte politico-amministrative.</w:t>
      </w:r>
    </w:p>
    <w:p>
      <w:pPr>
        <w:pStyle w:val="Normal"/>
        <w:ind w:left="567" w:right="567" w:firstLine="0"/>
        <w:jc w:val="both"/>
        <w:rPr>
          <w:rFonts w:ascii="Book Antiqua" w:cs="Book Antiqua" w:hAnsi="Book Antiqua" w:eastAsia="Book Antiqua"/>
        </w:rPr>
      </w:pPr>
      <w:r>
        <w:rPr>
          <w:rFonts w:ascii="Book Antiqua"/>
          <w:rtl w:val="0"/>
          <w:lang w:val="it-IT"/>
        </w:rPr>
        <w:t>Queste vicende, al di l</w:t>
      </w:r>
      <w:r>
        <w:rPr>
          <w:rFonts w:hAnsi="Book Antiqua" w:hint="default"/>
          <w:rtl w:val="0"/>
          <w:lang w:val="it-IT"/>
        </w:rPr>
        <w:t xml:space="preserve">à </w:t>
      </w:r>
      <w:r>
        <w:rPr>
          <w:rFonts w:ascii="Book Antiqua"/>
          <w:rtl w:val="0"/>
          <w:lang w:val="it-IT"/>
        </w:rPr>
        <w:t>degli esiti processuali, segnalano il manifestato interesse di organizzazioni criminali per la gestione di alcuni segmenti del ciclo dei rifiuti a Roma e nel Lazio, nonch</w:t>
      </w:r>
      <w:r>
        <w:rPr>
          <w:rFonts w:hAnsi="Book Antiqua" w:hint="default"/>
          <w:rtl w:val="0"/>
          <w:lang w:val="it-IT"/>
        </w:rPr>
        <w:t xml:space="preserve">é </w:t>
      </w:r>
      <w:r>
        <w:rPr>
          <w:rFonts w:ascii="Book Antiqua"/>
          <w:rtl w:val="0"/>
          <w:lang w:val="it-IT"/>
        </w:rPr>
        <w:t>la rilevanza di illeciti ambientali che trovano il loro centro nella gestione della discarica di Malagrotta e nella ramificazione di strutture e interessi che da quella realt</w:t>
      </w:r>
      <w:r>
        <w:rPr>
          <w:rFonts w:hAnsi="Book Antiqua" w:hint="default"/>
          <w:rtl w:val="0"/>
          <w:lang w:val="it-IT"/>
        </w:rPr>
        <w:t xml:space="preserve">à </w:t>
      </w:r>
      <w:r>
        <w:rPr>
          <w:rFonts w:ascii="Book Antiqua"/>
          <w:rtl w:val="0"/>
          <w:lang w:val="it-IT"/>
        </w:rPr>
        <w:t>si diramano. Altri significativi fenomeni illeciti diffusi e situazioni critiche riguardano poi il Lazio, con attenzione al rischio di presenze criminali nella parte meridionale della regione, territorio particolarmente sensibile.</w:t>
      </w:r>
    </w:p>
    <w:p>
      <w:pPr>
        <w:pStyle w:val="Normal"/>
        <w:ind w:left="567" w:right="567" w:firstLine="0"/>
        <w:jc w:val="both"/>
        <w:rPr>
          <w:rFonts w:ascii="Book Antiqua" w:cs="Book Antiqua" w:hAnsi="Book Antiqua" w:eastAsia="Book Antiqua"/>
        </w:rPr>
      </w:pPr>
      <w:r>
        <w:rPr>
          <w:rFonts w:ascii="Book Antiqua"/>
          <w:rtl w:val="0"/>
          <w:lang w:val="it-IT"/>
        </w:rPr>
        <w:t>Nel territorio di Roma Capitale non vi sono insediamenti di grandi strutture produttive ad alto impatto inquinante e, pertanto, gli illeciti di natura ambientale sono in gran parte collegati alla gestione dei rifiuti; i fenomeni criminali in questo ambito, compresi quelli pi</w:t>
      </w:r>
      <w:r>
        <w:rPr>
          <w:rFonts w:hAnsi="Book Antiqua" w:hint="default"/>
          <w:rtl w:val="0"/>
          <w:lang w:val="it-IT"/>
        </w:rPr>
        <w:t>ù</w:t>
      </w:r>
      <w:r>
        <w:rPr>
          <w:rFonts w:ascii="Book Antiqua"/>
          <w:rtl w:val="0"/>
          <w:lang w:val="it-IT"/>
        </w:rPr>
        <w:t xml:space="preserve"> gravi di vero e proprio traffico illecito di rifiuti si collocano in un contesto gi</w:t>
      </w:r>
      <w:r>
        <w:rPr>
          <w:rFonts w:hAnsi="Book Antiqua" w:hint="default"/>
          <w:rtl w:val="0"/>
          <w:lang w:val="it-IT"/>
        </w:rPr>
        <w:t>à</w:t>
      </w:r>
      <w:r>
        <w:rPr>
          <w:rFonts w:ascii="Book Antiqua"/>
          <w:rtl w:val="0"/>
          <w:lang w:val="it-IT"/>
        </w:rPr>
        <w:t xml:space="preserve"> segnato da una situazione di illegalit</w:t>
      </w:r>
      <w:r>
        <w:rPr>
          <w:rFonts w:hAnsi="Book Antiqua" w:hint="default"/>
          <w:rtl w:val="0"/>
          <w:lang w:val="it-IT"/>
        </w:rPr>
        <w:t xml:space="preserve">à </w:t>
      </w:r>
      <w:r>
        <w:rPr>
          <w:rFonts w:ascii="Book Antiqua"/>
          <w:rtl w:val="0"/>
          <w:lang w:val="it-IT"/>
        </w:rPr>
        <w:t xml:space="preserve">diffusa che, come si </w:t>
      </w:r>
      <w:r>
        <w:rPr>
          <w:rFonts w:hAnsi="Book Antiqua" w:hint="default"/>
          <w:rtl w:val="0"/>
          <w:lang w:val="it-IT"/>
        </w:rPr>
        <w:t xml:space="preserve">è </w:t>
      </w:r>
      <w:r>
        <w:rPr>
          <w:rFonts w:ascii="Book Antiqua"/>
          <w:rtl w:val="0"/>
          <w:lang w:val="it-IT"/>
        </w:rPr>
        <w:t>osservato, contribuisce al degrado urbano, peggiorando la qualit</w:t>
      </w:r>
      <w:r>
        <w:rPr>
          <w:rFonts w:hAnsi="Book Antiqua" w:hint="default"/>
          <w:rtl w:val="0"/>
          <w:lang w:val="it-IT"/>
        </w:rPr>
        <w:t xml:space="preserve">à </w:t>
      </w:r>
      <w:r>
        <w:rPr>
          <w:rFonts w:ascii="Book Antiqua"/>
          <w:rtl w:val="0"/>
          <w:lang w:val="it-IT"/>
        </w:rPr>
        <w:t>della vita dei cittadini.</w:t>
      </w:r>
    </w:p>
    <w:p>
      <w:pPr>
        <w:pStyle w:val="Normal"/>
        <w:widowControl w:val="0"/>
        <w:ind w:left="567" w:right="567" w:firstLine="0"/>
        <w:jc w:val="both"/>
        <w:rPr>
          <w:rFonts w:ascii="Book Antiqua" w:cs="Book Antiqua" w:hAnsi="Book Antiqua" w:eastAsia="Book Antiqua"/>
          <w:color w:val="262626"/>
          <w:u w:color="262626"/>
        </w:rPr>
      </w:pPr>
      <w:r>
        <w:rPr>
          <w:rFonts w:ascii="Book Antiqua"/>
          <w:rtl w:val="0"/>
          <w:lang w:val="it-IT"/>
        </w:rPr>
        <w:t xml:space="preserve">In questo contesto </w:t>
      </w:r>
      <w:r>
        <w:rPr>
          <w:rFonts w:ascii="Book Antiqua"/>
          <w:color w:val="262626"/>
          <w:u w:color="262626"/>
          <w:rtl w:val="0"/>
          <w:lang w:val="it-IT"/>
        </w:rPr>
        <w:t>l</w:t>
      </w:r>
      <w:r>
        <w:rPr>
          <w:rFonts w:hAnsi="Book Antiqua" w:hint="default"/>
          <w:color w:val="262626"/>
          <w:u w:color="262626"/>
          <w:rtl w:val="0"/>
          <w:lang w:val="it-IT"/>
        </w:rPr>
        <w:t>’</w:t>
      </w:r>
      <w:r>
        <w:rPr>
          <w:rFonts w:ascii="Book Antiqua"/>
          <w:color w:val="262626"/>
          <w:u w:color="262626"/>
          <w:rtl w:val="0"/>
          <w:lang w:val="it-IT"/>
        </w:rPr>
        <w:t>attenzione posta dalla Commissione alla posizione di comitati e associazioni ambientaliste ha fornito il riscontro di una situazione in cui la percezione della mancanza di un quadro di riferimento programmatico da parte dei poteri pubblici genera sfiducia e la sensazione della necessit</w:t>
      </w:r>
      <w:r>
        <w:rPr>
          <w:rFonts w:hAnsi="Book Antiqua" w:hint="default"/>
          <w:color w:val="262626"/>
          <w:u w:color="262626"/>
          <w:rtl w:val="0"/>
          <w:lang w:val="it-IT"/>
        </w:rPr>
        <w:t xml:space="preserve">à </w:t>
      </w:r>
      <w:r>
        <w:rPr>
          <w:rFonts w:ascii="Book Antiqua"/>
          <w:color w:val="262626"/>
          <w:u w:color="262626"/>
          <w:rtl w:val="0"/>
          <w:lang w:val="it-IT"/>
        </w:rPr>
        <w:t>di attivarsi con interventi diretti come spinte esterne rispetto alla ritenuta inerzia dei soggetti istituzionalmente competenti.</w:t>
      </w:r>
    </w:p>
    <w:p>
      <w:pPr>
        <w:pStyle w:val="Normal"/>
        <w:ind w:left="567" w:right="567" w:firstLine="0"/>
        <w:jc w:val="both"/>
        <w:rPr>
          <w:rFonts w:ascii="Book Antiqua" w:cs="Book Antiqua" w:hAnsi="Book Antiqua" w:eastAsia="Book Antiqua"/>
        </w:rPr>
      </w:pPr>
      <w:r>
        <w:rPr>
          <w:rFonts w:ascii="Book Antiqua"/>
          <w:rtl w:val="0"/>
          <w:lang w:val="it-IT"/>
        </w:rPr>
        <w:t>La situazione ambientale prodotta dalla passata gestione della discarica di Malagrotta costituisce un problema tuttora aperto, come attestato dalle risultanze in ambito giurisdizionale amministrativo e penale che denunciano un inquinamento persistente: problema che deve trovare esito nei procedimenti amministrativi pertinenti, ma anche nella valutazione dell</w:t>
      </w:r>
      <w:r>
        <w:rPr>
          <w:rFonts w:hAnsi="Book Antiqua" w:hint="default"/>
          <w:rtl w:val="0"/>
          <w:lang w:val="it-IT"/>
        </w:rPr>
        <w:t>’</w:t>
      </w:r>
      <w:r>
        <w:rPr>
          <w:rFonts w:ascii="Book Antiqua"/>
          <w:rtl w:val="0"/>
          <w:lang w:val="it-IT"/>
        </w:rPr>
        <w:t>intero sito della Valle Galeria come area di particolare sensibilit</w:t>
      </w:r>
      <w:r>
        <w:rPr>
          <w:rFonts w:hAnsi="Book Antiqua" w:hint="default"/>
          <w:rtl w:val="0"/>
          <w:lang w:val="it-IT"/>
        </w:rPr>
        <w:t xml:space="preserve">à </w:t>
      </w:r>
      <w:r>
        <w:rPr>
          <w:rFonts w:ascii="Book Antiqua"/>
          <w:rtl w:val="0"/>
          <w:lang w:val="it-IT"/>
        </w:rPr>
        <w:t>ambientale, a causa della presenza di una pluralit</w:t>
      </w:r>
      <w:r>
        <w:rPr>
          <w:rFonts w:hAnsi="Book Antiqua" w:hint="default"/>
          <w:rtl w:val="0"/>
          <w:lang w:val="it-IT"/>
        </w:rPr>
        <w:t xml:space="preserve">à </w:t>
      </w:r>
      <w:r>
        <w:rPr>
          <w:rFonts w:ascii="Book Antiqua"/>
          <w:rtl w:val="0"/>
          <w:lang w:val="it-IT"/>
        </w:rPr>
        <w:t>di impianti ad elevato impatto antropico.</w:t>
      </w:r>
    </w:p>
    <w:p>
      <w:pPr>
        <w:pStyle w:val="Normal"/>
        <w:ind w:left="567" w:right="567" w:firstLine="0"/>
        <w:jc w:val="both"/>
        <w:rPr>
          <w:rFonts w:ascii="Book Antiqua" w:cs="Book Antiqua" w:hAnsi="Book Antiqua" w:eastAsia="Book Antiqua"/>
        </w:rPr>
      </w:pPr>
      <w:r>
        <w:rPr>
          <w:rFonts w:ascii="Book Antiqua"/>
          <w:rtl w:val="0"/>
          <w:lang w:val="it-IT"/>
        </w:rPr>
        <w:t>I fenomeni illeciti nel territorio della regione comprendono altres</w:t>
      </w:r>
      <w:r>
        <w:rPr>
          <w:rFonts w:hAnsi="Book Antiqua" w:hint="default"/>
          <w:rtl w:val="0"/>
          <w:lang w:val="it-IT"/>
        </w:rPr>
        <w:t xml:space="preserve">ì </w:t>
      </w:r>
      <w:r>
        <w:rPr>
          <w:rFonts w:ascii="Book Antiqua"/>
          <w:rtl w:val="0"/>
          <w:lang w:val="it-IT"/>
        </w:rPr>
        <w:t>la diffusa inefficienza degli impianti di depurazione comunali, spesso connessa all'assenza o alla inadeguatezza delle reti fognarie, alla mancanza di manutenzione e controlli da parte degli enti competenti nonch</w:t>
      </w:r>
      <w:r>
        <w:rPr>
          <w:rFonts w:hAnsi="Book Antiqua" w:hint="default"/>
          <w:rtl w:val="0"/>
          <w:lang w:val="it-IT"/>
        </w:rPr>
        <w:t>é</w:t>
      </w:r>
      <w:r>
        <w:rPr>
          <w:rFonts w:ascii="Book Antiqua"/>
          <w:rtl w:val="0"/>
          <w:lang w:val="it-IT"/>
        </w:rPr>
        <w:t xml:space="preserve"> alle carenze di adeguamento degli stessi alle variazioni della popolazione residente; nonch</w:t>
      </w:r>
      <w:r>
        <w:rPr>
          <w:rFonts w:hAnsi="Book Antiqua" w:hint="default"/>
          <w:rtl w:val="0"/>
          <w:lang w:val="it-IT"/>
        </w:rPr>
        <w:t xml:space="preserve">é </w:t>
      </w:r>
      <w:r>
        <w:rPr>
          <w:rFonts w:ascii="Book Antiqua"/>
          <w:rtl w:val="0"/>
          <w:lang w:val="it-IT"/>
        </w:rPr>
        <w:t>la rilevante quantit</w:t>
      </w:r>
      <w:r>
        <w:rPr>
          <w:rFonts w:hAnsi="Book Antiqua" w:hint="default"/>
          <w:rtl w:val="0"/>
          <w:lang w:val="it-IT"/>
        </w:rPr>
        <w:t xml:space="preserve">à </w:t>
      </w:r>
      <w:r>
        <w:rPr>
          <w:rFonts w:ascii="Book Antiqua"/>
          <w:rtl w:val="0"/>
          <w:lang w:val="it-IT"/>
        </w:rPr>
        <w:t>di discariche abusive tuttora esistenti, connesse con il diffuso fenomeno dell'abbandono illegale di rifiuti, che producono un altrettanto rilevante numero di bonifiche non attuate; laddove poi gli illeciti sversamenti sono di maggiore impatto, la possibilit</w:t>
      </w:r>
      <w:r>
        <w:rPr>
          <w:rFonts w:hAnsi="Book Antiqua" w:hint="default"/>
          <w:rtl w:val="0"/>
          <w:lang w:val="it-IT"/>
        </w:rPr>
        <w:t xml:space="preserve">à </w:t>
      </w:r>
      <w:r>
        <w:rPr>
          <w:rFonts w:ascii="Book Antiqua"/>
          <w:rtl w:val="0"/>
          <w:lang w:val="it-IT"/>
        </w:rPr>
        <w:t>di bonifica sconta i limiti economico-organizzativi dei comuni.</w:t>
      </w:r>
    </w:p>
    <w:p>
      <w:pPr>
        <w:pStyle w:val="Normal"/>
        <w:ind w:left="567" w:right="567" w:firstLine="0"/>
        <w:jc w:val="both"/>
        <w:rPr>
          <w:rFonts w:ascii="Book Antiqua" w:cs="Book Antiqua" w:hAnsi="Book Antiqua" w:eastAsia="Book Antiqua"/>
        </w:rPr>
      </w:pPr>
      <w:r>
        <w:rPr>
          <w:rFonts w:ascii="Book Antiqua"/>
          <w:rtl w:val="0"/>
          <w:lang w:val="it-IT"/>
        </w:rPr>
        <w:t>Alcune vicende delle province laziali evidenziano il tema della finanza ambientale, sotto i profili critici della corretta gestione delle risorse pubbliche e connessa responsabilit</w:t>
      </w:r>
      <w:r>
        <w:rPr>
          <w:rFonts w:hAnsi="Book Antiqua" w:hint="default"/>
          <w:rtl w:val="0"/>
          <w:lang w:val="it-IT"/>
        </w:rPr>
        <w:t xml:space="preserve">à </w:t>
      </w:r>
      <w:r>
        <w:rPr>
          <w:rFonts w:ascii="Book Antiqua"/>
          <w:rtl w:val="0"/>
          <w:lang w:val="it-IT"/>
        </w:rPr>
        <w:t>contabile, e dell</w:t>
      </w:r>
      <w:r>
        <w:rPr>
          <w:rFonts w:hAnsi="Book Antiqua" w:hint="default"/>
          <w:rtl w:val="0"/>
          <w:lang w:val="it-IT"/>
        </w:rPr>
        <w:t>’</w:t>
      </w:r>
      <w:r>
        <w:rPr>
          <w:rFonts w:ascii="Book Antiqua"/>
          <w:rtl w:val="0"/>
          <w:lang w:val="it-IT"/>
        </w:rPr>
        <w:t>inefficacia dell</w:t>
      </w:r>
      <w:r>
        <w:rPr>
          <w:rFonts w:hAnsi="Book Antiqua" w:hint="default"/>
          <w:rtl w:val="0"/>
          <w:lang w:val="it-IT"/>
        </w:rPr>
        <w:t>’</w:t>
      </w:r>
      <w:r>
        <w:rPr>
          <w:rFonts w:ascii="Book Antiqua"/>
          <w:rtl w:val="0"/>
          <w:lang w:val="it-IT"/>
        </w:rPr>
        <w:t xml:space="preserve">attuale sistema delle fideiussioni. </w:t>
      </w:r>
    </w:p>
    <w:p>
      <w:pPr>
        <w:pStyle w:val="List Paragraph"/>
        <w:ind w:left="567" w:right="567" w:firstLine="0"/>
        <w:jc w:val="both"/>
        <w:rPr>
          <w:rFonts w:ascii="Book Antiqua" w:cs="Book Antiqua" w:hAnsi="Book Antiqua" w:eastAsia="Book Antiqua"/>
        </w:rPr>
      </w:pPr>
      <w:r>
        <w:rPr>
          <w:rFonts w:ascii="Book Antiqua"/>
          <w:rtl w:val="0"/>
          <w:lang w:val="it-IT"/>
        </w:rPr>
        <w:t xml:space="preserve">La situazione del Lazio </w:t>
      </w:r>
      <w:r>
        <w:rPr>
          <w:rFonts w:hAnsi="Book Antiqua" w:hint="default"/>
          <w:rtl w:val="0"/>
          <w:lang w:val="it-IT"/>
        </w:rPr>
        <w:t xml:space="preserve">è </w:t>
      </w:r>
      <w:r>
        <w:rPr>
          <w:rFonts w:ascii="Book Antiqua"/>
          <w:rtl w:val="0"/>
          <w:lang w:val="it-IT"/>
        </w:rPr>
        <w:t>caratterizzata da alcuni fenomeni illeciti diffusi che non comportano presenze criminali strutturate o quantomeno come tali note, e che sono tuttavia da sorvegliare sia per l</w:t>
      </w:r>
      <w:r>
        <w:rPr>
          <w:rFonts w:hAnsi="Book Antiqua" w:hint="default"/>
          <w:rtl w:val="0"/>
          <w:lang w:val="it-IT"/>
        </w:rPr>
        <w:t>’</w:t>
      </w:r>
      <w:r>
        <w:rPr>
          <w:rFonts w:ascii="Book Antiqua"/>
          <w:rtl w:val="0"/>
          <w:lang w:val="it-IT"/>
        </w:rPr>
        <w:t>impatto negativo sull</w:t>
      </w:r>
      <w:r>
        <w:rPr>
          <w:rFonts w:hAnsi="Book Antiqua" w:hint="default"/>
          <w:rtl w:val="0"/>
          <w:lang w:val="it-IT"/>
        </w:rPr>
        <w:t>’</w:t>
      </w:r>
      <w:r>
        <w:rPr>
          <w:rFonts w:ascii="Book Antiqua"/>
          <w:rtl w:val="0"/>
          <w:lang w:val="it-IT"/>
        </w:rPr>
        <w:t>ambiente che gi</w:t>
      </w:r>
      <w:r>
        <w:rPr>
          <w:rFonts w:hAnsi="Book Antiqua" w:hint="default"/>
          <w:rtl w:val="0"/>
          <w:lang w:val="it-IT"/>
        </w:rPr>
        <w:t xml:space="preserve">à </w:t>
      </w:r>
      <w:r>
        <w:rPr>
          <w:rFonts w:ascii="Book Antiqua"/>
          <w:rtl w:val="0"/>
          <w:lang w:val="it-IT"/>
        </w:rPr>
        <w:t>realizzano, sia per la possibilit</w:t>
      </w:r>
      <w:r>
        <w:rPr>
          <w:rFonts w:hAnsi="Book Antiqua" w:hint="default"/>
          <w:rtl w:val="0"/>
          <w:lang w:val="it-IT"/>
        </w:rPr>
        <w:t xml:space="preserve">à </w:t>
      </w:r>
      <w:r>
        <w:rPr>
          <w:rFonts w:ascii="Book Antiqua"/>
          <w:rtl w:val="0"/>
          <w:lang w:val="it-IT"/>
        </w:rPr>
        <w:t>che diano adito a quegli interessi criminali: ci</w:t>
      </w:r>
      <w:r>
        <w:rPr>
          <w:rFonts w:hAnsi="Book Antiqua" w:hint="default"/>
          <w:rtl w:val="0"/>
          <w:lang w:val="it-IT"/>
        </w:rPr>
        <w:t xml:space="preserve">ò è </w:t>
      </w:r>
      <w:r>
        <w:rPr>
          <w:rFonts w:ascii="Book Antiqua"/>
          <w:rtl w:val="0"/>
          <w:lang w:val="it-IT"/>
        </w:rPr>
        <w:t>a dirsi della combustione illecita di rifiuti e dei cosiddetti</w:t>
      </w:r>
      <w:r>
        <w:rPr>
          <w:rFonts w:hAnsi="Book Antiqua" w:hint="default"/>
          <w:rtl w:val="0"/>
          <w:lang w:val="it-IT"/>
        </w:rPr>
        <w:t xml:space="preserve"> “</w:t>
      </w:r>
      <w:r>
        <w:rPr>
          <w:rFonts w:ascii="Book Antiqua"/>
          <w:rtl w:val="0"/>
          <w:lang w:val="it-IT"/>
        </w:rPr>
        <w:t>roghi tossici</w:t>
      </w:r>
      <w:r>
        <w:rPr>
          <w:rFonts w:hAnsi="Book Antiqua" w:hint="default"/>
          <w:rtl w:val="0"/>
          <w:lang w:val="it-IT"/>
        </w:rPr>
        <w:t xml:space="preserve">” </w:t>
      </w:r>
      <w:r>
        <w:rPr>
          <w:rFonts w:ascii="Book Antiqua"/>
          <w:rtl w:val="0"/>
          <w:lang w:val="it-IT"/>
        </w:rPr>
        <w:t>e delle illegalit</w:t>
      </w:r>
      <w:r>
        <w:rPr>
          <w:rFonts w:hAnsi="Book Antiqua" w:hint="default"/>
          <w:rtl w:val="0"/>
          <w:lang w:val="it-IT"/>
        </w:rPr>
        <w:t xml:space="preserve">à </w:t>
      </w:r>
      <w:r>
        <w:rPr>
          <w:rFonts w:ascii="Book Antiqua"/>
          <w:rtl w:val="0"/>
          <w:lang w:val="it-IT"/>
        </w:rPr>
        <w:t>circostanti i centri di raccolta comunali.</w:t>
      </w:r>
    </w:p>
    <w:p>
      <w:pPr>
        <w:pStyle w:val="List Paragraph"/>
        <w:ind w:left="567" w:right="567" w:firstLine="0"/>
        <w:jc w:val="both"/>
        <w:rPr>
          <w:rFonts w:ascii="Book Antiqua" w:cs="Book Antiqua" w:hAnsi="Book Antiqua" w:eastAsia="Book Antiqua"/>
        </w:rPr>
      </w:pPr>
      <w:r>
        <w:rPr>
          <w:rFonts w:ascii="Book Antiqua"/>
          <w:rtl w:val="0"/>
          <w:lang w:val="it-IT"/>
        </w:rPr>
        <w:t>Pi</w:t>
      </w:r>
      <w:r>
        <w:rPr>
          <w:rFonts w:hAnsi="Book Antiqua" w:hint="default"/>
          <w:rtl w:val="0"/>
          <w:lang w:val="it-IT"/>
        </w:rPr>
        <w:t xml:space="preserve">ù </w:t>
      </w:r>
      <w:r>
        <w:rPr>
          <w:rFonts w:ascii="Book Antiqua"/>
          <w:rtl w:val="0"/>
          <w:lang w:val="it-IT"/>
        </w:rPr>
        <w:t xml:space="preserve">articolata </w:t>
      </w:r>
      <w:r>
        <w:rPr>
          <w:rFonts w:hAnsi="Book Antiqua" w:hint="default"/>
          <w:rtl w:val="0"/>
          <w:lang w:val="it-IT"/>
        </w:rPr>
        <w:t xml:space="preserve">è </w:t>
      </w:r>
      <w:r>
        <w:rPr>
          <w:rFonts w:ascii="Book Antiqua"/>
          <w:rtl w:val="0"/>
          <w:lang w:val="it-IT"/>
        </w:rPr>
        <w:t>la valutazione degli  incendi presso impianti di trattamento e smaltimento dei rifiuti, verificatisi in maniera significativa anche nel Lazio, a cui la Commissione sta dedicando un apposito approfondimento su base nazionale: al di l</w:t>
      </w:r>
      <w:r>
        <w:rPr>
          <w:rFonts w:hAnsi="Book Antiqua" w:hint="default"/>
          <w:rtl w:val="0"/>
          <w:lang w:val="it-IT"/>
        </w:rPr>
        <w:t xml:space="preserve">à </w:t>
      </w:r>
      <w:r>
        <w:rPr>
          <w:rFonts w:ascii="Book Antiqua"/>
          <w:rtl w:val="0"/>
          <w:lang w:val="it-IT"/>
        </w:rPr>
        <w:t>delle cause dei singoli eventi, si pone un problema generale di accuratezza delle autorizzazioni, di efficacia dei controlli, di coordinamento tra competenze dei diversi soggetti pubblici; e, sullo sfondo, la necessit</w:t>
      </w:r>
      <w:r>
        <w:rPr>
          <w:rFonts w:hAnsi="Book Antiqua" w:hint="default"/>
          <w:rtl w:val="0"/>
          <w:lang w:val="it-IT"/>
        </w:rPr>
        <w:t xml:space="preserve">à </w:t>
      </w:r>
      <w:r>
        <w:rPr>
          <w:rFonts w:ascii="Book Antiqua"/>
          <w:rtl w:val="0"/>
          <w:lang w:val="it-IT"/>
        </w:rPr>
        <w:t>di valutare le modifiche sostanziali degli interessi economici, della situazione impiantistica, dei flussi nazionali e internazionali legati alla raccolta e al trattamento di alcune materie, che potrebbe essere movente di un insieme di questi episodi.</w:t>
      </w:r>
    </w:p>
    <w:p>
      <w:pPr>
        <w:pStyle w:val="intervento"/>
        <w:spacing w:before="0" w:after="0"/>
        <w:ind w:left="567" w:right="567" w:firstLine="0"/>
        <w:jc w:val="both"/>
        <w:rPr>
          <w:rFonts w:ascii="Book Antiqua" w:cs="Book Antiqua" w:hAnsi="Book Antiqua" w:eastAsia="Book Antiqua"/>
        </w:rPr>
      </w:pPr>
      <w:r>
        <w:rPr>
          <w:rFonts w:ascii="Book Antiqua"/>
          <w:rtl w:val="0"/>
          <w:lang w:val="it-IT"/>
        </w:rPr>
        <w:t>L</w:t>
      </w:r>
      <w:r>
        <w:rPr>
          <w:rFonts w:hAnsi="Book Antiqua" w:hint="default"/>
          <w:rtl w:val="0"/>
          <w:lang w:val="it-IT"/>
        </w:rPr>
        <w:t>’</w:t>
      </w:r>
      <w:r>
        <w:rPr>
          <w:rFonts w:ascii="Book Antiqua"/>
          <w:rtl w:val="0"/>
          <w:lang w:val="it-IT"/>
        </w:rPr>
        <w:t xml:space="preserve">esame di </w:t>
      </w:r>
      <w:r>
        <w:rPr>
          <w:rFonts w:ascii="Book Antiqua"/>
          <w:kern w:val="1"/>
          <w:rtl w:val="0"/>
          <w:lang w:val="it-IT"/>
        </w:rPr>
        <w:t xml:space="preserve">illeciti nel Basso Lazio da parte della Commissione lega situazioni </w:t>
      </w:r>
      <w:r>
        <w:rPr>
          <w:rFonts w:hAnsi="Book Antiqua" w:hint="default"/>
          <w:kern w:val="1"/>
          <w:rtl w:val="0"/>
          <w:lang w:val="it-IT"/>
        </w:rPr>
        <w:t>“</w:t>
      </w:r>
      <w:r>
        <w:rPr>
          <w:rFonts w:ascii="Book Antiqua"/>
          <w:kern w:val="1"/>
          <w:rtl w:val="0"/>
          <w:lang w:val="it-IT"/>
        </w:rPr>
        <w:t>storiche</w:t>
      </w:r>
      <w:r>
        <w:rPr>
          <w:rFonts w:hAnsi="Book Antiqua" w:hint="default"/>
          <w:kern w:val="1"/>
          <w:rtl w:val="0"/>
          <w:lang w:val="it-IT"/>
        </w:rPr>
        <w:t xml:space="preserve">” </w:t>
      </w:r>
      <w:r>
        <w:rPr>
          <w:rFonts w:ascii="Book Antiqua"/>
          <w:kern w:val="1"/>
          <w:rtl w:val="0"/>
          <w:lang w:val="it-IT"/>
        </w:rPr>
        <w:t>di presenza della criminalit</w:t>
      </w:r>
      <w:r>
        <w:rPr>
          <w:rFonts w:hAnsi="Book Antiqua" w:hint="default"/>
          <w:kern w:val="1"/>
          <w:rtl w:val="0"/>
          <w:lang w:val="it-IT"/>
        </w:rPr>
        <w:t xml:space="preserve">à </w:t>
      </w:r>
      <w:r>
        <w:rPr>
          <w:rFonts w:ascii="Book Antiqua"/>
          <w:kern w:val="1"/>
          <w:rtl w:val="0"/>
          <w:lang w:val="it-IT"/>
        </w:rPr>
        <w:t>ambientale all</w:t>
      </w:r>
      <w:r>
        <w:rPr>
          <w:rFonts w:hAnsi="Book Antiqua" w:hint="default"/>
          <w:kern w:val="1"/>
          <w:rtl w:val="0"/>
          <w:lang w:val="it-IT"/>
        </w:rPr>
        <w:t>’</w:t>
      </w:r>
      <w:r>
        <w:rPr>
          <w:rFonts w:ascii="Book Antiqua"/>
          <w:kern w:val="1"/>
          <w:rtl w:val="0"/>
          <w:lang w:val="it-IT"/>
        </w:rPr>
        <w:t>attualit</w:t>
      </w:r>
      <w:r>
        <w:rPr>
          <w:rFonts w:hAnsi="Book Antiqua" w:hint="default"/>
          <w:kern w:val="1"/>
          <w:rtl w:val="0"/>
          <w:lang w:val="it-IT"/>
        </w:rPr>
        <w:t xml:space="preserve">à </w:t>
      </w:r>
      <w:r>
        <w:rPr>
          <w:rFonts w:ascii="Book Antiqua"/>
          <w:kern w:val="1"/>
          <w:rtl w:val="0"/>
          <w:lang w:val="it-IT"/>
        </w:rPr>
        <w:t xml:space="preserve">di </w:t>
      </w:r>
      <w:r>
        <w:rPr>
          <w:rFonts w:ascii="Book Antiqua"/>
          <w:rtl w:val="0"/>
          <w:lang w:val="it-IT"/>
        </w:rPr>
        <w:t xml:space="preserve">una situazione nella quale </w:t>
      </w:r>
      <w:r>
        <w:rPr>
          <w:rFonts w:hAnsi="Book Antiqua" w:hint="default"/>
          <w:rtl w:val="0"/>
          <w:lang w:val="it-IT"/>
        </w:rPr>
        <w:t xml:space="preserve">è </w:t>
      </w:r>
      <w:r>
        <w:rPr>
          <w:rFonts w:ascii="Book Antiqua"/>
          <w:rtl w:val="0"/>
          <w:lang w:val="it-IT"/>
        </w:rPr>
        <w:t>tipicamente ipotizzabile l</w:t>
      </w:r>
      <w:r>
        <w:rPr>
          <w:rFonts w:hAnsi="Book Antiqua" w:hint="default"/>
          <w:rtl w:val="0"/>
          <w:lang w:val="it-IT"/>
        </w:rPr>
        <w:t>’</w:t>
      </w:r>
      <w:r>
        <w:rPr>
          <w:rFonts w:ascii="Book Antiqua"/>
          <w:rtl w:val="0"/>
          <w:lang w:val="it-IT"/>
        </w:rPr>
        <w:t>offerta, da parte di realt</w:t>
      </w:r>
      <w:r>
        <w:rPr>
          <w:rFonts w:hAnsi="Book Antiqua" w:hint="default"/>
          <w:rtl w:val="0"/>
          <w:lang w:val="it-IT"/>
        </w:rPr>
        <w:t xml:space="preserve">à </w:t>
      </w:r>
      <w:r>
        <w:rPr>
          <w:rFonts w:ascii="Book Antiqua"/>
          <w:rtl w:val="0"/>
          <w:lang w:val="it-IT"/>
        </w:rPr>
        <w:t xml:space="preserve">criminali, di </w:t>
      </w:r>
      <w:r>
        <w:rPr>
          <w:rFonts w:hAnsi="Book Antiqua" w:hint="default"/>
          <w:rtl w:val="0"/>
          <w:lang w:val="it-IT"/>
        </w:rPr>
        <w:t>“</w:t>
      </w:r>
      <w:r>
        <w:rPr>
          <w:rFonts w:ascii="Book Antiqua"/>
          <w:rtl w:val="0"/>
          <w:lang w:val="it-IT"/>
        </w:rPr>
        <w:t>servizi</w:t>
      </w:r>
      <w:r>
        <w:rPr>
          <w:rFonts w:hAnsi="Book Antiqua" w:hint="default"/>
          <w:rtl w:val="0"/>
          <w:lang w:val="it-IT"/>
        </w:rPr>
        <w:t xml:space="preserve">” </w:t>
      </w:r>
      <w:r>
        <w:rPr>
          <w:rFonts w:ascii="Book Antiqua"/>
          <w:rtl w:val="0"/>
          <w:lang w:val="it-IT"/>
        </w:rPr>
        <w:t>ambientali illeciti, operativamente contigui ai settori dell</w:t>
      </w:r>
      <w:r>
        <w:rPr>
          <w:rFonts w:hAnsi="Book Antiqua" w:hint="default"/>
          <w:rtl w:val="0"/>
          <w:lang w:val="it-IT"/>
        </w:rPr>
        <w:t>’</w:t>
      </w:r>
      <w:r>
        <w:rPr>
          <w:rFonts w:ascii="Book Antiqua"/>
          <w:rtl w:val="0"/>
          <w:lang w:val="it-IT"/>
        </w:rPr>
        <w:t>edilizia o del movimento terra:</w:t>
      </w:r>
      <w:r>
        <w:rPr>
          <w:rFonts w:ascii="Book Antiqua"/>
          <w:kern w:val="1"/>
          <w:rtl w:val="0"/>
          <w:lang w:val="it-IT"/>
        </w:rPr>
        <w:t xml:space="preserve"> un contesto in cui il rischio di infiltrazioni, o meglio di una presenza di realt</w:t>
      </w:r>
      <w:r>
        <w:rPr>
          <w:rFonts w:hAnsi="Book Antiqua" w:hint="default"/>
          <w:kern w:val="1"/>
          <w:rtl w:val="0"/>
          <w:lang w:val="it-IT"/>
        </w:rPr>
        <w:t xml:space="preserve">à </w:t>
      </w:r>
      <w:r>
        <w:rPr>
          <w:rFonts w:ascii="Book Antiqua"/>
          <w:kern w:val="1"/>
          <w:rtl w:val="0"/>
          <w:lang w:val="it-IT"/>
        </w:rPr>
        <w:t>criminali attente alle opportunit</w:t>
      </w:r>
      <w:r>
        <w:rPr>
          <w:rFonts w:hAnsi="Book Antiqua" w:hint="default"/>
          <w:kern w:val="1"/>
          <w:rtl w:val="0"/>
          <w:lang w:val="it-IT"/>
        </w:rPr>
        <w:t xml:space="preserve">à </w:t>
      </w:r>
      <w:r>
        <w:rPr>
          <w:rFonts w:ascii="Book Antiqua"/>
          <w:kern w:val="1"/>
          <w:rtl w:val="0"/>
          <w:lang w:val="it-IT"/>
        </w:rPr>
        <w:t xml:space="preserve">offerte dal ciclo dei rifiuti, </w:t>
      </w:r>
      <w:r>
        <w:rPr>
          <w:rFonts w:ascii="Book Antiqua"/>
          <w:rtl w:val="0"/>
          <w:lang w:val="it-IT"/>
        </w:rPr>
        <w:t>impone la massima attenzione di tutti i soggetti pubblici.</w:t>
      </w:r>
    </w:p>
    <w:p>
      <w:pPr>
        <w:pStyle w:val="intervento"/>
        <w:spacing w:before="0" w:after="0"/>
        <w:ind w:left="567" w:right="567" w:firstLine="0"/>
        <w:jc w:val="both"/>
        <w:rPr>
          <w:rFonts w:ascii="Book Antiqua" w:cs="Book Antiqua" w:hAnsi="Book Antiqua" w:eastAsia="Book Antiqua"/>
        </w:rPr>
      </w:pPr>
    </w:p>
    <w:p>
      <w:pPr>
        <w:pStyle w:val="intervento"/>
        <w:spacing w:before="0" w:after="0"/>
        <w:ind w:left="567" w:right="567" w:firstLine="0"/>
        <w:jc w:val="both"/>
        <w:rPr>
          <w:rFonts w:ascii="Book Antiqua" w:cs="Book Antiqua" w:hAnsi="Book Antiqua" w:eastAsia="Book Antiqua"/>
        </w:rPr>
      </w:pPr>
    </w:p>
    <w:p>
      <w:pPr>
        <w:pStyle w:val="intervento"/>
        <w:spacing w:before="0" w:after="0"/>
        <w:ind w:left="567" w:right="567" w:firstLine="0"/>
        <w:jc w:val="both"/>
        <w:rPr>
          <w:rFonts w:ascii="Book Antiqua" w:cs="Book Antiqua" w:hAnsi="Book Antiqua" w:eastAsia="Book Antiqua"/>
        </w:rPr>
      </w:pPr>
    </w:p>
    <w:p>
      <w:pPr>
        <w:pStyle w:val="intervento"/>
        <w:spacing w:before="0" w:after="0"/>
        <w:ind w:left="567" w:right="567" w:firstLine="0"/>
        <w:jc w:val="both"/>
        <w:rPr>
          <w:rFonts w:ascii="Book Antiqua" w:cs="Book Antiqua" w:hAnsi="Book Antiqua" w:eastAsia="Book Antiqua"/>
        </w:rPr>
      </w:pPr>
    </w:p>
    <w:p>
      <w:pPr>
        <w:pStyle w:val="intervento"/>
        <w:spacing w:before="0" w:after="0"/>
        <w:ind w:left="567" w:right="567" w:firstLine="0"/>
        <w:jc w:val="both"/>
        <w:rPr>
          <w:rFonts w:ascii="Book Antiqua" w:cs="Book Antiqua" w:hAnsi="Book Antiqua" w:eastAsia="Book Antiqua"/>
        </w:rPr>
      </w:pPr>
    </w:p>
    <w:p>
      <w:pPr>
        <w:pStyle w:val="intervento"/>
        <w:spacing w:before="0" w:after="0"/>
        <w:ind w:left="567" w:right="567" w:firstLine="0"/>
        <w:jc w:val="both"/>
        <w:rPr>
          <w:rFonts w:ascii="Book Antiqua" w:cs="Book Antiqua" w:hAnsi="Book Antiqua" w:eastAsia="Book Antiqua"/>
        </w:rPr>
      </w:pPr>
    </w:p>
    <w:p>
      <w:pPr>
        <w:pStyle w:val="intervento"/>
        <w:spacing w:before="0" w:after="0"/>
        <w:ind w:left="567" w:right="567" w:firstLine="0"/>
        <w:jc w:val="both"/>
        <w:rPr>
          <w:rFonts w:ascii="Book Antiqua" w:cs="Book Antiqua" w:hAnsi="Book Antiqua" w:eastAsia="Book Antiqua"/>
        </w:rPr>
      </w:pPr>
    </w:p>
    <w:p>
      <w:pPr>
        <w:pStyle w:val="intervento"/>
        <w:spacing w:before="0" w:after="0"/>
        <w:ind w:left="567" w:right="567" w:firstLine="0"/>
        <w:jc w:val="both"/>
        <w:rPr>
          <w:rFonts w:ascii="Book Antiqua" w:cs="Book Antiqua" w:hAnsi="Book Antiqua" w:eastAsia="Book Antiqua"/>
        </w:rPr>
      </w:pPr>
    </w:p>
    <w:p>
      <w:pPr>
        <w:pStyle w:val="intervento"/>
        <w:spacing w:before="0" w:after="0"/>
        <w:ind w:left="567" w:right="567" w:firstLine="0"/>
        <w:jc w:val="both"/>
        <w:rPr>
          <w:rFonts w:ascii="Book Antiqua" w:cs="Book Antiqua" w:hAnsi="Book Antiqua" w:eastAsia="Book Antiqua"/>
        </w:rPr>
      </w:pPr>
    </w:p>
    <w:p>
      <w:pPr>
        <w:pStyle w:val="intervento"/>
        <w:spacing w:before="0" w:after="0"/>
        <w:ind w:left="567" w:right="567" w:firstLine="0"/>
        <w:jc w:val="both"/>
        <w:rPr>
          <w:rFonts w:ascii="Book Antiqua" w:cs="Book Antiqua" w:hAnsi="Book Antiqua" w:eastAsia="Book Antiqua"/>
        </w:rPr>
      </w:pPr>
    </w:p>
    <w:p>
      <w:pPr>
        <w:pStyle w:val="intervento"/>
        <w:spacing w:before="0" w:after="0"/>
        <w:ind w:left="567" w:right="567" w:firstLine="0"/>
        <w:jc w:val="both"/>
        <w:rPr>
          <w:rFonts w:ascii="Book Antiqua" w:cs="Book Antiqua" w:hAnsi="Book Antiqua" w:eastAsia="Book Antiqua"/>
        </w:rPr>
      </w:pPr>
    </w:p>
    <w:p>
      <w:pPr>
        <w:pStyle w:val="intervento"/>
        <w:spacing w:before="0" w:after="0"/>
        <w:ind w:left="567" w:right="567" w:firstLine="0"/>
        <w:jc w:val="both"/>
        <w:rPr>
          <w:rFonts w:ascii="Book Antiqua" w:cs="Book Antiqua" w:hAnsi="Book Antiqua" w:eastAsia="Book Antiqua"/>
        </w:rPr>
      </w:pPr>
    </w:p>
    <w:p>
      <w:pPr>
        <w:pStyle w:val="intervento"/>
        <w:spacing w:before="0" w:after="0"/>
        <w:ind w:left="567" w:right="567" w:firstLine="0"/>
        <w:jc w:val="both"/>
        <w:rPr>
          <w:rFonts w:ascii="Book Antiqua" w:cs="Book Antiqua" w:hAnsi="Book Antiqua" w:eastAsia="Book Antiqua"/>
        </w:rPr>
      </w:pPr>
    </w:p>
    <w:p>
      <w:pPr>
        <w:pStyle w:val="intervento"/>
        <w:spacing w:before="0" w:after="0"/>
        <w:ind w:left="567" w:right="567" w:firstLine="0"/>
        <w:jc w:val="both"/>
        <w:rPr>
          <w:rFonts w:ascii="Book Antiqua" w:cs="Book Antiqua" w:hAnsi="Book Antiqua" w:eastAsia="Book Antiqua"/>
        </w:rPr>
      </w:pPr>
    </w:p>
    <w:p>
      <w:pPr>
        <w:pStyle w:val="intervento"/>
        <w:spacing w:before="0" w:after="0"/>
        <w:ind w:left="567" w:right="567" w:firstLine="0"/>
        <w:jc w:val="both"/>
        <w:rPr>
          <w:rFonts w:ascii="Book Antiqua" w:cs="Book Antiqua" w:hAnsi="Book Antiqua" w:eastAsia="Book Antiqua"/>
        </w:rPr>
      </w:pPr>
    </w:p>
    <w:p>
      <w:pPr>
        <w:pStyle w:val="intervento"/>
        <w:spacing w:before="0" w:after="0"/>
        <w:ind w:left="567" w:right="567" w:firstLine="0"/>
        <w:jc w:val="both"/>
        <w:rPr>
          <w:rFonts w:ascii="Book Antiqua" w:cs="Book Antiqua" w:hAnsi="Book Antiqua" w:eastAsia="Book Antiqua"/>
        </w:rPr>
      </w:pPr>
    </w:p>
    <w:p>
      <w:pPr>
        <w:pStyle w:val="intervento"/>
        <w:spacing w:before="0" w:after="0"/>
        <w:ind w:left="567" w:right="567" w:firstLine="0"/>
        <w:jc w:val="both"/>
        <w:rPr>
          <w:rFonts w:ascii="Book Antiqua" w:cs="Book Antiqua" w:hAnsi="Book Antiqua" w:eastAsia="Book Antiqua"/>
        </w:rPr>
      </w:pPr>
    </w:p>
    <w:p>
      <w:pPr>
        <w:pStyle w:val="intervento"/>
        <w:spacing w:before="0" w:after="0"/>
        <w:ind w:left="567" w:right="567" w:firstLine="0"/>
        <w:jc w:val="both"/>
        <w:rPr>
          <w:rFonts w:ascii="Book Antiqua" w:cs="Book Antiqua" w:hAnsi="Book Antiqua" w:eastAsia="Book Antiqua"/>
        </w:rPr>
      </w:pPr>
    </w:p>
    <w:p>
      <w:pPr>
        <w:pStyle w:val="intervento"/>
        <w:spacing w:before="0" w:after="0"/>
        <w:ind w:left="567" w:right="567" w:firstLine="0"/>
        <w:jc w:val="both"/>
        <w:rPr>
          <w:rFonts w:ascii="Book Antiqua" w:cs="Book Antiqua" w:hAnsi="Book Antiqua" w:eastAsia="Book Antiqua"/>
        </w:rPr>
      </w:pPr>
    </w:p>
    <w:p>
      <w:pPr>
        <w:pStyle w:val="intervento"/>
        <w:spacing w:before="0" w:after="0"/>
        <w:ind w:left="567" w:right="567" w:firstLine="0"/>
        <w:jc w:val="both"/>
        <w:rPr>
          <w:rFonts w:ascii="Book Antiqua" w:cs="Book Antiqua" w:hAnsi="Book Antiqua" w:eastAsia="Book Antiqua"/>
        </w:rPr>
      </w:pPr>
    </w:p>
    <w:p>
      <w:pPr>
        <w:pStyle w:val="intervento"/>
        <w:spacing w:before="0" w:after="0"/>
        <w:ind w:left="567" w:right="567" w:firstLine="0"/>
        <w:jc w:val="both"/>
        <w:rPr>
          <w:rFonts w:ascii="Book Antiqua" w:cs="Book Antiqua" w:hAnsi="Book Antiqua" w:eastAsia="Book Antiqua"/>
        </w:rPr>
      </w:pPr>
    </w:p>
    <w:p>
      <w:pPr>
        <w:pStyle w:val="intervento"/>
        <w:spacing w:before="0" w:after="0"/>
        <w:ind w:left="567" w:right="567" w:firstLine="0"/>
        <w:jc w:val="both"/>
        <w:rPr>
          <w:rFonts w:ascii="Book Antiqua" w:cs="Book Antiqua" w:hAnsi="Book Antiqua" w:eastAsia="Book Antiqua"/>
        </w:rPr>
      </w:pPr>
    </w:p>
    <w:p>
      <w:pPr>
        <w:pStyle w:val="intervento"/>
        <w:spacing w:before="0" w:after="0"/>
        <w:ind w:left="567" w:right="567" w:firstLine="0"/>
        <w:jc w:val="both"/>
        <w:rPr>
          <w:rFonts w:ascii="Book Antiqua" w:cs="Book Antiqua" w:hAnsi="Book Antiqua" w:eastAsia="Book Antiqua"/>
        </w:rPr>
      </w:pPr>
    </w:p>
    <w:p>
      <w:pPr>
        <w:pStyle w:val="Normal"/>
      </w:pPr>
      <w:r>
        <w:rPr>
          <w:rFonts w:ascii="Book Antiqua" w:cs="Book Antiqua" w:hAnsi="Book Antiqua" w:eastAsia="Book Antiqua"/>
          <w:rtl w:val="0"/>
        </w:rPr>
        <w:br w:type="page"/>
      </w:r>
    </w:p>
    <w:p>
      <w:pPr>
        <w:pStyle w:val="Normal"/>
        <w:rPr>
          <w:rFonts w:ascii="Book Antiqua" w:cs="Book Antiqua" w:hAnsi="Book Antiqua" w:eastAsia="Book Antiqua"/>
        </w:rPr>
      </w:pPr>
    </w:p>
    <w:p>
      <w:pPr>
        <w:pStyle w:val="intervento"/>
        <w:spacing w:before="0" w:after="0"/>
        <w:ind w:left="567" w:right="567" w:firstLine="0"/>
        <w:jc w:val="both"/>
        <w:rPr>
          <w:rFonts w:ascii="Book Antiqua Bold" w:cs="Book Antiqua Bold" w:hAnsi="Book Antiqua Bold" w:eastAsia="Book Antiqua Bold"/>
          <w:b w:val="1"/>
          <w:bCs w:val="1"/>
          <w:i w:val="1"/>
          <w:iCs w:val="1"/>
          <w:sz w:val="28"/>
          <w:szCs w:val="28"/>
        </w:rPr>
      </w:pPr>
      <w:r>
        <w:rPr>
          <w:rFonts w:ascii="Book Antiqua Bold"/>
          <w:b w:val="1"/>
          <w:bCs w:val="1"/>
          <w:i w:val="1"/>
          <w:iCs w:val="1"/>
          <w:sz w:val="28"/>
          <w:szCs w:val="28"/>
          <w:rtl w:val="0"/>
          <w:lang w:val="it-IT"/>
        </w:rPr>
        <w:t>APPENDICE I</w:t>
      </w:r>
    </w:p>
    <w:p>
      <w:pPr>
        <w:pStyle w:val="intervento"/>
        <w:spacing w:before="0" w:after="0"/>
        <w:ind w:left="567" w:right="567" w:firstLine="0"/>
        <w:jc w:val="both"/>
        <w:rPr>
          <w:rFonts w:ascii="Book Antiqua" w:cs="Book Antiqua" w:hAnsi="Book Antiqua" w:eastAsia="Book Antiqua"/>
        </w:rPr>
      </w:pPr>
    </w:p>
    <w:p>
      <w:pPr>
        <w:pStyle w:val="Normal"/>
        <w:widowControl w:val="0"/>
        <w:ind w:left="567" w:right="284" w:firstLine="0"/>
        <w:jc w:val="both"/>
        <w:rPr>
          <w:rFonts w:ascii="Book Antiqua" w:cs="Book Antiqua" w:hAnsi="Book Antiqua" w:eastAsia="Book Antiqua"/>
          <w:i w:val="1"/>
          <w:iCs w:val="1"/>
          <w:sz w:val="22"/>
          <w:szCs w:val="22"/>
        </w:rPr>
      </w:pPr>
      <w:r>
        <w:rPr>
          <w:rFonts w:ascii="Book Antiqua Bold"/>
          <w:b w:val="1"/>
          <w:bCs w:val="1"/>
          <w:i w:val="1"/>
          <w:iCs w:val="1"/>
          <w:rtl w:val="0"/>
          <w:lang w:val="it-IT"/>
        </w:rPr>
        <w:t xml:space="preserve">Elenco delle </w:t>
      </w:r>
      <w:r>
        <w:rPr>
          <w:rFonts w:ascii="Book Antiqua Bold"/>
          <w:b w:val="1"/>
          <w:bCs w:val="1"/>
          <w:i w:val="1"/>
          <w:iCs w:val="1"/>
          <w:sz w:val="22"/>
          <w:szCs w:val="22"/>
          <w:rtl w:val="0"/>
          <w:lang w:val="it-IT"/>
        </w:rPr>
        <w:t>audizioni e missioni svolte dalla Commissione</w:t>
      </w:r>
    </w:p>
    <w:p>
      <w:pPr>
        <w:pStyle w:val="Normal"/>
        <w:ind w:left="567" w:right="567" w:firstLine="0"/>
        <w:jc w:val="both"/>
        <w:rPr>
          <w:rFonts w:ascii="Book Antiqua" w:cs="Book Antiqua" w:hAnsi="Book Antiqua" w:eastAsia="Book Antiqua"/>
          <w:i w:val="1"/>
          <w:iCs w:val="1"/>
          <w:sz w:val="22"/>
          <w:szCs w:val="22"/>
        </w:rPr>
      </w:pPr>
    </w:p>
    <w:p>
      <w:pPr>
        <w:pStyle w:val="Normal"/>
        <w:widowControl w:val="0"/>
        <w:ind w:left="567" w:right="284" w:firstLine="0"/>
        <w:jc w:val="both"/>
        <w:rPr>
          <w:rFonts w:ascii="Book Antiqua" w:cs="Book Antiqua" w:hAnsi="Book Antiqua" w:eastAsia="Book Antiqua"/>
          <w:sz w:val="22"/>
          <w:szCs w:val="22"/>
        </w:rPr>
      </w:pPr>
      <w:r>
        <w:rPr>
          <w:rFonts w:ascii="Book Antiqua"/>
          <w:i w:val="1"/>
          <w:iCs w:val="1"/>
          <w:sz w:val="22"/>
          <w:szCs w:val="22"/>
          <w:rtl w:val="0"/>
          <w:lang w:val="it-IT"/>
        </w:rPr>
        <w:t>gioved</w:t>
      </w:r>
      <w:r>
        <w:rPr>
          <w:rFonts w:hAnsi="Book Antiqua" w:hint="default"/>
          <w:i w:val="1"/>
          <w:iCs w:val="1"/>
          <w:sz w:val="22"/>
          <w:szCs w:val="22"/>
          <w:rtl w:val="0"/>
          <w:lang w:val="it-IT"/>
        </w:rPr>
        <w:t xml:space="preserve">ì </w:t>
      </w:r>
      <w:r>
        <w:rPr>
          <w:rFonts w:ascii="Book Antiqua"/>
          <w:i w:val="1"/>
          <w:iCs w:val="1"/>
          <w:sz w:val="22"/>
          <w:szCs w:val="22"/>
          <w:rtl w:val="0"/>
          <w:lang w:val="it-IT"/>
        </w:rPr>
        <w:t>23 ottobre 2014</w:t>
      </w:r>
    </w:p>
    <w:p>
      <w:pPr>
        <w:pStyle w:val="Normal"/>
        <w:ind w:left="567" w:right="284" w:firstLine="0"/>
        <w:jc w:val="both"/>
        <w:rPr>
          <w:rFonts w:ascii="Book Antiqua" w:cs="Book Antiqua" w:hAnsi="Book Antiqua" w:eastAsia="Book Antiqua"/>
          <w:sz w:val="22"/>
          <w:szCs w:val="22"/>
        </w:rPr>
      </w:pPr>
      <w:r>
        <w:rPr>
          <w:rFonts w:ascii="Book Antiqua"/>
          <w:sz w:val="22"/>
          <w:szCs w:val="22"/>
          <w:rtl w:val="0"/>
          <w:lang w:val="it-IT"/>
        </w:rPr>
        <w:t>Audizione del Capo della squadra mobile di Latina, Tommaso Niglio</w:t>
      </w:r>
    </w:p>
    <w:p>
      <w:pPr>
        <w:pStyle w:val="Normal"/>
        <w:ind w:left="567" w:right="284" w:firstLine="0"/>
        <w:jc w:val="both"/>
        <w:rPr>
          <w:rFonts w:ascii="Book Antiqua" w:cs="Book Antiqua" w:hAnsi="Book Antiqua" w:eastAsia="Book Antiqua"/>
          <w:sz w:val="22"/>
          <w:szCs w:val="22"/>
        </w:rPr>
      </w:pPr>
    </w:p>
    <w:p>
      <w:pPr>
        <w:pStyle w:val="Normal"/>
        <w:widowControl w:val="0"/>
        <w:ind w:left="567" w:right="284" w:firstLine="0"/>
        <w:jc w:val="both"/>
        <w:rPr>
          <w:rFonts w:ascii="Book Antiqua" w:cs="Book Antiqua" w:hAnsi="Book Antiqua" w:eastAsia="Book Antiqua"/>
          <w:sz w:val="22"/>
          <w:szCs w:val="22"/>
        </w:rPr>
      </w:pPr>
      <w:r>
        <w:rPr>
          <w:rFonts w:ascii="Book Antiqua"/>
          <w:i w:val="1"/>
          <w:iCs w:val="1"/>
          <w:sz w:val="22"/>
          <w:szCs w:val="22"/>
          <w:rtl w:val="0"/>
          <w:lang w:val="it-IT"/>
        </w:rPr>
        <w:t>luned</w:t>
      </w:r>
      <w:r>
        <w:rPr>
          <w:rFonts w:hAnsi="Book Antiqua" w:hint="default"/>
          <w:i w:val="1"/>
          <w:iCs w:val="1"/>
          <w:sz w:val="22"/>
          <w:szCs w:val="22"/>
          <w:rtl w:val="0"/>
          <w:lang w:val="it-IT"/>
        </w:rPr>
        <w:t xml:space="preserve">ì </w:t>
      </w:r>
      <w:r>
        <w:rPr>
          <w:rFonts w:ascii="Book Antiqua"/>
          <w:i w:val="1"/>
          <w:iCs w:val="1"/>
          <w:sz w:val="22"/>
          <w:szCs w:val="22"/>
          <w:rtl w:val="0"/>
          <w:lang w:val="it-IT"/>
        </w:rPr>
        <w:t>13 luglio 2015</w:t>
      </w:r>
    </w:p>
    <w:p>
      <w:pPr>
        <w:pStyle w:val="Normal"/>
        <w:ind w:left="567" w:right="284" w:firstLine="0"/>
        <w:jc w:val="both"/>
        <w:rPr>
          <w:rFonts w:ascii="Book Antiqua" w:cs="Book Antiqua" w:hAnsi="Book Antiqua" w:eastAsia="Book Antiqua"/>
          <w:sz w:val="22"/>
          <w:szCs w:val="22"/>
        </w:rPr>
      </w:pPr>
      <w:r>
        <w:rPr>
          <w:rFonts w:ascii="Book Antiqua"/>
          <w:sz w:val="22"/>
          <w:szCs w:val="22"/>
          <w:rtl w:val="0"/>
          <w:lang w:val="it-IT"/>
        </w:rPr>
        <w:t>Audizione di rappresentanti di comitati e associazioni di cittadini residenti nella provincia di Roma: Fabrizio D'Alisera, Giancarlo Ceci e Andrea De Carolis, rispettivamente Presidente e rappresentanti dell'Associazione cittadinanza, servizi e cultura Colle del Sole; Daniele Boschi e Sandro Nazzarri, del comitato No discarica Magliano Romano; Aldo Garofolo, del comitato Albano Noinc; Marco Tellaroli, del comitato Cittadini di Bracciano in movimento; Sergio Apollonio e Giacomo Giujusa, rispettivamente presidente e rappresentante del comitato Malagrotta; Alessandro Di Matteo e Giacomo Giujusa, rispettivamente Presidente e rappresentante dell'Associazione Raggio Verde.</w:t>
      </w:r>
    </w:p>
    <w:p>
      <w:pPr>
        <w:pStyle w:val="Normal"/>
        <w:ind w:left="567" w:right="284" w:firstLine="0"/>
        <w:jc w:val="both"/>
        <w:rPr>
          <w:rFonts w:ascii="Book Antiqua" w:cs="Book Antiqua" w:hAnsi="Book Antiqua" w:eastAsia="Book Antiqua"/>
          <w:sz w:val="22"/>
          <w:szCs w:val="22"/>
        </w:rPr>
      </w:pPr>
    </w:p>
    <w:tbl>
      <w:tblPr>
        <w:tblW w:w="8789" w:type="dxa"/>
        <w:jc w:val="left"/>
        <w:tblInd w:w="783" w:type="dxa"/>
        <w:tblBorders>
          <w:top w:val="single" w:color="000000" w:sz="2" w:space="0" w:shadow="0" w:frame="0"/>
          <w:left w:val="single" w:color="000000" w:sz="2" w:space="0" w:shadow="0" w:frame="0"/>
          <w:bottom w:val="single" w:color="000000" w:sz="2" w:space="0" w:shadow="0" w:frame="0"/>
          <w:right w:val="single" w:color="000000" w:sz="2" w:space="0" w:shadow="0" w:frame="0"/>
          <w:insideH w:val="single" w:color="000000" w:sz="2" w:space="0" w:shadow="0" w:frame="0"/>
          <w:insideV w:val="single" w:color="000000" w:sz="2" w:space="0" w:shadow="0" w:frame="0"/>
        </w:tblBorders>
        <w:shd w:val="clear" w:color="auto" w:fill="auto"/>
        <w:tblLayout w:type="fixed"/>
      </w:tblPr>
      <w:tblGrid>
        <w:gridCol w:w="1985"/>
        <w:gridCol w:w="6804"/>
      </w:tblGrid>
      <w:tr>
        <w:tblPrEx>
          <w:shd w:val="clear" w:color="auto" w:fill="auto"/>
        </w:tblPrEx>
        <w:trPr>
          <w:trHeight w:val="1460" w:hRule="atLeast"/>
        </w:trPr>
        <w:tc>
          <w:tcPr>
            <w:tcW w:type="dxa" w:w="1985"/>
            <w:tcBorders>
              <w:top w:val="single" w:color="cacaca" w:sz="8" w:space="0" w:shadow="0" w:frame="0"/>
              <w:left w:val="single" w:color="cacaca" w:sz="8" w:space="0" w:shadow="0" w:frame="0"/>
              <w:bottom w:val="single" w:color="cacaca" w:sz="8" w:space="0" w:shadow="0" w:frame="0"/>
              <w:right w:val="single" w:color="cacaca" w:sz="8" w:space="0" w:shadow="0" w:frame="0"/>
            </w:tcBorders>
            <w:shd w:val="clear" w:color="auto" w:fill="auto"/>
            <w:tcMar>
              <w:top w:type="dxa" w:w="80"/>
              <w:left w:type="dxa" w:w="80"/>
              <w:bottom w:type="dxa" w:w="80"/>
              <w:right w:type="dxa" w:w="364"/>
            </w:tcMar>
            <w:vAlign w:val="top"/>
          </w:tcPr>
          <w:p>
            <w:pPr>
              <w:pStyle w:val="Normal"/>
              <w:widowControl w:val="0"/>
              <w:ind w:left="567" w:right="284"/>
              <w:jc w:val="both"/>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rtl w:val="0"/>
                <w:lang w:val="it-IT"/>
              </w:rPr>
            </w:pPr>
            <w:r>
              <w:rPr>
                <w:rFonts w:ascii="Book Antiqua"/>
                <w:caps w:val="0"/>
                <w:smallCaps w:val="0"/>
                <w:strike w:val="0"/>
                <w:dstrike w:val="0"/>
                <w:outline w:val="0"/>
                <w:color w:val="000000"/>
                <w:spacing w:val="0"/>
                <w:kern w:val="0"/>
                <w:position w:val="0"/>
                <w:sz w:val="20"/>
                <w:szCs w:val="20"/>
                <w:u w:val="none" w:color="000000"/>
                <w:vertAlign w:val="baseline"/>
                <w:rtl w:val="0"/>
                <w:lang w:val="it-IT"/>
              </w:rPr>
              <w:t>Frosinone</w:t>
            </w:r>
          </w:p>
          <w:p>
            <w:pPr>
              <w:pStyle w:val="Normal"/>
              <w:widowControl w:val="0"/>
              <w:ind w:left="567" w:right="284"/>
              <w:jc w:val="both"/>
            </w:pPr>
            <w:r>
              <w:rPr>
                <w:rFonts w:ascii="Book Antiqua"/>
                <w:caps w:val="0"/>
                <w:smallCaps w:val="0"/>
                <w:strike w:val="0"/>
                <w:dstrike w:val="0"/>
                <w:outline w:val="0"/>
                <w:color w:val="000000"/>
                <w:spacing w:val="0"/>
                <w:kern w:val="0"/>
                <w:position w:val="0"/>
                <w:sz w:val="20"/>
                <w:szCs w:val="20"/>
                <w:u w:val="none" w:color="000000"/>
                <w:vertAlign w:val="baseline"/>
                <w:rtl w:val="0"/>
                <w:lang w:val="it-IT"/>
              </w:rPr>
              <w:t>16 luglio 2015</w:t>
            </w:r>
          </w:p>
        </w:tc>
        <w:tc>
          <w:tcPr>
            <w:tcW w:type="dxa" w:w="6804"/>
            <w:tcBorders>
              <w:top w:val="single" w:color="cacaca" w:sz="8" w:space="0" w:shadow="0" w:frame="0"/>
              <w:left w:val="single" w:color="cacaca" w:sz="8" w:space="0" w:shadow="0" w:frame="0"/>
              <w:bottom w:val="single" w:color="cacaca" w:sz="8" w:space="0" w:shadow="0" w:frame="0"/>
              <w:right w:val="single" w:color="cacaca" w:sz="8" w:space="0" w:shadow="0" w:frame="0"/>
            </w:tcBorders>
            <w:shd w:val="clear" w:color="auto" w:fill="auto"/>
            <w:tcMar>
              <w:top w:type="dxa" w:w="80"/>
              <w:left w:type="dxa" w:w="80"/>
              <w:bottom w:type="dxa" w:w="80"/>
              <w:right w:type="dxa" w:w="364"/>
            </w:tcMar>
            <w:vAlign w:val="top"/>
          </w:tcPr>
          <w:p>
            <w:pPr>
              <w:pStyle w:val="Normal"/>
              <w:widowControl w:val="0"/>
              <w:numPr>
                <w:ilvl w:val="0"/>
                <w:numId w:val="175"/>
              </w:numPr>
              <w:tabs>
                <w:tab w:val="left" w:pos="220"/>
                <w:tab w:val="num" w:pos="751"/>
                <w:tab w:val="clear" w:pos="567"/>
              </w:tabs>
              <w:ind w:left="598" w:right="284" w:hanging="31"/>
              <w:jc w:val="both"/>
              <w:rPr>
                <w:rFonts w:ascii="Book Antiqua" w:cs="Book Antiqua" w:hAnsi="Book Antiqua" w:eastAsia="Book Antiqua"/>
                <w:caps w:val="0"/>
                <w:smallCaps w:val="0"/>
                <w:strike w:val="0"/>
                <w:dstrike w:val="0"/>
                <w:outline w:val="0"/>
                <w:color w:val="000000"/>
                <w:spacing w:val="0"/>
                <w:kern w:val="0"/>
                <w:position w:val="0"/>
                <w:sz w:val="24"/>
                <w:szCs w:val="24"/>
                <w:u w:val="none" w:color="000000"/>
                <w:vertAlign w:val="baseline"/>
                <w:rtl w:val="0"/>
                <w:lang w:val="it-IT"/>
              </w:rPr>
            </w:pPr>
            <w:hyperlink r:id="rId67" w:history="1">
              <w:r>
                <w:rPr>
                  <w:rStyle w:val="Hyperlink.5"/>
                  <w:rFonts w:ascii="Book Antiqua"/>
                  <w:caps w:val="0"/>
                  <w:smallCaps w:val="0"/>
                  <w:strike w:val="0"/>
                  <w:dstrike w:val="0"/>
                  <w:outline w:val="0"/>
                  <w:color w:val="000000"/>
                  <w:spacing w:val="0"/>
                  <w:kern w:val="0"/>
                  <w:position w:val="0"/>
                  <w:sz w:val="20"/>
                  <w:szCs w:val="20"/>
                  <w:u w:val="none" w:color="000000"/>
                  <w:vertAlign w:val="baseline"/>
                  <w:rtl w:val="0"/>
                  <w:lang w:val="it-IT"/>
                </w:rPr>
                <w:t>Audizione di rappresentanti delle associazioni ambientaliste</w:t>
              </w:r>
            </w:hyperlink>
          </w:p>
          <w:p>
            <w:pPr>
              <w:pStyle w:val="Normal"/>
              <w:widowControl w:val="0"/>
              <w:numPr>
                <w:ilvl w:val="0"/>
                <w:numId w:val="176"/>
              </w:numPr>
              <w:tabs>
                <w:tab w:val="left" w:pos="220"/>
                <w:tab w:val="num" w:pos="751"/>
                <w:tab w:val="clear" w:pos="567"/>
              </w:tabs>
              <w:bidi w:val="0"/>
              <w:ind w:left="598" w:right="284" w:hanging="31"/>
              <w:jc w:val="both"/>
              <w:rPr>
                <w:rFonts w:ascii="Book Antiqua" w:cs="Book Antiqua" w:hAnsi="Book Antiqua" w:eastAsia="Book Antiqua"/>
                <w:caps w:val="0"/>
                <w:smallCaps w:val="0"/>
                <w:strike w:val="0"/>
                <w:dstrike w:val="0"/>
                <w:outline w:val="0"/>
                <w:color w:val="000000"/>
                <w:spacing w:val="0"/>
                <w:kern w:val="0"/>
                <w:position w:val="0"/>
                <w:sz w:val="24"/>
                <w:szCs w:val="24"/>
                <w:u w:val="none" w:color="000000"/>
                <w:vertAlign w:val="baseline"/>
                <w:rtl w:val="0"/>
                <w:lang w:val="it-IT"/>
              </w:rPr>
            </w:pPr>
            <w:hyperlink r:id="rId68" w:history="1">
              <w:r>
                <w:rPr>
                  <w:rStyle w:val="Hyperlink.5"/>
                  <w:rFonts w:ascii="Book Antiqua"/>
                  <w:caps w:val="0"/>
                  <w:smallCaps w:val="0"/>
                  <w:strike w:val="0"/>
                  <w:dstrike w:val="0"/>
                  <w:outline w:val="0"/>
                  <w:color w:val="000000"/>
                  <w:spacing w:val="0"/>
                  <w:kern w:val="0"/>
                  <w:position w:val="0"/>
                  <w:sz w:val="20"/>
                  <w:szCs w:val="20"/>
                  <w:u w:val="none" w:color="000000"/>
                  <w:vertAlign w:val="baseline"/>
                  <w:rtl w:val="0"/>
                  <w:lang w:val="it-IT"/>
                </w:rPr>
                <w:t>Audizione del presidente della provincia di Frosinone</w:t>
              </w:r>
            </w:hyperlink>
          </w:p>
          <w:p>
            <w:pPr>
              <w:pStyle w:val="Normal"/>
              <w:widowControl w:val="0"/>
              <w:numPr>
                <w:ilvl w:val="0"/>
                <w:numId w:val="177"/>
              </w:numPr>
              <w:tabs>
                <w:tab w:val="left" w:pos="220"/>
                <w:tab w:val="num" w:pos="751"/>
                <w:tab w:val="clear" w:pos="567"/>
              </w:tabs>
              <w:bidi w:val="0"/>
              <w:ind w:left="598" w:right="284" w:hanging="31"/>
              <w:jc w:val="both"/>
              <w:rPr>
                <w:rFonts w:ascii="Book Antiqua" w:cs="Book Antiqua" w:hAnsi="Book Antiqua" w:eastAsia="Book Antiqua"/>
                <w:caps w:val="0"/>
                <w:smallCaps w:val="0"/>
                <w:strike w:val="0"/>
                <w:dstrike w:val="0"/>
                <w:outline w:val="0"/>
                <w:color w:val="000000"/>
                <w:spacing w:val="0"/>
                <w:kern w:val="0"/>
                <w:position w:val="0"/>
                <w:sz w:val="24"/>
                <w:szCs w:val="24"/>
                <w:u w:val="none" w:color="000000"/>
                <w:vertAlign w:val="baseline"/>
                <w:rtl w:val="0"/>
                <w:lang w:val="it-IT"/>
              </w:rPr>
            </w:pPr>
            <w:hyperlink r:id="rId69" w:history="1">
              <w:r>
                <w:rPr>
                  <w:rStyle w:val="Hyperlink.5"/>
                  <w:rFonts w:ascii="Book Antiqua"/>
                  <w:caps w:val="0"/>
                  <w:smallCaps w:val="0"/>
                  <w:strike w:val="0"/>
                  <w:dstrike w:val="0"/>
                  <w:outline w:val="0"/>
                  <w:color w:val="000000"/>
                  <w:spacing w:val="0"/>
                  <w:kern w:val="0"/>
                  <w:position w:val="0"/>
                  <w:sz w:val="20"/>
                  <w:szCs w:val="20"/>
                  <w:u w:val="none" w:color="000000"/>
                  <w:vertAlign w:val="baseline"/>
                  <w:rtl w:val="0"/>
                  <w:lang w:val="it-IT"/>
                </w:rPr>
                <w:t>Audizione del direttore generale dell'ARPA Lazio, Marco Lupo.</w:t>
              </w:r>
            </w:hyperlink>
          </w:p>
          <w:p>
            <w:pPr>
              <w:pStyle w:val="Normal"/>
              <w:widowControl w:val="0"/>
              <w:numPr>
                <w:ilvl w:val="0"/>
                <w:numId w:val="178"/>
              </w:numPr>
              <w:tabs>
                <w:tab w:val="left" w:pos="220"/>
                <w:tab w:val="num" w:pos="751"/>
                <w:tab w:val="clear" w:pos="567"/>
              </w:tabs>
              <w:bidi w:val="0"/>
              <w:ind w:left="598" w:right="284" w:hanging="31"/>
              <w:jc w:val="both"/>
              <w:rPr>
                <w:rFonts w:ascii="Book Antiqua" w:cs="Book Antiqua" w:hAnsi="Book Antiqua" w:eastAsia="Book Antiqua"/>
                <w:i w:val="1"/>
                <w:iCs w:val="1"/>
                <w:color w:val="244061"/>
                <w:position w:val="0"/>
                <w:sz w:val="24"/>
                <w:szCs w:val="24"/>
                <w:rtl w:val="0"/>
              </w:rPr>
            </w:pPr>
            <w:hyperlink r:id="rId70" w:history="1">
              <w:r>
                <w:rPr>
                  <w:rStyle w:val="Hyperlink.5"/>
                  <w:rFonts w:ascii="Book Antiqua"/>
                  <w:i w:val="0"/>
                  <w:iCs w:val="0"/>
                  <w:caps w:val="0"/>
                  <w:smallCaps w:val="0"/>
                  <w:strike w:val="0"/>
                  <w:dstrike w:val="0"/>
                  <w:outline w:val="0"/>
                  <w:color w:val="000000"/>
                  <w:spacing w:val="0"/>
                  <w:kern w:val="0"/>
                  <w:position w:val="0"/>
                  <w:sz w:val="20"/>
                  <w:szCs w:val="20"/>
                  <w:u w:val="none" w:color="000000"/>
                  <w:vertAlign w:val="baseline"/>
                  <w:rtl w:val="0"/>
                  <w:lang w:val="it-IT"/>
                </w:rPr>
                <w:t>Audizione dell'assessore infrastrutture, politiche abitative e ambiente della regione Lazio, Fabio Refrigeri.</w:t>
              </w:r>
            </w:hyperlink>
          </w:p>
        </w:tc>
      </w:tr>
    </w:tbl>
    <w:p>
      <w:pPr>
        <w:pStyle w:val="Normal"/>
        <w:ind w:left="675" w:right="284" w:hanging="108"/>
        <w:jc w:val="both"/>
        <w:rPr>
          <w:rFonts w:ascii="Book Antiqua" w:cs="Book Antiqua" w:hAnsi="Book Antiqua" w:eastAsia="Book Antiqua"/>
          <w:sz w:val="22"/>
          <w:szCs w:val="22"/>
        </w:rPr>
      </w:pPr>
    </w:p>
    <w:p>
      <w:pPr>
        <w:pStyle w:val="Normal"/>
        <w:widowControl w:val="0"/>
        <w:ind w:left="567" w:right="284" w:firstLine="0"/>
        <w:jc w:val="both"/>
        <w:rPr>
          <w:rFonts w:ascii="Book Antiqua" w:cs="Book Antiqua" w:hAnsi="Book Antiqua" w:eastAsia="Book Antiqua"/>
          <w:i w:val="1"/>
          <w:iCs w:val="1"/>
          <w:sz w:val="20"/>
          <w:szCs w:val="20"/>
        </w:rPr>
      </w:pPr>
    </w:p>
    <w:tbl>
      <w:tblPr>
        <w:tblW w:w="8789" w:type="dxa"/>
        <w:jc w:val="left"/>
        <w:tblInd w:w="783" w:type="dxa"/>
        <w:tblBorders>
          <w:top w:val="single" w:color="000000" w:sz="2" w:space="0" w:shadow="0" w:frame="0"/>
          <w:left w:val="single" w:color="000000" w:sz="2" w:space="0" w:shadow="0" w:frame="0"/>
          <w:bottom w:val="single" w:color="000000" w:sz="2" w:space="0" w:shadow="0" w:frame="0"/>
          <w:right w:val="single" w:color="000000" w:sz="2" w:space="0" w:shadow="0" w:frame="0"/>
          <w:insideH w:val="single" w:color="000000" w:sz="2" w:space="0" w:shadow="0" w:frame="0"/>
          <w:insideV w:val="single" w:color="000000" w:sz="2" w:space="0" w:shadow="0" w:frame="0"/>
        </w:tblBorders>
        <w:shd w:val="clear" w:color="auto" w:fill="auto"/>
        <w:tblLayout w:type="fixed"/>
      </w:tblPr>
      <w:tblGrid>
        <w:gridCol w:w="1985"/>
        <w:gridCol w:w="6804"/>
      </w:tblGrid>
      <w:tr>
        <w:tblPrEx>
          <w:shd w:val="clear" w:color="auto" w:fill="auto"/>
        </w:tblPrEx>
        <w:trPr>
          <w:trHeight w:val="3620" w:hRule="atLeast"/>
        </w:trPr>
        <w:tc>
          <w:tcPr>
            <w:tcW w:type="dxa" w:w="1985"/>
            <w:tcBorders>
              <w:top w:val="single" w:color="cacaca" w:sz="8" w:space="0" w:shadow="0" w:frame="0"/>
              <w:left w:val="single" w:color="cacaca" w:sz="8" w:space="0" w:shadow="0" w:frame="0"/>
              <w:bottom w:val="single" w:color="cacaca" w:sz="8" w:space="0" w:shadow="0" w:frame="0"/>
              <w:right w:val="single" w:color="cacaca" w:sz="8" w:space="0" w:shadow="0" w:frame="0"/>
            </w:tcBorders>
            <w:shd w:val="clear" w:color="auto" w:fill="auto"/>
            <w:tcMar>
              <w:top w:type="dxa" w:w="80"/>
              <w:left w:type="dxa" w:w="80"/>
              <w:bottom w:type="dxa" w:w="80"/>
              <w:right w:type="dxa" w:w="364"/>
            </w:tcMar>
            <w:vAlign w:val="top"/>
          </w:tcPr>
          <w:p>
            <w:pPr>
              <w:pStyle w:val="Normal"/>
              <w:widowControl w:val="0"/>
              <w:ind w:left="567" w:right="284"/>
              <w:jc w:val="both"/>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rtl w:val="0"/>
                <w:lang w:val="it-IT"/>
              </w:rPr>
            </w:pPr>
            <w:r>
              <w:rPr>
                <w:rFonts w:ascii="Book Antiqua"/>
                <w:caps w:val="0"/>
                <w:smallCaps w:val="0"/>
                <w:strike w:val="0"/>
                <w:dstrike w:val="0"/>
                <w:outline w:val="0"/>
                <w:color w:val="000000"/>
                <w:spacing w:val="0"/>
                <w:kern w:val="0"/>
                <w:position w:val="0"/>
                <w:sz w:val="20"/>
                <w:szCs w:val="20"/>
                <w:u w:val="none" w:color="000000"/>
                <w:vertAlign w:val="baseline"/>
                <w:rtl w:val="0"/>
                <w:lang w:val="it-IT"/>
              </w:rPr>
              <w:t>Roma</w:t>
            </w:r>
          </w:p>
          <w:p>
            <w:pPr>
              <w:pStyle w:val="Normal"/>
              <w:widowControl w:val="0"/>
              <w:ind w:left="567" w:right="284"/>
              <w:jc w:val="both"/>
            </w:pPr>
            <w:r>
              <w:rPr>
                <w:rFonts w:ascii="Book Antiqua"/>
                <w:caps w:val="0"/>
                <w:smallCaps w:val="0"/>
                <w:strike w:val="0"/>
                <w:dstrike w:val="0"/>
                <w:outline w:val="0"/>
                <w:color w:val="000000"/>
                <w:spacing w:val="0"/>
                <w:kern w:val="0"/>
                <w:position w:val="0"/>
                <w:sz w:val="20"/>
                <w:szCs w:val="20"/>
                <w:u w:val="none" w:color="000000"/>
                <w:vertAlign w:val="baseline"/>
                <w:rtl w:val="0"/>
                <w:lang w:val="it-IT"/>
              </w:rPr>
              <w:t>22 luglio 2015</w:t>
            </w:r>
          </w:p>
        </w:tc>
        <w:tc>
          <w:tcPr>
            <w:tcW w:type="dxa" w:w="6804"/>
            <w:tcBorders>
              <w:top w:val="single" w:color="cacaca" w:sz="8" w:space="0" w:shadow="0" w:frame="0"/>
              <w:left w:val="single" w:color="cacaca" w:sz="8" w:space="0" w:shadow="0" w:frame="0"/>
              <w:bottom w:val="single" w:color="cacaca" w:sz="8" w:space="0" w:shadow="0" w:frame="0"/>
              <w:right w:val="single" w:color="cacaca" w:sz="8" w:space="0" w:shadow="0" w:frame="0"/>
            </w:tcBorders>
            <w:shd w:val="clear" w:color="auto" w:fill="auto"/>
            <w:tcMar>
              <w:top w:type="dxa" w:w="80"/>
              <w:left w:type="dxa" w:w="80"/>
              <w:bottom w:type="dxa" w:w="80"/>
              <w:right w:type="dxa" w:w="364"/>
            </w:tcMar>
            <w:vAlign w:val="top"/>
          </w:tcPr>
          <w:p>
            <w:pPr>
              <w:pStyle w:val="Normal"/>
              <w:widowControl w:val="0"/>
              <w:numPr>
                <w:ilvl w:val="0"/>
                <w:numId w:val="179"/>
              </w:numPr>
              <w:tabs>
                <w:tab w:val="left" w:pos="220"/>
                <w:tab w:val="num" w:pos="751"/>
                <w:tab w:val="clear" w:pos="567"/>
              </w:tabs>
              <w:ind w:left="598" w:right="284" w:hanging="31"/>
              <w:jc w:val="both"/>
              <w:rPr>
                <w:rFonts w:ascii="Book Antiqua" w:cs="Book Antiqua" w:hAnsi="Book Antiqua" w:eastAsia="Book Antiqua"/>
                <w:caps w:val="0"/>
                <w:smallCaps w:val="0"/>
                <w:strike w:val="0"/>
                <w:dstrike w:val="0"/>
                <w:outline w:val="0"/>
                <w:color w:val="000000"/>
                <w:spacing w:val="0"/>
                <w:kern w:val="0"/>
                <w:position w:val="0"/>
                <w:sz w:val="24"/>
                <w:szCs w:val="24"/>
                <w:u w:val="none" w:color="000000"/>
                <w:vertAlign w:val="baseline"/>
                <w:rtl w:val="0"/>
                <w:lang w:val="it-IT"/>
              </w:rPr>
            </w:pPr>
            <w:hyperlink r:id="rId71" w:history="1">
              <w:r>
                <w:rPr>
                  <w:rStyle w:val="Hyperlink.5"/>
                  <w:rFonts w:ascii="Book Antiqua"/>
                  <w:caps w:val="0"/>
                  <w:smallCaps w:val="0"/>
                  <w:strike w:val="0"/>
                  <w:dstrike w:val="0"/>
                  <w:outline w:val="0"/>
                  <w:color w:val="000000"/>
                  <w:spacing w:val="0"/>
                  <w:kern w:val="0"/>
                  <w:position w:val="0"/>
                  <w:sz w:val="20"/>
                  <w:szCs w:val="20"/>
                  <w:u w:val="none" w:color="000000"/>
                  <w:vertAlign w:val="baseline"/>
                  <w:rtl w:val="0"/>
                  <w:lang w:val="it-IT"/>
                </w:rPr>
                <w:t>Audizione del prefetto di Roma, Franco Gabrielli.</w:t>
              </w:r>
            </w:hyperlink>
          </w:p>
          <w:p>
            <w:pPr>
              <w:pStyle w:val="Normal"/>
              <w:widowControl w:val="0"/>
              <w:numPr>
                <w:ilvl w:val="0"/>
                <w:numId w:val="180"/>
              </w:numPr>
              <w:tabs>
                <w:tab w:val="left" w:pos="220"/>
                <w:tab w:val="num" w:pos="751"/>
                <w:tab w:val="clear" w:pos="567"/>
              </w:tabs>
              <w:bidi w:val="0"/>
              <w:ind w:left="598" w:right="284" w:hanging="31"/>
              <w:jc w:val="both"/>
              <w:rPr>
                <w:rFonts w:ascii="Book Antiqua" w:cs="Book Antiqua" w:hAnsi="Book Antiqua" w:eastAsia="Book Antiqua"/>
                <w:caps w:val="0"/>
                <w:smallCaps w:val="0"/>
                <w:strike w:val="0"/>
                <w:dstrike w:val="0"/>
                <w:outline w:val="0"/>
                <w:color w:val="000000"/>
                <w:spacing w:val="0"/>
                <w:kern w:val="0"/>
                <w:position w:val="0"/>
                <w:sz w:val="24"/>
                <w:szCs w:val="24"/>
                <w:u w:val="none" w:color="000000"/>
                <w:vertAlign w:val="baseline"/>
                <w:rtl w:val="0"/>
                <w:lang w:val="it-IT"/>
              </w:rPr>
            </w:pPr>
            <w:hyperlink r:id="rId72" w:history="1">
              <w:r>
                <w:rPr>
                  <w:rStyle w:val="Hyperlink.5"/>
                  <w:rFonts w:ascii="Book Antiqua"/>
                  <w:caps w:val="0"/>
                  <w:smallCaps w:val="0"/>
                  <w:strike w:val="0"/>
                  <w:dstrike w:val="0"/>
                  <w:outline w:val="0"/>
                  <w:color w:val="000000"/>
                  <w:spacing w:val="0"/>
                  <w:kern w:val="0"/>
                  <w:position w:val="0"/>
                  <w:sz w:val="20"/>
                  <w:szCs w:val="20"/>
                  <w:u w:val="none" w:color="000000"/>
                  <w:vertAlign w:val="baseline"/>
                  <w:rtl w:val="0"/>
                  <w:lang w:val="it-IT"/>
                </w:rPr>
                <w:t>Audizione del comandante Noe di Roma, Marco Cavallo.</w:t>
              </w:r>
            </w:hyperlink>
          </w:p>
          <w:p>
            <w:pPr>
              <w:pStyle w:val="Normal"/>
              <w:widowControl w:val="0"/>
              <w:numPr>
                <w:ilvl w:val="0"/>
                <w:numId w:val="181"/>
              </w:numPr>
              <w:tabs>
                <w:tab w:val="left" w:pos="220"/>
                <w:tab w:val="num" w:pos="751"/>
                <w:tab w:val="clear" w:pos="567"/>
              </w:tabs>
              <w:bidi w:val="0"/>
              <w:ind w:left="598" w:right="284" w:hanging="31"/>
              <w:jc w:val="both"/>
              <w:rPr>
                <w:rFonts w:ascii="Book Antiqua" w:cs="Book Antiqua" w:hAnsi="Book Antiqua" w:eastAsia="Book Antiqua"/>
                <w:caps w:val="0"/>
                <w:smallCaps w:val="0"/>
                <w:strike w:val="0"/>
                <w:dstrike w:val="0"/>
                <w:outline w:val="0"/>
                <w:color w:val="000000"/>
                <w:spacing w:val="0"/>
                <w:kern w:val="0"/>
                <w:position w:val="0"/>
                <w:sz w:val="24"/>
                <w:szCs w:val="24"/>
                <w:u w:val="none" w:color="000000"/>
                <w:vertAlign w:val="baseline"/>
                <w:rtl w:val="0"/>
                <w:lang w:val="it-IT"/>
              </w:rPr>
            </w:pPr>
            <w:hyperlink r:id="rId73" w:history="1">
              <w:r>
                <w:rPr>
                  <w:rStyle w:val="Hyperlink.5"/>
                  <w:rFonts w:ascii="Book Antiqua"/>
                  <w:caps w:val="0"/>
                  <w:smallCaps w:val="0"/>
                  <w:strike w:val="0"/>
                  <w:dstrike w:val="0"/>
                  <w:outline w:val="0"/>
                  <w:color w:val="000000"/>
                  <w:spacing w:val="0"/>
                  <w:kern w:val="0"/>
                  <w:position w:val="0"/>
                  <w:sz w:val="20"/>
                  <w:szCs w:val="20"/>
                  <w:u w:val="none" w:color="000000"/>
                  <w:vertAlign w:val="baseline"/>
                  <w:rtl w:val="0"/>
                  <w:lang w:val="it-IT"/>
                </w:rPr>
                <w:t>Audizione del comandante provinciale del Corpo forestale dello Stato, Carlo Costantini.</w:t>
              </w:r>
            </w:hyperlink>
          </w:p>
          <w:p>
            <w:pPr>
              <w:pStyle w:val="Normal"/>
              <w:widowControl w:val="0"/>
              <w:numPr>
                <w:ilvl w:val="0"/>
                <w:numId w:val="182"/>
              </w:numPr>
              <w:tabs>
                <w:tab w:val="left" w:pos="220"/>
                <w:tab w:val="num" w:pos="751"/>
                <w:tab w:val="clear" w:pos="567"/>
              </w:tabs>
              <w:bidi w:val="0"/>
              <w:ind w:left="598" w:right="284" w:hanging="31"/>
              <w:jc w:val="both"/>
              <w:rPr>
                <w:rFonts w:ascii="Book Antiqua" w:cs="Book Antiqua" w:hAnsi="Book Antiqua" w:eastAsia="Book Antiqua"/>
                <w:caps w:val="0"/>
                <w:smallCaps w:val="0"/>
                <w:strike w:val="0"/>
                <w:dstrike w:val="0"/>
                <w:outline w:val="0"/>
                <w:color w:val="000000"/>
                <w:spacing w:val="0"/>
                <w:kern w:val="0"/>
                <w:position w:val="0"/>
                <w:sz w:val="24"/>
                <w:szCs w:val="24"/>
                <w:u w:val="none" w:color="000000"/>
                <w:vertAlign w:val="baseline"/>
                <w:rtl w:val="0"/>
                <w:lang w:val="it-IT"/>
              </w:rPr>
            </w:pPr>
            <w:hyperlink r:id="rId74" w:history="1">
              <w:r>
                <w:rPr>
                  <w:rStyle w:val="Hyperlink.5"/>
                  <w:rFonts w:ascii="Book Antiqua"/>
                  <w:caps w:val="0"/>
                  <w:smallCaps w:val="0"/>
                  <w:strike w:val="0"/>
                  <w:dstrike w:val="0"/>
                  <w:outline w:val="0"/>
                  <w:color w:val="000000"/>
                  <w:spacing w:val="0"/>
                  <w:kern w:val="0"/>
                  <w:position w:val="0"/>
                  <w:sz w:val="20"/>
                  <w:szCs w:val="20"/>
                  <w:u w:val="none" w:color="000000"/>
                  <w:vertAlign w:val="baseline"/>
                  <w:rtl w:val="0"/>
                  <w:lang w:val="it-IT"/>
                </w:rPr>
                <w:t>Audizione del comandante provinciale della Guardia di finanza, Giuseppe Magliocco.</w:t>
              </w:r>
            </w:hyperlink>
          </w:p>
          <w:p>
            <w:pPr>
              <w:pStyle w:val="Normal"/>
              <w:widowControl w:val="0"/>
              <w:numPr>
                <w:ilvl w:val="0"/>
                <w:numId w:val="183"/>
              </w:numPr>
              <w:tabs>
                <w:tab w:val="left" w:pos="220"/>
                <w:tab w:val="num" w:pos="751"/>
                <w:tab w:val="clear" w:pos="567"/>
              </w:tabs>
              <w:bidi w:val="0"/>
              <w:ind w:left="598" w:right="284" w:hanging="31"/>
              <w:jc w:val="both"/>
              <w:rPr>
                <w:rFonts w:ascii="Book Antiqua" w:cs="Book Antiqua" w:hAnsi="Book Antiqua" w:eastAsia="Book Antiqua"/>
                <w:caps w:val="0"/>
                <w:smallCaps w:val="0"/>
                <w:strike w:val="0"/>
                <w:dstrike w:val="0"/>
                <w:outline w:val="0"/>
                <w:color w:val="000000"/>
                <w:spacing w:val="0"/>
                <w:kern w:val="0"/>
                <w:position w:val="0"/>
                <w:sz w:val="24"/>
                <w:szCs w:val="24"/>
                <w:u w:val="none" w:color="000000"/>
                <w:vertAlign w:val="baseline"/>
                <w:rtl w:val="0"/>
                <w:lang w:val="it-IT"/>
              </w:rPr>
            </w:pPr>
            <w:hyperlink r:id="rId75" w:history="1">
              <w:r>
                <w:rPr>
                  <w:rStyle w:val="Hyperlink.5"/>
                  <w:rFonts w:ascii="Book Antiqua"/>
                  <w:caps w:val="0"/>
                  <w:smallCaps w:val="0"/>
                  <w:strike w:val="0"/>
                  <w:dstrike w:val="0"/>
                  <w:outline w:val="0"/>
                  <w:color w:val="000000"/>
                  <w:spacing w:val="0"/>
                  <w:kern w:val="0"/>
                  <w:position w:val="0"/>
                  <w:sz w:val="20"/>
                  <w:szCs w:val="20"/>
                  <w:u w:val="none" w:color="000000"/>
                  <w:vertAlign w:val="baseline"/>
                  <w:rtl w:val="0"/>
                  <w:lang w:val="it-IT"/>
                </w:rPr>
                <w:t>Audizione del procuratore della Repubblica di Roma, Giuseppe Pignatone.</w:t>
              </w:r>
            </w:hyperlink>
          </w:p>
          <w:p>
            <w:pPr>
              <w:pStyle w:val="Normal"/>
              <w:widowControl w:val="0"/>
              <w:numPr>
                <w:ilvl w:val="0"/>
                <w:numId w:val="184"/>
              </w:numPr>
              <w:tabs>
                <w:tab w:val="left" w:pos="220"/>
                <w:tab w:val="num" w:pos="751"/>
                <w:tab w:val="clear" w:pos="567"/>
              </w:tabs>
              <w:bidi w:val="0"/>
              <w:ind w:left="598" w:right="284" w:hanging="31"/>
              <w:jc w:val="both"/>
              <w:rPr>
                <w:rFonts w:ascii="Book Antiqua" w:cs="Book Antiqua" w:hAnsi="Book Antiqua" w:eastAsia="Book Antiqua"/>
                <w:caps w:val="0"/>
                <w:smallCaps w:val="0"/>
                <w:strike w:val="0"/>
                <w:dstrike w:val="0"/>
                <w:outline w:val="0"/>
                <w:color w:val="000000"/>
                <w:spacing w:val="0"/>
                <w:kern w:val="0"/>
                <w:position w:val="0"/>
                <w:sz w:val="24"/>
                <w:szCs w:val="24"/>
                <w:u w:val="none" w:color="000000"/>
                <w:vertAlign w:val="baseline"/>
                <w:rtl w:val="0"/>
                <w:lang w:val="it-IT"/>
              </w:rPr>
            </w:pPr>
            <w:hyperlink r:id="rId76" w:history="1">
              <w:r>
                <w:rPr>
                  <w:rStyle w:val="Hyperlink.5"/>
                  <w:rFonts w:ascii="Book Antiqua"/>
                  <w:caps w:val="0"/>
                  <w:smallCaps w:val="0"/>
                  <w:strike w:val="0"/>
                  <w:dstrike w:val="0"/>
                  <w:outline w:val="0"/>
                  <w:color w:val="000000"/>
                  <w:spacing w:val="0"/>
                  <w:kern w:val="0"/>
                  <w:position w:val="0"/>
                  <w:sz w:val="20"/>
                  <w:szCs w:val="20"/>
                  <w:u w:val="none" w:color="000000"/>
                  <w:vertAlign w:val="baseline"/>
                  <w:rtl w:val="0"/>
                  <w:lang w:val="it-IT"/>
                </w:rPr>
                <w:t>Audizione del presidente di AMA, Daniele Fortini, e del direttore generale, Alessandro Filippi</w:t>
              </w:r>
            </w:hyperlink>
          </w:p>
          <w:p>
            <w:pPr>
              <w:pStyle w:val="Normal"/>
              <w:widowControl w:val="0"/>
              <w:numPr>
                <w:ilvl w:val="0"/>
                <w:numId w:val="185"/>
              </w:numPr>
              <w:tabs>
                <w:tab w:val="left" w:pos="220"/>
                <w:tab w:val="num" w:pos="751"/>
                <w:tab w:val="clear" w:pos="567"/>
              </w:tabs>
              <w:bidi w:val="0"/>
              <w:ind w:left="598" w:right="284" w:hanging="31"/>
              <w:jc w:val="both"/>
              <w:rPr>
                <w:rFonts w:ascii="Book Antiqua" w:cs="Book Antiqua" w:hAnsi="Book Antiqua" w:eastAsia="Book Antiqua"/>
                <w:caps w:val="0"/>
                <w:smallCaps w:val="0"/>
                <w:strike w:val="0"/>
                <w:dstrike w:val="0"/>
                <w:outline w:val="0"/>
                <w:color w:val="000000"/>
                <w:spacing w:val="0"/>
                <w:kern w:val="0"/>
                <w:position w:val="0"/>
                <w:sz w:val="24"/>
                <w:szCs w:val="24"/>
                <w:u w:val="none" w:color="000000"/>
                <w:vertAlign w:val="baseline"/>
                <w:rtl w:val="0"/>
                <w:lang w:val="it-IT"/>
              </w:rPr>
            </w:pPr>
            <w:hyperlink r:id="rId77" w:history="1">
              <w:r>
                <w:rPr>
                  <w:rStyle w:val="Hyperlink.5"/>
                  <w:rFonts w:ascii="Book Antiqua"/>
                  <w:caps w:val="0"/>
                  <w:smallCaps w:val="0"/>
                  <w:strike w:val="0"/>
                  <w:dstrike w:val="0"/>
                  <w:outline w:val="0"/>
                  <w:color w:val="000000"/>
                  <w:spacing w:val="0"/>
                  <w:kern w:val="0"/>
                  <w:position w:val="0"/>
                  <w:sz w:val="20"/>
                  <w:szCs w:val="20"/>
                  <w:u w:val="none" w:color="000000"/>
                  <w:vertAlign w:val="baseline"/>
                  <w:rtl w:val="0"/>
                  <w:lang w:val="it-IT"/>
                </w:rPr>
                <w:t>Audizione dell'assessore comunale all'ambiente di Roma, Estella Marino</w:t>
              </w:r>
            </w:hyperlink>
          </w:p>
          <w:p>
            <w:pPr>
              <w:pStyle w:val="Normal"/>
              <w:widowControl w:val="0"/>
              <w:numPr>
                <w:ilvl w:val="0"/>
                <w:numId w:val="186"/>
              </w:numPr>
              <w:tabs>
                <w:tab w:val="left" w:pos="220"/>
                <w:tab w:val="num" w:pos="751"/>
                <w:tab w:val="clear" w:pos="567"/>
              </w:tabs>
              <w:bidi w:val="0"/>
              <w:ind w:left="598" w:right="284" w:hanging="31"/>
              <w:jc w:val="both"/>
              <w:rPr>
                <w:rFonts w:ascii="Book Antiqua" w:cs="Book Antiqua" w:hAnsi="Book Antiqua" w:eastAsia="Book Antiqua"/>
                <w:caps w:val="0"/>
                <w:smallCaps w:val="0"/>
                <w:strike w:val="0"/>
                <w:dstrike w:val="0"/>
                <w:outline w:val="0"/>
                <w:color w:val="000000"/>
                <w:spacing w:val="0"/>
                <w:kern w:val="0"/>
                <w:position w:val="0"/>
                <w:sz w:val="24"/>
                <w:szCs w:val="24"/>
                <w:u w:val="none" w:color="000000"/>
                <w:vertAlign w:val="baseline"/>
                <w:rtl w:val="0"/>
                <w:lang w:val="it-IT"/>
              </w:rPr>
            </w:pPr>
            <w:hyperlink r:id="rId78" w:history="1">
              <w:r>
                <w:rPr>
                  <w:rStyle w:val="Hyperlink.5"/>
                  <w:rFonts w:ascii="Book Antiqua"/>
                  <w:caps w:val="0"/>
                  <w:smallCaps w:val="0"/>
                  <w:strike w:val="0"/>
                  <w:dstrike w:val="0"/>
                  <w:outline w:val="0"/>
                  <w:color w:val="000000"/>
                  <w:spacing w:val="0"/>
                  <w:kern w:val="0"/>
                  <w:position w:val="0"/>
                  <w:sz w:val="20"/>
                  <w:szCs w:val="20"/>
                  <w:u w:val="none" w:color="000000"/>
                  <w:vertAlign w:val="baseline"/>
                  <w:rtl w:val="0"/>
                  <w:lang w:val="it-IT"/>
                </w:rPr>
                <w:t>Audizione del comandante provinciale di Roma dei carabinieri, Salvatore Luongo</w:t>
              </w:r>
            </w:hyperlink>
          </w:p>
          <w:p>
            <w:pPr>
              <w:pStyle w:val="Normal"/>
              <w:widowControl w:val="0"/>
              <w:numPr>
                <w:ilvl w:val="0"/>
                <w:numId w:val="187"/>
              </w:numPr>
              <w:tabs>
                <w:tab w:val="left" w:pos="220"/>
                <w:tab w:val="num" w:pos="751"/>
                <w:tab w:val="clear" w:pos="567"/>
              </w:tabs>
              <w:bidi w:val="0"/>
              <w:ind w:left="598" w:right="284" w:hanging="31"/>
              <w:jc w:val="both"/>
              <w:rPr>
                <w:rFonts w:ascii="Book Antiqua" w:cs="Book Antiqua" w:hAnsi="Book Antiqua" w:eastAsia="Book Antiqua"/>
                <w:position w:val="0"/>
                <w:sz w:val="24"/>
                <w:szCs w:val="24"/>
                <w:rtl w:val="0"/>
              </w:rPr>
            </w:pPr>
            <w:hyperlink r:id="rId79" w:history="1">
              <w:r>
                <w:rPr>
                  <w:rStyle w:val="Hyperlink.5"/>
                  <w:rFonts w:ascii="Book Antiqua"/>
                  <w:caps w:val="0"/>
                  <w:smallCaps w:val="0"/>
                  <w:strike w:val="0"/>
                  <w:dstrike w:val="0"/>
                  <w:outline w:val="0"/>
                  <w:color w:val="000000"/>
                  <w:spacing w:val="0"/>
                  <w:kern w:val="0"/>
                  <w:position w:val="0"/>
                  <w:sz w:val="20"/>
                  <w:szCs w:val="20"/>
                  <w:u w:val="none" w:color="000000"/>
                  <w:vertAlign w:val="baseline"/>
                  <w:rtl w:val="0"/>
                  <w:lang w:val="it-IT"/>
                </w:rPr>
                <w:t>Audizione del sindaco di Frosinone, Nicola Ottaviani</w:t>
              </w:r>
            </w:hyperlink>
          </w:p>
        </w:tc>
      </w:tr>
    </w:tbl>
    <w:p>
      <w:pPr>
        <w:pStyle w:val="Normal"/>
        <w:widowControl w:val="0"/>
        <w:ind w:left="675" w:right="284" w:hanging="108"/>
        <w:jc w:val="both"/>
        <w:rPr>
          <w:rFonts w:ascii="Book Antiqua" w:cs="Book Antiqua" w:hAnsi="Book Antiqua" w:eastAsia="Book Antiqua"/>
          <w:i w:val="1"/>
          <w:iCs w:val="1"/>
          <w:sz w:val="20"/>
          <w:szCs w:val="20"/>
        </w:rPr>
      </w:pPr>
    </w:p>
    <w:p>
      <w:pPr>
        <w:pStyle w:val="Normal"/>
        <w:widowControl w:val="0"/>
        <w:ind w:left="567" w:right="284" w:firstLine="0"/>
        <w:jc w:val="both"/>
        <w:rPr>
          <w:rFonts w:ascii="Book Antiqua" w:cs="Book Antiqua" w:hAnsi="Book Antiqua" w:eastAsia="Book Antiqua"/>
          <w:i w:val="1"/>
          <w:iCs w:val="1"/>
          <w:sz w:val="22"/>
          <w:szCs w:val="22"/>
        </w:rPr>
      </w:pPr>
    </w:p>
    <w:p>
      <w:pPr>
        <w:pStyle w:val="Normal"/>
        <w:widowControl w:val="0"/>
        <w:ind w:left="567" w:right="284" w:firstLine="0"/>
        <w:jc w:val="both"/>
        <w:rPr>
          <w:rFonts w:ascii="Book Antiqua" w:cs="Book Antiqua" w:hAnsi="Book Antiqua" w:eastAsia="Book Antiqua"/>
          <w:sz w:val="22"/>
          <w:szCs w:val="22"/>
        </w:rPr>
      </w:pPr>
      <w:r>
        <w:rPr>
          <w:rFonts w:ascii="Book Antiqua"/>
          <w:i w:val="1"/>
          <w:iCs w:val="1"/>
          <w:sz w:val="22"/>
          <w:szCs w:val="22"/>
          <w:rtl w:val="0"/>
          <w:lang w:val="it-IT"/>
        </w:rPr>
        <w:t>marted</w:t>
      </w:r>
      <w:r>
        <w:rPr>
          <w:rFonts w:hAnsi="Book Antiqua" w:hint="default"/>
          <w:i w:val="1"/>
          <w:iCs w:val="1"/>
          <w:sz w:val="22"/>
          <w:szCs w:val="22"/>
          <w:rtl w:val="0"/>
          <w:lang w:val="it-IT"/>
        </w:rPr>
        <w:t xml:space="preserve">ì </w:t>
      </w:r>
      <w:r>
        <w:rPr>
          <w:rFonts w:ascii="Book Antiqua"/>
          <w:i w:val="1"/>
          <w:iCs w:val="1"/>
          <w:sz w:val="22"/>
          <w:szCs w:val="22"/>
          <w:rtl w:val="0"/>
          <w:lang w:val="it-IT"/>
        </w:rPr>
        <w:t>08 settembre 2015</w:t>
      </w:r>
    </w:p>
    <w:p>
      <w:pPr>
        <w:pStyle w:val="Normal"/>
        <w:widowControl w:val="0"/>
        <w:tabs>
          <w:tab w:val="left" w:pos="220"/>
          <w:tab w:val="left" w:pos="720"/>
        </w:tabs>
        <w:ind w:left="567" w:right="284" w:firstLine="0"/>
        <w:jc w:val="both"/>
        <w:rPr>
          <w:rFonts w:ascii="Book Antiqua" w:cs="Book Antiqua" w:hAnsi="Book Antiqua" w:eastAsia="Book Antiqua"/>
          <w:sz w:val="22"/>
          <w:szCs w:val="22"/>
        </w:rPr>
      </w:pPr>
      <w:r>
        <w:rPr>
          <w:rFonts w:ascii="Book Antiqua"/>
          <w:sz w:val="22"/>
          <w:szCs w:val="22"/>
          <w:rtl w:val="0"/>
          <w:lang w:val="it-IT"/>
        </w:rPr>
        <w:t xml:space="preserve">Audizione del </w:t>
      </w:r>
      <w:r>
        <w:rPr>
          <w:rFonts w:ascii="Book Antiqua"/>
          <w:color w:val="262626"/>
          <w:sz w:val="22"/>
          <w:szCs w:val="22"/>
          <w:u w:color="262626"/>
          <w:rtl w:val="0"/>
          <w:lang w:val="it-IT"/>
        </w:rPr>
        <w:t>presidente della Giunta della regione Lazio, Nicola Zingaretti, accompagnato da Michele Civita, assessore alle politiche del territorio, mobilit</w:t>
      </w:r>
      <w:r>
        <w:rPr>
          <w:rFonts w:hAnsi="Book Antiqua" w:hint="default"/>
          <w:color w:val="262626"/>
          <w:sz w:val="22"/>
          <w:szCs w:val="22"/>
          <w:u w:color="262626"/>
          <w:rtl w:val="0"/>
          <w:lang w:val="it-IT"/>
        </w:rPr>
        <w:t>à</w:t>
      </w:r>
      <w:r>
        <w:rPr>
          <w:rFonts w:ascii="Book Antiqua"/>
          <w:color w:val="262626"/>
          <w:sz w:val="22"/>
          <w:szCs w:val="22"/>
          <w:u w:color="262626"/>
          <w:rtl w:val="0"/>
          <w:lang w:val="it-IT"/>
        </w:rPr>
        <w:t>, rifiuti della regione Lazio, dalla dottoressa Flaminia Tosini, dirigente dell'area del ciclo integrato dei rifiuti della regione e territorio, e dal dottor Lazzara, capo della segreteria dell'assessore</w:t>
      </w:r>
      <w:r>
        <w:rPr>
          <w:rFonts w:ascii="Book Antiqua"/>
          <w:sz w:val="22"/>
          <w:szCs w:val="22"/>
          <w:rtl w:val="0"/>
          <w:lang w:val="it-IT"/>
        </w:rPr>
        <w:t>.</w:t>
      </w:r>
    </w:p>
    <w:p>
      <w:pPr>
        <w:pStyle w:val="Normal"/>
        <w:ind w:left="567" w:right="284" w:firstLine="0"/>
        <w:jc w:val="both"/>
        <w:rPr>
          <w:rFonts w:ascii="Book Antiqua" w:cs="Book Antiqua" w:hAnsi="Book Antiqua" w:eastAsia="Book Antiqua"/>
          <w:sz w:val="22"/>
          <w:szCs w:val="22"/>
        </w:rPr>
      </w:pPr>
      <w:r>
        <w:rPr>
          <w:rFonts w:ascii="Book Antiqua"/>
          <w:sz w:val="22"/>
          <w:szCs w:val="22"/>
          <w:rtl w:val="0"/>
          <w:lang w:val="it-IT"/>
        </w:rPr>
        <w:t xml:space="preserve">Audizione del </w:t>
      </w:r>
      <w:r>
        <w:rPr>
          <w:rFonts w:ascii="Book Antiqua"/>
          <w:color w:val="262626"/>
          <w:sz w:val="22"/>
          <w:szCs w:val="22"/>
          <w:u w:color="262626"/>
          <w:rtl w:val="0"/>
          <w:lang w:val="it-IT"/>
        </w:rPr>
        <w:t>sindaco di Roma, Ignazio Marino, accompagnato dall'assessora all'ambiente e rifiuti, Estella Marino, e dal capo di gabinetto, il consigliere Luigi Fucito</w:t>
      </w:r>
      <w:r>
        <w:rPr>
          <w:rFonts w:ascii="Book Antiqua"/>
          <w:sz w:val="22"/>
          <w:szCs w:val="22"/>
          <w:rtl w:val="0"/>
          <w:lang w:val="it-IT"/>
        </w:rPr>
        <w:t>, e di Alessandro Filippi, direttore generale di AMA S.p.A. .</w:t>
      </w:r>
    </w:p>
    <w:p>
      <w:pPr>
        <w:pStyle w:val="Normal"/>
        <w:ind w:left="567" w:right="284" w:firstLine="0"/>
        <w:jc w:val="both"/>
        <w:rPr>
          <w:rFonts w:ascii="Book Antiqua" w:cs="Book Antiqua" w:hAnsi="Book Antiqua" w:eastAsia="Book Antiqua"/>
          <w:sz w:val="22"/>
          <w:szCs w:val="22"/>
        </w:rPr>
      </w:pPr>
    </w:p>
    <w:p>
      <w:pPr>
        <w:pStyle w:val="Normal"/>
        <w:widowControl w:val="0"/>
        <w:ind w:left="567" w:right="284" w:firstLine="0"/>
        <w:jc w:val="both"/>
        <w:rPr>
          <w:rFonts w:ascii="Book Antiqua" w:cs="Book Antiqua" w:hAnsi="Book Antiqua" w:eastAsia="Book Antiqua"/>
          <w:sz w:val="22"/>
          <w:szCs w:val="22"/>
        </w:rPr>
      </w:pPr>
      <w:r>
        <w:rPr>
          <w:rFonts w:ascii="Book Antiqua"/>
          <w:i w:val="1"/>
          <w:iCs w:val="1"/>
          <w:sz w:val="22"/>
          <w:szCs w:val="22"/>
          <w:rtl w:val="0"/>
          <w:lang w:val="it-IT"/>
        </w:rPr>
        <w:t>mercoled</w:t>
      </w:r>
      <w:r>
        <w:rPr>
          <w:rFonts w:hAnsi="Book Antiqua" w:hint="default"/>
          <w:i w:val="1"/>
          <w:iCs w:val="1"/>
          <w:sz w:val="22"/>
          <w:szCs w:val="22"/>
          <w:rtl w:val="0"/>
          <w:lang w:val="it-IT"/>
        </w:rPr>
        <w:t xml:space="preserve">ì </w:t>
      </w:r>
      <w:r>
        <w:rPr>
          <w:rFonts w:ascii="Book Antiqua"/>
          <w:i w:val="1"/>
          <w:iCs w:val="1"/>
          <w:sz w:val="22"/>
          <w:szCs w:val="22"/>
          <w:rtl w:val="0"/>
          <w:lang w:val="it-IT"/>
        </w:rPr>
        <w:t>30 settembre 2015</w:t>
      </w:r>
    </w:p>
    <w:p>
      <w:pPr>
        <w:pStyle w:val="Normal"/>
        <w:widowControl w:val="0"/>
        <w:tabs>
          <w:tab w:val="left" w:pos="220"/>
          <w:tab w:val="left" w:pos="720"/>
        </w:tabs>
        <w:ind w:left="567" w:right="284" w:firstLine="0"/>
        <w:jc w:val="both"/>
        <w:rPr>
          <w:rFonts w:ascii="Book Antiqua" w:cs="Book Antiqua" w:hAnsi="Book Antiqua" w:eastAsia="Book Antiqua"/>
          <w:sz w:val="22"/>
          <w:szCs w:val="22"/>
        </w:rPr>
      </w:pPr>
      <w:r>
        <w:rPr>
          <w:rFonts w:ascii="Book Antiqua"/>
          <w:sz w:val="22"/>
          <w:szCs w:val="22"/>
          <w:rtl w:val="0"/>
          <w:lang w:val="it-IT"/>
        </w:rPr>
        <w:t>Audizione del comandante provinciale della Guardia di finanza di Viterbo, Giosu</w:t>
      </w:r>
      <w:r>
        <w:rPr>
          <w:rFonts w:hAnsi="Book Antiqua" w:hint="default"/>
          <w:sz w:val="22"/>
          <w:szCs w:val="22"/>
          <w:rtl w:val="0"/>
          <w:lang w:val="it-IT"/>
        </w:rPr>
        <w:t xml:space="preserve">è </w:t>
      </w:r>
      <w:r>
        <w:rPr>
          <w:rFonts w:ascii="Book Antiqua"/>
          <w:sz w:val="22"/>
          <w:szCs w:val="22"/>
          <w:rtl w:val="0"/>
          <w:lang w:val="it-IT"/>
        </w:rPr>
        <w:t>Colella;</w:t>
      </w:r>
    </w:p>
    <w:p>
      <w:pPr>
        <w:pStyle w:val="Normal"/>
        <w:ind w:left="567" w:right="284" w:firstLine="0"/>
        <w:jc w:val="both"/>
        <w:rPr>
          <w:rFonts w:ascii="Book Antiqua" w:cs="Book Antiqua" w:hAnsi="Book Antiqua" w:eastAsia="Book Antiqua"/>
          <w:sz w:val="22"/>
          <w:szCs w:val="22"/>
        </w:rPr>
      </w:pPr>
      <w:r>
        <w:rPr>
          <w:rFonts w:ascii="Book Antiqua"/>
          <w:sz w:val="22"/>
          <w:szCs w:val="22"/>
          <w:rtl w:val="0"/>
          <w:lang w:val="it-IT"/>
        </w:rPr>
        <w:t>Audizione del sindaco di Bracciano, Giuliano Sala</w:t>
      </w:r>
    </w:p>
    <w:p>
      <w:pPr>
        <w:pStyle w:val="Normal"/>
        <w:ind w:left="567" w:right="284" w:firstLine="0"/>
        <w:jc w:val="both"/>
        <w:rPr>
          <w:rFonts w:ascii="Book Antiqua" w:cs="Book Antiqua" w:hAnsi="Book Antiqua" w:eastAsia="Book Antiqua"/>
          <w:sz w:val="22"/>
          <w:szCs w:val="22"/>
        </w:rPr>
      </w:pPr>
    </w:p>
    <w:p>
      <w:pPr>
        <w:pStyle w:val="Normal"/>
        <w:widowControl w:val="0"/>
        <w:ind w:left="567" w:right="284" w:firstLine="0"/>
        <w:jc w:val="both"/>
        <w:rPr>
          <w:rFonts w:ascii="Book Antiqua" w:cs="Book Antiqua" w:hAnsi="Book Antiqua" w:eastAsia="Book Antiqua"/>
          <w:sz w:val="22"/>
          <w:szCs w:val="22"/>
        </w:rPr>
      </w:pPr>
      <w:r>
        <w:rPr>
          <w:rFonts w:ascii="Book Antiqua"/>
          <w:i w:val="1"/>
          <w:iCs w:val="1"/>
          <w:sz w:val="22"/>
          <w:szCs w:val="22"/>
          <w:rtl w:val="0"/>
          <w:lang w:val="it-IT"/>
        </w:rPr>
        <w:t>gioved</w:t>
      </w:r>
      <w:r>
        <w:rPr>
          <w:rFonts w:hAnsi="Book Antiqua" w:hint="default"/>
          <w:i w:val="1"/>
          <w:iCs w:val="1"/>
          <w:sz w:val="22"/>
          <w:szCs w:val="22"/>
          <w:rtl w:val="0"/>
          <w:lang w:val="it-IT"/>
        </w:rPr>
        <w:t xml:space="preserve">ì </w:t>
      </w:r>
      <w:r>
        <w:rPr>
          <w:rFonts w:ascii="Book Antiqua"/>
          <w:i w:val="1"/>
          <w:iCs w:val="1"/>
          <w:sz w:val="22"/>
          <w:szCs w:val="22"/>
          <w:rtl w:val="0"/>
          <w:lang w:val="it-IT"/>
        </w:rPr>
        <w:t>12 novembre 2015</w:t>
      </w:r>
    </w:p>
    <w:p>
      <w:pPr>
        <w:pStyle w:val="Normal"/>
        <w:ind w:left="567" w:right="284" w:firstLine="0"/>
        <w:jc w:val="both"/>
        <w:rPr>
          <w:rFonts w:ascii="Book Antiqua" w:cs="Book Antiqua" w:hAnsi="Book Antiqua" w:eastAsia="Book Antiqua"/>
          <w:sz w:val="22"/>
          <w:szCs w:val="22"/>
        </w:rPr>
      </w:pPr>
      <w:r>
        <w:rPr>
          <w:rFonts w:ascii="Book Antiqua"/>
          <w:sz w:val="22"/>
          <w:szCs w:val="22"/>
          <w:rtl w:val="0"/>
          <w:lang w:val="it-IT"/>
        </w:rPr>
        <w:t>Audizione dei professori del Politecnico di Torino, Mariachiara Zanetti e Rajandrea Sethi</w:t>
      </w:r>
    </w:p>
    <w:p>
      <w:pPr>
        <w:pStyle w:val="Normal"/>
        <w:ind w:left="567" w:right="284" w:firstLine="0"/>
        <w:jc w:val="both"/>
        <w:rPr>
          <w:rFonts w:ascii="Book Antiqua" w:cs="Book Antiqua" w:hAnsi="Book Antiqua" w:eastAsia="Book Antiqua"/>
          <w:sz w:val="22"/>
          <w:szCs w:val="22"/>
        </w:rPr>
      </w:pPr>
    </w:p>
    <w:p>
      <w:pPr>
        <w:pStyle w:val="Normal"/>
        <w:widowControl w:val="0"/>
        <w:ind w:left="567" w:right="284" w:firstLine="0"/>
        <w:jc w:val="both"/>
        <w:rPr>
          <w:rFonts w:ascii="Book Antiqua" w:cs="Book Antiqua" w:hAnsi="Book Antiqua" w:eastAsia="Book Antiqua"/>
          <w:sz w:val="22"/>
          <w:szCs w:val="22"/>
        </w:rPr>
      </w:pPr>
      <w:r>
        <w:rPr>
          <w:rFonts w:ascii="Book Antiqua"/>
          <w:i w:val="1"/>
          <w:iCs w:val="1"/>
          <w:sz w:val="22"/>
          <w:szCs w:val="22"/>
          <w:rtl w:val="0"/>
          <w:lang w:val="it-IT"/>
        </w:rPr>
        <w:t>mercoled</w:t>
      </w:r>
      <w:r>
        <w:rPr>
          <w:rFonts w:hAnsi="Book Antiqua" w:hint="default"/>
          <w:i w:val="1"/>
          <w:iCs w:val="1"/>
          <w:sz w:val="22"/>
          <w:szCs w:val="22"/>
          <w:rtl w:val="0"/>
          <w:lang w:val="it-IT"/>
        </w:rPr>
        <w:t xml:space="preserve">ì </w:t>
      </w:r>
      <w:r>
        <w:rPr>
          <w:rFonts w:ascii="Book Antiqua"/>
          <w:i w:val="1"/>
          <w:iCs w:val="1"/>
          <w:sz w:val="22"/>
          <w:szCs w:val="22"/>
          <w:rtl w:val="0"/>
          <w:lang w:val="it-IT"/>
        </w:rPr>
        <w:t>16 marzo 2016</w:t>
      </w:r>
    </w:p>
    <w:p>
      <w:pPr>
        <w:pStyle w:val="Normal"/>
        <w:ind w:left="567" w:right="284" w:firstLine="0"/>
        <w:jc w:val="both"/>
        <w:rPr>
          <w:rFonts w:ascii="Book Antiqua" w:cs="Book Antiqua" w:hAnsi="Book Antiqua" w:eastAsia="Book Antiqua"/>
          <w:sz w:val="22"/>
          <w:szCs w:val="22"/>
        </w:rPr>
      </w:pPr>
      <w:r>
        <w:rPr>
          <w:rFonts w:ascii="Book Antiqua"/>
          <w:sz w:val="22"/>
          <w:szCs w:val="22"/>
          <w:rtl w:val="0"/>
          <w:lang w:val="it-IT"/>
        </w:rPr>
        <w:t>Audizione di Giorgio Libralato, consulente tecnico delle famiglie di Borgo Montello, di Ivan Eotvos, rappresentante dei comitati riuniti dei borghi Montello e Bainsizza, e di Paolo Bortoletto, rappresentante dei comitati riuniti dei borghi Montello e Bainsizza</w:t>
      </w:r>
    </w:p>
    <w:p>
      <w:pPr>
        <w:pStyle w:val="Normal"/>
        <w:ind w:left="567" w:right="284" w:firstLine="0"/>
        <w:jc w:val="both"/>
        <w:rPr>
          <w:rFonts w:ascii="Book Antiqua" w:cs="Book Antiqua" w:hAnsi="Book Antiqua" w:eastAsia="Book Antiqua"/>
          <w:sz w:val="22"/>
          <w:szCs w:val="22"/>
        </w:rPr>
      </w:pPr>
    </w:p>
    <w:p>
      <w:pPr>
        <w:pStyle w:val="Normal"/>
        <w:widowControl w:val="0"/>
        <w:ind w:left="567" w:right="284" w:firstLine="0"/>
        <w:jc w:val="both"/>
        <w:rPr>
          <w:rFonts w:ascii="Book Antiqua" w:cs="Book Antiqua" w:hAnsi="Book Antiqua" w:eastAsia="Book Antiqua"/>
          <w:sz w:val="22"/>
          <w:szCs w:val="22"/>
        </w:rPr>
      </w:pPr>
      <w:r>
        <w:rPr>
          <w:rFonts w:ascii="Book Antiqua"/>
          <w:i w:val="1"/>
          <w:iCs w:val="1"/>
          <w:sz w:val="22"/>
          <w:szCs w:val="22"/>
          <w:rtl w:val="0"/>
          <w:lang w:val="it-IT"/>
        </w:rPr>
        <w:t>gioved</w:t>
      </w:r>
      <w:r>
        <w:rPr>
          <w:rFonts w:hAnsi="Book Antiqua" w:hint="default"/>
          <w:i w:val="1"/>
          <w:iCs w:val="1"/>
          <w:sz w:val="22"/>
          <w:szCs w:val="22"/>
          <w:rtl w:val="0"/>
          <w:lang w:val="it-IT"/>
        </w:rPr>
        <w:t xml:space="preserve">ì </w:t>
      </w:r>
      <w:r>
        <w:rPr>
          <w:rFonts w:ascii="Book Antiqua"/>
          <w:i w:val="1"/>
          <w:iCs w:val="1"/>
          <w:sz w:val="22"/>
          <w:szCs w:val="22"/>
          <w:rtl w:val="0"/>
          <w:lang w:val="it-IT"/>
        </w:rPr>
        <w:t>17 marzo 2016</w:t>
      </w:r>
    </w:p>
    <w:p>
      <w:pPr>
        <w:pStyle w:val="Normal"/>
        <w:ind w:left="567" w:right="284" w:firstLine="0"/>
        <w:jc w:val="both"/>
        <w:rPr>
          <w:rFonts w:ascii="Book Antiqua" w:cs="Book Antiqua" w:hAnsi="Book Antiqua" w:eastAsia="Book Antiqua"/>
          <w:sz w:val="22"/>
          <w:szCs w:val="22"/>
        </w:rPr>
      </w:pPr>
      <w:r>
        <w:rPr>
          <w:rFonts w:ascii="Book Antiqua"/>
          <w:sz w:val="22"/>
          <w:szCs w:val="22"/>
          <w:rtl w:val="0"/>
          <w:lang w:val="it-IT"/>
        </w:rPr>
        <w:t>Audizione del procuratore della Repubblica presso il tribunale di Cassino, Luciano D'Emmanuele</w:t>
      </w:r>
    </w:p>
    <w:p>
      <w:pPr>
        <w:pStyle w:val="Normal"/>
        <w:ind w:left="567" w:right="284" w:firstLine="0"/>
        <w:jc w:val="both"/>
        <w:rPr>
          <w:rFonts w:ascii="Book Antiqua" w:cs="Book Antiqua" w:hAnsi="Book Antiqua" w:eastAsia="Book Antiqua"/>
          <w:sz w:val="22"/>
          <w:szCs w:val="22"/>
        </w:rPr>
      </w:pPr>
    </w:p>
    <w:p>
      <w:pPr>
        <w:pStyle w:val="Normal"/>
        <w:widowControl w:val="0"/>
        <w:ind w:left="567" w:right="284" w:firstLine="0"/>
        <w:jc w:val="both"/>
        <w:rPr>
          <w:rFonts w:ascii="Book Antiqua" w:cs="Book Antiqua" w:hAnsi="Book Antiqua" w:eastAsia="Book Antiqua"/>
          <w:sz w:val="22"/>
          <w:szCs w:val="22"/>
        </w:rPr>
      </w:pPr>
      <w:r>
        <w:rPr>
          <w:rFonts w:ascii="Book Antiqua"/>
          <w:i w:val="1"/>
          <w:iCs w:val="1"/>
          <w:sz w:val="22"/>
          <w:szCs w:val="22"/>
          <w:rtl w:val="0"/>
          <w:lang w:val="it-IT"/>
        </w:rPr>
        <w:t>mercoled</w:t>
      </w:r>
      <w:r>
        <w:rPr>
          <w:rFonts w:hAnsi="Book Antiqua" w:hint="default"/>
          <w:i w:val="1"/>
          <w:iCs w:val="1"/>
          <w:sz w:val="22"/>
          <w:szCs w:val="22"/>
          <w:rtl w:val="0"/>
          <w:lang w:val="it-IT"/>
        </w:rPr>
        <w:t xml:space="preserve">ì </w:t>
      </w:r>
      <w:r>
        <w:rPr>
          <w:rFonts w:ascii="Book Antiqua"/>
          <w:i w:val="1"/>
          <w:iCs w:val="1"/>
          <w:sz w:val="22"/>
          <w:szCs w:val="22"/>
          <w:rtl w:val="0"/>
          <w:lang w:val="it-IT"/>
        </w:rPr>
        <w:t>30 marzo 2016</w:t>
      </w:r>
    </w:p>
    <w:p>
      <w:pPr>
        <w:pStyle w:val="Normal"/>
        <w:ind w:left="567" w:right="284" w:firstLine="0"/>
        <w:jc w:val="both"/>
        <w:rPr>
          <w:rFonts w:ascii="Book Antiqua" w:cs="Book Antiqua" w:hAnsi="Book Antiqua" w:eastAsia="Book Antiqua"/>
          <w:sz w:val="22"/>
          <w:szCs w:val="22"/>
        </w:rPr>
      </w:pPr>
      <w:r>
        <w:rPr>
          <w:rFonts w:ascii="Book Antiqua"/>
          <w:sz w:val="22"/>
          <w:szCs w:val="22"/>
          <w:rtl w:val="0"/>
          <w:lang w:val="it-IT"/>
        </w:rPr>
        <w:t>Audizione del procuratore della Repubblica presso il tribunale di Latina, Andrea De Gasperis e di Luigia Spinelli, sostituto procuratore della Repubblica presso il tribunale di Latina</w:t>
      </w:r>
    </w:p>
    <w:p>
      <w:pPr>
        <w:pStyle w:val="Normal"/>
        <w:ind w:left="567" w:right="284" w:firstLine="0"/>
        <w:jc w:val="both"/>
        <w:rPr>
          <w:rFonts w:ascii="Book Antiqua" w:cs="Book Antiqua" w:hAnsi="Book Antiqua" w:eastAsia="Book Antiqua"/>
          <w:sz w:val="22"/>
          <w:szCs w:val="22"/>
        </w:rPr>
      </w:pPr>
    </w:p>
    <w:p>
      <w:pPr>
        <w:pStyle w:val="Normal"/>
        <w:widowControl w:val="0"/>
        <w:ind w:left="567" w:right="284" w:firstLine="0"/>
        <w:jc w:val="both"/>
        <w:rPr>
          <w:rFonts w:ascii="Book Antiqua" w:cs="Book Antiqua" w:hAnsi="Book Antiqua" w:eastAsia="Book Antiqua"/>
          <w:sz w:val="22"/>
          <w:szCs w:val="22"/>
        </w:rPr>
      </w:pPr>
      <w:r>
        <w:rPr>
          <w:rFonts w:ascii="Book Antiqua"/>
          <w:i w:val="1"/>
          <w:iCs w:val="1"/>
          <w:sz w:val="22"/>
          <w:szCs w:val="22"/>
          <w:rtl w:val="0"/>
          <w:lang w:val="it-IT"/>
        </w:rPr>
        <w:t>luned</w:t>
      </w:r>
      <w:r>
        <w:rPr>
          <w:rFonts w:hAnsi="Book Antiqua" w:hint="default"/>
          <w:i w:val="1"/>
          <w:iCs w:val="1"/>
          <w:sz w:val="22"/>
          <w:szCs w:val="22"/>
          <w:rtl w:val="0"/>
          <w:lang w:val="it-IT"/>
        </w:rPr>
        <w:t xml:space="preserve">ì </w:t>
      </w:r>
      <w:r>
        <w:rPr>
          <w:rFonts w:ascii="Book Antiqua"/>
          <w:i w:val="1"/>
          <w:iCs w:val="1"/>
          <w:sz w:val="22"/>
          <w:szCs w:val="22"/>
          <w:rtl w:val="0"/>
          <w:lang w:val="it-IT"/>
        </w:rPr>
        <w:t>11 luglio 2016</w:t>
      </w:r>
    </w:p>
    <w:p>
      <w:pPr>
        <w:pStyle w:val="Normal"/>
        <w:widowControl w:val="0"/>
        <w:tabs>
          <w:tab w:val="left" w:pos="220"/>
          <w:tab w:val="left" w:pos="720"/>
        </w:tabs>
        <w:ind w:left="567" w:right="284" w:firstLine="0"/>
        <w:jc w:val="both"/>
        <w:rPr>
          <w:rFonts w:ascii="Book Antiqua" w:cs="Book Antiqua" w:hAnsi="Book Antiqua" w:eastAsia="Book Antiqua"/>
          <w:sz w:val="22"/>
          <w:szCs w:val="22"/>
        </w:rPr>
      </w:pPr>
      <w:r>
        <w:rPr>
          <w:rFonts w:ascii="Book Antiqua"/>
          <w:sz w:val="22"/>
          <w:szCs w:val="22"/>
          <w:rtl w:val="0"/>
          <w:lang w:val="it-IT"/>
        </w:rPr>
        <w:t>Audizione del generale Sergio Pascali, comandante dei carabinieri per la tutela dell'ambiente, del colonnello dei carabinieri Giuseppe Battaglia, e del capitano dei carabinieri Gianfranco Cannarile</w:t>
      </w:r>
    </w:p>
    <w:p>
      <w:pPr>
        <w:pStyle w:val="Normal"/>
        <w:ind w:left="567" w:right="284" w:firstLine="0"/>
        <w:jc w:val="both"/>
        <w:rPr>
          <w:rFonts w:ascii="Book Antiqua" w:cs="Book Antiqua" w:hAnsi="Book Antiqua" w:eastAsia="Book Antiqua"/>
          <w:sz w:val="22"/>
          <w:szCs w:val="22"/>
        </w:rPr>
      </w:pPr>
      <w:r>
        <w:rPr>
          <w:rFonts w:ascii="Book Antiqua"/>
          <w:sz w:val="22"/>
          <w:szCs w:val="22"/>
          <w:rtl w:val="0"/>
          <w:lang w:val="it-IT"/>
        </w:rPr>
        <w:t>Audizione del dirigente dell'area ciclo integrato rifiuti della regione Lazio, Flaminia Tosini</w:t>
      </w:r>
    </w:p>
    <w:p>
      <w:pPr>
        <w:pStyle w:val="Normal"/>
        <w:ind w:left="567" w:right="284" w:firstLine="0"/>
        <w:jc w:val="both"/>
        <w:rPr>
          <w:rFonts w:ascii="Book Antiqua" w:cs="Book Antiqua" w:hAnsi="Book Antiqua" w:eastAsia="Book Antiqua"/>
          <w:sz w:val="22"/>
          <w:szCs w:val="22"/>
        </w:rPr>
      </w:pPr>
    </w:p>
    <w:p>
      <w:pPr>
        <w:pStyle w:val="Normal"/>
        <w:widowControl w:val="0"/>
        <w:ind w:left="567" w:right="284" w:firstLine="0"/>
        <w:jc w:val="both"/>
        <w:rPr>
          <w:rFonts w:ascii="Book Antiqua" w:cs="Book Antiqua" w:hAnsi="Book Antiqua" w:eastAsia="Book Antiqua"/>
          <w:sz w:val="22"/>
          <w:szCs w:val="22"/>
        </w:rPr>
      </w:pPr>
      <w:r>
        <w:rPr>
          <w:rFonts w:ascii="Book Antiqua"/>
          <w:i w:val="1"/>
          <w:iCs w:val="1"/>
          <w:sz w:val="22"/>
          <w:szCs w:val="22"/>
          <w:rtl w:val="0"/>
          <w:lang w:val="it-IT"/>
        </w:rPr>
        <w:t>luned</w:t>
      </w:r>
      <w:r>
        <w:rPr>
          <w:rFonts w:hAnsi="Book Antiqua" w:hint="default"/>
          <w:i w:val="1"/>
          <w:iCs w:val="1"/>
          <w:sz w:val="22"/>
          <w:szCs w:val="22"/>
          <w:rtl w:val="0"/>
          <w:lang w:val="it-IT"/>
        </w:rPr>
        <w:t xml:space="preserve">ì </w:t>
      </w:r>
      <w:r>
        <w:rPr>
          <w:rFonts w:ascii="Book Antiqua"/>
          <w:i w:val="1"/>
          <w:iCs w:val="1"/>
          <w:sz w:val="22"/>
          <w:szCs w:val="22"/>
          <w:rtl w:val="0"/>
          <w:lang w:val="it-IT"/>
        </w:rPr>
        <w:t>05 settembre 2016</w:t>
      </w:r>
    </w:p>
    <w:p>
      <w:pPr>
        <w:pStyle w:val="Normal"/>
        <w:ind w:left="567" w:right="284" w:firstLine="0"/>
        <w:jc w:val="both"/>
        <w:rPr>
          <w:rFonts w:ascii="Book Antiqua" w:cs="Book Antiqua" w:hAnsi="Book Antiqua" w:eastAsia="Book Antiqua"/>
          <w:sz w:val="22"/>
          <w:szCs w:val="22"/>
        </w:rPr>
      </w:pPr>
      <w:r>
        <w:rPr>
          <w:rFonts w:ascii="Book Antiqua"/>
          <w:sz w:val="22"/>
          <w:szCs w:val="22"/>
          <w:rtl w:val="0"/>
          <w:lang w:val="it-IT"/>
        </w:rPr>
        <w:t>Audizione della sindaca di Roma Capitale, Virginia Raggi, e dell'assessora alla sostenibilit</w:t>
      </w:r>
      <w:r>
        <w:rPr>
          <w:rFonts w:hAnsi="Book Antiqua" w:hint="default"/>
          <w:sz w:val="22"/>
          <w:szCs w:val="22"/>
          <w:rtl w:val="0"/>
          <w:lang w:val="it-IT"/>
        </w:rPr>
        <w:t xml:space="preserve">à </w:t>
      </w:r>
      <w:r>
        <w:rPr>
          <w:rFonts w:ascii="Book Antiqua"/>
          <w:sz w:val="22"/>
          <w:szCs w:val="22"/>
          <w:rtl w:val="0"/>
          <w:lang w:val="it-IT"/>
        </w:rPr>
        <w:t>ambientale di Roma Capitale, Paola Muraro</w:t>
      </w:r>
    </w:p>
    <w:p>
      <w:pPr>
        <w:pStyle w:val="Normal"/>
        <w:ind w:left="567" w:right="284" w:firstLine="0"/>
        <w:jc w:val="both"/>
        <w:rPr>
          <w:rFonts w:ascii="Book Antiqua" w:cs="Book Antiqua" w:hAnsi="Book Antiqua" w:eastAsia="Book Antiqua"/>
          <w:sz w:val="22"/>
          <w:szCs w:val="22"/>
        </w:rPr>
      </w:pPr>
    </w:p>
    <w:p>
      <w:pPr>
        <w:pStyle w:val="Normal"/>
        <w:widowControl w:val="0"/>
        <w:ind w:left="567" w:right="284" w:firstLine="0"/>
        <w:jc w:val="both"/>
        <w:rPr>
          <w:rFonts w:ascii="Book Antiqua" w:cs="Book Antiqua" w:hAnsi="Book Antiqua" w:eastAsia="Book Antiqua"/>
          <w:sz w:val="22"/>
          <w:szCs w:val="22"/>
        </w:rPr>
      </w:pPr>
      <w:r>
        <w:rPr>
          <w:rFonts w:ascii="Book Antiqua"/>
          <w:i w:val="1"/>
          <w:iCs w:val="1"/>
          <w:sz w:val="22"/>
          <w:szCs w:val="22"/>
          <w:rtl w:val="0"/>
          <w:lang w:val="it-IT"/>
        </w:rPr>
        <w:t>mercoled</w:t>
      </w:r>
      <w:r>
        <w:rPr>
          <w:rFonts w:hAnsi="Book Antiqua" w:hint="default"/>
          <w:i w:val="1"/>
          <w:iCs w:val="1"/>
          <w:sz w:val="22"/>
          <w:szCs w:val="22"/>
          <w:rtl w:val="0"/>
          <w:lang w:val="it-IT"/>
        </w:rPr>
        <w:t xml:space="preserve">ì </w:t>
      </w:r>
      <w:r>
        <w:rPr>
          <w:rFonts w:ascii="Book Antiqua"/>
          <w:i w:val="1"/>
          <w:iCs w:val="1"/>
          <w:sz w:val="22"/>
          <w:szCs w:val="22"/>
          <w:rtl w:val="0"/>
          <w:lang w:val="it-IT"/>
        </w:rPr>
        <w:t>12 ottobre 2016</w:t>
      </w:r>
    </w:p>
    <w:p>
      <w:pPr>
        <w:pStyle w:val="Normal"/>
        <w:ind w:left="567" w:right="284" w:firstLine="0"/>
        <w:jc w:val="both"/>
        <w:rPr>
          <w:rFonts w:ascii="Book Antiqua" w:cs="Book Antiqua" w:hAnsi="Book Antiqua" w:eastAsia="Book Antiqua"/>
          <w:sz w:val="22"/>
          <w:szCs w:val="22"/>
        </w:rPr>
      </w:pPr>
      <w:r>
        <w:rPr>
          <w:rFonts w:ascii="Book Antiqua"/>
          <w:sz w:val="22"/>
          <w:szCs w:val="22"/>
          <w:rtl w:val="0"/>
          <w:lang w:val="it-IT"/>
        </w:rPr>
        <w:t>Audizione dell'amministratore unico di Ridambiente, Fabio Altissimi, e di Francesco Fonderico, consulente legale di Ridambiente.</w:t>
      </w:r>
    </w:p>
    <w:p>
      <w:pPr>
        <w:pStyle w:val="Normal"/>
        <w:ind w:left="567" w:right="284" w:firstLine="0"/>
        <w:jc w:val="both"/>
        <w:rPr>
          <w:rFonts w:ascii="Book Antiqua" w:cs="Book Antiqua" w:hAnsi="Book Antiqua" w:eastAsia="Book Antiqua"/>
          <w:sz w:val="22"/>
          <w:szCs w:val="22"/>
        </w:rPr>
      </w:pPr>
    </w:p>
    <w:p>
      <w:pPr>
        <w:pStyle w:val="Normal"/>
        <w:widowControl w:val="0"/>
        <w:ind w:left="567" w:right="284" w:firstLine="0"/>
        <w:jc w:val="both"/>
        <w:rPr>
          <w:rFonts w:ascii="Book Antiqua" w:cs="Book Antiqua" w:hAnsi="Book Antiqua" w:eastAsia="Book Antiqua"/>
          <w:sz w:val="22"/>
          <w:szCs w:val="22"/>
        </w:rPr>
      </w:pPr>
      <w:r>
        <w:rPr>
          <w:rFonts w:ascii="Book Antiqua"/>
          <w:i w:val="1"/>
          <w:iCs w:val="1"/>
          <w:sz w:val="22"/>
          <w:szCs w:val="22"/>
          <w:rtl w:val="0"/>
          <w:lang w:val="it-IT"/>
        </w:rPr>
        <w:t>gioved</w:t>
      </w:r>
      <w:r>
        <w:rPr>
          <w:rFonts w:hAnsi="Book Antiqua" w:hint="default"/>
          <w:i w:val="1"/>
          <w:iCs w:val="1"/>
          <w:sz w:val="22"/>
          <w:szCs w:val="22"/>
          <w:rtl w:val="0"/>
          <w:lang w:val="it-IT"/>
        </w:rPr>
        <w:t xml:space="preserve">ì </w:t>
      </w:r>
      <w:r>
        <w:rPr>
          <w:rFonts w:ascii="Book Antiqua"/>
          <w:i w:val="1"/>
          <w:iCs w:val="1"/>
          <w:sz w:val="22"/>
          <w:szCs w:val="22"/>
          <w:rtl w:val="0"/>
          <w:lang w:val="it-IT"/>
        </w:rPr>
        <w:t>13 ottobre 2016</w:t>
      </w:r>
    </w:p>
    <w:p>
      <w:pPr>
        <w:pStyle w:val="Normal"/>
        <w:ind w:left="567" w:right="284" w:firstLine="0"/>
        <w:jc w:val="both"/>
        <w:rPr>
          <w:rFonts w:ascii="Book Antiqua" w:cs="Book Antiqua" w:hAnsi="Book Antiqua" w:eastAsia="Book Antiqua"/>
          <w:sz w:val="22"/>
          <w:szCs w:val="22"/>
        </w:rPr>
      </w:pPr>
      <w:r>
        <w:rPr>
          <w:rFonts w:ascii="Book Antiqua"/>
          <w:sz w:val="22"/>
          <w:szCs w:val="22"/>
          <w:rtl w:val="0"/>
          <w:lang w:val="it-IT"/>
        </w:rPr>
        <w:t xml:space="preserve">Audizione del </w:t>
      </w:r>
      <w:r>
        <w:rPr>
          <w:rFonts w:ascii="Book Antiqua"/>
          <w:color w:val="262626"/>
          <w:sz w:val="22"/>
          <w:szCs w:val="22"/>
          <w:u w:color="262626"/>
          <w:rtl w:val="0"/>
          <w:lang w:val="it-IT"/>
        </w:rPr>
        <w:t>direttore generale di ARPA Lazio, Marco Lupo, accompagnato dall'ingegner Rossana Cintoli, direttore tecnico di ARPA Lazio, dal dottor Sergio Ceradini, direttore della sezione provinciale ARPA Lazio di Roma, e dal dottor Dino Chiarucci, direttore della sezione provinciale ARPA Lazio di Latina</w:t>
      </w:r>
      <w:r>
        <w:rPr>
          <w:rFonts w:ascii="Book Antiqua"/>
          <w:sz w:val="22"/>
          <w:szCs w:val="22"/>
          <w:rtl w:val="0"/>
          <w:lang w:val="it-IT"/>
        </w:rPr>
        <w:t>.</w:t>
      </w:r>
    </w:p>
    <w:p>
      <w:pPr>
        <w:pStyle w:val="Normal"/>
        <w:ind w:left="567" w:right="284" w:firstLine="0"/>
        <w:jc w:val="both"/>
        <w:rPr>
          <w:rFonts w:ascii="Book Antiqua" w:cs="Book Antiqua" w:hAnsi="Book Antiqua" w:eastAsia="Book Antiqua"/>
          <w:sz w:val="22"/>
          <w:szCs w:val="22"/>
        </w:rPr>
      </w:pPr>
    </w:p>
    <w:p>
      <w:pPr>
        <w:pStyle w:val="Normal"/>
        <w:widowControl w:val="0"/>
        <w:ind w:left="567" w:right="284" w:firstLine="0"/>
        <w:jc w:val="both"/>
        <w:rPr>
          <w:rFonts w:ascii="Book Antiqua" w:cs="Book Antiqua" w:hAnsi="Book Antiqua" w:eastAsia="Book Antiqua"/>
          <w:sz w:val="22"/>
          <w:szCs w:val="22"/>
        </w:rPr>
      </w:pPr>
      <w:r>
        <w:rPr>
          <w:rFonts w:ascii="Book Antiqua"/>
          <w:i w:val="1"/>
          <w:iCs w:val="1"/>
          <w:sz w:val="22"/>
          <w:szCs w:val="22"/>
          <w:rtl w:val="0"/>
          <w:lang w:val="it-IT"/>
        </w:rPr>
        <w:t>mercoled</w:t>
      </w:r>
      <w:r>
        <w:rPr>
          <w:rFonts w:hAnsi="Book Antiqua" w:hint="default"/>
          <w:i w:val="1"/>
          <w:iCs w:val="1"/>
          <w:sz w:val="22"/>
          <w:szCs w:val="22"/>
          <w:rtl w:val="0"/>
          <w:lang w:val="it-IT"/>
        </w:rPr>
        <w:t xml:space="preserve">ì </w:t>
      </w:r>
      <w:r>
        <w:rPr>
          <w:rFonts w:ascii="Book Antiqua"/>
          <w:i w:val="1"/>
          <w:iCs w:val="1"/>
          <w:sz w:val="22"/>
          <w:szCs w:val="22"/>
          <w:rtl w:val="0"/>
          <w:lang w:val="it-IT"/>
        </w:rPr>
        <w:t>26 ottobre 2016</w:t>
      </w:r>
    </w:p>
    <w:p>
      <w:pPr>
        <w:pStyle w:val="Normal"/>
        <w:ind w:left="567" w:right="284" w:firstLine="0"/>
        <w:jc w:val="both"/>
        <w:rPr>
          <w:rFonts w:ascii="Book Antiqua" w:cs="Book Antiqua" w:hAnsi="Book Antiqua" w:eastAsia="Book Antiqua"/>
          <w:sz w:val="22"/>
          <w:szCs w:val="22"/>
        </w:rPr>
      </w:pPr>
      <w:r>
        <w:rPr>
          <w:rFonts w:ascii="Book Antiqua"/>
          <w:sz w:val="22"/>
          <w:szCs w:val="22"/>
          <w:rtl w:val="0"/>
          <w:lang w:val="it-IT"/>
        </w:rPr>
        <w:t>Audizione di Alessandro Filippi, nella qualit</w:t>
      </w:r>
      <w:r>
        <w:rPr>
          <w:rFonts w:hAnsi="Book Antiqua" w:hint="default"/>
          <w:sz w:val="22"/>
          <w:szCs w:val="22"/>
          <w:rtl w:val="0"/>
          <w:lang w:val="it-IT"/>
        </w:rPr>
        <w:t xml:space="preserve">à </w:t>
      </w:r>
      <w:r>
        <w:rPr>
          <w:rFonts w:ascii="Book Antiqua"/>
          <w:sz w:val="22"/>
          <w:szCs w:val="22"/>
          <w:rtl w:val="0"/>
          <w:lang w:val="it-IT"/>
        </w:rPr>
        <w:t>di ex direttore generale di AMA S.p.A.</w:t>
      </w:r>
    </w:p>
    <w:p>
      <w:pPr>
        <w:pStyle w:val="Normal"/>
        <w:ind w:left="567" w:right="284" w:firstLine="0"/>
        <w:jc w:val="both"/>
        <w:rPr>
          <w:rFonts w:ascii="Book Antiqua" w:cs="Book Antiqua" w:hAnsi="Book Antiqua" w:eastAsia="Book Antiqua"/>
          <w:sz w:val="22"/>
          <w:szCs w:val="22"/>
        </w:rPr>
      </w:pPr>
    </w:p>
    <w:p>
      <w:pPr>
        <w:pStyle w:val="Normal"/>
        <w:widowControl w:val="0"/>
        <w:ind w:left="567" w:right="284" w:firstLine="0"/>
        <w:jc w:val="both"/>
        <w:rPr>
          <w:rFonts w:ascii="Book Antiqua" w:cs="Book Antiqua" w:hAnsi="Book Antiqua" w:eastAsia="Book Antiqua"/>
          <w:sz w:val="22"/>
          <w:szCs w:val="22"/>
        </w:rPr>
      </w:pPr>
      <w:r>
        <w:rPr>
          <w:rFonts w:ascii="Book Antiqua"/>
          <w:i w:val="1"/>
          <w:iCs w:val="1"/>
          <w:sz w:val="22"/>
          <w:szCs w:val="22"/>
          <w:rtl w:val="0"/>
          <w:lang w:val="it-IT"/>
        </w:rPr>
        <w:t>marted</w:t>
      </w:r>
      <w:r>
        <w:rPr>
          <w:rFonts w:hAnsi="Book Antiqua" w:hint="default"/>
          <w:i w:val="1"/>
          <w:iCs w:val="1"/>
          <w:sz w:val="22"/>
          <w:szCs w:val="22"/>
          <w:rtl w:val="0"/>
          <w:lang w:val="it-IT"/>
        </w:rPr>
        <w:t xml:space="preserve">ì </w:t>
      </w:r>
      <w:r>
        <w:rPr>
          <w:rFonts w:ascii="Book Antiqua"/>
          <w:i w:val="1"/>
          <w:iCs w:val="1"/>
          <w:sz w:val="22"/>
          <w:szCs w:val="22"/>
          <w:rtl w:val="0"/>
          <w:lang w:val="it-IT"/>
        </w:rPr>
        <w:t>10 gennaio 2017</w:t>
      </w:r>
    </w:p>
    <w:p>
      <w:pPr>
        <w:pStyle w:val="Normal"/>
        <w:ind w:left="567" w:right="284" w:firstLine="0"/>
        <w:jc w:val="both"/>
        <w:rPr>
          <w:rFonts w:ascii="Book Antiqua" w:cs="Book Antiqua" w:hAnsi="Book Antiqua" w:eastAsia="Book Antiqua"/>
          <w:sz w:val="22"/>
          <w:szCs w:val="22"/>
        </w:rPr>
      </w:pPr>
      <w:r>
        <w:rPr>
          <w:rFonts w:ascii="Book Antiqua"/>
          <w:sz w:val="22"/>
          <w:szCs w:val="22"/>
          <w:rtl w:val="0"/>
          <w:lang w:val="it-IT"/>
        </w:rPr>
        <w:t>Audizione di Catia Tomasetti, presidente del consiglio di amministrazione di ACEA Spa, di Alberto Irace, amministratore delegato di ACEA Spa, e di Giovanni Vivarelli, direttore area ambiente di ACEA Spa</w:t>
      </w:r>
    </w:p>
    <w:p>
      <w:pPr>
        <w:pStyle w:val="Normal"/>
        <w:ind w:left="567" w:right="284" w:firstLine="0"/>
        <w:jc w:val="both"/>
        <w:rPr>
          <w:rFonts w:ascii="Book Antiqua" w:cs="Book Antiqua" w:hAnsi="Book Antiqua" w:eastAsia="Book Antiqua"/>
          <w:sz w:val="22"/>
          <w:szCs w:val="22"/>
        </w:rPr>
      </w:pPr>
    </w:p>
    <w:p>
      <w:pPr>
        <w:pStyle w:val="Normal"/>
        <w:widowControl w:val="0"/>
        <w:ind w:left="567" w:right="284" w:firstLine="0"/>
        <w:jc w:val="both"/>
        <w:rPr>
          <w:rFonts w:ascii="Book Antiqua" w:cs="Book Antiqua" w:hAnsi="Book Antiqua" w:eastAsia="Book Antiqua"/>
          <w:sz w:val="22"/>
          <w:szCs w:val="22"/>
        </w:rPr>
      </w:pPr>
      <w:r>
        <w:rPr>
          <w:rFonts w:ascii="Book Antiqua"/>
          <w:i w:val="1"/>
          <w:iCs w:val="1"/>
          <w:sz w:val="22"/>
          <w:szCs w:val="22"/>
          <w:rtl w:val="0"/>
          <w:lang w:val="it-IT"/>
        </w:rPr>
        <w:t>marted</w:t>
      </w:r>
      <w:r>
        <w:rPr>
          <w:rFonts w:hAnsi="Book Antiqua" w:hint="default"/>
          <w:i w:val="1"/>
          <w:iCs w:val="1"/>
          <w:sz w:val="22"/>
          <w:szCs w:val="22"/>
          <w:rtl w:val="0"/>
          <w:lang w:val="it-IT"/>
        </w:rPr>
        <w:t xml:space="preserve">ì </w:t>
      </w:r>
      <w:r>
        <w:rPr>
          <w:rFonts w:ascii="Book Antiqua"/>
          <w:i w:val="1"/>
          <w:iCs w:val="1"/>
          <w:sz w:val="22"/>
          <w:szCs w:val="22"/>
          <w:rtl w:val="0"/>
          <w:lang w:val="it-IT"/>
        </w:rPr>
        <w:t>31 gennaio 2017</w:t>
      </w:r>
    </w:p>
    <w:p>
      <w:pPr>
        <w:pStyle w:val="Normal"/>
        <w:widowControl w:val="0"/>
        <w:tabs>
          <w:tab w:val="left" w:pos="220"/>
          <w:tab w:val="left" w:pos="720"/>
        </w:tabs>
        <w:ind w:left="567" w:right="284" w:firstLine="0"/>
        <w:jc w:val="both"/>
        <w:rPr>
          <w:rFonts w:ascii="Book Antiqua" w:cs="Book Antiqua" w:hAnsi="Book Antiqua" w:eastAsia="Book Antiqua"/>
          <w:sz w:val="22"/>
          <w:szCs w:val="22"/>
        </w:rPr>
      </w:pPr>
      <w:r>
        <w:rPr>
          <w:rFonts w:ascii="Book Antiqua"/>
          <w:sz w:val="22"/>
          <w:szCs w:val="22"/>
          <w:rtl w:val="0"/>
          <w:lang w:val="it-IT"/>
        </w:rPr>
        <w:t>Audizione dell'assessora alla sostenibilit</w:t>
      </w:r>
      <w:r>
        <w:rPr>
          <w:rFonts w:hAnsi="Book Antiqua" w:hint="default"/>
          <w:sz w:val="22"/>
          <w:szCs w:val="22"/>
          <w:rtl w:val="0"/>
          <w:lang w:val="it-IT"/>
        </w:rPr>
        <w:t xml:space="preserve">à </w:t>
      </w:r>
      <w:r>
        <w:rPr>
          <w:rFonts w:ascii="Book Antiqua"/>
          <w:sz w:val="22"/>
          <w:szCs w:val="22"/>
          <w:rtl w:val="0"/>
          <w:lang w:val="it-IT"/>
        </w:rPr>
        <w:t>ambientale di Roma Capitale, Giuseppina Montanari, dell'assessore alla riorganizzazione delle societ</w:t>
      </w:r>
      <w:r>
        <w:rPr>
          <w:rFonts w:hAnsi="Book Antiqua" w:hint="default"/>
          <w:sz w:val="22"/>
          <w:szCs w:val="22"/>
          <w:rtl w:val="0"/>
          <w:lang w:val="it-IT"/>
        </w:rPr>
        <w:t xml:space="preserve">à </w:t>
      </w:r>
      <w:r>
        <w:rPr>
          <w:rFonts w:ascii="Book Antiqua"/>
          <w:sz w:val="22"/>
          <w:szCs w:val="22"/>
          <w:rtl w:val="0"/>
          <w:lang w:val="it-IT"/>
        </w:rPr>
        <w:t>partecipate di Roma Capitale, Massimo Colomban, di Antonella Giglio, amministratore unico di AMA spa, di Stefano Bina, direttore generale di AMA spa, di Mariella Maffini, in servizio presso l'assessorato alla sostenibilit</w:t>
      </w:r>
      <w:r>
        <w:rPr>
          <w:rFonts w:hAnsi="Book Antiqua" w:hint="default"/>
          <w:sz w:val="22"/>
          <w:szCs w:val="22"/>
          <w:rtl w:val="0"/>
          <w:lang w:val="it-IT"/>
        </w:rPr>
        <w:t xml:space="preserve">à </w:t>
      </w:r>
      <w:r>
        <w:rPr>
          <w:rFonts w:ascii="Book Antiqua"/>
          <w:sz w:val="22"/>
          <w:szCs w:val="22"/>
          <w:rtl w:val="0"/>
          <w:lang w:val="it-IT"/>
        </w:rPr>
        <w:t>ambientale di Roma Capitale, di Stefano Cicerani, in servizio presso l'assessorato alla sostenibilit</w:t>
      </w:r>
      <w:r>
        <w:rPr>
          <w:rFonts w:hAnsi="Book Antiqua" w:hint="default"/>
          <w:sz w:val="22"/>
          <w:szCs w:val="22"/>
          <w:rtl w:val="0"/>
          <w:lang w:val="it-IT"/>
        </w:rPr>
        <w:t xml:space="preserve">à </w:t>
      </w:r>
      <w:r>
        <w:rPr>
          <w:rFonts w:ascii="Book Antiqua"/>
          <w:sz w:val="22"/>
          <w:szCs w:val="22"/>
          <w:rtl w:val="0"/>
          <w:lang w:val="it-IT"/>
        </w:rPr>
        <w:t>ambientale di Roma Capitale, e di Isidoro Bonf</w:t>
      </w:r>
      <w:r>
        <w:rPr>
          <w:rFonts w:hAnsi="Book Antiqua" w:hint="default"/>
          <w:sz w:val="22"/>
          <w:szCs w:val="22"/>
          <w:rtl w:val="0"/>
          <w:lang w:val="it-IT"/>
        </w:rPr>
        <w:t>à</w:t>
      </w:r>
      <w:r>
        <w:rPr>
          <w:rFonts w:ascii="Book Antiqua"/>
          <w:sz w:val="22"/>
          <w:szCs w:val="22"/>
          <w:rtl w:val="0"/>
          <w:lang w:val="it-IT"/>
        </w:rPr>
        <w:t>, in servizio presso il dipartimento tutela ambientale area rifiuti di Roma Capitale</w:t>
      </w:r>
    </w:p>
    <w:p>
      <w:pPr>
        <w:pStyle w:val="Normal"/>
        <w:ind w:left="567" w:right="284" w:firstLine="0"/>
        <w:jc w:val="both"/>
        <w:rPr>
          <w:rFonts w:ascii="Book Antiqua" w:cs="Book Antiqua" w:hAnsi="Book Antiqua" w:eastAsia="Book Antiqua"/>
          <w:sz w:val="22"/>
          <w:szCs w:val="22"/>
        </w:rPr>
      </w:pPr>
    </w:p>
    <w:p>
      <w:pPr>
        <w:pStyle w:val="Normal"/>
        <w:widowControl w:val="0"/>
        <w:ind w:left="567" w:right="284" w:firstLine="0"/>
        <w:jc w:val="both"/>
        <w:rPr>
          <w:rFonts w:ascii="Book Antiqua" w:cs="Book Antiqua" w:hAnsi="Book Antiqua" w:eastAsia="Book Antiqua"/>
          <w:sz w:val="22"/>
          <w:szCs w:val="22"/>
        </w:rPr>
      </w:pPr>
      <w:r>
        <w:rPr>
          <w:rFonts w:ascii="Book Antiqua"/>
          <w:i w:val="1"/>
          <w:iCs w:val="1"/>
          <w:sz w:val="22"/>
          <w:szCs w:val="22"/>
          <w:rtl w:val="0"/>
          <w:lang w:val="it-IT"/>
        </w:rPr>
        <w:t>mercoled</w:t>
      </w:r>
      <w:r>
        <w:rPr>
          <w:rFonts w:hAnsi="Book Antiqua" w:hint="default"/>
          <w:i w:val="1"/>
          <w:iCs w:val="1"/>
          <w:sz w:val="22"/>
          <w:szCs w:val="22"/>
          <w:rtl w:val="0"/>
          <w:lang w:val="it-IT"/>
        </w:rPr>
        <w:t xml:space="preserve">ì </w:t>
      </w:r>
      <w:r>
        <w:rPr>
          <w:rFonts w:ascii="Book Antiqua"/>
          <w:i w:val="1"/>
          <w:iCs w:val="1"/>
          <w:sz w:val="22"/>
          <w:szCs w:val="22"/>
          <w:rtl w:val="0"/>
          <w:lang w:val="it-IT"/>
        </w:rPr>
        <w:t>01 febbraio 2017</w:t>
      </w:r>
    </w:p>
    <w:p>
      <w:pPr>
        <w:pStyle w:val="Normal"/>
        <w:ind w:left="567" w:right="284" w:firstLine="0"/>
        <w:jc w:val="both"/>
        <w:rPr>
          <w:rFonts w:ascii="Book Antiqua" w:cs="Book Antiqua" w:hAnsi="Book Antiqua" w:eastAsia="Book Antiqua"/>
          <w:sz w:val="22"/>
          <w:szCs w:val="22"/>
        </w:rPr>
      </w:pPr>
      <w:r>
        <w:rPr>
          <w:rFonts w:ascii="Book Antiqua"/>
          <w:sz w:val="22"/>
          <w:szCs w:val="22"/>
          <w:rtl w:val="0"/>
          <w:lang w:val="it-IT"/>
        </w:rPr>
        <w:t>Audizione dell'assessore all'ambiente e ai rifiuti della regione Lazio, Mauro Buschini, di Flaminia Tosini, dirigente area ciclo integrato dei rifiuti della regione Lazio, e di Eugenio Maria Monaco, responsabile bonifica dei siti inquinati della regione Lazio</w:t>
      </w:r>
    </w:p>
    <w:p>
      <w:pPr>
        <w:pStyle w:val="Normal"/>
        <w:ind w:left="567" w:right="284" w:firstLine="0"/>
        <w:jc w:val="both"/>
        <w:rPr>
          <w:rFonts w:ascii="Book Antiqua" w:cs="Book Antiqua" w:hAnsi="Book Antiqua" w:eastAsia="Book Antiqua"/>
          <w:sz w:val="22"/>
          <w:szCs w:val="22"/>
        </w:rPr>
      </w:pPr>
    </w:p>
    <w:p>
      <w:pPr>
        <w:pStyle w:val="Normal"/>
        <w:widowControl w:val="0"/>
        <w:ind w:left="567" w:right="284" w:firstLine="0"/>
        <w:jc w:val="both"/>
        <w:rPr>
          <w:rFonts w:ascii="Book Antiqua" w:cs="Book Antiqua" w:hAnsi="Book Antiqua" w:eastAsia="Book Antiqua"/>
          <w:sz w:val="22"/>
          <w:szCs w:val="22"/>
        </w:rPr>
      </w:pPr>
      <w:r>
        <w:rPr>
          <w:rFonts w:ascii="Book Antiqua"/>
          <w:i w:val="1"/>
          <w:iCs w:val="1"/>
          <w:sz w:val="22"/>
          <w:szCs w:val="22"/>
          <w:rtl w:val="0"/>
          <w:lang w:val="it-IT"/>
        </w:rPr>
        <w:t>marted</w:t>
      </w:r>
      <w:r>
        <w:rPr>
          <w:rFonts w:hAnsi="Book Antiqua" w:hint="default"/>
          <w:i w:val="1"/>
          <w:iCs w:val="1"/>
          <w:sz w:val="22"/>
          <w:szCs w:val="22"/>
          <w:rtl w:val="0"/>
          <w:lang w:val="it-IT"/>
        </w:rPr>
        <w:t xml:space="preserve">ì </w:t>
      </w:r>
      <w:r>
        <w:rPr>
          <w:rFonts w:ascii="Book Antiqua"/>
          <w:i w:val="1"/>
          <w:iCs w:val="1"/>
          <w:sz w:val="22"/>
          <w:szCs w:val="22"/>
          <w:rtl w:val="0"/>
          <w:lang w:val="it-IT"/>
        </w:rPr>
        <w:t>07 febbraio 2017</w:t>
      </w:r>
    </w:p>
    <w:p>
      <w:pPr>
        <w:pStyle w:val="Normal"/>
        <w:widowControl w:val="0"/>
        <w:tabs>
          <w:tab w:val="left" w:pos="220"/>
          <w:tab w:val="left" w:pos="720"/>
        </w:tabs>
        <w:ind w:left="567" w:right="284" w:firstLine="0"/>
        <w:jc w:val="both"/>
        <w:rPr>
          <w:rFonts w:ascii="Book Antiqua" w:cs="Book Antiqua" w:hAnsi="Book Antiqua" w:eastAsia="Book Antiqua"/>
          <w:sz w:val="22"/>
          <w:szCs w:val="22"/>
        </w:rPr>
      </w:pPr>
      <w:r>
        <w:rPr>
          <w:rFonts w:ascii="Book Antiqua"/>
          <w:sz w:val="22"/>
          <w:szCs w:val="22"/>
          <w:rtl w:val="0"/>
          <w:lang w:val="it-IT"/>
        </w:rPr>
        <w:t>Audizione del comandante del nucleo operativo ecologico (N.O.E.) di Roma, capitano Marco Cavallo. Audizione del comandante regionale Lazio della Guardia di finanza, generale Bruno Buratti</w:t>
      </w:r>
    </w:p>
    <w:p>
      <w:pPr>
        <w:pStyle w:val="Normal"/>
        <w:ind w:left="567" w:right="284" w:firstLine="0"/>
        <w:jc w:val="both"/>
        <w:rPr>
          <w:rFonts w:ascii="Book Antiqua" w:cs="Book Antiqua" w:hAnsi="Book Antiqua" w:eastAsia="Book Antiqua"/>
          <w:sz w:val="22"/>
          <w:szCs w:val="22"/>
        </w:rPr>
      </w:pPr>
    </w:p>
    <w:p>
      <w:pPr>
        <w:pStyle w:val="Normal"/>
        <w:widowControl w:val="0"/>
        <w:ind w:left="567" w:right="284" w:firstLine="0"/>
        <w:jc w:val="both"/>
        <w:rPr>
          <w:rFonts w:ascii="Book Antiqua" w:cs="Book Antiqua" w:hAnsi="Book Antiqua" w:eastAsia="Book Antiqua"/>
          <w:sz w:val="22"/>
          <w:szCs w:val="22"/>
        </w:rPr>
      </w:pPr>
      <w:r>
        <w:rPr>
          <w:rFonts w:ascii="Book Antiqua"/>
          <w:i w:val="1"/>
          <w:iCs w:val="1"/>
          <w:sz w:val="22"/>
          <w:szCs w:val="22"/>
          <w:rtl w:val="0"/>
          <w:lang w:val="it-IT"/>
        </w:rPr>
        <w:t>luned</w:t>
      </w:r>
      <w:r>
        <w:rPr>
          <w:rFonts w:hAnsi="Book Antiqua" w:hint="default"/>
          <w:i w:val="1"/>
          <w:iCs w:val="1"/>
          <w:sz w:val="22"/>
          <w:szCs w:val="22"/>
          <w:rtl w:val="0"/>
          <w:lang w:val="it-IT"/>
        </w:rPr>
        <w:t xml:space="preserve">ì </w:t>
      </w:r>
      <w:r>
        <w:rPr>
          <w:rFonts w:ascii="Book Antiqua"/>
          <w:i w:val="1"/>
          <w:iCs w:val="1"/>
          <w:sz w:val="22"/>
          <w:szCs w:val="22"/>
          <w:rtl w:val="0"/>
          <w:lang w:val="it-IT"/>
        </w:rPr>
        <w:t>20 febbraio 2017</w:t>
      </w:r>
    </w:p>
    <w:p>
      <w:pPr>
        <w:pStyle w:val="Normal"/>
        <w:widowControl w:val="0"/>
        <w:tabs>
          <w:tab w:val="left" w:pos="220"/>
          <w:tab w:val="left" w:pos="720"/>
        </w:tabs>
        <w:ind w:left="567" w:right="284" w:firstLine="0"/>
        <w:jc w:val="both"/>
        <w:rPr>
          <w:rFonts w:ascii="Book Antiqua" w:cs="Book Antiqua" w:hAnsi="Book Antiqua" w:eastAsia="Book Antiqua"/>
          <w:sz w:val="22"/>
          <w:szCs w:val="22"/>
        </w:rPr>
      </w:pPr>
      <w:r>
        <w:rPr>
          <w:rFonts w:ascii="Book Antiqua"/>
          <w:sz w:val="22"/>
          <w:szCs w:val="22"/>
          <w:rtl w:val="0"/>
          <w:lang w:val="it-IT"/>
        </w:rPr>
        <w:t>Audizione del prefetto di Latina, Pierluigi Faloni, e di Giuseppe De Matteis, questore di Latina. Audizione del prefetto di Rieti, Valter Crudo</w:t>
      </w:r>
    </w:p>
    <w:p>
      <w:pPr>
        <w:pStyle w:val="Normal"/>
        <w:widowControl w:val="0"/>
        <w:tabs>
          <w:tab w:val="left" w:pos="220"/>
          <w:tab w:val="left" w:pos="720"/>
        </w:tabs>
        <w:ind w:left="567" w:right="284" w:firstLine="0"/>
        <w:jc w:val="both"/>
        <w:rPr>
          <w:rFonts w:ascii="Book Antiqua" w:cs="Book Antiqua" w:hAnsi="Book Antiqua" w:eastAsia="Book Antiqua"/>
          <w:sz w:val="22"/>
          <w:szCs w:val="22"/>
        </w:rPr>
      </w:pPr>
      <w:r>
        <w:rPr>
          <w:rFonts w:ascii="Book Antiqua"/>
          <w:sz w:val="22"/>
          <w:szCs w:val="22"/>
          <w:rtl w:val="0"/>
          <w:lang w:val="it-IT"/>
        </w:rPr>
        <w:t>Audizione di Salvatore Grillo, viceprefetto di Viterbo, e di Immacolata Amalfitano, dirigente della prefettura di Viterbo. Audizione del prefetto di Frosinone, Emilia Zarrilli</w:t>
      </w:r>
    </w:p>
    <w:p>
      <w:pPr>
        <w:pStyle w:val="Normal"/>
        <w:ind w:left="567" w:right="284" w:firstLine="0"/>
        <w:jc w:val="both"/>
        <w:rPr>
          <w:rFonts w:ascii="Book Antiqua" w:cs="Book Antiqua" w:hAnsi="Book Antiqua" w:eastAsia="Book Antiqua"/>
          <w:sz w:val="22"/>
          <w:szCs w:val="22"/>
        </w:rPr>
      </w:pPr>
    </w:p>
    <w:tbl>
      <w:tblPr>
        <w:tblW w:w="8789" w:type="dxa"/>
        <w:jc w:val="left"/>
        <w:tblInd w:w="783" w:type="dxa"/>
        <w:tblBorders>
          <w:top w:val="single" w:color="000000" w:sz="2" w:space="0" w:shadow="0" w:frame="0"/>
          <w:left w:val="single" w:color="000000" w:sz="2" w:space="0" w:shadow="0" w:frame="0"/>
          <w:bottom w:val="single" w:color="000000" w:sz="2" w:space="0" w:shadow="0" w:frame="0"/>
          <w:right w:val="single" w:color="000000" w:sz="2" w:space="0" w:shadow="0" w:frame="0"/>
          <w:insideH w:val="single" w:color="000000" w:sz="2" w:space="0" w:shadow="0" w:frame="0"/>
          <w:insideV w:val="single" w:color="000000" w:sz="2" w:space="0" w:shadow="0" w:frame="0"/>
        </w:tblBorders>
        <w:shd w:val="clear" w:color="auto" w:fill="auto"/>
        <w:tblLayout w:type="fixed"/>
      </w:tblPr>
      <w:tblGrid>
        <w:gridCol w:w="2127"/>
        <w:gridCol w:w="6662"/>
      </w:tblGrid>
      <w:tr>
        <w:tblPrEx>
          <w:shd w:val="clear" w:color="auto" w:fill="auto"/>
        </w:tblPrEx>
        <w:trPr>
          <w:trHeight w:val="2420" w:hRule="atLeast"/>
        </w:trPr>
        <w:tc>
          <w:tcPr>
            <w:tcW w:type="dxa" w:w="2127"/>
            <w:tcBorders>
              <w:top w:val="single" w:color="cacaca" w:sz="8" w:space="0" w:shadow="0" w:frame="0"/>
              <w:left w:val="single" w:color="cacaca" w:sz="8" w:space="0" w:shadow="0" w:frame="0"/>
              <w:bottom w:val="single" w:color="cacaca" w:sz="8" w:space="0" w:shadow="0" w:frame="0"/>
              <w:right w:val="single" w:color="cacaca" w:sz="8" w:space="0" w:shadow="0" w:frame="0"/>
            </w:tcBorders>
            <w:shd w:val="clear" w:color="auto" w:fill="auto"/>
            <w:tcMar>
              <w:top w:type="dxa" w:w="80"/>
              <w:left w:type="dxa" w:w="80"/>
              <w:bottom w:type="dxa" w:w="80"/>
              <w:right w:type="dxa" w:w="364"/>
            </w:tcMar>
            <w:vAlign w:val="top"/>
          </w:tcPr>
          <w:p>
            <w:pPr>
              <w:pStyle w:val="Normal"/>
              <w:widowControl w:val="0"/>
              <w:ind w:left="567" w:right="284"/>
              <w:jc w:val="both"/>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rtl w:val="0"/>
                <w:lang w:val="it-IT"/>
              </w:rPr>
            </w:pPr>
            <w:r>
              <w:rPr>
                <w:rFonts w:ascii="Book Antiqua"/>
                <w:caps w:val="0"/>
                <w:smallCaps w:val="0"/>
                <w:strike w:val="0"/>
                <w:dstrike w:val="0"/>
                <w:outline w:val="0"/>
                <w:color w:val="000000"/>
                <w:spacing w:val="0"/>
                <w:kern w:val="0"/>
                <w:position w:val="0"/>
                <w:sz w:val="20"/>
                <w:szCs w:val="20"/>
                <w:u w:val="none" w:color="000000"/>
                <w:vertAlign w:val="baseline"/>
                <w:rtl w:val="0"/>
                <w:lang w:val="it-IT"/>
              </w:rPr>
              <w:t>Roma</w:t>
            </w:r>
          </w:p>
          <w:p>
            <w:pPr>
              <w:pStyle w:val="Normal"/>
              <w:widowControl w:val="0"/>
              <w:ind w:left="567" w:right="284"/>
              <w:jc w:val="both"/>
            </w:pPr>
            <w:r>
              <w:rPr>
                <w:rFonts w:ascii="Book Antiqua"/>
                <w:caps w:val="0"/>
                <w:smallCaps w:val="0"/>
                <w:strike w:val="0"/>
                <w:dstrike w:val="0"/>
                <w:outline w:val="0"/>
                <w:color w:val="000000"/>
                <w:spacing w:val="0"/>
                <w:kern w:val="0"/>
                <w:position w:val="0"/>
                <w:sz w:val="20"/>
                <w:szCs w:val="20"/>
                <w:u w:val="none" w:color="000000"/>
                <w:vertAlign w:val="baseline"/>
                <w:rtl w:val="0"/>
                <w:lang w:val="it-IT"/>
              </w:rPr>
              <w:t>21 febbraio 2017</w:t>
            </w:r>
          </w:p>
        </w:tc>
        <w:tc>
          <w:tcPr>
            <w:tcW w:type="dxa" w:w="6662"/>
            <w:tcBorders>
              <w:top w:val="single" w:color="cacaca" w:sz="8" w:space="0" w:shadow="0" w:frame="0"/>
              <w:left w:val="single" w:color="cacaca" w:sz="8" w:space="0" w:shadow="0" w:frame="0"/>
              <w:bottom w:val="single" w:color="cacaca" w:sz="8" w:space="0" w:shadow="0" w:frame="0"/>
              <w:right w:val="single" w:color="cacaca" w:sz="8" w:space="0" w:shadow="0" w:frame="0"/>
            </w:tcBorders>
            <w:shd w:val="clear" w:color="auto" w:fill="auto"/>
            <w:tcMar>
              <w:top w:type="dxa" w:w="80"/>
              <w:left w:type="dxa" w:w="80"/>
              <w:bottom w:type="dxa" w:w="80"/>
              <w:right w:type="dxa" w:w="364"/>
            </w:tcMar>
            <w:vAlign w:val="top"/>
          </w:tcPr>
          <w:p>
            <w:pPr>
              <w:pStyle w:val="Normal"/>
              <w:widowControl w:val="0"/>
              <w:numPr>
                <w:ilvl w:val="0"/>
                <w:numId w:val="188"/>
              </w:numPr>
              <w:tabs>
                <w:tab w:val="left" w:pos="220"/>
                <w:tab w:val="num" w:pos="751"/>
                <w:tab w:val="clear" w:pos="567"/>
              </w:tabs>
              <w:ind w:left="598" w:right="284" w:hanging="31"/>
              <w:jc w:val="both"/>
              <w:rPr>
                <w:rFonts w:ascii="Book Antiqua" w:cs="Book Antiqua" w:hAnsi="Book Antiqua" w:eastAsia="Book Antiqua"/>
                <w:caps w:val="0"/>
                <w:smallCaps w:val="0"/>
                <w:strike w:val="0"/>
                <w:dstrike w:val="0"/>
                <w:outline w:val="0"/>
                <w:color w:val="000000"/>
                <w:spacing w:val="0"/>
                <w:kern w:val="0"/>
                <w:position w:val="0"/>
                <w:sz w:val="24"/>
                <w:szCs w:val="24"/>
                <w:u w:val="none" w:color="000000"/>
                <w:vertAlign w:val="baseline"/>
                <w:rtl w:val="0"/>
                <w:lang w:val="it-IT"/>
              </w:rPr>
            </w:pPr>
            <w:hyperlink r:id="rId80" w:history="1">
              <w:r>
                <w:rPr>
                  <w:rStyle w:val="Hyperlink.5"/>
                  <w:rFonts w:ascii="Book Antiqua"/>
                  <w:caps w:val="0"/>
                  <w:smallCaps w:val="0"/>
                  <w:strike w:val="0"/>
                  <w:dstrike w:val="0"/>
                  <w:outline w:val="0"/>
                  <w:color w:val="000000"/>
                  <w:spacing w:val="0"/>
                  <w:kern w:val="0"/>
                  <w:position w:val="0"/>
                  <w:sz w:val="20"/>
                  <w:szCs w:val="20"/>
                  <w:u w:val="none" w:color="000000"/>
                  <w:vertAlign w:val="baseline"/>
                  <w:rtl w:val="0"/>
                  <w:lang w:val="it-IT"/>
                </w:rPr>
                <w:t>Audizione del direttore generale di ARPA Lazio, Marco Lupo.</w:t>
              </w:r>
            </w:hyperlink>
          </w:p>
          <w:p>
            <w:pPr>
              <w:pStyle w:val="Normal"/>
              <w:widowControl w:val="0"/>
              <w:numPr>
                <w:ilvl w:val="0"/>
                <w:numId w:val="189"/>
              </w:numPr>
              <w:tabs>
                <w:tab w:val="left" w:pos="220"/>
                <w:tab w:val="num" w:pos="751"/>
                <w:tab w:val="clear" w:pos="567"/>
              </w:tabs>
              <w:bidi w:val="0"/>
              <w:ind w:left="598" w:right="284" w:hanging="31"/>
              <w:jc w:val="both"/>
              <w:rPr>
                <w:rFonts w:ascii="Book Antiqua" w:cs="Book Antiqua" w:hAnsi="Book Antiqua" w:eastAsia="Book Antiqua"/>
                <w:i w:val="1"/>
                <w:iCs w:val="1"/>
                <w:caps w:val="0"/>
                <w:smallCaps w:val="0"/>
                <w:strike w:val="0"/>
                <w:dstrike w:val="0"/>
                <w:outline w:val="0"/>
                <w:color w:val="404040"/>
                <w:spacing w:val="0"/>
                <w:kern w:val="0"/>
                <w:position w:val="0"/>
                <w:sz w:val="24"/>
                <w:szCs w:val="24"/>
                <w:u w:val="none" w:color="404040"/>
                <w:vertAlign w:val="baseline"/>
                <w:rtl w:val="0"/>
                <w:lang w:val="it-IT"/>
              </w:rPr>
            </w:pPr>
            <w:hyperlink r:id="rId81" w:history="1">
              <w:r>
                <w:rPr>
                  <w:rStyle w:val="Hyperlink.5"/>
                  <w:rFonts w:ascii="Book Antiqua"/>
                  <w:i w:val="0"/>
                  <w:iCs w:val="0"/>
                  <w:caps w:val="0"/>
                  <w:smallCaps w:val="0"/>
                  <w:strike w:val="0"/>
                  <w:dstrike w:val="0"/>
                  <w:outline w:val="0"/>
                  <w:color w:val="000000"/>
                  <w:spacing w:val="0"/>
                  <w:kern w:val="0"/>
                  <w:position w:val="0"/>
                  <w:sz w:val="20"/>
                  <w:szCs w:val="20"/>
                  <w:u w:val="none" w:color="000000"/>
                  <w:vertAlign w:val="baseline"/>
                  <w:rtl w:val="0"/>
                  <w:lang w:val="it-IT"/>
                </w:rPr>
                <w:t>Audizione del procuratore della Repubblica di Latina, Andrea De Gasperis.</w:t>
              </w:r>
            </w:hyperlink>
          </w:p>
          <w:p>
            <w:pPr>
              <w:pStyle w:val="Normal"/>
              <w:widowControl w:val="0"/>
              <w:numPr>
                <w:ilvl w:val="0"/>
                <w:numId w:val="190"/>
              </w:numPr>
              <w:tabs>
                <w:tab w:val="left" w:pos="220"/>
                <w:tab w:val="num" w:pos="751"/>
                <w:tab w:val="clear" w:pos="567"/>
              </w:tabs>
              <w:bidi w:val="0"/>
              <w:ind w:left="598" w:right="284" w:hanging="31"/>
              <w:jc w:val="both"/>
              <w:rPr>
                <w:rFonts w:ascii="Book Antiqua" w:cs="Book Antiqua" w:hAnsi="Book Antiqua" w:eastAsia="Book Antiqua"/>
                <w:caps w:val="0"/>
                <w:smallCaps w:val="0"/>
                <w:strike w:val="0"/>
                <w:dstrike w:val="0"/>
                <w:outline w:val="0"/>
                <w:color w:val="000000"/>
                <w:spacing w:val="0"/>
                <w:kern w:val="0"/>
                <w:position w:val="0"/>
                <w:sz w:val="24"/>
                <w:szCs w:val="24"/>
                <w:u w:val="none" w:color="000000"/>
                <w:vertAlign w:val="baseline"/>
                <w:rtl w:val="0"/>
                <w:lang w:val="it-IT"/>
              </w:rPr>
            </w:pPr>
            <w:hyperlink r:id="rId82" w:history="1">
              <w:r>
                <w:rPr>
                  <w:rStyle w:val="Hyperlink.5"/>
                  <w:rFonts w:ascii="Book Antiqua"/>
                  <w:caps w:val="0"/>
                  <w:smallCaps w:val="0"/>
                  <w:strike w:val="0"/>
                  <w:dstrike w:val="0"/>
                  <w:outline w:val="0"/>
                  <w:color w:val="000000"/>
                  <w:spacing w:val="0"/>
                  <w:kern w:val="0"/>
                  <w:position w:val="0"/>
                  <w:sz w:val="20"/>
                  <w:szCs w:val="20"/>
                  <w:u w:val="none" w:color="000000"/>
                  <w:vertAlign w:val="baseline"/>
                  <w:rtl w:val="0"/>
                  <w:lang w:val="it-IT"/>
                </w:rPr>
                <w:t>Audizione del sostituto procuratore della Repubblica di Viterbo, Massimiliano Siddi.</w:t>
              </w:r>
            </w:hyperlink>
          </w:p>
          <w:p>
            <w:pPr>
              <w:pStyle w:val="Normal"/>
              <w:widowControl w:val="0"/>
              <w:numPr>
                <w:ilvl w:val="0"/>
                <w:numId w:val="191"/>
              </w:numPr>
              <w:tabs>
                <w:tab w:val="left" w:pos="220"/>
                <w:tab w:val="num" w:pos="751"/>
                <w:tab w:val="clear" w:pos="567"/>
              </w:tabs>
              <w:bidi w:val="0"/>
              <w:ind w:left="598" w:right="284" w:hanging="31"/>
              <w:jc w:val="both"/>
              <w:rPr>
                <w:rFonts w:ascii="Book Antiqua" w:cs="Book Antiqua" w:hAnsi="Book Antiqua" w:eastAsia="Book Antiqua"/>
                <w:caps w:val="0"/>
                <w:smallCaps w:val="0"/>
                <w:strike w:val="0"/>
                <w:dstrike w:val="0"/>
                <w:outline w:val="0"/>
                <w:color w:val="000000"/>
                <w:spacing w:val="0"/>
                <w:kern w:val="0"/>
                <w:position w:val="0"/>
                <w:sz w:val="24"/>
                <w:szCs w:val="24"/>
                <w:u w:val="none" w:color="000000"/>
                <w:vertAlign w:val="baseline"/>
                <w:rtl w:val="0"/>
                <w:lang w:val="it-IT"/>
              </w:rPr>
            </w:pPr>
            <w:hyperlink r:id="rId83" w:history="1">
              <w:r>
                <w:rPr>
                  <w:rStyle w:val="Hyperlink.5"/>
                  <w:rFonts w:ascii="Book Antiqua"/>
                  <w:caps w:val="0"/>
                  <w:smallCaps w:val="0"/>
                  <w:strike w:val="0"/>
                  <w:dstrike w:val="0"/>
                  <w:outline w:val="0"/>
                  <w:color w:val="000000"/>
                  <w:spacing w:val="0"/>
                  <w:kern w:val="0"/>
                  <w:position w:val="0"/>
                  <w:sz w:val="20"/>
                  <w:szCs w:val="20"/>
                  <w:u w:val="none" w:color="000000"/>
                  <w:vertAlign w:val="baseline"/>
                  <w:rtl w:val="0"/>
                  <w:lang w:val="it-IT"/>
                </w:rPr>
                <w:t>Audizione del procuratore della Repubblica di Frosinone, Giuseppe De Falco.</w:t>
              </w:r>
            </w:hyperlink>
          </w:p>
          <w:p>
            <w:pPr>
              <w:pStyle w:val="Normal"/>
              <w:widowControl w:val="0"/>
              <w:numPr>
                <w:ilvl w:val="0"/>
                <w:numId w:val="192"/>
              </w:numPr>
              <w:tabs>
                <w:tab w:val="left" w:pos="220"/>
                <w:tab w:val="num" w:pos="751"/>
                <w:tab w:val="clear" w:pos="567"/>
              </w:tabs>
              <w:bidi w:val="0"/>
              <w:ind w:left="598" w:right="284" w:hanging="31"/>
              <w:jc w:val="both"/>
              <w:rPr>
                <w:rFonts w:ascii="Book Antiqua" w:cs="Book Antiqua" w:hAnsi="Book Antiqua" w:eastAsia="Book Antiqua"/>
                <w:caps w:val="0"/>
                <w:smallCaps w:val="0"/>
                <w:strike w:val="0"/>
                <w:dstrike w:val="0"/>
                <w:outline w:val="0"/>
                <w:color w:val="000000"/>
                <w:spacing w:val="0"/>
                <w:kern w:val="0"/>
                <w:position w:val="0"/>
                <w:sz w:val="24"/>
                <w:szCs w:val="24"/>
                <w:u w:val="none" w:color="000000"/>
                <w:vertAlign w:val="baseline"/>
                <w:rtl w:val="0"/>
                <w:lang w:val="it-IT"/>
              </w:rPr>
            </w:pPr>
            <w:hyperlink r:id="rId84" w:history="1">
              <w:r>
                <w:rPr>
                  <w:rStyle w:val="Hyperlink.5"/>
                  <w:rFonts w:ascii="Book Antiqua"/>
                  <w:caps w:val="0"/>
                  <w:smallCaps w:val="0"/>
                  <w:strike w:val="0"/>
                  <w:dstrike w:val="0"/>
                  <w:outline w:val="0"/>
                  <w:color w:val="000000"/>
                  <w:spacing w:val="0"/>
                  <w:kern w:val="0"/>
                  <w:position w:val="0"/>
                  <w:sz w:val="20"/>
                  <w:szCs w:val="20"/>
                  <w:u w:val="none" w:color="000000"/>
                  <w:vertAlign w:val="baseline"/>
                  <w:rtl w:val="0"/>
                  <w:lang w:val="it-IT"/>
                </w:rPr>
                <w:t>Audizione del sindaco di Frosinone, Nicola Ottaviani.</w:t>
              </w:r>
            </w:hyperlink>
          </w:p>
          <w:p>
            <w:pPr>
              <w:pStyle w:val="Normal"/>
              <w:widowControl w:val="0"/>
              <w:numPr>
                <w:ilvl w:val="0"/>
                <w:numId w:val="193"/>
              </w:numPr>
              <w:tabs>
                <w:tab w:val="left" w:pos="220"/>
                <w:tab w:val="num" w:pos="751"/>
                <w:tab w:val="clear" w:pos="567"/>
              </w:tabs>
              <w:bidi w:val="0"/>
              <w:ind w:left="598" w:right="284" w:hanging="31"/>
              <w:jc w:val="both"/>
              <w:rPr>
                <w:rFonts w:ascii="Book Antiqua" w:cs="Book Antiqua" w:hAnsi="Book Antiqua" w:eastAsia="Book Antiqua"/>
                <w:position w:val="0"/>
                <w:sz w:val="24"/>
                <w:szCs w:val="24"/>
                <w:rtl w:val="0"/>
              </w:rPr>
            </w:pPr>
            <w:hyperlink r:id="rId85" w:history="1">
              <w:r>
                <w:rPr>
                  <w:rStyle w:val="Hyperlink.5"/>
                  <w:rFonts w:ascii="Book Antiqua"/>
                  <w:caps w:val="0"/>
                  <w:smallCaps w:val="0"/>
                  <w:strike w:val="0"/>
                  <w:dstrike w:val="0"/>
                  <w:outline w:val="0"/>
                  <w:color w:val="000000"/>
                  <w:spacing w:val="0"/>
                  <w:kern w:val="0"/>
                  <w:position w:val="0"/>
                  <w:sz w:val="20"/>
                  <w:szCs w:val="20"/>
                  <w:u w:val="none" w:color="000000"/>
                  <w:vertAlign w:val="baseline"/>
                  <w:rtl w:val="0"/>
                  <w:lang w:val="it-IT"/>
                </w:rPr>
                <w:t>Audizione del sindaco di Viterbo, Leonardo Michelini.</w:t>
              </w:r>
            </w:hyperlink>
          </w:p>
        </w:tc>
      </w:tr>
    </w:tbl>
    <w:p>
      <w:pPr>
        <w:pStyle w:val="Normal"/>
        <w:ind w:left="675" w:right="284" w:hanging="108"/>
        <w:jc w:val="both"/>
        <w:rPr>
          <w:rFonts w:ascii="Book Antiqua" w:cs="Book Antiqua" w:hAnsi="Book Antiqua" w:eastAsia="Book Antiqua"/>
          <w:sz w:val="22"/>
          <w:szCs w:val="22"/>
        </w:rPr>
      </w:pPr>
    </w:p>
    <w:p>
      <w:pPr>
        <w:pStyle w:val="Normal"/>
        <w:widowControl w:val="0"/>
        <w:ind w:left="567" w:right="284" w:firstLine="0"/>
        <w:jc w:val="both"/>
        <w:rPr>
          <w:rFonts w:ascii="Book Antiqua" w:cs="Book Antiqua" w:hAnsi="Book Antiqua" w:eastAsia="Book Antiqua"/>
          <w:i w:val="1"/>
          <w:iCs w:val="1"/>
          <w:sz w:val="22"/>
          <w:szCs w:val="22"/>
        </w:rPr>
      </w:pPr>
    </w:p>
    <w:p>
      <w:pPr>
        <w:pStyle w:val="Normal"/>
        <w:widowControl w:val="0"/>
        <w:ind w:left="567" w:right="284" w:firstLine="0"/>
        <w:jc w:val="both"/>
        <w:rPr>
          <w:rFonts w:ascii="Book Antiqua" w:cs="Book Antiqua" w:hAnsi="Book Antiqua" w:eastAsia="Book Antiqua"/>
          <w:sz w:val="22"/>
          <w:szCs w:val="22"/>
        </w:rPr>
      </w:pPr>
      <w:r>
        <w:rPr>
          <w:rFonts w:ascii="Book Antiqua"/>
          <w:i w:val="1"/>
          <w:iCs w:val="1"/>
          <w:sz w:val="22"/>
          <w:szCs w:val="22"/>
          <w:rtl w:val="0"/>
          <w:lang w:val="it-IT"/>
        </w:rPr>
        <w:t>mercoled</w:t>
      </w:r>
      <w:r>
        <w:rPr>
          <w:rFonts w:hAnsi="Book Antiqua" w:hint="default"/>
          <w:i w:val="1"/>
          <w:iCs w:val="1"/>
          <w:sz w:val="22"/>
          <w:szCs w:val="22"/>
          <w:rtl w:val="0"/>
          <w:lang w:val="it-IT"/>
        </w:rPr>
        <w:t xml:space="preserve">ì </w:t>
      </w:r>
      <w:r>
        <w:rPr>
          <w:rFonts w:ascii="Book Antiqua"/>
          <w:i w:val="1"/>
          <w:iCs w:val="1"/>
          <w:sz w:val="22"/>
          <w:szCs w:val="22"/>
          <w:rtl w:val="0"/>
          <w:lang w:val="it-IT"/>
        </w:rPr>
        <w:t>22 febbraio 2017</w:t>
      </w:r>
    </w:p>
    <w:p>
      <w:pPr>
        <w:pStyle w:val="Normal"/>
        <w:widowControl w:val="0"/>
        <w:tabs>
          <w:tab w:val="left" w:pos="220"/>
          <w:tab w:val="left" w:pos="720"/>
        </w:tabs>
        <w:ind w:left="567" w:right="284" w:firstLine="0"/>
        <w:jc w:val="both"/>
        <w:rPr>
          <w:rFonts w:ascii="Book Antiqua" w:cs="Book Antiqua" w:hAnsi="Book Antiqua" w:eastAsia="Book Antiqua"/>
          <w:sz w:val="22"/>
          <w:szCs w:val="22"/>
        </w:rPr>
      </w:pPr>
      <w:r>
        <w:rPr>
          <w:rFonts w:ascii="Book Antiqua"/>
          <w:sz w:val="22"/>
          <w:szCs w:val="22"/>
          <w:rtl w:val="0"/>
          <w:lang w:val="it-IT"/>
        </w:rPr>
        <w:t>Audizioni del sindaco di Latina, Damiano Coletta, e di Roberto Lessio, assessore all'ambiente del comune di Latina. Audizioni del sindaco di Rieti, Simone Petrangeli</w:t>
      </w:r>
    </w:p>
    <w:p>
      <w:pPr>
        <w:pStyle w:val="Normal"/>
        <w:ind w:left="567" w:right="284" w:firstLine="0"/>
        <w:jc w:val="both"/>
        <w:rPr>
          <w:rFonts w:ascii="Book Antiqua" w:cs="Book Antiqua" w:hAnsi="Book Antiqua" w:eastAsia="Book Antiqua"/>
          <w:sz w:val="22"/>
          <w:szCs w:val="22"/>
        </w:rPr>
      </w:pPr>
    </w:p>
    <w:p>
      <w:pPr>
        <w:pStyle w:val="Normal"/>
        <w:widowControl w:val="0"/>
        <w:ind w:left="567" w:right="284" w:firstLine="0"/>
        <w:jc w:val="both"/>
        <w:rPr>
          <w:rFonts w:ascii="Book Antiqua" w:cs="Book Antiqua" w:hAnsi="Book Antiqua" w:eastAsia="Book Antiqua"/>
          <w:sz w:val="22"/>
          <w:szCs w:val="22"/>
        </w:rPr>
      </w:pPr>
      <w:r>
        <w:rPr>
          <w:rFonts w:ascii="Book Antiqua"/>
          <w:i w:val="1"/>
          <w:iCs w:val="1"/>
          <w:sz w:val="22"/>
          <w:szCs w:val="22"/>
          <w:rtl w:val="0"/>
          <w:lang w:val="it-IT"/>
        </w:rPr>
        <w:t>luned</w:t>
      </w:r>
      <w:r>
        <w:rPr>
          <w:rFonts w:hAnsi="Book Antiqua" w:hint="default"/>
          <w:i w:val="1"/>
          <w:iCs w:val="1"/>
          <w:sz w:val="22"/>
          <w:szCs w:val="22"/>
          <w:rtl w:val="0"/>
          <w:lang w:val="it-IT"/>
        </w:rPr>
        <w:t xml:space="preserve">ì </w:t>
      </w:r>
      <w:r>
        <w:rPr>
          <w:rFonts w:ascii="Book Antiqua"/>
          <w:i w:val="1"/>
          <w:iCs w:val="1"/>
          <w:sz w:val="22"/>
          <w:szCs w:val="22"/>
          <w:rtl w:val="0"/>
          <w:lang w:val="it-IT"/>
        </w:rPr>
        <w:t>06 marzo 2017</w:t>
      </w:r>
    </w:p>
    <w:p>
      <w:pPr>
        <w:pStyle w:val="Normal"/>
        <w:ind w:left="567" w:right="284" w:firstLine="0"/>
        <w:jc w:val="both"/>
        <w:rPr>
          <w:rFonts w:ascii="Book Antiqua" w:cs="Book Antiqua" w:hAnsi="Book Antiqua" w:eastAsia="Book Antiqua"/>
          <w:sz w:val="22"/>
          <w:szCs w:val="22"/>
        </w:rPr>
      </w:pPr>
      <w:r>
        <w:rPr>
          <w:rFonts w:ascii="Book Antiqua"/>
          <w:sz w:val="22"/>
          <w:szCs w:val="22"/>
          <w:rtl w:val="0"/>
          <w:lang w:val="it-IT"/>
        </w:rPr>
        <w:t>Audizione del procuratore della Repubblica presso il tribunale di Rieti, Giuseppe Saieva</w:t>
      </w:r>
    </w:p>
    <w:p>
      <w:pPr>
        <w:pStyle w:val="Normal"/>
        <w:ind w:left="567" w:right="284" w:firstLine="0"/>
        <w:jc w:val="both"/>
        <w:rPr>
          <w:rFonts w:ascii="Book Antiqua" w:cs="Book Antiqua" w:hAnsi="Book Antiqua" w:eastAsia="Book Antiqua"/>
          <w:sz w:val="22"/>
          <w:szCs w:val="22"/>
        </w:rPr>
      </w:pPr>
    </w:p>
    <w:p>
      <w:pPr>
        <w:pStyle w:val="Normal"/>
        <w:widowControl w:val="0"/>
        <w:ind w:left="567" w:right="284" w:firstLine="0"/>
        <w:jc w:val="both"/>
        <w:rPr>
          <w:rFonts w:ascii="Book Antiqua" w:cs="Book Antiqua" w:hAnsi="Book Antiqua" w:eastAsia="Book Antiqua"/>
          <w:sz w:val="22"/>
          <w:szCs w:val="22"/>
        </w:rPr>
      </w:pPr>
      <w:r>
        <w:rPr>
          <w:rFonts w:ascii="Book Antiqua"/>
          <w:i w:val="1"/>
          <w:iCs w:val="1"/>
          <w:sz w:val="22"/>
          <w:szCs w:val="22"/>
          <w:rtl w:val="0"/>
          <w:lang w:val="it-IT"/>
        </w:rPr>
        <w:t>mercoled</w:t>
      </w:r>
      <w:r>
        <w:rPr>
          <w:rFonts w:hAnsi="Book Antiqua" w:hint="default"/>
          <w:i w:val="1"/>
          <w:iCs w:val="1"/>
          <w:sz w:val="22"/>
          <w:szCs w:val="22"/>
          <w:rtl w:val="0"/>
          <w:lang w:val="it-IT"/>
        </w:rPr>
        <w:t xml:space="preserve">ì </w:t>
      </w:r>
      <w:r>
        <w:rPr>
          <w:rFonts w:ascii="Book Antiqua"/>
          <w:i w:val="1"/>
          <w:iCs w:val="1"/>
          <w:sz w:val="22"/>
          <w:szCs w:val="22"/>
          <w:rtl w:val="0"/>
          <w:lang w:val="it-IT"/>
        </w:rPr>
        <w:t>15 marzo 2017</w:t>
      </w:r>
    </w:p>
    <w:p>
      <w:pPr>
        <w:pStyle w:val="Normal"/>
        <w:ind w:left="567" w:right="284" w:firstLine="0"/>
        <w:jc w:val="both"/>
        <w:rPr>
          <w:rFonts w:ascii="Book Antiqua" w:cs="Book Antiqua" w:hAnsi="Book Antiqua" w:eastAsia="Book Antiqua"/>
          <w:sz w:val="22"/>
          <w:szCs w:val="22"/>
        </w:rPr>
      </w:pPr>
      <w:r>
        <w:rPr>
          <w:rFonts w:ascii="Book Antiqua"/>
          <w:sz w:val="22"/>
          <w:szCs w:val="22"/>
          <w:rtl w:val="0"/>
          <w:lang w:val="it-IT"/>
        </w:rPr>
        <w:t xml:space="preserve">Audizione dell'assessore ai rifiuti della regione Lazio, Mauro Buschini, di Flaminia Tosini, dirigente dell'area </w:t>
      </w:r>
      <w:r>
        <w:rPr>
          <w:rFonts w:hAnsi="Book Antiqua" w:hint="default"/>
          <w:sz w:val="22"/>
          <w:szCs w:val="22"/>
          <w:rtl w:val="0"/>
          <w:lang w:val="it-IT"/>
        </w:rPr>
        <w:t>«</w:t>
      </w:r>
      <w:r>
        <w:rPr>
          <w:rFonts w:ascii="Book Antiqua"/>
          <w:sz w:val="22"/>
          <w:szCs w:val="22"/>
          <w:rtl w:val="0"/>
          <w:lang w:val="it-IT"/>
        </w:rPr>
        <w:t>ciclo integrato dei rifiuti</w:t>
      </w:r>
      <w:r>
        <w:rPr>
          <w:rFonts w:hAnsi="Book Antiqua" w:hint="default"/>
          <w:sz w:val="22"/>
          <w:szCs w:val="22"/>
          <w:rtl w:val="0"/>
          <w:lang w:val="it-IT"/>
        </w:rPr>
        <w:t xml:space="preserve">» </w:t>
      </w:r>
      <w:r>
        <w:rPr>
          <w:rFonts w:ascii="Book Antiqua"/>
          <w:sz w:val="22"/>
          <w:szCs w:val="22"/>
          <w:rtl w:val="0"/>
          <w:lang w:val="it-IT"/>
        </w:rPr>
        <w:t xml:space="preserve">della regione Lazio, e di Eugenio Maria Monaco, responsabile </w:t>
      </w:r>
      <w:r>
        <w:rPr>
          <w:rFonts w:hAnsi="Book Antiqua" w:hint="default"/>
          <w:sz w:val="22"/>
          <w:szCs w:val="22"/>
          <w:rtl w:val="0"/>
          <w:lang w:val="it-IT"/>
        </w:rPr>
        <w:t>«</w:t>
      </w:r>
      <w:r>
        <w:rPr>
          <w:rFonts w:ascii="Book Antiqua"/>
          <w:sz w:val="22"/>
          <w:szCs w:val="22"/>
          <w:rtl w:val="0"/>
          <w:lang w:val="it-IT"/>
        </w:rPr>
        <w:t>bonifica dei siti inquinati</w:t>
      </w:r>
      <w:r>
        <w:rPr>
          <w:rFonts w:hAnsi="Book Antiqua" w:hint="default"/>
          <w:sz w:val="22"/>
          <w:szCs w:val="22"/>
          <w:rtl w:val="0"/>
          <w:lang w:val="it-IT"/>
        </w:rPr>
        <w:t xml:space="preserve">» </w:t>
      </w:r>
      <w:r>
        <w:rPr>
          <w:rFonts w:ascii="Book Antiqua"/>
          <w:sz w:val="22"/>
          <w:szCs w:val="22"/>
          <w:rtl w:val="0"/>
          <w:lang w:val="it-IT"/>
        </w:rPr>
        <w:t>della regione Lazio</w:t>
      </w:r>
    </w:p>
    <w:p>
      <w:pPr>
        <w:pStyle w:val="Normal"/>
        <w:ind w:left="567" w:right="284" w:firstLine="0"/>
        <w:jc w:val="both"/>
        <w:rPr>
          <w:rFonts w:ascii="Book Antiqua" w:cs="Book Antiqua" w:hAnsi="Book Antiqua" w:eastAsia="Book Antiqua"/>
          <w:sz w:val="22"/>
          <w:szCs w:val="22"/>
        </w:rPr>
      </w:pPr>
    </w:p>
    <w:p>
      <w:pPr>
        <w:pStyle w:val="Normal"/>
        <w:widowControl w:val="0"/>
        <w:ind w:left="567" w:right="284" w:firstLine="0"/>
        <w:jc w:val="both"/>
        <w:rPr>
          <w:rFonts w:ascii="Book Antiqua" w:cs="Book Antiqua" w:hAnsi="Book Antiqua" w:eastAsia="Book Antiqua"/>
          <w:sz w:val="22"/>
          <w:szCs w:val="22"/>
        </w:rPr>
      </w:pPr>
      <w:r>
        <w:rPr>
          <w:rFonts w:ascii="Book Antiqua"/>
          <w:i w:val="1"/>
          <w:iCs w:val="1"/>
          <w:sz w:val="22"/>
          <w:szCs w:val="22"/>
          <w:rtl w:val="0"/>
          <w:lang w:val="it-IT"/>
        </w:rPr>
        <w:t>mercoled</w:t>
      </w:r>
      <w:r>
        <w:rPr>
          <w:rFonts w:hAnsi="Book Antiqua" w:hint="default"/>
          <w:i w:val="1"/>
          <w:iCs w:val="1"/>
          <w:sz w:val="22"/>
          <w:szCs w:val="22"/>
          <w:rtl w:val="0"/>
          <w:lang w:val="it-IT"/>
        </w:rPr>
        <w:t xml:space="preserve">ì </w:t>
      </w:r>
      <w:r>
        <w:rPr>
          <w:rFonts w:ascii="Book Antiqua"/>
          <w:i w:val="1"/>
          <w:iCs w:val="1"/>
          <w:sz w:val="22"/>
          <w:szCs w:val="22"/>
          <w:rtl w:val="0"/>
          <w:lang w:val="it-IT"/>
        </w:rPr>
        <w:t>24 maggio 2017</w:t>
      </w:r>
    </w:p>
    <w:p>
      <w:pPr>
        <w:pStyle w:val="Normal"/>
        <w:widowControl w:val="0"/>
        <w:tabs>
          <w:tab w:val="left" w:pos="220"/>
          <w:tab w:val="left" w:pos="720"/>
        </w:tabs>
        <w:ind w:left="567" w:right="284" w:firstLine="0"/>
        <w:jc w:val="both"/>
        <w:rPr>
          <w:rFonts w:ascii="Book Antiqua" w:cs="Book Antiqua" w:hAnsi="Book Antiqua" w:eastAsia="Book Antiqua"/>
          <w:sz w:val="22"/>
          <w:szCs w:val="22"/>
        </w:rPr>
      </w:pPr>
      <w:r>
        <w:rPr>
          <w:rFonts w:ascii="Book Antiqua"/>
          <w:sz w:val="22"/>
          <w:szCs w:val="22"/>
          <w:rtl w:val="0"/>
          <w:lang w:val="it-IT"/>
        </w:rPr>
        <w:t>Audizione del direttore generale di ARPA Lazio, Marco Lupo</w:t>
      </w:r>
    </w:p>
    <w:p>
      <w:pPr>
        <w:pStyle w:val="Normal"/>
        <w:ind w:left="567" w:right="284" w:firstLine="0"/>
        <w:jc w:val="both"/>
        <w:rPr>
          <w:rFonts w:ascii="Book Antiqua" w:cs="Book Antiqua" w:hAnsi="Book Antiqua" w:eastAsia="Book Antiqua"/>
          <w:sz w:val="22"/>
          <w:szCs w:val="22"/>
        </w:rPr>
      </w:pPr>
      <w:r>
        <w:rPr>
          <w:rFonts w:ascii="Book Antiqua"/>
          <w:sz w:val="22"/>
          <w:szCs w:val="22"/>
          <w:rtl w:val="0"/>
          <w:lang w:val="it-IT"/>
        </w:rPr>
        <w:t>Audizione del procuratore della Repubblica presso il tribunale di Velletri, Francesco Prete, di Luigi Paoletti, sostituto procuratore della Repubblica presso il tribunale di Velletri, e di Marco Cavallo, capitano del NOE di Roma</w:t>
      </w:r>
    </w:p>
    <w:p>
      <w:pPr>
        <w:pStyle w:val="Normal"/>
        <w:ind w:left="567" w:right="284" w:firstLine="0"/>
        <w:jc w:val="both"/>
        <w:rPr>
          <w:rFonts w:ascii="Book Antiqua" w:cs="Book Antiqua" w:hAnsi="Book Antiqua" w:eastAsia="Book Antiqua"/>
          <w:sz w:val="22"/>
          <w:szCs w:val="22"/>
        </w:rPr>
      </w:pPr>
    </w:p>
    <w:p>
      <w:pPr>
        <w:pStyle w:val="Normal"/>
        <w:widowControl w:val="0"/>
        <w:ind w:left="567" w:right="284" w:firstLine="0"/>
        <w:jc w:val="both"/>
        <w:rPr>
          <w:rFonts w:ascii="Book Antiqua" w:cs="Book Antiqua" w:hAnsi="Book Antiqua" w:eastAsia="Book Antiqua"/>
          <w:sz w:val="22"/>
          <w:szCs w:val="22"/>
        </w:rPr>
      </w:pPr>
      <w:r>
        <w:rPr>
          <w:rFonts w:ascii="Book Antiqua"/>
          <w:i w:val="1"/>
          <w:iCs w:val="1"/>
          <w:sz w:val="22"/>
          <w:szCs w:val="22"/>
          <w:rtl w:val="0"/>
          <w:lang w:val="it-IT"/>
        </w:rPr>
        <w:t>marted</w:t>
      </w:r>
      <w:r>
        <w:rPr>
          <w:rFonts w:hAnsi="Book Antiqua" w:hint="default"/>
          <w:i w:val="1"/>
          <w:iCs w:val="1"/>
          <w:sz w:val="22"/>
          <w:szCs w:val="22"/>
          <w:rtl w:val="0"/>
          <w:lang w:val="it-IT"/>
        </w:rPr>
        <w:t xml:space="preserve">ì </w:t>
      </w:r>
      <w:r>
        <w:rPr>
          <w:rFonts w:ascii="Book Antiqua"/>
          <w:i w:val="1"/>
          <w:iCs w:val="1"/>
          <w:sz w:val="22"/>
          <w:szCs w:val="22"/>
          <w:rtl w:val="0"/>
          <w:lang w:val="it-IT"/>
        </w:rPr>
        <w:t>30 maggio 2017</w:t>
      </w:r>
    </w:p>
    <w:p>
      <w:pPr>
        <w:pStyle w:val="Normal"/>
        <w:ind w:left="567" w:right="284" w:firstLine="0"/>
        <w:jc w:val="both"/>
        <w:rPr>
          <w:rFonts w:ascii="Book Antiqua" w:cs="Book Antiqua" w:hAnsi="Book Antiqua" w:eastAsia="Book Antiqua"/>
          <w:sz w:val="22"/>
          <w:szCs w:val="22"/>
        </w:rPr>
      </w:pPr>
      <w:r>
        <w:rPr>
          <w:rFonts w:ascii="Book Antiqua"/>
          <w:sz w:val="22"/>
          <w:szCs w:val="22"/>
          <w:rtl w:val="0"/>
          <w:lang w:val="it-IT"/>
        </w:rPr>
        <w:t>Audizione del procuratore della Repubblica presso il tribunale di Roma, Giuseppe Pignatone, di Nunzia D'Elia, procuratore della Repubblica aggiunto presso il tribunale di Roma, di Michele Prestipino Giarritta, procuratore della Repubblica aggiunto presso il tribunale di Roma, e di Alberto Galanti, sostituto procuratore della Repubblica presso il tribunale di Roma</w:t>
      </w:r>
    </w:p>
    <w:p>
      <w:pPr>
        <w:pStyle w:val="Normal"/>
        <w:ind w:left="567" w:right="284" w:firstLine="0"/>
        <w:jc w:val="both"/>
        <w:rPr>
          <w:rFonts w:ascii="Book Antiqua" w:cs="Book Antiqua" w:hAnsi="Book Antiqua" w:eastAsia="Book Antiqua"/>
          <w:sz w:val="22"/>
          <w:szCs w:val="22"/>
        </w:rPr>
      </w:pPr>
    </w:p>
    <w:p>
      <w:pPr>
        <w:pStyle w:val="Normal"/>
        <w:widowControl w:val="0"/>
        <w:ind w:left="567" w:right="284" w:firstLine="0"/>
        <w:jc w:val="both"/>
        <w:rPr>
          <w:rFonts w:ascii="Book Antiqua" w:cs="Book Antiqua" w:hAnsi="Book Antiqua" w:eastAsia="Book Antiqua"/>
          <w:sz w:val="22"/>
          <w:szCs w:val="22"/>
        </w:rPr>
      </w:pPr>
      <w:r>
        <w:rPr>
          <w:rFonts w:ascii="Book Antiqua"/>
          <w:i w:val="1"/>
          <w:iCs w:val="1"/>
          <w:sz w:val="22"/>
          <w:szCs w:val="22"/>
          <w:rtl w:val="0"/>
          <w:lang w:val="it-IT"/>
        </w:rPr>
        <w:t>marted</w:t>
      </w:r>
      <w:r>
        <w:rPr>
          <w:rFonts w:hAnsi="Book Antiqua" w:hint="default"/>
          <w:i w:val="1"/>
          <w:iCs w:val="1"/>
          <w:sz w:val="22"/>
          <w:szCs w:val="22"/>
          <w:rtl w:val="0"/>
          <w:lang w:val="it-IT"/>
        </w:rPr>
        <w:t xml:space="preserve">ì </w:t>
      </w:r>
      <w:r>
        <w:rPr>
          <w:rFonts w:ascii="Book Antiqua"/>
          <w:i w:val="1"/>
          <w:iCs w:val="1"/>
          <w:sz w:val="22"/>
          <w:szCs w:val="22"/>
          <w:rtl w:val="0"/>
          <w:lang w:val="it-IT"/>
        </w:rPr>
        <w:t>06 giugno 2017</w:t>
      </w:r>
    </w:p>
    <w:p>
      <w:pPr>
        <w:pStyle w:val="Normal"/>
        <w:ind w:left="567" w:right="284" w:firstLine="0"/>
        <w:jc w:val="both"/>
        <w:rPr>
          <w:rFonts w:ascii="Book Antiqua" w:cs="Book Antiqua" w:hAnsi="Book Antiqua" w:eastAsia="Book Antiqua"/>
          <w:sz w:val="22"/>
          <w:szCs w:val="22"/>
        </w:rPr>
      </w:pPr>
      <w:r>
        <w:rPr>
          <w:rFonts w:ascii="Book Antiqua"/>
          <w:sz w:val="22"/>
          <w:szCs w:val="22"/>
          <w:rtl w:val="0"/>
          <w:lang w:val="it-IT"/>
        </w:rPr>
        <w:t>Audizione di Demetrio Carini, direttore della Direzione regionale valutazioni ambientali e bonifiche della regione Lazio, di Mauro Lasagna, direttore della Direzione regionale risorse idriche, difesa del suolo e rifiuti della regione Lazio e di Eugenio Maria Monaco, funzionario area bonifiche regione Lazio</w:t>
      </w:r>
    </w:p>
    <w:p>
      <w:pPr>
        <w:pStyle w:val="Normal"/>
        <w:ind w:left="567" w:right="284" w:firstLine="0"/>
        <w:jc w:val="both"/>
        <w:rPr>
          <w:rFonts w:ascii="Book Antiqua" w:cs="Book Antiqua" w:hAnsi="Book Antiqua" w:eastAsia="Book Antiqua"/>
          <w:sz w:val="22"/>
          <w:szCs w:val="22"/>
        </w:rPr>
      </w:pPr>
    </w:p>
    <w:p>
      <w:pPr>
        <w:pStyle w:val="Normal"/>
        <w:widowControl w:val="0"/>
        <w:ind w:left="567" w:right="284" w:firstLine="0"/>
        <w:jc w:val="both"/>
        <w:rPr>
          <w:rFonts w:ascii="Book Antiqua" w:cs="Book Antiqua" w:hAnsi="Book Antiqua" w:eastAsia="Book Antiqua"/>
          <w:sz w:val="22"/>
          <w:szCs w:val="22"/>
        </w:rPr>
      </w:pPr>
      <w:r>
        <w:rPr>
          <w:rFonts w:ascii="Book Antiqua"/>
          <w:i w:val="1"/>
          <w:iCs w:val="1"/>
          <w:sz w:val="22"/>
          <w:szCs w:val="22"/>
          <w:rtl w:val="0"/>
          <w:lang w:val="it-IT"/>
        </w:rPr>
        <w:t>luned</w:t>
      </w:r>
      <w:r>
        <w:rPr>
          <w:rFonts w:hAnsi="Book Antiqua" w:hint="default"/>
          <w:i w:val="1"/>
          <w:iCs w:val="1"/>
          <w:sz w:val="22"/>
          <w:szCs w:val="22"/>
          <w:rtl w:val="0"/>
          <w:lang w:val="it-IT"/>
        </w:rPr>
        <w:t xml:space="preserve">ì </w:t>
      </w:r>
      <w:r>
        <w:rPr>
          <w:rFonts w:ascii="Book Antiqua"/>
          <w:i w:val="1"/>
          <w:iCs w:val="1"/>
          <w:sz w:val="22"/>
          <w:szCs w:val="22"/>
          <w:rtl w:val="0"/>
          <w:lang w:val="it-IT"/>
        </w:rPr>
        <w:t>19 giugno 2017</w:t>
      </w:r>
    </w:p>
    <w:p>
      <w:pPr>
        <w:pStyle w:val="Normal"/>
        <w:ind w:left="567" w:right="284" w:firstLine="0"/>
        <w:jc w:val="both"/>
        <w:rPr>
          <w:rFonts w:ascii="Book Antiqua" w:cs="Book Antiqua" w:hAnsi="Book Antiqua" w:eastAsia="Book Antiqua"/>
          <w:sz w:val="22"/>
          <w:szCs w:val="22"/>
        </w:rPr>
      </w:pPr>
      <w:r>
        <w:rPr>
          <w:rFonts w:ascii="Book Antiqua"/>
          <w:sz w:val="22"/>
          <w:szCs w:val="22"/>
          <w:rtl w:val="0"/>
          <w:lang w:val="it-IT"/>
        </w:rPr>
        <w:t>Audizione dell'amministratore straordinario dei TMB della societ</w:t>
      </w:r>
      <w:r>
        <w:rPr>
          <w:rFonts w:hAnsi="Book Antiqua" w:hint="default"/>
          <w:sz w:val="22"/>
          <w:szCs w:val="22"/>
          <w:rtl w:val="0"/>
          <w:lang w:val="it-IT"/>
        </w:rPr>
        <w:t xml:space="preserve">à </w:t>
      </w:r>
      <w:r>
        <w:rPr>
          <w:rFonts w:ascii="Book Antiqua"/>
          <w:sz w:val="22"/>
          <w:szCs w:val="22"/>
          <w:rtl w:val="0"/>
          <w:lang w:val="it-IT"/>
        </w:rPr>
        <w:t>E. Giovi e del Consorzio Colari, Luigi Palumbo</w:t>
      </w:r>
    </w:p>
    <w:p>
      <w:pPr>
        <w:pStyle w:val="Normal"/>
        <w:ind w:left="567" w:right="284" w:firstLine="0"/>
        <w:jc w:val="both"/>
        <w:rPr>
          <w:rFonts w:ascii="Book Antiqua" w:cs="Book Antiqua" w:hAnsi="Book Antiqua" w:eastAsia="Book Antiqua"/>
          <w:sz w:val="22"/>
          <w:szCs w:val="22"/>
        </w:rPr>
      </w:pPr>
    </w:p>
    <w:p>
      <w:pPr>
        <w:pStyle w:val="Normal"/>
        <w:widowControl w:val="0"/>
        <w:ind w:left="567" w:right="284" w:firstLine="0"/>
        <w:jc w:val="both"/>
        <w:rPr>
          <w:rFonts w:ascii="Book Antiqua" w:cs="Book Antiqua" w:hAnsi="Book Antiqua" w:eastAsia="Book Antiqua"/>
          <w:sz w:val="22"/>
          <w:szCs w:val="22"/>
        </w:rPr>
      </w:pPr>
      <w:r>
        <w:rPr>
          <w:rFonts w:ascii="Book Antiqua"/>
          <w:i w:val="1"/>
          <w:iCs w:val="1"/>
          <w:sz w:val="22"/>
          <w:szCs w:val="22"/>
          <w:rtl w:val="0"/>
          <w:lang w:val="it-IT"/>
        </w:rPr>
        <w:t>mercoled</w:t>
      </w:r>
      <w:r>
        <w:rPr>
          <w:rFonts w:hAnsi="Book Antiqua" w:hint="default"/>
          <w:i w:val="1"/>
          <w:iCs w:val="1"/>
          <w:sz w:val="22"/>
          <w:szCs w:val="22"/>
          <w:rtl w:val="0"/>
          <w:lang w:val="it-IT"/>
        </w:rPr>
        <w:t xml:space="preserve">ì </w:t>
      </w:r>
      <w:r>
        <w:rPr>
          <w:rFonts w:ascii="Book Antiqua"/>
          <w:i w:val="1"/>
          <w:iCs w:val="1"/>
          <w:sz w:val="22"/>
          <w:szCs w:val="22"/>
          <w:rtl w:val="0"/>
          <w:lang w:val="it-IT"/>
        </w:rPr>
        <w:t>28 giugno 2017</w:t>
      </w:r>
    </w:p>
    <w:p>
      <w:pPr>
        <w:pStyle w:val="Normal"/>
        <w:ind w:left="567" w:right="284" w:firstLine="0"/>
        <w:jc w:val="both"/>
        <w:rPr>
          <w:rFonts w:ascii="Book Antiqua" w:cs="Book Antiqua" w:hAnsi="Book Antiqua" w:eastAsia="Book Antiqua"/>
          <w:sz w:val="22"/>
          <w:szCs w:val="22"/>
        </w:rPr>
      </w:pPr>
      <w:r>
        <w:rPr>
          <w:rFonts w:ascii="Book Antiqua"/>
          <w:sz w:val="22"/>
          <w:szCs w:val="22"/>
          <w:rtl w:val="0"/>
          <w:lang w:val="it-IT"/>
        </w:rPr>
        <w:t>Audizione del Presidente e Amministratore delegato di AMA S.p.A., Lorenzo Bagnacani, di Andrea Masullo, consigliere di AMA S.p.A., e di Stefano Bina, direttore generale di AMA S.p.A.</w:t>
      </w:r>
    </w:p>
    <w:p>
      <w:pPr>
        <w:pStyle w:val="Normal"/>
        <w:ind w:left="567" w:right="284" w:firstLine="0"/>
        <w:jc w:val="both"/>
        <w:rPr>
          <w:rFonts w:ascii="Book Antiqua" w:cs="Book Antiqua" w:hAnsi="Book Antiqua" w:eastAsia="Book Antiqua"/>
          <w:sz w:val="22"/>
          <w:szCs w:val="22"/>
        </w:rPr>
      </w:pPr>
    </w:p>
    <w:p>
      <w:pPr>
        <w:pStyle w:val="Normal"/>
        <w:widowControl w:val="0"/>
        <w:ind w:left="567" w:right="284" w:firstLine="0"/>
        <w:jc w:val="both"/>
        <w:rPr>
          <w:rFonts w:ascii="Book Antiqua" w:cs="Book Antiqua" w:hAnsi="Book Antiqua" w:eastAsia="Book Antiqua"/>
          <w:sz w:val="22"/>
          <w:szCs w:val="22"/>
        </w:rPr>
      </w:pPr>
      <w:r>
        <w:rPr>
          <w:rFonts w:ascii="Book Antiqua"/>
          <w:i w:val="1"/>
          <w:iCs w:val="1"/>
          <w:sz w:val="22"/>
          <w:szCs w:val="22"/>
          <w:rtl w:val="0"/>
          <w:lang w:val="it-IT"/>
        </w:rPr>
        <w:t>mercoled</w:t>
      </w:r>
      <w:r>
        <w:rPr>
          <w:rFonts w:hAnsi="Book Antiqua" w:hint="default"/>
          <w:i w:val="1"/>
          <w:iCs w:val="1"/>
          <w:sz w:val="22"/>
          <w:szCs w:val="22"/>
          <w:rtl w:val="0"/>
          <w:lang w:val="it-IT"/>
        </w:rPr>
        <w:t xml:space="preserve">ì </w:t>
      </w:r>
      <w:r>
        <w:rPr>
          <w:rFonts w:ascii="Book Antiqua"/>
          <w:i w:val="1"/>
          <w:iCs w:val="1"/>
          <w:sz w:val="22"/>
          <w:szCs w:val="22"/>
          <w:rtl w:val="0"/>
          <w:lang w:val="it-IT"/>
        </w:rPr>
        <w:t>12 luglio 2017</w:t>
      </w:r>
    </w:p>
    <w:p>
      <w:pPr>
        <w:pStyle w:val="Normal"/>
        <w:ind w:left="567" w:right="284" w:firstLine="0"/>
        <w:jc w:val="both"/>
        <w:rPr>
          <w:rFonts w:ascii="Book Antiqua" w:cs="Book Antiqua" w:hAnsi="Book Antiqua" w:eastAsia="Book Antiqua"/>
          <w:sz w:val="22"/>
          <w:szCs w:val="22"/>
        </w:rPr>
      </w:pPr>
      <w:r>
        <w:rPr>
          <w:rFonts w:ascii="Book Antiqua"/>
          <w:sz w:val="22"/>
          <w:szCs w:val="22"/>
          <w:rtl w:val="0"/>
          <w:lang w:val="it-IT"/>
        </w:rPr>
        <w:t xml:space="preserve">Audizione del presidente della </w:t>
      </w:r>
      <w:r>
        <w:rPr>
          <w:rFonts w:hAnsi="Book Antiqua" w:hint="default"/>
          <w:sz w:val="22"/>
          <w:szCs w:val="22"/>
          <w:rtl w:val="0"/>
          <w:lang w:val="it-IT"/>
        </w:rPr>
        <w:t>«</w:t>
      </w:r>
      <w:r>
        <w:rPr>
          <w:rFonts w:ascii="Book Antiqua"/>
          <w:sz w:val="22"/>
          <w:szCs w:val="22"/>
          <w:rtl w:val="0"/>
          <w:lang w:val="it-IT"/>
        </w:rPr>
        <w:t>Associazione IV Municipio Case Rosse</w:t>
      </w:r>
      <w:r>
        <w:rPr>
          <w:rFonts w:hAnsi="Book Antiqua" w:hint="default"/>
          <w:sz w:val="22"/>
          <w:szCs w:val="22"/>
          <w:rtl w:val="0"/>
          <w:lang w:val="it-IT"/>
        </w:rPr>
        <w:t>»</w:t>
      </w:r>
      <w:r>
        <w:rPr>
          <w:rFonts w:ascii="Book Antiqua"/>
          <w:sz w:val="22"/>
          <w:szCs w:val="22"/>
          <w:rtl w:val="0"/>
          <w:lang w:val="it-IT"/>
        </w:rPr>
        <w:t>, Paolo Di Giovine, di Mauro Antonini, coordinamento associazioni Roma est, di Franco Pirina, presidente CAOP Ponte di Nona, e di Roland Greggio, presidente dell'associazione A.C. Mure a Dritta Settecamini</w:t>
      </w:r>
    </w:p>
    <w:p>
      <w:pPr>
        <w:pStyle w:val="Normal"/>
        <w:ind w:left="567" w:right="284" w:firstLine="0"/>
        <w:jc w:val="both"/>
        <w:rPr>
          <w:rFonts w:ascii="Book Antiqua" w:cs="Book Antiqua" w:hAnsi="Book Antiqua" w:eastAsia="Book Antiqua"/>
          <w:sz w:val="22"/>
          <w:szCs w:val="22"/>
        </w:rPr>
      </w:pPr>
    </w:p>
    <w:p>
      <w:pPr>
        <w:pStyle w:val="Normal"/>
        <w:widowControl w:val="0"/>
        <w:ind w:left="567" w:right="284" w:firstLine="0"/>
        <w:jc w:val="both"/>
        <w:rPr>
          <w:rFonts w:ascii="Book Antiqua" w:cs="Book Antiqua" w:hAnsi="Book Antiqua" w:eastAsia="Book Antiqua"/>
          <w:sz w:val="22"/>
          <w:szCs w:val="22"/>
        </w:rPr>
      </w:pPr>
      <w:r>
        <w:rPr>
          <w:rFonts w:ascii="Book Antiqua"/>
          <w:i w:val="1"/>
          <w:iCs w:val="1"/>
          <w:sz w:val="22"/>
          <w:szCs w:val="22"/>
          <w:rtl w:val="0"/>
          <w:lang w:val="it-IT"/>
        </w:rPr>
        <w:t>marted</w:t>
      </w:r>
      <w:r>
        <w:rPr>
          <w:rFonts w:hAnsi="Book Antiqua" w:hint="default"/>
          <w:i w:val="1"/>
          <w:iCs w:val="1"/>
          <w:sz w:val="22"/>
          <w:szCs w:val="22"/>
          <w:rtl w:val="0"/>
          <w:lang w:val="it-IT"/>
        </w:rPr>
        <w:t xml:space="preserve">ì </w:t>
      </w:r>
      <w:r>
        <w:rPr>
          <w:rFonts w:ascii="Book Antiqua"/>
          <w:i w:val="1"/>
          <w:iCs w:val="1"/>
          <w:sz w:val="22"/>
          <w:szCs w:val="22"/>
          <w:rtl w:val="0"/>
          <w:lang w:val="it-IT"/>
        </w:rPr>
        <w:t>1</w:t>
      </w:r>
      <w:r>
        <w:rPr>
          <w:rFonts w:hAnsi="Book Antiqua" w:hint="default"/>
          <w:i w:val="1"/>
          <w:iCs w:val="1"/>
          <w:sz w:val="22"/>
          <w:szCs w:val="22"/>
          <w:rtl w:val="0"/>
          <w:lang w:val="it-IT"/>
        </w:rPr>
        <w:t xml:space="preserve">° </w:t>
      </w:r>
      <w:r>
        <w:rPr>
          <w:rFonts w:ascii="Book Antiqua"/>
          <w:i w:val="1"/>
          <w:iCs w:val="1"/>
          <w:sz w:val="22"/>
          <w:szCs w:val="22"/>
          <w:rtl w:val="0"/>
          <w:lang w:val="it-IT"/>
        </w:rPr>
        <w:t>agosto 2017</w:t>
      </w:r>
    </w:p>
    <w:p>
      <w:pPr>
        <w:pStyle w:val="Normal"/>
        <w:ind w:left="567" w:right="284" w:firstLine="0"/>
        <w:jc w:val="both"/>
        <w:rPr>
          <w:rFonts w:ascii="Book Antiqua" w:cs="Book Antiqua" w:hAnsi="Book Antiqua" w:eastAsia="Book Antiqua"/>
          <w:sz w:val="22"/>
          <w:szCs w:val="22"/>
        </w:rPr>
      </w:pPr>
      <w:r>
        <w:rPr>
          <w:rFonts w:ascii="Book Antiqua"/>
          <w:sz w:val="22"/>
          <w:szCs w:val="22"/>
          <w:rtl w:val="0"/>
          <w:lang w:val="it-IT"/>
        </w:rPr>
        <w:t>Audizione del sindaco di Nettuno, Angelo Casto</w:t>
      </w:r>
    </w:p>
    <w:p>
      <w:pPr>
        <w:pStyle w:val="Normal"/>
        <w:ind w:left="567" w:right="284" w:firstLine="0"/>
        <w:jc w:val="both"/>
        <w:rPr>
          <w:rFonts w:ascii="Book Antiqua" w:cs="Book Antiqua" w:hAnsi="Book Antiqua" w:eastAsia="Book Antiqua"/>
          <w:sz w:val="22"/>
          <w:szCs w:val="22"/>
        </w:rPr>
      </w:pPr>
    </w:p>
    <w:p>
      <w:pPr>
        <w:pStyle w:val="Normal"/>
        <w:ind w:left="567" w:right="284" w:firstLine="0"/>
        <w:jc w:val="both"/>
        <w:rPr>
          <w:rFonts w:ascii="Book Antiqua" w:cs="Book Antiqua" w:hAnsi="Book Antiqua" w:eastAsia="Book Antiqua"/>
          <w:i w:val="1"/>
          <w:iCs w:val="1"/>
          <w:sz w:val="22"/>
          <w:szCs w:val="22"/>
        </w:rPr>
      </w:pPr>
      <w:r>
        <w:rPr>
          <w:rFonts w:ascii="Book Antiqua"/>
          <w:i w:val="1"/>
          <w:iCs w:val="1"/>
          <w:sz w:val="22"/>
          <w:szCs w:val="22"/>
          <w:rtl w:val="0"/>
          <w:lang w:val="it-IT"/>
        </w:rPr>
        <w:t>mercoled</w:t>
      </w:r>
      <w:r>
        <w:rPr>
          <w:rFonts w:hAnsi="Book Antiqua" w:hint="default"/>
          <w:i w:val="1"/>
          <w:iCs w:val="1"/>
          <w:sz w:val="22"/>
          <w:szCs w:val="22"/>
          <w:rtl w:val="0"/>
          <w:lang w:val="it-IT"/>
        </w:rPr>
        <w:t xml:space="preserve">ì </w:t>
      </w:r>
      <w:r>
        <w:rPr>
          <w:rFonts w:ascii="Book Antiqua"/>
          <w:i w:val="1"/>
          <w:iCs w:val="1"/>
          <w:sz w:val="22"/>
          <w:szCs w:val="22"/>
          <w:rtl w:val="0"/>
          <w:lang w:val="it-IT"/>
        </w:rPr>
        <w:t>4 ottobre 2017</w:t>
      </w:r>
    </w:p>
    <w:p>
      <w:pPr>
        <w:pStyle w:val="Normal"/>
        <w:ind w:left="567" w:right="284" w:firstLine="0"/>
        <w:jc w:val="both"/>
        <w:rPr>
          <w:rFonts w:ascii="Book Antiqua" w:cs="Book Antiqua" w:hAnsi="Book Antiqua" w:eastAsia="Book Antiqua"/>
          <w:sz w:val="22"/>
          <w:szCs w:val="22"/>
        </w:rPr>
      </w:pPr>
      <w:r>
        <w:rPr>
          <w:rFonts w:ascii="Book Antiqua"/>
          <w:sz w:val="22"/>
          <w:szCs w:val="22"/>
          <w:rtl w:val="0"/>
          <w:lang w:val="it-IT"/>
        </w:rPr>
        <w:t>Audizione del presidente dell'Autorit</w:t>
      </w:r>
      <w:r>
        <w:rPr>
          <w:rFonts w:hAnsi="Book Antiqua" w:hint="default"/>
          <w:sz w:val="22"/>
          <w:szCs w:val="22"/>
          <w:rtl w:val="0"/>
          <w:lang w:val="it-IT"/>
        </w:rPr>
        <w:t xml:space="preserve">à </w:t>
      </w:r>
      <w:r>
        <w:rPr>
          <w:rFonts w:ascii="Book Antiqua"/>
          <w:sz w:val="22"/>
          <w:szCs w:val="22"/>
          <w:rtl w:val="0"/>
          <w:lang w:val="it-IT"/>
        </w:rPr>
        <w:t>nazionale anticorruzione, Raffaele Cantone</w:t>
      </w:r>
    </w:p>
    <w:p>
      <w:pPr>
        <w:pStyle w:val="Normal"/>
        <w:ind w:left="567" w:right="284" w:firstLine="0"/>
        <w:jc w:val="both"/>
        <w:rPr>
          <w:rFonts w:ascii="Book Antiqua" w:cs="Book Antiqua" w:hAnsi="Book Antiqua" w:eastAsia="Book Antiqua"/>
          <w:sz w:val="22"/>
          <w:szCs w:val="22"/>
        </w:rPr>
      </w:pPr>
    </w:p>
    <w:p>
      <w:pPr>
        <w:pStyle w:val="Normal"/>
        <w:ind w:left="567" w:right="284" w:firstLine="0"/>
        <w:jc w:val="both"/>
        <w:rPr>
          <w:rFonts w:ascii="Book Antiqua" w:cs="Book Antiqua" w:hAnsi="Book Antiqua" w:eastAsia="Book Antiqua"/>
          <w:i w:val="1"/>
          <w:iCs w:val="1"/>
          <w:sz w:val="22"/>
          <w:szCs w:val="22"/>
        </w:rPr>
      </w:pPr>
      <w:r>
        <w:rPr>
          <w:rFonts w:ascii="Book Antiqua"/>
          <w:i w:val="1"/>
          <w:iCs w:val="1"/>
          <w:sz w:val="22"/>
          <w:szCs w:val="22"/>
          <w:rtl w:val="0"/>
          <w:lang w:val="it-IT"/>
        </w:rPr>
        <w:t>gioved</w:t>
      </w:r>
      <w:r>
        <w:rPr>
          <w:rFonts w:hAnsi="Book Antiqua" w:hint="default"/>
          <w:i w:val="1"/>
          <w:iCs w:val="1"/>
          <w:sz w:val="22"/>
          <w:szCs w:val="22"/>
          <w:rtl w:val="0"/>
          <w:lang w:val="it-IT"/>
        </w:rPr>
        <w:t xml:space="preserve">ì </w:t>
      </w:r>
      <w:r>
        <w:rPr>
          <w:rFonts w:ascii="Book Antiqua"/>
          <w:i w:val="1"/>
          <w:iCs w:val="1"/>
          <w:sz w:val="22"/>
          <w:szCs w:val="22"/>
          <w:rtl w:val="0"/>
          <w:lang w:val="it-IT"/>
        </w:rPr>
        <w:t>5 ottobre 2017</w:t>
      </w:r>
    </w:p>
    <w:p>
      <w:pPr>
        <w:pStyle w:val="Normal"/>
        <w:ind w:left="567" w:right="284" w:firstLine="0"/>
        <w:jc w:val="both"/>
        <w:rPr>
          <w:rFonts w:ascii="Book Antiqua" w:cs="Book Antiqua" w:hAnsi="Book Antiqua" w:eastAsia="Book Antiqua"/>
          <w:sz w:val="22"/>
          <w:szCs w:val="22"/>
        </w:rPr>
      </w:pPr>
      <w:r>
        <w:rPr>
          <w:rFonts w:ascii="Book Antiqua"/>
          <w:sz w:val="22"/>
          <w:szCs w:val="22"/>
          <w:rtl w:val="0"/>
          <w:lang w:val="it-IT"/>
        </w:rPr>
        <w:t xml:space="preserve">Audizione di Mauro Grotto, Presidente dell'Associazione industriale riciclatori auto </w:t>
      </w:r>
    </w:p>
    <w:p>
      <w:pPr>
        <w:pStyle w:val="Normal"/>
        <w:ind w:left="567" w:right="284" w:firstLine="0"/>
        <w:jc w:val="both"/>
        <w:rPr>
          <w:rFonts w:ascii="Book Antiqua" w:cs="Book Antiqua" w:hAnsi="Book Antiqua" w:eastAsia="Book Antiqua"/>
          <w:sz w:val="22"/>
          <w:szCs w:val="22"/>
        </w:rPr>
      </w:pPr>
      <w:r>
        <w:rPr>
          <w:rFonts w:ascii="Book Antiqua"/>
          <w:sz w:val="22"/>
          <w:szCs w:val="22"/>
          <w:rtl w:val="0"/>
          <w:lang w:val="it-IT"/>
        </w:rPr>
        <w:t>(AIRA), Angelo Colombo, Vicepresidente dell'AIRA, e Valerio Fiori, consigliere dell'AIRA.</w:t>
      </w:r>
    </w:p>
    <w:p>
      <w:pPr>
        <w:pStyle w:val="Normal"/>
        <w:ind w:left="567" w:right="284" w:firstLine="0"/>
        <w:jc w:val="both"/>
        <w:rPr>
          <w:rFonts w:ascii="Book Antiqua" w:cs="Book Antiqua" w:hAnsi="Book Antiqua" w:eastAsia="Book Antiqua"/>
          <w:sz w:val="22"/>
          <w:szCs w:val="22"/>
        </w:rPr>
      </w:pPr>
    </w:p>
    <w:p>
      <w:pPr>
        <w:pStyle w:val="Normal"/>
        <w:ind w:left="567" w:right="284" w:firstLine="0"/>
        <w:jc w:val="both"/>
        <w:rPr>
          <w:rFonts w:ascii="Book Antiqua" w:cs="Book Antiqua" w:hAnsi="Book Antiqua" w:eastAsia="Book Antiqua"/>
          <w:i w:val="1"/>
          <w:iCs w:val="1"/>
          <w:sz w:val="22"/>
          <w:szCs w:val="22"/>
        </w:rPr>
      </w:pPr>
      <w:r>
        <w:rPr>
          <w:rFonts w:ascii="Book Antiqua"/>
          <w:i w:val="1"/>
          <w:iCs w:val="1"/>
          <w:sz w:val="22"/>
          <w:szCs w:val="22"/>
          <w:rtl w:val="0"/>
          <w:lang w:val="it-IT"/>
        </w:rPr>
        <w:t>luned</w:t>
      </w:r>
      <w:r>
        <w:rPr>
          <w:rFonts w:hAnsi="Book Antiqua" w:hint="default"/>
          <w:i w:val="1"/>
          <w:iCs w:val="1"/>
          <w:sz w:val="22"/>
          <w:szCs w:val="22"/>
          <w:rtl w:val="0"/>
          <w:lang w:val="it-IT"/>
        </w:rPr>
        <w:t xml:space="preserve">ì </w:t>
      </w:r>
      <w:r>
        <w:rPr>
          <w:rFonts w:ascii="Book Antiqua"/>
          <w:i w:val="1"/>
          <w:iCs w:val="1"/>
          <w:sz w:val="22"/>
          <w:szCs w:val="22"/>
          <w:rtl w:val="0"/>
          <w:lang w:val="it-IT"/>
        </w:rPr>
        <w:t>16 ottobre 2017</w:t>
      </w:r>
    </w:p>
    <w:p>
      <w:pPr>
        <w:pStyle w:val="Normal"/>
        <w:ind w:left="567" w:right="284" w:firstLine="0"/>
        <w:jc w:val="both"/>
        <w:rPr>
          <w:rFonts w:ascii="Book Antiqua" w:cs="Book Antiqua" w:hAnsi="Book Antiqua" w:eastAsia="Book Antiqua"/>
          <w:sz w:val="22"/>
          <w:szCs w:val="22"/>
        </w:rPr>
      </w:pPr>
      <w:r>
        <w:rPr>
          <w:rFonts w:ascii="Book Antiqua"/>
          <w:sz w:val="22"/>
          <w:szCs w:val="22"/>
          <w:rtl w:val="0"/>
          <w:lang w:val="it-IT"/>
        </w:rPr>
        <w:t>Audizione del sindaco di Graffignano, Anselmo Uzzoletti e di Enrico Zibellini, consulente legale del comune di Graffignano</w:t>
      </w:r>
    </w:p>
    <w:p>
      <w:pPr>
        <w:pStyle w:val="Normal"/>
        <w:ind w:left="567" w:right="284" w:firstLine="0"/>
        <w:jc w:val="both"/>
        <w:rPr>
          <w:rFonts w:ascii="Book Antiqua" w:cs="Book Antiqua" w:hAnsi="Book Antiqua" w:eastAsia="Book Antiqua"/>
          <w:sz w:val="22"/>
          <w:szCs w:val="22"/>
        </w:rPr>
      </w:pPr>
    </w:p>
    <w:p>
      <w:pPr>
        <w:pStyle w:val="Normal"/>
        <w:ind w:left="567" w:right="284" w:firstLine="0"/>
        <w:jc w:val="both"/>
        <w:rPr>
          <w:rFonts w:ascii="Book Antiqua" w:cs="Book Antiqua" w:hAnsi="Book Antiqua" w:eastAsia="Book Antiqua"/>
          <w:i w:val="1"/>
          <w:iCs w:val="1"/>
          <w:sz w:val="22"/>
          <w:szCs w:val="22"/>
        </w:rPr>
      </w:pPr>
      <w:r>
        <w:rPr>
          <w:rFonts w:ascii="Book Antiqua"/>
          <w:i w:val="1"/>
          <w:iCs w:val="1"/>
          <w:sz w:val="22"/>
          <w:szCs w:val="22"/>
          <w:rtl w:val="0"/>
          <w:lang w:val="it-IT"/>
        </w:rPr>
        <w:t>marted</w:t>
      </w:r>
      <w:r>
        <w:rPr>
          <w:rFonts w:hAnsi="Book Antiqua" w:hint="default"/>
          <w:i w:val="1"/>
          <w:iCs w:val="1"/>
          <w:sz w:val="22"/>
          <w:szCs w:val="22"/>
          <w:rtl w:val="0"/>
          <w:lang w:val="it-IT"/>
        </w:rPr>
        <w:t xml:space="preserve">ì </w:t>
      </w:r>
      <w:r>
        <w:rPr>
          <w:rFonts w:ascii="Book Antiqua"/>
          <w:i w:val="1"/>
          <w:iCs w:val="1"/>
          <w:sz w:val="22"/>
          <w:szCs w:val="22"/>
          <w:rtl w:val="0"/>
          <w:lang w:val="it-IT"/>
        </w:rPr>
        <w:t>17 ottobre 2017</w:t>
      </w:r>
    </w:p>
    <w:p>
      <w:pPr>
        <w:pStyle w:val="Normal"/>
        <w:ind w:left="567" w:right="284" w:firstLine="0"/>
        <w:jc w:val="both"/>
        <w:rPr>
          <w:rFonts w:ascii="Book Antiqua" w:cs="Book Antiqua" w:hAnsi="Book Antiqua" w:eastAsia="Book Antiqua"/>
          <w:sz w:val="22"/>
          <w:szCs w:val="22"/>
        </w:rPr>
      </w:pPr>
      <w:r>
        <w:rPr>
          <w:rFonts w:ascii="Book Antiqua"/>
          <w:sz w:val="22"/>
          <w:szCs w:val="22"/>
          <w:rtl w:val="0"/>
          <w:lang w:val="it-IT"/>
        </w:rPr>
        <w:t>Audizione dell'assessora alla sostenibilit</w:t>
      </w:r>
      <w:r>
        <w:rPr>
          <w:rFonts w:hAnsi="Book Antiqua" w:hint="default"/>
          <w:sz w:val="22"/>
          <w:szCs w:val="22"/>
          <w:rtl w:val="0"/>
          <w:lang w:val="it-IT"/>
        </w:rPr>
        <w:t xml:space="preserve">à </w:t>
      </w:r>
      <w:r>
        <w:rPr>
          <w:rFonts w:ascii="Book Antiqua"/>
          <w:sz w:val="22"/>
          <w:szCs w:val="22"/>
          <w:rtl w:val="0"/>
          <w:lang w:val="it-IT"/>
        </w:rPr>
        <w:t>ambientale di Roma Capitale, Giuseppina Montanari</w:t>
      </w:r>
    </w:p>
    <w:p>
      <w:pPr>
        <w:pStyle w:val="Normal"/>
        <w:ind w:left="567" w:right="284" w:firstLine="0"/>
        <w:jc w:val="both"/>
        <w:rPr>
          <w:rFonts w:ascii="Book Antiqua" w:cs="Book Antiqua" w:hAnsi="Book Antiqua" w:eastAsia="Book Antiqua"/>
          <w:sz w:val="22"/>
          <w:szCs w:val="22"/>
        </w:rPr>
      </w:pPr>
    </w:p>
    <w:p>
      <w:pPr>
        <w:pStyle w:val="Normal"/>
        <w:ind w:left="567" w:right="284" w:firstLine="0"/>
        <w:jc w:val="both"/>
        <w:rPr>
          <w:rFonts w:ascii="Book Antiqua" w:cs="Book Antiqua" w:hAnsi="Book Antiqua" w:eastAsia="Book Antiqua"/>
          <w:i w:val="1"/>
          <w:iCs w:val="1"/>
          <w:sz w:val="22"/>
          <w:szCs w:val="22"/>
        </w:rPr>
      </w:pPr>
      <w:r>
        <w:rPr>
          <w:rFonts w:ascii="Book Antiqua"/>
          <w:i w:val="1"/>
          <w:iCs w:val="1"/>
          <w:sz w:val="22"/>
          <w:szCs w:val="22"/>
          <w:rtl w:val="0"/>
          <w:lang w:val="it-IT"/>
        </w:rPr>
        <w:t>marted</w:t>
      </w:r>
      <w:r>
        <w:rPr>
          <w:rFonts w:hAnsi="Book Antiqua" w:hint="default"/>
          <w:i w:val="1"/>
          <w:iCs w:val="1"/>
          <w:sz w:val="22"/>
          <w:szCs w:val="22"/>
          <w:rtl w:val="0"/>
          <w:lang w:val="it-IT"/>
        </w:rPr>
        <w:t xml:space="preserve">ì </w:t>
      </w:r>
      <w:r>
        <w:rPr>
          <w:rFonts w:ascii="Book Antiqua"/>
          <w:i w:val="1"/>
          <w:iCs w:val="1"/>
          <w:sz w:val="22"/>
          <w:szCs w:val="22"/>
          <w:rtl w:val="0"/>
          <w:lang w:val="it-IT"/>
        </w:rPr>
        <w:t>21 novembre 2017</w:t>
      </w:r>
    </w:p>
    <w:p>
      <w:pPr>
        <w:pStyle w:val="Normal"/>
        <w:ind w:left="567" w:right="284" w:firstLine="0"/>
        <w:jc w:val="both"/>
        <w:rPr>
          <w:rFonts w:ascii="Book Antiqua" w:cs="Book Antiqua" w:hAnsi="Book Antiqua" w:eastAsia="Book Antiqua"/>
          <w:sz w:val="22"/>
          <w:szCs w:val="22"/>
        </w:rPr>
      </w:pPr>
      <w:r>
        <w:rPr>
          <w:rFonts w:ascii="Book Antiqua"/>
          <w:sz w:val="22"/>
          <w:szCs w:val="22"/>
          <w:rtl w:val="0"/>
          <w:lang w:val="it-IT"/>
        </w:rPr>
        <w:t>Audizione del Presidente dell</w:t>
      </w:r>
      <w:r>
        <w:rPr>
          <w:rFonts w:hAnsi="Book Antiqua" w:hint="default"/>
          <w:sz w:val="22"/>
          <w:szCs w:val="22"/>
          <w:rtl w:val="0"/>
          <w:lang w:val="it-IT"/>
        </w:rPr>
        <w:t>’</w:t>
      </w:r>
      <w:r>
        <w:rPr>
          <w:rFonts w:ascii="Book Antiqua"/>
          <w:sz w:val="22"/>
          <w:szCs w:val="22"/>
          <w:rtl w:val="0"/>
          <w:lang w:val="it-IT"/>
        </w:rPr>
        <w:t xml:space="preserve">Associazione nazionale demolitori autoveicoli (A.D.A.), Rinaldo Ferrazzi; </w:t>
      </w:r>
    </w:p>
    <w:p>
      <w:pPr>
        <w:pStyle w:val="Normal"/>
        <w:ind w:left="567" w:right="284" w:firstLine="0"/>
        <w:jc w:val="both"/>
        <w:rPr>
          <w:rFonts w:ascii="Book Antiqua" w:cs="Book Antiqua" w:hAnsi="Book Antiqua" w:eastAsia="Book Antiqua"/>
          <w:sz w:val="22"/>
          <w:szCs w:val="22"/>
        </w:rPr>
      </w:pPr>
      <w:r>
        <w:rPr>
          <w:rFonts w:ascii="Book Antiqua"/>
          <w:sz w:val="22"/>
          <w:szCs w:val="22"/>
          <w:rtl w:val="0"/>
          <w:lang w:val="it-IT"/>
        </w:rPr>
        <w:t>audizione del presidente della Confederazione autodemolitori riuniti, Alfonso Gifuni</w:t>
      </w:r>
    </w:p>
    <w:p>
      <w:pPr>
        <w:pStyle w:val="Normal"/>
        <w:ind w:left="567" w:right="284" w:firstLine="0"/>
        <w:jc w:val="both"/>
        <w:rPr>
          <w:rFonts w:ascii="Book Antiqua" w:cs="Book Antiqua" w:hAnsi="Book Antiqua" w:eastAsia="Book Antiqua"/>
          <w:sz w:val="22"/>
          <w:szCs w:val="22"/>
        </w:rPr>
      </w:pPr>
    </w:p>
    <w:p>
      <w:pPr>
        <w:pStyle w:val="Normal"/>
        <w:ind w:left="567" w:right="284" w:firstLine="0"/>
        <w:jc w:val="both"/>
        <w:rPr>
          <w:rFonts w:ascii="Book Antiqua" w:cs="Book Antiqua" w:hAnsi="Book Antiqua" w:eastAsia="Book Antiqua"/>
          <w:i w:val="1"/>
          <w:iCs w:val="1"/>
          <w:sz w:val="22"/>
          <w:szCs w:val="22"/>
        </w:rPr>
      </w:pPr>
      <w:r>
        <w:rPr>
          <w:rFonts w:ascii="Book Antiqua"/>
          <w:i w:val="1"/>
          <w:iCs w:val="1"/>
          <w:sz w:val="22"/>
          <w:szCs w:val="22"/>
          <w:rtl w:val="0"/>
          <w:lang w:val="it-IT"/>
        </w:rPr>
        <w:t>luned</w:t>
      </w:r>
      <w:r>
        <w:rPr>
          <w:rFonts w:hAnsi="Book Antiqua" w:hint="default"/>
          <w:i w:val="1"/>
          <w:iCs w:val="1"/>
          <w:sz w:val="22"/>
          <w:szCs w:val="22"/>
          <w:rtl w:val="0"/>
          <w:lang w:val="it-IT"/>
        </w:rPr>
        <w:t xml:space="preserve">ì </w:t>
      </w:r>
      <w:r>
        <w:rPr>
          <w:rFonts w:ascii="Book Antiqua"/>
          <w:i w:val="1"/>
          <w:iCs w:val="1"/>
          <w:sz w:val="22"/>
          <w:szCs w:val="22"/>
          <w:rtl w:val="0"/>
          <w:lang w:val="it-IT"/>
        </w:rPr>
        <w:t>11 dicembre 2017</w:t>
      </w:r>
    </w:p>
    <w:p>
      <w:pPr>
        <w:pStyle w:val="Normal"/>
        <w:ind w:left="567" w:right="284" w:firstLine="0"/>
        <w:jc w:val="both"/>
        <w:rPr>
          <w:rFonts w:ascii="Book Antiqua" w:cs="Book Antiqua" w:hAnsi="Book Antiqua" w:eastAsia="Book Antiqua"/>
          <w:sz w:val="22"/>
          <w:szCs w:val="22"/>
        </w:rPr>
      </w:pPr>
      <w:r>
        <w:rPr>
          <w:rFonts w:ascii="Book Antiqua"/>
          <w:sz w:val="22"/>
          <w:szCs w:val="22"/>
          <w:rtl w:val="0"/>
          <w:lang w:val="it-IT"/>
        </w:rPr>
        <w:t xml:space="preserve"> Audizione di associazioni e comitati ambientalisti della regione Lazio: Rocco Sofi, presidente dell'associazione area consumatori di Colleferro, Claudio Gessi, associazione area consumatori di Colleferro, Alessandro Coltr</w:t>
      </w:r>
      <w:r>
        <w:rPr>
          <w:rFonts w:hAnsi="Book Antiqua" w:hint="default"/>
          <w:sz w:val="22"/>
          <w:szCs w:val="22"/>
          <w:rtl w:val="0"/>
          <w:lang w:val="it-IT"/>
        </w:rPr>
        <w:t>é</w:t>
      </w:r>
      <w:r>
        <w:rPr>
          <w:rFonts w:ascii="Book Antiqua"/>
          <w:sz w:val="22"/>
          <w:szCs w:val="22"/>
          <w:rtl w:val="0"/>
          <w:lang w:val="it-IT"/>
        </w:rPr>
        <w:t xml:space="preserve">, associazione permanente del presidio </w:t>
      </w:r>
      <w:r>
        <w:rPr>
          <w:rFonts w:hAnsi="Book Antiqua" w:hint="default"/>
          <w:sz w:val="22"/>
          <w:szCs w:val="22"/>
          <w:rtl w:val="0"/>
          <w:lang w:val="it-IT"/>
        </w:rPr>
        <w:t>«</w:t>
      </w:r>
      <w:r>
        <w:rPr>
          <w:rFonts w:ascii="Book Antiqua"/>
          <w:sz w:val="22"/>
          <w:szCs w:val="22"/>
          <w:rtl w:val="0"/>
          <w:lang w:val="it-IT"/>
        </w:rPr>
        <w:t>Rifiutiamoli</w:t>
      </w:r>
      <w:r>
        <w:rPr>
          <w:rFonts w:hAnsi="Book Antiqua" w:hint="default"/>
          <w:sz w:val="22"/>
          <w:szCs w:val="22"/>
          <w:rtl w:val="0"/>
          <w:lang w:val="it-IT"/>
        </w:rPr>
        <w:t xml:space="preserve">» </w:t>
      </w:r>
      <w:r>
        <w:rPr>
          <w:rFonts w:ascii="Book Antiqua"/>
          <w:sz w:val="22"/>
          <w:szCs w:val="22"/>
          <w:rtl w:val="0"/>
          <w:lang w:val="it-IT"/>
        </w:rPr>
        <w:t>di Colleferro, Alessandro Ciuffarella, presidente dell'associazione Civis Ferentino, Giovanni Cavallo, associazione Civis Ferentino, e Lorenzo Santovincenzo, associazione Civis Ferentino.</w:t>
      </w:r>
    </w:p>
    <w:p>
      <w:pPr>
        <w:pStyle w:val="Normal"/>
        <w:ind w:left="567" w:right="284" w:firstLine="0"/>
        <w:jc w:val="both"/>
        <w:rPr>
          <w:rFonts w:ascii="Book Antiqua" w:cs="Book Antiqua" w:hAnsi="Book Antiqua" w:eastAsia="Book Antiqua"/>
          <w:sz w:val="22"/>
          <w:szCs w:val="22"/>
        </w:rPr>
      </w:pPr>
    </w:p>
    <w:p>
      <w:pPr>
        <w:pStyle w:val="Normal"/>
        <w:ind w:left="567" w:right="284" w:firstLine="0"/>
        <w:jc w:val="both"/>
        <w:rPr>
          <w:rFonts w:ascii="Book Antiqua" w:cs="Book Antiqua" w:hAnsi="Book Antiqua" w:eastAsia="Book Antiqua"/>
          <w:i w:val="1"/>
          <w:iCs w:val="1"/>
          <w:sz w:val="22"/>
          <w:szCs w:val="22"/>
        </w:rPr>
      </w:pPr>
      <w:r>
        <w:rPr>
          <w:rFonts w:ascii="Book Antiqua"/>
          <w:i w:val="1"/>
          <w:iCs w:val="1"/>
          <w:sz w:val="22"/>
          <w:szCs w:val="22"/>
          <w:rtl w:val="0"/>
          <w:lang w:val="it-IT"/>
        </w:rPr>
        <w:t>gioved</w:t>
      </w:r>
      <w:r>
        <w:rPr>
          <w:rFonts w:hAnsi="Book Antiqua" w:hint="default"/>
          <w:i w:val="1"/>
          <w:iCs w:val="1"/>
          <w:sz w:val="22"/>
          <w:szCs w:val="22"/>
          <w:rtl w:val="0"/>
          <w:lang w:val="it-IT"/>
        </w:rPr>
        <w:t xml:space="preserve">ì </w:t>
      </w:r>
      <w:r>
        <w:rPr>
          <w:rFonts w:ascii="Book Antiqua"/>
          <w:i w:val="1"/>
          <w:iCs w:val="1"/>
          <w:sz w:val="22"/>
          <w:szCs w:val="22"/>
          <w:rtl w:val="0"/>
          <w:lang w:val="it-IT"/>
        </w:rPr>
        <w:t>14 dicembre 2017</w:t>
      </w:r>
    </w:p>
    <w:p>
      <w:pPr>
        <w:pStyle w:val="Normal"/>
        <w:ind w:left="567" w:right="284" w:firstLine="0"/>
        <w:jc w:val="both"/>
        <w:rPr>
          <w:rFonts w:ascii="Book Antiqua" w:cs="Book Antiqua" w:hAnsi="Book Antiqua" w:eastAsia="Book Antiqua"/>
          <w:sz w:val="22"/>
          <w:szCs w:val="22"/>
        </w:rPr>
      </w:pPr>
      <w:r>
        <w:rPr>
          <w:rFonts w:ascii="Book Antiqua"/>
          <w:sz w:val="22"/>
          <w:szCs w:val="22"/>
          <w:rtl w:val="0"/>
          <w:lang w:val="it-IT"/>
        </w:rPr>
        <w:t>Audizione di Paola Muraro, gi</w:t>
      </w:r>
      <w:r>
        <w:rPr>
          <w:rFonts w:hAnsi="Book Antiqua" w:hint="default"/>
          <w:sz w:val="22"/>
          <w:szCs w:val="22"/>
          <w:rtl w:val="0"/>
          <w:lang w:val="it-IT"/>
        </w:rPr>
        <w:t xml:space="preserve">à </w:t>
      </w:r>
      <w:r>
        <w:rPr>
          <w:rFonts w:ascii="Book Antiqua"/>
          <w:sz w:val="22"/>
          <w:szCs w:val="22"/>
          <w:rtl w:val="0"/>
          <w:lang w:val="it-IT"/>
        </w:rPr>
        <w:t>assessora alla sostenibilit</w:t>
      </w:r>
      <w:r>
        <w:rPr>
          <w:rFonts w:hAnsi="Book Antiqua" w:hint="default"/>
          <w:sz w:val="22"/>
          <w:szCs w:val="22"/>
          <w:rtl w:val="0"/>
          <w:lang w:val="it-IT"/>
        </w:rPr>
        <w:t xml:space="preserve">à </w:t>
      </w:r>
      <w:r>
        <w:rPr>
          <w:rFonts w:ascii="Book Antiqua"/>
          <w:sz w:val="22"/>
          <w:szCs w:val="22"/>
          <w:rtl w:val="0"/>
          <w:lang w:val="it-IT"/>
        </w:rPr>
        <w:t>ambientale di Roma Capitale</w:t>
      </w:r>
    </w:p>
    <w:p>
      <w:pPr>
        <w:pStyle w:val="Normal"/>
        <w:spacing w:before="100" w:after="100"/>
        <w:rPr>
          <w:rFonts w:ascii="Book Antiqua" w:cs="Book Antiqua" w:hAnsi="Book Antiqua" w:eastAsia="Book Antiqua"/>
          <w:sz w:val="22"/>
          <w:szCs w:val="22"/>
        </w:rPr>
      </w:pPr>
    </w:p>
    <w:p>
      <w:pPr>
        <w:pStyle w:val="intervento"/>
        <w:spacing w:before="0" w:after="0"/>
        <w:ind w:left="567" w:right="567" w:firstLine="0"/>
        <w:jc w:val="both"/>
        <w:rPr>
          <w:rFonts w:ascii="Book Antiqua Bold" w:cs="Book Antiqua Bold" w:hAnsi="Book Antiqua Bold" w:eastAsia="Book Antiqua Bold"/>
          <w:b w:val="1"/>
          <w:bCs w:val="1"/>
          <w:i w:val="1"/>
          <w:iCs w:val="1"/>
          <w:sz w:val="28"/>
          <w:szCs w:val="28"/>
        </w:rPr>
      </w:pPr>
      <w:r>
        <w:rPr>
          <w:rFonts w:ascii="Book Antiqua Bold"/>
          <w:b w:val="1"/>
          <w:bCs w:val="1"/>
          <w:i w:val="1"/>
          <w:iCs w:val="1"/>
          <w:sz w:val="28"/>
          <w:szCs w:val="28"/>
          <w:rtl w:val="0"/>
          <w:lang w:val="it-IT"/>
        </w:rPr>
        <w:t>APPENDICE II</w:t>
      </w:r>
    </w:p>
    <w:p>
      <w:pPr>
        <w:pStyle w:val="intervento"/>
        <w:spacing w:before="0" w:after="0"/>
        <w:ind w:left="567" w:right="567" w:firstLine="0"/>
        <w:jc w:val="both"/>
        <w:rPr>
          <w:rFonts w:ascii="Book Antiqua" w:cs="Book Antiqua" w:hAnsi="Book Antiqua" w:eastAsia="Book Antiqua"/>
        </w:rPr>
      </w:pPr>
    </w:p>
    <w:p>
      <w:pPr>
        <w:pStyle w:val="Normal"/>
        <w:widowControl w:val="0"/>
        <w:tabs>
          <w:tab w:val="left" w:pos="709"/>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Bold" w:cs="Book Antiqua Bold" w:hAnsi="Book Antiqua Bold" w:eastAsia="Book Antiqua Bold"/>
          <w:b w:val="1"/>
          <w:bCs w:val="1"/>
          <w:i w:val="1"/>
          <w:iCs w:val="1"/>
          <w:color w:val="000000"/>
          <w:u w:color="000000"/>
        </w:rPr>
      </w:pPr>
      <w:r>
        <w:rPr>
          <w:rFonts w:ascii="Book Antiqua"/>
          <w:i w:val="1"/>
          <w:iCs w:val="1"/>
          <w:color w:val="000000"/>
          <w:u w:color="000000"/>
          <w:rtl w:val="0"/>
          <w:lang w:val="it-IT"/>
        </w:rPr>
        <w:t>Stralci del contenuto dell</w:t>
      </w:r>
      <w:r>
        <w:rPr>
          <w:rFonts w:hAnsi="Book Antiqua" w:hint="default"/>
          <w:i w:val="1"/>
          <w:iCs w:val="1"/>
          <w:color w:val="000000"/>
          <w:u w:color="000000"/>
          <w:rtl w:val="0"/>
          <w:lang w:val="it-IT"/>
        </w:rPr>
        <w:t>’</w:t>
      </w:r>
      <w:r>
        <w:rPr>
          <w:rFonts w:ascii="Book Antiqua"/>
          <w:i w:val="1"/>
          <w:iCs w:val="1"/>
          <w:color w:val="000000"/>
          <w:u w:color="000000"/>
          <w:rtl w:val="0"/>
          <w:lang w:val="it-IT"/>
        </w:rPr>
        <w:t xml:space="preserve">ordinanza cautelare emessa nel </w:t>
      </w:r>
      <w:r>
        <w:rPr>
          <w:rFonts w:ascii="Book Antiqua"/>
          <w:i w:val="1"/>
          <w:iCs w:val="1"/>
          <w:rtl w:val="0"/>
          <w:lang w:val="it-IT"/>
        </w:rPr>
        <w:t xml:space="preserve">procedimento penale n. 30546/10 rgnr </w:t>
      </w:r>
      <w:r>
        <w:rPr>
          <w:rFonts w:ascii="Book Antiqua"/>
          <w:i w:val="1"/>
          <w:iCs w:val="1"/>
          <w:color w:val="000000"/>
          <w:u w:color="000000"/>
          <w:rtl w:val="0"/>
          <w:lang w:val="it-IT"/>
        </w:rPr>
        <w:t>della procura della Repubblica di Roma (Mondo di Mezzo) relativi a materie di interesse della Commissione.</w:t>
      </w:r>
    </w:p>
    <w:p>
      <w:pPr>
        <w:pStyle w:val="Normal"/>
        <w:tabs>
          <w:tab w:val="left" w:pos="709"/>
        </w:tabs>
        <w:ind w:left="567" w:right="567" w:firstLine="0"/>
        <w:jc w:val="both"/>
        <w:rPr>
          <w:rFonts w:ascii="Book Antiqua" w:cs="Book Antiqua" w:hAnsi="Book Antiqua" w:eastAsia="Book Antiqua"/>
          <w:i w:val="1"/>
          <w:iCs w:val="1"/>
          <w:color w:val="000000"/>
          <w:u w:color="000000"/>
        </w:rPr>
      </w:pPr>
      <w:r>
        <w:rPr>
          <w:rFonts w:ascii="Book Antiqua"/>
          <w:i w:val="1"/>
          <w:iCs w:val="1"/>
          <w:color w:val="000000"/>
          <w:u w:color="000000"/>
          <w:rtl w:val="0"/>
          <w:lang w:val="it-IT"/>
        </w:rPr>
        <w:t>In parentesi quadra sono riportati i riferimenti alle pagine dell</w:t>
      </w:r>
      <w:r>
        <w:rPr>
          <w:rFonts w:hAnsi="Book Antiqua" w:hint="default"/>
          <w:i w:val="1"/>
          <w:iCs w:val="1"/>
          <w:color w:val="000000"/>
          <w:u w:color="000000"/>
          <w:rtl w:val="0"/>
          <w:lang w:val="it-IT"/>
        </w:rPr>
        <w:t>’</w:t>
      </w:r>
      <w:r>
        <w:rPr>
          <w:rFonts w:ascii="Book Antiqua"/>
          <w:i w:val="1"/>
          <w:iCs w:val="1"/>
          <w:color w:val="000000"/>
          <w:u w:color="000000"/>
          <w:rtl w:val="0"/>
          <w:lang w:val="it-IT"/>
        </w:rPr>
        <w:t>ordinanza cautelare, e alcune note a chiarimento, relative a contenuti dell</w:t>
      </w:r>
      <w:r>
        <w:rPr>
          <w:rFonts w:hAnsi="Book Antiqua" w:hint="default"/>
          <w:i w:val="1"/>
          <w:iCs w:val="1"/>
          <w:color w:val="000000"/>
          <w:u w:color="000000"/>
          <w:rtl w:val="0"/>
          <w:lang w:val="it-IT"/>
        </w:rPr>
        <w:t>’</w:t>
      </w:r>
      <w:r>
        <w:rPr>
          <w:rFonts w:ascii="Book Antiqua"/>
          <w:i w:val="1"/>
          <w:iCs w:val="1"/>
          <w:color w:val="000000"/>
          <w:u w:color="000000"/>
          <w:rtl w:val="0"/>
          <w:lang w:val="it-IT"/>
        </w:rPr>
        <w:t>ordinanza tradotti negli addebiti provvisori, fatti non formalmente contestati di cui l</w:t>
      </w:r>
      <w:r>
        <w:rPr>
          <w:rFonts w:hAnsi="Book Antiqua" w:hint="default"/>
          <w:i w:val="1"/>
          <w:iCs w:val="1"/>
          <w:color w:val="000000"/>
          <w:u w:color="000000"/>
          <w:rtl w:val="0"/>
          <w:lang w:val="it-IT"/>
        </w:rPr>
        <w:t>’</w:t>
      </w:r>
      <w:r>
        <w:rPr>
          <w:rFonts w:ascii="Book Antiqua"/>
          <w:i w:val="1"/>
          <w:iCs w:val="1"/>
          <w:color w:val="000000"/>
          <w:u w:color="000000"/>
          <w:rtl w:val="0"/>
          <w:lang w:val="it-IT"/>
        </w:rPr>
        <w:t>ordinanza fa menzione, nonch</w:t>
      </w:r>
      <w:r>
        <w:rPr>
          <w:rFonts w:hAnsi="Book Antiqua" w:hint="default"/>
          <w:i w:val="1"/>
          <w:iCs w:val="1"/>
          <w:color w:val="000000"/>
          <w:u w:color="000000"/>
          <w:rtl w:val="0"/>
          <w:lang w:val="it-IT"/>
        </w:rPr>
        <w:t xml:space="preserve">é </w:t>
      </w:r>
      <w:r>
        <w:rPr>
          <w:rFonts w:ascii="Book Antiqua"/>
          <w:i w:val="1"/>
          <w:iCs w:val="1"/>
          <w:color w:val="000000"/>
          <w:u w:color="000000"/>
          <w:rtl w:val="0"/>
          <w:lang w:val="it-IT"/>
        </w:rPr>
        <w:t>fatti ulteriori riguardanti materie di interesse della Commissione</w:t>
      </w:r>
    </w:p>
    <w:p>
      <w:pPr>
        <w:pStyle w:val="Normal"/>
        <w:tabs>
          <w:tab w:val="left" w:pos="709"/>
        </w:tabs>
        <w:ind w:left="567" w:right="567" w:firstLine="0"/>
        <w:jc w:val="both"/>
        <w:rPr>
          <w:rFonts w:ascii="Book Antiqua" w:cs="Book Antiqua" w:hAnsi="Book Antiqua" w:eastAsia="Book Antiqua"/>
          <w:color w:val="000000"/>
          <w:u w:color="000000"/>
        </w:rPr>
      </w:pPr>
    </w:p>
    <w:p>
      <w:pPr>
        <w:pStyle w:val="Normal"/>
        <w:tabs>
          <w:tab w:val="left" w:pos="709"/>
        </w:tabs>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[p. 848, p. 1111]</w:t>
      </w:r>
    </w:p>
    <w:p>
      <w:pPr>
        <w:pStyle w:val="Normal"/>
        <w:widowControl w:val="0"/>
        <w:tabs>
          <w:tab w:val="left" w:pos="709"/>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val="single" w:color="000000"/>
          <w:rtl w:val="0"/>
          <w:lang w:val="it-IT"/>
        </w:rPr>
        <w:t>Salvatore BUZZI</w:t>
      </w:r>
      <w:r>
        <w:rPr>
          <w:rFonts w:ascii="Book Antiqua"/>
          <w:color w:val="000000"/>
          <w:sz w:val="22"/>
          <w:szCs w:val="22"/>
          <w:u w:color="000000"/>
          <w:rtl w:val="0"/>
          <w:lang w:val="it-IT"/>
        </w:rPr>
        <w:t>, quale imprenditore, gestisce, per il tramite di una rete di cooperative a lui riconducibili, le attivit</w:t>
      </w:r>
      <w:r>
        <w:rPr>
          <w:rFonts w:hAnsi="Book Antiqua" w:hint="default"/>
          <w:color w:val="000000"/>
          <w:sz w:val="22"/>
          <w:szCs w:val="22"/>
          <w:u w:color="000000"/>
          <w:rtl w:val="0"/>
          <w:lang w:val="it-IT"/>
        </w:rPr>
        <w:t xml:space="preserve">à </w:t>
      </w:r>
      <w:r>
        <w:rPr>
          <w:rFonts w:ascii="Book Antiqua"/>
          <w:color w:val="000000"/>
          <w:sz w:val="22"/>
          <w:szCs w:val="22"/>
          <w:u w:color="000000"/>
          <w:rtl w:val="0"/>
          <w:lang w:val="it-IT"/>
        </w:rPr>
        <w:t>economiche della associazione nei settori della raccolta e smaltimento dei rifiuti, della accoglienza dei profughi e rifugiati, della manutenzione del verde pubblico e negli altri settori oggetto delle gare pubbliche aggiudicate anche con metodo corruttivo; si occupa della gestione della contabilit</w:t>
      </w:r>
      <w:r>
        <w:rPr>
          <w:rFonts w:hAnsi="Book Antiqua" w:hint="default"/>
          <w:color w:val="000000"/>
          <w:sz w:val="22"/>
          <w:szCs w:val="22"/>
          <w:u w:color="000000"/>
          <w:rtl w:val="0"/>
          <w:lang w:val="it-IT"/>
        </w:rPr>
        <w:t xml:space="preserve">à </w:t>
      </w:r>
      <w:r>
        <w:rPr>
          <w:rFonts w:ascii="Book Antiqua"/>
          <w:color w:val="000000"/>
          <w:sz w:val="22"/>
          <w:szCs w:val="22"/>
          <w:u w:color="000000"/>
          <w:rtl w:val="0"/>
          <w:lang w:val="it-IT"/>
        </w:rPr>
        <w:t xml:space="preserve">occulta della associazione e dei pagamenti ai pubblici ufficiali corrotti, con dazioni di somme di denaro sistematiche. </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 xml:space="preserve">Il suo ruolo nell'associazione di organizzatore </w:t>
      </w:r>
      <w:r>
        <w:rPr>
          <w:rFonts w:hAnsi="Book Antiqua" w:hint="default"/>
          <w:color w:val="000000"/>
          <w:sz w:val="22"/>
          <w:szCs w:val="22"/>
          <w:u w:color="000000"/>
          <w:rtl w:val="0"/>
          <w:lang w:val="it-IT"/>
        </w:rPr>
        <w:t xml:space="preserve">è </w:t>
      </w:r>
      <w:r>
        <w:rPr>
          <w:rFonts w:ascii="Book Antiqua"/>
          <w:color w:val="000000"/>
          <w:sz w:val="22"/>
          <w:szCs w:val="22"/>
          <w:u w:color="000000"/>
          <w:rtl w:val="0"/>
          <w:lang w:val="it-IT"/>
        </w:rPr>
        <w:t>reso manifesto dai numerosi reati fine, nei suoi confronti ipotizzati (capi 10, 11, 12, 13, 14, 15, 16, 17, 18, 19, 24, 25, 26 e 35 di incolpazione) e come da lui stesso dichiarato nelle numerose conversazioni intercettate, nelle quali questi parla chiaramente della sua attivit</w:t>
      </w:r>
      <w:r>
        <w:rPr>
          <w:rFonts w:hAnsi="Book Antiqua" w:hint="default"/>
          <w:color w:val="000000"/>
          <w:sz w:val="22"/>
          <w:szCs w:val="22"/>
          <w:u w:color="000000"/>
          <w:rtl w:val="0"/>
          <w:lang w:val="it-IT"/>
        </w:rPr>
        <w:t xml:space="preserve">à </w:t>
      </w:r>
      <w:r>
        <w:rPr>
          <w:rFonts w:ascii="Book Antiqua"/>
          <w:color w:val="000000"/>
          <w:sz w:val="22"/>
          <w:szCs w:val="22"/>
          <w:u w:color="000000"/>
          <w:rtl w:val="0"/>
          <w:lang w:val="it-IT"/>
        </w:rPr>
        <w:t>criminosa, in quanto verosimilmente ritiene che, con l</w:t>
      </w:r>
      <w:r>
        <w:rPr>
          <w:rFonts w:hAnsi="Book Antiqua" w:hint="default"/>
          <w:color w:val="000000"/>
          <w:sz w:val="22"/>
          <w:szCs w:val="22"/>
          <w:u w:color="000000"/>
          <w:rtl w:val="0"/>
          <w:lang w:val="it-IT"/>
        </w:rPr>
        <w:t>’</w:t>
      </w:r>
      <w:r>
        <w:rPr>
          <w:rFonts w:ascii="Book Antiqua"/>
          <w:color w:val="000000"/>
          <w:sz w:val="22"/>
          <w:szCs w:val="22"/>
          <w:u w:color="000000"/>
          <w:rtl w:val="0"/>
          <w:lang w:val="it-IT"/>
        </w:rPr>
        <w:t>utilizzo di utenze dedicate (con le quali intrattiene i rapporti con il CARMINATI) e l</w:t>
      </w:r>
      <w:r>
        <w:rPr>
          <w:rFonts w:hAnsi="Book Antiqua" w:hint="default"/>
          <w:color w:val="000000"/>
          <w:sz w:val="22"/>
          <w:szCs w:val="22"/>
          <w:u w:color="000000"/>
          <w:rtl w:val="0"/>
          <w:lang w:val="it-IT"/>
        </w:rPr>
        <w:t>’</w:t>
      </w:r>
      <w:r>
        <w:rPr>
          <w:rFonts w:ascii="Book Antiqua"/>
          <w:color w:val="000000"/>
          <w:sz w:val="22"/>
          <w:szCs w:val="22"/>
          <w:u w:color="000000"/>
          <w:rtl w:val="0"/>
          <w:lang w:val="it-IT"/>
        </w:rPr>
        <w:t xml:space="preserve">attivazione dello </w:t>
      </w:r>
      <w:r>
        <w:rPr>
          <w:rFonts w:ascii="Book Antiqua"/>
          <w:i w:val="1"/>
          <w:iCs w:val="1"/>
          <w:color w:val="000000"/>
          <w:sz w:val="22"/>
          <w:szCs w:val="22"/>
          <w:u w:color="000000"/>
          <w:rtl w:val="0"/>
          <w:lang w:val="it-IT"/>
        </w:rPr>
        <w:t>jammer</w:t>
      </w:r>
      <w:r>
        <w:rPr>
          <w:rFonts w:ascii="Book Antiqua"/>
          <w:color w:val="000000"/>
          <w:sz w:val="22"/>
          <w:szCs w:val="22"/>
          <w:u w:color="000000"/>
          <w:rtl w:val="0"/>
          <w:lang w:val="it-IT"/>
        </w:rPr>
        <w:t>, fornitogli dallo stesso CARMINATI, presso i suoi uffici, riesca ad eludere le investigazioni.</w:t>
      </w:r>
    </w:p>
    <w:p>
      <w:pPr>
        <w:pStyle w:val="Normal"/>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Nel corso della conversazione del 20.4.2013 (RIT 3240/13, progr. 54), il BUZZI spiega chiaramente a Giovanni CAMPENNI</w:t>
      </w:r>
      <w:r>
        <w:rPr>
          <w:rFonts w:hAnsi="Book Antiqua" w:hint="default"/>
          <w:color w:val="000000"/>
          <w:sz w:val="22"/>
          <w:szCs w:val="22"/>
          <w:u w:color="000000"/>
          <w:rtl w:val="0"/>
          <w:lang w:val="it-IT"/>
        </w:rPr>
        <w:t xml:space="preserve">’ </w:t>
      </w:r>
      <w:r>
        <w:rPr>
          <w:rFonts w:ascii="Book Antiqua"/>
          <w:color w:val="000000"/>
          <w:sz w:val="22"/>
          <w:szCs w:val="22"/>
          <w:u w:color="000000"/>
          <w:rtl w:val="0"/>
          <w:lang w:val="it-IT"/>
        </w:rPr>
        <w:t>la sua attivit</w:t>
      </w:r>
      <w:r>
        <w:rPr>
          <w:rFonts w:hAnsi="Book Antiqua" w:hint="default"/>
          <w:color w:val="000000"/>
          <w:sz w:val="22"/>
          <w:szCs w:val="22"/>
          <w:u w:color="000000"/>
          <w:rtl w:val="0"/>
          <w:lang w:val="it-IT"/>
        </w:rPr>
        <w:t xml:space="preserve">à </w:t>
      </w:r>
      <w:r>
        <w:rPr>
          <w:rFonts w:ascii="Book Antiqua"/>
          <w:color w:val="000000"/>
          <w:sz w:val="22"/>
          <w:szCs w:val="22"/>
          <w:u w:color="000000"/>
          <w:rtl w:val="0"/>
          <w:lang w:val="it-IT"/>
        </w:rPr>
        <w:t xml:space="preserve">corruttiva, dicendogli che pagava tutti, per le cene del sindaco aveva pagato </w:t>
      </w:r>
      <w:r>
        <w:rPr>
          <w:rFonts w:hAnsi="Book Antiqua" w:hint="default"/>
          <w:color w:val="000000"/>
          <w:sz w:val="22"/>
          <w:szCs w:val="22"/>
          <w:u w:color="000000"/>
          <w:rtl w:val="0"/>
          <w:lang w:val="it-IT"/>
        </w:rPr>
        <w:t>“</w:t>
      </w:r>
      <w:r>
        <w:rPr>
          <w:rFonts w:ascii="Book Antiqua"/>
          <w:color w:val="000000"/>
          <w:sz w:val="22"/>
          <w:szCs w:val="22"/>
          <w:u w:color="000000"/>
          <w:rtl w:val="0"/>
          <w:lang w:val="it-IT"/>
        </w:rPr>
        <w:t>settantacinquemila euro</w:t>
      </w:r>
      <w:r>
        <w:rPr>
          <w:rFonts w:hAnsi="Book Antiqua" w:hint="default"/>
          <w:color w:val="000000"/>
          <w:sz w:val="22"/>
          <w:szCs w:val="22"/>
          <w:u w:color="000000"/>
          <w:rtl w:val="0"/>
          <w:lang w:val="it-IT"/>
        </w:rPr>
        <w:t>”</w:t>
      </w:r>
      <w:r>
        <w:rPr>
          <w:rFonts w:ascii="Book Antiqua"/>
          <w:color w:val="000000"/>
          <w:sz w:val="22"/>
          <w:szCs w:val="22"/>
          <w:u w:color="000000"/>
          <w:rtl w:val="0"/>
          <w:lang w:val="it-IT"/>
        </w:rPr>
        <w:t xml:space="preserve">, </w:t>
      </w:r>
      <w:r>
        <w:rPr>
          <w:rFonts w:hAnsi="Book Antiqua" w:hint="default"/>
          <w:color w:val="000000"/>
          <w:sz w:val="22"/>
          <w:szCs w:val="22"/>
          <w:u w:color="000000"/>
          <w:rtl w:val="0"/>
          <w:lang w:val="it-IT"/>
        </w:rPr>
        <w:t>“</w:t>
      </w:r>
      <w:r>
        <w:rPr>
          <w:rFonts w:ascii="Book Antiqua"/>
          <w:color w:val="000000"/>
          <w:sz w:val="22"/>
          <w:szCs w:val="22"/>
          <w:u w:color="000000"/>
          <w:rtl w:val="0"/>
          <w:lang w:val="it-IT"/>
        </w:rPr>
        <w:t>finanzio giornali, faccio pubblicit</w:t>
      </w:r>
      <w:r>
        <w:rPr>
          <w:rFonts w:hAnsi="Book Antiqua" w:hint="default"/>
          <w:color w:val="000000"/>
          <w:sz w:val="22"/>
          <w:szCs w:val="22"/>
          <w:u w:color="000000"/>
          <w:rtl w:val="0"/>
          <w:lang w:val="it-IT"/>
        </w:rPr>
        <w:t>à</w:t>
      </w:r>
      <w:r>
        <w:rPr>
          <w:rFonts w:ascii="Book Antiqua"/>
          <w:color w:val="000000"/>
          <w:sz w:val="22"/>
          <w:szCs w:val="22"/>
          <w:u w:color="000000"/>
          <w:rtl w:val="0"/>
          <w:lang w:val="it-IT"/>
        </w:rPr>
        <w:t xml:space="preserve">. Finanzio eventi, pago segreteria, pago cena, pago manifesti ...... quell'altri li paghi sempre a percentuale su quello che ti fanno. Questo </w:t>
      </w:r>
      <w:r>
        <w:rPr>
          <w:rFonts w:hAnsi="Book Antiqua" w:hint="default"/>
          <w:color w:val="000000"/>
          <w:sz w:val="22"/>
          <w:szCs w:val="22"/>
          <w:u w:color="000000"/>
          <w:rtl w:val="0"/>
          <w:lang w:val="it-IT"/>
        </w:rPr>
        <w:t xml:space="preserve">è </w:t>
      </w:r>
      <w:r>
        <w:rPr>
          <w:rFonts w:ascii="Book Antiqua"/>
          <w:color w:val="000000"/>
          <w:sz w:val="22"/>
          <w:szCs w:val="22"/>
          <w:u w:color="000000"/>
          <w:rtl w:val="0"/>
          <w:lang w:val="it-IT"/>
        </w:rPr>
        <w:t>il momento che pago di pi</w:t>
      </w:r>
      <w:r>
        <w:rPr>
          <w:rFonts w:hAnsi="Book Antiqua" w:hint="default"/>
          <w:color w:val="000000"/>
          <w:sz w:val="22"/>
          <w:szCs w:val="22"/>
          <w:u w:color="000000"/>
          <w:rtl w:val="0"/>
          <w:lang w:val="it-IT"/>
        </w:rPr>
        <w:t xml:space="preserve">ù </w:t>
      </w:r>
      <w:r>
        <w:rPr>
          <w:rFonts w:ascii="Book Antiqua"/>
          <w:color w:val="000000"/>
          <w:sz w:val="22"/>
          <w:szCs w:val="22"/>
          <w:u w:color="000000"/>
          <w:rtl w:val="0"/>
          <w:lang w:val="it-IT"/>
        </w:rPr>
        <w:t>...le comunali ....noi stipendiamo un sacco di soldi sul comune</w:t>
      </w:r>
      <w:r>
        <w:rPr>
          <w:rFonts w:hAnsi="Book Antiqua" w:hint="default"/>
          <w:color w:val="000000"/>
          <w:sz w:val="22"/>
          <w:szCs w:val="22"/>
          <w:u w:color="000000"/>
          <w:rtl w:val="0"/>
          <w:lang w:val="it-IT"/>
        </w:rPr>
        <w:t>”</w:t>
      </w:r>
      <w:r>
        <w:rPr>
          <w:rFonts w:ascii="Book Antiqua"/>
          <w:color w:val="000000"/>
          <w:sz w:val="22"/>
          <w:szCs w:val="22"/>
          <w:u w:color="000000"/>
          <w:rtl w:val="0"/>
          <w:lang w:val="it-IT"/>
        </w:rPr>
        <w:t>; continuando nella conversazione, ha poi precisato che a Luca ODEVAINE (la posizione che sar</w:t>
      </w:r>
      <w:r>
        <w:rPr>
          <w:rFonts w:hAnsi="Book Antiqua" w:hint="default"/>
          <w:color w:val="000000"/>
          <w:sz w:val="22"/>
          <w:szCs w:val="22"/>
          <w:u w:color="000000"/>
          <w:rtl w:val="0"/>
          <w:lang w:val="it-IT"/>
        </w:rPr>
        <w:t xml:space="preserve">à </w:t>
      </w:r>
      <w:r>
        <w:rPr>
          <w:rFonts w:ascii="Book Antiqua"/>
          <w:color w:val="000000"/>
          <w:sz w:val="22"/>
          <w:szCs w:val="22"/>
          <w:u w:color="000000"/>
          <w:rtl w:val="0"/>
          <w:lang w:val="it-IT"/>
        </w:rPr>
        <w:t>esaminata nel prosieguo) dava cinquemila euro al mese, a Mario SCHINA (anche la posizione di questi sar</w:t>
      </w:r>
      <w:r>
        <w:rPr>
          <w:rFonts w:hAnsi="Book Antiqua" w:hint="default"/>
          <w:color w:val="000000"/>
          <w:sz w:val="22"/>
          <w:szCs w:val="22"/>
          <w:u w:color="000000"/>
          <w:rtl w:val="0"/>
          <w:lang w:val="it-IT"/>
        </w:rPr>
        <w:t xml:space="preserve">à </w:t>
      </w:r>
      <w:r>
        <w:rPr>
          <w:rFonts w:ascii="Book Antiqua"/>
          <w:color w:val="000000"/>
          <w:sz w:val="22"/>
          <w:szCs w:val="22"/>
          <w:u w:color="000000"/>
          <w:rtl w:val="0"/>
          <w:lang w:val="it-IT"/>
        </w:rPr>
        <w:t xml:space="preserve">di seguito trattata) dava millecinquecento euro al mese, ad </w:t>
      </w:r>
      <w:r>
        <w:rPr>
          <w:rFonts w:hAnsi="Book Antiqua" w:hint="default"/>
          <w:color w:val="000000"/>
          <w:sz w:val="22"/>
          <w:szCs w:val="22"/>
          <w:u w:color="000000"/>
          <w:rtl w:val="0"/>
          <w:lang w:val="it-IT"/>
        </w:rPr>
        <w:t>“</w:t>
      </w:r>
      <w:r>
        <w:rPr>
          <w:rFonts w:ascii="Book Antiqua"/>
          <w:color w:val="000000"/>
          <w:sz w:val="22"/>
          <w:szCs w:val="22"/>
          <w:u w:color="000000"/>
          <w:rtl w:val="0"/>
          <w:lang w:val="it-IT"/>
        </w:rPr>
        <w:t>un altro che tiene i rapporti con Zingaretti ... duemilacinque al mese. Un altro che tiene i rapporti con il comune millecinque, un altro a settecinquanta .....un assessore a diecimila euro al mese ...... noi quest'anni abbiamo chiuso ....con quaranta milioni .... ma tutti i soldi utili li abbiamo fatti sui zingari, sull'emergenza alloggiativa e sugli immigrati, tutti gli altri settori finiscono a zero</w:t>
      </w:r>
      <w:r>
        <w:rPr>
          <w:rFonts w:hAnsi="Book Antiqua" w:hint="default"/>
          <w:color w:val="000000"/>
          <w:sz w:val="22"/>
          <w:szCs w:val="22"/>
          <w:u w:color="000000"/>
          <w:rtl w:val="0"/>
          <w:lang w:val="it-IT"/>
        </w:rPr>
        <w:t>”</w:t>
      </w:r>
      <w:r>
        <w:rPr>
          <w:rFonts w:ascii="Book Antiqua"/>
          <w:color w:val="000000"/>
          <w:sz w:val="22"/>
          <w:szCs w:val="22"/>
          <w:u w:color="000000"/>
          <w:rtl w:val="0"/>
          <w:lang w:val="it-IT"/>
        </w:rPr>
        <w:t>.</w:t>
      </w:r>
    </w:p>
    <w:p>
      <w:pPr>
        <w:pStyle w:val="Normal"/>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[pp. 550-552]</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 xml:space="preserve">Organo apicale di tale articolazione di Mafia Capitale </w:t>
      </w:r>
      <w:r>
        <w:rPr>
          <w:rFonts w:hAnsi="Book Antiqua" w:hint="default"/>
          <w:color w:val="000000"/>
          <w:sz w:val="22"/>
          <w:szCs w:val="22"/>
          <w:u w:color="000000"/>
          <w:rtl w:val="0"/>
          <w:lang w:val="it-IT"/>
        </w:rPr>
        <w:t xml:space="preserve">è </w:t>
      </w:r>
      <w:r>
        <w:rPr>
          <w:rFonts w:ascii="Book Antiqua"/>
          <w:color w:val="000000"/>
          <w:sz w:val="22"/>
          <w:szCs w:val="22"/>
          <w:u w:color="000000"/>
          <w:rtl w:val="0"/>
          <w:lang w:val="it-IT"/>
        </w:rPr>
        <w:t xml:space="preserve">Salvatore Buzzi. Condannato agli inizi degli anni </w:t>
      </w:r>
      <w:r>
        <w:rPr>
          <w:rFonts w:hAnsi="Book Antiqua" w:hint="default"/>
          <w:color w:val="000000"/>
          <w:sz w:val="22"/>
          <w:szCs w:val="22"/>
          <w:u w:color="000000"/>
          <w:rtl w:val="0"/>
          <w:lang w:val="it-IT"/>
        </w:rPr>
        <w:t>‘</w:t>
      </w:r>
      <w:r>
        <w:rPr>
          <w:rFonts w:ascii="Book Antiqua"/>
          <w:color w:val="000000"/>
          <w:sz w:val="22"/>
          <w:szCs w:val="22"/>
          <w:u w:color="000000"/>
          <w:rtl w:val="0"/>
          <w:lang w:val="it-IT"/>
        </w:rPr>
        <w:t>80 per omicidio doloso, viene scarcerato l</w:t>
      </w:r>
      <w:r>
        <w:rPr>
          <w:rFonts w:hAnsi="Book Antiqua" w:hint="default"/>
          <w:color w:val="000000"/>
          <w:sz w:val="22"/>
          <w:szCs w:val="22"/>
          <w:u w:color="000000"/>
          <w:rtl w:val="0"/>
          <w:lang w:val="it-IT"/>
        </w:rPr>
        <w:t>’</w:t>
      </w:r>
      <w:r>
        <w:rPr>
          <w:rFonts w:ascii="Book Antiqua"/>
          <w:color w:val="000000"/>
          <w:sz w:val="22"/>
          <w:szCs w:val="22"/>
          <w:u w:color="000000"/>
          <w:rtl w:val="0"/>
          <w:lang w:val="it-IT"/>
        </w:rPr>
        <w:t>1.04.1991 e sottoposto alla libert</w:t>
      </w:r>
      <w:r>
        <w:rPr>
          <w:rFonts w:hAnsi="Book Antiqua" w:hint="default"/>
          <w:color w:val="000000"/>
          <w:sz w:val="22"/>
          <w:szCs w:val="22"/>
          <w:u w:color="000000"/>
          <w:rtl w:val="0"/>
          <w:lang w:val="it-IT"/>
        </w:rPr>
        <w:t xml:space="preserve">à </w:t>
      </w:r>
      <w:r>
        <w:rPr>
          <w:rFonts w:ascii="Book Antiqua"/>
          <w:color w:val="000000"/>
          <w:sz w:val="22"/>
          <w:szCs w:val="22"/>
          <w:u w:color="000000"/>
          <w:rtl w:val="0"/>
          <w:lang w:val="it-IT"/>
        </w:rPr>
        <w:t>vigilata fino al 13.07.1992. Durante la sua detenzione, inizia a progettare la creazione di cooperative sociali per l</w:t>
      </w:r>
      <w:r>
        <w:rPr>
          <w:rFonts w:hAnsi="Book Antiqua" w:hint="default"/>
          <w:color w:val="000000"/>
          <w:sz w:val="22"/>
          <w:szCs w:val="22"/>
          <w:u w:color="000000"/>
          <w:rtl w:val="0"/>
          <w:lang w:val="it-IT"/>
        </w:rPr>
        <w:t>’</w:t>
      </w:r>
      <w:r>
        <w:rPr>
          <w:rFonts w:ascii="Book Antiqua"/>
          <w:color w:val="000000"/>
          <w:sz w:val="22"/>
          <w:szCs w:val="22"/>
          <w:u w:color="000000"/>
          <w:rtl w:val="0"/>
          <w:lang w:val="it-IT"/>
        </w:rPr>
        <w:t>inserimento dei detenuti e delle persone socialmente svantaggiate nel mondo del lavoro, anche attraverso la stipula di convenzioni con il comune di Roma per la gestione del verde pubblico in alcune aree della citt</w:t>
      </w:r>
      <w:r>
        <w:rPr>
          <w:rFonts w:hAnsi="Book Antiqua" w:hint="default"/>
          <w:color w:val="000000"/>
          <w:sz w:val="22"/>
          <w:szCs w:val="22"/>
          <w:u w:color="000000"/>
          <w:rtl w:val="0"/>
          <w:lang w:val="it-IT"/>
        </w:rPr>
        <w:t>à</w:t>
      </w:r>
      <w:r>
        <w:rPr>
          <w:rFonts w:ascii="Book Antiqua"/>
          <w:color w:val="000000"/>
          <w:sz w:val="22"/>
          <w:szCs w:val="22"/>
          <w:u w:color="000000"/>
          <w:rtl w:val="0"/>
          <w:lang w:val="it-IT"/>
        </w:rPr>
        <w:t xml:space="preserve">. Egli </w:t>
      </w:r>
      <w:r>
        <w:rPr>
          <w:rFonts w:hAnsi="Book Antiqua" w:hint="default"/>
          <w:color w:val="000000"/>
          <w:sz w:val="22"/>
          <w:szCs w:val="22"/>
          <w:u w:color="000000"/>
          <w:rtl w:val="0"/>
          <w:lang w:val="it-IT"/>
        </w:rPr>
        <w:t xml:space="preserve">è </w:t>
      </w:r>
      <w:r>
        <w:rPr>
          <w:rFonts w:ascii="Book Antiqua"/>
          <w:color w:val="000000"/>
          <w:sz w:val="22"/>
          <w:szCs w:val="22"/>
          <w:u w:color="000000"/>
          <w:rtl w:val="0"/>
          <w:lang w:val="it-IT"/>
        </w:rPr>
        <w:t>titolare di ruoli di gestione e controllo nelle cooperative che costituiscono lo strumento imprenditoriale attraverso cui viene realizzata l</w:t>
      </w:r>
      <w:r>
        <w:rPr>
          <w:rFonts w:hAnsi="Book Antiqua" w:hint="default"/>
          <w:color w:val="000000"/>
          <w:sz w:val="22"/>
          <w:szCs w:val="22"/>
          <w:u w:color="000000"/>
          <w:rtl w:val="0"/>
          <w:lang w:val="it-IT"/>
        </w:rPr>
        <w:t>’</w:t>
      </w:r>
      <w:r>
        <w:rPr>
          <w:rFonts w:ascii="Book Antiqua"/>
          <w:color w:val="000000"/>
          <w:sz w:val="22"/>
          <w:szCs w:val="22"/>
          <w:u w:color="000000"/>
          <w:rtl w:val="0"/>
          <w:lang w:val="it-IT"/>
        </w:rPr>
        <w:t>attivit</w:t>
      </w:r>
      <w:r>
        <w:rPr>
          <w:rFonts w:hAnsi="Book Antiqua" w:hint="default"/>
          <w:color w:val="000000"/>
          <w:sz w:val="22"/>
          <w:szCs w:val="22"/>
          <w:u w:color="000000"/>
          <w:rtl w:val="0"/>
          <w:lang w:val="it-IT"/>
        </w:rPr>
        <w:t xml:space="preserve">à </w:t>
      </w:r>
      <w:r>
        <w:rPr>
          <w:rFonts w:ascii="Book Antiqua"/>
          <w:color w:val="000000"/>
          <w:sz w:val="22"/>
          <w:szCs w:val="22"/>
          <w:u w:color="000000"/>
          <w:rtl w:val="0"/>
          <w:lang w:val="it-IT"/>
        </w:rPr>
        <w:t>del sodalizio nel settore economico, con precipuo riguardo ai rapporti con la pubblica amministrazione</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w:t>
      </w:r>
      <w:r>
        <w:rPr>
          <w:rFonts w:hAnsi="Book Antiqua" w:hint="default"/>
          <w:color w:val="000000"/>
          <w:sz w:val="22"/>
          <w:szCs w:val="22"/>
          <w:u w:color="000000"/>
          <w:rtl w:val="0"/>
          <w:lang w:val="it-IT"/>
        </w:rPr>
        <w:t>…</w:t>
      </w:r>
      <w:r>
        <w:rPr>
          <w:rFonts w:ascii="Book Antiqua"/>
          <w:color w:val="000000"/>
          <w:sz w:val="22"/>
          <w:szCs w:val="22"/>
          <w:u w:color="000000"/>
          <w:rtl w:val="0"/>
          <w:lang w:val="it-IT"/>
        </w:rPr>
        <w:t>]</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Il 15.11.2013, alle 10:11, veniva intercettato un dialogo all</w:t>
      </w:r>
      <w:r>
        <w:rPr>
          <w:rFonts w:hAnsi="Book Antiqua" w:hint="default"/>
          <w:color w:val="000000"/>
          <w:sz w:val="22"/>
          <w:szCs w:val="22"/>
          <w:u w:color="000000"/>
          <w:rtl w:val="0"/>
          <w:lang w:val="it-IT"/>
        </w:rPr>
        <w:t>’</w:t>
      </w:r>
      <w:r>
        <w:rPr>
          <w:rFonts w:ascii="Book Antiqua"/>
          <w:color w:val="000000"/>
          <w:sz w:val="22"/>
          <w:szCs w:val="22"/>
          <w:u w:color="000000"/>
          <w:rtl w:val="0"/>
          <w:lang w:val="it-IT"/>
        </w:rPr>
        <w:t>interno dell</w:t>
      </w:r>
      <w:r>
        <w:rPr>
          <w:rFonts w:hAnsi="Book Antiqua" w:hint="default"/>
          <w:color w:val="000000"/>
          <w:sz w:val="22"/>
          <w:szCs w:val="22"/>
          <w:u w:color="000000"/>
          <w:rtl w:val="0"/>
          <w:lang w:val="it-IT"/>
        </w:rPr>
        <w:t>’</w:t>
      </w:r>
      <w:r>
        <w:rPr>
          <w:rFonts w:ascii="Book Antiqua"/>
          <w:color w:val="000000"/>
          <w:sz w:val="22"/>
          <w:szCs w:val="22"/>
          <w:u w:color="000000"/>
          <w:rtl w:val="0"/>
          <w:lang w:val="it-IT"/>
        </w:rPr>
        <w:t>ufficio di Salvatore BUZZI - via Pomona 63, presso la Cooperativa 29 Giugno a r.l. . [</w:t>
      </w:r>
      <w:r>
        <w:rPr>
          <w:rFonts w:hAnsi="Book Antiqua" w:hint="default"/>
          <w:color w:val="000000"/>
          <w:sz w:val="22"/>
          <w:szCs w:val="22"/>
          <w:u w:color="000000"/>
          <w:rtl w:val="0"/>
          <w:lang w:val="it-IT"/>
        </w:rPr>
        <w:t>…</w:t>
      </w:r>
      <w:r>
        <w:rPr>
          <w:rFonts w:ascii="Book Antiqua"/>
          <w:color w:val="000000"/>
          <w:sz w:val="22"/>
          <w:szCs w:val="22"/>
          <w:u w:color="000000"/>
          <w:rtl w:val="0"/>
          <w:lang w:val="it-IT"/>
        </w:rPr>
        <w:t>]</w:t>
      </w:r>
    </w:p>
    <w:p>
      <w:pPr>
        <w:pStyle w:val="Normal"/>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Claudio BOLLA entrava nell</w:t>
      </w:r>
      <w:r>
        <w:rPr>
          <w:rFonts w:hAnsi="Book Antiqua" w:hint="default"/>
          <w:color w:val="000000"/>
          <w:sz w:val="22"/>
          <w:szCs w:val="22"/>
          <w:u w:color="000000"/>
          <w:rtl w:val="0"/>
          <w:lang w:val="it-IT"/>
        </w:rPr>
        <w:t>’</w:t>
      </w:r>
      <w:r>
        <w:rPr>
          <w:rFonts w:ascii="Book Antiqua"/>
          <w:color w:val="000000"/>
          <w:sz w:val="22"/>
          <w:szCs w:val="22"/>
          <w:u w:color="000000"/>
          <w:rtl w:val="0"/>
          <w:lang w:val="it-IT"/>
        </w:rPr>
        <w:t>ufficio unitamente ad un uomo indicato nel corso del dialogo come Luciano (n.m.i.), accompagnato da due donne di cui una non meglio identificata ed una indicata nel corso del dialogo come Antonella ABETE (n.m.i.). Dal contesto della conversazione e dagli argomenti trattati, emergeva che tali soggetti erano degli avvocati, interpellati dallo stesso BOLLA, per la realizzazione di una struttura legale all</w:t>
      </w:r>
      <w:r>
        <w:rPr>
          <w:rFonts w:hAnsi="Book Antiqua" w:hint="default"/>
          <w:color w:val="000000"/>
          <w:sz w:val="22"/>
          <w:szCs w:val="22"/>
          <w:u w:color="000000"/>
          <w:rtl w:val="0"/>
          <w:lang w:val="it-IT"/>
        </w:rPr>
        <w:t>’</w:t>
      </w:r>
      <w:r>
        <w:rPr>
          <w:rFonts w:ascii="Book Antiqua"/>
          <w:color w:val="000000"/>
          <w:sz w:val="22"/>
          <w:szCs w:val="22"/>
          <w:u w:color="000000"/>
          <w:rtl w:val="0"/>
          <w:lang w:val="it-IT"/>
        </w:rPr>
        <w:t>interno delle cooperative. Nella circostanza, BOLLA illustrava, nel dettaglio, di cosa si occupavano le cooperative, spiegando che erano nate circa 28 anni fa nel carcere di Rebibbia, ad opera di alcuni detenuti. Grazie all</w:t>
      </w:r>
      <w:r>
        <w:rPr>
          <w:rFonts w:hAnsi="Book Antiqua" w:hint="default"/>
          <w:color w:val="000000"/>
          <w:sz w:val="22"/>
          <w:szCs w:val="22"/>
          <w:u w:color="000000"/>
          <w:rtl w:val="0"/>
          <w:lang w:val="it-IT"/>
        </w:rPr>
        <w:t>’</w:t>
      </w:r>
      <w:r>
        <w:rPr>
          <w:rFonts w:ascii="Book Antiqua"/>
          <w:color w:val="000000"/>
          <w:sz w:val="22"/>
          <w:szCs w:val="22"/>
          <w:u w:color="000000"/>
          <w:rtl w:val="0"/>
          <w:lang w:val="it-IT"/>
        </w:rPr>
        <w:t>aiuto delle Istituzioni, veniva creata una piccola cooperativa sociale con lo scopo di far lavorare le persone che non potevano godere di tutti i diritti civili, essendo stati detenuti. Con il tempo la cooperativa, una delle prime in Italia, continuava a crescere e le persone che l</w:t>
      </w:r>
      <w:r>
        <w:rPr>
          <w:rFonts w:hAnsi="Book Antiqua" w:hint="default"/>
          <w:color w:val="000000"/>
          <w:sz w:val="22"/>
          <w:szCs w:val="22"/>
          <w:u w:color="000000"/>
          <w:rtl w:val="0"/>
          <w:lang w:val="it-IT"/>
        </w:rPr>
        <w:t>’</w:t>
      </w:r>
      <w:r>
        <w:rPr>
          <w:rFonts w:ascii="Book Antiqua"/>
          <w:color w:val="000000"/>
          <w:sz w:val="22"/>
          <w:szCs w:val="22"/>
          <w:u w:color="000000"/>
          <w:rtl w:val="0"/>
          <w:lang w:val="it-IT"/>
        </w:rPr>
        <w:t>avevano costituita diventarono anche rappresentanti legali della stessa. Negli anni 1999/2000, la cooperativa (29 Giugno Onlus, ndr) entrava in contatto con la Lega Coop dell</w:t>
      </w:r>
      <w:r>
        <w:rPr>
          <w:rFonts w:hAnsi="Book Antiqua" w:hint="default"/>
          <w:color w:val="000000"/>
          <w:sz w:val="22"/>
          <w:szCs w:val="22"/>
          <w:u w:color="000000"/>
          <w:rtl w:val="0"/>
          <w:lang w:val="it-IT"/>
        </w:rPr>
        <w:t>’</w:t>
      </w:r>
      <w:r>
        <w:rPr>
          <w:rFonts w:ascii="Book Antiqua"/>
          <w:color w:val="000000"/>
          <w:sz w:val="22"/>
          <w:szCs w:val="22"/>
          <w:u w:color="000000"/>
          <w:rtl w:val="0"/>
          <w:lang w:val="it-IT"/>
        </w:rPr>
        <w:t>area emiliano-romagnola, con la quale inizi</w:t>
      </w:r>
      <w:r>
        <w:rPr>
          <w:rFonts w:hAnsi="Book Antiqua" w:hint="default"/>
          <w:color w:val="000000"/>
          <w:sz w:val="22"/>
          <w:szCs w:val="22"/>
          <w:u w:color="000000"/>
          <w:rtl w:val="0"/>
          <w:lang w:val="it-IT"/>
        </w:rPr>
        <w:t xml:space="preserve">ò </w:t>
      </w:r>
      <w:r>
        <w:rPr>
          <w:rFonts w:ascii="Book Antiqua"/>
          <w:color w:val="000000"/>
          <w:sz w:val="22"/>
          <w:szCs w:val="22"/>
          <w:u w:color="000000"/>
          <w:rtl w:val="0"/>
          <w:lang w:val="it-IT"/>
        </w:rPr>
        <w:t>a collaborare nell</w:t>
      </w:r>
      <w:r>
        <w:rPr>
          <w:rFonts w:hAnsi="Book Antiqua" w:hint="default"/>
          <w:color w:val="000000"/>
          <w:sz w:val="22"/>
          <w:szCs w:val="22"/>
          <w:u w:color="000000"/>
          <w:rtl w:val="0"/>
          <w:lang w:val="it-IT"/>
        </w:rPr>
        <w:t>’</w:t>
      </w:r>
      <w:r>
        <w:rPr>
          <w:rFonts w:ascii="Book Antiqua"/>
          <w:color w:val="000000"/>
          <w:sz w:val="22"/>
          <w:szCs w:val="22"/>
          <w:u w:color="000000"/>
          <w:rtl w:val="0"/>
          <w:lang w:val="it-IT"/>
        </w:rPr>
        <w:t>ambito delle pulizie industriali. Ci</w:t>
      </w:r>
      <w:r>
        <w:rPr>
          <w:rFonts w:hAnsi="Book Antiqua" w:hint="default"/>
          <w:color w:val="000000"/>
          <w:sz w:val="22"/>
          <w:szCs w:val="22"/>
          <w:u w:color="000000"/>
          <w:rtl w:val="0"/>
          <w:lang w:val="it-IT"/>
        </w:rPr>
        <w:t xml:space="preserve">ò </w:t>
      </w:r>
      <w:r>
        <w:rPr>
          <w:rFonts w:ascii="Book Antiqua"/>
          <w:color w:val="000000"/>
          <w:sz w:val="22"/>
          <w:szCs w:val="22"/>
          <w:u w:color="000000"/>
          <w:rtl w:val="0"/>
          <w:lang w:val="it-IT"/>
        </w:rPr>
        <w:t>faceva compiere un primo salto di qualit</w:t>
      </w:r>
      <w:r>
        <w:rPr>
          <w:rFonts w:hAnsi="Book Antiqua" w:hint="default"/>
          <w:color w:val="000000"/>
          <w:sz w:val="22"/>
          <w:szCs w:val="22"/>
          <w:u w:color="000000"/>
          <w:rtl w:val="0"/>
          <w:lang w:val="it-IT"/>
        </w:rPr>
        <w:t xml:space="preserve">à </w:t>
      </w:r>
      <w:r>
        <w:rPr>
          <w:rFonts w:ascii="Book Antiqua"/>
          <w:color w:val="000000"/>
          <w:sz w:val="22"/>
          <w:szCs w:val="22"/>
          <w:u w:color="000000"/>
          <w:rtl w:val="0"/>
          <w:lang w:val="it-IT"/>
        </w:rPr>
        <w:t>alla cooperativa stessa, la quale decideva di interessarsi anche della raccolta dei rifiuti e manutenzione del verde.</w:t>
      </w:r>
    </w:p>
    <w:p>
      <w:pPr>
        <w:pStyle w:val="Normal"/>
        <w:ind w:left="567" w:right="567" w:firstLine="0"/>
        <w:rPr>
          <w:rFonts w:ascii="Book Antiqua" w:cs="Book Antiqua" w:hAnsi="Book Antiqua" w:eastAsia="Book Antiqua"/>
          <w:color w:val="000000"/>
          <w:sz w:val="22"/>
          <w:szCs w:val="22"/>
          <w:u w:color="000000"/>
        </w:rPr>
      </w:pPr>
    </w:p>
    <w:p>
      <w:pPr>
        <w:pStyle w:val="Normal"/>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[p. 853, p. 576, p. 855]</w:t>
      </w:r>
    </w:p>
    <w:p>
      <w:pPr>
        <w:pStyle w:val="Normal"/>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 xml:space="preserve">Nei confronti di </w:t>
      </w:r>
      <w:r>
        <w:rPr>
          <w:rFonts w:ascii="Book Antiqua"/>
          <w:color w:val="000000"/>
          <w:sz w:val="22"/>
          <w:szCs w:val="22"/>
          <w:u w:val="single" w:color="000000"/>
          <w:rtl w:val="0"/>
          <w:lang w:val="it-IT"/>
        </w:rPr>
        <w:t>Alessandra GARRONE</w:t>
      </w:r>
      <w:r>
        <w:rPr>
          <w:rFonts w:ascii="Book Antiqua"/>
          <w:color w:val="000000"/>
          <w:sz w:val="22"/>
          <w:szCs w:val="22"/>
          <w:u w:color="000000"/>
          <w:rtl w:val="0"/>
          <w:lang w:val="it-IT"/>
        </w:rPr>
        <w:t>, con la quale Salvatore BUZZI attualmente convive, sono stati ipotizzati i reati fine di turbativa d'asta e corruzione di cui ai capi 16, 18, 19 e 25 di incolpazione [</w:t>
      </w:r>
      <w:r>
        <w:rPr>
          <w:rFonts w:hAnsi="Book Antiqua" w:hint="default"/>
          <w:color w:val="000000"/>
          <w:sz w:val="22"/>
          <w:szCs w:val="22"/>
          <w:u w:color="000000"/>
          <w:rtl w:val="0"/>
          <w:lang w:val="it-IT"/>
        </w:rPr>
        <w:t>…</w:t>
      </w:r>
      <w:r>
        <w:rPr>
          <w:rFonts w:ascii="Book Antiqua"/>
          <w:color w:val="000000"/>
          <w:sz w:val="22"/>
          <w:szCs w:val="22"/>
          <w:u w:color="000000"/>
          <w:rtl w:val="0"/>
          <w:lang w:val="it-IT"/>
        </w:rPr>
        <w:t>]; dalle intercettazioni telefoniche ed ambientali, emerge essere inserita all</w:t>
      </w:r>
      <w:r>
        <w:rPr>
          <w:rFonts w:hAnsi="Book Antiqua" w:hint="default"/>
          <w:color w:val="000000"/>
          <w:sz w:val="22"/>
          <w:szCs w:val="22"/>
          <w:u w:color="000000"/>
          <w:rtl w:val="0"/>
          <w:lang w:val="it-IT"/>
        </w:rPr>
        <w:t>’</w:t>
      </w:r>
      <w:r>
        <w:rPr>
          <w:rFonts w:ascii="Book Antiqua"/>
          <w:color w:val="000000"/>
          <w:sz w:val="22"/>
          <w:szCs w:val="22"/>
          <w:u w:color="000000"/>
          <w:rtl w:val="0"/>
          <w:lang w:val="it-IT"/>
        </w:rPr>
        <w:t>interno del sodalizio, partecipando attivamente alle riunioni presso la sede della cooperativa di via Pomona n. 63, alle quali presenzia anche Massimo CARMINATI e dove vengono pianificate le strategie mirate sia all</w:t>
      </w:r>
      <w:r>
        <w:rPr>
          <w:rFonts w:hAnsi="Book Antiqua" w:hint="default"/>
          <w:color w:val="000000"/>
          <w:sz w:val="22"/>
          <w:szCs w:val="22"/>
          <w:u w:color="000000"/>
          <w:rtl w:val="0"/>
          <w:lang w:val="it-IT"/>
        </w:rPr>
        <w:t>’</w:t>
      </w:r>
      <w:r>
        <w:rPr>
          <w:rFonts w:ascii="Book Antiqua"/>
          <w:color w:val="000000"/>
          <w:sz w:val="22"/>
          <w:szCs w:val="22"/>
          <w:u w:color="000000"/>
          <w:rtl w:val="0"/>
          <w:lang w:val="it-IT"/>
        </w:rPr>
        <w:t>aggiudicazione di appalti sia ad influenzare il corretto andamento della pubblica amministrazione, allo scopo di arricchire le cooperative riconducibili allo stesso BUZZI a vantaggio dell</w:t>
      </w:r>
      <w:r>
        <w:rPr>
          <w:rFonts w:hAnsi="Book Antiqua" w:hint="default"/>
          <w:color w:val="000000"/>
          <w:sz w:val="22"/>
          <w:szCs w:val="22"/>
          <w:u w:color="000000"/>
          <w:rtl w:val="0"/>
          <w:lang w:val="it-IT"/>
        </w:rPr>
        <w:t>’</w:t>
      </w:r>
      <w:r>
        <w:rPr>
          <w:rFonts w:ascii="Book Antiqua"/>
          <w:color w:val="000000"/>
          <w:sz w:val="22"/>
          <w:szCs w:val="22"/>
          <w:u w:color="000000"/>
          <w:rtl w:val="0"/>
          <w:lang w:val="it-IT"/>
        </w:rPr>
        <w:t>intero sodalizio.</w:t>
      </w:r>
    </w:p>
    <w:p>
      <w:pPr>
        <w:pStyle w:val="Normal"/>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w:t>
      </w:r>
      <w:r>
        <w:rPr>
          <w:rFonts w:hAnsi="Book Antiqua" w:hint="default"/>
          <w:color w:val="000000"/>
          <w:sz w:val="22"/>
          <w:szCs w:val="22"/>
          <w:u w:color="000000"/>
          <w:rtl w:val="0"/>
          <w:lang w:val="it-IT"/>
        </w:rPr>
        <w:t>…</w:t>
      </w:r>
      <w:r>
        <w:rPr>
          <w:rFonts w:ascii="Book Antiqua"/>
          <w:color w:val="000000"/>
          <w:sz w:val="22"/>
          <w:szCs w:val="22"/>
          <w:u w:color="000000"/>
          <w:rtl w:val="0"/>
          <w:lang w:val="it-IT"/>
        </w:rPr>
        <w:t>]</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Nel corso della conversazione intercettata all</w:t>
      </w:r>
      <w:r>
        <w:rPr>
          <w:rFonts w:hAnsi="Book Antiqua" w:hint="default"/>
          <w:color w:val="000000"/>
          <w:sz w:val="22"/>
          <w:szCs w:val="22"/>
          <w:u w:color="000000"/>
          <w:rtl w:val="0"/>
          <w:lang w:val="it-IT"/>
        </w:rPr>
        <w:t>’</w:t>
      </w:r>
      <w:r>
        <w:rPr>
          <w:rFonts w:ascii="Book Antiqua"/>
          <w:color w:val="000000"/>
          <w:sz w:val="22"/>
          <w:szCs w:val="22"/>
          <w:u w:color="000000"/>
          <w:rtl w:val="0"/>
          <w:lang w:val="it-IT"/>
        </w:rPr>
        <w:t>interno degli uffici di via Pomona il 12.5.2014, la GARRONE concordava con BUZZI gli importi da indicare nell</w:t>
      </w:r>
      <w:r>
        <w:rPr>
          <w:rFonts w:hAnsi="Book Antiqua" w:hint="default"/>
          <w:color w:val="000000"/>
          <w:sz w:val="22"/>
          <w:szCs w:val="22"/>
          <w:u w:color="000000"/>
          <w:rtl w:val="0"/>
          <w:lang w:val="it-IT"/>
        </w:rPr>
        <w:t>’</w:t>
      </w:r>
      <w:r>
        <w:rPr>
          <w:rFonts w:ascii="Book Antiqua"/>
          <w:color w:val="000000"/>
          <w:sz w:val="22"/>
          <w:szCs w:val="22"/>
          <w:u w:color="000000"/>
          <w:rtl w:val="0"/>
          <w:lang w:val="it-IT"/>
        </w:rPr>
        <w:t>offerta per la gara pubblica inerente la raccolta differenziata presso il comune di Sant</w:t>
      </w:r>
      <w:r>
        <w:rPr>
          <w:rFonts w:hAnsi="Book Antiqua" w:hint="default"/>
          <w:color w:val="000000"/>
          <w:sz w:val="22"/>
          <w:szCs w:val="22"/>
          <w:u w:color="000000"/>
          <w:rtl w:val="0"/>
          <w:lang w:val="it-IT"/>
        </w:rPr>
        <w:t>’</w:t>
      </w:r>
      <w:r>
        <w:rPr>
          <w:rFonts w:ascii="Book Antiqua"/>
          <w:color w:val="000000"/>
          <w:sz w:val="22"/>
          <w:szCs w:val="22"/>
          <w:u w:color="000000"/>
          <w:rtl w:val="0"/>
          <w:lang w:val="it-IT"/>
        </w:rPr>
        <w:t>Oreste (RM), rivelando l</w:t>
      </w:r>
      <w:r>
        <w:rPr>
          <w:rFonts w:hAnsi="Book Antiqua" w:hint="default"/>
          <w:color w:val="000000"/>
          <w:sz w:val="22"/>
          <w:szCs w:val="22"/>
          <w:u w:color="000000"/>
          <w:rtl w:val="0"/>
          <w:lang w:val="it-IT"/>
        </w:rPr>
        <w:t>’</w:t>
      </w:r>
      <w:r>
        <w:rPr>
          <w:rFonts w:ascii="Book Antiqua"/>
          <w:color w:val="000000"/>
          <w:sz w:val="22"/>
          <w:szCs w:val="22"/>
          <w:u w:color="000000"/>
          <w:rtl w:val="0"/>
          <w:lang w:val="it-IT"/>
        </w:rPr>
        <w:t>intenzione di sostituire la busta precedentemente consegnata con una nuova, (</w:t>
      </w:r>
      <w:r>
        <w:rPr>
          <w:rFonts w:hAnsi="Book Antiqua" w:hint="default"/>
          <w:color w:val="000000"/>
          <w:sz w:val="22"/>
          <w:szCs w:val="22"/>
          <w:u w:color="000000"/>
          <w:rtl w:val="0"/>
          <w:lang w:val="it-IT"/>
        </w:rPr>
        <w:t>“</w:t>
      </w:r>
      <w:r>
        <w:rPr>
          <w:rFonts w:ascii="Book Antiqua"/>
          <w:color w:val="000000"/>
          <w:sz w:val="22"/>
          <w:szCs w:val="22"/>
          <w:u w:color="000000"/>
          <w:rtl w:val="0"/>
          <w:lang w:val="it-IT"/>
        </w:rPr>
        <w:t xml:space="preserve">BUZZI: senti </w:t>
      </w:r>
      <w:r>
        <w:rPr>
          <w:rFonts w:hAnsi="Book Antiqua" w:hint="default"/>
          <w:color w:val="000000"/>
          <w:sz w:val="22"/>
          <w:szCs w:val="22"/>
          <w:u w:color="000000"/>
          <w:rtl w:val="0"/>
          <w:lang w:val="it-IT"/>
        </w:rPr>
        <w:t xml:space="preserve">è </w:t>
      </w:r>
      <w:r>
        <w:rPr>
          <w:rFonts w:ascii="Book Antiqua"/>
          <w:color w:val="000000"/>
          <w:sz w:val="22"/>
          <w:szCs w:val="22"/>
          <w:u w:color="000000"/>
          <w:rtl w:val="0"/>
          <w:lang w:val="it-IT"/>
        </w:rPr>
        <w:t>andato via lo stupido?.. te domani puoi anda</w:t>
      </w:r>
      <w:r>
        <w:rPr>
          <w:rFonts w:hAnsi="Book Antiqua" w:hint="default"/>
          <w:color w:val="000000"/>
          <w:sz w:val="22"/>
          <w:szCs w:val="22"/>
          <w:u w:color="000000"/>
          <w:rtl w:val="0"/>
          <w:lang w:val="it-IT"/>
        </w:rPr>
        <w:t xml:space="preserve">’ </w:t>
      </w:r>
      <w:r>
        <w:rPr>
          <w:rFonts w:ascii="Book Antiqua"/>
          <w:color w:val="000000"/>
          <w:sz w:val="22"/>
          <w:szCs w:val="22"/>
          <w:u w:color="000000"/>
          <w:rtl w:val="0"/>
          <w:lang w:val="it-IT"/>
        </w:rPr>
        <w:t>all'apertura de sta gara con un'altra busta? GARRONE: con un'altra busta all'apertura della gara?</w:t>
      </w:r>
      <w:r>
        <w:rPr>
          <w:rFonts w:hAnsi="Book Antiqua" w:hint="default"/>
          <w:color w:val="000000"/>
          <w:sz w:val="22"/>
          <w:szCs w:val="22"/>
          <w:u w:color="000000"/>
          <w:rtl w:val="0"/>
          <w:lang w:val="it-IT"/>
        </w:rPr>
        <w:t>”</w:t>
      </w:r>
      <w:r>
        <w:rPr>
          <w:rFonts w:ascii="Book Antiqua"/>
          <w:color w:val="000000"/>
          <w:sz w:val="22"/>
          <w:szCs w:val="22"/>
          <w:u w:color="000000"/>
          <w:rtl w:val="0"/>
          <w:lang w:val="it-IT"/>
        </w:rPr>
        <w:t>) contenente l</w:t>
      </w:r>
      <w:r>
        <w:rPr>
          <w:rFonts w:hAnsi="Book Antiqua" w:hint="default"/>
          <w:color w:val="000000"/>
          <w:sz w:val="22"/>
          <w:szCs w:val="22"/>
          <w:u w:color="000000"/>
          <w:rtl w:val="0"/>
          <w:lang w:val="it-IT"/>
        </w:rPr>
        <w:t>’</w:t>
      </w:r>
      <w:r>
        <w:rPr>
          <w:rFonts w:ascii="Book Antiqua"/>
          <w:color w:val="000000"/>
          <w:sz w:val="22"/>
          <w:szCs w:val="22"/>
          <w:u w:color="000000"/>
          <w:rtl w:val="0"/>
          <w:lang w:val="it-IT"/>
        </w:rPr>
        <w:t>offerta migliore. Come si evinceva dagli sms inviati successivamente ("Risultati sant' Oreste: Abbiamo vintoooooooo!!!;!), la gara veniva effettivamente aggiudicata dalla cooperativa riconducibile a BUZZI; il 5 maggio 2014,sempre all</w:t>
      </w:r>
      <w:r>
        <w:rPr>
          <w:rFonts w:hAnsi="Book Antiqua" w:hint="default"/>
          <w:color w:val="000000"/>
          <w:sz w:val="22"/>
          <w:szCs w:val="22"/>
          <w:u w:color="000000"/>
          <w:rtl w:val="0"/>
          <w:lang w:val="it-IT"/>
        </w:rPr>
        <w:t>’</w:t>
      </w:r>
      <w:r>
        <w:rPr>
          <w:rFonts w:ascii="Book Antiqua"/>
          <w:color w:val="000000"/>
          <w:sz w:val="22"/>
          <w:szCs w:val="22"/>
          <w:u w:color="000000"/>
          <w:rtl w:val="0"/>
          <w:lang w:val="it-IT"/>
        </w:rPr>
        <w:t>interno degli uffici di via Pomona n. 63, la GARRONE, confrontandosi con BUZZI sui conteggi relativi al progetto da inviare per una gara, bandita dall</w:t>
      </w:r>
      <w:r>
        <w:rPr>
          <w:rFonts w:hAnsi="Book Antiqua" w:hint="default"/>
          <w:color w:val="000000"/>
          <w:sz w:val="22"/>
          <w:szCs w:val="22"/>
          <w:u w:color="000000"/>
          <w:rtl w:val="0"/>
          <w:lang w:val="it-IT"/>
        </w:rPr>
        <w:t>’</w:t>
      </w:r>
      <w:r>
        <w:rPr>
          <w:rFonts w:ascii="Book Antiqua"/>
          <w:color w:val="000000"/>
          <w:sz w:val="22"/>
          <w:szCs w:val="22"/>
          <w:u w:color="000000"/>
          <w:rtl w:val="0"/>
          <w:lang w:val="it-IT"/>
        </w:rPr>
        <w:t>AMA S.p.A., concordava con il compagno la modifica, a mano, dell</w:t>
      </w:r>
      <w:r>
        <w:rPr>
          <w:rFonts w:hAnsi="Book Antiqua" w:hint="default"/>
          <w:color w:val="000000"/>
          <w:sz w:val="22"/>
          <w:szCs w:val="22"/>
          <w:u w:color="000000"/>
          <w:rtl w:val="0"/>
          <w:lang w:val="it-IT"/>
        </w:rPr>
        <w:t>’</w:t>
      </w:r>
      <w:r>
        <w:rPr>
          <w:rFonts w:ascii="Book Antiqua"/>
          <w:color w:val="000000"/>
          <w:sz w:val="22"/>
          <w:szCs w:val="22"/>
          <w:u w:color="000000"/>
          <w:rtl w:val="0"/>
          <w:lang w:val="it-IT"/>
        </w:rPr>
        <w:t>atto contenente l</w:t>
      </w:r>
      <w:r>
        <w:rPr>
          <w:rFonts w:hAnsi="Book Antiqua" w:hint="default"/>
          <w:color w:val="000000"/>
          <w:sz w:val="22"/>
          <w:szCs w:val="22"/>
          <w:u w:color="000000"/>
          <w:rtl w:val="0"/>
          <w:lang w:val="it-IT"/>
        </w:rPr>
        <w:t>’</w:t>
      </w:r>
      <w:r>
        <w:rPr>
          <w:rFonts w:ascii="Book Antiqua"/>
          <w:color w:val="000000"/>
          <w:sz w:val="22"/>
          <w:szCs w:val="22"/>
          <w:u w:color="000000"/>
          <w:rtl w:val="0"/>
          <w:lang w:val="it-IT"/>
        </w:rPr>
        <w:t>offerta (</w:t>
      </w:r>
      <w:r>
        <w:rPr>
          <w:rFonts w:hAnsi="Book Antiqua" w:hint="default"/>
          <w:color w:val="000000"/>
          <w:sz w:val="22"/>
          <w:szCs w:val="22"/>
          <w:u w:color="000000"/>
          <w:rtl w:val="0"/>
          <w:lang w:val="it-IT"/>
        </w:rPr>
        <w:t>“</w:t>
      </w:r>
      <w:r>
        <w:rPr>
          <w:rFonts w:ascii="Book Antiqua"/>
          <w:color w:val="000000"/>
          <w:sz w:val="22"/>
          <w:szCs w:val="22"/>
          <w:u w:color="000000"/>
          <w:rtl w:val="0"/>
          <w:lang w:val="it-IT"/>
        </w:rPr>
        <w:t>modifico 1 con 7 che se pu</w:t>
      </w:r>
      <w:r>
        <w:rPr>
          <w:rFonts w:hAnsi="Book Antiqua" w:hint="default"/>
          <w:color w:val="000000"/>
          <w:sz w:val="22"/>
          <w:szCs w:val="22"/>
          <w:u w:color="000000"/>
          <w:rtl w:val="0"/>
          <w:lang w:val="it-IT"/>
        </w:rPr>
        <w:t xml:space="preserve">ò </w:t>
      </w:r>
      <w:r>
        <w:rPr>
          <w:rFonts w:ascii="Book Antiqua"/>
          <w:color w:val="000000"/>
          <w:sz w:val="22"/>
          <w:szCs w:val="22"/>
          <w:u w:color="000000"/>
          <w:rtl w:val="0"/>
          <w:lang w:val="it-IT"/>
        </w:rPr>
        <w:t>modifica</w:t>
      </w:r>
      <w:r>
        <w:rPr>
          <w:rFonts w:hAnsi="Book Antiqua" w:hint="default"/>
          <w:color w:val="000000"/>
          <w:sz w:val="22"/>
          <w:szCs w:val="22"/>
          <w:u w:color="000000"/>
          <w:rtl w:val="0"/>
          <w:lang w:val="it-IT"/>
        </w:rPr>
        <w:t>’</w:t>
      </w:r>
      <w:r>
        <w:rPr>
          <w:rFonts w:ascii="Book Antiqua"/>
          <w:color w:val="000000"/>
          <w:sz w:val="22"/>
          <w:szCs w:val="22"/>
          <w:u w:color="000000"/>
          <w:rtl w:val="0"/>
          <w:lang w:val="it-IT"/>
        </w:rPr>
        <w:t>..-inc-</w:t>
      </w:r>
      <w:r>
        <w:rPr>
          <w:rFonts w:hAnsi="Book Antiqua" w:hint="default"/>
          <w:color w:val="000000"/>
          <w:sz w:val="22"/>
          <w:szCs w:val="22"/>
          <w:u w:color="000000"/>
          <w:rtl w:val="0"/>
          <w:lang w:val="it-IT"/>
        </w:rPr>
        <w:t>”</w:t>
      </w:r>
      <w:r>
        <w:rPr>
          <w:rFonts w:ascii="Book Antiqua"/>
          <w:color w:val="000000"/>
          <w:sz w:val="22"/>
          <w:szCs w:val="22"/>
          <w:u w:color="000000"/>
          <w:rtl w:val="0"/>
          <w:lang w:val="it-IT"/>
        </w:rPr>
        <w:t>).</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w:t>
      </w:r>
      <w:r>
        <w:rPr>
          <w:rFonts w:hAnsi="Book Antiqua" w:hint="default"/>
          <w:color w:val="000000"/>
          <w:sz w:val="22"/>
          <w:szCs w:val="22"/>
          <w:u w:color="000000"/>
          <w:rtl w:val="0"/>
          <w:lang w:val="it-IT"/>
        </w:rPr>
        <w:t>…</w:t>
      </w:r>
      <w:r>
        <w:rPr>
          <w:rFonts w:ascii="Book Antiqua"/>
          <w:color w:val="000000"/>
          <w:sz w:val="22"/>
          <w:szCs w:val="22"/>
          <w:u w:color="000000"/>
          <w:rtl w:val="0"/>
          <w:lang w:val="it-IT"/>
        </w:rPr>
        <w:t>]</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A dimostrazione del ruolo non secondario che la medesima svolge nel sodalizio, la Garrone riveste le cariche formali che seguono:</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dal 24.11.2006, consigliere e, dal 17.05.2013, anche Vice Presidente del C.d.A. della 29</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Giugno Servizi Societ</w:t>
      </w:r>
      <w:r>
        <w:rPr>
          <w:rFonts w:hAnsi="Book Antiqua" w:hint="default"/>
          <w:color w:val="000000"/>
          <w:sz w:val="22"/>
          <w:szCs w:val="22"/>
          <w:u w:color="000000"/>
          <w:rtl w:val="0"/>
          <w:lang w:val="it-IT"/>
        </w:rPr>
        <w:t xml:space="preserve">à </w:t>
      </w:r>
      <w:r>
        <w:rPr>
          <w:rFonts w:ascii="Book Antiqua"/>
          <w:color w:val="000000"/>
          <w:sz w:val="22"/>
          <w:szCs w:val="22"/>
          <w:u w:color="000000"/>
          <w:rtl w:val="0"/>
          <w:lang w:val="it-IT"/>
        </w:rPr>
        <w:t>Coop. di produzione e lavoro (cf: 09229351003), con sede in</w:t>
      </w:r>
    </w:p>
    <w:p>
      <w:pPr>
        <w:pStyle w:val="Normal"/>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Roma via Pomona 63, operante nel settore delle pulizie;</w:t>
      </w:r>
    </w:p>
    <w:p>
      <w:pPr>
        <w:pStyle w:val="Normal"/>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dal 26.06.2012, consigliere del Consorzio Formula Ambiente Societ</w:t>
      </w:r>
      <w:r>
        <w:rPr>
          <w:rFonts w:hAnsi="Book Antiqua" w:hint="default"/>
          <w:color w:val="000000"/>
          <w:sz w:val="22"/>
          <w:szCs w:val="22"/>
          <w:u w:color="000000"/>
          <w:rtl w:val="0"/>
          <w:lang w:val="it-IT"/>
        </w:rPr>
        <w:t xml:space="preserve">à </w:t>
      </w:r>
      <w:r>
        <w:rPr>
          <w:rFonts w:ascii="Book Antiqua"/>
          <w:color w:val="000000"/>
          <w:sz w:val="22"/>
          <w:szCs w:val="22"/>
          <w:u w:color="000000"/>
          <w:rtl w:val="0"/>
          <w:lang w:val="it-IT"/>
        </w:rPr>
        <w:t>Coop. Sociale con sede in Cesena, via Violetti n. 3361, operante nel settore della raccolta dei rifiuti.</w:t>
      </w:r>
    </w:p>
    <w:p>
      <w:pPr>
        <w:pStyle w:val="Normal"/>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dal 04.10.2010, socio della Sarim Immobiliare S.r.l. (p.i. 07599771008), con sede in Roma viale Palmiro Togliatti n. 1639, costituita il 15.07.2003, operante nel settore di locazione di beni immobili propri e sublocazione.</w:t>
      </w:r>
    </w:p>
    <w:p>
      <w:pPr>
        <w:pStyle w:val="Normal"/>
        <w:ind w:left="567" w:right="567" w:firstLine="0"/>
        <w:rPr>
          <w:rFonts w:ascii="Book Antiqua" w:cs="Book Antiqua" w:hAnsi="Book Antiqua" w:eastAsia="Book Antiqua"/>
          <w:color w:val="000000"/>
          <w:sz w:val="22"/>
          <w:szCs w:val="22"/>
          <w:u w:color="000000"/>
        </w:rPr>
      </w:pPr>
    </w:p>
    <w:p>
      <w:pPr>
        <w:pStyle w:val="Normal"/>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[p. 1097]</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 xml:space="preserve">Il 14.10.2013, veniva intercettata una serie di conversazioni piuttosto ambigue, inerenti il rapporto tra Salvatore BUZZI e </w:t>
      </w:r>
      <w:r>
        <w:rPr>
          <w:rFonts w:ascii="Book Antiqua"/>
          <w:color w:val="000000"/>
          <w:sz w:val="22"/>
          <w:szCs w:val="22"/>
          <w:u w:val="single" w:color="000000"/>
          <w:rtl w:val="0"/>
          <w:lang w:val="it-IT"/>
        </w:rPr>
        <w:t>Salvatore FORLENZA</w:t>
      </w:r>
      <w:r>
        <w:rPr>
          <w:rFonts w:ascii="Book Antiqua"/>
          <w:color w:val="000000"/>
          <w:sz w:val="22"/>
          <w:szCs w:val="22"/>
          <w:u w:color="000000"/>
          <w:rtl w:val="0"/>
          <w:lang w:val="it-IT"/>
        </w:rPr>
        <w:t xml:space="preserve"> [nato a Potenza il 02.11.1953] di C.N.S. </w:t>
      </w:r>
      <w:r>
        <w:rPr>
          <w:rFonts w:hAnsi="Book Antiqua" w:hint="default"/>
          <w:color w:val="000000"/>
          <w:sz w:val="22"/>
          <w:szCs w:val="22"/>
          <w:u w:color="000000"/>
          <w:rtl w:val="0"/>
          <w:lang w:val="it-IT"/>
        </w:rPr>
        <w:t xml:space="preserve">– </w:t>
      </w:r>
      <w:r>
        <w:rPr>
          <w:rFonts w:ascii="Book Antiqua"/>
          <w:color w:val="000000"/>
          <w:sz w:val="22"/>
          <w:szCs w:val="22"/>
          <w:u w:color="000000"/>
          <w:rtl w:val="0"/>
          <w:lang w:val="it-IT"/>
        </w:rPr>
        <w:t xml:space="preserve">Consorzio Nazionale Servizi </w:t>
      </w:r>
      <w:r>
        <w:rPr>
          <w:rFonts w:hAnsi="Book Antiqua" w:hint="default"/>
          <w:color w:val="000000"/>
          <w:sz w:val="22"/>
          <w:szCs w:val="22"/>
          <w:u w:color="000000"/>
          <w:rtl w:val="0"/>
          <w:lang w:val="it-IT"/>
        </w:rPr>
        <w:t xml:space="preserve">– </w:t>
      </w:r>
      <w:r>
        <w:rPr>
          <w:rFonts w:ascii="Book Antiqua"/>
          <w:color w:val="000000"/>
          <w:sz w:val="22"/>
          <w:szCs w:val="22"/>
          <w:u w:color="000000"/>
          <w:rtl w:val="0"/>
          <w:lang w:val="it-IT"/>
        </w:rPr>
        <w:t>rintracciabile all</w:t>
      </w:r>
      <w:r>
        <w:rPr>
          <w:rFonts w:hAnsi="Book Antiqua" w:hint="default"/>
          <w:color w:val="000000"/>
          <w:sz w:val="22"/>
          <w:szCs w:val="22"/>
          <w:u w:color="000000"/>
          <w:rtl w:val="0"/>
          <w:lang w:val="it-IT"/>
        </w:rPr>
        <w:t>’</w:t>
      </w:r>
      <w:r>
        <w:rPr>
          <w:rFonts w:ascii="Book Antiqua"/>
          <w:color w:val="000000"/>
          <w:sz w:val="22"/>
          <w:szCs w:val="22"/>
          <w:u w:color="000000"/>
          <w:rtl w:val="0"/>
          <w:lang w:val="it-IT"/>
        </w:rPr>
        <w:t xml:space="preserve">utenza 3357160627. </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 xml:space="preserve">Nel corso delle stesse, BUZZI accennava infatti ad una </w:t>
      </w:r>
      <w:r>
        <w:rPr>
          <w:rFonts w:hAnsi="Book Antiqua" w:hint="default"/>
          <w:color w:val="000000"/>
          <w:sz w:val="22"/>
          <w:szCs w:val="22"/>
          <w:u w:color="000000"/>
          <w:rtl w:val="0"/>
          <w:lang w:val="it-IT"/>
        </w:rPr>
        <w:t>“</w:t>
      </w:r>
      <w:r>
        <w:rPr>
          <w:rFonts w:ascii="Book Antiqua"/>
          <w:color w:val="000000"/>
          <w:sz w:val="22"/>
          <w:szCs w:val="22"/>
          <w:u w:color="000000"/>
          <w:rtl w:val="0"/>
          <w:lang w:val="it-IT"/>
        </w:rPr>
        <w:t>busta</w:t>
      </w:r>
      <w:r>
        <w:rPr>
          <w:rFonts w:hAnsi="Book Antiqua" w:hint="default"/>
          <w:color w:val="000000"/>
          <w:sz w:val="22"/>
          <w:szCs w:val="22"/>
          <w:u w:color="000000"/>
          <w:rtl w:val="0"/>
          <w:lang w:val="it-IT"/>
        </w:rPr>
        <w:t xml:space="preserve">” </w:t>
      </w:r>
      <w:r>
        <w:rPr>
          <w:rFonts w:ascii="Book Antiqua"/>
          <w:color w:val="000000"/>
          <w:sz w:val="22"/>
          <w:szCs w:val="22"/>
          <w:u w:color="000000"/>
          <w:rtl w:val="0"/>
          <w:lang w:val="it-IT"/>
        </w:rPr>
        <w:t xml:space="preserve">contenente </w:t>
      </w:r>
      <w:r>
        <w:rPr>
          <w:rFonts w:hAnsi="Book Antiqua" w:hint="default"/>
          <w:color w:val="000000"/>
          <w:sz w:val="22"/>
          <w:szCs w:val="22"/>
          <w:u w:color="000000"/>
          <w:rtl w:val="0"/>
          <w:lang w:val="it-IT"/>
        </w:rPr>
        <w:t>“</w:t>
      </w:r>
      <w:r>
        <w:rPr>
          <w:rFonts w:ascii="Book Antiqua"/>
          <w:color w:val="000000"/>
          <w:sz w:val="22"/>
          <w:szCs w:val="22"/>
          <w:u w:color="000000"/>
          <w:rtl w:val="0"/>
          <w:lang w:val="it-IT"/>
        </w:rPr>
        <w:t>5000</w:t>
      </w:r>
      <w:r>
        <w:rPr>
          <w:rFonts w:hAnsi="Book Antiqua" w:hint="default"/>
          <w:color w:val="000000"/>
          <w:sz w:val="22"/>
          <w:szCs w:val="22"/>
          <w:u w:color="000000"/>
          <w:rtl w:val="0"/>
          <w:lang w:val="it-IT"/>
        </w:rPr>
        <w:t xml:space="preserve">” </w:t>
      </w:r>
      <w:r>
        <w:rPr>
          <w:rFonts w:ascii="Book Antiqua"/>
          <w:color w:val="000000"/>
          <w:sz w:val="22"/>
          <w:szCs w:val="22"/>
          <w:u w:color="000000"/>
          <w:rtl w:val="0"/>
          <w:lang w:val="it-IT"/>
        </w:rPr>
        <w:t xml:space="preserve">che FORLENZA sarebbe dovuto passare a prelevare. Il dato che si ritiene utile ribadire </w:t>
      </w:r>
      <w:r>
        <w:rPr>
          <w:rFonts w:hAnsi="Book Antiqua" w:hint="default"/>
          <w:color w:val="000000"/>
          <w:sz w:val="22"/>
          <w:szCs w:val="22"/>
          <w:u w:color="000000"/>
          <w:rtl w:val="0"/>
          <w:lang w:val="it-IT"/>
        </w:rPr>
        <w:t xml:space="preserve">è </w:t>
      </w:r>
      <w:r>
        <w:rPr>
          <w:rFonts w:ascii="Book Antiqua"/>
          <w:color w:val="000000"/>
          <w:sz w:val="22"/>
          <w:szCs w:val="22"/>
          <w:u w:color="000000"/>
          <w:rtl w:val="0"/>
          <w:lang w:val="it-IT"/>
        </w:rPr>
        <w:t>che la C.N.S., come gi</w:t>
      </w:r>
      <w:r>
        <w:rPr>
          <w:rFonts w:hAnsi="Book Antiqua" w:hint="default"/>
          <w:color w:val="000000"/>
          <w:sz w:val="22"/>
          <w:szCs w:val="22"/>
          <w:u w:color="000000"/>
          <w:rtl w:val="0"/>
          <w:lang w:val="it-IT"/>
        </w:rPr>
        <w:t xml:space="preserve">à </w:t>
      </w:r>
      <w:r>
        <w:rPr>
          <w:rFonts w:ascii="Book Antiqua"/>
          <w:color w:val="000000"/>
          <w:sz w:val="22"/>
          <w:szCs w:val="22"/>
          <w:u w:color="000000"/>
          <w:rtl w:val="0"/>
          <w:lang w:val="it-IT"/>
        </w:rPr>
        <w:t>ampiamente evidenziato, risultava funzionale allo stesso BUZZI per l</w:t>
      </w:r>
      <w:r>
        <w:rPr>
          <w:rFonts w:hAnsi="Book Antiqua" w:hint="default"/>
          <w:color w:val="000000"/>
          <w:sz w:val="22"/>
          <w:szCs w:val="22"/>
          <w:u w:color="000000"/>
          <w:rtl w:val="0"/>
          <w:lang w:val="it-IT"/>
        </w:rPr>
        <w:t>’</w:t>
      </w:r>
      <w:r>
        <w:rPr>
          <w:rFonts w:ascii="Book Antiqua"/>
          <w:color w:val="000000"/>
          <w:sz w:val="22"/>
          <w:szCs w:val="22"/>
          <w:u w:color="000000"/>
          <w:rtl w:val="0"/>
          <w:lang w:val="it-IT"/>
        </w:rPr>
        <w:t xml:space="preserve">ottenimento dei lavori di raccolta dei rifiuti per le gare indette da AMA Spa. </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w:t>
      </w:r>
      <w:r>
        <w:rPr>
          <w:rFonts w:hAnsi="Book Antiqua" w:hint="default"/>
          <w:color w:val="000000"/>
          <w:sz w:val="22"/>
          <w:szCs w:val="22"/>
          <w:u w:color="000000"/>
          <w:rtl w:val="0"/>
          <w:lang w:val="it-IT"/>
        </w:rPr>
        <w:t>…</w:t>
      </w:r>
      <w:r>
        <w:rPr>
          <w:rFonts w:ascii="Book Antiqua"/>
          <w:color w:val="000000"/>
          <w:sz w:val="22"/>
          <w:szCs w:val="22"/>
          <w:u w:color="000000"/>
          <w:rtl w:val="0"/>
          <w:lang w:val="it-IT"/>
        </w:rPr>
        <w:t>]</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alle 10:56 Salvatore FORLENZA chiamava  BUZZI e, dopo essersi fatto riferire dove si trovasse, gli diceva che l</w:t>
      </w:r>
      <w:r>
        <w:rPr>
          <w:rFonts w:hAnsi="Book Antiqua" w:hint="default"/>
          <w:color w:val="000000"/>
          <w:sz w:val="22"/>
          <w:szCs w:val="22"/>
          <w:u w:color="000000"/>
          <w:rtl w:val="0"/>
          <w:lang w:val="it-IT"/>
        </w:rPr>
        <w:t>’</w:t>
      </w:r>
      <w:r>
        <w:rPr>
          <w:rFonts w:ascii="Book Antiqua"/>
          <w:color w:val="000000"/>
          <w:sz w:val="22"/>
          <w:szCs w:val="22"/>
          <w:u w:color="000000"/>
          <w:rtl w:val="0"/>
          <w:lang w:val="it-IT"/>
        </w:rPr>
        <w:t>avrebbe raggiunto in un quarto d</w:t>
      </w:r>
      <w:r>
        <w:rPr>
          <w:rFonts w:hAnsi="Book Antiqua" w:hint="default"/>
          <w:color w:val="000000"/>
          <w:sz w:val="22"/>
          <w:szCs w:val="22"/>
          <w:u w:color="000000"/>
          <w:rtl w:val="0"/>
          <w:lang w:val="it-IT"/>
        </w:rPr>
        <w:t>’</w:t>
      </w:r>
      <w:r>
        <w:rPr>
          <w:rFonts w:ascii="Book Antiqua"/>
          <w:color w:val="000000"/>
          <w:sz w:val="22"/>
          <w:szCs w:val="22"/>
          <w:u w:color="000000"/>
          <w:rtl w:val="0"/>
          <w:lang w:val="it-IT"/>
        </w:rPr>
        <w:t>ora. Infatti, alle 11:14, FORLENZA lo richiamava per informarlo di trovarsi nella traversa di via Merulana. BUZZI rispondeva che l</w:t>
      </w:r>
      <w:r>
        <w:rPr>
          <w:rFonts w:hAnsi="Book Antiqua" w:hint="default"/>
          <w:color w:val="000000"/>
          <w:sz w:val="22"/>
          <w:szCs w:val="22"/>
          <w:u w:color="000000"/>
          <w:rtl w:val="0"/>
          <w:lang w:val="it-IT"/>
        </w:rPr>
        <w:t>’</w:t>
      </w:r>
      <w:r>
        <w:rPr>
          <w:rFonts w:ascii="Book Antiqua"/>
          <w:color w:val="000000"/>
          <w:sz w:val="22"/>
          <w:szCs w:val="22"/>
          <w:u w:color="000000"/>
          <w:rtl w:val="0"/>
          <w:lang w:val="it-IT"/>
        </w:rPr>
        <w:t>avrebbe raggiunto subito;</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 xml:space="preserve">alle 11:33 BUZZI chiamava in cooperativa e ricordava alla sua collaboratrice, Nadia CERRITO, di </w:t>
      </w:r>
      <w:r>
        <w:rPr>
          <w:rFonts w:hAnsi="Book Antiqua" w:hint="default"/>
          <w:color w:val="000000"/>
          <w:sz w:val="22"/>
          <w:szCs w:val="22"/>
          <w:u w:color="000000"/>
          <w:rtl w:val="0"/>
          <w:lang w:val="it-IT"/>
        </w:rPr>
        <w:t>“</w:t>
      </w:r>
      <w:r>
        <w:rPr>
          <w:rFonts w:ascii="Book Antiqua"/>
          <w:color w:val="000000"/>
          <w:sz w:val="22"/>
          <w:szCs w:val="22"/>
          <w:u w:color="000000"/>
          <w:rtl w:val="0"/>
          <w:lang w:val="it-IT"/>
        </w:rPr>
        <w:t>quella busta</w:t>
      </w:r>
      <w:r>
        <w:rPr>
          <w:rFonts w:hAnsi="Book Antiqua" w:hint="default"/>
          <w:color w:val="000000"/>
          <w:sz w:val="22"/>
          <w:szCs w:val="22"/>
          <w:u w:color="000000"/>
          <w:rtl w:val="0"/>
          <w:lang w:val="it-IT"/>
        </w:rPr>
        <w:t xml:space="preserve">” </w:t>
      </w:r>
      <w:r>
        <w:rPr>
          <w:rFonts w:ascii="Book Antiqua"/>
          <w:color w:val="000000"/>
          <w:sz w:val="22"/>
          <w:szCs w:val="22"/>
          <w:u w:color="000000"/>
          <w:rtl w:val="0"/>
          <w:lang w:val="it-IT"/>
        </w:rPr>
        <w:t xml:space="preserve">che FORLENZA sarebbe passato a prendere nel pomeriggio </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w:t>
      </w:r>
      <w:r>
        <w:rPr>
          <w:rFonts w:hAnsi="Book Antiqua" w:hint="default"/>
          <w:color w:val="000000"/>
          <w:sz w:val="22"/>
          <w:szCs w:val="22"/>
          <w:u w:color="000000"/>
          <w:rtl w:val="0"/>
          <w:lang w:val="it-IT"/>
        </w:rPr>
        <w:t>…</w:t>
      </w:r>
      <w:r>
        <w:rPr>
          <w:rFonts w:ascii="Book Antiqua"/>
          <w:color w:val="000000"/>
          <w:sz w:val="22"/>
          <w:szCs w:val="22"/>
          <w:u w:color="000000"/>
          <w:rtl w:val="0"/>
          <w:lang w:val="it-IT"/>
        </w:rPr>
        <w:t>]</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alle 11:34, BUZZI inviava un sms all</w:t>
      </w:r>
      <w:r>
        <w:rPr>
          <w:rFonts w:hAnsi="Book Antiqua" w:hint="default"/>
          <w:color w:val="000000"/>
          <w:sz w:val="22"/>
          <w:szCs w:val="22"/>
          <w:u w:color="000000"/>
          <w:rtl w:val="0"/>
          <w:lang w:val="it-IT"/>
        </w:rPr>
        <w:t>’</w:t>
      </w:r>
      <w:r>
        <w:rPr>
          <w:rFonts w:ascii="Book Antiqua"/>
          <w:color w:val="000000"/>
          <w:sz w:val="22"/>
          <w:szCs w:val="22"/>
          <w:u w:color="000000"/>
          <w:rtl w:val="0"/>
          <w:lang w:val="it-IT"/>
        </w:rPr>
        <w:t xml:space="preserve">utenza 3383087742, intestata a Nadia CERRITO , con il quale specificava alla collaboratrice quanto accennatole nella telefonata precedente: </w:t>
      </w:r>
      <w:r>
        <w:rPr>
          <w:rFonts w:hAnsi="Book Antiqua" w:hint="default"/>
          <w:color w:val="000000"/>
          <w:sz w:val="22"/>
          <w:szCs w:val="22"/>
          <w:u w:color="000000"/>
          <w:rtl w:val="0"/>
          <w:lang w:val="it-IT"/>
        </w:rPr>
        <w:t xml:space="preserve">“ </w:t>
      </w:r>
      <w:r>
        <w:rPr>
          <w:rFonts w:ascii="Book Antiqua"/>
          <w:color w:val="000000"/>
          <w:sz w:val="22"/>
          <w:szCs w:val="22"/>
          <w:u w:color="000000"/>
          <w:rtl w:val="0"/>
          <w:lang w:val="it-IT"/>
        </w:rPr>
        <w:t>5.000,00</w:t>
      </w:r>
      <w:r>
        <w:rPr>
          <w:rFonts w:hAnsi="Book Antiqua" w:hint="default"/>
          <w:color w:val="000000"/>
          <w:sz w:val="22"/>
          <w:szCs w:val="22"/>
          <w:u w:color="000000"/>
          <w:rtl w:val="0"/>
          <w:lang w:val="it-IT"/>
        </w:rPr>
        <w:t xml:space="preserve">” </w:t>
      </w:r>
      <w:r>
        <w:rPr>
          <w:rFonts w:ascii="Book Antiqua"/>
          <w:color w:val="000000"/>
          <w:sz w:val="22"/>
          <w:szCs w:val="22"/>
          <w:u w:color="000000"/>
          <w:rtl w:val="0"/>
          <w:lang w:val="it-IT"/>
        </w:rPr>
        <w:t xml:space="preserve">, ricevendo, come risposta (sms): </w:t>
      </w:r>
      <w:r>
        <w:rPr>
          <w:rFonts w:hAnsi="Book Antiqua" w:hint="default"/>
          <w:color w:val="000000"/>
          <w:sz w:val="22"/>
          <w:szCs w:val="22"/>
          <w:u w:color="000000"/>
          <w:rtl w:val="0"/>
          <w:lang w:val="it-IT"/>
        </w:rPr>
        <w:t xml:space="preserve">“ </w:t>
      </w:r>
      <w:r>
        <w:rPr>
          <w:rFonts w:ascii="Book Antiqua"/>
          <w:color w:val="000000"/>
          <w:sz w:val="22"/>
          <w:szCs w:val="22"/>
          <w:u w:color="000000"/>
          <w:rtl w:val="0"/>
          <w:lang w:val="it-IT"/>
        </w:rPr>
        <w:t>Ok ho capito</w:t>
      </w:r>
      <w:r>
        <w:rPr>
          <w:rFonts w:hAnsi="Book Antiqua" w:hint="default"/>
          <w:color w:val="000000"/>
          <w:sz w:val="22"/>
          <w:szCs w:val="22"/>
          <w:u w:color="000000"/>
          <w:rtl w:val="0"/>
          <w:lang w:val="it-IT"/>
        </w:rPr>
        <w:t>”</w:t>
      </w:r>
      <w:r>
        <w:rPr>
          <w:rFonts w:ascii="Book Antiqua"/>
          <w:color w:val="000000"/>
          <w:sz w:val="22"/>
          <w:szCs w:val="22"/>
          <w:u w:color="000000"/>
          <w:rtl w:val="0"/>
          <w:lang w:val="it-IT"/>
        </w:rPr>
        <w:t>;</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w:t>
      </w:r>
      <w:r>
        <w:rPr>
          <w:rFonts w:hAnsi="Book Antiqua" w:hint="default"/>
          <w:color w:val="000000"/>
          <w:sz w:val="22"/>
          <w:szCs w:val="22"/>
          <w:u w:color="000000"/>
          <w:rtl w:val="0"/>
          <w:lang w:val="it-IT"/>
        </w:rPr>
        <w:t>…</w:t>
      </w:r>
      <w:r>
        <w:rPr>
          <w:rFonts w:ascii="Book Antiqua"/>
          <w:color w:val="000000"/>
          <w:sz w:val="22"/>
          <w:szCs w:val="22"/>
          <w:u w:color="000000"/>
          <w:rtl w:val="0"/>
          <w:lang w:val="it-IT"/>
        </w:rPr>
        <w:t>]</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alle 14:27, BUZZI contattava nuovamente l</w:t>
      </w:r>
      <w:r>
        <w:rPr>
          <w:rFonts w:hAnsi="Book Antiqua" w:hint="default"/>
          <w:color w:val="000000"/>
          <w:sz w:val="22"/>
          <w:szCs w:val="22"/>
          <w:u w:color="000000"/>
          <w:rtl w:val="0"/>
          <w:lang w:val="it-IT"/>
        </w:rPr>
        <w:t>’</w:t>
      </w:r>
      <w:r>
        <w:rPr>
          <w:rFonts w:ascii="Book Antiqua"/>
          <w:color w:val="000000"/>
          <w:sz w:val="22"/>
          <w:szCs w:val="22"/>
          <w:u w:color="000000"/>
          <w:rtl w:val="0"/>
          <w:lang w:val="it-IT"/>
        </w:rPr>
        <w:t xml:space="preserve">utenza fissa della Cooperativa 29 Giugno, e si faceva passare Nadia (CERRITO). BUZZI, in merito </w:t>
      </w:r>
      <w:r>
        <w:rPr>
          <w:rFonts w:hAnsi="Book Antiqua" w:hint="default"/>
          <w:color w:val="000000"/>
          <w:sz w:val="22"/>
          <w:szCs w:val="22"/>
          <w:u w:color="000000"/>
          <w:rtl w:val="0"/>
          <w:lang w:val="it-IT"/>
        </w:rPr>
        <w:t>“</w:t>
      </w:r>
      <w:r>
        <w:rPr>
          <w:rFonts w:ascii="Book Antiqua"/>
          <w:color w:val="000000"/>
          <w:sz w:val="22"/>
          <w:szCs w:val="22"/>
          <w:u w:color="000000"/>
          <w:rtl w:val="0"/>
          <w:lang w:val="it-IT"/>
        </w:rPr>
        <w:t>alla cosa che t</w:t>
      </w:r>
      <w:r>
        <w:rPr>
          <w:rFonts w:hAnsi="Book Antiqua" w:hint="default"/>
          <w:color w:val="000000"/>
          <w:sz w:val="22"/>
          <w:szCs w:val="22"/>
          <w:u w:color="000000"/>
          <w:rtl w:val="0"/>
          <w:lang w:val="it-IT"/>
        </w:rPr>
        <w:t>’</w:t>
      </w:r>
      <w:r>
        <w:rPr>
          <w:rFonts w:ascii="Book Antiqua"/>
          <w:color w:val="000000"/>
          <w:sz w:val="22"/>
          <w:szCs w:val="22"/>
          <w:u w:color="000000"/>
          <w:rtl w:val="0"/>
          <w:lang w:val="it-IT"/>
        </w:rPr>
        <w:t>ho detto oggi</w:t>
      </w:r>
      <w:r>
        <w:rPr>
          <w:rFonts w:hAnsi="Book Antiqua" w:hint="default"/>
          <w:color w:val="000000"/>
          <w:sz w:val="22"/>
          <w:szCs w:val="22"/>
          <w:u w:color="000000"/>
          <w:rtl w:val="0"/>
          <w:lang w:val="it-IT"/>
        </w:rPr>
        <w:t xml:space="preserve">” </w:t>
      </w:r>
      <w:r>
        <w:rPr>
          <w:rFonts w:ascii="Book Antiqua"/>
          <w:color w:val="000000"/>
          <w:sz w:val="22"/>
          <w:szCs w:val="22"/>
          <w:u w:color="000000"/>
          <w:rtl w:val="0"/>
          <w:lang w:val="it-IT"/>
        </w:rPr>
        <w:t xml:space="preserve">, le specificava di fare </w:t>
      </w:r>
      <w:r>
        <w:rPr>
          <w:rFonts w:hAnsi="Book Antiqua" w:hint="default"/>
          <w:color w:val="000000"/>
          <w:sz w:val="22"/>
          <w:szCs w:val="22"/>
          <w:u w:color="000000"/>
          <w:rtl w:val="0"/>
          <w:lang w:val="it-IT"/>
        </w:rPr>
        <w:t>“</w:t>
      </w:r>
      <w:r>
        <w:rPr>
          <w:rFonts w:ascii="Book Antiqua"/>
          <w:color w:val="000000"/>
          <w:sz w:val="22"/>
          <w:szCs w:val="22"/>
          <w:u w:color="000000"/>
          <w:rtl w:val="0"/>
          <w:lang w:val="it-IT"/>
        </w:rPr>
        <w:t>un po</w:t>
      </w:r>
      <w:r>
        <w:rPr>
          <w:rFonts w:hAnsi="Book Antiqua" w:hint="default"/>
          <w:color w:val="000000"/>
          <w:sz w:val="22"/>
          <w:szCs w:val="22"/>
          <w:u w:color="000000"/>
          <w:rtl w:val="0"/>
          <w:lang w:val="it-IT"/>
        </w:rPr>
        <w:t xml:space="preserve">’ </w:t>
      </w:r>
      <w:r>
        <w:rPr>
          <w:rFonts w:ascii="Book Antiqua"/>
          <w:color w:val="000000"/>
          <w:sz w:val="22"/>
          <w:szCs w:val="22"/>
          <w:u w:color="000000"/>
          <w:rtl w:val="0"/>
          <w:lang w:val="it-IT"/>
        </w:rPr>
        <w:t>de frattaglie</w:t>
      </w:r>
      <w:r>
        <w:rPr>
          <w:rFonts w:hAnsi="Book Antiqua" w:hint="default"/>
          <w:color w:val="000000"/>
          <w:sz w:val="22"/>
          <w:szCs w:val="22"/>
          <w:u w:color="000000"/>
          <w:rtl w:val="0"/>
          <w:lang w:val="it-IT"/>
        </w:rPr>
        <w:t>”</w:t>
      </w:r>
      <w:r>
        <w:rPr>
          <w:rFonts w:ascii="Book Antiqua"/>
          <w:color w:val="000000"/>
          <w:sz w:val="22"/>
          <w:szCs w:val="22"/>
          <w:u w:color="000000"/>
          <w:rtl w:val="0"/>
          <w:lang w:val="it-IT"/>
        </w:rPr>
        <w:t>, a sua discrezione, purch</w:t>
      </w:r>
      <w:r>
        <w:rPr>
          <w:rFonts w:hAnsi="Book Antiqua" w:hint="default"/>
          <w:color w:val="000000"/>
          <w:sz w:val="22"/>
          <w:szCs w:val="22"/>
          <w:u w:color="000000"/>
          <w:rtl w:val="0"/>
          <w:lang w:val="it-IT"/>
        </w:rPr>
        <w:t xml:space="preserve">é </w:t>
      </w:r>
      <w:r>
        <w:rPr>
          <w:rFonts w:ascii="Book Antiqua"/>
          <w:color w:val="000000"/>
          <w:sz w:val="22"/>
          <w:szCs w:val="22"/>
          <w:u w:color="000000"/>
          <w:rtl w:val="0"/>
          <w:lang w:val="it-IT"/>
        </w:rPr>
        <w:t xml:space="preserve">fosse </w:t>
      </w:r>
      <w:r>
        <w:rPr>
          <w:rFonts w:hAnsi="Book Antiqua" w:hint="default"/>
          <w:color w:val="000000"/>
          <w:sz w:val="22"/>
          <w:szCs w:val="22"/>
          <w:u w:color="000000"/>
          <w:rtl w:val="0"/>
          <w:lang w:val="it-IT"/>
        </w:rPr>
        <w:t xml:space="preserve">“ </w:t>
      </w:r>
      <w:r>
        <w:rPr>
          <w:rFonts w:ascii="Book Antiqua"/>
          <w:color w:val="000000"/>
          <w:sz w:val="22"/>
          <w:szCs w:val="22"/>
          <w:u w:color="000000"/>
          <w:rtl w:val="0"/>
          <w:lang w:val="it-IT"/>
        </w:rPr>
        <w:t>quello</w:t>
      </w:r>
      <w:r>
        <w:rPr>
          <w:rFonts w:hAnsi="Book Antiqua" w:hint="default"/>
          <w:color w:val="000000"/>
          <w:sz w:val="22"/>
          <w:szCs w:val="22"/>
          <w:u w:color="000000"/>
          <w:rtl w:val="0"/>
          <w:lang w:val="it-IT"/>
        </w:rPr>
        <w:t xml:space="preserve">” </w:t>
      </w:r>
      <w:r>
        <w:rPr>
          <w:rFonts w:ascii="Book Antiqua"/>
          <w:color w:val="000000"/>
          <w:sz w:val="22"/>
          <w:szCs w:val="22"/>
          <w:u w:color="000000"/>
          <w:rtl w:val="0"/>
          <w:lang w:val="it-IT"/>
        </w:rPr>
        <w:t>il limite massimo, ovvero 5.000. I dialoghi, intenzionalmente resi ambigui dagli interlocutori per dissimulare quanto detto all</w:t>
      </w:r>
      <w:r>
        <w:rPr>
          <w:rFonts w:hAnsi="Book Antiqua" w:hint="default"/>
          <w:color w:val="000000"/>
          <w:sz w:val="22"/>
          <w:szCs w:val="22"/>
          <w:u w:color="000000"/>
          <w:rtl w:val="0"/>
          <w:lang w:val="it-IT"/>
        </w:rPr>
        <w:t>’</w:t>
      </w:r>
      <w:r>
        <w:rPr>
          <w:rFonts w:ascii="Book Antiqua"/>
          <w:color w:val="000000"/>
          <w:sz w:val="22"/>
          <w:szCs w:val="22"/>
          <w:u w:color="000000"/>
          <w:rtl w:val="0"/>
          <w:lang w:val="it-IT"/>
        </w:rPr>
        <w:t>ascolto di terzi, lasciavano comunque intendere che BUZZI avesse lasciato, in una busta, 5.000 euro da consegnare in contanti a FORLENZA e che avesse chiesto proprio a Nadia di dividerli in banconote di diverso taglio.</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rPr>
          <w:rFonts w:ascii="Book Antiqua" w:cs="Book Antiqua" w:hAnsi="Book Antiqua" w:eastAsia="Book Antiqua"/>
          <w:color w:val="000000"/>
          <w:sz w:val="22"/>
          <w:szCs w:val="22"/>
          <w:u w:color="000000"/>
        </w:rPr>
      </w:pPr>
    </w:p>
    <w:p>
      <w:pPr>
        <w:pStyle w:val="Normal"/>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 xml:space="preserve"> [pp. 581-582]</w:t>
      </w:r>
    </w:p>
    <w:p>
      <w:pPr>
        <w:pStyle w:val="Normal"/>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val="single" w:color="000000"/>
          <w:rtl w:val="0"/>
          <w:lang w:val="it-IT"/>
        </w:rPr>
        <w:t>Riccardo MANCINI</w:t>
      </w:r>
      <w:r>
        <w:rPr>
          <w:rFonts w:hAnsi="Book Antiqua" w:hint="default"/>
          <w:color w:val="000000"/>
          <w:sz w:val="22"/>
          <w:szCs w:val="22"/>
          <w:u w:color="000000"/>
          <w:rtl w:val="0"/>
          <w:lang w:val="it-IT"/>
        </w:rPr>
        <w:t xml:space="preserve"> è </w:t>
      </w:r>
      <w:r>
        <w:rPr>
          <w:rFonts w:ascii="Book Antiqua"/>
          <w:color w:val="000000"/>
          <w:sz w:val="22"/>
          <w:szCs w:val="22"/>
          <w:u w:color="000000"/>
          <w:rtl w:val="0"/>
          <w:lang w:val="it-IT"/>
        </w:rPr>
        <w:t xml:space="preserve">espressione del sodalizio in seno alla PA, </w:t>
      </w:r>
      <w:r>
        <w:rPr>
          <w:rFonts w:ascii="Book Antiqua"/>
          <w:i w:val="1"/>
          <w:iCs w:val="1"/>
          <w:color w:val="000000"/>
          <w:sz w:val="22"/>
          <w:szCs w:val="22"/>
          <w:u w:color="000000"/>
          <w:rtl w:val="0"/>
          <w:lang w:val="it-IT"/>
        </w:rPr>
        <w:t>lato sensu</w:t>
      </w:r>
      <w:r>
        <w:rPr>
          <w:rFonts w:ascii="Book Antiqua"/>
          <w:color w:val="000000"/>
          <w:sz w:val="22"/>
          <w:szCs w:val="22"/>
          <w:u w:color="000000"/>
          <w:rtl w:val="0"/>
          <w:lang w:val="it-IT"/>
        </w:rPr>
        <w:t xml:space="preserve"> considerata. Sul piano strettamente formale, egli </w:t>
      </w:r>
      <w:r>
        <w:rPr>
          <w:rFonts w:hAnsi="Book Antiqua" w:hint="default"/>
          <w:color w:val="000000"/>
          <w:sz w:val="22"/>
          <w:szCs w:val="22"/>
          <w:u w:color="000000"/>
          <w:rtl w:val="0"/>
          <w:lang w:val="it-IT"/>
        </w:rPr>
        <w:t xml:space="preserve">è </w:t>
      </w:r>
      <w:r>
        <w:rPr>
          <w:rFonts w:ascii="Book Antiqua"/>
          <w:color w:val="000000"/>
          <w:sz w:val="22"/>
          <w:szCs w:val="22"/>
          <w:u w:color="000000"/>
          <w:rtl w:val="0"/>
          <w:lang w:val="it-IT"/>
        </w:rPr>
        <w:t>stato, fino a poco prima del suo arresto, A. D. di EUR S.p.A., nonch</w:t>
      </w:r>
      <w:r>
        <w:rPr>
          <w:rFonts w:hAnsi="Book Antiqua" w:hint="default"/>
          <w:color w:val="000000"/>
          <w:sz w:val="22"/>
          <w:szCs w:val="22"/>
          <w:u w:color="000000"/>
          <w:rtl w:val="0"/>
          <w:lang w:val="it-IT"/>
        </w:rPr>
        <w:t xml:space="preserve">é </w:t>
      </w:r>
      <w:r>
        <w:rPr>
          <w:rFonts w:ascii="Book Antiqua"/>
          <w:color w:val="000000"/>
          <w:sz w:val="22"/>
          <w:szCs w:val="22"/>
          <w:u w:color="000000"/>
          <w:rtl w:val="0"/>
          <w:lang w:val="it-IT"/>
        </w:rPr>
        <w:t xml:space="preserve">consigliere ed amministratore in numerose aziende operanti nel settore pubblico e privato </w:t>
      </w:r>
    </w:p>
    <w:p>
      <w:pPr>
        <w:pStyle w:val="Normal"/>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[segue: nota 1270 dell</w:t>
      </w:r>
      <w:r>
        <w:rPr>
          <w:rFonts w:hAnsi="Book Antiqua" w:hint="default"/>
          <w:color w:val="000000"/>
          <w:sz w:val="22"/>
          <w:szCs w:val="22"/>
          <w:u w:color="000000"/>
          <w:rtl w:val="0"/>
          <w:lang w:val="it-IT"/>
        </w:rPr>
        <w:t>’</w:t>
      </w:r>
      <w:r>
        <w:rPr>
          <w:rFonts w:ascii="Book Antiqua"/>
          <w:color w:val="000000"/>
          <w:sz w:val="22"/>
          <w:szCs w:val="22"/>
          <w:u w:color="000000"/>
          <w:rtl w:val="0"/>
          <w:lang w:val="it-IT"/>
        </w:rPr>
        <w:t>ordinanza cautelare, in cui sono enumerate le societ</w:t>
      </w:r>
      <w:r>
        <w:rPr>
          <w:rFonts w:hAnsi="Book Antiqua" w:hint="default"/>
          <w:color w:val="000000"/>
          <w:sz w:val="22"/>
          <w:szCs w:val="22"/>
          <w:u w:color="000000"/>
          <w:rtl w:val="0"/>
          <w:lang w:val="it-IT"/>
        </w:rPr>
        <w:t xml:space="preserve">à – </w:t>
      </w:r>
      <w:r>
        <w:rPr>
          <w:rFonts w:ascii="Book Antiqua"/>
          <w:color w:val="000000"/>
          <w:sz w:val="22"/>
          <w:szCs w:val="22"/>
          <w:u w:color="000000"/>
          <w:rtl w:val="0"/>
          <w:lang w:val="it-IT"/>
        </w:rPr>
        <w:t xml:space="preserve">tra le quali quelle che si occupano di rifiuti, ambiente, acqua </w:t>
      </w:r>
      <w:r>
        <w:rPr>
          <w:rFonts w:hAnsi="Book Antiqua" w:hint="default"/>
          <w:color w:val="000000"/>
          <w:sz w:val="22"/>
          <w:szCs w:val="22"/>
          <w:u w:color="000000"/>
          <w:rtl w:val="0"/>
          <w:lang w:val="it-IT"/>
        </w:rPr>
        <w:t xml:space="preserve">– </w:t>
      </w:r>
      <w:r>
        <w:rPr>
          <w:rFonts w:ascii="Book Antiqua"/>
          <w:color w:val="000000"/>
          <w:sz w:val="22"/>
          <w:szCs w:val="22"/>
          <w:u w:color="000000"/>
          <w:rtl w:val="0"/>
          <w:lang w:val="it-IT"/>
        </w:rPr>
        <w:t xml:space="preserve">di cui Mancini </w:t>
      </w:r>
      <w:r>
        <w:rPr>
          <w:rFonts w:hAnsi="Book Antiqua" w:hint="default"/>
          <w:color w:val="000000"/>
          <w:sz w:val="22"/>
          <w:szCs w:val="22"/>
          <w:u w:color="000000"/>
          <w:rtl w:val="0"/>
          <w:lang w:val="it-IT"/>
        </w:rPr>
        <w:t xml:space="preserve">è </w:t>
      </w:r>
      <w:r>
        <w:rPr>
          <w:rFonts w:ascii="Book Antiqua"/>
          <w:color w:val="000000"/>
          <w:sz w:val="22"/>
          <w:szCs w:val="22"/>
          <w:u w:color="000000"/>
          <w:rtl w:val="0"/>
          <w:lang w:val="it-IT"/>
        </w:rPr>
        <w:t xml:space="preserve">partecipe] </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Dal 23.10.1979 al 21.05.2001 membro del consiglio della SOCIETA PER AZIONI COMMERCIO COMBUSTIBILI INDUSTRIA RISCALDAMENTO S.A.C.C.I.R (P.I. 00394340582 con sede legale a Roma in VIA DELL'IMBRECCIATO 85);</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Dal 04.02.1984 al 04.06.2002 consigliere e presidente del Consiglio di amministrazione della GE.FI. FIDUCIARIA ROMANA - S.r.l. (P.I. 05917280587 con sede legale a Roma in via Bissolati n. 20);</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Dal 14.02.1990 al 01.10.2004 membro del consiglio del CONSORZIO SERVIZI PIEMONTE - VALLE D'AOSTA (P.I. 05889210018 con sede legale a Orbassano (TO) in VIA SAN LUIGI 20);</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Dal 18.06.1997 al 28.12.2000 membro del consiglio della CONSORZIO ESCATON (P.I. 07330190013 con sede legale a Rivalta di Torino (TO) in VIA BRUINO 22, cessata);</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Dal 30.06.1997 al 11.04.2001 membro del consiglio della DOMINO S.r.l. (P.I. 07359030017), di cui deteneva anche quote societarie;</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Dal 04.05.2000 AL 18.02.2013 membro del consiglio di amministrazione di UER spa (P.I. 80045870583 con sede legale a Roma in LARGO VIRGILIO TESTA 23);</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 xml:space="preserve">Dal 01.04.2001 al 12.11.2002 consigliere della GESTIONE IMMOBILI FRIULI VENEZIA GIULIA S.p.A. (P.I. 00996840328 con sede legale a Trieste in PIAZZA SANT'ANTONIO NUOVO 6); </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 xml:space="preserve">Dal 18.04.2001 al 06.07.2001 membro del consiglio della FIUMICINO SERVIZI - SOCIETA' PER AZIONI (P.I. 05928701001 con sede legale a Fiumicino (RM) in VIA PORTUENSE 2498); </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 xml:space="preserve">Dal 16.10.2003 al 10.09.2004 presidente del consiglio di amministrazione della AGAMENNONE srl (P.I. 07378941004 con sede legale a Bracciano (RM) in VIA UDINO BOMBIERI 92); </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 xml:space="preserve">Dal 14.09.2005 alla data odierna membro del consiglio di amministrazione della PYROLTECH S.r.l. (P.I. 08656001008 con sede legale a Roma in Piazza di Spagna 66); </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Sino al 01.03.2006 membro del consiglio della CONSORZIO G.S.p.A. - GLOBAL SERVICE PER PUBBLICHE AMMINISTRAZIONI (P.I. 06605361002 con sede legale a Roma in VIA KIRCHER 7, cancellata);</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Dal 30.06.2006 al 18.10.2012 membro del consiglio e presidente dello stesso della TREERRE - RECUPERO RICICLAGGIO RIUTILIZZO - S.p.A. (P.I. 05210341003 con sede legale a Roma in via Pasteur n. 65);</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Dal 19.05.2006 al 31.01.2013 amministratore unico della NEMESIS S.r.l. (P.I. 09035481002 con sede legale a Roma in viale Pasteur n. 65);</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Dal 04.05.2009 al 24.10.2012 amministratore delegato della SOCIETA' GENERALE RIFIUTI S.r.l. (P.I. 10442961008 con sede legale a Siracusa in VIA ADDA 9);</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Amministratore unico, nonch</w:t>
      </w:r>
      <w:r>
        <w:rPr>
          <w:rFonts w:hAnsi="Book Antiqua" w:hint="default"/>
          <w:color w:val="000000"/>
          <w:sz w:val="22"/>
          <w:szCs w:val="22"/>
          <w:u w:color="000000"/>
          <w:rtl w:val="0"/>
          <w:lang w:val="it-IT"/>
        </w:rPr>
        <w:t xml:space="preserve">é </w:t>
      </w:r>
      <w:r>
        <w:rPr>
          <w:rFonts w:ascii="Book Antiqua"/>
          <w:color w:val="000000"/>
          <w:sz w:val="22"/>
          <w:szCs w:val="22"/>
          <w:u w:color="000000"/>
          <w:rtl w:val="0"/>
          <w:lang w:val="it-IT"/>
        </w:rPr>
        <w:t>proprietario, sino al 04.03.2009 della E42 SOCIETA' A RESPONSABILITA' LIMITATA, O IN FORMA ABBREVIATA E 42 S.r.l. (P.I. 08155151007 con sede legale a Roma in viale Europa n. 116);</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Sino al 02.12.2009 membro del consiglio della CONSORZIO PROSA (PROGETTO SICUREZZA AMBIENTE (P.I. 05971631006 con sede legale a POMEZIA in via Roma n. 146, cancellata);</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Dal 18.02.2010 al 01.03.2013 presidente del Consiglio di amministrazione della EUR POWER S.r.l. (P.I. 10857241003 con sede legale a Roma in Largo Virgilio Testa 23);</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Sino al 02.11.2010 membro del consiglio di amministrazione di EUR CONGRESSI S.r.l. (P.I. 09260721007 con sede legale a Roma in Largo Virgilio Testa 23, cancellata);</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Dal 23.04.2010 al 01.03.2013 consigliere della AQUADROME srl (P.I. 09739341007 con sede legale a Roma in VIA CIRO IL GRANDE 16);</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Dal 05.01.2011 al 01.03.2013 Amministratore Delegato di EUR TEL srl (P.I. 10773061006 con sede legale a Roma in LARGO VIRGILIO TESTA 23);</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Dal 11.01.2011 al 31.10.2012 presidente del consiglio di amministrazione della ROMA CONVENTION GROUP S.p.A. (P.I. 10891851007 con sede legale a Roma in VIALE DELLA PITTURA 50);</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Dal 26.01.2011 al 07.12.2012 amministratore della "FTS 2010 SOCIETA' CONSORTILE A RESPONSABILITA' LIMITATA" (P.I. 11021101008 con sede legale a Riolo Gargallo (SR) in ZONA INDUSTRIALE CASALE VECCHIE SALINE SN);</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Dal 09.11.2011 al 05.11.2012 membro del consiglio della TERNI S.C.A.R.L. (P.I. 04603190283 con sede legale a Limena (PD) in VIA L. PIEROBON 46);</w:t>
      </w:r>
    </w:p>
    <w:p>
      <w:pPr>
        <w:pStyle w:val="Normal"/>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Sino al 21.09.2012 amministratore unico della PROGECO S.r.l. (P.I. 01625070899 con sede legale a Roma in VIALE PASTEUR 65)</w:t>
      </w:r>
    </w:p>
    <w:p>
      <w:pPr>
        <w:pStyle w:val="Normal"/>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w:t>
      </w:r>
      <w:r>
        <w:rPr>
          <w:rFonts w:hAnsi="Book Antiqua" w:hint="default"/>
          <w:color w:val="000000"/>
          <w:sz w:val="22"/>
          <w:szCs w:val="22"/>
          <w:u w:color="000000"/>
          <w:rtl w:val="0"/>
          <w:lang w:val="it-IT"/>
        </w:rPr>
        <w:t>…</w:t>
      </w:r>
      <w:r>
        <w:rPr>
          <w:rFonts w:ascii="Book Antiqua"/>
          <w:color w:val="000000"/>
          <w:sz w:val="22"/>
          <w:szCs w:val="22"/>
          <w:u w:color="000000"/>
          <w:rtl w:val="0"/>
          <w:lang w:val="it-IT"/>
        </w:rPr>
        <w:t>]</w:t>
      </w:r>
    </w:p>
    <w:p>
      <w:pPr>
        <w:pStyle w:val="Normal"/>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 xml:space="preserve">[in particolare]: dal 01.08.2012 al 28.02.2013 membro del consiglio di amministrazione della MARCO POLO S.p.A. (una joint venture tra le aziende municipalizzate AMA </w:t>
      </w:r>
      <w:r>
        <w:rPr>
          <w:rFonts w:hAnsi="Book Antiqua" w:hint="default"/>
          <w:color w:val="000000"/>
          <w:sz w:val="22"/>
          <w:szCs w:val="22"/>
          <w:u w:color="000000"/>
          <w:rtl w:val="0"/>
          <w:lang w:val="it-IT"/>
        </w:rPr>
        <w:t xml:space="preserve">– </w:t>
      </w:r>
      <w:r>
        <w:rPr>
          <w:rFonts w:ascii="Book Antiqua"/>
          <w:color w:val="000000"/>
          <w:sz w:val="22"/>
          <w:szCs w:val="22"/>
          <w:u w:color="000000"/>
          <w:rtl w:val="0"/>
          <w:lang w:val="it-IT"/>
        </w:rPr>
        <w:t>Acea ed Eur Spa).</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Il suo essere espressione della Pubblica Amministrazione, tuttavia, non dipende solo dalle cariche formali pure rivestite, ma anche dalla circostanza che egli pu</w:t>
      </w:r>
      <w:r>
        <w:rPr>
          <w:rFonts w:hAnsi="Book Antiqua" w:hint="default"/>
          <w:color w:val="000000"/>
          <w:sz w:val="22"/>
          <w:szCs w:val="22"/>
          <w:u w:color="000000"/>
          <w:rtl w:val="0"/>
          <w:lang w:val="it-IT"/>
        </w:rPr>
        <w:t xml:space="preserve">ò </w:t>
      </w:r>
      <w:r>
        <w:rPr>
          <w:rFonts w:ascii="Book Antiqua"/>
          <w:color w:val="000000"/>
          <w:sz w:val="22"/>
          <w:szCs w:val="22"/>
          <w:u w:color="000000"/>
          <w:rtl w:val="0"/>
          <w:lang w:val="it-IT"/>
        </w:rPr>
        <w:t>essere ritenuto, senza ombra di dubbio, uomo forte dell</w:t>
      </w:r>
      <w:r>
        <w:rPr>
          <w:rFonts w:hAnsi="Book Antiqua" w:hint="default"/>
          <w:color w:val="000000"/>
          <w:sz w:val="22"/>
          <w:szCs w:val="22"/>
          <w:u w:color="000000"/>
          <w:rtl w:val="0"/>
          <w:lang w:val="it-IT"/>
        </w:rPr>
        <w:t>’</w:t>
      </w:r>
      <w:r>
        <w:rPr>
          <w:rFonts w:ascii="Book Antiqua"/>
          <w:color w:val="000000"/>
          <w:sz w:val="22"/>
          <w:szCs w:val="22"/>
          <w:u w:color="000000"/>
          <w:rtl w:val="0"/>
          <w:lang w:val="it-IT"/>
        </w:rPr>
        <w:t>amministrazione comunale romana e, specificamente, plenipotenziario del sindaco Alemanno, quantomeno in taluni settori dell</w:t>
      </w:r>
      <w:r>
        <w:rPr>
          <w:rFonts w:hAnsi="Book Antiqua" w:hint="default"/>
          <w:color w:val="000000"/>
          <w:sz w:val="22"/>
          <w:szCs w:val="22"/>
          <w:u w:color="000000"/>
          <w:rtl w:val="0"/>
          <w:lang w:val="it-IT"/>
        </w:rPr>
        <w:t>’</w:t>
      </w:r>
      <w:r>
        <w:rPr>
          <w:rFonts w:ascii="Book Antiqua"/>
          <w:color w:val="000000"/>
          <w:sz w:val="22"/>
          <w:szCs w:val="22"/>
          <w:u w:color="000000"/>
          <w:rtl w:val="0"/>
          <w:lang w:val="it-IT"/>
        </w:rPr>
        <w:t>amministrazione della cosa pubblica.</w:t>
      </w:r>
    </w:p>
    <w:p>
      <w:pPr>
        <w:pStyle w:val="Normal"/>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 xml:space="preserve">Il dato </w:t>
      </w:r>
      <w:r>
        <w:rPr>
          <w:rFonts w:hAnsi="Book Antiqua" w:hint="default"/>
          <w:color w:val="000000"/>
          <w:sz w:val="22"/>
          <w:szCs w:val="22"/>
          <w:u w:color="000000"/>
          <w:rtl w:val="0"/>
          <w:lang w:val="it-IT"/>
        </w:rPr>
        <w:t xml:space="preserve">è </w:t>
      </w:r>
      <w:r>
        <w:rPr>
          <w:rFonts w:ascii="Book Antiqua"/>
          <w:color w:val="000000"/>
          <w:sz w:val="22"/>
          <w:szCs w:val="22"/>
          <w:u w:color="000000"/>
          <w:rtl w:val="0"/>
          <w:lang w:val="it-IT"/>
        </w:rPr>
        <w:t xml:space="preserve">certo ed </w:t>
      </w:r>
      <w:r>
        <w:rPr>
          <w:rFonts w:hAnsi="Book Antiqua" w:hint="default"/>
          <w:color w:val="000000"/>
          <w:sz w:val="22"/>
          <w:szCs w:val="22"/>
          <w:u w:color="000000"/>
          <w:rtl w:val="0"/>
          <w:lang w:val="it-IT"/>
        </w:rPr>
        <w:t xml:space="preserve">è </w:t>
      </w:r>
      <w:r>
        <w:rPr>
          <w:rFonts w:ascii="Book Antiqua"/>
          <w:color w:val="000000"/>
          <w:sz w:val="22"/>
          <w:szCs w:val="22"/>
          <w:u w:color="000000"/>
          <w:rtl w:val="0"/>
          <w:lang w:val="it-IT"/>
        </w:rPr>
        <w:t xml:space="preserve">stato ricostruito nel proc. 14156/12, nel corso del quale Mancini </w:t>
      </w:r>
      <w:r>
        <w:rPr>
          <w:rFonts w:hAnsi="Book Antiqua" w:hint="default"/>
          <w:color w:val="000000"/>
          <w:sz w:val="22"/>
          <w:szCs w:val="22"/>
          <w:u w:color="000000"/>
          <w:rtl w:val="0"/>
          <w:lang w:val="it-IT"/>
        </w:rPr>
        <w:t xml:space="preserve">è </w:t>
      </w:r>
      <w:r>
        <w:rPr>
          <w:rFonts w:ascii="Book Antiqua"/>
          <w:color w:val="000000"/>
          <w:sz w:val="22"/>
          <w:szCs w:val="22"/>
          <w:u w:color="000000"/>
          <w:rtl w:val="0"/>
          <w:lang w:val="it-IT"/>
        </w:rPr>
        <w:t xml:space="preserve">stato sottoposto a misura cautelare, vicenda processuale cui si </w:t>
      </w:r>
      <w:r>
        <w:rPr>
          <w:rFonts w:hAnsi="Book Antiqua" w:hint="default"/>
          <w:color w:val="000000"/>
          <w:sz w:val="22"/>
          <w:szCs w:val="22"/>
          <w:u w:color="000000"/>
          <w:rtl w:val="0"/>
          <w:lang w:val="it-IT"/>
        </w:rPr>
        <w:t xml:space="preserve">è </w:t>
      </w:r>
      <w:r>
        <w:rPr>
          <w:rFonts w:ascii="Book Antiqua"/>
          <w:color w:val="000000"/>
          <w:sz w:val="22"/>
          <w:szCs w:val="22"/>
          <w:u w:color="000000"/>
          <w:rtl w:val="0"/>
          <w:lang w:val="it-IT"/>
        </w:rPr>
        <w:t>fatto cenno nell</w:t>
      </w:r>
      <w:r>
        <w:rPr>
          <w:rFonts w:hAnsi="Book Antiqua" w:hint="default"/>
          <w:color w:val="000000"/>
          <w:sz w:val="22"/>
          <w:szCs w:val="22"/>
          <w:u w:color="000000"/>
          <w:rtl w:val="0"/>
          <w:lang w:val="it-IT"/>
        </w:rPr>
        <w:t>’</w:t>
      </w:r>
      <w:r>
        <w:rPr>
          <w:rFonts w:ascii="Book Antiqua"/>
          <w:color w:val="000000"/>
          <w:sz w:val="22"/>
          <w:szCs w:val="22"/>
          <w:u w:color="000000"/>
          <w:rtl w:val="0"/>
          <w:lang w:val="it-IT"/>
        </w:rPr>
        <w:t xml:space="preserve">analisi dei metodi, mafioso e corruttivo, utilizzati dal sodalizio </w:t>
      </w:r>
    </w:p>
    <w:p>
      <w:pPr>
        <w:pStyle w:val="Normal"/>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w:t>
      </w:r>
      <w:r>
        <w:rPr>
          <w:rFonts w:hAnsi="Book Antiqua" w:hint="default"/>
          <w:color w:val="000000"/>
          <w:sz w:val="22"/>
          <w:szCs w:val="22"/>
          <w:u w:color="000000"/>
          <w:rtl w:val="0"/>
          <w:lang w:val="it-IT"/>
        </w:rPr>
        <w:t>…</w:t>
      </w:r>
      <w:r>
        <w:rPr>
          <w:rFonts w:ascii="Book Antiqua"/>
          <w:color w:val="000000"/>
          <w:sz w:val="22"/>
          <w:szCs w:val="22"/>
          <w:u w:color="000000"/>
          <w:rtl w:val="0"/>
          <w:lang w:val="it-IT"/>
        </w:rPr>
        <w:t>]</w:t>
      </w:r>
    </w:p>
    <w:p>
      <w:pPr>
        <w:pStyle w:val="Normal"/>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 xml:space="preserve">[con] richiesta di custodia cautelare - cui </w:t>
      </w:r>
      <w:r>
        <w:rPr>
          <w:rFonts w:hAnsi="Book Antiqua" w:hint="default"/>
          <w:color w:val="000000"/>
          <w:sz w:val="22"/>
          <w:szCs w:val="22"/>
          <w:u w:color="000000"/>
          <w:rtl w:val="0"/>
          <w:lang w:val="it-IT"/>
        </w:rPr>
        <w:t xml:space="preserve">è </w:t>
      </w:r>
      <w:r>
        <w:rPr>
          <w:rFonts w:ascii="Book Antiqua"/>
          <w:color w:val="000000"/>
          <w:sz w:val="22"/>
          <w:szCs w:val="22"/>
          <w:u w:color="000000"/>
          <w:rtl w:val="0"/>
          <w:lang w:val="it-IT"/>
        </w:rPr>
        <w:t xml:space="preserve">seguita misura, confermata dal riesame per i reati di tentata estorsione ed estorsione </w:t>
      </w:r>
      <w:r>
        <w:rPr>
          <w:rFonts w:hAnsi="Book Antiqua" w:hint="default"/>
          <w:color w:val="000000"/>
          <w:sz w:val="22"/>
          <w:szCs w:val="22"/>
          <w:u w:color="000000"/>
          <w:rtl w:val="0"/>
          <w:lang w:val="it-IT"/>
        </w:rPr>
        <w:t xml:space="preserve">– </w:t>
      </w:r>
      <w:r>
        <w:rPr>
          <w:rFonts w:ascii="Book Antiqua"/>
          <w:color w:val="000000"/>
          <w:sz w:val="22"/>
          <w:szCs w:val="22"/>
          <w:u w:color="000000"/>
          <w:rtl w:val="0"/>
          <w:lang w:val="it-IT"/>
        </w:rPr>
        <w:t>relativa all</w:t>
      </w:r>
      <w:r>
        <w:rPr>
          <w:rFonts w:hAnsi="Book Antiqua" w:hint="default"/>
          <w:color w:val="000000"/>
          <w:sz w:val="22"/>
          <w:szCs w:val="22"/>
          <w:u w:color="000000"/>
          <w:rtl w:val="0"/>
          <w:lang w:val="it-IT"/>
        </w:rPr>
        <w:t>’</w:t>
      </w:r>
      <w:r>
        <w:rPr>
          <w:rFonts w:ascii="Book Antiqua"/>
          <w:color w:val="000000"/>
          <w:sz w:val="22"/>
          <w:szCs w:val="22"/>
          <w:u w:color="000000"/>
          <w:rtl w:val="0"/>
          <w:lang w:val="it-IT"/>
        </w:rPr>
        <w:t>indicato procedimento, i cui atti sono stati integralmente acquisiti al presente procedimento</w:t>
      </w:r>
    </w:p>
    <w:p>
      <w:pPr>
        <w:pStyle w:val="Normal"/>
        <w:ind w:left="567" w:right="567" w:firstLine="0"/>
        <w:jc w:val="both"/>
        <w:rPr>
          <w:rFonts w:ascii="Book Antiqua" w:cs="Book Antiqua" w:hAnsi="Book Antiqua" w:eastAsia="Book Antiqua"/>
          <w:color w:val="000000"/>
          <w:sz w:val="22"/>
          <w:szCs w:val="22"/>
          <w:u w:color="000000"/>
        </w:rPr>
      </w:pPr>
    </w:p>
    <w:p>
      <w:pPr>
        <w:pStyle w:val="Normal"/>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[p. 855]</w:t>
      </w:r>
    </w:p>
    <w:p>
      <w:pPr>
        <w:pStyle w:val="Normal"/>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 xml:space="preserve">Vicino al BUZZI </w:t>
      </w:r>
      <w:r>
        <w:rPr>
          <w:rFonts w:hAnsi="Book Antiqua" w:hint="default"/>
          <w:color w:val="000000"/>
          <w:sz w:val="22"/>
          <w:szCs w:val="22"/>
          <w:u w:color="000000"/>
          <w:rtl w:val="0"/>
          <w:lang w:val="it-IT"/>
        </w:rPr>
        <w:t xml:space="preserve">è </w:t>
      </w:r>
      <w:r>
        <w:rPr>
          <w:rFonts w:ascii="Book Antiqua"/>
          <w:color w:val="000000"/>
          <w:sz w:val="22"/>
          <w:szCs w:val="22"/>
          <w:u w:color="000000"/>
          <w:rtl w:val="0"/>
          <w:lang w:val="it-IT"/>
        </w:rPr>
        <w:t xml:space="preserve">anche </w:t>
      </w:r>
      <w:r>
        <w:rPr>
          <w:rFonts w:ascii="Book Antiqua"/>
          <w:color w:val="000000"/>
          <w:sz w:val="22"/>
          <w:szCs w:val="22"/>
          <w:u w:val="single" w:color="000000"/>
          <w:rtl w:val="0"/>
          <w:lang w:val="it-IT"/>
        </w:rPr>
        <w:t>Claudio CALDARELLI</w:t>
      </w:r>
      <w:r>
        <w:rPr>
          <w:rFonts w:ascii="Book Antiqua"/>
          <w:color w:val="000000"/>
          <w:sz w:val="22"/>
          <w:szCs w:val="22"/>
          <w:u w:color="000000"/>
          <w:rtl w:val="0"/>
          <w:lang w:val="it-IT"/>
        </w:rPr>
        <w:t xml:space="preserve"> , un suo stretto collaboratore, il quale ha nella struttura dell'associazione il ruolo di partecipe, operando, nel settore della pubblica amministrazione: per un verso egli partecipa attivamente alle attivit</w:t>
      </w:r>
      <w:r>
        <w:rPr>
          <w:rFonts w:hAnsi="Book Antiqua" w:hint="default"/>
          <w:color w:val="000000"/>
          <w:sz w:val="22"/>
          <w:szCs w:val="22"/>
          <w:u w:color="000000"/>
          <w:rtl w:val="0"/>
          <w:lang w:val="it-IT"/>
        </w:rPr>
        <w:t xml:space="preserve">à </w:t>
      </w:r>
      <w:r>
        <w:rPr>
          <w:rFonts w:ascii="Book Antiqua"/>
          <w:color w:val="000000"/>
          <w:sz w:val="22"/>
          <w:szCs w:val="22"/>
          <w:u w:color="000000"/>
          <w:rtl w:val="0"/>
          <w:lang w:val="it-IT"/>
        </w:rPr>
        <w:t>illecite, intese a commettere reati contro la PA, a creare e veicolare flussi illegali, per altro verso pu</w:t>
      </w:r>
      <w:r>
        <w:rPr>
          <w:rFonts w:hAnsi="Book Antiqua" w:hint="default"/>
          <w:color w:val="000000"/>
          <w:sz w:val="22"/>
          <w:szCs w:val="22"/>
          <w:u w:color="000000"/>
          <w:rtl w:val="0"/>
          <w:lang w:val="it-IT"/>
        </w:rPr>
        <w:t xml:space="preserve">ò </w:t>
      </w:r>
      <w:r>
        <w:rPr>
          <w:rFonts w:ascii="Book Antiqua"/>
          <w:color w:val="000000"/>
          <w:sz w:val="22"/>
          <w:szCs w:val="22"/>
          <w:u w:color="000000"/>
          <w:rtl w:val="0"/>
          <w:lang w:val="it-IT"/>
        </w:rPr>
        <w:t xml:space="preserve">essere considerato espressione della pubblica amministrazione </w:t>
      </w:r>
      <w:r>
        <w:rPr>
          <w:rFonts w:ascii="Book Antiqua"/>
          <w:i w:val="1"/>
          <w:iCs w:val="1"/>
          <w:color w:val="000000"/>
          <w:sz w:val="22"/>
          <w:szCs w:val="22"/>
          <w:u w:color="000000"/>
          <w:rtl w:val="0"/>
          <w:lang w:val="it-IT"/>
        </w:rPr>
        <w:t>lato sensu</w:t>
      </w:r>
      <w:r>
        <w:rPr>
          <w:rFonts w:ascii="Book Antiqua"/>
          <w:color w:val="000000"/>
          <w:sz w:val="22"/>
          <w:szCs w:val="22"/>
          <w:u w:color="000000"/>
          <w:rtl w:val="0"/>
          <w:lang w:val="it-IT"/>
        </w:rPr>
        <w:t xml:space="preserve"> considerata, con cui l</w:t>
      </w:r>
      <w:r>
        <w:rPr>
          <w:rFonts w:hAnsi="Book Antiqua" w:hint="default"/>
          <w:color w:val="000000"/>
          <w:sz w:val="22"/>
          <w:szCs w:val="22"/>
          <w:u w:color="000000"/>
          <w:rtl w:val="0"/>
          <w:lang w:val="it-IT"/>
        </w:rPr>
        <w:t>’</w:t>
      </w:r>
      <w:r>
        <w:rPr>
          <w:rFonts w:ascii="Book Antiqua"/>
          <w:color w:val="000000"/>
          <w:sz w:val="22"/>
          <w:szCs w:val="22"/>
          <w:u w:color="000000"/>
          <w:rtl w:val="0"/>
          <w:lang w:val="it-IT"/>
        </w:rPr>
        <w:t>organizzazione interloquisce. Da un lato, ha ruoli formali nelle cooperative riconducibili al gruppo BUZZI, mentre dall</w:t>
      </w:r>
      <w:r>
        <w:rPr>
          <w:rFonts w:hAnsi="Book Antiqua" w:hint="default"/>
          <w:color w:val="000000"/>
          <w:sz w:val="22"/>
          <w:szCs w:val="22"/>
          <w:u w:color="000000"/>
          <w:rtl w:val="0"/>
          <w:lang w:val="it-IT"/>
        </w:rPr>
        <w:t>’</w:t>
      </w:r>
      <w:r>
        <w:rPr>
          <w:rFonts w:ascii="Book Antiqua"/>
          <w:color w:val="000000"/>
          <w:sz w:val="22"/>
          <w:szCs w:val="22"/>
          <w:u w:color="000000"/>
          <w:rtl w:val="0"/>
          <w:lang w:val="it-IT"/>
        </w:rPr>
        <w:t xml:space="preserve">altro ha ruoli politico-istituzionali. Il suo ruolo in concreto </w:t>
      </w:r>
      <w:r>
        <w:rPr>
          <w:rFonts w:hAnsi="Book Antiqua" w:hint="default"/>
          <w:color w:val="000000"/>
          <w:sz w:val="22"/>
          <w:szCs w:val="22"/>
          <w:u w:color="000000"/>
          <w:rtl w:val="0"/>
          <w:lang w:val="it-IT"/>
        </w:rPr>
        <w:t xml:space="preserve">è </w:t>
      </w:r>
      <w:r>
        <w:rPr>
          <w:rFonts w:ascii="Book Antiqua"/>
          <w:color w:val="000000"/>
          <w:sz w:val="22"/>
          <w:szCs w:val="22"/>
          <w:u w:color="000000"/>
          <w:rtl w:val="0"/>
          <w:lang w:val="it-IT"/>
        </w:rPr>
        <w:t>quello di cerniera tra la realt</w:t>
      </w:r>
      <w:r>
        <w:rPr>
          <w:rFonts w:hAnsi="Book Antiqua" w:hint="default"/>
          <w:color w:val="000000"/>
          <w:sz w:val="22"/>
          <w:szCs w:val="22"/>
          <w:u w:color="000000"/>
          <w:rtl w:val="0"/>
          <w:lang w:val="it-IT"/>
        </w:rPr>
        <w:t xml:space="preserve">à </w:t>
      </w:r>
      <w:r>
        <w:rPr>
          <w:rFonts w:ascii="Book Antiqua"/>
          <w:color w:val="000000"/>
          <w:sz w:val="22"/>
          <w:szCs w:val="22"/>
          <w:u w:color="000000"/>
          <w:rtl w:val="0"/>
          <w:lang w:val="it-IT"/>
        </w:rPr>
        <w:t>economica espressa dal gruppo di cooperative che ruotavano intorno a BUZZI e le istituzioni, occupandosi di mantenere i rapporti con i pubblici funzionari dell</w:t>
      </w:r>
      <w:r>
        <w:rPr>
          <w:rFonts w:hAnsi="Book Antiqua" w:hint="default"/>
          <w:color w:val="000000"/>
          <w:sz w:val="22"/>
          <w:szCs w:val="22"/>
          <w:u w:color="000000"/>
          <w:rtl w:val="0"/>
          <w:lang w:val="it-IT"/>
        </w:rPr>
        <w:t>’</w:t>
      </w:r>
      <w:r>
        <w:rPr>
          <w:rFonts w:ascii="Book Antiqua"/>
          <w:color w:val="000000"/>
          <w:sz w:val="22"/>
          <w:szCs w:val="22"/>
          <w:u w:color="000000"/>
          <w:rtl w:val="0"/>
          <w:lang w:val="it-IT"/>
        </w:rPr>
        <w:t>amministrazione capitolina, secondo le direttive impartite dal BUZZI ed agevolando quest</w:t>
      </w:r>
      <w:r>
        <w:rPr>
          <w:rFonts w:hAnsi="Book Antiqua" w:hint="default"/>
          <w:color w:val="000000"/>
          <w:sz w:val="22"/>
          <w:szCs w:val="22"/>
          <w:u w:color="000000"/>
          <w:rtl w:val="0"/>
          <w:lang w:val="it-IT"/>
        </w:rPr>
        <w:t>’</w:t>
      </w:r>
      <w:r>
        <w:rPr>
          <w:rFonts w:ascii="Book Antiqua"/>
          <w:color w:val="000000"/>
          <w:sz w:val="22"/>
          <w:szCs w:val="22"/>
          <w:u w:color="000000"/>
          <w:rtl w:val="0"/>
          <w:lang w:val="it-IT"/>
        </w:rPr>
        <w:t>ultimo sia nel fornirgli informazioni qualificate sia facendosi parte diligente per il conseguimento degli interessi del sodalizio. Partecipa alle riunioni svolte, presso la sede della cooperativa di via Pomona n. 63, alle quali presenzia anche Massimo CARMINATI, e dove vengono pianificate le strategie mirate all</w:t>
      </w:r>
      <w:r>
        <w:rPr>
          <w:rFonts w:hAnsi="Book Antiqua" w:hint="default"/>
          <w:color w:val="000000"/>
          <w:sz w:val="22"/>
          <w:szCs w:val="22"/>
          <w:u w:color="000000"/>
          <w:rtl w:val="0"/>
          <w:lang w:val="it-IT"/>
        </w:rPr>
        <w:t>’</w:t>
      </w:r>
      <w:r>
        <w:rPr>
          <w:rFonts w:ascii="Book Antiqua"/>
          <w:color w:val="000000"/>
          <w:sz w:val="22"/>
          <w:szCs w:val="22"/>
          <w:u w:color="000000"/>
          <w:rtl w:val="0"/>
          <w:lang w:val="it-IT"/>
        </w:rPr>
        <w:t>aggiudicazione di appalti, ad influenzare il corretto andamento della pubblica amministrazione nonch</w:t>
      </w:r>
      <w:r>
        <w:rPr>
          <w:rFonts w:hAnsi="Book Antiqua" w:hint="default"/>
          <w:color w:val="000000"/>
          <w:sz w:val="22"/>
          <w:szCs w:val="22"/>
          <w:u w:color="000000"/>
          <w:rtl w:val="0"/>
          <w:lang w:val="it-IT"/>
        </w:rPr>
        <w:t xml:space="preserve">é </w:t>
      </w:r>
      <w:r>
        <w:rPr>
          <w:rFonts w:ascii="Book Antiqua"/>
          <w:color w:val="000000"/>
          <w:sz w:val="22"/>
          <w:szCs w:val="22"/>
          <w:u w:color="000000"/>
          <w:rtl w:val="0"/>
          <w:lang w:val="it-IT"/>
        </w:rPr>
        <w:t>alla creazione di flussi finanziari illeciti necessari al pagamento delle corruzioni</w:t>
      </w:r>
    </w:p>
    <w:p>
      <w:pPr>
        <w:pStyle w:val="Normal"/>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w:t>
      </w:r>
      <w:r>
        <w:rPr>
          <w:rFonts w:hAnsi="Book Antiqua" w:hint="default"/>
          <w:color w:val="000000"/>
          <w:sz w:val="22"/>
          <w:szCs w:val="22"/>
          <w:u w:color="000000"/>
          <w:rtl w:val="0"/>
          <w:lang w:val="it-IT"/>
        </w:rPr>
        <w:t>…</w:t>
      </w:r>
      <w:r>
        <w:rPr>
          <w:rFonts w:ascii="Book Antiqua"/>
          <w:color w:val="000000"/>
          <w:sz w:val="22"/>
          <w:szCs w:val="22"/>
          <w:u w:color="000000"/>
          <w:rtl w:val="0"/>
          <w:lang w:val="it-IT"/>
        </w:rPr>
        <w:t>]</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Assessore all</w:t>
      </w:r>
      <w:r>
        <w:rPr>
          <w:rFonts w:hAnsi="Book Antiqua" w:hint="default"/>
          <w:color w:val="000000"/>
          <w:sz w:val="22"/>
          <w:szCs w:val="22"/>
          <w:u w:color="000000"/>
          <w:rtl w:val="0"/>
          <w:lang w:val="it-IT"/>
        </w:rPr>
        <w:t>’</w:t>
      </w:r>
      <w:r>
        <w:rPr>
          <w:rFonts w:ascii="Book Antiqua"/>
          <w:color w:val="000000"/>
          <w:sz w:val="22"/>
          <w:szCs w:val="22"/>
          <w:u w:color="000000"/>
          <w:rtl w:val="0"/>
          <w:lang w:val="it-IT"/>
        </w:rPr>
        <w:t>ambiente, verde pubblico e protezione civile del comune di Cerveteri (dal 13.12.1999 al 2003);</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Assessore all</w:t>
      </w:r>
      <w:r>
        <w:rPr>
          <w:rFonts w:hAnsi="Book Antiqua" w:hint="default"/>
          <w:color w:val="000000"/>
          <w:sz w:val="22"/>
          <w:szCs w:val="22"/>
          <w:u w:color="000000"/>
          <w:rtl w:val="0"/>
          <w:lang w:val="it-IT"/>
        </w:rPr>
        <w:t>’</w:t>
      </w:r>
      <w:r>
        <w:rPr>
          <w:rFonts w:ascii="Book Antiqua"/>
          <w:color w:val="000000"/>
          <w:sz w:val="22"/>
          <w:szCs w:val="22"/>
          <w:u w:color="000000"/>
          <w:rtl w:val="0"/>
          <w:lang w:val="it-IT"/>
        </w:rPr>
        <w:t xml:space="preserve">anagrafe, verde pubblico del comune di Ardea (2004 </w:t>
      </w:r>
      <w:r>
        <w:rPr>
          <w:rFonts w:hAnsi="Book Antiqua" w:hint="default"/>
          <w:color w:val="000000"/>
          <w:sz w:val="22"/>
          <w:szCs w:val="22"/>
          <w:u w:color="000000"/>
          <w:rtl w:val="0"/>
          <w:lang w:val="it-IT"/>
        </w:rPr>
        <w:t xml:space="preserve">– </w:t>
      </w:r>
      <w:r>
        <w:rPr>
          <w:rFonts w:ascii="Book Antiqua"/>
          <w:color w:val="000000"/>
          <w:sz w:val="22"/>
          <w:szCs w:val="22"/>
          <w:u w:color="000000"/>
          <w:rtl w:val="0"/>
          <w:lang w:val="it-IT"/>
        </w:rPr>
        <w:t>2006);</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Assessore alle attivit</w:t>
      </w:r>
      <w:r>
        <w:rPr>
          <w:rFonts w:hAnsi="Book Antiqua" w:hint="default"/>
          <w:color w:val="000000"/>
          <w:sz w:val="22"/>
          <w:szCs w:val="22"/>
          <w:u w:color="000000"/>
          <w:rtl w:val="0"/>
          <w:lang w:val="it-IT"/>
        </w:rPr>
        <w:t xml:space="preserve">à </w:t>
      </w:r>
      <w:r>
        <w:rPr>
          <w:rFonts w:ascii="Book Antiqua"/>
          <w:color w:val="000000"/>
          <w:sz w:val="22"/>
          <w:szCs w:val="22"/>
          <w:u w:color="000000"/>
          <w:rtl w:val="0"/>
          <w:lang w:val="it-IT"/>
        </w:rPr>
        <w:t xml:space="preserve">produttive del comune di Fiumicino (01.06.2008 </w:t>
      </w:r>
      <w:r>
        <w:rPr>
          <w:rFonts w:hAnsi="Book Antiqua" w:hint="default"/>
          <w:color w:val="000000"/>
          <w:sz w:val="22"/>
          <w:szCs w:val="22"/>
          <w:u w:color="000000"/>
          <w:rtl w:val="0"/>
          <w:lang w:val="it-IT"/>
        </w:rPr>
        <w:t xml:space="preserve">– </w:t>
      </w:r>
      <w:r>
        <w:rPr>
          <w:rFonts w:ascii="Book Antiqua"/>
          <w:color w:val="000000"/>
          <w:sz w:val="22"/>
          <w:szCs w:val="22"/>
          <w:u w:color="000000"/>
          <w:rtl w:val="0"/>
          <w:lang w:val="it-IT"/>
        </w:rPr>
        <w:t xml:space="preserve">16.12.2009); </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Assessore alle politiche dei servizi sociali dell</w:t>
      </w:r>
      <w:r>
        <w:rPr>
          <w:rFonts w:hAnsi="Book Antiqua" w:hint="default"/>
          <w:color w:val="000000"/>
          <w:sz w:val="22"/>
          <w:szCs w:val="22"/>
          <w:u w:color="000000"/>
          <w:rtl w:val="0"/>
          <w:lang w:val="it-IT"/>
        </w:rPr>
        <w:t>’</w:t>
      </w:r>
      <w:r>
        <w:rPr>
          <w:rFonts w:ascii="Book Antiqua"/>
          <w:color w:val="000000"/>
          <w:sz w:val="22"/>
          <w:szCs w:val="22"/>
          <w:u w:color="000000"/>
          <w:rtl w:val="0"/>
          <w:lang w:val="it-IT"/>
        </w:rPr>
        <w:t>ex Municipio XIX</w:t>
      </w:r>
      <w:r>
        <w:rPr>
          <w:rFonts w:hAnsi="Book Antiqua" w:hint="default"/>
          <w:color w:val="000000"/>
          <w:sz w:val="22"/>
          <w:szCs w:val="22"/>
          <w:u w:color="000000"/>
          <w:rtl w:val="0"/>
          <w:lang w:val="it-IT"/>
        </w:rPr>
        <w:t>° “</w:t>
      </w:r>
      <w:r>
        <w:rPr>
          <w:rFonts w:ascii="Book Antiqua"/>
          <w:color w:val="000000"/>
          <w:sz w:val="22"/>
          <w:szCs w:val="22"/>
          <w:u w:color="000000"/>
          <w:rtl w:val="0"/>
          <w:lang w:val="it-IT"/>
        </w:rPr>
        <w:t>Monte Mario</w:t>
      </w:r>
      <w:r>
        <w:rPr>
          <w:rFonts w:hAnsi="Book Antiqua" w:hint="default"/>
          <w:color w:val="000000"/>
          <w:sz w:val="22"/>
          <w:szCs w:val="22"/>
          <w:u w:color="000000"/>
          <w:rtl w:val="0"/>
          <w:lang w:val="it-IT"/>
        </w:rPr>
        <w:t>”</w:t>
      </w:r>
      <w:r>
        <w:rPr>
          <w:rFonts w:ascii="Book Antiqua"/>
          <w:i w:val="1"/>
          <w:iCs w:val="1"/>
          <w:color w:val="000000"/>
          <w:sz w:val="22"/>
          <w:szCs w:val="22"/>
          <w:u w:color="000000"/>
          <w:rtl w:val="0"/>
          <w:lang w:val="it-IT"/>
        </w:rPr>
        <w:t xml:space="preserve"> </w:t>
      </w:r>
      <w:r>
        <w:rPr>
          <w:rFonts w:ascii="Book Antiqua"/>
          <w:color w:val="000000"/>
          <w:sz w:val="22"/>
          <w:szCs w:val="22"/>
          <w:u w:color="000000"/>
          <w:rtl w:val="0"/>
          <w:lang w:val="it-IT"/>
        </w:rPr>
        <w:t>del comune di Roma - ora XIV</w:t>
      </w:r>
      <w:r>
        <w:rPr>
          <w:rFonts w:hAnsi="Book Antiqua" w:hint="default"/>
          <w:color w:val="000000"/>
          <w:sz w:val="22"/>
          <w:szCs w:val="22"/>
          <w:u w:color="000000"/>
          <w:rtl w:val="0"/>
          <w:lang w:val="it-IT"/>
        </w:rPr>
        <w:t xml:space="preserve">° </w:t>
      </w:r>
      <w:r>
        <w:rPr>
          <w:rFonts w:ascii="Book Antiqua"/>
          <w:color w:val="000000"/>
          <w:sz w:val="22"/>
          <w:szCs w:val="22"/>
          <w:u w:color="000000"/>
          <w:rtl w:val="0"/>
          <w:lang w:val="it-IT"/>
        </w:rPr>
        <w:t xml:space="preserve">Municipio </w:t>
      </w:r>
      <w:r>
        <w:rPr>
          <w:rFonts w:hAnsi="Book Antiqua" w:hint="default"/>
          <w:color w:val="000000"/>
          <w:sz w:val="22"/>
          <w:szCs w:val="22"/>
          <w:u w:color="000000"/>
          <w:rtl w:val="0"/>
          <w:lang w:val="it-IT"/>
        </w:rPr>
        <w:t xml:space="preserve">– </w:t>
      </w:r>
      <w:r>
        <w:rPr>
          <w:rFonts w:ascii="Book Antiqua"/>
          <w:color w:val="000000"/>
          <w:sz w:val="22"/>
          <w:szCs w:val="22"/>
          <w:u w:color="000000"/>
          <w:rtl w:val="0"/>
          <w:lang w:val="it-IT"/>
        </w:rPr>
        <w:t>(da febbraio 2012 al febbraio 2013)</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rPr>
          <w:rFonts w:ascii="Book Antiqua Bold" w:cs="Book Antiqua Bold" w:hAnsi="Book Antiqua Bold" w:eastAsia="Book Antiqua Bold"/>
          <w:b w:val="1"/>
          <w:bCs w:val="1"/>
          <w:i w:val="1"/>
          <w:iCs w:val="1"/>
          <w:color w:val="000000"/>
          <w:sz w:val="22"/>
          <w:szCs w:val="22"/>
          <w:u w:color="000000"/>
        </w:rPr>
      </w:pPr>
    </w:p>
    <w:p>
      <w:pPr>
        <w:pStyle w:val="Normal"/>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[p. 116]</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[impianto da creare nel comune di Morlupo]</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 xml:space="preserve">Il 23 luglio 2013 il II Reparto Investigativo del ROS, espletava un servizio di osservazione nei pressi del ristorante romano </w:t>
      </w:r>
      <w:r>
        <w:rPr>
          <w:rFonts w:hAnsi="Book Antiqua" w:hint="default"/>
          <w:color w:val="000000"/>
          <w:sz w:val="22"/>
          <w:szCs w:val="22"/>
          <w:u w:color="000000"/>
          <w:rtl w:val="0"/>
          <w:lang w:val="it-IT"/>
        </w:rPr>
        <w:t>“</w:t>
      </w:r>
      <w:r>
        <w:rPr>
          <w:rFonts w:ascii="Book Antiqua"/>
          <w:color w:val="000000"/>
          <w:sz w:val="22"/>
          <w:szCs w:val="22"/>
          <w:u w:color="000000"/>
          <w:rtl w:val="0"/>
          <w:lang w:val="it-IT"/>
        </w:rPr>
        <w:t>Dar Bruttone</w:t>
      </w:r>
      <w:r>
        <w:rPr>
          <w:rFonts w:hAnsi="Book Antiqua" w:hint="default"/>
          <w:color w:val="000000"/>
          <w:sz w:val="22"/>
          <w:szCs w:val="22"/>
          <w:u w:color="000000"/>
          <w:rtl w:val="0"/>
          <w:lang w:val="it-IT"/>
        </w:rPr>
        <w:t>”</w:t>
      </w:r>
      <w:r>
        <w:rPr>
          <w:rFonts w:ascii="Book Antiqua"/>
          <w:color w:val="000000"/>
          <w:sz w:val="22"/>
          <w:szCs w:val="22"/>
          <w:u w:color="000000"/>
          <w:rtl w:val="0"/>
          <w:lang w:val="it-IT"/>
        </w:rPr>
        <w:t>. Contestualmente, il medesimo Reparto, dava esecuzione al decreto RIT 6047/13 grazie al quale veniva effettuata l</w:t>
      </w:r>
      <w:r>
        <w:rPr>
          <w:rFonts w:hAnsi="Book Antiqua" w:hint="default"/>
          <w:color w:val="000000"/>
          <w:sz w:val="22"/>
          <w:szCs w:val="22"/>
          <w:u w:color="000000"/>
          <w:rtl w:val="0"/>
          <w:lang w:val="it-IT"/>
        </w:rPr>
        <w:t>’</w:t>
      </w:r>
      <w:r>
        <w:rPr>
          <w:rFonts w:ascii="Book Antiqua"/>
          <w:color w:val="000000"/>
          <w:sz w:val="22"/>
          <w:szCs w:val="22"/>
          <w:u w:color="000000"/>
          <w:rtl w:val="0"/>
          <w:lang w:val="it-IT"/>
        </w:rPr>
        <w:t>intercettazione delle conversazioni tra presenti, l</w:t>
      </w:r>
      <w:r>
        <w:rPr>
          <w:rFonts w:hAnsi="Book Antiqua" w:hint="default"/>
          <w:color w:val="000000"/>
          <w:sz w:val="22"/>
          <w:szCs w:val="22"/>
          <w:u w:color="000000"/>
          <w:rtl w:val="0"/>
          <w:lang w:val="it-IT"/>
        </w:rPr>
        <w:t>’</w:t>
      </w:r>
      <w:r>
        <w:rPr>
          <w:rFonts w:ascii="Book Antiqua"/>
          <w:color w:val="000000"/>
          <w:sz w:val="22"/>
          <w:szCs w:val="22"/>
          <w:u w:color="000000"/>
          <w:rtl w:val="0"/>
          <w:lang w:val="it-IT"/>
        </w:rPr>
        <w:t>analisi delle quali poteva evidenziare come tra i presenti:</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 CARMINATI Massimo sollecitasse, a GRAMAZIO Luca, l</w:t>
      </w:r>
      <w:r>
        <w:rPr>
          <w:rFonts w:hAnsi="Book Antiqua" w:hint="default"/>
          <w:color w:val="000000"/>
          <w:sz w:val="22"/>
          <w:szCs w:val="22"/>
          <w:u w:color="000000"/>
          <w:rtl w:val="0"/>
          <w:lang w:val="it-IT"/>
        </w:rPr>
        <w:t>’</w:t>
      </w:r>
      <w:r>
        <w:rPr>
          <w:rFonts w:ascii="Book Antiqua"/>
          <w:color w:val="000000"/>
          <w:sz w:val="22"/>
          <w:szCs w:val="22"/>
          <w:u w:color="000000"/>
          <w:rtl w:val="0"/>
          <w:lang w:val="it-IT"/>
        </w:rPr>
        <w:t xml:space="preserve">intervento presso </w:t>
      </w:r>
      <w:r>
        <w:rPr>
          <w:rFonts w:hAnsi="Book Antiqua" w:hint="default"/>
          <w:color w:val="000000"/>
          <w:sz w:val="22"/>
          <w:szCs w:val="22"/>
          <w:u w:color="000000"/>
          <w:rtl w:val="0"/>
          <w:lang w:val="it-IT"/>
        </w:rPr>
        <w:t>“</w:t>
      </w:r>
      <w:r>
        <w:rPr>
          <w:rFonts w:ascii="Book Antiqua"/>
          <w:color w:val="000000"/>
          <w:sz w:val="22"/>
          <w:szCs w:val="22"/>
          <w:u w:color="000000"/>
          <w:rtl w:val="0"/>
          <w:lang w:val="it-IT"/>
        </w:rPr>
        <w:t>Tommaso</w:t>
      </w:r>
      <w:r>
        <w:rPr>
          <w:rFonts w:hAnsi="Book Antiqua" w:hint="default"/>
          <w:color w:val="000000"/>
          <w:sz w:val="22"/>
          <w:szCs w:val="22"/>
          <w:u w:color="000000"/>
          <w:rtl w:val="0"/>
          <w:lang w:val="it-IT"/>
        </w:rPr>
        <w:t xml:space="preserve">” </w:t>
      </w:r>
      <w:r>
        <w:rPr>
          <w:rFonts w:ascii="Book Antiqua"/>
          <w:color w:val="000000"/>
          <w:sz w:val="22"/>
          <w:szCs w:val="22"/>
          <w:u w:color="000000"/>
          <w:rtl w:val="0"/>
          <w:lang w:val="it-IT"/>
        </w:rPr>
        <w:t>(LUZZI Tommaso ndr) affinch</w:t>
      </w:r>
      <w:r>
        <w:rPr>
          <w:rFonts w:hAnsi="Book Antiqua" w:hint="default"/>
          <w:color w:val="000000"/>
          <w:sz w:val="22"/>
          <w:szCs w:val="22"/>
          <w:u w:color="000000"/>
          <w:rtl w:val="0"/>
          <w:lang w:val="it-IT"/>
        </w:rPr>
        <w:t>é</w:t>
      </w:r>
      <w:r>
        <w:rPr>
          <w:rFonts w:ascii="Book Antiqua"/>
          <w:color w:val="000000"/>
          <w:sz w:val="22"/>
          <w:szCs w:val="22"/>
          <w:u w:color="000000"/>
          <w:rtl w:val="0"/>
          <w:lang w:val="it-IT"/>
        </w:rPr>
        <w:t xml:space="preserve"> si interessasse all</w:t>
      </w:r>
      <w:r>
        <w:rPr>
          <w:rFonts w:hAnsi="Book Antiqua" w:hint="default"/>
          <w:color w:val="000000"/>
          <w:sz w:val="22"/>
          <w:szCs w:val="22"/>
          <w:u w:color="000000"/>
          <w:rtl w:val="0"/>
          <w:lang w:val="it-IT"/>
        </w:rPr>
        <w:t>’</w:t>
      </w:r>
      <w:r>
        <w:rPr>
          <w:rFonts w:ascii="Book Antiqua"/>
          <w:color w:val="000000"/>
          <w:sz w:val="22"/>
          <w:szCs w:val="22"/>
          <w:u w:color="000000"/>
          <w:rtl w:val="0"/>
          <w:lang w:val="it-IT"/>
        </w:rPr>
        <w:t xml:space="preserve">individuazione di un terreno che doveva servire a </w:t>
      </w:r>
      <w:r>
        <w:rPr>
          <w:rFonts w:hAnsi="Book Antiqua" w:hint="default"/>
          <w:color w:val="000000"/>
          <w:sz w:val="22"/>
          <w:szCs w:val="22"/>
          <w:u w:color="000000"/>
          <w:rtl w:val="0"/>
          <w:lang w:val="it-IT"/>
        </w:rPr>
        <w:t>“</w:t>
      </w:r>
      <w:r>
        <w:rPr>
          <w:rFonts w:ascii="Book Antiqua"/>
          <w:color w:val="000000"/>
          <w:sz w:val="22"/>
          <w:szCs w:val="22"/>
          <w:u w:color="000000"/>
          <w:rtl w:val="0"/>
          <w:lang w:val="it-IT"/>
        </w:rPr>
        <w:t>Salvatore</w:t>
      </w:r>
      <w:r>
        <w:rPr>
          <w:rFonts w:hAnsi="Book Antiqua" w:hint="default"/>
          <w:color w:val="000000"/>
          <w:sz w:val="22"/>
          <w:szCs w:val="22"/>
          <w:u w:color="000000"/>
          <w:rtl w:val="0"/>
          <w:lang w:val="it-IT"/>
        </w:rPr>
        <w:t xml:space="preserve">” </w:t>
      </w:r>
      <w:r>
        <w:rPr>
          <w:rFonts w:ascii="Book Antiqua"/>
          <w:color w:val="000000"/>
          <w:sz w:val="22"/>
          <w:szCs w:val="22"/>
          <w:u w:color="000000"/>
          <w:rtl w:val="0"/>
          <w:lang w:val="it-IT"/>
        </w:rPr>
        <w:t xml:space="preserve">(BUZZI Salvatore ndr) il quale nel frattempo aveva </w:t>
      </w:r>
      <w:r>
        <w:rPr>
          <w:rFonts w:hAnsi="Book Antiqua" w:hint="default"/>
          <w:color w:val="000000"/>
          <w:sz w:val="22"/>
          <w:szCs w:val="22"/>
          <w:u w:color="000000"/>
          <w:rtl w:val="0"/>
          <w:lang w:val="it-IT"/>
        </w:rPr>
        <w:t>“</w:t>
      </w:r>
      <w:r>
        <w:rPr>
          <w:rFonts w:ascii="Book Antiqua"/>
          <w:color w:val="000000"/>
          <w:sz w:val="22"/>
          <w:szCs w:val="22"/>
          <w:u w:color="000000"/>
          <w:rtl w:val="0"/>
          <w:lang w:val="it-IT"/>
        </w:rPr>
        <w:t>preso</w:t>
      </w:r>
      <w:r>
        <w:rPr>
          <w:rFonts w:hAnsi="Book Antiqua" w:hint="default"/>
          <w:color w:val="000000"/>
          <w:sz w:val="22"/>
          <w:szCs w:val="22"/>
          <w:u w:color="000000"/>
          <w:rtl w:val="0"/>
          <w:lang w:val="it-IT"/>
        </w:rPr>
        <w:t xml:space="preserve">” </w:t>
      </w:r>
      <w:r>
        <w:rPr>
          <w:rFonts w:ascii="Book Antiqua"/>
          <w:color w:val="000000"/>
          <w:sz w:val="22"/>
          <w:szCs w:val="22"/>
          <w:u w:color="000000"/>
          <w:rtl w:val="0"/>
          <w:lang w:val="it-IT"/>
        </w:rPr>
        <w:t xml:space="preserve">nel vicino comune di Morlupo (RM) </w:t>
      </w:r>
      <w:r>
        <w:rPr>
          <w:rFonts w:hAnsi="Book Antiqua" w:hint="default"/>
          <w:color w:val="000000"/>
          <w:sz w:val="22"/>
          <w:szCs w:val="22"/>
          <w:u w:color="000000"/>
          <w:rtl w:val="0"/>
          <w:lang w:val="it-IT"/>
        </w:rPr>
        <w:t>“</w:t>
      </w:r>
      <w:r>
        <w:rPr>
          <w:rFonts w:ascii="Book Antiqua"/>
          <w:color w:val="000000"/>
          <w:sz w:val="22"/>
          <w:szCs w:val="22"/>
          <w:u w:color="000000"/>
          <w:rtl w:val="0"/>
          <w:lang w:val="it-IT"/>
        </w:rPr>
        <w:t>una gara</w:t>
      </w:r>
      <w:r>
        <w:rPr>
          <w:rFonts w:hAnsi="Book Antiqua" w:hint="default"/>
          <w:color w:val="000000"/>
          <w:sz w:val="22"/>
          <w:szCs w:val="22"/>
          <w:u w:color="000000"/>
          <w:rtl w:val="0"/>
          <w:lang w:val="it-IT"/>
        </w:rPr>
        <w:t xml:space="preserve">” </w:t>
      </w:r>
      <w:r>
        <w:rPr>
          <w:rFonts w:ascii="Book Antiqua"/>
          <w:color w:val="000000"/>
          <w:sz w:val="22"/>
          <w:szCs w:val="22"/>
          <w:u w:color="000000"/>
          <w:rtl w:val="0"/>
          <w:lang w:val="it-IT"/>
        </w:rPr>
        <w:t>(</w:t>
      </w:r>
      <w:r>
        <w:rPr>
          <w:rFonts w:hAnsi="Book Antiqua" w:hint="default"/>
          <w:color w:val="000000"/>
          <w:sz w:val="22"/>
          <w:szCs w:val="22"/>
          <w:u w:color="000000"/>
          <w:rtl w:val="0"/>
          <w:lang w:val="it-IT"/>
        </w:rPr>
        <w:t>“</w:t>
      </w:r>
      <w:r>
        <w:rPr>
          <w:rFonts w:ascii="Book Antiqua"/>
          <w:color w:val="000000"/>
          <w:sz w:val="22"/>
          <w:szCs w:val="22"/>
          <w:u w:color="000000"/>
          <w:rtl w:val="0"/>
          <w:lang w:val="it-IT"/>
        </w:rPr>
        <w:t>digli a.. a Tommaso che l</w:t>
      </w:r>
      <w:r>
        <w:rPr>
          <w:rFonts w:hAnsi="Book Antiqua" w:hint="default"/>
          <w:color w:val="000000"/>
          <w:sz w:val="22"/>
          <w:szCs w:val="22"/>
          <w:u w:color="000000"/>
          <w:rtl w:val="0"/>
          <w:lang w:val="it-IT"/>
        </w:rPr>
        <w:t>ì</w:t>
      </w:r>
      <w:r>
        <w:rPr>
          <w:rFonts w:ascii="Book Antiqua"/>
          <w:color w:val="000000"/>
          <w:sz w:val="22"/>
          <w:szCs w:val="22"/>
          <w:u w:color="000000"/>
          <w:rtl w:val="0"/>
          <w:lang w:val="it-IT"/>
        </w:rPr>
        <w:t>... la 29 Giugno ha preso a Morlupo una gara per.. (incomprensibile) ..un terreno...</w:t>
      </w:r>
      <w:r>
        <w:rPr>
          <w:rFonts w:hAnsi="Book Antiqua" w:hint="default"/>
          <w:color w:val="000000"/>
          <w:sz w:val="22"/>
          <w:szCs w:val="22"/>
          <w:u w:color="000000"/>
          <w:rtl w:val="0"/>
          <w:lang w:val="it-IT"/>
        </w:rPr>
        <w:t>”</w:t>
      </w:r>
      <w:r>
        <w:rPr>
          <w:rFonts w:ascii="Book Antiqua" w:cs="Book Antiqua" w:hAnsi="Book Antiqua" w:eastAsia="Book Antiqua"/>
          <w:color w:val="000000"/>
          <w:sz w:val="22"/>
          <w:szCs w:val="22"/>
          <w:u w:color="000000"/>
          <w:rtl w:val="0"/>
        </w:rPr>
        <w:tab/>
      </w:r>
      <w:r>
        <w:rPr>
          <w:rFonts w:hAnsi="Book Antiqua" w:hint="default"/>
          <w:color w:val="000000"/>
          <w:sz w:val="22"/>
          <w:szCs w:val="22"/>
          <w:u w:color="000000"/>
          <w:rtl w:val="0"/>
          <w:lang w:val="it-IT"/>
        </w:rPr>
        <w:t>“</w:t>
      </w:r>
      <w:r>
        <w:rPr>
          <w:rFonts w:ascii="Book Antiqua"/>
          <w:color w:val="000000"/>
          <w:sz w:val="22"/>
          <w:szCs w:val="22"/>
          <w:u w:color="000000"/>
          <w:rtl w:val="0"/>
          <w:lang w:val="it-IT"/>
        </w:rPr>
        <w:t>si..(inc)..Salvatore..(inc).. se l</w:t>
      </w:r>
      <w:r>
        <w:rPr>
          <w:rFonts w:hAnsi="Book Antiqua" w:hint="default"/>
          <w:color w:val="000000"/>
          <w:sz w:val="22"/>
          <w:szCs w:val="22"/>
          <w:u w:color="000000"/>
          <w:rtl w:val="0"/>
          <w:lang w:val="it-IT"/>
        </w:rPr>
        <w:t xml:space="preserve">ì </w:t>
      </w:r>
      <w:r>
        <w:rPr>
          <w:rFonts w:ascii="Book Antiqua"/>
          <w:color w:val="000000"/>
          <w:sz w:val="22"/>
          <w:szCs w:val="22"/>
          <w:u w:color="000000"/>
          <w:rtl w:val="0"/>
          <w:lang w:val="it-IT"/>
        </w:rPr>
        <w:t>ci sta qualcosa..(inc).. un terreno che ..(inc)..che fai, che ne so.. mi serve un posto pe fare qualche cosa.. ..(inc)..</w:t>
      </w:r>
      <w:r>
        <w:rPr>
          <w:rFonts w:hAnsi="Book Antiqua" w:hint="default"/>
          <w:color w:val="000000"/>
          <w:sz w:val="22"/>
          <w:szCs w:val="22"/>
          <w:u w:color="000000"/>
          <w:rtl w:val="0"/>
          <w:lang w:val="it-IT"/>
        </w:rPr>
        <w:t>”</w:t>
      </w:r>
      <w:r>
        <w:rPr>
          <w:rFonts w:ascii="Book Antiqua"/>
          <w:color w:val="000000"/>
          <w:sz w:val="22"/>
          <w:szCs w:val="22"/>
          <w:u w:color="000000"/>
          <w:rtl w:val="0"/>
          <w:lang w:val="it-IT"/>
        </w:rPr>
        <w:t>), cosa che suscitava l</w:t>
      </w:r>
      <w:r>
        <w:rPr>
          <w:rFonts w:hAnsi="Book Antiqua" w:hint="default"/>
          <w:color w:val="000000"/>
          <w:sz w:val="22"/>
          <w:szCs w:val="22"/>
          <w:u w:color="000000"/>
          <w:rtl w:val="0"/>
          <w:lang w:val="it-IT"/>
        </w:rPr>
        <w:t>’</w:t>
      </w:r>
      <w:r>
        <w:rPr>
          <w:rFonts w:ascii="Book Antiqua"/>
          <w:color w:val="000000"/>
          <w:sz w:val="22"/>
          <w:szCs w:val="22"/>
          <w:u w:color="000000"/>
          <w:rtl w:val="0"/>
          <w:lang w:val="it-IT"/>
        </w:rPr>
        <w:t>approvazione del GRAMAZIO Luca (</w:t>
      </w:r>
      <w:r>
        <w:rPr>
          <w:rFonts w:hAnsi="Book Antiqua" w:hint="default"/>
          <w:color w:val="000000"/>
          <w:sz w:val="22"/>
          <w:szCs w:val="22"/>
          <w:u w:color="000000"/>
          <w:rtl w:val="0"/>
          <w:lang w:val="it-IT"/>
        </w:rPr>
        <w:t>“</w:t>
      </w:r>
      <w:r>
        <w:rPr>
          <w:rFonts w:ascii="Book Antiqua"/>
          <w:color w:val="000000"/>
          <w:sz w:val="22"/>
          <w:szCs w:val="22"/>
          <w:u w:color="000000"/>
          <w:rtl w:val="0"/>
          <w:lang w:val="it-IT"/>
        </w:rPr>
        <w:t>perfetto... ottimo</w:t>
      </w:r>
      <w:r>
        <w:rPr>
          <w:rFonts w:hAnsi="Book Antiqua" w:hint="default"/>
          <w:color w:val="000000"/>
          <w:sz w:val="22"/>
          <w:szCs w:val="22"/>
          <w:u w:color="000000"/>
          <w:rtl w:val="0"/>
          <w:lang w:val="it-IT"/>
        </w:rPr>
        <w:t>”</w:t>
      </w:r>
      <w:r>
        <w:rPr>
          <w:rFonts w:ascii="Book Antiqua"/>
          <w:color w:val="000000"/>
          <w:sz w:val="22"/>
          <w:szCs w:val="22"/>
          <w:u w:color="000000"/>
          <w:rtl w:val="0"/>
          <w:lang w:val="it-IT"/>
        </w:rPr>
        <w:t>).</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Bench</w:t>
      </w:r>
      <w:r>
        <w:rPr>
          <w:rFonts w:hAnsi="Book Antiqua" w:hint="default"/>
          <w:color w:val="000000"/>
          <w:sz w:val="22"/>
          <w:szCs w:val="22"/>
          <w:u w:color="000000"/>
          <w:rtl w:val="0"/>
          <w:lang w:val="it-IT"/>
        </w:rPr>
        <w:t>é</w:t>
      </w:r>
      <w:r>
        <w:rPr>
          <w:rFonts w:ascii="Book Antiqua"/>
          <w:color w:val="000000"/>
          <w:sz w:val="22"/>
          <w:szCs w:val="22"/>
          <w:u w:color="000000"/>
          <w:rtl w:val="0"/>
          <w:lang w:val="it-IT"/>
        </w:rPr>
        <w:t xml:space="preserve"> agli atti d</w:t>
      </w:r>
      <w:r>
        <w:rPr>
          <w:rFonts w:hAnsi="Book Antiqua" w:hint="default"/>
          <w:color w:val="000000"/>
          <w:sz w:val="22"/>
          <w:szCs w:val="22"/>
          <w:u w:color="000000"/>
          <w:rtl w:val="0"/>
          <w:lang w:val="it-IT"/>
        </w:rPr>
        <w:t>’</w:t>
      </w:r>
      <w:r>
        <w:rPr>
          <w:rFonts w:ascii="Book Antiqua"/>
          <w:color w:val="000000"/>
          <w:sz w:val="22"/>
          <w:szCs w:val="22"/>
          <w:u w:color="000000"/>
          <w:rtl w:val="0"/>
          <w:lang w:val="it-IT"/>
        </w:rPr>
        <w:t>indagine non si abbiano riscontri riguardo l</w:t>
      </w:r>
      <w:r>
        <w:rPr>
          <w:rFonts w:hAnsi="Book Antiqua" w:hint="default"/>
          <w:color w:val="000000"/>
          <w:sz w:val="22"/>
          <w:szCs w:val="22"/>
          <w:u w:color="000000"/>
          <w:rtl w:val="0"/>
          <w:lang w:val="it-IT"/>
        </w:rPr>
        <w:t>’</w:t>
      </w:r>
      <w:r>
        <w:rPr>
          <w:rFonts w:ascii="Book Antiqua"/>
          <w:color w:val="000000"/>
          <w:sz w:val="22"/>
          <w:szCs w:val="22"/>
          <w:u w:color="000000"/>
          <w:rtl w:val="0"/>
          <w:lang w:val="it-IT"/>
        </w:rPr>
        <w:t>effettivo intervento del GRAMAZIO sul LUZZI, purtuttavia il frammento della conversazione, pur nella sua brevit</w:t>
      </w:r>
      <w:r>
        <w:rPr>
          <w:rFonts w:hAnsi="Book Antiqua" w:hint="default"/>
          <w:color w:val="000000"/>
          <w:sz w:val="22"/>
          <w:szCs w:val="22"/>
          <w:u w:color="000000"/>
          <w:rtl w:val="0"/>
          <w:lang w:val="it-IT"/>
        </w:rPr>
        <w:t>à</w:t>
      </w:r>
      <w:r>
        <w:rPr>
          <w:rFonts w:ascii="Book Antiqua"/>
          <w:color w:val="000000"/>
          <w:sz w:val="22"/>
          <w:szCs w:val="22"/>
          <w:u w:color="000000"/>
          <w:rtl w:val="0"/>
          <w:lang w:val="it-IT"/>
        </w:rPr>
        <w:t>, offre una ulteriore straordinaria conferma delle dinamiche che l</w:t>
      </w:r>
      <w:r>
        <w:rPr>
          <w:rFonts w:hAnsi="Book Antiqua" w:hint="default"/>
          <w:color w:val="000000"/>
          <w:sz w:val="22"/>
          <w:szCs w:val="22"/>
          <w:u w:color="000000"/>
          <w:rtl w:val="0"/>
          <w:lang w:val="it-IT"/>
        </w:rPr>
        <w:t>’</w:t>
      </w:r>
      <w:r>
        <w:rPr>
          <w:rFonts w:ascii="Book Antiqua"/>
          <w:color w:val="000000"/>
          <w:sz w:val="22"/>
          <w:szCs w:val="22"/>
          <w:u w:color="000000"/>
          <w:rtl w:val="0"/>
          <w:lang w:val="it-IT"/>
        </w:rPr>
        <w:t>associazione criminale appare capace di spiegare in seno all</w:t>
      </w:r>
      <w:r>
        <w:rPr>
          <w:rFonts w:hAnsi="Book Antiqua" w:hint="default"/>
          <w:color w:val="000000"/>
          <w:sz w:val="22"/>
          <w:szCs w:val="22"/>
          <w:u w:color="000000"/>
          <w:rtl w:val="0"/>
          <w:lang w:val="it-IT"/>
        </w:rPr>
        <w:t>’</w:t>
      </w:r>
      <w:r>
        <w:rPr>
          <w:rFonts w:ascii="Book Antiqua"/>
          <w:color w:val="000000"/>
          <w:sz w:val="22"/>
          <w:szCs w:val="22"/>
          <w:u w:color="000000"/>
          <w:rtl w:val="0"/>
          <w:lang w:val="it-IT"/>
        </w:rPr>
        <w:t>amministrazione pubblica di Sacrofano (RM).</w:t>
      </w:r>
    </w:p>
    <w:p>
      <w:pPr>
        <w:pStyle w:val="Normal"/>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Gli sviluppi investigativi operati dal II Reparto Investigativo del ROS, che saranno oggetto di separata trattazione, consentivano d</w:t>
      </w:r>
      <w:r>
        <w:rPr>
          <w:rFonts w:hAnsi="Book Antiqua" w:hint="default"/>
          <w:color w:val="000000"/>
          <w:sz w:val="22"/>
          <w:szCs w:val="22"/>
          <w:u w:color="000000"/>
          <w:rtl w:val="0"/>
          <w:lang w:val="it-IT"/>
        </w:rPr>
        <w:t>’</w:t>
      </w:r>
      <w:r>
        <w:rPr>
          <w:rFonts w:ascii="Book Antiqua"/>
          <w:color w:val="000000"/>
          <w:sz w:val="22"/>
          <w:szCs w:val="22"/>
          <w:u w:color="000000"/>
          <w:rtl w:val="0"/>
          <w:lang w:val="it-IT"/>
        </w:rPr>
        <w:t xml:space="preserve">individuare che il </w:t>
      </w:r>
      <w:r>
        <w:rPr>
          <w:rFonts w:hAnsi="Book Antiqua" w:hint="default"/>
          <w:color w:val="000000"/>
          <w:sz w:val="22"/>
          <w:szCs w:val="22"/>
          <w:u w:color="000000"/>
          <w:rtl w:val="0"/>
          <w:lang w:val="it-IT"/>
        </w:rPr>
        <w:t>“</w:t>
      </w:r>
      <w:r>
        <w:rPr>
          <w:rFonts w:ascii="Book Antiqua"/>
          <w:color w:val="000000"/>
          <w:sz w:val="22"/>
          <w:szCs w:val="22"/>
          <w:u w:color="000000"/>
          <w:rtl w:val="0"/>
          <w:lang w:val="it-IT"/>
        </w:rPr>
        <w:t>business</w:t>
      </w:r>
      <w:r>
        <w:rPr>
          <w:rFonts w:hAnsi="Book Antiqua" w:hint="default"/>
          <w:color w:val="000000"/>
          <w:sz w:val="22"/>
          <w:szCs w:val="22"/>
          <w:u w:color="000000"/>
          <w:rtl w:val="0"/>
          <w:lang w:val="it-IT"/>
        </w:rPr>
        <w:t xml:space="preserve">” </w:t>
      </w:r>
      <w:r>
        <w:rPr>
          <w:rFonts w:ascii="Book Antiqua"/>
          <w:color w:val="000000"/>
          <w:sz w:val="22"/>
          <w:szCs w:val="22"/>
          <w:u w:color="000000"/>
          <w:rtl w:val="0"/>
          <w:lang w:val="it-IT"/>
        </w:rPr>
        <w:t xml:space="preserve">a cui il CARMINATI faceva riferimento, consisteva nella realizzazione di un </w:t>
      </w:r>
      <w:r>
        <w:rPr>
          <w:rFonts w:hAnsi="Book Antiqua" w:hint="default"/>
          <w:color w:val="000000"/>
          <w:sz w:val="22"/>
          <w:szCs w:val="22"/>
          <w:u w:color="000000"/>
          <w:rtl w:val="0"/>
          <w:lang w:val="it-IT"/>
        </w:rPr>
        <w:t>“</w:t>
      </w:r>
      <w:r>
        <w:rPr>
          <w:rFonts w:ascii="Book Antiqua"/>
          <w:color w:val="000000"/>
          <w:sz w:val="22"/>
          <w:szCs w:val="22"/>
          <w:u w:color="000000"/>
          <w:rtl w:val="0"/>
          <w:lang w:val="it-IT"/>
        </w:rPr>
        <w:t>impianto per il trattamento e la valorizzazione dei rifiuti organici raccolti in modo differenziato con produzione di compost di qualit</w:t>
      </w:r>
      <w:r>
        <w:rPr>
          <w:rFonts w:hAnsi="Book Antiqua" w:hint="default"/>
          <w:color w:val="000000"/>
          <w:sz w:val="22"/>
          <w:szCs w:val="22"/>
          <w:u w:color="000000"/>
          <w:rtl w:val="0"/>
          <w:lang w:val="it-IT"/>
        </w:rPr>
        <w:t xml:space="preserve">à </w:t>
      </w:r>
      <w:r>
        <w:rPr>
          <w:rFonts w:ascii="Book Antiqua"/>
          <w:color w:val="000000"/>
          <w:sz w:val="22"/>
          <w:szCs w:val="22"/>
          <w:u w:color="000000"/>
          <w:rtl w:val="0"/>
          <w:lang w:val="it-IT"/>
        </w:rPr>
        <w:t>ed energia elettrica</w:t>
      </w:r>
      <w:r>
        <w:rPr>
          <w:rFonts w:hAnsi="Book Antiqua" w:hint="default"/>
          <w:color w:val="000000"/>
          <w:sz w:val="22"/>
          <w:szCs w:val="22"/>
          <w:u w:color="000000"/>
          <w:rtl w:val="0"/>
          <w:lang w:val="it-IT"/>
        </w:rPr>
        <w:t>”</w:t>
      </w:r>
      <w:r>
        <w:rPr>
          <w:rFonts w:ascii="Book Antiqua"/>
          <w:color w:val="000000"/>
          <w:sz w:val="22"/>
          <w:szCs w:val="22"/>
          <w:u w:color="000000"/>
          <w:rtl w:val="0"/>
          <w:lang w:val="it-IT"/>
        </w:rPr>
        <w:t>, da creare nel comune di Morlupo (RM) su un lotto di terreno di propriet</w:t>
      </w:r>
      <w:r>
        <w:rPr>
          <w:rFonts w:hAnsi="Book Antiqua" w:hint="default"/>
          <w:color w:val="000000"/>
          <w:sz w:val="22"/>
          <w:szCs w:val="22"/>
          <w:u w:color="000000"/>
          <w:rtl w:val="0"/>
          <w:lang w:val="it-IT"/>
        </w:rPr>
        <w:t xml:space="preserve">à </w:t>
      </w:r>
      <w:r>
        <w:rPr>
          <w:rFonts w:ascii="Book Antiqua"/>
          <w:color w:val="000000"/>
          <w:sz w:val="22"/>
          <w:szCs w:val="22"/>
          <w:u w:color="000000"/>
          <w:rtl w:val="0"/>
          <w:lang w:val="it-IT"/>
        </w:rPr>
        <w:t>comunale, sito in localit</w:t>
      </w:r>
      <w:r>
        <w:rPr>
          <w:rFonts w:hAnsi="Book Antiqua" w:hint="default"/>
          <w:color w:val="000000"/>
          <w:sz w:val="22"/>
          <w:szCs w:val="22"/>
          <w:u w:color="000000"/>
          <w:rtl w:val="0"/>
          <w:lang w:val="it-IT"/>
        </w:rPr>
        <w:t xml:space="preserve">à </w:t>
      </w:r>
      <w:r>
        <w:rPr>
          <w:rFonts w:ascii="Book Antiqua"/>
          <w:color w:val="000000"/>
          <w:sz w:val="22"/>
          <w:szCs w:val="22"/>
          <w:u w:color="000000"/>
          <w:rtl w:val="0"/>
          <w:lang w:val="it-IT"/>
        </w:rPr>
        <w:t>Assura.</w:t>
      </w:r>
    </w:p>
    <w:p>
      <w:pPr>
        <w:pStyle w:val="Normal"/>
        <w:ind w:left="567" w:right="567" w:firstLine="0"/>
        <w:rPr>
          <w:rFonts w:ascii="Book Antiqua" w:cs="Book Antiqua" w:hAnsi="Book Antiqua" w:eastAsia="Book Antiqua"/>
          <w:color w:val="000000"/>
          <w:sz w:val="22"/>
          <w:szCs w:val="22"/>
          <w:u w:color="000000"/>
        </w:rPr>
      </w:pPr>
    </w:p>
    <w:p>
      <w:pPr>
        <w:pStyle w:val="Normal"/>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 xml:space="preserve"> [p. 501]</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 xml:space="preserve">[sostegno alla campagna elettorale di </w:t>
      </w:r>
      <w:r>
        <w:rPr>
          <w:rFonts w:ascii="Book Antiqua"/>
          <w:color w:val="000000"/>
          <w:u w:val="single" w:color="000000"/>
          <w:rtl w:val="0"/>
          <w:lang w:val="it-IT"/>
        </w:rPr>
        <w:t>Tommaso LUZZI</w:t>
      </w:r>
      <w:r>
        <w:rPr>
          <w:rFonts w:ascii="Book Antiqua"/>
          <w:color w:val="000000"/>
          <w:u w:color="000000"/>
          <w:rtl w:val="0"/>
          <w:lang w:val="it-IT"/>
        </w:rPr>
        <w:t>, volta all</w:t>
      </w:r>
      <w:r>
        <w:rPr>
          <w:rFonts w:hAnsi="Book Antiqua" w:hint="default"/>
          <w:color w:val="000000"/>
          <w:u w:color="000000"/>
          <w:rtl w:val="0"/>
          <w:lang w:val="it-IT"/>
        </w:rPr>
        <w:t>’</w:t>
      </w:r>
      <w:r>
        <w:rPr>
          <w:rFonts w:ascii="Book Antiqua"/>
          <w:color w:val="000000"/>
          <w:u w:color="000000"/>
          <w:rtl w:val="0"/>
          <w:lang w:val="it-IT"/>
        </w:rPr>
        <w:t>elezione del sindaco del comune di Sacrofano (RM)]</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Nel mese di maggio 2013, CARMINATI, Fabrizio Franco TESTA, Agostino GAGLIANONE e Luca GRAMAZIO, con diversit</w:t>
      </w:r>
      <w:r>
        <w:rPr>
          <w:rFonts w:hAnsi="Book Antiqua" w:hint="default"/>
          <w:color w:val="000000"/>
          <w:sz w:val="22"/>
          <w:szCs w:val="22"/>
          <w:u w:color="000000"/>
          <w:rtl w:val="0"/>
          <w:lang w:val="it-IT"/>
        </w:rPr>
        <w:t xml:space="preserve">à </w:t>
      </w:r>
      <w:r>
        <w:rPr>
          <w:rFonts w:ascii="Book Antiqua"/>
          <w:color w:val="000000"/>
          <w:sz w:val="22"/>
          <w:szCs w:val="22"/>
          <w:u w:color="000000"/>
          <w:rtl w:val="0"/>
          <w:lang w:val="it-IT"/>
        </w:rPr>
        <w:t>di ruoli, sono risultati impegnati per sostenere la campagna elettorale di Tommaso LUZZI, volta all</w:t>
      </w:r>
      <w:r>
        <w:rPr>
          <w:rFonts w:hAnsi="Book Antiqua" w:hint="default"/>
          <w:color w:val="000000"/>
          <w:sz w:val="22"/>
          <w:szCs w:val="22"/>
          <w:u w:color="000000"/>
          <w:rtl w:val="0"/>
          <w:lang w:val="it-IT"/>
        </w:rPr>
        <w:t>’</w:t>
      </w:r>
      <w:r>
        <w:rPr>
          <w:rFonts w:ascii="Book Antiqua"/>
          <w:color w:val="000000"/>
          <w:sz w:val="22"/>
          <w:szCs w:val="22"/>
          <w:u w:color="000000"/>
          <w:rtl w:val="0"/>
          <w:lang w:val="it-IT"/>
        </w:rPr>
        <w:t>elezione del sindaco del comune di Sacrofano (RM). Gli sforzi sono stati, fra l</w:t>
      </w:r>
      <w:r>
        <w:rPr>
          <w:rFonts w:hAnsi="Book Antiqua" w:hint="default"/>
          <w:color w:val="000000"/>
          <w:sz w:val="22"/>
          <w:szCs w:val="22"/>
          <w:u w:color="000000"/>
          <w:rtl w:val="0"/>
          <w:lang w:val="it-IT"/>
        </w:rPr>
        <w:t>’</w:t>
      </w:r>
      <w:r>
        <w:rPr>
          <w:rFonts w:ascii="Book Antiqua"/>
          <w:color w:val="000000"/>
          <w:sz w:val="22"/>
          <w:szCs w:val="22"/>
          <w:u w:color="000000"/>
          <w:rtl w:val="0"/>
          <w:lang w:val="it-IT"/>
        </w:rPr>
        <w:t xml:space="preserve">altro, proiettati a organizzare una cena nella piazza del paese per il giorno di chiusura della campagna elettorale, vale a dire il 24 maggio 2013. CARMINATI ha individuato </w:t>
      </w:r>
      <w:r>
        <w:rPr>
          <w:rFonts w:ascii="Book Antiqua"/>
          <w:color w:val="000000"/>
          <w:sz w:val="22"/>
          <w:szCs w:val="22"/>
          <w:u w:val="single" w:color="000000"/>
          <w:rtl w:val="0"/>
          <w:lang w:val="it-IT"/>
        </w:rPr>
        <w:t>[Giuseppe] IETTO</w:t>
      </w:r>
      <w:r>
        <w:rPr>
          <w:rFonts w:ascii="Book Antiqua"/>
          <w:color w:val="000000"/>
          <w:sz w:val="22"/>
          <w:szCs w:val="22"/>
          <w:u w:color="000000"/>
          <w:rtl w:val="0"/>
          <w:lang w:val="it-IT"/>
        </w:rPr>
        <w:t>, quale imprenditore al quale rivolgersi per la fornitura dei pasti. Quest</w:t>
      </w:r>
      <w:r>
        <w:rPr>
          <w:rFonts w:hAnsi="Book Antiqua" w:hint="default"/>
          <w:color w:val="000000"/>
          <w:sz w:val="22"/>
          <w:szCs w:val="22"/>
          <w:u w:color="000000"/>
          <w:rtl w:val="0"/>
          <w:lang w:val="it-IT"/>
        </w:rPr>
        <w:t>’</w:t>
      </w:r>
      <w:r>
        <w:rPr>
          <w:rFonts w:ascii="Book Antiqua"/>
          <w:color w:val="000000"/>
          <w:sz w:val="22"/>
          <w:szCs w:val="22"/>
          <w:u w:color="000000"/>
          <w:rtl w:val="0"/>
          <w:lang w:val="it-IT"/>
        </w:rPr>
        <w:t>ultimo ha dimostrato la propria disponibilit</w:t>
      </w:r>
      <w:r>
        <w:rPr>
          <w:rFonts w:hAnsi="Book Antiqua" w:hint="default"/>
          <w:color w:val="000000"/>
          <w:sz w:val="22"/>
          <w:szCs w:val="22"/>
          <w:u w:color="000000"/>
          <w:rtl w:val="0"/>
          <w:lang w:val="it-IT"/>
        </w:rPr>
        <w:t>à</w:t>
      </w:r>
      <w:r>
        <w:rPr>
          <w:rFonts w:ascii="Book Antiqua"/>
          <w:color w:val="000000"/>
          <w:sz w:val="22"/>
          <w:szCs w:val="22"/>
          <w:u w:color="000000"/>
          <w:rtl w:val="0"/>
          <w:lang w:val="it-IT"/>
        </w:rPr>
        <w:t>, nel quadro di un interscambio di favori, all</w:t>
      </w:r>
      <w:r>
        <w:rPr>
          <w:rFonts w:hAnsi="Book Antiqua" w:hint="default"/>
          <w:color w:val="000000"/>
          <w:sz w:val="22"/>
          <w:szCs w:val="22"/>
          <w:u w:color="000000"/>
          <w:rtl w:val="0"/>
          <w:lang w:val="it-IT"/>
        </w:rPr>
        <w:t>’</w:t>
      </w:r>
      <w:r>
        <w:rPr>
          <w:rFonts w:ascii="Book Antiqua"/>
          <w:color w:val="000000"/>
          <w:sz w:val="22"/>
          <w:szCs w:val="22"/>
          <w:u w:color="000000"/>
          <w:rtl w:val="0"/>
          <w:lang w:val="it-IT"/>
        </w:rPr>
        <w:t>organizzazione della cena, proposta da CARMINATI a LUZZI, per il tramite di TESTA. La pianificazione dell</w:t>
      </w:r>
      <w:r>
        <w:rPr>
          <w:rFonts w:hAnsi="Book Antiqua" w:hint="default"/>
          <w:color w:val="000000"/>
          <w:sz w:val="22"/>
          <w:szCs w:val="22"/>
          <w:u w:color="000000"/>
          <w:rtl w:val="0"/>
          <w:lang w:val="it-IT"/>
        </w:rPr>
        <w:t>’</w:t>
      </w:r>
      <w:r>
        <w:rPr>
          <w:rFonts w:ascii="Book Antiqua"/>
          <w:color w:val="000000"/>
          <w:sz w:val="22"/>
          <w:szCs w:val="22"/>
          <w:u w:color="000000"/>
          <w:rtl w:val="0"/>
          <w:lang w:val="it-IT"/>
        </w:rPr>
        <w:t xml:space="preserve">evento </w:t>
      </w:r>
      <w:r>
        <w:rPr>
          <w:rFonts w:hAnsi="Book Antiqua" w:hint="default"/>
          <w:color w:val="000000"/>
          <w:sz w:val="22"/>
          <w:szCs w:val="22"/>
          <w:u w:color="000000"/>
          <w:rtl w:val="0"/>
          <w:lang w:val="it-IT"/>
        </w:rPr>
        <w:t xml:space="preserve">è </w:t>
      </w:r>
      <w:r>
        <w:rPr>
          <w:rFonts w:ascii="Book Antiqua"/>
          <w:color w:val="000000"/>
          <w:sz w:val="22"/>
          <w:szCs w:val="22"/>
          <w:u w:color="000000"/>
          <w:rtl w:val="0"/>
          <w:lang w:val="it-IT"/>
        </w:rPr>
        <w:t>stata curata da CARMINATI e da LUZZI, negli uffici della IMEG di GAGLIANONE (il quale provvedeva a convocare LUZZI). IETTO ha provveduto a confezionare 650 coperti, essendo stata prevista la partecipazione di 600-700 persone, senza spese per LUZZI. Il servizio di catering veniva attuato attraverso contatti diretti tra il collaboratore di LUZZI (Francesco GRANORI) e IETTO, propiziati da CARMINATI e dallo stesso LUZZI.</w:t>
      </w:r>
    </w:p>
    <w:p>
      <w:pPr>
        <w:pStyle w:val="Normal"/>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w:t>
      </w:r>
      <w:r>
        <w:rPr>
          <w:rFonts w:hAnsi="Book Antiqua" w:hint="default"/>
          <w:color w:val="000000"/>
          <w:sz w:val="22"/>
          <w:szCs w:val="22"/>
          <w:u w:color="000000"/>
          <w:rtl w:val="0"/>
          <w:lang w:val="it-IT"/>
        </w:rPr>
        <w:t>…</w:t>
      </w:r>
      <w:r>
        <w:rPr>
          <w:rFonts w:ascii="Book Antiqua"/>
          <w:color w:val="000000"/>
          <w:sz w:val="22"/>
          <w:szCs w:val="22"/>
          <w:u w:color="000000"/>
          <w:rtl w:val="0"/>
          <w:lang w:val="it-IT"/>
        </w:rPr>
        <w:t>]</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L</w:t>
      </w:r>
      <w:r>
        <w:rPr>
          <w:rFonts w:hAnsi="Book Antiqua" w:hint="default"/>
          <w:color w:val="000000"/>
          <w:sz w:val="22"/>
          <w:szCs w:val="22"/>
          <w:u w:color="000000"/>
          <w:rtl w:val="0"/>
          <w:lang w:val="it-IT"/>
        </w:rPr>
        <w:t>’</w:t>
      </w:r>
      <w:r>
        <w:rPr>
          <w:rFonts w:ascii="Book Antiqua"/>
          <w:color w:val="000000"/>
          <w:sz w:val="22"/>
          <w:szCs w:val="22"/>
          <w:u w:color="000000"/>
          <w:rtl w:val="0"/>
          <w:lang w:val="it-IT"/>
        </w:rPr>
        <w:t>iniziativa si colloca nel disegno del sodalizio volto a infiltrarsi nel comune di Sacrofano, ove sono risultati risiedere CARMINATI, BRUGIA e GAGLIANONE, attraverso la persona del sindaco, in modo da poter attuare le pianificate finalit</w:t>
      </w:r>
      <w:r>
        <w:rPr>
          <w:rFonts w:hAnsi="Book Antiqua" w:hint="default"/>
          <w:color w:val="000000"/>
          <w:sz w:val="22"/>
          <w:szCs w:val="22"/>
          <w:u w:color="000000"/>
          <w:rtl w:val="0"/>
          <w:lang w:val="it-IT"/>
        </w:rPr>
        <w:t xml:space="preserve">à </w:t>
      </w:r>
      <w:r>
        <w:rPr>
          <w:rFonts w:ascii="Book Antiqua"/>
          <w:color w:val="000000"/>
          <w:sz w:val="22"/>
          <w:szCs w:val="22"/>
          <w:u w:color="000000"/>
          <w:rtl w:val="0"/>
          <w:lang w:val="it-IT"/>
        </w:rPr>
        <w:t>illecite, instaurando con quest</w:t>
      </w:r>
      <w:r>
        <w:rPr>
          <w:rFonts w:hAnsi="Book Antiqua" w:hint="default"/>
          <w:color w:val="000000"/>
          <w:sz w:val="22"/>
          <w:szCs w:val="22"/>
          <w:u w:color="000000"/>
          <w:rtl w:val="0"/>
          <w:lang w:val="it-IT"/>
        </w:rPr>
        <w:t>’</w:t>
      </w:r>
      <w:r>
        <w:rPr>
          <w:rFonts w:ascii="Book Antiqua"/>
          <w:color w:val="000000"/>
          <w:sz w:val="22"/>
          <w:szCs w:val="22"/>
          <w:u w:color="000000"/>
          <w:rtl w:val="0"/>
          <w:lang w:val="it-IT"/>
        </w:rPr>
        <w:t>ultimo un rapporto di collaborazione continuativo, per poter incidere sulle scelte dell</w:t>
      </w:r>
      <w:r>
        <w:rPr>
          <w:rFonts w:hAnsi="Book Antiqua" w:hint="default"/>
          <w:color w:val="000000"/>
          <w:sz w:val="22"/>
          <w:szCs w:val="22"/>
          <w:u w:color="000000"/>
          <w:rtl w:val="0"/>
          <w:lang w:val="it-IT"/>
        </w:rPr>
        <w:t>’</w:t>
      </w:r>
      <w:r>
        <w:rPr>
          <w:rFonts w:ascii="Book Antiqua"/>
          <w:color w:val="000000"/>
          <w:sz w:val="22"/>
          <w:szCs w:val="22"/>
          <w:u w:color="000000"/>
          <w:rtl w:val="0"/>
          <w:lang w:val="it-IT"/>
        </w:rPr>
        <w:t>amministrazione comunale e esercitare il controllo sul comune, per ottenere aggiudicazioni di appalti e favori, funzionali all</w:t>
      </w:r>
      <w:r>
        <w:rPr>
          <w:rFonts w:hAnsi="Book Antiqua" w:hint="default"/>
          <w:color w:val="000000"/>
          <w:sz w:val="22"/>
          <w:szCs w:val="22"/>
          <w:u w:color="000000"/>
          <w:rtl w:val="0"/>
          <w:lang w:val="it-IT"/>
        </w:rPr>
        <w:t>’</w:t>
      </w:r>
      <w:r>
        <w:rPr>
          <w:rFonts w:ascii="Book Antiqua"/>
          <w:color w:val="000000"/>
          <w:sz w:val="22"/>
          <w:szCs w:val="22"/>
          <w:u w:color="000000"/>
          <w:rtl w:val="0"/>
          <w:lang w:val="it-IT"/>
        </w:rPr>
        <w:t>espansione economica (nuova attivit</w:t>
      </w:r>
      <w:r>
        <w:rPr>
          <w:rFonts w:hAnsi="Book Antiqua" w:hint="default"/>
          <w:color w:val="000000"/>
          <w:sz w:val="22"/>
          <w:szCs w:val="22"/>
          <w:u w:color="000000"/>
          <w:rtl w:val="0"/>
          <w:lang w:val="it-IT"/>
        </w:rPr>
        <w:t xml:space="preserve">à </w:t>
      </w:r>
      <w:r>
        <w:rPr>
          <w:rFonts w:ascii="Book Antiqua"/>
          <w:color w:val="000000"/>
          <w:sz w:val="22"/>
          <w:szCs w:val="22"/>
          <w:u w:color="000000"/>
          <w:rtl w:val="0"/>
          <w:lang w:val="it-IT"/>
        </w:rPr>
        <w:t>di riciclaggio e smaltimento dei rifiuti, da effettuarsi nel comune, costruzione di strade), esercitato anche attraverso l</w:t>
      </w:r>
      <w:r>
        <w:rPr>
          <w:rFonts w:hAnsi="Book Antiqua" w:hint="default"/>
          <w:color w:val="000000"/>
          <w:sz w:val="22"/>
          <w:szCs w:val="22"/>
          <w:u w:color="000000"/>
          <w:rtl w:val="0"/>
          <w:lang w:val="it-IT"/>
        </w:rPr>
        <w:t>’</w:t>
      </w:r>
      <w:r>
        <w:rPr>
          <w:rFonts w:ascii="Book Antiqua"/>
          <w:color w:val="000000"/>
          <w:sz w:val="22"/>
          <w:szCs w:val="22"/>
          <w:u w:color="000000"/>
          <w:rtl w:val="0"/>
          <w:lang w:val="it-IT"/>
        </w:rPr>
        <w:t xml:space="preserve">erogazione delle risorse finanziarie da parte della regione, tramite il consigliere regionale Luca GRAMAZIO (commissione Bilancio, Partecipazione, demanio e patrimonio, programmazione economico-finanziaria, capogruppo del PDL) al quale LUZZI </w:t>
      </w:r>
      <w:r>
        <w:rPr>
          <w:rFonts w:hAnsi="Book Antiqua" w:hint="default"/>
          <w:color w:val="000000"/>
          <w:sz w:val="22"/>
          <w:szCs w:val="22"/>
          <w:u w:color="000000"/>
          <w:rtl w:val="0"/>
          <w:lang w:val="it-IT"/>
        </w:rPr>
        <w:t xml:space="preserve">è </w:t>
      </w:r>
      <w:r>
        <w:rPr>
          <w:rFonts w:ascii="Book Antiqua"/>
          <w:color w:val="000000"/>
          <w:sz w:val="22"/>
          <w:szCs w:val="22"/>
          <w:u w:color="000000"/>
          <w:rtl w:val="0"/>
          <w:lang w:val="it-IT"/>
        </w:rPr>
        <w:t>politicamente allineato.</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w:t>
      </w:r>
      <w:r>
        <w:rPr>
          <w:rFonts w:hAnsi="Book Antiqua" w:hint="default"/>
          <w:color w:val="000000"/>
          <w:sz w:val="22"/>
          <w:szCs w:val="22"/>
          <w:u w:color="000000"/>
          <w:rtl w:val="0"/>
          <w:lang w:val="it-IT"/>
        </w:rPr>
        <w:t>…</w:t>
      </w:r>
      <w:r>
        <w:rPr>
          <w:rFonts w:ascii="Book Antiqua"/>
          <w:color w:val="000000"/>
          <w:sz w:val="22"/>
          <w:szCs w:val="22"/>
          <w:u w:color="000000"/>
          <w:rtl w:val="0"/>
          <w:lang w:val="it-IT"/>
        </w:rPr>
        <w:t>]</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nell</w:t>
      </w:r>
      <w:r>
        <w:rPr>
          <w:rFonts w:hAnsi="Book Antiqua" w:hint="default"/>
          <w:color w:val="000000"/>
          <w:sz w:val="22"/>
          <w:szCs w:val="22"/>
          <w:u w:color="000000"/>
          <w:rtl w:val="0"/>
          <w:lang w:val="it-IT"/>
        </w:rPr>
        <w:t>’</w:t>
      </w:r>
      <w:r>
        <w:rPr>
          <w:rFonts w:ascii="Book Antiqua"/>
          <w:color w:val="000000"/>
          <w:sz w:val="22"/>
          <w:szCs w:val="22"/>
          <w:u w:color="000000"/>
          <w:rtl w:val="0"/>
          <w:lang w:val="it-IT"/>
        </w:rPr>
        <w:t>offrire LUZZI la propria disponibilit</w:t>
      </w:r>
      <w:r>
        <w:rPr>
          <w:rFonts w:hAnsi="Book Antiqua" w:hint="default"/>
          <w:color w:val="000000"/>
          <w:sz w:val="22"/>
          <w:szCs w:val="22"/>
          <w:u w:color="000000"/>
          <w:rtl w:val="0"/>
          <w:lang w:val="it-IT"/>
        </w:rPr>
        <w:t xml:space="preserve">à </w:t>
      </w:r>
      <w:r>
        <w:rPr>
          <w:rFonts w:ascii="Book Antiqua"/>
          <w:color w:val="000000"/>
          <w:sz w:val="22"/>
          <w:szCs w:val="22"/>
          <w:u w:color="000000"/>
          <w:rtl w:val="0"/>
          <w:lang w:val="it-IT"/>
        </w:rPr>
        <w:t>a far fronte alle esigenze di CARMINATI e dei sodali, sfruttando il proprio ruolo di sindaco (</w:t>
      </w:r>
      <w:r>
        <w:rPr>
          <w:rFonts w:hAnsi="Book Antiqua" w:hint="default"/>
          <w:color w:val="000000"/>
          <w:sz w:val="22"/>
          <w:szCs w:val="22"/>
          <w:u w:color="000000"/>
          <w:rtl w:val="0"/>
          <w:lang w:val="it-IT"/>
        </w:rPr>
        <w:t>“</w:t>
      </w:r>
      <w:r>
        <w:rPr>
          <w:rFonts w:ascii="Book Antiqua"/>
          <w:color w:val="000000"/>
          <w:sz w:val="22"/>
          <w:szCs w:val="22"/>
          <w:u w:color="000000"/>
          <w:rtl w:val="0"/>
          <w:lang w:val="it-IT"/>
        </w:rPr>
        <w:t>Luzzi sta sotto di lui</w:t>
      </w:r>
      <w:r>
        <w:rPr>
          <w:rFonts w:hAnsi="Book Antiqua" w:hint="default"/>
          <w:color w:val="000000"/>
          <w:sz w:val="22"/>
          <w:szCs w:val="22"/>
          <w:u w:color="000000"/>
          <w:rtl w:val="0"/>
          <w:lang w:val="it-IT"/>
        </w:rPr>
        <w:t>”</w:t>
      </w:r>
      <w:r>
        <w:rPr>
          <w:rFonts w:ascii="Book Antiqua"/>
          <w:color w:val="000000"/>
          <w:sz w:val="22"/>
          <w:szCs w:val="22"/>
          <w:u w:color="000000"/>
          <w:rtl w:val="0"/>
          <w:lang w:val="it-IT"/>
        </w:rPr>
        <w:t>, secondo quanto affermato da GAGLIANONE), con riferimento a favori (come l</w:t>
      </w:r>
      <w:r>
        <w:rPr>
          <w:rFonts w:hAnsi="Book Antiqua" w:hint="default"/>
          <w:color w:val="000000"/>
          <w:sz w:val="22"/>
          <w:szCs w:val="22"/>
          <w:u w:color="000000"/>
          <w:rtl w:val="0"/>
          <w:lang w:val="it-IT"/>
        </w:rPr>
        <w:t>’</w:t>
      </w:r>
      <w:r>
        <w:rPr>
          <w:rFonts w:ascii="Book Antiqua"/>
          <w:color w:val="000000"/>
          <w:sz w:val="22"/>
          <w:szCs w:val="22"/>
          <w:u w:color="000000"/>
          <w:rtl w:val="0"/>
          <w:lang w:val="it-IT"/>
        </w:rPr>
        <w:t>individuazione di un terreno necessario a BUZZI, in quanto la Cooperativa 29 Giugno aveva ottenuto l</w:t>
      </w:r>
      <w:r>
        <w:rPr>
          <w:rFonts w:hAnsi="Book Antiqua" w:hint="default"/>
          <w:color w:val="000000"/>
          <w:sz w:val="22"/>
          <w:szCs w:val="22"/>
          <w:u w:color="000000"/>
          <w:rtl w:val="0"/>
          <w:lang w:val="it-IT"/>
        </w:rPr>
        <w:t>’</w:t>
      </w:r>
      <w:r>
        <w:rPr>
          <w:rFonts w:ascii="Book Antiqua"/>
          <w:color w:val="000000"/>
          <w:sz w:val="22"/>
          <w:szCs w:val="22"/>
          <w:u w:color="000000"/>
          <w:rtl w:val="0"/>
          <w:lang w:val="it-IT"/>
        </w:rPr>
        <w:t>appalto per la realizzazione di un impianto per il trattamento e la valorizzazione dei rifiuti organici nel limitrofo comune di Morlupo, oggetto di richiesta, il 23 luglio 2013, da parte di CARMINATI, per il tramite di GRAMAZIO, l</w:t>
      </w:r>
      <w:r>
        <w:rPr>
          <w:rFonts w:hAnsi="Book Antiqua" w:hint="default"/>
          <w:color w:val="000000"/>
          <w:sz w:val="22"/>
          <w:szCs w:val="22"/>
          <w:u w:color="000000"/>
          <w:rtl w:val="0"/>
          <w:lang w:val="it-IT"/>
        </w:rPr>
        <w:t>’</w:t>
      </w:r>
      <w:r>
        <w:rPr>
          <w:rFonts w:ascii="Book Antiqua"/>
          <w:color w:val="000000"/>
          <w:sz w:val="22"/>
          <w:szCs w:val="22"/>
          <w:u w:color="000000"/>
          <w:rtl w:val="0"/>
          <w:lang w:val="it-IT"/>
        </w:rPr>
        <w:t>individuazione e/o l</w:t>
      </w:r>
      <w:r>
        <w:rPr>
          <w:rFonts w:hAnsi="Book Antiqua" w:hint="default"/>
          <w:color w:val="000000"/>
          <w:sz w:val="22"/>
          <w:szCs w:val="22"/>
          <w:u w:color="000000"/>
          <w:rtl w:val="0"/>
          <w:lang w:val="it-IT"/>
        </w:rPr>
        <w:t>’</w:t>
      </w:r>
      <w:r>
        <w:rPr>
          <w:rFonts w:ascii="Book Antiqua"/>
          <w:color w:val="000000"/>
          <w:sz w:val="22"/>
          <w:szCs w:val="22"/>
          <w:u w:color="000000"/>
          <w:rtl w:val="0"/>
          <w:lang w:val="it-IT"/>
        </w:rPr>
        <w:t>occultamento di documentazione necessaria per superare l</w:t>
      </w:r>
      <w:r>
        <w:rPr>
          <w:rFonts w:hAnsi="Book Antiqua" w:hint="default"/>
          <w:color w:val="000000"/>
          <w:sz w:val="22"/>
          <w:szCs w:val="22"/>
          <w:u w:color="000000"/>
          <w:rtl w:val="0"/>
          <w:lang w:val="it-IT"/>
        </w:rPr>
        <w:t>’</w:t>
      </w:r>
      <w:r>
        <w:rPr>
          <w:rFonts w:ascii="Book Antiqua"/>
          <w:color w:val="000000"/>
          <w:sz w:val="22"/>
          <w:szCs w:val="22"/>
          <w:u w:color="000000"/>
          <w:rtl w:val="0"/>
          <w:lang w:val="it-IT"/>
        </w:rPr>
        <w:t>accatastamento e le varianti al progetto approvato in sanatoria, afferente all</w:t>
      </w:r>
      <w:r>
        <w:rPr>
          <w:rFonts w:hAnsi="Book Antiqua" w:hint="default"/>
          <w:color w:val="000000"/>
          <w:sz w:val="22"/>
          <w:szCs w:val="22"/>
          <w:u w:color="000000"/>
          <w:rtl w:val="0"/>
          <w:lang w:val="it-IT"/>
        </w:rPr>
        <w:t>’</w:t>
      </w:r>
      <w:r>
        <w:rPr>
          <w:rFonts w:ascii="Book Antiqua"/>
          <w:color w:val="000000"/>
          <w:sz w:val="22"/>
          <w:szCs w:val="22"/>
          <w:u w:color="000000"/>
          <w:rtl w:val="0"/>
          <w:lang w:val="it-IT"/>
        </w:rPr>
        <w:t>acquisto della villa di propriet</w:t>
      </w:r>
      <w:r>
        <w:rPr>
          <w:rFonts w:hAnsi="Book Antiqua" w:hint="default"/>
          <w:color w:val="000000"/>
          <w:sz w:val="22"/>
          <w:szCs w:val="22"/>
          <w:u w:color="000000"/>
          <w:rtl w:val="0"/>
          <w:lang w:val="it-IT"/>
        </w:rPr>
        <w:t xml:space="preserve">à </w:t>
      </w:r>
      <w:r>
        <w:rPr>
          <w:rFonts w:ascii="Book Antiqua"/>
          <w:color w:val="000000"/>
          <w:sz w:val="22"/>
          <w:szCs w:val="22"/>
          <w:u w:color="000000"/>
          <w:rtl w:val="0"/>
          <w:lang w:val="it-IT"/>
        </w:rPr>
        <w:t>di Cristina DE CATALDO, in via Monte Cappelletto, n. 11, da parte di CARMINATI, funzionale alla perizia in corso), a nomine in seno agli uffici comunali e a progetti imprenditoriali, quali un</w:t>
      </w:r>
      <w:r>
        <w:rPr>
          <w:rFonts w:hAnsi="Book Antiqua" w:hint="default"/>
          <w:color w:val="000000"/>
          <w:sz w:val="22"/>
          <w:szCs w:val="22"/>
          <w:u w:color="000000"/>
          <w:rtl w:val="0"/>
          <w:lang w:val="it-IT"/>
        </w:rPr>
        <w:t>’</w:t>
      </w:r>
      <w:r>
        <w:rPr>
          <w:rFonts w:ascii="Book Antiqua"/>
          <w:color w:val="000000"/>
          <w:sz w:val="22"/>
          <w:szCs w:val="22"/>
          <w:u w:color="000000"/>
          <w:rtl w:val="0"/>
          <w:lang w:val="it-IT"/>
        </w:rPr>
        <w:t>attivit</w:t>
      </w:r>
      <w:r>
        <w:rPr>
          <w:rFonts w:hAnsi="Book Antiqua" w:hint="default"/>
          <w:color w:val="000000"/>
          <w:sz w:val="22"/>
          <w:szCs w:val="22"/>
          <w:u w:color="000000"/>
          <w:rtl w:val="0"/>
          <w:lang w:val="it-IT"/>
        </w:rPr>
        <w:t xml:space="preserve">à </w:t>
      </w:r>
      <w:r>
        <w:rPr>
          <w:rFonts w:ascii="Book Antiqua"/>
          <w:color w:val="000000"/>
          <w:sz w:val="22"/>
          <w:szCs w:val="22"/>
          <w:u w:color="000000"/>
          <w:rtl w:val="0"/>
          <w:lang w:val="it-IT"/>
        </w:rPr>
        <w:t>di riciclaggio di plastiche e di vetri e smaltimento rifiuti, provvisoriamente accantonata per l</w:t>
      </w:r>
      <w:r>
        <w:rPr>
          <w:rFonts w:hAnsi="Book Antiqua" w:hint="default"/>
          <w:color w:val="000000"/>
          <w:sz w:val="22"/>
          <w:szCs w:val="22"/>
          <w:u w:color="000000"/>
          <w:rtl w:val="0"/>
          <w:lang w:val="it-IT"/>
        </w:rPr>
        <w:t>’</w:t>
      </w:r>
      <w:r>
        <w:rPr>
          <w:rFonts w:ascii="Book Antiqua"/>
          <w:color w:val="000000"/>
          <w:sz w:val="22"/>
          <w:szCs w:val="22"/>
          <w:u w:color="000000"/>
          <w:rtl w:val="0"/>
          <w:lang w:val="it-IT"/>
        </w:rPr>
        <w:t>effettuazione di lavori relativi alla costruzione di strade che collegano i comuni di Santamaria, Montelinetti, finanziati con fondi regionali, oggetto di discussione nel corso del pranzo tenutosi presso l</w:t>
      </w:r>
      <w:r>
        <w:rPr>
          <w:rFonts w:hAnsi="Book Antiqua" w:hint="default"/>
          <w:color w:val="000000"/>
          <w:sz w:val="22"/>
          <w:szCs w:val="22"/>
          <w:u w:color="000000"/>
          <w:rtl w:val="0"/>
          <w:lang w:val="it-IT"/>
        </w:rPr>
        <w:t>’</w:t>
      </w:r>
      <w:r>
        <w:rPr>
          <w:rFonts w:ascii="Book Antiqua"/>
          <w:color w:val="000000"/>
          <w:sz w:val="22"/>
          <w:szCs w:val="22"/>
          <w:u w:color="000000"/>
          <w:rtl w:val="0"/>
          <w:lang w:val="it-IT"/>
        </w:rPr>
        <w:t>abitazione di CARMINATI, ubicata in via Monte Capelletto a Sacrofano, domenica 19 gennaio 2014, assieme a TESTA e a GRAMAZIO (</w:t>
      </w:r>
      <w:r>
        <w:rPr>
          <w:rFonts w:hAnsi="Book Antiqua" w:hint="default"/>
          <w:color w:val="000000"/>
          <w:sz w:val="22"/>
          <w:szCs w:val="22"/>
          <w:u w:color="000000"/>
          <w:rtl w:val="0"/>
          <w:lang w:val="it-IT"/>
        </w:rPr>
        <w:t>“</w:t>
      </w:r>
      <w:r>
        <w:rPr>
          <w:rFonts w:ascii="Book Antiqua"/>
          <w:color w:val="000000"/>
          <w:sz w:val="22"/>
          <w:szCs w:val="22"/>
          <w:u w:color="000000"/>
          <w:rtl w:val="0"/>
          <w:lang w:val="it-IT"/>
        </w:rPr>
        <w:t>c'hanno gi</w:t>
      </w:r>
      <w:r>
        <w:rPr>
          <w:rFonts w:hAnsi="Book Antiqua" w:hint="default"/>
          <w:color w:val="000000"/>
          <w:sz w:val="22"/>
          <w:szCs w:val="22"/>
          <w:u w:color="000000"/>
          <w:rtl w:val="0"/>
          <w:lang w:val="it-IT"/>
        </w:rPr>
        <w:t xml:space="preserve">à </w:t>
      </w:r>
      <w:r>
        <w:rPr>
          <w:rFonts w:ascii="Book Antiqua"/>
          <w:color w:val="000000"/>
          <w:sz w:val="22"/>
          <w:szCs w:val="22"/>
          <w:u w:color="000000"/>
          <w:rtl w:val="0"/>
          <w:lang w:val="it-IT"/>
        </w:rPr>
        <w:t>parlato con il sindaco.... mo' dice... devono sposta dice... la cosa... la discarica qui no...la discarica... il centro di raccolta....c'</w:t>
      </w:r>
      <w:r>
        <w:rPr>
          <w:rFonts w:hAnsi="Book Antiqua" w:hint="default"/>
          <w:color w:val="000000"/>
          <w:sz w:val="22"/>
          <w:szCs w:val="22"/>
          <w:u w:color="000000"/>
          <w:rtl w:val="0"/>
          <w:lang w:val="it-IT"/>
        </w:rPr>
        <w:t xml:space="preserve">è </w:t>
      </w:r>
      <w:r>
        <w:rPr>
          <w:rFonts w:ascii="Book Antiqua"/>
          <w:color w:val="000000"/>
          <w:sz w:val="22"/>
          <w:szCs w:val="22"/>
          <w:u w:color="000000"/>
          <w:rtl w:val="0"/>
          <w:lang w:val="it-IT"/>
        </w:rPr>
        <w:t>da fa tutte strade... Santa Maria....fra i comuni .... Montelinetti (fonetico) ... piazzali (fonetico)... un centinaio di milioni</w:t>
      </w:r>
      <w:r>
        <w:rPr>
          <w:rFonts w:hAnsi="Book Antiqua" w:hint="default"/>
          <w:color w:val="000000"/>
          <w:sz w:val="22"/>
          <w:szCs w:val="22"/>
          <w:u w:color="000000"/>
          <w:rtl w:val="0"/>
          <w:lang w:val="it-IT"/>
        </w:rPr>
        <w:t>”</w:t>
      </w:r>
      <w:r>
        <w:rPr>
          <w:rFonts w:ascii="Book Antiqua"/>
          <w:color w:val="000000"/>
          <w:sz w:val="22"/>
          <w:szCs w:val="22"/>
          <w:u w:color="000000"/>
          <w:rtl w:val="0"/>
          <w:lang w:val="it-IT"/>
        </w:rPr>
        <w:t>, indicazioni di GAGLIANONE, riferite a tale Rosetta il 5 febbraio 2014;</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[si pu</w:t>
      </w:r>
      <w:r>
        <w:rPr>
          <w:rFonts w:hAnsi="Book Antiqua" w:hint="default"/>
          <w:color w:val="000000"/>
          <w:sz w:val="22"/>
          <w:szCs w:val="22"/>
          <w:u w:color="000000"/>
          <w:rtl w:val="0"/>
          <w:lang w:val="it-IT"/>
        </w:rPr>
        <w:t xml:space="preserve">ò </w:t>
      </w:r>
      <w:r>
        <w:rPr>
          <w:rFonts w:ascii="Book Antiqua"/>
          <w:color w:val="000000"/>
          <w:sz w:val="22"/>
          <w:szCs w:val="22"/>
          <w:u w:color="000000"/>
          <w:rtl w:val="0"/>
          <w:lang w:val="it-IT"/>
        </w:rPr>
        <w:t>ritenere trattarsi del comune di Montelibretti, frazione Borgo Santa Maria]</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[p. 438]</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A conferma dell</w:t>
      </w:r>
      <w:r>
        <w:rPr>
          <w:rFonts w:hAnsi="Book Antiqua" w:hint="default"/>
          <w:color w:val="000000"/>
          <w:sz w:val="22"/>
          <w:szCs w:val="22"/>
          <w:u w:color="000000"/>
          <w:rtl w:val="0"/>
          <w:lang w:val="it-IT"/>
        </w:rPr>
        <w:t>’</w:t>
      </w:r>
      <w:r>
        <w:rPr>
          <w:rFonts w:ascii="Book Antiqua"/>
          <w:color w:val="000000"/>
          <w:sz w:val="22"/>
          <w:szCs w:val="22"/>
          <w:u w:color="000000"/>
          <w:rtl w:val="0"/>
          <w:lang w:val="it-IT"/>
        </w:rPr>
        <w:t>interessamento di GAGLIANONE all</w:t>
      </w:r>
      <w:r>
        <w:rPr>
          <w:rFonts w:hAnsi="Book Antiqua" w:hint="default"/>
          <w:color w:val="000000"/>
          <w:sz w:val="22"/>
          <w:szCs w:val="22"/>
          <w:u w:color="000000"/>
          <w:rtl w:val="0"/>
          <w:lang w:val="it-IT"/>
        </w:rPr>
        <w:t>’</w:t>
      </w:r>
      <w:r>
        <w:rPr>
          <w:rFonts w:ascii="Book Antiqua"/>
          <w:color w:val="000000"/>
          <w:sz w:val="22"/>
          <w:szCs w:val="22"/>
          <w:u w:color="000000"/>
          <w:rtl w:val="0"/>
          <w:lang w:val="it-IT"/>
        </w:rPr>
        <w:t>attivit</w:t>
      </w:r>
      <w:r>
        <w:rPr>
          <w:rFonts w:hAnsi="Book Antiqua" w:hint="default"/>
          <w:color w:val="000000"/>
          <w:sz w:val="22"/>
          <w:szCs w:val="22"/>
          <w:u w:color="000000"/>
          <w:rtl w:val="0"/>
          <w:lang w:val="it-IT"/>
        </w:rPr>
        <w:t xml:space="preserve">à </w:t>
      </w:r>
      <w:r>
        <w:rPr>
          <w:rFonts w:ascii="Book Antiqua"/>
          <w:color w:val="000000"/>
          <w:sz w:val="22"/>
          <w:szCs w:val="22"/>
          <w:u w:color="000000"/>
          <w:rtl w:val="0"/>
          <w:lang w:val="it-IT"/>
        </w:rPr>
        <w:t xml:space="preserve">di GUARNERA vedi anche conversazione nr. 2138 del 12.01.2013 - RIT 7675/12, nel corso della quale GAGLIANONE metteva a conoscenza tale </w:t>
      </w:r>
      <w:r>
        <w:rPr>
          <w:rFonts w:hAnsi="Book Antiqua" w:hint="default"/>
          <w:color w:val="000000"/>
          <w:sz w:val="22"/>
          <w:szCs w:val="22"/>
          <w:u w:color="000000"/>
          <w:rtl w:val="0"/>
          <w:lang w:val="it-IT"/>
        </w:rPr>
        <w:t>“</w:t>
      </w:r>
      <w:r>
        <w:rPr>
          <w:rFonts w:ascii="Book Antiqua"/>
          <w:color w:val="000000"/>
          <w:sz w:val="22"/>
          <w:szCs w:val="22"/>
          <w:u w:color="000000"/>
          <w:rtl w:val="0"/>
          <w:lang w:val="it-IT"/>
        </w:rPr>
        <w:t>Marcello</w:t>
      </w:r>
      <w:r>
        <w:rPr>
          <w:rFonts w:hAnsi="Book Antiqua" w:hint="default"/>
          <w:color w:val="000000"/>
          <w:sz w:val="22"/>
          <w:szCs w:val="22"/>
          <w:u w:color="000000"/>
          <w:rtl w:val="0"/>
          <w:lang w:val="it-IT"/>
        </w:rPr>
        <w:t>”</w:t>
      </w:r>
      <w:r>
        <w:rPr>
          <w:rFonts w:ascii="Book Antiqua"/>
          <w:color w:val="000000"/>
          <w:sz w:val="22"/>
          <w:szCs w:val="22"/>
          <w:u w:color="000000"/>
          <w:rtl w:val="0"/>
          <w:lang w:val="it-IT"/>
        </w:rPr>
        <w:t>, proprietario di una discarica di terreni, della possibilit</w:t>
      </w:r>
      <w:r>
        <w:rPr>
          <w:rFonts w:hAnsi="Book Antiqua" w:hint="default"/>
          <w:color w:val="000000"/>
          <w:sz w:val="22"/>
          <w:szCs w:val="22"/>
          <w:u w:color="000000"/>
          <w:rtl w:val="0"/>
          <w:lang w:val="it-IT"/>
        </w:rPr>
        <w:t xml:space="preserve">à </w:t>
      </w:r>
      <w:r>
        <w:rPr>
          <w:rFonts w:ascii="Book Antiqua"/>
          <w:color w:val="000000"/>
          <w:sz w:val="22"/>
          <w:szCs w:val="22"/>
          <w:u w:color="000000"/>
          <w:rtl w:val="0"/>
          <w:lang w:val="it-IT"/>
        </w:rPr>
        <w:t xml:space="preserve">di aderire ad una offerta per un lavoro </w:t>
      </w:r>
      <w:r>
        <w:rPr>
          <w:rFonts w:hAnsi="Book Antiqua" w:hint="default"/>
          <w:color w:val="000000"/>
          <w:sz w:val="22"/>
          <w:szCs w:val="22"/>
          <w:u w:color="000000"/>
          <w:rtl w:val="0"/>
          <w:lang w:val="it-IT"/>
        </w:rPr>
        <w:t>“</w:t>
      </w:r>
      <w:r>
        <w:rPr>
          <w:rFonts w:ascii="Book Antiqua"/>
          <w:color w:val="000000"/>
          <w:sz w:val="22"/>
          <w:szCs w:val="22"/>
          <w:u w:color="000000"/>
          <w:rtl w:val="0"/>
          <w:lang w:val="it-IT"/>
        </w:rPr>
        <w:t>a villa Pamphili</w:t>
      </w:r>
      <w:r>
        <w:rPr>
          <w:rFonts w:hAnsi="Book Antiqua" w:hint="default"/>
          <w:color w:val="000000"/>
          <w:sz w:val="22"/>
          <w:szCs w:val="22"/>
          <w:u w:color="000000"/>
          <w:rtl w:val="0"/>
          <w:lang w:val="it-IT"/>
        </w:rPr>
        <w:t>”</w:t>
      </w:r>
      <w:r>
        <w:rPr>
          <w:rFonts w:ascii="Book Antiqua"/>
          <w:color w:val="000000"/>
          <w:sz w:val="22"/>
          <w:szCs w:val="22"/>
          <w:u w:color="000000"/>
          <w:rtl w:val="0"/>
          <w:lang w:val="it-IT"/>
        </w:rPr>
        <w:t xml:space="preserve">, per la quale diceva di avere </w:t>
      </w:r>
      <w:r>
        <w:rPr>
          <w:rFonts w:hAnsi="Book Antiqua" w:hint="default"/>
          <w:color w:val="000000"/>
          <w:sz w:val="22"/>
          <w:szCs w:val="22"/>
          <w:u w:color="000000"/>
          <w:rtl w:val="0"/>
          <w:lang w:val="it-IT"/>
        </w:rPr>
        <w:t>“</w:t>
      </w:r>
      <w:r>
        <w:rPr>
          <w:rFonts w:ascii="Book Antiqua"/>
          <w:color w:val="000000"/>
          <w:sz w:val="22"/>
          <w:szCs w:val="22"/>
          <w:u w:color="000000"/>
          <w:rtl w:val="0"/>
          <w:lang w:val="it-IT"/>
        </w:rPr>
        <w:t>molte chances, tu capisci..</w:t>
      </w:r>
      <w:r>
        <w:rPr>
          <w:rFonts w:hAnsi="Book Antiqua" w:hint="default"/>
          <w:color w:val="000000"/>
          <w:sz w:val="22"/>
          <w:szCs w:val="22"/>
          <w:u w:color="000000"/>
          <w:rtl w:val="0"/>
          <w:lang w:val="it-IT"/>
        </w:rPr>
        <w:t>”</w:t>
      </w:r>
      <w:r>
        <w:rPr>
          <w:rFonts w:ascii="Book Antiqua"/>
          <w:color w:val="000000"/>
          <w:sz w:val="22"/>
          <w:szCs w:val="22"/>
          <w:u w:color="000000"/>
          <w:rtl w:val="0"/>
          <w:lang w:val="it-IT"/>
        </w:rPr>
        <w:t>, per la movimentazione di 20 mila metri cubi di terra da portare via. GAGLIANONE aggiungeva che la propriet</w:t>
      </w:r>
      <w:r>
        <w:rPr>
          <w:rFonts w:hAnsi="Book Antiqua" w:hint="default"/>
          <w:color w:val="000000"/>
          <w:sz w:val="22"/>
          <w:szCs w:val="22"/>
          <w:u w:color="000000"/>
          <w:rtl w:val="0"/>
          <w:lang w:val="it-IT"/>
        </w:rPr>
        <w:t xml:space="preserve">à </w:t>
      </w:r>
      <w:r>
        <w:rPr>
          <w:rFonts w:ascii="Book Antiqua"/>
          <w:color w:val="000000"/>
          <w:sz w:val="22"/>
          <w:szCs w:val="22"/>
          <w:u w:color="000000"/>
          <w:rtl w:val="0"/>
          <w:lang w:val="it-IT"/>
        </w:rPr>
        <w:t xml:space="preserve">del terreno erano </w:t>
      </w:r>
      <w:r>
        <w:rPr>
          <w:rFonts w:hAnsi="Book Antiqua" w:hint="default"/>
          <w:color w:val="000000"/>
          <w:sz w:val="22"/>
          <w:szCs w:val="22"/>
          <w:u w:color="000000"/>
          <w:rtl w:val="0"/>
          <w:lang w:val="it-IT"/>
        </w:rPr>
        <w:t>“</w:t>
      </w:r>
      <w:r>
        <w:rPr>
          <w:rFonts w:ascii="Book Antiqua"/>
          <w:color w:val="000000"/>
          <w:sz w:val="22"/>
          <w:szCs w:val="22"/>
          <w:u w:color="000000"/>
          <w:rtl w:val="0"/>
          <w:lang w:val="it-IT"/>
        </w:rPr>
        <w:t>amici</w:t>
      </w:r>
      <w:r>
        <w:rPr>
          <w:rFonts w:hAnsi="Book Antiqua" w:hint="default"/>
          <w:color w:val="000000"/>
          <w:sz w:val="22"/>
          <w:szCs w:val="22"/>
          <w:u w:color="000000"/>
          <w:rtl w:val="0"/>
          <w:lang w:val="it-IT"/>
        </w:rPr>
        <w:t xml:space="preserve">” </w:t>
      </w:r>
      <w:r>
        <w:rPr>
          <w:rFonts w:ascii="Book Antiqua"/>
          <w:color w:val="000000"/>
          <w:sz w:val="22"/>
          <w:szCs w:val="22"/>
          <w:u w:color="000000"/>
          <w:rtl w:val="0"/>
          <w:lang w:val="it-IT"/>
        </w:rPr>
        <w:t>e che volevano che fosse lui ad effettuare i lavori.</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 xml:space="preserve"> [p. 1086]</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i w:val="1"/>
          <w:iCs w:val="1"/>
          <w:color w:val="000000"/>
          <w:u w:color="000000"/>
        </w:rPr>
      </w:pPr>
      <w:r>
        <w:rPr>
          <w:rFonts w:ascii="Book Antiqua"/>
          <w:color w:val="000000"/>
          <w:u w:color="000000"/>
          <w:rtl w:val="0"/>
          <w:lang w:val="it-IT"/>
        </w:rPr>
        <w:t>[Ambientale con tale Bernardinello]</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CB:</w:t>
        <w:tab/>
        <w:t>Ma noi...io... S:</w:t>
        <w:tab/>
        <w:t>Se voi...se voi non capite bene la cooperativa, la cooperativa v</w:t>
      </w:r>
      <w:r>
        <w:rPr>
          <w:rFonts w:hAnsi="Book Antiqua" w:hint="default"/>
          <w:color w:val="000000"/>
          <w:sz w:val="22"/>
          <w:szCs w:val="22"/>
          <w:u w:color="000000"/>
          <w:rtl w:val="0"/>
          <w:lang w:val="it-IT"/>
        </w:rPr>
        <w:t>’</w:t>
      </w:r>
      <w:r>
        <w:rPr>
          <w:rFonts w:ascii="Book Antiqua"/>
          <w:color w:val="000000"/>
          <w:sz w:val="22"/>
          <w:szCs w:val="22"/>
          <w:u w:color="000000"/>
          <w:rtl w:val="0"/>
          <w:lang w:val="it-IT"/>
        </w:rPr>
        <w:t xml:space="preserve">ammazza! E che cazzo, no...ma per... che ce vole? Quello glie viene il sangue amaro su </w:t>
      </w:r>
      <w:r>
        <w:rPr>
          <w:rFonts w:hAnsi="Book Antiqua" w:hint="default"/>
          <w:color w:val="000000"/>
          <w:sz w:val="22"/>
          <w:szCs w:val="22"/>
          <w:u w:color="000000"/>
          <w:rtl w:val="0"/>
          <w:lang w:val="it-IT"/>
        </w:rPr>
        <w:t>‘</w:t>
      </w:r>
      <w:r>
        <w:rPr>
          <w:rFonts w:ascii="Book Antiqua"/>
          <w:color w:val="000000"/>
          <w:sz w:val="22"/>
          <w:szCs w:val="22"/>
          <w:u w:color="000000"/>
          <w:rtl w:val="0"/>
          <w:lang w:val="it-IT"/>
        </w:rPr>
        <w:t>sta storia...</w:t>
      </w:r>
      <w:r>
        <w:rPr>
          <w:rFonts w:hAnsi="Book Antiqua" w:hint="default"/>
          <w:color w:val="000000"/>
          <w:sz w:val="22"/>
          <w:szCs w:val="22"/>
          <w:u w:color="000000"/>
          <w:rtl w:val="0"/>
          <w:lang w:val="it-IT"/>
        </w:rPr>
        <w:t xml:space="preserve">è </w:t>
      </w:r>
      <w:r>
        <w:rPr>
          <w:rFonts w:ascii="Book Antiqua"/>
          <w:color w:val="000000"/>
          <w:sz w:val="22"/>
          <w:szCs w:val="22"/>
          <w:u w:color="000000"/>
          <w:rtl w:val="0"/>
          <w:lang w:val="it-IT"/>
        </w:rPr>
        <w:t>una persona seria, corretta, non ce chiede niente, non ce chiede soldi...c</w:t>
      </w:r>
      <w:r>
        <w:rPr>
          <w:rFonts w:hAnsi="Book Antiqua" w:hint="default"/>
          <w:color w:val="000000"/>
          <w:sz w:val="22"/>
          <w:szCs w:val="22"/>
          <w:u w:color="000000"/>
          <w:rtl w:val="0"/>
          <w:lang w:val="it-IT"/>
        </w:rPr>
        <w:t>’</w:t>
      </w:r>
      <w:r>
        <w:rPr>
          <w:rFonts w:ascii="Book Antiqua"/>
          <w:color w:val="000000"/>
          <w:sz w:val="22"/>
          <w:szCs w:val="22"/>
          <w:u w:color="000000"/>
          <w:rtl w:val="0"/>
          <w:lang w:val="it-IT"/>
        </w:rPr>
        <w:t>ha dato i rifiuti, ce sta a da</w:t>
      </w:r>
      <w:r>
        <w:rPr>
          <w:rFonts w:hAnsi="Book Antiqua" w:hint="default"/>
          <w:color w:val="000000"/>
          <w:sz w:val="22"/>
          <w:szCs w:val="22"/>
          <w:u w:color="000000"/>
          <w:rtl w:val="0"/>
          <w:lang w:val="it-IT"/>
        </w:rPr>
        <w:t xml:space="preserve">’ </w:t>
      </w:r>
      <w:r>
        <w:rPr>
          <w:rFonts w:ascii="Book Antiqua"/>
          <w:color w:val="000000"/>
          <w:sz w:val="22"/>
          <w:szCs w:val="22"/>
          <w:u w:color="000000"/>
          <w:rtl w:val="0"/>
          <w:lang w:val="it-IT"/>
        </w:rPr>
        <w:t>un asilo nido, ce sta a da</w:t>
      </w:r>
      <w:r>
        <w:rPr>
          <w:rFonts w:hAnsi="Book Antiqua" w:hint="default"/>
          <w:color w:val="000000"/>
          <w:sz w:val="22"/>
          <w:szCs w:val="22"/>
          <w:u w:color="000000"/>
          <w:rtl w:val="0"/>
          <w:lang w:val="it-IT"/>
        </w:rPr>
        <w:t xml:space="preserve">’ </w:t>
      </w:r>
      <w:r>
        <w:rPr>
          <w:rFonts w:ascii="Book Antiqua"/>
          <w:color w:val="000000"/>
          <w:sz w:val="22"/>
          <w:szCs w:val="22"/>
          <w:u w:color="000000"/>
          <w:rtl w:val="0"/>
          <w:lang w:val="it-IT"/>
        </w:rPr>
        <w:t>un impianto de congelazione .....</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Alla fine della vicenda, Buzzi non si accontenta di un sindaco che gli assegna lavori senza prendere soldi, senza chiedere niente, ma lo mette a stipendio, secondo quanto afferma in una comunicazione a Carminati</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w:t>
      </w:r>
      <w:r>
        <w:rPr>
          <w:rFonts w:hAnsi="Book Antiqua" w:hint="default"/>
          <w:color w:val="000000"/>
          <w:sz w:val="22"/>
          <w:szCs w:val="22"/>
          <w:u w:color="000000"/>
          <w:rtl w:val="0"/>
          <w:lang w:val="it-IT"/>
        </w:rPr>
        <w:t>…</w:t>
      </w:r>
      <w:r>
        <w:rPr>
          <w:rFonts w:ascii="Book Antiqua"/>
          <w:color w:val="000000"/>
          <w:sz w:val="22"/>
          <w:szCs w:val="22"/>
          <w:u w:color="000000"/>
          <w:rtl w:val="0"/>
          <w:lang w:val="it-IT"/>
        </w:rPr>
        <w:t>]</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Va rilevato [</w:t>
      </w:r>
      <w:r>
        <w:rPr>
          <w:rFonts w:hAnsi="Book Antiqua" w:hint="default"/>
          <w:color w:val="000000"/>
          <w:sz w:val="22"/>
          <w:szCs w:val="22"/>
          <w:u w:color="000000"/>
          <w:rtl w:val="0"/>
          <w:lang w:val="it-IT"/>
        </w:rPr>
        <w:t>…</w:t>
      </w:r>
      <w:r>
        <w:rPr>
          <w:rFonts w:ascii="Book Antiqua"/>
          <w:color w:val="000000"/>
          <w:sz w:val="22"/>
          <w:szCs w:val="22"/>
          <w:u w:color="000000"/>
          <w:rtl w:val="0"/>
          <w:lang w:val="it-IT"/>
        </w:rPr>
        <w:t>] che nell</w:t>
      </w:r>
      <w:r>
        <w:rPr>
          <w:rFonts w:hAnsi="Book Antiqua" w:hint="default"/>
          <w:color w:val="000000"/>
          <w:sz w:val="22"/>
          <w:szCs w:val="22"/>
          <w:u w:color="000000"/>
          <w:rtl w:val="0"/>
          <w:lang w:val="it-IT"/>
        </w:rPr>
        <w:t>’</w:t>
      </w:r>
      <w:r>
        <w:rPr>
          <w:rFonts w:ascii="Book Antiqua"/>
          <w:color w:val="000000"/>
          <w:sz w:val="22"/>
          <w:szCs w:val="22"/>
          <w:u w:color="000000"/>
          <w:rtl w:val="0"/>
          <w:lang w:val="it-IT"/>
        </w:rPr>
        <w:t>ambito dei dialoghi intercettati nel mese di giugno [2014], il giorno 9 ne veniva registrato uno decisivo a sostenere l</w:t>
      </w:r>
      <w:r>
        <w:rPr>
          <w:rFonts w:hAnsi="Book Antiqua" w:hint="default"/>
          <w:color w:val="000000"/>
          <w:sz w:val="22"/>
          <w:szCs w:val="22"/>
          <w:u w:color="000000"/>
          <w:rtl w:val="0"/>
          <w:lang w:val="it-IT"/>
        </w:rPr>
        <w:t>’</w:t>
      </w:r>
      <w:r>
        <w:rPr>
          <w:rFonts w:ascii="Book Antiqua"/>
          <w:color w:val="000000"/>
          <w:sz w:val="22"/>
          <w:szCs w:val="22"/>
          <w:u w:color="000000"/>
          <w:rtl w:val="0"/>
          <w:lang w:val="it-IT"/>
        </w:rPr>
        <w:t>ipotesi investigativa secondo cui anche il primo cittadino del comune di Morlupo rientrasse tra i pubblici ufficiali a disposizione del sodalizio e di come anch</w:t>
      </w:r>
      <w:r>
        <w:rPr>
          <w:rFonts w:hAnsi="Book Antiqua" w:hint="default"/>
          <w:color w:val="000000"/>
          <w:sz w:val="22"/>
          <w:szCs w:val="22"/>
          <w:u w:color="000000"/>
          <w:rtl w:val="0"/>
          <w:lang w:val="it-IT"/>
        </w:rPr>
        <w:t>’</w:t>
      </w:r>
      <w:r>
        <w:rPr>
          <w:rFonts w:ascii="Book Antiqua"/>
          <w:color w:val="000000"/>
          <w:sz w:val="22"/>
          <w:szCs w:val="22"/>
          <w:u w:color="000000"/>
          <w:rtl w:val="0"/>
          <w:lang w:val="it-IT"/>
        </w:rPr>
        <w:t xml:space="preserve">egli, in cambio dei favori elargiti a favore di BUZZI e della 29 Giugno, fosse remunerato con una corresponsione di denaro. Nella circostanza, infatti, BUZZI riferiva a CARMINATI: </w:t>
      </w:r>
      <w:r>
        <w:rPr>
          <w:rFonts w:hAnsi="Book Antiqua" w:hint="default"/>
          <w:color w:val="000000"/>
          <w:sz w:val="22"/>
          <w:szCs w:val="22"/>
          <w:u w:color="000000"/>
          <w:rtl w:val="0"/>
          <w:lang w:val="it-IT"/>
        </w:rPr>
        <w:t>“</w:t>
      </w:r>
      <w:r>
        <w:rPr>
          <w:rFonts w:ascii="Book Antiqua"/>
          <w:color w:val="000000"/>
          <w:sz w:val="22"/>
          <w:szCs w:val="22"/>
          <w:u w:color="000000"/>
          <w:rtl w:val="0"/>
          <w:lang w:val="it-IT"/>
        </w:rPr>
        <w:t>il sindaco di Morlupo l</w:t>
      </w:r>
      <w:r>
        <w:rPr>
          <w:rFonts w:hAnsi="Book Antiqua" w:hint="default"/>
          <w:color w:val="000000"/>
          <w:sz w:val="22"/>
          <w:szCs w:val="22"/>
          <w:u w:color="000000"/>
          <w:rtl w:val="0"/>
          <w:lang w:val="it-IT"/>
        </w:rPr>
        <w:t>’</w:t>
      </w:r>
      <w:r>
        <w:rPr>
          <w:rFonts w:ascii="Book Antiqua"/>
          <w:color w:val="000000"/>
          <w:sz w:val="22"/>
          <w:szCs w:val="22"/>
          <w:u w:color="000000"/>
          <w:rtl w:val="0"/>
          <w:lang w:val="it-IT"/>
        </w:rPr>
        <w:t>ho messo a stipendio</w:t>
      </w:r>
      <w:r>
        <w:rPr>
          <w:rFonts w:hAnsi="Book Antiqua" w:hint="default"/>
          <w:color w:val="000000"/>
          <w:sz w:val="22"/>
          <w:szCs w:val="22"/>
          <w:u w:color="000000"/>
          <w:rtl w:val="0"/>
          <w:lang w:val="it-IT"/>
        </w:rPr>
        <w:t xml:space="preserve">” </w:t>
      </w:r>
      <w:r>
        <w:rPr>
          <w:rFonts w:ascii="Book Antiqua"/>
          <w:color w:val="000000"/>
          <w:sz w:val="22"/>
          <w:szCs w:val="22"/>
          <w:u w:color="000000"/>
          <w:rtl w:val="0"/>
          <w:lang w:val="it-IT"/>
        </w:rPr>
        <w:t>e quest</w:t>
      </w:r>
      <w:r>
        <w:rPr>
          <w:rFonts w:hAnsi="Book Antiqua" w:hint="default"/>
          <w:color w:val="000000"/>
          <w:sz w:val="22"/>
          <w:szCs w:val="22"/>
          <w:u w:color="000000"/>
          <w:rtl w:val="0"/>
          <w:lang w:val="it-IT"/>
        </w:rPr>
        <w:t>’</w:t>
      </w:r>
      <w:r>
        <w:rPr>
          <w:rFonts w:ascii="Book Antiqua"/>
          <w:color w:val="000000"/>
          <w:sz w:val="22"/>
          <w:szCs w:val="22"/>
          <w:u w:color="000000"/>
          <w:rtl w:val="0"/>
          <w:lang w:val="it-IT"/>
        </w:rPr>
        <w:t xml:space="preserve">ultimo commentava: </w:t>
      </w:r>
      <w:r>
        <w:rPr>
          <w:rFonts w:hAnsi="Book Antiqua" w:hint="default"/>
          <w:color w:val="000000"/>
          <w:sz w:val="22"/>
          <w:szCs w:val="22"/>
          <w:u w:color="000000"/>
          <w:rtl w:val="0"/>
          <w:lang w:val="it-IT"/>
        </w:rPr>
        <w:t>“</w:t>
      </w:r>
      <w:r>
        <w:rPr>
          <w:rFonts w:ascii="Book Antiqua"/>
          <w:color w:val="000000"/>
          <w:sz w:val="22"/>
          <w:szCs w:val="22"/>
          <w:u w:color="000000"/>
          <w:rtl w:val="0"/>
          <w:lang w:val="it-IT"/>
        </w:rPr>
        <w:t>ah perfetto</w:t>
      </w:r>
      <w:r>
        <w:rPr>
          <w:rFonts w:hAnsi="Book Antiqua" w:hint="default"/>
          <w:color w:val="000000"/>
          <w:sz w:val="22"/>
          <w:szCs w:val="22"/>
          <w:u w:color="000000"/>
          <w:rtl w:val="0"/>
          <w:lang w:val="it-IT"/>
        </w:rPr>
        <w:t>”</w:t>
      </w:r>
      <w:r>
        <w:rPr>
          <w:rFonts w:ascii="Book Antiqua"/>
          <w:color w:val="000000"/>
          <w:sz w:val="22"/>
          <w:szCs w:val="22"/>
          <w:u w:color="000000"/>
          <w:rtl w:val="0"/>
          <w:lang w:val="it-IT"/>
        </w:rPr>
        <w:t>.</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rPr>
          <w:rFonts w:ascii="Book Antiqua" w:cs="Book Antiqua" w:hAnsi="Book Antiqua" w:eastAsia="Book Antiqua"/>
          <w:color w:val="000000"/>
          <w:sz w:val="22"/>
          <w:szCs w:val="22"/>
          <w:u w:color="000000"/>
        </w:rPr>
      </w:pP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[p.509, p. 824-825]</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Emblematica dell</w:t>
      </w:r>
      <w:r>
        <w:rPr>
          <w:rFonts w:hAnsi="Book Antiqua" w:hint="default"/>
          <w:color w:val="000000"/>
          <w:sz w:val="22"/>
          <w:szCs w:val="22"/>
          <w:u w:color="000000"/>
          <w:rtl w:val="0"/>
          <w:lang w:val="it-IT"/>
        </w:rPr>
        <w:t>’</w:t>
      </w:r>
      <w:r>
        <w:rPr>
          <w:rFonts w:ascii="Book Antiqua"/>
          <w:color w:val="000000"/>
          <w:sz w:val="22"/>
          <w:szCs w:val="22"/>
          <w:u w:color="000000"/>
          <w:rtl w:val="0"/>
          <w:lang w:val="it-IT"/>
        </w:rPr>
        <w:t xml:space="preserve">inserimento di </w:t>
      </w:r>
      <w:r>
        <w:rPr>
          <w:rFonts w:ascii="Book Antiqua"/>
          <w:color w:val="000000"/>
          <w:sz w:val="22"/>
          <w:szCs w:val="22"/>
          <w:u w:val="single" w:color="000000"/>
          <w:rtl w:val="0"/>
          <w:lang w:val="it-IT"/>
        </w:rPr>
        <w:t>[Agostino] GAGLIANONE</w:t>
      </w:r>
      <w:r>
        <w:rPr>
          <w:rFonts w:ascii="Book Antiqua"/>
          <w:color w:val="000000"/>
          <w:sz w:val="22"/>
          <w:szCs w:val="22"/>
          <w:u w:color="000000"/>
          <w:rtl w:val="0"/>
          <w:lang w:val="it-IT"/>
        </w:rPr>
        <w:t>, con riferimento al versante della pubblica amministrazione, appare la conversazione, avvenuta alle ore 18.03 del 14 gennaio 2013, durante la quale CARMINATI disvelava all</w:t>
      </w:r>
      <w:r>
        <w:rPr>
          <w:rFonts w:hAnsi="Book Antiqua" w:hint="default"/>
          <w:color w:val="000000"/>
          <w:sz w:val="22"/>
          <w:szCs w:val="22"/>
          <w:u w:color="000000"/>
          <w:rtl w:val="0"/>
          <w:lang w:val="it-IT"/>
        </w:rPr>
        <w:t>’</w:t>
      </w:r>
      <w:r>
        <w:rPr>
          <w:rFonts w:ascii="Book Antiqua"/>
          <w:color w:val="000000"/>
          <w:sz w:val="22"/>
          <w:szCs w:val="22"/>
          <w:u w:color="000000"/>
          <w:rtl w:val="0"/>
          <w:lang w:val="it-IT"/>
        </w:rPr>
        <w:t xml:space="preserve">imprenditore come il gruppo criminale potesse contare su referenti inseriti nella pubblica amministrazione. </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Nello specifico, CARMINATI spiegava al sodale GAGLIANONE il ruolo che, nell</w:t>
      </w:r>
      <w:r>
        <w:rPr>
          <w:rFonts w:hAnsi="Book Antiqua" w:hint="default"/>
          <w:color w:val="000000"/>
          <w:sz w:val="22"/>
          <w:szCs w:val="22"/>
          <w:u w:color="000000"/>
          <w:rtl w:val="0"/>
          <w:lang w:val="it-IT"/>
        </w:rPr>
        <w:t>’</w:t>
      </w:r>
      <w:r>
        <w:rPr>
          <w:rFonts w:ascii="Book Antiqua"/>
          <w:color w:val="000000"/>
          <w:sz w:val="22"/>
          <w:szCs w:val="22"/>
          <w:u w:color="000000"/>
          <w:rtl w:val="0"/>
          <w:lang w:val="it-IT"/>
        </w:rPr>
        <w:t xml:space="preserve">organizzazione, ricopriva Fabrizio Franco TESTA - indicato come un </w:t>
      </w:r>
      <w:r>
        <w:rPr>
          <w:rFonts w:hAnsi="Book Antiqua" w:hint="default"/>
          <w:color w:val="000000"/>
          <w:sz w:val="22"/>
          <w:szCs w:val="22"/>
          <w:u w:color="000000"/>
          <w:rtl w:val="0"/>
          <w:lang w:val="it-IT"/>
        </w:rPr>
        <w:t>“</w:t>
      </w:r>
      <w:r>
        <w:rPr>
          <w:rFonts w:ascii="Book Antiqua"/>
          <w:color w:val="000000"/>
          <w:sz w:val="22"/>
          <w:szCs w:val="22"/>
          <w:u w:color="000000"/>
          <w:rtl w:val="0"/>
          <w:lang w:val="it-IT"/>
        </w:rPr>
        <w:t>amico</w:t>
      </w:r>
      <w:r>
        <w:rPr>
          <w:rFonts w:hAnsi="Book Antiqua" w:hint="default"/>
          <w:color w:val="000000"/>
          <w:sz w:val="22"/>
          <w:szCs w:val="22"/>
          <w:u w:color="000000"/>
          <w:rtl w:val="0"/>
          <w:lang w:val="it-IT"/>
        </w:rPr>
        <w:t>”</w:t>
      </w:r>
      <w:r>
        <w:rPr>
          <w:rFonts w:ascii="Book Antiqua"/>
          <w:color w:val="000000"/>
          <w:sz w:val="22"/>
          <w:szCs w:val="22"/>
          <w:u w:color="000000"/>
          <w:rtl w:val="0"/>
          <w:lang w:val="it-IT"/>
        </w:rPr>
        <w:t xml:space="preserve">, </w:t>
      </w:r>
      <w:r>
        <w:rPr>
          <w:rFonts w:hAnsi="Book Antiqua" w:hint="default"/>
          <w:color w:val="000000"/>
          <w:sz w:val="22"/>
          <w:szCs w:val="22"/>
          <w:u w:color="000000"/>
          <w:rtl w:val="0"/>
          <w:lang w:val="it-IT"/>
        </w:rPr>
        <w:t>“</w:t>
      </w:r>
      <w:r>
        <w:rPr>
          <w:rFonts w:ascii="Book Antiqua"/>
          <w:color w:val="000000"/>
          <w:sz w:val="22"/>
          <w:szCs w:val="22"/>
          <w:u w:color="000000"/>
          <w:rtl w:val="0"/>
          <w:lang w:val="it-IT"/>
        </w:rPr>
        <w:t>uno forte</w:t>
      </w:r>
      <w:r>
        <w:rPr>
          <w:rFonts w:hAnsi="Book Antiqua" w:hint="default"/>
          <w:color w:val="000000"/>
          <w:sz w:val="22"/>
          <w:szCs w:val="22"/>
          <w:u w:color="000000"/>
          <w:rtl w:val="0"/>
          <w:lang w:val="it-IT"/>
        </w:rPr>
        <w:t xml:space="preserve">” </w:t>
      </w:r>
      <w:r>
        <w:rPr>
          <w:rFonts w:ascii="Book Antiqua"/>
          <w:color w:val="000000"/>
          <w:sz w:val="22"/>
          <w:szCs w:val="22"/>
          <w:u w:color="000000"/>
          <w:rtl w:val="0"/>
          <w:lang w:val="it-IT"/>
        </w:rPr>
        <w:t xml:space="preserve">e </w:t>
      </w:r>
      <w:r>
        <w:rPr>
          <w:rFonts w:hAnsi="Book Antiqua" w:hint="default"/>
          <w:color w:val="000000"/>
          <w:sz w:val="22"/>
          <w:szCs w:val="22"/>
          <w:u w:color="000000"/>
          <w:rtl w:val="0"/>
          <w:lang w:val="it-IT"/>
        </w:rPr>
        <w:t>“</w:t>
      </w:r>
      <w:r>
        <w:rPr>
          <w:rFonts w:ascii="Book Antiqua"/>
          <w:color w:val="000000"/>
          <w:sz w:val="22"/>
          <w:szCs w:val="22"/>
          <w:u w:color="000000"/>
          <w:rtl w:val="0"/>
          <w:lang w:val="it-IT"/>
        </w:rPr>
        <w:t>uomo di fiducia</w:t>
      </w:r>
      <w:r>
        <w:rPr>
          <w:rFonts w:hAnsi="Book Antiqua" w:hint="default"/>
          <w:color w:val="000000"/>
          <w:sz w:val="22"/>
          <w:szCs w:val="22"/>
          <w:u w:color="000000"/>
          <w:rtl w:val="0"/>
          <w:lang w:val="it-IT"/>
        </w:rPr>
        <w:t xml:space="preserve">” </w:t>
      </w:r>
      <w:r>
        <w:rPr>
          <w:rFonts w:ascii="Book Antiqua"/>
          <w:color w:val="000000"/>
          <w:sz w:val="22"/>
          <w:szCs w:val="22"/>
          <w:u w:color="000000"/>
          <w:rtl w:val="0"/>
          <w:lang w:val="it-IT"/>
        </w:rPr>
        <w:t xml:space="preserve">di Luca GRAMAZIO, il quale era consigliere della regione Lazio, un uomo </w:t>
      </w:r>
      <w:r>
        <w:rPr>
          <w:rFonts w:hAnsi="Book Antiqua" w:hint="default"/>
          <w:color w:val="000000"/>
          <w:sz w:val="22"/>
          <w:szCs w:val="22"/>
          <w:u w:color="000000"/>
          <w:rtl w:val="0"/>
          <w:lang w:val="it-IT"/>
        </w:rPr>
        <w:t>“</w:t>
      </w:r>
      <w:r>
        <w:rPr>
          <w:rFonts w:ascii="Book Antiqua"/>
          <w:color w:val="000000"/>
          <w:sz w:val="22"/>
          <w:szCs w:val="22"/>
          <w:u w:color="000000"/>
          <w:rtl w:val="0"/>
          <w:lang w:val="it-IT"/>
        </w:rPr>
        <w:t>potente</w:t>
      </w:r>
      <w:r>
        <w:rPr>
          <w:rFonts w:hAnsi="Book Antiqua" w:hint="default"/>
          <w:color w:val="000000"/>
          <w:sz w:val="22"/>
          <w:szCs w:val="22"/>
          <w:u w:color="000000"/>
          <w:rtl w:val="0"/>
          <w:lang w:val="it-IT"/>
        </w:rPr>
        <w:t>”</w:t>
      </w:r>
      <w:r>
        <w:rPr>
          <w:rFonts w:ascii="Book Antiqua"/>
          <w:color w:val="000000"/>
          <w:sz w:val="22"/>
          <w:szCs w:val="22"/>
          <w:u w:color="000000"/>
          <w:rtl w:val="0"/>
          <w:lang w:val="it-IT"/>
        </w:rPr>
        <w:t xml:space="preserve">, figlio del senatore Domenico GRAMAZIO - e che TESTA era stato dallo stesso designato per seguire le vicende che riguardavano i rapporti con la pubblica amministrazione capitolina. </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Nel prosieguo, aggiungeva CARMINATI che TESTA era al momento impegnato a sostenere un altro imprenditore legato al sodalizio, vale a dire Salvatore BUZZI, il quale era occupato nella realizzazione di importanti commesse della pubblica amministrazione (</w:t>
      </w:r>
      <w:r>
        <w:rPr>
          <w:rFonts w:hAnsi="Book Antiqua" w:hint="default"/>
          <w:color w:val="000000"/>
          <w:sz w:val="22"/>
          <w:szCs w:val="22"/>
          <w:u w:color="000000"/>
          <w:rtl w:val="0"/>
          <w:lang w:val="it-IT"/>
        </w:rPr>
        <w:t>“</w:t>
      </w:r>
      <w:r>
        <w:rPr>
          <w:rFonts w:ascii="Book Antiqua"/>
          <w:color w:val="000000"/>
          <w:sz w:val="22"/>
          <w:szCs w:val="22"/>
          <w:u w:color="000000"/>
          <w:rtl w:val="0"/>
          <w:lang w:val="it-IT"/>
        </w:rPr>
        <w:t xml:space="preserve">lui </w:t>
      </w:r>
      <w:r>
        <w:rPr>
          <w:rFonts w:hAnsi="Book Antiqua" w:hint="default"/>
          <w:color w:val="000000"/>
          <w:sz w:val="22"/>
          <w:szCs w:val="22"/>
          <w:u w:color="000000"/>
          <w:rtl w:val="0"/>
          <w:lang w:val="it-IT"/>
        </w:rPr>
        <w:t xml:space="preserve">è </w:t>
      </w:r>
      <w:r>
        <w:rPr>
          <w:rFonts w:ascii="Book Antiqua"/>
          <w:color w:val="000000"/>
          <w:sz w:val="22"/>
          <w:szCs w:val="22"/>
          <w:u w:color="000000"/>
          <w:rtl w:val="0"/>
          <w:lang w:val="it-IT"/>
        </w:rPr>
        <w:t>uno forte .. infatti mi sta a guard</w:t>
      </w:r>
      <w:r>
        <w:rPr>
          <w:rFonts w:hAnsi="Book Antiqua" w:hint="default"/>
          <w:color w:val="000000"/>
          <w:sz w:val="22"/>
          <w:szCs w:val="22"/>
          <w:u w:color="000000"/>
          <w:rtl w:val="0"/>
          <w:lang w:val="it-IT"/>
        </w:rPr>
        <w:t xml:space="preserve">à </w:t>
      </w:r>
      <w:r>
        <w:rPr>
          <w:rFonts w:ascii="Book Antiqua"/>
          <w:color w:val="000000"/>
          <w:sz w:val="22"/>
          <w:szCs w:val="22"/>
          <w:u w:color="000000"/>
          <w:rtl w:val="0"/>
          <w:lang w:val="it-IT"/>
        </w:rPr>
        <w:t>tutte le cose con SALVATORE ... con le cose mi aiuta anche lui ... capito? Io ci s</w:t>
      </w:r>
      <w:r>
        <w:rPr>
          <w:rFonts w:hAnsi="Book Antiqua" w:hint="default"/>
          <w:color w:val="000000"/>
          <w:sz w:val="22"/>
          <w:szCs w:val="22"/>
          <w:u w:color="000000"/>
          <w:rtl w:val="0"/>
          <w:lang w:val="it-IT"/>
        </w:rPr>
        <w:t xml:space="preserve">ò </w:t>
      </w:r>
      <w:r>
        <w:rPr>
          <w:rFonts w:ascii="Book Antiqua"/>
          <w:color w:val="000000"/>
          <w:sz w:val="22"/>
          <w:szCs w:val="22"/>
          <w:u w:color="000000"/>
          <w:rtl w:val="0"/>
          <w:lang w:val="it-IT"/>
        </w:rPr>
        <w:t>amico</w:t>
      </w:r>
      <w:r>
        <w:rPr>
          <w:rFonts w:hAnsi="Book Antiqua" w:hint="default"/>
          <w:color w:val="000000"/>
          <w:sz w:val="22"/>
          <w:szCs w:val="22"/>
          <w:u w:color="000000"/>
          <w:rtl w:val="0"/>
          <w:lang w:val="it-IT"/>
        </w:rPr>
        <w:t>”</w:t>
      </w:r>
      <w:r>
        <w:rPr>
          <w:rFonts w:ascii="Book Antiqua"/>
          <w:color w:val="000000"/>
          <w:sz w:val="22"/>
          <w:szCs w:val="22"/>
          <w:u w:color="000000"/>
          <w:rtl w:val="0"/>
          <w:lang w:val="it-IT"/>
        </w:rPr>
        <w:t>).</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w:t>
      </w:r>
      <w:r>
        <w:rPr>
          <w:rFonts w:hAnsi="Book Antiqua" w:hint="default"/>
          <w:color w:val="000000"/>
          <w:sz w:val="22"/>
          <w:szCs w:val="22"/>
          <w:u w:color="000000"/>
          <w:rtl w:val="0"/>
          <w:lang w:val="it-IT"/>
        </w:rPr>
        <w:t>…</w:t>
      </w:r>
      <w:r>
        <w:rPr>
          <w:rFonts w:ascii="Book Antiqua"/>
          <w:color w:val="000000"/>
          <w:sz w:val="22"/>
          <w:szCs w:val="22"/>
          <w:u w:color="000000"/>
          <w:rtl w:val="0"/>
          <w:lang w:val="it-IT"/>
        </w:rPr>
        <w:t>]</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V. conversazione n. 845, con inizio registrazione alle ore 18.00 del 14.01.2013, a bordo dell</w:t>
      </w:r>
      <w:r>
        <w:rPr>
          <w:rFonts w:hAnsi="Book Antiqua" w:hint="default"/>
          <w:color w:val="000000"/>
          <w:sz w:val="22"/>
          <w:szCs w:val="22"/>
          <w:u w:color="000000"/>
          <w:rtl w:val="0"/>
          <w:lang w:val="it-IT"/>
        </w:rPr>
        <w:t>’</w:t>
      </w:r>
      <w:r>
        <w:rPr>
          <w:rFonts w:ascii="Book Antiqua"/>
          <w:color w:val="000000"/>
          <w:sz w:val="22"/>
          <w:szCs w:val="22"/>
          <w:u w:color="000000"/>
          <w:rtl w:val="0"/>
          <w:lang w:val="it-IT"/>
        </w:rPr>
        <w:t>Audi A1 targata EH707PF, linea 226 - RIT 3850/12. Si riporta di seguito la relativa trascrizione.</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 xml:space="preserve">Maurizio: Massimo: Maurizio: Massimo: l'uomo...lui </w:t>
      </w:r>
      <w:r>
        <w:rPr>
          <w:rFonts w:hAnsi="Book Antiqua" w:hint="default"/>
          <w:color w:val="000000"/>
          <w:sz w:val="22"/>
          <w:szCs w:val="22"/>
          <w:u w:color="000000"/>
          <w:rtl w:val="0"/>
          <w:lang w:val="it-IT"/>
        </w:rPr>
        <w:t xml:space="preserve">è </w:t>
      </w:r>
      <w:r>
        <w:rPr>
          <w:rFonts w:ascii="Book Antiqua"/>
          <w:color w:val="000000"/>
          <w:sz w:val="22"/>
          <w:szCs w:val="22"/>
          <w:u w:color="000000"/>
          <w:rtl w:val="0"/>
          <w:lang w:val="it-IT"/>
        </w:rPr>
        <w:t>l'uomo di LUCA proprio...l'uomo di fiducia...a me mi fa.. port</w:t>
      </w:r>
      <w:r>
        <w:rPr>
          <w:rFonts w:hAnsi="Book Antiqua" w:hint="default"/>
          <w:color w:val="000000"/>
          <w:sz w:val="22"/>
          <w:szCs w:val="22"/>
          <w:u w:color="000000"/>
          <w:rtl w:val="0"/>
          <w:lang w:val="it-IT"/>
        </w:rPr>
        <w:t>à</w:t>
      </w:r>
      <w:r>
        <w:rPr>
          <w:rFonts w:ascii="Book Antiqua"/>
          <w:color w:val="000000"/>
          <w:sz w:val="22"/>
          <w:szCs w:val="22"/>
          <w:u w:color="000000"/>
          <w:rtl w:val="0"/>
          <w:lang w:val="it-IT"/>
        </w:rPr>
        <w:t>... di pi</w:t>
      </w:r>
      <w:r>
        <w:rPr>
          <w:rFonts w:hAnsi="Book Antiqua" w:hint="default"/>
          <w:color w:val="000000"/>
          <w:sz w:val="22"/>
          <w:szCs w:val="22"/>
          <w:u w:color="000000"/>
          <w:rtl w:val="0"/>
          <w:lang w:val="it-IT"/>
        </w:rPr>
        <w:t xml:space="preserve">ù </w:t>
      </w:r>
      <w:r>
        <w:rPr>
          <w:rFonts w:ascii="Book Antiqua"/>
          <w:color w:val="000000"/>
          <w:sz w:val="22"/>
          <w:szCs w:val="22"/>
          <w:u w:color="000000"/>
          <w:rtl w:val="0"/>
          <w:lang w:val="it-IT"/>
        </w:rPr>
        <w:t>...omissis...</w:t>
      </w:r>
    </w:p>
    <w:p>
      <w:pPr>
        <w:pStyle w:val="Normal"/>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Maurizio: tutto questo te l'ho detto; Massimo:</w:t>
        <w:tab/>
        <w:t xml:space="preserve">si, lui..lui </w:t>
      </w:r>
      <w:r>
        <w:rPr>
          <w:rFonts w:hAnsi="Book Antiqua" w:hint="default"/>
          <w:color w:val="000000"/>
          <w:sz w:val="22"/>
          <w:szCs w:val="22"/>
          <w:u w:color="000000"/>
          <w:rtl w:val="0"/>
          <w:lang w:val="it-IT"/>
        </w:rPr>
        <w:t xml:space="preserve">è </w:t>
      </w:r>
      <w:r>
        <w:rPr>
          <w:rFonts w:ascii="Book Antiqua"/>
          <w:color w:val="000000"/>
          <w:sz w:val="22"/>
          <w:szCs w:val="22"/>
          <w:u w:color="000000"/>
          <w:rtl w:val="0"/>
          <w:lang w:val="it-IT"/>
        </w:rPr>
        <w:t xml:space="preserve">l'uomo </w:t>
      </w:r>
      <w:r>
        <w:rPr>
          <w:rFonts w:hAnsi="Book Antiqua" w:hint="default"/>
          <w:color w:val="000000"/>
          <w:sz w:val="22"/>
          <w:szCs w:val="22"/>
          <w:u w:color="000000"/>
          <w:rtl w:val="0"/>
          <w:lang w:val="it-IT"/>
        </w:rPr>
        <w:t xml:space="preserve">è </w:t>
      </w:r>
      <w:r>
        <w:rPr>
          <w:rFonts w:ascii="Book Antiqua"/>
          <w:color w:val="000000"/>
          <w:sz w:val="22"/>
          <w:szCs w:val="22"/>
          <w:u w:color="000000"/>
          <w:rtl w:val="0"/>
          <w:lang w:val="it-IT"/>
        </w:rPr>
        <w:t xml:space="preserve">l'uomo di fiducia loro.. ma lui </w:t>
      </w:r>
      <w:r>
        <w:rPr>
          <w:rFonts w:hAnsi="Book Antiqua" w:hint="default"/>
          <w:color w:val="000000"/>
          <w:sz w:val="22"/>
          <w:szCs w:val="22"/>
          <w:u w:color="000000"/>
          <w:rtl w:val="0"/>
          <w:lang w:val="it-IT"/>
        </w:rPr>
        <w:t xml:space="preserve">è </w:t>
      </w:r>
      <w:r>
        <w:rPr>
          <w:rFonts w:ascii="Book Antiqua"/>
          <w:color w:val="000000"/>
          <w:sz w:val="22"/>
          <w:szCs w:val="22"/>
          <w:u w:color="000000"/>
          <w:rtl w:val="0"/>
          <w:lang w:val="it-IT"/>
        </w:rPr>
        <w:t>una.. non lo guard</w:t>
      </w:r>
      <w:r>
        <w:rPr>
          <w:rFonts w:hAnsi="Book Antiqua" w:hint="default"/>
          <w:color w:val="000000"/>
          <w:sz w:val="22"/>
          <w:szCs w:val="22"/>
          <w:u w:color="000000"/>
          <w:rtl w:val="0"/>
          <w:lang w:val="it-IT"/>
        </w:rPr>
        <w:t xml:space="preserve">à </w:t>
      </w:r>
      <w:r>
        <w:rPr>
          <w:rFonts w:ascii="Book Antiqua"/>
          <w:color w:val="000000"/>
          <w:sz w:val="22"/>
          <w:szCs w:val="22"/>
          <w:u w:color="000000"/>
          <w:rtl w:val="0"/>
          <w:lang w:val="it-IT"/>
        </w:rPr>
        <w:t xml:space="preserve">..lui </w:t>
      </w:r>
      <w:r>
        <w:rPr>
          <w:rFonts w:hAnsi="Book Antiqua" w:hint="default"/>
          <w:color w:val="000000"/>
          <w:sz w:val="22"/>
          <w:szCs w:val="22"/>
          <w:u w:color="000000"/>
          <w:rtl w:val="0"/>
          <w:lang w:val="it-IT"/>
        </w:rPr>
        <w:t xml:space="preserve">è </w:t>
      </w:r>
      <w:r>
        <w:rPr>
          <w:rFonts w:ascii="Book Antiqua"/>
          <w:color w:val="000000"/>
          <w:sz w:val="22"/>
          <w:szCs w:val="22"/>
          <w:u w:color="000000"/>
          <w:rtl w:val="0"/>
          <w:lang w:val="it-IT"/>
        </w:rPr>
        <w:t xml:space="preserve">uno importante, eh!... proprio.. </w:t>
      </w:r>
      <w:r>
        <w:rPr>
          <w:rFonts w:hAnsi="Book Antiqua" w:hint="default"/>
          <w:color w:val="000000"/>
          <w:sz w:val="22"/>
          <w:szCs w:val="22"/>
          <w:u w:color="000000"/>
          <w:rtl w:val="0"/>
          <w:lang w:val="it-IT"/>
        </w:rPr>
        <w:t xml:space="preserve">è </w:t>
      </w:r>
      <w:r>
        <w:rPr>
          <w:rFonts w:ascii="Book Antiqua"/>
          <w:color w:val="000000"/>
          <w:sz w:val="22"/>
          <w:szCs w:val="22"/>
          <w:u w:color="000000"/>
          <w:rtl w:val="0"/>
          <w:lang w:val="it-IT"/>
        </w:rPr>
        <w:t xml:space="preserve">pure amico del sindaco...lui capito? lui </w:t>
      </w:r>
      <w:r>
        <w:rPr>
          <w:rFonts w:hAnsi="Book Antiqua" w:hint="default"/>
          <w:color w:val="000000"/>
          <w:sz w:val="22"/>
          <w:szCs w:val="22"/>
          <w:u w:color="000000"/>
          <w:rtl w:val="0"/>
          <w:lang w:val="it-IT"/>
        </w:rPr>
        <w:t xml:space="preserve">è </w:t>
      </w:r>
      <w:r>
        <w:rPr>
          <w:rFonts w:ascii="Book Antiqua"/>
          <w:color w:val="000000"/>
          <w:sz w:val="22"/>
          <w:szCs w:val="22"/>
          <w:u w:color="000000"/>
          <w:rtl w:val="0"/>
          <w:lang w:val="it-IT"/>
        </w:rPr>
        <w:t>uno forte.. infatti mi sta a guard</w:t>
      </w:r>
      <w:r>
        <w:rPr>
          <w:rFonts w:hAnsi="Book Antiqua" w:hint="default"/>
          <w:color w:val="000000"/>
          <w:sz w:val="22"/>
          <w:szCs w:val="22"/>
          <w:u w:color="000000"/>
          <w:rtl w:val="0"/>
          <w:lang w:val="it-IT"/>
        </w:rPr>
        <w:t xml:space="preserve">à </w:t>
      </w:r>
      <w:r>
        <w:rPr>
          <w:rFonts w:ascii="Book Antiqua"/>
          <w:color w:val="000000"/>
          <w:sz w:val="22"/>
          <w:szCs w:val="22"/>
          <w:u w:color="000000"/>
          <w:rtl w:val="0"/>
          <w:lang w:val="it-IT"/>
        </w:rPr>
        <w:t xml:space="preserve">tutte le cose con Salvatore ...che le cose me le guarda lui...lui </w:t>
      </w:r>
      <w:r>
        <w:rPr>
          <w:rFonts w:hAnsi="Book Antiqua" w:hint="default"/>
          <w:color w:val="000000"/>
          <w:sz w:val="22"/>
          <w:szCs w:val="22"/>
          <w:u w:color="000000"/>
          <w:rtl w:val="0"/>
          <w:lang w:val="it-IT"/>
        </w:rPr>
        <w:t xml:space="preserve">è </w:t>
      </w:r>
      <w:r>
        <w:rPr>
          <w:rFonts w:ascii="Book Antiqua"/>
          <w:color w:val="000000"/>
          <w:sz w:val="22"/>
          <w:szCs w:val="22"/>
          <w:u w:color="000000"/>
          <w:rtl w:val="0"/>
          <w:lang w:val="it-IT"/>
        </w:rPr>
        <w:t xml:space="preserve">in gamba? Io non so quasi niente...c'ha una disgrazia in famiglia, il figlio </w:t>
      </w:r>
      <w:r>
        <w:rPr>
          <w:rFonts w:hAnsi="Book Antiqua" w:hint="default"/>
          <w:color w:val="000000"/>
          <w:sz w:val="22"/>
          <w:szCs w:val="22"/>
          <w:u w:color="000000"/>
          <w:rtl w:val="0"/>
          <w:lang w:val="it-IT"/>
        </w:rPr>
        <w:t xml:space="preserve">è </w:t>
      </w:r>
      <w:r>
        <w:rPr>
          <w:rFonts w:ascii="Book Antiqua"/>
          <w:color w:val="000000"/>
          <w:sz w:val="22"/>
          <w:szCs w:val="22"/>
          <w:u w:color="000000"/>
          <w:rtl w:val="0"/>
          <w:lang w:val="it-IT"/>
        </w:rPr>
        <w:t>molto malato, pero' lui..(inc)..</w:t>
      </w:r>
      <w:r>
        <w:rPr>
          <w:rFonts w:hAnsi="Book Antiqua" w:hint="default"/>
          <w:color w:val="000000"/>
          <w:sz w:val="22"/>
          <w:szCs w:val="22"/>
          <w:u w:color="000000"/>
          <w:rtl w:val="0"/>
          <w:lang w:val="it-IT"/>
        </w:rPr>
        <w:t xml:space="preserve">è </w:t>
      </w:r>
      <w:r>
        <w:rPr>
          <w:rFonts w:ascii="Book Antiqua"/>
          <w:color w:val="000000"/>
          <w:sz w:val="22"/>
          <w:szCs w:val="22"/>
          <w:u w:color="000000"/>
          <w:rtl w:val="0"/>
          <w:lang w:val="it-IT"/>
        </w:rPr>
        <w:t>un cazzo per culo...eh.. dovrebbe andare...dovrebbe andare.. forse domani lui viene al consiglio di amministrazione dell' AMA; Maurizio: eh... Massimo: si piglia, si piglia tutta la parte che riguarda i rifiuti ...il riciclaggio...lui diventa l'uomo del riciclaggio a Roma... Maurizio: tu dici eh!... Massimo: lui..</w:t>
      </w:r>
      <w:r>
        <w:rPr>
          <w:rFonts w:hAnsi="Book Antiqua" w:hint="default"/>
          <w:color w:val="000000"/>
          <w:sz w:val="22"/>
          <w:szCs w:val="22"/>
          <w:u w:color="000000"/>
          <w:rtl w:val="0"/>
          <w:lang w:val="it-IT"/>
        </w:rPr>
        <w:t xml:space="preserve">è </w:t>
      </w:r>
      <w:r>
        <w:rPr>
          <w:rFonts w:ascii="Book Antiqua"/>
          <w:color w:val="000000"/>
          <w:sz w:val="22"/>
          <w:szCs w:val="22"/>
          <w:u w:color="000000"/>
          <w:rtl w:val="0"/>
          <w:lang w:val="it-IT"/>
        </w:rPr>
        <w:t>uno importante ..eh..</w:t>
      </w:r>
      <w:r>
        <w:rPr>
          <w:rFonts w:hAnsi="Book Antiqua" w:hint="default"/>
          <w:color w:val="000000"/>
          <w:sz w:val="22"/>
          <w:szCs w:val="22"/>
          <w:u w:color="000000"/>
          <w:rtl w:val="0"/>
          <w:lang w:val="it-IT"/>
        </w:rPr>
        <w:t xml:space="preserve">è </w:t>
      </w:r>
      <w:r>
        <w:rPr>
          <w:rFonts w:ascii="Book Antiqua"/>
          <w:color w:val="000000"/>
          <w:sz w:val="22"/>
          <w:szCs w:val="22"/>
          <w:u w:color="000000"/>
          <w:rtl w:val="0"/>
          <w:lang w:val="it-IT"/>
        </w:rPr>
        <w:t>uno...importante..; ...omissis... Massimo: no per</w:t>
      </w:r>
      <w:r>
        <w:rPr>
          <w:rFonts w:hAnsi="Book Antiqua" w:hint="default"/>
          <w:color w:val="000000"/>
          <w:sz w:val="22"/>
          <w:szCs w:val="22"/>
          <w:u w:color="000000"/>
          <w:rtl w:val="0"/>
          <w:lang w:val="it-IT"/>
        </w:rPr>
        <w:t xml:space="preserve">ò </w:t>
      </w:r>
      <w:r>
        <w:rPr>
          <w:rFonts w:ascii="Book Antiqua"/>
          <w:color w:val="000000"/>
          <w:sz w:val="22"/>
          <w:szCs w:val="22"/>
          <w:u w:color="000000"/>
          <w:rtl w:val="0"/>
          <w:lang w:val="it-IT"/>
        </w:rPr>
        <w:t>poi meno male che hai conosciuto Fabrizio perch</w:t>
      </w:r>
      <w:r>
        <w:rPr>
          <w:rFonts w:hAnsi="Book Antiqua" w:hint="default"/>
          <w:color w:val="000000"/>
          <w:sz w:val="22"/>
          <w:szCs w:val="22"/>
          <w:u w:color="000000"/>
          <w:rtl w:val="0"/>
          <w:lang w:val="it-IT"/>
        </w:rPr>
        <w:t xml:space="preserve">é </w:t>
      </w:r>
      <w:r>
        <w:rPr>
          <w:rFonts w:ascii="Book Antiqua"/>
          <w:color w:val="000000"/>
          <w:sz w:val="22"/>
          <w:szCs w:val="22"/>
          <w:u w:color="000000"/>
          <w:rtl w:val="0"/>
          <w:lang w:val="it-IT"/>
        </w:rPr>
        <w:t>cos</w:t>
      </w:r>
      <w:r>
        <w:rPr>
          <w:rFonts w:hAnsi="Book Antiqua" w:hint="default"/>
          <w:color w:val="000000"/>
          <w:sz w:val="22"/>
          <w:szCs w:val="22"/>
          <w:u w:color="000000"/>
          <w:rtl w:val="0"/>
          <w:lang w:val="it-IT"/>
        </w:rPr>
        <w:t>ì</w:t>
      </w:r>
      <w:r>
        <w:rPr>
          <w:rFonts w:ascii="Book Antiqua"/>
          <w:color w:val="000000"/>
          <w:sz w:val="22"/>
          <w:szCs w:val="22"/>
          <w:u w:color="000000"/>
          <w:rtl w:val="0"/>
          <w:lang w:val="it-IT"/>
        </w:rPr>
        <w:t>.. poi.. quando ci sar</w:t>
      </w:r>
      <w:r>
        <w:rPr>
          <w:rFonts w:hAnsi="Book Antiqua" w:hint="default"/>
          <w:color w:val="000000"/>
          <w:sz w:val="22"/>
          <w:szCs w:val="22"/>
          <w:u w:color="000000"/>
          <w:rtl w:val="0"/>
          <w:lang w:val="it-IT"/>
        </w:rPr>
        <w:t xml:space="preserve">à </w:t>
      </w:r>
      <w:r>
        <w:rPr>
          <w:rFonts w:ascii="Book Antiqua"/>
          <w:color w:val="000000"/>
          <w:sz w:val="22"/>
          <w:szCs w:val="22"/>
          <w:u w:color="000000"/>
          <w:rtl w:val="0"/>
          <w:lang w:val="it-IT"/>
        </w:rPr>
        <w:t xml:space="preserve">da...pure Carlo.. quell'altro...quell'altro </w:t>
      </w:r>
      <w:r>
        <w:rPr>
          <w:rFonts w:hAnsi="Book Antiqua" w:hint="default"/>
          <w:color w:val="000000"/>
          <w:sz w:val="22"/>
          <w:szCs w:val="22"/>
          <w:u w:color="000000"/>
          <w:rtl w:val="0"/>
          <w:lang w:val="it-IT"/>
        </w:rPr>
        <w:t xml:space="preserve">è </w:t>
      </w:r>
      <w:r>
        <w:rPr>
          <w:rFonts w:ascii="Book Antiqua"/>
          <w:color w:val="000000"/>
          <w:sz w:val="22"/>
          <w:szCs w:val="22"/>
          <w:u w:color="000000"/>
          <w:rtl w:val="0"/>
          <w:lang w:val="it-IT"/>
        </w:rPr>
        <w:t>l</w:t>
      </w:r>
      <w:r>
        <w:rPr>
          <w:rFonts w:hAnsi="Book Antiqua" w:hint="default"/>
          <w:color w:val="000000"/>
          <w:sz w:val="22"/>
          <w:szCs w:val="22"/>
          <w:u w:color="000000"/>
          <w:rtl w:val="0"/>
          <w:lang w:val="it-IT"/>
        </w:rPr>
        <w:t>’</w:t>
      </w:r>
      <w:r>
        <w:rPr>
          <w:rFonts w:ascii="Book Antiqua"/>
          <w:color w:val="000000"/>
          <w:sz w:val="22"/>
          <w:szCs w:val="22"/>
          <w:u w:color="000000"/>
          <w:rtl w:val="0"/>
          <w:lang w:val="it-IT"/>
        </w:rPr>
        <w:t>uomo de.. invece de Mancini... Maurizio:</w:t>
        <w:tab/>
        <w:t>Carlo me lo avevi presentato no?</w:t>
      </w:r>
    </w:p>
    <w:p>
      <w:pPr>
        <w:pStyle w:val="Normal"/>
        <w:ind w:left="567" w:right="567" w:firstLine="0"/>
        <w:rPr>
          <w:rFonts w:ascii="Book Antiqua" w:cs="Book Antiqua" w:hAnsi="Book Antiqua" w:eastAsia="Book Antiqua"/>
          <w:color w:val="000000"/>
          <w:sz w:val="22"/>
          <w:szCs w:val="22"/>
          <w:u w:color="000000"/>
        </w:rPr>
      </w:pPr>
    </w:p>
    <w:p>
      <w:pPr>
        <w:pStyle w:val="Normal"/>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[p. 415]</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Alle ore 10.00 del 25.01.2013, CARMINATI e [Cristiano] GUARNERA, dopo essersi trattenuti presso la sede di via Pomona dell</w:t>
      </w:r>
      <w:r>
        <w:rPr>
          <w:rFonts w:hAnsi="Book Antiqua" w:hint="default"/>
          <w:color w:val="000000"/>
          <w:sz w:val="22"/>
          <w:szCs w:val="22"/>
          <w:u w:color="000000"/>
          <w:rtl w:val="0"/>
          <w:lang w:val="it-IT"/>
        </w:rPr>
        <w:t>’”</w:t>
      </w:r>
      <w:r>
        <w:rPr>
          <w:rFonts w:ascii="Book Antiqua"/>
          <w:color w:val="000000"/>
          <w:sz w:val="22"/>
          <w:szCs w:val="22"/>
          <w:u w:color="000000"/>
          <w:rtl w:val="0"/>
          <w:lang w:val="it-IT"/>
        </w:rPr>
        <w:t>ATI 29 Giugno</w:t>
      </w:r>
      <w:r>
        <w:rPr>
          <w:rFonts w:hAnsi="Book Antiqua" w:hint="default"/>
          <w:color w:val="000000"/>
          <w:sz w:val="22"/>
          <w:szCs w:val="22"/>
          <w:u w:color="000000"/>
          <w:rtl w:val="0"/>
          <w:lang w:val="it-IT"/>
        </w:rPr>
        <w:t xml:space="preserve">” </w:t>
      </w:r>
      <w:r>
        <w:rPr>
          <w:rFonts w:ascii="Book Antiqua"/>
          <w:color w:val="000000"/>
          <w:sz w:val="22"/>
          <w:szCs w:val="22"/>
          <w:u w:color="000000"/>
          <w:rtl w:val="0"/>
          <w:lang w:val="it-IT"/>
        </w:rPr>
        <w:t>gestita da BUZZI, proseguivano la discussione inerente al coinvolgimento del secondo negli affari del sodalizio (conversazione nr. 1101, con inizio registrazione alle ore 10.00, del 25.01.2013, all</w:t>
      </w:r>
      <w:r>
        <w:rPr>
          <w:rFonts w:hAnsi="Book Antiqua" w:hint="default"/>
          <w:color w:val="000000"/>
          <w:sz w:val="22"/>
          <w:szCs w:val="22"/>
          <w:u w:color="000000"/>
          <w:rtl w:val="0"/>
          <w:lang w:val="it-IT"/>
        </w:rPr>
        <w:t>’</w:t>
      </w:r>
      <w:r>
        <w:rPr>
          <w:rFonts w:ascii="Book Antiqua"/>
          <w:color w:val="000000"/>
          <w:sz w:val="22"/>
          <w:szCs w:val="22"/>
          <w:u w:color="000000"/>
          <w:rtl w:val="0"/>
          <w:lang w:val="it-IT"/>
        </w:rPr>
        <w:t>interno del veicolo Audi A1, in uso a CARMINATI, linea 226 - RIT 3850/12)</w:t>
      </w:r>
    </w:p>
    <w:p>
      <w:pPr>
        <w:pStyle w:val="Normal"/>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CARMINATI perseverava con GUARNERA, spiegando l</w:t>
      </w:r>
      <w:r>
        <w:rPr>
          <w:rFonts w:hAnsi="Book Antiqua" w:hint="default"/>
          <w:color w:val="000000"/>
          <w:sz w:val="22"/>
          <w:szCs w:val="22"/>
          <w:u w:color="000000"/>
          <w:rtl w:val="0"/>
          <w:lang w:val="it-IT"/>
        </w:rPr>
        <w:t>’</w:t>
      </w:r>
      <w:r>
        <w:rPr>
          <w:rFonts w:ascii="Book Antiqua"/>
          <w:color w:val="000000"/>
          <w:sz w:val="22"/>
          <w:szCs w:val="22"/>
          <w:u w:color="000000"/>
          <w:rtl w:val="0"/>
          <w:lang w:val="it-IT"/>
        </w:rPr>
        <w:t>importanza rivestita dalla Cooperativa 29 Giugno, nonostante il modo probabilmente rozzo con il quale i suoi dirigenti gli si erano presentati e la stabilit</w:t>
      </w:r>
      <w:r>
        <w:rPr>
          <w:rFonts w:hAnsi="Book Antiqua" w:hint="default"/>
          <w:color w:val="000000"/>
          <w:sz w:val="22"/>
          <w:szCs w:val="22"/>
          <w:u w:color="000000"/>
          <w:rtl w:val="0"/>
          <w:lang w:val="it-IT"/>
        </w:rPr>
        <w:t xml:space="preserve">à </w:t>
      </w:r>
      <w:r>
        <w:rPr>
          <w:rFonts w:ascii="Book Antiqua"/>
          <w:color w:val="000000"/>
          <w:sz w:val="22"/>
          <w:szCs w:val="22"/>
          <w:u w:color="000000"/>
          <w:rtl w:val="0"/>
          <w:lang w:val="it-IT"/>
        </w:rPr>
        <w:t>economica della stessa, facendo riferimento anche all</w:t>
      </w:r>
      <w:r>
        <w:rPr>
          <w:rFonts w:hAnsi="Book Antiqua" w:hint="default"/>
          <w:color w:val="000000"/>
          <w:sz w:val="22"/>
          <w:szCs w:val="22"/>
          <w:u w:color="000000"/>
          <w:rtl w:val="0"/>
          <w:lang w:val="it-IT"/>
        </w:rPr>
        <w:t>’</w:t>
      </w:r>
      <w:r>
        <w:rPr>
          <w:rFonts w:ascii="Book Antiqua"/>
          <w:color w:val="000000"/>
          <w:sz w:val="22"/>
          <w:szCs w:val="22"/>
          <w:u w:color="000000"/>
          <w:rtl w:val="0"/>
          <w:lang w:val="it-IT"/>
        </w:rPr>
        <w:t>acquisizione, da poco tempo, della gestione di un nuovo campo nomadi sull</w:t>
      </w:r>
      <w:r>
        <w:rPr>
          <w:rFonts w:hAnsi="Book Antiqua" w:hint="default"/>
          <w:color w:val="000000"/>
          <w:sz w:val="22"/>
          <w:szCs w:val="22"/>
          <w:u w:color="000000"/>
          <w:rtl w:val="0"/>
          <w:lang w:val="it-IT"/>
        </w:rPr>
        <w:t>’</w:t>
      </w:r>
      <w:r>
        <w:rPr>
          <w:rFonts w:ascii="Book Antiqua"/>
          <w:color w:val="000000"/>
          <w:sz w:val="22"/>
          <w:szCs w:val="22"/>
          <w:u w:color="000000"/>
          <w:rtl w:val="0"/>
          <w:lang w:val="it-IT"/>
        </w:rPr>
        <w:t>Aurelia e al fatto che avevano oltre mille impiegati, tutti stipendiati con 16 mensilit</w:t>
      </w:r>
      <w:r>
        <w:rPr>
          <w:rFonts w:hAnsi="Book Antiqua" w:hint="default"/>
          <w:color w:val="000000"/>
          <w:sz w:val="22"/>
          <w:szCs w:val="22"/>
          <w:u w:color="000000"/>
          <w:rtl w:val="0"/>
          <w:lang w:val="it-IT"/>
        </w:rPr>
        <w:t>à</w:t>
      </w:r>
      <w:r>
        <w:rPr>
          <w:rFonts w:ascii="Book Antiqua"/>
          <w:color w:val="000000"/>
          <w:sz w:val="22"/>
          <w:szCs w:val="22"/>
          <w:u w:color="000000"/>
          <w:rtl w:val="0"/>
          <w:lang w:val="it-IT"/>
        </w:rPr>
        <w:t xml:space="preserve">, tra i quali ex detenuti, brigatisti scarcerati e soggetti in stato di disagio sociale, rimasti, oramai, solo in minima parte. Riferiva che </w:t>
      </w:r>
      <w:r>
        <w:rPr>
          <w:rFonts w:hAnsi="Book Antiqua" w:hint="default"/>
          <w:color w:val="000000"/>
          <w:sz w:val="22"/>
          <w:szCs w:val="22"/>
          <w:u w:color="000000"/>
          <w:rtl w:val="0"/>
          <w:lang w:val="it-IT"/>
        </w:rPr>
        <w:t>“</w:t>
      </w:r>
      <w:r>
        <w:rPr>
          <w:rFonts w:ascii="Book Antiqua"/>
          <w:color w:val="000000"/>
          <w:sz w:val="22"/>
          <w:szCs w:val="22"/>
          <w:u w:color="000000"/>
          <w:rtl w:val="0"/>
          <w:lang w:val="it-IT"/>
        </w:rPr>
        <w:t>loro sono diventati una realt</w:t>
      </w:r>
      <w:r>
        <w:rPr>
          <w:rFonts w:hAnsi="Book Antiqua" w:hint="default"/>
          <w:color w:val="000000"/>
          <w:sz w:val="22"/>
          <w:szCs w:val="22"/>
          <w:u w:color="000000"/>
          <w:rtl w:val="0"/>
          <w:lang w:val="it-IT"/>
        </w:rPr>
        <w:t xml:space="preserve">à </w:t>
      </w:r>
      <w:r>
        <w:rPr>
          <w:rFonts w:ascii="Book Antiqua"/>
          <w:color w:val="000000"/>
          <w:sz w:val="22"/>
          <w:szCs w:val="22"/>
          <w:u w:color="000000"/>
          <w:rtl w:val="0"/>
          <w:lang w:val="it-IT"/>
        </w:rPr>
        <w:t>importante</w:t>
      </w:r>
      <w:r>
        <w:rPr>
          <w:rFonts w:hAnsi="Book Antiqua" w:hint="default"/>
          <w:color w:val="000000"/>
          <w:sz w:val="22"/>
          <w:szCs w:val="22"/>
          <w:u w:color="000000"/>
          <w:rtl w:val="0"/>
          <w:lang w:val="it-IT"/>
        </w:rPr>
        <w:t xml:space="preserve">” </w:t>
      </w:r>
      <w:r>
        <w:rPr>
          <w:rFonts w:ascii="Book Antiqua"/>
          <w:color w:val="000000"/>
          <w:sz w:val="22"/>
          <w:szCs w:val="22"/>
          <w:u w:color="000000"/>
          <w:rtl w:val="0"/>
          <w:lang w:val="it-IT"/>
        </w:rPr>
        <w:t xml:space="preserve">e che potevano vantare rapporti diretti e confidenziali con il sindaco. Affermava, inoltre, che </w:t>
      </w:r>
      <w:r>
        <w:rPr>
          <w:rFonts w:hAnsi="Book Antiqua" w:hint="default"/>
          <w:color w:val="000000"/>
          <w:sz w:val="22"/>
          <w:szCs w:val="22"/>
          <w:u w:color="000000"/>
          <w:rtl w:val="0"/>
          <w:lang w:val="it-IT"/>
        </w:rPr>
        <w:t>“</w:t>
      </w:r>
      <w:r>
        <w:rPr>
          <w:rFonts w:ascii="Book Antiqua"/>
          <w:color w:val="000000"/>
          <w:sz w:val="22"/>
          <w:szCs w:val="22"/>
          <w:u w:color="000000"/>
          <w:rtl w:val="0"/>
          <w:lang w:val="it-IT"/>
        </w:rPr>
        <w:t>questi sono quelli i classici risolutori di problemi che vanno a mette le mani nella merda</w:t>
      </w:r>
      <w:r>
        <w:rPr>
          <w:rFonts w:hAnsi="Book Antiqua" w:hint="default"/>
          <w:color w:val="000000"/>
          <w:sz w:val="22"/>
          <w:szCs w:val="22"/>
          <w:u w:color="000000"/>
          <w:rtl w:val="0"/>
          <w:lang w:val="it-IT"/>
        </w:rPr>
        <w:t>”</w:t>
      </w:r>
      <w:r>
        <w:rPr>
          <w:rFonts w:ascii="Book Antiqua"/>
          <w:color w:val="000000"/>
          <w:sz w:val="22"/>
          <w:szCs w:val="22"/>
          <w:u w:color="000000"/>
          <w:rtl w:val="0"/>
          <w:lang w:val="it-IT"/>
        </w:rPr>
        <w:t>, gli unici che riuscivano a gestire i rapporti con gli zingari dei 4 campi nomadi, ubicati nella zona periferica di Roma.</w:t>
      </w:r>
    </w:p>
    <w:p>
      <w:pPr>
        <w:pStyle w:val="Normal"/>
        <w:ind w:left="567" w:right="567" w:firstLine="0"/>
        <w:jc w:val="both"/>
        <w:rPr>
          <w:rFonts w:ascii="Book Antiqua" w:cs="Book Antiqua" w:hAnsi="Book Antiqua" w:eastAsia="Book Antiqua"/>
          <w:color w:val="000000"/>
          <w:sz w:val="22"/>
          <w:szCs w:val="22"/>
          <w:u w:color="000000"/>
        </w:rPr>
      </w:pPr>
      <w:r>
        <w:rPr>
          <w:rFonts w:hAnsi="Book Antiqua" w:hint="default"/>
          <w:color w:val="000000"/>
          <w:sz w:val="22"/>
          <w:szCs w:val="22"/>
          <w:u w:color="000000"/>
          <w:rtl w:val="0"/>
          <w:lang w:val="it-IT"/>
        </w:rPr>
        <w:t>“</w:t>
      </w:r>
      <w:r>
        <w:rPr>
          <w:rFonts w:ascii="Book Antiqua"/>
          <w:color w:val="000000"/>
          <w:sz w:val="22"/>
          <w:szCs w:val="22"/>
          <w:u w:color="000000"/>
          <w:rtl w:val="0"/>
          <w:lang w:val="it-IT"/>
        </w:rPr>
        <w:t>Questi qui gestiscono discariche, gestiscono, come si chiama e cosi di riciclo dei rifiuti nelle Marche, nelle co.. .perch</w:t>
      </w:r>
      <w:r>
        <w:rPr>
          <w:rFonts w:hAnsi="Book Antiqua" w:hint="default"/>
          <w:color w:val="000000"/>
          <w:sz w:val="22"/>
          <w:szCs w:val="22"/>
          <w:u w:color="000000"/>
          <w:rtl w:val="0"/>
          <w:lang w:val="it-IT"/>
        </w:rPr>
        <w:t xml:space="preserve">é </w:t>
      </w:r>
      <w:r>
        <w:rPr>
          <w:rFonts w:ascii="Book Antiqua"/>
          <w:color w:val="000000"/>
          <w:sz w:val="22"/>
          <w:szCs w:val="22"/>
          <w:u w:color="000000"/>
          <w:rtl w:val="0"/>
          <w:lang w:val="it-IT"/>
        </w:rPr>
        <w:t>loro a parte appartengono proprio al CNS [fonetico] a Bologna sono le cooperative rosse insomma. Infatti ogni tanto prendono e partono tutti per andare a Bologna..(inc)...e per legge, molti lavori nell'ambito cittadino possono essere fatti soltanto dalle cooperative sociali, perch</w:t>
      </w:r>
      <w:r>
        <w:rPr>
          <w:rFonts w:hAnsi="Book Antiqua" w:hint="default"/>
          <w:color w:val="000000"/>
          <w:sz w:val="22"/>
          <w:szCs w:val="22"/>
          <w:u w:color="000000"/>
          <w:rtl w:val="0"/>
          <w:lang w:val="it-IT"/>
        </w:rPr>
        <w:t xml:space="preserve">é </w:t>
      </w:r>
      <w:r>
        <w:rPr>
          <w:rFonts w:ascii="Book Antiqua"/>
          <w:color w:val="000000"/>
          <w:sz w:val="22"/>
          <w:szCs w:val="22"/>
          <w:u w:color="000000"/>
          <w:rtl w:val="0"/>
          <w:lang w:val="it-IT"/>
        </w:rPr>
        <w:t>loro nelle cooperative c'hanno gli psicologi, gli educatori capito tutte quelle strutture, che servono, capito...</w:t>
      </w:r>
      <w:r>
        <w:rPr>
          <w:rFonts w:hAnsi="Book Antiqua" w:hint="default"/>
          <w:color w:val="000000"/>
          <w:sz w:val="22"/>
          <w:szCs w:val="22"/>
          <w:u w:color="000000"/>
          <w:rtl w:val="0"/>
          <w:lang w:val="it-IT"/>
        </w:rPr>
        <w:t>”</w:t>
      </w:r>
    </w:p>
    <w:p>
      <w:pPr>
        <w:pStyle w:val="Normal"/>
        <w:ind w:left="567" w:right="567" w:firstLine="0"/>
        <w:rPr>
          <w:rFonts w:ascii="Book Antiqua" w:cs="Book Antiqua" w:hAnsi="Book Antiqua" w:eastAsia="Book Antiqua"/>
          <w:i w:val="1"/>
          <w:iCs w:val="1"/>
          <w:color w:val="000000"/>
          <w:sz w:val="22"/>
          <w:szCs w:val="22"/>
          <w:u w:color="000000"/>
        </w:rPr>
      </w:pP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[pp. 571-572]</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Le attivit</w:t>
      </w:r>
      <w:r>
        <w:rPr>
          <w:rFonts w:hAnsi="Book Antiqua" w:hint="default"/>
          <w:color w:val="000000"/>
          <w:sz w:val="22"/>
          <w:szCs w:val="22"/>
          <w:u w:color="000000"/>
          <w:rtl w:val="0"/>
          <w:lang w:val="it-IT"/>
        </w:rPr>
        <w:t xml:space="preserve">à </w:t>
      </w:r>
      <w:r>
        <w:rPr>
          <w:rFonts w:ascii="Book Antiqua"/>
          <w:color w:val="000000"/>
          <w:sz w:val="22"/>
          <w:szCs w:val="22"/>
          <w:u w:color="000000"/>
          <w:rtl w:val="0"/>
          <w:lang w:val="it-IT"/>
        </w:rPr>
        <w:t>d</w:t>
      </w:r>
      <w:r>
        <w:rPr>
          <w:rFonts w:hAnsi="Book Antiqua" w:hint="default"/>
          <w:color w:val="000000"/>
          <w:sz w:val="22"/>
          <w:szCs w:val="22"/>
          <w:u w:color="000000"/>
          <w:rtl w:val="0"/>
          <w:lang w:val="it-IT"/>
        </w:rPr>
        <w:t>’</w:t>
      </w:r>
      <w:r>
        <w:rPr>
          <w:rFonts w:ascii="Book Antiqua"/>
          <w:color w:val="000000"/>
          <w:sz w:val="22"/>
          <w:szCs w:val="22"/>
          <w:u w:color="000000"/>
          <w:rtl w:val="0"/>
          <w:lang w:val="it-IT"/>
        </w:rPr>
        <w:t xml:space="preserve">intercettazione hanno dimostrato come </w:t>
      </w:r>
      <w:r>
        <w:rPr>
          <w:rFonts w:ascii="Book Antiqua"/>
          <w:color w:val="000000"/>
          <w:sz w:val="22"/>
          <w:szCs w:val="22"/>
          <w:u w:val="single" w:color="000000"/>
          <w:rtl w:val="0"/>
          <w:lang w:val="it-IT"/>
        </w:rPr>
        <w:t>[Carlo Maria] GUARANY</w:t>
      </w:r>
      <w:r>
        <w:rPr>
          <w:rFonts w:ascii="Book Antiqua"/>
          <w:color w:val="000000"/>
          <w:sz w:val="22"/>
          <w:szCs w:val="22"/>
          <w:u w:color="000000"/>
          <w:rtl w:val="0"/>
          <w:lang w:val="it-IT"/>
        </w:rPr>
        <w:t xml:space="preserve"> abbia partecipato attivamente alle riunioni svolte presso la sede della cooperativa di via Pomona n. 63, cui presenziava anche Massimo CARMINATI, e dove venivano pianificate le strategie mirate sia all</w:t>
      </w:r>
      <w:r>
        <w:rPr>
          <w:rFonts w:hAnsi="Book Antiqua" w:hint="default"/>
          <w:color w:val="000000"/>
          <w:sz w:val="22"/>
          <w:szCs w:val="22"/>
          <w:u w:color="000000"/>
          <w:rtl w:val="0"/>
          <w:lang w:val="it-IT"/>
        </w:rPr>
        <w:t>’</w:t>
      </w:r>
      <w:r>
        <w:rPr>
          <w:rFonts w:ascii="Book Antiqua"/>
          <w:color w:val="000000"/>
          <w:sz w:val="22"/>
          <w:szCs w:val="22"/>
          <w:u w:color="000000"/>
          <w:rtl w:val="0"/>
          <w:lang w:val="it-IT"/>
        </w:rPr>
        <w:t>aggiudicazione di appalti sia ad influenzare il corretto andamento della pubblica amministrazione, allo scopo di arricchire le cooperative riconducibili a BUZZI a vantaggio dell</w:t>
      </w:r>
      <w:r>
        <w:rPr>
          <w:rFonts w:hAnsi="Book Antiqua" w:hint="default"/>
          <w:color w:val="000000"/>
          <w:sz w:val="22"/>
          <w:szCs w:val="22"/>
          <w:u w:color="000000"/>
          <w:rtl w:val="0"/>
          <w:lang w:val="it-IT"/>
        </w:rPr>
        <w:t>’</w:t>
      </w:r>
      <w:r>
        <w:rPr>
          <w:rFonts w:ascii="Book Antiqua"/>
          <w:color w:val="000000"/>
          <w:sz w:val="22"/>
          <w:szCs w:val="22"/>
          <w:u w:color="000000"/>
          <w:rtl w:val="0"/>
          <w:lang w:val="it-IT"/>
        </w:rPr>
        <w:t>intero sodalizio.</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La ricostruzione dei singoli fatti reato, in relazione ai quali sono state elaborate incolpazioni cautelari, enuclea il ruolo dell</w:t>
      </w:r>
      <w:r>
        <w:rPr>
          <w:rFonts w:hAnsi="Book Antiqua" w:hint="default"/>
          <w:color w:val="000000"/>
          <w:sz w:val="22"/>
          <w:szCs w:val="22"/>
          <w:u w:color="000000"/>
          <w:rtl w:val="0"/>
          <w:lang w:val="it-IT"/>
        </w:rPr>
        <w:t>’</w:t>
      </w:r>
      <w:r>
        <w:rPr>
          <w:rFonts w:ascii="Book Antiqua"/>
          <w:color w:val="000000"/>
          <w:sz w:val="22"/>
          <w:szCs w:val="22"/>
          <w:u w:color="000000"/>
          <w:rtl w:val="0"/>
          <w:lang w:val="it-IT"/>
        </w:rPr>
        <w:t>indagato e a tale analisi si rimanda integralmente. Ai fini che qui rilevano, giova osservare come Guarany, eseguendo le indicazioni di Buzzi, era anzitutto uomo di collegamento con le istituzioni comunali e con le sue controllate, secondo l</w:t>
      </w:r>
      <w:r>
        <w:rPr>
          <w:rFonts w:hAnsi="Book Antiqua" w:hint="default"/>
          <w:color w:val="000000"/>
          <w:sz w:val="22"/>
          <w:szCs w:val="22"/>
          <w:u w:color="000000"/>
          <w:rtl w:val="0"/>
          <w:lang w:val="it-IT"/>
        </w:rPr>
        <w:t>’</w:t>
      </w:r>
      <w:r>
        <w:rPr>
          <w:rFonts w:ascii="Book Antiqua"/>
          <w:color w:val="000000"/>
          <w:sz w:val="22"/>
          <w:szCs w:val="22"/>
          <w:u w:color="000000"/>
          <w:rtl w:val="0"/>
          <w:lang w:val="it-IT"/>
        </w:rPr>
        <w:t>univoca indicazione dell</w:t>
      </w:r>
      <w:r>
        <w:rPr>
          <w:rFonts w:hAnsi="Book Antiqua" w:hint="default"/>
          <w:color w:val="000000"/>
          <w:sz w:val="22"/>
          <w:szCs w:val="22"/>
          <w:u w:color="000000"/>
          <w:rtl w:val="0"/>
          <w:lang w:val="it-IT"/>
        </w:rPr>
        <w:t>’</w:t>
      </w:r>
      <w:r>
        <w:rPr>
          <w:rFonts w:ascii="Book Antiqua"/>
          <w:color w:val="000000"/>
          <w:sz w:val="22"/>
          <w:szCs w:val="22"/>
          <w:u w:color="000000"/>
          <w:rtl w:val="0"/>
          <w:lang w:val="it-IT"/>
        </w:rPr>
        <w:t>attivit</w:t>
      </w:r>
      <w:r>
        <w:rPr>
          <w:rFonts w:hAnsi="Book Antiqua" w:hint="default"/>
          <w:color w:val="000000"/>
          <w:sz w:val="22"/>
          <w:szCs w:val="22"/>
          <w:u w:color="000000"/>
          <w:rtl w:val="0"/>
          <w:lang w:val="it-IT"/>
        </w:rPr>
        <w:t xml:space="preserve">à </w:t>
      </w:r>
      <w:r>
        <w:rPr>
          <w:rFonts w:ascii="Book Antiqua"/>
          <w:color w:val="000000"/>
          <w:sz w:val="22"/>
          <w:szCs w:val="22"/>
          <w:u w:color="000000"/>
          <w:rtl w:val="0"/>
          <w:lang w:val="it-IT"/>
        </w:rPr>
        <w:t>investigativa svolta.</w:t>
      </w:r>
    </w:p>
    <w:p>
      <w:pPr>
        <w:pStyle w:val="Normal"/>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 xml:space="preserve">Egli, anzitutto, </w:t>
      </w:r>
      <w:r>
        <w:rPr>
          <w:rFonts w:hAnsi="Book Antiqua" w:hint="default"/>
          <w:color w:val="000000"/>
          <w:sz w:val="22"/>
          <w:szCs w:val="22"/>
          <w:u w:color="000000"/>
          <w:rtl w:val="0"/>
          <w:lang w:val="it-IT"/>
        </w:rPr>
        <w:t xml:space="preserve">è </w:t>
      </w:r>
      <w:r>
        <w:rPr>
          <w:rFonts w:ascii="Book Antiqua"/>
          <w:color w:val="000000"/>
          <w:sz w:val="22"/>
          <w:szCs w:val="22"/>
          <w:u w:color="000000"/>
          <w:rtl w:val="0"/>
          <w:lang w:val="it-IT"/>
        </w:rPr>
        <w:t>interlocutore privilegiato nei confronti del Direttore Generale di AMA S.p.A. Giovanni FISCON, funzione che, come si evidenzier</w:t>
      </w:r>
      <w:r>
        <w:rPr>
          <w:rFonts w:hAnsi="Book Antiqua" w:hint="default"/>
          <w:color w:val="000000"/>
          <w:sz w:val="22"/>
          <w:szCs w:val="22"/>
          <w:u w:color="000000"/>
          <w:rtl w:val="0"/>
          <w:lang w:val="it-IT"/>
        </w:rPr>
        <w:t xml:space="preserve">à </w:t>
      </w:r>
      <w:r>
        <w:rPr>
          <w:rFonts w:ascii="Book Antiqua"/>
          <w:color w:val="000000"/>
          <w:sz w:val="22"/>
          <w:szCs w:val="22"/>
          <w:u w:color="000000"/>
          <w:rtl w:val="0"/>
          <w:lang w:val="it-IT"/>
        </w:rPr>
        <w:t>soprattutto nella turbativa d</w:t>
      </w:r>
      <w:r>
        <w:rPr>
          <w:rFonts w:hAnsi="Book Antiqua" w:hint="default"/>
          <w:color w:val="000000"/>
          <w:sz w:val="22"/>
          <w:szCs w:val="22"/>
          <w:u w:color="000000"/>
          <w:rtl w:val="0"/>
          <w:lang w:val="it-IT"/>
        </w:rPr>
        <w:t>’</w:t>
      </w:r>
      <w:r>
        <w:rPr>
          <w:rFonts w:ascii="Book Antiqua"/>
          <w:color w:val="000000"/>
          <w:sz w:val="22"/>
          <w:szCs w:val="22"/>
          <w:u w:color="000000"/>
          <w:rtl w:val="0"/>
          <w:lang w:val="it-IT"/>
        </w:rPr>
        <w:t>asta relativa alla raccolta del multimateriale, egli piegher</w:t>
      </w:r>
      <w:r>
        <w:rPr>
          <w:rFonts w:hAnsi="Book Antiqua" w:hint="default"/>
          <w:color w:val="000000"/>
          <w:sz w:val="22"/>
          <w:szCs w:val="22"/>
          <w:u w:color="000000"/>
          <w:rtl w:val="0"/>
          <w:lang w:val="it-IT"/>
        </w:rPr>
        <w:t xml:space="preserve">à </w:t>
      </w:r>
      <w:r>
        <w:rPr>
          <w:rFonts w:ascii="Book Antiqua"/>
          <w:color w:val="000000"/>
          <w:sz w:val="22"/>
          <w:szCs w:val="22"/>
          <w:u w:color="000000"/>
          <w:rtl w:val="0"/>
          <w:lang w:val="it-IT"/>
        </w:rPr>
        <w:t>agli interessi del gruppo riconducibile a Buzzi.</w:t>
      </w:r>
    </w:p>
    <w:p>
      <w:pPr>
        <w:pStyle w:val="Normal"/>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w:t>
      </w:r>
      <w:r>
        <w:rPr>
          <w:rFonts w:hAnsi="Book Antiqua" w:hint="default"/>
          <w:color w:val="000000"/>
          <w:sz w:val="22"/>
          <w:szCs w:val="22"/>
          <w:u w:color="000000"/>
          <w:rtl w:val="0"/>
          <w:lang w:val="it-IT"/>
        </w:rPr>
        <w:t>…</w:t>
      </w:r>
      <w:r>
        <w:rPr>
          <w:rFonts w:ascii="Book Antiqua"/>
          <w:color w:val="000000"/>
          <w:sz w:val="22"/>
          <w:szCs w:val="22"/>
          <w:u w:color="000000"/>
          <w:rtl w:val="0"/>
          <w:lang w:val="it-IT"/>
        </w:rPr>
        <w:t>]</w:t>
      </w:r>
    </w:p>
    <w:p>
      <w:pPr>
        <w:pStyle w:val="Normal"/>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in merito alla gara individuata nella n. 30/2013 indetta da AMA Spa sulla raccolta differenziata del multimateriale, BUZZI, riferendosi alla GARRONE all</w:t>
      </w:r>
      <w:r>
        <w:rPr>
          <w:rFonts w:hAnsi="Book Antiqua" w:hint="default"/>
          <w:color w:val="000000"/>
          <w:sz w:val="22"/>
          <w:szCs w:val="22"/>
          <w:u w:color="000000"/>
          <w:rtl w:val="0"/>
          <w:lang w:val="it-IT"/>
        </w:rPr>
        <w:t>’</w:t>
      </w:r>
      <w:r>
        <w:rPr>
          <w:rFonts w:ascii="Book Antiqua"/>
          <w:color w:val="000000"/>
          <w:sz w:val="22"/>
          <w:szCs w:val="22"/>
          <w:u w:color="000000"/>
          <w:rtl w:val="0"/>
          <w:lang w:val="it-IT"/>
        </w:rPr>
        <w:t xml:space="preserve">interno degli uffici di via Pomona n. 63, affermava: </w:t>
      </w:r>
      <w:r>
        <w:rPr>
          <w:rFonts w:hAnsi="Book Antiqua" w:hint="default"/>
          <w:color w:val="000000"/>
          <w:sz w:val="22"/>
          <w:szCs w:val="22"/>
          <w:u w:color="000000"/>
          <w:rtl w:val="0"/>
          <w:lang w:val="it-IT"/>
        </w:rPr>
        <w:t>“</w:t>
      </w:r>
      <w:r>
        <w:rPr>
          <w:rFonts w:ascii="Book Antiqua"/>
          <w:color w:val="000000"/>
          <w:sz w:val="22"/>
          <w:szCs w:val="22"/>
          <w:u w:color="000000"/>
          <w:rtl w:val="0"/>
          <w:lang w:val="it-IT"/>
        </w:rPr>
        <w:t xml:space="preserve">il problema </w:t>
      </w:r>
      <w:r>
        <w:rPr>
          <w:rFonts w:hAnsi="Book Antiqua" w:hint="default"/>
          <w:color w:val="000000"/>
          <w:sz w:val="22"/>
          <w:szCs w:val="22"/>
          <w:u w:color="000000"/>
          <w:rtl w:val="0"/>
          <w:lang w:val="it-IT"/>
        </w:rPr>
        <w:t xml:space="preserve">è </w:t>
      </w:r>
      <w:r>
        <w:rPr>
          <w:rFonts w:ascii="Book Antiqua"/>
          <w:color w:val="000000"/>
          <w:sz w:val="22"/>
          <w:szCs w:val="22"/>
          <w:u w:color="000000"/>
          <w:rtl w:val="0"/>
          <w:lang w:val="it-IT"/>
        </w:rPr>
        <w:t xml:space="preserve">un altro, il problema </w:t>
      </w:r>
      <w:r>
        <w:rPr>
          <w:rFonts w:hAnsi="Book Antiqua" w:hint="default"/>
          <w:color w:val="000000"/>
          <w:sz w:val="22"/>
          <w:szCs w:val="22"/>
          <w:u w:color="000000"/>
          <w:rtl w:val="0"/>
          <w:lang w:val="it-IT"/>
        </w:rPr>
        <w:t xml:space="preserve">è </w:t>
      </w:r>
      <w:r>
        <w:rPr>
          <w:rFonts w:ascii="Book Antiqua"/>
          <w:color w:val="000000"/>
          <w:sz w:val="22"/>
          <w:szCs w:val="22"/>
          <w:u w:color="000000"/>
          <w:rtl w:val="0"/>
          <w:lang w:val="it-IT"/>
        </w:rPr>
        <w:t>un altro, Guarany fa il commerciale, per</w:t>
      </w:r>
      <w:r>
        <w:rPr>
          <w:rFonts w:hAnsi="Book Antiqua" w:hint="default"/>
          <w:color w:val="000000"/>
          <w:sz w:val="22"/>
          <w:szCs w:val="22"/>
          <w:u w:color="000000"/>
          <w:rtl w:val="0"/>
          <w:lang w:val="it-IT"/>
        </w:rPr>
        <w:t xml:space="preserve">ò </w:t>
      </w:r>
      <w:r>
        <w:rPr>
          <w:rFonts w:ascii="Book Antiqua"/>
          <w:color w:val="000000"/>
          <w:sz w:val="22"/>
          <w:szCs w:val="22"/>
          <w:u w:color="000000"/>
          <w:rtl w:val="0"/>
          <w:lang w:val="it-IT"/>
        </w:rPr>
        <w:t>sulla gara dei rifiuti... c'</w:t>
      </w:r>
      <w:r>
        <w:rPr>
          <w:rFonts w:hAnsi="Book Antiqua" w:hint="default"/>
          <w:color w:val="000000"/>
          <w:sz w:val="22"/>
          <w:szCs w:val="22"/>
          <w:u w:color="000000"/>
          <w:rtl w:val="0"/>
          <w:lang w:val="it-IT"/>
        </w:rPr>
        <w:t xml:space="preserve">è </w:t>
      </w:r>
      <w:r>
        <w:rPr>
          <w:rFonts w:ascii="Book Antiqua"/>
          <w:color w:val="000000"/>
          <w:sz w:val="22"/>
          <w:szCs w:val="22"/>
          <w:u w:color="000000"/>
          <w:rtl w:val="0"/>
          <w:lang w:val="it-IT"/>
        </w:rPr>
        <w:t>qualcuno che gli deve dire 1</w:t>
      </w:r>
      <w:r>
        <w:rPr>
          <w:rFonts w:hAnsi="Book Antiqua" w:hint="default"/>
          <w:color w:val="000000"/>
          <w:sz w:val="22"/>
          <w:szCs w:val="22"/>
          <w:u w:color="000000"/>
          <w:rtl w:val="0"/>
          <w:lang w:val="it-IT"/>
        </w:rPr>
        <w:t xml:space="preserve">° </w:t>
      </w:r>
      <w:r>
        <w:rPr>
          <w:rFonts w:ascii="Book Antiqua"/>
          <w:color w:val="000000"/>
          <w:sz w:val="22"/>
          <w:szCs w:val="22"/>
          <w:u w:color="000000"/>
          <w:rtl w:val="0"/>
          <w:lang w:val="it-IT"/>
        </w:rPr>
        <w:t>e 4</w:t>
      </w:r>
      <w:r>
        <w:rPr>
          <w:rFonts w:hAnsi="Book Antiqua" w:hint="default"/>
          <w:color w:val="000000"/>
          <w:sz w:val="22"/>
          <w:szCs w:val="22"/>
          <w:u w:color="000000"/>
          <w:rtl w:val="0"/>
          <w:lang w:val="it-IT"/>
        </w:rPr>
        <w:t xml:space="preserve">° </w:t>
      </w:r>
      <w:r>
        <w:rPr>
          <w:rFonts w:ascii="Book Antiqua"/>
          <w:color w:val="000000"/>
          <w:sz w:val="22"/>
          <w:szCs w:val="22"/>
          <w:u w:color="000000"/>
          <w:rtl w:val="0"/>
          <w:lang w:val="it-IT"/>
        </w:rPr>
        <w:t>o 1</w:t>
      </w:r>
      <w:r>
        <w:rPr>
          <w:rFonts w:hAnsi="Book Antiqua" w:hint="default"/>
          <w:color w:val="000000"/>
          <w:sz w:val="22"/>
          <w:szCs w:val="22"/>
          <w:u w:color="000000"/>
          <w:rtl w:val="0"/>
          <w:lang w:val="it-IT"/>
        </w:rPr>
        <w:t xml:space="preserve">° </w:t>
      </w:r>
      <w:r>
        <w:rPr>
          <w:rFonts w:ascii="Book Antiqua"/>
          <w:color w:val="000000"/>
          <w:sz w:val="22"/>
          <w:szCs w:val="22"/>
          <w:u w:color="000000"/>
          <w:rtl w:val="0"/>
          <w:lang w:val="it-IT"/>
        </w:rPr>
        <w:t>e 2</w:t>
      </w:r>
      <w:r>
        <w:rPr>
          <w:rFonts w:hAnsi="Book Antiqua" w:hint="default"/>
          <w:color w:val="000000"/>
          <w:sz w:val="22"/>
          <w:szCs w:val="22"/>
          <w:u w:color="000000"/>
          <w:rtl w:val="0"/>
          <w:lang w:val="it-IT"/>
        </w:rPr>
        <w:t xml:space="preserve">° </w:t>
      </w:r>
      <w:r>
        <w:rPr>
          <w:rFonts w:ascii="Book Antiqua"/>
          <w:color w:val="000000"/>
          <w:sz w:val="22"/>
          <w:szCs w:val="22"/>
          <w:u w:color="000000"/>
          <w:rtl w:val="0"/>
          <w:lang w:val="it-IT"/>
        </w:rPr>
        <w:t>(riferendosi ai lotti multimateriale, ndr);</w:t>
      </w:r>
    </w:p>
    <w:p>
      <w:pPr>
        <w:pStyle w:val="Normal"/>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w:t>
      </w:r>
      <w:r>
        <w:rPr>
          <w:rFonts w:hAnsi="Book Antiqua" w:hint="default"/>
          <w:color w:val="000000"/>
          <w:sz w:val="22"/>
          <w:szCs w:val="22"/>
          <w:u w:color="000000"/>
          <w:rtl w:val="0"/>
          <w:lang w:val="it-IT"/>
        </w:rPr>
        <w:t>…</w:t>
      </w:r>
      <w:r>
        <w:rPr>
          <w:rFonts w:ascii="Book Antiqua"/>
          <w:color w:val="000000"/>
          <w:sz w:val="22"/>
          <w:szCs w:val="22"/>
          <w:u w:color="000000"/>
          <w:rtl w:val="0"/>
          <w:lang w:val="it-IT"/>
        </w:rPr>
        <w:t>]</w:t>
      </w:r>
    </w:p>
    <w:p>
      <w:pPr>
        <w:pStyle w:val="Normal"/>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 xml:space="preserve">il 17.4.2013, Salvatore BUZZI chiamava Carlo GUARANY al quale riferiva che sarebbe stato </w:t>
      </w:r>
      <w:r>
        <w:rPr>
          <w:rFonts w:hAnsi="Book Antiqua" w:hint="default"/>
          <w:i w:val="1"/>
          <w:iCs w:val="1"/>
          <w:color w:val="000000"/>
          <w:sz w:val="22"/>
          <w:szCs w:val="22"/>
          <w:u w:color="000000"/>
          <w:rtl w:val="0"/>
          <w:lang w:val="it-IT"/>
        </w:rPr>
        <w:t>“</w:t>
      </w:r>
      <w:r>
        <w:rPr>
          <w:rFonts w:ascii="Book Antiqua"/>
          <w:color w:val="000000"/>
          <w:sz w:val="22"/>
          <w:szCs w:val="22"/>
          <w:u w:color="000000"/>
          <w:rtl w:val="0"/>
          <w:lang w:val="it-IT"/>
        </w:rPr>
        <w:t>il nostro FISCON</w:t>
      </w:r>
      <w:r>
        <w:rPr>
          <w:rFonts w:hAnsi="Book Antiqua" w:hint="default"/>
          <w:color w:val="000000"/>
          <w:sz w:val="22"/>
          <w:szCs w:val="22"/>
          <w:u w:color="000000"/>
          <w:rtl w:val="0"/>
          <w:lang w:val="it-IT"/>
        </w:rPr>
        <w:t xml:space="preserve">” </w:t>
      </w:r>
      <w:r>
        <w:rPr>
          <w:rFonts w:ascii="Book Antiqua"/>
          <w:color w:val="000000"/>
          <w:sz w:val="22"/>
          <w:szCs w:val="22"/>
          <w:u w:color="000000"/>
          <w:rtl w:val="0"/>
          <w:lang w:val="it-IT"/>
        </w:rPr>
        <w:t xml:space="preserve">a ricoprire la carica di </w:t>
      </w:r>
      <w:r>
        <w:rPr>
          <w:rFonts w:hAnsi="Book Antiqua" w:hint="default"/>
          <w:i w:val="1"/>
          <w:iCs w:val="1"/>
          <w:color w:val="000000"/>
          <w:sz w:val="22"/>
          <w:szCs w:val="22"/>
          <w:u w:color="000000"/>
          <w:rtl w:val="0"/>
          <w:lang w:val="it-IT"/>
        </w:rPr>
        <w:t>“</w:t>
      </w:r>
      <w:r>
        <w:rPr>
          <w:rFonts w:ascii="Book Antiqua"/>
          <w:i w:val="1"/>
          <w:iCs w:val="1"/>
          <w:color w:val="000000"/>
          <w:sz w:val="22"/>
          <w:szCs w:val="22"/>
          <w:u w:color="000000"/>
          <w:rtl w:val="0"/>
          <w:lang w:val="it-IT"/>
        </w:rPr>
        <w:t>direttore generale di AMA al posto di COMMINI</w:t>
      </w:r>
      <w:r>
        <w:rPr>
          <w:rFonts w:hAnsi="Book Antiqua" w:hint="default"/>
          <w:i w:val="1"/>
          <w:iCs w:val="1"/>
          <w:color w:val="000000"/>
          <w:sz w:val="22"/>
          <w:szCs w:val="22"/>
          <w:u w:color="000000"/>
          <w:rtl w:val="0"/>
          <w:lang w:val="it-IT"/>
        </w:rPr>
        <w:t>”</w:t>
      </w:r>
      <w:r>
        <w:rPr>
          <w:rFonts w:ascii="Book Antiqua"/>
          <w:color w:val="000000"/>
          <w:sz w:val="22"/>
          <w:szCs w:val="22"/>
          <w:u w:color="000000"/>
          <w:rtl w:val="0"/>
          <w:lang w:val="it-IT"/>
        </w:rPr>
        <w:t>, esprimendo, al riguardo, il proprio entusiasmo. Carlo GUARANY partecipava alla soddisfazione dell</w:t>
      </w:r>
      <w:r>
        <w:rPr>
          <w:rFonts w:hAnsi="Book Antiqua" w:hint="default"/>
          <w:color w:val="000000"/>
          <w:sz w:val="22"/>
          <w:szCs w:val="22"/>
          <w:u w:color="000000"/>
          <w:rtl w:val="0"/>
          <w:lang w:val="it-IT"/>
        </w:rPr>
        <w:t>’</w:t>
      </w:r>
      <w:r>
        <w:rPr>
          <w:rFonts w:ascii="Book Antiqua"/>
          <w:color w:val="000000"/>
          <w:sz w:val="22"/>
          <w:szCs w:val="22"/>
          <w:u w:color="000000"/>
          <w:rtl w:val="0"/>
          <w:lang w:val="it-IT"/>
        </w:rPr>
        <w:t xml:space="preserve">interlocutore: </w:t>
      </w:r>
      <w:r>
        <w:rPr>
          <w:rFonts w:hAnsi="Book Antiqua" w:hint="default"/>
          <w:color w:val="000000"/>
          <w:sz w:val="22"/>
          <w:szCs w:val="22"/>
          <w:u w:color="000000"/>
          <w:rtl w:val="0"/>
          <w:lang w:val="it-IT"/>
        </w:rPr>
        <w:t>“</w:t>
      </w:r>
      <w:r>
        <w:rPr>
          <w:rFonts w:ascii="Book Antiqua"/>
          <w:color w:val="000000"/>
          <w:sz w:val="22"/>
          <w:szCs w:val="22"/>
          <w:u w:color="000000"/>
          <w:rtl w:val="0"/>
          <w:lang w:val="it-IT"/>
        </w:rPr>
        <w:t>Meno male...meno...ogni tanto...ogni tanto una decisione saggia...meno male</w:t>
      </w:r>
      <w:r>
        <w:rPr>
          <w:rFonts w:hAnsi="Book Antiqua" w:hint="default"/>
          <w:color w:val="000000"/>
          <w:sz w:val="22"/>
          <w:szCs w:val="22"/>
          <w:u w:color="000000"/>
          <w:rtl w:val="0"/>
          <w:lang w:val="it-IT"/>
        </w:rPr>
        <w:t xml:space="preserve">” </w:t>
      </w:r>
      <w:r>
        <w:rPr>
          <w:rFonts w:ascii="Book Antiqua"/>
          <w:color w:val="000000"/>
          <w:sz w:val="22"/>
          <w:szCs w:val="22"/>
          <w:u w:color="000000"/>
          <w:rtl w:val="0"/>
          <w:lang w:val="it-IT"/>
        </w:rPr>
        <w:t xml:space="preserve">e, proseguendo, commentava: </w:t>
      </w:r>
      <w:r>
        <w:rPr>
          <w:rFonts w:hAnsi="Book Antiqua" w:hint="default"/>
          <w:color w:val="000000"/>
          <w:sz w:val="22"/>
          <w:szCs w:val="22"/>
          <w:u w:color="000000"/>
          <w:rtl w:val="0"/>
          <w:lang w:val="it-IT"/>
        </w:rPr>
        <w:t>“</w:t>
      </w:r>
      <w:r>
        <w:rPr>
          <w:rFonts w:ascii="Book Antiqua"/>
          <w:color w:val="000000"/>
          <w:sz w:val="22"/>
          <w:szCs w:val="22"/>
          <w:u w:color="000000"/>
          <w:rtl w:val="0"/>
          <w:lang w:val="it-IT"/>
        </w:rPr>
        <w:t>poi al nuovo sindaco gli proporremo di confermarlo, chiaramente</w:t>
      </w:r>
      <w:r>
        <w:rPr>
          <w:rFonts w:ascii="Book Antiqua"/>
          <w:i w:val="1"/>
          <w:iCs w:val="1"/>
          <w:color w:val="000000"/>
          <w:sz w:val="22"/>
          <w:szCs w:val="22"/>
          <w:u w:color="000000"/>
          <w:rtl w:val="0"/>
          <w:lang w:val="it-IT"/>
        </w:rPr>
        <w:t>...</w:t>
      </w:r>
      <w:r>
        <w:rPr>
          <w:rFonts w:hAnsi="Book Antiqua" w:hint="default"/>
          <w:i w:val="1"/>
          <w:iCs w:val="1"/>
          <w:color w:val="000000"/>
          <w:sz w:val="22"/>
          <w:szCs w:val="22"/>
          <w:u w:color="000000"/>
          <w:rtl w:val="0"/>
          <w:lang w:val="it-IT"/>
        </w:rPr>
        <w:t>”</w:t>
      </w:r>
      <w:r>
        <w:rPr>
          <w:rFonts w:ascii="Book Antiqua"/>
          <w:color w:val="000000"/>
          <w:sz w:val="22"/>
          <w:szCs w:val="22"/>
          <w:u w:color="000000"/>
          <w:rtl w:val="0"/>
          <w:lang w:val="it-IT"/>
        </w:rPr>
        <w:t>.</w:t>
      </w:r>
    </w:p>
    <w:p>
      <w:pPr>
        <w:pStyle w:val="Normal"/>
        <w:ind w:left="567" w:right="567" w:firstLine="0"/>
        <w:rPr>
          <w:rFonts w:ascii="Book Antiqua" w:cs="Book Antiqua" w:hAnsi="Book Antiqua" w:eastAsia="Book Antiqua"/>
          <w:color w:val="000000"/>
          <w:sz w:val="22"/>
          <w:szCs w:val="22"/>
          <w:u w:color="000000"/>
        </w:rPr>
      </w:pPr>
    </w:p>
    <w:p>
      <w:pPr>
        <w:pStyle w:val="Normal"/>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[p. 751]</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val="single" w:color="000000"/>
          <w:rtl w:val="0"/>
          <w:lang w:val="it-IT"/>
        </w:rPr>
        <w:t>Franco PANZIRONI</w:t>
      </w:r>
      <w:r>
        <w:rPr>
          <w:rFonts w:ascii="Book Antiqua"/>
          <w:color w:val="000000"/>
          <w:sz w:val="22"/>
          <w:szCs w:val="22"/>
          <w:u w:color="000000"/>
          <w:rtl w:val="0"/>
          <w:lang w:val="it-IT"/>
        </w:rPr>
        <w:t xml:space="preserve"> ha ricoperto la qualit</w:t>
      </w:r>
      <w:r>
        <w:rPr>
          <w:rFonts w:hAnsi="Book Antiqua" w:hint="default"/>
          <w:color w:val="000000"/>
          <w:sz w:val="22"/>
          <w:szCs w:val="22"/>
          <w:u w:color="000000"/>
          <w:rtl w:val="0"/>
          <w:lang w:val="it-IT"/>
        </w:rPr>
        <w:t xml:space="preserve">à </w:t>
      </w:r>
      <w:r>
        <w:rPr>
          <w:rFonts w:ascii="Book Antiqua"/>
          <w:color w:val="000000"/>
          <w:sz w:val="22"/>
          <w:szCs w:val="22"/>
          <w:u w:color="000000"/>
          <w:rtl w:val="0"/>
          <w:lang w:val="it-IT"/>
        </w:rPr>
        <w:t>di componente del CDA e AD di AMA S.p.A. dal 5.8.2008 al 4.8.2011 e riguardo specificatamente a detto periodo non vi sono intercettazioni, atteso che le specifiche indagini, riguardanti le vicende in esame, hanno avuto inizio a giugno 2012; precedentemente a tale data, le cooperative sociali riconducibili al BUZZI si erano aggiudicate numerose gare [</w:t>
      </w:r>
      <w:r>
        <w:rPr>
          <w:rFonts w:hAnsi="Book Antiqua" w:hint="default"/>
          <w:color w:val="000000"/>
          <w:sz w:val="22"/>
          <w:szCs w:val="22"/>
          <w:u w:color="000000"/>
          <w:rtl w:val="0"/>
          <w:lang w:val="it-IT"/>
        </w:rPr>
        <w:t>…</w:t>
      </w:r>
      <w:r>
        <w:rPr>
          <w:rFonts w:ascii="Book Antiqua"/>
          <w:color w:val="000000"/>
          <w:sz w:val="22"/>
          <w:szCs w:val="22"/>
          <w:u w:color="000000"/>
          <w:rtl w:val="0"/>
          <w:lang w:val="it-IT"/>
        </w:rPr>
        <w:t>]:</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 il Bando di gara n. 28/2009, dell'importo di euro 4.400.000,00, aggiudicato un lotto il 18.11.2009, a Consorzio Formula Ambiente, controllato per il 29,36 per cento dalle societ</w:t>
      </w:r>
      <w:r>
        <w:rPr>
          <w:rFonts w:hAnsi="Book Antiqua" w:hint="default"/>
          <w:color w:val="000000"/>
          <w:sz w:val="22"/>
          <w:szCs w:val="22"/>
          <w:u w:color="000000"/>
          <w:rtl w:val="0"/>
          <w:lang w:val="it-IT"/>
        </w:rPr>
        <w:t xml:space="preserve">à </w:t>
      </w:r>
      <w:r>
        <w:rPr>
          <w:rFonts w:ascii="Book Antiqua"/>
          <w:color w:val="000000"/>
          <w:sz w:val="22"/>
          <w:szCs w:val="22"/>
          <w:u w:color="000000"/>
          <w:rtl w:val="0"/>
          <w:lang w:val="it-IT"/>
        </w:rPr>
        <w:t>cooperative 29 Giugno Soc. Coop. Sociale Onlus, Formula Sociale Cooperativa e 29 Giugno Societ</w:t>
      </w:r>
      <w:r>
        <w:rPr>
          <w:rFonts w:hAnsi="Book Antiqua" w:hint="default"/>
          <w:color w:val="000000"/>
          <w:sz w:val="22"/>
          <w:szCs w:val="22"/>
          <w:u w:color="000000"/>
          <w:rtl w:val="0"/>
          <w:lang w:val="it-IT"/>
        </w:rPr>
        <w:t xml:space="preserve">à </w:t>
      </w:r>
      <w:r>
        <w:rPr>
          <w:rFonts w:ascii="Book Antiqua"/>
          <w:color w:val="000000"/>
          <w:sz w:val="22"/>
          <w:szCs w:val="22"/>
          <w:u w:color="000000"/>
          <w:rtl w:val="0"/>
          <w:lang w:val="it-IT"/>
        </w:rPr>
        <w:t>Cooperativa, del quale il BUZZI era, all'epoca dei fatti, Presidente, AD;</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 il bando di gara n. 3/11, aggiudicato un lotto il 2.1.2012 a Costituendo RTI 29 Giugno soc. coop./Formula sociale soc. coop. Italia, per l'importo di euro 280.000,00;</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 il bando di gara n. 15/11, aggiudicato il 23.5.2012, per l'importo di euro 645.000,00 alla Societ</w:t>
      </w:r>
      <w:r>
        <w:rPr>
          <w:rFonts w:hAnsi="Book Antiqua" w:hint="default"/>
          <w:color w:val="000000"/>
          <w:sz w:val="22"/>
          <w:szCs w:val="22"/>
          <w:u w:color="000000"/>
          <w:rtl w:val="0"/>
          <w:lang w:val="it-IT"/>
        </w:rPr>
        <w:t xml:space="preserve">à </w:t>
      </w:r>
      <w:r>
        <w:rPr>
          <w:rFonts w:ascii="Book Antiqua"/>
          <w:color w:val="000000"/>
          <w:sz w:val="22"/>
          <w:szCs w:val="22"/>
          <w:u w:color="000000"/>
          <w:rtl w:val="0"/>
          <w:lang w:val="it-IT"/>
        </w:rPr>
        <w:t>29 Giugno Societ</w:t>
      </w:r>
      <w:r>
        <w:rPr>
          <w:rFonts w:hAnsi="Book Antiqua" w:hint="default"/>
          <w:color w:val="000000"/>
          <w:sz w:val="22"/>
          <w:szCs w:val="22"/>
          <w:u w:color="000000"/>
          <w:rtl w:val="0"/>
          <w:lang w:val="it-IT"/>
        </w:rPr>
        <w:t xml:space="preserve">à </w:t>
      </w:r>
      <w:r>
        <w:rPr>
          <w:rFonts w:ascii="Book Antiqua"/>
          <w:color w:val="000000"/>
          <w:sz w:val="22"/>
          <w:szCs w:val="22"/>
          <w:u w:color="000000"/>
          <w:rtl w:val="0"/>
          <w:lang w:val="it-IT"/>
        </w:rPr>
        <w:t>Cooperativa Onlus;</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 la procedura negoziata del 21.11.2012, aggiudicata il 27.4.2012, per due lotti al CNS e per un lotto alla societ</w:t>
      </w:r>
      <w:r>
        <w:rPr>
          <w:rFonts w:hAnsi="Book Antiqua" w:hint="default"/>
          <w:color w:val="000000"/>
          <w:sz w:val="22"/>
          <w:szCs w:val="22"/>
          <w:u w:color="000000"/>
          <w:rtl w:val="0"/>
          <w:lang w:val="it-IT"/>
        </w:rPr>
        <w:t xml:space="preserve">à </w:t>
      </w:r>
      <w:r>
        <w:rPr>
          <w:rFonts w:ascii="Book Antiqua"/>
          <w:color w:val="000000"/>
          <w:sz w:val="22"/>
          <w:szCs w:val="22"/>
          <w:u w:color="000000"/>
          <w:rtl w:val="0"/>
          <w:lang w:val="it-IT"/>
        </w:rPr>
        <w:t>29 Giugno, societ</w:t>
      </w:r>
      <w:r>
        <w:rPr>
          <w:rFonts w:hAnsi="Book Antiqua" w:hint="default"/>
          <w:color w:val="000000"/>
          <w:sz w:val="22"/>
          <w:szCs w:val="22"/>
          <w:u w:color="000000"/>
          <w:rtl w:val="0"/>
          <w:lang w:val="it-IT"/>
        </w:rPr>
        <w:t xml:space="preserve">à </w:t>
      </w:r>
      <w:r>
        <w:rPr>
          <w:rFonts w:ascii="Book Antiqua"/>
          <w:color w:val="000000"/>
          <w:sz w:val="22"/>
          <w:szCs w:val="22"/>
          <w:u w:color="000000"/>
          <w:rtl w:val="0"/>
          <w:lang w:val="it-IT"/>
        </w:rPr>
        <w:t>Cooperativa Onlus;</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E</w:t>
      </w:r>
      <w:r>
        <w:rPr>
          <w:rFonts w:hAnsi="Book Antiqua" w:hint="default"/>
          <w:color w:val="000000"/>
          <w:sz w:val="22"/>
          <w:szCs w:val="22"/>
          <w:u w:color="000000"/>
          <w:rtl w:val="0"/>
          <w:lang w:val="it-IT"/>
        </w:rPr>
        <w:t xml:space="preserve">’ </w:t>
      </w:r>
      <w:r>
        <w:rPr>
          <w:rFonts w:ascii="Book Antiqua"/>
          <w:color w:val="000000"/>
          <w:sz w:val="22"/>
          <w:szCs w:val="22"/>
          <w:u w:color="000000"/>
          <w:rtl w:val="0"/>
          <w:lang w:val="it-IT"/>
        </w:rPr>
        <w:t xml:space="preserve">bene precisare che il 14.5.2011 il PANZIRONI </w:t>
      </w:r>
      <w:r>
        <w:rPr>
          <w:rFonts w:hAnsi="Book Antiqua" w:hint="default"/>
          <w:color w:val="000000"/>
          <w:sz w:val="22"/>
          <w:szCs w:val="22"/>
          <w:u w:color="000000"/>
          <w:rtl w:val="0"/>
          <w:lang w:val="it-IT"/>
        </w:rPr>
        <w:t xml:space="preserve">è </w:t>
      </w:r>
      <w:r>
        <w:rPr>
          <w:rFonts w:ascii="Book Antiqua"/>
          <w:color w:val="000000"/>
          <w:sz w:val="22"/>
          <w:szCs w:val="22"/>
          <w:u w:color="000000"/>
          <w:rtl w:val="0"/>
          <w:lang w:val="it-IT"/>
        </w:rPr>
        <w:t>stato indagato, nell</w:t>
      </w:r>
      <w:r>
        <w:rPr>
          <w:rFonts w:hAnsi="Book Antiqua" w:hint="default"/>
          <w:color w:val="000000"/>
          <w:sz w:val="22"/>
          <w:szCs w:val="22"/>
          <w:u w:color="000000"/>
          <w:rtl w:val="0"/>
          <w:lang w:val="it-IT"/>
        </w:rPr>
        <w:t>’</w:t>
      </w:r>
      <w:r>
        <w:rPr>
          <w:rFonts w:ascii="Book Antiqua"/>
          <w:color w:val="000000"/>
          <w:sz w:val="22"/>
          <w:szCs w:val="22"/>
          <w:u w:color="000000"/>
          <w:rtl w:val="0"/>
          <w:lang w:val="it-IT"/>
        </w:rPr>
        <w:t>ambito dell'inchiesta cosiddetta</w:t>
      </w:r>
      <w:r>
        <w:rPr>
          <w:rFonts w:hAnsi="Book Antiqua" w:hint="default"/>
          <w:color w:val="000000"/>
          <w:sz w:val="22"/>
          <w:szCs w:val="22"/>
          <w:u w:color="000000"/>
          <w:rtl w:val="0"/>
          <w:lang w:val="it-IT"/>
        </w:rPr>
        <w:t xml:space="preserve"> “</w:t>
      </w:r>
      <w:r>
        <w:rPr>
          <w:rFonts w:ascii="Book Antiqua"/>
          <w:color w:val="000000"/>
          <w:sz w:val="22"/>
          <w:szCs w:val="22"/>
          <w:u w:color="000000"/>
          <w:rtl w:val="0"/>
          <w:lang w:val="it-IT"/>
        </w:rPr>
        <w:t>Parentopoli</w:t>
      </w:r>
      <w:r>
        <w:rPr>
          <w:rFonts w:hAnsi="Book Antiqua" w:hint="default"/>
          <w:color w:val="000000"/>
          <w:sz w:val="22"/>
          <w:szCs w:val="22"/>
          <w:u w:color="000000"/>
          <w:rtl w:val="0"/>
          <w:lang w:val="it-IT"/>
        </w:rPr>
        <w:t>”</w:t>
      </w:r>
      <w:r>
        <w:rPr>
          <w:rFonts w:ascii="Book Antiqua"/>
          <w:color w:val="000000"/>
          <w:sz w:val="22"/>
          <w:szCs w:val="22"/>
          <w:u w:color="000000"/>
          <w:rtl w:val="0"/>
          <w:lang w:val="it-IT"/>
        </w:rPr>
        <w:t>, riguardante presunte irregolarit</w:t>
      </w:r>
      <w:r>
        <w:rPr>
          <w:rFonts w:hAnsi="Book Antiqua" w:hint="default"/>
          <w:color w:val="000000"/>
          <w:sz w:val="22"/>
          <w:szCs w:val="22"/>
          <w:u w:color="000000"/>
          <w:rtl w:val="0"/>
          <w:lang w:val="it-IT"/>
        </w:rPr>
        <w:t xml:space="preserve">à </w:t>
      </w:r>
      <w:r>
        <w:rPr>
          <w:rFonts w:ascii="Book Antiqua"/>
          <w:color w:val="000000"/>
          <w:sz w:val="22"/>
          <w:szCs w:val="22"/>
          <w:u w:color="000000"/>
          <w:rtl w:val="0"/>
          <w:lang w:val="it-IT"/>
        </w:rPr>
        <w:t>nelle procedure di</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 xml:space="preserve">assegnazione del personale in AMA S.p.A. e verosimilmente per tale ragione non </w:t>
      </w:r>
      <w:r>
        <w:rPr>
          <w:rFonts w:hAnsi="Book Antiqua" w:hint="default"/>
          <w:color w:val="000000"/>
          <w:sz w:val="22"/>
          <w:szCs w:val="22"/>
          <w:u w:color="000000"/>
          <w:rtl w:val="0"/>
          <w:lang w:val="it-IT"/>
        </w:rPr>
        <w:t xml:space="preserve">è </w:t>
      </w:r>
      <w:r>
        <w:rPr>
          <w:rFonts w:ascii="Book Antiqua"/>
          <w:color w:val="000000"/>
          <w:sz w:val="22"/>
          <w:szCs w:val="22"/>
          <w:u w:color="000000"/>
          <w:rtl w:val="0"/>
          <w:lang w:val="it-IT"/>
        </w:rPr>
        <w:t>stato</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riconfermato al vertice della societ</w:t>
      </w:r>
      <w:r>
        <w:rPr>
          <w:rFonts w:hAnsi="Book Antiqua" w:hint="default"/>
          <w:color w:val="000000"/>
          <w:sz w:val="22"/>
          <w:szCs w:val="22"/>
          <w:u w:color="000000"/>
          <w:rtl w:val="0"/>
          <w:lang w:val="it-IT"/>
        </w:rPr>
        <w:t>à</w:t>
      </w:r>
      <w:r>
        <w:rPr>
          <w:rFonts w:ascii="Book Antiqua"/>
          <w:color w:val="000000"/>
          <w:sz w:val="22"/>
          <w:szCs w:val="22"/>
          <w:u w:color="000000"/>
          <w:rtl w:val="0"/>
          <w:lang w:val="it-IT"/>
        </w:rPr>
        <w:t>; il prevenuto veniva, invece, confermato al vertice</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 xml:space="preserve">della controllata Roma Multiservizi S.p.A., fino al 3.10.2013. </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Anche nel periodo successivo alla sua carica formale in AMA S.p.A., il PANZIRONI, aveva nella societ</w:t>
      </w:r>
      <w:r>
        <w:rPr>
          <w:rFonts w:hAnsi="Book Antiqua" w:hint="default"/>
          <w:color w:val="000000"/>
          <w:sz w:val="22"/>
          <w:szCs w:val="22"/>
          <w:u w:color="000000"/>
          <w:rtl w:val="0"/>
          <w:lang w:val="it-IT"/>
        </w:rPr>
        <w:t xml:space="preserve">à </w:t>
      </w:r>
      <w:r>
        <w:rPr>
          <w:rFonts w:ascii="Book Antiqua"/>
          <w:color w:val="000000"/>
          <w:sz w:val="22"/>
          <w:szCs w:val="22"/>
          <w:u w:color="000000"/>
          <w:rtl w:val="0"/>
          <w:lang w:val="it-IT"/>
        </w:rPr>
        <w:t xml:space="preserve">sostanzialmente un ruolo apicale, come emerso nelle intercettazioni sopra riportate, quali, tra le tante, quella del 16.2.2013 (RIT 1008/13, progr. 565), nel corso della quale Stefano Andrini (nominato consigliere di Roma Multiservizi il 21.8.2008 e AD il 21.8.2009), parlando con Giuseppe BERTI, riferendosi alla ANELLI ed ai contrasti insorti ai vertici dell'Azienda, diceva: </w:t>
      </w:r>
      <w:r>
        <w:rPr>
          <w:rFonts w:hAnsi="Book Antiqua" w:hint="default"/>
          <w:color w:val="000000"/>
          <w:sz w:val="22"/>
          <w:szCs w:val="22"/>
          <w:u w:color="000000"/>
          <w:rtl w:val="0"/>
          <w:lang w:val="it-IT"/>
        </w:rPr>
        <w:t>“</w:t>
      </w:r>
      <w:r>
        <w:rPr>
          <w:rFonts w:ascii="Book Antiqua"/>
          <w:color w:val="000000"/>
          <w:sz w:val="22"/>
          <w:szCs w:val="22"/>
          <w:u w:color="000000"/>
          <w:rtl w:val="0"/>
          <w:lang w:val="it-IT"/>
        </w:rPr>
        <w:t xml:space="preserve">lei ha capito che l'azienda non </w:t>
      </w:r>
      <w:r>
        <w:rPr>
          <w:rFonts w:hAnsi="Book Antiqua" w:hint="default"/>
          <w:color w:val="000000"/>
          <w:sz w:val="22"/>
          <w:szCs w:val="22"/>
          <w:u w:color="000000"/>
          <w:rtl w:val="0"/>
          <w:lang w:val="it-IT"/>
        </w:rPr>
        <w:t xml:space="preserve">è </w:t>
      </w:r>
      <w:r>
        <w:rPr>
          <w:rFonts w:ascii="Book Antiqua"/>
          <w:color w:val="000000"/>
          <w:sz w:val="22"/>
          <w:szCs w:val="22"/>
          <w:u w:color="000000"/>
          <w:rtl w:val="0"/>
          <w:lang w:val="it-IT"/>
        </w:rPr>
        <w:t xml:space="preserve">sua </w:t>
      </w:r>
      <w:r>
        <w:rPr>
          <w:rFonts w:hAnsi="Book Antiqua" w:hint="default"/>
          <w:color w:val="000000"/>
          <w:sz w:val="22"/>
          <w:szCs w:val="22"/>
          <w:u w:color="000000"/>
          <w:rtl w:val="0"/>
          <w:lang w:val="it-IT"/>
        </w:rPr>
        <w:t xml:space="preserve">è </w:t>
      </w:r>
      <w:r>
        <w:rPr>
          <w:rFonts w:ascii="Book Antiqua"/>
          <w:color w:val="000000"/>
          <w:sz w:val="22"/>
          <w:szCs w:val="22"/>
          <w:u w:color="000000"/>
          <w:rtl w:val="0"/>
          <w:lang w:val="it-IT"/>
        </w:rPr>
        <w:t>di Panzironi?</w:t>
      </w:r>
      <w:r>
        <w:rPr>
          <w:rFonts w:hAnsi="Book Antiqua" w:hint="default"/>
          <w:color w:val="000000"/>
          <w:sz w:val="22"/>
          <w:szCs w:val="22"/>
          <w:u w:color="000000"/>
          <w:rtl w:val="0"/>
          <w:lang w:val="it-IT"/>
        </w:rPr>
        <w:t>”</w:t>
      </w:r>
      <w:r>
        <w:rPr>
          <w:rFonts w:ascii="Book Antiqua"/>
          <w:color w:val="000000"/>
          <w:sz w:val="22"/>
          <w:szCs w:val="22"/>
          <w:u w:color="000000"/>
          <w:rtl w:val="0"/>
          <w:lang w:val="it-IT"/>
        </w:rPr>
        <w:t>, nonch</w:t>
      </w:r>
      <w:r>
        <w:rPr>
          <w:rFonts w:hAnsi="Book Antiqua" w:hint="default"/>
          <w:color w:val="000000"/>
          <w:sz w:val="22"/>
          <w:szCs w:val="22"/>
          <w:u w:color="000000"/>
          <w:rtl w:val="0"/>
          <w:lang w:val="it-IT"/>
        </w:rPr>
        <w:t xml:space="preserve">é </w:t>
      </w:r>
      <w:r>
        <w:rPr>
          <w:rFonts w:ascii="Book Antiqua"/>
          <w:color w:val="000000"/>
          <w:sz w:val="22"/>
          <w:szCs w:val="22"/>
          <w:u w:color="000000"/>
          <w:rtl w:val="0"/>
          <w:lang w:val="it-IT"/>
        </w:rPr>
        <w:t xml:space="preserve">la conversazione del 3.4.2013, quando Giuseppe BERTI, parlando con Marcello BRONZETTI (dirigente di AMA S.p.A.), diceva: </w:t>
      </w:r>
      <w:r>
        <w:rPr>
          <w:rFonts w:hAnsi="Book Antiqua" w:hint="default"/>
          <w:color w:val="000000"/>
          <w:sz w:val="22"/>
          <w:szCs w:val="22"/>
          <w:u w:color="000000"/>
          <w:rtl w:val="0"/>
          <w:lang w:val="it-IT"/>
        </w:rPr>
        <w:t>“</w:t>
      </w:r>
      <w:r>
        <w:rPr>
          <w:rFonts w:ascii="Book Antiqua"/>
          <w:color w:val="000000"/>
          <w:sz w:val="22"/>
          <w:szCs w:val="22"/>
          <w:u w:color="000000"/>
          <w:rtl w:val="0"/>
          <w:lang w:val="it-IT"/>
        </w:rPr>
        <w:t>non lo voglio pi</w:t>
      </w:r>
      <w:r>
        <w:rPr>
          <w:rFonts w:hAnsi="Book Antiqua" w:hint="default"/>
          <w:color w:val="000000"/>
          <w:sz w:val="22"/>
          <w:szCs w:val="22"/>
          <w:u w:color="000000"/>
          <w:rtl w:val="0"/>
          <w:lang w:val="it-IT"/>
        </w:rPr>
        <w:t xml:space="preserve">ù </w:t>
      </w:r>
      <w:r>
        <w:rPr>
          <w:rFonts w:ascii="Book Antiqua"/>
          <w:color w:val="000000"/>
          <w:sz w:val="22"/>
          <w:szCs w:val="22"/>
          <w:u w:color="000000"/>
          <w:rtl w:val="0"/>
          <w:lang w:val="it-IT"/>
        </w:rPr>
        <w:t>perch</w:t>
      </w:r>
      <w:r>
        <w:rPr>
          <w:rFonts w:hAnsi="Book Antiqua" w:hint="default"/>
          <w:color w:val="000000"/>
          <w:sz w:val="22"/>
          <w:szCs w:val="22"/>
          <w:u w:color="000000"/>
          <w:rtl w:val="0"/>
          <w:lang w:val="it-IT"/>
        </w:rPr>
        <w:t xml:space="preserve">é è </w:t>
      </w:r>
      <w:r>
        <w:rPr>
          <w:rFonts w:ascii="Book Antiqua"/>
          <w:color w:val="000000"/>
          <w:sz w:val="22"/>
          <w:szCs w:val="22"/>
          <w:u w:color="000000"/>
          <w:rtl w:val="0"/>
          <w:lang w:val="it-IT"/>
        </w:rPr>
        <w:t xml:space="preserve">inutile che facciamo l'amministratore delegato quando la struttura </w:t>
      </w:r>
      <w:r>
        <w:rPr>
          <w:rFonts w:hAnsi="Book Antiqua" w:hint="default"/>
          <w:color w:val="000000"/>
          <w:sz w:val="22"/>
          <w:szCs w:val="22"/>
          <w:u w:color="000000"/>
          <w:rtl w:val="0"/>
          <w:lang w:val="it-IT"/>
        </w:rPr>
        <w:t xml:space="preserve">è </w:t>
      </w:r>
      <w:r>
        <w:rPr>
          <w:rFonts w:ascii="Book Antiqua"/>
          <w:color w:val="000000"/>
          <w:sz w:val="22"/>
          <w:szCs w:val="22"/>
          <w:u w:color="000000"/>
          <w:rtl w:val="0"/>
          <w:lang w:val="it-IT"/>
        </w:rPr>
        <w:t>di Panzironi</w:t>
      </w:r>
      <w:r>
        <w:rPr>
          <w:rFonts w:hAnsi="Book Antiqua" w:hint="default"/>
          <w:color w:val="000000"/>
          <w:sz w:val="22"/>
          <w:szCs w:val="22"/>
          <w:u w:color="000000"/>
          <w:rtl w:val="0"/>
          <w:lang w:val="it-IT"/>
        </w:rPr>
        <w:t xml:space="preserve">” </w:t>
      </w:r>
      <w:r>
        <w:rPr>
          <w:rFonts w:ascii="Book Antiqua"/>
          <w:color w:val="000000"/>
          <w:sz w:val="22"/>
          <w:szCs w:val="22"/>
          <w:u w:color="000000"/>
          <w:rtl w:val="0"/>
          <w:lang w:val="it-IT"/>
        </w:rPr>
        <w:t xml:space="preserve">e l'altro: </w:t>
      </w:r>
      <w:r>
        <w:rPr>
          <w:rFonts w:hAnsi="Book Antiqua" w:hint="default"/>
          <w:color w:val="000000"/>
          <w:sz w:val="22"/>
          <w:szCs w:val="22"/>
          <w:u w:color="000000"/>
          <w:rtl w:val="0"/>
          <w:lang w:val="it-IT"/>
        </w:rPr>
        <w:t>“</w:t>
      </w:r>
      <w:r>
        <w:rPr>
          <w:rFonts w:ascii="Book Antiqua"/>
          <w:color w:val="000000"/>
          <w:sz w:val="22"/>
          <w:szCs w:val="22"/>
          <w:u w:color="000000"/>
          <w:rtl w:val="0"/>
          <w:lang w:val="it-IT"/>
        </w:rPr>
        <w:t>... l</w:t>
      </w:r>
      <w:r>
        <w:rPr>
          <w:rFonts w:hAnsi="Book Antiqua" w:hint="default"/>
          <w:color w:val="000000"/>
          <w:sz w:val="22"/>
          <w:szCs w:val="22"/>
          <w:u w:color="000000"/>
          <w:rtl w:val="0"/>
          <w:lang w:val="it-IT"/>
        </w:rPr>
        <w:t xml:space="preserve">ì </w:t>
      </w:r>
      <w:r>
        <w:rPr>
          <w:rFonts w:ascii="Book Antiqua"/>
          <w:color w:val="000000"/>
          <w:sz w:val="22"/>
          <w:szCs w:val="22"/>
          <w:u w:color="000000"/>
          <w:rtl w:val="0"/>
          <w:lang w:val="it-IT"/>
        </w:rPr>
        <w:t>ci stanno i piantoni di Panzironi, certo!</w:t>
      </w:r>
      <w:r>
        <w:rPr>
          <w:rFonts w:hAnsi="Book Antiqua" w:hint="default"/>
          <w:color w:val="000000"/>
          <w:sz w:val="22"/>
          <w:szCs w:val="22"/>
          <w:u w:color="000000"/>
          <w:rtl w:val="0"/>
          <w:lang w:val="it-IT"/>
        </w:rPr>
        <w:t>”</w:t>
      </w:r>
      <w:r>
        <w:rPr>
          <w:rFonts w:ascii="Book Antiqua"/>
          <w:color w:val="000000"/>
          <w:sz w:val="22"/>
          <w:szCs w:val="22"/>
          <w:u w:color="000000"/>
          <w:rtl w:val="0"/>
          <w:lang w:val="it-IT"/>
        </w:rPr>
        <w:t xml:space="preserve">; ancora, nella conversazione del 17.4.2013 (RIT 17169, progr. 2922), a seguito della nomina di Giovanni FISCON quale direttore dell'AMA, Damiano Lipani diceva al PANZIRONI: </w:t>
      </w:r>
      <w:r>
        <w:rPr>
          <w:rFonts w:hAnsi="Book Antiqua" w:hint="default"/>
          <w:color w:val="000000"/>
          <w:sz w:val="22"/>
          <w:szCs w:val="22"/>
          <w:u w:color="000000"/>
          <w:rtl w:val="0"/>
          <w:lang w:val="it-IT"/>
        </w:rPr>
        <w:t>“</w:t>
      </w:r>
      <w:r>
        <w:rPr>
          <w:rFonts w:ascii="Book Antiqua"/>
          <w:color w:val="000000"/>
          <w:sz w:val="22"/>
          <w:szCs w:val="22"/>
          <w:u w:color="000000"/>
          <w:rtl w:val="0"/>
          <w:lang w:val="it-IT"/>
        </w:rPr>
        <w:t>sei proprio un regista .... sta' cosa l</w:t>
      </w:r>
      <w:r>
        <w:rPr>
          <w:rFonts w:hAnsi="Book Antiqua" w:hint="default"/>
          <w:color w:val="000000"/>
          <w:sz w:val="22"/>
          <w:szCs w:val="22"/>
          <w:u w:color="000000"/>
          <w:rtl w:val="0"/>
          <w:lang w:val="it-IT"/>
        </w:rPr>
        <w:t>’</w:t>
      </w:r>
      <w:r>
        <w:rPr>
          <w:rFonts w:ascii="Book Antiqua"/>
          <w:color w:val="000000"/>
          <w:sz w:val="22"/>
          <w:szCs w:val="22"/>
          <w:u w:color="000000"/>
          <w:rtl w:val="0"/>
          <w:lang w:val="it-IT"/>
        </w:rPr>
        <w:t>hai fatta tutta te ......poi la gente pensa che lo fai per cazzi tuoi, non sanno che lo fai per spirito patrio ...</w:t>
      </w:r>
      <w:r>
        <w:rPr>
          <w:rFonts w:hAnsi="Book Antiqua" w:hint="default"/>
          <w:color w:val="000000"/>
          <w:sz w:val="22"/>
          <w:szCs w:val="22"/>
          <w:u w:color="000000"/>
          <w:rtl w:val="0"/>
          <w:lang w:val="it-IT"/>
        </w:rPr>
        <w:t>”</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[p. 708]</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 xml:space="preserve">La cooperativa COSMA </w:t>
      </w:r>
      <w:r>
        <w:rPr>
          <w:rFonts w:hAnsi="Book Antiqua" w:hint="default"/>
          <w:color w:val="000000"/>
          <w:sz w:val="22"/>
          <w:szCs w:val="22"/>
          <w:u w:color="000000"/>
          <w:rtl w:val="0"/>
          <w:lang w:val="it-IT"/>
        </w:rPr>
        <w:t xml:space="preserve">è </w:t>
      </w:r>
      <w:r>
        <w:rPr>
          <w:rFonts w:ascii="Book Antiqua"/>
          <w:color w:val="000000"/>
          <w:sz w:val="22"/>
          <w:szCs w:val="22"/>
          <w:u w:color="000000"/>
          <w:rtl w:val="0"/>
          <w:lang w:val="it-IT"/>
        </w:rPr>
        <w:t>emersa come un</w:t>
      </w:r>
      <w:r>
        <w:rPr>
          <w:rFonts w:hAnsi="Book Antiqua" w:hint="default"/>
          <w:color w:val="000000"/>
          <w:sz w:val="22"/>
          <w:szCs w:val="22"/>
          <w:u w:color="000000"/>
          <w:rtl w:val="0"/>
          <w:lang w:val="it-IT"/>
        </w:rPr>
        <w:t>’</w:t>
      </w:r>
      <w:r>
        <w:rPr>
          <w:rFonts w:ascii="Book Antiqua"/>
          <w:color w:val="000000"/>
          <w:sz w:val="22"/>
          <w:szCs w:val="22"/>
          <w:u w:color="000000"/>
          <w:rtl w:val="0"/>
          <w:lang w:val="it-IT"/>
        </w:rPr>
        <w:t>ulteriore societ</w:t>
      </w:r>
      <w:r>
        <w:rPr>
          <w:rFonts w:hAnsi="Book Antiqua" w:hint="default"/>
          <w:color w:val="000000"/>
          <w:sz w:val="22"/>
          <w:szCs w:val="22"/>
          <w:u w:color="000000"/>
          <w:rtl w:val="0"/>
          <w:lang w:val="it-IT"/>
        </w:rPr>
        <w:t xml:space="preserve">à </w:t>
      </w:r>
      <w:r>
        <w:rPr>
          <w:rFonts w:ascii="Book Antiqua"/>
          <w:color w:val="000000"/>
          <w:sz w:val="22"/>
          <w:szCs w:val="22"/>
          <w:u w:color="000000"/>
          <w:rtl w:val="0"/>
          <w:lang w:val="it-IT"/>
        </w:rPr>
        <w:t>utilizzata da Massimo CARMINATI per il recupero delle illecite somme a lui dovute. Fiscalmente domiciliata presso lo studio commercialista di un altro sodale, Paolo DI NINNO, che cura la contabilit</w:t>
      </w:r>
      <w:r>
        <w:rPr>
          <w:rFonts w:hAnsi="Book Antiqua" w:hint="default"/>
          <w:color w:val="000000"/>
          <w:sz w:val="22"/>
          <w:szCs w:val="22"/>
          <w:u w:color="000000"/>
          <w:rtl w:val="0"/>
          <w:lang w:val="it-IT"/>
        </w:rPr>
        <w:t xml:space="preserve">à </w:t>
      </w:r>
      <w:r>
        <w:rPr>
          <w:rFonts w:ascii="Book Antiqua"/>
          <w:color w:val="000000"/>
          <w:sz w:val="22"/>
          <w:szCs w:val="22"/>
          <w:u w:color="000000"/>
          <w:rtl w:val="0"/>
          <w:lang w:val="it-IT"/>
        </w:rPr>
        <w:t>della gran parte delle societ</w:t>
      </w:r>
      <w:r>
        <w:rPr>
          <w:rFonts w:hAnsi="Book Antiqua" w:hint="default"/>
          <w:color w:val="000000"/>
          <w:sz w:val="22"/>
          <w:szCs w:val="22"/>
          <w:u w:color="000000"/>
          <w:rtl w:val="0"/>
          <w:lang w:val="it-IT"/>
        </w:rPr>
        <w:t xml:space="preserve">à </w:t>
      </w:r>
      <w:r>
        <w:rPr>
          <w:rFonts w:ascii="Book Antiqua"/>
          <w:color w:val="000000"/>
          <w:sz w:val="22"/>
          <w:szCs w:val="22"/>
          <w:u w:color="000000"/>
          <w:rtl w:val="0"/>
          <w:lang w:val="it-IT"/>
        </w:rPr>
        <w:t>riconducibili a BUZZI</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w:t>
      </w:r>
      <w:r>
        <w:rPr>
          <w:rFonts w:hAnsi="Book Antiqua" w:hint="default"/>
          <w:color w:val="000000"/>
          <w:sz w:val="22"/>
          <w:szCs w:val="22"/>
          <w:u w:color="000000"/>
          <w:rtl w:val="0"/>
          <w:lang w:val="it-IT"/>
        </w:rPr>
        <w:t>…</w:t>
      </w:r>
      <w:r>
        <w:rPr>
          <w:rFonts w:ascii="Book Antiqua"/>
          <w:color w:val="000000"/>
          <w:sz w:val="22"/>
          <w:szCs w:val="22"/>
          <w:u w:color="000000"/>
          <w:rtl w:val="0"/>
          <w:lang w:val="it-IT"/>
        </w:rPr>
        <w:t>]</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sede a Roma in via Togliatti n. 1639, costituita il 06.06.2008, attivit</w:t>
      </w:r>
      <w:r>
        <w:rPr>
          <w:rFonts w:hAnsi="Book Antiqua" w:hint="default"/>
          <w:color w:val="000000"/>
          <w:sz w:val="22"/>
          <w:szCs w:val="22"/>
          <w:u w:color="000000"/>
          <w:rtl w:val="0"/>
          <w:lang w:val="it-IT"/>
        </w:rPr>
        <w:t>à “</w:t>
      </w:r>
      <w:r>
        <w:rPr>
          <w:rFonts w:ascii="Book Antiqua"/>
          <w:color w:val="000000"/>
          <w:sz w:val="22"/>
          <w:szCs w:val="22"/>
          <w:u w:color="000000"/>
          <w:rtl w:val="0"/>
          <w:lang w:val="it-IT"/>
        </w:rPr>
        <w:t>manutenzione aree verdi</w:t>
      </w:r>
      <w:r>
        <w:rPr>
          <w:rFonts w:hAnsi="Book Antiqua" w:hint="default"/>
          <w:color w:val="000000"/>
          <w:sz w:val="22"/>
          <w:szCs w:val="22"/>
          <w:u w:color="000000"/>
          <w:rtl w:val="0"/>
          <w:lang w:val="it-IT"/>
        </w:rPr>
        <w:t>”</w:t>
      </w:r>
      <w:r>
        <w:rPr>
          <w:rFonts w:ascii="Book Antiqua"/>
          <w:color w:val="000000"/>
          <w:sz w:val="22"/>
          <w:szCs w:val="22"/>
          <w:u w:color="000000"/>
          <w:rtl w:val="0"/>
          <w:lang w:val="it-IT"/>
        </w:rPr>
        <w:t xml:space="preserve">, data inizio 10.06.2013, Amministratore Unico </w:t>
      </w:r>
      <w:r>
        <w:rPr>
          <w:rFonts w:hAnsi="Book Antiqua" w:hint="default"/>
          <w:color w:val="000000"/>
          <w:sz w:val="22"/>
          <w:szCs w:val="22"/>
          <w:u w:color="000000"/>
          <w:rtl w:val="0"/>
          <w:lang w:val="it-IT"/>
        </w:rPr>
        <w:t xml:space="preserve">è </w:t>
      </w:r>
      <w:r>
        <w:rPr>
          <w:rFonts w:ascii="Book Antiqua"/>
          <w:color w:val="000000"/>
          <w:sz w:val="22"/>
          <w:szCs w:val="22"/>
          <w:u w:color="000000"/>
          <w:rtl w:val="0"/>
          <w:lang w:val="it-IT"/>
        </w:rPr>
        <w:t xml:space="preserve">Antonio ESPOSITO, nato a Roma il 01.02.1965, domiciliato in via degli Scipioni n. 235, nominato il 30.06.2012. </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La societ</w:t>
      </w:r>
      <w:r>
        <w:rPr>
          <w:rFonts w:hAnsi="Book Antiqua" w:hint="default"/>
          <w:color w:val="000000"/>
          <w:sz w:val="22"/>
          <w:szCs w:val="22"/>
          <w:u w:color="000000"/>
          <w:rtl w:val="0"/>
          <w:lang w:val="it-IT"/>
        </w:rPr>
        <w:t xml:space="preserve">à </w:t>
      </w:r>
      <w:r>
        <w:rPr>
          <w:rFonts w:ascii="Book Antiqua"/>
          <w:color w:val="000000"/>
          <w:sz w:val="22"/>
          <w:szCs w:val="22"/>
          <w:u w:color="000000"/>
          <w:rtl w:val="0"/>
          <w:lang w:val="it-IT"/>
        </w:rPr>
        <w:t>detiene il 40 per cento della 29 Energy Green S.r.l..</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p>
    <w:p>
      <w:pPr>
        <w:pStyle w:val="Normal"/>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 xml:space="preserve">[pp. 624 </w:t>
      </w:r>
      <w:r>
        <w:rPr>
          <w:rFonts w:hAnsi="Book Antiqua" w:hint="default"/>
          <w:color w:val="000000"/>
          <w:u w:color="000000"/>
          <w:rtl w:val="0"/>
          <w:lang w:val="it-IT"/>
        </w:rPr>
        <w:t xml:space="preserve">– </w:t>
      </w:r>
      <w:r>
        <w:rPr>
          <w:rFonts w:ascii="Book Antiqua"/>
          <w:color w:val="000000"/>
          <w:u w:color="000000"/>
          <w:rtl w:val="0"/>
          <w:lang w:val="it-IT"/>
        </w:rPr>
        <w:t>686; p. 872]</w:t>
      </w:r>
    </w:p>
    <w:p>
      <w:pPr>
        <w:pStyle w:val="Normal"/>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[Le corruzioni e le turbative d</w:t>
      </w:r>
      <w:r>
        <w:rPr>
          <w:rFonts w:hAnsi="Book Antiqua" w:hint="default"/>
          <w:color w:val="000000"/>
          <w:u w:color="000000"/>
          <w:rtl w:val="0"/>
          <w:lang w:val="it-IT"/>
        </w:rPr>
        <w:t>’</w:t>
      </w:r>
      <w:r>
        <w:rPr>
          <w:rFonts w:ascii="Book Antiqua"/>
          <w:color w:val="000000"/>
          <w:u w:color="000000"/>
          <w:rtl w:val="0"/>
          <w:lang w:val="it-IT"/>
        </w:rPr>
        <w:t xml:space="preserve">asta avvenute in ambito AMA; </w:t>
      </w:r>
    </w:p>
    <w:p>
      <w:pPr>
        <w:pStyle w:val="Normal"/>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Amministrazione dal 2008 al 2013]</w:t>
      </w:r>
    </w:p>
    <w:p>
      <w:pPr>
        <w:pStyle w:val="Normal"/>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Come rilevato, il gruppo criminale la cui attivit</w:t>
      </w:r>
      <w:r>
        <w:rPr>
          <w:rFonts w:hAnsi="Book Antiqua" w:hint="default"/>
          <w:color w:val="000000"/>
          <w:sz w:val="22"/>
          <w:szCs w:val="22"/>
          <w:u w:color="000000"/>
          <w:rtl w:val="0"/>
          <w:lang w:val="it-IT"/>
        </w:rPr>
        <w:t xml:space="preserve">à è </w:t>
      </w:r>
      <w:r>
        <w:rPr>
          <w:rFonts w:ascii="Book Antiqua"/>
          <w:color w:val="000000"/>
          <w:sz w:val="22"/>
          <w:szCs w:val="22"/>
          <w:u w:color="000000"/>
          <w:rtl w:val="0"/>
          <w:lang w:val="it-IT"/>
        </w:rPr>
        <w:t>stata oggetto d</w:t>
      </w:r>
      <w:r>
        <w:rPr>
          <w:rFonts w:hAnsi="Book Antiqua" w:hint="default"/>
          <w:color w:val="000000"/>
          <w:sz w:val="22"/>
          <w:szCs w:val="22"/>
          <w:u w:color="000000"/>
          <w:rtl w:val="0"/>
          <w:lang w:val="it-IT"/>
        </w:rPr>
        <w:t>’</w:t>
      </w:r>
      <w:r>
        <w:rPr>
          <w:rFonts w:ascii="Book Antiqua"/>
          <w:color w:val="000000"/>
          <w:sz w:val="22"/>
          <w:szCs w:val="22"/>
          <w:u w:color="000000"/>
          <w:rtl w:val="0"/>
          <w:lang w:val="it-IT"/>
        </w:rPr>
        <w:t xml:space="preserve">indagine, essenzialmente attraverso intercettazioni telefoniche, pedinamenti ed acquisizioni di atti che non imponessero una discovery, articolava la sua azione illecita verso diversi plessi della pubblica amministrazione. Tra essi, si </w:t>
      </w:r>
      <w:r>
        <w:rPr>
          <w:rFonts w:hAnsi="Book Antiqua" w:hint="default"/>
          <w:color w:val="000000"/>
          <w:sz w:val="22"/>
          <w:szCs w:val="22"/>
          <w:u w:color="000000"/>
          <w:rtl w:val="0"/>
          <w:lang w:val="it-IT"/>
        </w:rPr>
        <w:t xml:space="preserve">è </w:t>
      </w:r>
      <w:r>
        <w:rPr>
          <w:rFonts w:ascii="Book Antiqua"/>
          <w:color w:val="000000"/>
          <w:sz w:val="22"/>
          <w:szCs w:val="22"/>
          <w:u w:color="000000"/>
          <w:rtl w:val="0"/>
          <w:lang w:val="it-IT"/>
        </w:rPr>
        <w:t>osservata una diffusa attivit</w:t>
      </w:r>
      <w:r>
        <w:rPr>
          <w:rFonts w:hAnsi="Book Antiqua" w:hint="default"/>
          <w:color w:val="000000"/>
          <w:sz w:val="22"/>
          <w:szCs w:val="22"/>
          <w:u w:color="000000"/>
          <w:rtl w:val="0"/>
          <w:lang w:val="it-IT"/>
        </w:rPr>
        <w:t xml:space="preserve">à </w:t>
      </w:r>
      <w:r>
        <w:rPr>
          <w:rFonts w:ascii="Book Antiqua"/>
          <w:color w:val="000000"/>
          <w:sz w:val="22"/>
          <w:szCs w:val="22"/>
          <w:u w:color="000000"/>
          <w:rtl w:val="0"/>
          <w:lang w:val="it-IT"/>
        </w:rPr>
        <w:t>corruttiva intervenuta in AMA S.p.A., societ</w:t>
      </w:r>
      <w:r>
        <w:rPr>
          <w:rFonts w:hAnsi="Book Antiqua" w:hint="default"/>
          <w:color w:val="000000"/>
          <w:sz w:val="22"/>
          <w:szCs w:val="22"/>
          <w:u w:color="000000"/>
          <w:rtl w:val="0"/>
          <w:lang w:val="it-IT"/>
        </w:rPr>
        <w:t xml:space="preserve">à </w:t>
      </w:r>
      <w:r>
        <w:rPr>
          <w:rFonts w:ascii="Book Antiqua"/>
          <w:color w:val="000000"/>
          <w:sz w:val="22"/>
          <w:szCs w:val="22"/>
          <w:u w:color="000000"/>
          <w:rtl w:val="0"/>
          <w:lang w:val="it-IT"/>
        </w:rPr>
        <w:t>controllata dal comune di Roma.</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 xml:space="preserve">Preliminare a un esame del merito dei singoli fatti </w:t>
      </w:r>
      <w:r>
        <w:rPr>
          <w:rFonts w:hAnsi="Book Antiqua" w:hint="default"/>
          <w:color w:val="000000"/>
          <w:sz w:val="22"/>
          <w:szCs w:val="22"/>
          <w:u w:color="000000"/>
          <w:rtl w:val="0"/>
          <w:lang w:val="it-IT"/>
        </w:rPr>
        <w:t xml:space="preserve">è </w:t>
      </w:r>
      <w:r>
        <w:rPr>
          <w:rFonts w:ascii="Book Antiqua"/>
          <w:color w:val="000000"/>
          <w:sz w:val="22"/>
          <w:szCs w:val="22"/>
          <w:u w:color="000000"/>
          <w:rtl w:val="0"/>
          <w:lang w:val="it-IT"/>
        </w:rPr>
        <w:t>l</w:t>
      </w:r>
      <w:r>
        <w:rPr>
          <w:rFonts w:hAnsi="Book Antiqua" w:hint="default"/>
          <w:color w:val="000000"/>
          <w:sz w:val="22"/>
          <w:szCs w:val="22"/>
          <w:u w:color="000000"/>
          <w:rtl w:val="0"/>
          <w:lang w:val="it-IT"/>
        </w:rPr>
        <w:t>’</w:t>
      </w:r>
      <w:r>
        <w:rPr>
          <w:rFonts w:ascii="Book Antiqua"/>
          <w:color w:val="000000"/>
          <w:sz w:val="22"/>
          <w:szCs w:val="22"/>
          <w:u w:color="000000"/>
          <w:rtl w:val="0"/>
          <w:lang w:val="it-IT"/>
        </w:rPr>
        <w:t>individuazione della natura giuridica dell</w:t>
      </w:r>
      <w:r>
        <w:rPr>
          <w:rFonts w:hAnsi="Book Antiqua" w:hint="default"/>
          <w:color w:val="000000"/>
          <w:sz w:val="22"/>
          <w:szCs w:val="22"/>
          <w:u w:color="000000"/>
          <w:rtl w:val="0"/>
          <w:lang w:val="it-IT"/>
        </w:rPr>
        <w:t>’</w:t>
      </w:r>
      <w:r>
        <w:rPr>
          <w:rFonts w:ascii="Book Antiqua"/>
          <w:color w:val="000000"/>
          <w:sz w:val="22"/>
          <w:szCs w:val="22"/>
          <w:u w:color="000000"/>
          <w:rtl w:val="0"/>
          <w:lang w:val="it-IT"/>
        </w:rPr>
        <w:t>attivit</w:t>
      </w:r>
      <w:r>
        <w:rPr>
          <w:rFonts w:hAnsi="Book Antiqua" w:hint="default"/>
          <w:color w:val="000000"/>
          <w:sz w:val="22"/>
          <w:szCs w:val="22"/>
          <w:u w:color="000000"/>
          <w:rtl w:val="0"/>
          <w:lang w:val="it-IT"/>
        </w:rPr>
        <w:t xml:space="preserve">à </w:t>
      </w:r>
      <w:r>
        <w:rPr>
          <w:rFonts w:ascii="Book Antiqua"/>
          <w:color w:val="000000"/>
          <w:sz w:val="22"/>
          <w:szCs w:val="22"/>
          <w:u w:color="000000"/>
          <w:rtl w:val="0"/>
          <w:lang w:val="it-IT"/>
        </w:rPr>
        <w:t>posta in essere da AMA, onde verificare la sussistenza delle qualifiche soggettive che consentono la contestazione di reati propri, l</w:t>
      </w:r>
      <w:r>
        <w:rPr>
          <w:rFonts w:hAnsi="Book Antiqua" w:hint="default"/>
          <w:color w:val="000000"/>
          <w:sz w:val="22"/>
          <w:szCs w:val="22"/>
          <w:u w:color="000000"/>
          <w:rtl w:val="0"/>
          <w:lang w:val="it-IT"/>
        </w:rPr>
        <w:t>’</w:t>
      </w:r>
      <w:r>
        <w:rPr>
          <w:rFonts w:ascii="Book Antiqua"/>
          <w:color w:val="000000"/>
          <w:sz w:val="22"/>
          <w:szCs w:val="22"/>
          <w:u w:color="000000"/>
          <w:rtl w:val="0"/>
          <w:lang w:val="it-IT"/>
        </w:rPr>
        <w:t>enucleazione della morfologia del tipo di corruzioni ipotizzate, onde consentire la verifica della correttezza della riconduzione della fattispecie concreta al tipo normativo.</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w:t>
      </w:r>
      <w:r>
        <w:rPr>
          <w:rFonts w:hAnsi="Book Antiqua" w:hint="default"/>
          <w:color w:val="000000"/>
          <w:sz w:val="22"/>
          <w:szCs w:val="22"/>
          <w:u w:color="000000"/>
          <w:rtl w:val="0"/>
          <w:lang w:val="it-IT"/>
        </w:rPr>
        <w:t>…</w:t>
      </w:r>
      <w:r>
        <w:rPr>
          <w:rFonts w:ascii="Book Antiqua"/>
          <w:color w:val="000000"/>
          <w:sz w:val="22"/>
          <w:szCs w:val="22"/>
          <w:u w:color="000000"/>
          <w:rtl w:val="0"/>
          <w:lang w:val="it-IT"/>
        </w:rPr>
        <w:t>]</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Ai fini che qui rilevano, non par dubitabile che AMA S.p.A sia, anzitutto, una societ</w:t>
      </w:r>
      <w:r>
        <w:rPr>
          <w:rFonts w:hAnsi="Book Antiqua" w:hint="default"/>
          <w:color w:val="000000"/>
          <w:sz w:val="22"/>
          <w:szCs w:val="22"/>
          <w:u w:color="000000"/>
          <w:rtl w:val="0"/>
          <w:lang w:val="it-IT"/>
        </w:rPr>
        <w:t xml:space="preserve">à </w:t>
      </w:r>
      <w:r>
        <w:rPr>
          <w:rFonts w:ascii="Book Antiqua"/>
          <w:color w:val="000000"/>
          <w:sz w:val="22"/>
          <w:szCs w:val="22"/>
          <w:u w:color="000000"/>
          <w:rtl w:val="0"/>
          <w:lang w:val="it-IT"/>
        </w:rPr>
        <w:t>incaricata di pubblico servizio, s</w:t>
      </w:r>
      <w:r>
        <w:rPr>
          <w:rFonts w:hAnsi="Book Antiqua" w:hint="default"/>
          <w:color w:val="000000"/>
          <w:sz w:val="22"/>
          <w:szCs w:val="22"/>
          <w:u w:color="000000"/>
          <w:rtl w:val="0"/>
          <w:lang w:val="it-IT"/>
        </w:rPr>
        <w:t xml:space="preserve">ì </w:t>
      </w:r>
      <w:r>
        <w:rPr>
          <w:rFonts w:ascii="Book Antiqua"/>
          <w:color w:val="000000"/>
          <w:sz w:val="22"/>
          <w:szCs w:val="22"/>
          <w:u w:color="000000"/>
          <w:rtl w:val="0"/>
          <w:lang w:val="it-IT"/>
        </w:rPr>
        <w:t>che i suoi appartenenti, tanto pi</w:t>
      </w:r>
      <w:r>
        <w:rPr>
          <w:rFonts w:hAnsi="Book Antiqua" w:hint="default"/>
          <w:color w:val="000000"/>
          <w:sz w:val="22"/>
          <w:szCs w:val="22"/>
          <w:u w:color="000000"/>
          <w:rtl w:val="0"/>
          <w:lang w:val="it-IT"/>
        </w:rPr>
        <w:t xml:space="preserve">ù </w:t>
      </w:r>
      <w:r>
        <w:rPr>
          <w:rFonts w:ascii="Book Antiqua"/>
          <w:color w:val="000000"/>
          <w:sz w:val="22"/>
          <w:szCs w:val="22"/>
          <w:u w:color="000000"/>
          <w:rtl w:val="0"/>
          <w:lang w:val="it-IT"/>
        </w:rPr>
        <w:t>se esprimono qualifiche apicali, ne ripetono tale qualit</w:t>
      </w:r>
      <w:r>
        <w:rPr>
          <w:rFonts w:hAnsi="Book Antiqua" w:hint="default"/>
          <w:color w:val="000000"/>
          <w:sz w:val="22"/>
          <w:szCs w:val="22"/>
          <w:u w:color="000000"/>
          <w:rtl w:val="0"/>
          <w:lang w:val="it-IT"/>
        </w:rPr>
        <w:t>à</w:t>
      </w:r>
      <w:r>
        <w:rPr>
          <w:rFonts w:ascii="Book Antiqua"/>
          <w:color w:val="000000"/>
          <w:sz w:val="22"/>
          <w:szCs w:val="22"/>
          <w:u w:color="000000"/>
          <w:rtl w:val="0"/>
          <w:lang w:val="it-IT"/>
        </w:rPr>
        <w:t>. Depongono in tal senso le finalit</w:t>
      </w:r>
      <w:r>
        <w:rPr>
          <w:rFonts w:hAnsi="Book Antiqua" w:hint="default"/>
          <w:color w:val="000000"/>
          <w:sz w:val="22"/>
          <w:szCs w:val="22"/>
          <w:u w:color="000000"/>
          <w:rtl w:val="0"/>
          <w:lang w:val="it-IT"/>
        </w:rPr>
        <w:t xml:space="preserve">à </w:t>
      </w:r>
      <w:r>
        <w:rPr>
          <w:rFonts w:ascii="Book Antiqua"/>
          <w:color w:val="000000"/>
          <w:sz w:val="22"/>
          <w:szCs w:val="22"/>
          <w:u w:color="000000"/>
          <w:rtl w:val="0"/>
          <w:lang w:val="it-IT"/>
        </w:rPr>
        <w:t>perseguite dalla societ</w:t>
      </w:r>
      <w:r>
        <w:rPr>
          <w:rFonts w:hAnsi="Book Antiqua" w:hint="default"/>
          <w:color w:val="000000"/>
          <w:sz w:val="22"/>
          <w:szCs w:val="22"/>
          <w:u w:color="000000"/>
          <w:rtl w:val="0"/>
          <w:lang w:val="it-IT"/>
        </w:rPr>
        <w:t>à</w:t>
      </w:r>
      <w:r>
        <w:rPr>
          <w:rFonts w:ascii="Book Antiqua"/>
          <w:color w:val="000000"/>
          <w:sz w:val="22"/>
          <w:szCs w:val="22"/>
          <w:u w:color="000000"/>
          <w:rtl w:val="0"/>
          <w:lang w:val="it-IT"/>
        </w:rPr>
        <w:t>, la titolarit</w:t>
      </w:r>
      <w:r>
        <w:rPr>
          <w:rFonts w:hAnsi="Book Antiqua" w:hint="default"/>
          <w:color w:val="000000"/>
          <w:sz w:val="22"/>
          <w:szCs w:val="22"/>
          <w:u w:color="000000"/>
          <w:rtl w:val="0"/>
          <w:lang w:val="it-IT"/>
        </w:rPr>
        <w:t xml:space="preserve">à </w:t>
      </w:r>
      <w:r>
        <w:rPr>
          <w:rFonts w:ascii="Book Antiqua"/>
          <w:color w:val="000000"/>
          <w:sz w:val="22"/>
          <w:szCs w:val="22"/>
          <w:u w:color="000000"/>
          <w:rtl w:val="0"/>
          <w:lang w:val="it-IT"/>
        </w:rPr>
        <w:t>delle relative quote da parte del comune, la nomina dei componenti da parte dell</w:t>
      </w:r>
      <w:r>
        <w:rPr>
          <w:rFonts w:hAnsi="Book Antiqua" w:hint="default"/>
          <w:color w:val="000000"/>
          <w:sz w:val="22"/>
          <w:szCs w:val="22"/>
          <w:u w:color="000000"/>
          <w:rtl w:val="0"/>
          <w:lang w:val="it-IT"/>
        </w:rPr>
        <w:t>’</w:t>
      </w:r>
      <w:r>
        <w:rPr>
          <w:rFonts w:ascii="Book Antiqua"/>
          <w:color w:val="000000"/>
          <w:sz w:val="22"/>
          <w:szCs w:val="22"/>
          <w:u w:color="000000"/>
          <w:rtl w:val="0"/>
          <w:lang w:val="it-IT"/>
        </w:rPr>
        <w:t>amministrazione comunale, la modifica della governance aziendale intervenuta attraverso provvedimenti sindacali, il controllo o la partecipazione di societ</w:t>
      </w:r>
      <w:r>
        <w:rPr>
          <w:rFonts w:hAnsi="Book Antiqua" w:hint="default"/>
          <w:color w:val="000000"/>
          <w:sz w:val="22"/>
          <w:szCs w:val="22"/>
          <w:u w:color="000000"/>
          <w:rtl w:val="0"/>
          <w:lang w:val="it-IT"/>
        </w:rPr>
        <w:t>à</w:t>
      </w:r>
      <w:r>
        <w:rPr>
          <w:rFonts w:ascii="Book Antiqua"/>
          <w:color w:val="000000"/>
          <w:sz w:val="22"/>
          <w:szCs w:val="22"/>
          <w:u w:color="000000"/>
          <w:rtl w:val="0"/>
          <w:lang w:val="it-IT"/>
        </w:rPr>
        <w:t>, unitamente ad altre societ</w:t>
      </w:r>
      <w:r>
        <w:rPr>
          <w:rFonts w:hAnsi="Book Antiqua" w:hint="default"/>
          <w:color w:val="000000"/>
          <w:sz w:val="22"/>
          <w:szCs w:val="22"/>
          <w:u w:color="000000"/>
          <w:rtl w:val="0"/>
          <w:lang w:val="it-IT"/>
        </w:rPr>
        <w:t xml:space="preserve">à </w:t>
      </w:r>
      <w:r>
        <w:rPr>
          <w:rFonts w:ascii="Book Antiqua"/>
          <w:color w:val="000000"/>
          <w:sz w:val="22"/>
          <w:szCs w:val="22"/>
          <w:u w:color="000000"/>
          <w:rtl w:val="0"/>
          <w:lang w:val="it-IT"/>
        </w:rPr>
        <w:t>incaricate di pubblico servizio, tutte connotate, in misura pi</w:t>
      </w:r>
      <w:r>
        <w:rPr>
          <w:rFonts w:hAnsi="Book Antiqua" w:hint="default"/>
          <w:color w:val="000000"/>
          <w:sz w:val="22"/>
          <w:szCs w:val="22"/>
          <w:u w:color="000000"/>
          <w:rtl w:val="0"/>
          <w:lang w:val="it-IT"/>
        </w:rPr>
        <w:t xml:space="preserve">ù </w:t>
      </w:r>
      <w:r>
        <w:rPr>
          <w:rFonts w:ascii="Book Antiqua"/>
          <w:color w:val="000000"/>
          <w:sz w:val="22"/>
          <w:szCs w:val="22"/>
          <w:u w:color="000000"/>
          <w:rtl w:val="0"/>
          <w:lang w:val="it-IT"/>
        </w:rPr>
        <w:t>o meno marcata, dal perseguimento di interessi pubblici.</w:t>
      </w:r>
    </w:p>
    <w:p>
      <w:pPr>
        <w:pStyle w:val="Normal"/>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w:t>
      </w:r>
      <w:r>
        <w:rPr>
          <w:rFonts w:hAnsi="Book Antiqua" w:hint="default"/>
          <w:color w:val="000000"/>
          <w:sz w:val="22"/>
          <w:szCs w:val="22"/>
          <w:u w:color="000000"/>
          <w:rtl w:val="0"/>
          <w:lang w:val="it-IT"/>
        </w:rPr>
        <w:t>…</w:t>
      </w:r>
      <w:r>
        <w:rPr>
          <w:rFonts w:ascii="Book Antiqua"/>
          <w:color w:val="000000"/>
          <w:sz w:val="22"/>
          <w:szCs w:val="22"/>
          <w:u w:color="000000"/>
          <w:rtl w:val="0"/>
          <w:lang w:val="it-IT"/>
        </w:rPr>
        <w:t>]</w:t>
      </w:r>
    </w:p>
    <w:p>
      <w:pPr>
        <w:pStyle w:val="Normal"/>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La societ</w:t>
      </w:r>
      <w:r>
        <w:rPr>
          <w:rFonts w:hAnsi="Book Antiqua" w:hint="default"/>
          <w:color w:val="000000"/>
          <w:sz w:val="22"/>
          <w:szCs w:val="22"/>
          <w:u w:color="000000"/>
          <w:rtl w:val="0"/>
          <w:lang w:val="it-IT"/>
        </w:rPr>
        <w:t xml:space="preserve">à </w:t>
      </w:r>
      <w:r>
        <w:rPr>
          <w:rFonts w:ascii="Book Antiqua"/>
          <w:color w:val="000000"/>
          <w:sz w:val="22"/>
          <w:szCs w:val="22"/>
          <w:u w:color="000000"/>
          <w:rtl w:val="0"/>
          <w:lang w:val="it-IT"/>
        </w:rPr>
        <w:t>esercita l</w:t>
      </w:r>
      <w:r>
        <w:rPr>
          <w:rFonts w:hAnsi="Book Antiqua" w:hint="default"/>
          <w:color w:val="000000"/>
          <w:sz w:val="22"/>
          <w:szCs w:val="22"/>
          <w:u w:color="000000"/>
          <w:rtl w:val="0"/>
          <w:lang w:val="it-IT"/>
        </w:rPr>
        <w:t>’</w:t>
      </w:r>
      <w:r>
        <w:rPr>
          <w:rFonts w:ascii="Book Antiqua"/>
          <w:color w:val="000000"/>
          <w:sz w:val="22"/>
          <w:szCs w:val="22"/>
          <w:u w:color="000000"/>
          <w:rtl w:val="0"/>
          <w:lang w:val="it-IT"/>
        </w:rPr>
        <w:t>attivit</w:t>
      </w:r>
      <w:r>
        <w:rPr>
          <w:rFonts w:hAnsi="Book Antiqua" w:hint="default"/>
          <w:color w:val="000000"/>
          <w:sz w:val="22"/>
          <w:szCs w:val="22"/>
          <w:u w:color="000000"/>
          <w:rtl w:val="0"/>
          <w:lang w:val="it-IT"/>
        </w:rPr>
        <w:t xml:space="preserve">à </w:t>
      </w:r>
      <w:r>
        <w:rPr>
          <w:rFonts w:ascii="Book Antiqua"/>
          <w:color w:val="000000"/>
          <w:sz w:val="22"/>
          <w:szCs w:val="22"/>
          <w:u w:color="000000"/>
          <w:rtl w:val="0"/>
          <w:lang w:val="it-IT"/>
        </w:rPr>
        <w:t xml:space="preserve">di: </w:t>
      </w:r>
      <w:r>
        <w:rPr>
          <w:rFonts w:hAnsi="Book Antiqua" w:hint="default"/>
          <w:color w:val="000000"/>
          <w:sz w:val="22"/>
          <w:szCs w:val="22"/>
          <w:u w:color="000000"/>
          <w:rtl w:val="0"/>
          <w:lang w:val="it-IT"/>
        </w:rPr>
        <w:t>“</w:t>
      </w:r>
      <w:r>
        <w:rPr>
          <w:rFonts w:ascii="Book Antiqua"/>
          <w:color w:val="000000"/>
          <w:sz w:val="22"/>
          <w:szCs w:val="22"/>
          <w:u w:color="000000"/>
          <w:rtl w:val="0"/>
          <w:lang w:val="it-IT"/>
        </w:rPr>
        <w:t>Raccolta e smaltimento dei rifiuti solidi. Autotrasporto merci conto terzi. Servizi funebri e cimiteriali. Raccolta e smaltimento dei rifiuti solidi. Lavaggio e disinfezione (o sanificazione) cassonetti, raccolta e trasporto rifiuti speciali - raccolta e trasporto rifiuti urbani pericolosi. Dal 9/8/2004: sistemazione di parchi, giardini ed aiuole. Legge 122 lettere a,b,c,d.</w:t>
      </w:r>
      <w:r>
        <w:rPr>
          <w:rFonts w:hAnsi="Book Antiqua" w:hint="default"/>
          <w:color w:val="000000"/>
          <w:sz w:val="22"/>
          <w:szCs w:val="22"/>
          <w:u w:color="000000"/>
          <w:rtl w:val="0"/>
          <w:lang w:val="it-IT"/>
        </w:rPr>
        <w:t>”</w:t>
      </w:r>
      <w:r>
        <w:rPr>
          <w:rFonts w:ascii="Book Antiqua"/>
          <w:color w:val="000000"/>
          <w:sz w:val="22"/>
          <w:szCs w:val="22"/>
          <w:u w:color="000000"/>
          <w:rtl w:val="0"/>
          <w:lang w:val="it-IT"/>
        </w:rPr>
        <w:t xml:space="preserve">. Il capitale sociale deliberato ed interamente versato di euro 182.436.916,00, </w:t>
      </w:r>
      <w:r>
        <w:rPr>
          <w:rFonts w:hAnsi="Book Antiqua" w:hint="default"/>
          <w:color w:val="000000"/>
          <w:sz w:val="22"/>
          <w:szCs w:val="22"/>
          <w:u w:color="000000"/>
          <w:rtl w:val="0"/>
          <w:lang w:val="it-IT"/>
        </w:rPr>
        <w:t xml:space="preserve">è </w:t>
      </w:r>
      <w:r>
        <w:rPr>
          <w:rFonts w:ascii="Book Antiqua"/>
          <w:color w:val="000000"/>
          <w:sz w:val="22"/>
          <w:szCs w:val="22"/>
          <w:u w:color="000000"/>
          <w:rtl w:val="0"/>
          <w:lang w:val="it-IT"/>
        </w:rPr>
        <w:t xml:space="preserve">suddiviso in 182.436.916 azioni ordinarie del valore di euro 1,00 cadauno, interamente possedute, da Roma Capitale (partita i.v.a. 02438750586), che effettua anche </w:t>
      </w:r>
      <w:r>
        <w:rPr>
          <w:rFonts w:hAnsi="Book Antiqua" w:hint="default"/>
          <w:color w:val="000000"/>
          <w:sz w:val="22"/>
          <w:szCs w:val="22"/>
          <w:u w:color="000000"/>
          <w:rtl w:val="0"/>
          <w:lang w:val="it-IT"/>
        </w:rPr>
        <w:t>“</w:t>
      </w:r>
      <w:r>
        <w:rPr>
          <w:rFonts w:ascii="Book Antiqua"/>
          <w:color w:val="000000"/>
          <w:sz w:val="22"/>
          <w:szCs w:val="22"/>
          <w:u w:color="000000"/>
          <w:rtl w:val="0"/>
          <w:lang w:val="it-IT"/>
        </w:rPr>
        <w:t>attivit</w:t>
      </w:r>
      <w:r>
        <w:rPr>
          <w:rFonts w:hAnsi="Book Antiqua" w:hint="default"/>
          <w:color w:val="000000"/>
          <w:sz w:val="22"/>
          <w:szCs w:val="22"/>
          <w:u w:color="000000"/>
          <w:rtl w:val="0"/>
          <w:lang w:val="it-IT"/>
        </w:rPr>
        <w:t xml:space="preserve">à </w:t>
      </w:r>
      <w:r>
        <w:rPr>
          <w:rFonts w:ascii="Book Antiqua"/>
          <w:color w:val="000000"/>
          <w:sz w:val="22"/>
          <w:szCs w:val="22"/>
          <w:u w:color="000000"/>
          <w:rtl w:val="0"/>
          <w:lang w:val="it-IT"/>
        </w:rPr>
        <w:t>di direzione e coordinamento della societ</w:t>
      </w:r>
      <w:r>
        <w:rPr>
          <w:rFonts w:hAnsi="Book Antiqua" w:hint="default"/>
          <w:color w:val="000000"/>
          <w:sz w:val="22"/>
          <w:szCs w:val="22"/>
          <w:u w:color="000000"/>
          <w:rtl w:val="0"/>
          <w:lang w:val="it-IT"/>
        </w:rPr>
        <w:t>à”</w:t>
      </w:r>
      <w:r>
        <w:rPr>
          <w:rFonts w:ascii="Book Antiqua"/>
          <w:color w:val="000000"/>
          <w:sz w:val="22"/>
          <w:szCs w:val="22"/>
          <w:u w:color="000000"/>
          <w:rtl w:val="0"/>
          <w:lang w:val="it-IT"/>
        </w:rPr>
        <w:t>.</w:t>
      </w:r>
    </w:p>
    <w:p>
      <w:pPr>
        <w:pStyle w:val="Normal"/>
        <w:ind w:left="567" w:right="567" w:firstLine="0"/>
        <w:rPr>
          <w:rFonts w:ascii="Book Antiqua" w:cs="Book Antiqua" w:hAnsi="Book Antiqua" w:eastAsia="Book Antiqua"/>
          <w:color w:val="000000"/>
          <w:sz w:val="22"/>
          <w:szCs w:val="22"/>
          <w:u w:color="000000"/>
        </w:rPr>
      </w:pPr>
    </w:p>
    <w:p>
      <w:pPr>
        <w:pStyle w:val="Normal"/>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[l</w:t>
      </w:r>
      <w:r>
        <w:rPr>
          <w:rFonts w:hAnsi="Book Antiqua" w:hint="default"/>
          <w:color w:val="000000"/>
          <w:u w:color="000000"/>
          <w:rtl w:val="0"/>
          <w:lang w:val="it-IT"/>
        </w:rPr>
        <w:t>’</w:t>
      </w:r>
      <w:r>
        <w:rPr>
          <w:rFonts w:ascii="Book Antiqua"/>
          <w:color w:val="000000"/>
          <w:u w:color="000000"/>
          <w:rtl w:val="0"/>
          <w:lang w:val="it-IT"/>
        </w:rPr>
        <w:t>ordinanza delinea ampiamente il ruolo di Franco Panzironi in AMA e il contesto corruttivo dell</w:t>
      </w:r>
      <w:r>
        <w:rPr>
          <w:rFonts w:hAnsi="Book Antiqua" w:hint="default"/>
          <w:color w:val="000000"/>
          <w:u w:color="000000"/>
          <w:rtl w:val="0"/>
          <w:lang w:val="it-IT"/>
        </w:rPr>
        <w:t>’</w:t>
      </w:r>
      <w:r>
        <w:rPr>
          <w:rFonts w:ascii="Book Antiqua"/>
          <w:color w:val="000000"/>
          <w:u w:color="000000"/>
          <w:rtl w:val="0"/>
          <w:lang w:val="it-IT"/>
        </w:rPr>
        <w:t>azione di Buzzi; alla nota 1431 si fa riferimento a una gara di AMA per il trasporto di rifiuti all</w:t>
      </w:r>
      <w:r>
        <w:rPr>
          <w:rFonts w:hAnsi="Book Antiqua" w:hint="default"/>
          <w:color w:val="000000"/>
          <w:u w:color="000000"/>
          <w:rtl w:val="0"/>
          <w:lang w:val="it-IT"/>
        </w:rPr>
        <w:t>’</w:t>
      </w:r>
      <w:r>
        <w:rPr>
          <w:rFonts w:ascii="Book Antiqua"/>
          <w:color w:val="000000"/>
          <w:u w:color="000000"/>
          <w:rtl w:val="0"/>
          <w:lang w:val="it-IT"/>
        </w:rPr>
        <w:t>estero a cui sono interessati Carminati e Buzzi]</w:t>
      </w:r>
    </w:p>
    <w:p>
      <w:pPr>
        <w:pStyle w:val="Normal"/>
        <w:ind w:left="567" w:right="567" w:firstLine="0"/>
        <w:rPr>
          <w:rFonts w:ascii="Book Antiqua" w:cs="Book Antiqua" w:hAnsi="Book Antiqua" w:eastAsia="Book Antiqua"/>
          <w:color w:val="000000"/>
          <w:sz w:val="22"/>
          <w:szCs w:val="22"/>
          <w:u w:color="000000"/>
        </w:rPr>
      </w:pPr>
    </w:p>
    <w:p>
      <w:pPr>
        <w:pStyle w:val="Normal"/>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 xml:space="preserve">[p. 648, p. 663, p. 853] </w:t>
      </w:r>
    </w:p>
    <w:p>
      <w:pPr>
        <w:pStyle w:val="Normal"/>
        <w:ind w:left="567" w:right="567" w:firstLine="0"/>
        <w:jc w:val="both"/>
        <w:rPr>
          <w:rFonts w:ascii="Book Antiqua" w:cs="Book Antiqua" w:hAnsi="Book Antiqua" w:eastAsia="Book Antiqua"/>
          <w:color w:val="000000"/>
          <w:u w:color="000000"/>
          <w:vertAlign w:val="subscript"/>
        </w:rPr>
      </w:pPr>
      <w:r>
        <w:rPr>
          <w:rFonts w:ascii="Book Antiqua"/>
          <w:color w:val="000000"/>
          <w:u w:color="000000"/>
          <w:rtl w:val="0"/>
          <w:lang w:val="it-IT"/>
        </w:rPr>
        <w:t>[turbativa della gara di appalto n. 30/2013 sulla raccolta differenziata del multimateriale]</w:t>
      </w:r>
    </w:p>
    <w:p>
      <w:pPr>
        <w:pStyle w:val="Normal"/>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Il 29.10.13 veniva indetta la gara d</w:t>
      </w:r>
      <w:r>
        <w:rPr>
          <w:rFonts w:hAnsi="Book Antiqua" w:hint="default"/>
          <w:color w:val="000000"/>
          <w:sz w:val="22"/>
          <w:szCs w:val="22"/>
          <w:u w:color="000000"/>
          <w:rtl w:val="0"/>
          <w:lang w:val="it-IT"/>
        </w:rPr>
        <w:t>’</w:t>
      </w:r>
      <w:r>
        <w:rPr>
          <w:rFonts w:ascii="Book Antiqua"/>
          <w:color w:val="000000"/>
          <w:sz w:val="22"/>
          <w:szCs w:val="22"/>
          <w:u w:color="000000"/>
          <w:rtl w:val="0"/>
          <w:lang w:val="it-IT"/>
        </w:rPr>
        <w:t>appalto 30/2013, suddivisa in 4 lotti, che vedeva come termine finale per la presentazione delle offerte il 12.12.13, poi prorogato al 7.1.14, con responsabile unico del procedimento Fiscon, direttore generale di AMA</w:t>
      </w:r>
    </w:p>
    <w:p>
      <w:pPr>
        <w:pStyle w:val="Normal"/>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w:t>
      </w:r>
      <w:r>
        <w:rPr>
          <w:rFonts w:hAnsi="Book Antiqua" w:hint="default"/>
          <w:color w:val="000000"/>
          <w:sz w:val="22"/>
          <w:szCs w:val="22"/>
          <w:u w:color="000000"/>
          <w:rtl w:val="0"/>
          <w:lang w:val="it-IT"/>
        </w:rPr>
        <w:t>…</w:t>
      </w:r>
      <w:r>
        <w:rPr>
          <w:rFonts w:ascii="Book Antiqua"/>
          <w:color w:val="000000"/>
          <w:sz w:val="22"/>
          <w:szCs w:val="22"/>
          <w:u w:color="000000"/>
          <w:rtl w:val="0"/>
          <w:lang w:val="it-IT"/>
        </w:rPr>
        <w:t>]</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 xml:space="preserve">Le indagini hanno evidenziato come Panzironi, in relazione a un appalto del valore di 5.000.000 di euro, affidato da AMA ( il riferimento a quando comandava </w:t>
      </w:r>
      <w:r>
        <w:rPr>
          <w:rFonts w:hAnsi="Book Antiqua" w:hint="default"/>
          <w:color w:val="000000"/>
          <w:sz w:val="22"/>
          <w:szCs w:val="22"/>
          <w:u w:color="000000"/>
          <w:rtl w:val="0"/>
          <w:lang w:val="it-IT"/>
        </w:rPr>
        <w:t xml:space="preserve">è </w:t>
      </w:r>
      <w:r>
        <w:rPr>
          <w:rFonts w:ascii="Book Antiqua"/>
          <w:color w:val="000000"/>
          <w:sz w:val="22"/>
          <w:szCs w:val="22"/>
          <w:u w:color="000000"/>
          <w:rtl w:val="0"/>
          <w:lang w:val="it-IT"/>
        </w:rPr>
        <w:t>eloquente), abbia percepito una utilit</w:t>
      </w:r>
      <w:r>
        <w:rPr>
          <w:rFonts w:hAnsi="Book Antiqua" w:hint="default"/>
          <w:color w:val="000000"/>
          <w:sz w:val="22"/>
          <w:szCs w:val="22"/>
          <w:u w:color="000000"/>
          <w:rtl w:val="0"/>
          <w:lang w:val="it-IT"/>
        </w:rPr>
        <w:t xml:space="preserve">à </w:t>
      </w:r>
      <w:r>
        <w:rPr>
          <w:rFonts w:ascii="Book Antiqua"/>
          <w:color w:val="000000"/>
          <w:sz w:val="22"/>
          <w:szCs w:val="22"/>
          <w:u w:color="000000"/>
          <w:rtl w:val="0"/>
          <w:lang w:val="it-IT"/>
        </w:rPr>
        <w:t>pari a 120.000 euro, secondo quanto si evince dalla conversazione [</w:t>
      </w:r>
      <w:r>
        <w:rPr>
          <w:rFonts w:hAnsi="Book Antiqua" w:hint="default"/>
          <w:color w:val="000000"/>
          <w:sz w:val="22"/>
          <w:szCs w:val="22"/>
          <w:u w:color="000000"/>
          <w:rtl w:val="0"/>
          <w:lang w:val="it-IT"/>
        </w:rPr>
        <w:t>…</w:t>
      </w:r>
      <w:r>
        <w:rPr>
          <w:rFonts w:ascii="Book Antiqua"/>
          <w:color w:val="000000"/>
          <w:sz w:val="22"/>
          <w:szCs w:val="22"/>
          <w:u w:color="000000"/>
          <w:rtl w:val="0"/>
          <w:lang w:val="it-IT"/>
        </w:rPr>
        <w:t>], in cui Buzzi, credibilmente per la dimostrata esistenza di rapporti di dare/avere con Panzironi, enuncia l</w:t>
      </w:r>
      <w:r>
        <w:rPr>
          <w:rFonts w:hAnsi="Book Antiqua" w:hint="default"/>
          <w:color w:val="000000"/>
          <w:sz w:val="22"/>
          <w:szCs w:val="22"/>
          <w:u w:color="000000"/>
          <w:rtl w:val="0"/>
          <w:lang w:val="it-IT"/>
        </w:rPr>
        <w:t>’</w:t>
      </w:r>
      <w:r>
        <w:rPr>
          <w:rFonts w:ascii="Book Antiqua"/>
          <w:color w:val="000000"/>
          <w:sz w:val="22"/>
          <w:szCs w:val="22"/>
          <w:u w:color="000000"/>
          <w:rtl w:val="0"/>
          <w:lang w:val="it-IT"/>
        </w:rPr>
        <w:t>assunto.</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w:t>
      </w:r>
      <w:r>
        <w:rPr>
          <w:rFonts w:hAnsi="Book Antiqua" w:hint="default"/>
          <w:color w:val="000000"/>
          <w:sz w:val="22"/>
          <w:szCs w:val="22"/>
          <w:u w:color="000000"/>
          <w:rtl w:val="0"/>
          <w:lang w:val="it-IT"/>
        </w:rPr>
        <w:t>…</w:t>
      </w:r>
      <w:r>
        <w:rPr>
          <w:rFonts w:ascii="Book Antiqua"/>
          <w:color w:val="000000"/>
          <w:sz w:val="22"/>
          <w:szCs w:val="22"/>
          <w:u w:color="000000"/>
          <w:rtl w:val="0"/>
          <w:lang w:val="it-IT"/>
        </w:rPr>
        <w:t>]</w:t>
      </w:r>
    </w:p>
    <w:p>
      <w:pPr>
        <w:pStyle w:val="Normal"/>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in merito alla gara AMA sul Multimateriale (la n. 30/2013, ndr), il consigliere Regionale Eugenio PATAN</w:t>
      </w:r>
      <w:r>
        <w:rPr>
          <w:rFonts w:hAnsi="Book Antiqua" w:hint="default"/>
          <w:color w:val="000000"/>
          <w:sz w:val="22"/>
          <w:szCs w:val="22"/>
          <w:u w:color="000000"/>
          <w:rtl w:val="0"/>
          <w:lang w:val="it-IT"/>
        </w:rPr>
        <w:t>È</w:t>
      </w:r>
      <w:r>
        <w:rPr>
          <w:rFonts w:ascii="Book Antiqua"/>
          <w:color w:val="000000"/>
          <w:sz w:val="22"/>
          <w:szCs w:val="22"/>
          <w:u w:color="000000"/>
          <w:rtl w:val="0"/>
          <w:lang w:val="it-IT"/>
        </w:rPr>
        <w:t xml:space="preserve">, gli avrebbe chiesto, per mezzo di Franco CANCELLI, la somma di euro 120.000,00. Nella circostanza, BUZZI gli avrebbe riferito che a </w:t>
      </w:r>
      <w:r>
        <w:rPr>
          <w:rFonts w:hAnsi="Book Antiqua" w:hint="default"/>
          <w:color w:val="000000"/>
          <w:sz w:val="22"/>
          <w:szCs w:val="22"/>
          <w:u w:color="000000"/>
          <w:rtl w:val="0"/>
          <w:lang w:val="it-IT"/>
        </w:rPr>
        <w:t>“</w:t>
      </w:r>
      <w:r>
        <w:rPr>
          <w:rFonts w:ascii="Book Antiqua"/>
          <w:color w:val="000000"/>
          <w:sz w:val="22"/>
          <w:szCs w:val="22"/>
          <w:u w:color="000000"/>
          <w:rtl w:val="0"/>
          <w:lang w:val="it-IT"/>
        </w:rPr>
        <w:t>PANZIRONI</w:t>
      </w:r>
      <w:r>
        <w:rPr>
          <w:rFonts w:hAnsi="Book Antiqua" w:hint="default"/>
          <w:color w:val="000000"/>
          <w:sz w:val="22"/>
          <w:szCs w:val="22"/>
          <w:u w:color="000000"/>
          <w:rtl w:val="0"/>
          <w:lang w:val="it-IT"/>
        </w:rPr>
        <w:t>”</w:t>
      </w:r>
      <w:r>
        <w:rPr>
          <w:rFonts w:ascii="Book Antiqua"/>
          <w:color w:val="000000"/>
          <w:sz w:val="22"/>
          <w:szCs w:val="22"/>
          <w:u w:color="000000"/>
          <w:rtl w:val="0"/>
          <w:lang w:val="it-IT"/>
        </w:rPr>
        <w:t>, che all</w:t>
      </w:r>
      <w:r>
        <w:rPr>
          <w:rFonts w:hAnsi="Book Antiqua" w:hint="default"/>
          <w:color w:val="000000"/>
          <w:sz w:val="22"/>
          <w:szCs w:val="22"/>
          <w:u w:color="000000"/>
          <w:rtl w:val="0"/>
          <w:lang w:val="it-IT"/>
        </w:rPr>
        <w:t>’</w:t>
      </w:r>
      <w:r>
        <w:rPr>
          <w:rFonts w:ascii="Book Antiqua"/>
          <w:color w:val="000000"/>
          <w:sz w:val="22"/>
          <w:szCs w:val="22"/>
          <w:u w:color="000000"/>
          <w:rtl w:val="0"/>
          <w:lang w:val="it-IT"/>
        </w:rPr>
        <w:t>epoca comandava, avevano riconosciuto la somma di euro 120.000,00, pari al 2,5 per cento, per la vincita di una gara di 5.000.000 di euro (</w:t>
      </w:r>
      <w:r>
        <w:rPr>
          <w:rFonts w:hAnsi="Book Antiqua" w:hint="default"/>
          <w:color w:val="000000"/>
          <w:sz w:val="22"/>
          <w:szCs w:val="22"/>
          <w:u w:color="000000"/>
          <w:rtl w:val="0"/>
          <w:lang w:val="it-IT"/>
        </w:rPr>
        <w:t>“</w:t>
      </w:r>
      <w:r>
        <w:rPr>
          <w:rFonts w:ascii="Book Antiqua"/>
          <w:color w:val="000000"/>
          <w:sz w:val="22"/>
          <w:szCs w:val="22"/>
          <w:u w:color="000000"/>
          <w:rtl w:val="0"/>
          <w:lang w:val="it-IT"/>
        </w:rPr>
        <w:t xml:space="preserve">...gli ho detto </w:t>
      </w:r>
      <w:r>
        <w:rPr>
          <w:rFonts w:hAnsi="Book Antiqua" w:hint="default"/>
          <w:color w:val="000000"/>
          <w:sz w:val="22"/>
          <w:szCs w:val="22"/>
          <w:u w:color="000000"/>
          <w:rtl w:val="0"/>
          <w:lang w:val="it-IT"/>
        </w:rPr>
        <w:t>“</w:t>
      </w:r>
      <w:r>
        <w:rPr>
          <w:rFonts w:ascii="Book Antiqua"/>
          <w:color w:val="000000"/>
          <w:sz w:val="22"/>
          <w:szCs w:val="22"/>
          <w:u w:color="000000"/>
          <w:rtl w:val="0"/>
          <w:lang w:val="it-IT"/>
        </w:rPr>
        <w:t>noi a Panzironi (Franco Panzironi, ndr) che comandava gli avemo dato il due e me..2 virgola 5 per cento (2,5 per cento, ndr)...dato 120 mila euro su 5 milioni... mo</w:t>
      </w:r>
      <w:r>
        <w:rPr>
          <w:rFonts w:hAnsi="Book Antiqua" w:hint="default"/>
          <w:color w:val="000000"/>
          <w:sz w:val="22"/>
          <w:szCs w:val="22"/>
          <w:u w:color="000000"/>
          <w:rtl w:val="0"/>
          <w:lang w:val="it-IT"/>
        </w:rPr>
        <w:t xml:space="preserve">’ </w:t>
      </w:r>
      <w:r>
        <w:rPr>
          <w:rFonts w:ascii="Book Antiqua"/>
          <w:color w:val="000000"/>
          <w:sz w:val="22"/>
          <w:szCs w:val="22"/>
          <w:u w:color="000000"/>
          <w:rtl w:val="0"/>
          <w:lang w:val="it-IT"/>
        </w:rPr>
        <w:t>damo tutti sti soldi a questo?</w:t>
      </w:r>
      <w:r>
        <w:rPr>
          <w:rFonts w:hAnsi="Book Antiqua" w:hint="default"/>
          <w:color w:val="000000"/>
          <w:sz w:val="22"/>
          <w:szCs w:val="22"/>
          <w:u w:color="000000"/>
          <w:rtl w:val="0"/>
          <w:lang w:val="it-IT"/>
        </w:rPr>
        <w:t>”</w:t>
      </w:r>
      <w:r>
        <w:rPr>
          <w:rFonts w:ascii="Book Antiqua"/>
          <w:color w:val="000000"/>
          <w:sz w:val="22"/>
          <w:szCs w:val="22"/>
          <w:u w:color="000000"/>
          <w:rtl w:val="0"/>
          <w:lang w:val="it-IT"/>
        </w:rPr>
        <w:t>).</w:t>
      </w:r>
    </w:p>
    <w:p>
      <w:pPr>
        <w:pStyle w:val="Normal"/>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[p. 769]</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 xml:space="preserve">Nel corso della conversazione ambientale del 15.1.14 (RIT 8416/13, progr. 7947), il BUZZI comunicava ad Alessandra GARRONE, Emanuela BUGITTI, Claudio BOLLA, Paolo DI NINNO e Carlo GUARANY quali sarebbero stati gli appoggi politici per la vittoria della gara ed il BUZZI indicava le persone che lo avrebbero aiutato a vincere la gara, in CESARETTI, CORATTI (per parlare con il quale avrebbe dovuto elargire la somma di euro 10.000,00) e COSENTINO, indicandoli, quali </w:t>
      </w:r>
      <w:r>
        <w:rPr>
          <w:rFonts w:hAnsi="Book Antiqua" w:hint="default"/>
          <w:color w:val="000000"/>
          <w:sz w:val="22"/>
          <w:szCs w:val="22"/>
          <w:u w:color="000000"/>
          <w:rtl w:val="0"/>
          <w:lang w:val="it-IT"/>
        </w:rPr>
        <w:t>“</w:t>
      </w:r>
      <w:r>
        <w:rPr>
          <w:rFonts w:ascii="Book Antiqua"/>
          <w:color w:val="000000"/>
          <w:sz w:val="22"/>
          <w:szCs w:val="22"/>
          <w:u w:color="000000"/>
          <w:rtl w:val="0"/>
          <w:lang w:val="it-IT"/>
        </w:rPr>
        <w:t>assi nella manica per farci vince la gara</w:t>
      </w:r>
      <w:r>
        <w:rPr>
          <w:rFonts w:hAnsi="Book Antiqua" w:hint="default"/>
          <w:color w:val="000000"/>
          <w:sz w:val="22"/>
          <w:szCs w:val="22"/>
          <w:u w:color="000000"/>
          <w:rtl w:val="0"/>
          <w:lang w:val="it-IT"/>
        </w:rPr>
        <w:t xml:space="preserve">” </w:t>
      </w:r>
      <w:r>
        <w:rPr>
          <w:rFonts w:ascii="Book Antiqua"/>
          <w:color w:val="000000"/>
          <w:sz w:val="22"/>
          <w:szCs w:val="22"/>
          <w:u w:color="000000"/>
          <w:rtl w:val="0"/>
          <w:lang w:val="it-IT"/>
        </w:rPr>
        <w:t xml:space="preserve">e dicendo che avrebbero aggiustato la gara, riferendosi chiaramente a quella del Multimateriale. </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 xml:space="preserve">Lo stesso giorno, il BUZZI si incontrava presso il ristorante </w:t>
      </w:r>
      <w:r>
        <w:rPr>
          <w:rFonts w:hAnsi="Book Antiqua" w:hint="default"/>
          <w:color w:val="000000"/>
          <w:sz w:val="22"/>
          <w:szCs w:val="22"/>
          <w:u w:color="000000"/>
          <w:rtl w:val="0"/>
          <w:lang w:val="it-IT"/>
        </w:rPr>
        <w:t>“</w:t>
      </w:r>
      <w:r>
        <w:rPr>
          <w:rFonts w:ascii="Book Antiqua"/>
          <w:color w:val="000000"/>
          <w:sz w:val="22"/>
          <w:szCs w:val="22"/>
          <w:u w:color="000000"/>
          <w:rtl w:val="0"/>
          <w:lang w:val="it-IT"/>
        </w:rPr>
        <w:t>Il Casale</w:t>
      </w:r>
      <w:r>
        <w:rPr>
          <w:rFonts w:hAnsi="Book Antiqua" w:hint="default"/>
          <w:color w:val="000000"/>
          <w:sz w:val="22"/>
          <w:szCs w:val="22"/>
          <w:u w:color="000000"/>
          <w:rtl w:val="0"/>
          <w:lang w:val="it-IT"/>
        </w:rPr>
        <w:t>”</w:t>
      </w:r>
      <w:r>
        <w:rPr>
          <w:rFonts w:ascii="Book Antiqua"/>
          <w:color w:val="000000"/>
          <w:sz w:val="22"/>
          <w:szCs w:val="22"/>
          <w:u w:color="000000"/>
          <w:rtl w:val="0"/>
          <w:lang w:val="it-IT"/>
        </w:rPr>
        <w:t>, con il CARMINATI ed il consigliere del Lazio, Marco MATTEI e nel corso dell'incontro il CARMINATI mostrava dei documenti al BUZZI (v. servizio di O.C.P., di cui all'allegato 201, all'informativa finale dei ROS, II Reparto).</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Le conversazioni di questo periodo, peraltro, evidenziavano uno scontro con il CANCELLI, della cooperativa Edera, che evidentemente non intendeva rispettare gli accordi presi, con l</w:t>
      </w:r>
      <w:r>
        <w:rPr>
          <w:rFonts w:hAnsi="Book Antiqua" w:hint="default"/>
          <w:color w:val="000000"/>
          <w:sz w:val="22"/>
          <w:szCs w:val="22"/>
          <w:u w:color="000000"/>
          <w:rtl w:val="0"/>
          <w:lang w:val="it-IT"/>
        </w:rPr>
        <w:t>’</w:t>
      </w:r>
      <w:r>
        <w:rPr>
          <w:rFonts w:ascii="Book Antiqua"/>
          <w:color w:val="000000"/>
          <w:sz w:val="22"/>
          <w:szCs w:val="22"/>
          <w:u w:color="000000"/>
          <w:rtl w:val="0"/>
          <w:lang w:val="it-IT"/>
        </w:rPr>
        <w:t>intervento di FORLENZA, del CNS, inteso a trovare una quadra (v. conv. del 16.1.2013, RIT 1741/13, progr. 44292).</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 xml:space="preserve">Nella giornata di sabato 18.01.2014, a due giorni di distanza dalla presentazione delle buste con le offerte inerenti alla gara AMA n. 30/2013 per la raccolta del multimateriale, venivano registrati una serie di dialoghi, nel corso dei quali emergeva chiaramente che Salvatore BUZZI e Franco CANCELLI della cooperativa Edera, si erano incontrati per raggiungere una accordo per la spartizione dei lotti della gara (v. conversazione RIT 1741/13, progr. 44599, 44600,44601, nel corso della quale i due discutono della gara, dicendo il CANCELLI di essersi confrontato con il GUARANY - che diceva al BUZZI che il CANCELLI si era messo paura -, e che il 70 per cento del secondo sarebbe stato del BUZZI). Tale circostanza il BUZZI, attraverso GUARANY, comunicava al FISCON (v. conv. Del 17.1.2013, RIT 1741/13 progr. 44541) e alla BUGITTI (v. conv. del 15.7.2013, RIT 1741/13, progr. 44608). </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 xml:space="preserve">La chiusura degli accordi veniva comunicata tre giorni prima della scadenza del termine ultimo per la presentazione delle offerte, dal BUZZI al FORLENZA ed al FISCON, con il seguente SMS: </w:t>
      </w:r>
      <w:r>
        <w:rPr>
          <w:rFonts w:hAnsi="Book Antiqua" w:hint="default"/>
          <w:color w:val="000000"/>
          <w:sz w:val="22"/>
          <w:szCs w:val="22"/>
          <w:u w:color="000000"/>
          <w:rtl w:val="0"/>
          <w:lang w:val="it-IT"/>
        </w:rPr>
        <w:t>“</w:t>
      </w:r>
      <w:r>
        <w:rPr>
          <w:rFonts w:ascii="Book Antiqua"/>
          <w:color w:val="000000"/>
          <w:sz w:val="22"/>
          <w:szCs w:val="22"/>
          <w:u w:color="000000"/>
          <w:rtl w:val="0"/>
          <w:lang w:val="it-IT"/>
        </w:rPr>
        <w:t>Nuntio vobis gaudium magnum habemus papam</w:t>
      </w:r>
      <w:r>
        <w:rPr>
          <w:rFonts w:hAnsi="Book Antiqua" w:hint="default"/>
          <w:color w:val="000000"/>
          <w:sz w:val="22"/>
          <w:szCs w:val="22"/>
          <w:u w:color="000000"/>
          <w:rtl w:val="0"/>
          <w:lang w:val="it-IT"/>
        </w:rPr>
        <w:t xml:space="preserve">” </w:t>
      </w:r>
      <w:r>
        <w:rPr>
          <w:rFonts w:ascii="Book Antiqua"/>
          <w:color w:val="000000"/>
          <w:sz w:val="22"/>
          <w:szCs w:val="22"/>
          <w:u w:color="000000"/>
          <w:rtl w:val="0"/>
          <w:lang w:val="it-IT"/>
        </w:rPr>
        <w:t>(RIT 1741/13 progr. 44632 del 18.1.2013); la comunicazione veniva, successivamente, data anche alla BUGITTI (RIT 1741/13, progr. 44634) e ribadita ulteriormente, alle 20,19, al FISCON telefonicamente (RIT 1741/13, progr. 44644).</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L</w:t>
      </w:r>
      <w:r>
        <w:rPr>
          <w:rFonts w:hAnsi="Book Antiqua" w:hint="default"/>
          <w:color w:val="000000"/>
          <w:sz w:val="22"/>
          <w:szCs w:val="22"/>
          <w:u w:color="000000"/>
          <w:rtl w:val="0"/>
          <w:lang w:val="it-IT"/>
        </w:rPr>
        <w:t>’</w:t>
      </w:r>
      <w:r>
        <w:rPr>
          <w:rFonts w:ascii="Book Antiqua"/>
          <w:color w:val="000000"/>
          <w:sz w:val="22"/>
          <w:szCs w:val="22"/>
          <w:u w:color="000000"/>
          <w:rtl w:val="0"/>
          <w:lang w:val="it-IT"/>
        </w:rPr>
        <w:t xml:space="preserve">evidenza della turbativa </w:t>
      </w:r>
      <w:r>
        <w:rPr>
          <w:rFonts w:hAnsi="Book Antiqua" w:hint="default"/>
          <w:color w:val="000000"/>
          <w:sz w:val="22"/>
          <w:szCs w:val="22"/>
          <w:u w:color="000000"/>
          <w:rtl w:val="0"/>
          <w:lang w:val="it-IT"/>
        </w:rPr>
        <w:t xml:space="preserve">è </w:t>
      </w:r>
      <w:r>
        <w:rPr>
          <w:rFonts w:ascii="Book Antiqua"/>
          <w:color w:val="000000"/>
          <w:sz w:val="22"/>
          <w:szCs w:val="22"/>
          <w:u w:color="000000"/>
          <w:rtl w:val="0"/>
          <w:lang w:val="it-IT"/>
        </w:rPr>
        <w:t>ribadita in una conversazione telefonica, che rende palese la conoscenza delle altre offerte, a due giorni dal termine finale di presentazione, da parte di BUZZI. In particolare, alle 19:39 del 18.1.14, Alessandra GARRONE chiamava</w:t>
      </w:r>
      <w:r>
        <w:rPr>
          <w:rFonts w:hAnsi="Book Antiqua" w:hint="default"/>
          <w:color w:val="000000"/>
          <w:sz w:val="22"/>
          <w:szCs w:val="22"/>
          <w:u w:color="000000"/>
          <w:rtl w:val="0"/>
          <w:lang w:val="it-IT"/>
        </w:rPr>
        <w:t xml:space="preserve">“ </w:t>
      </w:r>
      <w:r>
        <w:rPr>
          <w:rFonts w:ascii="Book Antiqua"/>
          <w:color w:val="000000"/>
          <w:sz w:val="22"/>
          <w:szCs w:val="22"/>
          <w:u w:color="000000"/>
          <w:rtl w:val="0"/>
          <w:lang w:val="it-IT"/>
        </w:rPr>
        <w:t>Alessia</w:t>
      </w:r>
      <w:r>
        <w:rPr>
          <w:rFonts w:hAnsi="Book Antiqua" w:hint="default"/>
          <w:color w:val="000000"/>
          <w:sz w:val="22"/>
          <w:szCs w:val="22"/>
          <w:u w:color="000000"/>
          <w:rtl w:val="0"/>
          <w:lang w:val="it-IT"/>
        </w:rPr>
        <w:t xml:space="preserve">” </w:t>
      </w:r>
      <w:r>
        <w:rPr>
          <w:rFonts w:ascii="Book Antiqua"/>
          <w:color w:val="000000"/>
          <w:sz w:val="22"/>
          <w:szCs w:val="22"/>
          <w:u w:color="000000"/>
          <w:rtl w:val="0"/>
          <w:lang w:val="it-IT"/>
        </w:rPr>
        <w:t>, che passava il telefono a Carlo GUARANY e si lamentava un</w:t>
      </w:r>
      <w:r>
        <w:rPr>
          <w:rFonts w:hAnsi="Book Antiqua" w:hint="default"/>
          <w:color w:val="000000"/>
          <w:sz w:val="22"/>
          <w:szCs w:val="22"/>
          <w:u w:color="000000"/>
          <w:rtl w:val="0"/>
          <w:lang w:val="it-IT"/>
        </w:rPr>
        <w:t>’</w:t>
      </w:r>
      <w:r>
        <w:rPr>
          <w:rFonts w:ascii="Book Antiqua"/>
          <w:color w:val="000000"/>
          <w:sz w:val="22"/>
          <w:szCs w:val="22"/>
          <w:u w:color="000000"/>
          <w:rtl w:val="0"/>
          <w:lang w:val="it-IT"/>
        </w:rPr>
        <w:t xml:space="preserve">incongruenza tra quanto annotatogli su un </w:t>
      </w:r>
      <w:r>
        <w:rPr>
          <w:rFonts w:hAnsi="Book Antiqua" w:hint="default"/>
          <w:color w:val="000000"/>
          <w:sz w:val="22"/>
          <w:szCs w:val="22"/>
          <w:u w:color="000000"/>
          <w:rtl w:val="0"/>
          <w:lang w:val="it-IT"/>
        </w:rPr>
        <w:t>“</w:t>
      </w:r>
      <w:r>
        <w:rPr>
          <w:rFonts w:ascii="Book Antiqua"/>
          <w:color w:val="000000"/>
          <w:sz w:val="22"/>
          <w:szCs w:val="22"/>
          <w:u w:color="000000"/>
          <w:rtl w:val="0"/>
          <w:lang w:val="it-IT"/>
        </w:rPr>
        <w:t>foglietto</w:t>
      </w:r>
      <w:r>
        <w:rPr>
          <w:rFonts w:hAnsi="Book Antiqua" w:hint="default"/>
          <w:color w:val="000000"/>
          <w:sz w:val="22"/>
          <w:szCs w:val="22"/>
          <w:u w:color="000000"/>
          <w:rtl w:val="0"/>
          <w:lang w:val="it-IT"/>
        </w:rPr>
        <w:t xml:space="preserve">” </w:t>
      </w:r>
      <w:r>
        <w:rPr>
          <w:rFonts w:ascii="Book Antiqua"/>
          <w:color w:val="000000"/>
          <w:sz w:val="22"/>
          <w:szCs w:val="22"/>
          <w:u w:color="000000"/>
          <w:rtl w:val="0"/>
          <w:lang w:val="it-IT"/>
        </w:rPr>
        <w:t xml:space="preserve">da BUZZI, e quanto, invece, avevano scritto sulla domanda di partecipazione alla gara. Il riferimento, infatti, era alle percentuali relative alle proposte di spesa </w:t>
      </w:r>
      <w:r>
        <w:rPr>
          <w:rFonts w:hAnsi="Book Antiqua" w:hint="default"/>
          <w:color w:val="000000"/>
          <w:sz w:val="22"/>
          <w:szCs w:val="22"/>
          <w:u w:color="000000"/>
          <w:rtl w:val="0"/>
          <w:lang w:val="it-IT"/>
        </w:rPr>
        <w:t xml:space="preserve">“ </w:t>
      </w:r>
      <w:r>
        <w:rPr>
          <w:rFonts w:ascii="Book Antiqua"/>
          <w:color w:val="000000"/>
          <w:sz w:val="22"/>
          <w:szCs w:val="22"/>
          <w:u w:color="000000"/>
          <w:rtl w:val="0"/>
          <w:lang w:val="it-IT"/>
        </w:rPr>
        <w:t>uno virgola uno</w:t>
      </w:r>
      <w:r>
        <w:rPr>
          <w:rFonts w:hAnsi="Book Antiqua" w:hint="default"/>
          <w:color w:val="000000"/>
          <w:sz w:val="22"/>
          <w:szCs w:val="22"/>
          <w:u w:color="000000"/>
          <w:rtl w:val="0"/>
          <w:lang w:val="it-IT"/>
        </w:rPr>
        <w:t>”</w:t>
      </w:r>
      <w:r>
        <w:rPr>
          <w:rFonts w:ascii="Book Antiqua"/>
          <w:color w:val="000000"/>
          <w:sz w:val="22"/>
          <w:szCs w:val="22"/>
          <w:u w:color="000000"/>
          <w:rtl w:val="0"/>
          <w:lang w:val="it-IT"/>
        </w:rPr>
        <w:t xml:space="preserve">, che la cooperativa avrebbe dovuto presentare entro il 20 gennaio 2014, termine di scadenza del bando AMA; a questo punto, la GARRONE passava il telefono a Salvatore BUZZI, il quale spiegava a GUARANY che la percentuale di </w:t>
      </w:r>
      <w:r>
        <w:rPr>
          <w:rFonts w:hAnsi="Book Antiqua" w:hint="default"/>
          <w:color w:val="000000"/>
          <w:sz w:val="22"/>
          <w:szCs w:val="22"/>
          <w:u w:color="000000"/>
          <w:rtl w:val="0"/>
          <w:lang w:val="it-IT"/>
        </w:rPr>
        <w:t xml:space="preserve">“ </w:t>
      </w:r>
      <w:r>
        <w:rPr>
          <w:rFonts w:ascii="Book Antiqua"/>
          <w:color w:val="000000"/>
          <w:sz w:val="22"/>
          <w:szCs w:val="22"/>
          <w:u w:color="000000"/>
          <w:rtl w:val="0"/>
          <w:lang w:val="it-IT"/>
        </w:rPr>
        <w:t>zero cinque, zero quattro</w:t>
      </w:r>
      <w:r>
        <w:rPr>
          <w:rFonts w:hAnsi="Book Antiqua" w:hint="default"/>
          <w:color w:val="000000"/>
          <w:sz w:val="22"/>
          <w:szCs w:val="22"/>
          <w:u w:color="000000"/>
          <w:rtl w:val="0"/>
          <w:lang w:val="it-IT"/>
        </w:rPr>
        <w:t xml:space="preserve">” </w:t>
      </w:r>
      <w:r>
        <w:rPr>
          <w:rFonts w:ascii="Book Antiqua"/>
          <w:color w:val="000000"/>
          <w:sz w:val="22"/>
          <w:szCs w:val="22"/>
          <w:u w:color="000000"/>
          <w:rtl w:val="0"/>
          <w:lang w:val="it-IT"/>
        </w:rPr>
        <w:t>sul primo lotto andava bene, in quanto sarebbero stati gli unici a presentare la domanda, mentre per il secondo lotto era corretta la percentuale, essendo pi</w:t>
      </w:r>
      <w:r>
        <w:rPr>
          <w:rFonts w:hAnsi="Book Antiqua" w:hint="default"/>
          <w:color w:val="000000"/>
          <w:sz w:val="22"/>
          <w:szCs w:val="22"/>
          <w:u w:color="000000"/>
          <w:rtl w:val="0"/>
          <w:lang w:val="it-IT"/>
        </w:rPr>
        <w:t xml:space="preserve">ù </w:t>
      </w:r>
      <w:r>
        <w:rPr>
          <w:rFonts w:ascii="Book Antiqua"/>
          <w:color w:val="000000"/>
          <w:sz w:val="22"/>
          <w:szCs w:val="22"/>
          <w:u w:color="000000"/>
          <w:rtl w:val="0"/>
          <w:lang w:val="it-IT"/>
        </w:rPr>
        <w:t>alta dell</w:t>
      </w:r>
      <w:r>
        <w:rPr>
          <w:rFonts w:hAnsi="Book Antiqua" w:hint="default"/>
          <w:color w:val="000000"/>
          <w:sz w:val="22"/>
          <w:szCs w:val="22"/>
          <w:u w:color="000000"/>
          <w:rtl w:val="0"/>
          <w:lang w:val="it-IT"/>
        </w:rPr>
        <w:t>’</w:t>
      </w:r>
      <w:r>
        <w:rPr>
          <w:rFonts w:ascii="Book Antiqua"/>
          <w:color w:val="000000"/>
          <w:sz w:val="22"/>
          <w:szCs w:val="22"/>
          <w:u w:color="000000"/>
          <w:rtl w:val="0"/>
          <w:lang w:val="it-IT"/>
        </w:rPr>
        <w:t xml:space="preserve">altra </w:t>
      </w:r>
      <w:r>
        <w:rPr>
          <w:rFonts w:hAnsi="Book Antiqua" w:hint="default"/>
          <w:color w:val="000000"/>
          <w:sz w:val="22"/>
          <w:szCs w:val="22"/>
          <w:u w:color="000000"/>
          <w:rtl w:val="0"/>
          <w:lang w:val="it-IT"/>
        </w:rPr>
        <w:t xml:space="preserve">“ </w:t>
      </w:r>
      <w:r>
        <w:rPr>
          <w:rFonts w:ascii="Book Antiqua"/>
          <w:color w:val="000000"/>
          <w:sz w:val="22"/>
          <w:szCs w:val="22"/>
          <w:u w:color="000000"/>
          <w:rtl w:val="0"/>
          <w:lang w:val="it-IT"/>
        </w:rPr>
        <w:t>ipotesi</w:t>
      </w:r>
      <w:r>
        <w:rPr>
          <w:rFonts w:hAnsi="Book Antiqua" w:hint="default"/>
          <w:color w:val="000000"/>
          <w:sz w:val="22"/>
          <w:szCs w:val="22"/>
          <w:u w:color="000000"/>
          <w:rtl w:val="0"/>
          <w:lang w:val="it-IT"/>
        </w:rPr>
        <w:t xml:space="preserve">” </w:t>
      </w:r>
      <w:r>
        <w:rPr>
          <w:rFonts w:ascii="Book Antiqua"/>
          <w:color w:val="000000"/>
          <w:sz w:val="22"/>
          <w:szCs w:val="22"/>
          <w:u w:color="000000"/>
          <w:rtl w:val="0"/>
          <w:lang w:val="it-IT"/>
        </w:rPr>
        <w:t>(</w:t>
      </w:r>
      <w:r>
        <w:rPr>
          <w:rFonts w:hAnsi="Book Antiqua" w:hint="default"/>
          <w:color w:val="000000"/>
          <w:sz w:val="22"/>
          <w:szCs w:val="22"/>
          <w:u w:color="000000"/>
          <w:rtl w:val="0"/>
          <w:lang w:val="it-IT"/>
        </w:rPr>
        <w:t xml:space="preserve">“ </w:t>
      </w:r>
      <w:r>
        <w:rPr>
          <w:rFonts w:ascii="Book Antiqua"/>
          <w:color w:val="000000"/>
          <w:sz w:val="22"/>
          <w:szCs w:val="22"/>
          <w:u w:color="000000"/>
          <w:rtl w:val="0"/>
          <w:lang w:val="it-IT"/>
        </w:rPr>
        <w:t>quell</w:t>
      </w:r>
      <w:r>
        <w:rPr>
          <w:rFonts w:hAnsi="Book Antiqua" w:hint="default"/>
          <w:color w:val="000000"/>
          <w:sz w:val="22"/>
          <w:szCs w:val="22"/>
          <w:u w:color="000000"/>
          <w:rtl w:val="0"/>
          <w:lang w:val="it-IT"/>
        </w:rPr>
        <w:t>’</w:t>
      </w:r>
      <w:r>
        <w:rPr>
          <w:rFonts w:ascii="Book Antiqua"/>
          <w:color w:val="000000"/>
          <w:sz w:val="22"/>
          <w:szCs w:val="22"/>
          <w:u w:color="000000"/>
          <w:rtl w:val="0"/>
          <w:lang w:val="it-IT"/>
        </w:rPr>
        <w:t xml:space="preserve">altra ipotesi invece </w:t>
      </w:r>
      <w:r>
        <w:rPr>
          <w:rFonts w:hAnsi="Book Antiqua" w:hint="default"/>
          <w:color w:val="000000"/>
          <w:sz w:val="22"/>
          <w:szCs w:val="22"/>
          <w:u w:color="000000"/>
          <w:rtl w:val="0"/>
          <w:lang w:val="it-IT"/>
        </w:rPr>
        <w:t xml:space="preserve">è </w:t>
      </w:r>
      <w:r>
        <w:rPr>
          <w:rFonts w:ascii="Book Antiqua"/>
          <w:color w:val="000000"/>
          <w:sz w:val="22"/>
          <w:szCs w:val="22"/>
          <w:u w:color="000000"/>
          <w:rtl w:val="0"/>
          <w:lang w:val="it-IT"/>
        </w:rPr>
        <w:t>zero quattro, c</w:t>
      </w:r>
      <w:r>
        <w:rPr>
          <w:rFonts w:hAnsi="Book Antiqua" w:hint="default"/>
          <w:color w:val="000000"/>
          <w:sz w:val="22"/>
          <w:szCs w:val="22"/>
          <w:u w:color="000000"/>
          <w:rtl w:val="0"/>
          <w:lang w:val="it-IT"/>
        </w:rPr>
        <w:t xml:space="preserve">’è </w:t>
      </w:r>
      <w:r>
        <w:rPr>
          <w:rFonts w:ascii="Book Antiqua"/>
          <w:color w:val="000000"/>
          <w:sz w:val="22"/>
          <w:szCs w:val="22"/>
          <w:u w:color="000000"/>
          <w:rtl w:val="0"/>
          <w:lang w:val="it-IT"/>
        </w:rPr>
        <w:t>scritto</w:t>
      </w:r>
      <w:r>
        <w:rPr>
          <w:rFonts w:hAnsi="Book Antiqua" w:hint="default"/>
          <w:color w:val="000000"/>
          <w:sz w:val="22"/>
          <w:szCs w:val="22"/>
          <w:u w:color="000000"/>
          <w:rtl w:val="0"/>
          <w:lang w:val="it-IT"/>
        </w:rPr>
        <w:t>“ “</w:t>
      </w:r>
      <w:r>
        <w:rPr>
          <w:rFonts w:ascii="Book Antiqua"/>
          <w:color w:val="000000"/>
          <w:sz w:val="22"/>
          <w:szCs w:val="22"/>
          <w:u w:color="000000"/>
          <w:rtl w:val="0"/>
          <w:lang w:val="it-IT"/>
        </w:rPr>
        <w:t>pi</w:t>
      </w:r>
      <w:r>
        <w:rPr>
          <w:rFonts w:hAnsi="Book Antiqua" w:hint="default"/>
          <w:color w:val="000000"/>
          <w:sz w:val="22"/>
          <w:szCs w:val="22"/>
          <w:u w:color="000000"/>
          <w:rtl w:val="0"/>
          <w:lang w:val="it-IT"/>
        </w:rPr>
        <w:t xml:space="preserve">ù </w:t>
      </w:r>
      <w:r>
        <w:rPr>
          <w:rFonts w:ascii="Book Antiqua"/>
          <w:color w:val="000000"/>
          <w:sz w:val="22"/>
          <w:szCs w:val="22"/>
          <w:u w:color="000000"/>
          <w:rtl w:val="0"/>
          <w:lang w:val="it-IT"/>
        </w:rPr>
        <w:t>alto de zero virgola quattro</w:t>
      </w:r>
      <w:r>
        <w:rPr>
          <w:rFonts w:hAnsi="Book Antiqua" w:hint="default"/>
          <w:color w:val="000000"/>
          <w:sz w:val="22"/>
          <w:szCs w:val="22"/>
          <w:u w:color="000000"/>
          <w:rtl w:val="0"/>
          <w:lang w:val="it-IT"/>
        </w:rPr>
        <w:t>”</w:t>
      </w:r>
      <w:r>
        <w:rPr>
          <w:rFonts w:ascii="Book Antiqua"/>
          <w:color w:val="000000"/>
          <w:sz w:val="22"/>
          <w:szCs w:val="22"/>
          <w:u w:color="000000"/>
          <w:rtl w:val="0"/>
          <w:lang w:val="it-IT"/>
        </w:rPr>
        <w:t>), avrebbe assicurato loro l</w:t>
      </w:r>
      <w:r>
        <w:rPr>
          <w:rFonts w:hAnsi="Book Antiqua" w:hint="default"/>
          <w:color w:val="000000"/>
          <w:sz w:val="22"/>
          <w:szCs w:val="22"/>
          <w:u w:color="000000"/>
          <w:rtl w:val="0"/>
          <w:lang w:val="it-IT"/>
        </w:rPr>
        <w:t>’</w:t>
      </w:r>
      <w:r>
        <w:rPr>
          <w:rFonts w:ascii="Book Antiqua"/>
          <w:color w:val="000000"/>
          <w:sz w:val="22"/>
          <w:szCs w:val="22"/>
          <w:u w:color="000000"/>
          <w:rtl w:val="0"/>
          <w:lang w:val="it-IT"/>
        </w:rPr>
        <w:t xml:space="preserve">aggiudicazione del secondo lotto. Un accordo che viene spiegato nei dettagli e nelle ragioni della sua conclusione (con la richiesta di intervento di Eugenio PATANE' - avvocato, attuale Consigliere Regionale - gruppo consiliare del P.D. nominato il 26.03.2013 </w:t>
      </w:r>
      <w:r>
        <w:rPr>
          <w:rFonts w:hAnsi="Book Antiqua" w:hint="default"/>
          <w:color w:val="000000"/>
          <w:sz w:val="22"/>
          <w:szCs w:val="22"/>
          <w:u w:color="000000"/>
          <w:rtl w:val="0"/>
          <w:lang w:val="it-IT"/>
        </w:rPr>
        <w:t xml:space="preserve">– </w:t>
      </w:r>
      <w:r>
        <w:rPr>
          <w:rFonts w:ascii="Book Antiqua"/>
          <w:color w:val="000000"/>
          <w:sz w:val="22"/>
          <w:szCs w:val="22"/>
          <w:u w:color="000000"/>
          <w:rtl w:val="0"/>
          <w:lang w:val="it-IT"/>
        </w:rPr>
        <w:t>a favore del quale sarebbero state richieste erogazioni e che avrebbe accompagnato per la questione il CANCELLI dall</w:t>
      </w:r>
      <w:r>
        <w:rPr>
          <w:rFonts w:hAnsi="Book Antiqua" w:hint="default"/>
          <w:color w:val="000000"/>
          <w:sz w:val="22"/>
          <w:szCs w:val="22"/>
          <w:u w:color="000000"/>
          <w:rtl w:val="0"/>
          <w:lang w:val="it-IT"/>
        </w:rPr>
        <w:t>’</w:t>
      </w:r>
      <w:r>
        <w:rPr>
          <w:rFonts w:ascii="Book Antiqua"/>
          <w:color w:val="000000"/>
          <w:sz w:val="22"/>
          <w:szCs w:val="22"/>
          <w:u w:color="000000"/>
          <w:rtl w:val="0"/>
          <w:lang w:val="it-IT"/>
        </w:rPr>
        <w:t>assessore Marino), nel corso di un</w:t>
      </w:r>
      <w:r>
        <w:rPr>
          <w:rFonts w:hAnsi="Book Antiqua" w:hint="default"/>
          <w:color w:val="000000"/>
          <w:sz w:val="22"/>
          <w:szCs w:val="22"/>
          <w:u w:color="000000"/>
          <w:rtl w:val="0"/>
          <w:lang w:val="it-IT"/>
        </w:rPr>
        <w:t>’</w:t>
      </w:r>
      <w:r>
        <w:rPr>
          <w:rFonts w:ascii="Book Antiqua"/>
          <w:color w:val="000000"/>
          <w:sz w:val="22"/>
          <w:szCs w:val="22"/>
          <w:u w:color="000000"/>
          <w:rtl w:val="0"/>
          <w:lang w:val="it-IT"/>
        </w:rPr>
        <w:t xml:space="preserve">intercettazione ambientale (RIT 3240/13, progr. 6649), al CARMINATI, appresa la spiegazione, diceva: </w:t>
      </w:r>
      <w:r>
        <w:rPr>
          <w:rFonts w:hAnsi="Book Antiqua" w:hint="default"/>
          <w:color w:val="000000"/>
          <w:sz w:val="22"/>
          <w:szCs w:val="22"/>
          <w:u w:color="000000"/>
          <w:rtl w:val="0"/>
          <w:lang w:val="it-IT"/>
        </w:rPr>
        <w:t>“</w:t>
      </w:r>
      <w:r>
        <w:rPr>
          <w:rFonts w:ascii="Book Antiqua"/>
          <w:color w:val="000000"/>
          <w:sz w:val="22"/>
          <w:szCs w:val="22"/>
          <w:u w:color="000000"/>
          <w:rtl w:val="0"/>
          <w:lang w:val="it-IT"/>
        </w:rPr>
        <w:t>eh no, andiamoci a parl</w:t>
      </w:r>
      <w:r>
        <w:rPr>
          <w:rFonts w:hAnsi="Book Antiqua" w:hint="default"/>
          <w:color w:val="000000"/>
          <w:sz w:val="22"/>
          <w:szCs w:val="22"/>
          <w:u w:color="000000"/>
          <w:rtl w:val="0"/>
          <w:lang w:val="it-IT"/>
        </w:rPr>
        <w:t>à</w:t>
      </w:r>
      <w:r>
        <w:rPr>
          <w:rFonts w:ascii="Book Antiqua"/>
          <w:color w:val="000000"/>
          <w:sz w:val="22"/>
          <w:szCs w:val="22"/>
          <w:u w:color="000000"/>
          <w:rtl w:val="0"/>
          <w:lang w:val="it-IT"/>
        </w:rPr>
        <w:t xml:space="preserve">! E mo basta te faccio compagnia, ma che </w:t>
      </w:r>
      <w:r>
        <w:rPr>
          <w:rFonts w:hAnsi="Book Antiqua" w:hint="default"/>
          <w:color w:val="000000"/>
          <w:sz w:val="22"/>
          <w:szCs w:val="22"/>
          <w:u w:color="000000"/>
          <w:rtl w:val="0"/>
          <w:lang w:val="it-IT"/>
        </w:rPr>
        <w:t>è “</w:t>
      </w:r>
      <w:r>
        <w:rPr>
          <w:rFonts w:ascii="Book Antiqua"/>
          <w:color w:val="000000"/>
          <w:sz w:val="22"/>
          <w:szCs w:val="22"/>
          <w:u w:color="000000"/>
          <w:rtl w:val="0"/>
          <w:lang w:val="it-IT"/>
        </w:rPr>
        <w:t>tanto</w:t>
      </w:r>
      <w:r>
        <w:rPr>
          <w:rFonts w:hAnsi="Book Antiqua" w:hint="default"/>
          <w:color w:val="000000"/>
          <w:sz w:val="22"/>
          <w:szCs w:val="22"/>
          <w:u w:color="000000"/>
          <w:rtl w:val="0"/>
          <w:lang w:val="it-IT"/>
        </w:rPr>
        <w:t>”</w:t>
      </w:r>
      <w:r>
        <w:rPr>
          <w:rFonts w:ascii="Book Antiqua"/>
          <w:color w:val="000000"/>
          <w:sz w:val="22"/>
          <w:szCs w:val="22"/>
          <w:u w:color="000000"/>
          <w:rtl w:val="0"/>
          <w:lang w:val="it-IT"/>
        </w:rPr>
        <w:t>'!</w:t>
      </w:r>
      <w:r>
        <w:rPr>
          <w:rFonts w:hAnsi="Book Antiqua" w:hint="default"/>
          <w:color w:val="000000"/>
          <w:sz w:val="22"/>
          <w:szCs w:val="22"/>
          <w:u w:color="000000"/>
          <w:rtl w:val="0"/>
          <w:lang w:val="it-IT"/>
        </w:rPr>
        <w:t>”</w:t>
      </w:r>
      <w:r>
        <w:rPr>
          <w:rFonts w:ascii="Book Antiqua"/>
          <w:color w:val="000000"/>
          <w:sz w:val="22"/>
          <w:szCs w:val="22"/>
          <w:u w:color="000000"/>
          <w:rtl w:val="0"/>
          <w:lang w:val="it-IT"/>
        </w:rPr>
        <w:t>, dimostrando cos</w:t>
      </w:r>
      <w:r>
        <w:rPr>
          <w:rFonts w:hAnsi="Book Antiqua" w:hint="default"/>
          <w:color w:val="000000"/>
          <w:sz w:val="22"/>
          <w:szCs w:val="22"/>
          <w:u w:color="000000"/>
          <w:rtl w:val="0"/>
          <w:lang w:val="it-IT"/>
        </w:rPr>
        <w:t xml:space="preserve">ì </w:t>
      </w:r>
      <w:r>
        <w:rPr>
          <w:rFonts w:ascii="Book Antiqua"/>
          <w:color w:val="000000"/>
          <w:sz w:val="22"/>
          <w:szCs w:val="22"/>
          <w:u w:color="000000"/>
          <w:rtl w:val="0"/>
          <w:lang w:val="it-IT"/>
        </w:rPr>
        <w:t>il sua cointeressenza dell'aggiudicazione della gara.</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L</w:t>
      </w:r>
      <w:r>
        <w:rPr>
          <w:rFonts w:hAnsi="Book Antiqua" w:hint="default"/>
          <w:color w:val="000000"/>
          <w:sz w:val="22"/>
          <w:szCs w:val="22"/>
          <w:u w:color="000000"/>
          <w:rtl w:val="0"/>
          <w:lang w:val="it-IT"/>
        </w:rPr>
        <w:t>’</w:t>
      </w:r>
      <w:r>
        <w:rPr>
          <w:rFonts w:ascii="Book Antiqua"/>
          <w:color w:val="000000"/>
          <w:sz w:val="22"/>
          <w:szCs w:val="22"/>
          <w:u w:color="000000"/>
          <w:rtl w:val="0"/>
          <w:lang w:val="it-IT"/>
        </w:rPr>
        <w:t xml:space="preserve">esistenza di accordi sulla gara tra i partecipanti </w:t>
      </w:r>
      <w:r>
        <w:rPr>
          <w:rFonts w:hAnsi="Book Antiqua" w:hint="default"/>
          <w:color w:val="000000"/>
          <w:sz w:val="22"/>
          <w:szCs w:val="22"/>
          <w:u w:color="000000"/>
          <w:rtl w:val="0"/>
          <w:lang w:val="it-IT"/>
        </w:rPr>
        <w:t>è</w:t>
      </w:r>
      <w:r>
        <w:rPr>
          <w:rFonts w:ascii="Book Antiqua"/>
          <w:color w:val="000000"/>
          <w:sz w:val="22"/>
          <w:szCs w:val="22"/>
          <w:u w:color="000000"/>
          <w:rtl w:val="0"/>
          <w:lang w:val="it-IT"/>
        </w:rPr>
        <w:t>, altres</w:t>
      </w:r>
      <w:r>
        <w:rPr>
          <w:rFonts w:hAnsi="Book Antiqua" w:hint="default"/>
          <w:color w:val="000000"/>
          <w:sz w:val="22"/>
          <w:szCs w:val="22"/>
          <w:u w:color="000000"/>
          <w:rtl w:val="0"/>
          <w:lang w:val="it-IT"/>
        </w:rPr>
        <w:t>ì</w:t>
      </w:r>
      <w:r>
        <w:rPr>
          <w:rFonts w:ascii="Book Antiqua"/>
          <w:color w:val="000000"/>
          <w:sz w:val="22"/>
          <w:szCs w:val="22"/>
          <w:u w:color="000000"/>
          <w:rtl w:val="0"/>
          <w:lang w:val="it-IT"/>
        </w:rPr>
        <w:t xml:space="preserve">, confermata da una conversazione del 5.5.2014 (RIT 8416/13, progr. 4199 </w:t>
      </w:r>
      <w:r>
        <w:rPr>
          <w:rFonts w:hAnsi="Book Antiqua" w:hint="default"/>
          <w:color w:val="000000"/>
          <w:sz w:val="22"/>
          <w:szCs w:val="22"/>
          <w:u w:color="000000"/>
          <w:rtl w:val="0"/>
          <w:lang w:val="it-IT"/>
        </w:rPr>
        <w:t xml:space="preserve">– </w:t>
      </w:r>
      <w:r>
        <w:rPr>
          <w:rFonts w:ascii="Book Antiqua"/>
          <w:color w:val="000000"/>
          <w:sz w:val="22"/>
          <w:szCs w:val="22"/>
          <w:u w:color="000000"/>
          <w:rtl w:val="0"/>
          <w:lang w:val="it-IT"/>
        </w:rPr>
        <w:t>A -11) tra il GUARANY ed il BUZZI, dal tenore della quale, in relazione alla gara indetta da AMA S.p.A. per la raccolta del multimateriale, parlavano della circostanza che gi</w:t>
      </w:r>
      <w:r>
        <w:rPr>
          <w:rFonts w:hAnsi="Book Antiqua" w:hint="default"/>
          <w:color w:val="000000"/>
          <w:sz w:val="22"/>
          <w:szCs w:val="22"/>
          <w:u w:color="000000"/>
          <w:rtl w:val="0"/>
          <w:lang w:val="it-IT"/>
        </w:rPr>
        <w:t xml:space="preserve">à </w:t>
      </w:r>
      <w:r>
        <w:rPr>
          <w:rFonts w:ascii="Book Antiqua"/>
          <w:color w:val="000000"/>
          <w:sz w:val="22"/>
          <w:szCs w:val="22"/>
          <w:u w:color="000000"/>
          <w:rtl w:val="0"/>
          <w:lang w:val="it-IT"/>
        </w:rPr>
        <w:t>prima della preparazione delle offerte, vi erano stati accordi con il CANCELLI per la spartizione dei lotti e per concordare le offerte; i problemi insorti avevano determinavano da un lato la richiesta di intervento di FISCON, dall</w:t>
      </w:r>
      <w:r>
        <w:rPr>
          <w:rFonts w:hAnsi="Book Antiqua" w:hint="default"/>
          <w:color w:val="000000"/>
          <w:sz w:val="22"/>
          <w:szCs w:val="22"/>
          <w:u w:color="000000"/>
          <w:rtl w:val="0"/>
          <w:lang w:val="it-IT"/>
        </w:rPr>
        <w:t>’</w:t>
      </w:r>
      <w:r>
        <w:rPr>
          <w:rFonts w:ascii="Book Antiqua"/>
          <w:color w:val="000000"/>
          <w:sz w:val="22"/>
          <w:szCs w:val="22"/>
          <w:u w:color="000000"/>
          <w:rtl w:val="0"/>
          <w:lang w:val="it-IT"/>
        </w:rPr>
        <w:t>altro il tentativo di recupero delle posizioni, cercando di mettere a posto la questione, nelle more delle aggiudicazioni, come emerge nella conversazione intercorsa in data 5.5.2013, con il GUARANY e la BUGITTI (RIT 1741/13, progr. 61301 del 5.5.2013).</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[p. 162]</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nel pomeriggio del 16.5.2014, a partire dalle 15:30, all</w:t>
      </w:r>
      <w:r>
        <w:rPr>
          <w:rFonts w:hAnsi="Book Antiqua" w:hint="default"/>
          <w:color w:val="000000"/>
          <w:sz w:val="22"/>
          <w:szCs w:val="22"/>
          <w:u w:color="000000"/>
          <w:rtl w:val="0"/>
          <w:lang w:val="it-IT"/>
        </w:rPr>
        <w:t>’</w:t>
      </w:r>
      <w:r>
        <w:rPr>
          <w:rFonts w:ascii="Book Antiqua"/>
          <w:color w:val="000000"/>
          <w:sz w:val="22"/>
          <w:szCs w:val="22"/>
          <w:u w:color="000000"/>
          <w:rtl w:val="0"/>
          <w:lang w:val="it-IT"/>
        </w:rPr>
        <w:t>interno dell</w:t>
      </w:r>
      <w:r>
        <w:rPr>
          <w:rFonts w:hAnsi="Book Antiqua" w:hint="default"/>
          <w:color w:val="000000"/>
          <w:sz w:val="22"/>
          <w:szCs w:val="22"/>
          <w:u w:color="000000"/>
          <w:rtl w:val="0"/>
          <w:lang w:val="it-IT"/>
        </w:rPr>
        <w:t>’</w:t>
      </w:r>
      <w:r>
        <w:rPr>
          <w:rFonts w:ascii="Book Antiqua"/>
          <w:color w:val="000000"/>
          <w:sz w:val="22"/>
          <w:szCs w:val="22"/>
          <w:u w:color="000000"/>
          <w:rtl w:val="0"/>
          <w:lang w:val="it-IT"/>
        </w:rPr>
        <w:t>ufficio di via Pomona 63 in Roma, veniva intercettato un ulteriore dialogo di estremo interesse investigativo, nel corso del quale BUZZI, sempre in merito alla gara AMA sul Multimateriale (la n. 30/2013, ndr), informava i presenti circa la richiesta di 120.000 euro avanzata dal consigliere Regionale Eugenio PATAN</w:t>
      </w:r>
      <w:r>
        <w:rPr>
          <w:rFonts w:hAnsi="Book Antiqua" w:hint="default"/>
          <w:color w:val="000000"/>
          <w:sz w:val="22"/>
          <w:szCs w:val="22"/>
          <w:u w:color="000000"/>
          <w:rtl w:val="0"/>
          <w:lang w:val="it-IT"/>
        </w:rPr>
        <w:t>È</w:t>
      </w:r>
      <w:r>
        <w:rPr>
          <w:rFonts w:ascii="Book Antiqua"/>
          <w:color w:val="000000"/>
          <w:sz w:val="22"/>
          <w:szCs w:val="22"/>
          <w:u w:color="000000"/>
          <w:rtl w:val="0"/>
          <w:lang w:val="it-IT"/>
        </w:rPr>
        <w:t xml:space="preserve">, per mezzo di Franco CANCELLI. In particolare, BUZZI riferiva che a </w:t>
      </w:r>
      <w:r>
        <w:rPr>
          <w:rFonts w:hAnsi="Book Antiqua" w:hint="default"/>
          <w:color w:val="000000"/>
          <w:sz w:val="22"/>
          <w:szCs w:val="22"/>
          <w:u w:color="000000"/>
          <w:rtl w:val="0"/>
          <w:lang w:val="it-IT"/>
        </w:rPr>
        <w:t>“</w:t>
      </w:r>
      <w:r>
        <w:rPr>
          <w:rFonts w:ascii="Book Antiqua"/>
          <w:color w:val="000000"/>
          <w:sz w:val="22"/>
          <w:szCs w:val="22"/>
          <w:u w:color="000000"/>
          <w:rtl w:val="0"/>
          <w:lang w:val="it-IT"/>
        </w:rPr>
        <w:t>PANZIRONI</w:t>
      </w:r>
      <w:r>
        <w:rPr>
          <w:rFonts w:hAnsi="Book Antiqua" w:hint="default"/>
          <w:i w:val="1"/>
          <w:iCs w:val="1"/>
          <w:color w:val="000000"/>
          <w:sz w:val="22"/>
          <w:szCs w:val="22"/>
          <w:u w:color="000000"/>
          <w:rtl w:val="0"/>
          <w:lang w:val="it-IT"/>
        </w:rPr>
        <w:t>”</w:t>
      </w:r>
      <w:r>
        <w:rPr>
          <w:rFonts w:ascii="Book Antiqua"/>
          <w:color w:val="000000"/>
          <w:sz w:val="22"/>
          <w:szCs w:val="22"/>
          <w:u w:color="000000"/>
          <w:rtl w:val="0"/>
          <w:lang w:val="it-IT"/>
        </w:rPr>
        <w:t>, che all</w:t>
      </w:r>
      <w:r>
        <w:rPr>
          <w:rFonts w:hAnsi="Book Antiqua" w:hint="default"/>
          <w:color w:val="000000"/>
          <w:sz w:val="22"/>
          <w:szCs w:val="22"/>
          <w:u w:color="000000"/>
          <w:rtl w:val="0"/>
          <w:lang w:val="it-IT"/>
        </w:rPr>
        <w:t>’</w:t>
      </w:r>
      <w:r>
        <w:rPr>
          <w:rFonts w:ascii="Book Antiqua"/>
          <w:color w:val="000000"/>
          <w:sz w:val="22"/>
          <w:szCs w:val="22"/>
          <w:u w:color="000000"/>
          <w:rtl w:val="0"/>
          <w:lang w:val="it-IT"/>
        </w:rPr>
        <w:t>epoca comandava, avevano riconosciuto la somma di euro 120.000,00, pari al 2,5 per cento, per la vincita di una gara di 5.000.000 di euro (</w:t>
      </w:r>
      <w:r>
        <w:rPr>
          <w:rFonts w:ascii="Book Antiqua"/>
          <w:i w:val="1"/>
          <w:iCs w:val="1"/>
          <w:color w:val="000000"/>
          <w:sz w:val="22"/>
          <w:szCs w:val="22"/>
          <w:u w:color="000000"/>
          <w:rtl w:val="0"/>
          <w:lang w:val="it-IT"/>
        </w:rPr>
        <w:t>...</w:t>
      </w:r>
      <w:r>
        <w:rPr>
          <w:rFonts w:ascii="Book Antiqua"/>
          <w:color w:val="000000"/>
          <w:sz w:val="22"/>
          <w:szCs w:val="22"/>
          <w:u w:color="000000"/>
          <w:rtl w:val="0"/>
          <w:lang w:val="it-IT"/>
        </w:rPr>
        <w:t xml:space="preserve">gli ho detto &lt;noi a Panzironi (Franco Panzironi, ndr) che comandava gli avemo dato il due e me..2 virgola 5 per cento (2,5 per cento, ndr)...dato 120 mila euro su 5 milioni...mo damo tutti sti soldi a questo?&gt;). </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[Pr.4469-A-10 ore 15:43:43], BUZZI proseguiva sul discorso:</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S: l</w:t>
      </w:r>
      <w:r>
        <w:rPr>
          <w:rFonts w:hAnsi="Book Antiqua" w:hint="default"/>
          <w:color w:val="000000"/>
          <w:sz w:val="22"/>
          <w:szCs w:val="22"/>
          <w:u w:color="000000"/>
          <w:rtl w:val="0"/>
          <w:lang w:val="it-IT"/>
        </w:rPr>
        <w:t>’</w:t>
      </w:r>
      <w:r>
        <w:rPr>
          <w:rFonts w:ascii="Book Antiqua"/>
          <w:color w:val="000000"/>
          <w:sz w:val="22"/>
          <w:szCs w:val="22"/>
          <w:u w:color="000000"/>
          <w:rtl w:val="0"/>
          <w:lang w:val="it-IT"/>
        </w:rPr>
        <w:t>ho detto a Fabrizio...dello schema che mi ha detto CANCELLI (Franco Cancelli, ndr)</w:t>
      </w:r>
      <w:r>
        <w:rPr>
          <w:rFonts w:hAnsi="Book Antiqua" w:hint="default"/>
          <w:color w:val="000000"/>
          <w:sz w:val="22"/>
          <w:szCs w:val="22"/>
          <w:u w:color="000000"/>
          <w:rtl w:val="0"/>
          <w:lang w:val="it-IT"/>
        </w:rPr>
        <w:t>…</w:t>
      </w:r>
      <w:r>
        <w:rPr>
          <w:rFonts w:ascii="Book Antiqua"/>
          <w:color w:val="000000"/>
          <w:sz w:val="22"/>
          <w:szCs w:val="22"/>
          <w:u w:color="000000"/>
          <w:rtl w:val="0"/>
          <w:lang w:val="it-IT"/>
        </w:rPr>
        <w:t xml:space="preserve"> (inc)..CANCELLI </w:t>
      </w:r>
      <w:r>
        <w:rPr>
          <w:rFonts w:hAnsi="Book Antiqua" w:hint="default"/>
          <w:color w:val="000000"/>
          <w:sz w:val="22"/>
          <w:szCs w:val="22"/>
          <w:u w:color="000000"/>
          <w:rtl w:val="0"/>
          <w:lang w:val="it-IT"/>
        </w:rPr>
        <w:t xml:space="preserve">è </w:t>
      </w:r>
      <w:r>
        <w:rPr>
          <w:rFonts w:ascii="Book Antiqua"/>
          <w:color w:val="000000"/>
          <w:sz w:val="22"/>
          <w:szCs w:val="22"/>
          <w:u w:color="000000"/>
          <w:rtl w:val="0"/>
          <w:lang w:val="it-IT"/>
        </w:rPr>
        <w:t>stato ragionevole... CG: lo schema su che, scusa? S: sulla Sicurezza ambie</w:t>
      </w:r>
      <w:r>
        <w:rPr>
          <w:rFonts w:hAnsi="Book Antiqua" w:hint="default"/>
          <w:color w:val="000000"/>
          <w:sz w:val="22"/>
          <w:szCs w:val="22"/>
          <w:u w:color="000000"/>
          <w:rtl w:val="0"/>
          <w:lang w:val="it-IT"/>
        </w:rPr>
        <w:t xml:space="preserve">… </w:t>
      </w:r>
      <w:r>
        <w:rPr>
          <w:rFonts w:ascii="Book Antiqua"/>
          <w:color w:val="000000"/>
          <w:sz w:val="22"/>
          <w:szCs w:val="22"/>
          <w:u w:color="000000"/>
          <w:rtl w:val="0"/>
          <w:lang w:val="it-IT"/>
        </w:rPr>
        <w:t>(fonetico)..uno voi.. uno noi.. uno CNS.. uno la destra... CG: eh.. pure a me m'ha detto lo stesso S: eh.. se lui riesce.. se Massimo se riesce a pigli</w:t>
      </w:r>
      <w:r>
        <w:rPr>
          <w:rFonts w:hAnsi="Book Antiqua" w:hint="default"/>
          <w:color w:val="000000"/>
          <w:sz w:val="22"/>
          <w:szCs w:val="22"/>
          <w:u w:color="000000"/>
          <w:rtl w:val="0"/>
          <w:lang w:val="it-IT"/>
        </w:rPr>
        <w:t xml:space="preserve">à </w:t>
      </w:r>
      <w:r>
        <w:rPr>
          <w:rFonts w:ascii="Book Antiqua"/>
          <w:color w:val="000000"/>
          <w:sz w:val="22"/>
          <w:szCs w:val="22"/>
          <w:u w:color="000000"/>
          <w:rtl w:val="0"/>
          <w:lang w:val="it-IT"/>
        </w:rPr>
        <w:t>quello della destra noi pigliamo (inc)...sta a loro trovasse co la destra!...terza cosa.. PATAN</w:t>
      </w:r>
      <w:r>
        <w:rPr>
          <w:rFonts w:hAnsi="Book Antiqua" w:hint="default"/>
          <w:color w:val="000000"/>
          <w:sz w:val="22"/>
          <w:szCs w:val="22"/>
          <w:u w:color="000000"/>
          <w:rtl w:val="0"/>
          <w:lang w:val="it-IT"/>
        </w:rPr>
        <w:t xml:space="preserve">È </w:t>
      </w:r>
      <w:r>
        <w:rPr>
          <w:rFonts w:ascii="Book Antiqua"/>
          <w:color w:val="000000"/>
          <w:sz w:val="22"/>
          <w:szCs w:val="22"/>
          <w:u w:color="000000"/>
          <w:rtl w:val="0"/>
          <w:lang w:val="it-IT"/>
        </w:rPr>
        <w:t>(Patan</w:t>
      </w:r>
      <w:r>
        <w:rPr>
          <w:rFonts w:hAnsi="Book Antiqua" w:hint="default"/>
          <w:color w:val="000000"/>
          <w:sz w:val="22"/>
          <w:szCs w:val="22"/>
          <w:u w:color="000000"/>
          <w:rtl w:val="0"/>
          <w:lang w:val="it-IT"/>
        </w:rPr>
        <w:t xml:space="preserve">è </w:t>
      </w:r>
      <w:r>
        <w:rPr>
          <w:rFonts w:ascii="Book Antiqua"/>
          <w:color w:val="000000"/>
          <w:sz w:val="22"/>
          <w:szCs w:val="22"/>
          <w:u w:color="000000"/>
          <w:rtl w:val="0"/>
          <w:lang w:val="it-IT"/>
        </w:rPr>
        <w:t>Eugenio, ndr) voleva 120 mila euro a lordo.. allora gli ho detto &lt;scusa... CC: de quale?.. parli de? CG: del Multimateriale EB:</w:t>
        <w:tab/>
        <w:t xml:space="preserve">(inc) S: (inc) amico suo..gli ho detto &lt;noi a PANZIRONI (Franco PANZIRONI, ndr) che comandava gli avemo dato il due e me..2 virgola 5 per cento (2,5 per cento, ndr)...dato 120 mila euro su 5 milioni...mo damo tutti </w:t>
      </w:r>
      <w:r>
        <w:rPr>
          <w:rFonts w:hAnsi="Book Antiqua" w:hint="default"/>
          <w:color w:val="000000"/>
          <w:sz w:val="22"/>
          <w:szCs w:val="22"/>
          <w:u w:color="000000"/>
          <w:rtl w:val="0"/>
          <w:lang w:val="it-IT"/>
        </w:rPr>
        <w:t>‘</w:t>
      </w:r>
      <w:r>
        <w:rPr>
          <w:rFonts w:ascii="Book Antiqua"/>
          <w:color w:val="000000"/>
          <w:sz w:val="22"/>
          <w:szCs w:val="22"/>
          <w:u w:color="000000"/>
          <w:rtl w:val="0"/>
          <w:lang w:val="it-IT"/>
        </w:rPr>
        <w:t>sti soldi a questo?&gt; soggetto maschile: ammazza oh... S:</w:t>
        <w:tab/>
        <w:t>e lui dice &lt;ah per</w:t>
      </w:r>
      <w:r>
        <w:rPr>
          <w:rFonts w:hAnsi="Book Antiqua" w:hint="default"/>
          <w:color w:val="000000"/>
          <w:sz w:val="22"/>
          <w:szCs w:val="22"/>
          <w:u w:color="000000"/>
          <w:rtl w:val="0"/>
          <w:lang w:val="it-IT"/>
        </w:rPr>
        <w:t xml:space="preserve">ò </w:t>
      </w:r>
      <w:r>
        <w:rPr>
          <w:rFonts w:ascii="Book Antiqua"/>
          <w:color w:val="000000"/>
          <w:sz w:val="22"/>
          <w:szCs w:val="22"/>
          <w:u w:color="000000"/>
          <w:rtl w:val="0"/>
          <w:lang w:val="it-IT"/>
        </w:rPr>
        <w:t>bisogna da</w:t>
      </w:r>
      <w:r>
        <w:rPr>
          <w:rFonts w:hAnsi="Book Antiqua" w:hint="default"/>
          <w:color w:val="000000"/>
          <w:sz w:val="22"/>
          <w:szCs w:val="22"/>
          <w:u w:color="000000"/>
          <w:rtl w:val="0"/>
          <w:lang w:val="it-IT"/>
        </w:rPr>
        <w:t>’</w:t>
      </w:r>
      <w:r>
        <w:rPr>
          <w:rFonts w:ascii="Book Antiqua"/>
          <w:color w:val="000000"/>
          <w:sz w:val="22"/>
          <w:szCs w:val="22"/>
          <w:u w:color="000000"/>
          <w:rtl w:val="0"/>
          <w:lang w:val="it-IT"/>
        </w:rPr>
        <w:t>...&gt; e alla fine dice, guarda, dice &lt;la differenza sarebbero 10 mila euro&gt; perch</w:t>
      </w:r>
      <w:r>
        <w:rPr>
          <w:rFonts w:hAnsi="Book Antiqua" w:hint="default"/>
          <w:color w:val="000000"/>
          <w:sz w:val="22"/>
          <w:szCs w:val="22"/>
          <w:u w:color="000000"/>
          <w:rtl w:val="0"/>
          <w:lang w:val="it-IT"/>
        </w:rPr>
        <w:t xml:space="preserve">é </w:t>
      </w:r>
      <w:r>
        <w:rPr>
          <w:rFonts w:ascii="Book Antiqua"/>
          <w:color w:val="000000"/>
          <w:sz w:val="22"/>
          <w:szCs w:val="22"/>
          <w:u w:color="000000"/>
          <w:rtl w:val="0"/>
          <w:lang w:val="it-IT"/>
        </w:rPr>
        <w:t>ne vorrebbe subito 60 e gliene toccherebbero 50...dice &lt;(inc) in pi</w:t>
      </w:r>
      <w:r>
        <w:rPr>
          <w:rFonts w:hAnsi="Book Antiqua" w:hint="default"/>
          <w:color w:val="000000"/>
          <w:sz w:val="22"/>
          <w:szCs w:val="22"/>
          <w:u w:color="000000"/>
          <w:rtl w:val="0"/>
          <w:lang w:val="it-IT"/>
        </w:rPr>
        <w:t xml:space="preserve">ù </w:t>
      </w:r>
      <w:r>
        <w:rPr>
          <w:rFonts w:ascii="Book Antiqua"/>
          <w:color w:val="000000"/>
          <w:sz w:val="22"/>
          <w:szCs w:val="22"/>
          <w:u w:color="000000"/>
          <w:rtl w:val="0"/>
          <w:lang w:val="it-IT"/>
        </w:rPr>
        <w:t>e poi ne possiamo (inc)&gt; ho fatto &lt;oh.. guarda che il problema per</w:t>
      </w:r>
      <w:r>
        <w:rPr>
          <w:rFonts w:hAnsi="Book Antiqua" w:hint="default"/>
          <w:color w:val="000000"/>
          <w:sz w:val="22"/>
          <w:szCs w:val="22"/>
          <w:u w:color="000000"/>
          <w:rtl w:val="0"/>
          <w:lang w:val="it-IT"/>
        </w:rPr>
        <w:t xml:space="preserve">ò è </w:t>
      </w:r>
      <w:r>
        <w:rPr>
          <w:rFonts w:ascii="Book Antiqua"/>
          <w:color w:val="000000"/>
          <w:sz w:val="22"/>
          <w:szCs w:val="22"/>
          <w:u w:color="000000"/>
          <w:rtl w:val="0"/>
          <w:lang w:val="it-IT"/>
        </w:rPr>
        <w:t>la tua aggressivit</w:t>
      </w:r>
      <w:r>
        <w:rPr>
          <w:rFonts w:hAnsi="Book Antiqua" w:hint="default"/>
          <w:color w:val="000000"/>
          <w:sz w:val="22"/>
          <w:szCs w:val="22"/>
          <w:u w:color="000000"/>
          <w:rtl w:val="0"/>
          <w:lang w:val="it-IT"/>
        </w:rPr>
        <w:t>à</w:t>
      </w:r>
      <w:r>
        <w:rPr>
          <w:rFonts w:ascii="Book Antiqua"/>
          <w:color w:val="000000"/>
          <w:sz w:val="22"/>
          <w:szCs w:val="22"/>
          <w:u w:color="000000"/>
          <w:rtl w:val="0"/>
          <w:lang w:val="it-IT"/>
        </w:rPr>
        <w:t>...perch</w:t>
      </w:r>
      <w:r>
        <w:rPr>
          <w:rFonts w:hAnsi="Book Antiqua" w:hint="default"/>
          <w:color w:val="000000"/>
          <w:sz w:val="22"/>
          <w:szCs w:val="22"/>
          <w:u w:color="000000"/>
          <w:rtl w:val="0"/>
          <w:lang w:val="it-IT"/>
        </w:rPr>
        <w:t xml:space="preserve">é </w:t>
      </w:r>
      <w:r>
        <w:rPr>
          <w:rFonts w:ascii="Book Antiqua"/>
          <w:color w:val="000000"/>
          <w:sz w:val="22"/>
          <w:szCs w:val="22"/>
          <w:u w:color="000000"/>
          <w:rtl w:val="0"/>
          <w:lang w:val="it-IT"/>
        </w:rPr>
        <w:t>se Patan</w:t>
      </w:r>
      <w:r>
        <w:rPr>
          <w:rFonts w:hAnsi="Book Antiqua" w:hint="default"/>
          <w:color w:val="000000"/>
          <w:sz w:val="22"/>
          <w:szCs w:val="22"/>
          <w:u w:color="000000"/>
          <w:rtl w:val="0"/>
          <w:lang w:val="it-IT"/>
        </w:rPr>
        <w:t xml:space="preserve">è </w:t>
      </w:r>
      <w:r>
        <w:rPr>
          <w:rFonts w:ascii="Book Antiqua"/>
          <w:color w:val="000000"/>
          <w:sz w:val="22"/>
          <w:szCs w:val="22"/>
          <w:u w:color="000000"/>
          <w:rtl w:val="0"/>
          <w:lang w:val="it-IT"/>
        </w:rPr>
        <w:t>garantisce.. non c</w:t>
      </w:r>
      <w:r>
        <w:rPr>
          <w:rFonts w:hAnsi="Book Antiqua" w:hint="default"/>
          <w:color w:val="000000"/>
          <w:sz w:val="22"/>
          <w:szCs w:val="22"/>
          <w:u w:color="000000"/>
          <w:rtl w:val="0"/>
          <w:lang w:val="it-IT"/>
        </w:rPr>
        <w:t>’</w:t>
      </w:r>
      <w:r>
        <w:rPr>
          <w:rFonts w:ascii="Book Antiqua"/>
          <w:color w:val="000000"/>
          <w:sz w:val="22"/>
          <w:szCs w:val="22"/>
          <w:u w:color="000000"/>
          <w:rtl w:val="0"/>
          <w:lang w:val="it-IT"/>
        </w:rPr>
        <w:t>avemo problemi ma se uno per esser garantito da PATAN</w:t>
      </w:r>
      <w:r>
        <w:rPr>
          <w:rFonts w:hAnsi="Book Antiqua" w:hint="default"/>
          <w:color w:val="000000"/>
          <w:sz w:val="22"/>
          <w:szCs w:val="22"/>
          <w:u w:color="000000"/>
          <w:rtl w:val="0"/>
          <w:lang w:val="it-IT"/>
        </w:rPr>
        <w:t xml:space="preserve">È </w:t>
      </w:r>
      <w:r>
        <w:rPr>
          <w:rFonts w:ascii="Book Antiqua"/>
          <w:color w:val="000000"/>
          <w:sz w:val="22"/>
          <w:szCs w:val="22"/>
          <w:u w:color="000000"/>
          <w:rtl w:val="0"/>
          <w:lang w:val="it-IT"/>
        </w:rPr>
        <w:t>deve ven</w:t>
      </w:r>
      <w:r>
        <w:rPr>
          <w:rFonts w:hAnsi="Book Antiqua" w:hint="default"/>
          <w:color w:val="000000"/>
          <w:sz w:val="22"/>
          <w:szCs w:val="22"/>
          <w:u w:color="000000"/>
          <w:rtl w:val="0"/>
          <w:lang w:val="it-IT"/>
        </w:rPr>
        <w:t xml:space="preserve">ì </w:t>
      </w:r>
      <w:r>
        <w:rPr>
          <w:rFonts w:ascii="Book Antiqua"/>
          <w:color w:val="000000"/>
          <w:sz w:val="22"/>
          <w:szCs w:val="22"/>
          <w:u w:color="000000"/>
          <w:rtl w:val="0"/>
          <w:lang w:val="it-IT"/>
        </w:rPr>
        <w:t xml:space="preserve">da altri&gt;..io non so l'ho chiamato dovrebbe venir oggi...il problema </w:t>
      </w:r>
      <w:r>
        <w:rPr>
          <w:rFonts w:hAnsi="Book Antiqua" w:hint="default"/>
          <w:color w:val="000000"/>
          <w:sz w:val="22"/>
          <w:szCs w:val="22"/>
          <w:u w:color="000000"/>
          <w:rtl w:val="0"/>
          <w:lang w:val="it-IT"/>
        </w:rPr>
        <w:t xml:space="preserve">è </w:t>
      </w:r>
      <w:r>
        <w:rPr>
          <w:rFonts w:ascii="Book Antiqua"/>
          <w:color w:val="000000"/>
          <w:sz w:val="22"/>
          <w:szCs w:val="22"/>
          <w:u w:color="000000"/>
          <w:rtl w:val="0"/>
          <w:lang w:val="it-IT"/>
        </w:rPr>
        <w:t>noi la parte del.. siccome io marted</w:t>
      </w:r>
      <w:r>
        <w:rPr>
          <w:rFonts w:hAnsi="Book Antiqua" w:hint="default"/>
          <w:color w:val="000000"/>
          <w:sz w:val="22"/>
          <w:szCs w:val="22"/>
          <w:u w:color="000000"/>
          <w:rtl w:val="0"/>
          <w:lang w:val="it-IT"/>
        </w:rPr>
        <w:t xml:space="preserve">ì </w:t>
      </w:r>
      <w:r>
        <w:rPr>
          <w:rFonts w:ascii="Book Antiqua"/>
          <w:color w:val="000000"/>
          <w:sz w:val="22"/>
          <w:szCs w:val="22"/>
          <w:u w:color="000000"/>
          <w:rtl w:val="0"/>
          <w:lang w:val="it-IT"/>
        </w:rPr>
        <w:t>incontro PATAN</w:t>
      </w:r>
      <w:r>
        <w:rPr>
          <w:rFonts w:hAnsi="Book Antiqua" w:hint="default"/>
          <w:color w:val="000000"/>
          <w:sz w:val="22"/>
          <w:szCs w:val="22"/>
          <w:u w:color="000000"/>
          <w:rtl w:val="0"/>
          <w:lang w:val="it-IT"/>
        </w:rPr>
        <w:t>È</w:t>
      </w:r>
      <w:r>
        <w:rPr>
          <w:rFonts w:ascii="Book Antiqua"/>
          <w:color w:val="000000"/>
          <w:sz w:val="22"/>
          <w:szCs w:val="22"/>
          <w:u w:color="000000"/>
          <w:rtl w:val="0"/>
          <w:lang w:val="it-IT"/>
        </w:rPr>
        <w:t>, una parte dei soldi io comunque gliela darei...gliela incomincerei a da</w:t>
      </w:r>
      <w:r>
        <w:rPr>
          <w:rFonts w:hAnsi="Book Antiqua" w:hint="default"/>
          <w:color w:val="000000"/>
          <w:sz w:val="22"/>
          <w:szCs w:val="22"/>
          <w:u w:color="000000"/>
          <w:rtl w:val="0"/>
          <w:lang w:val="it-IT"/>
        </w:rPr>
        <w:t>’</w:t>
      </w:r>
      <w:r>
        <w:rPr>
          <w:rFonts w:ascii="Book Antiqua"/>
          <w:color w:val="000000"/>
          <w:sz w:val="22"/>
          <w:szCs w:val="22"/>
          <w:u w:color="000000"/>
          <w:rtl w:val="0"/>
          <w:lang w:val="it-IT"/>
        </w:rPr>
        <w:t>...tanto (inc) de 20..20..20 sui 20 (inc) quando vado all'incontro gli dico &lt;gi</w:t>
      </w:r>
      <w:r>
        <w:rPr>
          <w:rFonts w:hAnsi="Book Antiqua" w:hint="default"/>
          <w:color w:val="000000"/>
          <w:sz w:val="22"/>
          <w:szCs w:val="22"/>
          <w:u w:color="000000"/>
          <w:rtl w:val="0"/>
          <w:lang w:val="it-IT"/>
        </w:rPr>
        <w:t xml:space="preserve">à </w:t>
      </w:r>
      <w:r>
        <w:rPr>
          <w:rFonts w:ascii="Book Antiqua"/>
          <w:color w:val="000000"/>
          <w:sz w:val="22"/>
          <w:szCs w:val="22"/>
          <w:u w:color="000000"/>
          <w:rtl w:val="0"/>
          <w:lang w:val="it-IT"/>
        </w:rPr>
        <w:t>i 20 te li ho dati&gt; perch</w:t>
      </w:r>
      <w:r>
        <w:rPr>
          <w:rFonts w:hAnsi="Book Antiqua" w:hint="default"/>
          <w:color w:val="000000"/>
          <w:sz w:val="22"/>
          <w:szCs w:val="22"/>
          <w:u w:color="000000"/>
          <w:rtl w:val="0"/>
          <w:lang w:val="it-IT"/>
        </w:rPr>
        <w:t xml:space="preserve">é </w:t>
      </w:r>
      <w:r>
        <w:rPr>
          <w:rFonts w:ascii="Book Antiqua"/>
          <w:color w:val="000000"/>
          <w:sz w:val="22"/>
          <w:szCs w:val="22"/>
          <w:u w:color="000000"/>
          <w:rtl w:val="0"/>
          <w:lang w:val="it-IT"/>
        </w:rPr>
        <w:t>se noi chiudiamo con PATAN</w:t>
      </w:r>
      <w:r>
        <w:rPr>
          <w:rFonts w:hAnsi="Book Antiqua" w:hint="default"/>
          <w:color w:val="000000"/>
          <w:sz w:val="22"/>
          <w:szCs w:val="22"/>
          <w:u w:color="000000"/>
          <w:rtl w:val="0"/>
          <w:lang w:val="it-IT"/>
        </w:rPr>
        <w:t>È</w:t>
      </w:r>
      <w:r>
        <w:rPr>
          <w:rFonts w:ascii="Book Antiqua"/>
          <w:color w:val="000000"/>
          <w:sz w:val="22"/>
          <w:szCs w:val="22"/>
          <w:u w:color="000000"/>
          <w:rtl w:val="0"/>
          <w:lang w:val="it-IT"/>
        </w:rPr>
        <w:t>..a PATAN</w:t>
      </w:r>
      <w:r>
        <w:rPr>
          <w:rFonts w:hAnsi="Book Antiqua" w:hint="default"/>
          <w:color w:val="000000"/>
          <w:sz w:val="22"/>
          <w:szCs w:val="22"/>
          <w:u w:color="000000"/>
          <w:rtl w:val="0"/>
          <w:lang w:val="it-IT"/>
        </w:rPr>
        <w:t xml:space="preserve">È </w:t>
      </w:r>
      <w:r>
        <w:rPr>
          <w:rFonts w:ascii="Book Antiqua"/>
          <w:color w:val="000000"/>
          <w:sz w:val="22"/>
          <w:szCs w:val="22"/>
          <w:u w:color="000000"/>
          <w:rtl w:val="0"/>
          <w:lang w:val="it-IT"/>
        </w:rPr>
        <w:t>gli famo cap</w:t>
      </w:r>
      <w:r>
        <w:rPr>
          <w:rFonts w:hAnsi="Book Antiqua" w:hint="default"/>
          <w:color w:val="000000"/>
          <w:sz w:val="22"/>
          <w:szCs w:val="22"/>
          <w:u w:color="000000"/>
          <w:rtl w:val="0"/>
          <w:lang w:val="it-IT"/>
        </w:rPr>
        <w:t xml:space="preserve">ì </w:t>
      </w:r>
      <w:r>
        <w:rPr>
          <w:rFonts w:ascii="Book Antiqua"/>
          <w:color w:val="000000"/>
          <w:sz w:val="22"/>
          <w:szCs w:val="22"/>
          <w:u w:color="000000"/>
          <w:rtl w:val="0"/>
          <w:lang w:val="it-IT"/>
        </w:rPr>
        <w:t>&lt;guarda (inc) noi venimo solo da te per</w:t>
      </w:r>
      <w:r>
        <w:rPr>
          <w:rFonts w:hAnsi="Book Antiqua" w:hint="default"/>
          <w:color w:val="000000"/>
          <w:sz w:val="22"/>
          <w:szCs w:val="22"/>
          <w:u w:color="000000"/>
          <w:rtl w:val="0"/>
          <w:lang w:val="it-IT"/>
        </w:rPr>
        <w:t>ò</w:t>
      </w:r>
      <w:r>
        <w:rPr>
          <w:rFonts w:ascii="Book Antiqua"/>
          <w:color w:val="000000"/>
          <w:sz w:val="22"/>
          <w:szCs w:val="22"/>
          <w:u w:color="000000"/>
          <w:rtl w:val="0"/>
          <w:lang w:val="it-IT"/>
        </w:rPr>
        <w:t xml:space="preserve">..&gt; non </w:t>
      </w:r>
      <w:r>
        <w:rPr>
          <w:rFonts w:hAnsi="Book Antiqua" w:hint="default"/>
          <w:color w:val="000000"/>
          <w:sz w:val="22"/>
          <w:szCs w:val="22"/>
          <w:u w:color="000000"/>
          <w:rtl w:val="0"/>
          <w:lang w:val="it-IT"/>
        </w:rPr>
        <w:t xml:space="preserve">è </w:t>
      </w:r>
      <w:r>
        <w:rPr>
          <w:rFonts w:ascii="Book Antiqua"/>
          <w:color w:val="000000"/>
          <w:sz w:val="22"/>
          <w:szCs w:val="22"/>
          <w:u w:color="000000"/>
          <w:rtl w:val="0"/>
          <w:lang w:val="it-IT"/>
        </w:rPr>
        <w:t>che pu</w:t>
      </w:r>
      <w:r>
        <w:rPr>
          <w:rFonts w:hAnsi="Book Antiqua" w:hint="default"/>
          <w:color w:val="000000"/>
          <w:sz w:val="22"/>
          <w:szCs w:val="22"/>
          <w:u w:color="000000"/>
          <w:rtl w:val="0"/>
          <w:lang w:val="it-IT"/>
        </w:rPr>
        <w:t xml:space="preserve">ò </w:t>
      </w:r>
      <w:r>
        <w:rPr>
          <w:rFonts w:ascii="Book Antiqua"/>
          <w:color w:val="000000"/>
          <w:sz w:val="22"/>
          <w:szCs w:val="22"/>
          <w:u w:color="000000"/>
          <w:rtl w:val="0"/>
          <w:lang w:val="it-IT"/>
        </w:rPr>
        <w:t>esse CANCELLI semo pure noi che semo bravi</w:t>
      </w:r>
      <w:r>
        <w:rPr>
          <w:rFonts w:hAnsi="Book Antiqua" w:hint="default"/>
          <w:color w:val="000000"/>
          <w:sz w:val="22"/>
          <w:szCs w:val="22"/>
          <w:u w:color="000000"/>
          <w:rtl w:val="0"/>
          <w:lang w:val="it-IT"/>
        </w:rPr>
        <w:t xml:space="preserve">… </w:t>
      </w:r>
      <w:r>
        <w:rPr>
          <w:rFonts w:ascii="Book Antiqua"/>
          <w:color w:val="000000"/>
          <w:sz w:val="22"/>
          <w:szCs w:val="22"/>
          <w:u w:color="000000"/>
          <w:rtl w:val="0"/>
          <w:lang w:val="it-IT"/>
        </w:rPr>
        <w:t>avemo</w:t>
      </w:r>
      <w:r>
        <w:rPr>
          <w:rFonts w:hAnsi="Book Antiqua" w:hint="default"/>
          <w:color w:val="000000"/>
          <w:sz w:val="22"/>
          <w:szCs w:val="22"/>
          <w:u w:color="000000"/>
          <w:rtl w:val="0"/>
          <w:lang w:val="it-IT"/>
        </w:rPr>
        <w:t xml:space="preserve">… </w:t>
      </w:r>
      <w:r>
        <w:rPr>
          <w:rFonts w:ascii="Book Antiqua"/>
          <w:color w:val="000000"/>
          <w:sz w:val="22"/>
          <w:szCs w:val="22"/>
          <w:u w:color="000000"/>
          <w:rtl w:val="0"/>
          <w:lang w:val="it-IT"/>
        </w:rPr>
        <w:t>avemo preso tutto.. perch</w:t>
      </w:r>
      <w:r>
        <w:rPr>
          <w:rFonts w:hAnsi="Book Antiqua" w:hint="default"/>
          <w:color w:val="000000"/>
          <w:sz w:val="22"/>
          <w:szCs w:val="22"/>
          <w:u w:color="000000"/>
          <w:rtl w:val="0"/>
          <w:lang w:val="it-IT"/>
        </w:rPr>
        <w:t xml:space="preserve">é </w:t>
      </w:r>
      <w:r>
        <w:rPr>
          <w:rFonts w:ascii="Book Antiqua"/>
          <w:color w:val="000000"/>
          <w:sz w:val="22"/>
          <w:szCs w:val="22"/>
          <w:u w:color="000000"/>
          <w:rtl w:val="0"/>
          <w:lang w:val="it-IT"/>
        </w:rPr>
        <w:t>non c'</w:t>
      </w:r>
      <w:r>
        <w:rPr>
          <w:rFonts w:hAnsi="Book Antiqua" w:hint="default"/>
          <w:color w:val="000000"/>
          <w:sz w:val="22"/>
          <w:szCs w:val="22"/>
          <w:u w:color="000000"/>
          <w:rtl w:val="0"/>
          <w:lang w:val="it-IT"/>
        </w:rPr>
        <w:t xml:space="preserve">è </w:t>
      </w:r>
      <w:r>
        <w:rPr>
          <w:rFonts w:ascii="Book Antiqua"/>
          <w:color w:val="000000"/>
          <w:sz w:val="22"/>
          <w:szCs w:val="22"/>
          <w:u w:color="000000"/>
          <w:rtl w:val="0"/>
          <w:lang w:val="it-IT"/>
        </w:rPr>
        <w:t>pi</w:t>
      </w:r>
      <w:r>
        <w:rPr>
          <w:rFonts w:hAnsi="Book Antiqua" w:hint="default"/>
          <w:color w:val="000000"/>
          <w:sz w:val="22"/>
          <w:szCs w:val="22"/>
          <w:u w:color="000000"/>
          <w:rtl w:val="0"/>
          <w:lang w:val="it-IT"/>
        </w:rPr>
        <w:t xml:space="preserve">ù </w:t>
      </w:r>
      <w:r>
        <w:rPr>
          <w:rFonts w:ascii="Book Antiqua"/>
          <w:color w:val="000000"/>
          <w:sz w:val="22"/>
          <w:szCs w:val="22"/>
          <w:u w:color="000000"/>
          <w:rtl w:val="0"/>
          <w:lang w:val="it-IT"/>
        </w:rPr>
        <w:t>(inc) soggetto maschile: certo CC: (inc) S: (inc) poi l'opposizione c'avemo pure noi perch</w:t>
      </w:r>
      <w:r>
        <w:rPr>
          <w:rFonts w:hAnsi="Book Antiqua" w:hint="default"/>
          <w:color w:val="000000"/>
          <w:sz w:val="22"/>
          <w:szCs w:val="22"/>
          <w:u w:color="000000"/>
          <w:rtl w:val="0"/>
          <w:lang w:val="it-IT"/>
        </w:rPr>
        <w:t xml:space="preserve">é </w:t>
      </w:r>
      <w:r>
        <w:rPr>
          <w:rFonts w:ascii="Book Antiqua"/>
          <w:color w:val="000000"/>
          <w:sz w:val="22"/>
          <w:szCs w:val="22"/>
          <w:u w:color="000000"/>
          <w:rtl w:val="0"/>
          <w:lang w:val="it-IT"/>
        </w:rPr>
        <w:t xml:space="preserve">..QUARZO </w:t>
      </w:r>
      <w:r>
        <w:rPr>
          <w:rFonts w:hAnsi="Book Antiqua" w:hint="default"/>
          <w:color w:val="000000"/>
          <w:sz w:val="22"/>
          <w:szCs w:val="22"/>
          <w:u w:color="000000"/>
          <w:rtl w:val="0"/>
          <w:lang w:val="it-IT"/>
        </w:rPr>
        <w:t xml:space="preserve">è </w:t>
      </w:r>
      <w:r>
        <w:rPr>
          <w:rFonts w:ascii="Book Antiqua"/>
          <w:color w:val="000000"/>
          <w:sz w:val="22"/>
          <w:szCs w:val="22"/>
          <w:u w:color="000000"/>
          <w:rtl w:val="0"/>
          <w:lang w:val="it-IT"/>
        </w:rPr>
        <w:t xml:space="preserve">(inc) CG: e questo Franco </w:t>
      </w:r>
      <w:r>
        <w:rPr>
          <w:rFonts w:hAnsi="Book Antiqua" w:hint="default"/>
          <w:color w:val="000000"/>
          <w:sz w:val="22"/>
          <w:szCs w:val="22"/>
          <w:u w:color="000000"/>
          <w:rtl w:val="0"/>
          <w:lang w:val="it-IT"/>
        </w:rPr>
        <w:t xml:space="preserve">è </w:t>
      </w:r>
      <w:r>
        <w:rPr>
          <w:rFonts w:ascii="Book Antiqua"/>
          <w:color w:val="000000"/>
          <w:sz w:val="22"/>
          <w:szCs w:val="22"/>
          <w:u w:color="000000"/>
          <w:rtl w:val="0"/>
          <w:lang w:val="it-IT"/>
        </w:rPr>
        <w:t>stato d'accordo? S: (inc) opposizione non gli ho detto un cazzo CG: no no</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Il 26.05.2014, all</w:t>
      </w:r>
      <w:r>
        <w:rPr>
          <w:rFonts w:hAnsi="Book Antiqua" w:hint="default"/>
          <w:color w:val="000000"/>
          <w:sz w:val="22"/>
          <w:szCs w:val="22"/>
          <w:u w:color="000000"/>
          <w:rtl w:val="0"/>
          <w:lang w:val="it-IT"/>
        </w:rPr>
        <w:t>’</w:t>
      </w:r>
      <w:r>
        <w:rPr>
          <w:rFonts w:ascii="Book Antiqua"/>
          <w:color w:val="000000"/>
          <w:sz w:val="22"/>
          <w:szCs w:val="22"/>
          <w:u w:color="000000"/>
          <w:rtl w:val="0"/>
          <w:lang w:val="it-IT"/>
        </w:rPr>
        <w:t>interno degli uffici della Coop. 29 Giugno, Salvatore BUZZI, unitamente a Carlo GUARANY, Paolo DI NINNO e Claudio CALDARELLI, faceva nuovamente un chiaro riferimento all</w:t>
      </w:r>
      <w:r>
        <w:rPr>
          <w:rFonts w:hAnsi="Book Antiqua" w:hint="default"/>
          <w:color w:val="000000"/>
          <w:sz w:val="22"/>
          <w:szCs w:val="22"/>
          <w:u w:color="000000"/>
          <w:rtl w:val="0"/>
          <w:lang w:val="it-IT"/>
        </w:rPr>
        <w:t>’</w:t>
      </w:r>
      <w:r>
        <w:rPr>
          <w:rFonts w:ascii="Book Antiqua"/>
          <w:color w:val="000000"/>
          <w:sz w:val="22"/>
          <w:szCs w:val="22"/>
          <w:u w:color="000000"/>
          <w:rtl w:val="0"/>
          <w:lang w:val="it-IT"/>
        </w:rPr>
        <w:t>insistenza di Franco CANCELLI per ulteriori pagamenti a PATAN</w:t>
      </w:r>
      <w:r>
        <w:rPr>
          <w:rFonts w:hAnsi="Book Antiqua" w:hint="default"/>
          <w:color w:val="000000"/>
          <w:sz w:val="22"/>
          <w:szCs w:val="22"/>
          <w:u w:color="000000"/>
          <w:rtl w:val="0"/>
          <w:lang w:val="it-IT"/>
        </w:rPr>
        <w:t>È</w:t>
      </w:r>
      <w:r>
        <w:rPr>
          <w:rFonts w:ascii="Book Antiqua"/>
          <w:color w:val="000000"/>
          <w:sz w:val="22"/>
          <w:szCs w:val="22"/>
          <w:u w:color="000000"/>
          <w:rtl w:val="0"/>
          <w:lang w:val="it-IT"/>
        </w:rPr>
        <w:t>, con lo stesso BUZZI che lasciava intendere di non volerne sapere poich</w:t>
      </w:r>
      <w:r>
        <w:rPr>
          <w:rFonts w:hAnsi="Book Antiqua" w:hint="default"/>
          <w:color w:val="000000"/>
          <w:sz w:val="22"/>
          <w:szCs w:val="22"/>
          <w:u w:color="000000"/>
          <w:rtl w:val="0"/>
          <w:lang w:val="it-IT"/>
        </w:rPr>
        <w:t xml:space="preserve">é </w:t>
      </w:r>
      <w:r>
        <w:rPr>
          <w:rFonts w:ascii="Book Antiqua"/>
          <w:color w:val="000000"/>
          <w:sz w:val="22"/>
          <w:szCs w:val="22"/>
          <w:u w:color="000000"/>
          <w:rtl w:val="0"/>
          <w:lang w:val="it-IT"/>
        </w:rPr>
        <w:t>aveva gi</w:t>
      </w:r>
      <w:r>
        <w:rPr>
          <w:rFonts w:hAnsi="Book Antiqua" w:hint="default"/>
          <w:color w:val="000000"/>
          <w:sz w:val="22"/>
          <w:szCs w:val="22"/>
          <w:u w:color="000000"/>
          <w:rtl w:val="0"/>
          <w:lang w:val="it-IT"/>
        </w:rPr>
        <w:t xml:space="preserve">à </w:t>
      </w:r>
      <w:r>
        <w:rPr>
          <w:rFonts w:ascii="Book Antiqua"/>
          <w:color w:val="000000"/>
          <w:sz w:val="22"/>
          <w:szCs w:val="22"/>
          <w:u w:color="000000"/>
          <w:rtl w:val="0"/>
          <w:lang w:val="it-IT"/>
        </w:rPr>
        <w:t>provveduto alla dazione di 10.000.</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 xml:space="preserve">[nelle intercettazioni ambientali del 26 maggio 2014 Pr.4706-A-6 @ 12:47 e Pr.4706-A-6 @ 12:50:34, sono contenuti riferimenti discorsivi dei presenti - Salvatore Buzzi, Carlo Guarany, Paolo Di Ninno, Claudio Caldarelli </w:t>
      </w:r>
      <w:r>
        <w:rPr>
          <w:rFonts w:hAnsi="Book Antiqua" w:hint="default"/>
          <w:color w:val="000000"/>
          <w:u w:color="000000"/>
          <w:rtl w:val="0"/>
          <w:lang w:val="it-IT"/>
        </w:rPr>
        <w:t xml:space="preserve">– </w:t>
      </w:r>
      <w:r>
        <w:rPr>
          <w:rFonts w:ascii="Book Antiqua"/>
          <w:color w:val="000000"/>
          <w:u w:color="000000"/>
          <w:rtl w:val="0"/>
          <w:lang w:val="it-IT"/>
        </w:rPr>
        <w:t xml:space="preserve">ai seguenti ulteriori soggetti: </w:t>
      </w:r>
      <w:r>
        <w:rPr>
          <w:rFonts w:hAnsi="Book Antiqua" w:hint="default"/>
          <w:color w:val="000000"/>
          <w:u w:color="000000"/>
          <w:rtl w:val="0"/>
          <w:lang w:val="it-IT"/>
        </w:rPr>
        <w:t>“</w:t>
      </w:r>
      <w:r>
        <w:rPr>
          <w:rFonts w:ascii="Book Antiqua"/>
          <w:color w:val="000000"/>
          <w:u w:color="000000"/>
          <w:rtl w:val="0"/>
          <w:lang w:val="it-IT"/>
        </w:rPr>
        <w:t>Ciro</w:t>
      </w:r>
      <w:r>
        <w:rPr>
          <w:rFonts w:hAnsi="Book Antiqua" w:hint="default"/>
          <w:color w:val="000000"/>
          <w:u w:color="000000"/>
          <w:rtl w:val="0"/>
          <w:lang w:val="it-IT"/>
        </w:rPr>
        <w:t>”</w:t>
      </w:r>
      <w:r>
        <w:rPr>
          <w:rFonts w:ascii="Book Antiqua"/>
          <w:color w:val="000000"/>
          <w:u w:color="000000"/>
          <w:rtl w:val="0"/>
          <w:lang w:val="it-IT"/>
        </w:rPr>
        <w:t xml:space="preserve">, </w:t>
      </w:r>
      <w:r>
        <w:rPr>
          <w:rFonts w:hAnsi="Book Antiqua" w:hint="default"/>
          <w:color w:val="000000"/>
          <w:u w:color="000000"/>
          <w:rtl w:val="0"/>
          <w:lang w:val="it-IT"/>
        </w:rPr>
        <w:t>“</w:t>
      </w:r>
      <w:r>
        <w:rPr>
          <w:rFonts w:ascii="Book Antiqua"/>
          <w:color w:val="000000"/>
          <w:u w:color="000000"/>
          <w:rtl w:val="0"/>
          <w:lang w:val="it-IT"/>
        </w:rPr>
        <w:t>noi come Lega</w:t>
      </w:r>
      <w:r>
        <w:rPr>
          <w:rFonts w:hAnsi="Book Antiqua" w:hint="default"/>
          <w:color w:val="000000"/>
          <w:u w:color="000000"/>
          <w:rtl w:val="0"/>
          <w:lang w:val="it-IT"/>
        </w:rPr>
        <w:t>”</w:t>
      </w:r>
      <w:r>
        <w:rPr>
          <w:rFonts w:ascii="Book Antiqua"/>
          <w:color w:val="000000"/>
          <w:u w:color="000000"/>
          <w:rtl w:val="0"/>
          <w:lang w:val="it-IT"/>
        </w:rPr>
        <w:t xml:space="preserve">, </w:t>
      </w:r>
      <w:r>
        <w:rPr>
          <w:rFonts w:hAnsi="Book Antiqua" w:hint="default"/>
          <w:color w:val="000000"/>
          <w:u w:color="000000"/>
          <w:rtl w:val="0"/>
          <w:lang w:val="it-IT"/>
        </w:rPr>
        <w:t>“</w:t>
      </w:r>
      <w:r>
        <w:rPr>
          <w:rFonts w:ascii="Book Antiqua"/>
          <w:color w:val="000000"/>
          <w:u w:color="000000"/>
          <w:rtl w:val="0"/>
          <w:lang w:val="it-IT"/>
        </w:rPr>
        <w:t>Cosma</w:t>
      </w:r>
      <w:r>
        <w:rPr>
          <w:rFonts w:hAnsi="Book Antiqua" w:hint="default"/>
          <w:color w:val="000000"/>
          <w:u w:color="000000"/>
          <w:rtl w:val="0"/>
          <w:lang w:val="it-IT"/>
        </w:rPr>
        <w:t>”</w:t>
      </w:r>
      <w:r>
        <w:rPr>
          <w:rFonts w:ascii="Book Antiqua"/>
          <w:color w:val="000000"/>
          <w:u w:color="000000"/>
          <w:rtl w:val="0"/>
          <w:lang w:val="it-IT"/>
        </w:rPr>
        <w:t xml:space="preserve">, </w:t>
      </w:r>
      <w:r>
        <w:rPr>
          <w:rFonts w:hAnsi="Book Antiqua" w:hint="default"/>
          <w:color w:val="000000"/>
          <w:u w:color="000000"/>
          <w:rtl w:val="0"/>
          <w:lang w:val="it-IT"/>
        </w:rPr>
        <w:t>“</w:t>
      </w:r>
      <w:r>
        <w:rPr>
          <w:rFonts w:ascii="Book Antiqua"/>
          <w:color w:val="000000"/>
          <w:u w:color="000000"/>
          <w:rtl w:val="0"/>
          <w:lang w:val="it-IT"/>
        </w:rPr>
        <w:t>AGCI</w:t>
      </w:r>
      <w:r>
        <w:rPr>
          <w:rFonts w:hAnsi="Book Antiqua" w:hint="default"/>
          <w:color w:val="000000"/>
          <w:u w:color="000000"/>
          <w:rtl w:val="0"/>
          <w:lang w:val="it-IT"/>
        </w:rPr>
        <w:t>”</w:t>
      </w:r>
      <w:r>
        <w:rPr>
          <w:rFonts w:ascii="Book Antiqua"/>
          <w:color w:val="000000"/>
          <w:u w:color="000000"/>
          <w:rtl w:val="0"/>
          <w:lang w:val="it-IT"/>
        </w:rPr>
        <w:t xml:space="preserve">, </w:t>
      </w:r>
      <w:r>
        <w:rPr>
          <w:rFonts w:hAnsi="Book Antiqua" w:hint="default"/>
          <w:color w:val="000000"/>
          <w:u w:color="000000"/>
          <w:rtl w:val="0"/>
          <w:lang w:val="it-IT"/>
        </w:rPr>
        <w:t>“</w:t>
      </w:r>
      <w:r>
        <w:rPr>
          <w:rFonts w:ascii="Book Antiqua"/>
          <w:color w:val="000000"/>
          <w:u w:color="000000"/>
          <w:rtl w:val="0"/>
          <w:lang w:val="it-IT"/>
        </w:rPr>
        <w:t>Unicoop</w:t>
      </w:r>
      <w:r>
        <w:rPr>
          <w:rFonts w:hAnsi="Book Antiqua" w:hint="default"/>
          <w:color w:val="000000"/>
          <w:u w:color="000000"/>
          <w:rtl w:val="0"/>
          <w:lang w:val="it-IT"/>
        </w:rPr>
        <w:t>”</w:t>
      </w:r>
      <w:r>
        <w:rPr>
          <w:rFonts w:ascii="Book Antiqua"/>
          <w:color w:val="000000"/>
          <w:u w:color="000000"/>
          <w:rtl w:val="0"/>
          <w:lang w:val="it-IT"/>
        </w:rPr>
        <w:t xml:space="preserve">, </w:t>
      </w:r>
      <w:r>
        <w:rPr>
          <w:rFonts w:hAnsi="Book Antiqua" w:hint="default"/>
          <w:color w:val="000000"/>
          <w:u w:color="000000"/>
          <w:rtl w:val="0"/>
          <w:lang w:val="it-IT"/>
        </w:rPr>
        <w:t>“</w:t>
      </w:r>
      <w:r>
        <w:rPr>
          <w:rFonts w:ascii="Book Antiqua"/>
          <w:color w:val="000000"/>
          <w:u w:color="000000"/>
          <w:rtl w:val="0"/>
          <w:lang w:val="it-IT"/>
        </w:rPr>
        <w:t>Pomponi</w:t>
      </w:r>
      <w:r>
        <w:rPr>
          <w:rFonts w:hAnsi="Book Antiqua" w:hint="default"/>
          <w:color w:val="000000"/>
          <w:u w:color="000000"/>
          <w:rtl w:val="0"/>
          <w:lang w:val="it-IT"/>
        </w:rPr>
        <w:t>”</w:t>
      </w:r>
      <w:r>
        <w:rPr>
          <w:rFonts w:ascii="Book Antiqua"/>
          <w:color w:val="000000"/>
          <w:u w:color="000000"/>
          <w:rtl w:val="0"/>
          <w:lang w:val="it-IT"/>
        </w:rPr>
        <w:t xml:space="preserve">, </w:t>
      </w:r>
      <w:r>
        <w:rPr>
          <w:rFonts w:hAnsi="Book Antiqua" w:hint="default"/>
          <w:color w:val="000000"/>
          <w:u w:color="000000"/>
          <w:rtl w:val="0"/>
          <w:lang w:val="it-IT"/>
        </w:rPr>
        <w:t>“</w:t>
      </w:r>
      <w:r>
        <w:rPr>
          <w:rFonts w:ascii="Book Antiqua"/>
          <w:color w:val="000000"/>
          <w:u w:color="000000"/>
          <w:rtl w:val="0"/>
          <w:lang w:val="it-IT"/>
        </w:rPr>
        <w:t>Presidente Bolla</w:t>
      </w:r>
      <w:r>
        <w:rPr>
          <w:rFonts w:hAnsi="Book Antiqua" w:hint="default"/>
          <w:color w:val="000000"/>
          <w:u w:color="000000"/>
          <w:rtl w:val="0"/>
          <w:lang w:val="it-IT"/>
        </w:rPr>
        <w:t>”</w:t>
      </w:r>
      <w:r>
        <w:rPr>
          <w:rFonts w:ascii="Book Antiqua"/>
          <w:color w:val="000000"/>
          <w:u w:color="000000"/>
          <w:rtl w:val="0"/>
          <w:lang w:val="it-IT"/>
        </w:rPr>
        <w:t xml:space="preserve">, </w:t>
      </w:r>
      <w:r>
        <w:rPr>
          <w:rFonts w:hAnsi="Book Antiqua" w:hint="default"/>
          <w:color w:val="000000"/>
          <w:u w:color="000000"/>
          <w:rtl w:val="0"/>
          <w:lang w:val="it-IT"/>
        </w:rPr>
        <w:t>“</w:t>
      </w:r>
      <w:r>
        <w:rPr>
          <w:rFonts w:ascii="Book Antiqua"/>
          <w:color w:val="000000"/>
          <w:u w:color="000000"/>
          <w:rtl w:val="0"/>
          <w:lang w:val="it-IT"/>
        </w:rPr>
        <w:t>Adriana</w:t>
      </w:r>
      <w:r>
        <w:rPr>
          <w:rFonts w:hAnsi="Book Antiqua" w:hint="default"/>
          <w:color w:val="000000"/>
          <w:u w:color="000000"/>
          <w:rtl w:val="0"/>
          <w:lang w:val="it-IT"/>
        </w:rPr>
        <w:t>”</w:t>
      </w:r>
      <w:r>
        <w:rPr>
          <w:rFonts w:ascii="Book Antiqua"/>
          <w:color w:val="000000"/>
          <w:u w:color="000000"/>
          <w:rtl w:val="0"/>
          <w:lang w:val="it-IT"/>
        </w:rPr>
        <w:t xml:space="preserve">, </w:t>
      </w:r>
      <w:r>
        <w:rPr>
          <w:rFonts w:hAnsi="Book Antiqua" w:hint="default"/>
          <w:color w:val="000000"/>
          <w:u w:color="000000"/>
          <w:rtl w:val="0"/>
          <w:lang w:val="it-IT"/>
        </w:rPr>
        <w:t>“</w:t>
      </w:r>
      <w:r>
        <w:rPr>
          <w:rFonts w:ascii="Book Antiqua"/>
          <w:color w:val="000000"/>
          <w:u w:color="000000"/>
          <w:rtl w:val="0"/>
          <w:lang w:val="it-IT"/>
        </w:rPr>
        <w:t>questa Societ</w:t>
      </w:r>
      <w:r>
        <w:rPr>
          <w:rFonts w:hAnsi="Book Antiqua" w:hint="default"/>
          <w:color w:val="000000"/>
          <w:u w:color="000000"/>
          <w:rtl w:val="0"/>
          <w:lang w:val="it-IT"/>
        </w:rPr>
        <w:t xml:space="preserve">à </w:t>
      </w:r>
      <w:r>
        <w:rPr>
          <w:rFonts w:ascii="Book Antiqua"/>
          <w:color w:val="000000"/>
          <w:u w:color="000000"/>
          <w:rtl w:val="0"/>
          <w:lang w:val="it-IT"/>
        </w:rPr>
        <w:t>di Firenze (indicata da Forlenza)</w:t>
      </w:r>
      <w:r>
        <w:rPr>
          <w:rFonts w:hAnsi="Book Antiqua" w:hint="default"/>
          <w:color w:val="000000"/>
          <w:u w:color="000000"/>
          <w:rtl w:val="0"/>
          <w:lang w:val="it-IT"/>
        </w:rPr>
        <w:t>”</w:t>
      </w:r>
      <w:r>
        <w:rPr>
          <w:rFonts w:ascii="Book Antiqua"/>
          <w:color w:val="000000"/>
          <w:u w:color="000000"/>
          <w:rtl w:val="0"/>
          <w:lang w:val="it-IT"/>
        </w:rPr>
        <w:t>]</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rPr>
          <w:rFonts w:ascii="Book Antiqua" w:cs="Book Antiqua" w:hAnsi="Book Antiqua" w:eastAsia="Book Antiqua"/>
          <w:color w:val="000000"/>
          <w:sz w:val="22"/>
          <w:szCs w:val="22"/>
          <w:u w:color="000000"/>
        </w:rPr>
      </w:pPr>
    </w:p>
    <w:p>
      <w:pPr>
        <w:pStyle w:val="Normal"/>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 xml:space="preserve">[p. 652, p. 752] </w:t>
      </w:r>
    </w:p>
    <w:p>
      <w:pPr>
        <w:pStyle w:val="Normal"/>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[Assegnazione della raccolta differenziata per il comune di Roma]</w:t>
      </w:r>
    </w:p>
    <w:p>
      <w:pPr>
        <w:pStyle w:val="Normal"/>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Le investigazioni svolte [</w:t>
      </w:r>
      <w:r>
        <w:rPr>
          <w:rFonts w:hAnsi="Book Antiqua" w:hint="default"/>
          <w:color w:val="000000"/>
          <w:sz w:val="22"/>
          <w:szCs w:val="22"/>
          <w:u w:color="000000"/>
          <w:rtl w:val="0"/>
          <w:lang w:val="it-IT"/>
        </w:rPr>
        <w:t>…</w:t>
      </w:r>
      <w:r>
        <w:rPr>
          <w:rFonts w:ascii="Book Antiqua"/>
          <w:color w:val="000000"/>
          <w:sz w:val="22"/>
          <w:szCs w:val="22"/>
          <w:u w:color="000000"/>
          <w:rtl w:val="0"/>
          <w:lang w:val="it-IT"/>
        </w:rPr>
        <w:t>] hanno consentito di individuare specifiche ipotesi nelle quali la curvatura privatistica impressa all</w:t>
      </w:r>
      <w:r>
        <w:rPr>
          <w:rFonts w:hAnsi="Book Antiqua" w:hint="default"/>
          <w:color w:val="000000"/>
          <w:sz w:val="22"/>
          <w:szCs w:val="22"/>
          <w:u w:color="000000"/>
          <w:rtl w:val="0"/>
          <w:lang w:val="it-IT"/>
        </w:rPr>
        <w:t>’</w:t>
      </w:r>
      <w:r>
        <w:rPr>
          <w:rFonts w:ascii="Book Antiqua"/>
          <w:color w:val="000000"/>
          <w:sz w:val="22"/>
          <w:szCs w:val="22"/>
          <w:u w:color="000000"/>
          <w:rtl w:val="0"/>
          <w:lang w:val="it-IT"/>
        </w:rPr>
        <w:t xml:space="preserve">esercizio della funzione per effetto della sua vendita si </w:t>
      </w:r>
      <w:r>
        <w:rPr>
          <w:rFonts w:hAnsi="Book Antiqua" w:hint="default"/>
          <w:color w:val="000000"/>
          <w:sz w:val="22"/>
          <w:szCs w:val="22"/>
          <w:u w:color="000000"/>
          <w:rtl w:val="0"/>
          <w:lang w:val="it-IT"/>
        </w:rPr>
        <w:t xml:space="preserve">è </w:t>
      </w:r>
      <w:r>
        <w:rPr>
          <w:rFonts w:ascii="Book Antiqua"/>
          <w:color w:val="000000"/>
          <w:sz w:val="22"/>
          <w:szCs w:val="22"/>
          <w:u w:color="000000"/>
          <w:rtl w:val="0"/>
          <w:lang w:val="it-IT"/>
        </w:rPr>
        <w:t>tradotta in specifici atti, palesemente contrari ai doveri d</w:t>
      </w:r>
      <w:r>
        <w:rPr>
          <w:rFonts w:hAnsi="Book Antiqua" w:hint="default"/>
          <w:color w:val="000000"/>
          <w:sz w:val="22"/>
          <w:szCs w:val="22"/>
          <w:u w:color="000000"/>
          <w:rtl w:val="0"/>
          <w:lang w:val="it-IT"/>
        </w:rPr>
        <w:t>’</w:t>
      </w:r>
      <w:r>
        <w:rPr>
          <w:rFonts w:ascii="Book Antiqua"/>
          <w:color w:val="000000"/>
          <w:sz w:val="22"/>
          <w:szCs w:val="22"/>
          <w:u w:color="000000"/>
          <w:rtl w:val="0"/>
          <w:lang w:val="it-IT"/>
        </w:rPr>
        <w:t xml:space="preserve">ufficio. La prima delle ipotesi considerate </w:t>
      </w:r>
      <w:r>
        <w:rPr>
          <w:rFonts w:hAnsi="Book Antiqua" w:hint="default"/>
          <w:color w:val="000000"/>
          <w:sz w:val="22"/>
          <w:szCs w:val="22"/>
          <w:u w:color="000000"/>
          <w:rtl w:val="0"/>
          <w:lang w:val="it-IT"/>
        </w:rPr>
        <w:t xml:space="preserve">è </w:t>
      </w:r>
      <w:r>
        <w:rPr>
          <w:rFonts w:ascii="Book Antiqua"/>
          <w:color w:val="000000"/>
          <w:sz w:val="22"/>
          <w:szCs w:val="22"/>
          <w:u w:color="000000"/>
          <w:rtl w:val="0"/>
          <w:lang w:val="it-IT"/>
        </w:rPr>
        <w:t>relativa all</w:t>
      </w:r>
      <w:r>
        <w:rPr>
          <w:rFonts w:hAnsi="Book Antiqua" w:hint="default"/>
          <w:color w:val="000000"/>
          <w:sz w:val="22"/>
          <w:szCs w:val="22"/>
          <w:u w:color="000000"/>
          <w:rtl w:val="0"/>
          <w:lang w:val="it-IT"/>
        </w:rPr>
        <w:t>’</w:t>
      </w:r>
      <w:r>
        <w:rPr>
          <w:rFonts w:ascii="Book Antiqua"/>
          <w:color w:val="000000"/>
          <w:sz w:val="22"/>
          <w:szCs w:val="22"/>
          <w:u w:color="000000"/>
          <w:rtl w:val="0"/>
          <w:lang w:val="it-IT"/>
        </w:rPr>
        <w:t>aggiudicazione della gara 18/2011 avvenuta il 5.12.12, relativa all</w:t>
      </w:r>
      <w:r>
        <w:rPr>
          <w:rFonts w:hAnsi="Book Antiqua" w:hint="default"/>
          <w:color w:val="000000"/>
          <w:sz w:val="22"/>
          <w:szCs w:val="22"/>
          <w:u w:color="000000"/>
          <w:rtl w:val="0"/>
          <w:lang w:val="it-IT"/>
        </w:rPr>
        <w:t>’</w:t>
      </w:r>
      <w:r>
        <w:rPr>
          <w:rFonts w:ascii="Book Antiqua"/>
          <w:color w:val="000000"/>
          <w:sz w:val="22"/>
          <w:szCs w:val="22"/>
          <w:u w:color="000000"/>
          <w:rtl w:val="0"/>
          <w:lang w:val="it-IT"/>
        </w:rPr>
        <w:t xml:space="preserve">assegnazione della raccolta differenziata per il comune di Roma. Sul piano probatorio, </w:t>
      </w:r>
      <w:r>
        <w:rPr>
          <w:rFonts w:hAnsi="Book Antiqua" w:hint="default"/>
          <w:color w:val="000000"/>
          <w:sz w:val="22"/>
          <w:szCs w:val="22"/>
          <w:u w:color="000000"/>
          <w:rtl w:val="0"/>
          <w:lang w:val="it-IT"/>
        </w:rPr>
        <w:t xml:space="preserve">è </w:t>
      </w:r>
      <w:r>
        <w:rPr>
          <w:rFonts w:ascii="Book Antiqua"/>
          <w:color w:val="000000"/>
          <w:sz w:val="22"/>
          <w:szCs w:val="22"/>
          <w:u w:color="000000"/>
          <w:rtl w:val="0"/>
          <w:lang w:val="it-IT"/>
        </w:rPr>
        <w:t>significativo rilevare come Buzzi, 20 giorni prima dell</w:t>
      </w:r>
      <w:r>
        <w:rPr>
          <w:rFonts w:hAnsi="Book Antiqua" w:hint="default"/>
          <w:color w:val="000000"/>
          <w:sz w:val="22"/>
          <w:szCs w:val="22"/>
          <w:u w:color="000000"/>
          <w:rtl w:val="0"/>
          <w:lang w:val="it-IT"/>
        </w:rPr>
        <w:t>’</w:t>
      </w:r>
      <w:r>
        <w:rPr>
          <w:rFonts w:ascii="Book Antiqua"/>
          <w:color w:val="000000"/>
          <w:sz w:val="22"/>
          <w:szCs w:val="22"/>
          <w:u w:color="000000"/>
          <w:rtl w:val="0"/>
          <w:lang w:val="it-IT"/>
        </w:rPr>
        <w:t>aggiudicazione, abbia certezza dell</w:t>
      </w:r>
      <w:r>
        <w:rPr>
          <w:rFonts w:hAnsi="Book Antiqua" w:hint="default"/>
          <w:color w:val="000000"/>
          <w:sz w:val="22"/>
          <w:szCs w:val="22"/>
          <w:u w:color="000000"/>
          <w:rtl w:val="0"/>
          <w:lang w:val="it-IT"/>
        </w:rPr>
        <w:t>’</w:t>
      </w:r>
      <w:r>
        <w:rPr>
          <w:rFonts w:ascii="Book Antiqua"/>
          <w:color w:val="000000"/>
          <w:sz w:val="22"/>
          <w:szCs w:val="22"/>
          <w:u w:color="000000"/>
          <w:rtl w:val="0"/>
          <w:lang w:val="it-IT"/>
        </w:rPr>
        <w:t xml:space="preserve">essere affidatario dei lavori e il giorno prima conoscesse addirittura che uno dei lotti fosse appannaggio di Edera. </w:t>
      </w:r>
    </w:p>
    <w:p>
      <w:pPr>
        <w:pStyle w:val="Normal"/>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w:t>
      </w:r>
      <w:r>
        <w:rPr>
          <w:rFonts w:hAnsi="Book Antiqua" w:hint="default"/>
          <w:color w:val="000000"/>
          <w:sz w:val="22"/>
          <w:szCs w:val="22"/>
          <w:u w:color="000000"/>
          <w:rtl w:val="0"/>
          <w:lang w:val="it-IT"/>
        </w:rPr>
        <w:t>…</w:t>
      </w:r>
      <w:r>
        <w:rPr>
          <w:rFonts w:ascii="Book Antiqua"/>
          <w:color w:val="000000"/>
          <w:sz w:val="22"/>
          <w:szCs w:val="22"/>
          <w:u w:color="000000"/>
          <w:rtl w:val="0"/>
          <w:lang w:val="it-IT"/>
        </w:rPr>
        <w:t>]</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Alle 18:09, Salvatore BUZZI veniva contattato da Giovanni VESPA (Referente Territoriale di Area presso Banca Prossima, ndr), rintracciabile sull</w:t>
      </w:r>
      <w:r>
        <w:rPr>
          <w:rFonts w:hAnsi="Book Antiqua" w:hint="default"/>
          <w:color w:val="000000"/>
          <w:sz w:val="22"/>
          <w:szCs w:val="22"/>
          <w:u w:color="000000"/>
          <w:rtl w:val="0"/>
          <w:lang w:val="it-IT"/>
        </w:rPr>
        <w:t>’</w:t>
      </w:r>
      <w:r>
        <w:rPr>
          <w:rFonts w:ascii="Book Antiqua"/>
          <w:color w:val="000000"/>
          <w:sz w:val="22"/>
          <w:szCs w:val="22"/>
          <w:u w:color="000000"/>
          <w:rtl w:val="0"/>
          <w:lang w:val="it-IT"/>
        </w:rPr>
        <w:t xml:space="preserve">utenza 3485476855, al quale comunicava che: </w:t>
      </w:r>
      <w:r>
        <w:rPr>
          <w:rFonts w:hAnsi="Book Antiqua" w:hint="default"/>
          <w:color w:val="000000"/>
          <w:sz w:val="22"/>
          <w:szCs w:val="22"/>
          <w:u w:color="000000"/>
          <w:rtl w:val="0"/>
          <w:lang w:val="it-IT"/>
        </w:rPr>
        <w:t>“</w:t>
      </w:r>
      <w:r>
        <w:rPr>
          <w:rFonts w:ascii="Book Antiqua"/>
          <w:color w:val="000000"/>
          <w:sz w:val="22"/>
          <w:szCs w:val="22"/>
          <w:u w:color="000000"/>
          <w:rtl w:val="0"/>
          <w:lang w:val="it-IT"/>
        </w:rPr>
        <w:t xml:space="preserve">...(...)... oggi ho fatto la transazione eh...abbiamo firmato...entro... tutta la differenziata a Roma </w:t>
      </w:r>
      <w:r>
        <w:rPr>
          <w:rFonts w:hAnsi="Book Antiqua" w:hint="default"/>
          <w:color w:val="000000"/>
          <w:sz w:val="22"/>
          <w:szCs w:val="22"/>
          <w:u w:color="000000"/>
          <w:rtl w:val="0"/>
          <w:lang w:val="it-IT"/>
        </w:rPr>
        <w:t xml:space="preserve">è </w:t>
      </w:r>
      <w:r>
        <w:rPr>
          <w:rFonts w:ascii="Book Antiqua"/>
          <w:color w:val="000000"/>
          <w:sz w:val="22"/>
          <w:szCs w:val="22"/>
          <w:u w:color="000000"/>
          <w:rtl w:val="0"/>
          <w:lang w:val="it-IT"/>
        </w:rPr>
        <w:t>mia ... acquistiamo le quote del Capannone</w:t>
      </w:r>
      <w:r>
        <w:rPr>
          <w:rFonts w:hAnsi="Book Antiqua" w:hint="default"/>
          <w:color w:val="000000"/>
          <w:sz w:val="22"/>
          <w:szCs w:val="22"/>
          <w:u w:color="000000"/>
          <w:rtl w:val="0"/>
          <w:lang w:val="it-IT"/>
        </w:rPr>
        <w:t>”</w:t>
      </w:r>
      <w:r>
        <w:rPr>
          <w:rFonts w:ascii="Book Antiqua"/>
          <w:color w:val="000000"/>
          <w:sz w:val="22"/>
          <w:szCs w:val="22"/>
          <w:u w:color="000000"/>
          <w:rtl w:val="0"/>
          <w:lang w:val="it-IT"/>
        </w:rPr>
        <w:t xml:space="preserve">; alle 17:21, Salvatore BUZZI chiamava </w:t>
      </w:r>
      <w:r>
        <w:rPr>
          <w:rFonts w:hAnsi="Book Antiqua" w:hint="default"/>
          <w:color w:val="000000"/>
          <w:sz w:val="22"/>
          <w:szCs w:val="22"/>
          <w:u w:color="000000"/>
          <w:rtl w:val="0"/>
          <w:lang w:val="it-IT"/>
        </w:rPr>
        <w:t>“</w:t>
      </w:r>
      <w:r>
        <w:rPr>
          <w:rFonts w:ascii="Book Antiqua"/>
          <w:color w:val="000000"/>
          <w:sz w:val="22"/>
          <w:szCs w:val="22"/>
          <w:u w:color="000000"/>
          <w:rtl w:val="0"/>
          <w:lang w:val="it-IT"/>
        </w:rPr>
        <w:t>Guido</w:t>
      </w:r>
      <w:r>
        <w:rPr>
          <w:rFonts w:hAnsi="Book Antiqua" w:hint="default"/>
          <w:color w:val="000000"/>
          <w:sz w:val="22"/>
          <w:szCs w:val="22"/>
          <w:u w:color="000000"/>
          <w:rtl w:val="0"/>
          <w:lang w:val="it-IT"/>
        </w:rPr>
        <w:t xml:space="preserve">” </w:t>
      </w:r>
      <w:r>
        <w:rPr>
          <w:rFonts w:ascii="Book Antiqua"/>
          <w:color w:val="000000"/>
          <w:sz w:val="22"/>
          <w:szCs w:val="22"/>
          <w:u w:color="000000"/>
          <w:rtl w:val="0"/>
          <w:lang w:val="it-IT"/>
        </w:rPr>
        <w:t xml:space="preserve">(Guido COLANTUONO) e, nel corso del dialogo, ripeteva al suo interlocutore: </w:t>
      </w:r>
      <w:r>
        <w:rPr>
          <w:rFonts w:hAnsi="Book Antiqua" w:hint="default"/>
          <w:color w:val="000000"/>
          <w:sz w:val="22"/>
          <w:szCs w:val="22"/>
          <w:u w:color="000000"/>
          <w:rtl w:val="0"/>
          <w:lang w:val="it-IT"/>
        </w:rPr>
        <w:t>“</w:t>
      </w:r>
      <w:r>
        <w:rPr>
          <w:rFonts w:ascii="Book Antiqua"/>
          <w:color w:val="000000"/>
          <w:sz w:val="22"/>
          <w:szCs w:val="22"/>
          <w:u w:color="000000"/>
          <w:rtl w:val="0"/>
          <w:lang w:val="it-IT"/>
        </w:rPr>
        <w:t xml:space="preserve">...preparate che amo firmato tutto, a differenziata </w:t>
      </w:r>
      <w:r>
        <w:rPr>
          <w:rFonts w:hAnsi="Book Antiqua" w:hint="default"/>
          <w:color w:val="000000"/>
          <w:sz w:val="22"/>
          <w:szCs w:val="22"/>
          <w:u w:color="000000"/>
          <w:rtl w:val="0"/>
          <w:lang w:val="it-IT"/>
        </w:rPr>
        <w:t xml:space="preserve">è </w:t>
      </w:r>
      <w:r>
        <w:rPr>
          <w:rFonts w:ascii="Book Antiqua"/>
          <w:color w:val="000000"/>
          <w:sz w:val="22"/>
          <w:szCs w:val="22"/>
          <w:u w:color="000000"/>
          <w:rtl w:val="0"/>
          <w:lang w:val="it-IT"/>
        </w:rPr>
        <w:t>tutta nostra, preparati!</w:t>
      </w:r>
      <w:r>
        <w:rPr>
          <w:rFonts w:hAnsi="Book Antiqua" w:hint="default"/>
          <w:color w:val="000000"/>
          <w:sz w:val="22"/>
          <w:szCs w:val="22"/>
          <w:u w:color="000000"/>
          <w:rtl w:val="0"/>
          <w:lang w:val="it-IT"/>
        </w:rPr>
        <w:t xml:space="preserve">” </w:t>
      </w:r>
      <w:r>
        <w:rPr>
          <w:rFonts w:ascii="Book Antiqua"/>
          <w:color w:val="000000"/>
          <w:sz w:val="22"/>
          <w:szCs w:val="22"/>
          <w:u w:color="000000"/>
          <w:rtl w:val="0"/>
          <w:lang w:val="it-IT"/>
        </w:rPr>
        <w:t>al che l</w:t>
      </w:r>
      <w:r>
        <w:rPr>
          <w:rFonts w:hAnsi="Book Antiqua" w:hint="default"/>
          <w:color w:val="000000"/>
          <w:sz w:val="22"/>
          <w:szCs w:val="22"/>
          <w:u w:color="000000"/>
          <w:rtl w:val="0"/>
          <w:lang w:val="it-IT"/>
        </w:rPr>
        <w:t>’</w:t>
      </w:r>
      <w:r>
        <w:rPr>
          <w:rFonts w:ascii="Book Antiqua"/>
          <w:color w:val="000000"/>
          <w:sz w:val="22"/>
          <w:szCs w:val="22"/>
          <w:u w:color="000000"/>
          <w:rtl w:val="0"/>
          <w:lang w:val="it-IT"/>
        </w:rPr>
        <w:t xml:space="preserve">interlocutore rispondeva che era pronto e chiedeva: </w:t>
      </w:r>
      <w:r>
        <w:rPr>
          <w:rFonts w:hAnsi="Book Antiqua" w:hint="default"/>
          <w:color w:val="000000"/>
          <w:sz w:val="22"/>
          <w:szCs w:val="22"/>
          <w:u w:color="000000"/>
          <w:rtl w:val="0"/>
          <w:lang w:val="it-IT"/>
        </w:rPr>
        <w:t>“</w:t>
      </w:r>
      <w:r>
        <w:rPr>
          <w:rFonts w:ascii="Book Antiqua"/>
          <w:color w:val="000000"/>
          <w:sz w:val="22"/>
          <w:szCs w:val="22"/>
          <w:u w:color="000000"/>
          <w:rtl w:val="0"/>
          <w:lang w:val="it-IT"/>
        </w:rPr>
        <w:t>quando se parte, a gennaio?</w:t>
      </w:r>
      <w:r>
        <w:rPr>
          <w:rFonts w:hAnsi="Book Antiqua" w:hint="default"/>
          <w:color w:val="000000"/>
          <w:sz w:val="22"/>
          <w:szCs w:val="22"/>
          <w:u w:color="000000"/>
          <w:rtl w:val="0"/>
          <w:lang w:val="it-IT"/>
        </w:rPr>
        <w:t>”</w:t>
      </w:r>
      <w:r>
        <w:rPr>
          <w:rFonts w:ascii="Book Antiqua"/>
          <w:color w:val="000000"/>
          <w:sz w:val="22"/>
          <w:szCs w:val="22"/>
          <w:u w:color="000000"/>
          <w:rtl w:val="0"/>
          <w:lang w:val="it-IT"/>
        </w:rPr>
        <w:t>; Buzzi confermava;</w:t>
      </w:r>
    </w:p>
    <w:p>
      <w:pPr>
        <w:pStyle w:val="Normal"/>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w:t>
      </w:r>
      <w:r>
        <w:rPr>
          <w:rFonts w:hAnsi="Book Antiqua" w:hint="default"/>
          <w:color w:val="000000"/>
          <w:sz w:val="22"/>
          <w:szCs w:val="22"/>
          <w:u w:color="000000"/>
          <w:rtl w:val="0"/>
          <w:lang w:val="it-IT"/>
        </w:rPr>
        <w:t>…</w:t>
      </w:r>
      <w:r>
        <w:rPr>
          <w:rFonts w:ascii="Book Antiqua"/>
          <w:color w:val="000000"/>
          <w:sz w:val="22"/>
          <w:szCs w:val="22"/>
          <w:u w:color="000000"/>
          <w:rtl w:val="0"/>
          <w:lang w:val="it-IT"/>
        </w:rPr>
        <w:t>]</w:t>
      </w:r>
    </w:p>
    <w:p>
      <w:pPr>
        <w:pStyle w:val="Normal"/>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alle 12:53, Salvatore BUZZI chiamava Quintilio NAPOLEONI ed iniziavano a parlare in merito alla disponibilit</w:t>
      </w:r>
      <w:r>
        <w:rPr>
          <w:rFonts w:hAnsi="Book Antiqua" w:hint="default"/>
          <w:color w:val="000000"/>
          <w:sz w:val="22"/>
          <w:szCs w:val="22"/>
          <w:u w:color="000000"/>
          <w:rtl w:val="0"/>
          <w:lang w:val="it-IT"/>
        </w:rPr>
        <w:t xml:space="preserve">à </w:t>
      </w:r>
      <w:r>
        <w:rPr>
          <w:rFonts w:ascii="Book Antiqua"/>
          <w:color w:val="000000"/>
          <w:sz w:val="22"/>
          <w:szCs w:val="22"/>
          <w:u w:color="000000"/>
          <w:rtl w:val="0"/>
          <w:lang w:val="it-IT"/>
        </w:rPr>
        <w:t xml:space="preserve">ed alla stima dei mezzi che sarebbero stati necessari per </w:t>
      </w:r>
      <w:r>
        <w:rPr>
          <w:rFonts w:hAnsi="Book Antiqua" w:hint="default"/>
          <w:color w:val="000000"/>
          <w:sz w:val="22"/>
          <w:szCs w:val="22"/>
          <w:u w:color="000000"/>
          <w:rtl w:val="0"/>
          <w:lang w:val="it-IT"/>
        </w:rPr>
        <w:t>“</w:t>
      </w:r>
      <w:r>
        <w:rPr>
          <w:rFonts w:ascii="Book Antiqua"/>
          <w:color w:val="000000"/>
          <w:sz w:val="22"/>
          <w:szCs w:val="22"/>
          <w:u w:color="000000"/>
          <w:rtl w:val="0"/>
          <w:lang w:val="it-IT"/>
        </w:rPr>
        <w:t>l</w:t>
      </w:r>
      <w:r>
        <w:rPr>
          <w:rFonts w:hAnsi="Book Antiqua" w:hint="default"/>
          <w:color w:val="000000"/>
          <w:sz w:val="22"/>
          <w:szCs w:val="22"/>
          <w:u w:color="000000"/>
          <w:rtl w:val="0"/>
          <w:lang w:val="it-IT"/>
        </w:rPr>
        <w:t>’</w:t>
      </w:r>
      <w:r>
        <w:rPr>
          <w:rFonts w:ascii="Book Antiqua"/>
          <w:color w:val="000000"/>
          <w:sz w:val="22"/>
          <w:szCs w:val="22"/>
          <w:u w:color="000000"/>
          <w:rtl w:val="0"/>
          <w:lang w:val="it-IT"/>
        </w:rPr>
        <w:t>organico ed il multimateriale</w:t>
      </w:r>
      <w:r>
        <w:rPr>
          <w:rFonts w:hAnsi="Book Antiqua" w:hint="default"/>
          <w:color w:val="000000"/>
          <w:sz w:val="22"/>
          <w:szCs w:val="22"/>
          <w:u w:color="000000"/>
          <w:rtl w:val="0"/>
          <w:lang w:val="it-IT"/>
        </w:rPr>
        <w:t>”</w:t>
      </w:r>
      <w:r>
        <w:rPr>
          <w:rFonts w:ascii="Book Antiqua"/>
          <w:color w:val="000000"/>
          <w:sz w:val="22"/>
          <w:szCs w:val="22"/>
          <w:u w:color="000000"/>
          <w:rtl w:val="0"/>
          <w:lang w:val="it-IT"/>
        </w:rPr>
        <w:t xml:space="preserve">. NAPOLEONI precisava di essere a Malta, quindi non era in grado di confermare le stime fatte. A questo punto, BUZZI aggiungeva: </w:t>
      </w:r>
      <w:r>
        <w:rPr>
          <w:rFonts w:hAnsi="Book Antiqua" w:hint="default"/>
          <w:color w:val="000000"/>
          <w:sz w:val="22"/>
          <w:szCs w:val="22"/>
          <w:u w:color="000000"/>
          <w:rtl w:val="0"/>
          <w:lang w:val="it-IT"/>
        </w:rPr>
        <w:t>“</w:t>
      </w:r>
      <w:r>
        <w:rPr>
          <w:rFonts w:ascii="Book Antiqua"/>
          <w:color w:val="000000"/>
          <w:sz w:val="22"/>
          <w:szCs w:val="22"/>
          <w:u w:color="000000"/>
          <w:rtl w:val="0"/>
          <w:lang w:val="it-IT"/>
        </w:rPr>
        <w:t>...sembra che il secondo lotto se lo prende Edera e quindi ci risolve il problema.</w:t>
      </w:r>
    </w:p>
    <w:p>
      <w:pPr>
        <w:pStyle w:val="Normal"/>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Un</w:t>
      </w:r>
      <w:r>
        <w:rPr>
          <w:rFonts w:hAnsi="Book Antiqua" w:hint="default"/>
          <w:color w:val="000000"/>
          <w:sz w:val="22"/>
          <w:szCs w:val="22"/>
          <w:u w:color="000000"/>
          <w:rtl w:val="0"/>
          <w:lang w:val="it-IT"/>
        </w:rPr>
        <w:t>’</w:t>
      </w:r>
      <w:r>
        <w:rPr>
          <w:rFonts w:ascii="Book Antiqua"/>
          <w:color w:val="000000"/>
          <w:sz w:val="22"/>
          <w:szCs w:val="22"/>
          <w:u w:color="000000"/>
          <w:rtl w:val="0"/>
          <w:lang w:val="it-IT"/>
        </w:rPr>
        <w:t xml:space="preserve">aggiudicazione che </w:t>
      </w:r>
      <w:r>
        <w:rPr>
          <w:rFonts w:hAnsi="Book Antiqua" w:hint="default"/>
          <w:color w:val="000000"/>
          <w:sz w:val="22"/>
          <w:szCs w:val="22"/>
          <w:u w:color="000000"/>
          <w:rtl w:val="0"/>
          <w:lang w:val="it-IT"/>
        </w:rPr>
        <w:t xml:space="preserve">è </w:t>
      </w:r>
      <w:r>
        <w:rPr>
          <w:rFonts w:ascii="Book Antiqua"/>
          <w:color w:val="000000"/>
          <w:sz w:val="22"/>
          <w:szCs w:val="22"/>
          <w:u w:color="000000"/>
          <w:rtl w:val="0"/>
          <w:lang w:val="it-IT"/>
        </w:rPr>
        <w:t>preceduta da una trama di incontri, distintamente, con Fiscon e con Panzironi, e da almeno un incontro con la Anelli.</w:t>
      </w:r>
    </w:p>
    <w:p>
      <w:pPr>
        <w:pStyle w:val="Normal"/>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[Il] 5.12.2012, veniva effettivamente aggiudicata, proprio alla Cooperativa Edera (un lotto) ed al consorzio CNS (4 lotti), la gara n. 18/2011, per l</w:t>
      </w:r>
      <w:r>
        <w:rPr>
          <w:rFonts w:hAnsi="Book Antiqua" w:hint="default"/>
          <w:color w:val="000000"/>
          <w:sz w:val="22"/>
          <w:szCs w:val="22"/>
          <w:u w:color="000000"/>
          <w:rtl w:val="0"/>
          <w:lang w:val="it-IT"/>
        </w:rPr>
        <w:t>’</w:t>
      </w:r>
      <w:r>
        <w:rPr>
          <w:rFonts w:ascii="Book Antiqua"/>
          <w:color w:val="000000"/>
          <w:sz w:val="22"/>
          <w:szCs w:val="22"/>
          <w:u w:color="000000"/>
          <w:rtl w:val="0"/>
          <w:lang w:val="it-IT"/>
        </w:rPr>
        <w:t>importo complessivo di euro 21.450.000,00, riportato all</w:t>
      </w:r>
      <w:r>
        <w:rPr>
          <w:rFonts w:hAnsi="Book Antiqua" w:hint="default"/>
          <w:color w:val="000000"/>
          <w:sz w:val="22"/>
          <w:szCs w:val="22"/>
          <w:u w:color="000000"/>
          <w:rtl w:val="0"/>
          <w:lang w:val="it-IT"/>
        </w:rPr>
        <w:t>’</w:t>
      </w:r>
      <w:r>
        <w:rPr>
          <w:rFonts w:ascii="Book Antiqua"/>
          <w:color w:val="000000"/>
          <w:sz w:val="22"/>
          <w:szCs w:val="22"/>
          <w:u w:color="000000"/>
          <w:rtl w:val="0"/>
          <w:lang w:val="it-IT"/>
        </w:rPr>
        <w:t xml:space="preserve">inizio del presente paragrafo, avente ad oggetto la </w:t>
      </w:r>
      <w:r>
        <w:rPr>
          <w:rFonts w:hAnsi="Book Antiqua" w:hint="default"/>
          <w:color w:val="000000"/>
          <w:sz w:val="22"/>
          <w:szCs w:val="22"/>
          <w:u w:color="000000"/>
          <w:rtl w:val="0"/>
          <w:lang w:val="it-IT"/>
        </w:rPr>
        <w:t>“</w:t>
      </w:r>
      <w:r>
        <w:rPr>
          <w:rFonts w:ascii="Book Antiqua"/>
          <w:color w:val="000000"/>
          <w:sz w:val="22"/>
          <w:szCs w:val="22"/>
          <w:u w:color="000000"/>
          <w:rtl w:val="0"/>
          <w:lang w:val="it-IT"/>
        </w:rPr>
        <w:t>Procedura aperta, suddivisa in cinque lotti, per l</w:t>
      </w:r>
      <w:r>
        <w:rPr>
          <w:rFonts w:hAnsi="Book Antiqua" w:hint="default"/>
          <w:color w:val="000000"/>
          <w:sz w:val="22"/>
          <w:szCs w:val="22"/>
          <w:u w:color="000000"/>
          <w:rtl w:val="0"/>
          <w:lang w:val="it-IT"/>
        </w:rPr>
        <w:t>’</w:t>
      </w:r>
      <w:r>
        <w:rPr>
          <w:rFonts w:ascii="Book Antiqua"/>
          <w:color w:val="000000"/>
          <w:sz w:val="22"/>
          <w:szCs w:val="22"/>
          <w:u w:color="000000"/>
          <w:rtl w:val="0"/>
          <w:lang w:val="it-IT"/>
        </w:rPr>
        <w:t>affidamento di servizi di raccolta, trasporto e conferimento presso l</w:t>
      </w:r>
      <w:r>
        <w:rPr>
          <w:rFonts w:hAnsi="Book Antiqua" w:hint="default"/>
          <w:color w:val="000000"/>
          <w:sz w:val="22"/>
          <w:szCs w:val="22"/>
          <w:u w:color="000000"/>
          <w:rtl w:val="0"/>
          <w:lang w:val="it-IT"/>
        </w:rPr>
        <w:t>’</w:t>
      </w:r>
      <w:r>
        <w:rPr>
          <w:rFonts w:ascii="Book Antiqua"/>
          <w:color w:val="000000"/>
          <w:sz w:val="22"/>
          <w:szCs w:val="22"/>
          <w:u w:color="000000"/>
          <w:rtl w:val="0"/>
          <w:lang w:val="it-IT"/>
        </w:rPr>
        <w:t>impianto di compostaggio o presso aree di trasferenza di rifiuti organici, per un periodo di 24 mesi</w:t>
      </w:r>
      <w:r>
        <w:rPr>
          <w:rFonts w:hAnsi="Book Antiqua" w:hint="default"/>
          <w:color w:val="000000"/>
          <w:sz w:val="22"/>
          <w:szCs w:val="22"/>
          <w:u w:color="000000"/>
          <w:rtl w:val="0"/>
          <w:lang w:val="it-IT"/>
        </w:rPr>
        <w:t>”</w:t>
      </w:r>
      <w:r>
        <w:rPr>
          <w:rFonts w:ascii="Book Antiqua"/>
          <w:color w:val="000000"/>
          <w:sz w:val="22"/>
          <w:szCs w:val="22"/>
          <w:u w:color="000000"/>
          <w:rtl w:val="0"/>
          <w:lang w:val="it-IT"/>
        </w:rPr>
        <w:t>:</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Nella relazione sulla gestione del bilancio al 31.12.2012 della Coop. Sociale 29 Giugno Onlus, viene rilevato che tutti e quattro i lotti sopra indicati, erano stati successivamente affidati dall</w:t>
      </w:r>
      <w:r>
        <w:rPr>
          <w:rFonts w:hAnsi="Book Antiqua" w:hint="default"/>
          <w:color w:val="000000"/>
          <w:sz w:val="22"/>
          <w:szCs w:val="22"/>
          <w:u w:color="000000"/>
          <w:rtl w:val="0"/>
          <w:lang w:val="it-IT"/>
        </w:rPr>
        <w:t>’</w:t>
      </w:r>
      <w:r>
        <w:rPr>
          <w:rFonts w:ascii="Book Antiqua"/>
          <w:color w:val="000000"/>
          <w:sz w:val="22"/>
          <w:szCs w:val="22"/>
          <w:u w:color="000000"/>
          <w:rtl w:val="0"/>
          <w:lang w:val="it-IT"/>
        </w:rPr>
        <w:t xml:space="preserve">aggiudicataria CNS, alle cooperative di Salvatore BUZZI. Infatti, nella relazione si legge: </w:t>
      </w:r>
      <w:r>
        <w:rPr>
          <w:rFonts w:hAnsi="Book Antiqua" w:hint="default"/>
          <w:color w:val="000000"/>
          <w:sz w:val="22"/>
          <w:szCs w:val="22"/>
          <w:u w:color="000000"/>
          <w:rtl w:val="0"/>
          <w:lang w:val="it-IT"/>
        </w:rPr>
        <w:t>“</w:t>
      </w:r>
      <w:r>
        <w:rPr>
          <w:rFonts w:ascii="Book Antiqua"/>
          <w:color w:val="000000"/>
          <w:sz w:val="22"/>
          <w:szCs w:val="22"/>
          <w:u w:color="000000"/>
          <w:rtl w:val="0"/>
          <w:lang w:val="it-IT"/>
        </w:rPr>
        <w:t>Alla fine dell</w:t>
      </w:r>
      <w:r>
        <w:rPr>
          <w:rFonts w:hAnsi="Book Antiqua" w:hint="default"/>
          <w:color w:val="000000"/>
          <w:sz w:val="22"/>
          <w:szCs w:val="22"/>
          <w:u w:color="000000"/>
          <w:rtl w:val="0"/>
          <w:lang w:val="it-IT"/>
        </w:rPr>
        <w:t>’</w:t>
      </w:r>
      <w:r>
        <w:rPr>
          <w:rFonts w:ascii="Book Antiqua"/>
          <w:color w:val="000000"/>
          <w:sz w:val="22"/>
          <w:szCs w:val="22"/>
          <w:u w:color="000000"/>
          <w:rtl w:val="0"/>
          <w:lang w:val="it-IT"/>
        </w:rPr>
        <w:t>anno 2012 la cooperativa ha avviato, insieme alla cooperativa 29 Giugno Servizi, la gestione integrale dei servizi di raccolta differenziata del rifiuto organico (lotti 2, 3, 4, 5) e del multimateriale (lotto 4) eseguiti in qualit</w:t>
      </w:r>
      <w:r>
        <w:rPr>
          <w:rFonts w:hAnsi="Book Antiqua" w:hint="default"/>
          <w:color w:val="000000"/>
          <w:sz w:val="22"/>
          <w:szCs w:val="22"/>
          <w:u w:color="000000"/>
          <w:rtl w:val="0"/>
          <w:lang w:val="it-IT"/>
        </w:rPr>
        <w:t xml:space="preserve">à </w:t>
      </w:r>
      <w:r>
        <w:rPr>
          <w:rFonts w:ascii="Book Antiqua"/>
          <w:color w:val="000000"/>
          <w:sz w:val="22"/>
          <w:szCs w:val="22"/>
          <w:u w:color="000000"/>
          <w:rtl w:val="0"/>
          <w:lang w:val="it-IT"/>
        </w:rPr>
        <w:t>si associata di CNS e per conto di AMA S.p.A..  Nella sostanza, il quadro risulta essere sufficientemente definito: le cooperative riconducibili a Buzzi sono definitivamente beneficiarie delle assegnazioni dei lavori in questione.</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L</w:t>
      </w:r>
      <w:r>
        <w:rPr>
          <w:rFonts w:hAnsi="Book Antiqua" w:hint="default"/>
          <w:color w:val="000000"/>
          <w:sz w:val="22"/>
          <w:szCs w:val="22"/>
          <w:u w:color="000000"/>
          <w:rtl w:val="0"/>
          <w:lang w:val="it-IT"/>
        </w:rPr>
        <w:t>’</w:t>
      </w:r>
      <w:r>
        <w:rPr>
          <w:rFonts w:ascii="Book Antiqua"/>
          <w:color w:val="000000"/>
          <w:sz w:val="22"/>
          <w:szCs w:val="22"/>
          <w:u w:color="000000"/>
          <w:rtl w:val="0"/>
          <w:lang w:val="it-IT"/>
        </w:rPr>
        <w:t xml:space="preserve">assunto </w:t>
      </w:r>
      <w:r>
        <w:rPr>
          <w:rFonts w:hAnsi="Book Antiqua" w:hint="default"/>
          <w:color w:val="000000"/>
          <w:sz w:val="22"/>
          <w:szCs w:val="22"/>
          <w:u w:color="000000"/>
          <w:rtl w:val="0"/>
          <w:lang w:val="it-IT"/>
        </w:rPr>
        <w:t xml:space="preserve">è </w:t>
      </w:r>
      <w:r>
        <w:rPr>
          <w:rFonts w:ascii="Book Antiqua"/>
          <w:color w:val="000000"/>
          <w:sz w:val="22"/>
          <w:szCs w:val="22"/>
          <w:u w:color="000000"/>
          <w:rtl w:val="0"/>
          <w:lang w:val="it-IT"/>
        </w:rPr>
        <w:t>ribadito nella conversazione tra presenti censurata il 19.11.2013, a partire dalle 10:24, all</w:t>
      </w:r>
      <w:r>
        <w:rPr>
          <w:rFonts w:hAnsi="Book Antiqua" w:hint="default"/>
          <w:color w:val="000000"/>
          <w:sz w:val="22"/>
          <w:szCs w:val="22"/>
          <w:u w:color="000000"/>
          <w:rtl w:val="0"/>
          <w:lang w:val="it-IT"/>
        </w:rPr>
        <w:t>’</w:t>
      </w:r>
      <w:r>
        <w:rPr>
          <w:rFonts w:ascii="Book Antiqua"/>
          <w:color w:val="000000"/>
          <w:sz w:val="22"/>
          <w:szCs w:val="22"/>
          <w:u w:color="000000"/>
          <w:rtl w:val="0"/>
          <w:lang w:val="it-IT"/>
        </w:rPr>
        <w:t>interno dell</w:t>
      </w:r>
      <w:r>
        <w:rPr>
          <w:rFonts w:hAnsi="Book Antiqua" w:hint="default"/>
          <w:color w:val="000000"/>
          <w:sz w:val="22"/>
          <w:szCs w:val="22"/>
          <w:u w:color="000000"/>
          <w:rtl w:val="0"/>
          <w:lang w:val="it-IT"/>
        </w:rPr>
        <w:t>’</w:t>
      </w:r>
      <w:r>
        <w:rPr>
          <w:rFonts w:ascii="Book Antiqua"/>
          <w:color w:val="000000"/>
          <w:sz w:val="22"/>
          <w:szCs w:val="22"/>
          <w:u w:color="000000"/>
          <w:rtl w:val="0"/>
          <w:lang w:val="it-IT"/>
        </w:rPr>
        <w:t xml:space="preserve">ufficio di Roma via Pomona 63 (RIT 8416/13). In essa, Paolo DI NINNO ribadiva, ad un uomo non meglio identificato, che: </w:t>
      </w:r>
      <w:r>
        <w:rPr>
          <w:rFonts w:hAnsi="Book Antiqua" w:hint="default"/>
          <w:color w:val="000000"/>
          <w:sz w:val="22"/>
          <w:szCs w:val="22"/>
          <w:u w:color="000000"/>
          <w:rtl w:val="0"/>
          <w:lang w:val="it-IT"/>
        </w:rPr>
        <w:t>“</w:t>
      </w:r>
      <w:r>
        <w:rPr>
          <w:rFonts w:ascii="Book Antiqua"/>
          <w:color w:val="000000"/>
          <w:sz w:val="22"/>
          <w:szCs w:val="22"/>
          <w:u w:color="000000"/>
          <w:rtl w:val="0"/>
          <w:lang w:val="it-IT"/>
        </w:rPr>
        <w:t>... da quest</w:t>
      </w:r>
      <w:r>
        <w:rPr>
          <w:rFonts w:hAnsi="Book Antiqua" w:hint="default"/>
          <w:color w:val="000000"/>
          <w:sz w:val="22"/>
          <w:szCs w:val="22"/>
          <w:u w:color="000000"/>
          <w:rtl w:val="0"/>
          <w:lang w:val="it-IT"/>
        </w:rPr>
        <w:t>’</w:t>
      </w:r>
      <w:r>
        <w:rPr>
          <w:rFonts w:ascii="Book Antiqua"/>
          <w:color w:val="000000"/>
          <w:sz w:val="22"/>
          <w:szCs w:val="22"/>
          <w:u w:color="000000"/>
          <w:rtl w:val="0"/>
          <w:lang w:val="it-IT"/>
        </w:rPr>
        <w:t>anno, dal 1</w:t>
      </w:r>
      <w:r>
        <w:rPr>
          <w:rFonts w:hAnsi="Book Antiqua" w:hint="default"/>
          <w:color w:val="000000"/>
          <w:sz w:val="22"/>
          <w:szCs w:val="22"/>
          <w:u w:color="000000"/>
          <w:rtl w:val="0"/>
          <w:lang w:val="it-IT"/>
        </w:rPr>
        <w:t xml:space="preserve">° </w:t>
      </w:r>
      <w:r>
        <w:rPr>
          <w:rFonts w:ascii="Book Antiqua"/>
          <w:color w:val="000000"/>
          <w:sz w:val="22"/>
          <w:szCs w:val="22"/>
          <w:u w:color="000000"/>
          <w:rtl w:val="0"/>
          <w:lang w:val="it-IT"/>
        </w:rPr>
        <w:t>gennaio 2013, ha cominciato a fare anche i servizi di RSU (smaltimento Rifiuti Soldi Urbani, ndr) per quattro milioni di fatturato</w:t>
      </w:r>
      <w:r>
        <w:rPr>
          <w:rFonts w:hAnsi="Book Antiqua" w:hint="default"/>
          <w:color w:val="000000"/>
          <w:sz w:val="22"/>
          <w:szCs w:val="22"/>
          <w:u w:color="000000"/>
          <w:rtl w:val="0"/>
          <w:lang w:val="it-IT"/>
        </w:rPr>
        <w:t>”</w:t>
      </w:r>
      <w:r>
        <w:rPr>
          <w:rFonts w:ascii="Book Antiqua"/>
          <w:color w:val="000000"/>
          <w:sz w:val="22"/>
          <w:szCs w:val="22"/>
          <w:u w:color="000000"/>
          <w:rtl w:val="0"/>
          <w:lang w:val="it-IT"/>
        </w:rPr>
        <w:t>. A specifica richiesta, DI NINNO poi puntualizzava che tale attivit</w:t>
      </w:r>
      <w:r>
        <w:rPr>
          <w:rFonts w:hAnsi="Book Antiqua" w:hint="default"/>
          <w:color w:val="000000"/>
          <w:sz w:val="22"/>
          <w:szCs w:val="22"/>
          <w:u w:color="000000"/>
          <w:rtl w:val="0"/>
          <w:lang w:val="it-IT"/>
        </w:rPr>
        <w:t xml:space="preserve">à </w:t>
      </w:r>
      <w:r>
        <w:rPr>
          <w:rFonts w:ascii="Book Antiqua"/>
          <w:color w:val="000000"/>
          <w:sz w:val="22"/>
          <w:szCs w:val="22"/>
          <w:u w:color="000000"/>
          <w:rtl w:val="0"/>
          <w:lang w:val="it-IT"/>
        </w:rPr>
        <w:t xml:space="preserve">era svolta per i servizi commerciali, bar, ristoranti del centro storico del comune di Roma per la raccolta del non organico, precisando che [Pr.191-A-4 ore 10:33:42]: </w:t>
      </w:r>
      <w:r>
        <w:rPr>
          <w:rFonts w:hAnsi="Book Antiqua" w:hint="default"/>
          <w:color w:val="000000"/>
          <w:sz w:val="22"/>
          <w:szCs w:val="22"/>
          <w:u w:color="000000"/>
          <w:rtl w:val="0"/>
          <w:lang w:val="it-IT"/>
        </w:rPr>
        <w:t>“</w:t>
      </w:r>
      <w:r>
        <w:rPr>
          <w:rFonts w:ascii="Book Antiqua"/>
          <w:color w:val="000000"/>
          <w:sz w:val="22"/>
          <w:szCs w:val="22"/>
          <w:u w:color="000000"/>
          <w:rtl w:val="0"/>
          <w:lang w:val="it-IT"/>
        </w:rPr>
        <w:t xml:space="preserve">..il valore del contratto </w:t>
      </w:r>
      <w:r>
        <w:rPr>
          <w:rFonts w:hAnsi="Book Antiqua" w:hint="default"/>
          <w:color w:val="000000"/>
          <w:sz w:val="22"/>
          <w:szCs w:val="22"/>
          <w:u w:color="000000"/>
          <w:rtl w:val="0"/>
          <w:lang w:val="it-IT"/>
        </w:rPr>
        <w:t xml:space="preserve">è </w:t>
      </w:r>
      <w:r>
        <w:rPr>
          <w:rFonts w:ascii="Book Antiqua"/>
          <w:color w:val="000000"/>
          <w:sz w:val="22"/>
          <w:szCs w:val="22"/>
          <w:u w:color="000000"/>
          <w:rtl w:val="0"/>
          <w:lang w:val="it-IT"/>
        </w:rPr>
        <w:t>circa dieci milioni all</w:t>
      </w:r>
      <w:r>
        <w:rPr>
          <w:rFonts w:hAnsi="Book Antiqua" w:hint="default"/>
          <w:color w:val="000000"/>
          <w:sz w:val="22"/>
          <w:szCs w:val="22"/>
          <w:u w:color="000000"/>
          <w:rtl w:val="0"/>
          <w:lang w:val="it-IT"/>
        </w:rPr>
        <w:t>’</w:t>
      </w:r>
      <w:r>
        <w:rPr>
          <w:rFonts w:ascii="Book Antiqua"/>
          <w:color w:val="000000"/>
          <w:sz w:val="22"/>
          <w:szCs w:val="22"/>
          <w:u w:color="000000"/>
          <w:rtl w:val="0"/>
          <w:lang w:val="it-IT"/>
        </w:rPr>
        <w:t>anno... poi CNS (Consorzio Nazionale Servizi, ndr) l</w:t>
      </w:r>
      <w:r>
        <w:rPr>
          <w:rFonts w:hAnsi="Book Antiqua" w:hint="default"/>
          <w:color w:val="000000"/>
          <w:sz w:val="22"/>
          <w:szCs w:val="22"/>
          <w:u w:color="000000"/>
          <w:rtl w:val="0"/>
          <w:lang w:val="it-IT"/>
        </w:rPr>
        <w:t>’</w:t>
      </w:r>
      <w:r>
        <w:rPr>
          <w:rFonts w:ascii="Book Antiqua"/>
          <w:color w:val="000000"/>
          <w:sz w:val="22"/>
          <w:szCs w:val="22"/>
          <w:u w:color="000000"/>
          <w:rtl w:val="0"/>
          <w:lang w:val="it-IT"/>
        </w:rPr>
        <w:t xml:space="preserve">ha suddiviso in tre cooperative ... la quota spettante a 29 giugno servizi </w:t>
      </w:r>
      <w:r>
        <w:rPr>
          <w:rFonts w:hAnsi="Book Antiqua" w:hint="default"/>
          <w:color w:val="000000"/>
          <w:sz w:val="22"/>
          <w:szCs w:val="22"/>
          <w:u w:color="000000"/>
          <w:rtl w:val="0"/>
          <w:lang w:val="it-IT"/>
        </w:rPr>
        <w:t xml:space="preserve">è </w:t>
      </w:r>
      <w:r>
        <w:rPr>
          <w:rFonts w:ascii="Book Antiqua"/>
          <w:color w:val="000000"/>
          <w:sz w:val="22"/>
          <w:szCs w:val="22"/>
          <w:u w:color="000000"/>
          <w:rtl w:val="0"/>
          <w:lang w:val="it-IT"/>
        </w:rPr>
        <w:t>circa quattro milioni... altrettanto per la 29 Onlus....</w:t>
      </w:r>
      <w:r>
        <w:rPr>
          <w:rFonts w:hAnsi="Book Antiqua" w:hint="default"/>
          <w:color w:val="000000"/>
          <w:sz w:val="22"/>
          <w:szCs w:val="22"/>
          <w:u w:color="000000"/>
          <w:rtl w:val="0"/>
          <w:lang w:val="it-IT"/>
        </w:rPr>
        <w:t>”</w:t>
      </w:r>
      <w:r>
        <w:rPr>
          <w:rFonts w:ascii="Book Antiqua"/>
          <w:color w:val="000000"/>
          <w:sz w:val="22"/>
          <w:szCs w:val="22"/>
          <w:u w:color="000000"/>
          <w:rtl w:val="0"/>
          <w:lang w:val="it-IT"/>
        </w:rPr>
        <w:t>.</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Peraltro, in tale contesto, appare assai significativa la circostanza che, il giorno successivo all</w:t>
      </w:r>
      <w:r>
        <w:rPr>
          <w:rFonts w:hAnsi="Book Antiqua" w:hint="default"/>
          <w:color w:val="000000"/>
          <w:sz w:val="22"/>
          <w:szCs w:val="22"/>
          <w:u w:color="000000"/>
          <w:rtl w:val="0"/>
          <w:lang w:val="it-IT"/>
        </w:rPr>
        <w:t>’</w:t>
      </w:r>
      <w:r>
        <w:rPr>
          <w:rFonts w:ascii="Book Antiqua"/>
          <w:color w:val="000000"/>
          <w:sz w:val="22"/>
          <w:szCs w:val="22"/>
          <w:u w:color="000000"/>
          <w:rtl w:val="0"/>
          <w:lang w:val="it-IT"/>
        </w:rPr>
        <w:t>aggiudicazione della raccolta differenziata, le societ</w:t>
      </w:r>
      <w:r>
        <w:rPr>
          <w:rFonts w:hAnsi="Book Antiqua" w:hint="default"/>
          <w:color w:val="000000"/>
          <w:sz w:val="22"/>
          <w:szCs w:val="22"/>
          <w:u w:color="000000"/>
          <w:rtl w:val="0"/>
          <w:lang w:val="it-IT"/>
        </w:rPr>
        <w:t xml:space="preserve">à </w:t>
      </w:r>
      <w:r>
        <w:rPr>
          <w:rFonts w:ascii="Book Antiqua"/>
          <w:color w:val="000000"/>
          <w:sz w:val="22"/>
          <w:szCs w:val="22"/>
          <w:u w:color="000000"/>
          <w:rtl w:val="0"/>
          <w:lang w:val="it-IT"/>
        </w:rPr>
        <w:t>riconducibili a Buzzi eroghino, a favore della fondazione riconducibile a Panzironi e Alemanno, una somma pari a 30.000 euro.</w:t>
      </w:r>
    </w:p>
    <w:p>
      <w:pPr>
        <w:pStyle w:val="Normal"/>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w:t>
      </w:r>
      <w:r>
        <w:rPr>
          <w:rFonts w:hAnsi="Book Antiqua" w:hint="default"/>
          <w:color w:val="000000"/>
          <w:sz w:val="22"/>
          <w:szCs w:val="22"/>
          <w:u w:color="000000"/>
          <w:rtl w:val="0"/>
          <w:lang w:val="it-IT"/>
        </w:rPr>
        <w:t>…</w:t>
      </w:r>
      <w:r>
        <w:rPr>
          <w:rFonts w:ascii="Book Antiqua"/>
          <w:color w:val="000000"/>
          <w:sz w:val="22"/>
          <w:szCs w:val="22"/>
          <w:u w:color="000000"/>
          <w:rtl w:val="0"/>
          <w:lang w:val="it-IT"/>
        </w:rPr>
        <w:t>]</w:t>
      </w:r>
    </w:p>
    <w:p>
      <w:pPr>
        <w:pStyle w:val="Normal"/>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Dagli accertamenti effettuati sui c/c delle cooperative riconducibili a Salvatore BUZZI, emergeva che effettivamente in data 15.11.2012, dal c/c n. 60803 acceso presso la banca Prossima ed intestata alla Societ</w:t>
      </w:r>
      <w:r>
        <w:rPr>
          <w:rFonts w:hAnsi="Book Antiqua" w:hint="default"/>
          <w:color w:val="000000"/>
          <w:sz w:val="22"/>
          <w:szCs w:val="22"/>
          <w:u w:color="000000"/>
          <w:rtl w:val="0"/>
          <w:lang w:val="it-IT"/>
        </w:rPr>
        <w:t xml:space="preserve">à </w:t>
      </w:r>
      <w:r>
        <w:rPr>
          <w:rFonts w:ascii="Book Antiqua"/>
          <w:color w:val="000000"/>
          <w:sz w:val="22"/>
          <w:szCs w:val="22"/>
          <w:u w:color="000000"/>
          <w:rtl w:val="0"/>
          <w:lang w:val="it-IT"/>
        </w:rPr>
        <w:t xml:space="preserve">coop. Formula Sociale, erano stati bonificati la somma di euro 30.000,00 in favore della </w:t>
      </w:r>
      <w:r>
        <w:rPr>
          <w:rFonts w:hAnsi="Book Antiqua" w:hint="default"/>
          <w:color w:val="000000"/>
          <w:sz w:val="22"/>
          <w:szCs w:val="22"/>
          <w:u w:color="000000"/>
          <w:rtl w:val="0"/>
          <w:lang w:val="it-IT"/>
        </w:rPr>
        <w:t>“</w:t>
      </w:r>
      <w:r>
        <w:rPr>
          <w:rFonts w:ascii="Book Antiqua"/>
          <w:color w:val="000000"/>
          <w:sz w:val="22"/>
          <w:szCs w:val="22"/>
          <w:u w:color="000000"/>
          <w:rtl w:val="0"/>
          <w:lang w:val="it-IT"/>
        </w:rPr>
        <w:t>Fondazione per la Pace e Cooperazione Internazionale Alcide De Gasperi</w:t>
      </w:r>
      <w:r>
        <w:rPr>
          <w:rFonts w:hAnsi="Book Antiqua" w:hint="default"/>
          <w:color w:val="000000"/>
          <w:sz w:val="22"/>
          <w:szCs w:val="22"/>
          <w:u w:color="000000"/>
          <w:rtl w:val="0"/>
          <w:lang w:val="it-IT"/>
        </w:rPr>
        <w:t xml:space="preserve">” </w:t>
      </w:r>
      <w:r>
        <w:rPr>
          <w:rFonts w:ascii="Book Antiqua"/>
          <w:color w:val="000000"/>
          <w:sz w:val="22"/>
          <w:szCs w:val="22"/>
          <w:u w:color="000000"/>
          <w:rtl w:val="0"/>
          <w:lang w:val="it-IT"/>
        </w:rPr>
        <w:t>(con sede in Roma Piazza San Lorenzo in Lucina n. 26, ndr) [</w:t>
      </w:r>
      <w:r>
        <w:rPr>
          <w:rFonts w:hAnsi="Book Antiqua" w:hint="default"/>
          <w:color w:val="000000"/>
          <w:sz w:val="22"/>
          <w:szCs w:val="22"/>
          <w:u w:color="000000"/>
          <w:rtl w:val="0"/>
          <w:lang w:val="it-IT"/>
        </w:rPr>
        <w:t>…</w:t>
      </w:r>
      <w:r>
        <w:rPr>
          <w:rFonts w:ascii="Book Antiqua"/>
          <w:color w:val="000000"/>
          <w:sz w:val="22"/>
          <w:szCs w:val="22"/>
          <w:u w:color="000000"/>
          <w:rtl w:val="0"/>
          <w:lang w:val="it-IT"/>
        </w:rPr>
        <w:t>] a poche settimane di distanza, in data 6.12.2012, venivano disposti altri bonifici dai c/c delle societ</w:t>
      </w:r>
      <w:r>
        <w:rPr>
          <w:rFonts w:hAnsi="Book Antiqua" w:hint="default"/>
          <w:color w:val="000000"/>
          <w:sz w:val="22"/>
          <w:szCs w:val="22"/>
          <w:u w:color="000000"/>
          <w:rtl w:val="0"/>
          <w:lang w:val="it-IT"/>
        </w:rPr>
        <w:t xml:space="preserve">à </w:t>
      </w:r>
      <w:r>
        <w:rPr>
          <w:rFonts w:ascii="Book Antiqua"/>
          <w:color w:val="000000"/>
          <w:sz w:val="22"/>
          <w:szCs w:val="22"/>
          <w:u w:color="000000"/>
          <w:rtl w:val="0"/>
          <w:lang w:val="it-IT"/>
        </w:rPr>
        <w:t>di BUZZI in favore della Fondazione Nuova Italia, per l</w:t>
      </w:r>
      <w:r>
        <w:rPr>
          <w:rFonts w:hAnsi="Book Antiqua" w:hint="default"/>
          <w:color w:val="000000"/>
          <w:sz w:val="22"/>
          <w:szCs w:val="22"/>
          <w:u w:color="000000"/>
          <w:rtl w:val="0"/>
          <w:lang w:val="it-IT"/>
        </w:rPr>
        <w:t>’</w:t>
      </w:r>
      <w:r>
        <w:rPr>
          <w:rFonts w:ascii="Book Antiqua"/>
          <w:color w:val="000000"/>
          <w:sz w:val="22"/>
          <w:szCs w:val="22"/>
          <w:u w:color="000000"/>
          <w:rtl w:val="0"/>
          <w:lang w:val="it-IT"/>
        </w:rPr>
        <w:t>importo complessivo di ulteriori 30.000,00 euro.</w:t>
      </w:r>
    </w:p>
    <w:p>
      <w:pPr>
        <w:pStyle w:val="Normal"/>
        <w:ind w:left="567" w:right="567" w:firstLine="0"/>
        <w:rPr>
          <w:rFonts w:ascii="Book Antiqua" w:cs="Book Antiqua" w:hAnsi="Book Antiqua" w:eastAsia="Book Antiqua"/>
          <w:color w:val="000000"/>
          <w:sz w:val="22"/>
          <w:szCs w:val="22"/>
          <w:u w:color="000000"/>
        </w:rPr>
      </w:pPr>
    </w:p>
    <w:p>
      <w:pPr>
        <w:pStyle w:val="Normal"/>
        <w:ind w:left="567" w:right="567" w:firstLine="0"/>
        <w:rPr>
          <w:rFonts w:ascii="Book Antiqua" w:cs="Book Antiqua" w:hAnsi="Book Antiqua" w:eastAsia="Book Antiqua"/>
          <w:color w:val="000000"/>
          <w:u w:color="000000"/>
        </w:rPr>
      </w:pPr>
      <w:r>
        <w:rPr>
          <w:rFonts w:ascii="Book Antiqua"/>
          <w:color w:val="000000"/>
          <w:u w:color="000000"/>
          <w:rtl w:val="0"/>
          <w:lang w:val="it-IT"/>
        </w:rPr>
        <w:t>[p. 655, p. 752]</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rPr>
          <w:rFonts w:ascii="Book Antiqua" w:cs="Book Antiqua" w:hAnsi="Book Antiqua" w:eastAsia="Book Antiqua"/>
          <w:color w:val="000000"/>
          <w:u w:color="000000"/>
        </w:rPr>
      </w:pPr>
      <w:r>
        <w:rPr>
          <w:rFonts w:ascii="Book Antiqua"/>
          <w:color w:val="000000"/>
          <w:u w:color="000000"/>
          <w:rtl w:val="0"/>
          <w:lang w:val="it-IT"/>
        </w:rPr>
        <w:t>[Raccolta delle foglie per il comune di Roma ]</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 xml:space="preserve">La seconda delle ipotesi considerate </w:t>
      </w:r>
      <w:r>
        <w:rPr>
          <w:rFonts w:hAnsi="Book Antiqua" w:hint="default"/>
          <w:color w:val="000000"/>
          <w:sz w:val="22"/>
          <w:szCs w:val="22"/>
          <w:u w:color="000000"/>
          <w:rtl w:val="0"/>
          <w:lang w:val="it-IT"/>
        </w:rPr>
        <w:t xml:space="preserve">è </w:t>
      </w:r>
      <w:r>
        <w:rPr>
          <w:rFonts w:ascii="Book Antiqua"/>
          <w:color w:val="000000"/>
          <w:sz w:val="22"/>
          <w:szCs w:val="22"/>
          <w:u w:color="000000"/>
          <w:rtl w:val="0"/>
          <w:lang w:val="it-IT"/>
        </w:rPr>
        <w:t>relativa all</w:t>
      </w:r>
      <w:r>
        <w:rPr>
          <w:rFonts w:hAnsi="Book Antiqua" w:hint="default"/>
          <w:color w:val="000000"/>
          <w:sz w:val="22"/>
          <w:szCs w:val="22"/>
          <w:u w:color="000000"/>
          <w:rtl w:val="0"/>
          <w:lang w:val="it-IT"/>
        </w:rPr>
        <w:t>’</w:t>
      </w:r>
      <w:r>
        <w:rPr>
          <w:rFonts w:ascii="Book Antiqua"/>
          <w:color w:val="000000"/>
          <w:sz w:val="22"/>
          <w:szCs w:val="22"/>
          <w:u w:color="000000"/>
          <w:rtl w:val="0"/>
          <w:lang w:val="it-IT"/>
        </w:rPr>
        <w:t>aggiudicazione di due lotti di dei lavori di cui al n</w:t>
      </w:r>
      <w:r>
        <w:rPr>
          <w:rFonts w:hAnsi="Book Antiqua" w:hint="default"/>
          <w:color w:val="000000"/>
          <w:sz w:val="22"/>
          <w:szCs w:val="22"/>
          <w:u w:color="000000"/>
          <w:rtl w:val="0"/>
          <w:lang w:val="it-IT"/>
        </w:rPr>
        <w:t xml:space="preserve">° </w:t>
      </w:r>
      <w:r>
        <w:rPr>
          <w:rFonts w:ascii="Book Antiqua"/>
          <w:color w:val="000000"/>
          <w:sz w:val="22"/>
          <w:szCs w:val="22"/>
          <w:u w:color="000000"/>
          <w:rtl w:val="0"/>
          <w:lang w:val="it-IT"/>
        </w:rPr>
        <w:t>11156382, relativa alla raccolta delle foglie per il comune di Roma, avvenuta in data 11.12.12.</w:t>
      </w:r>
    </w:p>
    <w:p>
      <w:pPr>
        <w:pStyle w:val="Normal"/>
        <w:ind w:left="567" w:right="567" w:firstLine="0"/>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Anche in questo caso, vi sono conversazioni, antecedenti alla formale aggiudicazione, tra Buzzi e Fiscon che danno per scontato l</w:t>
      </w:r>
      <w:r>
        <w:rPr>
          <w:rFonts w:hAnsi="Book Antiqua" w:hint="default"/>
          <w:color w:val="000000"/>
          <w:sz w:val="22"/>
          <w:szCs w:val="22"/>
          <w:u w:color="000000"/>
          <w:rtl w:val="0"/>
          <w:lang w:val="it-IT"/>
        </w:rPr>
        <w:t>’</w:t>
      </w:r>
      <w:r>
        <w:rPr>
          <w:rFonts w:ascii="Book Antiqua"/>
          <w:color w:val="000000"/>
          <w:sz w:val="22"/>
          <w:szCs w:val="22"/>
          <w:u w:color="000000"/>
          <w:rtl w:val="0"/>
          <w:lang w:val="it-IT"/>
        </w:rPr>
        <w:t>esito della gara.</w:t>
      </w:r>
    </w:p>
    <w:p>
      <w:pPr>
        <w:pStyle w:val="Normal"/>
        <w:ind w:left="567" w:right="567" w:firstLine="0"/>
        <w:rPr>
          <w:rFonts w:ascii="Book Antiqua" w:cs="Book Antiqua" w:hAnsi="Book Antiqua" w:eastAsia="Book Antiqua"/>
          <w:color w:val="000000"/>
          <w:sz w:val="22"/>
          <w:szCs w:val="22"/>
          <w:u w:color="000000"/>
        </w:rPr>
      </w:pP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 xml:space="preserve"> [p. 662]</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[La turbativa della gara provvisoria relativa all</w:t>
      </w:r>
      <w:r>
        <w:rPr>
          <w:rFonts w:hAnsi="Book Antiqua" w:hint="default"/>
          <w:color w:val="000000"/>
          <w:u w:color="000000"/>
          <w:rtl w:val="0"/>
          <w:lang w:val="it-IT"/>
        </w:rPr>
        <w:t>’</w:t>
      </w:r>
      <w:r>
        <w:rPr>
          <w:rFonts w:ascii="Book Antiqua"/>
          <w:color w:val="000000"/>
          <w:u w:color="000000"/>
          <w:rtl w:val="0"/>
          <w:lang w:val="it-IT"/>
        </w:rPr>
        <w:t>emergenza rifiuti]</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w:t>
      </w:r>
      <w:r>
        <w:rPr>
          <w:rFonts w:hAnsi="Book Antiqua" w:hint="default"/>
          <w:color w:val="000000"/>
          <w:sz w:val="22"/>
          <w:szCs w:val="22"/>
          <w:u w:color="000000"/>
          <w:rtl w:val="0"/>
          <w:lang w:val="it-IT"/>
        </w:rPr>
        <w:t>…</w:t>
      </w:r>
      <w:r>
        <w:rPr>
          <w:rFonts w:ascii="Book Antiqua"/>
          <w:color w:val="000000"/>
          <w:sz w:val="22"/>
          <w:szCs w:val="22"/>
          <w:u w:color="000000"/>
          <w:rtl w:val="0"/>
          <w:lang w:val="it-IT"/>
        </w:rPr>
        <w:t xml:space="preserve">] emerge dalle intercettazioni telefoniche (RIT 1741/13 progressivo n. 34221 ore 09.42.51 del 30.10.2013 BUZZI Salvatore utenza telefonica n. 3482519252 </w:t>
      </w:r>
      <w:r>
        <w:rPr>
          <w:rFonts w:hAnsi="Book Antiqua" w:hint="default"/>
          <w:color w:val="000000"/>
          <w:sz w:val="22"/>
          <w:szCs w:val="22"/>
          <w:u w:color="000000"/>
          <w:rtl w:val="0"/>
          <w:lang w:val="it-IT"/>
        </w:rPr>
        <w:t xml:space="preserve">– </w:t>
      </w:r>
      <w:r>
        <w:rPr>
          <w:rFonts w:ascii="Book Antiqua"/>
          <w:color w:val="000000"/>
          <w:sz w:val="22"/>
          <w:szCs w:val="22"/>
          <w:u w:color="000000"/>
          <w:rtl w:val="0"/>
          <w:lang w:val="it-IT"/>
        </w:rPr>
        <w:t>FISCON Giovanni utenza telefonica n. 3484049972), dalle quali si evince che, in relazione alla citata gara, l</w:t>
      </w:r>
      <w:r>
        <w:rPr>
          <w:rFonts w:hAnsi="Book Antiqua" w:hint="default"/>
          <w:color w:val="000000"/>
          <w:sz w:val="22"/>
          <w:szCs w:val="22"/>
          <w:u w:color="000000"/>
          <w:rtl w:val="0"/>
          <w:lang w:val="it-IT"/>
        </w:rPr>
        <w:t>’</w:t>
      </w:r>
      <w:r>
        <w:rPr>
          <w:rFonts w:ascii="Book Antiqua"/>
          <w:color w:val="000000"/>
          <w:sz w:val="22"/>
          <w:szCs w:val="22"/>
          <w:u w:color="000000"/>
          <w:rtl w:val="0"/>
          <w:lang w:val="it-IT"/>
        </w:rPr>
        <w:t xml:space="preserve">assegnazione era stata preconcordata da Fiscon con i rappresentanti di Federambiente. </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Salvatore BUZZI Giovanni FISCON</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SB: per essere invitati alla gara provvisoria Nanni, questa dei rifiuti, potrem... come CNS?</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GF: eh... no, ormai no, perch</w:t>
      </w:r>
      <w:r>
        <w:rPr>
          <w:rFonts w:hAnsi="Book Antiqua" w:hint="default"/>
          <w:color w:val="000000"/>
          <w:sz w:val="22"/>
          <w:szCs w:val="22"/>
          <w:u w:color="000000"/>
          <w:rtl w:val="0"/>
          <w:lang w:val="it-IT"/>
        </w:rPr>
        <w:t xml:space="preserve">é </w:t>
      </w:r>
      <w:r>
        <w:rPr>
          <w:rFonts w:ascii="Book Antiqua"/>
          <w:color w:val="000000"/>
          <w:sz w:val="22"/>
          <w:szCs w:val="22"/>
          <w:u w:color="000000"/>
          <w:rtl w:val="0"/>
          <w:lang w:val="it-IT"/>
        </w:rPr>
        <w:t>quella le ho fatte, me l</w:t>
      </w:r>
      <w:r>
        <w:rPr>
          <w:rFonts w:hAnsi="Book Antiqua" w:hint="default"/>
          <w:color w:val="000000"/>
          <w:sz w:val="22"/>
          <w:szCs w:val="22"/>
          <w:u w:color="000000"/>
          <w:rtl w:val="0"/>
          <w:lang w:val="it-IT"/>
        </w:rPr>
        <w:t>’</w:t>
      </w:r>
      <w:r>
        <w:rPr>
          <w:rFonts w:ascii="Book Antiqua"/>
          <w:color w:val="000000"/>
          <w:sz w:val="22"/>
          <w:szCs w:val="22"/>
          <w:u w:color="000000"/>
          <w:rtl w:val="0"/>
          <w:lang w:val="it-IT"/>
        </w:rPr>
        <w:t>ha indicate Federambiente, le...</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ah, Federambiente. si, si, dovete fa</w:t>
      </w:r>
      <w:r>
        <w:rPr>
          <w:rFonts w:hAnsi="Book Antiqua" w:hint="default"/>
          <w:color w:val="000000"/>
          <w:sz w:val="22"/>
          <w:szCs w:val="22"/>
          <w:u w:color="000000"/>
          <w:rtl w:val="0"/>
          <w:lang w:val="it-IT"/>
        </w:rPr>
        <w:t xml:space="preserve">’ </w:t>
      </w:r>
      <w:r>
        <w:rPr>
          <w:rFonts w:ascii="Book Antiqua"/>
          <w:color w:val="000000"/>
          <w:sz w:val="22"/>
          <w:szCs w:val="22"/>
          <w:u w:color="000000"/>
          <w:rtl w:val="0"/>
          <w:lang w:val="it-IT"/>
        </w:rPr>
        <w:t>la domanda per</w:t>
      </w:r>
      <w:r>
        <w:rPr>
          <w:rFonts w:hAnsi="Book Antiqua" w:hint="default"/>
          <w:color w:val="000000"/>
          <w:sz w:val="22"/>
          <w:szCs w:val="22"/>
          <w:u w:color="000000"/>
          <w:rtl w:val="0"/>
          <w:lang w:val="it-IT"/>
        </w:rPr>
        <w:t xml:space="preserve">ò </w:t>
      </w:r>
      <w:r>
        <w:rPr>
          <w:rFonts w:ascii="Book Antiqua"/>
          <w:color w:val="000000"/>
          <w:sz w:val="22"/>
          <w:szCs w:val="22"/>
          <w:u w:color="000000"/>
          <w:rtl w:val="0"/>
          <w:lang w:val="it-IT"/>
        </w:rPr>
        <w:t>quella co... quella che conta.</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 xml:space="preserve">SB: qual </w:t>
      </w:r>
      <w:r>
        <w:rPr>
          <w:rFonts w:hAnsi="Book Antiqua" w:hint="default"/>
          <w:color w:val="000000"/>
          <w:sz w:val="22"/>
          <w:szCs w:val="22"/>
          <w:u w:color="000000"/>
          <w:rtl w:val="0"/>
          <w:lang w:val="it-IT"/>
        </w:rPr>
        <w:t>è</w:t>
      </w:r>
      <w:r>
        <w:rPr>
          <w:rFonts w:ascii="Book Antiqua"/>
          <w:color w:val="000000"/>
          <w:sz w:val="22"/>
          <w:szCs w:val="22"/>
          <w:u w:color="000000"/>
          <w:rtl w:val="0"/>
          <w:lang w:val="it-IT"/>
        </w:rPr>
        <w:t>?</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 xml:space="preserve">GF: quella che conta </w:t>
      </w:r>
      <w:r>
        <w:rPr>
          <w:rFonts w:hAnsi="Book Antiqua" w:hint="default"/>
          <w:color w:val="000000"/>
          <w:sz w:val="22"/>
          <w:szCs w:val="22"/>
          <w:u w:color="000000"/>
          <w:rtl w:val="0"/>
          <w:lang w:val="it-IT"/>
        </w:rPr>
        <w:t xml:space="preserve">è </w:t>
      </w:r>
      <w:r>
        <w:rPr>
          <w:rFonts w:ascii="Book Antiqua"/>
          <w:color w:val="000000"/>
          <w:sz w:val="22"/>
          <w:szCs w:val="22"/>
          <w:u w:color="000000"/>
          <w:rtl w:val="0"/>
          <w:lang w:val="it-IT"/>
        </w:rPr>
        <w:t>quell</w:t>
      </w:r>
      <w:r>
        <w:rPr>
          <w:rFonts w:hAnsi="Book Antiqua" w:hint="default"/>
          <w:color w:val="000000"/>
          <w:sz w:val="22"/>
          <w:szCs w:val="22"/>
          <w:u w:color="000000"/>
          <w:rtl w:val="0"/>
          <w:lang w:val="it-IT"/>
        </w:rPr>
        <w:t>’</w:t>
      </w:r>
      <w:r>
        <w:rPr>
          <w:rFonts w:ascii="Book Antiqua"/>
          <w:color w:val="000000"/>
          <w:sz w:val="22"/>
          <w:szCs w:val="22"/>
          <w:u w:color="000000"/>
          <w:rtl w:val="0"/>
          <w:lang w:val="it-IT"/>
        </w:rPr>
        <w:t>altra.</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SB: quell</w:t>
      </w:r>
      <w:r>
        <w:rPr>
          <w:rFonts w:hAnsi="Book Antiqua" w:hint="default"/>
          <w:color w:val="000000"/>
          <w:sz w:val="22"/>
          <w:szCs w:val="22"/>
          <w:u w:color="000000"/>
          <w:rtl w:val="0"/>
          <w:lang w:val="it-IT"/>
        </w:rPr>
        <w:t>’</w:t>
      </w:r>
      <w:r>
        <w:rPr>
          <w:rFonts w:ascii="Book Antiqua"/>
          <w:color w:val="000000"/>
          <w:sz w:val="22"/>
          <w:szCs w:val="22"/>
          <w:u w:color="000000"/>
          <w:rtl w:val="0"/>
          <w:lang w:val="it-IT"/>
        </w:rPr>
        <w:t>altra si.</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 xml:space="preserve">GF: quella che conta </w:t>
      </w:r>
      <w:r>
        <w:rPr>
          <w:rFonts w:hAnsi="Book Antiqua" w:hint="default"/>
          <w:color w:val="000000"/>
          <w:sz w:val="22"/>
          <w:szCs w:val="22"/>
          <w:u w:color="000000"/>
          <w:rtl w:val="0"/>
          <w:lang w:val="it-IT"/>
        </w:rPr>
        <w:t xml:space="preserve">è </w:t>
      </w:r>
      <w:r>
        <w:rPr>
          <w:rFonts w:ascii="Book Antiqua"/>
          <w:color w:val="000000"/>
          <w:sz w:val="22"/>
          <w:szCs w:val="22"/>
          <w:u w:color="000000"/>
          <w:rtl w:val="0"/>
          <w:lang w:val="it-IT"/>
        </w:rPr>
        <w:t>quell</w:t>
      </w:r>
      <w:r>
        <w:rPr>
          <w:rFonts w:hAnsi="Book Antiqua" w:hint="default"/>
          <w:color w:val="000000"/>
          <w:sz w:val="22"/>
          <w:szCs w:val="22"/>
          <w:u w:color="000000"/>
          <w:rtl w:val="0"/>
          <w:lang w:val="it-IT"/>
        </w:rPr>
        <w:t>’</w:t>
      </w:r>
      <w:r>
        <w:rPr>
          <w:rFonts w:ascii="Book Antiqua"/>
          <w:color w:val="000000"/>
          <w:sz w:val="22"/>
          <w:szCs w:val="22"/>
          <w:u w:color="000000"/>
          <w:rtl w:val="0"/>
          <w:lang w:val="it-IT"/>
        </w:rPr>
        <w:t>altra.</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SB: la stiamo facendo, stiamo, stiamo...</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GF: quella a tutti i costi, eh, cio</w:t>
      </w:r>
      <w:r>
        <w:rPr>
          <w:rFonts w:hAnsi="Book Antiqua" w:hint="default"/>
          <w:color w:val="000000"/>
          <w:sz w:val="22"/>
          <w:szCs w:val="22"/>
          <w:u w:color="000000"/>
          <w:rtl w:val="0"/>
          <w:lang w:val="it-IT"/>
        </w:rPr>
        <w:t xml:space="preserve">è </w:t>
      </w:r>
      <w:r>
        <w:rPr>
          <w:rFonts w:ascii="Book Antiqua"/>
          <w:color w:val="000000"/>
          <w:sz w:val="22"/>
          <w:szCs w:val="22"/>
          <w:u w:color="000000"/>
          <w:rtl w:val="0"/>
          <w:lang w:val="it-IT"/>
        </w:rPr>
        <w:t>non... non sbagliate niente l</w:t>
      </w:r>
      <w:r>
        <w:rPr>
          <w:rFonts w:hAnsi="Book Antiqua" w:hint="default"/>
          <w:color w:val="000000"/>
          <w:sz w:val="22"/>
          <w:szCs w:val="22"/>
          <w:u w:color="000000"/>
          <w:rtl w:val="0"/>
          <w:lang w:val="it-IT"/>
        </w:rPr>
        <w:t>à</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no abbiamo, abbiamo gi</w:t>
      </w:r>
      <w:r>
        <w:rPr>
          <w:rFonts w:hAnsi="Book Antiqua" w:hint="default"/>
          <w:color w:val="000000"/>
          <w:sz w:val="22"/>
          <w:szCs w:val="22"/>
          <w:u w:color="000000"/>
          <w:rtl w:val="0"/>
          <w:lang w:val="it-IT"/>
        </w:rPr>
        <w:t xml:space="preserve">à </w:t>
      </w:r>
      <w:r>
        <w:rPr>
          <w:rFonts w:ascii="Book Antiqua"/>
          <w:color w:val="000000"/>
          <w:sz w:val="22"/>
          <w:szCs w:val="22"/>
          <w:u w:color="000000"/>
          <w:rtl w:val="0"/>
          <w:lang w:val="it-IT"/>
        </w:rPr>
        <w:t>raggiunto de... degli accordi. eh.</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SB: era pe</w:t>
      </w:r>
      <w:r>
        <w:rPr>
          <w:rFonts w:hAnsi="Book Antiqua" w:hint="default"/>
          <w:color w:val="000000"/>
          <w:sz w:val="22"/>
          <w:szCs w:val="22"/>
          <w:u w:color="000000"/>
          <w:rtl w:val="0"/>
          <w:lang w:val="it-IT"/>
        </w:rPr>
        <w:t xml:space="preserve">’ </w:t>
      </w:r>
      <w:r>
        <w:rPr>
          <w:rFonts w:ascii="Book Antiqua"/>
          <w:color w:val="000000"/>
          <w:sz w:val="22"/>
          <w:szCs w:val="22"/>
          <w:u w:color="000000"/>
          <w:rtl w:val="0"/>
          <w:lang w:val="it-IT"/>
        </w:rPr>
        <w:t>sape</w:t>
      </w:r>
      <w:r>
        <w:rPr>
          <w:rFonts w:hAnsi="Book Antiqua" w:hint="default"/>
          <w:color w:val="000000"/>
          <w:sz w:val="22"/>
          <w:szCs w:val="22"/>
          <w:u w:color="000000"/>
          <w:rtl w:val="0"/>
          <w:lang w:val="it-IT"/>
        </w:rPr>
        <w:t xml:space="preserve">’ </w:t>
      </w:r>
      <w:r>
        <w:rPr>
          <w:rFonts w:ascii="Book Antiqua"/>
          <w:color w:val="000000"/>
          <w:sz w:val="22"/>
          <w:szCs w:val="22"/>
          <w:u w:color="000000"/>
          <w:rtl w:val="0"/>
          <w:lang w:val="it-IT"/>
        </w:rPr>
        <w:t>se c</w:t>
      </w:r>
      <w:r>
        <w:rPr>
          <w:rFonts w:hAnsi="Book Antiqua" w:hint="default"/>
          <w:color w:val="000000"/>
          <w:sz w:val="22"/>
          <w:szCs w:val="22"/>
          <w:u w:color="000000"/>
          <w:rtl w:val="0"/>
          <w:lang w:val="it-IT"/>
        </w:rPr>
        <w:t>’</w:t>
      </w:r>
      <w:r>
        <w:rPr>
          <w:rFonts w:ascii="Book Antiqua"/>
          <w:color w:val="000000"/>
          <w:sz w:val="22"/>
          <w:szCs w:val="22"/>
          <w:u w:color="000000"/>
          <w:rtl w:val="0"/>
          <w:lang w:val="it-IT"/>
        </w:rPr>
        <w:t>avevamo spazio pure su questa provvisoria. eh... no, no per... perch</w:t>
      </w:r>
      <w:r>
        <w:rPr>
          <w:rFonts w:hAnsi="Book Antiqua" w:hint="default"/>
          <w:color w:val="000000"/>
          <w:sz w:val="22"/>
          <w:szCs w:val="22"/>
          <w:u w:color="000000"/>
          <w:rtl w:val="0"/>
          <w:lang w:val="it-IT"/>
        </w:rPr>
        <w:t xml:space="preserve">é </w:t>
      </w:r>
      <w:r>
        <w:rPr>
          <w:rFonts w:ascii="Book Antiqua"/>
          <w:color w:val="000000"/>
          <w:sz w:val="22"/>
          <w:szCs w:val="22"/>
          <w:u w:color="000000"/>
          <w:rtl w:val="0"/>
          <w:lang w:val="it-IT"/>
        </w:rPr>
        <w:t>ho, ho fatto un criterio, senn</w:t>
      </w:r>
      <w:r>
        <w:rPr>
          <w:rFonts w:hAnsi="Book Antiqua" w:hint="default"/>
          <w:color w:val="000000"/>
          <w:sz w:val="22"/>
          <w:szCs w:val="22"/>
          <w:u w:color="000000"/>
          <w:rtl w:val="0"/>
          <w:lang w:val="it-IT"/>
        </w:rPr>
        <w:t xml:space="preserve">ò </w:t>
      </w:r>
      <w:r>
        <w:rPr>
          <w:rFonts w:ascii="Book Antiqua"/>
          <w:color w:val="000000"/>
          <w:sz w:val="22"/>
          <w:szCs w:val="22"/>
          <w:u w:color="000000"/>
          <w:rtl w:val="0"/>
          <w:lang w:val="it-IT"/>
        </w:rPr>
        <w:t>come facevo</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GF: ok.</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SB: eh, a sceglie</w:t>
      </w:r>
      <w:r>
        <w:rPr>
          <w:rFonts w:hAnsi="Book Antiqua" w:hint="default"/>
          <w:color w:val="000000"/>
          <w:sz w:val="22"/>
          <w:szCs w:val="22"/>
          <w:u w:color="000000"/>
          <w:rtl w:val="0"/>
          <w:lang w:val="it-IT"/>
        </w:rPr>
        <w:t xml:space="preserve">’ </w:t>
      </w:r>
      <w:r>
        <w:rPr>
          <w:rFonts w:ascii="Book Antiqua"/>
          <w:color w:val="000000"/>
          <w:sz w:val="22"/>
          <w:szCs w:val="22"/>
          <w:u w:color="000000"/>
          <w:rtl w:val="0"/>
          <w:lang w:val="it-IT"/>
        </w:rPr>
        <w:t>uno si, uno no, uno si, uno no, eh, qualcuno me lo doveva di</w:t>
      </w:r>
      <w:r>
        <w:rPr>
          <w:rFonts w:hAnsi="Book Antiqua" w:hint="default"/>
          <w:color w:val="000000"/>
          <w:sz w:val="22"/>
          <w:szCs w:val="22"/>
          <w:u w:color="000000"/>
          <w:rtl w:val="0"/>
          <w:lang w:val="it-IT"/>
        </w:rPr>
        <w:t>’</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[p. 767, 768]</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Successivamente, il FISCON sollecitava il BUZZI a mandargli immediatamente una richiesta perch</w:t>
      </w:r>
      <w:r>
        <w:rPr>
          <w:rFonts w:hAnsi="Book Antiqua" w:hint="default"/>
          <w:color w:val="000000"/>
          <w:sz w:val="22"/>
          <w:szCs w:val="22"/>
          <w:u w:color="000000"/>
          <w:rtl w:val="0"/>
          <w:lang w:val="it-IT"/>
        </w:rPr>
        <w:t xml:space="preserve">é </w:t>
      </w:r>
      <w:r>
        <w:rPr>
          <w:rFonts w:ascii="Book Antiqua"/>
          <w:color w:val="000000"/>
          <w:sz w:val="22"/>
          <w:szCs w:val="22"/>
          <w:u w:color="000000"/>
          <w:rtl w:val="0"/>
          <w:lang w:val="it-IT"/>
        </w:rPr>
        <w:t>avrebbe invitato anche loro; pertanto, BUZZI cercava i mezzi necessari e le societ</w:t>
      </w:r>
      <w:r>
        <w:rPr>
          <w:rFonts w:hAnsi="Book Antiqua" w:hint="default"/>
          <w:color w:val="000000"/>
          <w:sz w:val="22"/>
          <w:szCs w:val="22"/>
          <w:u w:color="000000"/>
          <w:rtl w:val="0"/>
          <w:lang w:val="it-IT"/>
        </w:rPr>
        <w:t xml:space="preserve">à </w:t>
      </w:r>
      <w:r>
        <w:rPr>
          <w:rFonts w:ascii="Book Antiqua"/>
          <w:color w:val="000000"/>
          <w:sz w:val="22"/>
          <w:szCs w:val="22"/>
          <w:u w:color="000000"/>
          <w:rtl w:val="0"/>
          <w:lang w:val="it-IT"/>
        </w:rPr>
        <w:t>per partecipare congiuntamente; alle ore 11.18 dello stesso giorno, i FISCON, dopo aver letto la lettera, contattava nuovamente il BUZZI, invitandolo ad essere pi</w:t>
      </w:r>
      <w:r>
        <w:rPr>
          <w:rFonts w:hAnsi="Book Antiqua" w:hint="default"/>
          <w:color w:val="000000"/>
          <w:sz w:val="22"/>
          <w:szCs w:val="22"/>
          <w:u w:color="000000"/>
          <w:rtl w:val="0"/>
          <w:lang w:val="it-IT"/>
        </w:rPr>
        <w:t xml:space="preserve">ù </w:t>
      </w:r>
      <w:r>
        <w:rPr>
          <w:rFonts w:ascii="Book Antiqua"/>
          <w:color w:val="000000"/>
          <w:sz w:val="22"/>
          <w:szCs w:val="22"/>
          <w:u w:color="000000"/>
          <w:rtl w:val="0"/>
          <w:lang w:val="it-IT"/>
        </w:rPr>
        <w:t xml:space="preserve">preciso, in quanto sembrava li stesse invitando solo per il trasporto, mentre la gara riguardava </w:t>
      </w:r>
      <w:r>
        <w:rPr>
          <w:rFonts w:hAnsi="Book Antiqua" w:hint="default"/>
          <w:color w:val="000000"/>
          <w:sz w:val="22"/>
          <w:szCs w:val="22"/>
          <w:u w:color="000000"/>
          <w:rtl w:val="0"/>
          <w:lang w:val="it-IT"/>
        </w:rPr>
        <w:t>“</w:t>
      </w:r>
      <w:r>
        <w:rPr>
          <w:rFonts w:ascii="Book Antiqua"/>
          <w:color w:val="000000"/>
          <w:sz w:val="22"/>
          <w:szCs w:val="22"/>
          <w:u w:color="000000"/>
          <w:rtl w:val="0"/>
          <w:lang w:val="it-IT"/>
        </w:rPr>
        <w:t>trasporto e smaltimento</w:t>
      </w:r>
      <w:r>
        <w:rPr>
          <w:rFonts w:hAnsi="Book Antiqua" w:hint="default"/>
          <w:color w:val="000000"/>
          <w:sz w:val="22"/>
          <w:szCs w:val="22"/>
          <w:u w:color="000000"/>
          <w:rtl w:val="0"/>
          <w:lang w:val="it-IT"/>
        </w:rPr>
        <w:t>”</w:t>
      </w:r>
      <w:r>
        <w:rPr>
          <w:rFonts w:ascii="Book Antiqua"/>
          <w:color w:val="000000"/>
          <w:sz w:val="22"/>
          <w:szCs w:val="22"/>
          <w:u w:color="000000"/>
          <w:rtl w:val="0"/>
          <w:lang w:val="it-IT"/>
        </w:rPr>
        <w:t>; il FISCON suggeriva al BUZZI di scrivere come CNS, per essere invitati (RIT 1741/13, progr. 26231). L'apertura</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delle offerte, in data 21.9.2013, assegnava per</w:t>
      </w:r>
      <w:r>
        <w:rPr>
          <w:rFonts w:hAnsi="Book Antiqua" w:hint="default"/>
          <w:color w:val="000000"/>
          <w:sz w:val="22"/>
          <w:szCs w:val="22"/>
          <w:u w:color="000000"/>
          <w:rtl w:val="0"/>
          <w:lang w:val="it-IT"/>
        </w:rPr>
        <w:t xml:space="preserve">ò </w:t>
      </w:r>
      <w:r>
        <w:rPr>
          <w:rFonts w:ascii="Book Antiqua"/>
          <w:color w:val="000000"/>
          <w:sz w:val="22"/>
          <w:szCs w:val="22"/>
          <w:u w:color="000000"/>
          <w:rtl w:val="0"/>
          <w:lang w:val="it-IT"/>
        </w:rPr>
        <w:t>gli appalti ad altre societ</w:t>
      </w:r>
      <w:r>
        <w:rPr>
          <w:rFonts w:hAnsi="Book Antiqua" w:hint="default"/>
          <w:color w:val="000000"/>
          <w:sz w:val="22"/>
          <w:szCs w:val="22"/>
          <w:u w:color="000000"/>
          <w:rtl w:val="0"/>
          <w:lang w:val="it-IT"/>
        </w:rPr>
        <w:t>à</w:t>
      </w:r>
      <w:r>
        <w:rPr>
          <w:rFonts w:ascii="Book Antiqua"/>
          <w:color w:val="000000"/>
          <w:sz w:val="22"/>
          <w:szCs w:val="22"/>
          <w:u w:color="000000"/>
          <w:rtl w:val="0"/>
          <w:lang w:val="it-IT"/>
        </w:rPr>
        <w:t>.</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rPr>
          <w:rFonts w:ascii="Book Antiqua" w:cs="Book Antiqua" w:hAnsi="Book Antiqua" w:eastAsia="Book Antiqua"/>
          <w:color w:val="000000"/>
          <w:sz w:val="22"/>
          <w:szCs w:val="22"/>
          <w:u w:color="000000"/>
        </w:rPr>
      </w:pP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[l</w:t>
      </w:r>
      <w:r>
        <w:rPr>
          <w:rFonts w:hAnsi="Book Antiqua" w:hint="default"/>
          <w:color w:val="000000"/>
          <w:u w:color="000000"/>
          <w:rtl w:val="0"/>
          <w:lang w:val="it-IT"/>
        </w:rPr>
        <w:t>’</w:t>
      </w:r>
      <w:r>
        <w:rPr>
          <w:rFonts w:ascii="Book Antiqua"/>
          <w:color w:val="000000"/>
          <w:u w:color="000000"/>
          <w:rtl w:val="0"/>
          <w:lang w:val="it-IT"/>
        </w:rPr>
        <w:t>ordinanza non sviluppa il tema, ma l</w:t>
      </w:r>
      <w:r>
        <w:rPr>
          <w:rFonts w:hAnsi="Book Antiqua" w:hint="default"/>
          <w:color w:val="000000"/>
          <w:u w:color="000000"/>
          <w:rtl w:val="0"/>
          <w:lang w:val="it-IT"/>
        </w:rPr>
        <w:t>’</w:t>
      </w:r>
      <w:r>
        <w:rPr>
          <w:rFonts w:ascii="Book Antiqua"/>
          <w:color w:val="000000"/>
          <w:u w:color="000000"/>
          <w:rtl w:val="0"/>
          <w:lang w:val="it-IT"/>
        </w:rPr>
        <w:t>addebito provvisorio n. 15 d</w:t>
      </w:r>
      <w:r>
        <w:rPr>
          <w:rFonts w:hAnsi="Book Antiqua" w:hint="default"/>
          <w:color w:val="000000"/>
          <w:u w:color="000000"/>
          <w:rtl w:val="0"/>
          <w:lang w:val="it-IT"/>
        </w:rPr>
        <w:t xml:space="preserve">à </w:t>
      </w:r>
      <w:r>
        <w:rPr>
          <w:rFonts w:ascii="Book Antiqua"/>
          <w:color w:val="000000"/>
          <w:u w:color="000000"/>
          <w:rtl w:val="0"/>
          <w:lang w:val="it-IT"/>
        </w:rPr>
        <w:t>per avvenuta la turbativa d</w:t>
      </w:r>
      <w:r>
        <w:rPr>
          <w:rFonts w:hAnsi="Book Antiqua" w:hint="default"/>
          <w:color w:val="000000"/>
          <w:u w:color="000000"/>
          <w:rtl w:val="0"/>
          <w:lang w:val="it-IT"/>
        </w:rPr>
        <w:t>’</w:t>
      </w:r>
      <w:r>
        <w:rPr>
          <w:rFonts w:ascii="Book Antiqua"/>
          <w:color w:val="000000"/>
          <w:u w:color="000000"/>
          <w:rtl w:val="0"/>
          <w:lang w:val="it-IT"/>
        </w:rPr>
        <w:t>asta, sovrapponendo l</w:t>
      </w:r>
      <w:r>
        <w:rPr>
          <w:rFonts w:hAnsi="Book Antiqua" w:hint="default"/>
          <w:color w:val="000000"/>
          <w:u w:color="000000"/>
          <w:rtl w:val="0"/>
          <w:lang w:val="it-IT"/>
        </w:rPr>
        <w:t>’</w:t>
      </w:r>
      <w:r>
        <w:rPr>
          <w:rFonts w:ascii="Book Antiqua"/>
          <w:color w:val="000000"/>
          <w:u w:color="000000"/>
          <w:rtl w:val="0"/>
          <w:lang w:val="it-IT"/>
        </w:rPr>
        <w:t xml:space="preserve">intervento di </w:t>
      </w:r>
      <w:r>
        <w:rPr>
          <w:rFonts w:hAnsi="Book Antiqua" w:hint="default"/>
          <w:color w:val="000000"/>
          <w:u w:color="000000"/>
          <w:rtl w:val="0"/>
          <w:lang w:val="it-IT"/>
        </w:rPr>
        <w:t>“</w:t>
      </w:r>
      <w:r>
        <w:rPr>
          <w:rFonts w:ascii="Book Antiqua"/>
          <w:color w:val="000000"/>
          <w:u w:color="000000"/>
          <w:rtl w:val="0"/>
          <w:lang w:val="it-IT"/>
        </w:rPr>
        <w:t>non identificati rappresentanti di Federambiente</w:t>
      </w:r>
      <w:r>
        <w:rPr>
          <w:rFonts w:hAnsi="Book Antiqua" w:hint="default"/>
          <w:color w:val="000000"/>
          <w:u w:color="000000"/>
          <w:rtl w:val="0"/>
          <w:lang w:val="it-IT"/>
        </w:rPr>
        <w:t xml:space="preserve">” </w:t>
      </w:r>
      <w:r>
        <w:rPr>
          <w:rFonts w:ascii="Book Antiqua"/>
          <w:color w:val="000000"/>
          <w:u w:color="000000"/>
          <w:rtl w:val="0"/>
          <w:lang w:val="it-IT"/>
        </w:rPr>
        <w:t>con le collusioni tra Fiscon e Buzzi]</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rPr>
          <w:rFonts w:ascii="Book Antiqua" w:cs="Book Antiqua" w:hAnsi="Book Antiqua" w:eastAsia="Book Antiqua"/>
          <w:color w:val="000000"/>
          <w:sz w:val="22"/>
          <w:szCs w:val="22"/>
          <w:u w:color="000000"/>
        </w:rPr>
      </w:pPr>
    </w:p>
    <w:p>
      <w:pPr>
        <w:pStyle w:val="Normal"/>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[p. 660, p. 817]</w:t>
      </w:r>
    </w:p>
    <w:p>
      <w:pPr>
        <w:pStyle w:val="Normal"/>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[Corruzioni e turbative d</w:t>
      </w:r>
      <w:r>
        <w:rPr>
          <w:rFonts w:hAnsi="Book Antiqua" w:hint="default"/>
          <w:color w:val="000000"/>
          <w:u w:color="000000"/>
          <w:rtl w:val="0"/>
          <w:lang w:val="it-IT"/>
        </w:rPr>
        <w:t>’</w:t>
      </w:r>
      <w:r>
        <w:rPr>
          <w:rFonts w:ascii="Book Antiqua"/>
          <w:color w:val="000000"/>
          <w:u w:color="000000"/>
          <w:rtl w:val="0"/>
          <w:lang w:val="it-IT"/>
        </w:rPr>
        <w:t xml:space="preserve">asta in ambito AMA; </w:t>
      </w:r>
    </w:p>
    <w:p>
      <w:pPr>
        <w:pStyle w:val="Normal"/>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Amministrazione dal 2013 al 2014]</w:t>
      </w:r>
    </w:p>
    <w:p>
      <w:pPr>
        <w:pStyle w:val="Normal"/>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Il cambio di amministrazione avvenuto nel 2013 impone all</w:t>
      </w:r>
      <w:r>
        <w:rPr>
          <w:rFonts w:hAnsi="Book Antiqua" w:hint="default"/>
          <w:color w:val="000000"/>
          <w:sz w:val="22"/>
          <w:szCs w:val="22"/>
          <w:u w:color="000000"/>
          <w:rtl w:val="0"/>
          <w:lang w:val="it-IT"/>
        </w:rPr>
        <w:t>’</w:t>
      </w:r>
      <w:r>
        <w:rPr>
          <w:rFonts w:ascii="Book Antiqua"/>
          <w:color w:val="000000"/>
          <w:sz w:val="22"/>
          <w:szCs w:val="22"/>
          <w:u w:color="000000"/>
          <w:rtl w:val="0"/>
          <w:lang w:val="it-IT"/>
        </w:rPr>
        <w:t>organizzazione criminale una rimodulazione delle sue strategie, un</w:t>
      </w:r>
      <w:r>
        <w:rPr>
          <w:rFonts w:hAnsi="Book Antiqua" w:hint="default"/>
          <w:color w:val="000000"/>
          <w:sz w:val="22"/>
          <w:szCs w:val="22"/>
          <w:u w:color="000000"/>
          <w:rtl w:val="0"/>
          <w:lang w:val="it-IT"/>
        </w:rPr>
        <w:t>’</w:t>
      </w:r>
      <w:r>
        <w:rPr>
          <w:rFonts w:ascii="Book Antiqua"/>
          <w:color w:val="000000"/>
          <w:sz w:val="22"/>
          <w:szCs w:val="22"/>
          <w:u w:color="000000"/>
          <w:rtl w:val="0"/>
          <w:lang w:val="it-IT"/>
        </w:rPr>
        <w:t>individuazione di nuovi interlocutori, un rafforzamento e una trasformazione dei rapporti in essere con esponenti della P.A. in senso soggettivo ed oggettivo. Tale capacit</w:t>
      </w:r>
      <w:r>
        <w:rPr>
          <w:rFonts w:hAnsi="Book Antiqua" w:hint="default"/>
          <w:color w:val="000000"/>
          <w:sz w:val="22"/>
          <w:szCs w:val="22"/>
          <w:u w:color="000000"/>
          <w:rtl w:val="0"/>
          <w:lang w:val="it-IT"/>
        </w:rPr>
        <w:t xml:space="preserve">à </w:t>
      </w:r>
      <w:r>
        <w:rPr>
          <w:rFonts w:ascii="Book Antiqua"/>
          <w:color w:val="000000"/>
          <w:sz w:val="22"/>
          <w:szCs w:val="22"/>
          <w:u w:color="000000"/>
          <w:rtl w:val="0"/>
          <w:lang w:val="it-IT"/>
        </w:rPr>
        <w:t>di adattamento, e l</w:t>
      </w:r>
      <w:r>
        <w:rPr>
          <w:rFonts w:hAnsi="Book Antiqua" w:hint="default"/>
          <w:color w:val="000000"/>
          <w:sz w:val="22"/>
          <w:szCs w:val="22"/>
          <w:u w:color="000000"/>
          <w:rtl w:val="0"/>
          <w:lang w:val="it-IT"/>
        </w:rPr>
        <w:t>’</w:t>
      </w:r>
      <w:r>
        <w:rPr>
          <w:rFonts w:ascii="Book Antiqua"/>
          <w:color w:val="000000"/>
          <w:sz w:val="22"/>
          <w:szCs w:val="22"/>
          <w:u w:color="000000"/>
          <w:rtl w:val="0"/>
          <w:lang w:val="it-IT"/>
        </w:rPr>
        <w:t>immediatezza dei risultati ottenuti, evidenzia al contempo la stabilit</w:t>
      </w:r>
      <w:r>
        <w:rPr>
          <w:rFonts w:hAnsi="Book Antiqua" w:hint="default"/>
          <w:color w:val="000000"/>
          <w:sz w:val="22"/>
          <w:szCs w:val="22"/>
          <w:u w:color="000000"/>
          <w:rtl w:val="0"/>
          <w:lang w:val="it-IT"/>
        </w:rPr>
        <w:t xml:space="preserve">à </w:t>
      </w:r>
      <w:r>
        <w:rPr>
          <w:rFonts w:ascii="Book Antiqua"/>
          <w:color w:val="000000"/>
          <w:sz w:val="22"/>
          <w:szCs w:val="22"/>
          <w:u w:color="000000"/>
          <w:rtl w:val="0"/>
          <w:lang w:val="it-IT"/>
        </w:rPr>
        <w:t>della struttura associativa e la circostanza che la penetrazione della pubblica amministrazione sia uno dei suoi obiettivi irrinunciabili.</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w:t>
      </w:r>
      <w:r>
        <w:rPr>
          <w:rFonts w:hAnsi="Book Antiqua" w:hint="default"/>
          <w:color w:val="000000"/>
          <w:sz w:val="22"/>
          <w:szCs w:val="22"/>
          <w:u w:color="000000"/>
          <w:rtl w:val="0"/>
          <w:lang w:val="it-IT"/>
        </w:rPr>
        <w:t>…</w:t>
      </w:r>
      <w:r>
        <w:rPr>
          <w:rFonts w:ascii="Book Antiqua"/>
          <w:color w:val="000000"/>
          <w:sz w:val="22"/>
          <w:szCs w:val="22"/>
          <w:u w:color="000000"/>
          <w:rtl w:val="0"/>
          <w:lang w:val="it-IT"/>
        </w:rPr>
        <w:t>]</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Carminati: capito che ti voglio dire. Si va a chiede...adesso si va adesso a a bussacchiare;</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 xml:space="preserve">Corsi: adesso </w:t>
      </w:r>
      <w:r>
        <w:rPr>
          <w:rFonts w:hAnsi="Book Antiqua" w:hint="default"/>
          <w:color w:val="000000"/>
          <w:sz w:val="22"/>
          <w:szCs w:val="22"/>
          <w:u w:color="000000"/>
          <w:rtl w:val="0"/>
          <w:lang w:val="it-IT"/>
        </w:rPr>
        <w:t xml:space="preserve">è </w:t>
      </w:r>
      <w:r>
        <w:rPr>
          <w:rFonts w:ascii="Book Antiqua"/>
          <w:color w:val="000000"/>
          <w:sz w:val="22"/>
          <w:szCs w:val="22"/>
          <w:u w:color="000000"/>
          <w:rtl w:val="0"/>
          <w:lang w:val="it-IT"/>
        </w:rPr>
        <w:t>ora, de tir</w:t>
      </w:r>
      <w:r>
        <w:rPr>
          <w:rFonts w:hAnsi="Book Antiqua" w:hint="default"/>
          <w:color w:val="000000"/>
          <w:sz w:val="22"/>
          <w:szCs w:val="22"/>
          <w:u w:color="000000"/>
          <w:rtl w:val="0"/>
          <w:lang w:val="it-IT"/>
        </w:rPr>
        <w:t xml:space="preserve">à </w:t>
      </w:r>
      <w:r>
        <w:rPr>
          <w:rFonts w:ascii="Book Antiqua"/>
          <w:color w:val="000000"/>
          <w:sz w:val="22"/>
          <w:szCs w:val="22"/>
          <w:u w:color="000000"/>
          <w:rtl w:val="0"/>
          <w:lang w:val="it-IT"/>
        </w:rPr>
        <w:t>le reti, se no;</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Carminati: gli si dice adesso che cazzo ..</w:t>
      </w:r>
      <w:r>
        <w:rPr>
          <w:rFonts w:hAnsi="Book Antiqua" w:hint="default"/>
          <w:color w:val="000000"/>
          <w:sz w:val="22"/>
          <w:szCs w:val="22"/>
          <w:u w:color="000000"/>
          <w:rtl w:val="0"/>
          <w:lang w:val="it-IT"/>
        </w:rPr>
        <w:t>“</w:t>
      </w:r>
      <w:r>
        <w:rPr>
          <w:rFonts w:ascii="Book Antiqua"/>
          <w:color w:val="000000"/>
          <w:sz w:val="22"/>
          <w:szCs w:val="22"/>
          <w:u w:color="000000"/>
          <w:rtl w:val="0"/>
          <w:lang w:val="it-IT"/>
        </w:rPr>
        <w:t>ora che abbiamo fatto questa cosa, che progetti c</w:t>
      </w:r>
      <w:r>
        <w:rPr>
          <w:rFonts w:hAnsi="Book Antiqua" w:hint="default"/>
          <w:color w:val="000000"/>
          <w:sz w:val="22"/>
          <w:szCs w:val="22"/>
          <w:u w:color="000000"/>
          <w:rtl w:val="0"/>
          <w:lang w:val="it-IT"/>
        </w:rPr>
        <w:t>’</w:t>
      </w:r>
      <w:r>
        <w:rPr>
          <w:rFonts w:ascii="Book Antiqua"/>
          <w:color w:val="000000"/>
          <w:sz w:val="22"/>
          <w:szCs w:val="22"/>
          <w:u w:color="000000"/>
          <w:rtl w:val="0"/>
          <w:lang w:val="it-IT"/>
        </w:rPr>
        <w:t>avete? Allora nel progetto, perch</w:t>
      </w:r>
      <w:r>
        <w:rPr>
          <w:rFonts w:hAnsi="Book Antiqua" w:hint="default"/>
          <w:color w:val="000000"/>
          <w:sz w:val="22"/>
          <w:szCs w:val="22"/>
          <w:u w:color="000000"/>
          <w:rtl w:val="0"/>
          <w:lang w:val="it-IT"/>
        </w:rPr>
        <w:t>é</w:t>
      </w:r>
      <w:r>
        <w:rPr>
          <w:rFonts w:ascii="Book Antiqua"/>
          <w:color w:val="000000"/>
          <w:sz w:val="22"/>
          <w:szCs w:val="22"/>
          <w:u w:color="000000"/>
          <w:rtl w:val="0"/>
          <w:lang w:val="it-IT"/>
        </w:rPr>
        <w:t xml:space="preserve"> voi fate li progetti.. la politica.. adesso che progetti c</w:t>
      </w:r>
      <w:r>
        <w:rPr>
          <w:rFonts w:hAnsi="Book Antiqua" w:hint="default"/>
          <w:color w:val="000000"/>
          <w:sz w:val="22"/>
          <w:szCs w:val="22"/>
          <w:u w:color="000000"/>
          <w:rtl w:val="0"/>
          <w:lang w:val="it-IT"/>
        </w:rPr>
        <w:t>’</w:t>
      </w:r>
      <w:r>
        <w:rPr>
          <w:rFonts w:ascii="Book Antiqua"/>
          <w:color w:val="000000"/>
          <w:sz w:val="22"/>
          <w:szCs w:val="22"/>
          <w:u w:color="000000"/>
          <w:rtl w:val="0"/>
          <w:lang w:val="it-IT"/>
        </w:rPr>
        <w:t>avete? Teneteci presenti per i progetti che c</w:t>
      </w:r>
      <w:r>
        <w:rPr>
          <w:rFonts w:hAnsi="Book Antiqua" w:hint="default"/>
          <w:color w:val="000000"/>
          <w:sz w:val="22"/>
          <w:szCs w:val="22"/>
          <w:u w:color="000000"/>
          <w:rtl w:val="0"/>
          <w:lang w:val="it-IT"/>
        </w:rPr>
        <w:t>’</w:t>
      </w:r>
      <w:r>
        <w:rPr>
          <w:rFonts w:ascii="Book Antiqua"/>
          <w:color w:val="000000"/>
          <w:sz w:val="22"/>
          <w:szCs w:val="22"/>
          <w:u w:color="000000"/>
          <w:rtl w:val="0"/>
          <w:lang w:val="it-IT"/>
        </w:rPr>
        <w:t xml:space="preserve">avete, che te serve? Che cosa posso fare? Come posso guadagnare, che te serve il movimento terra? Che ti attacco i manifesti? Che ti pulisco il culo </w:t>
      </w:r>
      <w:r>
        <w:rPr>
          <w:rFonts w:hAnsi="Book Antiqua" w:hint="default"/>
          <w:color w:val="000000"/>
          <w:sz w:val="22"/>
          <w:szCs w:val="22"/>
          <w:u w:color="000000"/>
          <w:rtl w:val="0"/>
          <w:lang w:val="it-IT"/>
        </w:rPr>
        <w:t xml:space="preserve">… </w:t>
      </w:r>
      <w:r>
        <w:rPr>
          <w:rFonts w:ascii="Book Antiqua"/>
          <w:color w:val="000000"/>
          <w:sz w:val="22"/>
          <w:szCs w:val="22"/>
          <w:u w:color="000000"/>
          <w:rtl w:val="0"/>
          <w:lang w:val="it-IT"/>
        </w:rPr>
        <w:t>ecco, te lo faccio io perch</w:t>
      </w:r>
      <w:r>
        <w:rPr>
          <w:rFonts w:hAnsi="Book Antiqua" w:hint="default"/>
          <w:color w:val="000000"/>
          <w:sz w:val="22"/>
          <w:szCs w:val="22"/>
          <w:u w:color="000000"/>
          <w:rtl w:val="0"/>
          <w:lang w:val="it-IT"/>
        </w:rPr>
        <w:t>é</w:t>
      </w:r>
      <w:r>
        <w:rPr>
          <w:rFonts w:ascii="Book Antiqua"/>
          <w:color w:val="000000"/>
          <w:sz w:val="22"/>
          <w:szCs w:val="22"/>
          <w:u w:color="000000"/>
          <w:rtl w:val="0"/>
          <w:lang w:val="it-IT"/>
        </w:rPr>
        <w:t xml:space="preserve"> se poi vengo a sape</w:t>
      </w:r>
      <w:r>
        <w:rPr>
          <w:rFonts w:hAnsi="Book Antiqua" w:hint="default"/>
          <w:color w:val="000000"/>
          <w:sz w:val="22"/>
          <w:szCs w:val="22"/>
          <w:u w:color="000000"/>
          <w:rtl w:val="0"/>
          <w:lang w:val="it-IT"/>
        </w:rPr>
        <w:t xml:space="preserve">’ </w:t>
      </w:r>
      <w:r>
        <w:rPr>
          <w:rFonts w:ascii="Book Antiqua"/>
          <w:color w:val="000000"/>
          <w:sz w:val="22"/>
          <w:szCs w:val="22"/>
          <w:u w:color="000000"/>
          <w:rtl w:val="0"/>
          <w:lang w:val="it-IT"/>
        </w:rPr>
        <w:t xml:space="preserve">che te lo fa un altro, capito? Allora </w:t>
      </w:r>
      <w:r>
        <w:rPr>
          <w:rFonts w:hAnsi="Book Antiqua" w:hint="default"/>
          <w:color w:val="000000"/>
          <w:sz w:val="22"/>
          <w:szCs w:val="22"/>
          <w:u w:color="000000"/>
          <w:rtl w:val="0"/>
          <w:lang w:val="it-IT"/>
        </w:rPr>
        <w:t xml:space="preserve">è </w:t>
      </w:r>
      <w:r>
        <w:rPr>
          <w:rFonts w:ascii="Book Antiqua"/>
          <w:color w:val="000000"/>
          <w:sz w:val="22"/>
          <w:szCs w:val="22"/>
          <w:u w:color="000000"/>
          <w:rtl w:val="0"/>
          <w:lang w:val="it-IT"/>
        </w:rPr>
        <w:t>una cosa sgradevole</w:t>
      </w:r>
      <w:r>
        <w:rPr>
          <w:rFonts w:hAnsi="Book Antiqua" w:hint="default"/>
          <w:color w:val="000000"/>
          <w:sz w:val="22"/>
          <w:szCs w:val="22"/>
          <w:u w:color="000000"/>
          <w:rtl w:val="0"/>
          <w:lang w:val="it-IT"/>
        </w:rPr>
        <w:t>”</w:t>
      </w:r>
      <w:r>
        <w:rPr>
          <w:rFonts w:ascii="Book Antiqua"/>
          <w:color w:val="000000"/>
          <w:sz w:val="22"/>
          <w:szCs w:val="22"/>
          <w:u w:color="000000"/>
          <w:rtl w:val="0"/>
          <w:lang w:val="it-IT"/>
        </w:rPr>
        <w:t>..per</w:t>
      </w:r>
      <w:r>
        <w:rPr>
          <w:rFonts w:hAnsi="Book Antiqua" w:hint="default"/>
          <w:color w:val="000000"/>
          <w:sz w:val="22"/>
          <w:szCs w:val="22"/>
          <w:u w:color="000000"/>
          <w:rtl w:val="0"/>
          <w:lang w:val="it-IT"/>
        </w:rPr>
        <w:t xml:space="preserve">ò </w:t>
      </w:r>
      <w:r>
        <w:rPr>
          <w:rFonts w:ascii="Book Antiqua"/>
          <w:color w:val="000000"/>
          <w:sz w:val="22"/>
          <w:szCs w:val="22"/>
          <w:u w:color="000000"/>
          <w:rtl w:val="0"/>
          <w:lang w:val="it-IT"/>
        </w:rPr>
        <w:t>famolo se no ..se perdemo la battuta. Prima dell</w:t>
      </w:r>
      <w:r>
        <w:rPr>
          <w:rFonts w:hAnsi="Book Antiqua" w:hint="default"/>
          <w:color w:val="000000"/>
          <w:sz w:val="22"/>
          <w:szCs w:val="22"/>
          <w:u w:color="000000"/>
          <w:rtl w:val="0"/>
          <w:lang w:val="it-IT"/>
        </w:rPr>
        <w:t>’</w:t>
      </w:r>
      <w:r>
        <w:rPr>
          <w:rFonts w:ascii="Book Antiqua"/>
          <w:color w:val="000000"/>
          <w:sz w:val="22"/>
          <w:szCs w:val="22"/>
          <w:u w:color="000000"/>
          <w:rtl w:val="0"/>
          <w:lang w:val="it-IT"/>
        </w:rPr>
        <w:t>estate, prima dell</w:t>
      </w:r>
      <w:r>
        <w:rPr>
          <w:rFonts w:hAnsi="Book Antiqua" w:hint="default"/>
          <w:color w:val="000000"/>
          <w:sz w:val="22"/>
          <w:szCs w:val="22"/>
          <w:u w:color="000000"/>
          <w:rtl w:val="0"/>
          <w:lang w:val="it-IT"/>
        </w:rPr>
        <w:t>’</w:t>
      </w:r>
      <w:r>
        <w:rPr>
          <w:rFonts w:ascii="Book Antiqua"/>
          <w:color w:val="000000"/>
          <w:sz w:val="22"/>
          <w:szCs w:val="22"/>
          <w:u w:color="000000"/>
          <w:rtl w:val="0"/>
          <w:lang w:val="it-IT"/>
        </w:rPr>
        <w:t>estate;</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Corsi: tocca anda</w:t>
      </w:r>
      <w:r>
        <w:rPr>
          <w:rFonts w:hAnsi="Book Antiqua" w:hint="default"/>
          <w:color w:val="000000"/>
          <w:sz w:val="22"/>
          <w:szCs w:val="22"/>
          <w:u w:color="000000"/>
          <w:rtl w:val="0"/>
          <w:lang w:val="it-IT"/>
        </w:rPr>
        <w:t>’</w:t>
      </w:r>
      <w:r>
        <w:rPr>
          <w:rFonts w:ascii="Book Antiqua"/>
          <w:color w:val="000000"/>
          <w:sz w:val="22"/>
          <w:szCs w:val="22"/>
          <w:u w:color="000000"/>
          <w:rtl w:val="0"/>
          <w:lang w:val="it-IT"/>
        </w:rPr>
        <w:t>, tocca anda</w:t>
      </w:r>
      <w:r>
        <w:rPr>
          <w:rFonts w:hAnsi="Book Antiqua" w:hint="default"/>
          <w:color w:val="000000"/>
          <w:sz w:val="22"/>
          <w:szCs w:val="22"/>
          <w:u w:color="000000"/>
          <w:rtl w:val="0"/>
          <w:lang w:val="it-IT"/>
        </w:rPr>
        <w:t>’</w:t>
      </w:r>
      <w:r>
        <w:rPr>
          <w:rFonts w:ascii="Book Antiqua"/>
          <w:color w:val="000000"/>
          <w:sz w:val="22"/>
          <w:szCs w:val="22"/>
          <w:u w:color="000000"/>
          <w:rtl w:val="0"/>
          <w:lang w:val="it-IT"/>
        </w:rPr>
        <w:t xml:space="preserve">.. prima dell'estate? </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Carminati: prima di anda</w:t>
      </w:r>
      <w:r>
        <w:rPr>
          <w:rFonts w:hAnsi="Book Antiqua" w:hint="default"/>
          <w:color w:val="000000"/>
          <w:sz w:val="22"/>
          <w:szCs w:val="22"/>
          <w:u w:color="000000"/>
          <w:rtl w:val="0"/>
          <w:lang w:val="it-IT"/>
        </w:rPr>
        <w:t xml:space="preserve">’ </w:t>
      </w:r>
      <w:r>
        <w:rPr>
          <w:rFonts w:ascii="Book Antiqua"/>
          <w:color w:val="000000"/>
          <w:sz w:val="22"/>
          <w:szCs w:val="22"/>
          <w:u w:color="000000"/>
          <w:rtl w:val="0"/>
          <w:lang w:val="it-IT"/>
        </w:rPr>
        <w:t xml:space="preserve">in vacanza; </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Corsi: sbrigamoce allora;</w:t>
      </w:r>
    </w:p>
    <w:p>
      <w:pPr>
        <w:pStyle w:val="Normal"/>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Carminati: prima di anda</w:t>
      </w:r>
      <w:r>
        <w:rPr>
          <w:rFonts w:hAnsi="Book Antiqua" w:hint="default"/>
          <w:color w:val="000000"/>
          <w:sz w:val="22"/>
          <w:szCs w:val="22"/>
          <w:u w:color="000000"/>
          <w:rtl w:val="0"/>
          <w:lang w:val="it-IT"/>
        </w:rPr>
        <w:t xml:space="preserve">’ </w:t>
      </w:r>
      <w:r>
        <w:rPr>
          <w:rFonts w:ascii="Book Antiqua"/>
          <w:color w:val="000000"/>
          <w:sz w:val="22"/>
          <w:szCs w:val="22"/>
          <w:u w:color="000000"/>
          <w:rtl w:val="0"/>
          <w:lang w:val="it-IT"/>
        </w:rPr>
        <w:t xml:space="preserve">in vacanza, andamo.. famo tutto il giro delle sette chiese... e poi dopo, poi dopo il giro delle sette chiese poi dimo... </w:t>
      </w:r>
      <w:r>
        <w:rPr>
          <w:rFonts w:hAnsi="Book Antiqua" w:hint="default"/>
          <w:color w:val="000000"/>
          <w:sz w:val="22"/>
          <w:szCs w:val="22"/>
          <w:u w:color="000000"/>
          <w:rtl w:val="0"/>
          <w:lang w:val="it-IT"/>
        </w:rPr>
        <w:t>“</w:t>
      </w:r>
      <w:r>
        <w:rPr>
          <w:rFonts w:ascii="Book Antiqua"/>
          <w:color w:val="000000"/>
          <w:sz w:val="22"/>
          <w:szCs w:val="22"/>
          <w:u w:color="000000"/>
          <w:rtl w:val="0"/>
          <w:lang w:val="it-IT"/>
        </w:rPr>
        <w:t>aho, noi a settembre arrivamo eh, m</w:t>
      </w:r>
      <w:r>
        <w:rPr>
          <w:rFonts w:hAnsi="Book Antiqua" w:hint="default"/>
          <w:color w:val="000000"/>
          <w:sz w:val="22"/>
          <w:szCs w:val="22"/>
          <w:u w:color="000000"/>
          <w:rtl w:val="0"/>
          <w:lang w:val="it-IT"/>
        </w:rPr>
        <w:t xml:space="preserve">ò </w:t>
      </w:r>
      <w:r>
        <w:rPr>
          <w:rFonts w:ascii="Book Antiqua"/>
          <w:color w:val="000000"/>
          <w:sz w:val="22"/>
          <w:szCs w:val="22"/>
          <w:u w:color="000000"/>
          <w:rtl w:val="0"/>
          <w:lang w:val="it-IT"/>
        </w:rPr>
        <w:t>adesso annate tutti in vacanza</w:t>
      </w:r>
      <w:r>
        <w:rPr>
          <w:rFonts w:hAnsi="Book Antiqua" w:hint="default"/>
          <w:color w:val="000000"/>
          <w:sz w:val="22"/>
          <w:szCs w:val="22"/>
          <w:u w:color="000000"/>
          <w:rtl w:val="0"/>
          <w:lang w:val="it-IT"/>
        </w:rPr>
        <w:t xml:space="preserve">” </w:t>
      </w:r>
      <w:r>
        <w:rPr>
          <w:rFonts w:ascii="Book Antiqua"/>
          <w:color w:val="000000"/>
          <w:sz w:val="22"/>
          <w:szCs w:val="22"/>
          <w:u w:color="000000"/>
          <w:rtl w:val="0"/>
          <w:lang w:val="it-IT"/>
        </w:rPr>
        <w:t>..;</w:t>
      </w:r>
    </w:p>
    <w:p>
      <w:pPr>
        <w:pStyle w:val="Normal"/>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w:t>
      </w:r>
      <w:r>
        <w:rPr>
          <w:rFonts w:hAnsi="Book Antiqua" w:hint="default"/>
          <w:color w:val="000000"/>
          <w:sz w:val="22"/>
          <w:szCs w:val="22"/>
          <w:u w:color="000000"/>
          <w:rtl w:val="0"/>
          <w:lang w:val="it-IT"/>
        </w:rPr>
        <w:t>…</w:t>
      </w:r>
      <w:r>
        <w:rPr>
          <w:rFonts w:ascii="Book Antiqua"/>
          <w:color w:val="000000"/>
          <w:sz w:val="22"/>
          <w:szCs w:val="22"/>
          <w:u w:color="000000"/>
          <w:rtl w:val="0"/>
          <w:lang w:val="it-IT"/>
        </w:rPr>
        <w:t>]</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La rimodulazione dell</w:t>
      </w:r>
      <w:r>
        <w:rPr>
          <w:rFonts w:hAnsi="Book Antiqua" w:hint="default"/>
          <w:color w:val="000000"/>
          <w:sz w:val="22"/>
          <w:szCs w:val="22"/>
          <w:u w:color="000000"/>
          <w:rtl w:val="0"/>
          <w:lang w:val="it-IT"/>
        </w:rPr>
        <w:t>’</w:t>
      </w:r>
      <w:r>
        <w:rPr>
          <w:rFonts w:ascii="Book Antiqua"/>
          <w:color w:val="000000"/>
          <w:sz w:val="22"/>
          <w:szCs w:val="22"/>
          <w:u w:color="000000"/>
          <w:rtl w:val="0"/>
          <w:lang w:val="it-IT"/>
        </w:rPr>
        <w:t xml:space="preserve">approccio, che in AMA si materia del rafforzamento dei rapporti esistenti, </w:t>
      </w:r>
      <w:r>
        <w:rPr>
          <w:rFonts w:hAnsi="Book Antiqua" w:hint="default"/>
          <w:color w:val="000000"/>
          <w:sz w:val="22"/>
          <w:szCs w:val="22"/>
          <w:u w:color="000000"/>
          <w:rtl w:val="0"/>
          <w:lang w:val="it-IT"/>
        </w:rPr>
        <w:t xml:space="preserve">è </w:t>
      </w:r>
      <w:r>
        <w:rPr>
          <w:rFonts w:ascii="Book Antiqua"/>
          <w:color w:val="000000"/>
          <w:sz w:val="22"/>
          <w:szCs w:val="22"/>
          <w:u w:color="000000"/>
          <w:rtl w:val="0"/>
          <w:lang w:val="it-IT"/>
        </w:rPr>
        <w:t>eloquentemente dimostrata dalla conversazione ambientale che segue, con riguardo alla posizione di Fiscon [Pr.2063-A-5 ore 09:40:31] CARMINATI diceva:</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M:</w:t>
        <w:tab/>
        <w:t>cominciamo ... cominciamo da oggi con lui ... FISCON che ha fatto (inc) S: si, oggi per</w:t>
      </w:r>
      <w:r>
        <w:rPr>
          <w:rFonts w:hAnsi="Book Antiqua" w:hint="default"/>
          <w:color w:val="000000"/>
          <w:sz w:val="22"/>
          <w:szCs w:val="22"/>
          <w:u w:color="000000"/>
          <w:rtl w:val="0"/>
          <w:lang w:val="it-IT"/>
        </w:rPr>
        <w:t xml:space="preserve">ò </w:t>
      </w:r>
      <w:r>
        <w:rPr>
          <w:rFonts w:ascii="Book Antiqua"/>
          <w:color w:val="000000"/>
          <w:sz w:val="22"/>
          <w:szCs w:val="22"/>
          <w:u w:color="000000"/>
          <w:rtl w:val="0"/>
          <w:lang w:val="it-IT"/>
        </w:rPr>
        <w:t xml:space="preserve">dobbiamo andar a fare un discorso con FISCON che deve essere uno nostro che ... o </w:t>
      </w:r>
      <w:r>
        <w:rPr>
          <w:rFonts w:hAnsi="Book Antiqua" w:hint="default"/>
          <w:color w:val="000000"/>
          <w:sz w:val="22"/>
          <w:szCs w:val="22"/>
          <w:u w:color="000000"/>
          <w:rtl w:val="0"/>
          <w:lang w:val="it-IT"/>
        </w:rPr>
        <w:t xml:space="preserve">è </w:t>
      </w:r>
      <w:r>
        <w:rPr>
          <w:rFonts w:ascii="Book Antiqua"/>
          <w:color w:val="000000"/>
          <w:sz w:val="22"/>
          <w:szCs w:val="22"/>
          <w:u w:color="000000"/>
          <w:rtl w:val="0"/>
          <w:lang w:val="it-IT"/>
        </w:rPr>
        <w:t xml:space="preserve">nostro o </w:t>
      </w:r>
      <w:r>
        <w:rPr>
          <w:rFonts w:hAnsi="Book Antiqua" w:hint="default"/>
          <w:color w:val="000000"/>
          <w:sz w:val="22"/>
          <w:szCs w:val="22"/>
          <w:u w:color="000000"/>
          <w:rtl w:val="0"/>
          <w:lang w:val="it-IT"/>
        </w:rPr>
        <w:t xml:space="preserve">è </w:t>
      </w:r>
      <w:r>
        <w:rPr>
          <w:rFonts w:ascii="Book Antiqua"/>
          <w:color w:val="000000"/>
          <w:sz w:val="22"/>
          <w:szCs w:val="22"/>
          <w:u w:color="000000"/>
          <w:rtl w:val="0"/>
          <w:lang w:val="it-IT"/>
        </w:rPr>
        <w:t xml:space="preserve">nostro ...non </w:t>
      </w:r>
      <w:r>
        <w:rPr>
          <w:rFonts w:hAnsi="Book Antiqua" w:hint="default"/>
          <w:color w:val="000000"/>
          <w:sz w:val="22"/>
          <w:szCs w:val="22"/>
          <w:u w:color="000000"/>
          <w:rtl w:val="0"/>
          <w:lang w:val="it-IT"/>
        </w:rPr>
        <w:t xml:space="preserve">è </w:t>
      </w:r>
      <w:r>
        <w:rPr>
          <w:rFonts w:ascii="Book Antiqua"/>
          <w:color w:val="000000"/>
          <w:sz w:val="22"/>
          <w:szCs w:val="22"/>
          <w:u w:color="000000"/>
          <w:rtl w:val="0"/>
          <w:lang w:val="it-IT"/>
        </w:rPr>
        <w:t>che pu</w:t>
      </w:r>
      <w:r>
        <w:rPr>
          <w:rFonts w:hAnsi="Book Antiqua" w:hint="default"/>
          <w:color w:val="000000"/>
          <w:sz w:val="22"/>
          <w:szCs w:val="22"/>
          <w:u w:color="000000"/>
          <w:rtl w:val="0"/>
          <w:lang w:val="it-IT"/>
        </w:rPr>
        <w:t xml:space="preserve">ò </w:t>
      </w:r>
      <w:r>
        <w:rPr>
          <w:rFonts w:ascii="Book Antiqua"/>
          <w:color w:val="000000"/>
          <w:sz w:val="22"/>
          <w:szCs w:val="22"/>
          <w:u w:color="000000"/>
          <w:rtl w:val="0"/>
          <w:lang w:val="it-IT"/>
        </w:rPr>
        <w:t>essere di tutti (inc) l</w:t>
      </w:r>
      <w:r>
        <w:rPr>
          <w:rFonts w:hAnsi="Book Antiqua" w:hint="default"/>
          <w:color w:val="000000"/>
          <w:sz w:val="22"/>
          <w:szCs w:val="22"/>
          <w:u w:color="000000"/>
          <w:rtl w:val="0"/>
          <w:lang w:val="it-IT"/>
        </w:rPr>
        <w:t>’</w:t>
      </w:r>
      <w:r>
        <w:rPr>
          <w:rFonts w:ascii="Book Antiqua"/>
          <w:color w:val="000000"/>
          <w:sz w:val="22"/>
          <w:szCs w:val="22"/>
          <w:u w:color="000000"/>
          <w:rtl w:val="0"/>
          <w:lang w:val="it-IT"/>
        </w:rPr>
        <w:t xml:space="preserve">altro giorno il SOLCO (fonetico) che pure la ... raccolta dei stracci che </w:t>
      </w:r>
      <w:r>
        <w:rPr>
          <w:rFonts w:hAnsi="Book Antiqua" w:hint="default"/>
          <w:color w:val="000000"/>
          <w:sz w:val="22"/>
          <w:szCs w:val="22"/>
          <w:u w:color="000000"/>
          <w:rtl w:val="0"/>
          <w:lang w:val="it-IT"/>
        </w:rPr>
        <w:t xml:space="preserve">è </w:t>
      </w:r>
      <w:r>
        <w:rPr>
          <w:rFonts w:ascii="Book Antiqua"/>
          <w:color w:val="000000"/>
          <w:sz w:val="22"/>
          <w:szCs w:val="22"/>
          <w:u w:color="000000"/>
          <w:rtl w:val="0"/>
          <w:lang w:val="it-IT"/>
        </w:rPr>
        <w:t>un servizietto M:</w:t>
        <w:tab/>
        <w:t>si si me lo ricordo, ho sentito.</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w:t>
      </w:r>
      <w:r>
        <w:rPr>
          <w:rFonts w:hAnsi="Book Antiqua" w:hint="default"/>
          <w:color w:val="000000"/>
          <w:sz w:val="22"/>
          <w:szCs w:val="22"/>
          <w:u w:color="000000"/>
          <w:rtl w:val="0"/>
          <w:lang w:val="it-IT"/>
        </w:rPr>
        <w:t>…</w:t>
      </w:r>
      <w:r>
        <w:rPr>
          <w:rFonts w:ascii="Book Antiqua"/>
          <w:color w:val="000000"/>
          <w:sz w:val="22"/>
          <w:szCs w:val="22"/>
          <w:u w:color="000000"/>
          <w:rtl w:val="0"/>
          <w:lang w:val="it-IT"/>
        </w:rPr>
        <w:t>]</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La ricerca di nuovi interlocutori, capaci per il loro</w:t>
      </w:r>
      <w:r>
        <w:rPr>
          <w:rFonts w:ascii="Book Antiqua"/>
          <w:i w:val="1"/>
          <w:iCs w:val="1"/>
          <w:color w:val="000000"/>
          <w:sz w:val="22"/>
          <w:szCs w:val="22"/>
          <w:u w:color="000000"/>
          <w:rtl w:val="0"/>
          <w:lang w:val="it-IT"/>
        </w:rPr>
        <w:t xml:space="preserve"> munus publicum </w:t>
      </w:r>
      <w:r>
        <w:rPr>
          <w:rFonts w:ascii="Book Antiqua"/>
          <w:color w:val="000000"/>
          <w:sz w:val="22"/>
          <w:szCs w:val="22"/>
          <w:u w:color="000000"/>
          <w:rtl w:val="0"/>
          <w:lang w:val="it-IT"/>
        </w:rPr>
        <w:t xml:space="preserve">di incidere sugli affari condotti con AMA, </w:t>
      </w:r>
      <w:r>
        <w:rPr>
          <w:rFonts w:hAnsi="Book Antiqua" w:hint="default"/>
          <w:color w:val="000000"/>
          <w:sz w:val="22"/>
          <w:szCs w:val="22"/>
          <w:u w:color="000000"/>
          <w:rtl w:val="0"/>
          <w:lang w:val="it-IT"/>
        </w:rPr>
        <w:t xml:space="preserve">è </w:t>
      </w:r>
      <w:r>
        <w:rPr>
          <w:rFonts w:ascii="Book Antiqua"/>
          <w:color w:val="000000"/>
          <w:sz w:val="22"/>
          <w:szCs w:val="22"/>
          <w:u w:color="000000"/>
          <w:rtl w:val="0"/>
          <w:lang w:val="it-IT"/>
        </w:rPr>
        <w:t>dimostrata dall</w:t>
      </w:r>
      <w:r>
        <w:rPr>
          <w:rFonts w:hAnsi="Book Antiqua" w:hint="default"/>
          <w:color w:val="000000"/>
          <w:sz w:val="22"/>
          <w:szCs w:val="22"/>
          <w:u w:color="000000"/>
          <w:rtl w:val="0"/>
          <w:lang w:val="it-IT"/>
        </w:rPr>
        <w:t>’</w:t>
      </w:r>
      <w:r>
        <w:rPr>
          <w:rFonts w:ascii="Book Antiqua"/>
          <w:color w:val="000000"/>
          <w:sz w:val="22"/>
          <w:szCs w:val="22"/>
          <w:u w:color="000000"/>
          <w:rtl w:val="0"/>
          <w:lang w:val="it-IT"/>
        </w:rPr>
        <w:t>attivit</w:t>
      </w:r>
      <w:r>
        <w:rPr>
          <w:rFonts w:hAnsi="Book Antiqua" w:hint="default"/>
          <w:color w:val="000000"/>
          <w:sz w:val="22"/>
          <w:szCs w:val="22"/>
          <w:u w:color="000000"/>
          <w:rtl w:val="0"/>
          <w:lang w:val="it-IT"/>
        </w:rPr>
        <w:t xml:space="preserve">à </w:t>
      </w:r>
      <w:r>
        <w:rPr>
          <w:rFonts w:ascii="Book Antiqua"/>
          <w:color w:val="000000"/>
          <w:sz w:val="22"/>
          <w:szCs w:val="22"/>
          <w:u w:color="000000"/>
          <w:rtl w:val="0"/>
          <w:lang w:val="it-IT"/>
        </w:rPr>
        <w:t>di aggancio e di costruzione di rapporti con Mattia Stella, della segreteria del sindaco Marino, nonch</w:t>
      </w:r>
      <w:r>
        <w:rPr>
          <w:rFonts w:hAnsi="Book Antiqua" w:hint="default"/>
          <w:color w:val="000000"/>
          <w:sz w:val="22"/>
          <w:szCs w:val="22"/>
          <w:u w:color="000000"/>
          <w:rtl w:val="0"/>
          <w:lang w:val="it-IT"/>
        </w:rPr>
        <w:t xml:space="preserve">é </w:t>
      </w:r>
      <w:r>
        <w:rPr>
          <w:rFonts w:ascii="Book Antiqua"/>
          <w:color w:val="000000"/>
          <w:sz w:val="22"/>
          <w:szCs w:val="22"/>
          <w:u w:color="000000"/>
          <w:rtl w:val="0"/>
          <w:lang w:val="it-IT"/>
        </w:rPr>
        <w:t>con Mirko Coratti, presidente dell</w:t>
      </w:r>
      <w:r>
        <w:rPr>
          <w:rFonts w:hAnsi="Book Antiqua" w:hint="default"/>
          <w:color w:val="000000"/>
          <w:sz w:val="22"/>
          <w:szCs w:val="22"/>
          <w:u w:color="000000"/>
          <w:rtl w:val="0"/>
          <w:lang w:val="it-IT"/>
        </w:rPr>
        <w:t>’</w:t>
      </w:r>
      <w:r>
        <w:rPr>
          <w:rFonts w:ascii="Book Antiqua"/>
          <w:color w:val="000000"/>
          <w:sz w:val="22"/>
          <w:szCs w:val="22"/>
          <w:u w:color="000000"/>
          <w:rtl w:val="0"/>
          <w:lang w:val="it-IT"/>
        </w:rPr>
        <w:t>assemblea capitolina, gratificato - secondo Buzzi - da almeno un</w:t>
      </w:r>
      <w:r>
        <w:rPr>
          <w:rFonts w:hAnsi="Book Antiqua" w:hint="default"/>
          <w:color w:val="000000"/>
          <w:sz w:val="22"/>
          <w:szCs w:val="22"/>
          <w:u w:color="000000"/>
          <w:rtl w:val="0"/>
          <w:lang w:val="it-IT"/>
        </w:rPr>
        <w:t>’</w:t>
      </w:r>
      <w:r>
        <w:rPr>
          <w:rFonts w:ascii="Book Antiqua"/>
          <w:color w:val="000000"/>
          <w:sz w:val="22"/>
          <w:szCs w:val="22"/>
          <w:u w:color="000000"/>
          <w:rtl w:val="0"/>
          <w:lang w:val="it-IT"/>
        </w:rPr>
        <w:t>erogazione di 10.000 euro, e da Franco Figurelli, della sua segreteria particolare, gratificato - secondo Buzzi - da una retribuzione di 1000 euro al mese.</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w:t>
      </w:r>
      <w:r>
        <w:rPr>
          <w:rFonts w:hAnsi="Book Antiqua" w:hint="default"/>
          <w:color w:val="000000"/>
          <w:sz w:val="22"/>
          <w:szCs w:val="22"/>
          <w:u w:color="000000"/>
          <w:rtl w:val="0"/>
          <w:lang w:val="it-IT"/>
        </w:rPr>
        <w:t>…</w:t>
      </w:r>
      <w:r>
        <w:rPr>
          <w:rFonts w:ascii="Book Antiqua"/>
          <w:color w:val="000000"/>
          <w:sz w:val="22"/>
          <w:szCs w:val="22"/>
          <w:u w:color="000000"/>
          <w:rtl w:val="0"/>
          <w:lang w:val="it-IT"/>
        </w:rPr>
        <w:t>]</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hAnsi="Book Antiqua" w:hint="default"/>
          <w:color w:val="000000"/>
          <w:sz w:val="22"/>
          <w:szCs w:val="22"/>
          <w:u w:color="000000"/>
          <w:rtl w:val="0"/>
          <w:lang w:val="it-IT"/>
        </w:rPr>
        <w:t xml:space="preserve">è </w:t>
      </w:r>
      <w:r>
        <w:rPr>
          <w:rFonts w:ascii="Book Antiqua"/>
          <w:color w:val="000000"/>
          <w:sz w:val="22"/>
          <w:szCs w:val="22"/>
          <w:u w:color="000000"/>
          <w:rtl w:val="0"/>
          <w:lang w:val="it-IT"/>
        </w:rPr>
        <w:t>un</w:t>
      </w:r>
      <w:r>
        <w:rPr>
          <w:rFonts w:hAnsi="Book Antiqua" w:hint="default"/>
          <w:color w:val="000000"/>
          <w:sz w:val="22"/>
          <w:szCs w:val="22"/>
          <w:u w:color="000000"/>
          <w:rtl w:val="0"/>
          <w:lang w:val="it-IT"/>
        </w:rPr>
        <w:t>’</w:t>
      </w:r>
      <w:r>
        <w:rPr>
          <w:rFonts w:ascii="Book Antiqua"/>
          <w:color w:val="000000"/>
          <w:sz w:val="22"/>
          <w:szCs w:val="22"/>
          <w:u w:color="000000"/>
          <w:rtl w:val="0"/>
          <w:lang w:val="it-IT"/>
        </w:rPr>
        <w:t>associazione che, con metodi e strategie che meglio si adeguano alle circostanze ed ai tempi, ci</w:t>
      </w:r>
      <w:r>
        <w:rPr>
          <w:rFonts w:hAnsi="Book Antiqua" w:hint="default"/>
          <w:color w:val="000000"/>
          <w:sz w:val="22"/>
          <w:szCs w:val="22"/>
          <w:u w:color="000000"/>
          <w:rtl w:val="0"/>
          <w:lang w:val="it-IT"/>
        </w:rPr>
        <w:t xml:space="preserve">ò </w:t>
      </w:r>
      <w:r>
        <w:rPr>
          <w:rFonts w:ascii="Book Antiqua"/>
          <w:color w:val="000000"/>
          <w:sz w:val="22"/>
          <w:szCs w:val="22"/>
          <w:u w:color="000000"/>
          <w:rtl w:val="0"/>
          <w:lang w:val="it-IT"/>
        </w:rPr>
        <w:t xml:space="preserve">che persegue </w:t>
      </w:r>
      <w:r>
        <w:rPr>
          <w:rFonts w:hAnsi="Book Antiqua" w:hint="default"/>
          <w:color w:val="000000"/>
          <w:sz w:val="22"/>
          <w:szCs w:val="22"/>
          <w:u w:color="000000"/>
          <w:rtl w:val="0"/>
          <w:lang w:val="it-IT"/>
        </w:rPr>
        <w:t xml:space="preserve">è </w:t>
      </w:r>
      <w:r>
        <w:rPr>
          <w:rFonts w:ascii="Book Antiqua"/>
          <w:color w:val="000000"/>
          <w:sz w:val="22"/>
          <w:szCs w:val="22"/>
          <w:u w:color="000000"/>
          <w:rtl w:val="0"/>
          <w:lang w:val="it-IT"/>
        </w:rPr>
        <w:t>sostanzialmente il denaro. Cos</w:t>
      </w:r>
      <w:r>
        <w:rPr>
          <w:rFonts w:hAnsi="Book Antiqua" w:hint="default"/>
          <w:color w:val="000000"/>
          <w:sz w:val="22"/>
          <w:szCs w:val="22"/>
          <w:u w:color="000000"/>
          <w:rtl w:val="0"/>
          <w:lang w:val="it-IT"/>
        </w:rPr>
        <w:t xml:space="preserve">ì </w:t>
      </w:r>
      <w:r>
        <w:rPr>
          <w:rFonts w:ascii="Book Antiqua"/>
          <w:color w:val="000000"/>
          <w:sz w:val="22"/>
          <w:szCs w:val="22"/>
          <w:u w:color="000000"/>
          <w:rtl w:val="0"/>
          <w:lang w:val="it-IT"/>
        </w:rPr>
        <w:t xml:space="preserve">i sodali si sono riorganizzati, in seguito alla mancata vincita di Alemanno al comune di Roma, della quale si sono molto rammaricati, atteso che, a dire del BUZZI, </w:t>
      </w:r>
      <w:r>
        <w:rPr>
          <w:rFonts w:hAnsi="Book Antiqua Bold" w:hint="default"/>
          <w:b w:val="1"/>
          <w:bCs w:val="1"/>
          <w:color w:val="000000"/>
          <w:sz w:val="22"/>
          <w:szCs w:val="22"/>
          <w:u w:color="000000"/>
          <w:rtl w:val="0"/>
          <w:lang w:val="it-IT"/>
        </w:rPr>
        <w:t>“</w:t>
      </w:r>
      <w:r>
        <w:rPr>
          <w:rFonts w:ascii="Book Antiqua"/>
          <w:color w:val="000000"/>
          <w:sz w:val="22"/>
          <w:szCs w:val="22"/>
          <w:u w:color="000000"/>
          <w:rtl w:val="0"/>
          <w:lang w:val="it-IT"/>
        </w:rPr>
        <w:t>se vinceva Alemanno ce l</w:t>
      </w:r>
      <w:r>
        <w:rPr>
          <w:rFonts w:hAnsi="Book Antiqua" w:hint="default"/>
          <w:color w:val="000000"/>
          <w:sz w:val="22"/>
          <w:szCs w:val="22"/>
          <w:u w:color="000000"/>
          <w:rtl w:val="0"/>
          <w:lang w:val="it-IT"/>
        </w:rPr>
        <w:t>’</w:t>
      </w:r>
      <w:r>
        <w:rPr>
          <w:rFonts w:ascii="Book Antiqua"/>
          <w:color w:val="000000"/>
          <w:sz w:val="22"/>
          <w:szCs w:val="22"/>
          <w:u w:color="000000"/>
          <w:rtl w:val="0"/>
          <w:lang w:val="it-IT"/>
        </w:rPr>
        <w:t>avevamo tutti comprat, partivamo fiuuuuu....... C</w:t>
      </w:r>
      <w:r>
        <w:rPr>
          <w:rFonts w:hAnsi="Book Antiqua" w:hint="default"/>
          <w:color w:val="000000"/>
          <w:sz w:val="22"/>
          <w:szCs w:val="22"/>
          <w:u w:color="000000"/>
          <w:rtl w:val="0"/>
          <w:lang w:val="it-IT"/>
        </w:rPr>
        <w:t>’</w:t>
      </w:r>
      <w:r>
        <w:rPr>
          <w:rFonts w:ascii="Book Antiqua"/>
          <w:color w:val="000000"/>
          <w:sz w:val="22"/>
          <w:szCs w:val="22"/>
          <w:u w:color="000000"/>
          <w:rtl w:val="0"/>
          <w:lang w:val="it-IT"/>
        </w:rPr>
        <w:t>amo l</w:t>
      </w:r>
      <w:r>
        <w:rPr>
          <w:rFonts w:hAnsi="Book Antiqua" w:hint="default"/>
          <w:color w:val="000000"/>
          <w:sz w:val="22"/>
          <w:szCs w:val="22"/>
          <w:u w:color="000000"/>
          <w:rtl w:val="0"/>
          <w:lang w:val="it-IT"/>
        </w:rPr>
        <w:t>’</w:t>
      </w:r>
      <w:r>
        <w:rPr>
          <w:rFonts w:ascii="Book Antiqua"/>
          <w:color w:val="000000"/>
          <w:sz w:val="22"/>
          <w:szCs w:val="22"/>
          <w:u w:color="000000"/>
          <w:rtl w:val="0"/>
          <w:lang w:val="it-IT"/>
        </w:rPr>
        <w:t>assessore ai lavori pubblici, Tredicine doveva st</w:t>
      </w:r>
      <w:r>
        <w:rPr>
          <w:rFonts w:hAnsi="Book Antiqua" w:hint="default"/>
          <w:color w:val="000000"/>
          <w:sz w:val="22"/>
          <w:szCs w:val="22"/>
          <w:u w:color="000000"/>
          <w:rtl w:val="0"/>
          <w:lang w:val="it-IT"/>
        </w:rPr>
        <w:t xml:space="preserve">à </w:t>
      </w:r>
      <w:r>
        <w:rPr>
          <w:rFonts w:ascii="Book Antiqua"/>
          <w:color w:val="000000"/>
          <w:sz w:val="22"/>
          <w:szCs w:val="22"/>
          <w:u w:color="000000"/>
          <w:rtl w:val="0"/>
          <w:lang w:val="it-IT"/>
        </w:rPr>
        <w:t xml:space="preserve">assessore ai servizi sociali, Cochi andava al verde, Cochi non </w:t>
      </w:r>
      <w:r>
        <w:rPr>
          <w:rFonts w:hAnsi="Book Antiqua" w:hint="default"/>
          <w:color w:val="000000"/>
          <w:sz w:val="22"/>
          <w:szCs w:val="22"/>
          <w:u w:color="000000"/>
          <w:rtl w:val="0"/>
          <w:lang w:val="it-IT"/>
        </w:rPr>
        <w:t xml:space="preserve">è </w:t>
      </w:r>
      <w:r>
        <w:rPr>
          <w:rFonts w:ascii="Book Antiqua"/>
          <w:color w:val="000000"/>
          <w:sz w:val="22"/>
          <w:szCs w:val="22"/>
          <w:u w:color="000000"/>
          <w:rtl w:val="0"/>
          <w:lang w:val="it-IT"/>
        </w:rPr>
        <w:t>comprato per</w:t>
      </w:r>
      <w:r>
        <w:rPr>
          <w:rFonts w:hAnsi="Book Antiqua" w:hint="default"/>
          <w:color w:val="000000"/>
          <w:sz w:val="22"/>
          <w:szCs w:val="22"/>
          <w:u w:color="000000"/>
          <w:rtl w:val="0"/>
          <w:lang w:val="it-IT"/>
        </w:rPr>
        <w:t xml:space="preserve">ò è </w:t>
      </w:r>
      <w:r>
        <w:rPr>
          <w:rFonts w:ascii="Book Antiqua"/>
          <w:color w:val="000000"/>
          <w:sz w:val="22"/>
          <w:szCs w:val="22"/>
          <w:u w:color="000000"/>
          <w:rtl w:val="0"/>
          <w:lang w:val="it-IT"/>
        </w:rPr>
        <w:t>un amico, Alemanno ... che cazzo voi di pi</w:t>
      </w:r>
      <w:r>
        <w:rPr>
          <w:rFonts w:hAnsi="Book Antiqua" w:hint="default"/>
          <w:color w:val="000000"/>
          <w:sz w:val="22"/>
          <w:szCs w:val="22"/>
          <w:u w:color="000000"/>
          <w:rtl w:val="0"/>
          <w:lang w:val="it-IT"/>
        </w:rPr>
        <w:t xml:space="preserve">ù </w:t>
      </w:r>
      <w:r>
        <w:rPr>
          <w:rFonts w:ascii="Book Antiqua"/>
          <w:color w:val="000000"/>
          <w:sz w:val="22"/>
          <w:szCs w:val="22"/>
          <w:u w:color="000000"/>
          <w:rtl w:val="0"/>
          <w:lang w:val="it-IT"/>
        </w:rPr>
        <w:t>..........poi ce pigliamo le misure con Marino</w:t>
      </w:r>
      <w:r>
        <w:rPr>
          <w:rFonts w:hAnsi="Book Antiqua" w:hint="default"/>
          <w:color w:val="000000"/>
          <w:sz w:val="22"/>
          <w:szCs w:val="22"/>
          <w:u w:color="000000"/>
          <w:rtl w:val="0"/>
          <w:lang w:val="it-IT"/>
        </w:rPr>
        <w:t>”</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(v. conversazione intercorsa tra il predetto e GAMMUTO, il 28.5.2013, RIT 2169/13);</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[p. 657]</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Il 17.01.2014, veniva intercettato un ulteriore dialogo nell</w:t>
      </w:r>
      <w:r>
        <w:rPr>
          <w:rFonts w:hAnsi="Book Antiqua" w:hint="default"/>
          <w:color w:val="000000"/>
          <w:sz w:val="22"/>
          <w:szCs w:val="22"/>
          <w:u w:color="000000"/>
          <w:rtl w:val="0"/>
          <w:lang w:val="it-IT"/>
        </w:rPr>
        <w:t>’</w:t>
      </w:r>
      <w:r>
        <w:rPr>
          <w:rFonts w:ascii="Book Antiqua"/>
          <w:color w:val="000000"/>
          <w:sz w:val="22"/>
          <w:szCs w:val="22"/>
          <w:u w:color="000000"/>
          <w:rtl w:val="0"/>
          <w:lang w:val="it-IT"/>
        </w:rPr>
        <w:t>ufficio di BUZZI in via Pomona 63 [</w:t>
      </w:r>
      <w:r>
        <w:rPr>
          <w:rFonts w:hAnsi="Book Antiqua" w:hint="default"/>
          <w:color w:val="000000"/>
          <w:sz w:val="22"/>
          <w:szCs w:val="22"/>
          <w:u w:color="000000"/>
          <w:rtl w:val="0"/>
          <w:lang w:val="it-IT"/>
        </w:rPr>
        <w:t>…</w:t>
      </w:r>
      <w:r>
        <w:rPr>
          <w:rFonts w:ascii="Book Antiqua"/>
          <w:color w:val="000000"/>
          <w:sz w:val="22"/>
          <w:szCs w:val="22"/>
          <w:u w:color="000000"/>
          <w:rtl w:val="0"/>
          <w:lang w:val="it-IT"/>
        </w:rPr>
        <w:t>]</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BUZZI forniva ulteriori conferme sull</w:t>
      </w:r>
      <w:r>
        <w:rPr>
          <w:rFonts w:hAnsi="Book Antiqua" w:hint="default"/>
          <w:color w:val="000000"/>
          <w:sz w:val="22"/>
          <w:szCs w:val="22"/>
          <w:u w:color="000000"/>
          <w:rtl w:val="0"/>
          <w:lang w:val="it-IT"/>
        </w:rPr>
        <w:t>’</w:t>
      </w:r>
      <w:r>
        <w:rPr>
          <w:rFonts w:ascii="Book Antiqua"/>
          <w:color w:val="000000"/>
          <w:sz w:val="22"/>
          <w:szCs w:val="22"/>
          <w:u w:color="000000"/>
          <w:rtl w:val="0"/>
          <w:lang w:val="it-IT"/>
        </w:rPr>
        <w:t>illiceit</w:t>
      </w:r>
      <w:r>
        <w:rPr>
          <w:rFonts w:hAnsi="Book Antiqua" w:hint="default"/>
          <w:color w:val="000000"/>
          <w:sz w:val="22"/>
          <w:szCs w:val="22"/>
          <w:u w:color="000000"/>
          <w:rtl w:val="0"/>
          <w:lang w:val="it-IT"/>
        </w:rPr>
        <w:t xml:space="preserve">à </w:t>
      </w:r>
      <w:r>
        <w:rPr>
          <w:rFonts w:ascii="Book Antiqua"/>
          <w:color w:val="000000"/>
          <w:sz w:val="22"/>
          <w:szCs w:val="22"/>
          <w:u w:color="000000"/>
          <w:rtl w:val="0"/>
          <w:lang w:val="it-IT"/>
        </w:rPr>
        <w:t>delle condotte poste in essere e la consapevolezza del proprio agire criminoso (</w:t>
      </w:r>
      <w:r>
        <w:rPr>
          <w:rFonts w:hAnsi="Book Antiqua" w:hint="default"/>
          <w:color w:val="000000"/>
          <w:sz w:val="22"/>
          <w:szCs w:val="22"/>
          <w:u w:color="000000"/>
          <w:rtl w:val="0"/>
          <w:lang w:val="it-IT"/>
        </w:rPr>
        <w:t>“</w:t>
      </w:r>
      <w:r>
        <w:rPr>
          <w:rFonts w:ascii="Book Antiqua"/>
          <w:color w:val="000000"/>
          <w:sz w:val="22"/>
          <w:szCs w:val="22"/>
          <w:u w:color="000000"/>
          <w:rtl w:val="0"/>
          <w:lang w:val="it-IT"/>
        </w:rPr>
        <w:t>Quando m</w:t>
      </w:r>
      <w:r>
        <w:rPr>
          <w:rFonts w:hAnsi="Book Antiqua" w:hint="default"/>
          <w:color w:val="000000"/>
          <w:sz w:val="22"/>
          <w:szCs w:val="22"/>
          <w:u w:color="000000"/>
          <w:rtl w:val="0"/>
          <w:lang w:val="it-IT"/>
        </w:rPr>
        <w:t>’</w:t>
      </w:r>
      <w:r>
        <w:rPr>
          <w:rFonts w:ascii="Book Antiqua"/>
          <w:color w:val="000000"/>
          <w:sz w:val="22"/>
          <w:szCs w:val="22"/>
          <w:u w:color="000000"/>
          <w:rtl w:val="0"/>
          <w:lang w:val="it-IT"/>
        </w:rPr>
        <w:t>arresteranno, se m</w:t>
      </w:r>
      <w:r>
        <w:rPr>
          <w:rFonts w:hAnsi="Book Antiqua" w:hint="default"/>
          <w:color w:val="000000"/>
          <w:sz w:val="22"/>
          <w:szCs w:val="22"/>
          <w:u w:color="000000"/>
          <w:rtl w:val="0"/>
          <w:lang w:val="it-IT"/>
        </w:rPr>
        <w:t>’</w:t>
      </w:r>
      <w:r>
        <w:rPr>
          <w:rFonts w:ascii="Book Antiqua"/>
          <w:color w:val="000000"/>
          <w:sz w:val="22"/>
          <w:szCs w:val="22"/>
          <w:u w:color="000000"/>
          <w:rtl w:val="0"/>
          <w:lang w:val="it-IT"/>
        </w:rPr>
        <w:t>arresteranno, saremo in difensiva, mo se l</w:t>
      </w:r>
      <w:r>
        <w:rPr>
          <w:rFonts w:hAnsi="Book Antiqua" w:hint="default"/>
          <w:color w:val="000000"/>
          <w:sz w:val="22"/>
          <w:szCs w:val="22"/>
          <w:u w:color="000000"/>
          <w:rtl w:val="0"/>
          <w:lang w:val="it-IT"/>
        </w:rPr>
        <w:t>’</w:t>
      </w:r>
      <w:r>
        <w:rPr>
          <w:rFonts w:ascii="Book Antiqua"/>
          <w:color w:val="000000"/>
          <w:sz w:val="22"/>
          <w:szCs w:val="22"/>
          <w:u w:color="000000"/>
          <w:rtl w:val="0"/>
          <w:lang w:val="it-IT"/>
        </w:rPr>
        <w:t>inculamo tutti.. ma tutti voglio incula</w:t>
      </w:r>
      <w:r>
        <w:rPr>
          <w:rFonts w:hAnsi="Book Antiqua" w:hint="default"/>
          <w:color w:val="000000"/>
          <w:sz w:val="22"/>
          <w:szCs w:val="22"/>
          <w:u w:color="000000"/>
          <w:rtl w:val="0"/>
          <w:lang w:val="it-IT"/>
        </w:rPr>
        <w:t xml:space="preserve">’ </w:t>
      </w:r>
      <w:r>
        <w:rPr>
          <w:rFonts w:ascii="Book Antiqua"/>
          <w:color w:val="000000"/>
          <w:sz w:val="22"/>
          <w:szCs w:val="22"/>
          <w:u w:color="000000"/>
          <w:rtl w:val="0"/>
          <w:lang w:val="it-IT"/>
        </w:rPr>
        <w:t xml:space="preserve">..ma ti </w:t>
      </w:r>
      <w:r>
        <w:rPr>
          <w:rFonts w:hAnsi="Book Antiqua" w:hint="default"/>
          <w:color w:val="000000"/>
          <w:sz w:val="22"/>
          <w:szCs w:val="22"/>
          <w:u w:color="000000"/>
          <w:rtl w:val="0"/>
          <w:lang w:val="it-IT"/>
        </w:rPr>
        <w:t xml:space="preserve">è </w:t>
      </w:r>
      <w:r>
        <w:rPr>
          <w:rFonts w:ascii="Book Antiqua"/>
          <w:color w:val="000000"/>
          <w:sz w:val="22"/>
          <w:szCs w:val="22"/>
          <w:u w:color="000000"/>
          <w:rtl w:val="0"/>
          <w:lang w:val="it-IT"/>
        </w:rPr>
        <w:t>chiaro il concetto?.. questo deve esse!</w:t>
      </w:r>
      <w:r>
        <w:rPr>
          <w:rFonts w:hAnsi="Book Antiqua" w:hint="default"/>
          <w:color w:val="000000"/>
          <w:sz w:val="22"/>
          <w:szCs w:val="22"/>
          <w:u w:color="000000"/>
          <w:rtl w:val="0"/>
          <w:lang w:val="it-IT"/>
        </w:rPr>
        <w:t>”</w:t>
      </w:r>
      <w:r>
        <w:rPr>
          <w:rFonts w:ascii="Book Antiqua"/>
          <w:color w:val="000000"/>
          <w:sz w:val="22"/>
          <w:szCs w:val="22"/>
          <w:u w:color="000000"/>
          <w:rtl w:val="0"/>
          <w:lang w:val="it-IT"/>
        </w:rPr>
        <w:t>) nonch</w:t>
      </w:r>
      <w:r>
        <w:rPr>
          <w:rFonts w:hAnsi="Book Antiqua" w:hint="default"/>
          <w:color w:val="000000"/>
          <w:sz w:val="22"/>
          <w:szCs w:val="22"/>
          <w:u w:color="000000"/>
          <w:rtl w:val="0"/>
          <w:lang w:val="it-IT"/>
        </w:rPr>
        <w:t>é</w:t>
      </w:r>
      <w:r>
        <w:rPr>
          <w:rFonts w:ascii="Book Antiqua"/>
          <w:color w:val="000000"/>
          <w:sz w:val="22"/>
          <w:szCs w:val="22"/>
          <w:u w:color="000000"/>
          <w:rtl w:val="0"/>
          <w:lang w:val="it-IT"/>
        </w:rPr>
        <w:t>, nuovamente, sulle coperture politico-amministrative di cui godeva lo stesso imprenditore e sui vantaggi che avrebbe dovuto corrispondere alle stesse (</w:t>
      </w:r>
      <w:r>
        <w:rPr>
          <w:rFonts w:hAnsi="Book Antiqua" w:hint="default"/>
          <w:color w:val="000000"/>
          <w:sz w:val="22"/>
          <w:szCs w:val="22"/>
          <w:u w:color="000000"/>
          <w:rtl w:val="0"/>
          <w:lang w:val="it-IT"/>
        </w:rPr>
        <w:t>“</w:t>
      </w:r>
      <w:r>
        <w:rPr>
          <w:rFonts w:ascii="Book Antiqua"/>
          <w:color w:val="000000"/>
          <w:sz w:val="22"/>
          <w:szCs w:val="22"/>
          <w:u w:color="000000"/>
          <w:rtl w:val="0"/>
          <w:lang w:val="it-IT"/>
        </w:rPr>
        <w:t>perch</w:t>
      </w:r>
      <w:r>
        <w:rPr>
          <w:rFonts w:hAnsi="Book Antiqua" w:hint="default"/>
          <w:color w:val="000000"/>
          <w:sz w:val="22"/>
          <w:szCs w:val="22"/>
          <w:u w:color="000000"/>
          <w:rtl w:val="0"/>
          <w:lang w:val="it-IT"/>
        </w:rPr>
        <w:t xml:space="preserve">é </w:t>
      </w:r>
      <w:r>
        <w:rPr>
          <w:rFonts w:ascii="Book Antiqua"/>
          <w:color w:val="000000"/>
          <w:sz w:val="22"/>
          <w:szCs w:val="22"/>
          <w:u w:color="000000"/>
          <w:rtl w:val="0"/>
          <w:lang w:val="it-IT"/>
        </w:rPr>
        <w:t>co</w:t>
      </w:r>
      <w:r>
        <w:rPr>
          <w:rFonts w:hAnsi="Book Antiqua" w:hint="default"/>
          <w:color w:val="000000"/>
          <w:sz w:val="22"/>
          <w:szCs w:val="22"/>
          <w:u w:color="000000"/>
          <w:rtl w:val="0"/>
          <w:lang w:val="it-IT"/>
        </w:rPr>
        <w:t xml:space="preserve">’ </w:t>
      </w:r>
      <w:r>
        <w:rPr>
          <w:rFonts w:ascii="Book Antiqua"/>
          <w:color w:val="000000"/>
          <w:sz w:val="22"/>
          <w:szCs w:val="22"/>
          <w:u w:color="000000"/>
          <w:rtl w:val="0"/>
          <w:lang w:val="it-IT"/>
        </w:rPr>
        <w:t>CORATTI sicuramente me chiede da divide gi</w:t>
      </w:r>
      <w:r>
        <w:rPr>
          <w:rFonts w:hAnsi="Book Antiqua" w:hint="default"/>
          <w:color w:val="000000"/>
          <w:sz w:val="22"/>
          <w:szCs w:val="22"/>
          <w:u w:color="000000"/>
          <w:rtl w:val="0"/>
          <w:lang w:val="it-IT"/>
        </w:rPr>
        <w:t xml:space="preserve">à </w:t>
      </w:r>
      <w:r>
        <w:rPr>
          <w:rFonts w:ascii="Book Antiqua"/>
          <w:color w:val="000000"/>
          <w:sz w:val="22"/>
          <w:szCs w:val="22"/>
          <w:u w:color="000000"/>
          <w:rtl w:val="0"/>
          <w:lang w:val="it-IT"/>
        </w:rPr>
        <w:t>l</w:t>
      </w:r>
      <w:r>
        <w:rPr>
          <w:rFonts w:hAnsi="Book Antiqua" w:hint="default"/>
          <w:color w:val="000000"/>
          <w:sz w:val="22"/>
          <w:szCs w:val="22"/>
          <w:u w:color="000000"/>
          <w:rtl w:val="0"/>
          <w:lang w:val="it-IT"/>
        </w:rPr>
        <w:t>’</w:t>
      </w:r>
      <w:r>
        <w:rPr>
          <w:rFonts w:ascii="Book Antiqua"/>
          <w:color w:val="000000"/>
          <w:sz w:val="22"/>
          <w:szCs w:val="22"/>
          <w:u w:color="000000"/>
          <w:rtl w:val="0"/>
          <w:lang w:val="it-IT"/>
        </w:rPr>
        <w:t>anticipo per cui io GLIE D</w:t>
      </w:r>
      <w:r>
        <w:rPr>
          <w:rFonts w:hAnsi="Book Antiqua" w:hint="default"/>
          <w:color w:val="000000"/>
          <w:sz w:val="22"/>
          <w:szCs w:val="22"/>
          <w:u w:color="000000"/>
          <w:rtl w:val="0"/>
          <w:lang w:val="it-IT"/>
        </w:rPr>
        <w:t xml:space="preserve">Ò </w:t>
      </w:r>
      <w:r>
        <w:rPr>
          <w:rFonts w:ascii="Book Antiqua"/>
          <w:color w:val="000000"/>
          <w:sz w:val="22"/>
          <w:szCs w:val="22"/>
          <w:u w:color="000000"/>
          <w:rtl w:val="0"/>
          <w:lang w:val="it-IT"/>
        </w:rPr>
        <w:t>UN LOTTO... ah gliel</w:t>
      </w:r>
      <w:r>
        <w:rPr>
          <w:rFonts w:hAnsi="Book Antiqua" w:hint="default"/>
          <w:color w:val="000000"/>
          <w:sz w:val="22"/>
          <w:szCs w:val="22"/>
          <w:u w:color="000000"/>
          <w:rtl w:val="0"/>
          <w:lang w:val="it-IT"/>
        </w:rPr>
        <w:t>’</w:t>
      </w:r>
      <w:r>
        <w:rPr>
          <w:rFonts w:ascii="Book Antiqua"/>
          <w:color w:val="000000"/>
          <w:sz w:val="22"/>
          <w:szCs w:val="22"/>
          <w:u w:color="000000"/>
          <w:rtl w:val="0"/>
          <w:lang w:val="it-IT"/>
        </w:rPr>
        <w:t>ho detto che il milione gi</w:t>
      </w:r>
      <w:r>
        <w:rPr>
          <w:rFonts w:hAnsi="Book Antiqua" w:hint="default"/>
          <w:color w:val="000000"/>
          <w:sz w:val="22"/>
          <w:szCs w:val="22"/>
          <w:u w:color="000000"/>
          <w:rtl w:val="0"/>
          <w:lang w:val="it-IT"/>
        </w:rPr>
        <w:t xml:space="preserve">à </w:t>
      </w:r>
      <w:r>
        <w:rPr>
          <w:rFonts w:ascii="Book Antiqua"/>
          <w:color w:val="000000"/>
          <w:sz w:val="22"/>
          <w:szCs w:val="22"/>
          <w:u w:color="000000"/>
          <w:rtl w:val="0"/>
          <w:lang w:val="it-IT"/>
        </w:rPr>
        <w:t>se lo so.... possono (inc) cazzo vogliono...</w:t>
      </w:r>
      <w:r>
        <w:rPr>
          <w:rFonts w:hAnsi="Book Antiqua" w:hint="default"/>
          <w:color w:val="000000"/>
          <w:sz w:val="22"/>
          <w:szCs w:val="22"/>
          <w:u w:color="000000"/>
          <w:rtl w:val="0"/>
          <w:lang w:val="it-IT"/>
        </w:rPr>
        <w:t>”</w:t>
      </w:r>
      <w:r>
        <w:rPr>
          <w:rFonts w:ascii="Book Antiqua"/>
          <w:color w:val="000000"/>
          <w:sz w:val="22"/>
          <w:szCs w:val="22"/>
          <w:u w:color="000000"/>
          <w:rtl w:val="0"/>
          <w:lang w:val="it-IT"/>
        </w:rPr>
        <w:t>). [</w:t>
      </w:r>
      <w:r>
        <w:rPr>
          <w:rFonts w:hAnsi="Book Antiqua" w:hint="default"/>
          <w:color w:val="000000"/>
          <w:sz w:val="22"/>
          <w:szCs w:val="22"/>
          <w:u w:color="000000"/>
          <w:rtl w:val="0"/>
          <w:lang w:val="it-IT"/>
        </w:rPr>
        <w:t>…</w:t>
      </w:r>
      <w:r>
        <w:rPr>
          <w:rFonts w:ascii="Book Antiqua"/>
          <w:color w:val="000000"/>
          <w:sz w:val="22"/>
          <w:szCs w:val="22"/>
          <w:u w:color="000000"/>
          <w:rtl w:val="0"/>
          <w:lang w:val="it-IT"/>
        </w:rPr>
        <w:t xml:space="preserve">] [Pr.1613-A-3 ore 15:15:41]: Salvatore BUZZI effettuava una conversazione telefonica (con Salvatore Forlenza Rit 1741-13 prog. 44479). [Pr.1613-A-3 ore 15:17:10]: appena conclusa la telefonata, Buzzi si rivolgeva ai presenti: </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Legenda: S: Salvatore BUZZI CC:</w:t>
        <w:tab/>
        <w:t>Claudio CALDARELLI CG: Carlo GUARANY EB: Emanuela BUGGITTI</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S: (inc) Forlenza.. perch</w:t>
      </w:r>
      <w:r>
        <w:rPr>
          <w:rFonts w:hAnsi="Book Antiqua" w:hint="default"/>
          <w:color w:val="000000"/>
          <w:sz w:val="22"/>
          <w:szCs w:val="22"/>
          <w:u w:color="000000"/>
          <w:rtl w:val="0"/>
          <w:lang w:val="it-IT"/>
        </w:rPr>
        <w:t xml:space="preserve">é </w:t>
      </w:r>
      <w:r>
        <w:rPr>
          <w:rFonts w:ascii="Book Antiqua"/>
          <w:color w:val="000000"/>
          <w:sz w:val="22"/>
          <w:szCs w:val="22"/>
          <w:u w:color="000000"/>
          <w:rtl w:val="0"/>
          <w:lang w:val="it-IT"/>
        </w:rPr>
        <w:t xml:space="preserve">FORLENZA </w:t>
      </w:r>
      <w:r>
        <w:rPr>
          <w:rFonts w:hAnsi="Book Antiqua" w:hint="default"/>
          <w:color w:val="000000"/>
          <w:sz w:val="22"/>
          <w:szCs w:val="22"/>
          <w:u w:color="000000"/>
          <w:rtl w:val="0"/>
          <w:lang w:val="it-IT"/>
        </w:rPr>
        <w:t xml:space="preserve">è </w:t>
      </w:r>
      <w:r>
        <w:rPr>
          <w:rFonts w:ascii="Book Antiqua"/>
          <w:color w:val="000000"/>
          <w:sz w:val="22"/>
          <w:szCs w:val="22"/>
          <w:u w:color="000000"/>
          <w:rtl w:val="0"/>
          <w:lang w:val="it-IT"/>
        </w:rPr>
        <w:t>stato chiamato da LEODORI (Daniele Leodori, Presidente Consiglio regionale del Lazio, ndr) CG: LEONORI S: e...io dopo che ho parlato con lui io l</w:t>
      </w:r>
      <w:r>
        <w:rPr>
          <w:rFonts w:hAnsi="Book Antiqua" w:hint="default"/>
          <w:color w:val="000000"/>
          <w:sz w:val="22"/>
          <w:szCs w:val="22"/>
          <w:u w:color="000000"/>
          <w:rtl w:val="0"/>
          <w:lang w:val="it-IT"/>
        </w:rPr>
        <w:t>’</w:t>
      </w:r>
      <w:r>
        <w:rPr>
          <w:rFonts w:ascii="Book Antiqua"/>
          <w:color w:val="000000"/>
          <w:sz w:val="22"/>
          <w:szCs w:val="22"/>
          <w:u w:color="000000"/>
          <w:rtl w:val="0"/>
          <w:lang w:val="it-IT"/>
        </w:rPr>
        <w:t>ho incontrato all</w:t>
      </w:r>
      <w:r>
        <w:rPr>
          <w:rFonts w:hAnsi="Book Antiqua" w:hint="default"/>
          <w:color w:val="000000"/>
          <w:sz w:val="22"/>
          <w:szCs w:val="22"/>
          <w:u w:color="000000"/>
          <w:rtl w:val="0"/>
          <w:lang w:val="it-IT"/>
        </w:rPr>
        <w:t>’</w:t>
      </w:r>
      <w:r>
        <w:rPr>
          <w:rFonts w:ascii="Book Antiqua"/>
          <w:color w:val="000000"/>
          <w:sz w:val="22"/>
          <w:szCs w:val="22"/>
          <w:u w:color="000000"/>
          <w:rtl w:val="0"/>
          <w:lang w:val="it-IT"/>
        </w:rPr>
        <w:t xml:space="preserve">Eur..lui poi </w:t>
      </w:r>
      <w:r>
        <w:rPr>
          <w:rFonts w:hAnsi="Book Antiqua" w:hint="default"/>
          <w:color w:val="000000"/>
          <w:sz w:val="22"/>
          <w:szCs w:val="22"/>
          <w:u w:color="000000"/>
          <w:rtl w:val="0"/>
          <w:lang w:val="it-IT"/>
        </w:rPr>
        <w:t xml:space="preserve">è </w:t>
      </w:r>
      <w:r>
        <w:rPr>
          <w:rFonts w:ascii="Book Antiqua"/>
          <w:color w:val="000000"/>
          <w:sz w:val="22"/>
          <w:szCs w:val="22"/>
          <w:u w:color="000000"/>
          <w:rtl w:val="0"/>
          <w:lang w:val="it-IT"/>
        </w:rPr>
        <w:t>andato da Leonori gl</w:t>
      </w:r>
      <w:r>
        <w:rPr>
          <w:rFonts w:hAnsi="Book Antiqua" w:hint="default"/>
          <w:color w:val="000000"/>
          <w:sz w:val="22"/>
          <w:szCs w:val="22"/>
          <w:u w:color="000000"/>
          <w:rtl w:val="0"/>
          <w:lang w:val="it-IT"/>
        </w:rPr>
        <w:t>’</w:t>
      </w:r>
      <w:r>
        <w:rPr>
          <w:rFonts w:ascii="Book Antiqua"/>
          <w:color w:val="000000"/>
          <w:sz w:val="22"/>
          <w:szCs w:val="22"/>
          <w:u w:color="000000"/>
          <w:rtl w:val="0"/>
          <w:lang w:val="it-IT"/>
        </w:rPr>
        <w:t>ha detto che il problema era.. non eravamo noi, era CANCELLI (Franco Cancelli, ndr)..quindi ha parlato con... CG: so che l</w:t>
      </w:r>
      <w:r>
        <w:rPr>
          <w:rFonts w:hAnsi="Book Antiqua" w:hint="default"/>
          <w:color w:val="000000"/>
          <w:sz w:val="22"/>
          <w:szCs w:val="22"/>
          <w:u w:color="000000"/>
          <w:rtl w:val="0"/>
          <w:lang w:val="it-IT"/>
        </w:rPr>
        <w:t>’</w:t>
      </w:r>
      <w:r>
        <w:rPr>
          <w:rFonts w:ascii="Book Antiqua"/>
          <w:color w:val="000000"/>
          <w:sz w:val="22"/>
          <w:szCs w:val="22"/>
          <w:u w:color="000000"/>
          <w:rtl w:val="0"/>
          <w:lang w:val="it-IT"/>
        </w:rPr>
        <w:t>ha chiamato (inc)</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 xml:space="preserve">S: (inc) qua da me.. Leodori (inc) Panea (fonetico) se so visti e Panea (fonetico) gli ha riferito..&lt;a Fra non </w:t>
      </w:r>
      <w:r>
        <w:rPr>
          <w:rFonts w:hAnsi="Book Antiqua" w:hint="default"/>
          <w:color w:val="000000"/>
          <w:sz w:val="22"/>
          <w:szCs w:val="22"/>
          <w:u w:color="000000"/>
          <w:rtl w:val="0"/>
          <w:lang w:val="it-IT"/>
        </w:rPr>
        <w:t xml:space="preserve">è </w:t>
      </w:r>
      <w:r>
        <w:rPr>
          <w:rFonts w:ascii="Book Antiqua"/>
          <w:color w:val="000000"/>
          <w:sz w:val="22"/>
          <w:szCs w:val="22"/>
          <w:u w:color="000000"/>
          <w:rtl w:val="0"/>
          <w:lang w:val="it-IT"/>
        </w:rPr>
        <w:t>vero&gt; ..quello de Cancelli.. quindi era importante che oggi (inc)..deve rifer</w:t>
      </w:r>
      <w:r>
        <w:rPr>
          <w:rFonts w:hAnsi="Book Antiqua" w:hint="default"/>
          <w:color w:val="000000"/>
          <w:sz w:val="22"/>
          <w:szCs w:val="22"/>
          <w:u w:color="000000"/>
          <w:rtl w:val="0"/>
          <w:lang w:val="it-IT"/>
        </w:rPr>
        <w:t>ì</w:t>
      </w:r>
      <w:r>
        <w:rPr>
          <w:rFonts w:ascii="Book Antiqua"/>
          <w:color w:val="000000"/>
          <w:sz w:val="22"/>
          <w:szCs w:val="22"/>
          <w:u w:color="000000"/>
          <w:rtl w:val="0"/>
          <w:lang w:val="it-IT"/>
        </w:rPr>
        <w:t>.. gliel</w:t>
      </w:r>
      <w:r>
        <w:rPr>
          <w:rFonts w:hAnsi="Book Antiqua" w:hint="default"/>
          <w:color w:val="000000"/>
          <w:sz w:val="22"/>
          <w:szCs w:val="22"/>
          <w:u w:color="000000"/>
          <w:rtl w:val="0"/>
          <w:lang w:val="it-IT"/>
        </w:rPr>
        <w:t>’</w:t>
      </w:r>
      <w:r>
        <w:rPr>
          <w:rFonts w:ascii="Book Antiqua"/>
          <w:color w:val="000000"/>
          <w:sz w:val="22"/>
          <w:szCs w:val="22"/>
          <w:u w:color="000000"/>
          <w:rtl w:val="0"/>
          <w:lang w:val="it-IT"/>
        </w:rPr>
        <w:t>hai detto che deve rifer</w:t>
      </w:r>
      <w:r>
        <w:rPr>
          <w:rFonts w:hAnsi="Book Antiqua" w:hint="default"/>
          <w:color w:val="000000"/>
          <w:sz w:val="22"/>
          <w:szCs w:val="22"/>
          <w:u w:color="000000"/>
          <w:rtl w:val="0"/>
          <w:lang w:val="it-IT"/>
        </w:rPr>
        <w:t>ì</w:t>
      </w:r>
      <w:r>
        <w:rPr>
          <w:rFonts w:ascii="Book Antiqua"/>
          <w:color w:val="000000"/>
          <w:sz w:val="22"/>
          <w:szCs w:val="22"/>
          <w:u w:color="000000"/>
          <w:rtl w:val="0"/>
          <w:lang w:val="it-IT"/>
        </w:rPr>
        <w:t>? CG: a Nanni? (Giovanni FISCON, ndr)</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S: (tono alterato) ma che Nanni....rifer</w:t>
      </w:r>
      <w:r>
        <w:rPr>
          <w:rFonts w:hAnsi="Book Antiqua" w:hint="default"/>
          <w:color w:val="000000"/>
          <w:sz w:val="22"/>
          <w:szCs w:val="22"/>
          <w:u w:color="000000"/>
          <w:rtl w:val="0"/>
          <w:lang w:val="it-IT"/>
        </w:rPr>
        <w:t xml:space="preserve">ì </w:t>
      </w:r>
      <w:r>
        <w:rPr>
          <w:rFonts w:ascii="Book Antiqua"/>
          <w:color w:val="000000"/>
          <w:sz w:val="22"/>
          <w:szCs w:val="22"/>
          <w:u w:color="000000"/>
          <w:rtl w:val="0"/>
          <w:lang w:val="it-IT"/>
        </w:rPr>
        <w:t>a Leodori ..possibile che pure tu non leggi (inc)!!..tra l</w:t>
      </w:r>
      <w:r>
        <w:rPr>
          <w:rFonts w:hAnsi="Book Antiqua" w:hint="default"/>
          <w:color w:val="000000"/>
          <w:sz w:val="22"/>
          <w:szCs w:val="22"/>
          <w:u w:color="000000"/>
          <w:rtl w:val="0"/>
          <w:lang w:val="it-IT"/>
        </w:rPr>
        <w:t>’</w:t>
      </w:r>
      <w:r>
        <w:rPr>
          <w:rFonts w:ascii="Book Antiqua"/>
          <w:color w:val="000000"/>
          <w:sz w:val="22"/>
          <w:szCs w:val="22"/>
          <w:u w:color="000000"/>
          <w:rtl w:val="0"/>
          <w:lang w:val="it-IT"/>
        </w:rPr>
        <w:t>altro lo stronzo si sentiva sicuro con la nomina di Strozzi (Ivan Strozzi, nominato AD di AMA S.p.A. e rimosso pochi giorni dopo ndr) sponsorizzato Estella MARINO (Estella MARINO, Assessore all</w:t>
      </w:r>
      <w:r>
        <w:rPr>
          <w:rFonts w:hAnsi="Book Antiqua" w:hint="default"/>
          <w:color w:val="000000"/>
          <w:sz w:val="22"/>
          <w:szCs w:val="22"/>
          <w:u w:color="000000"/>
          <w:rtl w:val="0"/>
          <w:lang w:val="it-IT"/>
        </w:rPr>
        <w:t>’</w:t>
      </w:r>
      <w:r>
        <w:rPr>
          <w:rFonts w:ascii="Book Antiqua"/>
          <w:color w:val="000000"/>
          <w:sz w:val="22"/>
          <w:szCs w:val="22"/>
          <w:u w:color="000000"/>
          <w:rtl w:val="0"/>
          <w:lang w:val="it-IT"/>
        </w:rPr>
        <w:t>Ambiente del comune di Roma) ma Strozzi</w:t>
      </w:r>
      <w:r>
        <w:rPr>
          <w:rFonts w:hAnsi="Book Antiqua" w:hint="default"/>
          <w:color w:val="000000"/>
          <w:sz w:val="22"/>
          <w:szCs w:val="22"/>
          <w:u w:color="000000"/>
          <w:rtl w:val="0"/>
          <w:lang w:val="it-IT"/>
        </w:rPr>
        <w:t xml:space="preserve">… </w:t>
      </w:r>
      <w:r>
        <w:rPr>
          <w:rFonts w:ascii="Book Antiqua"/>
          <w:color w:val="000000"/>
          <w:sz w:val="22"/>
          <w:szCs w:val="22"/>
          <w:u w:color="000000"/>
          <w:rtl w:val="0"/>
          <w:lang w:val="it-IT"/>
        </w:rPr>
        <w:t xml:space="preserve">(fischio) </w:t>
      </w:r>
      <w:r>
        <w:rPr>
          <w:rFonts w:hAnsi="Book Antiqua" w:hint="default"/>
          <w:color w:val="000000"/>
          <w:sz w:val="22"/>
          <w:szCs w:val="22"/>
          <w:u w:color="000000"/>
          <w:rtl w:val="0"/>
          <w:lang w:val="it-IT"/>
        </w:rPr>
        <w:t xml:space="preserve">è </w:t>
      </w:r>
      <w:r>
        <w:rPr>
          <w:rFonts w:ascii="Book Antiqua"/>
          <w:color w:val="000000"/>
          <w:sz w:val="22"/>
          <w:szCs w:val="22"/>
          <w:u w:color="000000"/>
          <w:rtl w:val="0"/>
          <w:lang w:val="it-IT"/>
        </w:rPr>
        <w:t xml:space="preserve">ito.. (per evidenziare le recenti dimissioni, ndr)  e quindi... Estella Marino come sappiamo non si occupa di gare.. il Dirigente che si occupa di imma... di gare </w:t>
      </w:r>
      <w:r>
        <w:rPr>
          <w:rFonts w:hAnsi="Book Antiqua" w:hint="default"/>
          <w:color w:val="000000"/>
          <w:sz w:val="22"/>
          <w:szCs w:val="22"/>
          <w:u w:color="000000"/>
          <w:rtl w:val="0"/>
          <w:lang w:val="it-IT"/>
        </w:rPr>
        <w:t xml:space="preserve">è </w:t>
      </w:r>
      <w:r>
        <w:rPr>
          <w:rFonts w:ascii="Book Antiqua"/>
          <w:color w:val="000000"/>
          <w:sz w:val="22"/>
          <w:szCs w:val="22"/>
          <w:u w:color="000000"/>
          <w:rtl w:val="0"/>
          <w:lang w:val="it-IT"/>
        </w:rPr>
        <w:t xml:space="preserve">ALTAMURA (Gaetano ALTAMURA nato a Roma il 02.11.1973, Direttore del Dipartimento Tutela Ambiente </w:t>
      </w:r>
      <w:r>
        <w:rPr>
          <w:rFonts w:hAnsi="Book Antiqua" w:hint="default"/>
          <w:color w:val="000000"/>
          <w:sz w:val="22"/>
          <w:szCs w:val="22"/>
          <w:u w:color="000000"/>
          <w:rtl w:val="0"/>
          <w:lang w:val="it-IT"/>
        </w:rPr>
        <w:t xml:space="preserve">– </w:t>
      </w:r>
      <w:r>
        <w:rPr>
          <w:rFonts w:ascii="Book Antiqua"/>
          <w:color w:val="000000"/>
          <w:sz w:val="22"/>
          <w:szCs w:val="22"/>
          <w:u w:color="000000"/>
          <w:rtl w:val="0"/>
          <w:lang w:val="it-IT"/>
        </w:rPr>
        <w:t>Protezione Civile ndr)... insomma stamo a costru</w:t>
      </w:r>
      <w:r>
        <w:rPr>
          <w:rFonts w:hAnsi="Book Antiqua" w:hint="default"/>
          <w:color w:val="000000"/>
          <w:sz w:val="22"/>
          <w:szCs w:val="22"/>
          <w:u w:color="000000"/>
          <w:rtl w:val="0"/>
          <w:lang w:val="it-IT"/>
        </w:rPr>
        <w:t>ì</w:t>
      </w:r>
      <w:r>
        <w:rPr>
          <w:rFonts w:ascii="Book Antiqua"/>
          <w:color w:val="000000"/>
          <w:sz w:val="22"/>
          <w:szCs w:val="22"/>
          <w:u w:color="000000"/>
          <w:rtl w:val="0"/>
          <w:lang w:val="it-IT"/>
        </w:rPr>
        <w:t>.. stamo a costru</w:t>
      </w:r>
      <w:r>
        <w:rPr>
          <w:rFonts w:hAnsi="Book Antiqua" w:hint="default"/>
          <w:color w:val="000000"/>
          <w:sz w:val="22"/>
          <w:szCs w:val="22"/>
          <w:u w:color="000000"/>
          <w:rtl w:val="0"/>
          <w:lang w:val="it-IT"/>
        </w:rPr>
        <w:t xml:space="preserve">ì </w:t>
      </w:r>
      <w:r>
        <w:rPr>
          <w:rFonts w:ascii="Book Antiqua"/>
          <w:color w:val="000000"/>
          <w:sz w:val="22"/>
          <w:szCs w:val="22"/>
          <w:u w:color="000000"/>
          <w:rtl w:val="0"/>
          <w:lang w:val="it-IT"/>
        </w:rPr>
        <w:t>un percorso pe</w:t>
      </w:r>
      <w:r>
        <w:rPr>
          <w:rFonts w:hAnsi="Book Antiqua" w:hint="default"/>
          <w:color w:val="000000"/>
          <w:sz w:val="22"/>
          <w:szCs w:val="22"/>
          <w:u w:color="000000"/>
          <w:rtl w:val="0"/>
          <w:lang w:val="it-IT"/>
        </w:rPr>
        <w:t xml:space="preserve">’ </w:t>
      </w:r>
      <w:r>
        <w:rPr>
          <w:rFonts w:ascii="Book Antiqua"/>
          <w:color w:val="000000"/>
          <w:sz w:val="22"/>
          <w:szCs w:val="22"/>
          <w:u w:color="000000"/>
          <w:rtl w:val="0"/>
          <w:lang w:val="it-IT"/>
        </w:rPr>
        <w:t>ammazzallo poi vedemo se me riesce ammazzallo.. glieli davo tutti e 3 guarda (inc)... perch</w:t>
      </w:r>
      <w:r>
        <w:rPr>
          <w:rFonts w:hAnsi="Book Antiqua" w:hint="default"/>
          <w:color w:val="000000"/>
          <w:sz w:val="22"/>
          <w:szCs w:val="22"/>
          <w:u w:color="000000"/>
          <w:rtl w:val="0"/>
          <w:lang w:val="it-IT"/>
        </w:rPr>
        <w:t xml:space="preserve">é </w:t>
      </w:r>
      <w:r>
        <w:rPr>
          <w:rFonts w:ascii="Book Antiqua"/>
          <w:color w:val="000000"/>
          <w:sz w:val="22"/>
          <w:szCs w:val="22"/>
          <w:u w:color="000000"/>
          <w:rtl w:val="0"/>
          <w:lang w:val="it-IT"/>
        </w:rPr>
        <w:t>co CORATTI (Mirko CORATTI, Presidente dell</w:t>
      </w:r>
      <w:r>
        <w:rPr>
          <w:rFonts w:hAnsi="Book Antiqua" w:hint="default"/>
          <w:color w:val="000000"/>
          <w:sz w:val="22"/>
          <w:szCs w:val="22"/>
          <w:u w:color="000000"/>
          <w:rtl w:val="0"/>
          <w:lang w:val="it-IT"/>
        </w:rPr>
        <w:t>’</w:t>
      </w:r>
      <w:r>
        <w:rPr>
          <w:rFonts w:ascii="Book Antiqua"/>
          <w:color w:val="000000"/>
          <w:sz w:val="22"/>
          <w:szCs w:val="22"/>
          <w:u w:color="000000"/>
          <w:rtl w:val="0"/>
          <w:lang w:val="it-IT"/>
        </w:rPr>
        <w:t>Assemblea capitolina, ndr) sicuramente me chiede da divide gi</w:t>
      </w:r>
      <w:r>
        <w:rPr>
          <w:rFonts w:hAnsi="Book Antiqua" w:hint="default"/>
          <w:color w:val="000000"/>
          <w:sz w:val="22"/>
          <w:szCs w:val="22"/>
          <w:u w:color="000000"/>
          <w:rtl w:val="0"/>
          <w:lang w:val="it-IT"/>
        </w:rPr>
        <w:t xml:space="preserve">à </w:t>
      </w:r>
      <w:r>
        <w:rPr>
          <w:rFonts w:ascii="Book Antiqua"/>
          <w:color w:val="000000"/>
          <w:sz w:val="22"/>
          <w:szCs w:val="22"/>
          <w:u w:color="000000"/>
          <w:rtl w:val="0"/>
          <w:lang w:val="it-IT"/>
        </w:rPr>
        <w:t>l</w:t>
      </w:r>
      <w:r>
        <w:rPr>
          <w:rFonts w:hAnsi="Book Antiqua" w:hint="default"/>
          <w:color w:val="000000"/>
          <w:sz w:val="22"/>
          <w:szCs w:val="22"/>
          <w:u w:color="000000"/>
          <w:rtl w:val="0"/>
          <w:lang w:val="it-IT"/>
        </w:rPr>
        <w:t>’</w:t>
      </w:r>
      <w:r>
        <w:rPr>
          <w:rFonts w:ascii="Book Antiqua"/>
          <w:color w:val="000000"/>
          <w:sz w:val="22"/>
          <w:szCs w:val="22"/>
          <w:u w:color="000000"/>
          <w:rtl w:val="0"/>
          <w:lang w:val="it-IT"/>
        </w:rPr>
        <w:t>anticipo per cui io GLIE D</w:t>
      </w:r>
      <w:r>
        <w:rPr>
          <w:rFonts w:hAnsi="Book Antiqua" w:hint="default"/>
          <w:color w:val="000000"/>
          <w:sz w:val="22"/>
          <w:szCs w:val="22"/>
          <w:u w:color="000000"/>
          <w:rtl w:val="0"/>
          <w:lang w:val="it-IT"/>
        </w:rPr>
        <w:t xml:space="preserve">Ò </w:t>
      </w:r>
      <w:r>
        <w:rPr>
          <w:rFonts w:ascii="Book Antiqua"/>
          <w:color w:val="000000"/>
          <w:sz w:val="22"/>
          <w:szCs w:val="22"/>
          <w:u w:color="000000"/>
          <w:rtl w:val="0"/>
          <w:lang w:val="it-IT"/>
        </w:rPr>
        <w:t>UN LOTTO... ah gliel</w:t>
      </w:r>
      <w:r>
        <w:rPr>
          <w:rFonts w:hAnsi="Book Antiqua" w:hint="default"/>
          <w:color w:val="000000"/>
          <w:sz w:val="22"/>
          <w:szCs w:val="22"/>
          <w:u w:color="000000"/>
          <w:rtl w:val="0"/>
          <w:lang w:val="it-IT"/>
        </w:rPr>
        <w:t>’</w:t>
      </w:r>
      <w:r>
        <w:rPr>
          <w:rFonts w:ascii="Book Antiqua"/>
          <w:color w:val="000000"/>
          <w:sz w:val="22"/>
          <w:szCs w:val="22"/>
          <w:u w:color="000000"/>
          <w:rtl w:val="0"/>
          <w:lang w:val="it-IT"/>
        </w:rPr>
        <w:t>ho detto che il milione gi</w:t>
      </w:r>
      <w:r>
        <w:rPr>
          <w:rFonts w:hAnsi="Book Antiqua" w:hint="default"/>
          <w:color w:val="000000"/>
          <w:sz w:val="22"/>
          <w:szCs w:val="22"/>
          <w:u w:color="000000"/>
          <w:rtl w:val="0"/>
          <w:lang w:val="it-IT"/>
        </w:rPr>
        <w:t xml:space="preserve">à </w:t>
      </w:r>
      <w:r>
        <w:rPr>
          <w:rFonts w:ascii="Book Antiqua"/>
          <w:color w:val="000000"/>
          <w:sz w:val="22"/>
          <w:szCs w:val="22"/>
          <w:u w:color="000000"/>
          <w:rtl w:val="0"/>
          <w:lang w:val="it-IT"/>
        </w:rPr>
        <w:t>se lo so.... possono (inc) cazzo vogliono... [Pr.1613-A-3 ore 15:18:25]</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rPr>
          <w:rFonts w:ascii="Book Antiqua" w:cs="Book Antiqua" w:hAnsi="Book Antiqua" w:eastAsia="Book Antiqua"/>
          <w:color w:val="000000"/>
          <w:sz w:val="22"/>
          <w:szCs w:val="22"/>
          <w:u w:color="000000"/>
        </w:rPr>
      </w:pP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[p. 675]</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[turbativa della gara per l</w:t>
      </w:r>
      <w:r>
        <w:rPr>
          <w:rFonts w:hAnsi="Book Antiqua" w:hint="default"/>
          <w:color w:val="000000"/>
          <w:u w:color="000000"/>
          <w:rtl w:val="0"/>
          <w:lang w:val="it-IT"/>
        </w:rPr>
        <w:t>’</w:t>
      </w:r>
      <w:r>
        <w:rPr>
          <w:rFonts w:ascii="Book Antiqua"/>
          <w:color w:val="000000"/>
          <w:u w:color="000000"/>
          <w:rtl w:val="0"/>
          <w:lang w:val="it-IT"/>
        </w:rPr>
        <w:t>affidamento dell</w:t>
      </w:r>
      <w:r>
        <w:rPr>
          <w:rFonts w:hAnsi="Book Antiqua" w:hint="default"/>
          <w:color w:val="000000"/>
          <w:u w:color="000000"/>
          <w:rtl w:val="0"/>
          <w:lang w:val="it-IT"/>
        </w:rPr>
        <w:t>’</w:t>
      </w:r>
      <w:r>
        <w:rPr>
          <w:rFonts w:ascii="Book Antiqua"/>
          <w:color w:val="000000"/>
          <w:u w:color="000000"/>
          <w:rtl w:val="0"/>
          <w:lang w:val="it-IT"/>
        </w:rPr>
        <w:t>appalto del servizio di igiene urbana, servizi vari accessori, e fornitura di attrezzature e materiali d'uso per la raccolta differenziata CIG 560688865 indetta dal comune di S. Oreste]</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Il bando era preceduto da una serie di contatti tra il sindaco di S. Oreste e Buzzi, ricercati dal primo, che erano in tutta evidenza intesi a confezionare il bando di gara con la mediazione di Lucci, collaboratore di Buzzi.</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[la nota 1550 riporta l</w:t>
      </w:r>
      <w:r>
        <w:rPr>
          <w:rFonts w:hAnsi="Book Antiqua" w:hint="default"/>
          <w:color w:val="000000"/>
          <w:u w:color="000000"/>
          <w:rtl w:val="0"/>
          <w:lang w:val="it-IT"/>
        </w:rPr>
        <w:t>’</w:t>
      </w:r>
      <w:r>
        <w:rPr>
          <w:rFonts w:ascii="Book Antiqua"/>
          <w:color w:val="000000"/>
          <w:u w:color="000000"/>
          <w:rtl w:val="0"/>
          <w:lang w:val="it-IT"/>
        </w:rPr>
        <w:t>intera sequenza di contatti intercettati]</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Il 2.10.13 interveniva un</w:t>
      </w:r>
      <w:r>
        <w:rPr>
          <w:rFonts w:hAnsi="Book Antiqua" w:hint="default"/>
          <w:color w:val="000000"/>
          <w:sz w:val="22"/>
          <w:szCs w:val="22"/>
          <w:u w:color="000000"/>
          <w:rtl w:val="0"/>
          <w:lang w:val="it-IT"/>
        </w:rPr>
        <w:t>’</w:t>
      </w:r>
      <w:r>
        <w:rPr>
          <w:rFonts w:ascii="Book Antiqua"/>
          <w:color w:val="000000"/>
          <w:sz w:val="22"/>
          <w:szCs w:val="22"/>
          <w:u w:color="000000"/>
          <w:rtl w:val="0"/>
          <w:lang w:val="it-IT"/>
        </w:rPr>
        <w:t>ordinanza dell'ordinanza di indifferibilit</w:t>
      </w:r>
      <w:r>
        <w:rPr>
          <w:rFonts w:hAnsi="Book Antiqua" w:hint="default"/>
          <w:color w:val="000000"/>
          <w:sz w:val="22"/>
          <w:szCs w:val="22"/>
          <w:u w:color="000000"/>
          <w:rtl w:val="0"/>
          <w:lang w:val="it-IT"/>
        </w:rPr>
        <w:t xml:space="preserve">à </w:t>
      </w:r>
      <w:r>
        <w:rPr>
          <w:rFonts w:ascii="Book Antiqua"/>
          <w:color w:val="000000"/>
          <w:sz w:val="22"/>
          <w:szCs w:val="22"/>
          <w:u w:color="000000"/>
          <w:rtl w:val="0"/>
          <w:lang w:val="it-IT"/>
        </w:rPr>
        <w:t>ed urgenza, n. 3911, che regolava l</w:t>
      </w:r>
      <w:r>
        <w:rPr>
          <w:rFonts w:hAnsi="Book Antiqua" w:hint="default"/>
          <w:color w:val="000000"/>
          <w:sz w:val="22"/>
          <w:szCs w:val="22"/>
          <w:u w:color="000000"/>
          <w:rtl w:val="0"/>
          <w:lang w:val="it-IT"/>
        </w:rPr>
        <w:t>’</w:t>
      </w:r>
      <w:r>
        <w:rPr>
          <w:rFonts w:ascii="Book Antiqua"/>
          <w:color w:val="000000"/>
          <w:sz w:val="22"/>
          <w:szCs w:val="22"/>
          <w:u w:color="000000"/>
          <w:rtl w:val="0"/>
          <w:lang w:val="it-IT"/>
        </w:rPr>
        <w:t>affidamento dei lavori.</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Il 17.02.2014, il comune di Sant</w:t>
      </w:r>
      <w:r>
        <w:rPr>
          <w:rFonts w:hAnsi="Book Antiqua" w:hint="default"/>
          <w:color w:val="000000"/>
          <w:sz w:val="22"/>
          <w:szCs w:val="22"/>
          <w:u w:color="000000"/>
          <w:rtl w:val="0"/>
          <w:lang w:val="it-IT"/>
        </w:rPr>
        <w:t>’</w:t>
      </w:r>
      <w:r>
        <w:rPr>
          <w:rFonts w:ascii="Book Antiqua"/>
          <w:color w:val="000000"/>
          <w:sz w:val="22"/>
          <w:szCs w:val="22"/>
          <w:u w:color="000000"/>
          <w:rtl w:val="0"/>
          <w:lang w:val="it-IT"/>
        </w:rPr>
        <w:t xml:space="preserve">Oreste pubblicava sul sito istituzionale il </w:t>
      </w:r>
      <w:r>
        <w:rPr>
          <w:rFonts w:hAnsi="Book Antiqua" w:hint="default"/>
          <w:color w:val="000000"/>
          <w:sz w:val="22"/>
          <w:szCs w:val="22"/>
          <w:u w:color="000000"/>
          <w:rtl w:val="0"/>
          <w:lang w:val="it-IT"/>
        </w:rPr>
        <w:t>“</w:t>
      </w:r>
      <w:r>
        <w:rPr>
          <w:rFonts w:ascii="Book Antiqua"/>
          <w:color w:val="000000"/>
          <w:sz w:val="22"/>
          <w:szCs w:val="22"/>
          <w:u w:color="000000"/>
          <w:rtl w:val="0"/>
          <w:lang w:val="it-IT"/>
        </w:rPr>
        <w:t>Bando di gara per l'affidamento dell</w:t>
      </w:r>
      <w:r>
        <w:rPr>
          <w:rFonts w:hAnsi="Book Antiqua" w:hint="default"/>
          <w:color w:val="000000"/>
          <w:sz w:val="22"/>
          <w:szCs w:val="22"/>
          <w:u w:color="000000"/>
          <w:rtl w:val="0"/>
          <w:lang w:val="it-IT"/>
        </w:rPr>
        <w:t>’</w:t>
      </w:r>
      <w:r>
        <w:rPr>
          <w:rFonts w:ascii="Book Antiqua"/>
          <w:color w:val="000000"/>
          <w:sz w:val="22"/>
          <w:szCs w:val="22"/>
          <w:u w:color="000000"/>
          <w:rtl w:val="0"/>
          <w:lang w:val="it-IT"/>
        </w:rPr>
        <w:t>appalto del servizio di igiene urbana, servizi vari accessori, e fornitura di attrezzature e materiali d'uso per la raccolta differenziata, mediante procedura aperta ai sensi dell'articolo 55, decreto legislativo 163/2006, con il criterio di aggiudicazione, ai sensi dell'articolo 83 del citato decreto, dell'offerta economicamente pi</w:t>
      </w:r>
      <w:r>
        <w:rPr>
          <w:rFonts w:hAnsi="Book Antiqua" w:hint="default"/>
          <w:color w:val="000000"/>
          <w:sz w:val="22"/>
          <w:szCs w:val="22"/>
          <w:u w:color="000000"/>
          <w:rtl w:val="0"/>
          <w:lang w:val="it-IT"/>
        </w:rPr>
        <w:t xml:space="preserve">ù </w:t>
      </w:r>
      <w:r>
        <w:rPr>
          <w:rFonts w:ascii="Book Antiqua"/>
          <w:color w:val="000000"/>
          <w:sz w:val="22"/>
          <w:szCs w:val="22"/>
          <w:u w:color="000000"/>
          <w:rtl w:val="0"/>
          <w:lang w:val="it-IT"/>
        </w:rPr>
        <w:t>vantaggiosa. CIG 5606888658</w:t>
      </w:r>
      <w:r>
        <w:rPr>
          <w:rFonts w:hAnsi="Book Antiqua" w:hint="default"/>
          <w:color w:val="000000"/>
          <w:sz w:val="22"/>
          <w:szCs w:val="22"/>
          <w:u w:color="000000"/>
          <w:rtl w:val="0"/>
          <w:lang w:val="it-IT"/>
        </w:rPr>
        <w:t>”</w:t>
      </w:r>
      <w:r>
        <w:rPr>
          <w:rFonts w:ascii="Book Antiqua"/>
          <w:color w:val="000000"/>
          <w:sz w:val="22"/>
          <w:szCs w:val="22"/>
          <w:u w:color="000000"/>
          <w:rtl w:val="0"/>
          <w:lang w:val="it-IT"/>
        </w:rPr>
        <w:t>, a firma del Responsabile del procedimento Arch. Marco PLACIDI. Nelle more per la predisposizione delle offerte, il giorno prima del termine finale che scadeva in data 8.4.14, intercorrevano conversazioni tra Buzzi e la Garrone dalle quali si evinceva che costoro erano al corrente delle offerte altrui.</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Nelle more dell</w:t>
      </w:r>
      <w:r>
        <w:rPr>
          <w:rFonts w:hAnsi="Book Antiqua" w:hint="default"/>
          <w:color w:val="000000"/>
          <w:sz w:val="22"/>
          <w:szCs w:val="22"/>
          <w:u w:color="000000"/>
          <w:rtl w:val="0"/>
          <w:lang w:val="it-IT"/>
        </w:rPr>
        <w:t>’</w:t>
      </w:r>
      <w:r>
        <w:rPr>
          <w:rFonts w:ascii="Book Antiqua"/>
          <w:color w:val="000000"/>
          <w:sz w:val="22"/>
          <w:szCs w:val="22"/>
          <w:u w:color="000000"/>
          <w:rtl w:val="0"/>
          <w:lang w:val="it-IT"/>
        </w:rPr>
        <w:t xml:space="preserve">aggiudicazione, si registravano una serie di incontri tra Buzzi e Placidi. Tra essi, particolarmente significativo </w:t>
      </w:r>
      <w:r>
        <w:rPr>
          <w:rFonts w:hAnsi="Book Antiqua" w:hint="default"/>
          <w:color w:val="000000"/>
          <w:sz w:val="22"/>
          <w:szCs w:val="22"/>
          <w:u w:color="000000"/>
          <w:rtl w:val="0"/>
          <w:lang w:val="it-IT"/>
        </w:rPr>
        <w:t xml:space="preserve">è </w:t>
      </w:r>
      <w:r>
        <w:rPr>
          <w:rFonts w:ascii="Book Antiqua"/>
          <w:color w:val="000000"/>
          <w:sz w:val="22"/>
          <w:szCs w:val="22"/>
          <w:u w:color="000000"/>
          <w:rtl w:val="0"/>
          <w:lang w:val="it-IT"/>
        </w:rPr>
        <w:t>quello del 22.4.14, nel quale interviene la consegna di 5000 euro, presso l</w:t>
      </w:r>
      <w:r>
        <w:rPr>
          <w:rFonts w:hAnsi="Book Antiqua" w:hint="default"/>
          <w:color w:val="000000"/>
          <w:sz w:val="22"/>
          <w:szCs w:val="22"/>
          <w:u w:color="000000"/>
          <w:rtl w:val="0"/>
          <w:lang w:val="it-IT"/>
        </w:rPr>
        <w:t>’</w:t>
      </w:r>
      <w:r>
        <w:rPr>
          <w:rFonts w:ascii="Book Antiqua"/>
          <w:color w:val="000000"/>
          <w:sz w:val="22"/>
          <w:szCs w:val="22"/>
          <w:u w:color="000000"/>
          <w:rtl w:val="0"/>
          <w:lang w:val="it-IT"/>
        </w:rPr>
        <w:t>agriturismo riconducibile alla moglie di Placidi, che, secondo la rappresentazione di Buzzi, costituisce la prosecuzione di altre erogazioni.</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Seguivano appuntamenti e incontri tra Buzzi e Placidi, fino alle conversazioni intercettate il 5 maggio 2014, dalle quali si evinceva che PLACIDI, dopo aver visionato le offerte per l</w:t>
      </w:r>
      <w:r>
        <w:rPr>
          <w:rFonts w:hAnsi="Book Antiqua" w:hint="default"/>
          <w:color w:val="000000"/>
          <w:sz w:val="22"/>
          <w:szCs w:val="22"/>
          <w:u w:color="000000"/>
          <w:rtl w:val="0"/>
          <w:lang w:val="it-IT"/>
        </w:rPr>
        <w:t>’</w:t>
      </w:r>
      <w:r>
        <w:rPr>
          <w:rFonts w:ascii="Book Antiqua"/>
          <w:color w:val="000000"/>
          <w:sz w:val="22"/>
          <w:szCs w:val="22"/>
          <w:u w:color="000000"/>
          <w:rtl w:val="0"/>
          <w:lang w:val="it-IT"/>
        </w:rPr>
        <w:t>appalto sui rifiuti, aveva comunicato a BUZZI i punteggi delle cooperative antagoniste, inducendo quest</w:t>
      </w:r>
      <w:r>
        <w:rPr>
          <w:rFonts w:hAnsi="Book Antiqua" w:hint="default"/>
          <w:color w:val="000000"/>
          <w:sz w:val="22"/>
          <w:szCs w:val="22"/>
          <w:u w:color="000000"/>
          <w:rtl w:val="0"/>
          <w:lang w:val="it-IT"/>
        </w:rPr>
        <w:t>’</w:t>
      </w:r>
      <w:r>
        <w:rPr>
          <w:rFonts w:ascii="Book Antiqua"/>
          <w:color w:val="000000"/>
          <w:sz w:val="22"/>
          <w:szCs w:val="22"/>
          <w:u w:color="000000"/>
          <w:rtl w:val="0"/>
          <w:lang w:val="it-IT"/>
        </w:rPr>
        <w:t>ultimo a decidere di modificare l</w:t>
      </w:r>
      <w:r>
        <w:rPr>
          <w:rFonts w:hAnsi="Book Antiqua" w:hint="default"/>
          <w:color w:val="000000"/>
          <w:sz w:val="22"/>
          <w:szCs w:val="22"/>
          <w:u w:color="000000"/>
          <w:rtl w:val="0"/>
          <w:lang w:val="it-IT"/>
        </w:rPr>
        <w:t>’</w:t>
      </w:r>
      <w:r>
        <w:rPr>
          <w:rFonts w:ascii="Book Antiqua"/>
          <w:color w:val="000000"/>
          <w:sz w:val="22"/>
          <w:szCs w:val="22"/>
          <w:u w:color="000000"/>
          <w:rtl w:val="0"/>
          <w:lang w:val="it-IT"/>
        </w:rPr>
        <w:t xml:space="preserve">offerta presentata di modo da proporne una </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Infatti: nel corso di una conversazione intercettata all</w:t>
      </w:r>
      <w:r>
        <w:rPr>
          <w:rFonts w:hAnsi="Book Antiqua" w:hint="default"/>
          <w:color w:val="000000"/>
          <w:sz w:val="22"/>
          <w:szCs w:val="22"/>
          <w:u w:color="000000"/>
          <w:rtl w:val="0"/>
          <w:lang w:val="it-IT"/>
        </w:rPr>
        <w:t>’</w:t>
      </w:r>
      <w:r>
        <w:rPr>
          <w:rFonts w:ascii="Book Antiqua"/>
          <w:color w:val="000000"/>
          <w:sz w:val="22"/>
          <w:szCs w:val="22"/>
          <w:u w:color="000000"/>
          <w:rtl w:val="0"/>
          <w:lang w:val="it-IT"/>
        </w:rPr>
        <w:t xml:space="preserve">interno degli uffici di via Pomona, BUZZI commentava con GUARANY: </w:t>
      </w:r>
      <w:r>
        <w:rPr>
          <w:rFonts w:hAnsi="Book Antiqua" w:hint="default"/>
          <w:color w:val="000000"/>
          <w:sz w:val="22"/>
          <w:szCs w:val="22"/>
          <w:u w:color="000000"/>
          <w:rtl w:val="0"/>
          <w:lang w:val="it-IT"/>
        </w:rPr>
        <w:t>“</w:t>
      </w:r>
      <w:r>
        <w:rPr>
          <w:rFonts w:ascii="Book Antiqua"/>
          <w:color w:val="000000"/>
          <w:sz w:val="22"/>
          <w:szCs w:val="22"/>
          <w:u w:color="000000"/>
          <w:rtl w:val="0"/>
          <w:lang w:val="it-IT"/>
        </w:rPr>
        <w:t>a Sant'Oreste ce devo anda</w:t>
      </w:r>
      <w:r>
        <w:rPr>
          <w:rFonts w:hAnsi="Book Antiqua" w:hint="default"/>
          <w:color w:val="000000"/>
          <w:sz w:val="22"/>
          <w:szCs w:val="22"/>
          <w:u w:color="000000"/>
          <w:rtl w:val="0"/>
          <w:lang w:val="it-IT"/>
        </w:rPr>
        <w:t xml:space="preserve">’ </w:t>
      </w:r>
      <w:r>
        <w:rPr>
          <w:rFonts w:ascii="Book Antiqua"/>
          <w:color w:val="000000"/>
          <w:sz w:val="22"/>
          <w:szCs w:val="22"/>
          <w:u w:color="000000"/>
          <w:rtl w:val="0"/>
          <w:lang w:val="it-IT"/>
        </w:rPr>
        <w:t>oggi! c'</w:t>
      </w:r>
      <w:r>
        <w:rPr>
          <w:rFonts w:hAnsi="Book Antiqua" w:hint="default"/>
          <w:color w:val="000000"/>
          <w:sz w:val="22"/>
          <w:szCs w:val="22"/>
          <w:u w:color="000000"/>
          <w:rtl w:val="0"/>
          <w:lang w:val="it-IT"/>
        </w:rPr>
        <w:t xml:space="preserve">è </w:t>
      </w:r>
      <w:r>
        <w:rPr>
          <w:rFonts w:ascii="Book Antiqua"/>
          <w:color w:val="000000"/>
          <w:sz w:val="22"/>
          <w:szCs w:val="22"/>
          <w:u w:color="000000"/>
          <w:rtl w:val="0"/>
          <w:lang w:val="it-IT"/>
        </w:rPr>
        <w:t>l'apertura della (inc)</w:t>
      </w:r>
      <w:r>
        <w:rPr>
          <w:rFonts w:hAnsi="Book Antiqua" w:hint="default"/>
          <w:color w:val="000000"/>
          <w:sz w:val="22"/>
          <w:szCs w:val="22"/>
          <w:u w:color="000000"/>
          <w:rtl w:val="0"/>
          <w:lang w:val="it-IT"/>
        </w:rPr>
        <w:t>” “</w:t>
      </w:r>
      <w:r>
        <w:rPr>
          <w:rFonts w:ascii="Book Antiqua"/>
          <w:color w:val="000000"/>
          <w:sz w:val="22"/>
          <w:szCs w:val="22"/>
          <w:u w:color="000000"/>
          <w:rtl w:val="0"/>
          <w:lang w:val="it-IT"/>
        </w:rPr>
        <w:t>eh ma oggi ce devo rianda</w:t>
      </w:r>
      <w:r>
        <w:rPr>
          <w:rFonts w:hAnsi="Book Antiqua" w:hint="default"/>
          <w:color w:val="000000"/>
          <w:sz w:val="22"/>
          <w:szCs w:val="22"/>
          <w:u w:color="000000"/>
          <w:rtl w:val="0"/>
          <w:lang w:val="it-IT"/>
        </w:rPr>
        <w:t xml:space="preserve">’ </w:t>
      </w:r>
      <w:r>
        <w:rPr>
          <w:rFonts w:ascii="Book Antiqua"/>
          <w:color w:val="000000"/>
          <w:sz w:val="22"/>
          <w:szCs w:val="22"/>
          <w:u w:color="000000"/>
          <w:rtl w:val="0"/>
          <w:lang w:val="it-IT"/>
        </w:rPr>
        <w:t>per capire i punteggi no che (inc)</w:t>
      </w:r>
      <w:r>
        <w:rPr>
          <w:rFonts w:hAnsi="Book Antiqua" w:hint="default"/>
          <w:color w:val="000000"/>
          <w:sz w:val="22"/>
          <w:szCs w:val="22"/>
          <w:u w:color="000000"/>
          <w:rtl w:val="0"/>
          <w:lang w:val="it-IT"/>
        </w:rPr>
        <w:t>”</w:t>
      </w:r>
      <w:r>
        <w:rPr>
          <w:rFonts w:ascii="Book Antiqua"/>
          <w:color w:val="000000"/>
          <w:sz w:val="22"/>
          <w:szCs w:val="22"/>
          <w:u w:color="000000"/>
          <w:rtl w:val="0"/>
          <w:lang w:val="it-IT"/>
        </w:rPr>
        <w:t>. Difatti, alle 14:10, BUZZI fissava un appuntamento con Marco PLACIDI per le quattro/quattro e mezza. Alle 17:43, sempre negli uffici di via Pomona, Salvatore BUZZI riferiva ad Alessandra GARRONE e Raniero LUCCI che avrebbero perso la gara di Sant</w:t>
      </w:r>
      <w:r>
        <w:rPr>
          <w:rFonts w:hAnsi="Book Antiqua" w:hint="default"/>
          <w:color w:val="000000"/>
          <w:sz w:val="22"/>
          <w:szCs w:val="22"/>
          <w:u w:color="000000"/>
          <w:rtl w:val="0"/>
          <w:lang w:val="it-IT"/>
        </w:rPr>
        <w:t>’</w:t>
      </w:r>
      <w:r>
        <w:rPr>
          <w:rFonts w:ascii="Book Antiqua"/>
          <w:color w:val="000000"/>
          <w:sz w:val="22"/>
          <w:szCs w:val="22"/>
          <w:u w:color="000000"/>
          <w:rtl w:val="0"/>
          <w:lang w:val="it-IT"/>
        </w:rPr>
        <w:t>Oreste (</w:t>
      </w:r>
      <w:r>
        <w:rPr>
          <w:rFonts w:hAnsi="Book Antiqua" w:hint="default"/>
          <w:color w:val="000000"/>
          <w:sz w:val="22"/>
          <w:szCs w:val="22"/>
          <w:u w:color="000000"/>
          <w:rtl w:val="0"/>
          <w:lang w:val="it-IT"/>
        </w:rPr>
        <w:t>“</w:t>
      </w:r>
      <w:r>
        <w:rPr>
          <w:rFonts w:ascii="Book Antiqua"/>
          <w:color w:val="000000"/>
          <w:sz w:val="22"/>
          <w:szCs w:val="22"/>
          <w:u w:color="000000"/>
          <w:rtl w:val="0"/>
          <w:lang w:val="it-IT"/>
        </w:rPr>
        <w:t>Sant</w:t>
      </w:r>
      <w:r>
        <w:rPr>
          <w:rFonts w:hAnsi="Book Antiqua" w:hint="default"/>
          <w:color w:val="000000"/>
          <w:sz w:val="22"/>
          <w:szCs w:val="22"/>
          <w:u w:color="000000"/>
          <w:rtl w:val="0"/>
          <w:lang w:val="it-IT"/>
        </w:rPr>
        <w:t>’</w:t>
      </w:r>
      <w:r>
        <w:rPr>
          <w:rFonts w:ascii="Book Antiqua"/>
          <w:color w:val="000000"/>
          <w:sz w:val="22"/>
          <w:szCs w:val="22"/>
          <w:u w:color="000000"/>
          <w:rtl w:val="0"/>
          <w:lang w:val="it-IT"/>
        </w:rPr>
        <w:t>Oreste la perdiamo eh!</w:t>
      </w:r>
      <w:r>
        <w:rPr>
          <w:rFonts w:hAnsi="Book Antiqua" w:hint="default"/>
          <w:color w:val="000000"/>
          <w:sz w:val="22"/>
          <w:szCs w:val="22"/>
          <w:u w:color="000000"/>
          <w:rtl w:val="0"/>
          <w:lang w:val="it-IT"/>
        </w:rPr>
        <w:t>”</w:t>
      </w:r>
      <w:r>
        <w:rPr>
          <w:rFonts w:ascii="Book Antiqua"/>
          <w:color w:val="000000"/>
          <w:sz w:val="22"/>
          <w:szCs w:val="22"/>
          <w:u w:color="000000"/>
          <w:rtl w:val="0"/>
          <w:lang w:val="it-IT"/>
        </w:rPr>
        <w:t>, ndr) poich</w:t>
      </w:r>
      <w:r>
        <w:rPr>
          <w:rFonts w:hAnsi="Book Antiqua" w:hint="default"/>
          <w:color w:val="000000"/>
          <w:sz w:val="22"/>
          <w:szCs w:val="22"/>
          <w:u w:color="000000"/>
          <w:rtl w:val="0"/>
          <w:lang w:val="it-IT"/>
        </w:rPr>
        <w:t>é</w:t>
      </w:r>
      <w:r>
        <w:rPr>
          <w:rFonts w:ascii="Book Antiqua"/>
          <w:color w:val="000000"/>
          <w:sz w:val="22"/>
          <w:szCs w:val="22"/>
          <w:u w:color="000000"/>
          <w:rtl w:val="0"/>
          <w:lang w:val="it-IT"/>
        </w:rPr>
        <w:t>, asseritamente in base a quanto comunicatogli da PLACIDI nell</w:t>
      </w:r>
      <w:r>
        <w:rPr>
          <w:rFonts w:hAnsi="Book Antiqua" w:hint="default"/>
          <w:color w:val="000000"/>
          <w:sz w:val="22"/>
          <w:szCs w:val="22"/>
          <w:u w:color="000000"/>
          <w:rtl w:val="0"/>
          <w:lang w:val="it-IT"/>
        </w:rPr>
        <w:t>’</w:t>
      </w:r>
      <w:r>
        <w:rPr>
          <w:rFonts w:ascii="Book Antiqua"/>
          <w:color w:val="000000"/>
          <w:sz w:val="22"/>
          <w:szCs w:val="22"/>
          <w:u w:color="000000"/>
          <w:rtl w:val="0"/>
          <w:lang w:val="it-IT"/>
        </w:rPr>
        <w:t>incontro appena concluso, gli altri partecipanti avevano presentato delle offerte migliori. Di conseguenza, BUZZI disponeva di modificare l</w:t>
      </w:r>
      <w:r>
        <w:rPr>
          <w:rFonts w:hAnsi="Book Antiqua" w:hint="default"/>
          <w:color w:val="000000"/>
          <w:sz w:val="22"/>
          <w:szCs w:val="22"/>
          <w:u w:color="000000"/>
          <w:rtl w:val="0"/>
          <w:lang w:val="it-IT"/>
        </w:rPr>
        <w:t>’</w:t>
      </w:r>
      <w:r>
        <w:rPr>
          <w:rFonts w:ascii="Book Antiqua"/>
          <w:color w:val="000000"/>
          <w:sz w:val="22"/>
          <w:szCs w:val="22"/>
          <w:u w:color="000000"/>
          <w:rtl w:val="0"/>
          <w:lang w:val="it-IT"/>
        </w:rPr>
        <w:t>offerta, gi</w:t>
      </w:r>
      <w:r>
        <w:rPr>
          <w:rFonts w:hAnsi="Book Antiqua" w:hint="default"/>
          <w:color w:val="000000"/>
          <w:sz w:val="22"/>
          <w:szCs w:val="22"/>
          <w:u w:color="000000"/>
          <w:rtl w:val="0"/>
          <w:lang w:val="it-IT"/>
        </w:rPr>
        <w:t xml:space="preserve">à </w:t>
      </w:r>
      <w:r>
        <w:rPr>
          <w:rFonts w:ascii="Book Antiqua"/>
          <w:color w:val="000000"/>
          <w:sz w:val="22"/>
          <w:szCs w:val="22"/>
          <w:u w:color="000000"/>
          <w:rtl w:val="0"/>
          <w:lang w:val="it-IT"/>
        </w:rPr>
        <w:t>depositata, in favore di una che presentasse le caratteristiche maggiormente favorevoli, precisando, infine, che tutto ci</w:t>
      </w:r>
      <w:r>
        <w:rPr>
          <w:rFonts w:hAnsi="Book Antiqua" w:hint="default"/>
          <w:color w:val="000000"/>
          <w:sz w:val="22"/>
          <w:szCs w:val="22"/>
          <w:u w:color="000000"/>
          <w:rtl w:val="0"/>
          <w:lang w:val="it-IT"/>
        </w:rPr>
        <w:t xml:space="preserve">ò </w:t>
      </w:r>
      <w:r>
        <w:rPr>
          <w:rFonts w:ascii="Book Antiqua"/>
          <w:color w:val="000000"/>
          <w:sz w:val="22"/>
          <w:szCs w:val="22"/>
          <w:u w:color="000000"/>
          <w:rtl w:val="0"/>
          <w:lang w:val="it-IT"/>
        </w:rPr>
        <w:t>che avevano ipotizzato, ovvero l</w:t>
      </w:r>
      <w:r>
        <w:rPr>
          <w:rFonts w:hAnsi="Book Antiqua" w:hint="default"/>
          <w:color w:val="000000"/>
          <w:sz w:val="22"/>
          <w:szCs w:val="22"/>
          <w:u w:color="000000"/>
          <w:rtl w:val="0"/>
          <w:lang w:val="it-IT"/>
        </w:rPr>
        <w:t>’</w:t>
      </w:r>
      <w:r>
        <w:rPr>
          <w:rFonts w:ascii="Book Antiqua"/>
          <w:color w:val="000000"/>
          <w:sz w:val="22"/>
          <w:szCs w:val="22"/>
          <w:u w:color="000000"/>
          <w:rtl w:val="0"/>
          <w:lang w:val="it-IT"/>
        </w:rPr>
        <w:t>apertura delle buste e la successiva sostituzione dell</w:t>
      </w:r>
      <w:r>
        <w:rPr>
          <w:rFonts w:hAnsi="Book Antiqua" w:hint="default"/>
          <w:color w:val="000000"/>
          <w:sz w:val="22"/>
          <w:szCs w:val="22"/>
          <w:u w:color="000000"/>
          <w:rtl w:val="0"/>
          <w:lang w:val="it-IT"/>
        </w:rPr>
        <w:t>’</w:t>
      </w:r>
      <w:r>
        <w:rPr>
          <w:rFonts w:ascii="Book Antiqua"/>
          <w:color w:val="000000"/>
          <w:sz w:val="22"/>
          <w:szCs w:val="22"/>
          <w:u w:color="000000"/>
          <w:rtl w:val="0"/>
          <w:lang w:val="it-IT"/>
        </w:rPr>
        <w:t xml:space="preserve">offerta, sarebbe dipeso da una terza persona, ovvero Marco PLACIDI. </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[p. 762]</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dalle conversazioni intercettate in data 5.5.2014, si evince che il PLACIDI, dopo aver visionato le offerte per l</w:t>
      </w:r>
      <w:r>
        <w:rPr>
          <w:rFonts w:hAnsi="Book Antiqua" w:hint="default"/>
          <w:color w:val="000000"/>
          <w:sz w:val="22"/>
          <w:szCs w:val="22"/>
          <w:u w:color="000000"/>
          <w:rtl w:val="0"/>
          <w:lang w:val="it-IT"/>
        </w:rPr>
        <w:t>’</w:t>
      </w:r>
      <w:r>
        <w:rPr>
          <w:rFonts w:ascii="Book Antiqua"/>
          <w:color w:val="000000"/>
          <w:sz w:val="22"/>
          <w:szCs w:val="22"/>
          <w:u w:color="000000"/>
          <w:rtl w:val="0"/>
          <w:lang w:val="it-IT"/>
        </w:rPr>
        <w:t>appalto sui rifiuti, aveva comunicato al BUZZI i punteggi delle cooperative antagoniste, inducendo quest'ultimo a decidere di modificare l</w:t>
      </w:r>
      <w:r>
        <w:rPr>
          <w:rFonts w:hAnsi="Book Antiqua" w:hint="default"/>
          <w:color w:val="000000"/>
          <w:sz w:val="22"/>
          <w:szCs w:val="22"/>
          <w:u w:color="000000"/>
          <w:rtl w:val="0"/>
          <w:lang w:val="it-IT"/>
        </w:rPr>
        <w:t>’</w:t>
      </w:r>
      <w:r>
        <w:rPr>
          <w:rFonts w:ascii="Book Antiqua"/>
          <w:color w:val="000000"/>
          <w:sz w:val="22"/>
          <w:szCs w:val="22"/>
          <w:u w:color="000000"/>
          <w:rtl w:val="0"/>
          <w:lang w:val="it-IT"/>
        </w:rPr>
        <w:t>offerta presentata e proporne una vincente e il prevenuto comunicava ci</w:t>
      </w:r>
      <w:r>
        <w:rPr>
          <w:rFonts w:hAnsi="Book Antiqua" w:hint="default"/>
          <w:color w:val="000000"/>
          <w:sz w:val="22"/>
          <w:szCs w:val="22"/>
          <w:u w:color="000000"/>
          <w:rtl w:val="0"/>
          <w:lang w:val="it-IT"/>
        </w:rPr>
        <w:t xml:space="preserve">ò </w:t>
      </w:r>
      <w:r>
        <w:rPr>
          <w:rFonts w:ascii="Book Antiqua"/>
          <w:color w:val="000000"/>
          <w:sz w:val="22"/>
          <w:szCs w:val="22"/>
          <w:u w:color="000000"/>
          <w:rtl w:val="0"/>
          <w:lang w:val="it-IT"/>
        </w:rPr>
        <w:t>al LUCCI ed alla GARRONE; i predetti si mettevano d</w:t>
      </w:r>
      <w:r>
        <w:rPr>
          <w:rFonts w:hAnsi="Book Antiqua" w:hint="default"/>
          <w:color w:val="000000"/>
          <w:sz w:val="22"/>
          <w:szCs w:val="22"/>
          <w:u w:color="000000"/>
          <w:rtl w:val="0"/>
          <w:lang w:val="it-IT"/>
        </w:rPr>
        <w:t>’</w:t>
      </w:r>
      <w:r>
        <w:rPr>
          <w:rFonts w:ascii="Book Antiqua"/>
          <w:color w:val="000000"/>
          <w:sz w:val="22"/>
          <w:szCs w:val="22"/>
          <w:u w:color="000000"/>
          <w:rtl w:val="0"/>
          <w:lang w:val="it-IT"/>
        </w:rPr>
        <w:t>accordo per aprire la busta dell</w:t>
      </w:r>
      <w:r>
        <w:rPr>
          <w:rFonts w:hAnsi="Book Antiqua" w:hint="default"/>
          <w:color w:val="000000"/>
          <w:sz w:val="22"/>
          <w:szCs w:val="22"/>
          <w:u w:color="000000"/>
          <w:rtl w:val="0"/>
          <w:lang w:val="it-IT"/>
        </w:rPr>
        <w:t>’</w:t>
      </w:r>
      <w:r>
        <w:rPr>
          <w:rFonts w:ascii="Book Antiqua"/>
          <w:color w:val="000000"/>
          <w:sz w:val="22"/>
          <w:szCs w:val="22"/>
          <w:u w:color="000000"/>
          <w:rtl w:val="0"/>
          <w:lang w:val="it-IT"/>
        </w:rPr>
        <w:t>offerta e sostituirla con quella modificata e come emerge dalle intercettazioni telefoniche [eseguite tra il 17 aprile e il 12 maggio 2014] gli stessi hanno cos</w:t>
      </w:r>
      <w:r>
        <w:rPr>
          <w:rFonts w:hAnsi="Book Antiqua" w:hint="default"/>
          <w:color w:val="000000"/>
          <w:sz w:val="22"/>
          <w:szCs w:val="22"/>
          <w:u w:color="000000"/>
          <w:rtl w:val="0"/>
          <w:lang w:val="it-IT"/>
        </w:rPr>
        <w:t xml:space="preserve">ì </w:t>
      </w:r>
      <w:r>
        <w:rPr>
          <w:rFonts w:ascii="Book Antiqua"/>
          <w:color w:val="000000"/>
          <w:sz w:val="22"/>
          <w:szCs w:val="22"/>
          <w:u w:color="000000"/>
          <w:rtl w:val="0"/>
          <w:lang w:val="it-IT"/>
        </w:rPr>
        <w:t xml:space="preserve">sostituito le offerte originariamente presentate con altre redatte ad hoc materialmente dalla GARRONE, in accordo con GUARANY e BUGITTI; il 12.5.2014, la GARRONE si accordava con il BUZZI, che aveva sentito il PLACIDI, di recarsi con il LUCCI il giorno successivo all'apertura delle buste, come risulta essere avvenuto dall'sms del 13.5.2014, (RIT 7629/13 progr. 17518) e nel successivo sms, Alessandra GARRONE scriveva a Claudio BOLLA, Claudio CALDARELLI, Emanuela BUGITTI, Carlo GUARANY e Paolo DI NINNO: </w:t>
      </w:r>
      <w:r>
        <w:rPr>
          <w:rFonts w:hAnsi="Book Antiqua" w:hint="default"/>
          <w:color w:val="000000"/>
          <w:sz w:val="22"/>
          <w:szCs w:val="22"/>
          <w:u w:color="000000"/>
          <w:rtl w:val="0"/>
          <w:lang w:val="it-IT"/>
        </w:rPr>
        <w:t>”</w:t>
      </w:r>
      <w:r>
        <w:rPr>
          <w:rFonts w:ascii="Book Antiqua"/>
          <w:color w:val="000000"/>
          <w:sz w:val="22"/>
          <w:szCs w:val="22"/>
          <w:u w:color="000000"/>
          <w:rtl w:val="0"/>
          <w:lang w:val="it-IT"/>
        </w:rPr>
        <w:t>Risultati sant'Oreste: abbiamo vintooooooo!!!!!</w:t>
      </w:r>
      <w:r>
        <w:rPr>
          <w:rFonts w:hAnsi="Book Antiqua" w:hint="default"/>
          <w:color w:val="000000"/>
          <w:sz w:val="22"/>
          <w:szCs w:val="22"/>
          <w:u w:color="000000"/>
          <w:rtl w:val="0"/>
          <w:lang w:val="it-IT"/>
        </w:rPr>
        <w:t>”</w:t>
      </w:r>
      <w:r>
        <w:rPr>
          <w:rFonts w:ascii="Book Antiqua"/>
          <w:color w:val="000000"/>
          <w:sz w:val="22"/>
          <w:szCs w:val="22"/>
          <w:u w:color="000000"/>
          <w:rtl w:val="0"/>
          <w:lang w:val="it-IT"/>
        </w:rPr>
        <w:t>;</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rPr>
          <w:rFonts w:ascii="Book Antiqua" w:cs="Book Antiqua" w:hAnsi="Book Antiqua" w:eastAsia="Book Antiqua"/>
          <w:color w:val="000000"/>
          <w:sz w:val="22"/>
          <w:szCs w:val="22"/>
          <w:u w:color="000000"/>
        </w:rPr>
      </w:pP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[p. 603]</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[Si segnala l</w:t>
      </w:r>
      <w:r>
        <w:rPr>
          <w:rFonts w:hAnsi="Book Antiqua" w:hint="default"/>
          <w:color w:val="000000"/>
          <w:u w:color="000000"/>
          <w:rtl w:val="0"/>
          <w:lang w:val="it-IT"/>
        </w:rPr>
        <w:t>’</w:t>
      </w:r>
      <w:r>
        <w:rPr>
          <w:rFonts w:ascii="Book Antiqua"/>
          <w:color w:val="000000"/>
          <w:u w:color="000000"/>
          <w:rtl w:val="0"/>
          <w:lang w:val="it-IT"/>
        </w:rPr>
        <w:t>intercettazione ambientale all</w:t>
      </w:r>
      <w:r>
        <w:rPr>
          <w:rFonts w:hAnsi="Book Antiqua" w:hint="default"/>
          <w:color w:val="000000"/>
          <w:u w:color="000000"/>
          <w:rtl w:val="0"/>
          <w:lang w:val="it-IT"/>
        </w:rPr>
        <w:t>’</w:t>
      </w:r>
      <w:r>
        <w:rPr>
          <w:rFonts w:ascii="Book Antiqua"/>
          <w:color w:val="000000"/>
          <w:u w:color="000000"/>
          <w:rtl w:val="0"/>
          <w:lang w:val="it-IT"/>
        </w:rPr>
        <w:t>interno di ufficio di Buzzi, presso la Cooperativa 29 Giugno, (progressivo n. 4200 ore 10.00 del 5 maggio 2014) tra i presenti: Salvatore BUZZI, Massimo CARMINATI, Carlo GUARANY, Claudio BOLLA, Claudio CALDARELLI, Fabrizio TESTA, che contiene riferimenti generici a: verde del comune di Roma, verde del Bioparco, affare di rilevanza della regione Lazio del valore di sessanta milioni di euro, affare di rilevanza del comune di Roma del valore di un milione duecentomila euro]</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[p. 674]</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[Si segnala l</w:t>
      </w:r>
      <w:r>
        <w:rPr>
          <w:rFonts w:hAnsi="Book Antiqua" w:hint="default"/>
          <w:color w:val="000000"/>
          <w:u w:color="000000"/>
          <w:rtl w:val="0"/>
          <w:lang w:val="it-IT"/>
        </w:rPr>
        <w:t>’</w:t>
      </w:r>
      <w:r>
        <w:rPr>
          <w:rFonts w:ascii="Book Antiqua"/>
          <w:color w:val="000000"/>
          <w:u w:color="000000"/>
          <w:rtl w:val="0"/>
          <w:lang w:val="it-IT"/>
        </w:rPr>
        <w:t>intercettazione ambientale del 21.08.2013, a partire dalle 12:16, a bordo dell</w:t>
      </w:r>
      <w:r>
        <w:rPr>
          <w:rFonts w:hAnsi="Book Antiqua" w:hint="default"/>
          <w:color w:val="000000"/>
          <w:u w:color="000000"/>
          <w:rtl w:val="0"/>
          <w:lang w:val="it-IT"/>
        </w:rPr>
        <w:t>’</w:t>
      </w:r>
      <w:r>
        <w:rPr>
          <w:rFonts w:ascii="Book Antiqua"/>
          <w:color w:val="000000"/>
          <w:u w:color="000000"/>
          <w:rtl w:val="0"/>
          <w:lang w:val="it-IT"/>
        </w:rPr>
        <w:t xml:space="preserve">autovettura AUDI Q5 targata EM442HN, tra Salvatore BUZZI e Alessandra GARRONE; le rivela di elargire somme mensili a Carlo Pucci e fa riferimento a </w:t>
      </w:r>
      <w:r>
        <w:rPr>
          <w:rFonts w:hAnsi="Book Antiqua" w:hint="default"/>
          <w:color w:val="000000"/>
          <w:u w:color="000000"/>
          <w:rtl w:val="0"/>
          <w:lang w:val="it-IT"/>
        </w:rPr>
        <w:t>“</w:t>
      </w:r>
      <w:r>
        <w:rPr>
          <w:rFonts w:ascii="Book Antiqua"/>
          <w:color w:val="000000"/>
          <w:u w:color="000000"/>
          <w:rtl w:val="0"/>
          <w:lang w:val="it-IT"/>
        </w:rPr>
        <w:t>quella botta di culo co</w:t>
      </w:r>
      <w:r>
        <w:rPr>
          <w:rFonts w:hAnsi="Book Antiqua" w:hint="default"/>
          <w:color w:val="000000"/>
          <w:u w:color="000000"/>
          <w:rtl w:val="0"/>
          <w:lang w:val="it-IT"/>
        </w:rPr>
        <w:t xml:space="preserve">’ </w:t>
      </w:r>
      <w:r>
        <w:rPr>
          <w:rFonts w:ascii="Book Antiqua"/>
          <w:color w:val="000000"/>
          <w:u w:color="000000"/>
          <w:rtl w:val="0"/>
          <w:lang w:val="it-IT"/>
        </w:rPr>
        <w:t>PANZIRONI</w:t>
      </w:r>
      <w:r>
        <w:rPr>
          <w:rFonts w:hAnsi="Book Antiqua" w:hint="default"/>
          <w:color w:val="000000"/>
          <w:u w:color="000000"/>
          <w:rtl w:val="0"/>
          <w:lang w:val="it-IT"/>
        </w:rPr>
        <w:t xml:space="preserve">” </w:t>
      </w:r>
      <w:r>
        <w:rPr>
          <w:rFonts w:ascii="Book Antiqua"/>
          <w:color w:val="000000"/>
          <w:u w:color="000000"/>
          <w:rtl w:val="0"/>
          <w:lang w:val="it-IT"/>
        </w:rPr>
        <w:t xml:space="preserve">e a una somma di centodiecimila euro </w:t>
      </w:r>
      <w:r>
        <w:rPr>
          <w:rFonts w:hAnsi="Book Antiqua" w:hint="default"/>
          <w:color w:val="000000"/>
          <w:u w:color="000000"/>
          <w:rtl w:val="0"/>
          <w:lang w:val="it-IT"/>
        </w:rPr>
        <w:t>“</w:t>
      </w:r>
      <w:r>
        <w:rPr>
          <w:rFonts w:ascii="Book Antiqua"/>
          <w:color w:val="000000"/>
          <w:u w:color="000000"/>
          <w:rtl w:val="0"/>
          <w:lang w:val="it-IT"/>
        </w:rPr>
        <w:t>per Formula Ambiente</w:t>
      </w:r>
      <w:r>
        <w:rPr>
          <w:rFonts w:hAnsi="Book Antiqua" w:hint="default"/>
          <w:color w:val="000000"/>
          <w:u w:color="000000"/>
          <w:rtl w:val="0"/>
          <w:lang w:val="it-IT"/>
        </w:rPr>
        <w:t>”</w:t>
      </w:r>
      <w:r>
        <w:rPr>
          <w:rFonts w:ascii="Book Antiqua"/>
          <w:color w:val="000000"/>
          <w:u w:color="000000"/>
          <w:rtl w:val="0"/>
          <w:lang w:val="it-IT"/>
        </w:rPr>
        <w:t>]</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rPr>
          <w:rFonts w:ascii="Book Antiqua" w:cs="Book Antiqua" w:hAnsi="Book Antiqua" w:eastAsia="Book Antiqua"/>
          <w:color w:val="000000"/>
          <w:sz w:val="22"/>
          <w:szCs w:val="22"/>
          <w:u w:color="000000"/>
        </w:rPr>
      </w:pP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[p. 685]</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[flussi finanziari illeciti]</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La ricostruzione dei circuiti societari, economici e finanziari coinvolti nella vicenda, sostanzialmente amministrate da Buzzi, rivela una struttura che si fonda su alcune unit</w:t>
      </w:r>
      <w:r>
        <w:rPr>
          <w:rFonts w:hAnsi="Book Antiqua" w:hint="default"/>
          <w:color w:val="000000"/>
          <w:sz w:val="22"/>
          <w:szCs w:val="22"/>
          <w:u w:color="000000"/>
          <w:rtl w:val="0"/>
          <w:lang w:val="it-IT"/>
        </w:rPr>
        <w:t xml:space="preserve">à </w:t>
      </w:r>
      <w:r>
        <w:rPr>
          <w:rFonts w:ascii="Book Antiqua"/>
          <w:color w:val="000000"/>
          <w:sz w:val="22"/>
          <w:szCs w:val="22"/>
          <w:u w:color="000000"/>
          <w:rtl w:val="0"/>
          <w:lang w:val="it-IT"/>
        </w:rPr>
        <w:t>di base [A] titolari di partecipazioni ad altre cooperative e societ</w:t>
      </w:r>
      <w:r>
        <w:rPr>
          <w:rFonts w:hAnsi="Book Antiqua" w:hint="default"/>
          <w:color w:val="000000"/>
          <w:sz w:val="22"/>
          <w:szCs w:val="22"/>
          <w:u w:color="000000"/>
          <w:rtl w:val="0"/>
          <w:lang w:val="it-IT"/>
        </w:rPr>
        <w:t xml:space="preserve">à </w:t>
      </w:r>
      <w:r>
        <w:rPr>
          <w:rFonts w:ascii="Book Antiqua"/>
          <w:color w:val="000000"/>
          <w:sz w:val="22"/>
          <w:szCs w:val="22"/>
          <w:u w:color="000000"/>
          <w:rtl w:val="0"/>
          <w:lang w:val="it-IT"/>
        </w:rPr>
        <w:t>e aderenti, direttamente o indirettamente, a consorzi di cooperative [B]:</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[A]</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Societ</w:t>
      </w:r>
      <w:r>
        <w:rPr>
          <w:rFonts w:hAnsi="Book Antiqua" w:hint="default"/>
          <w:color w:val="000000"/>
          <w:sz w:val="22"/>
          <w:szCs w:val="22"/>
          <w:u w:color="000000"/>
          <w:rtl w:val="0"/>
          <w:lang w:val="it-IT"/>
        </w:rPr>
        <w:t xml:space="preserve">à </w:t>
      </w:r>
      <w:r>
        <w:rPr>
          <w:rFonts w:ascii="Book Antiqua"/>
          <w:color w:val="000000"/>
          <w:sz w:val="22"/>
          <w:szCs w:val="22"/>
          <w:u w:color="000000"/>
          <w:rtl w:val="0"/>
          <w:lang w:val="it-IT"/>
        </w:rPr>
        <w:t xml:space="preserve">29 Giugno Cooperativa Sociale - Onlus a r.l. (cf: 07066980587); </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29 Giugno Servizi Societ</w:t>
      </w:r>
      <w:r>
        <w:rPr>
          <w:rFonts w:hAnsi="Book Antiqua" w:hint="default"/>
          <w:color w:val="000000"/>
          <w:sz w:val="22"/>
          <w:szCs w:val="22"/>
          <w:u w:color="000000"/>
          <w:rtl w:val="0"/>
          <w:lang w:val="it-IT"/>
        </w:rPr>
        <w:t xml:space="preserve">à </w:t>
      </w:r>
      <w:r>
        <w:rPr>
          <w:rFonts w:ascii="Book Antiqua"/>
          <w:color w:val="000000"/>
          <w:sz w:val="22"/>
          <w:szCs w:val="22"/>
          <w:u w:color="000000"/>
          <w:rtl w:val="0"/>
          <w:lang w:val="it-IT"/>
        </w:rPr>
        <w:t xml:space="preserve">Coop. di Produzione e Lavoro (cf: 09229351003); </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Formula Sociale Societ</w:t>
      </w:r>
      <w:r>
        <w:rPr>
          <w:rFonts w:hAnsi="Book Antiqua" w:hint="default"/>
          <w:color w:val="000000"/>
          <w:sz w:val="22"/>
          <w:szCs w:val="22"/>
          <w:u w:color="000000"/>
          <w:rtl w:val="0"/>
          <w:lang w:val="it-IT"/>
        </w:rPr>
        <w:t xml:space="preserve">à </w:t>
      </w:r>
      <w:r>
        <w:rPr>
          <w:rFonts w:ascii="Book Antiqua"/>
          <w:color w:val="000000"/>
          <w:sz w:val="22"/>
          <w:szCs w:val="22"/>
          <w:u w:color="000000"/>
          <w:rtl w:val="0"/>
          <w:lang w:val="it-IT"/>
        </w:rPr>
        <w:t xml:space="preserve">Coop. Sociale a r.l. Onlus (cf: 05901401009); </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 xml:space="preserve">Eriches 29 Consorzio di Cooperative Sociali a r.l. (cf: 07704421002); </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 xml:space="preserve">CRD Immobiliare S.r.l. (cf: 10154931009); </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 xml:space="preserve">Sarim Immobiliare S.r.l. (cf: 07599771008); </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lang w:val="en-US"/>
        </w:rPr>
      </w:pPr>
      <w:r>
        <w:rPr>
          <w:rFonts w:ascii="Book Antiqua"/>
          <w:color w:val="000000"/>
          <w:sz w:val="22"/>
          <w:szCs w:val="22"/>
          <w:u w:color="000000"/>
          <w:rtl w:val="0"/>
          <w:lang w:val="en-US"/>
        </w:rPr>
        <w:t xml:space="preserve">Crisalide S.r.l. (cf: 09653281007); Coop. </w:t>
      </w:r>
      <w:r>
        <w:rPr>
          <w:rFonts w:ascii="Book Antiqua"/>
          <w:color w:val="000000"/>
          <w:sz w:val="22"/>
          <w:szCs w:val="22"/>
          <w:u w:color="000000"/>
          <w:rtl w:val="0"/>
          <w:lang w:val="en-US"/>
        </w:rPr>
        <w:t xml:space="preserve">Sociale ABC SOS a r.l. (cf: 04867410583); </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lang w:val="en-US"/>
        </w:rPr>
      </w:pPr>
      <w:r>
        <w:rPr>
          <w:rFonts w:ascii="Book Antiqua"/>
          <w:color w:val="000000"/>
          <w:sz w:val="22"/>
          <w:szCs w:val="22"/>
          <w:u w:color="000000"/>
          <w:rtl w:val="0"/>
          <w:lang w:val="en-US"/>
        </w:rPr>
        <w:t>29 Energy Green S.r.l. (cf: 12449511000);</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50 per cento della societ</w:t>
      </w:r>
      <w:r>
        <w:rPr>
          <w:rFonts w:hAnsi="Book Antiqua" w:hint="default"/>
          <w:color w:val="000000"/>
          <w:sz w:val="22"/>
          <w:szCs w:val="22"/>
          <w:u w:color="000000"/>
          <w:rtl w:val="0"/>
          <w:lang w:val="it-IT"/>
        </w:rPr>
        <w:t xml:space="preserve">à </w:t>
      </w:r>
      <w:r>
        <w:rPr>
          <w:rFonts w:ascii="Book Antiqua"/>
          <w:color w:val="000000"/>
          <w:sz w:val="22"/>
          <w:szCs w:val="22"/>
          <w:u w:color="000000"/>
          <w:rtl w:val="0"/>
          <w:lang w:val="it-IT"/>
        </w:rPr>
        <w:t>SI.AL. Service S.r.l. (cf: 08562601008);</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 xml:space="preserve"> 35 per cento della Rogest S.r.l. (cf: 02340350608);</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A.B.C. Societ</w:t>
      </w:r>
      <w:r>
        <w:rPr>
          <w:rFonts w:hAnsi="Book Antiqua" w:hint="default"/>
          <w:color w:val="000000"/>
          <w:sz w:val="22"/>
          <w:szCs w:val="22"/>
          <w:u w:color="000000"/>
          <w:rtl w:val="0"/>
          <w:lang w:val="it-IT"/>
        </w:rPr>
        <w:t xml:space="preserve">à </w:t>
      </w:r>
      <w:r>
        <w:rPr>
          <w:rFonts w:ascii="Book Antiqua"/>
          <w:color w:val="000000"/>
          <w:sz w:val="22"/>
          <w:szCs w:val="22"/>
          <w:u w:color="000000"/>
          <w:rtl w:val="0"/>
          <w:lang w:val="it-IT"/>
        </w:rPr>
        <w:t>Cooperativa Sociale (c.f. 12485241009);</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[B]</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 xml:space="preserve">Consorzio Raccolta Differenziata Roma </w:t>
      </w:r>
      <w:r>
        <w:rPr>
          <w:rFonts w:hAnsi="Book Antiqua" w:hint="default"/>
          <w:color w:val="000000"/>
          <w:sz w:val="22"/>
          <w:szCs w:val="22"/>
          <w:u w:color="000000"/>
          <w:rtl w:val="0"/>
          <w:lang w:val="it-IT"/>
        </w:rPr>
        <w:t xml:space="preserve">– </w:t>
      </w:r>
      <w:r>
        <w:rPr>
          <w:rFonts w:ascii="Book Antiqua"/>
          <w:color w:val="000000"/>
          <w:sz w:val="22"/>
          <w:szCs w:val="22"/>
          <w:u w:color="000000"/>
          <w:rtl w:val="0"/>
          <w:lang w:val="it-IT"/>
        </w:rPr>
        <w:t>Societ</w:t>
      </w:r>
      <w:r>
        <w:rPr>
          <w:rFonts w:hAnsi="Book Antiqua" w:hint="default"/>
          <w:color w:val="000000"/>
          <w:sz w:val="22"/>
          <w:szCs w:val="22"/>
          <w:u w:color="000000"/>
          <w:rtl w:val="0"/>
          <w:lang w:val="it-IT"/>
        </w:rPr>
        <w:t xml:space="preserve">à </w:t>
      </w:r>
      <w:r>
        <w:rPr>
          <w:rFonts w:ascii="Book Antiqua"/>
          <w:color w:val="000000"/>
          <w:sz w:val="22"/>
          <w:szCs w:val="22"/>
          <w:u w:color="000000"/>
          <w:rtl w:val="0"/>
          <w:lang w:val="it-IT"/>
        </w:rPr>
        <w:t>Consortile a r.l. (cf: 01228050553);</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i w:val="1"/>
          <w:iCs w:val="1"/>
          <w:color w:val="000000"/>
          <w:sz w:val="22"/>
          <w:szCs w:val="22"/>
          <w:u w:color="000000"/>
        </w:rPr>
      </w:pPr>
      <w:r>
        <w:rPr>
          <w:rFonts w:ascii="Book Antiqua"/>
          <w:color w:val="000000"/>
          <w:sz w:val="22"/>
          <w:szCs w:val="22"/>
          <w:u w:color="000000"/>
          <w:rtl w:val="0"/>
          <w:lang w:val="it-IT"/>
        </w:rPr>
        <w:t>Consorzio Raccolta Differenziata Roma Due Soc. Consortile a r.l. (cf: 09922781001);</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i w:val="1"/>
          <w:iCs w:val="1"/>
          <w:color w:val="000000"/>
          <w:sz w:val="22"/>
          <w:szCs w:val="22"/>
          <w:u w:color="000000"/>
        </w:rPr>
      </w:pPr>
      <w:r>
        <w:rPr>
          <w:rFonts w:ascii="Book Antiqua"/>
          <w:color w:val="000000"/>
          <w:sz w:val="22"/>
          <w:szCs w:val="22"/>
          <w:u w:color="000000"/>
          <w:rtl w:val="0"/>
          <w:lang w:val="it-IT"/>
        </w:rPr>
        <w:t>Consorzio raccolta differenziata Tre (cf: 10163381006);</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Consorzio Formula Ambiente Societ</w:t>
      </w:r>
      <w:r>
        <w:rPr>
          <w:rFonts w:hAnsi="Book Antiqua" w:hint="default"/>
          <w:color w:val="000000"/>
          <w:sz w:val="22"/>
          <w:szCs w:val="22"/>
          <w:u w:color="000000"/>
          <w:rtl w:val="0"/>
          <w:lang w:val="it-IT"/>
        </w:rPr>
        <w:t xml:space="preserve">à </w:t>
      </w:r>
      <w:r>
        <w:rPr>
          <w:rFonts w:ascii="Book Antiqua"/>
          <w:color w:val="000000"/>
          <w:sz w:val="22"/>
          <w:szCs w:val="22"/>
          <w:u w:color="000000"/>
          <w:rtl w:val="0"/>
          <w:lang w:val="it-IT"/>
        </w:rPr>
        <w:t>Coop. Sociale (cf: 02252620402);</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Consorzio Citt</w:t>
      </w:r>
      <w:r>
        <w:rPr>
          <w:rFonts w:hAnsi="Book Antiqua" w:hint="default"/>
          <w:color w:val="000000"/>
          <w:sz w:val="22"/>
          <w:szCs w:val="22"/>
          <w:u w:color="000000"/>
          <w:rtl w:val="0"/>
          <w:lang w:val="it-IT"/>
        </w:rPr>
        <w:t xml:space="preserve">à </w:t>
      </w:r>
      <w:r>
        <w:rPr>
          <w:rFonts w:ascii="Book Antiqua"/>
          <w:color w:val="000000"/>
          <w:sz w:val="22"/>
          <w:szCs w:val="22"/>
          <w:u w:color="000000"/>
          <w:rtl w:val="0"/>
          <w:lang w:val="it-IT"/>
        </w:rPr>
        <w:t>dell</w:t>
      </w:r>
      <w:r>
        <w:rPr>
          <w:rFonts w:hAnsi="Book Antiqua" w:hint="default"/>
          <w:color w:val="000000"/>
          <w:sz w:val="22"/>
          <w:szCs w:val="22"/>
          <w:u w:color="000000"/>
          <w:rtl w:val="0"/>
          <w:lang w:val="it-IT"/>
        </w:rPr>
        <w:t>’</w:t>
      </w:r>
      <w:r>
        <w:rPr>
          <w:rFonts w:ascii="Book Antiqua"/>
          <w:color w:val="000000"/>
          <w:sz w:val="22"/>
          <w:szCs w:val="22"/>
          <w:u w:color="000000"/>
          <w:rtl w:val="0"/>
          <w:lang w:val="it-IT"/>
        </w:rPr>
        <w:t>Altra Economia (cf: 11947171002);</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2"/>
          <w:szCs w:val="22"/>
          <w:u w:color="000000"/>
        </w:rPr>
      </w:pPr>
      <w:r>
        <w:rPr>
          <w:rFonts w:ascii="Book Antiqua"/>
          <w:color w:val="000000"/>
          <w:sz w:val="22"/>
          <w:szCs w:val="22"/>
          <w:u w:color="000000"/>
          <w:rtl w:val="0"/>
          <w:lang w:val="it-IT"/>
        </w:rPr>
        <w:t>Consorzio Stabile Italservizi (cf: 10682201008).</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rPr>
          <w:rFonts w:ascii="Book Antiqua" w:cs="Book Antiqua" w:hAnsi="Book Antiqua" w:eastAsia="Book Antiqua"/>
          <w:color w:val="000000"/>
          <w:u w:color="000000"/>
        </w:rPr>
      </w:pPr>
    </w:p>
    <w:p>
      <w:pPr>
        <w:pStyle w:val="Normal"/>
        <w:widowControl w:val="0"/>
        <w:tabs>
          <w:tab w:val="left" w:pos="284"/>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i w:val="1"/>
          <w:iCs w:val="1"/>
          <w:color w:val="000000"/>
          <w:sz w:val="28"/>
          <w:szCs w:val="28"/>
          <w:u w:val="single" w:color="000000"/>
        </w:rPr>
      </w:pPr>
      <w:r>
        <w:rPr>
          <w:rFonts w:ascii="Book Antiqua"/>
          <w:i w:val="1"/>
          <w:iCs w:val="1"/>
          <w:color w:val="000000"/>
          <w:sz w:val="28"/>
          <w:szCs w:val="28"/>
          <w:u w:val="single" w:color="000000"/>
          <w:rtl w:val="0"/>
          <w:lang w:val="it-IT"/>
        </w:rPr>
        <w:t>Addebiti provvisori contenuti nell</w:t>
      </w:r>
      <w:r>
        <w:rPr>
          <w:rFonts w:hAnsi="Book Antiqua" w:hint="default"/>
          <w:i w:val="1"/>
          <w:iCs w:val="1"/>
          <w:color w:val="000000"/>
          <w:sz w:val="28"/>
          <w:szCs w:val="28"/>
          <w:u w:val="single" w:color="000000"/>
          <w:rtl w:val="0"/>
          <w:lang w:val="it-IT"/>
        </w:rPr>
        <w:t>’</w:t>
      </w:r>
      <w:r>
        <w:rPr>
          <w:rFonts w:ascii="Book Antiqua"/>
          <w:i w:val="1"/>
          <w:iCs w:val="1"/>
          <w:color w:val="000000"/>
          <w:sz w:val="28"/>
          <w:szCs w:val="28"/>
          <w:u w:val="single" w:color="000000"/>
          <w:rtl w:val="0"/>
          <w:lang w:val="it-IT"/>
        </w:rPr>
        <w:t>ordinanza cautelare</w:t>
      </w:r>
    </w:p>
    <w:p>
      <w:pPr>
        <w:pStyle w:val="Normal"/>
        <w:widowControl w:val="0"/>
        <w:tabs>
          <w:tab w:val="left" w:pos="284"/>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u w:color="000000"/>
        </w:rPr>
      </w:pPr>
    </w:p>
    <w:p>
      <w:pPr>
        <w:pStyle w:val="Normal"/>
        <w:widowControl w:val="0"/>
        <w:tabs>
          <w:tab w:val="left" w:pos="284"/>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 xml:space="preserve">FRANCO PANZIRONI, SALVATORE BUZZI, MASSIMO CARMINATI, NADIA CERRITO, GIOVANNA ANELLI, GIOVANNI FISCON, PATRIZIA CARACUZZI, CLAUDIO CALDARELLI </w:t>
      </w:r>
    </w:p>
    <w:p>
      <w:pPr>
        <w:pStyle w:val="Normal"/>
        <w:widowControl w:val="0"/>
        <w:tabs>
          <w:tab w:val="left" w:pos="284"/>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11) del reato di cui agli articoli 81 capoverso,110, 318 (nella formulazione successiva al dicembre 2012) 319 (nella formulazione antecedente e successiva al dicembre 2012) del codice penale, 7 D. L. 13 maggio 1991, n. 152, conv. nella L. 12 luglio 1991, n. 203 perch</w:t>
      </w:r>
      <w:r>
        <w:rPr>
          <w:rFonts w:hAnsi="Book Antiqua" w:hint="default"/>
          <w:color w:val="000000"/>
          <w:u w:color="000000"/>
          <w:rtl w:val="0"/>
          <w:lang w:val="it-IT"/>
        </w:rPr>
        <w:t xml:space="preserve">é </w:t>
      </w:r>
      <w:r>
        <w:rPr>
          <w:rFonts w:ascii="Book Antiqua"/>
          <w:color w:val="000000"/>
          <w:u w:color="000000"/>
          <w:rtl w:val="0"/>
          <w:lang w:val="it-IT"/>
        </w:rPr>
        <w:t>Panzironi nella qualit</w:t>
      </w:r>
      <w:r>
        <w:rPr>
          <w:rFonts w:hAnsi="Book Antiqua" w:hint="default"/>
          <w:color w:val="000000"/>
          <w:u w:color="000000"/>
          <w:rtl w:val="0"/>
          <w:lang w:val="it-IT"/>
        </w:rPr>
        <w:t xml:space="preserve">à </w:t>
      </w:r>
      <w:r>
        <w:rPr>
          <w:rFonts w:ascii="Book Antiqua"/>
          <w:color w:val="000000"/>
          <w:u w:color="000000"/>
          <w:rtl w:val="0"/>
          <w:lang w:val="it-IT"/>
        </w:rPr>
        <w:t>di componente del CDA e AD di AMA S.p.A. dal 5.8.2008 fino al 4.8.11, e successivamente funzionario apicale di fatto di AMA S.p.A., Anelli nella qualit</w:t>
      </w:r>
      <w:r>
        <w:rPr>
          <w:rFonts w:hAnsi="Book Antiqua" w:hint="default"/>
          <w:color w:val="000000"/>
          <w:u w:color="000000"/>
          <w:rtl w:val="0"/>
          <w:lang w:val="it-IT"/>
        </w:rPr>
        <w:t xml:space="preserve">à </w:t>
      </w:r>
      <w:r>
        <w:rPr>
          <w:rFonts w:ascii="Book Antiqua"/>
          <w:color w:val="000000"/>
          <w:u w:color="000000"/>
          <w:rtl w:val="0"/>
          <w:lang w:val="it-IT"/>
        </w:rPr>
        <w:t>di procuratore speciale di AMA S.p.A. e Direttore Generale dal 20.9.12 al 2.5.13, Fiscon nella qualit</w:t>
      </w:r>
      <w:r>
        <w:rPr>
          <w:rFonts w:hAnsi="Book Antiqua" w:hint="default"/>
          <w:color w:val="000000"/>
          <w:u w:color="000000"/>
          <w:rtl w:val="0"/>
          <w:lang w:val="it-IT"/>
        </w:rPr>
        <w:t xml:space="preserve">à </w:t>
      </w:r>
      <w:r>
        <w:rPr>
          <w:rFonts w:ascii="Book Antiqua"/>
          <w:color w:val="000000"/>
          <w:u w:color="000000"/>
          <w:rtl w:val="0"/>
          <w:lang w:val="it-IT"/>
        </w:rPr>
        <w:t>di procuratore speciale di AMA S.p.A. e Direttore Generale a partire dal 2.5.13, Caracuzzi nella qualit</w:t>
      </w:r>
      <w:r>
        <w:rPr>
          <w:rFonts w:hAnsi="Book Antiqua" w:hint="default"/>
          <w:color w:val="000000"/>
          <w:u w:color="000000"/>
          <w:rtl w:val="0"/>
          <w:lang w:val="it-IT"/>
        </w:rPr>
        <w:t xml:space="preserve">à </w:t>
      </w:r>
      <w:r>
        <w:rPr>
          <w:rFonts w:ascii="Book Antiqua"/>
          <w:color w:val="000000"/>
          <w:u w:color="000000"/>
          <w:rtl w:val="0"/>
          <w:lang w:val="it-IT"/>
        </w:rPr>
        <w:t>di dipendente di AMA e segretaria personale di Panzironi, in concorso tra loro e con Pubblici Ufficiali appartenenti alla struttura di AMA non identificati; Panzironi per l</w:t>
      </w:r>
      <w:r>
        <w:rPr>
          <w:rFonts w:hAnsi="Book Antiqua" w:hint="default"/>
          <w:color w:val="000000"/>
          <w:u w:color="000000"/>
          <w:rtl w:val="0"/>
          <w:lang w:val="it-IT"/>
        </w:rPr>
        <w:t>’</w:t>
      </w:r>
      <w:r>
        <w:rPr>
          <w:rFonts w:ascii="Book Antiqua"/>
          <w:color w:val="000000"/>
          <w:u w:color="000000"/>
          <w:rtl w:val="0"/>
          <w:lang w:val="it-IT"/>
        </w:rPr>
        <w:t>asservimento della sua qualit</w:t>
      </w:r>
      <w:r>
        <w:rPr>
          <w:rFonts w:hAnsi="Book Antiqua" w:hint="default"/>
          <w:color w:val="000000"/>
          <w:u w:color="000000"/>
          <w:rtl w:val="0"/>
          <w:lang w:val="it-IT"/>
        </w:rPr>
        <w:t xml:space="preserve">à </w:t>
      </w:r>
      <w:r>
        <w:rPr>
          <w:rFonts w:ascii="Book Antiqua"/>
          <w:color w:val="000000"/>
          <w:u w:color="000000"/>
          <w:rtl w:val="0"/>
          <w:lang w:val="it-IT"/>
        </w:rPr>
        <w:t>funzionale, formale e di fatto, e per l</w:t>
      </w:r>
      <w:r>
        <w:rPr>
          <w:rFonts w:hAnsi="Book Antiqua" w:hint="default"/>
          <w:color w:val="000000"/>
          <w:u w:color="000000"/>
          <w:rtl w:val="0"/>
          <w:lang w:val="it-IT"/>
        </w:rPr>
        <w:t>’</w:t>
      </w:r>
      <w:r>
        <w:rPr>
          <w:rFonts w:ascii="Book Antiqua"/>
          <w:color w:val="000000"/>
          <w:u w:color="000000"/>
          <w:rtl w:val="0"/>
          <w:lang w:val="it-IT"/>
        </w:rPr>
        <w:t>asservimento della qualit</w:t>
      </w:r>
      <w:r>
        <w:rPr>
          <w:rFonts w:hAnsi="Book Antiqua" w:hint="default"/>
          <w:color w:val="000000"/>
          <w:u w:color="000000"/>
          <w:rtl w:val="0"/>
          <w:lang w:val="it-IT"/>
        </w:rPr>
        <w:t xml:space="preserve">à </w:t>
      </w:r>
      <w:r>
        <w:rPr>
          <w:rFonts w:ascii="Book Antiqua"/>
          <w:color w:val="000000"/>
          <w:u w:color="000000"/>
          <w:rtl w:val="0"/>
          <w:lang w:val="it-IT"/>
        </w:rPr>
        <w:t>funzionale di Anelli, Fiscon e altri appartenenti alla struttura di AMA non ancora identificati, che agivano in accordo con lui, nonch</w:t>
      </w:r>
      <w:r>
        <w:rPr>
          <w:rFonts w:hAnsi="Book Antiqua" w:hint="default"/>
          <w:color w:val="000000"/>
          <w:u w:color="000000"/>
          <w:rtl w:val="0"/>
          <w:lang w:val="it-IT"/>
        </w:rPr>
        <w:t xml:space="preserve">é </w:t>
      </w:r>
      <w:r>
        <w:rPr>
          <w:rFonts w:ascii="Book Antiqua"/>
          <w:color w:val="000000"/>
          <w:u w:color="000000"/>
          <w:rtl w:val="0"/>
          <w:lang w:val="it-IT"/>
        </w:rPr>
        <w:t>per il compimento di atti contrari ai doveri del suo ufficio e dell</w:t>
      </w:r>
      <w:r>
        <w:rPr>
          <w:rFonts w:hAnsi="Book Antiqua" w:hint="default"/>
          <w:color w:val="000000"/>
          <w:u w:color="000000"/>
          <w:rtl w:val="0"/>
          <w:lang w:val="it-IT"/>
        </w:rPr>
        <w:t>’</w:t>
      </w:r>
      <w:r>
        <w:rPr>
          <w:rFonts w:ascii="Book Antiqua"/>
          <w:color w:val="000000"/>
          <w:u w:color="000000"/>
          <w:rtl w:val="0"/>
          <w:lang w:val="it-IT"/>
        </w:rPr>
        <w:t>ufficio di Anelli, Fiscon, Caracuzzi e altri pubblici ufficiali non ancora identificati, atti assunti in violazione dei doveri d</w:t>
      </w:r>
      <w:r>
        <w:rPr>
          <w:rFonts w:hAnsi="Book Antiqua" w:hint="default"/>
          <w:color w:val="000000"/>
          <w:u w:color="000000"/>
          <w:rtl w:val="0"/>
          <w:lang w:val="it-IT"/>
        </w:rPr>
        <w:t>’</w:t>
      </w:r>
      <w:r>
        <w:rPr>
          <w:rFonts w:ascii="Book Antiqua"/>
          <w:color w:val="000000"/>
          <w:u w:color="000000"/>
          <w:rtl w:val="0"/>
          <w:lang w:val="it-IT"/>
        </w:rPr>
        <w:t>imparzialit</w:t>
      </w:r>
      <w:r>
        <w:rPr>
          <w:rFonts w:hAnsi="Book Antiqua" w:hint="default"/>
          <w:color w:val="000000"/>
          <w:u w:color="000000"/>
          <w:rtl w:val="0"/>
          <w:lang w:val="it-IT"/>
        </w:rPr>
        <w:t xml:space="preserve">à </w:t>
      </w:r>
      <w:r>
        <w:rPr>
          <w:rFonts w:ascii="Book Antiqua"/>
          <w:color w:val="000000"/>
          <w:u w:color="000000"/>
          <w:rtl w:val="0"/>
          <w:lang w:val="it-IT"/>
        </w:rPr>
        <w:t>della Pubblica Amministrazione e consistenti:</w:t>
      </w:r>
    </w:p>
    <w:p>
      <w:pPr>
        <w:pStyle w:val="Normal"/>
        <w:widowControl w:val="0"/>
        <w:tabs>
          <w:tab w:val="left" w:pos="284"/>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nella violazione del segreto d</w:t>
      </w:r>
      <w:r>
        <w:rPr>
          <w:rFonts w:hAnsi="Book Antiqua" w:hint="default"/>
          <w:color w:val="000000"/>
          <w:u w:color="000000"/>
          <w:rtl w:val="0"/>
          <w:lang w:val="it-IT"/>
        </w:rPr>
        <w:t>’</w:t>
      </w:r>
      <w:r>
        <w:rPr>
          <w:rFonts w:ascii="Book Antiqua"/>
          <w:color w:val="000000"/>
          <w:u w:color="000000"/>
          <w:rtl w:val="0"/>
          <w:lang w:val="it-IT"/>
        </w:rPr>
        <w:t>ufficio; nella violazione dei doveri d</w:t>
      </w:r>
      <w:r>
        <w:rPr>
          <w:rFonts w:hAnsi="Book Antiqua" w:hint="default"/>
          <w:color w:val="000000"/>
          <w:u w:color="000000"/>
          <w:rtl w:val="0"/>
          <w:lang w:val="it-IT"/>
        </w:rPr>
        <w:t>’</w:t>
      </w:r>
      <w:r>
        <w:rPr>
          <w:rFonts w:ascii="Book Antiqua"/>
          <w:color w:val="000000"/>
          <w:u w:color="000000"/>
          <w:rtl w:val="0"/>
          <w:lang w:val="it-IT"/>
        </w:rPr>
        <w:t>imparzialit</w:t>
      </w:r>
      <w:r>
        <w:rPr>
          <w:rFonts w:hAnsi="Book Antiqua" w:hint="default"/>
          <w:color w:val="000000"/>
          <w:u w:color="000000"/>
          <w:rtl w:val="0"/>
          <w:lang w:val="it-IT"/>
        </w:rPr>
        <w:t xml:space="preserve">à </w:t>
      </w:r>
      <w:r>
        <w:rPr>
          <w:rFonts w:ascii="Book Antiqua"/>
          <w:color w:val="000000"/>
          <w:u w:color="000000"/>
          <w:rtl w:val="0"/>
          <w:lang w:val="it-IT"/>
        </w:rPr>
        <w:t>della P.A. nell</w:t>
      </w:r>
      <w:r>
        <w:rPr>
          <w:rFonts w:hAnsi="Book Antiqua" w:hint="default"/>
          <w:color w:val="000000"/>
          <w:u w:color="000000"/>
          <w:rtl w:val="0"/>
          <w:lang w:val="it-IT"/>
        </w:rPr>
        <w:t>’</w:t>
      </w:r>
      <w:r>
        <w:rPr>
          <w:rFonts w:ascii="Book Antiqua"/>
          <w:color w:val="000000"/>
          <w:u w:color="000000"/>
          <w:rtl w:val="0"/>
          <w:lang w:val="it-IT"/>
        </w:rPr>
        <w:t>affidamento dei lavori; nel prendere accordi con Buzzi circa il contenuto dei provvedimenti di assegnazione delle gare, prima della loro aggiudicazione (assegnazione della raccolta differenziata per il comune di Roma di cui alla gara di AMA 18/11; assegnazione dei lavori relativi alla raccolta delle foglie per il comune di Roma di cui al bando n</w:t>
      </w:r>
      <w:r>
        <w:rPr>
          <w:rFonts w:hAnsi="Book Antiqua" w:hint="default"/>
          <w:color w:val="000000"/>
          <w:u w:color="000000"/>
          <w:rtl w:val="0"/>
          <w:lang w:val="it-IT"/>
        </w:rPr>
        <w:t xml:space="preserve">° </w:t>
      </w:r>
      <w:r>
        <w:rPr>
          <w:rFonts w:ascii="Book Antiqua"/>
          <w:color w:val="000000"/>
          <w:u w:color="000000"/>
          <w:rtl w:val="0"/>
          <w:lang w:val="it-IT"/>
        </w:rPr>
        <w:t>11156382; assegnazione di lavori per un valore di 5.000.000 di euro, non ancora specificamente individuato);</w:t>
      </w:r>
    </w:p>
    <w:p>
      <w:pPr>
        <w:pStyle w:val="Normal"/>
        <w:widowControl w:val="0"/>
        <w:tabs>
          <w:tab w:val="left" w:pos="284"/>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riceveva, per s</w:t>
      </w:r>
      <w:r>
        <w:rPr>
          <w:rFonts w:hAnsi="Book Antiqua" w:hint="default"/>
          <w:color w:val="000000"/>
          <w:u w:color="000000"/>
          <w:rtl w:val="0"/>
          <w:lang w:val="it-IT"/>
        </w:rPr>
        <w:t xml:space="preserve">é </w:t>
      </w:r>
      <w:r>
        <w:rPr>
          <w:rFonts w:ascii="Book Antiqua"/>
          <w:color w:val="000000"/>
          <w:u w:color="000000"/>
          <w:rtl w:val="0"/>
          <w:lang w:val="it-IT"/>
        </w:rPr>
        <w:t>e per la fondazione Nuova Italia, utilit</w:t>
      </w:r>
      <w:r>
        <w:rPr>
          <w:rFonts w:hAnsi="Book Antiqua" w:hint="default"/>
          <w:color w:val="000000"/>
          <w:u w:color="000000"/>
          <w:rtl w:val="0"/>
          <w:lang w:val="it-IT"/>
        </w:rPr>
        <w:t xml:space="preserve">à </w:t>
      </w:r>
      <w:r>
        <w:rPr>
          <w:rFonts w:ascii="Book Antiqua"/>
          <w:color w:val="000000"/>
          <w:u w:color="000000"/>
          <w:rtl w:val="0"/>
          <w:lang w:val="it-IT"/>
        </w:rPr>
        <w:t>consistenti: in una costante retribuzione, di ammontare non ancora determinato, dal 2008 al 2013 e a partire da tale data pari a 15.000 euro mensili; in una somma pari a 120.000 euro (2,5 per cento del valore di un appalto assegnato da AMA e non ancora specificamente individuato); in erogazione di utilit</w:t>
      </w:r>
      <w:r>
        <w:rPr>
          <w:rFonts w:hAnsi="Book Antiqua" w:hint="default"/>
          <w:color w:val="000000"/>
          <w:u w:color="000000"/>
          <w:rtl w:val="0"/>
          <w:lang w:val="it-IT"/>
        </w:rPr>
        <w:t xml:space="preserve">à </w:t>
      </w:r>
      <w:r>
        <w:rPr>
          <w:rFonts w:ascii="Book Antiqua"/>
          <w:color w:val="000000"/>
          <w:u w:color="000000"/>
          <w:rtl w:val="0"/>
          <w:lang w:val="it-IT"/>
        </w:rPr>
        <w:t>quali la rasatura del prato di zone di sua propriet</w:t>
      </w:r>
      <w:r>
        <w:rPr>
          <w:rFonts w:hAnsi="Book Antiqua" w:hint="default"/>
          <w:color w:val="000000"/>
          <w:u w:color="000000"/>
          <w:rtl w:val="0"/>
          <w:lang w:val="it-IT"/>
        </w:rPr>
        <w:t>à</w:t>
      </w:r>
      <w:r>
        <w:rPr>
          <w:rFonts w:ascii="Book Antiqua"/>
          <w:color w:val="000000"/>
          <w:u w:color="000000"/>
          <w:rtl w:val="0"/>
          <w:lang w:val="it-IT"/>
        </w:rPr>
        <w:t>; in finanziamenti, non inferiori a 40.000 euro, alla fondazione Nuova Italia, nella quale Panzironi aveva ruolo di socio fondatore, consigliere e segretario generale; utilit</w:t>
      </w:r>
      <w:r>
        <w:rPr>
          <w:rFonts w:hAnsi="Book Antiqua" w:hint="default"/>
          <w:color w:val="000000"/>
          <w:u w:color="000000"/>
          <w:rtl w:val="0"/>
          <w:lang w:val="it-IT"/>
        </w:rPr>
        <w:t xml:space="preserve">à </w:t>
      </w:r>
      <w:r>
        <w:rPr>
          <w:rFonts w:ascii="Book Antiqua"/>
          <w:color w:val="000000"/>
          <w:u w:color="000000"/>
          <w:rtl w:val="0"/>
          <w:lang w:val="it-IT"/>
        </w:rPr>
        <w:t>materialmente erogate da Buzzi, che agiva in accordo con Carminati e attraverso l</w:t>
      </w:r>
      <w:r>
        <w:rPr>
          <w:rFonts w:hAnsi="Book Antiqua" w:hint="default"/>
          <w:color w:val="000000"/>
          <w:u w:color="000000"/>
          <w:rtl w:val="0"/>
          <w:lang w:val="it-IT"/>
        </w:rPr>
        <w:t>’</w:t>
      </w:r>
      <w:r>
        <w:rPr>
          <w:rFonts w:ascii="Book Antiqua"/>
          <w:color w:val="000000"/>
          <w:u w:color="000000"/>
          <w:rtl w:val="0"/>
          <w:lang w:val="it-IT"/>
        </w:rPr>
        <w:t>aiuto materiale, per le operazioni di creazioni delle provviste finanziarie, di Cerrito, segretaria personale di Buzzi, e Caldarelli, che realizzava frodi fiscali necessarie a garantire le adeguate coperture contabili.</w:t>
      </w:r>
    </w:p>
    <w:p>
      <w:pPr>
        <w:pStyle w:val="Normal"/>
        <w:widowControl w:val="0"/>
        <w:tabs>
          <w:tab w:val="left" w:pos="284"/>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Con l</w:t>
      </w:r>
      <w:r>
        <w:rPr>
          <w:rFonts w:hAnsi="Book Antiqua" w:hint="default"/>
          <w:color w:val="000000"/>
          <w:u w:color="000000"/>
          <w:rtl w:val="0"/>
          <w:lang w:val="it-IT"/>
        </w:rPr>
        <w:t>’</w:t>
      </w:r>
      <w:r>
        <w:rPr>
          <w:rFonts w:ascii="Book Antiqua"/>
          <w:color w:val="000000"/>
          <w:u w:color="000000"/>
          <w:rtl w:val="0"/>
          <w:lang w:val="it-IT"/>
        </w:rPr>
        <w:t>aggravante di aver agito al fine di agevolare l</w:t>
      </w:r>
      <w:r>
        <w:rPr>
          <w:rFonts w:hAnsi="Book Antiqua" w:hint="default"/>
          <w:color w:val="000000"/>
          <w:u w:color="000000"/>
          <w:rtl w:val="0"/>
          <w:lang w:val="it-IT"/>
        </w:rPr>
        <w:t>’</w:t>
      </w:r>
      <w:r>
        <w:rPr>
          <w:rFonts w:ascii="Book Antiqua"/>
          <w:color w:val="000000"/>
          <w:u w:color="000000"/>
          <w:rtl w:val="0"/>
          <w:lang w:val="it-IT"/>
        </w:rPr>
        <w:t xml:space="preserve">associazione di tipo mafioso diretta da Carminati. </w:t>
      </w:r>
    </w:p>
    <w:p>
      <w:pPr>
        <w:pStyle w:val="Normal"/>
        <w:widowControl w:val="0"/>
        <w:tabs>
          <w:tab w:val="left" w:pos="284"/>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In Roma, dal 2008 al giugno 2013</w:t>
      </w:r>
    </w:p>
    <w:p>
      <w:pPr>
        <w:pStyle w:val="Normal"/>
        <w:widowControl w:val="0"/>
        <w:tabs>
          <w:tab w:val="left" w:pos="284"/>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u w:color="000000"/>
        </w:rPr>
      </w:pPr>
    </w:p>
    <w:p>
      <w:pPr>
        <w:pStyle w:val="Normal"/>
        <w:widowControl w:val="0"/>
        <w:tabs>
          <w:tab w:val="left" w:pos="284"/>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 xml:space="preserve">FISCON, PANZIRONI, ANELLI E BUZZI </w:t>
      </w:r>
    </w:p>
    <w:p>
      <w:pPr>
        <w:pStyle w:val="Normal"/>
        <w:widowControl w:val="0"/>
        <w:tabs>
          <w:tab w:val="left" w:pos="284"/>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12) del reato di cui all</w:t>
      </w:r>
      <w:r>
        <w:rPr>
          <w:rFonts w:hAnsi="Book Antiqua" w:hint="default"/>
          <w:color w:val="000000"/>
          <w:u w:color="000000"/>
          <w:rtl w:val="0"/>
          <w:lang w:val="it-IT"/>
        </w:rPr>
        <w:t>’</w:t>
      </w:r>
      <w:r>
        <w:rPr>
          <w:rFonts w:ascii="Book Antiqua"/>
          <w:color w:val="000000"/>
          <w:u w:color="000000"/>
          <w:rtl w:val="0"/>
          <w:lang w:val="it-IT"/>
        </w:rPr>
        <w:t>articolo 353 del codice penale, 7 D. L. 13 maggio 1991, n. 152, conv. nella legge 12 luglio 1991, n. 203 perch</w:t>
      </w:r>
      <w:r>
        <w:rPr>
          <w:rFonts w:hAnsi="Book Antiqua" w:hint="default"/>
          <w:color w:val="000000"/>
          <w:u w:color="000000"/>
          <w:rtl w:val="0"/>
          <w:lang w:val="it-IT"/>
        </w:rPr>
        <w:t>é</w:t>
      </w:r>
      <w:r>
        <w:rPr>
          <w:rFonts w:ascii="Book Antiqua"/>
          <w:color w:val="000000"/>
          <w:u w:color="000000"/>
          <w:rtl w:val="0"/>
          <w:lang w:val="it-IT"/>
        </w:rPr>
        <w:t>, in concorso tra loro e previo concerto, Panzironi nella qualit</w:t>
      </w:r>
      <w:r>
        <w:rPr>
          <w:rFonts w:hAnsi="Book Antiqua" w:hint="default"/>
          <w:color w:val="000000"/>
          <w:u w:color="000000"/>
          <w:rtl w:val="0"/>
          <w:lang w:val="it-IT"/>
        </w:rPr>
        <w:t xml:space="preserve">à </w:t>
      </w:r>
      <w:r>
        <w:rPr>
          <w:rFonts w:ascii="Book Antiqua"/>
          <w:color w:val="000000"/>
          <w:u w:color="000000"/>
          <w:rtl w:val="0"/>
          <w:lang w:val="it-IT"/>
        </w:rPr>
        <w:t>di funzionario di fatto apicale di AMA S.p.A., Fiscon nella qualit</w:t>
      </w:r>
      <w:r>
        <w:rPr>
          <w:rFonts w:hAnsi="Book Antiqua" w:hint="default"/>
          <w:color w:val="000000"/>
          <w:u w:color="000000"/>
          <w:rtl w:val="0"/>
          <w:lang w:val="it-IT"/>
        </w:rPr>
        <w:t xml:space="preserve">à </w:t>
      </w:r>
      <w:r>
        <w:rPr>
          <w:rFonts w:ascii="Book Antiqua"/>
          <w:color w:val="000000"/>
          <w:u w:color="000000"/>
          <w:rtl w:val="0"/>
          <w:lang w:val="it-IT"/>
        </w:rPr>
        <w:t>di procuratore Speciale di AMA S.p.A., Anelli nella qualit</w:t>
      </w:r>
      <w:r>
        <w:rPr>
          <w:rFonts w:hAnsi="Book Antiqua" w:hint="default"/>
          <w:color w:val="000000"/>
          <w:u w:color="000000"/>
          <w:rtl w:val="0"/>
          <w:lang w:val="it-IT"/>
        </w:rPr>
        <w:t xml:space="preserve">à </w:t>
      </w:r>
      <w:r>
        <w:rPr>
          <w:rFonts w:ascii="Book Antiqua"/>
          <w:color w:val="000000"/>
          <w:u w:color="000000"/>
          <w:rtl w:val="0"/>
          <w:lang w:val="it-IT"/>
        </w:rPr>
        <w:t>di direttore generale di AMA S.p.A., dunque Pubblici Ufficiali, mediante collusioni materialmente intervenute tra Fiscon e Buzzi da un lato e Panzironi e Buzzi dall</w:t>
      </w:r>
      <w:r>
        <w:rPr>
          <w:rFonts w:hAnsi="Book Antiqua" w:hint="default"/>
          <w:color w:val="000000"/>
          <w:u w:color="000000"/>
          <w:rtl w:val="0"/>
          <w:lang w:val="it-IT"/>
        </w:rPr>
        <w:t>’</w:t>
      </w:r>
      <w:r>
        <w:rPr>
          <w:rFonts w:ascii="Book Antiqua"/>
          <w:color w:val="000000"/>
          <w:u w:color="000000"/>
          <w:rtl w:val="0"/>
          <w:lang w:val="it-IT"/>
        </w:rPr>
        <w:t>altro, intese tra l</w:t>
      </w:r>
      <w:r>
        <w:rPr>
          <w:rFonts w:hAnsi="Book Antiqua" w:hint="default"/>
          <w:color w:val="000000"/>
          <w:u w:color="000000"/>
          <w:rtl w:val="0"/>
          <w:lang w:val="it-IT"/>
        </w:rPr>
        <w:t>’</w:t>
      </w:r>
      <w:r>
        <w:rPr>
          <w:rFonts w:ascii="Book Antiqua"/>
          <w:color w:val="000000"/>
          <w:u w:color="000000"/>
          <w:rtl w:val="0"/>
          <w:lang w:val="it-IT"/>
        </w:rPr>
        <w:t xml:space="preserve">altro a predeterminare il contenuto delle assegnazioni e il tempo di decorrenza del servizio, turbavano la gara 18/2011, aggiudicata il 5.12.12. </w:t>
      </w:r>
    </w:p>
    <w:p>
      <w:pPr>
        <w:pStyle w:val="Normal"/>
        <w:widowControl w:val="0"/>
        <w:tabs>
          <w:tab w:val="left" w:pos="284"/>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Con l</w:t>
      </w:r>
      <w:r>
        <w:rPr>
          <w:rFonts w:hAnsi="Book Antiqua" w:hint="default"/>
          <w:color w:val="000000"/>
          <w:u w:color="000000"/>
          <w:rtl w:val="0"/>
          <w:lang w:val="it-IT"/>
        </w:rPr>
        <w:t>’</w:t>
      </w:r>
      <w:r>
        <w:rPr>
          <w:rFonts w:ascii="Book Antiqua"/>
          <w:color w:val="000000"/>
          <w:u w:color="000000"/>
          <w:rtl w:val="0"/>
          <w:lang w:val="it-IT"/>
        </w:rPr>
        <w:t>aggravante di aver agito al fine di agevolare l</w:t>
      </w:r>
      <w:r>
        <w:rPr>
          <w:rFonts w:hAnsi="Book Antiqua" w:hint="default"/>
          <w:color w:val="000000"/>
          <w:u w:color="000000"/>
          <w:rtl w:val="0"/>
          <w:lang w:val="it-IT"/>
        </w:rPr>
        <w:t>’</w:t>
      </w:r>
      <w:r>
        <w:rPr>
          <w:rFonts w:ascii="Book Antiqua"/>
          <w:color w:val="000000"/>
          <w:u w:color="000000"/>
          <w:rtl w:val="0"/>
          <w:lang w:val="it-IT"/>
        </w:rPr>
        <w:t xml:space="preserve">associazione di tipo mafioso diretta da Carminati. </w:t>
      </w:r>
    </w:p>
    <w:p>
      <w:pPr>
        <w:pStyle w:val="Normal"/>
        <w:widowControl w:val="0"/>
        <w:tabs>
          <w:tab w:val="left" w:pos="284"/>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In Roma, dal mese di ottobre al mese di dicembre 2012</w:t>
      </w:r>
    </w:p>
    <w:p>
      <w:pPr>
        <w:pStyle w:val="Normal"/>
        <w:tabs>
          <w:tab w:val="left" w:pos="284"/>
        </w:tabs>
        <w:ind w:left="567" w:right="567" w:firstLine="0"/>
        <w:jc w:val="both"/>
        <w:rPr>
          <w:rFonts w:ascii="Book Antiqua" w:cs="Book Antiqua" w:hAnsi="Book Antiqua" w:eastAsia="Book Antiqua"/>
          <w:color w:val="000000"/>
          <w:u w:color="000000"/>
        </w:rPr>
      </w:pPr>
    </w:p>
    <w:p>
      <w:pPr>
        <w:pStyle w:val="Normal"/>
        <w:tabs>
          <w:tab w:val="left" w:pos="284"/>
        </w:tabs>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 xml:space="preserve">FISCON, PANZIRONI, ANELLI E BUZZI </w:t>
      </w:r>
    </w:p>
    <w:p>
      <w:pPr>
        <w:pStyle w:val="Normal"/>
        <w:tabs>
          <w:tab w:val="left" w:pos="284"/>
          <w:tab w:val="left" w:pos="8789"/>
        </w:tabs>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13) del reato di cui all</w:t>
      </w:r>
      <w:r>
        <w:rPr>
          <w:rFonts w:hAnsi="Book Antiqua" w:hint="default"/>
          <w:color w:val="000000"/>
          <w:u w:color="000000"/>
          <w:rtl w:val="0"/>
          <w:lang w:val="it-IT"/>
        </w:rPr>
        <w:t>’</w:t>
      </w:r>
      <w:r>
        <w:rPr>
          <w:rFonts w:ascii="Book Antiqua"/>
          <w:color w:val="000000"/>
          <w:u w:color="000000"/>
          <w:rtl w:val="0"/>
          <w:lang w:val="it-IT"/>
        </w:rPr>
        <w:t>articolo 353 del codice penale, 7 D. L. 13 maggio 1991, n. 152, conv. nella legge 12 luglio 1991, n. 203 perch</w:t>
      </w:r>
      <w:r>
        <w:rPr>
          <w:rFonts w:hAnsi="Book Antiqua" w:hint="default"/>
          <w:color w:val="000000"/>
          <w:u w:color="000000"/>
          <w:rtl w:val="0"/>
          <w:lang w:val="it-IT"/>
        </w:rPr>
        <w:t>é</w:t>
      </w:r>
      <w:r>
        <w:rPr>
          <w:rFonts w:ascii="Book Antiqua"/>
          <w:color w:val="000000"/>
          <w:u w:color="000000"/>
          <w:rtl w:val="0"/>
          <w:lang w:val="it-IT"/>
        </w:rPr>
        <w:t>, in concorso tra loro e previo concerto, Panzironi nella qualit</w:t>
      </w:r>
      <w:r>
        <w:rPr>
          <w:rFonts w:hAnsi="Book Antiqua" w:hint="default"/>
          <w:color w:val="000000"/>
          <w:u w:color="000000"/>
          <w:rtl w:val="0"/>
          <w:lang w:val="it-IT"/>
        </w:rPr>
        <w:t xml:space="preserve">à </w:t>
      </w:r>
      <w:r>
        <w:rPr>
          <w:rFonts w:ascii="Book Antiqua"/>
          <w:color w:val="000000"/>
          <w:u w:color="000000"/>
          <w:rtl w:val="0"/>
          <w:lang w:val="it-IT"/>
        </w:rPr>
        <w:t>di funzionario di fatto apicale di AMA S.p.A., Fiscon nella qualit</w:t>
      </w:r>
      <w:r>
        <w:rPr>
          <w:rFonts w:hAnsi="Book Antiqua" w:hint="default"/>
          <w:color w:val="000000"/>
          <w:u w:color="000000"/>
          <w:rtl w:val="0"/>
          <w:lang w:val="it-IT"/>
        </w:rPr>
        <w:t xml:space="preserve">à </w:t>
      </w:r>
      <w:r>
        <w:rPr>
          <w:rFonts w:ascii="Book Antiqua"/>
          <w:color w:val="000000"/>
          <w:u w:color="000000"/>
          <w:rtl w:val="0"/>
          <w:lang w:val="it-IT"/>
        </w:rPr>
        <w:t>di procuratore Speciale di AMA S.p.A., Anelli nella qualit</w:t>
      </w:r>
      <w:r>
        <w:rPr>
          <w:rFonts w:hAnsi="Book Antiqua" w:hint="default"/>
          <w:color w:val="000000"/>
          <w:u w:color="000000"/>
          <w:rtl w:val="0"/>
          <w:lang w:val="it-IT"/>
        </w:rPr>
        <w:t xml:space="preserve">à </w:t>
      </w:r>
      <w:r>
        <w:rPr>
          <w:rFonts w:ascii="Book Antiqua"/>
          <w:color w:val="000000"/>
          <w:u w:color="000000"/>
          <w:rtl w:val="0"/>
          <w:lang w:val="it-IT"/>
        </w:rPr>
        <w:t>di direttore generale di AMA S.p.A., dunque Pubblici Ufficiali, mediante collusioni materialmente intervenute tra Fiscon e Buzzi e Panzironi e Buzzi, intese tra l</w:t>
      </w:r>
      <w:r>
        <w:rPr>
          <w:rFonts w:hAnsi="Book Antiqua" w:hint="default"/>
          <w:color w:val="000000"/>
          <w:u w:color="000000"/>
          <w:rtl w:val="0"/>
          <w:lang w:val="it-IT"/>
        </w:rPr>
        <w:t>’</w:t>
      </w:r>
      <w:r>
        <w:rPr>
          <w:rFonts w:ascii="Book Antiqua"/>
          <w:color w:val="000000"/>
          <w:u w:color="000000"/>
          <w:rtl w:val="0"/>
          <w:lang w:val="it-IT"/>
        </w:rPr>
        <w:t xml:space="preserve">altro a predeterminare il contenuto delle assegnazioni, turbavano la gara di cui al bando n. 11156383, aggiudicata in data 11.12.12. </w:t>
      </w:r>
    </w:p>
    <w:p>
      <w:pPr>
        <w:pStyle w:val="Normal"/>
        <w:tabs>
          <w:tab w:val="left" w:pos="284"/>
          <w:tab w:val="left" w:pos="8789"/>
        </w:tabs>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Con l</w:t>
      </w:r>
      <w:r>
        <w:rPr>
          <w:rFonts w:hAnsi="Book Antiqua" w:hint="default"/>
          <w:color w:val="000000"/>
          <w:u w:color="000000"/>
          <w:rtl w:val="0"/>
          <w:lang w:val="it-IT"/>
        </w:rPr>
        <w:t>’</w:t>
      </w:r>
      <w:r>
        <w:rPr>
          <w:rFonts w:ascii="Book Antiqua"/>
          <w:color w:val="000000"/>
          <w:u w:color="000000"/>
          <w:rtl w:val="0"/>
          <w:lang w:val="it-IT"/>
        </w:rPr>
        <w:t>aggravante di aver agito al fine di agevolare l</w:t>
      </w:r>
      <w:r>
        <w:rPr>
          <w:rFonts w:hAnsi="Book Antiqua" w:hint="default"/>
          <w:color w:val="000000"/>
          <w:u w:color="000000"/>
          <w:rtl w:val="0"/>
          <w:lang w:val="it-IT"/>
        </w:rPr>
        <w:t>’</w:t>
      </w:r>
      <w:r>
        <w:rPr>
          <w:rFonts w:ascii="Book Antiqua"/>
          <w:color w:val="000000"/>
          <w:u w:color="000000"/>
          <w:rtl w:val="0"/>
          <w:lang w:val="it-IT"/>
        </w:rPr>
        <w:t xml:space="preserve">associazione di tipo mafioso diretta da Carminati. </w:t>
      </w:r>
    </w:p>
    <w:p>
      <w:pPr>
        <w:pStyle w:val="Normal"/>
        <w:tabs>
          <w:tab w:val="left" w:pos="284"/>
          <w:tab w:val="left" w:pos="8789"/>
        </w:tabs>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In Roma, dal mese di ottobre al mese di dicembre 2012</w:t>
      </w:r>
    </w:p>
    <w:p>
      <w:pPr>
        <w:pStyle w:val="Normal"/>
        <w:tabs>
          <w:tab w:val="left" w:pos="284"/>
          <w:tab w:val="left" w:pos="8789"/>
        </w:tabs>
        <w:ind w:left="567" w:right="567" w:firstLine="0"/>
        <w:jc w:val="both"/>
        <w:rPr>
          <w:rFonts w:ascii="Book Antiqua" w:cs="Book Antiqua" w:hAnsi="Book Antiqua" w:eastAsia="Book Antiqua"/>
          <w:color w:val="000000"/>
          <w:u w:color="000000"/>
        </w:rPr>
      </w:pPr>
    </w:p>
    <w:p>
      <w:pPr>
        <w:pStyle w:val="Normal"/>
        <w:widowControl w:val="0"/>
        <w:tabs>
          <w:tab w:val="left" w:pos="284"/>
          <w:tab w:val="left" w:pos="1120"/>
          <w:tab w:val="left" w:pos="1680"/>
          <w:tab w:val="left" w:pos="2240"/>
          <w:tab w:val="left" w:pos="2800"/>
          <w:tab w:val="left" w:pos="3360"/>
          <w:tab w:val="left" w:pos="3920"/>
          <w:tab w:val="left" w:pos="4480"/>
          <w:tab w:val="left" w:pos="5040"/>
          <w:tab w:val="left" w:pos="5600"/>
          <w:tab w:val="left" w:pos="6160"/>
          <w:tab w:val="left" w:pos="6720"/>
          <w:tab w:val="left" w:pos="8789"/>
        </w:tabs>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 xml:space="preserve">FISCON E BUZZI </w:t>
      </w:r>
    </w:p>
    <w:p>
      <w:pPr>
        <w:pStyle w:val="Normal"/>
        <w:widowControl w:val="0"/>
        <w:tabs>
          <w:tab w:val="left" w:pos="284"/>
          <w:tab w:val="left" w:pos="1120"/>
          <w:tab w:val="left" w:pos="1680"/>
          <w:tab w:val="left" w:pos="2240"/>
          <w:tab w:val="left" w:pos="2800"/>
          <w:tab w:val="left" w:pos="3360"/>
          <w:tab w:val="left" w:pos="3920"/>
          <w:tab w:val="left" w:pos="4480"/>
          <w:tab w:val="left" w:pos="5040"/>
          <w:tab w:val="left" w:pos="5600"/>
          <w:tab w:val="left" w:pos="6160"/>
          <w:tab w:val="left" w:pos="6720"/>
          <w:tab w:val="left" w:pos="8789"/>
        </w:tabs>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14) del reato di cui agli articoli 110, 318 e 321 del codice penale, 7 D. L. 13 maggio 1991, n. 152, conv. nella legge 12 luglio 1991, n. 203 perch</w:t>
      </w:r>
      <w:r>
        <w:rPr>
          <w:rFonts w:hAnsi="Book Antiqua" w:hint="default"/>
          <w:color w:val="000000"/>
          <w:u w:color="000000"/>
          <w:rtl w:val="0"/>
          <w:lang w:val="it-IT"/>
        </w:rPr>
        <w:t xml:space="preserve">é </w:t>
      </w:r>
      <w:r>
        <w:rPr>
          <w:rFonts w:ascii="Book Antiqua"/>
          <w:color w:val="000000"/>
          <w:u w:color="000000"/>
          <w:rtl w:val="0"/>
          <w:lang w:val="it-IT"/>
        </w:rPr>
        <w:t>Fiscon, DG di AMA, riceveva da Buzzi, espressione di soggetti imprenditoriali che intrattenevano rapporti con AMA, per l</w:t>
      </w:r>
      <w:r>
        <w:rPr>
          <w:rFonts w:hAnsi="Book Antiqua" w:hint="default"/>
          <w:color w:val="000000"/>
          <w:u w:color="000000"/>
          <w:rtl w:val="0"/>
          <w:lang w:val="it-IT"/>
        </w:rPr>
        <w:t>’</w:t>
      </w:r>
      <w:r>
        <w:rPr>
          <w:rFonts w:ascii="Book Antiqua"/>
          <w:color w:val="000000"/>
          <w:u w:color="000000"/>
          <w:rtl w:val="0"/>
          <w:lang w:val="it-IT"/>
        </w:rPr>
        <w:t>esercizio della sua funzione, la promessa di esecuzione di attivit</w:t>
      </w:r>
      <w:r>
        <w:rPr>
          <w:rFonts w:hAnsi="Book Antiqua" w:hint="default"/>
          <w:color w:val="000000"/>
          <w:u w:color="000000"/>
          <w:rtl w:val="0"/>
          <w:lang w:val="it-IT"/>
        </w:rPr>
        <w:t xml:space="preserve">à </w:t>
      </w:r>
      <w:r>
        <w:rPr>
          <w:rFonts w:ascii="Book Antiqua"/>
          <w:color w:val="000000"/>
          <w:u w:color="000000"/>
          <w:rtl w:val="0"/>
          <w:lang w:val="it-IT"/>
        </w:rPr>
        <w:t xml:space="preserve">di pulizie presso un immobile di sua appartenenza. </w:t>
      </w:r>
    </w:p>
    <w:p>
      <w:pPr>
        <w:pStyle w:val="Normal"/>
        <w:widowControl w:val="0"/>
        <w:tabs>
          <w:tab w:val="left" w:pos="284"/>
          <w:tab w:val="left" w:pos="1120"/>
          <w:tab w:val="left" w:pos="1680"/>
          <w:tab w:val="left" w:pos="2240"/>
          <w:tab w:val="left" w:pos="2800"/>
          <w:tab w:val="left" w:pos="3360"/>
          <w:tab w:val="left" w:pos="3920"/>
          <w:tab w:val="left" w:pos="4480"/>
          <w:tab w:val="left" w:pos="5040"/>
          <w:tab w:val="left" w:pos="5600"/>
          <w:tab w:val="left" w:pos="6160"/>
          <w:tab w:val="left" w:pos="6720"/>
          <w:tab w:val="left" w:pos="8789"/>
        </w:tabs>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Con l</w:t>
      </w:r>
      <w:r>
        <w:rPr>
          <w:rFonts w:hAnsi="Book Antiqua" w:hint="default"/>
          <w:color w:val="000000"/>
          <w:u w:color="000000"/>
          <w:rtl w:val="0"/>
          <w:lang w:val="it-IT"/>
        </w:rPr>
        <w:t>’</w:t>
      </w:r>
      <w:r>
        <w:rPr>
          <w:rFonts w:ascii="Book Antiqua"/>
          <w:color w:val="000000"/>
          <w:u w:color="000000"/>
          <w:rtl w:val="0"/>
          <w:lang w:val="it-IT"/>
        </w:rPr>
        <w:t>aggravante di aver agito al fine di agevolare l</w:t>
      </w:r>
      <w:r>
        <w:rPr>
          <w:rFonts w:hAnsi="Book Antiqua" w:hint="default"/>
          <w:color w:val="000000"/>
          <w:u w:color="000000"/>
          <w:rtl w:val="0"/>
          <w:lang w:val="it-IT"/>
        </w:rPr>
        <w:t>’</w:t>
      </w:r>
      <w:r>
        <w:rPr>
          <w:rFonts w:ascii="Book Antiqua"/>
          <w:color w:val="000000"/>
          <w:u w:color="000000"/>
          <w:rtl w:val="0"/>
          <w:lang w:val="it-IT"/>
        </w:rPr>
        <w:t>associazione di tipo mafioso diretta da Carminati.</w:t>
      </w:r>
    </w:p>
    <w:p>
      <w:pPr>
        <w:pStyle w:val="Normal"/>
        <w:tabs>
          <w:tab w:val="left" w:pos="284"/>
          <w:tab w:val="left" w:pos="8789"/>
        </w:tabs>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In Roma, il 30.10.13</w:t>
      </w:r>
    </w:p>
    <w:p>
      <w:pPr>
        <w:pStyle w:val="Normal"/>
        <w:tabs>
          <w:tab w:val="left" w:pos="284"/>
          <w:tab w:val="left" w:pos="8789"/>
        </w:tabs>
        <w:ind w:left="567" w:right="567" w:firstLine="0"/>
        <w:jc w:val="both"/>
        <w:rPr>
          <w:rFonts w:ascii="Book Antiqua" w:cs="Book Antiqua" w:hAnsi="Book Antiqua" w:eastAsia="Book Antiqua"/>
          <w:color w:val="000000"/>
          <w:u w:color="000000"/>
        </w:rPr>
      </w:pPr>
    </w:p>
    <w:p>
      <w:pPr>
        <w:pStyle w:val="Normal"/>
        <w:tabs>
          <w:tab w:val="left" w:pos="284"/>
          <w:tab w:val="left" w:pos="8789"/>
        </w:tabs>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 xml:space="preserve">FISCON, BUZZI </w:t>
      </w:r>
    </w:p>
    <w:p>
      <w:pPr>
        <w:pStyle w:val="Normal"/>
        <w:tabs>
          <w:tab w:val="left" w:pos="284"/>
          <w:tab w:val="left" w:pos="8789"/>
        </w:tabs>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15) del reato di cui agli articoli 110, 353 del codice penale 7 D. L. 13 maggio 1991, n. 152, conv. nella legge 12 luglio 1991, n. 203 perch</w:t>
      </w:r>
      <w:r>
        <w:rPr>
          <w:rFonts w:hAnsi="Book Antiqua" w:hint="default"/>
          <w:color w:val="000000"/>
          <w:u w:color="000000"/>
          <w:rtl w:val="0"/>
          <w:lang w:val="it-IT"/>
        </w:rPr>
        <w:t>é</w:t>
      </w:r>
      <w:r>
        <w:rPr>
          <w:rFonts w:ascii="Book Antiqua"/>
          <w:color w:val="000000"/>
          <w:u w:color="000000"/>
          <w:rtl w:val="0"/>
          <w:lang w:val="it-IT"/>
        </w:rPr>
        <w:t>, in concorso tra loro e con non identificati rappresentanti di Federambiente, Fiscon nella qualit</w:t>
      </w:r>
      <w:r>
        <w:rPr>
          <w:rFonts w:hAnsi="Book Antiqua" w:hint="default"/>
          <w:color w:val="000000"/>
          <w:u w:color="000000"/>
          <w:rtl w:val="0"/>
          <w:lang w:val="it-IT"/>
        </w:rPr>
        <w:t xml:space="preserve">à </w:t>
      </w:r>
      <w:r>
        <w:rPr>
          <w:rFonts w:ascii="Book Antiqua"/>
          <w:color w:val="000000"/>
          <w:u w:color="000000"/>
          <w:rtl w:val="0"/>
          <w:lang w:val="it-IT"/>
        </w:rPr>
        <w:t>di Direttore Generale di AMA, mediante collusioni preventive e successive con Buzzi, che si traducevano anche nell</w:t>
      </w:r>
      <w:r>
        <w:rPr>
          <w:rFonts w:hAnsi="Book Antiqua" w:hint="default"/>
          <w:color w:val="000000"/>
          <w:u w:color="000000"/>
          <w:rtl w:val="0"/>
          <w:lang w:val="it-IT"/>
        </w:rPr>
        <w:t>’</w:t>
      </w:r>
      <w:r>
        <w:rPr>
          <w:rFonts w:ascii="Book Antiqua"/>
          <w:color w:val="000000"/>
          <w:u w:color="000000"/>
          <w:rtl w:val="0"/>
          <w:lang w:val="it-IT"/>
        </w:rPr>
        <w:t>indicazione di correzione dell</w:t>
      </w:r>
      <w:r>
        <w:rPr>
          <w:rFonts w:hAnsi="Book Antiqua" w:hint="default"/>
          <w:color w:val="000000"/>
          <w:u w:color="000000"/>
          <w:rtl w:val="0"/>
          <w:lang w:val="it-IT"/>
        </w:rPr>
        <w:t>’</w:t>
      </w:r>
      <w:r>
        <w:rPr>
          <w:rFonts w:ascii="Book Antiqua"/>
          <w:color w:val="000000"/>
          <w:u w:color="000000"/>
          <w:rtl w:val="0"/>
          <w:lang w:val="it-IT"/>
        </w:rPr>
        <w:t>offerta presentata, turbavano la gara relativa all</w:t>
      </w:r>
      <w:r>
        <w:rPr>
          <w:rFonts w:hAnsi="Book Antiqua" w:hint="default"/>
          <w:color w:val="000000"/>
          <w:u w:color="000000"/>
          <w:rtl w:val="0"/>
          <w:lang w:val="it-IT"/>
        </w:rPr>
        <w:t>’</w:t>
      </w:r>
      <w:r>
        <w:rPr>
          <w:rFonts w:ascii="Book Antiqua"/>
          <w:color w:val="000000"/>
          <w:u w:color="000000"/>
          <w:rtl w:val="0"/>
          <w:lang w:val="it-IT"/>
        </w:rPr>
        <w:t xml:space="preserve">emergenza rifiuti, indetta da AMA. </w:t>
      </w:r>
    </w:p>
    <w:p>
      <w:pPr>
        <w:pStyle w:val="Normal"/>
        <w:tabs>
          <w:tab w:val="left" w:pos="284"/>
          <w:tab w:val="left" w:pos="8789"/>
        </w:tabs>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Con l</w:t>
      </w:r>
      <w:r>
        <w:rPr>
          <w:rFonts w:hAnsi="Book Antiqua" w:hint="default"/>
          <w:color w:val="000000"/>
          <w:u w:color="000000"/>
          <w:rtl w:val="0"/>
          <w:lang w:val="it-IT"/>
        </w:rPr>
        <w:t>’</w:t>
      </w:r>
      <w:r>
        <w:rPr>
          <w:rFonts w:ascii="Book Antiqua"/>
          <w:color w:val="000000"/>
          <w:u w:color="000000"/>
          <w:rtl w:val="0"/>
          <w:lang w:val="it-IT"/>
        </w:rPr>
        <w:t>aggravante di aver agito al fine di agevolare l</w:t>
      </w:r>
      <w:r>
        <w:rPr>
          <w:rFonts w:hAnsi="Book Antiqua" w:hint="default"/>
          <w:color w:val="000000"/>
          <w:u w:color="000000"/>
          <w:rtl w:val="0"/>
          <w:lang w:val="it-IT"/>
        </w:rPr>
        <w:t>’</w:t>
      </w:r>
      <w:r>
        <w:rPr>
          <w:rFonts w:ascii="Book Antiqua"/>
          <w:color w:val="000000"/>
          <w:u w:color="000000"/>
          <w:rtl w:val="0"/>
          <w:lang w:val="it-IT"/>
        </w:rPr>
        <w:t xml:space="preserve">associazione di tipo mafioso indicata al capo 1). </w:t>
      </w:r>
    </w:p>
    <w:p>
      <w:pPr>
        <w:pStyle w:val="Normal"/>
        <w:tabs>
          <w:tab w:val="left" w:pos="284"/>
          <w:tab w:val="left" w:pos="8789"/>
        </w:tabs>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In Roma, fino al mese di agosto 2013</w:t>
      </w:r>
    </w:p>
    <w:p>
      <w:pPr>
        <w:pStyle w:val="Normal"/>
        <w:widowControl w:val="0"/>
        <w:tabs>
          <w:tab w:val="left" w:pos="284"/>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u w:color="000000"/>
        </w:rPr>
      </w:pPr>
    </w:p>
    <w:p>
      <w:pPr>
        <w:pStyle w:val="Normal"/>
        <w:widowControl w:val="0"/>
        <w:tabs>
          <w:tab w:val="left" w:pos="284"/>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 xml:space="preserve">FISCON, BUZZI, CANCELLI, FORLENZA, GUARANY, BUGITTI, GARRONE, DI NINNO E CARMINATI </w:t>
      </w:r>
    </w:p>
    <w:p>
      <w:pPr>
        <w:pStyle w:val="Normal"/>
        <w:widowControl w:val="0"/>
        <w:tabs>
          <w:tab w:val="left" w:pos="284"/>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16) del reato di cui all</w:t>
      </w:r>
      <w:r>
        <w:rPr>
          <w:rFonts w:hAnsi="Book Antiqua" w:hint="default"/>
          <w:color w:val="000000"/>
          <w:u w:color="000000"/>
          <w:rtl w:val="0"/>
          <w:lang w:val="it-IT"/>
        </w:rPr>
        <w:t>’</w:t>
      </w:r>
      <w:r>
        <w:rPr>
          <w:rFonts w:ascii="Book Antiqua"/>
          <w:color w:val="000000"/>
          <w:u w:color="000000"/>
          <w:rtl w:val="0"/>
          <w:lang w:val="it-IT"/>
        </w:rPr>
        <w:t>articolo 353 del codice penale 7 D. L. 13 maggio 1991, n. 152, conv. nella L. 12 luglio 1991, n. 203 perch</w:t>
      </w:r>
      <w:r>
        <w:rPr>
          <w:rFonts w:hAnsi="Book Antiqua" w:hint="default"/>
          <w:color w:val="000000"/>
          <w:u w:color="000000"/>
          <w:rtl w:val="0"/>
          <w:lang w:val="it-IT"/>
        </w:rPr>
        <w:t>é</w:t>
      </w:r>
      <w:r>
        <w:rPr>
          <w:rFonts w:ascii="Book Antiqua"/>
          <w:color w:val="000000"/>
          <w:u w:color="000000"/>
          <w:rtl w:val="0"/>
          <w:lang w:val="it-IT"/>
        </w:rPr>
        <w:t>, in concorso tra loro, e previo concerto tra Carminati e Buzzi, Fiscon nella qualit</w:t>
      </w:r>
      <w:r>
        <w:rPr>
          <w:rFonts w:hAnsi="Book Antiqua" w:hint="default"/>
          <w:color w:val="000000"/>
          <w:u w:color="000000"/>
          <w:rtl w:val="0"/>
          <w:lang w:val="it-IT"/>
        </w:rPr>
        <w:t xml:space="preserve">à </w:t>
      </w:r>
      <w:r>
        <w:rPr>
          <w:rFonts w:ascii="Book Antiqua"/>
          <w:color w:val="000000"/>
          <w:u w:color="000000"/>
          <w:rtl w:val="0"/>
          <w:lang w:val="it-IT"/>
        </w:rPr>
        <w:t>di direttore generale di AMA S.p.A., dunque Pubblico Ufficiale,</w:t>
      </w:r>
    </w:p>
    <w:p>
      <w:pPr>
        <w:pStyle w:val="Normal"/>
        <w:widowControl w:val="0"/>
        <w:tabs>
          <w:tab w:val="left" w:pos="284"/>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Bold" w:cs="Book Antiqua Bold" w:hAnsi="Book Antiqua Bold" w:eastAsia="Book Antiqua Bold"/>
          <w:b w:val="1"/>
          <w:bCs w:val="1"/>
          <w:color w:val="000000"/>
          <w:u w:color="000000"/>
        </w:rPr>
      </w:pPr>
      <w:r>
        <w:rPr>
          <w:rFonts w:ascii="Book Antiqua"/>
          <w:color w:val="000000"/>
          <w:u w:color="000000"/>
          <w:rtl w:val="0"/>
          <w:lang w:val="it-IT"/>
        </w:rPr>
        <w:t>-</w:t>
        <w:tab/>
        <w:t>mediante collusioni materialmente intervenute tra Fiscon e Buzzi, intese tra l</w:t>
      </w:r>
      <w:r>
        <w:rPr>
          <w:rFonts w:hAnsi="Book Antiqua" w:hint="default"/>
          <w:color w:val="000000"/>
          <w:u w:color="000000"/>
          <w:rtl w:val="0"/>
          <w:lang w:val="it-IT"/>
        </w:rPr>
        <w:t>’</w:t>
      </w:r>
      <w:r>
        <w:rPr>
          <w:rFonts w:ascii="Book Antiqua"/>
          <w:color w:val="000000"/>
          <w:u w:color="000000"/>
          <w:rtl w:val="0"/>
          <w:lang w:val="it-IT"/>
        </w:rPr>
        <w:t>altro a spostare il termine ultimo per la presentazione delle offerte, originariamente fissato al 7 di Gennaio 2014, e a recepire nell</w:t>
      </w:r>
      <w:r>
        <w:rPr>
          <w:rFonts w:hAnsi="Book Antiqua" w:hint="default"/>
          <w:color w:val="000000"/>
          <w:u w:color="000000"/>
          <w:rtl w:val="0"/>
          <w:lang w:val="it-IT"/>
        </w:rPr>
        <w:t>’</w:t>
      </w:r>
      <w:r>
        <w:rPr>
          <w:rFonts w:ascii="Book Antiqua"/>
          <w:color w:val="000000"/>
          <w:u w:color="000000"/>
          <w:rtl w:val="0"/>
          <w:lang w:val="it-IT"/>
        </w:rPr>
        <w:t>aggiudicazione gli accordi intervenuti tra i partecipanti;</w:t>
      </w:r>
    </w:p>
    <w:p>
      <w:pPr>
        <w:pStyle w:val="Normal"/>
        <w:widowControl w:val="0"/>
        <w:tabs>
          <w:tab w:val="left" w:pos="284"/>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w:t>
        <w:tab/>
        <w:t>mediante collusioni materialmente intervenute tra Cancelli, Fiscon, Forlenza e Buzzi, che agiva di concerto con Carminati e in accordo con Bugitti, Garrone e Di Ninno, intese prima a concertare la presentazione delle domande, poi a predeterminare il contenuto delle assegnazioni;</w:t>
      </w:r>
    </w:p>
    <w:p>
      <w:pPr>
        <w:pStyle w:val="Normal"/>
        <w:widowControl w:val="0"/>
        <w:tabs>
          <w:tab w:val="left" w:pos="284"/>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turbavano la gara di appalto n. 30/2013 indetta da AMA Spa sulla raccolta differenziata del multimateriale.</w:t>
      </w:r>
    </w:p>
    <w:p>
      <w:pPr>
        <w:pStyle w:val="Normal"/>
        <w:widowControl w:val="0"/>
        <w:tabs>
          <w:tab w:val="left" w:pos="284"/>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Con l</w:t>
      </w:r>
      <w:r>
        <w:rPr>
          <w:rFonts w:hAnsi="Book Antiqua" w:hint="default"/>
          <w:color w:val="000000"/>
          <w:u w:color="000000"/>
          <w:rtl w:val="0"/>
          <w:lang w:val="it-IT"/>
        </w:rPr>
        <w:t>’</w:t>
      </w:r>
      <w:r>
        <w:rPr>
          <w:rFonts w:ascii="Book Antiqua"/>
          <w:color w:val="000000"/>
          <w:u w:color="000000"/>
          <w:rtl w:val="0"/>
          <w:lang w:val="it-IT"/>
        </w:rPr>
        <w:t>aggravante di aver agito al fine di agevolare l</w:t>
      </w:r>
      <w:r>
        <w:rPr>
          <w:rFonts w:hAnsi="Book Antiqua" w:hint="default"/>
          <w:color w:val="000000"/>
          <w:u w:color="000000"/>
          <w:rtl w:val="0"/>
          <w:lang w:val="it-IT"/>
        </w:rPr>
        <w:t>’</w:t>
      </w:r>
      <w:r>
        <w:rPr>
          <w:rFonts w:ascii="Book Antiqua"/>
          <w:color w:val="000000"/>
          <w:u w:color="000000"/>
          <w:rtl w:val="0"/>
          <w:lang w:val="it-IT"/>
        </w:rPr>
        <w:t>associazione di tipo mafioso indicata al capo 1).</w:t>
      </w:r>
    </w:p>
    <w:p>
      <w:pPr>
        <w:pStyle w:val="Normal"/>
        <w:tabs>
          <w:tab w:val="left" w:pos="284"/>
        </w:tabs>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In Roma, dal mese di dicembre 2013 al giugno 2014</w:t>
      </w:r>
    </w:p>
    <w:p>
      <w:pPr>
        <w:pStyle w:val="Normal"/>
        <w:widowControl w:val="0"/>
        <w:tabs>
          <w:tab w:val="left" w:pos="284"/>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u w:color="000000"/>
        </w:rPr>
      </w:pPr>
    </w:p>
    <w:p>
      <w:pPr>
        <w:pStyle w:val="Normal"/>
        <w:widowControl w:val="0"/>
        <w:tabs>
          <w:tab w:val="left" w:pos="284"/>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 xml:space="preserve">MENICHELLI, PLACIDI, BUZZI, LUCCI, GARRONE </w:t>
      </w:r>
    </w:p>
    <w:p>
      <w:pPr>
        <w:pStyle w:val="Normal"/>
        <w:widowControl w:val="0"/>
        <w:tabs>
          <w:tab w:val="left" w:pos="284"/>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18) del reato di cui all</w:t>
      </w:r>
      <w:r>
        <w:rPr>
          <w:rFonts w:hAnsi="Book Antiqua" w:hint="default"/>
          <w:color w:val="000000"/>
          <w:u w:color="000000"/>
          <w:rtl w:val="0"/>
          <w:lang w:val="it-IT"/>
        </w:rPr>
        <w:t>’</w:t>
      </w:r>
      <w:r>
        <w:rPr>
          <w:rFonts w:ascii="Book Antiqua"/>
          <w:color w:val="000000"/>
          <w:u w:color="000000"/>
          <w:rtl w:val="0"/>
          <w:lang w:val="it-IT"/>
        </w:rPr>
        <w:t>articolo 353 commi 1 e 2 del codice penale, 7 D. L. 13 maggio 1991, n. 152, conv. nella L. 12 luglio 1991, n. 203 perch</w:t>
      </w:r>
      <w:r>
        <w:rPr>
          <w:rFonts w:hAnsi="Book Antiqua" w:hint="default"/>
          <w:color w:val="000000"/>
          <w:u w:color="000000"/>
          <w:rtl w:val="0"/>
          <w:lang w:val="it-IT"/>
        </w:rPr>
        <w:t>é</w:t>
      </w:r>
      <w:r>
        <w:rPr>
          <w:rFonts w:ascii="Book Antiqua"/>
          <w:color w:val="000000"/>
          <w:u w:color="000000"/>
          <w:rtl w:val="0"/>
          <w:lang w:val="it-IT"/>
        </w:rPr>
        <w:t>, in concorso tra loro, Menichelli nella qualit</w:t>
      </w:r>
      <w:r>
        <w:rPr>
          <w:rFonts w:hAnsi="Book Antiqua" w:hint="default"/>
          <w:color w:val="000000"/>
          <w:u w:color="000000"/>
          <w:rtl w:val="0"/>
          <w:lang w:val="it-IT"/>
        </w:rPr>
        <w:t xml:space="preserve">à </w:t>
      </w:r>
      <w:r>
        <w:rPr>
          <w:rFonts w:ascii="Book Antiqua"/>
          <w:color w:val="000000"/>
          <w:u w:color="000000"/>
          <w:rtl w:val="0"/>
          <w:lang w:val="it-IT"/>
        </w:rPr>
        <w:t>di sindaco del comune di Sant</w:t>
      </w:r>
      <w:r>
        <w:rPr>
          <w:rFonts w:hAnsi="Book Antiqua" w:hint="default"/>
          <w:color w:val="000000"/>
          <w:u w:color="000000"/>
          <w:rtl w:val="0"/>
          <w:lang w:val="it-IT"/>
        </w:rPr>
        <w:t>’</w:t>
      </w:r>
      <w:r>
        <w:rPr>
          <w:rFonts w:ascii="Book Antiqua"/>
          <w:color w:val="000000"/>
          <w:u w:color="000000"/>
          <w:rtl w:val="0"/>
          <w:lang w:val="it-IT"/>
        </w:rPr>
        <w:t>Oreste, dunque Pubblico Ufficiale, Placidi nella qualit</w:t>
      </w:r>
      <w:r>
        <w:rPr>
          <w:rFonts w:hAnsi="Book Antiqua" w:hint="default"/>
          <w:color w:val="000000"/>
          <w:u w:color="000000"/>
          <w:rtl w:val="0"/>
          <w:lang w:val="it-IT"/>
        </w:rPr>
        <w:t xml:space="preserve">à </w:t>
      </w:r>
      <w:r>
        <w:rPr>
          <w:rFonts w:ascii="Book Antiqua"/>
          <w:color w:val="000000"/>
          <w:u w:color="000000"/>
          <w:rtl w:val="0"/>
          <w:lang w:val="it-IT"/>
        </w:rPr>
        <w:t>di responsabile U.T.C. del comune di S. Oreste e R.U. del procedimento, dunque Pubblico Ufficiale, mediante collusioni materialmente intervenute tra Menichelli, Placidi, Lucci e Buzzi, intese a predeterminare il contenuto dell</w:t>
      </w:r>
      <w:r>
        <w:rPr>
          <w:rFonts w:hAnsi="Book Antiqua" w:hint="default"/>
          <w:color w:val="000000"/>
          <w:u w:color="000000"/>
          <w:rtl w:val="0"/>
          <w:lang w:val="it-IT"/>
        </w:rPr>
        <w:t>’</w:t>
      </w:r>
      <w:r>
        <w:rPr>
          <w:rFonts w:ascii="Book Antiqua"/>
          <w:color w:val="000000"/>
          <w:u w:color="000000"/>
          <w:rtl w:val="0"/>
          <w:lang w:val="it-IT"/>
        </w:rPr>
        <w:t xml:space="preserve">affidamento; </w:t>
      </w:r>
    </w:p>
    <w:p>
      <w:pPr>
        <w:pStyle w:val="Normal"/>
        <w:widowControl w:val="0"/>
        <w:tabs>
          <w:tab w:val="left" w:pos="284"/>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mediante condotte fraudolente con le quali nell</w:t>
      </w:r>
      <w:r>
        <w:rPr>
          <w:rFonts w:hAnsi="Book Antiqua" w:hint="default"/>
          <w:color w:val="000000"/>
          <w:u w:color="000000"/>
          <w:rtl w:val="0"/>
          <w:lang w:val="it-IT"/>
        </w:rPr>
        <w:t>’</w:t>
      </w:r>
      <w:r>
        <w:rPr>
          <w:rFonts w:ascii="Book Antiqua"/>
          <w:color w:val="000000"/>
          <w:u w:color="000000"/>
          <w:rtl w:val="0"/>
          <w:lang w:val="it-IT"/>
        </w:rPr>
        <w:t>imminenza dell</w:t>
      </w:r>
      <w:r>
        <w:rPr>
          <w:rFonts w:hAnsi="Book Antiqua" w:hint="default"/>
          <w:color w:val="000000"/>
          <w:u w:color="000000"/>
          <w:rtl w:val="0"/>
          <w:lang w:val="it-IT"/>
        </w:rPr>
        <w:t>’</w:t>
      </w:r>
      <w:r>
        <w:rPr>
          <w:rFonts w:ascii="Book Antiqua"/>
          <w:color w:val="000000"/>
          <w:u w:color="000000"/>
          <w:rtl w:val="0"/>
          <w:lang w:val="it-IT"/>
        </w:rPr>
        <w:t xml:space="preserve">affidamento, a termini scaduti, venivano sostituite le offerte presentate , con altre preparate dalla Garrone; </w:t>
      </w:r>
    </w:p>
    <w:p>
      <w:pPr>
        <w:pStyle w:val="Normal"/>
        <w:widowControl w:val="0"/>
        <w:tabs>
          <w:tab w:val="left" w:pos="284"/>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 xml:space="preserve">turbavano la gara per l'affidamento dell'appalto del servizio di igiene urbana, servizi vari accessori, e fornitura di attrezzature e materiali d'uso per la raccolta differenziata CIG 560688865 indetta dal comune di S. Oreste </w:t>
      </w:r>
    </w:p>
    <w:p>
      <w:pPr>
        <w:pStyle w:val="Normal"/>
        <w:widowControl w:val="0"/>
        <w:tabs>
          <w:tab w:val="left" w:pos="284"/>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Con l</w:t>
      </w:r>
      <w:r>
        <w:rPr>
          <w:rFonts w:hAnsi="Book Antiqua" w:hint="default"/>
          <w:color w:val="000000"/>
          <w:u w:color="000000"/>
          <w:rtl w:val="0"/>
          <w:lang w:val="it-IT"/>
        </w:rPr>
        <w:t>’</w:t>
      </w:r>
      <w:r>
        <w:rPr>
          <w:rFonts w:ascii="Book Antiqua"/>
          <w:color w:val="000000"/>
          <w:u w:color="000000"/>
          <w:rtl w:val="0"/>
          <w:lang w:val="it-IT"/>
        </w:rPr>
        <w:t>aggravante dell</w:t>
      </w:r>
      <w:r>
        <w:rPr>
          <w:rFonts w:hAnsi="Book Antiqua" w:hint="default"/>
          <w:color w:val="000000"/>
          <w:u w:color="000000"/>
          <w:rtl w:val="0"/>
          <w:lang w:val="it-IT"/>
        </w:rPr>
        <w:t>’</w:t>
      </w:r>
      <w:r>
        <w:rPr>
          <w:rFonts w:ascii="Book Antiqua"/>
          <w:color w:val="000000"/>
          <w:u w:color="000000"/>
          <w:rtl w:val="0"/>
          <w:lang w:val="it-IT"/>
        </w:rPr>
        <w:t>essere stato commesso il fatto da parte di Placidi, pubblico ufficiale preposto alla aggiudicazione della gara e con l</w:t>
      </w:r>
      <w:r>
        <w:rPr>
          <w:rFonts w:hAnsi="Book Antiqua" w:hint="default"/>
          <w:color w:val="000000"/>
          <w:u w:color="000000"/>
          <w:rtl w:val="0"/>
          <w:lang w:val="it-IT"/>
        </w:rPr>
        <w:t>’</w:t>
      </w:r>
      <w:r>
        <w:rPr>
          <w:rFonts w:ascii="Book Antiqua"/>
          <w:color w:val="000000"/>
          <w:u w:color="000000"/>
          <w:rtl w:val="0"/>
          <w:lang w:val="it-IT"/>
        </w:rPr>
        <w:t>aggravante di aver agito al fine di agevolare l</w:t>
      </w:r>
      <w:r>
        <w:rPr>
          <w:rFonts w:hAnsi="Book Antiqua" w:hint="default"/>
          <w:color w:val="000000"/>
          <w:u w:color="000000"/>
          <w:rtl w:val="0"/>
          <w:lang w:val="it-IT"/>
        </w:rPr>
        <w:t>’</w:t>
      </w:r>
      <w:r>
        <w:rPr>
          <w:rFonts w:ascii="Book Antiqua"/>
          <w:color w:val="000000"/>
          <w:u w:color="000000"/>
          <w:rtl w:val="0"/>
          <w:lang w:val="it-IT"/>
        </w:rPr>
        <w:t>associazione di tipo mafioso indicata al capo 1).</w:t>
      </w:r>
    </w:p>
    <w:p>
      <w:pPr>
        <w:pStyle w:val="Normal"/>
        <w:widowControl w:val="0"/>
        <w:tabs>
          <w:tab w:val="left" w:pos="284"/>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In Sant</w:t>
      </w:r>
      <w:r>
        <w:rPr>
          <w:rFonts w:hAnsi="Book Antiqua" w:hint="default"/>
          <w:color w:val="000000"/>
          <w:u w:color="000000"/>
          <w:rtl w:val="0"/>
          <w:lang w:val="it-IT"/>
        </w:rPr>
        <w:t>’</w:t>
      </w:r>
      <w:r>
        <w:rPr>
          <w:rFonts w:ascii="Book Antiqua"/>
          <w:color w:val="000000"/>
          <w:u w:color="000000"/>
          <w:rtl w:val="0"/>
          <w:lang w:val="it-IT"/>
        </w:rPr>
        <w:t>Oreste, dal mese di ottobre 2013 al mese di aprile 2014</w:t>
      </w:r>
    </w:p>
    <w:p>
      <w:pPr>
        <w:pStyle w:val="Normal"/>
        <w:widowControl w:val="0"/>
        <w:tabs>
          <w:tab w:val="left" w:pos="284"/>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u w:color="000000"/>
        </w:rPr>
      </w:pPr>
    </w:p>
    <w:p>
      <w:pPr>
        <w:pStyle w:val="Normal"/>
        <w:widowControl w:val="0"/>
        <w:tabs>
          <w:tab w:val="left" w:pos="284"/>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 xml:space="preserve">MENICHELLI, PLACIDI, BUZZI, LUCCI, GARRONE, CHIARAVALLE, BUGITTI: </w:t>
      </w:r>
    </w:p>
    <w:p>
      <w:pPr>
        <w:pStyle w:val="Normal"/>
        <w:widowControl w:val="0"/>
        <w:tabs>
          <w:tab w:val="left" w:pos="284"/>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19) del reato di cui agli articoli 110, 319, 321 del codice penale 7 D. L. 13 maggio 1991, n. 152, conv. nella L. 12 luglio 1991, n. 203 perch</w:t>
      </w:r>
      <w:r>
        <w:rPr>
          <w:rFonts w:hAnsi="Book Antiqua" w:hint="default"/>
          <w:color w:val="000000"/>
          <w:u w:color="000000"/>
          <w:rtl w:val="0"/>
          <w:lang w:val="it-IT"/>
        </w:rPr>
        <w:t xml:space="preserve">é </w:t>
      </w:r>
      <w:r>
        <w:rPr>
          <w:rFonts w:ascii="Book Antiqua"/>
          <w:color w:val="000000"/>
          <w:u w:color="000000"/>
          <w:rtl w:val="0"/>
          <w:lang w:val="it-IT"/>
        </w:rPr>
        <w:t>in concorso tra loro, Menichelli nella qualit</w:t>
      </w:r>
      <w:r>
        <w:rPr>
          <w:rFonts w:hAnsi="Book Antiqua" w:hint="default"/>
          <w:color w:val="000000"/>
          <w:u w:color="000000"/>
          <w:rtl w:val="0"/>
          <w:lang w:val="it-IT"/>
        </w:rPr>
        <w:t xml:space="preserve">à </w:t>
      </w:r>
      <w:r>
        <w:rPr>
          <w:rFonts w:ascii="Book Antiqua"/>
          <w:color w:val="000000"/>
          <w:u w:color="000000"/>
          <w:rtl w:val="0"/>
          <w:lang w:val="it-IT"/>
        </w:rPr>
        <w:t>di sindaco del comune di Sant</w:t>
      </w:r>
      <w:r>
        <w:rPr>
          <w:rFonts w:hAnsi="Book Antiqua" w:hint="default"/>
          <w:color w:val="000000"/>
          <w:u w:color="000000"/>
          <w:rtl w:val="0"/>
          <w:lang w:val="it-IT"/>
        </w:rPr>
        <w:t>’</w:t>
      </w:r>
      <w:r>
        <w:rPr>
          <w:rFonts w:ascii="Book Antiqua"/>
          <w:color w:val="000000"/>
          <w:u w:color="000000"/>
          <w:rtl w:val="0"/>
          <w:lang w:val="it-IT"/>
        </w:rPr>
        <w:t>Oreste, dunque Pubblico Ufficiale Placidi nella qualit</w:t>
      </w:r>
      <w:r>
        <w:rPr>
          <w:rFonts w:hAnsi="Book Antiqua" w:hint="default"/>
          <w:color w:val="000000"/>
          <w:u w:color="000000"/>
          <w:rtl w:val="0"/>
          <w:lang w:val="it-IT"/>
        </w:rPr>
        <w:t xml:space="preserve">à </w:t>
      </w:r>
      <w:r>
        <w:rPr>
          <w:rFonts w:ascii="Book Antiqua"/>
          <w:color w:val="000000"/>
          <w:u w:color="000000"/>
          <w:rtl w:val="0"/>
          <w:lang w:val="it-IT"/>
        </w:rPr>
        <w:t>di responsabile U.T.C. del comune di S. Oreste e R.U. del procedimento, dunque Pubblico Ufficiale; Buzzi nella qualit</w:t>
      </w:r>
      <w:r>
        <w:rPr>
          <w:rFonts w:hAnsi="Book Antiqua" w:hint="default"/>
          <w:color w:val="000000"/>
          <w:u w:color="000000"/>
          <w:rtl w:val="0"/>
          <w:lang w:val="it-IT"/>
        </w:rPr>
        <w:t xml:space="preserve">à </w:t>
      </w:r>
      <w:r>
        <w:rPr>
          <w:rFonts w:ascii="Book Antiqua"/>
          <w:color w:val="000000"/>
          <w:u w:color="000000"/>
          <w:rtl w:val="0"/>
          <w:lang w:val="it-IT"/>
        </w:rPr>
        <w:t>di amministratore delle cooperative aggiudicatarie; Lucci, Garrone, Chiaravalle, Bugitti, collaboratori di Buzzi Menichelli e Placidi, nelle qualit</w:t>
      </w:r>
      <w:r>
        <w:rPr>
          <w:rFonts w:hAnsi="Book Antiqua" w:hint="default"/>
          <w:color w:val="000000"/>
          <w:u w:color="000000"/>
          <w:rtl w:val="0"/>
          <w:lang w:val="it-IT"/>
        </w:rPr>
        <w:t xml:space="preserve">à </w:t>
      </w:r>
      <w:r>
        <w:rPr>
          <w:rFonts w:ascii="Book Antiqua"/>
          <w:color w:val="000000"/>
          <w:u w:color="000000"/>
          <w:rtl w:val="0"/>
          <w:lang w:val="it-IT"/>
        </w:rPr>
        <w:t>indicate, per il compimento di atti contrari ai doveri del loro ufficio, consistenti:</w:t>
      </w:r>
    </w:p>
    <w:p>
      <w:pPr>
        <w:pStyle w:val="Normal"/>
        <w:widowControl w:val="0"/>
        <w:tabs>
          <w:tab w:val="left" w:pos="284"/>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nello svolgere le loro funzioni in violazione dei doveri d</w:t>
      </w:r>
      <w:r>
        <w:rPr>
          <w:rFonts w:hAnsi="Book Antiqua" w:hint="default"/>
          <w:color w:val="000000"/>
          <w:u w:color="000000"/>
          <w:rtl w:val="0"/>
          <w:lang w:val="it-IT"/>
        </w:rPr>
        <w:t>’</w:t>
      </w:r>
      <w:r>
        <w:rPr>
          <w:rFonts w:ascii="Book Antiqua"/>
          <w:color w:val="000000"/>
          <w:u w:color="000000"/>
          <w:rtl w:val="0"/>
          <w:lang w:val="it-IT"/>
        </w:rPr>
        <w:t>imparzialit</w:t>
      </w:r>
      <w:r>
        <w:rPr>
          <w:rFonts w:hAnsi="Book Antiqua" w:hint="default"/>
          <w:color w:val="000000"/>
          <w:u w:color="000000"/>
          <w:rtl w:val="0"/>
          <w:lang w:val="it-IT"/>
        </w:rPr>
        <w:t xml:space="preserve">à </w:t>
      </w:r>
      <w:r>
        <w:rPr>
          <w:rFonts w:ascii="Book Antiqua"/>
          <w:color w:val="000000"/>
          <w:u w:color="000000"/>
          <w:rtl w:val="0"/>
          <w:lang w:val="it-IT"/>
        </w:rPr>
        <w:t>della PA e nel turbare, a favore delle cooperative riconducibili a Buzzi, la regolarit</w:t>
      </w:r>
      <w:r>
        <w:rPr>
          <w:rFonts w:hAnsi="Book Antiqua" w:hint="default"/>
          <w:color w:val="000000"/>
          <w:u w:color="000000"/>
          <w:rtl w:val="0"/>
          <w:lang w:val="it-IT"/>
        </w:rPr>
        <w:t xml:space="preserve">à </w:t>
      </w:r>
      <w:r>
        <w:rPr>
          <w:rFonts w:ascii="Book Antiqua"/>
          <w:color w:val="000000"/>
          <w:u w:color="000000"/>
          <w:rtl w:val="0"/>
          <w:lang w:val="it-IT"/>
        </w:rPr>
        <w:t>della procedura di gara per l'affidamento dell'appalto del servizio di igiene urbana, servizi vari accessori, e fornitura di attrezzature e materiali d'uso per la raccolta differenziata CIG 560688865 indetta dal comune di S. Oreste, accordandosi con Buzzi e Lucci prima dell</w:t>
      </w:r>
      <w:r>
        <w:rPr>
          <w:rFonts w:hAnsi="Book Antiqua" w:hint="default"/>
          <w:color w:val="000000"/>
          <w:u w:color="000000"/>
          <w:rtl w:val="0"/>
          <w:lang w:val="it-IT"/>
        </w:rPr>
        <w:t>’</w:t>
      </w:r>
      <w:r>
        <w:rPr>
          <w:rFonts w:ascii="Book Antiqua"/>
          <w:color w:val="000000"/>
          <w:u w:color="000000"/>
          <w:rtl w:val="0"/>
          <w:lang w:val="it-IT"/>
        </w:rPr>
        <w:t>aggiudicazione e consentendo a costoro di sostituire le offerte originariamente presentate con altre redatte ad hoc materialmente dalla Garrone, in accordo con Guarany e Bugitti;</w:t>
      </w:r>
    </w:p>
    <w:p>
      <w:pPr>
        <w:pStyle w:val="Normal"/>
        <w:widowControl w:val="0"/>
        <w:tabs>
          <w:tab w:val="left" w:pos="284"/>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ricevevano: Menichelli la promessa di 30.000 euro; Placidi la consegna di una somma di almeno 10.000 euro</w:t>
      </w:r>
    </w:p>
    <w:p>
      <w:pPr>
        <w:pStyle w:val="Normal"/>
        <w:tabs>
          <w:tab w:val="left" w:pos="284"/>
        </w:tabs>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Con l</w:t>
      </w:r>
      <w:r>
        <w:rPr>
          <w:rFonts w:hAnsi="Book Antiqua" w:hint="default"/>
          <w:color w:val="000000"/>
          <w:u w:color="000000"/>
          <w:rtl w:val="0"/>
          <w:lang w:val="it-IT"/>
        </w:rPr>
        <w:t>’</w:t>
      </w:r>
      <w:r>
        <w:rPr>
          <w:rFonts w:ascii="Book Antiqua"/>
          <w:color w:val="000000"/>
          <w:u w:color="000000"/>
          <w:rtl w:val="0"/>
          <w:lang w:val="it-IT"/>
        </w:rPr>
        <w:t>aggravante di aver agito al fine di agevolare l</w:t>
      </w:r>
      <w:r>
        <w:rPr>
          <w:rFonts w:hAnsi="Book Antiqua" w:hint="default"/>
          <w:color w:val="000000"/>
          <w:u w:color="000000"/>
          <w:rtl w:val="0"/>
          <w:lang w:val="it-IT"/>
        </w:rPr>
        <w:t>’</w:t>
      </w:r>
      <w:r>
        <w:rPr>
          <w:rFonts w:ascii="Book Antiqua"/>
          <w:color w:val="000000"/>
          <w:u w:color="000000"/>
          <w:rtl w:val="0"/>
          <w:lang w:val="it-IT"/>
        </w:rPr>
        <w:t xml:space="preserve">associazione di tipo mafioso indicata al capo 1). </w:t>
      </w:r>
    </w:p>
    <w:p>
      <w:pPr>
        <w:pStyle w:val="Normal"/>
        <w:tabs>
          <w:tab w:val="left" w:pos="284"/>
        </w:tabs>
        <w:ind w:left="567" w:right="567" w:firstLine="0"/>
        <w:jc w:val="both"/>
        <w:rPr>
          <w:rFonts w:ascii="Book Antiqua" w:cs="Book Antiqua" w:hAnsi="Book Antiqua" w:eastAsia="Book Antiqua"/>
          <w:color w:val="000000"/>
          <w:u w:color="000000"/>
        </w:rPr>
      </w:pPr>
      <w:r>
        <w:rPr>
          <w:rFonts w:ascii="Book Antiqua"/>
          <w:color w:val="000000"/>
          <w:u w:color="000000"/>
          <w:rtl w:val="0"/>
          <w:lang w:val="it-IT"/>
        </w:rPr>
        <w:t>In Sant</w:t>
      </w:r>
      <w:r>
        <w:rPr>
          <w:rFonts w:hAnsi="Book Antiqua" w:hint="default"/>
          <w:color w:val="000000"/>
          <w:u w:color="000000"/>
          <w:rtl w:val="0"/>
          <w:lang w:val="it-IT"/>
        </w:rPr>
        <w:t>’</w:t>
      </w:r>
      <w:r>
        <w:rPr>
          <w:rFonts w:ascii="Book Antiqua"/>
          <w:color w:val="000000"/>
          <w:u w:color="000000"/>
          <w:rtl w:val="0"/>
          <w:lang w:val="it-IT"/>
        </w:rPr>
        <w:t>Oreste, nel 2014</w:t>
      </w:r>
    </w:p>
    <w:p>
      <w:pPr>
        <w:pStyle w:val="intervento"/>
        <w:spacing w:before="0" w:after="0"/>
        <w:ind w:left="567" w:right="567" w:firstLine="0"/>
        <w:jc w:val="both"/>
        <w:rPr>
          <w:rFonts w:ascii="Book Antiqua" w:cs="Book Antiqua" w:hAnsi="Book Antiqua" w:eastAsia="Book Antiqua"/>
        </w:rPr>
      </w:pPr>
    </w:p>
    <w:p>
      <w:pPr>
        <w:pStyle w:val="Normal"/>
      </w:pPr>
      <w:r>
        <w:rPr>
          <w:rFonts w:ascii="Arial" w:cs="Arial" w:hAnsi="Arial" w:eastAsia="Arial"/>
          <w:rtl w:val="0"/>
        </w:rPr>
        <w:br w:type="page"/>
      </w:r>
    </w:p>
    <w:p>
      <w:pPr>
        <w:pStyle w:val="Normal"/>
        <w:rPr>
          <w:rFonts w:ascii="Arial" w:cs="Arial" w:hAnsi="Arial" w:eastAsia="Arial"/>
        </w:rPr>
      </w:pPr>
    </w:p>
    <w:p>
      <w:pPr>
        <w:pStyle w:val="Normal"/>
        <w:rPr>
          <w:rFonts w:ascii="Arial" w:cs="Arial" w:hAnsi="Arial" w:eastAsia="Arial"/>
        </w:rPr>
      </w:pPr>
    </w:p>
    <w:p>
      <w:pPr>
        <w:pStyle w:val="Normal"/>
        <w:ind w:left="567" w:right="567" w:firstLine="0"/>
        <w:jc w:val="both"/>
        <w:rPr>
          <w:rFonts w:ascii="Arial" w:cs="Arial" w:hAnsi="Arial" w:eastAsia="Arial"/>
        </w:rPr>
      </w:pPr>
      <w:r>
        <w:rPr>
          <w:rFonts w:ascii="Arial"/>
          <w:rtl w:val="0"/>
          <w:lang w:val="it-IT"/>
        </w:rPr>
        <w:t>Allegato 1</w:t>
      </w:r>
    </w:p>
    <w:p>
      <w:pPr>
        <w:pStyle w:val="Normal"/>
        <w:ind w:left="567" w:right="567" w:firstLine="0"/>
        <w:jc w:val="both"/>
        <w:rPr>
          <w:rFonts w:ascii="Arial" w:cs="Arial" w:hAnsi="Arial" w:eastAsia="Arial"/>
        </w:rPr>
      </w:pPr>
    </w:p>
    <w:p>
      <w:pPr>
        <w:pStyle w:val="Normal"/>
        <w:ind w:left="567" w:right="567" w:firstLine="0"/>
        <w:jc w:val="both"/>
      </w:pPr>
      <w:r>
        <w:rPr>
          <w:rFonts w:ascii="Arial" w:cs="Arial" w:hAnsi="Arial" w:eastAsia="Arial"/>
          <w:rtl w:val="0"/>
        </w:rPr>
        <w:drawing>
          <wp:inline distT="0" distB="0" distL="0" distR="0">
            <wp:extent cx="6281531" cy="4141807"/>
            <wp:effectExtent l="0" t="0" r="0" b="0"/>
            <wp:docPr id="1073741884" name="officeArt object"/>
            <wp:cNvGraphicFramePr/>
            <a:graphic xmlns:a="http://schemas.openxmlformats.org/drawingml/2006/main">
              <a:graphicData uri="http://schemas.openxmlformats.org/drawingml/2006/picture">
                <pic:pic xmlns:pic="http://schemas.openxmlformats.org/drawingml/2006/picture">
                  <pic:nvPicPr>
                    <pic:cNvPr id="1073741884" name="image56.jpg"/>
                    <pic:cNvPicPr/>
                  </pic:nvPicPr>
                  <pic:blipFill>
                    <a:blip r:embed="rId86">
                      <a:extLst/>
                    </a:blip>
                    <a:stretch>
                      <a:fillRect/>
                    </a:stretch>
                  </pic:blipFill>
                  <pic:spPr>
                    <a:xfrm>
                      <a:off x="0" y="0"/>
                      <a:ext cx="6281531" cy="4141807"/>
                    </a:xfrm>
                    <a:prstGeom prst="rect">
                      <a:avLst/>
                    </a:prstGeom>
                    <a:ln w="12700" cap="flat">
                      <a:noFill/>
                      <a:miter lim="400000"/>
                    </a:ln>
                    <a:effectLst/>
                  </pic:spPr>
                </pic:pic>
              </a:graphicData>
            </a:graphic>
          </wp:inline>
        </w:drawing>
      </w:r>
    </w:p>
    <w:sectPr>
      <w:headerReference w:type="default" r:id="rId87"/>
      <w:footerReference w:type="default" r:id="rId88"/>
      <w:pgSz w:w="11900" w:h="16840" w:orient="portrait"/>
      <w:pgMar w:top="1417" w:right="1134" w:bottom="1134" w:left="1134" w:header="708" w:footer="708"/>
      <w:bidi w:val="0"/>
    </w:sectPr>
  </w:body>
</w:document>
</file>

<file path=word/fontTable.xml><?xml version="1.0" encoding="utf-8"?>
<w:fonts xmlns:w="http://schemas.openxmlformats.org/wordprocessingml/2006/main">
  <w:font w:name="Times New Roman">
    <w:charset w:val="00"/>
    <w:family w:val="roman"/>
    <w:pitch w:val="variable"/>
  </w:font>
  <w:font w:name="Symbol">
    <w:charset w:val="02"/>
    <w:family w:val="roman"/>
    <w:pitch w:val="variable"/>
  </w:font>
  <w:font w:name="Arial">
    <w:charset w:val="00"/>
    <w:family w:val="swiss"/>
    <w:pitch w:val="variable"/>
  </w:font>
  <w:font w:name="Arial Unicode MS">
    <w:charset w:val="00"/>
    <w:family w:val="roman"/>
    <w:pitch w:val="default"/>
  </w:font>
  <w:font w:name="Helvetica">
    <w:charset w:val="00"/>
    <w:family w:val="roman"/>
    <w:pitch w:val="default"/>
  </w:font>
  <w:font w:name="Times New Roman Bold">
    <w:charset w:val="00"/>
    <w:family w:val="roman"/>
    <w:pitch w:val="default"/>
  </w:font>
  <w:font w:name="Book Antiqua">
    <w:charset w:val="00"/>
    <w:family w:val="roman"/>
    <w:pitch w:val="default"/>
  </w:font>
  <w:font w:name="Calibri">
    <w:charset w:val="00"/>
    <w:family w:val="roman"/>
    <w:pitch w:val="default"/>
  </w:font>
  <w:font w:name="Courier New">
    <w:charset w:val="00"/>
    <w:family w:val="roman"/>
    <w:pitch w:val="default"/>
  </w:font>
  <w:font w:name="Book Antiqua Bold">
    <w:charset w:val="00"/>
    <w:family w:val="roman"/>
    <w:pitch w:val="default"/>
  </w:font>
  <w:font w:name="Trebuchet MS">
    <w:charset w:val="00"/>
    <w:family w:val="roman"/>
    <w:pitch w:val="default"/>
  </w:font>
  <w:font w:name="American Typewriter">
    <w:charset w:val="00"/>
    <w:family w:val="roman"/>
    <w:pitch w:val="default"/>
  </w:font>
  <w:font w:name="MS Mincho">
    <w:charset w:val="00"/>
    <w:family w:val="roman"/>
    <w:pitch w:val="default"/>
  </w:font>
  <w:font w:name="Arial Bold">
    <w:charset w:val="00"/>
    <w:family w:val="roman"/>
    <w:pitch w:val="default"/>
  </w:font>
  <w:font w:name="Garamond">
    <w:charset w:val="00"/>
    <w:family w:val="roman"/>
    <w:pitch w:val="default"/>
  </w:font>
  <w:font w:name="Times Roman">
    <w:charset w:val="00"/>
    <w:family w:val="roman"/>
    <w:pitch w:val="default"/>
  </w:font>
  <w:font w:name="Mona Lisa Solid ITC TT">
    <w:charset w:val="00"/>
    <w:family w:val="roman"/>
    <w:pitch w:val="default"/>
  </w:font>
  <w:font w:name="Liberation Serif">
    <w:charset w:val="00"/>
    <w:family w:val="roman"/>
    <w:pitch w:val="default"/>
  </w:font>
</w:fonts>
</file>

<file path=word/footer1.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mc:Ignorable="w14">
  <w:p>
    <w:pPr>
      <w:pStyle w:val="footer"/>
      <w:tabs>
        <w:tab w:val="right" w:pos="9612"/>
        <w:tab w:val="clear" w:pos="9638"/>
      </w:tabs>
      <w:jc w:val="right"/>
    </w:pPr>
    <w:r>
      <w:rPr>
        <w:rtl w:val="0"/>
        <w:lang w:val="it-IT"/>
      </w:rPr>
      <w:t xml:space="preserve">Pagina </w:t>
    </w:r>
    <w:r>
      <w:rPr>
        <w:rFonts w:ascii="Times New Roman Bold" w:cs="Times New Roman Bold" w:hAnsi="Times New Roman Bold" w:eastAsia="Times New Roman Bold"/>
        <w:rtl w:val="0"/>
      </w:rPr>
      <w:fldChar w:fldCharType="begin" w:fldLock="0"/>
    </w:r>
    <w:r>
      <w:rPr>
        <w:rFonts w:ascii="Times New Roman Bold" w:cs="Times New Roman Bold" w:hAnsi="Times New Roman Bold" w:eastAsia="Times New Roman Bold"/>
        <w:rtl w:val="0"/>
      </w:rPr>
      <w:t xml:space="preserve"> PAGE </w:t>
    </w:r>
    <w:r>
      <w:rPr>
        <w:rFonts w:ascii="Times New Roman Bold" w:cs="Times New Roman Bold" w:hAnsi="Times New Roman Bold" w:eastAsia="Times New Roman Bold"/>
        <w:rtl w:val="0"/>
      </w:rPr>
      <w:fldChar w:fldCharType="separate" w:fldLock="0"/>
    </w:r>
    <w:r>
      <w:rPr>
        <w:rFonts w:ascii="Times New Roman Bold" w:cs="Times New Roman Bold" w:hAnsi="Times New Roman Bold" w:eastAsia="Times New Roman Bold"/>
        <w:rtl w:val="0"/>
      </w:rPr>
      <w:t>65</w:t>
    </w:r>
    <w:r>
      <w:rPr>
        <w:rFonts w:ascii="Times New Roman Bold" w:cs="Times New Roman Bold" w:hAnsi="Times New Roman Bold" w:eastAsia="Times New Roman Bold"/>
        <w:rtl w:val="0"/>
      </w:rPr>
      <w:fldChar w:fldCharType="end" w:fldLock="0"/>
    </w:r>
    <w:r>
      <w:rPr>
        <w:rtl w:val="0"/>
        <w:lang w:val="it-IT"/>
      </w:rPr>
      <w:t xml:space="preserve"> di </w:t>
    </w:r>
    <w:r>
      <w:rPr>
        <w:rFonts w:ascii="Times New Roman Bold" w:cs="Times New Roman Bold" w:hAnsi="Times New Roman Bold" w:eastAsia="Times New Roman Bold"/>
        <w:rtl w:val="0"/>
      </w:rPr>
      <w:fldChar w:fldCharType="begin" w:fldLock="0"/>
    </w:r>
    <w:r>
      <w:rPr>
        <w:rFonts w:ascii="Times New Roman Bold" w:cs="Times New Roman Bold" w:hAnsi="Times New Roman Bold" w:eastAsia="Times New Roman Bold"/>
        <w:rtl w:val="0"/>
      </w:rPr>
      <w:t xml:space="preserve"> NUMPAGES </w:t>
    </w:r>
    <w:r>
      <w:rPr>
        <w:rFonts w:ascii="Times New Roman Bold" w:cs="Times New Roman Bold" w:hAnsi="Times New Roman Bold" w:eastAsia="Times New Roman Bold"/>
        <w:rtl w:val="0"/>
      </w:rPr>
      <w:fldChar w:fldCharType="separate" w:fldLock="0"/>
    </w:r>
    <w:r>
      <w:rPr>
        <w:rFonts w:ascii="Times New Roman Bold" w:cs="Times New Roman Bold" w:hAnsi="Times New Roman Bold" w:eastAsia="Times New Roman Bold"/>
        <w:rtl w:val="0"/>
      </w:rPr>
      <w:t>467</w:t>
    </w:r>
    <w:r>
      <w:rPr>
        <w:rFonts w:ascii="Times New Roman Bold" w:cs="Times New Roman Bold" w:hAnsi="Times New Roman Bold" w:eastAsia="Times New Roman Bold"/>
        <w:rtl w:val="0"/>
      </w:rPr>
      <w:fldChar w:fldCharType="end" w:fldLock="0"/>
    </w:r>
    <w:r>
      <w:rPr>
        <w:rFonts w:ascii="Times New Roman Bold" w:cs="Times New Roman Bold" w:hAnsi="Times New Roman Bold" w:eastAsia="Times New Roman Bold"/>
        <w:rtl w:val="0"/>
      </w:rPr>
    </w:r>
  </w:p>
</w:ftr>
</file>

<file path=word/footer2.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mc:Ignorable="w14">
  <w:p>
    <w:pPr>
      <w:pStyle w:val="footer"/>
      <w:tabs>
        <w:tab w:val="right" w:pos="9612"/>
        <w:tab w:val="clear" w:pos="9638"/>
      </w:tabs>
      <w:jc w:val="right"/>
    </w:pPr>
    <w:r>
      <w:rPr>
        <w:rtl w:val="0"/>
        <w:lang w:val="it-IT"/>
      </w:rPr>
      <w:t xml:space="preserve">Pagina </w:t>
    </w:r>
    <w:r>
      <w:rPr>
        <w:rFonts w:ascii="Times New Roman Bold" w:cs="Times New Roman Bold" w:hAnsi="Times New Roman Bold" w:eastAsia="Times New Roman Bold"/>
        <w:rtl w:val="0"/>
      </w:rPr>
      <w:fldChar w:fldCharType="begin" w:fldLock="0"/>
    </w:r>
    <w:r>
      <w:rPr>
        <w:rFonts w:ascii="Times New Roman Bold" w:cs="Times New Roman Bold" w:hAnsi="Times New Roman Bold" w:eastAsia="Times New Roman Bold"/>
        <w:rtl w:val="0"/>
      </w:rPr>
      <w:t xml:space="preserve"> PAGE </w:t>
    </w:r>
    <w:r>
      <w:rPr>
        <w:rFonts w:ascii="Times New Roman Bold" w:cs="Times New Roman Bold" w:hAnsi="Times New Roman Bold" w:eastAsia="Times New Roman Bold"/>
        <w:rtl w:val="0"/>
      </w:rPr>
      <w:fldChar w:fldCharType="separate" w:fldLock="0"/>
    </w:r>
    <w:r>
      <w:rPr>
        <w:rFonts w:ascii="Times New Roman Bold" w:cs="Times New Roman Bold" w:hAnsi="Times New Roman Bold" w:eastAsia="Times New Roman Bold"/>
        <w:rtl w:val="0"/>
      </w:rPr>
      <w:t>66</w:t>
    </w:r>
    <w:r>
      <w:rPr>
        <w:rFonts w:ascii="Times New Roman Bold" w:cs="Times New Roman Bold" w:hAnsi="Times New Roman Bold" w:eastAsia="Times New Roman Bold"/>
        <w:rtl w:val="0"/>
      </w:rPr>
      <w:fldChar w:fldCharType="end" w:fldLock="0"/>
    </w:r>
    <w:r>
      <w:rPr>
        <w:rtl w:val="0"/>
        <w:lang w:val="it-IT"/>
      </w:rPr>
      <w:t xml:space="preserve"> di </w:t>
    </w:r>
    <w:r>
      <w:rPr>
        <w:rFonts w:ascii="Times New Roman Bold" w:cs="Times New Roman Bold" w:hAnsi="Times New Roman Bold" w:eastAsia="Times New Roman Bold"/>
        <w:rtl w:val="0"/>
      </w:rPr>
      <w:fldChar w:fldCharType="begin" w:fldLock="0"/>
    </w:r>
    <w:r>
      <w:rPr>
        <w:rFonts w:ascii="Times New Roman Bold" w:cs="Times New Roman Bold" w:hAnsi="Times New Roman Bold" w:eastAsia="Times New Roman Bold"/>
        <w:rtl w:val="0"/>
      </w:rPr>
      <w:t xml:space="preserve"> NUMPAGES </w:t>
    </w:r>
    <w:r>
      <w:rPr>
        <w:rFonts w:ascii="Times New Roman Bold" w:cs="Times New Roman Bold" w:hAnsi="Times New Roman Bold" w:eastAsia="Times New Roman Bold"/>
        <w:rtl w:val="0"/>
      </w:rPr>
      <w:fldChar w:fldCharType="separate" w:fldLock="0"/>
    </w:r>
    <w:r>
      <w:rPr>
        <w:rFonts w:ascii="Times New Roman Bold" w:cs="Times New Roman Bold" w:hAnsi="Times New Roman Bold" w:eastAsia="Times New Roman Bold"/>
        <w:rtl w:val="0"/>
      </w:rPr>
      <w:t>467</w:t>
    </w:r>
    <w:r>
      <w:rPr>
        <w:rFonts w:ascii="Times New Roman Bold" w:cs="Times New Roman Bold" w:hAnsi="Times New Roman Bold" w:eastAsia="Times New Roman Bold"/>
        <w:rtl w:val="0"/>
      </w:rPr>
      <w:fldChar w:fldCharType="end" w:fldLock="0"/>
    </w:r>
    <w:r>
      <w:rPr>
        <w:rFonts w:ascii="Times New Roman Bold" w:cs="Times New Roman Bold" w:hAnsi="Times New Roman Bold" w:eastAsia="Times New Roman Bold"/>
        <w:rtl w:val="0"/>
      </w:rPr>
    </w:r>
  </w:p>
</w:ftr>
</file>

<file path=word/footer3.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mc:Ignorable="w14">
  <w:p>
    <w:pPr>
      <w:pStyle w:val="footer"/>
      <w:tabs>
        <w:tab w:val="right" w:pos="9612"/>
        <w:tab w:val="clear" w:pos="9638"/>
      </w:tabs>
      <w:jc w:val="right"/>
    </w:pPr>
    <w:r>
      <w:rPr>
        <w:rtl w:val="0"/>
        <w:lang w:val="it-IT"/>
      </w:rPr>
      <w:t xml:space="preserve">Pagina </w:t>
    </w:r>
    <w:r>
      <w:rPr>
        <w:rFonts w:ascii="Times New Roman Bold" w:cs="Times New Roman Bold" w:hAnsi="Times New Roman Bold" w:eastAsia="Times New Roman Bold"/>
        <w:rtl w:val="0"/>
      </w:rPr>
      <w:fldChar w:fldCharType="begin" w:fldLock="0"/>
    </w:r>
    <w:r>
      <w:rPr>
        <w:rFonts w:ascii="Times New Roman Bold" w:cs="Times New Roman Bold" w:hAnsi="Times New Roman Bold" w:eastAsia="Times New Roman Bold"/>
        <w:rtl w:val="0"/>
      </w:rPr>
      <w:t xml:space="preserve"> PAGE </w:t>
    </w:r>
    <w:r>
      <w:rPr>
        <w:rFonts w:ascii="Times New Roman Bold" w:cs="Times New Roman Bold" w:hAnsi="Times New Roman Bold" w:eastAsia="Times New Roman Bold"/>
        <w:rtl w:val="0"/>
      </w:rPr>
      <w:fldChar w:fldCharType="separate" w:fldLock="0"/>
    </w:r>
    <w:r>
      <w:rPr>
        <w:rFonts w:ascii="Times New Roman Bold" w:cs="Times New Roman Bold" w:hAnsi="Times New Roman Bold" w:eastAsia="Times New Roman Bold"/>
        <w:rtl w:val="0"/>
      </w:rPr>
      <w:t>467</w:t>
    </w:r>
    <w:r>
      <w:rPr>
        <w:rFonts w:ascii="Times New Roman Bold" w:cs="Times New Roman Bold" w:hAnsi="Times New Roman Bold" w:eastAsia="Times New Roman Bold"/>
        <w:rtl w:val="0"/>
      </w:rPr>
      <w:fldChar w:fldCharType="end" w:fldLock="0"/>
    </w:r>
    <w:r>
      <w:rPr>
        <w:rtl w:val="0"/>
        <w:lang w:val="it-IT"/>
      </w:rPr>
      <w:t xml:space="preserve"> di </w:t>
    </w:r>
    <w:r>
      <w:rPr>
        <w:rFonts w:ascii="Times New Roman Bold" w:cs="Times New Roman Bold" w:hAnsi="Times New Roman Bold" w:eastAsia="Times New Roman Bold"/>
        <w:rtl w:val="0"/>
      </w:rPr>
      <w:fldChar w:fldCharType="begin" w:fldLock="0"/>
    </w:r>
    <w:r>
      <w:rPr>
        <w:rFonts w:ascii="Times New Roman Bold" w:cs="Times New Roman Bold" w:hAnsi="Times New Roman Bold" w:eastAsia="Times New Roman Bold"/>
        <w:rtl w:val="0"/>
      </w:rPr>
      <w:t xml:space="preserve"> NUMPAGES </w:t>
    </w:r>
    <w:r>
      <w:rPr>
        <w:rFonts w:ascii="Times New Roman Bold" w:cs="Times New Roman Bold" w:hAnsi="Times New Roman Bold" w:eastAsia="Times New Roman Bold"/>
        <w:rtl w:val="0"/>
      </w:rPr>
      <w:fldChar w:fldCharType="separate" w:fldLock="0"/>
    </w:r>
    <w:r>
      <w:rPr>
        <w:rFonts w:ascii="Times New Roman Bold" w:cs="Times New Roman Bold" w:hAnsi="Times New Roman Bold" w:eastAsia="Times New Roman Bold"/>
        <w:rtl w:val="0"/>
      </w:rPr>
      <w:t>467</w:t>
    </w:r>
    <w:r>
      <w:rPr>
        <w:rFonts w:ascii="Times New Roman Bold" w:cs="Times New Roman Bold" w:hAnsi="Times New Roman Bold" w:eastAsia="Times New Roman Bold"/>
        <w:rtl w:val="0"/>
      </w:rPr>
      <w:fldChar w:fldCharType="end" w:fldLock="0"/>
    </w:r>
    <w:r>
      <w:rPr>
        <w:rFonts w:ascii="Times New Roman Bold" w:cs="Times New Roman Bold" w:hAnsi="Times New Roman Bold" w:eastAsia="Times New Roman Bold"/>
        <w:rtl w:val="0"/>
      </w:rPr>
    </w:r>
  </w:p>
</w:ftr>
</file>

<file path=word/footnotes.xml><?xml version="1.0" encoding="utf-8"?>
<w:footnotes xmlns:w="http://schemas.openxmlformats.org/wordprocessingml/2006/main" xmlns:r="http://schemas.openxmlformats.org/officeDocument/2006/relationships" xmlns:w14="http://schemas.microsoft.com/office/word/2010/wordml">
  <w:footnote w:type="separator" w:id="-1">
    <w:p>
      <w:r>
        <w:separator/>
      </w:r>
    </w:p>
  </w:footnote>
  <w:footnote w:type="continuationSeparator" w:id="0">
    <w:p>
      <w:r>
        <w:continuationSeparator/>
      </w:r>
    </w:p>
  </w:footnote>
  <w:footnote w:type="continuationNotice" w:id="-2">
    <w:p>
      <w:r>
        <w:t/>
      </w:r>
    </w:p>
  </w:footnote>
  <w:footnote w:id="1">
    <w:p>
      <w:pPr>
        <w:pStyle w:val="footnote text"/>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Di cui si parler</w:t>
      </w:r>
      <w:r>
        <w:rPr>
          <w:rFonts w:hAnsi="Book Antiqua" w:hint="default"/>
          <w:sz w:val="20"/>
          <w:szCs w:val="20"/>
          <w:rtl w:val="0"/>
          <w:lang w:val="it-IT"/>
        </w:rPr>
        <w:t xml:space="preserve">à </w:t>
      </w:r>
      <w:r>
        <w:rPr>
          <w:rFonts w:ascii="Book Antiqua"/>
          <w:sz w:val="20"/>
          <w:szCs w:val="20"/>
          <w:rtl w:val="0"/>
          <w:lang w:val="it-IT"/>
        </w:rPr>
        <w:t xml:space="preserve">nel </w:t>
      </w:r>
      <w:r>
        <w:rPr>
          <w:rFonts w:hAnsi="Book Antiqua" w:hint="default"/>
          <w:sz w:val="20"/>
          <w:szCs w:val="20"/>
          <w:rtl w:val="0"/>
          <w:lang w:val="it-IT"/>
        </w:rPr>
        <w:t xml:space="preserve">§ </w:t>
      </w:r>
      <w:r>
        <w:rPr>
          <w:rFonts w:ascii="Book Antiqua"/>
          <w:sz w:val="20"/>
          <w:szCs w:val="20"/>
          <w:rtl w:val="0"/>
          <w:lang w:val="it-IT"/>
        </w:rPr>
        <w:t xml:space="preserve">3.2; il procedimento si </w:t>
      </w:r>
      <w:r>
        <w:rPr>
          <w:rFonts w:hAnsi="Book Antiqua" w:hint="default"/>
          <w:sz w:val="20"/>
          <w:szCs w:val="20"/>
          <w:rtl w:val="0"/>
          <w:lang w:val="it-IT"/>
        </w:rPr>
        <w:t xml:space="preserve">è </w:t>
      </w:r>
      <w:r>
        <w:rPr>
          <w:rFonts w:ascii="Book Antiqua"/>
          <w:sz w:val="20"/>
          <w:szCs w:val="20"/>
          <w:rtl w:val="0"/>
          <w:lang w:val="it-IT"/>
        </w:rPr>
        <w:t>concluso senza lo scioglimento dell</w:t>
      </w:r>
      <w:r>
        <w:rPr>
          <w:rFonts w:hAnsi="Book Antiqua" w:hint="default"/>
          <w:sz w:val="20"/>
          <w:szCs w:val="20"/>
          <w:rtl w:val="0"/>
          <w:lang w:val="it-IT"/>
        </w:rPr>
        <w:t>’</w:t>
      </w:r>
      <w:r>
        <w:rPr>
          <w:rFonts w:ascii="Book Antiqua"/>
          <w:sz w:val="20"/>
          <w:szCs w:val="20"/>
          <w:rtl w:val="0"/>
          <w:lang w:val="it-IT"/>
        </w:rPr>
        <w:t>amministrazione di Roma Capitale</w:t>
      </w:r>
    </w:p>
  </w:footnote>
  <w:footnote w:id="2">
    <w:p>
      <w:pPr>
        <w:pStyle w:val="Normal"/>
        <w:widowControl w:val="0"/>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Si tratta di fenomeni gravi, tuttora persistenti, e solo in parte interagenti; sembra dunque riduttivo quanto affermato davanti alla Commissione, nell</w:t>
      </w:r>
      <w:r>
        <w:rPr>
          <w:rFonts w:hAnsi="Book Antiqua" w:hint="default"/>
          <w:sz w:val="20"/>
          <w:szCs w:val="20"/>
          <w:rtl w:val="0"/>
          <w:lang w:val="it-IT"/>
        </w:rPr>
        <w:t>’</w:t>
      </w:r>
      <w:r>
        <w:rPr>
          <w:rFonts w:ascii="Book Antiqua"/>
          <w:sz w:val="20"/>
          <w:szCs w:val="20"/>
          <w:rtl w:val="0"/>
          <w:lang w:val="it-IT"/>
        </w:rPr>
        <w:t>audizione del 31 gennaio 2017, dal responsabile del Dipartimento tutela ambiente del comune di Roma, Stefano Cicerani (che accompagnava l</w:t>
      </w:r>
      <w:r>
        <w:rPr>
          <w:rFonts w:hAnsi="Book Antiqua" w:hint="default"/>
          <w:sz w:val="20"/>
          <w:szCs w:val="20"/>
          <w:rtl w:val="0"/>
          <w:lang w:val="it-IT"/>
        </w:rPr>
        <w:t>’</w:t>
      </w:r>
      <w:r>
        <w:rPr>
          <w:rFonts w:ascii="Book Antiqua"/>
          <w:sz w:val="20"/>
          <w:szCs w:val="20"/>
          <w:rtl w:val="0"/>
          <w:lang w:val="it-IT"/>
        </w:rPr>
        <w:t>assessore alla sostenibilit</w:t>
      </w:r>
      <w:r>
        <w:rPr>
          <w:rFonts w:hAnsi="Book Antiqua" w:hint="default"/>
          <w:sz w:val="20"/>
          <w:szCs w:val="20"/>
          <w:rtl w:val="0"/>
          <w:lang w:val="it-IT"/>
        </w:rPr>
        <w:t xml:space="preserve">à </w:t>
      </w:r>
      <w:r>
        <w:rPr>
          <w:rFonts w:ascii="Book Antiqua"/>
          <w:sz w:val="20"/>
          <w:szCs w:val="20"/>
          <w:rtl w:val="0"/>
          <w:lang w:val="it-IT"/>
        </w:rPr>
        <w:t xml:space="preserve">ambientale, Giuseppina Montanari): </w:t>
      </w:r>
      <w:r>
        <w:rPr>
          <w:rFonts w:hAnsi="Book Antiqua" w:hint="default"/>
          <w:sz w:val="20"/>
          <w:szCs w:val="20"/>
          <w:rtl w:val="0"/>
          <w:lang w:val="it-IT"/>
        </w:rPr>
        <w:t>“</w:t>
      </w:r>
      <w:r>
        <w:rPr>
          <w:rFonts w:ascii="Book Antiqua"/>
          <w:color w:val="262626"/>
          <w:sz w:val="20"/>
          <w:szCs w:val="20"/>
          <w:u w:color="262626"/>
          <w:rtl w:val="0"/>
          <w:lang w:val="it-IT"/>
        </w:rPr>
        <w:t>Rispetto al tema del rovistaggio, da un approfondimento abbiamo appurato che quest'attivit</w:t>
      </w:r>
      <w:r>
        <w:rPr>
          <w:rFonts w:hAnsi="Book Antiqua" w:hint="default"/>
          <w:color w:val="262626"/>
          <w:sz w:val="20"/>
          <w:szCs w:val="20"/>
          <w:u w:color="262626"/>
          <w:rtl w:val="0"/>
          <w:lang w:val="it-IT"/>
        </w:rPr>
        <w:t xml:space="preserve">à </w:t>
      </w:r>
      <w:r>
        <w:rPr>
          <w:rFonts w:ascii="Book Antiqua"/>
          <w:color w:val="262626"/>
          <w:sz w:val="20"/>
          <w:szCs w:val="20"/>
          <w:u w:color="262626"/>
          <w:rtl w:val="0"/>
          <w:lang w:val="it-IT"/>
        </w:rPr>
        <w:t>riguarda prevalentemente attivit</w:t>
      </w:r>
      <w:r>
        <w:rPr>
          <w:rFonts w:hAnsi="Book Antiqua" w:hint="default"/>
          <w:color w:val="262626"/>
          <w:sz w:val="20"/>
          <w:szCs w:val="20"/>
          <w:u w:color="262626"/>
          <w:rtl w:val="0"/>
          <w:lang w:val="it-IT"/>
        </w:rPr>
        <w:t xml:space="preserve">à </w:t>
      </w:r>
      <w:r>
        <w:rPr>
          <w:rFonts w:ascii="Book Antiqua"/>
          <w:color w:val="262626"/>
          <w:sz w:val="20"/>
          <w:szCs w:val="20"/>
          <w:u w:color="262626"/>
          <w:rtl w:val="0"/>
          <w:lang w:val="it-IT"/>
        </w:rPr>
        <w:t>di piccoli RAEE presenti all'interno dei cassonetti di RSU, oltre che di altri materiali rivendibili dai Rom. Evidentemente, ci</w:t>
      </w:r>
      <w:r>
        <w:rPr>
          <w:rFonts w:hAnsi="Book Antiqua" w:hint="default"/>
          <w:color w:val="262626"/>
          <w:sz w:val="20"/>
          <w:szCs w:val="20"/>
          <w:u w:color="262626"/>
          <w:rtl w:val="0"/>
          <w:lang w:val="it-IT"/>
        </w:rPr>
        <w:t xml:space="preserve">ò </w:t>
      </w:r>
      <w:r>
        <w:rPr>
          <w:rFonts w:ascii="Book Antiqua"/>
          <w:color w:val="262626"/>
          <w:sz w:val="20"/>
          <w:szCs w:val="20"/>
          <w:u w:color="262626"/>
          <w:rtl w:val="0"/>
          <w:lang w:val="it-IT"/>
        </w:rPr>
        <w:t xml:space="preserve">che provoca dei roghi tossici </w:t>
      </w:r>
      <w:r>
        <w:rPr>
          <w:rFonts w:hAnsi="Book Antiqua" w:hint="default"/>
          <w:color w:val="262626"/>
          <w:sz w:val="20"/>
          <w:szCs w:val="20"/>
          <w:u w:color="262626"/>
          <w:rtl w:val="0"/>
          <w:lang w:val="it-IT"/>
        </w:rPr>
        <w:t xml:space="preserve">è </w:t>
      </w:r>
      <w:r>
        <w:rPr>
          <w:rFonts w:ascii="Book Antiqua"/>
          <w:color w:val="262626"/>
          <w:sz w:val="20"/>
          <w:szCs w:val="20"/>
          <w:u w:color="262626"/>
          <w:rtl w:val="0"/>
          <w:lang w:val="it-IT"/>
        </w:rPr>
        <w:t>ci</w:t>
      </w:r>
      <w:r>
        <w:rPr>
          <w:rFonts w:hAnsi="Book Antiqua" w:hint="default"/>
          <w:color w:val="262626"/>
          <w:sz w:val="20"/>
          <w:szCs w:val="20"/>
          <w:u w:color="262626"/>
          <w:rtl w:val="0"/>
          <w:lang w:val="it-IT"/>
        </w:rPr>
        <w:t xml:space="preserve">ò </w:t>
      </w:r>
      <w:r>
        <w:rPr>
          <w:rFonts w:ascii="Book Antiqua"/>
          <w:color w:val="262626"/>
          <w:sz w:val="20"/>
          <w:szCs w:val="20"/>
          <w:u w:color="262626"/>
          <w:rtl w:val="0"/>
          <w:lang w:val="it-IT"/>
        </w:rPr>
        <w:t xml:space="preserve">che </w:t>
      </w:r>
      <w:r>
        <w:rPr>
          <w:rFonts w:hAnsi="Book Antiqua" w:hint="default"/>
          <w:color w:val="262626"/>
          <w:sz w:val="20"/>
          <w:szCs w:val="20"/>
          <w:u w:color="262626"/>
          <w:rtl w:val="0"/>
          <w:lang w:val="it-IT"/>
        </w:rPr>
        <w:t xml:space="preserve">è </w:t>
      </w:r>
      <w:r>
        <w:rPr>
          <w:rFonts w:ascii="Book Antiqua"/>
          <w:color w:val="262626"/>
          <w:sz w:val="20"/>
          <w:szCs w:val="20"/>
          <w:u w:color="262626"/>
          <w:rtl w:val="0"/>
          <w:lang w:val="it-IT"/>
        </w:rPr>
        <w:t>presente nel RAEE, che viene depurato delle materie plastiche per poter vendere del metallo privato della materia plastica. Noi stiamo facendo un progetto che vogliamo mettere in campo in maniera forte con le associazioni di categoria delle imprese. Abbiamo un tavolo ormai aperto che sta lavorando con tutte le parti in causa, tutte le grandi associazioni di categoria delle piccole e medie imprese e dei commercianti di Roma per avvicinare la consegna del piccolo RAEE per il cittadino, renderla semplice, avviando una serie di accordi con i commercianti che consentanodi consegnare il RAEE nei pressi di casa. Contiamo di informatizzare tutto questo sistema su una piattaforma Web</w:t>
      </w:r>
      <w:r>
        <w:rPr>
          <w:rFonts w:hAnsi="Book Antiqua" w:hint="default"/>
          <w:color w:val="262626"/>
          <w:sz w:val="20"/>
          <w:szCs w:val="20"/>
          <w:u w:color="262626"/>
          <w:rtl w:val="0"/>
          <w:lang w:val="it-IT"/>
        </w:rPr>
        <w:t>”</w:t>
      </w:r>
      <w:r>
        <w:rPr>
          <w:rFonts w:ascii="Book Antiqua"/>
          <w:color w:val="262626"/>
          <w:sz w:val="20"/>
          <w:szCs w:val="20"/>
          <w:u w:color="262626"/>
          <w:rtl w:val="0"/>
          <w:lang w:val="it-IT"/>
        </w:rPr>
        <w:t>; invero il medesimo audito, in una successiva audizione del 17 ottobre 2017 in cui ha accompagnato l</w:t>
      </w:r>
      <w:r>
        <w:rPr>
          <w:rFonts w:hAnsi="Book Antiqua" w:hint="default"/>
          <w:color w:val="262626"/>
          <w:sz w:val="20"/>
          <w:szCs w:val="20"/>
          <w:u w:color="262626"/>
          <w:rtl w:val="0"/>
          <w:lang w:val="it-IT"/>
        </w:rPr>
        <w:t>’</w:t>
      </w:r>
      <w:r>
        <w:rPr>
          <w:rFonts w:ascii="Book Antiqua"/>
          <w:color w:val="262626"/>
          <w:sz w:val="20"/>
          <w:szCs w:val="20"/>
          <w:u w:color="262626"/>
          <w:rtl w:val="0"/>
          <w:lang w:val="it-IT"/>
        </w:rPr>
        <w:t>assessora alla sostenibilit</w:t>
      </w:r>
      <w:r>
        <w:rPr>
          <w:rFonts w:hAnsi="Book Antiqua" w:hint="default"/>
          <w:color w:val="262626"/>
          <w:sz w:val="20"/>
          <w:szCs w:val="20"/>
          <w:u w:color="262626"/>
          <w:rtl w:val="0"/>
          <w:lang w:val="it-IT"/>
        </w:rPr>
        <w:t xml:space="preserve">à </w:t>
      </w:r>
      <w:r>
        <w:rPr>
          <w:rFonts w:ascii="Book Antiqua"/>
          <w:color w:val="262626"/>
          <w:sz w:val="20"/>
          <w:szCs w:val="20"/>
          <w:u w:color="262626"/>
          <w:rtl w:val="0"/>
          <w:lang w:val="it-IT"/>
        </w:rPr>
        <w:t>ambientale, Giuseppina Montanari, ha riferito di ulteriori impegni dell</w:t>
      </w:r>
      <w:r>
        <w:rPr>
          <w:rFonts w:hAnsi="Book Antiqua" w:hint="default"/>
          <w:color w:val="262626"/>
          <w:sz w:val="20"/>
          <w:szCs w:val="20"/>
          <w:u w:color="262626"/>
          <w:rtl w:val="0"/>
          <w:lang w:val="it-IT"/>
        </w:rPr>
        <w:t>’</w:t>
      </w:r>
      <w:r>
        <w:rPr>
          <w:rFonts w:ascii="Book Antiqua"/>
          <w:color w:val="262626"/>
          <w:sz w:val="20"/>
          <w:szCs w:val="20"/>
          <w:u w:color="262626"/>
          <w:rtl w:val="0"/>
          <w:lang w:val="it-IT"/>
        </w:rPr>
        <w:t>amministrazione romana sui medesimi temi.</w:t>
      </w:r>
    </w:p>
  </w:footnote>
  <w:footnote w:id="3">
    <w:p>
      <w:pPr>
        <w:pStyle w:val="Normal"/>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Secondo l</w:t>
      </w:r>
      <w:r>
        <w:rPr>
          <w:rFonts w:hAnsi="Book Antiqua" w:hint="default"/>
          <w:sz w:val="20"/>
          <w:szCs w:val="20"/>
          <w:rtl w:val="0"/>
          <w:lang w:val="it-IT"/>
        </w:rPr>
        <w:t>’</w:t>
      </w:r>
      <w:r>
        <w:rPr>
          <w:rFonts w:ascii="Book Antiqua"/>
          <w:sz w:val="20"/>
          <w:szCs w:val="20"/>
          <w:rtl w:val="0"/>
          <w:lang w:val="it-IT"/>
        </w:rPr>
        <w:t>audito, tuttavia, la vicenda Fiscon getta una luce non positiva sul tentativo di discontinuit</w:t>
      </w:r>
      <w:r>
        <w:rPr>
          <w:rFonts w:hAnsi="Book Antiqua" w:hint="default"/>
          <w:sz w:val="20"/>
          <w:szCs w:val="20"/>
          <w:rtl w:val="0"/>
          <w:lang w:val="it-IT"/>
        </w:rPr>
        <w:t>à</w:t>
      </w:r>
      <w:r>
        <w:rPr>
          <w:rFonts w:ascii="Book Antiqua"/>
          <w:sz w:val="20"/>
          <w:szCs w:val="20"/>
          <w:rtl w:val="0"/>
          <w:lang w:val="it-IT"/>
        </w:rPr>
        <w:t>, perch</w:t>
      </w:r>
      <w:r>
        <w:rPr>
          <w:rFonts w:hAnsi="Book Antiqua" w:hint="default"/>
          <w:sz w:val="20"/>
          <w:szCs w:val="20"/>
          <w:rtl w:val="0"/>
          <w:lang w:val="it-IT"/>
        </w:rPr>
        <w:t xml:space="preserve">é </w:t>
      </w:r>
      <w:r>
        <w:rPr>
          <w:rFonts w:ascii="Book Antiqua"/>
          <w:sz w:val="20"/>
          <w:szCs w:val="20"/>
          <w:rtl w:val="0"/>
          <w:lang w:val="it-IT"/>
        </w:rPr>
        <w:t>nonostante il sindaco Marino volesse la sostituzione del direttore generale Fiscon a seguito delle criticit</w:t>
      </w:r>
      <w:r>
        <w:rPr>
          <w:rFonts w:hAnsi="Book Antiqua" w:hint="default"/>
          <w:sz w:val="20"/>
          <w:szCs w:val="20"/>
          <w:rtl w:val="0"/>
          <w:lang w:val="it-IT"/>
        </w:rPr>
        <w:t xml:space="preserve">à </w:t>
      </w:r>
      <w:r>
        <w:rPr>
          <w:rFonts w:ascii="Book Antiqua"/>
          <w:sz w:val="20"/>
          <w:szCs w:val="20"/>
          <w:rtl w:val="0"/>
          <w:lang w:val="it-IT"/>
        </w:rPr>
        <w:t>intervenute nell</w:t>
      </w:r>
      <w:r>
        <w:rPr>
          <w:rFonts w:hAnsi="Book Antiqua" w:hint="default"/>
          <w:sz w:val="20"/>
          <w:szCs w:val="20"/>
          <w:rtl w:val="0"/>
          <w:lang w:val="it-IT"/>
        </w:rPr>
        <w:t>’</w:t>
      </w:r>
      <w:r>
        <w:rPr>
          <w:rFonts w:ascii="Book Antiqua"/>
          <w:sz w:val="20"/>
          <w:szCs w:val="20"/>
          <w:rtl w:val="0"/>
          <w:lang w:val="it-IT"/>
        </w:rPr>
        <w:t>estate del 2013, una serie di convergenti interessi nell</w:t>
      </w:r>
      <w:r>
        <w:rPr>
          <w:rFonts w:hAnsi="Book Antiqua" w:hint="default"/>
          <w:sz w:val="20"/>
          <w:szCs w:val="20"/>
          <w:rtl w:val="0"/>
          <w:lang w:val="it-IT"/>
        </w:rPr>
        <w:t>’</w:t>
      </w:r>
      <w:r>
        <w:rPr>
          <w:rFonts w:ascii="Book Antiqua"/>
          <w:sz w:val="20"/>
          <w:szCs w:val="20"/>
          <w:rtl w:val="0"/>
          <w:lang w:val="it-IT"/>
        </w:rPr>
        <w:t xml:space="preserve">ambito del consiglio comunale, in assoluta posizione </w:t>
      </w:r>
      <w:r>
        <w:rPr>
          <w:rFonts w:ascii="Book Antiqua"/>
          <w:i w:val="1"/>
          <w:iCs w:val="1"/>
          <w:sz w:val="20"/>
          <w:szCs w:val="20"/>
          <w:rtl w:val="0"/>
          <w:lang w:val="it-IT"/>
        </w:rPr>
        <w:t xml:space="preserve">bipartisan, </w:t>
      </w:r>
      <w:r>
        <w:rPr>
          <w:rFonts w:ascii="Book Antiqua"/>
          <w:sz w:val="20"/>
          <w:szCs w:val="20"/>
          <w:rtl w:val="0"/>
          <w:lang w:val="it-IT"/>
        </w:rPr>
        <w:t>non ne consent</w:t>
      </w:r>
      <w:r>
        <w:rPr>
          <w:rFonts w:hAnsi="Book Antiqua" w:hint="default"/>
          <w:sz w:val="20"/>
          <w:szCs w:val="20"/>
          <w:rtl w:val="0"/>
          <w:lang w:val="it-IT"/>
        </w:rPr>
        <w:t xml:space="preserve">ì </w:t>
      </w:r>
      <w:r>
        <w:rPr>
          <w:rFonts w:ascii="Book Antiqua"/>
          <w:sz w:val="20"/>
          <w:szCs w:val="20"/>
          <w:rtl w:val="0"/>
          <w:lang w:val="it-IT"/>
        </w:rPr>
        <w:t>la rimozione, avendo Fiscon ricevuto la protezione dell</w:t>
      </w:r>
      <w:r>
        <w:rPr>
          <w:rFonts w:hAnsi="Book Antiqua" w:hint="default"/>
          <w:sz w:val="20"/>
          <w:szCs w:val="20"/>
          <w:rtl w:val="0"/>
          <w:lang w:val="it-IT"/>
        </w:rPr>
        <w:t>’</w:t>
      </w:r>
      <w:r>
        <w:rPr>
          <w:rFonts w:ascii="Book Antiqua"/>
          <w:sz w:val="20"/>
          <w:szCs w:val="20"/>
          <w:rtl w:val="0"/>
          <w:lang w:val="it-IT"/>
        </w:rPr>
        <w:t>allora presidente del consiglio comunale Coratti, che ne garant</w:t>
      </w:r>
      <w:r>
        <w:rPr>
          <w:rFonts w:hAnsi="Book Antiqua" w:hint="default"/>
          <w:sz w:val="20"/>
          <w:szCs w:val="20"/>
          <w:rtl w:val="0"/>
          <w:lang w:val="it-IT"/>
        </w:rPr>
        <w:t xml:space="preserve">ì </w:t>
      </w:r>
      <w:r>
        <w:rPr>
          <w:rFonts w:ascii="Book Antiqua"/>
          <w:sz w:val="20"/>
          <w:szCs w:val="20"/>
          <w:rtl w:val="0"/>
          <w:lang w:val="it-IT"/>
        </w:rPr>
        <w:t xml:space="preserve">la permanenza contro il parere del sindaco; Fiscon </w:t>
      </w:r>
      <w:r>
        <w:rPr>
          <w:rFonts w:hAnsi="Book Antiqua" w:hint="default"/>
          <w:sz w:val="20"/>
          <w:szCs w:val="20"/>
          <w:rtl w:val="0"/>
          <w:lang w:val="it-IT"/>
        </w:rPr>
        <w:t xml:space="preserve">è </w:t>
      </w:r>
      <w:r>
        <w:rPr>
          <w:rFonts w:ascii="Book Antiqua"/>
          <w:sz w:val="20"/>
          <w:szCs w:val="20"/>
          <w:rtl w:val="0"/>
          <w:lang w:val="it-IT"/>
        </w:rPr>
        <w:t xml:space="preserve">poi stato sostituito, ma la sostituzione </w:t>
      </w:r>
      <w:r>
        <w:rPr>
          <w:rFonts w:hAnsi="Book Antiqua" w:hint="default"/>
          <w:sz w:val="20"/>
          <w:szCs w:val="20"/>
          <w:rtl w:val="0"/>
          <w:lang w:val="it-IT"/>
        </w:rPr>
        <w:t xml:space="preserve">è </w:t>
      </w:r>
      <w:r>
        <w:rPr>
          <w:rFonts w:ascii="Book Antiqua"/>
          <w:sz w:val="20"/>
          <w:szCs w:val="20"/>
          <w:rtl w:val="0"/>
          <w:lang w:val="it-IT"/>
        </w:rPr>
        <w:t>intervenuta solo a seguito di un provvedimento giudiziario.</w:t>
      </w:r>
    </w:p>
  </w:footnote>
  <w:footnote w:id="4">
    <w:p>
      <w:pPr>
        <w:pStyle w:val="footnote text"/>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E</w:t>
      </w:r>
      <w:r>
        <w:rPr>
          <w:rFonts w:hAnsi="Book Antiqua" w:hint="default"/>
          <w:sz w:val="20"/>
          <w:szCs w:val="20"/>
          <w:rtl w:val="0"/>
          <w:lang w:val="it-IT"/>
        </w:rPr>
        <w:t xml:space="preserve">’ </w:t>
      </w:r>
      <w:r>
        <w:rPr>
          <w:rFonts w:ascii="Book Antiqua"/>
          <w:sz w:val="20"/>
          <w:szCs w:val="20"/>
          <w:rtl w:val="0"/>
          <w:lang w:val="it-IT"/>
        </w:rPr>
        <w:t>successivamente intervenuto un nuovo contratto di servizio, di cui si parler</w:t>
      </w:r>
      <w:r>
        <w:rPr>
          <w:rFonts w:hAnsi="Book Antiqua" w:hint="default"/>
          <w:sz w:val="20"/>
          <w:szCs w:val="20"/>
          <w:rtl w:val="0"/>
          <w:lang w:val="it-IT"/>
        </w:rPr>
        <w:t xml:space="preserve">à </w:t>
      </w:r>
      <w:r>
        <w:rPr>
          <w:rFonts w:ascii="Book Antiqua"/>
          <w:sz w:val="20"/>
          <w:szCs w:val="20"/>
          <w:rtl w:val="0"/>
          <w:lang w:val="it-IT"/>
        </w:rPr>
        <w:t xml:space="preserve">nel </w:t>
      </w:r>
      <w:r>
        <w:rPr>
          <w:rFonts w:hAnsi="Book Antiqua" w:hint="default"/>
          <w:sz w:val="20"/>
          <w:szCs w:val="20"/>
          <w:rtl w:val="0"/>
          <w:lang w:val="it-IT"/>
        </w:rPr>
        <w:t xml:space="preserve">§ </w:t>
      </w:r>
      <w:r>
        <w:rPr>
          <w:rFonts w:ascii="Book Antiqua"/>
          <w:sz w:val="20"/>
          <w:szCs w:val="20"/>
          <w:rtl w:val="0"/>
          <w:lang w:val="it-IT"/>
        </w:rPr>
        <w:t>2.3.2</w:t>
      </w:r>
    </w:p>
  </w:footnote>
  <w:footnote w:id="5">
    <w:p>
      <w:pPr>
        <w:pStyle w:val="Normal"/>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La questione dei roghi nei campi nomadi e in particolare il caso di quello di via Salone sono stati affrontati nella seduta della Commissione del 12 luglio 2017, in cui sono stati auditi rappresentanti di diversi comitati: Coordinamento Associazioni Roma Est, Associazione IV Municipio Case Rosse, CAOP Ponte di Nona, Associazione A.C. Mure a Dritta Settecamini.</w:t>
      </w:r>
    </w:p>
  </w:footnote>
  <w:footnote w:id="6">
    <w:p>
      <w:pPr>
        <w:pStyle w:val="footnote text"/>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Il tema </w:t>
      </w:r>
      <w:r>
        <w:rPr>
          <w:rFonts w:hAnsi="Book Antiqua" w:hint="default"/>
          <w:sz w:val="20"/>
          <w:szCs w:val="20"/>
          <w:rtl w:val="0"/>
          <w:lang w:val="it-IT"/>
        </w:rPr>
        <w:t xml:space="preserve">è </w:t>
      </w:r>
      <w:r>
        <w:rPr>
          <w:rFonts w:ascii="Book Antiqua"/>
          <w:sz w:val="20"/>
          <w:szCs w:val="20"/>
          <w:rtl w:val="0"/>
          <w:lang w:val="it-IT"/>
        </w:rPr>
        <w:t>stato oggetto dell</w:t>
      </w:r>
      <w:r>
        <w:rPr>
          <w:rFonts w:hAnsi="Book Antiqua" w:hint="default"/>
          <w:sz w:val="20"/>
          <w:szCs w:val="20"/>
          <w:rtl w:val="0"/>
          <w:lang w:val="it-IT"/>
        </w:rPr>
        <w:t>’</w:t>
      </w:r>
      <w:r>
        <w:rPr>
          <w:rFonts w:ascii="Book Antiqua"/>
          <w:sz w:val="20"/>
          <w:szCs w:val="20"/>
          <w:rtl w:val="0"/>
          <w:lang w:val="it-IT"/>
        </w:rPr>
        <w:t>audizione del 17 ottobre 2017 dell</w:t>
      </w:r>
      <w:r>
        <w:rPr>
          <w:rFonts w:hAnsi="Book Antiqua" w:hint="default"/>
          <w:sz w:val="20"/>
          <w:szCs w:val="20"/>
          <w:rtl w:val="0"/>
          <w:lang w:val="it-IT"/>
        </w:rPr>
        <w:t>’</w:t>
      </w:r>
      <w:r>
        <w:rPr>
          <w:rFonts w:ascii="Book Antiqua"/>
          <w:sz w:val="20"/>
          <w:szCs w:val="20"/>
          <w:rtl w:val="0"/>
          <w:lang w:val="it-IT"/>
        </w:rPr>
        <w:t>assessora alla sostenibilit</w:t>
      </w:r>
      <w:r>
        <w:rPr>
          <w:rFonts w:hAnsi="Book Antiqua" w:hint="default"/>
          <w:sz w:val="20"/>
          <w:szCs w:val="20"/>
          <w:rtl w:val="0"/>
          <w:lang w:val="it-IT"/>
        </w:rPr>
        <w:t xml:space="preserve">à </w:t>
      </w:r>
      <w:r>
        <w:rPr>
          <w:rFonts w:ascii="Book Antiqua"/>
          <w:sz w:val="20"/>
          <w:szCs w:val="20"/>
          <w:rtl w:val="0"/>
          <w:lang w:val="it-IT"/>
        </w:rPr>
        <w:t>ambientale, Giuseppina Montanari, su cui si torner</w:t>
      </w:r>
      <w:r>
        <w:rPr>
          <w:rFonts w:hAnsi="Book Antiqua" w:hint="default"/>
          <w:sz w:val="20"/>
          <w:szCs w:val="20"/>
          <w:rtl w:val="0"/>
          <w:lang w:val="it-IT"/>
        </w:rPr>
        <w:t xml:space="preserve">à </w:t>
      </w:r>
      <w:r>
        <w:rPr>
          <w:rFonts w:ascii="Book Antiqua"/>
          <w:sz w:val="20"/>
          <w:szCs w:val="20"/>
          <w:rtl w:val="0"/>
          <w:lang w:val="it-IT"/>
        </w:rPr>
        <w:t xml:space="preserve">nei </w:t>
      </w:r>
      <w:r>
        <w:rPr>
          <w:rFonts w:hAnsi="Book Antiqua" w:hint="default"/>
          <w:sz w:val="20"/>
          <w:szCs w:val="20"/>
          <w:rtl w:val="0"/>
          <w:lang w:val="it-IT"/>
        </w:rPr>
        <w:t xml:space="preserve">§§ </w:t>
      </w:r>
      <w:r>
        <w:rPr>
          <w:rFonts w:ascii="Book Antiqua"/>
          <w:sz w:val="20"/>
          <w:szCs w:val="20"/>
          <w:rtl w:val="0"/>
          <w:lang w:val="it-IT"/>
        </w:rPr>
        <w:t>3.1 e 6.2</w:t>
      </w:r>
    </w:p>
  </w:footnote>
  <w:footnote w:id="7">
    <w:p>
      <w:pPr>
        <w:pStyle w:val="footnote text"/>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Degli esiti di queste indagini, cos</w:t>
      </w:r>
      <w:r>
        <w:rPr>
          <w:rFonts w:hAnsi="Book Antiqua" w:hint="default"/>
          <w:sz w:val="20"/>
          <w:szCs w:val="20"/>
          <w:rtl w:val="0"/>
          <w:lang w:val="it-IT"/>
        </w:rPr>
        <w:t xml:space="preserve">ì </w:t>
      </w:r>
      <w:r>
        <w:rPr>
          <w:rFonts w:ascii="Book Antiqua"/>
          <w:sz w:val="20"/>
          <w:szCs w:val="20"/>
          <w:rtl w:val="0"/>
          <w:lang w:val="it-IT"/>
        </w:rPr>
        <w:t>come di quelle riguardanti gli aspetti ambientali, di seguito riportate sulla base delle dichiarazioni del procuratore della Repubblica di Roma, ci si occuper</w:t>
      </w:r>
      <w:r>
        <w:rPr>
          <w:rFonts w:hAnsi="Book Antiqua" w:hint="default"/>
          <w:sz w:val="20"/>
          <w:szCs w:val="20"/>
          <w:rtl w:val="0"/>
          <w:lang w:val="it-IT"/>
        </w:rPr>
        <w:t xml:space="preserve">à </w:t>
      </w:r>
      <w:r>
        <w:rPr>
          <w:rFonts w:ascii="Book Antiqua"/>
          <w:sz w:val="20"/>
          <w:szCs w:val="20"/>
          <w:rtl w:val="0"/>
          <w:lang w:val="it-IT"/>
        </w:rPr>
        <w:t xml:space="preserve">nel </w:t>
      </w:r>
      <w:r>
        <w:rPr>
          <w:rFonts w:hAnsi="Book Antiqua" w:hint="default"/>
          <w:sz w:val="20"/>
          <w:szCs w:val="20"/>
          <w:rtl w:val="0"/>
          <w:lang w:val="it-IT"/>
        </w:rPr>
        <w:t xml:space="preserve">§ </w:t>
      </w:r>
      <w:r>
        <w:rPr>
          <w:rFonts w:ascii="Book Antiqua"/>
          <w:sz w:val="20"/>
          <w:szCs w:val="20"/>
          <w:rtl w:val="0"/>
          <w:lang w:val="it-IT"/>
        </w:rPr>
        <w:t>3.3</w:t>
      </w:r>
    </w:p>
  </w:footnote>
  <w:footnote w:id="8">
    <w:p>
      <w:pPr>
        <w:pStyle w:val="footnote text"/>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A partire dall</w:t>
      </w:r>
      <w:r>
        <w:rPr>
          <w:rFonts w:hAnsi="Book Antiqua" w:hint="default"/>
          <w:sz w:val="20"/>
          <w:szCs w:val="20"/>
          <w:rtl w:val="0"/>
          <w:lang w:val="it-IT"/>
        </w:rPr>
        <w:t>’</w:t>
      </w:r>
      <w:r>
        <w:rPr>
          <w:rFonts w:ascii="Book Antiqua"/>
          <w:sz w:val="20"/>
          <w:szCs w:val="20"/>
          <w:rtl w:val="0"/>
          <w:lang w:val="it-IT"/>
        </w:rPr>
        <w:t xml:space="preserve">estate del 2016 </w:t>
      </w:r>
      <w:r>
        <w:rPr>
          <w:rFonts w:hAnsi="Book Antiqua" w:hint="default"/>
          <w:sz w:val="20"/>
          <w:szCs w:val="20"/>
          <w:rtl w:val="0"/>
          <w:lang w:val="it-IT"/>
        </w:rPr>
        <w:t xml:space="preserve">è </w:t>
      </w:r>
      <w:r>
        <w:rPr>
          <w:rFonts w:ascii="Book Antiqua"/>
          <w:sz w:val="20"/>
          <w:szCs w:val="20"/>
          <w:rtl w:val="0"/>
          <w:lang w:val="it-IT"/>
        </w:rPr>
        <w:t>assistito ad un ripetuto cambio di soggetti al vertice dell</w:t>
      </w:r>
      <w:r>
        <w:rPr>
          <w:rFonts w:hAnsi="Book Antiqua" w:hint="default"/>
          <w:sz w:val="20"/>
          <w:szCs w:val="20"/>
          <w:rtl w:val="0"/>
          <w:lang w:val="it-IT"/>
        </w:rPr>
        <w:t>’</w:t>
      </w:r>
      <w:r>
        <w:rPr>
          <w:rFonts w:ascii="Book Antiqua"/>
          <w:sz w:val="20"/>
          <w:szCs w:val="20"/>
          <w:rtl w:val="0"/>
          <w:lang w:val="it-IT"/>
        </w:rPr>
        <w:t xml:space="preserve">azienda, fenomeno rilevabile dalla sintesi sugli organi direttivi di AMA S.p.A. riportata in apertura del </w:t>
      </w:r>
      <w:r>
        <w:rPr>
          <w:rFonts w:hAnsi="Book Antiqua" w:hint="default"/>
          <w:sz w:val="20"/>
          <w:szCs w:val="20"/>
          <w:rtl w:val="0"/>
          <w:lang w:val="it-IT"/>
        </w:rPr>
        <w:t xml:space="preserve">§ </w:t>
      </w:r>
      <w:r>
        <w:rPr>
          <w:rFonts w:ascii="Book Antiqua"/>
          <w:sz w:val="20"/>
          <w:szCs w:val="20"/>
          <w:rtl w:val="0"/>
          <w:lang w:val="it-IT"/>
        </w:rPr>
        <w:t>2.3.1</w:t>
      </w:r>
    </w:p>
  </w:footnote>
  <w:footnote w:id="9">
    <w:p>
      <w:pPr>
        <w:pStyle w:val="footnote text"/>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Come </w:t>
      </w:r>
      <w:r>
        <w:rPr>
          <w:rFonts w:hAnsi="Book Antiqua" w:hint="default"/>
          <w:sz w:val="20"/>
          <w:szCs w:val="20"/>
          <w:rtl w:val="0"/>
          <w:lang w:val="it-IT"/>
        </w:rPr>
        <w:t xml:space="preserve">è </w:t>
      </w:r>
      <w:r>
        <w:rPr>
          <w:rFonts w:ascii="Book Antiqua"/>
          <w:sz w:val="20"/>
          <w:szCs w:val="20"/>
          <w:rtl w:val="0"/>
          <w:lang w:val="it-IT"/>
        </w:rPr>
        <w:t>in effetti in seguito avvenuto: se ne dar</w:t>
      </w:r>
      <w:r>
        <w:rPr>
          <w:rFonts w:hAnsi="Book Antiqua" w:hint="default"/>
          <w:sz w:val="20"/>
          <w:szCs w:val="20"/>
          <w:rtl w:val="0"/>
          <w:lang w:val="it-IT"/>
        </w:rPr>
        <w:t xml:space="preserve">à </w:t>
      </w:r>
      <w:r>
        <w:rPr>
          <w:rFonts w:ascii="Book Antiqua"/>
          <w:sz w:val="20"/>
          <w:szCs w:val="20"/>
          <w:rtl w:val="0"/>
          <w:lang w:val="it-IT"/>
        </w:rPr>
        <w:t xml:space="preserve">conto nei </w:t>
      </w:r>
      <w:r>
        <w:rPr>
          <w:rFonts w:hAnsi="Book Antiqua" w:hint="default"/>
          <w:sz w:val="20"/>
          <w:szCs w:val="20"/>
          <w:rtl w:val="0"/>
          <w:lang w:val="it-IT"/>
        </w:rPr>
        <w:t>§§</w:t>
      </w:r>
      <w:r>
        <w:rPr>
          <w:rFonts w:ascii="Book Antiqua"/>
          <w:sz w:val="20"/>
          <w:szCs w:val="20"/>
          <w:rtl w:val="0"/>
          <w:lang w:val="it-IT"/>
        </w:rPr>
        <w:t xml:space="preserve">  2.3.1 e 2.3.2</w:t>
      </w:r>
    </w:p>
  </w:footnote>
  <w:footnote w:id="10">
    <w:p>
      <w:pPr>
        <w:pStyle w:val="footnote text"/>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La nuova </w:t>
      </w:r>
      <w:r>
        <w:rPr>
          <w:rFonts w:ascii="Book Antiqua"/>
          <w:i w:val="1"/>
          <w:iCs w:val="1"/>
          <w:sz w:val="20"/>
          <w:szCs w:val="20"/>
          <w:rtl w:val="0"/>
          <w:lang w:val="it-IT"/>
        </w:rPr>
        <w:t>governance</w:t>
      </w:r>
      <w:r>
        <w:rPr>
          <w:rFonts w:ascii="Book Antiqua"/>
          <w:sz w:val="20"/>
          <w:szCs w:val="20"/>
          <w:rtl w:val="0"/>
          <w:lang w:val="it-IT"/>
        </w:rPr>
        <w:t xml:space="preserve"> di AMA ha abbandonato questa prospettiva impiantistica - a favore di scelte che verranno descritte nei </w:t>
      </w:r>
      <w:r>
        <w:rPr>
          <w:rFonts w:hAnsi="Book Antiqua" w:hint="default"/>
          <w:sz w:val="20"/>
          <w:szCs w:val="20"/>
          <w:rtl w:val="0"/>
          <w:lang w:val="it-IT"/>
        </w:rPr>
        <w:t xml:space="preserve">§§ </w:t>
      </w:r>
      <w:r>
        <w:rPr>
          <w:rFonts w:ascii="Book Antiqua"/>
          <w:sz w:val="20"/>
          <w:szCs w:val="20"/>
          <w:rtl w:val="0"/>
          <w:lang w:val="it-IT"/>
        </w:rPr>
        <w:t>2.3.4 e 2.3.5 - in coerenza con i dettami politici dell</w:t>
      </w:r>
      <w:r>
        <w:rPr>
          <w:rFonts w:hAnsi="Book Antiqua" w:hint="default"/>
          <w:sz w:val="20"/>
          <w:szCs w:val="20"/>
          <w:rtl w:val="0"/>
          <w:lang w:val="it-IT"/>
        </w:rPr>
        <w:t>’</w:t>
      </w:r>
      <w:r>
        <w:rPr>
          <w:rFonts w:ascii="Book Antiqua"/>
          <w:sz w:val="20"/>
          <w:szCs w:val="20"/>
          <w:rtl w:val="0"/>
          <w:lang w:val="it-IT"/>
        </w:rPr>
        <w:t xml:space="preserve">attuale amministrazione di Roma Capitale; il nuovo Piano industriale di AMA </w:t>
      </w:r>
      <w:r>
        <w:rPr>
          <w:rFonts w:hAnsi="Book Antiqua" w:hint="default"/>
          <w:sz w:val="20"/>
          <w:szCs w:val="20"/>
          <w:rtl w:val="0"/>
          <w:lang w:val="it-IT"/>
        </w:rPr>
        <w:t xml:space="preserve">è </w:t>
      </w:r>
      <w:r>
        <w:rPr>
          <w:rFonts w:ascii="Book Antiqua"/>
          <w:sz w:val="20"/>
          <w:szCs w:val="20"/>
          <w:rtl w:val="0"/>
          <w:lang w:val="it-IT"/>
        </w:rPr>
        <w:t>stato trasmesso alla Commissione dall</w:t>
      </w:r>
      <w:r>
        <w:rPr>
          <w:rFonts w:hAnsi="Book Antiqua" w:hint="default"/>
          <w:sz w:val="20"/>
          <w:szCs w:val="20"/>
          <w:rtl w:val="0"/>
          <w:lang w:val="it-IT"/>
        </w:rPr>
        <w:t>’</w:t>
      </w:r>
      <w:r>
        <w:rPr>
          <w:rFonts w:ascii="Book Antiqua"/>
          <w:sz w:val="20"/>
          <w:szCs w:val="20"/>
          <w:rtl w:val="0"/>
          <w:lang w:val="it-IT"/>
        </w:rPr>
        <w:t>attuale assessora alla sostenibilit</w:t>
      </w:r>
      <w:r>
        <w:rPr>
          <w:rFonts w:hAnsi="Book Antiqua" w:hint="default"/>
          <w:sz w:val="20"/>
          <w:szCs w:val="20"/>
          <w:rtl w:val="0"/>
          <w:lang w:val="it-IT"/>
        </w:rPr>
        <w:t xml:space="preserve">à </w:t>
      </w:r>
      <w:r>
        <w:rPr>
          <w:rFonts w:ascii="Book Antiqua"/>
          <w:sz w:val="20"/>
          <w:szCs w:val="20"/>
          <w:rtl w:val="0"/>
          <w:lang w:val="it-IT"/>
        </w:rPr>
        <w:t>ambientale di Roma Capitale, Giuseppina Montanari, e acquisito cone Doc. n. 2333/1-2.</w:t>
      </w:r>
    </w:p>
  </w:footnote>
  <w:footnote w:id="11">
    <w:p>
      <w:pPr>
        <w:pStyle w:val="footnote text"/>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Si torner</w:t>
      </w:r>
      <w:r>
        <w:rPr>
          <w:rFonts w:hAnsi="Book Antiqua" w:hint="default"/>
          <w:sz w:val="20"/>
          <w:szCs w:val="20"/>
          <w:rtl w:val="0"/>
          <w:lang w:val="it-IT"/>
        </w:rPr>
        <w:t xml:space="preserve">à </w:t>
      </w:r>
      <w:r>
        <w:rPr>
          <w:rFonts w:ascii="Book Antiqua"/>
          <w:sz w:val="20"/>
          <w:szCs w:val="20"/>
          <w:rtl w:val="0"/>
          <w:lang w:val="it-IT"/>
        </w:rPr>
        <w:t xml:space="preserve">sulle questioni nel </w:t>
      </w:r>
      <w:r>
        <w:rPr>
          <w:rFonts w:hAnsi="Book Antiqua" w:hint="default"/>
          <w:sz w:val="20"/>
          <w:szCs w:val="20"/>
          <w:rtl w:val="0"/>
          <w:lang w:val="it-IT"/>
        </w:rPr>
        <w:t xml:space="preserve">§ </w:t>
      </w:r>
      <w:r>
        <w:rPr>
          <w:rFonts w:ascii="Book Antiqua"/>
          <w:sz w:val="20"/>
          <w:szCs w:val="20"/>
          <w:rtl w:val="0"/>
          <w:lang w:val="it-IT"/>
        </w:rPr>
        <w:t>2.3.3</w:t>
      </w:r>
    </w:p>
  </w:footnote>
  <w:footnote w:id="12">
    <w:p>
      <w:pPr>
        <w:pStyle w:val="Normal"/>
        <w:ind w:left="567" w:right="567" w:firstLine="0"/>
        <w:jc w:val="both"/>
        <w:rPr>
          <w:rFonts w:ascii="Book Antiqua" w:cs="Book Antiqua" w:hAnsi="Book Antiqua" w:eastAsia="Book Antiqua"/>
          <w:sz w:val="20"/>
          <w:szCs w:val="20"/>
        </w:rPr>
      </w:pPr>
      <w:r>
        <w:rPr>
          <w:rFonts w:ascii="Book Antiqua" w:cs="Book Antiqua" w:hAnsi="Book Antiqua" w:eastAsia="Book Antiqua"/>
          <w:vertAlign w:val="superscript"/>
          <w:rtl w:val="0"/>
        </w:rPr>
        <w:footnoteRef/>
      </w:r>
      <w:r>
        <w:rPr>
          <w:rFonts w:ascii="Book Antiqua"/>
          <w:sz w:val="20"/>
          <w:szCs w:val="20"/>
          <w:rtl w:val="0"/>
          <w:lang w:val="it-IT"/>
        </w:rPr>
        <w:t xml:space="preserve"> La Commissione ha formulato al Presidente della regione Lazio una prima richiesta di relazione sulle materie oggetto di inchiesta della Commissione il 16 giugno 2015 ricevendo risposta il 3 luglio 2015 (doc. 578/1-3). L</w:t>
      </w:r>
      <w:r>
        <w:rPr>
          <w:rFonts w:hAnsi="Book Antiqua" w:hint="default"/>
          <w:sz w:val="20"/>
          <w:szCs w:val="20"/>
          <w:rtl w:val="0"/>
          <w:lang w:val="it-IT"/>
        </w:rPr>
        <w:t>’</w:t>
      </w:r>
      <w:r>
        <w:rPr>
          <w:rFonts w:ascii="Book Antiqua"/>
          <w:sz w:val="20"/>
          <w:szCs w:val="20"/>
          <w:rtl w:val="0"/>
          <w:lang w:val="it-IT"/>
        </w:rPr>
        <w:t xml:space="preserve">8 settembre 2015 </w:t>
      </w:r>
      <w:r>
        <w:rPr>
          <w:rFonts w:hAnsi="Book Antiqua" w:hint="default"/>
          <w:sz w:val="20"/>
          <w:szCs w:val="20"/>
          <w:rtl w:val="0"/>
          <w:lang w:val="it-IT"/>
        </w:rPr>
        <w:t xml:space="preserve">è </w:t>
      </w:r>
      <w:r>
        <w:rPr>
          <w:rFonts w:ascii="Book Antiqua"/>
          <w:sz w:val="20"/>
          <w:szCs w:val="20"/>
          <w:rtl w:val="0"/>
          <w:lang w:val="it-IT"/>
        </w:rPr>
        <w:t xml:space="preserve">stato audito il Presidente della regione Lazio. Il 30 ottobre 2015 </w:t>
      </w:r>
      <w:r>
        <w:rPr>
          <w:rFonts w:hAnsi="Book Antiqua" w:hint="default"/>
          <w:sz w:val="20"/>
          <w:szCs w:val="20"/>
          <w:rtl w:val="0"/>
          <w:lang w:val="it-IT"/>
        </w:rPr>
        <w:t xml:space="preserve">è </w:t>
      </w:r>
      <w:r>
        <w:rPr>
          <w:rFonts w:ascii="Book Antiqua"/>
          <w:sz w:val="20"/>
          <w:szCs w:val="20"/>
          <w:rtl w:val="0"/>
          <w:lang w:val="it-IT"/>
        </w:rPr>
        <w:t xml:space="preserve">stata chiesta al Presidente della regione Lazio la trasmissione di documentazione (in 9 punti). Il 2 dicembre 2015 </w:t>
      </w:r>
      <w:r>
        <w:rPr>
          <w:rFonts w:hAnsi="Book Antiqua" w:hint="default"/>
          <w:sz w:val="20"/>
          <w:szCs w:val="20"/>
          <w:rtl w:val="0"/>
          <w:lang w:val="it-IT"/>
        </w:rPr>
        <w:t xml:space="preserve">è </w:t>
      </w:r>
      <w:r>
        <w:rPr>
          <w:rFonts w:ascii="Book Antiqua"/>
          <w:sz w:val="20"/>
          <w:szCs w:val="20"/>
          <w:rtl w:val="0"/>
          <w:lang w:val="it-IT"/>
        </w:rPr>
        <w:t>stata chiesta al Presidente della regione Lazio una relazione di risposta ai quesiti rimasti inevasi in corso di audizione, comprensiva di una richiesta di informazioni di sintesi sull</w:t>
      </w:r>
      <w:r>
        <w:rPr>
          <w:rFonts w:hAnsi="Book Antiqua" w:hint="default"/>
          <w:sz w:val="20"/>
          <w:szCs w:val="20"/>
          <w:rtl w:val="0"/>
          <w:lang w:val="it-IT"/>
        </w:rPr>
        <w:t>’</w:t>
      </w:r>
      <w:r>
        <w:rPr>
          <w:rFonts w:ascii="Book Antiqua"/>
          <w:sz w:val="20"/>
          <w:szCs w:val="20"/>
          <w:rtl w:val="0"/>
          <w:lang w:val="it-IT"/>
        </w:rPr>
        <w:t xml:space="preserve">impiantistica. Il 14 gennaio 2016, in assenza di risposta alle richieste del 30 ottobre 2015 e del 2 dicembre 2015 </w:t>
      </w:r>
      <w:r>
        <w:rPr>
          <w:rFonts w:hAnsi="Book Antiqua" w:hint="default"/>
          <w:sz w:val="20"/>
          <w:szCs w:val="20"/>
          <w:rtl w:val="0"/>
          <w:lang w:val="it-IT"/>
        </w:rPr>
        <w:t xml:space="preserve">è </w:t>
      </w:r>
      <w:r>
        <w:rPr>
          <w:rFonts w:ascii="Book Antiqua"/>
          <w:sz w:val="20"/>
          <w:szCs w:val="20"/>
          <w:rtl w:val="0"/>
          <w:lang w:val="it-IT"/>
        </w:rPr>
        <w:t>stato inviato un sollecito al Presidente della regione Lazio con richiesta di consegna diretta di quanto richiesto.</w:t>
      </w:r>
    </w:p>
    <w:p>
      <w:pPr>
        <w:pStyle w:val="Normal"/>
        <w:ind w:left="567" w:right="567" w:firstLine="0"/>
        <w:jc w:val="both"/>
        <w:rPr>
          <w:rFonts w:ascii="Book Antiqua" w:cs="Book Antiqua" w:hAnsi="Book Antiqua" w:eastAsia="Book Antiqua"/>
          <w:sz w:val="20"/>
          <w:szCs w:val="20"/>
        </w:rPr>
      </w:pPr>
      <w:r>
        <w:rPr>
          <w:rFonts w:ascii="Book Antiqua"/>
          <w:sz w:val="20"/>
          <w:szCs w:val="20"/>
          <w:rtl w:val="0"/>
          <w:lang w:val="it-IT"/>
        </w:rPr>
        <w:t xml:space="preserve">La risposta a quanto sopra </w:t>
      </w:r>
      <w:r>
        <w:rPr>
          <w:rFonts w:hAnsi="Book Antiqua" w:hint="default"/>
          <w:sz w:val="20"/>
          <w:szCs w:val="20"/>
          <w:rtl w:val="0"/>
          <w:lang w:val="it-IT"/>
        </w:rPr>
        <w:t xml:space="preserve">è </w:t>
      </w:r>
      <w:r>
        <w:rPr>
          <w:rFonts w:ascii="Book Antiqua"/>
          <w:sz w:val="20"/>
          <w:szCs w:val="20"/>
          <w:rtl w:val="0"/>
          <w:lang w:val="it-IT"/>
        </w:rPr>
        <w:t>stata registrata come documento nr. 988/1-2 e comprende documentazione inerente la richiesta del 30 ottobre 2015.</w:t>
      </w:r>
    </w:p>
    <w:p>
      <w:pPr>
        <w:pStyle w:val="Normal"/>
        <w:ind w:left="567" w:right="567" w:firstLine="0"/>
        <w:jc w:val="both"/>
        <w:rPr>
          <w:rFonts w:ascii="Book Antiqua" w:cs="Book Antiqua" w:hAnsi="Book Antiqua" w:eastAsia="Book Antiqua"/>
          <w:sz w:val="20"/>
          <w:szCs w:val="20"/>
        </w:rPr>
      </w:pPr>
      <w:r>
        <w:rPr>
          <w:rFonts w:ascii="Book Antiqua"/>
          <w:sz w:val="20"/>
          <w:szCs w:val="20"/>
          <w:rtl w:val="0"/>
          <w:lang w:val="it-IT"/>
        </w:rPr>
        <w:t>Mancavano, anche in questo documento: la relazione e le informazioni di sintesi sui quesiti rimasti inevasi nell</w:t>
      </w:r>
      <w:r>
        <w:rPr>
          <w:rFonts w:hAnsi="Book Antiqua" w:hint="default"/>
          <w:sz w:val="20"/>
          <w:szCs w:val="20"/>
          <w:rtl w:val="0"/>
          <w:lang w:val="it-IT"/>
        </w:rPr>
        <w:t>’</w:t>
      </w:r>
      <w:r>
        <w:rPr>
          <w:rFonts w:ascii="Book Antiqua"/>
          <w:sz w:val="20"/>
          <w:szCs w:val="20"/>
          <w:rtl w:val="0"/>
          <w:lang w:val="it-IT"/>
        </w:rPr>
        <w:t>audizione dell</w:t>
      </w:r>
      <w:r>
        <w:rPr>
          <w:rFonts w:hAnsi="Book Antiqua" w:hint="default"/>
          <w:sz w:val="20"/>
          <w:szCs w:val="20"/>
          <w:rtl w:val="0"/>
          <w:lang w:val="it-IT"/>
        </w:rPr>
        <w:t>’</w:t>
      </w:r>
      <w:r>
        <w:rPr>
          <w:rFonts w:ascii="Book Antiqua"/>
          <w:sz w:val="20"/>
          <w:szCs w:val="20"/>
          <w:rtl w:val="0"/>
          <w:lang w:val="it-IT"/>
        </w:rPr>
        <w:t xml:space="preserve">8 settembre 2015; la documentazione richiesta quanto alle polizze di postgestione di Malagrotta e delle discariche del Lazio, sulla quale </w:t>
      </w:r>
      <w:r>
        <w:rPr>
          <w:rFonts w:hAnsi="Book Antiqua" w:hint="default"/>
          <w:sz w:val="20"/>
          <w:szCs w:val="20"/>
          <w:rtl w:val="0"/>
          <w:lang w:val="it-IT"/>
        </w:rPr>
        <w:t xml:space="preserve">è </w:t>
      </w:r>
      <w:r>
        <w:rPr>
          <w:rFonts w:ascii="Book Antiqua"/>
          <w:sz w:val="20"/>
          <w:szCs w:val="20"/>
          <w:rtl w:val="0"/>
          <w:lang w:val="it-IT"/>
        </w:rPr>
        <w:t xml:space="preserve">stata fornita la seguente risposta: </w:t>
      </w:r>
      <w:r>
        <w:rPr>
          <w:rFonts w:hAnsi="Book Antiqua" w:hint="default"/>
          <w:sz w:val="20"/>
          <w:szCs w:val="20"/>
          <w:rtl w:val="0"/>
          <w:lang w:val="it-IT"/>
        </w:rPr>
        <w:t>“</w:t>
      </w:r>
      <w:r>
        <w:rPr>
          <w:rFonts w:ascii="Book Antiqua"/>
          <w:sz w:val="20"/>
          <w:szCs w:val="20"/>
          <w:rtl w:val="0"/>
          <w:lang w:val="it-IT"/>
        </w:rPr>
        <w:t>si fa presente che non esiste una normativa nazionale in materia. Nella regione Lazio</w:t>
      </w:r>
      <w:r>
        <w:rPr>
          <w:rFonts w:hAnsi="Book Antiqua" w:hint="default"/>
          <w:sz w:val="20"/>
          <w:szCs w:val="20"/>
          <w:rtl w:val="0"/>
          <w:lang w:val="it-IT"/>
        </w:rPr>
        <w:t xml:space="preserve"> è </w:t>
      </w:r>
      <w:r>
        <w:rPr>
          <w:rFonts w:ascii="Book Antiqua"/>
          <w:sz w:val="20"/>
          <w:szCs w:val="20"/>
          <w:rtl w:val="0"/>
          <w:lang w:val="it-IT"/>
        </w:rPr>
        <w:t>vigente la DGR 239/2009 [</w:t>
      </w:r>
      <w:r>
        <w:rPr>
          <w:rFonts w:hAnsi="Book Antiqua" w:hint="default"/>
          <w:sz w:val="20"/>
          <w:szCs w:val="20"/>
          <w:rtl w:val="0"/>
          <w:lang w:val="it-IT"/>
        </w:rPr>
        <w:t>…</w:t>
      </w:r>
      <w:r>
        <w:rPr>
          <w:rFonts w:ascii="Book Antiqua"/>
          <w:sz w:val="20"/>
          <w:szCs w:val="20"/>
          <w:rtl w:val="0"/>
          <w:lang w:val="it-IT"/>
        </w:rPr>
        <w:t>] In base a questa normativa la polizza di post gestione va presentata al momento in cui viene effettuato il collaudo del capping ed inizia l</w:t>
      </w:r>
      <w:r>
        <w:rPr>
          <w:rFonts w:hAnsi="Book Antiqua" w:hint="default"/>
          <w:sz w:val="20"/>
          <w:szCs w:val="20"/>
          <w:rtl w:val="0"/>
          <w:lang w:val="it-IT"/>
        </w:rPr>
        <w:t>’</w:t>
      </w:r>
      <w:r>
        <w:rPr>
          <w:rFonts w:ascii="Book Antiqua"/>
          <w:sz w:val="20"/>
          <w:szCs w:val="20"/>
          <w:rtl w:val="0"/>
          <w:lang w:val="it-IT"/>
        </w:rPr>
        <w:t>attivit</w:t>
      </w:r>
      <w:r>
        <w:rPr>
          <w:rFonts w:hAnsi="Book Antiqua" w:hint="default"/>
          <w:sz w:val="20"/>
          <w:szCs w:val="20"/>
          <w:rtl w:val="0"/>
          <w:lang w:val="it-IT"/>
        </w:rPr>
        <w:t xml:space="preserve">à </w:t>
      </w:r>
      <w:r>
        <w:rPr>
          <w:rFonts w:ascii="Book Antiqua"/>
          <w:sz w:val="20"/>
          <w:szCs w:val="20"/>
          <w:rtl w:val="0"/>
          <w:lang w:val="it-IT"/>
        </w:rPr>
        <w:t>post operativa. Ci si riserva di preparare un documento riassuntivo di quanto richiesto per tutte le discariche del Lazio</w:t>
      </w:r>
      <w:r>
        <w:rPr>
          <w:rFonts w:hAnsi="Book Antiqua" w:hint="default"/>
          <w:sz w:val="20"/>
          <w:szCs w:val="20"/>
          <w:rtl w:val="0"/>
          <w:lang w:val="it-IT"/>
        </w:rPr>
        <w:t>”</w:t>
      </w:r>
      <w:r>
        <w:rPr>
          <w:rFonts w:ascii="Book Antiqua"/>
          <w:sz w:val="20"/>
          <w:szCs w:val="20"/>
          <w:rtl w:val="0"/>
          <w:lang w:val="it-IT"/>
        </w:rPr>
        <w:t xml:space="preserve">; la documentazione richiesta quanto alla determinazione delle tariffe dei TMB del Lazio sulla quale </w:t>
      </w:r>
      <w:r>
        <w:rPr>
          <w:rFonts w:hAnsi="Book Antiqua" w:hint="default"/>
          <w:sz w:val="20"/>
          <w:szCs w:val="20"/>
          <w:rtl w:val="0"/>
          <w:lang w:val="it-IT"/>
        </w:rPr>
        <w:t xml:space="preserve">è </w:t>
      </w:r>
      <w:r>
        <w:rPr>
          <w:rFonts w:ascii="Book Antiqua"/>
          <w:sz w:val="20"/>
          <w:szCs w:val="20"/>
          <w:rtl w:val="0"/>
          <w:lang w:val="it-IT"/>
        </w:rPr>
        <w:t xml:space="preserve">stata fornita la seguente risposta: </w:t>
      </w:r>
      <w:r>
        <w:rPr>
          <w:rFonts w:hAnsi="Book Antiqua" w:hint="default"/>
          <w:sz w:val="20"/>
          <w:szCs w:val="20"/>
          <w:rtl w:val="0"/>
          <w:lang w:val="it-IT"/>
        </w:rPr>
        <w:t xml:space="preserve">“è </w:t>
      </w:r>
      <w:r>
        <w:rPr>
          <w:rFonts w:ascii="Book Antiqua"/>
          <w:sz w:val="20"/>
          <w:szCs w:val="20"/>
          <w:rtl w:val="0"/>
          <w:lang w:val="it-IT"/>
        </w:rPr>
        <w:t>in corso un riesame del procedimento di determinazione delle tariffe. In pratica al momento sono state evase le precedenti richieste, nonch</w:t>
      </w:r>
      <w:r>
        <w:rPr>
          <w:rFonts w:hAnsi="Book Antiqua" w:hint="default"/>
          <w:sz w:val="20"/>
          <w:szCs w:val="20"/>
          <w:rtl w:val="0"/>
          <w:lang w:val="it-IT"/>
        </w:rPr>
        <w:t xml:space="preserve">é </w:t>
      </w:r>
      <w:r>
        <w:rPr>
          <w:rFonts w:ascii="Book Antiqua"/>
          <w:sz w:val="20"/>
          <w:szCs w:val="20"/>
          <w:rtl w:val="0"/>
          <w:lang w:val="it-IT"/>
        </w:rPr>
        <w:t xml:space="preserve">quanto disposto dai TAR in alcune sentenze. Per il futuro si </w:t>
      </w:r>
      <w:r>
        <w:rPr>
          <w:rFonts w:hAnsi="Book Antiqua" w:hint="default"/>
          <w:sz w:val="20"/>
          <w:szCs w:val="20"/>
          <w:rtl w:val="0"/>
          <w:lang w:val="it-IT"/>
        </w:rPr>
        <w:t xml:space="preserve">è </w:t>
      </w:r>
      <w:r>
        <w:rPr>
          <w:rFonts w:ascii="Book Antiqua"/>
          <w:sz w:val="20"/>
          <w:szCs w:val="20"/>
          <w:rtl w:val="0"/>
          <w:lang w:val="it-IT"/>
        </w:rPr>
        <w:t>in attesa del pronunciamento del Consiglio di Stato, sul ricorso pendente circa la determinazione della tariffa di accesso ai TMB di Malagrotta, in esito al quale, sulla base dei principi che saranno enunciati, si proceder</w:t>
      </w:r>
      <w:r>
        <w:rPr>
          <w:rFonts w:hAnsi="Book Antiqua" w:hint="default"/>
          <w:sz w:val="20"/>
          <w:szCs w:val="20"/>
          <w:rtl w:val="0"/>
          <w:lang w:val="it-IT"/>
        </w:rPr>
        <w:t xml:space="preserve">à </w:t>
      </w:r>
      <w:r>
        <w:rPr>
          <w:rFonts w:ascii="Book Antiqua"/>
          <w:sz w:val="20"/>
          <w:szCs w:val="20"/>
          <w:rtl w:val="0"/>
          <w:lang w:val="it-IT"/>
        </w:rPr>
        <w:t>ad una revisione del sistema di determinazione della tariffa nonch</w:t>
      </w:r>
      <w:r>
        <w:rPr>
          <w:rFonts w:hAnsi="Book Antiqua" w:hint="default"/>
          <w:sz w:val="20"/>
          <w:szCs w:val="20"/>
          <w:rtl w:val="0"/>
          <w:lang w:val="it-IT"/>
        </w:rPr>
        <w:t xml:space="preserve">é </w:t>
      </w:r>
      <w:r>
        <w:rPr>
          <w:rFonts w:ascii="Book Antiqua"/>
          <w:sz w:val="20"/>
          <w:szCs w:val="20"/>
          <w:rtl w:val="0"/>
          <w:lang w:val="it-IT"/>
        </w:rPr>
        <w:t>alla conseguente rivisitazione</w:t>
      </w:r>
      <w:r>
        <w:rPr>
          <w:rFonts w:hAnsi="Book Antiqua" w:hint="default"/>
          <w:sz w:val="20"/>
          <w:szCs w:val="20"/>
          <w:rtl w:val="0"/>
          <w:lang w:val="it-IT"/>
        </w:rPr>
        <w:t>”</w:t>
      </w:r>
      <w:r>
        <w:rPr>
          <w:rFonts w:ascii="Book Antiqua"/>
          <w:sz w:val="20"/>
          <w:szCs w:val="20"/>
          <w:rtl w:val="0"/>
          <w:lang w:val="it-IT"/>
        </w:rPr>
        <w:t xml:space="preserve"> (il che </w:t>
      </w:r>
      <w:r>
        <w:rPr>
          <w:rFonts w:hAnsi="Book Antiqua" w:hint="default"/>
          <w:sz w:val="20"/>
          <w:szCs w:val="20"/>
          <w:rtl w:val="0"/>
          <w:lang w:val="it-IT"/>
        </w:rPr>
        <w:t xml:space="preserve">è </w:t>
      </w:r>
      <w:r>
        <w:rPr>
          <w:rFonts w:ascii="Book Antiqua"/>
          <w:sz w:val="20"/>
          <w:szCs w:val="20"/>
          <w:rtl w:val="0"/>
          <w:lang w:val="it-IT"/>
        </w:rPr>
        <w:t>avvenuto nella seconda met</w:t>
      </w:r>
      <w:r>
        <w:rPr>
          <w:rFonts w:hAnsi="Book Antiqua" w:hint="default"/>
          <w:sz w:val="20"/>
          <w:szCs w:val="20"/>
          <w:rtl w:val="0"/>
          <w:lang w:val="it-IT"/>
        </w:rPr>
        <w:t xml:space="preserve">à </w:t>
      </w:r>
      <w:r>
        <w:rPr>
          <w:rFonts w:ascii="Book Antiqua"/>
          <w:sz w:val="20"/>
          <w:szCs w:val="20"/>
          <w:rtl w:val="0"/>
          <w:lang w:val="it-IT"/>
        </w:rPr>
        <w:t>del 2016, come si vedr</w:t>
      </w:r>
      <w:r>
        <w:rPr>
          <w:rFonts w:hAnsi="Book Antiqua" w:hint="default"/>
          <w:sz w:val="20"/>
          <w:szCs w:val="20"/>
          <w:rtl w:val="0"/>
          <w:lang w:val="it-IT"/>
        </w:rPr>
        <w:t xml:space="preserve">à </w:t>
      </w:r>
      <w:r>
        <w:rPr>
          <w:rFonts w:ascii="Book Antiqua"/>
          <w:sz w:val="20"/>
          <w:szCs w:val="20"/>
          <w:rtl w:val="0"/>
          <w:lang w:val="it-IT"/>
        </w:rPr>
        <w:t xml:space="preserve">nel </w:t>
      </w:r>
      <w:r>
        <w:rPr>
          <w:rFonts w:hAnsi="Book Antiqua" w:hint="default"/>
          <w:sz w:val="20"/>
          <w:szCs w:val="20"/>
          <w:rtl w:val="0"/>
          <w:lang w:val="it-IT"/>
        </w:rPr>
        <w:t xml:space="preserve">§ </w:t>
      </w:r>
      <w:r>
        <w:rPr>
          <w:rFonts w:ascii="Book Antiqua"/>
          <w:sz w:val="20"/>
          <w:szCs w:val="20"/>
          <w:rtl w:val="0"/>
          <w:lang w:val="it-IT"/>
        </w:rPr>
        <w:t>2.3.5.2.</w:t>
      </w:r>
    </w:p>
    <w:p>
      <w:pPr>
        <w:pStyle w:val="Normal"/>
        <w:ind w:left="567" w:right="567" w:firstLine="0"/>
        <w:jc w:val="both"/>
      </w:pPr>
      <w:r>
        <w:rPr>
          <w:rFonts w:ascii="Book Antiqua"/>
          <w:sz w:val="20"/>
          <w:szCs w:val="20"/>
          <w:rtl w:val="0"/>
          <w:lang w:val="it-IT"/>
        </w:rPr>
        <w:t>Il 1 marzo 2016 il Presidente della regione Lazio</w:t>
      </w:r>
      <w:r>
        <w:rPr>
          <w:rFonts w:hAnsi="Book Antiqua" w:hint="default"/>
          <w:sz w:val="20"/>
          <w:szCs w:val="20"/>
          <w:rtl w:val="0"/>
          <w:lang w:val="it-IT"/>
        </w:rPr>
        <w:t xml:space="preserve"> è </w:t>
      </w:r>
      <w:r>
        <w:rPr>
          <w:rFonts w:ascii="Book Antiqua"/>
          <w:sz w:val="20"/>
          <w:szCs w:val="20"/>
          <w:rtl w:val="0"/>
          <w:lang w:val="it-IT"/>
        </w:rPr>
        <w:t>stato nuovamente sollecitato a fornire la relazione di risposta ai quesiti rimasti inevasi; l</w:t>
      </w:r>
      <w:r>
        <w:rPr>
          <w:rFonts w:hAnsi="Book Antiqua" w:hint="default"/>
          <w:sz w:val="20"/>
          <w:szCs w:val="20"/>
          <w:rtl w:val="0"/>
          <w:lang w:val="it-IT"/>
        </w:rPr>
        <w:t>’</w:t>
      </w:r>
      <w:r>
        <w:rPr>
          <w:rFonts w:ascii="Book Antiqua"/>
          <w:sz w:val="20"/>
          <w:szCs w:val="20"/>
          <w:rtl w:val="0"/>
          <w:lang w:val="it-IT"/>
        </w:rPr>
        <w:t xml:space="preserve">11 luglio 2016 </w:t>
      </w:r>
      <w:r>
        <w:rPr>
          <w:rFonts w:hAnsi="Book Antiqua" w:hint="default"/>
          <w:sz w:val="20"/>
          <w:szCs w:val="20"/>
          <w:rtl w:val="0"/>
          <w:lang w:val="it-IT"/>
        </w:rPr>
        <w:t xml:space="preserve">è </w:t>
      </w:r>
      <w:r>
        <w:rPr>
          <w:rFonts w:ascii="Book Antiqua"/>
          <w:sz w:val="20"/>
          <w:szCs w:val="20"/>
          <w:rtl w:val="0"/>
          <w:lang w:val="it-IT"/>
        </w:rPr>
        <w:t>stata audita la dirigente</w:t>
      </w:r>
      <w:r>
        <w:rPr>
          <w:rFonts w:ascii="Book Antiqua"/>
          <w:i w:val="1"/>
          <w:iCs w:val="1"/>
          <w:sz w:val="20"/>
          <w:szCs w:val="20"/>
          <w:rtl w:val="0"/>
          <w:lang w:val="it-IT"/>
        </w:rPr>
        <w:t xml:space="preserve"> </w:t>
      </w:r>
      <w:r>
        <w:rPr>
          <w:rFonts w:ascii="Book Antiqua"/>
          <w:sz w:val="20"/>
          <w:szCs w:val="20"/>
          <w:rtl w:val="0"/>
          <w:lang w:val="it-IT"/>
        </w:rPr>
        <w:t>dell'area ciclo integrato rifiuti della regione Lazio (di tale audizione si dar</w:t>
      </w:r>
      <w:r>
        <w:rPr>
          <w:rFonts w:hAnsi="Book Antiqua" w:hint="default"/>
          <w:sz w:val="20"/>
          <w:szCs w:val="20"/>
          <w:rtl w:val="0"/>
          <w:lang w:val="it-IT"/>
        </w:rPr>
        <w:t xml:space="preserve">à </w:t>
      </w:r>
      <w:r>
        <w:rPr>
          <w:rFonts w:ascii="Book Antiqua"/>
          <w:sz w:val="20"/>
          <w:szCs w:val="20"/>
          <w:rtl w:val="0"/>
          <w:lang w:val="it-IT"/>
        </w:rPr>
        <w:t xml:space="preserve">conto nel </w:t>
      </w:r>
      <w:r>
        <w:rPr>
          <w:rFonts w:hAnsi="Book Antiqua" w:hint="default"/>
          <w:sz w:val="20"/>
          <w:szCs w:val="20"/>
          <w:rtl w:val="0"/>
          <w:lang w:val="it-IT"/>
        </w:rPr>
        <w:t xml:space="preserve">§ </w:t>
      </w:r>
      <w:r>
        <w:rPr>
          <w:rFonts w:ascii="Book Antiqua"/>
          <w:sz w:val="20"/>
          <w:szCs w:val="20"/>
          <w:rtl w:val="0"/>
          <w:lang w:val="it-IT"/>
        </w:rPr>
        <w:t>2.3.7), che ha tra l</w:t>
      </w:r>
      <w:r>
        <w:rPr>
          <w:rFonts w:hAnsi="Book Antiqua" w:hint="default"/>
          <w:sz w:val="20"/>
          <w:szCs w:val="20"/>
          <w:rtl w:val="0"/>
          <w:lang w:val="it-IT"/>
        </w:rPr>
        <w:t>’</w:t>
      </w:r>
      <w:r>
        <w:rPr>
          <w:rFonts w:ascii="Book Antiqua"/>
          <w:sz w:val="20"/>
          <w:szCs w:val="20"/>
          <w:rtl w:val="0"/>
          <w:lang w:val="it-IT"/>
        </w:rPr>
        <w:t xml:space="preserve">altro interloquito sulla discarica di Malagrotta, indicando il luglio 2016 come periodo di possibile approvazione di un progetto finale di </w:t>
      </w:r>
      <w:r>
        <w:rPr>
          <w:rFonts w:ascii="Book Antiqua"/>
          <w:i w:val="1"/>
          <w:iCs w:val="1"/>
          <w:sz w:val="20"/>
          <w:szCs w:val="20"/>
          <w:rtl w:val="0"/>
          <w:lang w:val="it-IT"/>
        </w:rPr>
        <w:t>capping</w:t>
      </w:r>
      <w:r>
        <w:rPr>
          <w:rFonts w:ascii="Book Antiqua"/>
          <w:sz w:val="20"/>
          <w:szCs w:val="20"/>
          <w:rtl w:val="0"/>
          <w:lang w:val="it-IT"/>
        </w:rPr>
        <w:t>;</w:t>
      </w:r>
      <w:r>
        <w:rPr>
          <w:rFonts w:ascii="Book Antiqua"/>
          <w:sz w:val="20"/>
          <w:szCs w:val="20"/>
          <w:rtl w:val="0"/>
          <w:lang w:val="it-IT"/>
        </w:rPr>
        <w:t xml:space="preserve"> su richiesta della Commissione, il 3 agosto 2016, l</w:t>
      </w:r>
      <w:r>
        <w:rPr>
          <w:rFonts w:hAnsi="Book Antiqua" w:hint="default"/>
          <w:sz w:val="20"/>
          <w:szCs w:val="20"/>
          <w:rtl w:val="0"/>
          <w:lang w:val="it-IT"/>
        </w:rPr>
        <w:t>’</w:t>
      </w:r>
      <w:r>
        <w:rPr>
          <w:rFonts w:ascii="Book Antiqua"/>
          <w:sz w:val="20"/>
          <w:szCs w:val="20"/>
          <w:rtl w:val="0"/>
          <w:lang w:val="it-IT"/>
        </w:rPr>
        <w:t>Assessore all</w:t>
      </w:r>
      <w:r>
        <w:rPr>
          <w:rFonts w:hAnsi="Book Antiqua" w:hint="default"/>
          <w:sz w:val="20"/>
          <w:szCs w:val="20"/>
          <w:rtl w:val="0"/>
          <w:lang w:val="it-IT"/>
        </w:rPr>
        <w:t>’</w:t>
      </w:r>
      <w:r>
        <w:rPr>
          <w:rFonts w:ascii="Book Antiqua"/>
          <w:sz w:val="20"/>
          <w:szCs w:val="20"/>
          <w:rtl w:val="0"/>
          <w:lang w:val="it-IT"/>
        </w:rPr>
        <w:t xml:space="preserve">ambiente e rifiuti della regione Lazio ha trasmesso copia della lettera con la quale </w:t>
      </w:r>
      <w:r>
        <w:rPr>
          <w:rFonts w:hAnsi="Book Antiqua" w:hint="default"/>
          <w:sz w:val="20"/>
          <w:szCs w:val="20"/>
          <w:rtl w:val="0"/>
          <w:lang w:val="it-IT"/>
        </w:rPr>
        <w:t xml:space="preserve">è </w:t>
      </w:r>
      <w:r>
        <w:rPr>
          <w:rFonts w:ascii="Book Antiqua"/>
          <w:sz w:val="20"/>
          <w:szCs w:val="20"/>
          <w:rtl w:val="0"/>
          <w:lang w:val="it-IT"/>
        </w:rPr>
        <w:t>stato richiesto, tra l</w:t>
      </w:r>
      <w:r>
        <w:rPr>
          <w:rFonts w:hAnsi="Book Antiqua" w:hint="default"/>
          <w:sz w:val="20"/>
          <w:szCs w:val="20"/>
          <w:rtl w:val="0"/>
          <w:lang w:val="it-IT"/>
        </w:rPr>
        <w:t>’</w:t>
      </w:r>
      <w:r>
        <w:rPr>
          <w:rFonts w:ascii="Book Antiqua"/>
          <w:sz w:val="20"/>
          <w:szCs w:val="20"/>
          <w:rtl w:val="0"/>
          <w:lang w:val="it-IT"/>
        </w:rPr>
        <w:t xml:space="preserve">altro, a Roma Capitale, entro 120 giorni </w:t>
      </w:r>
      <w:r>
        <w:rPr>
          <w:rFonts w:hAnsi="Book Antiqua" w:hint="default"/>
          <w:sz w:val="20"/>
          <w:szCs w:val="20"/>
          <w:rtl w:val="0"/>
          <w:lang w:val="it-IT"/>
        </w:rPr>
        <w:t>“</w:t>
      </w:r>
      <w:r>
        <w:rPr>
          <w:rFonts w:ascii="Book Antiqua"/>
          <w:sz w:val="20"/>
          <w:szCs w:val="20"/>
          <w:rtl w:val="0"/>
          <w:lang w:val="it-IT"/>
        </w:rPr>
        <w:t>di individuare le zone idonee alla localizzazione degli impianti di smaltimento dei rifiuti, nonch</w:t>
      </w:r>
      <w:r>
        <w:rPr>
          <w:rFonts w:hAnsi="Book Antiqua" w:hint="default"/>
          <w:sz w:val="20"/>
          <w:szCs w:val="20"/>
          <w:rtl w:val="0"/>
          <w:lang w:val="it-IT"/>
        </w:rPr>
        <w:t xml:space="preserve">é </w:t>
      </w:r>
      <w:r>
        <w:rPr>
          <w:rFonts w:ascii="Book Antiqua"/>
          <w:sz w:val="20"/>
          <w:szCs w:val="20"/>
          <w:rtl w:val="0"/>
          <w:lang w:val="it-IT"/>
        </w:rPr>
        <w:t>le zone non idonee alla localizzazione di impianti di recupero e di smaltimento dei rifiuti</w:t>
      </w:r>
      <w:r>
        <w:rPr>
          <w:rFonts w:hAnsi="Book Antiqua" w:hint="default"/>
          <w:sz w:val="20"/>
          <w:szCs w:val="20"/>
          <w:rtl w:val="0"/>
          <w:lang w:val="it-IT"/>
        </w:rPr>
        <w:t>”</w:t>
      </w:r>
      <w:r>
        <w:rPr>
          <w:rFonts w:ascii="Book Antiqua"/>
          <w:sz w:val="20"/>
          <w:szCs w:val="20"/>
          <w:rtl w:val="0"/>
          <w:lang w:val="it-IT"/>
        </w:rPr>
        <w:t>.</w:t>
      </w:r>
    </w:p>
  </w:footnote>
  <w:footnote w:id="13">
    <w:p>
      <w:pPr>
        <w:pStyle w:val="footnote text"/>
        <w:ind w:left="567" w:right="567" w:firstLine="0"/>
        <w:jc w:val="both"/>
      </w:pPr>
      <w:r>
        <w:rPr>
          <w:rFonts w:ascii="Book Antiqua" w:cs="Book Antiqua" w:hAnsi="Book Antiqua" w:eastAsia="Book Antiqua"/>
          <w:vertAlign w:val="superscript"/>
          <w:rtl w:val="0"/>
        </w:rPr>
        <w:footnoteRef/>
      </w:r>
      <w:r>
        <w:rPr>
          <w:vertAlign w:val="superscript"/>
          <w:rtl w:val="0"/>
          <w:lang w:val="it-IT"/>
        </w:rPr>
        <w:t xml:space="preserve"> </w:t>
      </w:r>
      <w:r>
        <w:rPr>
          <w:rFonts w:ascii="Book Antiqua"/>
          <w:sz w:val="20"/>
          <w:szCs w:val="20"/>
          <w:rtl w:val="0"/>
          <w:lang w:val="it-IT"/>
        </w:rPr>
        <w:t>Doc. n. 2455/1</w:t>
      </w:r>
    </w:p>
  </w:footnote>
  <w:footnote w:id="14">
    <w:p>
      <w:pPr>
        <w:pStyle w:val="footnote text"/>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In corpo ridotto i testi ripresi dalle relazioni della XVI legislatura</w:t>
      </w:r>
    </w:p>
  </w:footnote>
  <w:footnote w:id="15">
    <w:p>
      <w:pPr>
        <w:pStyle w:val="footnote text"/>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Le citazioni sono tratte dal documento letto in sede di audizione e acquisito come n. 1712/1</w:t>
      </w:r>
    </w:p>
  </w:footnote>
  <w:footnote w:id="16">
    <w:p>
      <w:pPr>
        <w:pStyle w:val="footnote text"/>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Si riportano di seguito le deliberazioni in cui i dati sono formalizzati per ciascun anno: deliberazione n. 116 del 2010 comune di Roma </w:t>
      </w:r>
      <w:r>
        <w:rPr>
          <w:rFonts w:hAnsi="Book Antiqua" w:hint="default"/>
          <w:sz w:val="20"/>
          <w:szCs w:val="20"/>
          <w:rtl w:val="0"/>
          <w:lang w:val="it-IT"/>
        </w:rPr>
        <w:t>“</w:t>
      </w:r>
      <w:r>
        <w:rPr>
          <w:rFonts w:ascii="Book Antiqua"/>
          <w:sz w:val="20"/>
          <w:szCs w:val="20"/>
          <w:rtl w:val="0"/>
          <w:lang w:val="it-IT"/>
        </w:rPr>
        <w:t>Determinazione del comune di Roma in merito agli argomenti iscritti all</w:t>
      </w:r>
      <w:r>
        <w:rPr>
          <w:rFonts w:hAnsi="Book Antiqua" w:hint="default"/>
          <w:sz w:val="20"/>
          <w:szCs w:val="20"/>
          <w:rtl w:val="0"/>
          <w:lang w:val="it-IT"/>
        </w:rPr>
        <w:t>’</w:t>
      </w:r>
      <w:r>
        <w:rPr>
          <w:rFonts w:ascii="Book Antiqua"/>
          <w:sz w:val="20"/>
          <w:szCs w:val="20"/>
          <w:rtl w:val="0"/>
          <w:lang w:val="it-IT"/>
        </w:rPr>
        <w:t>ordine del giorno dell</w:t>
      </w:r>
      <w:r>
        <w:rPr>
          <w:rFonts w:hAnsi="Book Antiqua" w:hint="default"/>
          <w:sz w:val="20"/>
          <w:szCs w:val="20"/>
          <w:rtl w:val="0"/>
          <w:lang w:val="it-IT"/>
        </w:rPr>
        <w:t>’</w:t>
      </w:r>
      <w:r>
        <w:rPr>
          <w:rFonts w:ascii="Book Antiqua"/>
          <w:sz w:val="20"/>
          <w:szCs w:val="20"/>
          <w:rtl w:val="0"/>
          <w:lang w:val="it-IT"/>
        </w:rPr>
        <w:t>Assemblea Ordinaria dei Soci di AMA S.p.A</w:t>
      </w:r>
      <w:r>
        <w:rPr>
          <w:rFonts w:hAnsi="Book Antiqua" w:hint="default"/>
          <w:sz w:val="20"/>
          <w:szCs w:val="20"/>
          <w:rtl w:val="0"/>
          <w:lang w:val="it-IT"/>
        </w:rPr>
        <w:t xml:space="preserve">” </w:t>
      </w:r>
      <w:r>
        <w:rPr>
          <w:rFonts w:ascii="Book Antiqua"/>
          <w:sz w:val="20"/>
          <w:szCs w:val="20"/>
          <w:rtl w:val="0"/>
          <w:lang w:val="it-IT"/>
        </w:rPr>
        <w:t xml:space="preserve">(2008, 2009); deliberazione n. 239 del 2010 Roma Capitale </w:t>
      </w:r>
      <w:r>
        <w:rPr>
          <w:rFonts w:hAnsi="Book Antiqua" w:hint="default"/>
          <w:sz w:val="20"/>
          <w:szCs w:val="20"/>
          <w:rtl w:val="0"/>
          <w:lang w:val="it-IT"/>
        </w:rPr>
        <w:t>“</w:t>
      </w:r>
      <w:r>
        <w:rPr>
          <w:rFonts w:ascii="Book Antiqua"/>
          <w:sz w:val="20"/>
          <w:szCs w:val="20"/>
          <w:rtl w:val="0"/>
          <w:lang w:val="it-IT"/>
        </w:rPr>
        <w:t>Determinazione di Roma Capitale in ordine agli argomenti iscritti all</w:t>
      </w:r>
      <w:r>
        <w:rPr>
          <w:rFonts w:hAnsi="Book Antiqua" w:hint="default"/>
          <w:sz w:val="20"/>
          <w:szCs w:val="20"/>
          <w:rtl w:val="0"/>
          <w:lang w:val="it-IT"/>
        </w:rPr>
        <w:t>’</w:t>
      </w:r>
      <w:r>
        <w:rPr>
          <w:rFonts w:ascii="Book Antiqua"/>
          <w:sz w:val="20"/>
          <w:szCs w:val="20"/>
          <w:rtl w:val="0"/>
          <w:lang w:val="it-IT"/>
        </w:rPr>
        <w:t>Ordine del Giorno dell</w:t>
      </w:r>
      <w:r>
        <w:rPr>
          <w:rFonts w:hAnsi="Book Antiqua" w:hint="default"/>
          <w:sz w:val="20"/>
          <w:szCs w:val="20"/>
          <w:rtl w:val="0"/>
          <w:lang w:val="it-IT"/>
        </w:rPr>
        <w:t>’</w:t>
      </w:r>
      <w:r>
        <w:rPr>
          <w:rFonts w:ascii="Book Antiqua"/>
          <w:sz w:val="20"/>
          <w:szCs w:val="20"/>
          <w:rtl w:val="0"/>
          <w:lang w:val="it-IT"/>
        </w:rPr>
        <w:t>Assemblea Ordinaria dei Soci di AMA S.p.A.</w:t>
      </w:r>
      <w:r>
        <w:rPr>
          <w:rFonts w:hAnsi="Book Antiqua" w:hint="default"/>
          <w:sz w:val="20"/>
          <w:szCs w:val="20"/>
          <w:rtl w:val="0"/>
          <w:lang w:val="it-IT"/>
        </w:rPr>
        <w:t xml:space="preserve">” </w:t>
      </w:r>
      <w:r>
        <w:rPr>
          <w:rFonts w:ascii="Book Antiqua"/>
          <w:sz w:val="20"/>
          <w:szCs w:val="20"/>
          <w:rtl w:val="0"/>
          <w:lang w:val="it-IT"/>
        </w:rPr>
        <w:t xml:space="preserve">(anno 2010); deliberazione n. 142 del 2012 Roma Capitale </w:t>
      </w:r>
      <w:r>
        <w:rPr>
          <w:rFonts w:hAnsi="Book Antiqua" w:hint="default"/>
          <w:sz w:val="20"/>
          <w:szCs w:val="20"/>
          <w:rtl w:val="0"/>
          <w:lang w:val="it-IT"/>
        </w:rPr>
        <w:t>“</w:t>
      </w:r>
      <w:r>
        <w:rPr>
          <w:rFonts w:ascii="Book Antiqua"/>
          <w:sz w:val="20"/>
          <w:szCs w:val="20"/>
          <w:rtl w:val="0"/>
          <w:lang w:val="it-IT"/>
        </w:rPr>
        <w:t>Determinazione del comune di Roma in merito agli argomenti iscritti all</w:t>
      </w:r>
      <w:r>
        <w:rPr>
          <w:rFonts w:hAnsi="Book Antiqua" w:hint="default"/>
          <w:sz w:val="20"/>
          <w:szCs w:val="20"/>
          <w:rtl w:val="0"/>
          <w:lang w:val="it-IT"/>
        </w:rPr>
        <w:t>’</w:t>
      </w:r>
      <w:r>
        <w:rPr>
          <w:rFonts w:ascii="Book Antiqua"/>
          <w:sz w:val="20"/>
          <w:szCs w:val="20"/>
          <w:rtl w:val="0"/>
          <w:lang w:val="it-IT"/>
        </w:rPr>
        <w:t>ordine del giorno dell</w:t>
      </w:r>
      <w:r>
        <w:rPr>
          <w:rFonts w:hAnsi="Book Antiqua" w:hint="default"/>
          <w:sz w:val="20"/>
          <w:szCs w:val="20"/>
          <w:rtl w:val="0"/>
          <w:lang w:val="it-IT"/>
        </w:rPr>
        <w:t>’</w:t>
      </w:r>
      <w:r>
        <w:rPr>
          <w:rFonts w:ascii="Book Antiqua"/>
          <w:sz w:val="20"/>
          <w:szCs w:val="20"/>
          <w:rtl w:val="0"/>
          <w:lang w:val="it-IT"/>
        </w:rPr>
        <w:t>Assemblea Ordinaria dei Soci di AMA S.p.A</w:t>
      </w:r>
      <w:r>
        <w:rPr>
          <w:rFonts w:hAnsi="Book Antiqua" w:hint="default"/>
          <w:sz w:val="20"/>
          <w:szCs w:val="20"/>
          <w:rtl w:val="0"/>
          <w:lang w:val="it-IT"/>
        </w:rPr>
        <w:t xml:space="preserve">” </w:t>
      </w:r>
      <w:r>
        <w:rPr>
          <w:rFonts w:ascii="Book Antiqua"/>
          <w:sz w:val="20"/>
          <w:szCs w:val="20"/>
          <w:rtl w:val="0"/>
          <w:lang w:val="it-IT"/>
        </w:rPr>
        <w:t xml:space="preserve">(anno 2011); deliberazione n. 202 del 2013 Roma Capitale </w:t>
      </w:r>
      <w:r>
        <w:rPr>
          <w:rFonts w:hAnsi="Book Antiqua" w:hint="default"/>
          <w:sz w:val="20"/>
          <w:szCs w:val="20"/>
          <w:rtl w:val="0"/>
          <w:lang w:val="it-IT"/>
        </w:rPr>
        <w:t>“</w:t>
      </w:r>
      <w:r>
        <w:rPr>
          <w:rFonts w:ascii="Book Antiqua"/>
          <w:sz w:val="20"/>
          <w:szCs w:val="20"/>
          <w:rtl w:val="0"/>
          <w:lang w:val="it-IT"/>
        </w:rPr>
        <w:t>Determinazione del comune di Roma in merito agli argomenti iscritti all</w:t>
      </w:r>
      <w:r>
        <w:rPr>
          <w:rFonts w:hAnsi="Book Antiqua" w:hint="default"/>
          <w:sz w:val="20"/>
          <w:szCs w:val="20"/>
          <w:rtl w:val="0"/>
          <w:lang w:val="it-IT"/>
        </w:rPr>
        <w:t>’</w:t>
      </w:r>
      <w:r>
        <w:rPr>
          <w:rFonts w:ascii="Book Antiqua"/>
          <w:sz w:val="20"/>
          <w:szCs w:val="20"/>
          <w:rtl w:val="0"/>
          <w:lang w:val="it-IT"/>
        </w:rPr>
        <w:t>ordine del giorno dell</w:t>
      </w:r>
      <w:r>
        <w:rPr>
          <w:rFonts w:hAnsi="Book Antiqua" w:hint="default"/>
          <w:sz w:val="20"/>
          <w:szCs w:val="20"/>
          <w:rtl w:val="0"/>
          <w:lang w:val="it-IT"/>
        </w:rPr>
        <w:t>’</w:t>
      </w:r>
      <w:r>
        <w:rPr>
          <w:rFonts w:ascii="Book Antiqua"/>
          <w:sz w:val="20"/>
          <w:szCs w:val="20"/>
          <w:rtl w:val="0"/>
          <w:lang w:val="it-IT"/>
        </w:rPr>
        <w:t>Assemblea Ordinaria dei Soci di AMA S.p.A</w:t>
      </w:r>
      <w:r>
        <w:rPr>
          <w:rFonts w:hAnsi="Book Antiqua" w:hint="default"/>
          <w:sz w:val="20"/>
          <w:szCs w:val="20"/>
          <w:rtl w:val="0"/>
          <w:lang w:val="it-IT"/>
        </w:rPr>
        <w:t xml:space="preserve">” </w:t>
      </w:r>
      <w:r>
        <w:rPr>
          <w:rFonts w:ascii="Book Antiqua"/>
          <w:sz w:val="20"/>
          <w:szCs w:val="20"/>
          <w:rtl w:val="0"/>
          <w:lang w:val="it-IT"/>
        </w:rPr>
        <w:t>(anno 2012).</w:t>
      </w:r>
    </w:p>
  </w:footnote>
  <w:footnote w:id="17">
    <w:p>
      <w:pPr>
        <w:pStyle w:val="Normal"/>
        <w:shd w:val="clear" w:color="auto" w:fill="ffffff"/>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A tale proposito </w:t>
      </w:r>
      <w:r>
        <w:rPr>
          <w:rFonts w:hAnsi="Book Antiqua" w:hint="default"/>
          <w:sz w:val="20"/>
          <w:szCs w:val="20"/>
          <w:rtl w:val="0"/>
          <w:lang w:val="it-IT"/>
        </w:rPr>
        <w:t xml:space="preserve">è </w:t>
      </w:r>
      <w:r>
        <w:rPr>
          <w:rFonts w:ascii="Book Antiqua"/>
          <w:sz w:val="20"/>
          <w:szCs w:val="20"/>
          <w:rtl w:val="0"/>
          <w:lang w:val="it-IT"/>
        </w:rPr>
        <w:t>necessario rilevare che il parametro che misura la stabilit</w:t>
      </w:r>
      <w:r>
        <w:rPr>
          <w:rFonts w:hAnsi="Book Antiqua" w:hint="default"/>
          <w:sz w:val="20"/>
          <w:szCs w:val="20"/>
          <w:rtl w:val="0"/>
          <w:lang w:val="it-IT"/>
        </w:rPr>
        <w:t xml:space="preserve">à </w:t>
      </w:r>
      <w:r>
        <w:rPr>
          <w:rFonts w:ascii="Book Antiqua"/>
          <w:sz w:val="20"/>
          <w:szCs w:val="20"/>
          <w:rtl w:val="0"/>
          <w:lang w:val="it-IT"/>
        </w:rPr>
        <w:t>biologica di un rifiuto, ovvero il grado di decomposizione della sostanza organica a pi</w:t>
      </w:r>
      <w:r>
        <w:rPr>
          <w:rFonts w:hAnsi="Book Antiqua" w:hint="default"/>
          <w:sz w:val="20"/>
          <w:szCs w:val="20"/>
          <w:rtl w:val="0"/>
          <w:lang w:val="it-IT"/>
        </w:rPr>
        <w:t xml:space="preserve">ù </w:t>
      </w:r>
      <w:r>
        <w:rPr>
          <w:rFonts w:ascii="Book Antiqua"/>
          <w:sz w:val="20"/>
          <w:szCs w:val="20"/>
          <w:rtl w:val="0"/>
          <w:lang w:val="it-IT"/>
        </w:rPr>
        <w:t>alta degradabilit</w:t>
      </w:r>
      <w:r>
        <w:rPr>
          <w:rFonts w:hAnsi="Book Antiqua" w:hint="default"/>
          <w:sz w:val="20"/>
          <w:szCs w:val="20"/>
          <w:rtl w:val="0"/>
          <w:lang w:val="it-IT"/>
        </w:rPr>
        <w:t>à</w:t>
      </w:r>
      <w:r>
        <w:rPr>
          <w:rFonts w:ascii="Book Antiqua"/>
          <w:sz w:val="20"/>
          <w:szCs w:val="20"/>
          <w:rtl w:val="0"/>
          <w:lang w:val="it-IT"/>
        </w:rPr>
        <w:t xml:space="preserve">, </w:t>
      </w:r>
      <w:r>
        <w:rPr>
          <w:rFonts w:hAnsi="Book Antiqua" w:hint="default"/>
          <w:sz w:val="20"/>
          <w:szCs w:val="20"/>
          <w:rtl w:val="0"/>
          <w:lang w:val="it-IT"/>
        </w:rPr>
        <w:t xml:space="preserve">è </w:t>
      </w:r>
      <w:r>
        <w:rPr>
          <w:rFonts w:ascii="Book Antiqua"/>
          <w:sz w:val="20"/>
          <w:szCs w:val="20"/>
          <w:rtl w:val="0"/>
          <w:lang w:val="it-IT"/>
        </w:rPr>
        <w:t>l</w:t>
      </w:r>
      <w:r>
        <w:rPr>
          <w:rFonts w:hAnsi="Book Antiqua" w:hint="default"/>
          <w:sz w:val="20"/>
          <w:szCs w:val="20"/>
          <w:rtl w:val="0"/>
          <w:lang w:val="it-IT"/>
        </w:rPr>
        <w:t>’</w:t>
      </w:r>
      <w:r>
        <w:rPr>
          <w:rFonts w:ascii="Book Antiqua"/>
          <w:sz w:val="20"/>
          <w:szCs w:val="20"/>
          <w:rtl w:val="0"/>
          <w:lang w:val="it-IT"/>
        </w:rPr>
        <w:t>indice di respirazione dinamico potenziale (IRDP). Nelle Linee Guida per l</w:t>
      </w:r>
      <w:r>
        <w:rPr>
          <w:rFonts w:hAnsi="Book Antiqua" w:hint="default"/>
          <w:sz w:val="20"/>
          <w:szCs w:val="20"/>
          <w:rtl w:val="0"/>
          <w:lang w:val="it-IT"/>
        </w:rPr>
        <w:t>’</w:t>
      </w:r>
      <w:r>
        <w:rPr>
          <w:rFonts w:ascii="Book Antiqua"/>
          <w:sz w:val="20"/>
          <w:szCs w:val="20"/>
          <w:rtl w:val="0"/>
          <w:lang w:val="it-IT"/>
        </w:rPr>
        <w:t>identificazione e l</w:t>
      </w:r>
      <w:r>
        <w:rPr>
          <w:rFonts w:hAnsi="Book Antiqua" w:hint="default"/>
          <w:sz w:val="20"/>
          <w:szCs w:val="20"/>
          <w:rtl w:val="0"/>
          <w:lang w:val="it-IT"/>
        </w:rPr>
        <w:t>’</w:t>
      </w:r>
      <w:r>
        <w:rPr>
          <w:rFonts w:ascii="Book Antiqua"/>
          <w:sz w:val="20"/>
          <w:szCs w:val="20"/>
          <w:rtl w:val="0"/>
          <w:lang w:val="it-IT"/>
        </w:rPr>
        <w:t>utilizzazione delle migliori tecniche disponibili per gli impianti di trattamento meccanico biologico, di cui al DM 29 gennaio 2007, l</w:t>
      </w:r>
      <w:r>
        <w:rPr>
          <w:rFonts w:hAnsi="Book Antiqua" w:hint="default"/>
          <w:sz w:val="20"/>
          <w:szCs w:val="20"/>
          <w:rtl w:val="0"/>
          <w:lang w:val="it-IT"/>
        </w:rPr>
        <w:t>’</w:t>
      </w:r>
      <w:r>
        <w:rPr>
          <w:rFonts w:ascii="Book Antiqua"/>
          <w:sz w:val="20"/>
          <w:szCs w:val="20"/>
          <w:rtl w:val="0"/>
          <w:lang w:val="it-IT"/>
        </w:rPr>
        <w:t xml:space="preserve">IRDP, posto pari a 1.000 mg O2*kgSV-1*h-1 a fine fase di biossidazione attiva e a 700 mg O2*kgSV-1*h-1 al termine della fase di maturazione, </w:t>
      </w:r>
      <w:r>
        <w:rPr>
          <w:rFonts w:hAnsi="Book Antiqua" w:hint="default"/>
          <w:sz w:val="20"/>
          <w:szCs w:val="20"/>
          <w:rtl w:val="0"/>
          <w:lang w:val="it-IT"/>
        </w:rPr>
        <w:t xml:space="preserve">è </w:t>
      </w:r>
      <w:r>
        <w:rPr>
          <w:rFonts w:ascii="Book Antiqua"/>
          <w:sz w:val="20"/>
          <w:szCs w:val="20"/>
          <w:rtl w:val="0"/>
          <w:lang w:val="it-IT"/>
        </w:rPr>
        <w:t>utilizzato come misura  della degradazione della sostanza organica. Valori superiori evidenziano, infatti, la necessit</w:t>
      </w:r>
      <w:r>
        <w:rPr>
          <w:rFonts w:hAnsi="Book Antiqua" w:hint="default"/>
          <w:sz w:val="20"/>
          <w:szCs w:val="20"/>
          <w:rtl w:val="0"/>
          <w:lang w:val="it-IT"/>
        </w:rPr>
        <w:t xml:space="preserve">à </w:t>
      </w:r>
      <w:r>
        <w:rPr>
          <w:rFonts w:ascii="Book Antiqua"/>
          <w:sz w:val="20"/>
          <w:szCs w:val="20"/>
          <w:rtl w:val="0"/>
          <w:lang w:val="it-IT"/>
        </w:rPr>
        <w:t>di completare il trattamento della frazione umida sottoponendola ad un pi</w:t>
      </w:r>
      <w:r>
        <w:rPr>
          <w:rFonts w:hAnsi="Book Antiqua" w:hint="default"/>
          <w:sz w:val="20"/>
          <w:szCs w:val="20"/>
          <w:rtl w:val="0"/>
          <w:lang w:val="it-IT"/>
        </w:rPr>
        <w:t xml:space="preserve">ù </w:t>
      </w:r>
      <w:r>
        <w:rPr>
          <w:rFonts w:ascii="Book Antiqua"/>
          <w:sz w:val="20"/>
          <w:szCs w:val="20"/>
          <w:rtl w:val="0"/>
          <w:lang w:val="it-IT"/>
        </w:rPr>
        <w:t>efficace processo di stabilizzazione al fine di portare il valore dell</w:t>
      </w:r>
      <w:r>
        <w:rPr>
          <w:rFonts w:hAnsi="Book Antiqua" w:hint="default"/>
          <w:sz w:val="20"/>
          <w:szCs w:val="20"/>
          <w:rtl w:val="0"/>
          <w:lang w:val="it-IT"/>
        </w:rPr>
        <w:t>’</w:t>
      </w:r>
      <w:r>
        <w:rPr>
          <w:rFonts w:ascii="Book Antiqua"/>
          <w:sz w:val="20"/>
          <w:szCs w:val="20"/>
          <w:rtl w:val="0"/>
          <w:lang w:val="it-IT"/>
        </w:rPr>
        <w:t>IRDP al disotto dei limiti sopra indicati.</w:t>
      </w:r>
    </w:p>
  </w:footnote>
  <w:footnote w:id="18">
    <w:p>
      <w:pPr>
        <w:pStyle w:val="footnote text"/>
        <w:ind w:left="567" w:right="567" w:firstLine="0"/>
        <w:jc w:val="both"/>
      </w:pPr>
      <w:r>
        <w:rPr>
          <w:rFonts w:ascii="Book Antiqua" w:cs="Book Antiqua" w:hAnsi="Book Antiqua" w:eastAsia="Book Antiqua"/>
          <w:color w:val="000000"/>
          <w:u w:color="000000"/>
          <w:vertAlign w:val="superscript"/>
          <w:rtl w:val="0"/>
        </w:rPr>
        <w:footnoteRef/>
      </w:r>
      <w:r>
        <w:rPr>
          <w:rFonts w:ascii="Book Antiqua"/>
          <w:sz w:val="20"/>
          <w:szCs w:val="20"/>
          <w:rtl w:val="0"/>
          <w:lang w:val="it-IT"/>
        </w:rPr>
        <w:t xml:space="preserve"> Doc. n. 1746/2, relazione sull'analisi dei flussi di rifiuti urbani indifferenziati e da raccolta differenziata dell'organico del comune di Roma</w:t>
      </w:r>
    </w:p>
  </w:footnote>
  <w:footnote w:id="19">
    <w:p>
      <w:pPr>
        <w:pStyle w:val="footnote text"/>
        <w:ind w:left="567" w:right="567" w:firstLine="0"/>
        <w:jc w:val="both"/>
        <w:rPr>
          <w:rFonts w:ascii="Book Antiqua" w:cs="Book Antiqua" w:hAnsi="Book Antiqua" w:eastAsia="Book Antiqua"/>
          <w:sz w:val="20"/>
          <w:szCs w:val="20"/>
        </w:rPr>
      </w:pPr>
      <w:r>
        <w:rPr>
          <w:rFonts w:ascii="Book Antiqua" w:cs="Book Antiqua" w:hAnsi="Book Antiqua" w:eastAsia="Book Antiqua"/>
          <w:vertAlign w:val="superscript"/>
          <w:rtl w:val="0"/>
        </w:rPr>
        <w:footnoteRef/>
      </w:r>
      <w:r>
        <w:rPr>
          <w:rFonts w:ascii="Book Antiqua"/>
          <w:sz w:val="20"/>
          <w:szCs w:val="20"/>
          <w:rtl w:val="0"/>
          <w:lang w:val="it-IT"/>
        </w:rPr>
        <w:t xml:space="preserve"> I dati e alcune considerazioni riportate di seguito sono tratti dalle relazioni dall</w:t>
      </w:r>
      <w:r>
        <w:rPr>
          <w:rFonts w:hAnsi="Book Antiqua" w:hint="default"/>
          <w:sz w:val="20"/>
          <w:szCs w:val="20"/>
          <w:rtl w:val="0"/>
          <w:lang w:val="it-IT"/>
        </w:rPr>
        <w:t>’</w:t>
      </w:r>
      <w:r>
        <w:rPr>
          <w:rFonts w:ascii="Book Antiqua"/>
          <w:sz w:val="20"/>
          <w:szCs w:val="20"/>
          <w:rtl w:val="0"/>
          <w:lang w:val="it-IT"/>
        </w:rPr>
        <w:t>Agenzia per il controllo e la qualit</w:t>
      </w:r>
      <w:r>
        <w:rPr>
          <w:rFonts w:hAnsi="Book Antiqua" w:hint="default"/>
          <w:sz w:val="20"/>
          <w:szCs w:val="20"/>
          <w:rtl w:val="0"/>
          <w:lang w:val="it-IT"/>
        </w:rPr>
        <w:t xml:space="preserve">à </w:t>
      </w:r>
      <w:r>
        <w:rPr>
          <w:rFonts w:ascii="Book Antiqua"/>
          <w:sz w:val="20"/>
          <w:szCs w:val="20"/>
          <w:rtl w:val="0"/>
          <w:lang w:val="it-IT"/>
        </w:rPr>
        <w:t xml:space="preserve">dei servizi pubblici locali di Roma Capitale </w:t>
      </w:r>
      <w:hyperlink r:id="rId1" w:history="1">
        <w:r>
          <w:rPr>
            <w:rStyle w:val="Hyperlink.1"/>
            <w:rFonts w:ascii="Book Antiqua"/>
            <w:color w:val="000000"/>
            <w:sz w:val="20"/>
            <w:szCs w:val="20"/>
            <w:u w:color="000000"/>
            <w:rtl w:val="0"/>
            <w:lang w:val="it-IT"/>
          </w:rPr>
          <w:t>http://pubblicazioni.agenzia.roma.it/schede-164-la_raccolta_differenziata</w:t>
        </w:r>
      </w:hyperlink>
      <w:r>
        <w:rPr>
          <w:rFonts w:ascii="Book Antiqua"/>
          <w:sz w:val="20"/>
          <w:szCs w:val="20"/>
          <w:rtl w:val="0"/>
          <w:lang w:val="it-IT"/>
        </w:rPr>
        <w:t xml:space="preserve"> .</w:t>
      </w:r>
    </w:p>
    <w:p>
      <w:pPr>
        <w:pStyle w:val="Normal"/>
        <w:widowControl w:val="0"/>
        <w:ind w:left="567" w:right="567" w:firstLine="0"/>
        <w:jc w:val="both"/>
      </w:pPr>
      <w:r>
        <w:rPr>
          <w:rFonts w:ascii="Book Antiqua"/>
          <w:sz w:val="20"/>
          <w:szCs w:val="20"/>
          <w:rtl w:val="0"/>
          <w:lang w:val="it-IT"/>
        </w:rPr>
        <w:t>L'Agenzia per il controllo e la qualit</w:t>
      </w:r>
      <w:r>
        <w:rPr>
          <w:rFonts w:hAnsi="Book Antiqua" w:hint="default"/>
          <w:sz w:val="20"/>
          <w:szCs w:val="20"/>
          <w:rtl w:val="0"/>
          <w:lang w:val="it-IT"/>
        </w:rPr>
        <w:t xml:space="preserve">à </w:t>
      </w:r>
      <w:r>
        <w:rPr>
          <w:rFonts w:ascii="Book Antiqua"/>
          <w:sz w:val="20"/>
          <w:szCs w:val="20"/>
          <w:rtl w:val="0"/>
          <w:lang w:val="it-IT"/>
        </w:rPr>
        <w:t xml:space="preserve">dei servizi pubblici locali di Roma Capitale </w:t>
      </w:r>
      <w:r>
        <w:rPr>
          <w:rFonts w:hAnsi="Book Antiqua" w:hint="default"/>
          <w:sz w:val="20"/>
          <w:szCs w:val="20"/>
          <w:rtl w:val="0"/>
          <w:lang w:val="it-IT"/>
        </w:rPr>
        <w:t xml:space="preserve">è </w:t>
      </w:r>
      <w:r>
        <w:rPr>
          <w:rFonts w:ascii="Book Antiqua"/>
          <w:sz w:val="20"/>
          <w:szCs w:val="20"/>
          <w:rtl w:val="0"/>
          <w:lang w:val="it-IT"/>
        </w:rPr>
        <w:t xml:space="preserve">stata istituita dal Consiglio Comunale di Roma con deliberazione n. 39 del 14 marzo 2002 (modificata dalla deliberazione n. 212 del 22 ottobre 2007). Scopo principale dell'Agenzia </w:t>
      </w:r>
      <w:r>
        <w:rPr>
          <w:rFonts w:hAnsi="Book Antiqua" w:hint="default"/>
          <w:sz w:val="20"/>
          <w:szCs w:val="20"/>
          <w:rtl w:val="0"/>
          <w:lang w:val="it-IT"/>
        </w:rPr>
        <w:t xml:space="preserve">è </w:t>
      </w:r>
      <w:r>
        <w:rPr>
          <w:rFonts w:ascii="Book Antiqua"/>
          <w:sz w:val="20"/>
          <w:szCs w:val="20"/>
          <w:rtl w:val="0"/>
          <w:lang w:val="it-IT"/>
        </w:rPr>
        <w:t>contribuire a migliorare l'efficienza e la qualit</w:t>
      </w:r>
      <w:r>
        <w:rPr>
          <w:rFonts w:hAnsi="Book Antiqua" w:hint="default"/>
          <w:sz w:val="20"/>
          <w:szCs w:val="20"/>
          <w:rtl w:val="0"/>
          <w:lang w:val="it-IT"/>
        </w:rPr>
        <w:t xml:space="preserve">à </w:t>
      </w:r>
      <w:r>
        <w:rPr>
          <w:rFonts w:ascii="Book Antiqua"/>
          <w:sz w:val="20"/>
          <w:szCs w:val="20"/>
          <w:rtl w:val="0"/>
          <w:lang w:val="it-IT"/>
        </w:rPr>
        <w:t>dei servizi pubblici locali, operando in autonomia. L'Agenzia svolge funzioni di verifica e monitoraggio della qualit</w:t>
      </w:r>
      <w:r>
        <w:rPr>
          <w:rFonts w:hAnsi="Book Antiqua" w:hint="default"/>
          <w:sz w:val="20"/>
          <w:szCs w:val="20"/>
          <w:rtl w:val="0"/>
          <w:lang w:val="it-IT"/>
        </w:rPr>
        <w:t xml:space="preserve">à </w:t>
      </w:r>
      <w:r>
        <w:rPr>
          <w:rFonts w:ascii="Book Antiqua"/>
          <w:sz w:val="20"/>
          <w:szCs w:val="20"/>
          <w:rtl w:val="0"/>
          <w:lang w:val="it-IT"/>
        </w:rPr>
        <w:t>dei servizi e di supporto propositivo e tecnico-conoscitivo nei confronti degli organi ammi nistrativi di Roma Capitale; realizza studi e, su richiesta dell'Assemblea capitolina, del sindaco e della Giunta capitolina esprime pareri preventivi sugli schemi degli atti concessori e autorizzativi, delle convenzioni e dei contratti di servizio e pu</w:t>
      </w:r>
      <w:r>
        <w:rPr>
          <w:rFonts w:hAnsi="Book Antiqua" w:hint="default"/>
          <w:sz w:val="20"/>
          <w:szCs w:val="20"/>
          <w:rtl w:val="0"/>
          <w:lang w:val="it-IT"/>
        </w:rPr>
        <w:t xml:space="preserve">ò </w:t>
      </w:r>
      <w:r>
        <w:rPr>
          <w:rFonts w:ascii="Book Antiqua"/>
          <w:sz w:val="20"/>
          <w:szCs w:val="20"/>
          <w:rtl w:val="0"/>
          <w:lang w:val="it-IT"/>
        </w:rPr>
        <w:t>proporre la modifica delle clausole delle autorizzazioni e delle condizioni tecniche di svolgimento dei servizi; presenta all'Assemblea capitolina una relazione annuale sullo stato dei servizi pubblici locali e sull'attivit</w:t>
      </w:r>
      <w:r>
        <w:rPr>
          <w:rFonts w:hAnsi="Book Antiqua" w:hint="default"/>
          <w:sz w:val="20"/>
          <w:szCs w:val="20"/>
          <w:rtl w:val="0"/>
          <w:lang w:val="it-IT"/>
        </w:rPr>
        <w:t xml:space="preserve">à </w:t>
      </w:r>
      <w:r>
        <w:rPr>
          <w:rFonts w:ascii="Book Antiqua"/>
          <w:sz w:val="20"/>
          <w:szCs w:val="20"/>
          <w:rtl w:val="0"/>
          <w:lang w:val="it-IT"/>
        </w:rPr>
        <w:t>svolta.</w:t>
      </w:r>
      <w:r>
        <w:rPr>
          <w:rFonts w:ascii="Book Antiqua" w:cs="Book Antiqua" w:hAnsi="Book Antiqua" w:eastAsia="Book Antiqua"/>
          <w:sz w:val="20"/>
          <w:szCs w:val="20"/>
        </w:rPr>
      </w:r>
    </w:p>
  </w:footnote>
  <w:footnote w:id="20">
    <w:p>
      <w:pPr>
        <w:pStyle w:val="footnote text"/>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w:t>
      </w:r>
      <w:hyperlink r:id="rId2" w:history="1">
        <w:r>
          <w:rPr>
            <w:rStyle w:val="Hyperlink.2"/>
            <w:rFonts w:ascii="Book Antiqua"/>
            <w:sz w:val="20"/>
            <w:szCs w:val="20"/>
            <w:rtl w:val="0"/>
            <w:lang w:val="it-IT"/>
          </w:rPr>
          <w:t>http://pubblicazioni.agenzia.roma.it/schede-831-costo_e_percentuale_di_raccolta_differenziata_qualita_erogata_e_percepita</w:t>
        </w:r>
      </w:hyperlink>
      <w:r>
        <w:rPr>
          <w:rFonts w:ascii="Book Antiqua"/>
          <w:sz w:val="20"/>
          <w:szCs w:val="20"/>
          <w:rtl w:val="0"/>
          <w:lang w:val="it-IT"/>
        </w:rPr>
        <w:t xml:space="preserve"> </w:t>
      </w:r>
    </w:p>
  </w:footnote>
  <w:footnote w:id="21">
    <w:p>
      <w:pPr>
        <w:pStyle w:val="footnote text"/>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w:t>
      </w:r>
      <w:hyperlink r:id="rId3" w:history="1">
        <w:r>
          <w:rPr>
            <w:rStyle w:val="Hyperlink.2"/>
            <w:rFonts w:ascii="Book Antiqua"/>
            <w:sz w:val="20"/>
            <w:szCs w:val="20"/>
            <w:rtl w:val="0"/>
            <w:lang w:val="it-IT"/>
          </w:rPr>
          <w:t>http://pubblicazioni.agenzia.roma.it/schede-830-costo_della_pulizia_qualita_erogata_e_percepita</w:t>
        </w:r>
      </w:hyperlink>
      <w:r>
        <w:rPr>
          <w:rFonts w:ascii="Book Antiqua"/>
          <w:sz w:val="20"/>
          <w:szCs w:val="20"/>
          <w:rtl w:val="0"/>
          <w:lang w:val="it-IT"/>
        </w:rPr>
        <w:t xml:space="preserve"> </w:t>
      </w:r>
    </w:p>
  </w:footnote>
  <w:footnote w:id="22">
    <w:p>
      <w:pPr>
        <w:pStyle w:val="footnote text"/>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Doc. n. 585/1, AMA, relazione sul ciclo dei rifiuti di Roma Capitale e cartelle riassuntive, del 30 giugno 2015.</w:t>
      </w:r>
    </w:p>
  </w:footnote>
  <w:footnote w:id="23">
    <w:p>
      <w:pPr>
        <w:pStyle w:val="footnote text"/>
        <w:ind w:left="567" w:right="567" w:firstLine="0"/>
        <w:jc w:val="both"/>
      </w:pPr>
      <w:r>
        <w:rPr>
          <w:rFonts w:ascii="Book Antiqua" w:cs="Book Antiqua" w:hAnsi="Book Antiqua" w:eastAsia="Book Antiqua"/>
          <w:sz w:val="24"/>
          <w:szCs w:val="24"/>
          <w:vertAlign w:val="superscript"/>
          <w:rtl w:val="0"/>
        </w:rPr>
        <w:footnoteRef/>
      </w:r>
      <w:r>
        <w:rPr>
          <w:rFonts w:ascii="Book Antiqua"/>
          <w:sz w:val="20"/>
          <w:szCs w:val="20"/>
          <w:rtl w:val="0"/>
          <w:lang w:val="it-IT"/>
        </w:rPr>
        <w:t xml:space="preserve"> Si rileva che in questo caso ci si riferisce alla frazione organica proveniente dalla raccolta differenziata (umido+verde) e non ai RUB propriamente detti che sono definiti dal D.lgs. n. 36/2003 come : "qualsiasi rifiuto che per natura subisce processi di decomposizione aerobica o anaerobica quali ad esempio rifiuti di alimenti, rifiuti dei giardini, rifiuti di carta e di cartone</w:t>
      </w:r>
      <w:r>
        <w:rPr>
          <w:rFonts w:hAnsi="Book Antiqua" w:hint="default"/>
          <w:sz w:val="20"/>
          <w:szCs w:val="20"/>
          <w:rtl w:val="0"/>
          <w:lang w:val="it-IT"/>
        </w:rPr>
        <w:t xml:space="preserve">” </w:t>
      </w:r>
      <w:r>
        <w:rPr>
          <w:rFonts w:ascii="Book Antiqua"/>
          <w:sz w:val="20"/>
          <w:szCs w:val="20"/>
          <w:rtl w:val="0"/>
          <w:lang w:val="it-IT"/>
        </w:rPr>
        <w:t>che includono anche altre frazioni biodegradabili generalmente avviate a diverse forme di recupero di materia.</w:t>
      </w:r>
    </w:p>
  </w:footnote>
  <w:footnote w:id="24">
    <w:p>
      <w:pPr>
        <w:pStyle w:val="footnote text"/>
        <w:ind w:left="567" w:right="567" w:firstLine="0"/>
        <w:jc w:val="both"/>
      </w:pPr>
      <w:r>
        <w:rPr>
          <w:rFonts w:ascii="Book Antiqua" w:cs="Book Antiqua" w:hAnsi="Book Antiqua" w:eastAsia="Book Antiqua"/>
          <w:color w:val="000000"/>
          <w:u w:color="000000"/>
          <w:vertAlign w:val="superscript"/>
          <w:rtl w:val="0"/>
        </w:rPr>
        <w:footnoteRef/>
      </w:r>
      <w:r>
        <w:rPr>
          <w:rFonts w:ascii="Book Antiqua"/>
          <w:sz w:val="20"/>
          <w:szCs w:val="20"/>
          <w:rtl w:val="0"/>
          <w:lang w:val="it-IT"/>
        </w:rPr>
        <w:t xml:space="preserve"> Doc. n. 1746/2</w:t>
      </w:r>
    </w:p>
  </w:footnote>
  <w:footnote w:id="25">
    <w:p>
      <w:pPr>
        <w:pStyle w:val="footnote text"/>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w:t>
      </w:r>
      <w:hyperlink r:id="rId4" w:history="1">
        <w:r>
          <w:rPr>
            <w:rStyle w:val="Hyperlink.2"/>
            <w:rFonts w:ascii="Book Antiqua"/>
            <w:sz w:val="20"/>
            <w:szCs w:val="20"/>
            <w:rtl w:val="0"/>
            <w:lang w:val="it-IT"/>
          </w:rPr>
          <w:t>http://pubblicazioni.agenzia.roma.it/schede-939-ambiente_e_igiene_urbana</w:t>
        </w:r>
      </w:hyperlink>
      <w:r>
        <w:rPr>
          <w:rFonts w:ascii="Book Antiqua"/>
          <w:sz w:val="20"/>
          <w:szCs w:val="20"/>
          <w:rtl w:val="0"/>
          <w:lang w:val="it-IT"/>
        </w:rPr>
        <w:t xml:space="preserve"> </w:t>
      </w:r>
    </w:p>
  </w:footnote>
  <w:footnote w:id="26">
    <w:p>
      <w:pPr>
        <w:pStyle w:val="footnote text"/>
        <w:ind w:left="567" w:right="567" w:firstLine="0"/>
        <w:jc w:val="both"/>
        <w:rPr>
          <w:rFonts w:ascii="Book Antiqua" w:cs="Book Antiqua" w:hAnsi="Book Antiqua" w:eastAsia="Book Antiqua"/>
          <w:sz w:val="20"/>
          <w:szCs w:val="20"/>
        </w:rPr>
      </w:pPr>
      <w:r>
        <w:rPr>
          <w:rFonts w:ascii="Book Antiqua" w:cs="Book Antiqua" w:hAnsi="Book Antiqua" w:eastAsia="Book Antiqua"/>
          <w:vertAlign w:val="superscript"/>
          <w:rtl w:val="0"/>
        </w:rPr>
        <w:footnoteRef/>
      </w:r>
      <w:hyperlink r:id="rId5" w:history="1">
        <w:r>
          <w:rPr>
            <w:rStyle w:val="Hyperlink.2"/>
            <w:rFonts w:ascii="Book Antiqua"/>
            <w:sz w:val="20"/>
            <w:szCs w:val="20"/>
            <w:rtl w:val="0"/>
            <w:lang w:val="it-IT"/>
          </w:rPr>
          <w:t>http://pubblicazioni.agenzia.roma.it/schede-850 investimenti_in_impianti_trattamento_ama_costi_e_ricavi_unitari</w:t>
        </w:r>
      </w:hyperlink>
      <w:r>
        <w:rPr>
          <w:rFonts w:ascii="Book Antiqua"/>
          <w:sz w:val="20"/>
          <w:szCs w:val="20"/>
          <w:rtl w:val="0"/>
          <w:lang w:val="it-IT"/>
        </w:rPr>
        <w:t xml:space="preserve"> </w:t>
      </w:r>
    </w:p>
    <w:p>
      <w:pPr>
        <w:pStyle w:val="footnote text"/>
        <w:ind w:left="567" w:right="567" w:firstLine="0"/>
        <w:jc w:val="both"/>
      </w:pPr>
      <w:r>
        <w:rPr>
          <w:rFonts w:ascii="Book Antiqua"/>
          <w:sz w:val="20"/>
          <w:szCs w:val="20"/>
          <w:rtl w:val="0"/>
          <w:lang w:val="it-IT"/>
        </w:rPr>
        <w:t>Come si vedr</w:t>
      </w:r>
      <w:r>
        <w:rPr>
          <w:rFonts w:hAnsi="Book Antiqua" w:hint="default"/>
          <w:sz w:val="20"/>
          <w:szCs w:val="20"/>
          <w:rtl w:val="0"/>
          <w:lang w:val="it-IT"/>
        </w:rPr>
        <w:t xml:space="preserve">à </w:t>
      </w:r>
      <w:r>
        <w:rPr>
          <w:rFonts w:ascii="Book Antiqua"/>
          <w:sz w:val="20"/>
          <w:szCs w:val="20"/>
          <w:rtl w:val="0"/>
          <w:lang w:val="it-IT"/>
        </w:rPr>
        <w:t xml:space="preserve">nel </w:t>
      </w:r>
      <w:r>
        <w:rPr>
          <w:rFonts w:hAnsi="Book Antiqua" w:hint="default"/>
          <w:sz w:val="20"/>
          <w:szCs w:val="20"/>
          <w:rtl w:val="0"/>
          <w:lang w:val="it-IT"/>
        </w:rPr>
        <w:t xml:space="preserve">§ </w:t>
      </w:r>
      <w:r>
        <w:rPr>
          <w:rFonts w:ascii="Book Antiqua"/>
          <w:sz w:val="20"/>
          <w:szCs w:val="20"/>
          <w:rtl w:val="0"/>
          <w:lang w:val="it-IT"/>
        </w:rPr>
        <w:t>2.3.4, il piano industriale AMA presentato nel maggio 2017 prevede un passaggio, nel periodo 2017-2021 della capacit</w:t>
      </w:r>
      <w:r>
        <w:rPr>
          <w:rFonts w:hAnsi="Book Antiqua" w:hint="default"/>
          <w:sz w:val="20"/>
          <w:szCs w:val="20"/>
          <w:rtl w:val="0"/>
          <w:lang w:val="it-IT"/>
        </w:rPr>
        <w:t xml:space="preserve">à </w:t>
      </w:r>
      <w:r>
        <w:rPr>
          <w:rFonts w:ascii="Book Antiqua"/>
          <w:sz w:val="20"/>
          <w:szCs w:val="20"/>
          <w:rtl w:val="0"/>
          <w:lang w:val="it-IT"/>
        </w:rPr>
        <w:t>di trattamento degli impianti AMA dal 20,4% al 29,4%, dato che rimane largamente al di sotto di obiettivi di autosufficienza dell</w:t>
      </w:r>
      <w:r>
        <w:rPr>
          <w:rFonts w:hAnsi="Book Antiqua" w:hint="default"/>
          <w:sz w:val="20"/>
          <w:szCs w:val="20"/>
          <w:rtl w:val="0"/>
          <w:lang w:val="it-IT"/>
        </w:rPr>
        <w:t>’</w:t>
      </w:r>
      <w:r>
        <w:rPr>
          <w:rFonts w:ascii="Book Antiqua"/>
          <w:sz w:val="20"/>
          <w:szCs w:val="20"/>
          <w:rtl w:val="0"/>
          <w:lang w:val="it-IT"/>
        </w:rPr>
        <w:t xml:space="preserve">azienda pubblica; </w:t>
      </w:r>
      <w:hyperlink r:id="rId6" w:history="1">
        <w:r>
          <w:rPr>
            <w:rStyle w:val="Hyperlink.2"/>
            <w:rFonts w:ascii="Book Antiqua"/>
            <w:sz w:val="20"/>
            <w:szCs w:val="20"/>
            <w:rtl w:val="0"/>
            <w:lang w:val="it-IT"/>
          </w:rPr>
          <w:t>http://pubblicazioni.agenzia.roma.it/schede-829-costi_unitari_dei_servizi_a_roma_andamento</w:t>
        </w:r>
      </w:hyperlink>
    </w:p>
  </w:footnote>
  <w:footnote w:id="27">
    <w:p>
      <w:pPr>
        <w:pStyle w:val="footnote text"/>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Doc 1928/2</w:t>
      </w:r>
    </w:p>
  </w:footnote>
  <w:footnote w:id="28">
    <w:p>
      <w:pPr>
        <w:pStyle w:val="footnote text"/>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Doc. n. 1928/4</w:t>
      </w:r>
    </w:p>
  </w:footnote>
  <w:footnote w:id="29">
    <w:p>
      <w:pPr>
        <w:pStyle w:val="footnote text"/>
        <w:ind w:left="567" w:right="567" w:firstLine="0"/>
        <w:jc w:val="both"/>
      </w:pPr>
      <w:r>
        <w:rPr>
          <w:rFonts w:ascii="Book Antiqua" w:cs="Book Antiqua" w:hAnsi="Book Antiqua" w:eastAsia="Book Antiqua"/>
          <w:color w:val="000000"/>
          <w:u w:color="000000"/>
          <w:vertAlign w:val="superscript"/>
          <w:rtl w:val="0"/>
        </w:rPr>
        <w:footnoteRef/>
      </w:r>
      <w:r>
        <w:rPr>
          <w:rFonts w:ascii="Book Antiqua"/>
          <w:sz w:val="20"/>
          <w:szCs w:val="20"/>
          <w:rtl w:val="0"/>
          <w:lang w:val="it-IT"/>
        </w:rPr>
        <w:t xml:space="preserve"> Doc. n. 1746/2: ISPRA - relazione sull'analisi dei flussi di rifiuti urbani indifferenziati e da raccolta differenziata dell'organico del comune di Roma</w:t>
      </w:r>
    </w:p>
  </w:footnote>
  <w:footnote w:id="30">
    <w:p>
      <w:pPr>
        <w:pStyle w:val="footnote text"/>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w:t>
      </w:r>
      <w:hyperlink r:id="rId7" w:history="1">
        <w:r>
          <w:rPr>
            <w:rStyle w:val="Hyperlink.2"/>
            <w:rFonts w:ascii="Book Antiqua"/>
            <w:sz w:val="20"/>
            <w:szCs w:val="20"/>
            <w:rtl w:val="0"/>
            <w:lang w:val="it-IT"/>
          </w:rPr>
          <w:t>http://pubblicazioni.agenzia.roma.it/schede-133-impianti_ama</w:t>
        </w:r>
      </w:hyperlink>
      <w:r>
        <w:rPr>
          <w:rFonts w:ascii="Book Antiqua"/>
          <w:sz w:val="20"/>
          <w:szCs w:val="20"/>
          <w:rtl w:val="0"/>
          <w:lang w:val="it-IT"/>
        </w:rPr>
        <w:t xml:space="preserve"> </w:t>
      </w:r>
    </w:p>
  </w:footnote>
  <w:footnote w:id="31">
    <w:p>
      <w:pPr>
        <w:pStyle w:val="footnote text"/>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w:t>
      </w:r>
      <w:hyperlink r:id="rId8" w:history="1">
        <w:r>
          <w:rPr>
            <w:rStyle w:val="Hyperlink.2"/>
            <w:rFonts w:ascii="Book Antiqua"/>
            <w:sz w:val="20"/>
            <w:szCs w:val="20"/>
            <w:rtl w:val="0"/>
            <w:lang w:val="it-IT"/>
          </w:rPr>
          <w:t>http://pubblicazioni.agenzia.roma.it/schede-843-evoluzione_dell_impiantistica_ama</w:t>
        </w:r>
      </w:hyperlink>
      <w:r>
        <w:rPr>
          <w:rFonts w:ascii="Book Antiqua"/>
          <w:sz w:val="20"/>
          <w:szCs w:val="20"/>
          <w:rtl w:val="0"/>
          <w:lang w:val="it-IT"/>
        </w:rPr>
        <w:t xml:space="preserve"> </w:t>
      </w:r>
    </w:p>
  </w:footnote>
  <w:footnote w:id="32">
    <w:p>
      <w:pPr>
        <w:pStyle w:val="footnote text"/>
        <w:ind w:left="567" w:right="567" w:firstLine="0"/>
        <w:jc w:val="both"/>
      </w:pPr>
      <w:r>
        <w:rPr>
          <w:rFonts w:ascii="Book Antiqua Bold" w:cs="Book Antiqua Bold" w:hAnsi="Book Antiqua Bold" w:eastAsia="Book Antiqua Bold"/>
          <w:b w:val="1"/>
          <w:bCs w:val="1"/>
          <w:sz w:val="20"/>
          <w:szCs w:val="20"/>
          <w:vertAlign w:val="superscript"/>
          <w:rtl w:val="0"/>
        </w:rPr>
        <w:footnoteRef/>
      </w:r>
      <w:r>
        <w:rPr>
          <w:rFonts w:ascii="Book Antiqua"/>
          <w:sz w:val="20"/>
          <w:szCs w:val="20"/>
          <w:rtl w:val="0"/>
          <w:lang w:val="it-IT"/>
        </w:rPr>
        <w:t xml:space="preserve"> </w:t>
      </w:r>
      <w:hyperlink r:id="rId9" w:history="1">
        <w:r>
          <w:rPr>
            <w:rStyle w:val="Hyperlink.2"/>
            <w:rFonts w:ascii="Book Antiqua"/>
            <w:sz w:val="20"/>
            <w:szCs w:val="20"/>
            <w:rtl w:val="0"/>
            <w:lang w:val="it-IT"/>
          </w:rPr>
          <w:t>http://pubblicazioni.agenzia.roma.it/schede-857-impianti_di_valorizzazione_della_frazione_multimateriale</w:t>
        </w:r>
      </w:hyperlink>
      <w:r>
        <w:rPr>
          <w:rFonts w:ascii="Book Antiqua"/>
          <w:sz w:val="20"/>
          <w:szCs w:val="20"/>
          <w:rtl w:val="0"/>
          <w:lang w:val="it-IT"/>
        </w:rPr>
        <w:t xml:space="preserve"> </w:t>
      </w:r>
    </w:p>
  </w:footnote>
  <w:footnote w:id="33">
    <w:p>
      <w:pPr>
        <w:pStyle w:val="footnote text"/>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Doc. n. 1429/5</w:t>
      </w:r>
    </w:p>
  </w:footnote>
  <w:footnote w:id="34">
    <w:p>
      <w:pPr>
        <w:pStyle w:val="footnote text"/>
        <w:ind w:left="567" w:right="567" w:firstLine="0"/>
        <w:jc w:val="both"/>
      </w:pPr>
      <w:r>
        <w:rPr>
          <w:rFonts w:ascii="Book Antiqua Bold" w:cs="Book Antiqua Bold" w:hAnsi="Book Antiqua Bold" w:eastAsia="Book Antiqua Bold"/>
          <w:b w:val="1"/>
          <w:bCs w:val="1"/>
          <w:sz w:val="20"/>
          <w:szCs w:val="20"/>
          <w:vertAlign w:val="superscript"/>
          <w:rtl w:val="0"/>
        </w:rPr>
        <w:footnoteRef/>
      </w:r>
      <w:r>
        <w:rPr>
          <w:rFonts w:ascii="Book Antiqua"/>
          <w:sz w:val="20"/>
          <w:szCs w:val="20"/>
          <w:rtl w:val="0"/>
          <w:lang w:val="it-IT"/>
        </w:rPr>
        <w:t xml:space="preserve"> </w:t>
      </w:r>
      <w:hyperlink r:id="rId10" w:history="1">
        <w:r>
          <w:rPr>
            <w:rStyle w:val="Hyperlink.2"/>
            <w:rFonts w:ascii="Book Antiqua"/>
            <w:sz w:val="20"/>
            <w:szCs w:val="20"/>
            <w:rtl w:val="0"/>
            <w:lang w:val="it-IT"/>
          </w:rPr>
          <w:t>http://pubblicazioni.agenzia.roma.it/schede-855-impianto_di_compostaggio_a_maccarese</w:t>
        </w:r>
      </w:hyperlink>
      <w:r>
        <w:rPr>
          <w:rFonts w:ascii="Book Antiqua"/>
          <w:sz w:val="20"/>
          <w:szCs w:val="20"/>
          <w:rtl w:val="0"/>
          <w:lang w:val="it-IT"/>
        </w:rPr>
        <w:t xml:space="preserve"> </w:t>
      </w:r>
    </w:p>
  </w:footnote>
  <w:footnote w:id="35">
    <w:p>
      <w:pPr>
        <w:pStyle w:val="footnote text"/>
        <w:ind w:left="567" w:right="567" w:firstLine="0"/>
        <w:jc w:val="both"/>
      </w:pPr>
      <w:r>
        <w:rPr>
          <w:rFonts w:ascii="Book Antiqua Bold" w:cs="Book Antiqua Bold" w:hAnsi="Book Antiqua Bold" w:eastAsia="Book Antiqua Bold"/>
          <w:b w:val="1"/>
          <w:bCs w:val="1"/>
          <w:sz w:val="20"/>
          <w:szCs w:val="20"/>
          <w:vertAlign w:val="superscript"/>
          <w:rtl w:val="0"/>
        </w:rPr>
        <w:footnoteRef/>
      </w:r>
      <w:hyperlink r:id="rId11" w:history="1">
        <w:r>
          <w:rPr>
            <w:rStyle w:val="Hyperlink.2"/>
            <w:rFonts w:ascii="Book Antiqua"/>
            <w:sz w:val="20"/>
            <w:szCs w:val="20"/>
            <w:rtl w:val="0"/>
            <w:lang w:val="it-IT"/>
          </w:rPr>
          <w:t>http://pubblicazioni.agenzia.roma.it/schede-859 la_spedizione_fuori_dal_territorio_di_roma_capitale</w:t>
        </w:r>
      </w:hyperlink>
      <w:r>
        <w:rPr>
          <w:rFonts w:ascii="Book Antiqua"/>
          <w:sz w:val="20"/>
          <w:szCs w:val="20"/>
          <w:rtl w:val="0"/>
          <w:lang w:val="it-IT"/>
        </w:rPr>
        <w:t xml:space="preserve"> </w:t>
      </w:r>
    </w:p>
  </w:footnote>
  <w:footnote w:id="36">
    <w:p>
      <w:pPr>
        <w:pStyle w:val="footnote text"/>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Doc. n. 1429/5</w:t>
      </w:r>
    </w:p>
  </w:footnote>
  <w:footnote w:id="37">
    <w:p>
      <w:pPr>
        <w:pStyle w:val="Elenco a colori - Colore 11"/>
        <w:spacing w:after="0" w:line="240" w:lineRule="auto"/>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Doc. n. 1429/5; nel medesimo documento, oltre ai progetti sugli impianti di seguito descritti, AMA fa riferimento all</w:t>
      </w:r>
      <w:r>
        <w:rPr>
          <w:rFonts w:hAnsi="Book Antiqua" w:hint="default"/>
          <w:sz w:val="20"/>
          <w:szCs w:val="20"/>
          <w:rtl w:val="0"/>
          <w:lang w:val="it-IT"/>
        </w:rPr>
        <w:t>’</w:t>
      </w:r>
      <w:r>
        <w:rPr>
          <w:rFonts w:ascii="Book Antiqua"/>
          <w:sz w:val="20"/>
          <w:szCs w:val="20"/>
          <w:rtl w:val="0"/>
          <w:lang w:val="it-IT"/>
        </w:rPr>
        <w:t xml:space="preserve">ipotesi di </w:t>
      </w:r>
      <w:r>
        <w:rPr>
          <w:rFonts w:hAnsi="Book Antiqua" w:hint="default"/>
          <w:sz w:val="20"/>
          <w:szCs w:val="20"/>
          <w:rtl w:val="0"/>
          <w:lang w:val="it-IT"/>
        </w:rPr>
        <w:t>“</w:t>
      </w:r>
      <w:r>
        <w:rPr>
          <w:rFonts w:ascii="Book Antiqua"/>
          <w:sz w:val="20"/>
          <w:szCs w:val="20"/>
          <w:rtl w:val="0"/>
          <w:lang w:val="it-IT"/>
        </w:rPr>
        <w:t>contratto di disponibilit</w:t>
      </w:r>
      <w:r>
        <w:rPr>
          <w:rFonts w:hAnsi="Book Antiqua" w:hint="default"/>
          <w:sz w:val="20"/>
          <w:szCs w:val="20"/>
          <w:rtl w:val="0"/>
          <w:lang w:val="it-IT"/>
        </w:rPr>
        <w:t>à”</w:t>
      </w:r>
      <w:r>
        <w:rPr>
          <w:rFonts w:ascii="Book Antiqua"/>
          <w:sz w:val="20"/>
          <w:szCs w:val="20"/>
          <w:rtl w:val="0"/>
          <w:lang w:val="it-IT"/>
        </w:rPr>
        <w:t xml:space="preserve">: </w:t>
      </w:r>
      <w:r>
        <w:rPr>
          <w:rFonts w:hAnsi="Book Antiqua" w:hint="default"/>
          <w:sz w:val="20"/>
          <w:szCs w:val="20"/>
          <w:rtl w:val="0"/>
          <w:lang w:val="it-IT"/>
        </w:rPr>
        <w:t>“</w:t>
      </w:r>
      <w:r>
        <w:rPr>
          <w:rFonts w:ascii="Book Antiqua"/>
          <w:sz w:val="20"/>
          <w:szCs w:val="20"/>
          <w:rtl w:val="0"/>
          <w:lang w:val="it-IT"/>
        </w:rPr>
        <w:t>iniziativa di stimolo dell'offerta privata di capacit</w:t>
      </w:r>
      <w:r>
        <w:rPr>
          <w:rFonts w:hAnsi="Book Antiqua" w:hint="default"/>
          <w:sz w:val="20"/>
          <w:szCs w:val="20"/>
          <w:rtl w:val="0"/>
          <w:lang w:val="it-IT"/>
        </w:rPr>
        <w:t xml:space="preserve">à </w:t>
      </w:r>
      <w:r>
        <w:rPr>
          <w:rFonts w:ascii="Book Antiqua"/>
          <w:sz w:val="20"/>
          <w:szCs w:val="20"/>
          <w:rtl w:val="0"/>
          <w:lang w:val="it-IT"/>
        </w:rPr>
        <w:t>di trattamento della frazione organica dei rifiuti (FORSU), attraverso l'utilizzo dell' articolo 188 del D.lgs. 50/2016 (gi</w:t>
      </w:r>
      <w:r>
        <w:rPr>
          <w:rFonts w:hAnsi="Book Antiqua" w:hint="default"/>
          <w:sz w:val="20"/>
          <w:szCs w:val="20"/>
          <w:rtl w:val="0"/>
          <w:lang w:val="it-IT"/>
        </w:rPr>
        <w:t xml:space="preserve">à </w:t>
      </w:r>
      <w:r>
        <w:rPr>
          <w:rFonts w:ascii="Book Antiqua"/>
          <w:sz w:val="20"/>
          <w:szCs w:val="20"/>
          <w:rtl w:val="0"/>
          <w:lang w:val="it-IT"/>
        </w:rPr>
        <w:t>articolo 160-ter del D.lgs. 163/2006), che prevede una gara ad evidenza pubblica per la realizzazione da parte di uno o pi</w:t>
      </w:r>
      <w:r>
        <w:rPr>
          <w:rFonts w:hAnsi="Book Antiqua" w:hint="default"/>
          <w:sz w:val="20"/>
          <w:szCs w:val="20"/>
          <w:rtl w:val="0"/>
          <w:lang w:val="it-IT"/>
        </w:rPr>
        <w:t xml:space="preserve">ù </w:t>
      </w:r>
      <w:r>
        <w:rPr>
          <w:rFonts w:ascii="Book Antiqua"/>
          <w:sz w:val="20"/>
          <w:szCs w:val="20"/>
          <w:rtl w:val="0"/>
          <w:lang w:val="it-IT"/>
        </w:rPr>
        <w:t>contraenti privati di impianti di compostaggio di potenzialit</w:t>
      </w:r>
      <w:r>
        <w:rPr>
          <w:rFonts w:hAnsi="Book Antiqua" w:hint="default"/>
          <w:sz w:val="20"/>
          <w:szCs w:val="20"/>
          <w:rtl w:val="0"/>
          <w:lang w:val="it-IT"/>
        </w:rPr>
        <w:t xml:space="preserve">à </w:t>
      </w:r>
      <w:r>
        <w:rPr>
          <w:rFonts w:ascii="Book Antiqua"/>
          <w:sz w:val="20"/>
          <w:szCs w:val="20"/>
          <w:rtl w:val="0"/>
          <w:lang w:val="it-IT"/>
        </w:rPr>
        <w:t>compresa tra 75.000 e 100.000 t/a, con caratteristiche definite da AMA, rispondenti alle migliori tecnologie disponibili, e per la gestione di tale impianto per un periodo di 15 anni, mettendone a disposizione l'intera capacit</w:t>
      </w:r>
      <w:r>
        <w:rPr>
          <w:rFonts w:hAnsi="Book Antiqua" w:hint="default"/>
          <w:sz w:val="20"/>
          <w:szCs w:val="20"/>
          <w:rtl w:val="0"/>
          <w:lang w:val="it-IT"/>
        </w:rPr>
        <w:t xml:space="preserve">à </w:t>
      </w:r>
      <w:r>
        <w:rPr>
          <w:rFonts w:ascii="Book Antiqua"/>
          <w:sz w:val="20"/>
          <w:szCs w:val="20"/>
          <w:rtl w:val="0"/>
          <w:lang w:val="it-IT"/>
        </w:rPr>
        <w:t xml:space="preserve">di trattamento ad AMA a fronte di un canone valutato in Eur/ton di FORSU trattata, con possibile riscatto a costo zero da parte di AMA a fine periodo di gestione. Recenti analisi di mercato (vedi anche studio Utilitalia del marzo 2016) attestano il valore di mercato del trattamento della frazione organica a costi che variano nella forbice 80-100 Eur/ton. Pertanto, al fine di intercettare il maggior numero di offerte, si </w:t>
      </w:r>
      <w:r>
        <w:rPr>
          <w:rFonts w:hAnsi="Book Antiqua" w:hint="default"/>
          <w:sz w:val="20"/>
          <w:szCs w:val="20"/>
          <w:rtl w:val="0"/>
          <w:lang w:val="it-IT"/>
        </w:rPr>
        <w:t xml:space="preserve">è </w:t>
      </w:r>
      <w:r>
        <w:rPr>
          <w:rFonts w:ascii="Book Antiqua"/>
          <w:sz w:val="20"/>
          <w:szCs w:val="20"/>
          <w:rtl w:val="0"/>
          <w:lang w:val="it-IT"/>
        </w:rPr>
        <w:t>ritenuto corretto allineare il previsto canone a 89 Eur/ton. (CDA AMA del 20 aprile 2016 e delibera n. 27/2016)</w:t>
      </w:r>
      <w:r>
        <w:rPr>
          <w:rFonts w:hAnsi="Book Antiqua" w:hint="default"/>
          <w:sz w:val="20"/>
          <w:szCs w:val="20"/>
          <w:rtl w:val="0"/>
          <w:lang w:val="it-IT"/>
        </w:rPr>
        <w:t>”</w:t>
      </w:r>
      <w:r>
        <w:rPr>
          <w:rFonts w:ascii="Book Antiqua"/>
          <w:sz w:val="20"/>
          <w:szCs w:val="20"/>
          <w:rtl w:val="0"/>
          <w:lang w:val="it-IT"/>
        </w:rPr>
        <w:t>.</w:t>
      </w:r>
    </w:p>
  </w:footnote>
  <w:footnote w:id="38">
    <w:p>
      <w:pPr>
        <w:pStyle w:val="footnote text"/>
        <w:ind w:firstLine="567"/>
        <w:jc w:val="both"/>
      </w:pPr>
      <w:r>
        <w:rPr>
          <w:rFonts w:ascii="Book Antiqua" w:cs="Book Antiqua" w:hAnsi="Book Antiqua" w:eastAsia="Book Antiqua"/>
          <w:i w:val="1"/>
          <w:iCs w:val="1"/>
          <w:sz w:val="24"/>
          <w:szCs w:val="24"/>
          <w:vertAlign w:val="superscript"/>
          <w:rtl w:val="0"/>
        </w:rPr>
        <w:footnoteRef/>
      </w:r>
      <w:r>
        <w:rPr>
          <w:sz w:val="20"/>
          <w:szCs w:val="20"/>
          <w:rtl w:val="0"/>
          <w:lang w:val="it-IT"/>
        </w:rPr>
        <w:t xml:space="preserve"> Va tuttavia precissato che comunicazione a questa Commissione del 7 dicembre 2017 l</w:t>
      </w:r>
      <w:r>
        <w:rPr>
          <w:sz w:val="20"/>
          <w:szCs w:val="20"/>
          <w:rtl w:val="0"/>
          <w:lang w:val="it-IT"/>
        </w:rPr>
        <w:t>’</w:t>
      </w:r>
      <w:r>
        <w:rPr>
          <w:sz w:val="20"/>
          <w:szCs w:val="20"/>
          <w:rtl w:val="0"/>
          <w:lang w:val="it-IT"/>
        </w:rPr>
        <w:t>assessorato all</w:t>
      </w:r>
      <w:r>
        <w:rPr>
          <w:sz w:val="20"/>
          <w:szCs w:val="20"/>
          <w:rtl w:val="0"/>
          <w:lang w:val="it-IT"/>
        </w:rPr>
        <w:t>’</w:t>
      </w:r>
      <w:r>
        <w:rPr>
          <w:sz w:val="20"/>
          <w:szCs w:val="20"/>
          <w:rtl w:val="0"/>
          <w:lang w:val="it-IT"/>
        </w:rPr>
        <w:t xml:space="preserve">ambiente del Roma Capitale ha informato che </w:t>
      </w:r>
      <w:r>
        <w:rPr>
          <w:sz w:val="20"/>
          <w:szCs w:val="20"/>
          <w:rtl w:val="0"/>
          <w:lang w:val="it-IT"/>
        </w:rPr>
        <w:t>“</w:t>
      </w:r>
      <w:r>
        <w:rPr>
          <w:sz w:val="20"/>
          <w:szCs w:val="20"/>
          <w:rtl w:val="0"/>
          <w:lang w:val="it-IT"/>
        </w:rPr>
        <w:t>l</w:t>
      </w:r>
      <w:r>
        <w:rPr>
          <w:sz w:val="20"/>
          <w:szCs w:val="20"/>
          <w:rtl w:val="0"/>
          <w:lang w:val="it-IT"/>
        </w:rPr>
        <w:t>’</w:t>
      </w:r>
      <w:r>
        <w:rPr>
          <w:sz w:val="20"/>
          <w:szCs w:val="20"/>
          <w:rtl w:val="0"/>
          <w:lang w:val="it-IT"/>
        </w:rPr>
        <w:t>inceneritore per rifiuti ospedalieri di Ponte Malnome non sar</w:t>
      </w:r>
      <w:r>
        <w:rPr>
          <w:sz w:val="20"/>
          <w:szCs w:val="20"/>
          <w:rtl w:val="0"/>
          <w:lang w:val="it-IT"/>
        </w:rPr>
        <w:t xml:space="preserve">à </w:t>
      </w:r>
      <w:r>
        <w:rPr>
          <w:sz w:val="20"/>
          <w:szCs w:val="20"/>
          <w:rtl w:val="0"/>
          <w:lang w:val="it-IT"/>
        </w:rPr>
        <w:t xml:space="preserve">oggetto di </w:t>
      </w:r>
      <w:r>
        <w:rPr>
          <w:i w:val="1"/>
          <w:iCs w:val="1"/>
          <w:sz w:val="20"/>
          <w:szCs w:val="20"/>
          <w:rtl w:val="0"/>
          <w:lang w:val="it-IT"/>
        </w:rPr>
        <w:t>revamping</w:t>
      </w:r>
      <w:r>
        <w:rPr>
          <w:sz w:val="20"/>
          <w:szCs w:val="20"/>
          <w:rtl w:val="0"/>
          <w:lang w:val="it-IT"/>
        </w:rPr>
        <w:t>, bens</w:t>
      </w:r>
      <w:r>
        <w:rPr>
          <w:sz w:val="20"/>
          <w:szCs w:val="20"/>
          <w:rtl w:val="0"/>
          <w:lang w:val="it-IT"/>
        </w:rPr>
        <w:t xml:space="preserve">ì </w:t>
      </w:r>
      <w:r>
        <w:rPr>
          <w:sz w:val="20"/>
          <w:szCs w:val="20"/>
          <w:rtl w:val="0"/>
          <w:lang w:val="it-IT"/>
        </w:rPr>
        <w:t>di trasformazione in impianto per il trattamento a freddo dei rifiuti ospedalieri.</w:t>
      </w:r>
      <w:r>
        <w:rPr>
          <w:sz w:val="20"/>
          <w:szCs w:val="20"/>
          <w:rtl w:val="0"/>
          <w:lang w:val="it-IT"/>
        </w:rPr>
        <w:t xml:space="preserve">” </w:t>
      </w:r>
      <w:r>
        <w:rPr>
          <w:sz w:val="20"/>
          <w:szCs w:val="20"/>
          <w:rtl w:val="0"/>
          <w:lang w:val="it-IT"/>
        </w:rPr>
        <w:t>(Doc. n. 2516/1)</w:t>
      </w:r>
    </w:p>
  </w:footnote>
  <w:footnote w:id="39">
    <w:p>
      <w:pPr>
        <w:pStyle w:val="footnote text"/>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Doc n. 870/1 acquisito nella XVI legislatura </w:t>
      </w:r>
    </w:p>
  </w:footnote>
  <w:footnote w:id="40">
    <w:p>
      <w:pPr>
        <w:pStyle w:val="footnote text"/>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Doc. n. 865/1 legislatura XVI</w:t>
      </w:r>
    </w:p>
  </w:footnote>
  <w:footnote w:id="41">
    <w:p>
      <w:pPr>
        <w:pStyle w:val="footnote text"/>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Doc. n. 1429/5</w:t>
      </w:r>
    </w:p>
  </w:footnote>
  <w:footnote w:id="42">
    <w:p>
      <w:pPr>
        <w:pStyle w:val="footnote text"/>
        <w:ind w:left="567" w:right="567" w:firstLine="0"/>
        <w:jc w:val="both"/>
        <w:rPr>
          <w:rFonts w:ascii="Book Antiqua" w:cs="Book Antiqua" w:hAnsi="Book Antiqua" w:eastAsia="Book Antiqua"/>
          <w:sz w:val="20"/>
          <w:szCs w:val="20"/>
        </w:rPr>
      </w:pPr>
      <w:r>
        <w:rPr>
          <w:rFonts w:ascii="Book Antiqua" w:cs="Book Antiqua" w:hAnsi="Book Antiqua" w:eastAsia="Book Antiqua"/>
          <w:color w:val="000000"/>
          <w:sz w:val="22"/>
          <w:szCs w:val="22"/>
          <w:u w:color="000000"/>
          <w:vertAlign w:val="superscript"/>
          <w:rtl w:val="0"/>
        </w:rPr>
        <w:footnoteRef/>
      </w:r>
      <w:r>
        <w:rPr>
          <w:rFonts w:ascii="Book Antiqua"/>
          <w:sz w:val="20"/>
          <w:szCs w:val="20"/>
          <w:rtl w:val="0"/>
          <w:lang w:val="it-IT"/>
        </w:rPr>
        <w:t xml:space="preserve"> E</w:t>
      </w:r>
      <w:r>
        <w:rPr>
          <w:rFonts w:hAnsi="Book Antiqua" w:hint="default"/>
          <w:sz w:val="20"/>
          <w:szCs w:val="20"/>
          <w:rtl w:val="0"/>
          <w:lang w:val="it-IT"/>
        </w:rPr>
        <w:t xml:space="preserve">’ </w:t>
      </w:r>
      <w:r>
        <w:rPr>
          <w:rFonts w:ascii="Book Antiqua"/>
          <w:sz w:val="20"/>
          <w:szCs w:val="20"/>
          <w:rtl w:val="0"/>
          <w:lang w:val="it-IT"/>
        </w:rPr>
        <w:t>utile fornire alcune indicazioni circa il contesto normativo e organizzativo entro il quale si colloca l</w:t>
      </w:r>
      <w:r>
        <w:rPr>
          <w:rFonts w:hAnsi="Book Antiqua" w:hint="default"/>
          <w:sz w:val="20"/>
          <w:szCs w:val="20"/>
          <w:rtl w:val="0"/>
          <w:lang w:val="it-IT"/>
        </w:rPr>
        <w:t>’</w:t>
      </w:r>
      <w:r>
        <w:rPr>
          <w:rFonts w:ascii="Book Antiqua"/>
          <w:sz w:val="20"/>
          <w:szCs w:val="20"/>
          <w:rtl w:val="0"/>
          <w:lang w:val="it-IT"/>
        </w:rPr>
        <w:t>attivit</w:t>
      </w:r>
      <w:r>
        <w:rPr>
          <w:rFonts w:hAnsi="Book Antiqua" w:hint="default"/>
          <w:sz w:val="20"/>
          <w:szCs w:val="20"/>
          <w:rtl w:val="0"/>
          <w:lang w:val="it-IT"/>
        </w:rPr>
        <w:t xml:space="preserve">à </w:t>
      </w:r>
      <w:r>
        <w:rPr>
          <w:rFonts w:ascii="Book Antiqua"/>
          <w:sz w:val="20"/>
          <w:szCs w:val="20"/>
          <w:rtl w:val="0"/>
          <w:lang w:val="it-IT"/>
        </w:rPr>
        <w:t>istituzionale di controllo.</w:t>
      </w:r>
    </w:p>
    <w:p>
      <w:pPr>
        <w:pStyle w:val="Normal"/>
        <w:ind w:left="567" w:right="567" w:firstLine="0"/>
        <w:jc w:val="both"/>
        <w:rPr>
          <w:rFonts w:ascii="Book Antiqua" w:cs="Book Antiqua" w:hAnsi="Book Antiqua" w:eastAsia="Book Antiqua"/>
          <w:sz w:val="20"/>
          <w:szCs w:val="20"/>
        </w:rPr>
      </w:pPr>
      <w:r>
        <w:rPr>
          <w:rFonts w:ascii="Book Antiqua"/>
          <w:sz w:val="20"/>
          <w:szCs w:val="20"/>
          <w:rtl w:val="0"/>
          <w:lang w:val="it-IT"/>
        </w:rPr>
        <w:t>L'articolo 197 del D.lgs 152/2006 stabilisce che alle province competono, oltre alle funzioni amministrative concernenti la programmazione ed organizzazione del recupero e dello smaltimento dei rifiuti a livello provinciale, anche:</w:t>
      </w:r>
    </w:p>
    <w:p>
      <w:pPr>
        <w:pStyle w:val="Normal"/>
        <w:ind w:left="567" w:right="567" w:firstLine="0"/>
        <w:jc w:val="both"/>
        <w:rPr>
          <w:rFonts w:ascii="Book Antiqua" w:cs="Book Antiqua" w:hAnsi="Book Antiqua" w:eastAsia="Book Antiqua"/>
          <w:sz w:val="20"/>
          <w:szCs w:val="20"/>
        </w:rPr>
      </w:pPr>
      <w:r>
        <w:rPr>
          <w:rFonts w:ascii="Book Antiqua"/>
          <w:sz w:val="20"/>
          <w:szCs w:val="20"/>
          <w:rtl w:val="0"/>
          <w:lang w:val="it-IT"/>
        </w:rPr>
        <w:t>a) il controllo e la verifica degli interventi di bonifica ed il monitoraggio ad essi conseguenti;</w:t>
      </w:r>
    </w:p>
    <w:p>
      <w:pPr>
        <w:pStyle w:val="Normal"/>
        <w:ind w:left="567" w:right="567" w:firstLine="0"/>
        <w:jc w:val="both"/>
        <w:rPr>
          <w:rFonts w:ascii="Book Antiqua" w:cs="Book Antiqua" w:hAnsi="Book Antiqua" w:eastAsia="Book Antiqua"/>
          <w:sz w:val="20"/>
          <w:szCs w:val="20"/>
        </w:rPr>
      </w:pPr>
      <w:r>
        <w:rPr>
          <w:rFonts w:ascii="Book Antiqua"/>
          <w:sz w:val="20"/>
          <w:szCs w:val="20"/>
          <w:rtl w:val="0"/>
          <w:lang w:val="it-IT"/>
        </w:rPr>
        <w:t>b) il controllo periodico su tutte le attivit</w:t>
      </w:r>
      <w:r>
        <w:rPr>
          <w:rFonts w:hAnsi="Book Antiqua" w:hint="default"/>
          <w:sz w:val="20"/>
          <w:szCs w:val="20"/>
          <w:rtl w:val="0"/>
          <w:lang w:val="it-IT"/>
        </w:rPr>
        <w:t xml:space="preserve">à </w:t>
      </w:r>
      <w:r>
        <w:rPr>
          <w:rFonts w:ascii="Book Antiqua"/>
          <w:sz w:val="20"/>
          <w:szCs w:val="20"/>
          <w:rtl w:val="0"/>
          <w:lang w:val="it-IT"/>
        </w:rPr>
        <w:t>di gestione, di intermediazione e di commercio dei rifiuti, ivi compreso l'accertamento delle violazioni delle disposizioni di cui alla parte quarta del decreto;</w:t>
      </w:r>
    </w:p>
    <w:p>
      <w:pPr>
        <w:pStyle w:val="Normal"/>
        <w:ind w:left="567" w:right="567" w:firstLine="0"/>
        <w:jc w:val="both"/>
        <w:rPr>
          <w:rFonts w:ascii="Book Antiqua" w:cs="Book Antiqua" w:hAnsi="Book Antiqua" w:eastAsia="Book Antiqua"/>
          <w:sz w:val="20"/>
          <w:szCs w:val="20"/>
        </w:rPr>
      </w:pPr>
      <w:r>
        <w:rPr>
          <w:rFonts w:ascii="Book Antiqua"/>
          <w:sz w:val="20"/>
          <w:szCs w:val="20"/>
          <w:rtl w:val="0"/>
          <w:lang w:val="it-IT"/>
        </w:rPr>
        <w:t>c) la verifica ed il controllo dei requisiti previsti per l'applicazione delle procedure semplificate, con le modalit</w:t>
      </w:r>
      <w:r>
        <w:rPr>
          <w:rFonts w:hAnsi="Book Antiqua" w:hint="default"/>
          <w:sz w:val="20"/>
          <w:szCs w:val="20"/>
          <w:rtl w:val="0"/>
          <w:lang w:val="it-IT"/>
        </w:rPr>
        <w:t xml:space="preserve">à </w:t>
      </w:r>
      <w:r>
        <w:rPr>
          <w:rFonts w:ascii="Book Antiqua"/>
          <w:sz w:val="20"/>
          <w:szCs w:val="20"/>
          <w:rtl w:val="0"/>
          <w:lang w:val="it-IT"/>
        </w:rPr>
        <w:t>di cui agli articoli 214, 215, e 216;</w:t>
      </w:r>
    </w:p>
    <w:p>
      <w:pPr>
        <w:pStyle w:val="Normal"/>
        <w:ind w:left="567" w:right="567" w:firstLine="0"/>
        <w:jc w:val="both"/>
        <w:rPr>
          <w:rFonts w:ascii="Book Antiqua" w:cs="Book Antiqua" w:hAnsi="Book Antiqua" w:eastAsia="Book Antiqua"/>
          <w:sz w:val="20"/>
          <w:szCs w:val="20"/>
        </w:rPr>
      </w:pPr>
      <w:r>
        <w:rPr>
          <w:rFonts w:ascii="Book Antiqua"/>
          <w:sz w:val="20"/>
          <w:szCs w:val="20"/>
          <w:rtl w:val="0"/>
          <w:lang w:val="it-IT"/>
        </w:rPr>
        <w:t>Ai fini dell'esercizio delle proprie funzioni le province possono avvalersi, mediante apposite convenzioni, di organismi pubblici, ivi incluse le Agenzie regionali per la protezione dell'ambiente (ARPA), con specifiche esperienze e competenze tecniche in materia, fermo restando quanto previsto dagli articoli 214, 215 e 216 in tema di procedure semplificate.</w:t>
      </w:r>
    </w:p>
    <w:p>
      <w:pPr>
        <w:pStyle w:val="Normal"/>
        <w:ind w:left="567" w:right="567" w:firstLine="0"/>
        <w:jc w:val="both"/>
        <w:rPr>
          <w:rFonts w:ascii="Book Antiqua" w:cs="Book Antiqua" w:hAnsi="Book Antiqua" w:eastAsia="Book Antiqua"/>
          <w:sz w:val="20"/>
          <w:szCs w:val="20"/>
        </w:rPr>
      </w:pPr>
      <w:r>
        <w:rPr>
          <w:rFonts w:ascii="Book Antiqua"/>
          <w:sz w:val="20"/>
          <w:szCs w:val="20"/>
          <w:rtl w:val="0"/>
          <w:lang w:val="it-IT"/>
        </w:rPr>
        <w:t>Con la soppressione delle province, a partire dal 1</w:t>
      </w:r>
      <w:r>
        <w:rPr>
          <w:rFonts w:hAnsi="Book Antiqua" w:hint="default"/>
          <w:sz w:val="20"/>
          <w:szCs w:val="20"/>
          <w:rtl w:val="0"/>
          <w:lang w:val="it-IT"/>
        </w:rPr>
        <w:t xml:space="preserve">° </w:t>
      </w:r>
      <w:r>
        <w:rPr>
          <w:rFonts w:ascii="Book Antiqua"/>
          <w:sz w:val="20"/>
          <w:szCs w:val="20"/>
          <w:rtl w:val="0"/>
          <w:lang w:val="it-IT"/>
        </w:rPr>
        <w:t xml:space="preserve">gennaio 2015, la Provincia di Roma si </w:t>
      </w:r>
      <w:r>
        <w:rPr>
          <w:rFonts w:hAnsi="Book Antiqua" w:hint="default"/>
          <w:sz w:val="20"/>
          <w:szCs w:val="20"/>
          <w:rtl w:val="0"/>
          <w:lang w:val="it-IT"/>
        </w:rPr>
        <w:t xml:space="preserve">è </w:t>
      </w:r>
      <w:r>
        <w:rPr>
          <w:rFonts w:ascii="Book Antiqua"/>
          <w:sz w:val="20"/>
          <w:szCs w:val="20"/>
          <w:rtl w:val="0"/>
          <w:lang w:val="it-IT"/>
        </w:rPr>
        <w:t>trasformata in Citt</w:t>
      </w:r>
      <w:r>
        <w:rPr>
          <w:rFonts w:hAnsi="Book Antiqua" w:hint="default"/>
          <w:sz w:val="20"/>
          <w:szCs w:val="20"/>
          <w:rtl w:val="0"/>
          <w:lang w:val="it-IT"/>
        </w:rPr>
        <w:t xml:space="preserve">à </w:t>
      </w:r>
      <w:r>
        <w:rPr>
          <w:rFonts w:ascii="Book Antiqua"/>
          <w:sz w:val="20"/>
          <w:szCs w:val="20"/>
          <w:rtl w:val="0"/>
          <w:lang w:val="it-IT"/>
        </w:rPr>
        <w:t xml:space="preserve">metropolitana di Roma Capitale, e si </w:t>
      </w:r>
      <w:r>
        <w:rPr>
          <w:rFonts w:hAnsi="Book Antiqua" w:hint="default"/>
          <w:sz w:val="20"/>
          <w:szCs w:val="20"/>
          <w:rtl w:val="0"/>
          <w:lang w:val="it-IT"/>
        </w:rPr>
        <w:t xml:space="preserve">è </w:t>
      </w:r>
      <w:r>
        <w:rPr>
          <w:rFonts w:ascii="Book Antiqua"/>
          <w:sz w:val="20"/>
          <w:szCs w:val="20"/>
          <w:rtl w:val="0"/>
          <w:lang w:val="it-IT"/>
        </w:rPr>
        <w:t>dotata di proprio statuto, approvato con deliberazione della conferenza metropolitana n. 1 del 22 dicembre 2014, assumendo le funzioni esercitate e le risorse appartenute alla Provincia di Roma. Il territorio metropolitano coincide con quello dei Comuni che facevano parte della Provincia di Roma, compresi i Municipi gi</w:t>
      </w:r>
      <w:r>
        <w:rPr>
          <w:rFonts w:hAnsi="Book Antiqua" w:hint="default"/>
          <w:sz w:val="20"/>
          <w:szCs w:val="20"/>
          <w:rtl w:val="0"/>
          <w:lang w:val="it-IT"/>
        </w:rPr>
        <w:t xml:space="preserve">à </w:t>
      </w:r>
      <w:r>
        <w:rPr>
          <w:rFonts w:ascii="Book Antiqua"/>
          <w:sz w:val="20"/>
          <w:szCs w:val="20"/>
          <w:rtl w:val="0"/>
          <w:lang w:val="it-IT"/>
        </w:rPr>
        <w:t xml:space="preserve">afferenti a Roma Capitale. </w:t>
      </w:r>
    </w:p>
    <w:p>
      <w:pPr>
        <w:pStyle w:val="Normal"/>
        <w:ind w:left="567" w:right="567" w:firstLine="0"/>
        <w:jc w:val="both"/>
        <w:rPr>
          <w:rFonts w:ascii="Book Antiqua" w:cs="Book Antiqua" w:hAnsi="Book Antiqua" w:eastAsia="Book Antiqua"/>
          <w:sz w:val="20"/>
          <w:szCs w:val="20"/>
        </w:rPr>
      </w:pPr>
      <w:r>
        <w:rPr>
          <w:rFonts w:ascii="Book Antiqua"/>
          <w:sz w:val="20"/>
          <w:szCs w:val="20"/>
          <w:rtl w:val="0"/>
          <w:lang w:val="it-IT"/>
        </w:rPr>
        <w:t>Tali funzioni, nella materia qui esaminata sono, in particolare:</w:t>
      </w:r>
    </w:p>
    <w:p>
      <w:pPr>
        <w:pStyle w:val="Normal"/>
        <w:ind w:left="567" w:right="567" w:firstLine="0"/>
        <w:jc w:val="both"/>
        <w:rPr>
          <w:rFonts w:ascii="Book Antiqua" w:cs="Book Antiqua" w:hAnsi="Book Antiqua" w:eastAsia="Book Antiqua"/>
          <w:sz w:val="20"/>
          <w:szCs w:val="20"/>
        </w:rPr>
      </w:pPr>
      <w:r>
        <w:rPr>
          <w:rFonts w:ascii="Book Antiqua"/>
          <w:sz w:val="20"/>
          <w:szCs w:val="20"/>
          <w:rtl w:val="0"/>
          <w:lang w:val="it-IT"/>
        </w:rPr>
        <w:t>controlli periodici delle attivit</w:t>
      </w:r>
      <w:r>
        <w:rPr>
          <w:rFonts w:hAnsi="Book Antiqua" w:hint="default"/>
          <w:sz w:val="20"/>
          <w:szCs w:val="20"/>
          <w:rtl w:val="0"/>
          <w:lang w:val="it-IT"/>
        </w:rPr>
        <w:t xml:space="preserve">à </w:t>
      </w:r>
      <w:r>
        <w:rPr>
          <w:rFonts w:ascii="Book Antiqua"/>
          <w:sz w:val="20"/>
          <w:szCs w:val="20"/>
          <w:rtl w:val="0"/>
          <w:lang w:val="it-IT"/>
        </w:rPr>
        <w:t>di gestione, di intermediazione e di commercio dei rifiuti, ivi compreso l'accertamento delle violazioni relative alla gestione dei rifiuti (decreto legislativo 152/2006 articolo 197 c.1 lett.b) in collaborazione con la polizia locale della Citt</w:t>
      </w:r>
      <w:r>
        <w:rPr>
          <w:rFonts w:hAnsi="Book Antiqua" w:hint="default"/>
          <w:sz w:val="20"/>
          <w:szCs w:val="20"/>
          <w:rtl w:val="0"/>
          <w:lang w:val="it-IT"/>
        </w:rPr>
        <w:t xml:space="preserve">à </w:t>
      </w:r>
      <w:r>
        <w:rPr>
          <w:rFonts w:ascii="Book Antiqua"/>
          <w:sz w:val="20"/>
          <w:szCs w:val="20"/>
          <w:rtl w:val="0"/>
          <w:lang w:val="it-IT"/>
        </w:rPr>
        <w:t>metropolitana di Roma Capitale e altri organi di controllo;</w:t>
      </w:r>
    </w:p>
    <w:p>
      <w:pPr>
        <w:pStyle w:val="Normal"/>
        <w:ind w:left="567" w:right="567" w:firstLine="0"/>
        <w:jc w:val="both"/>
        <w:rPr>
          <w:rFonts w:ascii="Book Antiqua" w:cs="Book Antiqua" w:hAnsi="Book Antiqua" w:eastAsia="Book Antiqua"/>
          <w:sz w:val="20"/>
          <w:szCs w:val="20"/>
        </w:rPr>
      </w:pPr>
      <w:r>
        <w:rPr>
          <w:rFonts w:ascii="Book Antiqua"/>
          <w:sz w:val="20"/>
          <w:szCs w:val="20"/>
          <w:rtl w:val="0"/>
          <w:lang w:val="it-IT"/>
        </w:rPr>
        <w:t>controlli finalizzati all'accertamento del tributo per accesso dei rifiuti in discarica (decreto legislativo549/95 articolo 3 c.33);</w:t>
      </w:r>
    </w:p>
    <w:p>
      <w:pPr>
        <w:pStyle w:val="Normal"/>
        <w:ind w:left="567" w:right="567" w:firstLine="0"/>
        <w:jc w:val="both"/>
        <w:rPr>
          <w:rFonts w:ascii="Book Antiqua" w:cs="Book Antiqua" w:hAnsi="Book Antiqua" w:eastAsia="Book Antiqua"/>
          <w:sz w:val="20"/>
          <w:szCs w:val="20"/>
        </w:rPr>
      </w:pPr>
      <w:r>
        <w:rPr>
          <w:rFonts w:ascii="Book Antiqua"/>
          <w:sz w:val="20"/>
          <w:szCs w:val="20"/>
          <w:rtl w:val="0"/>
          <w:lang w:val="it-IT"/>
        </w:rPr>
        <w:t>irrogazione sanzioni amministrative pecuniarie in materia di rifiuti (decreto legislativo 152/2006 - parte quarta articolo 262 c. 1; decreto legislativo209/2003 articolo13);</w:t>
      </w:r>
    </w:p>
    <w:p>
      <w:pPr>
        <w:pStyle w:val="Normal"/>
        <w:ind w:left="567" w:right="567" w:firstLine="0"/>
        <w:jc w:val="both"/>
        <w:rPr>
          <w:rFonts w:ascii="Book Antiqua" w:cs="Book Antiqua" w:hAnsi="Book Antiqua" w:eastAsia="Book Antiqua"/>
          <w:sz w:val="20"/>
          <w:szCs w:val="20"/>
        </w:rPr>
      </w:pPr>
      <w:r>
        <w:rPr>
          <w:rFonts w:ascii="Book Antiqua"/>
          <w:sz w:val="20"/>
          <w:szCs w:val="20"/>
          <w:rtl w:val="0"/>
          <w:lang w:val="it-IT"/>
        </w:rPr>
        <w:t>irrogazione di sanzioni amministrative pecuniarie previste dall'articolo 279 c. 1 del decreto legislativo 152/2006 - parte quinta - per omessa comunicazione di modifica non sostanziale all'autorit</w:t>
      </w:r>
      <w:r>
        <w:rPr>
          <w:rFonts w:hAnsi="Book Antiqua" w:hint="default"/>
          <w:sz w:val="20"/>
          <w:szCs w:val="20"/>
          <w:rtl w:val="0"/>
          <w:lang w:val="it-IT"/>
        </w:rPr>
        <w:t xml:space="preserve">à </w:t>
      </w:r>
      <w:r>
        <w:rPr>
          <w:rFonts w:ascii="Book Antiqua"/>
          <w:sz w:val="20"/>
          <w:szCs w:val="20"/>
          <w:rtl w:val="0"/>
          <w:lang w:val="it-IT"/>
        </w:rPr>
        <w:t>competente al rilascio dell'autorizzazione alle emissioni in atmosfera di cui all'articolo 269 del decreto legislativo152/2006;</w:t>
      </w:r>
    </w:p>
    <w:p>
      <w:pPr>
        <w:pStyle w:val="Normal"/>
        <w:ind w:left="567" w:right="567" w:firstLine="0"/>
        <w:jc w:val="both"/>
        <w:rPr>
          <w:rFonts w:ascii="Book Antiqua" w:cs="Book Antiqua" w:hAnsi="Book Antiqua" w:eastAsia="Book Antiqua"/>
          <w:sz w:val="20"/>
          <w:szCs w:val="20"/>
        </w:rPr>
      </w:pPr>
      <w:r>
        <w:rPr>
          <w:rFonts w:ascii="Book Antiqua"/>
          <w:sz w:val="20"/>
          <w:szCs w:val="20"/>
          <w:rtl w:val="0"/>
          <w:lang w:val="it-IT"/>
        </w:rPr>
        <w:t>irrogazione di sanzioni amministrative pecuniarie in materia di Autorizzazione Integrata Ambientale limitatamente alle attivit</w:t>
      </w:r>
      <w:r>
        <w:rPr>
          <w:rFonts w:hAnsi="Book Antiqua" w:hint="default"/>
          <w:sz w:val="20"/>
          <w:szCs w:val="20"/>
          <w:rtl w:val="0"/>
          <w:lang w:val="it-IT"/>
        </w:rPr>
        <w:t xml:space="preserve">à </w:t>
      </w:r>
      <w:r>
        <w:rPr>
          <w:rFonts w:ascii="Book Antiqua"/>
          <w:sz w:val="20"/>
          <w:szCs w:val="20"/>
          <w:rtl w:val="0"/>
          <w:lang w:val="it-IT"/>
        </w:rPr>
        <w:t>industriali elencate nell'Allegato VIII del decreto legislativo 152/2006 di competenza provinciale (decreto legislativo 152/2006 - Parte II Titolo III bis; legge regionale n. 17/2006 articolo 6).</w:t>
      </w:r>
    </w:p>
    <w:p>
      <w:pPr>
        <w:pStyle w:val="Normal"/>
        <w:ind w:left="567" w:right="567" w:firstLine="0"/>
        <w:jc w:val="both"/>
        <w:rPr>
          <w:rFonts w:ascii="Book Antiqua" w:cs="Book Antiqua" w:hAnsi="Book Antiqua" w:eastAsia="Book Antiqua"/>
          <w:sz w:val="20"/>
          <w:szCs w:val="20"/>
        </w:rPr>
      </w:pPr>
      <w:r>
        <w:rPr>
          <w:rFonts w:ascii="Book Antiqua"/>
          <w:sz w:val="20"/>
          <w:szCs w:val="20"/>
          <w:rtl w:val="0"/>
          <w:lang w:val="it-IT"/>
        </w:rPr>
        <w:t>L'ARPA Lazio, istituita con legge regionale n. 45/98, svolge le attivit</w:t>
      </w:r>
      <w:r>
        <w:rPr>
          <w:rFonts w:hAnsi="Book Antiqua" w:hint="default"/>
          <w:sz w:val="20"/>
          <w:szCs w:val="20"/>
          <w:rtl w:val="0"/>
          <w:lang w:val="it-IT"/>
        </w:rPr>
        <w:t xml:space="preserve">à </w:t>
      </w:r>
      <w:r>
        <w:rPr>
          <w:rFonts w:ascii="Book Antiqua"/>
          <w:sz w:val="20"/>
          <w:szCs w:val="20"/>
          <w:rtl w:val="0"/>
          <w:lang w:val="it-IT"/>
        </w:rPr>
        <w:t>tecnico-scientifiche d'interesse regionale di cui all'articolo 1 del d.l. 496/1993, convertito con modificazioni dalla I. 61/1994, connesse all'esercizio delle funzioni pubbliche per la protezione dell'ambiente, utili alla Regione, alle province, ai comuni singoli o associati, alle comunit</w:t>
      </w:r>
      <w:r>
        <w:rPr>
          <w:rFonts w:hAnsi="Book Antiqua" w:hint="default"/>
          <w:sz w:val="20"/>
          <w:szCs w:val="20"/>
          <w:rtl w:val="0"/>
          <w:lang w:val="it-IT"/>
        </w:rPr>
        <w:t xml:space="preserve">à </w:t>
      </w:r>
      <w:r>
        <w:rPr>
          <w:rFonts w:ascii="Book Antiqua"/>
          <w:sz w:val="20"/>
          <w:szCs w:val="20"/>
          <w:rtl w:val="0"/>
          <w:lang w:val="it-IT"/>
        </w:rPr>
        <w:t>montane e alle aziende ASL. In particolare l'articolo 3 della legge istitutiva chiarisce che ARPA Lazio svolge attivit</w:t>
      </w:r>
      <w:r>
        <w:rPr>
          <w:rFonts w:hAnsi="Book Antiqua" w:hint="default"/>
          <w:sz w:val="20"/>
          <w:szCs w:val="20"/>
          <w:rtl w:val="0"/>
          <w:lang w:val="it-IT"/>
        </w:rPr>
        <w:t xml:space="preserve">à </w:t>
      </w:r>
      <w:r>
        <w:rPr>
          <w:rFonts w:ascii="Book Antiqua"/>
          <w:sz w:val="20"/>
          <w:szCs w:val="20"/>
          <w:rtl w:val="0"/>
          <w:lang w:val="it-IT"/>
        </w:rPr>
        <w:t>di vigilanza, di controllo ed accertamento tecnico attraverso sopralluoghi, ispezioni, campionamenti, misure, analisi di laboratorio, acquisizione di documentazioni ed altre forme, anche su segnalazione di altri enti ed istituzioni, cittadini singoli ed associati, con specifico riguardo a: 1) le condizioni ambientali, le fonti e le cause di inquinamento acustico, dell'aria, delle acque, del suolo e del sottosuolo, i rischi biologici, chimici e fisici per l'ambiente; 2) l'uso</w:t>
      </w:r>
    </w:p>
    <w:p>
      <w:pPr>
        <w:pStyle w:val="Normal"/>
        <w:ind w:left="567" w:right="567" w:firstLine="0"/>
        <w:jc w:val="both"/>
        <w:rPr>
          <w:rFonts w:ascii="Book Antiqua" w:cs="Book Antiqua" w:hAnsi="Book Antiqua" w:eastAsia="Book Antiqua"/>
          <w:sz w:val="20"/>
          <w:szCs w:val="20"/>
        </w:rPr>
      </w:pPr>
      <w:r>
        <w:rPr>
          <w:rFonts w:ascii="Book Antiqua"/>
          <w:sz w:val="20"/>
          <w:szCs w:val="20"/>
          <w:rtl w:val="0"/>
          <w:lang w:val="it-IT"/>
        </w:rPr>
        <w:t>pacifico dell'energia nucleare e la protezione dell'ambiente dalle radiazioni e dai campi elettromagnetici; 3) gli interventi per la tutela, il risanamento, il recupero dell'ambiente; 4) il rispetto delle norme vigenti in materia di tutela ambientale. Inoltre, garantisce tutte le attivit</w:t>
      </w:r>
      <w:r>
        <w:rPr>
          <w:rFonts w:hAnsi="Book Antiqua" w:hint="default"/>
          <w:sz w:val="20"/>
          <w:szCs w:val="20"/>
          <w:rtl w:val="0"/>
          <w:lang w:val="it-IT"/>
        </w:rPr>
        <w:t xml:space="preserve">à </w:t>
      </w:r>
      <w:r>
        <w:rPr>
          <w:rFonts w:ascii="Book Antiqua"/>
          <w:sz w:val="20"/>
          <w:szCs w:val="20"/>
          <w:rtl w:val="0"/>
          <w:lang w:val="it-IT"/>
        </w:rPr>
        <w:t>di consulenza, ricerca ed assistenza tecnico-scientifica a favore della Regione, degli enti locali e degli enti gestori delle aree naturali protette relativamente all'esercizio delle rispettive competenze istituzionali in materia ambientale tra le quali il supporto tecnico-scientifico per la valutazione di impatto ambientale e per le istruttorie relative all'approvazione di progetti ed al rilascio di autorizzazioni in materia di smaltimento e recupero dei rifiuti.</w:t>
      </w:r>
    </w:p>
    <w:p>
      <w:pPr>
        <w:pStyle w:val="Normal"/>
        <w:ind w:left="567" w:right="567" w:firstLine="0"/>
        <w:jc w:val="both"/>
        <w:rPr>
          <w:rFonts w:ascii="Book Antiqua" w:cs="Book Antiqua" w:hAnsi="Book Antiqua" w:eastAsia="Book Antiqua"/>
          <w:sz w:val="20"/>
          <w:szCs w:val="20"/>
        </w:rPr>
      </w:pPr>
      <w:r>
        <w:rPr>
          <w:rFonts w:ascii="Book Antiqua"/>
          <w:sz w:val="20"/>
          <w:szCs w:val="20"/>
          <w:rtl w:val="0"/>
          <w:lang w:val="it-IT"/>
        </w:rPr>
        <w:t>L'attivit</w:t>
      </w:r>
      <w:r>
        <w:rPr>
          <w:rFonts w:hAnsi="Book Antiqua" w:hint="default"/>
          <w:sz w:val="20"/>
          <w:szCs w:val="20"/>
          <w:rtl w:val="0"/>
          <w:lang w:val="it-IT"/>
        </w:rPr>
        <w:t xml:space="preserve">à </w:t>
      </w:r>
      <w:r>
        <w:rPr>
          <w:rFonts w:ascii="Book Antiqua"/>
          <w:sz w:val="20"/>
          <w:szCs w:val="20"/>
          <w:rtl w:val="0"/>
          <w:lang w:val="it-IT"/>
        </w:rPr>
        <w:t>di controllo degli impianti di gestione e trattamento dei rifiuti viene svolta da ARPA Lazio sulla base di una pianificazione annuale integrata dalle attivit</w:t>
      </w:r>
      <w:r>
        <w:rPr>
          <w:rFonts w:hAnsi="Book Antiqua" w:hint="default"/>
          <w:sz w:val="20"/>
          <w:szCs w:val="20"/>
          <w:rtl w:val="0"/>
          <w:lang w:val="it-IT"/>
        </w:rPr>
        <w:t>à</w:t>
      </w:r>
      <w:r>
        <w:rPr>
          <w:rFonts w:ascii="Book Antiqua"/>
          <w:sz w:val="20"/>
          <w:szCs w:val="20"/>
          <w:rtl w:val="0"/>
          <w:lang w:val="it-IT"/>
        </w:rPr>
        <w:t>, non programmabili, di vigilanza a seguito di esposti e richieste di supporto da parte di Enti ed Istituzioni e dall'Autorit</w:t>
      </w:r>
      <w:r>
        <w:rPr>
          <w:rFonts w:hAnsi="Book Antiqua" w:hint="default"/>
          <w:sz w:val="20"/>
          <w:szCs w:val="20"/>
          <w:rtl w:val="0"/>
          <w:lang w:val="it-IT"/>
        </w:rPr>
        <w:t xml:space="preserve">à </w:t>
      </w:r>
      <w:r>
        <w:rPr>
          <w:rFonts w:ascii="Book Antiqua"/>
          <w:sz w:val="20"/>
          <w:szCs w:val="20"/>
          <w:rtl w:val="0"/>
          <w:lang w:val="it-IT"/>
        </w:rPr>
        <w:t>Giudiziaria.</w:t>
      </w:r>
    </w:p>
    <w:p>
      <w:pPr>
        <w:pStyle w:val="Normal"/>
        <w:ind w:left="567" w:right="567" w:firstLine="0"/>
        <w:jc w:val="both"/>
        <w:rPr>
          <w:rFonts w:ascii="Book Antiqua" w:cs="Book Antiqua" w:hAnsi="Book Antiqua" w:eastAsia="Book Antiqua"/>
          <w:sz w:val="20"/>
          <w:szCs w:val="20"/>
        </w:rPr>
      </w:pPr>
      <w:r>
        <w:rPr>
          <w:rFonts w:ascii="Book Antiqua"/>
          <w:sz w:val="20"/>
          <w:szCs w:val="20"/>
          <w:rtl w:val="0"/>
          <w:lang w:val="it-IT"/>
        </w:rPr>
        <w:t>I controlli effettuati sugli impianti di gestione dei rifiuti sono finalizzati a verificare:</w:t>
      </w:r>
    </w:p>
    <w:p>
      <w:pPr>
        <w:pStyle w:val="Normal"/>
        <w:ind w:left="567" w:right="567" w:firstLine="0"/>
        <w:jc w:val="both"/>
        <w:rPr>
          <w:rFonts w:ascii="Book Antiqua" w:cs="Book Antiqua" w:hAnsi="Book Antiqua" w:eastAsia="Book Antiqua"/>
          <w:sz w:val="20"/>
          <w:szCs w:val="20"/>
        </w:rPr>
      </w:pPr>
      <w:r>
        <w:rPr>
          <w:rFonts w:ascii="Book Antiqua"/>
          <w:sz w:val="20"/>
          <w:szCs w:val="20"/>
          <w:rtl w:val="0"/>
          <w:lang w:val="it-IT"/>
        </w:rPr>
        <w:t>le modalit</w:t>
      </w:r>
      <w:r>
        <w:rPr>
          <w:rFonts w:hAnsi="Book Antiqua" w:hint="default"/>
          <w:sz w:val="20"/>
          <w:szCs w:val="20"/>
          <w:rtl w:val="0"/>
          <w:lang w:val="it-IT"/>
        </w:rPr>
        <w:t xml:space="preserve">à </w:t>
      </w:r>
      <w:r>
        <w:rPr>
          <w:rFonts w:ascii="Book Antiqua"/>
          <w:sz w:val="20"/>
          <w:szCs w:val="20"/>
          <w:rtl w:val="0"/>
          <w:lang w:val="it-IT"/>
        </w:rPr>
        <w:t>di gestione dei rifiuti da parte dei produttori degli stessi;</w:t>
      </w:r>
    </w:p>
    <w:p>
      <w:pPr>
        <w:pStyle w:val="Normal"/>
        <w:ind w:left="567" w:right="567" w:firstLine="0"/>
        <w:jc w:val="both"/>
        <w:rPr>
          <w:rFonts w:ascii="Book Antiqua" w:cs="Book Antiqua" w:hAnsi="Book Antiqua" w:eastAsia="Book Antiqua"/>
          <w:sz w:val="20"/>
          <w:szCs w:val="20"/>
        </w:rPr>
      </w:pPr>
      <w:r>
        <w:rPr>
          <w:rFonts w:ascii="Book Antiqua"/>
          <w:sz w:val="20"/>
          <w:szCs w:val="20"/>
          <w:rtl w:val="0"/>
          <w:lang w:val="it-IT"/>
        </w:rPr>
        <w:t>le modalit</w:t>
      </w:r>
      <w:r>
        <w:rPr>
          <w:rFonts w:hAnsi="Book Antiqua" w:hint="default"/>
          <w:sz w:val="20"/>
          <w:szCs w:val="20"/>
          <w:rtl w:val="0"/>
          <w:lang w:val="it-IT"/>
        </w:rPr>
        <w:t xml:space="preserve">à </w:t>
      </w:r>
      <w:r>
        <w:rPr>
          <w:rFonts w:ascii="Book Antiqua"/>
          <w:sz w:val="20"/>
          <w:szCs w:val="20"/>
          <w:rtl w:val="0"/>
          <w:lang w:val="it-IT"/>
        </w:rPr>
        <w:t>di smaltimento dei rifiuti da parte dei soggetti che svolgono attivit</w:t>
      </w:r>
      <w:r>
        <w:rPr>
          <w:rFonts w:hAnsi="Book Antiqua" w:hint="default"/>
          <w:sz w:val="20"/>
          <w:szCs w:val="20"/>
          <w:rtl w:val="0"/>
          <w:lang w:val="it-IT"/>
        </w:rPr>
        <w:t xml:space="preserve">à </w:t>
      </w:r>
      <w:r>
        <w:rPr>
          <w:rFonts w:ascii="Book Antiqua"/>
          <w:sz w:val="20"/>
          <w:szCs w:val="20"/>
          <w:rtl w:val="0"/>
          <w:lang w:val="it-IT"/>
        </w:rPr>
        <w:t>di smaltimento per conto terzi;</w:t>
      </w:r>
    </w:p>
    <w:p>
      <w:pPr>
        <w:pStyle w:val="Normal"/>
        <w:ind w:left="567" w:right="567" w:firstLine="0"/>
        <w:jc w:val="both"/>
        <w:rPr>
          <w:rFonts w:ascii="Book Antiqua" w:cs="Book Antiqua" w:hAnsi="Book Antiqua" w:eastAsia="Book Antiqua"/>
          <w:sz w:val="20"/>
          <w:szCs w:val="20"/>
        </w:rPr>
      </w:pPr>
      <w:r>
        <w:rPr>
          <w:rFonts w:ascii="Book Antiqua"/>
          <w:sz w:val="20"/>
          <w:szCs w:val="20"/>
          <w:rtl w:val="0"/>
          <w:lang w:val="it-IT"/>
        </w:rPr>
        <w:t>le modalit</w:t>
      </w:r>
      <w:r>
        <w:rPr>
          <w:rFonts w:hAnsi="Book Antiqua" w:hint="default"/>
          <w:sz w:val="20"/>
          <w:szCs w:val="20"/>
          <w:rtl w:val="0"/>
          <w:lang w:val="it-IT"/>
        </w:rPr>
        <w:t xml:space="preserve">à </w:t>
      </w:r>
      <w:r>
        <w:rPr>
          <w:rFonts w:ascii="Book Antiqua"/>
          <w:sz w:val="20"/>
          <w:szCs w:val="20"/>
          <w:rtl w:val="0"/>
          <w:lang w:val="it-IT"/>
        </w:rPr>
        <w:t>di recupero dei rifiuti da parte dei soggetti che svolgono attivit</w:t>
      </w:r>
      <w:r>
        <w:rPr>
          <w:rFonts w:hAnsi="Book Antiqua" w:hint="default"/>
          <w:sz w:val="20"/>
          <w:szCs w:val="20"/>
          <w:rtl w:val="0"/>
          <w:lang w:val="it-IT"/>
        </w:rPr>
        <w:t xml:space="preserve">à </w:t>
      </w:r>
      <w:r>
        <w:rPr>
          <w:rFonts w:ascii="Book Antiqua"/>
          <w:sz w:val="20"/>
          <w:szCs w:val="20"/>
          <w:rtl w:val="0"/>
          <w:lang w:val="it-IT"/>
        </w:rPr>
        <w:t>di recupero per conto terzi;</w:t>
      </w:r>
    </w:p>
    <w:p>
      <w:pPr>
        <w:pStyle w:val="Normal"/>
        <w:ind w:left="567" w:right="567" w:firstLine="0"/>
        <w:jc w:val="both"/>
      </w:pPr>
      <w:r>
        <w:rPr>
          <w:rFonts w:ascii="Book Antiqua"/>
          <w:sz w:val="20"/>
          <w:szCs w:val="20"/>
          <w:rtl w:val="0"/>
          <w:lang w:val="it-IT"/>
        </w:rPr>
        <w:t>e a verificare, in fase istruttoria, le attivit</w:t>
      </w:r>
      <w:r>
        <w:rPr>
          <w:rFonts w:hAnsi="Book Antiqua" w:hint="default"/>
          <w:sz w:val="20"/>
          <w:szCs w:val="20"/>
          <w:rtl w:val="0"/>
          <w:lang w:val="it-IT"/>
        </w:rPr>
        <w:t xml:space="preserve">à </w:t>
      </w:r>
      <w:r>
        <w:rPr>
          <w:rFonts w:ascii="Book Antiqua"/>
          <w:sz w:val="20"/>
          <w:szCs w:val="20"/>
          <w:rtl w:val="0"/>
          <w:lang w:val="it-IT"/>
        </w:rPr>
        <w:t>di gestione dei rifiuti da autorizzare.</w:t>
      </w:r>
    </w:p>
  </w:footnote>
  <w:footnote w:id="43">
    <w:p>
      <w:pPr>
        <w:pStyle w:val="footnote text"/>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Doc. 1934/2</w:t>
      </w:r>
    </w:p>
  </w:footnote>
  <w:footnote w:id="44">
    <w:p>
      <w:pPr>
        <w:pStyle w:val="footnote text"/>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Tratte dal doc. n. 1501/1, proveniente da ARPA Lazio</w:t>
      </w:r>
    </w:p>
  </w:footnote>
  <w:footnote w:id="45">
    <w:p>
      <w:pPr>
        <w:pStyle w:val="Normal"/>
        <w:ind w:left="567" w:right="567" w:firstLine="0"/>
        <w:jc w:val="both"/>
        <w:rPr>
          <w:rFonts w:ascii="Book Antiqua" w:cs="Book Antiqua" w:hAnsi="Book Antiqua" w:eastAsia="Book Antiqua"/>
          <w:sz w:val="20"/>
          <w:szCs w:val="20"/>
        </w:rPr>
      </w:pPr>
      <w:r>
        <w:rPr>
          <w:rFonts w:ascii="Book Antiqua" w:cs="Book Antiqua" w:hAnsi="Book Antiqua" w:eastAsia="Book Antiqua"/>
          <w:vertAlign w:val="superscript"/>
          <w:rtl w:val="0"/>
        </w:rPr>
        <w:footnoteRef/>
      </w:r>
      <w:r>
        <w:rPr>
          <w:rFonts w:ascii="Book Antiqua"/>
          <w:sz w:val="20"/>
          <w:szCs w:val="20"/>
          <w:rtl w:val="0"/>
          <w:lang w:val="it-IT"/>
        </w:rPr>
        <w:t xml:space="preserve"> La posizione di Paola Muraro come indagata </w:t>
      </w:r>
      <w:r>
        <w:rPr>
          <w:rFonts w:hAnsi="Book Antiqua" w:hint="default"/>
          <w:sz w:val="20"/>
          <w:szCs w:val="20"/>
          <w:rtl w:val="0"/>
          <w:lang w:val="it-IT"/>
        </w:rPr>
        <w:t xml:space="preserve">è </w:t>
      </w:r>
      <w:r>
        <w:rPr>
          <w:rFonts w:ascii="Book Antiqua"/>
          <w:sz w:val="20"/>
          <w:szCs w:val="20"/>
          <w:rtl w:val="0"/>
          <w:lang w:val="it-IT"/>
        </w:rPr>
        <w:t xml:space="preserve">stata oggetto di necessaria precisazione in apertura della seduta del 5 settembre 2016, in cui si </w:t>
      </w:r>
      <w:r>
        <w:rPr>
          <w:rFonts w:hAnsi="Book Antiqua" w:hint="default"/>
          <w:sz w:val="20"/>
          <w:szCs w:val="20"/>
          <w:rtl w:val="0"/>
          <w:lang w:val="it-IT"/>
        </w:rPr>
        <w:t xml:space="preserve">è </w:t>
      </w:r>
      <w:r>
        <w:rPr>
          <w:rFonts w:ascii="Book Antiqua"/>
          <w:sz w:val="20"/>
          <w:szCs w:val="20"/>
          <w:rtl w:val="0"/>
          <w:lang w:val="it-IT"/>
        </w:rPr>
        <w:t>svolta la sua audizione, insieme a quella del sindaco di Roma Capitale; il Presidente della Commissione, dunque, ha cos</w:t>
      </w:r>
      <w:r>
        <w:rPr>
          <w:rFonts w:hAnsi="Book Antiqua" w:hint="default"/>
          <w:sz w:val="20"/>
          <w:szCs w:val="20"/>
          <w:rtl w:val="0"/>
          <w:lang w:val="it-IT"/>
        </w:rPr>
        <w:t xml:space="preserve">ì </w:t>
      </w:r>
      <w:r>
        <w:rPr>
          <w:rFonts w:ascii="Book Antiqua"/>
          <w:sz w:val="20"/>
          <w:szCs w:val="20"/>
          <w:rtl w:val="0"/>
          <w:lang w:val="it-IT"/>
        </w:rPr>
        <w:t xml:space="preserve">proceduto: </w:t>
      </w:r>
    </w:p>
    <w:p>
      <w:pPr>
        <w:pStyle w:val="intervento"/>
        <w:spacing w:before="0" w:after="0"/>
        <w:ind w:left="567" w:right="567" w:firstLine="0"/>
        <w:jc w:val="both"/>
        <w:rPr>
          <w:rFonts w:ascii="Book Antiqua" w:cs="Book Antiqua" w:hAnsi="Book Antiqua" w:eastAsia="Book Antiqua"/>
          <w:sz w:val="20"/>
          <w:szCs w:val="20"/>
        </w:rPr>
      </w:pPr>
      <w:r>
        <w:rPr>
          <w:rFonts w:hAnsi="Book Antiqua" w:hint="default"/>
          <w:sz w:val="20"/>
          <w:szCs w:val="20"/>
          <w:rtl w:val="0"/>
          <w:lang w:val="it-IT"/>
        </w:rPr>
        <w:t>“</w:t>
      </w:r>
      <w:r>
        <w:rPr>
          <w:rFonts w:ascii="Book Antiqua"/>
          <w:sz w:val="20"/>
          <w:szCs w:val="20"/>
          <w:rtl w:val="0"/>
          <w:lang w:val="it-IT"/>
        </w:rPr>
        <w:t xml:space="preserve">vi </w:t>
      </w:r>
      <w:r>
        <w:rPr>
          <w:rFonts w:hAnsi="Book Antiqua" w:hint="default"/>
          <w:sz w:val="20"/>
          <w:szCs w:val="20"/>
          <w:rtl w:val="0"/>
          <w:lang w:val="it-IT"/>
        </w:rPr>
        <w:t xml:space="preserve">è </w:t>
      </w:r>
      <w:r>
        <w:rPr>
          <w:rFonts w:ascii="Book Antiqua"/>
          <w:sz w:val="20"/>
          <w:szCs w:val="20"/>
          <w:rtl w:val="0"/>
          <w:lang w:val="it-IT"/>
        </w:rPr>
        <w:t>la necessit</w:t>
      </w:r>
      <w:r>
        <w:rPr>
          <w:rFonts w:hAnsi="Book Antiqua" w:hint="default"/>
          <w:sz w:val="20"/>
          <w:szCs w:val="20"/>
          <w:rtl w:val="0"/>
          <w:lang w:val="it-IT"/>
        </w:rPr>
        <w:t xml:space="preserve">à </w:t>
      </w:r>
      <w:r>
        <w:rPr>
          <w:rFonts w:ascii="Book Antiqua"/>
          <w:sz w:val="20"/>
          <w:szCs w:val="20"/>
          <w:rtl w:val="0"/>
          <w:lang w:val="it-IT"/>
        </w:rPr>
        <w:t>per la Commissione di qualificare, ai sensi dell'articolo 14, comma 3 del Regolamento interno, la posizione della dottoressa Paola Muraro, considerato che nella giornata di ieri una pluralit</w:t>
      </w:r>
      <w:r>
        <w:rPr>
          <w:rFonts w:hAnsi="Book Antiqua" w:hint="default"/>
          <w:sz w:val="20"/>
          <w:szCs w:val="20"/>
          <w:rtl w:val="0"/>
          <w:lang w:val="it-IT"/>
        </w:rPr>
        <w:t xml:space="preserve">à </w:t>
      </w:r>
      <w:r>
        <w:rPr>
          <w:rFonts w:ascii="Book Antiqua"/>
          <w:sz w:val="20"/>
          <w:szCs w:val="20"/>
          <w:rtl w:val="0"/>
          <w:lang w:val="it-IT"/>
        </w:rPr>
        <w:t>di organi di informazione ha diffuso circostanziate notizie secondo cui la stessa sarebbe indagata dalla procura della Repubblica di Roma per reati contro la pubblica amministrazione e contro l'ambiente, per fatti commessi in qualit</w:t>
      </w:r>
      <w:r>
        <w:rPr>
          <w:rFonts w:hAnsi="Book Antiqua" w:hint="default"/>
          <w:sz w:val="20"/>
          <w:szCs w:val="20"/>
          <w:rtl w:val="0"/>
          <w:lang w:val="it-IT"/>
        </w:rPr>
        <w:t xml:space="preserve">à </w:t>
      </w:r>
      <w:r>
        <w:rPr>
          <w:rFonts w:ascii="Book Antiqua"/>
          <w:sz w:val="20"/>
          <w:szCs w:val="20"/>
          <w:rtl w:val="0"/>
          <w:lang w:val="it-IT"/>
        </w:rPr>
        <w:t>di consulente di AMA o comunque rientranti nell'oggetto della prevista audizione odierna.</w:t>
      </w:r>
    </w:p>
    <w:p>
      <w:pPr>
        <w:pStyle w:val="intervento"/>
        <w:spacing w:before="0" w:after="0"/>
        <w:ind w:left="567" w:right="567" w:firstLine="0"/>
        <w:jc w:val="both"/>
        <w:rPr>
          <w:rFonts w:ascii="Book Antiqua" w:cs="Book Antiqua" w:hAnsi="Book Antiqua" w:eastAsia="Book Antiqua"/>
          <w:sz w:val="20"/>
          <w:szCs w:val="20"/>
        </w:rPr>
      </w:pPr>
      <w:r>
        <w:rPr>
          <w:rFonts w:ascii="Book Antiqua"/>
          <w:sz w:val="20"/>
          <w:szCs w:val="20"/>
          <w:rtl w:val="0"/>
          <w:lang w:val="it-IT"/>
        </w:rPr>
        <w:t>Devo chiedere pertanto all'audita, cos</w:t>
      </w:r>
      <w:r>
        <w:rPr>
          <w:rFonts w:hAnsi="Book Antiqua" w:hint="default"/>
          <w:sz w:val="20"/>
          <w:szCs w:val="20"/>
          <w:rtl w:val="0"/>
          <w:lang w:val="it-IT"/>
        </w:rPr>
        <w:t xml:space="preserve">ì </w:t>
      </w:r>
      <w:r>
        <w:rPr>
          <w:rFonts w:ascii="Book Antiqua"/>
          <w:sz w:val="20"/>
          <w:szCs w:val="20"/>
          <w:rtl w:val="0"/>
          <w:lang w:val="it-IT"/>
        </w:rPr>
        <w:t>come da prassi, se abbia conoscenza di indagini a suo carico su tale oggetto, in particolare se abbia ricevuto da organi inquirenti notifiche di atti di indagine da cui risulti la sua qualit</w:t>
      </w:r>
      <w:r>
        <w:rPr>
          <w:rFonts w:hAnsi="Book Antiqua" w:hint="default"/>
          <w:sz w:val="20"/>
          <w:szCs w:val="20"/>
          <w:rtl w:val="0"/>
          <w:lang w:val="it-IT"/>
        </w:rPr>
        <w:t xml:space="preserve">à </w:t>
      </w:r>
      <w:r>
        <w:rPr>
          <w:rFonts w:ascii="Book Antiqua"/>
          <w:sz w:val="20"/>
          <w:szCs w:val="20"/>
          <w:rtl w:val="0"/>
          <w:lang w:val="it-IT"/>
        </w:rPr>
        <w:t>di indagata o avvisi di cui agli articoli 369 o 369-</w:t>
      </w:r>
      <w:r>
        <w:rPr>
          <w:rFonts w:ascii="Book Antiqua"/>
          <w:i w:val="1"/>
          <w:iCs w:val="1"/>
          <w:sz w:val="20"/>
          <w:szCs w:val="20"/>
          <w:rtl w:val="0"/>
          <w:lang w:val="it-IT"/>
        </w:rPr>
        <w:t>bis</w:t>
      </w:r>
      <w:r>
        <w:rPr>
          <w:rFonts w:ascii="Book Antiqua"/>
          <w:sz w:val="20"/>
          <w:szCs w:val="20"/>
          <w:rtl w:val="0"/>
          <w:lang w:val="it-IT"/>
        </w:rPr>
        <w:t xml:space="preserve"> del codice di procedura penale, ovvero se nel periodo immediatamente precedente alla sua nomina o nel periodo successivo e fino ad oggi abbia fatto richiesta alla procura della Repubblica di Roma, ai sensi dall'articolo 335, comma 3 del codice di procedura penale di conoscere se sia indagata</w:t>
      </w:r>
      <w:r>
        <w:rPr>
          <w:rFonts w:hAnsi="Book Antiqua" w:hint="default"/>
          <w:sz w:val="20"/>
          <w:szCs w:val="20"/>
          <w:rtl w:val="0"/>
          <w:lang w:val="it-IT"/>
        </w:rPr>
        <w:t>”</w:t>
      </w:r>
      <w:r>
        <w:rPr>
          <w:rFonts w:ascii="Book Antiqua"/>
          <w:sz w:val="20"/>
          <w:szCs w:val="20"/>
          <w:rtl w:val="0"/>
          <w:lang w:val="it-IT"/>
        </w:rPr>
        <w:t xml:space="preserve">, a questo punto Paola Muraro ha dichiarato: </w:t>
      </w:r>
      <w:r>
        <w:rPr>
          <w:rFonts w:hAnsi="Book Antiqua" w:hint="default"/>
          <w:sz w:val="20"/>
          <w:szCs w:val="20"/>
          <w:rtl w:val="0"/>
          <w:lang w:val="it-IT"/>
        </w:rPr>
        <w:t>“</w:t>
      </w:r>
      <w:r>
        <w:rPr>
          <w:rFonts w:ascii="Book Antiqua"/>
          <w:sz w:val="20"/>
          <w:szCs w:val="20"/>
          <w:rtl w:val="0"/>
          <w:lang w:val="it-IT"/>
        </w:rPr>
        <w:t xml:space="preserve">A fine luglio io sono venuta a conoscenza di un 335 </w:t>
      </w:r>
      <w:r>
        <w:rPr>
          <w:rFonts w:hAnsi="Book Antiqua" w:hint="default"/>
          <w:sz w:val="20"/>
          <w:szCs w:val="20"/>
          <w:rtl w:val="0"/>
          <w:lang w:val="it-IT"/>
        </w:rPr>
        <w:t xml:space="preserve">– </w:t>
      </w:r>
      <w:r>
        <w:rPr>
          <w:rFonts w:ascii="Book Antiqua"/>
          <w:sz w:val="20"/>
          <w:szCs w:val="20"/>
          <w:rtl w:val="0"/>
          <w:lang w:val="it-IT"/>
        </w:rPr>
        <w:t>diciamo cos</w:t>
      </w:r>
      <w:r>
        <w:rPr>
          <w:rFonts w:hAnsi="Book Antiqua" w:hint="default"/>
          <w:sz w:val="20"/>
          <w:szCs w:val="20"/>
          <w:rtl w:val="0"/>
          <w:lang w:val="it-IT"/>
        </w:rPr>
        <w:t xml:space="preserve">ì – </w:t>
      </w:r>
      <w:r>
        <w:rPr>
          <w:rFonts w:ascii="Book Antiqua"/>
          <w:sz w:val="20"/>
          <w:szCs w:val="20"/>
          <w:rtl w:val="0"/>
          <w:lang w:val="it-IT"/>
        </w:rPr>
        <w:t>articolo 256, comma 4</w:t>
      </w:r>
      <w:r>
        <w:rPr>
          <w:rFonts w:hAnsi="Book Antiqua" w:hint="default"/>
          <w:sz w:val="20"/>
          <w:szCs w:val="20"/>
          <w:rtl w:val="0"/>
          <w:lang w:val="it-IT"/>
        </w:rPr>
        <w:t>”</w:t>
      </w:r>
      <w:r>
        <w:rPr>
          <w:rFonts w:ascii="Book Antiqua"/>
          <w:sz w:val="20"/>
          <w:szCs w:val="20"/>
          <w:rtl w:val="0"/>
          <w:lang w:val="it-IT"/>
        </w:rPr>
        <w:t>.</w:t>
      </w:r>
    </w:p>
    <w:p>
      <w:pPr>
        <w:pStyle w:val="intervento"/>
        <w:spacing w:before="0" w:after="0"/>
        <w:ind w:left="567" w:right="567" w:firstLine="0"/>
        <w:jc w:val="both"/>
        <w:rPr>
          <w:rFonts w:ascii="Book Antiqua" w:cs="Book Antiqua" w:hAnsi="Book Antiqua" w:eastAsia="Book Antiqua"/>
          <w:sz w:val="20"/>
          <w:szCs w:val="20"/>
        </w:rPr>
      </w:pPr>
      <w:r>
        <w:rPr>
          <w:rFonts w:ascii="Book Antiqua"/>
          <w:sz w:val="20"/>
          <w:szCs w:val="20"/>
          <w:rtl w:val="0"/>
          <w:lang w:val="it-IT"/>
        </w:rPr>
        <w:t xml:space="preserve">Il Presidente ha informato la Commissione di avere indirizzato al procuratore della Repubblica di Roma una richiesta formale per conoscere se Paola Muraro fosse persona sottoposta ad indagini da parte della procura stessa e per quali reati; il procuratore della Repubblica aveva risposto nei seguenti termini: </w:t>
      </w:r>
      <w:r>
        <w:rPr>
          <w:rFonts w:hAnsi="Book Antiqua" w:hint="default"/>
          <w:sz w:val="20"/>
          <w:szCs w:val="20"/>
          <w:rtl w:val="0"/>
          <w:lang w:val="it-IT"/>
        </w:rPr>
        <w:t>«</w:t>
      </w:r>
      <w:r>
        <w:rPr>
          <w:rFonts w:ascii="Book Antiqua"/>
          <w:sz w:val="20"/>
          <w:szCs w:val="20"/>
          <w:rtl w:val="0"/>
          <w:lang w:val="it-IT"/>
        </w:rPr>
        <w:t xml:space="preserve">In risposta alla richiesta formulata dalla S.V., comunico che questo ufficio procede nei confronti della dottoressa Paola Muraro, nata ad Adria (RO) il 3/11/1964, per il seguente reato: articolo 256, comma 4, L. 152/2006. Aggiungo che la dottoressa Muraro </w:t>
      </w:r>
      <w:r>
        <w:rPr>
          <w:rFonts w:hAnsi="Book Antiqua" w:hint="default"/>
          <w:sz w:val="20"/>
          <w:szCs w:val="20"/>
          <w:rtl w:val="0"/>
          <w:lang w:val="it-IT"/>
        </w:rPr>
        <w:t xml:space="preserve">è </w:t>
      </w:r>
      <w:r>
        <w:rPr>
          <w:rFonts w:ascii="Book Antiqua"/>
          <w:sz w:val="20"/>
          <w:szCs w:val="20"/>
          <w:rtl w:val="0"/>
          <w:lang w:val="it-IT"/>
        </w:rPr>
        <w:t>stata iscritta nel registro delle persone soggette a indagine nell</w:t>
      </w:r>
      <w:r>
        <w:rPr>
          <w:rFonts w:hAnsi="Book Antiqua" w:hint="default"/>
          <w:sz w:val="20"/>
          <w:szCs w:val="20"/>
          <w:rtl w:val="0"/>
          <w:lang w:val="it-IT"/>
        </w:rPr>
        <w:t>’</w:t>
      </w:r>
      <w:r>
        <w:rPr>
          <w:rFonts w:ascii="Book Antiqua"/>
          <w:sz w:val="20"/>
          <w:szCs w:val="20"/>
          <w:rtl w:val="0"/>
          <w:lang w:val="it-IT"/>
        </w:rPr>
        <w:t xml:space="preserve">ambito del proc. pen. n. 19790/16, in data 21 aprile 2016; preciso che non sussiste in proposito segreto investigativo dato che in data 18.7.2016 </w:t>
      </w:r>
      <w:r>
        <w:rPr>
          <w:rFonts w:hAnsi="Book Antiqua" w:hint="default"/>
          <w:sz w:val="20"/>
          <w:szCs w:val="20"/>
          <w:rtl w:val="0"/>
          <w:lang w:val="it-IT"/>
        </w:rPr>
        <w:t xml:space="preserve">è </w:t>
      </w:r>
      <w:r>
        <w:rPr>
          <w:rFonts w:ascii="Book Antiqua"/>
          <w:sz w:val="20"/>
          <w:szCs w:val="20"/>
          <w:rtl w:val="0"/>
          <w:lang w:val="it-IT"/>
        </w:rPr>
        <w:t xml:space="preserve">stato rilasciato alla dottoressa Muraro, su sua richiesta, il certificato </w:t>
      </w:r>
      <w:r>
        <w:rPr>
          <w:rFonts w:ascii="Book Antiqua"/>
          <w:i w:val="1"/>
          <w:iCs w:val="1"/>
          <w:sz w:val="20"/>
          <w:szCs w:val="20"/>
          <w:rtl w:val="0"/>
          <w:lang w:val="it-IT"/>
        </w:rPr>
        <w:t>ex</w:t>
      </w:r>
      <w:r>
        <w:rPr>
          <w:rFonts w:ascii="Book Antiqua"/>
          <w:sz w:val="20"/>
          <w:szCs w:val="20"/>
          <w:rtl w:val="0"/>
          <w:lang w:val="it-IT"/>
        </w:rPr>
        <w:t xml:space="preserve"> articolo 335 del codice procedura penale attestante l'iscrizione sopraspecificata e che la stessa ha nominato difensore l'avvocato Salvatore Sciullo del Foro di Roma</w:t>
      </w:r>
      <w:r>
        <w:rPr>
          <w:rFonts w:hAnsi="Book Antiqua" w:hint="default"/>
          <w:sz w:val="20"/>
          <w:szCs w:val="20"/>
          <w:rtl w:val="0"/>
          <w:lang w:val="it-IT"/>
        </w:rPr>
        <w:t>»</w:t>
      </w:r>
      <w:r>
        <w:rPr>
          <w:rFonts w:ascii="Book Antiqua"/>
          <w:sz w:val="20"/>
          <w:szCs w:val="20"/>
          <w:rtl w:val="0"/>
          <w:lang w:val="it-IT"/>
        </w:rPr>
        <w:t xml:space="preserve">. </w:t>
      </w:r>
    </w:p>
    <w:p>
      <w:pPr>
        <w:pStyle w:val="intervento"/>
        <w:spacing w:before="0" w:after="0"/>
        <w:ind w:left="567" w:right="567" w:firstLine="0"/>
        <w:jc w:val="both"/>
      </w:pPr>
      <w:r>
        <w:rPr>
          <w:rFonts w:ascii="Book Antiqua"/>
          <w:sz w:val="20"/>
          <w:szCs w:val="20"/>
          <w:rtl w:val="0"/>
          <w:lang w:val="it-IT"/>
        </w:rPr>
        <w:t>Informata del fatto che, in conseguenza delle indagini in corso a suo carico per fatti rientranti nell'oggetto dell'audizione, poteva farsi assistere nel corso della stessa da un avvocato difensore di sua fiducia, secondo quanto previsto dall'articolo 14, comma 3 del Regolamento interno della Commissione, l</w:t>
      </w:r>
      <w:r>
        <w:rPr>
          <w:rFonts w:hAnsi="Book Antiqua" w:hint="default"/>
          <w:sz w:val="20"/>
          <w:szCs w:val="20"/>
          <w:rtl w:val="0"/>
          <w:lang w:val="it-IT"/>
        </w:rPr>
        <w:t>’</w:t>
      </w:r>
      <w:r>
        <w:rPr>
          <w:rFonts w:ascii="Book Antiqua"/>
          <w:sz w:val="20"/>
          <w:szCs w:val="20"/>
          <w:rtl w:val="0"/>
          <w:lang w:val="it-IT"/>
        </w:rPr>
        <w:t>audita ha dichiarato di non volersi avvalere di tale facolt</w:t>
      </w:r>
      <w:r>
        <w:rPr>
          <w:rFonts w:hAnsi="Book Antiqua" w:hint="default"/>
          <w:sz w:val="20"/>
          <w:szCs w:val="20"/>
          <w:rtl w:val="0"/>
          <w:lang w:val="it-IT"/>
        </w:rPr>
        <w:t>à</w:t>
      </w:r>
      <w:r>
        <w:rPr>
          <w:rFonts w:ascii="Book Antiqua"/>
          <w:sz w:val="20"/>
          <w:szCs w:val="20"/>
          <w:rtl w:val="0"/>
          <w:lang w:val="it-IT"/>
        </w:rPr>
        <w:t>.</w:t>
      </w:r>
    </w:p>
  </w:footnote>
  <w:footnote w:id="46">
    <w:p>
      <w:pPr>
        <w:pStyle w:val="footnote text"/>
        <w:ind w:firstLine="567"/>
        <w:jc w:val="both"/>
      </w:pPr>
      <w:r>
        <w:rPr>
          <w:rFonts w:ascii="Book Antiqua" w:cs="Book Antiqua" w:hAnsi="Book Antiqua" w:eastAsia="Book Antiqua"/>
          <w:vertAlign w:val="superscript"/>
          <w:rtl w:val="0"/>
        </w:rPr>
        <w:footnoteRef/>
      </w:r>
      <w:r>
        <w:rPr>
          <w:sz w:val="22"/>
          <w:szCs w:val="22"/>
          <w:rtl w:val="0"/>
          <w:lang w:val="it-IT"/>
        </w:rPr>
        <w:t xml:space="preserve"> PaolaMuraro </w:t>
      </w:r>
      <w:r>
        <w:rPr>
          <w:sz w:val="22"/>
          <w:szCs w:val="22"/>
          <w:rtl w:val="0"/>
          <w:lang w:val="it-IT"/>
        </w:rPr>
        <w:t xml:space="preserve">è </w:t>
      </w:r>
      <w:r>
        <w:rPr>
          <w:sz w:val="22"/>
          <w:szCs w:val="22"/>
          <w:rtl w:val="0"/>
          <w:lang w:val="it-IT"/>
        </w:rPr>
        <w:t xml:space="preserve">stata nuovamente audita dalla Commissione, su sua richiesta, il 14 dicembre 2017. Accompagnata dal suo avvocato difensore ha esposto elementi relativi alla sua difesa nel procedimento penale che la riguarda e ha depositato una lettera del presidente di AMA avente ad oggetto </w:t>
      </w:r>
      <w:r>
        <w:rPr>
          <w:sz w:val="22"/>
          <w:szCs w:val="22"/>
          <w:rtl w:val="0"/>
          <w:lang w:val="it-IT"/>
        </w:rPr>
        <w:t>“</w:t>
      </w:r>
      <w:r>
        <w:rPr>
          <w:sz w:val="22"/>
          <w:szCs w:val="22"/>
          <w:rtl w:val="0"/>
          <w:lang w:val="it-IT"/>
        </w:rPr>
        <w:t>sollecito di pagamento preavviso di fattura dott.ssa Paola Muraro</w:t>
      </w:r>
      <w:r>
        <w:rPr>
          <w:sz w:val="22"/>
          <w:szCs w:val="22"/>
          <w:rtl w:val="0"/>
          <w:lang w:val="it-IT"/>
        </w:rPr>
        <w:t xml:space="preserve">” </w:t>
      </w:r>
      <w:r>
        <w:rPr>
          <w:sz w:val="22"/>
          <w:szCs w:val="22"/>
          <w:rtl w:val="0"/>
          <w:lang w:val="it-IT"/>
        </w:rPr>
        <w:t>e un verbale di interrogatorio, reso l</w:t>
      </w:r>
      <w:r>
        <w:rPr>
          <w:sz w:val="22"/>
          <w:szCs w:val="22"/>
          <w:rtl w:val="0"/>
          <w:lang w:val="it-IT"/>
        </w:rPr>
        <w:t>’</w:t>
      </w:r>
      <w:r>
        <w:rPr>
          <w:sz w:val="22"/>
          <w:szCs w:val="22"/>
          <w:rtl w:val="0"/>
          <w:lang w:val="it-IT"/>
        </w:rPr>
        <w:t>8 novembre 2017, a cui sono allegati documenti depositati a fini difensivi nel procedimento penale, tra i quali - illustrata in sede di audizione - una denuncia-querela nei confronti di un consulente del pubblico ministero. (Doc. xxx)</w:t>
      </w:r>
    </w:p>
  </w:footnote>
  <w:footnote w:id="47">
    <w:p>
      <w:pPr>
        <w:pStyle w:val="Normal"/>
        <w:ind w:left="567" w:right="567" w:firstLine="0"/>
        <w:jc w:val="both"/>
      </w:pPr>
      <w:r>
        <w:rPr>
          <w:rFonts w:ascii="Book Antiqua" w:cs="Book Antiqua" w:hAnsi="Book Antiqua" w:eastAsia="Book Antiqua"/>
          <w:shd w:val="clear" w:color="auto" w:fill="ffffff"/>
          <w:vertAlign w:val="superscript"/>
          <w:rtl w:val="0"/>
        </w:rPr>
        <w:footnoteRef/>
      </w:r>
      <w:r>
        <w:rPr>
          <w:rFonts w:ascii="Book Antiqua"/>
          <w:sz w:val="20"/>
          <w:szCs w:val="20"/>
          <w:vertAlign w:val="superscript"/>
          <w:rtl w:val="0"/>
          <w:lang w:val="it-IT"/>
        </w:rPr>
        <w:t xml:space="preserve"> </w:t>
      </w:r>
      <w:r>
        <w:rPr>
          <w:rFonts w:ascii="Book Antiqua"/>
          <w:sz w:val="20"/>
          <w:szCs w:val="20"/>
          <w:rtl w:val="0"/>
          <w:lang w:val="it-IT"/>
        </w:rPr>
        <w:t xml:space="preserve">Decreto di ispezione emesso in data 21 maggio 2015 (Doc. 600/1); la motivazione dei decreti di ispezione, nel suo nucleo essenziale, enunciava: </w:t>
      </w:r>
      <w:r>
        <w:rPr>
          <w:rFonts w:hAnsi="Book Antiqua" w:hint="default"/>
          <w:sz w:val="20"/>
          <w:szCs w:val="20"/>
          <w:rtl w:val="0"/>
          <w:lang w:val="it-IT"/>
        </w:rPr>
        <w:t>“</w:t>
      </w:r>
      <w:r>
        <w:rPr>
          <w:rFonts w:ascii="Book Antiqua"/>
          <w:sz w:val="20"/>
          <w:szCs w:val="20"/>
          <w:rtl w:val="0"/>
          <w:lang w:val="it-IT"/>
        </w:rPr>
        <w:t>risulta da fonti pubbliche e da segnalazioni di Parlamentari componenti la Commissione, che negli impianti denominati Malagrotta 1, Malagrotta 2 nonch</w:t>
      </w:r>
      <w:r>
        <w:rPr>
          <w:rFonts w:hAnsi="Book Antiqua" w:hint="default"/>
          <w:sz w:val="20"/>
          <w:szCs w:val="20"/>
          <w:rtl w:val="0"/>
          <w:lang w:val="it-IT"/>
        </w:rPr>
        <w:t xml:space="preserve">é </w:t>
      </w:r>
      <w:r>
        <w:rPr>
          <w:rFonts w:ascii="Book Antiqua"/>
          <w:sz w:val="20"/>
          <w:szCs w:val="20"/>
          <w:rtl w:val="0"/>
          <w:lang w:val="it-IT"/>
        </w:rPr>
        <w:t>in quelli siti in via di Rocca Cencia e via Salaria, tutti nel comune di Roma, il trattamento meccanico biologico e l'attivit</w:t>
      </w:r>
      <w:r>
        <w:rPr>
          <w:rFonts w:hAnsi="Book Antiqua" w:hint="default"/>
          <w:sz w:val="20"/>
          <w:szCs w:val="20"/>
          <w:rtl w:val="0"/>
          <w:lang w:val="it-IT"/>
        </w:rPr>
        <w:t xml:space="preserve">à </w:t>
      </w:r>
      <w:r>
        <w:rPr>
          <w:rFonts w:ascii="Book Antiqua"/>
          <w:sz w:val="20"/>
          <w:szCs w:val="20"/>
          <w:rtl w:val="0"/>
          <w:lang w:val="it-IT"/>
        </w:rPr>
        <w:t>di tritovagliatura sarebbero attualmente svolti con gradi di efficienza ed efficacia minori di quelli richiesti per una corretta gestione del ciclo dei rifiuti, in forma e misura tali da far ipotizzare lo svolgimento di un'attivit</w:t>
      </w:r>
      <w:r>
        <w:rPr>
          <w:rFonts w:hAnsi="Book Antiqua" w:hint="default"/>
          <w:sz w:val="20"/>
          <w:szCs w:val="20"/>
          <w:rtl w:val="0"/>
          <w:lang w:val="it-IT"/>
        </w:rPr>
        <w:t xml:space="preserve">à </w:t>
      </w:r>
      <w:r>
        <w:rPr>
          <w:rFonts w:ascii="Book Antiqua"/>
          <w:sz w:val="20"/>
          <w:szCs w:val="20"/>
          <w:rtl w:val="0"/>
          <w:lang w:val="it-IT"/>
        </w:rPr>
        <w:t>di gestione di rifiuti incongrua rispetto alle norme regolatrici generali nonch</w:t>
      </w:r>
      <w:r>
        <w:rPr>
          <w:rFonts w:hAnsi="Book Antiqua" w:hint="default"/>
          <w:sz w:val="20"/>
          <w:szCs w:val="20"/>
          <w:rtl w:val="0"/>
          <w:lang w:val="it-IT"/>
        </w:rPr>
        <w:t xml:space="preserve">é </w:t>
      </w:r>
      <w:r>
        <w:rPr>
          <w:rFonts w:ascii="Book Antiqua"/>
          <w:sz w:val="20"/>
          <w:szCs w:val="20"/>
          <w:rtl w:val="0"/>
          <w:lang w:val="it-IT"/>
        </w:rPr>
        <w:t>alle autorizzazioni amministrative presupposte di cui agli artt. 177, 181, 182, 208-213 e al Titolo III-bis della Parte Seconda del decreto legislativo 152/2006, alle clausole negoziali intercorrenti tra gestore degli impianti ed Enti pubblici, con creazione di accumuli e forme di trattamento irregolari ovvero con inadempimenti in pubbliche forniture</w:t>
      </w:r>
      <w:r>
        <w:rPr>
          <w:rFonts w:hAnsi="Book Antiqua" w:hint="default"/>
          <w:sz w:val="20"/>
          <w:szCs w:val="20"/>
          <w:rtl w:val="0"/>
          <w:lang w:val="it-IT"/>
        </w:rPr>
        <w:t>”</w:t>
      </w:r>
      <w:r>
        <w:rPr>
          <w:rFonts w:ascii="Book Antiqua"/>
          <w:sz w:val="20"/>
          <w:szCs w:val="20"/>
          <w:rtl w:val="0"/>
          <w:lang w:val="it-IT"/>
        </w:rPr>
        <w:t>.</w:t>
      </w:r>
    </w:p>
  </w:footnote>
  <w:footnote w:id="48">
    <w:p>
      <w:pPr>
        <w:pStyle w:val="Normal"/>
        <w:ind w:left="567" w:right="567" w:firstLine="0"/>
        <w:jc w:val="both"/>
      </w:pPr>
      <w:r>
        <w:rPr>
          <w:rFonts w:ascii="Book Antiqua" w:cs="Book Antiqua" w:hAnsi="Book Antiqua" w:eastAsia="Book Antiqua"/>
          <w:shd w:val="clear" w:color="auto" w:fill="ffffff"/>
          <w:vertAlign w:val="superscript"/>
          <w:rtl w:val="0"/>
        </w:rPr>
        <w:footnoteRef/>
      </w:r>
      <w:r>
        <w:rPr>
          <w:rFonts w:ascii="Book Antiqua"/>
          <w:sz w:val="20"/>
          <w:szCs w:val="20"/>
          <w:vertAlign w:val="superscript"/>
          <w:rtl w:val="0"/>
          <w:lang w:val="it-IT"/>
        </w:rPr>
        <w:t xml:space="preserve"> </w:t>
      </w:r>
      <w:r>
        <w:rPr>
          <w:rFonts w:ascii="Book Antiqua"/>
          <w:sz w:val="20"/>
          <w:szCs w:val="20"/>
          <w:rtl w:val="0"/>
          <w:lang w:val="it-IT"/>
        </w:rPr>
        <w:t>Decreti di ispezione emessi in data 16 maggio 2017 e 22 maggio 2017 (Doc. 2029/9 e 2069/6).</w:t>
      </w:r>
    </w:p>
  </w:footnote>
  <w:footnote w:id="49">
    <w:p>
      <w:pPr>
        <w:pStyle w:val="Normal"/>
        <w:ind w:left="567" w:right="567" w:firstLine="0"/>
        <w:jc w:val="both"/>
      </w:pPr>
      <w:r>
        <w:rPr>
          <w:rFonts w:ascii="Book Antiqua" w:cs="Book Antiqua" w:hAnsi="Book Antiqua" w:eastAsia="Book Antiqua"/>
          <w:shd w:val="clear" w:color="auto" w:fill="ffffff"/>
          <w:vertAlign w:val="superscript"/>
          <w:rtl w:val="0"/>
        </w:rPr>
        <w:footnoteRef/>
      </w:r>
      <w:r>
        <w:rPr>
          <w:rFonts w:ascii="Book Antiqua"/>
          <w:sz w:val="20"/>
          <w:szCs w:val="20"/>
          <w:vertAlign w:val="superscript"/>
          <w:rtl w:val="0"/>
          <w:lang w:val="it-IT"/>
        </w:rPr>
        <w:t xml:space="preserve"> </w:t>
      </w:r>
      <w:r>
        <w:rPr>
          <w:rFonts w:ascii="Book Antiqua"/>
          <w:sz w:val="20"/>
          <w:szCs w:val="20"/>
          <w:rtl w:val="0"/>
          <w:lang w:val="it-IT"/>
        </w:rPr>
        <w:t xml:space="preserve">E. Giovi srl, con sede in Roma, </w:t>
      </w:r>
      <w:r>
        <w:rPr>
          <w:rFonts w:ascii="Book Antiqua"/>
          <w:color w:val="231f20"/>
          <w:sz w:val="20"/>
          <w:szCs w:val="20"/>
          <w:u w:color="231f20"/>
          <w:rtl w:val="0"/>
          <w:lang w:val="it-IT"/>
        </w:rPr>
        <w:t xml:space="preserve">via Portuense n. 881 (c.f. </w:t>
      </w:r>
      <w:r>
        <w:rPr>
          <w:rFonts w:ascii="Book Antiqua"/>
          <w:sz w:val="20"/>
          <w:szCs w:val="20"/>
          <w:rtl w:val="0"/>
          <w:lang w:val="it-IT"/>
        </w:rPr>
        <w:t>04773710589), gerente l</w:t>
      </w:r>
      <w:r>
        <w:rPr>
          <w:rFonts w:hAnsi="Book Antiqua" w:hint="default"/>
          <w:sz w:val="20"/>
          <w:szCs w:val="20"/>
          <w:rtl w:val="0"/>
          <w:lang w:val="it-IT"/>
        </w:rPr>
        <w:t>’</w:t>
      </w:r>
      <w:r>
        <w:rPr>
          <w:rFonts w:ascii="Book Antiqua"/>
          <w:sz w:val="20"/>
          <w:szCs w:val="20"/>
          <w:rtl w:val="0"/>
          <w:lang w:val="it-IT"/>
        </w:rPr>
        <w:t>attivit</w:t>
      </w:r>
      <w:r>
        <w:rPr>
          <w:rFonts w:hAnsi="Book Antiqua" w:hint="default"/>
          <w:sz w:val="20"/>
          <w:szCs w:val="20"/>
          <w:rtl w:val="0"/>
          <w:lang w:val="it-IT"/>
        </w:rPr>
        <w:t xml:space="preserve">à </w:t>
      </w:r>
      <w:r>
        <w:rPr>
          <w:rFonts w:ascii="Book Antiqua"/>
          <w:sz w:val="20"/>
          <w:szCs w:val="20"/>
          <w:rtl w:val="0"/>
          <w:lang w:val="it-IT"/>
        </w:rPr>
        <w:t>di smaltimento rifiuti urbani solidi speciali ed assimilabili.</w:t>
      </w:r>
    </w:p>
  </w:footnote>
  <w:footnote w:id="50">
    <w:p>
      <w:pPr>
        <w:pStyle w:val="Normal"/>
        <w:ind w:left="567" w:right="567" w:firstLine="0"/>
        <w:jc w:val="both"/>
      </w:pPr>
      <w:r>
        <w:rPr>
          <w:rFonts w:ascii="Book Antiqua" w:cs="Book Antiqua" w:hAnsi="Book Antiqua" w:eastAsia="Book Antiqua"/>
          <w:shd w:val="clear" w:color="auto" w:fill="ffffff"/>
          <w:vertAlign w:val="superscript"/>
          <w:rtl w:val="0"/>
        </w:rPr>
        <w:footnoteRef/>
      </w:r>
      <w:r>
        <w:rPr>
          <w:rFonts w:ascii="Book Antiqua"/>
          <w:sz w:val="20"/>
          <w:szCs w:val="20"/>
          <w:vertAlign w:val="superscript"/>
          <w:rtl w:val="0"/>
          <w:lang w:val="it-IT"/>
        </w:rPr>
        <w:t xml:space="preserve"> </w:t>
      </w:r>
      <w:r>
        <w:rPr>
          <w:rFonts w:ascii="Book Antiqua"/>
          <w:sz w:val="20"/>
          <w:szCs w:val="20"/>
          <w:rtl w:val="0"/>
          <w:lang w:val="it-IT"/>
        </w:rPr>
        <w:t xml:space="preserve">Manlio Cerroni, nato a Pisoniano (RM) il 18 novembre 1926 (c.f. CRRMNL26S18G704S), </w:t>
      </w:r>
      <w:r>
        <w:rPr>
          <w:rFonts w:hAnsi="Book Antiqua" w:hint="default"/>
          <w:sz w:val="20"/>
          <w:szCs w:val="20"/>
          <w:rtl w:val="0"/>
          <w:lang w:val="it-IT"/>
        </w:rPr>
        <w:t xml:space="preserve">è </w:t>
      </w:r>
      <w:r>
        <w:rPr>
          <w:rFonts w:ascii="Book Antiqua"/>
          <w:sz w:val="20"/>
          <w:szCs w:val="20"/>
          <w:rtl w:val="0"/>
          <w:lang w:val="it-IT"/>
        </w:rPr>
        <w:t>stato azionista di maggioranza (50% del capitale sociale) della E. Giovi srl fino al 15 luglio 2014, data in cui ha ceduto le quote di sua propriet</w:t>
      </w:r>
      <w:r>
        <w:rPr>
          <w:rFonts w:hAnsi="Book Antiqua" w:hint="default"/>
          <w:sz w:val="20"/>
          <w:szCs w:val="20"/>
          <w:rtl w:val="0"/>
          <w:lang w:val="it-IT"/>
        </w:rPr>
        <w:t xml:space="preserve">à </w:t>
      </w:r>
      <w:r>
        <w:rPr>
          <w:rFonts w:ascii="Book Antiqua"/>
          <w:sz w:val="20"/>
          <w:szCs w:val="20"/>
          <w:rtl w:val="0"/>
          <w:lang w:val="it-IT"/>
        </w:rPr>
        <w:t>alle figlie Donatella Cerroni , nata a Roma il 18 novembre 1959 (c.f. CRRDTL59S58H501G) e Monica Cerroni , nata a Roma il 2 marzo 1964 (c.f. CRRMNC64C42H501N).</w:t>
      </w:r>
    </w:p>
  </w:footnote>
  <w:footnote w:id="51">
    <w:p>
      <w:pPr>
        <w:pStyle w:val="Normal"/>
        <w:ind w:left="567" w:right="567" w:firstLine="0"/>
        <w:jc w:val="both"/>
      </w:pPr>
      <w:r>
        <w:rPr>
          <w:shd w:val="clear" w:color="auto" w:fill="ffffff"/>
          <w:vertAlign w:val="superscript"/>
          <w:rtl w:val="0"/>
        </w:rPr>
        <w:footnoteRef/>
      </w:r>
      <w:r>
        <w:rPr>
          <w:rFonts w:ascii="Book Antiqua"/>
          <w:sz w:val="20"/>
          <w:szCs w:val="20"/>
          <w:vertAlign w:val="superscript"/>
          <w:rtl w:val="0"/>
          <w:lang w:val="it-IT"/>
        </w:rPr>
        <w:t xml:space="preserve"> </w:t>
      </w:r>
      <w:r>
        <w:rPr>
          <w:rFonts w:ascii="Book Antiqua"/>
          <w:sz w:val="20"/>
          <w:szCs w:val="20"/>
          <w:rtl w:val="0"/>
          <w:lang w:val="it-IT"/>
        </w:rPr>
        <w:t>Sentenza n. 8069/2014 del 23 luglio 2014.</w:t>
      </w:r>
    </w:p>
  </w:footnote>
  <w:footnote w:id="52">
    <w:p>
      <w:pPr>
        <w:pStyle w:val="Normal"/>
        <w:ind w:left="567" w:right="567" w:firstLine="0"/>
        <w:jc w:val="both"/>
      </w:pPr>
      <w:r>
        <w:rPr>
          <w:shd w:val="clear" w:color="auto" w:fill="ffffff"/>
          <w:vertAlign w:val="superscript"/>
          <w:rtl w:val="0"/>
        </w:rPr>
        <w:footnoteRef/>
      </w:r>
      <w:r>
        <w:rPr>
          <w:rFonts w:ascii="Book Antiqua"/>
          <w:sz w:val="20"/>
          <w:szCs w:val="20"/>
          <w:vertAlign w:val="superscript"/>
          <w:rtl w:val="0"/>
          <w:lang w:val="it-IT"/>
        </w:rPr>
        <w:t xml:space="preserve"> </w:t>
      </w:r>
      <w:r>
        <w:rPr>
          <w:rFonts w:ascii="Book Antiqua"/>
          <w:sz w:val="20"/>
          <w:szCs w:val="20"/>
          <w:rtl w:val="0"/>
          <w:lang w:val="it-IT"/>
        </w:rPr>
        <w:t>Sentenza n. 1315/2017 del 22 marzo 2017.</w:t>
      </w:r>
    </w:p>
  </w:footnote>
  <w:footnote w:id="53">
    <w:p>
      <w:pPr>
        <w:pStyle w:val="Normal"/>
        <w:ind w:left="567" w:right="567" w:firstLine="0"/>
        <w:jc w:val="both"/>
      </w:pPr>
      <w:r>
        <w:rPr>
          <w:shd w:val="clear" w:color="auto" w:fill="ffffff"/>
          <w:vertAlign w:val="superscript"/>
          <w:rtl w:val="0"/>
        </w:rPr>
        <w:footnoteRef/>
      </w:r>
      <w:r>
        <w:rPr>
          <w:rFonts w:ascii="Book Antiqua"/>
          <w:sz w:val="20"/>
          <w:szCs w:val="20"/>
          <w:vertAlign w:val="superscript"/>
          <w:rtl w:val="0"/>
          <w:lang w:val="it-IT"/>
        </w:rPr>
        <w:t xml:space="preserve"> </w:t>
      </w:r>
      <w:r>
        <w:rPr>
          <w:rFonts w:ascii="Book Antiqua"/>
          <w:sz w:val="20"/>
          <w:szCs w:val="20"/>
          <w:rtl w:val="0"/>
          <w:lang w:val="it-IT"/>
        </w:rPr>
        <w:t xml:space="preserve">La vicenda </w:t>
      </w:r>
      <w:r>
        <w:rPr>
          <w:rFonts w:hAnsi="Book Antiqua" w:hint="default"/>
          <w:sz w:val="20"/>
          <w:szCs w:val="20"/>
          <w:rtl w:val="0"/>
          <w:lang w:val="it-IT"/>
        </w:rPr>
        <w:t xml:space="preserve">è </w:t>
      </w:r>
      <w:r>
        <w:rPr>
          <w:rFonts w:ascii="Book Antiqua"/>
          <w:sz w:val="20"/>
          <w:szCs w:val="20"/>
          <w:rtl w:val="0"/>
          <w:lang w:val="it-IT"/>
        </w:rPr>
        <w:t>gi</w:t>
      </w:r>
      <w:r>
        <w:rPr>
          <w:rFonts w:hAnsi="Book Antiqua" w:hint="default"/>
          <w:sz w:val="20"/>
          <w:szCs w:val="20"/>
          <w:rtl w:val="0"/>
          <w:lang w:val="it-IT"/>
        </w:rPr>
        <w:t xml:space="preserve">à </w:t>
      </w:r>
      <w:r>
        <w:rPr>
          <w:rFonts w:ascii="Book Antiqua"/>
          <w:sz w:val="20"/>
          <w:szCs w:val="20"/>
          <w:rtl w:val="0"/>
          <w:lang w:val="it-IT"/>
        </w:rPr>
        <w:t xml:space="preserve">stata descritta nel </w:t>
      </w:r>
      <w:r>
        <w:rPr>
          <w:rFonts w:hAnsi="Book Antiqua" w:hint="default"/>
          <w:sz w:val="20"/>
          <w:szCs w:val="20"/>
          <w:rtl w:val="0"/>
          <w:lang w:val="it-IT"/>
        </w:rPr>
        <w:t xml:space="preserve">§ </w:t>
      </w:r>
      <w:r>
        <w:rPr>
          <w:rFonts w:ascii="Book Antiqua"/>
          <w:sz w:val="20"/>
          <w:szCs w:val="20"/>
          <w:rtl w:val="0"/>
          <w:lang w:val="it-IT"/>
        </w:rPr>
        <w:t>2.2.2.4; si veda altres</w:t>
      </w:r>
      <w:r>
        <w:rPr>
          <w:rFonts w:hAnsi="Book Antiqua" w:hint="default"/>
          <w:sz w:val="20"/>
          <w:szCs w:val="20"/>
          <w:rtl w:val="0"/>
          <w:lang w:val="it-IT"/>
        </w:rPr>
        <w:t xml:space="preserve">ì </w:t>
      </w:r>
      <w:r>
        <w:rPr>
          <w:rFonts w:ascii="Book Antiqua"/>
          <w:sz w:val="20"/>
          <w:szCs w:val="20"/>
          <w:rtl w:val="0"/>
          <w:lang w:val="it-IT"/>
        </w:rPr>
        <w:t xml:space="preserve">il </w:t>
      </w:r>
      <w:r>
        <w:rPr>
          <w:rFonts w:hAnsi="Book Antiqua" w:hint="default"/>
          <w:sz w:val="20"/>
          <w:szCs w:val="20"/>
          <w:rtl w:val="0"/>
          <w:lang w:val="it-IT"/>
        </w:rPr>
        <w:t xml:space="preserve">§ </w:t>
      </w:r>
      <w:r>
        <w:rPr>
          <w:rFonts w:ascii="Book Antiqua"/>
          <w:sz w:val="20"/>
          <w:szCs w:val="20"/>
          <w:rtl w:val="0"/>
          <w:lang w:val="it-IT"/>
        </w:rPr>
        <w:t>3.3.</w:t>
      </w:r>
    </w:p>
  </w:footnote>
  <w:footnote w:id="54">
    <w:p>
      <w:pPr>
        <w:pStyle w:val="Normal"/>
      </w:pPr>
      <w:r>
        <w:rPr>
          <w:shd w:val="clear" w:color="auto" w:fill="ffffff"/>
          <w:vertAlign w:val="superscript"/>
          <w:rtl w:val="0"/>
        </w:rPr>
        <w:footnoteRef/>
      </w:r>
      <w:r>
        <w:rPr>
          <w:rFonts w:ascii="Book Antiqua"/>
          <w:sz w:val="20"/>
          <w:szCs w:val="20"/>
          <w:vertAlign w:val="superscript"/>
          <w:rtl w:val="0"/>
          <w:lang w:val="it-IT"/>
        </w:rPr>
        <w:t xml:space="preserve"> </w:t>
      </w:r>
      <w:r>
        <w:rPr>
          <w:rFonts w:ascii="Book Antiqua"/>
          <w:sz w:val="20"/>
          <w:szCs w:val="20"/>
          <w:rtl w:val="0"/>
          <w:lang w:val="it-IT"/>
        </w:rPr>
        <w:t>Doc. n. 539/1 e Doc. n. 2161/2.</w:t>
      </w:r>
    </w:p>
  </w:footnote>
  <w:footnote w:id="55">
    <w:p>
      <w:pPr>
        <w:pStyle w:val="footnote text"/>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w:t>
      </w:r>
      <w:hyperlink r:id="rId12" w:history="1">
        <w:r>
          <w:rPr>
            <w:rStyle w:val="Hyperlink.2"/>
            <w:rFonts w:ascii="Book Antiqua"/>
            <w:sz w:val="20"/>
            <w:szCs w:val="20"/>
            <w:rtl w:val="0"/>
            <w:lang w:val="it-IT"/>
          </w:rPr>
          <w:t>www.catasto-rifiuti.isprambiente.it</w:t>
        </w:r>
      </w:hyperlink>
      <w:r>
        <w:rPr>
          <w:rFonts w:ascii="Book Antiqua"/>
          <w:sz w:val="20"/>
          <w:szCs w:val="20"/>
          <w:rtl w:val="0"/>
          <w:lang w:val="it-IT"/>
        </w:rPr>
        <w:t xml:space="preserve"> </w:t>
      </w:r>
    </w:p>
  </w:footnote>
  <w:footnote w:id="56">
    <w:p>
      <w:pPr>
        <w:pStyle w:val="Normal"/>
        <w:ind w:left="567" w:right="567" w:firstLine="0"/>
        <w:jc w:val="both"/>
      </w:pPr>
      <w:r>
        <w:rPr>
          <w:rFonts w:ascii="Book Antiqua" w:cs="Book Antiqua" w:hAnsi="Book Antiqua" w:eastAsia="Book Antiqua"/>
          <w:vertAlign w:val="superscript"/>
          <w:rtl w:val="0"/>
        </w:rPr>
        <w:footnoteRef/>
      </w:r>
      <w:r>
        <w:rPr>
          <w:rFonts w:ascii="Book Antiqua"/>
          <w:sz w:val="20"/>
          <w:szCs w:val="20"/>
          <w:vertAlign w:val="superscript"/>
          <w:rtl w:val="0"/>
          <w:lang w:val="it-IT"/>
        </w:rPr>
        <w:t xml:space="preserve"> </w:t>
      </w:r>
      <w:r>
        <w:rPr>
          <w:rFonts w:ascii="Book Antiqua"/>
          <w:sz w:val="20"/>
          <w:szCs w:val="20"/>
          <w:rtl w:val="0"/>
          <w:lang w:val="it-IT"/>
        </w:rPr>
        <w:t>Deliberazione n. 47 del 30 marzo 2017</w:t>
      </w:r>
    </w:p>
  </w:footnote>
  <w:footnote w:id="57">
    <w:p>
      <w:pPr>
        <w:pStyle w:val="footnote text"/>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Doc. n. 1429/9</w:t>
      </w:r>
    </w:p>
  </w:footnote>
  <w:footnote w:id="58">
    <w:p>
      <w:pPr>
        <w:pStyle w:val="footnote text"/>
        <w:ind w:left="567" w:right="567" w:firstLine="0"/>
        <w:jc w:val="both"/>
      </w:pPr>
      <w:r>
        <w:rPr>
          <w:rFonts w:ascii="Book Antiqua" w:cs="Book Antiqua" w:hAnsi="Book Antiqua" w:eastAsia="Book Antiqua"/>
          <w:sz w:val="24"/>
          <w:szCs w:val="24"/>
          <w:vertAlign w:val="superscript"/>
          <w:rtl w:val="0"/>
        </w:rPr>
        <w:footnoteRef/>
      </w:r>
      <w:r>
        <w:rPr>
          <w:rFonts w:ascii="Book Antiqua"/>
          <w:sz w:val="20"/>
          <w:szCs w:val="20"/>
          <w:rtl w:val="0"/>
          <w:lang w:val="it-IT"/>
        </w:rPr>
        <w:t xml:space="preserve"> I due provvedimenti citati sono stati acquisiti in Doc. n. 1429/9: v. anche nota seguente</w:t>
      </w:r>
    </w:p>
  </w:footnote>
  <w:footnote w:id="59">
    <w:p>
      <w:pPr>
        <w:pStyle w:val="footnote text"/>
        <w:ind w:left="567" w:right="567" w:firstLine="0"/>
        <w:jc w:val="both"/>
      </w:pPr>
      <w:r>
        <w:rPr>
          <w:rFonts w:ascii="Book Antiqua" w:cs="Book Antiqua" w:hAnsi="Book Antiqua" w:eastAsia="Book Antiqua"/>
          <w:sz w:val="24"/>
          <w:szCs w:val="24"/>
          <w:vertAlign w:val="superscript"/>
          <w:rtl w:val="0"/>
        </w:rPr>
        <w:footnoteRef/>
      </w:r>
      <w:r>
        <w:rPr>
          <w:rFonts w:ascii="Book Antiqua"/>
          <w:sz w:val="20"/>
          <w:szCs w:val="20"/>
          <w:rtl w:val="0"/>
          <w:lang w:val="it-IT"/>
        </w:rPr>
        <w:t xml:space="preserve"> Doc. n. 1429/9; il documento, acquisito il 2 agosto 2016, </w:t>
      </w:r>
      <w:r>
        <w:rPr>
          <w:rFonts w:hAnsi="Book Antiqua" w:hint="default"/>
          <w:sz w:val="20"/>
          <w:szCs w:val="20"/>
          <w:rtl w:val="0"/>
          <w:lang w:val="it-IT"/>
        </w:rPr>
        <w:t xml:space="preserve">è </w:t>
      </w:r>
      <w:r>
        <w:rPr>
          <w:rFonts w:ascii="Book Antiqua"/>
          <w:sz w:val="20"/>
          <w:szCs w:val="20"/>
          <w:rtl w:val="0"/>
          <w:lang w:val="it-IT"/>
        </w:rPr>
        <w:t xml:space="preserve">classificato come </w:t>
      </w:r>
      <w:r>
        <w:rPr>
          <w:rFonts w:hAnsi="Book Antiqua" w:hint="default"/>
          <w:sz w:val="20"/>
          <w:szCs w:val="20"/>
          <w:rtl w:val="0"/>
          <w:lang w:val="it-IT"/>
        </w:rPr>
        <w:t>“</w:t>
      </w:r>
      <w:r>
        <w:rPr>
          <w:rFonts w:ascii="Book Antiqua"/>
          <w:sz w:val="20"/>
          <w:szCs w:val="20"/>
          <w:rtl w:val="0"/>
          <w:lang w:val="it-IT"/>
        </w:rPr>
        <w:t>Documentazione concernente il trito vagliatore Co.La.Ri.</w:t>
      </w:r>
      <w:r>
        <w:rPr>
          <w:rFonts w:hAnsi="Book Antiqua" w:hint="default"/>
          <w:sz w:val="20"/>
          <w:szCs w:val="20"/>
          <w:rtl w:val="0"/>
          <w:lang w:val="it-IT"/>
        </w:rPr>
        <w:t xml:space="preserve">” </w:t>
      </w:r>
      <w:r>
        <w:rPr>
          <w:rFonts w:ascii="Book Antiqua"/>
          <w:sz w:val="20"/>
          <w:szCs w:val="20"/>
          <w:rtl w:val="0"/>
          <w:lang w:val="it-IT"/>
        </w:rPr>
        <w:t>e comprende gli atti successivamente citati nel presente paragrafo: ciascuno dei quali verr</w:t>
      </w:r>
      <w:r>
        <w:rPr>
          <w:rFonts w:hAnsi="Book Antiqua" w:hint="default"/>
          <w:sz w:val="20"/>
          <w:szCs w:val="20"/>
          <w:rtl w:val="0"/>
          <w:lang w:val="it-IT"/>
        </w:rPr>
        <w:t xml:space="preserve">à </w:t>
      </w:r>
      <w:r>
        <w:rPr>
          <w:rFonts w:ascii="Book Antiqua"/>
          <w:sz w:val="20"/>
          <w:szCs w:val="20"/>
          <w:rtl w:val="0"/>
          <w:lang w:val="it-IT"/>
        </w:rPr>
        <w:t>richiamato nel testo con riferimento alla sua natura e contenuto, essendo unico il numero di documento.</w:t>
      </w:r>
    </w:p>
  </w:footnote>
  <w:footnote w:id="60">
    <w:p>
      <w:pPr>
        <w:pStyle w:val="footnote text"/>
        <w:ind w:left="567" w:right="567" w:firstLine="0"/>
        <w:jc w:val="both"/>
      </w:pPr>
      <w:r>
        <w:rPr>
          <w:rFonts w:ascii="Book Antiqua" w:cs="Book Antiqua" w:hAnsi="Book Antiqua" w:eastAsia="Book Antiqua"/>
          <w:sz w:val="24"/>
          <w:szCs w:val="24"/>
          <w:shd w:val="clear" w:color="auto" w:fill="ffffff"/>
          <w:vertAlign w:val="superscript"/>
          <w:rtl w:val="0"/>
        </w:rPr>
        <w:footnoteRef/>
      </w:r>
      <w:r>
        <w:rPr>
          <w:rFonts w:ascii="Book Antiqua"/>
          <w:sz w:val="20"/>
          <w:szCs w:val="20"/>
          <w:rtl w:val="0"/>
          <w:lang w:val="it-IT"/>
        </w:rPr>
        <w:t xml:space="preserve"> Come si </w:t>
      </w:r>
      <w:r>
        <w:rPr>
          <w:rFonts w:hAnsi="Book Antiqua" w:hint="default"/>
          <w:sz w:val="20"/>
          <w:szCs w:val="20"/>
          <w:rtl w:val="0"/>
          <w:lang w:val="it-IT"/>
        </w:rPr>
        <w:t xml:space="preserve">è </w:t>
      </w:r>
      <w:r>
        <w:rPr>
          <w:rFonts w:ascii="Book Antiqua"/>
          <w:sz w:val="20"/>
          <w:szCs w:val="20"/>
          <w:rtl w:val="0"/>
          <w:lang w:val="it-IT"/>
        </w:rPr>
        <w:t>visto, tuttavia  il 15 luglio 2014, la Sezione prima-ter del TAR del Lazio annulla per "difetto di istruttoria e motivazione" le interdittive antimafia emesse nel gennaio e marzo precedenti dal prefetto di Roma; quel provvedimento aveva  costretto i sindaci di Roma e Albano a emanare delle ordinanze per consentire alle societ</w:t>
      </w:r>
      <w:r>
        <w:rPr>
          <w:rFonts w:hAnsi="Book Antiqua" w:hint="default"/>
          <w:sz w:val="20"/>
          <w:szCs w:val="20"/>
          <w:rtl w:val="0"/>
          <w:lang w:val="it-IT"/>
        </w:rPr>
        <w:t xml:space="preserve">à </w:t>
      </w:r>
      <w:r>
        <w:rPr>
          <w:rFonts w:ascii="Book Antiqua"/>
          <w:sz w:val="20"/>
          <w:szCs w:val="20"/>
          <w:rtl w:val="0"/>
          <w:lang w:val="it-IT"/>
        </w:rPr>
        <w:t>che svolgevano il servizio di raccolta rifiuti di continuare a conferire presso quegli impianti i cui proprietari erano interdetti a stipulare accordi.</w:t>
      </w:r>
    </w:p>
  </w:footnote>
  <w:footnote w:id="61">
    <w:p>
      <w:pPr>
        <w:pStyle w:val="footnote text"/>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Doc. n. 1429/9</w:t>
      </w:r>
    </w:p>
  </w:footnote>
  <w:footnote w:id="62">
    <w:p>
      <w:pPr>
        <w:pStyle w:val="footnote text"/>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Doc. n. 1429/9</w:t>
      </w:r>
    </w:p>
  </w:footnote>
  <w:footnote w:id="63">
    <w:p>
      <w:pPr>
        <w:pStyle w:val="footnote text"/>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Comunicazione dell</w:t>
      </w:r>
      <w:r>
        <w:rPr>
          <w:rFonts w:hAnsi="Book Antiqua" w:hint="default"/>
          <w:sz w:val="20"/>
          <w:szCs w:val="20"/>
          <w:rtl w:val="0"/>
          <w:lang w:val="it-IT"/>
        </w:rPr>
        <w:t>’</w:t>
      </w:r>
      <w:r>
        <w:rPr>
          <w:rFonts w:ascii="Book Antiqua"/>
          <w:sz w:val="20"/>
          <w:szCs w:val="20"/>
          <w:rtl w:val="0"/>
          <w:lang w:val="it-IT"/>
        </w:rPr>
        <w:t>Autorit</w:t>
      </w:r>
      <w:r>
        <w:rPr>
          <w:rFonts w:hAnsi="Book Antiqua" w:hint="default"/>
          <w:sz w:val="20"/>
          <w:szCs w:val="20"/>
          <w:rtl w:val="0"/>
          <w:lang w:val="it-IT"/>
        </w:rPr>
        <w:t xml:space="preserve">à </w:t>
      </w:r>
      <w:r>
        <w:rPr>
          <w:rFonts w:ascii="Book Antiqua"/>
          <w:sz w:val="20"/>
          <w:szCs w:val="20"/>
          <w:rtl w:val="0"/>
          <w:lang w:val="it-IT"/>
        </w:rPr>
        <w:t>garante della concorrenza e del mercato, acquisita dalla Commissione (Doc. n. 1429/9, p. 253)</w:t>
      </w:r>
    </w:p>
  </w:footnote>
  <w:footnote w:id="64">
    <w:p>
      <w:pPr>
        <w:pStyle w:val="footnote text"/>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Di quest</w:t>
      </w:r>
      <w:r>
        <w:rPr>
          <w:rFonts w:hAnsi="Book Antiqua" w:hint="default"/>
          <w:sz w:val="20"/>
          <w:szCs w:val="20"/>
          <w:rtl w:val="0"/>
          <w:lang w:val="it-IT"/>
        </w:rPr>
        <w:t>’</w:t>
      </w:r>
      <w:r>
        <w:rPr>
          <w:rFonts w:ascii="Book Antiqua"/>
          <w:sz w:val="20"/>
          <w:szCs w:val="20"/>
          <w:rtl w:val="0"/>
          <w:lang w:val="it-IT"/>
        </w:rPr>
        <w:t>ultimo sviluppo si parler</w:t>
      </w:r>
      <w:r>
        <w:rPr>
          <w:rFonts w:hAnsi="Book Antiqua" w:hint="default"/>
          <w:sz w:val="20"/>
          <w:szCs w:val="20"/>
          <w:rtl w:val="0"/>
          <w:lang w:val="it-IT"/>
        </w:rPr>
        <w:t xml:space="preserve">à </w:t>
      </w:r>
      <w:r>
        <w:rPr>
          <w:rFonts w:ascii="Book Antiqua"/>
          <w:sz w:val="20"/>
          <w:szCs w:val="20"/>
          <w:rtl w:val="0"/>
          <w:lang w:val="it-IT"/>
        </w:rPr>
        <w:t>pi</w:t>
      </w:r>
      <w:r>
        <w:rPr>
          <w:rFonts w:hAnsi="Book Antiqua" w:hint="default"/>
          <w:sz w:val="20"/>
          <w:szCs w:val="20"/>
          <w:rtl w:val="0"/>
          <w:lang w:val="it-IT"/>
        </w:rPr>
        <w:t xml:space="preserve">ù </w:t>
      </w:r>
      <w:r>
        <w:rPr>
          <w:rFonts w:ascii="Book Antiqua"/>
          <w:sz w:val="20"/>
          <w:szCs w:val="20"/>
          <w:rtl w:val="0"/>
          <w:lang w:val="it-IT"/>
        </w:rPr>
        <w:t xml:space="preserve">ampiamente nel </w:t>
      </w:r>
      <w:r>
        <w:rPr>
          <w:rFonts w:hAnsi="Book Antiqua" w:hint="default"/>
          <w:sz w:val="20"/>
          <w:szCs w:val="20"/>
          <w:rtl w:val="0"/>
          <w:lang w:val="it-IT"/>
        </w:rPr>
        <w:t xml:space="preserve">§ </w:t>
      </w:r>
      <w:r>
        <w:rPr>
          <w:rFonts w:ascii="Book Antiqua"/>
          <w:sz w:val="20"/>
          <w:szCs w:val="20"/>
          <w:rtl w:val="0"/>
          <w:lang w:val="it-IT"/>
        </w:rPr>
        <w:t>2.3.5.3</w:t>
      </w:r>
    </w:p>
  </w:footnote>
  <w:footnote w:id="65">
    <w:p>
      <w:pPr>
        <w:pStyle w:val="footnote text"/>
        <w:ind w:left="567" w:right="567" w:firstLine="0"/>
        <w:jc w:val="both"/>
        <w:rPr>
          <w:rFonts w:ascii="Book Antiqua" w:cs="Book Antiqua" w:hAnsi="Book Antiqua" w:eastAsia="Book Antiqua"/>
          <w:sz w:val="20"/>
          <w:szCs w:val="20"/>
        </w:rPr>
      </w:pPr>
      <w:r>
        <w:rPr>
          <w:rFonts w:ascii="Book Antiqua" w:cs="Book Antiqua" w:hAnsi="Book Antiqua" w:eastAsia="Book Antiqua"/>
          <w:vertAlign w:val="superscript"/>
          <w:rtl w:val="0"/>
        </w:rPr>
        <w:footnoteRef/>
      </w:r>
      <w:r>
        <w:rPr>
          <w:rFonts w:ascii="Book Antiqua"/>
          <w:sz w:val="20"/>
          <w:szCs w:val="20"/>
          <w:rtl w:val="0"/>
          <w:lang w:val="it-IT"/>
        </w:rPr>
        <w:t xml:space="preserve"> L</w:t>
      </w:r>
      <w:r>
        <w:rPr>
          <w:rFonts w:hAnsi="Book Antiqua" w:hint="default"/>
          <w:sz w:val="20"/>
          <w:szCs w:val="20"/>
          <w:rtl w:val="0"/>
          <w:lang w:val="it-IT"/>
        </w:rPr>
        <w:t>’</w:t>
      </w:r>
      <w:r>
        <w:rPr>
          <w:rFonts w:ascii="Book Antiqua"/>
          <w:sz w:val="20"/>
          <w:szCs w:val="20"/>
          <w:rtl w:val="0"/>
          <w:lang w:val="it-IT"/>
        </w:rPr>
        <w:t>allora assessora Paola Muraro nella sua audizione ha inframmezzato alla descrizione dei fatti direttamente rilevanti per l</w:t>
      </w:r>
      <w:r>
        <w:rPr>
          <w:rFonts w:hAnsi="Book Antiqua" w:hint="default"/>
          <w:sz w:val="20"/>
          <w:szCs w:val="20"/>
          <w:rtl w:val="0"/>
          <w:lang w:val="it-IT"/>
        </w:rPr>
        <w:t>’</w:t>
      </w:r>
      <w:r>
        <w:rPr>
          <w:rFonts w:ascii="Book Antiqua"/>
          <w:sz w:val="20"/>
          <w:szCs w:val="20"/>
          <w:rtl w:val="0"/>
          <w:lang w:val="it-IT"/>
        </w:rPr>
        <w:t>inchiesta della Commissione e a valutazioni pertinenti, una serie di considerazioni personali, talora connotate da certa emotivit</w:t>
      </w:r>
      <w:r>
        <w:rPr>
          <w:rFonts w:hAnsi="Book Antiqua" w:hint="default"/>
          <w:sz w:val="20"/>
          <w:szCs w:val="20"/>
          <w:rtl w:val="0"/>
          <w:lang w:val="it-IT"/>
        </w:rPr>
        <w:t>à</w:t>
      </w:r>
      <w:r>
        <w:rPr>
          <w:rFonts w:ascii="Book Antiqua"/>
          <w:sz w:val="20"/>
          <w:szCs w:val="20"/>
          <w:rtl w:val="0"/>
          <w:lang w:val="it-IT"/>
        </w:rPr>
        <w:t>, in replica a precedenti affermazioni di Daniele Fortini, all</w:t>
      </w:r>
      <w:r>
        <w:rPr>
          <w:rFonts w:hAnsi="Book Antiqua" w:hint="default"/>
          <w:sz w:val="20"/>
          <w:szCs w:val="20"/>
          <w:rtl w:val="0"/>
          <w:lang w:val="it-IT"/>
        </w:rPr>
        <w:t>’</w:t>
      </w:r>
      <w:r>
        <w:rPr>
          <w:rFonts w:ascii="Book Antiqua"/>
          <w:sz w:val="20"/>
          <w:szCs w:val="20"/>
          <w:rtl w:val="0"/>
          <w:lang w:val="it-IT"/>
        </w:rPr>
        <w:t>epoca dell</w:t>
      </w:r>
      <w:r>
        <w:rPr>
          <w:rFonts w:hAnsi="Book Antiqua" w:hint="default"/>
          <w:sz w:val="20"/>
          <w:szCs w:val="20"/>
          <w:rtl w:val="0"/>
          <w:lang w:val="it-IT"/>
        </w:rPr>
        <w:t>’</w:t>
      </w:r>
      <w:r>
        <w:rPr>
          <w:rFonts w:ascii="Book Antiqua"/>
          <w:sz w:val="20"/>
          <w:szCs w:val="20"/>
          <w:rtl w:val="0"/>
          <w:lang w:val="it-IT"/>
        </w:rPr>
        <w:t>audizione dell</w:t>
      </w:r>
      <w:r>
        <w:rPr>
          <w:rFonts w:hAnsi="Book Antiqua" w:hint="default"/>
          <w:sz w:val="20"/>
          <w:szCs w:val="20"/>
          <w:rtl w:val="0"/>
          <w:lang w:val="it-IT"/>
        </w:rPr>
        <w:t>’</w:t>
      </w:r>
      <w:r>
        <w:rPr>
          <w:rFonts w:ascii="Book Antiqua"/>
          <w:sz w:val="20"/>
          <w:szCs w:val="20"/>
          <w:rtl w:val="0"/>
          <w:lang w:val="it-IT"/>
        </w:rPr>
        <w:t>assessore gi</w:t>
      </w:r>
      <w:r>
        <w:rPr>
          <w:rFonts w:hAnsi="Book Antiqua" w:hint="default"/>
          <w:sz w:val="20"/>
          <w:szCs w:val="20"/>
          <w:rtl w:val="0"/>
          <w:lang w:val="it-IT"/>
        </w:rPr>
        <w:t xml:space="preserve">à </w:t>
      </w:r>
      <w:r>
        <w:rPr>
          <w:rFonts w:ascii="Book Antiqua"/>
          <w:sz w:val="20"/>
          <w:szCs w:val="20"/>
          <w:rtl w:val="0"/>
          <w:lang w:val="it-IT"/>
        </w:rPr>
        <w:t>dimessosi da presidente dell</w:t>
      </w:r>
      <w:r>
        <w:rPr>
          <w:rFonts w:hAnsi="Book Antiqua" w:hint="default"/>
          <w:sz w:val="20"/>
          <w:szCs w:val="20"/>
          <w:rtl w:val="0"/>
          <w:lang w:val="it-IT"/>
        </w:rPr>
        <w:t>’</w:t>
      </w:r>
      <w:r>
        <w:rPr>
          <w:rFonts w:ascii="Book Antiqua"/>
          <w:sz w:val="20"/>
          <w:szCs w:val="20"/>
          <w:rtl w:val="0"/>
          <w:lang w:val="it-IT"/>
        </w:rPr>
        <w:t>AMA; vengono, per completezza, qui di seguito riportate, nella loro testuale discorsivit</w:t>
      </w:r>
      <w:r>
        <w:rPr>
          <w:rFonts w:hAnsi="Book Antiqua" w:hint="default"/>
          <w:sz w:val="20"/>
          <w:szCs w:val="20"/>
          <w:rtl w:val="0"/>
          <w:lang w:val="it-IT"/>
        </w:rPr>
        <w:t>à</w:t>
      </w:r>
      <w:r>
        <w:rPr>
          <w:rFonts w:ascii="Book Antiqua"/>
          <w:sz w:val="20"/>
          <w:szCs w:val="20"/>
          <w:rtl w:val="0"/>
          <w:lang w:val="it-IT"/>
        </w:rPr>
        <w:t>:</w:t>
      </w:r>
    </w:p>
    <w:p>
      <w:pPr>
        <w:pStyle w:val="footnote text"/>
        <w:ind w:left="567" w:right="567" w:firstLine="0"/>
        <w:jc w:val="both"/>
      </w:pPr>
      <w:r>
        <w:rPr>
          <w:rFonts w:hAnsi="Book Antiqua" w:hint="default"/>
          <w:sz w:val="20"/>
          <w:szCs w:val="20"/>
          <w:rtl w:val="0"/>
          <w:lang w:val="it-IT"/>
        </w:rPr>
        <w:t>“</w:t>
      </w:r>
      <w:r>
        <w:rPr>
          <w:rFonts w:ascii="Book Antiqua"/>
          <w:sz w:val="20"/>
          <w:szCs w:val="20"/>
          <w:rtl w:val="0"/>
          <w:lang w:val="it-IT"/>
        </w:rPr>
        <w:t>Tengo a precisare questo perch</w:t>
      </w:r>
      <w:r>
        <w:rPr>
          <w:rFonts w:hAnsi="Book Antiqua" w:hint="default"/>
          <w:sz w:val="20"/>
          <w:szCs w:val="20"/>
          <w:rtl w:val="0"/>
          <w:lang w:val="it-IT"/>
        </w:rPr>
        <w:t>é</w:t>
      </w:r>
      <w:r>
        <w:rPr>
          <w:rFonts w:ascii="Book Antiqua"/>
          <w:sz w:val="20"/>
          <w:szCs w:val="20"/>
          <w:rtl w:val="0"/>
          <w:lang w:val="it-IT"/>
        </w:rPr>
        <w:t>, in relazione alle accuse mosse da Fortini sul fatto che io abbia agevolato (ho letto sui giornali che ho fatto un patto con il Co.La.Ri), le cose sono due. L</w:t>
      </w:r>
      <w:r>
        <w:rPr>
          <w:rFonts w:hAnsi="Book Antiqua" w:hint="default"/>
          <w:sz w:val="20"/>
          <w:szCs w:val="20"/>
          <w:rtl w:val="0"/>
          <w:lang w:val="it-IT"/>
        </w:rPr>
        <w:t>’</w:t>
      </w:r>
      <w:r>
        <w:rPr>
          <w:rFonts w:ascii="Book Antiqua"/>
          <w:sz w:val="20"/>
          <w:szCs w:val="20"/>
          <w:rtl w:val="0"/>
          <w:lang w:val="it-IT"/>
        </w:rPr>
        <w:t>avvocato Cerroni sappiamo che ha un</w:t>
      </w:r>
      <w:r>
        <w:rPr>
          <w:rFonts w:hAnsi="Book Antiqua" w:hint="default"/>
          <w:sz w:val="20"/>
          <w:szCs w:val="20"/>
          <w:rtl w:val="0"/>
          <w:lang w:val="it-IT"/>
        </w:rPr>
        <w:t>’</w:t>
      </w:r>
      <w:r>
        <w:rPr>
          <w:rFonts w:ascii="Book Antiqua"/>
          <w:sz w:val="20"/>
          <w:szCs w:val="20"/>
          <w:rtl w:val="0"/>
          <w:lang w:val="it-IT"/>
        </w:rPr>
        <w:t>et</w:t>
      </w:r>
      <w:r>
        <w:rPr>
          <w:rFonts w:hAnsi="Book Antiqua" w:hint="default"/>
          <w:sz w:val="20"/>
          <w:szCs w:val="20"/>
          <w:rtl w:val="0"/>
          <w:lang w:val="it-IT"/>
        </w:rPr>
        <w:t>à</w:t>
      </w:r>
      <w:r>
        <w:rPr>
          <w:rFonts w:ascii="Book Antiqua"/>
          <w:sz w:val="20"/>
          <w:szCs w:val="20"/>
          <w:rtl w:val="0"/>
          <w:lang w:val="it-IT"/>
        </w:rPr>
        <w:t>; pu</w:t>
      </w:r>
      <w:r>
        <w:rPr>
          <w:rFonts w:hAnsi="Book Antiqua" w:hint="default"/>
          <w:sz w:val="20"/>
          <w:szCs w:val="20"/>
          <w:rtl w:val="0"/>
          <w:lang w:val="it-IT"/>
        </w:rPr>
        <w:t xml:space="preserve">ò </w:t>
      </w:r>
      <w:r>
        <w:rPr>
          <w:rFonts w:ascii="Book Antiqua"/>
          <w:sz w:val="20"/>
          <w:szCs w:val="20"/>
          <w:rtl w:val="0"/>
          <w:lang w:val="it-IT"/>
        </w:rPr>
        <w:t>avere avuto qualche problema di salute; se ha fatto un patto con me, poi alla fine io non gli ho... anzi, gli ho fatto perdere pi</w:t>
      </w:r>
      <w:r>
        <w:rPr>
          <w:rFonts w:hAnsi="Book Antiqua" w:hint="default"/>
          <w:sz w:val="20"/>
          <w:szCs w:val="20"/>
          <w:rtl w:val="0"/>
          <w:lang w:val="it-IT"/>
        </w:rPr>
        <w:t xml:space="preserve">ù </w:t>
      </w:r>
      <w:r>
        <w:rPr>
          <w:rFonts w:ascii="Book Antiqua"/>
          <w:sz w:val="20"/>
          <w:szCs w:val="20"/>
          <w:rtl w:val="0"/>
          <w:lang w:val="it-IT"/>
        </w:rPr>
        <w:t>di 900 milioni di euro. Non mi riferisco solo all</w:t>
      </w:r>
      <w:r>
        <w:rPr>
          <w:rFonts w:hAnsi="Book Antiqua" w:hint="default"/>
          <w:sz w:val="20"/>
          <w:szCs w:val="20"/>
          <w:rtl w:val="0"/>
          <w:lang w:val="it-IT"/>
        </w:rPr>
        <w:t>’</w:t>
      </w:r>
      <w:r>
        <w:rPr>
          <w:rFonts w:ascii="Book Antiqua"/>
          <w:sz w:val="20"/>
          <w:szCs w:val="20"/>
          <w:rtl w:val="0"/>
          <w:lang w:val="it-IT"/>
        </w:rPr>
        <w:t>arbitrato, che giaceva in AMA dal 2012: qui c</w:t>
      </w:r>
      <w:r>
        <w:rPr>
          <w:rFonts w:hAnsi="Book Antiqua" w:hint="default"/>
          <w:sz w:val="20"/>
          <w:szCs w:val="20"/>
          <w:rtl w:val="0"/>
          <w:lang w:val="it-IT"/>
        </w:rPr>
        <w:t xml:space="preserve">’è </w:t>
      </w:r>
      <w:r>
        <w:rPr>
          <w:rFonts w:ascii="Book Antiqua"/>
          <w:sz w:val="20"/>
          <w:szCs w:val="20"/>
          <w:rtl w:val="0"/>
          <w:lang w:val="it-IT"/>
        </w:rPr>
        <w:t>stato veramente un danno. C</w:t>
      </w:r>
      <w:r>
        <w:rPr>
          <w:rFonts w:hAnsi="Book Antiqua" w:hint="default"/>
          <w:sz w:val="20"/>
          <w:szCs w:val="20"/>
          <w:rtl w:val="0"/>
          <w:lang w:val="it-IT"/>
        </w:rPr>
        <w:t xml:space="preserve">’è </w:t>
      </w:r>
      <w:r>
        <w:rPr>
          <w:rFonts w:ascii="Book Antiqua"/>
          <w:sz w:val="20"/>
          <w:szCs w:val="20"/>
          <w:rtl w:val="0"/>
          <w:lang w:val="it-IT"/>
        </w:rPr>
        <w:t>stato un danno perch</w:t>
      </w:r>
      <w:r>
        <w:rPr>
          <w:rFonts w:hAnsi="Book Antiqua" w:hint="default"/>
          <w:sz w:val="20"/>
          <w:szCs w:val="20"/>
          <w:rtl w:val="0"/>
          <w:lang w:val="it-IT"/>
        </w:rPr>
        <w:t xml:space="preserve">é </w:t>
      </w:r>
      <w:r>
        <w:rPr>
          <w:rFonts w:ascii="Book Antiqua"/>
          <w:sz w:val="20"/>
          <w:szCs w:val="20"/>
          <w:rtl w:val="0"/>
          <w:lang w:val="it-IT"/>
        </w:rPr>
        <w:t>dal 2012 non se n</w:t>
      </w:r>
      <w:r>
        <w:rPr>
          <w:rFonts w:hAnsi="Book Antiqua" w:hint="default"/>
          <w:sz w:val="20"/>
          <w:szCs w:val="20"/>
          <w:rtl w:val="0"/>
          <w:lang w:val="it-IT"/>
        </w:rPr>
        <w:t>’</w:t>
      </w:r>
      <w:r>
        <w:rPr>
          <w:rFonts w:ascii="Book Antiqua"/>
          <w:sz w:val="20"/>
          <w:szCs w:val="20"/>
          <w:rtl w:val="0"/>
          <w:lang w:val="it-IT"/>
        </w:rPr>
        <w:t>era venuti a capo mai. Noi ne siamo venuti a capo tecnicamente, laddove in questi anni, non so, forse non c</w:t>
      </w:r>
      <w:r>
        <w:rPr>
          <w:rFonts w:hAnsi="Book Antiqua" w:hint="default"/>
          <w:sz w:val="20"/>
          <w:szCs w:val="20"/>
          <w:rtl w:val="0"/>
          <w:lang w:val="it-IT"/>
        </w:rPr>
        <w:t>’</w:t>
      </w:r>
      <w:r>
        <w:rPr>
          <w:rFonts w:ascii="Book Antiqua"/>
          <w:sz w:val="20"/>
          <w:szCs w:val="20"/>
          <w:rtl w:val="0"/>
          <w:lang w:val="it-IT"/>
        </w:rPr>
        <w:t>era la volont</w:t>
      </w:r>
      <w:r>
        <w:rPr>
          <w:rFonts w:hAnsi="Book Antiqua" w:hint="default"/>
          <w:sz w:val="20"/>
          <w:szCs w:val="20"/>
          <w:rtl w:val="0"/>
          <w:lang w:val="it-IT"/>
        </w:rPr>
        <w:t>à</w:t>
      </w:r>
      <w:r>
        <w:rPr>
          <w:rFonts w:ascii="Book Antiqua"/>
          <w:sz w:val="20"/>
          <w:szCs w:val="20"/>
          <w:rtl w:val="0"/>
          <w:lang w:val="it-IT"/>
        </w:rPr>
        <w:t>: non lo so. Comunque, la volont</w:t>
      </w:r>
      <w:r>
        <w:rPr>
          <w:rFonts w:hAnsi="Book Antiqua" w:hint="default"/>
          <w:sz w:val="20"/>
          <w:szCs w:val="20"/>
          <w:rtl w:val="0"/>
          <w:lang w:val="it-IT"/>
        </w:rPr>
        <w:t xml:space="preserve">à </w:t>
      </w:r>
      <w:r>
        <w:rPr>
          <w:rFonts w:ascii="Book Antiqua"/>
          <w:sz w:val="20"/>
          <w:szCs w:val="20"/>
          <w:rtl w:val="0"/>
          <w:lang w:val="it-IT"/>
        </w:rPr>
        <w:t xml:space="preserve">era che, una volta che mi ha incaricato come consulente di parte </w:t>
      </w:r>
      <w:r>
        <w:rPr>
          <w:rFonts w:hAnsi="Book Antiqua" w:hint="default"/>
          <w:sz w:val="20"/>
          <w:szCs w:val="20"/>
          <w:rtl w:val="0"/>
          <w:lang w:val="it-IT"/>
        </w:rPr>
        <w:t xml:space="preserve">– </w:t>
      </w:r>
      <w:r>
        <w:rPr>
          <w:rFonts w:ascii="Book Antiqua"/>
          <w:sz w:val="20"/>
          <w:szCs w:val="20"/>
          <w:rtl w:val="0"/>
          <w:lang w:val="it-IT"/>
        </w:rPr>
        <w:t xml:space="preserve">mi ricordo che in un mese e mezzo dovevamo assolutamente arrivare al dunque </w:t>
      </w:r>
      <w:r>
        <w:rPr>
          <w:rFonts w:hAnsi="Book Antiqua" w:hint="default"/>
          <w:sz w:val="20"/>
          <w:szCs w:val="20"/>
          <w:rtl w:val="0"/>
          <w:lang w:val="it-IT"/>
        </w:rPr>
        <w:t xml:space="preserve">– </w:t>
      </w:r>
      <w:r>
        <w:rPr>
          <w:rFonts w:ascii="Book Antiqua"/>
          <w:sz w:val="20"/>
          <w:szCs w:val="20"/>
          <w:rtl w:val="0"/>
          <w:lang w:val="it-IT"/>
        </w:rPr>
        <w:t>grazie a persone qui dentro, soprattutto al Movimento 5 Stelle, ma anche a persone che hanno fatto da tramite (guardo la senatrice Puppato, ma sono notizie che avete trovato anche nei giornali), sono venuta in possesso di documentazione molto importante, fondamentale per l</w:t>
      </w:r>
      <w:r>
        <w:rPr>
          <w:rFonts w:hAnsi="Book Antiqua" w:hint="default"/>
          <w:sz w:val="20"/>
          <w:szCs w:val="20"/>
          <w:rtl w:val="0"/>
          <w:lang w:val="it-IT"/>
        </w:rPr>
        <w:t>’</w:t>
      </w:r>
      <w:r>
        <w:rPr>
          <w:rFonts w:ascii="Book Antiqua"/>
          <w:sz w:val="20"/>
          <w:szCs w:val="20"/>
          <w:rtl w:val="0"/>
          <w:lang w:val="it-IT"/>
        </w:rPr>
        <w:t>esito dell</w:t>
      </w:r>
      <w:r>
        <w:rPr>
          <w:rFonts w:hAnsi="Book Antiqua" w:hint="default"/>
          <w:sz w:val="20"/>
          <w:szCs w:val="20"/>
          <w:rtl w:val="0"/>
          <w:lang w:val="it-IT"/>
        </w:rPr>
        <w:t>’</w:t>
      </w:r>
      <w:r>
        <w:rPr>
          <w:rFonts w:ascii="Book Antiqua"/>
          <w:sz w:val="20"/>
          <w:szCs w:val="20"/>
          <w:rtl w:val="0"/>
          <w:lang w:val="it-IT"/>
        </w:rPr>
        <w:t>arbitrato. Sono stata nominata anche consulente di parte in altre attivit</w:t>
      </w:r>
      <w:r>
        <w:rPr>
          <w:rFonts w:hAnsi="Book Antiqua" w:hint="default"/>
          <w:sz w:val="20"/>
          <w:szCs w:val="20"/>
          <w:rtl w:val="0"/>
          <w:lang w:val="it-IT"/>
        </w:rPr>
        <w:t>à</w:t>
      </w:r>
      <w:r>
        <w:rPr>
          <w:rFonts w:ascii="Book Antiqua"/>
          <w:sz w:val="20"/>
          <w:szCs w:val="20"/>
          <w:rtl w:val="0"/>
          <w:lang w:val="it-IT"/>
        </w:rPr>
        <w:t>, tipo il contenzioso sugli extra costi (perch</w:t>
      </w:r>
      <w:r>
        <w:rPr>
          <w:rFonts w:hAnsi="Book Antiqua" w:hint="default"/>
          <w:sz w:val="20"/>
          <w:szCs w:val="20"/>
          <w:rtl w:val="0"/>
          <w:lang w:val="it-IT"/>
        </w:rPr>
        <w:t xml:space="preserve">é </w:t>
      </w:r>
      <w:r>
        <w:rPr>
          <w:rFonts w:ascii="Book Antiqua"/>
          <w:sz w:val="20"/>
          <w:szCs w:val="20"/>
          <w:rtl w:val="0"/>
          <w:lang w:val="it-IT"/>
        </w:rPr>
        <w:t>l</w:t>
      </w:r>
      <w:r>
        <w:rPr>
          <w:rFonts w:hAnsi="Book Antiqua" w:hint="default"/>
          <w:sz w:val="20"/>
          <w:szCs w:val="20"/>
          <w:rtl w:val="0"/>
          <w:lang w:val="it-IT"/>
        </w:rPr>
        <w:t>’</w:t>
      </w:r>
      <w:r>
        <w:rPr>
          <w:rFonts w:ascii="Book Antiqua"/>
          <w:sz w:val="20"/>
          <w:szCs w:val="20"/>
          <w:rtl w:val="0"/>
          <w:lang w:val="it-IT"/>
        </w:rPr>
        <w:t>avvocato Cerroni aveva chiesto un extra costo per quanto riguardava il materiale che usciva dai TMB, in quanto, nel frattempo, si era chiusa Malagrotta, quindi la tariffa si era basata su una discarica a chilometri zero, praticamente). Lui, pertanto, aveva richiesto l</w:t>
      </w:r>
      <w:r>
        <w:rPr>
          <w:rFonts w:hAnsi="Book Antiqua" w:hint="default"/>
          <w:sz w:val="20"/>
          <w:szCs w:val="20"/>
          <w:rtl w:val="0"/>
          <w:lang w:val="it-IT"/>
        </w:rPr>
        <w:t>’</w:t>
      </w:r>
      <w:r>
        <w:rPr>
          <w:rFonts w:ascii="Book Antiqua"/>
          <w:sz w:val="20"/>
          <w:szCs w:val="20"/>
          <w:rtl w:val="0"/>
          <w:lang w:val="it-IT"/>
        </w:rPr>
        <w:t>extra costo e la regione aveva emesso anche una delibera, che noi abbiamo impugnato. Non so come sia andata la situazione, perch</w:t>
      </w:r>
      <w:r>
        <w:rPr>
          <w:rFonts w:hAnsi="Book Antiqua" w:hint="default"/>
          <w:sz w:val="20"/>
          <w:szCs w:val="20"/>
          <w:rtl w:val="0"/>
          <w:lang w:val="it-IT"/>
        </w:rPr>
        <w:t xml:space="preserve">é </w:t>
      </w:r>
      <w:r>
        <w:rPr>
          <w:rFonts w:ascii="Book Antiqua"/>
          <w:sz w:val="20"/>
          <w:szCs w:val="20"/>
          <w:rtl w:val="0"/>
          <w:lang w:val="it-IT"/>
        </w:rPr>
        <w:t>poi con Fortini, negli ultimi mesi, non avevo pi</w:t>
      </w:r>
      <w:r>
        <w:rPr>
          <w:rFonts w:hAnsi="Book Antiqua" w:hint="default"/>
          <w:sz w:val="20"/>
          <w:szCs w:val="20"/>
          <w:rtl w:val="0"/>
          <w:lang w:val="it-IT"/>
        </w:rPr>
        <w:t xml:space="preserve">ù </w:t>
      </w:r>
      <w:r>
        <w:rPr>
          <w:rFonts w:ascii="Book Antiqua"/>
          <w:sz w:val="20"/>
          <w:szCs w:val="20"/>
          <w:rtl w:val="0"/>
          <w:lang w:val="it-IT"/>
        </w:rPr>
        <w:t xml:space="preserve">un gran feeling. Altro rapporto in cui io sono stata chiamata, sempre contro Cerroni </w:t>
      </w:r>
      <w:r>
        <w:rPr>
          <w:rFonts w:hAnsi="Book Antiqua" w:hint="default"/>
          <w:sz w:val="20"/>
          <w:szCs w:val="20"/>
          <w:rtl w:val="0"/>
          <w:lang w:val="it-IT"/>
        </w:rPr>
        <w:t xml:space="preserve">– </w:t>
      </w:r>
      <w:r>
        <w:rPr>
          <w:rFonts w:ascii="Book Antiqua"/>
          <w:sz w:val="20"/>
          <w:szCs w:val="20"/>
          <w:rtl w:val="0"/>
          <w:lang w:val="it-IT"/>
        </w:rPr>
        <w:t>quindi o l</w:t>
      </w:r>
      <w:r>
        <w:rPr>
          <w:rFonts w:hAnsi="Book Antiqua" w:hint="default"/>
          <w:sz w:val="20"/>
          <w:szCs w:val="20"/>
          <w:rtl w:val="0"/>
          <w:lang w:val="it-IT"/>
        </w:rPr>
        <w:t>’</w:t>
      </w:r>
      <w:r>
        <w:rPr>
          <w:rFonts w:ascii="Book Antiqua"/>
          <w:sz w:val="20"/>
          <w:szCs w:val="20"/>
          <w:rtl w:val="0"/>
          <w:lang w:val="it-IT"/>
        </w:rPr>
        <w:t xml:space="preserve">avvocato ha qualche problema di salute o </w:t>
      </w:r>
      <w:r>
        <w:rPr>
          <w:rFonts w:hAnsi="Book Antiqua" w:hint="default"/>
          <w:sz w:val="20"/>
          <w:szCs w:val="20"/>
          <w:rtl w:val="0"/>
          <w:lang w:val="it-IT"/>
        </w:rPr>
        <w:t xml:space="preserve">è </w:t>
      </w:r>
      <w:r>
        <w:rPr>
          <w:rFonts w:ascii="Book Antiqua"/>
          <w:sz w:val="20"/>
          <w:szCs w:val="20"/>
          <w:rtl w:val="0"/>
          <w:lang w:val="it-IT"/>
        </w:rPr>
        <w:t xml:space="preserve">masochista </w:t>
      </w:r>
      <w:r>
        <w:rPr>
          <w:rFonts w:hAnsi="Book Antiqua" w:hint="default"/>
          <w:sz w:val="20"/>
          <w:szCs w:val="20"/>
          <w:rtl w:val="0"/>
          <w:lang w:val="it-IT"/>
        </w:rPr>
        <w:t xml:space="preserve">– è </w:t>
      </w:r>
      <w:r>
        <w:rPr>
          <w:rFonts w:ascii="Book Antiqua"/>
          <w:sz w:val="20"/>
          <w:szCs w:val="20"/>
          <w:rtl w:val="0"/>
          <w:lang w:val="it-IT"/>
        </w:rPr>
        <w:t>la verificazione sulle tariffe dei TMB. Era stato nominato un consulente tecnico da parte di AMA, il dottor Giacomelli, direttore tecnico di Federambiente; quindi Fortini ha ritenuto opportuno, insieme a Filippi, con tanto di delega (perch</w:t>
      </w:r>
      <w:r>
        <w:rPr>
          <w:rFonts w:hAnsi="Book Antiqua" w:hint="default"/>
          <w:sz w:val="20"/>
          <w:szCs w:val="20"/>
          <w:rtl w:val="0"/>
          <w:lang w:val="it-IT"/>
        </w:rPr>
        <w:t xml:space="preserve">é </w:t>
      </w:r>
      <w:r>
        <w:rPr>
          <w:rFonts w:ascii="Book Antiqua"/>
          <w:sz w:val="20"/>
          <w:szCs w:val="20"/>
          <w:rtl w:val="0"/>
          <w:lang w:val="it-IT"/>
        </w:rPr>
        <w:t>altrimenti io non avrei potuto nemmeno entrare in quella porta del Ministero, in quella seduta), di nominarmi in rappresentanza del DG Filippi: perch</w:t>
      </w:r>
      <w:r>
        <w:rPr>
          <w:rFonts w:hAnsi="Book Antiqua" w:hint="default"/>
          <w:sz w:val="20"/>
          <w:szCs w:val="20"/>
          <w:rtl w:val="0"/>
          <w:lang w:val="it-IT"/>
        </w:rPr>
        <w:t xml:space="preserve">é </w:t>
      </w:r>
      <w:r>
        <w:rPr>
          <w:rFonts w:ascii="Book Antiqua"/>
          <w:sz w:val="20"/>
          <w:szCs w:val="20"/>
          <w:rtl w:val="0"/>
          <w:lang w:val="it-IT"/>
        </w:rPr>
        <w:t>? Perch</w:t>
      </w:r>
      <w:r>
        <w:rPr>
          <w:rFonts w:hAnsi="Book Antiqua" w:hint="default"/>
          <w:sz w:val="20"/>
          <w:szCs w:val="20"/>
          <w:rtl w:val="0"/>
          <w:lang w:val="it-IT"/>
        </w:rPr>
        <w:t xml:space="preserve">é </w:t>
      </w:r>
      <w:r>
        <w:rPr>
          <w:rFonts w:ascii="Book Antiqua"/>
          <w:sz w:val="20"/>
          <w:szCs w:val="20"/>
          <w:rtl w:val="0"/>
          <w:lang w:val="it-IT"/>
        </w:rPr>
        <w:t>avevamo infatti paura che, vinto il contenzioso dei 900 milioni, rientrasse dall</w:t>
      </w:r>
      <w:r>
        <w:rPr>
          <w:rFonts w:hAnsi="Book Antiqua" w:hint="default"/>
          <w:sz w:val="20"/>
          <w:szCs w:val="20"/>
          <w:rtl w:val="0"/>
          <w:lang w:val="it-IT"/>
        </w:rPr>
        <w:t>’</w:t>
      </w:r>
      <w:r>
        <w:rPr>
          <w:rFonts w:ascii="Book Antiqua"/>
          <w:sz w:val="20"/>
          <w:szCs w:val="20"/>
          <w:rtl w:val="0"/>
          <w:lang w:val="it-IT"/>
        </w:rPr>
        <w:t>altra parte, quindi bisognava che uno che aveva seguito e fosse informato di tutto riuscisse anche ad evitare alcune bordate all</w:t>
      </w:r>
      <w:r>
        <w:rPr>
          <w:rFonts w:hAnsi="Book Antiqua" w:hint="default"/>
          <w:sz w:val="20"/>
          <w:szCs w:val="20"/>
          <w:rtl w:val="0"/>
          <w:lang w:val="it-IT"/>
        </w:rPr>
        <w:t>’</w:t>
      </w:r>
      <w:r>
        <w:rPr>
          <w:rFonts w:ascii="Book Antiqua"/>
          <w:sz w:val="20"/>
          <w:szCs w:val="20"/>
          <w:rtl w:val="0"/>
          <w:lang w:val="it-IT"/>
        </w:rPr>
        <w:t xml:space="preserve">ultimo momento: questo </w:t>
      </w:r>
      <w:r>
        <w:rPr>
          <w:rFonts w:hAnsi="Book Antiqua" w:hint="default"/>
          <w:sz w:val="20"/>
          <w:szCs w:val="20"/>
          <w:rtl w:val="0"/>
          <w:lang w:val="it-IT"/>
        </w:rPr>
        <w:t xml:space="preserve">è </w:t>
      </w:r>
      <w:r>
        <w:rPr>
          <w:rFonts w:ascii="Book Antiqua"/>
          <w:sz w:val="20"/>
          <w:szCs w:val="20"/>
          <w:rtl w:val="0"/>
          <w:lang w:val="it-IT"/>
        </w:rPr>
        <w:t>stato. Io mi sono messa nella massima disponibilit</w:t>
      </w:r>
      <w:r>
        <w:rPr>
          <w:rFonts w:hAnsi="Book Antiqua" w:hint="default"/>
          <w:sz w:val="20"/>
          <w:szCs w:val="20"/>
          <w:rtl w:val="0"/>
          <w:lang w:val="it-IT"/>
        </w:rPr>
        <w:t xml:space="preserve">à </w:t>
      </w:r>
      <w:r>
        <w:rPr>
          <w:rFonts w:ascii="Book Antiqua"/>
          <w:sz w:val="20"/>
          <w:szCs w:val="20"/>
          <w:rtl w:val="0"/>
          <w:lang w:val="it-IT"/>
        </w:rPr>
        <w:t>perch</w:t>
      </w:r>
      <w:r>
        <w:rPr>
          <w:rFonts w:hAnsi="Book Antiqua" w:hint="default"/>
          <w:sz w:val="20"/>
          <w:szCs w:val="20"/>
          <w:rtl w:val="0"/>
          <w:lang w:val="it-IT"/>
        </w:rPr>
        <w:t xml:space="preserve">é </w:t>
      </w:r>
      <w:r>
        <w:rPr>
          <w:rFonts w:ascii="Book Antiqua"/>
          <w:sz w:val="20"/>
          <w:szCs w:val="20"/>
          <w:rtl w:val="0"/>
          <w:lang w:val="it-IT"/>
        </w:rPr>
        <w:t>capivo l</w:t>
      </w:r>
      <w:r>
        <w:rPr>
          <w:rFonts w:hAnsi="Book Antiqua" w:hint="default"/>
          <w:sz w:val="20"/>
          <w:szCs w:val="20"/>
          <w:rtl w:val="0"/>
          <w:lang w:val="it-IT"/>
        </w:rPr>
        <w:t>’</w:t>
      </w:r>
      <w:r>
        <w:rPr>
          <w:rFonts w:ascii="Book Antiqua"/>
          <w:sz w:val="20"/>
          <w:szCs w:val="20"/>
          <w:rtl w:val="0"/>
          <w:lang w:val="it-IT"/>
        </w:rPr>
        <w:t>importanza per la collettivit</w:t>
      </w:r>
      <w:r>
        <w:rPr>
          <w:rFonts w:hAnsi="Book Antiqua" w:hint="default"/>
          <w:sz w:val="20"/>
          <w:szCs w:val="20"/>
          <w:rtl w:val="0"/>
          <w:lang w:val="it-IT"/>
        </w:rPr>
        <w:t xml:space="preserve">à </w:t>
      </w:r>
      <w:r>
        <w:rPr>
          <w:rFonts w:ascii="Book Antiqua"/>
          <w:sz w:val="20"/>
          <w:szCs w:val="20"/>
          <w:rtl w:val="0"/>
          <w:lang w:val="it-IT"/>
        </w:rPr>
        <w:t>di questo argomento, per</w:t>
      </w:r>
      <w:r>
        <w:rPr>
          <w:rFonts w:hAnsi="Book Antiqua" w:hint="default"/>
          <w:sz w:val="20"/>
          <w:szCs w:val="20"/>
          <w:rtl w:val="0"/>
          <w:lang w:val="it-IT"/>
        </w:rPr>
        <w:t>ò</w:t>
      </w:r>
      <w:r>
        <w:rPr>
          <w:rFonts w:ascii="Book Antiqua"/>
          <w:sz w:val="20"/>
          <w:szCs w:val="20"/>
          <w:rtl w:val="0"/>
          <w:lang w:val="it-IT"/>
        </w:rPr>
        <w:t>, da qui a dire che c</w:t>
      </w:r>
      <w:r>
        <w:rPr>
          <w:rFonts w:hAnsi="Book Antiqua" w:hint="default"/>
          <w:sz w:val="20"/>
          <w:szCs w:val="20"/>
          <w:rtl w:val="0"/>
          <w:lang w:val="it-IT"/>
        </w:rPr>
        <w:t>’</w:t>
      </w:r>
      <w:r>
        <w:rPr>
          <w:rFonts w:ascii="Book Antiqua"/>
          <w:sz w:val="20"/>
          <w:szCs w:val="20"/>
          <w:rtl w:val="0"/>
          <w:lang w:val="it-IT"/>
        </w:rPr>
        <w:t xml:space="preserve">era un patto segreto, lascio a voi le considerazioni. Altro invece </w:t>
      </w:r>
      <w:r>
        <w:rPr>
          <w:rFonts w:hAnsi="Book Antiqua" w:hint="default"/>
          <w:sz w:val="20"/>
          <w:szCs w:val="20"/>
          <w:rtl w:val="0"/>
          <w:lang w:val="it-IT"/>
        </w:rPr>
        <w:t xml:space="preserve">è </w:t>
      </w:r>
      <w:r>
        <w:rPr>
          <w:rFonts w:ascii="Book Antiqua"/>
          <w:sz w:val="20"/>
          <w:szCs w:val="20"/>
          <w:rtl w:val="0"/>
          <w:lang w:val="it-IT"/>
        </w:rPr>
        <w:t xml:space="preserve">il comportamento di Fortini, laddove </w:t>
      </w:r>
      <w:r>
        <w:rPr>
          <w:rFonts w:hAnsi="Book Antiqua" w:hint="default"/>
          <w:sz w:val="20"/>
          <w:szCs w:val="20"/>
          <w:rtl w:val="0"/>
          <w:lang w:val="it-IT"/>
        </w:rPr>
        <w:t xml:space="preserve">– </w:t>
      </w:r>
      <w:r>
        <w:rPr>
          <w:rFonts w:ascii="Book Antiqua"/>
          <w:sz w:val="20"/>
          <w:szCs w:val="20"/>
          <w:rtl w:val="0"/>
          <w:lang w:val="it-IT"/>
        </w:rPr>
        <w:t xml:space="preserve">ripeto </w:t>
      </w:r>
      <w:r>
        <w:rPr>
          <w:rFonts w:hAnsi="Book Antiqua" w:hint="default"/>
          <w:sz w:val="20"/>
          <w:szCs w:val="20"/>
          <w:rtl w:val="0"/>
          <w:lang w:val="it-IT"/>
        </w:rPr>
        <w:t xml:space="preserve">– </w:t>
      </w:r>
      <w:r>
        <w:rPr>
          <w:rFonts w:ascii="Book Antiqua"/>
          <w:sz w:val="20"/>
          <w:szCs w:val="20"/>
          <w:rtl w:val="0"/>
          <w:lang w:val="it-IT"/>
        </w:rPr>
        <w:t>il fatto di avermi accusato ha distolto dal suo ruolo e dalle sue responsabilit</w:t>
      </w:r>
      <w:r>
        <w:rPr>
          <w:rFonts w:hAnsi="Book Antiqua" w:hint="default"/>
          <w:sz w:val="20"/>
          <w:szCs w:val="20"/>
          <w:rtl w:val="0"/>
          <w:lang w:val="it-IT"/>
        </w:rPr>
        <w:t>à</w:t>
      </w:r>
      <w:r>
        <w:rPr>
          <w:rFonts w:ascii="Book Antiqua"/>
          <w:sz w:val="20"/>
          <w:szCs w:val="20"/>
          <w:rtl w:val="0"/>
          <w:lang w:val="it-IT"/>
        </w:rPr>
        <w:t>. Io ho vissuto la sua audizione come un</w:t>
      </w:r>
      <w:r>
        <w:rPr>
          <w:rFonts w:hAnsi="Book Antiqua" w:hint="default"/>
          <w:sz w:val="20"/>
          <w:szCs w:val="20"/>
          <w:rtl w:val="0"/>
          <w:lang w:val="it-IT"/>
        </w:rPr>
        <w:t>’</w:t>
      </w:r>
      <w:r>
        <w:rPr>
          <w:rFonts w:ascii="Book Antiqua"/>
          <w:sz w:val="20"/>
          <w:szCs w:val="20"/>
          <w:rtl w:val="0"/>
          <w:lang w:val="it-IT"/>
        </w:rPr>
        <w:t xml:space="preserve">autoaccusa. Si </w:t>
      </w:r>
      <w:r>
        <w:rPr>
          <w:rFonts w:hAnsi="Book Antiqua" w:hint="default"/>
          <w:sz w:val="20"/>
          <w:szCs w:val="20"/>
          <w:rtl w:val="0"/>
          <w:lang w:val="it-IT"/>
        </w:rPr>
        <w:t xml:space="preserve">è </w:t>
      </w:r>
      <w:r>
        <w:rPr>
          <w:rFonts w:ascii="Book Antiqua"/>
          <w:sz w:val="20"/>
          <w:szCs w:val="20"/>
          <w:rtl w:val="0"/>
          <w:lang w:val="it-IT"/>
        </w:rPr>
        <w:t>dimenticato, in effetti, che era lui che doveva riguardarsi e abbassare lo sguardo [</w:t>
      </w:r>
      <w:r>
        <w:rPr>
          <w:rFonts w:hAnsi="Book Antiqua" w:hint="default"/>
          <w:sz w:val="20"/>
          <w:szCs w:val="20"/>
          <w:rtl w:val="0"/>
          <w:lang w:val="it-IT"/>
        </w:rPr>
        <w:t>…</w:t>
      </w:r>
      <w:r>
        <w:rPr>
          <w:rFonts w:ascii="Book Antiqua"/>
          <w:sz w:val="20"/>
          <w:szCs w:val="20"/>
          <w:rtl w:val="0"/>
          <w:lang w:val="it-IT"/>
        </w:rPr>
        <w:t>] io so molte cose dell</w:t>
      </w:r>
      <w:r>
        <w:rPr>
          <w:rFonts w:hAnsi="Book Antiqua" w:hint="default"/>
          <w:sz w:val="20"/>
          <w:szCs w:val="20"/>
          <w:rtl w:val="0"/>
          <w:lang w:val="it-IT"/>
        </w:rPr>
        <w:t>’</w:t>
      </w:r>
      <w:r>
        <w:rPr>
          <w:rFonts w:ascii="Book Antiqua"/>
          <w:sz w:val="20"/>
          <w:szCs w:val="20"/>
          <w:rtl w:val="0"/>
          <w:lang w:val="it-IT"/>
        </w:rPr>
        <w:t>atteggiamento di Fortini perch</w:t>
      </w:r>
      <w:r>
        <w:rPr>
          <w:rFonts w:hAnsi="Book Antiqua" w:hint="default"/>
          <w:sz w:val="20"/>
          <w:szCs w:val="20"/>
          <w:rtl w:val="0"/>
          <w:lang w:val="it-IT"/>
        </w:rPr>
        <w:t xml:space="preserve">é </w:t>
      </w:r>
      <w:r>
        <w:rPr>
          <w:rFonts w:ascii="Book Antiqua"/>
          <w:sz w:val="20"/>
          <w:szCs w:val="20"/>
          <w:rtl w:val="0"/>
          <w:lang w:val="it-IT"/>
        </w:rPr>
        <w:t xml:space="preserve">gli vivevo a fianco ed </w:t>
      </w:r>
      <w:r>
        <w:rPr>
          <w:rFonts w:hAnsi="Book Antiqua" w:hint="default"/>
          <w:sz w:val="20"/>
          <w:szCs w:val="20"/>
          <w:rtl w:val="0"/>
          <w:lang w:val="it-IT"/>
        </w:rPr>
        <w:t xml:space="preserve">è </w:t>
      </w:r>
      <w:r>
        <w:rPr>
          <w:rFonts w:ascii="Book Antiqua"/>
          <w:sz w:val="20"/>
          <w:szCs w:val="20"/>
          <w:rtl w:val="0"/>
          <w:lang w:val="it-IT"/>
        </w:rPr>
        <w:t>per questo che, nel momento in cui la candidata sindaco gli annuncia, il 17 giugno, che io potenzialmente posso fare, o meglio sono nella sua squadra, a lui gli prende un colpo, prima perch</w:t>
      </w:r>
      <w:r>
        <w:rPr>
          <w:rFonts w:hAnsi="Book Antiqua" w:hint="default"/>
          <w:sz w:val="20"/>
          <w:szCs w:val="20"/>
          <w:rtl w:val="0"/>
          <w:lang w:val="it-IT"/>
        </w:rPr>
        <w:t xml:space="preserve">é </w:t>
      </w:r>
      <w:r>
        <w:rPr>
          <w:rFonts w:ascii="Book Antiqua"/>
          <w:sz w:val="20"/>
          <w:szCs w:val="20"/>
          <w:rtl w:val="0"/>
          <w:lang w:val="it-IT"/>
        </w:rPr>
        <w:t>ha parlato del Movimento 5 Stelle con me in un modo che si pu</w:t>
      </w:r>
      <w:r>
        <w:rPr>
          <w:rFonts w:hAnsi="Book Antiqua" w:hint="default"/>
          <w:sz w:val="20"/>
          <w:szCs w:val="20"/>
          <w:rtl w:val="0"/>
          <w:lang w:val="it-IT"/>
        </w:rPr>
        <w:t xml:space="preserve">ò </w:t>
      </w:r>
      <w:r>
        <w:rPr>
          <w:rFonts w:ascii="Book Antiqua"/>
          <w:sz w:val="20"/>
          <w:szCs w:val="20"/>
          <w:rtl w:val="0"/>
          <w:lang w:val="it-IT"/>
        </w:rPr>
        <w:t xml:space="preserve">immaginare (lui </w:t>
      </w:r>
      <w:r>
        <w:rPr>
          <w:rFonts w:hAnsi="Book Antiqua" w:hint="default"/>
          <w:sz w:val="20"/>
          <w:szCs w:val="20"/>
          <w:rtl w:val="0"/>
          <w:lang w:val="it-IT"/>
        </w:rPr>
        <w:t xml:space="preserve">è </w:t>
      </w:r>
      <w:r>
        <w:rPr>
          <w:rFonts w:ascii="Book Antiqua"/>
          <w:sz w:val="20"/>
          <w:szCs w:val="20"/>
          <w:rtl w:val="0"/>
          <w:lang w:val="it-IT"/>
        </w:rPr>
        <w:t>di tutt</w:t>
      </w:r>
      <w:r>
        <w:rPr>
          <w:rFonts w:hAnsi="Book Antiqua" w:hint="default"/>
          <w:sz w:val="20"/>
          <w:szCs w:val="20"/>
          <w:rtl w:val="0"/>
          <w:lang w:val="it-IT"/>
        </w:rPr>
        <w:t>’</w:t>
      </w:r>
      <w:r>
        <w:rPr>
          <w:rFonts w:ascii="Book Antiqua"/>
          <w:sz w:val="20"/>
          <w:szCs w:val="20"/>
          <w:rtl w:val="0"/>
          <w:lang w:val="it-IT"/>
        </w:rPr>
        <w:t>altra parte politica)</w:t>
      </w:r>
      <w:r>
        <w:rPr>
          <w:rFonts w:hAnsi="Book Antiqua" w:hint="default"/>
          <w:sz w:val="20"/>
          <w:szCs w:val="20"/>
          <w:rtl w:val="0"/>
          <w:lang w:val="it-IT"/>
        </w:rPr>
        <w:t>”</w:t>
      </w:r>
      <w:r>
        <w:rPr>
          <w:rFonts w:ascii="Book Antiqua"/>
          <w:sz w:val="20"/>
          <w:szCs w:val="20"/>
          <w:rtl w:val="0"/>
          <w:lang w:val="it-IT"/>
        </w:rPr>
        <w:t>.</w:t>
      </w:r>
    </w:p>
  </w:footnote>
  <w:footnote w:id="66">
    <w:p>
      <w:pPr>
        <w:pStyle w:val="footnote text"/>
        <w:ind w:left="567" w:right="567" w:firstLine="0"/>
        <w:jc w:val="both"/>
      </w:pPr>
      <w:r>
        <w:rPr>
          <w:rFonts w:ascii="Book Antiqua" w:cs="Book Antiqua" w:hAnsi="Book Antiqua" w:eastAsia="Book Antiqua"/>
          <w:vertAlign w:val="superscript"/>
          <w:rtl w:val="0"/>
        </w:rPr>
        <w:footnoteRef/>
      </w:r>
      <w:r>
        <w:rPr>
          <w:rFonts w:ascii="Book Antiqua"/>
          <w:sz w:val="20"/>
          <w:szCs w:val="20"/>
          <w:vertAlign w:val="superscript"/>
          <w:rtl w:val="0"/>
          <w:lang w:val="it-IT"/>
        </w:rPr>
        <w:t xml:space="preserve"> </w:t>
      </w:r>
      <w:r>
        <w:rPr>
          <w:vertAlign w:val="superscript"/>
          <w:rtl w:val="0"/>
          <w:lang w:val="it-IT"/>
        </w:rPr>
        <w:t xml:space="preserve"> </w:t>
      </w:r>
      <w:r>
        <w:rPr>
          <w:rFonts w:ascii="Book Antiqua"/>
          <w:sz w:val="20"/>
          <w:szCs w:val="20"/>
          <w:rtl w:val="0"/>
          <w:lang w:val="it-IT"/>
        </w:rPr>
        <w:t>Il problema risulta dal Doc. n. 1438/44 depositato da Paola Muraro, nel quale si evidenziano inadempimenti nei trasporti da parte di Sogliano Ambiente, ai quali l</w:t>
      </w:r>
      <w:r>
        <w:rPr>
          <w:rFonts w:hAnsi="Book Antiqua" w:hint="default"/>
          <w:sz w:val="20"/>
          <w:szCs w:val="20"/>
          <w:rtl w:val="0"/>
          <w:lang w:val="it-IT"/>
        </w:rPr>
        <w:t>’</w:t>
      </w:r>
      <w:r>
        <w:rPr>
          <w:rFonts w:ascii="Book Antiqua"/>
          <w:sz w:val="20"/>
          <w:szCs w:val="20"/>
          <w:rtl w:val="0"/>
          <w:lang w:val="it-IT"/>
        </w:rPr>
        <w:t>audita ha fatto riferimento quanto alla necessit</w:t>
      </w:r>
      <w:r>
        <w:rPr>
          <w:rFonts w:hAnsi="Book Antiqua" w:hint="default"/>
          <w:sz w:val="20"/>
          <w:szCs w:val="20"/>
          <w:rtl w:val="0"/>
          <w:lang w:val="it-IT"/>
        </w:rPr>
        <w:t xml:space="preserve">à </w:t>
      </w:r>
      <w:r>
        <w:rPr>
          <w:rFonts w:ascii="Book Antiqua"/>
          <w:sz w:val="20"/>
          <w:szCs w:val="20"/>
          <w:rtl w:val="0"/>
          <w:lang w:val="it-IT"/>
        </w:rPr>
        <w:t>di richiedere le penali previste</w:t>
      </w:r>
    </w:p>
  </w:footnote>
  <w:footnote w:id="67">
    <w:p>
      <w:pPr>
        <w:pStyle w:val="footnote text"/>
        <w:ind w:left="567" w:right="567" w:firstLine="0"/>
        <w:jc w:val="both"/>
        <w:rPr>
          <w:rFonts w:ascii="Book Antiqua" w:cs="Book Antiqua" w:hAnsi="Book Antiqua" w:eastAsia="Book Antiqua"/>
          <w:sz w:val="20"/>
          <w:szCs w:val="20"/>
        </w:rPr>
      </w:pPr>
      <w:r>
        <w:rPr>
          <w:rFonts w:ascii="Book Antiqua" w:cs="Book Antiqua" w:hAnsi="Book Antiqua" w:eastAsia="Book Antiqua"/>
          <w:vertAlign w:val="superscript"/>
          <w:rtl w:val="0"/>
        </w:rPr>
        <w:footnoteRef/>
      </w:r>
      <w:r>
        <w:rPr>
          <w:rFonts w:ascii="Book Antiqua"/>
          <w:sz w:val="20"/>
          <w:szCs w:val="20"/>
          <w:rtl w:val="0"/>
          <w:lang w:val="it-IT"/>
        </w:rPr>
        <w:t xml:space="preserve"> Anche se in maniera non sempre perspicua, </w:t>
      </w:r>
      <w:r>
        <w:rPr>
          <w:rFonts w:hAnsi="Book Antiqua" w:hint="default"/>
          <w:sz w:val="20"/>
          <w:szCs w:val="20"/>
          <w:rtl w:val="0"/>
          <w:lang w:val="it-IT"/>
        </w:rPr>
        <w:t xml:space="preserve">è </w:t>
      </w:r>
      <w:r>
        <w:rPr>
          <w:rFonts w:ascii="Book Antiqua"/>
          <w:sz w:val="20"/>
          <w:szCs w:val="20"/>
          <w:rtl w:val="0"/>
          <w:lang w:val="it-IT"/>
        </w:rPr>
        <w:t>parte del contenuto delle dichiarazioni rese nella citata audizione del 12 dicembre 2016, di cui a tal fine si riportano di seguito alcuni passaggi testuali:</w:t>
      </w:r>
    </w:p>
    <w:p>
      <w:pPr>
        <w:pStyle w:val="footnote text"/>
        <w:ind w:left="567" w:right="567" w:firstLine="0"/>
        <w:jc w:val="both"/>
        <w:rPr>
          <w:rFonts w:ascii="Book Antiqua" w:cs="Book Antiqua" w:hAnsi="Book Antiqua" w:eastAsia="Book Antiqua"/>
          <w:sz w:val="20"/>
          <w:szCs w:val="20"/>
        </w:rPr>
      </w:pPr>
      <w:r>
        <w:rPr>
          <w:rFonts w:ascii="Book Antiqua"/>
          <w:sz w:val="20"/>
          <w:szCs w:val="20"/>
          <w:rtl w:val="0"/>
          <w:lang w:val="it-IT"/>
        </w:rPr>
        <w:t xml:space="preserve">[Manlio Cerroni] </w:t>
      </w:r>
      <w:r>
        <w:rPr>
          <w:rFonts w:hAnsi="Book Antiqua" w:hint="default"/>
          <w:sz w:val="20"/>
          <w:szCs w:val="20"/>
          <w:rtl w:val="0"/>
          <w:lang w:val="it-IT"/>
        </w:rPr>
        <w:t>“</w:t>
      </w:r>
      <w:r>
        <w:rPr>
          <w:rFonts w:ascii="Book Antiqua"/>
          <w:sz w:val="20"/>
          <w:szCs w:val="20"/>
          <w:rtl w:val="0"/>
          <w:lang w:val="it-IT"/>
        </w:rPr>
        <w:t xml:space="preserve">Il prefetto Sottile, il Governo italiano si </w:t>
      </w:r>
      <w:r>
        <w:rPr>
          <w:rFonts w:hAnsi="Book Antiqua" w:hint="default"/>
          <w:sz w:val="20"/>
          <w:szCs w:val="20"/>
          <w:rtl w:val="0"/>
          <w:lang w:val="it-IT"/>
        </w:rPr>
        <w:t xml:space="preserve">è </w:t>
      </w:r>
      <w:r>
        <w:rPr>
          <w:rFonts w:ascii="Book Antiqua"/>
          <w:sz w:val="20"/>
          <w:szCs w:val="20"/>
          <w:rtl w:val="0"/>
          <w:lang w:val="it-IT"/>
        </w:rPr>
        <w:t>impegnato che entro cento giorni avremmo sistemato la vicenda. Gli hanno dato come termine il 15 aprile 2013: se entro il 15 aprile 2013 non conferiremo in discarica solo i residui di lavorazione, saremo in infrazione.</w:t>
      </w:r>
      <w:r>
        <w:rPr>
          <w:rFonts w:hAnsi="Book Antiqua" w:hint="default"/>
          <w:sz w:val="20"/>
          <w:szCs w:val="20"/>
          <w:rtl w:val="0"/>
          <w:lang w:val="it-IT"/>
        </w:rPr>
        <w:t> </w:t>
      </w:r>
      <w:r>
        <w:rPr>
          <w:rFonts w:ascii="Book Antiqua"/>
          <w:sz w:val="20"/>
          <w:szCs w:val="20"/>
          <w:rtl w:val="0"/>
          <w:lang w:val="it-IT"/>
        </w:rPr>
        <w:t>Che cosa si fa? Mettiamo sotto stress gli impianti. Gli impianti, nonostante fossero andati sotto stress, non riuscivano comunque a tirar fuori e a trattare tutti i rifiuti e allora bisogna trovare una soluzione rapida. C'</w:t>
      </w:r>
      <w:r>
        <w:rPr>
          <w:rFonts w:hAnsi="Book Antiqua" w:hint="default"/>
          <w:sz w:val="20"/>
          <w:szCs w:val="20"/>
          <w:rtl w:val="0"/>
          <w:lang w:val="it-IT"/>
        </w:rPr>
        <w:t xml:space="preserve">è </w:t>
      </w:r>
      <w:r>
        <w:rPr>
          <w:rFonts w:ascii="Book Antiqua"/>
          <w:sz w:val="20"/>
          <w:szCs w:val="20"/>
          <w:rtl w:val="0"/>
          <w:lang w:val="it-IT"/>
        </w:rPr>
        <w:t>la stazione di trasferenza a Rocca Cencia. Attrezziamo un impianto a Rocca Cencia per fare in modo che questi rifiuti indifferenziati vengano trattati e preparati. Che cosa fa il tritovagliatore? Il tritovagliatore prende i rifiuti, li tritura e poi, attraverso i suoi impianti, riesce a separare il ferro, a fare il secco e a fare l'umido. Questi sono precotti. Per legge non possono andare in discarica, come si pensava di fare e come la regione aveva chiesto addirittura al Ministero dell'ambiente in Italia. Il Ministero dell'ambiente lo ha riferito anche a Bruxelles, e invece i rifiuti debbono essere trattati, cio</w:t>
      </w:r>
      <w:r>
        <w:rPr>
          <w:rFonts w:hAnsi="Book Antiqua" w:hint="default"/>
          <w:sz w:val="20"/>
          <w:szCs w:val="20"/>
          <w:rtl w:val="0"/>
          <w:lang w:val="it-IT"/>
        </w:rPr>
        <w:t xml:space="preserve">è </w:t>
      </w:r>
      <w:r>
        <w:rPr>
          <w:rFonts w:ascii="Book Antiqua"/>
          <w:sz w:val="20"/>
          <w:szCs w:val="20"/>
          <w:rtl w:val="0"/>
          <w:lang w:val="it-IT"/>
        </w:rPr>
        <w:t>debbono andare a recupero, non a discarica.</w:t>
      </w:r>
      <w:r>
        <w:rPr>
          <w:rFonts w:hAnsi="Book Antiqua" w:hint="default"/>
          <w:sz w:val="20"/>
          <w:szCs w:val="20"/>
          <w:rtl w:val="0"/>
          <w:lang w:val="it-IT"/>
        </w:rPr>
        <w:t xml:space="preserve">  </w:t>
      </w:r>
      <w:r>
        <w:rPr>
          <w:rFonts w:ascii="Book Antiqua"/>
          <w:sz w:val="20"/>
          <w:szCs w:val="20"/>
          <w:rtl w:val="0"/>
          <w:lang w:val="it-IT"/>
        </w:rPr>
        <w:t xml:space="preserve">Nell'autorizzazione del tritovagliatore, infatti, il destino finale </w:t>
      </w:r>
      <w:r>
        <w:rPr>
          <w:rFonts w:hAnsi="Book Antiqua" w:hint="default"/>
          <w:sz w:val="20"/>
          <w:szCs w:val="20"/>
          <w:rtl w:val="0"/>
          <w:lang w:val="it-IT"/>
        </w:rPr>
        <w:t xml:space="preserve">è </w:t>
      </w:r>
      <w:r>
        <w:rPr>
          <w:rFonts w:ascii="Book Antiqua"/>
          <w:sz w:val="20"/>
          <w:szCs w:val="20"/>
          <w:rtl w:val="0"/>
          <w:lang w:val="it-IT"/>
        </w:rPr>
        <w:t xml:space="preserve">che deve andare a discarica, nel senso che il secco deve andare o CDR ai cementifici o deve andare ai forni per fare energia; l'umido deve essere trasformato in FOS stabilizzata per essere un R13; il metallo deve diventare... </w:t>
      </w:r>
      <w:r>
        <w:rPr>
          <w:rFonts w:hAnsi="Book Antiqua" w:hint="default"/>
          <w:sz w:val="20"/>
          <w:szCs w:val="20"/>
          <w:rtl w:val="0"/>
          <w:lang w:val="it-IT"/>
        </w:rPr>
        <w:t xml:space="preserve">È </w:t>
      </w:r>
      <w:r>
        <w:rPr>
          <w:rFonts w:ascii="Book Antiqua"/>
          <w:sz w:val="20"/>
          <w:szCs w:val="20"/>
          <w:rtl w:val="0"/>
          <w:lang w:val="it-IT"/>
        </w:rPr>
        <w:t xml:space="preserve">questo il discorso.  La furbata italiana non </w:t>
      </w:r>
      <w:r>
        <w:rPr>
          <w:rFonts w:hAnsi="Book Antiqua" w:hint="default"/>
          <w:sz w:val="20"/>
          <w:szCs w:val="20"/>
          <w:rtl w:val="0"/>
          <w:lang w:val="it-IT"/>
        </w:rPr>
        <w:t xml:space="preserve">è </w:t>
      </w:r>
      <w:r>
        <w:rPr>
          <w:rFonts w:ascii="Book Antiqua"/>
          <w:sz w:val="20"/>
          <w:szCs w:val="20"/>
          <w:rtl w:val="0"/>
          <w:lang w:val="it-IT"/>
        </w:rPr>
        <w:t>stata accettata. Il ministero ha provato a farla passare anche a Bruxelles. Perch</w:t>
      </w:r>
      <w:r>
        <w:rPr>
          <w:rFonts w:hAnsi="Book Antiqua" w:hint="default"/>
          <w:sz w:val="20"/>
          <w:szCs w:val="20"/>
          <w:rtl w:val="0"/>
          <w:lang w:val="it-IT"/>
        </w:rPr>
        <w:t xml:space="preserve">é </w:t>
      </w:r>
      <w:r>
        <w:rPr>
          <w:rFonts w:ascii="Book Antiqua"/>
          <w:sz w:val="20"/>
          <w:szCs w:val="20"/>
          <w:rtl w:val="0"/>
          <w:lang w:val="it-IT"/>
        </w:rPr>
        <w:t>si pensava di farlo a Malagrotta? Perch</w:t>
      </w:r>
      <w:r>
        <w:rPr>
          <w:rFonts w:hAnsi="Book Antiqua" w:hint="default"/>
          <w:sz w:val="20"/>
          <w:szCs w:val="20"/>
          <w:rtl w:val="0"/>
          <w:lang w:val="it-IT"/>
        </w:rPr>
        <w:t xml:space="preserve">é </w:t>
      </w:r>
      <w:r>
        <w:rPr>
          <w:rFonts w:ascii="Book Antiqua"/>
          <w:sz w:val="20"/>
          <w:szCs w:val="20"/>
          <w:rtl w:val="0"/>
          <w:lang w:val="it-IT"/>
        </w:rPr>
        <w:t>triturati, dicevo, finiva in discarica. Il triturato selezionato precotto, invece, deve andare ai rispettivi forni, agli inceneritori, ai cementifici, alla stabilizzazione. L'autorizzazione alla tritovagliatura prescrive come destinazione finale R.</w:t>
      </w:r>
      <w:r>
        <w:rPr>
          <w:rFonts w:hAnsi="Book Antiqua" w:hint="default"/>
          <w:sz w:val="20"/>
          <w:szCs w:val="20"/>
          <w:rtl w:val="0"/>
          <w:lang w:val="it-IT"/>
        </w:rPr>
        <w:t xml:space="preserve">  </w:t>
      </w:r>
      <w:r>
        <w:rPr>
          <w:rFonts w:ascii="Book Antiqua"/>
          <w:sz w:val="20"/>
          <w:szCs w:val="20"/>
          <w:rtl w:val="0"/>
          <w:lang w:val="it-IT"/>
        </w:rPr>
        <w:t>Ho tentato in tutti i modi di far capire questo, come alle elementari. Il ministero ci ha provato. Sono arrivati a dire: attenzione, se posto cento, facciamo la raccolta differenziata spinta, che significa 70, 75, 80 per cento, permettete che il residuo 20 per cento possa almeno questo andare tal quale in discarica? No. Ecco la furbata.</w:t>
      </w:r>
      <w:r>
        <w:rPr>
          <w:rFonts w:hAnsi="Book Antiqua" w:hint="default"/>
          <w:sz w:val="20"/>
          <w:szCs w:val="20"/>
          <w:rtl w:val="0"/>
          <w:lang w:val="it-IT"/>
        </w:rPr>
        <w:t> </w:t>
      </w:r>
      <w:r>
        <w:rPr>
          <w:rFonts w:ascii="Book Antiqua"/>
          <w:sz w:val="20"/>
          <w:szCs w:val="20"/>
          <w:rtl w:val="0"/>
          <w:lang w:val="it-IT"/>
        </w:rPr>
        <w:t>L'autorizzazione del tritovagliatore prescrive che i rifiuti indifferenziati trattati e differenziati debbano andare ai vari impianti. Sono finiti anche in Portogallo per questa prescrizione. Perch</w:t>
      </w:r>
      <w:r>
        <w:rPr>
          <w:rFonts w:hAnsi="Book Antiqua" w:hint="default"/>
          <w:sz w:val="20"/>
          <w:szCs w:val="20"/>
          <w:rtl w:val="0"/>
          <w:lang w:val="it-IT"/>
        </w:rPr>
        <w:t xml:space="preserve">é </w:t>
      </w:r>
      <w:r>
        <w:rPr>
          <w:rFonts w:ascii="Book Antiqua"/>
          <w:sz w:val="20"/>
          <w:szCs w:val="20"/>
          <w:rtl w:val="0"/>
          <w:lang w:val="it-IT"/>
        </w:rPr>
        <w:t xml:space="preserve">Rocca Cencia </w:t>
      </w:r>
      <w:r>
        <w:rPr>
          <w:rFonts w:hAnsi="Book Antiqua" w:hint="default"/>
          <w:sz w:val="20"/>
          <w:szCs w:val="20"/>
          <w:rtl w:val="0"/>
          <w:lang w:val="it-IT"/>
        </w:rPr>
        <w:t xml:space="preserve">è </w:t>
      </w:r>
      <w:r>
        <w:rPr>
          <w:rFonts w:ascii="Book Antiqua"/>
          <w:sz w:val="20"/>
          <w:szCs w:val="20"/>
          <w:rtl w:val="0"/>
          <w:lang w:val="it-IT"/>
        </w:rPr>
        <w:t>il garage dove le macchine scaricano i rifiuti alla stessa stazione e andavano via. Prima scaricavano a Rocca Cencia, poi si prendevano ... i rifiuti arrivavano a Malagrotta perch</w:t>
      </w:r>
      <w:r>
        <w:rPr>
          <w:rFonts w:hAnsi="Book Antiqua" w:hint="default"/>
          <w:sz w:val="20"/>
          <w:szCs w:val="20"/>
          <w:rtl w:val="0"/>
          <w:lang w:val="it-IT"/>
        </w:rPr>
        <w:t xml:space="preserve">é </w:t>
      </w:r>
      <w:r>
        <w:rPr>
          <w:rFonts w:ascii="Book Antiqua"/>
          <w:sz w:val="20"/>
          <w:szCs w:val="20"/>
          <w:rtl w:val="0"/>
          <w:lang w:val="it-IT"/>
        </w:rPr>
        <w:t>non li portavano gli autocarri del comune di Roma, ma li portava la stazione di trasferenza di Rocca Cencia, i famosi verdoni. Li avete sentiti questi verdoni per Roma che percorrevano 47 chilometri. Da Rocca Cencia a Malagrotta sono 47 chilometri. Fare la tritovagliatura a Malagrotta significava far venire i rifiuti da Rocca Cencia... No, Malagrotta nasce come stazione di trasferenza. Che cosa significa? L'AMA ha il garage a Rocca Cencia: scaricavano i rifiuti e andavano in garage. Con i verdoni li caricavamo e li portavamo via. Li abbiamo sempre portati via noi, i rifiuti. Perch</w:t>
      </w:r>
      <w:r>
        <w:rPr>
          <w:rFonts w:hAnsi="Book Antiqua" w:hint="default"/>
          <w:sz w:val="20"/>
          <w:szCs w:val="20"/>
          <w:rtl w:val="0"/>
          <w:lang w:val="it-IT"/>
        </w:rPr>
        <w:t xml:space="preserve">é </w:t>
      </w:r>
      <w:r>
        <w:rPr>
          <w:rFonts w:ascii="Book Antiqua"/>
          <w:sz w:val="20"/>
          <w:szCs w:val="20"/>
          <w:rtl w:val="0"/>
          <w:lang w:val="it-IT"/>
        </w:rPr>
        <w:t>nasce a Rocca Cencia? Perch</w:t>
      </w:r>
      <w:r>
        <w:rPr>
          <w:rFonts w:hAnsi="Book Antiqua" w:hint="default"/>
          <w:sz w:val="20"/>
          <w:szCs w:val="20"/>
          <w:rtl w:val="0"/>
          <w:lang w:val="it-IT"/>
        </w:rPr>
        <w:t xml:space="preserve">é </w:t>
      </w:r>
      <w:r>
        <w:rPr>
          <w:rFonts w:ascii="Book Antiqua"/>
          <w:sz w:val="20"/>
          <w:szCs w:val="20"/>
          <w:rtl w:val="0"/>
          <w:lang w:val="it-IT"/>
        </w:rPr>
        <w:t xml:space="preserve">Rocca Cencia </w:t>
      </w:r>
      <w:r>
        <w:rPr>
          <w:rFonts w:hAnsi="Book Antiqua" w:hint="default"/>
          <w:sz w:val="20"/>
          <w:szCs w:val="20"/>
          <w:rtl w:val="0"/>
          <w:lang w:val="it-IT"/>
        </w:rPr>
        <w:t xml:space="preserve">è </w:t>
      </w:r>
      <w:r>
        <w:rPr>
          <w:rFonts w:ascii="Book Antiqua"/>
          <w:sz w:val="20"/>
          <w:szCs w:val="20"/>
          <w:rtl w:val="0"/>
          <w:lang w:val="it-IT"/>
        </w:rPr>
        <w:t>il garage dove vanno in servizio e tornano le macchine, e non c'</w:t>
      </w:r>
      <w:r>
        <w:rPr>
          <w:rFonts w:hAnsi="Book Antiqua" w:hint="default"/>
          <w:sz w:val="20"/>
          <w:szCs w:val="20"/>
          <w:rtl w:val="0"/>
          <w:lang w:val="it-IT"/>
        </w:rPr>
        <w:t xml:space="preserve">è </w:t>
      </w:r>
      <w:r>
        <w:rPr>
          <w:rFonts w:ascii="Book Antiqua"/>
          <w:sz w:val="20"/>
          <w:szCs w:val="20"/>
          <w:rtl w:val="0"/>
          <w:lang w:val="it-IT"/>
        </w:rPr>
        <w:t>pi</w:t>
      </w:r>
      <w:r>
        <w:rPr>
          <w:rFonts w:hAnsi="Book Antiqua" w:hint="default"/>
          <w:sz w:val="20"/>
          <w:szCs w:val="20"/>
          <w:rtl w:val="0"/>
          <w:lang w:val="it-IT"/>
        </w:rPr>
        <w:t xml:space="preserve">ù </w:t>
      </w:r>
      <w:r>
        <w:rPr>
          <w:rFonts w:ascii="Book Antiqua"/>
          <w:sz w:val="20"/>
          <w:szCs w:val="20"/>
          <w:rtl w:val="0"/>
          <w:lang w:val="it-IT"/>
        </w:rPr>
        <w:t xml:space="preserve">bisogno di trasferirli attraverso i verdoni a Malagrotta. </w:t>
      </w:r>
      <w:r>
        <w:rPr>
          <w:rFonts w:hAnsi="Book Antiqua" w:hint="default"/>
          <w:sz w:val="20"/>
          <w:szCs w:val="20"/>
          <w:rtl w:val="0"/>
          <w:lang w:val="it-IT"/>
        </w:rPr>
        <w:t xml:space="preserve">È </w:t>
      </w:r>
      <w:r>
        <w:rPr>
          <w:rFonts w:ascii="Book Antiqua"/>
          <w:sz w:val="20"/>
          <w:szCs w:val="20"/>
          <w:rtl w:val="0"/>
          <w:lang w:val="it-IT"/>
        </w:rPr>
        <w:t>stato eliminato un servizio facendolo a Rocca Cencia. Facendolo a Malagrotta, invece, bisognava prendere i rifiuti da Rocca Cencia, portarli a Malagrotta, triturarli, poi mandarli ai vari impianti</w:t>
      </w:r>
      <w:r>
        <w:rPr>
          <w:rFonts w:hAnsi="Book Antiqua" w:hint="default"/>
          <w:sz w:val="20"/>
          <w:szCs w:val="20"/>
          <w:rtl w:val="0"/>
          <w:lang w:val="it-IT"/>
        </w:rPr>
        <w:t>”</w:t>
      </w:r>
    </w:p>
    <w:p>
      <w:pPr>
        <w:pStyle w:val="footnote text"/>
        <w:ind w:left="567" w:right="567" w:firstLine="0"/>
        <w:jc w:val="both"/>
      </w:pPr>
      <w:r>
        <w:rPr>
          <w:rFonts w:ascii="Book Antiqua"/>
          <w:sz w:val="20"/>
          <w:szCs w:val="20"/>
          <w:rtl w:val="0"/>
          <w:lang w:val="it-IT"/>
        </w:rPr>
        <w:t xml:space="preserve">[Candido Saioni] </w:t>
      </w:r>
      <w:r>
        <w:rPr>
          <w:rFonts w:hAnsi="Book Antiqua" w:hint="default"/>
          <w:sz w:val="20"/>
          <w:szCs w:val="20"/>
          <w:rtl w:val="0"/>
          <w:lang w:val="it-IT"/>
        </w:rPr>
        <w:t>“</w:t>
      </w:r>
      <w:r>
        <w:rPr>
          <w:rFonts w:ascii="Book Antiqua"/>
          <w:sz w:val="20"/>
          <w:szCs w:val="20"/>
          <w:rtl w:val="0"/>
          <w:lang w:val="it-IT"/>
        </w:rPr>
        <w:t xml:space="preserve">Non </w:t>
      </w:r>
      <w:r>
        <w:rPr>
          <w:rFonts w:hAnsi="Book Antiqua" w:hint="default"/>
          <w:sz w:val="20"/>
          <w:szCs w:val="20"/>
          <w:rtl w:val="0"/>
          <w:lang w:val="it-IT"/>
        </w:rPr>
        <w:t xml:space="preserve">è </w:t>
      </w:r>
      <w:r>
        <w:rPr>
          <w:rFonts w:ascii="Book Antiqua"/>
          <w:sz w:val="20"/>
          <w:szCs w:val="20"/>
          <w:rtl w:val="0"/>
          <w:lang w:val="it-IT"/>
        </w:rPr>
        <w:t>il luogo dove viene realizzato un impianto che determina la tariffa, ma la tipologia di impianto. Quell'impianto, dovunque fosse stato costruito, sarebbe stato fuori della tariffa di TMB, perch</w:t>
      </w:r>
      <w:r>
        <w:rPr>
          <w:rFonts w:hAnsi="Book Antiqua" w:hint="default"/>
          <w:sz w:val="20"/>
          <w:szCs w:val="20"/>
          <w:rtl w:val="0"/>
          <w:lang w:val="it-IT"/>
        </w:rPr>
        <w:t xml:space="preserve">é è </w:t>
      </w:r>
      <w:r>
        <w:rPr>
          <w:rFonts w:ascii="Book Antiqua"/>
          <w:sz w:val="20"/>
          <w:szCs w:val="20"/>
          <w:rtl w:val="0"/>
          <w:lang w:val="it-IT"/>
        </w:rPr>
        <w:t>un altro impianto.</w:t>
      </w:r>
      <w:r>
        <w:rPr>
          <w:rFonts w:hAnsi="Book Antiqua" w:hint="default"/>
          <w:sz w:val="20"/>
          <w:szCs w:val="20"/>
          <w:rtl w:val="0"/>
          <w:lang w:val="it-IT"/>
        </w:rPr>
        <w:t> </w:t>
      </w:r>
      <w:r>
        <w:rPr>
          <w:rFonts w:ascii="Book Antiqua"/>
          <w:sz w:val="20"/>
          <w:szCs w:val="20"/>
          <w:rtl w:val="0"/>
          <w:lang w:val="it-IT"/>
        </w:rPr>
        <w:t xml:space="preserve">Tanto per andare nel concreto. La tariffa determinata dalla regione </w:t>
      </w:r>
      <w:r>
        <w:rPr>
          <w:rFonts w:hAnsi="Book Antiqua" w:hint="default"/>
          <w:sz w:val="20"/>
          <w:szCs w:val="20"/>
          <w:rtl w:val="0"/>
          <w:lang w:val="it-IT"/>
        </w:rPr>
        <w:t xml:space="preserve">è </w:t>
      </w:r>
      <w:r>
        <w:rPr>
          <w:rFonts w:ascii="Book Antiqua"/>
          <w:sz w:val="20"/>
          <w:szCs w:val="20"/>
          <w:rtl w:val="0"/>
          <w:lang w:val="it-IT"/>
        </w:rPr>
        <w:t>determinata per i TMB e non per il tritovagliatore. Le dico anche una cosa di una gravit</w:t>
      </w:r>
      <w:r>
        <w:rPr>
          <w:rFonts w:hAnsi="Book Antiqua" w:hint="default"/>
          <w:sz w:val="20"/>
          <w:szCs w:val="20"/>
          <w:rtl w:val="0"/>
          <w:lang w:val="it-IT"/>
        </w:rPr>
        <w:t xml:space="preserve">à </w:t>
      </w:r>
      <w:r>
        <w:rPr>
          <w:rFonts w:ascii="Book Antiqua"/>
          <w:sz w:val="20"/>
          <w:szCs w:val="20"/>
          <w:rtl w:val="0"/>
          <w:lang w:val="it-IT"/>
        </w:rPr>
        <w:t>estrema. Faccio prima una chiosa minuscola, perch</w:t>
      </w:r>
      <w:r>
        <w:rPr>
          <w:rFonts w:hAnsi="Book Antiqua" w:hint="default"/>
          <w:sz w:val="20"/>
          <w:szCs w:val="20"/>
          <w:rtl w:val="0"/>
          <w:lang w:val="it-IT"/>
        </w:rPr>
        <w:t xml:space="preserve">é </w:t>
      </w:r>
      <w:r>
        <w:rPr>
          <w:rFonts w:ascii="Book Antiqua"/>
          <w:sz w:val="20"/>
          <w:szCs w:val="20"/>
          <w:rtl w:val="0"/>
          <w:lang w:val="it-IT"/>
        </w:rPr>
        <w:t>avete detto tante cose. Se diamo per assodato che ci</w:t>
      </w:r>
      <w:r>
        <w:rPr>
          <w:rFonts w:hAnsi="Book Antiqua" w:hint="default"/>
          <w:sz w:val="20"/>
          <w:szCs w:val="20"/>
          <w:rtl w:val="0"/>
          <w:lang w:val="it-IT"/>
        </w:rPr>
        <w:t xml:space="preserve">ò </w:t>
      </w:r>
      <w:r>
        <w:rPr>
          <w:rFonts w:ascii="Book Antiqua"/>
          <w:sz w:val="20"/>
          <w:szCs w:val="20"/>
          <w:rtl w:val="0"/>
          <w:lang w:val="it-IT"/>
        </w:rPr>
        <w:t>che esce dal tritovaglio non va a Malagrotta, perch</w:t>
      </w:r>
      <w:r>
        <w:rPr>
          <w:rFonts w:hAnsi="Book Antiqua" w:hint="default"/>
          <w:sz w:val="20"/>
          <w:szCs w:val="20"/>
          <w:rtl w:val="0"/>
          <w:lang w:val="it-IT"/>
        </w:rPr>
        <w:t xml:space="preserve">é </w:t>
      </w:r>
      <w:r>
        <w:rPr>
          <w:rFonts w:ascii="Book Antiqua"/>
          <w:sz w:val="20"/>
          <w:szCs w:val="20"/>
          <w:rtl w:val="0"/>
          <w:lang w:val="it-IT"/>
        </w:rPr>
        <w:t xml:space="preserve">oveva essere costruito a Malagrotta? Per mandare avanti i compattatori di Roma est... Un compattatore fa cinque viaggi al giorno per andare a Rocca Cencia, quindi avere Rocca Cencia significa una fortuna per Roma. Se dovesse andare a Malagrotta, farebbe un viaggio e mezzo al giorno. Ci siamo capiti? </w:t>
      </w:r>
      <w:r>
        <w:rPr>
          <w:rFonts w:hAnsi="Book Antiqua" w:hint="default"/>
          <w:sz w:val="20"/>
          <w:szCs w:val="20"/>
          <w:rtl w:val="0"/>
          <w:lang w:val="it-IT"/>
        </w:rPr>
        <w:t xml:space="preserve">È </w:t>
      </w:r>
      <w:r>
        <w:rPr>
          <w:rFonts w:ascii="Book Antiqua"/>
          <w:sz w:val="20"/>
          <w:szCs w:val="20"/>
          <w:rtl w:val="0"/>
          <w:lang w:val="it-IT"/>
        </w:rPr>
        <w:t xml:space="preserve">un discorso di economia dell'AMA avere, come diceva l'avvocato Cerroni, il proprio garage. E proprio Rocca Cencia </w:t>
      </w:r>
      <w:r>
        <w:rPr>
          <w:rFonts w:hAnsi="Book Antiqua" w:hint="default"/>
          <w:sz w:val="20"/>
          <w:szCs w:val="20"/>
          <w:rtl w:val="0"/>
          <w:lang w:val="it-IT"/>
        </w:rPr>
        <w:t xml:space="preserve">è </w:t>
      </w:r>
      <w:r>
        <w:rPr>
          <w:rFonts w:ascii="Book Antiqua"/>
          <w:sz w:val="20"/>
          <w:szCs w:val="20"/>
          <w:rtl w:val="0"/>
          <w:lang w:val="it-IT"/>
        </w:rPr>
        <w:t xml:space="preserve">la vita dell'AMA. Avere a Rocca Cencia un imbuto che ti succhia e ti porta via </w:t>
      </w:r>
      <w:r>
        <w:rPr>
          <w:rFonts w:hAnsi="Book Antiqua" w:hint="default"/>
          <w:sz w:val="20"/>
          <w:szCs w:val="20"/>
          <w:rtl w:val="0"/>
          <w:lang w:val="it-IT"/>
        </w:rPr>
        <w:t xml:space="preserve">è </w:t>
      </w:r>
      <w:r>
        <w:rPr>
          <w:rFonts w:ascii="Book Antiqua"/>
          <w:sz w:val="20"/>
          <w:szCs w:val="20"/>
          <w:rtl w:val="0"/>
          <w:lang w:val="it-IT"/>
        </w:rPr>
        <w:t xml:space="preserve">l'ideale. Andiamo al prezzo. Dire che, se fosse stato fatto a Malagrotta, avrebbe avuto una tariffa di 104 euro, </w:t>
      </w:r>
      <w:r>
        <w:rPr>
          <w:rFonts w:hAnsi="Book Antiqua" w:hint="default"/>
          <w:sz w:val="20"/>
          <w:szCs w:val="20"/>
          <w:rtl w:val="0"/>
          <w:lang w:val="it-IT"/>
        </w:rPr>
        <w:t xml:space="preserve">è </w:t>
      </w:r>
      <w:r>
        <w:rPr>
          <w:rFonts w:ascii="Book Antiqua"/>
          <w:sz w:val="20"/>
          <w:szCs w:val="20"/>
          <w:rtl w:val="0"/>
          <w:lang w:val="it-IT"/>
        </w:rPr>
        <w:t xml:space="preserve">semplicemente allucinante. L'AMA ha un proprio tritovaglio a Rocca Cencia e ha bandito due gare per poter trasportare. Vi ho spiegato che quello che esce dal tritovaglio va nei forni, negli stabilimenti e negli impianti previsti dalla legge. L'AMA ha bandito una gara, che </w:t>
      </w:r>
      <w:r>
        <w:rPr>
          <w:rFonts w:hAnsi="Book Antiqua" w:hint="default"/>
          <w:sz w:val="20"/>
          <w:szCs w:val="20"/>
          <w:rtl w:val="0"/>
          <w:lang w:val="it-IT"/>
        </w:rPr>
        <w:t xml:space="preserve">è </w:t>
      </w:r>
      <w:r>
        <w:rPr>
          <w:rFonts w:ascii="Book Antiqua"/>
          <w:sz w:val="20"/>
          <w:szCs w:val="20"/>
          <w:rtl w:val="0"/>
          <w:lang w:val="it-IT"/>
        </w:rPr>
        <w:t>andata deserta, con il prezzo a base d'asta di 140 e 145: come pu</w:t>
      </w:r>
      <w:r>
        <w:rPr>
          <w:rFonts w:hAnsi="Book Antiqua" w:hint="default"/>
          <w:sz w:val="20"/>
          <w:szCs w:val="20"/>
          <w:rtl w:val="0"/>
          <w:lang w:val="it-IT"/>
        </w:rPr>
        <w:t xml:space="preserve">ò </w:t>
      </w:r>
      <w:r>
        <w:rPr>
          <w:rFonts w:ascii="Book Antiqua"/>
          <w:sz w:val="20"/>
          <w:szCs w:val="20"/>
          <w:rtl w:val="0"/>
          <w:lang w:val="it-IT"/>
        </w:rPr>
        <w:t>una persona ragionevole dire che vuole pagare tutto il servizio, compresa la gestione, 104 euro!?</w:t>
      </w:r>
      <w:r>
        <w:rPr>
          <w:rFonts w:hAnsi="Book Antiqua" w:hint="default"/>
          <w:sz w:val="20"/>
          <w:szCs w:val="20"/>
          <w:rtl w:val="0"/>
          <w:lang w:val="it-IT"/>
        </w:rPr>
        <w:t> </w:t>
      </w:r>
      <w:r>
        <w:rPr>
          <w:rFonts w:ascii="Book Antiqua"/>
          <w:sz w:val="20"/>
          <w:szCs w:val="20"/>
          <w:rtl w:val="0"/>
          <w:lang w:val="it-IT"/>
        </w:rPr>
        <w:t>La stessa persona ha scritto al sottoscritto dicendo che gli Stir costano 34 e 85 euro a tonnellata</w:t>
      </w:r>
      <w:r>
        <w:rPr>
          <w:rFonts w:hAnsi="Book Antiqua" w:hint="default"/>
          <w:sz w:val="20"/>
          <w:szCs w:val="20"/>
          <w:rtl w:val="0"/>
          <w:lang w:val="it-IT"/>
        </w:rPr>
        <w:t>”</w:t>
      </w:r>
      <w:r>
        <w:rPr>
          <w:rFonts w:ascii="Book Antiqua" w:cs="Book Antiqua" w:hAnsi="Book Antiqua" w:eastAsia="Book Antiqua"/>
          <w:sz w:val="20"/>
          <w:szCs w:val="20"/>
        </w:rPr>
      </w:r>
    </w:p>
  </w:footnote>
  <w:footnote w:id="68">
    <w:p>
      <w:pPr>
        <w:pStyle w:val="footnote text"/>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Doc. n. 2209/1-2, nota trasmessa da Porcarelli Gino &amp; Co. s.r.l. su richiesta della Commissione</w:t>
      </w:r>
    </w:p>
  </w:footnote>
  <w:footnote w:id="69">
    <w:p>
      <w:pPr>
        <w:pStyle w:val="footnote text"/>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Il report analitico con i conferimenti suddivisi per comune</w:t>
      </w:r>
      <w:r>
        <w:rPr>
          <w:rFonts w:hAnsi="Book Antiqua" w:hint="default"/>
          <w:sz w:val="20"/>
          <w:szCs w:val="20"/>
          <w:rtl w:val="0"/>
          <w:lang w:val="it-IT"/>
        </w:rPr>
        <w:t xml:space="preserve"> è </w:t>
      </w:r>
      <w:r>
        <w:rPr>
          <w:rFonts w:ascii="Book Antiqua"/>
          <w:sz w:val="20"/>
          <w:szCs w:val="20"/>
          <w:rtl w:val="0"/>
          <w:lang w:val="it-IT"/>
        </w:rPr>
        <w:t>stato acquisito dalla Commissione come Doc. n. 2209/2</w:t>
      </w:r>
    </w:p>
  </w:footnote>
  <w:footnote w:id="70">
    <w:p>
      <w:pPr>
        <w:pStyle w:val="footnote text"/>
        <w:ind w:left="567" w:right="567" w:hanging="284"/>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w:t>
        <w:tab/>
        <w:t>Azienda Municipale Ambiente Spa (AMA Spa), con sede in Roma, via Calderon De La Barca 87 (c.f. 05445891004), esercente l</w:t>
      </w:r>
      <w:r>
        <w:rPr>
          <w:rFonts w:hAnsi="Book Antiqua" w:hint="default"/>
          <w:sz w:val="20"/>
          <w:szCs w:val="20"/>
          <w:rtl w:val="0"/>
          <w:lang w:val="it-IT"/>
        </w:rPr>
        <w:t>’</w:t>
      </w:r>
      <w:r>
        <w:rPr>
          <w:rFonts w:ascii="Book Antiqua"/>
          <w:sz w:val="20"/>
          <w:szCs w:val="20"/>
          <w:rtl w:val="0"/>
          <w:lang w:val="it-IT"/>
        </w:rPr>
        <w:t>attivit</w:t>
      </w:r>
      <w:r>
        <w:rPr>
          <w:rFonts w:hAnsi="Book Antiqua" w:hint="default"/>
          <w:sz w:val="20"/>
          <w:szCs w:val="20"/>
          <w:rtl w:val="0"/>
          <w:lang w:val="it-IT"/>
        </w:rPr>
        <w:t xml:space="preserve">à </w:t>
      </w:r>
      <w:r>
        <w:rPr>
          <w:rFonts w:ascii="Book Antiqua"/>
          <w:sz w:val="20"/>
          <w:szCs w:val="20"/>
          <w:rtl w:val="0"/>
          <w:lang w:val="it-IT"/>
        </w:rPr>
        <w:t>di raccolta e smaltimento di rifiuti solidi.</w:t>
      </w:r>
    </w:p>
  </w:footnote>
  <w:footnote w:id="71">
    <w:p>
      <w:pPr>
        <w:pStyle w:val="footnote text"/>
        <w:ind w:left="567" w:right="567" w:hanging="284"/>
        <w:jc w:val="both"/>
      </w:pPr>
      <w:r>
        <w:rPr>
          <w:rFonts w:ascii="Book Antiqua" w:cs="Book Antiqua" w:hAnsi="Book Antiqua" w:eastAsia="Book Antiqua"/>
          <w:sz w:val="22"/>
          <w:szCs w:val="22"/>
          <w:vertAlign w:val="superscript"/>
          <w:rtl w:val="0"/>
        </w:rPr>
        <w:footnoteRef/>
      </w:r>
      <w:r>
        <w:rPr>
          <w:rFonts w:ascii="Book Antiqua"/>
          <w:sz w:val="20"/>
          <w:szCs w:val="20"/>
          <w:rtl w:val="0"/>
          <w:lang w:val="it-IT"/>
        </w:rPr>
        <w:t xml:space="preserve"> </w:t>
        <w:tab/>
        <w:t>HERMANIN DE REICHENFELD Giovanni, nato a Roma il 28/04/1951 (c.f. HRMGNN51D28H501X).</w:t>
      </w:r>
    </w:p>
  </w:footnote>
  <w:footnote w:id="72">
    <w:p>
      <w:pPr>
        <w:pStyle w:val="footnote text"/>
        <w:ind w:left="567" w:right="567" w:hanging="284"/>
        <w:jc w:val="both"/>
      </w:pPr>
      <w:r>
        <w:rPr>
          <w:rFonts w:ascii="Book Antiqua" w:cs="Book Antiqua" w:hAnsi="Book Antiqua" w:eastAsia="Book Antiqua"/>
          <w:sz w:val="22"/>
          <w:szCs w:val="22"/>
          <w:vertAlign w:val="superscript"/>
          <w:rtl w:val="0"/>
        </w:rPr>
        <w:footnoteRef/>
      </w:r>
      <w:r>
        <w:rPr>
          <w:rFonts w:ascii="Book Antiqua"/>
          <w:sz w:val="20"/>
          <w:szCs w:val="20"/>
          <w:rtl w:val="0"/>
          <w:lang w:val="it-IT"/>
        </w:rPr>
        <w:t xml:space="preserve"> </w:t>
        <w:tab/>
        <w:t>ERAMO Biagio, nato a Roma il 06/04/1959 (c.f.  RMEBGI59D06H501N) , in carica fino al 06/08/2008.</w:t>
      </w:r>
    </w:p>
  </w:footnote>
  <w:footnote w:id="73">
    <w:p>
      <w:pPr>
        <w:pStyle w:val="footnote text"/>
        <w:ind w:left="567" w:right="567" w:hanging="284"/>
        <w:jc w:val="both"/>
      </w:pPr>
      <w:r>
        <w:rPr>
          <w:rFonts w:ascii="Book Antiqua" w:cs="Book Antiqua" w:hAnsi="Book Antiqua" w:eastAsia="Book Antiqua"/>
          <w:sz w:val="22"/>
          <w:szCs w:val="22"/>
          <w:vertAlign w:val="superscript"/>
          <w:rtl w:val="0"/>
        </w:rPr>
        <w:footnoteRef/>
      </w:r>
      <w:r>
        <w:rPr>
          <w:rFonts w:ascii="Book Antiqua"/>
          <w:sz w:val="20"/>
          <w:szCs w:val="20"/>
          <w:rtl w:val="0"/>
          <w:lang w:val="it-IT"/>
        </w:rPr>
        <w:t xml:space="preserve"> </w:t>
        <w:tab/>
        <w:t>PANZIRONI Franco, nato a Roma l</w:t>
      </w:r>
      <w:r>
        <w:rPr>
          <w:rFonts w:hAnsi="Book Antiqua" w:hint="default"/>
          <w:sz w:val="20"/>
          <w:szCs w:val="20"/>
          <w:rtl w:val="0"/>
          <w:lang w:val="it-IT"/>
        </w:rPr>
        <w:t>’</w:t>
      </w:r>
      <w:r>
        <w:rPr>
          <w:rFonts w:ascii="Book Antiqua"/>
          <w:sz w:val="20"/>
          <w:szCs w:val="20"/>
          <w:rtl w:val="0"/>
          <w:lang w:val="it-IT"/>
        </w:rPr>
        <w:t>11/07/1948 (c.f. PNZFNC48L11H501E), in carica dal 06/08/2008.</w:t>
      </w:r>
    </w:p>
  </w:footnote>
  <w:footnote w:id="74">
    <w:p>
      <w:pPr>
        <w:pStyle w:val="footnote text"/>
        <w:ind w:left="567" w:right="567" w:hanging="284"/>
        <w:jc w:val="both"/>
      </w:pPr>
      <w:r>
        <w:rPr>
          <w:rFonts w:ascii="Book Antiqua" w:cs="Book Antiqua" w:hAnsi="Book Antiqua" w:eastAsia="Book Antiqua"/>
          <w:sz w:val="22"/>
          <w:szCs w:val="22"/>
          <w:vertAlign w:val="superscript"/>
          <w:rtl w:val="0"/>
        </w:rPr>
        <w:footnoteRef/>
      </w:r>
      <w:r>
        <w:rPr>
          <w:rFonts w:ascii="Book Antiqua"/>
          <w:sz w:val="20"/>
          <w:szCs w:val="20"/>
          <w:rtl w:val="0"/>
          <w:lang w:val="it-IT"/>
        </w:rPr>
        <w:t xml:space="preserve"> </w:t>
        <w:tab/>
        <w:t>BORTONE Roberta, nata a Bari il 16/06/1950 (c.f.  BRTRRT50H56A662V), in carica fino al 22/11/2007.</w:t>
      </w:r>
    </w:p>
  </w:footnote>
  <w:footnote w:id="75">
    <w:p>
      <w:pPr>
        <w:pStyle w:val="footnote text"/>
        <w:ind w:left="567" w:right="567" w:hanging="284"/>
        <w:jc w:val="both"/>
      </w:pPr>
      <w:r>
        <w:rPr>
          <w:rFonts w:ascii="Book Antiqua" w:cs="Book Antiqua" w:hAnsi="Book Antiqua" w:eastAsia="Book Antiqua"/>
          <w:sz w:val="22"/>
          <w:szCs w:val="22"/>
          <w:vertAlign w:val="superscript"/>
          <w:rtl w:val="0"/>
        </w:rPr>
        <w:footnoteRef/>
      </w:r>
      <w:r>
        <w:rPr>
          <w:rFonts w:ascii="Book Antiqua"/>
          <w:sz w:val="20"/>
          <w:szCs w:val="20"/>
          <w:rtl w:val="0"/>
          <w:lang w:val="it-IT"/>
        </w:rPr>
        <w:t xml:space="preserve"> </w:t>
        <w:tab/>
        <w:t>OLIVA Maurizio, nato a Napoli il 29/03/1953 (c.f. LVOMRZ53C29F839R), in carica fino al 22/11/2007.</w:t>
      </w:r>
    </w:p>
  </w:footnote>
  <w:footnote w:id="76">
    <w:p>
      <w:pPr>
        <w:pStyle w:val="footnote text"/>
        <w:ind w:left="567" w:right="567" w:hanging="284"/>
        <w:jc w:val="both"/>
      </w:pPr>
      <w:r>
        <w:rPr>
          <w:rFonts w:ascii="Book Antiqua" w:cs="Book Antiqua" w:hAnsi="Book Antiqua" w:eastAsia="Book Antiqua"/>
          <w:sz w:val="22"/>
          <w:szCs w:val="22"/>
          <w:vertAlign w:val="superscript"/>
          <w:rtl w:val="0"/>
        </w:rPr>
        <w:footnoteRef/>
      </w:r>
      <w:r>
        <w:rPr>
          <w:rFonts w:ascii="Book Antiqua"/>
          <w:sz w:val="20"/>
          <w:szCs w:val="20"/>
          <w:rtl w:val="0"/>
          <w:lang w:val="it-IT"/>
        </w:rPr>
        <w:t xml:space="preserve"> </w:t>
        <w:tab/>
        <w:t>PASSERELLI Antonio, Nato a Roma il 07/08/1963 (c.f. PSSNTN63M07H501Q).</w:t>
      </w:r>
    </w:p>
  </w:footnote>
  <w:footnote w:id="77">
    <w:p>
      <w:pPr>
        <w:pStyle w:val="footnote text"/>
        <w:ind w:left="567" w:right="567" w:hanging="284"/>
        <w:jc w:val="both"/>
      </w:pPr>
      <w:r>
        <w:rPr>
          <w:rFonts w:ascii="Book Antiqua" w:cs="Book Antiqua" w:hAnsi="Book Antiqua" w:eastAsia="Book Antiqua"/>
          <w:sz w:val="22"/>
          <w:szCs w:val="22"/>
          <w:vertAlign w:val="superscript"/>
          <w:rtl w:val="0"/>
        </w:rPr>
        <w:footnoteRef/>
      </w:r>
      <w:r>
        <w:rPr>
          <w:rFonts w:ascii="Book Antiqua"/>
          <w:sz w:val="20"/>
          <w:szCs w:val="20"/>
          <w:rtl w:val="0"/>
          <w:lang w:val="it-IT"/>
        </w:rPr>
        <w:t xml:space="preserve"> </w:t>
        <w:tab/>
        <w:t>RICCIUTO Dario, nato a Duronia (CB) il 21/11/1939 (c.f. RCCDRA39S21C772J).</w:t>
      </w:r>
    </w:p>
  </w:footnote>
  <w:footnote w:id="78">
    <w:p>
      <w:pPr>
        <w:pStyle w:val="footnote text"/>
        <w:ind w:left="567" w:right="567" w:hanging="284"/>
        <w:jc w:val="both"/>
      </w:pPr>
      <w:r>
        <w:rPr>
          <w:rFonts w:ascii="Book Antiqua" w:cs="Book Antiqua" w:hAnsi="Book Antiqua" w:eastAsia="Book Antiqua"/>
          <w:sz w:val="22"/>
          <w:szCs w:val="22"/>
          <w:vertAlign w:val="superscript"/>
          <w:rtl w:val="0"/>
        </w:rPr>
        <w:footnoteRef/>
      </w:r>
      <w:r>
        <w:rPr>
          <w:rFonts w:ascii="Book Antiqua"/>
          <w:sz w:val="20"/>
          <w:szCs w:val="20"/>
          <w:rtl w:val="0"/>
          <w:lang w:val="it-IT"/>
        </w:rPr>
        <w:t xml:space="preserve"> </w:t>
        <w:tab/>
        <w:t>ROCCHI Carla, nata a Roma l</w:t>
      </w:r>
      <w:r>
        <w:rPr>
          <w:rFonts w:hAnsi="Book Antiqua" w:hint="default"/>
          <w:sz w:val="20"/>
          <w:szCs w:val="20"/>
          <w:rtl w:val="0"/>
          <w:lang w:val="it-IT"/>
        </w:rPr>
        <w:t>’</w:t>
      </w:r>
      <w:r>
        <w:rPr>
          <w:rFonts w:ascii="Book Antiqua"/>
          <w:sz w:val="20"/>
          <w:szCs w:val="20"/>
          <w:rtl w:val="0"/>
          <w:lang w:val="it-IT"/>
        </w:rPr>
        <w:t>11/03/1942 (c.f. RCCCRL42C51H501Z), in carica fino al 22/11/2007.</w:t>
      </w:r>
    </w:p>
  </w:footnote>
  <w:footnote w:id="79">
    <w:p>
      <w:pPr>
        <w:pStyle w:val="footnote text"/>
        <w:ind w:left="567" w:right="567" w:hanging="284"/>
        <w:jc w:val="both"/>
      </w:pPr>
      <w:r>
        <w:rPr>
          <w:rFonts w:ascii="Book Antiqua" w:cs="Book Antiqua" w:hAnsi="Book Antiqua" w:eastAsia="Book Antiqua"/>
          <w:sz w:val="22"/>
          <w:szCs w:val="22"/>
          <w:vertAlign w:val="superscript"/>
          <w:rtl w:val="0"/>
        </w:rPr>
        <w:footnoteRef/>
      </w:r>
      <w:r>
        <w:rPr>
          <w:rFonts w:ascii="Book Antiqua"/>
          <w:sz w:val="20"/>
          <w:szCs w:val="20"/>
          <w:rtl w:val="0"/>
          <w:lang w:val="it-IT"/>
        </w:rPr>
        <w:t xml:space="preserve"> </w:t>
        <w:tab/>
        <w:t>ROSELLI Vincenzo, nato a Grottaminarda (AV) il 04/04/1947 (c.f. RSLVCN47D04E206V), in carica dal 22/11/2007.</w:t>
      </w:r>
    </w:p>
  </w:footnote>
  <w:footnote w:id="80">
    <w:p>
      <w:pPr>
        <w:pStyle w:val="footnote text"/>
        <w:ind w:left="567" w:right="567" w:hanging="284"/>
        <w:jc w:val="both"/>
      </w:pPr>
      <w:r>
        <w:rPr>
          <w:rFonts w:ascii="Book Antiqua" w:cs="Book Antiqua" w:hAnsi="Book Antiqua" w:eastAsia="Book Antiqua"/>
          <w:sz w:val="22"/>
          <w:szCs w:val="22"/>
          <w:vertAlign w:val="superscript"/>
          <w:rtl w:val="0"/>
        </w:rPr>
        <w:footnoteRef/>
      </w:r>
      <w:r>
        <w:rPr>
          <w:rFonts w:ascii="Book Antiqua"/>
          <w:sz w:val="20"/>
          <w:szCs w:val="20"/>
          <w:rtl w:val="0"/>
          <w:lang w:val="it-IT"/>
        </w:rPr>
        <w:t xml:space="preserve"> </w:t>
        <w:tab/>
        <w:t>FISCON Giovanni, nato a Roma il 29/01/1957 (c.f. FSCGNN57A29H501J), in carica dal 04/08/2006.</w:t>
      </w:r>
    </w:p>
  </w:footnote>
  <w:footnote w:id="81">
    <w:p>
      <w:pPr>
        <w:pStyle w:val="footnote text"/>
        <w:ind w:left="567" w:right="567" w:hanging="284"/>
        <w:jc w:val="both"/>
      </w:pPr>
      <w:r>
        <w:rPr>
          <w:rFonts w:ascii="Book Antiqua" w:cs="Book Antiqua" w:hAnsi="Book Antiqua" w:eastAsia="Book Antiqua"/>
          <w:sz w:val="22"/>
          <w:szCs w:val="22"/>
          <w:vertAlign w:val="superscript"/>
          <w:rtl w:val="0"/>
        </w:rPr>
        <w:footnoteRef/>
      </w:r>
      <w:r>
        <w:rPr>
          <w:rFonts w:ascii="Book Antiqua"/>
          <w:sz w:val="20"/>
          <w:szCs w:val="20"/>
          <w:rtl w:val="0"/>
          <w:lang w:val="it-IT"/>
        </w:rPr>
        <w:t xml:space="preserve"> </w:t>
        <w:tab/>
        <w:t>CLARKE Marco Daniele, nato a Roma il 13/10/1951 (c.f. CLRMCD51R13H501Q).</w:t>
      </w:r>
    </w:p>
  </w:footnote>
  <w:footnote w:id="82">
    <w:p>
      <w:pPr>
        <w:pStyle w:val="footnote text"/>
        <w:ind w:left="567" w:right="567" w:hanging="284"/>
        <w:jc w:val="both"/>
      </w:pPr>
      <w:r>
        <w:rPr>
          <w:rFonts w:ascii="Book Antiqua" w:cs="Book Antiqua" w:hAnsi="Book Antiqua" w:eastAsia="Book Antiqua"/>
          <w:sz w:val="22"/>
          <w:szCs w:val="22"/>
          <w:vertAlign w:val="superscript"/>
          <w:rtl w:val="0"/>
        </w:rPr>
        <w:footnoteRef/>
      </w:r>
      <w:r>
        <w:rPr>
          <w:rFonts w:ascii="Book Antiqua"/>
          <w:sz w:val="20"/>
          <w:szCs w:val="20"/>
          <w:rtl w:val="0"/>
          <w:lang w:val="it-IT"/>
        </w:rPr>
        <w:t xml:space="preserve"> </w:t>
        <w:tab/>
        <w:t>PANZIRONI Franco, nato a Roma l</w:t>
      </w:r>
      <w:r>
        <w:rPr>
          <w:rFonts w:hAnsi="Book Antiqua" w:hint="default"/>
          <w:sz w:val="20"/>
          <w:szCs w:val="20"/>
          <w:rtl w:val="0"/>
          <w:lang w:val="it-IT"/>
        </w:rPr>
        <w:t>’</w:t>
      </w:r>
      <w:r>
        <w:rPr>
          <w:rFonts w:ascii="Book Antiqua"/>
          <w:sz w:val="20"/>
          <w:szCs w:val="20"/>
          <w:rtl w:val="0"/>
          <w:lang w:val="it-IT"/>
        </w:rPr>
        <w:t>11/07/1948 (c.f. PNZFNC48L11H501E), in carica dal 21/10/2009 al 09/08/2011.</w:t>
      </w:r>
    </w:p>
  </w:footnote>
  <w:footnote w:id="83">
    <w:p>
      <w:pPr>
        <w:pStyle w:val="footnote text"/>
        <w:ind w:left="567" w:right="567" w:hanging="284"/>
        <w:jc w:val="both"/>
      </w:pPr>
      <w:r>
        <w:rPr>
          <w:rFonts w:ascii="Book Antiqua" w:cs="Book Antiqua" w:hAnsi="Book Antiqua" w:eastAsia="Book Antiqua"/>
          <w:sz w:val="22"/>
          <w:szCs w:val="22"/>
          <w:vertAlign w:val="superscript"/>
          <w:rtl w:val="0"/>
        </w:rPr>
        <w:footnoteRef/>
      </w:r>
      <w:r>
        <w:rPr>
          <w:rFonts w:ascii="Book Antiqua"/>
          <w:sz w:val="20"/>
          <w:szCs w:val="20"/>
          <w:rtl w:val="0"/>
          <w:lang w:val="it-IT"/>
        </w:rPr>
        <w:t xml:space="preserve"> </w:t>
        <w:tab/>
        <w:t>CANGEMI Giuseppe Emanuele, nato a Roma il 04/08/1970 (c.f. CNGGPP70M04H501R).</w:t>
      </w:r>
    </w:p>
  </w:footnote>
  <w:footnote w:id="84">
    <w:p>
      <w:pPr>
        <w:pStyle w:val="footnote text"/>
        <w:ind w:left="567" w:right="567" w:hanging="284"/>
        <w:jc w:val="both"/>
      </w:pPr>
      <w:r>
        <w:rPr>
          <w:rFonts w:ascii="Book Antiqua" w:cs="Book Antiqua" w:hAnsi="Book Antiqua" w:eastAsia="Book Antiqua"/>
          <w:sz w:val="22"/>
          <w:szCs w:val="22"/>
          <w:vertAlign w:val="superscript"/>
          <w:rtl w:val="0"/>
        </w:rPr>
        <w:footnoteRef/>
      </w:r>
      <w:r>
        <w:rPr>
          <w:rFonts w:ascii="Book Antiqua"/>
          <w:sz w:val="20"/>
          <w:szCs w:val="20"/>
          <w:rtl w:val="0"/>
          <w:lang w:val="it-IT"/>
        </w:rPr>
        <w:t xml:space="preserve"> </w:t>
        <w:tab/>
        <w:t>BALIA Massimo, nato a Carbonia il 28/11/1963 (c.f. BLAMSM63S28B745E).</w:t>
      </w:r>
    </w:p>
  </w:footnote>
  <w:footnote w:id="85">
    <w:p>
      <w:pPr>
        <w:pStyle w:val="footnote text"/>
        <w:ind w:left="567" w:right="567" w:hanging="284"/>
        <w:jc w:val="both"/>
      </w:pPr>
      <w:r>
        <w:rPr>
          <w:rFonts w:ascii="Book Antiqua" w:cs="Book Antiqua" w:hAnsi="Book Antiqua" w:eastAsia="Book Antiqua"/>
          <w:sz w:val="22"/>
          <w:szCs w:val="22"/>
          <w:vertAlign w:val="superscript"/>
          <w:rtl w:val="0"/>
        </w:rPr>
        <w:footnoteRef/>
      </w:r>
      <w:r>
        <w:rPr>
          <w:rFonts w:ascii="Book Antiqua"/>
          <w:sz w:val="20"/>
          <w:szCs w:val="20"/>
          <w:rtl w:val="0"/>
          <w:lang w:val="it-IT"/>
        </w:rPr>
        <w:t xml:space="preserve"> </w:t>
        <w:tab/>
        <w:t>BENVENUTI Piergiorgio, nato a Roma il 02/06/1960 (c.f. BNVPGR60H02H501X).</w:t>
      </w:r>
    </w:p>
  </w:footnote>
  <w:footnote w:id="86">
    <w:p>
      <w:pPr>
        <w:pStyle w:val="footnote text"/>
        <w:ind w:left="567" w:right="567" w:hanging="284"/>
        <w:jc w:val="both"/>
      </w:pPr>
      <w:r>
        <w:rPr>
          <w:rFonts w:ascii="Book Antiqua" w:cs="Book Antiqua" w:hAnsi="Book Antiqua" w:eastAsia="Book Antiqua"/>
          <w:sz w:val="22"/>
          <w:szCs w:val="22"/>
          <w:vertAlign w:val="superscript"/>
          <w:rtl w:val="0"/>
        </w:rPr>
        <w:footnoteRef/>
      </w:r>
      <w:r>
        <w:rPr>
          <w:rFonts w:ascii="Book Antiqua"/>
          <w:sz w:val="20"/>
          <w:szCs w:val="20"/>
          <w:rtl w:val="0"/>
          <w:lang w:val="it-IT"/>
        </w:rPr>
        <w:t xml:space="preserve"> </w:t>
        <w:tab/>
        <w:t>CAPPELLO SALVATORE, nato a Pietraperzia (EN) l</w:t>
      </w:r>
      <w:r>
        <w:rPr>
          <w:rFonts w:hAnsi="Book Antiqua" w:hint="default"/>
          <w:sz w:val="20"/>
          <w:szCs w:val="20"/>
          <w:rtl w:val="0"/>
          <w:lang w:val="it-IT"/>
        </w:rPr>
        <w:t>’</w:t>
      </w:r>
      <w:r>
        <w:rPr>
          <w:rFonts w:ascii="Book Antiqua"/>
          <w:sz w:val="20"/>
          <w:szCs w:val="20"/>
          <w:rtl w:val="0"/>
          <w:lang w:val="it-IT"/>
        </w:rPr>
        <w:t>01/04/1961 (c.f. CPPSVT61D01G624V), in carica fino al 20/09/2012.</w:t>
      </w:r>
    </w:p>
  </w:footnote>
  <w:footnote w:id="87">
    <w:p>
      <w:pPr>
        <w:pStyle w:val="footnote text"/>
        <w:ind w:left="567" w:right="567" w:hanging="284"/>
        <w:jc w:val="both"/>
      </w:pPr>
      <w:r>
        <w:rPr>
          <w:rFonts w:ascii="Book Antiqua" w:cs="Book Antiqua" w:hAnsi="Book Antiqua" w:eastAsia="Book Antiqua"/>
          <w:sz w:val="22"/>
          <w:szCs w:val="22"/>
          <w:vertAlign w:val="superscript"/>
          <w:rtl w:val="0"/>
        </w:rPr>
        <w:footnoteRef/>
      </w:r>
      <w:r>
        <w:rPr>
          <w:rFonts w:ascii="Book Antiqua"/>
          <w:sz w:val="20"/>
          <w:szCs w:val="20"/>
          <w:rtl w:val="0"/>
          <w:lang w:val="it-IT"/>
        </w:rPr>
        <w:t xml:space="preserve"> </w:t>
        <w:tab/>
        <w:t>ANELLI Giovanna Giuseppina, nato a Pavia il 23/10/1957 (c.f. NLLGNN57R63G388Z), in carica dal 20/09/2012 al 19/04/2013.</w:t>
      </w:r>
    </w:p>
  </w:footnote>
  <w:footnote w:id="88">
    <w:p>
      <w:pPr>
        <w:pStyle w:val="footnote text"/>
        <w:ind w:left="567" w:right="567" w:hanging="284"/>
        <w:jc w:val="both"/>
      </w:pPr>
      <w:r>
        <w:rPr>
          <w:rFonts w:ascii="Book Antiqua" w:cs="Book Antiqua" w:hAnsi="Book Antiqua" w:eastAsia="Book Antiqua"/>
          <w:sz w:val="22"/>
          <w:szCs w:val="22"/>
          <w:vertAlign w:val="superscript"/>
          <w:rtl w:val="0"/>
        </w:rPr>
        <w:footnoteRef/>
      </w:r>
      <w:r>
        <w:rPr>
          <w:rFonts w:ascii="Book Antiqua"/>
          <w:sz w:val="20"/>
          <w:szCs w:val="20"/>
          <w:rtl w:val="0"/>
          <w:lang w:val="it-IT"/>
        </w:rPr>
        <w:t xml:space="preserve"> </w:t>
        <w:tab/>
        <w:t>FISCON Giovanni, nato a Roma il 29/01/1957 (c.f. FSCGNN57A29H501J), in carica dal dal 19/04/2013 al 27/01/2014.</w:t>
      </w:r>
    </w:p>
  </w:footnote>
  <w:footnote w:id="89">
    <w:p>
      <w:pPr>
        <w:pStyle w:val="footnote text"/>
        <w:ind w:left="567" w:right="567" w:hanging="284"/>
        <w:jc w:val="both"/>
      </w:pPr>
      <w:r>
        <w:rPr>
          <w:rFonts w:ascii="Book Antiqua" w:cs="Book Antiqua" w:hAnsi="Book Antiqua" w:eastAsia="Book Antiqua"/>
          <w:sz w:val="22"/>
          <w:szCs w:val="22"/>
          <w:vertAlign w:val="superscript"/>
          <w:rtl w:val="0"/>
        </w:rPr>
        <w:footnoteRef/>
      </w:r>
      <w:r>
        <w:rPr>
          <w:rFonts w:ascii="Book Antiqua"/>
          <w:sz w:val="20"/>
          <w:szCs w:val="20"/>
          <w:rtl w:val="0"/>
          <w:lang w:val="it-IT"/>
        </w:rPr>
        <w:t xml:space="preserve"> </w:t>
        <w:tab/>
        <w:t>FASOLI Teresa, nata a Roma il 15/10/1949 (c.f. FSLTRS49R55H501O), in carica dal 19/04/2013 al 31/01/2014.</w:t>
      </w:r>
    </w:p>
  </w:footnote>
  <w:footnote w:id="90">
    <w:p>
      <w:pPr>
        <w:pStyle w:val="footnote text"/>
        <w:ind w:left="567" w:right="567" w:hanging="284"/>
        <w:jc w:val="both"/>
      </w:pPr>
      <w:r>
        <w:rPr>
          <w:rFonts w:ascii="Book Antiqua" w:cs="Book Antiqua" w:hAnsi="Book Antiqua" w:eastAsia="Book Antiqua"/>
          <w:sz w:val="22"/>
          <w:szCs w:val="22"/>
          <w:vertAlign w:val="superscript"/>
          <w:rtl w:val="0"/>
        </w:rPr>
        <w:footnoteRef/>
      </w:r>
      <w:r>
        <w:rPr>
          <w:rFonts w:ascii="Book Antiqua"/>
          <w:sz w:val="20"/>
          <w:szCs w:val="20"/>
          <w:rtl w:val="0"/>
          <w:lang w:val="it-IT"/>
        </w:rPr>
        <w:t xml:space="preserve"> </w:t>
        <w:tab/>
        <w:t>NARDI Gianmario, nato a Tornimparte (AQ) il 02/08/1954 (c.f. NRDGMR54M02L227E) , in carica fino al 14/11/2011.</w:t>
      </w:r>
    </w:p>
  </w:footnote>
  <w:footnote w:id="91">
    <w:p>
      <w:pPr>
        <w:pStyle w:val="footnote text"/>
        <w:ind w:left="567" w:right="567" w:hanging="284"/>
        <w:jc w:val="both"/>
      </w:pPr>
      <w:r>
        <w:rPr>
          <w:rFonts w:ascii="Book Antiqua" w:cs="Book Antiqua" w:hAnsi="Book Antiqua" w:eastAsia="Book Antiqua"/>
          <w:sz w:val="22"/>
          <w:szCs w:val="22"/>
          <w:vertAlign w:val="superscript"/>
          <w:rtl w:val="0"/>
        </w:rPr>
        <w:footnoteRef/>
      </w:r>
      <w:r>
        <w:rPr>
          <w:rFonts w:ascii="Book Antiqua"/>
          <w:sz w:val="20"/>
          <w:szCs w:val="20"/>
          <w:rtl w:val="0"/>
          <w:lang w:val="it-IT"/>
        </w:rPr>
        <w:t xml:space="preserve"> </w:t>
        <w:tab/>
        <w:t>BORRIELLO Raffaele, nato a Napoli il 05/03/1968 (c.f. BRRRFL68C05F839Z), in carica fino al 29/02/2012.</w:t>
      </w:r>
    </w:p>
  </w:footnote>
  <w:footnote w:id="92">
    <w:p>
      <w:pPr>
        <w:pStyle w:val="footnote text"/>
        <w:ind w:left="567" w:right="567" w:hanging="284"/>
        <w:jc w:val="both"/>
      </w:pPr>
      <w:r>
        <w:rPr>
          <w:rFonts w:ascii="Book Antiqua" w:cs="Book Antiqua" w:hAnsi="Book Antiqua" w:eastAsia="Book Antiqua"/>
          <w:sz w:val="22"/>
          <w:szCs w:val="22"/>
          <w:vertAlign w:val="superscript"/>
          <w:rtl w:val="0"/>
        </w:rPr>
        <w:footnoteRef/>
      </w:r>
      <w:r>
        <w:rPr>
          <w:rFonts w:ascii="Book Antiqua"/>
          <w:sz w:val="20"/>
          <w:szCs w:val="20"/>
          <w:rtl w:val="0"/>
          <w:lang w:val="it-IT"/>
        </w:rPr>
        <w:t xml:space="preserve"> </w:t>
        <w:tab/>
        <w:t>COMMINI Stefano, nato a Roma il 03/02/1973 (c.f. CMMSFN73B03H501W), in carica dal 29/02/2012.</w:t>
      </w:r>
    </w:p>
  </w:footnote>
  <w:footnote w:id="93">
    <w:p>
      <w:pPr>
        <w:pStyle w:val="footnote text"/>
        <w:ind w:left="567" w:right="567" w:hanging="284"/>
        <w:jc w:val="both"/>
      </w:pPr>
      <w:r>
        <w:rPr>
          <w:rFonts w:ascii="Book Antiqua" w:cs="Book Antiqua" w:hAnsi="Book Antiqua" w:eastAsia="Book Antiqua"/>
          <w:sz w:val="22"/>
          <w:szCs w:val="22"/>
          <w:vertAlign w:val="superscript"/>
          <w:rtl w:val="0"/>
        </w:rPr>
        <w:footnoteRef/>
      </w:r>
      <w:r>
        <w:rPr>
          <w:rFonts w:ascii="Book Antiqua"/>
          <w:sz w:val="20"/>
          <w:szCs w:val="20"/>
          <w:rtl w:val="0"/>
          <w:lang w:val="it-IT"/>
        </w:rPr>
        <w:t xml:space="preserve"> </w:t>
        <w:tab/>
        <w:t>FORTINI Daniele, nato ad Orbetello (GR) il 28/08/1955 (c.f. FRTDNL55M28G088N).</w:t>
      </w:r>
    </w:p>
  </w:footnote>
  <w:footnote w:id="94">
    <w:p>
      <w:pPr>
        <w:pStyle w:val="footnote text"/>
        <w:ind w:left="567" w:right="567" w:hanging="284"/>
        <w:jc w:val="both"/>
      </w:pPr>
      <w:r>
        <w:rPr>
          <w:rFonts w:ascii="Book Antiqua" w:cs="Book Antiqua" w:hAnsi="Book Antiqua" w:eastAsia="Book Antiqua"/>
          <w:sz w:val="22"/>
          <w:szCs w:val="22"/>
          <w:vertAlign w:val="superscript"/>
          <w:rtl w:val="0"/>
        </w:rPr>
        <w:footnoteRef/>
      </w:r>
      <w:r>
        <w:rPr>
          <w:rFonts w:ascii="Book Antiqua"/>
          <w:sz w:val="20"/>
          <w:szCs w:val="20"/>
          <w:rtl w:val="0"/>
          <w:lang w:val="it-IT"/>
        </w:rPr>
        <w:t xml:space="preserve"> </w:t>
        <w:tab/>
        <w:t>CIRILLO Carolina, nata a Foggia il 04/01/1967 (c.f. CRLCLN67A44D643G).</w:t>
      </w:r>
    </w:p>
  </w:footnote>
  <w:footnote w:id="95">
    <w:p>
      <w:pPr>
        <w:pStyle w:val="footnote text"/>
        <w:ind w:left="567" w:right="567" w:hanging="284"/>
        <w:jc w:val="both"/>
      </w:pPr>
      <w:r>
        <w:rPr>
          <w:rFonts w:ascii="Book Antiqua" w:cs="Book Antiqua" w:hAnsi="Book Antiqua" w:eastAsia="Book Antiqua"/>
          <w:sz w:val="22"/>
          <w:szCs w:val="22"/>
          <w:vertAlign w:val="superscript"/>
          <w:rtl w:val="0"/>
        </w:rPr>
        <w:footnoteRef/>
      </w:r>
      <w:r>
        <w:rPr>
          <w:rFonts w:ascii="Book Antiqua"/>
          <w:sz w:val="20"/>
          <w:szCs w:val="20"/>
          <w:rtl w:val="0"/>
          <w:lang w:val="it-IT"/>
        </w:rPr>
        <w:t xml:space="preserve"> </w:t>
        <w:tab/>
        <w:t>MURRA Rodolfo, nato a Roma il 22/04/1961 (c.f. MRRRLF61D22H501P), in carica fino al 07/01/2016.</w:t>
      </w:r>
    </w:p>
  </w:footnote>
  <w:footnote w:id="96">
    <w:p>
      <w:pPr>
        <w:pStyle w:val="footnote text"/>
        <w:ind w:left="567" w:right="567" w:hanging="284"/>
        <w:jc w:val="both"/>
      </w:pPr>
      <w:r>
        <w:rPr>
          <w:rFonts w:ascii="Book Antiqua" w:cs="Book Antiqua" w:hAnsi="Book Antiqua" w:eastAsia="Book Antiqua"/>
          <w:sz w:val="22"/>
          <w:szCs w:val="22"/>
          <w:vertAlign w:val="superscript"/>
          <w:rtl w:val="0"/>
        </w:rPr>
        <w:footnoteRef/>
      </w:r>
      <w:r>
        <w:rPr>
          <w:rFonts w:ascii="Book Antiqua"/>
          <w:sz w:val="20"/>
          <w:szCs w:val="20"/>
          <w:rtl w:val="0"/>
          <w:lang w:val="it-IT"/>
        </w:rPr>
        <w:t xml:space="preserve"> </w:t>
        <w:tab/>
        <w:t>SOLIDORO Alessandro Angelo, nato a Torino il 15/07/1961 (c.f. SLDLSN61L15L219I).</w:t>
      </w:r>
    </w:p>
  </w:footnote>
  <w:footnote w:id="97">
    <w:p>
      <w:pPr>
        <w:pStyle w:val="footnote text"/>
        <w:ind w:left="567" w:right="567" w:hanging="284"/>
        <w:jc w:val="both"/>
      </w:pPr>
      <w:r>
        <w:rPr>
          <w:rFonts w:ascii="Book Antiqua" w:cs="Book Antiqua" w:hAnsi="Book Antiqua" w:eastAsia="Book Antiqua"/>
          <w:sz w:val="22"/>
          <w:szCs w:val="22"/>
          <w:vertAlign w:val="superscript"/>
          <w:rtl w:val="0"/>
        </w:rPr>
        <w:footnoteRef/>
      </w:r>
      <w:r>
        <w:rPr>
          <w:rFonts w:ascii="Book Antiqua"/>
          <w:sz w:val="20"/>
          <w:szCs w:val="20"/>
          <w:rtl w:val="0"/>
          <w:lang w:val="it-IT"/>
        </w:rPr>
        <w:t xml:space="preserve"> </w:t>
        <w:tab/>
        <w:t>GIGLIO Antonella, nata a Varese il 05/09/1958 (c.f. GGLNNL58P45L682T).</w:t>
      </w:r>
    </w:p>
  </w:footnote>
  <w:footnote w:id="98">
    <w:p>
      <w:pPr>
        <w:pStyle w:val="footnote text"/>
        <w:ind w:left="567" w:right="567" w:hanging="284"/>
        <w:jc w:val="both"/>
      </w:pPr>
      <w:r>
        <w:rPr>
          <w:rFonts w:ascii="Book Antiqua" w:cs="Book Antiqua" w:hAnsi="Book Antiqua" w:eastAsia="Book Antiqua"/>
          <w:sz w:val="22"/>
          <w:szCs w:val="22"/>
          <w:vertAlign w:val="superscript"/>
          <w:rtl w:val="0"/>
        </w:rPr>
        <w:footnoteRef/>
      </w:r>
      <w:r>
        <w:rPr>
          <w:rFonts w:ascii="Book Antiqua"/>
          <w:sz w:val="20"/>
          <w:szCs w:val="20"/>
          <w:rtl w:val="0"/>
          <w:lang w:val="it-IT"/>
        </w:rPr>
        <w:t xml:space="preserve"> </w:t>
        <w:tab/>
        <w:t>BAGNACANI Lorenzo, nato a Reggio Emilia il 17/11/1970 (c.f. BGNLNZ70S17H223U).</w:t>
      </w:r>
    </w:p>
  </w:footnote>
  <w:footnote w:id="99">
    <w:p>
      <w:pPr>
        <w:pStyle w:val="footnote text"/>
        <w:ind w:left="567" w:right="567" w:hanging="284"/>
        <w:jc w:val="both"/>
      </w:pPr>
      <w:r>
        <w:rPr>
          <w:rFonts w:ascii="Book Antiqua" w:cs="Book Antiqua" w:hAnsi="Book Antiqua" w:eastAsia="Book Antiqua"/>
          <w:sz w:val="22"/>
          <w:szCs w:val="22"/>
          <w:vertAlign w:val="superscript"/>
          <w:rtl w:val="0"/>
        </w:rPr>
        <w:footnoteRef/>
      </w:r>
      <w:r>
        <w:rPr>
          <w:rFonts w:ascii="Book Antiqua"/>
          <w:sz w:val="20"/>
          <w:szCs w:val="20"/>
          <w:rtl w:val="0"/>
          <w:lang w:val="it-IT"/>
        </w:rPr>
        <w:t xml:space="preserve"> </w:t>
        <w:tab/>
        <w:t>PETTINAO Emanuela, nata a Cagliari il 26/01/1982 (c.f. PTTMNL82A66B354O).</w:t>
      </w:r>
    </w:p>
  </w:footnote>
  <w:footnote w:id="100">
    <w:p>
      <w:pPr>
        <w:pStyle w:val="footnote text"/>
        <w:ind w:left="567" w:right="567" w:hanging="284"/>
        <w:jc w:val="both"/>
      </w:pPr>
      <w:r>
        <w:rPr>
          <w:rFonts w:ascii="Book Antiqua" w:cs="Book Antiqua" w:hAnsi="Book Antiqua" w:eastAsia="Book Antiqua"/>
          <w:sz w:val="22"/>
          <w:szCs w:val="22"/>
          <w:vertAlign w:val="superscript"/>
          <w:rtl w:val="0"/>
        </w:rPr>
        <w:footnoteRef/>
      </w:r>
      <w:r>
        <w:rPr>
          <w:rFonts w:ascii="Book Antiqua"/>
          <w:sz w:val="20"/>
          <w:szCs w:val="20"/>
          <w:rtl w:val="0"/>
          <w:lang w:val="it-IT"/>
        </w:rPr>
        <w:t xml:space="preserve"> </w:t>
        <w:tab/>
        <w:t>MASULLO Andrea, nato a Roma il 30/11/1952 (c.f. MSLNDR52S30H501Y).</w:t>
      </w:r>
    </w:p>
  </w:footnote>
  <w:footnote w:id="101">
    <w:p>
      <w:pPr>
        <w:pStyle w:val="footnote text"/>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w:t>
      </w:r>
      <w:hyperlink r:id="rId13" w:history="1">
        <w:r>
          <w:rPr>
            <w:rStyle w:val="Hyperlink.2"/>
            <w:rFonts w:ascii="Book Antiqua"/>
            <w:sz w:val="20"/>
            <w:szCs w:val="20"/>
            <w:rtl w:val="0"/>
            <w:lang w:val="it-IT"/>
          </w:rPr>
          <w:t>http://pubblicazioni.agenzia.roma.it/schede-124-il_servizio_di_igiene_urbana_a_roma</w:t>
        </w:r>
      </w:hyperlink>
      <w:r>
        <w:rPr>
          <w:rFonts w:ascii="Book Antiqua"/>
          <w:sz w:val="20"/>
          <w:szCs w:val="20"/>
          <w:rtl w:val="0"/>
          <w:lang w:val="it-IT"/>
        </w:rPr>
        <w:t xml:space="preserve"> </w:t>
      </w:r>
    </w:p>
  </w:footnote>
  <w:footnote w:id="102">
    <w:p>
      <w:pPr>
        <w:pStyle w:val="footnote text"/>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w:t>
      </w:r>
      <w:r>
        <w:rPr>
          <w:rFonts w:hAnsi="Book Antiqua" w:hint="default"/>
          <w:sz w:val="20"/>
          <w:szCs w:val="20"/>
          <w:rtl w:val="0"/>
          <w:lang w:val="it-IT"/>
        </w:rPr>
        <w:t>“</w:t>
      </w:r>
      <w:r>
        <w:rPr>
          <w:rFonts w:ascii="Book Antiqua"/>
          <w:sz w:val="20"/>
          <w:szCs w:val="20"/>
          <w:rtl w:val="0"/>
          <w:lang w:val="it-IT"/>
        </w:rPr>
        <w:t>Contratto di Servizio tra Roma Capitale ed AMA S.p.A. per la gestione dei rifiuti urbani e i servizi di igiene urbana valevole dal 1</w:t>
      </w:r>
      <w:r>
        <w:rPr>
          <w:rFonts w:hAnsi="Book Antiqua" w:hint="default"/>
          <w:sz w:val="20"/>
          <w:szCs w:val="20"/>
          <w:rtl w:val="0"/>
          <w:lang w:val="it-IT"/>
        </w:rPr>
        <w:t xml:space="preserve">° </w:t>
      </w:r>
      <w:r>
        <w:rPr>
          <w:rFonts w:ascii="Book Antiqua"/>
          <w:sz w:val="20"/>
          <w:szCs w:val="20"/>
          <w:rtl w:val="0"/>
          <w:lang w:val="it-IT"/>
        </w:rPr>
        <w:t>aprile 2016 al 31 dicembre 2018</w:t>
      </w:r>
      <w:r>
        <w:rPr>
          <w:rFonts w:hAnsi="Book Antiqua" w:hint="default"/>
          <w:sz w:val="20"/>
          <w:szCs w:val="20"/>
          <w:rtl w:val="0"/>
          <w:lang w:val="it-IT"/>
        </w:rPr>
        <w:t xml:space="preserve">” </w:t>
      </w:r>
      <w:r>
        <w:rPr>
          <w:rFonts w:ascii="Book Antiqua"/>
          <w:sz w:val="20"/>
          <w:szCs w:val="20"/>
          <w:rtl w:val="0"/>
          <w:lang w:val="it-IT"/>
        </w:rPr>
        <w:t>approvato con la  Deliberazione del Commissario Straordinario con i poteri della Giunta Capitolina n. 77 del 12 maggio 2016</w:t>
      </w:r>
    </w:p>
  </w:footnote>
  <w:footnote w:id="103">
    <w:p>
      <w:pPr>
        <w:pStyle w:val="footnote text"/>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Ultima proroga con Deliberazione 14/2015 del Commissario straordinario con i poteri della Giunta Capitolina</w:t>
      </w:r>
    </w:p>
  </w:footnote>
  <w:footnote w:id="104">
    <w:p>
      <w:pPr>
        <w:pStyle w:val="footnote text"/>
        <w:ind w:left="567" w:right="567" w:firstLine="0"/>
      </w:pPr>
      <w:r>
        <w:rPr>
          <w:rFonts w:ascii="Book Antiqua" w:cs="Book Antiqua" w:hAnsi="Book Antiqua" w:eastAsia="Book Antiqua"/>
          <w:vertAlign w:val="superscript"/>
          <w:rtl w:val="0"/>
        </w:rPr>
        <w:footnoteRef/>
      </w:r>
      <w:r>
        <w:rPr>
          <w:rFonts w:ascii="Book Antiqua"/>
          <w:sz w:val="20"/>
          <w:szCs w:val="20"/>
          <w:rtl w:val="0"/>
          <w:lang w:val="it-IT"/>
        </w:rPr>
        <w:t xml:space="preserve"> Fonte: sito ufficiale di AMA Spa </w:t>
      </w:r>
      <w:r>
        <w:rPr>
          <w:rFonts w:hAnsi="Book Antiqua" w:hint="default"/>
          <w:sz w:val="20"/>
          <w:szCs w:val="20"/>
          <w:rtl w:val="0"/>
          <w:lang w:val="it-IT"/>
        </w:rPr>
        <w:t xml:space="preserve">– </w:t>
      </w:r>
      <w:hyperlink r:id="rId14" w:history="1">
        <w:r>
          <w:rPr>
            <w:rStyle w:val="Hyperlink.2"/>
            <w:rFonts w:ascii="Book Antiqua"/>
            <w:sz w:val="20"/>
            <w:szCs w:val="20"/>
            <w:rtl w:val="0"/>
            <w:lang w:val="it-IT"/>
          </w:rPr>
          <w:t>www.amaroma.it</w:t>
        </w:r>
      </w:hyperlink>
      <w:r>
        <w:rPr>
          <w:rFonts w:ascii="Book Antiqua"/>
          <w:sz w:val="20"/>
          <w:szCs w:val="20"/>
          <w:rtl w:val="0"/>
          <w:lang w:val="it-IT"/>
        </w:rPr>
        <w:t xml:space="preserve">; va precisato che le partecipazioni di AMA Spa nella </w:t>
      </w:r>
      <w:r>
        <w:rPr>
          <w:rFonts w:hAnsi="Book Antiqua" w:hint="default"/>
          <w:sz w:val="20"/>
          <w:szCs w:val="20"/>
          <w:rtl w:val="0"/>
          <w:lang w:val="it-IT"/>
        </w:rPr>
        <w:t>“</w:t>
      </w:r>
      <w:r>
        <w:rPr>
          <w:rFonts w:ascii="Book Antiqua"/>
          <w:sz w:val="20"/>
          <w:szCs w:val="20"/>
          <w:rtl w:val="0"/>
          <w:lang w:val="it-IT"/>
        </w:rPr>
        <w:t>GEA srl</w:t>
      </w:r>
      <w:r>
        <w:rPr>
          <w:rFonts w:hAnsi="Book Antiqua" w:hint="default"/>
          <w:sz w:val="20"/>
          <w:szCs w:val="20"/>
          <w:rtl w:val="0"/>
          <w:lang w:val="it-IT"/>
        </w:rPr>
        <w:t xml:space="preserve">” </w:t>
      </w:r>
      <w:r>
        <w:rPr>
          <w:rFonts w:ascii="Book Antiqua"/>
          <w:sz w:val="20"/>
          <w:szCs w:val="20"/>
          <w:rtl w:val="0"/>
          <w:lang w:val="it-IT"/>
        </w:rPr>
        <w:t xml:space="preserve">e nel </w:t>
      </w:r>
      <w:r>
        <w:rPr>
          <w:rFonts w:hAnsi="Book Antiqua" w:hint="default"/>
          <w:sz w:val="20"/>
          <w:szCs w:val="20"/>
          <w:rtl w:val="0"/>
          <w:lang w:val="it-IT"/>
        </w:rPr>
        <w:t>“</w:t>
      </w:r>
      <w:r>
        <w:rPr>
          <w:rFonts w:ascii="Book Antiqua"/>
          <w:sz w:val="20"/>
          <w:szCs w:val="20"/>
          <w:rtl w:val="0"/>
          <w:lang w:val="it-IT"/>
        </w:rPr>
        <w:t>Consorzio Ecologico Massimetta</w:t>
      </w:r>
      <w:r>
        <w:rPr>
          <w:rFonts w:hAnsi="Book Antiqua" w:hint="default"/>
          <w:sz w:val="20"/>
          <w:szCs w:val="20"/>
          <w:rtl w:val="0"/>
          <w:lang w:val="it-IT"/>
        </w:rPr>
        <w:t xml:space="preserve">” </w:t>
      </w:r>
      <w:r>
        <w:rPr>
          <w:rFonts w:ascii="Book Antiqua"/>
          <w:sz w:val="20"/>
          <w:szCs w:val="20"/>
          <w:rtl w:val="0"/>
          <w:lang w:val="it-IT"/>
        </w:rPr>
        <w:t>in realt</w:t>
      </w:r>
      <w:r>
        <w:rPr>
          <w:rFonts w:hAnsi="Book Antiqua" w:hint="default"/>
          <w:sz w:val="20"/>
          <w:szCs w:val="20"/>
          <w:rtl w:val="0"/>
          <w:lang w:val="it-IT"/>
        </w:rPr>
        <w:t xml:space="preserve">à </w:t>
      </w:r>
      <w:r>
        <w:rPr>
          <w:rFonts w:ascii="Book Antiqua"/>
          <w:sz w:val="20"/>
          <w:szCs w:val="20"/>
          <w:rtl w:val="0"/>
          <w:lang w:val="it-IT"/>
        </w:rPr>
        <w:t xml:space="preserve">sono pari, rispettivamente, al 34,23% e 33,50%, atteso che le quote sono detenute indirettamente attraverso le collegate </w:t>
      </w:r>
      <w:r>
        <w:rPr>
          <w:rFonts w:hAnsi="Book Antiqua" w:hint="default"/>
          <w:sz w:val="20"/>
          <w:szCs w:val="20"/>
          <w:rtl w:val="0"/>
          <w:lang w:val="it-IT"/>
        </w:rPr>
        <w:t>“</w:t>
      </w:r>
      <w:r>
        <w:rPr>
          <w:rFonts w:ascii="Book Antiqua"/>
          <w:sz w:val="20"/>
          <w:szCs w:val="20"/>
          <w:rtl w:val="0"/>
          <w:lang w:val="it-IT"/>
        </w:rPr>
        <w:t>Marco Polo srl in liquidazione</w:t>
      </w:r>
      <w:r>
        <w:rPr>
          <w:rFonts w:hAnsi="Book Antiqua" w:hint="default"/>
          <w:sz w:val="20"/>
          <w:szCs w:val="20"/>
          <w:rtl w:val="0"/>
          <w:lang w:val="it-IT"/>
        </w:rPr>
        <w:t xml:space="preserve">” </w:t>
      </w:r>
      <w:r>
        <w:rPr>
          <w:rFonts w:ascii="Book Antiqua"/>
          <w:sz w:val="20"/>
          <w:szCs w:val="20"/>
          <w:rtl w:val="0"/>
          <w:lang w:val="it-IT"/>
        </w:rPr>
        <w:t xml:space="preserve">- nel caso di </w:t>
      </w:r>
      <w:r>
        <w:rPr>
          <w:rFonts w:hAnsi="Book Antiqua" w:hint="default"/>
          <w:sz w:val="20"/>
          <w:szCs w:val="20"/>
          <w:rtl w:val="0"/>
          <w:lang w:val="it-IT"/>
        </w:rPr>
        <w:t>“</w:t>
      </w:r>
      <w:r>
        <w:rPr>
          <w:rFonts w:ascii="Book Antiqua"/>
          <w:sz w:val="20"/>
          <w:szCs w:val="20"/>
          <w:rtl w:val="0"/>
          <w:lang w:val="it-IT"/>
        </w:rPr>
        <w:t>GEA srl</w:t>
      </w:r>
      <w:r>
        <w:rPr>
          <w:rFonts w:hAnsi="Book Antiqua" w:hint="default"/>
          <w:sz w:val="20"/>
          <w:szCs w:val="20"/>
          <w:rtl w:val="0"/>
          <w:lang w:val="it-IT"/>
        </w:rPr>
        <w:t xml:space="preserve">” </w:t>
      </w:r>
      <w:r>
        <w:rPr>
          <w:rFonts w:ascii="Book Antiqua"/>
          <w:sz w:val="20"/>
          <w:szCs w:val="20"/>
          <w:rtl w:val="0"/>
          <w:lang w:val="it-IT"/>
        </w:rPr>
        <w:t xml:space="preserve">- ed </w:t>
      </w:r>
      <w:r>
        <w:rPr>
          <w:rFonts w:hAnsi="Book Antiqua" w:hint="default"/>
          <w:sz w:val="20"/>
          <w:szCs w:val="20"/>
          <w:rtl w:val="0"/>
          <w:lang w:val="it-IT"/>
        </w:rPr>
        <w:t>“</w:t>
      </w:r>
      <w:r>
        <w:rPr>
          <w:rFonts w:ascii="Book Antiqua"/>
          <w:sz w:val="20"/>
          <w:szCs w:val="20"/>
          <w:rtl w:val="0"/>
          <w:lang w:val="it-IT"/>
        </w:rPr>
        <w:t>Ecomed srl</w:t>
      </w:r>
      <w:r>
        <w:rPr>
          <w:rFonts w:hAnsi="Book Antiqua" w:hint="default"/>
          <w:sz w:val="20"/>
          <w:szCs w:val="20"/>
          <w:rtl w:val="0"/>
          <w:lang w:val="it-IT"/>
        </w:rPr>
        <w:t xml:space="preserve">” </w:t>
      </w:r>
      <w:r>
        <w:rPr>
          <w:rFonts w:ascii="Book Antiqua"/>
          <w:sz w:val="20"/>
          <w:szCs w:val="20"/>
          <w:rtl w:val="0"/>
          <w:lang w:val="it-IT"/>
        </w:rPr>
        <w:t xml:space="preserve">- con riferimento al </w:t>
      </w:r>
      <w:r>
        <w:rPr>
          <w:rFonts w:hAnsi="Book Antiqua" w:hint="default"/>
          <w:sz w:val="20"/>
          <w:szCs w:val="20"/>
          <w:rtl w:val="0"/>
          <w:lang w:val="it-IT"/>
        </w:rPr>
        <w:t>“</w:t>
      </w:r>
      <w:r>
        <w:rPr>
          <w:rFonts w:ascii="Book Antiqua"/>
          <w:sz w:val="20"/>
          <w:szCs w:val="20"/>
          <w:rtl w:val="0"/>
          <w:lang w:val="it-IT"/>
        </w:rPr>
        <w:t>Consorzio Ecologico Massimetta</w:t>
      </w:r>
      <w:r>
        <w:rPr>
          <w:rFonts w:hAnsi="Book Antiqua" w:hint="default"/>
          <w:sz w:val="20"/>
          <w:szCs w:val="20"/>
          <w:rtl w:val="0"/>
          <w:lang w:val="it-IT"/>
        </w:rPr>
        <w:t>”</w:t>
      </w:r>
      <w:r>
        <w:rPr>
          <w:rFonts w:ascii="Book Antiqua"/>
          <w:sz w:val="20"/>
          <w:szCs w:val="20"/>
          <w:rtl w:val="0"/>
          <w:lang w:val="it-IT"/>
        </w:rPr>
        <w:t xml:space="preserve">). </w:t>
      </w:r>
    </w:p>
  </w:footnote>
  <w:footnote w:id="105">
    <w:p>
      <w:pPr>
        <w:pStyle w:val="footnote text"/>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w:t>
      </w:r>
      <w:hyperlink r:id="rId15" w:history="1">
        <w:r>
          <w:rPr>
            <w:rStyle w:val="Hyperlink.2"/>
            <w:rFonts w:ascii="Book Antiqua"/>
            <w:sz w:val="20"/>
            <w:szCs w:val="20"/>
            <w:rtl w:val="0"/>
            <w:lang w:val="it-IT"/>
          </w:rPr>
          <w:t>http://pubblicazioni.agenzia.roma.it/schede-143-principali_dati_di_bilancio</w:t>
        </w:r>
      </w:hyperlink>
      <w:r>
        <w:rPr>
          <w:rFonts w:ascii="Book Antiqua"/>
          <w:sz w:val="20"/>
          <w:szCs w:val="20"/>
          <w:rtl w:val="0"/>
          <w:lang w:val="it-IT"/>
        </w:rPr>
        <w:t xml:space="preserve"> </w:t>
      </w:r>
    </w:p>
  </w:footnote>
  <w:footnote w:id="106">
    <w:p>
      <w:pPr>
        <w:pStyle w:val="footnote text"/>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w:t>
      </w:r>
      <w:hyperlink r:id="rId16" w:history="1">
        <w:r>
          <w:rPr>
            <w:rStyle w:val="Hyperlink.2"/>
            <w:rFonts w:ascii="Book Antiqua"/>
            <w:sz w:val="20"/>
            <w:szCs w:val="20"/>
            <w:rtl w:val="0"/>
            <w:lang w:val="it-IT"/>
          </w:rPr>
          <w:t>http://pubblicazioni.agenzia.roma.it/schede-144-ricavi_per_aree_di_attivita</w:t>
        </w:r>
      </w:hyperlink>
      <w:r>
        <w:rPr>
          <w:rFonts w:ascii="Book Antiqua"/>
          <w:sz w:val="20"/>
          <w:szCs w:val="20"/>
          <w:rtl w:val="0"/>
          <w:lang w:val="it-IT"/>
        </w:rPr>
        <w:t xml:space="preserve"> </w:t>
      </w:r>
    </w:p>
  </w:footnote>
  <w:footnote w:id="107">
    <w:p>
      <w:pPr>
        <w:pStyle w:val="footnote text"/>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w:t>
      </w:r>
      <w:hyperlink r:id="rId17" w:history="1">
        <w:r>
          <w:rPr>
            <w:rStyle w:val="Hyperlink.2"/>
            <w:rFonts w:ascii="Book Antiqua"/>
            <w:sz w:val="20"/>
            <w:szCs w:val="20"/>
            <w:rtl w:val="0"/>
            <w:lang w:val="it-IT"/>
          </w:rPr>
          <w:t>http://pubblicazioni.agenzia.roma.it/schede-145-ricavi_e_contributi_da_roma_capitale</w:t>
        </w:r>
      </w:hyperlink>
      <w:r>
        <w:rPr>
          <w:rFonts w:ascii="Book Antiqua"/>
          <w:sz w:val="20"/>
          <w:szCs w:val="20"/>
          <w:rtl w:val="0"/>
          <w:lang w:val="it-IT"/>
        </w:rPr>
        <w:t xml:space="preserve"> </w:t>
      </w:r>
    </w:p>
  </w:footnote>
  <w:footnote w:id="108">
    <w:p>
      <w:pPr>
        <w:pStyle w:val="footnote text"/>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w:t>
      </w:r>
      <w:hyperlink r:id="rId18" w:history="1">
        <w:r>
          <w:rPr>
            <w:rStyle w:val="Hyperlink.2"/>
            <w:rFonts w:ascii="Book Antiqua"/>
            <w:sz w:val="20"/>
            <w:szCs w:val="20"/>
            <w:rtl w:val="0"/>
            <w:lang w:val="it-IT"/>
          </w:rPr>
          <w:t>http://pubblicazioni.agenzia.roma.it/schede-146-corrispettivi_e_contributi_ama</w:t>
        </w:r>
      </w:hyperlink>
      <w:r>
        <w:rPr>
          <w:rFonts w:ascii="Book Antiqua"/>
          <w:sz w:val="20"/>
          <w:szCs w:val="20"/>
          <w:rtl w:val="0"/>
          <w:lang w:val="it-IT"/>
        </w:rPr>
        <w:t xml:space="preserve"> </w:t>
      </w:r>
    </w:p>
  </w:footnote>
  <w:footnote w:id="109">
    <w:p>
      <w:pPr>
        <w:pStyle w:val="footnote text"/>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w:t>
      </w:r>
      <w:hyperlink r:id="rId19" w:history="1">
        <w:r>
          <w:rPr>
            <w:rStyle w:val="Hyperlink.2"/>
            <w:rFonts w:ascii="Book Antiqua"/>
            <w:sz w:val="20"/>
            <w:szCs w:val="20"/>
            <w:rtl w:val="0"/>
            <w:lang w:val="it-IT"/>
          </w:rPr>
          <w:t>http://pubblicazioni.agenzia.roma.it/schede-101-il_nuovo_affidamento</w:t>
        </w:r>
      </w:hyperlink>
      <w:r>
        <w:rPr>
          <w:rFonts w:ascii="Book Antiqua"/>
          <w:sz w:val="20"/>
          <w:szCs w:val="20"/>
          <w:rtl w:val="0"/>
          <w:lang w:val="it-IT"/>
        </w:rPr>
        <w:t xml:space="preserve"> </w:t>
      </w:r>
    </w:p>
  </w:footnote>
  <w:footnote w:id="110">
    <w:p>
      <w:pPr>
        <w:pStyle w:val="footnote text"/>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Si veda il </w:t>
      </w:r>
      <w:r>
        <w:rPr>
          <w:rFonts w:hAnsi="Book Antiqua" w:hint="default"/>
          <w:sz w:val="20"/>
          <w:szCs w:val="20"/>
          <w:rtl w:val="0"/>
          <w:lang w:val="it-IT"/>
        </w:rPr>
        <w:t xml:space="preserve">§ </w:t>
      </w:r>
      <w:r>
        <w:rPr>
          <w:rFonts w:ascii="Book Antiqua"/>
          <w:sz w:val="20"/>
          <w:szCs w:val="20"/>
          <w:rtl w:val="0"/>
          <w:lang w:val="it-IT"/>
        </w:rPr>
        <w:t>2.3.4</w:t>
      </w:r>
    </w:p>
  </w:footnote>
  <w:footnote w:id="111">
    <w:p>
      <w:pPr>
        <w:pStyle w:val="footnote text"/>
        <w:ind w:left="567" w:right="567" w:firstLine="0"/>
        <w:jc w:val="both"/>
      </w:pPr>
      <w:r>
        <w:rPr>
          <w:rFonts w:ascii="Book Antiqua" w:cs="Book Antiqua" w:hAnsi="Book Antiqua" w:eastAsia="Book Antiqua"/>
          <w:vertAlign w:val="superscript"/>
          <w:rtl w:val="0"/>
        </w:rPr>
        <w:footnoteRef/>
      </w:r>
      <w:hyperlink r:id="rId20" w:history="1">
        <w:r>
          <w:rPr>
            <w:rStyle w:val="Hyperlink.2"/>
            <w:rFonts w:ascii="Book Antiqua"/>
            <w:sz w:val="20"/>
            <w:szCs w:val="20"/>
            <w:rtl w:val="0"/>
            <w:lang w:val="it-IT"/>
          </w:rPr>
          <w:t>http://pubblicazioni.agenzia.roma.it/schede-126- il_contratto_di_servizio_per_l_igiene_urbana</w:t>
        </w:r>
      </w:hyperlink>
      <w:r>
        <w:rPr>
          <w:rFonts w:ascii="Book Antiqua"/>
          <w:sz w:val="20"/>
          <w:szCs w:val="20"/>
          <w:rtl w:val="0"/>
          <w:lang w:val="it-IT"/>
        </w:rPr>
        <w:t xml:space="preserve"> </w:t>
      </w:r>
    </w:p>
  </w:footnote>
  <w:footnote w:id="112">
    <w:p>
      <w:pPr>
        <w:pStyle w:val="footnote text"/>
        <w:ind w:firstLine="567"/>
      </w:pPr>
      <w:r>
        <w:rPr>
          <w:rFonts w:ascii="Book Antiqua" w:cs="Book Antiqua" w:hAnsi="Book Antiqua" w:eastAsia="Book Antiqua"/>
          <w:vertAlign w:val="superscript"/>
          <w:rtl w:val="0"/>
        </w:rPr>
        <w:footnoteRef/>
      </w:r>
      <w:r>
        <w:rPr>
          <w:sz w:val="20"/>
          <w:szCs w:val="20"/>
          <w:rtl w:val="0"/>
          <w:lang w:val="it-IT"/>
        </w:rPr>
        <w:t xml:space="preserve"> Con riferimento al citato contratto di servizio approvato con deliberazione numero 77 del commissario straordinario.</w:t>
      </w:r>
    </w:p>
  </w:footnote>
  <w:footnote w:id="113">
    <w:p>
      <w:pPr>
        <w:pStyle w:val="footnote text"/>
        <w:ind w:left="567" w:right="567" w:firstLine="0"/>
        <w:jc w:val="both"/>
        <w:rPr>
          <w:rFonts w:ascii="Book Antiqua" w:cs="Book Antiqua" w:hAnsi="Book Antiqua" w:eastAsia="Book Antiqua"/>
          <w:sz w:val="20"/>
          <w:szCs w:val="20"/>
        </w:rPr>
      </w:pPr>
      <w:r>
        <w:rPr>
          <w:rFonts w:ascii="Book Antiqua" w:cs="Book Antiqua" w:hAnsi="Book Antiqua" w:eastAsia="Book Antiqua"/>
          <w:vertAlign w:val="superscript"/>
          <w:rtl w:val="0"/>
        </w:rPr>
        <w:footnoteRef/>
      </w:r>
      <w:r>
        <w:rPr>
          <w:rFonts w:ascii="Book Antiqua"/>
          <w:sz w:val="20"/>
          <w:szCs w:val="20"/>
          <w:rtl w:val="0"/>
          <w:lang w:val="it-IT"/>
        </w:rPr>
        <w:t xml:space="preserve"> </w:t>
      </w:r>
      <w:hyperlink r:id="rId21" w:history="1">
        <w:r>
          <w:rPr>
            <w:rStyle w:val="Hyperlink.2"/>
            <w:rFonts w:ascii="Book Antiqua"/>
            <w:sz w:val="20"/>
            <w:szCs w:val="20"/>
            <w:rtl w:val="0"/>
            <w:lang w:val="it-IT"/>
          </w:rPr>
          <w:t>http://pubblicazioni.agenzia.roma.it/schede-482-criticita_del_nuovo_contratto</w:t>
        </w:r>
      </w:hyperlink>
      <w:r>
        <w:rPr>
          <w:rFonts w:ascii="Book Antiqua"/>
          <w:sz w:val="20"/>
          <w:szCs w:val="20"/>
          <w:rtl w:val="0"/>
          <w:lang w:val="it-IT"/>
        </w:rPr>
        <w:t xml:space="preserve"> </w:t>
      </w:r>
    </w:p>
    <w:p>
      <w:pPr>
        <w:pStyle w:val="footnote text"/>
        <w:ind w:left="567" w:right="567" w:firstLine="0"/>
        <w:jc w:val="both"/>
      </w:pPr>
      <w:hyperlink r:id="rId22" w:history="1">
        <w:r>
          <w:rPr>
            <w:rStyle w:val="Hyperlink.2"/>
            <w:rFonts w:ascii="Book Antiqua"/>
            <w:sz w:val="20"/>
            <w:szCs w:val="20"/>
            <w:rtl w:val="0"/>
            <w:lang w:val="it-IT"/>
          </w:rPr>
          <w:t>http://pubblicazioni.agenzia.roma.it/schede-820-affidamento_e_contratto_stato_di_attuazione_degli_adempimenti</w:t>
        </w:r>
      </w:hyperlink>
    </w:p>
  </w:footnote>
  <w:footnote w:id="114">
    <w:p>
      <w:pPr>
        <w:pStyle w:val="grassetto1"/>
        <w:spacing w:after="0"/>
        <w:ind w:left="567" w:right="567" w:firstLine="0"/>
        <w:jc w:val="both"/>
      </w:pPr>
      <w:r>
        <w:rPr>
          <w:rFonts w:ascii="Book Antiqua" w:cs="Book Antiqua" w:hAnsi="Book Antiqua" w:eastAsia="Book Antiqua"/>
          <w:b w:val="1"/>
          <w:bCs w:val="1"/>
          <w:vertAlign w:val="superscript"/>
          <w:rtl w:val="0"/>
        </w:rPr>
        <w:footnoteRef/>
      </w:r>
      <w:r>
        <w:rPr>
          <w:rFonts w:ascii="Times New Roman"/>
          <w:rtl w:val="0"/>
          <w:lang w:val="it-IT"/>
        </w:rPr>
        <w:t xml:space="preserve"> </w:t>
      </w:r>
      <w:r>
        <w:rPr>
          <w:rFonts w:ascii="Book Antiqua"/>
          <w:sz w:val="20"/>
          <w:szCs w:val="20"/>
          <w:rtl w:val="0"/>
          <w:lang w:val="it-IT"/>
        </w:rPr>
        <w:t xml:space="preserve">Decreto del Presidente della Repubblica 27 aprile 1999, n. 158: Regolamento recante norme per la elaborazione del metodo normalizzato per definire la tariffa del servizio di gestione del ciclo dei rifiuti urbani. </w:t>
      </w:r>
      <w:r>
        <w:rPr>
          <w:rFonts w:ascii="Book Antiqua"/>
          <w:color w:val="000000"/>
          <w:sz w:val="20"/>
          <w:szCs w:val="20"/>
          <w:u w:color="000000"/>
          <w:rtl w:val="0"/>
          <w:lang w:val="it-IT"/>
        </w:rPr>
        <w:t>(GU n. 129 del 4-6-1999 - Suppl. Ordinario n. 107)</w:t>
      </w:r>
    </w:p>
  </w:footnote>
  <w:footnote w:id="115">
    <w:p>
      <w:pPr>
        <w:pStyle w:val="footnote text"/>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w:t>
      </w:r>
      <w:hyperlink r:id="rId23" w:history="1">
        <w:r>
          <w:rPr>
            <w:rStyle w:val="Hyperlink.2"/>
            <w:rFonts w:ascii="Book Antiqua"/>
            <w:sz w:val="20"/>
            <w:szCs w:val="20"/>
            <w:rtl w:val="0"/>
            <w:lang w:val="it-IT"/>
          </w:rPr>
          <w:t>http://pubblicazioni.agenzia.roma.it/schede-153-piani_finanziari_per_la_determinazione_della_tariffa</w:t>
        </w:r>
      </w:hyperlink>
      <w:r>
        <w:rPr>
          <w:rFonts w:ascii="Book Antiqua"/>
          <w:sz w:val="20"/>
          <w:szCs w:val="20"/>
          <w:rtl w:val="0"/>
          <w:lang w:val="it-IT"/>
        </w:rPr>
        <w:t xml:space="preserve"> </w:t>
      </w:r>
    </w:p>
  </w:footnote>
  <w:footnote w:id="116">
    <w:p>
      <w:pPr>
        <w:pStyle w:val="footnote text"/>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Gli elementi fondamentali del quadro normativo nazionale si rinvengono nella L. n. 147 del 20 dicembre 2013, articolo 1, comma 678, e nel D.M. Ambiente 20 aprile 2017.</w:t>
      </w:r>
    </w:p>
  </w:footnote>
  <w:footnote w:id="117">
    <w:p>
      <w:pPr>
        <w:pStyle w:val="footnote text"/>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w:t>
      </w:r>
      <w:hyperlink r:id="rId24" w:history="1">
        <w:r>
          <w:rPr>
            <w:rStyle w:val="Hyperlink.2"/>
            <w:rFonts w:ascii="Book Antiqua"/>
            <w:sz w:val="20"/>
            <w:szCs w:val="20"/>
            <w:rtl w:val="0"/>
            <w:lang w:val="it-IT"/>
          </w:rPr>
          <w:t>http://pubblicazioni.agenzia.roma.it/schede-150-andamento_dei_costi_del_servizio_e_delle_tariffe_rifiuti</w:t>
        </w:r>
      </w:hyperlink>
      <w:r>
        <w:rPr>
          <w:rFonts w:ascii="Book Antiqua"/>
          <w:sz w:val="20"/>
          <w:szCs w:val="20"/>
          <w:rtl w:val="0"/>
          <w:lang w:val="it-IT"/>
        </w:rPr>
        <w:t xml:space="preserve"> </w:t>
      </w:r>
    </w:p>
  </w:footnote>
  <w:footnote w:id="118">
    <w:p>
      <w:pPr>
        <w:pStyle w:val="footnote text"/>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Quella dell</w:t>
      </w:r>
      <w:r>
        <w:rPr>
          <w:rFonts w:hAnsi="Book Antiqua" w:hint="default"/>
          <w:sz w:val="20"/>
          <w:szCs w:val="20"/>
          <w:rtl w:val="0"/>
          <w:lang w:val="it-IT"/>
        </w:rPr>
        <w:t>’</w:t>
      </w:r>
      <w:r>
        <w:rPr>
          <w:rFonts w:ascii="Book Antiqua"/>
          <w:sz w:val="20"/>
          <w:szCs w:val="20"/>
          <w:rtl w:val="0"/>
          <w:lang w:val="it-IT"/>
        </w:rPr>
        <w:t xml:space="preserve">evasione </w:t>
      </w:r>
      <w:r>
        <w:rPr>
          <w:rFonts w:hAnsi="Book Antiqua" w:hint="default"/>
          <w:sz w:val="20"/>
          <w:szCs w:val="20"/>
          <w:rtl w:val="0"/>
          <w:lang w:val="it-IT"/>
        </w:rPr>
        <w:t xml:space="preserve">è </w:t>
      </w:r>
      <w:r>
        <w:rPr>
          <w:rFonts w:ascii="Book Antiqua"/>
          <w:sz w:val="20"/>
          <w:szCs w:val="20"/>
          <w:rtl w:val="0"/>
          <w:lang w:val="it-IT"/>
        </w:rPr>
        <w:t>una questione aperta, sulla quale cos</w:t>
      </w:r>
      <w:r>
        <w:rPr>
          <w:rFonts w:hAnsi="Book Antiqua" w:hint="default"/>
          <w:sz w:val="20"/>
          <w:szCs w:val="20"/>
          <w:rtl w:val="0"/>
          <w:lang w:val="it-IT"/>
        </w:rPr>
        <w:t xml:space="preserve">ì </w:t>
      </w:r>
      <w:r>
        <w:rPr>
          <w:rFonts w:ascii="Book Antiqua"/>
          <w:sz w:val="20"/>
          <w:szCs w:val="20"/>
          <w:rtl w:val="0"/>
          <w:lang w:val="it-IT"/>
        </w:rPr>
        <w:t xml:space="preserve">si </w:t>
      </w:r>
      <w:r>
        <w:rPr>
          <w:rFonts w:hAnsi="Book Antiqua" w:hint="default"/>
          <w:sz w:val="20"/>
          <w:szCs w:val="20"/>
          <w:rtl w:val="0"/>
          <w:lang w:val="it-IT"/>
        </w:rPr>
        <w:t xml:space="preserve">è </w:t>
      </w:r>
      <w:r>
        <w:rPr>
          <w:rFonts w:ascii="Book Antiqua"/>
          <w:sz w:val="20"/>
          <w:szCs w:val="20"/>
          <w:rtl w:val="0"/>
          <w:lang w:val="it-IT"/>
        </w:rPr>
        <w:t>espresso davanti alla Commissione, nell</w:t>
      </w:r>
      <w:r>
        <w:rPr>
          <w:rFonts w:hAnsi="Book Antiqua" w:hint="default"/>
          <w:sz w:val="20"/>
          <w:szCs w:val="20"/>
          <w:rtl w:val="0"/>
          <w:lang w:val="it-IT"/>
        </w:rPr>
        <w:t>’</w:t>
      </w:r>
      <w:r>
        <w:rPr>
          <w:rFonts w:ascii="Book Antiqua"/>
          <w:sz w:val="20"/>
          <w:szCs w:val="20"/>
          <w:rtl w:val="0"/>
          <w:lang w:val="it-IT"/>
        </w:rPr>
        <w:t xml:space="preserve">audizione del 31 gennaio 2017, il direttore generale di AMA S.p.A., Stefano Bina: </w:t>
      </w:r>
      <w:r>
        <w:rPr>
          <w:rFonts w:hAnsi="Book Antiqua" w:hint="default"/>
          <w:sz w:val="20"/>
          <w:szCs w:val="20"/>
          <w:rtl w:val="0"/>
          <w:lang w:val="it-IT"/>
        </w:rPr>
        <w:t>“</w:t>
      </w:r>
      <w:r>
        <w:rPr>
          <w:rFonts w:ascii="Book Antiqua"/>
          <w:color w:val="262626"/>
          <w:sz w:val="20"/>
          <w:szCs w:val="20"/>
          <w:u w:color="262626"/>
          <w:rtl w:val="0"/>
          <w:lang w:val="it-IT"/>
        </w:rPr>
        <w:t>Per quanto riguarda la percentuale di pagamento della TARI, effettivamente Roma Capitale sta soffrendo, perch</w:t>
      </w:r>
      <w:r>
        <w:rPr>
          <w:rFonts w:hAnsi="Book Antiqua" w:hint="default"/>
          <w:color w:val="262626"/>
          <w:sz w:val="20"/>
          <w:szCs w:val="20"/>
          <w:u w:color="262626"/>
          <w:rtl w:val="0"/>
          <w:lang w:val="it-IT"/>
        </w:rPr>
        <w:t xml:space="preserve">é </w:t>
      </w:r>
      <w:r>
        <w:rPr>
          <w:rFonts w:ascii="Book Antiqua"/>
          <w:color w:val="262626"/>
          <w:sz w:val="20"/>
          <w:szCs w:val="20"/>
          <w:u w:color="262626"/>
          <w:rtl w:val="0"/>
          <w:lang w:val="it-IT"/>
        </w:rPr>
        <w:t>noi incassiamo la TARI per conto di Roma Capitale. Stiamo soffrendo percentuali di mancato pagamento abbastanza elevate, superiore ai 10 punti percentuali, anzi pi</w:t>
      </w:r>
      <w:r>
        <w:rPr>
          <w:rFonts w:hAnsi="Book Antiqua" w:hint="default"/>
          <w:color w:val="262626"/>
          <w:sz w:val="20"/>
          <w:szCs w:val="20"/>
          <w:u w:color="262626"/>
          <w:rtl w:val="0"/>
          <w:lang w:val="it-IT"/>
        </w:rPr>
        <w:t xml:space="preserve">ù </w:t>
      </w:r>
      <w:r>
        <w:rPr>
          <w:rFonts w:ascii="Book Antiqua"/>
          <w:color w:val="262626"/>
          <w:sz w:val="20"/>
          <w:szCs w:val="20"/>
          <w:u w:color="262626"/>
          <w:rtl w:val="0"/>
          <w:lang w:val="it-IT"/>
        </w:rPr>
        <w:t>vicini ai 20 punti percentuali. La cosa sulla quale per</w:t>
      </w:r>
      <w:r>
        <w:rPr>
          <w:rFonts w:hAnsi="Book Antiqua" w:hint="default"/>
          <w:color w:val="262626"/>
          <w:sz w:val="20"/>
          <w:szCs w:val="20"/>
          <w:u w:color="262626"/>
          <w:rtl w:val="0"/>
          <w:lang w:val="it-IT"/>
        </w:rPr>
        <w:t xml:space="preserve">ò </w:t>
      </w:r>
      <w:r>
        <w:rPr>
          <w:rFonts w:ascii="Book Antiqua"/>
          <w:color w:val="262626"/>
          <w:sz w:val="20"/>
          <w:szCs w:val="20"/>
          <w:u w:color="262626"/>
          <w:rtl w:val="0"/>
          <w:lang w:val="it-IT"/>
        </w:rPr>
        <w:t>in realt</w:t>
      </w:r>
      <w:r>
        <w:rPr>
          <w:rFonts w:hAnsi="Book Antiqua" w:hint="default"/>
          <w:color w:val="262626"/>
          <w:sz w:val="20"/>
          <w:szCs w:val="20"/>
          <w:u w:color="262626"/>
          <w:rtl w:val="0"/>
          <w:lang w:val="it-IT"/>
        </w:rPr>
        <w:t xml:space="preserve">à </w:t>
      </w:r>
      <w:r>
        <w:rPr>
          <w:rFonts w:ascii="Book Antiqua"/>
          <w:color w:val="262626"/>
          <w:sz w:val="20"/>
          <w:szCs w:val="20"/>
          <w:u w:color="262626"/>
          <w:rtl w:val="0"/>
          <w:lang w:val="it-IT"/>
        </w:rPr>
        <w:t xml:space="preserve">dobbiamo puntare per migliorare l'efficacia di questo servizio </w:t>
      </w:r>
      <w:r>
        <w:rPr>
          <w:rFonts w:hAnsi="Book Antiqua" w:hint="default"/>
          <w:color w:val="262626"/>
          <w:sz w:val="20"/>
          <w:szCs w:val="20"/>
          <w:u w:color="262626"/>
          <w:rtl w:val="0"/>
          <w:lang w:val="it-IT"/>
        </w:rPr>
        <w:t xml:space="preserve">è </w:t>
      </w:r>
      <w:r>
        <w:rPr>
          <w:rFonts w:ascii="Book Antiqua"/>
          <w:color w:val="262626"/>
          <w:sz w:val="20"/>
          <w:szCs w:val="20"/>
          <w:u w:color="262626"/>
          <w:rtl w:val="0"/>
          <w:lang w:val="it-IT"/>
        </w:rPr>
        <w:t xml:space="preserve">il recupero dell'evasione, che non </w:t>
      </w:r>
      <w:r>
        <w:rPr>
          <w:rFonts w:hAnsi="Book Antiqua" w:hint="default"/>
          <w:color w:val="262626"/>
          <w:sz w:val="20"/>
          <w:szCs w:val="20"/>
          <w:u w:color="262626"/>
          <w:rtl w:val="0"/>
          <w:lang w:val="it-IT"/>
        </w:rPr>
        <w:t xml:space="preserve">è </w:t>
      </w:r>
      <w:r>
        <w:rPr>
          <w:rFonts w:ascii="Book Antiqua"/>
          <w:color w:val="262626"/>
          <w:sz w:val="20"/>
          <w:szCs w:val="20"/>
          <w:u w:color="262626"/>
          <w:rtl w:val="0"/>
          <w:lang w:val="it-IT"/>
        </w:rPr>
        <w:t>il mancato pagamento, ma il fatto che i censimenti delle utenze, la nostra individuazione dell'utenza, la nostra capacit</w:t>
      </w:r>
      <w:r>
        <w:rPr>
          <w:rFonts w:hAnsi="Book Antiqua" w:hint="default"/>
          <w:color w:val="262626"/>
          <w:sz w:val="20"/>
          <w:szCs w:val="20"/>
          <w:u w:color="262626"/>
          <w:rtl w:val="0"/>
          <w:lang w:val="it-IT"/>
        </w:rPr>
        <w:t xml:space="preserve">à </w:t>
      </w:r>
      <w:r>
        <w:rPr>
          <w:rFonts w:ascii="Book Antiqua"/>
          <w:color w:val="262626"/>
          <w:sz w:val="20"/>
          <w:szCs w:val="20"/>
          <w:u w:color="262626"/>
          <w:rtl w:val="0"/>
          <w:lang w:val="it-IT"/>
        </w:rPr>
        <w:t>di intercettare tutte le attivit</w:t>
      </w:r>
      <w:r>
        <w:rPr>
          <w:rFonts w:hAnsi="Book Antiqua" w:hint="default"/>
          <w:color w:val="262626"/>
          <w:sz w:val="20"/>
          <w:szCs w:val="20"/>
          <w:u w:color="262626"/>
          <w:rtl w:val="0"/>
          <w:lang w:val="it-IT"/>
        </w:rPr>
        <w:t xml:space="preserve">à </w:t>
      </w:r>
      <w:r>
        <w:rPr>
          <w:rFonts w:ascii="Book Antiqua"/>
          <w:color w:val="262626"/>
          <w:sz w:val="20"/>
          <w:szCs w:val="20"/>
          <w:u w:color="262626"/>
          <w:rtl w:val="0"/>
          <w:lang w:val="it-IT"/>
        </w:rPr>
        <w:t>e tutte le utenze che devono essere assoggettate al pagamento della TARI, vede ancora dei grossi margini di miglioramento, quindi dei grossi margini di aumento.</w:t>
      </w:r>
      <w:r>
        <w:rPr>
          <w:rFonts w:hAnsi="Book Antiqua" w:hint="default"/>
          <w:color w:val="262626"/>
          <w:sz w:val="20"/>
          <w:szCs w:val="20"/>
          <w:u w:color="262626"/>
          <w:rtl w:val="0"/>
          <w:lang w:val="it-IT"/>
        </w:rPr>
        <w:t>”</w:t>
      </w:r>
    </w:p>
  </w:footnote>
  <w:footnote w:id="119">
    <w:p>
      <w:pPr>
        <w:pStyle w:val="footnote text"/>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w:t>
      </w:r>
      <w:hyperlink r:id="rId25" w:history="1">
        <w:r>
          <w:rPr>
            <w:rStyle w:val="Hyperlink.2"/>
            <w:rFonts w:ascii="Book Antiqua"/>
            <w:sz w:val="20"/>
            <w:szCs w:val="20"/>
            <w:rtl w:val="0"/>
            <w:lang w:val="it-IT"/>
          </w:rPr>
          <w:t>http://pubblicazioni.agenzia.roma.it/schede-152-costi_dei_servizi_nel_periodo_tariffario_e_proiezioni_per_il_nuovo_affidamento</w:t>
        </w:r>
      </w:hyperlink>
      <w:r>
        <w:rPr>
          <w:rFonts w:ascii="Book Antiqua"/>
          <w:sz w:val="20"/>
          <w:szCs w:val="20"/>
          <w:rtl w:val="0"/>
          <w:lang w:val="it-IT"/>
        </w:rPr>
        <w:t xml:space="preserve"> </w:t>
      </w:r>
    </w:p>
  </w:footnote>
  <w:footnote w:id="120">
    <w:p>
      <w:pPr>
        <w:pStyle w:val="footnote text"/>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Una questione aperta </w:t>
      </w:r>
      <w:r>
        <w:rPr>
          <w:rFonts w:hAnsi="Book Antiqua" w:hint="default"/>
          <w:sz w:val="20"/>
          <w:szCs w:val="20"/>
          <w:rtl w:val="0"/>
          <w:lang w:val="it-IT"/>
        </w:rPr>
        <w:t xml:space="preserve">è </w:t>
      </w:r>
      <w:r>
        <w:rPr>
          <w:rFonts w:ascii="Book Antiqua"/>
          <w:sz w:val="20"/>
          <w:szCs w:val="20"/>
          <w:rtl w:val="0"/>
          <w:lang w:val="it-IT"/>
        </w:rPr>
        <w:t>quella dell</w:t>
      </w:r>
      <w:r>
        <w:rPr>
          <w:rFonts w:hAnsi="Book Antiqua" w:hint="default"/>
          <w:sz w:val="20"/>
          <w:szCs w:val="20"/>
          <w:rtl w:val="0"/>
          <w:lang w:val="it-IT"/>
        </w:rPr>
        <w:t>’</w:t>
      </w:r>
      <w:r>
        <w:rPr>
          <w:rFonts w:ascii="Book Antiqua"/>
          <w:sz w:val="20"/>
          <w:szCs w:val="20"/>
          <w:rtl w:val="0"/>
          <w:lang w:val="it-IT"/>
        </w:rPr>
        <w:t>evasione, sulla quale cos</w:t>
      </w:r>
      <w:r>
        <w:rPr>
          <w:rFonts w:hAnsi="Book Antiqua" w:hint="default"/>
          <w:sz w:val="20"/>
          <w:szCs w:val="20"/>
          <w:rtl w:val="0"/>
          <w:lang w:val="it-IT"/>
        </w:rPr>
        <w:t xml:space="preserve">ì </w:t>
      </w:r>
      <w:r>
        <w:rPr>
          <w:rFonts w:ascii="Book Antiqua"/>
          <w:sz w:val="20"/>
          <w:szCs w:val="20"/>
          <w:rtl w:val="0"/>
          <w:lang w:val="it-IT"/>
        </w:rPr>
        <w:t xml:space="preserve">si </w:t>
      </w:r>
      <w:r>
        <w:rPr>
          <w:rFonts w:hAnsi="Book Antiqua" w:hint="default"/>
          <w:sz w:val="20"/>
          <w:szCs w:val="20"/>
          <w:rtl w:val="0"/>
          <w:lang w:val="it-IT"/>
        </w:rPr>
        <w:t xml:space="preserve">è </w:t>
      </w:r>
      <w:r>
        <w:rPr>
          <w:rFonts w:ascii="Book Antiqua"/>
          <w:sz w:val="20"/>
          <w:szCs w:val="20"/>
          <w:rtl w:val="0"/>
          <w:lang w:val="it-IT"/>
        </w:rPr>
        <w:t>espresso davanti alla Commisione, nell</w:t>
      </w:r>
      <w:r>
        <w:rPr>
          <w:rFonts w:hAnsi="Book Antiqua" w:hint="default"/>
          <w:sz w:val="20"/>
          <w:szCs w:val="20"/>
          <w:rtl w:val="0"/>
          <w:lang w:val="it-IT"/>
        </w:rPr>
        <w:t>’</w:t>
      </w:r>
      <w:r>
        <w:rPr>
          <w:rFonts w:ascii="Book Antiqua"/>
          <w:sz w:val="20"/>
          <w:szCs w:val="20"/>
          <w:rtl w:val="0"/>
          <w:lang w:val="it-IT"/>
        </w:rPr>
        <w:t xml:space="preserve">audizione del 31 gennaio 2017, il direttore generale di AMA S.p.A., Stefano Bina: </w:t>
      </w:r>
      <w:r>
        <w:rPr>
          <w:rFonts w:hAnsi="Book Antiqua" w:hint="default"/>
          <w:sz w:val="20"/>
          <w:szCs w:val="20"/>
          <w:rtl w:val="0"/>
          <w:lang w:val="it-IT"/>
        </w:rPr>
        <w:t>“</w:t>
      </w:r>
      <w:r>
        <w:rPr>
          <w:rFonts w:ascii="Book Antiqua"/>
          <w:color w:val="262626"/>
          <w:sz w:val="20"/>
          <w:szCs w:val="20"/>
          <w:u w:color="262626"/>
          <w:rtl w:val="0"/>
          <w:lang w:val="it-IT"/>
        </w:rPr>
        <w:t>Per quanto riguarda la percentuale di pagamento della TARI, effettivamente Roma Capitale sta soffrendo, perch</w:t>
      </w:r>
      <w:r>
        <w:rPr>
          <w:rFonts w:hAnsi="Book Antiqua" w:hint="default"/>
          <w:color w:val="262626"/>
          <w:sz w:val="20"/>
          <w:szCs w:val="20"/>
          <w:u w:color="262626"/>
          <w:rtl w:val="0"/>
          <w:lang w:val="it-IT"/>
        </w:rPr>
        <w:t xml:space="preserve">é </w:t>
      </w:r>
      <w:r>
        <w:rPr>
          <w:rFonts w:ascii="Book Antiqua"/>
          <w:color w:val="262626"/>
          <w:sz w:val="20"/>
          <w:szCs w:val="20"/>
          <w:u w:color="262626"/>
          <w:rtl w:val="0"/>
          <w:lang w:val="it-IT"/>
        </w:rPr>
        <w:t>noi incassiamo la TARI per conto di Roma Capitale. Stiamo soffrendo percentuali di mancato pagamento abbastanza elevate, superiore ai 10 punti percentuali, anzi pi</w:t>
      </w:r>
      <w:r>
        <w:rPr>
          <w:rFonts w:hAnsi="Book Antiqua" w:hint="default"/>
          <w:color w:val="262626"/>
          <w:sz w:val="20"/>
          <w:szCs w:val="20"/>
          <w:u w:color="262626"/>
          <w:rtl w:val="0"/>
          <w:lang w:val="it-IT"/>
        </w:rPr>
        <w:t xml:space="preserve">ù </w:t>
      </w:r>
      <w:r>
        <w:rPr>
          <w:rFonts w:ascii="Book Antiqua"/>
          <w:color w:val="262626"/>
          <w:sz w:val="20"/>
          <w:szCs w:val="20"/>
          <w:u w:color="262626"/>
          <w:rtl w:val="0"/>
          <w:lang w:val="it-IT"/>
        </w:rPr>
        <w:t>vicini ai 20 punti percentuali.</w:t>
      </w:r>
      <w:r>
        <w:rPr>
          <w:rFonts w:ascii="MS Mincho" w:cs="MS Mincho" w:hAnsi="MS Mincho" w:eastAsia="MS Mincho"/>
          <w:color w:val="262626"/>
          <w:sz w:val="20"/>
          <w:szCs w:val="20"/>
          <w:u w:color="262626"/>
          <w:rtl w:val="0"/>
          <w:lang w:val="it-IT"/>
        </w:rPr>
        <w:t xml:space="preserve"> </w:t>
      </w:r>
      <w:r>
        <w:rPr>
          <w:rFonts w:ascii="Book Antiqua"/>
          <w:color w:val="262626"/>
          <w:sz w:val="20"/>
          <w:szCs w:val="20"/>
          <w:u w:color="262626"/>
          <w:rtl w:val="0"/>
          <w:lang w:val="it-IT"/>
        </w:rPr>
        <w:t>La cosa sulla quale per</w:t>
      </w:r>
      <w:r>
        <w:rPr>
          <w:rFonts w:hAnsi="Book Antiqua" w:hint="default"/>
          <w:color w:val="262626"/>
          <w:sz w:val="20"/>
          <w:szCs w:val="20"/>
          <w:u w:color="262626"/>
          <w:rtl w:val="0"/>
          <w:lang w:val="it-IT"/>
        </w:rPr>
        <w:t xml:space="preserve">ò </w:t>
      </w:r>
      <w:r>
        <w:rPr>
          <w:rFonts w:ascii="Book Antiqua"/>
          <w:color w:val="262626"/>
          <w:sz w:val="20"/>
          <w:szCs w:val="20"/>
          <w:u w:color="262626"/>
          <w:rtl w:val="0"/>
          <w:lang w:val="it-IT"/>
        </w:rPr>
        <w:t>in realt</w:t>
      </w:r>
      <w:r>
        <w:rPr>
          <w:rFonts w:hAnsi="Book Antiqua" w:hint="default"/>
          <w:color w:val="262626"/>
          <w:sz w:val="20"/>
          <w:szCs w:val="20"/>
          <w:u w:color="262626"/>
          <w:rtl w:val="0"/>
          <w:lang w:val="it-IT"/>
        </w:rPr>
        <w:t xml:space="preserve">à </w:t>
      </w:r>
      <w:r>
        <w:rPr>
          <w:rFonts w:ascii="Book Antiqua"/>
          <w:color w:val="262626"/>
          <w:sz w:val="20"/>
          <w:szCs w:val="20"/>
          <w:u w:color="262626"/>
          <w:rtl w:val="0"/>
          <w:lang w:val="it-IT"/>
        </w:rPr>
        <w:t xml:space="preserve">dobbiamo puntare per migliorare l'efficacia di questo servizio </w:t>
      </w:r>
      <w:r>
        <w:rPr>
          <w:rFonts w:hAnsi="Book Antiqua" w:hint="default"/>
          <w:color w:val="262626"/>
          <w:sz w:val="20"/>
          <w:szCs w:val="20"/>
          <w:u w:color="262626"/>
          <w:rtl w:val="0"/>
          <w:lang w:val="it-IT"/>
        </w:rPr>
        <w:t xml:space="preserve">è </w:t>
      </w:r>
      <w:r>
        <w:rPr>
          <w:rFonts w:ascii="Book Antiqua"/>
          <w:color w:val="262626"/>
          <w:sz w:val="20"/>
          <w:szCs w:val="20"/>
          <w:u w:color="262626"/>
          <w:rtl w:val="0"/>
          <w:lang w:val="it-IT"/>
        </w:rPr>
        <w:t xml:space="preserve">il recupero dell'evasione, che non </w:t>
      </w:r>
      <w:r>
        <w:rPr>
          <w:rFonts w:hAnsi="Book Antiqua" w:hint="default"/>
          <w:color w:val="262626"/>
          <w:sz w:val="20"/>
          <w:szCs w:val="20"/>
          <w:u w:color="262626"/>
          <w:rtl w:val="0"/>
          <w:lang w:val="it-IT"/>
        </w:rPr>
        <w:t xml:space="preserve">è </w:t>
      </w:r>
      <w:r>
        <w:rPr>
          <w:rFonts w:ascii="Book Antiqua"/>
          <w:color w:val="262626"/>
          <w:sz w:val="20"/>
          <w:szCs w:val="20"/>
          <w:u w:color="262626"/>
          <w:rtl w:val="0"/>
          <w:lang w:val="it-IT"/>
        </w:rPr>
        <w:t>il mancato pagamento, ma il fatto che i censimenti delle utenze, la nostra individuazione dell'utenza, la nostra capacit</w:t>
      </w:r>
      <w:r>
        <w:rPr>
          <w:rFonts w:hAnsi="Book Antiqua" w:hint="default"/>
          <w:color w:val="262626"/>
          <w:sz w:val="20"/>
          <w:szCs w:val="20"/>
          <w:u w:color="262626"/>
          <w:rtl w:val="0"/>
          <w:lang w:val="it-IT"/>
        </w:rPr>
        <w:t xml:space="preserve">à </w:t>
      </w:r>
      <w:r>
        <w:rPr>
          <w:rFonts w:ascii="Book Antiqua"/>
          <w:color w:val="262626"/>
          <w:sz w:val="20"/>
          <w:szCs w:val="20"/>
          <w:u w:color="262626"/>
          <w:rtl w:val="0"/>
          <w:lang w:val="it-IT"/>
        </w:rPr>
        <w:t>di intercettare tutte le attivit</w:t>
      </w:r>
      <w:r>
        <w:rPr>
          <w:rFonts w:hAnsi="Book Antiqua" w:hint="default"/>
          <w:color w:val="262626"/>
          <w:sz w:val="20"/>
          <w:szCs w:val="20"/>
          <w:u w:color="262626"/>
          <w:rtl w:val="0"/>
          <w:lang w:val="it-IT"/>
        </w:rPr>
        <w:t xml:space="preserve">à </w:t>
      </w:r>
      <w:r>
        <w:rPr>
          <w:rFonts w:ascii="Book Antiqua"/>
          <w:color w:val="262626"/>
          <w:sz w:val="20"/>
          <w:szCs w:val="20"/>
          <w:u w:color="262626"/>
          <w:rtl w:val="0"/>
          <w:lang w:val="it-IT"/>
        </w:rPr>
        <w:t>e tutte le utenze che devono essere assoggettate al pagamento della TARI, vede ancora dei grossi margini di miglioramento, quindi dei grossi margini di aumento.</w:t>
      </w:r>
      <w:r>
        <w:rPr>
          <w:rFonts w:hAnsi="Book Antiqua" w:hint="default"/>
          <w:color w:val="262626"/>
          <w:sz w:val="20"/>
          <w:szCs w:val="20"/>
          <w:u w:color="262626"/>
          <w:rtl w:val="0"/>
          <w:lang w:val="it-IT"/>
        </w:rPr>
        <w:t>”</w:t>
      </w:r>
      <w:r>
        <w:rPr>
          <w:rFonts w:ascii="Book Antiqua"/>
          <w:sz w:val="20"/>
          <w:szCs w:val="20"/>
          <w:rtl w:val="0"/>
          <w:lang w:val="it-IT"/>
        </w:rPr>
        <w:t xml:space="preserve"> </w:t>
      </w:r>
    </w:p>
  </w:footnote>
  <w:footnote w:id="121">
    <w:p>
      <w:pPr>
        <w:pStyle w:val="footnote text"/>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w:t>
      </w:r>
      <w:hyperlink r:id="rId26" w:history="1">
        <w:r>
          <w:rPr>
            <w:rStyle w:val="Hyperlink.2"/>
            <w:rFonts w:ascii="Book Antiqua"/>
            <w:sz w:val="20"/>
            <w:szCs w:val="20"/>
            <w:rtl w:val="0"/>
            <w:lang w:val="it-IT"/>
          </w:rPr>
          <w:t>http://pubblicazioni.agenzia.roma.it/schede-480-gestione_2015_2016_e_pef_di_affidamento</w:t>
        </w:r>
      </w:hyperlink>
      <w:r>
        <w:rPr>
          <w:rFonts w:ascii="Book Antiqua"/>
          <w:sz w:val="20"/>
          <w:szCs w:val="20"/>
          <w:rtl w:val="0"/>
          <w:lang w:val="it-IT"/>
        </w:rPr>
        <w:t xml:space="preserve"> </w:t>
      </w:r>
    </w:p>
  </w:footnote>
  <w:footnote w:id="122">
    <w:p>
      <w:pPr>
        <w:pStyle w:val="footnote text"/>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w:t>
      </w:r>
      <w:hyperlink r:id="rId27" w:history="1">
        <w:r>
          <w:rPr>
            <w:rStyle w:val="Hyperlink.2"/>
            <w:rFonts w:ascii="Book Antiqua"/>
            <w:sz w:val="20"/>
            <w:szCs w:val="20"/>
            <w:rtl w:val="0"/>
            <w:lang w:val="it-IT"/>
          </w:rPr>
          <w:t>http://pubblicazioni.agenzia.roma.it/schede-873-focus_sui_costi_comuni_ama_e_confronto_con_le_medie_nazional</w:t>
        </w:r>
      </w:hyperlink>
      <w:r>
        <w:rPr>
          <w:rFonts w:ascii="Book Antiqua"/>
          <w:sz w:val="20"/>
          <w:szCs w:val="20"/>
          <w:rtl w:val="0"/>
          <w:lang w:val="it-IT"/>
        </w:rPr>
        <w:t xml:space="preserve"> </w:t>
      </w:r>
    </w:p>
  </w:footnote>
  <w:footnote w:id="123">
    <w:p>
      <w:pPr>
        <w:pStyle w:val="footnote text"/>
        <w:ind w:left="567" w:right="567" w:firstLine="0"/>
        <w:jc w:val="both"/>
      </w:pPr>
      <w:r>
        <w:rPr>
          <w:rFonts w:ascii="Book Antiqua Bold" w:cs="Book Antiqua Bold" w:hAnsi="Book Antiqua Bold" w:eastAsia="Book Antiqua Bold"/>
          <w:b w:val="1"/>
          <w:bCs w:val="1"/>
          <w:vertAlign w:val="superscript"/>
          <w:rtl w:val="0"/>
        </w:rPr>
        <w:footnoteRef/>
      </w:r>
      <w:r>
        <w:rPr>
          <w:rFonts w:ascii="Book Antiqua"/>
          <w:sz w:val="20"/>
          <w:szCs w:val="20"/>
          <w:rtl w:val="0"/>
          <w:lang w:val="it-IT"/>
        </w:rPr>
        <w:t xml:space="preserve"> </w:t>
      </w:r>
      <w:hyperlink r:id="rId28" w:history="1">
        <w:r>
          <w:rPr>
            <w:rStyle w:val="Hyperlink.2"/>
            <w:rFonts w:ascii="Book Antiqua"/>
            <w:sz w:val="20"/>
            <w:szCs w:val="20"/>
            <w:rtl w:val="0"/>
            <w:lang w:val="it-IT"/>
          </w:rPr>
          <w:t>http://pubblicazioni.agenzia.roma.it/schede-846-investimenti_programmati_e_realizzati</w:t>
        </w:r>
      </w:hyperlink>
      <w:r>
        <w:rPr>
          <w:rFonts w:ascii="Book Antiqua"/>
          <w:sz w:val="20"/>
          <w:szCs w:val="20"/>
          <w:rtl w:val="0"/>
          <w:lang w:val="it-IT"/>
        </w:rPr>
        <w:t xml:space="preserve"> </w:t>
      </w:r>
    </w:p>
  </w:footnote>
  <w:footnote w:id="124">
    <w:p>
      <w:pPr>
        <w:pStyle w:val="footnote text"/>
        <w:ind w:left="567" w:right="567" w:firstLine="0"/>
        <w:jc w:val="both"/>
      </w:pPr>
      <w:r>
        <w:rPr>
          <w:rFonts w:ascii="Times New Roman Bold" w:cs="Times New Roman Bold" w:hAnsi="Times New Roman Bold" w:eastAsia="Times New Roman Bold"/>
          <w:vertAlign w:val="superscript"/>
          <w:rtl w:val="0"/>
        </w:rPr>
        <w:footnoteRef/>
      </w:r>
      <w:r>
        <w:rPr>
          <w:rFonts w:ascii="Book Antiqua"/>
          <w:sz w:val="20"/>
          <w:szCs w:val="20"/>
          <w:rtl w:val="0"/>
          <w:lang w:val="it-IT"/>
        </w:rPr>
        <w:t xml:space="preserve"> </w:t>
      </w:r>
      <w:hyperlink r:id="rId29" w:history="1">
        <w:r>
          <w:rPr>
            <w:rStyle w:val="Hyperlink.2"/>
            <w:rFonts w:ascii="Book Antiqua"/>
            <w:sz w:val="20"/>
            <w:szCs w:val="20"/>
            <w:rtl w:val="0"/>
            <w:lang w:val="it-IT"/>
          </w:rPr>
          <w:t>http://pubblicazioni.agenzia.roma.it/schede-850-investimenti_in_impianti_trattamento_ama_costi_e_ricavi_unitari</w:t>
        </w:r>
      </w:hyperlink>
      <w:r>
        <w:rPr>
          <w:rFonts w:ascii="Book Antiqua"/>
          <w:sz w:val="20"/>
          <w:szCs w:val="20"/>
          <w:rtl w:val="0"/>
          <w:lang w:val="it-IT"/>
        </w:rPr>
        <w:t xml:space="preserve"> </w:t>
      </w:r>
    </w:p>
  </w:footnote>
  <w:footnote w:id="125">
    <w:p>
      <w:pPr>
        <w:pStyle w:val="footnote text"/>
        <w:ind w:left="567" w:right="567" w:firstLine="0"/>
        <w:jc w:val="both"/>
      </w:pPr>
      <w:r>
        <w:rPr>
          <w:rFonts w:ascii="Times New Roman Bold" w:cs="Times New Roman Bold" w:hAnsi="Times New Roman Bold" w:eastAsia="Times New Roman Bold"/>
          <w:vertAlign w:val="superscript"/>
          <w:rtl w:val="0"/>
        </w:rPr>
        <w:footnoteRef/>
      </w:r>
      <w:r>
        <w:rPr>
          <w:rFonts w:ascii="Book Antiqua"/>
          <w:sz w:val="20"/>
          <w:szCs w:val="20"/>
          <w:rtl w:val="0"/>
          <w:lang w:val="it-IT"/>
        </w:rPr>
        <w:t xml:space="preserve"> </w:t>
      </w:r>
      <w:hyperlink r:id="rId30" w:history="1">
        <w:r>
          <w:rPr>
            <w:rStyle w:val="Hyperlink.2"/>
            <w:rFonts w:ascii="Book Antiqua"/>
            <w:sz w:val="20"/>
            <w:szCs w:val="20"/>
            <w:rtl w:val="0"/>
            <w:lang w:val="it-IT"/>
          </w:rPr>
          <w:t>http://pubblicazioni.agenzia.roma.it/schede-829-costi_unitari_dei_servizi_a_roma_andamento</w:t>
        </w:r>
      </w:hyperlink>
      <w:r>
        <w:rPr>
          <w:rFonts w:ascii="Book Antiqua"/>
          <w:sz w:val="20"/>
          <w:szCs w:val="20"/>
          <w:rtl w:val="0"/>
          <w:lang w:val="it-IT"/>
        </w:rPr>
        <w:t xml:space="preserve"> </w:t>
      </w:r>
    </w:p>
  </w:footnote>
  <w:footnote w:id="126">
    <w:p>
      <w:pPr>
        <w:pStyle w:val="footnote text"/>
        <w:ind w:left="567" w:right="567" w:firstLine="0"/>
        <w:jc w:val="both"/>
      </w:pPr>
      <w:r>
        <w:rPr>
          <w:rFonts w:ascii="Times New Roman Bold" w:cs="Times New Roman Bold" w:hAnsi="Times New Roman Bold" w:eastAsia="Times New Roman Bold"/>
          <w:vertAlign w:val="superscript"/>
          <w:rtl w:val="0"/>
        </w:rPr>
        <w:footnoteRef/>
      </w:r>
      <w:r>
        <w:rPr>
          <w:rFonts w:ascii="Book Antiqua"/>
          <w:sz w:val="20"/>
          <w:szCs w:val="20"/>
          <w:rtl w:val="0"/>
          <w:lang w:val="it-IT"/>
        </w:rPr>
        <w:t xml:space="preserve"> </w:t>
      </w:r>
      <w:hyperlink r:id="rId31" w:history="1">
        <w:r>
          <w:rPr>
            <w:rStyle w:val="Hyperlink.2"/>
            <w:rFonts w:ascii="Book Antiqua"/>
            <w:sz w:val="20"/>
            <w:szCs w:val="20"/>
            <w:rtl w:val="0"/>
            <w:lang w:val="it-IT"/>
          </w:rPr>
          <w:t>http://pubblicazioni.agenzia.roma.it/schede-831-costo_e_percentuale_di_raccolta_differenziata_qualita_erogata_e_percepita</w:t>
        </w:r>
      </w:hyperlink>
      <w:r>
        <w:rPr>
          <w:rFonts w:ascii="Book Antiqua"/>
          <w:sz w:val="20"/>
          <w:szCs w:val="20"/>
          <w:rtl w:val="0"/>
          <w:lang w:val="it-IT"/>
        </w:rPr>
        <w:t xml:space="preserve"> </w:t>
      </w:r>
    </w:p>
  </w:footnote>
  <w:footnote w:id="127">
    <w:p>
      <w:pPr>
        <w:pStyle w:val="footnote text"/>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http://www.agcm.it/component/joomdoc/allegati-news/IC49_testoindagine.pdf/download.html</w:t>
      </w:r>
    </w:p>
  </w:footnote>
  <w:footnote w:id="128">
    <w:p>
      <w:pPr>
        <w:pStyle w:val="footnote text"/>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Il nuovo Piano industriale di AMA prevede, sino al 2021, l</w:t>
      </w:r>
      <w:r>
        <w:rPr>
          <w:rFonts w:hAnsi="Book Antiqua" w:hint="default"/>
          <w:sz w:val="20"/>
          <w:szCs w:val="20"/>
          <w:rtl w:val="0"/>
          <w:lang w:val="it-IT"/>
        </w:rPr>
        <w:t>’</w:t>
      </w:r>
      <w:r>
        <w:rPr>
          <w:rFonts w:ascii="Book Antiqua"/>
          <w:sz w:val="20"/>
          <w:szCs w:val="20"/>
          <w:rtl w:val="0"/>
          <w:lang w:val="it-IT"/>
        </w:rPr>
        <w:t xml:space="preserve">uscita di 441 dipendenti a fronte di 414 nuove assunzioni; il personale operativo da destinare ai servizi di raccolta e </w:t>
      </w:r>
      <w:r>
        <w:rPr>
          <w:rFonts w:hAnsi="Book Antiqua" w:hint="default"/>
          <w:sz w:val="20"/>
          <w:szCs w:val="20"/>
          <w:rtl w:val="0"/>
          <w:lang w:val="it-IT"/>
        </w:rPr>
        <w:t>“</w:t>
      </w:r>
      <w:r>
        <w:rPr>
          <w:rFonts w:ascii="Book Antiqua"/>
          <w:sz w:val="20"/>
          <w:szCs w:val="20"/>
          <w:rtl w:val="0"/>
          <w:lang w:val="it-IT"/>
        </w:rPr>
        <w:t>domus ecologiche</w:t>
      </w:r>
      <w:r>
        <w:rPr>
          <w:rFonts w:hAnsi="Book Antiqua" w:hint="default"/>
          <w:sz w:val="20"/>
          <w:szCs w:val="20"/>
          <w:rtl w:val="0"/>
          <w:lang w:val="it-IT"/>
        </w:rPr>
        <w:t xml:space="preserve">” è </w:t>
      </w:r>
      <w:r>
        <w:rPr>
          <w:rFonts w:ascii="Book Antiqua"/>
          <w:sz w:val="20"/>
          <w:szCs w:val="20"/>
          <w:rtl w:val="0"/>
          <w:lang w:val="it-IT"/>
        </w:rPr>
        <w:t>previsto in 924 unit</w:t>
      </w:r>
      <w:r>
        <w:rPr>
          <w:rFonts w:hAnsi="Book Antiqua" w:hint="default"/>
          <w:sz w:val="20"/>
          <w:szCs w:val="20"/>
          <w:rtl w:val="0"/>
          <w:lang w:val="it-IT"/>
        </w:rPr>
        <w:t xml:space="preserve">à </w:t>
      </w:r>
      <w:r>
        <w:rPr>
          <w:rFonts w:ascii="Book Antiqua"/>
          <w:sz w:val="20"/>
          <w:szCs w:val="20"/>
          <w:rtl w:val="0"/>
          <w:lang w:val="it-IT"/>
        </w:rPr>
        <w:t>in parte derivanti alla riconversione di operai e autisti (Doc. n. 2333/2, p. 69, p. 71)</w:t>
      </w:r>
    </w:p>
  </w:footnote>
  <w:footnote w:id="129">
    <w:p>
      <w:pPr>
        <w:pStyle w:val="footnote text"/>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Gi</w:t>
      </w:r>
      <w:r>
        <w:rPr>
          <w:rFonts w:hAnsi="Book Antiqua" w:hint="default"/>
          <w:sz w:val="20"/>
          <w:szCs w:val="20"/>
          <w:rtl w:val="0"/>
          <w:lang w:val="it-IT"/>
        </w:rPr>
        <w:t xml:space="preserve">à </w:t>
      </w:r>
      <w:r>
        <w:rPr>
          <w:rFonts w:ascii="Book Antiqua"/>
          <w:sz w:val="20"/>
          <w:szCs w:val="20"/>
          <w:rtl w:val="0"/>
          <w:lang w:val="it-IT"/>
        </w:rPr>
        <w:t>citato in precedenza: acquisito dalla Commissione come Doc. n. 2333/1-2</w:t>
      </w:r>
    </w:p>
  </w:footnote>
  <w:footnote w:id="130">
    <w:p>
      <w:pPr>
        <w:pStyle w:val="footnote text"/>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Sul punto si vedr</w:t>
      </w:r>
      <w:r>
        <w:rPr>
          <w:rFonts w:hAnsi="Book Antiqua" w:hint="default"/>
          <w:sz w:val="20"/>
          <w:szCs w:val="20"/>
          <w:rtl w:val="0"/>
          <w:lang w:val="it-IT"/>
        </w:rPr>
        <w:t>à</w:t>
      </w:r>
      <w:r>
        <w:rPr>
          <w:rFonts w:ascii="Book Antiqua"/>
          <w:sz w:val="20"/>
          <w:szCs w:val="20"/>
          <w:rtl w:val="0"/>
          <w:lang w:val="it-IT"/>
        </w:rPr>
        <w:t xml:space="preserve"> pi</w:t>
      </w:r>
      <w:r>
        <w:rPr>
          <w:rFonts w:hAnsi="Book Antiqua" w:hint="default"/>
          <w:sz w:val="20"/>
          <w:szCs w:val="20"/>
          <w:rtl w:val="0"/>
          <w:lang w:val="it-IT"/>
        </w:rPr>
        <w:t xml:space="preserve">ù </w:t>
      </w:r>
      <w:r>
        <w:rPr>
          <w:rFonts w:ascii="Book Antiqua"/>
          <w:sz w:val="20"/>
          <w:szCs w:val="20"/>
          <w:rtl w:val="0"/>
          <w:lang w:val="it-IT"/>
        </w:rPr>
        <w:t>oltre, in questo paragrafo, la traduzione nel nuovo Piano industriale di AMA S.p.a, che prevede, al 2021, il passaggio della capacit</w:t>
      </w:r>
      <w:r>
        <w:rPr>
          <w:rFonts w:hAnsi="Book Antiqua" w:hint="default"/>
          <w:sz w:val="20"/>
          <w:szCs w:val="20"/>
          <w:rtl w:val="0"/>
          <w:lang w:val="it-IT"/>
        </w:rPr>
        <w:t xml:space="preserve">à </w:t>
      </w:r>
      <w:r>
        <w:rPr>
          <w:rFonts w:ascii="Book Antiqua"/>
          <w:sz w:val="20"/>
          <w:szCs w:val="20"/>
          <w:rtl w:val="0"/>
          <w:lang w:val="it-IT"/>
        </w:rPr>
        <w:t>di trattamento dell</w:t>
      </w:r>
      <w:r>
        <w:rPr>
          <w:rFonts w:hAnsi="Book Antiqua" w:hint="default"/>
          <w:sz w:val="20"/>
          <w:szCs w:val="20"/>
          <w:rtl w:val="0"/>
          <w:lang w:val="it-IT"/>
        </w:rPr>
        <w:t>’</w:t>
      </w:r>
      <w:r>
        <w:rPr>
          <w:rFonts w:ascii="Book Antiqua"/>
          <w:sz w:val="20"/>
          <w:szCs w:val="20"/>
          <w:rtl w:val="0"/>
          <w:lang w:val="it-IT"/>
        </w:rPr>
        <w:t xml:space="preserve">azienda </w:t>
      </w:r>
      <w:r>
        <w:rPr>
          <w:rFonts w:ascii="Book Antiqua"/>
          <w:i w:val="1"/>
          <w:iCs w:val="1"/>
          <w:sz w:val="20"/>
          <w:szCs w:val="20"/>
          <w:rtl w:val="0"/>
          <w:lang w:val="it-IT"/>
        </w:rPr>
        <w:t>in house</w:t>
      </w:r>
      <w:r>
        <w:rPr>
          <w:rFonts w:ascii="Book Antiqua"/>
          <w:sz w:val="20"/>
          <w:szCs w:val="20"/>
          <w:rtl w:val="0"/>
          <w:lang w:val="it-IT"/>
        </w:rPr>
        <w:t xml:space="preserve"> del comune di Roma, dal 20,4% al 29,4%.</w:t>
      </w:r>
      <w:r>
        <w:rPr>
          <w:rtl w:val="0"/>
          <w:lang w:val="it-IT"/>
        </w:rPr>
        <w:t xml:space="preserve"> </w:t>
      </w:r>
    </w:p>
  </w:footnote>
  <w:footnote w:id="131">
    <w:p>
      <w:pPr>
        <w:pStyle w:val="footnote text"/>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Presenti con loro: Mariella Maffini e Stefano Cicerani, in servizio presso l'assessorato alla sostenibilit</w:t>
      </w:r>
      <w:r>
        <w:rPr>
          <w:rFonts w:hAnsi="Book Antiqua" w:hint="default"/>
          <w:sz w:val="20"/>
          <w:szCs w:val="20"/>
          <w:rtl w:val="0"/>
          <w:lang w:val="it-IT"/>
        </w:rPr>
        <w:t xml:space="preserve">à </w:t>
      </w:r>
      <w:r>
        <w:rPr>
          <w:rFonts w:ascii="Book Antiqua"/>
          <w:sz w:val="20"/>
          <w:szCs w:val="20"/>
          <w:rtl w:val="0"/>
          <w:lang w:val="it-IT"/>
        </w:rPr>
        <w:t>ambientale di Roma Capitale, Isidoro Bonf</w:t>
      </w:r>
      <w:r>
        <w:rPr>
          <w:rFonts w:hAnsi="Book Antiqua" w:hint="default"/>
          <w:sz w:val="20"/>
          <w:szCs w:val="20"/>
          <w:rtl w:val="0"/>
          <w:lang w:val="it-IT"/>
        </w:rPr>
        <w:t>à</w:t>
      </w:r>
      <w:r>
        <w:rPr>
          <w:rFonts w:ascii="Book Antiqua"/>
          <w:sz w:val="20"/>
          <w:szCs w:val="20"/>
          <w:rtl w:val="0"/>
          <w:lang w:val="it-IT"/>
        </w:rPr>
        <w:t xml:space="preserve">, in servizio presso il dipartimento tutela ambientale area rifiuti di Roma Capitale, </w:t>
      </w:r>
      <w:r>
        <w:rPr>
          <w:rFonts w:ascii="Book Antiqua"/>
          <w:color w:val="262626"/>
          <w:sz w:val="20"/>
          <w:szCs w:val="20"/>
          <w:u w:color="262626"/>
          <w:rtl w:val="0"/>
          <w:lang w:val="it-IT"/>
        </w:rPr>
        <w:t>Marta Giovanna Geranzani, dipartimento tutela ambientale area rifiuti, Cristiano Ceresatto, dell'assessorato alla riorganizzazione partecipate</w:t>
      </w:r>
      <w:r>
        <w:rPr>
          <w:rFonts w:ascii="Book Antiqua"/>
          <w:sz w:val="20"/>
          <w:szCs w:val="20"/>
          <w:rtl w:val="0"/>
          <w:lang w:val="it-IT"/>
        </w:rPr>
        <w:t>.</w:t>
      </w:r>
    </w:p>
  </w:footnote>
  <w:footnote w:id="132">
    <w:p>
      <w:pPr>
        <w:pStyle w:val="footnote text"/>
        <w:ind w:left="567" w:right="567" w:firstLine="0"/>
        <w:jc w:val="both"/>
        <w:rPr>
          <w:rFonts w:ascii="Book Antiqua" w:cs="Book Antiqua" w:hAnsi="Book Antiqua" w:eastAsia="Book Antiqua"/>
          <w:sz w:val="20"/>
          <w:szCs w:val="20"/>
        </w:rPr>
      </w:pPr>
      <w:r>
        <w:rPr>
          <w:rFonts w:ascii="Book Antiqua" w:cs="Book Antiqua" w:hAnsi="Book Antiqua" w:eastAsia="Book Antiqua"/>
          <w:vertAlign w:val="superscript"/>
          <w:rtl w:val="0"/>
        </w:rPr>
        <w:footnoteRef/>
      </w:r>
      <w:r>
        <w:rPr>
          <w:rFonts w:ascii="Book Antiqua"/>
          <w:sz w:val="20"/>
          <w:szCs w:val="20"/>
          <w:rtl w:val="0"/>
          <w:lang w:val="it-IT"/>
        </w:rPr>
        <w:t xml:space="preserve"> Al momento risulta realizzato uno di questi spazi, delle dimensioni di sei metri per sei, in una scuola di Ostia</w:t>
      </w:r>
    </w:p>
    <w:p>
      <w:pPr>
        <w:pStyle w:val="footnote text"/>
        <w:ind w:left="567" w:right="567" w:firstLine="0"/>
        <w:jc w:val="both"/>
        <w:rPr>
          <w:rFonts w:ascii="Book Antiqua" w:cs="Book Antiqua" w:hAnsi="Book Antiqua" w:eastAsia="Book Antiqua"/>
          <w:sz w:val="20"/>
          <w:szCs w:val="20"/>
        </w:rPr>
      </w:pPr>
      <w:hyperlink r:id="rId32" w:history="1">
        <w:r>
          <w:rPr>
            <w:rStyle w:val="Hyperlink.2"/>
            <w:rFonts w:ascii="Book Antiqua"/>
            <w:sz w:val="20"/>
            <w:szCs w:val="20"/>
            <w:rtl w:val="0"/>
            <w:lang w:val="it-IT"/>
          </w:rPr>
          <w:t>http://www.amaroma.it/media/news/3910-nella-scuola-del-infanzia-la-gabbianella-di-ostia-inaugurata-la-prima-domus-ecologica-di-roma.html</w:t>
        </w:r>
      </w:hyperlink>
    </w:p>
    <w:p>
      <w:pPr>
        <w:pStyle w:val="footnote text"/>
        <w:ind w:left="567" w:right="567" w:firstLine="0"/>
        <w:jc w:val="both"/>
      </w:pPr>
      <w:r>
        <w:rPr>
          <w:rFonts w:ascii="Book Antiqua"/>
          <w:sz w:val="20"/>
          <w:szCs w:val="20"/>
          <w:rtl w:val="0"/>
          <w:lang w:val="it-IT"/>
        </w:rPr>
        <w:t>La previsione che si trova sul sito dell</w:t>
      </w:r>
      <w:r>
        <w:rPr>
          <w:rFonts w:hAnsi="Book Antiqua" w:hint="default"/>
          <w:sz w:val="20"/>
          <w:szCs w:val="20"/>
          <w:rtl w:val="0"/>
          <w:lang w:val="it-IT"/>
        </w:rPr>
        <w:t>’</w:t>
      </w:r>
      <w:r>
        <w:rPr>
          <w:rFonts w:ascii="Book Antiqua"/>
          <w:sz w:val="20"/>
          <w:szCs w:val="20"/>
          <w:rtl w:val="0"/>
          <w:lang w:val="it-IT"/>
        </w:rPr>
        <w:t xml:space="preserve">azienda municipalizzata </w:t>
      </w:r>
      <w:r>
        <w:rPr>
          <w:rFonts w:hAnsi="Book Antiqua" w:hint="default"/>
          <w:sz w:val="20"/>
          <w:szCs w:val="20"/>
          <w:rtl w:val="0"/>
          <w:lang w:val="it-IT"/>
        </w:rPr>
        <w:t xml:space="preserve">è </w:t>
      </w:r>
      <w:r>
        <w:rPr>
          <w:rFonts w:ascii="Book Antiqua"/>
          <w:sz w:val="20"/>
          <w:szCs w:val="20"/>
          <w:rtl w:val="0"/>
          <w:lang w:val="it-IT"/>
        </w:rPr>
        <w:t>della realizzazione di duecentocinquanta strutture all</w:t>
      </w:r>
      <w:r>
        <w:rPr>
          <w:rFonts w:hAnsi="Book Antiqua" w:hint="default"/>
          <w:sz w:val="20"/>
          <w:szCs w:val="20"/>
          <w:rtl w:val="0"/>
          <w:lang w:val="it-IT"/>
        </w:rPr>
        <w:t>’</w:t>
      </w:r>
      <w:r>
        <w:rPr>
          <w:rFonts w:ascii="Book Antiqua"/>
          <w:sz w:val="20"/>
          <w:szCs w:val="20"/>
          <w:rtl w:val="0"/>
          <w:lang w:val="it-IT"/>
        </w:rPr>
        <w:t>anno per quattro anni.</w:t>
      </w:r>
    </w:p>
  </w:footnote>
  <w:footnote w:id="133">
    <w:p>
      <w:pPr>
        <w:pStyle w:val="footnote text"/>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Si intende: riduzione da 1.700.000 tonnellate annue a 1.500.000 tonnellate annue nel 2021.</w:t>
      </w:r>
    </w:p>
  </w:footnote>
  <w:footnote w:id="134">
    <w:p>
      <w:pPr>
        <w:pStyle w:val="footnote text"/>
        <w:ind w:left="567" w:right="567" w:firstLine="0"/>
        <w:jc w:val="both"/>
        <w:rPr>
          <w:rFonts w:ascii="Book Antiqua" w:cs="Book Antiqua" w:hAnsi="Book Antiqua" w:eastAsia="Book Antiqua"/>
          <w:sz w:val="20"/>
          <w:szCs w:val="20"/>
        </w:rPr>
      </w:pPr>
      <w:r>
        <w:rPr>
          <w:rFonts w:ascii="Book Antiqua" w:cs="Book Antiqua" w:hAnsi="Book Antiqua" w:eastAsia="Book Antiqua"/>
          <w:vertAlign w:val="superscript"/>
          <w:rtl w:val="0"/>
        </w:rPr>
        <w:footnoteRef/>
      </w:r>
      <w:r>
        <w:rPr>
          <w:rFonts w:ascii="Book Antiqua"/>
          <w:sz w:val="20"/>
          <w:szCs w:val="20"/>
          <w:rtl w:val="0"/>
          <w:lang w:val="it-IT"/>
        </w:rPr>
        <w:t xml:space="preserve"> </w:t>
      </w:r>
      <w:hyperlink r:id="rId33" w:history="1">
        <w:r>
          <w:rPr>
            <w:rStyle w:val="Hyperlink.2"/>
            <w:rFonts w:ascii="Book Antiqua"/>
            <w:sz w:val="20"/>
            <w:szCs w:val="20"/>
            <w:rtl w:val="0"/>
            <w:lang w:val="it-IT"/>
          </w:rPr>
          <w:t>https://www.comune.roma.it/pcr/it/rag_gen_stat_terr_mun_vi.page</w:t>
        </w:r>
      </w:hyperlink>
    </w:p>
    <w:p>
      <w:pPr>
        <w:pStyle w:val="footnote text"/>
        <w:ind w:left="567" w:right="567" w:firstLine="0"/>
        <w:jc w:val="both"/>
      </w:pPr>
      <w:r>
        <w:rPr>
          <w:rFonts w:ascii="Book Antiqua"/>
          <w:sz w:val="20"/>
          <w:szCs w:val="20"/>
          <w:rtl w:val="0"/>
          <w:lang w:val="it-IT"/>
        </w:rPr>
        <w:t>Il VI Municipio comprende le zone urbanistiche di Torrespaccata, Torre Maura, Giardinetti-Tor Vergata, Acqua Vergine, Lunghezza, Torre Angela, Borghesiana, S. Vittorino.</w:t>
      </w:r>
    </w:p>
  </w:footnote>
  <w:footnote w:id="135">
    <w:p>
      <w:pPr>
        <w:pStyle w:val="footnote text"/>
        <w:ind w:left="567" w:right="567" w:firstLine="0"/>
        <w:jc w:val="both"/>
      </w:pPr>
      <w:r>
        <w:rPr>
          <w:rFonts w:ascii="Book Antiqua" w:cs="Book Antiqua" w:hAnsi="Book Antiqua" w:eastAsia="Book Antiqua"/>
          <w:color w:val="262626"/>
          <w:u w:color="262626"/>
          <w:vertAlign w:val="superscript"/>
          <w:rtl w:val="0"/>
        </w:rPr>
        <w:footnoteRef/>
      </w:r>
      <w:r>
        <w:rPr>
          <w:rFonts w:ascii="Book Antiqua"/>
          <w:sz w:val="20"/>
          <w:szCs w:val="20"/>
          <w:rtl w:val="0"/>
          <w:lang w:val="it-IT"/>
        </w:rPr>
        <w:t xml:space="preserve"> Cos</w:t>
      </w:r>
      <w:r>
        <w:rPr>
          <w:rFonts w:hAnsi="Book Antiqua" w:hint="default"/>
          <w:sz w:val="20"/>
          <w:szCs w:val="20"/>
          <w:rtl w:val="0"/>
          <w:lang w:val="it-IT"/>
        </w:rPr>
        <w:t xml:space="preserve">ì </w:t>
      </w:r>
      <w:r>
        <w:rPr>
          <w:rFonts w:ascii="Book Antiqua"/>
          <w:sz w:val="20"/>
          <w:szCs w:val="20"/>
          <w:rtl w:val="0"/>
          <w:lang w:val="it-IT"/>
        </w:rPr>
        <w:t>testualmente descritte dall</w:t>
      </w:r>
      <w:r>
        <w:rPr>
          <w:rFonts w:hAnsi="Book Antiqua" w:hint="default"/>
          <w:sz w:val="20"/>
          <w:szCs w:val="20"/>
          <w:rtl w:val="0"/>
          <w:lang w:val="it-IT"/>
        </w:rPr>
        <w:t>’</w:t>
      </w:r>
      <w:r>
        <w:rPr>
          <w:rFonts w:ascii="Book Antiqua"/>
          <w:sz w:val="20"/>
          <w:szCs w:val="20"/>
          <w:rtl w:val="0"/>
          <w:lang w:val="it-IT"/>
        </w:rPr>
        <w:t xml:space="preserve">assessore, a domanda della Commissione: </w:t>
      </w:r>
      <w:r>
        <w:rPr>
          <w:rFonts w:hAnsi="Book Antiqua" w:hint="default"/>
          <w:sz w:val="20"/>
          <w:szCs w:val="20"/>
          <w:rtl w:val="0"/>
          <w:lang w:val="it-IT"/>
        </w:rPr>
        <w:t>“</w:t>
      </w:r>
      <w:r>
        <w:rPr>
          <w:rFonts w:ascii="Book Antiqua"/>
          <w:color w:val="262626"/>
          <w:sz w:val="20"/>
          <w:szCs w:val="20"/>
          <w:u w:color="262626"/>
          <w:rtl w:val="0"/>
          <w:lang w:val="it-IT"/>
        </w:rPr>
        <w:t>le oasi ecologiche dedicate sono una forma di porta a porta destinato alle grandi utenze. Ovviamente, nel centro storico se ne vedono poche, perch</w:t>
      </w:r>
      <w:r>
        <w:rPr>
          <w:rFonts w:hAnsi="Book Antiqua" w:hint="default"/>
          <w:color w:val="262626"/>
          <w:sz w:val="20"/>
          <w:szCs w:val="20"/>
          <w:u w:color="262626"/>
          <w:rtl w:val="0"/>
          <w:lang w:val="it-IT"/>
        </w:rPr>
        <w:t xml:space="preserve">é </w:t>
      </w:r>
      <w:r>
        <w:rPr>
          <w:rFonts w:ascii="Book Antiqua"/>
          <w:color w:val="262626"/>
          <w:sz w:val="20"/>
          <w:szCs w:val="20"/>
          <w:u w:color="262626"/>
          <w:rtl w:val="0"/>
          <w:lang w:val="it-IT"/>
        </w:rPr>
        <w:t>non c'</w:t>
      </w:r>
      <w:r>
        <w:rPr>
          <w:rFonts w:hAnsi="Book Antiqua" w:hint="default"/>
          <w:color w:val="262626"/>
          <w:sz w:val="20"/>
          <w:szCs w:val="20"/>
          <w:u w:color="262626"/>
          <w:rtl w:val="0"/>
          <w:lang w:val="it-IT"/>
        </w:rPr>
        <w:t xml:space="preserve">è </w:t>
      </w:r>
      <w:r>
        <w:rPr>
          <w:rFonts w:ascii="Book Antiqua"/>
          <w:color w:val="262626"/>
          <w:sz w:val="20"/>
          <w:szCs w:val="20"/>
          <w:u w:color="262626"/>
          <w:rtl w:val="0"/>
          <w:lang w:val="it-IT"/>
        </w:rPr>
        <w:t xml:space="preserve">posto, mentre nelle aree dove </w:t>
      </w:r>
      <w:r>
        <w:rPr>
          <w:rFonts w:hAnsi="Book Antiqua" w:hint="default"/>
          <w:color w:val="262626"/>
          <w:sz w:val="20"/>
          <w:szCs w:val="20"/>
          <w:u w:color="262626"/>
          <w:rtl w:val="0"/>
          <w:lang w:val="it-IT"/>
        </w:rPr>
        <w:t xml:space="preserve">è </w:t>
      </w:r>
      <w:r>
        <w:rPr>
          <w:rFonts w:ascii="Book Antiqua"/>
          <w:color w:val="262626"/>
          <w:sz w:val="20"/>
          <w:szCs w:val="20"/>
          <w:u w:color="262626"/>
          <w:rtl w:val="0"/>
          <w:lang w:val="it-IT"/>
        </w:rPr>
        <w:t xml:space="preserve">possibile concentrare questo tipo di modello, aiuta a raggiungere gli obiettivi di raccolta differenziata domiciliarizzata. Quel tipo di oggi </w:t>
      </w:r>
      <w:r>
        <w:rPr>
          <w:rFonts w:hAnsi="Book Antiqua" w:hint="default"/>
          <w:color w:val="262626"/>
          <w:sz w:val="20"/>
          <w:szCs w:val="20"/>
          <w:u w:color="262626"/>
          <w:rtl w:val="0"/>
          <w:lang w:val="it-IT"/>
        </w:rPr>
        <w:t xml:space="preserve">è </w:t>
      </w:r>
      <w:r>
        <w:rPr>
          <w:rFonts w:ascii="Book Antiqua"/>
          <w:color w:val="262626"/>
          <w:sz w:val="20"/>
          <w:szCs w:val="20"/>
          <w:u w:color="262626"/>
          <w:rtl w:val="0"/>
          <w:lang w:val="it-IT"/>
        </w:rPr>
        <w:t>dedicato a quegli utenti di quei condomini, che sono obbligati a conferire in quei luoghi</w:t>
      </w:r>
      <w:r>
        <w:rPr>
          <w:rFonts w:hAnsi="Book Antiqua" w:hint="default"/>
          <w:color w:val="262626"/>
          <w:sz w:val="20"/>
          <w:szCs w:val="20"/>
          <w:u w:color="262626"/>
          <w:rtl w:val="0"/>
          <w:lang w:val="it-IT"/>
        </w:rPr>
        <w:t>”</w:t>
      </w:r>
    </w:p>
  </w:footnote>
  <w:footnote w:id="136">
    <w:p>
      <w:pPr>
        <w:pStyle w:val="footnote text"/>
        <w:ind w:left="567" w:right="567" w:firstLine="0"/>
        <w:jc w:val="both"/>
      </w:pPr>
      <w:r>
        <w:rPr>
          <w:rFonts w:ascii="Book Antiqua" w:cs="Book Antiqua" w:hAnsi="Book Antiqua" w:eastAsia="Book Antiqua"/>
          <w:color w:val="262626"/>
          <w:u w:color="262626"/>
          <w:vertAlign w:val="superscript"/>
          <w:rtl w:val="0"/>
        </w:rPr>
        <w:footnoteRef/>
      </w:r>
      <w:r>
        <w:rPr>
          <w:rFonts w:ascii="Book Antiqua"/>
          <w:sz w:val="20"/>
          <w:szCs w:val="20"/>
          <w:rtl w:val="0"/>
          <w:lang w:val="it-IT"/>
        </w:rPr>
        <w:t xml:space="preserve"> Il direttore generale Bina, in una successiva audizione del 28 giugno 2017, modifica questa prospettiva, condizionandola a sviluppi futuri: </w:t>
      </w:r>
      <w:r>
        <w:rPr>
          <w:rFonts w:hAnsi="Book Antiqua" w:hint="default"/>
          <w:sz w:val="20"/>
          <w:szCs w:val="20"/>
          <w:rtl w:val="0"/>
          <w:lang w:val="it-IT"/>
        </w:rPr>
        <w:t>“</w:t>
      </w:r>
      <w:r>
        <w:rPr>
          <w:rFonts w:hAnsi="Book Antiqua" w:hint="default"/>
          <w:color w:val="262626"/>
          <w:sz w:val="20"/>
          <w:szCs w:val="20"/>
          <w:u w:color="262626"/>
          <w:rtl w:val="0"/>
          <w:lang w:val="it-IT"/>
        </w:rPr>
        <w:t xml:space="preserve">È </w:t>
      </w:r>
      <w:r>
        <w:rPr>
          <w:rFonts w:ascii="Book Antiqua"/>
          <w:color w:val="262626"/>
          <w:sz w:val="20"/>
          <w:szCs w:val="20"/>
          <w:u w:color="262626"/>
          <w:rtl w:val="0"/>
          <w:lang w:val="it-IT"/>
        </w:rPr>
        <w:t>infatti innegabile che almeno uno dei due impianti TMB che eserciamo, non sia nel posto migliore possibile rispetto a Roma. Peraltro, in questo momento, non possiamo fare a meno di quella capacit</w:t>
      </w:r>
      <w:r>
        <w:rPr>
          <w:rFonts w:hAnsi="Book Antiqua" w:hint="default"/>
          <w:color w:val="262626"/>
          <w:sz w:val="20"/>
          <w:szCs w:val="20"/>
          <w:u w:color="262626"/>
          <w:rtl w:val="0"/>
          <w:lang w:val="it-IT"/>
        </w:rPr>
        <w:t xml:space="preserve">à </w:t>
      </w:r>
      <w:r>
        <w:rPr>
          <w:rFonts w:ascii="Book Antiqua"/>
          <w:color w:val="262626"/>
          <w:sz w:val="20"/>
          <w:szCs w:val="20"/>
          <w:u w:color="262626"/>
          <w:rtl w:val="0"/>
          <w:lang w:val="it-IT"/>
        </w:rPr>
        <w:t xml:space="preserve">di trattamento, salvo costringere Roma a sopportare condizioni di emergenza. L'impegno, anche nel piano industriale, </w:t>
      </w:r>
      <w:r>
        <w:rPr>
          <w:rFonts w:hAnsi="Book Antiqua" w:hint="default"/>
          <w:color w:val="262626"/>
          <w:sz w:val="20"/>
          <w:szCs w:val="20"/>
          <w:u w:color="262626"/>
          <w:rtl w:val="0"/>
          <w:lang w:val="it-IT"/>
        </w:rPr>
        <w:t xml:space="preserve">è </w:t>
      </w:r>
      <w:r>
        <w:rPr>
          <w:rFonts w:ascii="Book Antiqua"/>
          <w:color w:val="262626"/>
          <w:sz w:val="20"/>
          <w:szCs w:val="20"/>
          <w:u w:color="262626"/>
          <w:rtl w:val="0"/>
          <w:lang w:val="it-IT"/>
        </w:rPr>
        <w:t>quello di dismettere questo impianto non appena le quantit</w:t>
      </w:r>
      <w:r>
        <w:rPr>
          <w:rFonts w:hAnsi="Book Antiqua" w:hint="default"/>
          <w:color w:val="262626"/>
          <w:sz w:val="20"/>
          <w:szCs w:val="20"/>
          <w:u w:color="262626"/>
          <w:rtl w:val="0"/>
          <w:lang w:val="it-IT"/>
        </w:rPr>
        <w:t xml:space="preserve">à </w:t>
      </w:r>
      <w:r>
        <w:rPr>
          <w:rFonts w:ascii="Book Antiqua"/>
          <w:color w:val="262626"/>
          <w:sz w:val="20"/>
          <w:szCs w:val="20"/>
          <w:u w:color="262626"/>
          <w:rtl w:val="0"/>
          <w:lang w:val="it-IT"/>
        </w:rPr>
        <w:t>di rifiuti raccolti consentiranno di farlo</w:t>
      </w:r>
      <w:r>
        <w:rPr>
          <w:rFonts w:hAnsi="Book Antiqua" w:hint="default"/>
          <w:color w:val="262626"/>
          <w:sz w:val="20"/>
          <w:szCs w:val="20"/>
          <w:u w:color="262626"/>
          <w:rtl w:val="0"/>
          <w:lang w:val="it-IT"/>
        </w:rPr>
        <w:t>”</w:t>
      </w:r>
    </w:p>
  </w:footnote>
  <w:footnote w:id="137">
    <w:p>
      <w:pPr>
        <w:pStyle w:val="footnote text"/>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Come si </w:t>
      </w:r>
      <w:r>
        <w:rPr>
          <w:rFonts w:hAnsi="Book Antiqua" w:hint="default"/>
          <w:sz w:val="20"/>
          <w:szCs w:val="20"/>
          <w:rtl w:val="0"/>
          <w:lang w:val="it-IT"/>
        </w:rPr>
        <w:t xml:space="preserve">è </w:t>
      </w:r>
      <w:r>
        <w:rPr>
          <w:rFonts w:ascii="Book Antiqua"/>
          <w:sz w:val="20"/>
          <w:szCs w:val="20"/>
          <w:rtl w:val="0"/>
          <w:lang w:val="it-IT"/>
        </w:rPr>
        <w:t>visto pi</w:t>
      </w:r>
      <w:r>
        <w:rPr>
          <w:rFonts w:hAnsi="Book Antiqua" w:hint="default"/>
          <w:sz w:val="20"/>
          <w:szCs w:val="20"/>
          <w:rtl w:val="0"/>
          <w:lang w:val="it-IT"/>
        </w:rPr>
        <w:t xml:space="preserve">ù </w:t>
      </w:r>
      <w:r>
        <w:rPr>
          <w:rFonts w:ascii="Book Antiqua"/>
          <w:sz w:val="20"/>
          <w:szCs w:val="20"/>
          <w:rtl w:val="0"/>
          <w:lang w:val="it-IT"/>
        </w:rPr>
        <w:t xml:space="preserve">ampiamente nel </w:t>
      </w:r>
      <w:r>
        <w:rPr>
          <w:rFonts w:hAnsi="Book Antiqua" w:hint="default"/>
          <w:sz w:val="20"/>
          <w:szCs w:val="20"/>
          <w:rtl w:val="0"/>
          <w:lang w:val="it-IT"/>
        </w:rPr>
        <w:t xml:space="preserve">§ </w:t>
      </w:r>
      <w:r>
        <w:rPr>
          <w:rFonts w:ascii="Book Antiqua"/>
          <w:sz w:val="20"/>
          <w:szCs w:val="20"/>
          <w:rtl w:val="0"/>
          <w:lang w:val="it-IT"/>
        </w:rPr>
        <w:t xml:space="preserve">2.3.2, il </w:t>
      </w:r>
      <w:r>
        <w:rPr>
          <w:rFonts w:hAnsi="Book Antiqua" w:hint="default"/>
          <w:sz w:val="20"/>
          <w:szCs w:val="20"/>
          <w:rtl w:val="0"/>
          <w:lang w:val="it-IT"/>
        </w:rPr>
        <w:t>“</w:t>
      </w:r>
      <w:r>
        <w:rPr>
          <w:rFonts w:ascii="Book Antiqua"/>
          <w:sz w:val="20"/>
          <w:szCs w:val="20"/>
          <w:rtl w:val="0"/>
          <w:lang w:val="it-IT"/>
        </w:rPr>
        <w:t>Contratto di Servizio tra Roma Capitale ed AMA S.p.A. per la gestione dei rifiuti urbani e i servizi di igiene urbana valevole dal 1</w:t>
      </w:r>
      <w:r>
        <w:rPr>
          <w:rFonts w:hAnsi="Book Antiqua" w:hint="default"/>
          <w:sz w:val="20"/>
          <w:szCs w:val="20"/>
          <w:rtl w:val="0"/>
          <w:lang w:val="it-IT"/>
        </w:rPr>
        <w:t xml:space="preserve">° </w:t>
      </w:r>
      <w:r>
        <w:rPr>
          <w:rFonts w:ascii="Book Antiqua"/>
          <w:sz w:val="20"/>
          <w:szCs w:val="20"/>
          <w:rtl w:val="0"/>
          <w:lang w:val="it-IT"/>
        </w:rPr>
        <w:t>aprile 2016 al 31 dicembre 2018</w:t>
      </w:r>
      <w:r>
        <w:rPr>
          <w:rFonts w:hAnsi="Book Antiqua" w:hint="default"/>
          <w:sz w:val="20"/>
          <w:szCs w:val="20"/>
          <w:rtl w:val="0"/>
          <w:lang w:val="it-IT"/>
        </w:rPr>
        <w:t xml:space="preserve">” </w:t>
      </w:r>
      <w:r>
        <w:rPr>
          <w:rFonts w:ascii="Book Antiqua"/>
          <w:sz w:val="20"/>
          <w:szCs w:val="20"/>
          <w:rtl w:val="0"/>
          <w:lang w:val="it-IT"/>
        </w:rPr>
        <w:t>approvato con la  Deliberazione del Commissario Straordinario con i poteri della Giunta Capitolina n. 77 del 12 maggio 2016 prevede, all</w:t>
      </w:r>
      <w:r>
        <w:rPr>
          <w:rFonts w:hAnsi="Book Antiqua" w:hint="default"/>
          <w:sz w:val="20"/>
          <w:szCs w:val="20"/>
          <w:rtl w:val="0"/>
          <w:lang w:val="it-IT"/>
        </w:rPr>
        <w:t>’</w:t>
      </w:r>
      <w:r>
        <w:rPr>
          <w:rFonts w:ascii="Book Antiqua"/>
          <w:sz w:val="20"/>
          <w:szCs w:val="20"/>
          <w:rtl w:val="0"/>
          <w:lang w:val="it-IT"/>
        </w:rPr>
        <w:t>articolo 6, che venga avviato un programma di sperimentazione di tariffazione puntuale, basato sulla quantit</w:t>
      </w:r>
      <w:r>
        <w:rPr>
          <w:rFonts w:hAnsi="Book Antiqua" w:hint="default"/>
          <w:sz w:val="20"/>
          <w:szCs w:val="20"/>
          <w:rtl w:val="0"/>
          <w:lang w:val="it-IT"/>
        </w:rPr>
        <w:t xml:space="preserve">à </w:t>
      </w:r>
      <w:r>
        <w:rPr>
          <w:rFonts w:ascii="Book Antiqua"/>
          <w:sz w:val="20"/>
          <w:szCs w:val="20"/>
          <w:rtl w:val="0"/>
          <w:lang w:val="it-IT"/>
        </w:rPr>
        <w:t>di rifiuti indifferenziati prodotti rilevata attraverso sistemi tecnologici avanzati, con il fine di una successiva applicazione generalizzata</w:t>
      </w:r>
    </w:p>
  </w:footnote>
  <w:footnote w:id="138">
    <w:p>
      <w:pPr>
        <w:pStyle w:val="footnote text"/>
        <w:ind w:left="567" w:right="567" w:firstLine="0"/>
        <w:jc w:val="both"/>
        <w:rPr>
          <w:rFonts w:ascii="Book Antiqua" w:cs="Book Antiqua" w:hAnsi="Book Antiqua" w:eastAsia="Book Antiqua"/>
          <w:sz w:val="20"/>
          <w:szCs w:val="20"/>
        </w:rPr>
      </w:pPr>
      <w:r>
        <w:rPr>
          <w:rFonts w:ascii="Book Antiqua" w:cs="Book Antiqua" w:hAnsi="Book Antiqua" w:eastAsia="Book Antiqua"/>
          <w:color w:val="262626"/>
          <w:u w:color="262626"/>
          <w:vertAlign w:val="superscript"/>
          <w:rtl w:val="0"/>
        </w:rPr>
        <w:footnoteRef/>
      </w:r>
      <w:r>
        <w:rPr>
          <w:rFonts w:ascii="Book Antiqua"/>
          <w:sz w:val="20"/>
          <w:szCs w:val="20"/>
          <w:rtl w:val="0"/>
          <w:lang w:val="it-IT"/>
        </w:rPr>
        <w:t xml:space="preserve"> Questa </w:t>
      </w:r>
      <w:r>
        <w:rPr>
          <w:rFonts w:hAnsi="Book Antiqua" w:hint="default"/>
          <w:sz w:val="20"/>
          <w:szCs w:val="20"/>
          <w:rtl w:val="0"/>
          <w:lang w:val="it-IT"/>
        </w:rPr>
        <w:t>“</w:t>
      </w:r>
      <w:r>
        <w:rPr>
          <w:rFonts w:ascii="Book Antiqua"/>
          <w:sz w:val="20"/>
          <w:szCs w:val="20"/>
          <w:rtl w:val="0"/>
          <w:lang w:val="it-IT"/>
        </w:rPr>
        <w:t>formula di compatibilit</w:t>
      </w:r>
      <w:r>
        <w:rPr>
          <w:rFonts w:hAnsi="Book Antiqua" w:hint="default"/>
          <w:sz w:val="20"/>
          <w:szCs w:val="20"/>
          <w:rtl w:val="0"/>
          <w:lang w:val="it-IT"/>
        </w:rPr>
        <w:t xml:space="preserve">à” </w:t>
      </w:r>
      <w:r>
        <w:rPr>
          <w:rFonts w:ascii="Book Antiqua"/>
          <w:sz w:val="20"/>
          <w:szCs w:val="20"/>
          <w:rtl w:val="0"/>
          <w:lang w:val="it-IT"/>
        </w:rPr>
        <w:t xml:space="preserve">appare poco coerente, laddove con essa si intenda che le previsioni impiantistiche e le politiche industriali possano andare soggette a </w:t>
      </w:r>
      <w:r>
        <w:rPr>
          <w:rFonts w:hAnsi="Book Antiqua" w:hint="default"/>
          <w:sz w:val="20"/>
          <w:szCs w:val="20"/>
          <w:rtl w:val="0"/>
          <w:lang w:val="it-IT"/>
        </w:rPr>
        <w:t>“</w:t>
      </w:r>
      <w:r>
        <w:rPr>
          <w:rFonts w:ascii="Book Antiqua"/>
          <w:sz w:val="20"/>
          <w:szCs w:val="20"/>
          <w:rtl w:val="0"/>
          <w:lang w:val="it-IT"/>
        </w:rPr>
        <w:t>sindrome NIMBY</w:t>
      </w:r>
      <w:r>
        <w:rPr>
          <w:rFonts w:hAnsi="Book Antiqua" w:hint="default"/>
          <w:sz w:val="20"/>
          <w:szCs w:val="20"/>
          <w:rtl w:val="0"/>
          <w:lang w:val="it-IT"/>
        </w:rPr>
        <w:t>”</w:t>
      </w:r>
      <w:r>
        <w:rPr>
          <w:rFonts w:ascii="Book Antiqua"/>
          <w:sz w:val="20"/>
          <w:szCs w:val="20"/>
          <w:rtl w:val="0"/>
          <w:lang w:val="it-IT"/>
        </w:rPr>
        <w:t xml:space="preserve">; cosa diversa, al momento non verificabile, </w:t>
      </w:r>
      <w:r>
        <w:rPr>
          <w:rFonts w:hAnsi="Book Antiqua" w:hint="default"/>
          <w:sz w:val="20"/>
          <w:szCs w:val="20"/>
          <w:rtl w:val="0"/>
          <w:lang w:val="it-IT"/>
        </w:rPr>
        <w:t xml:space="preserve">è </w:t>
      </w:r>
      <w:r>
        <w:rPr>
          <w:rFonts w:ascii="Book Antiqua"/>
          <w:sz w:val="20"/>
          <w:szCs w:val="20"/>
          <w:rtl w:val="0"/>
          <w:lang w:val="it-IT"/>
        </w:rPr>
        <w:t>se, come deve accadere in tutti i processi decisionali della pubblica amministrazione, i decisori politici tengano conto comparativamente di interessi pubblici e privati coinvolti.</w:t>
      </w:r>
    </w:p>
    <w:p>
      <w:pPr>
        <w:pStyle w:val="footnote text"/>
        <w:ind w:left="567" w:right="567" w:firstLine="0"/>
        <w:jc w:val="both"/>
        <w:rPr>
          <w:rFonts w:ascii="Book Antiqua" w:cs="Book Antiqua" w:hAnsi="Book Antiqua" w:eastAsia="Book Antiqua"/>
          <w:color w:val="262626"/>
          <w:sz w:val="20"/>
          <w:szCs w:val="20"/>
          <w:u w:color="262626"/>
        </w:rPr>
      </w:pPr>
      <w:r>
        <w:rPr>
          <w:rFonts w:ascii="Book Antiqua"/>
          <w:sz w:val="20"/>
          <w:szCs w:val="20"/>
          <w:rtl w:val="0"/>
          <w:lang w:val="it-IT"/>
        </w:rPr>
        <w:t>Anche l</w:t>
      </w:r>
      <w:r>
        <w:rPr>
          <w:rFonts w:hAnsi="Book Antiqua" w:hint="default"/>
          <w:sz w:val="20"/>
          <w:szCs w:val="20"/>
          <w:rtl w:val="0"/>
          <w:lang w:val="it-IT"/>
        </w:rPr>
        <w:t>’</w:t>
      </w:r>
      <w:r>
        <w:rPr>
          <w:rFonts w:ascii="Book Antiqua"/>
          <w:sz w:val="20"/>
          <w:szCs w:val="20"/>
          <w:rtl w:val="0"/>
          <w:lang w:val="it-IT"/>
        </w:rPr>
        <w:t xml:space="preserve">assessora Montanari aveva introdotto questo </w:t>
      </w:r>
      <w:r>
        <w:rPr>
          <w:rFonts w:hAnsi="Book Antiqua" w:hint="default"/>
          <w:sz w:val="20"/>
          <w:szCs w:val="20"/>
          <w:rtl w:val="0"/>
          <w:lang w:val="it-IT"/>
        </w:rPr>
        <w:t>“</w:t>
      </w:r>
      <w:r>
        <w:rPr>
          <w:rFonts w:ascii="Book Antiqua"/>
          <w:sz w:val="20"/>
          <w:szCs w:val="20"/>
          <w:rtl w:val="0"/>
          <w:lang w:val="it-IT"/>
        </w:rPr>
        <w:t>condizionamento decisionale</w:t>
      </w:r>
      <w:r>
        <w:rPr>
          <w:rFonts w:hAnsi="Book Antiqua" w:hint="default"/>
          <w:sz w:val="20"/>
          <w:szCs w:val="20"/>
          <w:rtl w:val="0"/>
          <w:lang w:val="it-IT"/>
        </w:rPr>
        <w:t>”</w:t>
      </w:r>
      <w:r>
        <w:rPr>
          <w:rFonts w:ascii="Book Antiqua"/>
          <w:sz w:val="20"/>
          <w:szCs w:val="20"/>
          <w:rtl w:val="0"/>
          <w:lang w:val="it-IT"/>
        </w:rPr>
        <w:t xml:space="preserve">, parlando della gestione dei rifiuti organici. </w:t>
      </w:r>
      <w:r>
        <w:rPr>
          <w:rFonts w:hAnsi="Book Antiqua" w:hint="default"/>
          <w:sz w:val="20"/>
          <w:szCs w:val="20"/>
          <w:rtl w:val="0"/>
          <w:lang w:val="it-IT"/>
        </w:rPr>
        <w:t>“</w:t>
      </w:r>
      <w:r>
        <w:rPr>
          <w:rFonts w:ascii="Book Antiqua"/>
          <w:color w:val="262626"/>
          <w:sz w:val="20"/>
          <w:szCs w:val="20"/>
          <w:u w:color="262626"/>
          <w:rtl w:val="0"/>
          <w:lang w:val="it-IT"/>
        </w:rPr>
        <w:t>vogliamo risolvere il tema dell'organico con tre prospettive: la riduzione dei rifiuti [</w:t>
      </w:r>
      <w:r>
        <w:rPr>
          <w:rFonts w:hAnsi="Book Antiqua" w:hint="default"/>
          <w:color w:val="262626"/>
          <w:sz w:val="20"/>
          <w:szCs w:val="20"/>
          <w:u w:color="262626"/>
          <w:rtl w:val="0"/>
          <w:lang w:val="it-IT"/>
        </w:rPr>
        <w:t>…</w:t>
      </w:r>
      <w:r>
        <w:rPr>
          <w:rFonts w:ascii="Book Antiqua"/>
          <w:color w:val="262626"/>
          <w:sz w:val="20"/>
          <w:szCs w:val="20"/>
          <w:u w:color="262626"/>
          <w:rtl w:val="0"/>
          <w:lang w:val="it-IT"/>
        </w:rPr>
        <w:t>] l'impegno contro lo spreco alimentare; il compostaggio di comunit</w:t>
      </w:r>
      <w:r>
        <w:rPr>
          <w:rFonts w:hAnsi="Book Antiqua" w:hint="default"/>
          <w:color w:val="262626"/>
          <w:sz w:val="20"/>
          <w:szCs w:val="20"/>
          <w:u w:color="262626"/>
          <w:rtl w:val="0"/>
          <w:lang w:val="it-IT"/>
        </w:rPr>
        <w:t>à</w:t>
      </w:r>
      <w:r>
        <w:rPr>
          <w:rFonts w:ascii="Book Antiqua"/>
          <w:color w:val="262626"/>
          <w:sz w:val="20"/>
          <w:szCs w:val="20"/>
          <w:u w:color="262626"/>
          <w:rtl w:val="0"/>
          <w:lang w:val="it-IT"/>
        </w:rPr>
        <w:t>, prioritario nelle nostre politiche; un'impiantistica, ma sempre sostenibile se possibile</w:t>
      </w:r>
      <w:r>
        <w:rPr>
          <w:rFonts w:hAnsi="Book Antiqua" w:hint="default"/>
          <w:color w:val="262626"/>
          <w:sz w:val="20"/>
          <w:szCs w:val="20"/>
          <w:u w:color="262626"/>
          <w:rtl w:val="0"/>
          <w:lang w:val="it-IT"/>
        </w:rPr>
        <w:t>”</w:t>
      </w:r>
      <w:r>
        <w:rPr>
          <w:rFonts w:ascii="Book Antiqua"/>
          <w:color w:val="262626"/>
          <w:sz w:val="20"/>
          <w:szCs w:val="20"/>
          <w:u w:color="262626"/>
          <w:rtl w:val="0"/>
          <w:lang w:val="it-IT"/>
        </w:rPr>
        <w:t>.</w:t>
      </w:r>
    </w:p>
    <w:p>
      <w:pPr>
        <w:pStyle w:val="footnote text"/>
        <w:ind w:left="567" w:right="567" w:firstLine="0"/>
        <w:jc w:val="both"/>
      </w:pPr>
      <w:r>
        <w:rPr>
          <w:rFonts w:ascii="Book Antiqua"/>
          <w:color w:val="262626"/>
          <w:sz w:val="20"/>
          <w:szCs w:val="20"/>
          <w:u w:color="262626"/>
          <w:rtl w:val="0"/>
          <w:lang w:val="it-IT"/>
        </w:rPr>
        <w:t>Va notato che questa impostazione sembra venire meno nelle affermazioni dell</w:t>
      </w:r>
      <w:r>
        <w:rPr>
          <w:rFonts w:hAnsi="Book Antiqua" w:hint="default"/>
          <w:color w:val="262626"/>
          <w:sz w:val="20"/>
          <w:szCs w:val="20"/>
          <w:u w:color="262626"/>
          <w:rtl w:val="0"/>
          <w:lang w:val="it-IT"/>
        </w:rPr>
        <w:t>’</w:t>
      </w:r>
      <w:r>
        <w:rPr>
          <w:rFonts w:ascii="Book Antiqua"/>
          <w:color w:val="262626"/>
          <w:sz w:val="20"/>
          <w:szCs w:val="20"/>
          <w:u w:color="262626"/>
          <w:rtl w:val="0"/>
          <w:lang w:val="it-IT"/>
        </w:rPr>
        <w:t xml:space="preserve">attuale presidente e amministratore delegato di AMA S.p.A., Lorenzo Bacagnani, che il 28 giugno 2017, davanti alla Commissione dichiara: </w:t>
      </w:r>
      <w:r>
        <w:rPr>
          <w:rFonts w:hAnsi="Book Antiqua" w:hint="default"/>
          <w:color w:val="262626"/>
          <w:sz w:val="20"/>
          <w:szCs w:val="20"/>
          <w:u w:color="262626"/>
          <w:rtl w:val="0"/>
          <w:lang w:val="it-IT"/>
        </w:rPr>
        <w:t>“</w:t>
      </w:r>
      <w:r>
        <w:rPr>
          <w:rFonts w:ascii="Book Antiqua"/>
          <w:color w:val="262626"/>
          <w:sz w:val="20"/>
          <w:szCs w:val="20"/>
          <w:u w:color="262626"/>
          <w:rtl w:val="0"/>
          <w:lang w:val="it-IT"/>
        </w:rPr>
        <w:t>abbiamo una capacit</w:t>
      </w:r>
      <w:r>
        <w:rPr>
          <w:rFonts w:hAnsi="Book Antiqua" w:hint="default"/>
          <w:color w:val="262626"/>
          <w:sz w:val="20"/>
          <w:szCs w:val="20"/>
          <w:u w:color="262626"/>
          <w:rtl w:val="0"/>
          <w:lang w:val="it-IT"/>
        </w:rPr>
        <w:t xml:space="preserve">à </w:t>
      </w:r>
      <w:r>
        <w:rPr>
          <w:rFonts w:ascii="Book Antiqua"/>
          <w:color w:val="262626"/>
          <w:sz w:val="20"/>
          <w:szCs w:val="20"/>
          <w:u w:color="262626"/>
          <w:rtl w:val="0"/>
          <w:lang w:val="it-IT"/>
        </w:rPr>
        <w:t xml:space="preserve">impiantistica propria che non copre il nostro fabbisogno. Di conseguenza, ritengo, con tutte le analisi del caso </w:t>
      </w:r>
      <w:r>
        <w:rPr>
          <w:rFonts w:hAnsi="Book Antiqua" w:hint="default"/>
          <w:color w:val="262626"/>
          <w:sz w:val="20"/>
          <w:szCs w:val="20"/>
          <w:u w:color="262626"/>
          <w:rtl w:val="0"/>
          <w:lang w:val="it-IT"/>
        </w:rPr>
        <w:t xml:space="preserve">– </w:t>
      </w:r>
      <w:r>
        <w:rPr>
          <w:rFonts w:ascii="Book Antiqua"/>
          <w:color w:val="262626"/>
          <w:sz w:val="20"/>
          <w:szCs w:val="20"/>
          <w:u w:color="262626"/>
          <w:rtl w:val="0"/>
          <w:lang w:val="it-IT"/>
        </w:rPr>
        <w:t xml:space="preserve">siamo all'inizio del lavoro </w:t>
      </w:r>
      <w:r>
        <w:rPr>
          <w:rFonts w:hAnsi="Book Antiqua" w:hint="default"/>
          <w:color w:val="262626"/>
          <w:sz w:val="20"/>
          <w:szCs w:val="20"/>
          <w:u w:color="262626"/>
          <w:rtl w:val="0"/>
          <w:lang w:val="it-IT"/>
        </w:rPr>
        <w:t xml:space="preserve">– </w:t>
      </w:r>
      <w:r>
        <w:rPr>
          <w:rFonts w:ascii="Book Antiqua"/>
          <w:color w:val="262626"/>
          <w:sz w:val="20"/>
          <w:szCs w:val="20"/>
          <w:u w:color="262626"/>
          <w:rtl w:val="0"/>
          <w:lang w:val="it-IT"/>
        </w:rPr>
        <w:t>che questo piano debba essere integrato con un'impiantistica che dia una risposta alla totalit</w:t>
      </w:r>
      <w:r>
        <w:rPr>
          <w:rFonts w:hAnsi="Book Antiqua" w:hint="default"/>
          <w:color w:val="262626"/>
          <w:sz w:val="20"/>
          <w:szCs w:val="20"/>
          <w:u w:color="262626"/>
          <w:rtl w:val="0"/>
          <w:lang w:val="it-IT"/>
        </w:rPr>
        <w:t xml:space="preserve">à </w:t>
      </w:r>
      <w:r>
        <w:rPr>
          <w:rFonts w:ascii="Book Antiqua"/>
          <w:color w:val="262626"/>
          <w:sz w:val="20"/>
          <w:szCs w:val="20"/>
          <w:u w:color="262626"/>
          <w:rtl w:val="0"/>
          <w:lang w:val="it-IT"/>
        </w:rPr>
        <w:t>del rifiuto umido che andiamo a raccogliere. Penso che questo sia un segno di seriet</w:t>
      </w:r>
      <w:r>
        <w:rPr>
          <w:rFonts w:hAnsi="Book Antiqua" w:hint="default"/>
          <w:color w:val="262626"/>
          <w:sz w:val="20"/>
          <w:szCs w:val="20"/>
          <w:u w:color="262626"/>
          <w:rtl w:val="0"/>
          <w:lang w:val="it-IT"/>
        </w:rPr>
        <w:t xml:space="preserve">à </w:t>
      </w:r>
      <w:r>
        <w:rPr>
          <w:rFonts w:ascii="Book Antiqua"/>
          <w:color w:val="262626"/>
          <w:sz w:val="20"/>
          <w:szCs w:val="20"/>
          <w:u w:color="262626"/>
          <w:rtl w:val="0"/>
          <w:lang w:val="it-IT"/>
        </w:rPr>
        <w:t>perch</w:t>
      </w:r>
      <w:r>
        <w:rPr>
          <w:rFonts w:hAnsi="Book Antiqua" w:hint="default"/>
          <w:color w:val="262626"/>
          <w:sz w:val="20"/>
          <w:szCs w:val="20"/>
          <w:u w:color="262626"/>
          <w:rtl w:val="0"/>
          <w:lang w:val="it-IT"/>
        </w:rPr>
        <w:t xml:space="preserve">é </w:t>
      </w:r>
      <w:r>
        <w:rPr>
          <w:rFonts w:ascii="Book Antiqua"/>
          <w:color w:val="262626"/>
          <w:sz w:val="20"/>
          <w:szCs w:val="20"/>
          <w:u w:color="262626"/>
          <w:rtl w:val="0"/>
          <w:lang w:val="it-IT"/>
        </w:rPr>
        <w:t xml:space="preserve">dobbiamo trattare quello che produciamo. Peraltro, considerando quanto ci costa oggi trattare l'umido in impianti terzi, avendo dei costi, anche di trasporto, molto elevati, agire in questo modo </w:t>
      </w:r>
      <w:r>
        <w:rPr>
          <w:rFonts w:hAnsi="Book Antiqua" w:hint="default"/>
          <w:color w:val="262626"/>
          <w:sz w:val="20"/>
          <w:szCs w:val="20"/>
          <w:u w:color="262626"/>
          <w:rtl w:val="0"/>
          <w:lang w:val="it-IT"/>
        </w:rPr>
        <w:t xml:space="preserve">è </w:t>
      </w:r>
      <w:r>
        <w:rPr>
          <w:rFonts w:ascii="Book Antiqua"/>
          <w:color w:val="262626"/>
          <w:sz w:val="20"/>
          <w:szCs w:val="20"/>
          <w:u w:color="262626"/>
          <w:rtl w:val="0"/>
          <w:lang w:val="it-IT"/>
        </w:rPr>
        <w:t>un dovere anche sotto il profilo dell'economicit</w:t>
      </w:r>
      <w:r>
        <w:rPr>
          <w:rFonts w:hAnsi="Book Antiqua" w:hint="default"/>
          <w:color w:val="262626"/>
          <w:sz w:val="20"/>
          <w:szCs w:val="20"/>
          <w:u w:color="262626"/>
          <w:rtl w:val="0"/>
          <w:lang w:val="it-IT"/>
        </w:rPr>
        <w:t>à</w:t>
      </w:r>
      <w:r>
        <w:rPr>
          <w:rFonts w:ascii="Book Antiqua"/>
          <w:color w:val="262626"/>
          <w:sz w:val="20"/>
          <w:szCs w:val="20"/>
          <w:u w:color="262626"/>
          <w:rtl w:val="0"/>
          <w:lang w:val="it-IT"/>
        </w:rPr>
        <w:t>, per restituire ai cittadini una TARI pi</w:t>
      </w:r>
      <w:r>
        <w:rPr>
          <w:rFonts w:hAnsi="Book Antiqua" w:hint="default"/>
          <w:color w:val="262626"/>
          <w:sz w:val="20"/>
          <w:szCs w:val="20"/>
          <w:u w:color="262626"/>
          <w:rtl w:val="0"/>
          <w:lang w:val="it-IT"/>
        </w:rPr>
        <w:t xml:space="preserve">ù </w:t>
      </w:r>
      <w:r>
        <w:rPr>
          <w:rFonts w:ascii="Book Antiqua"/>
          <w:color w:val="262626"/>
          <w:sz w:val="20"/>
          <w:szCs w:val="20"/>
          <w:u w:color="262626"/>
          <w:rtl w:val="0"/>
          <w:lang w:val="it-IT"/>
        </w:rPr>
        <w:t>bassa. Questo significa avere il controllo del processo e avere un processo efficiente, moderno e coerente con quello che il pacchetto sull'economia circolare ci chiede</w:t>
      </w:r>
      <w:r>
        <w:rPr>
          <w:rFonts w:hAnsi="Book Antiqua" w:hint="default"/>
          <w:color w:val="262626"/>
          <w:sz w:val="20"/>
          <w:szCs w:val="20"/>
          <w:u w:color="262626"/>
          <w:rtl w:val="0"/>
          <w:lang w:val="it-IT"/>
        </w:rPr>
        <w:t xml:space="preserve">” </w:t>
      </w:r>
    </w:p>
  </w:footnote>
  <w:footnote w:id="139">
    <w:p>
      <w:pPr>
        <w:pStyle w:val="footnote text"/>
        <w:ind w:left="567" w:right="567" w:firstLine="0"/>
        <w:jc w:val="both"/>
      </w:pPr>
      <w:r>
        <w:rPr>
          <w:rFonts w:ascii="Book Antiqua" w:cs="Book Antiqua" w:hAnsi="Book Antiqua" w:eastAsia="Book Antiqua"/>
          <w:color w:val="262626"/>
          <w:u w:color="262626"/>
          <w:vertAlign w:val="superscript"/>
          <w:rtl w:val="0"/>
        </w:rPr>
        <w:footnoteRef/>
      </w:r>
      <w:r>
        <w:rPr>
          <w:rFonts w:ascii="Book Antiqua"/>
          <w:sz w:val="20"/>
          <w:szCs w:val="20"/>
          <w:rtl w:val="0"/>
          <w:lang w:val="it-IT"/>
        </w:rPr>
        <w:t xml:space="preserve"> A domanda della Commissione sulla necessit</w:t>
      </w:r>
      <w:r>
        <w:rPr>
          <w:rFonts w:hAnsi="Book Antiqua" w:hint="default"/>
          <w:sz w:val="20"/>
          <w:szCs w:val="20"/>
          <w:rtl w:val="0"/>
          <w:lang w:val="it-IT"/>
        </w:rPr>
        <w:t xml:space="preserve">à </w:t>
      </w:r>
      <w:r>
        <w:rPr>
          <w:rFonts w:ascii="Book Antiqua"/>
          <w:sz w:val="20"/>
          <w:szCs w:val="20"/>
          <w:rtl w:val="0"/>
          <w:lang w:val="it-IT"/>
        </w:rPr>
        <w:t>di un procedura ad evidenza pubblica per instaurare un rapporto con ACEA, societ</w:t>
      </w:r>
      <w:r>
        <w:rPr>
          <w:rFonts w:hAnsi="Book Antiqua" w:hint="default"/>
          <w:sz w:val="20"/>
          <w:szCs w:val="20"/>
          <w:rtl w:val="0"/>
          <w:lang w:val="it-IT"/>
        </w:rPr>
        <w:t xml:space="preserve">à </w:t>
      </w:r>
      <w:r>
        <w:rPr>
          <w:rFonts w:ascii="Book Antiqua"/>
          <w:sz w:val="20"/>
          <w:szCs w:val="20"/>
          <w:rtl w:val="0"/>
          <w:lang w:val="it-IT"/>
        </w:rPr>
        <w:t xml:space="preserve">per azioni a partecipazione privata, il direttore generale di AMA S.p.A. ha precisato: </w:t>
      </w:r>
      <w:r>
        <w:rPr>
          <w:rFonts w:hAnsi="Book Antiqua" w:hint="default"/>
          <w:sz w:val="20"/>
          <w:szCs w:val="20"/>
          <w:rtl w:val="0"/>
          <w:lang w:val="it-IT"/>
        </w:rPr>
        <w:t>“</w:t>
      </w:r>
      <w:r>
        <w:rPr>
          <w:rFonts w:ascii="Book Antiqua"/>
          <w:color w:val="262626"/>
          <w:sz w:val="20"/>
          <w:szCs w:val="20"/>
          <w:u w:color="262626"/>
          <w:rtl w:val="0"/>
          <w:lang w:val="it-IT"/>
        </w:rPr>
        <w:t xml:space="preserve">ACEA non </w:t>
      </w:r>
      <w:r>
        <w:rPr>
          <w:rFonts w:hAnsi="Book Antiqua" w:hint="default"/>
          <w:color w:val="262626"/>
          <w:sz w:val="20"/>
          <w:szCs w:val="20"/>
          <w:u w:color="262626"/>
          <w:rtl w:val="0"/>
          <w:lang w:val="it-IT"/>
        </w:rPr>
        <w:t xml:space="preserve">è </w:t>
      </w:r>
      <w:r>
        <w:rPr>
          <w:rFonts w:ascii="Book Antiqua"/>
          <w:color w:val="262626"/>
          <w:sz w:val="20"/>
          <w:szCs w:val="20"/>
          <w:u w:color="262626"/>
          <w:rtl w:val="0"/>
          <w:lang w:val="it-IT"/>
        </w:rPr>
        <w:t>a totale partecipazione pubblica, e quindi non pu</w:t>
      </w:r>
      <w:r>
        <w:rPr>
          <w:rFonts w:hAnsi="Book Antiqua" w:hint="default"/>
          <w:color w:val="262626"/>
          <w:sz w:val="20"/>
          <w:szCs w:val="20"/>
          <w:u w:color="262626"/>
          <w:rtl w:val="0"/>
          <w:lang w:val="it-IT"/>
        </w:rPr>
        <w:t xml:space="preserve">ò </w:t>
      </w:r>
      <w:r>
        <w:rPr>
          <w:rFonts w:ascii="Book Antiqua"/>
          <w:color w:val="262626"/>
          <w:sz w:val="20"/>
          <w:szCs w:val="20"/>
          <w:u w:color="262626"/>
          <w:rtl w:val="0"/>
          <w:lang w:val="it-IT"/>
        </w:rPr>
        <w:t xml:space="preserve">essere oggetto di scelta diretta da parte di AMA. </w:t>
      </w:r>
      <w:r>
        <w:rPr>
          <w:rFonts w:hAnsi="Book Antiqua" w:hint="default"/>
          <w:color w:val="262626"/>
          <w:sz w:val="20"/>
          <w:szCs w:val="20"/>
          <w:u w:color="262626"/>
          <w:rtl w:val="0"/>
          <w:lang w:val="it-IT"/>
        </w:rPr>
        <w:t xml:space="preserve">È </w:t>
      </w:r>
      <w:r>
        <w:rPr>
          <w:rFonts w:ascii="Book Antiqua"/>
          <w:color w:val="262626"/>
          <w:sz w:val="20"/>
          <w:szCs w:val="20"/>
          <w:u w:color="262626"/>
          <w:rtl w:val="0"/>
          <w:lang w:val="it-IT"/>
        </w:rPr>
        <w:t>corretto, e infatti io ho parlato di ipotesi di fattibilit</w:t>
      </w:r>
      <w:r>
        <w:rPr>
          <w:rFonts w:hAnsi="Book Antiqua" w:hint="default"/>
          <w:color w:val="262626"/>
          <w:sz w:val="20"/>
          <w:szCs w:val="20"/>
          <w:u w:color="262626"/>
          <w:rtl w:val="0"/>
          <w:lang w:val="it-IT"/>
        </w:rPr>
        <w:t xml:space="preserve">à </w:t>
      </w:r>
      <w:r>
        <w:rPr>
          <w:rFonts w:ascii="Book Antiqua"/>
          <w:color w:val="262626"/>
          <w:sz w:val="20"/>
          <w:szCs w:val="20"/>
          <w:u w:color="262626"/>
          <w:rtl w:val="0"/>
          <w:lang w:val="it-IT"/>
        </w:rPr>
        <w:t>di sfruttare le sinergie. Naturalmente, quest'ipotesi di fattibilit</w:t>
      </w:r>
      <w:r>
        <w:rPr>
          <w:rFonts w:hAnsi="Book Antiqua" w:hint="default"/>
          <w:color w:val="262626"/>
          <w:sz w:val="20"/>
          <w:szCs w:val="20"/>
          <w:u w:color="262626"/>
          <w:rtl w:val="0"/>
          <w:lang w:val="it-IT"/>
        </w:rPr>
        <w:t xml:space="preserve">à è </w:t>
      </w:r>
      <w:r>
        <w:rPr>
          <w:rFonts w:ascii="Book Antiqua"/>
          <w:color w:val="262626"/>
          <w:sz w:val="20"/>
          <w:szCs w:val="20"/>
          <w:u w:color="262626"/>
          <w:rtl w:val="0"/>
          <w:lang w:val="it-IT"/>
        </w:rPr>
        <w:t>assoggettata certamente a una valutazione di sostenibilit</w:t>
      </w:r>
      <w:r>
        <w:rPr>
          <w:rFonts w:hAnsi="Book Antiqua" w:hint="default"/>
          <w:color w:val="262626"/>
          <w:sz w:val="20"/>
          <w:szCs w:val="20"/>
          <w:u w:color="262626"/>
          <w:rtl w:val="0"/>
          <w:lang w:val="it-IT"/>
        </w:rPr>
        <w:t xml:space="preserve">à </w:t>
      </w:r>
      <w:r>
        <w:rPr>
          <w:rFonts w:ascii="Book Antiqua"/>
          <w:color w:val="262626"/>
          <w:sz w:val="20"/>
          <w:szCs w:val="20"/>
          <w:u w:color="262626"/>
          <w:rtl w:val="0"/>
          <w:lang w:val="it-IT"/>
        </w:rPr>
        <w:t>normativa rispetto a quest'idea, e a una sostenibilit</w:t>
      </w:r>
      <w:r>
        <w:rPr>
          <w:rFonts w:hAnsi="Book Antiqua" w:hint="default"/>
          <w:color w:val="262626"/>
          <w:sz w:val="20"/>
          <w:szCs w:val="20"/>
          <w:u w:color="262626"/>
          <w:rtl w:val="0"/>
          <w:lang w:val="it-IT"/>
        </w:rPr>
        <w:t xml:space="preserve">à </w:t>
      </w:r>
      <w:r>
        <w:rPr>
          <w:rFonts w:ascii="Book Antiqua"/>
          <w:color w:val="262626"/>
          <w:sz w:val="20"/>
          <w:szCs w:val="20"/>
          <w:u w:color="262626"/>
          <w:rtl w:val="0"/>
          <w:lang w:val="it-IT"/>
        </w:rPr>
        <w:t>dal punto di vista della convenienza per AMA e per i cittadini di Roma rispetto a quest'ipotesi. Non sceglieremo di sicuro quest'alternativa se non sar</w:t>
      </w:r>
      <w:r>
        <w:rPr>
          <w:rFonts w:hAnsi="Book Antiqua" w:hint="default"/>
          <w:color w:val="262626"/>
          <w:sz w:val="20"/>
          <w:szCs w:val="20"/>
          <w:u w:color="262626"/>
          <w:rtl w:val="0"/>
          <w:lang w:val="it-IT"/>
        </w:rPr>
        <w:t xml:space="preserve">à </w:t>
      </w:r>
      <w:r>
        <w:rPr>
          <w:rFonts w:ascii="Book Antiqua"/>
          <w:color w:val="262626"/>
          <w:sz w:val="20"/>
          <w:szCs w:val="20"/>
          <w:u w:color="262626"/>
          <w:rtl w:val="0"/>
          <w:lang w:val="it-IT"/>
        </w:rPr>
        <w:t>perfettamente legale e vantaggiosa da tutti i punti di vista</w:t>
      </w:r>
      <w:r>
        <w:rPr>
          <w:rFonts w:hAnsi="Book Antiqua" w:hint="default"/>
          <w:color w:val="262626"/>
          <w:sz w:val="20"/>
          <w:szCs w:val="20"/>
          <w:u w:color="262626"/>
          <w:rtl w:val="0"/>
          <w:lang w:val="it-IT"/>
        </w:rPr>
        <w:t>”</w:t>
      </w:r>
    </w:p>
  </w:footnote>
  <w:footnote w:id="140">
    <w:p>
      <w:pPr>
        <w:pStyle w:val="footnote text"/>
        <w:ind w:left="567" w:right="567" w:firstLine="0"/>
        <w:jc w:val="both"/>
      </w:pPr>
      <w:r>
        <w:rPr>
          <w:rFonts w:ascii="Book Antiqua" w:cs="Book Antiqua" w:hAnsi="Book Antiqua" w:eastAsia="Book Antiqua"/>
          <w:color w:val="262626"/>
          <w:u w:color="262626"/>
          <w:vertAlign w:val="superscript"/>
          <w:rtl w:val="0"/>
        </w:rPr>
        <w:footnoteRef/>
      </w:r>
      <w:r>
        <w:rPr>
          <w:rFonts w:ascii="Book Antiqua"/>
          <w:sz w:val="20"/>
          <w:szCs w:val="20"/>
          <w:rtl w:val="0"/>
          <w:lang w:val="it-IT"/>
        </w:rPr>
        <w:t xml:space="preserve"> Il tema della collaborazione e del coordinamento tra regione Lazio e Roma Capitale era stato individuato come strategico </w:t>
      </w:r>
      <w:r>
        <w:rPr>
          <w:rFonts w:hAnsi="Book Antiqua" w:hint="default"/>
          <w:sz w:val="20"/>
          <w:szCs w:val="20"/>
          <w:rtl w:val="0"/>
          <w:lang w:val="it-IT"/>
        </w:rPr>
        <w:t xml:space="preserve">– </w:t>
      </w:r>
      <w:r>
        <w:rPr>
          <w:rFonts w:ascii="Book Antiqua"/>
          <w:sz w:val="20"/>
          <w:szCs w:val="20"/>
          <w:rtl w:val="0"/>
          <w:lang w:val="it-IT"/>
        </w:rPr>
        <w:t>e concretamente attuato - dall</w:t>
      </w:r>
      <w:r>
        <w:rPr>
          <w:rFonts w:hAnsi="Book Antiqua" w:hint="default"/>
          <w:sz w:val="20"/>
          <w:szCs w:val="20"/>
          <w:rtl w:val="0"/>
          <w:lang w:val="it-IT"/>
        </w:rPr>
        <w:t>’</w:t>
      </w:r>
      <w:r>
        <w:rPr>
          <w:rFonts w:ascii="Book Antiqua"/>
          <w:sz w:val="20"/>
          <w:szCs w:val="20"/>
          <w:rtl w:val="0"/>
          <w:lang w:val="it-IT"/>
        </w:rPr>
        <w:t>allora sindaco Ignazio Marino nell</w:t>
      </w:r>
      <w:r>
        <w:rPr>
          <w:rFonts w:hAnsi="Book Antiqua" w:hint="default"/>
          <w:sz w:val="20"/>
          <w:szCs w:val="20"/>
          <w:rtl w:val="0"/>
          <w:lang w:val="it-IT"/>
        </w:rPr>
        <w:t>’</w:t>
      </w:r>
      <w:r>
        <w:rPr>
          <w:rFonts w:ascii="Book Antiqua"/>
          <w:sz w:val="20"/>
          <w:szCs w:val="20"/>
          <w:rtl w:val="0"/>
          <w:lang w:val="it-IT"/>
        </w:rPr>
        <w:t>audizione dell</w:t>
      </w:r>
      <w:r>
        <w:rPr>
          <w:rFonts w:hAnsi="Book Antiqua" w:hint="default"/>
          <w:sz w:val="20"/>
          <w:szCs w:val="20"/>
          <w:rtl w:val="0"/>
          <w:lang w:val="it-IT"/>
        </w:rPr>
        <w:t>’</w:t>
      </w:r>
      <w:r>
        <w:rPr>
          <w:rFonts w:ascii="Book Antiqua"/>
          <w:sz w:val="20"/>
          <w:szCs w:val="20"/>
          <w:rtl w:val="0"/>
          <w:lang w:val="it-IT"/>
        </w:rPr>
        <w:t xml:space="preserve">8 settembre 2015: </w:t>
      </w:r>
      <w:r>
        <w:rPr>
          <w:rFonts w:hAnsi="Book Antiqua" w:hint="default"/>
          <w:sz w:val="20"/>
          <w:szCs w:val="20"/>
          <w:rtl w:val="0"/>
          <w:lang w:val="it-IT"/>
        </w:rPr>
        <w:t>“</w:t>
      </w:r>
      <w:r>
        <w:rPr>
          <w:rFonts w:ascii="Book Antiqua"/>
          <w:color w:val="262626"/>
          <w:sz w:val="20"/>
          <w:szCs w:val="20"/>
          <w:u w:color="262626"/>
          <w:rtl w:val="0"/>
          <w:lang w:val="it-IT"/>
        </w:rPr>
        <w:t xml:space="preserve">il dialogo con la Regione </w:t>
      </w:r>
      <w:r>
        <w:rPr>
          <w:rFonts w:hAnsi="Book Antiqua" w:hint="default"/>
          <w:color w:val="262626"/>
          <w:sz w:val="20"/>
          <w:szCs w:val="20"/>
          <w:u w:color="262626"/>
          <w:rtl w:val="0"/>
          <w:lang w:val="it-IT"/>
        </w:rPr>
        <w:t xml:space="preserve">è </w:t>
      </w:r>
      <w:r>
        <w:rPr>
          <w:rFonts w:ascii="Book Antiqua"/>
          <w:color w:val="262626"/>
          <w:sz w:val="20"/>
          <w:szCs w:val="20"/>
          <w:u w:color="262626"/>
          <w:rtl w:val="0"/>
          <w:lang w:val="it-IT"/>
        </w:rPr>
        <w:t xml:space="preserve">molto importante ed </w:t>
      </w:r>
      <w:r>
        <w:rPr>
          <w:rFonts w:hAnsi="Book Antiqua" w:hint="default"/>
          <w:color w:val="262626"/>
          <w:sz w:val="20"/>
          <w:szCs w:val="20"/>
          <w:u w:color="262626"/>
          <w:rtl w:val="0"/>
          <w:lang w:val="it-IT"/>
        </w:rPr>
        <w:t xml:space="preserve">è </w:t>
      </w:r>
      <w:r>
        <w:rPr>
          <w:rFonts w:ascii="Book Antiqua"/>
          <w:color w:val="262626"/>
          <w:sz w:val="20"/>
          <w:szCs w:val="20"/>
          <w:u w:color="262626"/>
          <w:rtl w:val="0"/>
          <w:lang w:val="it-IT"/>
        </w:rPr>
        <w:t>un dialogo [</w:t>
      </w:r>
      <w:r>
        <w:rPr>
          <w:rFonts w:hAnsi="Book Antiqua" w:hint="default"/>
          <w:color w:val="262626"/>
          <w:sz w:val="20"/>
          <w:szCs w:val="20"/>
          <w:u w:color="262626"/>
          <w:rtl w:val="0"/>
          <w:lang w:val="it-IT"/>
        </w:rPr>
        <w:t>…</w:t>
      </w:r>
      <w:r>
        <w:rPr>
          <w:rFonts w:ascii="Book Antiqua"/>
          <w:color w:val="262626"/>
          <w:sz w:val="20"/>
          <w:szCs w:val="20"/>
          <w:u w:color="262626"/>
          <w:rtl w:val="0"/>
          <w:lang w:val="it-IT"/>
        </w:rPr>
        <w:t xml:space="preserve">] continuo. Adesso parlo a memoria, ma le riunioni tra me e il presidente Zingaretti, </w:t>
      </w:r>
      <w:r>
        <w:rPr>
          <w:rFonts w:ascii="Book Antiqua"/>
          <w:sz w:val="20"/>
          <w:szCs w:val="20"/>
          <w:rtl w:val="0"/>
          <w:lang w:val="it-IT"/>
        </w:rPr>
        <w:t>l'assessore Marino, l'assessore Civita e i nostri tecnici dedicate negli ultimi due anni specificatamente solo a questo tema, saranno state oltre 30 o 40, oltre a tutto il lavoro che consegue o precede queste riunioni</w:t>
      </w:r>
      <w:r>
        <w:rPr>
          <w:rFonts w:hAnsi="Book Antiqua" w:hint="default"/>
          <w:sz w:val="20"/>
          <w:szCs w:val="20"/>
          <w:rtl w:val="0"/>
          <w:lang w:val="it-IT"/>
        </w:rPr>
        <w:t>”</w:t>
      </w:r>
      <w:r>
        <w:rPr>
          <w:rFonts w:ascii="Book Antiqua"/>
          <w:sz w:val="20"/>
          <w:szCs w:val="20"/>
          <w:rtl w:val="0"/>
          <w:lang w:val="it-IT"/>
        </w:rPr>
        <w:t xml:space="preserve"> </w:t>
      </w:r>
    </w:p>
  </w:footnote>
  <w:footnote w:id="141">
    <w:p>
      <w:pPr>
        <w:pStyle w:val="footnote text"/>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Doc. n. 1686/1-2</w:t>
      </w:r>
    </w:p>
  </w:footnote>
  <w:footnote w:id="142">
    <w:p>
      <w:pPr>
        <w:pStyle w:val="footnote text"/>
        <w:ind w:left="567" w:right="567" w:firstLine="0"/>
        <w:jc w:val="both"/>
      </w:pPr>
      <w:r>
        <w:rPr>
          <w:rFonts w:ascii="Book Antiqua" w:cs="Book Antiqua" w:hAnsi="Book Antiqua" w:eastAsia="Book Antiqua"/>
          <w:vertAlign w:val="superscript"/>
          <w:rtl w:val="0"/>
        </w:rPr>
        <w:footnoteRef/>
      </w:r>
      <w:r>
        <w:rPr>
          <w:vertAlign w:val="superscript"/>
          <w:rtl w:val="0"/>
          <w:lang w:val="it-IT"/>
        </w:rPr>
        <w:t xml:space="preserve"> </w:t>
      </w:r>
      <w:r>
        <w:rPr>
          <w:rFonts w:ascii="Book Antiqua"/>
          <w:sz w:val="20"/>
          <w:szCs w:val="20"/>
          <w:rtl w:val="0"/>
          <w:lang w:val="it-IT"/>
        </w:rPr>
        <w:t>Doc. n. 2455/1</w:t>
      </w:r>
    </w:p>
  </w:footnote>
  <w:footnote w:id="143">
    <w:p>
      <w:pPr>
        <w:pStyle w:val="Normal"/>
        <w:ind w:left="567" w:right="567" w:firstLine="0"/>
        <w:jc w:val="both"/>
      </w:pPr>
      <w:r>
        <w:rPr>
          <w:rFonts w:ascii="Book Antiqua" w:cs="Book Antiqua" w:hAnsi="Book Antiqua" w:eastAsia="Book Antiqua"/>
          <w:shd w:val="clear" w:color="auto" w:fill="ffffff"/>
          <w:vertAlign w:val="superscript"/>
          <w:rtl w:val="0"/>
        </w:rPr>
        <w:footnoteRef/>
      </w:r>
      <w:r>
        <w:rPr>
          <w:rFonts w:ascii="Book Antiqua"/>
          <w:sz w:val="20"/>
          <w:szCs w:val="20"/>
          <w:rtl w:val="0"/>
          <w:lang w:val="it-IT"/>
        </w:rPr>
        <w:t xml:space="preserve"> Accompagnato </w:t>
      </w:r>
      <w:r>
        <w:rPr>
          <w:rFonts w:ascii="Book Antiqua"/>
          <w:sz w:val="20"/>
          <w:szCs w:val="20"/>
          <w:shd w:val="clear" w:color="auto" w:fill="ffffff"/>
          <w:rtl w:val="0"/>
          <w:lang w:val="it-IT"/>
        </w:rPr>
        <w:t>da Andrea Masullo, consigliere di AMA S.p.A., e da Stefano Bina, direttore generale di AMA S.p.A. .</w:t>
      </w:r>
    </w:p>
  </w:footnote>
  <w:footnote w:id="144">
    <w:p>
      <w:pPr>
        <w:pStyle w:val="footnote text"/>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Antonella Giglio </w:t>
      </w:r>
      <w:r>
        <w:rPr>
          <w:rFonts w:hAnsi="Book Antiqua" w:hint="default"/>
          <w:sz w:val="20"/>
          <w:szCs w:val="20"/>
          <w:rtl w:val="0"/>
          <w:lang w:val="it-IT"/>
        </w:rPr>
        <w:t xml:space="preserve">è </w:t>
      </w:r>
      <w:r>
        <w:rPr>
          <w:rFonts w:ascii="Book Antiqua"/>
          <w:sz w:val="20"/>
          <w:szCs w:val="20"/>
          <w:rtl w:val="0"/>
          <w:lang w:val="it-IT"/>
        </w:rPr>
        <w:t>stata audita dalla Commisisone il 31 gennaio 2017, unitamente all</w:t>
      </w:r>
      <w:r>
        <w:rPr>
          <w:rFonts w:hAnsi="Book Antiqua" w:hint="default"/>
          <w:sz w:val="20"/>
          <w:szCs w:val="20"/>
          <w:rtl w:val="0"/>
          <w:lang w:val="it-IT"/>
        </w:rPr>
        <w:t>’</w:t>
      </w:r>
      <w:r>
        <w:rPr>
          <w:rFonts w:ascii="Book Antiqua"/>
          <w:sz w:val="20"/>
          <w:szCs w:val="20"/>
          <w:rtl w:val="0"/>
          <w:lang w:val="it-IT"/>
        </w:rPr>
        <w:t>assessora alla sostenibilit</w:t>
      </w:r>
      <w:r>
        <w:rPr>
          <w:rFonts w:hAnsi="Book Antiqua" w:hint="default"/>
          <w:sz w:val="20"/>
          <w:szCs w:val="20"/>
          <w:rtl w:val="0"/>
          <w:lang w:val="it-IT"/>
        </w:rPr>
        <w:t xml:space="preserve">à </w:t>
      </w:r>
      <w:r>
        <w:rPr>
          <w:rFonts w:ascii="Book Antiqua"/>
          <w:sz w:val="20"/>
          <w:szCs w:val="20"/>
          <w:rtl w:val="0"/>
          <w:lang w:val="it-IT"/>
        </w:rPr>
        <w:t>ambientale, Giuseppina Montanari, e all</w:t>
      </w:r>
      <w:r>
        <w:rPr>
          <w:rFonts w:hAnsi="Book Antiqua" w:hint="default"/>
          <w:sz w:val="20"/>
          <w:szCs w:val="20"/>
          <w:rtl w:val="0"/>
          <w:lang w:val="it-IT"/>
        </w:rPr>
        <w:t>’</w:t>
      </w:r>
      <w:r>
        <w:rPr>
          <w:rFonts w:ascii="Book Antiqua"/>
          <w:sz w:val="20"/>
          <w:szCs w:val="20"/>
          <w:rtl w:val="0"/>
          <w:lang w:val="it-IT"/>
        </w:rPr>
        <w:t>assessore alle partecipate, Massimo Colomban: l</w:t>
      </w:r>
      <w:r>
        <w:rPr>
          <w:rFonts w:hAnsi="Book Antiqua" w:hint="default"/>
          <w:sz w:val="20"/>
          <w:szCs w:val="20"/>
          <w:rtl w:val="0"/>
          <w:lang w:val="it-IT"/>
        </w:rPr>
        <w:t>’</w:t>
      </w:r>
      <w:r>
        <w:rPr>
          <w:rFonts w:ascii="Book Antiqua"/>
          <w:sz w:val="20"/>
          <w:szCs w:val="20"/>
          <w:rtl w:val="0"/>
          <w:lang w:val="it-IT"/>
        </w:rPr>
        <w:t>intervento in audizione dell</w:t>
      </w:r>
      <w:r>
        <w:rPr>
          <w:rFonts w:hAnsi="Book Antiqua" w:hint="default"/>
          <w:sz w:val="20"/>
          <w:szCs w:val="20"/>
          <w:rtl w:val="0"/>
          <w:lang w:val="it-IT"/>
        </w:rPr>
        <w:t>’</w:t>
      </w:r>
      <w:r>
        <w:rPr>
          <w:rFonts w:ascii="Book Antiqua"/>
          <w:sz w:val="20"/>
          <w:szCs w:val="20"/>
          <w:rtl w:val="0"/>
          <w:lang w:val="it-IT"/>
        </w:rPr>
        <w:t>allora presidente di AMA era stato, su domanda della Commissione, relativo alla riorganizzazione delle posizioni dirigenziali, che Antonella Giglio ha detto esser stata sollecitata dal precedente assessora Paola Muraro e seguita anche dall</w:t>
      </w:r>
      <w:r>
        <w:rPr>
          <w:rFonts w:hAnsi="Book Antiqua" w:hint="default"/>
          <w:sz w:val="20"/>
          <w:szCs w:val="20"/>
          <w:rtl w:val="0"/>
          <w:lang w:val="it-IT"/>
        </w:rPr>
        <w:t>’</w:t>
      </w:r>
      <w:r>
        <w:rPr>
          <w:rFonts w:ascii="Book Antiqua"/>
          <w:sz w:val="20"/>
          <w:szCs w:val="20"/>
          <w:rtl w:val="0"/>
          <w:lang w:val="it-IT"/>
        </w:rPr>
        <w:t>assessore alle partecipate Colomban.</w:t>
      </w:r>
    </w:p>
  </w:footnote>
  <w:footnote w:id="145">
    <w:p>
      <w:pPr>
        <w:pStyle w:val="Normal"/>
        <w:ind w:left="567" w:right="567" w:firstLine="0"/>
        <w:jc w:val="both"/>
        <w:rPr>
          <w:rFonts w:ascii="Book Antiqua" w:cs="Book Antiqua" w:hAnsi="Book Antiqua" w:eastAsia="Book Antiqua"/>
          <w:sz w:val="20"/>
          <w:szCs w:val="20"/>
        </w:rPr>
      </w:pPr>
      <w:r>
        <w:rPr>
          <w:rFonts w:ascii="Book Antiqua" w:cs="Book Antiqua" w:hAnsi="Book Antiqua" w:eastAsia="Book Antiqua"/>
          <w:vertAlign w:val="superscript"/>
          <w:rtl w:val="0"/>
        </w:rPr>
        <w:footnoteRef/>
      </w:r>
      <w:r>
        <w:rPr>
          <w:rFonts w:ascii="Book Antiqua"/>
          <w:sz w:val="20"/>
          <w:szCs w:val="20"/>
          <w:rtl w:val="0"/>
          <w:lang w:val="it-IT"/>
        </w:rPr>
        <w:t xml:space="preserve"> Sul punto dell</w:t>
      </w:r>
      <w:r>
        <w:rPr>
          <w:rFonts w:hAnsi="Book Antiqua" w:hint="default"/>
          <w:sz w:val="20"/>
          <w:szCs w:val="20"/>
          <w:rtl w:val="0"/>
          <w:lang w:val="it-IT"/>
        </w:rPr>
        <w:t>’</w:t>
      </w:r>
      <w:r>
        <w:rPr>
          <w:rFonts w:ascii="Book Antiqua"/>
          <w:sz w:val="20"/>
          <w:szCs w:val="20"/>
          <w:rtl w:val="0"/>
          <w:lang w:val="it-IT"/>
        </w:rPr>
        <w:t>onere economico finale dell</w:t>
      </w:r>
      <w:r>
        <w:rPr>
          <w:rFonts w:hAnsi="Book Antiqua" w:hint="default"/>
          <w:sz w:val="20"/>
          <w:szCs w:val="20"/>
          <w:rtl w:val="0"/>
          <w:lang w:val="it-IT"/>
        </w:rPr>
        <w:t>’</w:t>
      </w:r>
      <w:r>
        <w:rPr>
          <w:rFonts w:ascii="Book Antiqua"/>
          <w:sz w:val="20"/>
          <w:szCs w:val="20"/>
          <w:rtl w:val="0"/>
          <w:lang w:val="it-IT"/>
        </w:rPr>
        <w:t>arbitrato eventualmente sfavorevole all</w:t>
      </w:r>
      <w:r>
        <w:rPr>
          <w:rFonts w:hAnsi="Book Antiqua" w:hint="default"/>
          <w:sz w:val="20"/>
          <w:szCs w:val="20"/>
          <w:rtl w:val="0"/>
          <w:lang w:val="it-IT"/>
        </w:rPr>
        <w:t>’</w:t>
      </w:r>
      <w:r>
        <w:rPr>
          <w:rFonts w:ascii="Book Antiqua"/>
          <w:sz w:val="20"/>
          <w:szCs w:val="20"/>
          <w:rtl w:val="0"/>
          <w:lang w:val="it-IT"/>
        </w:rPr>
        <w:t>azienda, cos</w:t>
      </w:r>
      <w:r>
        <w:rPr>
          <w:rFonts w:hAnsi="Book Antiqua" w:hint="default"/>
          <w:sz w:val="20"/>
          <w:szCs w:val="20"/>
          <w:rtl w:val="0"/>
          <w:lang w:val="it-IT"/>
        </w:rPr>
        <w:t xml:space="preserve">ì </w:t>
      </w:r>
      <w:r>
        <w:rPr>
          <w:rFonts w:ascii="Book Antiqua"/>
          <w:sz w:val="20"/>
          <w:szCs w:val="20"/>
          <w:rtl w:val="0"/>
          <w:lang w:val="it-IT"/>
        </w:rPr>
        <w:t xml:space="preserve">si esprime AMA: </w:t>
      </w:r>
      <w:r>
        <w:rPr>
          <w:rFonts w:hAnsi="Book Antiqua" w:hint="default"/>
          <w:sz w:val="20"/>
          <w:szCs w:val="20"/>
          <w:rtl w:val="0"/>
          <w:lang w:val="it-IT"/>
        </w:rPr>
        <w:t>“</w:t>
      </w:r>
      <w:r>
        <w:rPr>
          <w:rFonts w:ascii="Book Antiqua"/>
          <w:sz w:val="20"/>
          <w:szCs w:val="20"/>
          <w:rtl w:val="0"/>
          <w:lang w:val="it-IT"/>
        </w:rPr>
        <w:t>Diversamente opinando si pu</w:t>
      </w:r>
      <w:r>
        <w:rPr>
          <w:rFonts w:hAnsi="Book Antiqua" w:hint="default"/>
          <w:sz w:val="20"/>
          <w:szCs w:val="20"/>
          <w:rtl w:val="0"/>
          <w:lang w:val="it-IT"/>
        </w:rPr>
        <w:t xml:space="preserve">ò </w:t>
      </w:r>
      <w:r>
        <w:rPr>
          <w:rFonts w:ascii="Book Antiqua"/>
          <w:sz w:val="20"/>
          <w:szCs w:val="20"/>
          <w:rtl w:val="0"/>
          <w:lang w:val="it-IT"/>
        </w:rPr>
        <w:t>sostenere che i costi che AMA dovrebbe sopportare in esito al contenzioso appartengano a quelli attinenti al servizio di gestione dei rifiuti urbani, come tali coperti non da risorse proprie di AMA, ma - secondo principi che valgono quantomeno sin dal decreto legislativo n. 22 del 1997 attuativo delle direttive 91/156 CEE, 91/689 CEE e 94/62 CE - dalla tariffa prevista dall</w:t>
      </w:r>
      <w:r>
        <w:rPr>
          <w:rFonts w:hAnsi="Book Antiqua" w:hint="default"/>
          <w:sz w:val="20"/>
          <w:szCs w:val="20"/>
          <w:rtl w:val="0"/>
          <w:lang w:val="it-IT"/>
        </w:rPr>
        <w:t>’</w:t>
      </w:r>
      <w:r>
        <w:rPr>
          <w:rFonts w:ascii="Book Antiqua"/>
          <w:sz w:val="20"/>
          <w:szCs w:val="20"/>
          <w:rtl w:val="0"/>
          <w:lang w:val="it-IT"/>
        </w:rPr>
        <w:t xml:space="preserve">articolo 49 di tale testo normativo. </w:t>
      </w:r>
    </w:p>
    <w:p>
      <w:pPr>
        <w:pStyle w:val="Normal"/>
        <w:ind w:left="567" w:right="567" w:firstLine="0"/>
        <w:jc w:val="both"/>
        <w:rPr>
          <w:rFonts w:ascii="Book Antiqua" w:cs="Book Antiqua" w:hAnsi="Book Antiqua" w:eastAsia="Book Antiqua"/>
          <w:sz w:val="20"/>
          <w:szCs w:val="20"/>
        </w:rPr>
      </w:pPr>
      <w:r>
        <w:rPr>
          <w:rFonts w:ascii="Book Antiqua"/>
          <w:sz w:val="20"/>
          <w:szCs w:val="20"/>
          <w:rtl w:val="0"/>
          <w:lang w:val="it-IT"/>
        </w:rPr>
        <w:t>Secondo tali principi i costi del servizio di gestione dei rifiuti urbani sono integralmente coperti dai comuni attraverso la predetta tariffa, come espressamente stabilito dai commi 1, 2 e 4 del predetto articolo 49. La copertura si estende anche, a partire dall</w:t>
      </w:r>
      <w:r>
        <w:rPr>
          <w:rFonts w:hAnsi="Book Antiqua" w:hint="default"/>
          <w:sz w:val="20"/>
          <w:szCs w:val="20"/>
          <w:rtl w:val="0"/>
          <w:lang w:val="it-IT"/>
        </w:rPr>
        <w:t>’</w:t>
      </w:r>
      <w:r>
        <w:rPr>
          <w:rFonts w:ascii="Book Antiqua"/>
          <w:sz w:val="20"/>
          <w:szCs w:val="20"/>
          <w:rtl w:val="0"/>
          <w:lang w:val="it-IT"/>
        </w:rPr>
        <w:t>articolo 10 della direttiva 1999/31/CE (come riconosciuto dal lodo arbitrale dell</w:t>
      </w:r>
      <w:r>
        <w:rPr>
          <w:rFonts w:hAnsi="Book Antiqua" w:hint="default"/>
          <w:sz w:val="20"/>
          <w:szCs w:val="20"/>
          <w:rtl w:val="0"/>
          <w:lang w:val="it-IT"/>
        </w:rPr>
        <w:t>’</w:t>
      </w:r>
      <w:r>
        <w:rPr>
          <w:rFonts w:ascii="Book Antiqua"/>
          <w:sz w:val="20"/>
          <w:szCs w:val="20"/>
          <w:rtl w:val="0"/>
          <w:lang w:val="it-IT"/>
        </w:rPr>
        <w:t>8 febbraio 2012), ai costi necessari a garantire il rispetto dell</w:t>
      </w:r>
      <w:r>
        <w:rPr>
          <w:rFonts w:hAnsi="Book Antiqua" w:hint="default"/>
          <w:sz w:val="20"/>
          <w:szCs w:val="20"/>
          <w:rtl w:val="0"/>
          <w:lang w:val="it-IT"/>
        </w:rPr>
        <w:t>’</w:t>
      </w:r>
      <w:r>
        <w:rPr>
          <w:rFonts w:ascii="Book Antiqua"/>
          <w:sz w:val="20"/>
          <w:szCs w:val="20"/>
          <w:rtl w:val="0"/>
          <w:lang w:val="it-IT"/>
        </w:rPr>
        <w:t xml:space="preserve">onere di post gestione trentennale della chiusura della discarica, come del resto esplicitamente indicato dagli artt. 10 e 15 del decreto legislativo 36/2003. Tale impostazione </w:t>
      </w:r>
      <w:r>
        <w:rPr>
          <w:rFonts w:hAnsi="Book Antiqua" w:hint="default"/>
          <w:sz w:val="20"/>
          <w:szCs w:val="20"/>
          <w:rtl w:val="0"/>
          <w:lang w:val="it-IT"/>
        </w:rPr>
        <w:t xml:space="preserve">è </w:t>
      </w:r>
      <w:r>
        <w:rPr>
          <w:rFonts w:ascii="Book Antiqua"/>
          <w:sz w:val="20"/>
          <w:szCs w:val="20"/>
          <w:rtl w:val="0"/>
          <w:lang w:val="it-IT"/>
        </w:rPr>
        <w:t>confermata anche dall</w:t>
      </w:r>
      <w:r>
        <w:rPr>
          <w:rFonts w:hAnsi="Book Antiqua" w:hint="default"/>
          <w:sz w:val="20"/>
          <w:szCs w:val="20"/>
          <w:rtl w:val="0"/>
          <w:lang w:val="it-IT"/>
        </w:rPr>
        <w:t>’</w:t>
      </w:r>
      <w:r>
        <w:rPr>
          <w:rFonts w:ascii="Book Antiqua"/>
          <w:sz w:val="20"/>
          <w:szCs w:val="20"/>
          <w:rtl w:val="0"/>
          <w:lang w:val="it-IT"/>
        </w:rPr>
        <w:t>articolo 238 decreto legislativo 152/2006. E ci</w:t>
      </w:r>
      <w:r>
        <w:rPr>
          <w:rFonts w:hAnsi="Book Antiqua" w:hint="default"/>
          <w:sz w:val="20"/>
          <w:szCs w:val="20"/>
          <w:rtl w:val="0"/>
          <w:lang w:val="it-IT"/>
        </w:rPr>
        <w:t xml:space="preserve">ò </w:t>
      </w:r>
      <w:r>
        <w:rPr>
          <w:rFonts w:ascii="Book Antiqua"/>
          <w:sz w:val="20"/>
          <w:szCs w:val="20"/>
          <w:rtl w:val="0"/>
          <w:lang w:val="it-IT"/>
        </w:rPr>
        <w:t xml:space="preserve">a prescindere dalle varie modifiche della normativa in materia, nel passaggio dalla TARSU di cui al decreto legislativo 507/1993, alla TIA-1 istituita dal decreto legislativo 22 del 1997, alla TIA-2 prevista dal decreto legislativo 152/2006, alla TARES prevista dal decreto legislativo 201/2011 e infine alla Ta.Ri. istituita a decorrere dal 1 gennaio 2014. </w:t>
      </w:r>
    </w:p>
    <w:p>
      <w:pPr>
        <w:pStyle w:val="footnote text"/>
        <w:ind w:left="567" w:right="567" w:firstLine="0"/>
        <w:jc w:val="both"/>
      </w:pPr>
      <w:r>
        <w:rPr>
          <w:rFonts w:ascii="Book Antiqua"/>
          <w:sz w:val="20"/>
          <w:szCs w:val="20"/>
          <w:rtl w:val="0"/>
          <w:lang w:val="it-IT"/>
        </w:rPr>
        <w:t>In forza di ci</w:t>
      </w:r>
      <w:r>
        <w:rPr>
          <w:rFonts w:hAnsi="Book Antiqua" w:hint="default"/>
          <w:sz w:val="20"/>
          <w:szCs w:val="20"/>
          <w:rtl w:val="0"/>
          <w:lang w:val="it-IT"/>
        </w:rPr>
        <w:t>ò</w:t>
      </w:r>
      <w:r>
        <w:rPr>
          <w:rFonts w:ascii="Book Antiqua"/>
          <w:sz w:val="20"/>
          <w:szCs w:val="20"/>
          <w:rtl w:val="0"/>
          <w:lang w:val="it-IT"/>
        </w:rPr>
        <w:t>, AMA considera la titolarit</w:t>
      </w:r>
      <w:r>
        <w:rPr>
          <w:rFonts w:hAnsi="Book Antiqua" w:hint="default"/>
          <w:sz w:val="20"/>
          <w:szCs w:val="20"/>
          <w:rtl w:val="0"/>
          <w:lang w:val="it-IT"/>
        </w:rPr>
        <w:t xml:space="preserve">à </w:t>
      </w:r>
      <w:r>
        <w:rPr>
          <w:rFonts w:ascii="Book Antiqua"/>
          <w:sz w:val="20"/>
          <w:szCs w:val="20"/>
          <w:rtl w:val="0"/>
          <w:lang w:val="it-IT"/>
        </w:rPr>
        <w:t>dell</w:t>
      </w:r>
      <w:r>
        <w:rPr>
          <w:rFonts w:hAnsi="Book Antiqua" w:hint="default"/>
          <w:sz w:val="20"/>
          <w:szCs w:val="20"/>
          <w:rtl w:val="0"/>
          <w:lang w:val="it-IT"/>
        </w:rPr>
        <w:t>’</w:t>
      </w:r>
      <w:r>
        <w:rPr>
          <w:rFonts w:ascii="Book Antiqua"/>
          <w:sz w:val="20"/>
          <w:szCs w:val="20"/>
          <w:rtl w:val="0"/>
          <w:lang w:val="it-IT"/>
        </w:rPr>
        <w:t>eventuale posizione debitoria verso il Co.La.Ri. in capo all</w:t>
      </w:r>
      <w:r>
        <w:rPr>
          <w:rFonts w:hAnsi="Book Antiqua" w:hint="default"/>
          <w:sz w:val="20"/>
          <w:szCs w:val="20"/>
          <w:rtl w:val="0"/>
          <w:lang w:val="it-IT"/>
        </w:rPr>
        <w:t>’</w:t>
      </w:r>
      <w:r>
        <w:rPr>
          <w:rFonts w:ascii="Book Antiqua"/>
          <w:sz w:val="20"/>
          <w:szCs w:val="20"/>
          <w:rtl w:val="0"/>
          <w:lang w:val="it-IT"/>
        </w:rPr>
        <w:t xml:space="preserve">azionista unico Roma Capitale. Tale comportamento </w:t>
      </w:r>
      <w:r>
        <w:rPr>
          <w:rFonts w:hAnsi="Book Antiqua" w:hint="default"/>
          <w:sz w:val="20"/>
          <w:szCs w:val="20"/>
          <w:rtl w:val="0"/>
          <w:lang w:val="it-IT"/>
        </w:rPr>
        <w:t xml:space="preserve">è </w:t>
      </w:r>
      <w:r>
        <w:rPr>
          <w:rFonts w:ascii="Book Antiqua"/>
          <w:sz w:val="20"/>
          <w:szCs w:val="20"/>
          <w:rtl w:val="0"/>
          <w:lang w:val="it-IT"/>
        </w:rPr>
        <w:t xml:space="preserve">supportato da parere redatto da autorevole professionista indipendente e sulla base dello stesso si </w:t>
      </w:r>
      <w:r>
        <w:rPr>
          <w:rFonts w:hAnsi="Book Antiqua" w:hint="default"/>
          <w:sz w:val="20"/>
          <w:szCs w:val="20"/>
          <w:rtl w:val="0"/>
          <w:lang w:val="it-IT"/>
        </w:rPr>
        <w:t xml:space="preserve">è </w:t>
      </w:r>
      <w:r>
        <w:rPr>
          <w:rFonts w:ascii="Book Antiqua"/>
          <w:sz w:val="20"/>
          <w:szCs w:val="20"/>
          <w:rtl w:val="0"/>
          <w:lang w:val="it-IT"/>
        </w:rPr>
        <w:t>provveduto, fino al 30 giugno 2016, ad iscrivere l</w:t>
      </w:r>
      <w:r>
        <w:rPr>
          <w:rFonts w:hAnsi="Book Antiqua" w:hint="default"/>
          <w:sz w:val="20"/>
          <w:szCs w:val="20"/>
          <w:rtl w:val="0"/>
          <w:lang w:val="it-IT"/>
        </w:rPr>
        <w:t>’</w:t>
      </w:r>
      <w:r>
        <w:rPr>
          <w:rFonts w:ascii="Book Antiqua"/>
          <w:sz w:val="20"/>
          <w:szCs w:val="20"/>
          <w:rtl w:val="0"/>
          <w:lang w:val="it-IT"/>
        </w:rPr>
        <w:t>importo di euro 91.106.252 (comprensivo degli interessi fino al 30 giugno 2016 per euro 12.734.536) nei conti d</w:t>
      </w:r>
      <w:r>
        <w:rPr>
          <w:rFonts w:hAnsi="Book Antiqua" w:hint="default"/>
          <w:sz w:val="20"/>
          <w:szCs w:val="20"/>
          <w:rtl w:val="0"/>
          <w:lang w:val="it-IT"/>
        </w:rPr>
        <w:t>’</w:t>
      </w:r>
      <w:r>
        <w:rPr>
          <w:rFonts w:ascii="Book Antiqua"/>
          <w:sz w:val="20"/>
          <w:szCs w:val="20"/>
          <w:rtl w:val="0"/>
          <w:lang w:val="it-IT"/>
        </w:rPr>
        <w:t>ordine della situazione semestrale, (cos</w:t>
      </w:r>
      <w:r>
        <w:rPr>
          <w:rFonts w:hAnsi="Book Antiqua" w:hint="default"/>
          <w:sz w:val="20"/>
          <w:szCs w:val="20"/>
          <w:rtl w:val="0"/>
          <w:lang w:val="it-IT"/>
        </w:rPr>
        <w:t xml:space="preserve">ì </w:t>
      </w:r>
      <w:r>
        <w:rPr>
          <w:rFonts w:ascii="Book Antiqua"/>
          <w:sz w:val="20"/>
          <w:szCs w:val="20"/>
          <w:rtl w:val="0"/>
          <w:lang w:val="it-IT"/>
        </w:rPr>
        <w:t xml:space="preserve">come </w:t>
      </w:r>
      <w:r>
        <w:rPr>
          <w:rFonts w:hAnsi="Book Antiqua" w:hint="default"/>
          <w:sz w:val="20"/>
          <w:szCs w:val="20"/>
          <w:rtl w:val="0"/>
          <w:lang w:val="it-IT"/>
        </w:rPr>
        <w:t xml:space="preserve">è </w:t>
      </w:r>
      <w:r>
        <w:rPr>
          <w:rFonts w:ascii="Book Antiqua"/>
          <w:sz w:val="20"/>
          <w:szCs w:val="20"/>
          <w:rtl w:val="0"/>
          <w:lang w:val="it-IT"/>
        </w:rPr>
        <w:t>avvenuto nei bilanci precedenti a partire dal 2006).</w:t>
      </w:r>
    </w:p>
  </w:footnote>
  <w:footnote w:id="146">
    <w:p>
      <w:pPr>
        <w:pStyle w:val="Normal"/>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In quanto costo da indicare alla voce </w:t>
      </w:r>
      <w:r>
        <w:rPr>
          <w:rFonts w:hAnsi="Book Antiqua" w:hint="default"/>
          <w:sz w:val="20"/>
          <w:szCs w:val="20"/>
          <w:rtl w:val="0"/>
          <w:lang w:val="it-IT"/>
        </w:rPr>
        <w:t>“</w:t>
      </w:r>
      <w:r>
        <w:rPr>
          <w:rFonts w:ascii="Book Antiqua"/>
          <w:sz w:val="20"/>
          <w:szCs w:val="20"/>
          <w:rtl w:val="0"/>
          <w:lang w:val="it-IT"/>
        </w:rPr>
        <w:t>B - Costo di acquisizione dell</w:t>
      </w:r>
      <w:r>
        <w:rPr>
          <w:rFonts w:hAnsi="Book Antiqua" w:hint="default"/>
          <w:sz w:val="20"/>
          <w:szCs w:val="20"/>
          <w:rtl w:val="0"/>
          <w:lang w:val="it-IT"/>
        </w:rPr>
        <w:t>’</w:t>
      </w:r>
      <w:r>
        <w:rPr>
          <w:rFonts w:ascii="Book Antiqua"/>
          <w:sz w:val="20"/>
          <w:szCs w:val="20"/>
          <w:rtl w:val="0"/>
          <w:lang w:val="it-IT"/>
        </w:rPr>
        <w:t>area</w:t>
      </w:r>
      <w:r>
        <w:rPr>
          <w:rFonts w:hAnsi="Book Antiqua" w:hint="default"/>
          <w:sz w:val="20"/>
          <w:szCs w:val="20"/>
          <w:rtl w:val="0"/>
          <w:lang w:val="it-IT"/>
        </w:rPr>
        <w:t xml:space="preserve">” </w:t>
      </w:r>
      <w:r>
        <w:rPr>
          <w:rFonts w:ascii="Book Antiqua"/>
          <w:sz w:val="20"/>
          <w:szCs w:val="20"/>
          <w:rtl w:val="0"/>
          <w:lang w:val="it-IT"/>
        </w:rPr>
        <w:t>della Tabella 5 dell</w:t>
      </w:r>
      <w:r>
        <w:rPr>
          <w:rFonts w:hAnsi="Book Antiqua" w:hint="default"/>
          <w:sz w:val="20"/>
          <w:szCs w:val="20"/>
          <w:rtl w:val="0"/>
          <w:lang w:val="it-IT"/>
        </w:rPr>
        <w:t>’</w:t>
      </w:r>
      <w:r>
        <w:rPr>
          <w:rFonts w:ascii="Book Antiqua"/>
          <w:sz w:val="20"/>
          <w:szCs w:val="20"/>
          <w:rtl w:val="0"/>
          <w:lang w:val="it-IT"/>
        </w:rPr>
        <w:t>Appendice B del Decreto commissariale n. 15 del 2005.</w:t>
      </w:r>
    </w:p>
  </w:footnote>
  <w:footnote w:id="147">
    <w:p>
      <w:pPr>
        <w:pStyle w:val="footnote text"/>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Poich</w:t>
      </w:r>
      <w:r>
        <w:rPr>
          <w:rFonts w:hAnsi="Book Antiqua" w:hint="default"/>
          <w:sz w:val="20"/>
          <w:szCs w:val="20"/>
          <w:rtl w:val="0"/>
          <w:lang w:val="it-IT"/>
        </w:rPr>
        <w:t xml:space="preserve">é </w:t>
      </w:r>
      <w:r>
        <w:rPr>
          <w:rFonts w:ascii="Book Antiqua"/>
          <w:sz w:val="20"/>
          <w:szCs w:val="20"/>
          <w:rtl w:val="0"/>
          <w:lang w:val="it-IT"/>
        </w:rPr>
        <w:t>i terreni sono stati acquistati a distanza di anni e a prezzi/mq differenti, ai fini dell</w:t>
      </w:r>
      <w:r>
        <w:rPr>
          <w:rFonts w:hAnsi="Book Antiqua" w:hint="default"/>
          <w:sz w:val="20"/>
          <w:szCs w:val="20"/>
          <w:rtl w:val="0"/>
          <w:lang w:val="it-IT"/>
        </w:rPr>
        <w:t>’</w:t>
      </w:r>
      <w:r>
        <w:rPr>
          <w:rFonts w:ascii="Book Antiqua"/>
          <w:sz w:val="20"/>
          <w:szCs w:val="20"/>
          <w:rtl w:val="0"/>
          <w:lang w:val="it-IT"/>
        </w:rPr>
        <w:t xml:space="preserve">allocazione del costo agli impianti di TMB, </w:t>
      </w:r>
      <w:r>
        <w:rPr>
          <w:rFonts w:hAnsi="Book Antiqua" w:hint="default"/>
          <w:sz w:val="20"/>
          <w:szCs w:val="20"/>
          <w:rtl w:val="0"/>
          <w:lang w:val="it-IT"/>
        </w:rPr>
        <w:t xml:space="preserve">è </w:t>
      </w:r>
      <w:r>
        <w:rPr>
          <w:rFonts w:ascii="Book Antiqua"/>
          <w:sz w:val="20"/>
          <w:szCs w:val="20"/>
          <w:rtl w:val="0"/>
          <w:lang w:val="it-IT"/>
        </w:rPr>
        <w:t>preliminarmente necessario individuare la quota parte della superficie del terreno acquistato nel 1980 e di quella del terreno acquistato nel 1998 su cui insistono i due impianti.</w:t>
      </w:r>
    </w:p>
  </w:footnote>
  <w:footnote w:id="148">
    <w:p>
      <w:pPr>
        <w:pStyle w:val="Normal"/>
        <w:ind w:left="567" w:right="567" w:firstLine="0"/>
        <w:jc w:val="both"/>
        <w:rPr>
          <w:rFonts w:ascii="Book Antiqua" w:cs="Book Antiqua" w:hAnsi="Book Antiqua" w:eastAsia="Book Antiqua"/>
          <w:sz w:val="20"/>
          <w:szCs w:val="20"/>
        </w:rPr>
      </w:pPr>
      <w:r>
        <w:rPr>
          <w:rFonts w:ascii="Book Antiqua" w:cs="Book Antiqua" w:hAnsi="Book Antiqua" w:eastAsia="Book Antiqua"/>
          <w:vertAlign w:val="superscript"/>
          <w:rtl w:val="0"/>
        </w:rPr>
        <w:footnoteRef/>
      </w:r>
      <w:r>
        <w:rPr>
          <w:rFonts w:ascii="Book Antiqua"/>
          <w:sz w:val="20"/>
          <w:szCs w:val="20"/>
          <w:rtl w:val="0"/>
          <w:lang w:val="it-IT"/>
        </w:rPr>
        <w:t xml:space="preserve"> </w:t>
      </w:r>
      <w:hyperlink r:id="rId34" w:history="1">
        <w:r>
          <w:rPr>
            <w:rStyle w:val="Hyperlink.2"/>
            <w:rFonts w:ascii="Book Antiqua"/>
            <w:sz w:val="20"/>
            <w:szCs w:val="20"/>
            <w:rtl w:val="0"/>
            <w:lang w:val="it-IT"/>
          </w:rPr>
          <w:t>http://www.regione.lazio.it/binary/rl_main/tbl_documenti/RIF_DD_G10586_21_09_2016.pdf</w:t>
        </w:r>
      </w:hyperlink>
    </w:p>
    <w:p>
      <w:pPr>
        <w:pStyle w:val="Normal"/>
        <w:ind w:left="567" w:right="567" w:firstLine="0"/>
        <w:jc w:val="both"/>
      </w:pPr>
      <w:hyperlink r:id="rId35" w:history="1">
        <w:r>
          <w:rPr>
            <w:rStyle w:val="Hyperlink.2"/>
            <w:rFonts w:ascii="Book Antiqua"/>
            <w:sz w:val="20"/>
            <w:szCs w:val="20"/>
            <w:rtl w:val="0"/>
            <w:lang w:val="it-IT"/>
          </w:rPr>
          <w:t>http://www.regione.lazio.it/binary/rl_main/tbl_documenti/RIF_DD_G14973_14_12_2016.pdf</w:t>
        </w:r>
      </w:hyperlink>
      <w:r>
        <w:rPr>
          <w:rFonts w:ascii="Book Antiqua" w:cs="Book Antiqua" w:hAnsi="Book Antiqua" w:eastAsia="Book Antiqua"/>
          <w:sz w:val="20"/>
          <w:szCs w:val="20"/>
        </w:rPr>
      </w:r>
    </w:p>
  </w:footnote>
  <w:footnote w:id="149">
    <w:p>
      <w:pPr>
        <w:pStyle w:val="footnote text"/>
        <w:ind w:left="567" w:right="567" w:firstLine="0"/>
        <w:jc w:val="both"/>
      </w:pPr>
      <w:r>
        <w:rPr>
          <w:rFonts w:ascii="Book Antiqua" w:cs="Book Antiqua" w:hAnsi="Book Antiqua" w:eastAsia="Book Antiqua"/>
          <w:color w:val="000000"/>
          <w:u w:color="000000"/>
          <w:vertAlign w:val="superscript"/>
          <w:rtl w:val="0"/>
        </w:rPr>
        <w:footnoteRef/>
      </w:r>
      <w:r>
        <w:rPr>
          <w:rFonts w:ascii="Book Antiqua"/>
          <w:sz w:val="20"/>
          <w:szCs w:val="20"/>
          <w:rtl w:val="0"/>
          <w:lang w:val="it-IT"/>
        </w:rPr>
        <w:t xml:space="preserve"> La vicenda </w:t>
      </w:r>
      <w:r>
        <w:rPr>
          <w:rFonts w:hAnsi="Book Antiqua" w:hint="default"/>
          <w:sz w:val="20"/>
          <w:szCs w:val="20"/>
          <w:rtl w:val="0"/>
          <w:lang w:val="it-IT"/>
        </w:rPr>
        <w:t xml:space="preserve">è </w:t>
      </w:r>
      <w:r>
        <w:rPr>
          <w:rFonts w:ascii="Book Antiqua"/>
          <w:sz w:val="20"/>
          <w:szCs w:val="20"/>
          <w:rtl w:val="0"/>
          <w:lang w:val="it-IT"/>
        </w:rPr>
        <w:t xml:space="preserve">stata descritta nel </w:t>
      </w:r>
      <w:r>
        <w:rPr>
          <w:rFonts w:hAnsi="Book Antiqua" w:hint="default"/>
          <w:sz w:val="20"/>
          <w:szCs w:val="20"/>
          <w:rtl w:val="0"/>
          <w:lang w:val="it-IT"/>
        </w:rPr>
        <w:t xml:space="preserve">§ </w:t>
      </w:r>
      <w:r>
        <w:rPr>
          <w:rFonts w:ascii="Book Antiqua"/>
          <w:sz w:val="20"/>
          <w:szCs w:val="20"/>
          <w:rtl w:val="0"/>
          <w:lang w:val="it-IT"/>
        </w:rPr>
        <w:t>2.2.2.4</w:t>
      </w:r>
    </w:p>
  </w:footnote>
  <w:footnote w:id="150">
    <w:p>
      <w:pPr>
        <w:pStyle w:val="footnote text"/>
        <w:ind w:left="567" w:right="567" w:firstLine="0"/>
        <w:jc w:val="both"/>
      </w:pPr>
      <w:r>
        <w:rPr>
          <w:rFonts w:ascii="Book Antiqua" w:cs="Book Antiqua" w:hAnsi="Book Antiqua" w:eastAsia="Book Antiqua"/>
          <w:color w:val="000000"/>
          <w:u w:color="000000"/>
          <w:vertAlign w:val="superscript"/>
          <w:rtl w:val="0"/>
        </w:rPr>
        <w:footnoteRef/>
      </w:r>
      <w:r>
        <w:rPr>
          <w:rFonts w:ascii="Book Antiqua"/>
          <w:sz w:val="20"/>
          <w:szCs w:val="20"/>
          <w:rtl w:val="0"/>
          <w:lang w:val="it-IT"/>
        </w:rPr>
        <w:t xml:space="preserve"> Acquisita come Doc. n. 2294/1</w:t>
      </w:r>
    </w:p>
  </w:footnote>
  <w:footnote w:id="151">
    <w:p>
      <w:pPr>
        <w:pStyle w:val="footnote text"/>
        <w:ind w:left="567" w:right="567" w:firstLine="0"/>
        <w:jc w:val="both"/>
      </w:pPr>
      <w:r>
        <w:rPr>
          <w:rFonts w:ascii="Book Antiqua" w:cs="Book Antiqua" w:hAnsi="Book Antiqua" w:eastAsia="Book Antiqua"/>
          <w:color w:val="262626"/>
          <w:u w:color="262626"/>
          <w:vertAlign w:val="superscript"/>
          <w:rtl w:val="0"/>
        </w:rPr>
        <w:footnoteRef/>
      </w:r>
      <w:r>
        <w:rPr>
          <w:rFonts w:ascii="Book Antiqua"/>
          <w:sz w:val="20"/>
          <w:szCs w:val="20"/>
          <w:rtl w:val="0"/>
          <w:lang w:val="it-IT"/>
        </w:rPr>
        <w:t xml:space="preserve"> Come aveva affermato nello stesso periodo l</w:t>
      </w:r>
      <w:r>
        <w:rPr>
          <w:rFonts w:hAnsi="Book Antiqua" w:hint="default"/>
          <w:sz w:val="20"/>
          <w:szCs w:val="20"/>
          <w:rtl w:val="0"/>
          <w:lang w:val="it-IT"/>
        </w:rPr>
        <w:t>’</w:t>
      </w:r>
      <w:r>
        <w:rPr>
          <w:rFonts w:ascii="Book Antiqua"/>
          <w:sz w:val="20"/>
          <w:szCs w:val="20"/>
          <w:rtl w:val="0"/>
          <w:lang w:val="it-IT"/>
        </w:rPr>
        <w:t>allora presidente di ACEA Catia Tomasetti nell</w:t>
      </w:r>
      <w:r>
        <w:rPr>
          <w:rFonts w:hAnsi="Book Antiqua" w:hint="default"/>
          <w:sz w:val="20"/>
          <w:szCs w:val="20"/>
          <w:rtl w:val="0"/>
          <w:lang w:val="it-IT"/>
        </w:rPr>
        <w:t>’</w:t>
      </w:r>
      <w:r>
        <w:rPr>
          <w:rFonts w:ascii="Book Antiqua"/>
          <w:sz w:val="20"/>
          <w:szCs w:val="20"/>
          <w:rtl w:val="0"/>
          <w:lang w:val="it-IT"/>
        </w:rPr>
        <w:t>audizione che di seguito si citer</w:t>
      </w:r>
      <w:r>
        <w:rPr>
          <w:rFonts w:hAnsi="Book Antiqua" w:hint="default"/>
          <w:sz w:val="20"/>
          <w:szCs w:val="20"/>
          <w:rtl w:val="0"/>
          <w:lang w:val="it-IT"/>
        </w:rPr>
        <w:t>à “</w:t>
      </w:r>
      <w:r>
        <w:rPr>
          <w:rFonts w:hAnsi="Book Antiqua" w:hint="default"/>
          <w:color w:val="262626"/>
          <w:sz w:val="20"/>
          <w:szCs w:val="20"/>
          <w:u w:color="163291"/>
          <w:rtl w:val="0"/>
          <w:lang w:val="it-IT"/>
        </w:rPr>
        <w:t xml:space="preserve">è </w:t>
      </w:r>
      <w:r>
        <w:rPr>
          <w:rFonts w:ascii="Book Antiqua"/>
          <w:color w:val="262626"/>
          <w:sz w:val="20"/>
          <w:szCs w:val="20"/>
          <w:u w:color="163291"/>
          <w:rtl w:val="0"/>
          <w:lang w:val="it-IT"/>
        </w:rPr>
        <w:t>evidente che noi siamo pi</w:t>
      </w:r>
      <w:r>
        <w:rPr>
          <w:rFonts w:hAnsi="Book Antiqua" w:hint="default"/>
          <w:color w:val="262626"/>
          <w:sz w:val="20"/>
          <w:szCs w:val="20"/>
          <w:u w:color="163291"/>
          <w:rtl w:val="0"/>
          <w:lang w:val="it-IT"/>
        </w:rPr>
        <w:t xml:space="preserve">ù </w:t>
      </w:r>
      <w:r>
        <w:rPr>
          <w:rFonts w:ascii="Book Antiqua"/>
          <w:color w:val="262626"/>
          <w:sz w:val="20"/>
          <w:szCs w:val="20"/>
          <w:u w:color="163291"/>
          <w:rtl w:val="0"/>
          <w:lang w:val="it-IT"/>
        </w:rPr>
        <w:t>sulla tecnologia che sulla forza lavoro</w:t>
      </w:r>
      <w:r>
        <w:rPr>
          <w:rFonts w:hAnsi="Book Antiqua" w:hint="default"/>
          <w:color w:val="262626"/>
          <w:sz w:val="20"/>
          <w:szCs w:val="20"/>
          <w:u w:color="163291"/>
          <w:rtl w:val="0"/>
          <w:lang w:val="it-IT"/>
        </w:rPr>
        <w:t>”</w:t>
      </w:r>
      <w:r>
        <w:rPr>
          <w:rFonts w:ascii="Book Antiqua"/>
          <w:color w:val="262626"/>
          <w:sz w:val="20"/>
          <w:szCs w:val="20"/>
          <w:u w:color="163291"/>
          <w:rtl w:val="0"/>
          <w:lang w:val="it-IT"/>
        </w:rPr>
        <w:t>.</w:t>
      </w:r>
    </w:p>
  </w:footnote>
  <w:footnote w:id="152">
    <w:p>
      <w:pPr>
        <w:pStyle w:val="footnote text"/>
        <w:ind w:left="567" w:right="567" w:firstLine="0"/>
        <w:jc w:val="both"/>
        <w:rPr>
          <w:rFonts w:ascii="Book Antiqua" w:cs="Book Antiqua" w:hAnsi="Book Antiqua" w:eastAsia="Book Antiqua"/>
          <w:color w:val="262626"/>
          <w:sz w:val="20"/>
          <w:szCs w:val="20"/>
          <w:u w:color="262626"/>
        </w:rPr>
      </w:pPr>
      <w:r>
        <w:rPr>
          <w:rFonts w:ascii="Book Antiqua" w:cs="Book Antiqua" w:hAnsi="Book Antiqua" w:eastAsia="Book Antiqua"/>
          <w:color w:val="262626"/>
          <w:u w:color="262626"/>
          <w:vertAlign w:val="superscript"/>
          <w:rtl w:val="0"/>
        </w:rPr>
        <w:footnoteRef/>
      </w:r>
      <w:r>
        <w:rPr>
          <w:rFonts w:ascii="Book Antiqua"/>
          <w:sz w:val="20"/>
          <w:szCs w:val="20"/>
          <w:rtl w:val="0"/>
          <w:lang w:val="it-IT"/>
        </w:rPr>
        <w:t xml:space="preserve"> </w:t>
      </w:r>
      <w:r>
        <w:rPr>
          <w:rFonts w:hAnsi="Book Antiqua" w:hint="default"/>
          <w:i w:val="1"/>
          <w:iCs w:val="1"/>
          <w:color w:val="262626"/>
          <w:sz w:val="20"/>
          <w:szCs w:val="20"/>
          <w:u w:color="262626"/>
          <w:rtl w:val="0"/>
          <w:lang w:val="it-IT"/>
        </w:rPr>
        <w:t>“</w:t>
      </w:r>
      <w:r>
        <w:rPr>
          <w:rFonts w:ascii="Book Antiqua"/>
          <w:color w:val="262626"/>
          <w:sz w:val="20"/>
          <w:szCs w:val="20"/>
          <w:u w:color="262626"/>
          <w:rtl w:val="0"/>
          <w:lang w:val="it-IT"/>
        </w:rPr>
        <w:t xml:space="preserve">Io sono un tecnico, quindi so fare questo, so riorganizzare le aziende e so risanarle. L'ho fatto in passato. La situazione trovata di cui mi chiede </w:t>
      </w:r>
      <w:r>
        <w:rPr>
          <w:rFonts w:hAnsi="Book Antiqua" w:hint="default"/>
          <w:color w:val="262626"/>
          <w:sz w:val="20"/>
          <w:szCs w:val="20"/>
          <w:u w:color="262626"/>
          <w:rtl w:val="0"/>
          <w:lang w:val="it-IT"/>
        </w:rPr>
        <w:t xml:space="preserve">è </w:t>
      </w:r>
      <w:r>
        <w:rPr>
          <w:rFonts w:ascii="Book Antiqua"/>
          <w:color w:val="262626"/>
          <w:sz w:val="20"/>
          <w:szCs w:val="20"/>
          <w:u w:color="262626"/>
          <w:rtl w:val="0"/>
          <w:lang w:val="it-IT"/>
        </w:rPr>
        <w:t xml:space="preserve">abbastanza di inefficienza, sicuramente migliorabile, senza voler sparare critiche. Penso sempre, infatti, e trovo sempre nelle aziende almeno il 50 per cento di gente eccezionale che purtroppo molte volte si sobbarca anche il lavoro dell'altro 50 per cento che non </w:t>
      </w:r>
      <w:r>
        <w:rPr>
          <w:rFonts w:hAnsi="Book Antiqua" w:hint="default"/>
          <w:color w:val="262626"/>
          <w:sz w:val="20"/>
          <w:szCs w:val="20"/>
          <w:u w:color="262626"/>
          <w:rtl w:val="0"/>
          <w:lang w:val="it-IT"/>
        </w:rPr>
        <w:t xml:space="preserve">è </w:t>
      </w:r>
      <w:r>
        <w:rPr>
          <w:rFonts w:ascii="Book Antiqua"/>
          <w:color w:val="262626"/>
          <w:sz w:val="20"/>
          <w:szCs w:val="20"/>
          <w:u w:color="262626"/>
          <w:rtl w:val="0"/>
          <w:lang w:val="it-IT"/>
        </w:rPr>
        <w:t xml:space="preserve">efficiente. </w:t>
      </w:r>
      <w:r>
        <w:rPr>
          <w:rFonts w:ascii="MS Mincho" w:cs="MS Mincho" w:hAnsi="MS Mincho" w:eastAsia="MS Mincho"/>
          <w:color w:val="262626"/>
          <w:sz w:val="20"/>
          <w:szCs w:val="20"/>
          <w:u w:color="262626"/>
          <w:rtl w:val="0"/>
          <w:lang w:val="it-IT"/>
        </w:rPr>
        <w:br w:type="textWrapping"/>
      </w:r>
      <w:r>
        <w:rPr>
          <w:rFonts w:ascii="Book Antiqua"/>
          <w:color w:val="262626"/>
          <w:sz w:val="20"/>
          <w:szCs w:val="20"/>
          <w:u w:color="262626"/>
          <w:rtl w:val="0"/>
          <w:lang w:val="it-IT"/>
        </w:rPr>
        <w:t xml:space="preserve"> </w:t>
      </w:r>
      <w:r>
        <w:rPr>
          <w:rFonts w:hAnsi="Book Antiqua" w:hint="default"/>
          <w:color w:val="262626"/>
          <w:sz w:val="20"/>
          <w:szCs w:val="20"/>
          <w:u w:color="262626"/>
          <w:rtl w:val="0"/>
          <w:lang w:val="it-IT"/>
        </w:rPr>
        <w:t>È</w:t>
      </w:r>
      <w:r>
        <w:rPr>
          <w:rFonts w:ascii="Book Antiqua"/>
          <w:color w:val="262626"/>
          <w:sz w:val="20"/>
          <w:szCs w:val="20"/>
          <w:u w:color="262626"/>
          <w:rtl w:val="0"/>
          <w:lang w:val="it-IT"/>
        </w:rPr>
        <w:t xml:space="preserve"> un lavoro complesso. Anzitutto, abbiamo fatto un monitoraggio, una comparazione </w:t>
      </w:r>
      <w:r>
        <w:rPr>
          <w:rFonts w:ascii="Book Antiqua"/>
          <w:i w:val="1"/>
          <w:iCs w:val="1"/>
          <w:color w:val="262626"/>
          <w:sz w:val="20"/>
          <w:szCs w:val="20"/>
          <w:u w:color="262626"/>
          <w:rtl w:val="0"/>
          <w:lang w:val="it-IT"/>
        </w:rPr>
        <w:t>benchmarking</w:t>
      </w:r>
      <w:r>
        <w:rPr>
          <w:rFonts w:ascii="Book Antiqua"/>
          <w:color w:val="262626"/>
          <w:sz w:val="20"/>
          <w:szCs w:val="20"/>
          <w:u w:color="262626"/>
          <w:rtl w:val="0"/>
          <w:lang w:val="it-IT"/>
        </w:rPr>
        <w:t>, in modo da vedere i punti forti e i punti deboli di ogni societ</w:t>
      </w:r>
      <w:r>
        <w:rPr>
          <w:rFonts w:hAnsi="Book Antiqua" w:hint="default"/>
          <w:color w:val="262626"/>
          <w:sz w:val="20"/>
          <w:szCs w:val="20"/>
          <w:u w:color="262626"/>
          <w:rtl w:val="0"/>
          <w:lang w:val="it-IT"/>
        </w:rPr>
        <w:t>à</w:t>
      </w:r>
      <w:r>
        <w:rPr>
          <w:rFonts w:ascii="Book Antiqua"/>
          <w:color w:val="262626"/>
          <w:sz w:val="20"/>
          <w:szCs w:val="20"/>
          <w:u w:color="262626"/>
          <w:rtl w:val="0"/>
          <w:lang w:val="it-IT"/>
        </w:rPr>
        <w:t>. Stiamo approntando dei piani industriali. Arriveremo con delle proposte in assemblea entro qualche mese</w:t>
      </w:r>
      <w:r>
        <w:rPr>
          <w:rFonts w:hAnsi="Book Antiqua" w:hint="default"/>
          <w:color w:val="262626"/>
          <w:sz w:val="20"/>
          <w:szCs w:val="20"/>
          <w:u w:color="262626"/>
          <w:rtl w:val="0"/>
          <w:lang w:val="it-IT"/>
        </w:rPr>
        <w:t>”</w:t>
      </w:r>
      <w:r>
        <w:rPr>
          <w:rFonts w:ascii="Book Antiqua"/>
          <w:color w:val="262626"/>
          <w:sz w:val="20"/>
          <w:szCs w:val="20"/>
          <w:u w:color="262626"/>
          <w:rtl w:val="0"/>
          <w:lang w:val="it-IT"/>
        </w:rPr>
        <w:t>.</w:t>
      </w:r>
    </w:p>
    <w:p>
      <w:pPr>
        <w:pStyle w:val="footnote text"/>
        <w:ind w:left="567" w:right="567" w:firstLine="0"/>
        <w:jc w:val="both"/>
      </w:pPr>
      <w:r>
        <w:rPr>
          <w:rFonts w:ascii="Book Antiqua"/>
          <w:color w:val="262626"/>
          <w:sz w:val="20"/>
          <w:szCs w:val="20"/>
          <w:u w:color="262626"/>
          <w:rtl w:val="0"/>
          <w:lang w:val="it-IT"/>
        </w:rPr>
        <w:t>Va peraltro notato che Massimo Colomban nell</w:t>
      </w:r>
      <w:r>
        <w:rPr>
          <w:rFonts w:hAnsi="Book Antiqua" w:hint="default"/>
          <w:color w:val="262626"/>
          <w:sz w:val="20"/>
          <w:szCs w:val="20"/>
          <w:u w:color="262626"/>
          <w:rtl w:val="0"/>
          <w:lang w:val="it-IT"/>
        </w:rPr>
        <w:t>’</w:t>
      </w:r>
      <w:r>
        <w:rPr>
          <w:rFonts w:ascii="Book Antiqua"/>
          <w:color w:val="262626"/>
          <w:sz w:val="20"/>
          <w:szCs w:val="20"/>
          <w:u w:color="262626"/>
          <w:rtl w:val="0"/>
          <w:lang w:val="it-IT"/>
        </w:rPr>
        <w:t xml:space="preserve">ottobre 2017 si </w:t>
      </w:r>
      <w:r>
        <w:rPr>
          <w:rFonts w:hAnsi="Book Antiqua" w:hint="default"/>
          <w:color w:val="262626"/>
          <w:sz w:val="20"/>
          <w:szCs w:val="20"/>
          <w:u w:color="262626"/>
          <w:rtl w:val="0"/>
          <w:lang w:val="it-IT"/>
        </w:rPr>
        <w:t xml:space="preserve">è </w:t>
      </w:r>
      <w:r>
        <w:rPr>
          <w:rFonts w:ascii="Book Antiqua"/>
          <w:color w:val="262626"/>
          <w:sz w:val="20"/>
          <w:szCs w:val="20"/>
          <w:u w:color="262626"/>
          <w:rtl w:val="0"/>
          <w:lang w:val="it-IT"/>
        </w:rPr>
        <w:t xml:space="preserve">dimesso ed </w:t>
      </w:r>
      <w:r>
        <w:rPr>
          <w:rFonts w:hAnsi="Book Antiqua" w:hint="default"/>
          <w:color w:val="262626"/>
          <w:sz w:val="20"/>
          <w:szCs w:val="20"/>
          <w:u w:color="262626"/>
          <w:rtl w:val="0"/>
          <w:lang w:val="it-IT"/>
        </w:rPr>
        <w:t xml:space="preserve">è </w:t>
      </w:r>
      <w:r>
        <w:rPr>
          <w:rFonts w:ascii="Book Antiqua"/>
          <w:color w:val="262626"/>
          <w:sz w:val="20"/>
          <w:szCs w:val="20"/>
          <w:u w:color="262626"/>
          <w:rtl w:val="0"/>
          <w:lang w:val="it-IT"/>
        </w:rPr>
        <w:t>stato sostituito da Alessandro Gennaro.</w:t>
      </w:r>
    </w:p>
  </w:footnote>
  <w:footnote w:id="153">
    <w:p>
      <w:pPr>
        <w:pStyle w:val="footnote text"/>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Analoga affermazione era provenuta nell</w:t>
      </w:r>
      <w:r>
        <w:rPr>
          <w:rFonts w:hAnsi="Book Antiqua" w:hint="default"/>
          <w:sz w:val="20"/>
          <w:szCs w:val="20"/>
          <w:rtl w:val="0"/>
          <w:lang w:val="it-IT"/>
        </w:rPr>
        <w:t>’</w:t>
      </w:r>
      <w:r>
        <w:rPr>
          <w:rFonts w:ascii="Book Antiqua"/>
          <w:sz w:val="20"/>
          <w:szCs w:val="20"/>
          <w:rtl w:val="0"/>
          <w:lang w:val="it-IT"/>
        </w:rPr>
        <w:t>audizione del 10 gennaio 2017 dall</w:t>
      </w:r>
      <w:r>
        <w:rPr>
          <w:rFonts w:hAnsi="Book Antiqua" w:hint="default"/>
          <w:sz w:val="20"/>
          <w:szCs w:val="20"/>
          <w:rtl w:val="0"/>
          <w:lang w:val="it-IT"/>
        </w:rPr>
        <w:t>’</w:t>
      </w:r>
      <w:r>
        <w:rPr>
          <w:rFonts w:ascii="Book Antiqua"/>
          <w:sz w:val="20"/>
          <w:szCs w:val="20"/>
          <w:rtl w:val="0"/>
          <w:lang w:val="it-IT"/>
        </w:rPr>
        <w:t xml:space="preserve">amministratore delegato di ACEA Alberto Irace: </w:t>
      </w:r>
      <w:r>
        <w:rPr>
          <w:rFonts w:hAnsi="Book Antiqua" w:hint="default"/>
          <w:sz w:val="20"/>
          <w:szCs w:val="20"/>
          <w:rtl w:val="0"/>
          <w:lang w:val="it-IT"/>
        </w:rPr>
        <w:t>“</w:t>
      </w:r>
      <w:r>
        <w:rPr>
          <w:rFonts w:hAnsi="Book Antiqua" w:hint="default"/>
          <w:color w:val="262626"/>
          <w:sz w:val="20"/>
          <w:szCs w:val="20"/>
          <w:u w:color="163291"/>
          <w:rtl w:val="0"/>
          <w:lang w:val="it-IT"/>
        </w:rPr>
        <w:t xml:space="preserve">è </w:t>
      </w:r>
      <w:r>
        <w:rPr>
          <w:rFonts w:ascii="Book Antiqua"/>
          <w:color w:val="262626"/>
          <w:sz w:val="20"/>
          <w:szCs w:val="20"/>
          <w:u w:color="163291"/>
          <w:rtl w:val="0"/>
          <w:lang w:val="it-IT"/>
        </w:rPr>
        <w:t>in corso un rapporto costante con l'amministrazione su questi temi. L'assessore alle partecipate, Massimo Colomban, ha istituito un gruppo di lavoro che ci aiuta in quest'opera di individuazione delle attivit</w:t>
      </w:r>
      <w:r>
        <w:rPr>
          <w:rFonts w:hAnsi="Book Antiqua" w:hint="default"/>
          <w:color w:val="262626"/>
          <w:sz w:val="20"/>
          <w:szCs w:val="20"/>
          <w:u w:color="163291"/>
          <w:rtl w:val="0"/>
          <w:lang w:val="it-IT"/>
        </w:rPr>
        <w:t xml:space="preserve">à </w:t>
      </w:r>
      <w:r>
        <w:rPr>
          <w:rFonts w:ascii="Book Antiqua"/>
          <w:color w:val="262626"/>
          <w:sz w:val="20"/>
          <w:szCs w:val="20"/>
          <w:u w:color="163291"/>
          <w:rtl w:val="0"/>
          <w:lang w:val="it-IT"/>
        </w:rPr>
        <w:t>sinergiche</w:t>
      </w:r>
      <w:r>
        <w:rPr>
          <w:rFonts w:hAnsi="Book Antiqua" w:hint="default"/>
          <w:color w:val="262626"/>
          <w:sz w:val="20"/>
          <w:szCs w:val="20"/>
          <w:u w:color="163291"/>
          <w:rtl w:val="0"/>
          <w:lang w:val="it-IT"/>
        </w:rPr>
        <w:t>”</w:t>
      </w:r>
    </w:p>
  </w:footnote>
  <w:footnote w:id="154">
    <w:p>
      <w:pPr>
        <w:pStyle w:val="footnote text"/>
        <w:ind w:left="567" w:right="567" w:firstLine="0"/>
        <w:jc w:val="both"/>
      </w:pPr>
      <w:r>
        <w:rPr>
          <w:rFonts w:ascii="Book Antiqua" w:cs="Book Antiqua" w:hAnsi="Book Antiqua" w:eastAsia="Book Antiqua"/>
          <w:shd w:val="clear" w:color="auto" w:fill="ffffff"/>
          <w:vertAlign w:val="superscript"/>
          <w:rtl w:val="0"/>
        </w:rPr>
        <w:footnoteRef/>
      </w:r>
      <w:r>
        <w:rPr>
          <w:rFonts w:hAnsi="Book Antiqua" w:hint="default"/>
          <w:sz w:val="20"/>
          <w:szCs w:val="20"/>
          <w:rtl w:val="0"/>
          <w:lang w:val="it-IT"/>
        </w:rPr>
        <w:t xml:space="preserve"> “</w:t>
      </w:r>
      <w:r>
        <w:rPr>
          <w:rFonts w:ascii="Book Antiqua"/>
          <w:color w:val="262626"/>
          <w:sz w:val="20"/>
          <w:szCs w:val="20"/>
          <w:u w:color="262626"/>
          <w:rtl w:val="0"/>
          <w:lang w:val="it-IT"/>
        </w:rPr>
        <w:t xml:space="preserve">Secondo i </w:t>
      </w:r>
      <w:r>
        <w:rPr>
          <w:rFonts w:ascii="Book Antiqua"/>
          <w:i w:val="1"/>
          <w:iCs w:val="1"/>
          <w:color w:val="262626"/>
          <w:sz w:val="20"/>
          <w:szCs w:val="20"/>
          <w:u w:color="262626"/>
          <w:rtl w:val="0"/>
          <w:lang w:val="it-IT"/>
        </w:rPr>
        <w:t>benchmark</w:t>
      </w:r>
      <w:r>
        <w:rPr>
          <w:rFonts w:ascii="Book Antiqua"/>
          <w:color w:val="262626"/>
          <w:sz w:val="20"/>
          <w:szCs w:val="20"/>
          <w:u w:color="262626"/>
          <w:rtl w:val="0"/>
          <w:lang w:val="it-IT"/>
        </w:rPr>
        <w:t xml:space="preserve"> nazionali, il servizio richiede un dipendente ogni 1.000 abitanti, mentre qui abbiamo circa un dipendente ogni 400 abitanti</w:t>
      </w:r>
      <w:r>
        <w:rPr>
          <w:rFonts w:hAnsi="Book Antiqua" w:hint="default"/>
          <w:color w:val="262626"/>
          <w:sz w:val="20"/>
          <w:szCs w:val="20"/>
          <w:u w:color="262626"/>
          <w:rtl w:val="0"/>
          <w:lang w:val="it-IT"/>
        </w:rPr>
        <w:t>”</w:t>
      </w:r>
      <w:r>
        <w:rPr>
          <w:rFonts w:ascii="Book Antiqua"/>
          <w:color w:val="262626"/>
          <w:sz w:val="20"/>
          <w:szCs w:val="20"/>
          <w:u w:color="262626"/>
          <w:rtl w:val="0"/>
          <w:lang w:val="it-IT"/>
        </w:rPr>
        <w:t xml:space="preserve">; peraltro, come si </w:t>
      </w:r>
      <w:r>
        <w:rPr>
          <w:rFonts w:hAnsi="Book Antiqua" w:hint="default"/>
          <w:color w:val="262626"/>
          <w:sz w:val="20"/>
          <w:szCs w:val="20"/>
          <w:u w:color="262626"/>
          <w:rtl w:val="0"/>
          <w:lang w:val="it-IT"/>
        </w:rPr>
        <w:t xml:space="preserve">è </w:t>
      </w:r>
      <w:r>
        <w:rPr>
          <w:rFonts w:ascii="Book Antiqua"/>
          <w:color w:val="262626"/>
          <w:sz w:val="20"/>
          <w:szCs w:val="20"/>
          <w:u w:color="262626"/>
          <w:rtl w:val="0"/>
          <w:lang w:val="it-IT"/>
        </w:rPr>
        <w:t xml:space="preserve">visto nel </w:t>
      </w:r>
      <w:r>
        <w:rPr>
          <w:rFonts w:hAnsi="Book Antiqua" w:hint="default"/>
          <w:color w:val="262626"/>
          <w:sz w:val="20"/>
          <w:szCs w:val="20"/>
          <w:u w:color="262626"/>
          <w:rtl w:val="0"/>
          <w:lang w:val="it-IT"/>
        </w:rPr>
        <w:t xml:space="preserve">§ </w:t>
      </w:r>
      <w:r>
        <w:rPr>
          <w:rFonts w:ascii="Book Antiqua"/>
          <w:color w:val="262626"/>
          <w:sz w:val="20"/>
          <w:szCs w:val="20"/>
          <w:u w:color="262626"/>
          <w:rtl w:val="0"/>
          <w:lang w:val="it-IT"/>
        </w:rPr>
        <w:t>2.3.2, il nuovo piano industriale di AMA prevede nel quinquennio un mantenimento sostanziale dell</w:t>
      </w:r>
      <w:r>
        <w:rPr>
          <w:rFonts w:hAnsi="Book Antiqua" w:hint="default"/>
          <w:color w:val="262626"/>
          <w:sz w:val="20"/>
          <w:szCs w:val="20"/>
          <w:u w:color="262626"/>
          <w:rtl w:val="0"/>
          <w:lang w:val="it-IT"/>
        </w:rPr>
        <w:t>’</w:t>
      </w:r>
      <w:r>
        <w:rPr>
          <w:rFonts w:ascii="Book Antiqua"/>
          <w:color w:val="262626"/>
          <w:sz w:val="20"/>
          <w:szCs w:val="20"/>
          <w:u w:color="262626"/>
          <w:rtl w:val="0"/>
          <w:lang w:val="it-IT"/>
        </w:rPr>
        <w:t>attuale numero di dipendenti, con cambi interni di mansioni.</w:t>
      </w:r>
    </w:p>
  </w:footnote>
  <w:footnote w:id="155">
    <w:p>
      <w:pPr>
        <w:pStyle w:val="footnote text"/>
        <w:ind w:left="567" w:right="567" w:firstLine="0"/>
        <w:jc w:val="both"/>
      </w:pPr>
      <w:r>
        <w:rPr>
          <w:rFonts w:ascii="Book Antiqua" w:cs="Book Antiqua" w:hAnsi="Book Antiqua" w:eastAsia="Book Antiqua"/>
          <w:color w:val="262626"/>
          <w:u w:color="262626"/>
          <w:vertAlign w:val="superscript"/>
          <w:rtl w:val="0"/>
        </w:rPr>
        <w:footnoteRef/>
      </w:r>
      <w:r>
        <w:rPr>
          <w:rFonts w:ascii="Book Antiqua"/>
          <w:sz w:val="20"/>
          <w:szCs w:val="20"/>
          <w:rtl w:val="0"/>
          <w:lang w:val="it-IT"/>
        </w:rPr>
        <w:t xml:space="preserve"> Come </w:t>
      </w:r>
      <w:r>
        <w:rPr>
          <w:rFonts w:hAnsi="Book Antiqua" w:hint="default"/>
          <w:sz w:val="20"/>
          <w:szCs w:val="20"/>
          <w:rtl w:val="0"/>
          <w:lang w:val="it-IT"/>
        </w:rPr>
        <w:t xml:space="preserve">è </w:t>
      </w:r>
      <w:r>
        <w:rPr>
          <w:rFonts w:ascii="Book Antiqua"/>
          <w:sz w:val="20"/>
          <w:szCs w:val="20"/>
          <w:rtl w:val="0"/>
          <w:lang w:val="it-IT"/>
        </w:rPr>
        <w:t>stato accennato nell</w:t>
      </w:r>
      <w:r>
        <w:rPr>
          <w:rFonts w:hAnsi="Book Antiqua" w:hint="default"/>
          <w:sz w:val="20"/>
          <w:szCs w:val="20"/>
          <w:rtl w:val="0"/>
          <w:lang w:val="it-IT"/>
        </w:rPr>
        <w:t>’</w:t>
      </w:r>
      <w:r>
        <w:rPr>
          <w:rFonts w:ascii="Book Antiqua"/>
          <w:sz w:val="20"/>
          <w:szCs w:val="20"/>
          <w:rtl w:val="0"/>
          <w:lang w:val="it-IT"/>
        </w:rPr>
        <w:t xml:space="preserve">audizione, e risulta da fonti aperte, nel luglio 2016 il gruppo </w:t>
      </w:r>
      <w:r>
        <w:rPr>
          <w:rFonts w:ascii="Book Antiqua"/>
          <w:color w:val="262626"/>
          <w:sz w:val="20"/>
          <w:szCs w:val="20"/>
          <w:u w:color="163291"/>
          <w:rtl w:val="0"/>
          <w:lang w:val="it-IT"/>
        </w:rPr>
        <w:t>Caltagirone ha ridotto la sua partecipazione in ACEA al 5,5%, cedendo azioni a Suez in cambio di una partecipazione del 3,5% in quella societ</w:t>
      </w:r>
      <w:r>
        <w:rPr>
          <w:rFonts w:hAnsi="Book Antiqua" w:hint="default"/>
          <w:color w:val="262626"/>
          <w:sz w:val="20"/>
          <w:szCs w:val="20"/>
          <w:u w:color="163291"/>
          <w:rtl w:val="0"/>
          <w:lang w:val="it-IT"/>
        </w:rPr>
        <w:t>à</w:t>
      </w:r>
      <w:r>
        <w:rPr>
          <w:rFonts w:ascii="Book Antiqua"/>
          <w:color w:val="262626"/>
          <w:sz w:val="20"/>
          <w:szCs w:val="20"/>
          <w:u w:color="163291"/>
          <w:rtl w:val="0"/>
          <w:lang w:val="it-IT"/>
        </w:rPr>
        <w:t xml:space="preserve">; la cui partecipazione in ACEA </w:t>
      </w:r>
      <w:r>
        <w:rPr>
          <w:rFonts w:hAnsi="Book Antiqua" w:hint="default"/>
          <w:color w:val="262626"/>
          <w:sz w:val="20"/>
          <w:szCs w:val="20"/>
          <w:u w:color="163291"/>
          <w:rtl w:val="0"/>
          <w:lang w:val="it-IT"/>
        </w:rPr>
        <w:t xml:space="preserve">è </w:t>
      </w:r>
      <w:r>
        <w:rPr>
          <w:rFonts w:ascii="Book Antiqua"/>
          <w:color w:val="262626"/>
          <w:sz w:val="20"/>
          <w:szCs w:val="20"/>
          <w:u w:color="163291"/>
          <w:rtl w:val="0"/>
          <w:lang w:val="it-IT"/>
        </w:rPr>
        <w:t>cos</w:t>
      </w:r>
      <w:r>
        <w:rPr>
          <w:rFonts w:hAnsi="Book Antiqua" w:hint="default"/>
          <w:color w:val="262626"/>
          <w:sz w:val="20"/>
          <w:szCs w:val="20"/>
          <w:u w:color="163291"/>
          <w:rtl w:val="0"/>
          <w:lang w:val="it-IT"/>
        </w:rPr>
        <w:t xml:space="preserve">ì </w:t>
      </w:r>
      <w:r>
        <w:rPr>
          <w:rFonts w:ascii="Book Antiqua"/>
          <w:color w:val="262626"/>
          <w:sz w:val="20"/>
          <w:szCs w:val="20"/>
          <w:u w:color="163291"/>
          <w:rtl w:val="0"/>
          <w:lang w:val="it-IT"/>
        </w:rPr>
        <w:t xml:space="preserve">passata dal 12,5% al 23,3%; come </w:t>
      </w:r>
      <w:r>
        <w:rPr>
          <w:rFonts w:hAnsi="Book Antiqua" w:hint="default"/>
          <w:color w:val="262626"/>
          <w:sz w:val="20"/>
          <w:szCs w:val="20"/>
          <w:u w:color="163291"/>
          <w:rtl w:val="0"/>
          <w:lang w:val="it-IT"/>
        </w:rPr>
        <w:t xml:space="preserve">è </w:t>
      </w:r>
      <w:r>
        <w:rPr>
          <w:rFonts w:ascii="Book Antiqua"/>
          <w:color w:val="262626"/>
          <w:sz w:val="20"/>
          <w:szCs w:val="20"/>
          <w:u w:color="163291"/>
          <w:rtl w:val="0"/>
          <w:lang w:val="it-IT"/>
        </w:rPr>
        <w:t>stato precisato in audizione</w:t>
      </w:r>
      <w:r>
        <w:rPr>
          <w:rFonts w:hAnsi="Book Antiqua" w:hint="default"/>
          <w:color w:val="262626"/>
          <w:sz w:val="20"/>
          <w:szCs w:val="20"/>
          <w:u w:color="163291"/>
          <w:rtl w:val="0"/>
          <w:lang w:val="it-IT"/>
        </w:rPr>
        <w:t xml:space="preserve"> “</w:t>
      </w:r>
      <w:r>
        <w:rPr>
          <w:rFonts w:ascii="Book Antiqua"/>
          <w:color w:val="262626"/>
          <w:sz w:val="20"/>
          <w:szCs w:val="20"/>
          <w:u w:color="163291"/>
          <w:rtl w:val="0"/>
          <w:lang w:val="it-IT"/>
        </w:rPr>
        <w:t>lo statuto di ACEA prevede che gli azionisti votino a prescindere alla propria partecipazione fino al massimo dell'8 per cento, quindi il gruppo Suez, che detiene il 23 per cento circa, nella sede dell'assemblea voter</w:t>
      </w:r>
      <w:r>
        <w:rPr>
          <w:rFonts w:hAnsi="Book Antiqua" w:hint="default"/>
          <w:color w:val="262626"/>
          <w:sz w:val="20"/>
          <w:szCs w:val="20"/>
          <w:u w:color="163291"/>
          <w:rtl w:val="0"/>
          <w:lang w:val="it-IT"/>
        </w:rPr>
        <w:t xml:space="preserve">à </w:t>
      </w:r>
      <w:r>
        <w:rPr>
          <w:rFonts w:ascii="Book Antiqua"/>
          <w:color w:val="262626"/>
          <w:sz w:val="20"/>
          <w:szCs w:val="20"/>
          <w:u w:color="163291"/>
          <w:rtl w:val="0"/>
          <w:lang w:val="it-IT"/>
        </w:rPr>
        <w:t>comunque per l'8. Pur votando per il 23 per cento, quel 23 per cento si conter</w:t>
      </w:r>
      <w:r>
        <w:rPr>
          <w:rFonts w:hAnsi="Book Antiqua" w:hint="default"/>
          <w:color w:val="262626"/>
          <w:sz w:val="20"/>
          <w:szCs w:val="20"/>
          <w:u w:color="163291"/>
          <w:rtl w:val="0"/>
          <w:lang w:val="it-IT"/>
        </w:rPr>
        <w:t xml:space="preserve">à </w:t>
      </w:r>
      <w:r>
        <w:rPr>
          <w:rFonts w:ascii="Book Antiqua"/>
          <w:color w:val="262626"/>
          <w:sz w:val="20"/>
          <w:szCs w:val="20"/>
          <w:u w:color="163291"/>
          <w:rtl w:val="0"/>
          <w:lang w:val="it-IT"/>
        </w:rPr>
        <w:t>per 8: lo stesso discorso vale per tutti gli azionisti. Sostanzialmente, quindi, ha fatto un investimento di natura finanziaria, perch</w:t>
      </w:r>
      <w:r>
        <w:rPr>
          <w:rFonts w:hAnsi="Book Antiqua" w:hint="default"/>
          <w:color w:val="262626"/>
          <w:sz w:val="20"/>
          <w:szCs w:val="20"/>
          <w:u w:color="163291"/>
          <w:rtl w:val="0"/>
          <w:lang w:val="it-IT"/>
        </w:rPr>
        <w:t xml:space="preserve">é </w:t>
      </w:r>
      <w:r>
        <w:rPr>
          <w:rFonts w:ascii="Book Antiqua"/>
          <w:color w:val="262626"/>
          <w:sz w:val="20"/>
          <w:szCs w:val="20"/>
          <w:u w:color="163291"/>
          <w:rtl w:val="0"/>
          <w:lang w:val="it-IT"/>
        </w:rPr>
        <w:t xml:space="preserve">ACEA </w:t>
      </w:r>
      <w:r>
        <w:rPr>
          <w:rFonts w:hAnsi="Book Antiqua" w:hint="default"/>
          <w:color w:val="262626"/>
          <w:sz w:val="20"/>
          <w:szCs w:val="20"/>
          <w:u w:color="163291"/>
          <w:rtl w:val="0"/>
          <w:lang w:val="it-IT"/>
        </w:rPr>
        <w:t xml:space="preserve">è </w:t>
      </w:r>
      <w:r>
        <w:rPr>
          <w:rFonts w:ascii="Book Antiqua"/>
          <w:color w:val="262626"/>
          <w:sz w:val="20"/>
          <w:szCs w:val="20"/>
          <w:u w:color="163291"/>
          <w:rtl w:val="0"/>
          <w:lang w:val="it-IT"/>
        </w:rPr>
        <w:t>una societ</w:t>
      </w:r>
      <w:r>
        <w:rPr>
          <w:rFonts w:hAnsi="Book Antiqua" w:hint="default"/>
          <w:color w:val="262626"/>
          <w:sz w:val="20"/>
          <w:szCs w:val="20"/>
          <w:u w:color="163291"/>
          <w:rtl w:val="0"/>
          <w:lang w:val="it-IT"/>
        </w:rPr>
        <w:t xml:space="preserve">à </w:t>
      </w:r>
      <w:r>
        <w:rPr>
          <w:rFonts w:ascii="Book Antiqua"/>
          <w:color w:val="262626"/>
          <w:sz w:val="20"/>
          <w:szCs w:val="20"/>
          <w:u w:color="163291"/>
          <w:rtl w:val="0"/>
          <w:lang w:val="it-IT"/>
        </w:rPr>
        <w:t>che da un punto di vista finanziario viene considerata positivamente</w:t>
      </w:r>
      <w:r>
        <w:rPr>
          <w:rFonts w:hAnsi="Book Antiqua" w:hint="default"/>
          <w:color w:val="262626"/>
          <w:sz w:val="20"/>
          <w:szCs w:val="20"/>
          <w:u w:color="163291"/>
          <w:rtl w:val="0"/>
          <w:lang w:val="it-IT"/>
        </w:rPr>
        <w:t>”</w:t>
      </w:r>
    </w:p>
  </w:footnote>
  <w:footnote w:id="156">
    <w:p>
      <w:pPr>
        <w:pStyle w:val="footnote text"/>
        <w:ind w:left="567" w:right="567" w:firstLine="0"/>
        <w:jc w:val="both"/>
      </w:pPr>
      <w:r>
        <w:rPr>
          <w:rFonts w:ascii="Book Antiqua" w:cs="Book Antiqua" w:hAnsi="Book Antiqua" w:eastAsia="Book Antiqua"/>
          <w:color w:val="262626"/>
          <w:u w:color="163291"/>
          <w:vertAlign w:val="superscript"/>
          <w:rtl w:val="0"/>
        </w:rPr>
        <w:footnoteRef/>
      </w:r>
      <w:r>
        <w:rPr>
          <w:rFonts w:ascii="Book Antiqua"/>
          <w:sz w:val="20"/>
          <w:szCs w:val="20"/>
          <w:rtl w:val="0"/>
          <w:lang w:val="it-IT"/>
        </w:rPr>
        <w:t xml:space="preserve"> La termovalorizzazione dei rifiuti provenienti da Roma Capitale prosegue e anzi si </w:t>
      </w:r>
      <w:r>
        <w:rPr>
          <w:rFonts w:hAnsi="Book Antiqua" w:hint="default"/>
          <w:sz w:val="20"/>
          <w:szCs w:val="20"/>
          <w:rtl w:val="0"/>
          <w:lang w:val="it-IT"/>
        </w:rPr>
        <w:t xml:space="preserve">è </w:t>
      </w:r>
      <w:r>
        <w:rPr>
          <w:rFonts w:ascii="Book Antiqua"/>
          <w:sz w:val="20"/>
          <w:szCs w:val="20"/>
          <w:rtl w:val="0"/>
          <w:lang w:val="it-IT"/>
        </w:rPr>
        <w:t xml:space="preserve">di recente incrementata, come </w:t>
      </w:r>
      <w:r>
        <w:rPr>
          <w:rFonts w:hAnsi="Book Antiqua" w:hint="default"/>
          <w:sz w:val="20"/>
          <w:szCs w:val="20"/>
          <w:rtl w:val="0"/>
          <w:lang w:val="it-IT"/>
        </w:rPr>
        <w:t xml:space="preserve">è </w:t>
      </w:r>
      <w:r>
        <w:rPr>
          <w:rFonts w:ascii="Book Antiqua"/>
          <w:sz w:val="20"/>
          <w:szCs w:val="20"/>
          <w:rtl w:val="0"/>
          <w:lang w:val="it-IT"/>
        </w:rPr>
        <w:t xml:space="preserve">stato precisato a specifica domanda della Commissione: </w:t>
      </w:r>
      <w:r>
        <w:rPr>
          <w:rFonts w:hAnsi="Book Antiqua" w:hint="default"/>
          <w:sz w:val="20"/>
          <w:szCs w:val="20"/>
          <w:rtl w:val="0"/>
          <w:lang w:val="it-IT"/>
        </w:rPr>
        <w:t>“</w:t>
      </w:r>
      <w:r>
        <w:rPr>
          <w:rFonts w:ascii="Book Antiqua"/>
          <w:color w:val="262626"/>
          <w:sz w:val="20"/>
          <w:szCs w:val="20"/>
          <w:u w:color="163291"/>
          <w:rtl w:val="0"/>
          <w:lang w:val="it-IT"/>
        </w:rPr>
        <w:t>siamo vincitori di un lotto che attualmente ci vede nella disponibilit</w:t>
      </w:r>
      <w:r>
        <w:rPr>
          <w:rFonts w:hAnsi="Book Antiqua" w:hint="default"/>
          <w:color w:val="262626"/>
          <w:sz w:val="20"/>
          <w:szCs w:val="20"/>
          <w:u w:color="163291"/>
          <w:rtl w:val="0"/>
          <w:lang w:val="it-IT"/>
        </w:rPr>
        <w:t xml:space="preserve">à </w:t>
      </w:r>
      <w:r>
        <w:rPr>
          <w:rFonts w:ascii="Book Antiqua"/>
          <w:color w:val="262626"/>
          <w:sz w:val="20"/>
          <w:szCs w:val="20"/>
          <w:u w:color="163291"/>
          <w:rtl w:val="0"/>
          <w:lang w:val="it-IT"/>
        </w:rPr>
        <w:t>di contribuire a recuperare il materiale che viene dagli impianti di Rocca Cencia e Salaria per 25.000 tonnellate. Inoltre, ne abbiamo vinto un altro, ma che ancora deve partire, di 50.000 tonnellate per il 2017. Attualmente gli impianti dell'AMA (parlo soltanto degli impianti di propriet</w:t>
      </w:r>
      <w:r>
        <w:rPr>
          <w:rFonts w:hAnsi="Book Antiqua" w:hint="default"/>
          <w:color w:val="262626"/>
          <w:sz w:val="20"/>
          <w:szCs w:val="20"/>
          <w:u w:color="163291"/>
          <w:rtl w:val="0"/>
          <w:lang w:val="it-IT"/>
        </w:rPr>
        <w:t xml:space="preserve">à </w:t>
      </w:r>
      <w:r>
        <w:rPr>
          <w:rFonts w:ascii="Book Antiqua"/>
          <w:color w:val="262626"/>
          <w:sz w:val="20"/>
          <w:szCs w:val="20"/>
          <w:u w:color="163291"/>
          <w:rtl w:val="0"/>
          <w:lang w:val="it-IT"/>
        </w:rPr>
        <w:t>della societ</w:t>
      </w:r>
      <w:r>
        <w:rPr>
          <w:rFonts w:hAnsi="Book Antiqua" w:hint="default"/>
          <w:color w:val="262626"/>
          <w:sz w:val="20"/>
          <w:szCs w:val="20"/>
          <w:u w:color="163291"/>
          <w:rtl w:val="0"/>
          <w:lang w:val="it-IT"/>
        </w:rPr>
        <w:t>à</w:t>
      </w:r>
      <w:r>
        <w:rPr>
          <w:rFonts w:ascii="Book Antiqua"/>
          <w:color w:val="262626"/>
          <w:sz w:val="20"/>
          <w:szCs w:val="20"/>
          <w:u w:color="163291"/>
          <w:rtl w:val="0"/>
          <w:lang w:val="it-IT"/>
        </w:rPr>
        <w:t>) producono circa 100.000 tonnellate all'anno e noi, nell'anno in corso, sosterremo le necessit</w:t>
      </w:r>
      <w:r>
        <w:rPr>
          <w:rFonts w:hAnsi="Book Antiqua" w:hint="default"/>
          <w:color w:val="262626"/>
          <w:sz w:val="20"/>
          <w:szCs w:val="20"/>
          <w:u w:color="163291"/>
          <w:rtl w:val="0"/>
          <w:lang w:val="it-IT"/>
        </w:rPr>
        <w:t xml:space="preserve">à </w:t>
      </w:r>
      <w:r>
        <w:rPr>
          <w:rFonts w:ascii="Book Antiqua"/>
          <w:color w:val="262626"/>
          <w:sz w:val="20"/>
          <w:szCs w:val="20"/>
          <w:u w:color="163291"/>
          <w:rtl w:val="0"/>
          <w:lang w:val="it-IT"/>
        </w:rPr>
        <w:t>dell'AMA per circa il 50 per cento</w:t>
      </w:r>
      <w:r>
        <w:rPr>
          <w:rFonts w:hAnsi="Book Antiqua" w:hint="default"/>
          <w:color w:val="262626"/>
          <w:sz w:val="20"/>
          <w:szCs w:val="20"/>
          <w:u w:color="163291"/>
          <w:rtl w:val="0"/>
          <w:lang w:val="it-IT"/>
        </w:rPr>
        <w:t>”</w:t>
      </w:r>
    </w:p>
  </w:footnote>
  <w:footnote w:id="157">
    <w:p>
      <w:pPr>
        <w:pStyle w:val="footnote text"/>
        <w:ind w:left="567" w:right="567" w:firstLine="0"/>
        <w:jc w:val="both"/>
      </w:pPr>
      <w:r>
        <w:rPr>
          <w:rFonts w:ascii="Book Antiqua" w:cs="Book Antiqua" w:hAnsi="Book Antiqua" w:eastAsia="Book Antiqua"/>
          <w:color w:val="262626"/>
          <w:u w:color="163291"/>
          <w:vertAlign w:val="superscript"/>
          <w:rtl w:val="0"/>
        </w:rPr>
        <w:footnoteRef/>
      </w:r>
      <w:r>
        <w:rPr>
          <w:rFonts w:ascii="Book Antiqua"/>
          <w:sz w:val="20"/>
          <w:szCs w:val="20"/>
          <w:rtl w:val="0"/>
          <w:lang w:val="it-IT"/>
        </w:rPr>
        <w:t xml:space="preserve"> Nella medesima audizione Giovanni Vivarelli, </w:t>
      </w:r>
      <w:r>
        <w:rPr>
          <w:rFonts w:ascii="Book Antiqua"/>
          <w:color w:val="262626"/>
          <w:sz w:val="20"/>
          <w:szCs w:val="20"/>
          <w:u w:color="163291"/>
          <w:rtl w:val="0"/>
          <w:lang w:val="it-IT"/>
        </w:rPr>
        <w:t>direttore area ambiente di ACEA, cos</w:t>
      </w:r>
      <w:r>
        <w:rPr>
          <w:rFonts w:hAnsi="Book Antiqua" w:hint="default"/>
          <w:color w:val="262626"/>
          <w:sz w:val="20"/>
          <w:szCs w:val="20"/>
          <w:u w:color="163291"/>
          <w:rtl w:val="0"/>
          <w:lang w:val="it-IT"/>
        </w:rPr>
        <w:t xml:space="preserve">ì </w:t>
      </w:r>
      <w:r>
        <w:rPr>
          <w:rFonts w:ascii="Book Antiqua"/>
          <w:color w:val="262626"/>
          <w:sz w:val="20"/>
          <w:szCs w:val="20"/>
          <w:u w:color="163291"/>
          <w:rtl w:val="0"/>
          <w:lang w:val="it-IT"/>
        </w:rPr>
        <w:t xml:space="preserve">descrive questa ipotesi di sviluppo impiantistico: </w:t>
      </w:r>
      <w:r>
        <w:rPr>
          <w:rFonts w:hAnsi="Book Antiqua" w:hint="default"/>
          <w:color w:val="262626"/>
          <w:sz w:val="20"/>
          <w:szCs w:val="20"/>
          <w:u w:color="163291"/>
          <w:rtl w:val="0"/>
          <w:lang w:val="it-IT"/>
        </w:rPr>
        <w:t>“</w:t>
      </w:r>
      <w:r>
        <w:rPr>
          <w:rFonts w:ascii="Book Antiqua"/>
          <w:color w:val="262626"/>
          <w:sz w:val="20"/>
          <w:szCs w:val="20"/>
          <w:u w:color="163291"/>
          <w:rtl w:val="0"/>
          <w:lang w:val="it-IT"/>
        </w:rPr>
        <w:t xml:space="preserve">Per quanto riguarda gli impianti di compostaggio nella regione Lazio, noi siamo presenti ad Aprilia. L'autorizzazione integrata ambientale </w:t>
      </w:r>
      <w:r>
        <w:rPr>
          <w:rFonts w:hAnsi="Book Antiqua" w:hint="default"/>
          <w:color w:val="262626"/>
          <w:sz w:val="20"/>
          <w:szCs w:val="20"/>
          <w:u w:color="163291"/>
          <w:rtl w:val="0"/>
          <w:lang w:val="it-IT"/>
        </w:rPr>
        <w:t xml:space="preserve">è </w:t>
      </w:r>
      <w:r>
        <w:rPr>
          <w:rFonts w:ascii="Book Antiqua"/>
          <w:color w:val="262626"/>
          <w:sz w:val="20"/>
          <w:szCs w:val="20"/>
          <w:u w:color="163291"/>
          <w:rtl w:val="0"/>
          <w:lang w:val="it-IT"/>
        </w:rPr>
        <w:t xml:space="preserve">stata ottenuta nel 2016 e siamo nella fase di cantierizzazione per l'ampliamento a 120.000 tonnellate dalle 60.000 attuali. L'impianto di Sabaudia ha 23.000 tonnellate autorizzate ed </w:t>
      </w:r>
      <w:r>
        <w:rPr>
          <w:rFonts w:hAnsi="Book Antiqua" w:hint="default"/>
          <w:color w:val="262626"/>
          <w:sz w:val="20"/>
          <w:szCs w:val="20"/>
          <w:u w:color="163291"/>
          <w:rtl w:val="0"/>
          <w:lang w:val="it-IT"/>
        </w:rPr>
        <w:t xml:space="preserve">è </w:t>
      </w:r>
      <w:r>
        <w:rPr>
          <w:rFonts w:ascii="Book Antiqua"/>
          <w:color w:val="262626"/>
          <w:sz w:val="20"/>
          <w:szCs w:val="20"/>
          <w:u w:color="163291"/>
          <w:rtl w:val="0"/>
          <w:lang w:val="it-IT"/>
        </w:rPr>
        <w:t xml:space="preserve">in corso l'iter per arrivare a 60.000. Ci attendiamo quest'anno di avere questa autorizzazione. </w:t>
      </w:r>
      <w:r>
        <w:rPr>
          <w:rFonts w:hAnsi="Book Antiqua" w:hint="default"/>
          <w:color w:val="262626"/>
          <w:sz w:val="20"/>
          <w:szCs w:val="20"/>
          <w:u w:color="163291"/>
          <w:rtl w:val="0"/>
          <w:lang w:val="it-IT"/>
        </w:rPr>
        <w:t xml:space="preserve">È </w:t>
      </w:r>
      <w:r>
        <w:rPr>
          <w:rFonts w:ascii="Book Antiqua"/>
          <w:color w:val="262626"/>
          <w:sz w:val="20"/>
          <w:szCs w:val="20"/>
          <w:u w:color="163291"/>
          <w:rtl w:val="0"/>
          <w:lang w:val="it-IT"/>
        </w:rPr>
        <w:t>un impianto che, peraltro, pu</w:t>
      </w:r>
      <w:r>
        <w:rPr>
          <w:rFonts w:hAnsi="Book Antiqua" w:hint="default"/>
          <w:color w:val="262626"/>
          <w:sz w:val="20"/>
          <w:szCs w:val="20"/>
          <w:u w:color="163291"/>
          <w:rtl w:val="0"/>
          <w:lang w:val="it-IT"/>
        </w:rPr>
        <w:t xml:space="preserve">ò </w:t>
      </w:r>
      <w:r>
        <w:rPr>
          <w:rFonts w:ascii="Book Antiqua"/>
          <w:color w:val="262626"/>
          <w:sz w:val="20"/>
          <w:szCs w:val="20"/>
          <w:u w:color="163291"/>
          <w:rtl w:val="0"/>
          <w:lang w:val="it-IT"/>
        </w:rPr>
        <w:t xml:space="preserve">trattare anche circa 30.000 tonnellate di rifiuti liquidi. Questo </w:t>
      </w:r>
      <w:r>
        <w:rPr>
          <w:rFonts w:hAnsi="Book Antiqua" w:hint="default"/>
          <w:color w:val="262626"/>
          <w:sz w:val="20"/>
          <w:szCs w:val="20"/>
          <w:u w:color="163291"/>
          <w:rtl w:val="0"/>
          <w:lang w:val="it-IT"/>
        </w:rPr>
        <w:t xml:space="preserve">è </w:t>
      </w:r>
      <w:r>
        <w:rPr>
          <w:rFonts w:ascii="Book Antiqua"/>
          <w:color w:val="262626"/>
          <w:sz w:val="20"/>
          <w:szCs w:val="20"/>
          <w:u w:color="163291"/>
          <w:rtl w:val="0"/>
          <w:lang w:val="it-IT"/>
        </w:rPr>
        <w:t>ci</w:t>
      </w:r>
      <w:r>
        <w:rPr>
          <w:rFonts w:hAnsi="Book Antiqua" w:hint="default"/>
          <w:color w:val="262626"/>
          <w:sz w:val="20"/>
          <w:szCs w:val="20"/>
          <w:u w:color="163291"/>
          <w:rtl w:val="0"/>
          <w:lang w:val="it-IT"/>
        </w:rPr>
        <w:t xml:space="preserve">ò </w:t>
      </w:r>
      <w:r>
        <w:rPr>
          <w:rFonts w:ascii="Book Antiqua"/>
          <w:color w:val="262626"/>
          <w:sz w:val="20"/>
          <w:szCs w:val="20"/>
          <w:u w:color="163291"/>
          <w:rtl w:val="0"/>
          <w:lang w:val="it-IT"/>
        </w:rPr>
        <w:t>che riguarda il Lazio. C'</w:t>
      </w:r>
      <w:r>
        <w:rPr>
          <w:rFonts w:hAnsi="Book Antiqua" w:hint="default"/>
          <w:color w:val="262626"/>
          <w:sz w:val="20"/>
          <w:szCs w:val="20"/>
          <w:u w:color="163291"/>
          <w:rtl w:val="0"/>
          <w:lang w:val="it-IT"/>
        </w:rPr>
        <w:t xml:space="preserve">è </w:t>
      </w:r>
      <w:r>
        <w:rPr>
          <w:rFonts w:ascii="Book Antiqua"/>
          <w:color w:val="262626"/>
          <w:sz w:val="20"/>
          <w:szCs w:val="20"/>
          <w:u w:color="163291"/>
          <w:rtl w:val="0"/>
          <w:lang w:val="it-IT"/>
        </w:rPr>
        <w:t xml:space="preserve">poi un'altra iniziativa in provincia di Rieti, ma ancora non </w:t>
      </w:r>
      <w:r>
        <w:rPr>
          <w:rFonts w:hAnsi="Book Antiqua" w:hint="default"/>
          <w:color w:val="262626"/>
          <w:sz w:val="20"/>
          <w:szCs w:val="20"/>
          <w:u w:color="163291"/>
          <w:rtl w:val="0"/>
          <w:lang w:val="it-IT"/>
        </w:rPr>
        <w:t xml:space="preserve">è </w:t>
      </w:r>
      <w:r>
        <w:rPr>
          <w:rFonts w:ascii="Book Antiqua"/>
          <w:color w:val="262626"/>
          <w:sz w:val="20"/>
          <w:szCs w:val="20"/>
          <w:u w:color="163291"/>
          <w:rtl w:val="0"/>
          <w:lang w:val="it-IT"/>
        </w:rPr>
        <w:t>formalizzata. Stiamo ipotizzando un impianto di una taglia similare, per aumentare la capacit</w:t>
      </w:r>
      <w:r>
        <w:rPr>
          <w:rFonts w:hAnsi="Book Antiqua" w:hint="default"/>
          <w:color w:val="262626"/>
          <w:sz w:val="20"/>
          <w:szCs w:val="20"/>
          <w:u w:color="163291"/>
          <w:rtl w:val="0"/>
          <w:lang w:val="it-IT"/>
        </w:rPr>
        <w:t xml:space="preserve">à </w:t>
      </w:r>
      <w:r>
        <w:rPr>
          <w:rFonts w:ascii="Book Antiqua"/>
          <w:color w:val="262626"/>
          <w:sz w:val="20"/>
          <w:szCs w:val="20"/>
          <w:u w:color="163291"/>
          <w:rtl w:val="0"/>
          <w:lang w:val="it-IT"/>
        </w:rPr>
        <w:t>di offerta del trattamento di rifiuti organici nell'ambito della regione</w:t>
      </w:r>
      <w:r>
        <w:rPr>
          <w:rFonts w:hAnsi="Book Antiqua" w:hint="default"/>
          <w:color w:val="262626"/>
          <w:sz w:val="20"/>
          <w:szCs w:val="20"/>
          <w:u w:color="163291"/>
          <w:rtl w:val="0"/>
          <w:lang w:val="it-IT"/>
        </w:rPr>
        <w:t>”</w:t>
      </w:r>
    </w:p>
  </w:footnote>
  <w:footnote w:id="158">
    <w:p>
      <w:pPr>
        <w:pStyle w:val="footnote text"/>
        <w:ind w:left="567" w:right="567" w:firstLine="0"/>
        <w:jc w:val="both"/>
      </w:pPr>
      <w:r>
        <w:rPr>
          <w:rFonts w:ascii="Book Antiqua" w:cs="Book Antiqua" w:hAnsi="Book Antiqua" w:eastAsia="Book Antiqua"/>
          <w:color w:val="262626"/>
          <w:u w:color="163291"/>
          <w:vertAlign w:val="superscript"/>
          <w:rtl w:val="0"/>
        </w:rPr>
        <w:footnoteRef/>
      </w:r>
      <w:r>
        <w:rPr>
          <w:rFonts w:hAnsi="Book Antiqua" w:hint="default"/>
          <w:sz w:val="20"/>
          <w:szCs w:val="20"/>
          <w:rtl w:val="0"/>
          <w:lang w:val="it-IT"/>
        </w:rPr>
        <w:t xml:space="preserve"> “</w:t>
      </w:r>
      <w:r>
        <w:rPr>
          <w:rFonts w:ascii="Book Antiqua"/>
          <w:color w:val="262626"/>
          <w:sz w:val="20"/>
          <w:szCs w:val="20"/>
          <w:u w:color="262626"/>
          <w:rtl w:val="0"/>
          <w:lang w:val="it-IT"/>
        </w:rPr>
        <w:t>L'obiettivo era appunto quello di avere la disponibilit</w:t>
      </w:r>
      <w:r>
        <w:rPr>
          <w:rFonts w:hAnsi="Book Antiqua" w:hint="default"/>
          <w:color w:val="262626"/>
          <w:sz w:val="20"/>
          <w:szCs w:val="20"/>
          <w:u w:color="262626"/>
          <w:rtl w:val="0"/>
          <w:lang w:val="it-IT"/>
        </w:rPr>
        <w:t xml:space="preserve">à </w:t>
      </w:r>
      <w:r>
        <w:rPr>
          <w:rFonts w:ascii="Book Antiqua"/>
          <w:color w:val="262626"/>
          <w:sz w:val="20"/>
          <w:szCs w:val="20"/>
          <w:u w:color="262626"/>
          <w:rtl w:val="0"/>
          <w:lang w:val="it-IT"/>
        </w:rPr>
        <w:t>degli impianti al cento per cento di ACEA Spa, in modo che la capacit</w:t>
      </w:r>
      <w:r>
        <w:rPr>
          <w:rFonts w:hAnsi="Book Antiqua" w:hint="default"/>
          <w:color w:val="262626"/>
          <w:sz w:val="20"/>
          <w:szCs w:val="20"/>
          <w:u w:color="262626"/>
          <w:rtl w:val="0"/>
          <w:lang w:val="it-IT"/>
        </w:rPr>
        <w:t xml:space="preserve">à </w:t>
      </w:r>
      <w:r>
        <w:rPr>
          <w:rFonts w:ascii="Book Antiqua"/>
          <w:color w:val="262626"/>
          <w:sz w:val="20"/>
          <w:szCs w:val="20"/>
          <w:u w:color="262626"/>
          <w:rtl w:val="0"/>
          <w:lang w:val="it-IT"/>
        </w:rPr>
        <w:t>finanziaria di ACEA potesse dispiegarsi pienamente nell'assecondare i piani di investimenti coerenti sugli impianti</w:t>
      </w:r>
      <w:r>
        <w:rPr>
          <w:rFonts w:hAnsi="Book Antiqua" w:hint="default"/>
          <w:color w:val="262626"/>
          <w:sz w:val="20"/>
          <w:szCs w:val="20"/>
          <w:u w:color="262626"/>
          <w:rtl w:val="0"/>
          <w:lang w:val="it-IT"/>
        </w:rPr>
        <w:t>”</w:t>
      </w:r>
    </w:p>
  </w:footnote>
  <w:footnote w:id="159">
    <w:p>
      <w:pPr>
        <w:pStyle w:val="footnote text"/>
        <w:ind w:left="567" w:right="567" w:firstLine="0"/>
        <w:jc w:val="both"/>
      </w:pPr>
      <w:r>
        <w:rPr>
          <w:rFonts w:ascii="Book Antiqua" w:cs="Book Antiqua" w:hAnsi="Book Antiqua" w:eastAsia="Book Antiqua"/>
          <w:color w:val="262626"/>
          <w:u w:color="163291"/>
          <w:vertAlign w:val="superscript"/>
          <w:rtl w:val="0"/>
        </w:rPr>
        <w:footnoteRef/>
      </w:r>
      <w:r>
        <w:rPr>
          <w:rFonts w:ascii="Book Antiqua"/>
          <w:sz w:val="20"/>
          <w:szCs w:val="20"/>
          <w:rtl w:val="0"/>
          <w:lang w:val="it-IT"/>
        </w:rPr>
        <w:t xml:space="preserve"> A specifica domanda della Commissione, l</w:t>
      </w:r>
      <w:r>
        <w:rPr>
          <w:rFonts w:hAnsi="Book Antiqua" w:hint="default"/>
          <w:sz w:val="20"/>
          <w:szCs w:val="20"/>
          <w:rtl w:val="0"/>
          <w:lang w:val="it-IT"/>
        </w:rPr>
        <w:t>’</w:t>
      </w:r>
      <w:r>
        <w:rPr>
          <w:rFonts w:ascii="Book Antiqua"/>
          <w:sz w:val="20"/>
          <w:szCs w:val="20"/>
          <w:rtl w:val="0"/>
          <w:lang w:val="it-IT"/>
        </w:rPr>
        <w:t xml:space="preserve">amministratore delegato Irace ha affermato, a proposito del principale azionista privato: </w:t>
      </w:r>
      <w:r>
        <w:rPr>
          <w:rFonts w:hAnsi="Book Antiqua" w:hint="default"/>
          <w:sz w:val="20"/>
          <w:szCs w:val="20"/>
          <w:rtl w:val="0"/>
          <w:lang w:val="it-IT"/>
        </w:rPr>
        <w:t>“</w:t>
      </w:r>
      <w:r>
        <w:rPr>
          <w:rFonts w:ascii="Book Antiqua"/>
          <w:color w:val="262626"/>
          <w:sz w:val="20"/>
          <w:szCs w:val="20"/>
          <w:u w:color="163291"/>
          <w:rtl w:val="0"/>
          <w:lang w:val="it-IT"/>
        </w:rPr>
        <w:t>Per quanto riguarda Suez, come sapete, si tratta di una multinazionale impegnata sia nell'acqua, sia nel trattamento dei rifiuti. Io ritengo che questa debba essere considerata per ACEA un'opportunit</w:t>
      </w:r>
      <w:r>
        <w:rPr>
          <w:rFonts w:hAnsi="Book Antiqua" w:hint="default"/>
          <w:color w:val="262626"/>
          <w:sz w:val="20"/>
          <w:szCs w:val="20"/>
          <w:u w:color="163291"/>
          <w:rtl w:val="0"/>
          <w:lang w:val="it-IT"/>
        </w:rPr>
        <w:t>à</w:t>
      </w:r>
      <w:r>
        <w:rPr>
          <w:rFonts w:ascii="Book Antiqua"/>
          <w:color w:val="262626"/>
          <w:sz w:val="20"/>
          <w:szCs w:val="20"/>
          <w:u w:color="163291"/>
          <w:rtl w:val="0"/>
          <w:lang w:val="it-IT"/>
        </w:rPr>
        <w:t>, nel senso che sia in termini di competenze specifiche che in termini di esperienze c'</w:t>
      </w:r>
      <w:r>
        <w:rPr>
          <w:rFonts w:hAnsi="Book Antiqua" w:hint="default"/>
          <w:color w:val="262626"/>
          <w:sz w:val="20"/>
          <w:szCs w:val="20"/>
          <w:u w:color="163291"/>
          <w:rtl w:val="0"/>
          <w:lang w:val="it-IT"/>
        </w:rPr>
        <w:t xml:space="preserve">è </w:t>
      </w:r>
      <w:r>
        <w:rPr>
          <w:rFonts w:ascii="Book Antiqua"/>
          <w:color w:val="262626"/>
          <w:sz w:val="20"/>
          <w:szCs w:val="20"/>
          <w:u w:color="163291"/>
          <w:rtl w:val="0"/>
          <w:lang w:val="it-IT"/>
        </w:rPr>
        <w:t xml:space="preserve">uno scambio.  Per il momento, nel corso della nostra storia, questo scambio non si </w:t>
      </w:r>
      <w:r>
        <w:rPr>
          <w:rFonts w:hAnsi="Book Antiqua" w:hint="default"/>
          <w:color w:val="262626"/>
          <w:sz w:val="20"/>
          <w:szCs w:val="20"/>
          <w:u w:color="163291"/>
          <w:rtl w:val="0"/>
          <w:lang w:val="it-IT"/>
        </w:rPr>
        <w:t xml:space="preserve">è </w:t>
      </w:r>
      <w:r>
        <w:rPr>
          <w:rFonts w:ascii="Book Antiqua"/>
          <w:color w:val="262626"/>
          <w:sz w:val="20"/>
          <w:szCs w:val="20"/>
          <w:u w:color="163291"/>
          <w:rtl w:val="0"/>
          <w:lang w:val="it-IT"/>
        </w:rPr>
        <w:t xml:space="preserve">mai tradotto in </w:t>
      </w:r>
      <w:r>
        <w:rPr>
          <w:rFonts w:ascii="Book Antiqua"/>
          <w:i w:val="1"/>
          <w:iCs w:val="1"/>
          <w:color w:val="262626"/>
          <w:sz w:val="20"/>
          <w:szCs w:val="20"/>
          <w:u w:color="163291"/>
          <w:rtl w:val="0"/>
          <w:lang w:val="it-IT"/>
        </w:rPr>
        <w:t>partnership</w:t>
      </w:r>
      <w:r>
        <w:rPr>
          <w:rFonts w:hAnsi="Book Antiqua" w:hint="default"/>
          <w:color w:val="262626"/>
          <w:sz w:val="20"/>
          <w:szCs w:val="20"/>
          <w:u w:color="163291"/>
          <w:rtl w:val="0"/>
          <w:lang w:val="it-IT"/>
        </w:rPr>
        <w:t xml:space="preserve"> – </w:t>
      </w:r>
      <w:r>
        <w:rPr>
          <w:rFonts w:ascii="Book Antiqua"/>
          <w:color w:val="262626"/>
          <w:sz w:val="20"/>
          <w:szCs w:val="20"/>
          <w:u w:color="163291"/>
          <w:rtl w:val="0"/>
          <w:lang w:val="it-IT"/>
        </w:rPr>
        <w:t xml:space="preserve">mi riferisco all'acqua e ai rifiuti </w:t>
      </w:r>
      <w:r>
        <w:rPr>
          <w:rFonts w:hAnsi="Book Antiqua" w:hint="default"/>
          <w:color w:val="262626"/>
          <w:sz w:val="20"/>
          <w:szCs w:val="20"/>
          <w:u w:color="163291"/>
          <w:rtl w:val="0"/>
          <w:lang w:val="it-IT"/>
        </w:rPr>
        <w:t xml:space="preserve">– </w:t>
      </w:r>
      <w:r>
        <w:rPr>
          <w:rFonts w:ascii="Book Antiqua"/>
          <w:color w:val="262626"/>
          <w:sz w:val="20"/>
          <w:szCs w:val="20"/>
          <w:u w:color="163291"/>
          <w:rtl w:val="0"/>
          <w:lang w:val="it-IT"/>
        </w:rPr>
        <w:t>di natura industriale, cio</w:t>
      </w:r>
      <w:r>
        <w:rPr>
          <w:rFonts w:hAnsi="Book Antiqua" w:hint="default"/>
          <w:color w:val="262626"/>
          <w:sz w:val="20"/>
          <w:szCs w:val="20"/>
          <w:u w:color="163291"/>
          <w:rtl w:val="0"/>
          <w:lang w:val="it-IT"/>
        </w:rPr>
        <w:t xml:space="preserve">è </w:t>
      </w:r>
      <w:r>
        <w:rPr>
          <w:rFonts w:ascii="Book Antiqua"/>
          <w:color w:val="262626"/>
          <w:sz w:val="20"/>
          <w:szCs w:val="20"/>
          <w:u w:color="163291"/>
          <w:rtl w:val="0"/>
          <w:lang w:val="it-IT"/>
        </w:rPr>
        <w:t>non abbiamo mai fatto attivit</w:t>
      </w:r>
      <w:r>
        <w:rPr>
          <w:rFonts w:hAnsi="Book Antiqua" w:hint="default"/>
          <w:color w:val="262626"/>
          <w:sz w:val="20"/>
          <w:szCs w:val="20"/>
          <w:u w:color="163291"/>
          <w:rtl w:val="0"/>
          <w:lang w:val="it-IT"/>
        </w:rPr>
        <w:t xml:space="preserve">à </w:t>
      </w:r>
      <w:r>
        <w:rPr>
          <w:rFonts w:ascii="Book Antiqua"/>
          <w:color w:val="262626"/>
          <w:sz w:val="20"/>
          <w:szCs w:val="20"/>
          <w:u w:color="163291"/>
          <w:rtl w:val="0"/>
          <w:lang w:val="it-IT"/>
        </w:rPr>
        <w:t xml:space="preserve">comuni, se non partecipazioni in veicoli societari di natura finanziaria da parte loro. Pertanto, non abbiamo delle vere e proprie </w:t>
      </w:r>
      <w:r>
        <w:rPr>
          <w:rFonts w:ascii="Book Antiqua"/>
          <w:i w:val="1"/>
          <w:iCs w:val="1"/>
          <w:color w:val="262626"/>
          <w:sz w:val="20"/>
          <w:szCs w:val="20"/>
          <w:u w:color="163291"/>
          <w:rtl w:val="0"/>
          <w:lang w:val="it-IT"/>
        </w:rPr>
        <w:t>partnership</w:t>
      </w:r>
      <w:r>
        <w:rPr>
          <w:rFonts w:ascii="Book Antiqua"/>
          <w:color w:val="262626"/>
          <w:sz w:val="20"/>
          <w:szCs w:val="20"/>
          <w:u w:color="163291"/>
          <w:rtl w:val="0"/>
          <w:lang w:val="it-IT"/>
        </w:rPr>
        <w:t xml:space="preserve"> industriali. Tuttavia, nel settore dei rifiuti la loro esperienza pu</w:t>
      </w:r>
      <w:r>
        <w:rPr>
          <w:rFonts w:hAnsi="Book Antiqua" w:hint="default"/>
          <w:color w:val="262626"/>
          <w:sz w:val="20"/>
          <w:szCs w:val="20"/>
          <w:u w:color="163291"/>
          <w:rtl w:val="0"/>
          <w:lang w:val="it-IT"/>
        </w:rPr>
        <w:t xml:space="preserve">ò </w:t>
      </w:r>
      <w:r>
        <w:rPr>
          <w:rFonts w:ascii="Book Antiqua"/>
          <w:color w:val="262626"/>
          <w:sz w:val="20"/>
          <w:szCs w:val="20"/>
          <w:u w:color="163291"/>
          <w:rtl w:val="0"/>
          <w:lang w:val="it-IT"/>
        </w:rPr>
        <w:t>tornare utile ad ACEA. In qualche occasione ci sono scambi proficui gi</w:t>
      </w:r>
      <w:r>
        <w:rPr>
          <w:rFonts w:hAnsi="Book Antiqua" w:hint="default"/>
          <w:color w:val="262626"/>
          <w:sz w:val="20"/>
          <w:szCs w:val="20"/>
          <w:u w:color="163291"/>
          <w:rtl w:val="0"/>
          <w:lang w:val="it-IT"/>
        </w:rPr>
        <w:t xml:space="preserve">à </w:t>
      </w:r>
      <w:r>
        <w:rPr>
          <w:rFonts w:ascii="Book Antiqua"/>
          <w:color w:val="262626"/>
          <w:sz w:val="20"/>
          <w:szCs w:val="20"/>
          <w:u w:color="163291"/>
          <w:rtl w:val="0"/>
          <w:lang w:val="it-IT"/>
        </w:rPr>
        <w:t xml:space="preserve">in corso e questo vale anche per loro. D'altra parte </w:t>
      </w:r>
      <w:r>
        <w:rPr>
          <w:rFonts w:hAnsi="Book Antiqua" w:hint="default"/>
          <w:color w:val="262626"/>
          <w:sz w:val="20"/>
          <w:szCs w:val="20"/>
          <w:u w:color="163291"/>
          <w:rtl w:val="0"/>
          <w:lang w:val="it-IT"/>
        </w:rPr>
        <w:t xml:space="preserve">– </w:t>
      </w:r>
      <w:r>
        <w:rPr>
          <w:rFonts w:ascii="Book Antiqua"/>
          <w:color w:val="262626"/>
          <w:sz w:val="20"/>
          <w:szCs w:val="20"/>
          <w:u w:color="163291"/>
          <w:rtl w:val="0"/>
          <w:lang w:val="it-IT"/>
        </w:rPr>
        <w:t xml:space="preserve">faccio una considerazione banale </w:t>
      </w:r>
      <w:r>
        <w:rPr>
          <w:rFonts w:hAnsi="Book Antiqua" w:hint="default"/>
          <w:color w:val="262626"/>
          <w:sz w:val="20"/>
          <w:szCs w:val="20"/>
          <w:u w:color="163291"/>
          <w:rtl w:val="0"/>
          <w:lang w:val="it-IT"/>
        </w:rPr>
        <w:t xml:space="preserve">– </w:t>
      </w:r>
      <w:r>
        <w:rPr>
          <w:rFonts w:ascii="Book Antiqua"/>
          <w:color w:val="262626"/>
          <w:sz w:val="20"/>
          <w:szCs w:val="20"/>
          <w:u w:color="163291"/>
          <w:rtl w:val="0"/>
          <w:lang w:val="it-IT"/>
        </w:rPr>
        <w:t xml:space="preserve">considerato il livello di capitale investito di Suez in ACEA, </w:t>
      </w:r>
      <w:r>
        <w:rPr>
          <w:rFonts w:hAnsi="Book Antiqua" w:hint="default"/>
          <w:color w:val="262626"/>
          <w:sz w:val="20"/>
          <w:szCs w:val="20"/>
          <w:u w:color="163291"/>
          <w:rtl w:val="0"/>
          <w:lang w:val="it-IT"/>
        </w:rPr>
        <w:t xml:space="preserve">è </w:t>
      </w:r>
      <w:r>
        <w:rPr>
          <w:rFonts w:ascii="Book Antiqua"/>
          <w:color w:val="262626"/>
          <w:sz w:val="20"/>
          <w:szCs w:val="20"/>
          <w:u w:color="163291"/>
          <w:rtl w:val="0"/>
          <w:lang w:val="it-IT"/>
        </w:rPr>
        <w:t>ragionevole ritenere che le strategie industriali di Suez in Italia debbano passare attraverso ACEA Spa. Sarebbe irragionevole allocare tanto capitale in ACEA e poi agire indipendentemente</w:t>
      </w:r>
      <w:r>
        <w:rPr>
          <w:rFonts w:hAnsi="Book Antiqua" w:hint="default"/>
          <w:color w:val="262626"/>
          <w:sz w:val="20"/>
          <w:szCs w:val="20"/>
          <w:u w:color="163291"/>
          <w:rtl w:val="0"/>
          <w:lang w:val="it-IT"/>
        </w:rPr>
        <w:t>”</w:t>
      </w:r>
    </w:p>
  </w:footnote>
  <w:footnote w:id="160">
    <w:p>
      <w:pPr>
        <w:pStyle w:val="footnote text"/>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w:t>
      </w:r>
      <w:hyperlink r:id="rId36" w:history="1">
        <w:r>
          <w:rPr>
            <w:rStyle w:val="Hyperlink.2"/>
            <w:rFonts w:ascii="Book Antiqua"/>
            <w:sz w:val="20"/>
            <w:szCs w:val="20"/>
            <w:rtl w:val="0"/>
            <w:lang w:val="it-IT"/>
          </w:rPr>
          <w:t>http://www.camera.it/temiap/t/news/post-OCD15-51552</w:t>
        </w:r>
      </w:hyperlink>
      <w:r>
        <w:rPr>
          <w:rFonts w:ascii="Book Antiqua"/>
          <w:sz w:val="20"/>
          <w:szCs w:val="20"/>
          <w:rtl w:val="0"/>
          <w:lang w:val="it-IT"/>
        </w:rPr>
        <w:t xml:space="preserve"> </w:t>
      </w:r>
    </w:p>
  </w:footnote>
  <w:footnote w:id="161">
    <w:p>
      <w:pPr>
        <w:pStyle w:val="footnote text"/>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Decreto-legge 12 settembre 2014, n. 133 (Misure urgenti per l</w:t>
      </w:r>
      <w:r>
        <w:rPr>
          <w:rFonts w:hAnsi="Book Antiqua" w:hint="default"/>
          <w:sz w:val="20"/>
          <w:szCs w:val="20"/>
          <w:rtl w:val="0"/>
          <w:lang w:val="it-IT"/>
        </w:rPr>
        <w:t>’</w:t>
      </w:r>
      <w:r>
        <w:rPr>
          <w:rFonts w:ascii="Book Antiqua"/>
          <w:sz w:val="20"/>
          <w:szCs w:val="20"/>
          <w:rtl w:val="0"/>
          <w:lang w:val="it-IT"/>
        </w:rPr>
        <w:t>apertura dei cantieri, la realizzazione delle opere pubbliche, la digitalizzazione del Paese, la semplificazione burocratica, l</w:t>
      </w:r>
      <w:r>
        <w:rPr>
          <w:rFonts w:hAnsi="Book Antiqua" w:hint="default"/>
          <w:sz w:val="20"/>
          <w:szCs w:val="20"/>
          <w:rtl w:val="0"/>
          <w:lang w:val="it-IT"/>
        </w:rPr>
        <w:t>’</w:t>
      </w:r>
      <w:r>
        <w:rPr>
          <w:rFonts w:ascii="Book Antiqua"/>
          <w:sz w:val="20"/>
          <w:szCs w:val="20"/>
          <w:rtl w:val="0"/>
          <w:lang w:val="it-IT"/>
        </w:rPr>
        <w:t>emergenza del dissesto idrogeologico e per la ripresa delle attivit</w:t>
      </w:r>
      <w:r>
        <w:rPr>
          <w:rFonts w:hAnsi="Book Antiqua" w:hint="default"/>
          <w:sz w:val="20"/>
          <w:szCs w:val="20"/>
          <w:rtl w:val="0"/>
          <w:lang w:val="it-IT"/>
        </w:rPr>
        <w:t xml:space="preserve">à </w:t>
      </w:r>
      <w:r>
        <w:rPr>
          <w:rFonts w:ascii="Book Antiqua"/>
          <w:sz w:val="20"/>
          <w:szCs w:val="20"/>
          <w:rtl w:val="0"/>
          <w:lang w:val="it-IT"/>
        </w:rPr>
        <w:t>produttive), convertito, con modificazioni, in legge 11 novembre 2014, n. 164</w:t>
      </w:r>
    </w:p>
  </w:footnote>
  <w:footnote w:id="162">
    <w:p>
      <w:pPr>
        <w:pStyle w:val="footnote text"/>
        <w:ind w:left="567" w:right="567" w:firstLine="0"/>
      </w:pPr>
      <w:r>
        <w:rPr>
          <w:rFonts w:ascii="Book Antiqua" w:cs="Book Antiqua" w:hAnsi="Book Antiqua" w:eastAsia="Book Antiqua"/>
          <w:vertAlign w:val="superscript"/>
          <w:rtl w:val="0"/>
        </w:rPr>
        <w:footnoteRef/>
      </w:r>
      <w:r>
        <w:rPr>
          <w:rFonts w:ascii="Book Antiqua"/>
          <w:sz w:val="20"/>
          <w:szCs w:val="20"/>
          <w:rtl w:val="0"/>
          <w:lang w:val="it-IT"/>
        </w:rPr>
        <w:t xml:space="preserve"> </w:t>
      </w:r>
      <w:hyperlink r:id="rId37" w:history="1">
        <w:r>
          <w:rPr>
            <w:rStyle w:val="Hyperlink.2"/>
            <w:rFonts w:ascii="Book Antiqua"/>
            <w:sz w:val="20"/>
            <w:szCs w:val="20"/>
            <w:rtl w:val="0"/>
            <w:lang w:val="it-IT"/>
          </w:rPr>
          <w:t>http://www.regione.lazio.it/binary/rl_main/tbl_documenti/RIF_DGR_199_24_04_2016.pdf</w:t>
        </w:r>
      </w:hyperlink>
      <w:r>
        <w:rPr>
          <w:rFonts w:ascii="Book Antiqua"/>
          <w:sz w:val="20"/>
          <w:szCs w:val="20"/>
          <w:rtl w:val="0"/>
          <w:lang w:val="it-IT"/>
        </w:rPr>
        <w:t xml:space="preserve"> </w:t>
      </w:r>
    </w:p>
  </w:footnote>
  <w:footnote w:id="163">
    <w:p>
      <w:pPr>
        <w:pStyle w:val="footnote text"/>
        <w:ind w:left="567" w:right="567" w:firstLine="0"/>
      </w:pPr>
      <w:r>
        <w:rPr>
          <w:rFonts w:ascii="Book Antiqua" w:cs="Book Antiqua" w:hAnsi="Book Antiqua" w:eastAsia="Book Antiqua"/>
          <w:vertAlign w:val="superscript"/>
          <w:rtl w:val="0"/>
        </w:rPr>
        <w:footnoteRef/>
      </w:r>
      <w:r>
        <w:rPr>
          <w:rFonts w:ascii="Book Antiqua"/>
          <w:sz w:val="20"/>
          <w:szCs w:val="20"/>
          <w:rtl w:val="0"/>
          <w:lang w:val="it-IT"/>
        </w:rPr>
        <w:t xml:space="preserve"> </w:t>
      </w:r>
      <w:hyperlink r:id="rId38" w:history="1">
        <w:r>
          <w:rPr>
            <w:rStyle w:val="Hyperlink.2"/>
            <w:rFonts w:ascii="Book Antiqua"/>
            <w:sz w:val="20"/>
            <w:szCs w:val="20"/>
            <w:rtl w:val="0"/>
            <w:lang w:val="it-IT"/>
          </w:rPr>
          <w:t>http://www.regione.lazio.it/binary/rl_main/tbl_documenti/RIF_DGR_199_24_04_2016_ALL1.pdf</w:t>
        </w:r>
      </w:hyperlink>
      <w:r>
        <w:rPr>
          <w:rFonts w:ascii="Book Antiqua"/>
          <w:sz w:val="20"/>
          <w:szCs w:val="20"/>
          <w:rtl w:val="0"/>
          <w:lang w:val="it-IT"/>
        </w:rPr>
        <w:t xml:space="preserve"> </w:t>
      </w:r>
    </w:p>
  </w:footnote>
  <w:footnote w:id="164">
    <w:p>
      <w:pPr>
        <w:pStyle w:val="footnote text"/>
        <w:ind w:left="567" w:right="567" w:firstLine="0"/>
        <w:jc w:val="both"/>
      </w:pPr>
      <w:r>
        <w:rPr>
          <w:rFonts w:ascii="Book Antiqua" w:cs="Book Antiqua" w:hAnsi="Book Antiqua" w:eastAsia="Book Antiqua"/>
          <w:color w:val="262626"/>
          <w:u w:color="163291"/>
          <w:vertAlign w:val="superscript"/>
          <w:rtl w:val="0"/>
        </w:rPr>
        <w:footnoteRef/>
      </w:r>
      <w:r>
        <w:rPr>
          <w:rFonts w:ascii="Book Antiqua"/>
          <w:sz w:val="20"/>
          <w:szCs w:val="20"/>
          <w:rtl w:val="0"/>
          <w:lang w:val="it-IT"/>
        </w:rPr>
        <w:t xml:space="preserve"> </w:t>
      </w:r>
      <w:r>
        <w:rPr>
          <w:rFonts w:ascii="Book Antiqua"/>
          <w:color w:val="262626"/>
          <w:sz w:val="20"/>
          <w:szCs w:val="20"/>
          <w:u w:color="163291"/>
          <w:rtl w:val="0"/>
          <w:lang w:val="it-IT"/>
        </w:rPr>
        <w:t xml:space="preserve">Non comprende le affermazioni sulla bonifica di Malagrotta, inseite nel successivo </w:t>
      </w:r>
      <w:r>
        <w:rPr>
          <w:rFonts w:hAnsi="Book Antiqua" w:hint="default"/>
          <w:color w:val="262626"/>
          <w:sz w:val="20"/>
          <w:szCs w:val="20"/>
          <w:u w:color="163291"/>
          <w:rtl w:val="0"/>
          <w:lang w:val="it-IT"/>
        </w:rPr>
        <w:t xml:space="preserve">§ </w:t>
      </w:r>
      <w:r>
        <w:rPr>
          <w:rFonts w:ascii="Book Antiqua"/>
          <w:color w:val="262626"/>
          <w:sz w:val="20"/>
          <w:szCs w:val="20"/>
          <w:u w:color="163291"/>
          <w:rtl w:val="0"/>
          <w:lang w:val="it-IT"/>
        </w:rPr>
        <w:t xml:space="preserve">3.3.3 e quelle sulla discarica di Borgo Montello, inserite nel successivo </w:t>
      </w:r>
      <w:r>
        <w:rPr>
          <w:rFonts w:hAnsi="Book Antiqua" w:hint="default"/>
          <w:color w:val="262626"/>
          <w:sz w:val="20"/>
          <w:szCs w:val="20"/>
          <w:u w:color="163291"/>
          <w:rtl w:val="0"/>
          <w:lang w:val="it-IT"/>
        </w:rPr>
        <w:t xml:space="preserve">§ </w:t>
      </w:r>
      <w:r>
        <w:rPr>
          <w:rFonts w:ascii="Book Antiqua"/>
          <w:color w:val="262626"/>
          <w:sz w:val="20"/>
          <w:szCs w:val="20"/>
          <w:u w:color="163291"/>
          <w:rtl w:val="0"/>
          <w:lang w:val="it-IT"/>
        </w:rPr>
        <w:t>6.6.1</w:t>
      </w:r>
    </w:p>
  </w:footnote>
  <w:footnote w:id="165">
    <w:p>
      <w:pPr>
        <w:pStyle w:val="footnote text"/>
        <w:ind w:left="567" w:right="567" w:firstLine="0"/>
        <w:jc w:val="both"/>
      </w:pPr>
      <w:r>
        <w:rPr>
          <w:rFonts w:ascii="Book Antiqua" w:cs="Book Antiqua" w:hAnsi="Book Antiqua" w:eastAsia="Book Antiqua"/>
          <w:color w:val="262626"/>
          <w:u w:color="262626"/>
          <w:vertAlign w:val="superscript"/>
          <w:rtl w:val="0"/>
        </w:rPr>
        <w:footnoteRef/>
      </w:r>
      <w:r>
        <w:rPr>
          <w:rFonts w:ascii="Book Antiqua"/>
          <w:sz w:val="20"/>
          <w:szCs w:val="20"/>
          <w:vertAlign w:val="superscript"/>
          <w:rtl w:val="0"/>
          <w:lang w:val="it-IT"/>
        </w:rPr>
        <w:t xml:space="preserve"> </w:t>
      </w:r>
      <w:r>
        <w:rPr>
          <w:rFonts w:ascii="Book Antiqua"/>
          <w:sz w:val="20"/>
          <w:szCs w:val="20"/>
          <w:rtl w:val="0"/>
          <w:lang w:val="it-IT"/>
        </w:rPr>
        <w:t xml:space="preserve">Nel </w:t>
      </w:r>
      <w:r>
        <w:rPr>
          <w:rFonts w:hAnsi="Book Antiqua" w:hint="default"/>
          <w:sz w:val="20"/>
          <w:szCs w:val="20"/>
          <w:rtl w:val="0"/>
          <w:lang w:val="it-IT"/>
        </w:rPr>
        <w:t xml:space="preserve">§ </w:t>
      </w:r>
      <w:r>
        <w:rPr>
          <w:rFonts w:ascii="Book Antiqua"/>
          <w:sz w:val="20"/>
          <w:szCs w:val="20"/>
          <w:rtl w:val="0"/>
          <w:lang w:val="it-IT"/>
        </w:rPr>
        <w:t xml:space="preserve">2.2.2.6 si </w:t>
      </w:r>
      <w:r>
        <w:rPr>
          <w:rFonts w:hAnsi="Book Antiqua" w:hint="default"/>
          <w:sz w:val="20"/>
          <w:szCs w:val="20"/>
          <w:rtl w:val="0"/>
          <w:lang w:val="it-IT"/>
        </w:rPr>
        <w:t xml:space="preserve">è </w:t>
      </w:r>
      <w:r>
        <w:rPr>
          <w:rFonts w:ascii="Book Antiqua"/>
          <w:sz w:val="20"/>
          <w:szCs w:val="20"/>
          <w:rtl w:val="0"/>
          <w:lang w:val="it-IT"/>
        </w:rPr>
        <w:t>riferito quanto documentato da AMA sui siti per i quali aveva presentato dei progetti (Doc. n. 1429/5), peraltro ancora lontani dalla fase realizzativa</w:t>
      </w:r>
    </w:p>
  </w:footnote>
  <w:footnote w:id="166">
    <w:p>
      <w:pPr>
        <w:pStyle w:val="footnote text"/>
        <w:ind w:left="567" w:right="567" w:firstLine="0"/>
        <w:jc w:val="both"/>
      </w:pPr>
      <w:r>
        <w:rPr>
          <w:rFonts w:ascii="Book Antiqua" w:cs="Book Antiqua" w:hAnsi="Book Antiqua" w:eastAsia="Book Antiqua"/>
          <w:color w:val="262626"/>
          <w:u w:color="262626"/>
          <w:vertAlign w:val="superscript"/>
          <w:rtl w:val="0"/>
        </w:rPr>
        <w:footnoteRef/>
      </w:r>
      <w:r>
        <w:rPr>
          <w:rFonts w:ascii="Book Antiqua"/>
          <w:sz w:val="20"/>
          <w:szCs w:val="20"/>
          <w:rtl w:val="0"/>
          <w:lang w:val="it-IT"/>
        </w:rPr>
        <w:t xml:space="preserve"> Se ne </w:t>
      </w:r>
      <w:r>
        <w:rPr>
          <w:rFonts w:hAnsi="Book Antiqua" w:hint="default"/>
          <w:sz w:val="20"/>
          <w:szCs w:val="20"/>
          <w:rtl w:val="0"/>
          <w:lang w:val="it-IT"/>
        </w:rPr>
        <w:t xml:space="preserve">è </w:t>
      </w:r>
      <w:r>
        <w:rPr>
          <w:rFonts w:ascii="Book Antiqua"/>
          <w:sz w:val="20"/>
          <w:szCs w:val="20"/>
          <w:rtl w:val="0"/>
          <w:lang w:val="it-IT"/>
        </w:rPr>
        <w:t xml:space="preserve">dato conto nel </w:t>
      </w:r>
      <w:r>
        <w:rPr>
          <w:rFonts w:hAnsi="Book Antiqua" w:hint="default"/>
          <w:sz w:val="20"/>
          <w:szCs w:val="20"/>
          <w:rtl w:val="0"/>
          <w:lang w:val="it-IT"/>
        </w:rPr>
        <w:t xml:space="preserve">§ </w:t>
      </w:r>
      <w:r>
        <w:rPr>
          <w:rFonts w:ascii="Book Antiqua"/>
          <w:sz w:val="20"/>
          <w:szCs w:val="20"/>
          <w:rtl w:val="0"/>
          <w:lang w:val="it-IT"/>
        </w:rPr>
        <w:t>2.2.2.8</w:t>
      </w:r>
    </w:p>
  </w:footnote>
  <w:footnote w:id="167">
    <w:p>
      <w:pPr>
        <w:pStyle w:val="footnote text"/>
        <w:ind w:left="567" w:right="567" w:firstLine="0"/>
        <w:jc w:val="both"/>
      </w:pPr>
      <w:r>
        <w:rPr>
          <w:rFonts w:ascii="Book Antiqua" w:cs="Book Antiqua" w:hAnsi="Book Antiqua" w:eastAsia="Book Antiqua"/>
          <w:color w:val="000000"/>
          <w:u w:color="000000"/>
          <w:vertAlign w:val="superscript"/>
          <w:rtl w:val="0"/>
        </w:rPr>
        <w:footnoteRef/>
      </w:r>
      <w:r>
        <w:rPr>
          <w:rFonts w:ascii="Book Antiqua"/>
          <w:sz w:val="20"/>
          <w:szCs w:val="20"/>
          <w:rtl w:val="0"/>
          <w:lang w:val="it-IT"/>
        </w:rPr>
        <w:t xml:space="preserve"> Nell</w:t>
      </w:r>
      <w:r>
        <w:rPr>
          <w:rFonts w:hAnsi="Book Antiqua" w:hint="default"/>
          <w:sz w:val="20"/>
          <w:szCs w:val="20"/>
          <w:rtl w:val="0"/>
          <w:lang w:val="it-IT"/>
        </w:rPr>
        <w:t>’</w:t>
      </w:r>
      <w:r>
        <w:rPr>
          <w:rFonts w:ascii="Book Antiqua"/>
          <w:sz w:val="20"/>
          <w:szCs w:val="20"/>
          <w:rtl w:val="0"/>
          <w:lang w:val="it-IT"/>
        </w:rPr>
        <w:t xml:space="preserve">audizione davanti alla Commissione del 31 gennaio 2017, il direttore generale di AMA S.p.A. affermava: </w:t>
      </w:r>
      <w:r>
        <w:rPr>
          <w:rFonts w:hAnsi="Book Antiqua" w:hint="default"/>
          <w:sz w:val="20"/>
          <w:szCs w:val="20"/>
          <w:rtl w:val="0"/>
          <w:lang w:val="it-IT"/>
        </w:rPr>
        <w:t>“</w:t>
      </w:r>
      <w:r>
        <w:rPr>
          <w:rFonts w:ascii="Book Antiqua"/>
          <w:color w:val="262626"/>
          <w:sz w:val="20"/>
          <w:szCs w:val="20"/>
          <w:u w:color="262626"/>
          <w:rtl w:val="0"/>
          <w:lang w:val="it-IT"/>
        </w:rPr>
        <w:t>prevediamo di eliminare completamente il trattamento di rifiuti presso l'impianto di via Salaria, cos</w:t>
      </w:r>
      <w:r>
        <w:rPr>
          <w:rFonts w:hAnsi="Book Antiqua" w:hint="default"/>
          <w:color w:val="262626"/>
          <w:sz w:val="20"/>
          <w:szCs w:val="20"/>
          <w:u w:color="262626"/>
          <w:rtl w:val="0"/>
          <w:lang w:val="it-IT"/>
        </w:rPr>
        <w:t xml:space="preserve">ì </w:t>
      </w:r>
      <w:r>
        <w:rPr>
          <w:rFonts w:ascii="Book Antiqua"/>
          <w:color w:val="262626"/>
          <w:sz w:val="20"/>
          <w:szCs w:val="20"/>
          <w:u w:color="262626"/>
          <w:rtl w:val="0"/>
          <w:lang w:val="it-IT"/>
        </w:rPr>
        <w:t>che quest'impianto possa essere recuperato ad altri utilizzi, per esempio a una centrale di riuso o di recupero di materia invece di rifiuti</w:t>
      </w:r>
      <w:r>
        <w:rPr>
          <w:rFonts w:hAnsi="Book Antiqua" w:hint="default"/>
          <w:color w:val="262626"/>
          <w:sz w:val="20"/>
          <w:szCs w:val="20"/>
          <w:u w:color="262626"/>
          <w:rtl w:val="0"/>
          <w:lang w:val="it-IT"/>
        </w:rPr>
        <w:t>”</w:t>
      </w:r>
    </w:p>
  </w:footnote>
  <w:footnote w:id="168">
    <w:p>
      <w:pPr>
        <w:pStyle w:val="footnote text"/>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La procura della Repubblica di Roma ha fornito alla Commissione una serie importante di atti giudiziari, classificati come Doc. n. 2232/1-27 (procedimento  carico di Carmelina Scaglione); 2233/1-8 (Manlio Cerroni, Francesco Rando, Carmelina Scaglione, E. Giovi s.r.l.): 2234/1-5  (discarica di Malagrotta); 2235/1-11 (E. Giovi s.r.l., Malagrotta); 2236/1-2 (Paola Muraro, TMB AMA); 2237/1-2 (Ponte Malnome); 2238/1-2 (stabilimento BASF);  2239/1-6 (ENEL Civitavecchia); 2240/1-4 (Francesco Rando e altri); 2241/1-5 (Cooperative sociale abbigliamento e altri), citati nell</w:t>
      </w:r>
      <w:r>
        <w:rPr>
          <w:rFonts w:hAnsi="Book Antiqua" w:hint="default"/>
          <w:sz w:val="20"/>
          <w:szCs w:val="20"/>
          <w:rtl w:val="0"/>
          <w:lang w:val="it-IT"/>
        </w:rPr>
        <w:t>’</w:t>
      </w:r>
      <w:r>
        <w:rPr>
          <w:rFonts w:ascii="Book Antiqua"/>
          <w:sz w:val="20"/>
          <w:szCs w:val="20"/>
          <w:rtl w:val="0"/>
          <w:lang w:val="it-IT"/>
        </w:rPr>
        <w:t>ambito della relazione con riferimento a singoli argomenti..</w:t>
      </w:r>
    </w:p>
  </w:footnote>
  <w:footnote w:id="169">
    <w:p>
      <w:pPr>
        <w:pStyle w:val="footnote text"/>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Si veda la nota del procuratore aggiunto, Nunzia D</w:t>
      </w:r>
      <w:r>
        <w:rPr>
          <w:rFonts w:hAnsi="Book Antiqua" w:hint="default"/>
          <w:sz w:val="20"/>
          <w:szCs w:val="20"/>
          <w:rtl w:val="0"/>
          <w:lang w:val="it-IT"/>
        </w:rPr>
        <w:t>’</w:t>
      </w:r>
      <w:r>
        <w:rPr>
          <w:rFonts w:ascii="Book Antiqua"/>
          <w:sz w:val="20"/>
          <w:szCs w:val="20"/>
          <w:rtl w:val="0"/>
          <w:lang w:val="it-IT"/>
        </w:rPr>
        <w:t>Elia, acqusita come Doc. n. 2240/1</w:t>
      </w:r>
    </w:p>
  </w:footnote>
  <w:footnote w:id="170">
    <w:p>
      <w:pPr>
        <w:pStyle w:val="Normal"/>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Si veda la relazione sulla verifica dell</w:t>
      </w:r>
      <w:r>
        <w:rPr>
          <w:rFonts w:hAnsi="Book Antiqua" w:hint="default"/>
          <w:sz w:val="20"/>
          <w:szCs w:val="20"/>
          <w:rtl w:val="0"/>
          <w:lang w:val="it-IT"/>
        </w:rPr>
        <w:t>’</w:t>
      </w:r>
      <w:r>
        <w:rPr>
          <w:rFonts w:ascii="Book Antiqua"/>
          <w:sz w:val="20"/>
          <w:szCs w:val="20"/>
          <w:rtl w:val="0"/>
          <w:lang w:val="it-IT"/>
        </w:rPr>
        <w:t>attuazione della legge 22 maggio 2015, n. 68, in materia di delitti contro l</w:t>
      </w:r>
      <w:r>
        <w:rPr>
          <w:rFonts w:hAnsi="Book Antiqua" w:hint="default"/>
          <w:sz w:val="20"/>
          <w:szCs w:val="20"/>
          <w:rtl w:val="0"/>
          <w:lang w:val="it-IT"/>
        </w:rPr>
        <w:t>’</w:t>
      </w:r>
      <w:r>
        <w:rPr>
          <w:rFonts w:ascii="Book Antiqua"/>
          <w:sz w:val="20"/>
          <w:szCs w:val="20"/>
          <w:rtl w:val="0"/>
          <w:lang w:val="it-IT"/>
        </w:rPr>
        <w:t>ambiente, approvata dalla Commissione il 23 febbraio 2017</w:t>
      </w:r>
    </w:p>
  </w:footnote>
  <w:footnote w:id="171">
    <w:p>
      <w:pPr>
        <w:pStyle w:val="Normal"/>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Significativo il riferimento alla situazione del NOE Carabinieri di Roma </w:t>
      </w:r>
      <w:r>
        <w:rPr>
          <w:rFonts w:hAnsi="Book Antiqua" w:hint="default"/>
          <w:sz w:val="20"/>
          <w:szCs w:val="20"/>
          <w:rtl w:val="0"/>
          <w:lang w:val="it-IT"/>
        </w:rPr>
        <w:t>“</w:t>
      </w:r>
      <w:r>
        <w:rPr>
          <w:rFonts w:ascii="Book Antiqua"/>
          <w:sz w:val="20"/>
          <w:szCs w:val="20"/>
          <w:rtl w:val="0"/>
          <w:lang w:val="it-IT"/>
        </w:rPr>
        <w:t>costituito da 14 militari che devono soddisfare le deleghe di ben nove Procure ordinarie, della Direzione Distrettuale Antimafia e talvolta della Procura Regionale della Corte dei Conti</w:t>
      </w:r>
      <w:r>
        <w:rPr>
          <w:rFonts w:hAnsi="Book Antiqua" w:hint="default"/>
          <w:sz w:val="20"/>
          <w:szCs w:val="20"/>
          <w:rtl w:val="0"/>
          <w:lang w:val="it-IT"/>
        </w:rPr>
        <w:t>“</w:t>
      </w:r>
    </w:p>
  </w:footnote>
  <w:footnote w:id="172">
    <w:p>
      <w:pPr>
        <w:pStyle w:val="footnote text"/>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Ne corso dell</w:t>
      </w:r>
      <w:r>
        <w:rPr>
          <w:rFonts w:hAnsi="Book Antiqua" w:hint="default"/>
          <w:sz w:val="20"/>
          <w:szCs w:val="20"/>
          <w:rtl w:val="0"/>
          <w:lang w:val="it-IT"/>
        </w:rPr>
        <w:t>’</w:t>
      </w:r>
      <w:r>
        <w:rPr>
          <w:rFonts w:ascii="Book Antiqua"/>
          <w:sz w:val="20"/>
          <w:szCs w:val="20"/>
          <w:rtl w:val="0"/>
          <w:lang w:val="it-IT"/>
        </w:rPr>
        <w:t>audizione del 17 ottobre 2017, il vicecomandante del corpo di polizia locale di Roma Capitale, Antonio Di Maggio, ha confermato un</w:t>
      </w:r>
      <w:r>
        <w:rPr>
          <w:rFonts w:hAnsi="Book Antiqua" w:hint="default"/>
          <w:sz w:val="20"/>
          <w:szCs w:val="20"/>
          <w:rtl w:val="0"/>
          <w:lang w:val="it-IT"/>
        </w:rPr>
        <w:t>’</w:t>
      </w:r>
      <w:r>
        <w:rPr>
          <w:rFonts w:ascii="Book Antiqua"/>
          <w:sz w:val="20"/>
          <w:szCs w:val="20"/>
          <w:rtl w:val="0"/>
          <w:lang w:val="it-IT"/>
        </w:rPr>
        <w:t xml:space="preserve">intensificata azione in questo campo: </w:t>
      </w:r>
      <w:r>
        <w:rPr>
          <w:rFonts w:hAnsi="Book Antiqua" w:hint="default"/>
          <w:sz w:val="20"/>
          <w:szCs w:val="20"/>
          <w:rtl w:val="0"/>
          <w:lang w:val="it-IT"/>
        </w:rPr>
        <w:t>“</w:t>
      </w:r>
      <w:r>
        <w:rPr>
          <w:rFonts w:ascii="Book Antiqua"/>
          <w:sz w:val="20"/>
          <w:szCs w:val="20"/>
          <w:rtl w:val="0"/>
          <w:lang w:val="it-IT"/>
        </w:rPr>
        <w:t xml:space="preserve">Da una parte, quindi, si </w:t>
      </w:r>
      <w:r>
        <w:rPr>
          <w:rFonts w:hAnsi="Book Antiqua" w:hint="default"/>
          <w:sz w:val="20"/>
          <w:szCs w:val="20"/>
          <w:rtl w:val="0"/>
          <w:lang w:val="it-IT"/>
        </w:rPr>
        <w:t xml:space="preserve">è </w:t>
      </w:r>
      <w:r>
        <w:rPr>
          <w:rFonts w:ascii="Book Antiqua"/>
          <w:sz w:val="20"/>
          <w:szCs w:val="20"/>
          <w:rtl w:val="0"/>
          <w:lang w:val="it-IT"/>
        </w:rPr>
        <w:t>tentato di bloccare il conferimento di questi rifiuti presso gli autodemolitori attraverso il sequestro di numerosi furgoni, tutti di propriet</w:t>
      </w:r>
      <w:r>
        <w:rPr>
          <w:rFonts w:hAnsi="Book Antiqua" w:hint="default"/>
          <w:sz w:val="20"/>
          <w:szCs w:val="20"/>
          <w:rtl w:val="0"/>
          <w:lang w:val="it-IT"/>
        </w:rPr>
        <w:t xml:space="preserve">à </w:t>
      </w:r>
      <w:r>
        <w:rPr>
          <w:rFonts w:ascii="Book Antiqua"/>
          <w:sz w:val="20"/>
          <w:szCs w:val="20"/>
          <w:rtl w:val="0"/>
          <w:lang w:val="it-IT"/>
        </w:rPr>
        <w:t>di questi soggetti (ne abbiamo sequestrati circa 130 fino a oggi); dall</w:t>
      </w:r>
      <w:r>
        <w:rPr>
          <w:rFonts w:hAnsi="Book Antiqua" w:hint="default"/>
          <w:sz w:val="20"/>
          <w:szCs w:val="20"/>
          <w:rtl w:val="0"/>
          <w:lang w:val="it-IT"/>
        </w:rPr>
        <w:t>’</w:t>
      </w:r>
      <w:r>
        <w:rPr>
          <w:rFonts w:ascii="Book Antiqua"/>
          <w:sz w:val="20"/>
          <w:szCs w:val="20"/>
          <w:rtl w:val="0"/>
          <w:lang w:val="it-IT"/>
        </w:rPr>
        <w:t>altra, abbiamo poi sequestrato fino ad oggi circa quindici autodemolitori e rottamatori, ma sono alla nostra attenzione in via prioritaria anche una ventina di impianti, sui quali stiamo lavorando sia da soli, sia in co-delega con altre forze di polizia, in particolare con l</w:t>
      </w:r>
      <w:r>
        <w:rPr>
          <w:rFonts w:hAnsi="Book Antiqua" w:hint="default"/>
          <w:sz w:val="20"/>
          <w:szCs w:val="20"/>
          <w:rtl w:val="0"/>
          <w:lang w:val="it-IT"/>
        </w:rPr>
        <w:t>’</w:t>
      </w:r>
      <w:r>
        <w:rPr>
          <w:rFonts w:ascii="Book Antiqua"/>
          <w:sz w:val="20"/>
          <w:szCs w:val="20"/>
          <w:rtl w:val="0"/>
          <w:lang w:val="it-IT"/>
        </w:rPr>
        <w:t>ausilio dei carabinieri forestali</w:t>
      </w:r>
      <w:r>
        <w:rPr>
          <w:rFonts w:hAnsi="Book Antiqua" w:hint="default"/>
          <w:sz w:val="20"/>
          <w:szCs w:val="20"/>
          <w:rtl w:val="0"/>
          <w:lang w:val="it-IT"/>
        </w:rPr>
        <w:t>”</w:t>
      </w:r>
    </w:p>
  </w:footnote>
  <w:footnote w:id="173">
    <w:p>
      <w:pPr>
        <w:pStyle w:val="footnote text"/>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Sono stati acquisiti dall</w:t>
      </w:r>
      <w:r>
        <w:rPr>
          <w:rFonts w:hAnsi="Book Antiqua" w:hint="default"/>
          <w:sz w:val="20"/>
          <w:szCs w:val="20"/>
          <w:rtl w:val="0"/>
          <w:lang w:val="it-IT"/>
        </w:rPr>
        <w:t>’</w:t>
      </w:r>
      <w:r>
        <w:rPr>
          <w:rFonts w:ascii="Book Antiqua"/>
          <w:sz w:val="20"/>
          <w:szCs w:val="20"/>
          <w:rtl w:val="0"/>
          <w:lang w:val="it-IT"/>
        </w:rPr>
        <w:t>Associazione nazionale demolitori autoveicoli il Doc. n. 2439/1  e dalla Confederazione autodemolitori riuniti il Doc. n. 2438/1.</w:t>
      </w:r>
    </w:p>
  </w:footnote>
  <w:footnote w:id="174">
    <w:p>
      <w:pPr>
        <w:pStyle w:val="footnote text"/>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Accompagnata da Antonio Di Maggio, vicecomandante del Corpo di polizia locale di Roma Capitale, da Pasquale Libero Pelusi, direttore del dipartimento tutela ambientale di Roma Capitale, da Nello Cesarini, funzionario delegato alle attivit</w:t>
      </w:r>
      <w:r>
        <w:rPr>
          <w:rFonts w:hAnsi="Book Antiqua" w:hint="default"/>
          <w:sz w:val="20"/>
          <w:szCs w:val="20"/>
          <w:rtl w:val="0"/>
          <w:lang w:val="it-IT"/>
        </w:rPr>
        <w:t xml:space="preserve">à </w:t>
      </w:r>
      <w:r>
        <w:rPr>
          <w:rFonts w:ascii="Book Antiqua"/>
          <w:sz w:val="20"/>
          <w:szCs w:val="20"/>
          <w:rtl w:val="0"/>
          <w:lang w:val="it-IT"/>
        </w:rPr>
        <w:t>di controllo e verifica degli aspetti ambientali della polizia locale di Roma Capitale e da Stefano Cicerani, collaboratore di staff dell'assessorato alla sostenibilit</w:t>
      </w:r>
      <w:r>
        <w:rPr>
          <w:rFonts w:hAnsi="Book Antiqua" w:hint="default"/>
          <w:sz w:val="20"/>
          <w:szCs w:val="20"/>
          <w:rtl w:val="0"/>
          <w:lang w:val="it-IT"/>
        </w:rPr>
        <w:t xml:space="preserve">à </w:t>
      </w:r>
      <w:r>
        <w:rPr>
          <w:rFonts w:ascii="Book Antiqua"/>
          <w:sz w:val="20"/>
          <w:szCs w:val="20"/>
          <w:rtl w:val="0"/>
          <w:lang w:val="it-IT"/>
        </w:rPr>
        <w:t>ambientale di Roma Capitale.</w:t>
      </w:r>
    </w:p>
  </w:footnote>
  <w:footnote w:id="175">
    <w:p>
      <w:pPr>
        <w:pStyle w:val="footnote text"/>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Come ha precisato, a domanda della Commissione, Libero Pelusi, direttore del dipartimento tutela ambientale di Roma Capitale, questo tipo di documento </w:t>
      </w:r>
      <w:r>
        <w:rPr>
          <w:rFonts w:hAnsi="Book Antiqua" w:hint="default"/>
          <w:sz w:val="20"/>
          <w:szCs w:val="20"/>
          <w:rtl w:val="0"/>
          <w:lang w:val="it-IT"/>
        </w:rPr>
        <w:t>“</w:t>
      </w:r>
      <w:r>
        <w:rPr>
          <w:rFonts w:ascii="Book Antiqua"/>
          <w:sz w:val="20"/>
          <w:szCs w:val="20"/>
          <w:rtl w:val="0"/>
          <w:lang w:val="it-IT"/>
        </w:rPr>
        <w:t xml:space="preserve">contiene soltanto delle indicazioni direttive nei confronti della struttura amministrativa, che deve poi trasformarli in una determinazione dirigenziale o in una delibera di giunta. </w:t>
      </w:r>
      <w:r>
        <w:rPr>
          <w:rFonts w:hAnsi="Book Antiqua" w:hint="default"/>
          <w:sz w:val="20"/>
          <w:szCs w:val="20"/>
          <w:rtl w:val="0"/>
          <w:lang w:val="it-IT"/>
        </w:rPr>
        <w:t xml:space="preserve">È </w:t>
      </w:r>
      <w:r>
        <w:rPr>
          <w:rFonts w:ascii="Book Antiqua"/>
          <w:sz w:val="20"/>
          <w:szCs w:val="20"/>
          <w:rtl w:val="0"/>
          <w:lang w:val="it-IT"/>
        </w:rPr>
        <w:t>soltanto un documento, non di valenza amministrativa ma politica, che deve tradursi in un provvedimento amministrativo</w:t>
      </w:r>
      <w:r>
        <w:rPr>
          <w:rFonts w:hAnsi="Book Antiqua" w:hint="default"/>
          <w:sz w:val="20"/>
          <w:szCs w:val="20"/>
          <w:rtl w:val="0"/>
          <w:lang w:val="it-IT"/>
        </w:rPr>
        <w:t>”</w:t>
      </w:r>
      <w:r>
        <w:rPr>
          <w:rFonts w:ascii="Book Antiqua"/>
          <w:sz w:val="20"/>
          <w:szCs w:val="20"/>
          <w:rtl w:val="0"/>
          <w:lang w:val="it-IT"/>
        </w:rPr>
        <w:t>.</w:t>
      </w:r>
    </w:p>
  </w:footnote>
  <w:footnote w:id="176">
    <w:p>
      <w:pPr>
        <w:pStyle w:val="Normal"/>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Come riferito dall</w:t>
      </w:r>
      <w:r>
        <w:rPr>
          <w:rFonts w:hAnsi="Book Antiqua" w:hint="default"/>
          <w:sz w:val="20"/>
          <w:szCs w:val="20"/>
          <w:rtl w:val="0"/>
          <w:lang w:val="it-IT"/>
        </w:rPr>
        <w:t>’</w:t>
      </w:r>
      <w:r>
        <w:rPr>
          <w:rFonts w:ascii="Book Antiqua"/>
          <w:sz w:val="20"/>
          <w:szCs w:val="20"/>
          <w:rtl w:val="0"/>
          <w:lang w:val="it-IT"/>
        </w:rPr>
        <w:t xml:space="preserve">assessore </w:t>
      </w:r>
      <w:r>
        <w:rPr>
          <w:rFonts w:hAnsi="Book Antiqua" w:hint="default"/>
          <w:sz w:val="20"/>
          <w:szCs w:val="20"/>
          <w:rtl w:val="0"/>
          <w:lang w:val="it-IT"/>
        </w:rPr>
        <w:t>“</w:t>
      </w:r>
      <w:r>
        <w:rPr>
          <w:rFonts w:ascii="Book Antiqua"/>
          <w:sz w:val="20"/>
          <w:szCs w:val="20"/>
          <w:rtl w:val="0"/>
          <w:lang w:val="it-IT"/>
        </w:rPr>
        <w:t>in particolare - e qui c</w:t>
      </w:r>
      <w:r>
        <w:rPr>
          <w:rFonts w:hAnsi="Book Antiqua" w:hint="default"/>
          <w:sz w:val="20"/>
          <w:szCs w:val="20"/>
          <w:rtl w:val="0"/>
          <w:lang w:val="it-IT"/>
        </w:rPr>
        <w:t xml:space="preserve">’è </w:t>
      </w:r>
      <w:r>
        <w:rPr>
          <w:rFonts w:ascii="Book Antiqua"/>
          <w:sz w:val="20"/>
          <w:szCs w:val="20"/>
          <w:rtl w:val="0"/>
          <w:lang w:val="it-IT"/>
        </w:rPr>
        <w:t>l</w:t>
      </w:r>
      <w:r>
        <w:rPr>
          <w:rFonts w:hAnsi="Book Antiqua" w:hint="default"/>
          <w:sz w:val="20"/>
          <w:szCs w:val="20"/>
          <w:rtl w:val="0"/>
          <w:lang w:val="it-IT"/>
        </w:rPr>
        <w:t>’</w:t>
      </w:r>
      <w:r>
        <w:rPr>
          <w:rFonts w:ascii="Book Antiqua"/>
          <w:sz w:val="20"/>
          <w:szCs w:val="20"/>
          <w:rtl w:val="0"/>
          <w:lang w:val="it-IT"/>
        </w:rPr>
        <w:t>elemento di novit</w:t>
      </w:r>
      <w:r>
        <w:rPr>
          <w:rFonts w:hAnsi="Book Antiqua" w:hint="default"/>
          <w:sz w:val="20"/>
          <w:szCs w:val="20"/>
          <w:rtl w:val="0"/>
          <w:lang w:val="it-IT"/>
        </w:rPr>
        <w:t xml:space="preserve">à </w:t>
      </w:r>
      <w:r>
        <w:rPr>
          <w:rFonts w:ascii="Book Antiqua"/>
          <w:sz w:val="20"/>
          <w:szCs w:val="20"/>
          <w:rtl w:val="0"/>
          <w:lang w:val="it-IT"/>
        </w:rPr>
        <w:t>che aiuta il meccanismo del monitoraggio e del controllo di queste attivit</w:t>
      </w:r>
      <w:r>
        <w:rPr>
          <w:rFonts w:hAnsi="Book Antiqua" w:hint="default"/>
          <w:sz w:val="20"/>
          <w:szCs w:val="20"/>
          <w:rtl w:val="0"/>
          <w:lang w:val="it-IT"/>
        </w:rPr>
        <w:t xml:space="preserve">à </w:t>
      </w:r>
      <w:r>
        <w:rPr>
          <w:rFonts w:ascii="Book Antiqua"/>
          <w:sz w:val="20"/>
          <w:szCs w:val="20"/>
          <w:rtl w:val="0"/>
          <w:lang w:val="it-IT"/>
        </w:rPr>
        <w:t>- le autorizzazioni, anche provvisorie, attualmente vigenti all</w:t>
      </w:r>
      <w:r>
        <w:rPr>
          <w:rFonts w:hAnsi="Book Antiqua" w:hint="default"/>
          <w:sz w:val="20"/>
          <w:szCs w:val="20"/>
          <w:rtl w:val="0"/>
          <w:lang w:val="it-IT"/>
        </w:rPr>
        <w:t>’</w:t>
      </w:r>
      <w:r>
        <w:rPr>
          <w:rFonts w:ascii="Book Antiqua"/>
          <w:sz w:val="20"/>
          <w:szCs w:val="20"/>
          <w:rtl w:val="0"/>
          <w:lang w:val="it-IT"/>
        </w:rPr>
        <w:t>esercizio di attivit</w:t>
      </w:r>
      <w:r>
        <w:rPr>
          <w:rFonts w:hAnsi="Book Antiqua" w:hint="default"/>
          <w:sz w:val="20"/>
          <w:szCs w:val="20"/>
          <w:rtl w:val="0"/>
          <w:lang w:val="it-IT"/>
        </w:rPr>
        <w:t xml:space="preserve">à </w:t>
      </w:r>
      <w:r>
        <w:rPr>
          <w:rFonts w:ascii="Book Antiqua"/>
          <w:sz w:val="20"/>
          <w:szCs w:val="20"/>
          <w:rtl w:val="0"/>
          <w:lang w:val="it-IT"/>
        </w:rPr>
        <w:t>di autodemolizione e rottamazione devono sostanzialmente recepire la normativa di settore in materia di tutela dell</w:t>
      </w:r>
      <w:r>
        <w:rPr>
          <w:rFonts w:hAnsi="Book Antiqua" w:hint="default"/>
          <w:sz w:val="20"/>
          <w:szCs w:val="20"/>
          <w:rtl w:val="0"/>
          <w:lang w:val="it-IT"/>
        </w:rPr>
        <w:t>’</w:t>
      </w:r>
      <w:r>
        <w:rPr>
          <w:rFonts w:ascii="Book Antiqua"/>
          <w:sz w:val="20"/>
          <w:szCs w:val="20"/>
          <w:rtl w:val="0"/>
          <w:lang w:val="it-IT"/>
        </w:rPr>
        <w:t>ambiente e salute pubblica, nonch</w:t>
      </w:r>
      <w:r>
        <w:rPr>
          <w:rFonts w:hAnsi="Book Antiqua" w:hint="default"/>
          <w:sz w:val="20"/>
          <w:szCs w:val="20"/>
          <w:rtl w:val="0"/>
          <w:lang w:val="it-IT"/>
        </w:rPr>
        <w:t xml:space="preserve">é </w:t>
      </w:r>
      <w:r>
        <w:rPr>
          <w:rFonts w:ascii="Book Antiqua"/>
          <w:sz w:val="20"/>
          <w:szCs w:val="20"/>
          <w:rtl w:val="0"/>
          <w:lang w:val="it-IT"/>
        </w:rPr>
        <w:t xml:space="preserve">in materia di prevenzione incendi e sicurezza sui luoghi di lavoro, contemplando specifiche disposizioni in ordine a cinque aspetti.  Questi aspetti sono: le tipologie di rifiuti che le singole aziende sono autorizzate a gestire con la loro classificazione mediante i codici; i quantitativi di rifiuti autorizzati, per cui, dopo questa memoria, </w:t>
      </w:r>
      <w:r>
        <w:rPr>
          <w:rFonts w:hAnsi="Book Antiqua" w:hint="default"/>
          <w:sz w:val="20"/>
          <w:szCs w:val="20"/>
          <w:rtl w:val="0"/>
          <w:lang w:val="it-IT"/>
        </w:rPr>
        <w:t xml:space="preserve">è </w:t>
      </w:r>
      <w:r>
        <w:rPr>
          <w:rFonts w:ascii="Book Antiqua"/>
          <w:sz w:val="20"/>
          <w:szCs w:val="20"/>
          <w:rtl w:val="0"/>
          <w:lang w:val="it-IT"/>
        </w:rPr>
        <w:t>possibile effettuare il controllo anche sulla base di queste indicazioni; le operazioni di trattamento autorizzate sui rifiuti; l</w:t>
      </w:r>
      <w:r>
        <w:rPr>
          <w:rFonts w:hAnsi="Book Antiqua" w:hint="default"/>
          <w:sz w:val="20"/>
          <w:szCs w:val="20"/>
          <w:rtl w:val="0"/>
          <w:lang w:val="it-IT"/>
        </w:rPr>
        <w:t>’</w:t>
      </w:r>
      <w:r>
        <w:rPr>
          <w:rFonts w:ascii="Book Antiqua"/>
          <w:sz w:val="20"/>
          <w:szCs w:val="20"/>
          <w:rtl w:val="0"/>
          <w:lang w:val="it-IT"/>
        </w:rPr>
        <w:t>elenco dei macchinari presenti nell</w:t>
      </w:r>
      <w:r>
        <w:rPr>
          <w:rFonts w:hAnsi="Book Antiqua" w:hint="default"/>
          <w:sz w:val="20"/>
          <w:szCs w:val="20"/>
          <w:rtl w:val="0"/>
          <w:lang w:val="it-IT"/>
        </w:rPr>
        <w:t>’</w:t>
      </w:r>
      <w:r>
        <w:rPr>
          <w:rFonts w:ascii="Book Antiqua"/>
          <w:sz w:val="20"/>
          <w:szCs w:val="20"/>
          <w:rtl w:val="0"/>
          <w:lang w:val="it-IT"/>
        </w:rPr>
        <w:t>impianto; la superficie dell</w:t>
      </w:r>
      <w:r>
        <w:rPr>
          <w:rFonts w:hAnsi="Book Antiqua" w:hint="default"/>
          <w:sz w:val="20"/>
          <w:szCs w:val="20"/>
          <w:rtl w:val="0"/>
          <w:lang w:val="it-IT"/>
        </w:rPr>
        <w:t>’</w:t>
      </w:r>
      <w:r>
        <w:rPr>
          <w:rFonts w:ascii="Book Antiqua"/>
          <w:sz w:val="20"/>
          <w:szCs w:val="20"/>
          <w:rtl w:val="0"/>
          <w:lang w:val="it-IT"/>
        </w:rPr>
        <w:t>impianto interessata dalle attivit</w:t>
      </w:r>
      <w:r>
        <w:rPr>
          <w:rFonts w:hAnsi="Book Antiqua" w:hint="default"/>
          <w:sz w:val="20"/>
          <w:szCs w:val="20"/>
          <w:rtl w:val="0"/>
          <w:lang w:val="it-IT"/>
        </w:rPr>
        <w:t xml:space="preserve">à </w:t>
      </w:r>
      <w:r>
        <w:rPr>
          <w:rFonts w:ascii="Book Antiqua"/>
          <w:sz w:val="20"/>
          <w:szCs w:val="20"/>
          <w:rtl w:val="0"/>
          <w:lang w:val="it-IT"/>
        </w:rPr>
        <w:t>di gestione dei rifiuti e i dati catastali dell</w:t>
      </w:r>
      <w:r>
        <w:rPr>
          <w:rFonts w:hAnsi="Book Antiqua" w:hint="default"/>
          <w:sz w:val="20"/>
          <w:szCs w:val="20"/>
          <w:rtl w:val="0"/>
          <w:lang w:val="it-IT"/>
        </w:rPr>
        <w:t>’</w:t>
      </w:r>
      <w:r>
        <w:rPr>
          <w:rFonts w:ascii="Book Antiqua"/>
          <w:sz w:val="20"/>
          <w:szCs w:val="20"/>
          <w:rtl w:val="0"/>
          <w:lang w:val="it-IT"/>
        </w:rPr>
        <w:t>impianto. Si tratta di un controllo molto dettagliato, sulla base del quale anche la polizia municipale, che effettua le attivit</w:t>
      </w:r>
      <w:r>
        <w:rPr>
          <w:rFonts w:hAnsi="Book Antiqua" w:hint="default"/>
          <w:sz w:val="20"/>
          <w:szCs w:val="20"/>
          <w:rtl w:val="0"/>
          <w:lang w:val="it-IT"/>
        </w:rPr>
        <w:t xml:space="preserve">à </w:t>
      </w:r>
      <w:r>
        <w:rPr>
          <w:rFonts w:ascii="Book Antiqua"/>
          <w:sz w:val="20"/>
          <w:szCs w:val="20"/>
          <w:rtl w:val="0"/>
          <w:lang w:val="it-IT"/>
        </w:rPr>
        <w:t>di controllo, si pu</w:t>
      </w:r>
      <w:r>
        <w:rPr>
          <w:rFonts w:hAnsi="Book Antiqua" w:hint="default"/>
          <w:sz w:val="20"/>
          <w:szCs w:val="20"/>
          <w:rtl w:val="0"/>
          <w:lang w:val="it-IT"/>
        </w:rPr>
        <w:t xml:space="preserve">ò </w:t>
      </w:r>
      <w:r>
        <w:rPr>
          <w:rFonts w:ascii="Book Antiqua"/>
          <w:sz w:val="20"/>
          <w:szCs w:val="20"/>
          <w:rtl w:val="0"/>
          <w:lang w:val="it-IT"/>
        </w:rPr>
        <w:t>muovere. Quest</w:t>
      </w:r>
      <w:r>
        <w:rPr>
          <w:rFonts w:hAnsi="Book Antiqua" w:hint="default"/>
          <w:sz w:val="20"/>
          <w:szCs w:val="20"/>
          <w:rtl w:val="0"/>
          <w:lang w:val="it-IT"/>
        </w:rPr>
        <w:t>’</w:t>
      </w:r>
      <w:r>
        <w:rPr>
          <w:rFonts w:ascii="Book Antiqua"/>
          <w:sz w:val="20"/>
          <w:szCs w:val="20"/>
          <w:rtl w:val="0"/>
          <w:lang w:val="it-IT"/>
        </w:rPr>
        <w:t>approccio sta gi</w:t>
      </w:r>
      <w:r>
        <w:rPr>
          <w:rFonts w:hAnsi="Book Antiqua" w:hint="default"/>
          <w:sz w:val="20"/>
          <w:szCs w:val="20"/>
          <w:rtl w:val="0"/>
          <w:lang w:val="it-IT"/>
        </w:rPr>
        <w:t xml:space="preserve">à </w:t>
      </w:r>
      <w:r>
        <w:rPr>
          <w:rFonts w:ascii="Book Antiqua"/>
          <w:sz w:val="20"/>
          <w:szCs w:val="20"/>
          <w:rtl w:val="0"/>
          <w:lang w:val="it-IT"/>
        </w:rPr>
        <w:t>portando a qualche risultato significativo. Sulle procedure che invece riguardano le autorizzazioni, alla fine del 2016 le ditte autodemolitrici autorizzate erano 91, mentre al momento dei rinnovi delle proroghe, avvenuti in data 3 luglio 2017, il numero totale degli autodemolitori sul territorio cittadino era pari a 87 unit</w:t>
      </w:r>
      <w:r>
        <w:rPr>
          <w:rFonts w:hAnsi="Book Antiqua" w:hint="default"/>
          <w:sz w:val="20"/>
          <w:szCs w:val="20"/>
          <w:rtl w:val="0"/>
          <w:lang w:val="it-IT"/>
        </w:rPr>
        <w:t>à”</w:t>
      </w:r>
      <w:r>
        <w:rPr>
          <w:rFonts w:ascii="Book Antiqua"/>
          <w:sz w:val="20"/>
          <w:szCs w:val="20"/>
          <w:rtl w:val="0"/>
          <w:lang w:val="it-IT"/>
        </w:rPr>
        <w:t>.</w:t>
      </w:r>
    </w:p>
  </w:footnote>
  <w:footnote w:id="177">
    <w:p>
      <w:pPr>
        <w:pStyle w:val="footnote text"/>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A domanda della Commissione sui tempi della delocalizzazione, l</w:t>
      </w:r>
      <w:r>
        <w:rPr>
          <w:rFonts w:hAnsi="Book Antiqua" w:hint="default"/>
          <w:sz w:val="20"/>
          <w:szCs w:val="20"/>
          <w:rtl w:val="0"/>
          <w:lang w:val="it-IT"/>
        </w:rPr>
        <w:t>’</w:t>
      </w:r>
      <w:r>
        <w:rPr>
          <w:rFonts w:ascii="Book Antiqua"/>
          <w:sz w:val="20"/>
          <w:szCs w:val="20"/>
          <w:rtl w:val="0"/>
          <w:lang w:val="it-IT"/>
        </w:rPr>
        <w:t>assessora Montanari, che in precedenza aveva indicato come criterio prioritario quello dell</w:t>
      </w:r>
      <w:r>
        <w:rPr>
          <w:rFonts w:hAnsi="Book Antiqua" w:hint="default"/>
          <w:sz w:val="20"/>
          <w:szCs w:val="20"/>
          <w:rtl w:val="0"/>
          <w:lang w:val="it-IT"/>
        </w:rPr>
        <w:t>’</w:t>
      </w:r>
      <w:r>
        <w:rPr>
          <w:rFonts w:ascii="Book Antiqua"/>
          <w:sz w:val="20"/>
          <w:szCs w:val="20"/>
          <w:rtl w:val="0"/>
          <w:lang w:val="it-IT"/>
        </w:rPr>
        <w:t>uso di aree dismesse piuttosto che di nuovo suolo, ha detto,</w:t>
      </w:r>
      <w:r>
        <w:rPr>
          <w:rFonts w:hAnsi="Book Antiqua" w:hint="default"/>
          <w:sz w:val="20"/>
          <w:szCs w:val="20"/>
          <w:rtl w:val="0"/>
          <w:lang w:val="it-IT"/>
        </w:rPr>
        <w:t xml:space="preserve"> “</w:t>
      </w:r>
      <w:r>
        <w:rPr>
          <w:rFonts w:ascii="Book Antiqua"/>
          <w:sz w:val="20"/>
          <w:szCs w:val="20"/>
          <w:rtl w:val="0"/>
          <w:lang w:val="it-IT"/>
        </w:rPr>
        <w:t>mi riservo di ragionare anche con l</w:t>
      </w:r>
      <w:r>
        <w:rPr>
          <w:rFonts w:hAnsi="Book Antiqua" w:hint="default"/>
          <w:sz w:val="20"/>
          <w:szCs w:val="20"/>
          <w:rtl w:val="0"/>
          <w:lang w:val="it-IT"/>
        </w:rPr>
        <w:t>’</w:t>
      </w:r>
      <w:r>
        <w:rPr>
          <w:rFonts w:ascii="Book Antiqua"/>
          <w:sz w:val="20"/>
          <w:szCs w:val="20"/>
          <w:rtl w:val="0"/>
          <w:lang w:val="it-IT"/>
        </w:rPr>
        <w:t>assessore all</w:t>
      </w:r>
      <w:r>
        <w:rPr>
          <w:rFonts w:hAnsi="Book Antiqua" w:hint="default"/>
          <w:sz w:val="20"/>
          <w:szCs w:val="20"/>
          <w:rtl w:val="0"/>
          <w:lang w:val="it-IT"/>
        </w:rPr>
        <w:t>’</w:t>
      </w:r>
      <w:r>
        <w:rPr>
          <w:rFonts w:ascii="Book Antiqua"/>
          <w:sz w:val="20"/>
          <w:szCs w:val="20"/>
          <w:rtl w:val="0"/>
          <w:lang w:val="it-IT"/>
        </w:rPr>
        <w:t>urbanistica sulla tempistica. Vorremmo accelerare - giustamente - questo processo che per</w:t>
      </w:r>
      <w:r>
        <w:rPr>
          <w:rFonts w:hAnsi="Book Antiqua" w:hint="default"/>
          <w:sz w:val="20"/>
          <w:szCs w:val="20"/>
          <w:rtl w:val="0"/>
          <w:lang w:val="it-IT"/>
        </w:rPr>
        <w:t>ò</w:t>
      </w:r>
      <w:r>
        <w:rPr>
          <w:rFonts w:ascii="Book Antiqua"/>
          <w:sz w:val="20"/>
          <w:szCs w:val="20"/>
          <w:rtl w:val="0"/>
          <w:lang w:val="it-IT"/>
        </w:rPr>
        <w:t>, naturalmente, prevede soprattutto l</w:t>
      </w:r>
      <w:r>
        <w:rPr>
          <w:rFonts w:hAnsi="Book Antiqua" w:hint="default"/>
          <w:sz w:val="20"/>
          <w:szCs w:val="20"/>
          <w:rtl w:val="0"/>
          <w:lang w:val="it-IT"/>
        </w:rPr>
        <w:t>’</w:t>
      </w:r>
      <w:r>
        <w:rPr>
          <w:rFonts w:ascii="Book Antiqua"/>
          <w:sz w:val="20"/>
          <w:szCs w:val="20"/>
          <w:rtl w:val="0"/>
          <w:lang w:val="it-IT"/>
        </w:rPr>
        <w:t xml:space="preserve">individuazione di criteri. Il tema </w:t>
      </w:r>
      <w:r>
        <w:rPr>
          <w:rFonts w:hAnsi="Book Antiqua" w:hint="default"/>
          <w:sz w:val="20"/>
          <w:szCs w:val="20"/>
          <w:rtl w:val="0"/>
          <w:lang w:val="it-IT"/>
        </w:rPr>
        <w:t xml:space="preserve">– </w:t>
      </w:r>
      <w:r>
        <w:rPr>
          <w:rFonts w:ascii="Book Antiqua"/>
          <w:sz w:val="20"/>
          <w:szCs w:val="20"/>
          <w:rtl w:val="0"/>
          <w:lang w:val="it-IT"/>
        </w:rPr>
        <w:t xml:space="preserve">ne abbiamo parlato a fondo </w:t>
      </w:r>
      <w:r>
        <w:rPr>
          <w:rFonts w:hAnsi="Book Antiqua" w:hint="default"/>
          <w:sz w:val="20"/>
          <w:szCs w:val="20"/>
          <w:rtl w:val="0"/>
          <w:lang w:val="it-IT"/>
        </w:rPr>
        <w:t xml:space="preserve">– è </w:t>
      </w:r>
      <w:r>
        <w:rPr>
          <w:rFonts w:ascii="Book Antiqua"/>
          <w:sz w:val="20"/>
          <w:szCs w:val="20"/>
          <w:rtl w:val="0"/>
          <w:lang w:val="it-IT"/>
        </w:rPr>
        <w:t>quello dei criteri, magari anche volontari, in modo da procedere anche pi</w:t>
      </w:r>
      <w:r>
        <w:rPr>
          <w:rFonts w:hAnsi="Book Antiqua" w:hint="default"/>
          <w:sz w:val="20"/>
          <w:szCs w:val="20"/>
          <w:rtl w:val="0"/>
          <w:lang w:val="it-IT"/>
        </w:rPr>
        <w:t xml:space="preserve">ù </w:t>
      </w:r>
      <w:r>
        <w:rPr>
          <w:rFonts w:ascii="Book Antiqua"/>
          <w:sz w:val="20"/>
          <w:szCs w:val="20"/>
          <w:rtl w:val="0"/>
          <w:lang w:val="it-IT"/>
        </w:rPr>
        <w:t>rapidamente dove queste soluzioni possono essere facilmente indicate</w:t>
      </w:r>
      <w:r>
        <w:rPr>
          <w:rFonts w:hAnsi="Book Antiqua" w:hint="default"/>
          <w:sz w:val="20"/>
          <w:szCs w:val="20"/>
          <w:rtl w:val="0"/>
          <w:lang w:val="it-IT"/>
        </w:rPr>
        <w:t>”</w:t>
      </w:r>
    </w:p>
  </w:footnote>
  <w:footnote w:id="178">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pPr>
      <w:r>
        <w:rPr>
          <w:rFonts w:ascii="Book Antiqua" w:cs="Book Antiqua" w:hAnsi="Book Antiqua" w:eastAsia="Book Antiqua"/>
          <w:color w:val="000000"/>
          <w:u w:color="000000"/>
          <w:vertAlign w:val="superscript"/>
          <w:rtl w:val="0"/>
        </w:rPr>
        <w:footnoteRef/>
      </w:r>
      <w:r>
        <w:rPr>
          <w:rFonts w:ascii="Book Antiqua"/>
          <w:sz w:val="20"/>
          <w:szCs w:val="20"/>
          <w:rtl w:val="0"/>
          <w:lang w:val="it-IT"/>
        </w:rPr>
        <w:t xml:space="preserve"> </w:t>
      </w:r>
      <w:r>
        <w:rPr>
          <w:rFonts w:ascii="Book Antiqua"/>
          <w:color w:val="000000"/>
          <w:sz w:val="20"/>
          <w:szCs w:val="20"/>
          <w:u w:color="000000"/>
          <w:rtl w:val="0"/>
          <w:lang w:val="it-IT"/>
        </w:rPr>
        <w:t>Gli associati per delinquere erano identificati in: Massimo Carminati, Riccardo Brugia, Fabrizio Franco Testa, Salvatore Buzzi, Cristiano Guarnera, Giuseppe Ietto, Agostino Gaglianone, Franco Panzironi, Carlo Pucci, Riccardo Mancini, Fabio Gaudenzi, Roberto Lacopo, Matteo Calvio, Nadia Cerrito, Claudio Caldarelli, Carlo Maria Guarany, Alessandra Garrone, Paolo Di Ninno.</w:t>
      </w:r>
    </w:p>
  </w:footnote>
  <w:footnote w:id="179">
    <w:p>
      <w:pPr>
        <w:pStyle w:val="Normal"/>
        <w:shd w:val="clear" w:color="auto" w:fill="ffffff"/>
        <w:spacing w:before="2" w:after="2"/>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Massimo Carminati, nato a Milano, il 31.5.1958; Salvatore Buzzi, nato a Roma, il 15.11.1955; Mirko Coratti, nato a Roma, il 20.06.1973; Franco Figurelli, nato a Roma, il 7.01.1956; Paolo Di Ninno, nato a Roma, il 6.09.1962; Nadia Cerrito nata a Roma l</w:t>
      </w:r>
      <w:r>
        <w:rPr>
          <w:rFonts w:hAnsi="Book Antiqua" w:hint="default"/>
          <w:sz w:val="20"/>
          <w:szCs w:val="20"/>
          <w:rtl w:val="0"/>
          <w:lang w:val="it-IT"/>
        </w:rPr>
        <w:t>’</w:t>
      </w:r>
      <w:r>
        <w:rPr>
          <w:rFonts w:ascii="Book Antiqua"/>
          <w:sz w:val="20"/>
          <w:szCs w:val="20"/>
          <w:rtl w:val="0"/>
          <w:lang w:val="it-IT"/>
        </w:rPr>
        <w:t xml:space="preserve">11.09.1965; Alessandra Garrone, nata a Roma, il 22.07.1974; Claudio Bolla, nato a Buenos Aires (Argentina), il 15.05.1962 </w:t>
      </w:r>
    </w:p>
  </w:footnote>
  <w:footnote w:id="180">
    <w:p>
      <w:pPr>
        <w:pStyle w:val="footnote text"/>
        <w:ind w:left="567" w:right="567" w:firstLine="0"/>
        <w:jc w:val="both"/>
      </w:pPr>
      <w:r>
        <w:rPr>
          <w:rFonts w:ascii="Book Antiqua" w:cs="Book Antiqua" w:hAnsi="Book Antiqua" w:eastAsia="Book Antiqua"/>
          <w:color w:val="000000"/>
          <w:u w:color="000000"/>
          <w:vertAlign w:val="superscript"/>
          <w:rtl w:val="0"/>
        </w:rPr>
        <w:footnoteRef/>
      </w:r>
      <w:r>
        <w:rPr>
          <w:rFonts w:ascii="Book Antiqua"/>
          <w:sz w:val="20"/>
          <w:szCs w:val="20"/>
          <w:rtl w:val="0"/>
          <w:lang w:val="it-IT"/>
        </w:rPr>
        <w:t xml:space="preserve"> Tribunale di Roma, Sez. X in composizione collegiale, sentenza n. 11730 del 20 luglio </w:t>
      </w:r>
      <w:r>
        <w:rPr>
          <w:rFonts w:hAnsi="Book Antiqua" w:hint="default"/>
          <w:sz w:val="20"/>
          <w:szCs w:val="20"/>
          <w:rtl w:val="0"/>
          <w:lang w:val="it-IT"/>
        </w:rPr>
        <w:t xml:space="preserve">– </w:t>
      </w:r>
      <w:r>
        <w:rPr>
          <w:rFonts w:ascii="Book Antiqua"/>
          <w:sz w:val="20"/>
          <w:szCs w:val="20"/>
          <w:rtl w:val="0"/>
          <w:lang w:val="it-IT"/>
        </w:rPr>
        <w:t>16 ottobre 2017</w:t>
      </w:r>
    </w:p>
  </w:footnote>
  <w:footnote w:id="181">
    <w:p>
      <w:pPr>
        <w:pStyle w:val="Normal"/>
        <w:widowControl w:val="0"/>
        <w:tabs>
          <w:tab w:val="left" w:pos="709"/>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0"/>
          <w:szCs w:val="20"/>
          <w:u w:color="000000"/>
        </w:rPr>
      </w:pPr>
      <w:r>
        <w:rPr>
          <w:rFonts w:ascii="Book Antiqua" w:cs="Book Antiqua" w:hAnsi="Book Antiqua" w:eastAsia="Book Antiqua"/>
          <w:color w:val="000000"/>
          <w:u w:color="000000"/>
          <w:vertAlign w:val="superscript"/>
          <w:rtl w:val="0"/>
        </w:rPr>
        <w:footnoteRef/>
      </w:r>
      <w:r>
        <w:rPr>
          <w:rFonts w:ascii="Book Antiqua"/>
          <w:sz w:val="20"/>
          <w:szCs w:val="20"/>
          <w:rtl w:val="0"/>
          <w:lang w:val="it-IT"/>
        </w:rPr>
        <w:t xml:space="preserve"> </w:t>
      </w:r>
      <w:r>
        <w:rPr>
          <w:rFonts w:ascii="Book Antiqua"/>
          <w:color w:val="000000"/>
          <w:sz w:val="20"/>
          <w:szCs w:val="20"/>
          <w:u w:color="000000"/>
          <w:rtl w:val="0"/>
          <w:lang w:val="it-IT"/>
        </w:rPr>
        <w:t>Nell</w:t>
      </w:r>
      <w:r>
        <w:rPr>
          <w:rFonts w:hAnsi="Book Antiqua" w:hint="default"/>
          <w:color w:val="000000"/>
          <w:sz w:val="20"/>
          <w:szCs w:val="20"/>
          <w:u w:color="000000"/>
          <w:rtl w:val="0"/>
          <w:lang w:val="it-IT"/>
        </w:rPr>
        <w:t>’</w:t>
      </w:r>
      <w:r>
        <w:rPr>
          <w:rFonts w:ascii="Book Antiqua"/>
          <w:color w:val="000000"/>
          <w:sz w:val="20"/>
          <w:szCs w:val="20"/>
          <w:u w:color="000000"/>
          <w:rtl w:val="0"/>
          <w:lang w:val="it-IT"/>
        </w:rPr>
        <w:t xml:space="preserve">ordinanza cautelare </w:t>
      </w:r>
      <w:r>
        <w:rPr>
          <w:rFonts w:hAnsi="Book Antiqua" w:hint="default"/>
          <w:color w:val="000000"/>
          <w:sz w:val="20"/>
          <w:szCs w:val="20"/>
          <w:u w:color="000000"/>
          <w:rtl w:val="0"/>
          <w:lang w:val="it-IT"/>
        </w:rPr>
        <w:t xml:space="preserve">– </w:t>
      </w:r>
      <w:r>
        <w:rPr>
          <w:rFonts w:ascii="Book Antiqua"/>
          <w:color w:val="000000"/>
          <w:sz w:val="20"/>
          <w:szCs w:val="20"/>
          <w:u w:color="000000"/>
          <w:rtl w:val="0"/>
          <w:lang w:val="it-IT"/>
        </w:rPr>
        <w:t>che aveva recepito le prospettazioni accusatorie - si chiarisce che nel caso di specie, non pu</w:t>
      </w:r>
      <w:r>
        <w:rPr>
          <w:rFonts w:hAnsi="Book Antiqua" w:hint="default"/>
          <w:color w:val="000000"/>
          <w:sz w:val="20"/>
          <w:szCs w:val="20"/>
          <w:u w:color="000000"/>
          <w:rtl w:val="0"/>
          <w:lang w:val="it-IT"/>
        </w:rPr>
        <w:t xml:space="preserve">ò </w:t>
      </w:r>
      <w:r>
        <w:rPr>
          <w:rFonts w:ascii="Book Antiqua"/>
          <w:color w:val="000000"/>
          <w:sz w:val="20"/>
          <w:szCs w:val="20"/>
          <w:u w:color="000000"/>
          <w:rtl w:val="0"/>
          <w:lang w:val="it-IT"/>
        </w:rPr>
        <w:t>parlarsi n</w:t>
      </w:r>
      <w:r>
        <w:rPr>
          <w:rFonts w:hAnsi="Book Antiqua" w:hint="default"/>
          <w:color w:val="000000"/>
          <w:sz w:val="20"/>
          <w:szCs w:val="20"/>
          <w:u w:color="000000"/>
          <w:rtl w:val="0"/>
          <w:lang w:val="it-IT"/>
        </w:rPr>
        <w:t xml:space="preserve">é </w:t>
      </w:r>
      <w:r>
        <w:rPr>
          <w:rFonts w:ascii="Book Antiqua"/>
          <w:color w:val="000000"/>
          <w:sz w:val="20"/>
          <w:szCs w:val="20"/>
          <w:u w:color="000000"/>
          <w:rtl w:val="0"/>
          <w:lang w:val="it-IT"/>
        </w:rPr>
        <w:t>di delocalizzazione di organizzazione criminali tradizionali, n</w:t>
      </w:r>
      <w:r>
        <w:rPr>
          <w:rFonts w:hAnsi="Book Antiqua" w:hint="default"/>
          <w:color w:val="000000"/>
          <w:sz w:val="20"/>
          <w:szCs w:val="20"/>
          <w:u w:color="000000"/>
          <w:rtl w:val="0"/>
          <w:lang w:val="it-IT"/>
        </w:rPr>
        <w:t xml:space="preserve">é </w:t>
      </w:r>
      <w:r>
        <w:rPr>
          <w:rFonts w:ascii="Book Antiqua"/>
          <w:color w:val="000000"/>
          <w:sz w:val="20"/>
          <w:szCs w:val="20"/>
          <w:u w:color="000000"/>
          <w:rtl w:val="0"/>
          <w:lang w:val="it-IT"/>
        </w:rPr>
        <w:t xml:space="preserve">di cosiddette </w:t>
      </w:r>
      <w:r>
        <w:rPr>
          <w:rFonts w:hAnsi="Book Antiqua" w:hint="default"/>
          <w:color w:val="000000"/>
          <w:sz w:val="20"/>
          <w:szCs w:val="20"/>
          <w:u w:color="000000"/>
          <w:rtl w:val="0"/>
          <w:lang w:val="it-IT"/>
        </w:rPr>
        <w:t>“</w:t>
      </w:r>
      <w:r>
        <w:rPr>
          <w:rFonts w:ascii="Book Antiqua"/>
          <w:color w:val="000000"/>
          <w:sz w:val="20"/>
          <w:szCs w:val="20"/>
          <w:u w:color="000000"/>
          <w:rtl w:val="0"/>
          <w:lang w:val="it-IT"/>
        </w:rPr>
        <w:t>nuove mafie</w:t>
      </w:r>
      <w:r>
        <w:rPr>
          <w:rFonts w:hAnsi="Book Antiqua" w:hint="default"/>
          <w:color w:val="000000"/>
          <w:sz w:val="20"/>
          <w:szCs w:val="20"/>
          <w:u w:color="000000"/>
          <w:rtl w:val="0"/>
          <w:lang w:val="it-IT"/>
        </w:rPr>
        <w:t>”</w:t>
      </w:r>
      <w:r>
        <w:rPr>
          <w:rFonts w:ascii="Book Antiqua"/>
          <w:color w:val="000000"/>
          <w:sz w:val="20"/>
          <w:szCs w:val="20"/>
          <w:u w:color="000000"/>
          <w:rtl w:val="0"/>
          <w:lang w:val="it-IT"/>
        </w:rPr>
        <w:t>: l</w:t>
      </w:r>
      <w:r>
        <w:rPr>
          <w:rFonts w:hAnsi="Book Antiqua" w:hint="default"/>
          <w:color w:val="000000"/>
          <w:sz w:val="20"/>
          <w:szCs w:val="20"/>
          <w:u w:color="000000"/>
          <w:rtl w:val="0"/>
          <w:lang w:val="it-IT"/>
        </w:rPr>
        <w:t>’</w:t>
      </w:r>
      <w:r>
        <w:rPr>
          <w:rFonts w:ascii="Book Antiqua"/>
          <w:color w:val="000000"/>
          <w:sz w:val="20"/>
          <w:szCs w:val="20"/>
          <w:u w:color="000000"/>
          <w:rtl w:val="0"/>
          <w:lang w:val="it-IT"/>
        </w:rPr>
        <w:t xml:space="preserve">associazione denominata dagli inquirenti </w:t>
      </w:r>
      <w:r>
        <w:rPr>
          <w:rFonts w:ascii="Book Antiqua"/>
          <w:i w:val="1"/>
          <w:iCs w:val="1"/>
          <w:color w:val="000000"/>
          <w:sz w:val="20"/>
          <w:szCs w:val="20"/>
          <w:u w:color="000000"/>
          <w:rtl w:val="0"/>
          <w:lang w:val="it-IT"/>
        </w:rPr>
        <w:t>Mafia Capitale</w:t>
      </w:r>
      <w:r>
        <w:rPr>
          <w:rFonts w:ascii="Book Antiqua"/>
          <w:color w:val="000000"/>
          <w:sz w:val="20"/>
          <w:szCs w:val="20"/>
          <w:u w:color="000000"/>
          <w:rtl w:val="0"/>
          <w:lang w:val="it-IT"/>
        </w:rPr>
        <w:t>, ha caratteristiche specifiche che per</w:t>
      </w:r>
      <w:r>
        <w:rPr>
          <w:rFonts w:hAnsi="Book Antiqua" w:hint="default"/>
          <w:color w:val="000000"/>
          <w:sz w:val="20"/>
          <w:szCs w:val="20"/>
          <w:u w:color="000000"/>
          <w:rtl w:val="0"/>
          <w:lang w:val="it-IT"/>
        </w:rPr>
        <w:t xml:space="preserve">ò </w:t>
      </w:r>
      <w:r>
        <w:rPr>
          <w:rFonts w:ascii="Book Antiqua"/>
          <w:color w:val="000000"/>
          <w:sz w:val="20"/>
          <w:szCs w:val="20"/>
          <w:u w:color="000000"/>
          <w:rtl w:val="0"/>
          <w:lang w:val="it-IT"/>
        </w:rPr>
        <w:t>integrano la fattispecie dell</w:t>
      </w:r>
      <w:r>
        <w:rPr>
          <w:rFonts w:hAnsi="Book Antiqua" w:hint="default"/>
          <w:color w:val="000000"/>
          <w:sz w:val="20"/>
          <w:szCs w:val="20"/>
          <w:u w:color="000000"/>
          <w:rtl w:val="0"/>
          <w:lang w:val="it-IT"/>
        </w:rPr>
        <w:t>’</w:t>
      </w:r>
      <w:r>
        <w:rPr>
          <w:rFonts w:ascii="Book Antiqua"/>
          <w:color w:val="000000"/>
          <w:sz w:val="20"/>
          <w:szCs w:val="20"/>
          <w:u w:color="000000"/>
          <w:rtl w:val="0"/>
          <w:lang w:val="it-IT"/>
        </w:rPr>
        <w:t>articolo 416-bis c.pen., poich</w:t>
      </w:r>
      <w:r>
        <w:rPr>
          <w:rFonts w:hAnsi="Book Antiqua" w:hint="default"/>
          <w:color w:val="000000"/>
          <w:sz w:val="20"/>
          <w:szCs w:val="20"/>
          <w:u w:color="000000"/>
          <w:rtl w:val="0"/>
          <w:lang w:val="it-IT"/>
        </w:rPr>
        <w:t xml:space="preserve">é </w:t>
      </w:r>
      <w:r>
        <w:rPr>
          <w:rFonts w:ascii="Book Antiqua"/>
          <w:color w:val="000000"/>
          <w:sz w:val="20"/>
          <w:szCs w:val="20"/>
          <w:u w:color="000000"/>
          <w:rtl w:val="0"/>
          <w:lang w:val="it-IT"/>
        </w:rPr>
        <w:t>vi coesistono la forza di intimidazione, intesa quale capacit</w:t>
      </w:r>
      <w:r>
        <w:rPr>
          <w:rFonts w:hAnsi="Book Antiqua" w:hint="default"/>
          <w:color w:val="000000"/>
          <w:sz w:val="20"/>
          <w:szCs w:val="20"/>
          <w:u w:color="000000"/>
          <w:rtl w:val="0"/>
          <w:lang w:val="it-IT"/>
        </w:rPr>
        <w:t xml:space="preserve">à </w:t>
      </w:r>
      <w:r>
        <w:rPr>
          <w:rFonts w:ascii="Book Antiqua"/>
          <w:color w:val="000000"/>
          <w:sz w:val="20"/>
          <w:szCs w:val="20"/>
          <w:u w:color="000000"/>
          <w:rtl w:val="0"/>
          <w:lang w:val="it-IT"/>
        </w:rPr>
        <w:t>potenziale di sprigionare, per il solo fatto della sua esistenza, una carica intimidatrice idonea a suscitare soggezione nei confronti dei soggetti non facenti parte dell</w:t>
      </w:r>
      <w:r>
        <w:rPr>
          <w:rFonts w:hAnsi="Book Antiqua" w:hint="default"/>
          <w:color w:val="000000"/>
          <w:sz w:val="20"/>
          <w:szCs w:val="20"/>
          <w:u w:color="000000"/>
          <w:rtl w:val="0"/>
          <w:lang w:val="it-IT"/>
        </w:rPr>
        <w:t>’</w:t>
      </w:r>
      <w:r>
        <w:rPr>
          <w:rFonts w:ascii="Book Antiqua"/>
          <w:color w:val="000000"/>
          <w:sz w:val="20"/>
          <w:szCs w:val="20"/>
          <w:u w:color="000000"/>
          <w:rtl w:val="0"/>
          <w:lang w:val="it-IT"/>
        </w:rPr>
        <w:t>associazione, e l</w:t>
      </w:r>
      <w:r>
        <w:rPr>
          <w:rFonts w:hAnsi="Book Antiqua" w:hint="default"/>
          <w:color w:val="000000"/>
          <w:sz w:val="20"/>
          <w:szCs w:val="20"/>
          <w:u w:color="000000"/>
          <w:rtl w:val="0"/>
          <w:lang w:val="it-IT"/>
        </w:rPr>
        <w:t>’</w:t>
      </w:r>
      <w:r>
        <w:rPr>
          <w:rFonts w:ascii="Book Antiqua"/>
          <w:color w:val="000000"/>
          <w:sz w:val="20"/>
          <w:szCs w:val="20"/>
          <w:u w:color="000000"/>
          <w:rtl w:val="0"/>
          <w:lang w:val="it-IT"/>
        </w:rPr>
        <w:t>esteriorizzazione di questa forza intimidatrice in comportamenti minacciosi e violenti, concretatisi a volte in reati. Secondo gli inquirenti la forza d</w:t>
      </w:r>
      <w:r>
        <w:rPr>
          <w:rFonts w:hAnsi="Book Antiqua" w:hint="default"/>
          <w:color w:val="000000"/>
          <w:sz w:val="20"/>
          <w:szCs w:val="20"/>
          <w:u w:color="000000"/>
          <w:rtl w:val="0"/>
          <w:lang w:val="it-IT"/>
        </w:rPr>
        <w:t>’</w:t>
      </w:r>
      <w:r>
        <w:rPr>
          <w:rFonts w:ascii="Book Antiqua"/>
          <w:color w:val="000000"/>
          <w:sz w:val="20"/>
          <w:szCs w:val="20"/>
          <w:u w:color="000000"/>
          <w:rtl w:val="0"/>
          <w:lang w:val="it-IT"/>
        </w:rPr>
        <w:t>intimidazione che caratterizzava l</w:t>
      </w:r>
      <w:r>
        <w:rPr>
          <w:rFonts w:hAnsi="Book Antiqua" w:hint="default"/>
          <w:color w:val="000000"/>
          <w:sz w:val="20"/>
          <w:szCs w:val="20"/>
          <w:u w:color="000000"/>
          <w:rtl w:val="0"/>
          <w:lang w:val="it-IT"/>
        </w:rPr>
        <w:t>’</w:t>
      </w:r>
      <w:r>
        <w:rPr>
          <w:rFonts w:ascii="Book Antiqua"/>
          <w:color w:val="000000"/>
          <w:sz w:val="20"/>
          <w:szCs w:val="20"/>
          <w:u w:color="000000"/>
          <w:rtl w:val="0"/>
          <w:lang w:val="it-IT"/>
        </w:rPr>
        <w:t xml:space="preserve">associazione promanava in primo luogo dalla caratura criminale di Massimo Carminati, la cui </w:t>
      </w:r>
      <w:r>
        <w:rPr>
          <w:rFonts w:hAnsi="Book Antiqua" w:hint="default"/>
          <w:color w:val="000000"/>
          <w:sz w:val="20"/>
          <w:szCs w:val="20"/>
          <w:u w:color="000000"/>
          <w:rtl w:val="0"/>
          <w:lang w:val="it-IT"/>
        </w:rPr>
        <w:t xml:space="preserve">è </w:t>
      </w:r>
      <w:r>
        <w:rPr>
          <w:rFonts w:ascii="Book Antiqua"/>
          <w:color w:val="000000"/>
          <w:sz w:val="20"/>
          <w:szCs w:val="20"/>
          <w:u w:color="000000"/>
          <w:rtl w:val="0"/>
          <w:lang w:val="it-IT"/>
        </w:rPr>
        <w:t xml:space="preserve">riconducibile alla sua passata vicinanza alla </w:t>
      </w:r>
      <w:r>
        <w:rPr>
          <w:rFonts w:hAnsi="Book Antiqua" w:hint="default"/>
          <w:color w:val="000000"/>
          <w:sz w:val="20"/>
          <w:szCs w:val="20"/>
          <w:u w:color="000000"/>
          <w:rtl w:val="0"/>
          <w:lang w:val="it-IT"/>
        </w:rPr>
        <w:t>“</w:t>
      </w:r>
      <w:r>
        <w:rPr>
          <w:rFonts w:ascii="Book Antiqua"/>
          <w:color w:val="000000"/>
          <w:sz w:val="20"/>
          <w:szCs w:val="20"/>
          <w:u w:color="000000"/>
          <w:rtl w:val="0"/>
          <w:lang w:val="it-IT"/>
        </w:rPr>
        <w:t>banda della Magliana</w:t>
      </w:r>
      <w:r>
        <w:rPr>
          <w:rFonts w:hAnsi="Book Antiqua" w:hint="default"/>
          <w:color w:val="000000"/>
          <w:sz w:val="20"/>
          <w:szCs w:val="20"/>
          <w:u w:color="000000"/>
          <w:rtl w:val="0"/>
          <w:lang w:val="it-IT"/>
        </w:rPr>
        <w:t>”</w:t>
      </w:r>
      <w:r>
        <w:rPr>
          <w:rFonts w:ascii="Book Antiqua"/>
          <w:color w:val="000000"/>
          <w:sz w:val="20"/>
          <w:szCs w:val="20"/>
          <w:u w:color="000000"/>
          <w:rtl w:val="0"/>
          <w:lang w:val="it-IT"/>
        </w:rPr>
        <w:t>, nonch</w:t>
      </w:r>
      <w:r>
        <w:rPr>
          <w:rFonts w:hAnsi="Book Antiqua" w:hint="default"/>
          <w:color w:val="000000"/>
          <w:sz w:val="20"/>
          <w:szCs w:val="20"/>
          <w:u w:color="000000"/>
          <w:rtl w:val="0"/>
          <w:lang w:val="it-IT"/>
        </w:rPr>
        <w:t xml:space="preserve">é </w:t>
      </w:r>
      <w:r>
        <w:rPr>
          <w:rFonts w:ascii="Book Antiqua"/>
          <w:color w:val="000000"/>
          <w:sz w:val="20"/>
          <w:szCs w:val="20"/>
          <w:u w:color="000000"/>
          <w:rtl w:val="0"/>
          <w:lang w:val="it-IT"/>
        </w:rPr>
        <w:t>alla sua passata militanza nei N.A.R..</w:t>
      </w:r>
    </w:p>
    <w:p>
      <w:pPr>
        <w:pStyle w:val="Normal"/>
        <w:ind w:left="567" w:right="567" w:firstLine="0"/>
        <w:jc w:val="both"/>
        <w:rPr>
          <w:rFonts w:ascii="Book Antiqua" w:cs="Book Antiqua" w:hAnsi="Book Antiqua" w:eastAsia="Book Antiqua"/>
          <w:sz w:val="20"/>
          <w:szCs w:val="20"/>
        </w:rPr>
      </w:pPr>
      <w:r>
        <w:rPr>
          <w:rFonts w:ascii="Book Antiqua"/>
          <w:color w:val="000000"/>
          <w:sz w:val="20"/>
          <w:szCs w:val="20"/>
          <w:u w:color="000000"/>
          <w:rtl w:val="0"/>
          <w:lang w:val="it-IT"/>
        </w:rPr>
        <w:t xml:space="preserve">Nella sentenza si sottolinea invece che non </w:t>
      </w:r>
      <w:r>
        <w:rPr>
          <w:rFonts w:hAnsi="Book Antiqua" w:hint="default"/>
          <w:color w:val="000000"/>
          <w:sz w:val="20"/>
          <w:szCs w:val="20"/>
          <w:u w:color="000000"/>
          <w:rtl w:val="0"/>
          <w:lang w:val="it-IT"/>
        </w:rPr>
        <w:t xml:space="preserve">è </w:t>
      </w:r>
      <w:r>
        <w:rPr>
          <w:rFonts w:ascii="Book Antiqua"/>
          <w:color w:val="000000"/>
          <w:sz w:val="20"/>
          <w:szCs w:val="20"/>
          <w:u w:color="000000"/>
          <w:rtl w:val="0"/>
          <w:lang w:val="it-IT"/>
        </w:rPr>
        <w:t xml:space="preserve">possibile </w:t>
      </w:r>
      <w:r>
        <w:rPr>
          <w:rFonts w:hAnsi="Book Antiqua" w:hint="default"/>
          <w:sz w:val="20"/>
          <w:szCs w:val="20"/>
          <w:rtl w:val="0"/>
          <w:lang w:val="it-IT"/>
        </w:rPr>
        <w:t>“</w:t>
      </w:r>
      <w:r>
        <w:rPr>
          <w:rFonts w:ascii="Book Antiqua"/>
          <w:sz w:val="20"/>
          <w:szCs w:val="20"/>
          <w:rtl w:val="0"/>
          <w:lang w:val="it-IT"/>
        </w:rPr>
        <w:t>attribuire mafiosit</w:t>
      </w:r>
      <w:r>
        <w:rPr>
          <w:rFonts w:hAnsi="Book Antiqua" w:hint="default"/>
          <w:sz w:val="20"/>
          <w:szCs w:val="20"/>
          <w:rtl w:val="0"/>
          <w:lang w:val="it-IT"/>
        </w:rPr>
        <w:t xml:space="preserve">à </w:t>
      </w:r>
      <w:r>
        <w:rPr>
          <w:rFonts w:ascii="Book Antiqua"/>
          <w:sz w:val="20"/>
          <w:szCs w:val="20"/>
          <w:rtl w:val="0"/>
          <w:lang w:val="it-IT"/>
        </w:rPr>
        <w:t>all</w:t>
      </w:r>
      <w:r>
        <w:rPr>
          <w:rFonts w:hAnsi="Book Antiqua" w:hint="default"/>
          <w:sz w:val="20"/>
          <w:szCs w:val="20"/>
          <w:rtl w:val="0"/>
          <w:lang w:val="it-IT"/>
        </w:rPr>
        <w:t>’</w:t>
      </w:r>
      <w:r>
        <w:rPr>
          <w:rFonts w:ascii="Book Antiqua"/>
          <w:sz w:val="20"/>
          <w:szCs w:val="20"/>
          <w:rtl w:val="0"/>
          <w:lang w:val="it-IT"/>
        </w:rPr>
        <w:t>associazione volta al conseguimento illecito di appalti pubblici mediante intese corruttive, dal momento che, ai fini del reato di cui all</w:t>
      </w:r>
      <w:r>
        <w:rPr>
          <w:rFonts w:hAnsi="Book Antiqua" w:hint="default"/>
          <w:sz w:val="20"/>
          <w:szCs w:val="20"/>
          <w:rtl w:val="0"/>
          <w:lang w:val="it-IT"/>
        </w:rPr>
        <w:t xml:space="preserve">’ </w:t>
      </w:r>
      <w:r>
        <w:rPr>
          <w:rFonts w:ascii="Book Antiqua"/>
          <w:sz w:val="20"/>
          <w:szCs w:val="20"/>
          <w:rtl w:val="0"/>
          <w:lang w:val="it-IT"/>
        </w:rPr>
        <w:t xml:space="preserve">articolo 416 bis del codice penale, </w:t>
      </w:r>
      <w:r>
        <w:rPr>
          <w:rFonts w:hAnsi="Book Antiqua" w:hint="default"/>
          <w:sz w:val="20"/>
          <w:szCs w:val="20"/>
          <w:rtl w:val="0"/>
          <w:lang w:val="it-IT"/>
        </w:rPr>
        <w:t xml:space="preserve">è </w:t>
      </w:r>
      <w:r>
        <w:rPr>
          <w:rFonts w:ascii="Book Antiqua"/>
          <w:sz w:val="20"/>
          <w:szCs w:val="20"/>
          <w:rtl w:val="0"/>
          <w:lang w:val="it-IT"/>
        </w:rPr>
        <w:t>necessario l</w:t>
      </w:r>
      <w:r>
        <w:rPr>
          <w:rFonts w:hAnsi="Book Antiqua" w:hint="default"/>
          <w:sz w:val="20"/>
          <w:szCs w:val="20"/>
          <w:rtl w:val="0"/>
          <w:lang w:val="it-IT"/>
        </w:rPr>
        <w:t>’</w:t>
      </w:r>
      <w:r>
        <w:rPr>
          <w:rFonts w:ascii="Book Antiqua"/>
          <w:sz w:val="20"/>
          <w:szCs w:val="20"/>
          <w:rtl w:val="0"/>
          <w:lang w:val="it-IT"/>
        </w:rPr>
        <w:t>impiego del metodo mafioso e, dunque, il reato non si configura quando il risultato illecito sia conseguito con il ricorso sistematico alla corruzione, anche se inserita nel contesto di cordate politico-affaristiche ed anche ove queste si rivelino particolarmente pericolose perch</w:t>
      </w:r>
      <w:r>
        <w:rPr>
          <w:rFonts w:hAnsi="Book Antiqua" w:hint="default"/>
          <w:sz w:val="20"/>
          <w:szCs w:val="20"/>
          <w:rtl w:val="0"/>
          <w:lang w:val="it-IT"/>
        </w:rPr>
        <w:t xml:space="preserve">é </w:t>
      </w:r>
      <w:r>
        <w:rPr>
          <w:rFonts w:ascii="Book Antiqua"/>
          <w:sz w:val="20"/>
          <w:szCs w:val="20"/>
          <w:rtl w:val="0"/>
          <w:lang w:val="it-IT"/>
        </w:rPr>
        <w:t>capaci di infiltrazioni stabili nella sfera politico-economica</w:t>
      </w:r>
      <w:r>
        <w:rPr>
          <w:rFonts w:hAnsi="Book Antiqua" w:hint="default"/>
          <w:sz w:val="20"/>
          <w:szCs w:val="20"/>
          <w:rtl w:val="0"/>
          <w:lang w:val="it-IT"/>
        </w:rPr>
        <w:t>”</w:t>
      </w:r>
      <w:r>
        <w:rPr>
          <w:rFonts w:ascii="Book Antiqua"/>
          <w:sz w:val="20"/>
          <w:szCs w:val="20"/>
          <w:rtl w:val="0"/>
          <w:lang w:val="it-IT"/>
        </w:rPr>
        <w:t>, escludendo, nel caso di specie, che vi sia stata adozione del metodo mafioso inteso come esercizio della forza di intimidazione di cui all</w:t>
      </w:r>
      <w:r>
        <w:rPr>
          <w:rFonts w:hAnsi="Book Antiqua" w:hint="default"/>
          <w:sz w:val="20"/>
          <w:szCs w:val="20"/>
          <w:rtl w:val="0"/>
          <w:lang w:val="it-IT"/>
        </w:rPr>
        <w:t>’</w:t>
      </w:r>
      <w:r>
        <w:rPr>
          <w:rFonts w:ascii="Book Antiqua"/>
          <w:sz w:val="20"/>
          <w:szCs w:val="20"/>
          <w:rtl w:val="0"/>
          <w:lang w:val="it-IT"/>
        </w:rPr>
        <w:t xml:space="preserve">articolo 416-bis del codice penale, che non sarebbe suscettibile di interpretazioni estensive tali </w:t>
      </w:r>
      <w:r>
        <w:rPr>
          <w:rFonts w:hAnsi="Book Antiqua" w:hint="default"/>
          <w:sz w:val="20"/>
          <w:szCs w:val="20"/>
          <w:rtl w:val="0"/>
          <w:lang w:val="it-IT"/>
        </w:rPr>
        <w:t>“</w:t>
      </w:r>
      <w:r>
        <w:rPr>
          <w:rFonts w:ascii="Book Antiqua"/>
          <w:sz w:val="20"/>
          <w:szCs w:val="20"/>
          <w:rtl w:val="0"/>
          <w:lang w:val="it-IT"/>
        </w:rPr>
        <w:t xml:space="preserve">da trasformarsi </w:t>
      </w:r>
      <w:r>
        <w:rPr>
          <w:rFonts w:hAnsi="Book Antiqua" w:hint="default"/>
          <w:sz w:val="20"/>
          <w:szCs w:val="20"/>
          <w:rtl w:val="0"/>
          <w:lang w:val="it-IT"/>
        </w:rPr>
        <w:t xml:space="preserve">– </w:t>
      </w:r>
      <w:r>
        <w:rPr>
          <w:rFonts w:ascii="Book Antiqua"/>
          <w:sz w:val="20"/>
          <w:szCs w:val="20"/>
          <w:rtl w:val="0"/>
          <w:lang w:val="it-IT"/>
        </w:rPr>
        <w:t>con violazione del principio di legalit</w:t>
      </w:r>
      <w:r>
        <w:rPr>
          <w:rFonts w:hAnsi="Book Antiqua" w:hint="default"/>
          <w:sz w:val="20"/>
          <w:szCs w:val="20"/>
          <w:rtl w:val="0"/>
          <w:lang w:val="it-IT"/>
        </w:rPr>
        <w:t xml:space="preserve">à – </w:t>
      </w:r>
      <w:r>
        <w:rPr>
          <w:rFonts w:ascii="Book Antiqua"/>
          <w:sz w:val="20"/>
          <w:szCs w:val="20"/>
          <w:rtl w:val="0"/>
          <w:lang w:val="it-IT"/>
        </w:rPr>
        <w:t>in vere e proprie innovazioni legislative, che rimangono riservate al legislatore</w:t>
      </w:r>
      <w:r>
        <w:rPr>
          <w:rFonts w:hAnsi="Book Antiqua" w:hint="default"/>
          <w:sz w:val="20"/>
          <w:szCs w:val="20"/>
          <w:rtl w:val="0"/>
          <w:lang w:val="it-IT"/>
        </w:rPr>
        <w:t>”</w:t>
      </w:r>
      <w:r>
        <w:rPr>
          <w:rFonts w:ascii="Book Antiqua"/>
          <w:sz w:val="20"/>
          <w:szCs w:val="20"/>
          <w:rtl w:val="0"/>
          <w:lang w:val="it-IT"/>
        </w:rPr>
        <w:t>.</w:t>
      </w:r>
    </w:p>
    <w:p>
      <w:pPr>
        <w:pStyle w:val="Normal"/>
        <w:widowControl w:val="0"/>
        <w:tabs>
          <w:tab w:val="left" w:pos="709"/>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pPr>
      <w:r>
        <w:rPr>
          <w:rFonts w:ascii="Book Antiqua"/>
          <w:color w:val="000000"/>
          <w:sz w:val="20"/>
          <w:szCs w:val="20"/>
          <w:u w:color="000000"/>
          <w:rtl w:val="0"/>
          <w:lang w:val="it-IT"/>
        </w:rPr>
        <w:t>In sede di impugnazione dei provvedimenti in materia cautelare personale la Corte di cassazione aveva peraltro confermato la ricorrenza dell</w:t>
      </w:r>
      <w:r>
        <w:rPr>
          <w:rFonts w:hAnsi="Book Antiqua" w:hint="default"/>
          <w:color w:val="000000"/>
          <w:sz w:val="20"/>
          <w:szCs w:val="20"/>
          <w:u w:color="000000"/>
          <w:rtl w:val="0"/>
          <w:lang w:val="it-IT"/>
        </w:rPr>
        <w:t>’</w:t>
      </w:r>
      <w:r>
        <w:rPr>
          <w:rFonts w:ascii="Book Antiqua"/>
          <w:color w:val="000000"/>
          <w:sz w:val="20"/>
          <w:szCs w:val="20"/>
          <w:u w:color="000000"/>
          <w:rtl w:val="0"/>
          <w:lang w:val="it-IT"/>
        </w:rPr>
        <w:t xml:space="preserve">articolo 416-bis </w:t>
      </w:r>
      <w:r>
        <w:rPr>
          <w:rFonts w:ascii="Book Antiqua"/>
          <w:sz w:val="20"/>
          <w:szCs w:val="20"/>
          <w:rtl w:val="0"/>
          <w:lang w:val="it-IT"/>
        </w:rPr>
        <w:t>(Cass., Sez. VI penale, n. 24535 del 10 aprile</w:t>
      </w:r>
      <w:r>
        <w:rPr>
          <w:rFonts w:hAnsi="Book Antiqua" w:hint="default"/>
          <w:sz w:val="20"/>
          <w:szCs w:val="20"/>
          <w:rtl w:val="0"/>
          <w:lang w:val="it-IT"/>
        </w:rPr>
        <w:t xml:space="preserve"> – </w:t>
      </w:r>
      <w:r>
        <w:rPr>
          <w:rFonts w:ascii="Book Antiqua"/>
          <w:sz w:val="20"/>
          <w:szCs w:val="20"/>
          <w:rtl w:val="0"/>
          <w:lang w:val="it-IT"/>
        </w:rPr>
        <w:t>9 giugno 2015)</w:t>
      </w:r>
      <w:r>
        <w:rPr>
          <w:rFonts w:ascii="Times Roman"/>
          <w:b w:val="1"/>
          <w:bCs w:val="1"/>
          <w:color w:val="0f7003"/>
          <w:sz w:val="28"/>
          <w:szCs w:val="28"/>
          <w:u w:color="0f7003"/>
          <w:rtl w:val="0"/>
          <w:lang w:val="it-IT"/>
        </w:rPr>
        <w:t xml:space="preserve"> </w:t>
      </w:r>
      <w:r>
        <w:rPr>
          <w:rFonts w:ascii="Book Antiqua"/>
          <w:color w:val="000000"/>
          <w:sz w:val="20"/>
          <w:szCs w:val="20"/>
          <w:u w:color="000000"/>
          <w:rtl w:val="0"/>
          <w:lang w:val="it-IT"/>
        </w:rPr>
        <w:t>rimarcando tra l</w:t>
      </w:r>
      <w:r>
        <w:rPr>
          <w:rFonts w:hAnsi="Book Antiqua" w:hint="default"/>
          <w:color w:val="000000"/>
          <w:sz w:val="20"/>
          <w:szCs w:val="20"/>
          <w:u w:color="000000"/>
          <w:rtl w:val="0"/>
          <w:lang w:val="it-IT"/>
        </w:rPr>
        <w:t>’</w:t>
      </w:r>
      <w:r>
        <w:rPr>
          <w:rFonts w:ascii="Book Antiqua"/>
          <w:color w:val="000000"/>
          <w:sz w:val="20"/>
          <w:szCs w:val="20"/>
          <w:u w:color="000000"/>
          <w:rtl w:val="0"/>
          <w:lang w:val="it-IT"/>
        </w:rPr>
        <w:t>altro, per quanto qui interessa,</w:t>
      </w:r>
      <w:r>
        <w:rPr>
          <w:rFonts w:hAnsi="Book Antiqua" w:hint="default"/>
          <w:color w:val="000000"/>
          <w:sz w:val="20"/>
          <w:szCs w:val="20"/>
          <w:u w:color="000000"/>
          <w:rtl w:val="0"/>
          <w:lang w:val="it-IT"/>
        </w:rPr>
        <w:t xml:space="preserve"> “</w:t>
      </w:r>
      <w:r>
        <w:rPr>
          <w:rFonts w:ascii="Book Antiqua"/>
          <w:sz w:val="20"/>
          <w:szCs w:val="20"/>
          <w:rtl w:val="0"/>
          <w:lang w:val="it-IT"/>
        </w:rPr>
        <w:t>le diverse forme e modalit</w:t>
      </w:r>
      <w:r>
        <w:rPr>
          <w:rFonts w:hAnsi="Book Antiqua" w:hint="default"/>
          <w:sz w:val="20"/>
          <w:szCs w:val="20"/>
          <w:rtl w:val="0"/>
          <w:lang w:val="it-IT"/>
        </w:rPr>
        <w:t xml:space="preserve">à </w:t>
      </w:r>
      <w:r>
        <w:rPr>
          <w:rFonts w:ascii="Book Antiqua"/>
          <w:sz w:val="20"/>
          <w:szCs w:val="20"/>
          <w:rtl w:val="0"/>
          <w:lang w:val="it-IT"/>
        </w:rPr>
        <w:t>di infiltrazione dell</w:t>
      </w:r>
      <w:r>
        <w:rPr>
          <w:rFonts w:hAnsi="Book Antiqua" w:hint="default"/>
          <w:sz w:val="20"/>
          <w:szCs w:val="20"/>
          <w:rtl w:val="0"/>
          <w:lang w:val="it-IT"/>
        </w:rPr>
        <w:t>’</w:t>
      </w:r>
      <w:r>
        <w:rPr>
          <w:rFonts w:ascii="Book Antiqua"/>
          <w:sz w:val="20"/>
          <w:szCs w:val="20"/>
          <w:rtl w:val="0"/>
          <w:lang w:val="it-IT"/>
        </w:rPr>
        <w:t>organizzazione nei gangli vitali dell</w:t>
      </w:r>
      <w:r>
        <w:rPr>
          <w:rFonts w:hAnsi="Book Antiqua" w:hint="default"/>
          <w:sz w:val="20"/>
          <w:szCs w:val="20"/>
          <w:rtl w:val="0"/>
          <w:lang w:val="it-IT"/>
        </w:rPr>
        <w:t>’</w:t>
      </w:r>
      <w:r>
        <w:rPr>
          <w:rFonts w:ascii="Book Antiqua"/>
          <w:sz w:val="20"/>
          <w:szCs w:val="20"/>
          <w:rtl w:val="0"/>
          <w:lang w:val="it-IT"/>
        </w:rPr>
        <w:t>amministrazione municipale, specie attraverso le attivit</w:t>
      </w:r>
      <w:r>
        <w:rPr>
          <w:rFonts w:hAnsi="Book Antiqua" w:hint="default"/>
          <w:sz w:val="20"/>
          <w:szCs w:val="20"/>
          <w:rtl w:val="0"/>
          <w:lang w:val="it-IT"/>
        </w:rPr>
        <w:t xml:space="preserve">à </w:t>
      </w:r>
      <w:r>
        <w:rPr>
          <w:rFonts w:ascii="Book Antiqua"/>
          <w:sz w:val="20"/>
          <w:szCs w:val="20"/>
          <w:rtl w:val="0"/>
          <w:lang w:val="it-IT"/>
        </w:rPr>
        <w:t>volte ad individuare e a collocare in posizioni apicali persone in grado di soddisfare, nell</w:t>
      </w:r>
      <w:r>
        <w:rPr>
          <w:rFonts w:hAnsi="Book Antiqua" w:hint="default"/>
          <w:sz w:val="20"/>
          <w:szCs w:val="20"/>
          <w:rtl w:val="0"/>
          <w:lang w:val="it-IT"/>
        </w:rPr>
        <w:t>’</w:t>
      </w:r>
      <w:r>
        <w:rPr>
          <w:rFonts w:ascii="Book Antiqua"/>
          <w:sz w:val="20"/>
          <w:szCs w:val="20"/>
          <w:rtl w:val="0"/>
          <w:lang w:val="it-IT"/>
        </w:rPr>
        <w:t>esercizio delle pubbliche funzioni da essi rivestite, gli interessi riconducibili al sodalizio</w:t>
      </w:r>
      <w:r>
        <w:rPr>
          <w:rFonts w:hAnsi="Book Antiqua" w:hint="default"/>
          <w:sz w:val="20"/>
          <w:szCs w:val="20"/>
          <w:rtl w:val="0"/>
          <w:lang w:val="it-IT"/>
        </w:rPr>
        <w:t>”</w:t>
      </w:r>
    </w:p>
  </w:footnote>
  <w:footnote w:id="182">
    <w:p>
      <w:pPr>
        <w:pStyle w:val="Normal"/>
        <w:shd w:val="clear" w:color="auto" w:fill="ffffff"/>
        <w:spacing w:before="2" w:after="2"/>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Massimo Carminati, nato a Milano, il 31.5.1958; Salvatore Buzzi, nato a Roma, il 15.11.1955; Mirko Coratti, nato a Roma, il 20.06.1973; Franco Figurelli, nato a Roma, il 07.01.1956; Paolo Di Ninno, nato a Roma, il 06.09.1962; Nadia Cerrito nata a Roma l</w:t>
      </w:r>
      <w:r>
        <w:rPr>
          <w:rFonts w:hAnsi="Book Antiqua" w:hint="default"/>
          <w:sz w:val="20"/>
          <w:szCs w:val="20"/>
          <w:rtl w:val="0"/>
          <w:lang w:val="it-IT"/>
        </w:rPr>
        <w:t>’</w:t>
      </w:r>
      <w:r>
        <w:rPr>
          <w:rFonts w:ascii="Book Antiqua"/>
          <w:sz w:val="20"/>
          <w:szCs w:val="20"/>
          <w:rtl w:val="0"/>
          <w:lang w:val="it-IT"/>
        </w:rPr>
        <w:t xml:space="preserve">11.09.1965; Alessandra Garrone, nata a Roma, il 22.07.1974; Claudio Bolla, nato a Buenos Aires (Argentina), il 15.05.1962 </w:t>
      </w:r>
      <w:r>
        <w:rPr>
          <w:rFonts w:ascii="Book Antiqua" w:cs="Book Antiqua" w:hAnsi="Book Antiqua" w:eastAsia="Book Antiqua"/>
          <w:sz w:val="20"/>
          <w:szCs w:val="20"/>
        </w:rPr>
      </w:r>
    </w:p>
  </w:footnote>
  <w:footnote w:id="183">
    <w:p>
      <w:pPr>
        <w:pStyle w:val="footnote text"/>
        <w:ind w:left="567" w:right="567" w:firstLine="0"/>
        <w:jc w:val="both"/>
        <w:rPr>
          <w:rFonts w:ascii="Book Antiqua" w:cs="Book Antiqua" w:hAnsi="Book Antiqua" w:eastAsia="Book Antiqua"/>
          <w:sz w:val="20"/>
          <w:szCs w:val="20"/>
        </w:rPr>
      </w:pPr>
      <w:r>
        <w:rPr>
          <w:rFonts w:ascii="Book Antiqua" w:cs="Book Antiqua" w:hAnsi="Book Antiqua" w:eastAsia="Book Antiqua"/>
          <w:color w:val="262626"/>
          <w:u w:color="262626"/>
          <w:vertAlign w:val="superscript"/>
          <w:rtl w:val="0"/>
        </w:rPr>
        <w:footnoteRef/>
      </w:r>
      <w:r>
        <w:rPr>
          <w:rFonts w:ascii="Book Antiqua"/>
          <w:sz w:val="20"/>
          <w:szCs w:val="20"/>
          <w:rtl w:val="0"/>
          <w:lang w:val="it-IT"/>
        </w:rPr>
        <w:t xml:space="preserve"> La Commissione ha acquisito atti dei procedimenti penali n. 24461/12 r.g.n.r. e n. 8398/15 r.g.n.r. (Doc. n. 2241/1-2); nella richiesta di rinvio a giudizio le imputazioni principali sono articolate come segue:</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0"/>
          <w:szCs w:val="20"/>
          <w:u w:color="000000"/>
        </w:rPr>
      </w:pPr>
      <w:r>
        <w:rPr>
          <w:rFonts w:hAnsi="Book Antiqua" w:hint="default"/>
          <w:sz w:val="20"/>
          <w:szCs w:val="20"/>
          <w:rtl w:val="0"/>
          <w:lang w:val="it-IT"/>
        </w:rPr>
        <w:t>“</w:t>
      </w:r>
      <w:r>
        <w:rPr>
          <w:rFonts w:ascii="Book Antiqua"/>
          <w:color w:val="000000"/>
          <w:sz w:val="20"/>
          <w:szCs w:val="20"/>
          <w:u w:color="000000"/>
          <w:rtl w:val="0"/>
          <w:lang w:val="it-IT"/>
        </w:rPr>
        <w:t>A) del reato di cui all'articolo 416 co. 1, 2, 3 e 5 del codice penale perch</w:t>
      </w:r>
      <w:r>
        <w:rPr>
          <w:rFonts w:hAnsi="Book Antiqua" w:hint="default"/>
          <w:color w:val="000000"/>
          <w:sz w:val="20"/>
          <w:szCs w:val="20"/>
          <w:u w:color="000000"/>
          <w:rtl w:val="0"/>
          <w:lang w:val="it-IT"/>
        </w:rPr>
        <w:t xml:space="preserve">é </w:t>
      </w:r>
      <w:r>
        <w:rPr>
          <w:rFonts w:ascii="Book Antiqua"/>
          <w:color w:val="000000"/>
          <w:sz w:val="20"/>
          <w:szCs w:val="20"/>
          <w:u w:color="000000"/>
          <w:rtl w:val="0"/>
          <w:lang w:val="it-IT"/>
        </w:rPr>
        <w:t>[</w:t>
      </w:r>
      <w:r>
        <w:rPr>
          <w:rFonts w:hAnsi="Book Antiqua" w:hint="default"/>
          <w:color w:val="000000"/>
          <w:sz w:val="20"/>
          <w:szCs w:val="20"/>
          <w:u w:color="000000"/>
          <w:rtl w:val="0"/>
          <w:lang w:val="it-IT"/>
        </w:rPr>
        <w:t>…</w:t>
      </w:r>
      <w:r>
        <w:rPr>
          <w:rFonts w:ascii="Book Antiqua"/>
          <w:color w:val="000000"/>
          <w:sz w:val="20"/>
          <w:szCs w:val="20"/>
          <w:u w:color="000000"/>
          <w:rtl w:val="0"/>
          <w:lang w:val="it-IT"/>
        </w:rPr>
        <w:t xml:space="preserve">] si associavano tra loro allo scopo di commettere una serie indeterminata di delitti concernenti spedizioni transforntaliere e traffico illecito di rifiuti speciali, nella specie indumenti usati, prodotti tessili ed accessori di abbigliamento post-consumo aventi codice CER 200110 -200111. Ed invero, provvedevano alla raccolta dei suddetti rifiuti in svariati Comuni delle Province di Roma e Latina, trasportandoli e conferendoli presso impianti di recupero gestiti dalle seguenti cooperative: </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0"/>
          <w:szCs w:val="20"/>
          <w:u w:color="000000"/>
        </w:rPr>
      </w:pPr>
      <w:r>
        <w:rPr>
          <w:rFonts w:ascii="Book Antiqua"/>
          <w:color w:val="000000"/>
          <w:sz w:val="20"/>
          <w:szCs w:val="20"/>
          <w:u w:color="000000"/>
          <w:rtl w:val="0"/>
          <w:lang w:val="it-IT"/>
        </w:rPr>
        <w:t>1) "Coop. Soc. a.r.l. Lapemaia Onlus", la quale non effettuava le prescritte operazioni di recupero denominate R3 (igienizzazione), solo in esito alle quali il rifiuto cessa di essere tale per divenire materia prima secondaria, procedendo direttamente alla vendita dei rifiuti tessili a societ</w:t>
      </w:r>
      <w:r>
        <w:rPr>
          <w:rFonts w:hAnsi="Book Antiqua" w:hint="default"/>
          <w:color w:val="000000"/>
          <w:sz w:val="20"/>
          <w:szCs w:val="20"/>
          <w:u w:color="000000"/>
          <w:rtl w:val="0"/>
          <w:lang w:val="it-IT"/>
        </w:rPr>
        <w:t xml:space="preserve">à </w:t>
      </w:r>
      <w:r>
        <w:rPr>
          <w:rFonts w:ascii="Book Antiqua"/>
          <w:color w:val="000000"/>
          <w:sz w:val="20"/>
          <w:szCs w:val="20"/>
          <w:u w:color="000000"/>
          <w:rtl w:val="0"/>
          <w:lang w:val="it-IT"/>
        </w:rPr>
        <w:t>operanti nel settore della commercializzazione di indumenti usati e materie tessili in genere, il tutto in violazione del dettato del D.M. 5.2.1998 che prescrive, in particolare per detti rifiuti, un processo di effettivo ed oggettivo recupero ai tini della commercializzazione come MPS (materie prime secondarie), consistente necessariamente nella selezione, separazione ed igienizzazione di detti rifiuti.</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0"/>
          <w:szCs w:val="20"/>
          <w:u w:color="000000"/>
        </w:rPr>
      </w:pPr>
      <w:r>
        <w:rPr>
          <w:rFonts w:ascii="Book Antiqua"/>
          <w:color w:val="000000"/>
          <w:sz w:val="20"/>
          <w:szCs w:val="20"/>
          <w:u w:color="000000"/>
          <w:rtl w:val="0"/>
          <w:lang w:val="it-IT"/>
        </w:rPr>
        <w:t>2) "Coop. Soc. a.r.l. New Horizons Onlus", la quale non effettuava le prescritte operazioni di recupero denominate R3 (igienizzazione), solo in esito alle quali il rifiuto cessa di essere tale per divenire materia prima secondaria, e successivamente consistenti nella vendita dei rifiuti tessili a societ</w:t>
      </w:r>
      <w:r>
        <w:rPr>
          <w:rFonts w:hAnsi="Book Antiqua" w:hint="default"/>
          <w:color w:val="000000"/>
          <w:sz w:val="20"/>
          <w:szCs w:val="20"/>
          <w:u w:color="000000"/>
          <w:rtl w:val="0"/>
          <w:lang w:val="it-IT"/>
        </w:rPr>
        <w:t xml:space="preserve">à </w:t>
      </w:r>
      <w:r>
        <w:rPr>
          <w:rFonts w:ascii="Book Antiqua"/>
          <w:color w:val="000000"/>
          <w:sz w:val="20"/>
          <w:szCs w:val="20"/>
          <w:u w:color="000000"/>
          <w:rtl w:val="0"/>
          <w:lang w:val="it-IT"/>
        </w:rPr>
        <w:t>operanti nel settore della commercializzazione di indumenti usati e materie tessili in genere, nonch</w:t>
      </w:r>
      <w:r>
        <w:rPr>
          <w:rFonts w:hAnsi="Book Antiqua" w:hint="default"/>
          <w:color w:val="000000"/>
          <w:sz w:val="20"/>
          <w:szCs w:val="20"/>
          <w:u w:color="000000"/>
          <w:rtl w:val="0"/>
          <w:lang w:val="it-IT"/>
        </w:rPr>
        <w:t xml:space="preserve">é </w:t>
      </w:r>
      <w:r>
        <w:rPr>
          <w:rFonts w:ascii="Book Antiqua"/>
          <w:color w:val="000000"/>
          <w:sz w:val="20"/>
          <w:szCs w:val="20"/>
          <w:u w:color="000000"/>
          <w:rtl w:val="0"/>
          <w:lang w:val="it-IT"/>
        </w:rPr>
        <w:t>nell'esportazione di detti rifiuti all'estero (Tunisia ed altri luoghi, attraverso l'interposizione della "B&amp;D Ecology srl"), il tutto in violazione del dettato del D.M. 5.2.1998 che prescrive, in particolare per detti rifiuti, un processo di etIettivo ed oggettivo recupero ai fini della commercializzazione come materie prime secondarie consistente nella selezione, separazione ed igienizzazione di detti rifiuti.</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0"/>
          <w:szCs w:val="20"/>
          <w:u w:color="000000"/>
        </w:rPr>
      </w:pPr>
      <w:r>
        <w:rPr>
          <w:rFonts w:ascii="Book Antiqua"/>
          <w:color w:val="000000"/>
          <w:sz w:val="20"/>
          <w:szCs w:val="20"/>
          <w:u w:color="000000"/>
          <w:rtl w:val="0"/>
          <w:lang w:val="it-IT"/>
        </w:rPr>
        <w:t>Reato commesso in Roma ed altri luoghi, accertato in permanenza sino alla data di esecuzione dell'ordinanza del G.I.P. che ha disposto le misure cautelari, il 15.01.2015.</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0"/>
          <w:szCs w:val="20"/>
          <w:u w:color="000000"/>
        </w:rPr>
      </w:pPr>
      <w:r>
        <w:rPr>
          <w:rFonts w:ascii="Book Antiqua"/>
          <w:color w:val="000000"/>
          <w:sz w:val="20"/>
          <w:szCs w:val="20"/>
          <w:u w:color="000000"/>
          <w:rtl w:val="0"/>
          <w:lang w:val="it-IT"/>
        </w:rPr>
        <w:t>B) del delitto p. e p. dagli artt. 110 del codice penale, 260 decreto legislativo 152/2006 perch</w:t>
      </w:r>
      <w:r>
        <w:rPr>
          <w:rFonts w:hAnsi="Book Antiqua" w:hint="default"/>
          <w:color w:val="000000"/>
          <w:sz w:val="20"/>
          <w:szCs w:val="20"/>
          <w:u w:color="000000"/>
          <w:rtl w:val="0"/>
          <w:lang w:val="it-IT"/>
        </w:rPr>
        <w:t>é</w:t>
      </w:r>
      <w:r>
        <w:rPr>
          <w:rFonts w:ascii="Book Antiqua"/>
          <w:color w:val="000000"/>
          <w:sz w:val="20"/>
          <w:szCs w:val="20"/>
          <w:u w:color="000000"/>
          <w:rtl w:val="0"/>
          <w:lang w:val="it-IT"/>
        </w:rPr>
        <w:t>, nelle qualit</w:t>
      </w:r>
      <w:r>
        <w:rPr>
          <w:rFonts w:hAnsi="Book Antiqua" w:hint="default"/>
          <w:color w:val="000000"/>
          <w:sz w:val="20"/>
          <w:szCs w:val="20"/>
          <w:u w:color="000000"/>
          <w:rtl w:val="0"/>
          <w:lang w:val="it-IT"/>
        </w:rPr>
        <w:t xml:space="preserve">à </w:t>
      </w:r>
      <w:r>
        <w:rPr>
          <w:rFonts w:ascii="Book Antiqua"/>
          <w:color w:val="000000"/>
          <w:sz w:val="20"/>
          <w:szCs w:val="20"/>
          <w:u w:color="000000"/>
          <w:rtl w:val="0"/>
          <w:lang w:val="it-IT"/>
        </w:rPr>
        <w:t>sopra indicate, con pi</w:t>
      </w:r>
      <w:r>
        <w:rPr>
          <w:rFonts w:hAnsi="Book Antiqua" w:hint="default"/>
          <w:color w:val="000000"/>
          <w:sz w:val="20"/>
          <w:szCs w:val="20"/>
          <w:u w:color="000000"/>
          <w:rtl w:val="0"/>
          <w:lang w:val="it-IT"/>
        </w:rPr>
        <w:t xml:space="preserve">ù </w:t>
      </w:r>
      <w:r>
        <w:rPr>
          <w:rFonts w:ascii="Book Antiqua"/>
          <w:color w:val="000000"/>
          <w:sz w:val="20"/>
          <w:szCs w:val="20"/>
          <w:u w:color="000000"/>
          <w:rtl w:val="0"/>
          <w:lang w:val="it-IT"/>
        </w:rPr>
        <w:t>azioni esecutive di un medesimo disegno criminoso, al tine di conseguire un ingiusto profitto consistente, da un lato, nel ritorno economico di non sopportare i maggiori costi e maggiori tempi dovuti ordinariamente per un effettivo processo di recupero dei rifiuti e, dall'altro, nei ricavi ottenuti commerciando detti ritiuti come materie prime secondarie, con pi</w:t>
      </w:r>
      <w:r>
        <w:rPr>
          <w:rFonts w:hAnsi="Book Antiqua" w:hint="default"/>
          <w:color w:val="000000"/>
          <w:sz w:val="20"/>
          <w:szCs w:val="20"/>
          <w:u w:color="000000"/>
          <w:rtl w:val="0"/>
          <w:lang w:val="it-IT"/>
        </w:rPr>
        <w:t xml:space="preserve">ù </w:t>
      </w:r>
      <w:r>
        <w:rPr>
          <w:rFonts w:ascii="Book Antiqua"/>
          <w:color w:val="000000"/>
          <w:sz w:val="20"/>
          <w:szCs w:val="20"/>
          <w:u w:color="000000"/>
          <w:rtl w:val="0"/>
          <w:lang w:val="it-IT"/>
        </w:rPr>
        <w:t>operazioni e attraverso l'allestimento di mezzi ed attivit</w:t>
      </w:r>
      <w:r>
        <w:rPr>
          <w:rFonts w:hAnsi="Book Antiqua" w:hint="default"/>
          <w:color w:val="000000"/>
          <w:sz w:val="20"/>
          <w:szCs w:val="20"/>
          <w:u w:color="000000"/>
          <w:rtl w:val="0"/>
          <w:lang w:val="it-IT"/>
        </w:rPr>
        <w:t xml:space="preserve">à </w:t>
      </w:r>
      <w:r>
        <w:rPr>
          <w:rFonts w:ascii="Book Antiqua"/>
          <w:color w:val="000000"/>
          <w:sz w:val="20"/>
          <w:szCs w:val="20"/>
          <w:u w:color="000000"/>
          <w:rtl w:val="0"/>
          <w:lang w:val="it-IT"/>
        </w:rPr>
        <w:t>continuative organizzate, ricevevano, trasportavano, cedevano e comunque gestivano abusivamente ingenti quantitativi di ritiuti speciali aventi codici CER 200110 200111.</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0"/>
          <w:szCs w:val="20"/>
          <w:u w:color="000000"/>
        </w:rPr>
      </w:pPr>
      <w:r>
        <w:rPr>
          <w:rFonts w:ascii="Book Antiqua"/>
          <w:color w:val="000000"/>
          <w:sz w:val="20"/>
          <w:szCs w:val="20"/>
          <w:u w:color="000000"/>
          <w:rtl w:val="0"/>
          <w:lang w:val="it-IT"/>
        </w:rPr>
        <w:t>In particolare, le aziende indicate al capo A) ricevevano da numerosi Comuni del Lazio ingenti quantitativi di rifiuti costituiti da indumenti usati, prodotti tessili ed accessori di abbigliamento post-consumo e senza averli sottoposti preventivamente ad un etIettivo processo di trattamento e recupero (secondo il dettato del D.M. 5.2.1998 punti 8.4 e 8.9 che prescrive, in particolare, necessariamente la selezione, separazione ed igienizzazione di detti rifiuti) e violando le prescrizioni contenute nell'autorizzazione (concessa alla Apemaia Onlus con DDRU 9554 del 19.12.2011 e alla New Horizons con DDRU n. 7584 del 26.10.2011) li avviavano - con documentazione accompagnatoria falsa, in quanto nei d.d.t. (documenti di trasporto) venivano falsamente indicati detti rifiuti come M.P.S. (materie prime secondarie) - mediante societ</w:t>
      </w:r>
      <w:r>
        <w:rPr>
          <w:rFonts w:hAnsi="Book Antiqua" w:hint="default"/>
          <w:color w:val="000000"/>
          <w:sz w:val="20"/>
          <w:szCs w:val="20"/>
          <w:u w:color="000000"/>
          <w:rtl w:val="0"/>
          <w:lang w:val="it-IT"/>
        </w:rPr>
        <w:t xml:space="preserve">à </w:t>
      </w:r>
      <w:r>
        <w:rPr>
          <w:rFonts w:ascii="Book Antiqua"/>
          <w:color w:val="000000"/>
          <w:sz w:val="20"/>
          <w:szCs w:val="20"/>
          <w:u w:color="000000"/>
          <w:rtl w:val="0"/>
          <w:lang w:val="it-IT"/>
        </w:rPr>
        <w:t>di autotrasporto, presso aziende campane dove venivano detti rifiuti commercializzati come M.P.S. sia in Italia che all' estero. La New Horizons, inoltre, mediante un articolato ricorso al cosiddetto  "giro</w:t>
        <w:tab/>
        <w:t>bolla", ossia l'interposizione di altra societ</w:t>
      </w:r>
      <w:r>
        <w:rPr>
          <w:rFonts w:hAnsi="Book Antiqua" w:hint="default"/>
          <w:color w:val="000000"/>
          <w:sz w:val="20"/>
          <w:szCs w:val="20"/>
          <w:u w:color="000000"/>
          <w:rtl w:val="0"/>
          <w:lang w:val="it-IT"/>
        </w:rPr>
        <w:t xml:space="preserve">à </w:t>
      </w:r>
      <w:r>
        <w:rPr>
          <w:rFonts w:ascii="Book Antiqua"/>
          <w:color w:val="000000"/>
          <w:sz w:val="20"/>
          <w:szCs w:val="20"/>
          <w:u w:color="000000"/>
          <w:rtl w:val="0"/>
          <w:lang w:val="it-IT"/>
        </w:rPr>
        <w:t>riconducibile al sodalizio, la B.&amp;D. Ecologies, che riceveva con fattura accompagnatoria il materiale tessile in uscita dalla New Horizons e quindi lo cedeva a terzi senza che fossero compiute le prescritte operazioni di igienizzazione. E ci</w:t>
      </w:r>
      <w:r>
        <w:rPr>
          <w:rFonts w:hAnsi="Book Antiqua" w:hint="default"/>
          <w:color w:val="000000"/>
          <w:sz w:val="20"/>
          <w:szCs w:val="20"/>
          <w:u w:color="000000"/>
          <w:rtl w:val="0"/>
          <w:lang w:val="it-IT"/>
        </w:rPr>
        <w:t xml:space="preserve">ò </w:t>
      </w:r>
      <w:r>
        <w:rPr>
          <w:rFonts w:ascii="Book Antiqua"/>
          <w:color w:val="000000"/>
          <w:sz w:val="20"/>
          <w:szCs w:val="20"/>
          <w:u w:color="000000"/>
          <w:rtl w:val="0"/>
          <w:lang w:val="it-IT"/>
        </w:rPr>
        <w:t>con il flusso complessivo di rifiuti ceduti per la commercializzazione [</w:t>
      </w:r>
      <w:r>
        <w:rPr>
          <w:rFonts w:hAnsi="Book Antiqua" w:hint="default"/>
          <w:color w:val="000000"/>
          <w:sz w:val="20"/>
          <w:szCs w:val="20"/>
          <w:u w:color="000000"/>
          <w:rtl w:val="0"/>
          <w:lang w:val="it-IT"/>
        </w:rPr>
        <w:t>…</w:t>
      </w:r>
      <w:r>
        <w:rPr>
          <w:rFonts w:ascii="Book Antiqua"/>
          <w:color w:val="000000"/>
          <w:sz w:val="20"/>
          <w:szCs w:val="20"/>
          <w:u w:color="000000"/>
          <w:rtl w:val="0"/>
          <w:lang w:val="it-IT"/>
        </w:rPr>
        <w:t xml:space="preserve">] per un volume di affari complessivo di circa euro </w:t>
      </w:r>
      <w:r>
        <w:rPr>
          <w:rFonts w:hAnsi="Book Antiqua" w:hint="default"/>
          <w:color w:val="000000"/>
          <w:sz w:val="20"/>
          <w:szCs w:val="20"/>
          <w:u w:color="000000"/>
          <w:rtl w:val="0"/>
          <w:lang w:val="it-IT"/>
        </w:rPr>
        <w:t xml:space="preserve">€ </w:t>
      </w:r>
      <w:r>
        <w:rPr>
          <w:rFonts w:ascii="Book Antiqua"/>
          <w:color w:val="000000"/>
          <w:sz w:val="20"/>
          <w:szCs w:val="20"/>
          <w:u w:color="000000"/>
          <w:rtl w:val="0"/>
          <w:lang w:val="it-IT"/>
        </w:rPr>
        <w:t>1.225.208,08 per la B. &amp; D. Ecologies (e la New Horizons, societ</w:t>
      </w:r>
      <w:r>
        <w:rPr>
          <w:rFonts w:hAnsi="Book Antiqua" w:hint="default"/>
          <w:color w:val="000000"/>
          <w:sz w:val="20"/>
          <w:szCs w:val="20"/>
          <w:u w:color="000000"/>
          <w:rtl w:val="0"/>
          <w:lang w:val="it-IT"/>
        </w:rPr>
        <w:t xml:space="preserve">à </w:t>
      </w:r>
      <w:r>
        <w:rPr>
          <w:rFonts w:ascii="Book Antiqua"/>
          <w:color w:val="000000"/>
          <w:sz w:val="20"/>
          <w:szCs w:val="20"/>
          <w:u w:color="000000"/>
          <w:rtl w:val="0"/>
          <w:lang w:val="it-IT"/>
        </w:rPr>
        <w:t>che costituiscono di fatto una unica realt</w:t>
      </w:r>
      <w:r>
        <w:rPr>
          <w:rFonts w:hAnsi="Book Antiqua" w:hint="default"/>
          <w:color w:val="000000"/>
          <w:sz w:val="20"/>
          <w:szCs w:val="20"/>
          <w:u w:color="000000"/>
          <w:rtl w:val="0"/>
          <w:lang w:val="it-IT"/>
        </w:rPr>
        <w:t>à</w:t>
      </w:r>
      <w:r>
        <w:rPr>
          <w:rFonts w:ascii="Book Antiqua"/>
          <w:color w:val="000000"/>
          <w:sz w:val="20"/>
          <w:szCs w:val="20"/>
          <w:u w:color="000000"/>
          <w:rtl w:val="0"/>
          <w:lang w:val="it-IT"/>
        </w:rPr>
        <w:t xml:space="preserve">) e di circa </w:t>
      </w:r>
      <w:r>
        <w:rPr>
          <w:rFonts w:hAnsi="Book Antiqua" w:hint="default"/>
          <w:color w:val="000000"/>
          <w:sz w:val="20"/>
          <w:szCs w:val="20"/>
          <w:u w:color="000000"/>
          <w:rtl w:val="0"/>
          <w:lang w:val="it-IT"/>
        </w:rPr>
        <w:t xml:space="preserve">€ </w:t>
      </w:r>
      <w:r>
        <w:rPr>
          <w:rFonts w:ascii="Book Antiqua"/>
          <w:color w:val="000000"/>
          <w:sz w:val="20"/>
          <w:szCs w:val="20"/>
          <w:u w:color="000000"/>
          <w:rtl w:val="0"/>
          <w:lang w:val="it-IT"/>
        </w:rPr>
        <w:t>415.290,27 per l'Apemaia Onlus.</w:t>
      </w:r>
      <w:r>
        <w:rPr>
          <w:rFonts w:hAnsi="Book Antiqua" w:hint="default"/>
          <w:color w:val="000000"/>
          <w:sz w:val="20"/>
          <w:szCs w:val="20"/>
          <w:u w:color="000000"/>
          <w:rtl w:val="0"/>
          <w:lang w:val="it-IT"/>
        </w:rPr>
        <w:t>”</w:t>
      </w:r>
      <w:r>
        <w:rPr>
          <w:rFonts w:ascii="Book Antiqua"/>
          <w:color w:val="000000"/>
          <w:sz w:val="20"/>
          <w:szCs w:val="20"/>
          <w:u w:color="000000"/>
          <w:rtl w:val="0"/>
          <w:lang w:val="it-IT"/>
        </w:rPr>
        <w:t>;</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0"/>
          <w:szCs w:val="20"/>
          <w:u w:color="000000"/>
        </w:rPr>
      </w:pPr>
      <w:r>
        <w:rPr>
          <w:rFonts w:hAnsi="Book Antiqua" w:hint="default"/>
          <w:color w:val="000000"/>
          <w:sz w:val="20"/>
          <w:szCs w:val="20"/>
          <w:u w:color="000000"/>
          <w:rtl w:val="0"/>
          <w:lang w:val="it-IT"/>
        </w:rPr>
        <w:t>“</w:t>
      </w:r>
      <w:r>
        <w:rPr>
          <w:rFonts w:ascii="Book Antiqua"/>
          <w:color w:val="000000"/>
          <w:sz w:val="20"/>
          <w:szCs w:val="20"/>
          <w:u w:color="000000"/>
          <w:rtl w:val="0"/>
          <w:lang w:val="it-IT"/>
        </w:rPr>
        <w:t>C) del reato di cui agli artt.110, 81 del codice penale, 259 del decreto legislativo n. 152 del 2006 perch</w:t>
      </w:r>
      <w:r>
        <w:rPr>
          <w:rFonts w:hAnsi="Book Antiqua" w:hint="default"/>
          <w:color w:val="000000"/>
          <w:sz w:val="20"/>
          <w:szCs w:val="20"/>
          <w:u w:color="000000"/>
          <w:rtl w:val="0"/>
          <w:lang w:val="it-IT"/>
        </w:rPr>
        <w:t xml:space="preserve">é </w:t>
      </w:r>
      <w:r>
        <w:rPr>
          <w:rFonts w:ascii="Book Antiqua"/>
          <w:color w:val="000000"/>
          <w:sz w:val="20"/>
          <w:szCs w:val="20"/>
          <w:u w:color="000000"/>
          <w:rtl w:val="0"/>
          <w:lang w:val="it-IT"/>
        </w:rPr>
        <w:t>[</w:t>
      </w:r>
      <w:r>
        <w:rPr>
          <w:rFonts w:hAnsi="Book Antiqua" w:hint="default"/>
          <w:color w:val="000000"/>
          <w:sz w:val="20"/>
          <w:szCs w:val="20"/>
          <w:u w:color="000000"/>
          <w:rtl w:val="0"/>
          <w:lang w:val="it-IT"/>
        </w:rPr>
        <w:t>…</w:t>
      </w:r>
      <w:r>
        <w:rPr>
          <w:rFonts w:ascii="Book Antiqua"/>
          <w:color w:val="000000"/>
          <w:sz w:val="20"/>
          <w:szCs w:val="20"/>
          <w:u w:color="000000"/>
          <w:rtl w:val="0"/>
          <w:lang w:val="it-IT"/>
        </w:rPr>
        <w:t>] con pi</w:t>
      </w:r>
      <w:r>
        <w:rPr>
          <w:rFonts w:hAnsi="Book Antiqua" w:hint="default"/>
          <w:color w:val="000000"/>
          <w:sz w:val="20"/>
          <w:szCs w:val="20"/>
          <w:u w:color="000000"/>
          <w:rtl w:val="0"/>
          <w:lang w:val="it-IT"/>
        </w:rPr>
        <w:t xml:space="preserve">ù </w:t>
      </w:r>
      <w:r>
        <w:rPr>
          <w:rFonts w:ascii="Book Antiqua"/>
          <w:color w:val="000000"/>
          <w:sz w:val="20"/>
          <w:szCs w:val="20"/>
          <w:u w:color="000000"/>
          <w:rtl w:val="0"/>
          <w:lang w:val="it-IT"/>
        </w:rPr>
        <w:t>azioni esecutive di un medesimo disegno criminoso, anche in tempi diversi effettuavano spedizioni di rifiuti costituente traffico illecito ai sensi dell'articolo 2 del regolamento (CEE) lO febbraio 1993, n. 259 (ora sostituito dal regolamento (CE) de124 giugno 2006, n.1013), in particolare organizzando numerose spedizioni di rifiuti tessili contraddistinti al codice CER 200110 200111 verso Paesi non appartenenti all'Unione europea (Tunisia), accompagnati da documenti di trasporto ideologicamente falsi. In particolare quanto agli impianti di recupero gestiti dalle societ</w:t>
      </w:r>
      <w:r>
        <w:rPr>
          <w:rFonts w:hAnsi="Book Antiqua" w:hint="default"/>
          <w:color w:val="000000"/>
          <w:sz w:val="20"/>
          <w:szCs w:val="20"/>
          <w:u w:color="000000"/>
          <w:rtl w:val="0"/>
          <w:lang w:val="it-IT"/>
        </w:rPr>
        <w:t xml:space="preserve">à </w:t>
      </w:r>
      <w:r>
        <w:rPr>
          <w:rFonts w:ascii="Book Antiqua"/>
          <w:color w:val="000000"/>
          <w:sz w:val="20"/>
          <w:szCs w:val="20"/>
          <w:u w:color="000000"/>
          <w:rtl w:val="0"/>
          <w:lang w:val="it-IT"/>
        </w:rPr>
        <w:t>Coop. a.r.l. Lapemaia Onlus, Coop. a.r.l. New Horizons e B.F.L. in the World srl (quest'ultima in triangolazione con la B.&amp;D. Ecologies srl) si accertava: 1. l'esistenza di illecite spedizioni di rifiuti urbani non pericolosi costituiti dalla frazione tessile differenziata dal porto di Civitavecchia e da altri scali marittimi nazionali verso i paesi africani non appartenenti all'OCSE (Tunisia) quantificati, nel solo anno 2012, in complessivi chilogrammi 3.332.000 circa a mezzo di n. 184 containers</w:t>
      </w:r>
      <w:r>
        <w:rPr>
          <w:rFonts w:ascii="Book Antiqua"/>
          <w:i w:val="1"/>
          <w:iCs w:val="1"/>
          <w:color w:val="000000"/>
          <w:sz w:val="20"/>
          <w:szCs w:val="20"/>
          <w:u w:color="000000"/>
          <w:rtl w:val="0"/>
          <w:lang w:val="it-IT"/>
        </w:rPr>
        <w:t>;</w:t>
      </w:r>
      <w:r>
        <w:rPr>
          <w:rFonts w:ascii="Book Antiqua"/>
          <w:color w:val="000000"/>
          <w:sz w:val="20"/>
          <w:szCs w:val="20"/>
          <w:u w:color="000000"/>
          <w:rtl w:val="0"/>
          <w:lang w:val="it-IT"/>
        </w:rPr>
        <w:t xml:space="preserve"> 2. l'esistenza di un'articolata organizzazione, connotata da logistica internazionale, basata su un accordo, generale e continuativo, a monte (aziende operanti quali recuperatori di rifiuti) ed a valle (intermcdiari/commercianti senza detenzione dei rifiuti) della filiera dei rifiuti, volto all'attuazione di un programma criminoso destinato a permanere anche dopo la consumazione dei singoli delitti di </w:t>
      </w:r>
      <w:r>
        <w:rPr>
          <w:rFonts w:hAnsi="Book Antiqua" w:hint="default"/>
          <w:color w:val="000000"/>
          <w:sz w:val="20"/>
          <w:szCs w:val="20"/>
          <w:u w:color="000000"/>
          <w:rtl w:val="0"/>
          <w:lang w:val="it-IT"/>
        </w:rPr>
        <w:t>«</w:t>
      </w:r>
      <w:r>
        <w:rPr>
          <w:rFonts w:ascii="Book Antiqua"/>
          <w:color w:val="000000"/>
          <w:sz w:val="20"/>
          <w:szCs w:val="20"/>
          <w:u w:color="000000"/>
          <w:rtl w:val="0"/>
          <w:lang w:val="it-IT"/>
        </w:rPr>
        <w:t>attivit</w:t>
      </w:r>
      <w:r>
        <w:rPr>
          <w:rFonts w:hAnsi="Book Antiqua" w:hint="default"/>
          <w:color w:val="000000"/>
          <w:sz w:val="20"/>
          <w:szCs w:val="20"/>
          <w:u w:color="000000"/>
          <w:rtl w:val="0"/>
          <w:lang w:val="it-IT"/>
        </w:rPr>
        <w:t xml:space="preserve">à </w:t>
      </w:r>
      <w:r>
        <w:rPr>
          <w:rFonts w:ascii="Book Antiqua"/>
          <w:color w:val="000000"/>
          <w:sz w:val="20"/>
          <w:szCs w:val="20"/>
          <w:u w:color="000000"/>
          <w:rtl w:val="0"/>
          <w:lang w:val="it-IT"/>
        </w:rPr>
        <w:t>organizzate per il traffico illecito dei rifiuti</w:t>
      </w:r>
      <w:r>
        <w:rPr>
          <w:rFonts w:hAnsi="Book Antiqua" w:hint="default"/>
          <w:color w:val="000000"/>
          <w:sz w:val="20"/>
          <w:szCs w:val="20"/>
          <w:u w:color="000000"/>
          <w:rtl w:val="0"/>
          <w:lang w:val="it-IT"/>
        </w:rPr>
        <w:t xml:space="preserve">» </w:t>
      </w:r>
      <w:r>
        <w:rPr>
          <w:rFonts w:ascii="Book Antiqua"/>
          <w:color w:val="000000"/>
          <w:sz w:val="20"/>
          <w:szCs w:val="20"/>
          <w:u w:color="000000"/>
          <w:rtl w:val="0"/>
          <w:lang w:val="it-IT"/>
        </w:rPr>
        <w:t xml:space="preserve">e </w:t>
      </w:r>
      <w:r>
        <w:rPr>
          <w:rFonts w:hAnsi="Book Antiqua" w:hint="default"/>
          <w:color w:val="000000"/>
          <w:sz w:val="20"/>
          <w:szCs w:val="20"/>
          <w:u w:color="000000"/>
          <w:rtl w:val="0"/>
          <w:lang w:val="it-IT"/>
        </w:rPr>
        <w:t>«</w:t>
      </w:r>
      <w:r>
        <w:rPr>
          <w:rFonts w:ascii="Book Antiqua"/>
          <w:color w:val="000000"/>
          <w:sz w:val="20"/>
          <w:szCs w:val="20"/>
          <w:u w:color="000000"/>
          <w:rtl w:val="0"/>
          <w:lang w:val="it-IT"/>
        </w:rPr>
        <w:t>falsit</w:t>
      </w:r>
      <w:r>
        <w:rPr>
          <w:rFonts w:hAnsi="Book Antiqua" w:hint="default"/>
          <w:color w:val="000000"/>
          <w:sz w:val="20"/>
          <w:szCs w:val="20"/>
          <w:u w:color="000000"/>
          <w:rtl w:val="0"/>
          <w:lang w:val="it-IT"/>
        </w:rPr>
        <w:t xml:space="preserve">à </w:t>
      </w:r>
      <w:r>
        <w:rPr>
          <w:rFonts w:ascii="Book Antiqua"/>
          <w:color w:val="000000"/>
          <w:sz w:val="20"/>
          <w:szCs w:val="20"/>
          <w:u w:color="000000"/>
          <w:rtl w:val="0"/>
          <w:lang w:val="it-IT"/>
        </w:rPr>
        <w:t>ideologica in atti pubblici</w:t>
      </w:r>
      <w:r>
        <w:rPr>
          <w:rFonts w:hAnsi="Book Antiqua" w:hint="default"/>
          <w:color w:val="000000"/>
          <w:sz w:val="20"/>
          <w:szCs w:val="20"/>
          <w:u w:color="000000"/>
          <w:rtl w:val="0"/>
          <w:lang w:val="it-IT"/>
        </w:rPr>
        <w:t>»</w:t>
      </w:r>
      <w:r>
        <w:rPr>
          <w:rFonts w:ascii="Book Antiqua"/>
          <w:color w:val="000000"/>
          <w:sz w:val="20"/>
          <w:szCs w:val="20"/>
          <w:u w:color="000000"/>
          <w:rtl w:val="0"/>
          <w:lang w:val="it-IT"/>
        </w:rPr>
        <w:t>; 3. la volont</w:t>
      </w:r>
      <w:r>
        <w:rPr>
          <w:rFonts w:hAnsi="Book Antiqua" w:hint="default"/>
          <w:color w:val="000000"/>
          <w:sz w:val="20"/>
          <w:szCs w:val="20"/>
          <w:u w:color="000000"/>
          <w:rtl w:val="0"/>
          <w:lang w:val="it-IT"/>
        </w:rPr>
        <w:t xml:space="preserve">à </w:t>
      </w:r>
      <w:r>
        <w:rPr>
          <w:rFonts w:ascii="Book Antiqua"/>
          <w:color w:val="000000"/>
          <w:sz w:val="20"/>
          <w:szCs w:val="20"/>
          <w:u w:color="000000"/>
          <w:rtl w:val="0"/>
          <w:lang w:val="it-IT"/>
        </w:rPr>
        <w:t>di predisporre artatamente la dichiarazione doganale di esportazione con dati t</w:t>
      </w:r>
      <w:r>
        <w:rPr>
          <w:rFonts w:hAnsi="Book Antiqua" w:hint="default"/>
          <w:color w:val="000000"/>
          <w:sz w:val="20"/>
          <w:szCs w:val="20"/>
          <w:u w:color="000000"/>
          <w:rtl w:val="0"/>
          <w:lang w:val="it-IT"/>
        </w:rPr>
        <w:t>à</w:t>
      </w:r>
      <w:r>
        <w:rPr>
          <w:rFonts w:ascii="Book Antiqua"/>
          <w:color w:val="000000"/>
          <w:sz w:val="20"/>
          <w:szCs w:val="20"/>
          <w:u w:color="000000"/>
          <w:rtl w:val="0"/>
          <w:lang w:val="it-IT"/>
        </w:rPr>
        <w:t>lsi in ordine alla dichiarazione di normali beni di consumo anzich</w:t>
      </w:r>
      <w:r>
        <w:rPr>
          <w:rFonts w:hAnsi="Book Antiqua" w:hint="default"/>
          <w:color w:val="000000"/>
          <w:sz w:val="20"/>
          <w:szCs w:val="20"/>
          <w:u w:color="000000"/>
          <w:rtl w:val="0"/>
          <w:lang w:val="it-IT"/>
        </w:rPr>
        <w:t xml:space="preserve">é </w:t>
      </w:r>
      <w:r>
        <w:rPr>
          <w:rFonts w:ascii="Book Antiqua"/>
          <w:color w:val="000000"/>
          <w:sz w:val="20"/>
          <w:szCs w:val="20"/>
          <w:u w:color="000000"/>
          <w:rtl w:val="0"/>
          <w:lang w:val="it-IT"/>
        </w:rPr>
        <w:t>dei codici identificativi CER dei rifiuti tessili differenziati, con l'intento di superare senza problemi eventuali controlli doganali. Le illecite esportazioni di rifiuti sono avvenute attraverso i porti di Salerno e Civitavecchia,</w:t>
      </w:r>
      <w:r>
        <w:rPr>
          <w:rFonts w:hAnsi="Book Antiqua" w:hint="default"/>
          <w:color w:val="000000"/>
          <w:sz w:val="20"/>
          <w:szCs w:val="20"/>
          <w:u w:color="000000"/>
          <w:rtl w:val="0"/>
          <w:lang w:val="it-IT"/>
        </w:rPr>
        <w:t>”</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pPr>
      <w:r>
        <w:rPr>
          <w:rFonts w:ascii="Book Antiqua"/>
          <w:color w:val="000000"/>
          <w:sz w:val="20"/>
          <w:szCs w:val="20"/>
          <w:u w:color="000000"/>
          <w:rtl w:val="0"/>
          <w:lang w:val="it-IT"/>
        </w:rPr>
        <w:t>Le ulteriori contestazioni riguardano i reati di cui agli artt. 476, 479, 483 del codice penale, 256 decreto legislativo 152/2006.</w:t>
      </w:r>
    </w:p>
  </w:footnote>
  <w:footnote w:id="184">
    <w:p>
      <w:pPr>
        <w:pStyle w:val="footnote text"/>
        <w:ind w:left="567" w:right="567" w:firstLine="0"/>
        <w:jc w:val="both"/>
      </w:pPr>
      <w:r>
        <w:rPr>
          <w:rFonts w:ascii="Book Antiqua" w:cs="Book Antiqua" w:hAnsi="Book Antiqua" w:eastAsia="Book Antiqua"/>
          <w:color w:val="262626"/>
          <w:u w:color="262626"/>
          <w:vertAlign w:val="superscript"/>
          <w:rtl w:val="0"/>
        </w:rPr>
        <w:footnoteRef/>
      </w:r>
      <w:r>
        <w:rPr>
          <w:rFonts w:ascii="Book Antiqua"/>
          <w:sz w:val="20"/>
          <w:szCs w:val="20"/>
          <w:rtl w:val="0"/>
          <w:lang w:val="it-IT"/>
        </w:rPr>
        <w:t xml:space="preserve"> La Commissione ha chiesto all</w:t>
      </w:r>
      <w:r>
        <w:rPr>
          <w:rFonts w:hAnsi="Book Antiqua" w:hint="default"/>
          <w:sz w:val="20"/>
          <w:szCs w:val="20"/>
          <w:rtl w:val="0"/>
          <w:lang w:val="it-IT"/>
        </w:rPr>
        <w:t>’</w:t>
      </w:r>
      <w:r>
        <w:rPr>
          <w:rFonts w:ascii="Book Antiqua"/>
          <w:sz w:val="20"/>
          <w:szCs w:val="20"/>
          <w:rtl w:val="0"/>
          <w:lang w:val="it-IT"/>
        </w:rPr>
        <w:t xml:space="preserve">audito i motivi della cessazione del suo incarico, che egli ha riferito semplicemente al venir meno della sua condizione di distacco dalla societa (ACEA) di cui </w:t>
      </w:r>
      <w:r>
        <w:rPr>
          <w:rFonts w:hAnsi="Book Antiqua" w:hint="default"/>
          <w:sz w:val="20"/>
          <w:szCs w:val="20"/>
          <w:rtl w:val="0"/>
          <w:lang w:val="it-IT"/>
        </w:rPr>
        <w:t xml:space="preserve">è </w:t>
      </w:r>
      <w:r>
        <w:rPr>
          <w:rFonts w:ascii="Book Antiqua"/>
          <w:sz w:val="20"/>
          <w:szCs w:val="20"/>
          <w:rtl w:val="0"/>
          <w:lang w:val="it-IT"/>
        </w:rPr>
        <w:t>dirigente</w:t>
      </w:r>
    </w:p>
  </w:footnote>
  <w:footnote w:id="185">
    <w:p>
      <w:pPr>
        <w:pStyle w:val="Normal"/>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Oltre ad altre questioni, sono state formulate in sede di ricorso, da parte del comune di Roma e ARPA Lazio, nonch</w:t>
      </w:r>
      <w:r>
        <w:rPr>
          <w:rFonts w:hAnsi="Book Antiqua" w:hint="default"/>
          <w:sz w:val="20"/>
          <w:szCs w:val="20"/>
          <w:rtl w:val="0"/>
          <w:lang w:val="it-IT"/>
        </w:rPr>
        <w:t xml:space="preserve">é </w:t>
      </w:r>
      <w:r>
        <w:rPr>
          <w:rFonts w:ascii="Book Antiqua"/>
          <w:sz w:val="20"/>
          <w:szCs w:val="20"/>
          <w:rtl w:val="0"/>
          <w:lang w:val="it-IT"/>
        </w:rPr>
        <w:t>da parte delle associazioni ambientaliste, osservazioni relative alla verificazione. Il comune di Roma e ARPA Lazio avevano proposto istanza di sostituzione del verificatore Grisolia sostenendo che quest</w:t>
      </w:r>
      <w:r>
        <w:rPr>
          <w:rFonts w:hAnsi="Book Antiqua" w:hint="default"/>
          <w:sz w:val="20"/>
          <w:szCs w:val="20"/>
          <w:rtl w:val="0"/>
          <w:lang w:val="it-IT"/>
        </w:rPr>
        <w:t>’</w:t>
      </w:r>
      <w:r>
        <w:rPr>
          <w:rFonts w:ascii="Book Antiqua"/>
          <w:sz w:val="20"/>
          <w:szCs w:val="20"/>
          <w:rtl w:val="0"/>
          <w:lang w:val="it-IT"/>
        </w:rPr>
        <w:t>ultimo aveva svolto precedentemente attivit</w:t>
      </w:r>
      <w:r>
        <w:rPr>
          <w:rFonts w:hAnsi="Book Antiqua" w:hint="default"/>
          <w:sz w:val="20"/>
          <w:szCs w:val="20"/>
          <w:rtl w:val="0"/>
          <w:lang w:val="it-IT"/>
        </w:rPr>
        <w:t xml:space="preserve">à </w:t>
      </w:r>
      <w:r>
        <w:rPr>
          <w:rFonts w:ascii="Book Antiqua"/>
          <w:sz w:val="20"/>
          <w:szCs w:val="20"/>
          <w:rtl w:val="0"/>
          <w:lang w:val="it-IT"/>
        </w:rPr>
        <w:t>di consulenza e studio per la E. Giovi s.r.l., occupandosi nello specifico proprio della discarica di Malagrotta e pubblicando altres</w:t>
      </w:r>
      <w:r>
        <w:rPr>
          <w:rFonts w:hAnsi="Book Antiqua" w:hint="default"/>
          <w:sz w:val="20"/>
          <w:szCs w:val="20"/>
          <w:rtl w:val="0"/>
          <w:lang w:val="it-IT"/>
        </w:rPr>
        <w:t xml:space="preserve">ì </w:t>
      </w:r>
      <w:r>
        <w:rPr>
          <w:rFonts w:ascii="Book Antiqua"/>
          <w:sz w:val="20"/>
          <w:szCs w:val="20"/>
          <w:rtl w:val="0"/>
          <w:lang w:val="it-IT"/>
        </w:rPr>
        <w:t>anche specifici lavori in sede scientifica sul medesimo tema.  Istanza, questa, respinta dal TAR. Le tre associazioni di tutela ambientale invece, nel ricorso proposto avverso la sentenza  6617/2011 del TAR, evidenziano che la verificazione affidata al prof. Grisolia risultava priva di riscontri fattuali giacch</w:t>
      </w:r>
      <w:r>
        <w:rPr>
          <w:rFonts w:hAnsi="Book Antiqua" w:hint="default"/>
          <w:sz w:val="20"/>
          <w:szCs w:val="20"/>
          <w:rtl w:val="0"/>
          <w:lang w:val="it-IT"/>
        </w:rPr>
        <w:t xml:space="preserve">é </w:t>
      </w:r>
      <w:r>
        <w:rPr>
          <w:rFonts w:ascii="Book Antiqua"/>
          <w:sz w:val="20"/>
          <w:szCs w:val="20"/>
          <w:rtl w:val="0"/>
          <w:lang w:val="it-IT"/>
        </w:rPr>
        <w:t xml:space="preserve">non erano state condotte indagini </w:t>
      </w:r>
      <w:r>
        <w:rPr>
          <w:rFonts w:ascii="Book Antiqua"/>
          <w:i w:val="1"/>
          <w:iCs w:val="1"/>
          <w:sz w:val="20"/>
          <w:szCs w:val="20"/>
          <w:rtl w:val="0"/>
          <w:lang w:val="it-IT"/>
        </w:rPr>
        <w:t>in situ</w:t>
      </w:r>
      <w:r>
        <w:rPr>
          <w:rFonts w:ascii="Book Antiqua"/>
          <w:sz w:val="20"/>
          <w:szCs w:val="20"/>
          <w:rtl w:val="0"/>
          <w:lang w:val="it-IT"/>
        </w:rPr>
        <w:t>. Oltre ci</w:t>
      </w:r>
      <w:r>
        <w:rPr>
          <w:rFonts w:hAnsi="Book Antiqua" w:hint="default"/>
          <w:sz w:val="20"/>
          <w:szCs w:val="20"/>
          <w:rtl w:val="0"/>
          <w:lang w:val="it-IT"/>
        </w:rPr>
        <w:t xml:space="preserve">ò </w:t>
      </w:r>
      <w:r>
        <w:rPr>
          <w:rFonts w:ascii="Book Antiqua"/>
          <w:sz w:val="20"/>
          <w:szCs w:val="20"/>
          <w:rtl w:val="0"/>
          <w:lang w:val="it-IT"/>
        </w:rPr>
        <w:t>il verificatore non avrebbe tenuto conto di valutazioni consulenziali, n</w:t>
      </w:r>
      <w:r>
        <w:rPr>
          <w:rFonts w:hAnsi="Book Antiqua" w:hint="default"/>
          <w:sz w:val="20"/>
          <w:szCs w:val="20"/>
          <w:rtl w:val="0"/>
          <w:lang w:val="it-IT"/>
        </w:rPr>
        <w:t xml:space="preserve">é </w:t>
      </w:r>
      <w:r>
        <w:rPr>
          <w:rFonts w:ascii="Book Antiqua"/>
          <w:sz w:val="20"/>
          <w:szCs w:val="20"/>
          <w:rtl w:val="0"/>
          <w:lang w:val="it-IT"/>
        </w:rPr>
        <w:t>delle analisi prodotte, n</w:t>
      </w:r>
      <w:r>
        <w:rPr>
          <w:rFonts w:hAnsi="Book Antiqua" w:hint="default"/>
          <w:sz w:val="20"/>
          <w:szCs w:val="20"/>
          <w:rtl w:val="0"/>
          <w:lang w:val="it-IT"/>
        </w:rPr>
        <w:t xml:space="preserve">é </w:t>
      </w:r>
      <w:r>
        <w:rPr>
          <w:rFonts w:ascii="Book Antiqua"/>
          <w:sz w:val="20"/>
          <w:szCs w:val="20"/>
          <w:rtl w:val="0"/>
          <w:lang w:val="it-IT"/>
        </w:rPr>
        <w:t>spiegato le ragioni della presenza in falda di inquinanti tipicamente derivanti dall</w:t>
      </w:r>
      <w:r>
        <w:rPr>
          <w:rFonts w:hAnsi="Book Antiqua" w:hint="default"/>
          <w:sz w:val="20"/>
          <w:szCs w:val="20"/>
          <w:rtl w:val="0"/>
          <w:lang w:val="it-IT"/>
        </w:rPr>
        <w:t>’</w:t>
      </w:r>
      <w:r>
        <w:rPr>
          <w:rFonts w:ascii="Book Antiqua"/>
          <w:sz w:val="20"/>
          <w:szCs w:val="20"/>
          <w:rtl w:val="0"/>
          <w:lang w:val="it-IT"/>
        </w:rPr>
        <w:t>inquinamento da discarica. Inoltre la sentenza del TAR sembrava non considerare le modalit</w:t>
      </w:r>
      <w:r>
        <w:rPr>
          <w:rFonts w:hAnsi="Book Antiqua" w:hint="default"/>
          <w:sz w:val="20"/>
          <w:szCs w:val="20"/>
          <w:rtl w:val="0"/>
          <w:lang w:val="it-IT"/>
        </w:rPr>
        <w:t xml:space="preserve">à </w:t>
      </w:r>
      <w:r>
        <w:rPr>
          <w:rFonts w:ascii="Book Antiqua"/>
          <w:sz w:val="20"/>
          <w:szCs w:val="20"/>
          <w:rtl w:val="0"/>
          <w:lang w:val="it-IT"/>
        </w:rPr>
        <w:t>di trattamento dei rifiuti nella discarica di Malagrotta, per le quali era stata aperta dalla Commissione europea la gi</w:t>
      </w:r>
      <w:r>
        <w:rPr>
          <w:rFonts w:hAnsi="Book Antiqua" w:hint="default"/>
          <w:sz w:val="20"/>
          <w:szCs w:val="20"/>
          <w:rtl w:val="0"/>
          <w:lang w:val="it-IT"/>
        </w:rPr>
        <w:t xml:space="preserve">à </w:t>
      </w:r>
      <w:r>
        <w:rPr>
          <w:rFonts w:ascii="Book Antiqua"/>
          <w:sz w:val="20"/>
          <w:szCs w:val="20"/>
          <w:rtl w:val="0"/>
          <w:lang w:val="it-IT"/>
        </w:rPr>
        <w:t>citata procedura d</w:t>
      </w:r>
      <w:r>
        <w:rPr>
          <w:rFonts w:hAnsi="Book Antiqua" w:hint="default"/>
          <w:sz w:val="20"/>
          <w:szCs w:val="20"/>
          <w:rtl w:val="0"/>
          <w:lang w:val="it-IT"/>
        </w:rPr>
        <w:t>’</w:t>
      </w:r>
      <w:r>
        <w:rPr>
          <w:rFonts w:ascii="Book Antiqua"/>
          <w:sz w:val="20"/>
          <w:szCs w:val="20"/>
          <w:rtl w:val="0"/>
          <w:lang w:val="it-IT"/>
        </w:rPr>
        <w:t>infrazione 4021/2011. Sempre secondo le associazioni, l</w:t>
      </w:r>
      <w:r>
        <w:rPr>
          <w:rFonts w:hAnsi="Book Antiqua" w:hint="default"/>
          <w:sz w:val="20"/>
          <w:szCs w:val="20"/>
          <w:rtl w:val="0"/>
          <w:lang w:val="it-IT"/>
        </w:rPr>
        <w:t>’</w:t>
      </w:r>
      <w:r>
        <w:rPr>
          <w:rFonts w:ascii="Book Antiqua"/>
          <w:sz w:val="20"/>
          <w:szCs w:val="20"/>
          <w:rtl w:val="0"/>
          <w:lang w:val="it-IT"/>
        </w:rPr>
        <w:t>unico strumento utilizzato dalla E. Giovi s.r.l. per evitare l</w:t>
      </w:r>
      <w:r>
        <w:rPr>
          <w:rFonts w:hAnsi="Book Antiqua" w:hint="default"/>
          <w:sz w:val="20"/>
          <w:szCs w:val="20"/>
          <w:rtl w:val="0"/>
          <w:lang w:val="it-IT"/>
        </w:rPr>
        <w:t>’</w:t>
      </w:r>
      <w:r>
        <w:rPr>
          <w:rFonts w:ascii="Book Antiqua"/>
          <w:sz w:val="20"/>
          <w:szCs w:val="20"/>
          <w:rtl w:val="0"/>
          <w:lang w:val="it-IT"/>
        </w:rPr>
        <w:t>inquinamento in falda era risalente al 1987.</w:t>
      </w:r>
      <w:r>
        <w:rPr>
          <w:rFonts w:ascii="Book Antiqua" w:cs="Book Antiqua" w:hAnsi="Book Antiqua" w:eastAsia="Book Antiqua"/>
          <w:sz w:val="20"/>
          <w:szCs w:val="20"/>
        </w:rPr>
      </w:r>
    </w:p>
  </w:footnote>
  <w:footnote w:id="186">
    <w:p>
      <w:pPr>
        <w:pStyle w:val="footnote text"/>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Del quale ci si occuper</w:t>
      </w:r>
      <w:r>
        <w:rPr>
          <w:rFonts w:hAnsi="Book Antiqua" w:hint="default"/>
          <w:sz w:val="20"/>
          <w:szCs w:val="20"/>
          <w:rtl w:val="0"/>
          <w:lang w:val="it-IT"/>
        </w:rPr>
        <w:t xml:space="preserve">à </w:t>
      </w:r>
      <w:r>
        <w:rPr>
          <w:rFonts w:ascii="Book Antiqua"/>
          <w:sz w:val="20"/>
          <w:szCs w:val="20"/>
          <w:rtl w:val="0"/>
          <w:lang w:val="it-IT"/>
        </w:rPr>
        <w:t xml:space="preserve">nel </w:t>
      </w:r>
      <w:r>
        <w:rPr>
          <w:rFonts w:hAnsi="Book Antiqua" w:hint="default"/>
          <w:sz w:val="20"/>
          <w:szCs w:val="20"/>
          <w:rtl w:val="0"/>
          <w:lang w:val="it-IT"/>
        </w:rPr>
        <w:t xml:space="preserve">§ </w:t>
      </w:r>
      <w:r>
        <w:rPr>
          <w:rFonts w:ascii="Book Antiqua"/>
          <w:sz w:val="20"/>
          <w:szCs w:val="20"/>
          <w:rtl w:val="0"/>
          <w:lang w:val="it-IT"/>
        </w:rPr>
        <w:t>6.4</w:t>
      </w:r>
    </w:p>
  </w:footnote>
  <w:footnote w:id="187">
    <w:p>
      <w:pPr>
        <w:pStyle w:val="Normal"/>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Nello specifico, la relazione del collegio dei verificatori, nella versione finale, veniva redatta dai proff. Giuseppe Genon, Mariachiara Zanetti e Rajandrea Sethi. Alla predisposizione del documento partecipavano anche gli ingg. Alessandro Casasso e Francesca Messina per quanto attinente alla stesura del documento, l</w:t>
      </w:r>
      <w:r>
        <w:rPr>
          <w:rFonts w:hAnsi="Book Antiqua" w:hint="default"/>
          <w:sz w:val="20"/>
          <w:szCs w:val="20"/>
          <w:rtl w:val="0"/>
          <w:lang w:val="it-IT"/>
        </w:rPr>
        <w:t>’</w:t>
      </w:r>
      <w:r>
        <w:rPr>
          <w:rFonts w:ascii="Book Antiqua"/>
          <w:sz w:val="20"/>
          <w:szCs w:val="20"/>
          <w:rtl w:val="0"/>
          <w:lang w:val="it-IT"/>
        </w:rPr>
        <w:t>elaborazione dati e le prove idrauliche. Gli ingg. Deborah Panepinto per la stesura documento ed elaborazione dati; gli ingg. Marco Piras, Paolo Dabove e Irene Aicardi  per la parte relativa al rilievo topografico plano-altimetrico e l</w:t>
      </w:r>
      <w:r>
        <w:rPr>
          <w:rFonts w:hAnsi="Book Antiqua" w:hint="default"/>
          <w:sz w:val="20"/>
          <w:szCs w:val="20"/>
          <w:rtl w:val="0"/>
          <w:lang w:val="it-IT"/>
        </w:rPr>
        <w:t>’</w:t>
      </w:r>
      <w:r>
        <w:rPr>
          <w:rFonts w:ascii="Book Antiqua"/>
          <w:sz w:val="20"/>
          <w:szCs w:val="20"/>
          <w:rtl w:val="0"/>
          <w:lang w:val="it-IT"/>
        </w:rPr>
        <w:t>ing. Alessandro Arato quanto al rilievo piezometrico.</w:t>
      </w:r>
      <w:r>
        <w:rPr>
          <w:rFonts w:ascii="Book Antiqua" w:cs="Book Antiqua" w:hAnsi="Book Antiqua" w:eastAsia="Book Antiqua"/>
          <w:sz w:val="20"/>
          <w:szCs w:val="20"/>
        </w:rPr>
      </w:r>
    </w:p>
  </w:footnote>
  <w:footnote w:id="188">
    <w:p>
      <w:pPr>
        <w:pStyle w:val="footnote text"/>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Una sintesi della vicenda anche nei suoi aspetti processuali </w:t>
      </w:r>
      <w:r>
        <w:rPr>
          <w:rFonts w:hAnsi="Book Antiqua" w:hint="default"/>
          <w:sz w:val="20"/>
          <w:szCs w:val="20"/>
          <w:rtl w:val="0"/>
          <w:lang w:val="it-IT"/>
        </w:rPr>
        <w:t xml:space="preserve">è </w:t>
      </w:r>
      <w:r>
        <w:rPr>
          <w:rFonts w:ascii="Book Antiqua"/>
          <w:sz w:val="20"/>
          <w:szCs w:val="20"/>
          <w:rtl w:val="0"/>
          <w:lang w:val="it-IT"/>
        </w:rPr>
        <w:t>rinvenibile nelle dichiarazioni del sostituto procuratore Alberto Galanti, nel corso dell</w:t>
      </w:r>
      <w:r>
        <w:rPr>
          <w:rFonts w:hAnsi="Book Antiqua" w:hint="default"/>
          <w:sz w:val="20"/>
          <w:szCs w:val="20"/>
          <w:rtl w:val="0"/>
          <w:lang w:val="it-IT"/>
        </w:rPr>
        <w:t>’</w:t>
      </w:r>
      <w:r>
        <w:rPr>
          <w:rFonts w:ascii="Book Antiqua"/>
          <w:sz w:val="20"/>
          <w:szCs w:val="20"/>
          <w:rtl w:val="0"/>
          <w:lang w:val="it-IT"/>
        </w:rPr>
        <w:t>audizione dei magistrati della procura della Repubblica di Roma del 30 maggio 2017</w:t>
      </w:r>
    </w:p>
  </w:footnote>
  <w:footnote w:id="189">
    <w:p>
      <w:pPr>
        <w:pStyle w:val="footnote text"/>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La legge 22 maggio 2015, n. 68 ha introdotto nell</w:t>
      </w:r>
      <w:r>
        <w:rPr>
          <w:rFonts w:hAnsi="Book Antiqua" w:hint="default"/>
          <w:sz w:val="20"/>
          <w:szCs w:val="20"/>
          <w:rtl w:val="0"/>
          <w:lang w:val="it-IT"/>
        </w:rPr>
        <w:t>’</w:t>
      </w:r>
      <w:r>
        <w:rPr>
          <w:rFonts w:ascii="Book Antiqua"/>
          <w:sz w:val="20"/>
          <w:szCs w:val="20"/>
          <w:rtl w:val="0"/>
          <w:lang w:val="it-IT"/>
        </w:rPr>
        <w:t>articolo 25-undecies decreto legislativo 8 giugno 2001, n. 231, la responsabilit</w:t>
      </w:r>
      <w:r>
        <w:rPr>
          <w:rFonts w:hAnsi="Book Antiqua" w:hint="default"/>
          <w:sz w:val="20"/>
          <w:szCs w:val="20"/>
          <w:rtl w:val="0"/>
          <w:lang w:val="it-IT"/>
        </w:rPr>
        <w:t xml:space="preserve">à </w:t>
      </w:r>
      <w:r>
        <w:rPr>
          <w:rFonts w:ascii="Book Antiqua"/>
          <w:sz w:val="20"/>
          <w:szCs w:val="20"/>
          <w:rtl w:val="0"/>
          <w:lang w:val="it-IT"/>
        </w:rPr>
        <w:t>degli enti per i delitti di cui agli artt. 452-bis, 452-quater, 452-quinquies, 452-sexies, 452-octies del codice penale.</w:t>
      </w:r>
    </w:p>
  </w:footnote>
  <w:footnote w:id="190">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Talune argomentazioni difensive hanno trovato ingresso negli atti della Commissione mediante una lettera a firma di Carmelina Scaglione, attuale amministratore unico della E. Giovi s.r.l., acquisita come doc. n. 2075/1: su alcuni punti specifici vengono riportate circostanze in fatto: </w:t>
      </w:r>
      <w:r>
        <w:rPr>
          <w:rFonts w:hAnsi="Book Antiqua" w:hint="default"/>
          <w:sz w:val="20"/>
          <w:szCs w:val="20"/>
          <w:rtl w:val="0"/>
          <w:lang w:val="it-IT"/>
        </w:rPr>
        <w:t>“</w:t>
      </w:r>
      <w:r>
        <w:rPr>
          <w:rFonts w:ascii="Book Antiqua"/>
          <w:sz w:val="20"/>
          <w:szCs w:val="20"/>
          <w:rtl w:val="0"/>
          <w:lang w:val="it-IT"/>
        </w:rPr>
        <w:t xml:space="preserve">[il percolato] </w:t>
      </w:r>
      <w:r>
        <w:rPr>
          <w:rFonts w:ascii="Book Antiqua"/>
          <w:color w:val="000000"/>
          <w:sz w:val="20"/>
          <w:szCs w:val="20"/>
          <w:u w:color="000000"/>
          <w:rtl w:val="0"/>
          <w:lang w:val="it-IT"/>
        </w:rPr>
        <w:t>verrebbe estratto dal gestore E. Giovi srl in quantit</w:t>
      </w:r>
      <w:r>
        <w:rPr>
          <w:rFonts w:hAnsi="Book Antiqua" w:hint="default"/>
          <w:color w:val="000000"/>
          <w:sz w:val="20"/>
          <w:szCs w:val="20"/>
          <w:u w:color="000000"/>
          <w:rtl w:val="0"/>
          <w:lang w:val="it-IT"/>
        </w:rPr>
        <w:t xml:space="preserve">à </w:t>
      </w:r>
      <w:r>
        <w:rPr>
          <w:rFonts w:ascii="Book Antiqua"/>
          <w:color w:val="000000"/>
          <w:sz w:val="20"/>
          <w:szCs w:val="20"/>
          <w:u w:color="000000"/>
          <w:rtl w:val="0"/>
          <w:lang w:val="it-IT"/>
        </w:rPr>
        <w:t xml:space="preserve">via via decrescenti dal 2010 in poi tanto che oggi esso sarebbe dell'ordine del 10-12-15% rispetto al bilancio di massa fatto annualmente. Inoltre l'estrazione non avverrebbe attraverso gli appositi pozzi (circa uno per ognuno dei 10 lotti), ma attraverso i pozzi per la captazione del gas di discarica (biogas), circa 2.000 su tutta l'area, estraendo la ed. condensa che risulta trascinata assieme al biogas. In merito si fa presente che [in] sede di istruttoria per il piano di adeguamento della discarica di Malagrotta, il Gruppo di lavoro istituzionale costituito presso il Commissario per l'emergenza rifiuti, pervenne alla conclusione che il quantitativo medio annuale di percolato da estrarre e trattare fosse pari a circa 55.000 mc/anno. Pertanto questo deve essere il riferimento ufficiale per la produzione di percolato. Ebbene: negli anni dal 2007 al 2016 compresi il percolato della discarica di Malagrotta asportato e smaltito presso terzi </w:t>
      </w:r>
      <w:r>
        <w:rPr>
          <w:rFonts w:hAnsi="Book Antiqua" w:hint="default"/>
          <w:color w:val="000000"/>
          <w:sz w:val="20"/>
          <w:szCs w:val="20"/>
          <w:u w:color="000000"/>
          <w:rtl w:val="0"/>
          <w:lang w:val="it-IT"/>
        </w:rPr>
        <w:t xml:space="preserve">è </w:t>
      </w:r>
      <w:r>
        <w:rPr>
          <w:rFonts w:ascii="Book Antiqua"/>
          <w:color w:val="000000"/>
          <w:sz w:val="20"/>
          <w:szCs w:val="20"/>
          <w:u w:color="000000"/>
          <w:rtl w:val="0"/>
          <w:lang w:val="it-IT"/>
        </w:rPr>
        <w:t>stato pari a 547.036 me (dati agli atti dell'ARPA Lazio), cui corrisponde una media annua (su 10 anni) di 54.704 me in perfetta linea con le previsioni</w:t>
      </w:r>
      <w:r>
        <w:rPr>
          <w:rFonts w:hAnsi="Book Antiqua" w:hint="default"/>
          <w:color w:val="000000"/>
          <w:sz w:val="20"/>
          <w:szCs w:val="20"/>
          <w:u w:color="000000"/>
          <w:rtl w:val="0"/>
          <w:lang w:val="it-IT"/>
        </w:rPr>
        <w:t>”</w:t>
      </w:r>
      <w:r>
        <w:rPr>
          <w:rFonts w:ascii="Book Antiqua"/>
          <w:color w:val="000000"/>
          <w:sz w:val="20"/>
          <w:szCs w:val="20"/>
          <w:u w:color="000000"/>
          <w:rtl w:val="0"/>
          <w:lang w:val="it-IT"/>
        </w:rPr>
        <w:t>; circa le recenti indagini del NOE a Malagrotta da cui sarebbero emerse presenze di liquido riconducibile a percolato che si evidenziavano sotto forma di affioramenti e ristagni, la scoiet</w:t>
      </w:r>
      <w:r>
        <w:rPr>
          <w:rFonts w:hAnsi="Book Antiqua" w:hint="default"/>
          <w:color w:val="000000"/>
          <w:sz w:val="20"/>
          <w:szCs w:val="20"/>
          <w:u w:color="000000"/>
          <w:rtl w:val="0"/>
          <w:lang w:val="it-IT"/>
        </w:rPr>
        <w:t xml:space="preserve">à </w:t>
      </w:r>
      <w:r>
        <w:rPr>
          <w:rFonts w:ascii="Book Antiqua"/>
          <w:color w:val="000000"/>
          <w:sz w:val="20"/>
          <w:szCs w:val="20"/>
          <w:u w:color="000000"/>
          <w:rtl w:val="0"/>
          <w:lang w:val="it-IT"/>
        </w:rPr>
        <w:t xml:space="preserve">afferma che </w:t>
      </w:r>
      <w:r>
        <w:rPr>
          <w:rFonts w:hAnsi="Book Antiqua" w:hint="default"/>
          <w:color w:val="000000"/>
          <w:sz w:val="20"/>
          <w:szCs w:val="20"/>
          <w:u w:color="000000"/>
          <w:rtl w:val="0"/>
          <w:lang w:val="it-IT"/>
        </w:rPr>
        <w:t>“</w:t>
      </w:r>
      <w:r>
        <w:rPr>
          <w:rFonts w:ascii="Book Antiqua"/>
          <w:color w:val="000000"/>
          <w:sz w:val="20"/>
          <w:szCs w:val="20"/>
          <w:u w:color="000000"/>
          <w:rtl w:val="0"/>
          <w:lang w:val="it-IT"/>
        </w:rPr>
        <w:t>sono state effettuate analisi chimiche da parte dell'ARPA Lazio che, tuttavia confrontate con le analisi di routine del gestore per quanto concerne i parametri tipici del percolato (COD, BOD5 e Azoto Ammoniacale) hanno evidenziato differenze macroscopiche tali da fare escludere l'attribuzione sopra riportata. Pi</w:t>
      </w:r>
      <w:r>
        <w:rPr>
          <w:rFonts w:hAnsi="Book Antiqua" w:hint="default"/>
          <w:color w:val="000000"/>
          <w:sz w:val="20"/>
          <w:szCs w:val="20"/>
          <w:u w:color="000000"/>
          <w:rtl w:val="0"/>
          <w:lang w:val="it-IT"/>
        </w:rPr>
        <w:t xml:space="preserve">ù </w:t>
      </w:r>
      <w:r>
        <w:rPr>
          <w:rFonts w:ascii="Book Antiqua"/>
          <w:color w:val="000000"/>
          <w:sz w:val="20"/>
          <w:szCs w:val="20"/>
          <w:u w:color="000000"/>
          <w:rtl w:val="0"/>
          <w:lang w:val="it-IT"/>
        </w:rPr>
        <w:t>verosimilmente le circostanze osservate dal NOE (incremento della torbidit</w:t>
      </w:r>
      <w:r>
        <w:rPr>
          <w:rFonts w:hAnsi="Book Antiqua" w:hint="default"/>
          <w:color w:val="000000"/>
          <w:sz w:val="20"/>
          <w:szCs w:val="20"/>
          <w:u w:color="000000"/>
          <w:rtl w:val="0"/>
          <w:lang w:val="it-IT"/>
        </w:rPr>
        <w:t xml:space="preserve">à </w:t>
      </w:r>
      <w:r>
        <w:rPr>
          <w:rFonts w:ascii="Book Antiqua"/>
          <w:color w:val="000000"/>
          <w:sz w:val="20"/>
          <w:szCs w:val="20"/>
          <w:u w:color="000000"/>
          <w:rtl w:val="0"/>
          <w:lang w:val="it-IT"/>
        </w:rPr>
        <w:t>e della colorazione bruna) inducono ad attribuire le suddette evenienze ad acque di natura meteorica dilavanti su ovvero nella coltre di terreni vegetali</w:t>
      </w:r>
      <w:r>
        <w:rPr>
          <w:rFonts w:hAnsi="Book Antiqua" w:hint="default"/>
          <w:color w:val="000000"/>
          <w:sz w:val="20"/>
          <w:szCs w:val="20"/>
          <w:u w:color="000000"/>
          <w:rtl w:val="0"/>
          <w:lang w:val="it-IT"/>
        </w:rPr>
        <w:t>”</w:t>
      </w:r>
      <w:r>
        <w:rPr>
          <w:rFonts w:ascii="Book Antiqua"/>
          <w:color w:val="000000"/>
          <w:sz w:val="20"/>
          <w:szCs w:val="20"/>
          <w:u w:color="000000"/>
          <w:rtl w:val="0"/>
          <w:lang w:val="it-IT"/>
        </w:rPr>
        <w:t xml:space="preserve">; per quanto riguarda il trattamento del percolato </w:t>
      </w:r>
      <w:r>
        <w:rPr>
          <w:rFonts w:hAnsi="Book Antiqua" w:hint="default"/>
          <w:color w:val="000000"/>
          <w:sz w:val="20"/>
          <w:szCs w:val="20"/>
          <w:u w:color="000000"/>
          <w:rtl w:val="0"/>
          <w:lang w:val="it-IT"/>
        </w:rPr>
        <w:t>“</w:t>
      </w:r>
      <w:r>
        <w:rPr>
          <w:rFonts w:ascii="Book Antiqua"/>
          <w:color w:val="000000"/>
          <w:sz w:val="20"/>
          <w:szCs w:val="20"/>
          <w:u w:color="000000"/>
          <w:rtl w:val="0"/>
          <w:lang w:val="it-IT"/>
        </w:rPr>
        <w:t xml:space="preserve">il rilascio dell'autorizzazione per la costruzione e l'esercizio di un impianto di trattamento del percolato che si produce nella discarica di Malagrotta, il cui iter, avviato con nota della E. Giovi Srl n. 227 del 12.12.2012, successivamente integrata con istanza di VIA del 23.03.2015, cui ha fatto seguito l'avvio del procedimento di AIA del 5.05.2016, non si </w:t>
      </w:r>
      <w:r>
        <w:rPr>
          <w:rFonts w:hAnsi="Book Antiqua" w:hint="default"/>
          <w:color w:val="000000"/>
          <w:sz w:val="20"/>
          <w:szCs w:val="20"/>
          <w:u w:color="000000"/>
          <w:rtl w:val="0"/>
          <w:lang w:val="it-IT"/>
        </w:rPr>
        <w:t xml:space="preserve">è </w:t>
      </w:r>
      <w:r>
        <w:rPr>
          <w:rFonts w:ascii="Book Antiqua"/>
          <w:color w:val="000000"/>
          <w:sz w:val="20"/>
          <w:szCs w:val="20"/>
          <w:u w:color="000000"/>
          <w:rtl w:val="0"/>
          <w:lang w:val="it-IT"/>
        </w:rPr>
        <w:t>ancora concluso nonostante che la Regione, in sede di Conferenza di Servizi del 31.01.2017 abbia comunicato che la conclusione dell'iter di cui trattasi sarebbe intervenuta in data 26.03.2017, data trascorsa senza alcun esito</w:t>
      </w:r>
      <w:r>
        <w:rPr>
          <w:rFonts w:hAnsi="Book Antiqua" w:hint="default"/>
          <w:color w:val="000000"/>
          <w:sz w:val="20"/>
          <w:szCs w:val="20"/>
          <w:u w:color="000000"/>
          <w:rtl w:val="0"/>
          <w:lang w:val="it-IT"/>
        </w:rPr>
        <w:t>”</w:t>
      </w:r>
      <w:r>
        <w:rPr>
          <w:rFonts w:ascii="Book Antiqua"/>
          <w:color w:val="000000"/>
          <w:sz w:val="20"/>
          <w:szCs w:val="20"/>
          <w:u w:color="000000"/>
          <w:rtl w:val="0"/>
          <w:lang w:val="it-IT"/>
        </w:rPr>
        <w:t>; la scoiet</w:t>
      </w:r>
      <w:r>
        <w:rPr>
          <w:rFonts w:hAnsi="Book Antiqua" w:hint="default"/>
          <w:color w:val="000000"/>
          <w:sz w:val="20"/>
          <w:szCs w:val="20"/>
          <w:u w:color="000000"/>
          <w:rtl w:val="0"/>
          <w:lang w:val="it-IT"/>
        </w:rPr>
        <w:t xml:space="preserve">à </w:t>
      </w:r>
      <w:r>
        <w:rPr>
          <w:rFonts w:ascii="Book Antiqua"/>
          <w:color w:val="000000"/>
          <w:sz w:val="20"/>
          <w:szCs w:val="20"/>
          <w:u w:color="000000"/>
          <w:rtl w:val="0"/>
          <w:lang w:val="it-IT"/>
        </w:rPr>
        <w:t>fa rilevare</w:t>
      </w:r>
      <w:r>
        <w:rPr>
          <w:rFonts w:hAnsi="Book Antiqua" w:hint="default"/>
          <w:color w:val="000000"/>
          <w:sz w:val="20"/>
          <w:szCs w:val="20"/>
          <w:u w:color="000000"/>
          <w:rtl w:val="0"/>
          <w:lang w:val="it-IT"/>
        </w:rPr>
        <w:t xml:space="preserve">” </w:t>
      </w:r>
      <w:r>
        <w:rPr>
          <w:rFonts w:ascii="Book Antiqua"/>
          <w:color w:val="000000"/>
          <w:sz w:val="20"/>
          <w:szCs w:val="20"/>
          <w:u w:color="000000"/>
          <w:rtl w:val="0"/>
          <w:lang w:val="it-IT"/>
        </w:rPr>
        <w:t xml:space="preserve">che </w:t>
      </w:r>
      <w:r>
        <w:rPr>
          <w:rFonts w:hAnsi="Book Antiqua" w:hint="default"/>
          <w:color w:val="000000"/>
          <w:sz w:val="20"/>
          <w:szCs w:val="20"/>
          <w:u w:color="000000"/>
          <w:rtl w:val="0"/>
          <w:lang w:val="it-IT"/>
        </w:rPr>
        <w:t>“</w:t>
      </w:r>
      <w:r>
        <w:rPr>
          <w:rFonts w:ascii="Book Antiqua"/>
          <w:color w:val="000000"/>
          <w:sz w:val="20"/>
          <w:szCs w:val="20"/>
          <w:u w:color="000000"/>
          <w:rtl w:val="0"/>
          <w:lang w:val="it-IT"/>
        </w:rPr>
        <w:t xml:space="preserve">l'impianto </w:t>
      </w:r>
      <w:r>
        <w:rPr>
          <w:rFonts w:hAnsi="Book Antiqua" w:hint="default"/>
          <w:color w:val="000000"/>
          <w:sz w:val="20"/>
          <w:szCs w:val="20"/>
          <w:u w:color="000000"/>
          <w:rtl w:val="0"/>
          <w:lang w:val="it-IT"/>
        </w:rPr>
        <w:t xml:space="preserve">è </w:t>
      </w:r>
      <w:r>
        <w:rPr>
          <w:rFonts w:ascii="Book Antiqua"/>
          <w:color w:val="000000"/>
          <w:sz w:val="20"/>
          <w:szCs w:val="20"/>
          <w:u w:color="000000"/>
          <w:rtl w:val="0"/>
          <w:lang w:val="it-IT"/>
        </w:rPr>
        <w:t>gi</w:t>
      </w:r>
      <w:r>
        <w:rPr>
          <w:rFonts w:hAnsi="Book Antiqua" w:hint="default"/>
          <w:color w:val="000000"/>
          <w:sz w:val="20"/>
          <w:szCs w:val="20"/>
          <w:u w:color="000000"/>
          <w:rtl w:val="0"/>
          <w:lang w:val="it-IT"/>
        </w:rPr>
        <w:t xml:space="preserve">à </w:t>
      </w:r>
      <w:r>
        <w:rPr>
          <w:rFonts w:ascii="Book Antiqua"/>
          <w:color w:val="000000"/>
          <w:sz w:val="20"/>
          <w:szCs w:val="20"/>
          <w:u w:color="000000"/>
          <w:rtl w:val="0"/>
          <w:lang w:val="it-IT"/>
        </w:rPr>
        <w:t xml:space="preserve">stato realizzato e che il personale operativo </w:t>
      </w:r>
      <w:r>
        <w:rPr>
          <w:rFonts w:hAnsi="Book Antiqua" w:hint="default"/>
          <w:color w:val="000000"/>
          <w:sz w:val="20"/>
          <w:szCs w:val="20"/>
          <w:u w:color="000000"/>
          <w:rtl w:val="0"/>
          <w:lang w:val="it-IT"/>
        </w:rPr>
        <w:t xml:space="preserve">è </w:t>
      </w:r>
      <w:r>
        <w:rPr>
          <w:rFonts w:ascii="Book Antiqua"/>
          <w:color w:val="000000"/>
          <w:sz w:val="20"/>
          <w:szCs w:val="20"/>
          <w:u w:color="000000"/>
          <w:rtl w:val="0"/>
          <w:lang w:val="it-IT"/>
        </w:rPr>
        <w:t>gi</w:t>
      </w:r>
      <w:r>
        <w:rPr>
          <w:rFonts w:hAnsi="Book Antiqua" w:hint="default"/>
          <w:color w:val="000000"/>
          <w:sz w:val="20"/>
          <w:szCs w:val="20"/>
          <w:u w:color="000000"/>
          <w:rtl w:val="0"/>
          <w:lang w:val="it-IT"/>
        </w:rPr>
        <w:t xml:space="preserve">à </w:t>
      </w:r>
      <w:r>
        <w:rPr>
          <w:rFonts w:ascii="Book Antiqua"/>
          <w:color w:val="000000"/>
          <w:sz w:val="20"/>
          <w:szCs w:val="20"/>
          <w:u w:color="000000"/>
          <w:rtl w:val="0"/>
          <w:lang w:val="it-IT"/>
        </w:rPr>
        <w:t>presente, pronto ed attrezzato per dar corso all'avvio e al trattamento del percolato, con una capacit</w:t>
      </w:r>
      <w:r>
        <w:rPr>
          <w:rFonts w:hAnsi="Book Antiqua" w:hint="default"/>
          <w:color w:val="000000"/>
          <w:sz w:val="20"/>
          <w:szCs w:val="20"/>
          <w:u w:color="000000"/>
          <w:rtl w:val="0"/>
          <w:lang w:val="it-IT"/>
        </w:rPr>
        <w:t xml:space="preserve">à </w:t>
      </w:r>
      <w:r>
        <w:rPr>
          <w:rFonts w:ascii="Book Antiqua"/>
          <w:color w:val="000000"/>
          <w:sz w:val="20"/>
          <w:szCs w:val="20"/>
          <w:u w:color="000000"/>
          <w:rtl w:val="0"/>
          <w:lang w:val="it-IT"/>
        </w:rPr>
        <w:t>operativa di 160.000 mc/anno</w:t>
      </w:r>
      <w:r>
        <w:rPr>
          <w:rFonts w:hAnsi="Book Antiqua" w:hint="default"/>
          <w:color w:val="000000"/>
          <w:sz w:val="20"/>
          <w:szCs w:val="20"/>
          <w:u w:color="000000"/>
          <w:rtl w:val="0"/>
          <w:lang w:val="it-IT"/>
        </w:rPr>
        <w:t>”</w:t>
      </w:r>
      <w:r>
        <w:rPr>
          <w:rFonts w:ascii="Book Antiqua"/>
          <w:color w:val="000000"/>
          <w:sz w:val="20"/>
          <w:szCs w:val="20"/>
          <w:u w:color="000000"/>
          <w:rtl w:val="0"/>
          <w:lang w:val="it-IT"/>
        </w:rPr>
        <w:t>.</w:t>
      </w:r>
    </w:p>
  </w:footnote>
  <w:footnote w:id="191">
    <w:p>
      <w:pPr>
        <w:pStyle w:val="Normal (Web)"/>
        <w:spacing w:before="0" w:after="0"/>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Il problema </w:t>
      </w:r>
      <w:r>
        <w:rPr>
          <w:rFonts w:hAnsi="Book Antiqua" w:hint="default"/>
          <w:sz w:val="20"/>
          <w:szCs w:val="20"/>
          <w:rtl w:val="0"/>
          <w:lang w:val="it-IT"/>
        </w:rPr>
        <w:t xml:space="preserve">è </w:t>
      </w:r>
      <w:r>
        <w:rPr>
          <w:rFonts w:ascii="Book Antiqua"/>
          <w:sz w:val="20"/>
          <w:szCs w:val="20"/>
          <w:rtl w:val="0"/>
          <w:lang w:val="it-IT"/>
        </w:rPr>
        <w:t xml:space="preserve">stato esaminato nel Rapporto </w:t>
      </w:r>
      <w:r>
        <w:rPr>
          <w:rFonts w:hAnsi="Book Antiqua" w:hint="default"/>
          <w:sz w:val="20"/>
          <w:szCs w:val="20"/>
          <w:rtl w:val="0"/>
          <w:lang w:val="it-IT"/>
        </w:rPr>
        <w:t>“</w:t>
      </w:r>
      <w:r>
        <w:rPr>
          <w:rFonts w:ascii="Book Antiqua"/>
          <w:sz w:val="20"/>
          <w:szCs w:val="20"/>
          <w:rtl w:val="0"/>
          <w:lang w:val="it-IT"/>
        </w:rPr>
        <w:t>Epidemiologia Rifiuti Ambiente Salute nel Lazio - ERAS Lazio - Valutazione epidemiologica dello stato di salute della popolazione esposta a processi di raccolta, trasformazione e smaltimento dei rifiuti urbani nella regione Lazio</w:t>
      </w:r>
      <w:r>
        <w:rPr>
          <w:rFonts w:hAnsi="Book Antiqua" w:hint="default"/>
          <w:sz w:val="20"/>
          <w:szCs w:val="20"/>
          <w:rtl w:val="0"/>
          <w:lang w:val="it-IT"/>
        </w:rPr>
        <w:t>”</w:t>
      </w:r>
      <w:r>
        <w:rPr>
          <w:rFonts w:ascii="Book Antiqua"/>
          <w:sz w:val="20"/>
          <w:szCs w:val="20"/>
          <w:rtl w:val="0"/>
          <w:lang w:val="it-IT"/>
        </w:rPr>
        <w:t xml:space="preserve">, del Dipartimento di Epidemiologia del Servizio Sanitario Regionale - Regione Lazio, con ARPA Lazio </w:t>
      </w:r>
      <w:r>
        <w:rPr>
          <w:rFonts w:hAnsi="Book Antiqua" w:hint="default"/>
          <w:sz w:val="20"/>
          <w:szCs w:val="20"/>
          <w:rtl w:val="0"/>
          <w:lang w:val="it-IT"/>
        </w:rPr>
        <w:t xml:space="preserve">– </w:t>
      </w:r>
      <w:r>
        <w:rPr>
          <w:rFonts w:ascii="Book Antiqua"/>
          <w:sz w:val="20"/>
          <w:szCs w:val="20"/>
          <w:rtl w:val="0"/>
          <w:lang w:val="it-IT"/>
        </w:rPr>
        <w:t xml:space="preserve">acquisito dalla Commisione come Doc. n. 1845/1-2 </w:t>
      </w:r>
      <w:r>
        <w:rPr>
          <w:rFonts w:hAnsi="Book Antiqua" w:hint="default"/>
          <w:sz w:val="20"/>
          <w:szCs w:val="20"/>
          <w:rtl w:val="0"/>
          <w:lang w:val="it-IT"/>
        </w:rPr>
        <w:t xml:space="preserve">– </w:t>
      </w:r>
      <w:r>
        <w:rPr>
          <w:rFonts w:ascii="Book Antiqua"/>
          <w:sz w:val="20"/>
          <w:szCs w:val="20"/>
          <w:rtl w:val="0"/>
          <w:lang w:val="it-IT"/>
        </w:rPr>
        <w:t>basato su dati antecedenti il 2013, ma tuttora utile anche come traccia per ulteriori necessarie valutazioni.</w:t>
      </w:r>
    </w:p>
  </w:footnote>
  <w:footnote w:id="192">
    <w:p>
      <w:pPr>
        <w:pStyle w:val="footnote text"/>
        <w:ind w:left="567" w:right="567" w:firstLine="0"/>
        <w:jc w:val="both"/>
      </w:pPr>
      <w:r>
        <w:rPr>
          <w:rFonts w:ascii="Book Antiqua" w:cs="Book Antiqua" w:hAnsi="Book Antiqua" w:eastAsia="Book Antiqua"/>
          <w:color w:val="262626"/>
          <w:u w:color="163291"/>
          <w:vertAlign w:val="superscript"/>
          <w:rtl w:val="0"/>
        </w:rPr>
        <w:footnoteRef/>
      </w:r>
      <w:r>
        <w:rPr>
          <w:rFonts w:ascii="Book Antiqua"/>
          <w:sz w:val="20"/>
          <w:szCs w:val="20"/>
          <w:rtl w:val="0"/>
          <w:lang w:val="it-IT"/>
        </w:rPr>
        <w:t xml:space="preserve"> Con decisione dell</w:t>
      </w:r>
      <w:r>
        <w:rPr>
          <w:rFonts w:hAnsi="Book Antiqua" w:hint="default"/>
          <w:sz w:val="20"/>
          <w:szCs w:val="20"/>
          <w:rtl w:val="0"/>
          <w:lang w:val="it-IT"/>
        </w:rPr>
        <w:t>’</w:t>
      </w:r>
      <w:r>
        <w:rPr>
          <w:rFonts w:ascii="Book Antiqua"/>
          <w:sz w:val="20"/>
          <w:szCs w:val="20"/>
          <w:rtl w:val="0"/>
          <w:lang w:val="it-IT"/>
        </w:rPr>
        <w:t>8 dicembre 2016</w:t>
      </w:r>
    </w:p>
  </w:footnote>
  <w:footnote w:id="193">
    <w:p>
      <w:pPr>
        <w:pStyle w:val="footnote text"/>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Si tratta di persone di cui aveva riferito in audizione davanti alla Commissione il comandante provinciale della Guardia di finanza di Roma: v. </w:t>
      </w:r>
      <w:r>
        <w:rPr>
          <w:rFonts w:hAnsi="Book Antiqua" w:hint="default"/>
          <w:sz w:val="20"/>
          <w:szCs w:val="20"/>
          <w:rtl w:val="0"/>
          <w:lang w:val="it-IT"/>
        </w:rPr>
        <w:t xml:space="preserve">§ </w:t>
      </w:r>
      <w:r>
        <w:rPr>
          <w:rFonts w:ascii="Book Antiqua"/>
          <w:sz w:val="20"/>
          <w:szCs w:val="20"/>
          <w:rtl w:val="0"/>
          <w:lang w:val="it-IT"/>
        </w:rPr>
        <w:t>1.2</w:t>
      </w:r>
    </w:p>
  </w:footnote>
  <w:footnote w:id="194">
    <w:p>
      <w:pPr>
        <w:pStyle w:val="footnote text"/>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La Scaglione </w:t>
      </w:r>
      <w:r>
        <w:rPr>
          <w:rFonts w:hAnsi="Book Antiqua" w:hint="default"/>
          <w:sz w:val="20"/>
          <w:szCs w:val="20"/>
          <w:rtl w:val="0"/>
          <w:lang w:val="it-IT"/>
        </w:rPr>
        <w:t xml:space="preserve">è </w:t>
      </w:r>
      <w:r>
        <w:rPr>
          <w:rFonts w:ascii="Book Antiqua"/>
          <w:sz w:val="20"/>
          <w:szCs w:val="20"/>
          <w:rtl w:val="0"/>
          <w:lang w:val="it-IT"/>
        </w:rPr>
        <w:t xml:space="preserve">imputata anche dei reati ambientali relativi alla discarica di Malagrotta di cui si </w:t>
      </w:r>
      <w:r>
        <w:rPr>
          <w:rFonts w:hAnsi="Book Antiqua" w:hint="default"/>
          <w:sz w:val="20"/>
          <w:szCs w:val="20"/>
          <w:rtl w:val="0"/>
          <w:lang w:val="it-IT"/>
        </w:rPr>
        <w:t xml:space="preserve">è </w:t>
      </w:r>
      <w:r>
        <w:rPr>
          <w:rFonts w:ascii="Book Antiqua"/>
          <w:sz w:val="20"/>
          <w:szCs w:val="20"/>
          <w:rtl w:val="0"/>
          <w:lang w:val="it-IT"/>
        </w:rPr>
        <w:t>riferito nel paragrafo precedente</w:t>
      </w:r>
    </w:p>
  </w:footnote>
  <w:footnote w:id="195">
    <w:p>
      <w:pPr>
        <w:pStyle w:val="footnote text"/>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L</w:t>
      </w:r>
      <w:r>
        <w:rPr>
          <w:rFonts w:hAnsi="Book Antiqua" w:hint="default"/>
          <w:sz w:val="20"/>
          <w:szCs w:val="20"/>
          <w:rtl w:val="0"/>
          <w:lang w:val="it-IT"/>
        </w:rPr>
        <w:t>’</w:t>
      </w:r>
      <w:r>
        <w:rPr>
          <w:rFonts w:ascii="Book Antiqua"/>
          <w:sz w:val="20"/>
          <w:szCs w:val="20"/>
          <w:rtl w:val="0"/>
          <w:lang w:val="it-IT"/>
        </w:rPr>
        <w:t xml:space="preserve">intera vicenda </w:t>
      </w:r>
      <w:r>
        <w:rPr>
          <w:rFonts w:hAnsi="Book Antiqua" w:hint="default"/>
          <w:sz w:val="20"/>
          <w:szCs w:val="20"/>
          <w:rtl w:val="0"/>
          <w:lang w:val="it-IT"/>
        </w:rPr>
        <w:t xml:space="preserve">è </w:t>
      </w:r>
      <w:r>
        <w:rPr>
          <w:rFonts w:ascii="Book Antiqua"/>
          <w:sz w:val="20"/>
          <w:szCs w:val="20"/>
          <w:rtl w:val="0"/>
          <w:lang w:val="it-IT"/>
        </w:rPr>
        <w:t>compendiata in una relazione prefettizia e nei provvedimenti, acquisiti dalla Commissione il 24 aprile 2017, ai nn. 1928/1-4</w:t>
      </w:r>
    </w:p>
  </w:footnote>
  <w:footnote w:id="196">
    <w:p>
      <w:pPr>
        <w:pStyle w:val="Normal"/>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Doc. n. 1928/4 </w:t>
      </w:r>
    </w:p>
  </w:footnote>
  <w:footnote w:id="197">
    <w:p>
      <w:pPr>
        <w:pStyle w:val="footnote text"/>
        <w:keepNext w:val="1"/>
        <w:ind w:left="567" w:right="567" w:hanging="284"/>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w:t>
        <w:tab/>
        <w:t xml:space="preserve">CERRONI Manlio, nato il 18/11/1926 a Pisoniano (RM) </w:t>
      </w:r>
      <w:r>
        <w:rPr>
          <w:rFonts w:hAnsi="Book Antiqua" w:hint="default"/>
          <w:sz w:val="20"/>
          <w:szCs w:val="20"/>
          <w:rtl w:val="0"/>
          <w:lang w:val="it-IT"/>
        </w:rPr>
        <w:t xml:space="preserve">– </w:t>
      </w:r>
      <w:r>
        <w:rPr>
          <w:rFonts w:ascii="Book Antiqua"/>
          <w:sz w:val="20"/>
          <w:szCs w:val="20"/>
          <w:rtl w:val="0"/>
          <w:lang w:val="it-IT"/>
        </w:rPr>
        <w:t>C.F. CRRMNL226S18G704S.</w:t>
      </w:r>
    </w:p>
  </w:footnote>
  <w:footnote w:id="198">
    <w:p>
      <w:pPr>
        <w:pStyle w:val="footnote text"/>
        <w:keepNext w:val="1"/>
        <w:ind w:left="567" w:right="567" w:hanging="284"/>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w:t>
        <w:tab/>
        <w:t xml:space="preserve">Interrogazioni effettuate nel mese di maggio 2017. A tal proposito, </w:t>
      </w:r>
      <w:r>
        <w:rPr>
          <w:rFonts w:hAnsi="Book Antiqua" w:hint="default"/>
          <w:sz w:val="20"/>
          <w:szCs w:val="20"/>
          <w:rtl w:val="0"/>
          <w:lang w:val="it-IT"/>
        </w:rPr>
        <w:t xml:space="preserve">è </w:t>
      </w:r>
      <w:r>
        <w:rPr>
          <w:rFonts w:ascii="Book Antiqua"/>
          <w:sz w:val="20"/>
          <w:szCs w:val="20"/>
          <w:rtl w:val="0"/>
          <w:lang w:val="it-IT"/>
        </w:rPr>
        <w:t>stata conferita apposita delega ad Ufficiali di p.g. - consulenti della Commissione - per l</w:t>
      </w:r>
      <w:r>
        <w:rPr>
          <w:rFonts w:hAnsi="Book Antiqua" w:hint="default"/>
          <w:sz w:val="20"/>
          <w:szCs w:val="20"/>
          <w:rtl w:val="0"/>
          <w:lang w:val="it-IT"/>
        </w:rPr>
        <w:t>’</w:t>
      </w:r>
      <w:r>
        <w:rPr>
          <w:rFonts w:ascii="Book Antiqua"/>
          <w:sz w:val="20"/>
          <w:szCs w:val="20"/>
          <w:rtl w:val="0"/>
          <w:lang w:val="it-IT"/>
        </w:rPr>
        <w:t>accesso alle banche dati della Camera di Commercio (Telemaco) e dell</w:t>
      </w:r>
      <w:r>
        <w:rPr>
          <w:rFonts w:hAnsi="Book Antiqua" w:hint="default"/>
          <w:sz w:val="20"/>
          <w:szCs w:val="20"/>
          <w:rtl w:val="0"/>
          <w:lang w:val="it-IT"/>
        </w:rPr>
        <w:t>’</w:t>
      </w:r>
      <w:r>
        <w:rPr>
          <w:rFonts w:ascii="Book Antiqua"/>
          <w:sz w:val="20"/>
          <w:szCs w:val="20"/>
          <w:rtl w:val="0"/>
          <w:lang w:val="it-IT"/>
        </w:rPr>
        <w:t>Agenzia delle Entrate.</w:t>
      </w:r>
    </w:p>
  </w:footnote>
  <w:footnote w:id="199">
    <w:p>
      <w:pPr>
        <w:pStyle w:val="footnote text"/>
        <w:keepNext w:val="1"/>
        <w:ind w:left="567" w:right="567" w:hanging="284"/>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w:t>
        <w:tab/>
        <w:t xml:space="preserve">Si precisa che non sono disponibili </w:t>
      </w:r>
      <w:r>
        <w:rPr>
          <w:rFonts w:ascii="Book Antiqua"/>
          <w:i w:val="1"/>
          <w:iCs w:val="1"/>
          <w:sz w:val="20"/>
          <w:szCs w:val="20"/>
          <w:rtl w:val="0"/>
          <w:lang w:val="it-IT"/>
        </w:rPr>
        <w:t xml:space="preserve">on line </w:t>
      </w:r>
      <w:r>
        <w:rPr>
          <w:rFonts w:ascii="Book Antiqua"/>
          <w:sz w:val="20"/>
          <w:szCs w:val="20"/>
          <w:rtl w:val="0"/>
          <w:lang w:val="it-IT"/>
        </w:rPr>
        <w:t>i dati relativi alle cessioni e/o alla detenzione di partecipazioni societarie aventi data anteriore al 31 dicembre 1993.</w:t>
      </w:r>
    </w:p>
  </w:footnote>
  <w:footnote w:id="200">
    <w:p>
      <w:pPr>
        <w:pStyle w:val="footnote text"/>
        <w:keepNext w:val="1"/>
        <w:ind w:left="567" w:right="567" w:hanging="284"/>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w:t>
        <w:tab/>
        <w:t xml:space="preserve">CERRONI Donatella, nata il 18/11/1959 a Roma </w:t>
      </w:r>
      <w:r>
        <w:rPr>
          <w:rFonts w:hAnsi="Book Antiqua" w:hint="default"/>
          <w:sz w:val="20"/>
          <w:szCs w:val="20"/>
          <w:rtl w:val="0"/>
          <w:lang w:val="it-IT"/>
        </w:rPr>
        <w:t xml:space="preserve">– </w:t>
      </w:r>
      <w:r>
        <w:rPr>
          <w:rFonts w:ascii="Book Antiqua"/>
          <w:sz w:val="20"/>
          <w:szCs w:val="20"/>
          <w:rtl w:val="0"/>
          <w:lang w:val="it-IT"/>
        </w:rPr>
        <w:t>C.F. CRRDTL59S58H501G.</w:t>
      </w:r>
    </w:p>
  </w:footnote>
  <w:footnote w:id="201">
    <w:p>
      <w:pPr>
        <w:pStyle w:val="footnote text"/>
        <w:keepNext w:val="1"/>
        <w:ind w:left="567" w:right="567" w:hanging="284"/>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w:t>
        <w:tab/>
        <w:t xml:space="preserve">CERRONI Monica, nata il 02/03/1964 a Roma </w:t>
      </w:r>
      <w:r>
        <w:rPr>
          <w:rFonts w:hAnsi="Book Antiqua" w:hint="default"/>
          <w:sz w:val="20"/>
          <w:szCs w:val="20"/>
          <w:rtl w:val="0"/>
          <w:lang w:val="it-IT"/>
        </w:rPr>
        <w:t xml:space="preserve">– </w:t>
      </w:r>
      <w:r>
        <w:rPr>
          <w:rFonts w:ascii="Book Antiqua"/>
          <w:sz w:val="20"/>
          <w:szCs w:val="20"/>
          <w:rtl w:val="0"/>
          <w:lang w:val="it-IT"/>
        </w:rPr>
        <w:t>C.F. CRRMNC64C42H501N.</w:t>
      </w:r>
    </w:p>
  </w:footnote>
  <w:footnote w:id="202">
    <w:p>
      <w:pPr>
        <w:pStyle w:val="footnote text"/>
        <w:keepNext w:val="1"/>
        <w:ind w:left="567" w:right="567" w:hanging="284"/>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w:t>
        <w:tab/>
        <w:t>Mese di maggio 2017.</w:t>
      </w:r>
    </w:p>
  </w:footnote>
  <w:footnote w:id="203">
    <w:p>
      <w:pPr>
        <w:pStyle w:val="footnote text"/>
        <w:keepNext w:val="1"/>
        <w:ind w:left="567" w:right="567" w:hanging="284"/>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w:t>
        <w:tab/>
        <w:t xml:space="preserve">Non sono disponibili </w:t>
      </w:r>
      <w:r>
        <w:rPr>
          <w:rFonts w:ascii="Book Antiqua"/>
          <w:i w:val="1"/>
          <w:iCs w:val="1"/>
          <w:sz w:val="20"/>
          <w:szCs w:val="20"/>
          <w:rtl w:val="0"/>
          <w:lang w:val="it-IT"/>
        </w:rPr>
        <w:t xml:space="preserve">on line </w:t>
      </w:r>
      <w:r>
        <w:rPr>
          <w:rFonts w:ascii="Book Antiqua"/>
          <w:sz w:val="20"/>
          <w:szCs w:val="20"/>
          <w:rtl w:val="0"/>
          <w:lang w:val="it-IT"/>
        </w:rPr>
        <w:t>i dati relativi alle cessioni e/o alla detenzione di partecipazioni societarie aventi data anteriore al 31/12/1993.</w:t>
      </w:r>
    </w:p>
  </w:footnote>
  <w:footnote w:id="204">
    <w:p>
      <w:pPr>
        <w:pStyle w:val="footnote text"/>
        <w:keepNext w:val="1"/>
        <w:ind w:left="567" w:right="567" w:hanging="284"/>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w:t>
        <w:tab/>
        <w:t xml:space="preserve">BECCHETTI Maria Luisa, nata il 03/07/1931 a Sassoferrato (AN) </w:t>
      </w:r>
      <w:r>
        <w:rPr>
          <w:rFonts w:hAnsi="Book Antiqua" w:hint="default"/>
          <w:sz w:val="20"/>
          <w:szCs w:val="20"/>
          <w:rtl w:val="0"/>
          <w:lang w:val="it-IT"/>
        </w:rPr>
        <w:t xml:space="preserve">– </w:t>
      </w:r>
      <w:r>
        <w:rPr>
          <w:rFonts w:ascii="Book Antiqua"/>
          <w:sz w:val="20"/>
          <w:szCs w:val="20"/>
          <w:rtl w:val="0"/>
          <w:lang w:val="it-IT"/>
        </w:rPr>
        <w:t xml:space="preserve">C.F. </w:t>
      </w:r>
      <w:r>
        <w:rPr>
          <w:rFonts w:ascii="Book Antiqua"/>
          <w:color w:val="000000"/>
          <w:sz w:val="20"/>
          <w:szCs w:val="20"/>
          <w:u w:color="000000"/>
          <w:rtl w:val="0"/>
          <w:lang w:val="it-IT"/>
        </w:rPr>
        <w:t>BCCMLS31L43I461J.</w:t>
      </w:r>
      <w:r>
        <w:rPr>
          <w:rFonts w:ascii="Book Antiqua" w:cs="Book Antiqua" w:hAnsi="Book Antiqua" w:eastAsia="Book Antiqua"/>
          <w:color w:val="000000"/>
          <w:sz w:val="20"/>
          <w:szCs w:val="20"/>
          <w:u w:color="000000"/>
        </w:rPr>
      </w:r>
    </w:p>
  </w:footnote>
  <w:footnote w:id="205">
    <w:p>
      <w:pPr>
        <w:pStyle w:val="footnote text"/>
      </w:pPr>
      <w:r>
        <w:rPr>
          <w:rFonts w:ascii="Book Antiqua" w:cs="Book Antiqua" w:hAnsi="Book Antiqua" w:eastAsia="Book Antiqua"/>
          <w:vertAlign w:val="superscript"/>
          <w:rtl w:val="0"/>
        </w:rPr>
        <w:footnoteRef/>
      </w:r>
      <w:r>
        <w:rPr>
          <w:rFonts w:ascii="Times New Roman" w:cs="Arial Unicode MS" w:hAnsi="Arial Unicode MS" w:eastAsia="Arial Unicode MS"/>
          <w:rtl w:val="0"/>
          <w:lang w:val="it-IT"/>
        </w:rPr>
        <w:t xml:space="preserve"> </w:t>
      </w:r>
      <w:r>
        <w:rPr>
          <w:rFonts w:ascii="Book Antiqua"/>
          <w:rtl w:val="0"/>
          <w:lang w:val="it-IT"/>
        </w:rPr>
        <w:t xml:space="preserve"> Per una rapresentazione grafica della </w:t>
      </w:r>
      <w:r>
        <w:rPr>
          <w:rFonts w:hAnsi="Book Antiqua" w:hint="default"/>
          <w:rtl w:val="0"/>
          <w:lang w:val="it-IT"/>
        </w:rPr>
        <w:t>“</w:t>
      </w:r>
      <w:r>
        <w:rPr>
          <w:rFonts w:ascii="Book Antiqua"/>
          <w:rtl w:val="0"/>
          <w:lang w:val="it-IT"/>
        </w:rPr>
        <w:t>Galassia Cerroni si veda allegato 1</w:t>
      </w:r>
    </w:p>
  </w:footnote>
  <w:footnote w:id="206">
    <w:p>
      <w:pPr>
        <w:pStyle w:val="footnote text"/>
        <w:keepNext w:val="1"/>
        <w:ind w:left="567" w:right="567" w:hanging="284"/>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w:t>
        <w:tab/>
        <w:t xml:space="preserve">La configurazione in gruppo societario </w:t>
      </w:r>
      <w:r>
        <w:rPr>
          <w:rFonts w:hAnsi="Book Antiqua" w:hint="default"/>
          <w:sz w:val="20"/>
          <w:szCs w:val="20"/>
          <w:rtl w:val="0"/>
          <w:lang w:val="it-IT"/>
        </w:rPr>
        <w:t xml:space="preserve">è </w:t>
      </w:r>
      <w:r>
        <w:rPr>
          <w:rFonts w:ascii="Book Antiqua"/>
          <w:sz w:val="20"/>
          <w:szCs w:val="20"/>
          <w:rtl w:val="0"/>
          <w:lang w:val="it-IT"/>
        </w:rPr>
        <w:t>rilevabile anche dalla navigazione sul sito http://www.sctecno.com/it/azienda/gruppo.htm.</w:t>
      </w:r>
    </w:p>
  </w:footnote>
  <w:footnote w:id="207">
    <w:p>
      <w:pPr>
        <w:pStyle w:val="footnote text"/>
        <w:keepNext w:val="1"/>
        <w:ind w:left="567" w:right="567" w:hanging="284"/>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w:t>
        <w:tab/>
        <w:t>http://www.sctecno.com/it/realizzazioni/index.htm.</w:t>
      </w:r>
    </w:p>
  </w:footnote>
  <w:footnote w:id="208">
    <w:p>
      <w:pPr>
        <w:pStyle w:val="footnote text"/>
        <w:keepNext w:val="1"/>
        <w:ind w:left="567" w:right="567" w:hanging="284"/>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w:t>
        <w:tab/>
        <w:t xml:space="preserve">Trattasi della data in cui </w:t>
      </w:r>
      <w:r>
        <w:rPr>
          <w:rFonts w:hAnsi="Book Antiqua" w:hint="default"/>
          <w:sz w:val="20"/>
          <w:szCs w:val="20"/>
          <w:rtl w:val="0"/>
          <w:lang w:val="it-IT"/>
        </w:rPr>
        <w:t xml:space="preserve">è </w:t>
      </w:r>
      <w:r>
        <w:rPr>
          <w:rFonts w:ascii="Book Antiqua"/>
          <w:sz w:val="20"/>
          <w:szCs w:val="20"/>
          <w:rtl w:val="0"/>
          <w:lang w:val="it-IT"/>
        </w:rPr>
        <w:t>avvenuta la cessione delle azioni tra la IMPRESA A. CECCHINI &amp; C. SRL e la SOCESFIN SRL di cui si dir</w:t>
      </w:r>
      <w:r>
        <w:rPr>
          <w:rFonts w:hAnsi="Book Antiqua" w:hint="default"/>
          <w:sz w:val="20"/>
          <w:szCs w:val="20"/>
          <w:rtl w:val="0"/>
          <w:lang w:val="it-IT"/>
        </w:rPr>
        <w:t xml:space="preserve">à </w:t>
      </w:r>
      <w:r>
        <w:rPr>
          <w:rFonts w:ascii="Book Antiqua"/>
          <w:i w:val="1"/>
          <w:iCs w:val="1"/>
          <w:sz w:val="20"/>
          <w:szCs w:val="20"/>
          <w:rtl w:val="0"/>
          <w:lang w:val="it-IT"/>
        </w:rPr>
        <w:t>infra</w:t>
      </w:r>
      <w:r>
        <w:rPr>
          <w:rFonts w:ascii="Book Antiqua"/>
          <w:sz w:val="20"/>
          <w:szCs w:val="20"/>
          <w:rtl w:val="0"/>
          <w:lang w:val="it-IT"/>
        </w:rPr>
        <w:t>.</w:t>
      </w:r>
    </w:p>
  </w:footnote>
  <w:footnote w:id="209">
    <w:p>
      <w:pPr>
        <w:pStyle w:val="footnote text"/>
        <w:keepNext w:val="1"/>
        <w:ind w:left="567" w:right="567" w:hanging="284"/>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w:t>
        <w:tab/>
        <w:t>In realt</w:t>
      </w:r>
      <w:r>
        <w:rPr>
          <w:rFonts w:hAnsi="Book Antiqua" w:hint="default"/>
          <w:sz w:val="20"/>
          <w:szCs w:val="20"/>
          <w:rtl w:val="0"/>
          <w:lang w:val="it-IT"/>
        </w:rPr>
        <w:t>à</w:t>
      </w:r>
      <w:r>
        <w:rPr>
          <w:rFonts w:ascii="Book Antiqua"/>
          <w:sz w:val="20"/>
          <w:szCs w:val="20"/>
          <w:rtl w:val="0"/>
          <w:lang w:val="it-IT"/>
        </w:rPr>
        <w:t>, la cessione in parola ha riguardato le azioni della GESENU SPA di propriet</w:t>
      </w:r>
      <w:r>
        <w:rPr>
          <w:rFonts w:hAnsi="Book Antiqua" w:hint="default"/>
          <w:sz w:val="20"/>
          <w:szCs w:val="20"/>
          <w:rtl w:val="0"/>
          <w:lang w:val="it-IT"/>
        </w:rPr>
        <w:t xml:space="preserve">à </w:t>
      </w:r>
      <w:r>
        <w:rPr>
          <w:rFonts w:ascii="Book Antiqua"/>
          <w:sz w:val="20"/>
          <w:szCs w:val="20"/>
          <w:rtl w:val="0"/>
          <w:lang w:val="it-IT"/>
        </w:rPr>
        <w:t>della IMPRESA A. CECCHINI SRL, pari al 45% del capitale sociale, e di NOTO LA DIEGA Rosario Carlo (c.f. NTLRRC40E21Z315G), pari al 10% del capitale sociale. A margine si segnala che, a garanzia del pagamento della cessione, la SOCESFIN SRL ha dato in pegno le stesse azioni oggetto di trasferimento alla IMPRESA A. CECCHINI SRL, mantenenso, per</w:t>
      </w:r>
      <w:r>
        <w:rPr>
          <w:rFonts w:hAnsi="Book Antiqua" w:hint="default"/>
          <w:sz w:val="20"/>
          <w:szCs w:val="20"/>
          <w:rtl w:val="0"/>
          <w:lang w:val="it-IT"/>
        </w:rPr>
        <w:t>ò</w:t>
      </w:r>
      <w:r>
        <w:rPr>
          <w:rFonts w:ascii="Book Antiqua"/>
          <w:sz w:val="20"/>
          <w:szCs w:val="20"/>
          <w:rtl w:val="0"/>
          <w:lang w:val="it-IT"/>
        </w:rPr>
        <w:t>, il diritto di voto in assemblea.</w:t>
      </w:r>
    </w:p>
  </w:footnote>
  <w:footnote w:id="210">
    <w:p>
      <w:pPr>
        <w:pStyle w:val="footnote text"/>
        <w:keepNext w:val="1"/>
        <w:ind w:left="567" w:right="567" w:hanging="284"/>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w:t>
        <w:tab/>
        <w:t>La SOCESFIN SRL, con sede in Fiumicino (RM) alla via della Corona Boreale</w:t>
      </w:r>
      <w:r>
        <w:rPr>
          <w:rFonts w:hAnsi="Book Antiqua" w:hint="default"/>
          <w:sz w:val="20"/>
          <w:szCs w:val="20"/>
          <w:rtl w:val="0"/>
          <w:lang w:val="it-IT"/>
        </w:rPr>
        <w:t> </w:t>
      </w:r>
      <w:r>
        <w:rPr>
          <w:rFonts w:ascii="Book Antiqua"/>
          <w:sz w:val="20"/>
          <w:szCs w:val="20"/>
          <w:rtl w:val="0"/>
          <w:lang w:val="it-IT"/>
        </w:rPr>
        <w:t>115 (c.f. 06064670588), esercente l</w:t>
      </w:r>
      <w:r>
        <w:rPr>
          <w:rFonts w:hAnsi="Book Antiqua" w:hint="default"/>
          <w:sz w:val="20"/>
          <w:szCs w:val="20"/>
          <w:rtl w:val="0"/>
          <w:lang w:val="it-IT"/>
        </w:rPr>
        <w:t>’</w:t>
      </w:r>
      <w:r>
        <w:rPr>
          <w:rFonts w:ascii="Book Antiqua"/>
          <w:sz w:val="20"/>
          <w:szCs w:val="20"/>
          <w:rtl w:val="0"/>
          <w:lang w:val="it-IT"/>
        </w:rPr>
        <w:t>attivit</w:t>
      </w:r>
      <w:r>
        <w:rPr>
          <w:rFonts w:hAnsi="Book Antiqua" w:hint="default"/>
          <w:sz w:val="20"/>
          <w:szCs w:val="20"/>
          <w:rtl w:val="0"/>
          <w:lang w:val="it-IT"/>
        </w:rPr>
        <w:t xml:space="preserve">à </w:t>
      </w:r>
      <w:r>
        <w:rPr>
          <w:rFonts w:ascii="Book Antiqua"/>
          <w:sz w:val="20"/>
          <w:szCs w:val="20"/>
          <w:rtl w:val="0"/>
          <w:lang w:val="it-IT"/>
        </w:rPr>
        <w:t>di coordinamento programmazione e controllo delle societ</w:t>
      </w:r>
      <w:r>
        <w:rPr>
          <w:rFonts w:hAnsi="Book Antiqua" w:hint="default"/>
          <w:sz w:val="20"/>
          <w:szCs w:val="20"/>
          <w:rtl w:val="0"/>
          <w:lang w:val="it-IT"/>
        </w:rPr>
        <w:t xml:space="preserve">à </w:t>
      </w:r>
      <w:r>
        <w:rPr>
          <w:rFonts w:ascii="Book Antiqua"/>
          <w:sz w:val="20"/>
          <w:szCs w:val="20"/>
          <w:rtl w:val="0"/>
          <w:lang w:val="it-IT"/>
        </w:rPr>
        <w:t xml:space="preserve">controllate collegate </w:t>
      </w:r>
      <w:r>
        <w:rPr>
          <w:rFonts w:hAnsi="Book Antiqua" w:hint="default"/>
          <w:sz w:val="20"/>
          <w:szCs w:val="20"/>
          <w:rtl w:val="0"/>
          <w:lang w:val="it-IT"/>
        </w:rPr>
        <w:t xml:space="preserve">è </w:t>
      </w:r>
      <w:r>
        <w:rPr>
          <w:rFonts w:ascii="Book Antiqua"/>
          <w:sz w:val="20"/>
          <w:szCs w:val="20"/>
          <w:rtl w:val="0"/>
          <w:lang w:val="it-IT"/>
        </w:rPr>
        <w:t xml:space="preserve">interamente controllata dalla FINSEVI SNC DI VITTORIO PAOLETTI, </w:t>
      </w:r>
      <w:r>
        <w:rPr>
          <w:rFonts w:ascii="Book Antiqua"/>
          <w:i w:val="1"/>
          <w:iCs w:val="1"/>
          <w:sz w:val="20"/>
          <w:szCs w:val="20"/>
          <w:rtl w:val="0"/>
          <w:lang w:val="it-IT"/>
        </w:rPr>
        <w:t xml:space="preserve">holding </w:t>
      </w:r>
      <w:r>
        <w:rPr>
          <w:rFonts w:ascii="Book Antiqua"/>
          <w:sz w:val="20"/>
          <w:szCs w:val="20"/>
          <w:rtl w:val="0"/>
          <w:lang w:val="it-IT"/>
        </w:rPr>
        <w:t xml:space="preserve">riconducibile a PAOLETTI Vittorio (PLTVTR45R01E975R) e PAOLETTI Francesco (PLTFNC78S08H501B). </w:t>
      </w:r>
    </w:p>
  </w:footnote>
  <w:footnote w:id="211">
    <w:p>
      <w:pPr>
        <w:pStyle w:val="footnote text"/>
        <w:keepNext w:val="1"/>
        <w:ind w:left="567" w:right="567" w:hanging="284"/>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w:t>
        <w:tab/>
        <w:t>Dell</w:t>
      </w:r>
      <w:r>
        <w:rPr>
          <w:rFonts w:hAnsi="Book Antiqua" w:hint="default"/>
          <w:sz w:val="20"/>
          <w:szCs w:val="20"/>
          <w:rtl w:val="0"/>
          <w:lang w:val="it-IT"/>
        </w:rPr>
        <w:t>’</w:t>
      </w:r>
      <w:r>
        <w:rPr>
          <w:rFonts w:ascii="Book Antiqua"/>
          <w:sz w:val="20"/>
          <w:szCs w:val="20"/>
          <w:rtl w:val="0"/>
          <w:lang w:val="it-IT"/>
        </w:rPr>
        <w:t>interditiva aveva riferito alla Commissione il Prefetto di Perugia nell</w:t>
      </w:r>
      <w:r>
        <w:rPr>
          <w:rFonts w:hAnsi="Book Antiqua" w:hint="default"/>
          <w:sz w:val="20"/>
          <w:szCs w:val="20"/>
          <w:rtl w:val="0"/>
          <w:lang w:val="it-IT"/>
        </w:rPr>
        <w:t>’</w:t>
      </w:r>
      <w:r>
        <w:rPr>
          <w:rFonts w:ascii="Book Antiqua"/>
          <w:sz w:val="20"/>
          <w:szCs w:val="20"/>
          <w:rtl w:val="0"/>
          <w:lang w:val="it-IT"/>
        </w:rPr>
        <w:t>audizione del 25 febbraio 2016; ulteriori dati sono ricavati dalla sentenza del TAR di Perugia n. 327 del 7 aprile 2016 (https://www.giustizia-amministrativa.it)</w:t>
      </w:r>
    </w:p>
  </w:footnote>
  <w:footnote w:id="212">
    <w:p>
      <w:pPr>
        <w:pStyle w:val="footnote text"/>
        <w:keepNext w:val="1"/>
        <w:ind w:left="567" w:right="567" w:hanging="284"/>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w:t>
        <w:tab/>
        <w:t>http://www.prefettura.it/perugia/contenuti/Provvedimenti_del_prefetto-177593.htm.</w:t>
      </w:r>
    </w:p>
  </w:footnote>
  <w:footnote w:id="213">
    <w:p>
      <w:pPr>
        <w:pStyle w:val="footnote text"/>
        <w:keepNext w:val="1"/>
        <w:ind w:left="567" w:right="567" w:hanging="284"/>
        <w:jc w:val="both"/>
        <w:rPr>
          <w:rFonts w:ascii="Book Antiqua" w:cs="Book Antiqua" w:hAnsi="Book Antiqua" w:eastAsia="Book Antiqua"/>
          <w:sz w:val="20"/>
          <w:szCs w:val="20"/>
        </w:rPr>
      </w:pPr>
      <w:r>
        <w:rPr>
          <w:rFonts w:ascii="Book Antiqua" w:cs="Book Antiqua" w:hAnsi="Book Antiqua" w:eastAsia="Book Antiqua"/>
          <w:vertAlign w:val="superscript"/>
          <w:rtl w:val="0"/>
        </w:rPr>
        <w:footnoteRef/>
      </w:r>
      <w:r>
        <w:rPr>
          <w:rFonts w:ascii="Book Antiqua"/>
          <w:sz w:val="20"/>
          <w:szCs w:val="20"/>
          <w:rtl w:val="0"/>
          <w:lang w:val="it-IT"/>
        </w:rPr>
        <w:t xml:space="preserve"> </w:t>
        <w:tab/>
        <w:t>L</w:t>
      </w:r>
      <w:r>
        <w:rPr>
          <w:rFonts w:hAnsi="Book Antiqua" w:hint="default"/>
          <w:sz w:val="20"/>
          <w:szCs w:val="20"/>
          <w:rtl w:val="0"/>
          <w:lang w:val="it-IT"/>
        </w:rPr>
        <w:t>’</w:t>
      </w:r>
      <w:r>
        <w:rPr>
          <w:rFonts w:ascii="Book Antiqua"/>
          <w:sz w:val="20"/>
          <w:szCs w:val="20"/>
          <w:rtl w:val="0"/>
          <w:lang w:val="it-IT"/>
        </w:rPr>
        <w:t xml:space="preserve">amministrazione straordinaria </w:t>
      </w:r>
      <w:r>
        <w:rPr>
          <w:rFonts w:hAnsi="Book Antiqua" w:hint="default"/>
          <w:sz w:val="20"/>
          <w:szCs w:val="20"/>
          <w:rtl w:val="0"/>
          <w:lang w:val="it-IT"/>
        </w:rPr>
        <w:t xml:space="preserve">è </w:t>
      </w:r>
      <w:r>
        <w:rPr>
          <w:rFonts w:ascii="Book Antiqua"/>
          <w:sz w:val="20"/>
          <w:szCs w:val="20"/>
          <w:rtl w:val="0"/>
          <w:lang w:val="it-IT"/>
        </w:rPr>
        <w:t>stata oggetto di proroga disposta con provvedimento n. 43170 del 24 maggio 2016 del Prefetto di Perugia.</w:t>
      </w:r>
    </w:p>
    <w:p>
      <w:pPr>
        <w:pStyle w:val="footnote text"/>
        <w:keepNext w:val="1"/>
        <w:ind w:left="567" w:right="567" w:firstLine="0"/>
        <w:jc w:val="both"/>
      </w:pPr>
      <w:r>
        <w:rPr>
          <w:rFonts w:ascii="Book Antiqua"/>
          <w:sz w:val="20"/>
          <w:szCs w:val="20"/>
          <w:rtl w:val="0"/>
          <w:lang w:val="it-IT"/>
        </w:rPr>
        <w:t>(http://www.prefettura.it/perugia/contenuti/Provvedimenti_del_prefetto-177593.htm).</w:t>
      </w:r>
    </w:p>
  </w:footnote>
  <w:footnote w:id="214">
    <w:p>
      <w:pPr>
        <w:pStyle w:val="footnote text"/>
        <w:keepNext w:val="1"/>
        <w:ind w:left="567" w:right="567" w:hanging="284"/>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w:t>
        <w:tab/>
        <w:t>In data 14/07/2016 (vale a dire il giorno successivo alla cessione delle azioni), l</w:t>
      </w:r>
      <w:r>
        <w:rPr>
          <w:rFonts w:hAnsi="Book Antiqua" w:hint="default"/>
          <w:sz w:val="20"/>
          <w:szCs w:val="20"/>
          <w:rtl w:val="0"/>
          <w:lang w:val="it-IT"/>
        </w:rPr>
        <w:t>’</w:t>
      </w:r>
      <w:r>
        <w:rPr>
          <w:rFonts w:ascii="Book Antiqua"/>
          <w:sz w:val="20"/>
          <w:szCs w:val="20"/>
          <w:rtl w:val="0"/>
          <w:lang w:val="it-IT"/>
        </w:rPr>
        <w:t>assemblea ordinaria della GESENU SPA, ha revocato quattro componenti del consiglio di amministrazione, provvedendo, su designazione del nuovo socio di maggioranza SOCESFIN SRL, alla loro contestuale sostituzione.</w:t>
      </w:r>
    </w:p>
  </w:footnote>
  <w:footnote w:id="215">
    <w:p>
      <w:pPr>
        <w:pStyle w:val="footnote text"/>
        <w:keepNext w:val="1"/>
        <w:ind w:left="567" w:right="567" w:hanging="284"/>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w:t>
        <w:tab/>
        <w:t>http://www.prefettura.it/perugia/contenuti/Provvedimenti_del_prefetto-177593.htm.</w:t>
      </w:r>
    </w:p>
  </w:footnote>
  <w:footnote w:id="216">
    <w:p>
      <w:pPr>
        <w:pStyle w:val="footnote text"/>
        <w:keepNext w:val="1"/>
        <w:ind w:left="567" w:right="567" w:hanging="284"/>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w:t>
        <w:tab/>
        <w:t>Provvedimento n. 85490 datato 08 novembre del Prefetto di Perugia.</w:t>
      </w:r>
    </w:p>
  </w:footnote>
  <w:footnote w:id="217">
    <w:p>
      <w:pPr>
        <w:pStyle w:val="footnote text"/>
        <w:ind w:firstLine="283"/>
        <w:jc w:val="both"/>
        <w:rPr>
          <w:rFonts w:ascii="Book Antiqua" w:cs="Book Antiqua" w:hAnsi="Book Antiqua" w:eastAsia="Book Antiqua"/>
          <w:sz w:val="20"/>
          <w:szCs w:val="20"/>
        </w:rPr>
      </w:pPr>
      <w:r>
        <w:rPr>
          <w:rFonts w:ascii="Book Antiqua" w:cs="Book Antiqua" w:hAnsi="Book Antiqua" w:eastAsia="Book Antiqua"/>
          <w:vertAlign w:val="superscript"/>
          <w:rtl w:val="0"/>
        </w:rPr>
        <w:footnoteRef/>
      </w:r>
      <w:r>
        <w:rPr>
          <w:rtl w:val="0"/>
          <w:lang w:val="it-IT"/>
        </w:rPr>
        <w:t xml:space="preserve"> </w:t>
      </w:r>
      <w:r>
        <w:rPr>
          <w:rFonts w:ascii="Book Antiqua"/>
          <w:sz w:val="20"/>
          <w:szCs w:val="20"/>
          <w:rtl w:val="0"/>
          <w:lang w:val="it-IT"/>
        </w:rPr>
        <w:t xml:space="preserve">Vicenda parallela </w:t>
      </w:r>
      <w:r>
        <w:rPr>
          <w:rFonts w:hAnsi="Book Antiqua" w:hint="default"/>
          <w:sz w:val="20"/>
          <w:szCs w:val="20"/>
          <w:rtl w:val="0"/>
          <w:lang w:val="it-IT"/>
        </w:rPr>
        <w:t xml:space="preserve">è </w:t>
      </w:r>
      <w:r>
        <w:rPr>
          <w:rFonts w:ascii="Book Antiqua"/>
          <w:sz w:val="20"/>
          <w:szCs w:val="20"/>
          <w:rtl w:val="0"/>
          <w:lang w:val="it-IT"/>
        </w:rPr>
        <w:t>quella della partecipata Viterbo Ambiente, sopra individuata, della quale il viceprefetto di Viterbo, nell</w:t>
      </w:r>
      <w:r>
        <w:rPr>
          <w:rFonts w:hAnsi="Book Antiqua" w:hint="default"/>
          <w:sz w:val="20"/>
          <w:szCs w:val="20"/>
          <w:rtl w:val="0"/>
          <w:lang w:val="it-IT"/>
        </w:rPr>
        <w:t>’</w:t>
      </w:r>
      <w:r>
        <w:rPr>
          <w:rFonts w:ascii="Book Antiqua"/>
          <w:sz w:val="20"/>
          <w:szCs w:val="20"/>
          <w:rtl w:val="0"/>
          <w:lang w:val="it-IT"/>
        </w:rPr>
        <w:t xml:space="preserve">audizione del 20 febbraio 2017 ha riferito: </w:t>
      </w:r>
      <w:r>
        <w:rPr>
          <w:rFonts w:hAnsi="Book Antiqua" w:hint="default"/>
          <w:sz w:val="20"/>
          <w:szCs w:val="20"/>
          <w:rtl w:val="0"/>
          <w:lang w:val="it-IT"/>
        </w:rPr>
        <w:t>“</w:t>
      </w:r>
      <w:r>
        <w:rPr>
          <w:rFonts w:ascii="Book Antiqua"/>
          <w:sz w:val="20"/>
          <w:szCs w:val="20"/>
          <w:rtl w:val="0"/>
          <w:lang w:val="it-IT"/>
        </w:rPr>
        <w:t xml:space="preserve">La Viterbo Ambiente </w:t>
      </w:r>
      <w:r>
        <w:rPr>
          <w:rFonts w:hAnsi="Book Antiqua" w:hint="default"/>
          <w:sz w:val="20"/>
          <w:szCs w:val="20"/>
          <w:rtl w:val="0"/>
          <w:lang w:val="it-IT"/>
        </w:rPr>
        <w:t xml:space="preserve">è </w:t>
      </w:r>
      <w:r>
        <w:rPr>
          <w:rFonts w:ascii="Book Antiqua"/>
          <w:sz w:val="20"/>
          <w:szCs w:val="20"/>
          <w:rtl w:val="0"/>
          <w:lang w:val="it-IT"/>
        </w:rPr>
        <w:t>stata da noi interdetta allo svolgimento dell'attivit</w:t>
      </w:r>
      <w:r>
        <w:rPr>
          <w:rFonts w:hAnsi="Book Antiqua" w:hint="default"/>
          <w:sz w:val="20"/>
          <w:szCs w:val="20"/>
          <w:rtl w:val="0"/>
          <w:lang w:val="it-IT"/>
        </w:rPr>
        <w:t>à</w:t>
      </w:r>
      <w:r>
        <w:rPr>
          <w:rFonts w:ascii="Book Antiqua"/>
          <w:sz w:val="20"/>
          <w:szCs w:val="20"/>
          <w:rtl w:val="0"/>
          <w:lang w:val="it-IT"/>
        </w:rPr>
        <w:t xml:space="preserve">, ma ovviamente </w:t>
      </w:r>
      <w:r>
        <w:rPr>
          <w:rFonts w:hAnsi="Book Antiqua" w:hint="default"/>
          <w:sz w:val="20"/>
          <w:szCs w:val="20"/>
          <w:rtl w:val="0"/>
          <w:lang w:val="it-IT"/>
        </w:rPr>
        <w:t xml:space="preserve">è </w:t>
      </w:r>
      <w:r>
        <w:rPr>
          <w:rFonts w:ascii="Book Antiqua"/>
          <w:sz w:val="20"/>
          <w:szCs w:val="20"/>
          <w:rtl w:val="0"/>
          <w:lang w:val="it-IT"/>
        </w:rPr>
        <w:t>stato anche immediatamente fatto il provvedimento commissariale di misura straordinaria per poter continuare a svolgere la delicata attivit</w:t>
      </w:r>
      <w:r>
        <w:rPr>
          <w:rFonts w:hAnsi="Book Antiqua" w:hint="default"/>
          <w:sz w:val="20"/>
          <w:szCs w:val="20"/>
          <w:rtl w:val="0"/>
          <w:lang w:val="it-IT"/>
        </w:rPr>
        <w:t xml:space="preserve">à </w:t>
      </w:r>
      <w:r>
        <w:rPr>
          <w:rFonts w:ascii="Book Antiqua"/>
          <w:sz w:val="20"/>
          <w:szCs w:val="20"/>
          <w:rtl w:val="0"/>
          <w:lang w:val="it-IT"/>
        </w:rPr>
        <w:t xml:space="preserve">di raccolta dei rifiuti, a seguito del provvedimento interdittivo che </w:t>
      </w:r>
      <w:r>
        <w:rPr>
          <w:rFonts w:hAnsi="Book Antiqua" w:hint="default"/>
          <w:sz w:val="20"/>
          <w:szCs w:val="20"/>
          <w:rtl w:val="0"/>
          <w:lang w:val="it-IT"/>
        </w:rPr>
        <w:t xml:space="preserve">è </w:t>
      </w:r>
      <w:r>
        <w:rPr>
          <w:rFonts w:ascii="Book Antiqua"/>
          <w:sz w:val="20"/>
          <w:szCs w:val="20"/>
          <w:rtl w:val="0"/>
          <w:lang w:val="it-IT"/>
        </w:rPr>
        <w:t>stato emanato dal prefetto di Perugia qualche mese prima (era il dicembre 2015). Il prefetto di Perugia aveva interdetto la Gesenu, che, insieme alla Cosp Tecno Service, l'altra parte che compone l'associazione temporanea di imprese (ATI), aveva generato Viterbo ambiente. La Gesenu ne detiene il 51 per cento e la Cosp Tecno Service il 49 per cento. Sulla base di un ragionamento immediatamente intuitivo, se il 51 per cento di questa ATI Viterbo ambiente era in qualche modo condizionato da un'interdittiva che fino a prova contraria era vigente e che ha poi resistito, peraltro, anche al primo grado in sede amministrativa, era ovvio ritenere che anche l'altra parte, il 49 per cento, fosse in qualche modo condizionata da questa presenza. Pertanto, abbiamo cominciato a lavorare su questo: non ci siamo fermati al semplice calcolo numerico, che pure ci consentiva ragionevolmente di emettere un'interdittiva, ma abbiamo cominciato a lavorare anche sull'altro 49 per cento, sulla Cosp Tecno Service. Devo dire che siamo giunti a conclusioni importanti e, con l'aiuto ovviamente prezioso e puntuale dei componenti del gruppo interforze, abbiamo evidenziato dei legami con le cooperative di Buzzi (Mafia capitale) e con il famoso sistema Cerroni [</w:t>
      </w:r>
      <w:r>
        <w:rPr>
          <w:rFonts w:hAnsi="Book Antiqua" w:hint="default"/>
          <w:sz w:val="20"/>
          <w:szCs w:val="20"/>
          <w:rtl w:val="0"/>
          <w:lang w:val="it-IT"/>
        </w:rPr>
        <w:t>…</w:t>
      </w:r>
      <w:r>
        <w:rPr>
          <w:rFonts w:ascii="Book Antiqua"/>
          <w:sz w:val="20"/>
          <w:szCs w:val="20"/>
          <w:rtl w:val="0"/>
          <w:lang w:val="it-IT"/>
        </w:rPr>
        <w:t xml:space="preserve">] L'interdittiva </w:t>
      </w:r>
      <w:r>
        <w:rPr>
          <w:rFonts w:hAnsi="Book Antiqua" w:hint="default"/>
          <w:sz w:val="20"/>
          <w:szCs w:val="20"/>
          <w:rtl w:val="0"/>
          <w:lang w:val="it-IT"/>
        </w:rPr>
        <w:t xml:space="preserve">è </w:t>
      </w:r>
      <w:r>
        <w:rPr>
          <w:rFonts w:ascii="Book Antiqua"/>
          <w:sz w:val="20"/>
          <w:szCs w:val="20"/>
          <w:rtl w:val="0"/>
          <w:lang w:val="it-IT"/>
        </w:rPr>
        <w:t>stata revocata recentemente, perch</w:t>
      </w:r>
      <w:r>
        <w:rPr>
          <w:rFonts w:hAnsi="Book Antiqua" w:hint="default"/>
          <w:sz w:val="20"/>
          <w:szCs w:val="20"/>
          <w:rtl w:val="0"/>
          <w:lang w:val="it-IT"/>
        </w:rPr>
        <w:t xml:space="preserve">é </w:t>
      </w:r>
      <w:r>
        <w:rPr>
          <w:rFonts w:ascii="Book Antiqua"/>
          <w:sz w:val="20"/>
          <w:szCs w:val="20"/>
          <w:rtl w:val="0"/>
          <w:lang w:val="it-IT"/>
        </w:rPr>
        <w:t xml:space="preserve">tutta la compagine societaria </w:t>
      </w:r>
      <w:r>
        <w:rPr>
          <w:rFonts w:hAnsi="Book Antiqua" w:hint="default"/>
          <w:sz w:val="20"/>
          <w:szCs w:val="20"/>
          <w:rtl w:val="0"/>
          <w:lang w:val="it-IT"/>
        </w:rPr>
        <w:t xml:space="preserve">è </w:t>
      </w:r>
      <w:r>
        <w:rPr>
          <w:rFonts w:ascii="Book Antiqua"/>
          <w:sz w:val="20"/>
          <w:szCs w:val="20"/>
          <w:rtl w:val="0"/>
          <w:lang w:val="it-IT"/>
        </w:rPr>
        <w:t>stata completamente rinnovata</w:t>
      </w:r>
      <w:r>
        <w:rPr>
          <w:rFonts w:hAnsi="Book Antiqua" w:hint="default"/>
          <w:sz w:val="20"/>
          <w:szCs w:val="20"/>
          <w:rtl w:val="0"/>
          <w:lang w:val="it-IT"/>
        </w:rPr>
        <w:t>”</w:t>
      </w:r>
      <w:r>
        <w:rPr>
          <w:rFonts w:ascii="Book Antiqua"/>
          <w:sz w:val="20"/>
          <w:szCs w:val="20"/>
          <w:rtl w:val="0"/>
          <w:lang w:val="it-IT"/>
        </w:rPr>
        <w:t>.</w:t>
      </w:r>
    </w:p>
    <w:p>
      <w:pPr>
        <w:pStyle w:val="footnote text"/>
        <w:ind w:firstLine="567"/>
        <w:jc w:val="both"/>
      </w:pPr>
      <w:r>
        <w:rPr>
          <w:rFonts w:ascii="Book Antiqua"/>
          <w:sz w:val="20"/>
          <w:szCs w:val="20"/>
          <w:rtl w:val="0"/>
          <w:lang w:val="it-IT"/>
        </w:rPr>
        <w:t>L</w:t>
      </w:r>
      <w:r>
        <w:rPr>
          <w:rFonts w:hAnsi="Book Antiqua" w:hint="default"/>
          <w:sz w:val="20"/>
          <w:szCs w:val="20"/>
          <w:rtl w:val="0"/>
          <w:lang w:val="it-IT"/>
        </w:rPr>
        <w:t>’</w:t>
      </w:r>
      <w:r>
        <w:rPr>
          <w:rFonts w:ascii="Book Antiqua"/>
          <w:sz w:val="20"/>
          <w:szCs w:val="20"/>
          <w:rtl w:val="0"/>
          <w:lang w:val="it-IT"/>
        </w:rPr>
        <w:t>interdittiva era stata confermata nel primo grado di giudizio amministrativo.</w:t>
      </w:r>
    </w:p>
  </w:footnote>
  <w:footnote w:id="218">
    <w:p>
      <w:pPr>
        <w:pStyle w:val="footnote text"/>
        <w:keepNext w:val="1"/>
        <w:ind w:left="567" w:right="567" w:hanging="284"/>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w:t>
        <w:tab/>
        <w:t xml:space="preserve">GIOVI Piero, nato il 31/03/1945 a Roma </w:t>
      </w:r>
      <w:r>
        <w:rPr>
          <w:rFonts w:hAnsi="Book Antiqua" w:hint="default"/>
          <w:sz w:val="20"/>
          <w:szCs w:val="20"/>
          <w:rtl w:val="0"/>
          <w:lang w:val="it-IT"/>
        </w:rPr>
        <w:t xml:space="preserve">– </w:t>
      </w:r>
      <w:r>
        <w:rPr>
          <w:rFonts w:ascii="Book Antiqua"/>
          <w:sz w:val="20"/>
          <w:szCs w:val="20"/>
          <w:rtl w:val="0"/>
          <w:lang w:val="it-IT"/>
        </w:rPr>
        <w:t>C.F. GVIPRI45C31H501Y.</w:t>
      </w:r>
    </w:p>
  </w:footnote>
  <w:footnote w:id="219">
    <w:p>
      <w:pPr>
        <w:pStyle w:val="footnote text"/>
        <w:keepNext w:val="1"/>
        <w:ind w:left="567" w:right="567" w:hanging="284"/>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w:t>
        <w:tab/>
        <w:t xml:space="preserve">TROIANI Anna Maria Rachele, nata il 22/11/1942 a Petrella Salto (RI) </w:t>
      </w:r>
      <w:r>
        <w:rPr>
          <w:rFonts w:hAnsi="Book Antiqua" w:hint="default"/>
          <w:sz w:val="20"/>
          <w:szCs w:val="20"/>
          <w:rtl w:val="0"/>
          <w:lang w:val="it-IT"/>
        </w:rPr>
        <w:t xml:space="preserve">– </w:t>
      </w:r>
      <w:r>
        <w:rPr>
          <w:rFonts w:ascii="Book Antiqua"/>
          <w:sz w:val="20"/>
          <w:szCs w:val="20"/>
          <w:rtl w:val="0"/>
          <w:lang w:val="it-IT"/>
        </w:rPr>
        <w:t>C.F. TRNNMR42S62G513E.</w:t>
      </w:r>
    </w:p>
  </w:footnote>
  <w:footnote w:id="220">
    <w:p>
      <w:pPr>
        <w:pStyle w:val="footnote text"/>
        <w:keepNext w:val="1"/>
        <w:ind w:left="567" w:right="567" w:hanging="284"/>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w:t>
        <w:tab/>
        <w:t xml:space="preserve">Di cui si </w:t>
      </w:r>
      <w:r>
        <w:rPr>
          <w:rFonts w:hAnsi="Book Antiqua" w:hint="default"/>
          <w:sz w:val="20"/>
          <w:szCs w:val="20"/>
          <w:rtl w:val="0"/>
          <w:lang w:val="it-IT"/>
        </w:rPr>
        <w:t xml:space="preserve">è </w:t>
      </w:r>
      <w:r>
        <w:rPr>
          <w:rFonts w:ascii="Book Antiqua"/>
          <w:sz w:val="20"/>
          <w:szCs w:val="20"/>
          <w:rtl w:val="0"/>
          <w:lang w:val="it-IT"/>
        </w:rPr>
        <w:t xml:space="preserve">trattato nel </w:t>
      </w:r>
      <w:r>
        <w:rPr>
          <w:rFonts w:hAnsi="Book Antiqua" w:hint="default"/>
          <w:sz w:val="20"/>
          <w:szCs w:val="20"/>
          <w:rtl w:val="0"/>
          <w:lang w:val="it-IT"/>
        </w:rPr>
        <w:t xml:space="preserve">§ </w:t>
      </w:r>
      <w:r>
        <w:rPr>
          <w:rFonts w:ascii="Book Antiqua"/>
          <w:sz w:val="20"/>
          <w:szCs w:val="20"/>
          <w:rtl w:val="0"/>
          <w:lang w:val="it-IT"/>
        </w:rPr>
        <w:t>3.3.</w:t>
      </w:r>
    </w:p>
  </w:footnote>
  <w:footnote w:id="221">
    <w:p>
      <w:pPr>
        <w:pStyle w:val="footnote text"/>
        <w:keepNext w:val="1"/>
        <w:ind w:left="567" w:right="567" w:hanging="284"/>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w:t>
        <w:tab/>
        <w:t xml:space="preserve">SCAGLIONE Carmelina, nata il 06/11/1944 a Roma </w:t>
      </w:r>
      <w:r>
        <w:rPr>
          <w:rFonts w:hAnsi="Book Antiqua" w:hint="default"/>
          <w:sz w:val="20"/>
          <w:szCs w:val="20"/>
          <w:rtl w:val="0"/>
          <w:lang w:val="it-IT"/>
        </w:rPr>
        <w:t xml:space="preserve">– </w:t>
      </w:r>
      <w:r>
        <w:rPr>
          <w:rFonts w:ascii="Book Antiqua"/>
          <w:sz w:val="20"/>
          <w:szCs w:val="20"/>
          <w:rtl w:val="0"/>
          <w:lang w:val="it-IT"/>
        </w:rPr>
        <w:t>C.F. SCGCML44S46H501U.</w:t>
      </w:r>
    </w:p>
  </w:footnote>
  <w:footnote w:id="222">
    <w:p>
      <w:pPr>
        <w:pStyle w:val="footnote text"/>
        <w:keepNext w:val="1"/>
        <w:widowControl w:val="0"/>
        <w:ind w:left="567" w:right="567" w:hanging="284"/>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w:t>
        <w:tab/>
        <w:t xml:space="preserve">BECCHETTI Francesco, nato il 31/08/1966 a Roma </w:t>
      </w:r>
      <w:r>
        <w:rPr>
          <w:rFonts w:hAnsi="Book Antiqua" w:hint="default"/>
          <w:sz w:val="20"/>
          <w:szCs w:val="20"/>
          <w:rtl w:val="0"/>
          <w:lang w:val="it-IT"/>
        </w:rPr>
        <w:t xml:space="preserve">– </w:t>
      </w:r>
      <w:r>
        <w:rPr>
          <w:rFonts w:ascii="Book Antiqua"/>
          <w:sz w:val="20"/>
          <w:szCs w:val="20"/>
          <w:rtl w:val="0"/>
          <w:lang w:val="it-IT"/>
        </w:rPr>
        <w:t xml:space="preserve">C.F. </w:t>
      </w:r>
      <w:r>
        <w:rPr>
          <w:rFonts w:ascii="Book Antiqua"/>
          <w:color w:val="000000"/>
          <w:sz w:val="20"/>
          <w:szCs w:val="20"/>
          <w:u w:color="000000"/>
          <w:rtl w:val="0"/>
          <w:lang w:val="it-IT"/>
        </w:rPr>
        <w:t>BCCFNC66M31H501S.</w:t>
      </w:r>
    </w:p>
  </w:footnote>
  <w:footnote w:id="223">
    <w:p>
      <w:pPr>
        <w:pStyle w:val="footnote text"/>
        <w:keepNext w:val="1"/>
        <w:widowControl w:val="0"/>
        <w:ind w:left="851" w:right="567" w:hanging="284"/>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La restante parte del capitale sociale della BEG SPA </w:t>
      </w:r>
      <w:r>
        <w:rPr>
          <w:rFonts w:hAnsi="Book Antiqua" w:hint="default"/>
          <w:sz w:val="20"/>
          <w:szCs w:val="20"/>
          <w:rtl w:val="0"/>
          <w:lang w:val="it-IT"/>
        </w:rPr>
        <w:t xml:space="preserve">è </w:t>
      </w:r>
      <w:r>
        <w:rPr>
          <w:rFonts w:ascii="Book Antiqua"/>
          <w:sz w:val="20"/>
          <w:szCs w:val="20"/>
          <w:rtl w:val="0"/>
          <w:lang w:val="it-IT"/>
        </w:rPr>
        <w:t>detenuta da BECCHETTI Francesco (azioni pari al 20% del capitale sociale), BECCHETTI Celestino (BCCCST38P12I461J), padre di Francesco (azioni pari al 20% del capitale sociale), CONDOMITTI Liliana (CNDLLN41P42H501R), madre di Francesco Becchetti (azioni pari al 20% del capitale sociale) e GRIGOLON Stefania (GRGSFN59L45H501Y - azioni pari al 10% del capitale sociale).</w:t>
      </w:r>
    </w:p>
  </w:footnote>
  <w:footnote w:id="224">
    <w:p>
      <w:pPr>
        <w:pStyle w:val="footnote text"/>
        <w:keepNext w:val="1"/>
        <w:widowControl w:val="0"/>
        <w:ind w:left="851" w:right="567" w:hanging="284"/>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w:t>
        <w:tab/>
        <w:t xml:space="preserve">Il canale televisivo </w:t>
      </w:r>
      <w:r>
        <w:rPr>
          <w:rFonts w:hAnsi="Book Antiqua" w:hint="default"/>
          <w:sz w:val="20"/>
          <w:szCs w:val="20"/>
          <w:rtl w:val="0"/>
          <w:lang w:val="it-IT"/>
        </w:rPr>
        <w:t>“</w:t>
      </w:r>
      <w:r>
        <w:rPr>
          <w:rFonts w:ascii="Book Antiqua"/>
          <w:sz w:val="20"/>
          <w:szCs w:val="20"/>
          <w:rtl w:val="0"/>
          <w:lang w:val="it-IT"/>
        </w:rPr>
        <w:t>Agon Channel</w:t>
      </w:r>
      <w:r>
        <w:rPr>
          <w:rFonts w:hAnsi="Book Antiqua" w:hint="default"/>
          <w:sz w:val="20"/>
          <w:szCs w:val="20"/>
          <w:rtl w:val="0"/>
          <w:lang w:val="it-IT"/>
        </w:rPr>
        <w:t>”</w:t>
      </w:r>
      <w:r>
        <w:rPr>
          <w:rFonts w:ascii="Book Antiqua"/>
          <w:sz w:val="20"/>
          <w:szCs w:val="20"/>
          <w:rtl w:val="0"/>
          <w:lang w:val="it-IT"/>
        </w:rPr>
        <w:t>, in onda sul canale 33 del digitale terrestre, ha definitivamente interrotto le trasmissioni nel mese di novembre 2015.</w:t>
      </w:r>
    </w:p>
  </w:footnote>
  <w:footnote w:id="225">
    <w:p>
      <w:pPr>
        <w:pStyle w:val="footnote text"/>
        <w:keepNext w:val="1"/>
        <w:widowControl w:val="0"/>
        <w:ind w:left="851" w:right="567" w:hanging="284"/>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w:t>
        <w:tab/>
        <w:t xml:space="preserve">Francesco Becchetti </w:t>
      </w:r>
      <w:r>
        <w:rPr>
          <w:rFonts w:hAnsi="Book Antiqua" w:hint="default"/>
          <w:sz w:val="20"/>
          <w:szCs w:val="20"/>
          <w:rtl w:val="0"/>
          <w:lang w:val="it-IT"/>
        </w:rPr>
        <w:t xml:space="preserve">è </w:t>
      </w:r>
      <w:r>
        <w:rPr>
          <w:rFonts w:ascii="Book Antiqua"/>
          <w:sz w:val="20"/>
          <w:szCs w:val="20"/>
          <w:rtl w:val="0"/>
          <w:lang w:val="it-IT"/>
        </w:rPr>
        <w:t xml:space="preserve">stato scarcerato dagli arresti domiciliari dietro pagamento di cauzione e, nel novembre 2016, il Tribunale arbitrale internazionale per la risoluzione delle controversie in materie di investimenti (ICSID) ha raccomandato </w:t>
      </w:r>
      <w:r>
        <w:rPr>
          <w:rFonts w:hAnsi="Book Antiqua" w:hint="default"/>
          <w:sz w:val="20"/>
          <w:szCs w:val="20"/>
          <w:rtl w:val="0"/>
          <w:lang w:val="it-IT"/>
        </w:rPr>
        <w:t> </w:t>
      </w:r>
      <w:r>
        <w:rPr>
          <w:rFonts w:ascii="Book Antiqua"/>
          <w:sz w:val="20"/>
          <w:szCs w:val="20"/>
          <w:rtl w:val="0"/>
          <w:lang w:val="it-IT"/>
        </w:rPr>
        <w:t>alle autorit</w:t>
      </w:r>
      <w:r>
        <w:rPr>
          <w:rFonts w:hAnsi="Book Antiqua" w:hint="default"/>
          <w:sz w:val="20"/>
          <w:szCs w:val="20"/>
          <w:rtl w:val="0"/>
          <w:lang w:val="it-IT"/>
        </w:rPr>
        <w:t xml:space="preserve">à </w:t>
      </w:r>
      <w:r>
        <w:rPr>
          <w:rFonts w:ascii="Book Antiqua"/>
          <w:sz w:val="20"/>
          <w:szCs w:val="20"/>
          <w:rtl w:val="0"/>
          <w:lang w:val="it-IT"/>
        </w:rPr>
        <w:t>albanesi la sospensione della procedura di estradizione richiesta al Regno Unito.</w:t>
      </w:r>
    </w:p>
  </w:footnote>
  <w:footnote w:id="226">
    <w:p>
      <w:pPr>
        <w:pStyle w:val="Normal"/>
        <w:ind w:left="567" w:right="567" w:firstLine="0"/>
        <w:jc w:val="both"/>
      </w:pPr>
      <w:r>
        <w:rPr>
          <w:rFonts w:ascii="Book Antiqua" w:cs="Book Antiqua" w:hAnsi="Book Antiqua" w:eastAsia="Book Antiqua"/>
          <w:color w:val="262626"/>
          <w:u w:color="1a348d"/>
          <w:vertAlign w:val="superscript"/>
          <w:rtl w:val="0"/>
        </w:rPr>
        <w:footnoteRef/>
      </w:r>
      <w:r>
        <w:rPr>
          <w:rFonts w:ascii="Book Antiqua"/>
          <w:sz w:val="20"/>
          <w:szCs w:val="20"/>
          <w:rtl w:val="0"/>
          <w:lang w:val="it-IT"/>
        </w:rPr>
        <w:t xml:space="preserve"> In relazione a questo episodio la procura della Repubblica di Roma ha esercitato l</w:t>
      </w:r>
      <w:r>
        <w:rPr>
          <w:rFonts w:hAnsi="Book Antiqua" w:hint="default"/>
          <w:sz w:val="20"/>
          <w:szCs w:val="20"/>
          <w:rtl w:val="0"/>
          <w:lang w:val="it-IT"/>
        </w:rPr>
        <w:t>’</w:t>
      </w:r>
      <w:r>
        <w:rPr>
          <w:rFonts w:ascii="Book Antiqua"/>
          <w:sz w:val="20"/>
          <w:szCs w:val="20"/>
          <w:rtl w:val="0"/>
          <w:lang w:val="it-IT"/>
        </w:rPr>
        <w:t xml:space="preserve">azione penale nei confronti dei vertici di AMA S.p.A. per la contravvenzione di cui agli articoli 113-674 del codice penale incolpandoli di avere colposamente omesso di adottare le dovute cautele al fine di evitare che </w:t>
      </w:r>
      <w:r>
        <w:rPr>
          <w:rFonts w:hAnsi="Book Antiqua" w:hint="default"/>
          <w:sz w:val="20"/>
          <w:szCs w:val="20"/>
          <w:rtl w:val="0"/>
          <w:lang w:val="it-IT"/>
        </w:rPr>
        <w:t>“</w:t>
      </w:r>
      <w:r>
        <w:rPr>
          <w:rFonts w:ascii="Book Antiqua"/>
          <w:sz w:val="20"/>
          <w:szCs w:val="20"/>
          <w:rtl w:val="0"/>
          <w:lang w:val="it-IT"/>
        </w:rPr>
        <w:t>a seguito di precipitazioni atmosferiche di particolare intensit</w:t>
      </w:r>
      <w:r>
        <w:rPr>
          <w:rFonts w:hAnsi="Book Antiqua" w:hint="default"/>
          <w:sz w:val="20"/>
          <w:szCs w:val="20"/>
          <w:rtl w:val="0"/>
          <w:lang w:val="it-IT"/>
        </w:rPr>
        <w:t>à</w:t>
      </w:r>
      <w:r>
        <w:rPr>
          <w:rFonts w:ascii="Book Antiqua"/>
          <w:sz w:val="20"/>
          <w:szCs w:val="20"/>
          <w:rtl w:val="0"/>
          <w:lang w:val="it-IT"/>
        </w:rPr>
        <w:t>, i rifiuti ospedalieri stoccati all'interno dell'area dell'inceneritore di Ponte Malnome dell'azienda si sversassero nell'area circostante</w:t>
      </w:r>
      <w:r>
        <w:rPr>
          <w:rFonts w:hAnsi="Book Antiqua" w:hint="default"/>
          <w:sz w:val="20"/>
          <w:szCs w:val="20"/>
          <w:rtl w:val="0"/>
          <w:lang w:val="it-IT"/>
        </w:rPr>
        <w:t>”</w:t>
      </w:r>
    </w:p>
  </w:footnote>
  <w:footnote w:id="227">
    <w:p>
      <w:pPr>
        <w:pStyle w:val="footnote text"/>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Con nota della prefettura del 18 luglio 2017, acquisita come Doc. n. 2177/1-2 </w:t>
      </w:r>
    </w:p>
  </w:footnote>
  <w:footnote w:id="228">
    <w:p>
      <w:pPr>
        <w:pStyle w:val="Normal"/>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Come scrive la prefettura </w:t>
      </w:r>
      <w:r>
        <w:rPr>
          <w:rFonts w:hAnsi="Book Antiqua" w:hint="default"/>
          <w:sz w:val="20"/>
          <w:szCs w:val="20"/>
          <w:rtl w:val="0"/>
          <w:lang w:val="it-IT"/>
        </w:rPr>
        <w:t>“</w:t>
      </w:r>
      <w:r>
        <w:rPr>
          <w:rFonts w:ascii="Book Antiqua"/>
          <w:sz w:val="20"/>
          <w:szCs w:val="20"/>
          <w:rtl w:val="0"/>
          <w:lang w:val="it-IT"/>
        </w:rPr>
        <w:t xml:space="preserve">il TMB Salario, operativo dal 2010, </w:t>
      </w:r>
      <w:r>
        <w:rPr>
          <w:rFonts w:hAnsi="Book Antiqua" w:hint="default"/>
          <w:sz w:val="20"/>
          <w:szCs w:val="20"/>
          <w:rtl w:val="0"/>
          <w:lang w:val="it-IT"/>
        </w:rPr>
        <w:t xml:space="preserve">è </w:t>
      </w:r>
      <w:r>
        <w:rPr>
          <w:rFonts w:ascii="Book Antiqua"/>
          <w:sz w:val="20"/>
          <w:szCs w:val="20"/>
          <w:rtl w:val="0"/>
          <w:lang w:val="it-IT"/>
        </w:rPr>
        <w:t>stato oggetto, sin dalla sua istituzione, di molteplici manifestazioni, assemblee pubbliche e raccolte di firme rivolte ad ottenerne la chiusura con l'appoggio anche degli amministratori che, nel corso degli anni, si sono succeduti alla guida del Municipio interessato</w:t>
      </w:r>
      <w:r>
        <w:rPr>
          <w:rFonts w:hAnsi="Book Antiqua" w:hint="default"/>
          <w:sz w:val="20"/>
          <w:szCs w:val="20"/>
          <w:rtl w:val="0"/>
          <w:lang w:val="it-IT"/>
        </w:rPr>
        <w:t>”</w:t>
      </w:r>
      <w:r>
        <w:rPr>
          <w:rFonts w:ascii="Book Antiqua"/>
          <w:sz w:val="20"/>
          <w:szCs w:val="20"/>
          <w:rtl w:val="0"/>
          <w:lang w:val="it-IT"/>
        </w:rPr>
        <w:t>.</w:t>
      </w:r>
    </w:p>
  </w:footnote>
  <w:footnote w:id="229">
    <w:p>
      <w:pPr>
        <w:pStyle w:val="Normal"/>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In prima battuta, quindi, a prescindere dalla possibile dimostrazione di eventi dannosi, l</w:t>
      </w:r>
      <w:r>
        <w:rPr>
          <w:rFonts w:hAnsi="Book Antiqua" w:hint="default"/>
          <w:sz w:val="20"/>
          <w:szCs w:val="20"/>
          <w:rtl w:val="0"/>
          <w:lang w:val="it-IT"/>
        </w:rPr>
        <w:t>’</w:t>
      </w:r>
      <w:r>
        <w:rPr>
          <w:rFonts w:ascii="Book Antiqua"/>
          <w:sz w:val="20"/>
          <w:szCs w:val="20"/>
          <w:rtl w:val="0"/>
          <w:lang w:val="it-IT"/>
        </w:rPr>
        <w:t>illecito a cui potrebbe farsi riferimento, sulla base di una costante elaborazione giurisprudenziale,</w:t>
      </w:r>
      <w:r>
        <w:rPr>
          <w:rFonts w:hAnsi="Book Antiqua" w:hint="default"/>
          <w:sz w:val="20"/>
          <w:szCs w:val="20"/>
          <w:rtl w:val="0"/>
          <w:lang w:val="it-IT"/>
        </w:rPr>
        <w:t xml:space="preserve"> è </w:t>
      </w:r>
      <w:r>
        <w:rPr>
          <w:rFonts w:ascii="Book Antiqua"/>
          <w:sz w:val="20"/>
          <w:szCs w:val="20"/>
          <w:rtl w:val="0"/>
          <w:lang w:val="it-IT"/>
        </w:rPr>
        <w:t>quello di cui all</w:t>
      </w:r>
      <w:r>
        <w:rPr>
          <w:rFonts w:hAnsi="Book Antiqua" w:hint="default"/>
          <w:sz w:val="20"/>
          <w:szCs w:val="20"/>
          <w:rtl w:val="0"/>
          <w:lang w:val="it-IT"/>
        </w:rPr>
        <w:t>’</w:t>
      </w:r>
      <w:r>
        <w:rPr>
          <w:rFonts w:ascii="Book Antiqua"/>
          <w:sz w:val="20"/>
          <w:szCs w:val="20"/>
          <w:rtl w:val="0"/>
          <w:lang w:val="it-IT"/>
        </w:rPr>
        <w:t>articolo 674 del codice penale; peraltro nella nota del comitato si fa riferimento a sollecitazioni rivolte anche a polizia giudiziaria e autorit</w:t>
      </w:r>
      <w:r>
        <w:rPr>
          <w:rFonts w:hAnsi="Book Antiqua" w:hint="default"/>
          <w:sz w:val="20"/>
          <w:szCs w:val="20"/>
          <w:rtl w:val="0"/>
          <w:lang w:val="it-IT"/>
        </w:rPr>
        <w:t xml:space="preserve">à </w:t>
      </w:r>
      <w:r>
        <w:rPr>
          <w:rFonts w:ascii="Book Antiqua"/>
          <w:sz w:val="20"/>
          <w:szCs w:val="20"/>
          <w:rtl w:val="0"/>
          <w:lang w:val="it-IT"/>
        </w:rPr>
        <w:t xml:space="preserve">giudiziaria: </w:t>
      </w:r>
      <w:r>
        <w:rPr>
          <w:rFonts w:hAnsi="Book Antiqua" w:hint="default"/>
          <w:sz w:val="20"/>
          <w:szCs w:val="20"/>
          <w:rtl w:val="0"/>
          <w:lang w:val="it-IT"/>
        </w:rPr>
        <w:t>“</w:t>
      </w:r>
      <w:r>
        <w:rPr>
          <w:rFonts w:ascii="Book Antiqua"/>
          <w:sz w:val="20"/>
          <w:szCs w:val="20"/>
          <w:rtl w:val="0"/>
          <w:lang w:val="it-IT"/>
        </w:rPr>
        <w:t>dal 2011 sono iniziate le numerose proteste dei cittadini che hanno coinvolto le istituzioni nazionali (Municipio, comune, Regione, Provincia, ASL, Procura della Repubblica, Corpo forestale dello Stato) e la Commissione Petizioni del Parlamento Europeo. Il 21 settembre 2011</w:t>
      </w:r>
      <w:r>
        <w:rPr>
          <w:rFonts w:ascii="Book Antiqua"/>
          <w:i w:val="1"/>
          <w:iCs w:val="1"/>
          <w:sz w:val="20"/>
          <w:szCs w:val="20"/>
          <w:rtl w:val="0"/>
          <w:lang w:val="it-IT"/>
        </w:rPr>
        <w:t xml:space="preserve"> </w:t>
      </w:r>
      <w:r>
        <w:rPr>
          <w:rFonts w:ascii="Book Antiqua"/>
          <w:sz w:val="20"/>
          <w:szCs w:val="20"/>
          <w:rtl w:val="0"/>
          <w:lang w:val="it-IT"/>
        </w:rPr>
        <w:t>i cittadini hanno presentato un esposto contenente 2640 firme alla Procura della Repubblica e al Corpo forestale dello Stato segnalando la situazione di grande disagio nella quale sono costretti a vivere. Il 27 ottobre 2017 i cittadini hanno presentato una denuncia-querela per ipotesi di reato per inquinamento ambientale e danno alla salute pubblica</w:t>
      </w:r>
      <w:r>
        <w:rPr>
          <w:rFonts w:hAnsi="Book Antiqua" w:hint="default"/>
          <w:sz w:val="20"/>
          <w:szCs w:val="20"/>
          <w:rtl w:val="0"/>
          <w:lang w:val="it-IT"/>
        </w:rPr>
        <w:t>”</w:t>
      </w:r>
      <w:r>
        <w:rPr>
          <w:rFonts w:ascii="Book Antiqua"/>
          <w:sz w:val="20"/>
          <w:szCs w:val="20"/>
          <w:rtl w:val="0"/>
          <w:lang w:val="it-IT"/>
        </w:rPr>
        <w:t>.</w:t>
      </w:r>
    </w:p>
  </w:footnote>
  <w:footnote w:id="230">
    <w:p>
      <w:pPr>
        <w:pStyle w:val="footnote text"/>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Doc. 1742/1</w:t>
      </w:r>
    </w:p>
  </w:footnote>
  <w:footnote w:id="231">
    <w:p>
      <w:pPr>
        <w:pStyle w:val="footnote text"/>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Sul punto la Commissione ha svolto altri apporofondimenti i cui esiti sono riportati nel </w:t>
      </w:r>
      <w:r>
        <w:rPr>
          <w:rFonts w:hAnsi="Book Antiqua" w:hint="default"/>
          <w:sz w:val="20"/>
          <w:szCs w:val="20"/>
          <w:rtl w:val="0"/>
          <w:lang w:val="it-IT"/>
        </w:rPr>
        <w:t xml:space="preserve">§ </w:t>
      </w:r>
      <w:r>
        <w:rPr>
          <w:rFonts w:ascii="Book Antiqua"/>
          <w:sz w:val="20"/>
          <w:szCs w:val="20"/>
          <w:rtl w:val="0"/>
          <w:lang w:val="it-IT"/>
        </w:rPr>
        <w:t>6.5</w:t>
      </w:r>
    </w:p>
  </w:footnote>
  <w:footnote w:id="232">
    <w:p>
      <w:pPr>
        <w:pStyle w:val="footnote text"/>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Nell</w:t>
      </w:r>
      <w:r>
        <w:rPr>
          <w:rFonts w:hAnsi="Book Antiqua" w:hint="default"/>
          <w:sz w:val="20"/>
          <w:szCs w:val="20"/>
          <w:rtl w:val="0"/>
          <w:lang w:val="it-IT"/>
        </w:rPr>
        <w:t>’</w:t>
      </w:r>
      <w:r>
        <w:rPr>
          <w:rFonts w:ascii="Book Antiqua"/>
          <w:sz w:val="20"/>
          <w:szCs w:val="20"/>
          <w:rtl w:val="0"/>
          <w:lang w:val="it-IT"/>
        </w:rPr>
        <w:t>audizione del 21 febbraio 2017</w:t>
      </w:r>
    </w:p>
  </w:footnote>
  <w:footnote w:id="233">
    <w:p>
      <w:pPr>
        <w:pStyle w:val="footnote text"/>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Tipico del territorio </w:t>
      </w:r>
      <w:r>
        <w:rPr>
          <w:rFonts w:hAnsi="Book Antiqua" w:hint="default"/>
          <w:sz w:val="20"/>
          <w:szCs w:val="20"/>
          <w:rtl w:val="0"/>
          <w:lang w:val="it-IT"/>
        </w:rPr>
        <w:t xml:space="preserve">è </w:t>
      </w:r>
      <w:r>
        <w:rPr>
          <w:rFonts w:ascii="Book Antiqua"/>
          <w:sz w:val="20"/>
          <w:szCs w:val="20"/>
          <w:rtl w:val="0"/>
          <w:lang w:val="it-IT"/>
        </w:rPr>
        <w:t>l</w:t>
      </w:r>
      <w:r>
        <w:rPr>
          <w:rFonts w:hAnsi="Book Antiqua" w:hint="default"/>
          <w:sz w:val="20"/>
          <w:szCs w:val="20"/>
          <w:rtl w:val="0"/>
          <w:lang w:val="it-IT"/>
        </w:rPr>
        <w:t>’</w:t>
      </w:r>
      <w:r>
        <w:rPr>
          <w:rFonts w:ascii="Book Antiqua"/>
          <w:sz w:val="20"/>
          <w:szCs w:val="20"/>
          <w:rtl w:val="0"/>
          <w:lang w:val="it-IT"/>
        </w:rPr>
        <w:t>abbandono di materiali derivanti da attivit</w:t>
      </w:r>
      <w:r>
        <w:rPr>
          <w:rFonts w:hAnsi="Book Antiqua" w:hint="default"/>
          <w:sz w:val="20"/>
          <w:szCs w:val="20"/>
          <w:rtl w:val="0"/>
          <w:lang w:val="it-IT"/>
        </w:rPr>
        <w:t xml:space="preserve">à </w:t>
      </w:r>
      <w:r>
        <w:rPr>
          <w:rFonts w:ascii="Book Antiqua"/>
          <w:sz w:val="20"/>
          <w:szCs w:val="20"/>
          <w:rtl w:val="0"/>
          <w:lang w:val="it-IT"/>
        </w:rPr>
        <w:t>edilizie o comunque del loro smaltimento illegale, che spesso ha come presupposto l</w:t>
      </w:r>
      <w:r>
        <w:rPr>
          <w:rFonts w:hAnsi="Book Antiqua" w:hint="default"/>
          <w:sz w:val="20"/>
          <w:szCs w:val="20"/>
          <w:rtl w:val="0"/>
          <w:lang w:val="it-IT"/>
        </w:rPr>
        <w:t>’</w:t>
      </w:r>
      <w:r>
        <w:rPr>
          <w:rFonts w:ascii="Book Antiqua"/>
          <w:sz w:val="20"/>
          <w:szCs w:val="20"/>
          <w:rtl w:val="0"/>
          <w:lang w:val="it-IT"/>
        </w:rPr>
        <w:t>illegalit</w:t>
      </w:r>
      <w:r>
        <w:rPr>
          <w:rFonts w:hAnsi="Book Antiqua" w:hint="default"/>
          <w:sz w:val="20"/>
          <w:szCs w:val="20"/>
          <w:rtl w:val="0"/>
          <w:lang w:val="it-IT"/>
        </w:rPr>
        <w:t xml:space="preserve">à </w:t>
      </w:r>
      <w:r>
        <w:rPr>
          <w:rFonts w:ascii="Book Antiqua"/>
          <w:sz w:val="20"/>
          <w:szCs w:val="20"/>
          <w:rtl w:val="0"/>
          <w:lang w:val="it-IT"/>
        </w:rPr>
        <w:t>imprenditoriale sotto i profili fiscali e previdenziali; nell</w:t>
      </w:r>
      <w:r>
        <w:rPr>
          <w:rFonts w:hAnsi="Book Antiqua" w:hint="default"/>
          <w:sz w:val="20"/>
          <w:szCs w:val="20"/>
          <w:rtl w:val="0"/>
          <w:lang w:val="it-IT"/>
        </w:rPr>
        <w:t>’</w:t>
      </w:r>
      <w:r>
        <w:rPr>
          <w:rFonts w:ascii="Book Antiqua"/>
          <w:sz w:val="20"/>
          <w:szCs w:val="20"/>
          <w:rtl w:val="0"/>
          <w:lang w:val="it-IT"/>
        </w:rPr>
        <w:t xml:space="preserve">audizione del 7 febbraio 2017, il comandante del NOE di Roma ricordava: </w:t>
      </w:r>
      <w:r>
        <w:rPr>
          <w:rFonts w:hAnsi="Book Antiqua" w:hint="default"/>
          <w:sz w:val="20"/>
          <w:szCs w:val="20"/>
          <w:rtl w:val="0"/>
          <w:lang w:val="it-IT"/>
        </w:rPr>
        <w:t>“</w:t>
      </w:r>
      <w:r>
        <w:rPr>
          <w:rFonts w:ascii="Book Antiqua"/>
          <w:sz w:val="20"/>
          <w:szCs w:val="20"/>
          <w:rtl w:val="0"/>
          <w:lang w:val="it-IT"/>
        </w:rPr>
        <w:t>registriamo il permanere del fenomeno di tombamenti di rifiuti, soprattutto nel ramo delle costruzioni, delle demolizioni. Recentemente, a fine 2016, abbiamo sequestrato un'area di 17.000 metri quadrati nella provincia di Roma, dove venivano sversati oltre 25.000 metri cubi di materiale da demolizione, peraltro sporco, ossia non epurato di altre frazioni che, sebbene minoritarie, comunque c'erano.</w:t>
      </w:r>
      <w:r>
        <w:rPr>
          <w:rFonts w:hAnsi="Book Antiqua" w:hint="default"/>
          <w:sz w:val="20"/>
          <w:szCs w:val="20"/>
          <w:rtl w:val="0"/>
          <w:lang w:val="it-IT"/>
        </w:rPr>
        <w:t>”</w:t>
      </w:r>
    </w:p>
  </w:footnote>
  <w:footnote w:id="234">
    <w:p>
      <w:pPr>
        <w:pStyle w:val="footnote text"/>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Doc. n. 917/1-2</w:t>
      </w:r>
    </w:p>
  </w:footnote>
  <w:footnote w:id="235">
    <w:p>
      <w:pPr>
        <w:pStyle w:val="footnote text"/>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Doc. n. 1742/1</w:t>
      </w:r>
    </w:p>
  </w:footnote>
  <w:footnote w:id="236">
    <w:p>
      <w:pPr>
        <w:pStyle w:val="footnote text"/>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Doc. n. 1709/1-2; una relazione della Guardia di finanza relativa all</w:t>
      </w:r>
      <w:r>
        <w:rPr>
          <w:rFonts w:hAnsi="Book Antiqua" w:hint="default"/>
          <w:sz w:val="20"/>
          <w:szCs w:val="20"/>
          <w:rtl w:val="0"/>
          <w:lang w:val="it-IT"/>
        </w:rPr>
        <w:t>’</w:t>
      </w:r>
      <w:r>
        <w:rPr>
          <w:rFonts w:ascii="Book Antiqua"/>
          <w:sz w:val="20"/>
          <w:szCs w:val="20"/>
          <w:rtl w:val="0"/>
          <w:lang w:val="it-IT"/>
        </w:rPr>
        <w:t>anno 2014 era stata in precedenza acquisita come Doc. n. 627/1-2</w:t>
      </w:r>
    </w:p>
  </w:footnote>
  <w:footnote w:id="237">
    <w:p>
      <w:pPr>
        <w:pStyle w:val="footnote text"/>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Doc. n. 1738/2</w:t>
      </w:r>
    </w:p>
  </w:footnote>
  <w:footnote w:id="238">
    <w:p>
      <w:pPr>
        <w:pStyle w:val="footnote text"/>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In proposito si veda anche apposita relazione del comune di Rieti del 23 febbraio 2017 (Doc. n. 1802/1)</w:t>
      </w:r>
    </w:p>
  </w:footnote>
  <w:footnote w:id="239">
    <w:p>
      <w:pPr>
        <w:pStyle w:val="footnote text"/>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Doc. n. 895/2</w:t>
      </w:r>
    </w:p>
  </w:footnote>
  <w:footnote w:id="240">
    <w:p>
      <w:pPr>
        <w:pStyle w:val="Normal"/>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Doc. n. 1820/2; della vicenda la Commisisone si </w:t>
      </w:r>
      <w:r>
        <w:rPr>
          <w:rFonts w:hAnsi="Book Antiqua" w:hint="default"/>
          <w:sz w:val="20"/>
          <w:szCs w:val="20"/>
          <w:rtl w:val="0"/>
          <w:lang w:val="it-IT"/>
        </w:rPr>
        <w:t xml:space="preserve">è </w:t>
      </w:r>
      <w:r>
        <w:rPr>
          <w:rFonts w:ascii="Book Antiqua"/>
          <w:sz w:val="20"/>
          <w:szCs w:val="20"/>
          <w:rtl w:val="0"/>
          <w:lang w:val="it-IT"/>
        </w:rPr>
        <w:t>occupata altres</w:t>
      </w:r>
      <w:r>
        <w:rPr>
          <w:rFonts w:hAnsi="Book Antiqua" w:hint="default"/>
          <w:sz w:val="20"/>
          <w:szCs w:val="20"/>
          <w:rtl w:val="0"/>
          <w:lang w:val="it-IT"/>
        </w:rPr>
        <w:t xml:space="preserve">ì </w:t>
      </w:r>
      <w:r>
        <w:rPr>
          <w:rFonts w:ascii="Book Antiqua"/>
          <w:sz w:val="20"/>
          <w:szCs w:val="20"/>
          <w:rtl w:val="0"/>
          <w:lang w:val="it-IT"/>
        </w:rPr>
        <w:t>nell</w:t>
      </w:r>
      <w:r>
        <w:rPr>
          <w:rFonts w:hAnsi="Book Antiqua" w:hint="default"/>
          <w:sz w:val="20"/>
          <w:szCs w:val="20"/>
          <w:rtl w:val="0"/>
          <w:lang w:val="it-IT"/>
        </w:rPr>
        <w:t>’</w:t>
      </w:r>
      <w:r>
        <w:rPr>
          <w:rFonts w:ascii="Book Antiqua"/>
          <w:sz w:val="20"/>
          <w:szCs w:val="20"/>
          <w:rtl w:val="0"/>
          <w:lang w:val="it-IT"/>
        </w:rPr>
        <w:t>ambito della relazione sulle questioni ambientali connesse a prospezioni, produzione e trasporto di idrocarburi in Basilicata, approvata il 20 febbraio 2017</w:t>
      </w:r>
    </w:p>
  </w:footnote>
  <w:footnote w:id="241">
    <w:p>
      <w:pPr>
        <w:pStyle w:val="footnote text"/>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Doc. n. 1820/4</w:t>
      </w:r>
    </w:p>
  </w:footnote>
  <w:footnote w:id="242">
    <w:p>
      <w:pPr>
        <w:pStyle w:val="footnote text"/>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Doc. n. 1744/2</w:t>
      </w:r>
    </w:p>
  </w:footnote>
  <w:footnote w:id="243">
    <w:p>
      <w:pPr>
        <w:pStyle w:val="footnote text"/>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Nella gi</w:t>
      </w:r>
      <w:r>
        <w:rPr>
          <w:rFonts w:hAnsi="Book Antiqua" w:hint="default"/>
          <w:sz w:val="20"/>
          <w:szCs w:val="20"/>
          <w:rtl w:val="0"/>
          <w:lang w:val="it-IT"/>
        </w:rPr>
        <w:t xml:space="preserve">à </w:t>
      </w:r>
      <w:r>
        <w:rPr>
          <w:rFonts w:ascii="Book Antiqua"/>
          <w:sz w:val="20"/>
          <w:szCs w:val="20"/>
          <w:rtl w:val="0"/>
          <w:lang w:val="it-IT"/>
        </w:rPr>
        <w:t>citata nota del 25 novembre 2015, Doc. n. 917/2</w:t>
      </w:r>
    </w:p>
  </w:footnote>
  <w:footnote w:id="244">
    <w:p>
      <w:pPr>
        <w:pStyle w:val="Normal (Web)"/>
        <w:spacing w:before="0" w:after="0"/>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Doc. n. 771/1 del 30 settembre 2015</w:t>
      </w:r>
    </w:p>
  </w:footnote>
  <w:footnote w:id="245">
    <w:p>
      <w:pPr>
        <w:pStyle w:val="footnote text"/>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Doc. n. 2316/1</w:t>
      </w:r>
    </w:p>
  </w:footnote>
  <w:footnote w:id="246">
    <w:p>
      <w:pPr>
        <w:pStyle w:val="footnote text"/>
        <w:ind w:left="567" w:right="567" w:firstLine="0"/>
        <w:jc w:val="both"/>
        <w:rPr>
          <w:rFonts w:ascii="Book Antiqua" w:cs="Book Antiqua" w:hAnsi="Book Antiqua" w:eastAsia="Book Antiqua"/>
          <w:sz w:val="20"/>
          <w:szCs w:val="20"/>
        </w:rPr>
      </w:pPr>
      <w:r>
        <w:rPr>
          <w:rFonts w:ascii="Book Antiqua" w:cs="Book Antiqua" w:hAnsi="Book Antiqua" w:eastAsia="Book Antiqua"/>
          <w:vertAlign w:val="superscript"/>
          <w:rtl w:val="0"/>
        </w:rPr>
        <w:footnoteRef/>
      </w:r>
      <w:r>
        <w:rPr>
          <w:rFonts w:ascii="Book Antiqua"/>
          <w:sz w:val="20"/>
          <w:szCs w:val="20"/>
          <w:rtl w:val="0"/>
          <w:lang w:val="it-IT"/>
        </w:rPr>
        <w:t xml:space="preserve"> La Commissione si </w:t>
      </w:r>
      <w:r>
        <w:rPr>
          <w:rFonts w:hAnsi="Book Antiqua" w:hint="default"/>
          <w:sz w:val="20"/>
          <w:szCs w:val="20"/>
          <w:rtl w:val="0"/>
          <w:lang w:val="it-IT"/>
        </w:rPr>
        <w:t xml:space="preserve">è </w:t>
      </w:r>
      <w:r>
        <w:rPr>
          <w:rFonts w:ascii="Book Antiqua"/>
          <w:sz w:val="20"/>
          <w:szCs w:val="20"/>
          <w:rtl w:val="0"/>
          <w:lang w:val="it-IT"/>
        </w:rPr>
        <w:t>occupata degli illeciti posti in essere dalla Nuova Esa s.r.l. nella relazione territoriale sulla Regione Veneto, approvata il 23 giugno 2016:</w:t>
      </w:r>
    </w:p>
    <w:p>
      <w:pPr>
        <w:pStyle w:val="Normal"/>
        <w:ind w:left="567" w:right="567" w:firstLine="0"/>
        <w:jc w:val="both"/>
        <w:rPr>
          <w:rFonts w:ascii="Book Antiqua" w:cs="Book Antiqua" w:hAnsi="Book Antiqua" w:eastAsia="Book Antiqua"/>
          <w:sz w:val="20"/>
          <w:szCs w:val="20"/>
        </w:rPr>
      </w:pPr>
      <w:r>
        <w:rPr>
          <w:rFonts w:hAnsi="Book Antiqua" w:hint="default"/>
          <w:sz w:val="20"/>
          <w:szCs w:val="20"/>
          <w:rtl w:val="0"/>
          <w:lang w:val="it-IT"/>
        </w:rPr>
        <w:t>“</w:t>
      </w:r>
      <w:r>
        <w:rPr>
          <w:rFonts w:ascii="Book Antiqua"/>
          <w:sz w:val="20"/>
          <w:szCs w:val="20"/>
          <w:rtl w:val="0"/>
          <w:lang w:val="it-IT"/>
        </w:rPr>
        <w:t>per quanto riguarda la Nuova Esa s.r.l., dalle suddette sentenze risulta acclarato che Giommi Gianni, legale rappresentante della societ</w:t>
      </w:r>
      <w:r>
        <w:rPr>
          <w:rFonts w:hAnsi="Book Antiqua" w:hint="default"/>
          <w:sz w:val="20"/>
          <w:szCs w:val="20"/>
          <w:rtl w:val="0"/>
          <w:lang w:val="it-IT"/>
        </w:rPr>
        <w:t>à</w:t>
      </w:r>
      <w:r>
        <w:rPr>
          <w:rFonts w:ascii="Book Antiqua"/>
          <w:sz w:val="20"/>
          <w:szCs w:val="20"/>
          <w:rtl w:val="0"/>
          <w:lang w:val="it-IT"/>
        </w:rPr>
        <w:t>, con i suoi collaboratori, Casarin Roberto, Casarin Moreno, Casarin Michele, Murari Giandomenico, Marchesin Francesco, all</w:t>
      </w:r>
      <w:r>
        <w:rPr>
          <w:rFonts w:hAnsi="Book Antiqua" w:hint="default"/>
          <w:sz w:val="20"/>
          <w:szCs w:val="20"/>
          <w:rtl w:val="0"/>
          <w:lang w:val="it-IT"/>
        </w:rPr>
        <w:t>’</w:t>
      </w:r>
      <w:r>
        <w:rPr>
          <w:rFonts w:ascii="Book Antiqua"/>
          <w:sz w:val="20"/>
          <w:szCs w:val="20"/>
          <w:rtl w:val="0"/>
          <w:lang w:val="it-IT"/>
        </w:rPr>
        <w:t>interno dell</w:t>
      </w:r>
      <w:r>
        <w:rPr>
          <w:rFonts w:hAnsi="Book Antiqua" w:hint="default"/>
          <w:sz w:val="20"/>
          <w:szCs w:val="20"/>
          <w:rtl w:val="0"/>
          <w:lang w:val="it-IT"/>
        </w:rPr>
        <w:t>’</w:t>
      </w:r>
      <w:r>
        <w:rPr>
          <w:rFonts w:ascii="Book Antiqua"/>
          <w:sz w:val="20"/>
          <w:szCs w:val="20"/>
          <w:rtl w:val="0"/>
          <w:lang w:val="it-IT"/>
        </w:rPr>
        <w:t>impianto di via della Fornace, nel comune di Marcon, nell</w:t>
      </w:r>
      <w:r>
        <w:rPr>
          <w:rFonts w:hAnsi="Book Antiqua" w:hint="default"/>
          <w:sz w:val="20"/>
          <w:szCs w:val="20"/>
          <w:rtl w:val="0"/>
          <w:lang w:val="it-IT"/>
        </w:rPr>
        <w:t>’</w:t>
      </w:r>
      <w:r>
        <w:rPr>
          <w:rFonts w:ascii="Book Antiqua"/>
          <w:sz w:val="20"/>
          <w:szCs w:val="20"/>
          <w:rtl w:val="0"/>
          <w:lang w:val="it-IT"/>
        </w:rPr>
        <w:t>ambito della rete di collegamento e controllo instaurata dalle due societ</w:t>
      </w:r>
      <w:r>
        <w:rPr>
          <w:rFonts w:hAnsi="Book Antiqua" w:hint="default"/>
          <w:sz w:val="20"/>
          <w:szCs w:val="20"/>
          <w:rtl w:val="0"/>
          <w:lang w:val="it-IT"/>
        </w:rPr>
        <w:t xml:space="preserve">à </w:t>
      </w:r>
      <w:r>
        <w:rPr>
          <w:rFonts w:ascii="Book Antiqua"/>
          <w:sz w:val="20"/>
          <w:szCs w:val="20"/>
          <w:rtl w:val="0"/>
          <w:lang w:val="it-IT"/>
        </w:rPr>
        <w:t>sul territorio nazionale, con pi</w:t>
      </w:r>
      <w:r>
        <w:rPr>
          <w:rFonts w:hAnsi="Book Antiqua" w:hint="default"/>
          <w:sz w:val="20"/>
          <w:szCs w:val="20"/>
          <w:rtl w:val="0"/>
          <w:lang w:val="it-IT"/>
        </w:rPr>
        <w:t xml:space="preserve">ù </w:t>
      </w:r>
      <w:r>
        <w:rPr>
          <w:rFonts w:ascii="Book Antiqua"/>
          <w:sz w:val="20"/>
          <w:szCs w:val="20"/>
          <w:rtl w:val="0"/>
          <w:lang w:val="it-IT"/>
        </w:rPr>
        <w:t>operazioni e mediante l</w:t>
      </w:r>
      <w:r>
        <w:rPr>
          <w:rFonts w:hAnsi="Book Antiqua" w:hint="default"/>
          <w:sz w:val="20"/>
          <w:szCs w:val="20"/>
          <w:rtl w:val="0"/>
          <w:lang w:val="it-IT"/>
        </w:rPr>
        <w:t>’</w:t>
      </w:r>
      <w:r>
        <w:rPr>
          <w:rFonts w:ascii="Book Antiqua"/>
          <w:sz w:val="20"/>
          <w:szCs w:val="20"/>
          <w:rtl w:val="0"/>
          <w:lang w:val="it-IT"/>
        </w:rPr>
        <w:t>allestimento di mezzi e attivit</w:t>
      </w:r>
      <w:r>
        <w:rPr>
          <w:rFonts w:hAnsi="Book Antiqua" w:hint="default"/>
          <w:sz w:val="20"/>
          <w:szCs w:val="20"/>
          <w:rtl w:val="0"/>
          <w:lang w:val="it-IT"/>
        </w:rPr>
        <w:t xml:space="preserve">à </w:t>
      </w:r>
      <w:r>
        <w:rPr>
          <w:rFonts w:ascii="Book Antiqua"/>
          <w:sz w:val="20"/>
          <w:szCs w:val="20"/>
          <w:rtl w:val="0"/>
          <w:lang w:val="it-IT"/>
        </w:rPr>
        <w:t>continuative, organizzavano, cedevano, ricevevano, trasportavano - e, comunque, gestivano abusivamente - ingentissimi quantitativi di rifiuti (in particolare, terre e rocce contaminate provenienti da bonifiche di siti inquinati, nonch</w:t>
      </w:r>
      <w:r>
        <w:rPr>
          <w:rFonts w:hAnsi="Book Antiqua" w:hint="default"/>
          <w:sz w:val="20"/>
          <w:szCs w:val="20"/>
          <w:rtl w:val="0"/>
          <w:lang w:val="it-IT"/>
        </w:rPr>
        <w:t xml:space="preserve">é </w:t>
      </w:r>
      <w:r>
        <w:rPr>
          <w:rFonts w:ascii="Book Antiqua"/>
          <w:sz w:val="20"/>
          <w:szCs w:val="20"/>
          <w:rtl w:val="0"/>
          <w:lang w:val="it-IT"/>
        </w:rPr>
        <w:t>fanghi e rifiuti liquidi derivanti da processi industriali), allo scopo di conseguire i cospicui ingiusti profitti derivanti dall</w:t>
      </w:r>
      <w:r>
        <w:rPr>
          <w:rFonts w:hAnsi="Book Antiqua" w:hint="default"/>
          <w:sz w:val="20"/>
          <w:szCs w:val="20"/>
          <w:rtl w:val="0"/>
          <w:lang w:val="it-IT"/>
        </w:rPr>
        <w:t>’</w:t>
      </w:r>
      <w:r>
        <w:rPr>
          <w:rFonts w:ascii="Book Antiqua"/>
          <w:sz w:val="20"/>
          <w:szCs w:val="20"/>
          <w:rtl w:val="0"/>
          <w:lang w:val="it-IT"/>
        </w:rPr>
        <w:t>abbattimento dei costi dovuti ordinariamente per lo smaltimento dei rifiuti presso siti all</w:t>
      </w:r>
      <w:r>
        <w:rPr>
          <w:rFonts w:hAnsi="Book Antiqua" w:hint="default"/>
          <w:sz w:val="20"/>
          <w:szCs w:val="20"/>
          <w:rtl w:val="0"/>
          <w:lang w:val="it-IT"/>
        </w:rPr>
        <w:t>’</w:t>
      </w:r>
      <w:r>
        <w:rPr>
          <w:rFonts w:ascii="Book Antiqua"/>
          <w:sz w:val="20"/>
          <w:szCs w:val="20"/>
          <w:rtl w:val="0"/>
          <w:lang w:val="it-IT"/>
        </w:rPr>
        <w:t>uopo autorizzati e dall</w:t>
      </w:r>
      <w:r>
        <w:rPr>
          <w:rFonts w:hAnsi="Book Antiqua" w:hint="default"/>
          <w:sz w:val="20"/>
          <w:szCs w:val="20"/>
          <w:rtl w:val="0"/>
          <w:lang w:val="it-IT"/>
        </w:rPr>
        <w:t>’</w:t>
      </w:r>
      <w:r>
        <w:rPr>
          <w:rFonts w:ascii="Book Antiqua"/>
          <w:sz w:val="20"/>
          <w:szCs w:val="20"/>
          <w:rtl w:val="0"/>
          <w:lang w:val="it-IT"/>
        </w:rPr>
        <w:t>evasione dell</w:t>
      </w:r>
      <w:r>
        <w:rPr>
          <w:rFonts w:hAnsi="Book Antiqua" w:hint="default"/>
          <w:sz w:val="20"/>
          <w:szCs w:val="20"/>
          <w:rtl w:val="0"/>
          <w:lang w:val="it-IT"/>
        </w:rPr>
        <w:t>’</w:t>
      </w:r>
      <w:r>
        <w:rPr>
          <w:rFonts w:ascii="Book Antiqua"/>
          <w:sz w:val="20"/>
          <w:szCs w:val="20"/>
          <w:rtl w:val="0"/>
          <w:lang w:val="it-IT"/>
        </w:rPr>
        <w:t>ecotassa [</w:t>
      </w:r>
      <w:r>
        <w:rPr>
          <w:rFonts w:hAnsi="Book Antiqua" w:hint="default"/>
          <w:sz w:val="20"/>
          <w:szCs w:val="20"/>
          <w:rtl w:val="0"/>
          <w:lang w:val="it-IT"/>
        </w:rPr>
        <w:t>…</w:t>
      </w:r>
      <w:r>
        <w:rPr>
          <w:rFonts w:ascii="Book Antiqua"/>
          <w:sz w:val="20"/>
          <w:szCs w:val="20"/>
          <w:rtl w:val="0"/>
          <w:lang w:val="it-IT"/>
        </w:rPr>
        <w:t>]. Nella sentenza della Corte d</w:t>
      </w:r>
      <w:r>
        <w:rPr>
          <w:rFonts w:hAnsi="Book Antiqua" w:hint="default"/>
          <w:sz w:val="20"/>
          <w:szCs w:val="20"/>
          <w:rtl w:val="0"/>
          <w:lang w:val="it-IT"/>
        </w:rPr>
        <w:t>’</w:t>
      </w:r>
      <w:r>
        <w:rPr>
          <w:rFonts w:ascii="Book Antiqua"/>
          <w:sz w:val="20"/>
          <w:szCs w:val="20"/>
          <w:rtl w:val="0"/>
          <w:lang w:val="it-IT"/>
        </w:rPr>
        <w:t>appello di Venezia del 7 giugno 2010 (doc. 275/11), si legge che il sopralluogo eseguito presso l</w:t>
      </w:r>
      <w:r>
        <w:rPr>
          <w:rFonts w:hAnsi="Book Antiqua" w:hint="default"/>
          <w:sz w:val="20"/>
          <w:szCs w:val="20"/>
          <w:rtl w:val="0"/>
          <w:lang w:val="it-IT"/>
        </w:rPr>
        <w:t>’</w:t>
      </w:r>
      <w:r>
        <w:rPr>
          <w:rFonts w:ascii="Book Antiqua"/>
          <w:sz w:val="20"/>
          <w:szCs w:val="20"/>
          <w:rtl w:val="0"/>
          <w:lang w:val="it-IT"/>
        </w:rPr>
        <w:t>impianto dai militari del NOE aveva consentito di accertare che la miscelazione dei rifiuti non era accompagnata da alcun trattamento, stante l</w:t>
      </w:r>
      <w:r>
        <w:rPr>
          <w:rFonts w:hAnsi="Book Antiqua" w:hint="default"/>
          <w:sz w:val="20"/>
          <w:szCs w:val="20"/>
          <w:rtl w:val="0"/>
          <w:lang w:val="it-IT"/>
        </w:rPr>
        <w:t>’</w:t>
      </w:r>
      <w:r>
        <w:rPr>
          <w:rFonts w:ascii="Book Antiqua"/>
          <w:sz w:val="20"/>
          <w:szCs w:val="20"/>
          <w:rtl w:val="0"/>
          <w:lang w:val="it-IT"/>
        </w:rPr>
        <w:t>assenza di qualsiasi macchinario o attrezzatura adeguata. Dunque, la miscelazione avveniva senza alcuna apparente motivazione tecnica ed era accompagnata dalla attribuzione al nuovo composto derivante dalla stessa miscelazione di un codice che talora poteva definirsi prevalente, con riferimento al rifiuto presente in misura quantitativamente maggiore, mentre talora non era giustificato in alcun modo, se non dal fatto di essere corrispondente a quelli per cui le discariche destinatarie erano autorizzate. Invero, la societ</w:t>
      </w:r>
      <w:r>
        <w:rPr>
          <w:rFonts w:hAnsi="Book Antiqua" w:hint="default"/>
          <w:sz w:val="20"/>
          <w:szCs w:val="20"/>
          <w:rtl w:val="0"/>
          <w:lang w:val="it-IT"/>
        </w:rPr>
        <w:t xml:space="preserve">à </w:t>
      </w:r>
      <w:r>
        <w:rPr>
          <w:rFonts w:ascii="Book Antiqua"/>
          <w:sz w:val="20"/>
          <w:szCs w:val="20"/>
          <w:rtl w:val="0"/>
          <w:lang w:val="it-IT"/>
        </w:rPr>
        <w:t>Nuova Esa, dopo avere miscelato in modo sistematico rifiuti pericolosi con rifiuti non pericolosi senza osservare alcuna prescrizione, attribuiva alle miscele codici diversi da quelli che avrebbero dovuto essere indicati e li inviava a impianti che erano autorizzati solo al recupero, ma non allo smaltimento dei rifiuti. In particolare, sulla base delle deposizioni testimoniali acquisite nel corso del dibattimento e della documentazioni in atti, risultato di complessi accertamenti da parte dell</w:t>
      </w:r>
      <w:r>
        <w:rPr>
          <w:rFonts w:hAnsi="Book Antiqua" w:hint="default"/>
          <w:sz w:val="20"/>
          <w:szCs w:val="20"/>
          <w:rtl w:val="0"/>
          <w:lang w:val="it-IT"/>
        </w:rPr>
        <w:t>’</w:t>
      </w:r>
      <w:r>
        <w:rPr>
          <w:rFonts w:ascii="Book Antiqua"/>
          <w:sz w:val="20"/>
          <w:szCs w:val="20"/>
          <w:rtl w:val="0"/>
          <w:lang w:val="it-IT"/>
        </w:rPr>
        <w:t xml:space="preserve">Arma dei carabinieri e del Corpo forestale dello Stato, </w:t>
      </w:r>
      <w:r>
        <w:rPr>
          <w:rFonts w:hAnsi="Book Antiqua" w:hint="default"/>
          <w:sz w:val="20"/>
          <w:szCs w:val="20"/>
          <w:rtl w:val="0"/>
          <w:lang w:val="it-IT"/>
        </w:rPr>
        <w:t xml:space="preserve">è </w:t>
      </w:r>
      <w:r>
        <w:rPr>
          <w:rFonts w:ascii="Book Antiqua"/>
          <w:sz w:val="20"/>
          <w:szCs w:val="20"/>
          <w:rtl w:val="0"/>
          <w:lang w:val="it-IT"/>
        </w:rPr>
        <w:t>stata accertata l</w:t>
      </w:r>
      <w:r>
        <w:rPr>
          <w:rFonts w:hAnsi="Book Antiqua" w:hint="default"/>
          <w:sz w:val="20"/>
          <w:szCs w:val="20"/>
          <w:rtl w:val="0"/>
          <w:lang w:val="it-IT"/>
        </w:rPr>
        <w:t>’</w:t>
      </w:r>
      <w:r>
        <w:rPr>
          <w:rFonts w:ascii="Book Antiqua"/>
          <w:sz w:val="20"/>
          <w:szCs w:val="20"/>
          <w:rtl w:val="0"/>
          <w:lang w:val="it-IT"/>
        </w:rPr>
        <w:t>illegittima gestione dei seguenti carichi:</w:t>
      </w:r>
    </w:p>
    <w:p>
      <w:pPr>
        <w:pStyle w:val="Normal"/>
        <w:ind w:left="567" w:right="567" w:firstLine="0"/>
        <w:jc w:val="both"/>
        <w:rPr>
          <w:rFonts w:ascii="Book Antiqua" w:cs="Book Antiqua" w:hAnsi="Book Antiqua" w:eastAsia="Book Antiqua"/>
          <w:sz w:val="20"/>
          <w:szCs w:val="20"/>
        </w:rPr>
      </w:pPr>
      <w:r>
        <w:rPr>
          <w:rFonts w:ascii="Book Antiqua"/>
          <w:sz w:val="20"/>
          <w:szCs w:val="20"/>
          <w:rtl w:val="0"/>
          <w:lang w:val="it-IT"/>
        </w:rPr>
        <w:t>[</w:t>
      </w:r>
      <w:r>
        <w:rPr>
          <w:rFonts w:hAnsi="Book Antiqua" w:hint="default"/>
          <w:sz w:val="20"/>
          <w:szCs w:val="20"/>
          <w:rtl w:val="0"/>
          <w:lang w:val="it-IT"/>
        </w:rPr>
        <w:t>…</w:t>
      </w:r>
      <w:r>
        <w:rPr>
          <w:rFonts w:ascii="Book Antiqua"/>
          <w:sz w:val="20"/>
          <w:szCs w:val="20"/>
          <w:rtl w:val="0"/>
          <w:lang w:val="it-IT"/>
        </w:rPr>
        <w:t>]</w:t>
      </w:r>
    </w:p>
    <w:p>
      <w:pPr>
        <w:pStyle w:val="Normal"/>
        <w:ind w:left="567" w:right="567" w:firstLine="0"/>
        <w:jc w:val="both"/>
        <w:rPr>
          <w:rFonts w:ascii="Book Antiqua" w:cs="Book Antiqua" w:hAnsi="Book Antiqua" w:eastAsia="Book Antiqua"/>
          <w:sz w:val="20"/>
          <w:szCs w:val="20"/>
        </w:rPr>
      </w:pPr>
      <w:r>
        <w:rPr>
          <w:rFonts w:ascii="Book Antiqua"/>
          <w:sz w:val="20"/>
          <w:szCs w:val="20"/>
          <w:rtl w:val="0"/>
          <w:lang w:val="it-IT"/>
        </w:rPr>
        <w:t>partite di rifiuti, per un complessivo quantitativo di l milione 400 mila kg, derivanti dalla miscelazione anche di rifiuti pericolosi - definiti oleosi - e inviati alla ditta Inerti Centro Italia di</w:t>
      </w:r>
    </w:p>
    <w:p>
      <w:pPr>
        <w:pStyle w:val="Normal"/>
        <w:ind w:left="567" w:right="567" w:firstLine="0"/>
        <w:jc w:val="both"/>
      </w:pPr>
      <w:r>
        <w:rPr>
          <w:rFonts w:ascii="Book Antiqua"/>
          <w:sz w:val="20"/>
          <w:szCs w:val="20"/>
          <w:rtl w:val="0"/>
          <w:lang w:val="it-IT"/>
        </w:rPr>
        <w:t>Graffignano, esercente attivit</w:t>
      </w:r>
      <w:r>
        <w:rPr>
          <w:rFonts w:hAnsi="Book Antiqua" w:hint="default"/>
          <w:sz w:val="20"/>
          <w:szCs w:val="20"/>
          <w:rtl w:val="0"/>
          <w:lang w:val="it-IT"/>
        </w:rPr>
        <w:t xml:space="preserve">à </w:t>
      </w:r>
      <w:r>
        <w:rPr>
          <w:rFonts w:ascii="Book Antiqua"/>
          <w:sz w:val="20"/>
          <w:szCs w:val="20"/>
          <w:rtl w:val="0"/>
          <w:lang w:val="it-IT"/>
        </w:rPr>
        <w:t>di recupero in regime semplificato</w:t>
      </w:r>
      <w:r>
        <w:rPr>
          <w:rFonts w:hAnsi="Book Antiqua" w:hint="default"/>
          <w:sz w:val="20"/>
          <w:szCs w:val="20"/>
          <w:rtl w:val="0"/>
          <w:lang w:val="it-IT"/>
        </w:rPr>
        <w:t>”</w:t>
      </w:r>
      <w:r>
        <w:rPr>
          <w:rFonts w:ascii="Book Antiqua"/>
          <w:sz w:val="20"/>
          <w:szCs w:val="20"/>
          <w:rtl w:val="0"/>
          <w:lang w:val="it-IT"/>
        </w:rPr>
        <w:t>.</w:t>
      </w:r>
    </w:p>
  </w:footnote>
  <w:footnote w:id="247">
    <w:p>
      <w:pPr>
        <w:pStyle w:val="footnote text"/>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Doc. n. 1818/2</w:t>
      </w:r>
    </w:p>
  </w:footnote>
  <w:footnote w:id="248">
    <w:p>
      <w:pPr>
        <w:pStyle w:val="footnote text"/>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Si vedano in proposito anche le precisazioni dello stesso procuratore nell'audizione del 21 febbraio 2017</w:t>
      </w:r>
    </w:p>
  </w:footnote>
  <w:footnote w:id="249">
    <w:p>
      <w:pPr>
        <w:pStyle w:val="footnote text"/>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Pur se esula dalla diretta competenza di questa Commissione, non si pu</w:t>
      </w:r>
      <w:r>
        <w:rPr>
          <w:rFonts w:hAnsi="Book Antiqua" w:hint="default"/>
          <w:sz w:val="20"/>
          <w:szCs w:val="20"/>
          <w:rtl w:val="0"/>
          <w:lang w:val="it-IT"/>
        </w:rPr>
        <w:t xml:space="preserve">ò </w:t>
      </w:r>
      <w:r>
        <w:rPr>
          <w:rFonts w:ascii="Book Antiqua"/>
          <w:sz w:val="20"/>
          <w:szCs w:val="20"/>
          <w:rtl w:val="0"/>
          <w:lang w:val="it-IT"/>
        </w:rPr>
        <w:t xml:space="preserve">non evidenziare che Frosinone </w:t>
      </w:r>
      <w:r>
        <w:rPr>
          <w:rFonts w:hAnsi="Book Antiqua" w:hint="default"/>
          <w:sz w:val="20"/>
          <w:szCs w:val="20"/>
          <w:rtl w:val="0"/>
          <w:lang w:val="it-IT"/>
        </w:rPr>
        <w:t xml:space="preserve">è </w:t>
      </w:r>
      <w:r>
        <w:rPr>
          <w:rFonts w:ascii="Book Antiqua"/>
          <w:sz w:val="20"/>
          <w:szCs w:val="20"/>
          <w:rtl w:val="0"/>
          <w:lang w:val="it-IT"/>
        </w:rPr>
        <w:t>il secondo capoluogo di provincia (dopo Torino) per quanto concerne l'inquinamento atmosferico. In proposito, si rinvengono numerosi accenni nella documentazione acquisita e nelle audizioni svolte, specie da parte sia del procuratore della Repubblica (che ha aperto apposita indagine) sia del sindaco, sia del prefetto di Frosinone.</w:t>
      </w:r>
    </w:p>
  </w:footnote>
  <w:footnote w:id="250">
    <w:p>
      <w:pPr>
        <w:pStyle w:val="footnote text"/>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Doc. n. 1743/1</w:t>
      </w:r>
    </w:p>
  </w:footnote>
  <w:footnote w:id="251">
    <w:p>
      <w:pPr>
        <w:pStyle w:val="footnote text"/>
        <w:ind w:left="567" w:firstLine="0"/>
      </w:pPr>
      <w:r>
        <w:rPr>
          <w:rFonts w:ascii="Book Antiqua" w:cs="Book Antiqua" w:hAnsi="Book Antiqua" w:eastAsia="Book Antiqua"/>
          <w:vertAlign w:val="superscript"/>
          <w:rtl w:val="0"/>
        </w:rPr>
        <w:footnoteRef/>
      </w:r>
      <w:r>
        <w:rPr>
          <w:sz w:val="22"/>
          <w:szCs w:val="22"/>
          <w:rtl w:val="0"/>
          <w:lang w:val="it-IT"/>
        </w:rPr>
        <w:t xml:space="preserve"> </w:t>
      </w:r>
      <w:r>
        <w:rPr>
          <w:rFonts w:ascii="Book Antiqua"/>
          <w:sz w:val="20"/>
          <w:szCs w:val="20"/>
          <w:rtl w:val="0"/>
          <w:lang w:val="it-IT"/>
        </w:rPr>
        <w:t>La Commissione ha approvato il 17 ottobre 2017 una Relazione sui siti contaminati gestiti dalla societ</w:t>
      </w:r>
      <w:r>
        <w:rPr>
          <w:rFonts w:hAnsi="Book Antiqua" w:hint="default"/>
          <w:sz w:val="20"/>
          <w:szCs w:val="20"/>
          <w:rtl w:val="0"/>
          <w:lang w:val="it-IT"/>
        </w:rPr>
        <w:t xml:space="preserve">à </w:t>
      </w:r>
      <w:r>
        <w:rPr>
          <w:rFonts w:ascii="Book Antiqua"/>
          <w:sz w:val="20"/>
          <w:szCs w:val="20"/>
          <w:rtl w:val="0"/>
          <w:lang w:val="it-IT"/>
        </w:rPr>
        <w:t>Caffaro a Torviscosa, Brescia, Colleferro e Galliera, e ha in corso un approfondimento sullo stato delle bonifiche nei SIN (Doc. XXIII n. 28)</w:t>
      </w:r>
    </w:p>
  </w:footnote>
  <w:footnote w:id="252">
    <w:p>
      <w:pPr>
        <w:pStyle w:val="footnote text"/>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Doc. n. 917/2</w:t>
      </w:r>
    </w:p>
  </w:footnote>
  <w:footnote w:id="253">
    <w:p>
      <w:pPr>
        <w:pStyle w:val="footnote text"/>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Doc. n. 1818/2</w:t>
      </w:r>
    </w:p>
  </w:footnote>
  <w:footnote w:id="254">
    <w:p>
      <w:pPr>
        <w:pStyle w:val="footnote text"/>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Il procuratore della Repubblica di Frosinone, facendo seguito a quanto dichiarato in audizione ha trasmesso, il 14 marzo 2017, una nota relativa a procedimenti penali in materia di rifuti e depurazione delle acque, con allegati provvedimenti giudiziari, acquisita come Doc. n. 1818/1-2.</w:t>
      </w:r>
    </w:p>
  </w:footnote>
  <w:footnote w:id="255">
    <w:p>
      <w:pPr>
        <w:pStyle w:val="Normal (Web)"/>
        <w:spacing w:before="0" w:after="0"/>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Doc. n. 1753/1-2; si veda anche, con riferimento ad alcune indagini citate nella nota, quanto dettagliato dal comando legione carabinieri Lazio del 25 gennaio 2017 (Doc. n. 1691/1); nel Doc. n. 2290/1 la prefettura di Latina offre un quadro ampio delle attivit</w:t>
      </w:r>
      <w:r>
        <w:rPr>
          <w:rFonts w:hAnsi="Book Antiqua" w:hint="default"/>
          <w:sz w:val="20"/>
          <w:szCs w:val="20"/>
          <w:rtl w:val="0"/>
          <w:lang w:val="it-IT"/>
        </w:rPr>
        <w:t xml:space="preserve">à </w:t>
      </w:r>
      <w:r>
        <w:rPr>
          <w:rFonts w:ascii="Book Antiqua"/>
          <w:sz w:val="20"/>
          <w:szCs w:val="20"/>
          <w:rtl w:val="0"/>
          <w:lang w:val="it-IT"/>
        </w:rPr>
        <w:t>di prevenzione e polizia.</w:t>
      </w:r>
    </w:p>
  </w:footnote>
  <w:footnote w:id="256">
    <w:p>
      <w:pPr>
        <w:pStyle w:val="Normal (Web)"/>
        <w:spacing w:before="0" w:after="0"/>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Il sub-ATO di Latina comprende il territorio di 28 dei 33 comuni della provincia e 2 della Provincia di Roma: Aprilia, Bassiano, Campodimele, Castelforte, Cisterna di Latina, Cori, Fondi, Formia, Itri, Latina, Lenola, Maenza, Monte San Biagio, Norma, Pontinia, Ponza, Priverno, Prossedi, Roccagorga, Rocca Massima, Roccasecca dei Volsci, Sabaudia, San Felice Circeo, Sermoneta, Sezze, Sonnino, Sperlonga, Terracina, Ventotene, Anzio (RM), Nettuno(RM). I restanti Comuni della Provincia, ovvero Gaeta, Minturno, Santi Cosma e Damiano, Castelforte, Spigno Saturnia, sono invece compresi nel sub-ATO di Frosinone, nel cui ambito rientra anche l'impianto di Trattamento meccanico dei rifiuti della </w:t>
      </w:r>
      <w:r>
        <w:rPr>
          <w:rFonts w:hAnsi="Book Antiqua" w:hint="default"/>
          <w:sz w:val="20"/>
          <w:szCs w:val="20"/>
          <w:rtl w:val="0"/>
          <w:lang w:val="it-IT"/>
        </w:rPr>
        <w:t>“</w:t>
      </w:r>
      <w:r>
        <w:rPr>
          <w:rFonts w:ascii="Book Antiqua"/>
          <w:sz w:val="20"/>
          <w:szCs w:val="20"/>
          <w:rtl w:val="0"/>
          <w:lang w:val="it-IT"/>
        </w:rPr>
        <w:t>Centro Servizi Ambientali s.r.l.</w:t>
      </w:r>
      <w:r>
        <w:rPr>
          <w:rFonts w:hAnsi="Book Antiqua" w:hint="default"/>
          <w:sz w:val="20"/>
          <w:szCs w:val="20"/>
          <w:rtl w:val="0"/>
          <w:lang w:val="it-IT"/>
        </w:rPr>
        <w:t xml:space="preserve">” </w:t>
      </w:r>
      <w:r>
        <w:rPr>
          <w:rFonts w:ascii="Book Antiqua"/>
          <w:sz w:val="20"/>
          <w:szCs w:val="20"/>
          <w:rtl w:val="0"/>
          <w:lang w:val="it-IT"/>
        </w:rPr>
        <w:t xml:space="preserve">di Castelforte. </w:t>
      </w:r>
      <w:r>
        <w:rPr>
          <w:rFonts w:ascii="Book Antiqua" w:cs="Book Antiqua" w:hAnsi="Book Antiqua" w:eastAsia="Book Antiqua"/>
          <w:sz w:val="20"/>
          <w:szCs w:val="20"/>
        </w:rPr>
      </w:r>
    </w:p>
  </w:footnote>
  <w:footnote w:id="257">
    <w:p>
      <w:pPr>
        <w:pStyle w:val="Normal (Web)"/>
        <w:spacing w:before="0" w:after="0"/>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Le forze di polizia territoriali e la Capitaneria di Porto nel biennio 2015-2016 hanno effettuato, complessivamente, 2079 controlli. Le comunicazioni di notizie di reato sono state nello stesso periodo 150 e le sanzioni amministrative 103. L'ARPA Lazio ha eseguito, nel biennio, 212 controlli, di cui 193 ai depuratori e 19 ad aziende che svolgono attivita</w:t>
      </w:r>
      <w:r>
        <w:rPr>
          <w:rFonts w:hAnsi="Book Antiqua" w:hint="default"/>
          <w:sz w:val="20"/>
          <w:szCs w:val="20"/>
          <w:rtl w:val="0"/>
          <w:lang w:val="it-IT"/>
        </w:rPr>
        <w:t xml:space="preserve">̀ </w:t>
      </w:r>
      <w:r>
        <w:rPr>
          <w:rFonts w:ascii="Book Antiqua"/>
          <w:sz w:val="20"/>
          <w:szCs w:val="20"/>
          <w:rtl w:val="0"/>
          <w:lang w:val="it-IT"/>
        </w:rPr>
        <w:t xml:space="preserve">di trattamento/smaltimento dei rifiuti. </w:t>
      </w:r>
    </w:p>
  </w:footnote>
  <w:footnote w:id="258">
    <w:p>
      <w:pPr>
        <w:pStyle w:val="footnote text"/>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Su questi episodi v. </w:t>
      </w:r>
      <w:r>
        <w:rPr>
          <w:rFonts w:hAnsi="Book Antiqua" w:hint="default"/>
          <w:sz w:val="20"/>
          <w:szCs w:val="20"/>
          <w:rtl w:val="0"/>
          <w:lang w:val="it-IT"/>
        </w:rPr>
        <w:t xml:space="preserve">§ </w:t>
      </w:r>
      <w:r>
        <w:rPr>
          <w:rFonts w:ascii="Book Antiqua"/>
          <w:sz w:val="20"/>
          <w:szCs w:val="20"/>
          <w:rtl w:val="0"/>
          <w:lang w:val="it-IT"/>
        </w:rPr>
        <w:t>7.6</w:t>
      </w:r>
    </w:p>
  </w:footnote>
  <w:footnote w:id="259">
    <w:p>
      <w:pPr>
        <w:pStyle w:val="footnote text"/>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Dei problemi storici della discarica di Borgo Montello e degli interessi manifestati dalla criminalit</w:t>
      </w:r>
      <w:r>
        <w:rPr>
          <w:rFonts w:hAnsi="Book Antiqua" w:hint="default"/>
          <w:sz w:val="20"/>
          <w:szCs w:val="20"/>
          <w:rtl w:val="0"/>
          <w:lang w:val="it-IT"/>
        </w:rPr>
        <w:t xml:space="preserve">à </w:t>
      </w:r>
      <w:r>
        <w:rPr>
          <w:rFonts w:ascii="Book Antiqua"/>
          <w:sz w:val="20"/>
          <w:szCs w:val="20"/>
          <w:rtl w:val="0"/>
          <w:lang w:val="it-IT"/>
        </w:rPr>
        <w:t>organizzata si tratter</w:t>
      </w:r>
      <w:r>
        <w:rPr>
          <w:rFonts w:hAnsi="Book Antiqua" w:hint="default"/>
          <w:sz w:val="20"/>
          <w:szCs w:val="20"/>
          <w:rtl w:val="0"/>
          <w:lang w:val="it-IT"/>
        </w:rPr>
        <w:t xml:space="preserve">à </w:t>
      </w:r>
      <w:r>
        <w:rPr>
          <w:rFonts w:ascii="Book Antiqua"/>
          <w:sz w:val="20"/>
          <w:szCs w:val="20"/>
          <w:rtl w:val="0"/>
          <w:lang w:val="it-IT"/>
        </w:rPr>
        <w:t xml:space="preserve">nel </w:t>
      </w:r>
      <w:r>
        <w:rPr>
          <w:rFonts w:hAnsi="Book Antiqua" w:hint="default"/>
          <w:sz w:val="20"/>
          <w:szCs w:val="20"/>
          <w:rtl w:val="0"/>
          <w:lang w:val="it-IT"/>
        </w:rPr>
        <w:t xml:space="preserve">§ </w:t>
      </w:r>
      <w:r>
        <w:rPr>
          <w:rFonts w:ascii="Book Antiqua"/>
          <w:sz w:val="20"/>
          <w:szCs w:val="20"/>
          <w:rtl w:val="0"/>
          <w:lang w:val="it-IT"/>
        </w:rPr>
        <w:t>7</w:t>
      </w:r>
    </w:p>
  </w:footnote>
  <w:footnote w:id="260">
    <w:p>
      <w:pPr>
        <w:pStyle w:val="footnote text"/>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Sul quale, in dettaglio, il </w:t>
      </w:r>
      <w:r>
        <w:rPr>
          <w:rFonts w:hAnsi="Book Antiqua" w:hint="default"/>
          <w:sz w:val="20"/>
          <w:szCs w:val="20"/>
          <w:rtl w:val="0"/>
          <w:lang w:val="it-IT"/>
        </w:rPr>
        <w:t xml:space="preserve">§ </w:t>
      </w:r>
      <w:r>
        <w:rPr>
          <w:rFonts w:ascii="Book Antiqua"/>
          <w:sz w:val="20"/>
          <w:szCs w:val="20"/>
          <w:rtl w:val="0"/>
          <w:lang w:val="it-IT"/>
        </w:rPr>
        <w:t>6.3</w:t>
      </w:r>
    </w:p>
  </w:footnote>
  <w:footnote w:id="261">
    <w:p>
      <w:pPr>
        <w:pStyle w:val="footnote text"/>
        <w:ind w:left="567" w:right="567" w:firstLine="0"/>
        <w:jc w:val="both"/>
      </w:pPr>
      <w:r>
        <w:rPr>
          <w:rFonts w:ascii="Book Antiqua" w:cs="Book Antiqua" w:hAnsi="Book Antiqua" w:eastAsia="Book Antiqua"/>
          <w:vertAlign w:val="superscript"/>
          <w:rtl w:val="0"/>
        </w:rPr>
        <w:footnoteRef/>
      </w:r>
      <w:r>
        <w:rPr>
          <w:rtl w:val="0"/>
          <w:lang w:val="it-IT"/>
        </w:rPr>
        <w:t xml:space="preserve"> </w:t>
      </w:r>
      <w:r>
        <w:rPr>
          <w:rFonts w:ascii="Book Antiqua"/>
          <w:sz w:val="20"/>
          <w:szCs w:val="20"/>
          <w:rtl w:val="0"/>
          <w:lang w:val="it-IT"/>
        </w:rPr>
        <w:t>Cass. Pen., sez. 3 , n. 37460 del 27 luglio 2017 (Cc 21 lug 2017, Pres. Fiale Rel. Ramacci Ric. Verlezza ed altri)</w:t>
      </w:r>
    </w:p>
  </w:footnote>
  <w:footnote w:id="262">
    <w:p>
      <w:pPr>
        <w:pStyle w:val="Normal (Web)"/>
        <w:spacing w:before="0" w:after="0"/>
        <w:ind w:left="567" w:right="567" w:firstLine="0"/>
        <w:jc w:val="both"/>
        <w:rPr>
          <w:rFonts w:ascii="Book Antiqua" w:cs="Book Antiqua" w:hAnsi="Book Antiqua" w:eastAsia="Book Antiqua"/>
          <w:sz w:val="20"/>
          <w:szCs w:val="20"/>
        </w:rPr>
      </w:pPr>
      <w:r>
        <w:rPr>
          <w:rFonts w:ascii="Book Antiqua" w:cs="Book Antiqua" w:hAnsi="Book Antiqua" w:eastAsia="Book Antiqua"/>
          <w:vertAlign w:val="superscript"/>
          <w:rtl w:val="0"/>
        </w:rPr>
        <w:footnoteRef/>
      </w:r>
      <w:r>
        <w:rPr>
          <w:rtl w:val="0"/>
          <w:lang w:val="it-IT"/>
        </w:rPr>
        <w:t xml:space="preserve"> </w:t>
      </w:r>
      <w:r>
        <w:rPr>
          <w:rFonts w:ascii="Book Antiqua"/>
          <w:sz w:val="20"/>
          <w:szCs w:val="20"/>
          <w:rtl w:val="0"/>
          <w:lang w:val="it-IT"/>
        </w:rPr>
        <w:t>Decreto-legge 10 dicembre 2013, n. 136</w:t>
      </w:r>
      <w:r>
        <w:rPr>
          <w:rFonts w:hAnsi="Book Antiqua" w:hint="default"/>
          <w:sz w:val="20"/>
          <w:szCs w:val="20"/>
          <w:rtl w:val="0"/>
          <w:lang w:val="it-IT"/>
        </w:rPr>
        <w:t> </w:t>
      </w:r>
      <w:r>
        <w:rPr>
          <w:rFonts w:ascii="Book Antiqua"/>
          <w:sz w:val="20"/>
          <w:szCs w:val="20"/>
          <w:rtl w:val="0"/>
          <w:lang w:val="it-IT"/>
        </w:rPr>
        <w:t xml:space="preserve">coordinato con la legge di conversione 6 febbraio 2014, n. 6 </w:t>
      </w:r>
      <w:r>
        <w:rPr>
          <w:rFonts w:hAnsi="Book Antiqua" w:hint="default"/>
          <w:sz w:val="20"/>
          <w:szCs w:val="20"/>
          <w:rtl w:val="0"/>
          <w:lang w:val="it-IT"/>
        </w:rPr>
        <w:t>«</w:t>
      </w:r>
      <w:r>
        <w:rPr>
          <w:rFonts w:ascii="Book Antiqua"/>
          <w:sz w:val="20"/>
          <w:szCs w:val="20"/>
          <w:rtl w:val="0"/>
          <w:lang w:val="it-IT"/>
        </w:rPr>
        <w:t>Disposizioni urgenti dirette a fronteggiare emergenze ambientali e industriali ed a favorire lo sviluppo delle aree interessate</w:t>
      </w:r>
      <w:r>
        <w:rPr>
          <w:rFonts w:hAnsi="Book Antiqua" w:hint="default"/>
          <w:sz w:val="20"/>
          <w:szCs w:val="20"/>
          <w:rtl w:val="0"/>
          <w:lang w:val="it-IT"/>
        </w:rPr>
        <w:t>»</w:t>
      </w:r>
      <w:r>
        <w:rPr>
          <w:rFonts w:ascii="Book Antiqua"/>
          <w:sz w:val="20"/>
          <w:szCs w:val="20"/>
          <w:rtl w:val="0"/>
          <w:lang w:val="it-IT"/>
        </w:rPr>
        <w:t>.</w:t>
      </w:r>
    </w:p>
    <w:p>
      <w:pPr>
        <w:pStyle w:val="Norma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67" w:right="567" w:firstLine="0"/>
        <w:jc w:val="both"/>
        <w:rPr>
          <w:rFonts w:ascii="Book Antiqua" w:cs="Book Antiqua" w:hAnsi="Book Antiqua" w:eastAsia="Book Antiqua"/>
          <w:sz w:val="20"/>
          <w:szCs w:val="20"/>
        </w:rPr>
      </w:pPr>
      <w:r>
        <w:rPr>
          <w:rFonts w:ascii="Book Antiqua"/>
          <w:sz w:val="20"/>
          <w:szCs w:val="20"/>
          <w:rtl w:val="0"/>
          <w:lang w:val="it-IT"/>
        </w:rPr>
        <w:t>Art. 3 - Combustione illecita di rifiuti</w:t>
      </w:r>
    </w:p>
    <w:p>
      <w:pPr>
        <w:pStyle w:val="Norma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67" w:right="567" w:firstLine="0"/>
        <w:jc w:val="both"/>
        <w:rPr>
          <w:rFonts w:ascii="Book Antiqua" w:cs="Book Antiqua" w:hAnsi="Book Antiqua" w:eastAsia="Book Antiqua"/>
          <w:sz w:val="20"/>
          <w:szCs w:val="20"/>
        </w:rPr>
      </w:pPr>
      <w:r>
        <w:rPr>
          <w:rFonts w:ascii="Book Antiqua"/>
          <w:sz w:val="20"/>
          <w:szCs w:val="20"/>
          <w:rtl w:val="0"/>
          <w:lang w:val="it-IT"/>
        </w:rPr>
        <w:t xml:space="preserve"> Dopo l'articolo 256 del decreto legislativo 3  aprile  2006,  n. 152, </w:t>
      </w:r>
      <w:r>
        <w:rPr>
          <w:rFonts w:hAnsi="Book Antiqua" w:hint="default"/>
          <w:sz w:val="20"/>
          <w:szCs w:val="20"/>
          <w:rtl w:val="0"/>
          <w:lang w:val="it-IT"/>
        </w:rPr>
        <w:t>è</w:t>
      </w:r>
      <w:r>
        <w:rPr>
          <w:rFonts w:ascii="Book Antiqua"/>
          <w:sz w:val="20"/>
          <w:szCs w:val="20"/>
          <w:rtl w:val="0"/>
          <w:lang w:val="it-IT"/>
        </w:rPr>
        <w:t xml:space="preserve"> inserito il seguente: </w:t>
      </w:r>
    </w:p>
    <w:p>
      <w:pPr>
        <w:pStyle w:val="Norma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67" w:right="567" w:firstLine="0"/>
        <w:jc w:val="both"/>
        <w:rPr>
          <w:rFonts w:ascii="Book Antiqua" w:cs="Book Antiqua" w:hAnsi="Book Antiqua" w:eastAsia="Book Antiqua"/>
          <w:sz w:val="20"/>
          <w:szCs w:val="20"/>
        </w:rPr>
      </w:pPr>
      <w:r>
        <w:rPr>
          <w:rFonts w:hAnsi="Book Antiqua" w:hint="default"/>
          <w:sz w:val="20"/>
          <w:szCs w:val="20"/>
          <w:rtl w:val="0"/>
          <w:lang w:val="it-IT"/>
        </w:rPr>
        <w:t xml:space="preserve">  «</w:t>
      </w:r>
      <w:r>
        <w:rPr>
          <w:rFonts w:ascii="Book Antiqua"/>
          <w:sz w:val="20"/>
          <w:szCs w:val="20"/>
          <w:rtl w:val="0"/>
          <w:lang w:val="it-IT"/>
        </w:rPr>
        <w:t>Art. 256-bis (Combustione illecita di rifiuti). - 1. Salvo che  il fatto costituisca pi</w:t>
      </w:r>
      <w:r>
        <w:rPr>
          <w:rFonts w:hAnsi="Book Antiqua" w:hint="default"/>
          <w:sz w:val="20"/>
          <w:szCs w:val="20"/>
          <w:rtl w:val="0"/>
          <w:lang w:val="it-IT"/>
        </w:rPr>
        <w:t>ù</w:t>
      </w:r>
      <w:r>
        <w:rPr>
          <w:rFonts w:ascii="Book Antiqua"/>
          <w:sz w:val="20"/>
          <w:szCs w:val="20"/>
          <w:rtl w:val="0"/>
          <w:lang w:val="it-IT"/>
        </w:rPr>
        <w:t xml:space="preserve"> grave  reato,  chiunque  appicca  il  fuoco  a rifiuti abbandonati ovvero depositati  in  maniera  incontrollata  </w:t>
      </w:r>
      <w:r>
        <w:rPr>
          <w:rFonts w:hAnsi="Book Antiqua" w:hint="default"/>
          <w:sz w:val="20"/>
          <w:szCs w:val="20"/>
          <w:rtl w:val="0"/>
          <w:lang w:val="it-IT"/>
        </w:rPr>
        <w:t>è</w:t>
      </w:r>
      <w:r>
        <w:rPr>
          <w:rFonts w:ascii="Book Antiqua"/>
          <w:sz w:val="20"/>
          <w:szCs w:val="20"/>
          <w:rtl w:val="0"/>
          <w:lang w:val="it-IT"/>
        </w:rPr>
        <w:t xml:space="preserve"> punito con la reclusione da due a cinque anni. Nel caso  in  cui  sia appiccato il fuoco a rifiuti pericolosi, si  applica  la  pena  della reclusione da tre a  sei  anni.  </w:t>
      </w:r>
      <w:r>
        <w:rPr>
          <w:rFonts w:ascii="Book Antiqua"/>
          <w:sz w:val="20"/>
          <w:szCs w:val="20"/>
          <w:rtl w:val="0"/>
          <w:lang w:val="it-IT"/>
        </w:rPr>
        <w:t xml:space="preserve">Il  responsabile  </w:t>
      </w:r>
      <w:r>
        <w:rPr>
          <w:rFonts w:hAnsi="Book Antiqua" w:hint="default"/>
          <w:sz w:val="20"/>
          <w:szCs w:val="20"/>
          <w:rtl w:val="0"/>
          <w:lang w:val="it-IT"/>
        </w:rPr>
        <w:t>è</w:t>
      </w:r>
      <w:r>
        <w:rPr>
          <w:rFonts w:ascii="Book Antiqua"/>
          <w:sz w:val="20"/>
          <w:szCs w:val="20"/>
          <w:rtl w:val="0"/>
          <w:lang w:val="it-IT"/>
        </w:rPr>
        <w:t xml:space="preserve">  tenuto  al ripristino  dello  stato  dei  luoghi,  al  risarcimento del danno ambientale e al pagamento, anche in via di regresso, delle spese  per la bonifica</w:t>
      </w:r>
      <w:r>
        <w:rPr>
          <w:rFonts w:ascii="Book Antiqua"/>
          <w:sz w:val="20"/>
          <w:szCs w:val="20"/>
          <w:rtl w:val="0"/>
          <w:lang w:val="it-IT"/>
        </w:rPr>
        <w:t xml:space="preserve">. </w:t>
      </w:r>
    </w:p>
    <w:p>
      <w:pPr>
        <w:pStyle w:val="Norma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67" w:right="567" w:firstLine="0"/>
        <w:jc w:val="both"/>
        <w:rPr>
          <w:rFonts w:ascii="Book Antiqua" w:cs="Book Antiqua" w:hAnsi="Book Antiqua" w:eastAsia="Book Antiqua"/>
          <w:sz w:val="20"/>
          <w:szCs w:val="20"/>
        </w:rPr>
      </w:pPr>
      <w:r>
        <w:rPr>
          <w:rFonts w:ascii="Book Antiqua"/>
          <w:sz w:val="20"/>
          <w:szCs w:val="20"/>
          <w:rtl w:val="0"/>
          <w:lang w:val="it-IT"/>
        </w:rPr>
        <w:t xml:space="preserve">2. Le stesse pene si applicano a colui che tiene le condotte di cui all'articolo 255, comma 1, </w:t>
      </w:r>
      <w:r>
        <w:rPr>
          <w:rFonts w:ascii="Book Antiqua"/>
          <w:sz w:val="20"/>
          <w:szCs w:val="20"/>
          <w:rtl w:val="0"/>
          <w:lang w:val="it-IT"/>
        </w:rPr>
        <w:t xml:space="preserve">e le condotte  di  reato  di  cui  agli articoli 256 e  259 </w:t>
      </w:r>
      <w:r>
        <w:rPr>
          <w:rFonts w:ascii="Book Antiqua"/>
          <w:sz w:val="20"/>
          <w:szCs w:val="20"/>
          <w:rtl w:val="0"/>
          <w:lang w:val="it-IT"/>
        </w:rPr>
        <w:t xml:space="preserve"> </w:t>
      </w:r>
      <w:r>
        <w:rPr>
          <w:rFonts w:ascii="Book Antiqua"/>
          <w:sz w:val="20"/>
          <w:szCs w:val="20"/>
          <w:u w:val="single"/>
          <w:rtl w:val="0"/>
          <w:lang w:val="it-IT"/>
        </w:rPr>
        <w:t>(</w:t>
      </w:r>
      <w:r>
        <w:rPr>
          <w:rFonts w:ascii="Book Antiqua"/>
          <w:sz w:val="20"/>
          <w:szCs w:val="20"/>
          <w:rtl w:val="0"/>
          <w:lang w:val="it-IT"/>
        </w:rPr>
        <w:t xml:space="preserve">abbandono, deposito incontrollato, raccolta, trasporto, spedizione o comunque gestione senza autorizzazione di rifiuti) in  funzione  della  successiva  combustione illecita di rifiuti. </w:t>
      </w:r>
    </w:p>
    <w:p>
      <w:pPr>
        <w:pStyle w:val="Norma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67" w:right="567" w:firstLine="0"/>
        <w:jc w:val="both"/>
        <w:rPr>
          <w:rFonts w:ascii="Book Antiqua" w:cs="Book Antiqua" w:hAnsi="Book Antiqua" w:eastAsia="Book Antiqua"/>
          <w:sz w:val="20"/>
          <w:szCs w:val="20"/>
        </w:rPr>
      </w:pPr>
      <w:r>
        <w:rPr>
          <w:rFonts w:ascii="Book Antiqua"/>
          <w:sz w:val="20"/>
          <w:szCs w:val="20"/>
          <w:rtl w:val="0"/>
          <w:lang w:val="it-IT"/>
        </w:rPr>
        <w:t xml:space="preserve">3. La pena </w:t>
      </w:r>
      <w:r>
        <w:rPr>
          <w:rFonts w:hAnsi="Book Antiqua" w:hint="default"/>
          <w:sz w:val="20"/>
          <w:szCs w:val="20"/>
          <w:rtl w:val="0"/>
          <w:lang w:val="it-IT"/>
        </w:rPr>
        <w:t>è</w:t>
      </w:r>
      <w:r>
        <w:rPr>
          <w:rFonts w:ascii="Book Antiqua"/>
          <w:sz w:val="20"/>
          <w:szCs w:val="20"/>
          <w:rtl w:val="0"/>
          <w:lang w:val="it-IT"/>
        </w:rPr>
        <w:t xml:space="preserve"> aumentata di un terzo se  il  delitto  di  cui  al comma 1  </w:t>
      </w:r>
      <w:r>
        <w:rPr>
          <w:rFonts w:hAnsi="Book Antiqua" w:hint="default"/>
          <w:sz w:val="20"/>
          <w:szCs w:val="20"/>
          <w:rtl w:val="0"/>
          <w:lang w:val="it-IT"/>
        </w:rPr>
        <w:t>è</w:t>
      </w:r>
      <w:r>
        <w:rPr>
          <w:rFonts w:ascii="Book Antiqua"/>
          <w:sz w:val="20"/>
          <w:szCs w:val="20"/>
          <w:rtl w:val="0"/>
          <w:lang w:val="it-IT"/>
        </w:rPr>
        <w:t xml:space="preserve">  commesso  nell'ambito  dell'attivit</w:t>
      </w:r>
      <w:r>
        <w:rPr>
          <w:rFonts w:hAnsi="Book Antiqua" w:hint="default"/>
          <w:sz w:val="20"/>
          <w:szCs w:val="20"/>
          <w:rtl w:val="0"/>
          <w:lang w:val="it-IT"/>
        </w:rPr>
        <w:t>à</w:t>
      </w:r>
      <w:r>
        <w:rPr>
          <w:rFonts w:ascii="Book Antiqua"/>
          <w:sz w:val="20"/>
          <w:szCs w:val="20"/>
          <w:rtl w:val="0"/>
          <w:lang w:val="it-IT"/>
        </w:rPr>
        <w:t xml:space="preserve"> di  un'impresa  o comunque di un'attivit</w:t>
      </w:r>
      <w:r>
        <w:rPr>
          <w:rFonts w:hAnsi="Book Antiqua" w:hint="default"/>
          <w:sz w:val="20"/>
          <w:szCs w:val="20"/>
          <w:rtl w:val="0"/>
          <w:lang w:val="it-IT"/>
        </w:rPr>
        <w:t>à</w:t>
      </w:r>
      <w:r>
        <w:rPr>
          <w:rFonts w:ascii="Book Antiqua"/>
          <w:sz w:val="20"/>
          <w:szCs w:val="20"/>
          <w:rtl w:val="0"/>
          <w:lang w:val="it-IT"/>
        </w:rPr>
        <w:t xml:space="preserve"> organizzata. Il titolare dell'impresa  o  il responsabile  dell'attivit</w:t>
      </w:r>
      <w:r>
        <w:rPr>
          <w:rFonts w:hAnsi="Book Antiqua" w:hint="default"/>
          <w:sz w:val="20"/>
          <w:szCs w:val="20"/>
          <w:rtl w:val="0"/>
          <w:lang w:val="it-IT"/>
        </w:rPr>
        <w:t>à</w:t>
      </w:r>
      <w:r>
        <w:rPr>
          <w:rFonts w:ascii="Book Antiqua"/>
          <w:sz w:val="20"/>
          <w:szCs w:val="20"/>
          <w:rtl w:val="0"/>
          <w:lang w:val="it-IT"/>
        </w:rPr>
        <w:t xml:space="preserve">  comunque  organizzata  </w:t>
      </w:r>
      <w:r>
        <w:rPr>
          <w:rFonts w:hAnsi="Book Antiqua" w:hint="default"/>
          <w:sz w:val="20"/>
          <w:szCs w:val="20"/>
          <w:rtl w:val="0"/>
          <w:lang w:val="it-IT"/>
        </w:rPr>
        <w:t>è</w:t>
      </w:r>
      <w:r>
        <w:rPr>
          <w:rFonts w:ascii="Book Antiqua"/>
          <w:sz w:val="20"/>
          <w:szCs w:val="20"/>
          <w:rtl w:val="0"/>
          <w:lang w:val="it-IT"/>
        </w:rPr>
        <w:t xml:space="preserve">  responsabile anche sotto l'autonomo  profilo  dell'omessa  vigilanza  sull'operato degli autori materiali del delitto comunque riconducibili all'impresa o all'attivit</w:t>
      </w:r>
      <w:r>
        <w:rPr>
          <w:rFonts w:hAnsi="Book Antiqua" w:hint="default"/>
          <w:sz w:val="20"/>
          <w:szCs w:val="20"/>
          <w:rtl w:val="0"/>
          <w:lang w:val="it-IT"/>
        </w:rPr>
        <w:t>à</w:t>
      </w:r>
      <w:r>
        <w:rPr>
          <w:rFonts w:ascii="Book Antiqua"/>
          <w:sz w:val="20"/>
          <w:szCs w:val="20"/>
          <w:rtl w:val="0"/>
          <w:lang w:val="it-IT"/>
        </w:rPr>
        <w:t xml:space="preserve"> stessa; ai predetti titolari d'impresa o responsabili dell'attivit</w:t>
      </w:r>
      <w:r>
        <w:rPr>
          <w:rFonts w:hAnsi="Book Antiqua" w:hint="default"/>
          <w:sz w:val="20"/>
          <w:szCs w:val="20"/>
          <w:rtl w:val="0"/>
          <w:lang w:val="it-IT"/>
        </w:rPr>
        <w:t>à</w:t>
      </w:r>
      <w:r>
        <w:rPr>
          <w:rFonts w:ascii="Book Antiqua"/>
          <w:sz w:val="20"/>
          <w:szCs w:val="20"/>
          <w:rtl w:val="0"/>
          <w:lang w:val="it-IT"/>
        </w:rPr>
        <w:t xml:space="preserve">   si   applicano   altres</w:t>
      </w:r>
      <w:r>
        <w:rPr>
          <w:rFonts w:hAnsi="Book Antiqua" w:hint="default"/>
          <w:sz w:val="20"/>
          <w:szCs w:val="20"/>
          <w:rtl w:val="0"/>
          <w:lang w:val="it-IT"/>
        </w:rPr>
        <w:t>ì</w:t>
      </w:r>
      <w:r>
        <w:rPr>
          <w:rFonts w:ascii="Book Antiqua"/>
          <w:sz w:val="20"/>
          <w:szCs w:val="20"/>
          <w:rtl w:val="0"/>
          <w:lang w:val="it-IT"/>
        </w:rPr>
        <w:t xml:space="preserve">   le   sanzioni   previste dall'articolo 9, comma 2, del decreto legislativo 8 giugno  2001,  n. 231</w:t>
      </w:r>
      <w:r>
        <w:rPr>
          <w:rFonts w:ascii="Book Antiqua"/>
          <w:sz w:val="20"/>
          <w:szCs w:val="20"/>
          <w:rtl w:val="0"/>
          <w:lang w:val="it-IT"/>
        </w:rPr>
        <w:t xml:space="preserve">. </w:t>
      </w:r>
    </w:p>
    <w:p>
      <w:pPr>
        <w:pStyle w:val="Norma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67" w:right="567" w:firstLine="0"/>
        <w:jc w:val="both"/>
        <w:rPr>
          <w:rFonts w:ascii="Book Antiqua" w:cs="Book Antiqua" w:hAnsi="Book Antiqua" w:eastAsia="Book Antiqua"/>
          <w:sz w:val="20"/>
          <w:szCs w:val="20"/>
        </w:rPr>
      </w:pPr>
      <w:r>
        <w:rPr>
          <w:rFonts w:ascii="Book Antiqua"/>
          <w:sz w:val="20"/>
          <w:szCs w:val="20"/>
          <w:rtl w:val="0"/>
          <w:lang w:val="it-IT"/>
        </w:rPr>
        <w:t xml:space="preserve">4. La pena </w:t>
      </w:r>
      <w:r>
        <w:rPr>
          <w:rFonts w:hAnsi="Book Antiqua" w:hint="default"/>
          <w:sz w:val="20"/>
          <w:szCs w:val="20"/>
          <w:rtl w:val="0"/>
          <w:lang w:val="it-IT"/>
        </w:rPr>
        <w:t>è</w:t>
      </w:r>
      <w:r>
        <w:rPr>
          <w:rFonts w:ascii="Book Antiqua"/>
          <w:sz w:val="20"/>
          <w:szCs w:val="20"/>
          <w:rtl w:val="0"/>
          <w:lang w:val="it-IT"/>
        </w:rPr>
        <w:t xml:space="preserve"> aumentata </w:t>
      </w:r>
      <w:r>
        <w:rPr>
          <w:rFonts w:ascii="Book Antiqua"/>
          <w:sz w:val="20"/>
          <w:szCs w:val="20"/>
          <w:rtl w:val="0"/>
          <w:lang w:val="it-IT"/>
        </w:rPr>
        <w:t xml:space="preserve">di un terzo </w:t>
      </w:r>
      <w:r>
        <w:rPr>
          <w:rFonts w:ascii="Book Antiqua"/>
          <w:sz w:val="20"/>
          <w:szCs w:val="20"/>
          <w:rtl w:val="0"/>
          <w:lang w:val="it-IT"/>
        </w:rPr>
        <w:t xml:space="preserve">se </w:t>
      </w:r>
      <w:r>
        <w:rPr>
          <w:rFonts w:ascii="Book Antiqua"/>
          <w:sz w:val="20"/>
          <w:szCs w:val="20"/>
          <w:rtl w:val="0"/>
          <w:lang w:val="it-IT"/>
        </w:rPr>
        <w:t xml:space="preserve">il fatto di cui  al comma 1 </w:t>
      </w:r>
      <w:r>
        <w:rPr>
          <w:rFonts w:hAnsi="Book Antiqua" w:hint="default"/>
          <w:sz w:val="20"/>
          <w:szCs w:val="20"/>
          <w:rtl w:val="0"/>
          <w:lang w:val="it-IT"/>
        </w:rPr>
        <w:t>è</w:t>
      </w:r>
      <w:r>
        <w:rPr>
          <w:rFonts w:ascii="Book Antiqua"/>
          <w:sz w:val="20"/>
          <w:szCs w:val="20"/>
          <w:rtl w:val="0"/>
          <w:lang w:val="it-IT"/>
        </w:rPr>
        <w:t xml:space="preserve"> commesso </w:t>
      </w:r>
      <w:r>
        <w:rPr>
          <w:rFonts w:ascii="Book Antiqua"/>
          <w:sz w:val="20"/>
          <w:szCs w:val="20"/>
          <w:rtl w:val="0"/>
          <w:lang w:val="it-IT"/>
        </w:rPr>
        <w:t xml:space="preserve">in territori che, al momento della condotta  e comunque nei cinque anni precedenti, siano o siano stati  interessati da dichiarazioni di stato di emergenza nel  settore  dei  rifiuti  ai sensi della legge 24 febbraio 1992, n. 225. </w:t>
      </w:r>
    </w:p>
    <w:p>
      <w:pPr>
        <w:pStyle w:val="Norma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67" w:right="567" w:firstLine="0"/>
        <w:jc w:val="both"/>
        <w:rPr>
          <w:rFonts w:ascii="Book Antiqua" w:cs="Book Antiqua" w:hAnsi="Book Antiqua" w:eastAsia="Book Antiqua"/>
          <w:sz w:val="20"/>
          <w:szCs w:val="20"/>
        </w:rPr>
      </w:pPr>
      <w:r>
        <w:rPr>
          <w:rFonts w:ascii="Book Antiqua"/>
          <w:sz w:val="20"/>
          <w:szCs w:val="20"/>
          <w:rtl w:val="0"/>
          <w:lang w:val="it-IT"/>
        </w:rPr>
        <w:t xml:space="preserve">5. </w:t>
      </w:r>
      <w:r>
        <w:rPr>
          <w:rFonts w:ascii="Book Antiqua"/>
          <w:sz w:val="20"/>
          <w:szCs w:val="20"/>
          <w:rtl w:val="0"/>
          <w:lang w:val="it-IT"/>
        </w:rPr>
        <w:t xml:space="preserve">I mezzi utilizzati per il trasporto di  rifiuti  oggetto  del reato di cui al comma 1 del presente articolo, inceneriti in  aree  o in impianti non autorizzati, sono confiscati ai  sensi  dell'articolo 259, comma 2, salvo che il mezzo appartenga a persona  estranea  alle condotte di cui al citato comma 1 del presente articolo e che non  si configuri concorso di persona nella commissione del  reato. </w:t>
      </w:r>
      <w:r>
        <w:rPr>
          <w:rFonts w:ascii="Book Antiqua"/>
          <w:sz w:val="20"/>
          <w:szCs w:val="20"/>
          <w:rtl w:val="0"/>
          <w:lang w:val="it-IT"/>
        </w:rPr>
        <w:t>Alla sentenza di condanna o alla sentenza emessa  ai  sensi  dell'articolo 444 del codice di procedura penale  consegue  la  confisca  dell'area sulla quale e' commesso il reato, se di propriet</w:t>
      </w:r>
      <w:r>
        <w:rPr>
          <w:rFonts w:hAnsi="Book Antiqua" w:hint="default"/>
          <w:sz w:val="20"/>
          <w:szCs w:val="20"/>
          <w:rtl w:val="0"/>
          <w:lang w:val="it-IT"/>
        </w:rPr>
        <w:t>à</w:t>
      </w:r>
      <w:r>
        <w:rPr>
          <w:rFonts w:ascii="Book Antiqua"/>
          <w:sz w:val="20"/>
          <w:szCs w:val="20"/>
          <w:rtl w:val="0"/>
          <w:lang w:val="it-IT"/>
        </w:rPr>
        <w:t xml:space="preserve"> dell'autore o  del </w:t>
      </w:r>
      <w:r>
        <w:rPr>
          <w:rFonts w:ascii="Book Antiqua"/>
          <w:sz w:val="20"/>
          <w:szCs w:val="20"/>
          <w:rtl w:val="0"/>
          <w:lang w:val="it-IT"/>
        </w:rPr>
        <w:t xml:space="preserve">concorrente nel reato, </w:t>
      </w:r>
      <w:r>
        <w:rPr>
          <w:rFonts w:ascii="Book Antiqua"/>
          <w:sz w:val="20"/>
          <w:szCs w:val="20"/>
          <w:rtl w:val="0"/>
          <w:lang w:val="it-IT"/>
        </w:rPr>
        <w:t xml:space="preserve">fatti salvi gli obblighi di  bonifica  e ripristino dello stato dei luoghi. </w:t>
      </w:r>
    </w:p>
    <w:p>
      <w:pPr>
        <w:pStyle w:val="Norma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67" w:right="567" w:firstLine="0"/>
        <w:jc w:val="both"/>
      </w:pPr>
      <w:r>
        <w:rPr>
          <w:rFonts w:ascii="Book Antiqua"/>
          <w:sz w:val="20"/>
          <w:szCs w:val="20"/>
          <w:rtl w:val="0"/>
          <w:lang w:val="it-IT"/>
        </w:rPr>
        <w:t>6. Si applicano le sanzioni di cui all'articolo 255 se le  condotte di cui al comma 1 hanno a oggetto i rifiuti di cui all'articolo  184, comma 2, lettera e)  [</w:t>
      </w:r>
      <w:r>
        <w:rPr>
          <w:rFonts w:hAnsi="Book Antiqua" w:hint="default"/>
          <w:sz w:val="20"/>
          <w:szCs w:val="20"/>
          <w:rtl w:val="0"/>
          <w:lang w:val="it-IT"/>
        </w:rPr>
        <w:t>…</w:t>
      </w:r>
      <w:r>
        <w:rPr>
          <w:rFonts w:ascii="Book Antiqua"/>
          <w:sz w:val="20"/>
          <w:szCs w:val="20"/>
          <w:rtl w:val="0"/>
          <w:lang w:val="it-IT"/>
        </w:rPr>
        <w:t>]</w:t>
      </w:r>
      <w:r>
        <w:rPr>
          <w:rFonts w:hAnsi="Book Antiqua" w:hint="default"/>
          <w:sz w:val="20"/>
          <w:szCs w:val="20"/>
          <w:rtl w:val="0"/>
          <w:lang w:val="it-IT"/>
        </w:rPr>
        <w:t>»</w:t>
      </w:r>
    </w:p>
  </w:footnote>
  <w:footnote w:id="263">
    <w:p>
      <w:pPr>
        <w:pStyle w:val="Normal (Web)"/>
        <w:spacing w:before="0" w:after="0"/>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Si noti che, prima della conversione in legge, il D. L. aggiungeva "in area non autorizzata</w:t>
      </w:r>
      <w:r>
        <w:rPr>
          <w:rFonts w:ascii="Book Antiqua"/>
          <w:i w:val="1"/>
          <w:iCs w:val="1"/>
          <w:sz w:val="20"/>
          <w:szCs w:val="20"/>
          <w:rtl w:val="0"/>
          <w:lang w:val="it-IT"/>
        </w:rPr>
        <w:t>"</w:t>
      </w:r>
      <w:r>
        <w:rPr>
          <w:rFonts w:ascii="Book Antiqua"/>
          <w:sz w:val="20"/>
          <w:szCs w:val="20"/>
          <w:rtl w:val="0"/>
          <w:lang w:val="it-IT"/>
        </w:rPr>
        <w:t>. Ma su questo torneremo appresso.</w:t>
      </w:r>
    </w:p>
  </w:footnote>
  <w:footnote w:id="264">
    <w:p>
      <w:pPr>
        <w:pStyle w:val="footnote text"/>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In proposito, si deve osservare che, se pure </w:t>
      </w:r>
      <w:r>
        <w:rPr>
          <w:rFonts w:hAnsi="Book Antiqua" w:hint="default"/>
          <w:sz w:val="20"/>
          <w:szCs w:val="20"/>
          <w:rtl w:val="0"/>
          <w:lang w:val="it-IT"/>
        </w:rPr>
        <w:t xml:space="preserve">è </w:t>
      </w:r>
      <w:r>
        <w:rPr>
          <w:rFonts w:ascii="Book Antiqua"/>
          <w:sz w:val="20"/>
          <w:szCs w:val="20"/>
          <w:rtl w:val="0"/>
          <w:lang w:val="it-IT"/>
        </w:rPr>
        <w:t>vero che l</w:t>
      </w:r>
      <w:r>
        <w:rPr>
          <w:rFonts w:hAnsi="Book Antiqua" w:hint="default"/>
          <w:sz w:val="20"/>
          <w:szCs w:val="20"/>
          <w:rtl w:val="0"/>
          <w:lang w:val="it-IT"/>
        </w:rPr>
        <w:t>’</w:t>
      </w:r>
      <w:r>
        <w:rPr>
          <w:rFonts w:ascii="Book Antiqua"/>
          <w:sz w:val="20"/>
          <w:szCs w:val="20"/>
          <w:rtl w:val="0"/>
          <w:lang w:val="it-IT"/>
        </w:rPr>
        <w:t>articolo 256-bis, comma 2 richiama solo l</w:t>
      </w:r>
      <w:r>
        <w:rPr>
          <w:rFonts w:hAnsi="Book Antiqua" w:hint="default"/>
          <w:sz w:val="20"/>
          <w:szCs w:val="20"/>
          <w:rtl w:val="0"/>
          <w:lang w:val="it-IT"/>
        </w:rPr>
        <w:t>’</w:t>
      </w:r>
      <w:r>
        <w:rPr>
          <w:rFonts w:ascii="Book Antiqua"/>
          <w:sz w:val="20"/>
          <w:szCs w:val="20"/>
          <w:rtl w:val="0"/>
          <w:lang w:val="it-IT"/>
        </w:rPr>
        <w:t>articolo 255, comma 1, e cio</w:t>
      </w:r>
      <w:r>
        <w:rPr>
          <w:rFonts w:hAnsi="Book Antiqua" w:hint="default"/>
          <w:sz w:val="20"/>
          <w:szCs w:val="20"/>
          <w:rtl w:val="0"/>
          <w:lang w:val="it-IT"/>
        </w:rPr>
        <w:t xml:space="preserve">è </w:t>
      </w:r>
      <w:r>
        <w:rPr>
          <w:rFonts w:ascii="Book Antiqua"/>
          <w:sz w:val="20"/>
          <w:szCs w:val="20"/>
          <w:rtl w:val="0"/>
          <w:lang w:val="it-IT"/>
        </w:rPr>
        <w:t xml:space="preserve">la norma che sanziona abbandono o deposito incontrollato da parte di privati, </w:t>
      </w:r>
      <w:r>
        <w:rPr>
          <w:rFonts w:hAnsi="Book Antiqua" w:hint="default"/>
          <w:sz w:val="20"/>
          <w:szCs w:val="20"/>
          <w:rtl w:val="0"/>
          <w:lang w:val="it-IT"/>
        </w:rPr>
        <w:t xml:space="preserve">è </w:t>
      </w:r>
      <w:r>
        <w:rPr>
          <w:rFonts w:ascii="Book Antiqua"/>
          <w:sz w:val="20"/>
          <w:szCs w:val="20"/>
          <w:rtl w:val="0"/>
          <w:lang w:val="it-IT"/>
        </w:rPr>
        <w:t xml:space="preserve">anche vero che il richiamo </w:t>
      </w:r>
      <w:r>
        <w:rPr>
          <w:rFonts w:hAnsi="Book Antiqua" w:hint="default"/>
          <w:sz w:val="20"/>
          <w:szCs w:val="20"/>
          <w:rtl w:val="0"/>
          <w:lang w:val="it-IT"/>
        </w:rPr>
        <w:t xml:space="preserve">è </w:t>
      </w:r>
      <w:r>
        <w:rPr>
          <w:rFonts w:ascii="Book Antiqua"/>
          <w:sz w:val="20"/>
          <w:szCs w:val="20"/>
          <w:rtl w:val="0"/>
          <w:lang w:val="it-IT"/>
        </w:rPr>
        <w:t xml:space="preserve">limitato alle </w:t>
      </w:r>
      <w:r>
        <w:rPr>
          <w:rFonts w:hAnsi="Book Antiqua" w:hint="default"/>
          <w:sz w:val="20"/>
          <w:szCs w:val="20"/>
          <w:rtl w:val="0"/>
          <w:lang w:val="it-IT"/>
        </w:rPr>
        <w:t>“</w:t>
      </w:r>
      <w:r>
        <w:rPr>
          <w:rFonts w:ascii="Book Antiqua"/>
          <w:i w:val="1"/>
          <w:iCs w:val="1"/>
          <w:sz w:val="20"/>
          <w:szCs w:val="20"/>
          <w:rtl w:val="0"/>
          <w:lang w:val="it-IT"/>
        </w:rPr>
        <w:t>condotte</w:t>
      </w:r>
      <w:r>
        <w:rPr>
          <w:rFonts w:hAnsi="Book Antiqua" w:hint="default"/>
          <w:sz w:val="20"/>
          <w:szCs w:val="20"/>
          <w:rtl w:val="0"/>
          <w:lang w:val="it-IT"/>
        </w:rPr>
        <w:t xml:space="preserve">” </w:t>
      </w:r>
      <w:r>
        <w:rPr>
          <w:rFonts w:ascii="Book Antiqua"/>
          <w:sz w:val="20"/>
          <w:szCs w:val="20"/>
          <w:rtl w:val="0"/>
          <w:lang w:val="it-IT"/>
        </w:rPr>
        <w:t>, e pertanto, sembra riferirsi a chiunque (privato, ente o impresa).</w:t>
      </w:r>
    </w:p>
  </w:footnote>
  <w:footnote w:id="265">
    <w:p>
      <w:pPr>
        <w:pStyle w:val="footnote text"/>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Il richiamo all'articolo 255 ("Abbandono di rifiuti" ) e non all'articolo 256 ("Attivit</w:t>
      </w:r>
      <w:r>
        <w:rPr>
          <w:rFonts w:hAnsi="Book Antiqua" w:hint="default"/>
          <w:sz w:val="20"/>
          <w:szCs w:val="20"/>
          <w:rtl w:val="0"/>
          <w:lang w:val="it-IT"/>
        </w:rPr>
        <w:t xml:space="preserve">à </w:t>
      </w:r>
      <w:r>
        <w:rPr>
          <w:rFonts w:ascii="Book Antiqua"/>
          <w:sz w:val="20"/>
          <w:szCs w:val="20"/>
          <w:rtl w:val="0"/>
          <w:lang w:val="it-IT"/>
        </w:rPr>
        <w:t xml:space="preserve">di gestione dei rifiuti non autorizzata") deve intendersi </w:t>
      </w:r>
      <w:r>
        <w:rPr>
          <w:rFonts w:ascii="Book Antiqua"/>
          <w:i w:val="1"/>
          <w:iCs w:val="1"/>
          <w:sz w:val="20"/>
          <w:szCs w:val="20"/>
          <w:rtl w:val="0"/>
          <w:lang w:val="it-IT"/>
        </w:rPr>
        <w:t>quoad poenam</w:t>
      </w:r>
      <w:r>
        <w:rPr>
          <w:rFonts w:ascii="Book Antiqua"/>
          <w:sz w:val="20"/>
          <w:szCs w:val="20"/>
          <w:rtl w:val="0"/>
          <w:lang w:val="it-IT"/>
        </w:rPr>
        <w:t>.</w:t>
      </w:r>
      <w:r>
        <w:rPr>
          <w:rFonts w:ascii="Book Antiqua"/>
          <w:rtl w:val="0"/>
          <w:lang w:val="it-IT"/>
        </w:rPr>
        <w:t xml:space="preserve"> </w:t>
      </w:r>
    </w:p>
  </w:footnote>
  <w:footnote w:id="266">
    <w:p>
      <w:pPr>
        <w:pStyle w:val="footnote text"/>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Le sentenze di Cassazione edite riferite a queste fattispecie attengono esclusivamente alla combustione di stoppie</w:t>
      </w:r>
    </w:p>
  </w:footnote>
  <w:footnote w:id="267">
    <w:p>
      <w:pPr>
        <w:pStyle w:val="footnote text"/>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I rappresentanti di queste associazioni sono stati auditi dalla Commissione il 12 luglio 2017, come si </w:t>
      </w:r>
      <w:r>
        <w:rPr>
          <w:rFonts w:hAnsi="Book Antiqua" w:hint="default"/>
          <w:sz w:val="20"/>
          <w:szCs w:val="20"/>
          <w:rtl w:val="0"/>
          <w:lang w:val="it-IT"/>
        </w:rPr>
        <w:t xml:space="preserve">è </w:t>
      </w:r>
      <w:r>
        <w:rPr>
          <w:rFonts w:ascii="Book Antiqua"/>
          <w:sz w:val="20"/>
          <w:szCs w:val="20"/>
          <w:rtl w:val="0"/>
          <w:lang w:val="it-IT"/>
        </w:rPr>
        <w:t xml:space="preserve">riferito nel </w:t>
      </w:r>
      <w:r>
        <w:rPr>
          <w:rFonts w:hAnsi="Book Antiqua" w:hint="default"/>
          <w:sz w:val="20"/>
          <w:szCs w:val="20"/>
          <w:rtl w:val="0"/>
          <w:lang w:val="it-IT"/>
        </w:rPr>
        <w:t xml:space="preserve">§ </w:t>
      </w:r>
      <w:r>
        <w:rPr>
          <w:rFonts w:ascii="Book Antiqua"/>
          <w:sz w:val="20"/>
          <w:szCs w:val="20"/>
          <w:rtl w:val="0"/>
          <w:lang w:val="it-IT"/>
        </w:rPr>
        <w:t xml:space="preserve">5; nei documenti in precedenza trasmessi evidenziavano che </w:t>
      </w:r>
      <w:r>
        <w:rPr>
          <w:rFonts w:hAnsi="Book Antiqua" w:hint="default"/>
          <w:sz w:val="20"/>
          <w:szCs w:val="20"/>
          <w:rtl w:val="0"/>
          <w:lang w:val="it-IT"/>
        </w:rPr>
        <w:t>“</w:t>
      </w:r>
      <w:r>
        <w:rPr>
          <w:rFonts w:ascii="Book Antiqua"/>
          <w:sz w:val="20"/>
          <w:szCs w:val="20"/>
          <w:rtl w:val="0"/>
          <w:lang w:val="it-IT"/>
        </w:rPr>
        <w:t xml:space="preserve">tutta Roma si </w:t>
      </w:r>
      <w:r>
        <w:rPr>
          <w:rFonts w:hAnsi="Book Antiqua" w:hint="default"/>
          <w:sz w:val="20"/>
          <w:szCs w:val="20"/>
          <w:rtl w:val="0"/>
          <w:lang w:val="it-IT"/>
        </w:rPr>
        <w:t xml:space="preserve">è </w:t>
      </w:r>
      <w:r>
        <w:rPr>
          <w:rFonts w:ascii="Book Antiqua"/>
          <w:sz w:val="20"/>
          <w:szCs w:val="20"/>
          <w:rtl w:val="0"/>
          <w:lang w:val="it-IT"/>
        </w:rPr>
        <w:t xml:space="preserve">spaventata nei giorni in cui la nube tossica nell'incendio dell'Eco X di Pomezia minacciava gli abitanti capitolini; ecco a Roma Est i roghi tossici sono quotidiani e le finestre chiuse sono una prassi. Quello che infatti </w:t>
      </w:r>
      <w:r>
        <w:rPr>
          <w:rFonts w:hAnsi="Book Antiqua" w:hint="default"/>
          <w:sz w:val="20"/>
          <w:szCs w:val="20"/>
          <w:rtl w:val="0"/>
          <w:lang w:val="it-IT"/>
        </w:rPr>
        <w:t xml:space="preserve">è </w:t>
      </w:r>
      <w:r>
        <w:rPr>
          <w:rFonts w:ascii="Book Antiqua"/>
          <w:sz w:val="20"/>
          <w:szCs w:val="20"/>
          <w:rtl w:val="0"/>
          <w:lang w:val="it-IT"/>
        </w:rPr>
        <w:t xml:space="preserve">un evento straordinario a sud della Capitale, per quartieri come: Case Rosse, Settecamini, Ponte di Nona, </w:t>
      </w:r>
      <w:r>
        <w:rPr>
          <w:rFonts w:hAnsi="Book Antiqua" w:hint="default"/>
          <w:sz w:val="20"/>
          <w:szCs w:val="20"/>
          <w:rtl w:val="0"/>
          <w:lang w:val="it-IT"/>
        </w:rPr>
        <w:t xml:space="preserve">è </w:t>
      </w:r>
      <w:r>
        <w:rPr>
          <w:rFonts w:ascii="Book Antiqua"/>
          <w:sz w:val="20"/>
          <w:szCs w:val="20"/>
          <w:rtl w:val="0"/>
          <w:lang w:val="it-IT"/>
        </w:rPr>
        <w:t>una drammatica quotidianit</w:t>
      </w:r>
      <w:r>
        <w:rPr>
          <w:rFonts w:hAnsi="Book Antiqua" w:hint="default"/>
          <w:sz w:val="20"/>
          <w:szCs w:val="20"/>
          <w:rtl w:val="0"/>
          <w:lang w:val="it-IT"/>
        </w:rPr>
        <w:t>à</w:t>
      </w:r>
      <w:r>
        <w:rPr>
          <w:rFonts w:ascii="Book Antiqua"/>
          <w:sz w:val="20"/>
          <w:szCs w:val="20"/>
          <w:rtl w:val="0"/>
          <w:lang w:val="it-IT"/>
        </w:rPr>
        <w:t>. Sono nubi che si levano, a cadenza regolare, dalle baraccopoli di via di Salone. Macchine bruciate ma non solo, soprattutto plastica bruciata per liberare il rame o rifiuti che siano.Ecco che si formano le colonne di fumo che coprono di fatto i quartieri, senza tralasciare gli odori prodotti che sono uno stillicidio quotidiano per i cittadini. S</w:t>
      </w:r>
      <w:r>
        <w:rPr>
          <w:rFonts w:hAnsi="Book Antiqua" w:hint="default"/>
          <w:sz w:val="20"/>
          <w:szCs w:val="20"/>
          <w:rtl w:val="0"/>
          <w:lang w:val="it-IT"/>
        </w:rPr>
        <w:t xml:space="preserve">ì </w:t>
      </w:r>
      <w:r>
        <w:rPr>
          <w:rFonts w:ascii="Book Antiqua"/>
          <w:sz w:val="20"/>
          <w:szCs w:val="20"/>
          <w:rtl w:val="0"/>
          <w:lang w:val="it-IT"/>
        </w:rPr>
        <w:t>perch</w:t>
      </w:r>
      <w:r>
        <w:rPr>
          <w:rFonts w:hAnsi="Book Antiqua" w:hint="default"/>
          <w:sz w:val="20"/>
          <w:szCs w:val="20"/>
          <w:rtl w:val="0"/>
          <w:lang w:val="it-IT"/>
        </w:rPr>
        <w:t xml:space="preserve">é </w:t>
      </w:r>
      <w:r>
        <w:rPr>
          <w:rFonts w:ascii="Book Antiqua"/>
          <w:sz w:val="20"/>
          <w:szCs w:val="20"/>
          <w:rtl w:val="0"/>
          <w:lang w:val="it-IT"/>
        </w:rPr>
        <w:t>da queste parti, alla luce di quanto successo a Pomezia, ci si chiede perch</w:t>
      </w:r>
      <w:r>
        <w:rPr>
          <w:rFonts w:hAnsi="Book Antiqua" w:hint="default"/>
          <w:sz w:val="20"/>
          <w:szCs w:val="20"/>
          <w:rtl w:val="0"/>
          <w:lang w:val="it-IT"/>
        </w:rPr>
        <w:t xml:space="preserve">é </w:t>
      </w:r>
      <w:r>
        <w:rPr>
          <w:rFonts w:ascii="Book Antiqua"/>
          <w:sz w:val="20"/>
          <w:szCs w:val="20"/>
          <w:rtl w:val="0"/>
          <w:lang w:val="it-IT"/>
        </w:rPr>
        <w:t>qui nessuno si preoccupi per la salute dei cittadini. Forse solo perch</w:t>
      </w:r>
      <w:r>
        <w:rPr>
          <w:rFonts w:hAnsi="Book Antiqua" w:hint="default"/>
          <w:sz w:val="20"/>
          <w:szCs w:val="20"/>
          <w:rtl w:val="0"/>
          <w:lang w:val="it-IT"/>
        </w:rPr>
        <w:t xml:space="preserve">é </w:t>
      </w:r>
      <w:r>
        <w:rPr>
          <w:rFonts w:ascii="Book Antiqua"/>
          <w:sz w:val="20"/>
          <w:szCs w:val="20"/>
          <w:rtl w:val="0"/>
          <w:lang w:val="it-IT"/>
        </w:rPr>
        <w:t xml:space="preserve">sono cittadini "della periferia" quindi cittadini di serie B?.... </w:t>
      </w:r>
      <w:r>
        <w:rPr>
          <w:rFonts w:hAnsi="Book Antiqua" w:hint="default"/>
          <w:sz w:val="20"/>
          <w:szCs w:val="20"/>
          <w:rtl w:val="0"/>
          <w:lang w:val="it-IT"/>
        </w:rPr>
        <w:t xml:space="preserve">“ </w:t>
      </w:r>
      <w:r>
        <w:rPr>
          <w:rFonts w:ascii="Book Antiqua"/>
          <w:sz w:val="20"/>
          <w:szCs w:val="20"/>
          <w:rtl w:val="0"/>
          <w:lang w:val="it-IT"/>
        </w:rPr>
        <w:t xml:space="preserve">(Doc. n. 2155/1); allegando anche una </w:t>
      </w:r>
      <w:r>
        <w:rPr>
          <w:rFonts w:hAnsi="Book Antiqua" w:hint="default"/>
          <w:sz w:val="20"/>
          <w:szCs w:val="20"/>
          <w:rtl w:val="0"/>
          <w:lang w:val="it-IT"/>
        </w:rPr>
        <w:t>“</w:t>
      </w:r>
      <w:r>
        <w:rPr>
          <w:rFonts w:ascii="Book Antiqua"/>
          <w:sz w:val="20"/>
          <w:szCs w:val="20"/>
          <w:rtl w:val="0"/>
          <w:lang w:val="it-IT"/>
        </w:rPr>
        <w:t>querela</w:t>
      </w:r>
      <w:r>
        <w:rPr>
          <w:rFonts w:hAnsi="Book Antiqua" w:hint="default"/>
          <w:sz w:val="20"/>
          <w:szCs w:val="20"/>
          <w:rtl w:val="0"/>
          <w:lang w:val="it-IT"/>
        </w:rPr>
        <w:t xml:space="preserve">” </w:t>
      </w:r>
      <w:r>
        <w:rPr>
          <w:rFonts w:ascii="Book Antiqua"/>
          <w:sz w:val="20"/>
          <w:szCs w:val="20"/>
          <w:rtl w:val="0"/>
          <w:lang w:val="it-IT"/>
        </w:rPr>
        <w:t xml:space="preserve">da loro presentata il 16 maggio 2017 alla Procura di Roma </w:t>
      </w:r>
      <w:r>
        <w:rPr>
          <w:rFonts w:hAnsi="Book Antiqua" w:hint="default"/>
          <w:sz w:val="20"/>
          <w:szCs w:val="20"/>
          <w:rtl w:val="0"/>
          <w:lang w:val="it-IT"/>
        </w:rPr>
        <w:t>“</w:t>
      </w:r>
      <w:r>
        <w:rPr>
          <w:rFonts w:ascii="Book Antiqua"/>
          <w:sz w:val="20"/>
          <w:szCs w:val="20"/>
          <w:rtl w:val="0"/>
          <w:lang w:val="it-IT"/>
        </w:rPr>
        <w:t>nei confronti del sindaco di Roma pro tempore</w:t>
      </w:r>
      <w:r>
        <w:rPr>
          <w:rFonts w:hAnsi="Book Antiqua" w:hint="default"/>
          <w:sz w:val="20"/>
          <w:szCs w:val="20"/>
          <w:rtl w:val="0"/>
          <w:lang w:val="it-IT"/>
        </w:rPr>
        <w:t xml:space="preserve">” </w:t>
      </w:r>
      <w:r>
        <w:rPr>
          <w:rFonts w:ascii="Book Antiqua"/>
          <w:sz w:val="20"/>
          <w:szCs w:val="20"/>
          <w:rtl w:val="0"/>
          <w:lang w:val="it-IT"/>
        </w:rPr>
        <w:t>per una presunta omissione di atti di ufficio ricollegata all</w:t>
      </w:r>
      <w:r>
        <w:rPr>
          <w:rFonts w:hAnsi="Book Antiqua" w:hint="default"/>
          <w:sz w:val="20"/>
          <w:szCs w:val="20"/>
          <w:rtl w:val="0"/>
          <w:lang w:val="it-IT"/>
        </w:rPr>
        <w:t>’</w:t>
      </w:r>
      <w:r>
        <w:rPr>
          <w:rFonts w:ascii="Book Antiqua"/>
          <w:sz w:val="20"/>
          <w:szCs w:val="20"/>
          <w:rtl w:val="0"/>
          <w:lang w:val="it-IT"/>
        </w:rPr>
        <w:t>asserita inerzia dell</w:t>
      </w:r>
      <w:r>
        <w:rPr>
          <w:rFonts w:hAnsi="Book Antiqua" w:hint="default"/>
          <w:sz w:val="20"/>
          <w:szCs w:val="20"/>
          <w:rtl w:val="0"/>
          <w:lang w:val="it-IT"/>
        </w:rPr>
        <w:t>’</w:t>
      </w:r>
      <w:r>
        <w:rPr>
          <w:rFonts w:ascii="Book Antiqua"/>
          <w:sz w:val="20"/>
          <w:szCs w:val="20"/>
          <w:rtl w:val="0"/>
          <w:lang w:val="it-IT"/>
        </w:rPr>
        <w:t xml:space="preserve">amministrazione comunale nella prevenzione e repressione di questo roghi che denoterebbe </w:t>
      </w:r>
      <w:r>
        <w:rPr>
          <w:rFonts w:hAnsi="Book Antiqua" w:hint="default"/>
          <w:sz w:val="20"/>
          <w:szCs w:val="20"/>
          <w:rtl w:val="0"/>
          <w:lang w:val="it-IT"/>
        </w:rPr>
        <w:t>“</w:t>
      </w:r>
      <w:r>
        <w:rPr>
          <w:rFonts w:ascii="Book Antiqua"/>
          <w:sz w:val="20"/>
          <w:szCs w:val="20"/>
          <w:rtl w:val="0"/>
          <w:lang w:val="it-IT"/>
        </w:rPr>
        <w:t>il totale abbandono da parte di chi, invece, avrebbe il dovere politico, giuridico e morale di intervenire a difesa dei cittadini</w:t>
      </w:r>
      <w:r>
        <w:rPr>
          <w:rFonts w:ascii="Book Antiqua Bold"/>
          <w:b w:val="1"/>
          <w:bCs w:val="1"/>
          <w:sz w:val="20"/>
          <w:szCs w:val="20"/>
          <w:rtl w:val="0"/>
          <w:lang w:val="it-IT"/>
        </w:rPr>
        <w:t xml:space="preserve">. </w:t>
      </w:r>
      <w:r>
        <w:rPr>
          <w:rFonts w:ascii="Book Antiqua"/>
          <w:sz w:val="20"/>
          <w:szCs w:val="20"/>
          <w:rtl w:val="0"/>
          <w:lang w:val="it-IT"/>
        </w:rPr>
        <w:t>(Doc. n. 2158/1)</w:t>
      </w:r>
    </w:p>
  </w:footnote>
  <w:footnote w:id="268">
    <w:p>
      <w:pPr>
        <w:pStyle w:val="footnote text"/>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In realt</w:t>
      </w:r>
      <w:r>
        <w:rPr>
          <w:rFonts w:hAnsi="Book Antiqua" w:hint="default"/>
          <w:sz w:val="20"/>
          <w:szCs w:val="20"/>
          <w:rtl w:val="0"/>
          <w:lang w:val="it-IT"/>
        </w:rPr>
        <w:t>à</w:t>
      </w:r>
      <w:r>
        <w:rPr>
          <w:rFonts w:ascii="Book Antiqua"/>
          <w:sz w:val="20"/>
          <w:szCs w:val="20"/>
          <w:rtl w:val="0"/>
          <w:lang w:val="it-IT"/>
        </w:rPr>
        <w:t xml:space="preserve">, appare difficile, dopo un incendio in un impianto di rifiuti, accertare </w:t>
      </w:r>
      <w:r>
        <w:rPr>
          <w:rFonts w:ascii="Book Antiqua"/>
          <w:i w:val="1"/>
          <w:iCs w:val="1"/>
          <w:sz w:val="20"/>
          <w:szCs w:val="20"/>
          <w:rtl w:val="0"/>
          <w:lang w:val="it-IT"/>
        </w:rPr>
        <w:t>ex post</w:t>
      </w:r>
      <w:r>
        <w:rPr>
          <w:rFonts w:ascii="Book Antiqua"/>
          <w:sz w:val="20"/>
          <w:szCs w:val="20"/>
          <w:rtl w:val="0"/>
          <w:lang w:val="it-IT"/>
        </w:rPr>
        <w:t xml:space="preserve"> se i rifiuti fossero depositati in modo incontrollato</w:t>
      </w:r>
    </w:p>
  </w:footnote>
  <w:footnote w:id="269">
    <w:p>
      <w:pPr>
        <w:pStyle w:val="Subtitle"/>
        <w:ind w:left="567" w:right="567" w:firstLine="0"/>
        <w:jc w:val="both"/>
      </w:pPr>
      <w:r>
        <w:rPr>
          <w:rFonts w:ascii="Book Antiqua" w:cs="Book Antiqua" w:hAnsi="Book Antiqua" w:eastAsia="Book Antiqua"/>
          <w:b w:val="1"/>
          <w:bCs w:val="1"/>
          <w:vertAlign w:val="superscript"/>
          <w:rtl w:val="0"/>
        </w:rPr>
        <w:footnoteRef/>
      </w:r>
      <w:r>
        <w:rPr>
          <w:rFonts w:ascii="Book Antiqua Bold"/>
          <w:b w:val="1"/>
          <w:bCs w:val="1"/>
          <w:sz w:val="20"/>
          <w:szCs w:val="20"/>
          <w:rtl w:val="0"/>
          <w:lang w:val="en-US"/>
        </w:rPr>
        <w:t xml:space="preserve"> </w:t>
      </w:r>
      <w:r>
        <w:rPr>
          <w:rFonts w:ascii="Book Antiqua"/>
          <w:sz w:val="20"/>
          <w:szCs w:val="20"/>
          <w:rtl w:val="0"/>
          <w:lang w:val="en-US"/>
        </w:rPr>
        <w:t>Cass. pen., sez. 3, 15 gen. 2008, n. 9103, Gasparini</w:t>
      </w:r>
      <w:r>
        <w:rPr>
          <w:rFonts w:ascii="Book Antiqua" w:cs="Book Antiqua" w:hAnsi="Book Antiqua" w:eastAsia="Book Antiqua"/>
          <w:sz w:val="20"/>
          <w:szCs w:val="20"/>
          <w:lang w:val="en-US"/>
        </w:rPr>
      </w:r>
    </w:p>
  </w:footnote>
  <w:footnote w:id="270">
    <w:p>
      <w:pPr>
        <w:pStyle w:val="Normal"/>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Corte Cost., sentenza 5 marzo 2009 n. 61. </w:t>
      </w:r>
    </w:p>
  </w:footnote>
  <w:footnote w:id="271">
    <w:p>
      <w:pPr>
        <w:pStyle w:val="footnote text"/>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V. anche Cass. pen., sez.  3, 23 giugno 2016, n. 19594</w:t>
      </w:r>
    </w:p>
  </w:footnote>
  <w:footnote w:id="272">
    <w:p>
      <w:pPr>
        <w:pStyle w:val="Normal"/>
        <w:ind w:left="567" w:right="567" w:firstLine="0"/>
        <w:jc w:val="both"/>
        <w:rPr>
          <w:rFonts w:ascii="Book Antiqua" w:cs="Book Antiqua" w:hAnsi="Book Antiqua" w:eastAsia="Book Antiqua"/>
          <w:sz w:val="20"/>
          <w:szCs w:val="20"/>
        </w:rPr>
      </w:pPr>
      <w:r>
        <w:rPr>
          <w:rFonts w:ascii="Book Antiqua" w:cs="Book Antiqua" w:hAnsi="Book Antiqua" w:eastAsia="Book Antiqua"/>
          <w:vertAlign w:val="superscript"/>
          <w:rtl w:val="0"/>
        </w:rPr>
        <w:footnoteRef/>
      </w:r>
      <w:r>
        <w:rPr>
          <w:rFonts w:ascii="Book Antiqua"/>
          <w:sz w:val="20"/>
          <w:szCs w:val="20"/>
          <w:rtl w:val="0"/>
          <w:lang w:val="it-IT"/>
        </w:rPr>
        <w:t xml:space="preserve"> Per maggiore chiarezza, si riporta il testo del D.M 8 aprile 2008 con le integrazioni apportate nel 2009 (in corsivo le modifiche) e con il relativo allegato</w:t>
      </w:r>
    </w:p>
    <w:p>
      <w:pPr>
        <w:pStyle w:val="Normal"/>
        <w:ind w:left="567" w:right="567" w:firstLine="0"/>
        <w:jc w:val="both"/>
        <w:rPr>
          <w:rFonts w:ascii="Book Antiqua Bold" w:cs="Book Antiqua Bold" w:hAnsi="Book Antiqua Bold" w:eastAsia="Book Antiqua Bold"/>
          <w:b w:val="1"/>
          <w:bCs w:val="1"/>
          <w:sz w:val="20"/>
          <w:szCs w:val="20"/>
        </w:rPr>
      </w:pPr>
      <w:r>
        <w:rPr>
          <w:rFonts w:hAnsi="Book Antiqua Bold" w:hint="default"/>
          <w:b w:val="1"/>
          <w:bCs w:val="1"/>
          <w:sz w:val="20"/>
          <w:szCs w:val="20"/>
          <w:rtl w:val="0"/>
          <w:lang w:val="it-IT"/>
        </w:rPr>
        <w:t xml:space="preserve"> “</w:t>
      </w:r>
      <w:r>
        <w:rPr>
          <w:rFonts w:ascii="Book Antiqua"/>
          <w:sz w:val="20"/>
          <w:szCs w:val="20"/>
          <w:rtl w:val="0"/>
          <w:lang w:val="it-IT"/>
        </w:rPr>
        <w:t>Decreto 8 aprile 2008 -</w:t>
      </w:r>
      <w:r>
        <w:rPr>
          <w:rFonts w:ascii="Book Antiqua Bold"/>
          <w:b w:val="1"/>
          <w:bCs w:val="1"/>
          <w:sz w:val="20"/>
          <w:szCs w:val="20"/>
          <w:rtl w:val="0"/>
          <w:lang w:val="it-IT"/>
        </w:rPr>
        <w:t xml:space="preserve"> </w:t>
      </w:r>
      <w:r>
        <w:rPr>
          <w:rFonts w:ascii="Book Antiqua"/>
          <w:sz w:val="20"/>
          <w:szCs w:val="20"/>
          <w:rtl w:val="0"/>
          <w:lang w:val="it-IT"/>
        </w:rPr>
        <w:t>Disciplina dei centri di raccolta dei rifiuti urbani raccolti in modo differenziato, come previsto dall'articolo 183, comma 1, lettera cc) del decreto legislativo 3 aprile 2006, n. 152, e successive modifiche. (GU n. 99 del 28-4-2008 ) dopo le modifiche del D. M</w:t>
      </w:r>
      <w:r>
        <w:rPr>
          <w:rFonts w:ascii="Book Antiqua Bold"/>
          <w:b w:val="1"/>
          <w:bCs w:val="1"/>
          <w:sz w:val="20"/>
          <w:szCs w:val="20"/>
          <w:rtl w:val="0"/>
          <w:lang w:val="it-IT"/>
        </w:rPr>
        <w:t xml:space="preserve"> </w:t>
      </w:r>
      <w:r>
        <w:rPr>
          <w:rFonts w:ascii="Book Antiqua"/>
          <w:sz w:val="20"/>
          <w:szCs w:val="20"/>
          <w:rtl w:val="0"/>
          <w:lang w:val="it-IT"/>
        </w:rPr>
        <w:t xml:space="preserve">13 maggio 2009.  </w:t>
      </w:r>
    </w:p>
    <w:p>
      <w:pPr>
        <w:pStyle w:val="Normal"/>
        <w:ind w:left="567" w:right="567" w:firstLine="0"/>
        <w:jc w:val="both"/>
        <w:rPr>
          <w:rFonts w:ascii="Book Antiqua" w:cs="Book Antiqua" w:hAnsi="Book Antiqua" w:eastAsia="Book Antiqua"/>
          <w:sz w:val="20"/>
          <w:szCs w:val="20"/>
        </w:rPr>
      </w:pPr>
      <w:r>
        <w:rPr>
          <w:rFonts w:ascii="Book Antiqua"/>
          <w:sz w:val="20"/>
          <w:szCs w:val="20"/>
          <w:rtl w:val="0"/>
          <w:lang w:val="it-IT"/>
        </w:rPr>
        <w:t>Art. 1.</w:t>
      </w:r>
    </w:p>
    <w:p>
      <w:pPr>
        <w:pStyle w:val="Normal"/>
        <w:ind w:left="567" w:right="567" w:firstLine="0"/>
        <w:jc w:val="both"/>
        <w:rPr>
          <w:rFonts w:ascii="Book Antiqua" w:cs="Book Antiqua" w:hAnsi="Book Antiqua" w:eastAsia="Book Antiqua"/>
          <w:sz w:val="20"/>
          <w:szCs w:val="20"/>
        </w:rPr>
      </w:pPr>
      <w:r>
        <w:rPr>
          <w:rFonts w:ascii="Book Antiqua"/>
          <w:sz w:val="20"/>
          <w:szCs w:val="20"/>
          <w:rtl w:val="0"/>
          <w:lang w:val="it-IT"/>
        </w:rPr>
        <w:t>Campo di applicazione</w:t>
      </w:r>
    </w:p>
    <w:p>
      <w:pPr>
        <w:pStyle w:val="Normal"/>
        <w:ind w:left="567" w:right="567" w:firstLine="0"/>
        <w:jc w:val="both"/>
        <w:rPr>
          <w:rFonts w:ascii="Book Antiqua" w:cs="Book Antiqua" w:hAnsi="Book Antiqua" w:eastAsia="Book Antiqua"/>
          <w:sz w:val="20"/>
          <w:szCs w:val="20"/>
        </w:rPr>
      </w:pPr>
      <w:r>
        <w:rPr>
          <w:rFonts w:ascii="Book Antiqua"/>
          <w:sz w:val="20"/>
          <w:szCs w:val="20"/>
          <w:rtl w:val="0"/>
          <w:lang w:val="it-IT"/>
        </w:rPr>
        <w:t>1. I centri di raccolta comunali o intercomunali disciplinati dal presente decreto sono costituiti da aree presidiate ed allestite ove si svolge unicamente attivit</w:t>
      </w:r>
      <w:r>
        <w:rPr>
          <w:rFonts w:hAnsi="Book Antiqua" w:hint="default"/>
          <w:sz w:val="20"/>
          <w:szCs w:val="20"/>
          <w:rtl w:val="0"/>
          <w:lang w:val="it-IT"/>
        </w:rPr>
        <w:t xml:space="preserve">à </w:t>
      </w:r>
      <w:r>
        <w:rPr>
          <w:rFonts w:ascii="Book Antiqua"/>
          <w:sz w:val="20"/>
          <w:szCs w:val="20"/>
          <w:rtl w:val="0"/>
          <w:lang w:val="it-IT"/>
        </w:rPr>
        <w:t xml:space="preserve">di raccolta, mediante raggruppamento  per frazioni omogenee per il trasporto agli impianti di recupero, trattamento e, per le frazioni non recuperabili, di smaltimento, dei rifiuti urbani e assimilati elencati in allegato I, paragrafo 4.2, conferiti in maniera differenziata rispettivamente dalle utenze domestiche e non domestiche, </w:t>
      </w:r>
      <w:r>
        <w:rPr>
          <w:rFonts w:ascii="Book Antiqua"/>
          <w:i w:val="1"/>
          <w:iCs w:val="1"/>
          <w:sz w:val="20"/>
          <w:szCs w:val="20"/>
          <w:rtl w:val="0"/>
          <w:lang w:val="it-IT"/>
        </w:rPr>
        <w:t>anche attraverso il gestore del pubblico servizio</w:t>
      </w:r>
      <w:r>
        <w:rPr>
          <w:rFonts w:ascii="Book Antiqua"/>
          <w:sz w:val="20"/>
          <w:szCs w:val="20"/>
          <w:rtl w:val="0"/>
          <w:lang w:val="it-IT"/>
        </w:rPr>
        <w:t xml:space="preserve"> nonch</w:t>
      </w:r>
      <w:r>
        <w:rPr>
          <w:rFonts w:hAnsi="Book Antiqua" w:hint="default"/>
          <w:sz w:val="20"/>
          <w:szCs w:val="20"/>
          <w:rtl w:val="0"/>
          <w:lang w:val="it-IT"/>
        </w:rPr>
        <w:t xml:space="preserve">é </w:t>
      </w:r>
      <w:r>
        <w:rPr>
          <w:rFonts w:ascii="Book Antiqua"/>
          <w:sz w:val="20"/>
          <w:szCs w:val="20"/>
          <w:rtl w:val="0"/>
          <w:lang w:val="it-IT"/>
        </w:rPr>
        <w:t xml:space="preserve">dagli altri soggetti tenuti in base alle vigenti normative settoriali al ritiro di specifiche  tipologie di rifiuti dalle utenze domestiche. </w:t>
      </w:r>
    </w:p>
    <w:p>
      <w:pPr>
        <w:pStyle w:val="Normal"/>
        <w:ind w:left="567" w:right="567" w:firstLine="0"/>
        <w:jc w:val="both"/>
        <w:rPr>
          <w:rFonts w:ascii="Book Antiqua" w:cs="Book Antiqua" w:hAnsi="Book Antiqua" w:eastAsia="Book Antiqua"/>
          <w:sz w:val="20"/>
          <w:szCs w:val="20"/>
        </w:rPr>
      </w:pPr>
      <w:r>
        <w:rPr>
          <w:rFonts w:ascii="Book Antiqua"/>
          <w:sz w:val="20"/>
          <w:szCs w:val="20"/>
          <w:rtl w:val="0"/>
          <w:lang w:val="it-IT"/>
        </w:rPr>
        <w:t>Art. 2.</w:t>
      </w:r>
    </w:p>
    <w:p>
      <w:pPr>
        <w:pStyle w:val="Normal"/>
        <w:ind w:left="567" w:right="567" w:firstLine="0"/>
        <w:jc w:val="both"/>
        <w:rPr>
          <w:rFonts w:ascii="Book Antiqua" w:cs="Book Antiqua" w:hAnsi="Book Antiqua" w:eastAsia="Book Antiqua"/>
          <w:sz w:val="20"/>
          <w:szCs w:val="20"/>
        </w:rPr>
      </w:pPr>
      <w:r>
        <w:rPr>
          <w:rFonts w:ascii="Book Antiqua"/>
          <w:i w:val="1"/>
          <w:iCs w:val="1"/>
          <w:sz w:val="20"/>
          <w:szCs w:val="20"/>
          <w:rtl w:val="0"/>
          <w:lang w:val="it-IT"/>
        </w:rPr>
        <w:t>Approvazioni</w:t>
      </w:r>
      <w:r>
        <w:rPr>
          <w:rFonts w:ascii="Book Antiqua"/>
          <w:sz w:val="20"/>
          <w:szCs w:val="20"/>
          <w:rtl w:val="0"/>
          <w:lang w:val="it-IT"/>
        </w:rPr>
        <w:t xml:space="preserve"> e iscrizioni</w:t>
      </w:r>
    </w:p>
    <w:p>
      <w:pPr>
        <w:pStyle w:val="List Paragraph"/>
        <w:numPr>
          <w:ilvl w:val="0"/>
          <w:numId w:val="159"/>
        </w:numPr>
        <w:tabs>
          <w:tab w:val="num" w:pos="999"/>
          <w:tab w:val="clear" w:pos="927"/>
        </w:tabs>
        <w:bidi w:val="0"/>
        <w:ind w:left="999" w:right="567" w:hanging="432"/>
        <w:jc w:val="both"/>
        <w:rPr>
          <w:rFonts w:ascii="Book Antiqua" w:cs="Book Antiqua" w:hAnsi="Book Antiqua" w:eastAsia="Book Antiqua"/>
          <w:position w:val="0"/>
          <w:sz w:val="20"/>
          <w:szCs w:val="20"/>
          <w:rtl w:val="0"/>
        </w:rPr>
      </w:pPr>
      <w:r>
        <w:rPr>
          <w:rFonts w:ascii="Book Antiqua"/>
          <w:sz w:val="20"/>
          <w:szCs w:val="20"/>
          <w:rtl w:val="0"/>
          <w:lang w:val="it-IT"/>
        </w:rPr>
        <w:t xml:space="preserve">La realizzazione </w:t>
      </w:r>
      <w:r>
        <w:rPr>
          <w:rFonts w:ascii="Book Antiqua"/>
          <w:i w:val="1"/>
          <w:iCs w:val="1"/>
          <w:sz w:val="20"/>
          <w:szCs w:val="20"/>
          <w:rtl w:val="0"/>
          <w:lang w:val="it-IT"/>
        </w:rPr>
        <w:t>o l</w:t>
      </w:r>
      <w:r>
        <w:rPr>
          <w:rFonts w:hAnsi="Book Antiqua" w:hint="default"/>
          <w:i w:val="1"/>
          <w:iCs w:val="1"/>
          <w:sz w:val="20"/>
          <w:szCs w:val="20"/>
          <w:rtl w:val="0"/>
          <w:lang w:val="it-IT"/>
        </w:rPr>
        <w:t>’</w:t>
      </w:r>
      <w:r>
        <w:rPr>
          <w:rFonts w:ascii="Book Antiqua"/>
          <w:i w:val="1"/>
          <w:iCs w:val="1"/>
          <w:sz w:val="20"/>
          <w:szCs w:val="20"/>
          <w:rtl w:val="0"/>
          <w:lang w:val="it-IT"/>
        </w:rPr>
        <w:t>adeguamento</w:t>
      </w:r>
      <w:r>
        <w:rPr>
          <w:rFonts w:ascii="Book Antiqua"/>
          <w:sz w:val="20"/>
          <w:szCs w:val="20"/>
          <w:rtl w:val="0"/>
          <w:lang w:val="it-IT"/>
        </w:rPr>
        <w:t xml:space="preserve"> dei centri di raccolta di cui all</w:t>
      </w:r>
      <w:r>
        <w:rPr>
          <w:rFonts w:hAnsi="Book Antiqua" w:hint="default"/>
          <w:sz w:val="20"/>
          <w:szCs w:val="20"/>
          <w:rtl w:val="0"/>
          <w:lang w:val="it-IT"/>
        </w:rPr>
        <w:t>’</w:t>
      </w:r>
      <w:r>
        <w:rPr>
          <w:rFonts w:ascii="Book Antiqua"/>
          <w:sz w:val="20"/>
          <w:szCs w:val="20"/>
          <w:rtl w:val="0"/>
          <w:lang w:val="it-IT"/>
        </w:rPr>
        <w:t xml:space="preserve">articolo 1 </w:t>
      </w:r>
      <w:r>
        <w:rPr>
          <w:rFonts w:hAnsi="Book Antiqua" w:hint="default"/>
          <w:sz w:val="20"/>
          <w:szCs w:val="20"/>
          <w:rtl w:val="0"/>
          <w:lang w:val="it-IT"/>
        </w:rPr>
        <w:t xml:space="preserve">è </w:t>
      </w:r>
      <w:r>
        <w:rPr>
          <w:rFonts w:ascii="Book Antiqua"/>
          <w:i w:val="1"/>
          <w:iCs w:val="1"/>
          <w:sz w:val="20"/>
          <w:szCs w:val="20"/>
          <w:rtl w:val="0"/>
          <w:lang w:val="it-IT"/>
        </w:rPr>
        <w:t>eseguito in conformita</w:t>
      </w:r>
      <w:r>
        <w:rPr>
          <w:rFonts w:hAnsi="Book Antiqua" w:hint="default"/>
          <w:i w:val="1"/>
          <w:iCs w:val="1"/>
          <w:sz w:val="20"/>
          <w:szCs w:val="20"/>
          <w:rtl w:val="0"/>
          <w:lang w:val="it-IT"/>
        </w:rPr>
        <w:t xml:space="preserve">’ </w:t>
      </w:r>
      <w:r>
        <w:rPr>
          <w:rFonts w:ascii="Book Antiqua"/>
          <w:i w:val="1"/>
          <w:iCs w:val="1"/>
          <w:sz w:val="20"/>
          <w:szCs w:val="20"/>
          <w:rtl w:val="0"/>
          <w:lang w:val="it-IT"/>
        </w:rPr>
        <w:t>con la normativa vigente in materia urbanistica ed edilizia e il comune territorialmente competente ne da</w:t>
      </w:r>
      <w:r>
        <w:rPr>
          <w:rFonts w:hAnsi="Book Antiqua" w:hint="default"/>
          <w:i w:val="1"/>
          <w:iCs w:val="1"/>
          <w:sz w:val="20"/>
          <w:szCs w:val="20"/>
          <w:rtl w:val="0"/>
          <w:lang w:val="it-IT"/>
        </w:rPr>
        <w:t xml:space="preserve">’ </w:t>
      </w:r>
      <w:r>
        <w:rPr>
          <w:rFonts w:ascii="Book Antiqua"/>
          <w:i w:val="1"/>
          <w:iCs w:val="1"/>
          <w:sz w:val="20"/>
          <w:szCs w:val="20"/>
          <w:rtl w:val="0"/>
          <w:lang w:val="it-IT"/>
        </w:rPr>
        <w:t>comunicazione alla regione e alla provincia</w:t>
      </w:r>
    </w:p>
    <w:p>
      <w:pPr>
        <w:pStyle w:val="Normal"/>
        <w:ind w:left="567" w:right="567" w:firstLine="0"/>
        <w:jc w:val="both"/>
        <w:rPr>
          <w:rFonts w:ascii="Book Antiqua" w:cs="Book Antiqua" w:hAnsi="Book Antiqua" w:eastAsia="Book Antiqua"/>
          <w:sz w:val="20"/>
          <w:szCs w:val="20"/>
        </w:rPr>
      </w:pPr>
      <w:r>
        <w:rPr>
          <w:rFonts w:ascii="Book Antiqua"/>
          <w:sz w:val="20"/>
          <w:szCs w:val="20"/>
          <w:rtl w:val="0"/>
          <w:lang w:val="it-IT"/>
        </w:rPr>
        <w:t>2. I centri di raccolta di cui all</w:t>
      </w:r>
      <w:r>
        <w:rPr>
          <w:rFonts w:hAnsi="Book Antiqua" w:hint="default"/>
          <w:sz w:val="20"/>
          <w:szCs w:val="20"/>
          <w:rtl w:val="0"/>
          <w:lang w:val="it-IT"/>
        </w:rPr>
        <w:t>’</w:t>
      </w:r>
      <w:r>
        <w:rPr>
          <w:rFonts w:ascii="Book Antiqua"/>
          <w:sz w:val="20"/>
          <w:szCs w:val="20"/>
          <w:rtl w:val="0"/>
          <w:lang w:val="it-IT"/>
        </w:rPr>
        <w:t>articolo 1 sono allestiti e gestiti in conformit</w:t>
      </w:r>
      <w:r>
        <w:rPr>
          <w:rFonts w:hAnsi="Book Antiqua" w:hint="default"/>
          <w:sz w:val="20"/>
          <w:szCs w:val="20"/>
          <w:rtl w:val="0"/>
          <w:lang w:val="it-IT"/>
        </w:rPr>
        <w:t xml:space="preserve">à </w:t>
      </w:r>
      <w:r>
        <w:rPr>
          <w:rFonts w:ascii="Book Antiqua"/>
          <w:sz w:val="20"/>
          <w:szCs w:val="20"/>
          <w:rtl w:val="0"/>
          <w:lang w:val="it-IT"/>
        </w:rPr>
        <w:t>alle disposizioni di cui all</w:t>
      </w:r>
      <w:r>
        <w:rPr>
          <w:rFonts w:hAnsi="Book Antiqua" w:hint="default"/>
          <w:sz w:val="20"/>
          <w:szCs w:val="20"/>
          <w:rtl w:val="0"/>
          <w:lang w:val="it-IT"/>
        </w:rPr>
        <w:t>’</w:t>
      </w:r>
      <w:r>
        <w:rPr>
          <w:rFonts w:ascii="Book Antiqua"/>
          <w:sz w:val="20"/>
          <w:szCs w:val="20"/>
          <w:rtl w:val="0"/>
          <w:lang w:val="it-IT"/>
        </w:rPr>
        <w:t xml:space="preserve">allegato I, che costituisce parte integrante del presente decreto. </w:t>
      </w:r>
    </w:p>
    <w:p>
      <w:pPr>
        <w:pStyle w:val="Normal"/>
        <w:ind w:left="567" w:right="567" w:firstLine="0"/>
        <w:jc w:val="both"/>
        <w:rPr>
          <w:rFonts w:ascii="Book Antiqua" w:cs="Book Antiqua" w:hAnsi="Book Antiqua" w:eastAsia="Book Antiqua"/>
          <w:sz w:val="20"/>
          <w:szCs w:val="20"/>
        </w:rPr>
      </w:pPr>
      <w:r>
        <w:rPr>
          <w:rFonts w:ascii="Book Antiqua"/>
          <w:sz w:val="20"/>
          <w:szCs w:val="20"/>
          <w:rtl w:val="0"/>
          <w:lang w:val="it-IT"/>
        </w:rPr>
        <w:t xml:space="preserve">3. I centri di raccolta costituiti unicamente da cassoni scarrabili destinati a ricevere rifiuti non </w:t>
      </w:r>
    </w:p>
    <w:p>
      <w:pPr>
        <w:pStyle w:val="Normal"/>
        <w:ind w:left="567" w:right="567" w:firstLine="0"/>
        <w:jc w:val="both"/>
        <w:rPr>
          <w:rFonts w:ascii="Book Antiqua" w:cs="Book Antiqua" w:hAnsi="Book Antiqua" w:eastAsia="Book Antiqua"/>
          <w:sz w:val="20"/>
          <w:szCs w:val="20"/>
        </w:rPr>
      </w:pPr>
      <w:r>
        <w:rPr>
          <w:rFonts w:ascii="Book Antiqua"/>
          <w:sz w:val="20"/>
          <w:szCs w:val="20"/>
          <w:rtl w:val="0"/>
          <w:lang w:val="it-IT"/>
        </w:rPr>
        <w:t xml:space="preserve">pericolosi di provenienza domestica rispettano solo i requisiti di cui ai punti: 1.1, 2.1, 2.2 punti </w:t>
      </w:r>
    </w:p>
    <w:p>
      <w:pPr>
        <w:pStyle w:val="Normal"/>
        <w:ind w:left="567" w:right="567" w:firstLine="0"/>
        <w:jc w:val="both"/>
        <w:rPr>
          <w:rFonts w:ascii="Book Antiqua" w:cs="Book Antiqua" w:hAnsi="Book Antiqua" w:eastAsia="Book Antiqua"/>
          <w:sz w:val="20"/>
          <w:szCs w:val="20"/>
        </w:rPr>
      </w:pPr>
      <w:r>
        <w:rPr>
          <w:rFonts w:ascii="Book Antiqua"/>
          <w:sz w:val="20"/>
          <w:szCs w:val="20"/>
          <w:rtl w:val="0"/>
          <w:lang w:val="it-IT"/>
        </w:rPr>
        <w:t>b), d) ed e), 2.3, 3.1 punto a), 3.2, 4.1, 4.3, 5.1, 5.4, 5.9, 5.11, 5.12, 6.1, 6.3, 6.4 e 7 dell</w:t>
      </w:r>
      <w:r>
        <w:rPr>
          <w:rFonts w:hAnsi="Book Antiqua" w:hint="default"/>
          <w:sz w:val="20"/>
          <w:szCs w:val="20"/>
          <w:rtl w:val="0"/>
          <w:lang w:val="it-IT"/>
        </w:rPr>
        <w:t>’</w:t>
      </w:r>
      <w:r>
        <w:rPr>
          <w:rFonts w:ascii="Book Antiqua"/>
          <w:sz w:val="20"/>
          <w:szCs w:val="20"/>
          <w:rtl w:val="0"/>
          <w:lang w:val="it-IT"/>
        </w:rPr>
        <w:t xml:space="preserve">allegato I. </w:t>
      </w:r>
    </w:p>
    <w:p>
      <w:pPr>
        <w:pStyle w:val="Normal"/>
        <w:ind w:left="567" w:right="567" w:firstLine="0"/>
        <w:jc w:val="both"/>
        <w:rPr>
          <w:rFonts w:ascii="Book Antiqua" w:cs="Book Antiqua" w:hAnsi="Book Antiqua" w:eastAsia="Book Antiqua"/>
          <w:sz w:val="20"/>
          <w:szCs w:val="20"/>
        </w:rPr>
      </w:pPr>
      <w:r>
        <w:rPr>
          <w:rFonts w:ascii="Book Antiqua"/>
          <w:sz w:val="20"/>
          <w:szCs w:val="20"/>
          <w:rtl w:val="0"/>
          <w:lang w:val="it-IT"/>
        </w:rPr>
        <w:t xml:space="preserve">4. Il soggetto che gestisce il centro di raccolta </w:t>
      </w:r>
      <w:r>
        <w:rPr>
          <w:rFonts w:hAnsi="Book Antiqua" w:hint="default"/>
          <w:sz w:val="20"/>
          <w:szCs w:val="20"/>
          <w:rtl w:val="0"/>
          <w:lang w:val="it-IT"/>
        </w:rPr>
        <w:t xml:space="preserve">è </w:t>
      </w:r>
      <w:r>
        <w:rPr>
          <w:rFonts w:ascii="Book Antiqua"/>
          <w:sz w:val="20"/>
          <w:szCs w:val="20"/>
          <w:rtl w:val="0"/>
          <w:lang w:val="it-IT"/>
        </w:rPr>
        <w:t>iscritto all</w:t>
      </w:r>
      <w:r>
        <w:rPr>
          <w:rFonts w:hAnsi="Book Antiqua" w:hint="default"/>
          <w:sz w:val="20"/>
          <w:szCs w:val="20"/>
          <w:rtl w:val="0"/>
          <w:lang w:val="it-IT"/>
        </w:rPr>
        <w:t>’</w:t>
      </w:r>
      <w:r>
        <w:rPr>
          <w:rFonts w:ascii="Book Antiqua"/>
          <w:sz w:val="20"/>
          <w:szCs w:val="20"/>
          <w:rtl w:val="0"/>
          <w:lang w:val="it-IT"/>
        </w:rPr>
        <w:t xml:space="preserve">Albo nazionale gestori ambientali di </w:t>
      </w:r>
    </w:p>
    <w:p>
      <w:pPr>
        <w:pStyle w:val="Normal"/>
        <w:ind w:left="567" w:right="567" w:firstLine="0"/>
        <w:jc w:val="both"/>
        <w:rPr>
          <w:rFonts w:ascii="Book Antiqua" w:cs="Book Antiqua" w:hAnsi="Book Antiqua" w:eastAsia="Book Antiqua"/>
          <w:sz w:val="20"/>
          <w:szCs w:val="20"/>
        </w:rPr>
      </w:pPr>
      <w:r>
        <w:rPr>
          <w:rFonts w:ascii="Book Antiqua"/>
          <w:sz w:val="20"/>
          <w:szCs w:val="20"/>
          <w:rtl w:val="0"/>
          <w:lang w:val="it-IT"/>
        </w:rPr>
        <w:t xml:space="preserve">cui all'articolo 212 del decreto legislativo 3 aprile 2006, n. 152, e successive modifiche, nella Categoria 1 </w:t>
      </w:r>
      <w:r>
        <w:rPr>
          <w:rFonts w:hAnsi="Book Antiqua" w:hint="default"/>
          <w:sz w:val="20"/>
          <w:szCs w:val="20"/>
          <w:rtl w:val="0"/>
          <w:lang w:val="it-IT"/>
        </w:rPr>
        <w:t>«</w:t>
      </w:r>
      <w:r>
        <w:rPr>
          <w:rFonts w:ascii="Book Antiqua"/>
          <w:sz w:val="20"/>
          <w:szCs w:val="20"/>
          <w:rtl w:val="0"/>
          <w:lang w:val="it-IT"/>
        </w:rPr>
        <w:t>Raccolta e trasporto dei rifiuti urbani</w:t>
      </w:r>
      <w:r>
        <w:rPr>
          <w:rFonts w:hAnsi="Book Antiqua" w:hint="default"/>
          <w:sz w:val="20"/>
          <w:szCs w:val="20"/>
          <w:rtl w:val="0"/>
          <w:lang w:val="it-IT"/>
        </w:rPr>
        <w:t xml:space="preserve">» </w:t>
      </w:r>
      <w:r>
        <w:rPr>
          <w:rFonts w:ascii="Book Antiqua"/>
          <w:sz w:val="20"/>
          <w:szCs w:val="20"/>
          <w:rtl w:val="0"/>
          <w:lang w:val="it-IT"/>
        </w:rPr>
        <w:t>di cui all</w:t>
      </w:r>
      <w:r>
        <w:rPr>
          <w:rFonts w:hAnsi="Book Antiqua" w:hint="default"/>
          <w:sz w:val="20"/>
          <w:szCs w:val="20"/>
          <w:rtl w:val="0"/>
          <w:lang w:val="it-IT"/>
        </w:rPr>
        <w:t>’</w:t>
      </w:r>
      <w:r>
        <w:rPr>
          <w:rFonts w:ascii="Book Antiqua"/>
          <w:sz w:val="20"/>
          <w:szCs w:val="20"/>
          <w:rtl w:val="0"/>
          <w:lang w:val="it-IT"/>
        </w:rPr>
        <w:t>articolo 8 del decreto del Ministro dell</w:t>
      </w:r>
      <w:r>
        <w:rPr>
          <w:rFonts w:hAnsi="Book Antiqua" w:hint="default"/>
          <w:sz w:val="20"/>
          <w:szCs w:val="20"/>
          <w:rtl w:val="0"/>
          <w:lang w:val="it-IT"/>
        </w:rPr>
        <w:t>’</w:t>
      </w:r>
      <w:r>
        <w:rPr>
          <w:rFonts w:ascii="Book Antiqua"/>
          <w:sz w:val="20"/>
          <w:szCs w:val="20"/>
          <w:rtl w:val="0"/>
          <w:lang w:val="it-IT"/>
        </w:rPr>
        <w:t xml:space="preserve">ambiente 28 aprile 1998, n. 406. </w:t>
      </w:r>
    </w:p>
    <w:p>
      <w:pPr>
        <w:pStyle w:val="Normal"/>
        <w:ind w:left="567" w:right="567" w:firstLine="0"/>
        <w:jc w:val="both"/>
        <w:rPr>
          <w:rFonts w:ascii="Book Antiqua" w:cs="Book Antiqua" w:hAnsi="Book Antiqua" w:eastAsia="Book Antiqua"/>
          <w:sz w:val="20"/>
          <w:szCs w:val="20"/>
        </w:rPr>
      </w:pPr>
      <w:r>
        <w:rPr>
          <w:rFonts w:ascii="Book Antiqua"/>
          <w:sz w:val="20"/>
          <w:szCs w:val="20"/>
          <w:rtl w:val="0"/>
          <w:lang w:val="it-IT"/>
        </w:rPr>
        <w:t>5. Ai fini dell</w:t>
      </w:r>
      <w:r>
        <w:rPr>
          <w:rFonts w:hAnsi="Book Antiqua" w:hint="default"/>
          <w:sz w:val="20"/>
          <w:szCs w:val="20"/>
          <w:rtl w:val="0"/>
          <w:lang w:val="it-IT"/>
        </w:rPr>
        <w:t>’</w:t>
      </w:r>
      <w:r>
        <w:rPr>
          <w:rFonts w:ascii="Book Antiqua"/>
          <w:sz w:val="20"/>
          <w:szCs w:val="20"/>
          <w:rtl w:val="0"/>
          <w:lang w:val="it-IT"/>
        </w:rPr>
        <w:t>iscrizione di cui al comma 4, il Comitato nazionale dell</w:t>
      </w:r>
      <w:r>
        <w:rPr>
          <w:rFonts w:hAnsi="Book Antiqua" w:hint="default"/>
          <w:sz w:val="20"/>
          <w:szCs w:val="20"/>
          <w:rtl w:val="0"/>
          <w:lang w:val="it-IT"/>
        </w:rPr>
        <w:t>’</w:t>
      </w:r>
      <w:r>
        <w:rPr>
          <w:rFonts w:ascii="Book Antiqua"/>
          <w:sz w:val="20"/>
          <w:szCs w:val="20"/>
          <w:rtl w:val="0"/>
          <w:lang w:val="it-IT"/>
        </w:rPr>
        <w:t xml:space="preserve">Albo gestori ambientali  stabilisce con propria delibera, entro sessanta giorni dalla data di entrata in vigore del presente </w:t>
      </w:r>
    </w:p>
    <w:p>
      <w:pPr>
        <w:pStyle w:val="Normal"/>
        <w:ind w:left="567" w:right="567" w:firstLine="0"/>
        <w:jc w:val="both"/>
        <w:rPr>
          <w:rFonts w:ascii="Book Antiqua" w:cs="Book Antiqua" w:hAnsi="Book Antiqua" w:eastAsia="Book Antiqua"/>
          <w:sz w:val="20"/>
          <w:szCs w:val="20"/>
        </w:rPr>
      </w:pPr>
      <w:r>
        <w:rPr>
          <w:rFonts w:ascii="Book Antiqua"/>
          <w:sz w:val="20"/>
          <w:szCs w:val="20"/>
          <w:rtl w:val="0"/>
          <w:lang w:val="it-IT"/>
        </w:rPr>
        <w:t>decreto, i criteri, le modalit</w:t>
      </w:r>
      <w:r>
        <w:rPr>
          <w:rFonts w:hAnsi="Book Antiqua" w:hint="default"/>
          <w:sz w:val="20"/>
          <w:szCs w:val="20"/>
          <w:rtl w:val="0"/>
          <w:lang w:val="it-IT"/>
        </w:rPr>
        <w:t xml:space="preserve">à </w:t>
      </w:r>
      <w:r>
        <w:rPr>
          <w:rFonts w:ascii="Book Antiqua"/>
          <w:sz w:val="20"/>
          <w:szCs w:val="20"/>
          <w:rtl w:val="0"/>
          <w:lang w:val="it-IT"/>
        </w:rPr>
        <w:t>e i termini per la dimostrazione della idoneit</w:t>
      </w:r>
      <w:r>
        <w:rPr>
          <w:rFonts w:hAnsi="Book Antiqua" w:hint="default"/>
          <w:sz w:val="20"/>
          <w:szCs w:val="20"/>
          <w:rtl w:val="0"/>
          <w:lang w:val="it-IT"/>
        </w:rPr>
        <w:t xml:space="preserve">à </w:t>
      </w:r>
      <w:r>
        <w:rPr>
          <w:rFonts w:ascii="Book Antiqua"/>
          <w:sz w:val="20"/>
          <w:szCs w:val="20"/>
          <w:rtl w:val="0"/>
          <w:lang w:val="it-IT"/>
        </w:rPr>
        <w:t>tecnica sulla base  delle disposizioni di cui all</w:t>
      </w:r>
      <w:r>
        <w:rPr>
          <w:rFonts w:hAnsi="Book Antiqua" w:hint="default"/>
          <w:sz w:val="20"/>
          <w:szCs w:val="20"/>
          <w:rtl w:val="0"/>
          <w:lang w:val="it-IT"/>
        </w:rPr>
        <w:t>’</w:t>
      </w:r>
      <w:r>
        <w:rPr>
          <w:rFonts w:ascii="Book Antiqua"/>
          <w:sz w:val="20"/>
          <w:szCs w:val="20"/>
          <w:rtl w:val="0"/>
          <w:lang w:val="it-IT"/>
        </w:rPr>
        <w:t>allegato I, nonch</w:t>
      </w:r>
      <w:r>
        <w:rPr>
          <w:rFonts w:hAnsi="Book Antiqua" w:hint="default"/>
          <w:sz w:val="20"/>
          <w:szCs w:val="20"/>
          <w:rtl w:val="0"/>
          <w:lang w:val="it-IT"/>
        </w:rPr>
        <w:t xml:space="preserve">é </w:t>
      </w:r>
      <w:r>
        <w:rPr>
          <w:rFonts w:ascii="Book Antiqua"/>
          <w:sz w:val="20"/>
          <w:szCs w:val="20"/>
          <w:rtl w:val="0"/>
          <w:lang w:val="it-IT"/>
        </w:rPr>
        <w:t>della capacit</w:t>
      </w:r>
      <w:r>
        <w:rPr>
          <w:rFonts w:hAnsi="Book Antiqua" w:hint="default"/>
          <w:sz w:val="20"/>
          <w:szCs w:val="20"/>
          <w:rtl w:val="0"/>
          <w:lang w:val="it-IT"/>
        </w:rPr>
        <w:t xml:space="preserve">à </w:t>
      </w:r>
      <w:r>
        <w:rPr>
          <w:rFonts w:ascii="Book Antiqua"/>
          <w:sz w:val="20"/>
          <w:szCs w:val="20"/>
          <w:rtl w:val="0"/>
          <w:lang w:val="it-IT"/>
        </w:rPr>
        <w:t>finanziaria. I soggetti gestori di centri di raccolta che sono gi</w:t>
      </w:r>
      <w:r>
        <w:rPr>
          <w:rFonts w:hAnsi="Book Antiqua" w:hint="default"/>
          <w:sz w:val="20"/>
          <w:szCs w:val="20"/>
          <w:rtl w:val="0"/>
          <w:lang w:val="it-IT"/>
        </w:rPr>
        <w:t xml:space="preserve">à </w:t>
      </w:r>
      <w:r>
        <w:rPr>
          <w:rFonts w:ascii="Book Antiqua"/>
          <w:sz w:val="20"/>
          <w:szCs w:val="20"/>
          <w:rtl w:val="0"/>
          <w:lang w:val="it-IT"/>
        </w:rPr>
        <w:t>iscritti all</w:t>
      </w:r>
      <w:r>
        <w:rPr>
          <w:rFonts w:hAnsi="Book Antiqua" w:hint="default"/>
          <w:sz w:val="20"/>
          <w:szCs w:val="20"/>
          <w:rtl w:val="0"/>
          <w:lang w:val="it-IT"/>
        </w:rPr>
        <w:t>’</w:t>
      </w:r>
      <w:r>
        <w:rPr>
          <w:rFonts w:ascii="Book Antiqua"/>
          <w:sz w:val="20"/>
          <w:szCs w:val="20"/>
          <w:rtl w:val="0"/>
          <w:lang w:val="it-IT"/>
        </w:rPr>
        <w:t>Albo gestori ambientali nella Categoria 1 integrano l</w:t>
      </w:r>
      <w:r>
        <w:rPr>
          <w:rFonts w:hAnsi="Book Antiqua" w:hint="default"/>
          <w:sz w:val="20"/>
          <w:szCs w:val="20"/>
          <w:rtl w:val="0"/>
          <w:lang w:val="it-IT"/>
        </w:rPr>
        <w:t>’</w:t>
      </w:r>
      <w:r>
        <w:rPr>
          <w:rFonts w:ascii="Book Antiqua"/>
          <w:sz w:val="20"/>
          <w:szCs w:val="20"/>
          <w:rtl w:val="0"/>
          <w:lang w:val="it-IT"/>
        </w:rPr>
        <w:t>iscrizione  alla Categoria stessa per l</w:t>
      </w:r>
      <w:r>
        <w:rPr>
          <w:rFonts w:hAnsi="Book Antiqua" w:hint="default"/>
          <w:sz w:val="20"/>
          <w:szCs w:val="20"/>
          <w:rtl w:val="0"/>
          <w:lang w:val="it-IT"/>
        </w:rPr>
        <w:t>’</w:t>
      </w:r>
      <w:r>
        <w:rPr>
          <w:rFonts w:ascii="Book Antiqua"/>
          <w:sz w:val="20"/>
          <w:szCs w:val="20"/>
          <w:rtl w:val="0"/>
          <w:lang w:val="it-IT"/>
        </w:rPr>
        <w:t>attivit</w:t>
      </w:r>
      <w:r>
        <w:rPr>
          <w:rFonts w:hAnsi="Book Antiqua" w:hint="default"/>
          <w:sz w:val="20"/>
          <w:szCs w:val="20"/>
          <w:rtl w:val="0"/>
          <w:lang w:val="it-IT"/>
        </w:rPr>
        <w:t>à «</w:t>
      </w:r>
      <w:r>
        <w:rPr>
          <w:rFonts w:ascii="Book Antiqua"/>
          <w:sz w:val="20"/>
          <w:szCs w:val="20"/>
          <w:rtl w:val="0"/>
          <w:lang w:val="it-IT"/>
        </w:rPr>
        <w:t>Gestione dei centri di raccolta</w:t>
      </w:r>
      <w:r>
        <w:rPr>
          <w:rFonts w:hAnsi="Book Antiqua" w:hint="default"/>
          <w:sz w:val="20"/>
          <w:szCs w:val="20"/>
          <w:rtl w:val="0"/>
          <w:lang w:val="it-IT"/>
        </w:rPr>
        <w:t xml:space="preserve">» </w:t>
      </w:r>
      <w:r>
        <w:rPr>
          <w:rFonts w:ascii="Book Antiqua"/>
          <w:sz w:val="20"/>
          <w:szCs w:val="20"/>
          <w:rtl w:val="0"/>
          <w:lang w:val="it-IT"/>
        </w:rPr>
        <w:t xml:space="preserve">e non sono tenuti alla prestazione di ulteriori garanzie finanziarie. </w:t>
      </w:r>
    </w:p>
    <w:p>
      <w:pPr>
        <w:pStyle w:val="Normal"/>
        <w:ind w:left="567" w:right="567" w:firstLine="0"/>
        <w:jc w:val="both"/>
        <w:rPr>
          <w:rFonts w:ascii="Book Antiqua" w:cs="Book Antiqua" w:hAnsi="Book Antiqua" w:eastAsia="Book Antiqua"/>
          <w:sz w:val="20"/>
          <w:szCs w:val="20"/>
        </w:rPr>
      </w:pPr>
      <w:r>
        <w:rPr>
          <w:rFonts w:ascii="Book Antiqua"/>
          <w:sz w:val="20"/>
          <w:szCs w:val="20"/>
          <w:rtl w:val="0"/>
          <w:lang w:val="it-IT"/>
        </w:rPr>
        <w:t>6. L</w:t>
      </w:r>
      <w:r>
        <w:rPr>
          <w:rFonts w:hAnsi="Book Antiqua" w:hint="default"/>
          <w:sz w:val="20"/>
          <w:szCs w:val="20"/>
          <w:rtl w:val="0"/>
          <w:lang w:val="it-IT"/>
        </w:rPr>
        <w:t>’</w:t>
      </w:r>
      <w:r>
        <w:rPr>
          <w:rFonts w:ascii="Book Antiqua"/>
          <w:sz w:val="20"/>
          <w:szCs w:val="20"/>
          <w:rtl w:val="0"/>
          <w:lang w:val="it-IT"/>
        </w:rPr>
        <w:t xml:space="preserve">iscrizione di cui al comma 4 </w:t>
      </w:r>
      <w:r>
        <w:rPr>
          <w:rFonts w:hAnsi="Book Antiqua" w:hint="default"/>
          <w:sz w:val="20"/>
          <w:szCs w:val="20"/>
          <w:rtl w:val="0"/>
          <w:lang w:val="it-IT"/>
        </w:rPr>
        <w:t xml:space="preserve">è </w:t>
      </w:r>
      <w:r>
        <w:rPr>
          <w:rFonts w:ascii="Book Antiqua"/>
          <w:sz w:val="20"/>
          <w:szCs w:val="20"/>
          <w:rtl w:val="0"/>
          <w:lang w:val="it-IT"/>
        </w:rPr>
        <w:t>subordinata alla prestazione di idonea garanzia finanziaria  secondo quanto disposto dal decreto del Ministro dell</w:t>
      </w:r>
      <w:r>
        <w:rPr>
          <w:rFonts w:hAnsi="Book Antiqua" w:hint="default"/>
          <w:sz w:val="20"/>
          <w:szCs w:val="20"/>
          <w:rtl w:val="0"/>
          <w:lang w:val="it-IT"/>
        </w:rPr>
        <w:t>’</w:t>
      </w:r>
      <w:r>
        <w:rPr>
          <w:rFonts w:ascii="Book Antiqua"/>
          <w:sz w:val="20"/>
          <w:szCs w:val="20"/>
          <w:rtl w:val="0"/>
          <w:lang w:val="it-IT"/>
        </w:rPr>
        <w:t xml:space="preserve">ambiente 8 ottobre 1996, e successive  modifiche relativamente alla categoria </w:t>
      </w:r>
      <w:r>
        <w:rPr>
          <w:rFonts w:hAnsi="Book Antiqua" w:hint="default"/>
          <w:sz w:val="20"/>
          <w:szCs w:val="20"/>
          <w:rtl w:val="0"/>
          <w:lang w:val="it-IT"/>
        </w:rPr>
        <w:t>«</w:t>
      </w:r>
      <w:r>
        <w:rPr>
          <w:rFonts w:ascii="Book Antiqua"/>
          <w:sz w:val="20"/>
          <w:szCs w:val="20"/>
          <w:rtl w:val="0"/>
          <w:lang w:val="it-IT"/>
        </w:rPr>
        <w:t>raccolta e trasporto di rifiuti urbani e assimilati</w:t>
      </w:r>
      <w:r>
        <w:rPr>
          <w:rFonts w:hAnsi="Book Antiqua" w:hint="default"/>
          <w:sz w:val="20"/>
          <w:szCs w:val="20"/>
          <w:rtl w:val="0"/>
          <w:lang w:val="it-IT"/>
        </w:rPr>
        <w:t>»</w:t>
      </w:r>
      <w:r>
        <w:rPr>
          <w:rFonts w:ascii="Book Antiqua"/>
          <w:sz w:val="20"/>
          <w:szCs w:val="20"/>
          <w:rtl w:val="0"/>
          <w:lang w:val="it-IT"/>
        </w:rPr>
        <w:t xml:space="preserve">. </w:t>
      </w:r>
    </w:p>
    <w:p>
      <w:pPr>
        <w:pStyle w:val="Normal"/>
        <w:ind w:left="567" w:right="567" w:firstLine="0"/>
        <w:jc w:val="both"/>
        <w:rPr>
          <w:rFonts w:ascii="Book Antiqua" w:cs="Book Antiqua" w:hAnsi="Book Antiqua" w:eastAsia="Book Antiqua"/>
          <w:sz w:val="20"/>
          <w:szCs w:val="20"/>
        </w:rPr>
      </w:pPr>
      <w:r>
        <w:rPr>
          <w:rFonts w:ascii="Book Antiqua"/>
          <w:sz w:val="20"/>
          <w:szCs w:val="20"/>
          <w:rtl w:val="0"/>
          <w:lang w:val="it-IT"/>
        </w:rPr>
        <w:t>7. I centri di raccolta di cui all</w:t>
      </w:r>
      <w:r>
        <w:rPr>
          <w:rFonts w:hAnsi="Book Antiqua" w:hint="default"/>
          <w:sz w:val="20"/>
          <w:szCs w:val="20"/>
          <w:rtl w:val="0"/>
          <w:lang w:val="it-IT"/>
        </w:rPr>
        <w:t>’</w:t>
      </w:r>
      <w:r>
        <w:rPr>
          <w:rFonts w:ascii="Book Antiqua"/>
          <w:sz w:val="20"/>
          <w:szCs w:val="20"/>
          <w:rtl w:val="0"/>
          <w:lang w:val="it-IT"/>
        </w:rPr>
        <w:t xml:space="preserve">articolo 1 che sono  operanti sulla base di disposizioni regionali o di enti locali continuano ad operare e si conformano alle disposizioni del presente decreto entro il termine di  </w:t>
      </w:r>
      <w:r>
        <w:rPr>
          <w:rFonts w:ascii="Book Antiqua"/>
          <w:i w:val="1"/>
          <w:iCs w:val="1"/>
          <w:sz w:val="20"/>
          <w:szCs w:val="20"/>
          <w:rtl w:val="0"/>
          <w:lang w:val="it-IT"/>
        </w:rPr>
        <w:t>6 mesi</w:t>
      </w:r>
      <w:r>
        <w:rPr>
          <w:rFonts w:ascii="Book Antiqua"/>
          <w:sz w:val="20"/>
          <w:szCs w:val="20"/>
          <w:rtl w:val="0"/>
          <w:lang w:val="it-IT"/>
        </w:rPr>
        <w:t xml:space="preserve"> dalla data di pubblicazione </w:t>
      </w:r>
      <w:r>
        <w:rPr>
          <w:rFonts w:ascii="Book Antiqua"/>
          <w:i w:val="1"/>
          <w:iCs w:val="1"/>
          <w:sz w:val="20"/>
          <w:szCs w:val="20"/>
          <w:rtl w:val="0"/>
          <w:lang w:val="it-IT"/>
        </w:rPr>
        <w:t>dello stesso sulla</w:t>
      </w:r>
      <w:r>
        <w:rPr>
          <w:rFonts w:ascii="Book Antiqua"/>
          <w:sz w:val="20"/>
          <w:szCs w:val="20"/>
          <w:rtl w:val="0"/>
          <w:lang w:val="it-IT"/>
        </w:rPr>
        <w:t xml:space="preserve"> Gazzetta Ufficiale della Repubblica italiana. </w:t>
      </w:r>
      <w:r>
        <w:rPr>
          <w:rFonts w:ascii="Book Antiqua"/>
          <w:i w:val="1"/>
          <w:iCs w:val="1"/>
          <w:sz w:val="20"/>
          <w:szCs w:val="20"/>
          <w:rtl w:val="0"/>
          <w:lang w:val="it-IT"/>
        </w:rPr>
        <w:t>qualora tali impianti siano conformi alle disposizioni tecnico-gestionali previste dall</w:t>
      </w:r>
      <w:r>
        <w:rPr>
          <w:rFonts w:hAnsi="Book Antiqua" w:hint="default"/>
          <w:i w:val="1"/>
          <w:iCs w:val="1"/>
          <w:sz w:val="20"/>
          <w:szCs w:val="20"/>
          <w:rtl w:val="0"/>
          <w:lang w:val="it-IT"/>
        </w:rPr>
        <w:t>’</w:t>
      </w:r>
      <w:r>
        <w:rPr>
          <w:rFonts w:ascii="Book Antiqua"/>
          <w:i w:val="1"/>
          <w:iCs w:val="1"/>
          <w:sz w:val="20"/>
          <w:szCs w:val="20"/>
          <w:rtl w:val="0"/>
          <w:lang w:val="it-IT"/>
        </w:rPr>
        <w:t>allegato 1, non e</w:t>
      </w:r>
      <w:r>
        <w:rPr>
          <w:rFonts w:hAnsi="Book Antiqua" w:hint="default"/>
          <w:i w:val="1"/>
          <w:iCs w:val="1"/>
          <w:sz w:val="20"/>
          <w:szCs w:val="20"/>
          <w:rtl w:val="0"/>
          <w:lang w:val="it-IT"/>
        </w:rPr>
        <w:t xml:space="preserve">’ </w:t>
      </w:r>
      <w:r>
        <w:rPr>
          <w:rFonts w:ascii="Book Antiqua"/>
          <w:i w:val="1"/>
          <w:iCs w:val="1"/>
          <w:sz w:val="20"/>
          <w:szCs w:val="20"/>
          <w:rtl w:val="0"/>
          <w:lang w:val="it-IT"/>
        </w:rPr>
        <w:t>necessario il rilascio di una nuova approvazione ai sensi dell</w:t>
      </w:r>
      <w:r>
        <w:rPr>
          <w:rFonts w:hAnsi="Book Antiqua" w:hint="default"/>
          <w:i w:val="1"/>
          <w:iCs w:val="1"/>
          <w:sz w:val="20"/>
          <w:szCs w:val="20"/>
          <w:rtl w:val="0"/>
          <w:lang w:val="it-IT"/>
        </w:rPr>
        <w:t>’</w:t>
      </w:r>
      <w:r>
        <w:rPr>
          <w:rFonts w:ascii="Book Antiqua"/>
          <w:i w:val="1"/>
          <w:iCs w:val="1"/>
          <w:sz w:val="20"/>
          <w:szCs w:val="20"/>
          <w:rtl w:val="0"/>
          <w:lang w:val="it-IT"/>
        </w:rPr>
        <w:t>articolo 2, comma 1</w:t>
      </w:r>
    </w:p>
    <w:p>
      <w:pPr>
        <w:pStyle w:val="Normal"/>
        <w:ind w:left="567" w:right="567" w:firstLine="0"/>
        <w:jc w:val="both"/>
        <w:rPr>
          <w:rFonts w:ascii="Book Antiqua" w:cs="Book Antiqua" w:hAnsi="Book Antiqua" w:eastAsia="Book Antiqua"/>
          <w:sz w:val="20"/>
          <w:szCs w:val="20"/>
        </w:rPr>
      </w:pPr>
      <w:r>
        <w:rPr>
          <w:rFonts w:ascii="Book Antiqua"/>
          <w:sz w:val="20"/>
          <w:szCs w:val="20"/>
          <w:rtl w:val="0"/>
          <w:lang w:val="it-IT"/>
        </w:rPr>
        <w:t>(L</w:t>
      </w:r>
      <w:r>
        <w:rPr>
          <w:rFonts w:hAnsi="Book Antiqua" w:hint="default"/>
          <w:sz w:val="20"/>
          <w:szCs w:val="20"/>
          <w:rtl w:val="0"/>
          <w:lang w:val="it-IT"/>
        </w:rPr>
        <w:t>’</w:t>
      </w:r>
      <w:r>
        <w:rPr>
          <w:rFonts w:ascii="Book Antiqua"/>
          <w:sz w:val="20"/>
          <w:szCs w:val="20"/>
          <w:rtl w:val="0"/>
          <w:lang w:val="it-IT"/>
        </w:rPr>
        <w:t xml:space="preserve">art, 212, comma 5, prevede iscrizione semplificata - </w:t>
      </w:r>
      <w:r>
        <w:rPr>
          <w:rFonts w:hAnsi="Book Antiqua" w:hint="default"/>
          <w:sz w:val="20"/>
          <w:szCs w:val="20"/>
          <w:rtl w:val="0"/>
          <w:lang w:val="it-IT"/>
        </w:rPr>
        <w:t>“</w:t>
      </w:r>
      <w:r>
        <w:rPr>
          <w:rFonts w:ascii="Book Antiqua"/>
          <w:sz w:val="20"/>
          <w:szCs w:val="20"/>
          <w:rtl w:val="0"/>
          <w:lang w:val="it-IT"/>
        </w:rPr>
        <w:t>valida per i servizi di gestione dei rifiuti urbani prodotti nei medesimi Comuni</w:t>
      </w:r>
      <w:r>
        <w:rPr>
          <w:rFonts w:hAnsi="Book Antiqua" w:hint="default"/>
          <w:sz w:val="20"/>
          <w:szCs w:val="20"/>
          <w:rtl w:val="0"/>
          <w:lang w:val="it-IT"/>
        </w:rPr>
        <w:t xml:space="preserve">” </w:t>
      </w:r>
      <w:r>
        <w:rPr>
          <w:rFonts w:ascii="Book Antiqua"/>
          <w:sz w:val="20"/>
          <w:szCs w:val="20"/>
          <w:rtl w:val="0"/>
          <w:lang w:val="it-IT"/>
        </w:rPr>
        <w:t xml:space="preserve">- per le </w:t>
      </w:r>
      <w:r>
        <w:rPr>
          <w:rFonts w:hAnsi="Book Antiqua" w:hint="default"/>
          <w:sz w:val="20"/>
          <w:szCs w:val="20"/>
          <w:rtl w:val="0"/>
          <w:lang w:val="it-IT"/>
        </w:rPr>
        <w:t>“</w:t>
      </w:r>
      <w:r>
        <w:rPr>
          <w:rFonts w:ascii="Book Antiqua"/>
          <w:sz w:val="20"/>
          <w:szCs w:val="20"/>
          <w:rtl w:val="0"/>
          <w:lang w:val="it-IT"/>
        </w:rPr>
        <w:t>aziende speciali, i consorzi di Comuni e le societ</w:t>
      </w:r>
      <w:r>
        <w:rPr>
          <w:rFonts w:hAnsi="Book Antiqua" w:hint="default"/>
          <w:sz w:val="20"/>
          <w:szCs w:val="20"/>
          <w:rtl w:val="0"/>
          <w:lang w:val="it-IT"/>
        </w:rPr>
        <w:t xml:space="preserve">à </w:t>
      </w:r>
      <w:r>
        <w:rPr>
          <w:rFonts w:ascii="Book Antiqua"/>
          <w:sz w:val="20"/>
          <w:szCs w:val="20"/>
          <w:rtl w:val="0"/>
          <w:lang w:val="it-IT"/>
        </w:rPr>
        <w:t>di gestione dei servizi pubblici</w:t>
      </w:r>
      <w:r>
        <w:rPr>
          <w:rFonts w:hAnsi="Book Antiqua" w:hint="default"/>
          <w:sz w:val="20"/>
          <w:szCs w:val="20"/>
          <w:rtl w:val="0"/>
          <w:lang w:val="it-IT"/>
        </w:rPr>
        <w:t>”</w:t>
      </w:r>
      <w:r>
        <w:rPr>
          <w:rFonts w:ascii="Book Antiqua"/>
          <w:i w:val="1"/>
          <w:iCs w:val="1"/>
          <w:sz w:val="20"/>
          <w:szCs w:val="20"/>
          <w:rtl w:val="0"/>
          <w:lang w:val="it-IT"/>
        </w:rPr>
        <w:t>)</w:t>
      </w:r>
      <w:r>
        <w:rPr>
          <w:rFonts w:ascii="Book Antiqua"/>
          <w:sz w:val="20"/>
          <w:szCs w:val="20"/>
          <w:rtl w:val="0"/>
          <w:lang w:val="it-IT"/>
        </w:rPr>
        <w:t xml:space="preserve"> </w:t>
      </w:r>
    </w:p>
    <w:p>
      <w:pPr>
        <w:pStyle w:val="Normal"/>
        <w:ind w:left="567" w:right="567" w:firstLine="0"/>
        <w:jc w:val="both"/>
        <w:rPr>
          <w:rFonts w:ascii="Book Antiqua" w:cs="Book Antiqua" w:hAnsi="Book Antiqua" w:eastAsia="Book Antiqua"/>
          <w:sz w:val="20"/>
          <w:szCs w:val="20"/>
        </w:rPr>
      </w:pPr>
      <w:r>
        <w:rPr>
          <w:rFonts w:ascii="Book Antiqua"/>
          <w:sz w:val="20"/>
          <w:szCs w:val="20"/>
          <w:rtl w:val="0"/>
          <w:lang w:val="it-IT"/>
        </w:rPr>
        <w:t>Allegato I</w:t>
      </w:r>
    </w:p>
    <w:p>
      <w:pPr>
        <w:pStyle w:val="Normal"/>
        <w:ind w:left="567" w:right="567" w:firstLine="0"/>
        <w:jc w:val="both"/>
        <w:rPr>
          <w:rFonts w:ascii="Book Antiqua" w:cs="Book Antiqua" w:hAnsi="Book Antiqua" w:eastAsia="Book Antiqua"/>
          <w:sz w:val="20"/>
          <w:szCs w:val="20"/>
        </w:rPr>
      </w:pPr>
      <w:r>
        <w:rPr>
          <w:rFonts w:ascii="Book Antiqua"/>
          <w:sz w:val="20"/>
          <w:szCs w:val="20"/>
          <w:rtl w:val="0"/>
          <w:lang w:val="it-IT"/>
        </w:rPr>
        <w:t>Requisiti tecnico gestionali relativi al centro di raccolta dei rifiuti urbani e assimilati</w:t>
      </w:r>
    </w:p>
    <w:p>
      <w:pPr>
        <w:pStyle w:val="Normal"/>
        <w:ind w:left="567" w:right="567" w:firstLine="0"/>
        <w:jc w:val="both"/>
        <w:rPr>
          <w:rFonts w:ascii="Book Antiqua" w:cs="Book Antiqua" w:hAnsi="Book Antiqua" w:eastAsia="Book Antiqua"/>
          <w:sz w:val="20"/>
          <w:szCs w:val="20"/>
        </w:rPr>
      </w:pPr>
      <w:r>
        <w:rPr>
          <w:rFonts w:ascii="Book Antiqua"/>
          <w:sz w:val="20"/>
          <w:szCs w:val="20"/>
          <w:rtl w:val="0"/>
          <w:lang w:val="it-IT"/>
        </w:rPr>
        <w:t>1. Ubicazione del centro di raccolta</w:t>
      </w:r>
    </w:p>
    <w:p>
      <w:pPr>
        <w:pStyle w:val="Normal"/>
        <w:ind w:left="567" w:right="567" w:firstLine="0"/>
        <w:jc w:val="both"/>
        <w:rPr>
          <w:rFonts w:ascii="Book Antiqua" w:cs="Book Antiqua" w:hAnsi="Book Antiqua" w:eastAsia="Book Antiqua"/>
          <w:i w:val="1"/>
          <w:iCs w:val="1"/>
          <w:sz w:val="20"/>
          <w:szCs w:val="20"/>
        </w:rPr>
      </w:pPr>
      <w:r>
        <w:rPr>
          <w:rFonts w:ascii="Book Antiqua"/>
          <w:i w:val="1"/>
          <w:iCs w:val="1"/>
          <w:sz w:val="20"/>
          <w:szCs w:val="20"/>
          <w:rtl w:val="0"/>
          <w:lang w:val="it-IT"/>
        </w:rPr>
        <w:t>OMISSIS</w:t>
      </w:r>
    </w:p>
    <w:p>
      <w:pPr>
        <w:pStyle w:val="Normal"/>
        <w:ind w:left="567" w:right="567" w:firstLine="0"/>
        <w:jc w:val="both"/>
        <w:rPr>
          <w:rFonts w:ascii="Book Antiqua" w:cs="Book Antiqua" w:hAnsi="Book Antiqua" w:eastAsia="Book Antiqua"/>
          <w:sz w:val="20"/>
          <w:szCs w:val="20"/>
        </w:rPr>
      </w:pPr>
      <w:r>
        <w:rPr>
          <w:rFonts w:ascii="Book Antiqua"/>
          <w:sz w:val="20"/>
          <w:szCs w:val="20"/>
          <w:rtl w:val="0"/>
          <w:lang w:val="it-IT"/>
        </w:rPr>
        <w:t>4. Modalit</w:t>
      </w:r>
      <w:r>
        <w:rPr>
          <w:rFonts w:hAnsi="Book Antiqua" w:hint="default"/>
          <w:sz w:val="20"/>
          <w:szCs w:val="20"/>
          <w:rtl w:val="0"/>
          <w:lang w:val="it-IT"/>
        </w:rPr>
        <w:t xml:space="preserve">à </w:t>
      </w:r>
      <w:r>
        <w:rPr>
          <w:rFonts w:ascii="Book Antiqua"/>
          <w:sz w:val="20"/>
          <w:szCs w:val="20"/>
          <w:rtl w:val="0"/>
          <w:lang w:val="it-IT"/>
        </w:rPr>
        <w:t>di conferimento e tipologie di rifiuti conferibili al centro di raccolta</w:t>
      </w:r>
    </w:p>
    <w:p>
      <w:pPr>
        <w:pStyle w:val="Normal"/>
        <w:ind w:left="567" w:right="567" w:firstLine="0"/>
        <w:jc w:val="both"/>
        <w:rPr>
          <w:rFonts w:ascii="Book Antiqua" w:cs="Book Antiqua" w:hAnsi="Book Antiqua" w:eastAsia="Book Antiqua"/>
          <w:sz w:val="20"/>
          <w:szCs w:val="20"/>
        </w:rPr>
      </w:pPr>
      <w:r>
        <w:rPr>
          <w:rFonts w:ascii="Book Antiqua"/>
          <w:sz w:val="20"/>
          <w:szCs w:val="20"/>
          <w:rtl w:val="0"/>
          <w:lang w:val="it-IT"/>
        </w:rPr>
        <w:t>4.1 I rifiuti conferiti al centro di raccolta, a seguito dell</w:t>
      </w:r>
      <w:r>
        <w:rPr>
          <w:rFonts w:hAnsi="Book Antiqua" w:hint="default"/>
          <w:sz w:val="20"/>
          <w:szCs w:val="20"/>
          <w:rtl w:val="0"/>
          <w:lang w:val="it-IT"/>
        </w:rPr>
        <w:t>’</w:t>
      </w:r>
      <w:r>
        <w:rPr>
          <w:rFonts w:ascii="Book Antiqua"/>
          <w:sz w:val="20"/>
          <w:szCs w:val="20"/>
          <w:rtl w:val="0"/>
          <w:lang w:val="it-IT"/>
        </w:rPr>
        <w:t>esame visivo effettuato dall</w:t>
      </w:r>
      <w:r>
        <w:rPr>
          <w:rFonts w:hAnsi="Book Antiqua" w:hint="default"/>
          <w:sz w:val="20"/>
          <w:szCs w:val="20"/>
          <w:rtl w:val="0"/>
          <w:lang w:val="it-IT"/>
        </w:rPr>
        <w:t>’</w:t>
      </w:r>
      <w:r>
        <w:rPr>
          <w:rFonts w:ascii="Book Antiqua"/>
          <w:sz w:val="20"/>
          <w:szCs w:val="20"/>
          <w:rtl w:val="0"/>
          <w:lang w:val="it-IT"/>
        </w:rPr>
        <w:t>addetto, devono essere collocati in aree distinte del centro per flussi omogenei, attraverso l</w:t>
      </w:r>
      <w:r>
        <w:rPr>
          <w:rFonts w:hAnsi="Book Antiqua" w:hint="default"/>
          <w:sz w:val="20"/>
          <w:szCs w:val="20"/>
          <w:rtl w:val="0"/>
          <w:lang w:val="it-IT"/>
        </w:rPr>
        <w:t>’</w:t>
      </w:r>
      <w:r>
        <w:rPr>
          <w:rFonts w:ascii="Book Antiqua"/>
          <w:sz w:val="20"/>
          <w:szCs w:val="20"/>
          <w:rtl w:val="0"/>
          <w:lang w:val="it-IT"/>
        </w:rPr>
        <w:t>individuazione delle loro caratteristiche e delle diverse tipologie e frazioni merceologiche, separando i rifiuti potenzialmente pericolosi da quelli non pericolosi e quelli da avviare a recupero da quelli destinati allo smaltimento.</w:t>
      </w:r>
    </w:p>
    <w:p>
      <w:pPr>
        <w:pStyle w:val="Normal"/>
        <w:ind w:left="567" w:right="567" w:firstLine="0"/>
        <w:jc w:val="both"/>
        <w:rPr>
          <w:rFonts w:ascii="Book Antiqua" w:cs="Book Antiqua" w:hAnsi="Book Antiqua" w:eastAsia="Book Antiqua"/>
          <w:sz w:val="20"/>
          <w:szCs w:val="20"/>
        </w:rPr>
      </w:pPr>
      <w:r>
        <w:rPr>
          <w:rFonts w:ascii="Book Antiqua"/>
          <w:sz w:val="20"/>
          <w:szCs w:val="20"/>
          <w:rtl w:val="0"/>
          <w:lang w:val="it-IT"/>
        </w:rPr>
        <w:t>4.2 Potranno essere conferite le seguenti tipologie di rifiuti:</w:t>
      </w:r>
    </w:p>
    <w:p>
      <w:pPr>
        <w:pStyle w:val="Normal"/>
        <w:ind w:left="567" w:right="567" w:firstLine="0"/>
        <w:jc w:val="both"/>
        <w:rPr>
          <w:rFonts w:ascii="Book Antiqua" w:cs="Book Antiqua" w:hAnsi="Book Antiqua" w:eastAsia="Book Antiqua"/>
          <w:sz w:val="20"/>
          <w:szCs w:val="20"/>
        </w:rPr>
      </w:pPr>
      <w:r>
        <w:rPr>
          <w:rFonts w:ascii="Book Antiqua"/>
          <w:sz w:val="20"/>
          <w:szCs w:val="20"/>
          <w:rtl w:val="0"/>
          <w:lang w:val="it-IT"/>
        </w:rPr>
        <w:t>1. imballaggi in carta e cartone (codice CER 15 01 01)</w:t>
      </w:r>
    </w:p>
    <w:p>
      <w:pPr>
        <w:pStyle w:val="Normal"/>
        <w:ind w:left="567" w:right="567" w:firstLine="0"/>
        <w:jc w:val="both"/>
        <w:rPr>
          <w:rFonts w:ascii="Book Antiqua" w:cs="Book Antiqua" w:hAnsi="Book Antiqua" w:eastAsia="Book Antiqua"/>
          <w:sz w:val="20"/>
          <w:szCs w:val="20"/>
        </w:rPr>
      </w:pPr>
      <w:r>
        <w:rPr>
          <w:rFonts w:ascii="Book Antiqua"/>
          <w:sz w:val="20"/>
          <w:szCs w:val="20"/>
          <w:rtl w:val="0"/>
          <w:lang w:val="it-IT"/>
        </w:rPr>
        <w:t>2. imballaggi in plastica (codice CER 15 01 02)</w:t>
      </w:r>
    </w:p>
    <w:p>
      <w:pPr>
        <w:pStyle w:val="Normal"/>
        <w:ind w:left="567" w:right="567" w:firstLine="0"/>
        <w:jc w:val="both"/>
        <w:rPr>
          <w:rFonts w:ascii="Book Antiqua" w:cs="Book Antiqua" w:hAnsi="Book Antiqua" w:eastAsia="Book Antiqua"/>
          <w:sz w:val="20"/>
          <w:szCs w:val="20"/>
        </w:rPr>
      </w:pPr>
      <w:r>
        <w:rPr>
          <w:rFonts w:ascii="Book Antiqua"/>
          <w:sz w:val="20"/>
          <w:szCs w:val="20"/>
          <w:rtl w:val="0"/>
          <w:lang w:val="it-IT"/>
        </w:rPr>
        <w:t>3. imballaggi in legno (codice CER 15 01 03)</w:t>
      </w:r>
    </w:p>
    <w:p>
      <w:pPr>
        <w:pStyle w:val="Normal"/>
        <w:ind w:left="567" w:right="567" w:firstLine="0"/>
        <w:jc w:val="both"/>
        <w:rPr>
          <w:rFonts w:ascii="Book Antiqua" w:cs="Book Antiqua" w:hAnsi="Book Antiqua" w:eastAsia="Book Antiqua"/>
          <w:sz w:val="20"/>
          <w:szCs w:val="20"/>
        </w:rPr>
      </w:pPr>
      <w:r>
        <w:rPr>
          <w:rFonts w:ascii="Book Antiqua"/>
          <w:sz w:val="20"/>
          <w:szCs w:val="20"/>
          <w:rtl w:val="0"/>
          <w:lang w:val="it-IT"/>
        </w:rPr>
        <w:t>4. imballaggi in metallo (codice CER 15 01 04)</w:t>
      </w:r>
    </w:p>
    <w:p>
      <w:pPr>
        <w:pStyle w:val="Normal"/>
        <w:ind w:left="567" w:right="567" w:firstLine="0"/>
        <w:jc w:val="both"/>
        <w:rPr>
          <w:rFonts w:ascii="Book Antiqua" w:cs="Book Antiqua" w:hAnsi="Book Antiqua" w:eastAsia="Book Antiqua"/>
          <w:sz w:val="20"/>
          <w:szCs w:val="20"/>
        </w:rPr>
      </w:pPr>
      <w:r>
        <w:rPr>
          <w:rFonts w:ascii="Book Antiqua"/>
          <w:sz w:val="20"/>
          <w:szCs w:val="20"/>
          <w:rtl w:val="0"/>
          <w:lang w:val="it-IT"/>
        </w:rPr>
        <w:t>5. imballaggi in materiali misti (CER 15 01 06)</w:t>
      </w:r>
    </w:p>
    <w:p>
      <w:pPr>
        <w:pStyle w:val="Normal"/>
        <w:ind w:left="567" w:right="567" w:firstLine="0"/>
        <w:jc w:val="both"/>
        <w:rPr>
          <w:rFonts w:ascii="Book Antiqua" w:cs="Book Antiqua" w:hAnsi="Book Antiqua" w:eastAsia="Book Antiqua"/>
          <w:sz w:val="20"/>
          <w:szCs w:val="20"/>
        </w:rPr>
      </w:pPr>
      <w:r>
        <w:rPr>
          <w:rFonts w:ascii="Book Antiqua"/>
          <w:sz w:val="20"/>
          <w:szCs w:val="20"/>
          <w:rtl w:val="0"/>
          <w:lang w:val="it-IT"/>
        </w:rPr>
        <w:t>6. imballaggi in vetro (codice CER 15 01 07)</w:t>
      </w:r>
    </w:p>
    <w:p>
      <w:pPr>
        <w:pStyle w:val="Normal"/>
        <w:ind w:left="567" w:right="567" w:firstLine="0"/>
        <w:jc w:val="both"/>
        <w:rPr>
          <w:rFonts w:ascii="Book Antiqua" w:cs="Book Antiqua" w:hAnsi="Book Antiqua" w:eastAsia="Book Antiqua"/>
          <w:sz w:val="20"/>
          <w:szCs w:val="20"/>
        </w:rPr>
      </w:pPr>
      <w:r>
        <w:rPr>
          <w:rFonts w:ascii="Book Antiqua"/>
          <w:sz w:val="20"/>
          <w:szCs w:val="20"/>
          <w:rtl w:val="0"/>
          <w:lang w:val="it-IT"/>
        </w:rPr>
        <w:t>7. contenitori T/FC (codice CER 15 01 10* e 15 01 11*)</w:t>
      </w:r>
    </w:p>
    <w:p>
      <w:pPr>
        <w:pStyle w:val="Normal"/>
        <w:ind w:left="567" w:right="567" w:firstLine="0"/>
        <w:jc w:val="both"/>
        <w:rPr>
          <w:rFonts w:ascii="Book Antiqua" w:cs="Book Antiqua" w:hAnsi="Book Antiqua" w:eastAsia="Book Antiqua"/>
          <w:sz w:val="20"/>
          <w:szCs w:val="20"/>
        </w:rPr>
      </w:pPr>
      <w:r>
        <w:rPr>
          <w:rFonts w:ascii="Book Antiqua"/>
          <w:sz w:val="20"/>
          <w:szCs w:val="20"/>
          <w:rtl w:val="0"/>
          <w:lang w:val="it-IT"/>
        </w:rPr>
        <w:t>8. rifiuti di carta e cartone (codice CER 20 01 01)</w:t>
      </w:r>
    </w:p>
    <w:p>
      <w:pPr>
        <w:pStyle w:val="Normal"/>
        <w:ind w:left="567" w:right="567" w:firstLine="0"/>
        <w:jc w:val="both"/>
        <w:rPr>
          <w:rFonts w:ascii="Book Antiqua" w:cs="Book Antiqua" w:hAnsi="Book Antiqua" w:eastAsia="Book Antiqua"/>
          <w:sz w:val="20"/>
          <w:szCs w:val="20"/>
        </w:rPr>
      </w:pPr>
      <w:r>
        <w:rPr>
          <w:rFonts w:ascii="Book Antiqua"/>
          <w:sz w:val="20"/>
          <w:szCs w:val="20"/>
          <w:rtl w:val="0"/>
          <w:lang w:val="it-IT"/>
        </w:rPr>
        <w:t>9. rifiuti in vetro (codice CER 20 01 02)</w:t>
      </w:r>
    </w:p>
    <w:p>
      <w:pPr>
        <w:pStyle w:val="Normal"/>
        <w:ind w:left="567" w:right="567" w:firstLine="0"/>
        <w:jc w:val="both"/>
        <w:rPr>
          <w:rFonts w:ascii="Book Antiqua" w:cs="Book Antiqua" w:hAnsi="Book Antiqua" w:eastAsia="Book Antiqua"/>
          <w:sz w:val="20"/>
          <w:szCs w:val="20"/>
        </w:rPr>
      </w:pPr>
      <w:r>
        <w:rPr>
          <w:rFonts w:ascii="Book Antiqua"/>
          <w:sz w:val="20"/>
          <w:szCs w:val="20"/>
          <w:rtl w:val="0"/>
          <w:lang w:val="it-IT"/>
        </w:rPr>
        <w:t>10. frazione organica umida (codice CER 20 01 08 e 20 03 02)</w:t>
      </w:r>
    </w:p>
    <w:p>
      <w:pPr>
        <w:pStyle w:val="Normal"/>
        <w:ind w:left="567" w:right="567" w:firstLine="0"/>
        <w:jc w:val="both"/>
        <w:rPr>
          <w:rFonts w:ascii="Book Antiqua" w:cs="Book Antiqua" w:hAnsi="Book Antiqua" w:eastAsia="Book Antiqua"/>
          <w:sz w:val="20"/>
          <w:szCs w:val="20"/>
        </w:rPr>
      </w:pPr>
      <w:r>
        <w:rPr>
          <w:rFonts w:ascii="Book Antiqua"/>
          <w:sz w:val="20"/>
          <w:szCs w:val="20"/>
          <w:rtl w:val="0"/>
          <w:lang w:val="it-IT"/>
        </w:rPr>
        <w:t>11. abiti e prodotti tessili (codice CER 20 01 10 e 20 01 11)</w:t>
      </w:r>
    </w:p>
    <w:p>
      <w:pPr>
        <w:pStyle w:val="Normal"/>
        <w:ind w:left="567" w:right="567" w:firstLine="0"/>
        <w:jc w:val="both"/>
        <w:rPr>
          <w:rFonts w:ascii="Book Antiqua" w:cs="Book Antiqua" w:hAnsi="Book Antiqua" w:eastAsia="Book Antiqua"/>
          <w:sz w:val="20"/>
          <w:szCs w:val="20"/>
        </w:rPr>
      </w:pPr>
      <w:r>
        <w:rPr>
          <w:rFonts w:ascii="Book Antiqua"/>
          <w:sz w:val="20"/>
          <w:szCs w:val="20"/>
          <w:rtl w:val="0"/>
          <w:lang w:val="it-IT"/>
        </w:rPr>
        <w:t>12. solventi (codice CER 20 01 13*)</w:t>
      </w:r>
    </w:p>
    <w:p>
      <w:pPr>
        <w:pStyle w:val="Normal"/>
        <w:ind w:left="567" w:right="567" w:firstLine="0"/>
        <w:jc w:val="both"/>
        <w:rPr>
          <w:rFonts w:ascii="Book Antiqua" w:cs="Book Antiqua" w:hAnsi="Book Antiqua" w:eastAsia="Book Antiqua"/>
          <w:sz w:val="20"/>
          <w:szCs w:val="20"/>
        </w:rPr>
      </w:pPr>
      <w:r>
        <w:rPr>
          <w:rFonts w:ascii="Book Antiqua"/>
          <w:sz w:val="20"/>
          <w:szCs w:val="20"/>
          <w:rtl w:val="0"/>
          <w:lang w:val="it-IT"/>
        </w:rPr>
        <w:t>13. acidi (codice CER 20 01 14*)</w:t>
      </w:r>
    </w:p>
    <w:p>
      <w:pPr>
        <w:pStyle w:val="Normal"/>
        <w:ind w:left="567" w:right="567" w:firstLine="0"/>
        <w:jc w:val="both"/>
        <w:rPr>
          <w:rFonts w:ascii="Book Antiqua" w:cs="Book Antiqua" w:hAnsi="Book Antiqua" w:eastAsia="Book Antiqua"/>
          <w:sz w:val="20"/>
          <w:szCs w:val="20"/>
        </w:rPr>
      </w:pPr>
      <w:r>
        <w:rPr>
          <w:rFonts w:ascii="Book Antiqua"/>
          <w:sz w:val="20"/>
          <w:szCs w:val="20"/>
          <w:rtl w:val="0"/>
          <w:lang w:val="it-IT"/>
        </w:rPr>
        <w:t>14. sostanze alcaline (codice CER 20 01 15*)</w:t>
      </w:r>
    </w:p>
    <w:p>
      <w:pPr>
        <w:pStyle w:val="Normal"/>
        <w:ind w:left="567" w:right="567" w:firstLine="0"/>
        <w:jc w:val="both"/>
        <w:rPr>
          <w:rFonts w:ascii="Book Antiqua" w:cs="Book Antiqua" w:hAnsi="Book Antiqua" w:eastAsia="Book Antiqua"/>
          <w:sz w:val="20"/>
          <w:szCs w:val="20"/>
        </w:rPr>
      </w:pPr>
      <w:r>
        <w:rPr>
          <w:rFonts w:ascii="Book Antiqua"/>
          <w:sz w:val="20"/>
          <w:szCs w:val="20"/>
          <w:rtl w:val="0"/>
          <w:lang w:val="it-IT"/>
        </w:rPr>
        <w:t>15. prodotti fotochimici (20 01 17*)</w:t>
      </w:r>
    </w:p>
    <w:p>
      <w:pPr>
        <w:pStyle w:val="Normal"/>
        <w:ind w:left="567" w:right="567" w:firstLine="0"/>
        <w:jc w:val="both"/>
        <w:rPr>
          <w:rFonts w:ascii="Book Antiqua" w:cs="Book Antiqua" w:hAnsi="Book Antiqua" w:eastAsia="Book Antiqua"/>
          <w:sz w:val="20"/>
          <w:szCs w:val="20"/>
        </w:rPr>
      </w:pPr>
      <w:r>
        <w:rPr>
          <w:rFonts w:ascii="Book Antiqua"/>
          <w:sz w:val="20"/>
          <w:szCs w:val="20"/>
          <w:rtl w:val="0"/>
          <w:lang w:val="it-IT"/>
        </w:rPr>
        <w:t>16. pesticidi (CER 20 01 19*)</w:t>
      </w:r>
    </w:p>
    <w:p>
      <w:pPr>
        <w:pStyle w:val="Normal"/>
        <w:ind w:left="567" w:right="567" w:firstLine="0"/>
        <w:jc w:val="both"/>
        <w:rPr>
          <w:rFonts w:ascii="Book Antiqua" w:cs="Book Antiqua" w:hAnsi="Book Antiqua" w:eastAsia="Book Antiqua"/>
          <w:sz w:val="20"/>
          <w:szCs w:val="20"/>
        </w:rPr>
      </w:pPr>
      <w:r>
        <w:rPr>
          <w:rFonts w:ascii="Book Antiqua"/>
          <w:sz w:val="20"/>
          <w:szCs w:val="20"/>
          <w:rtl w:val="0"/>
          <w:lang w:val="it-IT"/>
        </w:rPr>
        <w:t>17. tubi fluorescenti ed altri rifiuti contenenti mercurio (codice CER 20 01 21)</w:t>
      </w:r>
    </w:p>
    <w:p>
      <w:pPr>
        <w:pStyle w:val="Normal"/>
        <w:ind w:left="567" w:right="567" w:firstLine="0"/>
        <w:jc w:val="both"/>
        <w:rPr>
          <w:rFonts w:ascii="Book Antiqua" w:cs="Book Antiqua" w:hAnsi="Book Antiqua" w:eastAsia="Book Antiqua"/>
          <w:sz w:val="20"/>
          <w:szCs w:val="20"/>
        </w:rPr>
      </w:pPr>
      <w:r>
        <w:rPr>
          <w:rFonts w:ascii="Book Antiqua"/>
          <w:sz w:val="20"/>
          <w:szCs w:val="20"/>
          <w:rtl w:val="0"/>
          <w:lang w:val="it-IT"/>
        </w:rPr>
        <w:t>18. rifiuti di apparecchiature elettriche ed elettroniche (codice CER 20 01 23*, 20 01 35* e</w:t>
      </w:r>
    </w:p>
    <w:p>
      <w:pPr>
        <w:pStyle w:val="Normal"/>
        <w:ind w:left="567" w:right="567" w:firstLine="0"/>
        <w:jc w:val="both"/>
        <w:rPr>
          <w:rFonts w:ascii="Book Antiqua" w:cs="Book Antiqua" w:hAnsi="Book Antiqua" w:eastAsia="Book Antiqua"/>
          <w:sz w:val="20"/>
          <w:szCs w:val="20"/>
        </w:rPr>
      </w:pPr>
      <w:r>
        <w:rPr>
          <w:rFonts w:ascii="Book Antiqua"/>
          <w:sz w:val="20"/>
          <w:szCs w:val="20"/>
          <w:rtl w:val="0"/>
          <w:lang w:val="it-IT"/>
        </w:rPr>
        <w:t>20 01 36)</w:t>
      </w:r>
    </w:p>
    <w:p>
      <w:pPr>
        <w:pStyle w:val="Normal"/>
        <w:ind w:left="567" w:right="567" w:firstLine="0"/>
        <w:jc w:val="both"/>
        <w:rPr>
          <w:rFonts w:ascii="Book Antiqua" w:cs="Book Antiqua" w:hAnsi="Book Antiqua" w:eastAsia="Book Antiqua"/>
          <w:sz w:val="20"/>
          <w:szCs w:val="20"/>
        </w:rPr>
      </w:pPr>
      <w:r>
        <w:rPr>
          <w:rFonts w:ascii="Book Antiqua"/>
          <w:sz w:val="20"/>
          <w:szCs w:val="20"/>
          <w:rtl w:val="0"/>
          <w:lang w:val="it-IT"/>
        </w:rPr>
        <w:t>19. oli e grassi commestibili (codice CER 20 01 25)</w:t>
      </w:r>
    </w:p>
    <w:p>
      <w:pPr>
        <w:pStyle w:val="Normal"/>
        <w:ind w:left="567" w:right="567" w:firstLine="0"/>
        <w:jc w:val="both"/>
        <w:rPr>
          <w:rFonts w:ascii="Book Antiqua" w:cs="Book Antiqua" w:hAnsi="Book Antiqua" w:eastAsia="Book Antiqua"/>
          <w:sz w:val="20"/>
          <w:szCs w:val="20"/>
        </w:rPr>
      </w:pPr>
      <w:r>
        <w:rPr>
          <w:rFonts w:ascii="Book Antiqua"/>
          <w:sz w:val="20"/>
          <w:szCs w:val="20"/>
          <w:rtl w:val="0"/>
          <w:lang w:val="it-IT"/>
        </w:rPr>
        <w:t>20. oli e grassi diversi da quelli al punto precedente, ad esempio oli minerali esausti (codice</w:t>
      </w:r>
    </w:p>
    <w:p>
      <w:pPr>
        <w:pStyle w:val="Normal"/>
        <w:ind w:left="567" w:right="567" w:firstLine="0"/>
        <w:jc w:val="both"/>
        <w:rPr>
          <w:rFonts w:ascii="Book Antiqua" w:cs="Book Antiqua" w:hAnsi="Book Antiqua" w:eastAsia="Book Antiqua"/>
          <w:sz w:val="20"/>
          <w:szCs w:val="20"/>
        </w:rPr>
      </w:pPr>
      <w:r>
        <w:rPr>
          <w:rFonts w:ascii="Book Antiqua"/>
          <w:sz w:val="20"/>
          <w:szCs w:val="20"/>
          <w:rtl w:val="0"/>
          <w:lang w:val="it-IT"/>
        </w:rPr>
        <w:t>CER 20 01 26*)</w:t>
      </w:r>
    </w:p>
    <w:p>
      <w:pPr>
        <w:pStyle w:val="Normal"/>
        <w:ind w:left="567" w:right="567" w:firstLine="0"/>
        <w:jc w:val="both"/>
        <w:rPr>
          <w:rFonts w:ascii="Book Antiqua" w:cs="Book Antiqua" w:hAnsi="Book Antiqua" w:eastAsia="Book Antiqua"/>
          <w:sz w:val="20"/>
          <w:szCs w:val="20"/>
        </w:rPr>
      </w:pPr>
      <w:r>
        <w:rPr>
          <w:rFonts w:ascii="Book Antiqua"/>
          <w:sz w:val="20"/>
          <w:szCs w:val="20"/>
          <w:rtl w:val="0"/>
          <w:lang w:val="it-IT"/>
        </w:rPr>
        <w:t>21. vernici, inchiostri, adesivi e resine (codice CER 20 01 27* e 20 01 28)</w:t>
      </w:r>
    </w:p>
    <w:p>
      <w:pPr>
        <w:pStyle w:val="Normal"/>
        <w:ind w:left="567" w:right="567" w:firstLine="0"/>
        <w:jc w:val="both"/>
        <w:rPr>
          <w:rFonts w:ascii="Book Antiqua" w:cs="Book Antiqua" w:hAnsi="Book Antiqua" w:eastAsia="Book Antiqua"/>
          <w:sz w:val="20"/>
          <w:szCs w:val="20"/>
        </w:rPr>
      </w:pPr>
      <w:r>
        <w:rPr>
          <w:rFonts w:ascii="Book Antiqua"/>
          <w:sz w:val="20"/>
          <w:szCs w:val="20"/>
          <w:rtl w:val="0"/>
          <w:lang w:val="it-IT"/>
        </w:rPr>
        <w:t>22. detergenti contenenti sostanze pericolose (codice CER 20 01 29*)</w:t>
      </w:r>
    </w:p>
    <w:p>
      <w:pPr>
        <w:pStyle w:val="Normal"/>
        <w:ind w:left="567" w:right="567" w:firstLine="0"/>
        <w:jc w:val="both"/>
        <w:rPr>
          <w:rFonts w:ascii="Book Antiqua" w:cs="Book Antiqua" w:hAnsi="Book Antiqua" w:eastAsia="Book Antiqua"/>
          <w:sz w:val="20"/>
          <w:szCs w:val="20"/>
        </w:rPr>
      </w:pPr>
      <w:r>
        <w:rPr>
          <w:rFonts w:ascii="Book Antiqua"/>
          <w:sz w:val="20"/>
          <w:szCs w:val="20"/>
          <w:rtl w:val="0"/>
          <w:lang w:val="it-IT"/>
        </w:rPr>
        <w:t>23. detergenti diversi da quelli al punto precedente (codice CER 20 01 30)</w:t>
      </w:r>
    </w:p>
    <w:p>
      <w:pPr>
        <w:pStyle w:val="Normal"/>
        <w:ind w:left="567" w:right="567" w:firstLine="0"/>
        <w:jc w:val="both"/>
        <w:rPr>
          <w:rFonts w:ascii="Book Antiqua" w:cs="Book Antiqua" w:hAnsi="Book Antiqua" w:eastAsia="Book Antiqua"/>
          <w:sz w:val="20"/>
          <w:szCs w:val="20"/>
        </w:rPr>
      </w:pPr>
      <w:r>
        <w:rPr>
          <w:rFonts w:ascii="Book Antiqua"/>
          <w:sz w:val="20"/>
          <w:szCs w:val="20"/>
          <w:rtl w:val="0"/>
          <w:lang w:val="it-IT"/>
        </w:rPr>
        <w:t>24. farmaci (codice CER 20 01 31* e 20 01 32)</w:t>
      </w:r>
    </w:p>
    <w:p>
      <w:pPr>
        <w:pStyle w:val="Normal"/>
        <w:ind w:left="567" w:right="567" w:firstLine="0"/>
        <w:jc w:val="both"/>
        <w:rPr>
          <w:rFonts w:ascii="Book Antiqua" w:cs="Book Antiqua" w:hAnsi="Book Antiqua" w:eastAsia="Book Antiqua"/>
          <w:sz w:val="20"/>
          <w:szCs w:val="20"/>
        </w:rPr>
      </w:pPr>
      <w:r>
        <w:rPr>
          <w:rFonts w:ascii="Book Antiqua"/>
          <w:sz w:val="20"/>
          <w:szCs w:val="20"/>
          <w:rtl w:val="0"/>
          <w:lang w:val="it-IT"/>
        </w:rPr>
        <w:t xml:space="preserve">25. batterie e accumulatori </w:t>
      </w:r>
      <w:r>
        <w:rPr>
          <w:rFonts w:ascii="Book Antiqua"/>
          <w:i w:val="1"/>
          <w:iCs w:val="1"/>
          <w:sz w:val="20"/>
          <w:szCs w:val="20"/>
          <w:rtl w:val="0"/>
          <w:lang w:val="it-IT"/>
        </w:rPr>
        <w:t>di cui alle voci 16061*, 16062*, 16063* (provenienti da utenze domestiche (codice cer 200133*</w:t>
      </w:r>
      <w:r>
        <w:rPr>
          <w:rFonts w:ascii="Book Antiqua"/>
          <w:sz w:val="20"/>
          <w:szCs w:val="20"/>
          <w:rtl w:val="0"/>
          <w:lang w:val="it-IT"/>
        </w:rPr>
        <w:t xml:space="preserve">) </w:t>
      </w:r>
    </w:p>
    <w:p>
      <w:pPr>
        <w:pStyle w:val="Normal"/>
        <w:ind w:left="567" w:right="567" w:firstLine="0"/>
        <w:jc w:val="both"/>
        <w:rPr>
          <w:rFonts w:ascii="Book Antiqua" w:cs="Book Antiqua" w:hAnsi="Book Antiqua" w:eastAsia="Book Antiqua"/>
          <w:sz w:val="20"/>
          <w:szCs w:val="20"/>
        </w:rPr>
      </w:pPr>
      <w:r>
        <w:rPr>
          <w:rFonts w:ascii="Book Antiqua"/>
          <w:sz w:val="20"/>
          <w:szCs w:val="20"/>
          <w:rtl w:val="0"/>
          <w:lang w:val="it-IT"/>
        </w:rPr>
        <w:t>26. rifiuti legnosi (codice CER 20 01 37* e 20 01 38)</w:t>
      </w:r>
    </w:p>
    <w:p>
      <w:pPr>
        <w:pStyle w:val="Normal"/>
        <w:ind w:left="567" w:right="567" w:firstLine="0"/>
        <w:jc w:val="both"/>
        <w:rPr>
          <w:rFonts w:ascii="Book Antiqua" w:cs="Book Antiqua" w:hAnsi="Book Antiqua" w:eastAsia="Book Antiqua"/>
          <w:sz w:val="20"/>
          <w:szCs w:val="20"/>
        </w:rPr>
      </w:pPr>
      <w:r>
        <w:rPr>
          <w:rFonts w:ascii="Book Antiqua"/>
          <w:sz w:val="20"/>
          <w:szCs w:val="20"/>
          <w:rtl w:val="0"/>
          <w:lang w:val="it-IT"/>
        </w:rPr>
        <w:t>27. rifiuti plastici (codice CER 20 01 39)</w:t>
      </w:r>
    </w:p>
    <w:p>
      <w:pPr>
        <w:pStyle w:val="Normal"/>
        <w:ind w:left="567" w:right="567" w:firstLine="0"/>
        <w:jc w:val="both"/>
        <w:rPr>
          <w:rFonts w:ascii="Book Antiqua" w:cs="Book Antiqua" w:hAnsi="Book Antiqua" w:eastAsia="Book Antiqua"/>
          <w:sz w:val="20"/>
          <w:szCs w:val="20"/>
        </w:rPr>
      </w:pPr>
      <w:r>
        <w:rPr>
          <w:rFonts w:ascii="Book Antiqua"/>
          <w:sz w:val="20"/>
          <w:szCs w:val="20"/>
          <w:rtl w:val="0"/>
          <w:lang w:val="it-IT"/>
        </w:rPr>
        <w:t>28. rifiuti metallici (codice CER 20 01 40)</w:t>
      </w:r>
    </w:p>
    <w:p>
      <w:pPr>
        <w:pStyle w:val="Normal"/>
        <w:ind w:left="567" w:right="567" w:firstLine="0"/>
        <w:jc w:val="both"/>
        <w:rPr>
          <w:rFonts w:ascii="Book Antiqua" w:cs="Book Antiqua" w:hAnsi="Book Antiqua" w:eastAsia="Book Antiqua"/>
          <w:sz w:val="20"/>
          <w:szCs w:val="20"/>
        </w:rPr>
      </w:pPr>
      <w:r>
        <w:rPr>
          <w:rFonts w:ascii="Book Antiqua"/>
          <w:sz w:val="20"/>
          <w:szCs w:val="20"/>
          <w:rtl w:val="0"/>
          <w:lang w:val="it-IT"/>
        </w:rPr>
        <w:t>29. sfalci e potature (codice CER 20 02 01)</w:t>
      </w:r>
    </w:p>
    <w:p>
      <w:pPr>
        <w:pStyle w:val="Normal"/>
        <w:ind w:left="567" w:right="567" w:firstLine="0"/>
        <w:jc w:val="both"/>
        <w:rPr>
          <w:rFonts w:ascii="Book Antiqua" w:cs="Book Antiqua" w:hAnsi="Book Antiqua" w:eastAsia="Book Antiqua"/>
          <w:sz w:val="20"/>
          <w:szCs w:val="20"/>
        </w:rPr>
      </w:pPr>
      <w:r>
        <w:rPr>
          <w:rFonts w:ascii="Book Antiqua"/>
          <w:sz w:val="20"/>
          <w:szCs w:val="20"/>
          <w:rtl w:val="0"/>
          <w:lang w:val="it-IT"/>
        </w:rPr>
        <w:t>30. ingombranti (codice CER 20 03 07)</w:t>
      </w:r>
    </w:p>
    <w:p>
      <w:pPr>
        <w:pStyle w:val="Normal"/>
        <w:ind w:left="567" w:right="567" w:firstLine="0"/>
        <w:jc w:val="both"/>
        <w:rPr>
          <w:rFonts w:ascii="Book Antiqua" w:cs="Book Antiqua" w:hAnsi="Book Antiqua" w:eastAsia="Book Antiqua"/>
          <w:sz w:val="20"/>
          <w:szCs w:val="20"/>
        </w:rPr>
      </w:pPr>
      <w:r>
        <w:rPr>
          <w:rFonts w:ascii="Book Antiqua"/>
          <w:sz w:val="20"/>
          <w:szCs w:val="20"/>
          <w:rtl w:val="0"/>
          <w:lang w:val="it-IT"/>
        </w:rPr>
        <w:t>31. cartucce toner esaurite (20 03 99)</w:t>
      </w:r>
    </w:p>
    <w:p>
      <w:pPr>
        <w:pStyle w:val="Normal"/>
        <w:ind w:left="567" w:right="567" w:firstLine="0"/>
        <w:jc w:val="both"/>
        <w:rPr>
          <w:rFonts w:ascii="Book Antiqua" w:cs="Book Antiqua" w:hAnsi="Book Antiqua" w:eastAsia="Book Antiqua"/>
          <w:sz w:val="20"/>
          <w:szCs w:val="20"/>
        </w:rPr>
      </w:pPr>
      <w:r>
        <w:rPr>
          <w:rFonts w:ascii="Book Antiqua"/>
          <w:sz w:val="20"/>
          <w:szCs w:val="20"/>
          <w:rtl w:val="0"/>
          <w:lang w:val="it-IT"/>
        </w:rPr>
        <w:t>32. rifiuti assimilati ai rifiuti urbani sulla base dei regolamenti comunali, fermo restando il</w:t>
      </w:r>
    </w:p>
    <w:p>
      <w:pPr>
        <w:pStyle w:val="Normal"/>
        <w:ind w:left="567" w:right="567" w:firstLine="0"/>
        <w:jc w:val="both"/>
        <w:rPr>
          <w:rFonts w:ascii="Book Antiqua" w:cs="Book Antiqua" w:hAnsi="Book Antiqua" w:eastAsia="Book Antiqua"/>
          <w:sz w:val="20"/>
          <w:szCs w:val="20"/>
        </w:rPr>
      </w:pPr>
      <w:r>
        <w:rPr>
          <w:rFonts w:ascii="Book Antiqua"/>
          <w:sz w:val="20"/>
          <w:szCs w:val="20"/>
          <w:rtl w:val="0"/>
          <w:lang w:val="it-IT"/>
        </w:rPr>
        <w:t>disposto di cui all</w:t>
      </w:r>
      <w:r>
        <w:rPr>
          <w:rFonts w:hAnsi="Book Antiqua" w:hint="default"/>
          <w:sz w:val="20"/>
          <w:szCs w:val="20"/>
          <w:rtl w:val="0"/>
          <w:lang w:val="it-IT"/>
        </w:rPr>
        <w:t>’</w:t>
      </w:r>
      <w:r>
        <w:rPr>
          <w:rFonts w:ascii="Book Antiqua"/>
          <w:sz w:val="20"/>
          <w:szCs w:val="20"/>
          <w:rtl w:val="0"/>
          <w:lang w:val="it-IT"/>
        </w:rPr>
        <w:t>articolo 195, comma 2, lettera e), del decreto legislativo 3 aprile 2006,</w:t>
      </w:r>
    </w:p>
    <w:p>
      <w:pPr>
        <w:pStyle w:val="Normal"/>
        <w:ind w:left="567" w:right="567" w:firstLine="0"/>
        <w:jc w:val="both"/>
        <w:rPr>
          <w:rFonts w:ascii="Book Antiqua" w:cs="Book Antiqua" w:hAnsi="Book Antiqua" w:eastAsia="Book Antiqua"/>
          <w:sz w:val="20"/>
          <w:szCs w:val="20"/>
        </w:rPr>
      </w:pPr>
      <w:r>
        <w:rPr>
          <w:rFonts w:ascii="Book Antiqua"/>
          <w:sz w:val="20"/>
          <w:szCs w:val="20"/>
          <w:rtl w:val="0"/>
          <w:lang w:val="it-IT"/>
        </w:rPr>
        <w:t>n. 152, e successive modifiche.</w:t>
      </w:r>
    </w:p>
    <w:p>
      <w:pPr>
        <w:pStyle w:val="Normal"/>
        <w:ind w:left="567" w:right="567" w:firstLine="0"/>
        <w:jc w:val="both"/>
        <w:rPr>
          <w:rFonts w:ascii="Book Antiqua" w:cs="Book Antiqua" w:hAnsi="Book Antiqua" w:eastAsia="Book Antiqua"/>
          <w:sz w:val="20"/>
          <w:szCs w:val="20"/>
        </w:rPr>
      </w:pPr>
      <w:r>
        <w:rPr>
          <w:rFonts w:ascii="Book Antiqua"/>
          <w:sz w:val="20"/>
          <w:szCs w:val="20"/>
          <w:rtl w:val="0"/>
          <w:lang w:val="it-IT"/>
        </w:rPr>
        <w:t>A questo elenco il D. M. 13 maggio 2009 ha aggiunto le seguenti tipologie di rifiuti:</w:t>
      </w:r>
    </w:p>
    <w:p>
      <w:pPr>
        <w:pStyle w:val="HTML Preformatted"/>
        <w:ind w:left="567" w:right="567" w:firstLine="0"/>
        <w:jc w:val="both"/>
        <w:rPr>
          <w:rFonts w:ascii="Book Antiqua" w:cs="Book Antiqua" w:hAnsi="Book Antiqua" w:eastAsia="Book Antiqua"/>
        </w:rPr>
      </w:pPr>
      <w:r>
        <w:rPr>
          <w:rFonts w:ascii="Book Antiqua"/>
          <w:rtl w:val="0"/>
          <w:lang w:val="it-IT"/>
        </w:rPr>
        <w:t>toner per stampa esauriti diversi da quelli di cui alla voce 08 03 17* (provenienti da utenze domestiche) (codice CER 08 03 18)</w:t>
      </w:r>
    </w:p>
    <w:p>
      <w:pPr>
        <w:pStyle w:val="HTML Preformatted"/>
        <w:ind w:left="567" w:right="567" w:firstLine="0"/>
        <w:jc w:val="both"/>
        <w:rPr>
          <w:rFonts w:ascii="Book Antiqua" w:cs="Book Antiqua" w:hAnsi="Book Antiqua" w:eastAsia="Book Antiqua"/>
        </w:rPr>
      </w:pPr>
      <w:r>
        <w:rPr>
          <w:rFonts w:ascii="Book Antiqua"/>
          <w:rtl w:val="0"/>
          <w:lang w:val="it-IT"/>
        </w:rPr>
        <w:t>imballaggi in materiali compositi (codice CER 15 01 05)</w:t>
      </w:r>
    </w:p>
    <w:p>
      <w:pPr>
        <w:pStyle w:val="HTML Preformatted"/>
        <w:ind w:left="567" w:right="567" w:firstLine="0"/>
        <w:jc w:val="both"/>
        <w:rPr>
          <w:rFonts w:ascii="Book Antiqua" w:cs="Book Antiqua" w:hAnsi="Book Antiqua" w:eastAsia="Book Antiqua"/>
        </w:rPr>
      </w:pPr>
      <w:r>
        <w:rPr>
          <w:rFonts w:ascii="Book Antiqua"/>
          <w:rtl w:val="0"/>
          <w:lang w:val="it-IT"/>
        </w:rPr>
        <w:t>imballaggi in materia tessile (codice CER 15 01 09)</w:t>
      </w:r>
    </w:p>
    <w:p>
      <w:pPr>
        <w:pStyle w:val="HTML Preformatted"/>
        <w:ind w:left="567" w:right="567" w:firstLine="0"/>
        <w:jc w:val="both"/>
        <w:rPr>
          <w:rFonts w:ascii="Book Antiqua" w:cs="Book Antiqua" w:hAnsi="Book Antiqua" w:eastAsia="Book Antiqua"/>
        </w:rPr>
      </w:pPr>
      <w:r>
        <w:rPr>
          <w:rFonts w:ascii="Book Antiqua"/>
          <w:rtl w:val="0"/>
          <w:lang w:val="it-IT"/>
        </w:rPr>
        <w:t>pneumatici fuori uso (solo se  conferiti da utenze domestiche) (codice CER 16.01.03)</w:t>
      </w:r>
    </w:p>
    <w:p>
      <w:pPr>
        <w:pStyle w:val="HTML Preformatted"/>
        <w:ind w:left="567" w:right="567" w:firstLine="0"/>
        <w:jc w:val="both"/>
        <w:rPr>
          <w:rFonts w:ascii="Book Antiqua" w:cs="Book Antiqua" w:hAnsi="Book Antiqua" w:eastAsia="Book Antiqua"/>
        </w:rPr>
      </w:pPr>
      <w:r>
        <w:rPr>
          <w:rFonts w:ascii="Book Antiqua"/>
          <w:rtl w:val="0"/>
          <w:lang w:val="it-IT"/>
        </w:rPr>
        <w:t>filtri olio (codice CER 16 01 07*)</w:t>
      </w:r>
    </w:p>
    <w:p>
      <w:pPr>
        <w:pStyle w:val="HTML Preformatted"/>
        <w:ind w:left="567" w:right="567" w:firstLine="0"/>
        <w:jc w:val="both"/>
        <w:rPr>
          <w:rFonts w:ascii="Book Antiqua" w:cs="Book Antiqua" w:hAnsi="Book Antiqua" w:eastAsia="Book Antiqua"/>
        </w:rPr>
      </w:pPr>
      <w:r>
        <w:rPr>
          <w:rFonts w:ascii="Book Antiqua"/>
          <w:rtl w:val="0"/>
          <w:lang w:val="it-IT"/>
        </w:rPr>
        <w:t>componenti rimossi da apparecchiature fuori uso diversi da quelli di cui alla voce 16 02 15* (limitatamente ai toner e cartucce di stampa provenienti da utenze domestiche) (codice CER 16 02 16)</w:t>
      </w:r>
    </w:p>
    <w:p>
      <w:pPr>
        <w:pStyle w:val="HTML Preformatted"/>
        <w:ind w:left="567" w:right="567" w:firstLine="0"/>
        <w:jc w:val="both"/>
        <w:rPr>
          <w:rFonts w:ascii="Book Antiqua" w:cs="Book Antiqua" w:hAnsi="Book Antiqua" w:eastAsia="Book Antiqua"/>
        </w:rPr>
      </w:pPr>
      <w:r>
        <w:rPr>
          <w:rFonts w:ascii="Book Antiqua"/>
          <w:rtl w:val="0"/>
          <w:lang w:val="it-IT"/>
        </w:rPr>
        <w:t>gas in contenitori a pressione  limitatamente ad estintori ed aerosol ad uso domestico (codice CER 16 05 04* codice CER 16 05 05)</w:t>
      </w:r>
    </w:p>
    <w:p>
      <w:pPr>
        <w:pStyle w:val="HTML Preformatted"/>
        <w:ind w:left="567" w:right="567" w:firstLine="0"/>
        <w:jc w:val="both"/>
        <w:rPr>
          <w:rFonts w:ascii="Book Antiqua" w:cs="Book Antiqua" w:hAnsi="Book Antiqua" w:eastAsia="Book Antiqua"/>
        </w:rPr>
      </w:pPr>
      <w:r>
        <w:rPr>
          <w:rFonts w:ascii="Book Antiqua"/>
          <w:rtl w:val="0"/>
          <w:lang w:val="it-IT"/>
        </w:rPr>
        <w:t>miscugli o scorie di cemento,    mttoni, mattonelle, ceramiche,  diverse da quelle di cui alla voce 17 01 06* (solo da piccoli  interventi di rimozione eseguiti direttamente dal conduttore della civile abitazione)  (codice CER 17 01 07)</w:t>
      </w:r>
    </w:p>
    <w:p>
      <w:pPr>
        <w:pStyle w:val="HTML Preformatted"/>
        <w:ind w:left="567" w:right="567" w:firstLine="0"/>
        <w:jc w:val="both"/>
        <w:rPr>
          <w:rFonts w:ascii="Book Antiqua" w:cs="Book Antiqua" w:hAnsi="Book Antiqua" w:eastAsia="Book Antiqua"/>
        </w:rPr>
      </w:pPr>
      <w:r>
        <w:rPr>
          <w:rFonts w:ascii="Book Antiqua"/>
          <w:rtl w:val="0"/>
          <w:lang w:val="it-IT"/>
        </w:rPr>
        <w:t>rifiuti misti dell'attivita' di   costruzione e demolizione, diversi da quelli di cui alle voci 17 09 01*, 17 09 02* e  17 09 03*(solo da piccoli interventi di rimozione eseguiti direttamente dal conduttore della civile abitazione) (codice CER 17 09 04)</w:t>
      </w:r>
    </w:p>
    <w:p>
      <w:pPr>
        <w:pStyle w:val="HTML Preformatted"/>
        <w:ind w:left="567" w:right="567" w:firstLine="0"/>
        <w:jc w:val="both"/>
        <w:rPr>
          <w:rFonts w:ascii="Book Antiqua" w:cs="Book Antiqua" w:hAnsi="Book Antiqua" w:eastAsia="Book Antiqua"/>
        </w:rPr>
      </w:pPr>
      <w:r>
        <w:rPr>
          <w:rFonts w:ascii="Book Antiqua"/>
          <w:rtl w:val="0"/>
          <w:lang w:val="it-IT"/>
        </w:rPr>
        <w:t>batterie ed accumulatori diversi  da quelli di cui alla voce 20 01 33*  (codice CER 20 01 34)</w:t>
      </w:r>
    </w:p>
    <w:p>
      <w:pPr>
        <w:pStyle w:val="HTML Preformatted"/>
        <w:ind w:left="567" w:right="567" w:firstLine="0"/>
        <w:jc w:val="both"/>
        <w:rPr>
          <w:rFonts w:ascii="Book Antiqua" w:cs="Book Antiqua" w:hAnsi="Book Antiqua" w:eastAsia="Book Antiqua"/>
        </w:rPr>
      </w:pPr>
      <w:r>
        <w:rPr>
          <w:rFonts w:ascii="Book Antiqua"/>
          <w:rtl w:val="0"/>
          <w:lang w:val="it-IT"/>
        </w:rPr>
        <w:t>rifiuti prodotti dalla pulizia di camini (solo se provenienti da utenze domestiche) (codice CER 20 01 41)</w:t>
      </w:r>
    </w:p>
    <w:p>
      <w:pPr>
        <w:pStyle w:val="HTML Preformatted"/>
        <w:ind w:left="567" w:right="567" w:firstLine="0"/>
        <w:jc w:val="both"/>
        <w:rPr>
          <w:rFonts w:ascii="Book Antiqua" w:cs="Book Antiqua" w:hAnsi="Book Antiqua" w:eastAsia="Book Antiqua"/>
        </w:rPr>
      </w:pPr>
      <w:r>
        <w:rPr>
          <w:rFonts w:ascii="Book Antiqua"/>
          <w:rtl w:val="0"/>
          <w:lang w:val="it-IT"/>
        </w:rPr>
        <w:t>terra e roccia (codice CER 20 02 02)</w:t>
      </w:r>
    </w:p>
    <w:p>
      <w:pPr>
        <w:pStyle w:val="footnote text"/>
        <w:ind w:left="567" w:right="567" w:firstLine="0"/>
        <w:jc w:val="both"/>
      </w:pPr>
      <w:r>
        <w:rPr>
          <w:rFonts w:ascii="Book Antiqua"/>
          <w:sz w:val="20"/>
          <w:szCs w:val="20"/>
          <w:rtl w:val="0"/>
          <w:lang w:val="it-IT"/>
        </w:rPr>
        <w:t>altri rifiuti non biodegradabili (codice CER 20 02 03).</w:t>
      </w:r>
    </w:p>
  </w:footnote>
  <w:footnote w:id="273">
    <w:p>
      <w:pPr>
        <w:pStyle w:val="footnote text"/>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Non sembra, infatti, possa trattarsi di inosservanza delle prescrizioni dell</w:t>
      </w:r>
      <w:r>
        <w:rPr>
          <w:rFonts w:hAnsi="Book Antiqua" w:hint="default"/>
          <w:sz w:val="20"/>
          <w:szCs w:val="20"/>
          <w:rtl w:val="0"/>
          <w:lang w:val="it-IT"/>
        </w:rPr>
        <w:t>’</w:t>
      </w:r>
      <w:r>
        <w:rPr>
          <w:rFonts w:ascii="Book Antiqua"/>
          <w:sz w:val="20"/>
          <w:szCs w:val="20"/>
          <w:rtl w:val="0"/>
          <w:lang w:val="it-IT"/>
        </w:rPr>
        <w:t xml:space="preserve">autorizzazione, visto che non </w:t>
      </w:r>
      <w:r>
        <w:rPr>
          <w:rFonts w:hAnsi="Book Antiqua" w:hint="default"/>
          <w:sz w:val="20"/>
          <w:szCs w:val="20"/>
          <w:rtl w:val="0"/>
          <w:lang w:val="it-IT"/>
        </w:rPr>
        <w:t xml:space="preserve">è </w:t>
      </w:r>
      <w:r>
        <w:rPr>
          <w:rFonts w:ascii="Book Antiqua"/>
          <w:sz w:val="20"/>
          <w:szCs w:val="20"/>
          <w:rtl w:val="0"/>
          <w:lang w:val="it-IT"/>
        </w:rPr>
        <w:t>prevista autorizzazione.</w:t>
      </w:r>
    </w:p>
  </w:footnote>
  <w:footnote w:id="274">
    <w:p>
      <w:pPr>
        <w:pStyle w:val="Normal (Web)"/>
        <w:spacing w:before="0" w:after="0"/>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Cfr. per tutte Cass. pen, sez. 3, 15 dicembre 2010, n. 11650, Cimicchi, secondo cui</w:t>
      </w:r>
      <w:r>
        <w:rPr>
          <w:rFonts w:ascii="Book Antiqua Bold"/>
          <w:b w:val="1"/>
          <w:bCs w:val="1"/>
          <w:sz w:val="20"/>
          <w:szCs w:val="20"/>
          <w:rtl w:val="0"/>
          <w:lang w:val="it-IT"/>
        </w:rPr>
        <w:t xml:space="preserve"> </w:t>
      </w:r>
      <w:r>
        <w:rPr>
          <w:rFonts w:hAnsi="Book Antiqua Bold" w:hint="default"/>
          <w:b w:val="1"/>
          <w:bCs w:val="1"/>
          <w:sz w:val="20"/>
          <w:szCs w:val="20"/>
          <w:rtl w:val="0"/>
          <w:lang w:val="it-IT"/>
        </w:rPr>
        <w:t>“</w:t>
      </w:r>
      <w:r>
        <w:rPr>
          <w:rFonts w:ascii="Book Antiqua"/>
          <w:sz w:val="20"/>
          <w:szCs w:val="20"/>
          <w:rtl w:val="0"/>
          <w:lang w:val="it-IT"/>
        </w:rPr>
        <w:t xml:space="preserve">il centro di raccolta </w:t>
      </w:r>
      <w:r>
        <w:rPr>
          <w:rFonts w:hAnsi="Book Antiqua" w:hint="default"/>
          <w:sz w:val="20"/>
          <w:szCs w:val="20"/>
          <w:rtl w:val="0"/>
          <w:lang w:val="it-IT"/>
        </w:rPr>
        <w:t xml:space="preserve">è </w:t>
      </w:r>
      <w:r>
        <w:rPr>
          <w:rFonts w:ascii="Book Antiqua"/>
          <w:sz w:val="20"/>
          <w:szCs w:val="20"/>
          <w:rtl w:val="0"/>
          <w:lang w:val="it-IT"/>
        </w:rPr>
        <w:t>assoggettato al regime pi</w:t>
      </w:r>
      <w:r>
        <w:rPr>
          <w:rFonts w:hAnsi="Book Antiqua" w:hint="default"/>
          <w:sz w:val="20"/>
          <w:szCs w:val="20"/>
          <w:rtl w:val="0"/>
          <w:lang w:val="it-IT"/>
        </w:rPr>
        <w:t xml:space="preserve">ù </w:t>
      </w:r>
      <w:r>
        <w:rPr>
          <w:rFonts w:ascii="Book Antiqua"/>
          <w:sz w:val="20"/>
          <w:szCs w:val="20"/>
          <w:rtl w:val="0"/>
          <w:lang w:val="it-IT"/>
        </w:rPr>
        <w:t>favorevole ex articolo 2, comma 2, del codice penale, previsto dall</w:t>
      </w:r>
      <w:r>
        <w:rPr>
          <w:rFonts w:hAnsi="Book Antiqua" w:hint="default"/>
          <w:sz w:val="20"/>
          <w:szCs w:val="20"/>
          <w:rtl w:val="0"/>
          <w:lang w:val="it-IT"/>
        </w:rPr>
        <w:t>’</w:t>
      </w:r>
      <w:r>
        <w:rPr>
          <w:rFonts w:ascii="Book Antiqua"/>
          <w:sz w:val="20"/>
          <w:szCs w:val="20"/>
          <w:rtl w:val="0"/>
          <w:lang w:val="it-IT"/>
        </w:rPr>
        <w:t xml:space="preserve">articolo 183, comma 1, lett. cc del decreto legislativo n. 152 del 2006, come integrato dal successivo D. M. 8 aprile 2008 </w:t>
      </w:r>
      <w:r>
        <w:rPr>
          <w:rFonts w:hAnsi="Book Antiqua" w:hint="default"/>
          <w:sz w:val="20"/>
          <w:szCs w:val="20"/>
          <w:rtl w:val="0"/>
          <w:lang w:val="it-IT"/>
        </w:rPr>
        <w:t xml:space="preserve">… </w:t>
      </w:r>
      <w:r>
        <w:rPr>
          <w:rFonts w:ascii="Book Antiqua"/>
          <w:sz w:val="20"/>
          <w:szCs w:val="20"/>
          <w:rtl w:val="0"/>
          <w:lang w:val="it-IT"/>
        </w:rPr>
        <w:t>I centri di raccolta si riferiscono ad attivit</w:t>
      </w:r>
      <w:r>
        <w:rPr>
          <w:rFonts w:hAnsi="Book Antiqua" w:hint="default"/>
          <w:sz w:val="20"/>
          <w:szCs w:val="20"/>
          <w:rtl w:val="0"/>
          <w:lang w:val="it-IT"/>
        </w:rPr>
        <w:t xml:space="preserve">à </w:t>
      </w:r>
      <w:r>
        <w:rPr>
          <w:rFonts w:ascii="Book Antiqua"/>
          <w:sz w:val="20"/>
          <w:szCs w:val="20"/>
          <w:rtl w:val="0"/>
          <w:lang w:val="it-IT"/>
        </w:rPr>
        <w:t>di raggruppamento di rifiuti urbani omogenei mentre, nel caso in esame, la eterogeneit</w:t>
      </w:r>
      <w:r>
        <w:rPr>
          <w:rFonts w:hAnsi="Book Antiqua" w:hint="default"/>
          <w:sz w:val="20"/>
          <w:szCs w:val="20"/>
          <w:rtl w:val="0"/>
          <w:lang w:val="it-IT"/>
        </w:rPr>
        <w:t xml:space="preserve">à </w:t>
      </w:r>
      <w:r>
        <w:rPr>
          <w:rFonts w:ascii="Book Antiqua"/>
          <w:sz w:val="20"/>
          <w:szCs w:val="20"/>
          <w:rtl w:val="0"/>
          <w:lang w:val="it-IT"/>
        </w:rPr>
        <w:t>dei rifiuti esclude che possano definirsi gli stessi omogenei e soprattutto di origine unicamente urbana (vi erano anche batterie esauste provenienti da parchimetri, che sono rifiuti speciali pericolosi). Da qui la rilevanza penale della condotta esattamente inquadrata nell</w:t>
      </w:r>
      <w:r>
        <w:rPr>
          <w:rFonts w:hAnsi="Book Antiqua" w:hint="default"/>
          <w:sz w:val="20"/>
          <w:szCs w:val="20"/>
          <w:rtl w:val="0"/>
          <w:lang w:val="it-IT"/>
        </w:rPr>
        <w:t>’</w:t>
      </w:r>
      <w:r>
        <w:rPr>
          <w:rFonts w:ascii="Book Antiqua"/>
          <w:sz w:val="20"/>
          <w:szCs w:val="20"/>
          <w:rtl w:val="0"/>
          <w:lang w:val="it-IT"/>
        </w:rPr>
        <w:t>alveo della norma incriminatrice vigente all</w:t>
      </w:r>
      <w:r>
        <w:rPr>
          <w:rFonts w:hAnsi="Book Antiqua" w:hint="default"/>
          <w:sz w:val="20"/>
          <w:szCs w:val="20"/>
          <w:rtl w:val="0"/>
          <w:lang w:val="it-IT"/>
        </w:rPr>
        <w:t>’</w:t>
      </w:r>
      <w:r>
        <w:rPr>
          <w:rFonts w:ascii="Book Antiqua"/>
          <w:sz w:val="20"/>
          <w:szCs w:val="20"/>
          <w:rtl w:val="0"/>
          <w:lang w:val="it-IT"/>
        </w:rPr>
        <w:t>epoca del fatto (articolo 51 D. Lgs 22/97 rispetto al quale l</w:t>
      </w:r>
      <w:r>
        <w:rPr>
          <w:rFonts w:hAnsi="Book Antiqua" w:hint="default"/>
          <w:sz w:val="20"/>
          <w:szCs w:val="20"/>
          <w:rtl w:val="0"/>
          <w:lang w:val="it-IT"/>
        </w:rPr>
        <w:t>’</w:t>
      </w:r>
      <w:r>
        <w:rPr>
          <w:rFonts w:ascii="Book Antiqua"/>
          <w:sz w:val="20"/>
          <w:szCs w:val="20"/>
          <w:rtl w:val="0"/>
          <w:lang w:val="it-IT"/>
        </w:rPr>
        <w:t>articolo 256 del decreto legislativo n. 152 del 2006 si pone in termini di continuit</w:t>
      </w:r>
      <w:r>
        <w:rPr>
          <w:rFonts w:hAnsi="Book Antiqua" w:hint="default"/>
          <w:sz w:val="20"/>
          <w:szCs w:val="20"/>
          <w:rtl w:val="0"/>
          <w:lang w:val="it-IT"/>
        </w:rPr>
        <w:t xml:space="preserve">à </w:t>
      </w:r>
      <w:r>
        <w:rPr>
          <w:rFonts w:ascii="Book Antiqua"/>
          <w:sz w:val="20"/>
          <w:szCs w:val="20"/>
          <w:rtl w:val="0"/>
          <w:lang w:val="it-IT"/>
        </w:rPr>
        <w:t>normativa senza alcun effetto abrogativo o derogatorio.</w:t>
      </w:r>
      <w:r>
        <w:rPr>
          <w:rFonts w:hAnsi="Book Antiqua" w:hint="default"/>
          <w:sz w:val="20"/>
          <w:szCs w:val="20"/>
          <w:rtl w:val="0"/>
          <w:lang w:val="it-IT"/>
        </w:rPr>
        <w:t>”</w:t>
      </w:r>
    </w:p>
  </w:footnote>
  <w:footnote w:id="275">
    <w:p>
      <w:pPr>
        <w:pStyle w:val="Normal (Web)"/>
        <w:spacing w:before="0" w:after="0"/>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Cass. pen, sez. 3, 11 mar. 2009, n. 19882, Carboni</w:t>
      </w:r>
      <w:r>
        <w:rPr>
          <w:rFonts w:ascii="Book Antiqua" w:cs="Book Antiqua" w:hAnsi="Book Antiqua" w:eastAsia="Book Antiqua"/>
          <w:sz w:val="20"/>
          <w:szCs w:val="20"/>
        </w:rPr>
      </w:r>
    </w:p>
  </w:footnote>
  <w:footnote w:id="276">
    <w:p>
      <w:pPr>
        <w:pStyle w:val="footnote text"/>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Doc. n. 1997/2</w:t>
      </w:r>
    </w:p>
  </w:footnote>
  <w:footnote w:id="277">
    <w:p>
      <w:pPr>
        <w:pStyle w:val="footnote text"/>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Nel Doc. n. 2124/1, </w:t>
      </w:r>
      <w:r>
        <w:rPr>
          <w:rFonts w:hAnsi="Book Antiqua" w:hint="default"/>
          <w:sz w:val="20"/>
          <w:szCs w:val="20"/>
          <w:rtl w:val="0"/>
          <w:lang w:val="it-IT"/>
        </w:rPr>
        <w:t xml:space="preserve">è </w:t>
      </w:r>
      <w:r>
        <w:rPr>
          <w:rFonts w:ascii="Book Antiqua"/>
          <w:sz w:val="20"/>
          <w:szCs w:val="20"/>
          <w:rtl w:val="0"/>
          <w:lang w:val="it-IT"/>
        </w:rPr>
        <w:t xml:space="preserve">riportata la compiuta identificazione di tutti i soggetti di seguito citati </w:t>
      </w:r>
    </w:p>
  </w:footnote>
  <w:footnote w:id="278">
    <w:p>
      <w:pPr>
        <w:pStyle w:val="Normal"/>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Per completezza, si segnala che Salvatore Guglielmino, procuratore speciale di Ecoservizi per l</w:t>
      </w:r>
      <w:r>
        <w:rPr>
          <w:rFonts w:hAnsi="Book Antiqua" w:hint="default"/>
          <w:sz w:val="20"/>
          <w:szCs w:val="20"/>
          <w:rtl w:val="0"/>
          <w:lang w:val="it-IT"/>
        </w:rPr>
        <w:t>’</w:t>
      </w:r>
      <w:r>
        <w:rPr>
          <w:rFonts w:ascii="Book Antiqua"/>
          <w:sz w:val="20"/>
          <w:szCs w:val="20"/>
          <w:rtl w:val="0"/>
          <w:lang w:val="it-IT"/>
        </w:rPr>
        <w:t>ambiente srl. audito, in presenza del suo difensore, nel corso della missione del 30 maggio, Salvatore Guglielmino, procuratore speciale di Ecoservizi per l</w:t>
      </w:r>
      <w:r>
        <w:rPr>
          <w:rFonts w:hAnsi="Book Antiqua" w:hint="default"/>
          <w:sz w:val="20"/>
          <w:szCs w:val="20"/>
          <w:rtl w:val="0"/>
          <w:lang w:val="it-IT"/>
        </w:rPr>
        <w:t>’</w:t>
      </w:r>
      <w:r>
        <w:rPr>
          <w:rFonts w:ascii="Book Antiqua"/>
          <w:sz w:val="20"/>
          <w:szCs w:val="20"/>
          <w:rtl w:val="0"/>
          <w:lang w:val="it-IT"/>
        </w:rPr>
        <w:t>ambiente srl., ha invece affermato che l</w:t>
      </w:r>
      <w:r>
        <w:rPr>
          <w:rFonts w:hAnsi="Book Antiqua" w:hint="default"/>
          <w:sz w:val="20"/>
          <w:szCs w:val="20"/>
          <w:rtl w:val="0"/>
          <w:lang w:val="it-IT"/>
        </w:rPr>
        <w:t>’</w:t>
      </w:r>
      <w:r>
        <w:rPr>
          <w:rFonts w:ascii="Book Antiqua"/>
          <w:sz w:val="20"/>
          <w:szCs w:val="20"/>
          <w:rtl w:val="0"/>
          <w:lang w:val="it-IT"/>
        </w:rPr>
        <w:t xml:space="preserve">azienda aveva una </w:t>
      </w:r>
      <w:r>
        <w:rPr>
          <w:rFonts w:hAnsi="Book Antiqua" w:hint="default"/>
          <w:sz w:val="20"/>
          <w:szCs w:val="20"/>
          <w:rtl w:val="0"/>
          <w:lang w:val="it-IT"/>
        </w:rPr>
        <w:t>“</w:t>
      </w:r>
      <w:r>
        <w:rPr>
          <w:rFonts w:ascii="Book Antiqua"/>
          <w:sz w:val="20"/>
          <w:szCs w:val="20"/>
          <w:rtl w:val="0"/>
          <w:lang w:val="it-IT"/>
        </w:rPr>
        <w:t>vasca antincendio con gruppo elettrogeno nuovo, che i Vigili del fuoco avrebbero potuto mettere un vuoto e sarebbe uscita l</w:t>
      </w:r>
      <w:r>
        <w:rPr>
          <w:rFonts w:hAnsi="Book Antiqua" w:hint="default"/>
          <w:sz w:val="20"/>
          <w:szCs w:val="20"/>
          <w:rtl w:val="0"/>
          <w:lang w:val="it-IT"/>
        </w:rPr>
        <w:t>’</w:t>
      </w:r>
      <w:r>
        <w:rPr>
          <w:rFonts w:ascii="Book Antiqua"/>
          <w:sz w:val="20"/>
          <w:szCs w:val="20"/>
          <w:rtl w:val="0"/>
          <w:lang w:val="it-IT"/>
        </w:rPr>
        <w:t>acqua dalle manichette</w:t>
      </w:r>
      <w:r>
        <w:rPr>
          <w:rFonts w:hAnsi="Book Antiqua" w:hint="default"/>
          <w:sz w:val="20"/>
          <w:szCs w:val="20"/>
          <w:rtl w:val="0"/>
          <w:lang w:val="it-IT"/>
        </w:rPr>
        <w:t>”</w:t>
      </w:r>
      <w:r>
        <w:rPr>
          <w:rFonts w:ascii="Book Antiqua"/>
          <w:sz w:val="20"/>
          <w:szCs w:val="20"/>
          <w:rtl w:val="0"/>
          <w:lang w:val="it-IT"/>
        </w:rPr>
        <w:t xml:space="preserve">. </w:t>
      </w:r>
      <w:r>
        <w:rPr>
          <w:rFonts w:ascii="Book Antiqua" w:cs="Book Antiqua" w:hAnsi="Book Antiqua" w:eastAsia="Book Antiqua"/>
          <w:sz w:val="20"/>
          <w:szCs w:val="20"/>
        </w:rPr>
      </w:r>
    </w:p>
  </w:footnote>
  <w:footnote w:id="279">
    <w:p>
      <w:pPr>
        <w:pStyle w:val="footnote text"/>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Acquisita dalla Commissione come Doc. n. 2030/1</w:t>
      </w:r>
    </w:p>
  </w:footnote>
  <w:footnote w:id="280">
    <w:p>
      <w:pPr>
        <w:pStyle w:val="footnote text"/>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Ha in tal senso interloquito con la Commissione il procuratore Nazionale Antimafia (Doc. n. 2285/1-2)</w:t>
      </w:r>
    </w:p>
  </w:footnote>
  <w:footnote w:id="281">
    <w:p>
      <w:pPr>
        <w:pStyle w:val="footnote text"/>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Doc. n. 2386/1-2; aggiunge il procuratore della Repubblica: </w:t>
      </w:r>
      <w:r>
        <w:rPr>
          <w:rFonts w:hAnsi="Book Antiqua" w:hint="default"/>
          <w:sz w:val="20"/>
          <w:szCs w:val="20"/>
          <w:rtl w:val="0"/>
          <w:lang w:val="it-IT"/>
        </w:rPr>
        <w:t>“</w:t>
      </w:r>
      <w:r>
        <w:rPr>
          <w:rFonts w:ascii="Book Antiqua"/>
          <w:sz w:val="20"/>
          <w:szCs w:val="20"/>
          <w:rtl w:val="0"/>
          <w:lang w:val="it-IT"/>
        </w:rPr>
        <w:t>pur non essendo emersi [</w:t>
      </w:r>
      <w:r>
        <w:rPr>
          <w:rFonts w:hAnsi="Book Antiqua" w:hint="default"/>
          <w:sz w:val="20"/>
          <w:szCs w:val="20"/>
          <w:rtl w:val="0"/>
          <w:lang w:val="it-IT"/>
        </w:rPr>
        <w:t>…</w:t>
      </w:r>
      <w:r>
        <w:rPr>
          <w:rFonts w:ascii="Book Antiqua"/>
          <w:sz w:val="20"/>
          <w:szCs w:val="20"/>
          <w:rtl w:val="0"/>
          <w:lang w:val="it-IT"/>
        </w:rPr>
        <w:t>] elementi a supporto di una matrice dolosa, le indagini hanno tuttavia messo in luce una coincidenza temporale che merita di essere qui riportata: l</w:t>
      </w:r>
      <w:r>
        <w:rPr>
          <w:rFonts w:hAnsi="Book Antiqua" w:hint="default"/>
          <w:sz w:val="20"/>
          <w:szCs w:val="20"/>
          <w:rtl w:val="0"/>
          <w:lang w:val="it-IT"/>
        </w:rPr>
        <w:t>’</w:t>
      </w:r>
      <w:r>
        <w:rPr>
          <w:rFonts w:ascii="Book Antiqua"/>
          <w:sz w:val="20"/>
          <w:szCs w:val="20"/>
          <w:rtl w:val="0"/>
          <w:lang w:val="it-IT"/>
        </w:rPr>
        <w:t xml:space="preserve">incendio </w:t>
      </w:r>
      <w:r>
        <w:rPr>
          <w:rFonts w:hAnsi="Book Antiqua" w:hint="default"/>
          <w:sz w:val="20"/>
          <w:szCs w:val="20"/>
          <w:rtl w:val="0"/>
          <w:lang w:val="it-IT"/>
        </w:rPr>
        <w:t xml:space="preserve">è </w:t>
      </w:r>
      <w:r>
        <w:rPr>
          <w:rFonts w:ascii="Book Antiqua"/>
          <w:sz w:val="20"/>
          <w:szCs w:val="20"/>
          <w:rtl w:val="0"/>
          <w:lang w:val="it-IT"/>
        </w:rPr>
        <w:t>avveuto quando era in fase avanzata una procedura esecutiva immobiliare che, su istanza dei creditori, aveva portato alla fissazione della vendita all</w:t>
      </w:r>
      <w:r>
        <w:rPr>
          <w:rFonts w:hAnsi="Book Antiqua" w:hint="default"/>
          <w:sz w:val="20"/>
          <w:szCs w:val="20"/>
          <w:rtl w:val="0"/>
          <w:lang w:val="it-IT"/>
        </w:rPr>
        <w:t>’</w:t>
      </w:r>
      <w:r>
        <w:rPr>
          <w:rFonts w:ascii="Book Antiqua"/>
          <w:sz w:val="20"/>
          <w:szCs w:val="20"/>
          <w:rtl w:val="0"/>
          <w:lang w:val="it-IT"/>
        </w:rPr>
        <w:t>asta dell</w:t>
      </w:r>
      <w:r>
        <w:rPr>
          <w:rFonts w:hAnsi="Book Antiqua" w:hint="default"/>
          <w:sz w:val="20"/>
          <w:szCs w:val="20"/>
          <w:rtl w:val="0"/>
          <w:lang w:val="it-IT"/>
        </w:rPr>
        <w:t>’</w:t>
      </w:r>
      <w:r>
        <w:rPr>
          <w:rFonts w:ascii="Book Antiqua"/>
          <w:sz w:val="20"/>
          <w:szCs w:val="20"/>
          <w:rtl w:val="0"/>
          <w:lang w:val="it-IT"/>
        </w:rPr>
        <w:t>area e dei realtivi immobili. La completa distruzione dell</w:t>
      </w:r>
      <w:r>
        <w:rPr>
          <w:rFonts w:hAnsi="Book Antiqua" w:hint="default"/>
          <w:sz w:val="20"/>
          <w:szCs w:val="20"/>
          <w:rtl w:val="0"/>
          <w:lang w:val="it-IT"/>
        </w:rPr>
        <w:t>’</w:t>
      </w:r>
      <w:r>
        <w:rPr>
          <w:rFonts w:ascii="Book Antiqua"/>
          <w:sz w:val="20"/>
          <w:szCs w:val="20"/>
          <w:rtl w:val="0"/>
          <w:lang w:val="it-IT"/>
        </w:rPr>
        <w:t>impianto ha naturalmente comportato la perdita di qualunque interesse da parte dei creditori, mentre le societ</w:t>
      </w:r>
      <w:r>
        <w:rPr>
          <w:rFonts w:hAnsi="Book Antiqua" w:hint="default"/>
          <w:sz w:val="20"/>
          <w:szCs w:val="20"/>
          <w:rtl w:val="0"/>
          <w:lang w:val="it-IT"/>
        </w:rPr>
        <w:t xml:space="preserve">à </w:t>
      </w:r>
      <w:r>
        <w:rPr>
          <w:rFonts w:ascii="Book Antiqua"/>
          <w:sz w:val="20"/>
          <w:szCs w:val="20"/>
          <w:rtl w:val="0"/>
          <w:lang w:val="it-IT"/>
        </w:rPr>
        <w:t>Eco Servizi per l</w:t>
      </w:r>
      <w:r>
        <w:rPr>
          <w:rFonts w:hAnsi="Book Antiqua" w:hint="default"/>
          <w:sz w:val="20"/>
          <w:szCs w:val="20"/>
          <w:rtl w:val="0"/>
          <w:lang w:val="it-IT"/>
        </w:rPr>
        <w:t>’</w:t>
      </w:r>
      <w:r>
        <w:rPr>
          <w:rFonts w:ascii="Book Antiqua"/>
          <w:sz w:val="20"/>
          <w:szCs w:val="20"/>
          <w:rtl w:val="0"/>
          <w:lang w:val="it-IT"/>
        </w:rPr>
        <w:t>Ambiente ed Eco X, pur avendo riportati danni ingenti, sono rimaste titolari della licenza, del terreno e dei mezzi di trasporto dei rifiuti, non interessati dall</w:t>
      </w:r>
      <w:r>
        <w:rPr>
          <w:rFonts w:hAnsi="Book Antiqua" w:hint="default"/>
          <w:sz w:val="20"/>
          <w:szCs w:val="20"/>
          <w:rtl w:val="0"/>
          <w:lang w:val="it-IT"/>
        </w:rPr>
        <w:t>’</w:t>
      </w:r>
      <w:r>
        <w:rPr>
          <w:rFonts w:ascii="Book Antiqua"/>
          <w:sz w:val="20"/>
          <w:szCs w:val="20"/>
          <w:rtl w:val="0"/>
          <w:lang w:val="it-IT"/>
        </w:rPr>
        <w:t>evento dannoso.</w:t>
      </w:r>
    </w:p>
  </w:footnote>
  <w:footnote w:id="282">
    <w:p>
      <w:pPr>
        <w:pStyle w:val="Normal"/>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E</w:t>
      </w:r>
      <w:r>
        <w:rPr>
          <w:rFonts w:hAnsi="Book Antiqua" w:hint="default"/>
          <w:sz w:val="20"/>
          <w:szCs w:val="20"/>
          <w:rtl w:val="0"/>
          <w:lang w:val="it-IT"/>
        </w:rPr>
        <w:t xml:space="preserve">’ </w:t>
      </w:r>
      <w:r>
        <w:rPr>
          <w:rFonts w:ascii="Book Antiqua"/>
          <w:sz w:val="20"/>
          <w:szCs w:val="20"/>
          <w:rtl w:val="0"/>
          <w:lang w:val="it-IT"/>
        </w:rPr>
        <w:t>significativo rilevare che, nel settembre 2015, l</w:t>
      </w:r>
      <w:r>
        <w:rPr>
          <w:rFonts w:hAnsi="Book Antiqua" w:hint="default"/>
          <w:sz w:val="20"/>
          <w:szCs w:val="20"/>
          <w:rtl w:val="0"/>
          <w:lang w:val="it-IT"/>
        </w:rPr>
        <w:t>’</w:t>
      </w:r>
      <w:r>
        <w:rPr>
          <w:rFonts w:ascii="Book Antiqua"/>
          <w:sz w:val="20"/>
          <w:szCs w:val="20"/>
          <w:rtl w:val="0"/>
          <w:lang w:val="it-IT"/>
        </w:rPr>
        <w:t>allora assessora all</w:t>
      </w:r>
      <w:r>
        <w:rPr>
          <w:rFonts w:hAnsi="Book Antiqua" w:hint="default"/>
          <w:sz w:val="20"/>
          <w:szCs w:val="20"/>
          <w:rtl w:val="0"/>
          <w:lang w:val="it-IT"/>
        </w:rPr>
        <w:t>’</w:t>
      </w:r>
      <w:r>
        <w:rPr>
          <w:rFonts w:ascii="Book Antiqua"/>
          <w:sz w:val="20"/>
          <w:szCs w:val="20"/>
          <w:rtl w:val="0"/>
          <w:lang w:val="it-IT"/>
        </w:rPr>
        <w:t xml:space="preserve">ambiente di Roma Capitale, Estella Marino, aveva segnalato il problema in una nota trasmessa alla Commissione a seguito della sua audizione (Doc. n. 714/1) nei seguenti termini: </w:t>
      </w:r>
      <w:r>
        <w:rPr>
          <w:rFonts w:hAnsi="Book Antiqua" w:hint="default"/>
          <w:sz w:val="20"/>
          <w:szCs w:val="20"/>
          <w:rtl w:val="0"/>
          <w:lang w:val="it-IT"/>
        </w:rPr>
        <w:t>“</w:t>
      </w:r>
      <w:r>
        <w:rPr>
          <w:rFonts w:ascii="Book Antiqua"/>
          <w:sz w:val="20"/>
          <w:szCs w:val="20"/>
          <w:rtl w:val="0"/>
          <w:lang w:val="it-IT"/>
        </w:rPr>
        <w:t xml:space="preserve">In primo luogo, va evidenziato che col tema di </w:t>
      </w:r>
      <w:r>
        <w:rPr>
          <w:rFonts w:hAnsi="Book Antiqua" w:hint="default"/>
          <w:sz w:val="20"/>
          <w:szCs w:val="20"/>
          <w:rtl w:val="0"/>
          <w:lang w:val="it-IT"/>
        </w:rPr>
        <w:t>‘</w:t>
      </w:r>
      <w:r>
        <w:rPr>
          <w:rFonts w:ascii="Book Antiqua"/>
          <w:sz w:val="20"/>
          <w:szCs w:val="20"/>
          <w:rtl w:val="0"/>
          <w:lang w:val="it-IT"/>
        </w:rPr>
        <w:t>Malagrotta</w:t>
      </w:r>
      <w:r>
        <w:rPr>
          <w:rFonts w:hAnsi="Book Antiqua" w:hint="default"/>
          <w:sz w:val="20"/>
          <w:szCs w:val="20"/>
          <w:rtl w:val="0"/>
          <w:lang w:val="it-IT"/>
        </w:rPr>
        <w:t xml:space="preserve">’ </w:t>
      </w:r>
      <w:r>
        <w:rPr>
          <w:rFonts w:ascii="Book Antiqua"/>
          <w:sz w:val="20"/>
          <w:szCs w:val="20"/>
          <w:rtl w:val="0"/>
          <w:lang w:val="it-IT"/>
        </w:rPr>
        <w:t>molto spesso si intende una serie di criticit</w:t>
      </w:r>
      <w:r>
        <w:rPr>
          <w:rFonts w:hAnsi="Book Antiqua" w:hint="default"/>
          <w:sz w:val="20"/>
          <w:szCs w:val="20"/>
          <w:rtl w:val="0"/>
          <w:lang w:val="it-IT"/>
        </w:rPr>
        <w:t xml:space="preserve">à </w:t>
      </w:r>
      <w:r>
        <w:rPr>
          <w:rFonts w:ascii="Book Antiqua"/>
          <w:sz w:val="20"/>
          <w:szCs w:val="20"/>
          <w:rtl w:val="0"/>
          <w:lang w:val="it-IT"/>
        </w:rPr>
        <w:t>ambientali che vanno ben al di l</w:t>
      </w:r>
      <w:r>
        <w:rPr>
          <w:rFonts w:hAnsi="Book Antiqua" w:hint="default"/>
          <w:sz w:val="20"/>
          <w:szCs w:val="20"/>
          <w:rtl w:val="0"/>
          <w:lang w:val="it-IT"/>
        </w:rPr>
        <w:t xml:space="preserve">à </w:t>
      </w:r>
      <w:r>
        <w:rPr>
          <w:rFonts w:ascii="Book Antiqua"/>
          <w:sz w:val="20"/>
          <w:szCs w:val="20"/>
          <w:rtl w:val="0"/>
          <w:lang w:val="it-IT"/>
        </w:rPr>
        <w:t>dei perimetri della ex-discarica, e che, pi</w:t>
      </w:r>
      <w:r>
        <w:rPr>
          <w:rFonts w:hAnsi="Book Antiqua" w:hint="default"/>
          <w:sz w:val="20"/>
          <w:szCs w:val="20"/>
          <w:rtl w:val="0"/>
          <w:lang w:val="it-IT"/>
        </w:rPr>
        <w:t xml:space="preserve">ù </w:t>
      </w:r>
      <w:r>
        <w:rPr>
          <w:rFonts w:ascii="Book Antiqua"/>
          <w:sz w:val="20"/>
          <w:szCs w:val="20"/>
          <w:rtl w:val="0"/>
          <w:lang w:val="it-IT"/>
        </w:rPr>
        <w:t>propriamente, riguardano un'area vasta della Valle Galeria sottoposta ad una pluralit</w:t>
      </w:r>
      <w:r>
        <w:rPr>
          <w:rFonts w:hAnsi="Book Antiqua" w:hint="default"/>
          <w:sz w:val="20"/>
          <w:szCs w:val="20"/>
          <w:rtl w:val="0"/>
          <w:lang w:val="it-IT"/>
        </w:rPr>
        <w:t xml:space="preserve">à </w:t>
      </w:r>
      <w:r>
        <w:rPr>
          <w:rFonts w:ascii="Book Antiqua"/>
          <w:sz w:val="20"/>
          <w:szCs w:val="20"/>
          <w:rtl w:val="0"/>
          <w:lang w:val="it-IT"/>
        </w:rPr>
        <w:t xml:space="preserve">di fattori di pressione ambientale (non solo quindi all'inquinamento della ex-discarica); una porzione di territorio che potrebbe avere i requisiti di un'area definibile come </w:t>
      </w:r>
      <w:r>
        <w:rPr>
          <w:rFonts w:hAnsi="Book Antiqua" w:hint="default"/>
          <w:sz w:val="20"/>
          <w:szCs w:val="20"/>
          <w:rtl w:val="0"/>
          <w:lang w:val="it-IT"/>
        </w:rPr>
        <w:t>‘</w:t>
      </w:r>
      <w:r>
        <w:rPr>
          <w:rFonts w:ascii="Book Antiqua"/>
          <w:sz w:val="20"/>
          <w:szCs w:val="20"/>
          <w:rtl w:val="0"/>
          <w:lang w:val="it-IT"/>
        </w:rPr>
        <w:t>area ad elevato rischio di crisi ambientale</w:t>
      </w:r>
      <w:r>
        <w:rPr>
          <w:rFonts w:hAnsi="Book Antiqua" w:hint="default"/>
          <w:sz w:val="20"/>
          <w:szCs w:val="20"/>
          <w:rtl w:val="0"/>
          <w:lang w:val="it-IT"/>
        </w:rPr>
        <w:t>’</w:t>
      </w:r>
      <w:r>
        <w:rPr>
          <w:rFonts w:ascii="Book Antiqua"/>
          <w:sz w:val="20"/>
          <w:szCs w:val="20"/>
          <w:rtl w:val="0"/>
          <w:lang w:val="it-IT"/>
        </w:rPr>
        <w:t>. Questo tema (le criticit</w:t>
      </w:r>
      <w:r>
        <w:rPr>
          <w:rFonts w:hAnsi="Book Antiqua" w:hint="default"/>
          <w:sz w:val="20"/>
          <w:szCs w:val="20"/>
          <w:rtl w:val="0"/>
          <w:lang w:val="it-IT"/>
        </w:rPr>
        <w:t xml:space="preserve">à </w:t>
      </w:r>
      <w:r>
        <w:rPr>
          <w:rFonts w:ascii="Book Antiqua"/>
          <w:sz w:val="20"/>
          <w:szCs w:val="20"/>
          <w:rtl w:val="0"/>
          <w:lang w:val="it-IT"/>
        </w:rPr>
        <w:t xml:space="preserve">della Valle Galeria, quale area vasta) </w:t>
      </w:r>
      <w:r>
        <w:rPr>
          <w:rFonts w:hAnsi="Book Antiqua" w:hint="default"/>
          <w:sz w:val="20"/>
          <w:szCs w:val="20"/>
          <w:rtl w:val="0"/>
          <w:lang w:val="it-IT"/>
        </w:rPr>
        <w:t xml:space="preserve">è </w:t>
      </w:r>
      <w:r>
        <w:rPr>
          <w:rFonts w:ascii="Book Antiqua"/>
          <w:sz w:val="20"/>
          <w:szCs w:val="20"/>
          <w:rtl w:val="0"/>
          <w:lang w:val="it-IT"/>
        </w:rPr>
        <w:t xml:space="preserve">di stretta competenza regionale (articolo 74 del D.Lgs 112/1998) ed </w:t>
      </w:r>
      <w:r>
        <w:rPr>
          <w:rFonts w:hAnsi="Book Antiqua" w:hint="default"/>
          <w:sz w:val="20"/>
          <w:szCs w:val="20"/>
          <w:rtl w:val="0"/>
          <w:lang w:val="it-IT"/>
        </w:rPr>
        <w:t xml:space="preserve">è </w:t>
      </w:r>
      <w:r>
        <w:rPr>
          <w:rFonts w:ascii="Book Antiqua"/>
          <w:sz w:val="20"/>
          <w:szCs w:val="20"/>
          <w:rtl w:val="0"/>
          <w:lang w:val="it-IT"/>
        </w:rPr>
        <w:t>rispetto ad esso che vertono due recenti sentenze del TAR Lazio (Sezione Prima Ter) n. 3779/2014 e n. 71/2015, sui ricorsi presentati da alcune associazioni ambientaliste contro la stessa regione Lazio per la realizzazione dello studio propedeutico alla dichiarazione di area ad elevato rischio di crisi ambientale</w:t>
      </w:r>
      <w:r>
        <w:rPr>
          <w:rFonts w:hAnsi="Book Antiqua" w:hint="default"/>
          <w:sz w:val="20"/>
          <w:szCs w:val="20"/>
          <w:rtl w:val="0"/>
          <w:lang w:val="it-IT"/>
        </w:rPr>
        <w:t>”</w:t>
      </w:r>
      <w:r>
        <w:rPr>
          <w:rFonts w:ascii="Book Antiqua"/>
          <w:sz w:val="20"/>
          <w:szCs w:val="20"/>
          <w:rtl w:val="0"/>
          <w:lang w:val="it-IT"/>
        </w:rPr>
        <w:t>.</w:t>
      </w:r>
    </w:p>
  </w:footnote>
  <w:footnote w:id="283">
    <w:p>
      <w:pPr>
        <w:pStyle w:val="Normal"/>
        <w:ind w:left="567" w:right="567" w:firstLine="0"/>
        <w:jc w:val="both"/>
      </w:pPr>
      <w:r>
        <w:rPr>
          <w:rFonts w:ascii="Book Antiqua" w:cs="Book Antiqua" w:hAnsi="Book Antiqua" w:eastAsia="Book Antiqua"/>
          <w:vertAlign w:val="superscript"/>
          <w:rtl w:val="0"/>
        </w:rPr>
        <w:footnoteRef/>
      </w:r>
      <w:r>
        <w:rPr>
          <w:rFonts w:ascii="Book Antiqua"/>
          <w:sz w:val="20"/>
          <w:szCs w:val="20"/>
          <w:vertAlign w:val="superscript"/>
          <w:rtl w:val="0"/>
          <w:lang w:val="it-IT"/>
        </w:rPr>
        <w:t xml:space="preserve"> </w:t>
      </w:r>
      <w:r>
        <w:rPr>
          <w:rFonts w:ascii="Book Antiqua"/>
          <w:color w:val="000000"/>
          <w:sz w:val="20"/>
          <w:szCs w:val="20"/>
          <w:u w:color="000000"/>
          <w:rtl w:val="0"/>
          <w:lang w:val="it-IT"/>
        </w:rPr>
        <w:t xml:space="preserve">Nella nota depositata in sede di audizione il presidente dell'ANAC  (Doc. 2294/1) precisa: </w:t>
      </w:r>
      <w:r>
        <w:rPr>
          <w:rFonts w:hAnsi="Book Antiqua" w:hint="default"/>
          <w:color w:val="000000"/>
          <w:sz w:val="20"/>
          <w:szCs w:val="20"/>
          <w:u w:color="000000"/>
          <w:rtl w:val="0"/>
          <w:lang w:val="it-IT"/>
        </w:rPr>
        <w:t>“</w:t>
      </w:r>
      <w:r>
        <w:rPr>
          <w:rFonts w:ascii="Book Antiqua"/>
          <w:color w:val="000000"/>
          <w:sz w:val="20"/>
          <w:szCs w:val="20"/>
          <w:u w:color="000000"/>
          <w:rtl w:val="0"/>
          <w:lang w:val="it-IT"/>
        </w:rPr>
        <w:t>L</w:t>
      </w:r>
      <w:r>
        <w:rPr>
          <w:rFonts w:hAnsi="Book Antiqua" w:hint="default"/>
          <w:color w:val="000000"/>
          <w:sz w:val="20"/>
          <w:szCs w:val="20"/>
          <w:u w:color="000000"/>
          <w:rtl w:val="0"/>
          <w:lang w:val="it-IT"/>
        </w:rPr>
        <w:t>’</w:t>
      </w:r>
      <w:r>
        <w:rPr>
          <w:rFonts w:ascii="Book Antiqua"/>
          <w:color w:val="000000"/>
          <w:sz w:val="20"/>
          <w:szCs w:val="20"/>
          <w:u w:color="000000"/>
          <w:rtl w:val="0"/>
          <w:lang w:val="it-IT"/>
        </w:rPr>
        <w:t>Autorit</w:t>
      </w:r>
      <w:r>
        <w:rPr>
          <w:rFonts w:hAnsi="Book Antiqua" w:hint="default"/>
          <w:color w:val="000000"/>
          <w:sz w:val="20"/>
          <w:szCs w:val="20"/>
          <w:u w:color="000000"/>
          <w:rtl w:val="0"/>
          <w:lang w:val="it-IT"/>
        </w:rPr>
        <w:t xml:space="preserve">à </w:t>
      </w:r>
      <w:r>
        <w:rPr>
          <w:rFonts w:ascii="Book Antiqua"/>
          <w:color w:val="000000"/>
          <w:sz w:val="20"/>
          <w:szCs w:val="20"/>
          <w:u w:color="000000"/>
          <w:rtl w:val="0"/>
          <w:lang w:val="it-IT"/>
        </w:rPr>
        <w:t xml:space="preserve">sul punto si </w:t>
      </w:r>
      <w:r>
        <w:rPr>
          <w:rFonts w:hAnsi="Book Antiqua" w:hint="default"/>
          <w:color w:val="000000"/>
          <w:sz w:val="20"/>
          <w:szCs w:val="20"/>
          <w:u w:color="000000"/>
          <w:rtl w:val="0"/>
          <w:lang w:val="it-IT"/>
        </w:rPr>
        <w:t xml:space="preserve">è </w:t>
      </w:r>
      <w:r>
        <w:rPr>
          <w:rFonts w:ascii="Book Antiqua"/>
          <w:color w:val="000000"/>
          <w:sz w:val="20"/>
          <w:szCs w:val="20"/>
          <w:u w:color="000000"/>
          <w:rtl w:val="0"/>
          <w:lang w:val="it-IT"/>
        </w:rPr>
        <w:t xml:space="preserve">espressa nel senso di verificare con tutte le istituzioni coinvolte sia gli importi che AMA </w:t>
      </w:r>
      <w:r>
        <w:rPr>
          <w:rFonts w:hAnsi="Book Antiqua" w:hint="default"/>
          <w:color w:val="000000"/>
          <w:sz w:val="20"/>
          <w:szCs w:val="20"/>
          <w:u w:color="000000"/>
          <w:rtl w:val="0"/>
          <w:lang w:val="it-IT"/>
        </w:rPr>
        <w:t xml:space="preserve">è </w:t>
      </w:r>
      <w:r>
        <w:rPr>
          <w:rFonts w:ascii="Book Antiqua"/>
          <w:color w:val="000000"/>
          <w:sz w:val="20"/>
          <w:szCs w:val="20"/>
          <w:u w:color="000000"/>
          <w:rtl w:val="0"/>
          <w:lang w:val="it-IT"/>
        </w:rPr>
        <w:t>tenuta a versare e la tempistica che la societ</w:t>
      </w:r>
      <w:r>
        <w:rPr>
          <w:rFonts w:hAnsi="Book Antiqua" w:hint="default"/>
          <w:color w:val="000000"/>
          <w:sz w:val="20"/>
          <w:szCs w:val="20"/>
          <w:u w:color="000000"/>
          <w:rtl w:val="0"/>
          <w:lang w:val="it-IT"/>
        </w:rPr>
        <w:t xml:space="preserve">à </w:t>
      </w:r>
      <w:r>
        <w:rPr>
          <w:rFonts w:ascii="Book Antiqua"/>
          <w:color w:val="000000"/>
          <w:sz w:val="20"/>
          <w:szCs w:val="20"/>
          <w:u w:color="000000"/>
          <w:rtl w:val="0"/>
          <w:lang w:val="it-IT"/>
        </w:rPr>
        <w:t>ha prigrammato per l</w:t>
      </w:r>
      <w:r>
        <w:rPr>
          <w:rFonts w:hAnsi="Book Antiqua" w:hint="default"/>
          <w:color w:val="000000"/>
          <w:sz w:val="20"/>
          <w:szCs w:val="20"/>
          <w:u w:color="000000"/>
          <w:rtl w:val="0"/>
          <w:lang w:val="it-IT"/>
        </w:rPr>
        <w:t>’</w:t>
      </w:r>
      <w:r>
        <w:rPr>
          <w:rFonts w:ascii="Book Antiqua"/>
          <w:color w:val="000000"/>
          <w:sz w:val="20"/>
          <w:szCs w:val="20"/>
          <w:u w:color="000000"/>
          <w:rtl w:val="0"/>
          <w:lang w:val="it-IT"/>
        </w:rPr>
        <w:t>adempimento, sia la legitimazione dell</w:t>
      </w:r>
      <w:r>
        <w:rPr>
          <w:rFonts w:hAnsi="Book Antiqua" w:hint="default"/>
          <w:color w:val="000000"/>
          <w:sz w:val="20"/>
          <w:szCs w:val="20"/>
          <w:u w:color="000000"/>
          <w:rtl w:val="0"/>
          <w:lang w:val="it-IT"/>
        </w:rPr>
        <w:t>’</w:t>
      </w:r>
      <w:r>
        <w:rPr>
          <w:rFonts w:ascii="Book Antiqua"/>
          <w:color w:val="000000"/>
          <w:sz w:val="20"/>
          <w:szCs w:val="20"/>
          <w:u w:color="000000"/>
          <w:rtl w:val="0"/>
          <w:lang w:val="it-IT"/>
        </w:rPr>
        <w:t>amministratore prefettizio ad incassare una quota parte del corrispettivo delle prestazioni rese dagli operatori economici interdetti in epoca antecedente al commissariamento.</w:t>
      </w:r>
      <w:r>
        <w:rPr>
          <w:rFonts w:hAnsi="Book Antiqua" w:hint="default"/>
          <w:color w:val="000000"/>
          <w:sz w:val="20"/>
          <w:szCs w:val="20"/>
          <w:u w:color="000000"/>
          <w:rtl w:val="0"/>
          <w:lang w:val="it-IT"/>
        </w:rPr>
        <w:t>”</w:t>
      </w:r>
    </w:p>
  </w:footnote>
  <w:footnote w:id="284">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0"/>
          <w:szCs w:val="20"/>
          <w:u w:color="000000"/>
        </w:rPr>
      </w:pPr>
      <w:r>
        <w:rPr>
          <w:rFonts w:ascii="Book Antiqua" w:cs="Book Antiqua" w:hAnsi="Book Antiqua" w:eastAsia="Book Antiqua"/>
          <w:vertAlign w:val="superscript"/>
          <w:rtl w:val="0"/>
        </w:rPr>
        <w:footnoteRef/>
      </w:r>
      <w:r>
        <w:rPr>
          <w:rFonts w:ascii="Book Antiqua"/>
          <w:sz w:val="20"/>
          <w:szCs w:val="20"/>
          <w:rtl w:val="0"/>
          <w:lang w:val="it-IT"/>
        </w:rPr>
        <w:t xml:space="preserve"> </w:t>
      </w:r>
      <w:r>
        <w:rPr>
          <w:rFonts w:ascii="Book Antiqua"/>
          <w:color w:val="000000"/>
          <w:sz w:val="20"/>
          <w:szCs w:val="20"/>
          <w:u w:color="000000"/>
          <w:rtl w:val="0"/>
          <w:lang w:val="it-IT"/>
        </w:rPr>
        <w:t xml:space="preserve">La Raffineria di Roma, nata nel 1965, dal 2010 </w:t>
      </w:r>
      <w:r>
        <w:rPr>
          <w:rFonts w:hAnsi="Book Antiqua" w:hint="default"/>
          <w:color w:val="000000"/>
          <w:sz w:val="20"/>
          <w:szCs w:val="20"/>
          <w:u w:color="000000"/>
          <w:rtl w:val="0"/>
          <w:lang w:val="it-IT"/>
        </w:rPr>
        <w:t xml:space="preserve">è </w:t>
      </w:r>
      <w:r>
        <w:rPr>
          <w:rFonts w:ascii="Book Antiqua"/>
          <w:color w:val="000000"/>
          <w:sz w:val="20"/>
          <w:szCs w:val="20"/>
          <w:u w:color="000000"/>
          <w:rtl w:val="0"/>
          <w:lang w:val="it-IT"/>
        </w:rPr>
        <w:t>di propriet</w:t>
      </w:r>
      <w:r>
        <w:rPr>
          <w:rFonts w:hAnsi="Book Antiqua" w:hint="default"/>
          <w:color w:val="000000"/>
          <w:sz w:val="20"/>
          <w:szCs w:val="20"/>
          <w:u w:color="000000"/>
          <w:rtl w:val="0"/>
          <w:lang w:val="it-IT"/>
        </w:rPr>
        <w:t xml:space="preserve">à </w:t>
      </w:r>
      <w:r>
        <w:rPr>
          <w:rFonts w:ascii="Book Antiqua"/>
          <w:color w:val="000000"/>
          <w:sz w:val="20"/>
          <w:szCs w:val="20"/>
          <w:u w:color="000000"/>
          <w:rtl w:val="0"/>
          <w:lang w:val="it-IT"/>
        </w:rPr>
        <w:t xml:space="preserve">di TotalErg, </w:t>
      </w:r>
      <w:r>
        <w:rPr>
          <w:rFonts w:ascii="Book Antiqua"/>
          <w:i w:val="1"/>
          <w:iCs w:val="1"/>
          <w:color w:val="000000"/>
          <w:sz w:val="20"/>
          <w:szCs w:val="20"/>
          <w:u w:color="000000"/>
          <w:rtl w:val="0"/>
          <w:lang w:val="it-IT"/>
        </w:rPr>
        <w:t>joint venture</w:t>
      </w:r>
      <w:r>
        <w:rPr>
          <w:rFonts w:ascii="Book Antiqua"/>
          <w:color w:val="000000"/>
          <w:sz w:val="20"/>
          <w:szCs w:val="20"/>
          <w:u w:color="000000"/>
          <w:rtl w:val="0"/>
          <w:lang w:val="it-IT"/>
        </w:rPr>
        <w:t xml:space="preserve"> tra Erg (51%) e Total (49%). Fino al 2012 in aggiunta alla produzione ha importato prodotti finiti per soddisfare la domanda del mercato di riferimento; in seguito </w:t>
      </w:r>
      <w:r>
        <w:rPr>
          <w:rFonts w:hAnsi="Book Antiqua" w:hint="default"/>
          <w:color w:val="000000"/>
          <w:sz w:val="20"/>
          <w:szCs w:val="20"/>
          <w:u w:color="000000"/>
          <w:rtl w:val="0"/>
          <w:lang w:val="it-IT"/>
        </w:rPr>
        <w:t xml:space="preserve">è </w:t>
      </w:r>
      <w:r>
        <w:rPr>
          <w:rFonts w:ascii="Book Antiqua"/>
          <w:color w:val="000000"/>
          <w:sz w:val="20"/>
          <w:szCs w:val="20"/>
          <w:u w:color="000000"/>
          <w:rtl w:val="0"/>
          <w:lang w:val="it-IT"/>
        </w:rPr>
        <w:t xml:space="preserve">stata fermata la produzione e, contestualmente, </w:t>
      </w:r>
      <w:r>
        <w:rPr>
          <w:rFonts w:hAnsi="Book Antiqua" w:hint="default"/>
          <w:color w:val="000000"/>
          <w:sz w:val="20"/>
          <w:szCs w:val="20"/>
          <w:u w:color="000000"/>
          <w:rtl w:val="0"/>
          <w:lang w:val="it-IT"/>
        </w:rPr>
        <w:t xml:space="preserve">è </w:t>
      </w:r>
      <w:r>
        <w:rPr>
          <w:rFonts w:ascii="Book Antiqua"/>
          <w:color w:val="000000"/>
          <w:sz w:val="20"/>
          <w:szCs w:val="20"/>
          <w:u w:color="000000"/>
          <w:rtl w:val="0"/>
          <w:lang w:val="it-IT"/>
        </w:rPr>
        <w:t>stata incrementata l</w:t>
      </w:r>
      <w:r>
        <w:rPr>
          <w:rFonts w:hAnsi="Book Antiqua" w:hint="default"/>
          <w:color w:val="000000"/>
          <w:sz w:val="20"/>
          <w:szCs w:val="20"/>
          <w:u w:color="000000"/>
          <w:rtl w:val="0"/>
          <w:lang w:val="it-IT"/>
        </w:rPr>
        <w:t>’</w:t>
      </w:r>
      <w:r>
        <w:rPr>
          <w:rFonts w:ascii="Book Antiqua"/>
          <w:color w:val="000000"/>
          <w:sz w:val="20"/>
          <w:szCs w:val="20"/>
          <w:u w:color="000000"/>
          <w:rtl w:val="0"/>
          <w:lang w:val="it-IT"/>
        </w:rPr>
        <w:t>attivit</w:t>
      </w:r>
      <w:r>
        <w:rPr>
          <w:rFonts w:hAnsi="Book Antiqua" w:hint="default"/>
          <w:color w:val="000000"/>
          <w:sz w:val="20"/>
          <w:szCs w:val="20"/>
          <w:u w:color="000000"/>
          <w:rtl w:val="0"/>
          <w:lang w:val="it-IT"/>
        </w:rPr>
        <w:t xml:space="preserve">à </w:t>
      </w:r>
      <w:r>
        <w:rPr>
          <w:rFonts w:ascii="Book Antiqua"/>
          <w:color w:val="000000"/>
          <w:sz w:val="20"/>
          <w:szCs w:val="20"/>
          <w:u w:color="000000"/>
          <w:rtl w:val="0"/>
          <w:lang w:val="it-IT"/>
        </w:rPr>
        <w:t xml:space="preserve">di importazione di prodotti finiti per continuare a garantire la domanda del mercato. Gli impianti di raffinazione sono stati venduti alla multinazionale International Process Plants and Equip. Corp. che si </w:t>
      </w:r>
      <w:r>
        <w:rPr>
          <w:rFonts w:hAnsi="Book Antiqua" w:hint="default"/>
          <w:color w:val="000000"/>
          <w:sz w:val="20"/>
          <w:szCs w:val="20"/>
          <w:u w:color="000000"/>
          <w:rtl w:val="0"/>
          <w:lang w:val="it-IT"/>
        </w:rPr>
        <w:t xml:space="preserve">è </w:t>
      </w:r>
      <w:r>
        <w:rPr>
          <w:rFonts w:ascii="Book Antiqua"/>
          <w:color w:val="000000"/>
          <w:sz w:val="20"/>
          <w:szCs w:val="20"/>
          <w:u w:color="000000"/>
          <w:rtl w:val="0"/>
          <w:lang w:val="it-IT"/>
        </w:rPr>
        <w:t>occupata dello smantellamento e trasporto degli stessi: resta ancora da smantellare la sola ciminiera, l'operazione avverr</w:t>
      </w:r>
      <w:r>
        <w:rPr>
          <w:rFonts w:hAnsi="Book Antiqua" w:hint="default"/>
          <w:color w:val="000000"/>
          <w:sz w:val="20"/>
          <w:szCs w:val="20"/>
          <w:u w:color="000000"/>
          <w:rtl w:val="0"/>
          <w:lang w:val="it-IT"/>
        </w:rPr>
        <w:t xml:space="preserve">à </w:t>
      </w:r>
      <w:r>
        <w:rPr>
          <w:rFonts w:ascii="Book Antiqua"/>
          <w:color w:val="000000"/>
          <w:sz w:val="20"/>
          <w:szCs w:val="20"/>
          <w:u w:color="000000"/>
          <w:rtl w:val="0"/>
          <w:lang w:val="it-IT"/>
        </w:rPr>
        <w:t>entro fine 2017 (doc. n. 2160/2). Si parla, pi</w:t>
      </w:r>
      <w:r>
        <w:rPr>
          <w:rFonts w:hAnsi="Book Antiqua" w:hint="default"/>
          <w:color w:val="000000"/>
          <w:sz w:val="20"/>
          <w:szCs w:val="20"/>
          <w:u w:color="000000"/>
          <w:rtl w:val="0"/>
          <w:lang w:val="it-IT"/>
        </w:rPr>
        <w:t xml:space="preserve">ù </w:t>
      </w:r>
      <w:r>
        <w:rPr>
          <w:rFonts w:ascii="Book Antiqua"/>
          <w:color w:val="000000"/>
          <w:sz w:val="20"/>
          <w:szCs w:val="20"/>
          <w:u w:color="000000"/>
          <w:rtl w:val="0"/>
          <w:lang w:val="it-IT"/>
        </w:rPr>
        <w:t xml:space="preserve">complessivamente, di un </w:t>
      </w:r>
      <w:r>
        <w:rPr>
          <w:rFonts w:hAnsi="Book Antiqua" w:hint="default"/>
          <w:color w:val="000000"/>
          <w:sz w:val="20"/>
          <w:szCs w:val="20"/>
          <w:u w:color="000000"/>
          <w:rtl w:val="0"/>
          <w:lang w:val="it-IT"/>
        </w:rPr>
        <w:t>“</w:t>
      </w:r>
      <w:r>
        <w:rPr>
          <w:rFonts w:ascii="Book Antiqua"/>
          <w:color w:val="000000"/>
          <w:sz w:val="20"/>
          <w:szCs w:val="20"/>
          <w:u w:color="000000"/>
          <w:rtl w:val="0"/>
          <w:lang w:val="it-IT"/>
        </w:rPr>
        <w:t>Polo Logistico della Raffineria di Roma</w:t>
      </w:r>
      <w:r>
        <w:rPr>
          <w:rFonts w:hAnsi="Book Antiqua" w:hint="default"/>
          <w:color w:val="000000"/>
          <w:sz w:val="20"/>
          <w:szCs w:val="20"/>
          <w:u w:color="000000"/>
          <w:rtl w:val="0"/>
          <w:lang w:val="it-IT"/>
        </w:rPr>
        <w:t xml:space="preserve">” </w:t>
      </w:r>
      <w:r>
        <w:rPr>
          <w:rFonts w:ascii="Book Antiqua"/>
          <w:color w:val="000000"/>
          <w:sz w:val="20"/>
          <w:szCs w:val="20"/>
          <w:u w:color="000000"/>
          <w:rtl w:val="0"/>
          <w:lang w:val="it-IT"/>
        </w:rPr>
        <w:t xml:space="preserve">per la movimentazione, lo stoccaggio e la distribuzione di prodotti petroliferi che insiste su un'area di oltre novanta ettari ed </w:t>
      </w:r>
      <w:r>
        <w:rPr>
          <w:rFonts w:hAnsi="Book Antiqua" w:hint="default"/>
          <w:color w:val="000000"/>
          <w:sz w:val="20"/>
          <w:szCs w:val="20"/>
          <w:u w:color="000000"/>
          <w:rtl w:val="0"/>
          <w:lang w:val="it-IT"/>
        </w:rPr>
        <w:t xml:space="preserve">è </w:t>
      </w:r>
      <w:r>
        <w:rPr>
          <w:rFonts w:ascii="Book Antiqua"/>
          <w:color w:val="000000"/>
          <w:sz w:val="20"/>
          <w:szCs w:val="20"/>
          <w:u w:color="000000"/>
          <w:rtl w:val="0"/>
          <w:lang w:val="it-IT"/>
        </w:rPr>
        <w:t>costituito da due piattaforme a mare, situate a circa 6 km dalla costa, per l'attracco di navi cisterna, un sistema di oleodotti sottomarini (sealines), la stazione di pompaggio sulla costa a Fiumicino, un sistema di oleodotti terrestri (pipelines) e il deposito di Pantano di Grano. Il Polo fornisce anche il Jet fuel agli aeroporti di Roma Leonardo Da Vinci e di Ciampino.</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rPr>
          <w:rFonts w:ascii="Book Antiqua" w:cs="Book Antiqua" w:hAnsi="Book Antiqua" w:eastAsia="Book Antiqua"/>
          <w:color w:val="000000"/>
          <w:sz w:val="20"/>
          <w:szCs w:val="20"/>
          <w:u w:color="000000"/>
        </w:rPr>
      </w:pPr>
      <w:r>
        <w:rPr>
          <w:rFonts w:ascii="Book Antiqua"/>
          <w:color w:val="000000"/>
          <w:sz w:val="20"/>
          <w:szCs w:val="20"/>
          <w:u w:color="000000"/>
          <w:rtl w:val="0"/>
          <w:lang w:val="it-IT"/>
        </w:rPr>
        <w:t>La Citt</w:t>
      </w:r>
      <w:r>
        <w:rPr>
          <w:rFonts w:hAnsi="Book Antiqua" w:hint="default"/>
          <w:color w:val="000000"/>
          <w:sz w:val="20"/>
          <w:szCs w:val="20"/>
          <w:u w:color="000000"/>
          <w:rtl w:val="0"/>
          <w:lang w:val="it-IT"/>
        </w:rPr>
        <w:t xml:space="preserve">à </w:t>
      </w:r>
      <w:r>
        <w:rPr>
          <w:rFonts w:ascii="Book Antiqua"/>
          <w:color w:val="000000"/>
          <w:sz w:val="20"/>
          <w:szCs w:val="20"/>
          <w:u w:color="000000"/>
          <w:rtl w:val="0"/>
          <w:lang w:val="it-IT"/>
        </w:rPr>
        <w:t>Metropolitana di Roma Capitale ha concesso l'autorizzazione unica ambientale (AUA) con determinazione dirigenziale R.U. n. 4844 del 12 dicembre 2016.</w:t>
      </w:r>
    </w:p>
    <w:p>
      <w:pPr>
        <w:pStyle w:val="Normal"/>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7" w:right="567" w:firstLine="0"/>
        <w:jc w:val="both"/>
      </w:pPr>
      <w:r>
        <w:rPr>
          <w:rFonts w:ascii="Book Antiqua"/>
          <w:color w:val="000000"/>
          <w:sz w:val="20"/>
          <w:szCs w:val="20"/>
          <w:u w:color="000000"/>
          <w:rtl w:val="0"/>
          <w:lang w:val="it-IT"/>
        </w:rPr>
        <w:t xml:space="preserve">La Raffineria di Roma </w:t>
      </w:r>
      <w:r>
        <w:rPr>
          <w:rFonts w:hAnsi="Book Antiqua" w:hint="default"/>
          <w:color w:val="000000"/>
          <w:sz w:val="20"/>
          <w:szCs w:val="20"/>
          <w:u w:color="000000"/>
          <w:rtl w:val="0"/>
          <w:lang w:val="it-IT"/>
        </w:rPr>
        <w:t xml:space="preserve">è </w:t>
      </w:r>
      <w:r>
        <w:rPr>
          <w:rFonts w:ascii="Book Antiqua"/>
          <w:color w:val="000000"/>
          <w:sz w:val="20"/>
          <w:szCs w:val="20"/>
          <w:u w:color="000000"/>
          <w:rtl w:val="0"/>
          <w:lang w:val="it-IT"/>
        </w:rPr>
        <w:t xml:space="preserve">oggetto di messa in sicurezza operativa realizzata con palancolato metallico con giunti a tenuta idraulica, sette pozzi di controllo del battente idraulico, sette piezometri, cinque pozzi per il confinamento idraulico della zona Nord </w:t>
      </w:r>
      <w:r>
        <w:rPr>
          <w:rFonts w:hAnsi="Book Antiqua" w:hint="default"/>
          <w:color w:val="000000"/>
          <w:sz w:val="20"/>
          <w:szCs w:val="20"/>
          <w:u w:color="000000"/>
          <w:rtl w:val="0"/>
          <w:lang w:val="it-IT"/>
        </w:rPr>
        <w:t>“</w:t>
      </w:r>
      <w:r>
        <w:rPr>
          <w:rFonts w:ascii="Book Antiqua"/>
          <w:color w:val="000000"/>
          <w:sz w:val="20"/>
          <w:szCs w:val="20"/>
          <w:u w:color="000000"/>
          <w:rtl w:val="0"/>
          <w:lang w:val="it-IT"/>
        </w:rPr>
        <w:t>ponte di carico</w:t>
      </w:r>
      <w:r>
        <w:rPr>
          <w:rFonts w:hAnsi="Book Antiqua" w:hint="default"/>
          <w:color w:val="000000"/>
          <w:sz w:val="20"/>
          <w:szCs w:val="20"/>
          <w:u w:color="000000"/>
          <w:rtl w:val="0"/>
          <w:lang w:val="it-IT"/>
        </w:rPr>
        <w:t>”</w:t>
      </w:r>
      <w:r>
        <w:rPr>
          <w:rFonts w:ascii="Book Antiqua"/>
          <w:color w:val="000000"/>
          <w:sz w:val="20"/>
          <w:szCs w:val="20"/>
          <w:u w:color="000000"/>
          <w:rtl w:val="0"/>
          <w:lang w:val="it-IT"/>
        </w:rPr>
        <w:t>, una barriera idraulica costituita da 58 pozzi su fronte di intervento di 900 metri nella zona serbatoi, 14 pozzi su 2 linee (9 esterni alla barriera fisica, 5 interni) nell</w:t>
      </w:r>
      <w:r>
        <w:rPr>
          <w:rFonts w:hAnsi="Book Antiqua" w:hint="default"/>
          <w:color w:val="000000"/>
          <w:sz w:val="20"/>
          <w:szCs w:val="20"/>
          <w:u w:color="000000"/>
          <w:rtl w:val="0"/>
          <w:lang w:val="it-IT"/>
        </w:rPr>
        <w:t>’</w:t>
      </w:r>
      <w:r>
        <w:rPr>
          <w:rFonts w:ascii="Book Antiqua"/>
          <w:color w:val="000000"/>
          <w:sz w:val="20"/>
          <w:szCs w:val="20"/>
          <w:u w:color="000000"/>
          <w:rtl w:val="0"/>
          <w:lang w:val="it-IT"/>
        </w:rPr>
        <w:t>area ponte di carico, 56 pozzi con lance di estrazione nel parco serbatoi benzine, oltre a un intervento di mitigazione/confinamento, mediante installazione di due sistemi Multi-Phase Extraction in posizione centrale e perimetrale nel parco serbatoi gasoli/jet fuel (Doc. n. 2171/1-2).</w:t>
      </w:r>
    </w:p>
  </w:footnote>
  <w:footnote w:id="285">
    <w:p>
      <w:pPr>
        <w:pStyle w:val="footnote text"/>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Acquisito dalla Commissione come Doc. n. 1845/1-2</w:t>
      </w:r>
    </w:p>
  </w:footnote>
  <w:footnote w:id="286">
    <w:p>
      <w:pPr>
        <w:pStyle w:val="footnote text"/>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ARPA Lazio, Sezione provinciale di Roma, doc. n. 2042/1-3 del 29 maggio 2017</w:t>
      </w:r>
    </w:p>
  </w:footnote>
  <w:footnote w:id="287"/>
  <w:footnote w:id="288">
    <w:p>
      <w:pPr>
        <w:pStyle w:val="footnote text"/>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Si rinvia a tal fine al Doc. n. 2030/1-6; in particolare n. 2030/2 e allegati</w:t>
      </w:r>
    </w:p>
  </w:footnote>
  <w:footnote w:id="289">
    <w:p>
      <w:pPr>
        <w:pStyle w:val="footnote text"/>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Doc. n. 2159/1-2</w:t>
      </w:r>
    </w:p>
  </w:footnote>
  <w:footnote w:id="290">
    <w:p>
      <w:pPr>
        <w:pStyle w:val="footnote text"/>
        <w:ind w:left="567" w:right="567" w:firstLine="0"/>
        <w:jc w:val="both"/>
      </w:pPr>
      <w:r>
        <w:rPr>
          <w:rFonts w:ascii="Book Antiqua" w:cs="Book Antiqua" w:hAnsi="Book Antiqua" w:eastAsia="Book Antiqua"/>
          <w:color w:val="000000"/>
          <w:u w:color="000000"/>
          <w:vertAlign w:val="superscript"/>
          <w:rtl w:val="0"/>
        </w:rPr>
        <w:footnoteRef/>
      </w:r>
      <w:r>
        <w:rPr>
          <w:rFonts w:ascii="Book Antiqua"/>
          <w:sz w:val="20"/>
          <w:szCs w:val="20"/>
          <w:rtl w:val="0"/>
          <w:lang w:val="it-IT"/>
        </w:rPr>
        <w:t xml:space="preserve"> La nota dell</w:t>
      </w:r>
      <w:r>
        <w:rPr>
          <w:rFonts w:hAnsi="Book Antiqua" w:hint="default"/>
          <w:sz w:val="20"/>
          <w:szCs w:val="20"/>
          <w:rtl w:val="0"/>
          <w:lang w:val="it-IT"/>
        </w:rPr>
        <w:t>’</w:t>
      </w:r>
      <w:r>
        <w:rPr>
          <w:rFonts w:ascii="Book Antiqua"/>
          <w:sz w:val="20"/>
          <w:szCs w:val="20"/>
          <w:rtl w:val="0"/>
          <w:lang w:val="it-IT"/>
        </w:rPr>
        <w:t>Autorit</w:t>
      </w:r>
      <w:r>
        <w:rPr>
          <w:rFonts w:hAnsi="Book Antiqua" w:hint="default"/>
          <w:sz w:val="20"/>
          <w:szCs w:val="20"/>
          <w:rtl w:val="0"/>
          <w:lang w:val="it-IT"/>
        </w:rPr>
        <w:t>à</w:t>
      </w:r>
      <w:r>
        <w:rPr>
          <w:rFonts w:ascii="Book Antiqua"/>
          <w:sz w:val="20"/>
          <w:szCs w:val="20"/>
          <w:rtl w:val="0"/>
          <w:lang w:val="it-IT"/>
        </w:rPr>
        <w:t>, dell</w:t>
      </w:r>
      <w:r>
        <w:rPr>
          <w:rFonts w:hAnsi="Book Antiqua" w:hint="default"/>
          <w:sz w:val="20"/>
          <w:szCs w:val="20"/>
          <w:rtl w:val="0"/>
          <w:lang w:val="it-IT"/>
        </w:rPr>
        <w:t>’</w:t>
      </w:r>
      <w:r>
        <w:rPr>
          <w:rFonts w:ascii="Book Antiqua"/>
          <w:sz w:val="20"/>
          <w:szCs w:val="20"/>
          <w:rtl w:val="0"/>
          <w:lang w:val="it-IT"/>
        </w:rPr>
        <w:t xml:space="preserve">11 luglio 2017, </w:t>
      </w:r>
      <w:r>
        <w:rPr>
          <w:rFonts w:hAnsi="Book Antiqua" w:hint="default"/>
          <w:sz w:val="20"/>
          <w:szCs w:val="20"/>
          <w:rtl w:val="0"/>
          <w:lang w:val="it-IT"/>
        </w:rPr>
        <w:t xml:space="preserve">è </w:t>
      </w:r>
      <w:r>
        <w:rPr>
          <w:rFonts w:ascii="Book Antiqua"/>
          <w:sz w:val="20"/>
          <w:szCs w:val="20"/>
          <w:rtl w:val="0"/>
          <w:lang w:val="it-IT"/>
        </w:rPr>
        <w:t>stata acquisita come doc. n. 2162/1-2</w:t>
      </w:r>
    </w:p>
  </w:footnote>
  <w:footnote w:id="291">
    <w:p>
      <w:pPr>
        <w:pStyle w:val="footnote text"/>
        <w:ind w:left="567" w:right="567" w:firstLine="0"/>
        <w:jc w:val="both"/>
      </w:pPr>
      <w:r>
        <w:rPr>
          <w:rFonts w:ascii="Book Antiqua" w:cs="Book Antiqua" w:hAnsi="Book Antiqua" w:eastAsia="Book Antiqua"/>
          <w:color w:val="262626"/>
          <w:u w:color="262626"/>
          <w:vertAlign w:val="superscript"/>
          <w:rtl w:val="0"/>
        </w:rPr>
        <w:footnoteRef/>
      </w:r>
      <w:r>
        <w:rPr>
          <w:rFonts w:ascii="Book Antiqua"/>
          <w:sz w:val="20"/>
          <w:szCs w:val="20"/>
          <w:rtl w:val="0"/>
          <w:lang w:val="it-IT"/>
        </w:rPr>
        <w:t xml:space="preserve"> Doc. n. 2137/1-2</w:t>
      </w:r>
    </w:p>
  </w:footnote>
  <w:footnote w:id="292">
    <w:p>
      <w:pPr>
        <w:pStyle w:val="footnote text"/>
        <w:ind w:left="567" w:right="567" w:firstLine="0"/>
        <w:jc w:val="both"/>
      </w:pPr>
      <w:r>
        <w:rPr>
          <w:rFonts w:ascii="Book Antiqua" w:cs="Book Antiqua" w:hAnsi="Book Antiqua" w:eastAsia="Book Antiqua"/>
          <w:sz w:val="22"/>
          <w:szCs w:val="22"/>
          <w:vertAlign w:val="superscript"/>
          <w:rtl w:val="0"/>
        </w:rPr>
        <w:footnoteRef/>
      </w:r>
      <w:r>
        <w:rPr>
          <w:rFonts w:ascii="Book Antiqua"/>
          <w:sz w:val="20"/>
          <w:szCs w:val="20"/>
          <w:rtl w:val="0"/>
          <w:lang w:val="it-IT"/>
        </w:rPr>
        <w:t xml:space="preserve"> </w:t>
      </w:r>
      <w:hyperlink r:id="rId39" w:history="1">
        <w:r>
          <w:rPr>
            <w:rStyle w:val="Hyperlink.2"/>
            <w:rFonts w:ascii="Book Antiqua"/>
            <w:sz w:val="20"/>
            <w:szCs w:val="20"/>
            <w:rtl w:val="0"/>
            <w:lang w:val="it-IT"/>
          </w:rPr>
          <w:t>http://pubblicazioni.agenzia.roma.it/schede-856-termovalorizzatore_di_ponte_malnome</w:t>
        </w:r>
      </w:hyperlink>
      <w:r>
        <w:rPr>
          <w:rFonts w:ascii="Book Antiqua"/>
          <w:sz w:val="20"/>
          <w:szCs w:val="20"/>
          <w:rtl w:val="0"/>
          <w:lang w:val="it-IT"/>
        </w:rPr>
        <w:t xml:space="preserve"> </w:t>
      </w:r>
    </w:p>
  </w:footnote>
  <w:footnote w:id="293">
    <w:p>
      <w:pPr>
        <w:pStyle w:val="footnote text"/>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en-US"/>
        </w:rPr>
        <w:t xml:space="preserve"> Doc. n. 1429/5</w:t>
      </w:r>
    </w:p>
  </w:footnote>
  <w:footnote w:id="294">
    <w:p>
      <w:pPr>
        <w:pStyle w:val="footnote text"/>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en-US"/>
        </w:rPr>
        <w:t xml:space="preserve"> Doc. n. 2333/2, p. 76</w:t>
      </w:r>
    </w:p>
  </w:footnote>
  <w:footnote w:id="295">
    <w:p>
      <w:pPr>
        <w:pStyle w:val="footnote text"/>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en-US"/>
        </w:rPr>
        <w:t xml:space="preserve"> Doc. n. 2333/2 p. 92</w:t>
      </w:r>
    </w:p>
  </w:footnote>
  <w:footnote w:id="296">
    <w:p>
      <w:pPr>
        <w:pStyle w:val="footnote text"/>
        <w:ind w:firstLine="567"/>
      </w:pPr>
      <w:r>
        <w:rPr>
          <w:rFonts w:ascii="Book Antiqua" w:cs="Book Antiqua" w:hAnsi="Book Antiqua" w:eastAsia="Book Antiqua"/>
          <w:vertAlign w:val="superscript"/>
          <w:rtl w:val="0"/>
        </w:rPr>
        <w:footnoteRef/>
      </w:r>
      <w:r>
        <w:rPr>
          <w:sz w:val="22"/>
          <w:szCs w:val="22"/>
          <w:rtl w:val="0"/>
          <w:lang w:val="it-IT"/>
        </w:rPr>
        <w:t xml:space="preserve"> </w:t>
      </w:r>
      <w:r>
        <w:rPr>
          <w:sz w:val="20"/>
          <w:szCs w:val="20"/>
          <w:rtl w:val="0"/>
          <w:lang w:val="it-IT"/>
        </w:rPr>
        <w:t>Doc. n. 2516/1</w:t>
      </w:r>
    </w:p>
  </w:footnote>
  <w:footnote w:id="297">
    <w:p>
      <w:pPr>
        <w:pStyle w:val="Testo nota a piè di pagina1"/>
        <w:ind w:left="567" w:right="567" w:firstLine="0"/>
        <w:jc w:val="both"/>
      </w:pPr>
      <w:r>
        <w:rPr>
          <w:rFonts w:ascii="Book Antiqua" w:cs="Book Antiqua" w:hAnsi="Book Antiqua" w:eastAsia="Book Antiqua"/>
          <w:vertAlign w:val="superscript"/>
          <w:rtl w:val="0"/>
        </w:rPr>
        <w:footnoteRef/>
      </w:r>
      <w:r>
        <w:rPr>
          <w:rFonts w:ascii="Book Antiqua"/>
          <w:rtl w:val="0"/>
          <w:lang w:val="it-IT"/>
        </w:rPr>
        <w:t xml:space="preserve"> Giorgio Libralato al termine dell</w:t>
      </w:r>
      <w:r>
        <w:rPr>
          <w:rFonts w:hAnsi="Book Antiqua" w:hint="default"/>
          <w:rtl w:val="0"/>
          <w:lang w:val="it-IT"/>
        </w:rPr>
        <w:t>’</w:t>
      </w:r>
      <w:r>
        <w:rPr>
          <w:rFonts w:ascii="Book Antiqua"/>
          <w:rtl w:val="0"/>
          <w:lang w:val="it-IT"/>
        </w:rPr>
        <w:t>audizione ha depositato in Commissione un voluminoso dossier, con diversi allegati, acquisito agli atti come Doc. n. 1095/1-6</w:t>
      </w:r>
    </w:p>
  </w:footnote>
  <w:footnote w:id="298">
    <w:p>
      <w:pPr>
        <w:pStyle w:val="footnote text"/>
        <w:ind w:left="567" w:right="567" w:firstLine="0"/>
        <w:jc w:val="both"/>
      </w:pPr>
      <w:r>
        <w:rPr>
          <w:rFonts w:ascii="Book Antiqua" w:cs="Book Antiqua" w:hAnsi="Book Antiqua" w:eastAsia="Book Antiqua"/>
          <w:vertAlign w:val="superscript"/>
          <w:rtl w:val="0"/>
        </w:rPr>
        <w:footnoteRef/>
      </w:r>
      <w:r>
        <w:rPr>
          <w:rFonts w:ascii="Book Antiqua"/>
          <w:sz w:val="20"/>
          <w:szCs w:val="20"/>
          <w:rtl w:val="0"/>
          <w:lang w:val="it-IT"/>
        </w:rPr>
        <w:t xml:space="preserve"> Il provvedimento </w:t>
      </w:r>
      <w:r>
        <w:rPr>
          <w:rFonts w:hAnsi="Book Antiqua" w:hint="default"/>
          <w:sz w:val="20"/>
          <w:szCs w:val="20"/>
          <w:rtl w:val="0"/>
          <w:lang w:val="it-IT"/>
        </w:rPr>
        <w:t xml:space="preserve">è </w:t>
      </w:r>
      <w:r>
        <w:rPr>
          <w:rFonts w:ascii="Book Antiqua"/>
          <w:sz w:val="20"/>
          <w:szCs w:val="20"/>
          <w:rtl w:val="0"/>
          <w:lang w:val="it-IT"/>
        </w:rPr>
        <w:t>stato acquisito dalla Commissione come Doc. n. 2437/2</w:t>
      </w:r>
    </w:p>
  </w:footnote>
  <w:footnote w:id="299">
    <w:p>
      <w:pPr>
        <w:pStyle w:val="Testo nota a piè di pagina1"/>
        <w:ind w:left="1134" w:right="567" w:hanging="567"/>
        <w:jc w:val="both"/>
      </w:pPr>
      <w:r>
        <w:rPr>
          <w:rFonts w:ascii="Book Antiqua" w:cs="Book Antiqua" w:hAnsi="Book Antiqua" w:eastAsia="Book Antiqua"/>
          <w:sz w:val="24"/>
          <w:szCs w:val="24"/>
          <w:vertAlign w:val="superscript"/>
          <w:rtl w:val="0"/>
        </w:rPr>
        <w:footnoteRef/>
      </w:r>
      <w:r>
        <w:rPr>
          <w:rFonts w:ascii="Book Antiqua" w:cs="Book Antiqua" w:hAnsi="Book Antiqua" w:eastAsia="Book Antiqua"/>
          <w:rtl w:val="0"/>
        </w:rPr>
        <w:tab/>
        <w:t xml:space="preserve">Regione Carabinieri del Lazio, Comando provinciale di Latina. Verbale d'interrogatorio di persona imputata in procedimento eventualmente connesso del 13 marzo 1996, pagina 1. L'interrogatorio di Schiavone avviene alcuni mesi dopo l'esecuzione della OCC </w:t>
      </w:r>
      <w:r>
        <w:rPr>
          <w:rFonts w:hAnsi="Book Antiqua" w:hint="default"/>
          <w:rtl w:val="0"/>
          <w:lang w:val="it-IT"/>
        </w:rPr>
        <w:t>“</w:t>
      </w:r>
      <w:r>
        <w:rPr>
          <w:rFonts w:ascii="Book Antiqua"/>
          <w:rtl w:val="0"/>
          <w:lang w:val="it-IT"/>
        </w:rPr>
        <w:t>Spartacus</w:t>
      </w:r>
      <w:r>
        <w:rPr>
          <w:rFonts w:hAnsi="Book Antiqua" w:hint="default"/>
          <w:rtl w:val="0"/>
          <w:lang w:val="it-IT"/>
        </w:rPr>
        <w:t>”</w:t>
      </w:r>
      <w:r>
        <w:rPr>
          <w:rFonts w:ascii="Book Antiqua"/>
          <w:rtl w:val="0"/>
          <w:lang w:val="it-IT"/>
        </w:rPr>
        <w:t>, del 5 dicembre 1995, e fu svolto dal t. col. Dei Carabinieri Vittorio Tommasone, dal commissario della Polizia di Stato Francesco Di Maio, dall'ispettore superiore Luigi Pescuma e dal maresciallo Alessandro Pagliaro.</w:t>
      </w:r>
    </w:p>
  </w:footnote>
  <w:footnote w:id="300">
    <w:p>
      <w:pPr>
        <w:pStyle w:val="Testo nota a piè di pagina1"/>
        <w:ind w:left="1134" w:right="567" w:hanging="567"/>
        <w:jc w:val="both"/>
      </w:pPr>
      <w:r>
        <w:rPr>
          <w:rFonts w:ascii="Book Antiqua" w:cs="Book Antiqua" w:hAnsi="Book Antiqua" w:eastAsia="Book Antiqua"/>
          <w:sz w:val="24"/>
          <w:szCs w:val="24"/>
          <w:vertAlign w:val="superscript"/>
          <w:rtl w:val="0"/>
        </w:rPr>
        <w:footnoteRef/>
      </w:r>
      <w:r>
        <w:rPr>
          <w:rFonts w:ascii="Book Antiqua" w:cs="Book Antiqua" w:hAnsi="Book Antiqua" w:eastAsia="Book Antiqua"/>
          <w:rtl w:val="0"/>
        </w:rPr>
        <w:tab/>
        <w:t>Uno dei due fratelli potrebbe identificarsi con Diana Costantino fu Salvatore Nicola  e  di  Cirillo  Teresa,  nato  a  S.  Cipriano  d'Aversa  il 12.6.1931,  residente  a  Casapesenna,  via  Quasimodo  n.  4,  imprenditore  edile,  detto  "'O  repezzato</w:t>
      </w:r>
      <w:r>
        <w:rPr>
          <w:rFonts w:hAnsi="Book Antiqua" w:hint="default"/>
          <w:rtl w:val="0"/>
          <w:lang w:val="it-IT"/>
        </w:rPr>
        <w:t>”</w:t>
      </w:r>
      <w:r>
        <w:rPr>
          <w:rFonts w:ascii="Book Antiqua"/>
          <w:rtl w:val="0"/>
          <w:lang w:val="it-IT"/>
        </w:rPr>
        <w:t>, deceduto  in  data  17/02/2005,  tratto  in  arresto per  associazione  a  delinquere  di  stampo  mafioso, nell</w:t>
      </w:r>
      <w:r>
        <w:rPr>
          <w:rFonts w:hAnsi="Book Antiqua" w:hint="default"/>
          <w:rtl w:val="0"/>
          <w:lang w:val="it-IT"/>
        </w:rPr>
        <w:t>’</w:t>
      </w:r>
      <w:r>
        <w:rPr>
          <w:rFonts w:ascii="Book Antiqua"/>
          <w:rtl w:val="0"/>
          <w:lang w:val="it-IT"/>
        </w:rPr>
        <w:t>ambito dell</w:t>
      </w:r>
      <w:r>
        <w:rPr>
          <w:rFonts w:hAnsi="Book Antiqua" w:hint="default"/>
          <w:rtl w:val="0"/>
          <w:lang w:val="it-IT"/>
        </w:rPr>
        <w:t>’</w:t>
      </w:r>
      <w:r>
        <w:rPr>
          <w:rFonts w:ascii="Book Antiqua"/>
          <w:rtl w:val="0"/>
          <w:lang w:val="it-IT"/>
        </w:rPr>
        <w:t xml:space="preserve">operazione denominata  </w:t>
      </w:r>
      <w:r>
        <w:rPr>
          <w:rFonts w:hAnsi="Book Antiqua" w:hint="default"/>
          <w:rtl w:val="0"/>
          <w:lang w:val="it-IT"/>
        </w:rPr>
        <w:t>“</w:t>
      </w:r>
      <w:r>
        <w:rPr>
          <w:rFonts w:ascii="Book Antiqua"/>
          <w:rtl w:val="0"/>
          <w:lang w:val="it-IT"/>
        </w:rPr>
        <w:t>Spartacus 1</w:t>
      </w:r>
      <w:r>
        <w:rPr>
          <w:rFonts w:hAnsi="Book Antiqua" w:hint="default"/>
          <w:rtl w:val="0"/>
          <w:lang w:val="it-IT"/>
        </w:rPr>
        <w:t xml:space="preserve">” </w:t>
      </w:r>
      <w:r>
        <w:rPr>
          <w:rFonts w:ascii="Book Antiqua"/>
          <w:rtl w:val="0"/>
          <w:lang w:val="it-IT"/>
        </w:rPr>
        <w:t xml:space="preserve">(cfr. ordinanza cautelare N. 36856/01 R.G.N.R Dda di Napoli nei confronti di Nicola Cosentino). </w:t>
      </w:r>
    </w:p>
  </w:footnote>
  <w:footnote w:id="301">
    <w:p>
      <w:pPr>
        <w:pStyle w:val="Testo nota a piè di pagina1"/>
        <w:ind w:left="1134" w:right="567" w:hanging="567"/>
        <w:jc w:val="both"/>
      </w:pPr>
      <w:r>
        <w:rPr>
          <w:rFonts w:ascii="Book Antiqua" w:cs="Book Antiqua" w:hAnsi="Book Antiqua" w:eastAsia="Book Antiqua"/>
          <w:sz w:val="24"/>
          <w:szCs w:val="24"/>
          <w:vertAlign w:val="superscript"/>
          <w:rtl w:val="0"/>
        </w:rPr>
        <w:footnoteRef/>
      </w:r>
      <w:r>
        <w:rPr>
          <w:rFonts w:ascii="Book Antiqua" w:cs="Book Antiqua" w:hAnsi="Book Antiqua" w:eastAsia="Book Antiqua"/>
          <w:rtl w:val="0"/>
        </w:rPr>
        <w:tab/>
        <w:t>Da una ricerca sull'archivio dell'agenzia ANSA risulta che i lavori di realizzazione della terza corsia dell'autostrada Roma-Napoli sono iniziati a met</w:t>
      </w:r>
      <w:r>
        <w:rPr>
          <w:rFonts w:hAnsi="Book Antiqua" w:hint="default"/>
          <w:rtl w:val="0"/>
          <w:lang w:val="it-IT"/>
        </w:rPr>
        <w:t xml:space="preserve">à </w:t>
      </w:r>
      <w:r>
        <w:rPr>
          <w:rFonts w:ascii="Book Antiqua"/>
          <w:rtl w:val="0"/>
          <w:lang w:val="it-IT"/>
        </w:rPr>
        <w:t>degli anni '80, per concludersi in un periodo precedente il 1990, anno dei Campionati mondiali di calcio a Roma.</w:t>
      </w:r>
    </w:p>
  </w:footnote>
  <w:footnote w:id="302">
    <w:p>
      <w:pPr>
        <w:pStyle w:val="Testo nota a piè di pagina1"/>
        <w:ind w:left="1134" w:right="567" w:hanging="567"/>
        <w:jc w:val="both"/>
      </w:pPr>
      <w:r>
        <w:rPr>
          <w:rFonts w:ascii="Book Antiqua" w:cs="Book Antiqua" w:hAnsi="Book Antiqua" w:eastAsia="Book Antiqua"/>
          <w:sz w:val="24"/>
          <w:szCs w:val="24"/>
          <w:vertAlign w:val="superscript"/>
          <w:rtl w:val="0"/>
        </w:rPr>
        <w:footnoteRef/>
      </w:r>
      <w:r>
        <w:rPr>
          <w:rFonts w:ascii="Book Antiqua" w:cs="Book Antiqua" w:hAnsi="Book Antiqua" w:eastAsia="Book Antiqua"/>
          <w:rtl w:val="0"/>
        </w:rPr>
        <w:tab/>
        <w:t>Commissione parlamentare d'inchiesta sul ciclo dei rifiuti, XIII legislatura, audizione di Carmine Schiavone del 7 ottobre 1997 (documento declassificato, deliberazione ufficio di Presidenza della Camera numero 50 del 31 ottobre 2013), pagina 18.</w:t>
      </w:r>
    </w:p>
  </w:footnote>
  <w:footnote w:id="303">
    <w:p>
      <w:pPr>
        <w:pStyle w:val="Testo nota a piè di pagina1"/>
        <w:ind w:left="1134" w:right="567" w:hanging="567"/>
        <w:jc w:val="both"/>
      </w:pPr>
      <w:r>
        <w:rPr>
          <w:rFonts w:ascii="Book Antiqua" w:cs="Book Antiqua" w:hAnsi="Book Antiqua" w:eastAsia="Book Antiqua"/>
          <w:sz w:val="24"/>
          <w:szCs w:val="24"/>
          <w:vertAlign w:val="superscript"/>
          <w:rtl w:val="0"/>
        </w:rPr>
        <w:footnoteRef/>
      </w:r>
      <w:r>
        <w:rPr>
          <w:rFonts w:ascii="Book Antiqua"/>
          <w:rtl w:val="0"/>
          <w:lang w:val="it-IT"/>
        </w:rPr>
        <w:t xml:space="preserve"> Regione Carabinieri del Lazio, Comando provinciale di Latina (doc. cit.), pagina 2</w:t>
      </w:r>
    </w:p>
  </w:footnote>
  <w:footnote w:id="304">
    <w:p>
      <w:pPr>
        <w:pStyle w:val="Testo nota a piè di pagina1"/>
        <w:ind w:left="1134" w:right="567" w:hanging="567"/>
        <w:jc w:val="both"/>
      </w:pPr>
      <w:r>
        <w:rPr>
          <w:rFonts w:ascii="Book Antiqua" w:cs="Book Antiqua" w:hAnsi="Book Antiqua" w:eastAsia="Book Antiqua"/>
          <w:sz w:val="24"/>
          <w:szCs w:val="24"/>
          <w:vertAlign w:val="superscript"/>
          <w:rtl w:val="0"/>
        </w:rPr>
        <w:footnoteRef/>
      </w:r>
      <w:r>
        <w:rPr>
          <w:rFonts w:ascii="Book Antiqua"/>
          <w:rtl w:val="0"/>
          <w:lang w:val="it-IT"/>
        </w:rPr>
        <w:t xml:space="preserve"> Regione Carabinieri del Lazio, Comando provinciale di Latina (doc. cit.), pagina 6</w:t>
      </w:r>
    </w:p>
  </w:footnote>
  <w:footnote w:id="305">
    <w:p>
      <w:pPr>
        <w:pStyle w:val="Testo nota a piè di pagina1"/>
        <w:ind w:left="567" w:right="567" w:firstLine="0"/>
        <w:jc w:val="both"/>
      </w:pPr>
      <w:r>
        <w:rPr>
          <w:rFonts w:ascii="Book Antiqua" w:cs="Book Antiqua" w:hAnsi="Book Antiqua" w:eastAsia="Book Antiqua"/>
          <w:sz w:val="24"/>
          <w:szCs w:val="24"/>
          <w:vertAlign w:val="superscript"/>
          <w:rtl w:val="0"/>
        </w:rPr>
        <w:footnoteRef/>
      </w:r>
      <w:r>
        <w:rPr>
          <w:rFonts w:ascii="Book Antiqua"/>
          <w:rtl w:val="0"/>
          <w:lang w:val="it-IT"/>
        </w:rPr>
        <w:t xml:space="preserve"> Nato a San Cipriano d'Aversa (CE) il 17 marzo 1946</w:t>
      </w:r>
    </w:p>
  </w:footnote>
  <w:footnote w:id="306">
    <w:p>
      <w:pPr>
        <w:pStyle w:val="Testo nota a piè di pagina1"/>
        <w:ind w:left="567" w:right="567" w:firstLine="0"/>
        <w:jc w:val="both"/>
      </w:pPr>
      <w:r>
        <w:rPr>
          <w:rFonts w:ascii="Book Antiqua" w:cs="Book Antiqua" w:hAnsi="Book Antiqua" w:eastAsia="Book Antiqua"/>
          <w:sz w:val="24"/>
          <w:szCs w:val="24"/>
          <w:vertAlign w:val="superscript"/>
          <w:rtl w:val="0"/>
        </w:rPr>
        <w:footnoteRef/>
      </w:r>
      <w:r>
        <w:rPr>
          <w:rFonts w:ascii="Book Antiqua"/>
          <w:rtl w:val="0"/>
          <w:lang w:val="it-IT"/>
        </w:rPr>
        <w:t xml:space="preserve"> Conservatoria dei registri immobiliari di Latina, nota di trascrizione Reg. Particolo 13475 del 19 ottobre 1989</w:t>
      </w:r>
    </w:p>
  </w:footnote>
  <w:footnote w:id="307">
    <w:p>
      <w:pPr>
        <w:pStyle w:val="Testo nota a piè di pagina1"/>
        <w:ind w:left="567" w:right="567" w:firstLine="0"/>
        <w:jc w:val="both"/>
      </w:pPr>
      <w:r>
        <w:rPr>
          <w:rFonts w:ascii="Book Antiqua" w:cs="Book Antiqua" w:hAnsi="Book Antiqua" w:eastAsia="Book Antiqua"/>
          <w:sz w:val="24"/>
          <w:szCs w:val="24"/>
          <w:vertAlign w:val="superscript"/>
          <w:rtl w:val="0"/>
        </w:rPr>
        <w:footnoteRef/>
      </w:r>
      <w:r>
        <w:rPr>
          <w:rFonts w:ascii="Book Antiqua"/>
          <w:rtl w:val="0"/>
          <w:lang w:val="it-IT"/>
        </w:rPr>
        <w:t xml:space="preserve"> Regione Carabinieri del Lazio, Comando provinciale di Latina (doc. cit.), pagina 5</w:t>
      </w:r>
    </w:p>
  </w:footnote>
  <w:footnote w:id="308">
    <w:p>
      <w:pPr>
        <w:pStyle w:val="Testo nota a piè di pagina1"/>
        <w:ind w:left="567" w:right="567" w:firstLine="0"/>
        <w:jc w:val="both"/>
      </w:pPr>
      <w:r>
        <w:rPr>
          <w:rFonts w:ascii="Book Antiqua" w:cs="Book Antiqua" w:hAnsi="Book Antiqua" w:eastAsia="Book Antiqua"/>
          <w:sz w:val="24"/>
          <w:szCs w:val="24"/>
          <w:vertAlign w:val="superscript"/>
          <w:rtl w:val="0"/>
        </w:rPr>
        <w:footnoteRef/>
      </w:r>
      <w:r>
        <w:rPr>
          <w:rFonts w:ascii="Book Antiqua"/>
          <w:rtl w:val="0"/>
          <w:lang w:val="it-IT"/>
        </w:rPr>
        <w:t xml:space="preserve"> Commissione parlamentare d'inchiesta sul ciclo dei rifiuti, XIII legislatura, audizione di Carmine Schiavone del 7 ottobre 1997 (doc. cit.), pagina 15</w:t>
      </w:r>
    </w:p>
  </w:footnote>
  <w:footnote w:id="309">
    <w:p>
      <w:pPr>
        <w:pStyle w:val="Testo nota a piè di pagina1"/>
        <w:ind w:left="567" w:right="567" w:firstLine="0"/>
        <w:jc w:val="both"/>
      </w:pPr>
      <w:r>
        <w:rPr>
          <w:rFonts w:ascii="Book Antiqua" w:cs="Book Antiqua" w:hAnsi="Book Antiqua" w:eastAsia="Book Antiqua"/>
          <w:sz w:val="24"/>
          <w:szCs w:val="24"/>
          <w:vertAlign w:val="superscript"/>
          <w:rtl w:val="0"/>
        </w:rPr>
        <w:footnoteRef/>
      </w:r>
      <w:r>
        <w:rPr>
          <w:rFonts w:ascii="Book Antiqua"/>
          <w:rtl w:val="0"/>
          <w:lang w:val="it-IT"/>
        </w:rPr>
        <w:t xml:space="preserve"> Commissione parlamentare d'inchiesta sul ciclo dei rifiuti, XIII legislatura, audizione di Carmine Schiavone del 7 ottobre 1997 (doc. cit.), pagina 19</w:t>
      </w:r>
    </w:p>
  </w:footnote>
  <w:footnote w:id="310">
    <w:p>
      <w:pPr>
        <w:pStyle w:val="footnote text"/>
        <w:ind w:left="567" w:right="567" w:firstLine="0"/>
        <w:jc w:val="both"/>
      </w:pPr>
      <w:r>
        <w:rPr>
          <w:rFonts w:ascii="Book Antiqua" w:cs="Book Antiqua" w:hAnsi="Book Antiqua" w:eastAsia="Book Antiqua"/>
          <w:sz w:val="24"/>
          <w:szCs w:val="24"/>
          <w:vertAlign w:val="superscript"/>
          <w:rtl w:val="0"/>
        </w:rPr>
        <w:footnoteRef/>
      </w:r>
      <w:r>
        <w:rPr>
          <w:rFonts w:ascii="Book Antiqua"/>
          <w:sz w:val="20"/>
          <w:szCs w:val="20"/>
          <w:rtl w:val="0"/>
          <w:lang w:val="it-IT"/>
        </w:rPr>
        <w:t xml:space="preserve"> Ne ha riferito il Questore di Latina, Giuseppe De Matteis, in audizione davanti alla Commissione antimafia, il 18 maggio 2016</w:t>
      </w:r>
    </w:p>
  </w:footnote>
  <w:footnote w:id="311">
    <w:p>
      <w:pPr>
        <w:pStyle w:val="Testo nota a piè di pagina1"/>
        <w:ind w:left="567" w:right="567" w:firstLine="0"/>
        <w:jc w:val="both"/>
      </w:pPr>
      <w:r>
        <w:rPr>
          <w:rFonts w:ascii="Book Antiqua" w:cs="Book Antiqua" w:hAnsi="Book Antiqua" w:eastAsia="Book Antiqua"/>
          <w:sz w:val="24"/>
          <w:szCs w:val="24"/>
          <w:vertAlign w:val="superscript"/>
          <w:rtl w:val="0"/>
        </w:rPr>
        <w:footnoteRef/>
      </w:r>
      <w:r>
        <w:rPr>
          <w:rFonts w:ascii="Book Antiqua"/>
          <w:rtl w:val="0"/>
          <w:lang w:val="it-IT"/>
        </w:rPr>
        <w:t xml:space="preserve"> Vedi, infra, le testimonianze raccolte dalla Commissione</w:t>
      </w:r>
    </w:p>
  </w:footnote>
  <w:footnote w:id="312">
    <w:p>
      <w:pPr>
        <w:pStyle w:val="Testo nota a piè di pagina1"/>
        <w:ind w:left="567" w:right="567" w:firstLine="0"/>
        <w:jc w:val="both"/>
        <w:rPr>
          <w:rFonts w:ascii="Book Antiqua" w:cs="Book Antiqua" w:hAnsi="Book Antiqua" w:eastAsia="Book Antiqua"/>
          <w:rtl w:val="0"/>
        </w:rPr>
      </w:pPr>
      <w:r>
        <w:rPr>
          <w:rFonts w:ascii="Book Antiqua" w:cs="Book Antiqua" w:hAnsi="Book Antiqua" w:eastAsia="Book Antiqua"/>
          <w:sz w:val="24"/>
          <w:szCs w:val="24"/>
          <w:vertAlign w:val="superscript"/>
          <w:rtl w:val="0"/>
        </w:rPr>
        <w:footnoteRef/>
      </w:r>
      <w:r>
        <w:rPr>
          <w:rFonts w:ascii="Book Antiqua"/>
          <w:sz w:val="16"/>
          <w:szCs w:val="16"/>
          <w:rtl w:val="0"/>
          <w:lang w:val="it-IT"/>
        </w:rPr>
        <w:t xml:space="preserve"> </w:t>
      </w:r>
      <w:r>
        <w:rPr>
          <w:rFonts w:ascii="Book Antiqua"/>
          <w:rtl w:val="0"/>
          <w:lang w:val="it-IT"/>
        </w:rPr>
        <w:t>Verbale di assunzione di informazioni del 29 aprile 1995, rese davanti al pubblico ministero Barbara Callari (pagina 212 del fascicolo).</w:t>
      </w:r>
    </w:p>
  </w:footnote>
  <w:footnote w:id="313">
    <w:p>
      <w:pPr>
        <w:pStyle w:val="Testo nota a piè di pagina1"/>
        <w:ind w:left="567" w:right="567" w:firstLine="0"/>
        <w:jc w:val="both"/>
      </w:pPr>
      <w:r>
        <w:rPr>
          <w:rFonts w:ascii="Book Antiqua" w:cs="Book Antiqua" w:hAnsi="Book Antiqua" w:eastAsia="Book Antiqua"/>
          <w:sz w:val="24"/>
          <w:szCs w:val="24"/>
          <w:vertAlign w:val="superscript"/>
          <w:rtl w:val="0"/>
        </w:rPr>
        <w:footnoteRef/>
      </w:r>
      <w:r>
        <w:rPr>
          <w:rFonts w:ascii="Book Antiqua"/>
          <w:sz w:val="16"/>
          <w:szCs w:val="16"/>
          <w:rtl w:val="0"/>
          <w:lang w:val="it-IT"/>
        </w:rPr>
        <w:t xml:space="preserve"> </w:t>
      </w:r>
      <w:r>
        <w:rPr>
          <w:rFonts w:ascii="Book Antiqua"/>
          <w:rtl w:val="0"/>
          <w:lang w:val="it-IT"/>
        </w:rPr>
        <w:t>CISECO - S.p.A. - Consorzio Industriale Servizi Ecologici Sede in Borgo Montello, Latina, via Monfalcone n. 46/a Capitale sociale L. 840.000.000 interamente versato Iscritta al Tribunale di Latina al n. 13132 Codice fiscale e partita I.V.A. n. 01345580591 (dati 1994). Vedi anche agenzia Ansa del 24 novembre 1990: "I manifestanti hanno inoltre detto di temere che a Borgo Montello venga realizzato il progetto del consorzio  costituito dalle societa' chimiche Bristol, recordati e Sigma Tau".</w:t>
      </w:r>
    </w:p>
  </w:footnote>
  <w:footnote w:id="314">
    <w:p>
      <w:pPr>
        <w:pStyle w:val="Testo nota a piè di pagina1"/>
        <w:ind w:left="567" w:right="567" w:firstLine="0"/>
        <w:jc w:val="both"/>
      </w:pPr>
      <w:r>
        <w:rPr>
          <w:rFonts w:ascii="Book Antiqua" w:cs="Book Antiqua" w:hAnsi="Book Antiqua" w:eastAsia="Book Antiqua"/>
          <w:sz w:val="24"/>
          <w:szCs w:val="24"/>
          <w:vertAlign w:val="superscript"/>
          <w:rtl w:val="0"/>
        </w:rPr>
        <w:footnoteRef/>
      </w:r>
      <w:r>
        <w:rPr>
          <w:rFonts w:ascii="Book Antiqua"/>
          <w:color w:val="000000"/>
          <w:u w:color="000000"/>
          <w:rtl w:val="0"/>
          <w:lang w:val="it-IT"/>
        </w:rPr>
        <w:t xml:space="preserve"> Adriano Musso </w:t>
      </w:r>
      <w:r>
        <w:rPr>
          <w:rFonts w:hAnsi="Book Antiqua" w:hint="default"/>
          <w:color w:val="000000"/>
          <w:u w:color="000000"/>
          <w:rtl w:val="0"/>
          <w:lang w:val="it-IT"/>
        </w:rPr>
        <w:t xml:space="preserve">è </w:t>
      </w:r>
      <w:r>
        <w:rPr>
          <w:rFonts w:ascii="Book Antiqua"/>
          <w:color w:val="000000"/>
          <w:u w:color="000000"/>
          <w:rtl w:val="0"/>
          <w:lang w:val="it-IT"/>
        </w:rPr>
        <w:t>stato presidente del consiglio di amministrazione della Ecotecna Trattamento Rifiuti dal 1990 al 1996. Nell</w:t>
      </w:r>
      <w:r>
        <w:rPr>
          <w:rFonts w:hAnsi="Book Antiqua" w:hint="default"/>
          <w:color w:val="000000"/>
          <w:u w:color="000000"/>
          <w:rtl w:val="0"/>
          <w:lang w:val="it-IT"/>
        </w:rPr>
        <w:t>’</w:t>
      </w:r>
      <w:r>
        <w:rPr>
          <w:rFonts w:ascii="Book Antiqua"/>
          <w:color w:val="000000"/>
          <w:u w:color="000000"/>
          <w:rtl w:val="0"/>
          <w:lang w:val="it-IT"/>
        </w:rPr>
        <w:t xml:space="preserve">ambito del procedimento penale n. 7436/R/92, iscritto presso la procura della Repubblica di Latina, </w:t>
      </w:r>
      <w:r>
        <w:rPr>
          <w:rFonts w:hAnsi="Book Antiqua" w:hint="default"/>
          <w:color w:val="000000"/>
          <w:u w:color="000000"/>
          <w:rtl w:val="0"/>
          <w:lang w:val="it-IT"/>
        </w:rPr>
        <w:t xml:space="preserve">è </w:t>
      </w:r>
      <w:r>
        <w:rPr>
          <w:rFonts w:ascii="Book Antiqua"/>
          <w:color w:val="000000"/>
          <w:u w:color="000000"/>
          <w:rtl w:val="0"/>
          <w:lang w:val="it-IT"/>
        </w:rPr>
        <w:t>stato condannato per una serie di reati,</w:t>
      </w:r>
      <w:r>
        <w:rPr>
          <w:rFonts w:ascii="Book Antiqua"/>
          <w:rtl w:val="0"/>
          <w:lang w:val="it-IT"/>
        </w:rPr>
        <w:t xml:space="preserve"> </w:t>
      </w:r>
      <w:r>
        <w:rPr>
          <w:rFonts w:ascii="Book Antiqua"/>
          <w:color w:val="000000"/>
          <w:u w:color="000000"/>
          <w:rtl w:val="0"/>
          <w:lang w:val="it-IT"/>
        </w:rPr>
        <w:t>commessi nell</w:t>
      </w:r>
      <w:r>
        <w:rPr>
          <w:rFonts w:hAnsi="Book Antiqua" w:hint="default"/>
          <w:color w:val="000000"/>
          <w:u w:color="000000"/>
          <w:rtl w:val="0"/>
          <w:lang w:val="it-IT"/>
        </w:rPr>
        <w:t>’</w:t>
      </w:r>
      <w:r>
        <w:rPr>
          <w:rFonts w:ascii="Book Antiqua"/>
          <w:color w:val="000000"/>
          <w:u w:color="000000"/>
          <w:rtl w:val="0"/>
          <w:lang w:val="it-IT"/>
        </w:rPr>
        <w:t>ambito della gestione dell</w:t>
      </w:r>
      <w:r>
        <w:rPr>
          <w:rFonts w:hAnsi="Book Antiqua" w:hint="default"/>
          <w:color w:val="000000"/>
          <w:u w:color="000000"/>
          <w:rtl w:val="0"/>
          <w:lang w:val="it-IT"/>
        </w:rPr>
        <w:t>’</w:t>
      </w:r>
      <w:r>
        <w:rPr>
          <w:rFonts w:ascii="Book Antiqua"/>
          <w:color w:val="000000"/>
          <w:u w:color="000000"/>
          <w:rtl w:val="0"/>
          <w:lang w:val="it-IT"/>
        </w:rPr>
        <w:t xml:space="preserve">invaso B2 della discarica di Borgo Montello. Reati poi dichiarati prescritti dai giudici di secondo grado. La sentenza della pretura circondariale di Latina, 10 febbraio 1997, n. 146/97 registro delle sentenze </w:t>
      </w:r>
      <w:r>
        <w:rPr>
          <w:rFonts w:hAnsi="Book Antiqua" w:hint="default"/>
          <w:color w:val="000000"/>
          <w:u w:color="000000"/>
          <w:rtl w:val="0"/>
          <w:lang w:val="it-IT"/>
        </w:rPr>
        <w:t xml:space="preserve">è </w:t>
      </w:r>
      <w:r>
        <w:rPr>
          <w:rFonts w:ascii="Book Antiqua"/>
          <w:color w:val="000000"/>
          <w:u w:color="000000"/>
          <w:rtl w:val="0"/>
          <w:lang w:val="it-IT"/>
        </w:rPr>
        <w:t>stata acquisita dalla Commisisone come Doc. n. 1343/2</w:t>
      </w:r>
    </w:p>
  </w:footnote>
  <w:footnote w:id="315">
    <w:p>
      <w:pPr>
        <w:pStyle w:val="footnote text"/>
        <w:ind w:left="567" w:right="567" w:firstLine="0"/>
        <w:jc w:val="both"/>
      </w:pPr>
      <w:r>
        <w:rPr>
          <w:rFonts w:ascii="Book Antiqua" w:cs="Book Antiqua" w:hAnsi="Book Antiqua" w:eastAsia="Book Antiqua"/>
          <w:sz w:val="24"/>
          <w:szCs w:val="24"/>
          <w:vertAlign w:val="superscript"/>
          <w:rtl w:val="0"/>
        </w:rPr>
        <w:footnoteRef/>
      </w:r>
      <w:r>
        <w:rPr>
          <w:rFonts w:ascii="Book Antiqua"/>
          <w:sz w:val="20"/>
          <w:szCs w:val="20"/>
          <w:rtl w:val="0"/>
          <w:lang w:val="it-IT"/>
        </w:rPr>
        <w:t xml:space="preserve"> Doc. n. 10/1</w:t>
      </w:r>
    </w:p>
  </w:footnote>
  <w:footnote w:id="316">
    <w:p>
      <w:pPr>
        <w:pStyle w:val="Testo nota a piè di pagina1"/>
        <w:ind w:left="567" w:right="567" w:firstLine="0"/>
        <w:jc w:val="both"/>
      </w:pPr>
      <w:r>
        <w:rPr>
          <w:rFonts w:ascii="Book Antiqua" w:cs="Book Antiqua" w:hAnsi="Book Antiqua" w:eastAsia="Book Antiqua"/>
          <w:sz w:val="24"/>
          <w:szCs w:val="24"/>
          <w:vertAlign w:val="superscript"/>
          <w:rtl w:val="0"/>
        </w:rPr>
        <w:footnoteRef/>
      </w:r>
      <w:r>
        <w:rPr>
          <w:rFonts w:ascii="Book Antiqua"/>
          <w:rtl w:val="0"/>
          <w:lang w:val="it-IT"/>
        </w:rPr>
        <w:t xml:space="preserve"> P.p. 15948/13 Procura della Repubblica di Latina</w:t>
      </w:r>
    </w:p>
  </w:footnote>
  <w:footnote w:id="317">
    <w:p>
      <w:pPr>
        <w:pStyle w:val="Testo nota a piè di pagina1"/>
        <w:ind w:left="567" w:right="567" w:firstLine="0"/>
        <w:jc w:val="both"/>
      </w:pPr>
      <w:r>
        <w:rPr>
          <w:rFonts w:ascii="Book Antiqua" w:cs="Book Antiqua" w:hAnsi="Book Antiqua" w:eastAsia="Book Antiqua"/>
          <w:sz w:val="24"/>
          <w:szCs w:val="24"/>
          <w:vertAlign w:val="superscript"/>
          <w:rtl w:val="0"/>
        </w:rPr>
        <w:footnoteRef/>
      </w:r>
      <w:r>
        <w:rPr>
          <w:rFonts w:ascii="Book Antiqua"/>
          <w:sz w:val="14"/>
          <w:szCs w:val="14"/>
          <w:rtl w:val="0"/>
          <w:lang w:val="it-IT"/>
        </w:rPr>
        <w:t xml:space="preserve"> </w:t>
      </w:r>
      <w:r>
        <w:rPr>
          <w:rFonts w:ascii="Book Antiqua"/>
          <w:rtl w:val="0"/>
          <w:lang w:val="it-IT"/>
        </w:rPr>
        <w:t xml:space="preserve">P.p. 15948 Mod. 44 </w:t>
      </w:r>
      <w:r>
        <w:rPr>
          <w:rFonts w:hAnsi="Book Antiqua" w:hint="default"/>
          <w:rtl w:val="0"/>
          <w:lang w:val="it-IT"/>
        </w:rPr>
        <w:t xml:space="preserve">– </w:t>
      </w:r>
      <w:r>
        <w:rPr>
          <w:rFonts w:ascii="Book Antiqua"/>
          <w:rtl w:val="0"/>
          <w:lang w:val="it-IT"/>
        </w:rPr>
        <w:t>Procura della Repubblica di Latina</w:t>
      </w:r>
    </w:p>
  </w:footnote>
  <w:footnote w:id="318">
    <w:p>
      <w:pPr>
        <w:pStyle w:val="Testo nota a piè di pagina1"/>
        <w:ind w:left="567" w:right="567" w:firstLine="0"/>
        <w:jc w:val="both"/>
      </w:pPr>
      <w:r>
        <w:rPr>
          <w:rFonts w:ascii="Book Antiqua" w:cs="Book Antiqua" w:hAnsi="Book Antiqua" w:eastAsia="Book Antiqua"/>
          <w:sz w:val="24"/>
          <w:szCs w:val="24"/>
          <w:vertAlign w:val="superscript"/>
          <w:rtl w:val="0"/>
        </w:rPr>
        <w:footnoteRef/>
      </w:r>
      <w:r>
        <w:rPr>
          <w:rFonts w:ascii="Book Antiqua" w:cs="Book Antiqua" w:hAnsi="Book Antiqua" w:eastAsia="Book Antiqua"/>
          <w:color w:val="000000"/>
          <w:u w:color="000000"/>
          <w:rtl w:val="0"/>
        </w:rPr>
        <w:tab/>
        <w:t xml:space="preserve"> Doc. n. 10/1</w:t>
      </w:r>
    </w:p>
  </w:footnote>
  <w:footnote w:id="319">
    <w:p>
      <w:pPr>
        <w:pStyle w:val="footnote text"/>
        <w:ind w:left="567" w:right="567" w:firstLine="0"/>
        <w:jc w:val="both"/>
      </w:pPr>
      <w:r>
        <w:rPr>
          <w:rFonts w:ascii="Book Antiqua" w:cs="Book Antiqua" w:hAnsi="Book Antiqua" w:eastAsia="Book Antiqua"/>
          <w:sz w:val="24"/>
          <w:szCs w:val="24"/>
          <w:vertAlign w:val="superscript"/>
          <w:rtl w:val="0"/>
        </w:rPr>
        <w:footnoteRef/>
      </w:r>
      <w:r>
        <w:rPr>
          <w:rFonts w:ascii="Book Antiqua"/>
          <w:sz w:val="20"/>
          <w:szCs w:val="20"/>
          <w:rtl w:val="0"/>
          <w:lang w:val="it-IT"/>
        </w:rPr>
        <w:t xml:space="preserve"> Acquisita dalla Commissione come Doc. n. 538/1</w:t>
      </w:r>
    </w:p>
  </w:footnote>
  <w:footnote w:id="320">
    <w:p>
      <w:pPr>
        <w:pStyle w:val="Testo nota a piè di pagina1"/>
        <w:ind w:left="567" w:right="567" w:firstLine="0"/>
        <w:jc w:val="both"/>
      </w:pPr>
      <w:r>
        <w:rPr>
          <w:rFonts w:ascii="Book Antiqua" w:cs="Book Antiqua" w:hAnsi="Book Antiqua" w:eastAsia="Book Antiqua"/>
          <w:sz w:val="24"/>
          <w:szCs w:val="24"/>
          <w:vertAlign w:val="superscript"/>
          <w:rtl w:val="0"/>
        </w:rPr>
        <w:footnoteRef/>
      </w:r>
      <w:r>
        <w:rPr>
          <w:rFonts w:ascii="Book Antiqua" w:cs="Book Antiqua" w:hAnsi="Book Antiqua" w:eastAsia="Book Antiqua"/>
          <w:rtl w:val="0"/>
        </w:rPr>
        <w:tab/>
        <w:t xml:space="preserve"> Doc. n. 538/1, p. 20</w:t>
      </w:r>
    </w:p>
  </w:footnote>
  <w:footnote w:id="321">
    <w:p>
      <w:pPr>
        <w:pStyle w:val="footnote text"/>
        <w:ind w:left="567" w:right="567" w:firstLine="0"/>
        <w:jc w:val="both"/>
      </w:pPr>
      <w:r>
        <w:rPr>
          <w:rFonts w:ascii="Book Antiqua" w:cs="Book Antiqua" w:hAnsi="Book Antiqua" w:eastAsia="Book Antiqua"/>
          <w:sz w:val="24"/>
          <w:szCs w:val="24"/>
          <w:vertAlign w:val="superscript"/>
          <w:rtl w:val="0"/>
        </w:rPr>
        <w:footnoteRef/>
      </w:r>
      <w:r>
        <w:rPr>
          <w:rFonts w:ascii="Book Antiqua"/>
          <w:sz w:val="20"/>
          <w:szCs w:val="20"/>
          <w:rtl w:val="0"/>
          <w:lang w:val="it-IT"/>
        </w:rPr>
        <w:t xml:space="preserve"> Doc. n. 2426/2, nel quale, oltre alle considerazioni riportate di seguito nel testo, se ne svolgo altre sdi tipo tecnico sulle caratteristiche e la funzionalit</w:t>
      </w:r>
      <w:r>
        <w:rPr>
          <w:rFonts w:hAnsi="Book Antiqua" w:hint="default"/>
          <w:sz w:val="20"/>
          <w:szCs w:val="20"/>
          <w:rtl w:val="0"/>
          <w:lang w:val="it-IT"/>
        </w:rPr>
        <w:t xml:space="preserve">à </w:t>
      </w:r>
      <w:r>
        <w:rPr>
          <w:rFonts w:ascii="Book Antiqua"/>
          <w:sz w:val="20"/>
          <w:szCs w:val="20"/>
          <w:rtl w:val="0"/>
          <w:lang w:val="it-IT"/>
        </w:rPr>
        <w:t>dei piezometri</w:t>
      </w:r>
    </w:p>
  </w:footnote>
  <w:footnote w:id="322">
    <w:p>
      <w:pPr>
        <w:pStyle w:val="Testo nota a piè di pagina1"/>
        <w:ind w:left="567" w:right="567" w:firstLine="0"/>
        <w:jc w:val="both"/>
      </w:pPr>
      <w:r>
        <w:rPr>
          <w:rFonts w:ascii="Book Antiqua" w:cs="Book Antiqua" w:hAnsi="Book Antiqua" w:eastAsia="Book Antiqua"/>
          <w:sz w:val="24"/>
          <w:szCs w:val="24"/>
          <w:vertAlign w:val="superscript"/>
          <w:rtl w:val="0"/>
        </w:rPr>
        <w:footnoteRef/>
      </w:r>
      <w:r>
        <w:rPr>
          <w:rFonts w:ascii="Book Antiqua" w:cs="Book Antiqua" w:hAnsi="Book Antiqua" w:eastAsia="Book Antiqua"/>
          <w:rtl w:val="0"/>
        </w:rPr>
        <w:tab/>
        <w:t xml:space="preserve"> Doc. n. 538/1, p. 25</w:t>
      </w:r>
    </w:p>
  </w:footnote>
  <w:footnote w:id="323">
    <w:p>
      <w:pPr>
        <w:pStyle w:val="Testo nota a piè di pagina1"/>
        <w:ind w:left="567" w:right="567" w:firstLine="0"/>
        <w:jc w:val="both"/>
      </w:pPr>
      <w:r>
        <w:rPr>
          <w:rFonts w:ascii="Book Antiqua" w:cs="Book Antiqua" w:hAnsi="Book Antiqua" w:eastAsia="Book Antiqua"/>
          <w:sz w:val="24"/>
          <w:szCs w:val="24"/>
          <w:vertAlign w:val="superscript"/>
          <w:rtl w:val="0"/>
        </w:rPr>
        <w:footnoteRef/>
      </w:r>
      <w:r>
        <w:rPr>
          <w:rFonts w:ascii="Book Antiqua" w:cs="Book Antiqua" w:hAnsi="Book Antiqua" w:eastAsia="Book Antiqua"/>
          <w:rtl w:val="0"/>
        </w:rPr>
        <w:tab/>
        <w:t xml:space="preserve"> Doc. n. 1343/2</w:t>
      </w:r>
    </w:p>
  </w:footnote>
  <w:footnote w:id="324">
    <w:p>
      <w:pPr>
        <w:pStyle w:val="Testo nota a piè di pagina1"/>
        <w:ind w:left="567" w:right="567" w:firstLine="0"/>
        <w:jc w:val="both"/>
      </w:pPr>
      <w:r>
        <w:rPr>
          <w:rFonts w:ascii="Book Antiqua" w:cs="Book Antiqua" w:hAnsi="Book Antiqua" w:eastAsia="Book Antiqua"/>
          <w:sz w:val="24"/>
          <w:szCs w:val="24"/>
          <w:vertAlign w:val="superscript"/>
          <w:rtl w:val="0"/>
        </w:rPr>
        <w:footnoteRef/>
      </w:r>
      <w:r>
        <w:rPr>
          <w:rFonts w:ascii="Book Antiqua"/>
          <w:rtl w:val="0"/>
          <w:lang w:val="it-IT"/>
        </w:rPr>
        <w:t xml:space="preserve"> Nato in Tunisia il 6 giugno 1937.</w:t>
      </w:r>
    </w:p>
  </w:footnote>
  <w:footnote w:id="325">
    <w:p>
      <w:pPr>
        <w:pStyle w:val="Testo nota a piè di pagina1"/>
        <w:ind w:left="567" w:right="567" w:firstLine="0"/>
        <w:jc w:val="both"/>
      </w:pPr>
      <w:r>
        <w:rPr>
          <w:rFonts w:ascii="Book Antiqua" w:cs="Book Antiqua" w:hAnsi="Book Antiqua" w:eastAsia="Book Antiqua"/>
          <w:sz w:val="24"/>
          <w:szCs w:val="24"/>
          <w:vertAlign w:val="superscript"/>
          <w:rtl w:val="0"/>
        </w:rPr>
        <w:footnoteRef/>
      </w:r>
      <w:r>
        <w:rPr>
          <w:rFonts w:ascii="Book Antiqua"/>
          <w:rtl w:val="0"/>
          <w:lang w:val="it-IT"/>
        </w:rPr>
        <w:t xml:space="preserve"> Altri soggetti che hanno fatto parte della compagine societaria sono stati: Chini Umberto, deceduto, in qualit</w:t>
      </w:r>
      <w:r>
        <w:rPr>
          <w:rFonts w:hAnsi="Book Antiqua" w:hint="default"/>
          <w:rtl w:val="0"/>
          <w:lang w:val="it-IT"/>
        </w:rPr>
        <w:t xml:space="preserve">à </w:t>
      </w:r>
      <w:r>
        <w:rPr>
          <w:rFonts w:ascii="Book Antiqua"/>
          <w:rtl w:val="0"/>
          <w:lang w:val="it-IT"/>
        </w:rPr>
        <w:t xml:space="preserve">di vice presidente, a cui </w:t>
      </w:r>
      <w:r>
        <w:rPr>
          <w:rFonts w:hAnsi="Book Antiqua" w:hint="default"/>
          <w:rtl w:val="0"/>
          <w:lang w:val="it-IT"/>
        </w:rPr>
        <w:t xml:space="preserve">è </w:t>
      </w:r>
      <w:r>
        <w:rPr>
          <w:rFonts w:ascii="Book Antiqua"/>
          <w:rtl w:val="0"/>
          <w:lang w:val="it-IT"/>
        </w:rPr>
        <w:t xml:space="preserve">subentrato, a far data dal 12.11.1998, Proietto Stefano, Proietto Ivo, quale membro del consiglio di amministrazione e Chini Rosamaria; nelle vesti di socio. Chini Umberto e Proietto Andrea sono risultati anche essere i proprietari originari dei terreni su cui </w:t>
      </w:r>
      <w:r>
        <w:rPr>
          <w:rFonts w:hAnsi="Book Antiqua" w:hint="default"/>
          <w:rtl w:val="0"/>
          <w:lang w:val="it-IT"/>
        </w:rPr>
        <w:t xml:space="preserve">è </w:t>
      </w:r>
      <w:r>
        <w:rPr>
          <w:rFonts w:ascii="Book Antiqua"/>
          <w:rtl w:val="0"/>
          <w:lang w:val="it-IT"/>
        </w:rPr>
        <w:t>sorta l</w:t>
      </w:r>
      <w:r>
        <w:rPr>
          <w:rFonts w:hAnsi="Book Antiqua" w:hint="default"/>
          <w:rtl w:val="0"/>
          <w:lang w:val="it-IT"/>
        </w:rPr>
        <w:t>’</w:t>
      </w:r>
      <w:r>
        <w:rPr>
          <w:rFonts w:ascii="Book Antiqua"/>
          <w:rtl w:val="0"/>
          <w:lang w:val="it-IT"/>
        </w:rPr>
        <w:t>attuale discarica di Borgo Montello gestita attualmente dalla societ</w:t>
      </w:r>
      <w:r>
        <w:rPr>
          <w:rFonts w:hAnsi="Book Antiqua" w:hint="default"/>
          <w:rtl w:val="0"/>
          <w:lang w:val="it-IT"/>
        </w:rPr>
        <w:t xml:space="preserve">à </w:t>
      </w:r>
      <w:r>
        <w:rPr>
          <w:rFonts w:ascii="Book Antiqua"/>
          <w:rtl w:val="0"/>
          <w:lang w:val="it-IT"/>
        </w:rPr>
        <w:t>Ecoambientesrl.</w:t>
      </w:r>
    </w:p>
  </w:footnote>
  <w:footnote w:id="326">
    <w:p>
      <w:pPr>
        <w:pStyle w:val="footnote text"/>
        <w:ind w:left="567" w:right="567" w:firstLine="0"/>
        <w:jc w:val="both"/>
      </w:pPr>
      <w:r>
        <w:rPr>
          <w:rFonts w:ascii="Book Antiqua" w:cs="Book Antiqua" w:hAnsi="Book Antiqua" w:eastAsia="Book Antiqua"/>
          <w:sz w:val="24"/>
          <w:szCs w:val="24"/>
          <w:vertAlign w:val="superscript"/>
          <w:rtl w:val="0"/>
        </w:rPr>
        <w:footnoteRef/>
      </w:r>
      <w:r>
        <w:rPr>
          <w:rFonts w:ascii="Book Antiqua"/>
          <w:sz w:val="20"/>
          <w:szCs w:val="20"/>
          <w:rtl w:val="0"/>
          <w:lang w:val="it-IT"/>
        </w:rPr>
        <w:t xml:space="preserve"> Come si vedr</w:t>
      </w:r>
      <w:r>
        <w:rPr>
          <w:rFonts w:hAnsi="Book Antiqua" w:hint="default"/>
          <w:sz w:val="20"/>
          <w:szCs w:val="20"/>
          <w:rtl w:val="0"/>
          <w:lang w:val="it-IT"/>
        </w:rPr>
        <w:t xml:space="preserve">à </w:t>
      </w:r>
      <w:r>
        <w:rPr>
          <w:rFonts w:ascii="Book Antiqua"/>
          <w:sz w:val="20"/>
          <w:szCs w:val="20"/>
          <w:rtl w:val="0"/>
          <w:lang w:val="it-IT"/>
        </w:rPr>
        <w:t>nel paragrafo successivo, la Commissione ha approfondito quegli spunti investigativi ascoltando a sommarie informazioni testimoni diretti ed indiretti dei fatti, che hanno confermato gli episodi ricostruiti nell'indagine del 2013.</w:t>
      </w:r>
    </w:p>
  </w:footnote>
  <w:footnote w:id="327">
    <w:p>
      <w:pPr>
        <w:pStyle w:val="Testo nota a piè di pagina1"/>
        <w:ind w:left="567" w:right="567" w:firstLine="0"/>
        <w:jc w:val="both"/>
      </w:pPr>
      <w:r>
        <w:rPr>
          <w:rFonts w:ascii="Book Antiqua" w:cs="Book Antiqua" w:hAnsi="Book Antiqua" w:eastAsia="Book Antiqua"/>
          <w:sz w:val="24"/>
          <w:szCs w:val="24"/>
          <w:vertAlign w:val="superscript"/>
          <w:rtl w:val="0"/>
        </w:rPr>
        <w:footnoteRef/>
      </w:r>
      <w:r>
        <w:rPr>
          <w:rFonts w:ascii="Book Antiqua"/>
          <w:rtl w:val="0"/>
          <w:lang w:val="it-IT"/>
        </w:rPr>
        <w:t xml:space="preserve"> La complessa </w:t>
      </w:r>
      <w:r>
        <w:rPr>
          <w:rFonts w:hAnsi="Book Antiqua" w:hint="default"/>
          <w:rtl w:val="0"/>
          <w:lang w:val="it-IT"/>
        </w:rPr>
        <w:t xml:space="preserve">– </w:t>
      </w:r>
      <w:r>
        <w:rPr>
          <w:rFonts w:ascii="Book Antiqua"/>
          <w:rtl w:val="0"/>
          <w:lang w:val="it-IT"/>
        </w:rPr>
        <w:t xml:space="preserve">e particolare - sequenza degli atti autorizzativi </w:t>
      </w:r>
      <w:r>
        <w:rPr>
          <w:rFonts w:hAnsi="Book Antiqua" w:hint="default"/>
          <w:rtl w:val="0"/>
          <w:lang w:val="it-IT"/>
        </w:rPr>
        <w:t xml:space="preserve">è </w:t>
      </w:r>
      <w:r>
        <w:rPr>
          <w:rFonts w:ascii="Book Antiqua"/>
          <w:rtl w:val="0"/>
          <w:lang w:val="it-IT"/>
        </w:rPr>
        <w:t>stata ripercorsa nel dettaglio dalla perizia svolta dai consulenti del pubblico ministero, Mauro Sanna e Marcello Ielmini, nell'ambito del procedimento penale 7436/92 rgnr, in relazione alla gestione del sito B2 da parte della societ</w:t>
      </w:r>
      <w:r>
        <w:rPr>
          <w:rFonts w:hAnsi="Book Antiqua" w:hint="default"/>
          <w:rtl w:val="0"/>
          <w:lang w:val="it-IT"/>
        </w:rPr>
        <w:t xml:space="preserve">à </w:t>
      </w:r>
      <w:r>
        <w:rPr>
          <w:rFonts w:ascii="Book Antiqua"/>
          <w:rtl w:val="0"/>
          <w:lang w:val="it-IT"/>
        </w:rPr>
        <w:t xml:space="preserve">Ecotecna. Il quesito posto ai periti era: "effettuati i necessari accertamenti dicano se siano stati posti in essere comportamenti in violazione della vigente legge in materia di scarichi e/o rifiuti". </w:t>
      </w:r>
    </w:p>
  </w:footnote>
  <w:footnote w:id="328">
    <w:p>
      <w:pPr>
        <w:pStyle w:val="Testo nota a piè di pagina1"/>
        <w:ind w:left="567" w:right="567" w:firstLine="0"/>
        <w:jc w:val="both"/>
      </w:pPr>
      <w:r>
        <w:rPr>
          <w:rFonts w:ascii="Book Antiqua" w:cs="Book Antiqua" w:hAnsi="Book Antiqua" w:eastAsia="Book Antiqua"/>
          <w:sz w:val="24"/>
          <w:szCs w:val="24"/>
          <w:vertAlign w:val="superscript"/>
          <w:rtl w:val="0"/>
        </w:rPr>
        <w:footnoteRef/>
      </w:r>
      <w:r>
        <w:rPr>
          <w:rFonts w:ascii="Book Antiqua"/>
          <w:rtl w:val="0"/>
          <w:lang w:val="it-IT"/>
        </w:rPr>
        <w:t xml:space="preserve"> Negli atti allegati alla citata informativa della Squadra mobile di Latina vi </w:t>
      </w:r>
      <w:r>
        <w:rPr>
          <w:rFonts w:hAnsi="Book Antiqua" w:hint="default"/>
          <w:rtl w:val="0"/>
          <w:lang w:val="it-IT"/>
        </w:rPr>
        <w:t>è</w:t>
      </w:r>
      <w:r>
        <w:rPr>
          <w:rFonts w:ascii="Book Antiqua"/>
          <w:rtl w:val="0"/>
          <w:lang w:val="it-IT"/>
        </w:rPr>
        <w:t>, tra l'altro, il verbale di sopralluogo dell'area che verr</w:t>
      </w:r>
      <w:r>
        <w:rPr>
          <w:rFonts w:hAnsi="Book Antiqua" w:hint="default"/>
          <w:rtl w:val="0"/>
          <w:lang w:val="it-IT"/>
        </w:rPr>
        <w:t xml:space="preserve">à </w:t>
      </w:r>
      <w:r>
        <w:rPr>
          <w:rFonts w:ascii="Book Antiqua"/>
          <w:rtl w:val="0"/>
          <w:lang w:val="it-IT"/>
        </w:rPr>
        <w:t xml:space="preserve">adibita ad invaso </w:t>
      </w:r>
      <w:r>
        <w:rPr>
          <w:rFonts w:hAnsi="Book Antiqua" w:hint="default"/>
          <w:rtl w:val="0"/>
          <w:lang w:val="it-IT"/>
        </w:rPr>
        <w:t>“</w:t>
      </w:r>
      <w:r>
        <w:rPr>
          <w:rFonts w:ascii="Book Antiqua"/>
          <w:rtl w:val="0"/>
          <w:lang w:val="it-IT"/>
        </w:rPr>
        <w:t>B2</w:t>
      </w:r>
      <w:r>
        <w:rPr>
          <w:rFonts w:hAnsi="Book Antiqua" w:hint="default"/>
          <w:rtl w:val="0"/>
          <w:lang w:val="it-IT"/>
        </w:rPr>
        <w:t>”</w:t>
      </w:r>
      <w:r>
        <w:rPr>
          <w:rFonts w:ascii="Book Antiqua"/>
          <w:rtl w:val="0"/>
          <w:lang w:val="it-IT"/>
        </w:rPr>
        <w:t xml:space="preserve">, destinata, come vedremo ad accogliere rifiuti speciali, anche pericolosi. Lo </w:t>
      </w:r>
      <w:r>
        <w:rPr>
          <w:rFonts w:hAnsi="Book Antiqua" w:hint="default"/>
          <w:rtl w:val="0"/>
          <w:lang w:val="it-IT"/>
        </w:rPr>
        <w:t>“</w:t>
      </w:r>
      <w:r>
        <w:rPr>
          <w:rFonts w:ascii="Book Antiqua"/>
          <w:rtl w:val="0"/>
          <w:lang w:val="it-IT"/>
        </w:rPr>
        <w:t>speciale organismo</w:t>
      </w:r>
      <w:r>
        <w:rPr>
          <w:rFonts w:hAnsi="Book Antiqua" w:hint="default"/>
          <w:rtl w:val="0"/>
          <w:lang w:val="it-IT"/>
        </w:rPr>
        <w:t xml:space="preserve">” </w:t>
      </w:r>
      <w:r>
        <w:rPr>
          <w:rFonts w:ascii="Book Antiqua"/>
          <w:rtl w:val="0"/>
          <w:lang w:val="it-IT"/>
        </w:rPr>
        <w:t>della regione Lazio (costituito ai sensi dell</w:t>
      </w:r>
      <w:r>
        <w:rPr>
          <w:rFonts w:hAnsi="Book Antiqua" w:hint="default"/>
          <w:rtl w:val="0"/>
          <w:lang w:val="it-IT"/>
        </w:rPr>
        <w:t>’</w:t>
      </w:r>
      <w:r>
        <w:rPr>
          <w:rFonts w:ascii="Book Antiqua"/>
          <w:rtl w:val="0"/>
          <w:lang w:val="it-IT"/>
        </w:rPr>
        <w:t xml:space="preserve">ordinanza PGR 315/88), scrive: </w:t>
      </w:r>
      <w:r>
        <w:rPr>
          <w:rFonts w:hAnsi="Book Antiqua" w:hint="default"/>
          <w:rtl w:val="0"/>
          <w:lang w:val="it-IT"/>
        </w:rPr>
        <w:t>“</w:t>
      </w:r>
      <w:r>
        <w:rPr>
          <w:rFonts w:ascii="Book Antiqua"/>
          <w:rtl w:val="0"/>
          <w:lang w:val="it-IT"/>
        </w:rPr>
        <w:t xml:space="preserve">Il giorno 31/1/1990 si </w:t>
      </w:r>
      <w:r>
        <w:rPr>
          <w:rFonts w:hAnsi="Book Antiqua" w:hint="default"/>
          <w:rtl w:val="0"/>
          <w:lang w:val="it-IT"/>
        </w:rPr>
        <w:t xml:space="preserve">è </w:t>
      </w:r>
      <w:r>
        <w:rPr>
          <w:rFonts w:ascii="Book Antiqua"/>
          <w:rtl w:val="0"/>
          <w:lang w:val="it-IT"/>
        </w:rPr>
        <w:t>riunito presso la discarica di Borgo Montello speciale organismo [</w:t>
      </w:r>
      <w:r>
        <w:rPr>
          <w:rFonts w:hAnsi="Book Antiqua" w:hint="default"/>
          <w:rtl w:val="0"/>
          <w:lang w:val="it-IT"/>
        </w:rPr>
        <w:t>…</w:t>
      </w:r>
      <w:r>
        <w:rPr>
          <w:rFonts w:ascii="Book Antiqua"/>
          <w:rtl w:val="0"/>
          <w:lang w:val="it-IT"/>
        </w:rPr>
        <w:t xml:space="preserve">] Si rileva che nel territorio del comune di Latina il piano regionale non prevede discariche di seconda categoria tipo B. Effettuato il sopralluogo </w:t>
      </w:r>
      <w:r>
        <w:rPr>
          <w:rFonts w:hAnsi="Book Antiqua" w:hint="default"/>
          <w:rtl w:val="0"/>
          <w:lang w:val="it-IT"/>
        </w:rPr>
        <w:t xml:space="preserve">è </w:t>
      </w:r>
      <w:r>
        <w:rPr>
          <w:rFonts w:ascii="Book Antiqua"/>
          <w:rtl w:val="0"/>
          <w:lang w:val="it-IT"/>
        </w:rPr>
        <w:t xml:space="preserve">stato riscontrato che l'area </w:t>
      </w:r>
      <w:r>
        <w:rPr>
          <w:rFonts w:hAnsi="Book Antiqua" w:hint="default"/>
          <w:rtl w:val="0"/>
          <w:lang w:val="it-IT"/>
        </w:rPr>
        <w:t xml:space="preserve">è </w:t>
      </w:r>
      <w:r>
        <w:rPr>
          <w:rFonts w:ascii="Book Antiqua"/>
          <w:rtl w:val="0"/>
          <w:lang w:val="it-IT"/>
        </w:rPr>
        <w:t>gi</w:t>
      </w:r>
      <w:r>
        <w:rPr>
          <w:rFonts w:hAnsi="Book Antiqua" w:hint="default"/>
          <w:rtl w:val="0"/>
          <w:lang w:val="it-IT"/>
        </w:rPr>
        <w:t xml:space="preserve">à </w:t>
      </w:r>
      <w:r>
        <w:rPr>
          <w:rFonts w:ascii="Book Antiqua"/>
          <w:rtl w:val="0"/>
          <w:lang w:val="it-IT"/>
        </w:rPr>
        <w:t>stata interessata da movimenti di terra che hanno prodotto uno scavo di forma rettangolare profondo circa 15 metri di cui la ditta ha asserito di aver dato comunicazione al comune [</w:t>
      </w:r>
      <w:r>
        <w:rPr>
          <w:rFonts w:hAnsi="Book Antiqua" w:hint="default"/>
          <w:rtl w:val="0"/>
          <w:lang w:val="it-IT"/>
        </w:rPr>
        <w:t>…</w:t>
      </w:r>
      <w:r>
        <w:rPr>
          <w:rFonts w:ascii="Book Antiqua"/>
          <w:rtl w:val="0"/>
          <w:lang w:val="it-IT"/>
        </w:rPr>
        <w:t>] Dal punto di vista geologico il terreno non presenta caratteristiche naturali idonee alla ubicazione di impianti di discarica di rifiuti speciali</w:t>
      </w:r>
      <w:r>
        <w:rPr>
          <w:rFonts w:hAnsi="Book Antiqua" w:hint="default"/>
          <w:rtl w:val="0"/>
          <w:lang w:val="it-IT"/>
        </w:rPr>
        <w:t>”</w:t>
      </w:r>
      <w:r>
        <w:rPr>
          <w:rFonts w:ascii="Book Antiqua"/>
          <w:rtl w:val="0"/>
          <w:lang w:val="it-IT"/>
        </w:rPr>
        <w:t xml:space="preserve">. </w:t>
      </w:r>
    </w:p>
  </w:footnote>
  <w:footnote w:id="329">
    <w:p>
      <w:pPr>
        <w:pStyle w:val="Testo nota a piè di pagina1"/>
        <w:ind w:left="567" w:right="567" w:firstLine="0"/>
        <w:jc w:val="both"/>
      </w:pPr>
      <w:r>
        <w:rPr>
          <w:rFonts w:ascii="Book Antiqua" w:cs="Book Antiqua" w:hAnsi="Book Antiqua" w:eastAsia="Book Antiqua"/>
          <w:sz w:val="24"/>
          <w:szCs w:val="24"/>
          <w:vertAlign w:val="superscript"/>
          <w:rtl w:val="0"/>
        </w:rPr>
        <w:footnoteRef/>
      </w:r>
      <w:r>
        <w:rPr>
          <w:rFonts w:ascii="Book Antiqua"/>
          <w:rtl w:val="0"/>
          <w:lang w:val="it-IT"/>
        </w:rPr>
        <w:t xml:space="preserve"> Ordinanza 76, del 21 febbraio 1990, ordinanza 215 del 26 marzo 1990 (a firma Bruno Landi) e ordinanza 575 del 4 novembre 1991 (a firma Rodolfo Gigli).</w:t>
      </w:r>
    </w:p>
  </w:footnote>
  <w:footnote w:id="330">
    <w:p>
      <w:pPr>
        <w:pStyle w:val="Testo nota a piè di pagina1"/>
        <w:ind w:left="567" w:right="567" w:firstLine="0"/>
        <w:jc w:val="both"/>
      </w:pPr>
      <w:r>
        <w:rPr>
          <w:rFonts w:ascii="Book Antiqua" w:cs="Book Antiqua" w:hAnsi="Book Antiqua" w:eastAsia="Book Antiqua"/>
          <w:sz w:val="24"/>
          <w:szCs w:val="24"/>
          <w:vertAlign w:val="superscript"/>
          <w:rtl w:val="0"/>
        </w:rPr>
        <w:footnoteRef/>
      </w:r>
      <w:r>
        <w:rPr>
          <w:rFonts w:ascii="Book Antiqua"/>
          <w:rtl w:val="0"/>
          <w:lang w:val="it-IT"/>
        </w:rPr>
        <w:t xml:space="preserve"> Decreto commissariale 25 del 31 marzo 2005.</w:t>
      </w:r>
    </w:p>
  </w:footnote>
  <w:footnote w:id="331">
    <w:p>
      <w:pPr>
        <w:pStyle w:val="Testo nota a piè di pagina1"/>
        <w:ind w:left="567" w:right="567" w:firstLine="0"/>
      </w:pPr>
      <w:r>
        <w:rPr>
          <w:rFonts w:ascii="Book Antiqua" w:cs="Book Antiqua" w:hAnsi="Book Antiqua" w:eastAsia="Book Antiqua"/>
          <w:vertAlign w:val="superscript"/>
          <w:rtl w:val="0"/>
        </w:rPr>
        <w:footnoteRef/>
      </w:r>
      <w:r>
        <w:rPr>
          <w:rFonts w:ascii="Book Antiqua"/>
          <w:rtl w:val="0"/>
          <w:lang w:val="it-IT"/>
        </w:rPr>
        <w:t xml:space="preserve"> Doc. n. 1342/2, pp. 246ss. </w:t>
      </w:r>
    </w:p>
  </w:footnote>
  <w:footnote w:id="332">
    <w:p>
      <w:pPr>
        <w:pStyle w:val="Testo nota a piè di pagina1"/>
        <w:ind w:left="567" w:right="567" w:firstLine="0"/>
        <w:jc w:val="both"/>
      </w:pPr>
      <w:r>
        <w:rPr>
          <w:rFonts w:ascii="Book Antiqua" w:cs="Book Antiqua" w:hAnsi="Book Antiqua" w:eastAsia="Book Antiqua"/>
          <w:sz w:val="24"/>
          <w:szCs w:val="24"/>
          <w:vertAlign w:val="superscript"/>
          <w:rtl w:val="0"/>
        </w:rPr>
        <w:footnoteRef/>
      </w:r>
      <w:r>
        <w:rPr>
          <w:rFonts w:ascii="Book Antiqua"/>
          <w:rtl w:val="0"/>
          <w:lang w:val="it-IT"/>
        </w:rPr>
        <w:t xml:space="preserve"> Doc. n. 1343/2, p. 575</w:t>
      </w:r>
    </w:p>
  </w:footnote>
  <w:footnote w:id="333">
    <w:p>
      <w:pPr>
        <w:pStyle w:val="Testo nota a piè di pagina1"/>
        <w:ind w:left="567" w:right="567" w:firstLine="0"/>
        <w:jc w:val="both"/>
      </w:pPr>
      <w:r>
        <w:rPr>
          <w:rFonts w:ascii="Book Antiqua" w:cs="Book Antiqua" w:hAnsi="Book Antiqua" w:eastAsia="Book Antiqua"/>
          <w:sz w:val="24"/>
          <w:szCs w:val="24"/>
          <w:vertAlign w:val="superscript"/>
          <w:rtl w:val="0"/>
        </w:rPr>
        <w:footnoteRef/>
      </w:r>
      <w:r>
        <w:rPr>
          <w:rFonts w:ascii="Book Antiqua"/>
          <w:rtl w:val="0"/>
          <w:lang w:val="it-IT"/>
        </w:rPr>
        <w:t xml:space="preserve"> La citata deliberazione del comitato interministeriale prevede per la categoria II B: </w:t>
      </w:r>
      <w:r>
        <w:rPr>
          <w:rFonts w:hAnsi="Book Antiqua" w:hint="default"/>
          <w:rtl w:val="0"/>
          <w:lang w:val="it-IT"/>
        </w:rPr>
        <w:t>“</w:t>
      </w:r>
      <w:r>
        <w:rPr>
          <w:rFonts w:ascii="Book Antiqua"/>
          <w:rtl w:val="0"/>
          <w:lang w:val="it-IT"/>
        </w:rPr>
        <w:t>Sono impianti di stoccaggio definitivo nei quali possono essere smaltiti rifiuti sia speciali che tossici e nocivi, tal quali o trattati, a condizione che non contengano sostanze appartenenti ai gruppi 9 + 20 e 24, 25, 27 e 28 dell'allegato al decreto del Presidente della Repubblica n. 915 del 1982, in concentrazioni superiori a valori corrispondenti ad l/l00 delle rispettive CL determinate ai sensi del par. 1.2., punto l), e che, sottoposti alle prove di cessione di cui al par. 6.2., diano un eluato conforme ai limiti di accettabilit</w:t>
      </w:r>
      <w:r>
        <w:rPr>
          <w:rFonts w:hAnsi="Book Antiqua" w:hint="default"/>
          <w:rtl w:val="0"/>
          <w:lang w:val="it-IT"/>
        </w:rPr>
        <w:t xml:space="preserve">à </w:t>
      </w:r>
      <w:r>
        <w:rPr>
          <w:rFonts w:ascii="Book Antiqua"/>
          <w:rtl w:val="0"/>
          <w:lang w:val="it-IT"/>
        </w:rPr>
        <w:t>previsti dalla tabella A della legge n. 319 del 1976, e successive modifiche, per i metalli compresi nell'allegato al decreto del Presidente della Repubblica n. 915 dell'1982</w:t>
      </w:r>
      <w:r>
        <w:rPr>
          <w:rFonts w:hAnsi="Book Antiqua" w:hint="default"/>
          <w:rtl w:val="0"/>
          <w:lang w:val="it-IT"/>
        </w:rPr>
        <w:t>”</w:t>
      </w:r>
      <w:r>
        <w:rPr>
          <w:rFonts w:ascii="Book Antiqua"/>
          <w:rtl w:val="0"/>
          <w:lang w:val="it-IT"/>
        </w:rPr>
        <w:t>.</w:t>
      </w:r>
    </w:p>
  </w:footnote>
  <w:footnote w:id="334">
    <w:p>
      <w:pPr>
        <w:pStyle w:val="Testo nota a piè di pagina1"/>
        <w:ind w:left="567" w:right="567" w:firstLine="0"/>
        <w:jc w:val="both"/>
      </w:pPr>
      <w:r>
        <w:rPr>
          <w:rFonts w:ascii="Book Antiqua" w:cs="Book Antiqua" w:hAnsi="Book Antiqua" w:eastAsia="Book Antiqua"/>
          <w:sz w:val="24"/>
          <w:szCs w:val="24"/>
          <w:vertAlign w:val="superscript"/>
          <w:rtl w:val="0"/>
        </w:rPr>
        <w:footnoteRef/>
      </w:r>
      <w:r>
        <w:rPr>
          <w:rFonts w:ascii="Book Antiqua"/>
          <w:rtl w:val="0"/>
          <w:lang w:val="it-IT"/>
        </w:rPr>
        <w:t xml:space="preserve"> Doc. n. 1343/2, Ordinanza 575 Regione Lazio, allegato 9.</w:t>
      </w:r>
    </w:p>
  </w:footnote>
  <w:footnote w:id="335">
    <w:p>
      <w:pPr>
        <w:pStyle w:val="Testo nota a piè di pagina1"/>
        <w:ind w:left="567" w:right="567" w:firstLine="0"/>
        <w:jc w:val="both"/>
      </w:pPr>
      <w:r>
        <w:rPr>
          <w:rFonts w:ascii="Book Antiqua" w:cs="Book Antiqua" w:hAnsi="Book Antiqua" w:eastAsia="Book Antiqua"/>
          <w:sz w:val="24"/>
          <w:szCs w:val="24"/>
          <w:vertAlign w:val="superscript"/>
          <w:rtl w:val="0"/>
        </w:rPr>
        <w:footnoteRef/>
      </w:r>
      <w:r>
        <w:rPr>
          <w:rFonts w:ascii="Book Antiqua"/>
          <w:rtl w:val="0"/>
          <w:lang w:val="it-IT"/>
        </w:rPr>
        <w:t xml:space="preserve"> La ricostruzione puntuale degli atti </w:t>
      </w:r>
      <w:r>
        <w:rPr>
          <w:rFonts w:hAnsi="Book Antiqua" w:hint="default"/>
          <w:rtl w:val="0"/>
          <w:lang w:val="it-IT"/>
        </w:rPr>
        <w:t xml:space="preserve">– </w:t>
      </w:r>
      <w:r>
        <w:rPr>
          <w:rFonts w:ascii="Book Antiqua"/>
          <w:rtl w:val="0"/>
          <w:lang w:val="it-IT"/>
        </w:rPr>
        <w:t xml:space="preserve">tra Regione, TAR e Consiglio di Stato </w:t>
      </w:r>
      <w:r>
        <w:rPr>
          <w:rFonts w:hAnsi="Book Antiqua" w:hint="default"/>
          <w:rtl w:val="0"/>
          <w:lang w:val="it-IT"/>
        </w:rPr>
        <w:t xml:space="preserve">– è </w:t>
      </w:r>
      <w:r>
        <w:rPr>
          <w:rFonts w:ascii="Book Antiqua"/>
          <w:rtl w:val="0"/>
          <w:lang w:val="it-IT"/>
        </w:rPr>
        <w:t>contenuta nella consulenza citata (Doc. n. 1343/2, pp. 241ss.)</w:t>
      </w:r>
    </w:p>
  </w:footnote>
  <w:footnote w:id="336">
    <w:p>
      <w:pPr>
        <w:pStyle w:val="Testo nota a piè di pagina1"/>
        <w:ind w:left="567" w:right="567" w:firstLine="0"/>
        <w:jc w:val="both"/>
      </w:pPr>
      <w:r>
        <w:rPr>
          <w:rFonts w:ascii="Book Antiqua" w:cs="Book Antiqua" w:hAnsi="Book Antiqua" w:eastAsia="Book Antiqua"/>
          <w:sz w:val="24"/>
          <w:szCs w:val="24"/>
          <w:vertAlign w:val="superscript"/>
          <w:rtl w:val="0"/>
        </w:rPr>
        <w:footnoteRef/>
      </w:r>
      <w:r>
        <w:rPr>
          <w:rFonts w:ascii="Book Antiqua"/>
          <w:rtl w:val="0"/>
          <w:lang w:val="it-IT"/>
        </w:rPr>
        <w:t xml:space="preserve"> Nel corso dell</w:t>
      </w:r>
      <w:r>
        <w:rPr>
          <w:rFonts w:hAnsi="Book Antiqua" w:hint="default"/>
          <w:rtl w:val="0"/>
          <w:lang w:val="it-IT"/>
        </w:rPr>
        <w:t>’</w:t>
      </w:r>
      <w:r>
        <w:rPr>
          <w:rFonts w:ascii="Book Antiqua"/>
          <w:rtl w:val="0"/>
          <w:lang w:val="it-IT"/>
        </w:rPr>
        <w:t>audizione dell</w:t>
      </w:r>
      <w:r>
        <w:rPr>
          <w:rFonts w:hAnsi="Book Antiqua" w:hint="default"/>
          <w:rtl w:val="0"/>
          <w:lang w:val="it-IT"/>
        </w:rPr>
        <w:t>’</w:t>
      </w:r>
      <w:r>
        <w:rPr>
          <w:rFonts w:ascii="Book Antiqua"/>
          <w:rtl w:val="0"/>
          <w:lang w:val="it-IT"/>
        </w:rPr>
        <w:t xml:space="preserve">11 luglio 2016, il dirigente della regione Lazio Flaminia Tosini ha riferito: </w:t>
      </w:r>
      <w:r>
        <w:rPr>
          <w:rFonts w:hAnsi="Book Antiqua" w:hint="default"/>
          <w:rtl w:val="0"/>
          <w:lang w:val="it-IT"/>
        </w:rPr>
        <w:t>“</w:t>
      </w:r>
      <w:r>
        <w:rPr>
          <w:rFonts w:ascii="Book Antiqua"/>
          <w:rtl w:val="0"/>
          <w:lang w:val="it-IT"/>
        </w:rPr>
        <w:t>Le due societ</w:t>
      </w:r>
      <w:r>
        <w:rPr>
          <w:rFonts w:hAnsi="Book Antiqua" w:hint="default"/>
          <w:rtl w:val="0"/>
          <w:lang w:val="it-IT"/>
        </w:rPr>
        <w:t xml:space="preserve">à </w:t>
      </w:r>
      <w:r>
        <w:rPr>
          <w:rFonts w:ascii="Book Antiqua"/>
          <w:rtl w:val="0"/>
          <w:lang w:val="it-IT"/>
        </w:rPr>
        <w:t>avevano presentato, gi</w:t>
      </w:r>
      <w:r>
        <w:rPr>
          <w:rFonts w:hAnsi="Book Antiqua" w:hint="default"/>
          <w:rtl w:val="0"/>
          <w:lang w:val="it-IT"/>
        </w:rPr>
        <w:t xml:space="preserve">à </w:t>
      </w:r>
      <w:r>
        <w:rPr>
          <w:rFonts w:ascii="Book Antiqua"/>
          <w:rtl w:val="0"/>
          <w:lang w:val="it-IT"/>
        </w:rPr>
        <w:t>dall'anno scorso, una richiesta di valutazione di impatto ambientale per l'ampliamento delle discariche in sopraelevazione e in ampliamento. I procedimenti sono al momento fermi presso l'ufficio VIA perch</w:t>
      </w:r>
      <w:r>
        <w:rPr>
          <w:rFonts w:hAnsi="Book Antiqua" w:hint="default"/>
          <w:rtl w:val="0"/>
          <w:lang w:val="it-IT"/>
        </w:rPr>
        <w:t xml:space="preserve">é </w:t>
      </w:r>
      <w:r>
        <w:rPr>
          <w:rFonts w:ascii="Book Antiqua"/>
          <w:rtl w:val="0"/>
          <w:lang w:val="it-IT"/>
        </w:rPr>
        <w:t>la regione Lazio mancava anche di una programmazione adeguata; c'era un piano di rifiuti che indicava delle volumetrie previste di gestione, ma che era rimasto fermo e non aveva avuto pi</w:t>
      </w:r>
      <w:r>
        <w:rPr>
          <w:rFonts w:hAnsi="Book Antiqua" w:hint="default"/>
          <w:rtl w:val="0"/>
          <w:lang w:val="it-IT"/>
        </w:rPr>
        <w:t xml:space="preserve">ù </w:t>
      </w:r>
      <w:r>
        <w:rPr>
          <w:rFonts w:ascii="Book Antiqua"/>
          <w:rtl w:val="0"/>
          <w:lang w:val="it-IT"/>
        </w:rPr>
        <w:t>aggiornamenti legati a questo aspetto</w:t>
      </w:r>
      <w:r>
        <w:rPr>
          <w:rFonts w:hAnsi="Book Antiqua" w:hint="default"/>
          <w:rtl w:val="0"/>
          <w:lang w:val="it-IT"/>
        </w:rPr>
        <w:t>”</w:t>
      </w:r>
      <w:r>
        <w:rPr>
          <w:rFonts w:ascii="Book Antiqua"/>
          <w:rtl w:val="0"/>
          <w:lang w:val="it-IT"/>
        </w:rPr>
        <w:t xml:space="preserve">. </w:t>
      </w:r>
    </w:p>
  </w:footnote>
  <w:footnote w:id="337">
    <w:p>
      <w:pPr>
        <w:pStyle w:val="Testo nota a piè di pagina1"/>
        <w:ind w:left="567" w:right="567" w:firstLine="0"/>
        <w:jc w:val="both"/>
      </w:pPr>
      <w:r>
        <w:rPr>
          <w:rFonts w:ascii="Book Antiqua" w:cs="Book Antiqua" w:hAnsi="Book Antiqua" w:eastAsia="Book Antiqua"/>
          <w:sz w:val="24"/>
          <w:szCs w:val="24"/>
          <w:vertAlign w:val="superscript"/>
          <w:rtl w:val="0"/>
        </w:rPr>
        <w:footnoteRef/>
      </w:r>
      <w:r>
        <w:rPr>
          <w:rFonts w:ascii="Book Antiqua"/>
          <w:rtl w:val="0"/>
          <w:lang w:val="it-IT"/>
        </w:rPr>
        <w:t xml:space="preserve"> L</w:t>
      </w:r>
      <w:r>
        <w:rPr>
          <w:rFonts w:hAnsi="Book Antiqua" w:hint="default"/>
          <w:rtl w:val="0"/>
          <w:lang w:val="it-IT"/>
        </w:rPr>
        <w:t>’</w:t>
      </w:r>
      <w:r>
        <w:rPr>
          <w:rFonts w:ascii="Book Antiqua"/>
          <w:rtl w:val="0"/>
          <w:lang w:val="it-IT"/>
        </w:rPr>
        <w:t xml:space="preserve">appello della difesa </w:t>
      </w:r>
      <w:r>
        <w:rPr>
          <w:rFonts w:hAnsi="Book Antiqua" w:hint="default"/>
          <w:rtl w:val="0"/>
          <w:lang w:val="it-IT"/>
        </w:rPr>
        <w:t xml:space="preserve">è </w:t>
      </w:r>
      <w:r>
        <w:rPr>
          <w:rFonts w:ascii="Book Antiqua"/>
          <w:rtl w:val="0"/>
          <w:lang w:val="it-IT"/>
        </w:rPr>
        <w:t>stato depositato il 10 aprile 1997. Relativamente al capo a) dell'imputazione (articolo 23 DPR 915/1982, per avere nella qualit</w:t>
      </w:r>
      <w:r>
        <w:rPr>
          <w:rFonts w:hAnsi="Book Antiqua" w:hint="default"/>
          <w:rtl w:val="0"/>
          <w:lang w:val="it-IT"/>
        </w:rPr>
        <w:t xml:space="preserve">à </w:t>
      </w:r>
      <w:r>
        <w:rPr>
          <w:rFonts w:ascii="Book Antiqua"/>
          <w:rtl w:val="0"/>
          <w:lang w:val="it-IT"/>
        </w:rPr>
        <w:t xml:space="preserve">di legale rappresentante dell'ente gestore della discarica di rifiuti industriali di Borgo Montello effettuato smaltimento di rifiuti tossico-nocivi. In Latina il 14.11.1992) la Corte di appello ha dichiarato non doversi procedere </w:t>
      </w:r>
      <w:r>
        <w:rPr>
          <w:rFonts w:hAnsi="Book Antiqua" w:hint="default"/>
          <w:rtl w:val="0"/>
          <w:lang w:val="it-IT"/>
        </w:rPr>
        <w:t>“</w:t>
      </w:r>
      <w:r>
        <w:rPr>
          <w:rFonts w:ascii="Book Antiqua"/>
          <w:rtl w:val="0"/>
          <w:lang w:val="it-IT"/>
        </w:rPr>
        <w:t>perch</w:t>
      </w:r>
      <w:r>
        <w:rPr>
          <w:rFonts w:hAnsi="Book Antiqua" w:hint="default"/>
          <w:rtl w:val="0"/>
          <w:lang w:val="it-IT"/>
        </w:rPr>
        <w:t xml:space="preserve">é </w:t>
      </w:r>
      <w:r>
        <w:rPr>
          <w:rFonts w:ascii="Book Antiqua"/>
          <w:rtl w:val="0"/>
          <w:lang w:val="it-IT"/>
        </w:rPr>
        <w:t>i suddetti reati sono estinti per intervenuta prescrizione</w:t>
      </w:r>
      <w:r>
        <w:rPr>
          <w:rFonts w:hAnsi="Book Antiqua" w:hint="default"/>
          <w:rtl w:val="0"/>
          <w:lang w:val="it-IT"/>
        </w:rPr>
        <w:t>”</w:t>
      </w:r>
      <w:r>
        <w:rPr>
          <w:rFonts w:ascii="Book Antiqua"/>
          <w:rtl w:val="0"/>
          <w:lang w:val="it-IT"/>
        </w:rPr>
        <w:t xml:space="preserve">; con la stessa sentenza i giudici di secondo grado hanno revocato l'ordine di </w:t>
      </w:r>
      <w:r>
        <w:rPr>
          <w:rFonts w:hAnsi="Book Antiqua" w:hint="default"/>
          <w:rtl w:val="0"/>
          <w:lang w:val="it-IT"/>
        </w:rPr>
        <w:t>“</w:t>
      </w:r>
      <w:r>
        <w:rPr>
          <w:rFonts w:ascii="Book Antiqua"/>
          <w:rtl w:val="0"/>
          <w:lang w:val="it-IT"/>
        </w:rPr>
        <w:t>remissione in pristino dello stato dei luoghi</w:t>
      </w:r>
      <w:r>
        <w:rPr>
          <w:rFonts w:hAnsi="Book Antiqua" w:hint="default"/>
          <w:rtl w:val="0"/>
          <w:lang w:val="it-IT"/>
        </w:rPr>
        <w:t>”</w:t>
      </w:r>
      <w:r>
        <w:rPr>
          <w:rFonts w:ascii="Book Antiqua"/>
          <w:rtl w:val="0"/>
          <w:lang w:val="it-IT"/>
        </w:rPr>
        <w:t>; l</w:t>
      </w:r>
      <w:r>
        <w:rPr>
          <w:rFonts w:hAnsi="Book Antiqua" w:hint="default"/>
          <w:rtl w:val="0"/>
          <w:lang w:val="it-IT"/>
        </w:rPr>
        <w:t>’</w:t>
      </w:r>
      <w:r>
        <w:rPr>
          <w:rFonts w:ascii="Book Antiqua"/>
          <w:rtl w:val="0"/>
          <w:lang w:val="it-IT"/>
        </w:rPr>
        <w:t>esito dell</w:t>
      </w:r>
      <w:r>
        <w:rPr>
          <w:rFonts w:hAnsi="Book Antiqua" w:hint="default"/>
          <w:rtl w:val="0"/>
          <w:lang w:val="it-IT"/>
        </w:rPr>
        <w:t>’</w:t>
      </w:r>
      <w:r>
        <w:rPr>
          <w:rFonts w:ascii="Book Antiqua"/>
          <w:rtl w:val="0"/>
          <w:lang w:val="it-IT"/>
        </w:rPr>
        <w:t>impugnazione risulta annotato sulla sentenza di primo grado, pagina 306 Doc PP 15948/13/44, procura della Repubblica di Latina.</w:t>
      </w:r>
    </w:p>
  </w:footnote>
  <w:footnote w:id="338">
    <w:p>
      <w:pPr>
        <w:pStyle w:val="Testo nota a piè di pagina1"/>
        <w:ind w:left="567" w:right="567" w:firstLine="0"/>
        <w:jc w:val="both"/>
      </w:pPr>
      <w:r>
        <w:rPr>
          <w:rFonts w:ascii="Book Antiqua" w:cs="Book Antiqua" w:hAnsi="Book Antiqua" w:eastAsia="Book Antiqua"/>
          <w:sz w:val="24"/>
          <w:szCs w:val="24"/>
          <w:vertAlign w:val="superscript"/>
          <w:rtl w:val="0"/>
        </w:rPr>
        <w:footnoteRef/>
      </w:r>
      <w:r>
        <w:rPr>
          <w:rFonts w:ascii="Book Antiqua"/>
          <w:rtl w:val="0"/>
          <w:lang w:val="it-IT"/>
        </w:rPr>
        <w:t xml:space="preserve"> Doc. n.  1343/2 p. 30ss. perizia della relazione consulenziale contenuta nel fascicolo.</w:t>
      </w:r>
    </w:p>
  </w:footnote>
  <w:footnote w:id="339">
    <w:p>
      <w:pPr>
        <w:pStyle w:val="Testo nota a piè di pagina1"/>
        <w:ind w:left="567" w:right="567" w:firstLine="0"/>
        <w:jc w:val="both"/>
      </w:pPr>
      <w:r>
        <w:rPr>
          <w:rFonts w:ascii="Book Antiqua" w:cs="Book Antiqua" w:hAnsi="Book Antiqua" w:eastAsia="Book Antiqua"/>
          <w:vertAlign w:val="superscript"/>
          <w:rtl w:val="0"/>
        </w:rPr>
        <w:footnoteRef/>
      </w:r>
      <w:r>
        <w:rPr>
          <w:rFonts w:ascii="Book Antiqua"/>
          <w:rtl w:val="0"/>
          <w:lang w:val="it-IT"/>
        </w:rPr>
        <w:t xml:space="preserve"> All'epoca dei fatti narrati dai testimoni era gi</w:t>
      </w:r>
      <w:r>
        <w:rPr>
          <w:rFonts w:hAnsi="Book Antiqua" w:hint="default"/>
          <w:rtl w:val="0"/>
          <w:lang w:val="it-IT"/>
        </w:rPr>
        <w:t xml:space="preserve">à </w:t>
      </w:r>
      <w:r>
        <w:rPr>
          <w:rFonts w:ascii="Book Antiqua"/>
          <w:rtl w:val="0"/>
          <w:lang w:val="it-IT"/>
        </w:rPr>
        <w:t>in vigore il DPR 915 del 1982; gli invasi S1, S2 e S3 non erano classificati come discariche 2 B (per rifiuti speciali) o 2 C (per rifiuti pericolosi). L'unica autorizzazione che risulta agli atti per lo stoccaggio di rifiuti speciali riguarder</w:t>
      </w:r>
      <w:r>
        <w:rPr>
          <w:rFonts w:hAnsi="Book Antiqua" w:hint="default"/>
          <w:rtl w:val="0"/>
          <w:lang w:val="it-IT"/>
        </w:rPr>
        <w:t>à</w:t>
      </w:r>
      <w:r>
        <w:rPr>
          <w:rFonts w:ascii="Book Antiqua"/>
          <w:rtl w:val="0"/>
          <w:lang w:val="it-IT"/>
        </w:rPr>
        <w:t xml:space="preserve">, come visto, l'area </w:t>
      </w:r>
      <w:r>
        <w:rPr>
          <w:rFonts w:hAnsi="Book Antiqua" w:hint="default"/>
          <w:rtl w:val="0"/>
          <w:lang w:val="it-IT"/>
        </w:rPr>
        <w:t>“</w:t>
      </w:r>
      <w:r>
        <w:rPr>
          <w:rFonts w:ascii="Book Antiqua"/>
          <w:rtl w:val="0"/>
          <w:lang w:val="it-IT"/>
        </w:rPr>
        <w:t>B2</w:t>
      </w:r>
      <w:r>
        <w:rPr>
          <w:rFonts w:hAnsi="Book Antiqua" w:hint="default"/>
          <w:rtl w:val="0"/>
          <w:lang w:val="it-IT"/>
        </w:rPr>
        <w:t>”</w:t>
      </w:r>
      <w:r>
        <w:rPr>
          <w:rFonts w:ascii="Book Antiqua"/>
          <w:rtl w:val="0"/>
          <w:lang w:val="it-IT"/>
        </w:rPr>
        <w:t xml:space="preserve">. In ogni caso </w:t>
      </w:r>
      <w:r>
        <w:rPr>
          <w:rFonts w:hAnsi="Book Antiqua" w:hint="default"/>
          <w:rtl w:val="0"/>
          <w:lang w:val="it-IT"/>
        </w:rPr>
        <w:t xml:space="preserve">– </w:t>
      </w:r>
      <w:r>
        <w:rPr>
          <w:rFonts w:ascii="Book Antiqua"/>
          <w:rtl w:val="0"/>
          <w:lang w:val="it-IT"/>
        </w:rPr>
        <w:t>come gi</w:t>
      </w:r>
      <w:r>
        <w:rPr>
          <w:rFonts w:hAnsi="Book Antiqua" w:hint="default"/>
          <w:rtl w:val="0"/>
          <w:lang w:val="it-IT"/>
        </w:rPr>
        <w:t xml:space="preserve">à </w:t>
      </w:r>
      <w:r>
        <w:rPr>
          <w:rFonts w:ascii="Book Antiqua"/>
          <w:rtl w:val="0"/>
          <w:lang w:val="it-IT"/>
        </w:rPr>
        <w:t xml:space="preserve">si </w:t>
      </w:r>
      <w:r>
        <w:rPr>
          <w:rFonts w:hAnsi="Book Antiqua" w:hint="default"/>
          <w:rtl w:val="0"/>
          <w:lang w:val="it-IT"/>
        </w:rPr>
        <w:t xml:space="preserve">è </w:t>
      </w:r>
      <w:r>
        <w:rPr>
          <w:rFonts w:ascii="Book Antiqua"/>
          <w:rtl w:val="0"/>
          <w:lang w:val="it-IT"/>
        </w:rPr>
        <w:t xml:space="preserve">detto parlando di questo invaso </w:t>
      </w:r>
      <w:r>
        <w:rPr>
          <w:rFonts w:hAnsi="Book Antiqua" w:hint="default"/>
          <w:rtl w:val="0"/>
          <w:lang w:val="it-IT"/>
        </w:rPr>
        <w:t xml:space="preserve">– </w:t>
      </w:r>
      <w:r>
        <w:rPr>
          <w:rFonts w:ascii="Book Antiqua"/>
          <w:rtl w:val="0"/>
          <w:lang w:val="it-IT"/>
        </w:rPr>
        <w:t>l'area di Borgo Montello era stata ritenuta sia dalla speciale commissione della regione Lazio, sia dai consulenti giudiziari</w:t>
      </w:r>
      <w:r>
        <w:rPr>
          <w:rFonts w:ascii="Book Antiqua Bold"/>
          <w:b w:val="1"/>
          <w:bCs w:val="1"/>
          <w:i w:val="1"/>
          <w:iCs w:val="1"/>
          <w:rtl w:val="0"/>
          <w:lang w:val="it-IT"/>
        </w:rPr>
        <w:t xml:space="preserve"> </w:t>
      </w:r>
      <w:r>
        <w:rPr>
          <w:rFonts w:ascii="Book Antiqua"/>
          <w:rtl w:val="0"/>
          <w:lang w:val="it-IT"/>
        </w:rPr>
        <w:t>non idonea geologicamente per accogliere rifiuti speciali e pericolosi.</w:t>
      </w:r>
    </w:p>
  </w:footnote>
  <w:footnote w:id="340">
    <w:p>
      <w:pPr>
        <w:pStyle w:val="Testo nota a piè di pagina1"/>
        <w:ind w:left="567" w:right="567" w:firstLine="0"/>
        <w:jc w:val="both"/>
      </w:pPr>
      <w:r>
        <w:rPr>
          <w:rFonts w:ascii="Book Antiqua" w:cs="Book Antiqua" w:hAnsi="Book Antiqua" w:eastAsia="Book Antiqua"/>
          <w:vertAlign w:val="superscript"/>
          <w:rtl w:val="0"/>
        </w:rPr>
        <w:footnoteRef/>
      </w:r>
      <w:r>
        <w:rPr>
          <w:rFonts w:ascii="Book Antiqua" w:cs="Book Antiqua" w:hAnsi="Book Antiqua" w:eastAsia="Book Antiqua"/>
          <w:rtl w:val="0"/>
        </w:rPr>
        <w:tab/>
        <w:t>C.F. 03834261004</w:t>
      </w:r>
    </w:p>
  </w:footnote>
  <w:footnote w:id="341">
    <w:p>
      <w:pPr>
        <w:pStyle w:val="Testo nota a piè di pagina1"/>
        <w:ind w:left="567" w:right="567" w:firstLine="0"/>
        <w:jc w:val="both"/>
      </w:pPr>
      <w:r>
        <w:rPr>
          <w:rFonts w:ascii="Book Antiqua" w:cs="Book Antiqua" w:hAnsi="Book Antiqua" w:eastAsia="Book Antiqua"/>
          <w:vertAlign w:val="superscript"/>
          <w:rtl w:val="0"/>
        </w:rPr>
        <w:footnoteRef/>
      </w:r>
      <w:r>
        <w:rPr>
          <w:rFonts w:ascii="Book Antiqua" w:cs="Book Antiqua" w:hAnsi="Book Antiqua" w:eastAsia="Book Antiqua"/>
          <w:rtl w:val="0"/>
        </w:rPr>
        <w:tab/>
        <w:t>C.F. 04332211004</w:t>
      </w:r>
    </w:p>
  </w:footnote>
  <w:footnote w:id="342">
    <w:p>
      <w:pPr>
        <w:pStyle w:val="Testo nota a piè di pagina1"/>
        <w:ind w:left="567" w:right="567" w:firstLine="0"/>
        <w:jc w:val="both"/>
      </w:pPr>
      <w:r>
        <w:rPr>
          <w:rFonts w:ascii="Book Antiqua" w:cs="Book Antiqua" w:hAnsi="Book Antiqua" w:eastAsia="Book Antiqua"/>
          <w:sz w:val="24"/>
          <w:szCs w:val="24"/>
          <w:vertAlign w:val="superscript"/>
          <w:rtl w:val="0"/>
        </w:rPr>
        <w:footnoteRef/>
      </w:r>
      <w:r>
        <w:rPr>
          <w:rFonts w:ascii="Book Antiqua"/>
          <w:rtl w:val="0"/>
          <w:lang w:val="it-IT"/>
        </w:rPr>
        <w:t xml:space="preserve"> La Commissione ha acquisito (Doc. n. 12/1-4) documentazione proveniente dalla societ</w:t>
      </w:r>
      <w:r>
        <w:rPr>
          <w:rFonts w:hAnsi="Book Antiqua" w:hint="default"/>
          <w:rtl w:val="0"/>
          <w:lang w:val="it-IT"/>
        </w:rPr>
        <w:t xml:space="preserve">à </w:t>
      </w:r>
      <w:r>
        <w:rPr>
          <w:rFonts w:ascii="Book Antiqua"/>
          <w:rtl w:val="0"/>
          <w:lang w:val="it-IT"/>
        </w:rPr>
        <w:t>Ecoambiente, che si fonda in efeftti su questo presupposto</w:t>
      </w:r>
    </w:p>
  </w:footnote>
  <w:footnote w:id="343">
    <w:p>
      <w:pPr>
        <w:pStyle w:val="Testo nota a piè di pagina1"/>
        <w:ind w:left="567" w:right="567" w:firstLine="0"/>
        <w:jc w:val="both"/>
      </w:pPr>
      <w:r>
        <w:rPr>
          <w:rFonts w:ascii="Book Antiqua" w:cs="Book Antiqua" w:hAnsi="Book Antiqua" w:eastAsia="Book Antiqua"/>
          <w:i w:val="1"/>
          <w:iCs w:val="1"/>
          <w:color w:val="000000"/>
          <w:sz w:val="24"/>
          <w:szCs w:val="24"/>
          <w:u w:color="000000"/>
          <w:vertAlign w:val="superscript"/>
          <w:rtl w:val="0"/>
        </w:rPr>
        <w:footnoteRef/>
      </w:r>
      <w:r>
        <w:rPr>
          <w:rFonts w:ascii="Book Antiqua" w:cs="Book Antiqua" w:hAnsi="Book Antiqua" w:eastAsia="Book Antiqua"/>
          <w:rtl w:val="0"/>
        </w:rPr>
        <w:tab/>
        <w:t xml:space="preserve"> Doc. n. 1406/2</w:t>
      </w:r>
    </w:p>
  </w:footnote>
  <w:footnote w:id="344">
    <w:p>
      <w:pPr>
        <w:pStyle w:val="Testo nota a piè di pagina1"/>
        <w:ind w:left="567" w:right="567" w:firstLine="0"/>
        <w:jc w:val="both"/>
      </w:pPr>
      <w:r>
        <w:rPr>
          <w:rFonts w:ascii="Book Antiqua" w:cs="Book Antiqua" w:hAnsi="Book Antiqua" w:eastAsia="Book Antiqua"/>
          <w:i w:val="1"/>
          <w:iCs w:val="1"/>
          <w:color w:val="000000"/>
          <w:sz w:val="24"/>
          <w:szCs w:val="24"/>
          <w:u w:color="000000"/>
          <w:vertAlign w:val="superscript"/>
          <w:rtl w:val="0"/>
        </w:rPr>
        <w:footnoteRef/>
      </w:r>
      <w:r>
        <w:rPr>
          <w:rFonts w:ascii="Book Antiqua"/>
          <w:rtl w:val="0"/>
          <w:lang w:val="it-IT"/>
        </w:rPr>
        <w:t xml:space="preserve"> Doc. n. 1406/4</w:t>
      </w:r>
    </w:p>
  </w:footnote>
  <w:footnote w:id="345">
    <w:p>
      <w:pPr>
        <w:pStyle w:val="Testo nota a piè di pagina1"/>
        <w:ind w:left="567" w:right="567" w:firstLine="0"/>
        <w:jc w:val="both"/>
      </w:pPr>
      <w:r>
        <w:rPr>
          <w:rFonts w:ascii="Book Antiqua" w:cs="Book Antiqua" w:hAnsi="Book Antiqua" w:eastAsia="Book Antiqua"/>
          <w:vertAlign w:val="superscript"/>
          <w:rtl w:val="0"/>
        </w:rPr>
        <w:footnoteRef/>
      </w:r>
      <w:r>
        <w:rPr>
          <w:rFonts w:ascii="Book Antiqua"/>
          <w:rtl w:val="0"/>
          <w:lang w:val="it-IT"/>
        </w:rPr>
        <w:t xml:space="preserve"> Sui rapporti tra il senatore Maurizio Calvi e Andrea Proietto si veda altres</w:t>
      </w:r>
      <w:r>
        <w:rPr>
          <w:rFonts w:hAnsi="Book Antiqua" w:hint="default"/>
          <w:rtl w:val="0"/>
          <w:lang w:val="it-IT"/>
        </w:rPr>
        <w:t xml:space="preserve">ì </w:t>
      </w:r>
      <w:r>
        <w:rPr>
          <w:rFonts w:ascii="Book Antiqua"/>
          <w:rtl w:val="0"/>
          <w:lang w:val="it-IT"/>
        </w:rPr>
        <w:t xml:space="preserve">il </w:t>
      </w:r>
      <w:r>
        <w:rPr>
          <w:rFonts w:hAnsi="Book Antiqua" w:hint="default"/>
          <w:rtl w:val="0"/>
          <w:lang w:val="it-IT"/>
        </w:rPr>
        <w:t xml:space="preserve">§ </w:t>
      </w:r>
      <w:r>
        <w:rPr>
          <w:rFonts w:ascii="Book Antiqua"/>
          <w:rtl w:val="0"/>
          <w:lang w:val="it-IT"/>
        </w:rPr>
        <w:t>7.5</w:t>
      </w:r>
    </w:p>
  </w:footnote>
  <w:footnote w:id="346">
    <w:p>
      <w:pPr>
        <w:pStyle w:val="Testo nota a piè di pagina1"/>
        <w:ind w:left="567" w:right="567" w:firstLine="0"/>
        <w:jc w:val="both"/>
      </w:pPr>
      <w:r>
        <w:rPr>
          <w:rFonts w:ascii="Book Antiqua" w:cs="Book Antiqua" w:hAnsi="Book Antiqua" w:eastAsia="Book Antiqua"/>
          <w:i w:val="1"/>
          <w:iCs w:val="1"/>
          <w:color w:val="000000"/>
          <w:sz w:val="24"/>
          <w:szCs w:val="24"/>
          <w:u w:color="000000"/>
          <w:vertAlign w:val="superscript"/>
          <w:rtl w:val="0"/>
        </w:rPr>
        <w:footnoteRef/>
      </w:r>
      <w:r>
        <w:rPr>
          <w:rFonts w:ascii="Book Antiqua"/>
          <w:rtl w:val="0"/>
          <w:lang w:val="it-IT"/>
        </w:rPr>
        <w:t xml:space="preserve"> Doc. n. 1406/5</w:t>
      </w:r>
    </w:p>
  </w:footnote>
  <w:footnote w:id="347">
    <w:p>
      <w:pPr>
        <w:pStyle w:val="Testo nota a piè di pagina1"/>
        <w:ind w:left="567" w:right="567" w:firstLine="0"/>
        <w:jc w:val="both"/>
      </w:pPr>
      <w:r>
        <w:rPr>
          <w:rFonts w:ascii="Book Antiqua" w:cs="Book Antiqua" w:hAnsi="Book Antiqua" w:eastAsia="Book Antiqua"/>
          <w:i w:val="1"/>
          <w:iCs w:val="1"/>
          <w:color w:val="000000"/>
          <w:sz w:val="24"/>
          <w:szCs w:val="24"/>
          <w:u w:color="000000"/>
          <w:vertAlign w:val="superscript"/>
          <w:rtl w:val="0"/>
        </w:rPr>
        <w:footnoteRef/>
      </w:r>
      <w:r>
        <w:rPr>
          <w:rFonts w:ascii="Book Antiqua" w:cs="Book Antiqua" w:hAnsi="Book Antiqua" w:eastAsia="Book Antiqua"/>
          <w:rtl w:val="0"/>
        </w:rPr>
        <w:tab/>
        <w:t xml:space="preserve"> Doc. n. 1406/3</w:t>
      </w:r>
    </w:p>
  </w:footnote>
  <w:footnote w:id="348">
    <w:p>
      <w:pPr>
        <w:pStyle w:val="Testo nota a piè di pagina1"/>
        <w:ind w:left="567" w:right="567" w:firstLine="0"/>
        <w:jc w:val="both"/>
      </w:pPr>
      <w:r>
        <w:rPr>
          <w:rFonts w:ascii="Book Antiqua" w:cs="Book Antiqua" w:hAnsi="Book Antiqua" w:eastAsia="Book Antiqua"/>
          <w:sz w:val="24"/>
          <w:szCs w:val="24"/>
          <w:vertAlign w:val="superscript"/>
          <w:rtl w:val="0"/>
        </w:rPr>
        <w:footnoteRef/>
      </w:r>
      <w:r>
        <w:rPr>
          <w:rFonts w:ascii="Book Antiqua"/>
          <w:rtl w:val="0"/>
          <w:lang w:val="it-IT"/>
        </w:rPr>
        <w:t xml:space="preserve"> Interrogazione a risposta scritta 4/10973 presentata da Giulio Maceratini (Movimento Sociale Italiano - Destra Nazionale) in data 1993 02 17: </w:t>
      </w:r>
      <w:r>
        <w:rPr>
          <w:rFonts w:hAnsi="Book Antiqua" w:hint="default"/>
          <w:rtl w:val="0"/>
          <w:lang w:val="it-IT"/>
        </w:rPr>
        <w:t>“</w:t>
      </w:r>
      <w:r>
        <w:rPr>
          <w:rFonts w:ascii="Book Antiqua"/>
          <w:rtl w:val="0"/>
          <w:lang w:val="it-IT"/>
        </w:rPr>
        <w:t>Ai Ministri per gli affari regionali, dell'interno e dell'ambiente. - Per sapere - premesso: che si sono fatte sempre pi</w:t>
      </w:r>
      <w:r>
        <w:rPr>
          <w:rFonts w:hAnsi="Book Antiqua" w:hint="default"/>
          <w:rtl w:val="0"/>
          <w:lang w:val="it-IT"/>
        </w:rPr>
        <w:t xml:space="preserve">ù </w:t>
      </w:r>
      <w:r>
        <w:rPr>
          <w:rFonts w:ascii="Book Antiqua"/>
          <w:rtl w:val="0"/>
          <w:lang w:val="it-IT"/>
        </w:rPr>
        <w:t>insistenti le voci di diffuse illegalit</w:t>
      </w:r>
      <w:r>
        <w:rPr>
          <w:rFonts w:hAnsi="Book Antiqua" w:hint="default"/>
          <w:rtl w:val="0"/>
          <w:lang w:val="it-IT"/>
        </w:rPr>
        <w:t xml:space="preserve">à </w:t>
      </w:r>
      <w:r>
        <w:rPr>
          <w:rFonts w:ascii="Book Antiqua"/>
          <w:rtl w:val="0"/>
          <w:lang w:val="it-IT"/>
        </w:rPr>
        <w:t>in ordine alla discarica di Borgo Montello e appare sempre pi</w:t>
      </w:r>
      <w:r>
        <w:rPr>
          <w:rFonts w:hAnsi="Book Antiqua" w:hint="default"/>
          <w:rtl w:val="0"/>
          <w:lang w:val="it-IT"/>
        </w:rPr>
        <w:t xml:space="preserve">ù </w:t>
      </w:r>
      <w:r>
        <w:rPr>
          <w:rFonts w:ascii="Book Antiqua"/>
          <w:rtl w:val="0"/>
          <w:lang w:val="it-IT"/>
        </w:rPr>
        <w:t>torbido ed allarmante il retroscena sull'intera vicenda; che, giova premettere, tale discarica era gestita in precedenza da una certa societ</w:t>
      </w:r>
      <w:r>
        <w:rPr>
          <w:rFonts w:hAnsi="Book Antiqua" w:hint="default"/>
          <w:rtl w:val="0"/>
          <w:lang w:val="it-IT"/>
        </w:rPr>
        <w:t xml:space="preserve">à </w:t>
      </w:r>
      <w:r>
        <w:rPr>
          <w:rFonts w:ascii="Book Antiqua"/>
          <w:rtl w:val="0"/>
          <w:lang w:val="it-IT"/>
        </w:rPr>
        <w:t>Prochi e tale societ</w:t>
      </w:r>
      <w:r>
        <w:rPr>
          <w:rFonts w:hAnsi="Book Antiqua" w:hint="default"/>
          <w:rtl w:val="0"/>
          <w:lang w:val="it-IT"/>
        </w:rPr>
        <w:t xml:space="preserve">à </w:t>
      </w:r>
      <w:r>
        <w:rPr>
          <w:rFonts w:ascii="Book Antiqua"/>
          <w:rtl w:val="0"/>
          <w:lang w:val="it-IT"/>
        </w:rPr>
        <w:t>risultava in stretti rapporti con un parlamentare socialista della provincia di Latina tanto che alla detta societ</w:t>
      </w:r>
      <w:r>
        <w:rPr>
          <w:rFonts w:hAnsi="Book Antiqua" w:hint="default"/>
          <w:rtl w:val="0"/>
          <w:lang w:val="it-IT"/>
        </w:rPr>
        <w:t xml:space="preserve">à </w:t>
      </w:r>
      <w:r>
        <w:rPr>
          <w:rFonts w:ascii="Book Antiqua"/>
          <w:rtl w:val="0"/>
          <w:lang w:val="it-IT"/>
        </w:rPr>
        <w:t>Prochi risultava intestata una vettura Citroen Pallas rubata all'anzidetto parlamentare cos</w:t>
      </w:r>
      <w:r>
        <w:rPr>
          <w:rFonts w:hAnsi="Book Antiqua" w:hint="default"/>
          <w:rtl w:val="0"/>
          <w:lang w:val="it-IT"/>
        </w:rPr>
        <w:t xml:space="preserve">ì </w:t>
      </w:r>
      <w:r>
        <w:rPr>
          <w:rFonts w:ascii="Book Antiqua"/>
          <w:rtl w:val="0"/>
          <w:lang w:val="it-IT"/>
        </w:rPr>
        <w:t>come alla stessa societ</w:t>
      </w:r>
      <w:r>
        <w:rPr>
          <w:rFonts w:hAnsi="Book Antiqua" w:hint="default"/>
          <w:rtl w:val="0"/>
          <w:lang w:val="it-IT"/>
        </w:rPr>
        <w:t xml:space="preserve">à </w:t>
      </w:r>
      <w:r>
        <w:rPr>
          <w:rFonts w:ascii="Book Antiqua"/>
          <w:rtl w:val="0"/>
          <w:lang w:val="it-IT"/>
        </w:rPr>
        <w:t>Prochi risultava intestato il telefono cellulare utilizzato dal detto parlamentare e ugualmente della societ</w:t>
      </w:r>
      <w:r>
        <w:rPr>
          <w:rFonts w:hAnsi="Book Antiqua" w:hint="default"/>
          <w:rtl w:val="0"/>
          <w:lang w:val="it-IT"/>
        </w:rPr>
        <w:t xml:space="preserve">à </w:t>
      </w:r>
      <w:r>
        <w:rPr>
          <w:rFonts w:ascii="Book Antiqua"/>
          <w:rtl w:val="0"/>
          <w:lang w:val="it-IT"/>
        </w:rPr>
        <w:t xml:space="preserve">Prochi era l'autista della vettura, tale Fraulin, di cui si serviva lo stesso parlamentare; che la detta discarica di Borgo Montello </w:t>
      </w:r>
      <w:r>
        <w:rPr>
          <w:rFonts w:hAnsi="Book Antiqua" w:hint="default"/>
          <w:rtl w:val="0"/>
          <w:lang w:val="it-IT"/>
        </w:rPr>
        <w:t xml:space="preserve">è </w:t>
      </w:r>
      <w:r>
        <w:rPr>
          <w:rFonts w:ascii="Book Antiqua"/>
          <w:rtl w:val="0"/>
          <w:lang w:val="it-IT"/>
        </w:rPr>
        <w:t>poi finita nelle mani della societ</w:t>
      </w:r>
      <w:r>
        <w:rPr>
          <w:rFonts w:hAnsi="Book Antiqua" w:hint="default"/>
          <w:rtl w:val="0"/>
          <w:lang w:val="it-IT"/>
        </w:rPr>
        <w:t xml:space="preserve">à </w:t>
      </w:r>
      <w:r>
        <w:rPr>
          <w:rFonts w:ascii="Book Antiqua"/>
          <w:rtl w:val="0"/>
          <w:lang w:val="it-IT"/>
        </w:rPr>
        <w:t>Acqua, facente capo ai fratelli Pisante e attualmente clamorosamente inquisita dalla magistratura milanese; che ulteriore motivo di sospetto deriva dalla ordinanza regionale n. 1 del 5 gennaio 1993 con la quale la giunta regionale del Lazio ha stabilito essere Borgo Montello impianto di stoccaggio di rifiuti tossici e nocivi provenienti da tutta l'Italia; che addirittura si fanno sempre pi</w:t>
      </w:r>
      <w:r>
        <w:rPr>
          <w:rFonts w:hAnsi="Book Antiqua" w:hint="default"/>
          <w:rtl w:val="0"/>
          <w:lang w:val="it-IT"/>
        </w:rPr>
        <w:t xml:space="preserve">ù </w:t>
      </w:r>
      <w:r>
        <w:rPr>
          <w:rFonts w:ascii="Book Antiqua"/>
          <w:rtl w:val="0"/>
          <w:lang w:val="it-IT"/>
        </w:rPr>
        <w:t>insistenti le voci secondo le quali il presidente della regione Lazio Pasetto avrebbe parlato di "manomissioni" della delibera, posto che l'ultimo capoverso della delibera stessa, quello cio</w:t>
      </w:r>
      <w:r>
        <w:rPr>
          <w:rFonts w:hAnsi="Book Antiqua" w:hint="default"/>
          <w:rtl w:val="0"/>
          <w:lang w:val="it-IT"/>
        </w:rPr>
        <w:t xml:space="preserve">è </w:t>
      </w:r>
      <w:r>
        <w:rPr>
          <w:rFonts w:ascii="Book Antiqua"/>
          <w:rtl w:val="0"/>
          <w:lang w:val="it-IT"/>
        </w:rPr>
        <w:t xml:space="preserve">che consente lo stoccaggio a Borgo Montello di rifiuti tossici provenienti da tutta l'Italia, sarebbe stato inserito a sua insaputa nella delibera in questione; che </w:t>
      </w:r>
      <w:r>
        <w:rPr>
          <w:rFonts w:hAnsi="Book Antiqua" w:hint="default"/>
          <w:rtl w:val="0"/>
          <w:lang w:val="it-IT"/>
        </w:rPr>
        <w:t xml:space="preserve">è </w:t>
      </w:r>
      <w:r>
        <w:rPr>
          <w:rFonts w:ascii="Book Antiqua"/>
          <w:rtl w:val="0"/>
          <w:lang w:val="it-IT"/>
        </w:rPr>
        <w:t>dunque evidente che l'intera vicenda merita dei chiarimenti e approfondimenti adeguati per giungere alla necessaria trasparenza sui passaggi di mano avvenuti fra le societ</w:t>
      </w:r>
      <w:r>
        <w:rPr>
          <w:rFonts w:hAnsi="Book Antiqua" w:hint="default"/>
          <w:rtl w:val="0"/>
          <w:lang w:val="it-IT"/>
        </w:rPr>
        <w:t xml:space="preserve">à </w:t>
      </w:r>
      <w:r>
        <w:rPr>
          <w:rFonts w:ascii="Book Antiqua"/>
          <w:rtl w:val="0"/>
          <w:lang w:val="it-IT"/>
        </w:rPr>
        <w:t>che hanno gestito e gestiscono la discarica e per conoscere altres</w:t>
      </w:r>
      <w:r>
        <w:rPr>
          <w:rFonts w:hAnsi="Book Antiqua" w:hint="default"/>
          <w:rtl w:val="0"/>
          <w:lang w:val="it-IT"/>
        </w:rPr>
        <w:t xml:space="preserve">ì </w:t>
      </w:r>
      <w:r>
        <w:rPr>
          <w:rFonts w:ascii="Book Antiqua"/>
          <w:rtl w:val="0"/>
          <w:lang w:val="it-IT"/>
        </w:rPr>
        <w:t>quale sia la reale volont</w:t>
      </w:r>
      <w:r>
        <w:rPr>
          <w:rFonts w:hAnsi="Book Antiqua" w:hint="default"/>
          <w:rtl w:val="0"/>
          <w:lang w:val="it-IT"/>
        </w:rPr>
        <w:t xml:space="preserve">à </w:t>
      </w:r>
      <w:r>
        <w:rPr>
          <w:rFonts w:ascii="Book Antiqua"/>
          <w:rtl w:val="0"/>
          <w:lang w:val="it-IT"/>
        </w:rPr>
        <w:t>della regione Lazio ed il reale stato delle cose che, riguardando il delicato problema della conservazione dei rifiuti tossici, suscita grave allarme nella popolazione pontina -: quale sia il ruolo svolto dalla societ</w:t>
      </w:r>
      <w:r>
        <w:rPr>
          <w:rFonts w:hAnsi="Book Antiqua" w:hint="default"/>
          <w:rtl w:val="0"/>
          <w:lang w:val="it-IT"/>
        </w:rPr>
        <w:t xml:space="preserve">à </w:t>
      </w:r>
      <w:r>
        <w:rPr>
          <w:rFonts w:ascii="Book Antiqua"/>
          <w:rtl w:val="0"/>
          <w:lang w:val="it-IT"/>
        </w:rPr>
        <w:t>Prochi nella discarica di Borgo Montello e chi sia il parlamentare socialista che ha avuto rapporti con la societ</w:t>
      </w:r>
      <w:r>
        <w:rPr>
          <w:rFonts w:hAnsi="Book Antiqua" w:hint="default"/>
          <w:rtl w:val="0"/>
          <w:lang w:val="it-IT"/>
        </w:rPr>
        <w:t xml:space="preserve">à </w:t>
      </w:r>
      <w:r>
        <w:rPr>
          <w:rFonts w:ascii="Book Antiqua"/>
          <w:rtl w:val="0"/>
          <w:lang w:val="it-IT"/>
        </w:rPr>
        <w:t>Prochi e a quale titolo; chi siano gli attuali soci della societ</w:t>
      </w:r>
      <w:r>
        <w:rPr>
          <w:rFonts w:hAnsi="Book Antiqua" w:hint="default"/>
          <w:rtl w:val="0"/>
          <w:lang w:val="it-IT"/>
        </w:rPr>
        <w:t xml:space="preserve">à </w:t>
      </w:r>
      <w:r>
        <w:rPr>
          <w:rFonts w:ascii="Book Antiqua"/>
          <w:rtl w:val="0"/>
          <w:lang w:val="it-IT"/>
        </w:rPr>
        <w:t xml:space="preserve">Acqua che gestisce attualmente la discarica di Borgo Montello, posto che il 40 per cento delle azioni sembra essere intestato ai fratelli Pisante e non si conoscono i titolari della residua parte del capitale sociale; come sia potuto accadere la manomissione, se di questo si </w:t>
      </w:r>
      <w:r>
        <w:rPr>
          <w:rFonts w:hAnsi="Book Antiqua" w:hint="default"/>
          <w:rtl w:val="0"/>
          <w:lang w:val="it-IT"/>
        </w:rPr>
        <w:t xml:space="preserve">è </w:t>
      </w:r>
      <w:r>
        <w:rPr>
          <w:rFonts w:ascii="Book Antiqua"/>
          <w:rtl w:val="0"/>
          <w:lang w:val="it-IT"/>
        </w:rPr>
        <w:t>trattato, della delibera regionale 5 gennaio 1993 e cosa intenda fare il Governo perch</w:t>
      </w:r>
      <w:r>
        <w:rPr>
          <w:rFonts w:hAnsi="Book Antiqua" w:hint="default"/>
          <w:rtl w:val="0"/>
          <w:lang w:val="it-IT"/>
        </w:rPr>
        <w:t xml:space="preserve">é </w:t>
      </w:r>
      <w:r>
        <w:rPr>
          <w:rFonts w:ascii="Book Antiqua"/>
          <w:rtl w:val="0"/>
          <w:lang w:val="it-IT"/>
        </w:rPr>
        <w:t>la reale volont</w:t>
      </w:r>
      <w:r>
        <w:rPr>
          <w:rFonts w:hAnsi="Book Antiqua" w:hint="default"/>
          <w:rtl w:val="0"/>
          <w:lang w:val="it-IT"/>
        </w:rPr>
        <w:t xml:space="preserve">à </w:t>
      </w:r>
      <w:r>
        <w:rPr>
          <w:rFonts w:ascii="Book Antiqua"/>
          <w:rtl w:val="0"/>
          <w:lang w:val="it-IT"/>
        </w:rPr>
        <w:t>della regione Lazio sia fatta prevalere e, in ogni caso, se non si ritenga di intervenire adeguatamente perch</w:t>
      </w:r>
      <w:r>
        <w:rPr>
          <w:rFonts w:hAnsi="Book Antiqua" w:hint="default"/>
          <w:rtl w:val="0"/>
          <w:lang w:val="it-IT"/>
        </w:rPr>
        <w:t xml:space="preserve">é </w:t>
      </w:r>
      <w:r>
        <w:rPr>
          <w:rFonts w:ascii="Book Antiqua"/>
          <w:rtl w:val="0"/>
          <w:lang w:val="it-IT"/>
        </w:rPr>
        <w:t>le procedure di stoccaggio dei rifiuti tossici vengano effettuate nel rispetto di criteri di uniformit</w:t>
      </w:r>
      <w:r>
        <w:rPr>
          <w:rFonts w:hAnsi="Book Antiqua" w:hint="default"/>
          <w:rtl w:val="0"/>
          <w:lang w:val="it-IT"/>
        </w:rPr>
        <w:t xml:space="preserve">à </w:t>
      </w:r>
      <w:r>
        <w:rPr>
          <w:rFonts w:ascii="Book Antiqua"/>
          <w:rtl w:val="0"/>
          <w:lang w:val="it-IT"/>
        </w:rPr>
        <w:t>e di equit</w:t>
      </w:r>
      <w:r>
        <w:rPr>
          <w:rFonts w:hAnsi="Book Antiqua" w:hint="default"/>
          <w:rtl w:val="0"/>
          <w:lang w:val="it-IT"/>
        </w:rPr>
        <w:t xml:space="preserve">à </w:t>
      </w:r>
      <w:r>
        <w:rPr>
          <w:rFonts w:ascii="Book Antiqua"/>
          <w:rtl w:val="0"/>
          <w:lang w:val="it-IT"/>
        </w:rPr>
        <w:t>rispetto all'intero territorio nazionale. (4-10973)</w:t>
      </w:r>
      <w:r>
        <w:rPr>
          <w:rFonts w:hAnsi="Book Antiqua" w:hint="default"/>
          <w:rtl w:val="0"/>
          <w:lang w:val="it-IT"/>
        </w:rPr>
        <w:t>”</w:t>
      </w:r>
      <w:r>
        <w:rPr>
          <w:rFonts w:ascii="Book Antiqua"/>
          <w:rtl w:val="0"/>
          <w:lang w:val="it-IT"/>
        </w:rPr>
        <w:t xml:space="preserve"> (</w:t>
      </w:r>
      <w:hyperlink r:id="rId40" w:anchor="nav" w:history="1">
        <w:r>
          <w:rPr>
            <w:rStyle w:val="Hyperlink.4"/>
            <w:rFonts w:ascii="Book Antiqua"/>
            <w:color w:val="000080"/>
            <w:u w:val="single" w:color="000080"/>
            <w:rtl w:val="0"/>
            <w:lang w:val="it-IT"/>
          </w:rPr>
          <w:t>http://storia.camera.it/documenti/indirizzo-e-controllo/19930217-interrogazione-risposta-scritta-4-10973#nav</w:t>
        </w:r>
      </w:hyperlink>
      <w:r>
        <w:rPr>
          <w:rFonts w:ascii="Book Antiqua"/>
          <w:color w:val="000080"/>
          <w:u w:val="single" w:color="000080"/>
          <w:rtl w:val="0"/>
          <w:lang w:val="it-IT"/>
        </w:rPr>
        <w:t>)</w:t>
      </w:r>
    </w:p>
  </w:footnote>
  <w:footnote w:id="349">
    <w:p>
      <w:pPr>
        <w:pStyle w:val="Testo nota a piè di pagina1"/>
        <w:ind w:left="567" w:right="567" w:firstLine="0"/>
        <w:jc w:val="both"/>
      </w:pPr>
      <w:r>
        <w:rPr>
          <w:rFonts w:ascii="Book Antiqua" w:cs="Book Antiqua" w:hAnsi="Book Antiqua" w:eastAsia="Book Antiqua"/>
          <w:sz w:val="24"/>
          <w:szCs w:val="24"/>
          <w:vertAlign w:val="superscript"/>
          <w:rtl w:val="0"/>
        </w:rPr>
        <w:footnoteRef/>
      </w:r>
      <w:r>
        <w:rPr>
          <w:rFonts w:ascii="Book Antiqua"/>
          <w:rtl w:val="0"/>
          <w:lang w:val="it-IT"/>
        </w:rPr>
        <w:t xml:space="preserve"> Dai dati Inps </w:t>
      </w:r>
      <w:r>
        <w:rPr>
          <w:rFonts w:hAnsi="Book Antiqua" w:hint="default"/>
          <w:rtl w:val="0"/>
          <w:lang w:val="it-IT"/>
        </w:rPr>
        <w:t xml:space="preserve">– </w:t>
      </w:r>
      <w:r>
        <w:rPr>
          <w:rFonts w:ascii="Book Antiqua"/>
          <w:rtl w:val="0"/>
          <w:lang w:val="it-IT"/>
        </w:rPr>
        <w:t xml:space="preserve">allegati alla citata informativa della squadra mobile di Latina </w:t>
      </w:r>
      <w:r>
        <w:rPr>
          <w:rFonts w:hAnsi="Book Antiqua" w:hint="default"/>
          <w:rtl w:val="0"/>
          <w:lang w:val="it-IT"/>
        </w:rPr>
        <w:t xml:space="preserve">– </w:t>
      </w:r>
      <w:r>
        <w:rPr>
          <w:rFonts w:ascii="Book Antiqua"/>
          <w:rtl w:val="0"/>
          <w:lang w:val="it-IT"/>
        </w:rPr>
        <w:t>Fraulin risulta essere stato dipendente della Pro.Chi. Dal 1984 al 1988 e della Ecologica Tirrena dal 1989 al 1994; in quello stesso anno viene assunto per sei mesi dalla FAB s.r.l. Tutte queste societ</w:t>
      </w:r>
      <w:r>
        <w:rPr>
          <w:rFonts w:hAnsi="Book Antiqua" w:hint="default"/>
          <w:rtl w:val="0"/>
          <w:lang w:val="it-IT"/>
        </w:rPr>
        <w:t xml:space="preserve">à </w:t>
      </w:r>
      <w:r>
        <w:rPr>
          <w:rFonts w:ascii="Book Antiqua"/>
          <w:rtl w:val="0"/>
          <w:lang w:val="it-IT"/>
        </w:rPr>
        <w:t>risultano riferibili, secondo le indagini di Latina, alla famiglia Proietto.</w:t>
      </w:r>
    </w:p>
  </w:footnote>
  <w:footnote w:id="350">
    <w:p>
      <w:pPr>
        <w:pStyle w:val="footnote text"/>
        <w:ind w:left="567" w:right="567" w:firstLine="0"/>
        <w:jc w:val="both"/>
      </w:pPr>
      <w:r>
        <w:rPr>
          <w:rFonts w:ascii="Book Antiqua" w:cs="Book Antiqua" w:hAnsi="Book Antiqua" w:eastAsia="Book Antiqua"/>
          <w:kern w:val="1"/>
          <w:vertAlign w:val="superscript"/>
          <w:rtl w:val="0"/>
        </w:rPr>
        <w:footnoteRef/>
      </w:r>
      <w:r>
        <w:rPr>
          <w:rFonts w:ascii="Book Antiqua"/>
          <w:sz w:val="20"/>
          <w:szCs w:val="20"/>
          <w:rtl w:val="0"/>
          <w:lang w:val="it-IT"/>
        </w:rPr>
        <w:t xml:space="preserve"> Il riferimento </w:t>
      </w:r>
      <w:r>
        <w:rPr>
          <w:rFonts w:hAnsi="Book Antiqua" w:hint="default"/>
          <w:sz w:val="20"/>
          <w:szCs w:val="20"/>
          <w:rtl w:val="0"/>
          <w:lang w:val="it-IT"/>
        </w:rPr>
        <w:t xml:space="preserve">è </w:t>
      </w:r>
      <w:r>
        <w:rPr>
          <w:rFonts w:ascii="Book Antiqua"/>
          <w:sz w:val="20"/>
          <w:szCs w:val="20"/>
          <w:rtl w:val="0"/>
          <w:lang w:val="it-IT"/>
        </w:rPr>
        <w:t>al Doc. n. 1753/2 del 20 febbraio 2017</w:t>
      </w:r>
    </w:p>
  </w:footnote>
</w:footnotes>
</file>

<file path=word/header1.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mc:Ignorable="w14">
  <w:p>
    <w:pPr>
      <w:pStyle w:val="Intestazione e piè di pagina"/>
      <w:bidi w:val="0"/>
    </w:pPr>
    <w:r/>
  </w:p>
</w:hdr>
</file>

<file path=word/header2.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mc:Ignorable="w14">
  <w:p>
    <w:pPr>
      <w:pStyle w:val="Intestazione e piè di pagina"/>
      <w:bidi w:val="0"/>
    </w:pPr>
    <w:r/>
  </w:p>
</w:hdr>
</file>

<file path=word/header3.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mc:Ignorable="w14">
  <w:p>
    <w:pPr>
      <w:pStyle w:val="Intestazione e piè di pagina"/>
      <w:bidi w:val="0"/>
    </w:pPr>
    <w:r/>
  </w:p>
</w:hdr>
</file>

<file path=word/numbering.xml><?xml version="1.0" encoding="utf-8"?>
<w:numbering xmlns:w="http://schemas.openxmlformats.org/wordprocessingml/2006/main" xmlns:wp="http://schemas.openxmlformats.org/drawingml/2006/wordprocessingDrawing" xmlns:w14="http://schemas.microsoft.com/office/word/2010/wordml" xmlns:r="http://schemas.openxmlformats.org/officeDocument/2006/relationships" xmlns:v="urn:schemas-microsoft-com:vml" xmlns:o="urn:schemas-microsoft-com:office:office">
  <w:abstractNum w:abstractNumId="0">
    <w:multiLevelType w:val="multilevel"/>
    <w:lvl w:ilvl="0">
      <w:start w:val="1"/>
      <w:numFmt w:val="decimal"/>
      <w:suff w:val="tab"/>
      <w:lvlText w:val="%1."/>
      <w:lvlJc w:val="left"/>
      <w:pPr>
        <w:tabs>
          <w:tab w:val="num" w:pos="705"/>
          <w:tab w:val="clear" w:pos="0"/>
        </w:tabs>
        <w:ind w:left="705" w:hanging="705"/>
      </w:pPr>
      <w:rPr>
        <w:rFonts w:ascii="Book Antiqua" w:cs="Book Antiqua" w:hAnsi="Book Antiqua" w:eastAsia="Book Antiqua"/>
        <w:position w:val="0"/>
        <w:sz w:val="28"/>
        <w:szCs w:val="28"/>
      </w:rPr>
    </w:lvl>
    <w:lvl w:ilvl="1">
      <w:start w:val="1"/>
      <w:numFmt w:val="decimal"/>
      <w:suff w:val="tab"/>
      <w:lvlText w:val="%1.%2."/>
      <w:lvlJc w:val="left"/>
      <w:pPr>
        <w:tabs>
          <w:tab w:val="num" w:pos="1407"/>
          <w:tab w:val="clear" w:pos="0"/>
        </w:tabs>
        <w:ind w:left="1407" w:hanging="840"/>
      </w:pPr>
      <w:rPr>
        <w:rFonts w:ascii="Book Antiqua" w:cs="Book Antiqua" w:hAnsi="Book Antiqua" w:eastAsia="Book Antiqua"/>
        <w:position w:val="0"/>
        <w:sz w:val="28"/>
        <w:szCs w:val="28"/>
      </w:rPr>
    </w:lvl>
    <w:lvl w:ilvl="2">
      <w:start w:val="1"/>
      <w:numFmt w:val="decimal"/>
      <w:suff w:val="tab"/>
      <w:lvlText w:val="%1.%2.%3."/>
      <w:lvlJc w:val="left"/>
      <w:pPr>
        <w:tabs>
          <w:tab w:val="num" w:pos="2115"/>
          <w:tab w:val="clear" w:pos="0"/>
        </w:tabs>
        <w:ind w:left="2115" w:hanging="840"/>
      </w:pPr>
      <w:rPr>
        <w:rFonts w:ascii="Book Antiqua" w:cs="Book Antiqua" w:hAnsi="Book Antiqua" w:eastAsia="Book Antiqua"/>
        <w:position w:val="0"/>
        <w:sz w:val="28"/>
        <w:szCs w:val="28"/>
      </w:rPr>
    </w:lvl>
    <w:lvl w:ilvl="3">
      <w:start w:val="1"/>
      <w:numFmt w:val="decimal"/>
      <w:suff w:val="tab"/>
      <w:lvlText w:val="%1.%2.%3.%4."/>
      <w:lvlJc w:val="left"/>
      <w:pPr>
        <w:tabs>
          <w:tab w:val="num" w:pos="3243"/>
          <w:tab w:val="clear" w:pos="0"/>
        </w:tabs>
        <w:ind w:left="3243" w:hanging="1260"/>
      </w:pPr>
      <w:rPr>
        <w:rFonts w:ascii="Book Antiqua" w:cs="Book Antiqua" w:hAnsi="Book Antiqua" w:eastAsia="Book Antiqua"/>
        <w:position w:val="0"/>
        <w:sz w:val="28"/>
        <w:szCs w:val="28"/>
      </w:rPr>
    </w:lvl>
    <w:lvl w:ilvl="4">
      <w:start w:val="1"/>
      <w:numFmt w:val="decimal"/>
      <w:suff w:val="tab"/>
      <w:lvlText w:val="%1.%2.%3.%4.%5."/>
      <w:lvlJc w:val="left"/>
      <w:pPr>
        <w:tabs>
          <w:tab w:val="num" w:pos="4371"/>
          <w:tab w:val="clear" w:pos="0"/>
        </w:tabs>
        <w:ind w:left="4371" w:hanging="1680"/>
      </w:pPr>
      <w:rPr>
        <w:rFonts w:ascii="Book Antiqua" w:cs="Book Antiqua" w:hAnsi="Book Antiqua" w:eastAsia="Book Antiqua"/>
        <w:position w:val="0"/>
        <w:sz w:val="28"/>
        <w:szCs w:val="28"/>
      </w:rPr>
    </w:lvl>
    <w:lvl w:ilvl="5">
      <w:start w:val="1"/>
      <w:numFmt w:val="decimal"/>
      <w:suff w:val="tab"/>
      <w:lvlText w:val="%1.%2.%3.%4.%5.%6."/>
      <w:lvlJc w:val="left"/>
      <w:pPr>
        <w:tabs>
          <w:tab w:val="num" w:pos="5079"/>
          <w:tab w:val="clear" w:pos="0"/>
        </w:tabs>
        <w:ind w:left="5079" w:hanging="1680"/>
      </w:pPr>
      <w:rPr>
        <w:rFonts w:ascii="Book Antiqua" w:cs="Book Antiqua" w:hAnsi="Book Antiqua" w:eastAsia="Book Antiqua"/>
        <w:position w:val="0"/>
        <w:sz w:val="28"/>
        <w:szCs w:val="28"/>
      </w:rPr>
    </w:lvl>
    <w:lvl w:ilvl="6">
      <w:start w:val="1"/>
      <w:numFmt w:val="decimal"/>
      <w:suff w:val="tab"/>
      <w:lvlText w:val="%1.%2.%3.%4.%5.%6.%7."/>
      <w:lvlJc w:val="left"/>
      <w:pPr>
        <w:tabs>
          <w:tab w:val="num" w:pos="6207"/>
          <w:tab w:val="clear" w:pos="0"/>
        </w:tabs>
        <w:ind w:left="6207" w:hanging="2100"/>
      </w:pPr>
      <w:rPr>
        <w:rFonts w:ascii="Book Antiqua" w:cs="Book Antiqua" w:hAnsi="Book Antiqua" w:eastAsia="Book Antiqua"/>
        <w:position w:val="0"/>
        <w:sz w:val="28"/>
        <w:szCs w:val="28"/>
      </w:rPr>
    </w:lvl>
    <w:lvl w:ilvl="7">
      <w:start w:val="1"/>
      <w:numFmt w:val="decimal"/>
      <w:suff w:val="tab"/>
      <w:lvlText w:val="%1.%2.%3.%4.%5.%6.%7.%8."/>
      <w:lvlJc w:val="left"/>
      <w:pPr>
        <w:tabs>
          <w:tab w:val="num" w:pos="7335"/>
          <w:tab w:val="clear" w:pos="0"/>
        </w:tabs>
        <w:ind w:left="7335" w:hanging="2520"/>
      </w:pPr>
      <w:rPr>
        <w:rFonts w:ascii="Book Antiqua" w:cs="Book Antiqua" w:hAnsi="Book Antiqua" w:eastAsia="Book Antiqua"/>
        <w:position w:val="0"/>
        <w:sz w:val="28"/>
        <w:szCs w:val="28"/>
      </w:rPr>
    </w:lvl>
    <w:lvl w:ilvl="8">
      <w:start w:val="1"/>
      <w:numFmt w:val="decimal"/>
      <w:suff w:val="tab"/>
      <w:lvlText w:val="%1.%2.%3.%4.%5.%6.%7.%8.%9."/>
      <w:lvlJc w:val="left"/>
      <w:pPr>
        <w:tabs>
          <w:tab w:val="num" w:pos="8043"/>
          <w:tab w:val="clear" w:pos="0"/>
        </w:tabs>
        <w:ind w:left="8043" w:hanging="2520"/>
      </w:pPr>
      <w:rPr>
        <w:rFonts w:ascii="Book Antiqua" w:cs="Book Antiqua" w:hAnsi="Book Antiqua" w:eastAsia="Book Antiqua"/>
        <w:position w:val="0"/>
        <w:sz w:val="28"/>
        <w:szCs w:val="28"/>
      </w:rPr>
    </w:lvl>
  </w:abstractNum>
  <w:abstractNum w:abstractNumId="1">
    <w:multiLevelType w:val="multilevel"/>
    <w:lvl w:ilvl="0">
      <w:start w:val="1"/>
      <w:numFmt w:val="decimal"/>
      <w:suff w:val="tab"/>
      <w:lvlText w:val="%1."/>
      <w:lvlJc w:val="left"/>
      <w:pPr/>
      <w:rPr>
        <w:position w:val="0"/>
      </w:rPr>
    </w:lvl>
    <w:lvl w:ilvl="1">
      <w:start w:val="1"/>
      <w:numFmt w:val="decimal"/>
      <w:suff w:val="tab"/>
      <w:lvlText w:val="%1.%2."/>
      <w:lvlJc w:val="left"/>
      <w:pPr/>
      <w:rPr>
        <w:position w:val="0"/>
      </w:rPr>
    </w:lvl>
    <w:lvl w:ilvl="2">
      <w:start w:val="1"/>
      <w:numFmt w:val="decimal"/>
      <w:suff w:val="tab"/>
      <w:lvlText w:val="%1.%2.%3."/>
      <w:lvlJc w:val="left"/>
      <w:pPr/>
      <w:rPr>
        <w:position w:val="0"/>
      </w:rPr>
    </w:lvl>
    <w:lvl w:ilvl="3">
      <w:start w:val="1"/>
      <w:numFmt w:val="decimal"/>
      <w:suff w:val="tab"/>
      <w:lvlText w:val="%1.%2.%3.%4."/>
      <w:lvlJc w:val="left"/>
      <w:pPr/>
      <w:rPr>
        <w:position w:val="0"/>
      </w:rPr>
    </w:lvl>
    <w:lvl w:ilvl="4">
      <w:start w:val="1"/>
      <w:numFmt w:val="decimal"/>
      <w:suff w:val="tab"/>
      <w:lvlText w:val="%1.%2.%3.%4.%5."/>
      <w:lvlJc w:val="left"/>
      <w:pPr/>
      <w:rPr>
        <w:position w:val="0"/>
      </w:rPr>
    </w:lvl>
    <w:lvl w:ilvl="5">
      <w:start w:val="1"/>
      <w:numFmt w:val="decimal"/>
      <w:suff w:val="tab"/>
      <w:lvlText w:val="%1.%2.%3.%4.%5.%6."/>
      <w:lvlJc w:val="left"/>
      <w:pPr/>
      <w:rPr>
        <w:position w:val="0"/>
      </w:rPr>
    </w:lvl>
    <w:lvl w:ilvl="6">
      <w:start w:val="1"/>
      <w:numFmt w:val="decimal"/>
      <w:suff w:val="tab"/>
      <w:lvlText w:val="%1.%2.%3.%4.%5.%6.%7."/>
      <w:lvlJc w:val="left"/>
      <w:pPr/>
      <w:rPr>
        <w:position w:val="0"/>
      </w:rPr>
    </w:lvl>
    <w:lvl w:ilvl="7">
      <w:start w:val="1"/>
      <w:numFmt w:val="decimal"/>
      <w:suff w:val="tab"/>
      <w:lvlText w:val="%1.%2.%3.%4.%5.%6.%7.%8."/>
      <w:lvlJc w:val="left"/>
      <w:pPr/>
      <w:rPr>
        <w:position w:val="0"/>
      </w:rPr>
    </w:lvl>
    <w:lvl w:ilvl="8">
      <w:start w:val="1"/>
      <w:numFmt w:val="decimal"/>
      <w:suff w:val="tab"/>
      <w:lvlText w:val="%1.%2.%3.%4.%5.%6.%7.%8.%9."/>
      <w:lvlJc w:val="left"/>
      <w:pPr/>
      <w:rPr>
        <w:position w:val="0"/>
      </w:rPr>
    </w:lvl>
  </w:abstractNum>
  <w:abstractNum w:abstractNumId="2">
    <w:multiLevelType w:val="multilevel"/>
    <w:styleLink w:val="List 0"/>
    <w:lvl w:ilvl="0">
      <w:start w:val="1"/>
      <w:numFmt w:val="decimal"/>
      <w:suff w:val="tab"/>
      <w:lvlText w:val="%1."/>
      <w:lvlJc w:val="left"/>
      <w:pPr>
        <w:tabs>
          <w:tab w:val="num" w:pos="705"/>
          <w:tab w:val="clear" w:pos="0"/>
        </w:tabs>
        <w:ind w:left="705" w:hanging="705"/>
      </w:pPr>
      <w:rPr>
        <w:rFonts w:ascii="Book Antiqua" w:cs="Book Antiqua" w:hAnsi="Book Antiqua" w:eastAsia="Book Antiqua"/>
        <w:position w:val="0"/>
        <w:sz w:val="28"/>
        <w:szCs w:val="28"/>
      </w:rPr>
    </w:lvl>
    <w:lvl w:ilvl="1">
      <w:start w:val="1"/>
      <w:numFmt w:val="decimal"/>
      <w:suff w:val="tab"/>
      <w:lvlText w:val="%1.%2."/>
      <w:lvlJc w:val="left"/>
      <w:pPr>
        <w:tabs>
          <w:tab w:val="num" w:pos="1407"/>
          <w:tab w:val="clear" w:pos="0"/>
        </w:tabs>
        <w:ind w:left="1407" w:hanging="840"/>
      </w:pPr>
      <w:rPr>
        <w:rFonts w:ascii="Book Antiqua" w:cs="Book Antiqua" w:hAnsi="Book Antiqua" w:eastAsia="Book Antiqua"/>
        <w:position w:val="0"/>
        <w:sz w:val="28"/>
        <w:szCs w:val="28"/>
      </w:rPr>
    </w:lvl>
    <w:lvl w:ilvl="2">
      <w:start w:val="1"/>
      <w:numFmt w:val="decimal"/>
      <w:suff w:val="tab"/>
      <w:lvlText w:val="%1.%2.%3."/>
      <w:lvlJc w:val="left"/>
      <w:pPr>
        <w:tabs>
          <w:tab w:val="num" w:pos="2115"/>
          <w:tab w:val="clear" w:pos="0"/>
        </w:tabs>
        <w:ind w:left="2115" w:hanging="840"/>
      </w:pPr>
      <w:rPr>
        <w:rFonts w:ascii="Book Antiqua" w:cs="Book Antiqua" w:hAnsi="Book Antiqua" w:eastAsia="Book Antiqua"/>
        <w:position w:val="0"/>
        <w:sz w:val="28"/>
        <w:szCs w:val="28"/>
      </w:rPr>
    </w:lvl>
    <w:lvl w:ilvl="3">
      <w:start w:val="1"/>
      <w:numFmt w:val="decimal"/>
      <w:suff w:val="tab"/>
      <w:lvlText w:val="%1.%2.%3.%4."/>
      <w:lvlJc w:val="left"/>
      <w:pPr>
        <w:tabs>
          <w:tab w:val="num" w:pos="3243"/>
          <w:tab w:val="clear" w:pos="0"/>
        </w:tabs>
        <w:ind w:left="3243" w:hanging="1260"/>
      </w:pPr>
      <w:rPr>
        <w:rFonts w:ascii="Book Antiqua" w:cs="Book Antiqua" w:hAnsi="Book Antiqua" w:eastAsia="Book Antiqua"/>
        <w:position w:val="0"/>
        <w:sz w:val="28"/>
        <w:szCs w:val="28"/>
      </w:rPr>
    </w:lvl>
    <w:lvl w:ilvl="4">
      <w:start w:val="1"/>
      <w:numFmt w:val="decimal"/>
      <w:suff w:val="tab"/>
      <w:lvlText w:val="%1.%2.%3.%4.%5."/>
      <w:lvlJc w:val="left"/>
      <w:pPr>
        <w:tabs>
          <w:tab w:val="num" w:pos="4371"/>
          <w:tab w:val="clear" w:pos="0"/>
        </w:tabs>
        <w:ind w:left="4371" w:hanging="1680"/>
      </w:pPr>
      <w:rPr>
        <w:rFonts w:ascii="Book Antiqua" w:cs="Book Antiqua" w:hAnsi="Book Antiqua" w:eastAsia="Book Antiqua"/>
        <w:position w:val="0"/>
        <w:sz w:val="28"/>
        <w:szCs w:val="28"/>
      </w:rPr>
    </w:lvl>
    <w:lvl w:ilvl="5">
      <w:start w:val="1"/>
      <w:numFmt w:val="decimal"/>
      <w:suff w:val="tab"/>
      <w:lvlText w:val="%1.%2.%3.%4.%5.%6."/>
      <w:lvlJc w:val="left"/>
      <w:pPr>
        <w:tabs>
          <w:tab w:val="num" w:pos="5079"/>
          <w:tab w:val="clear" w:pos="0"/>
        </w:tabs>
        <w:ind w:left="5079" w:hanging="1680"/>
      </w:pPr>
      <w:rPr>
        <w:rFonts w:ascii="Book Antiqua" w:cs="Book Antiqua" w:hAnsi="Book Antiqua" w:eastAsia="Book Antiqua"/>
        <w:position w:val="0"/>
        <w:sz w:val="28"/>
        <w:szCs w:val="28"/>
      </w:rPr>
    </w:lvl>
    <w:lvl w:ilvl="6">
      <w:start w:val="1"/>
      <w:numFmt w:val="decimal"/>
      <w:suff w:val="tab"/>
      <w:lvlText w:val="%1.%2.%3.%4.%5.%6.%7."/>
      <w:lvlJc w:val="left"/>
      <w:pPr>
        <w:tabs>
          <w:tab w:val="num" w:pos="6207"/>
          <w:tab w:val="clear" w:pos="0"/>
        </w:tabs>
        <w:ind w:left="6207" w:hanging="2100"/>
      </w:pPr>
      <w:rPr>
        <w:rFonts w:ascii="Book Antiqua" w:cs="Book Antiqua" w:hAnsi="Book Antiqua" w:eastAsia="Book Antiqua"/>
        <w:position w:val="0"/>
        <w:sz w:val="28"/>
        <w:szCs w:val="28"/>
      </w:rPr>
    </w:lvl>
    <w:lvl w:ilvl="7">
      <w:start w:val="1"/>
      <w:numFmt w:val="decimal"/>
      <w:suff w:val="tab"/>
      <w:lvlText w:val="%1.%2.%3.%4.%5.%6.%7.%8."/>
      <w:lvlJc w:val="left"/>
      <w:pPr>
        <w:tabs>
          <w:tab w:val="num" w:pos="7335"/>
          <w:tab w:val="clear" w:pos="0"/>
        </w:tabs>
        <w:ind w:left="7335" w:hanging="2520"/>
      </w:pPr>
      <w:rPr>
        <w:rFonts w:ascii="Book Antiqua" w:cs="Book Antiqua" w:hAnsi="Book Antiqua" w:eastAsia="Book Antiqua"/>
        <w:position w:val="0"/>
        <w:sz w:val="28"/>
        <w:szCs w:val="28"/>
      </w:rPr>
    </w:lvl>
    <w:lvl w:ilvl="8">
      <w:start w:val="1"/>
      <w:numFmt w:val="decimal"/>
      <w:suff w:val="tab"/>
      <w:lvlText w:val="%1.%2.%3.%4.%5.%6.%7.%8.%9."/>
      <w:lvlJc w:val="left"/>
      <w:pPr>
        <w:tabs>
          <w:tab w:val="num" w:pos="8043"/>
          <w:tab w:val="clear" w:pos="0"/>
        </w:tabs>
        <w:ind w:left="8043" w:hanging="2520"/>
      </w:pPr>
      <w:rPr>
        <w:rFonts w:ascii="Book Antiqua" w:cs="Book Antiqua" w:hAnsi="Book Antiqua" w:eastAsia="Book Antiqua"/>
        <w:position w:val="0"/>
        <w:sz w:val="28"/>
        <w:szCs w:val="28"/>
      </w:rPr>
    </w:lvl>
  </w:abstractNum>
  <w:abstractNum w:abstractNumId="3">
    <w:multiLevelType w:val="multilevel"/>
    <w:lvl w:ilvl="0">
      <w:start w:val="1"/>
      <w:numFmt w:val="decimal"/>
      <w:suff w:val="tab"/>
      <w:lvlText w:val="%1."/>
      <w:lvlJc w:val="left"/>
      <w:pPr/>
      <w:rPr>
        <w:rFonts w:ascii="Book Antiqua" w:cs="Book Antiqua" w:hAnsi="Book Antiqua" w:eastAsia="Book Antiqua"/>
        <w:position w:val="0"/>
      </w:rPr>
    </w:lvl>
    <w:lvl w:ilvl="1">
      <w:start w:val="1"/>
      <w:numFmt w:val="decimal"/>
      <w:suff w:val="tab"/>
      <w:lvlText w:val="%1.%2."/>
      <w:lvlJc w:val="left"/>
      <w:pPr/>
      <w:rPr>
        <w:rFonts w:ascii="Book Antiqua" w:cs="Book Antiqua" w:hAnsi="Book Antiqua" w:eastAsia="Book Antiqua"/>
        <w:position w:val="0"/>
      </w:rPr>
    </w:lvl>
    <w:lvl w:ilvl="2">
      <w:start w:val="1"/>
      <w:numFmt w:val="decimal"/>
      <w:suff w:val="tab"/>
      <w:lvlText w:val="%1.%2.%3."/>
      <w:lvlJc w:val="left"/>
      <w:pPr/>
      <w:rPr>
        <w:rFonts w:ascii="Book Antiqua" w:cs="Book Antiqua" w:hAnsi="Book Antiqua" w:eastAsia="Book Antiqua"/>
        <w:position w:val="0"/>
      </w:rPr>
    </w:lvl>
    <w:lvl w:ilvl="3">
      <w:start w:val="1"/>
      <w:numFmt w:val="decimal"/>
      <w:suff w:val="tab"/>
      <w:lvlText w:val="%1.%2.%3.%4."/>
      <w:lvlJc w:val="left"/>
      <w:pPr/>
      <w:rPr>
        <w:rFonts w:ascii="Book Antiqua" w:cs="Book Antiqua" w:hAnsi="Book Antiqua" w:eastAsia="Book Antiqua"/>
        <w:position w:val="0"/>
      </w:rPr>
    </w:lvl>
    <w:lvl w:ilvl="4">
      <w:start w:val="1"/>
      <w:numFmt w:val="decimal"/>
      <w:suff w:val="tab"/>
      <w:lvlText w:val="%1.%2.%3.%4.%5."/>
      <w:lvlJc w:val="left"/>
      <w:pPr/>
      <w:rPr>
        <w:rFonts w:ascii="Book Antiqua" w:cs="Book Antiqua" w:hAnsi="Book Antiqua" w:eastAsia="Book Antiqua"/>
        <w:position w:val="0"/>
      </w:rPr>
    </w:lvl>
    <w:lvl w:ilvl="5">
      <w:start w:val="1"/>
      <w:numFmt w:val="decimal"/>
      <w:suff w:val="tab"/>
      <w:lvlText w:val="%1.%2.%3.%4.%5.%6."/>
      <w:lvlJc w:val="left"/>
      <w:pPr/>
      <w:rPr>
        <w:rFonts w:ascii="Book Antiqua" w:cs="Book Antiqua" w:hAnsi="Book Antiqua" w:eastAsia="Book Antiqua"/>
        <w:position w:val="0"/>
      </w:rPr>
    </w:lvl>
    <w:lvl w:ilvl="6">
      <w:start w:val="1"/>
      <w:numFmt w:val="decimal"/>
      <w:suff w:val="tab"/>
      <w:lvlText w:val="%1.%2.%3.%4.%5.%6.%7."/>
      <w:lvlJc w:val="left"/>
      <w:pPr/>
      <w:rPr>
        <w:rFonts w:ascii="Book Antiqua" w:cs="Book Antiqua" w:hAnsi="Book Antiqua" w:eastAsia="Book Antiqua"/>
        <w:position w:val="0"/>
      </w:rPr>
    </w:lvl>
    <w:lvl w:ilvl="7">
      <w:start w:val="1"/>
      <w:numFmt w:val="decimal"/>
      <w:suff w:val="tab"/>
      <w:lvlText w:val="%1.%2.%3.%4.%5.%6.%7.%8."/>
      <w:lvlJc w:val="left"/>
      <w:pPr/>
      <w:rPr>
        <w:rFonts w:ascii="Book Antiqua" w:cs="Book Antiqua" w:hAnsi="Book Antiqua" w:eastAsia="Book Antiqua"/>
        <w:position w:val="0"/>
      </w:rPr>
    </w:lvl>
    <w:lvl w:ilvl="8">
      <w:start w:val="1"/>
      <w:numFmt w:val="decimal"/>
      <w:suff w:val="tab"/>
      <w:lvlText w:val="%1.%2.%3.%4.%5.%6.%7.%8.%9."/>
      <w:lvlJc w:val="left"/>
      <w:pPr/>
      <w:rPr>
        <w:rFonts w:ascii="Book Antiqua" w:cs="Book Antiqua" w:hAnsi="Book Antiqua" w:eastAsia="Book Antiqua"/>
        <w:position w:val="0"/>
      </w:rPr>
    </w:lvl>
  </w:abstractNum>
  <w:abstractNum w:abstractNumId="4">
    <w:multiLevelType w:val="multilevel"/>
    <w:styleLink w:val="List 1"/>
    <w:lvl w:ilvl="0">
      <w:start w:val="1"/>
      <w:numFmt w:val="decimal"/>
      <w:suff w:val="tab"/>
      <w:lvlText w:val="%1."/>
      <w:lvlJc w:val="left"/>
      <w:pPr/>
      <w:rPr>
        <w:rFonts w:ascii="Book Antiqua" w:cs="Book Antiqua" w:hAnsi="Book Antiqua" w:eastAsia="Book Antiqua"/>
        <w:position w:val="0"/>
      </w:rPr>
    </w:lvl>
    <w:lvl w:ilvl="1">
      <w:start w:val="1"/>
      <w:numFmt w:val="decimal"/>
      <w:suff w:val="tab"/>
      <w:lvlText w:val="%1.%2."/>
      <w:lvlJc w:val="left"/>
      <w:pPr/>
      <w:rPr>
        <w:rFonts w:ascii="Book Antiqua" w:cs="Book Antiqua" w:hAnsi="Book Antiqua" w:eastAsia="Book Antiqua"/>
        <w:position w:val="0"/>
      </w:rPr>
    </w:lvl>
    <w:lvl w:ilvl="2">
      <w:start w:val="1"/>
      <w:numFmt w:val="decimal"/>
      <w:suff w:val="tab"/>
      <w:lvlText w:val="%1.%2.%3."/>
      <w:lvlJc w:val="left"/>
      <w:pPr/>
      <w:rPr>
        <w:rFonts w:ascii="Book Antiqua" w:cs="Book Antiqua" w:hAnsi="Book Antiqua" w:eastAsia="Book Antiqua"/>
        <w:position w:val="0"/>
      </w:rPr>
    </w:lvl>
    <w:lvl w:ilvl="3">
      <w:start w:val="1"/>
      <w:numFmt w:val="decimal"/>
      <w:suff w:val="tab"/>
      <w:lvlText w:val="%1.%2.%3.%4."/>
      <w:lvlJc w:val="left"/>
      <w:pPr/>
      <w:rPr>
        <w:rFonts w:ascii="Book Antiqua" w:cs="Book Antiqua" w:hAnsi="Book Antiqua" w:eastAsia="Book Antiqua"/>
        <w:position w:val="0"/>
      </w:rPr>
    </w:lvl>
    <w:lvl w:ilvl="4">
      <w:start w:val="1"/>
      <w:numFmt w:val="decimal"/>
      <w:suff w:val="tab"/>
      <w:lvlText w:val="%1.%2.%3.%4.%5."/>
      <w:lvlJc w:val="left"/>
      <w:pPr/>
      <w:rPr>
        <w:rFonts w:ascii="Book Antiqua" w:cs="Book Antiqua" w:hAnsi="Book Antiqua" w:eastAsia="Book Antiqua"/>
        <w:position w:val="0"/>
      </w:rPr>
    </w:lvl>
    <w:lvl w:ilvl="5">
      <w:start w:val="1"/>
      <w:numFmt w:val="decimal"/>
      <w:suff w:val="tab"/>
      <w:lvlText w:val="%1.%2.%3.%4.%5.%6."/>
      <w:lvlJc w:val="left"/>
      <w:pPr/>
      <w:rPr>
        <w:rFonts w:ascii="Book Antiqua" w:cs="Book Antiqua" w:hAnsi="Book Antiqua" w:eastAsia="Book Antiqua"/>
        <w:position w:val="0"/>
      </w:rPr>
    </w:lvl>
    <w:lvl w:ilvl="6">
      <w:start w:val="1"/>
      <w:numFmt w:val="decimal"/>
      <w:suff w:val="tab"/>
      <w:lvlText w:val="%1.%2.%3.%4.%5.%6.%7."/>
      <w:lvlJc w:val="left"/>
      <w:pPr/>
      <w:rPr>
        <w:rFonts w:ascii="Book Antiqua" w:cs="Book Antiqua" w:hAnsi="Book Antiqua" w:eastAsia="Book Antiqua"/>
        <w:position w:val="0"/>
      </w:rPr>
    </w:lvl>
    <w:lvl w:ilvl="7">
      <w:start w:val="1"/>
      <w:numFmt w:val="decimal"/>
      <w:suff w:val="tab"/>
      <w:lvlText w:val="%1.%2.%3.%4.%5.%6.%7.%8."/>
      <w:lvlJc w:val="left"/>
      <w:pPr/>
      <w:rPr>
        <w:rFonts w:ascii="Book Antiqua" w:cs="Book Antiqua" w:hAnsi="Book Antiqua" w:eastAsia="Book Antiqua"/>
        <w:position w:val="0"/>
      </w:rPr>
    </w:lvl>
    <w:lvl w:ilvl="8">
      <w:start w:val="1"/>
      <w:numFmt w:val="decimal"/>
      <w:suff w:val="tab"/>
      <w:lvlText w:val="%1.%2.%3.%4.%5.%6.%7.%8.%9."/>
      <w:lvlJc w:val="left"/>
      <w:pPr/>
      <w:rPr>
        <w:rFonts w:ascii="Book Antiqua" w:cs="Book Antiqua" w:hAnsi="Book Antiqua" w:eastAsia="Book Antiqua"/>
        <w:position w:val="0"/>
      </w:rPr>
    </w:lvl>
  </w:abstractNum>
  <w:abstractNum w:abstractNumId="5">
    <w:multiLevelType w:val="multilevel"/>
    <w:lvl w:ilvl="0">
      <w:start w:val="1"/>
      <w:numFmt w:val="decimal"/>
      <w:suff w:val="tab"/>
      <w:lvlText w:val="%1."/>
      <w:lvlJc w:val="left"/>
      <w:pPr/>
      <w:rPr>
        <w:rFonts w:ascii="Book Antiqua" w:cs="Book Antiqua" w:hAnsi="Book Antiqua" w:eastAsia="Book Antiqua"/>
        <w:position w:val="0"/>
      </w:rPr>
    </w:lvl>
    <w:lvl w:ilvl="1">
      <w:start w:val="1"/>
      <w:numFmt w:val="decimal"/>
      <w:suff w:val="tab"/>
      <w:lvlText w:val="%1.%2."/>
      <w:lvlJc w:val="left"/>
      <w:pPr/>
      <w:rPr>
        <w:rFonts w:ascii="Book Antiqua" w:cs="Book Antiqua" w:hAnsi="Book Antiqua" w:eastAsia="Book Antiqua"/>
        <w:position w:val="0"/>
      </w:rPr>
    </w:lvl>
    <w:lvl w:ilvl="2">
      <w:start w:val="1"/>
      <w:numFmt w:val="decimal"/>
      <w:suff w:val="tab"/>
      <w:lvlText w:val="%1.%2.%3."/>
      <w:lvlJc w:val="left"/>
      <w:pPr/>
      <w:rPr>
        <w:rFonts w:ascii="Book Antiqua" w:cs="Book Antiqua" w:hAnsi="Book Antiqua" w:eastAsia="Book Antiqua"/>
        <w:position w:val="0"/>
      </w:rPr>
    </w:lvl>
    <w:lvl w:ilvl="3">
      <w:start w:val="1"/>
      <w:numFmt w:val="decimal"/>
      <w:suff w:val="tab"/>
      <w:lvlText w:val="%1.%2.%3.%4."/>
      <w:lvlJc w:val="left"/>
      <w:pPr/>
      <w:rPr>
        <w:rFonts w:ascii="Book Antiqua" w:cs="Book Antiqua" w:hAnsi="Book Antiqua" w:eastAsia="Book Antiqua"/>
        <w:position w:val="0"/>
      </w:rPr>
    </w:lvl>
    <w:lvl w:ilvl="4">
      <w:start w:val="1"/>
      <w:numFmt w:val="decimal"/>
      <w:suff w:val="tab"/>
      <w:lvlText w:val="%1.%2.%3.%4.%5."/>
      <w:lvlJc w:val="left"/>
      <w:pPr/>
      <w:rPr>
        <w:rFonts w:ascii="Book Antiqua" w:cs="Book Antiqua" w:hAnsi="Book Antiqua" w:eastAsia="Book Antiqua"/>
        <w:position w:val="0"/>
      </w:rPr>
    </w:lvl>
    <w:lvl w:ilvl="5">
      <w:start w:val="1"/>
      <w:numFmt w:val="decimal"/>
      <w:suff w:val="tab"/>
      <w:lvlText w:val="%1.%2.%3.%4.%5.%6."/>
      <w:lvlJc w:val="left"/>
      <w:pPr/>
      <w:rPr>
        <w:rFonts w:ascii="Book Antiqua" w:cs="Book Antiqua" w:hAnsi="Book Antiqua" w:eastAsia="Book Antiqua"/>
        <w:position w:val="0"/>
      </w:rPr>
    </w:lvl>
    <w:lvl w:ilvl="6">
      <w:start w:val="1"/>
      <w:numFmt w:val="decimal"/>
      <w:suff w:val="tab"/>
      <w:lvlText w:val="%1.%2.%3.%4.%5.%6.%7."/>
      <w:lvlJc w:val="left"/>
      <w:pPr/>
      <w:rPr>
        <w:rFonts w:ascii="Book Antiqua" w:cs="Book Antiqua" w:hAnsi="Book Antiqua" w:eastAsia="Book Antiqua"/>
        <w:position w:val="0"/>
      </w:rPr>
    </w:lvl>
    <w:lvl w:ilvl="7">
      <w:start w:val="1"/>
      <w:numFmt w:val="decimal"/>
      <w:suff w:val="tab"/>
      <w:lvlText w:val="%1.%2.%3.%4.%5.%6.%7.%8."/>
      <w:lvlJc w:val="left"/>
      <w:pPr/>
      <w:rPr>
        <w:rFonts w:ascii="Book Antiqua" w:cs="Book Antiqua" w:hAnsi="Book Antiqua" w:eastAsia="Book Antiqua"/>
        <w:position w:val="0"/>
      </w:rPr>
    </w:lvl>
    <w:lvl w:ilvl="8">
      <w:start w:val="1"/>
      <w:numFmt w:val="decimal"/>
      <w:suff w:val="tab"/>
      <w:lvlText w:val="%1.%2.%3.%4.%5.%6.%7.%8.%9."/>
      <w:lvlJc w:val="left"/>
      <w:pPr/>
      <w:rPr>
        <w:rFonts w:ascii="Book Antiqua" w:cs="Book Antiqua" w:hAnsi="Book Antiqua" w:eastAsia="Book Antiqua"/>
        <w:position w:val="0"/>
      </w:rPr>
    </w:lvl>
  </w:abstractNum>
  <w:abstractNum w:abstractNumId="6">
    <w:multiLevelType w:val="multilevel"/>
    <w:lvl w:ilvl="0">
      <w:start w:val="1"/>
      <w:numFmt w:val="decimal"/>
      <w:suff w:val="tab"/>
      <w:lvlText w:val="%1."/>
      <w:lvlJc w:val="left"/>
      <w:pPr/>
      <w:rPr>
        <w:position w:val="0"/>
      </w:rPr>
    </w:lvl>
    <w:lvl w:ilvl="1">
      <w:start w:val="1"/>
      <w:numFmt w:val="decimal"/>
      <w:suff w:val="tab"/>
      <w:lvlText w:val="%1.%2."/>
      <w:lvlJc w:val="left"/>
      <w:pPr/>
      <w:rPr>
        <w:position w:val="0"/>
      </w:rPr>
    </w:lvl>
    <w:lvl w:ilvl="2">
      <w:start w:val="1"/>
      <w:numFmt w:val="decimal"/>
      <w:suff w:val="tab"/>
      <w:lvlText w:val="%1.%2.%3."/>
      <w:lvlJc w:val="left"/>
      <w:pPr/>
      <w:rPr>
        <w:position w:val="0"/>
      </w:rPr>
    </w:lvl>
    <w:lvl w:ilvl="3">
      <w:start w:val="1"/>
      <w:numFmt w:val="decimal"/>
      <w:suff w:val="tab"/>
      <w:lvlText w:val="%1.%2.%3.%4."/>
      <w:lvlJc w:val="left"/>
      <w:pPr/>
      <w:rPr>
        <w:position w:val="0"/>
      </w:rPr>
    </w:lvl>
    <w:lvl w:ilvl="4">
      <w:start w:val="1"/>
      <w:numFmt w:val="decimal"/>
      <w:suff w:val="tab"/>
      <w:lvlText w:val="%1.%2.%3.%4.%5."/>
      <w:lvlJc w:val="left"/>
      <w:pPr/>
      <w:rPr>
        <w:position w:val="0"/>
      </w:rPr>
    </w:lvl>
    <w:lvl w:ilvl="5">
      <w:start w:val="1"/>
      <w:numFmt w:val="decimal"/>
      <w:suff w:val="tab"/>
      <w:lvlText w:val="%1.%2.%3.%4.%5.%6."/>
      <w:lvlJc w:val="left"/>
      <w:pPr/>
      <w:rPr>
        <w:position w:val="0"/>
      </w:rPr>
    </w:lvl>
    <w:lvl w:ilvl="6">
      <w:start w:val="1"/>
      <w:numFmt w:val="decimal"/>
      <w:suff w:val="tab"/>
      <w:lvlText w:val="%1.%2.%3.%4.%5.%6.%7."/>
      <w:lvlJc w:val="left"/>
      <w:pPr/>
      <w:rPr>
        <w:position w:val="0"/>
      </w:rPr>
    </w:lvl>
    <w:lvl w:ilvl="7">
      <w:start w:val="1"/>
      <w:numFmt w:val="decimal"/>
      <w:suff w:val="tab"/>
      <w:lvlText w:val="%1.%2.%3.%4.%5.%6.%7.%8."/>
      <w:lvlJc w:val="left"/>
      <w:pPr/>
      <w:rPr>
        <w:position w:val="0"/>
      </w:rPr>
    </w:lvl>
    <w:lvl w:ilvl="8">
      <w:start w:val="1"/>
      <w:numFmt w:val="decimal"/>
      <w:suff w:val="tab"/>
      <w:lvlText w:val="%1.%2.%3.%4.%5.%6.%7.%8.%9."/>
      <w:lvlJc w:val="left"/>
      <w:pPr/>
      <w:rPr>
        <w:position w:val="0"/>
      </w:rPr>
    </w:lvl>
  </w:abstractNum>
  <w:abstractNum w:abstractNumId="7">
    <w:multiLevelType w:val="multilevel"/>
    <w:styleLink w:val="List 2"/>
    <w:lvl w:ilvl="0">
      <w:start w:val="1"/>
      <w:numFmt w:val="decimal"/>
      <w:suff w:val="tab"/>
      <w:lvlText w:val="%1."/>
      <w:lvlJc w:val="left"/>
      <w:pPr/>
      <w:rPr>
        <w:rFonts w:ascii="Book Antiqua" w:cs="Book Antiqua" w:hAnsi="Book Antiqua" w:eastAsia="Book Antiqua"/>
        <w:position w:val="0"/>
      </w:rPr>
    </w:lvl>
    <w:lvl w:ilvl="1">
      <w:start w:val="1"/>
      <w:numFmt w:val="decimal"/>
      <w:suff w:val="tab"/>
      <w:lvlText w:val="%1.%2."/>
      <w:lvlJc w:val="left"/>
      <w:pPr/>
      <w:rPr>
        <w:rFonts w:ascii="Book Antiqua" w:cs="Book Antiqua" w:hAnsi="Book Antiqua" w:eastAsia="Book Antiqua"/>
        <w:position w:val="0"/>
      </w:rPr>
    </w:lvl>
    <w:lvl w:ilvl="2">
      <w:start w:val="1"/>
      <w:numFmt w:val="decimal"/>
      <w:suff w:val="tab"/>
      <w:lvlText w:val="%1.%2.%3."/>
      <w:lvlJc w:val="left"/>
      <w:pPr/>
      <w:rPr>
        <w:rFonts w:ascii="Book Antiqua" w:cs="Book Antiqua" w:hAnsi="Book Antiqua" w:eastAsia="Book Antiqua"/>
        <w:position w:val="0"/>
      </w:rPr>
    </w:lvl>
    <w:lvl w:ilvl="3">
      <w:start w:val="1"/>
      <w:numFmt w:val="decimal"/>
      <w:suff w:val="tab"/>
      <w:lvlText w:val="%1.%2.%3.%4."/>
      <w:lvlJc w:val="left"/>
      <w:pPr/>
      <w:rPr>
        <w:rFonts w:ascii="Book Antiqua" w:cs="Book Antiqua" w:hAnsi="Book Antiqua" w:eastAsia="Book Antiqua"/>
        <w:position w:val="0"/>
      </w:rPr>
    </w:lvl>
    <w:lvl w:ilvl="4">
      <w:start w:val="1"/>
      <w:numFmt w:val="decimal"/>
      <w:suff w:val="tab"/>
      <w:lvlText w:val="%1.%2.%3.%4.%5."/>
      <w:lvlJc w:val="left"/>
      <w:pPr/>
      <w:rPr>
        <w:rFonts w:ascii="Book Antiqua" w:cs="Book Antiqua" w:hAnsi="Book Antiqua" w:eastAsia="Book Antiqua"/>
        <w:position w:val="0"/>
      </w:rPr>
    </w:lvl>
    <w:lvl w:ilvl="5">
      <w:start w:val="1"/>
      <w:numFmt w:val="decimal"/>
      <w:suff w:val="tab"/>
      <w:lvlText w:val="%1.%2.%3.%4.%5.%6."/>
      <w:lvlJc w:val="left"/>
      <w:pPr/>
      <w:rPr>
        <w:rFonts w:ascii="Book Antiqua" w:cs="Book Antiqua" w:hAnsi="Book Antiqua" w:eastAsia="Book Antiqua"/>
        <w:position w:val="0"/>
      </w:rPr>
    </w:lvl>
    <w:lvl w:ilvl="6">
      <w:start w:val="1"/>
      <w:numFmt w:val="decimal"/>
      <w:suff w:val="tab"/>
      <w:lvlText w:val="%1.%2.%3.%4.%5.%6.%7."/>
      <w:lvlJc w:val="left"/>
      <w:pPr/>
      <w:rPr>
        <w:rFonts w:ascii="Book Antiqua" w:cs="Book Antiqua" w:hAnsi="Book Antiqua" w:eastAsia="Book Antiqua"/>
        <w:position w:val="0"/>
      </w:rPr>
    </w:lvl>
    <w:lvl w:ilvl="7">
      <w:start w:val="1"/>
      <w:numFmt w:val="decimal"/>
      <w:suff w:val="tab"/>
      <w:lvlText w:val="%1.%2.%3.%4.%5.%6.%7.%8."/>
      <w:lvlJc w:val="left"/>
      <w:pPr/>
      <w:rPr>
        <w:rFonts w:ascii="Book Antiqua" w:cs="Book Antiqua" w:hAnsi="Book Antiqua" w:eastAsia="Book Antiqua"/>
        <w:position w:val="0"/>
      </w:rPr>
    </w:lvl>
    <w:lvl w:ilvl="8">
      <w:start w:val="1"/>
      <w:numFmt w:val="decimal"/>
      <w:suff w:val="tab"/>
      <w:lvlText w:val="%1.%2.%3.%4.%5.%6.%7.%8.%9."/>
      <w:lvlJc w:val="left"/>
      <w:pPr/>
      <w:rPr>
        <w:rFonts w:ascii="Book Antiqua" w:cs="Book Antiqua" w:hAnsi="Book Antiqua" w:eastAsia="Book Antiqua"/>
        <w:position w:val="0"/>
      </w:rPr>
    </w:lvl>
  </w:abstractNum>
  <w:abstractNum w:abstractNumId="8">
    <w:multiLevelType w:val="multilevel"/>
    <w:lvl w:ilvl="0">
      <w:start w:val="1"/>
      <w:numFmt w:val="decimal"/>
      <w:suff w:val="tab"/>
      <w:lvlText w:val="%1."/>
      <w:lvlJc w:val="left"/>
      <w:pPr/>
      <w:rPr>
        <w:rFonts w:ascii="Book Antiqua" w:cs="Book Antiqua" w:hAnsi="Book Antiqua" w:eastAsia="Book Antiqua"/>
        <w:position w:val="0"/>
      </w:rPr>
    </w:lvl>
    <w:lvl w:ilvl="1">
      <w:start w:val="1"/>
      <w:numFmt w:val="decimal"/>
      <w:suff w:val="tab"/>
      <w:lvlText w:val="%1.%2."/>
      <w:lvlJc w:val="left"/>
      <w:pPr/>
      <w:rPr>
        <w:rFonts w:ascii="Book Antiqua" w:cs="Book Antiqua" w:hAnsi="Book Antiqua" w:eastAsia="Book Antiqua"/>
        <w:position w:val="0"/>
      </w:rPr>
    </w:lvl>
    <w:lvl w:ilvl="2">
      <w:start w:val="1"/>
      <w:numFmt w:val="decimal"/>
      <w:suff w:val="tab"/>
      <w:lvlText w:val="%1.%2.%3."/>
      <w:lvlJc w:val="left"/>
      <w:pPr/>
      <w:rPr>
        <w:rFonts w:ascii="Book Antiqua" w:cs="Book Antiqua" w:hAnsi="Book Antiqua" w:eastAsia="Book Antiqua"/>
        <w:position w:val="0"/>
      </w:rPr>
    </w:lvl>
    <w:lvl w:ilvl="3">
      <w:start w:val="1"/>
      <w:numFmt w:val="decimal"/>
      <w:suff w:val="tab"/>
      <w:lvlText w:val="%1.%2.%3.%4."/>
      <w:lvlJc w:val="left"/>
      <w:pPr/>
      <w:rPr>
        <w:rFonts w:ascii="Book Antiqua" w:cs="Book Antiqua" w:hAnsi="Book Antiqua" w:eastAsia="Book Antiqua"/>
        <w:position w:val="0"/>
      </w:rPr>
    </w:lvl>
    <w:lvl w:ilvl="4">
      <w:start w:val="1"/>
      <w:numFmt w:val="decimal"/>
      <w:suff w:val="tab"/>
      <w:lvlText w:val="%1.%2.%3.%4.%5."/>
      <w:lvlJc w:val="left"/>
      <w:pPr/>
      <w:rPr>
        <w:rFonts w:ascii="Book Antiqua" w:cs="Book Antiqua" w:hAnsi="Book Antiqua" w:eastAsia="Book Antiqua"/>
        <w:position w:val="0"/>
      </w:rPr>
    </w:lvl>
    <w:lvl w:ilvl="5">
      <w:start w:val="1"/>
      <w:numFmt w:val="decimal"/>
      <w:suff w:val="tab"/>
      <w:lvlText w:val="%1.%2.%3.%4.%5.%6."/>
      <w:lvlJc w:val="left"/>
      <w:pPr/>
      <w:rPr>
        <w:rFonts w:ascii="Book Antiqua" w:cs="Book Antiqua" w:hAnsi="Book Antiqua" w:eastAsia="Book Antiqua"/>
        <w:position w:val="0"/>
      </w:rPr>
    </w:lvl>
    <w:lvl w:ilvl="6">
      <w:start w:val="1"/>
      <w:numFmt w:val="decimal"/>
      <w:suff w:val="tab"/>
      <w:lvlText w:val="%1.%2.%3.%4.%5.%6.%7."/>
      <w:lvlJc w:val="left"/>
      <w:pPr/>
      <w:rPr>
        <w:rFonts w:ascii="Book Antiqua" w:cs="Book Antiqua" w:hAnsi="Book Antiqua" w:eastAsia="Book Antiqua"/>
        <w:position w:val="0"/>
      </w:rPr>
    </w:lvl>
    <w:lvl w:ilvl="7">
      <w:start w:val="1"/>
      <w:numFmt w:val="decimal"/>
      <w:suff w:val="tab"/>
      <w:lvlText w:val="%1.%2.%3.%4.%5.%6.%7.%8."/>
      <w:lvlJc w:val="left"/>
      <w:pPr/>
      <w:rPr>
        <w:rFonts w:ascii="Book Antiqua" w:cs="Book Antiqua" w:hAnsi="Book Antiqua" w:eastAsia="Book Antiqua"/>
        <w:position w:val="0"/>
      </w:rPr>
    </w:lvl>
    <w:lvl w:ilvl="8">
      <w:start w:val="1"/>
      <w:numFmt w:val="decimal"/>
      <w:suff w:val="tab"/>
      <w:lvlText w:val="%1.%2.%3.%4.%5.%6.%7.%8.%9."/>
      <w:lvlJc w:val="left"/>
      <w:pPr/>
      <w:rPr>
        <w:rFonts w:ascii="Book Antiqua" w:cs="Book Antiqua" w:hAnsi="Book Antiqua" w:eastAsia="Book Antiqua"/>
        <w:position w:val="0"/>
      </w:rPr>
    </w:lvl>
  </w:abstractNum>
  <w:abstractNum w:abstractNumId="9">
    <w:multiLevelType w:val="multilevel"/>
    <w:styleLink w:val="List 3"/>
    <w:lvl w:ilvl="0">
      <w:start w:val="1"/>
      <w:numFmt w:val="decimal"/>
      <w:suff w:val="tab"/>
      <w:lvlText w:val="%1."/>
      <w:lvlJc w:val="left"/>
      <w:pPr/>
      <w:rPr>
        <w:rFonts w:ascii="Book Antiqua" w:cs="Book Antiqua" w:hAnsi="Book Antiqua" w:eastAsia="Book Antiqua"/>
        <w:position w:val="0"/>
      </w:rPr>
    </w:lvl>
    <w:lvl w:ilvl="1">
      <w:start w:val="1"/>
      <w:numFmt w:val="decimal"/>
      <w:suff w:val="tab"/>
      <w:lvlText w:val="%1.%2."/>
      <w:lvlJc w:val="left"/>
      <w:pPr/>
      <w:rPr>
        <w:rFonts w:ascii="Book Antiqua" w:cs="Book Antiqua" w:hAnsi="Book Antiqua" w:eastAsia="Book Antiqua"/>
        <w:position w:val="0"/>
      </w:rPr>
    </w:lvl>
    <w:lvl w:ilvl="2">
      <w:start w:val="1"/>
      <w:numFmt w:val="decimal"/>
      <w:suff w:val="tab"/>
      <w:lvlText w:val="%1.%2.%3."/>
      <w:lvlJc w:val="left"/>
      <w:pPr/>
      <w:rPr>
        <w:rFonts w:ascii="Book Antiqua" w:cs="Book Antiqua" w:hAnsi="Book Antiqua" w:eastAsia="Book Antiqua"/>
        <w:position w:val="0"/>
      </w:rPr>
    </w:lvl>
    <w:lvl w:ilvl="3">
      <w:start w:val="1"/>
      <w:numFmt w:val="decimal"/>
      <w:suff w:val="tab"/>
      <w:lvlText w:val="%1.%2.%3.%4."/>
      <w:lvlJc w:val="left"/>
      <w:pPr/>
      <w:rPr>
        <w:rFonts w:ascii="Book Antiqua" w:cs="Book Antiqua" w:hAnsi="Book Antiqua" w:eastAsia="Book Antiqua"/>
        <w:position w:val="0"/>
      </w:rPr>
    </w:lvl>
    <w:lvl w:ilvl="4">
      <w:start w:val="1"/>
      <w:numFmt w:val="decimal"/>
      <w:suff w:val="tab"/>
      <w:lvlText w:val="%1.%2.%3.%4.%5."/>
      <w:lvlJc w:val="left"/>
      <w:pPr/>
      <w:rPr>
        <w:rFonts w:ascii="Book Antiqua" w:cs="Book Antiqua" w:hAnsi="Book Antiqua" w:eastAsia="Book Antiqua"/>
        <w:position w:val="0"/>
      </w:rPr>
    </w:lvl>
    <w:lvl w:ilvl="5">
      <w:start w:val="1"/>
      <w:numFmt w:val="decimal"/>
      <w:suff w:val="tab"/>
      <w:lvlText w:val="%1.%2.%3.%4.%5.%6."/>
      <w:lvlJc w:val="left"/>
      <w:pPr/>
      <w:rPr>
        <w:rFonts w:ascii="Book Antiqua" w:cs="Book Antiqua" w:hAnsi="Book Antiqua" w:eastAsia="Book Antiqua"/>
        <w:position w:val="0"/>
      </w:rPr>
    </w:lvl>
    <w:lvl w:ilvl="6">
      <w:start w:val="1"/>
      <w:numFmt w:val="decimal"/>
      <w:suff w:val="tab"/>
      <w:lvlText w:val="%1.%2.%3.%4.%5.%6.%7."/>
      <w:lvlJc w:val="left"/>
      <w:pPr/>
      <w:rPr>
        <w:rFonts w:ascii="Book Antiqua" w:cs="Book Antiqua" w:hAnsi="Book Antiqua" w:eastAsia="Book Antiqua"/>
        <w:position w:val="0"/>
      </w:rPr>
    </w:lvl>
    <w:lvl w:ilvl="7">
      <w:start w:val="1"/>
      <w:numFmt w:val="decimal"/>
      <w:suff w:val="tab"/>
      <w:lvlText w:val="%1.%2.%3.%4.%5.%6.%7.%8."/>
      <w:lvlJc w:val="left"/>
      <w:pPr/>
      <w:rPr>
        <w:rFonts w:ascii="Book Antiqua" w:cs="Book Antiqua" w:hAnsi="Book Antiqua" w:eastAsia="Book Antiqua"/>
        <w:position w:val="0"/>
      </w:rPr>
    </w:lvl>
    <w:lvl w:ilvl="8">
      <w:start w:val="1"/>
      <w:numFmt w:val="decimal"/>
      <w:suff w:val="tab"/>
      <w:lvlText w:val="%1.%2.%3.%4.%5.%6.%7.%8.%9."/>
      <w:lvlJc w:val="left"/>
      <w:pPr/>
      <w:rPr>
        <w:rFonts w:ascii="Book Antiqua" w:cs="Book Antiqua" w:hAnsi="Book Antiqua" w:eastAsia="Book Antiqua"/>
        <w:position w:val="0"/>
      </w:rPr>
    </w:lvl>
  </w:abstractNum>
  <w:abstractNum w:abstractNumId="10">
    <w:multiLevelType w:val="multilevel"/>
    <w:lvl w:ilvl="0">
      <w:start w:val="1"/>
      <w:numFmt w:val="decimal"/>
      <w:suff w:val="tab"/>
      <w:lvlText w:val="%1."/>
      <w:lvlJc w:val="left"/>
      <w:pPr>
        <w:tabs>
          <w:tab w:val="num" w:pos="375"/>
          <w:tab w:val="clear" w:pos="0"/>
        </w:tabs>
        <w:ind w:left="375" w:hanging="375"/>
      </w:pPr>
      <w:rPr>
        <w:rFonts w:ascii="Book Antiqua" w:cs="Book Antiqua" w:hAnsi="Book Antiqua" w:eastAsia="Book Antiqua"/>
        <w:position w:val="0"/>
        <w:sz w:val="28"/>
        <w:szCs w:val="28"/>
      </w:rPr>
    </w:lvl>
    <w:lvl w:ilvl="1">
      <w:start w:val="1"/>
      <w:numFmt w:val="decimal"/>
      <w:suff w:val="tab"/>
      <w:lvlText w:val="%1.%2."/>
      <w:lvlJc w:val="left"/>
      <w:pPr>
        <w:tabs>
          <w:tab w:val="num" w:pos="840"/>
          <w:tab w:val="clear" w:pos="0"/>
        </w:tabs>
        <w:ind w:left="840" w:hanging="840"/>
      </w:pPr>
      <w:rPr>
        <w:rFonts w:ascii="Book Antiqua" w:cs="Book Antiqua" w:hAnsi="Book Antiqua" w:eastAsia="Book Antiqua"/>
        <w:position w:val="0"/>
        <w:sz w:val="28"/>
        <w:szCs w:val="28"/>
      </w:rPr>
    </w:lvl>
    <w:lvl w:ilvl="2">
      <w:start w:val="1"/>
      <w:numFmt w:val="decimal"/>
      <w:suff w:val="tab"/>
      <w:lvlText w:val="%1.%2.%3."/>
      <w:lvlJc w:val="left"/>
      <w:pPr>
        <w:tabs>
          <w:tab w:val="num" w:pos="2541"/>
          <w:tab w:val="clear" w:pos="0"/>
        </w:tabs>
        <w:ind w:left="2541" w:hanging="840"/>
      </w:pPr>
      <w:rPr>
        <w:rFonts w:ascii="Book Antiqua" w:cs="Book Antiqua" w:hAnsi="Book Antiqua" w:eastAsia="Book Antiqua"/>
        <w:position w:val="0"/>
        <w:sz w:val="28"/>
        <w:szCs w:val="28"/>
      </w:rPr>
    </w:lvl>
    <w:lvl w:ilvl="3">
      <w:start w:val="1"/>
      <w:numFmt w:val="decimal"/>
      <w:suff w:val="tab"/>
      <w:lvlText w:val="%1.%2.%3.%4."/>
      <w:lvlJc w:val="left"/>
      <w:pPr>
        <w:tabs>
          <w:tab w:val="num" w:pos="1260"/>
          <w:tab w:val="clear" w:pos="0"/>
        </w:tabs>
        <w:ind w:left="1260" w:hanging="1260"/>
      </w:pPr>
      <w:rPr>
        <w:rFonts w:ascii="Book Antiqua" w:cs="Book Antiqua" w:hAnsi="Book Antiqua" w:eastAsia="Book Antiqua"/>
        <w:position w:val="0"/>
        <w:sz w:val="28"/>
        <w:szCs w:val="28"/>
      </w:rPr>
    </w:lvl>
    <w:lvl w:ilvl="4">
      <w:start w:val="1"/>
      <w:numFmt w:val="decimal"/>
      <w:suff w:val="tab"/>
      <w:lvlText w:val="%1.%2.%3.%4.%5."/>
      <w:lvlJc w:val="left"/>
      <w:pPr>
        <w:tabs>
          <w:tab w:val="num" w:pos="1680"/>
          <w:tab w:val="clear" w:pos="0"/>
        </w:tabs>
        <w:ind w:left="1680" w:hanging="1680"/>
      </w:pPr>
      <w:rPr>
        <w:rFonts w:ascii="Book Antiqua" w:cs="Book Antiqua" w:hAnsi="Book Antiqua" w:eastAsia="Book Antiqua"/>
        <w:position w:val="0"/>
        <w:sz w:val="28"/>
        <w:szCs w:val="28"/>
      </w:rPr>
    </w:lvl>
    <w:lvl w:ilvl="5">
      <w:start w:val="1"/>
      <w:numFmt w:val="decimal"/>
      <w:suff w:val="tab"/>
      <w:lvlText w:val="%1.%2.%3.%4.%5.%6."/>
      <w:lvlJc w:val="left"/>
      <w:pPr>
        <w:tabs>
          <w:tab w:val="num" w:pos="1680"/>
          <w:tab w:val="clear" w:pos="0"/>
        </w:tabs>
        <w:ind w:left="1680" w:hanging="1680"/>
      </w:pPr>
      <w:rPr>
        <w:rFonts w:ascii="Book Antiqua" w:cs="Book Antiqua" w:hAnsi="Book Antiqua" w:eastAsia="Book Antiqua"/>
        <w:position w:val="0"/>
        <w:sz w:val="28"/>
        <w:szCs w:val="28"/>
      </w:rPr>
    </w:lvl>
    <w:lvl w:ilvl="6">
      <w:start w:val="1"/>
      <w:numFmt w:val="decimal"/>
      <w:suff w:val="tab"/>
      <w:lvlText w:val="%1.%2.%3.%4.%5.%6.%7."/>
      <w:lvlJc w:val="left"/>
      <w:pPr>
        <w:tabs>
          <w:tab w:val="num" w:pos="2100"/>
          <w:tab w:val="clear" w:pos="0"/>
        </w:tabs>
        <w:ind w:left="2100" w:hanging="2100"/>
      </w:pPr>
      <w:rPr>
        <w:rFonts w:ascii="Book Antiqua" w:cs="Book Antiqua" w:hAnsi="Book Antiqua" w:eastAsia="Book Antiqua"/>
        <w:position w:val="0"/>
        <w:sz w:val="28"/>
        <w:szCs w:val="28"/>
      </w:rPr>
    </w:lvl>
    <w:lvl w:ilvl="7">
      <w:start w:val="1"/>
      <w:numFmt w:val="decimal"/>
      <w:suff w:val="tab"/>
      <w:lvlText w:val="%1.%2.%3.%4.%5.%6.%7.%8."/>
      <w:lvlJc w:val="left"/>
      <w:pPr>
        <w:tabs>
          <w:tab w:val="num" w:pos="2520"/>
          <w:tab w:val="clear" w:pos="0"/>
        </w:tabs>
        <w:ind w:left="2520" w:hanging="2520"/>
      </w:pPr>
      <w:rPr>
        <w:rFonts w:ascii="Book Antiqua" w:cs="Book Antiqua" w:hAnsi="Book Antiqua" w:eastAsia="Book Antiqua"/>
        <w:position w:val="0"/>
        <w:sz w:val="28"/>
        <w:szCs w:val="28"/>
      </w:rPr>
    </w:lvl>
    <w:lvl w:ilvl="8">
      <w:start w:val="1"/>
      <w:numFmt w:val="decimal"/>
      <w:suff w:val="tab"/>
      <w:lvlText w:val="%1.%2.%3.%4.%5.%6.%7.%8.%9."/>
      <w:lvlJc w:val="left"/>
      <w:pPr>
        <w:tabs>
          <w:tab w:val="num" w:pos="2520"/>
          <w:tab w:val="clear" w:pos="0"/>
        </w:tabs>
        <w:ind w:left="2520" w:hanging="2520"/>
      </w:pPr>
      <w:rPr>
        <w:rFonts w:ascii="Book Antiqua" w:cs="Book Antiqua" w:hAnsi="Book Antiqua" w:eastAsia="Book Antiqua"/>
        <w:position w:val="0"/>
        <w:sz w:val="28"/>
        <w:szCs w:val="28"/>
      </w:rPr>
    </w:lvl>
  </w:abstractNum>
  <w:abstractNum w:abstractNumId="11">
    <w:multiLevelType w:val="multilevel"/>
    <w:styleLink w:val="List 4"/>
    <w:lvl w:ilvl="0">
      <w:start w:val="7"/>
      <w:numFmt w:val="decimal"/>
      <w:suff w:val="tab"/>
      <w:lvlText w:val="%1."/>
      <w:lvlJc w:val="left"/>
      <w:pPr>
        <w:tabs>
          <w:tab w:val="num" w:pos="375"/>
          <w:tab w:val="clear" w:pos="0"/>
        </w:tabs>
        <w:ind w:left="375" w:hanging="375"/>
      </w:pPr>
      <w:rPr>
        <w:rFonts w:ascii="Book Antiqua" w:cs="Book Antiqua" w:hAnsi="Book Antiqua" w:eastAsia="Book Antiqua"/>
        <w:position w:val="0"/>
        <w:sz w:val="28"/>
        <w:szCs w:val="28"/>
      </w:rPr>
    </w:lvl>
    <w:lvl w:ilvl="1">
      <w:start w:val="1"/>
      <w:numFmt w:val="decimal"/>
      <w:suff w:val="tab"/>
      <w:lvlText w:val="%1.%2."/>
      <w:lvlJc w:val="left"/>
      <w:pPr>
        <w:tabs>
          <w:tab w:val="num" w:pos="840"/>
          <w:tab w:val="clear" w:pos="0"/>
        </w:tabs>
        <w:ind w:left="840" w:hanging="840"/>
      </w:pPr>
      <w:rPr>
        <w:rFonts w:ascii="Book Antiqua" w:cs="Book Antiqua" w:hAnsi="Book Antiqua" w:eastAsia="Book Antiqua"/>
        <w:position w:val="0"/>
        <w:sz w:val="28"/>
        <w:szCs w:val="28"/>
      </w:rPr>
    </w:lvl>
    <w:lvl w:ilvl="2">
      <w:start w:val="1"/>
      <w:numFmt w:val="decimal"/>
      <w:suff w:val="tab"/>
      <w:lvlText w:val="%1.%2.%3."/>
      <w:lvlJc w:val="left"/>
      <w:pPr>
        <w:tabs>
          <w:tab w:val="num" w:pos="2541"/>
          <w:tab w:val="clear" w:pos="0"/>
        </w:tabs>
        <w:ind w:left="2541" w:hanging="840"/>
      </w:pPr>
      <w:rPr>
        <w:rFonts w:ascii="Book Antiqua" w:cs="Book Antiqua" w:hAnsi="Book Antiqua" w:eastAsia="Book Antiqua"/>
        <w:position w:val="0"/>
        <w:sz w:val="28"/>
        <w:szCs w:val="28"/>
      </w:rPr>
    </w:lvl>
    <w:lvl w:ilvl="3">
      <w:start w:val="1"/>
      <w:numFmt w:val="decimal"/>
      <w:suff w:val="tab"/>
      <w:lvlText w:val="%1.%2.%3.%4."/>
      <w:lvlJc w:val="left"/>
      <w:pPr>
        <w:tabs>
          <w:tab w:val="num" w:pos="1260"/>
          <w:tab w:val="clear" w:pos="0"/>
        </w:tabs>
        <w:ind w:left="1260" w:hanging="1260"/>
      </w:pPr>
      <w:rPr>
        <w:rFonts w:ascii="Book Antiqua" w:cs="Book Antiqua" w:hAnsi="Book Antiqua" w:eastAsia="Book Antiqua"/>
        <w:position w:val="0"/>
        <w:sz w:val="28"/>
        <w:szCs w:val="28"/>
      </w:rPr>
    </w:lvl>
    <w:lvl w:ilvl="4">
      <w:start w:val="1"/>
      <w:numFmt w:val="decimal"/>
      <w:suff w:val="tab"/>
      <w:lvlText w:val="%1.%2.%3.%4.%5."/>
      <w:lvlJc w:val="left"/>
      <w:pPr>
        <w:tabs>
          <w:tab w:val="num" w:pos="1680"/>
          <w:tab w:val="clear" w:pos="0"/>
        </w:tabs>
        <w:ind w:left="1680" w:hanging="1680"/>
      </w:pPr>
      <w:rPr>
        <w:rFonts w:ascii="Book Antiqua" w:cs="Book Antiqua" w:hAnsi="Book Antiqua" w:eastAsia="Book Antiqua"/>
        <w:position w:val="0"/>
        <w:sz w:val="28"/>
        <w:szCs w:val="28"/>
      </w:rPr>
    </w:lvl>
    <w:lvl w:ilvl="5">
      <w:start w:val="1"/>
      <w:numFmt w:val="decimal"/>
      <w:suff w:val="tab"/>
      <w:lvlText w:val="%1.%2.%3.%4.%5.%6."/>
      <w:lvlJc w:val="left"/>
      <w:pPr>
        <w:tabs>
          <w:tab w:val="num" w:pos="1680"/>
          <w:tab w:val="clear" w:pos="0"/>
        </w:tabs>
        <w:ind w:left="1680" w:hanging="1680"/>
      </w:pPr>
      <w:rPr>
        <w:rFonts w:ascii="Book Antiqua" w:cs="Book Antiqua" w:hAnsi="Book Antiqua" w:eastAsia="Book Antiqua"/>
        <w:position w:val="0"/>
        <w:sz w:val="28"/>
        <w:szCs w:val="28"/>
      </w:rPr>
    </w:lvl>
    <w:lvl w:ilvl="6">
      <w:start w:val="1"/>
      <w:numFmt w:val="decimal"/>
      <w:suff w:val="tab"/>
      <w:lvlText w:val="%1.%2.%3.%4.%5.%6.%7."/>
      <w:lvlJc w:val="left"/>
      <w:pPr>
        <w:tabs>
          <w:tab w:val="num" w:pos="2100"/>
          <w:tab w:val="clear" w:pos="0"/>
        </w:tabs>
        <w:ind w:left="2100" w:hanging="2100"/>
      </w:pPr>
      <w:rPr>
        <w:rFonts w:ascii="Book Antiqua" w:cs="Book Antiqua" w:hAnsi="Book Antiqua" w:eastAsia="Book Antiqua"/>
        <w:position w:val="0"/>
        <w:sz w:val="28"/>
        <w:szCs w:val="28"/>
      </w:rPr>
    </w:lvl>
    <w:lvl w:ilvl="7">
      <w:start w:val="1"/>
      <w:numFmt w:val="decimal"/>
      <w:suff w:val="tab"/>
      <w:lvlText w:val="%1.%2.%3.%4.%5.%6.%7.%8."/>
      <w:lvlJc w:val="left"/>
      <w:pPr>
        <w:tabs>
          <w:tab w:val="num" w:pos="2520"/>
          <w:tab w:val="clear" w:pos="0"/>
        </w:tabs>
        <w:ind w:left="2520" w:hanging="2520"/>
      </w:pPr>
      <w:rPr>
        <w:rFonts w:ascii="Book Antiqua" w:cs="Book Antiqua" w:hAnsi="Book Antiqua" w:eastAsia="Book Antiqua"/>
        <w:position w:val="0"/>
        <w:sz w:val="28"/>
        <w:szCs w:val="28"/>
      </w:rPr>
    </w:lvl>
    <w:lvl w:ilvl="8">
      <w:start w:val="1"/>
      <w:numFmt w:val="decimal"/>
      <w:suff w:val="tab"/>
      <w:lvlText w:val="%1.%2.%3.%4.%5.%6.%7.%8.%9."/>
      <w:lvlJc w:val="left"/>
      <w:pPr>
        <w:tabs>
          <w:tab w:val="num" w:pos="2520"/>
          <w:tab w:val="clear" w:pos="0"/>
        </w:tabs>
        <w:ind w:left="2520" w:hanging="2520"/>
      </w:pPr>
      <w:rPr>
        <w:rFonts w:ascii="Book Antiqua" w:cs="Book Antiqua" w:hAnsi="Book Antiqua" w:eastAsia="Book Antiqua"/>
        <w:position w:val="0"/>
        <w:sz w:val="28"/>
        <w:szCs w:val="28"/>
      </w:rPr>
    </w:lvl>
  </w:abstractNum>
  <w:abstractNum w:abstractNumId="12">
    <w:multiLevelType w:val="multilevel"/>
    <w:lvl w:ilvl="0">
      <w:start w:val="1"/>
      <w:numFmt w:val="decimal"/>
      <w:suff w:val="tab"/>
      <w:lvlText w:val="%1."/>
      <w:lvlJc w:val="left"/>
      <w:pPr>
        <w:tabs>
          <w:tab w:val="num" w:pos="924"/>
          <w:tab w:val="clear" w:pos="0"/>
        </w:tabs>
        <w:ind w:left="924" w:hanging="360"/>
      </w:pPr>
      <w:rPr>
        <w:rFonts w:ascii="Book Antiqua" w:cs="Book Antiqua" w:hAnsi="Book Antiqua" w:eastAsia="Book Antiqua"/>
        <w:position w:val="0"/>
        <w:sz w:val="32"/>
        <w:szCs w:val="32"/>
      </w:rPr>
    </w:lvl>
    <w:lvl w:ilvl="1">
      <w:start w:val="1"/>
      <w:numFmt w:val="decimal"/>
      <w:suff w:val="tab"/>
      <w:lvlText w:val="%1.%2."/>
      <w:lvlJc w:val="left"/>
      <w:pPr>
        <w:tabs>
          <w:tab w:val="num" w:pos="2306"/>
          <w:tab w:val="clear" w:pos="0"/>
        </w:tabs>
        <w:ind w:left="2306" w:hanging="960"/>
      </w:pPr>
      <w:rPr>
        <w:rFonts w:ascii="Book Antiqua" w:cs="Book Antiqua" w:hAnsi="Book Antiqua" w:eastAsia="Book Antiqua"/>
        <w:position w:val="0"/>
        <w:sz w:val="32"/>
        <w:szCs w:val="32"/>
      </w:rPr>
    </w:lvl>
    <w:lvl w:ilvl="2">
      <w:start w:val="1"/>
      <w:numFmt w:val="decimal"/>
      <w:suff w:val="tab"/>
      <w:lvlText w:val="%1.%2.%3."/>
      <w:lvlJc w:val="left"/>
      <w:pPr>
        <w:tabs>
          <w:tab w:val="num" w:pos="3088"/>
          <w:tab w:val="clear" w:pos="0"/>
        </w:tabs>
        <w:ind w:left="3088" w:hanging="960"/>
      </w:pPr>
      <w:rPr>
        <w:rFonts w:ascii="Book Antiqua" w:cs="Book Antiqua" w:hAnsi="Book Antiqua" w:eastAsia="Book Antiqua"/>
        <w:position w:val="0"/>
        <w:sz w:val="32"/>
        <w:szCs w:val="32"/>
      </w:rPr>
    </w:lvl>
    <w:lvl w:ilvl="3">
      <w:start w:val="1"/>
      <w:numFmt w:val="decimal"/>
      <w:suff w:val="tab"/>
      <w:lvlText w:val="%1.%2.%3.%4."/>
      <w:lvlJc w:val="left"/>
      <w:pPr>
        <w:tabs>
          <w:tab w:val="num" w:pos="4350"/>
          <w:tab w:val="clear" w:pos="0"/>
        </w:tabs>
        <w:ind w:left="4350" w:hanging="1440"/>
      </w:pPr>
      <w:rPr>
        <w:rFonts w:ascii="Book Antiqua" w:cs="Book Antiqua" w:hAnsi="Book Antiqua" w:eastAsia="Book Antiqua"/>
        <w:position w:val="0"/>
        <w:sz w:val="32"/>
        <w:szCs w:val="32"/>
      </w:rPr>
    </w:lvl>
    <w:lvl w:ilvl="4">
      <w:start w:val="1"/>
      <w:numFmt w:val="decimal"/>
      <w:suff w:val="tab"/>
      <w:lvlText w:val="%1.%2.%3.%4.%5."/>
      <w:lvlJc w:val="left"/>
      <w:pPr>
        <w:tabs>
          <w:tab w:val="num" w:pos="5612"/>
          <w:tab w:val="clear" w:pos="0"/>
        </w:tabs>
        <w:ind w:left="5612" w:hanging="1920"/>
      </w:pPr>
      <w:rPr>
        <w:rFonts w:ascii="Book Antiqua" w:cs="Book Antiqua" w:hAnsi="Book Antiqua" w:eastAsia="Book Antiqua"/>
        <w:position w:val="0"/>
        <w:sz w:val="32"/>
        <w:szCs w:val="32"/>
      </w:rPr>
    </w:lvl>
    <w:lvl w:ilvl="5">
      <w:start w:val="1"/>
      <w:numFmt w:val="decimal"/>
      <w:suff w:val="tab"/>
      <w:lvlText w:val="%1.%2.%3.%4.%5.%6."/>
      <w:lvlJc w:val="left"/>
      <w:pPr>
        <w:tabs>
          <w:tab w:val="num" w:pos="6394"/>
          <w:tab w:val="clear" w:pos="0"/>
        </w:tabs>
        <w:ind w:left="6394" w:hanging="1920"/>
      </w:pPr>
      <w:rPr>
        <w:rFonts w:ascii="Book Antiqua" w:cs="Book Antiqua" w:hAnsi="Book Antiqua" w:eastAsia="Book Antiqua"/>
        <w:position w:val="0"/>
        <w:sz w:val="32"/>
        <w:szCs w:val="32"/>
      </w:rPr>
    </w:lvl>
    <w:lvl w:ilvl="6">
      <w:start w:val="1"/>
      <w:numFmt w:val="decimal"/>
      <w:suff w:val="tab"/>
      <w:lvlText w:val="%1.%2.%3.%4.%5.%6.%7."/>
      <w:lvlJc w:val="left"/>
      <w:pPr>
        <w:tabs>
          <w:tab w:val="num" w:pos="7656"/>
          <w:tab w:val="clear" w:pos="0"/>
        </w:tabs>
        <w:ind w:left="7656" w:hanging="2400"/>
      </w:pPr>
      <w:rPr>
        <w:rFonts w:ascii="Book Antiqua" w:cs="Book Antiqua" w:hAnsi="Book Antiqua" w:eastAsia="Book Antiqua"/>
        <w:position w:val="0"/>
        <w:sz w:val="32"/>
        <w:szCs w:val="32"/>
      </w:rPr>
    </w:lvl>
    <w:lvl w:ilvl="7">
      <w:start w:val="1"/>
      <w:numFmt w:val="decimal"/>
      <w:suff w:val="tab"/>
      <w:lvlText w:val="%1.%2.%3.%4.%5.%6.%7.%8."/>
      <w:lvlJc w:val="left"/>
      <w:pPr>
        <w:tabs>
          <w:tab w:val="num" w:pos="8918"/>
          <w:tab w:val="clear" w:pos="0"/>
        </w:tabs>
        <w:ind w:left="8918" w:hanging="2880"/>
      </w:pPr>
      <w:rPr>
        <w:rFonts w:ascii="Book Antiqua" w:cs="Book Antiqua" w:hAnsi="Book Antiqua" w:eastAsia="Book Antiqua"/>
        <w:position w:val="0"/>
        <w:sz w:val="32"/>
        <w:szCs w:val="32"/>
      </w:rPr>
    </w:lvl>
    <w:lvl w:ilvl="8">
      <w:start w:val="1"/>
      <w:numFmt w:val="decimal"/>
      <w:suff w:val="tab"/>
      <w:lvlText w:val="%1.%2.%3.%4.%5.%6.%7.%8.%9."/>
      <w:lvlJc w:val="left"/>
      <w:pPr>
        <w:tabs>
          <w:tab w:val="num" w:pos="9700"/>
          <w:tab w:val="clear" w:pos="0"/>
        </w:tabs>
        <w:ind w:left="9700" w:hanging="2880"/>
      </w:pPr>
      <w:rPr>
        <w:rFonts w:ascii="Book Antiqua" w:cs="Book Antiqua" w:hAnsi="Book Antiqua" w:eastAsia="Book Antiqua"/>
        <w:position w:val="0"/>
        <w:sz w:val="32"/>
        <w:szCs w:val="32"/>
      </w:rPr>
    </w:lvl>
  </w:abstractNum>
  <w:abstractNum w:abstractNumId="13">
    <w:multiLevelType w:val="multilevel"/>
    <w:lvl w:ilvl="0">
      <w:start w:val="1"/>
      <w:numFmt w:val="decimal"/>
      <w:suff w:val="tab"/>
      <w:lvlText w:val="%1."/>
      <w:lvlJc w:val="left"/>
      <w:pPr/>
      <w:rPr>
        <w:position w:val="0"/>
      </w:rPr>
    </w:lvl>
    <w:lvl w:ilvl="1">
      <w:start w:val="1"/>
      <w:numFmt w:val="decimal"/>
      <w:suff w:val="tab"/>
      <w:lvlText w:val="%1.%2."/>
      <w:lvlJc w:val="left"/>
      <w:pPr/>
      <w:rPr>
        <w:position w:val="0"/>
      </w:rPr>
    </w:lvl>
    <w:lvl w:ilvl="2">
      <w:start w:val="1"/>
      <w:numFmt w:val="decimal"/>
      <w:suff w:val="tab"/>
      <w:lvlText w:val="%1.%2.%3."/>
      <w:lvlJc w:val="left"/>
      <w:pPr/>
      <w:rPr>
        <w:position w:val="0"/>
      </w:rPr>
    </w:lvl>
    <w:lvl w:ilvl="3">
      <w:start w:val="1"/>
      <w:numFmt w:val="decimal"/>
      <w:suff w:val="tab"/>
      <w:lvlText w:val="%1.%2.%3.%4."/>
      <w:lvlJc w:val="left"/>
      <w:pPr/>
      <w:rPr>
        <w:position w:val="0"/>
      </w:rPr>
    </w:lvl>
    <w:lvl w:ilvl="4">
      <w:start w:val="1"/>
      <w:numFmt w:val="decimal"/>
      <w:suff w:val="tab"/>
      <w:lvlText w:val="%1.%2.%3.%4.%5."/>
      <w:lvlJc w:val="left"/>
      <w:pPr/>
      <w:rPr>
        <w:position w:val="0"/>
      </w:rPr>
    </w:lvl>
    <w:lvl w:ilvl="5">
      <w:start w:val="1"/>
      <w:numFmt w:val="decimal"/>
      <w:suff w:val="tab"/>
      <w:lvlText w:val="%1.%2.%3.%4.%5.%6."/>
      <w:lvlJc w:val="left"/>
      <w:pPr/>
      <w:rPr>
        <w:position w:val="0"/>
      </w:rPr>
    </w:lvl>
    <w:lvl w:ilvl="6">
      <w:start w:val="1"/>
      <w:numFmt w:val="decimal"/>
      <w:suff w:val="tab"/>
      <w:lvlText w:val="%1.%2.%3.%4.%5.%6.%7."/>
      <w:lvlJc w:val="left"/>
      <w:pPr/>
      <w:rPr>
        <w:position w:val="0"/>
      </w:rPr>
    </w:lvl>
    <w:lvl w:ilvl="7">
      <w:start w:val="1"/>
      <w:numFmt w:val="decimal"/>
      <w:suff w:val="tab"/>
      <w:lvlText w:val="%1.%2.%3.%4.%5.%6.%7.%8."/>
      <w:lvlJc w:val="left"/>
      <w:pPr/>
      <w:rPr>
        <w:position w:val="0"/>
      </w:rPr>
    </w:lvl>
    <w:lvl w:ilvl="8">
      <w:start w:val="1"/>
      <w:numFmt w:val="decimal"/>
      <w:suff w:val="tab"/>
      <w:lvlText w:val="%1.%2.%3.%4.%5.%6.%7.%8.%9."/>
      <w:lvlJc w:val="left"/>
      <w:pPr/>
      <w:rPr>
        <w:position w:val="0"/>
      </w:rPr>
    </w:lvl>
  </w:abstractNum>
  <w:abstractNum w:abstractNumId="14">
    <w:multiLevelType w:val="multilevel"/>
    <w:styleLink w:val="List 5"/>
    <w:lvl w:ilvl="0">
      <w:start w:val="1"/>
      <w:numFmt w:val="decimal"/>
      <w:suff w:val="tab"/>
      <w:lvlText w:val="%1."/>
      <w:lvlJc w:val="left"/>
      <w:pPr>
        <w:tabs>
          <w:tab w:val="num" w:pos="924"/>
          <w:tab w:val="clear" w:pos="0"/>
        </w:tabs>
        <w:ind w:left="924" w:hanging="360"/>
      </w:pPr>
      <w:rPr>
        <w:rFonts w:ascii="Book Antiqua" w:cs="Book Antiqua" w:hAnsi="Book Antiqua" w:eastAsia="Book Antiqua"/>
        <w:position w:val="0"/>
        <w:sz w:val="32"/>
        <w:szCs w:val="32"/>
      </w:rPr>
    </w:lvl>
    <w:lvl w:ilvl="1">
      <w:start w:val="1"/>
      <w:numFmt w:val="decimal"/>
      <w:suff w:val="tab"/>
      <w:lvlText w:val="%1.%2."/>
      <w:lvlJc w:val="left"/>
      <w:pPr>
        <w:tabs>
          <w:tab w:val="num" w:pos="2306"/>
          <w:tab w:val="clear" w:pos="0"/>
        </w:tabs>
        <w:ind w:left="2306" w:hanging="960"/>
      </w:pPr>
      <w:rPr>
        <w:rFonts w:ascii="Book Antiqua" w:cs="Book Antiqua" w:hAnsi="Book Antiqua" w:eastAsia="Book Antiqua"/>
        <w:position w:val="0"/>
        <w:sz w:val="32"/>
        <w:szCs w:val="32"/>
      </w:rPr>
    </w:lvl>
    <w:lvl w:ilvl="2">
      <w:start w:val="1"/>
      <w:numFmt w:val="decimal"/>
      <w:suff w:val="tab"/>
      <w:lvlText w:val="%1.%2.%3."/>
      <w:lvlJc w:val="left"/>
      <w:pPr>
        <w:tabs>
          <w:tab w:val="num" w:pos="3088"/>
          <w:tab w:val="clear" w:pos="0"/>
        </w:tabs>
        <w:ind w:left="3088" w:hanging="960"/>
      </w:pPr>
      <w:rPr>
        <w:rFonts w:ascii="Book Antiqua" w:cs="Book Antiqua" w:hAnsi="Book Antiqua" w:eastAsia="Book Antiqua"/>
        <w:position w:val="0"/>
        <w:sz w:val="32"/>
        <w:szCs w:val="32"/>
      </w:rPr>
    </w:lvl>
    <w:lvl w:ilvl="3">
      <w:start w:val="1"/>
      <w:numFmt w:val="decimal"/>
      <w:suff w:val="tab"/>
      <w:lvlText w:val="%1.%2.%3.%4."/>
      <w:lvlJc w:val="left"/>
      <w:pPr>
        <w:tabs>
          <w:tab w:val="num" w:pos="4350"/>
          <w:tab w:val="clear" w:pos="0"/>
        </w:tabs>
        <w:ind w:left="4350" w:hanging="1440"/>
      </w:pPr>
      <w:rPr>
        <w:rFonts w:ascii="Book Antiqua" w:cs="Book Antiqua" w:hAnsi="Book Antiqua" w:eastAsia="Book Antiqua"/>
        <w:position w:val="0"/>
        <w:sz w:val="32"/>
        <w:szCs w:val="32"/>
      </w:rPr>
    </w:lvl>
    <w:lvl w:ilvl="4">
      <w:start w:val="1"/>
      <w:numFmt w:val="decimal"/>
      <w:suff w:val="tab"/>
      <w:lvlText w:val="%1.%2.%3.%4.%5."/>
      <w:lvlJc w:val="left"/>
      <w:pPr>
        <w:tabs>
          <w:tab w:val="num" w:pos="5612"/>
          <w:tab w:val="clear" w:pos="0"/>
        </w:tabs>
        <w:ind w:left="5612" w:hanging="1920"/>
      </w:pPr>
      <w:rPr>
        <w:rFonts w:ascii="Book Antiqua" w:cs="Book Antiqua" w:hAnsi="Book Antiqua" w:eastAsia="Book Antiqua"/>
        <w:position w:val="0"/>
        <w:sz w:val="32"/>
        <w:szCs w:val="32"/>
      </w:rPr>
    </w:lvl>
    <w:lvl w:ilvl="5">
      <w:start w:val="1"/>
      <w:numFmt w:val="decimal"/>
      <w:suff w:val="tab"/>
      <w:lvlText w:val="%1.%2.%3.%4.%5.%6."/>
      <w:lvlJc w:val="left"/>
      <w:pPr>
        <w:tabs>
          <w:tab w:val="num" w:pos="6394"/>
          <w:tab w:val="clear" w:pos="0"/>
        </w:tabs>
        <w:ind w:left="6394" w:hanging="1920"/>
      </w:pPr>
      <w:rPr>
        <w:rFonts w:ascii="Book Antiqua" w:cs="Book Antiqua" w:hAnsi="Book Antiqua" w:eastAsia="Book Antiqua"/>
        <w:position w:val="0"/>
        <w:sz w:val="32"/>
        <w:szCs w:val="32"/>
      </w:rPr>
    </w:lvl>
    <w:lvl w:ilvl="6">
      <w:start w:val="1"/>
      <w:numFmt w:val="decimal"/>
      <w:suff w:val="tab"/>
      <w:lvlText w:val="%1.%2.%3.%4.%5.%6.%7."/>
      <w:lvlJc w:val="left"/>
      <w:pPr>
        <w:tabs>
          <w:tab w:val="num" w:pos="7656"/>
          <w:tab w:val="clear" w:pos="0"/>
        </w:tabs>
        <w:ind w:left="7656" w:hanging="2400"/>
      </w:pPr>
      <w:rPr>
        <w:rFonts w:ascii="Book Antiqua" w:cs="Book Antiqua" w:hAnsi="Book Antiqua" w:eastAsia="Book Antiqua"/>
        <w:position w:val="0"/>
        <w:sz w:val="32"/>
        <w:szCs w:val="32"/>
      </w:rPr>
    </w:lvl>
    <w:lvl w:ilvl="7">
      <w:start w:val="1"/>
      <w:numFmt w:val="decimal"/>
      <w:suff w:val="tab"/>
      <w:lvlText w:val="%1.%2.%3.%4.%5.%6.%7.%8."/>
      <w:lvlJc w:val="left"/>
      <w:pPr>
        <w:tabs>
          <w:tab w:val="num" w:pos="8918"/>
          <w:tab w:val="clear" w:pos="0"/>
        </w:tabs>
        <w:ind w:left="8918" w:hanging="2880"/>
      </w:pPr>
      <w:rPr>
        <w:rFonts w:ascii="Book Antiqua" w:cs="Book Antiqua" w:hAnsi="Book Antiqua" w:eastAsia="Book Antiqua"/>
        <w:position w:val="0"/>
        <w:sz w:val="32"/>
        <w:szCs w:val="32"/>
      </w:rPr>
    </w:lvl>
    <w:lvl w:ilvl="8">
      <w:start w:val="1"/>
      <w:numFmt w:val="decimal"/>
      <w:suff w:val="tab"/>
      <w:lvlText w:val="%1.%2.%3.%4.%5.%6.%7.%8.%9."/>
      <w:lvlJc w:val="left"/>
      <w:pPr>
        <w:tabs>
          <w:tab w:val="num" w:pos="9700"/>
          <w:tab w:val="clear" w:pos="0"/>
        </w:tabs>
        <w:ind w:left="9700" w:hanging="2880"/>
      </w:pPr>
      <w:rPr>
        <w:rFonts w:ascii="Book Antiqua" w:cs="Book Antiqua" w:hAnsi="Book Antiqua" w:eastAsia="Book Antiqua"/>
        <w:position w:val="0"/>
        <w:sz w:val="32"/>
        <w:szCs w:val="32"/>
      </w:rPr>
    </w:lvl>
  </w:abstractNum>
  <w:abstractNum w:abstractNumId="15">
    <w:multiLevelType w:val="multilevel"/>
    <w:lvl w:ilvl="0">
      <w:start w:val="1"/>
      <w:numFmt w:val="decimal"/>
      <w:suff w:val="tab"/>
      <w:lvlText w:val="%1."/>
      <w:lvlJc w:val="left"/>
      <w:pPr>
        <w:tabs>
          <w:tab w:val="num" w:pos="1006"/>
          <w:tab w:val="clear" w:pos="0"/>
        </w:tabs>
        <w:ind w:left="1006" w:hanging="438"/>
      </w:pPr>
      <w:rPr>
        <w:rFonts w:ascii="Book Antiqua" w:cs="Book Antiqua" w:hAnsi="Book Antiqua" w:eastAsia="Book Antiqua"/>
        <w:position w:val="0"/>
        <w:sz w:val="28"/>
        <w:szCs w:val="28"/>
      </w:rPr>
    </w:lvl>
    <w:lvl w:ilvl="1">
      <w:start w:val="1"/>
      <w:numFmt w:val="decimal"/>
      <w:suff w:val="tab"/>
      <w:lvlText w:val="%1.%2."/>
      <w:lvlJc w:val="left"/>
      <w:pPr>
        <w:tabs>
          <w:tab w:val="num" w:pos="1287"/>
          <w:tab w:val="clear" w:pos="0"/>
        </w:tabs>
        <w:ind w:left="1287" w:hanging="720"/>
      </w:pPr>
      <w:rPr>
        <w:rFonts w:ascii="Book Antiqua" w:cs="Book Antiqua" w:hAnsi="Book Antiqua" w:eastAsia="Book Antiqua"/>
        <w:position w:val="0"/>
        <w:sz w:val="28"/>
        <w:szCs w:val="28"/>
      </w:rPr>
    </w:lvl>
    <w:lvl w:ilvl="2">
      <w:start w:val="1"/>
      <w:numFmt w:val="decimal"/>
      <w:suff w:val="tab"/>
      <w:lvlText w:val="%1.%2.%3."/>
      <w:lvlJc w:val="left"/>
      <w:pPr>
        <w:tabs>
          <w:tab w:val="num" w:pos="1974"/>
          <w:tab w:val="clear" w:pos="0"/>
        </w:tabs>
        <w:ind w:left="1974" w:hanging="840"/>
      </w:pPr>
      <w:rPr>
        <w:rFonts w:ascii="Book Antiqua" w:cs="Book Antiqua" w:hAnsi="Book Antiqua" w:eastAsia="Book Antiqua"/>
        <w:position w:val="0"/>
        <w:sz w:val="28"/>
        <w:szCs w:val="28"/>
      </w:rPr>
    </w:lvl>
    <w:lvl w:ilvl="3">
      <w:start w:val="1"/>
      <w:numFmt w:val="decimal"/>
      <w:suff w:val="tab"/>
      <w:lvlText w:val="%1.%2.%3.%4."/>
      <w:lvlJc w:val="left"/>
      <w:pPr>
        <w:tabs>
          <w:tab w:val="num" w:pos="2961"/>
          <w:tab w:val="clear" w:pos="0"/>
        </w:tabs>
        <w:ind w:left="2961" w:hanging="1260"/>
      </w:pPr>
      <w:rPr>
        <w:rFonts w:ascii="Book Antiqua" w:cs="Book Antiqua" w:hAnsi="Book Antiqua" w:eastAsia="Book Antiqua"/>
        <w:position w:val="0"/>
        <w:sz w:val="28"/>
        <w:szCs w:val="28"/>
      </w:rPr>
    </w:lvl>
    <w:lvl w:ilvl="4">
      <w:start w:val="1"/>
      <w:numFmt w:val="decimal"/>
      <w:suff w:val="tab"/>
      <w:lvlText w:val="%1.%2.%3.%4.%5."/>
      <w:lvlJc w:val="left"/>
      <w:pPr>
        <w:tabs>
          <w:tab w:val="num" w:pos="3948"/>
          <w:tab w:val="clear" w:pos="0"/>
        </w:tabs>
        <w:ind w:left="3948" w:hanging="1680"/>
      </w:pPr>
      <w:rPr>
        <w:rFonts w:ascii="Book Antiqua" w:cs="Book Antiqua" w:hAnsi="Book Antiqua" w:eastAsia="Book Antiqua"/>
        <w:position w:val="0"/>
        <w:sz w:val="28"/>
        <w:szCs w:val="28"/>
      </w:rPr>
    </w:lvl>
    <w:lvl w:ilvl="5">
      <w:start w:val="1"/>
      <w:numFmt w:val="decimal"/>
      <w:suff w:val="tab"/>
      <w:lvlText w:val="%1.%2.%3.%4.%5.%6."/>
      <w:lvlJc w:val="left"/>
      <w:pPr>
        <w:tabs>
          <w:tab w:val="num" w:pos="4515"/>
          <w:tab w:val="clear" w:pos="0"/>
        </w:tabs>
        <w:ind w:left="4515" w:hanging="1680"/>
      </w:pPr>
      <w:rPr>
        <w:rFonts w:ascii="Book Antiqua" w:cs="Book Antiqua" w:hAnsi="Book Antiqua" w:eastAsia="Book Antiqua"/>
        <w:position w:val="0"/>
        <w:sz w:val="28"/>
        <w:szCs w:val="28"/>
      </w:rPr>
    </w:lvl>
    <w:lvl w:ilvl="6">
      <w:start w:val="1"/>
      <w:numFmt w:val="decimal"/>
      <w:suff w:val="tab"/>
      <w:lvlText w:val="%1.%2.%3.%4.%5.%6.%7."/>
      <w:lvlJc w:val="left"/>
      <w:pPr>
        <w:tabs>
          <w:tab w:val="num" w:pos="5502"/>
          <w:tab w:val="clear" w:pos="0"/>
        </w:tabs>
        <w:ind w:left="5502" w:hanging="2100"/>
      </w:pPr>
      <w:rPr>
        <w:rFonts w:ascii="Book Antiqua" w:cs="Book Antiqua" w:hAnsi="Book Antiqua" w:eastAsia="Book Antiqua"/>
        <w:position w:val="0"/>
        <w:sz w:val="28"/>
        <w:szCs w:val="28"/>
      </w:rPr>
    </w:lvl>
    <w:lvl w:ilvl="7">
      <w:start w:val="1"/>
      <w:numFmt w:val="decimal"/>
      <w:suff w:val="tab"/>
      <w:lvlText w:val="%1.%2.%3.%4.%5.%6.%7.%8."/>
      <w:lvlJc w:val="left"/>
      <w:pPr>
        <w:tabs>
          <w:tab w:val="num" w:pos="6489"/>
          <w:tab w:val="clear" w:pos="0"/>
        </w:tabs>
        <w:ind w:left="6489" w:hanging="2520"/>
      </w:pPr>
      <w:rPr>
        <w:rFonts w:ascii="Book Antiqua" w:cs="Book Antiqua" w:hAnsi="Book Antiqua" w:eastAsia="Book Antiqua"/>
        <w:position w:val="0"/>
        <w:sz w:val="28"/>
        <w:szCs w:val="28"/>
      </w:rPr>
    </w:lvl>
    <w:lvl w:ilvl="8">
      <w:start w:val="1"/>
      <w:numFmt w:val="decimal"/>
      <w:suff w:val="tab"/>
      <w:lvlText w:val="%1.%2.%3.%4.%5.%6.%7.%8.%9."/>
      <w:lvlJc w:val="left"/>
      <w:pPr>
        <w:tabs>
          <w:tab w:val="num" w:pos="7056"/>
          <w:tab w:val="clear" w:pos="0"/>
        </w:tabs>
        <w:ind w:left="7056" w:hanging="2520"/>
      </w:pPr>
      <w:rPr>
        <w:rFonts w:ascii="Book Antiqua" w:cs="Book Antiqua" w:hAnsi="Book Antiqua" w:eastAsia="Book Antiqua"/>
        <w:position w:val="0"/>
        <w:sz w:val="28"/>
        <w:szCs w:val="28"/>
      </w:rPr>
    </w:lvl>
  </w:abstractNum>
  <w:abstractNum w:abstractNumId="16">
    <w:multiLevelType w:val="multilevel"/>
    <w:lvl w:ilvl="0">
      <w:start w:val="1"/>
      <w:numFmt w:val="decimal"/>
      <w:suff w:val="tab"/>
      <w:lvlText w:val="%1."/>
      <w:lvlJc w:val="left"/>
      <w:pPr/>
      <w:rPr>
        <w:position w:val="0"/>
      </w:rPr>
    </w:lvl>
    <w:lvl w:ilvl="1">
      <w:start w:val="1"/>
      <w:numFmt w:val="decimal"/>
      <w:suff w:val="tab"/>
      <w:lvlText w:val="%1.%2."/>
      <w:lvlJc w:val="left"/>
      <w:pPr/>
      <w:rPr>
        <w:position w:val="0"/>
      </w:rPr>
    </w:lvl>
    <w:lvl w:ilvl="2">
      <w:start w:val="1"/>
      <w:numFmt w:val="decimal"/>
      <w:suff w:val="tab"/>
      <w:lvlText w:val="%1.%2.%3."/>
      <w:lvlJc w:val="left"/>
      <w:pPr/>
      <w:rPr>
        <w:position w:val="0"/>
      </w:rPr>
    </w:lvl>
    <w:lvl w:ilvl="3">
      <w:start w:val="1"/>
      <w:numFmt w:val="decimal"/>
      <w:suff w:val="tab"/>
      <w:lvlText w:val="%1.%2.%3.%4."/>
      <w:lvlJc w:val="left"/>
      <w:pPr/>
      <w:rPr>
        <w:position w:val="0"/>
      </w:rPr>
    </w:lvl>
    <w:lvl w:ilvl="4">
      <w:start w:val="1"/>
      <w:numFmt w:val="decimal"/>
      <w:suff w:val="tab"/>
      <w:lvlText w:val="%1.%2.%3.%4.%5."/>
      <w:lvlJc w:val="left"/>
      <w:pPr/>
      <w:rPr>
        <w:position w:val="0"/>
      </w:rPr>
    </w:lvl>
    <w:lvl w:ilvl="5">
      <w:start w:val="1"/>
      <w:numFmt w:val="decimal"/>
      <w:suff w:val="tab"/>
      <w:lvlText w:val="%1.%2.%3.%4.%5.%6."/>
      <w:lvlJc w:val="left"/>
      <w:pPr/>
      <w:rPr>
        <w:position w:val="0"/>
      </w:rPr>
    </w:lvl>
    <w:lvl w:ilvl="6">
      <w:start w:val="1"/>
      <w:numFmt w:val="decimal"/>
      <w:suff w:val="tab"/>
      <w:lvlText w:val="%1.%2.%3.%4.%5.%6.%7."/>
      <w:lvlJc w:val="left"/>
      <w:pPr/>
      <w:rPr>
        <w:position w:val="0"/>
      </w:rPr>
    </w:lvl>
    <w:lvl w:ilvl="7">
      <w:start w:val="1"/>
      <w:numFmt w:val="decimal"/>
      <w:suff w:val="tab"/>
      <w:lvlText w:val="%1.%2.%3.%4.%5.%6.%7.%8."/>
      <w:lvlJc w:val="left"/>
      <w:pPr/>
      <w:rPr>
        <w:position w:val="0"/>
      </w:rPr>
    </w:lvl>
    <w:lvl w:ilvl="8">
      <w:start w:val="1"/>
      <w:numFmt w:val="decimal"/>
      <w:suff w:val="tab"/>
      <w:lvlText w:val="%1.%2.%3.%4.%5.%6.%7.%8.%9."/>
      <w:lvlJc w:val="left"/>
      <w:pPr/>
      <w:rPr>
        <w:position w:val="0"/>
      </w:rPr>
    </w:lvl>
  </w:abstractNum>
  <w:abstractNum w:abstractNumId="17">
    <w:multiLevelType w:val="multilevel"/>
    <w:styleLink w:val="List 6"/>
    <w:lvl w:ilvl="0">
      <w:start w:val="1"/>
      <w:numFmt w:val="decimal"/>
      <w:suff w:val="tab"/>
      <w:lvlText w:val="%1."/>
      <w:lvlJc w:val="left"/>
      <w:pPr>
        <w:tabs>
          <w:tab w:val="num" w:pos="1006"/>
          <w:tab w:val="clear" w:pos="0"/>
        </w:tabs>
        <w:ind w:left="1006" w:hanging="438"/>
      </w:pPr>
      <w:rPr>
        <w:rFonts w:ascii="Book Antiqua" w:cs="Book Antiqua" w:hAnsi="Book Antiqua" w:eastAsia="Book Antiqua"/>
        <w:position w:val="0"/>
        <w:sz w:val="28"/>
        <w:szCs w:val="28"/>
      </w:rPr>
    </w:lvl>
    <w:lvl w:ilvl="1">
      <w:start w:val="1"/>
      <w:numFmt w:val="decimal"/>
      <w:suff w:val="tab"/>
      <w:lvlText w:val="%1.%2."/>
      <w:lvlJc w:val="left"/>
      <w:pPr>
        <w:tabs>
          <w:tab w:val="num" w:pos="1287"/>
          <w:tab w:val="clear" w:pos="0"/>
        </w:tabs>
        <w:ind w:left="1287" w:hanging="720"/>
      </w:pPr>
      <w:rPr>
        <w:rFonts w:ascii="Book Antiqua" w:cs="Book Antiqua" w:hAnsi="Book Antiqua" w:eastAsia="Book Antiqua"/>
        <w:position w:val="0"/>
        <w:sz w:val="28"/>
        <w:szCs w:val="28"/>
      </w:rPr>
    </w:lvl>
    <w:lvl w:ilvl="2">
      <w:start w:val="1"/>
      <w:numFmt w:val="decimal"/>
      <w:suff w:val="tab"/>
      <w:lvlText w:val="%1.%2.%3."/>
      <w:lvlJc w:val="left"/>
      <w:pPr>
        <w:tabs>
          <w:tab w:val="num" w:pos="1974"/>
          <w:tab w:val="clear" w:pos="0"/>
        </w:tabs>
        <w:ind w:left="1974" w:hanging="840"/>
      </w:pPr>
      <w:rPr>
        <w:rFonts w:ascii="Book Antiqua" w:cs="Book Antiqua" w:hAnsi="Book Antiqua" w:eastAsia="Book Antiqua"/>
        <w:position w:val="0"/>
        <w:sz w:val="28"/>
        <w:szCs w:val="28"/>
      </w:rPr>
    </w:lvl>
    <w:lvl w:ilvl="3">
      <w:start w:val="1"/>
      <w:numFmt w:val="decimal"/>
      <w:suff w:val="tab"/>
      <w:lvlText w:val="%1.%2.%3.%4."/>
      <w:lvlJc w:val="left"/>
      <w:pPr>
        <w:tabs>
          <w:tab w:val="num" w:pos="2961"/>
          <w:tab w:val="clear" w:pos="0"/>
        </w:tabs>
        <w:ind w:left="2961" w:hanging="1260"/>
      </w:pPr>
      <w:rPr>
        <w:rFonts w:ascii="Book Antiqua" w:cs="Book Antiqua" w:hAnsi="Book Antiqua" w:eastAsia="Book Antiqua"/>
        <w:position w:val="0"/>
        <w:sz w:val="28"/>
        <w:szCs w:val="28"/>
      </w:rPr>
    </w:lvl>
    <w:lvl w:ilvl="4">
      <w:start w:val="1"/>
      <w:numFmt w:val="decimal"/>
      <w:suff w:val="tab"/>
      <w:lvlText w:val="%1.%2.%3.%4.%5."/>
      <w:lvlJc w:val="left"/>
      <w:pPr>
        <w:tabs>
          <w:tab w:val="num" w:pos="3948"/>
          <w:tab w:val="clear" w:pos="0"/>
        </w:tabs>
        <w:ind w:left="3948" w:hanging="1680"/>
      </w:pPr>
      <w:rPr>
        <w:rFonts w:ascii="Book Antiqua" w:cs="Book Antiqua" w:hAnsi="Book Antiqua" w:eastAsia="Book Antiqua"/>
        <w:position w:val="0"/>
        <w:sz w:val="28"/>
        <w:szCs w:val="28"/>
      </w:rPr>
    </w:lvl>
    <w:lvl w:ilvl="5">
      <w:start w:val="1"/>
      <w:numFmt w:val="decimal"/>
      <w:suff w:val="tab"/>
      <w:lvlText w:val="%1.%2.%3.%4.%5.%6."/>
      <w:lvlJc w:val="left"/>
      <w:pPr>
        <w:tabs>
          <w:tab w:val="num" w:pos="4515"/>
          <w:tab w:val="clear" w:pos="0"/>
        </w:tabs>
        <w:ind w:left="4515" w:hanging="1680"/>
      </w:pPr>
      <w:rPr>
        <w:rFonts w:ascii="Book Antiqua" w:cs="Book Antiqua" w:hAnsi="Book Antiqua" w:eastAsia="Book Antiqua"/>
        <w:position w:val="0"/>
        <w:sz w:val="28"/>
        <w:szCs w:val="28"/>
      </w:rPr>
    </w:lvl>
    <w:lvl w:ilvl="6">
      <w:start w:val="1"/>
      <w:numFmt w:val="decimal"/>
      <w:suff w:val="tab"/>
      <w:lvlText w:val="%1.%2.%3.%4.%5.%6.%7."/>
      <w:lvlJc w:val="left"/>
      <w:pPr>
        <w:tabs>
          <w:tab w:val="num" w:pos="5502"/>
          <w:tab w:val="clear" w:pos="0"/>
        </w:tabs>
        <w:ind w:left="5502" w:hanging="2100"/>
      </w:pPr>
      <w:rPr>
        <w:rFonts w:ascii="Book Antiqua" w:cs="Book Antiqua" w:hAnsi="Book Antiqua" w:eastAsia="Book Antiqua"/>
        <w:position w:val="0"/>
        <w:sz w:val="28"/>
        <w:szCs w:val="28"/>
      </w:rPr>
    </w:lvl>
    <w:lvl w:ilvl="7">
      <w:start w:val="1"/>
      <w:numFmt w:val="decimal"/>
      <w:suff w:val="tab"/>
      <w:lvlText w:val="%1.%2.%3.%4.%5.%6.%7.%8."/>
      <w:lvlJc w:val="left"/>
      <w:pPr>
        <w:tabs>
          <w:tab w:val="num" w:pos="6489"/>
          <w:tab w:val="clear" w:pos="0"/>
        </w:tabs>
        <w:ind w:left="6489" w:hanging="2520"/>
      </w:pPr>
      <w:rPr>
        <w:rFonts w:ascii="Book Antiqua" w:cs="Book Antiqua" w:hAnsi="Book Antiqua" w:eastAsia="Book Antiqua"/>
        <w:position w:val="0"/>
        <w:sz w:val="28"/>
        <w:szCs w:val="28"/>
      </w:rPr>
    </w:lvl>
    <w:lvl w:ilvl="8">
      <w:start w:val="1"/>
      <w:numFmt w:val="decimal"/>
      <w:suff w:val="tab"/>
      <w:lvlText w:val="%1.%2.%3.%4.%5.%6.%7.%8.%9."/>
      <w:lvlJc w:val="left"/>
      <w:pPr>
        <w:tabs>
          <w:tab w:val="num" w:pos="7056"/>
          <w:tab w:val="clear" w:pos="0"/>
        </w:tabs>
        <w:ind w:left="7056" w:hanging="2520"/>
      </w:pPr>
      <w:rPr>
        <w:rFonts w:ascii="Book Antiqua" w:cs="Book Antiqua" w:hAnsi="Book Antiqua" w:eastAsia="Book Antiqua"/>
        <w:position w:val="0"/>
        <w:sz w:val="28"/>
        <w:szCs w:val="28"/>
      </w:rPr>
    </w:lvl>
  </w:abstractNum>
  <w:abstractNum w:abstractNumId="18">
    <w:multiLevelType w:val="multilevel"/>
    <w:lvl w:ilvl="0">
      <w:start w:val="1"/>
      <w:numFmt w:val="lowerLetter"/>
      <w:suff w:val="tab"/>
      <w:lvlText w:val="%1)"/>
      <w:lvlJc w:val="left"/>
      <w:pPr>
        <w:tabs>
          <w:tab w:val="num" w:pos="567"/>
          <w:tab w:val="clear" w:pos="0"/>
        </w:tabs>
        <w:ind w:left="567" w:hanging="141"/>
      </w:pPr>
      <w:rPr>
        <w:rFonts w:ascii="Book Antiqua" w:cs="Book Antiqua" w:hAnsi="Book Antiqua" w:eastAsia="Book Antiqua"/>
        <w:position w:val="0"/>
        <w:sz w:val="22"/>
        <w:szCs w:val="22"/>
      </w:rPr>
    </w:lvl>
    <w:lvl w:ilvl="1">
      <w:start w:val="1"/>
      <w:numFmt w:val="lowerLetter"/>
      <w:suff w:val="tab"/>
      <w:lvlText w:val="%2."/>
      <w:lvlJc w:val="left"/>
      <w:pPr>
        <w:tabs>
          <w:tab w:val="num" w:pos="1410"/>
          <w:tab w:val="clear" w:pos="0"/>
        </w:tabs>
        <w:ind w:left="1410" w:hanging="330"/>
      </w:pPr>
      <w:rPr>
        <w:rFonts w:ascii="Book Antiqua" w:cs="Book Antiqua" w:hAnsi="Book Antiqua" w:eastAsia="Book Antiqua"/>
        <w:position w:val="0"/>
        <w:sz w:val="22"/>
        <w:szCs w:val="22"/>
      </w:rPr>
    </w:lvl>
    <w:lvl w:ilvl="2">
      <w:start w:val="1"/>
      <w:numFmt w:val="lowerRoman"/>
      <w:suff w:val="tab"/>
      <w:lvlText w:val="%3."/>
      <w:lvlJc w:val="left"/>
      <w:pPr>
        <w:tabs>
          <w:tab w:val="num" w:pos="2135"/>
          <w:tab w:val="clear" w:pos="0"/>
        </w:tabs>
        <w:ind w:left="2135" w:hanging="271"/>
      </w:pPr>
      <w:rPr>
        <w:rFonts w:ascii="Book Antiqua" w:cs="Book Antiqua" w:hAnsi="Book Antiqua" w:eastAsia="Book Antiqua"/>
        <w:position w:val="0"/>
        <w:sz w:val="22"/>
        <w:szCs w:val="22"/>
      </w:rPr>
    </w:lvl>
    <w:lvl w:ilvl="3">
      <w:start w:val="1"/>
      <w:numFmt w:val="decimal"/>
      <w:suff w:val="tab"/>
      <w:lvlText w:val="%4."/>
      <w:lvlJc w:val="left"/>
      <w:pPr>
        <w:tabs>
          <w:tab w:val="num" w:pos="2850"/>
          <w:tab w:val="clear" w:pos="0"/>
        </w:tabs>
        <w:ind w:left="2850" w:hanging="330"/>
      </w:pPr>
      <w:rPr>
        <w:rFonts w:ascii="Book Antiqua" w:cs="Book Antiqua" w:hAnsi="Book Antiqua" w:eastAsia="Book Antiqua"/>
        <w:position w:val="0"/>
        <w:sz w:val="22"/>
        <w:szCs w:val="22"/>
      </w:rPr>
    </w:lvl>
    <w:lvl w:ilvl="4">
      <w:start w:val="1"/>
      <w:numFmt w:val="lowerLetter"/>
      <w:suff w:val="tab"/>
      <w:lvlText w:val="%5."/>
      <w:lvlJc w:val="left"/>
      <w:pPr>
        <w:tabs>
          <w:tab w:val="num" w:pos="3570"/>
          <w:tab w:val="clear" w:pos="0"/>
        </w:tabs>
        <w:ind w:left="3570" w:hanging="330"/>
      </w:pPr>
      <w:rPr>
        <w:rFonts w:ascii="Book Antiqua" w:cs="Book Antiqua" w:hAnsi="Book Antiqua" w:eastAsia="Book Antiqua"/>
        <w:position w:val="0"/>
        <w:sz w:val="22"/>
        <w:szCs w:val="22"/>
      </w:rPr>
    </w:lvl>
    <w:lvl w:ilvl="5">
      <w:start w:val="1"/>
      <w:numFmt w:val="lowerRoman"/>
      <w:suff w:val="tab"/>
      <w:lvlText w:val="%6."/>
      <w:lvlJc w:val="left"/>
      <w:pPr>
        <w:tabs>
          <w:tab w:val="num" w:pos="4295"/>
          <w:tab w:val="clear" w:pos="0"/>
        </w:tabs>
        <w:ind w:left="4295" w:hanging="271"/>
      </w:pPr>
      <w:rPr>
        <w:rFonts w:ascii="Book Antiqua" w:cs="Book Antiqua" w:hAnsi="Book Antiqua" w:eastAsia="Book Antiqua"/>
        <w:position w:val="0"/>
        <w:sz w:val="22"/>
        <w:szCs w:val="22"/>
      </w:rPr>
    </w:lvl>
    <w:lvl w:ilvl="6">
      <w:start w:val="1"/>
      <w:numFmt w:val="decimal"/>
      <w:suff w:val="tab"/>
      <w:lvlText w:val="%7."/>
      <w:lvlJc w:val="left"/>
      <w:pPr>
        <w:tabs>
          <w:tab w:val="num" w:pos="5010"/>
          <w:tab w:val="clear" w:pos="0"/>
        </w:tabs>
        <w:ind w:left="5010" w:hanging="330"/>
      </w:pPr>
      <w:rPr>
        <w:rFonts w:ascii="Book Antiqua" w:cs="Book Antiqua" w:hAnsi="Book Antiqua" w:eastAsia="Book Antiqua"/>
        <w:position w:val="0"/>
        <w:sz w:val="22"/>
        <w:szCs w:val="22"/>
      </w:rPr>
    </w:lvl>
    <w:lvl w:ilvl="7">
      <w:start w:val="1"/>
      <w:numFmt w:val="lowerLetter"/>
      <w:suff w:val="tab"/>
      <w:lvlText w:val="%8."/>
      <w:lvlJc w:val="left"/>
      <w:pPr>
        <w:tabs>
          <w:tab w:val="num" w:pos="5730"/>
          <w:tab w:val="clear" w:pos="0"/>
        </w:tabs>
        <w:ind w:left="5730" w:hanging="330"/>
      </w:pPr>
      <w:rPr>
        <w:rFonts w:ascii="Book Antiqua" w:cs="Book Antiqua" w:hAnsi="Book Antiqua" w:eastAsia="Book Antiqua"/>
        <w:position w:val="0"/>
        <w:sz w:val="22"/>
        <w:szCs w:val="22"/>
      </w:rPr>
    </w:lvl>
    <w:lvl w:ilvl="8">
      <w:start w:val="1"/>
      <w:numFmt w:val="lowerRoman"/>
      <w:suff w:val="tab"/>
      <w:lvlText w:val="%9."/>
      <w:lvlJc w:val="left"/>
      <w:pPr>
        <w:tabs>
          <w:tab w:val="num" w:pos="6455"/>
          <w:tab w:val="clear" w:pos="0"/>
        </w:tabs>
        <w:ind w:left="6455" w:hanging="271"/>
      </w:pPr>
      <w:rPr>
        <w:rFonts w:ascii="Book Antiqua" w:cs="Book Antiqua" w:hAnsi="Book Antiqua" w:eastAsia="Book Antiqua"/>
        <w:position w:val="0"/>
        <w:sz w:val="22"/>
        <w:szCs w:val="22"/>
      </w:rPr>
    </w:lvl>
  </w:abstractNum>
  <w:abstractNum w:abstractNumId="19">
    <w:multiLevelType w:val="multilevel"/>
    <w:lvl w:ilvl="0">
      <w:start w:val="1"/>
      <w:numFmt w:val="lowerLetter"/>
      <w:suff w:val="tab"/>
      <w:lvlText w:val="%1)"/>
      <w:lvlJc w:val="left"/>
      <w:pPr/>
      <w:rPr>
        <w:position w:val="0"/>
      </w:rPr>
    </w:lvl>
    <w:lvl w:ilvl="1">
      <w:start w:val="1"/>
      <w:numFmt w:val="lowerLetter"/>
      <w:suff w:val="tab"/>
      <w:lvlText w:val="%2."/>
      <w:lvlJc w:val="left"/>
      <w:pPr/>
      <w:rPr>
        <w:position w:val="0"/>
      </w:rPr>
    </w:lvl>
    <w:lvl w:ilvl="2">
      <w:start w:val="1"/>
      <w:numFmt w:val="lowerRoman"/>
      <w:suff w:val="tab"/>
      <w:lvlText w:val="%3."/>
      <w:lvlJc w:val="left"/>
      <w:pPr/>
      <w:rPr>
        <w:position w:val="0"/>
      </w:rPr>
    </w:lvl>
    <w:lvl w:ilvl="3">
      <w:start w:val="1"/>
      <w:numFmt w:val="decimal"/>
      <w:suff w:val="tab"/>
      <w:lvlText w:val="%4."/>
      <w:lvlJc w:val="left"/>
      <w:pPr/>
      <w:rPr>
        <w:position w:val="0"/>
      </w:rPr>
    </w:lvl>
    <w:lvl w:ilvl="4">
      <w:start w:val="1"/>
      <w:numFmt w:val="lowerLetter"/>
      <w:suff w:val="tab"/>
      <w:lvlText w:val="%5."/>
      <w:lvlJc w:val="left"/>
      <w:pPr/>
      <w:rPr>
        <w:position w:val="0"/>
      </w:rPr>
    </w:lvl>
    <w:lvl w:ilvl="5">
      <w:start w:val="1"/>
      <w:numFmt w:val="lowerRoman"/>
      <w:suff w:val="tab"/>
      <w:lvlText w:val="%6."/>
      <w:lvlJc w:val="left"/>
      <w:pPr/>
      <w:rPr>
        <w:position w:val="0"/>
      </w:rPr>
    </w:lvl>
    <w:lvl w:ilvl="6">
      <w:start w:val="1"/>
      <w:numFmt w:val="decimal"/>
      <w:suff w:val="tab"/>
      <w:lvlText w:val="%7."/>
      <w:lvlJc w:val="left"/>
      <w:pPr/>
      <w:rPr>
        <w:position w:val="0"/>
      </w:rPr>
    </w:lvl>
    <w:lvl w:ilvl="7">
      <w:start w:val="1"/>
      <w:numFmt w:val="lowerLetter"/>
      <w:suff w:val="tab"/>
      <w:lvlText w:val="%8."/>
      <w:lvlJc w:val="left"/>
      <w:pPr/>
      <w:rPr>
        <w:position w:val="0"/>
      </w:rPr>
    </w:lvl>
    <w:lvl w:ilvl="8">
      <w:start w:val="1"/>
      <w:numFmt w:val="lowerRoman"/>
      <w:suff w:val="tab"/>
      <w:lvlText w:val="%9."/>
      <w:lvlJc w:val="left"/>
      <w:pPr/>
      <w:rPr>
        <w:position w:val="0"/>
      </w:rPr>
    </w:lvl>
  </w:abstractNum>
  <w:abstractNum w:abstractNumId="20">
    <w:multiLevelType w:val="multilevel"/>
    <w:styleLink w:val="List 7"/>
    <w:lvl w:ilvl="0">
      <w:start w:val="1"/>
      <w:numFmt w:val="lowerLetter"/>
      <w:suff w:val="tab"/>
      <w:lvlText w:val="%1)"/>
      <w:lvlJc w:val="left"/>
      <w:pPr>
        <w:tabs>
          <w:tab w:val="num" w:pos="567"/>
          <w:tab w:val="clear" w:pos="0"/>
        </w:tabs>
        <w:ind w:left="567" w:hanging="141"/>
      </w:pPr>
      <w:rPr>
        <w:rFonts w:ascii="Book Antiqua" w:cs="Book Antiqua" w:hAnsi="Book Antiqua" w:eastAsia="Book Antiqua"/>
        <w:position w:val="0"/>
        <w:sz w:val="22"/>
        <w:szCs w:val="22"/>
      </w:rPr>
    </w:lvl>
    <w:lvl w:ilvl="1">
      <w:start w:val="1"/>
      <w:numFmt w:val="lowerLetter"/>
      <w:suff w:val="tab"/>
      <w:lvlText w:val="%2."/>
      <w:lvlJc w:val="left"/>
      <w:pPr>
        <w:tabs>
          <w:tab w:val="num" w:pos="1410"/>
          <w:tab w:val="clear" w:pos="0"/>
        </w:tabs>
        <w:ind w:left="1410" w:hanging="330"/>
      </w:pPr>
      <w:rPr>
        <w:rFonts w:ascii="Book Antiqua" w:cs="Book Antiqua" w:hAnsi="Book Antiqua" w:eastAsia="Book Antiqua"/>
        <w:position w:val="0"/>
        <w:sz w:val="22"/>
        <w:szCs w:val="22"/>
      </w:rPr>
    </w:lvl>
    <w:lvl w:ilvl="2">
      <w:start w:val="1"/>
      <w:numFmt w:val="lowerRoman"/>
      <w:suff w:val="tab"/>
      <w:lvlText w:val="%3."/>
      <w:lvlJc w:val="left"/>
      <w:pPr>
        <w:tabs>
          <w:tab w:val="num" w:pos="2135"/>
          <w:tab w:val="clear" w:pos="0"/>
        </w:tabs>
        <w:ind w:left="2135" w:hanging="271"/>
      </w:pPr>
      <w:rPr>
        <w:rFonts w:ascii="Book Antiqua" w:cs="Book Antiqua" w:hAnsi="Book Antiqua" w:eastAsia="Book Antiqua"/>
        <w:position w:val="0"/>
        <w:sz w:val="22"/>
        <w:szCs w:val="22"/>
      </w:rPr>
    </w:lvl>
    <w:lvl w:ilvl="3">
      <w:start w:val="1"/>
      <w:numFmt w:val="decimal"/>
      <w:suff w:val="tab"/>
      <w:lvlText w:val="%4."/>
      <w:lvlJc w:val="left"/>
      <w:pPr>
        <w:tabs>
          <w:tab w:val="num" w:pos="2850"/>
          <w:tab w:val="clear" w:pos="0"/>
        </w:tabs>
        <w:ind w:left="2850" w:hanging="330"/>
      </w:pPr>
      <w:rPr>
        <w:rFonts w:ascii="Book Antiqua" w:cs="Book Antiqua" w:hAnsi="Book Antiqua" w:eastAsia="Book Antiqua"/>
        <w:position w:val="0"/>
        <w:sz w:val="22"/>
        <w:szCs w:val="22"/>
      </w:rPr>
    </w:lvl>
    <w:lvl w:ilvl="4">
      <w:start w:val="1"/>
      <w:numFmt w:val="lowerLetter"/>
      <w:suff w:val="tab"/>
      <w:lvlText w:val="%5."/>
      <w:lvlJc w:val="left"/>
      <w:pPr>
        <w:tabs>
          <w:tab w:val="num" w:pos="3570"/>
          <w:tab w:val="clear" w:pos="0"/>
        </w:tabs>
        <w:ind w:left="3570" w:hanging="330"/>
      </w:pPr>
      <w:rPr>
        <w:rFonts w:ascii="Book Antiqua" w:cs="Book Antiqua" w:hAnsi="Book Antiqua" w:eastAsia="Book Antiqua"/>
        <w:position w:val="0"/>
        <w:sz w:val="22"/>
        <w:szCs w:val="22"/>
      </w:rPr>
    </w:lvl>
    <w:lvl w:ilvl="5">
      <w:start w:val="1"/>
      <w:numFmt w:val="lowerRoman"/>
      <w:suff w:val="tab"/>
      <w:lvlText w:val="%6."/>
      <w:lvlJc w:val="left"/>
      <w:pPr>
        <w:tabs>
          <w:tab w:val="num" w:pos="4295"/>
          <w:tab w:val="clear" w:pos="0"/>
        </w:tabs>
        <w:ind w:left="4295" w:hanging="271"/>
      </w:pPr>
      <w:rPr>
        <w:rFonts w:ascii="Book Antiqua" w:cs="Book Antiqua" w:hAnsi="Book Antiqua" w:eastAsia="Book Antiqua"/>
        <w:position w:val="0"/>
        <w:sz w:val="22"/>
        <w:szCs w:val="22"/>
      </w:rPr>
    </w:lvl>
    <w:lvl w:ilvl="6">
      <w:start w:val="1"/>
      <w:numFmt w:val="decimal"/>
      <w:suff w:val="tab"/>
      <w:lvlText w:val="%7."/>
      <w:lvlJc w:val="left"/>
      <w:pPr>
        <w:tabs>
          <w:tab w:val="num" w:pos="5010"/>
          <w:tab w:val="clear" w:pos="0"/>
        </w:tabs>
        <w:ind w:left="5010" w:hanging="330"/>
      </w:pPr>
      <w:rPr>
        <w:rFonts w:ascii="Book Antiqua" w:cs="Book Antiqua" w:hAnsi="Book Antiqua" w:eastAsia="Book Antiqua"/>
        <w:position w:val="0"/>
        <w:sz w:val="22"/>
        <w:szCs w:val="22"/>
      </w:rPr>
    </w:lvl>
    <w:lvl w:ilvl="7">
      <w:start w:val="1"/>
      <w:numFmt w:val="lowerLetter"/>
      <w:suff w:val="tab"/>
      <w:lvlText w:val="%8."/>
      <w:lvlJc w:val="left"/>
      <w:pPr>
        <w:tabs>
          <w:tab w:val="num" w:pos="5730"/>
          <w:tab w:val="clear" w:pos="0"/>
        </w:tabs>
        <w:ind w:left="5730" w:hanging="330"/>
      </w:pPr>
      <w:rPr>
        <w:rFonts w:ascii="Book Antiqua" w:cs="Book Antiqua" w:hAnsi="Book Antiqua" w:eastAsia="Book Antiqua"/>
        <w:position w:val="0"/>
        <w:sz w:val="22"/>
        <w:szCs w:val="22"/>
      </w:rPr>
    </w:lvl>
    <w:lvl w:ilvl="8">
      <w:start w:val="1"/>
      <w:numFmt w:val="lowerRoman"/>
      <w:suff w:val="tab"/>
      <w:lvlText w:val="%9."/>
      <w:lvlJc w:val="left"/>
      <w:pPr>
        <w:tabs>
          <w:tab w:val="num" w:pos="6455"/>
          <w:tab w:val="clear" w:pos="0"/>
        </w:tabs>
        <w:ind w:left="6455" w:hanging="271"/>
      </w:pPr>
      <w:rPr>
        <w:rFonts w:ascii="Book Antiqua" w:cs="Book Antiqua" w:hAnsi="Book Antiqua" w:eastAsia="Book Antiqua"/>
        <w:position w:val="0"/>
        <w:sz w:val="22"/>
        <w:szCs w:val="22"/>
      </w:rPr>
    </w:lvl>
  </w:abstractNum>
  <w:abstractNum w:abstractNumId="21">
    <w:multiLevelType w:val="multilevel"/>
    <w:lvl w:ilvl="0">
      <w:start w:val="1"/>
      <w:numFmt w:val="lowerLetter"/>
      <w:suff w:val="tab"/>
      <w:lvlText w:val="%1)"/>
      <w:lvlJc w:val="left"/>
      <w:pPr>
        <w:tabs>
          <w:tab w:val="num" w:pos="567"/>
          <w:tab w:val="clear" w:pos="0"/>
        </w:tabs>
        <w:ind w:left="567" w:hanging="141"/>
      </w:pPr>
      <w:rPr>
        <w:rFonts w:ascii="Book Antiqua" w:cs="Book Antiqua" w:hAnsi="Book Antiqua" w:eastAsia="Book Antiqua"/>
        <w:position w:val="0"/>
        <w:sz w:val="22"/>
        <w:szCs w:val="22"/>
      </w:rPr>
    </w:lvl>
    <w:lvl w:ilvl="1">
      <w:start w:val="1"/>
      <w:numFmt w:val="lowerLetter"/>
      <w:suff w:val="tab"/>
      <w:lvlText w:val="%2."/>
      <w:lvlJc w:val="left"/>
      <w:pPr>
        <w:tabs>
          <w:tab w:val="num" w:pos="1410"/>
          <w:tab w:val="clear" w:pos="0"/>
        </w:tabs>
        <w:ind w:left="1410" w:hanging="330"/>
      </w:pPr>
      <w:rPr>
        <w:rFonts w:ascii="Book Antiqua" w:cs="Book Antiqua" w:hAnsi="Book Antiqua" w:eastAsia="Book Antiqua"/>
        <w:position w:val="0"/>
        <w:sz w:val="22"/>
        <w:szCs w:val="22"/>
      </w:rPr>
    </w:lvl>
    <w:lvl w:ilvl="2">
      <w:start w:val="1"/>
      <w:numFmt w:val="lowerRoman"/>
      <w:suff w:val="tab"/>
      <w:lvlText w:val="%3."/>
      <w:lvlJc w:val="left"/>
      <w:pPr>
        <w:tabs>
          <w:tab w:val="num" w:pos="2135"/>
          <w:tab w:val="clear" w:pos="0"/>
        </w:tabs>
        <w:ind w:left="2135" w:hanging="271"/>
      </w:pPr>
      <w:rPr>
        <w:rFonts w:ascii="Book Antiqua" w:cs="Book Antiqua" w:hAnsi="Book Antiqua" w:eastAsia="Book Antiqua"/>
        <w:position w:val="0"/>
        <w:sz w:val="22"/>
        <w:szCs w:val="22"/>
      </w:rPr>
    </w:lvl>
    <w:lvl w:ilvl="3">
      <w:start w:val="1"/>
      <w:numFmt w:val="decimal"/>
      <w:suff w:val="tab"/>
      <w:lvlText w:val="%4."/>
      <w:lvlJc w:val="left"/>
      <w:pPr>
        <w:tabs>
          <w:tab w:val="num" w:pos="2850"/>
          <w:tab w:val="clear" w:pos="0"/>
        </w:tabs>
        <w:ind w:left="2850" w:hanging="330"/>
      </w:pPr>
      <w:rPr>
        <w:rFonts w:ascii="Book Antiqua" w:cs="Book Antiqua" w:hAnsi="Book Antiqua" w:eastAsia="Book Antiqua"/>
        <w:position w:val="0"/>
        <w:sz w:val="22"/>
        <w:szCs w:val="22"/>
      </w:rPr>
    </w:lvl>
    <w:lvl w:ilvl="4">
      <w:start w:val="1"/>
      <w:numFmt w:val="lowerLetter"/>
      <w:suff w:val="tab"/>
      <w:lvlText w:val="%5."/>
      <w:lvlJc w:val="left"/>
      <w:pPr>
        <w:tabs>
          <w:tab w:val="num" w:pos="3570"/>
          <w:tab w:val="clear" w:pos="0"/>
        </w:tabs>
        <w:ind w:left="3570" w:hanging="330"/>
      </w:pPr>
      <w:rPr>
        <w:rFonts w:ascii="Book Antiqua" w:cs="Book Antiqua" w:hAnsi="Book Antiqua" w:eastAsia="Book Antiqua"/>
        <w:position w:val="0"/>
        <w:sz w:val="22"/>
        <w:szCs w:val="22"/>
      </w:rPr>
    </w:lvl>
    <w:lvl w:ilvl="5">
      <w:start w:val="1"/>
      <w:numFmt w:val="lowerRoman"/>
      <w:suff w:val="tab"/>
      <w:lvlText w:val="%6."/>
      <w:lvlJc w:val="left"/>
      <w:pPr>
        <w:tabs>
          <w:tab w:val="num" w:pos="4295"/>
          <w:tab w:val="clear" w:pos="0"/>
        </w:tabs>
        <w:ind w:left="4295" w:hanging="271"/>
      </w:pPr>
      <w:rPr>
        <w:rFonts w:ascii="Book Antiqua" w:cs="Book Antiqua" w:hAnsi="Book Antiqua" w:eastAsia="Book Antiqua"/>
        <w:position w:val="0"/>
        <w:sz w:val="22"/>
        <w:szCs w:val="22"/>
      </w:rPr>
    </w:lvl>
    <w:lvl w:ilvl="6">
      <w:start w:val="1"/>
      <w:numFmt w:val="decimal"/>
      <w:suff w:val="tab"/>
      <w:lvlText w:val="%7."/>
      <w:lvlJc w:val="left"/>
      <w:pPr>
        <w:tabs>
          <w:tab w:val="num" w:pos="5010"/>
          <w:tab w:val="clear" w:pos="0"/>
        </w:tabs>
        <w:ind w:left="5010" w:hanging="330"/>
      </w:pPr>
      <w:rPr>
        <w:rFonts w:ascii="Book Antiqua" w:cs="Book Antiqua" w:hAnsi="Book Antiqua" w:eastAsia="Book Antiqua"/>
        <w:position w:val="0"/>
        <w:sz w:val="22"/>
        <w:szCs w:val="22"/>
      </w:rPr>
    </w:lvl>
    <w:lvl w:ilvl="7">
      <w:start w:val="1"/>
      <w:numFmt w:val="lowerLetter"/>
      <w:suff w:val="tab"/>
      <w:lvlText w:val="%8."/>
      <w:lvlJc w:val="left"/>
      <w:pPr>
        <w:tabs>
          <w:tab w:val="num" w:pos="5730"/>
          <w:tab w:val="clear" w:pos="0"/>
        </w:tabs>
        <w:ind w:left="5730" w:hanging="330"/>
      </w:pPr>
      <w:rPr>
        <w:rFonts w:ascii="Book Antiqua" w:cs="Book Antiqua" w:hAnsi="Book Antiqua" w:eastAsia="Book Antiqua"/>
        <w:position w:val="0"/>
        <w:sz w:val="22"/>
        <w:szCs w:val="22"/>
      </w:rPr>
    </w:lvl>
    <w:lvl w:ilvl="8">
      <w:start w:val="1"/>
      <w:numFmt w:val="lowerRoman"/>
      <w:suff w:val="tab"/>
      <w:lvlText w:val="%9."/>
      <w:lvlJc w:val="left"/>
      <w:pPr>
        <w:tabs>
          <w:tab w:val="num" w:pos="6455"/>
          <w:tab w:val="clear" w:pos="0"/>
        </w:tabs>
        <w:ind w:left="6455" w:hanging="271"/>
      </w:pPr>
      <w:rPr>
        <w:rFonts w:ascii="Book Antiqua" w:cs="Book Antiqua" w:hAnsi="Book Antiqua" w:eastAsia="Book Antiqua"/>
        <w:position w:val="0"/>
        <w:sz w:val="22"/>
        <w:szCs w:val="22"/>
      </w:rPr>
    </w:lvl>
  </w:abstractNum>
  <w:abstractNum w:abstractNumId="22">
    <w:multiLevelType w:val="multilevel"/>
    <w:lvl w:ilvl="0">
      <w:start w:val="1"/>
      <w:numFmt w:val="lowerLetter"/>
      <w:suff w:val="tab"/>
      <w:lvlText w:val="%1)"/>
      <w:lvlJc w:val="left"/>
      <w:pPr/>
      <w:rPr>
        <w:position w:val="0"/>
      </w:rPr>
    </w:lvl>
    <w:lvl w:ilvl="1">
      <w:start w:val="1"/>
      <w:numFmt w:val="lowerLetter"/>
      <w:suff w:val="tab"/>
      <w:lvlText w:val="%2."/>
      <w:lvlJc w:val="left"/>
      <w:pPr/>
      <w:rPr>
        <w:position w:val="0"/>
      </w:rPr>
    </w:lvl>
    <w:lvl w:ilvl="2">
      <w:start w:val="1"/>
      <w:numFmt w:val="lowerRoman"/>
      <w:suff w:val="tab"/>
      <w:lvlText w:val="%3."/>
      <w:lvlJc w:val="left"/>
      <w:pPr/>
      <w:rPr>
        <w:position w:val="0"/>
      </w:rPr>
    </w:lvl>
    <w:lvl w:ilvl="3">
      <w:start w:val="1"/>
      <w:numFmt w:val="decimal"/>
      <w:suff w:val="tab"/>
      <w:lvlText w:val="%4."/>
      <w:lvlJc w:val="left"/>
      <w:pPr/>
      <w:rPr>
        <w:position w:val="0"/>
      </w:rPr>
    </w:lvl>
    <w:lvl w:ilvl="4">
      <w:start w:val="1"/>
      <w:numFmt w:val="lowerLetter"/>
      <w:suff w:val="tab"/>
      <w:lvlText w:val="%5."/>
      <w:lvlJc w:val="left"/>
      <w:pPr/>
      <w:rPr>
        <w:position w:val="0"/>
      </w:rPr>
    </w:lvl>
    <w:lvl w:ilvl="5">
      <w:start w:val="1"/>
      <w:numFmt w:val="lowerRoman"/>
      <w:suff w:val="tab"/>
      <w:lvlText w:val="%6."/>
      <w:lvlJc w:val="left"/>
      <w:pPr/>
      <w:rPr>
        <w:position w:val="0"/>
      </w:rPr>
    </w:lvl>
    <w:lvl w:ilvl="6">
      <w:start w:val="1"/>
      <w:numFmt w:val="decimal"/>
      <w:suff w:val="tab"/>
      <w:lvlText w:val="%7."/>
      <w:lvlJc w:val="left"/>
      <w:pPr/>
      <w:rPr>
        <w:position w:val="0"/>
      </w:rPr>
    </w:lvl>
    <w:lvl w:ilvl="7">
      <w:start w:val="1"/>
      <w:numFmt w:val="lowerLetter"/>
      <w:suff w:val="tab"/>
      <w:lvlText w:val="%8."/>
      <w:lvlJc w:val="left"/>
      <w:pPr/>
      <w:rPr>
        <w:position w:val="0"/>
      </w:rPr>
    </w:lvl>
    <w:lvl w:ilvl="8">
      <w:start w:val="1"/>
      <w:numFmt w:val="lowerRoman"/>
      <w:suff w:val="tab"/>
      <w:lvlText w:val="%9."/>
      <w:lvlJc w:val="left"/>
      <w:pPr/>
      <w:rPr>
        <w:position w:val="0"/>
      </w:rPr>
    </w:lvl>
  </w:abstractNum>
  <w:abstractNum w:abstractNumId="23">
    <w:multiLevelType w:val="multilevel"/>
    <w:styleLink w:val="List 8"/>
    <w:lvl w:ilvl="0">
      <w:start w:val="1"/>
      <w:numFmt w:val="lowerLetter"/>
      <w:suff w:val="tab"/>
      <w:lvlText w:val="%1)"/>
      <w:lvlJc w:val="left"/>
      <w:pPr>
        <w:tabs>
          <w:tab w:val="num" w:pos="567"/>
          <w:tab w:val="clear" w:pos="0"/>
        </w:tabs>
        <w:ind w:left="567" w:hanging="141"/>
      </w:pPr>
      <w:rPr>
        <w:rFonts w:ascii="Book Antiqua" w:cs="Book Antiqua" w:hAnsi="Book Antiqua" w:eastAsia="Book Antiqua"/>
        <w:position w:val="0"/>
        <w:sz w:val="22"/>
        <w:szCs w:val="22"/>
      </w:rPr>
    </w:lvl>
    <w:lvl w:ilvl="1">
      <w:start w:val="1"/>
      <w:numFmt w:val="lowerLetter"/>
      <w:suff w:val="tab"/>
      <w:lvlText w:val="%2."/>
      <w:lvlJc w:val="left"/>
      <w:pPr>
        <w:tabs>
          <w:tab w:val="num" w:pos="1410"/>
          <w:tab w:val="clear" w:pos="0"/>
        </w:tabs>
        <w:ind w:left="1410" w:hanging="330"/>
      </w:pPr>
      <w:rPr>
        <w:rFonts w:ascii="Book Antiqua" w:cs="Book Antiqua" w:hAnsi="Book Antiqua" w:eastAsia="Book Antiqua"/>
        <w:position w:val="0"/>
        <w:sz w:val="22"/>
        <w:szCs w:val="22"/>
      </w:rPr>
    </w:lvl>
    <w:lvl w:ilvl="2">
      <w:start w:val="1"/>
      <w:numFmt w:val="lowerRoman"/>
      <w:suff w:val="tab"/>
      <w:lvlText w:val="%3."/>
      <w:lvlJc w:val="left"/>
      <w:pPr>
        <w:tabs>
          <w:tab w:val="num" w:pos="2135"/>
          <w:tab w:val="clear" w:pos="0"/>
        </w:tabs>
        <w:ind w:left="2135" w:hanging="271"/>
      </w:pPr>
      <w:rPr>
        <w:rFonts w:ascii="Book Antiqua" w:cs="Book Antiqua" w:hAnsi="Book Antiqua" w:eastAsia="Book Antiqua"/>
        <w:position w:val="0"/>
        <w:sz w:val="22"/>
        <w:szCs w:val="22"/>
      </w:rPr>
    </w:lvl>
    <w:lvl w:ilvl="3">
      <w:start w:val="1"/>
      <w:numFmt w:val="decimal"/>
      <w:suff w:val="tab"/>
      <w:lvlText w:val="%4."/>
      <w:lvlJc w:val="left"/>
      <w:pPr>
        <w:tabs>
          <w:tab w:val="num" w:pos="2850"/>
          <w:tab w:val="clear" w:pos="0"/>
        </w:tabs>
        <w:ind w:left="2850" w:hanging="330"/>
      </w:pPr>
      <w:rPr>
        <w:rFonts w:ascii="Book Antiqua" w:cs="Book Antiqua" w:hAnsi="Book Antiqua" w:eastAsia="Book Antiqua"/>
        <w:position w:val="0"/>
        <w:sz w:val="22"/>
        <w:szCs w:val="22"/>
      </w:rPr>
    </w:lvl>
    <w:lvl w:ilvl="4">
      <w:start w:val="1"/>
      <w:numFmt w:val="lowerLetter"/>
      <w:suff w:val="tab"/>
      <w:lvlText w:val="%5."/>
      <w:lvlJc w:val="left"/>
      <w:pPr>
        <w:tabs>
          <w:tab w:val="num" w:pos="3570"/>
          <w:tab w:val="clear" w:pos="0"/>
        </w:tabs>
        <w:ind w:left="3570" w:hanging="330"/>
      </w:pPr>
      <w:rPr>
        <w:rFonts w:ascii="Book Antiqua" w:cs="Book Antiqua" w:hAnsi="Book Antiqua" w:eastAsia="Book Antiqua"/>
        <w:position w:val="0"/>
        <w:sz w:val="22"/>
        <w:szCs w:val="22"/>
      </w:rPr>
    </w:lvl>
    <w:lvl w:ilvl="5">
      <w:start w:val="1"/>
      <w:numFmt w:val="lowerRoman"/>
      <w:suff w:val="tab"/>
      <w:lvlText w:val="%6."/>
      <w:lvlJc w:val="left"/>
      <w:pPr>
        <w:tabs>
          <w:tab w:val="num" w:pos="4295"/>
          <w:tab w:val="clear" w:pos="0"/>
        </w:tabs>
        <w:ind w:left="4295" w:hanging="271"/>
      </w:pPr>
      <w:rPr>
        <w:rFonts w:ascii="Book Antiqua" w:cs="Book Antiqua" w:hAnsi="Book Antiqua" w:eastAsia="Book Antiqua"/>
        <w:position w:val="0"/>
        <w:sz w:val="22"/>
        <w:szCs w:val="22"/>
      </w:rPr>
    </w:lvl>
    <w:lvl w:ilvl="6">
      <w:start w:val="1"/>
      <w:numFmt w:val="decimal"/>
      <w:suff w:val="tab"/>
      <w:lvlText w:val="%7."/>
      <w:lvlJc w:val="left"/>
      <w:pPr>
        <w:tabs>
          <w:tab w:val="num" w:pos="5010"/>
          <w:tab w:val="clear" w:pos="0"/>
        </w:tabs>
        <w:ind w:left="5010" w:hanging="330"/>
      </w:pPr>
      <w:rPr>
        <w:rFonts w:ascii="Book Antiqua" w:cs="Book Antiqua" w:hAnsi="Book Antiqua" w:eastAsia="Book Antiqua"/>
        <w:position w:val="0"/>
        <w:sz w:val="22"/>
        <w:szCs w:val="22"/>
      </w:rPr>
    </w:lvl>
    <w:lvl w:ilvl="7">
      <w:start w:val="1"/>
      <w:numFmt w:val="lowerLetter"/>
      <w:suff w:val="tab"/>
      <w:lvlText w:val="%8."/>
      <w:lvlJc w:val="left"/>
      <w:pPr>
        <w:tabs>
          <w:tab w:val="num" w:pos="5730"/>
          <w:tab w:val="clear" w:pos="0"/>
        </w:tabs>
        <w:ind w:left="5730" w:hanging="330"/>
      </w:pPr>
      <w:rPr>
        <w:rFonts w:ascii="Book Antiqua" w:cs="Book Antiqua" w:hAnsi="Book Antiqua" w:eastAsia="Book Antiqua"/>
        <w:position w:val="0"/>
        <w:sz w:val="22"/>
        <w:szCs w:val="22"/>
      </w:rPr>
    </w:lvl>
    <w:lvl w:ilvl="8">
      <w:start w:val="1"/>
      <w:numFmt w:val="lowerRoman"/>
      <w:suff w:val="tab"/>
      <w:lvlText w:val="%9."/>
      <w:lvlJc w:val="left"/>
      <w:pPr>
        <w:tabs>
          <w:tab w:val="num" w:pos="6455"/>
          <w:tab w:val="clear" w:pos="0"/>
        </w:tabs>
        <w:ind w:left="6455" w:hanging="271"/>
      </w:pPr>
      <w:rPr>
        <w:rFonts w:ascii="Book Antiqua" w:cs="Book Antiqua" w:hAnsi="Book Antiqua" w:eastAsia="Book Antiqua"/>
        <w:position w:val="0"/>
        <w:sz w:val="22"/>
        <w:szCs w:val="22"/>
      </w:rPr>
    </w:lvl>
  </w:abstractNum>
  <w:abstractNum w:abstractNumId="24">
    <w:multiLevelType w:val="multilevel"/>
    <w:lvl w:ilvl="0">
      <w:start w:val="1"/>
      <w:numFmt w:val="bullet"/>
      <w:suff w:val="tab"/>
      <w:lvlText w:val="➢"/>
      <w:lvlJc w:val="left"/>
      <w:pPr>
        <w:tabs>
          <w:tab w:val="num" w:pos="567"/>
          <w:tab w:val="clear" w:pos="0"/>
        </w:tabs>
        <w:ind w:left="567" w:hanging="360"/>
      </w:pPr>
      <w:rPr>
        <w:rFonts w:ascii="Book Antiqua" w:cs="Book Antiqua" w:hAnsi="Book Antiqua" w:eastAsia="Book Antiqua"/>
        <w:position w:val="0"/>
        <w:sz w:val="24"/>
        <w:szCs w:val="24"/>
      </w:rPr>
    </w:lvl>
    <w:lvl w:ilvl="1">
      <w:start w:val="1"/>
      <w:numFmt w:val="bullet"/>
      <w:suff w:val="tab"/>
      <w:lvlText w:val="o"/>
      <w:lvlJc w:val="left"/>
      <w:pPr>
        <w:tabs>
          <w:tab w:val="num" w:pos="1440"/>
          <w:tab w:val="clear" w:pos="0"/>
        </w:tabs>
        <w:ind w:left="1440" w:hanging="360"/>
      </w:pPr>
      <w:rPr>
        <w:rFonts w:ascii="Book Antiqua" w:cs="Book Antiqua" w:hAnsi="Book Antiqua" w:eastAsia="Book Antiqua"/>
        <w:position w:val="0"/>
        <w:sz w:val="24"/>
        <w:szCs w:val="24"/>
      </w:rPr>
    </w:lvl>
    <w:lvl w:ilvl="2">
      <w:start w:val="1"/>
      <w:numFmt w:val="bullet"/>
      <w:suff w:val="tab"/>
      <w:lvlText w:val="▪"/>
      <w:lvlJc w:val="left"/>
      <w:pPr>
        <w:tabs>
          <w:tab w:val="num" w:pos="2160"/>
          <w:tab w:val="clear" w:pos="0"/>
        </w:tabs>
        <w:ind w:left="2160" w:hanging="360"/>
      </w:pPr>
      <w:rPr>
        <w:rFonts w:ascii="Book Antiqua" w:cs="Book Antiqua" w:hAnsi="Book Antiqua" w:eastAsia="Book Antiqua"/>
        <w:position w:val="0"/>
        <w:sz w:val="24"/>
        <w:szCs w:val="24"/>
      </w:rPr>
    </w:lvl>
    <w:lvl w:ilvl="3">
      <w:start w:val="1"/>
      <w:numFmt w:val="bullet"/>
      <w:suff w:val="tab"/>
      <w:lvlText w:val="•"/>
      <w:lvlJc w:val="left"/>
      <w:pPr>
        <w:tabs>
          <w:tab w:val="num" w:pos="2880"/>
          <w:tab w:val="clear" w:pos="0"/>
        </w:tabs>
        <w:ind w:left="2880" w:hanging="360"/>
      </w:pPr>
      <w:rPr>
        <w:rFonts w:ascii="Book Antiqua" w:cs="Book Antiqua" w:hAnsi="Book Antiqua" w:eastAsia="Book Antiqua"/>
        <w:position w:val="0"/>
        <w:sz w:val="24"/>
        <w:szCs w:val="24"/>
      </w:rPr>
    </w:lvl>
    <w:lvl w:ilvl="4">
      <w:start w:val="1"/>
      <w:numFmt w:val="bullet"/>
      <w:suff w:val="tab"/>
      <w:lvlText w:val="o"/>
      <w:lvlJc w:val="left"/>
      <w:pPr>
        <w:tabs>
          <w:tab w:val="num" w:pos="3600"/>
          <w:tab w:val="clear" w:pos="0"/>
        </w:tabs>
        <w:ind w:left="3600" w:hanging="360"/>
      </w:pPr>
      <w:rPr>
        <w:rFonts w:ascii="Book Antiqua" w:cs="Book Antiqua" w:hAnsi="Book Antiqua" w:eastAsia="Book Antiqua"/>
        <w:position w:val="0"/>
        <w:sz w:val="24"/>
        <w:szCs w:val="24"/>
      </w:rPr>
    </w:lvl>
    <w:lvl w:ilvl="5">
      <w:start w:val="1"/>
      <w:numFmt w:val="bullet"/>
      <w:suff w:val="tab"/>
      <w:lvlText w:val="▪"/>
      <w:lvlJc w:val="left"/>
      <w:pPr>
        <w:tabs>
          <w:tab w:val="num" w:pos="4320"/>
          <w:tab w:val="clear" w:pos="0"/>
        </w:tabs>
        <w:ind w:left="4320" w:hanging="360"/>
      </w:pPr>
      <w:rPr>
        <w:rFonts w:ascii="Book Antiqua" w:cs="Book Antiqua" w:hAnsi="Book Antiqua" w:eastAsia="Book Antiqua"/>
        <w:position w:val="0"/>
        <w:sz w:val="24"/>
        <w:szCs w:val="24"/>
      </w:rPr>
    </w:lvl>
    <w:lvl w:ilvl="6">
      <w:start w:val="1"/>
      <w:numFmt w:val="bullet"/>
      <w:suff w:val="tab"/>
      <w:lvlText w:val="•"/>
      <w:lvlJc w:val="left"/>
      <w:pPr>
        <w:tabs>
          <w:tab w:val="num" w:pos="5040"/>
          <w:tab w:val="clear" w:pos="0"/>
        </w:tabs>
        <w:ind w:left="5040" w:hanging="360"/>
      </w:pPr>
      <w:rPr>
        <w:rFonts w:ascii="Book Antiqua" w:cs="Book Antiqua" w:hAnsi="Book Antiqua" w:eastAsia="Book Antiqua"/>
        <w:position w:val="0"/>
        <w:sz w:val="24"/>
        <w:szCs w:val="24"/>
      </w:rPr>
    </w:lvl>
    <w:lvl w:ilvl="7">
      <w:start w:val="1"/>
      <w:numFmt w:val="bullet"/>
      <w:suff w:val="tab"/>
      <w:lvlText w:val="o"/>
      <w:lvlJc w:val="left"/>
      <w:pPr>
        <w:tabs>
          <w:tab w:val="num" w:pos="5760"/>
          <w:tab w:val="clear" w:pos="0"/>
        </w:tabs>
        <w:ind w:left="5760" w:hanging="360"/>
      </w:pPr>
      <w:rPr>
        <w:rFonts w:ascii="Book Antiqua" w:cs="Book Antiqua" w:hAnsi="Book Antiqua" w:eastAsia="Book Antiqua"/>
        <w:position w:val="0"/>
        <w:sz w:val="24"/>
        <w:szCs w:val="24"/>
      </w:rPr>
    </w:lvl>
    <w:lvl w:ilvl="8">
      <w:start w:val="1"/>
      <w:numFmt w:val="bullet"/>
      <w:suff w:val="tab"/>
      <w:lvlText w:val="▪"/>
      <w:lvlJc w:val="left"/>
      <w:pPr>
        <w:tabs>
          <w:tab w:val="num" w:pos="6480"/>
          <w:tab w:val="clear" w:pos="0"/>
        </w:tabs>
        <w:ind w:left="6480" w:hanging="360"/>
      </w:pPr>
      <w:rPr>
        <w:rFonts w:ascii="Book Antiqua" w:cs="Book Antiqua" w:hAnsi="Book Antiqua" w:eastAsia="Book Antiqua"/>
        <w:position w:val="0"/>
        <w:sz w:val="24"/>
        <w:szCs w:val="24"/>
      </w:rPr>
    </w:lvl>
  </w:abstractNum>
  <w:abstractNum w:abstractNumId="25">
    <w:multiLevelType w:val="multilevel"/>
    <w:lvl w:ilvl="0">
      <w:start w:val="1"/>
      <w:numFmt w:val="bullet"/>
      <w:suff w:val="tab"/>
      <w:lvlText w:val="➢"/>
      <w:lvlJc w:val="left"/>
      <w:pPr/>
      <w:rPr>
        <w:position w:val="0"/>
      </w:rPr>
    </w:lvl>
    <w:lvl w:ilvl="1">
      <w:start w:val="1"/>
      <w:numFmt w:val="bullet"/>
      <w:suff w:val="tab"/>
      <w:lvlText w:val="o"/>
      <w:lvlJc w:val="left"/>
      <w:pPr/>
      <w:rPr>
        <w:position w:val="0"/>
      </w:rPr>
    </w:lvl>
    <w:lvl w:ilvl="2">
      <w:start w:val="1"/>
      <w:numFmt w:val="bullet"/>
      <w:suff w:val="tab"/>
      <w:lvlText w:val="▪"/>
      <w:lvlJc w:val="left"/>
      <w:pPr/>
      <w:rPr>
        <w:position w:val="0"/>
      </w:rPr>
    </w:lvl>
    <w:lvl w:ilvl="3">
      <w:start w:val="1"/>
      <w:numFmt w:val="bullet"/>
      <w:suff w:val="tab"/>
      <w:lvlText w:val="•"/>
      <w:lvlJc w:val="left"/>
      <w:pPr/>
      <w:rPr>
        <w:position w:val="0"/>
      </w:rPr>
    </w:lvl>
    <w:lvl w:ilvl="4">
      <w:start w:val="1"/>
      <w:numFmt w:val="bullet"/>
      <w:suff w:val="tab"/>
      <w:lvlText w:val="o"/>
      <w:lvlJc w:val="left"/>
      <w:pPr/>
      <w:rPr>
        <w:position w:val="0"/>
      </w:rPr>
    </w:lvl>
    <w:lvl w:ilvl="5">
      <w:start w:val="1"/>
      <w:numFmt w:val="bullet"/>
      <w:suff w:val="tab"/>
      <w:lvlText w:val="▪"/>
      <w:lvlJc w:val="left"/>
      <w:pPr/>
      <w:rPr>
        <w:position w:val="0"/>
      </w:rPr>
    </w:lvl>
    <w:lvl w:ilvl="6">
      <w:start w:val="1"/>
      <w:numFmt w:val="bullet"/>
      <w:suff w:val="tab"/>
      <w:lvlText w:val="•"/>
      <w:lvlJc w:val="left"/>
      <w:pPr/>
      <w:rPr>
        <w:position w:val="0"/>
      </w:rPr>
    </w:lvl>
    <w:lvl w:ilvl="7">
      <w:start w:val="1"/>
      <w:numFmt w:val="bullet"/>
      <w:suff w:val="tab"/>
      <w:lvlText w:val="o"/>
      <w:lvlJc w:val="left"/>
      <w:pPr/>
      <w:rPr>
        <w:position w:val="0"/>
      </w:rPr>
    </w:lvl>
    <w:lvl w:ilvl="8">
      <w:start w:val="1"/>
      <w:numFmt w:val="bullet"/>
      <w:suff w:val="tab"/>
      <w:lvlText w:val="▪"/>
      <w:lvlJc w:val="left"/>
      <w:pPr/>
      <w:rPr>
        <w:position w:val="0"/>
      </w:rPr>
    </w:lvl>
  </w:abstractNum>
  <w:abstractNum w:abstractNumId="26">
    <w:multiLevelType w:val="multilevel"/>
    <w:styleLink w:val="List 9"/>
    <w:lvl w:ilvl="0">
      <w:start w:val="0"/>
      <w:numFmt w:val="bullet"/>
      <w:suff w:val="tab"/>
      <w:lvlText w:val="➢"/>
      <w:lvlJc w:val="left"/>
      <w:pPr>
        <w:tabs>
          <w:tab w:val="num" w:pos="567"/>
          <w:tab w:val="clear" w:pos="0"/>
        </w:tabs>
        <w:ind w:left="567" w:hanging="360"/>
      </w:pPr>
      <w:rPr>
        <w:rFonts w:ascii="Book Antiqua" w:cs="Book Antiqua" w:hAnsi="Book Antiqua" w:eastAsia="Book Antiqua"/>
        <w:position w:val="0"/>
        <w:sz w:val="22"/>
        <w:szCs w:val="22"/>
      </w:rPr>
    </w:lvl>
    <w:lvl w:ilvl="1">
      <w:start w:val="1"/>
      <w:numFmt w:val="bullet"/>
      <w:suff w:val="tab"/>
      <w:lvlText w:val="o"/>
      <w:lvlJc w:val="left"/>
      <w:pPr>
        <w:tabs>
          <w:tab w:val="num" w:pos="1440"/>
          <w:tab w:val="clear" w:pos="0"/>
        </w:tabs>
        <w:ind w:left="1440" w:hanging="360"/>
      </w:pPr>
      <w:rPr>
        <w:rFonts w:ascii="Book Antiqua" w:cs="Book Antiqua" w:hAnsi="Book Antiqua" w:eastAsia="Book Antiqua"/>
        <w:position w:val="0"/>
        <w:sz w:val="24"/>
        <w:szCs w:val="24"/>
      </w:rPr>
    </w:lvl>
    <w:lvl w:ilvl="2">
      <w:start w:val="1"/>
      <w:numFmt w:val="bullet"/>
      <w:suff w:val="tab"/>
      <w:lvlText w:val="▪"/>
      <w:lvlJc w:val="left"/>
      <w:pPr>
        <w:tabs>
          <w:tab w:val="num" w:pos="2160"/>
          <w:tab w:val="clear" w:pos="0"/>
        </w:tabs>
        <w:ind w:left="2160" w:hanging="360"/>
      </w:pPr>
      <w:rPr>
        <w:rFonts w:ascii="Book Antiqua" w:cs="Book Antiqua" w:hAnsi="Book Antiqua" w:eastAsia="Book Antiqua"/>
        <w:position w:val="0"/>
        <w:sz w:val="24"/>
        <w:szCs w:val="24"/>
      </w:rPr>
    </w:lvl>
    <w:lvl w:ilvl="3">
      <w:start w:val="1"/>
      <w:numFmt w:val="bullet"/>
      <w:suff w:val="tab"/>
      <w:lvlText w:val="•"/>
      <w:lvlJc w:val="left"/>
      <w:pPr>
        <w:tabs>
          <w:tab w:val="num" w:pos="2880"/>
          <w:tab w:val="clear" w:pos="0"/>
        </w:tabs>
        <w:ind w:left="2880" w:hanging="360"/>
      </w:pPr>
      <w:rPr>
        <w:rFonts w:ascii="Book Antiqua" w:cs="Book Antiqua" w:hAnsi="Book Antiqua" w:eastAsia="Book Antiqua"/>
        <w:position w:val="0"/>
        <w:sz w:val="24"/>
        <w:szCs w:val="24"/>
      </w:rPr>
    </w:lvl>
    <w:lvl w:ilvl="4">
      <w:start w:val="1"/>
      <w:numFmt w:val="bullet"/>
      <w:suff w:val="tab"/>
      <w:lvlText w:val="o"/>
      <w:lvlJc w:val="left"/>
      <w:pPr>
        <w:tabs>
          <w:tab w:val="num" w:pos="3600"/>
          <w:tab w:val="clear" w:pos="0"/>
        </w:tabs>
        <w:ind w:left="3600" w:hanging="360"/>
      </w:pPr>
      <w:rPr>
        <w:rFonts w:ascii="Book Antiqua" w:cs="Book Antiqua" w:hAnsi="Book Antiqua" w:eastAsia="Book Antiqua"/>
        <w:position w:val="0"/>
        <w:sz w:val="24"/>
        <w:szCs w:val="24"/>
      </w:rPr>
    </w:lvl>
    <w:lvl w:ilvl="5">
      <w:start w:val="1"/>
      <w:numFmt w:val="bullet"/>
      <w:suff w:val="tab"/>
      <w:lvlText w:val="▪"/>
      <w:lvlJc w:val="left"/>
      <w:pPr>
        <w:tabs>
          <w:tab w:val="num" w:pos="4320"/>
          <w:tab w:val="clear" w:pos="0"/>
        </w:tabs>
        <w:ind w:left="4320" w:hanging="360"/>
      </w:pPr>
      <w:rPr>
        <w:rFonts w:ascii="Book Antiqua" w:cs="Book Antiqua" w:hAnsi="Book Antiqua" w:eastAsia="Book Antiqua"/>
        <w:position w:val="0"/>
        <w:sz w:val="24"/>
        <w:szCs w:val="24"/>
      </w:rPr>
    </w:lvl>
    <w:lvl w:ilvl="6">
      <w:start w:val="1"/>
      <w:numFmt w:val="bullet"/>
      <w:suff w:val="tab"/>
      <w:lvlText w:val="•"/>
      <w:lvlJc w:val="left"/>
      <w:pPr>
        <w:tabs>
          <w:tab w:val="num" w:pos="5040"/>
          <w:tab w:val="clear" w:pos="0"/>
        </w:tabs>
        <w:ind w:left="5040" w:hanging="360"/>
      </w:pPr>
      <w:rPr>
        <w:rFonts w:ascii="Book Antiqua" w:cs="Book Antiqua" w:hAnsi="Book Antiqua" w:eastAsia="Book Antiqua"/>
        <w:position w:val="0"/>
        <w:sz w:val="24"/>
        <w:szCs w:val="24"/>
      </w:rPr>
    </w:lvl>
    <w:lvl w:ilvl="7">
      <w:start w:val="1"/>
      <w:numFmt w:val="bullet"/>
      <w:suff w:val="tab"/>
      <w:lvlText w:val="o"/>
      <w:lvlJc w:val="left"/>
      <w:pPr>
        <w:tabs>
          <w:tab w:val="num" w:pos="5760"/>
          <w:tab w:val="clear" w:pos="0"/>
        </w:tabs>
        <w:ind w:left="5760" w:hanging="360"/>
      </w:pPr>
      <w:rPr>
        <w:rFonts w:ascii="Book Antiqua" w:cs="Book Antiqua" w:hAnsi="Book Antiqua" w:eastAsia="Book Antiqua"/>
        <w:position w:val="0"/>
        <w:sz w:val="24"/>
        <w:szCs w:val="24"/>
      </w:rPr>
    </w:lvl>
    <w:lvl w:ilvl="8">
      <w:start w:val="1"/>
      <w:numFmt w:val="bullet"/>
      <w:suff w:val="tab"/>
      <w:lvlText w:val="▪"/>
      <w:lvlJc w:val="left"/>
      <w:pPr>
        <w:tabs>
          <w:tab w:val="num" w:pos="6480"/>
          <w:tab w:val="clear" w:pos="0"/>
        </w:tabs>
        <w:ind w:left="6480" w:hanging="360"/>
      </w:pPr>
      <w:rPr>
        <w:rFonts w:ascii="Book Antiqua" w:cs="Book Antiqua" w:hAnsi="Book Antiqua" w:eastAsia="Book Antiqua"/>
        <w:position w:val="0"/>
        <w:sz w:val="24"/>
        <w:szCs w:val="24"/>
      </w:rPr>
    </w:lvl>
  </w:abstractNum>
  <w:abstractNum w:abstractNumId="27">
    <w:multiLevelType w:val="multilevel"/>
    <w:styleLink w:val="List 9"/>
    <w:lvl w:ilvl="0">
      <w:start w:val="0"/>
      <w:numFmt w:val="bullet"/>
      <w:suff w:val="tab"/>
      <w:lvlText w:val="➢"/>
      <w:lvlJc w:val="left"/>
      <w:pPr>
        <w:tabs>
          <w:tab w:val="num" w:pos="567"/>
          <w:tab w:val="clear" w:pos="0"/>
        </w:tabs>
        <w:ind w:left="567" w:hanging="360"/>
      </w:pPr>
      <w:rPr>
        <w:rFonts w:ascii="Book Antiqua" w:cs="Book Antiqua" w:hAnsi="Book Antiqua" w:eastAsia="Book Antiqua"/>
        <w:position w:val="0"/>
        <w:sz w:val="22"/>
        <w:szCs w:val="22"/>
      </w:rPr>
    </w:lvl>
    <w:lvl w:ilvl="1">
      <w:start w:val="1"/>
      <w:numFmt w:val="bullet"/>
      <w:suff w:val="tab"/>
      <w:lvlText w:val="o"/>
      <w:lvlJc w:val="left"/>
      <w:pPr>
        <w:tabs>
          <w:tab w:val="num" w:pos="1440"/>
          <w:tab w:val="clear" w:pos="0"/>
        </w:tabs>
        <w:ind w:left="1440" w:hanging="360"/>
      </w:pPr>
      <w:rPr>
        <w:rFonts w:ascii="Book Antiqua" w:cs="Book Antiqua" w:hAnsi="Book Antiqua" w:eastAsia="Book Antiqua"/>
        <w:position w:val="0"/>
        <w:sz w:val="24"/>
        <w:szCs w:val="24"/>
      </w:rPr>
    </w:lvl>
    <w:lvl w:ilvl="2">
      <w:start w:val="1"/>
      <w:numFmt w:val="bullet"/>
      <w:suff w:val="tab"/>
      <w:lvlText w:val="▪"/>
      <w:lvlJc w:val="left"/>
      <w:pPr>
        <w:tabs>
          <w:tab w:val="num" w:pos="2160"/>
          <w:tab w:val="clear" w:pos="0"/>
        </w:tabs>
        <w:ind w:left="2160" w:hanging="360"/>
      </w:pPr>
      <w:rPr>
        <w:rFonts w:ascii="Book Antiqua" w:cs="Book Antiqua" w:hAnsi="Book Antiqua" w:eastAsia="Book Antiqua"/>
        <w:position w:val="0"/>
        <w:sz w:val="24"/>
        <w:szCs w:val="24"/>
      </w:rPr>
    </w:lvl>
    <w:lvl w:ilvl="3">
      <w:start w:val="1"/>
      <w:numFmt w:val="bullet"/>
      <w:suff w:val="tab"/>
      <w:lvlText w:val="•"/>
      <w:lvlJc w:val="left"/>
      <w:pPr>
        <w:tabs>
          <w:tab w:val="num" w:pos="2880"/>
          <w:tab w:val="clear" w:pos="0"/>
        </w:tabs>
        <w:ind w:left="2880" w:hanging="360"/>
      </w:pPr>
      <w:rPr>
        <w:rFonts w:ascii="Book Antiqua" w:cs="Book Antiqua" w:hAnsi="Book Antiqua" w:eastAsia="Book Antiqua"/>
        <w:position w:val="0"/>
        <w:sz w:val="24"/>
        <w:szCs w:val="24"/>
      </w:rPr>
    </w:lvl>
    <w:lvl w:ilvl="4">
      <w:start w:val="1"/>
      <w:numFmt w:val="bullet"/>
      <w:suff w:val="tab"/>
      <w:lvlText w:val="o"/>
      <w:lvlJc w:val="left"/>
      <w:pPr>
        <w:tabs>
          <w:tab w:val="num" w:pos="3600"/>
          <w:tab w:val="clear" w:pos="0"/>
        </w:tabs>
        <w:ind w:left="3600" w:hanging="360"/>
      </w:pPr>
      <w:rPr>
        <w:rFonts w:ascii="Book Antiqua" w:cs="Book Antiqua" w:hAnsi="Book Antiqua" w:eastAsia="Book Antiqua"/>
        <w:position w:val="0"/>
        <w:sz w:val="24"/>
        <w:szCs w:val="24"/>
      </w:rPr>
    </w:lvl>
    <w:lvl w:ilvl="5">
      <w:start w:val="1"/>
      <w:numFmt w:val="bullet"/>
      <w:suff w:val="tab"/>
      <w:lvlText w:val="▪"/>
      <w:lvlJc w:val="left"/>
      <w:pPr>
        <w:tabs>
          <w:tab w:val="num" w:pos="4320"/>
          <w:tab w:val="clear" w:pos="0"/>
        </w:tabs>
        <w:ind w:left="4320" w:hanging="360"/>
      </w:pPr>
      <w:rPr>
        <w:rFonts w:ascii="Book Antiqua" w:cs="Book Antiqua" w:hAnsi="Book Antiqua" w:eastAsia="Book Antiqua"/>
        <w:position w:val="0"/>
        <w:sz w:val="24"/>
        <w:szCs w:val="24"/>
      </w:rPr>
    </w:lvl>
    <w:lvl w:ilvl="6">
      <w:start w:val="1"/>
      <w:numFmt w:val="bullet"/>
      <w:suff w:val="tab"/>
      <w:lvlText w:val="•"/>
      <w:lvlJc w:val="left"/>
      <w:pPr>
        <w:tabs>
          <w:tab w:val="num" w:pos="5040"/>
          <w:tab w:val="clear" w:pos="0"/>
        </w:tabs>
        <w:ind w:left="5040" w:hanging="360"/>
      </w:pPr>
      <w:rPr>
        <w:rFonts w:ascii="Book Antiqua" w:cs="Book Antiqua" w:hAnsi="Book Antiqua" w:eastAsia="Book Antiqua"/>
        <w:position w:val="0"/>
        <w:sz w:val="24"/>
        <w:szCs w:val="24"/>
      </w:rPr>
    </w:lvl>
    <w:lvl w:ilvl="7">
      <w:start w:val="1"/>
      <w:numFmt w:val="bullet"/>
      <w:suff w:val="tab"/>
      <w:lvlText w:val="o"/>
      <w:lvlJc w:val="left"/>
      <w:pPr>
        <w:tabs>
          <w:tab w:val="num" w:pos="5760"/>
          <w:tab w:val="clear" w:pos="0"/>
        </w:tabs>
        <w:ind w:left="5760" w:hanging="360"/>
      </w:pPr>
      <w:rPr>
        <w:rFonts w:ascii="Book Antiqua" w:cs="Book Antiqua" w:hAnsi="Book Antiqua" w:eastAsia="Book Antiqua"/>
        <w:position w:val="0"/>
        <w:sz w:val="24"/>
        <w:szCs w:val="24"/>
      </w:rPr>
    </w:lvl>
    <w:lvl w:ilvl="8">
      <w:start w:val="1"/>
      <w:numFmt w:val="bullet"/>
      <w:suff w:val="tab"/>
      <w:lvlText w:val="▪"/>
      <w:lvlJc w:val="left"/>
      <w:pPr>
        <w:tabs>
          <w:tab w:val="num" w:pos="6480"/>
          <w:tab w:val="clear" w:pos="0"/>
        </w:tabs>
        <w:ind w:left="6480" w:hanging="360"/>
      </w:pPr>
      <w:rPr>
        <w:rFonts w:ascii="Book Antiqua" w:cs="Book Antiqua" w:hAnsi="Book Antiqua" w:eastAsia="Book Antiqua"/>
        <w:position w:val="0"/>
        <w:sz w:val="24"/>
        <w:szCs w:val="24"/>
      </w:rPr>
    </w:lvl>
  </w:abstractNum>
  <w:abstractNum w:abstractNumId="28">
    <w:multiLevelType w:val="multilevel"/>
    <w:styleLink w:val="List 9"/>
    <w:lvl w:ilvl="0">
      <w:start w:val="0"/>
      <w:numFmt w:val="bullet"/>
      <w:suff w:val="tab"/>
      <w:lvlText w:val="➢"/>
      <w:lvlJc w:val="left"/>
      <w:pPr>
        <w:tabs>
          <w:tab w:val="num" w:pos="567"/>
          <w:tab w:val="clear" w:pos="0"/>
        </w:tabs>
        <w:ind w:left="567" w:hanging="360"/>
      </w:pPr>
      <w:rPr>
        <w:rFonts w:ascii="Book Antiqua" w:cs="Book Antiqua" w:hAnsi="Book Antiqua" w:eastAsia="Book Antiqua"/>
        <w:position w:val="0"/>
        <w:sz w:val="22"/>
        <w:szCs w:val="22"/>
      </w:rPr>
    </w:lvl>
    <w:lvl w:ilvl="1">
      <w:start w:val="1"/>
      <w:numFmt w:val="bullet"/>
      <w:suff w:val="tab"/>
      <w:lvlText w:val="o"/>
      <w:lvlJc w:val="left"/>
      <w:pPr>
        <w:tabs>
          <w:tab w:val="num" w:pos="1440"/>
          <w:tab w:val="clear" w:pos="0"/>
        </w:tabs>
        <w:ind w:left="1440" w:hanging="360"/>
      </w:pPr>
      <w:rPr>
        <w:rFonts w:ascii="Book Antiqua" w:cs="Book Antiqua" w:hAnsi="Book Antiqua" w:eastAsia="Book Antiqua"/>
        <w:position w:val="0"/>
        <w:sz w:val="24"/>
        <w:szCs w:val="24"/>
      </w:rPr>
    </w:lvl>
    <w:lvl w:ilvl="2">
      <w:start w:val="1"/>
      <w:numFmt w:val="bullet"/>
      <w:suff w:val="tab"/>
      <w:lvlText w:val="▪"/>
      <w:lvlJc w:val="left"/>
      <w:pPr>
        <w:tabs>
          <w:tab w:val="num" w:pos="2160"/>
          <w:tab w:val="clear" w:pos="0"/>
        </w:tabs>
        <w:ind w:left="2160" w:hanging="360"/>
      </w:pPr>
      <w:rPr>
        <w:rFonts w:ascii="Book Antiqua" w:cs="Book Antiqua" w:hAnsi="Book Antiqua" w:eastAsia="Book Antiqua"/>
        <w:position w:val="0"/>
        <w:sz w:val="24"/>
        <w:szCs w:val="24"/>
      </w:rPr>
    </w:lvl>
    <w:lvl w:ilvl="3">
      <w:start w:val="1"/>
      <w:numFmt w:val="bullet"/>
      <w:suff w:val="tab"/>
      <w:lvlText w:val="•"/>
      <w:lvlJc w:val="left"/>
      <w:pPr>
        <w:tabs>
          <w:tab w:val="num" w:pos="2880"/>
          <w:tab w:val="clear" w:pos="0"/>
        </w:tabs>
        <w:ind w:left="2880" w:hanging="360"/>
      </w:pPr>
      <w:rPr>
        <w:rFonts w:ascii="Book Antiqua" w:cs="Book Antiqua" w:hAnsi="Book Antiqua" w:eastAsia="Book Antiqua"/>
        <w:position w:val="0"/>
        <w:sz w:val="24"/>
        <w:szCs w:val="24"/>
      </w:rPr>
    </w:lvl>
    <w:lvl w:ilvl="4">
      <w:start w:val="1"/>
      <w:numFmt w:val="bullet"/>
      <w:suff w:val="tab"/>
      <w:lvlText w:val="o"/>
      <w:lvlJc w:val="left"/>
      <w:pPr>
        <w:tabs>
          <w:tab w:val="num" w:pos="3600"/>
          <w:tab w:val="clear" w:pos="0"/>
        </w:tabs>
        <w:ind w:left="3600" w:hanging="360"/>
      </w:pPr>
      <w:rPr>
        <w:rFonts w:ascii="Book Antiqua" w:cs="Book Antiqua" w:hAnsi="Book Antiqua" w:eastAsia="Book Antiqua"/>
        <w:position w:val="0"/>
        <w:sz w:val="24"/>
        <w:szCs w:val="24"/>
      </w:rPr>
    </w:lvl>
    <w:lvl w:ilvl="5">
      <w:start w:val="1"/>
      <w:numFmt w:val="bullet"/>
      <w:suff w:val="tab"/>
      <w:lvlText w:val="▪"/>
      <w:lvlJc w:val="left"/>
      <w:pPr>
        <w:tabs>
          <w:tab w:val="num" w:pos="4320"/>
          <w:tab w:val="clear" w:pos="0"/>
        </w:tabs>
        <w:ind w:left="4320" w:hanging="360"/>
      </w:pPr>
      <w:rPr>
        <w:rFonts w:ascii="Book Antiqua" w:cs="Book Antiqua" w:hAnsi="Book Antiqua" w:eastAsia="Book Antiqua"/>
        <w:position w:val="0"/>
        <w:sz w:val="24"/>
        <w:szCs w:val="24"/>
      </w:rPr>
    </w:lvl>
    <w:lvl w:ilvl="6">
      <w:start w:val="1"/>
      <w:numFmt w:val="bullet"/>
      <w:suff w:val="tab"/>
      <w:lvlText w:val="•"/>
      <w:lvlJc w:val="left"/>
      <w:pPr>
        <w:tabs>
          <w:tab w:val="num" w:pos="5040"/>
          <w:tab w:val="clear" w:pos="0"/>
        </w:tabs>
        <w:ind w:left="5040" w:hanging="360"/>
      </w:pPr>
      <w:rPr>
        <w:rFonts w:ascii="Book Antiqua" w:cs="Book Antiqua" w:hAnsi="Book Antiqua" w:eastAsia="Book Antiqua"/>
        <w:position w:val="0"/>
        <w:sz w:val="24"/>
        <w:szCs w:val="24"/>
      </w:rPr>
    </w:lvl>
    <w:lvl w:ilvl="7">
      <w:start w:val="1"/>
      <w:numFmt w:val="bullet"/>
      <w:suff w:val="tab"/>
      <w:lvlText w:val="o"/>
      <w:lvlJc w:val="left"/>
      <w:pPr>
        <w:tabs>
          <w:tab w:val="num" w:pos="5760"/>
          <w:tab w:val="clear" w:pos="0"/>
        </w:tabs>
        <w:ind w:left="5760" w:hanging="360"/>
      </w:pPr>
      <w:rPr>
        <w:rFonts w:ascii="Book Antiqua" w:cs="Book Antiqua" w:hAnsi="Book Antiqua" w:eastAsia="Book Antiqua"/>
        <w:position w:val="0"/>
        <w:sz w:val="24"/>
        <w:szCs w:val="24"/>
      </w:rPr>
    </w:lvl>
    <w:lvl w:ilvl="8">
      <w:start w:val="1"/>
      <w:numFmt w:val="bullet"/>
      <w:suff w:val="tab"/>
      <w:lvlText w:val="▪"/>
      <w:lvlJc w:val="left"/>
      <w:pPr>
        <w:tabs>
          <w:tab w:val="num" w:pos="6480"/>
          <w:tab w:val="clear" w:pos="0"/>
        </w:tabs>
        <w:ind w:left="6480" w:hanging="360"/>
      </w:pPr>
      <w:rPr>
        <w:rFonts w:ascii="Book Antiqua" w:cs="Book Antiqua" w:hAnsi="Book Antiqua" w:eastAsia="Book Antiqua"/>
        <w:position w:val="0"/>
        <w:sz w:val="24"/>
        <w:szCs w:val="24"/>
      </w:rPr>
    </w:lvl>
  </w:abstractNum>
  <w:abstractNum w:abstractNumId="29">
    <w:multiLevelType w:val="multilevel"/>
    <w:styleLink w:val="List 9"/>
    <w:lvl w:ilvl="0">
      <w:start w:val="0"/>
      <w:numFmt w:val="bullet"/>
      <w:suff w:val="tab"/>
      <w:lvlText w:val="➢"/>
      <w:lvlJc w:val="left"/>
      <w:pPr>
        <w:tabs>
          <w:tab w:val="num" w:pos="567"/>
          <w:tab w:val="clear" w:pos="0"/>
        </w:tabs>
        <w:ind w:left="567" w:hanging="360"/>
      </w:pPr>
      <w:rPr>
        <w:rFonts w:ascii="Book Antiqua" w:cs="Book Antiqua" w:hAnsi="Book Antiqua" w:eastAsia="Book Antiqua"/>
        <w:position w:val="0"/>
        <w:sz w:val="22"/>
        <w:szCs w:val="22"/>
      </w:rPr>
    </w:lvl>
    <w:lvl w:ilvl="1">
      <w:start w:val="1"/>
      <w:numFmt w:val="bullet"/>
      <w:suff w:val="tab"/>
      <w:lvlText w:val="o"/>
      <w:lvlJc w:val="left"/>
      <w:pPr>
        <w:tabs>
          <w:tab w:val="num" w:pos="1440"/>
          <w:tab w:val="clear" w:pos="0"/>
        </w:tabs>
        <w:ind w:left="1440" w:hanging="360"/>
      </w:pPr>
      <w:rPr>
        <w:rFonts w:ascii="Book Antiqua" w:cs="Book Antiqua" w:hAnsi="Book Antiqua" w:eastAsia="Book Antiqua"/>
        <w:position w:val="0"/>
        <w:sz w:val="24"/>
        <w:szCs w:val="24"/>
      </w:rPr>
    </w:lvl>
    <w:lvl w:ilvl="2">
      <w:start w:val="1"/>
      <w:numFmt w:val="bullet"/>
      <w:suff w:val="tab"/>
      <w:lvlText w:val="▪"/>
      <w:lvlJc w:val="left"/>
      <w:pPr>
        <w:tabs>
          <w:tab w:val="num" w:pos="2160"/>
          <w:tab w:val="clear" w:pos="0"/>
        </w:tabs>
        <w:ind w:left="2160" w:hanging="360"/>
      </w:pPr>
      <w:rPr>
        <w:rFonts w:ascii="Book Antiqua" w:cs="Book Antiqua" w:hAnsi="Book Antiqua" w:eastAsia="Book Antiqua"/>
        <w:position w:val="0"/>
        <w:sz w:val="24"/>
        <w:szCs w:val="24"/>
      </w:rPr>
    </w:lvl>
    <w:lvl w:ilvl="3">
      <w:start w:val="1"/>
      <w:numFmt w:val="bullet"/>
      <w:suff w:val="tab"/>
      <w:lvlText w:val="•"/>
      <w:lvlJc w:val="left"/>
      <w:pPr>
        <w:tabs>
          <w:tab w:val="num" w:pos="2880"/>
          <w:tab w:val="clear" w:pos="0"/>
        </w:tabs>
        <w:ind w:left="2880" w:hanging="360"/>
      </w:pPr>
      <w:rPr>
        <w:rFonts w:ascii="Book Antiqua" w:cs="Book Antiqua" w:hAnsi="Book Antiqua" w:eastAsia="Book Antiqua"/>
        <w:position w:val="0"/>
        <w:sz w:val="24"/>
        <w:szCs w:val="24"/>
      </w:rPr>
    </w:lvl>
    <w:lvl w:ilvl="4">
      <w:start w:val="1"/>
      <w:numFmt w:val="bullet"/>
      <w:suff w:val="tab"/>
      <w:lvlText w:val="o"/>
      <w:lvlJc w:val="left"/>
      <w:pPr>
        <w:tabs>
          <w:tab w:val="num" w:pos="3600"/>
          <w:tab w:val="clear" w:pos="0"/>
        </w:tabs>
        <w:ind w:left="3600" w:hanging="360"/>
      </w:pPr>
      <w:rPr>
        <w:rFonts w:ascii="Book Antiqua" w:cs="Book Antiqua" w:hAnsi="Book Antiqua" w:eastAsia="Book Antiqua"/>
        <w:position w:val="0"/>
        <w:sz w:val="24"/>
        <w:szCs w:val="24"/>
      </w:rPr>
    </w:lvl>
    <w:lvl w:ilvl="5">
      <w:start w:val="1"/>
      <w:numFmt w:val="bullet"/>
      <w:suff w:val="tab"/>
      <w:lvlText w:val="▪"/>
      <w:lvlJc w:val="left"/>
      <w:pPr>
        <w:tabs>
          <w:tab w:val="num" w:pos="4320"/>
          <w:tab w:val="clear" w:pos="0"/>
        </w:tabs>
        <w:ind w:left="4320" w:hanging="360"/>
      </w:pPr>
      <w:rPr>
        <w:rFonts w:ascii="Book Antiqua" w:cs="Book Antiqua" w:hAnsi="Book Antiqua" w:eastAsia="Book Antiqua"/>
        <w:position w:val="0"/>
        <w:sz w:val="24"/>
        <w:szCs w:val="24"/>
      </w:rPr>
    </w:lvl>
    <w:lvl w:ilvl="6">
      <w:start w:val="1"/>
      <w:numFmt w:val="bullet"/>
      <w:suff w:val="tab"/>
      <w:lvlText w:val="•"/>
      <w:lvlJc w:val="left"/>
      <w:pPr>
        <w:tabs>
          <w:tab w:val="num" w:pos="5040"/>
          <w:tab w:val="clear" w:pos="0"/>
        </w:tabs>
        <w:ind w:left="5040" w:hanging="360"/>
      </w:pPr>
      <w:rPr>
        <w:rFonts w:ascii="Book Antiqua" w:cs="Book Antiqua" w:hAnsi="Book Antiqua" w:eastAsia="Book Antiqua"/>
        <w:position w:val="0"/>
        <w:sz w:val="24"/>
        <w:szCs w:val="24"/>
      </w:rPr>
    </w:lvl>
    <w:lvl w:ilvl="7">
      <w:start w:val="1"/>
      <w:numFmt w:val="bullet"/>
      <w:suff w:val="tab"/>
      <w:lvlText w:val="o"/>
      <w:lvlJc w:val="left"/>
      <w:pPr>
        <w:tabs>
          <w:tab w:val="num" w:pos="5760"/>
          <w:tab w:val="clear" w:pos="0"/>
        </w:tabs>
        <w:ind w:left="5760" w:hanging="360"/>
      </w:pPr>
      <w:rPr>
        <w:rFonts w:ascii="Book Antiqua" w:cs="Book Antiqua" w:hAnsi="Book Antiqua" w:eastAsia="Book Antiqua"/>
        <w:position w:val="0"/>
        <w:sz w:val="24"/>
        <w:szCs w:val="24"/>
      </w:rPr>
    </w:lvl>
    <w:lvl w:ilvl="8">
      <w:start w:val="1"/>
      <w:numFmt w:val="bullet"/>
      <w:suff w:val="tab"/>
      <w:lvlText w:val="▪"/>
      <w:lvlJc w:val="left"/>
      <w:pPr>
        <w:tabs>
          <w:tab w:val="num" w:pos="6480"/>
          <w:tab w:val="clear" w:pos="0"/>
        </w:tabs>
        <w:ind w:left="6480" w:hanging="360"/>
      </w:pPr>
      <w:rPr>
        <w:rFonts w:ascii="Book Antiqua" w:cs="Book Antiqua" w:hAnsi="Book Antiqua" w:eastAsia="Book Antiqua"/>
        <w:position w:val="0"/>
        <w:sz w:val="24"/>
        <w:szCs w:val="24"/>
      </w:rPr>
    </w:lvl>
  </w:abstractNum>
  <w:abstractNum w:abstractNumId="30">
    <w:multiLevelType w:val="multilevel"/>
    <w:styleLink w:val="List 9"/>
    <w:lvl w:ilvl="0">
      <w:start w:val="0"/>
      <w:numFmt w:val="bullet"/>
      <w:suff w:val="tab"/>
      <w:lvlText w:val="➢"/>
      <w:lvlJc w:val="left"/>
      <w:pPr>
        <w:tabs>
          <w:tab w:val="num" w:pos="567"/>
          <w:tab w:val="clear" w:pos="0"/>
        </w:tabs>
        <w:ind w:left="567" w:hanging="360"/>
      </w:pPr>
      <w:rPr>
        <w:rFonts w:ascii="Book Antiqua" w:cs="Book Antiqua" w:hAnsi="Book Antiqua" w:eastAsia="Book Antiqua"/>
        <w:position w:val="0"/>
        <w:sz w:val="22"/>
        <w:szCs w:val="22"/>
      </w:rPr>
    </w:lvl>
    <w:lvl w:ilvl="1">
      <w:start w:val="1"/>
      <w:numFmt w:val="bullet"/>
      <w:suff w:val="tab"/>
      <w:lvlText w:val="o"/>
      <w:lvlJc w:val="left"/>
      <w:pPr>
        <w:tabs>
          <w:tab w:val="num" w:pos="1440"/>
          <w:tab w:val="clear" w:pos="0"/>
        </w:tabs>
        <w:ind w:left="1440" w:hanging="360"/>
      </w:pPr>
      <w:rPr>
        <w:rFonts w:ascii="Book Antiqua" w:cs="Book Antiqua" w:hAnsi="Book Antiqua" w:eastAsia="Book Antiqua"/>
        <w:position w:val="0"/>
        <w:sz w:val="24"/>
        <w:szCs w:val="24"/>
      </w:rPr>
    </w:lvl>
    <w:lvl w:ilvl="2">
      <w:start w:val="1"/>
      <w:numFmt w:val="bullet"/>
      <w:suff w:val="tab"/>
      <w:lvlText w:val="▪"/>
      <w:lvlJc w:val="left"/>
      <w:pPr>
        <w:tabs>
          <w:tab w:val="num" w:pos="2160"/>
          <w:tab w:val="clear" w:pos="0"/>
        </w:tabs>
        <w:ind w:left="2160" w:hanging="360"/>
      </w:pPr>
      <w:rPr>
        <w:rFonts w:ascii="Book Antiqua" w:cs="Book Antiqua" w:hAnsi="Book Antiqua" w:eastAsia="Book Antiqua"/>
        <w:position w:val="0"/>
        <w:sz w:val="24"/>
        <w:szCs w:val="24"/>
      </w:rPr>
    </w:lvl>
    <w:lvl w:ilvl="3">
      <w:start w:val="1"/>
      <w:numFmt w:val="bullet"/>
      <w:suff w:val="tab"/>
      <w:lvlText w:val="•"/>
      <w:lvlJc w:val="left"/>
      <w:pPr>
        <w:tabs>
          <w:tab w:val="num" w:pos="2880"/>
          <w:tab w:val="clear" w:pos="0"/>
        </w:tabs>
        <w:ind w:left="2880" w:hanging="360"/>
      </w:pPr>
      <w:rPr>
        <w:rFonts w:ascii="Book Antiqua" w:cs="Book Antiqua" w:hAnsi="Book Antiqua" w:eastAsia="Book Antiqua"/>
        <w:position w:val="0"/>
        <w:sz w:val="24"/>
        <w:szCs w:val="24"/>
      </w:rPr>
    </w:lvl>
    <w:lvl w:ilvl="4">
      <w:start w:val="1"/>
      <w:numFmt w:val="bullet"/>
      <w:suff w:val="tab"/>
      <w:lvlText w:val="o"/>
      <w:lvlJc w:val="left"/>
      <w:pPr>
        <w:tabs>
          <w:tab w:val="num" w:pos="3600"/>
          <w:tab w:val="clear" w:pos="0"/>
        </w:tabs>
        <w:ind w:left="3600" w:hanging="360"/>
      </w:pPr>
      <w:rPr>
        <w:rFonts w:ascii="Book Antiqua" w:cs="Book Antiqua" w:hAnsi="Book Antiqua" w:eastAsia="Book Antiqua"/>
        <w:position w:val="0"/>
        <w:sz w:val="24"/>
        <w:szCs w:val="24"/>
      </w:rPr>
    </w:lvl>
    <w:lvl w:ilvl="5">
      <w:start w:val="1"/>
      <w:numFmt w:val="bullet"/>
      <w:suff w:val="tab"/>
      <w:lvlText w:val="▪"/>
      <w:lvlJc w:val="left"/>
      <w:pPr>
        <w:tabs>
          <w:tab w:val="num" w:pos="4320"/>
          <w:tab w:val="clear" w:pos="0"/>
        </w:tabs>
        <w:ind w:left="4320" w:hanging="360"/>
      </w:pPr>
      <w:rPr>
        <w:rFonts w:ascii="Book Antiqua" w:cs="Book Antiqua" w:hAnsi="Book Antiqua" w:eastAsia="Book Antiqua"/>
        <w:position w:val="0"/>
        <w:sz w:val="24"/>
        <w:szCs w:val="24"/>
      </w:rPr>
    </w:lvl>
    <w:lvl w:ilvl="6">
      <w:start w:val="1"/>
      <w:numFmt w:val="bullet"/>
      <w:suff w:val="tab"/>
      <w:lvlText w:val="•"/>
      <w:lvlJc w:val="left"/>
      <w:pPr>
        <w:tabs>
          <w:tab w:val="num" w:pos="5040"/>
          <w:tab w:val="clear" w:pos="0"/>
        </w:tabs>
        <w:ind w:left="5040" w:hanging="360"/>
      </w:pPr>
      <w:rPr>
        <w:rFonts w:ascii="Book Antiqua" w:cs="Book Antiqua" w:hAnsi="Book Antiqua" w:eastAsia="Book Antiqua"/>
        <w:position w:val="0"/>
        <w:sz w:val="24"/>
        <w:szCs w:val="24"/>
      </w:rPr>
    </w:lvl>
    <w:lvl w:ilvl="7">
      <w:start w:val="1"/>
      <w:numFmt w:val="bullet"/>
      <w:suff w:val="tab"/>
      <w:lvlText w:val="o"/>
      <w:lvlJc w:val="left"/>
      <w:pPr>
        <w:tabs>
          <w:tab w:val="num" w:pos="5760"/>
          <w:tab w:val="clear" w:pos="0"/>
        </w:tabs>
        <w:ind w:left="5760" w:hanging="360"/>
      </w:pPr>
      <w:rPr>
        <w:rFonts w:ascii="Book Antiqua" w:cs="Book Antiqua" w:hAnsi="Book Antiqua" w:eastAsia="Book Antiqua"/>
        <w:position w:val="0"/>
        <w:sz w:val="24"/>
        <w:szCs w:val="24"/>
      </w:rPr>
    </w:lvl>
    <w:lvl w:ilvl="8">
      <w:start w:val="1"/>
      <w:numFmt w:val="bullet"/>
      <w:suff w:val="tab"/>
      <w:lvlText w:val="▪"/>
      <w:lvlJc w:val="left"/>
      <w:pPr>
        <w:tabs>
          <w:tab w:val="num" w:pos="6480"/>
          <w:tab w:val="clear" w:pos="0"/>
        </w:tabs>
        <w:ind w:left="6480" w:hanging="360"/>
      </w:pPr>
      <w:rPr>
        <w:rFonts w:ascii="Book Antiqua" w:cs="Book Antiqua" w:hAnsi="Book Antiqua" w:eastAsia="Book Antiqua"/>
        <w:position w:val="0"/>
        <w:sz w:val="24"/>
        <w:szCs w:val="24"/>
      </w:rPr>
    </w:lvl>
  </w:abstractNum>
  <w:abstractNum w:abstractNumId="31">
    <w:multiLevelType w:val="multilevel"/>
    <w:styleLink w:val="List 9"/>
    <w:lvl w:ilvl="0">
      <w:start w:val="0"/>
      <w:numFmt w:val="bullet"/>
      <w:suff w:val="tab"/>
      <w:lvlText w:val="➢"/>
      <w:lvlJc w:val="left"/>
      <w:pPr>
        <w:tabs>
          <w:tab w:val="num" w:pos="567"/>
          <w:tab w:val="clear" w:pos="0"/>
        </w:tabs>
        <w:ind w:left="567" w:hanging="360"/>
      </w:pPr>
      <w:rPr>
        <w:rFonts w:ascii="Book Antiqua" w:cs="Book Antiqua" w:hAnsi="Book Antiqua" w:eastAsia="Book Antiqua"/>
        <w:position w:val="0"/>
        <w:sz w:val="22"/>
        <w:szCs w:val="22"/>
      </w:rPr>
    </w:lvl>
    <w:lvl w:ilvl="1">
      <w:start w:val="1"/>
      <w:numFmt w:val="bullet"/>
      <w:suff w:val="tab"/>
      <w:lvlText w:val="o"/>
      <w:lvlJc w:val="left"/>
      <w:pPr>
        <w:tabs>
          <w:tab w:val="num" w:pos="1440"/>
          <w:tab w:val="clear" w:pos="0"/>
        </w:tabs>
        <w:ind w:left="1440" w:hanging="360"/>
      </w:pPr>
      <w:rPr>
        <w:rFonts w:ascii="Book Antiqua" w:cs="Book Antiqua" w:hAnsi="Book Antiqua" w:eastAsia="Book Antiqua"/>
        <w:position w:val="0"/>
        <w:sz w:val="24"/>
        <w:szCs w:val="24"/>
      </w:rPr>
    </w:lvl>
    <w:lvl w:ilvl="2">
      <w:start w:val="1"/>
      <w:numFmt w:val="bullet"/>
      <w:suff w:val="tab"/>
      <w:lvlText w:val="▪"/>
      <w:lvlJc w:val="left"/>
      <w:pPr>
        <w:tabs>
          <w:tab w:val="num" w:pos="2160"/>
          <w:tab w:val="clear" w:pos="0"/>
        </w:tabs>
        <w:ind w:left="2160" w:hanging="360"/>
      </w:pPr>
      <w:rPr>
        <w:rFonts w:ascii="Book Antiqua" w:cs="Book Antiqua" w:hAnsi="Book Antiqua" w:eastAsia="Book Antiqua"/>
        <w:position w:val="0"/>
        <w:sz w:val="24"/>
        <w:szCs w:val="24"/>
      </w:rPr>
    </w:lvl>
    <w:lvl w:ilvl="3">
      <w:start w:val="1"/>
      <w:numFmt w:val="bullet"/>
      <w:suff w:val="tab"/>
      <w:lvlText w:val="•"/>
      <w:lvlJc w:val="left"/>
      <w:pPr>
        <w:tabs>
          <w:tab w:val="num" w:pos="2880"/>
          <w:tab w:val="clear" w:pos="0"/>
        </w:tabs>
        <w:ind w:left="2880" w:hanging="360"/>
      </w:pPr>
      <w:rPr>
        <w:rFonts w:ascii="Book Antiqua" w:cs="Book Antiqua" w:hAnsi="Book Antiqua" w:eastAsia="Book Antiqua"/>
        <w:position w:val="0"/>
        <w:sz w:val="24"/>
        <w:szCs w:val="24"/>
      </w:rPr>
    </w:lvl>
    <w:lvl w:ilvl="4">
      <w:start w:val="1"/>
      <w:numFmt w:val="bullet"/>
      <w:suff w:val="tab"/>
      <w:lvlText w:val="o"/>
      <w:lvlJc w:val="left"/>
      <w:pPr>
        <w:tabs>
          <w:tab w:val="num" w:pos="3600"/>
          <w:tab w:val="clear" w:pos="0"/>
        </w:tabs>
        <w:ind w:left="3600" w:hanging="360"/>
      </w:pPr>
      <w:rPr>
        <w:rFonts w:ascii="Book Antiqua" w:cs="Book Antiqua" w:hAnsi="Book Antiqua" w:eastAsia="Book Antiqua"/>
        <w:position w:val="0"/>
        <w:sz w:val="24"/>
        <w:szCs w:val="24"/>
      </w:rPr>
    </w:lvl>
    <w:lvl w:ilvl="5">
      <w:start w:val="1"/>
      <w:numFmt w:val="bullet"/>
      <w:suff w:val="tab"/>
      <w:lvlText w:val="▪"/>
      <w:lvlJc w:val="left"/>
      <w:pPr>
        <w:tabs>
          <w:tab w:val="num" w:pos="4320"/>
          <w:tab w:val="clear" w:pos="0"/>
        </w:tabs>
        <w:ind w:left="4320" w:hanging="360"/>
      </w:pPr>
      <w:rPr>
        <w:rFonts w:ascii="Book Antiqua" w:cs="Book Antiqua" w:hAnsi="Book Antiqua" w:eastAsia="Book Antiqua"/>
        <w:position w:val="0"/>
        <w:sz w:val="24"/>
        <w:szCs w:val="24"/>
      </w:rPr>
    </w:lvl>
    <w:lvl w:ilvl="6">
      <w:start w:val="1"/>
      <w:numFmt w:val="bullet"/>
      <w:suff w:val="tab"/>
      <w:lvlText w:val="•"/>
      <w:lvlJc w:val="left"/>
      <w:pPr>
        <w:tabs>
          <w:tab w:val="num" w:pos="5040"/>
          <w:tab w:val="clear" w:pos="0"/>
        </w:tabs>
        <w:ind w:left="5040" w:hanging="360"/>
      </w:pPr>
      <w:rPr>
        <w:rFonts w:ascii="Book Antiqua" w:cs="Book Antiqua" w:hAnsi="Book Antiqua" w:eastAsia="Book Antiqua"/>
        <w:position w:val="0"/>
        <w:sz w:val="24"/>
        <w:szCs w:val="24"/>
      </w:rPr>
    </w:lvl>
    <w:lvl w:ilvl="7">
      <w:start w:val="1"/>
      <w:numFmt w:val="bullet"/>
      <w:suff w:val="tab"/>
      <w:lvlText w:val="o"/>
      <w:lvlJc w:val="left"/>
      <w:pPr>
        <w:tabs>
          <w:tab w:val="num" w:pos="5760"/>
          <w:tab w:val="clear" w:pos="0"/>
        </w:tabs>
        <w:ind w:left="5760" w:hanging="360"/>
      </w:pPr>
      <w:rPr>
        <w:rFonts w:ascii="Book Antiqua" w:cs="Book Antiqua" w:hAnsi="Book Antiqua" w:eastAsia="Book Antiqua"/>
        <w:position w:val="0"/>
        <w:sz w:val="24"/>
        <w:szCs w:val="24"/>
      </w:rPr>
    </w:lvl>
    <w:lvl w:ilvl="8">
      <w:start w:val="1"/>
      <w:numFmt w:val="bullet"/>
      <w:suff w:val="tab"/>
      <w:lvlText w:val="▪"/>
      <w:lvlJc w:val="left"/>
      <w:pPr>
        <w:tabs>
          <w:tab w:val="num" w:pos="6480"/>
          <w:tab w:val="clear" w:pos="0"/>
        </w:tabs>
        <w:ind w:left="6480" w:hanging="360"/>
      </w:pPr>
      <w:rPr>
        <w:rFonts w:ascii="Book Antiqua" w:cs="Book Antiqua" w:hAnsi="Book Antiqua" w:eastAsia="Book Antiqua"/>
        <w:position w:val="0"/>
        <w:sz w:val="24"/>
        <w:szCs w:val="24"/>
      </w:rPr>
    </w:lvl>
  </w:abstractNum>
  <w:abstractNum w:abstractNumId="32">
    <w:multiLevelType w:val="multilevel"/>
    <w:styleLink w:val="List 9"/>
    <w:lvl w:ilvl="0">
      <w:start w:val="0"/>
      <w:numFmt w:val="bullet"/>
      <w:suff w:val="tab"/>
      <w:lvlText w:val="➢"/>
      <w:lvlJc w:val="left"/>
      <w:pPr>
        <w:tabs>
          <w:tab w:val="num" w:pos="567"/>
          <w:tab w:val="clear" w:pos="0"/>
        </w:tabs>
        <w:ind w:left="567" w:hanging="360"/>
      </w:pPr>
      <w:rPr>
        <w:rFonts w:ascii="Book Antiqua" w:cs="Book Antiqua" w:hAnsi="Book Antiqua" w:eastAsia="Book Antiqua"/>
        <w:position w:val="0"/>
        <w:sz w:val="22"/>
        <w:szCs w:val="22"/>
      </w:rPr>
    </w:lvl>
    <w:lvl w:ilvl="1">
      <w:start w:val="1"/>
      <w:numFmt w:val="bullet"/>
      <w:suff w:val="tab"/>
      <w:lvlText w:val="o"/>
      <w:lvlJc w:val="left"/>
      <w:pPr>
        <w:tabs>
          <w:tab w:val="num" w:pos="1440"/>
          <w:tab w:val="clear" w:pos="0"/>
        </w:tabs>
        <w:ind w:left="1440" w:hanging="360"/>
      </w:pPr>
      <w:rPr>
        <w:rFonts w:ascii="Book Antiqua" w:cs="Book Antiqua" w:hAnsi="Book Antiqua" w:eastAsia="Book Antiqua"/>
        <w:position w:val="0"/>
        <w:sz w:val="24"/>
        <w:szCs w:val="24"/>
      </w:rPr>
    </w:lvl>
    <w:lvl w:ilvl="2">
      <w:start w:val="1"/>
      <w:numFmt w:val="bullet"/>
      <w:suff w:val="tab"/>
      <w:lvlText w:val="▪"/>
      <w:lvlJc w:val="left"/>
      <w:pPr>
        <w:tabs>
          <w:tab w:val="num" w:pos="2160"/>
          <w:tab w:val="clear" w:pos="0"/>
        </w:tabs>
        <w:ind w:left="2160" w:hanging="360"/>
      </w:pPr>
      <w:rPr>
        <w:rFonts w:ascii="Book Antiqua" w:cs="Book Antiqua" w:hAnsi="Book Antiqua" w:eastAsia="Book Antiqua"/>
        <w:position w:val="0"/>
        <w:sz w:val="24"/>
        <w:szCs w:val="24"/>
      </w:rPr>
    </w:lvl>
    <w:lvl w:ilvl="3">
      <w:start w:val="1"/>
      <w:numFmt w:val="bullet"/>
      <w:suff w:val="tab"/>
      <w:lvlText w:val="•"/>
      <w:lvlJc w:val="left"/>
      <w:pPr>
        <w:tabs>
          <w:tab w:val="num" w:pos="2880"/>
          <w:tab w:val="clear" w:pos="0"/>
        </w:tabs>
        <w:ind w:left="2880" w:hanging="360"/>
      </w:pPr>
      <w:rPr>
        <w:rFonts w:ascii="Book Antiqua" w:cs="Book Antiqua" w:hAnsi="Book Antiqua" w:eastAsia="Book Antiqua"/>
        <w:position w:val="0"/>
        <w:sz w:val="24"/>
        <w:szCs w:val="24"/>
      </w:rPr>
    </w:lvl>
    <w:lvl w:ilvl="4">
      <w:start w:val="1"/>
      <w:numFmt w:val="bullet"/>
      <w:suff w:val="tab"/>
      <w:lvlText w:val="o"/>
      <w:lvlJc w:val="left"/>
      <w:pPr>
        <w:tabs>
          <w:tab w:val="num" w:pos="3600"/>
          <w:tab w:val="clear" w:pos="0"/>
        </w:tabs>
        <w:ind w:left="3600" w:hanging="360"/>
      </w:pPr>
      <w:rPr>
        <w:rFonts w:ascii="Book Antiqua" w:cs="Book Antiqua" w:hAnsi="Book Antiqua" w:eastAsia="Book Antiqua"/>
        <w:position w:val="0"/>
        <w:sz w:val="24"/>
        <w:szCs w:val="24"/>
      </w:rPr>
    </w:lvl>
    <w:lvl w:ilvl="5">
      <w:start w:val="1"/>
      <w:numFmt w:val="bullet"/>
      <w:suff w:val="tab"/>
      <w:lvlText w:val="▪"/>
      <w:lvlJc w:val="left"/>
      <w:pPr>
        <w:tabs>
          <w:tab w:val="num" w:pos="4320"/>
          <w:tab w:val="clear" w:pos="0"/>
        </w:tabs>
        <w:ind w:left="4320" w:hanging="360"/>
      </w:pPr>
      <w:rPr>
        <w:rFonts w:ascii="Book Antiqua" w:cs="Book Antiqua" w:hAnsi="Book Antiqua" w:eastAsia="Book Antiqua"/>
        <w:position w:val="0"/>
        <w:sz w:val="24"/>
        <w:szCs w:val="24"/>
      </w:rPr>
    </w:lvl>
    <w:lvl w:ilvl="6">
      <w:start w:val="1"/>
      <w:numFmt w:val="bullet"/>
      <w:suff w:val="tab"/>
      <w:lvlText w:val="•"/>
      <w:lvlJc w:val="left"/>
      <w:pPr>
        <w:tabs>
          <w:tab w:val="num" w:pos="5040"/>
          <w:tab w:val="clear" w:pos="0"/>
        </w:tabs>
        <w:ind w:left="5040" w:hanging="360"/>
      </w:pPr>
      <w:rPr>
        <w:rFonts w:ascii="Book Antiqua" w:cs="Book Antiqua" w:hAnsi="Book Antiqua" w:eastAsia="Book Antiqua"/>
        <w:position w:val="0"/>
        <w:sz w:val="24"/>
        <w:szCs w:val="24"/>
      </w:rPr>
    </w:lvl>
    <w:lvl w:ilvl="7">
      <w:start w:val="1"/>
      <w:numFmt w:val="bullet"/>
      <w:suff w:val="tab"/>
      <w:lvlText w:val="o"/>
      <w:lvlJc w:val="left"/>
      <w:pPr>
        <w:tabs>
          <w:tab w:val="num" w:pos="5760"/>
          <w:tab w:val="clear" w:pos="0"/>
        </w:tabs>
        <w:ind w:left="5760" w:hanging="360"/>
      </w:pPr>
      <w:rPr>
        <w:rFonts w:ascii="Book Antiqua" w:cs="Book Antiqua" w:hAnsi="Book Antiqua" w:eastAsia="Book Antiqua"/>
        <w:position w:val="0"/>
        <w:sz w:val="24"/>
        <w:szCs w:val="24"/>
      </w:rPr>
    </w:lvl>
    <w:lvl w:ilvl="8">
      <w:start w:val="1"/>
      <w:numFmt w:val="bullet"/>
      <w:suff w:val="tab"/>
      <w:lvlText w:val="▪"/>
      <w:lvlJc w:val="left"/>
      <w:pPr>
        <w:tabs>
          <w:tab w:val="num" w:pos="6480"/>
          <w:tab w:val="clear" w:pos="0"/>
        </w:tabs>
        <w:ind w:left="6480" w:hanging="360"/>
      </w:pPr>
      <w:rPr>
        <w:rFonts w:ascii="Book Antiqua" w:cs="Book Antiqua" w:hAnsi="Book Antiqua" w:eastAsia="Book Antiqua"/>
        <w:position w:val="0"/>
        <w:sz w:val="24"/>
        <w:szCs w:val="24"/>
      </w:rPr>
    </w:lvl>
  </w:abstractNum>
  <w:abstractNum w:abstractNumId="33">
    <w:multiLevelType w:val="multilevel"/>
    <w:styleLink w:val="List 9"/>
    <w:lvl w:ilvl="0">
      <w:start w:val="0"/>
      <w:numFmt w:val="bullet"/>
      <w:suff w:val="tab"/>
      <w:lvlText w:val="➢"/>
      <w:lvlJc w:val="left"/>
      <w:pPr>
        <w:tabs>
          <w:tab w:val="num" w:pos="567"/>
          <w:tab w:val="clear" w:pos="0"/>
        </w:tabs>
        <w:ind w:left="567" w:hanging="360"/>
      </w:pPr>
      <w:rPr>
        <w:rFonts w:ascii="Book Antiqua" w:cs="Book Antiqua" w:hAnsi="Book Antiqua" w:eastAsia="Book Antiqua"/>
        <w:position w:val="0"/>
        <w:sz w:val="22"/>
        <w:szCs w:val="22"/>
      </w:rPr>
    </w:lvl>
    <w:lvl w:ilvl="1">
      <w:start w:val="1"/>
      <w:numFmt w:val="bullet"/>
      <w:suff w:val="tab"/>
      <w:lvlText w:val="o"/>
      <w:lvlJc w:val="left"/>
      <w:pPr>
        <w:tabs>
          <w:tab w:val="num" w:pos="1440"/>
          <w:tab w:val="clear" w:pos="0"/>
        </w:tabs>
        <w:ind w:left="1440" w:hanging="360"/>
      </w:pPr>
      <w:rPr>
        <w:rFonts w:ascii="Book Antiqua" w:cs="Book Antiqua" w:hAnsi="Book Antiqua" w:eastAsia="Book Antiqua"/>
        <w:position w:val="0"/>
        <w:sz w:val="24"/>
        <w:szCs w:val="24"/>
      </w:rPr>
    </w:lvl>
    <w:lvl w:ilvl="2">
      <w:start w:val="1"/>
      <w:numFmt w:val="bullet"/>
      <w:suff w:val="tab"/>
      <w:lvlText w:val="▪"/>
      <w:lvlJc w:val="left"/>
      <w:pPr>
        <w:tabs>
          <w:tab w:val="num" w:pos="2160"/>
          <w:tab w:val="clear" w:pos="0"/>
        </w:tabs>
        <w:ind w:left="2160" w:hanging="360"/>
      </w:pPr>
      <w:rPr>
        <w:rFonts w:ascii="Book Antiqua" w:cs="Book Antiqua" w:hAnsi="Book Antiqua" w:eastAsia="Book Antiqua"/>
        <w:position w:val="0"/>
        <w:sz w:val="24"/>
        <w:szCs w:val="24"/>
      </w:rPr>
    </w:lvl>
    <w:lvl w:ilvl="3">
      <w:start w:val="1"/>
      <w:numFmt w:val="bullet"/>
      <w:suff w:val="tab"/>
      <w:lvlText w:val="•"/>
      <w:lvlJc w:val="left"/>
      <w:pPr>
        <w:tabs>
          <w:tab w:val="num" w:pos="2880"/>
          <w:tab w:val="clear" w:pos="0"/>
        </w:tabs>
        <w:ind w:left="2880" w:hanging="360"/>
      </w:pPr>
      <w:rPr>
        <w:rFonts w:ascii="Book Antiqua" w:cs="Book Antiqua" w:hAnsi="Book Antiqua" w:eastAsia="Book Antiqua"/>
        <w:position w:val="0"/>
        <w:sz w:val="24"/>
        <w:szCs w:val="24"/>
      </w:rPr>
    </w:lvl>
    <w:lvl w:ilvl="4">
      <w:start w:val="1"/>
      <w:numFmt w:val="bullet"/>
      <w:suff w:val="tab"/>
      <w:lvlText w:val="o"/>
      <w:lvlJc w:val="left"/>
      <w:pPr>
        <w:tabs>
          <w:tab w:val="num" w:pos="3600"/>
          <w:tab w:val="clear" w:pos="0"/>
        </w:tabs>
        <w:ind w:left="3600" w:hanging="360"/>
      </w:pPr>
      <w:rPr>
        <w:rFonts w:ascii="Book Antiqua" w:cs="Book Antiqua" w:hAnsi="Book Antiqua" w:eastAsia="Book Antiqua"/>
        <w:position w:val="0"/>
        <w:sz w:val="24"/>
        <w:szCs w:val="24"/>
      </w:rPr>
    </w:lvl>
    <w:lvl w:ilvl="5">
      <w:start w:val="1"/>
      <w:numFmt w:val="bullet"/>
      <w:suff w:val="tab"/>
      <w:lvlText w:val="▪"/>
      <w:lvlJc w:val="left"/>
      <w:pPr>
        <w:tabs>
          <w:tab w:val="num" w:pos="4320"/>
          <w:tab w:val="clear" w:pos="0"/>
        </w:tabs>
        <w:ind w:left="4320" w:hanging="360"/>
      </w:pPr>
      <w:rPr>
        <w:rFonts w:ascii="Book Antiqua" w:cs="Book Antiqua" w:hAnsi="Book Antiqua" w:eastAsia="Book Antiqua"/>
        <w:position w:val="0"/>
        <w:sz w:val="24"/>
        <w:szCs w:val="24"/>
      </w:rPr>
    </w:lvl>
    <w:lvl w:ilvl="6">
      <w:start w:val="1"/>
      <w:numFmt w:val="bullet"/>
      <w:suff w:val="tab"/>
      <w:lvlText w:val="•"/>
      <w:lvlJc w:val="left"/>
      <w:pPr>
        <w:tabs>
          <w:tab w:val="num" w:pos="5040"/>
          <w:tab w:val="clear" w:pos="0"/>
        </w:tabs>
        <w:ind w:left="5040" w:hanging="360"/>
      </w:pPr>
      <w:rPr>
        <w:rFonts w:ascii="Book Antiqua" w:cs="Book Antiqua" w:hAnsi="Book Antiqua" w:eastAsia="Book Antiqua"/>
        <w:position w:val="0"/>
        <w:sz w:val="24"/>
        <w:szCs w:val="24"/>
      </w:rPr>
    </w:lvl>
    <w:lvl w:ilvl="7">
      <w:start w:val="1"/>
      <w:numFmt w:val="bullet"/>
      <w:suff w:val="tab"/>
      <w:lvlText w:val="o"/>
      <w:lvlJc w:val="left"/>
      <w:pPr>
        <w:tabs>
          <w:tab w:val="num" w:pos="5760"/>
          <w:tab w:val="clear" w:pos="0"/>
        </w:tabs>
        <w:ind w:left="5760" w:hanging="360"/>
      </w:pPr>
      <w:rPr>
        <w:rFonts w:ascii="Book Antiqua" w:cs="Book Antiqua" w:hAnsi="Book Antiqua" w:eastAsia="Book Antiqua"/>
        <w:position w:val="0"/>
        <w:sz w:val="24"/>
        <w:szCs w:val="24"/>
      </w:rPr>
    </w:lvl>
    <w:lvl w:ilvl="8">
      <w:start w:val="1"/>
      <w:numFmt w:val="bullet"/>
      <w:suff w:val="tab"/>
      <w:lvlText w:val="▪"/>
      <w:lvlJc w:val="left"/>
      <w:pPr>
        <w:tabs>
          <w:tab w:val="num" w:pos="6480"/>
          <w:tab w:val="clear" w:pos="0"/>
        </w:tabs>
        <w:ind w:left="6480" w:hanging="360"/>
      </w:pPr>
      <w:rPr>
        <w:rFonts w:ascii="Book Antiqua" w:cs="Book Antiqua" w:hAnsi="Book Antiqua" w:eastAsia="Book Antiqua"/>
        <w:position w:val="0"/>
        <w:sz w:val="24"/>
        <w:szCs w:val="24"/>
      </w:rPr>
    </w:lvl>
  </w:abstractNum>
  <w:abstractNum w:abstractNumId="34">
    <w:multiLevelType w:val="multilevel"/>
    <w:styleLink w:val="List 9"/>
    <w:lvl w:ilvl="0">
      <w:start w:val="0"/>
      <w:numFmt w:val="bullet"/>
      <w:suff w:val="tab"/>
      <w:lvlText w:val="➢"/>
      <w:lvlJc w:val="left"/>
      <w:pPr>
        <w:tabs>
          <w:tab w:val="num" w:pos="567"/>
          <w:tab w:val="clear" w:pos="0"/>
        </w:tabs>
        <w:ind w:left="567" w:hanging="360"/>
      </w:pPr>
      <w:rPr>
        <w:rFonts w:ascii="Book Antiqua" w:cs="Book Antiqua" w:hAnsi="Book Antiqua" w:eastAsia="Book Antiqua"/>
        <w:position w:val="0"/>
        <w:sz w:val="22"/>
        <w:szCs w:val="22"/>
      </w:rPr>
    </w:lvl>
    <w:lvl w:ilvl="1">
      <w:start w:val="1"/>
      <w:numFmt w:val="bullet"/>
      <w:suff w:val="tab"/>
      <w:lvlText w:val="o"/>
      <w:lvlJc w:val="left"/>
      <w:pPr>
        <w:tabs>
          <w:tab w:val="num" w:pos="1440"/>
          <w:tab w:val="clear" w:pos="0"/>
        </w:tabs>
        <w:ind w:left="1440" w:hanging="360"/>
      </w:pPr>
      <w:rPr>
        <w:rFonts w:ascii="Book Antiqua" w:cs="Book Antiqua" w:hAnsi="Book Antiqua" w:eastAsia="Book Antiqua"/>
        <w:position w:val="0"/>
        <w:sz w:val="24"/>
        <w:szCs w:val="24"/>
      </w:rPr>
    </w:lvl>
    <w:lvl w:ilvl="2">
      <w:start w:val="1"/>
      <w:numFmt w:val="bullet"/>
      <w:suff w:val="tab"/>
      <w:lvlText w:val="▪"/>
      <w:lvlJc w:val="left"/>
      <w:pPr>
        <w:tabs>
          <w:tab w:val="num" w:pos="2160"/>
          <w:tab w:val="clear" w:pos="0"/>
        </w:tabs>
        <w:ind w:left="2160" w:hanging="360"/>
      </w:pPr>
      <w:rPr>
        <w:rFonts w:ascii="Book Antiqua" w:cs="Book Antiqua" w:hAnsi="Book Antiqua" w:eastAsia="Book Antiqua"/>
        <w:position w:val="0"/>
        <w:sz w:val="24"/>
        <w:szCs w:val="24"/>
      </w:rPr>
    </w:lvl>
    <w:lvl w:ilvl="3">
      <w:start w:val="1"/>
      <w:numFmt w:val="bullet"/>
      <w:suff w:val="tab"/>
      <w:lvlText w:val="•"/>
      <w:lvlJc w:val="left"/>
      <w:pPr>
        <w:tabs>
          <w:tab w:val="num" w:pos="2880"/>
          <w:tab w:val="clear" w:pos="0"/>
        </w:tabs>
        <w:ind w:left="2880" w:hanging="360"/>
      </w:pPr>
      <w:rPr>
        <w:rFonts w:ascii="Book Antiqua" w:cs="Book Antiqua" w:hAnsi="Book Antiqua" w:eastAsia="Book Antiqua"/>
        <w:position w:val="0"/>
        <w:sz w:val="24"/>
        <w:szCs w:val="24"/>
      </w:rPr>
    </w:lvl>
    <w:lvl w:ilvl="4">
      <w:start w:val="1"/>
      <w:numFmt w:val="bullet"/>
      <w:suff w:val="tab"/>
      <w:lvlText w:val="o"/>
      <w:lvlJc w:val="left"/>
      <w:pPr>
        <w:tabs>
          <w:tab w:val="num" w:pos="3600"/>
          <w:tab w:val="clear" w:pos="0"/>
        </w:tabs>
        <w:ind w:left="3600" w:hanging="360"/>
      </w:pPr>
      <w:rPr>
        <w:rFonts w:ascii="Book Antiqua" w:cs="Book Antiqua" w:hAnsi="Book Antiqua" w:eastAsia="Book Antiqua"/>
        <w:position w:val="0"/>
        <w:sz w:val="24"/>
        <w:szCs w:val="24"/>
      </w:rPr>
    </w:lvl>
    <w:lvl w:ilvl="5">
      <w:start w:val="1"/>
      <w:numFmt w:val="bullet"/>
      <w:suff w:val="tab"/>
      <w:lvlText w:val="▪"/>
      <w:lvlJc w:val="left"/>
      <w:pPr>
        <w:tabs>
          <w:tab w:val="num" w:pos="4320"/>
          <w:tab w:val="clear" w:pos="0"/>
        </w:tabs>
        <w:ind w:left="4320" w:hanging="360"/>
      </w:pPr>
      <w:rPr>
        <w:rFonts w:ascii="Book Antiqua" w:cs="Book Antiqua" w:hAnsi="Book Antiqua" w:eastAsia="Book Antiqua"/>
        <w:position w:val="0"/>
        <w:sz w:val="24"/>
        <w:szCs w:val="24"/>
      </w:rPr>
    </w:lvl>
    <w:lvl w:ilvl="6">
      <w:start w:val="1"/>
      <w:numFmt w:val="bullet"/>
      <w:suff w:val="tab"/>
      <w:lvlText w:val="•"/>
      <w:lvlJc w:val="left"/>
      <w:pPr>
        <w:tabs>
          <w:tab w:val="num" w:pos="5040"/>
          <w:tab w:val="clear" w:pos="0"/>
        </w:tabs>
        <w:ind w:left="5040" w:hanging="360"/>
      </w:pPr>
      <w:rPr>
        <w:rFonts w:ascii="Book Antiqua" w:cs="Book Antiqua" w:hAnsi="Book Antiqua" w:eastAsia="Book Antiqua"/>
        <w:position w:val="0"/>
        <w:sz w:val="24"/>
        <w:szCs w:val="24"/>
      </w:rPr>
    </w:lvl>
    <w:lvl w:ilvl="7">
      <w:start w:val="1"/>
      <w:numFmt w:val="bullet"/>
      <w:suff w:val="tab"/>
      <w:lvlText w:val="o"/>
      <w:lvlJc w:val="left"/>
      <w:pPr>
        <w:tabs>
          <w:tab w:val="num" w:pos="5760"/>
          <w:tab w:val="clear" w:pos="0"/>
        </w:tabs>
        <w:ind w:left="5760" w:hanging="360"/>
      </w:pPr>
      <w:rPr>
        <w:rFonts w:ascii="Book Antiqua" w:cs="Book Antiqua" w:hAnsi="Book Antiqua" w:eastAsia="Book Antiqua"/>
        <w:position w:val="0"/>
        <w:sz w:val="24"/>
        <w:szCs w:val="24"/>
      </w:rPr>
    </w:lvl>
    <w:lvl w:ilvl="8">
      <w:start w:val="1"/>
      <w:numFmt w:val="bullet"/>
      <w:suff w:val="tab"/>
      <w:lvlText w:val="▪"/>
      <w:lvlJc w:val="left"/>
      <w:pPr>
        <w:tabs>
          <w:tab w:val="num" w:pos="6480"/>
          <w:tab w:val="clear" w:pos="0"/>
        </w:tabs>
        <w:ind w:left="6480" w:hanging="360"/>
      </w:pPr>
      <w:rPr>
        <w:rFonts w:ascii="Book Antiqua" w:cs="Book Antiqua" w:hAnsi="Book Antiqua" w:eastAsia="Book Antiqua"/>
        <w:position w:val="0"/>
        <w:sz w:val="24"/>
        <w:szCs w:val="24"/>
      </w:rPr>
    </w:lvl>
  </w:abstractNum>
  <w:abstractNum w:abstractNumId="35">
    <w:multiLevelType w:val="multilevel"/>
    <w:lvl w:ilvl="0">
      <w:start w:val="1"/>
      <w:numFmt w:val="bullet"/>
      <w:suff w:val="tab"/>
      <w:lvlText w:val="•"/>
      <w:lvlJc w:val="left"/>
      <w:pPr>
        <w:tabs>
          <w:tab w:val="num" w:pos="567"/>
          <w:tab w:val="clear" w:pos="0"/>
        </w:tabs>
        <w:ind w:left="567" w:hanging="141"/>
      </w:pPr>
      <w:rPr>
        <w:rFonts w:ascii="Book Antiqua" w:cs="Book Antiqua" w:hAnsi="Book Antiqua" w:eastAsia="Book Antiqua"/>
        <w:color w:val="000000"/>
        <w:position w:val="0"/>
        <w:sz w:val="24"/>
        <w:szCs w:val="24"/>
        <w:u w:color="000000"/>
      </w:rPr>
    </w:lvl>
    <w:lvl w:ilvl="1">
      <w:start w:val="1"/>
      <w:numFmt w:val="bullet"/>
      <w:suff w:val="tab"/>
      <w:lvlText w:val="o"/>
      <w:lvlJc w:val="left"/>
      <w:pPr>
        <w:tabs>
          <w:tab w:val="num" w:pos="1440"/>
          <w:tab w:val="clear" w:pos="0"/>
        </w:tabs>
        <w:ind w:left="1440" w:hanging="360"/>
      </w:pPr>
      <w:rPr>
        <w:rFonts w:ascii="Book Antiqua" w:cs="Book Antiqua" w:hAnsi="Book Antiqua" w:eastAsia="Book Antiqua"/>
        <w:color w:val="000000"/>
        <w:position w:val="0"/>
        <w:sz w:val="24"/>
        <w:szCs w:val="24"/>
        <w:u w:color="000000"/>
      </w:rPr>
    </w:lvl>
    <w:lvl w:ilvl="2">
      <w:start w:val="1"/>
      <w:numFmt w:val="bullet"/>
      <w:suff w:val="tab"/>
      <w:lvlText w:val="▪"/>
      <w:lvlJc w:val="left"/>
      <w:pPr>
        <w:tabs>
          <w:tab w:val="num" w:pos="2160"/>
          <w:tab w:val="clear" w:pos="0"/>
        </w:tabs>
        <w:ind w:left="2160" w:hanging="360"/>
      </w:pPr>
      <w:rPr>
        <w:rFonts w:ascii="Book Antiqua" w:cs="Book Antiqua" w:hAnsi="Book Antiqua" w:eastAsia="Book Antiqua"/>
        <w:color w:val="000000"/>
        <w:position w:val="0"/>
        <w:sz w:val="24"/>
        <w:szCs w:val="24"/>
        <w:u w:color="000000"/>
      </w:rPr>
    </w:lvl>
    <w:lvl w:ilvl="3">
      <w:start w:val="1"/>
      <w:numFmt w:val="bullet"/>
      <w:suff w:val="tab"/>
      <w:lvlText w:val="•"/>
      <w:lvlJc w:val="left"/>
      <w:pPr>
        <w:tabs>
          <w:tab w:val="num" w:pos="2880"/>
          <w:tab w:val="clear" w:pos="0"/>
        </w:tabs>
        <w:ind w:left="2880" w:hanging="360"/>
      </w:pPr>
      <w:rPr>
        <w:rFonts w:ascii="Book Antiqua" w:cs="Book Antiqua" w:hAnsi="Book Antiqua" w:eastAsia="Book Antiqua"/>
        <w:color w:val="000000"/>
        <w:position w:val="0"/>
        <w:sz w:val="24"/>
        <w:szCs w:val="24"/>
        <w:u w:color="000000"/>
      </w:rPr>
    </w:lvl>
    <w:lvl w:ilvl="4">
      <w:start w:val="1"/>
      <w:numFmt w:val="bullet"/>
      <w:suff w:val="tab"/>
      <w:lvlText w:val="o"/>
      <w:lvlJc w:val="left"/>
      <w:pPr>
        <w:tabs>
          <w:tab w:val="num" w:pos="3600"/>
          <w:tab w:val="clear" w:pos="0"/>
        </w:tabs>
        <w:ind w:left="3600" w:hanging="360"/>
      </w:pPr>
      <w:rPr>
        <w:rFonts w:ascii="Book Antiqua" w:cs="Book Antiqua" w:hAnsi="Book Antiqua" w:eastAsia="Book Antiqua"/>
        <w:color w:val="000000"/>
        <w:position w:val="0"/>
        <w:sz w:val="24"/>
        <w:szCs w:val="24"/>
        <w:u w:color="000000"/>
      </w:rPr>
    </w:lvl>
    <w:lvl w:ilvl="5">
      <w:start w:val="1"/>
      <w:numFmt w:val="bullet"/>
      <w:suff w:val="tab"/>
      <w:lvlText w:val="▪"/>
      <w:lvlJc w:val="left"/>
      <w:pPr>
        <w:tabs>
          <w:tab w:val="num" w:pos="4320"/>
          <w:tab w:val="clear" w:pos="0"/>
        </w:tabs>
        <w:ind w:left="4320" w:hanging="360"/>
      </w:pPr>
      <w:rPr>
        <w:rFonts w:ascii="Book Antiqua" w:cs="Book Antiqua" w:hAnsi="Book Antiqua" w:eastAsia="Book Antiqua"/>
        <w:color w:val="000000"/>
        <w:position w:val="0"/>
        <w:sz w:val="24"/>
        <w:szCs w:val="24"/>
        <w:u w:color="000000"/>
      </w:rPr>
    </w:lvl>
    <w:lvl w:ilvl="6">
      <w:start w:val="1"/>
      <w:numFmt w:val="bullet"/>
      <w:suff w:val="tab"/>
      <w:lvlText w:val="•"/>
      <w:lvlJc w:val="left"/>
      <w:pPr>
        <w:tabs>
          <w:tab w:val="num" w:pos="5040"/>
          <w:tab w:val="clear" w:pos="0"/>
        </w:tabs>
        <w:ind w:left="5040" w:hanging="360"/>
      </w:pPr>
      <w:rPr>
        <w:rFonts w:ascii="Book Antiqua" w:cs="Book Antiqua" w:hAnsi="Book Antiqua" w:eastAsia="Book Antiqua"/>
        <w:color w:val="000000"/>
        <w:position w:val="0"/>
        <w:sz w:val="24"/>
        <w:szCs w:val="24"/>
        <w:u w:color="000000"/>
      </w:rPr>
    </w:lvl>
    <w:lvl w:ilvl="7">
      <w:start w:val="1"/>
      <w:numFmt w:val="bullet"/>
      <w:suff w:val="tab"/>
      <w:lvlText w:val="o"/>
      <w:lvlJc w:val="left"/>
      <w:pPr>
        <w:tabs>
          <w:tab w:val="num" w:pos="5760"/>
          <w:tab w:val="clear" w:pos="0"/>
        </w:tabs>
        <w:ind w:left="5760" w:hanging="360"/>
      </w:pPr>
      <w:rPr>
        <w:rFonts w:ascii="Book Antiqua" w:cs="Book Antiqua" w:hAnsi="Book Antiqua" w:eastAsia="Book Antiqua"/>
        <w:color w:val="000000"/>
        <w:position w:val="0"/>
        <w:sz w:val="24"/>
        <w:szCs w:val="24"/>
        <w:u w:color="000000"/>
      </w:rPr>
    </w:lvl>
    <w:lvl w:ilvl="8">
      <w:start w:val="1"/>
      <w:numFmt w:val="bullet"/>
      <w:suff w:val="tab"/>
      <w:lvlText w:val="▪"/>
      <w:lvlJc w:val="left"/>
      <w:pPr>
        <w:tabs>
          <w:tab w:val="num" w:pos="6480"/>
          <w:tab w:val="clear" w:pos="0"/>
        </w:tabs>
        <w:ind w:left="6480" w:hanging="360"/>
      </w:pPr>
      <w:rPr>
        <w:rFonts w:ascii="Book Antiqua" w:cs="Book Antiqua" w:hAnsi="Book Antiqua" w:eastAsia="Book Antiqua"/>
        <w:color w:val="000000"/>
        <w:position w:val="0"/>
        <w:sz w:val="24"/>
        <w:szCs w:val="24"/>
        <w:u w:color="000000"/>
      </w:rPr>
    </w:lvl>
  </w:abstractNum>
  <w:abstractNum w:abstractNumId="36">
    <w:multiLevelType w:val="multilevel"/>
    <w:lvl w:ilvl="0">
      <w:start w:val="1"/>
      <w:numFmt w:val="bullet"/>
      <w:suff w:val="tab"/>
      <w:lvlText w:val="•"/>
      <w:lvlJc w:val="left"/>
      <w:pPr/>
      <w:rPr>
        <w:position w:val="0"/>
      </w:rPr>
    </w:lvl>
    <w:lvl w:ilvl="1">
      <w:start w:val="1"/>
      <w:numFmt w:val="bullet"/>
      <w:suff w:val="tab"/>
      <w:lvlText w:val="o"/>
      <w:lvlJc w:val="left"/>
      <w:pPr/>
      <w:rPr>
        <w:position w:val="0"/>
      </w:rPr>
    </w:lvl>
    <w:lvl w:ilvl="2">
      <w:start w:val="1"/>
      <w:numFmt w:val="bullet"/>
      <w:suff w:val="tab"/>
      <w:lvlText w:val="▪"/>
      <w:lvlJc w:val="left"/>
      <w:pPr/>
      <w:rPr>
        <w:position w:val="0"/>
      </w:rPr>
    </w:lvl>
    <w:lvl w:ilvl="3">
      <w:start w:val="1"/>
      <w:numFmt w:val="bullet"/>
      <w:suff w:val="tab"/>
      <w:lvlText w:val="•"/>
      <w:lvlJc w:val="left"/>
      <w:pPr/>
      <w:rPr>
        <w:position w:val="0"/>
      </w:rPr>
    </w:lvl>
    <w:lvl w:ilvl="4">
      <w:start w:val="1"/>
      <w:numFmt w:val="bullet"/>
      <w:suff w:val="tab"/>
      <w:lvlText w:val="o"/>
      <w:lvlJc w:val="left"/>
      <w:pPr/>
      <w:rPr>
        <w:position w:val="0"/>
      </w:rPr>
    </w:lvl>
    <w:lvl w:ilvl="5">
      <w:start w:val="1"/>
      <w:numFmt w:val="bullet"/>
      <w:suff w:val="tab"/>
      <w:lvlText w:val="▪"/>
      <w:lvlJc w:val="left"/>
      <w:pPr/>
      <w:rPr>
        <w:position w:val="0"/>
      </w:rPr>
    </w:lvl>
    <w:lvl w:ilvl="6">
      <w:start w:val="1"/>
      <w:numFmt w:val="bullet"/>
      <w:suff w:val="tab"/>
      <w:lvlText w:val="•"/>
      <w:lvlJc w:val="left"/>
      <w:pPr/>
      <w:rPr>
        <w:position w:val="0"/>
      </w:rPr>
    </w:lvl>
    <w:lvl w:ilvl="7">
      <w:start w:val="1"/>
      <w:numFmt w:val="bullet"/>
      <w:suff w:val="tab"/>
      <w:lvlText w:val="o"/>
      <w:lvlJc w:val="left"/>
      <w:pPr/>
      <w:rPr>
        <w:position w:val="0"/>
      </w:rPr>
    </w:lvl>
    <w:lvl w:ilvl="8">
      <w:start w:val="1"/>
      <w:numFmt w:val="bullet"/>
      <w:suff w:val="tab"/>
      <w:lvlText w:val="▪"/>
      <w:lvlJc w:val="left"/>
      <w:pPr/>
      <w:rPr>
        <w:position w:val="0"/>
      </w:rPr>
    </w:lvl>
  </w:abstractNum>
  <w:abstractNum w:abstractNumId="37">
    <w:multiLevelType w:val="multilevel"/>
    <w:styleLink w:val="List 10"/>
    <w:lvl w:ilvl="0">
      <w:start w:val="0"/>
      <w:numFmt w:val="bullet"/>
      <w:suff w:val="tab"/>
      <w:lvlText w:val="•"/>
      <w:lvlJc w:val="left"/>
      <w:pPr>
        <w:tabs>
          <w:tab w:val="num" w:pos="567"/>
          <w:tab w:val="clear" w:pos="0"/>
        </w:tabs>
        <w:ind w:left="567" w:hanging="141"/>
      </w:pPr>
      <w:rPr>
        <w:rFonts w:ascii="Book Antiqua" w:cs="Book Antiqua" w:hAnsi="Book Antiqua" w:eastAsia="Book Antiqua"/>
        <w:color w:val="000000"/>
        <w:position w:val="0"/>
        <w:sz w:val="22"/>
        <w:szCs w:val="22"/>
        <w:u w:color="000000"/>
      </w:rPr>
    </w:lvl>
    <w:lvl w:ilvl="1">
      <w:start w:val="1"/>
      <w:numFmt w:val="bullet"/>
      <w:suff w:val="tab"/>
      <w:lvlText w:val="o"/>
      <w:lvlJc w:val="left"/>
      <w:pPr>
        <w:tabs>
          <w:tab w:val="num" w:pos="1440"/>
          <w:tab w:val="clear" w:pos="0"/>
        </w:tabs>
        <w:ind w:left="1440" w:hanging="360"/>
      </w:pPr>
      <w:rPr>
        <w:rFonts w:ascii="Book Antiqua" w:cs="Book Antiqua" w:hAnsi="Book Antiqua" w:eastAsia="Book Antiqua"/>
        <w:color w:val="000000"/>
        <w:position w:val="0"/>
        <w:sz w:val="24"/>
        <w:szCs w:val="24"/>
        <w:u w:color="000000"/>
      </w:rPr>
    </w:lvl>
    <w:lvl w:ilvl="2">
      <w:start w:val="1"/>
      <w:numFmt w:val="bullet"/>
      <w:suff w:val="tab"/>
      <w:lvlText w:val="▪"/>
      <w:lvlJc w:val="left"/>
      <w:pPr>
        <w:tabs>
          <w:tab w:val="num" w:pos="2160"/>
          <w:tab w:val="clear" w:pos="0"/>
        </w:tabs>
        <w:ind w:left="2160" w:hanging="360"/>
      </w:pPr>
      <w:rPr>
        <w:rFonts w:ascii="Book Antiqua" w:cs="Book Antiqua" w:hAnsi="Book Antiqua" w:eastAsia="Book Antiqua"/>
        <w:color w:val="000000"/>
        <w:position w:val="0"/>
        <w:sz w:val="24"/>
        <w:szCs w:val="24"/>
        <w:u w:color="000000"/>
      </w:rPr>
    </w:lvl>
    <w:lvl w:ilvl="3">
      <w:start w:val="1"/>
      <w:numFmt w:val="bullet"/>
      <w:suff w:val="tab"/>
      <w:lvlText w:val="•"/>
      <w:lvlJc w:val="left"/>
      <w:pPr>
        <w:tabs>
          <w:tab w:val="num" w:pos="2880"/>
          <w:tab w:val="clear" w:pos="0"/>
        </w:tabs>
        <w:ind w:left="2880" w:hanging="360"/>
      </w:pPr>
      <w:rPr>
        <w:rFonts w:ascii="Book Antiqua" w:cs="Book Antiqua" w:hAnsi="Book Antiqua" w:eastAsia="Book Antiqua"/>
        <w:color w:val="000000"/>
        <w:position w:val="0"/>
        <w:sz w:val="24"/>
        <w:szCs w:val="24"/>
        <w:u w:color="000000"/>
      </w:rPr>
    </w:lvl>
    <w:lvl w:ilvl="4">
      <w:start w:val="1"/>
      <w:numFmt w:val="bullet"/>
      <w:suff w:val="tab"/>
      <w:lvlText w:val="o"/>
      <w:lvlJc w:val="left"/>
      <w:pPr>
        <w:tabs>
          <w:tab w:val="num" w:pos="3600"/>
          <w:tab w:val="clear" w:pos="0"/>
        </w:tabs>
        <w:ind w:left="3600" w:hanging="360"/>
      </w:pPr>
      <w:rPr>
        <w:rFonts w:ascii="Book Antiqua" w:cs="Book Antiqua" w:hAnsi="Book Antiqua" w:eastAsia="Book Antiqua"/>
        <w:color w:val="000000"/>
        <w:position w:val="0"/>
        <w:sz w:val="24"/>
        <w:szCs w:val="24"/>
        <w:u w:color="000000"/>
      </w:rPr>
    </w:lvl>
    <w:lvl w:ilvl="5">
      <w:start w:val="1"/>
      <w:numFmt w:val="bullet"/>
      <w:suff w:val="tab"/>
      <w:lvlText w:val="▪"/>
      <w:lvlJc w:val="left"/>
      <w:pPr>
        <w:tabs>
          <w:tab w:val="num" w:pos="4320"/>
          <w:tab w:val="clear" w:pos="0"/>
        </w:tabs>
        <w:ind w:left="4320" w:hanging="360"/>
      </w:pPr>
      <w:rPr>
        <w:rFonts w:ascii="Book Antiqua" w:cs="Book Antiqua" w:hAnsi="Book Antiqua" w:eastAsia="Book Antiqua"/>
        <w:color w:val="000000"/>
        <w:position w:val="0"/>
        <w:sz w:val="24"/>
        <w:szCs w:val="24"/>
        <w:u w:color="000000"/>
      </w:rPr>
    </w:lvl>
    <w:lvl w:ilvl="6">
      <w:start w:val="1"/>
      <w:numFmt w:val="bullet"/>
      <w:suff w:val="tab"/>
      <w:lvlText w:val="•"/>
      <w:lvlJc w:val="left"/>
      <w:pPr>
        <w:tabs>
          <w:tab w:val="num" w:pos="5040"/>
          <w:tab w:val="clear" w:pos="0"/>
        </w:tabs>
        <w:ind w:left="5040" w:hanging="360"/>
      </w:pPr>
      <w:rPr>
        <w:rFonts w:ascii="Book Antiqua" w:cs="Book Antiqua" w:hAnsi="Book Antiqua" w:eastAsia="Book Antiqua"/>
        <w:color w:val="000000"/>
        <w:position w:val="0"/>
        <w:sz w:val="24"/>
        <w:szCs w:val="24"/>
        <w:u w:color="000000"/>
      </w:rPr>
    </w:lvl>
    <w:lvl w:ilvl="7">
      <w:start w:val="1"/>
      <w:numFmt w:val="bullet"/>
      <w:suff w:val="tab"/>
      <w:lvlText w:val="o"/>
      <w:lvlJc w:val="left"/>
      <w:pPr>
        <w:tabs>
          <w:tab w:val="num" w:pos="5760"/>
          <w:tab w:val="clear" w:pos="0"/>
        </w:tabs>
        <w:ind w:left="5760" w:hanging="360"/>
      </w:pPr>
      <w:rPr>
        <w:rFonts w:ascii="Book Antiqua" w:cs="Book Antiqua" w:hAnsi="Book Antiqua" w:eastAsia="Book Antiqua"/>
        <w:color w:val="000000"/>
        <w:position w:val="0"/>
        <w:sz w:val="24"/>
        <w:szCs w:val="24"/>
        <w:u w:color="000000"/>
      </w:rPr>
    </w:lvl>
    <w:lvl w:ilvl="8">
      <w:start w:val="1"/>
      <w:numFmt w:val="bullet"/>
      <w:suff w:val="tab"/>
      <w:lvlText w:val="▪"/>
      <w:lvlJc w:val="left"/>
      <w:pPr>
        <w:tabs>
          <w:tab w:val="num" w:pos="6480"/>
          <w:tab w:val="clear" w:pos="0"/>
        </w:tabs>
        <w:ind w:left="6480" w:hanging="360"/>
      </w:pPr>
      <w:rPr>
        <w:rFonts w:ascii="Book Antiqua" w:cs="Book Antiqua" w:hAnsi="Book Antiqua" w:eastAsia="Book Antiqua"/>
        <w:color w:val="000000"/>
        <w:position w:val="0"/>
        <w:sz w:val="24"/>
        <w:szCs w:val="24"/>
        <w:u w:color="000000"/>
      </w:rPr>
    </w:lvl>
  </w:abstractNum>
  <w:abstractNum w:abstractNumId="38">
    <w:multiLevelType w:val="multilevel"/>
    <w:styleLink w:val="List 10"/>
    <w:lvl w:ilvl="0">
      <w:start w:val="0"/>
      <w:numFmt w:val="bullet"/>
      <w:suff w:val="tab"/>
      <w:lvlText w:val="•"/>
      <w:lvlJc w:val="left"/>
      <w:pPr>
        <w:tabs>
          <w:tab w:val="num" w:pos="567"/>
          <w:tab w:val="clear" w:pos="0"/>
        </w:tabs>
        <w:ind w:left="567" w:hanging="141"/>
      </w:pPr>
      <w:rPr>
        <w:rFonts w:ascii="Book Antiqua" w:cs="Book Antiqua" w:hAnsi="Book Antiqua" w:eastAsia="Book Antiqua"/>
        <w:color w:val="000000"/>
        <w:position w:val="0"/>
        <w:sz w:val="22"/>
        <w:szCs w:val="22"/>
        <w:u w:color="000000"/>
      </w:rPr>
    </w:lvl>
    <w:lvl w:ilvl="1">
      <w:start w:val="1"/>
      <w:numFmt w:val="bullet"/>
      <w:suff w:val="tab"/>
      <w:lvlText w:val="o"/>
      <w:lvlJc w:val="left"/>
      <w:pPr>
        <w:tabs>
          <w:tab w:val="num" w:pos="1440"/>
          <w:tab w:val="clear" w:pos="0"/>
        </w:tabs>
        <w:ind w:left="1440" w:hanging="360"/>
      </w:pPr>
      <w:rPr>
        <w:rFonts w:ascii="Book Antiqua" w:cs="Book Antiqua" w:hAnsi="Book Antiqua" w:eastAsia="Book Antiqua"/>
        <w:color w:val="000000"/>
        <w:position w:val="0"/>
        <w:sz w:val="24"/>
        <w:szCs w:val="24"/>
        <w:u w:color="000000"/>
      </w:rPr>
    </w:lvl>
    <w:lvl w:ilvl="2">
      <w:start w:val="1"/>
      <w:numFmt w:val="bullet"/>
      <w:suff w:val="tab"/>
      <w:lvlText w:val="▪"/>
      <w:lvlJc w:val="left"/>
      <w:pPr>
        <w:tabs>
          <w:tab w:val="num" w:pos="2160"/>
          <w:tab w:val="clear" w:pos="0"/>
        </w:tabs>
        <w:ind w:left="2160" w:hanging="360"/>
      </w:pPr>
      <w:rPr>
        <w:rFonts w:ascii="Book Antiqua" w:cs="Book Antiqua" w:hAnsi="Book Antiqua" w:eastAsia="Book Antiqua"/>
        <w:color w:val="000000"/>
        <w:position w:val="0"/>
        <w:sz w:val="24"/>
        <w:szCs w:val="24"/>
        <w:u w:color="000000"/>
      </w:rPr>
    </w:lvl>
    <w:lvl w:ilvl="3">
      <w:start w:val="1"/>
      <w:numFmt w:val="bullet"/>
      <w:suff w:val="tab"/>
      <w:lvlText w:val="•"/>
      <w:lvlJc w:val="left"/>
      <w:pPr>
        <w:tabs>
          <w:tab w:val="num" w:pos="2880"/>
          <w:tab w:val="clear" w:pos="0"/>
        </w:tabs>
        <w:ind w:left="2880" w:hanging="360"/>
      </w:pPr>
      <w:rPr>
        <w:rFonts w:ascii="Book Antiqua" w:cs="Book Antiqua" w:hAnsi="Book Antiqua" w:eastAsia="Book Antiqua"/>
        <w:color w:val="000000"/>
        <w:position w:val="0"/>
        <w:sz w:val="24"/>
        <w:szCs w:val="24"/>
        <w:u w:color="000000"/>
      </w:rPr>
    </w:lvl>
    <w:lvl w:ilvl="4">
      <w:start w:val="1"/>
      <w:numFmt w:val="bullet"/>
      <w:suff w:val="tab"/>
      <w:lvlText w:val="o"/>
      <w:lvlJc w:val="left"/>
      <w:pPr>
        <w:tabs>
          <w:tab w:val="num" w:pos="3600"/>
          <w:tab w:val="clear" w:pos="0"/>
        </w:tabs>
        <w:ind w:left="3600" w:hanging="360"/>
      </w:pPr>
      <w:rPr>
        <w:rFonts w:ascii="Book Antiqua" w:cs="Book Antiqua" w:hAnsi="Book Antiqua" w:eastAsia="Book Antiqua"/>
        <w:color w:val="000000"/>
        <w:position w:val="0"/>
        <w:sz w:val="24"/>
        <w:szCs w:val="24"/>
        <w:u w:color="000000"/>
      </w:rPr>
    </w:lvl>
    <w:lvl w:ilvl="5">
      <w:start w:val="1"/>
      <w:numFmt w:val="bullet"/>
      <w:suff w:val="tab"/>
      <w:lvlText w:val="▪"/>
      <w:lvlJc w:val="left"/>
      <w:pPr>
        <w:tabs>
          <w:tab w:val="num" w:pos="4320"/>
          <w:tab w:val="clear" w:pos="0"/>
        </w:tabs>
        <w:ind w:left="4320" w:hanging="360"/>
      </w:pPr>
      <w:rPr>
        <w:rFonts w:ascii="Book Antiqua" w:cs="Book Antiqua" w:hAnsi="Book Antiqua" w:eastAsia="Book Antiqua"/>
        <w:color w:val="000000"/>
        <w:position w:val="0"/>
        <w:sz w:val="24"/>
        <w:szCs w:val="24"/>
        <w:u w:color="000000"/>
      </w:rPr>
    </w:lvl>
    <w:lvl w:ilvl="6">
      <w:start w:val="1"/>
      <w:numFmt w:val="bullet"/>
      <w:suff w:val="tab"/>
      <w:lvlText w:val="•"/>
      <w:lvlJc w:val="left"/>
      <w:pPr>
        <w:tabs>
          <w:tab w:val="num" w:pos="5040"/>
          <w:tab w:val="clear" w:pos="0"/>
        </w:tabs>
        <w:ind w:left="5040" w:hanging="360"/>
      </w:pPr>
      <w:rPr>
        <w:rFonts w:ascii="Book Antiqua" w:cs="Book Antiqua" w:hAnsi="Book Antiqua" w:eastAsia="Book Antiqua"/>
        <w:color w:val="000000"/>
        <w:position w:val="0"/>
        <w:sz w:val="24"/>
        <w:szCs w:val="24"/>
        <w:u w:color="000000"/>
      </w:rPr>
    </w:lvl>
    <w:lvl w:ilvl="7">
      <w:start w:val="1"/>
      <w:numFmt w:val="bullet"/>
      <w:suff w:val="tab"/>
      <w:lvlText w:val="o"/>
      <w:lvlJc w:val="left"/>
      <w:pPr>
        <w:tabs>
          <w:tab w:val="num" w:pos="5760"/>
          <w:tab w:val="clear" w:pos="0"/>
        </w:tabs>
        <w:ind w:left="5760" w:hanging="360"/>
      </w:pPr>
      <w:rPr>
        <w:rFonts w:ascii="Book Antiqua" w:cs="Book Antiqua" w:hAnsi="Book Antiqua" w:eastAsia="Book Antiqua"/>
        <w:color w:val="000000"/>
        <w:position w:val="0"/>
        <w:sz w:val="24"/>
        <w:szCs w:val="24"/>
        <w:u w:color="000000"/>
      </w:rPr>
    </w:lvl>
    <w:lvl w:ilvl="8">
      <w:start w:val="1"/>
      <w:numFmt w:val="bullet"/>
      <w:suff w:val="tab"/>
      <w:lvlText w:val="▪"/>
      <w:lvlJc w:val="left"/>
      <w:pPr>
        <w:tabs>
          <w:tab w:val="num" w:pos="6480"/>
          <w:tab w:val="clear" w:pos="0"/>
        </w:tabs>
        <w:ind w:left="6480" w:hanging="360"/>
      </w:pPr>
      <w:rPr>
        <w:rFonts w:ascii="Book Antiqua" w:cs="Book Antiqua" w:hAnsi="Book Antiqua" w:eastAsia="Book Antiqua"/>
        <w:color w:val="000000"/>
        <w:position w:val="0"/>
        <w:sz w:val="24"/>
        <w:szCs w:val="24"/>
        <w:u w:color="000000"/>
      </w:rPr>
    </w:lvl>
  </w:abstractNum>
  <w:abstractNum w:abstractNumId="39">
    <w:multiLevelType w:val="multilevel"/>
    <w:styleLink w:val="List 10"/>
    <w:lvl w:ilvl="0">
      <w:start w:val="0"/>
      <w:numFmt w:val="bullet"/>
      <w:suff w:val="tab"/>
      <w:lvlText w:val="•"/>
      <w:lvlJc w:val="left"/>
      <w:pPr>
        <w:tabs>
          <w:tab w:val="num" w:pos="567"/>
          <w:tab w:val="clear" w:pos="0"/>
        </w:tabs>
        <w:ind w:left="567" w:hanging="141"/>
      </w:pPr>
      <w:rPr>
        <w:rFonts w:ascii="Book Antiqua" w:cs="Book Antiqua" w:hAnsi="Book Antiqua" w:eastAsia="Book Antiqua"/>
        <w:color w:val="000000"/>
        <w:position w:val="0"/>
        <w:sz w:val="22"/>
        <w:szCs w:val="22"/>
        <w:u w:color="000000"/>
      </w:rPr>
    </w:lvl>
    <w:lvl w:ilvl="1">
      <w:start w:val="1"/>
      <w:numFmt w:val="bullet"/>
      <w:suff w:val="tab"/>
      <w:lvlText w:val="o"/>
      <w:lvlJc w:val="left"/>
      <w:pPr>
        <w:tabs>
          <w:tab w:val="num" w:pos="1440"/>
          <w:tab w:val="clear" w:pos="0"/>
        </w:tabs>
        <w:ind w:left="1440" w:hanging="360"/>
      </w:pPr>
      <w:rPr>
        <w:rFonts w:ascii="Book Antiqua" w:cs="Book Antiqua" w:hAnsi="Book Antiqua" w:eastAsia="Book Antiqua"/>
        <w:color w:val="000000"/>
        <w:position w:val="0"/>
        <w:sz w:val="24"/>
        <w:szCs w:val="24"/>
        <w:u w:color="000000"/>
      </w:rPr>
    </w:lvl>
    <w:lvl w:ilvl="2">
      <w:start w:val="1"/>
      <w:numFmt w:val="bullet"/>
      <w:suff w:val="tab"/>
      <w:lvlText w:val="▪"/>
      <w:lvlJc w:val="left"/>
      <w:pPr>
        <w:tabs>
          <w:tab w:val="num" w:pos="2160"/>
          <w:tab w:val="clear" w:pos="0"/>
        </w:tabs>
        <w:ind w:left="2160" w:hanging="360"/>
      </w:pPr>
      <w:rPr>
        <w:rFonts w:ascii="Book Antiqua" w:cs="Book Antiqua" w:hAnsi="Book Antiqua" w:eastAsia="Book Antiqua"/>
        <w:color w:val="000000"/>
        <w:position w:val="0"/>
        <w:sz w:val="24"/>
        <w:szCs w:val="24"/>
        <w:u w:color="000000"/>
      </w:rPr>
    </w:lvl>
    <w:lvl w:ilvl="3">
      <w:start w:val="1"/>
      <w:numFmt w:val="bullet"/>
      <w:suff w:val="tab"/>
      <w:lvlText w:val="•"/>
      <w:lvlJc w:val="left"/>
      <w:pPr>
        <w:tabs>
          <w:tab w:val="num" w:pos="2880"/>
          <w:tab w:val="clear" w:pos="0"/>
        </w:tabs>
        <w:ind w:left="2880" w:hanging="360"/>
      </w:pPr>
      <w:rPr>
        <w:rFonts w:ascii="Book Antiqua" w:cs="Book Antiqua" w:hAnsi="Book Antiqua" w:eastAsia="Book Antiqua"/>
        <w:color w:val="000000"/>
        <w:position w:val="0"/>
        <w:sz w:val="24"/>
        <w:szCs w:val="24"/>
        <w:u w:color="000000"/>
      </w:rPr>
    </w:lvl>
    <w:lvl w:ilvl="4">
      <w:start w:val="1"/>
      <w:numFmt w:val="bullet"/>
      <w:suff w:val="tab"/>
      <w:lvlText w:val="o"/>
      <w:lvlJc w:val="left"/>
      <w:pPr>
        <w:tabs>
          <w:tab w:val="num" w:pos="3600"/>
          <w:tab w:val="clear" w:pos="0"/>
        </w:tabs>
        <w:ind w:left="3600" w:hanging="360"/>
      </w:pPr>
      <w:rPr>
        <w:rFonts w:ascii="Book Antiqua" w:cs="Book Antiqua" w:hAnsi="Book Antiqua" w:eastAsia="Book Antiqua"/>
        <w:color w:val="000000"/>
        <w:position w:val="0"/>
        <w:sz w:val="24"/>
        <w:szCs w:val="24"/>
        <w:u w:color="000000"/>
      </w:rPr>
    </w:lvl>
    <w:lvl w:ilvl="5">
      <w:start w:val="1"/>
      <w:numFmt w:val="bullet"/>
      <w:suff w:val="tab"/>
      <w:lvlText w:val="▪"/>
      <w:lvlJc w:val="left"/>
      <w:pPr>
        <w:tabs>
          <w:tab w:val="num" w:pos="4320"/>
          <w:tab w:val="clear" w:pos="0"/>
        </w:tabs>
        <w:ind w:left="4320" w:hanging="360"/>
      </w:pPr>
      <w:rPr>
        <w:rFonts w:ascii="Book Antiqua" w:cs="Book Antiqua" w:hAnsi="Book Antiqua" w:eastAsia="Book Antiqua"/>
        <w:color w:val="000000"/>
        <w:position w:val="0"/>
        <w:sz w:val="24"/>
        <w:szCs w:val="24"/>
        <w:u w:color="000000"/>
      </w:rPr>
    </w:lvl>
    <w:lvl w:ilvl="6">
      <w:start w:val="1"/>
      <w:numFmt w:val="bullet"/>
      <w:suff w:val="tab"/>
      <w:lvlText w:val="•"/>
      <w:lvlJc w:val="left"/>
      <w:pPr>
        <w:tabs>
          <w:tab w:val="num" w:pos="5040"/>
          <w:tab w:val="clear" w:pos="0"/>
        </w:tabs>
        <w:ind w:left="5040" w:hanging="360"/>
      </w:pPr>
      <w:rPr>
        <w:rFonts w:ascii="Book Antiqua" w:cs="Book Antiqua" w:hAnsi="Book Antiqua" w:eastAsia="Book Antiqua"/>
        <w:color w:val="000000"/>
        <w:position w:val="0"/>
        <w:sz w:val="24"/>
        <w:szCs w:val="24"/>
        <w:u w:color="000000"/>
      </w:rPr>
    </w:lvl>
    <w:lvl w:ilvl="7">
      <w:start w:val="1"/>
      <w:numFmt w:val="bullet"/>
      <w:suff w:val="tab"/>
      <w:lvlText w:val="o"/>
      <w:lvlJc w:val="left"/>
      <w:pPr>
        <w:tabs>
          <w:tab w:val="num" w:pos="5760"/>
          <w:tab w:val="clear" w:pos="0"/>
        </w:tabs>
        <w:ind w:left="5760" w:hanging="360"/>
      </w:pPr>
      <w:rPr>
        <w:rFonts w:ascii="Book Antiqua" w:cs="Book Antiqua" w:hAnsi="Book Antiqua" w:eastAsia="Book Antiqua"/>
        <w:color w:val="000000"/>
        <w:position w:val="0"/>
        <w:sz w:val="24"/>
        <w:szCs w:val="24"/>
        <w:u w:color="000000"/>
      </w:rPr>
    </w:lvl>
    <w:lvl w:ilvl="8">
      <w:start w:val="1"/>
      <w:numFmt w:val="bullet"/>
      <w:suff w:val="tab"/>
      <w:lvlText w:val="▪"/>
      <w:lvlJc w:val="left"/>
      <w:pPr>
        <w:tabs>
          <w:tab w:val="num" w:pos="6480"/>
          <w:tab w:val="clear" w:pos="0"/>
        </w:tabs>
        <w:ind w:left="6480" w:hanging="360"/>
      </w:pPr>
      <w:rPr>
        <w:rFonts w:ascii="Book Antiqua" w:cs="Book Antiqua" w:hAnsi="Book Antiqua" w:eastAsia="Book Antiqua"/>
        <w:color w:val="000000"/>
        <w:position w:val="0"/>
        <w:sz w:val="24"/>
        <w:szCs w:val="24"/>
        <w:u w:color="000000"/>
      </w:rPr>
    </w:lvl>
  </w:abstractNum>
  <w:abstractNum w:abstractNumId="40">
    <w:multiLevelType w:val="multilevel"/>
    <w:lvl w:ilvl="0">
      <w:start w:val="1"/>
      <w:numFmt w:val="bullet"/>
      <w:suff w:val="tab"/>
      <w:lvlText w:val="➢"/>
      <w:lvlJc w:val="left"/>
      <w:pPr>
        <w:tabs>
          <w:tab w:val="num" w:pos="567"/>
          <w:tab w:val="clear" w:pos="0"/>
        </w:tabs>
        <w:ind w:left="567" w:hanging="141"/>
      </w:pPr>
      <w:rPr>
        <w:rFonts w:ascii="Book Antiqua" w:cs="Book Antiqua" w:hAnsi="Book Antiqua" w:eastAsia="Book Antiqua"/>
        <w:i w:val="1"/>
        <w:iCs w:val="1"/>
        <w:position w:val="0"/>
        <w:sz w:val="24"/>
        <w:szCs w:val="24"/>
      </w:rPr>
    </w:lvl>
    <w:lvl w:ilvl="1">
      <w:start w:val="1"/>
      <w:numFmt w:val="bullet"/>
      <w:suff w:val="tab"/>
      <w:lvlText w:val="o"/>
      <w:lvlJc w:val="left"/>
      <w:pPr>
        <w:tabs>
          <w:tab w:val="num" w:pos="1440"/>
          <w:tab w:val="clear" w:pos="0"/>
        </w:tabs>
        <w:ind w:left="1440" w:hanging="360"/>
      </w:pPr>
      <w:rPr>
        <w:rFonts w:ascii="Book Antiqua" w:cs="Book Antiqua" w:hAnsi="Book Antiqua" w:eastAsia="Book Antiqua"/>
        <w:i w:val="1"/>
        <w:iCs w:val="1"/>
        <w:position w:val="0"/>
        <w:sz w:val="24"/>
        <w:szCs w:val="24"/>
      </w:rPr>
    </w:lvl>
    <w:lvl w:ilvl="2">
      <w:start w:val="1"/>
      <w:numFmt w:val="bullet"/>
      <w:suff w:val="tab"/>
      <w:lvlText w:val="▪"/>
      <w:lvlJc w:val="left"/>
      <w:pPr>
        <w:tabs>
          <w:tab w:val="num" w:pos="2160"/>
          <w:tab w:val="clear" w:pos="0"/>
        </w:tabs>
        <w:ind w:left="2160" w:hanging="360"/>
      </w:pPr>
      <w:rPr>
        <w:rFonts w:ascii="Book Antiqua" w:cs="Book Antiqua" w:hAnsi="Book Antiqua" w:eastAsia="Book Antiqua"/>
        <w:i w:val="1"/>
        <w:iCs w:val="1"/>
        <w:position w:val="0"/>
        <w:sz w:val="24"/>
        <w:szCs w:val="24"/>
      </w:rPr>
    </w:lvl>
    <w:lvl w:ilvl="3">
      <w:start w:val="1"/>
      <w:numFmt w:val="bullet"/>
      <w:suff w:val="tab"/>
      <w:lvlText w:val="•"/>
      <w:lvlJc w:val="left"/>
      <w:pPr>
        <w:tabs>
          <w:tab w:val="num" w:pos="2880"/>
          <w:tab w:val="clear" w:pos="0"/>
        </w:tabs>
        <w:ind w:left="2880" w:hanging="360"/>
      </w:pPr>
      <w:rPr>
        <w:rFonts w:ascii="Book Antiqua" w:cs="Book Antiqua" w:hAnsi="Book Antiqua" w:eastAsia="Book Antiqua"/>
        <w:i w:val="1"/>
        <w:iCs w:val="1"/>
        <w:position w:val="0"/>
        <w:sz w:val="24"/>
        <w:szCs w:val="24"/>
      </w:rPr>
    </w:lvl>
    <w:lvl w:ilvl="4">
      <w:start w:val="1"/>
      <w:numFmt w:val="bullet"/>
      <w:suff w:val="tab"/>
      <w:lvlText w:val="o"/>
      <w:lvlJc w:val="left"/>
      <w:pPr>
        <w:tabs>
          <w:tab w:val="num" w:pos="3600"/>
          <w:tab w:val="clear" w:pos="0"/>
        </w:tabs>
        <w:ind w:left="3600" w:hanging="360"/>
      </w:pPr>
      <w:rPr>
        <w:rFonts w:ascii="Book Antiqua" w:cs="Book Antiqua" w:hAnsi="Book Antiqua" w:eastAsia="Book Antiqua"/>
        <w:i w:val="1"/>
        <w:iCs w:val="1"/>
        <w:position w:val="0"/>
        <w:sz w:val="24"/>
        <w:szCs w:val="24"/>
      </w:rPr>
    </w:lvl>
    <w:lvl w:ilvl="5">
      <w:start w:val="1"/>
      <w:numFmt w:val="bullet"/>
      <w:suff w:val="tab"/>
      <w:lvlText w:val="▪"/>
      <w:lvlJc w:val="left"/>
      <w:pPr>
        <w:tabs>
          <w:tab w:val="num" w:pos="4320"/>
          <w:tab w:val="clear" w:pos="0"/>
        </w:tabs>
        <w:ind w:left="4320" w:hanging="360"/>
      </w:pPr>
      <w:rPr>
        <w:rFonts w:ascii="Book Antiqua" w:cs="Book Antiqua" w:hAnsi="Book Antiqua" w:eastAsia="Book Antiqua"/>
        <w:i w:val="1"/>
        <w:iCs w:val="1"/>
        <w:position w:val="0"/>
        <w:sz w:val="24"/>
        <w:szCs w:val="24"/>
      </w:rPr>
    </w:lvl>
    <w:lvl w:ilvl="6">
      <w:start w:val="1"/>
      <w:numFmt w:val="bullet"/>
      <w:suff w:val="tab"/>
      <w:lvlText w:val="•"/>
      <w:lvlJc w:val="left"/>
      <w:pPr>
        <w:tabs>
          <w:tab w:val="num" w:pos="5040"/>
          <w:tab w:val="clear" w:pos="0"/>
        </w:tabs>
        <w:ind w:left="5040" w:hanging="360"/>
      </w:pPr>
      <w:rPr>
        <w:rFonts w:ascii="Book Antiqua" w:cs="Book Antiqua" w:hAnsi="Book Antiqua" w:eastAsia="Book Antiqua"/>
        <w:i w:val="1"/>
        <w:iCs w:val="1"/>
        <w:position w:val="0"/>
        <w:sz w:val="24"/>
        <w:szCs w:val="24"/>
      </w:rPr>
    </w:lvl>
    <w:lvl w:ilvl="7">
      <w:start w:val="1"/>
      <w:numFmt w:val="bullet"/>
      <w:suff w:val="tab"/>
      <w:lvlText w:val="o"/>
      <w:lvlJc w:val="left"/>
      <w:pPr>
        <w:tabs>
          <w:tab w:val="num" w:pos="5760"/>
          <w:tab w:val="clear" w:pos="0"/>
        </w:tabs>
        <w:ind w:left="5760" w:hanging="360"/>
      </w:pPr>
      <w:rPr>
        <w:rFonts w:ascii="Book Antiqua" w:cs="Book Antiqua" w:hAnsi="Book Antiqua" w:eastAsia="Book Antiqua"/>
        <w:i w:val="1"/>
        <w:iCs w:val="1"/>
        <w:position w:val="0"/>
        <w:sz w:val="24"/>
        <w:szCs w:val="24"/>
      </w:rPr>
    </w:lvl>
    <w:lvl w:ilvl="8">
      <w:start w:val="1"/>
      <w:numFmt w:val="bullet"/>
      <w:suff w:val="tab"/>
      <w:lvlText w:val="▪"/>
      <w:lvlJc w:val="left"/>
      <w:pPr>
        <w:tabs>
          <w:tab w:val="num" w:pos="6480"/>
          <w:tab w:val="clear" w:pos="0"/>
        </w:tabs>
        <w:ind w:left="6480" w:hanging="360"/>
      </w:pPr>
      <w:rPr>
        <w:rFonts w:ascii="Book Antiqua" w:cs="Book Antiqua" w:hAnsi="Book Antiqua" w:eastAsia="Book Antiqua"/>
        <w:i w:val="1"/>
        <w:iCs w:val="1"/>
        <w:position w:val="0"/>
        <w:sz w:val="24"/>
        <w:szCs w:val="24"/>
      </w:rPr>
    </w:lvl>
  </w:abstractNum>
  <w:abstractNum w:abstractNumId="41">
    <w:multiLevelType w:val="multilevel"/>
    <w:lvl w:ilvl="0">
      <w:start w:val="1"/>
      <w:numFmt w:val="bullet"/>
      <w:suff w:val="tab"/>
      <w:lvlText w:val="➢"/>
      <w:lvlJc w:val="left"/>
      <w:pPr/>
      <w:rPr>
        <w:position w:val="0"/>
      </w:rPr>
    </w:lvl>
    <w:lvl w:ilvl="1">
      <w:start w:val="1"/>
      <w:numFmt w:val="bullet"/>
      <w:suff w:val="tab"/>
      <w:lvlText w:val="o"/>
      <w:lvlJc w:val="left"/>
      <w:pPr/>
      <w:rPr>
        <w:position w:val="0"/>
      </w:rPr>
    </w:lvl>
    <w:lvl w:ilvl="2">
      <w:start w:val="1"/>
      <w:numFmt w:val="bullet"/>
      <w:suff w:val="tab"/>
      <w:lvlText w:val="▪"/>
      <w:lvlJc w:val="left"/>
      <w:pPr/>
      <w:rPr>
        <w:position w:val="0"/>
      </w:rPr>
    </w:lvl>
    <w:lvl w:ilvl="3">
      <w:start w:val="1"/>
      <w:numFmt w:val="bullet"/>
      <w:suff w:val="tab"/>
      <w:lvlText w:val="•"/>
      <w:lvlJc w:val="left"/>
      <w:pPr/>
      <w:rPr>
        <w:position w:val="0"/>
      </w:rPr>
    </w:lvl>
    <w:lvl w:ilvl="4">
      <w:start w:val="1"/>
      <w:numFmt w:val="bullet"/>
      <w:suff w:val="tab"/>
      <w:lvlText w:val="o"/>
      <w:lvlJc w:val="left"/>
      <w:pPr/>
      <w:rPr>
        <w:position w:val="0"/>
      </w:rPr>
    </w:lvl>
    <w:lvl w:ilvl="5">
      <w:start w:val="1"/>
      <w:numFmt w:val="bullet"/>
      <w:suff w:val="tab"/>
      <w:lvlText w:val="▪"/>
      <w:lvlJc w:val="left"/>
      <w:pPr/>
      <w:rPr>
        <w:position w:val="0"/>
      </w:rPr>
    </w:lvl>
    <w:lvl w:ilvl="6">
      <w:start w:val="1"/>
      <w:numFmt w:val="bullet"/>
      <w:suff w:val="tab"/>
      <w:lvlText w:val="•"/>
      <w:lvlJc w:val="left"/>
      <w:pPr/>
      <w:rPr>
        <w:position w:val="0"/>
      </w:rPr>
    </w:lvl>
    <w:lvl w:ilvl="7">
      <w:start w:val="1"/>
      <w:numFmt w:val="bullet"/>
      <w:suff w:val="tab"/>
      <w:lvlText w:val="o"/>
      <w:lvlJc w:val="left"/>
      <w:pPr/>
      <w:rPr>
        <w:position w:val="0"/>
      </w:rPr>
    </w:lvl>
    <w:lvl w:ilvl="8">
      <w:start w:val="1"/>
      <w:numFmt w:val="bullet"/>
      <w:suff w:val="tab"/>
      <w:lvlText w:val="▪"/>
      <w:lvlJc w:val="left"/>
      <w:pPr/>
      <w:rPr>
        <w:position w:val="0"/>
      </w:rPr>
    </w:lvl>
  </w:abstractNum>
  <w:abstractNum w:abstractNumId="42">
    <w:multiLevelType w:val="multilevel"/>
    <w:styleLink w:val="List 11"/>
    <w:lvl w:ilvl="0">
      <w:start w:val="0"/>
      <w:numFmt w:val="bullet"/>
      <w:suff w:val="tab"/>
      <w:lvlText w:val="➢"/>
      <w:lvlJc w:val="left"/>
      <w:pPr>
        <w:tabs>
          <w:tab w:val="num" w:pos="567"/>
          <w:tab w:val="clear" w:pos="0"/>
        </w:tabs>
        <w:ind w:left="567" w:hanging="141"/>
      </w:pPr>
      <w:rPr>
        <w:rFonts w:ascii="Book Antiqua" w:cs="Book Antiqua" w:hAnsi="Book Antiqua" w:eastAsia="Book Antiqua"/>
        <w:i w:val="1"/>
        <w:iCs w:val="1"/>
        <w:position w:val="0"/>
        <w:sz w:val="22"/>
        <w:szCs w:val="22"/>
      </w:rPr>
    </w:lvl>
    <w:lvl w:ilvl="1">
      <w:start w:val="1"/>
      <w:numFmt w:val="bullet"/>
      <w:suff w:val="tab"/>
      <w:lvlText w:val="o"/>
      <w:lvlJc w:val="left"/>
      <w:pPr>
        <w:tabs>
          <w:tab w:val="num" w:pos="1440"/>
          <w:tab w:val="clear" w:pos="0"/>
        </w:tabs>
        <w:ind w:left="1440" w:hanging="360"/>
      </w:pPr>
      <w:rPr>
        <w:rFonts w:ascii="Book Antiqua" w:cs="Book Antiqua" w:hAnsi="Book Antiqua" w:eastAsia="Book Antiqua"/>
        <w:i w:val="1"/>
        <w:iCs w:val="1"/>
        <w:position w:val="0"/>
        <w:sz w:val="24"/>
        <w:szCs w:val="24"/>
      </w:rPr>
    </w:lvl>
    <w:lvl w:ilvl="2">
      <w:start w:val="1"/>
      <w:numFmt w:val="bullet"/>
      <w:suff w:val="tab"/>
      <w:lvlText w:val="▪"/>
      <w:lvlJc w:val="left"/>
      <w:pPr>
        <w:tabs>
          <w:tab w:val="num" w:pos="2160"/>
          <w:tab w:val="clear" w:pos="0"/>
        </w:tabs>
        <w:ind w:left="2160" w:hanging="360"/>
      </w:pPr>
      <w:rPr>
        <w:rFonts w:ascii="Book Antiqua" w:cs="Book Antiqua" w:hAnsi="Book Antiqua" w:eastAsia="Book Antiqua"/>
        <w:i w:val="1"/>
        <w:iCs w:val="1"/>
        <w:position w:val="0"/>
        <w:sz w:val="24"/>
        <w:szCs w:val="24"/>
      </w:rPr>
    </w:lvl>
    <w:lvl w:ilvl="3">
      <w:start w:val="1"/>
      <w:numFmt w:val="bullet"/>
      <w:suff w:val="tab"/>
      <w:lvlText w:val="•"/>
      <w:lvlJc w:val="left"/>
      <w:pPr>
        <w:tabs>
          <w:tab w:val="num" w:pos="2880"/>
          <w:tab w:val="clear" w:pos="0"/>
        </w:tabs>
        <w:ind w:left="2880" w:hanging="360"/>
      </w:pPr>
      <w:rPr>
        <w:rFonts w:ascii="Book Antiqua" w:cs="Book Antiqua" w:hAnsi="Book Antiqua" w:eastAsia="Book Antiqua"/>
        <w:i w:val="1"/>
        <w:iCs w:val="1"/>
        <w:position w:val="0"/>
        <w:sz w:val="24"/>
        <w:szCs w:val="24"/>
      </w:rPr>
    </w:lvl>
    <w:lvl w:ilvl="4">
      <w:start w:val="1"/>
      <w:numFmt w:val="bullet"/>
      <w:suff w:val="tab"/>
      <w:lvlText w:val="o"/>
      <w:lvlJc w:val="left"/>
      <w:pPr>
        <w:tabs>
          <w:tab w:val="num" w:pos="3600"/>
          <w:tab w:val="clear" w:pos="0"/>
        </w:tabs>
        <w:ind w:left="3600" w:hanging="360"/>
      </w:pPr>
      <w:rPr>
        <w:rFonts w:ascii="Book Antiqua" w:cs="Book Antiqua" w:hAnsi="Book Antiqua" w:eastAsia="Book Antiqua"/>
        <w:i w:val="1"/>
        <w:iCs w:val="1"/>
        <w:position w:val="0"/>
        <w:sz w:val="24"/>
        <w:szCs w:val="24"/>
      </w:rPr>
    </w:lvl>
    <w:lvl w:ilvl="5">
      <w:start w:val="1"/>
      <w:numFmt w:val="bullet"/>
      <w:suff w:val="tab"/>
      <w:lvlText w:val="▪"/>
      <w:lvlJc w:val="left"/>
      <w:pPr>
        <w:tabs>
          <w:tab w:val="num" w:pos="4320"/>
          <w:tab w:val="clear" w:pos="0"/>
        </w:tabs>
        <w:ind w:left="4320" w:hanging="360"/>
      </w:pPr>
      <w:rPr>
        <w:rFonts w:ascii="Book Antiqua" w:cs="Book Antiqua" w:hAnsi="Book Antiqua" w:eastAsia="Book Antiqua"/>
        <w:i w:val="1"/>
        <w:iCs w:val="1"/>
        <w:position w:val="0"/>
        <w:sz w:val="24"/>
        <w:szCs w:val="24"/>
      </w:rPr>
    </w:lvl>
    <w:lvl w:ilvl="6">
      <w:start w:val="1"/>
      <w:numFmt w:val="bullet"/>
      <w:suff w:val="tab"/>
      <w:lvlText w:val="•"/>
      <w:lvlJc w:val="left"/>
      <w:pPr>
        <w:tabs>
          <w:tab w:val="num" w:pos="5040"/>
          <w:tab w:val="clear" w:pos="0"/>
        </w:tabs>
        <w:ind w:left="5040" w:hanging="360"/>
      </w:pPr>
      <w:rPr>
        <w:rFonts w:ascii="Book Antiqua" w:cs="Book Antiqua" w:hAnsi="Book Antiqua" w:eastAsia="Book Antiqua"/>
        <w:i w:val="1"/>
        <w:iCs w:val="1"/>
        <w:position w:val="0"/>
        <w:sz w:val="24"/>
        <w:szCs w:val="24"/>
      </w:rPr>
    </w:lvl>
    <w:lvl w:ilvl="7">
      <w:start w:val="1"/>
      <w:numFmt w:val="bullet"/>
      <w:suff w:val="tab"/>
      <w:lvlText w:val="o"/>
      <w:lvlJc w:val="left"/>
      <w:pPr>
        <w:tabs>
          <w:tab w:val="num" w:pos="5760"/>
          <w:tab w:val="clear" w:pos="0"/>
        </w:tabs>
        <w:ind w:left="5760" w:hanging="360"/>
      </w:pPr>
      <w:rPr>
        <w:rFonts w:ascii="Book Antiqua" w:cs="Book Antiqua" w:hAnsi="Book Antiqua" w:eastAsia="Book Antiqua"/>
        <w:i w:val="1"/>
        <w:iCs w:val="1"/>
        <w:position w:val="0"/>
        <w:sz w:val="24"/>
        <w:szCs w:val="24"/>
      </w:rPr>
    </w:lvl>
    <w:lvl w:ilvl="8">
      <w:start w:val="1"/>
      <w:numFmt w:val="bullet"/>
      <w:suff w:val="tab"/>
      <w:lvlText w:val="▪"/>
      <w:lvlJc w:val="left"/>
      <w:pPr>
        <w:tabs>
          <w:tab w:val="num" w:pos="6480"/>
          <w:tab w:val="clear" w:pos="0"/>
        </w:tabs>
        <w:ind w:left="6480" w:hanging="360"/>
      </w:pPr>
      <w:rPr>
        <w:rFonts w:ascii="Book Antiqua" w:cs="Book Antiqua" w:hAnsi="Book Antiqua" w:eastAsia="Book Antiqua"/>
        <w:i w:val="1"/>
        <w:iCs w:val="1"/>
        <w:position w:val="0"/>
        <w:sz w:val="24"/>
        <w:szCs w:val="24"/>
      </w:rPr>
    </w:lvl>
  </w:abstractNum>
  <w:abstractNum w:abstractNumId="43">
    <w:multiLevelType w:val="multilevel"/>
    <w:styleLink w:val="List 11"/>
    <w:lvl w:ilvl="0">
      <w:start w:val="0"/>
      <w:numFmt w:val="bullet"/>
      <w:suff w:val="tab"/>
      <w:lvlText w:val="➢"/>
      <w:lvlJc w:val="left"/>
      <w:pPr>
        <w:tabs>
          <w:tab w:val="num" w:pos="567"/>
          <w:tab w:val="clear" w:pos="0"/>
        </w:tabs>
        <w:ind w:left="567" w:hanging="141"/>
      </w:pPr>
      <w:rPr>
        <w:rFonts w:ascii="Book Antiqua" w:cs="Book Antiqua" w:hAnsi="Book Antiqua" w:eastAsia="Book Antiqua"/>
        <w:i w:val="1"/>
        <w:iCs w:val="1"/>
        <w:position w:val="0"/>
        <w:sz w:val="22"/>
        <w:szCs w:val="22"/>
      </w:rPr>
    </w:lvl>
    <w:lvl w:ilvl="1">
      <w:start w:val="1"/>
      <w:numFmt w:val="bullet"/>
      <w:suff w:val="tab"/>
      <w:lvlText w:val="o"/>
      <w:lvlJc w:val="left"/>
      <w:pPr>
        <w:tabs>
          <w:tab w:val="num" w:pos="1440"/>
          <w:tab w:val="clear" w:pos="0"/>
        </w:tabs>
        <w:ind w:left="1440" w:hanging="360"/>
      </w:pPr>
      <w:rPr>
        <w:rFonts w:ascii="Book Antiqua" w:cs="Book Antiqua" w:hAnsi="Book Antiqua" w:eastAsia="Book Antiqua"/>
        <w:i w:val="1"/>
        <w:iCs w:val="1"/>
        <w:position w:val="0"/>
        <w:sz w:val="24"/>
        <w:szCs w:val="24"/>
      </w:rPr>
    </w:lvl>
    <w:lvl w:ilvl="2">
      <w:start w:val="1"/>
      <w:numFmt w:val="bullet"/>
      <w:suff w:val="tab"/>
      <w:lvlText w:val="▪"/>
      <w:lvlJc w:val="left"/>
      <w:pPr>
        <w:tabs>
          <w:tab w:val="num" w:pos="2160"/>
          <w:tab w:val="clear" w:pos="0"/>
        </w:tabs>
        <w:ind w:left="2160" w:hanging="360"/>
      </w:pPr>
      <w:rPr>
        <w:rFonts w:ascii="Book Antiqua" w:cs="Book Antiqua" w:hAnsi="Book Antiqua" w:eastAsia="Book Antiqua"/>
        <w:i w:val="1"/>
        <w:iCs w:val="1"/>
        <w:position w:val="0"/>
        <w:sz w:val="24"/>
        <w:szCs w:val="24"/>
      </w:rPr>
    </w:lvl>
    <w:lvl w:ilvl="3">
      <w:start w:val="1"/>
      <w:numFmt w:val="bullet"/>
      <w:suff w:val="tab"/>
      <w:lvlText w:val="•"/>
      <w:lvlJc w:val="left"/>
      <w:pPr>
        <w:tabs>
          <w:tab w:val="num" w:pos="2880"/>
          <w:tab w:val="clear" w:pos="0"/>
        </w:tabs>
        <w:ind w:left="2880" w:hanging="360"/>
      </w:pPr>
      <w:rPr>
        <w:rFonts w:ascii="Book Antiqua" w:cs="Book Antiqua" w:hAnsi="Book Antiqua" w:eastAsia="Book Antiqua"/>
        <w:i w:val="1"/>
        <w:iCs w:val="1"/>
        <w:position w:val="0"/>
        <w:sz w:val="24"/>
        <w:szCs w:val="24"/>
      </w:rPr>
    </w:lvl>
    <w:lvl w:ilvl="4">
      <w:start w:val="1"/>
      <w:numFmt w:val="bullet"/>
      <w:suff w:val="tab"/>
      <w:lvlText w:val="o"/>
      <w:lvlJc w:val="left"/>
      <w:pPr>
        <w:tabs>
          <w:tab w:val="num" w:pos="3600"/>
          <w:tab w:val="clear" w:pos="0"/>
        </w:tabs>
        <w:ind w:left="3600" w:hanging="360"/>
      </w:pPr>
      <w:rPr>
        <w:rFonts w:ascii="Book Antiqua" w:cs="Book Antiqua" w:hAnsi="Book Antiqua" w:eastAsia="Book Antiqua"/>
        <w:i w:val="1"/>
        <w:iCs w:val="1"/>
        <w:position w:val="0"/>
        <w:sz w:val="24"/>
        <w:szCs w:val="24"/>
      </w:rPr>
    </w:lvl>
    <w:lvl w:ilvl="5">
      <w:start w:val="1"/>
      <w:numFmt w:val="bullet"/>
      <w:suff w:val="tab"/>
      <w:lvlText w:val="▪"/>
      <w:lvlJc w:val="left"/>
      <w:pPr>
        <w:tabs>
          <w:tab w:val="num" w:pos="4320"/>
          <w:tab w:val="clear" w:pos="0"/>
        </w:tabs>
        <w:ind w:left="4320" w:hanging="360"/>
      </w:pPr>
      <w:rPr>
        <w:rFonts w:ascii="Book Antiqua" w:cs="Book Antiqua" w:hAnsi="Book Antiqua" w:eastAsia="Book Antiqua"/>
        <w:i w:val="1"/>
        <w:iCs w:val="1"/>
        <w:position w:val="0"/>
        <w:sz w:val="24"/>
        <w:szCs w:val="24"/>
      </w:rPr>
    </w:lvl>
    <w:lvl w:ilvl="6">
      <w:start w:val="1"/>
      <w:numFmt w:val="bullet"/>
      <w:suff w:val="tab"/>
      <w:lvlText w:val="•"/>
      <w:lvlJc w:val="left"/>
      <w:pPr>
        <w:tabs>
          <w:tab w:val="num" w:pos="5040"/>
          <w:tab w:val="clear" w:pos="0"/>
        </w:tabs>
        <w:ind w:left="5040" w:hanging="360"/>
      </w:pPr>
      <w:rPr>
        <w:rFonts w:ascii="Book Antiqua" w:cs="Book Antiqua" w:hAnsi="Book Antiqua" w:eastAsia="Book Antiqua"/>
        <w:i w:val="1"/>
        <w:iCs w:val="1"/>
        <w:position w:val="0"/>
        <w:sz w:val="24"/>
        <w:szCs w:val="24"/>
      </w:rPr>
    </w:lvl>
    <w:lvl w:ilvl="7">
      <w:start w:val="1"/>
      <w:numFmt w:val="bullet"/>
      <w:suff w:val="tab"/>
      <w:lvlText w:val="o"/>
      <w:lvlJc w:val="left"/>
      <w:pPr>
        <w:tabs>
          <w:tab w:val="num" w:pos="5760"/>
          <w:tab w:val="clear" w:pos="0"/>
        </w:tabs>
        <w:ind w:left="5760" w:hanging="360"/>
      </w:pPr>
      <w:rPr>
        <w:rFonts w:ascii="Book Antiqua" w:cs="Book Antiqua" w:hAnsi="Book Antiqua" w:eastAsia="Book Antiqua"/>
        <w:i w:val="1"/>
        <w:iCs w:val="1"/>
        <w:position w:val="0"/>
        <w:sz w:val="24"/>
        <w:szCs w:val="24"/>
      </w:rPr>
    </w:lvl>
    <w:lvl w:ilvl="8">
      <w:start w:val="1"/>
      <w:numFmt w:val="bullet"/>
      <w:suff w:val="tab"/>
      <w:lvlText w:val="▪"/>
      <w:lvlJc w:val="left"/>
      <w:pPr>
        <w:tabs>
          <w:tab w:val="num" w:pos="6480"/>
          <w:tab w:val="clear" w:pos="0"/>
        </w:tabs>
        <w:ind w:left="6480" w:hanging="360"/>
      </w:pPr>
      <w:rPr>
        <w:rFonts w:ascii="Book Antiqua" w:cs="Book Antiqua" w:hAnsi="Book Antiqua" w:eastAsia="Book Antiqua"/>
        <w:i w:val="1"/>
        <w:iCs w:val="1"/>
        <w:position w:val="0"/>
        <w:sz w:val="24"/>
        <w:szCs w:val="24"/>
      </w:rPr>
    </w:lvl>
  </w:abstractNum>
  <w:abstractNum w:abstractNumId="44">
    <w:multiLevelType w:val="multilevel"/>
    <w:styleLink w:val="List 11"/>
    <w:lvl w:ilvl="0">
      <w:start w:val="0"/>
      <w:numFmt w:val="bullet"/>
      <w:suff w:val="tab"/>
      <w:lvlText w:val="➢"/>
      <w:lvlJc w:val="left"/>
      <w:pPr>
        <w:tabs>
          <w:tab w:val="num" w:pos="567"/>
          <w:tab w:val="clear" w:pos="0"/>
        </w:tabs>
        <w:ind w:left="567" w:hanging="141"/>
      </w:pPr>
      <w:rPr>
        <w:rFonts w:ascii="Book Antiqua" w:cs="Book Antiqua" w:hAnsi="Book Antiqua" w:eastAsia="Book Antiqua"/>
        <w:i w:val="1"/>
        <w:iCs w:val="1"/>
        <w:position w:val="0"/>
        <w:sz w:val="22"/>
        <w:szCs w:val="22"/>
      </w:rPr>
    </w:lvl>
    <w:lvl w:ilvl="1">
      <w:start w:val="1"/>
      <w:numFmt w:val="bullet"/>
      <w:suff w:val="tab"/>
      <w:lvlText w:val="o"/>
      <w:lvlJc w:val="left"/>
      <w:pPr>
        <w:tabs>
          <w:tab w:val="num" w:pos="1440"/>
          <w:tab w:val="clear" w:pos="0"/>
        </w:tabs>
        <w:ind w:left="1440" w:hanging="360"/>
      </w:pPr>
      <w:rPr>
        <w:rFonts w:ascii="Book Antiqua" w:cs="Book Antiqua" w:hAnsi="Book Antiqua" w:eastAsia="Book Antiqua"/>
        <w:i w:val="1"/>
        <w:iCs w:val="1"/>
        <w:position w:val="0"/>
        <w:sz w:val="24"/>
        <w:szCs w:val="24"/>
      </w:rPr>
    </w:lvl>
    <w:lvl w:ilvl="2">
      <w:start w:val="1"/>
      <w:numFmt w:val="bullet"/>
      <w:suff w:val="tab"/>
      <w:lvlText w:val="▪"/>
      <w:lvlJc w:val="left"/>
      <w:pPr>
        <w:tabs>
          <w:tab w:val="num" w:pos="2160"/>
          <w:tab w:val="clear" w:pos="0"/>
        </w:tabs>
        <w:ind w:left="2160" w:hanging="360"/>
      </w:pPr>
      <w:rPr>
        <w:rFonts w:ascii="Book Antiqua" w:cs="Book Antiqua" w:hAnsi="Book Antiqua" w:eastAsia="Book Antiqua"/>
        <w:i w:val="1"/>
        <w:iCs w:val="1"/>
        <w:position w:val="0"/>
        <w:sz w:val="24"/>
        <w:szCs w:val="24"/>
      </w:rPr>
    </w:lvl>
    <w:lvl w:ilvl="3">
      <w:start w:val="1"/>
      <w:numFmt w:val="bullet"/>
      <w:suff w:val="tab"/>
      <w:lvlText w:val="•"/>
      <w:lvlJc w:val="left"/>
      <w:pPr>
        <w:tabs>
          <w:tab w:val="num" w:pos="2880"/>
          <w:tab w:val="clear" w:pos="0"/>
        </w:tabs>
        <w:ind w:left="2880" w:hanging="360"/>
      </w:pPr>
      <w:rPr>
        <w:rFonts w:ascii="Book Antiqua" w:cs="Book Antiqua" w:hAnsi="Book Antiqua" w:eastAsia="Book Antiqua"/>
        <w:i w:val="1"/>
        <w:iCs w:val="1"/>
        <w:position w:val="0"/>
        <w:sz w:val="24"/>
        <w:szCs w:val="24"/>
      </w:rPr>
    </w:lvl>
    <w:lvl w:ilvl="4">
      <w:start w:val="1"/>
      <w:numFmt w:val="bullet"/>
      <w:suff w:val="tab"/>
      <w:lvlText w:val="o"/>
      <w:lvlJc w:val="left"/>
      <w:pPr>
        <w:tabs>
          <w:tab w:val="num" w:pos="3600"/>
          <w:tab w:val="clear" w:pos="0"/>
        </w:tabs>
        <w:ind w:left="3600" w:hanging="360"/>
      </w:pPr>
      <w:rPr>
        <w:rFonts w:ascii="Book Antiqua" w:cs="Book Antiqua" w:hAnsi="Book Antiqua" w:eastAsia="Book Antiqua"/>
        <w:i w:val="1"/>
        <w:iCs w:val="1"/>
        <w:position w:val="0"/>
        <w:sz w:val="24"/>
        <w:szCs w:val="24"/>
      </w:rPr>
    </w:lvl>
    <w:lvl w:ilvl="5">
      <w:start w:val="1"/>
      <w:numFmt w:val="bullet"/>
      <w:suff w:val="tab"/>
      <w:lvlText w:val="▪"/>
      <w:lvlJc w:val="left"/>
      <w:pPr>
        <w:tabs>
          <w:tab w:val="num" w:pos="4320"/>
          <w:tab w:val="clear" w:pos="0"/>
        </w:tabs>
        <w:ind w:left="4320" w:hanging="360"/>
      </w:pPr>
      <w:rPr>
        <w:rFonts w:ascii="Book Antiqua" w:cs="Book Antiqua" w:hAnsi="Book Antiqua" w:eastAsia="Book Antiqua"/>
        <w:i w:val="1"/>
        <w:iCs w:val="1"/>
        <w:position w:val="0"/>
        <w:sz w:val="24"/>
        <w:szCs w:val="24"/>
      </w:rPr>
    </w:lvl>
    <w:lvl w:ilvl="6">
      <w:start w:val="1"/>
      <w:numFmt w:val="bullet"/>
      <w:suff w:val="tab"/>
      <w:lvlText w:val="•"/>
      <w:lvlJc w:val="left"/>
      <w:pPr>
        <w:tabs>
          <w:tab w:val="num" w:pos="5040"/>
          <w:tab w:val="clear" w:pos="0"/>
        </w:tabs>
        <w:ind w:left="5040" w:hanging="360"/>
      </w:pPr>
      <w:rPr>
        <w:rFonts w:ascii="Book Antiqua" w:cs="Book Antiqua" w:hAnsi="Book Antiqua" w:eastAsia="Book Antiqua"/>
        <w:i w:val="1"/>
        <w:iCs w:val="1"/>
        <w:position w:val="0"/>
        <w:sz w:val="24"/>
        <w:szCs w:val="24"/>
      </w:rPr>
    </w:lvl>
    <w:lvl w:ilvl="7">
      <w:start w:val="1"/>
      <w:numFmt w:val="bullet"/>
      <w:suff w:val="tab"/>
      <w:lvlText w:val="o"/>
      <w:lvlJc w:val="left"/>
      <w:pPr>
        <w:tabs>
          <w:tab w:val="num" w:pos="5760"/>
          <w:tab w:val="clear" w:pos="0"/>
        </w:tabs>
        <w:ind w:left="5760" w:hanging="360"/>
      </w:pPr>
      <w:rPr>
        <w:rFonts w:ascii="Book Antiqua" w:cs="Book Antiqua" w:hAnsi="Book Antiqua" w:eastAsia="Book Antiqua"/>
        <w:i w:val="1"/>
        <w:iCs w:val="1"/>
        <w:position w:val="0"/>
        <w:sz w:val="24"/>
        <w:szCs w:val="24"/>
      </w:rPr>
    </w:lvl>
    <w:lvl w:ilvl="8">
      <w:start w:val="1"/>
      <w:numFmt w:val="bullet"/>
      <w:suff w:val="tab"/>
      <w:lvlText w:val="▪"/>
      <w:lvlJc w:val="left"/>
      <w:pPr>
        <w:tabs>
          <w:tab w:val="num" w:pos="6480"/>
          <w:tab w:val="clear" w:pos="0"/>
        </w:tabs>
        <w:ind w:left="6480" w:hanging="360"/>
      </w:pPr>
      <w:rPr>
        <w:rFonts w:ascii="Book Antiqua" w:cs="Book Antiqua" w:hAnsi="Book Antiqua" w:eastAsia="Book Antiqua"/>
        <w:i w:val="1"/>
        <w:iCs w:val="1"/>
        <w:position w:val="0"/>
        <w:sz w:val="24"/>
        <w:szCs w:val="24"/>
      </w:rPr>
    </w:lvl>
  </w:abstractNum>
  <w:abstractNum w:abstractNumId="45">
    <w:multiLevelType w:val="multilevel"/>
    <w:styleLink w:val="List 11"/>
    <w:lvl w:ilvl="0">
      <w:start w:val="0"/>
      <w:numFmt w:val="bullet"/>
      <w:suff w:val="tab"/>
      <w:lvlText w:val="➢"/>
      <w:lvlJc w:val="left"/>
      <w:pPr>
        <w:tabs>
          <w:tab w:val="num" w:pos="567"/>
          <w:tab w:val="clear" w:pos="0"/>
        </w:tabs>
        <w:ind w:left="567" w:hanging="141"/>
      </w:pPr>
      <w:rPr>
        <w:rFonts w:ascii="Book Antiqua" w:cs="Book Antiqua" w:hAnsi="Book Antiqua" w:eastAsia="Book Antiqua"/>
        <w:i w:val="1"/>
        <w:iCs w:val="1"/>
        <w:position w:val="0"/>
        <w:sz w:val="22"/>
        <w:szCs w:val="22"/>
      </w:rPr>
    </w:lvl>
    <w:lvl w:ilvl="1">
      <w:start w:val="1"/>
      <w:numFmt w:val="bullet"/>
      <w:suff w:val="tab"/>
      <w:lvlText w:val="o"/>
      <w:lvlJc w:val="left"/>
      <w:pPr>
        <w:tabs>
          <w:tab w:val="num" w:pos="1440"/>
          <w:tab w:val="clear" w:pos="0"/>
        </w:tabs>
        <w:ind w:left="1440" w:hanging="360"/>
      </w:pPr>
      <w:rPr>
        <w:rFonts w:ascii="Book Antiqua" w:cs="Book Antiqua" w:hAnsi="Book Antiqua" w:eastAsia="Book Antiqua"/>
        <w:i w:val="1"/>
        <w:iCs w:val="1"/>
        <w:position w:val="0"/>
        <w:sz w:val="24"/>
        <w:szCs w:val="24"/>
      </w:rPr>
    </w:lvl>
    <w:lvl w:ilvl="2">
      <w:start w:val="1"/>
      <w:numFmt w:val="bullet"/>
      <w:suff w:val="tab"/>
      <w:lvlText w:val="▪"/>
      <w:lvlJc w:val="left"/>
      <w:pPr>
        <w:tabs>
          <w:tab w:val="num" w:pos="2160"/>
          <w:tab w:val="clear" w:pos="0"/>
        </w:tabs>
        <w:ind w:left="2160" w:hanging="360"/>
      </w:pPr>
      <w:rPr>
        <w:rFonts w:ascii="Book Antiqua" w:cs="Book Antiqua" w:hAnsi="Book Antiqua" w:eastAsia="Book Antiqua"/>
        <w:i w:val="1"/>
        <w:iCs w:val="1"/>
        <w:position w:val="0"/>
        <w:sz w:val="24"/>
        <w:szCs w:val="24"/>
      </w:rPr>
    </w:lvl>
    <w:lvl w:ilvl="3">
      <w:start w:val="1"/>
      <w:numFmt w:val="bullet"/>
      <w:suff w:val="tab"/>
      <w:lvlText w:val="•"/>
      <w:lvlJc w:val="left"/>
      <w:pPr>
        <w:tabs>
          <w:tab w:val="num" w:pos="2880"/>
          <w:tab w:val="clear" w:pos="0"/>
        </w:tabs>
        <w:ind w:left="2880" w:hanging="360"/>
      </w:pPr>
      <w:rPr>
        <w:rFonts w:ascii="Book Antiqua" w:cs="Book Antiqua" w:hAnsi="Book Antiqua" w:eastAsia="Book Antiqua"/>
        <w:i w:val="1"/>
        <w:iCs w:val="1"/>
        <w:position w:val="0"/>
        <w:sz w:val="24"/>
        <w:szCs w:val="24"/>
      </w:rPr>
    </w:lvl>
    <w:lvl w:ilvl="4">
      <w:start w:val="1"/>
      <w:numFmt w:val="bullet"/>
      <w:suff w:val="tab"/>
      <w:lvlText w:val="o"/>
      <w:lvlJc w:val="left"/>
      <w:pPr>
        <w:tabs>
          <w:tab w:val="num" w:pos="3600"/>
          <w:tab w:val="clear" w:pos="0"/>
        </w:tabs>
        <w:ind w:left="3600" w:hanging="360"/>
      </w:pPr>
      <w:rPr>
        <w:rFonts w:ascii="Book Antiqua" w:cs="Book Antiqua" w:hAnsi="Book Antiqua" w:eastAsia="Book Antiqua"/>
        <w:i w:val="1"/>
        <w:iCs w:val="1"/>
        <w:position w:val="0"/>
        <w:sz w:val="24"/>
        <w:szCs w:val="24"/>
      </w:rPr>
    </w:lvl>
    <w:lvl w:ilvl="5">
      <w:start w:val="1"/>
      <w:numFmt w:val="bullet"/>
      <w:suff w:val="tab"/>
      <w:lvlText w:val="▪"/>
      <w:lvlJc w:val="left"/>
      <w:pPr>
        <w:tabs>
          <w:tab w:val="num" w:pos="4320"/>
          <w:tab w:val="clear" w:pos="0"/>
        </w:tabs>
        <w:ind w:left="4320" w:hanging="360"/>
      </w:pPr>
      <w:rPr>
        <w:rFonts w:ascii="Book Antiqua" w:cs="Book Antiqua" w:hAnsi="Book Antiqua" w:eastAsia="Book Antiqua"/>
        <w:i w:val="1"/>
        <w:iCs w:val="1"/>
        <w:position w:val="0"/>
        <w:sz w:val="24"/>
        <w:szCs w:val="24"/>
      </w:rPr>
    </w:lvl>
    <w:lvl w:ilvl="6">
      <w:start w:val="1"/>
      <w:numFmt w:val="bullet"/>
      <w:suff w:val="tab"/>
      <w:lvlText w:val="•"/>
      <w:lvlJc w:val="left"/>
      <w:pPr>
        <w:tabs>
          <w:tab w:val="num" w:pos="5040"/>
          <w:tab w:val="clear" w:pos="0"/>
        </w:tabs>
        <w:ind w:left="5040" w:hanging="360"/>
      </w:pPr>
      <w:rPr>
        <w:rFonts w:ascii="Book Antiqua" w:cs="Book Antiqua" w:hAnsi="Book Antiqua" w:eastAsia="Book Antiqua"/>
        <w:i w:val="1"/>
        <w:iCs w:val="1"/>
        <w:position w:val="0"/>
        <w:sz w:val="24"/>
        <w:szCs w:val="24"/>
      </w:rPr>
    </w:lvl>
    <w:lvl w:ilvl="7">
      <w:start w:val="1"/>
      <w:numFmt w:val="bullet"/>
      <w:suff w:val="tab"/>
      <w:lvlText w:val="o"/>
      <w:lvlJc w:val="left"/>
      <w:pPr>
        <w:tabs>
          <w:tab w:val="num" w:pos="5760"/>
          <w:tab w:val="clear" w:pos="0"/>
        </w:tabs>
        <w:ind w:left="5760" w:hanging="360"/>
      </w:pPr>
      <w:rPr>
        <w:rFonts w:ascii="Book Antiqua" w:cs="Book Antiqua" w:hAnsi="Book Antiqua" w:eastAsia="Book Antiqua"/>
        <w:i w:val="1"/>
        <w:iCs w:val="1"/>
        <w:position w:val="0"/>
        <w:sz w:val="24"/>
        <w:szCs w:val="24"/>
      </w:rPr>
    </w:lvl>
    <w:lvl w:ilvl="8">
      <w:start w:val="1"/>
      <w:numFmt w:val="bullet"/>
      <w:suff w:val="tab"/>
      <w:lvlText w:val="▪"/>
      <w:lvlJc w:val="left"/>
      <w:pPr>
        <w:tabs>
          <w:tab w:val="num" w:pos="6480"/>
          <w:tab w:val="clear" w:pos="0"/>
        </w:tabs>
        <w:ind w:left="6480" w:hanging="360"/>
      </w:pPr>
      <w:rPr>
        <w:rFonts w:ascii="Book Antiqua" w:cs="Book Antiqua" w:hAnsi="Book Antiqua" w:eastAsia="Book Antiqua"/>
        <w:i w:val="1"/>
        <w:iCs w:val="1"/>
        <w:position w:val="0"/>
        <w:sz w:val="24"/>
        <w:szCs w:val="24"/>
      </w:rPr>
    </w:lvl>
  </w:abstractNum>
  <w:abstractNum w:abstractNumId="46">
    <w:multiLevelType w:val="multilevel"/>
    <w:styleLink w:val="List 11"/>
    <w:lvl w:ilvl="0">
      <w:start w:val="0"/>
      <w:numFmt w:val="bullet"/>
      <w:suff w:val="tab"/>
      <w:lvlText w:val="➢"/>
      <w:lvlJc w:val="left"/>
      <w:pPr>
        <w:tabs>
          <w:tab w:val="num" w:pos="567"/>
          <w:tab w:val="clear" w:pos="0"/>
        </w:tabs>
        <w:ind w:left="567" w:hanging="141"/>
      </w:pPr>
      <w:rPr>
        <w:rFonts w:ascii="Book Antiqua" w:cs="Book Antiqua" w:hAnsi="Book Antiqua" w:eastAsia="Book Antiqua"/>
        <w:i w:val="1"/>
        <w:iCs w:val="1"/>
        <w:position w:val="0"/>
        <w:sz w:val="22"/>
        <w:szCs w:val="22"/>
      </w:rPr>
    </w:lvl>
    <w:lvl w:ilvl="1">
      <w:start w:val="1"/>
      <w:numFmt w:val="bullet"/>
      <w:suff w:val="tab"/>
      <w:lvlText w:val="o"/>
      <w:lvlJc w:val="left"/>
      <w:pPr>
        <w:tabs>
          <w:tab w:val="num" w:pos="1440"/>
          <w:tab w:val="clear" w:pos="0"/>
        </w:tabs>
        <w:ind w:left="1440" w:hanging="360"/>
      </w:pPr>
      <w:rPr>
        <w:rFonts w:ascii="Book Antiqua" w:cs="Book Antiqua" w:hAnsi="Book Antiqua" w:eastAsia="Book Antiqua"/>
        <w:i w:val="1"/>
        <w:iCs w:val="1"/>
        <w:position w:val="0"/>
        <w:sz w:val="24"/>
        <w:szCs w:val="24"/>
      </w:rPr>
    </w:lvl>
    <w:lvl w:ilvl="2">
      <w:start w:val="1"/>
      <w:numFmt w:val="bullet"/>
      <w:suff w:val="tab"/>
      <w:lvlText w:val="▪"/>
      <w:lvlJc w:val="left"/>
      <w:pPr>
        <w:tabs>
          <w:tab w:val="num" w:pos="2160"/>
          <w:tab w:val="clear" w:pos="0"/>
        </w:tabs>
        <w:ind w:left="2160" w:hanging="360"/>
      </w:pPr>
      <w:rPr>
        <w:rFonts w:ascii="Book Antiqua" w:cs="Book Antiqua" w:hAnsi="Book Antiqua" w:eastAsia="Book Antiqua"/>
        <w:i w:val="1"/>
        <w:iCs w:val="1"/>
        <w:position w:val="0"/>
        <w:sz w:val="24"/>
        <w:szCs w:val="24"/>
      </w:rPr>
    </w:lvl>
    <w:lvl w:ilvl="3">
      <w:start w:val="1"/>
      <w:numFmt w:val="bullet"/>
      <w:suff w:val="tab"/>
      <w:lvlText w:val="•"/>
      <w:lvlJc w:val="left"/>
      <w:pPr>
        <w:tabs>
          <w:tab w:val="num" w:pos="2880"/>
          <w:tab w:val="clear" w:pos="0"/>
        </w:tabs>
        <w:ind w:left="2880" w:hanging="360"/>
      </w:pPr>
      <w:rPr>
        <w:rFonts w:ascii="Book Antiqua" w:cs="Book Antiqua" w:hAnsi="Book Antiqua" w:eastAsia="Book Antiqua"/>
        <w:i w:val="1"/>
        <w:iCs w:val="1"/>
        <w:position w:val="0"/>
        <w:sz w:val="24"/>
        <w:szCs w:val="24"/>
      </w:rPr>
    </w:lvl>
    <w:lvl w:ilvl="4">
      <w:start w:val="1"/>
      <w:numFmt w:val="bullet"/>
      <w:suff w:val="tab"/>
      <w:lvlText w:val="o"/>
      <w:lvlJc w:val="left"/>
      <w:pPr>
        <w:tabs>
          <w:tab w:val="num" w:pos="3600"/>
          <w:tab w:val="clear" w:pos="0"/>
        </w:tabs>
        <w:ind w:left="3600" w:hanging="360"/>
      </w:pPr>
      <w:rPr>
        <w:rFonts w:ascii="Book Antiqua" w:cs="Book Antiqua" w:hAnsi="Book Antiqua" w:eastAsia="Book Antiqua"/>
        <w:i w:val="1"/>
        <w:iCs w:val="1"/>
        <w:position w:val="0"/>
        <w:sz w:val="24"/>
        <w:szCs w:val="24"/>
      </w:rPr>
    </w:lvl>
    <w:lvl w:ilvl="5">
      <w:start w:val="1"/>
      <w:numFmt w:val="bullet"/>
      <w:suff w:val="tab"/>
      <w:lvlText w:val="▪"/>
      <w:lvlJc w:val="left"/>
      <w:pPr>
        <w:tabs>
          <w:tab w:val="num" w:pos="4320"/>
          <w:tab w:val="clear" w:pos="0"/>
        </w:tabs>
        <w:ind w:left="4320" w:hanging="360"/>
      </w:pPr>
      <w:rPr>
        <w:rFonts w:ascii="Book Antiqua" w:cs="Book Antiqua" w:hAnsi="Book Antiqua" w:eastAsia="Book Antiqua"/>
        <w:i w:val="1"/>
        <w:iCs w:val="1"/>
        <w:position w:val="0"/>
        <w:sz w:val="24"/>
        <w:szCs w:val="24"/>
      </w:rPr>
    </w:lvl>
    <w:lvl w:ilvl="6">
      <w:start w:val="1"/>
      <w:numFmt w:val="bullet"/>
      <w:suff w:val="tab"/>
      <w:lvlText w:val="•"/>
      <w:lvlJc w:val="left"/>
      <w:pPr>
        <w:tabs>
          <w:tab w:val="num" w:pos="5040"/>
          <w:tab w:val="clear" w:pos="0"/>
        </w:tabs>
        <w:ind w:left="5040" w:hanging="360"/>
      </w:pPr>
      <w:rPr>
        <w:rFonts w:ascii="Book Antiqua" w:cs="Book Antiqua" w:hAnsi="Book Antiqua" w:eastAsia="Book Antiqua"/>
        <w:i w:val="1"/>
        <w:iCs w:val="1"/>
        <w:position w:val="0"/>
        <w:sz w:val="24"/>
        <w:szCs w:val="24"/>
      </w:rPr>
    </w:lvl>
    <w:lvl w:ilvl="7">
      <w:start w:val="1"/>
      <w:numFmt w:val="bullet"/>
      <w:suff w:val="tab"/>
      <w:lvlText w:val="o"/>
      <w:lvlJc w:val="left"/>
      <w:pPr>
        <w:tabs>
          <w:tab w:val="num" w:pos="5760"/>
          <w:tab w:val="clear" w:pos="0"/>
        </w:tabs>
        <w:ind w:left="5760" w:hanging="360"/>
      </w:pPr>
      <w:rPr>
        <w:rFonts w:ascii="Book Antiqua" w:cs="Book Antiqua" w:hAnsi="Book Antiqua" w:eastAsia="Book Antiqua"/>
        <w:i w:val="1"/>
        <w:iCs w:val="1"/>
        <w:position w:val="0"/>
        <w:sz w:val="24"/>
        <w:szCs w:val="24"/>
      </w:rPr>
    </w:lvl>
    <w:lvl w:ilvl="8">
      <w:start w:val="1"/>
      <w:numFmt w:val="bullet"/>
      <w:suff w:val="tab"/>
      <w:lvlText w:val="▪"/>
      <w:lvlJc w:val="left"/>
      <w:pPr>
        <w:tabs>
          <w:tab w:val="num" w:pos="6480"/>
          <w:tab w:val="clear" w:pos="0"/>
        </w:tabs>
        <w:ind w:left="6480" w:hanging="360"/>
      </w:pPr>
      <w:rPr>
        <w:rFonts w:ascii="Book Antiqua" w:cs="Book Antiqua" w:hAnsi="Book Antiqua" w:eastAsia="Book Antiqua"/>
        <w:i w:val="1"/>
        <w:iCs w:val="1"/>
        <w:position w:val="0"/>
        <w:sz w:val="24"/>
        <w:szCs w:val="24"/>
      </w:rPr>
    </w:lvl>
  </w:abstractNum>
  <w:abstractNum w:abstractNumId="47">
    <w:multiLevelType w:val="multilevel"/>
    <w:styleLink w:val="List 11"/>
    <w:lvl w:ilvl="0">
      <w:start w:val="0"/>
      <w:numFmt w:val="bullet"/>
      <w:suff w:val="tab"/>
      <w:lvlText w:val="➢"/>
      <w:lvlJc w:val="left"/>
      <w:pPr>
        <w:tabs>
          <w:tab w:val="num" w:pos="567"/>
          <w:tab w:val="clear" w:pos="0"/>
        </w:tabs>
        <w:ind w:left="567" w:hanging="141"/>
      </w:pPr>
      <w:rPr>
        <w:rFonts w:ascii="Book Antiqua" w:cs="Book Antiqua" w:hAnsi="Book Antiqua" w:eastAsia="Book Antiqua"/>
        <w:i w:val="1"/>
        <w:iCs w:val="1"/>
        <w:position w:val="0"/>
        <w:sz w:val="22"/>
        <w:szCs w:val="22"/>
      </w:rPr>
    </w:lvl>
    <w:lvl w:ilvl="1">
      <w:start w:val="1"/>
      <w:numFmt w:val="bullet"/>
      <w:suff w:val="tab"/>
      <w:lvlText w:val="o"/>
      <w:lvlJc w:val="left"/>
      <w:pPr>
        <w:tabs>
          <w:tab w:val="num" w:pos="1440"/>
          <w:tab w:val="clear" w:pos="0"/>
        </w:tabs>
        <w:ind w:left="1440" w:hanging="360"/>
      </w:pPr>
      <w:rPr>
        <w:rFonts w:ascii="Book Antiqua" w:cs="Book Antiqua" w:hAnsi="Book Antiqua" w:eastAsia="Book Antiqua"/>
        <w:i w:val="1"/>
        <w:iCs w:val="1"/>
        <w:position w:val="0"/>
        <w:sz w:val="24"/>
        <w:szCs w:val="24"/>
      </w:rPr>
    </w:lvl>
    <w:lvl w:ilvl="2">
      <w:start w:val="1"/>
      <w:numFmt w:val="bullet"/>
      <w:suff w:val="tab"/>
      <w:lvlText w:val="▪"/>
      <w:lvlJc w:val="left"/>
      <w:pPr>
        <w:tabs>
          <w:tab w:val="num" w:pos="2160"/>
          <w:tab w:val="clear" w:pos="0"/>
        </w:tabs>
        <w:ind w:left="2160" w:hanging="360"/>
      </w:pPr>
      <w:rPr>
        <w:rFonts w:ascii="Book Antiqua" w:cs="Book Antiqua" w:hAnsi="Book Antiqua" w:eastAsia="Book Antiqua"/>
        <w:i w:val="1"/>
        <w:iCs w:val="1"/>
        <w:position w:val="0"/>
        <w:sz w:val="24"/>
        <w:szCs w:val="24"/>
      </w:rPr>
    </w:lvl>
    <w:lvl w:ilvl="3">
      <w:start w:val="1"/>
      <w:numFmt w:val="bullet"/>
      <w:suff w:val="tab"/>
      <w:lvlText w:val="•"/>
      <w:lvlJc w:val="left"/>
      <w:pPr>
        <w:tabs>
          <w:tab w:val="num" w:pos="2880"/>
          <w:tab w:val="clear" w:pos="0"/>
        </w:tabs>
        <w:ind w:left="2880" w:hanging="360"/>
      </w:pPr>
      <w:rPr>
        <w:rFonts w:ascii="Book Antiqua" w:cs="Book Antiqua" w:hAnsi="Book Antiqua" w:eastAsia="Book Antiqua"/>
        <w:i w:val="1"/>
        <w:iCs w:val="1"/>
        <w:position w:val="0"/>
        <w:sz w:val="24"/>
        <w:szCs w:val="24"/>
      </w:rPr>
    </w:lvl>
    <w:lvl w:ilvl="4">
      <w:start w:val="1"/>
      <w:numFmt w:val="bullet"/>
      <w:suff w:val="tab"/>
      <w:lvlText w:val="o"/>
      <w:lvlJc w:val="left"/>
      <w:pPr>
        <w:tabs>
          <w:tab w:val="num" w:pos="3600"/>
          <w:tab w:val="clear" w:pos="0"/>
        </w:tabs>
        <w:ind w:left="3600" w:hanging="360"/>
      </w:pPr>
      <w:rPr>
        <w:rFonts w:ascii="Book Antiqua" w:cs="Book Antiqua" w:hAnsi="Book Antiqua" w:eastAsia="Book Antiqua"/>
        <w:i w:val="1"/>
        <w:iCs w:val="1"/>
        <w:position w:val="0"/>
        <w:sz w:val="24"/>
        <w:szCs w:val="24"/>
      </w:rPr>
    </w:lvl>
    <w:lvl w:ilvl="5">
      <w:start w:val="1"/>
      <w:numFmt w:val="bullet"/>
      <w:suff w:val="tab"/>
      <w:lvlText w:val="▪"/>
      <w:lvlJc w:val="left"/>
      <w:pPr>
        <w:tabs>
          <w:tab w:val="num" w:pos="4320"/>
          <w:tab w:val="clear" w:pos="0"/>
        </w:tabs>
        <w:ind w:left="4320" w:hanging="360"/>
      </w:pPr>
      <w:rPr>
        <w:rFonts w:ascii="Book Antiqua" w:cs="Book Antiqua" w:hAnsi="Book Antiqua" w:eastAsia="Book Antiqua"/>
        <w:i w:val="1"/>
        <w:iCs w:val="1"/>
        <w:position w:val="0"/>
        <w:sz w:val="24"/>
        <w:szCs w:val="24"/>
      </w:rPr>
    </w:lvl>
    <w:lvl w:ilvl="6">
      <w:start w:val="1"/>
      <w:numFmt w:val="bullet"/>
      <w:suff w:val="tab"/>
      <w:lvlText w:val="•"/>
      <w:lvlJc w:val="left"/>
      <w:pPr>
        <w:tabs>
          <w:tab w:val="num" w:pos="5040"/>
          <w:tab w:val="clear" w:pos="0"/>
        </w:tabs>
        <w:ind w:left="5040" w:hanging="360"/>
      </w:pPr>
      <w:rPr>
        <w:rFonts w:ascii="Book Antiqua" w:cs="Book Antiqua" w:hAnsi="Book Antiqua" w:eastAsia="Book Antiqua"/>
        <w:i w:val="1"/>
        <w:iCs w:val="1"/>
        <w:position w:val="0"/>
        <w:sz w:val="24"/>
        <w:szCs w:val="24"/>
      </w:rPr>
    </w:lvl>
    <w:lvl w:ilvl="7">
      <w:start w:val="1"/>
      <w:numFmt w:val="bullet"/>
      <w:suff w:val="tab"/>
      <w:lvlText w:val="o"/>
      <w:lvlJc w:val="left"/>
      <w:pPr>
        <w:tabs>
          <w:tab w:val="num" w:pos="5760"/>
          <w:tab w:val="clear" w:pos="0"/>
        </w:tabs>
        <w:ind w:left="5760" w:hanging="360"/>
      </w:pPr>
      <w:rPr>
        <w:rFonts w:ascii="Book Antiqua" w:cs="Book Antiqua" w:hAnsi="Book Antiqua" w:eastAsia="Book Antiqua"/>
        <w:i w:val="1"/>
        <w:iCs w:val="1"/>
        <w:position w:val="0"/>
        <w:sz w:val="24"/>
        <w:szCs w:val="24"/>
      </w:rPr>
    </w:lvl>
    <w:lvl w:ilvl="8">
      <w:start w:val="1"/>
      <w:numFmt w:val="bullet"/>
      <w:suff w:val="tab"/>
      <w:lvlText w:val="▪"/>
      <w:lvlJc w:val="left"/>
      <w:pPr>
        <w:tabs>
          <w:tab w:val="num" w:pos="6480"/>
          <w:tab w:val="clear" w:pos="0"/>
        </w:tabs>
        <w:ind w:left="6480" w:hanging="360"/>
      </w:pPr>
      <w:rPr>
        <w:rFonts w:ascii="Book Antiqua" w:cs="Book Antiqua" w:hAnsi="Book Antiqua" w:eastAsia="Book Antiqua"/>
        <w:i w:val="1"/>
        <w:iCs w:val="1"/>
        <w:position w:val="0"/>
        <w:sz w:val="24"/>
        <w:szCs w:val="24"/>
      </w:rPr>
    </w:lvl>
  </w:abstractNum>
  <w:abstractNum w:abstractNumId="48">
    <w:multiLevelType w:val="multilevel"/>
    <w:styleLink w:val="List 11"/>
    <w:lvl w:ilvl="0">
      <w:start w:val="0"/>
      <w:numFmt w:val="bullet"/>
      <w:suff w:val="tab"/>
      <w:lvlText w:val="➢"/>
      <w:lvlJc w:val="left"/>
      <w:pPr>
        <w:tabs>
          <w:tab w:val="num" w:pos="567"/>
          <w:tab w:val="clear" w:pos="0"/>
        </w:tabs>
        <w:ind w:left="567" w:hanging="141"/>
      </w:pPr>
      <w:rPr>
        <w:rFonts w:ascii="Book Antiqua" w:cs="Book Antiqua" w:hAnsi="Book Antiqua" w:eastAsia="Book Antiqua"/>
        <w:i w:val="1"/>
        <w:iCs w:val="1"/>
        <w:position w:val="0"/>
        <w:sz w:val="22"/>
        <w:szCs w:val="22"/>
      </w:rPr>
    </w:lvl>
    <w:lvl w:ilvl="1">
      <w:start w:val="1"/>
      <w:numFmt w:val="bullet"/>
      <w:suff w:val="tab"/>
      <w:lvlText w:val="o"/>
      <w:lvlJc w:val="left"/>
      <w:pPr>
        <w:tabs>
          <w:tab w:val="num" w:pos="1440"/>
          <w:tab w:val="clear" w:pos="0"/>
        </w:tabs>
        <w:ind w:left="1440" w:hanging="360"/>
      </w:pPr>
      <w:rPr>
        <w:rFonts w:ascii="Book Antiqua" w:cs="Book Antiqua" w:hAnsi="Book Antiqua" w:eastAsia="Book Antiqua"/>
        <w:i w:val="1"/>
        <w:iCs w:val="1"/>
        <w:position w:val="0"/>
        <w:sz w:val="24"/>
        <w:szCs w:val="24"/>
      </w:rPr>
    </w:lvl>
    <w:lvl w:ilvl="2">
      <w:start w:val="1"/>
      <w:numFmt w:val="bullet"/>
      <w:suff w:val="tab"/>
      <w:lvlText w:val="▪"/>
      <w:lvlJc w:val="left"/>
      <w:pPr>
        <w:tabs>
          <w:tab w:val="num" w:pos="2160"/>
          <w:tab w:val="clear" w:pos="0"/>
        </w:tabs>
        <w:ind w:left="2160" w:hanging="360"/>
      </w:pPr>
      <w:rPr>
        <w:rFonts w:ascii="Book Antiqua" w:cs="Book Antiqua" w:hAnsi="Book Antiqua" w:eastAsia="Book Antiqua"/>
        <w:i w:val="1"/>
        <w:iCs w:val="1"/>
        <w:position w:val="0"/>
        <w:sz w:val="24"/>
        <w:szCs w:val="24"/>
      </w:rPr>
    </w:lvl>
    <w:lvl w:ilvl="3">
      <w:start w:val="1"/>
      <w:numFmt w:val="bullet"/>
      <w:suff w:val="tab"/>
      <w:lvlText w:val="•"/>
      <w:lvlJc w:val="left"/>
      <w:pPr>
        <w:tabs>
          <w:tab w:val="num" w:pos="2880"/>
          <w:tab w:val="clear" w:pos="0"/>
        </w:tabs>
        <w:ind w:left="2880" w:hanging="360"/>
      </w:pPr>
      <w:rPr>
        <w:rFonts w:ascii="Book Antiqua" w:cs="Book Antiqua" w:hAnsi="Book Antiqua" w:eastAsia="Book Antiqua"/>
        <w:i w:val="1"/>
        <w:iCs w:val="1"/>
        <w:position w:val="0"/>
        <w:sz w:val="24"/>
        <w:szCs w:val="24"/>
      </w:rPr>
    </w:lvl>
    <w:lvl w:ilvl="4">
      <w:start w:val="1"/>
      <w:numFmt w:val="bullet"/>
      <w:suff w:val="tab"/>
      <w:lvlText w:val="o"/>
      <w:lvlJc w:val="left"/>
      <w:pPr>
        <w:tabs>
          <w:tab w:val="num" w:pos="3600"/>
          <w:tab w:val="clear" w:pos="0"/>
        </w:tabs>
        <w:ind w:left="3600" w:hanging="360"/>
      </w:pPr>
      <w:rPr>
        <w:rFonts w:ascii="Book Antiqua" w:cs="Book Antiqua" w:hAnsi="Book Antiqua" w:eastAsia="Book Antiqua"/>
        <w:i w:val="1"/>
        <w:iCs w:val="1"/>
        <w:position w:val="0"/>
        <w:sz w:val="24"/>
        <w:szCs w:val="24"/>
      </w:rPr>
    </w:lvl>
    <w:lvl w:ilvl="5">
      <w:start w:val="1"/>
      <w:numFmt w:val="bullet"/>
      <w:suff w:val="tab"/>
      <w:lvlText w:val="▪"/>
      <w:lvlJc w:val="left"/>
      <w:pPr>
        <w:tabs>
          <w:tab w:val="num" w:pos="4320"/>
          <w:tab w:val="clear" w:pos="0"/>
        </w:tabs>
        <w:ind w:left="4320" w:hanging="360"/>
      </w:pPr>
      <w:rPr>
        <w:rFonts w:ascii="Book Antiqua" w:cs="Book Antiqua" w:hAnsi="Book Antiqua" w:eastAsia="Book Antiqua"/>
        <w:i w:val="1"/>
        <w:iCs w:val="1"/>
        <w:position w:val="0"/>
        <w:sz w:val="24"/>
        <w:szCs w:val="24"/>
      </w:rPr>
    </w:lvl>
    <w:lvl w:ilvl="6">
      <w:start w:val="1"/>
      <w:numFmt w:val="bullet"/>
      <w:suff w:val="tab"/>
      <w:lvlText w:val="•"/>
      <w:lvlJc w:val="left"/>
      <w:pPr>
        <w:tabs>
          <w:tab w:val="num" w:pos="5040"/>
          <w:tab w:val="clear" w:pos="0"/>
        </w:tabs>
        <w:ind w:left="5040" w:hanging="360"/>
      </w:pPr>
      <w:rPr>
        <w:rFonts w:ascii="Book Antiqua" w:cs="Book Antiqua" w:hAnsi="Book Antiqua" w:eastAsia="Book Antiqua"/>
        <w:i w:val="1"/>
        <w:iCs w:val="1"/>
        <w:position w:val="0"/>
        <w:sz w:val="24"/>
        <w:szCs w:val="24"/>
      </w:rPr>
    </w:lvl>
    <w:lvl w:ilvl="7">
      <w:start w:val="1"/>
      <w:numFmt w:val="bullet"/>
      <w:suff w:val="tab"/>
      <w:lvlText w:val="o"/>
      <w:lvlJc w:val="left"/>
      <w:pPr>
        <w:tabs>
          <w:tab w:val="num" w:pos="5760"/>
          <w:tab w:val="clear" w:pos="0"/>
        </w:tabs>
        <w:ind w:left="5760" w:hanging="360"/>
      </w:pPr>
      <w:rPr>
        <w:rFonts w:ascii="Book Antiqua" w:cs="Book Antiqua" w:hAnsi="Book Antiqua" w:eastAsia="Book Antiqua"/>
        <w:i w:val="1"/>
        <w:iCs w:val="1"/>
        <w:position w:val="0"/>
        <w:sz w:val="24"/>
        <w:szCs w:val="24"/>
      </w:rPr>
    </w:lvl>
    <w:lvl w:ilvl="8">
      <w:start w:val="1"/>
      <w:numFmt w:val="bullet"/>
      <w:suff w:val="tab"/>
      <w:lvlText w:val="▪"/>
      <w:lvlJc w:val="left"/>
      <w:pPr>
        <w:tabs>
          <w:tab w:val="num" w:pos="6480"/>
          <w:tab w:val="clear" w:pos="0"/>
        </w:tabs>
        <w:ind w:left="6480" w:hanging="360"/>
      </w:pPr>
      <w:rPr>
        <w:rFonts w:ascii="Book Antiqua" w:cs="Book Antiqua" w:hAnsi="Book Antiqua" w:eastAsia="Book Antiqua"/>
        <w:i w:val="1"/>
        <w:iCs w:val="1"/>
        <w:position w:val="0"/>
        <w:sz w:val="24"/>
        <w:szCs w:val="24"/>
      </w:rPr>
    </w:lvl>
  </w:abstractNum>
  <w:abstractNum w:abstractNumId="49">
    <w:multiLevelType w:val="multilevel"/>
    <w:lvl w:ilvl="0">
      <w:start w:val="1"/>
      <w:numFmt w:val="decimal"/>
      <w:suff w:val="tab"/>
      <w:lvlText w:val="%1)"/>
      <w:lvlJc w:val="left"/>
      <w:pPr/>
      <w:rPr>
        <w:rFonts w:ascii="Book Antiqua Bold" w:cs="Book Antiqua Bold" w:hAnsi="Book Antiqua Bold" w:eastAsia="Book Antiqua Bold"/>
        <w:b w:val="1"/>
        <w:bCs w:val="1"/>
        <w:position w:val="0"/>
      </w:rPr>
    </w:lvl>
    <w:lvl w:ilvl="1">
      <w:start w:val="1"/>
      <w:numFmt w:val="lowerLetter"/>
      <w:suff w:val="tab"/>
      <w:lvlText w:val="%2."/>
      <w:lvlJc w:val="left"/>
      <w:pPr/>
      <w:rPr>
        <w:rFonts w:ascii="Book Antiqua Bold" w:cs="Book Antiqua Bold" w:hAnsi="Book Antiqua Bold" w:eastAsia="Book Antiqua Bold"/>
        <w:b w:val="1"/>
        <w:bCs w:val="1"/>
        <w:position w:val="0"/>
      </w:rPr>
    </w:lvl>
    <w:lvl w:ilvl="2">
      <w:start w:val="1"/>
      <w:numFmt w:val="lowerRoman"/>
      <w:suff w:val="tab"/>
      <w:lvlText w:val="%1.%2.%3."/>
      <w:lvlJc w:val="left"/>
      <w:pPr/>
      <w:rPr>
        <w:rFonts w:ascii="Book Antiqua Bold" w:cs="Book Antiqua Bold" w:hAnsi="Book Antiqua Bold" w:eastAsia="Book Antiqua Bold"/>
        <w:b w:val="1"/>
        <w:bCs w:val="1"/>
        <w:position w:val="0"/>
      </w:rPr>
    </w:lvl>
    <w:lvl w:ilvl="3">
      <w:start w:val="1"/>
      <w:numFmt w:val="decimal"/>
      <w:suff w:val="tab"/>
      <w:lvlText w:val="%1.%2.%3.%4."/>
      <w:lvlJc w:val="left"/>
      <w:pPr/>
      <w:rPr>
        <w:rFonts w:ascii="Book Antiqua Bold" w:cs="Book Antiqua Bold" w:hAnsi="Book Antiqua Bold" w:eastAsia="Book Antiqua Bold"/>
        <w:b w:val="1"/>
        <w:bCs w:val="1"/>
        <w:position w:val="0"/>
      </w:rPr>
    </w:lvl>
    <w:lvl w:ilvl="4">
      <w:start w:val="1"/>
      <w:numFmt w:val="lowerLetter"/>
      <w:suff w:val="tab"/>
      <w:lvlText w:val="%1.%2.%3.%4.%5."/>
      <w:lvlJc w:val="left"/>
      <w:pPr/>
      <w:rPr>
        <w:rFonts w:ascii="Book Antiqua Bold" w:cs="Book Antiqua Bold" w:hAnsi="Book Antiqua Bold" w:eastAsia="Book Antiqua Bold"/>
        <w:b w:val="1"/>
        <w:bCs w:val="1"/>
        <w:position w:val="0"/>
      </w:rPr>
    </w:lvl>
    <w:lvl w:ilvl="5">
      <w:start w:val="1"/>
      <w:numFmt w:val="lowerRoman"/>
      <w:suff w:val="tab"/>
      <w:lvlText w:val="%1.%2.%3.%4.%5.%6."/>
      <w:lvlJc w:val="left"/>
      <w:pPr/>
      <w:rPr>
        <w:rFonts w:ascii="Book Antiqua Bold" w:cs="Book Antiqua Bold" w:hAnsi="Book Antiqua Bold" w:eastAsia="Book Antiqua Bold"/>
        <w:b w:val="1"/>
        <w:bCs w:val="1"/>
        <w:position w:val="0"/>
      </w:rPr>
    </w:lvl>
    <w:lvl w:ilvl="6">
      <w:start w:val="1"/>
      <w:numFmt w:val="decimal"/>
      <w:suff w:val="tab"/>
      <w:lvlText w:val="%1.%2.%3.%4.%5.%6.%7."/>
      <w:lvlJc w:val="left"/>
      <w:pPr/>
      <w:rPr>
        <w:rFonts w:ascii="Book Antiqua Bold" w:cs="Book Antiqua Bold" w:hAnsi="Book Antiqua Bold" w:eastAsia="Book Antiqua Bold"/>
        <w:b w:val="1"/>
        <w:bCs w:val="1"/>
        <w:position w:val="0"/>
      </w:rPr>
    </w:lvl>
    <w:lvl w:ilvl="7">
      <w:start w:val="1"/>
      <w:numFmt w:val="lowerLetter"/>
      <w:suff w:val="tab"/>
      <w:lvlText w:val="%1.%2.%3.%4.%5.%6.%7.%8."/>
      <w:lvlJc w:val="left"/>
      <w:pPr/>
      <w:rPr>
        <w:rFonts w:ascii="Book Antiqua Bold" w:cs="Book Antiqua Bold" w:hAnsi="Book Antiqua Bold" w:eastAsia="Book Antiqua Bold"/>
        <w:b w:val="1"/>
        <w:bCs w:val="1"/>
        <w:position w:val="0"/>
      </w:rPr>
    </w:lvl>
    <w:lvl w:ilvl="8">
      <w:start w:val="1"/>
      <w:numFmt w:val="lowerRoman"/>
      <w:suff w:val="tab"/>
      <w:lvlText w:val="%1.%2.%3.%4.%5.%6.%7.%8.%9."/>
      <w:lvlJc w:val="left"/>
      <w:pPr/>
      <w:rPr>
        <w:rFonts w:ascii="Book Antiqua Bold" w:cs="Book Antiqua Bold" w:hAnsi="Book Antiqua Bold" w:eastAsia="Book Antiqua Bold"/>
        <w:b w:val="1"/>
        <w:bCs w:val="1"/>
        <w:position w:val="0"/>
      </w:rPr>
    </w:lvl>
  </w:abstractNum>
  <w:abstractNum w:abstractNumId="50">
    <w:multiLevelType w:val="multilevel"/>
    <w:lvl w:ilvl="0">
      <w:start w:val="1"/>
      <w:numFmt w:val="decimal"/>
      <w:suff w:val="tab"/>
      <w:lvlText w:val="%1)"/>
      <w:lvlJc w:val="left"/>
      <w:pPr/>
      <w:rPr>
        <w:position w:val="0"/>
      </w:rPr>
    </w:lvl>
    <w:lvl w:ilvl="1">
      <w:start w:val="1"/>
      <w:numFmt w:val="lowerLetter"/>
      <w:suff w:val="tab"/>
      <w:lvlText w:val="%2."/>
      <w:lvlJc w:val="left"/>
      <w:pPr/>
      <w:rPr>
        <w:position w:val="0"/>
      </w:rPr>
    </w:lvl>
    <w:lvl w:ilvl="2">
      <w:start w:val="1"/>
      <w:numFmt w:val="lowerRoman"/>
      <w:suff w:val="tab"/>
      <w:lvlText w:val="%1.%2.%3."/>
      <w:lvlJc w:val="left"/>
      <w:pPr/>
      <w:rPr>
        <w:position w:val="0"/>
      </w:rPr>
    </w:lvl>
    <w:lvl w:ilvl="3">
      <w:start w:val="1"/>
      <w:numFmt w:val="decimal"/>
      <w:suff w:val="tab"/>
      <w:lvlText w:val="%1.%2.%3.%4."/>
      <w:lvlJc w:val="left"/>
      <w:pPr/>
      <w:rPr>
        <w:position w:val="0"/>
      </w:rPr>
    </w:lvl>
    <w:lvl w:ilvl="4">
      <w:start w:val="1"/>
      <w:numFmt w:val="lowerLetter"/>
      <w:suff w:val="tab"/>
      <w:lvlText w:val="%1.%2.%3.%4.%5."/>
      <w:lvlJc w:val="left"/>
      <w:pPr/>
      <w:rPr>
        <w:position w:val="0"/>
      </w:rPr>
    </w:lvl>
    <w:lvl w:ilvl="5">
      <w:start w:val="1"/>
      <w:numFmt w:val="lowerRoman"/>
      <w:suff w:val="tab"/>
      <w:lvlText w:val="%1.%2.%3.%4.%5.%6."/>
      <w:lvlJc w:val="left"/>
      <w:pPr/>
      <w:rPr>
        <w:position w:val="0"/>
      </w:rPr>
    </w:lvl>
    <w:lvl w:ilvl="6">
      <w:start w:val="1"/>
      <w:numFmt w:val="decimal"/>
      <w:suff w:val="tab"/>
      <w:lvlText w:val="%1.%2.%3.%4.%5.%6.%7."/>
      <w:lvlJc w:val="left"/>
      <w:pPr/>
      <w:rPr>
        <w:position w:val="0"/>
      </w:rPr>
    </w:lvl>
    <w:lvl w:ilvl="7">
      <w:start w:val="1"/>
      <w:numFmt w:val="lowerLetter"/>
      <w:suff w:val="tab"/>
      <w:lvlText w:val="%1.%2.%3.%4.%5.%6.%7.%8."/>
      <w:lvlJc w:val="left"/>
      <w:pPr/>
      <w:rPr>
        <w:position w:val="0"/>
      </w:rPr>
    </w:lvl>
    <w:lvl w:ilvl="8">
      <w:start w:val="1"/>
      <w:numFmt w:val="lowerRoman"/>
      <w:suff w:val="tab"/>
      <w:lvlText w:val="%1.%2.%3.%4.%5.%6.%7.%8.%9."/>
      <w:lvlJc w:val="left"/>
      <w:pPr/>
      <w:rPr>
        <w:position w:val="0"/>
      </w:rPr>
    </w:lvl>
  </w:abstractNum>
  <w:abstractNum w:abstractNumId="51">
    <w:multiLevelType w:val="multilevel"/>
    <w:styleLink w:val="List 12"/>
    <w:lvl w:ilvl="0">
      <w:start w:val="1"/>
      <w:numFmt w:val="decimal"/>
      <w:suff w:val="tab"/>
      <w:lvlText w:val="%1)"/>
      <w:lvlJc w:val="left"/>
      <w:pPr/>
      <w:rPr>
        <w:rFonts w:ascii="Book Antiqua" w:cs="Book Antiqua" w:hAnsi="Book Antiqua" w:eastAsia="Book Antiqua"/>
        <w:b w:val="1"/>
        <w:bCs w:val="1"/>
        <w:position w:val="0"/>
      </w:rPr>
    </w:lvl>
    <w:lvl w:ilvl="1">
      <w:start w:val="1"/>
      <w:numFmt w:val="lowerLetter"/>
      <w:suff w:val="tab"/>
      <w:lvlText w:val="%2."/>
      <w:lvlJc w:val="left"/>
      <w:pPr/>
      <w:rPr>
        <w:rFonts w:ascii="Book Antiqua Bold" w:cs="Book Antiqua Bold" w:hAnsi="Book Antiqua Bold" w:eastAsia="Book Antiqua Bold"/>
        <w:b w:val="1"/>
        <w:bCs w:val="1"/>
        <w:position w:val="0"/>
      </w:rPr>
    </w:lvl>
    <w:lvl w:ilvl="2">
      <w:start w:val="1"/>
      <w:numFmt w:val="lowerRoman"/>
      <w:suff w:val="tab"/>
      <w:lvlText w:val="%1.%2.%3."/>
      <w:lvlJc w:val="left"/>
      <w:pPr/>
      <w:rPr>
        <w:rFonts w:ascii="Book Antiqua Bold" w:cs="Book Antiqua Bold" w:hAnsi="Book Antiqua Bold" w:eastAsia="Book Antiqua Bold"/>
        <w:b w:val="1"/>
        <w:bCs w:val="1"/>
        <w:position w:val="0"/>
      </w:rPr>
    </w:lvl>
    <w:lvl w:ilvl="3">
      <w:start w:val="1"/>
      <w:numFmt w:val="decimal"/>
      <w:suff w:val="tab"/>
      <w:lvlText w:val="%1.%2.%3.%4."/>
      <w:lvlJc w:val="left"/>
      <w:pPr/>
      <w:rPr>
        <w:rFonts w:ascii="Book Antiqua Bold" w:cs="Book Antiqua Bold" w:hAnsi="Book Antiqua Bold" w:eastAsia="Book Antiqua Bold"/>
        <w:b w:val="1"/>
        <w:bCs w:val="1"/>
        <w:position w:val="0"/>
      </w:rPr>
    </w:lvl>
    <w:lvl w:ilvl="4">
      <w:start w:val="1"/>
      <w:numFmt w:val="lowerLetter"/>
      <w:suff w:val="tab"/>
      <w:lvlText w:val="%1.%2.%3.%4.%5."/>
      <w:lvlJc w:val="left"/>
      <w:pPr/>
      <w:rPr>
        <w:rFonts w:ascii="Book Antiqua Bold" w:cs="Book Antiqua Bold" w:hAnsi="Book Antiqua Bold" w:eastAsia="Book Antiqua Bold"/>
        <w:b w:val="1"/>
        <w:bCs w:val="1"/>
        <w:position w:val="0"/>
      </w:rPr>
    </w:lvl>
    <w:lvl w:ilvl="5">
      <w:start w:val="1"/>
      <w:numFmt w:val="lowerRoman"/>
      <w:suff w:val="tab"/>
      <w:lvlText w:val="%1.%2.%3.%4.%5.%6."/>
      <w:lvlJc w:val="left"/>
      <w:pPr/>
      <w:rPr>
        <w:rFonts w:ascii="Book Antiqua Bold" w:cs="Book Antiqua Bold" w:hAnsi="Book Antiqua Bold" w:eastAsia="Book Antiqua Bold"/>
        <w:b w:val="1"/>
        <w:bCs w:val="1"/>
        <w:position w:val="0"/>
      </w:rPr>
    </w:lvl>
    <w:lvl w:ilvl="6">
      <w:start w:val="1"/>
      <w:numFmt w:val="decimal"/>
      <w:suff w:val="tab"/>
      <w:lvlText w:val="%1.%2.%3.%4.%5.%6.%7."/>
      <w:lvlJc w:val="left"/>
      <w:pPr/>
      <w:rPr>
        <w:rFonts w:ascii="Book Antiqua Bold" w:cs="Book Antiqua Bold" w:hAnsi="Book Antiqua Bold" w:eastAsia="Book Antiqua Bold"/>
        <w:b w:val="1"/>
        <w:bCs w:val="1"/>
        <w:position w:val="0"/>
      </w:rPr>
    </w:lvl>
    <w:lvl w:ilvl="7">
      <w:start w:val="1"/>
      <w:numFmt w:val="lowerLetter"/>
      <w:suff w:val="tab"/>
      <w:lvlText w:val="%1.%2.%3.%4.%5.%6.%7.%8."/>
      <w:lvlJc w:val="left"/>
      <w:pPr/>
      <w:rPr>
        <w:rFonts w:ascii="Book Antiqua Bold" w:cs="Book Antiqua Bold" w:hAnsi="Book Antiqua Bold" w:eastAsia="Book Antiqua Bold"/>
        <w:b w:val="1"/>
        <w:bCs w:val="1"/>
        <w:position w:val="0"/>
      </w:rPr>
    </w:lvl>
    <w:lvl w:ilvl="8">
      <w:start w:val="1"/>
      <w:numFmt w:val="lowerRoman"/>
      <w:suff w:val="tab"/>
      <w:lvlText w:val="%1.%2.%3.%4.%5.%6.%7.%8.%9."/>
      <w:lvlJc w:val="left"/>
      <w:pPr/>
      <w:rPr>
        <w:rFonts w:ascii="Book Antiqua Bold" w:cs="Book Antiqua Bold" w:hAnsi="Book Antiqua Bold" w:eastAsia="Book Antiqua Bold"/>
        <w:b w:val="1"/>
        <w:bCs w:val="1"/>
        <w:position w:val="0"/>
      </w:rPr>
    </w:lvl>
  </w:abstractNum>
  <w:abstractNum w:abstractNumId="52">
    <w:multiLevelType w:val="multilevel"/>
    <w:lvl w:ilvl="0">
      <w:start w:val="1"/>
      <w:numFmt w:val="bullet"/>
      <w:suff w:val="tab"/>
      <w:lvlText w:val="-"/>
      <w:lvlJc w:val="left"/>
      <w:pPr/>
      <w:rPr>
        <w:rFonts w:ascii="Book Antiqua" w:cs="Book Antiqua" w:hAnsi="Book Antiqua" w:eastAsia="Book Antiqua"/>
        <w:position w:val="0"/>
      </w:rPr>
    </w:lvl>
    <w:lvl w:ilvl="1">
      <w:start w:val="1"/>
      <w:numFmt w:val="bullet"/>
      <w:suff w:val="tab"/>
      <w:lvlText w:val="o"/>
      <w:lvlJc w:val="left"/>
      <w:pPr/>
      <w:rPr>
        <w:rFonts w:ascii="Book Antiqua" w:cs="Book Antiqua" w:hAnsi="Book Antiqua" w:eastAsia="Book Antiqua"/>
        <w:position w:val="0"/>
      </w:rPr>
    </w:lvl>
    <w:lvl w:ilvl="2">
      <w:start w:val="1"/>
      <w:numFmt w:val="bullet"/>
      <w:suff w:val="tab"/>
      <w:lvlText w:val="▪"/>
      <w:lvlJc w:val="left"/>
      <w:pPr/>
      <w:rPr>
        <w:rFonts w:ascii="Book Antiqua" w:cs="Book Antiqua" w:hAnsi="Book Antiqua" w:eastAsia="Book Antiqua"/>
        <w:position w:val="0"/>
      </w:rPr>
    </w:lvl>
    <w:lvl w:ilvl="3">
      <w:start w:val="1"/>
      <w:numFmt w:val="bullet"/>
      <w:suff w:val="tab"/>
      <w:lvlText w:val="•"/>
      <w:lvlJc w:val="left"/>
      <w:pPr/>
      <w:rPr>
        <w:rFonts w:ascii="Book Antiqua" w:cs="Book Antiqua" w:hAnsi="Book Antiqua" w:eastAsia="Book Antiqua"/>
        <w:position w:val="0"/>
      </w:rPr>
    </w:lvl>
    <w:lvl w:ilvl="4">
      <w:start w:val="1"/>
      <w:numFmt w:val="bullet"/>
      <w:suff w:val="tab"/>
      <w:lvlText w:val="o"/>
      <w:lvlJc w:val="left"/>
      <w:pPr/>
      <w:rPr>
        <w:rFonts w:ascii="Book Antiqua" w:cs="Book Antiqua" w:hAnsi="Book Antiqua" w:eastAsia="Book Antiqua"/>
        <w:position w:val="0"/>
      </w:rPr>
    </w:lvl>
    <w:lvl w:ilvl="5">
      <w:start w:val="1"/>
      <w:numFmt w:val="bullet"/>
      <w:suff w:val="tab"/>
      <w:lvlText w:val="▪"/>
      <w:lvlJc w:val="left"/>
      <w:pPr/>
      <w:rPr>
        <w:rFonts w:ascii="Book Antiqua" w:cs="Book Antiqua" w:hAnsi="Book Antiqua" w:eastAsia="Book Antiqua"/>
        <w:position w:val="0"/>
      </w:rPr>
    </w:lvl>
    <w:lvl w:ilvl="6">
      <w:start w:val="1"/>
      <w:numFmt w:val="bullet"/>
      <w:suff w:val="tab"/>
      <w:lvlText w:val="•"/>
      <w:lvlJc w:val="left"/>
      <w:pPr/>
      <w:rPr>
        <w:rFonts w:ascii="Book Antiqua" w:cs="Book Antiqua" w:hAnsi="Book Antiqua" w:eastAsia="Book Antiqua"/>
        <w:position w:val="0"/>
      </w:rPr>
    </w:lvl>
    <w:lvl w:ilvl="7">
      <w:start w:val="1"/>
      <w:numFmt w:val="bullet"/>
      <w:suff w:val="tab"/>
      <w:lvlText w:val="o"/>
      <w:lvlJc w:val="left"/>
      <w:pPr/>
      <w:rPr>
        <w:rFonts w:ascii="Book Antiqua" w:cs="Book Antiqua" w:hAnsi="Book Antiqua" w:eastAsia="Book Antiqua"/>
        <w:position w:val="0"/>
      </w:rPr>
    </w:lvl>
    <w:lvl w:ilvl="8">
      <w:start w:val="1"/>
      <w:numFmt w:val="bullet"/>
      <w:suff w:val="tab"/>
      <w:lvlText w:val="▪"/>
      <w:lvlJc w:val="left"/>
      <w:pPr/>
      <w:rPr>
        <w:rFonts w:ascii="Book Antiqua" w:cs="Book Antiqua" w:hAnsi="Book Antiqua" w:eastAsia="Book Antiqua"/>
        <w:position w:val="0"/>
      </w:rPr>
    </w:lvl>
  </w:abstractNum>
  <w:abstractNum w:abstractNumId="53">
    <w:multiLevelType w:val="multilevel"/>
    <w:lvl w:ilvl="0">
      <w:start w:val="1"/>
      <w:numFmt w:val="bullet"/>
      <w:suff w:val="tab"/>
      <w:lvlText w:val="-"/>
      <w:lvlJc w:val="left"/>
      <w:pPr/>
      <w:rPr>
        <w:position w:val="0"/>
      </w:rPr>
    </w:lvl>
    <w:lvl w:ilvl="1">
      <w:start w:val="1"/>
      <w:numFmt w:val="bullet"/>
      <w:suff w:val="tab"/>
      <w:lvlText w:val="o"/>
      <w:lvlJc w:val="left"/>
      <w:pPr/>
      <w:rPr>
        <w:position w:val="0"/>
      </w:rPr>
    </w:lvl>
    <w:lvl w:ilvl="2">
      <w:start w:val="1"/>
      <w:numFmt w:val="bullet"/>
      <w:suff w:val="tab"/>
      <w:lvlText w:val="▪"/>
      <w:lvlJc w:val="left"/>
      <w:pPr/>
      <w:rPr>
        <w:position w:val="0"/>
      </w:rPr>
    </w:lvl>
    <w:lvl w:ilvl="3">
      <w:start w:val="1"/>
      <w:numFmt w:val="bullet"/>
      <w:suff w:val="tab"/>
      <w:lvlText w:val="•"/>
      <w:lvlJc w:val="left"/>
      <w:pPr/>
      <w:rPr>
        <w:position w:val="0"/>
      </w:rPr>
    </w:lvl>
    <w:lvl w:ilvl="4">
      <w:start w:val="1"/>
      <w:numFmt w:val="bullet"/>
      <w:suff w:val="tab"/>
      <w:lvlText w:val="o"/>
      <w:lvlJc w:val="left"/>
      <w:pPr/>
      <w:rPr>
        <w:position w:val="0"/>
      </w:rPr>
    </w:lvl>
    <w:lvl w:ilvl="5">
      <w:start w:val="1"/>
      <w:numFmt w:val="bullet"/>
      <w:suff w:val="tab"/>
      <w:lvlText w:val="▪"/>
      <w:lvlJc w:val="left"/>
      <w:pPr/>
      <w:rPr>
        <w:position w:val="0"/>
      </w:rPr>
    </w:lvl>
    <w:lvl w:ilvl="6">
      <w:start w:val="1"/>
      <w:numFmt w:val="bullet"/>
      <w:suff w:val="tab"/>
      <w:lvlText w:val="•"/>
      <w:lvlJc w:val="left"/>
      <w:pPr/>
      <w:rPr>
        <w:position w:val="0"/>
      </w:rPr>
    </w:lvl>
    <w:lvl w:ilvl="7">
      <w:start w:val="1"/>
      <w:numFmt w:val="bullet"/>
      <w:suff w:val="tab"/>
      <w:lvlText w:val="o"/>
      <w:lvlJc w:val="left"/>
      <w:pPr/>
      <w:rPr>
        <w:position w:val="0"/>
      </w:rPr>
    </w:lvl>
    <w:lvl w:ilvl="8">
      <w:start w:val="1"/>
      <w:numFmt w:val="bullet"/>
      <w:suff w:val="tab"/>
      <w:lvlText w:val="▪"/>
      <w:lvlJc w:val="left"/>
      <w:pPr/>
      <w:rPr>
        <w:position w:val="0"/>
      </w:rPr>
    </w:lvl>
  </w:abstractNum>
  <w:abstractNum w:abstractNumId="54">
    <w:multiLevelType w:val="multilevel"/>
    <w:styleLink w:val="List 13"/>
    <w:lvl w:ilvl="0">
      <w:start w:val="0"/>
      <w:numFmt w:val="bullet"/>
      <w:suff w:val="tab"/>
      <w:lvlText w:val="-"/>
      <w:lvlJc w:val="left"/>
      <w:pPr/>
      <w:rPr>
        <w:rFonts w:ascii="Book Antiqua" w:cs="Book Antiqua" w:hAnsi="Book Antiqua" w:eastAsia="Book Antiqua"/>
        <w:position w:val="0"/>
      </w:rPr>
    </w:lvl>
    <w:lvl w:ilvl="1">
      <w:start w:val="1"/>
      <w:numFmt w:val="bullet"/>
      <w:suff w:val="tab"/>
      <w:lvlText w:val="o"/>
      <w:lvlJc w:val="left"/>
      <w:pPr/>
      <w:rPr>
        <w:rFonts w:ascii="Book Antiqua" w:cs="Book Antiqua" w:hAnsi="Book Antiqua" w:eastAsia="Book Antiqua"/>
        <w:position w:val="0"/>
      </w:rPr>
    </w:lvl>
    <w:lvl w:ilvl="2">
      <w:start w:val="1"/>
      <w:numFmt w:val="bullet"/>
      <w:suff w:val="tab"/>
      <w:lvlText w:val="▪"/>
      <w:lvlJc w:val="left"/>
      <w:pPr/>
      <w:rPr>
        <w:rFonts w:ascii="Book Antiqua" w:cs="Book Antiqua" w:hAnsi="Book Antiqua" w:eastAsia="Book Antiqua"/>
        <w:position w:val="0"/>
      </w:rPr>
    </w:lvl>
    <w:lvl w:ilvl="3">
      <w:start w:val="1"/>
      <w:numFmt w:val="bullet"/>
      <w:suff w:val="tab"/>
      <w:lvlText w:val="•"/>
      <w:lvlJc w:val="left"/>
      <w:pPr/>
      <w:rPr>
        <w:rFonts w:ascii="Book Antiqua" w:cs="Book Antiqua" w:hAnsi="Book Antiqua" w:eastAsia="Book Antiqua"/>
        <w:position w:val="0"/>
      </w:rPr>
    </w:lvl>
    <w:lvl w:ilvl="4">
      <w:start w:val="1"/>
      <w:numFmt w:val="bullet"/>
      <w:suff w:val="tab"/>
      <w:lvlText w:val="o"/>
      <w:lvlJc w:val="left"/>
      <w:pPr/>
      <w:rPr>
        <w:rFonts w:ascii="Book Antiqua" w:cs="Book Antiqua" w:hAnsi="Book Antiqua" w:eastAsia="Book Antiqua"/>
        <w:position w:val="0"/>
      </w:rPr>
    </w:lvl>
    <w:lvl w:ilvl="5">
      <w:start w:val="1"/>
      <w:numFmt w:val="bullet"/>
      <w:suff w:val="tab"/>
      <w:lvlText w:val="▪"/>
      <w:lvlJc w:val="left"/>
      <w:pPr/>
      <w:rPr>
        <w:rFonts w:ascii="Book Antiqua" w:cs="Book Antiqua" w:hAnsi="Book Antiqua" w:eastAsia="Book Antiqua"/>
        <w:position w:val="0"/>
      </w:rPr>
    </w:lvl>
    <w:lvl w:ilvl="6">
      <w:start w:val="1"/>
      <w:numFmt w:val="bullet"/>
      <w:suff w:val="tab"/>
      <w:lvlText w:val="•"/>
      <w:lvlJc w:val="left"/>
      <w:pPr/>
      <w:rPr>
        <w:rFonts w:ascii="Book Antiqua" w:cs="Book Antiqua" w:hAnsi="Book Antiqua" w:eastAsia="Book Antiqua"/>
        <w:position w:val="0"/>
      </w:rPr>
    </w:lvl>
    <w:lvl w:ilvl="7">
      <w:start w:val="1"/>
      <w:numFmt w:val="bullet"/>
      <w:suff w:val="tab"/>
      <w:lvlText w:val="o"/>
      <w:lvlJc w:val="left"/>
      <w:pPr/>
      <w:rPr>
        <w:rFonts w:ascii="Book Antiqua" w:cs="Book Antiqua" w:hAnsi="Book Antiqua" w:eastAsia="Book Antiqua"/>
        <w:position w:val="0"/>
      </w:rPr>
    </w:lvl>
    <w:lvl w:ilvl="8">
      <w:start w:val="1"/>
      <w:numFmt w:val="bullet"/>
      <w:suff w:val="tab"/>
      <w:lvlText w:val="▪"/>
      <w:lvlJc w:val="left"/>
      <w:pPr/>
      <w:rPr>
        <w:rFonts w:ascii="Book Antiqua" w:cs="Book Antiqua" w:hAnsi="Book Antiqua" w:eastAsia="Book Antiqua"/>
        <w:position w:val="0"/>
      </w:rPr>
    </w:lvl>
  </w:abstractNum>
  <w:abstractNum w:abstractNumId="55">
    <w:multiLevelType w:val="multilevel"/>
    <w:styleLink w:val="List 13"/>
    <w:lvl w:ilvl="0">
      <w:start w:val="0"/>
      <w:numFmt w:val="bullet"/>
      <w:suff w:val="tab"/>
      <w:lvlText w:val="-"/>
      <w:lvlJc w:val="left"/>
      <w:pPr/>
      <w:rPr>
        <w:rFonts w:ascii="Book Antiqua" w:cs="Book Antiqua" w:hAnsi="Book Antiqua" w:eastAsia="Book Antiqua"/>
        <w:position w:val="0"/>
      </w:rPr>
    </w:lvl>
    <w:lvl w:ilvl="1">
      <w:start w:val="1"/>
      <w:numFmt w:val="bullet"/>
      <w:suff w:val="tab"/>
      <w:lvlText w:val="o"/>
      <w:lvlJc w:val="left"/>
      <w:pPr/>
      <w:rPr>
        <w:rFonts w:ascii="Book Antiqua" w:cs="Book Antiqua" w:hAnsi="Book Antiqua" w:eastAsia="Book Antiqua"/>
        <w:position w:val="0"/>
      </w:rPr>
    </w:lvl>
    <w:lvl w:ilvl="2">
      <w:start w:val="1"/>
      <w:numFmt w:val="bullet"/>
      <w:suff w:val="tab"/>
      <w:lvlText w:val="▪"/>
      <w:lvlJc w:val="left"/>
      <w:pPr/>
      <w:rPr>
        <w:rFonts w:ascii="Book Antiqua" w:cs="Book Antiqua" w:hAnsi="Book Antiqua" w:eastAsia="Book Antiqua"/>
        <w:position w:val="0"/>
      </w:rPr>
    </w:lvl>
    <w:lvl w:ilvl="3">
      <w:start w:val="1"/>
      <w:numFmt w:val="bullet"/>
      <w:suff w:val="tab"/>
      <w:lvlText w:val="•"/>
      <w:lvlJc w:val="left"/>
      <w:pPr/>
      <w:rPr>
        <w:rFonts w:ascii="Book Antiqua" w:cs="Book Antiqua" w:hAnsi="Book Antiqua" w:eastAsia="Book Antiqua"/>
        <w:position w:val="0"/>
      </w:rPr>
    </w:lvl>
    <w:lvl w:ilvl="4">
      <w:start w:val="1"/>
      <w:numFmt w:val="bullet"/>
      <w:suff w:val="tab"/>
      <w:lvlText w:val="o"/>
      <w:lvlJc w:val="left"/>
      <w:pPr/>
      <w:rPr>
        <w:rFonts w:ascii="Book Antiqua" w:cs="Book Antiqua" w:hAnsi="Book Antiqua" w:eastAsia="Book Antiqua"/>
        <w:position w:val="0"/>
      </w:rPr>
    </w:lvl>
    <w:lvl w:ilvl="5">
      <w:start w:val="1"/>
      <w:numFmt w:val="bullet"/>
      <w:suff w:val="tab"/>
      <w:lvlText w:val="▪"/>
      <w:lvlJc w:val="left"/>
      <w:pPr/>
      <w:rPr>
        <w:rFonts w:ascii="Book Antiqua" w:cs="Book Antiqua" w:hAnsi="Book Antiqua" w:eastAsia="Book Antiqua"/>
        <w:position w:val="0"/>
      </w:rPr>
    </w:lvl>
    <w:lvl w:ilvl="6">
      <w:start w:val="1"/>
      <w:numFmt w:val="bullet"/>
      <w:suff w:val="tab"/>
      <w:lvlText w:val="•"/>
      <w:lvlJc w:val="left"/>
      <w:pPr/>
      <w:rPr>
        <w:rFonts w:ascii="Book Antiqua" w:cs="Book Antiqua" w:hAnsi="Book Antiqua" w:eastAsia="Book Antiqua"/>
        <w:position w:val="0"/>
      </w:rPr>
    </w:lvl>
    <w:lvl w:ilvl="7">
      <w:start w:val="1"/>
      <w:numFmt w:val="bullet"/>
      <w:suff w:val="tab"/>
      <w:lvlText w:val="o"/>
      <w:lvlJc w:val="left"/>
      <w:pPr/>
      <w:rPr>
        <w:rFonts w:ascii="Book Antiqua" w:cs="Book Antiqua" w:hAnsi="Book Antiqua" w:eastAsia="Book Antiqua"/>
        <w:position w:val="0"/>
      </w:rPr>
    </w:lvl>
    <w:lvl w:ilvl="8">
      <w:start w:val="1"/>
      <w:numFmt w:val="bullet"/>
      <w:suff w:val="tab"/>
      <w:lvlText w:val="▪"/>
      <w:lvlJc w:val="left"/>
      <w:pPr/>
      <w:rPr>
        <w:rFonts w:ascii="Book Antiqua" w:cs="Book Antiqua" w:hAnsi="Book Antiqua" w:eastAsia="Book Antiqua"/>
        <w:position w:val="0"/>
      </w:rPr>
    </w:lvl>
  </w:abstractNum>
  <w:abstractNum w:abstractNumId="56">
    <w:multiLevelType w:val="multilevel"/>
    <w:styleLink w:val="List 13"/>
    <w:lvl w:ilvl="0">
      <w:start w:val="0"/>
      <w:numFmt w:val="bullet"/>
      <w:suff w:val="tab"/>
      <w:lvlText w:val="-"/>
      <w:lvlJc w:val="left"/>
      <w:pPr/>
      <w:rPr>
        <w:rFonts w:ascii="Book Antiqua" w:cs="Book Antiqua" w:hAnsi="Book Antiqua" w:eastAsia="Book Antiqua"/>
        <w:position w:val="0"/>
      </w:rPr>
    </w:lvl>
    <w:lvl w:ilvl="1">
      <w:start w:val="1"/>
      <w:numFmt w:val="bullet"/>
      <w:suff w:val="tab"/>
      <w:lvlText w:val="o"/>
      <w:lvlJc w:val="left"/>
      <w:pPr/>
      <w:rPr>
        <w:rFonts w:ascii="Book Antiqua" w:cs="Book Antiqua" w:hAnsi="Book Antiqua" w:eastAsia="Book Antiqua"/>
        <w:position w:val="0"/>
      </w:rPr>
    </w:lvl>
    <w:lvl w:ilvl="2">
      <w:start w:val="1"/>
      <w:numFmt w:val="bullet"/>
      <w:suff w:val="tab"/>
      <w:lvlText w:val="▪"/>
      <w:lvlJc w:val="left"/>
      <w:pPr/>
      <w:rPr>
        <w:rFonts w:ascii="Book Antiqua" w:cs="Book Antiqua" w:hAnsi="Book Antiqua" w:eastAsia="Book Antiqua"/>
        <w:position w:val="0"/>
      </w:rPr>
    </w:lvl>
    <w:lvl w:ilvl="3">
      <w:start w:val="1"/>
      <w:numFmt w:val="bullet"/>
      <w:suff w:val="tab"/>
      <w:lvlText w:val="•"/>
      <w:lvlJc w:val="left"/>
      <w:pPr/>
      <w:rPr>
        <w:rFonts w:ascii="Book Antiqua" w:cs="Book Antiqua" w:hAnsi="Book Antiqua" w:eastAsia="Book Antiqua"/>
        <w:position w:val="0"/>
      </w:rPr>
    </w:lvl>
    <w:lvl w:ilvl="4">
      <w:start w:val="1"/>
      <w:numFmt w:val="bullet"/>
      <w:suff w:val="tab"/>
      <w:lvlText w:val="o"/>
      <w:lvlJc w:val="left"/>
      <w:pPr/>
      <w:rPr>
        <w:rFonts w:ascii="Book Antiqua" w:cs="Book Antiqua" w:hAnsi="Book Antiqua" w:eastAsia="Book Antiqua"/>
        <w:position w:val="0"/>
      </w:rPr>
    </w:lvl>
    <w:lvl w:ilvl="5">
      <w:start w:val="1"/>
      <w:numFmt w:val="bullet"/>
      <w:suff w:val="tab"/>
      <w:lvlText w:val="▪"/>
      <w:lvlJc w:val="left"/>
      <w:pPr/>
      <w:rPr>
        <w:rFonts w:ascii="Book Antiqua" w:cs="Book Antiqua" w:hAnsi="Book Antiqua" w:eastAsia="Book Antiqua"/>
        <w:position w:val="0"/>
      </w:rPr>
    </w:lvl>
    <w:lvl w:ilvl="6">
      <w:start w:val="1"/>
      <w:numFmt w:val="bullet"/>
      <w:suff w:val="tab"/>
      <w:lvlText w:val="•"/>
      <w:lvlJc w:val="left"/>
      <w:pPr/>
      <w:rPr>
        <w:rFonts w:ascii="Book Antiqua" w:cs="Book Antiqua" w:hAnsi="Book Antiqua" w:eastAsia="Book Antiqua"/>
        <w:position w:val="0"/>
      </w:rPr>
    </w:lvl>
    <w:lvl w:ilvl="7">
      <w:start w:val="1"/>
      <w:numFmt w:val="bullet"/>
      <w:suff w:val="tab"/>
      <w:lvlText w:val="o"/>
      <w:lvlJc w:val="left"/>
      <w:pPr/>
      <w:rPr>
        <w:rFonts w:ascii="Book Antiqua" w:cs="Book Antiqua" w:hAnsi="Book Antiqua" w:eastAsia="Book Antiqua"/>
        <w:position w:val="0"/>
      </w:rPr>
    </w:lvl>
    <w:lvl w:ilvl="8">
      <w:start w:val="1"/>
      <w:numFmt w:val="bullet"/>
      <w:suff w:val="tab"/>
      <w:lvlText w:val="▪"/>
      <w:lvlJc w:val="left"/>
      <w:pPr/>
      <w:rPr>
        <w:rFonts w:ascii="Book Antiqua" w:cs="Book Antiqua" w:hAnsi="Book Antiqua" w:eastAsia="Book Antiqua"/>
        <w:position w:val="0"/>
      </w:rPr>
    </w:lvl>
  </w:abstractNum>
  <w:abstractNum w:abstractNumId="57">
    <w:multiLevelType w:val="multilevel"/>
    <w:styleLink w:val="List 13"/>
    <w:lvl w:ilvl="0">
      <w:start w:val="0"/>
      <w:numFmt w:val="bullet"/>
      <w:suff w:val="tab"/>
      <w:lvlText w:val="-"/>
      <w:lvlJc w:val="left"/>
      <w:pPr/>
      <w:rPr>
        <w:rFonts w:ascii="Book Antiqua" w:cs="Book Antiqua" w:hAnsi="Book Antiqua" w:eastAsia="Book Antiqua"/>
        <w:position w:val="0"/>
        <w:rtl w:val="0"/>
      </w:rPr>
    </w:lvl>
    <w:lvl w:ilvl="1">
      <w:start w:val="1"/>
      <w:numFmt w:val="bullet"/>
      <w:suff w:val="tab"/>
      <w:lvlText w:val="o"/>
      <w:lvlJc w:val="left"/>
      <w:pPr/>
      <w:rPr>
        <w:rFonts w:ascii="Book Antiqua" w:cs="Book Antiqua" w:hAnsi="Book Antiqua" w:eastAsia="Book Antiqua"/>
        <w:position w:val="0"/>
        <w:rtl w:val="0"/>
      </w:rPr>
    </w:lvl>
    <w:lvl w:ilvl="2">
      <w:start w:val="1"/>
      <w:numFmt w:val="bullet"/>
      <w:suff w:val="tab"/>
      <w:lvlText w:val="▪"/>
      <w:lvlJc w:val="left"/>
      <w:pPr/>
      <w:rPr>
        <w:rFonts w:ascii="Book Antiqua" w:cs="Book Antiqua" w:hAnsi="Book Antiqua" w:eastAsia="Book Antiqua"/>
        <w:position w:val="0"/>
        <w:rtl w:val="0"/>
      </w:rPr>
    </w:lvl>
    <w:lvl w:ilvl="3">
      <w:start w:val="1"/>
      <w:numFmt w:val="bullet"/>
      <w:suff w:val="tab"/>
      <w:lvlText w:val="•"/>
      <w:lvlJc w:val="left"/>
      <w:pPr/>
      <w:rPr>
        <w:rFonts w:ascii="Book Antiqua" w:cs="Book Antiqua" w:hAnsi="Book Antiqua" w:eastAsia="Book Antiqua"/>
        <w:position w:val="0"/>
        <w:rtl w:val="0"/>
      </w:rPr>
    </w:lvl>
    <w:lvl w:ilvl="4">
      <w:start w:val="1"/>
      <w:numFmt w:val="bullet"/>
      <w:suff w:val="tab"/>
      <w:lvlText w:val="o"/>
      <w:lvlJc w:val="left"/>
      <w:pPr/>
      <w:rPr>
        <w:rFonts w:ascii="Book Antiqua" w:cs="Book Antiqua" w:hAnsi="Book Antiqua" w:eastAsia="Book Antiqua"/>
        <w:position w:val="0"/>
        <w:rtl w:val="0"/>
      </w:rPr>
    </w:lvl>
    <w:lvl w:ilvl="5">
      <w:start w:val="1"/>
      <w:numFmt w:val="bullet"/>
      <w:suff w:val="tab"/>
      <w:lvlText w:val="▪"/>
      <w:lvlJc w:val="left"/>
      <w:pPr/>
      <w:rPr>
        <w:rFonts w:ascii="Book Antiqua" w:cs="Book Antiqua" w:hAnsi="Book Antiqua" w:eastAsia="Book Antiqua"/>
        <w:position w:val="0"/>
        <w:rtl w:val="0"/>
      </w:rPr>
    </w:lvl>
    <w:lvl w:ilvl="6">
      <w:start w:val="1"/>
      <w:numFmt w:val="bullet"/>
      <w:suff w:val="tab"/>
      <w:lvlText w:val="•"/>
      <w:lvlJc w:val="left"/>
      <w:pPr/>
      <w:rPr>
        <w:rFonts w:ascii="Book Antiqua" w:cs="Book Antiqua" w:hAnsi="Book Antiqua" w:eastAsia="Book Antiqua"/>
        <w:position w:val="0"/>
        <w:rtl w:val="0"/>
      </w:rPr>
    </w:lvl>
    <w:lvl w:ilvl="7">
      <w:start w:val="1"/>
      <w:numFmt w:val="bullet"/>
      <w:suff w:val="tab"/>
      <w:lvlText w:val="o"/>
      <w:lvlJc w:val="left"/>
      <w:pPr/>
      <w:rPr>
        <w:rFonts w:ascii="Book Antiqua" w:cs="Book Antiqua" w:hAnsi="Book Antiqua" w:eastAsia="Book Antiqua"/>
        <w:position w:val="0"/>
        <w:rtl w:val="0"/>
      </w:rPr>
    </w:lvl>
    <w:lvl w:ilvl="8">
      <w:start w:val="1"/>
      <w:numFmt w:val="bullet"/>
      <w:suff w:val="tab"/>
      <w:lvlText w:val="▪"/>
      <w:lvlJc w:val="left"/>
      <w:pPr/>
      <w:rPr>
        <w:rFonts w:ascii="Book Antiqua" w:cs="Book Antiqua" w:hAnsi="Book Antiqua" w:eastAsia="Book Antiqua"/>
        <w:position w:val="0"/>
        <w:rtl w:val="0"/>
      </w:rPr>
    </w:lvl>
  </w:abstractNum>
  <w:abstractNum w:abstractNumId="58">
    <w:multiLevelType w:val="multilevel"/>
    <w:styleLink w:val="List 13"/>
    <w:lvl w:ilvl="0">
      <w:start w:val="0"/>
      <w:numFmt w:val="bullet"/>
      <w:suff w:val="tab"/>
      <w:lvlText w:val="-"/>
      <w:lvlJc w:val="left"/>
      <w:pPr/>
      <w:rPr>
        <w:rFonts w:ascii="Book Antiqua" w:cs="Book Antiqua" w:hAnsi="Book Antiqua" w:eastAsia="Book Antiqua"/>
        <w:position w:val="0"/>
      </w:rPr>
    </w:lvl>
    <w:lvl w:ilvl="1">
      <w:start w:val="1"/>
      <w:numFmt w:val="bullet"/>
      <w:suff w:val="tab"/>
      <w:lvlText w:val="o"/>
      <w:lvlJc w:val="left"/>
      <w:pPr/>
      <w:rPr>
        <w:rFonts w:ascii="Book Antiqua" w:cs="Book Antiqua" w:hAnsi="Book Antiqua" w:eastAsia="Book Antiqua"/>
        <w:position w:val="0"/>
      </w:rPr>
    </w:lvl>
    <w:lvl w:ilvl="2">
      <w:start w:val="1"/>
      <w:numFmt w:val="bullet"/>
      <w:suff w:val="tab"/>
      <w:lvlText w:val="▪"/>
      <w:lvlJc w:val="left"/>
      <w:pPr/>
      <w:rPr>
        <w:rFonts w:ascii="Book Antiqua" w:cs="Book Antiqua" w:hAnsi="Book Antiqua" w:eastAsia="Book Antiqua"/>
        <w:position w:val="0"/>
      </w:rPr>
    </w:lvl>
    <w:lvl w:ilvl="3">
      <w:start w:val="1"/>
      <w:numFmt w:val="bullet"/>
      <w:suff w:val="tab"/>
      <w:lvlText w:val="•"/>
      <w:lvlJc w:val="left"/>
      <w:pPr/>
      <w:rPr>
        <w:rFonts w:ascii="Book Antiqua" w:cs="Book Antiqua" w:hAnsi="Book Antiqua" w:eastAsia="Book Antiqua"/>
        <w:position w:val="0"/>
      </w:rPr>
    </w:lvl>
    <w:lvl w:ilvl="4">
      <w:start w:val="1"/>
      <w:numFmt w:val="bullet"/>
      <w:suff w:val="tab"/>
      <w:lvlText w:val="o"/>
      <w:lvlJc w:val="left"/>
      <w:pPr/>
      <w:rPr>
        <w:rFonts w:ascii="Book Antiqua" w:cs="Book Antiqua" w:hAnsi="Book Antiqua" w:eastAsia="Book Antiqua"/>
        <w:position w:val="0"/>
      </w:rPr>
    </w:lvl>
    <w:lvl w:ilvl="5">
      <w:start w:val="1"/>
      <w:numFmt w:val="bullet"/>
      <w:suff w:val="tab"/>
      <w:lvlText w:val="▪"/>
      <w:lvlJc w:val="left"/>
      <w:pPr/>
      <w:rPr>
        <w:rFonts w:ascii="Book Antiqua" w:cs="Book Antiqua" w:hAnsi="Book Antiqua" w:eastAsia="Book Antiqua"/>
        <w:position w:val="0"/>
      </w:rPr>
    </w:lvl>
    <w:lvl w:ilvl="6">
      <w:start w:val="1"/>
      <w:numFmt w:val="bullet"/>
      <w:suff w:val="tab"/>
      <w:lvlText w:val="•"/>
      <w:lvlJc w:val="left"/>
      <w:pPr/>
      <w:rPr>
        <w:rFonts w:ascii="Book Antiqua" w:cs="Book Antiqua" w:hAnsi="Book Antiqua" w:eastAsia="Book Antiqua"/>
        <w:position w:val="0"/>
      </w:rPr>
    </w:lvl>
    <w:lvl w:ilvl="7">
      <w:start w:val="1"/>
      <w:numFmt w:val="bullet"/>
      <w:suff w:val="tab"/>
      <w:lvlText w:val="o"/>
      <w:lvlJc w:val="left"/>
      <w:pPr/>
      <w:rPr>
        <w:rFonts w:ascii="Book Antiqua" w:cs="Book Antiqua" w:hAnsi="Book Antiqua" w:eastAsia="Book Antiqua"/>
        <w:position w:val="0"/>
      </w:rPr>
    </w:lvl>
    <w:lvl w:ilvl="8">
      <w:start w:val="1"/>
      <w:numFmt w:val="bullet"/>
      <w:suff w:val="tab"/>
      <w:lvlText w:val="▪"/>
      <w:lvlJc w:val="left"/>
      <w:pPr/>
      <w:rPr>
        <w:rFonts w:ascii="Book Antiqua" w:cs="Book Antiqua" w:hAnsi="Book Antiqua" w:eastAsia="Book Antiqua"/>
        <w:position w:val="0"/>
      </w:rPr>
    </w:lvl>
  </w:abstractNum>
  <w:abstractNum w:abstractNumId="59">
    <w:multiLevelType w:val="multilevel"/>
    <w:styleLink w:val="List 13"/>
    <w:lvl w:ilvl="0">
      <w:start w:val="0"/>
      <w:numFmt w:val="bullet"/>
      <w:suff w:val="tab"/>
      <w:lvlText w:val="-"/>
      <w:lvlJc w:val="left"/>
      <w:pPr/>
      <w:rPr>
        <w:rFonts w:ascii="Book Antiqua" w:cs="Book Antiqua" w:hAnsi="Book Antiqua" w:eastAsia="Book Antiqua"/>
        <w:position w:val="0"/>
      </w:rPr>
    </w:lvl>
    <w:lvl w:ilvl="1">
      <w:start w:val="1"/>
      <w:numFmt w:val="bullet"/>
      <w:suff w:val="tab"/>
      <w:lvlText w:val="o"/>
      <w:lvlJc w:val="left"/>
      <w:pPr/>
      <w:rPr>
        <w:rFonts w:ascii="Book Antiqua" w:cs="Book Antiqua" w:hAnsi="Book Antiqua" w:eastAsia="Book Antiqua"/>
        <w:position w:val="0"/>
      </w:rPr>
    </w:lvl>
    <w:lvl w:ilvl="2">
      <w:start w:val="1"/>
      <w:numFmt w:val="bullet"/>
      <w:suff w:val="tab"/>
      <w:lvlText w:val="▪"/>
      <w:lvlJc w:val="left"/>
      <w:pPr/>
      <w:rPr>
        <w:rFonts w:ascii="Book Antiqua" w:cs="Book Antiqua" w:hAnsi="Book Antiqua" w:eastAsia="Book Antiqua"/>
        <w:position w:val="0"/>
      </w:rPr>
    </w:lvl>
    <w:lvl w:ilvl="3">
      <w:start w:val="1"/>
      <w:numFmt w:val="bullet"/>
      <w:suff w:val="tab"/>
      <w:lvlText w:val="•"/>
      <w:lvlJc w:val="left"/>
      <w:pPr/>
      <w:rPr>
        <w:rFonts w:ascii="Book Antiqua" w:cs="Book Antiqua" w:hAnsi="Book Antiqua" w:eastAsia="Book Antiqua"/>
        <w:position w:val="0"/>
      </w:rPr>
    </w:lvl>
    <w:lvl w:ilvl="4">
      <w:start w:val="1"/>
      <w:numFmt w:val="bullet"/>
      <w:suff w:val="tab"/>
      <w:lvlText w:val="o"/>
      <w:lvlJc w:val="left"/>
      <w:pPr/>
      <w:rPr>
        <w:rFonts w:ascii="Book Antiqua" w:cs="Book Antiqua" w:hAnsi="Book Antiqua" w:eastAsia="Book Antiqua"/>
        <w:position w:val="0"/>
      </w:rPr>
    </w:lvl>
    <w:lvl w:ilvl="5">
      <w:start w:val="1"/>
      <w:numFmt w:val="bullet"/>
      <w:suff w:val="tab"/>
      <w:lvlText w:val="▪"/>
      <w:lvlJc w:val="left"/>
      <w:pPr/>
      <w:rPr>
        <w:rFonts w:ascii="Book Antiqua" w:cs="Book Antiqua" w:hAnsi="Book Antiqua" w:eastAsia="Book Antiqua"/>
        <w:position w:val="0"/>
      </w:rPr>
    </w:lvl>
    <w:lvl w:ilvl="6">
      <w:start w:val="1"/>
      <w:numFmt w:val="bullet"/>
      <w:suff w:val="tab"/>
      <w:lvlText w:val="•"/>
      <w:lvlJc w:val="left"/>
      <w:pPr/>
      <w:rPr>
        <w:rFonts w:ascii="Book Antiqua" w:cs="Book Antiqua" w:hAnsi="Book Antiqua" w:eastAsia="Book Antiqua"/>
        <w:position w:val="0"/>
      </w:rPr>
    </w:lvl>
    <w:lvl w:ilvl="7">
      <w:start w:val="1"/>
      <w:numFmt w:val="bullet"/>
      <w:suff w:val="tab"/>
      <w:lvlText w:val="o"/>
      <w:lvlJc w:val="left"/>
      <w:pPr/>
      <w:rPr>
        <w:rFonts w:ascii="Book Antiqua" w:cs="Book Antiqua" w:hAnsi="Book Antiqua" w:eastAsia="Book Antiqua"/>
        <w:position w:val="0"/>
      </w:rPr>
    </w:lvl>
    <w:lvl w:ilvl="8">
      <w:start w:val="1"/>
      <w:numFmt w:val="bullet"/>
      <w:suff w:val="tab"/>
      <w:lvlText w:val="▪"/>
      <w:lvlJc w:val="left"/>
      <w:pPr/>
      <w:rPr>
        <w:rFonts w:ascii="Book Antiqua" w:cs="Book Antiqua" w:hAnsi="Book Antiqua" w:eastAsia="Book Antiqua"/>
        <w:position w:val="0"/>
      </w:rPr>
    </w:lvl>
  </w:abstractNum>
  <w:abstractNum w:abstractNumId="60">
    <w:multiLevelType w:val="multilevel"/>
    <w:styleLink w:val="List 13"/>
    <w:lvl w:ilvl="0">
      <w:start w:val="0"/>
      <w:numFmt w:val="bullet"/>
      <w:suff w:val="tab"/>
      <w:lvlText w:val="-"/>
      <w:lvlJc w:val="left"/>
      <w:pPr/>
      <w:rPr>
        <w:rFonts w:ascii="Book Antiqua" w:cs="Book Antiqua" w:hAnsi="Book Antiqua" w:eastAsia="Book Antiqua"/>
        <w:position w:val="0"/>
      </w:rPr>
    </w:lvl>
    <w:lvl w:ilvl="1">
      <w:start w:val="1"/>
      <w:numFmt w:val="bullet"/>
      <w:suff w:val="tab"/>
      <w:lvlText w:val="o"/>
      <w:lvlJc w:val="left"/>
      <w:pPr/>
      <w:rPr>
        <w:rFonts w:ascii="Book Antiqua" w:cs="Book Antiqua" w:hAnsi="Book Antiqua" w:eastAsia="Book Antiqua"/>
        <w:position w:val="0"/>
      </w:rPr>
    </w:lvl>
    <w:lvl w:ilvl="2">
      <w:start w:val="1"/>
      <w:numFmt w:val="bullet"/>
      <w:suff w:val="tab"/>
      <w:lvlText w:val="▪"/>
      <w:lvlJc w:val="left"/>
      <w:pPr/>
      <w:rPr>
        <w:rFonts w:ascii="Book Antiqua" w:cs="Book Antiqua" w:hAnsi="Book Antiqua" w:eastAsia="Book Antiqua"/>
        <w:position w:val="0"/>
      </w:rPr>
    </w:lvl>
    <w:lvl w:ilvl="3">
      <w:start w:val="1"/>
      <w:numFmt w:val="bullet"/>
      <w:suff w:val="tab"/>
      <w:lvlText w:val="•"/>
      <w:lvlJc w:val="left"/>
      <w:pPr/>
      <w:rPr>
        <w:rFonts w:ascii="Book Antiqua" w:cs="Book Antiqua" w:hAnsi="Book Antiqua" w:eastAsia="Book Antiqua"/>
        <w:position w:val="0"/>
      </w:rPr>
    </w:lvl>
    <w:lvl w:ilvl="4">
      <w:start w:val="1"/>
      <w:numFmt w:val="bullet"/>
      <w:suff w:val="tab"/>
      <w:lvlText w:val="o"/>
      <w:lvlJc w:val="left"/>
      <w:pPr/>
      <w:rPr>
        <w:rFonts w:ascii="Book Antiqua" w:cs="Book Antiqua" w:hAnsi="Book Antiqua" w:eastAsia="Book Antiqua"/>
        <w:position w:val="0"/>
      </w:rPr>
    </w:lvl>
    <w:lvl w:ilvl="5">
      <w:start w:val="1"/>
      <w:numFmt w:val="bullet"/>
      <w:suff w:val="tab"/>
      <w:lvlText w:val="▪"/>
      <w:lvlJc w:val="left"/>
      <w:pPr/>
      <w:rPr>
        <w:rFonts w:ascii="Book Antiqua" w:cs="Book Antiqua" w:hAnsi="Book Antiqua" w:eastAsia="Book Antiqua"/>
        <w:position w:val="0"/>
      </w:rPr>
    </w:lvl>
    <w:lvl w:ilvl="6">
      <w:start w:val="1"/>
      <w:numFmt w:val="bullet"/>
      <w:suff w:val="tab"/>
      <w:lvlText w:val="•"/>
      <w:lvlJc w:val="left"/>
      <w:pPr/>
      <w:rPr>
        <w:rFonts w:ascii="Book Antiqua" w:cs="Book Antiqua" w:hAnsi="Book Antiqua" w:eastAsia="Book Antiqua"/>
        <w:position w:val="0"/>
      </w:rPr>
    </w:lvl>
    <w:lvl w:ilvl="7">
      <w:start w:val="1"/>
      <w:numFmt w:val="bullet"/>
      <w:suff w:val="tab"/>
      <w:lvlText w:val="o"/>
      <w:lvlJc w:val="left"/>
      <w:pPr/>
      <w:rPr>
        <w:rFonts w:ascii="Book Antiqua" w:cs="Book Antiqua" w:hAnsi="Book Antiqua" w:eastAsia="Book Antiqua"/>
        <w:position w:val="0"/>
      </w:rPr>
    </w:lvl>
    <w:lvl w:ilvl="8">
      <w:start w:val="1"/>
      <w:numFmt w:val="bullet"/>
      <w:suff w:val="tab"/>
      <w:lvlText w:val="▪"/>
      <w:lvlJc w:val="left"/>
      <w:pPr/>
      <w:rPr>
        <w:rFonts w:ascii="Book Antiqua" w:cs="Book Antiqua" w:hAnsi="Book Antiqua" w:eastAsia="Book Antiqua"/>
        <w:position w:val="0"/>
      </w:rPr>
    </w:lvl>
  </w:abstractNum>
  <w:abstractNum w:abstractNumId="61">
    <w:multiLevelType w:val="multilevel"/>
    <w:styleLink w:val="List 13"/>
    <w:lvl w:ilvl="0">
      <w:start w:val="0"/>
      <w:numFmt w:val="bullet"/>
      <w:suff w:val="tab"/>
      <w:lvlText w:val="-"/>
      <w:lvlJc w:val="left"/>
      <w:pPr/>
      <w:rPr>
        <w:rFonts w:ascii="Book Antiqua" w:cs="Book Antiqua" w:hAnsi="Book Antiqua" w:eastAsia="Book Antiqua"/>
        <w:position w:val="0"/>
      </w:rPr>
    </w:lvl>
    <w:lvl w:ilvl="1">
      <w:start w:val="1"/>
      <w:numFmt w:val="bullet"/>
      <w:suff w:val="tab"/>
      <w:lvlText w:val="o"/>
      <w:lvlJc w:val="left"/>
      <w:pPr/>
      <w:rPr>
        <w:rFonts w:ascii="Book Antiqua" w:cs="Book Antiqua" w:hAnsi="Book Antiqua" w:eastAsia="Book Antiqua"/>
        <w:position w:val="0"/>
      </w:rPr>
    </w:lvl>
    <w:lvl w:ilvl="2">
      <w:start w:val="1"/>
      <w:numFmt w:val="bullet"/>
      <w:suff w:val="tab"/>
      <w:lvlText w:val="▪"/>
      <w:lvlJc w:val="left"/>
      <w:pPr/>
      <w:rPr>
        <w:rFonts w:ascii="Book Antiqua" w:cs="Book Antiqua" w:hAnsi="Book Antiqua" w:eastAsia="Book Antiqua"/>
        <w:position w:val="0"/>
      </w:rPr>
    </w:lvl>
    <w:lvl w:ilvl="3">
      <w:start w:val="1"/>
      <w:numFmt w:val="bullet"/>
      <w:suff w:val="tab"/>
      <w:lvlText w:val="•"/>
      <w:lvlJc w:val="left"/>
      <w:pPr/>
      <w:rPr>
        <w:rFonts w:ascii="Book Antiqua" w:cs="Book Antiqua" w:hAnsi="Book Antiqua" w:eastAsia="Book Antiqua"/>
        <w:position w:val="0"/>
      </w:rPr>
    </w:lvl>
    <w:lvl w:ilvl="4">
      <w:start w:val="1"/>
      <w:numFmt w:val="bullet"/>
      <w:suff w:val="tab"/>
      <w:lvlText w:val="o"/>
      <w:lvlJc w:val="left"/>
      <w:pPr/>
      <w:rPr>
        <w:rFonts w:ascii="Book Antiqua" w:cs="Book Antiqua" w:hAnsi="Book Antiqua" w:eastAsia="Book Antiqua"/>
        <w:position w:val="0"/>
      </w:rPr>
    </w:lvl>
    <w:lvl w:ilvl="5">
      <w:start w:val="1"/>
      <w:numFmt w:val="bullet"/>
      <w:suff w:val="tab"/>
      <w:lvlText w:val="▪"/>
      <w:lvlJc w:val="left"/>
      <w:pPr/>
      <w:rPr>
        <w:rFonts w:ascii="Book Antiqua" w:cs="Book Antiqua" w:hAnsi="Book Antiqua" w:eastAsia="Book Antiqua"/>
        <w:position w:val="0"/>
      </w:rPr>
    </w:lvl>
    <w:lvl w:ilvl="6">
      <w:start w:val="1"/>
      <w:numFmt w:val="bullet"/>
      <w:suff w:val="tab"/>
      <w:lvlText w:val="•"/>
      <w:lvlJc w:val="left"/>
      <w:pPr/>
      <w:rPr>
        <w:rFonts w:ascii="Book Antiqua" w:cs="Book Antiqua" w:hAnsi="Book Antiqua" w:eastAsia="Book Antiqua"/>
        <w:position w:val="0"/>
      </w:rPr>
    </w:lvl>
    <w:lvl w:ilvl="7">
      <w:start w:val="1"/>
      <w:numFmt w:val="bullet"/>
      <w:suff w:val="tab"/>
      <w:lvlText w:val="o"/>
      <w:lvlJc w:val="left"/>
      <w:pPr/>
      <w:rPr>
        <w:rFonts w:ascii="Book Antiqua" w:cs="Book Antiqua" w:hAnsi="Book Antiqua" w:eastAsia="Book Antiqua"/>
        <w:position w:val="0"/>
      </w:rPr>
    </w:lvl>
    <w:lvl w:ilvl="8">
      <w:start w:val="1"/>
      <w:numFmt w:val="bullet"/>
      <w:suff w:val="tab"/>
      <w:lvlText w:val="▪"/>
      <w:lvlJc w:val="left"/>
      <w:pPr/>
      <w:rPr>
        <w:rFonts w:ascii="Book Antiqua" w:cs="Book Antiqua" w:hAnsi="Book Antiqua" w:eastAsia="Book Antiqua"/>
        <w:position w:val="0"/>
      </w:rPr>
    </w:lvl>
  </w:abstractNum>
  <w:abstractNum w:abstractNumId="62">
    <w:multiLevelType w:val="multilevel"/>
    <w:styleLink w:val="List 13"/>
    <w:lvl w:ilvl="0">
      <w:start w:val="0"/>
      <w:numFmt w:val="bullet"/>
      <w:suff w:val="tab"/>
      <w:lvlText w:val="-"/>
      <w:lvlJc w:val="left"/>
      <w:pPr/>
      <w:rPr>
        <w:rFonts w:ascii="Book Antiqua" w:cs="Book Antiqua" w:hAnsi="Book Antiqua" w:eastAsia="Book Antiqua"/>
        <w:position w:val="0"/>
      </w:rPr>
    </w:lvl>
    <w:lvl w:ilvl="1">
      <w:start w:val="1"/>
      <w:numFmt w:val="bullet"/>
      <w:suff w:val="tab"/>
      <w:lvlText w:val="o"/>
      <w:lvlJc w:val="left"/>
      <w:pPr/>
      <w:rPr>
        <w:rFonts w:ascii="Book Antiqua" w:cs="Book Antiqua" w:hAnsi="Book Antiqua" w:eastAsia="Book Antiqua"/>
        <w:position w:val="0"/>
      </w:rPr>
    </w:lvl>
    <w:lvl w:ilvl="2">
      <w:start w:val="1"/>
      <w:numFmt w:val="bullet"/>
      <w:suff w:val="tab"/>
      <w:lvlText w:val="▪"/>
      <w:lvlJc w:val="left"/>
      <w:pPr/>
      <w:rPr>
        <w:rFonts w:ascii="Book Antiqua" w:cs="Book Antiqua" w:hAnsi="Book Antiqua" w:eastAsia="Book Antiqua"/>
        <w:position w:val="0"/>
      </w:rPr>
    </w:lvl>
    <w:lvl w:ilvl="3">
      <w:start w:val="1"/>
      <w:numFmt w:val="bullet"/>
      <w:suff w:val="tab"/>
      <w:lvlText w:val="•"/>
      <w:lvlJc w:val="left"/>
      <w:pPr/>
      <w:rPr>
        <w:rFonts w:ascii="Book Antiqua" w:cs="Book Antiqua" w:hAnsi="Book Antiqua" w:eastAsia="Book Antiqua"/>
        <w:position w:val="0"/>
      </w:rPr>
    </w:lvl>
    <w:lvl w:ilvl="4">
      <w:start w:val="1"/>
      <w:numFmt w:val="bullet"/>
      <w:suff w:val="tab"/>
      <w:lvlText w:val="o"/>
      <w:lvlJc w:val="left"/>
      <w:pPr/>
      <w:rPr>
        <w:rFonts w:ascii="Book Antiqua" w:cs="Book Antiqua" w:hAnsi="Book Antiqua" w:eastAsia="Book Antiqua"/>
        <w:position w:val="0"/>
      </w:rPr>
    </w:lvl>
    <w:lvl w:ilvl="5">
      <w:start w:val="1"/>
      <w:numFmt w:val="bullet"/>
      <w:suff w:val="tab"/>
      <w:lvlText w:val="▪"/>
      <w:lvlJc w:val="left"/>
      <w:pPr/>
      <w:rPr>
        <w:rFonts w:ascii="Book Antiqua" w:cs="Book Antiqua" w:hAnsi="Book Antiqua" w:eastAsia="Book Antiqua"/>
        <w:position w:val="0"/>
      </w:rPr>
    </w:lvl>
    <w:lvl w:ilvl="6">
      <w:start w:val="1"/>
      <w:numFmt w:val="bullet"/>
      <w:suff w:val="tab"/>
      <w:lvlText w:val="•"/>
      <w:lvlJc w:val="left"/>
      <w:pPr/>
      <w:rPr>
        <w:rFonts w:ascii="Book Antiqua" w:cs="Book Antiqua" w:hAnsi="Book Antiqua" w:eastAsia="Book Antiqua"/>
        <w:position w:val="0"/>
      </w:rPr>
    </w:lvl>
    <w:lvl w:ilvl="7">
      <w:start w:val="1"/>
      <w:numFmt w:val="bullet"/>
      <w:suff w:val="tab"/>
      <w:lvlText w:val="o"/>
      <w:lvlJc w:val="left"/>
      <w:pPr/>
      <w:rPr>
        <w:rFonts w:ascii="Book Antiqua" w:cs="Book Antiqua" w:hAnsi="Book Antiqua" w:eastAsia="Book Antiqua"/>
        <w:position w:val="0"/>
      </w:rPr>
    </w:lvl>
    <w:lvl w:ilvl="8">
      <w:start w:val="1"/>
      <w:numFmt w:val="bullet"/>
      <w:suff w:val="tab"/>
      <w:lvlText w:val="▪"/>
      <w:lvlJc w:val="left"/>
      <w:pPr/>
      <w:rPr>
        <w:rFonts w:ascii="Book Antiqua" w:cs="Book Antiqua" w:hAnsi="Book Antiqua" w:eastAsia="Book Antiqua"/>
        <w:position w:val="0"/>
      </w:rPr>
    </w:lvl>
  </w:abstractNum>
  <w:abstractNum w:abstractNumId="63">
    <w:multiLevelType w:val="multilevel"/>
    <w:styleLink w:val="List 13"/>
    <w:lvl w:ilvl="0">
      <w:start w:val="0"/>
      <w:numFmt w:val="bullet"/>
      <w:suff w:val="tab"/>
      <w:lvlText w:val="-"/>
      <w:lvlJc w:val="left"/>
      <w:pPr/>
      <w:rPr>
        <w:rFonts w:ascii="Book Antiqua" w:cs="Book Antiqua" w:hAnsi="Book Antiqua" w:eastAsia="Book Antiqua"/>
        <w:position w:val="0"/>
      </w:rPr>
    </w:lvl>
    <w:lvl w:ilvl="1">
      <w:start w:val="1"/>
      <w:numFmt w:val="bullet"/>
      <w:suff w:val="tab"/>
      <w:lvlText w:val="o"/>
      <w:lvlJc w:val="left"/>
      <w:pPr/>
      <w:rPr>
        <w:rFonts w:ascii="Book Antiqua" w:cs="Book Antiqua" w:hAnsi="Book Antiqua" w:eastAsia="Book Antiqua"/>
        <w:position w:val="0"/>
      </w:rPr>
    </w:lvl>
    <w:lvl w:ilvl="2">
      <w:start w:val="1"/>
      <w:numFmt w:val="bullet"/>
      <w:suff w:val="tab"/>
      <w:lvlText w:val="▪"/>
      <w:lvlJc w:val="left"/>
      <w:pPr/>
      <w:rPr>
        <w:rFonts w:ascii="Book Antiqua" w:cs="Book Antiqua" w:hAnsi="Book Antiqua" w:eastAsia="Book Antiqua"/>
        <w:position w:val="0"/>
      </w:rPr>
    </w:lvl>
    <w:lvl w:ilvl="3">
      <w:start w:val="1"/>
      <w:numFmt w:val="bullet"/>
      <w:suff w:val="tab"/>
      <w:lvlText w:val="•"/>
      <w:lvlJc w:val="left"/>
      <w:pPr/>
      <w:rPr>
        <w:rFonts w:ascii="Book Antiqua" w:cs="Book Antiqua" w:hAnsi="Book Antiqua" w:eastAsia="Book Antiqua"/>
        <w:position w:val="0"/>
      </w:rPr>
    </w:lvl>
    <w:lvl w:ilvl="4">
      <w:start w:val="1"/>
      <w:numFmt w:val="bullet"/>
      <w:suff w:val="tab"/>
      <w:lvlText w:val="o"/>
      <w:lvlJc w:val="left"/>
      <w:pPr/>
      <w:rPr>
        <w:rFonts w:ascii="Book Antiqua" w:cs="Book Antiqua" w:hAnsi="Book Antiqua" w:eastAsia="Book Antiqua"/>
        <w:position w:val="0"/>
      </w:rPr>
    </w:lvl>
    <w:lvl w:ilvl="5">
      <w:start w:val="1"/>
      <w:numFmt w:val="bullet"/>
      <w:suff w:val="tab"/>
      <w:lvlText w:val="▪"/>
      <w:lvlJc w:val="left"/>
      <w:pPr/>
      <w:rPr>
        <w:rFonts w:ascii="Book Antiqua" w:cs="Book Antiqua" w:hAnsi="Book Antiqua" w:eastAsia="Book Antiqua"/>
        <w:position w:val="0"/>
      </w:rPr>
    </w:lvl>
    <w:lvl w:ilvl="6">
      <w:start w:val="1"/>
      <w:numFmt w:val="bullet"/>
      <w:suff w:val="tab"/>
      <w:lvlText w:val="•"/>
      <w:lvlJc w:val="left"/>
      <w:pPr/>
      <w:rPr>
        <w:rFonts w:ascii="Book Antiqua" w:cs="Book Antiqua" w:hAnsi="Book Antiqua" w:eastAsia="Book Antiqua"/>
        <w:position w:val="0"/>
      </w:rPr>
    </w:lvl>
    <w:lvl w:ilvl="7">
      <w:start w:val="1"/>
      <w:numFmt w:val="bullet"/>
      <w:suff w:val="tab"/>
      <w:lvlText w:val="o"/>
      <w:lvlJc w:val="left"/>
      <w:pPr/>
      <w:rPr>
        <w:rFonts w:ascii="Book Antiqua" w:cs="Book Antiqua" w:hAnsi="Book Antiqua" w:eastAsia="Book Antiqua"/>
        <w:position w:val="0"/>
      </w:rPr>
    </w:lvl>
    <w:lvl w:ilvl="8">
      <w:start w:val="1"/>
      <w:numFmt w:val="bullet"/>
      <w:suff w:val="tab"/>
      <w:lvlText w:val="▪"/>
      <w:lvlJc w:val="left"/>
      <w:pPr/>
      <w:rPr>
        <w:rFonts w:ascii="Book Antiqua" w:cs="Book Antiqua" w:hAnsi="Book Antiqua" w:eastAsia="Book Antiqua"/>
        <w:position w:val="0"/>
      </w:rPr>
    </w:lvl>
  </w:abstractNum>
  <w:abstractNum w:abstractNumId="64">
    <w:multiLevelType w:val="multilevel"/>
    <w:styleLink w:val="List 13"/>
    <w:lvl w:ilvl="0">
      <w:start w:val="0"/>
      <w:numFmt w:val="bullet"/>
      <w:suff w:val="tab"/>
      <w:lvlText w:val="-"/>
      <w:lvlJc w:val="left"/>
      <w:pPr/>
      <w:rPr>
        <w:rFonts w:ascii="Book Antiqua" w:cs="Book Antiqua" w:hAnsi="Book Antiqua" w:eastAsia="Book Antiqua"/>
        <w:position w:val="0"/>
      </w:rPr>
    </w:lvl>
    <w:lvl w:ilvl="1">
      <w:start w:val="1"/>
      <w:numFmt w:val="bullet"/>
      <w:suff w:val="tab"/>
      <w:lvlText w:val="o"/>
      <w:lvlJc w:val="left"/>
      <w:pPr/>
      <w:rPr>
        <w:rFonts w:ascii="Book Antiqua" w:cs="Book Antiqua" w:hAnsi="Book Antiqua" w:eastAsia="Book Antiqua"/>
        <w:position w:val="0"/>
      </w:rPr>
    </w:lvl>
    <w:lvl w:ilvl="2">
      <w:start w:val="1"/>
      <w:numFmt w:val="bullet"/>
      <w:suff w:val="tab"/>
      <w:lvlText w:val="▪"/>
      <w:lvlJc w:val="left"/>
      <w:pPr/>
      <w:rPr>
        <w:rFonts w:ascii="Book Antiqua" w:cs="Book Antiqua" w:hAnsi="Book Antiqua" w:eastAsia="Book Antiqua"/>
        <w:position w:val="0"/>
      </w:rPr>
    </w:lvl>
    <w:lvl w:ilvl="3">
      <w:start w:val="1"/>
      <w:numFmt w:val="bullet"/>
      <w:suff w:val="tab"/>
      <w:lvlText w:val="•"/>
      <w:lvlJc w:val="left"/>
      <w:pPr/>
      <w:rPr>
        <w:rFonts w:ascii="Book Antiqua" w:cs="Book Antiqua" w:hAnsi="Book Antiqua" w:eastAsia="Book Antiqua"/>
        <w:position w:val="0"/>
      </w:rPr>
    </w:lvl>
    <w:lvl w:ilvl="4">
      <w:start w:val="1"/>
      <w:numFmt w:val="bullet"/>
      <w:suff w:val="tab"/>
      <w:lvlText w:val="o"/>
      <w:lvlJc w:val="left"/>
      <w:pPr/>
      <w:rPr>
        <w:rFonts w:ascii="Book Antiqua" w:cs="Book Antiqua" w:hAnsi="Book Antiqua" w:eastAsia="Book Antiqua"/>
        <w:position w:val="0"/>
      </w:rPr>
    </w:lvl>
    <w:lvl w:ilvl="5">
      <w:start w:val="1"/>
      <w:numFmt w:val="bullet"/>
      <w:suff w:val="tab"/>
      <w:lvlText w:val="▪"/>
      <w:lvlJc w:val="left"/>
      <w:pPr/>
      <w:rPr>
        <w:rFonts w:ascii="Book Antiqua" w:cs="Book Antiqua" w:hAnsi="Book Antiqua" w:eastAsia="Book Antiqua"/>
        <w:position w:val="0"/>
      </w:rPr>
    </w:lvl>
    <w:lvl w:ilvl="6">
      <w:start w:val="1"/>
      <w:numFmt w:val="bullet"/>
      <w:suff w:val="tab"/>
      <w:lvlText w:val="•"/>
      <w:lvlJc w:val="left"/>
      <w:pPr/>
      <w:rPr>
        <w:rFonts w:ascii="Book Antiqua" w:cs="Book Antiqua" w:hAnsi="Book Antiqua" w:eastAsia="Book Antiqua"/>
        <w:position w:val="0"/>
      </w:rPr>
    </w:lvl>
    <w:lvl w:ilvl="7">
      <w:start w:val="1"/>
      <w:numFmt w:val="bullet"/>
      <w:suff w:val="tab"/>
      <w:lvlText w:val="o"/>
      <w:lvlJc w:val="left"/>
      <w:pPr/>
      <w:rPr>
        <w:rFonts w:ascii="Book Antiqua" w:cs="Book Antiqua" w:hAnsi="Book Antiqua" w:eastAsia="Book Antiqua"/>
        <w:position w:val="0"/>
      </w:rPr>
    </w:lvl>
    <w:lvl w:ilvl="8">
      <w:start w:val="1"/>
      <w:numFmt w:val="bullet"/>
      <w:suff w:val="tab"/>
      <w:lvlText w:val="▪"/>
      <w:lvlJc w:val="left"/>
      <w:pPr/>
      <w:rPr>
        <w:rFonts w:ascii="Book Antiqua" w:cs="Book Antiqua" w:hAnsi="Book Antiqua" w:eastAsia="Book Antiqua"/>
        <w:position w:val="0"/>
      </w:rPr>
    </w:lvl>
  </w:abstractNum>
  <w:abstractNum w:abstractNumId="65">
    <w:multiLevelType w:val="multilevel"/>
    <w:styleLink w:val="List 13"/>
    <w:lvl w:ilvl="0">
      <w:start w:val="0"/>
      <w:numFmt w:val="bullet"/>
      <w:suff w:val="tab"/>
      <w:lvlText w:val="-"/>
      <w:lvlJc w:val="left"/>
      <w:pPr/>
      <w:rPr>
        <w:rFonts w:ascii="Book Antiqua" w:cs="Book Antiqua" w:hAnsi="Book Antiqua" w:eastAsia="Book Antiqua"/>
        <w:position w:val="0"/>
      </w:rPr>
    </w:lvl>
    <w:lvl w:ilvl="1">
      <w:start w:val="1"/>
      <w:numFmt w:val="bullet"/>
      <w:suff w:val="tab"/>
      <w:lvlText w:val="o"/>
      <w:lvlJc w:val="left"/>
      <w:pPr/>
      <w:rPr>
        <w:rFonts w:ascii="Book Antiqua" w:cs="Book Antiqua" w:hAnsi="Book Antiqua" w:eastAsia="Book Antiqua"/>
        <w:position w:val="0"/>
      </w:rPr>
    </w:lvl>
    <w:lvl w:ilvl="2">
      <w:start w:val="1"/>
      <w:numFmt w:val="bullet"/>
      <w:suff w:val="tab"/>
      <w:lvlText w:val="▪"/>
      <w:lvlJc w:val="left"/>
      <w:pPr/>
      <w:rPr>
        <w:rFonts w:ascii="Book Antiqua" w:cs="Book Antiqua" w:hAnsi="Book Antiqua" w:eastAsia="Book Antiqua"/>
        <w:position w:val="0"/>
      </w:rPr>
    </w:lvl>
    <w:lvl w:ilvl="3">
      <w:start w:val="1"/>
      <w:numFmt w:val="bullet"/>
      <w:suff w:val="tab"/>
      <w:lvlText w:val="•"/>
      <w:lvlJc w:val="left"/>
      <w:pPr/>
      <w:rPr>
        <w:rFonts w:ascii="Book Antiqua" w:cs="Book Antiqua" w:hAnsi="Book Antiqua" w:eastAsia="Book Antiqua"/>
        <w:position w:val="0"/>
      </w:rPr>
    </w:lvl>
    <w:lvl w:ilvl="4">
      <w:start w:val="1"/>
      <w:numFmt w:val="bullet"/>
      <w:suff w:val="tab"/>
      <w:lvlText w:val="o"/>
      <w:lvlJc w:val="left"/>
      <w:pPr/>
      <w:rPr>
        <w:rFonts w:ascii="Book Antiqua" w:cs="Book Antiqua" w:hAnsi="Book Antiqua" w:eastAsia="Book Antiqua"/>
        <w:position w:val="0"/>
      </w:rPr>
    </w:lvl>
    <w:lvl w:ilvl="5">
      <w:start w:val="1"/>
      <w:numFmt w:val="bullet"/>
      <w:suff w:val="tab"/>
      <w:lvlText w:val="▪"/>
      <w:lvlJc w:val="left"/>
      <w:pPr/>
      <w:rPr>
        <w:rFonts w:ascii="Book Antiqua" w:cs="Book Antiqua" w:hAnsi="Book Antiqua" w:eastAsia="Book Antiqua"/>
        <w:position w:val="0"/>
      </w:rPr>
    </w:lvl>
    <w:lvl w:ilvl="6">
      <w:start w:val="1"/>
      <w:numFmt w:val="bullet"/>
      <w:suff w:val="tab"/>
      <w:lvlText w:val="•"/>
      <w:lvlJc w:val="left"/>
      <w:pPr/>
      <w:rPr>
        <w:rFonts w:ascii="Book Antiqua" w:cs="Book Antiqua" w:hAnsi="Book Antiqua" w:eastAsia="Book Antiqua"/>
        <w:position w:val="0"/>
      </w:rPr>
    </w:lvl>
    <w:lvl w:ilvl="7">
      <w:start w:val="1"/>
      <w:numFmt w:val="bullet"/>
      <w:suff w:val="tab"/>
      <w:lvlText w:val="o"/>
      <w:lvlJc w:val="left"/>
      <w:pPr/>
      <w:rPr>
        <w:rFonts w:ascii="Book Antiqua" w:cs="Book Antiqua" w:hAnsi="Book Antiqua" w:eastAsia="Book Antiqua"/>
        <w:position w:val="0"/>
      </w:rPr>
    </w:lvl>
    <w:lvl w:ilvl="8">
      <w:start w:val="1"/>
      <w:numFmt w:val="bullet"/>
      <w:suff w:val="tab"/>
      <w:lvlText w:val="▪"/>
      <w:lvlJc w:val="left"/>
      <w:pPr/>
      <w:rPr>
        <w:rFonts w:ascii="Book Antiqua" w:cs="Book Antiqua" w:hAnsi="Book Antiqua" w:eastAsia="Book Antiqua"/>
        <w:position w:val="0"/>
      </w:rPr>
    </w:lvl>
  </w:abstractNum>
  <w:abstractNum w:abstractNumId="66">
    <w:multiLevelType w:val="multilevel"/>
    <w:styleLink w:val="List 13"/>
    <w:lvl w:ilvl="0">
      <w:start w:val="0"/>
      <w:numFmt w:val="bullet"/>
      <w:suff w:val="tab"/>
      <w:lvlText w:val="-"/>
      <w:lvlJc w:val="left"/>
      <w:pPr/>
      <w:rPr>
        <w:rFonts w:ascii="Book Antiqua" w:cs="Book Antiqua" w:hAnsi="Book Antiqua" w:eastAsia="Book Antiqua"/>
        <w:position w:val="0"/>
      </w:rPr>
    </w:lvl>
    <w:lvl w:ilvl="1">
      <w:start w:val="1"/>
      <w:numFmt w:val="bullet"/>
      <w:suff w:val="tab"/>
      <w:lvlText w:val="o"/>
      <w:lvlJc w:val="left"/>
      <w:pPr/>
      <w:rPr>
        <w:rFonts w:ascii="Book Antiqua" w:cs="Book Antiqua" w:hAnsi="Book Antiqua" w:eastAsia="Book Antiqua"/>
        <w:position w:val="0"/>
      </w:rPr>
    </w:lvl>
    <w:lvl w:ilvl="2">
      <w:start w:val="1"/>
      <w:numFmt w:val="bullet"/>
      <w:suff w:val="tab"/>
      <w:lvlText w:val="▪"/>
      <w:lvlJc w:val="left"/>
      <w:pPr/>
      <w:rPr>
        <w:rFonts w:ascii="Book Antiqua" w:cs="Book Antiqua" w:hAnsi="Book Antiqua" w:eastAsia="Book Antiqua"/>
        <w:position w:val="0"/>
      </w:rPr>
    </w:lvl>
    <w:lvl w:ilvl="3">
      <w:start w:val="1"/>
      <w:numFmt w:val="bullet"/>
      <w:suff w:val="tab"/>
      <w:lvlText w:val="•"/>
      <w:lvlJc w:val="left"/>
      <w:pPr/>
      <w:rPr>
        <w:rFonts w:ascii="Book Antiqua" w:cs="Book Antiqua" w:hAnsi="Book Antiqua" w:eastAsia="Book Antiqua"/>
        <w:position w:val="0"/>
      </w:rPr>
    </w:lvl>
    <w:lvl w:ilvl="4">
      <w:start w:val="1"/>
      <w:numFmt w:val="bullet"/>
      <w:suff w:val="tab"/>
      <w:lvlText w:val="o"/>
      <w:lvlJc w:val="left"/>
      <w:pPr/>
      <w:rPr>
        <w:rFonts w:ascii="Book Antiqua" w:cs="Book Antiqua" w:hAnsi="Book Antiqua" w:eastAsia="Book Antiqua"/>
        <w:position w:val="0"/>
      </w:rPr>
    </w:lvl>
    <w:lvl w:ilvl="5">
      <w:start w:val="1"/>
      <w:numFmt w:val="bullet"/>
      <w:suff w:val="tab"/>
      <w:lvlText w:val="▪"/>
      <w:lvlJc w:val="left"/>
      <w:pPr/>
      <w:rPr>
        <w:rFonts w:ascii="Book Antiqua" w:cs="Book Antiqua" w:hAnsi="Book Antiqua" w:eastAsia="Book Antiqua"/>
        <w:position w:val="0"/>
      </w:rPr>
    </w:lvl>
    <w:lvl w:ilvl="6">
      <w:start w:val="1"/>
      <w:numFmt w:val="bullet"/>
      <w:suff w:val="tab"/>
      <w:lvlText w:val="•"/>
      <w:lvlJc w:val="left"/>
      <w:pPr/>
      <w:rPr>
        <w:rFonts w:ascii="Book Antiqua" w:cs="Book Antiqua" w:hAnsi="Book Antiqua" w:eastAsia="Book Antiqua"/>
        <w:position w:val="0"/>
      </w:rPr>
    </w:lvl>
    <w:lvl w:ilvl="7">
      <w:start w:val="1"/>
      <w:numFmt w:val="bullet"/>
      <w:suff w:val="tab"/>
      <w:lvlText w:val="o"/>
      <w:lvlJc w:val="left"/>
      <w:pPr/>
      <w:rPr>
        <w:rFonts w:ascii="Book Antiqua" w:cs="Book Antiqua" w:hAnsi="Book Antiqua" w:eastAsia="Book Antiqua"/>
        <w:position w:val="0"/>
      </w:rPr>
    </w:lvl>
    <w:lvl w:ilvl="8">
      <w:start w:val="1"/>
      <w:numFmt w:val="bullet"/>
      <w:suff w:val="tab"/>
      <w:lvlText w:val="▪"/>
      <w:lvlJc w:val="left"/>
      <w:pPr/>
      <w:rPr>
        <w:rFonts w:ascii="Book Antiqua" w:cs="Book Antiqua" w:hAnsi="Book Antiqua" w:eastAsia="Book Antiqua"/>
        <w:position w:val="0"/>
      </w:rPr>
    </w:lvl>
  </w:abstractNum>
  <w:abstractNum w:abstractNumId="67">
    <w:multiLevelType w:val="multilevel"/>
    <w:lvl w:ilvl="0">
      <w:start w:val="1"/>
      <w:numFmt w:val="lowerLetter"/>
      <w:suff w:val="tab"/>
      <w:lvlText w:val="%1)"/>
      <w:lvlJc w:val="left"/>
      <w:pPr>
        <w:tabs>
          <w:tab w:val="num" w:pos="567"/>
          <w:tab w:val="clear" w:pos="0"/>
        </w:tabs>
        <w:ind w:left="567" w:hanging="141"/>
      </w:pPr>
      <w:rPr>
        <w:rFonts w:ascii="Book Antiqua" w:cs="Book Antiqua" w:hAnsi="Book Antiqua" w:eastAsia="Book Antiqua"/>
        <w:position w:val="0"/>
        <w:sz w:val="24"/>
        <w:szCs w:val="24"/>
      </w:rPr>
    </w:lvl>
    <w:lvl w:ilvl="1">
      <w:start w:val="1"/>
      <w:numFmt w:val="bullet"/>
      <w:suff w:val="tab"/>
      <w:lvlText w:val="o"/>
      <w:lvlJc w:val="left"/>
      <w:pPr>
        <w:tabs>
          <w:tab w:val="num" w:pos="1440"/>
          <w:tab w:val="clear" w:pos="0"/>
        </w:tabs>
        <w:ind w:left="1440" w:hanging="360"/>
      </w:pPr>
      <w:rPr>
        <w:rFonts w:ascii="Book Antiqua" w:cs="Book Antiqua" w:hAnsi="Book Antiqua" w:eastAsia="Book Antiqua"/>
        <w:position w:val="0"/>
        <w:sz w:val="24"/>
        <w:szCs w:val="24"/>
      </w:rPr>
    </w:lvl>
    <w:lvl w:ilvl="2">
      <w:start w:val="1"/>
      <w:numFmt w:val="bullet"/>
      <w:suff w:val="tab"/>
      <w:lvlText w:val="▪"/>
      <w:lvlJc w:val="left"/>
      <w:pPr>
        <w:tabs>
          <w:tab w:val="num" w:pos="2160"/>
          <w:tab w:val="clear" w:pos="0"/>
        </w:tabs>
        <w:ind w:left="2160" w:hanging="360"/>
      </w:pPr>
      <w:rPr>
        <w:rFonts w:ascii="Book Antiqua" w:cs="Book Antiqua" w:hAnsi="Book Antiqua" w:eastAsia="Book Antiqua"/>
        <w:position w:val="0"/>
        <w:sz w:val="24"/>
        <w:szCs w:val="24"/>
      </w:rPr>
    </w:lvl>
    <w:lvl w:ilvl="3">
      <w:start w:val="1"/>
      <w:numFmt w:val="bullet"/>
      <w:suff w:val="tab"/>
      <w:lvlText w:val="•"/>
      <w:lvlJc w:val="left"/>
      <w:pPr>
        <w:tabs>
          <w:tab w:val="num" w:pos="2880"/>
          <w:tab w:val="clear" w:pos="0"/>
        </w:tabs>
        <w:ind w:left="2880" w:hanging="360"/>
      </w:pPr>
      <w:rPr>
        <w:rFonts w:ascii="Book Antiqua" w:cs="Book Antiqua" w:hAnsi="Book Antiqua" w:eastAsia="Book Antiqua"/>
        <w:position w:val="0"/>
        <w:sz w:val="24"/>
        <w:szCs w:val="24"/>
      </w:rPr>
    </w:lvl>
    <w:lvl w:ilvl="4">
      <w:start w:val="1"/>
      <w:numFmt w:val="bullet"/>
      <w:suff w:val="tab"/>
      <w:lvlText w:val="o"/>
      <w:lvlJc w:val="left"/>
      <w:pPr>
        <w:tabs>
          <w:tab w:val="num" w:pos="3600"/>
          <w:tab w:val="clear" w:pos="0"/>
        </w:tabs>
        <w:ind w:left="3600" w:hanging="360"/>
      </w:pPr>
      <w:rPr>
        <w:rFonts w:ascii="Book Antiqua" w:cs="Book Antiqua" w:hAnsi="Book Antiqua" w:eastAsia="Book Antiqua"/>
        <w:position w:val="0"/>
        <w:sz w:val="24"/>
        <w:szCs w:val="24"/>
      </w:rPr>
    </w:lvl>
    <w:lvl w:ilvl="5">
      <w:start w:val="1"/>
      <w:numFmt w:val="bullet"/>
      <w:suff w:val="tab"/>
      <w:lvlText w:val="▪"/>
      <w:lvlJc w:val="left"/>
      <w:pPr>
        <w:tabs>
          <w:tab w:val="num" w:pos="4320"/>
          <w:tab w:val="clear" w:pos="0"/>
        </w:tabs>
        <w:ind w:left="4320" w:hanging="360"/>
      </w:pPr>
      <w:rPr>
        <w:rFonts w:ascii="Book Antiqua" w:cs="Book Antiqua" w:hAnsi="Book Antiqua" w:eastAsia="Book Antiqua"/>
        <w:position w:val="0"/>
        <w:sz w:val="24"/>
        <w:szCs w:val="24"/>
      </w:rPr>
    </w:lvl>
    <w:lvl w:ilvl="6">
      <w:start w:val="1"/>
      <w:numFmt w:val="bullet"/>
      <w:suff w:val="tab"/>
      <w:lvlText w:val="•"/>
      <w:lvlJc w:val="left"/>
      <w:pPr>
        <w:tabs>
          <w:tab w:val="num" w:pos="5040"/>
          <w:tab w:val="clear" w:pos="0"/>
        </w:tabs>
        <w:ind w:left="5040" w:hanging="360"/>
      </w:pPr>
      <w:rPr>
        <w:rFonts w:ascii="Book Antiqua" w:cs="Book Antiqua" w:hAnsi="Book Antiqua" w:eastAsia="Book Antiqua"/>
        <w:position w:val="0"/>
        <w:sz w:val="24"/>
        <w:szCs w:val="24"/>
      </w:rPr>
    </w:lvl>
    <w:lvl w:ilvl="7">
      <w:start w:val="1"/>
      <w:numFmt w:val="bullet"/>
      <w:suff w:val="tab"/>
      <w:lvlText w:val="o"/>
      <w:lvlJc w:val="left"/>
      <w:pPr>
        <w:tabs>
          <w:tab w:val="num" w:pos="5760"/>
          <w:tab w:val="clear" w:pos="0"/>
        </w:tabs>
        <w:ind w:left="5760" w:hanging="360"/>
      </w:pPr>
      <w:rPr>
        <w:rFonts w:ascii="Book Antiqua" w:cs="Book Antiqua" w:hAnsi="Book Antiqua" w:eastAsia="Book Antiqua"/>
        <w:position w:val="0"/>
        <w:sz w:val="24"/>
        <w:szCs w:val="24"/>
      </w:rPr>
    </w:lvl>
    <w:lvl w:ilvl="8">
      <w:start w:val="1"/>
      <w:numFmt w:val="bullet"/>
      <w:suff w:val="tab"/>
      <w:lvlText w:val="▪"/>
      <w:lvlJc w:val="left"/>
      <w:pPr>
        <w:tabs>
          <w:tab w:val="num" w:pos="6480"/>
          <w:tab w:val="clear" w:pos="0"/>
        </w:tabs>
        <w:ind w:left="6480" w:hanging="360"/>
      </w:pPr>
      <w:rPr>
        <w:rFonts w:ascii="Book Antiqua" w:cs="Book Antiqua" w:hAnsi="Book Antiqua" w:eastAsia="Book Antiqua"/>
        <w:position w:val="0"/>
        <w:sz w:val="24"/>
        <w:szCs w:val="24"/>
      </w:rPr>
    </w:lvl>
  </w:abstractNum>
  <w:abstractNum w:abstractNumId="68">
    <w:multiLevelType w:val="multilevel"/>
    <w:lvl w:ilvl="0">
      <w:start w:val="1"/>
      <w:numFmt w:val="lowerLetter"/>
      <w:suff w:val="tab"/>
      <w:lvlText w:val="%1)"/>
      <w:lvlJc w:val="left"/>
      <w:pPr/>
      <w:rPr>
        <w:position w:val="0"/>
      </w:rPr>
    </w:lvl>
    <w:lvl w:ilvl="1">
      <w:start w:val="1"/>
      <w:numFmt w:val="bullet"/>
      <w:suff w:val="tab"/>
      <w:lvlText w:val="o"/>
      <w:lvlJc w:val="left"/>
      <w:pPr/>
      <w:rPr>
        <w:position w:val="0"/>
      </w:rPr>
    </w:lvl>
    <w:lvl w:ilvl="2">
      <w:start w:val="1"/>
      <w:numFmt w:val="bullet"/>
      <w:suff w:val="tab"/>
      <w:lvlText w:val="▪"/>
      <w:lvlJc w:val="left"/>
      <w:pPr/>
      <w:rPr>
        <w:position w:val="0"/>
      </w:rPr>
    </w:lvl>
    <w:lvl w:ilvl="3">
      <w:start w:val="1"/>
      <w:numFmt w:val="bullet"/>
      <w:suff w:val="tab"/>
      <w:lvlText w:val="•"/>
      <w:lvlJc w:val="left"/>
      <w:pPr/>
      <w:rPr>
        <w:position w:val="0"/>
      </w:rPr>
    </w:lvl>
    <w:lvl w:ilvl="4">
      <w:start w:val="1"/>
      <w:numFmt w:val="bullet"/>
      <w:suff w:val="tab"/>
      <w:lvlText w:val="o"/>
      <w:lvlJc w:val="left"/>
      <w:pPr/>
      <w:rPr>
        <w:position w:val="0"/>
      </w:rPr>
    </w:lvl>
    <w:lvl w:ilvl="5">
      <w:start w:val="1"/>
      <w:numFmt w:val="bullet"/>
      <w:suff w:val="tab"/>
      <w:lvlText w:val="▪"/>
      <w:lvlJc w:val="left"/>
      <w:pPr/>
      <w:rPr>
        <w:position w:val="0"/>
      </w:rPr>
    </w:lvl>
    <w:lvl w:ilvl="6">
      <w:start w:val="1"/>
      <w:numFmt w:val="bullet"/>
      <w:suff w:val="tab"/>
      <w:lvlText w:val="•"/>
      <w:lvlJc w:val="left"/>
      <w:pPr/>
      <w:rPr>
        <w:position w:val="0"/>
      </w:rPr>
    </w:lvl>
    <w:lvl w:ilvl="7">
      <w:start w:val="1"/>
      <w:numFmt w:val="bullet"/>
      <w:suff w:val="tab"/>
      <w:lvlText w:val="o"/>
      <w:lvlJc w:val="left"/>
      <w:pPr/>
      <w:rPr>
        <w:position w:val="0"/>
      </w:rPr>
    </w:lvl>
    <w:lvl w:ilvl="8">
      <w:start w:val="1"/>
      <w:numFmt w:val="bullet"/>
      <w:suff w:val="tab"/>
      <w:lvlText w:val="▪"/>
      <w:lvlJc w:val="left"/>
      <w:pPr/>
      <w:rPr>
        <w:position w:val="0"/>
      </w:rPr>
    </w:lvl>
  </w:abstractNum>
  <w:abstractNum w:abstractNumId="69">
    <w:multiLevelType w:val="multilevel"/>
    <w:styleLink w:val="List 14"/>
    <w:lvl w:ilvl="0">
      <w:start w:val="1"/>
      <w:numFmt w:val="lowerLetter"/>
      <w:suff w:val="tab"/>
      <w:lvlText w:val="%1)"/>
      <w:lvlJc w:val="left"/>
      <w:pPr>
        <w:tabs>
          <w:tab w:val="num" w:pos="567"/>
          <w:tab w:val="clear" w:pos="0"/>
        </w:tabs>
        <w:ind w:left="567" w:hanging="141"/>
      </w:pPr>
      <w:rPr>
        <w:rFonts w:ascii="Book Antiqua" w:cs="Book Antiqua" w:hAnsi="Book Antiqua" w:eastAsia="Book Antiqua"/>
        <w:position w:val="0"/>
        <w:sz w:val="24"/>
        <w:szCs w:val="24"/>
      </w:rPr>
    </w:lvl>
    <w:lvl w:ilvl="1">
      <w:start w:val="1"/>
      <w:numFmt w:val="bullet"/>
      <w:suff w:val="tab"/>
      <w:lvlText w:val="o"/>
      <w:lvlJc w:val="left"/>
      <w:pPr>
        <w:tabs>
          <w:tab w:val="num" w:pos="1440"/>
          <w:tab w:val="clear" w:pos="0"/>
        </w:tabs>
        <w:ind w:left="1440" w:hanging="360"/>
      </w:pPr>
      <w:rPr>
        <w:rFonts w:ascii="Book Antiqua" w:cs="Book Antiqua" w:hAnsi="Book Antiqua" w:eastAsia="Book Antiqua"/>
        <w:position w:val="0"/>
        <w:sz w:val="24"/>
        <w:szCs w:val="24"/>
      </w:rPr>
    </w:lvl>
    <w:lvl w:ilvl="2">
      <w:start w:val="1"/>
      <w:numFmt w:val="bullet"/>
      <w:suff w:val="tab"/>
      <w:lvlText w:val="▪"/>
      <w:lvlJc w:val="left"/>
      <w:pPr>
        <w:tabs>
          <w:tab w:val="num" w:pos="2160"/>
          <w:tab w:val="clear" w:pos="0"/>
        </w:tabs>
        <w:ind w:left="2160" w:hanging="360"/>
      </w:pPr>
      <w:rPr>
        <w:rFonts w:ascii="Book Antiqua" w:cs="Book Antiqua" w:hAnsi="Book Antiqua" w:eastAsia="Book Antiqua"/>
        <w:position w:val="0"/>
        <w:sz w:val="24"/>
        <w:szCs w:val="24"/>
      </w:rPr>
    </w:lvl>
    <w:lvl w:ilvl="3">
      <w:start w:val="1"/>
      <w:numFmt w:val="bullet"/>
      <w:suff w:val="tab"/>
      <w:lvlText w:val="•"/>
      <w:lvlJc w:val="left"/>
      <w:pPr>
        <w:tabs>
          <w:tab w:val="num" w:pos="2880"/>
          <w:tab w:val="clear" w:pos="0"/>
        </w:tabs>
        <w:ind w:left="2880" w:hanging="360"/>
      </w:pPr>
      <w:rPr>
        <w:rFonts w:ascii="Book Antiqua" w:cs="Book Antiqua" w:hAnsi="Book Antiqua" w:eastAsia="Book Antiqua"/>
        <w:position w:val="0"/>
        <w:sz w:val="24"/>
        <w:szCs w:val="24"/>
      </w:rPr>
    </w:lvl>
    <w:lvl w:ilvl="4">
      <w:start w:val="1"/>
      <w:numFmt w:val="bullet"/>
      <w:suff w:val="tab"/>
      <w:lvlText w:val="o"/>
      <w:lvlJc w:val="left"/>
      <w:pPr>
        <w:tabs>
          <w:tab w:val="num" w:pos="3600"/>
          <w:tab w:val="clear" w:pos="0"/>
        </w:tabs>
        <w:ind w:left="3600" w:hanging="360"/>
      </w:pPr>
      <w:rPr>
        <w:rFonts w:ascii="Book Antiqua" w:cs="Book Antiqua" w:hAnsi="Book Antiqua" w:eastAsia="Book Antiqua"/>
        <w:position w:val="0"/>
        <w:sz w:val="24"/>
        <w:szCs w:val="24"/>
      </w:rPr>
    </w:lvl>
    <w:lvl w:ilvl="5">
      <w:start w:val="1"/>
      <w:numFmt w:val="bullet"/>
      <w:suff w:val="tab"/>
      <w:lvlText w:val="▪"/>
      <w:lvlJc w:val="left"/>
      <w:pPr>
        <w:tabs>
          <w:tab w:val="num" w:pos="4320"/>
          <w:tab w:val="clear" w:pos="0"/>
        </w:tabs>
        <w:ind w:left="4320" w:hanging="360"/>
      </w:pPr>
      <w:rPr>
        <w:rFonts w:ascii="Book Antiqua" w:cs="Book Antiqua" w:hAnsi="Book Antiqua" w:eastAsia="Book Antiqua"/>
        <w:position w:val="0"/>
        <w:sz w:val="24"/>
        <w:szCs w:val="24"/>
      </w:rPr>
    </w:lvl>
    <w:lvl w:ilvl="6">
      <w:start w:val="1"/>
      <w:numFmt w:val="bullet"/>
      <w:suff w:val="tab"/>
      <w:lvlText w:val="•"/>
      <w:lvlJc w:val="left"/>
      <w:pPr>
        <w:tabs>
          <w:tab w:val="num" w:pos="5040"/>
          <w:tab w:val="clear" w:pos="0"/>
        </w:tabs>
        <w:ind w:left="5040" w:hanging="360"/>
      </w:pPr>
      <w:rPr>
        <w:rFonts w:ascii="Book Antiqua" w:cs="Book Antiqua" w:hAnsi="Book Antiqua" w:eastAsia="Book Antiqua"/>
        <w:position w:val="0"/>
        <w:sz w:val="24"/>
        <w:szCs w:val="24"/>
      </w:rPr>
    </w:lvl>
    <w:lvl w:ilvl="7">
      <w:start w:val="1"/>
      <w:numFmt w:val="bullet"/>
      <w:suff w:val="tab"/>
      <w:lvlText w:val="o"/>
      <w:lvlJc w:val="left"/>
      <w:pPr>
        <w:tabs>
          <w:tab w:val="num" w:pos="5760"/>
          <w:tab w:val="clear" w:pos="0"/>
        </w:tabs>
        <w:ind w:left="5760" w:hanging="360"/>
      </w:pPr>
      <w:rPr>
        <w:rFonts w:ascii="Book Antiqua" w:cs="Book Antiqua" w:hAnsi="Book Antiqua" w:eastAsia="Book Antiqua"/>
        <w:position w:val="0"/>
        <w:sz w:val="24"/>
        <w:szCs w:val="24"/>
      </w:rPr>
    </w:lvl>
    <w:lvl w:ilvl="8">
      <w:start w:val="1"/>
      <w:numFmt w:val="bullet"/>
      <w:suff w:val="tab"/>
      <w:lvlText w:val="▪"/>
      <w:lvlJc w:val="left"/>
      <w:pPr>
        <w:tabs>
          <w:tab w:val="num" w:pos="6480"/>
          <w:tab w:val="clear" w:pos="0"/>
        </w:tabs>
        <w:ind w:left="6480" w:hanging="360"/>
      </w:pPr>
      <w:rPr>
        <w:rFonts w:ascii="Book Antiqua" w:cs="Book Antiqua" w:hAnsi="Book Antiqua" w:eastAsia="Book Antiqua"/>
        <w:position w:val="0"/>
        <w:sz w:val="24"/>
        <w:szCs w:val="24"/>
      </w:rPr>
    </w:lvl>
  </w:abstractNum>
  <w:abstractNum w:abstractNumId="70">
    <w:multiLevelType w:val="multilevel"/>
    <w:lvl w:ilvl="0">
      <w:start w:val="1"/>
      <w:numFmt w:val="bullet"/>
      <w:suff w:val="tab"/>
      <w:lvlText w:val="-"/>
      <w:lvlJc w:val="left"/>
      <w:pPr/>
      <w:rPr>
        <w:rFonts w:ascii="Book Antiqua" w:cs="Book Antiqua" w:hAnsi="Book Antiqua" w:eastAsia="Book Antiqua"/>
        <w:position w:val="0"/>
      </w:rPr>
    </w:lvl>
    <w:lvl w:ilvl="1">
      <w:start w:val="1"/>
      <w:numFmt w:val="bullet"/>
      <w:suff w:val="tab"/>
      <w:lvlText w:val="o"/>
      <w:lvlJc w:val="left"/>
      <w:pPr/>
      <w:rPr>
        <w:rFonts w:ascii="Book Antiqua" w:cs="Book Antiqua" w:hAnsi="Book Antiqua" w:eastAsia="Book Antiqua"/>
        <w:position w:val="0"/>
      </w:rPr>
    </w:lvl>
    <w:lvl w:ilvl="2">
      <w:start w:val="1"/>
      <w:numFmt w:val="bullet"/>
      <w:suff w:val="tab"/>
      <w:lvlText w:val="▪"/>
      <w:lvlJc w:val="left"/>
      <w:pPr/>
      <w:rPr>
        <w:rFonts w:ascii="Book Antiqua" w:cs="Book Antiqua" w:hAnsi="Book Antiqua" w:eastAsia="Book Antiqua"/>
        <w:position w:val="0"/>
      </w:rPr>
    </w:lvl>
    <w:lvl w:ilvl="3">
      <w:start w:val="1"/>
      <w:numFmt w:val="bullet"/>
      <w:suff w:val="tab"/>
      <w:lvlText w:val="•"/>
      <w:lvlJc w:val="left"/>
      <w:pPr/>
      <w:rPr>
        <w:rFonts w:ascii="Book Antiqua" w:cs="Book Antiqua" w:hAnsi="Book Antiqua" w:eastAsia="Book Antiqua"/>
        <w:position w:val="0"/>
      </w:rPr>
    </w:lvl>
    <w:lvl w:ilvl="4">
      <w:start w:val="1"/>
      <w:numFmt w:val="bullet"/>
      <w:suff w:val="tab"/>
      <w:lvlText w:val="o"/>
      <w:lvlJc w:val="left"/>
      <w:pPr/>
      <w:rPr>
        <w:rFonts w:ascii="Book Antiqua" w:cs="Book Antiqua" w:hAnsi="Book Antiqua" w:eastAsia="Book Antiqua"/>
        <w:position w:val="0"/>
      </w:rPr>
    </w:lvl>
    <w:lvl w:ilvl="5">
      <w:start w:val="1"/>
      <w:numFmt w:val="bullet"/>
      <w:suff w:val="tab"/>
      <w:lvlText w:val="▪"/>
      <w:lvlJc w:val="left"/>
      <w:pPr/>
      <w:rPr>
        <w:rFonts w:ascii="Book Antiqua" w:cs="Book Antiqua" w:hAnsi="Book Antiqua" w:eastAsia="Book Antiqua"/>
        <w:position w:val="0"/>
      </w:rPr>
    </w:lvl>
    <w:lvl w:ilvl="6">
      <w:start w:val="1"/>
      <w:numFmt w:val="bullet"/>
      <w:suff w:val="tab"/>
      <w:lvlText w:val="•"/>
      <w:lvlJc w:val="left"/>
      <w:pPr/>
      <w:rPr>
        <w:rFonts w:ascii="Book Antiqua" w:cs="Book Antiqua" w:hAnsi="Book Antiqua" w:eastAsia="Book Antiqua"/>
        <w:position w:val="0"/>
      </w:rPr>
    </w:lvl>
    <w:lvl w:ilvl="7">
      <w:start w:val="1"/>
      <w:numFmt w:val="bullet"/>
      <w:suff w:val="tab"/>
      <w:lvlText w:val="o"/>
      <w:lvlJc w:val="left"/>
      <w:pPr/>
      <w:rPr>
        <w:rFonts w:ascii="Book Antiqua" w:cs="Book Antiqua" w:hAnsi="Book Antiqua" w:eastAsia="Book Antiqua"/>
        <w:position w:val="0"/>
      </w:rPr>
    </w:lvl>
    <w:lvl w:ilvl="8">
      <w:start w:val="1"/>
      <w:numFmt w:val="bullet"/>
      <w:suff w:val="tab"/>
      <w:lvlText w:val="▪"/>
      <w:lvlJc w:val="left"/>
      <w:pPr/>
      <w:rPr>
        <w:rFonts w:ascii="Book Antiqua" w:cs="Book Antiqua" w:hAnsi="Book Antiqua" w:eastAsia="Book Antiqua"/>
        <w:position w:val="0"/>
      </w:rPr>
    </w:lvl>
  </w:abstractNum>
  <w:abstractNum w:abstractNumId="71">
    <w:multiLevelType w:val="multilevel"/>
    <w:lvl w:ilvl="0">
      <w:start w:val="1"/>
      <w:numFmt w:val="bullet"/>
      <w:suff w:val="tab"/>
      <w:lvlText w:val="-"/>
      <w:lvlJc w:val="left"/>
      <w:pPr/>
      <w:rPr>
        <w:position w:val="0"/>
      </w:rPr>
    </w:lvl>
    <w:lvl w:ilvl="1">
      <w:start w:val="1"/>
      <w:numFmt w:val="bullet"/>
      <w:suff w:val="tab"/>
      <w:lvlText w:val="o"/>
      <w:lvlJc w:val="left"/>
      <w:pPr/>
      <w:rPr>
        <w:position w:val="0"/>
      </w:rPr>
    </w:lvl>
    <w:lvl w:ilvl="2">
      <w:start w:val="1"/>
      <w:numFmt w:val="bullet"/>
      <w:suff w:val="tab"/>
      <w:lvlText w:val="▪"/>
      <w:lvlJc w:val="left"/>
      <w:pPr/>
      <w:rPr>
        <w:position w:val="0"/>
      </w:rPr>
    </w:lvl>
    <w:lvl w:ilvl="3">
      <w:start w:val="1"/>
      <w:numFmt w:val="bullet"/>
      <w:suff w:val="tab"/>
      <w:lvlText w:val="•"/>
      <w:lvlJc w:val="left"/>
      <w:pPr/>
      <w:rPr>
        <w:position w:val="0"/>
      </w:rPr>
    </w:lvl>
    <w:lvl w:ilvl="4">
      <w:start w:val="1"/>
      <w:numFmt w:val="bullet"/>
      <w:suff w:val="tab"/>
      <w:lvlText w:val="o"/>
      <w:lvlJc w:val="left"/>
      <w:pPr/>
      <w:rPr>
        <w:position w:val="0"/>
      </w:rPr>
    </w:lvl>
    <w:lvl w:ilvl="5">
      <w:start w:val="1"/>
      <w:numFmt w:val="bullet"/>
      <w:suff w:val="tab"/>
      <w:lvlText w:val="▪"/>
      <w:lvlJc w:val="left"/>
      <w:pPr/>
      <w:rPr>
        <w:position w:val="0"/>
      </w:rPr>
    </w:lvl>
    <w:lvl w:ilvl="6">
      <w:start w:val="1"/>
      <w:numFmt w:val="bullet"/>
      <w:suff w:val="tab"/>
      <w:lvlText w:val="•"/>
      <w:lvlJc w:val="left"/>
      <w:pPr/>
      <w:rPr>
        <w:position w:val="0"/>
      </w:rPr>
    </w:lvl>
    <w:lvl w:ilvl="7">
      <w:start w:val="1"/>
      <w:numFmt w:val="bullet"/>
      <w:suff w:val="tab"/>
      <w:lvlText w:val="o"/>
      <w:lvlJc w:val="left"/>
      <w:pPr/>
      <w:rPr>
        <w:position w:val="0"/>
      </w:rPr>
    </w:lvl>
    <w:lvl w:ilvl="8">
      <w:start w:val="1"/>
      <w:numFmt w:val="bullet"/>
      <w:suff w:val="tab"/>
      <w:lvlText w:val="▪"/>
      <w:lvlJc w:val="left"/>
      <w:pPr/>
      <w:rPr>
        <w:position w:val="0"/>
      </w:rPr>
    </w:lvl>
  </w:abstractNum>
  <w:abstractNum w:abstractNumId="72">
    <w:multiLevelType w:val="multilevel"/>
    <w:styleLink w:val="List 15"/>
    <w:lvl w:ilvl="0">
      <w:start w:val="0"/>
      <w:numFmt w:val="bullet"/>
      <w:suff w:val="tab"/>
      <w:lvlText w:val="-"/>
      <w:lvlJc w:val="left"/>
      <w:pPr/>
      <w:rPr>
        <w:rFonts w:ascii="Book Antiqua" w:cs="Book Antiqua" w:hAnsi="Book Antiqua" w:eastAsia="Book Antiqua"/>
        <w:position w:val="0"/>
      </w:rPr>
    </w:lvl>
    <w:lvl w:ilvl="1">
      <w:start w:val="1"/>
      <w:numFmt w:val="bullet"/>
      <w:suff w:val="tab"/>
      <w:lvlText w:val="o"/>
      <w:lvlJc w:val="left"/>
      <w:pPr/>
      <w:rPr>
        <w:rFonts w:ascii="Book Antiqua" w:cs="Book Antiqua" w:hAnsi="Book Antiqua" w:eastAsia="Book Antiqua"/>
        <w:position w:val="0"/>
      </w:rPr>
    </w:lvl>
    <w:lvl w:ilvl="2">
      <w:start w:val="1"/>
      <w:numFmt w:val="bullet"/>
      <w:suff w:val="tab"/>
      <w:lvlText w:val="▪"/>
      <w:lvlJc w:val="left"/>
      <w:pPr/>
      <w:rPr>
        <w:rFonts w:ascii="Book Antiqua" w:cs="Book Antiqua" w:hAnsi="Book Antiqua" w:eastAsia="Book Antiqua"/>
        <w:position w:val="0"/>
      </w:rPr>
    </w:lvl>
    <w:lvl w:ilvl="3">
      <w:start w:val="1"/>
      <w:numFmt w:val="bullet"/>
      <w:suff w:val="tab"/>
      <w:lvlText w:val="•"/>
      <w:lvlJc w:val="left"/>
      <w:pPr/>
      <w:rPr>
        <w:rFonts w:ascii="Book Antiqua" w:cs="Book Antiqua" w:hAnsi="Book Antiqua" w:eastAsia="Book Antiqua"/>
        <w:position w:val="0"/>
      </w:rPr>
    </w:lvl>
    <w:lvl w:ilvl="4">
      <w:start w:val="1"/>
      <w:numFmt w:val="bullet"/>
      <w:suff w:val="tab"/>
      <w:lvlText w:val="o"/>
      <w:lvlJc w:val="left"/>
      <w:pPr/>
      <w:rPr>
        <w:rFonts w:ascii="Book Antiqua" w:cs="Book Antiqua" w:hAnsi="Book Antiqua" w:eastAsia="Book Antiqua"/>
        <w:position w:val="0"/>
      </w:rPr>
    </w:lvl>
    <w:lvl w:ilvl="5">
      <w:start w:val="1"/>
      <w:numFmt w:val="bullet"/>
      <w:suff w:val="tab"/>
      <w:lvlText w:val="▪"/>
      <w:lvlJc w:val="left"/>
      <w:pPr/>
      <w:rPr>
        <w:rFonts w:ascii="Book Antiqua" w:cs="Book Antiqua" w:hAnsi="Book Antiqua" w:eastAsia="Book Antiqua"/>
        <w:position w:val="0"/>
      </w:rPr>
    </w:lvl>
    <w:lvl w:ilvl="6">
      <w:start w:val="1"/>
      <w:numFmt w:val="bullet"/>
      <w:suff w:val="tab"/>
      <w:lvlText w:val="•"/>
      <w:lvlJc w:val="left"/>
      <w:pPr/>
      <w:rPr>
        <w:rFonts w:ascii="Book Antiqua" w:cs="Book Antiqua" w:hAnsi="Book Antiqua" w:eastAsia="Book Antiqua"/>
        <w:position w:val="0"/>
      </w:rPr>
    </w:lvl>
    <w:lvl w:ilvl="7">
      <w:start w:val="1"/>
      <w:numFmt w:val="bullet"/>
      <w:suff w:val="tab"/>
      <w:lvlText w:val="o"/>
      <w:lvlJc w:val="left"/>
      <w:pPr/>
      <w:rPr>
        <w:rFonts w:ascii="Book Antiqua" w:cs="Book Antiqua" w:hAnsi="Book Antiqua" w:eastAsia="Book Antiqua"/>
        <w:position w:val="0"/>
      </w:rPr>
    </w:lvl>
    <w:lvl w:ilvl="8">
      <w:start w:val="1"/>
      <w:numFmt w:val="bullet"/>
      <w:suff w:val="tab"/>
      <w:lvlText w:val="▪"/>
      <w:lvlJc w:val="left"/>
      <w:pPr/>
      <w:rPr>
        <w:rFonts w:ascii="Book Antiqua" w:cs="Book Antiqua" w:hAnsi="Book Antiqua" w:eastAsia="Book Antiqua"/>
        <w:position w:val="0"/>
      </w:rPr>
    </w:lvl>
  </w:abstractNum>
  <w:abstractNum w:abstractNumId="73">
    <w:multiLevelType w:val="multilevel"/>
    <w:lvl w:ilvl="0">
      <w:start w:val="1"/>
      <w:numFmt w:val="bullet"/>
      <w:suff w:val="tab"/>
      <w:lvlText w:val="-"/>
      <w:lvlJc w:val="left"/>
      <w:pPr/>
      <w:rPr>
        <w:rFonts w:ascii="Book Antiqua" w:cs="Book Antiqua" w:hAnsi="Book Antiqua" w:eastAsia="Book Antiqua"/>
        <w:position w:val="0"/>
      </w:rPr>
    </w:lvl>
    <w:lvl w:ilvl="1">
      <w:start w:val="1"/>
      <w:numFmt w:val="bullet"/>
      <w:suff w:val="tab"/>
      <w:lvlText w:val="o"/>
      <w:lvlJc w:val="left"/>
      <w:pPr/>
      <w:rPr>
        <w:rFonts w:ascii="Book Antiqua" w:cs="Book Antiqua" w:hAnsi="Book Antiqua" w:eastAsia="Book Antiqua"/>
        <w:position w:val="0"/>
      </w:rPr>
    </w:lvl>
    <w:lvl w:ilvl="2">
      <w:start w:val="1"/>
      <w:numFmt w:val="bullet"/>
      <w:suff w:val="tab"/>
      <w:lvlText w:val="▪"/>
      <w:lvlJc w:val="left"/>
      <w:pPr/>
      <w:rPr>
        <w:rFonts w:ascii="Book Antiqua" w:cs="Book Antiqua" w:hAnsi="Book Antiqua" w:eastAsia="Book Antiqua"/>
        <w:position w:val="0"/>
      </w:rPr>
    </w:lvl>
    <w:lvl w:ilvl="3">
      <w:start w:val="1"/>
      <w:numFmt w:val="bullet"/>
      <w:suff w:val="tab"/>
      <w:lvlText w:val="•"/>
      <w:lvlJc w:val="left"/>
      <w:pPr/>
      <w:rPr>
        <w:rFonts w:ascii="Book Antiqua" w:cs="Book Antiqua" w:hAnsi="Book Antiqua" w:eastAsia="Book Antiqua"/>
        <w:position w:val="0"/>
      </w:rPr>
    </w:lvl>
    <w:lvl w:ilvl="4">
      <w:start w:val="1"/>
      <w:numFmt w:val="bullet"/>
      <w:suff w:val="tab"/>
      <w:lvlText w:val="o"/>
      <w:lvlJc w:val="left"/>
      <w:pPr/>
      <w:rPr>
        <w:rFonts w:ascii="Book Antiqua" w:cs="Book Antiqua" w:hAnsi="Book Antiqua" w:eastAsia="Book Antiqua"/>
        <w:position w:val="0"/>
      </w:rPr>
    </w:lvl>
    <w:lvl w:ilvl="5">
      <w:start w:val="1"/>
      <w:numFmt w:val="bullet"/>
      <w:suff w:val="tab"/>
      <w:lvlText w:val="▪"/>
      <w:lvlJc w:val="left"/>
      <w:pPr/>
      <w:rPr>
        <w:rFonts w:ascii="Book Antiqua" w:cs="Book Antiqua" w:hAnsi="Book Antiqua" w:eastAsia="Book Antiqua"/>
        <w:position w:val="0"/>
      </w:rPr>
    </w:lvl>
    <w:lvl w:ilvl="6">
      <w:start w:val="1"/>
      <w:numFmt w:val="bullet"/>
      <w:suff w:val="tab"/>
      <w:lvlText w:val="•"/>
      <w:lvlJc w:val="left"/>
      <w:pPr/>
      <w:rPr>
        <w:rFonts w:ascii="Book Antiqua" w:cs="Book Antiqua" w:hAnsi="Book Antiqua" w:eastAsia="Book Antiqua"/>
        <w:position w:val="0"/>
      </w:rPr>
    </w:lvl>
    <w:lvl w:ilvl="7">
      <w:start w:val="1"/>
      <w:numFmt w:val="bullet"/>
      <w:suff w:val="tab"/>
      <w:lvlText w:val="o"/>
      <w:lvlJc w:val="left"/>
      <w:pPr/>
      <w:rPr>
        <w:rFonts w:ascii="Book Antiqua" w:cs="Book Antiqua" w:hAnsi="Book Antiqua" w:eastAsia="Book Antiqua"/>
        <w:position w:val="0"/>
      </w:rPr>
    </w:lvl>
    <w:lvl w:ilvl="8">
      <w:start w:val="1"/>
      <w:numFmt w:val="bullet"/>
      <w:suff w:val="tab"/>
      <w:lvlText w:val="▪"/>
      <w:lvlJc w:val="left"/>
      <w:pPr/>
      <w:rPr>
        <w:rFonts w:ascii="Book Antiqua" w:cs="Book Antiqua" w:hAnsi="Book Antiqua" w:eastAsia="Book Antiqua"/>
        <w:position w:val="0"/>
      </w:rPr>
    </w:lvl>
  </w:abstractNum>
  <w:abstractNum w:abstractNumId="74">
    <w:multiLevelType w:val="multilevel"/>
    <w:styleLink w:val="List 16"/>
    <w:lvl w:ilvl="0">
      <w:start w:val="1"/>
      <w:numFmt w:val="bullet"/>
      <w:suff w:val="tab"/>
      <w:lvlText w:val="-"/>
      <w:lvlJc w:val="left"/>
      <w:pPr/>
      <w:rPr>
        <w:rFonts w:ascii="Book Antiqua" w:cs="Book Antiqua" w:hAnsi="Book Antiqua" w:eastAsia="Book Antiqua"/>
        <w:position w:val="0"/>
      </w:rPr>
    </w:lvl>
    <w:lvl w:ilvl="1">
      <w:start w:val="0"/>
      <w:numFmt w:val="bullet"/>
      <w:suff w:val="tab"/>
      <w:lvlText w:val="o"/>
      <w:lvlJc w:val="left"/>
      <w:pPr/>
      <w:rPr>
        <w:rFonts w:ascii="Book Antiqua" w:cs="Book Antiqua" w:hAnsi="Book Antiqua" w:eastAsia="Book Antiqua"/>
        <w:position w:val="0"/>
      </w:rPr>
    </w:lvl>
    <w:lvl w:ilvl="2">
      <w:start w:val="1"/>
      <w:numFmt w:val="bullet"/>
      <w:suff w:val="tab"/>
      <w:lvlText w:val="▪"/>
      <w:lvlJc w:val="left"/>
      <w:pPr/>
      <w:rPr>
        <w:rFonts w:ascii="Book Antiqua" w:cs="Book Antiqua" w:hAnsi="Book Antiqua" w:eastAsia="Book Antiqua"/>
        <w:position w:val="0"/>
      </w:rPr>
    </w:lvl>
    <w:lvl w:ilvl="3">
      <w:start w:val="1"/>
      <w:numFmt w:val="bullet"/>
      <w:suff w:val="tab"/>
      <w:lvlText w:val="•"/>
      <w:lvlJc w:val="left"/>
      <w:pPr/>
      <w:rPr>
        <w:rFonts w:ascii="Book Antiqua" w:cs="Book Antiqua" w:hAnsi="Book Antiqua" w:eastAsia="Book Antiqua"/>
        <w:position w:val="0"/>
      </w:rPr>
    </w:lvl>
    <w:lvl w:ilvl="4">
      <w:start w:val="1"/>
      <w:numFmt w:val="bullet"/>
      <w:suff w:val="tab"/>
      <w:lvlText w:val="o"/>
      <w:lvlJc w:val="left"/>
      <w:pPr/>
      <w:rPr>
        <w:rFonts w:ascii="Book Antiqua" w:cs="Book Antiqua" w:hAnsi="Book Antiqua" w:eastAsia="Book Antiqua"/>
        <w:position w:val="0"/>
      </w:rPr>
    </w:lvl>
    <w:lvl w:ilvl="5">
      <w:start w:val="1"/>
      <w:numFmt w:val="bullet"/>
      <w:suff w:val="tab"/>
      <w:lvlText w:val="▪"/>
      <w:lvlJc w:val="left"/>
      <w:pPr/>
      <w:rPr>
        <w:rFonts w:ascii="Book Antiqua" w:cs="Book Antiqua" w:hAnsi="Book Antiqua" w:eastAsia="Book Antiqua"/>
        <w:position w:val="0"/>
      </w:rPr>
    </w:lvl>
    <w:lvl w:ilvl="6">
      <w:start w:val="1"/>
      <w:numFmt w:val="bullet"/>
      <w:suff w:val="tab"/>
      <w:lvlText w:val="•"/>
      <w:lvlJc w:val="left"/>
      <w:pPr/>
      <w:rPr>
        <w:rFonts w:ascii="Book Antiqua" w:cs="Book Antiqua" w:hAnsi="Book Antiqua" w:eastAsia="Book Antiqua"/>
        <w:position w:val="0"/>
      </w:rPr>
    </w:lvl>
    <w:lvl w:ilvl="7">
      <w:start w:val="1"/>
      <w:numFmt w:val="bullet"/>
      <w:suff w:val="tab"/>
      <w:lvlText w:val="o"/>
      <w:lvlJc w:val="left"/>
      <w:pPr/>
      <w:rPr>
        <w:rFonts w:ascii="Book Antiqua" w:cs="Book Antiqua" w:hAnsi="Book Antiqua" w:eastAsia="Book Antiqua"/>
        <w:position w:val="0"/>
      </w:rPr>
    </w:lvl>
    <w:lvl w:ilvl="8">
      <w:start w:val="1"/>
      <w:numFmt w:val="bullet"/>
      <w:suff w:val="tab"/>
      <w:lvlText w:val="▪"/>
      <w:lvlJc w:val="left"/>
      <w:pPr/>
      <w:rPr>
        <w:rFonts w:ascii="Book Antiqua" w:cs="Book Antiqua" w:hAnsi="Book Antiqua" w:eastAsia="Book Antiqua"/>
        <w:position w:val="0"/>
      </w:rPr>
    </w:lvl>
  </w:abstractNum>
  <w:abstractNum w:abstractNumId="75">
    <w:multiLevelType w:val="multilevel"/>
    <w:styleLink w:val="List 16"/>
    <w:lvl w:ilvl="0">
      <w:start w:val="1"/>
      <w:numFmt w:val="bullet"/>
      <w:suff w:val="tab"/>
      <w:lvlText w:val="-"/>
      <w:lvlJc w:val="left"/>
      <w:pPr/>
      <w:rPr>
        <w:rFonts w:ascii="Book Antiqua" w:cs="Book Antiqua" w:hAnsi="Book Antiqua" w:eastAsia="Book Antiqua"/>
        <w:position w:val="0"/>
      </w:rPr>
    </w:lvl>
    <w:lvl w:ilvl="1">
      <w:start w:val="0"/>
      <w:numFmt w:val="bullet"/>
      <w:suff w:val="tab"/>
      <w:lvlText w:val="o"/>
      <w:lvlJc w:val="left"/>
      <w:pPr/>
      <w:rPr>
        <w:rFonts w:ascii="Book Antiqua" w:cs="Book Antiqua" w:hAnsi="Book Antiqua" w:eastAsia="Book Antiqua"/>
        <w:position w:val="0"/>
      </w:rPr>
    </w:lvl>
    <w:lvl w:ilvl="2">
      <w:start w:val="1"/>
      <w:numFmt w:val="bullet"/>
      <w:suff w:val="tab"/>
      <w:lvlText w:val="▪"/>
      <w:lvlJc w:val="left"/>
      <w:pPr/>
      <w:rPr>
        <w:rFonts w:ascii="Book Antiqua" w:cs="Book Antiqua" w:hAnsi="Book Antiqua" w:eastAsia="Book Antiqua"/>
        <w:position w:val="0"/>
      </w:rPr>
    </w:lvl>
    <w:lvl w:ilvl="3">
      <w:start w:val="1"/>
      <w:numFmt w:val="bullet"/>
      <w:suff w:val="tab"/>
      <w:lvlText w:val="•"/>
      <w:lvlJc w:val="left"/>
      <w:pPr/>
      <w:rPr>
        <w:rFonts w:ascii="Book Antiqua" w:cs="Book Antiqua" w:hAnsi="Book Antiqua" w:eastAsia="Book Antiqua"/>
        <w:position w:val="0"/>
      </w:rPr>
    </w:lvl>
    <w:lvl w:ilvl="4">
      <w:start w:val="1"/>
      <w:numFmt w:val="bullet"/>
      <w:suff w:val="tab"/>
      <w:lvlText w:val="o"/>
      <w:lvlJc w:val="left"/>
      <w:pPr/>
      <w:rPr>
        <w:rFonts w:ascii="Book Antiqua" w:cs="Book Antiqua" w:hAnsi="Book Antiqua" w:eastAsia="Book Antiqua"/>
        <w:position w:val="0"/>
      </w:rPr>
    </w:lvl>
    <w:lvl w:ilvl="5">
      <w:start w:val="1"/>
      <w:numFmt w:val="bullet"/>
      <w:suff w:val="tab"/>
      <w:lvlText w:val="▪"/>
      <w:lvlJc w:val="left"/>
      <w:pPr/>
      <w:rPr>
        <w:rFonts w:ascii="Book Antiqua" w:cs="Book Antiqua" w:hAnsi="Book Antiqua" w:eastAsia="Book Antiqua"/>
        <w:position w:val="0"/>
      </w:rPr>
    </w:lvl>
    <w:lvl w:ilvl="6">
      <w:start w:val="1"/>
      <w:numFmt w:val="bullet"/>
      <w:suff w:val="tab"/>
      <w:lvlText w:val="•"/>
      <w:lvlJc w:val="left"/>
      <w:pPr/>
      <w:rPr>
        <w:rFonts w:ascii="Book Antiqua" w:cs="Book Antiqua" w:hAnsi="Book Antiqua" w:eastAsia="Book Antiqua"/>
        <w:position w:val="0"/>
      </w:rPr>
    </w:lvl>
    <w:lvl w:ilvl="7">
      <w:start w:val="1"/>
      <w:numFmt w:val="bullet"/>
      <w:suff w:val="tab"/>
      <w:lvlText w:val="o"/>
      <w:lvlJc w:val="left"/>
      <w:pPr/>
      <w:rPr>
        <w:rFonts w:ascii="Book Antiqua" w:cs="Book Antiqua" w:hAnsi="Book Antiqua" w:eastAsia="Book Antiqua"/>
        <w:position w:val="0"/>
      </w:rPr>
    </w:lvl>
    <w:lvl w:ilvl="8">
      <w:start w:val="1"/>
      <w:numFmt w:val="bullet"/>
      <w:suff w:val="tab"/>
      <w:lvlText w:val="▪"/>
      <w:lvlJc w:val="left"/>
      <w:pPr/>
      <w:rPr>
        <w:rFonts w:ascii="Book Antiqua" w:cs="Book Antiqua" w:hAnsi="Book Antiqua" w:eastAsia="Book Antiqua"/>
        <w:position w:val="0"/>
      </w:rPr>
    </w:lvl>
  </w:abstractNum>
  <w:abstractNum w:abstractNumId="76">
    <w:multiLevelType w:val="multilevel"/>
    <w:styleLink w:val="List 16"/>
    <w:lvl w:ilvl="0">
      <w:start w:val="1"/>
      <w:numFmt w:val="bullet"/>
      <w:suff w:val="tab"/>
      <w:lvlText w:val="-"/>
      <w:lvlJc w:val="left"/>
      <w:pPr/>
      <w:rPr>
        <w:rFonts w:ascii="Book Antiqua" w:cs="Book Antiqua" w:hAnsi="Book Antiqua" w:eastAsia="Book Antiqua"/>
        <w:position w:val="0"/>
      </w:rPr>
    </w:lvl>
    <w:lvl w:ilvl="1">
      <w:start w:val="0"/>
      <w:numFmt w:val="bullet"/>
      <w:suff w:val="tab"/>
      <w:lvlText w:val="o"/>
      <w:lvlJc w:val="left"/>
      <w:pPr/>
      <w:rPr>
        <w:rFonts w:ascii="Book Antiqua" w:cs="Book Antiqua" w:hAnsi="Book Antiqua" w:eastAsia="Book Antiqua"/>
        <w:position w:val="0"/>
      </w:rPr>
    </w:lvl>
    <w:lvl w:ilvl="2">
      <w:start w:val="1"/>
      <w:numFmt w:val="bullet"/>
      <w:suff w:val="tab"/>
      <w:lvlText w:val="▪"/>
      <w:lvlJc w:val="left"/>
      <w:pPr/>
      <w:rPr>
        <w:rFonts w:ascii="Book Antiqua" w:cs="Book Antiqua" w:hAnsi="Book Antiqua" w:eastAsia="Book Antiqua"/>
        <w:position w:val="0"/>
      </w:rPr>
    </w:lvl>
    <w:lvl w:ilvl="3">
      <w:start w:val="1"/>
      <w:numFmt w:val="bullet"/>
      <w:suff w:val="tab"/>
      <w:lvlText w:val="•"/>
      <w:lvlJc w:val="left"/>
      <w:pPr/>
      <w:rPr>
        <w:rFonts w:ascii="Book Antiqua" w:cs="Book Antiqua" w:hAnsi="Book Antiqua" w:eastAsia="Book Antiqua"/>
        <w:position w:val="0"/>
      </w:rPr>
    </w:lvl>
    <w:lvl w:ilvl="4">
      <w:start w:val="1"/>
      <w:numFmt w:val="bullet"/>
      <w:suff w:val="tab"/>
      <w:lvlText w:val="o"/>
      <w:lvlJc w:val="left"/>
      <w:pPr/>
      <w:rPr>
        <w:rFonts w:ascii="Book Antiqua" w:cs="Book Antiqua" w:hAnsi="Book Antiqua" w:eastAsia="Book Antiqua"/>
        <w:position w:val="0"/>
      </w:rPr>
    </w:lvl>
    <w:lvl w:ilvl="5">
      <w:start w:val="1"/>
      <w:numFmt w:val="bullet"/>
      <w:suff w:val="tab"/>
      <w:lvlText w:val="▪"/>
      <w:lvlJc w:val="left"/>
      <w:pPr/>
      <w:rPr>
        <w:rFonts w:ascii="Book Antiqua" w:cs="Book Antiqua" w:hAnsi="Book Antiqua" w:eastAsia="Book Antiqua"/>
        <w:position w:val="0"/>
      </w:rPr>
    </w:lvl>
    <w:lvl w:ilvl="6">
      <w:start w:val="1"/>
      <w:numFmt w:val="bullet"/>
      <w:suff w:val="tab"/>
      <w:lvlText w:val="•"/>
      <w:lvlJc w:val="left"/>
      <w:pPr/>
      <w:rPr>
        <w:rFonts w:ascii="Book Antiqua" w:cs="Book Antiqua" w:hAnsi="Book Antiqua" w:eastAsia="Book Antiqua"/>
        <w:position w:val="0"/>
      </w:rPr>
    </w:lvl>
    <w:lvl w:ilvl="7">
      <w:start w:val="1"/>
      <w:numFmt w:val="bullet"/>
      <w:suff w:val="tab"/>
      <w:lvlText w:val="o"/>
      <w:lvlJc w:val="left"/>
      <w:pPr/>
      <w:rPr>
        <w:rFonts w:ascii="Book Antiqua" w:cs="Book Antiqua" w:hAnsi="Book Antiqua" w:eastAsia="Book Antiqua"/>
        <w:position w:val="0"/>
      </w:rPr>
    </w:lvl>
    <w:lvl w:ilvl="8">
      <w:start w:val="1"/>
      <w:numFmt w:val="bullet"/>
      <w:suff w:val="tab"/>
      <w:lvlText w:val="▪"/>
      <w:lvlJc w:val="left"/>
      <w:pPr/>
      <w:rPr>
        <w:rFonts w:ascii="Book Antiqua" w:cs="Book Antiqua" w:hAnsi="Book Antiqua" w:eastAsia="Book Antiqua"/>
        <w:position w:val="0"/>
      </w:rPr>
    </w:lvl>
  </w:abstractNum>
  <w:abstractNum w:abstractNumId="77">
    <w:multiLevelType w:val="multilevel"/>
    <w:styleLink w:val="List 15"/>
    <w:lvl w:ilvl="0">
      <w:start w:val="0"/>
      <w:numFmt w:val="bullet"/>
      <w:suff w:val="tab"/>
      <w:lvlText w:val="-"/>
      <w:lvlJc w:val="left"/>
      <w:pPr/>
      <w:rPr>
        <w:rFonts w:ascii="Book Antiqua" w:cs="Book Antiqua" w:hAnsi="Book Antiqua" w:eastAsia="Book Antiqua"/>
        <w:position w:val="0"/>
      </w:rPr>
    </w:lvl>
    <w:lvl w:ilvl="1">
      <w:start w:val="1"/>
      <w:numFmt w:val="bullet"/>
      <w:suff w:val="tab"/>
      <w:lvlText w:val="o"/>
      <w:lvlJc w:val="left"/>
      <w:pPr/>
      <w:rPr>
        <w:rFonts w:ascii="Book Antiqua" w:cs="Book Antiqua" w:hAnsi="Book Antiqua" w:eastAsia="Book Antiqua"/>
        <w:position w:val="0"/>
      </w:rPr>
    </w:lvl>
    <w:lvl w:ilvl="2">
      <w:start w:val="1"/>
      <w:numFmt w:val="bullet"/>
      <w:suff w:val="tab"/>
      <w:lvlText w:val="▪"/>
      <w:lvlJc w:val="left"/>
      <w:pPr/>
      <w:rPr>
        <w:rFonts w:ascii="Book Antiqua" w:cs="Book Antiqua" w:hAnsi="Book Antiqua" w:eastAsia="Book Antiqua"/>
        <w:position w:val="0"/>
      </w:rPr>
    </w:lvl>
    <w:lvl w:ilvl="3">
      <w:start w:val="1"/>
      <w:numFmt w:val="bullet"/>
      <w:suff w:val="tab"/>
      <w:lvlText w:val="•"/>
      <w:lvlJc w:val="left"/>
      <w:pPr/>
      <w:rPr>
        <w:rFonts w:ascii="Book Antiqua" w:cs="Book Antiqua" w:hAnsi="Book Antiqua" w:eastAsia="Book Antiqua"/>
        <w:position w:val="0"/>
      </w:rPr>
    </w:lvl>
    <w:lvl w:ilvl="4">
      <w:start w:val="1"/>
      <w:numFmt w:val="bullet"/>
      <w:suff w:val="tab"/>
      <w:lvlText w:val="o"/>
      <w:lvlJc w:val="left"/>
      <w:pPr/>
      <w:rPr>
        <w:rFonts w:ascii="Book Antiqua" w:cs="Book Antiqua" w:hAnsi="Book Antiqua" w:eastAsia="Book Antiqua"/>
        <w:position w:val="0"/>
      </w:rPr>
    </w:lvl>
    <w:lvl w:ilvl="5">
      <w:start w:val="1"/>
      <w:numFmt w:val="bullet"/>
      <w:suff w:val="tab"/>
      <w:lvlText w:val="▪"/>
      <w:lvlJc w:val="left"/>
      <w:pPr/>
      <w:rPr>
        <w:rFonts w:ascii="Book Antiqua" w:cs="Book Antiqua" w:hAnsi="Book Antiqua" w:eastAsia="Book Antiqua"/>
        <w:position w:val="0"/>
      </w:rPr>
    </w:lvl>
    <w:lvl w:ilvl="6">
      <w:start w:val="1"/>
      <w:numFmt w:val="bullet"/>
      <w:suff w:val="tab"/>
      <w:lvlText w:val="•"/>
      <w:lvlJc w:val="left"/>
      <w:pPr/>
      <w:rPr>
        <w:rFonts w:ascii="Book Antiqua" w:cs="Book Antiqua" w:hAnsi="Book Antiqua" w:eastAsia="Book Antiqua"/>
        <w:position w:val="0"/>
      </w:rPr>
    </w:lvl>
    <w:lvl w:ilvl="7">
      <w:start w:val="1"/>
      <w:numFmt w:val="bullet"/>
      <w:suff w:val="tab"/>
      <w:lvlText w:val="o"/>
      <w:lvlJc w:val="left"/>
      <w:pPr/>
      <w:rPr>
        <w:rFonts w:ascii="Book Antiqua" w:cs="Book Antiqua" w:hAnsi="Book Antiqua" w:eastAsia="Book Antiqua"/>
        <w:position w:val="0"/>
      </w:rPr>
    </w:lvl>
    <w:lvl w:ilvl="8">
      <w:start w:val="1"/>
      <w:numFmt w:val="bullet"/>
      <w:suff w:val="tab"/>
      <w:lvlText w:val="▪"/>
      <w:lvlJc w:val="left"/>
      <w:pPr/>
      <w:rPr>
        <w:rFonts w:ascii="Book Antiqua" w:cs="Book Antiqua" w:hAnsi="Book Antiqua" w:eastAsia="Book Antiqua"/>
        <w:position w:val="0"/>
      </w:rPr>
    </w:lvl>
  </w:abstractNum>
  <w:abstractNum w:abstractNumId="78">
    <w:multiLevelType w:val="multilevel"/>
    <w:styleLink w:val="List 16"/>
    <w:lvl w:ilvl="0">
      <w:start w:val="1"/>
      <w:numFmt w:val="bullet"/>
      <w:suff w:val="tab"/>
      <w:lvlText w:val="-"/>
      <w:lvlJc w:val="left"/>
      <w:pPr/>
      <w:rPr>
        <w:rFonts w:ascii="Book Antiqua" w:cs="Book Antiqua" w:hAnsi="Book Antiqua" w:eastAsia="Book Antiqua"/>
        <w:position w:val="0"/>
      </w:rPr>
    </w:lvl>
    <w:lvl w:ilvl="1">
      <w:start w:val="0"/>
      <w:numFmt w:val="bullet"/>
      <w:suff w:val="tab"/>
      <w:lvlText w:val="o"/>
      <w:lvlJc w:val="left"/>
      <w:pPr/>
      <w:rPr>
        <w:rFonts w:ascii="Book Antiqua" w:cs="Book Antiqua" w:hAnsi="Book Antiqua" w:eastAsia="Book Antiqua"/>
        <w:position w:val="0"/>
      </w:rPr>
    </w:lvl>
    <w:lvl w:ilvl="2">
      <w:start w:val="1"/>
      <w:numFmt w:val="bullet"/>
      <w:suff w:val="tab"/>
      <w:lvlText w:val="▪"/>
      <w:lvlJc w:val="left"/>
      <w:pPr/>
      <w:rPr>
        <w:rFonts w:ascii="Book Antiqua" w:cs="Book Antiqua" w:hAnsi="Book Antiqua" w:eastAsia="Book Antiqua"/>
        <w:position w:val="0"/>
      </w:rPr>
    </w:lvl>
    <w:lvl w:ilvl="3">
      <w:start w:val="1"/>
      <w:numFmt w:val="bullet"/>
      <w:suff w:val="tab"/>
      <w:lvlText w:val="•"/>
      <w:lvlJc w:val="left"/>
      <w:pPr/>
      <w:rPr>
        <w:rFonts w:ascii="Book Antiqua" w:cs="Book Antiqua" w:hAnsi="Book Antiqua" w:eastAsia="Book Antiqua"/>
        <w:position w:val="0"/>
      </w:rPr>
    </w:lvl>
    <w:lvl w:ilvl="4">
      <w:start w:val="1"/>
      <w:numFmt w:val="bullet"/>
      <w:suff w:val="tab"/>
      <w:lvlText w:val="o"/>
      <w:lvlJc w:val="left"/>
      <w:pPr/>
      <w:rPr>
        <w:rFonts w:ascii="Book Antiqua" w:cs="Book Antiqua" w:hAnsi="Book Antiqua" w:eastAsia="Book Antiqua"/>
        <w:position w:val="0"/>
      </w:rPr>
    </w:lvl>
    <w:lvl w:ilvl="5">
      <w:start w:val="1"/>
      <w:numFmt w:val="bullet"/>
      <w:suff w:val="tab"/>
      <w:lvlText w:val="▪"/>
      <w:lvlJc w:val="left"/>
      <w:pPr/>
      <w:rPr>
        <w:rFonts w:ascii="Book Antiqua" w:cs="Book Antiqua" w:hAnsi="Book Antiqua" w:eastAsia="Book Antiqua"/>
        <w:position w:val="0"/>
      </w:rPr>
    </w:lvl>
    <w:lvl w:ilvl="6">
      <w:start w:val="1"/>
      <w:numFmt w:val="bullet"/>
      <w:suff w:val="tab"/>
      <w:lvlText w:val="•"/>
      <w:lvlJc w:val="left"/>
      <w:pPr/>
      <w:rPr>
        <w:rFonts w:ascii="Book Antiqua" w:cs="Book Antiqua" w:hAnsi="Book Antiqua" w:eastAsia="Book Antiqua"/>
        <w:position w:val="0"/>
      </w:rPr>
    </w:lvl>
    <w:lvl w:ilvl="7">
      <w:start w:val="1"/>
      <w:numFmt w:val="bullet"/>
      <w:suff w:val="tab"/>
      <w:lvlText w:val="o"/>
      <w:lvlJc w:val="left"/>
      <w:pPr/>
      <w:rPr>
        <w:rFonts w:ascii="Book Antiqua" w:cs="Book Antiqua" w:hAnsi="Book Antiqua" w:eastAsia="Book Antiqua"/>
        <w:position w:val="0"/>
      </w:rPr>
    </w:lvl>
    <w:lvl w:ilvl="8">
      <w:start w:val="1"/>
      <w:numFmt w:val="bullet"/>
      <w:suff w:val="tab"/>
      <w:lvlText w:val="▪"/>
      <w:lvlJc w:val="left"/>
      <w:pPr/>
      <w:rPr>
        <w:rFonts w:ascii="Book Antiqua" w:cs="Book Antiqua" w:hAnsi="Book Antiqua" w:eastAsia="Book Antiqua"/>
        <w:position w:val="0"/>
      </w:rPr>
    </w:lvl>
  </w:abstractNum>
  <w:abstractNum w:abstractNumId="79">
    <w:multiLevelType w:val="multilevel"/>
    <w:styleLink w:val="List 16"/>
    <w:lvl w:ilvl="0">
      <w:start w:val="1"/>
      <w:numFmt w:val="bullet"/>
      <w:suff w:val="tab"/>
      <w:lvlText w:val="-"/>
      <w:lvlJc w:val="left"/>
      <w:pPr/>
      <w:rPr>
        <w:rFonts w:ascii="Book Antiqua" w:cs="Book Antiqua" w:hAnsi="Book Antiqua" w:eastAsia="Book Antiqua"/>
        <w:position w:val="0"/>
      </w:rPr>
    </w:lvl>
    <w:lvl w:ilvl="1">
      <w:start w:val="0"/>
      <w:numFmt w:val="bullet"/>
      <w:suff w:val="tab"/>
      <w:lvlText w:val="o"/>
      <w:lvlJc w:val="left"/>
      <w:pPr/>
      <w:rPr>
        <w:rFonts w:ascii="Book Antiqua" w:cs="Book Antiqua" w:hAnsi="Book Antiqua" w:eastAsia="Book Antiqua"/>
        <w:position w:val="0"/>
      </w:rPr>
    </w:lvl>
    <w:lvl w:ilvl="2">
      <w:start w:val="1"/>
      <w:numFmt w:val="bullet"/>
      <w:suff w:val="tab"/>
      <w:lvlText w:val="▪"/>
      <w:lvlJc w:val="left"/>
      <w:pPr/>
      <w:rPr>
        <w:rFonts w:ascii="Book Antiqua" w:cs="Book Antiqua" w:hAnsi="Book Antiqua" w:eastAsia="Book Antiqua"/>
        <w:position w:val="0"/>
      </w:rPr>
    </w:lvl>
    <w:lvl w:ilvl="3">
      <w:start w:val="1"/>
      <w:numFmt w:val="bullet"/>
      <w:suff w:val="tab"/>
      <w:lvlText w:val="•"/>
      <w:lvlJc w:val="left"/>
      <w:pPr/>
      <w:rPr>
        <w:rFonts w:ascii="Book Antiqua" w:cs="Book Antiqua" w:hAnsi="Book Antiqua" w:eastAsia="Book Antiqua"/>
        <w:position w:val="0"/>
      </w:rPr>
    </w:lvl>
    <w:lvl w:ilvl="4">
      <w:start w:val="1"/>
      <w:numFmt w:val="bullet"/>
      <w:suff w:val="tab"/>
      <w:lvlText w:val="o"/>
      <w:lvlJc w:val="left"/>
      <w:pPr/>
      <w:rPr>
        <w:rFonts w:ascii="Book Antiqua" w:cs="Book Antiqua" w:hAnsi="Book Antiqua" w:eastAsia="Book Antiqua"/>
        <w:position w:val="0"/>
      </w:rPr>
    </w:lvl>
    <w:lvl w:ilvl="5">
      <w:start w:val="1"/>
      <w:numFmt w:val="bullet"/>
      <w:suff w:val="tab"/>
      <w:lvlText w:val="▪"/>
      <w:lvlJc w:val="left"/>
      <w:pPr/>
      <w:rPr>
        <w:rFonts w:ascii="Book Antiqua" w:cs="Book Antiqua" w:hAnsi="Book Antiqua" w:eastAsia="Book Antiqua"/>
        <w:position w:val="0"/>
      </w:rPr>
    </w:lvl>
    <w:lvl w:ilvl="6">
      <w:start w:val="1"/>
      <w:numFmt w:val="bullet"/>
      <w:suff w:val="tab"/>
      <w:lvlText w:val="•"/>
      <w:lvlJc w:val="left"/>
      <w:pPr/>
      <w:rPr>
        <w:rFonts w:ascii="Book Antiqua" w:cs="Book Antiqua" w:hAnsi="Book Antiqua" w:eastAsia="Book Antiqua"/>
        <w:position w:val="0"/>
      </w:rPr>
    </w:lvl>
    <w:lvl w:ilvl="7">
      <w:start w:val="1"/>
      <w:numFmt w:val="bullet"/>
      <w:suff w:val="tab"/>
      <w:lvlText w:val="o"/>
      <w:lvlJc w:val="left"/>
      <w:pPr/>
      <w:rPr>
        <w:rFonts w:ascii="Book Antiqua" w:cs="Book Antiqua" w:hAnsi="Book Antiqua" w:eastAsia="Book Antiqua"/>
        <w:position w:val="0"/>
      </w:rPr>
    </w:lvl>
    <w:lvl w:ilvl="8">
      <w:start w:val="1"/>
      <w:numFmt w:val="bullet"/>
      <w:suff w:val="tab"/>
      <w:lvlText w:val="▪"/>
      <w:lvlJc w:val="left"/>
      <w:pPr/>
      <w:rPr>
        <w:rFonts w:ascii="Book Antiqua" w:cs="Book Antiqua" w:hAnsi="Book Antiqua" w:eastAsia="Book Antiqua"/>
        <w:position w:val="0"/>
      </w:rPr>
    </w:lvl>
  </w:abstractNum>
  <w:abstractNum w:abstractNumId="80">
    <w:multiLevelType w:val="multilevel"/>
    <w:styleLink w:val="List 16"/>
    <w:lvl w:ilvl="0">
      <w:start w:val="1"/>
      <w:numFmt w:val="bullet"/>
      <w:suff w:val="tab"/>
      <w:lvlText w:val="-"/>
      <w:lvlJc w:val="left"/>
      <w:pPr/>
      <w:rPr>
        <w:rFonts w:ascii="Book Antiqua" w:cs="Book Antiqua" w:hAnsi="Book Antiqua" w:eastAsia="Book Antiqua"/>
        <w:position w:val="0"/>
      </w:rPr>
    </w:lvl>
    <w:lvl w:ilvl="1">
      <w:start w:val="0"/>
      <w:numFmt w:val="bullet"/>
      <w:suff w:val="tab"/>
      <w:lvlText w:val="o"/>
      <w:lvlJc w:val="left"/>
      <w:pPr/>
      <w:rPr>
        <w:rFonts w:ascii="Book Antiqua" w:cs="Book Antiqua" w:hAnsi="Book Antiqua" w:eastAsia="Book Antiqua"/>
        <w:position w:val="0"/>
      </w:rPr>
    </w:lvl>
    <w:lvl w:ilvl="2">
      <w:start w:val="1"/>
      <w:numFmt w:val="bullet"/>
      <w:suff w:val="tab"/>
      <w:lvlText w:val="▪"/>
      <w:lvlJc w:val="left"/>
      <w:pPr/>
      <w:rPr>
        <w:rFonts w:ascii="Book Antiqua" w:cs="Book Antiqua" w:hAnsi="Book Antiqua" w:eastAsia="Book Antiqua"/>
        <w:position w:val="0"/>
      </w:rPr>
    </w:lvl>
    <w:lvl w:ilvl="3">
      <w:start w:val="1"/>
      <w:numFmt w:val="bullet"/>
      <w:suff w:val="tab"/>
      <w:lvlText w:val="•"/>
      <w:lvlJc w:val="left"/>
      <w:pPr/>
      <w:rPr>
        <w:rFonts w:ascii="Book Antiqua" w:cs="Book Antiqua" w:hAnsi="Book Antiqua" w:eastAsia="Book Antiqua"/>
        <w:position w:val="0"/>
      </w:rPr>
    </w:lvl>
    <w:lvl w:ilvl="4">
      <w:start w:val="1"/>
      <w:numFmt w:val="bullet"/>
      <w:suff w:val="tab"/>
      <w:lvlText w:val="o"/>
      <w:lvlJc w:val="left"/>
      <w:pPr/>
      <w:rPr>
        <w:rFonts w:ascii="Book Antiqua" w:cs="Book Antiqua" w:hAnsi="Book Antiqua" w:eastAsia="Book Antiqua"/>
        <w:position w:val="0"/>
      </w:rPr>
    </w:lvl>
    <w:lvl w:ilvl="5">
      <w:start w:val="1"/>
      <w:numFmt w:val="bullet"/>
      <w:suff w:val="tab"/>
      <w:lvlText w:val="▪"/>
      <w:lvlJc w:val="left"/>
      <w:pPr/>
      <w:rPr>
        <w:rFonts w:ascii="Book Antiqua" w:cs="Book Antiqua" w:hAnsi="Book Antiqua" w:eastAsia="Book Antiqua"/>
        <w:position w:val="0"/>
      </w:rPr>
    </w:lvl>
    <w:lvl w:ilvl="6">
      <w:start w:val="1"/>
      <w:numFmt w:val="bullet"/>
      <w:suff w:val="tab"/>
      <w:lvlText w:val="•"/>
      <w:lvlJc w:val="left"/>
      <w:pPr/>
      <w:rPr>
        <w:rFonts w:ascii="Book Antiqua" w:cs="Book Antiqua" w:hAnsi="Book Antiqua" w:eastAsia="Book Antiqua"/>
        <w:position w:val="0"/>
      </w:rPr>
    </w:lvl>
    <w:lvl w:ilvl="7">
      <w:start w:val="1"/>
      <w:numFmt w:val="bullet"/>
      <w:suff w:val="tab"/>
      <w:lvlText w:val="o"/>
      <w:lvlJc w:val="left"/>
      <w:pPr/>
      <w:rPr>
        <w:rFonts w:ascii="Book Antiqua" w:cs="Book Antiqua" w:hAnsi="Book Antiqua" w:eastAsia="Book Antiqua"/>
        <w:position w:val="0"/>
      </w:rPr>
    </w:lvl>
    <w:lvl w:ilvl="8">
      <w:start w:val="1"/>
      <w:numFmt w:val="bullet"/>
      <w:suff w:val="tab"/>
      <w:lvlText w:val="▪"/>
      <w:lvlJc w:val="left"/>
      <w:pPr/>
      <w:rPr>
        <w:rFonts w:ascii="Book Antiqua" w:cs="Book Antiqua" w:hAnsi="Book Antiqua" w:eastAsia="Book Antiqua"/>
        <w:position w:val="0"/>
      </w:rPr>
    </w:lvl>
  </w:abstractNum>
  <w:abstractNum w:abstractNumId="81">
    <w:multiLevelType w:val="multilevel"/>
    <w:styleLink w:val="List 15"/>
    <w:lvl w:ilvl="0">
      <w:start w:val="0"/>
      <w:numFmt w:val="bullet"/>
      <w:suff w:val="tab"/>
      <w:lvlText w:val="-"/>
      <w:lvlJc w:val="left"/>
      <w:pPr/>
      <w:rPr>
        <w:rFonts w:ascii="Book Antiqua" w:cs="Book Antiqua" w:hAnsi="Book Antiqua" w:eastAsia="Book Antiqua"/>
        <w:position w:val="0"/>
      </w:rPr>
    </w:lvl>
    <w:lvl w:ilvl="1">
      <w:start w:val="1"/>
      <w:numFmt w:val="bullet"/>
      <w:suff w:val="tab"/>
      <w:lvlText w:val="o"/>
      <w:lvlJc w:val="left"/>
      <w:pPr/>
      <w:rPr>
        <w:rFonts w:ascii="Book Antiqua" w:cs="Book Antiqua" w:hAnsi="Book Antiqua" w:eastAsia="Book Antiqua"/>
        <w:position w:val="0"/>
      </w:rPr>
    </w:lvl>
    <w:lvl w:ilvl="2">
      <w:start w:val="1"/>
      <w:numFmt w:val="bullet"/>
      <w:suff w:val="tab"/>
      <w:lvlText w:val="▪"/>
      <w:lvlJc w:val="left"/>
      <w:pPr/>
      <w:rPr>
        <w:rFonts w:ascii="Book Antiqua" w:cs="Book Antiqua" w:hAnsi="Book Antiqua" w:eastAsia="Book Antiqua"/>
        <w:position w:val="0"/>
      </w:rPr>
    </w:lvl>
    <w:lvl w:ilvl="3">
      <w:start w:val="1"/>
      <w:numFmt w:val="bullet"/>
      <w:suff w:val="tab"/>
      <w:lvlText w:val="•"/>
      <w:lvlJc w:val="left"/>
      <w:pPr/>
      <w:rPr>
        <w:rFonts w:ascii="Book Antiqua" w:cs="Book Antiqua" w:hAnsi="Book Antiqua" w:eastAsia="Book Antiqua"/>
        <w:position w:val="0"/>
      </w:rPr>
    </w:lvl>
    <w:lvl w:ilvl="4">
      <w:start w:val="1"/>
      <w:numFmt w:val="bullet"/>
      <w:suff w:val="tab"/>
      <w:lvlText w:val="o"/>
      <w:lvlJc w:val="left"/>
      <w:pPr/>
      <w:rPr>
        <w:rFonts w:ascii="Book Antiqua" w:cs="Book Antiqua" w:hAnsi="Book Antiqua" w:eastAsia="Book Antiqua"/>
        <w:position w:val="0"/>
      </w:rPr>
    </w:lvl>
    <w:lvl w:ilvl="5">
      <w:start w:val="1"/>
      <w:numFmt w:val="bullet"/>
      <w:suff w:val="tab"/>
      <w:lvlText w:val="▪"/>
      <w:lvlJc w:val="left"/>
      <w:pPr/>
      <w:rPr>
        <w:rFonts w:ascii="Book Antiqua" w:cs="Book Antiqua" w:hAnsi="Book Antiqua" w:eastAsia="Book Antiqua"/>
        <w:position w:val="0"/>
      </w:rPr>
    </w:lvl>
    <w:lvl w:ilvl="6">
      <w:start w:val="1"/>
      <w:numFmt w:val="bullet"/>
      <w:suff w:val="tab"/>
      <w:lvlText w:val="•"/>
      <w:lvlJc w:val="left"/>
      <w:pPr/>
      <w:rPr>
        <w:rFonts w:ascii="Book Antiqua" w:cs="Book Antiqua" w:hAnsi="Book Antiqua" w:eastAsia="Book Antiqua"/>
        <w:position w:val="0"/>
      </w:rPr>
    </w:lvl>
    <w:lvl w:ilvl="7">
      <w:start w:val="1"/>
      <w:numFmt w:val="bullet"/>
      <w:suff w:val="tab"/>
      <w:lvlText w:val="o"/>
      <w:lvlJc w:val="left"/>
      <w:pPr/>
      <w:rPr>
        <w:rFonts w:ascii="Book Antiqua" w:cs="Book Antiqua" w:hAnsi="Book Antiqua" w:eastAsia="Book Antiqua"/>
        <w:position w:val="0"/>
      </w:rPr>
    </w:lvl>
    <w:lvl w:ilvl="8">
      <w:start w:val="1"/>
      <w:numFmt w:val="bullet"/>
      <w:suff w:val="tab"/>
      <w:lvlText w:val="▪"/>
      <w:lvlJc w:val="left"/>
      <w:pPr/>
      <w:rPr>
        <w:rFonts w:ascii="Book Antiqua" w:cs="Book Antiqua" w:hAnsi="Book Antiqua" w:eastAsia="Book Antiqua"/>
        <w:position w:val="0"/>
      </w:rPr>
    </w:lvl>
  </w:abstractNum>
  <w:abstractNum w:abstractNumId="82">
    <w:multiLevelType w:val="multilevel"/>
    <w:styleLink w:val="List 16"/>
    <w:lvl w:ilvl="0">
      <w:start w:val="1"/>
      <w:numFmt w:val="bullet"/>
      <w:suff w:val="tab"/>
      <w:lvlText w:val="-"/>
      <w:lvlJc w:val="left"/>
      <w:pPr/>
      <w:rPr>
        <w:rFonts w:ascii="Book Antiqua" w:cs="Book Antiqua" w:hAnsi="Book Antiqua" w:eastAsia="Book Antiqua"/>
        <w:position w:val="0"/>
      </w:rPr>
    </w:lvl>
    <w:lvl w:ilvl="1">
      <w:start w:val="0"/>
      <w:numFmt w:val="bullet"/>
      <w:suff w:val="tab"/>
      <w:lvlText w:val="o"/>
      <w:lvlJc w:val="left"/>
      <w:pPr/>
      <w:rPr>
        <w:rFonts w:ascii="Book Antiqua" w:cs="Book Antiqua" w:hAnsi="Book Antiqua" w:eastAsia="Book Antiqua"/>
        <w:position w:val="0"/>
      </w:rPr>
    </w:lvl>
    <w:lvl w:ilvl="2">
      <w:start w:val="1"/>
      <w:numFmt w:val="bullet"/>
      <w:suff w:val="tab"/>
      <w:lvlText w:val="▪"/>
      <w:lvlJc w:val="left"/>
      <w:pPr/>
      <w:rPr>
        <w:rFonts w:ascii="Book Antiqua" w:cs="Book Antiqua" w:hAnsi="Book Antiqua" w:eastAsia="Book Antiqua"/>
        <w:position w:val="0"/>
      </w:rPr>
    </w:lvl>
    <w:lvl w:ilvl="3">
      <w:start w:val="1"/>
      <w:numFmt w:val="bullet"/>
      <w:suff w:val="tab"/>
      <w:lvlText w:val="•"/>
      <w:lvlJc w:val="left"/>
      <w:pPr/>
      <w:rPr>
        <w:rFonts w:ascii="Book Antiqua" w:cs="Book Antiqua" w:hAnsi="Book Antiqua" w:eastAsia="Book Antiqua"/>
        <w:position w:val="0"/>
      </w:rPr>
    </w:lvl>
    <w:lvl w:ilvl="4">
      <w:start w:val="1"/>
      <w:numFmt w:val="bullet"/>
      <w:suff w:val="tab"/>
      <w:lvlText w:val="o"/>
      <w:lvlJc w:val="left"/>
      <w:pPr/>
      <w:rPr>
        <w:rFonts w:ascii="Book Antiqua" w:cs="Book Antiqua" w:hAnsi="Book Antiqua" w:eastAsia="Book Antiqua"/>
        <w:position w:val="0"/>
      </w:rPr>
    </w:lvl>
    <w:lvl w:ilvl="5">
      <w:start w:val="1"/>
      <w:numFmt w:val="bullet"/>
      <w:suff w:val="tab"/>
      <w:lvlText w:val="▪"/>
      <w:lvlJc w:val="left"/>
      <w:pPr/>
      <w:rPr>
        <w:rFonts w:ascii="Book Antiqua" w:cs="Book Antiqua" w:hAnsi="Book Antiqua" w:eastAsia="Book Antiqua"/>
        <w:position w:val="0"/>
      </w:rPr>
    </w:lvl>
    <w:lvl w:ilvl="6">
      <w:start w:val="1"/>
      <w:numFmt w:val="bullet"/>
      <w:suff w:val="tab"/>
      <w:lvlText w:val="•"/>
      <w:lvlJc w:val="left"/>
      <w:pPr/>
      <w:rPr>
        <w:rFonts w:ascii="Book Antiqua" w:cs="Book Antiqua" w:hAnsi="Book Antiqua" w:eastAsia="Book Antiqua"/>
        <w:position w:val="0"/>
      </w:rPr>
    </w:lvl>
    <w:lvl w:ilvl="7">
      <w:start w:val="1"/>
      <w:numFmt w:val="bullet"/>
      <w:suff w:val="tab"/>
      <w:lvlText w:val="o"/>
      <w:lvlJc w:val="left"/>
      <w:pPr/>
      <w:rPr>
        <w:rFonts w:ascii="Book Antiqua" w:cs="Book Antiqua" w:hAnsi="Book Antiqua" w:eastAsia="Book Antiqua"/>
        <w:position w:val="0"/>
      </w:rPr>
    </w:lvl>
    <w:lvl w:ilvl="8">
      <w:start w:val="1"/>
      <w:numFmt w:val="bullet"/>
      <w:suff w:val="tab"/>
      <w:lvlText w:val="▪"/>
      <w:lvlJc w:val="left"/>
      <w:pPr/>
      <w:rPr>
        <w:rFonts w:ascii="Book Antiqua" w:cs="Book Antiqua" w:hAnsi="Book Antiqua" w:eastAsia="Book Antiqua"/>
        <w:position w:val="0"/>
      </w:rPr>
    </w:lvl>
  </w:abstractNum>
  <w:abstractNum w:abstractNumId="83">
    <w:multiLevelType w:val="multilevel"/>
    <w:styleLink w:val="List 16"/>
    <w:lvl w:ilvl="0">
      <w:start w:val="1"/>
      <w:numFmt w:val="bullet"/>
      <w:suff w:val="tab"/>
      <w:lvlText w:val="-"/>
      <w:lvlJc w:val="left"/>
      <w:pPr/>
      <w:rPr>
        <w:rFonts w:ascii="Book Antiqua" w:cs="Book Antiqua" w:hAnsi="Book Antiqua" w:eastAsia="Book Antiqua"/>
        <w:position w:val="0"/>
      </w:rPr>
    </w:lvl>
    <w:lvl w:ilvl="1">
      <w:start w:val="0"/>
      <w:numFmt w:val="bullet"/>
      <w:suff w:val="tab"/>
      <w:lvlText w:val="o"/>
      <w:lvlJc w:val="left"/>
      <w:pPr/>
      <w:rPr>
        <w:rFonts w:ascii="Book Antiqua" w:cs="Book Antiqua" w:hAnsi="Book Antiqua" w:eastAsia="Book Antiqua"/>
        <w:position w:val="0"/>
      </w:rPr>
    </w:lvl>
    <w:lvl w:ilvl="2">
      <w:start w:val="1"/>
      <w:numFmt w:val="bullet"/>
      <w:suff w:val="tab"/>
      <w:lvlText w:val="▪"/>
      <w:lvlJc w:val="left"/>
      <w:pPr/>
      <w:rPr>
        <w:rFonts w:ascii="Book Antiqua" w:cs="Book Antiqua" w:hAnsi="Book Antiqua" w:eastAsia="Book Antiqua"/>
        <w:position w:val="0"/>
      </w:rPr>
    </w:lvl>
    <w:lvl w:ilvl="3">
      <w:start w:val="1"/>
      <w:numFmt w:val="bullet"/>
      <w:suff w:val="tab"/>
      <w:lvlText w:val="•"/>
      <w:lvlJc w:val="left"/>
      <w:pPr/>
      <w:rPr>
        <w:rFonts w:ascii="Book Antiqua" w:cs="Book Antiqua" w:hAnsi="Book Antiqua" w:eastAsia="Book Antiqua"/>
        <w:position w:val="0"/>
      </w:rPr>
    </w:lvl>
    <w:lvl w:ilvl="4">
      <w:start w:val="1"/>
      <w:numFmt w:val="bullet"/>
      <w:suff w:val="tab"/>
      <w:lvlText w:val="o"/>
      <w:lvlJc w:val="left"/>
      <w:pPr/>
      <w:rPr>
        <w:rFonts w:ascii="Book Antiqua" w:cs="Book Antiqua" w:hAnsi="Book Antiqua" w:eastAsia="Book Antiqua"/>
        <w:position w:val="0"/>
      </w:rPr>
    </w:lvl>
    <w:lvl w:ilvl="5">
      <w:start w:val="1"/>
      <w:numFmt w:val="bullet"/>
      <w:suff w:val="tab"/>
      <w:lvlText w:val="▪"/>
      <w:lvlJc w:val="left"/>
      <w:pPr/>
      <w:rPr>
        <w:rFonts w:ascii="Book Antiqua" w:cs="Book Antiqua" w:hAnsi="Book Antiqua" w:eastAsia="Book Antiqua"/>
        <w:position w:val="0"/>
      </w:rPr>
    </w:lvl>
    <w:lvl w:ilvl="6">
      <w:start w:val="1"/>
      <w:numFmt w:val="bullet"/>
      <w:suff w:val="tab"/>
      <w:lvlText w:val="•"/>
      <w:lvlJc w:val="left"/>
      <w:pPr/>
      <w:rPr>
        <w:rFonts w:ascii="Book Antiqua" w:cs="Book Antiqua" w:hAnsi="Book Antiqua" w:eastAsia="Book Antiqua"/>
        <w:position w:val="0"/>
      </w:rPr>
    </w:lvl>
    <w:lvl w:ilvl="7">
      <w:start w:val="1"/>
      <w:numFmt w:val="bullet"/>
      <w:suff w:val="tab"/>
      <w:lvlText w:val="o"/>
      <w:lvlJc w:val="left"/>
      <w:pPr/>
      <w:rPr>
        <w:rFonts w:ascii="Book Antiqua" w:cs="Book Antiqua" w:hAnsi="Book Antiqua" w:eastAsia="Book Antiqua"/>
        <w:position w:val="0"/>
      </w:rPr>
    </w:lvl>
    <w:lvl w:ilvl="8">
      <w:start w:val="1"/>
      <w:numFmt w:val="bullet"/>
      <w:suff w:val="tab"/>
      <w:lvlText w:val="▪"/>
      <w:lvlJc w:val="left"/>
      <w:pPr/>
      <w:rPr>
        <w:rFonts w:ascii="Book Antiqua" w:cs="Book Antiqua" w:hAnsi="Book Antiqua" w:eastAsia="Book Antiqua"/>
        <w:position w:val="0"/>
      </w:rPr>
    </w:lvl>
  </w:abstractNum>
  <w:abstractNum w:abstractNumId="84">
    <w:multiLevelType w:val="multilevel"/>
    <w:styleLink w:val="List 16"/>
    <w:lvl w:ilvl="0">
      <w:start w:val="1"/>
      <w:numFmt w:val="bullet"/>
      <w:suff w:val="tab"/>
      <w:lvlText w:val="-"/>
      <w:lvlJc w:val="left"/>
      <w:pPr/>
      <w:rPr>
        <w:rFonts w:ascii="Book Antiqua" w:cs="Book Antiqua" w:hAnsi="Book Antiqua" w:eastAsia="Book Antiqua"/>
        <w:position w:val="0"/>
      </w:rPr>
    </w:lvl>
    <w:lvl w:ilvl="1">
      <w:start w:val="0"/>
      <w:numFmt w:val="bullet"/>
      <w:suff w:val="tab"/>
      <w:lvlText w:val="o"/>
      <w:lvlJc w:val="left"/>
      <w:pPr/>
      <w:rPr>
        <w:rFonts w:ascii="Book Antiqua" w:cs="Book Antiqua" w:hAnsi="Book Antiqua" w:eastAsia="Book Antiqua"/>
        <w:position w:val="0"/>
      </w:rPr>
    </w:lvl>
    <w:lvl w:ilvl="2">
      <w:start w:val="1"/>
      <w:numFmt w:val="bullet"/>
      <w:suff w:val="tab"/>
      <w:lvlText w:val="▪"/>
      <w:lvlJc w:val="left"/>
      <w:pPr/>
      <w:rPr>
        <w:rFonts w:ascii="Book Antiqua" w:cs="Book Antiqua" w:hAnsi="Book Antiqua" w:eastAsia="Book Antiqua"/>
        <w:position w:val="0"/>
      </w:rPr>
    </w:lvl>
    <w:lvl w:ilvl="3">
      <w:start w:val="1"/>
      <w:numFmt w:val="bullet"/>
      <w:suff w:val="tab"/>
      <w:lvlText w:val="•"/>
      <w:lvlJc w:val="left"/>
      <w:pPr/>
      <w:rPr>
        <w:rFonts w:ascii="Book Antiqua" w:cs="Book Antiqua" w:hAnsi="Book Antiqua" w:eastAsia="Book Antiqua"/>
        <w:position w:val="0"/>
      </w:rPr>
    </w:lvl>
    <w:lvl w:ilvl="4">
      <w:start w:val="1"/>
      <w:numFmt w:val="bullet"/>
      <w:suff w:val="tab"/>
      <w:lvlText w:val="o"/>
      <w:lvlJc w:val="left"/>
      <w:pPr/>
      <w:rPr>
        <w:rFonts w:ascii="Book Antiqua" w:cs="Book Antiqua" w:hAnsi="Book Antiqua" w:eastAsia="Book Antiqua"/>
        <w:position w:val="0"/>
      </w:rPr>
    </w:lvl>
    <w:lvl w:ilvl="5">
      <w:start w:val="1"/>
      <w:numFmt w:val="bullet"/>
      <w:suff w:val="tab"/>
      <w:lvlText w:val="▪"/>
      <w:lvlJc w:val="left"/>
      <w:pPr/>
      <w:rPr>
        <w:rFonts w:ascii="Book Antiqua" w:cs="Book Antiqua" w:hAnsi="Book Antiqua" w:eastAsia="Book Antiqua"/>
        <w:position w:val="0"/>
      </w:rPr>
    </w:lvl>
    <w:lvl w:ilvl="6">
      <w:start w:val="1"/>
      <w:numFmt w:val="bullet"/>
      <w:suff w:val="tab"/>
      <w:lvlText w:val="•"/>
      <w:lvlJc w:val="left"/>
      <w:pPr/>
      <w:rPr>
        <w:rFonts w:ascii="Book Antiqua" w:cs="Book Antiqua" w:hAnsi="Book Antiqua" w:eastAsia="Book Antiqua"/>
        <w:position w:val="0"/>
      </w:rPr>
    </w:lvl>
    <w:lvl w:ilvl="7">
      <w:start w:val="1"/>
      <w:numFmt w:val="bullet"/>
      <w:suff w:val="tab"/>
      <w:lvlText w:val="o"/>
      <w:lvlJc w:val="left"/>
      <w:pPr/>
      <w:rPr>
        <w:rFonts w:ascii="Book Antiqua" w:cs="Book Antiqua" w:hAnsi="Book Antiqua" w:eastAsia="Book Antiqua"/>
        <w:position w:val="0"/>
      </w:rPr>
    </w:lvl>
    <w:lvl w:ilvl="8">
      <w:start w:val="1"/>
      <w:numFmt w:val="bullet"/>
      <w:suff w:val="tab"/>
      <w:lvlText w:val="▪"/>
      <w:lvlJc w:val="left"/>
      <w:pPr/>
      <w:rPr>
        <w:rFonts w:ascii="Book Antiqua" w:cs="Book Antiqua" w:hAnsi="Book Antiqua" w:eastAsia="Book Antiqua"/>
        <w:position w:val="0"/>
      </w:rPr>
    </w:lvl>
  </w:abstractNum>
  <w:abstractNum w:abstractNumId="85">
    <w:multiLevelType w:val="multilevel"/>
    <w:lvl w:ilvl="0">
      <w:start w:val="1"/>
      <w:numFmt w:val="decimal"/>
      <w:suff w:val="tab"/>
      <w:lvlText w:val="%1."/>
      <w:lvlJc w:val="left"/>
      <w:pPr>
        <w:tabs>
          <w:tab w:val="num" w:pos="567"/>
          <w:tab w:val="clear" w:pos="0"/>
        </w:tabs>
        <w:ind w:left="567" w:hanging="141"/>
      </w:pPr>
      <w:rPr>
        <w:rFonts w:ascii="Book Antiqua" w:cs="Book Antiqua" w:hAnsi="Book Antiqua" w:eastAsia="Book Antiqua"/>
        <w:position w:val="0"/>
        <w:sz w:val="24"/>
        <w:szCs w:val="24"/>
      </w:rPr>
    </w:lvl>
    <w:lvl w:ilvl="1">
      <w:start w:val="1"/>
      <w:numFmt w:val="decimal"/>
      <w:suff w:val="tab"/>
      <w:lvlText w:val="%1.%2."/>
      <w:lvlJc w:val="left"/>
      <w:pPr>
        <w:tabs>
          <w:tab w:val="num" w:pos="1183"/>
          <w:tab w:val="clear" w:pos="0"/>
        </w:tabs>
        <w:ind w:left="1183" w:hanging="720"/>
      </w:pPr>
      <w:rPr>
        <w:rFonts w:ascii="Book Antiqua" w:cs="Book Antiqua" w:hAnsi="Book Antiqua" w:eastAsia="Book Antiqua"/>
        <w:position w:val="0"/>
        <w:sz w:val="24"/>
        <w:szCs w:val="24"/>
      </w:rPr>
    </w:lvl>
    <w:lvl w:ilvl="2">
      <w:start w:val="1"/>
      <w:numFmt w:val="decimal"/>
      <w:suff w:val="tab"/>
      <w:lvlText w:val="%1.%2.%3."/>
      <w:lvlJc w:val="left"/>
      <w:pPr>
        <w:tabs>
          <w:tab w:val="num" w:pos="1286"/>
          <w:tab w:val="clear" w:pos="0"/>
        </w:tabs>
        <w:ind w:left="1286" w:hanging="720"/>
      </w:pPr>
      <w:rPr>
        <w:rFonts w:ascii="Book Antiqua" w:cs="Book Antiqua" w:hAnsi="Book Antiqua" w:eastAsia="Book Antiqua"/>
        <w:position w:val="0"/>
        <w:sz w:val="24"/>
        <w:szCs w:val="24"/>
      </w:rPr>
    </w:lvl>
    <w:lvl w:ilvl="3">
      <w:start w:val="1"/>
      <w:numFmt w:val="decimal"/>
      <w:suff w:val="tab"/>
      <w:lvlText w:val="%1.%2.%3.%4."/>
      <w:lvlJc w:val="left"/>
      <w:pPr>
        <w:tabs>
          <w:tab w:val="num" w:pos="1749"/>
          <w:tab w:val="clear" w:pos="0"/>
        </w:tabs>
        <w:ind w:left="1749" w:hanging="1080"/>
      </w:pPr>
      <w:rPr>
        <w:rFonts w:ascii="Book Antiqua" w:cs="Book Antiqua" w:hAnsi="Book Antiqua" w:eastAsia="Book Antiqua"/>
        <w:position w:val="0"/>
        <w:sz w:val="24"/>
        <w:szCs w:val="24"/>
      </w:rPr>
    </w:lvl>
    <w:lvl w:ilvl="4">
      <w:start w:val="1"/>
      <w:numFmt w:val="decimal"/>
      <w:suff w:val="tab"/>
      <w:lvlText w:val="%1.%2.%3.%4.%5."/>
      <w:lvlJc w:val="left"/>
      <w:pPr>
        <w:tabs>
          <w:tab w:val="num" w:pos="2212"/>
          <w:tab w:val="clear" w:pos="0"/>
        </w:tabs>
        <w:ind w:left="2212" w:hanging="1440"/>
      </w:pPr>
      <w:rPr>
        <w:rFonts w:ascii="Book Antiqua" w:cs="Book Antiqua" w:hAnsi="Book Antiqua" w:eastAsia="Book Antiqua"/>
        <w:position w:val="0"/>
        <w:sz w:val="24"/>
        <w:szCs w:val="24"/>
      </w:rPr>
    </w:lvl>
    <w:lvl w:ilvl="5">
      <w:start w:val="1"/>
      <w:numFmt w:val="decimal"/>
      <w:suff w:val="tab"/>
      <w:lvlText w:val="%1.%2.%3.%4.%5.%6."/>
      <w:lvlJc w:val="left"/>
      <w:pPr>
        <w:tabs>
          <w:tab w:val="num" w:pos="2315"/>
          <w:tab w:val="clear" w:pos="0"/>
        </w:tabs>
        <w:ind w:left="2315" w:hanging="1440"/>
      </w:pPr>
      <w:rPr>
        <w:rFonts w:ascii="Book Antiqua" w:cs="Book Antiqua" w:hAnsi="Book Antiqua" w:eastAsia="Book Antiqua"/>
        <w:position w:val="0"/>
        <w:sz w:val="24"/>
        <w:szCs w:val="24"/>
      </w:rPr>
    </w:lvl>
    <w:lvl w:ilvl="6">
      <w:start w:val="1"/>
      <w:numFmt w:val="decimal"/>
      <w:suff w:val="tab"/>
      <w:lvlText w:val="%1.%2.%3.%4.%5.%6.%7."/>
      <w:lvlJc w:val="left"/>
      <w:pPr>
        <w:tabs>
          <w:tab w:val="num" w:pos="2778"/>
          <w:tab w:val="clear" w:pos="0"/>
        </w:tabs>
        <w:ind w:left="2778" w:hanging="1800"/>
      </w:pPr>
      <w:rPr>
        <w:rFonts w:ascii="Book Antiqua" w:cs="Book Antiqua" w:hAnsi="Book Antiqua" w:eastAsia="Book Antiqua"/>
        <w:position w:val="0"/>
        <w:sz w:val="24"/>
        <w:szCs w:val="24"/>
      </w:rPr>
    </w:lvl>
    <w:lvl w:ilvl="7">
      <w:start w:val="1"/>
      <w:numFmt w:val="decimal"/>
      <w:suff w:val="tab"/>
      <w:lvlText w:val="%1.%2.%3.%4.%5.%6.%7.%8."/>
      <w:lvlJc w:val="left"/>
      <w:pPr>
        <w:tabs>
          <w:tab w:val="num" w:pos="3241"/>
          <w:tab w:val="clear" w:pos="0"/>
        </w:tabs>
        <w:ind w:left="3241" w:hanging="2160"/>
      </w:pPr>
      <w:rPr>
        <w:rFonts w:ascii="Book Antiqua" w:cs="Book Antiqua" w:hAnsi="Book Antiqua" w:eastAsia="Book Antiqua"/>
        <w:position w:val="0"/>
        <w:sz w:val="24"/>
        <w:szCs w:val="24"/>
      </w:rPr>
    </w:lvl>
    <w:lvl w:ilvl="8">
      <w:start w:val="1"/>
      <w:numFmt w:val="decimal"/>
      <w:suff w:val="tab"/>
      <w:lvlText w:val="%1.%2.%3.%4.%5.%6.%7.%8.%9."/>
      <w:lvlJc w:val="left"/>
      <w:pPr>
        <w:tabs>
          <w:tab w:val="num" w:pos="3344"/>
          <w:tab w:val="clear" w:pos="0"/>
        </w:tabs>
        <w:ind w:left="3344" w:hanging="2160"/>
      </w:pPr>
      <w:rPr>
        <w:rFonts w:ascii="Book Antiqua" w:cs="Book Antiqua" w:hAnsi="Book Antiqua" w:eastAsia="Book Antiqua"/>
        <w:position w:val="0"/>
        <w:sz w:val="24"/>
        <w:szCs w:val="24"/>
      </w:rPr>
    </w:lvl>
  </w:abstractNum>
  <w:abstractNum w:abstractNumId="86">
    <w:multiLevelType w:val="multilevel"/>
    <w:lvl w:ilvl="0">
      <w:start w:val="1"/>
      <w:numFmt w:val="decimal"/>
      <w:suff w:val="tab"/>
      <w:lvlText w:val="%1."/>
      <w:lvlJc w:val="left"/>
      <w:pPr/>
      <w:rPr>
        <w:position w:val="0"/>
      </w:rPr>
    </w:lvl>
    <w:lvl w:ilvl="1">
      <w:start w:val="1"/>
      <w:numFmt w:val="decimal"/>
      <w:suff w:val="tab"/>
      <w:lvlText w:val="%1.%2."/>
      <w:lvlJc w:val="left"/>
      <w:pPr/>
      <w:rPr>
        <w:position w:val="0"/>
      </w:rPr>
    </w:lvl>
    <w:lvl w:ilvl="2">
      <w:start w:val="1"/>
      <w:numFmt w:val="decimal"/>
      <w:suff w:val="tab"/>
      <w:lvlText w:val="%1.%2.%3."/>
      <w:lvlJc w:val="left"/>
      <w:pPr/>
      <w:rPr>
        <w:position w:val="0"/>
      </w:rPr>
    </w:lvl>
    <w:lvl w:ilvl="3">
      <w:start w:val="1"/>
      <w:numFmt w:val="decimal"/>
      <w:suff w:val="tab"/>
      <w:lvlText w:val="%1.%2.%3.%4."/>
      <w:lvlJc w:val="left"/>
      <w:pPr/>
      <w:rPr>
        <w:position w:val="0"/>
      </w:rPr>
    </w:lvl>
    <w:lvl w:ilvl="4">
      <w:start w:val="1"/>
      <w:numFmt w:val="decimal"/>
      <w:suff w:val="tab"/>
      <w:lvlText w:val="%1.%2.%3.%4.%5."/>
      <w:lvlJc w:val="left"/>
      <w:pPr/>
      <w:rPr>
        <w:position w:val="0"/>
      </w:rPr>
    </w:lvl>
    <w:lvl w:ilvl="5">
      <w:start w:val="1"/>
      <w:numFmt w:val="decimal"/>
      <w:suff w:val="tab"/>
      <w:lvlText w:val="%1.%2.%3.%4.%5.%6."/>
      <w:lvlJc w:val="left"/>
      <w:pPr/>
      <w:rPr>
        <w:position w:val="0"/>
      </w:rPr>
    </w:lvl>
    <w:lvl w:ilvl="6">
      <w:start w:val="1"/>
      <w:numFmt w:val="decimal"/>
      <w:suff w:val="tab"/>
      <w:lvlText w:val="%1.%2.%3.%4.%5.%6.%7."/>
      <w:lvlJc w:val="left"/>
      <w:pPr/>
      <w:rPr>
        <w:position w:val="0"/>
      </w:rPr>
    </w:lvl>
    <w:lvl w:ilvl="7">
      <w:start w:val="1"/>
      <w:numFmt w:val="decimal"/>
      <w:suff w:val="tab"/>
      <w:lvlText w:val="%1.%2.%3.%4.%5.%6.%7.%8."/>
      <w:lvlJc w:val="left"/>
      <w:pPr/>
      <w:rPr>
        <w:position w:val="0"/>
      </w:rPr>
    </w:lvl>
    <w:lvl w:ilvl="8">
      <w:start w:val="1"/>
      <w:numFmt w:val="decimal"/>
      <w:suff w:val="tab"/>
      <w:lvlText w:val="%1.%2.%3.%4.%5.%6.%7.%8.%9."/>
      <w:lvlJc w:val="left"/>
      <w:pPr/>
      <w:rPr>
        <w:position w:val="0"/>
      </w:rPr>
    </w:lvl>
  </w:abstractNum>
  <w:abstractNum w:abstractNumId="87">
    <w:multiLevelType w:val="multilevel"/>
    <w:styleLink w:val="List 17"/>
    <w:lvl w:ilvl="0">
      <w:start w:val="1"/>
      <w:numFmt w:val="decimal"/>
      <w:suff w:val="tab"/>
      <w:lvlText w:val="%1."/>
      <w:lvlJc w:val="left"/>
      <w:pPr>
        <w:tabs>
          <w:tab w:val="num" w:pos="567"/>
          <w:tab w:val="clear" w:pos="0"/>
        </w:tabs>
        <w:ind w:left="567" w:hanging="141"/>
      </w:pPr>
      <w:rPr>
        <w:rFonts w:ascii="Book Antiqua" w:cs="Book Antiqua" w:hAnsi="Book Antiqua" w:eastAsia="Book Antiqua"/>
        <w:position w:val="0"/>
        <w:sz w:val="24"/>
        <w:szCs w:val="24"/>
      </w:rPr>
    </w:lvl>
    <w:lvl w:ilvl="1">
      <w:start w:val="1"/>
      <w:numFmt w:val="decimal"/>
      <w:suff w:val="tab"/>
      <w:lvlText w:val="%1.%2."/>
      <w:lvlJc w:val="left"/>
      <w:pPr>
        <w:tabs>
          <w:tab w:val="num" w:pos="1183"/>
          <w:tab w:val="clear" w:pos="0"/>
        </w:tabs>
        <w:ind w:left="1183" w:hanging="720"/>
      </w:pPr>
      <w:rPr>
        <w:rFonts w:ascii="Book Antiqua" w:cs="Book Antiqua" w:hAnsi="Book Antiqua" w:eastAsia="Book Antiqua"/>
        <w:position w:val="0"/>
        <w:sz w:val="24"/>
        <w:szCs w:val="24"/>
      </w:rPr>
    </w:lvl>
    <w:lvl w:ilvl="2">
      <w:start w:val="1"/>
      <w:numFmt w:val="decimal"/>
      <w:suff w:val="tab"/>
      <w:lvlText w:val="%1.%2.%3."/>
      <w:lvlJc w:val="left"/>
      <w:pPr>
        <w:tabs>
          <w:tab w:val="num" w:pos="1286"/>
          <w:tab w:val="clear" w:pos="0"/>
        </w:tabs>
        <w:ind w:left="1286" w:hanging="720"/>
      </w:pPr>
      <w:rPr>
        <w:rFonts w:ascii="Book Antiqua" w:cs="Book Antiqua" w:hAnsi="Book Antiqua" w:eastAsia="Book Antiqua"/>
        <w:position w:val="0"/>
        <w:sz w:val="24"/>
        <w:szCs w:val="24"/>
      </w:rPr>
    </w:lvl>
    <w:lvl w:ilvl="3">
      <w:start w:val="1"/>
      <w:numFmt w:val="decimal"/>
      <w:suff w:val="tab"/>
      <w:lvlText w:val="%1.%2.%3.%4."/>
      <w:lvlJc w:val="left"/>
      <w:pPr>
        <w:tabs>
          <w:tab w:val="num" w:pos="1749"/>
          <w:tab w:val="clear" w:pos="0"/>
        </w:tabs>
        <w:ind w:left="1749" w:hanging="1080"/>
      </w:pPr>
      <w:rPr>
        <w:rFonts w:ascii="Book Antiqua" w:cs="Book Antiqua" w:hAnsi="Book Antiqua" w:eastAsia="Book Antiqua"/>
        <w:position w:val="0"/>
        <w:sz w:val="24"/>
        <w:szCs w:val="24"/>
      </w:rPr>
    </w:lvl>
    <w:lvl w:ilvl="4">
      <w:start w:val="1"/>
      <w:numFmt w:val="decimal"/>
      <w:suff w:val="tab"/>
      <w:lvlText w:val="%1.%2.%3.%4.%5."/>
      <w:lvlJc w:val="left"/>
      <w:pPr>
        <w:tabs>
          <w:tab w:val="num" w:pos="2212"/>
          <w:tab w:val="clear" w:pos="0"/>
        </w:tabs>
        <w:ind w:left="2212" w:hanging="1440"/>
      </w:pPr>
      <w:rPr>
        <w:rFonts w:ascii="Book Antiqua" w:cs="Book Antiqua" w:hAnsi="Book Antiqua" w:eastAsia="Book Antiqua"/>
        <w:position w:val="0"/>
        <w:sz w:val="24"/>
        <w:szCs w:val="24"/>
      </w:rPr>
    </w:lvl>
    <w:lvl w:ilvl="5">
      <w:start w:val="1"/>
      <w:numFmt w:val="decimal"/>
      <w:suff w:val="tab"/>
      <w:lvlText w:val="%1.%2.%3.%4.%5.%6."/>
      <w:lvlJc w:val="left"/>
      <w:pPr>
        <w:tabs>
          <w:tab w:val="num" w:pos="2315"/>
          <w:tab w:val="clear" w:pos="0"/>
        </w:tabs>
        <w:ind w:left="2315" w:hanging="1440"/>
      </w:pPr>
      <w:rPr>
        <w:rFonts w:ascii="Book Antiqua" w:cs="Book Antiqua" w:hAnsi="Book Antiqua" w:eastAsia="Book Antiqua"/>
        <w:position w:val="0"/>
        <w:sz w:val="24"/>
        <w:szCs w:val="24"/>
      </w:rPr>
    </w:lvl>
    <w:lvl w:ilvl="6">
      <w:start w:val="1"/>
      <w:numFmt w:val="decimal"/>
      <w:suff w:val="tab"/>
      <w:lvlText w:val="%1.%2.%3.%4.%5.%6.%7."/>
      <w:lvlJc w:val="left"/>
      <w:pPr>
        <w:tabs>
          <w:tab w:val="num" w:pos="2778"/>
          <w:tab w:val="clear" w:pos="0"/>
        </w:tabs>
        <w:ind w:left="2778" w:hanging="1800"/>
      </w:pPr>
      <w:rPr>
        <w:rFonts w:ascii="Book Antiqua" w:cs="Book Antiqua" w:hAnsi="Book Antiqua" w:eastAsia="Book Antiqua"/>
        <w:position w:val="0"/>
        <w:sz w:val="24"/>
        <w:szCs w:val="24"/>
      </w:rPr>
    </w:lvl>
    <w:lvl w:ilvl="7">
      <w:start w:val="1"/>
      <w:numFmt w:val="decimal"/>
      <w:suff w:val="tab"/>
      <w:lvlText w:val="%1.%2.%3.%4.%5.%6.%7.%8."/>
      <w:lvlJc w:val="left"/>
      <w:pPr>
        <w:tabs>
          <w:tab w:val="num" w:pos="3241"/>
          <w:tab w:val="clear" w:pos="0"/>
        </w:tabs>
        <w:ind w:left="3241" w:hanging="2160"/>
      </w:pPr>
      <w:rPr>
        <w:rFonts w:ascii="Book Antiqua" w:cs="Book Antiqua" w:hAnsi="Book Antiqua" w:eastAsia="Book Antiqua"/>
        <w:position w:val="0"/>
        <w:sz w:val="24"/>
        <w:szCs w:val="24"/>
      </w:rPr>
    </w:lvl>
    <w:lvl w:ilvl="8">
      <w:start w:val="1"/>
      <w:numFmt w:val="decimal"/>
      <w:suff w:val="tab"/>
      <w:lvlText w:val="%1.%2.%3.%4.%5.%6.%7.%8.%9."/>
      <w:lvlJc w:val="left"/>
      <w:pPr>
        <w:tabs>
          <w:tab w:val="num" w:pos="3344"/>
          <w:tab w:val="clear" w:pos="0"/>
        </w:tabs>
        <w:ind w:left="3344" w:hanging="2160"/>
      </w:pPr>
      <w:rPr>
        <w:rFonts w:ascii="Book Antiqua" w:cs="Book Antiqua" w:hAnsi="Book Antiqua" w:eastAsia="Book Antiqua"/>
        <w:position w:val="0"/>
        <w:sz w:val="24"/>
        <w:szCs w:val="24"/>
      </w:rPr>
    </w:lvl>
  </w:abstractNum>
  <w:abstractNum w:abstractNumId="88">
    <w:multiLevelType w:val="multilevel"/>
    <w:lvl w:ilvl="0">
      <w:start w:val="1"/>
      <w:numFmt w:val="bullet"/>
      <w:suff w:val="tab"/>
      <w:lvlText w:val="•"/>
      <w:lvlJc w:val="left"/>
      <w:pPr/>
      <w:rPr>
        <w:rFonts w:ascii="Book Antiqua" w:cs="Book Antiqua" w:hAnsi="Book Antiqua" w:eastAsia="Book Antiqua"/>
        <w:position w:val="0"/>
      </w:rPr>
    </w:lvl>
    <w:lvl w:ilvl="1">
      <w:start w:val="1"/>
      <w:numFmt w:val="bullet"/>
      <w:suff w:val="tab"/>
      <w:lvlText w:val="o"/>
      <w:lvlJc w:val="left"/>
      <w:pPr/>
      <w:rPr>
        <w:rFonts w:ascii="Book Antiqua" w:cs="Book Antiqua" w:hAnsi="Book Antiqua" w:eastAsia="Book Antiqua"/>
        <w:position w:val="0"/>
      </w:rPr>
    </w:lvl>
    <w:lvl w:ilvl="2">
      <w:start w:val="1"/>
      <w:numFmt w:val="bullet"/>
      <w:suff w:val="tab"/>
      <w:lvlText w:val="▪"/>
      <w:lvlJc w:val="left"/>
      <w:pPr/>
      <w:rPr>
        <w:rFonts w:ascii="Book Antiqua" w:cs="Book Antiqua" w:hAnsi="Book Antiqua" w:eastAsia="Book Antiqua"/>
        <w:position w:val="0"/>
      </w:rPr>
    </w:lvl>
    <w:lvl w:ilvl="3">
      <w:start w:val="1"/>
      <w:numFmt w:val="bullet"/>
      <w:suff w:val="tab"/>
      <w:lvlText w:val="•"/>
      <w:lvlJc w:val="left"/>
      <w:pPr/>
      <w:rPr>
        <w:rFonts w:ascii="Book Antiqua" w:cs="Book Antiqua" w:hAnsi="Book Antiqua" w:eastAsia="Book Antiqua"/>
        <w:position w:val="0"/>
      </w:rPr>
    </w:lvl>
    <w:lvl w:ilvl="4">
      <w:start w:val="1"/>
      <w:numFmt w:val="bullet"/>
      <w:suff w:val="tab"/>
      <w:lvlText w:val="o"/>
      <w:lvlJc w:val="left"/>
      <w:pPr/>
      <w:rPr>
        <w:rFonts w:ascii="Book Antiqua" w:cs="Book Antiqua" w:hAnsi="Book Antiqua" w:eastAsia="Book Antiqua"/>
        <w:position w:val="0"/>
      </w:rPr>
    </w:lvl>
    <w:lvl w:ilvl="5">
      <w:start w:val="1"/>
      <w:numFmt w:val="bullet"/>
      <w:suff w:val="tab"/>
      <w:lvlText w:val="▪"/>
      <w:lvlJc w:val="left"/>
      <w:pPr/>
      <w:rPr>
        <w:rFonts w:ascii="Book Antiqua" w:cs="Book Antiqua" w:hAnsi="Book Antiqua" w:eastAsia="Book Antiqua"/>
        <w:position w:val="0"/>
      </w:rPr>
    </w:lvl>
    <w:lvl w:ilvl="6">
      <w:start w:val="1"/>
      <w:numFmt w:val="bullet"/>
      <w:suff w:val="tab"/>
      <w:lvlText w:val="•"/>
      <w:lvlJc w:val="left"/>
      <w:pPr/>
      <w:rPr>
        <w:rFonts w:ascii="Book Antiqua" w:cs="Book Antiqua" w:hAnsi="Book Antiqua" w:eastAsia="Book Antiqua"/>
        <w:position w:val="0"/>
      </w:rPr>
    </w:lvl>
    <w:lvl w:ilvl="7">
      <w:start w:val="1"/>
      <w:numFmt w:val="bullet"/>
      <w:suff w:val="tab"/>
      <w:lvlText w:val="o"/>
      <w:lvlJc w:val="left"/>
      <w:pPr/>
      <w:rPr>
        <w:rFonts w:ascii="Book Antiqua" w:cs="Book Antiqua" w:hAnsi="Book Antiqua" w:eastAsia="Book Antiqua"/>
        <w:position w:val="0"/>
      </w:rPr>
    </w:lvl>
    <w:lvl w:ilvl="8">
      <w:start w:val="1"/>
      <w:numFmt w:val="bullet"/>
      <w:suff w:val="tab"/>
      <w:lvlText w:val="▪"/>
      <w:lvlJc w:val="left"/>
      <w:pPr/>
      <w:rPr>
        <w:rFonts w:ascii="Book Antiqua" w:cs="Book Antiqua" w:hAnsi="Book Antiqua" w:eastAsia="Book Antiqua"/>
        <w:position w:val="0"/>
      </w:rPr>
    </w:lvl>
  </w:abstractNum>
  <w:abstractNum w:abstractNumId="89">
    <w:multiLevelType w:val="multilevel"/>
    <w:lvl w:ilvl="0">
      <w:start w:val="1"/>
      <w:numFmt w:val="bullet"/>
      <w:suff w:val="tab"/>
      <w:lvlText w:val="•"/>
      <w:lvlJc w:val="left"/>
      <w:pPr/>
      <w:rPr>
        <w:position w:val="0"/>
      </w:rPr>
    </w:lvl>
    <w:lvl w:ilvl="1">
      <w:start w:val="1"/>
      <w:numFmt w:val="bullet"/>
      <w:suff w:val="tab"/>
      <w:lvlText w:val="o"/>
      <w:lvlJc w:val="left"/>
      <w:pPr/>
      <w:rPr>
        <w:position w:val="0"/>
      </w:rPr>
    </w:lvl>
    <w:lvl w:ilvl="2">
      <w:start w:val="1"/>
      <w:numFmt w:val="bullet"/>
      <w:suff w:val="tab"/>
      <w:lvlText w:val="▪"/>
      <w:lvlJc w:val="left"/>
      <w:pPr/>
      <w:rPr>
        <w:position w:val="0"/>
      </w:rPr>
    </w:lvl>
    <w:lvl w:ilvl="3">
      <w:start w:val="1"/>
      <w:numFmt w:val="bullet"/>
      <w:suff w:val="tab"/>
      <w:lvlText w:val="•"/>
      <w:lvlJc w:val="left"/>
      <w:pPr/>
      <w:rPr>
        <w:position w:val="0"/>
      </w:rPr>
    </w:lvl>
    <w:lvl w:ilvl="4">
      <w:start w:val="1"/>
      <w:numFmt w:val="bullet"/>
      <w:suff w:val="tab"/>
      <w:lvlText w:val="o"/>
      <w:lvlJc w:val="left"/>
      <w:pPr/>
      <w:rPr>
        <w:position w:val="0"/>
      </w:rPr>
    </w:lvl>
    <w:lvl w:ilvl="5">
      <w:start w:val="1"/>
      <w:numFmt w:val="bullet"/>
      <w:suff w:val="tab"/>
      <w:lvlText w:val="▪"/>
      <w:lvlJc w:val="left"/>
      <w:pPr/>
      <w:rPr>
        <w:position w:val="0"/>
      </w:rPr>
    </w:lvl>
    <w:lvl w:ilvl="6">
      <w:start w:val="1"/>
      <w:numFmt w:val="bullet"/>
      <w:suff w:val="tab"/>
      <w:lvlText w:val="•"/>
      <w:lvlJc w:val="left"/>
      <w:pPr/>
      <w:rPr>
        <w:position w:val="0"/>
      </w:rPr>
    </w:lvl>
    <w:lvl w:ilvl="7">
      <w:start w:val="1"/>
      <w:numFmt w:val="bullet"/>
      <w:suff w:val="tab"/>
      <w:lvlText w:val="o"/>
      <w:lvlJc w:val="left"/>
      <w:pPr/>
      <w:rPr>
        <w:position w:val="0"/>
      </w:rPr>
    </w:lvl>
    <w:lvl w:ilvl="8">
      <w:start w:val="1"/>
      <w:numFmt w:val="bullet"/>
      <w:suff w:val="tab"/>
      <w:lvlText w:val="▪"/>
      <w:lvlJc w:val="left"/>
      <w:pPr/>
      <w:rPr>
        <w:position w:val="0"/>
      </w:rPr>
    </w:lvl>
  </w:abstractNum>
  <w:abstractNum w:abstractNumId="90">
    <w:multiLevelType w:val="multilevel"/>
    <w:styleLink w:val="List 18"/>
    <w:lvl w:ilvl="0">
      <w:start w:val="0"/>
      <w:numFmt w:val="bullet"/>
      <w:suff w:val="tab"/>
      <w:lvlText w:val="•"/>
      <w:lvlJc w:val="left"/>
      <w:pPr/>
      <w:rPr>
        <w:rFonts w:ascii="Book Antiqua" w:cs="Book Antiqua" w:hAnsi="Book Antiqua" w:eastAsia="Book Antiqua"/>
        <w:position w:val="0"/>
      </w:rPr>
    </w:lvl>
    <w:lvl w:ilvl="1">
      <w:start w:val="1"/>
      <w:numFmt w:val="bullet"/>
      <w:suff w:val="tab"/>
      <w:lvlText w:val="o"/>
      <w:lvlJc w:val="left"/>
      <w:pPr/>
      <w:rPr>
        <w:rFonts w:ascii="Book Antiqua" w:cs="Book Antiqua" w:hAnsi="Book Antiqua" w:eastAsia="Book Antiqua"/>
        <w:position w:val="0"/>
      </w:rPr>
    </w:lvl>
    <w:lvl w:ilvl="2">
      <w:start w:val="1"/>
      <w:numFmt w:val="bullet"/>
      <w:suff w:val="tab"/>
      <w:lvlText w:val="▪"/>
      <w:lvlJc w:val="left"/>
      <w:pPr/>
      <w:rPr>
        <w:rFonts w:ascii="Book Antiqua" w:cs="Book Antiqua" w:hAnsi="Book Antiqua" w:eastAsia="Book Antiqua"/>
        <w:position w:val="0"/>
      </w:rPr>
    </w:lvl>
    <w:lvl w:ilvl="3">
      <w:start w:val="1"/>
      <w:numFmt w:val="bullet"/>
      <w:suff w:val="tab"/>
      <w:lvlText w:val="•"/>
      <w:lvlJc w:val="left"/>
      <w:pPr/>
      <w:rPr>
        <w:rFonts w:ascii="Book Antiqua" w:cs="Book Antiqua" w:hAnsi="Book Antiqua" w:eastAsia="Book Antiqua"/>
        <w:position w:val="0"/>
      </w:rPr>
    </w:lvl>
    <w:lvl w:ilvl="4">
      <w:start w:val="1"/>
      <w:numFmt w:val="bullet"/>
      <w:suff w:val="tab"/>
      <w:lvlText w:val="o"/>
      <w:lvlJc w:val="left"/>
      <w:pPr/>
      <w:rPr>
        <w:rFonts w:ascii="Book Antiqua" w:cs="Book Antiqua" w:hAnsi="Book Antiqua" w:eastAsia="Book Antiqua"/>
        <w:position w:val="0"/>
      </w:rPr>
    </w:lvl>
    <w:lvl w:ilvl="5">
      <w:start w:val="1"/>
      <w:numFmt w:val="bullet"/>
      <w:suff w:val="tab"/>
      <w:lvlText w:val="▪"/>
      <w:lvlJc w:val="left"/>
      <w:pPr/>
      <w:rPr>
        <w:rFonts w:ascii="Book Antiqua" w:cs="Book Antiqua" w:hAnsi="Book Antiqua" w:eastAsia="Book Antiqua"/>
        <w:position w:val="0"/>
      </w:rPr>
    </w:lvl>
    <w:lvl w:ilvl="6">
      <w:start w:val="1"/>
      <w:numFmt w:val="bullet"/>
      <w:suff w:val="tab"/>
      <w:lvlText w:val="•"/>
      <w:lvlJc w:val="left"/>
      <w:pPr/>
      <w:rPr>
        <w:rFonts w:ascii="Book Antiqua" w:cs="Book Antiqua" w:hAnsi="Book Antiqua" w:eastAsia="Book Antiqua"/>
        <w:position w:val="0"/>
      </w:rPr>
    </w:lvl>
    <w:lvl w:ilvl="7">
      <w:start w:val="1"/>
      <w:numFmt w:val="bullet"/>
      <w:suff w:val="tab"/>
      <w:lvlText w:val="o"/>
      <w:lvlJc w:val="left"/>
      <w:pPr/>
      <w:rPr>
        <w:rFonts w:ascii="Book Antiqua" w:cs="Book Antiqua" w:hAnsi="Book Antiqua" w:eastAsia="Book Antiqua"/>
        <w:position w:val="0"/>
      </w:rPr>
    </w:lvl>
    <w:lvl w:ilvl="8">
      <w:start w:val="1"/>
      <w:numFmt w:val="bullet"/>
      <w:suff w:val="tab"/>
      <w:lvlText w:val="▪"/>
      <w:lvlJc w:val="left"/>
      <w:pPr/>
      <w:rPr>
        <w:rFonts w:ascii="Book Antiqua" w:cs="Book Antiqua" w:hAnsi="Book Antiqua" w:eastAsia="Book Antiqua"/>
        <w:position w:val="0"/>
      </w:rPr>
    </w:lvl>
  </w:abstractNum>
  <w:abstractNum w:abstractNumId="91">
    <w:multiLevelType w:val="multilevel"/>
    <w:styleLink w:val="List 18"/>
    <w:lvl w:ilvl="0">
      <w:start w:val="0"/>
      <w:numFmt w:val="bullet"/>
      <w:suff w:val="tab"/>
      <w:lvlText w:val="•"/>
      <w:lvlJc w:val="left"/>
      <w:pPr/>
      <w:rPr>
        <w:rFonts w:ascii="Book Antiqua" w:cs="Book Antiqua" w:hAnsi="Book Antiqua" w:eastAsia="Book Antiqua"/>
        <w:position w:val="0"/>
      </w:rPr>
    </w:lvl>
    <w:lvl w:ilvl="1">
      <w:start w:val="1"/>
      <w:numFmt w:val="bullet"/>
      <w:suff w:val="tab"/>
      <w:lvlText w:val="o"/>
      <w:lvlJc w:val="left"/>
      <w:pPr/>
      <w:rPr>
        <w:rFonts w:ascii="Book Antiqua" w:cs="Book Antiqua" w:hAnsi="Book Antiqua" w:eastAsia="Book Antiqua"/>
        <w:position w:val="0"/>
      </w:rPr>
    </w:lvl>
    <w:lvl w:ilvl="2">
      <w:start w:val="1"/>
      <w:numFmt w:val="bullet"/>
      <w:suff w:val="tab"/>
      <w:lvlText w:val="▪"/>
      <w:lvlJc w:val="left"/>
      <w:pPr/>
      <w:rPr>
        <w:rFonts w:ascii="Book Antiqua" w:cs="Book Antiqua" w:hAnsi="Book Antiqua" w:eastAsia="Book Antiqua"/>
        <w:position w:val="0"/>
      </w:rPr>
    </w:lvl>
    <w:lvl w:ilvl="3">
      <w:start w:val="1"/>
      <w:numFmt w:val="bullet"/>
      <w:suff w:val="tab"/>
      <w:lvlText w:val="•"/>
      <w:lvlJc w:val="left"/>
      <w:pPr/>
      <w:rPr>
        <w:rFonts w:ascii="Book Antiqua" w:cs="Book Antiqua" w:hAnsi="Book Antiqua" w:eastAsia="Book Antiqua"/>
        <w:position w:val="0"/>
      </w:rPr>
    </w:lvl>
    <w:lvl w:ilvl="4">
      <w:start w:val="1"/>
      <w:numFmt w:val="bullet"/>
      <w:suff w:val="tab"/>
      <w:lvlText w:val="o"/>
      <w:lvlJc w:val="left"/>
      <w:pPr/>
      <w:rPr>
        <w:rFonts w:ascii="Book Antiqua" w:cs="Book Antiqua" w:hAnsi="Book Antiqua" w:eastAsia="Book Antiqua"/>
        <w:position w:val="0"/>
      </w:rPr>
    </w:lvl>
    <w:lvl w:ilvl="5">
      <w:start w:val="1"/>
      <w:numFmt w:val="bullet"/>
      <w:suff w:val="tab"/>
      <w:lvlText w:val="▪"/>
      <w:lvlJc w:val="left"/>
      <w:pPr/>
      <w:rPr>
        <w:rFonts w:ascii="Book Antiqua" w:cs="Book Antiqua" w:hAnsi="Book Antiqua" w:eastAsia="Book Antiqua"/>
        <w:position w:val="0"/>
      </w:rPr>
    </w:lvl>
    <w:lvl w:ilvl="6">
      <w:start w:val="1"/>
      <w:numFmt w:val="bullet"/>
      <w:suff w:val="tab"/>
      <w:lvlText w:val="•"/>
      <w:lvlJc w:val="left"/>
      <w:pPr/>
      <w:rPr>
        <w:rFonts w:ascii="Book Antiqua" w:cs="Book Antiqua" w:hAnsi="Book Antiqua" w:eastAsia="Book Antiqua"/>
        <w:position w:val="0"/>
      </w:rPr>
    </w:lvl>
    <w:lvl w:ilvl="7">
      <w:start w:val="1"/>
      <w:numFmt w:val="bullet"/>
      <w:suff w:val="tab"/>
      <w:lvlText w:val="o"/>
      <w:lvlJc w:val="left"/>
      <w:pPr/>
      <w:rPr>
        <w:rFonts w:ascii="Book Antiqua" w:cs="Book Antiqua" w:hAnsi="Book Antiqua" w:eastAsia="Book Antiqua"/>
        <w:position w:val="0"/>
      </w:rPr>
    </w:lvl>
    <w:lvl w:ilvl="8">
      <w:start w:val="1"/>
      <w:numFmt w:val="bullet"/>
      <w:suff w:val="tab"/>
      <w:lvlText w:val="▪"/>
      <w:lvlJc w:val="left"/>
      <w:pPr/>
      <w:rPr>
        <w:rFonts w:ascii="Book Antiqua" w:cs="Book Antiqua" w:hAnsi="Book Antiqua" w:eastAsia="Book Antiqua"/>
        <w:position w:val="0"/>
      </w:rPr>
    </w:lvl>
  </w:abstractNum>
  <w:abstractNum w:abstractNumId="92">
    <w:multiLevelType w:val="multilevel"/>
    <w:styleLink w:val="List 18"/>
    <w:lvl w:ilvl="0">
      <w:start w:val="0"/>
      <w:numFmt w:val="bullet"/>
      <w:suff w:val="tab"/>
      <w:lvlText w:val="•"/>
      <w:lvlJc w:val="left"/>
      <w:pPr/>
      <w:rPr>
        <w:rFonts w:ascii="Book Antiqua" w:cs="Book Antiqua" w:hAnsi="Book Antiqua" w:eastAsia="Book Antiqua"/>
        <w:position w:val="0"/>
      </w:rPr>
    </w:lvl>
    <w:lvl w:ilvl="1">
      <w:start w:val="1"/>
      <w:numFmt w:val="bullet"/>
      <w:suff w:val="tab"/>
      <w:lvlText w:val="o"/>
      <w:lvlJc w:val="left"/>
      <w:pPr/>
      <w:rPr>
        <w:rFonts w:ascii="Book Antiqua" w:cs="Book Antiqua" w:hAnsi="Book Antiqua" w:eastAsia="Book Antiqua"/>
        <w:position w:val="0"/>
      </w:rPr>
    </w:lvl>
    <w:lvl w:ilvl="2">
      <w:start w:val="1"/>
      <w:numFmt w:val="bullet"/>
      <w:suff w:val="tab"/>
      <w:lvlText w:val="▪"/>
      <w:lvlJc w:val="left"/>
      <w:pPr/>
      <w:rPr>
        <w:rFonts w:ascii="Book Antiqua" w:cs="Book Antiqua" w:hAnsi="Book Antiqua" w:eastAsia="Book Antiqua"/>
        <w:position w:val="0"/>
      </w:rPr>
    </w:lvl>
    <w:lvl w:ilvl="3">
      <w:start w:val="1"/>
      <w:numFmt w:val="bullet"/>
      <w:suff w:val="tab"/>
      <w:lvlText w:val="•"/>
      <w:lvlJc w:val="left"/>
      <w:pPr/>
      <w:rPr>
        <w:rFonts w:ascii="Book Antiqua" w:cs="Book Antiqua" w:hAnsi="Book Antiqua" w:eastAsia="Book Antiqua"/>
        <w:position w:val="0"/>
      </w:rPr>
    </w:lvl>
    <w:lvl w:ilvl="4">
      <w:start w:val="1"/>
      <w:numFmt w:val="bullet"/>
      <w:suff w:val="tab"/>
      <w:lvlText w:val="o"/>
      <w:lvlJc w:val="left"/>
      <w:pPr/>
      <w:rPr>
        <w:rFonts w:ascii="Book Antiqua" w:cs="Book Antiqua" w:hAnsi="Book Antiqua" w:eastAsia="Book Antiqua"/>
        <w:position w:val="0"/>
      </w:rPr>
    </w:lvl>
    <w:lvl w:ilvl="5">
      <w:start w:val="1"/>
      <w:numFmt w:val="bullet"/>
      <w:suff w:val="tab"/>
      <w:lvlText w:val="▪"/>
      <w:lvlJc w:val="left"/>
      <w:pPr/>
      <w:rPr>
        <w:rFonts w:ascii="Book Antiqua" w:cs="Book Antiqua" w:hAnsi="Book Antiqua" w:eastAsia="Book Antiqua"/>
        <w:position w:val="0"/>
      </w:rPr>
    </w:lvl>
    <w:lvl w:ilvl="6">
      <w:start w:val="1"/>
      <w:numFmt w:val="bullet"/>
      <w:suff w:val="tab"/>
      <w:lvlText w:val="•"/>
      <w:lvlJc w:val="left"/>
      <w:pPr/>
      <w:rPr>
        <w:rFonts w:ascii="Book Antiqua" w:cs="Book Antiqua" w:hAnsi="Book Antiqua" w:eastAsia="Book Antiqua"/>
        <w:position w:val="0"/>
      </w:rPr>
    </w:lvl>
    <w:lvl w:ilvl="7">
      <w:start w:val="1"/>
      <w:numFmt w:val="bullet"/>
      <w:suff w:val="tab"/>
      <w:lvlText w:val="o"/>
      <w:lvlJc w:val="left"/>
      <w:pPr/>
      <w:rPr>
        <w:rFonts w:ascii="Book Antiqua" w:cs="Book Antiqua" w:hAnsi="Book Antiqua" w:eastAsia="Book Antiqua"/>
        <w:position w:val="0"/>
      </w:rPr>
    </w:lvl>
    <w:lvl w:ilvl="8">
      <w:start w:val="1"/>
      <w:numFmt w:val="bullet"/>
      <w:suff w:val="tab"/>
      <w:lvlText w:val="▪"/>
      <w:lvlJc w:val="left"/>
      <w:pPr/>
      <w:rPr>
        <w:rFonts w:ascii="Book Antiqua" w:cs="Book Antiqua" w:hAnsi="Book Antiqua" w:eastAsia="Book Antiqua"/>
        <w:position w:val="0"/>
      </w:rPr>
    </w:lvl>
  </w:abstractNum>
  <w:abstractNum w:abstractNumId="93">
    <w:multiLevelType w:val="multilevel"/>
    <w:lvl w:ilvl="0">
      <w:start w:val="1"/>
      <w:numFmt w:val="bullet"/>
      <w:suff w:val="tab"/>
      <w:lvlText w:val="✓"/>
      <w:lvlJc w:val="left"/>
      <w:pPr/>
      <w:rPr>
        <w:rFonts w:ascii="Book Antiqua" w:cs="Book Antiqua" w:hAnsi="Book Antiqua" w:eastAsia="Book Antiqua"/>
        <w:color w:val="000000"/>
        <w:position w:val="0"/>
        <w:u w:color="000000"/>
      </w:rPr>
    </w:lvl>
    <w:lvl w:ilvl="1">
      <w:start w:val="1"/>
      <w:numFmt w:val="bullet"/>
      <w:suff w:val="tab"/>
      <w:lvlText w:val="o"/>
      <w:lvlJc w:val="left"/>
      <w:pPr/>
      <w:rPr>
        <w:rFonts w:ascii="Book Antiqua" w:cs="Book Antiqua" w:hAnsi="Book Antiqua" w:eastAsia="Book Antiqua"/>
        <w:color w:val="000000"/>
        <w:position w:val="0"/>
        <w:u w:color="000000"/>
      </w:rPr>
    </w:lvl>
    <w:lvl w:ilvl="2">
      <w:start w:val="1"/>
      <w:numFmt w:val="bullet"/>
      <w:suff w:val="tab"/>
      <w:lvlText w:val="▪"/>
      <w:lvlJc w:val="left"/>
      <w:pPr/>
      <w:rPr>
        <w:rFonts w:ascii="Book Antiqua" w:cs="Book Antiqua" w:hAnsi="Book Antiqua" w:eastAsia="Book Antiqua"/>
        <w:color w:val="000000"/>
        <w:position w:val="0"/>
        <w:u w:color="000000"/>
      </w:rPr>
    </w:lvl>
    <w:lvl w:ilvl="3">
      <w:start w:val="1"/>
      <w:numFmt w:val="bullet"/>
      <w:suff w:val="tab"/>
      <w:lvlText w:val="•"/>
      <w:lvlJc w:val="left"/>
      <w:pPr/>
      <w:rPr>
        <w:rFonts w:ascii="Book Antiqua" w:cs="Book Antiqua" w:hAnsi="Book Antiqua" w:eastAsia="Book Antiqua"/>
        <w:color w:val="000000"/>
        <w:position w:val="0"/>
        <w:u w:color="000000"/>
      </w:rPr>
    </w:lvl>
    <w:lvl w:ilvl="4">
      <w:start w:val="1"/>
      <w:numFmt w:val="bullet"/>
      <w:suff w:val="tab"/>
      <w:lvlText w:val="o"/>
      <w:lvlJc w:val="left"/>
      <w:pPr/>
      <w:rPr>
        <w:rFonts w:ascii="Book Antiqua" w:cs="Book Antiqua" w:hAnsi="Book Antiqua" w:eastAsia="Book Antiqua"/>
        <w:color w:val="000000"/>
        <w:position w:val="0"/>
        <w:u w:color="000000"/>
      </w:rPr>
    </w:lvl>
    <w:lvl w:ilvl="5">
      <w:start w:val="1"/>
      <w:numFmt w:val="bullet"/>
      <w:suff w:val="tab"/>
      <w:lvlText w:val="▪"/>
      <w:lvlJc w:val="left"/>
      <w:pPr/>
      <w:rPr>
        <w:rFonts w:ascii="Book Antiqua" w:cs="Book Antiqua" w:hAnsi="Book Antiqua" w:eastAsia="Book Antiqua"/>
        <w:color w:val="000000"/>
        <w:position w:val="0"/>
        <w:u w:color="000000"/>
      </w:rPr>
    </w:lvl>
    <w:lvl w:ilvl="6">
      <w:start w:val="1"/>
      <w:numFmt w:val="bullet"/>
      <w:suff w:val="tab"/>
      <w:lvlText w:val="•"/>
      <w:lvlJc w:val="left"/>
      <w:pPr/>
      <w:rPr>
        <w:rFonts w:ascii="Book Antiqua" w:cs="Book Antiqua" w:hAnsi="Book Antiqua" w:eastAsia="Book Antiqua"/>
        <w:color w:val="000000"/>
        <w:position w:val="0"/>
        <w:u w:color="000000"/>
      </w:rPr>
    </w:lvl>
    <w:lvl w:ilvl="7">
      <w:start w:val="1"/>
      <w:numFmt w:val="bullet"/>
      <w:suff w:val="tab"/>
      <w:lvlText w:val="o"/>
      <w:lvlJc w:val="left"/>
      <w:pPr/>
      <w:rPr>
        <w:rFonts w:ascii="Book Antiqua" w:cs="Book Antiqua" w:hAnsi="Book Antiqua" w:eastAsia="Book Antiqua"/>
        <w:color w:val="000000"/>
        <w:position w:val="0"/>
        <w:u w:color="000000"/>
      </w:rPr>
    </w:lvl>
    <w:lvl w:ilvl="8">
      <w:start w:val="1"/>
      <w:numFmt w:val="bullet"/>
      <w:suff w:val="tab"/>
      <w:lvlText w:val="▪"/>
      <w:lvlJc w:val="left"/>
      <w:pPr/>
      <w:rPr>
        <w:rFonts w:ascii="Book Antiqua" w:cs="Book Antiqua" w:hAnsi="Book Antiqua" w:eastAsia="Book Antiqua"/>
        <w:color w:val="000000"/>
        <w:position w:val="0"/>
        <w:u w:color="000000"/>
      </w:rPr>
    </w:lvl>
  </w:abstractNum>
  <w:abstractNum w:abstractNumId="94">
    <w:multiLevelType w:val="multilevel"/>
    <w:lvl w:ilvl="0">
      <w:start w:val="1"/>
      <w:numFmt w:val="bullet"/>
      <w:suff w:val="tab"/>
      <w:lvlText w:val="✓"/>
      <w:lvlJc w:val="left"/>
      <w:pPr/>
      <w:rPr>
        <w:position w:val="0"/>
      </w:rPr>
    </w:lvl>
    <w:lvl w:ilvl="1">
      <w:start w:val="1"/>
      <w:numFmt w:val="bullet"/>
      <w:suff w:val="tab"/>
      <w:lvlText w:val="o"/>
      <w:lvlJc w:val="left"/>
      <w:pPr/>
      <w:rPr>
        <w:position w:val="0"/>
      </w:rPr>
    </w:lvl>
    <w:lvl w:ilvl="2">
      <w:start w:val="1"/>
      <w:numFmt w:val="bullet"/>
      <w:suff w:val="tab"/>
      <w:lvlText w:val="▪"/>
      <w:lvlJc w:val="left"/>
      <w:pPr/>
      <w:rPr>
        <w:position w:val="0"/>
      </w:rPr>
    </w:lvl>
    <w:lvl w:ilvl="3">
      <w:start w:val="1"/>
      <w:numFmt w:val="bullet"/>
      <w:suff w:val="tab"/>
      <w:lvlText w:val="•"/>
      <w:lvlJc w:val="left"/>
      <w:pPr/>
      <w:rPr>
        <w:position w:val="0"/>
      </w:rPr>
    </w:lvl>
    <w:lvl w:ilvl="4">
      <w:start w:val="1"/>
      <w:numFmt w:val="bullet"/>
      <w:suff w:val="tab"/>
      <w:lvlText w:val="o"/>
      <w:lvlJc w:val="left"/>
      <w:pPr/>
      <w:rPr>
        <w:position w:val="0"/>
      </w:rPr>
    </w:lvl>
    <w:lvl w:ilvl="5">
      <w:start w:val="1"/>
      <w:numFmt w:val="bullet"/>
      <w:suff w:val="tab"/>
      <w:lvlText w:val="▪"/>
      <w:lvlJc w:val="left"/>
      <w:pPr/>
      <w:rPr>
        <w:position w:val="0"/>
      </w:rPr>
    </w:lvl>
    <w:lvl w:ilvl="6">
      <w:start w:val="1"/>
      <w:numFmt w:val="bullet"/>
      <w:suff w:val="tab"/>
      <w:lvlText w:val="•"/>
      <w:lvlJc w:val="left"/>
      <w:pPr/>
      <w:rPr>
        <w:position w:val="0"/>
      </w:rPr>
    </w:lvl>
    <w:lvl w:ilvl="7">
      <w:start w:val="1"/>
      <w:numFmt w:val="bullet"/>
      <w:suff w:val="tab"/>
      <w:lvlText w:val="o"/>
      <w:lvlJc w:val="left"/>
      <w:pPr/>
      <w:rPr>
        <w:position w:val="0"/>
      </w:rPr>
    </w:lvl>
    <w:lvl w:ilvl="8">
      <w:start w:val="1"/>
      <w:numFmt w:val="bullet"/>
      <w:suff w:val="tab"/>
      <w:lvlText w:val="▪"/>
      <w:lvlJc w:val="left"/>
      <w:pPr/>
      <w:rPr>
        <w:position w:val="0"/>
      </w:rPr>
    </w:lvl>
  </w:abstractNum>
  <w:abstractNum w:abstractNumId="95">
    <w:multiLevelType w:val="multilevel"/>
    <w:styleLink w:val="List 19"/>
    <w:lvl w:ilvl="0">
      <w:start w:val="0"/>
      <w:numFmt w:val="bullet"/>
      <w:suff w:val="tab"/>
      <w:lvlText w:val="✓"/>
      <w:lvlJc w:val="left"/>
      <w:pPr/>
      <w:rPr>
        <w:rFonts w:ascii="Book Antiqua" w:cs="Book Antiqua" w:hAnsi="Book Antiqua" w:eastAsia="Book Antiqua"/>
        <w:color w:val="000000"/>
        <w:position w:val="0"/>
        <w:u w:color="000000"/>
      </w:rPr>
    </w:lvl>
    <w:lvl w:ilvl="1">
      <w:start w:val="1"/>
      <w:numFmt w:val="bullet"/>
      <w:suff w:val="tab"/>
      <w:lvlText w:val="o"/>
      <w:lvlJc w:val="left"/>
      <w:pPr/>
      <w:rPr>
        <w:rFonts w:ascii="Book Antiqua" w:cs="Book Antiqua" w:hAnsi="Book Antiqua" w:eastAsia="Book Antiqua"/>
        <w:color w:val="000000"/>
        <w:position w:val="0"/>
        <w:u w:color="000000"/>
      </w:rPr>
    </w:lvl>
    <w:lvl w:ilvl="2">
      <w:start w:val="1"/>
      <w:numFmt w:val="bullet"/>
      <w:suff w:val="tab"/>
      <w:lvlText w:val="▪"/>
      <w:lvlJc w:val="left"/>
      <w:pPr/>
      <w:rPr>
        <w:rFonts w:ascii="Book Antiqua" w:cs="Book Antiqua" w:hAnsi="Book Antiqua" w:eastAsia="Book Antiqua"/>
        <w:color w:val="000000"/>
        <w:position w:val="0"/>
        <w:u w:color="000000"/>
      </w:rPr>
    </w:lvl>
    <w:lvl w:ilvl="3">
      <w:start w:val="1"/>
      <w:numFmt w:val="bullet"/>
      <w:suff w:val="tab"/>
      <w:lvlText w:val="•"/>
      <w:lvlJc w:val="left"/>
      <w:pPr/>
      <w:rPr>
        <w:rFonts w:ascii="Book Antiqua" w:cs="Book Antiqua" w:hAnsi="Book Antiqua" w:eastAsia="Book Antiqua"/>
        <w:color w:val="000000"/>
        <w:position w:val="0"/>
        <w:u w:color="000000"/>
      </w:rPr>
    </w:lvl>
    <w:lvl w:ilvl="4">
      <w:start w:val="1"/>
      <w:numFmt w:val="bullet"/>
      <w:suff w:val="tab"/>
      <w:lvlText w:val="o"/>
      <w:lvlJc w:val="left"/>
      <w:pPr/>
      <w:rPr>
        <w:rFonts w:ascii="Book Antiqua" w:cs="Book Antiqua" w:hAnsi="Book Antiqua" w:eastAsia="Book Antiqua"/>
        <w:color w:val="000000"/>
        <w:position w:val="0"/>
        <w:u w:color="000000"/>
      </w:rPr>
    </w:lvl>
    <w:lvl w:ilvl="5">
      <w:start w:val="1"/>
      <w:numFmt w:val="bullet"/>
      <w:suff w:val="tab"/>
      <w:lvlText w:val="▪"/>
      <w:lvlJc w:val="left"/>
      <w:pPr/>
      <w:rPr>
        <w:rFonts w:ascii="Book Antiqua" w:cs="Book Antiqua" w:hAnsi="Book Antiqua" w:eastAsia="Book Antiqua"/>
        <w:color w:val="000000"/>
        <w:position w:val="0"/>
        <w:u w:color="000000"/>
      </w:rPr>
    </w:lvl>
    <w:lvl w:ilvl="6">
      <w:start w:val="1"/>
      <w:numFmt w:val="bullet"/>
      <w:suff w:val="tab"/>
      <w:lvlText w:val="•"/>
      <w:lvlJc w:val="left"/>
      <w:pPr/>
      <w:rPr>
        <w:rFonts w:ascii="Book Antiqua" w:cs="Book Antiqua" w:hAnsi="Book Antiqua" w:eastAsia="Book Antiqua"/>
        <w:color w:val="000000"/>
        <w:position w:val="0"/>
        <w:u w:color="000000"/>
      </w:rPr>
    </w:lvl>
    <w:lvl w:ilvl="7">
      <w:start w:val="1"/>
      <w:numFmt w:val="bullet"/>
      <w:suff w:val="tab"/>
      <w:lvlText w:val="o"/>
      <w:lvlJc w:val="left"/>
      <w:pPr/>
      <w:rPr>
        <w:rFonts w:ascii="Book Antiqua" w:cs="Book Antiqua" w:hAnsi="Book Antiqua" w:eastAsia="Book Antiqua"/>
        <w:color w:val="000000"/>
        <w:position w:val="0"/>
        <w:u w:color="000000"/>
      </w:rPr>
    </w:lvl>
    <w:lvl w:ilvl="8">
      <w:start w:val="1"/>
      <w:numFmt w:val="bullet"/>
      <w:suff w:val="tab"/>
      <w:lvlText w:val="▪"/>
      <w:lvlJc w:val="left"/>
      <w:pPr/>
      <w:rPr>
        <w:rFonts w:ascii="Book Antiqua" w:cs="Book Antiqua" w:hAnsi="Book Antiqua" w:eastAsia="Book Antiqua"/>
        <w:color w:val="000000"/>
        <w:position w:val="0"/>
        <w:u w:color="000000"/>
      </w:rPr>
    </w:lvl>
  </w:abstractNum>
  <w:abstractNum w:abstractNumId="96">
    <w:multiLevelType w:val="multilevel"/>
    <w:styleLink w:val="List 19"/>
    <w:lvl w:ilvl="0">
      <w:start w:val="0"/>
      <w:numFmt w:val="bullet"/>
      <w:suff w:val="tab"/>
      <w:lvlText w:val="✓"/>
      <w:lvlJc w:val="left"/>
      <w:pPr/>
      <w:rPr>
        <w:rFonts w:ascii="Book Antiqua" w:cs="Book Antiqua" w:hAnsi="Book Antiqua" w:eastAsia="Book Antiqua"/>
        <w:color w:val="000000"/>
        <w:position w:val="0"/>
        <w:u w:color="000000"/>
      </w:rPr>
    </w:lvl>
    <w:lvl w:ilvl="1">
      <w:start w:val="1"/>
      <w:numFmt w:val="bullet"/>
      <w:suff w:val="tab"/>
      <w:lvlText w:val="o"/>
      <w:lvlJc w:val="left"/>
      <w:pPr/>
      <w:rPr>
        <w:rFonts w:ascii="Book Antiqua" w:cs="Book Antiqua" w:hAnsi="Book Antiqua" w:eastAsia="Book Antiqua"/>
        <w:color w:val="000000"/>
        <w:position w:val="0"/>
        <w:u w:color="000000"/>
      </w:rPr>
    </w:lvl>
    <w:lvl w:ilvl="2">
      <w:start w:val="1"/>
      <w:numFmt w:val="bullet"/>
      <w:suff w:val="tab"/>
      <w:lvlText w:val="▪"/>
      <w:lvlJc w:val="left"/>
      <w:pPr/>
      <w:rPr>
        <w:rFonts w:ascii="Book Antiqua" w:cs="Book Antiqua" w:hAnsi="Book Antiqua" w:eastAsia="Book Antiqua"/>
        <w:color w:val="000000"/>
        <w:position w:val="0"/>
        <w:u w:color="000000"/>
      </w:rPr>
    </w:lvl>
    <w:lvl w:ilvl="3">
      <w:start w:val="1"/>
      <w:numFmt w:val="bullet"/>
      <w:suff w:val="tab"/>
      <w:lvlText w:val="•"/>
      <w:lvlJc w:val="left"/>
      <w:pPr/>
      <w:rPr>
        <w:rFonts w:ascii="Book Antiqua" w:cs="Book Antiqua" w:hAnsi="Book Antiqua" w:eastAsia="Book Antiqua"/>
        <w:color w:val="000000"/>
        <w:position w:val="0"/>
        <w:u w:color="000000"/>
      </w:rPr>
    </w:lvl>
    <w:lvl w:ilvl="4">
      <w:start w:val="1"/>
      <w:numFmt w:val="bullet"/>
      <w:suff w:val="tab"/>
      <w:lvlText w:val="o"/>
      <w:lvlJc w:val="left"/>
      <w:pPr/>
      <w:rPr>
        <w:rFonts w:ascii="Book Antiqua" w:cs="Book Antiqua" w:hAnsi="Book Antiqua" w:eastAsia="Book Antiqua"/>
        <w:color w:val="000000"/>
        <w:position w:val="0"/>
        <w:u w:color="000000"/>
      </w:rPr>
    </w:lvl>
    <w:lvl w:ilvl="5">
      <w:start w:val="1"/>
      <w:numFmt w:val="bullet"/>
      <w:suff w:val="tab"/>
      <w:lvlText w:val="▪"/>
      <w:lvlJc w:val="left"/>
      <w:pPr/>
      <w:rPr>
        <w:rFonts w:ascii="Book Antiqua" w:cs="Book Antiqua" w:hAnsi="Book Antiqua" w:eastAsia="Book Antiqua"/>
        <w:color w:val="000000"/>
        <w:position w:val="0"/>
        <w:u w:color="000000"/>
      </w:rPr>
    </w:lvl>
    <w:lvl w:ilvl="6">
      <w:start w:val="1"/>
      <w:numFmt w:val="bullet"/>
      <w:suff w:val="tab"/>
      <w:lvlText w:val="•"/>
      <w:lvlJc w:val="left"/>
      <w:pPr/>
      <w:rPr>
        <w:rFonts w:ascii="Book Antiqua" w:cs="Book Antiqua" w:hAnsi="Book Antiqua" w:eastAsia="Book Antiqua"/>
        <w:color w:val="000000"/>
        <w:position w:val="0"/>
        <w:u w:color="000000"/>
      </w:rPr>
    </w:lvl>
    <w:lvl w:ilvl="7">
      <w:start w:val="1"/>
      <w:numFmt w:val="bullet"/>
      <w:suff w:val="tab"/>
      <w:lvlText w:val="o"/>
      <w:lvlJc w:val="left"/>
      <w:pPr/>
      <w:rPr>
        <w:rFonts w:ascii="Book Antiqua" w:cs="Book Antiqua" w:hAnsi="Book Antiqua" w:eastAsia="Book Antiqua"/>
        <w:color w:val="000000"/>
        <w:position w:val="0"/>
        <w:u w:color="000000"/>
      </w:rPr>
    </w:lvl>
    <w:lvl w:ilvl="8">
      <w:start w:val="1"/>
      <w:numFmt w:val="bullet"/>
      <w:suff w:val="tab"/>
      <w:lvlText w:val="▪"/>
      <w:lvlJc w:val="left"/>
      <w:pPr/>
      <w:rPr>
        <w:rFonts w:ascii="Book Antiqua" w:cs="Book Antiqua" w:hAnsi="Book Antiqua" w:eastAsia="Book Antiqua"/>
        <w:color w:val="000000"/>
        <w:position w:val="0"/>
        <w:u w:color="000000"/>
      </w:rPr>
    </w:lvl>
  </w:abstractNum>
  <w:abstractNum w:abstractNumId="97">
    <w:multiLevelType w:val="multilevel"/>
    <w:lvl w:ilvl="0">
      <w:start w:val="1"/>
      <w:numFmt w:val="bullet"/>
      <w:suff w:val="tab"/>
      <w:lvlText w:val="•"/>
      <w:lvlJc w:val="left"/>
      <w:pPr/>
      <w:rPr>
        <w:rFonts w:ascii="Book Antiqua" w:cs="Book Antiqua" w:hAnsi="Book Antiqua" w:eastAsia="Book Antiqua"/>
        <w:position w:val="0"/>
      </w:rPr>
    </w:lvl>
    <w:lvl w:ilvl="1">
      <w:start w:val="1"/>
      <w:numFmt w:val="bullet"/>
      <w:suff w:val="tab"/>
      <w:lvlText w:val="•"/>
      <w:lvlJc w:val="left"/>
      <w:pPr/>
      <w:rPr>
        <w:rFonts w:ascii="Book Antiqua" w:cs="Book Antiqua" w:hAnsi="Book Antiqua" w:eastAsia="Book Antiqua"/>
        <w:position w:val="0"/>
      </w:rPr>
    </w:lvl>
    <w:lvl w:ilvl="2">
      <w:start w:val="1"/>
      <w:numFmt w:val="bullet"/>
      <w:suff w:val="tab"/>
      <w:lvlText w:val="•"/>
      <w:lvlJc w:val="left"/>
      <w:pPr/>
      <w:rPr>
        <w:rFonts w:ascii="Book Antiqua" w:cs="Book Antiqua" w:hAnsi="Book Antiqua" w:eastAsia="Book Antiqua"/>
        <w:position w:val="0"/>
      </w:rPr>
    </w:lvl>
    <w:lvl w:ilvl="3">
      <w:start w:val="1"/>
      <w:numFmt w:val="bullet"/>
      <w:suff w:val="tab"/>
      <w:lvlText w:val="•"/>
      <w:lvlJc w:val="left"/>
      <w:pPr/>
      <w:rPr>
        <w:rFonts w:ascii="Book Antiqua" w:cs="Book Antiqua" w:hAnsi="Book Antiqua" w:eastAsia="Book Antiqua"/>
        <w:position w:val="0"/>
      </w:rPr>
    </w:lvl>
    <w:lvl w:ilvl="4">
      <w:start w:val="1"/>
      <w:numFmt w:val="bullet"/>
      <w:suff w:val="tab"/>
      <w:lvlText w:val="•"/>
      <w:lvlJc w:val="left"/>
      <w:pPr/>
      <w:rPr>
        <w:rFonts w:ascii="Book Antiqua" w:cs="Book Antiqua" w:hAnsi="Book Antiqua" w:eastAsia="Book Antiqua"/>
        <w:position w:val="0"/>
      </w:rPr>
    </w:lvl>
    <w:lvl w:ilvl="5">
      <w:start w:val="1"/>
      <w:numFmt w:val="bullet"/>
      <w:suff w:val="tab"/>
      <w:lvlText w:val="•"/>
      <w:lvlJc w:val="left"/>
      <w:pPr/>
      <w:rPr>
        <w:rFonts w:ascii="Book Antiqua" w:cs="Book Antiqua" w:hAnsi="Book Antiqua" w:eastAsia="Book Antiqua"/>
        <w:position w:val="0"/>
      </w:rPr>
    </w:lvl>
    <w:lvl w:ilvl="6">
      <w:start w:val="1"/>
      <w:numFmt w:val="bullet"/>
      <w:suff w:val="tab"/>
      <w:lvlText w:val="•"/>
      <w:lvlJc w:val="left"/>
      <w:pPr/>
      <w:rPr>
        <w:rFonts w:ascii="Book Antiqua" w:cs="Book Antiqua" w:hAnsi="Book Antiqua" w:eastAsia="Book Antiqua"/>
        <w:position w:val="0"/>
      </w:rPr>
    </w:lvl>
    <w:lvl w:ilvl="7">
      <w:start w:val="1"/>
      <w:numFmt w:val="bullet"/>
      <w:suff w:val="tab"/>
      <w:lvlText w:val="•"/>
      <w:lvlJc w:val="left"/>
      <w:pPr/>
      <w:rPr>
        <w:rFonts w:ascii="Book Antiqua" w:cs="Book Antiqua" w:hAnsi="Book Antiqua" w:eastAsia="Book Antiqua"/>
        <w:position w:val="0"/>
      </w:rPr>
    </w:lvl>
    <w:lvl w:ilvl="8">
      <w:start w:val="1"/>
      <w:numFmt w:val="bullet"/>
      <w:suff w:val="tab"/>
      <w:lvlText w:val="•"/>
      <w:lvlJc w:val="left"/>
      <w:pPr/>
      <w:rPr>
        <w:rFonts w:ascii="Book Antiqua" w:cs="Book Antiqua" w:hAnsi="Book Antiqua" w:eastAsia="Book Antiqua"/>
        <w:position w:val="0"/>
      </w:rPr>
    </w:lvl>
  </w:abstractNum>
  <w:abstractNum w:abstractNumId="98">
    <w:multiLevelType w:val="multilevel"/>
    <w:lvl w:ilvl="0">
      <w:start w:val="1"/>
      <w:numFmt w:val="bullet"/>
      <w:suff w:val="tab"/>
      <w:lvlText w:val="•"/>
      <w:lvlJc w:val="left"/>
      <w:pPr/>
      <w:rPr>
        <w:position w:val="0"/>
      </w:rPr>
    </w:lvl>
    <w:lvl w:ilvl="1">
      <w:start w:val="1"/>
      <w:numFmt w:val="bullet"/>
      <w:suff w:val="tab"/>
      <w:lvlText w:val="•"/>
      <w:lvlJc w:val="left"/>
      <w:pPr/>
      <w:rPr>
        <w:position w:val="0"/>
      </w:rPr>
    </w:lvl>
    <w:lvl w:ilvl="2">
      <w:start w:val="1"/>
      <w:numFmt w:val="bullet"/>
      <w:suff w:val="tab"/>
      <w:lvlText w:val="•"/>
      <w:lvlJc w:val="left"/>
      <w:pPr/>
      <w:rPr>
        <w:position w:val="0"/>
      </w:rPr>
    </w:lvl>
    <w:lvl w:ilvl="3">
      <w:start w:val="1"/>
      <w:numFmt w:val="bullet"/>
      <w:suff w:val="tab"/>
      <w:lvlText w:val="•"/>
      <w:lvlJc w:val="left"/>
      <w:pPr/>
      <w:rPr>
        <w:position w:val="0"/>
      </w:rPr>
    </w:lvl>
    <w:lvl w:ilvl="4">
      <w:start w:val="1"/>
      <w:numFmt w:val="bullet"/>
      <w:suff w:val="tab"/>
      <w:lvlText w:val="•"/>
      <w:lvlJc w:val="left"/>
      <w:pPr/>
      <w:rPr>
        <w:position w:val="0"/>
      </w:rPr>
    </w:lvl>
    <w:lvl w:ilvl="5">
      <w:start w:val="1"/>
      <w:numFmt w:val="bullet"/>
      <w:suff w:val="tab"/>
      <w:lvlText w:val="•"/>
      <w:lvlJc w:val="left"/>
      <w:pPr/>
      <w:rPr>
        <w:position w:val="0"/>
      </w:rPr>
    </w:lvl>
    <w:lvl w:ilvl="6">
      <w:start w:val="1"/>
      <w:numFmt w:val="bullet"/>
      <w:suff w:val="tab"/>
      <w:lvlText w:val="•"/>
      <w:lvlJc w:val="left"/>
      <w:pPr/>
      <w:rPr>
        <w:position w:val="0"/>
      </w:rPr>
    </w:lvl>
    <w:lvl w:ilvl="7">
      <w:start w:val="1"/>
      <w:numFmt w:val="bullet"/>
      <w:suff w:val="tab"/>
      <w:lvlText w:val="•"/>
      <w:lvlJc w:val="left"/>
      <w:pPr/>
      <w:rPr>
        <w:position w:val="0"/>
      </w:rPr>
    </w:lvl>
    <w:lvl w:ilvl="8">
      <w:start w:val="1"/>
      <w:numFmt w:val="bullet"/>
      <w:suff w:val="tab"/>
      <w:lvlText w:val="•"/>
      <w:lvlJc w:val="left"/>
      <w:pPr/>
      <w:rPr>
        <w:position w:val="0"/>
      </w:rPr>
    </w:lvl>
  </w:abstractNum>
  <w:abstractNum w:abstractNumId="99">
    <w:multiLevelType w:val="multilevel"/>
    <w:styleLink w:val="List 20"/>
    <w:lvl w:ilvl="0">
      <w:start w:val="0"/>
      <w:numFmt w:val="bullet"/>
      <w:suff w:val="tab"/>
      <w:lvlText w:val="•"/>
      <w:lvlJc w:val="left"/>
      <w:pPr/>
      <w:rPr>
        <w:rFonts w:ascii="Book Antiqua" w:cs="Book Antiqua" w:hAnsi="Book Antiqua" w:eastAsia="Book Antiqua"/>
        <w:position w:val="0"/>
      </w:rPr>
    </w:lvl>
    <w:lvl w:ilvl="1">
      <w:start w:val="1"/>
      <w:numFmt w:val="bullet"/>
      <w:suff w:val="tab"/>
      <w:lvlText w:val="•"/>
      <w:lvlJc w:val="left"/>
      <w:pPr/>
      <w:rPr>
        <w:rFonts w:ascii="Book Antiqua" w:cs="Book Antiqua" w:hAnsi="Book Antiqua" w:eastAsia="Book Antiqua"/>
        <w:position w:val="0"/>
      </w:rPr>
    </w:lvl>
    <w:lvl w:ilvl="2">
      <w:start w:val="1"/>
      <w:numFmt w:val="bullet"/>
      <w:suff w:val="tab"/>
      <w:lvlText w:val="•"/>
      <w:lvlJc w:val="left"/>
      <w:pPr/>
      <w:rPr>
        <w:rFonts w:ascii="Book Antiqua" w:cs="Book Antiqua" w:hAnsi="Book Antiqua" w:eastAsia="Book Antiqua"/>
        <w:position w:val="0"/>
      </w:rPr>
    </w:lvl>
    <w:lvl w:ilvl="3">
      <w:start w:val="1"/>
      <w:numFmt w:val="bullet"/>
      <w:suff w:val="tab"/>
      <w:lvlText w:val="•"/>
      <w:lvlJc w:val="left"/>
      <w:pPr/>
      <w:rPr>
        <w:rFonts w:ascii="Book Antiqua" w:cs="Book Antiqua" w:hAnsi="Book Antiqua" w:eastAsia="Book Antiqua"/>
        <w:position w:val="0"/>
      </w:rPr>
    </w:lvl>
    <w:lvl w:ilvl="4">
      <w:start w:val="1"/>
      <w:numFmt w:val="bullet"/>
      <w:suff w:val="tab"/>
      <w:lvlText w:val="•"/>
      <w:lvlJc w:val="left"/>
      <w:pPr/>
      <w:rPr>
        <w:rFonts w:ascii="Book Antiqua" w:cs="Book Antiqua" w:hAnsi="Book Antiqua" w:eastAsia="Book Antiqua"/>
        <w:position w:val="0"/>
      </w:rPr>
    </w:lvl>
    <w:lvl w:ilvl="5">
      <w:start w:val="1"/>
      <w:numFmt w:val="bullet"/>
      <w:suff w:val="tab"/>
      <w:lvlText w:val="•"/>
      <w:lvlJc w:val="left"/>
      <w:pPr/>
      <w:rPr>
        <w:rFonts w:ascii="Book Antiqua" w:cs="Book Antiqua" w:hAnsi="Book Antiqua" w:eastAsia="Book Antiqua"/>
        <w:position w:val="0"/>
      </w:rPr>
    </w:lvl>
    <w:lvl w:ilvl="6">
      <w:start w:val="1"/>
      <w:numFmt w:val="bullet"/>
      <w:suff w:val="tab"/>
      <w:lvlText w:val="•"/>
      <w:lvlJc w:val="left"/>
      <w:pPr/>
      <w:rPr>
        <w:rFonts w:ascii="Book Antiqua" w:cs="Book Antiqua" w:hAnsi="Book Antiqua" w:eastAsia="Book Antiqua"/>
        <w:position w:val="0"/>
      </w:rPr>
    </w:lvl>
    <w:lvl w:ilvl="7">
      <w:start w:val="1"/>
      <w:numFmt w:val="bullet"/>
      <w:suff w:val="tab"/>
      <w:lvlText w:val="•"/>
      <w:lvlJc w:val="left"/>
      <w:pPr/>
      <w:rPr>
        <w:rFonts w:ascii="Book Antiqua" w:cs="Book Antiqua" w:hAnsi="Book Antiqua" w:eastAsia="Book Antiqua"/>
        <w:position w:val="0"/>
      </w:rPr>
    </w:lvl>
    <w:lvl w:ilvl="8">
      <w:start w:val="1"/>
      <w:numFmt w:val="bullet"/>
      <w:suff w:val="tab"/>
      <w:lvlText w:val="•"/>
      <w:lvlJc w:val="left"/>
      <w:pPr/>
      <w:rPr>
        <w:rFonts w:ascii="Book Antiqua" w:cs="Book Antiqua" w:hAnsi="Book Antiqua" w:eastAsia="Book Antiqua"/>
        <w:position w:val="0"/>
      </w:rPr>
    </w:lvl>
  </w:abstractNum>
  <w:abstractNum w:abstractNumId="100">
    <w:multiLevelType w:val="multilevel"/>
    <w:styleLink w:val="List 20"/>
    <w:lvl w:ilvl="0">
      <w:start w:val="0"/>
      <w:numFmt w:val="bullet"/>
      <w:suff w:val="tab"/>
      <w:lvlText w:val="•"/>
      <w:lvlJc w:val="left"/>
      <w:pPr/>
      <w:rPr>
        <w:rFonts w:ascii="Book Antiqua" w:cs="Book Antiqua" w:hAnsi="Book Antiqua" w:eastAsia="Book Antiqua"/>
        <w:position w:val="0"/>
      </w:rPr>
    </w:lvl>
    <w:lvl w:ilvl="1">
      <w:start w:val="1"/>
      <w:numFmt w:val="bullet"/>
      <w:suff w:val="tab"/>
      <w:lvlText w:val="•"/>
      <w:lvlJc w:val="left"/>
      <w:pPr/>
      <w:rPr>
        <w:rFonts w:ascii="Book Antiqua" w:cs="Book Antiqua" w:hAnsi="Book Antiqua" w:eastAsia="Book Antiqua"/>
        <w:position w:val="0"/>
      </w:rPr>
    </w:lvl>
    <w:lvl w:ilvl="2">
      <w:start w:val="1"/>
      <w:numFmt w:val="bullet"/>
      <w:suff w:val="tab"/>
      <w:lvlText w:val="•"/>
      <w:lvlJc w:val="left"/>
      <w:pPr/>
      <w:rPr>
        <w:rFonts w:ascii="Book Antiqua" w:cs="Book Antiqua" w:hAnsi="Book Antiqua" w:eastAsia="Book Antiqua"/>
        <w:position w:val="0"/>
      </w:rPr>
    </w:lvl>
    <w:lvl w:ilvl="3">
      <w:start w:val="1"/>
      <w:numFmt w:val="bullet"/>
      <w:suff w:val="tab"/>
      <w:lvlText w:val="•"/>
      <w:lvlJc w:val="left"/>
      <w:pPr/>
      <w:rPr>
        <w:rFonts w:ascii="Book Antiqua" w:cs="Book Antiqua" w:hAnsi="Book Antiqua" w:eastAsia="Book Antiqua"/>
        <w:position w:val="0"/>
      </w:rPr>
    </w:lvl>
    <w:lvl w:ilvl="4">
      <w:start w:val="1"/>
      <w:numFmt w:val="bullet"/>
      <w:suff w:val="tab"/>
      <w:lvlText w:val="•"/>
      <w:lvlJc w:val="left"/>
      <w:pPr/>
      <w:rPr>
        <w:rFonts w:ascii="Book Antiqua" w:cs="Book Antiqua" w:hAnsi="Book Antiqua" w:eastAsia="Book Antiqua"/>
        <w:position w:val="0"/>
      </w:rPr>
    </w:lvl>
    <w:lvl w:ilvl="5">
      <w:start w:val="1"/>
      <w:numFmt w:val="bullet"/>
      <w:suff w:val="tab"/>
      <w:lvlText w:val="•"/>
      <w:lvlJc w:val="left"/>
      <w:pPr/>
      <w:rPr>
        <w:rFonts w:ascii="Book Antiqua" w:cs="Book Antiqua" w:hAnsi="Book Antiqua" w:eastAsia="Book Antiqua"/>
        <w:position w:val="0"/>
      </w:rPr>
    </w:lvl>
    <w:lvl w:ilvl="6">
      <w:start w:val="1"/>
      <w:numFmt w:val="bullet"/>
      <w:suff w:val="tab"/>
      <w:lvlText w:val="•"/>
      <w:lvlJc w:val="left"/>
      <w:pPr/>
      <w:rPr>
        <w:rFonts w:ascii="Book Antiqua" w:cs="Book Antiqua" w:hAnsi="Book Antiqua" w:eastAsia="Book Antiqua"/>
        <w:position w:val="0"/>
      </w:rPr>
    </w:lvl>
    <w:lvl w:ilvl="7">
      <w:start w:val="1"/>
      <w:numFmt w:val="bullet"/>
      <w:suff w:val="tab"/>
      <w:lvlText w:val="•"/>
      <w:lvlJc w:val="left"/>
      <w:pPr/>
      <w:rPr>
        <w:rFonts w:ascii="Book Antiqua" w:cs="Book Antiqua" w:hAnsi="Book Antiqua" w:eastAsia="Book Antiqua"/>
        <w:position w:val="0"/>
      </w:rPr>
    </w:lvl>
    <w:lvl w:ilvl="8">
      <w:start w:val="1"/>
      <w:numFmt w:val="bullet"/>
      <w:suff w:val="tab"/>
      <w:lvlText w:val="•"/>
      <w:lvlJc w:val="left"/>
      <w:pPr/>
      <w:rPr>
        <w:rFonts w:ascii="Book Antiqua" w:cs="Book Antiqua" w:hAnsi="Book Antiqua" w:eastAsia="Book Antiqua"/>
        <w:position w:val="0"/>
      </w:rPr>
    </w:lvl>
  </w:abstractNum>
  <w:abstractNum w:abstractNumId="101">
    <w:multiLevelType w:val="multilevel"/>
    <w:styleLink w:val="List 20"/>
    <w:lvl w:ilvl="0">
      <w:start w:val="0"/>
      <w:numFmt w:val="bullet"/>
      <w:suff w:val="tab"/>
      <w:lvlText w:val="•"/>
      <w:lvlJc w:val="left"/>
      <w:pPr/>
      <w:rPr>
        <w:rFonts w:ascii="Book Antiqua" w:cs="Book Antiqua" w:hAnsi="Book Antiqua" w:eastAsia="Book Antiqua"/>
        <w:position w:val="0"/>
      </w:rPr>
    </w:lvl>
    <w:lvl w:ilvl="1">
      <w:start w:val="1"/>
      <w:numFmt w:val="bullet"/>
      <w:suff w:val="tab"/>
      <w:lvlText w:val="•"/>
      <w:lvlJc w:val="left"/>
      <w:pPr/>
      <w:rPr>
        <w:rFonts w:ascii="Book Antiqua" w:cs="Book Antiqua" w:hAnsi="Book Antiqua" w:eastAsia="Book Antiqua"/>
        <w:position w:val="0"/>
      </w:rPr>
    </w:lvl>
    <w:lvl w:ilvl="2">
      <w:start w:val="1"/>
      <w:numFmt w:val="bullet"/>
      <w:suff w:val="tab"/>
      <w:lvlText w:val="•"/>
      <w:lvlJc w:val="left"/>
      <w:pPr/>
      <w:rPr>
        <w:rFonts w:ascii="Book Antiqua" w:cs="Book Antiqua" w:hAnsi="Book Antiqua" w:eastAsia="Book Antiqua"/>
        <w:position w:val="0"/>
      </w:rPr>
    </w:lvl>
    <w:lvl w:ilvl="3">
      <w:start w:val="1"/>
      <w:numFmt w:val="bullet"/>
      <w:suff w:val="tab"/>
      <w:lvlText w:val="•"/>
      <w:lvlJc w:val="left"/>
      <w:pPr/>
      <w:rPr>
        <w:rFonts w:ascii="Book Antiqua" w:cs="Book Antiqua" w:hAnsi="Book Antiqua" w:eastAsia="Book Antiqua"/>
        <w:position w:val="0"/>
      </w:rPr>
    </w:lvl>
    <w:lvl w:ilvl="4">
      <w:start w:val="1"/>
      <w:numFmt w:val="bullet"/>
      <w:suff w:val="tab"/>
      <w:lvlText w:val="•"/>
      <w:lvlJc w:val="left"/>
      <w:pPr/>
      <w:rPr>
        <w:rFonts w:ascii="Book Antiqua" w:cs="Book Antiqua" w:hAnsi="Book Antiqua" w:eastAsia="Book Antiqua"/>
        <w:position w:val="0"/>
      </w:rPr>
    </w:lvl>
    <w:lvl w:ilvl="5">
      <w:start w:val="1"/>
      <w:numFmt w:val="bullet"/>
      <w:suff w:val="tab"/>
      <w:lvlText w:val="•"/>
      <w:lvlJc w:val="left"/>
      <w:pPr/>
      <w:rPr>
        <w:rFonts w:ascii="Book Antiqua" w:cs="Book Antiqua" w:hAnsi="Book Antiqua" w:eastAsia="Book Antiqua"/>
        <w:position w:val="0"/>
      </w:rPr>
    </w:lvl>
    <w:lvl w:ilvl="6">
      <w:start w:val="1"/>
      <w:numFmt w:val="bullet"/>
      <w:suff w:val="tab"/>
      <w:lvlText w:val="•"/>
      <w:lvlJc w:val="left"/>
      <w:pPr/>
      <w:rPr>
        <w:rFonts w:ascii="Book Antiqua" w:cs="Book Antiqua" w:hAnsi="Book Antiqua" w:eastAsia="Book Antiqua"/>
        <w:position w:val="0"/>
      </w:rPr>
    </w:lvl>
    <w:lvl w:ilvl="7">
      <w:start w:val="1"/>
      <w:numFmt w:val="bullet"/>
      <w:suff w:val="tab"/>
      <w:lvlText w:val="•"/>
      <w:lvlJc w:val="left"/>
      <w:pPr/>
      <w:rPr>
        <w:rFonts w:ascii="Book Antiqua" w:cs="Book Antiqua" w:hAnsi="Book Antiqua" w:eastAsia="Book Antiqua"/>
        <w:position w:val="0"/>
      </w:rPr>
    </w:lvl>
    <w:lvl w:ilvl="8">
      <w:start w:val="1"/>
      <w:numFmt w:val="bullet"/>
      <w:suff w:val="tab"/>
      <w:lvlText w:val="•"/>
      <w:lvlJc w:val="left"/>
      <w:pPr/>
      <w:rPr>
        <w:rFonts w:ascii="Book Antiqua" w:cs="Book Antiqua" w:hAnsi="Book Antiqua" w:eastAsia="Book Antiqua"/>
        <w:position w:val="0"/>
      </w:rPr>
    </w:lvl>
  </w:abstractNum>
  <w:abstractNum w:abstractNumId="102">
    <w:multiLevelType w:val="multilevel"/>
    <w:styleLink w:val="List 20"/>
    <w:lvl w:ilvl="0">
      <w:start w:val="0"/>
      <w:numFmt w:val="bullet"/>
      <w:suff w:val="tab"/>
      <w:lvlText w:val="•"/>
      <w:lvlJc w:val="left"/>
      <w:pPr/>
      <w:rPr>
        <w:rFonts w:ascii="Book Antiqua" w:cs="Book Antiqua" w:hAnsi="Book Antiqua" w:eastAsia="Book Antiqua"/>
        <w:position w:val="0"/>
      </w:rPr>
    </w:lvl>
    <w:lvl w:ilvl="1">
      <w:start w:val="1"/>
      <w:numFmt w:val="bullet"/>
      <w:suff w:val="tab"/>
      <w:lvlText w:val="•"/>
      <w:lvlJc w:val="left"/>
      <w:pPr/>
      <w:rPr>
        <w:rFonts w:ascii="Book Antiqua" w:cs="Book Antiqua" w:hAnsi="Book Antiqua" w:eastAsia="Book Antiqua"/>
        <w:position w:val="0"/>
      </w:rPr>
    </w:lvl>
    <w:lvl w:ilvl="2">
      <w:start w:val="1"/>
      <w:numFmt w:val="bullet"/>
      <w:suff w:val="tab"/>
      <w:lvlText w:val="•"/>
      <w:lvlJc w:val="left"/>
      <w:pPr/>
      <w:rPr>
        <w:rFonts w:ascii="Book Antiqua" w:cs="Book Antiqua" w:hAnsi="Book Antiqua" w:eastAsia="Book Antiqua"/>
        <w:position w:val="0"/>
      </w:rPr>
    </w:lvl>
    <w:lvl w:ilvl="3">
      <w:start w:val="1"/>
      <w:numFmt w:val="bullet"/>
      <w:suff w:val="tab"/>
      <w:lvlText w:val="•"/>
      <w:lvlJc w:val="left"/>
      <w:pPr/>
      <w:rPr>
        <w:rFonts w:ascii="Book Antiqua" w:cs="Book Antiqua" w:hAnsi="Book Antiqua" w:eastAsia="Book Antiqua"/>
        <w:position w:val="0"/>
      </w:rPr>
    </w:lvl>
    <w:lvl w:ilvl="4">
      <w:start w:val="1"/>
      <w:numFmt w:val="bullet"/>
      <w:suff w:val="tab"/>
      <w:lvlText w:val="•"/>
      <w:lvlJc w:val="left"/>
      <w:pPr/>
      <w:rPr>
        <w:rFonts w:ascii="Book Antiqua" w:cs="Book Antiqua" w:hAnsi="Book Antiqua" w:eastAsia="Book Antiqua"/>
        <w:position w:val="0"/>
      </w:rPr>
    </w:lvl>
    <w:lvl w:ilvl="5">
      <w:start w:val="1"/>
      <w:numFmt w:val="bullet"/>
      <w:suff w:val="tab"/>
      <w:lvlText w:val="•"/>
      <w:lvlJc w:val="left"/>
      <w:pPr/>
      <w:rPr>
        <w:rFonts w:ascii="Book Antiqua" w:cs="Book Antiqua" w:hAnsi="Book Antiqua" w:eastAsia="Book Antiqua"/>
        <w:position w:val="0"/>
      </w:rPr>
    </w:lvl>
    <w:lvl w:ilvl="6">
      <w:start w:val="1"/>
      <w:numFmt w:val="bullet"/>
      <w:suff w:val="tab"/>
      <w:lvlText w:val="•"/>
      <w:lvlJc w:val="left"/>
      <w:pPr/>
      <w:rPr>
        <w:rFonts w:ascii="Book Antiqua" w:cs="Book Antiqua" w:hAnsi="Book Antiqua" w:eastAsia="Book Antiqua"/>
        <w:position w:val="0"/>
      </w:rPr>
    </w:lvl>
    <w:lvl w:ilvl="7">
      <w:start w:val="1"/>
      <w:numFmt w:val="bullet"/>
      <w:suff w:val="tab"/>
      <w:lvlText w:val="•"/>
      <w:lvlJc w:val="left"/>
      <w:pPr/>
      <w:rPr>
        <w:rFonts w:ascii="Book Antiqua" w:cs="Book Antiqua" w:hAnsi="Book Antiqua" w:eastAsia="Book Antiqua"/>
        <w:position w:val="0"/>
      </w:rPr>
    </w:lvl>
    <w:lvl w:ilvl="8">
      <w:start w:val="1"/>
      <w:numFmt w:val="bullet"/>
      <w:suff w:val="tab"/>
      <w:lvlText w:val="•"/>
      <w:lvlJc w:val="left"/>
      <w:pPr/>
      <w:rPr>
        <w:rFonts w:ascii="Book Antiqua" w:cs="Book Antiqua" w:hAnsi="Book Antiqua" w:eastAsia="Book Antiqua"/>
        <w:position w:val="0"/>
      </w:rPr>
    </w:lvl>
  </w:abstractNum>
  <w:abstractNum w:abstractNumId="103">
    <w:multiLevelType w:val="multilevel"/>
    <w:styleLink w:val="List 20"/>
    <w:lvl w:ilvl="0">
      <w:start w:val="0"/>
      <w:numFmt w:val="bullet"/>
      <w:suff w:val="tab"/>
      <w:lvlText w:val="•"/>
      <w:lvlJc w:val="left"/>
      <w:pPr/>
      <w:rPr>
        <w:rFonts w:ascii="Book Antiqua" w:cs="Book Antiqua" w:hAnsi="Book Antiqua" w:eastAsia="Book Antiqua"/>
        <w:position w:val="0"/>
      </w:rPr>
    </w:lvl>
    <w:lvl w:ilvl="1">
      <w:start w:val="1"/>
      <w:numFmt w:val="bullet"/>
      <w:suff w:val="tab"/>
      <w:lvlText w:val="•"/>
      <w:lvlJc w:val="left"/>
      <w:pPr/>
      <w:rPr>
        <w:rFonts w:ascii="Book Antiqua" w:cs="Book Antiqua" w:hAnsi="Book Antiqua" w:eastAsia="Book Antiqua"/>
        <w:position w:val="0"/>
      </w:rPr>
    </w:lvl>
    <w:lvl w:ilvl="2">
      <w:start w:val="1"/>
      <w:numFmt w:val="bullet"/>
      <w:suff w:val="tab"/>
      <w:lvlText w:val="•"/>
      <w:lvlJc w:val="left"/>
      <w:pPr/>
      <w:rPr>
        <w:rFonts w:ascii="Book Antiqua" w:cs="Book Antiqua" w:hAnsi="Book Antiqua" w:eastAsia="Book Antiqua"/>
        <w:position w:val="0"/>
      </w:rPr>
    </w:lvl>
    <w:lvl w:ilvl="3">
      <w:start w:val="1"/>
      <w:numFmt w:val="bullet"/>
      <w:suff w:val="tab"/>
      <w:lvlText w:val="•"/>
      <w:lvlJc w:val="left"/>
      <w:pPr/>
      <w:rPr>
        <w:rFonts w:ascii="Book Antiqua" w:cs="Book Antiqua" w:hAnsi="Book Antiqua" w:eastAsia="Book Antiqua"/>
        <w:position w:val="0"/>
      </w:rPr>
    </w:lvl>
    <w:lvl w:ilvl="4">
      <w:start w:val="1"/>
      <w:numFmt w:val="bullet"/>
      <w:suff w:val="tab"/>
      <w:lvlText w:val="•"/>
      <w:lvlJc w:val="left"/>
      <w:pPr/>
      <w:rPr>
        <w:rFonts w:ascii="Book Antiqua" w:cs="Book Antiqua" w:hAnsi="Book Antiqua" w:eastAsia="Book Antiqua"/>
        <w:position w:val="0"/>
      </w:rPr>
    </w:lvl>
    <w:lvl w:ilvl="5">
      <w:start w:val="1"/>
      <w:numFmt w:val="bullet"/>
      <w:suff w:val="tab"/>
      <w:lvlText w:val="•"/>
      <w:lvlJc w:val="left"/>
      <w:pPr/>
      <w:rPr>
        <w:rFonts w:ascii="Book Antiqua" w:cs="Book Antiqua" w:hAnsi="Book Antiqua" w:eastAsia="Book Antiqua"/>
        <w:position w:val="0"/>
      </w:rPr>
    </w:lvl>
    <w:lvl w:ilvl="6">
      <w:start w:val="1"/>
      <w:numFmt w:val="bullet"/>
      <w:suff w:val="tab"/>
      <w:lvlText w:val="•"/>
      <w:lvlJc w:val="left"/>
      <w:pPr/>
      <w:rPr>
        <w:rFonts w:ascii="Book Antiqua" w:cs="Book Antiqua" w:hAnsi="Book Antiqua" w:eastAsia="Book Antiqua"/>
        <w:position w:val="0"/>
      </w:rPr>
    </w:lvl>
    <w:lvl w:ilvl="7">
      <w:start w:val="1"/>
      <w:numFmt w:val="bullet"/>
      <w:suff w:val="tab"/>
      <w:lvlText w:val="•"/>
      <w:lvlJc w:val="left"/>
      <w:pPr/>
      <w:rPr>
        <w:rFonts w:ascii="Book Antiqua" w:cs="Book Antiqua" w:hAnsi="Book Antiqua" w:eastAsia="Book Antiqua"/>
        <w:position w:val="0"/>
      </w:rPr>
    </w:lvl>
    <w:lvl w:ilvl="8">
      <w:start w:val="1"/>
      <w:numFmt w:val="bullet"/>
      <w:suff w:val="tab"/>
      <w:lvlText w:val="•"/>
      <w:lvlJc w:val="left"/>
      <w:pPr/>
      <w:rPr>
        <w:rFonts w:ascii="Book Antiqua" w:cs="Book Antiqua" w:hAnsi="Book Antiqua" w:eastAsia="Book Antiqua"/>
        <w:position w:val="0"/>
      </w:rPr>
    </w:lvl>
  </w:abstractNum>
  <w:abstractNum w:abstractNumId="104">
    <w:multiLevelType w:val="multilevel"/>
    <w:styleLink w:val="List 20"/>
    <w:lvl w:ilvl="0">
      <w:start w:val="0"/>
      <w:numFmt w:val="bullet"/>
      <w:suff w:val="tab"/>
      <w:lvlText w:val="•"/>
      <w:lvlJc w:val="left"/>
      <w:pPr/>
      <w:rPr>
        <w:rFonts w:ascii="Book Antiqua" w:cs="Book Antiqua" w:hAnsi="Book Antiqua" w:eastAsia="Book Antiqua"/>
        <w:position w:val="0"/>
      </w:rPr>
    </w:lvl>
    <w:lvl w:ilvl="1">
      <w:start w:val="1"/>
      <w:numFmt w:val="bullet"/>
      <w:suff w:val="tab"/>
      <w:lvlText w:val="•"/>
      <w:lvlJc w:val="left"/>
      <w:pPr/>
      <w:rPr>
        <w:rFonts w:ascii="Book Antiqua" w:cs="Book Antiqua" w:hAnsi="Book Antiqua" w:eastAsia="Book Antiqua"/>
        <w:position w:val="0"/>
      </w:rPr>
    </w:lvl>
    <w:lvl w:ilvl="2">
      <w:start w:val="1"/>
      <w:numFmt w:val="bullet"/>
      <w:suff w:val="tab"/>
      <w:lvlText w:val="•"/>
      <w:lvlJc w:val="left"/>
      <w:pPr/>
      <w:rPr>
        <w:rFonts w:ascii="Book Antiqua" w:cs="Book Antiqua" w:hAnsi="Book Antiqua" w:eastAsia="Book Antiqua"/>
        <w:position w:val="0"/>
      </w:rPr>
    </w:lvl>
    <w:lvl w:ilvl="3">
      <w:start w:val="1"/>
      <w:numFmt w:val="bullet"/>
      <w:suff w:val="tab"/>
      <w:lvlText w:val="•"/>
      <w:lvlJc w:val="left"/>
      <w:pPr/>
      <w:rPr>
        <w:rFonts w:ascii="Book Antiqua" w:cs="Book Antiqua" w:hAnsi="Book Antiqua" w:eastAsia="Book Antiqua"/>
        <w:position w:val="0"/>
      </w:rPr>
    </w:lvl>
    <w:lvl w:ilvl="4">
      <w:start w:val="1"/>
      <w:numFmt w:val="bullet"/>
      <w:suff w:val="tab"/>
      <w:lvlText w:val="•"/>
      <w:lvlJc w:val="left"/>
      <w:pPr/>
      <w:rPr>
        <w:rFonts w:ascii="Book Antiqua" w:cs="Book Antiqua" w:hAnsi="Book Antiqua" w:eastAsia="Book Antiqua"/>
        <w:position w:val="0"/>
      </w:rPr>
    </w:lvl>
    <w:lvl w:ilvl="5">
      <w:start w:val="1"/>
      <w:numFmt w:val="bullet"/>
      <w:suff w:val="tab"/>
      <w:lvlText w:val="•"/>
      <w:lvlJc w:val="left"/>
      <w:pPr/>
      <w:rPr>
        <w:rFonts w:ascii="Book Antiqua" w:cs="Book Antiqua" w:hAnsi="Book Antiqua" w:eastAsia="Book Antiqua"/>
        <w:position w:val="0"/>
      </w:rPr>
    </w:lvl>
    <w:lvl w:ilvl="6">
      <w:start w:val="1"/>
      <w:numFmt w:val="bullet"/>
      <w:suff w:val="tab"/>
      <w:lvlText w:val="•"/>
      <w:lvlJc w:val="left"/>
      <w:pPr/>
      <w:rPr>
        <w:rFonts w:ascii="Book Antiqua" w:cs="Book Antiqua" w:hAnsi="Book Antiqua" w:eastAsia="Book Antiqua"/>
        <w:position w:val="0"/>
      </w:rPr>
    </w:lvl>
    <w:lvl w:ilvl="7">
      <w:start w:val="1"/>
      <w:numFmt w:val="bullet"/>
      <w:suff w:val="tab"/>
      <w:lvlText w:val="•"/>
      <w:lvlJc w:val="left"/>
      <w:pPr/>
      <w:rPr>
        <w:rFonts w:ascii="Book Antiqua" w:cs="Book Antiqua" w:hAnsi="Book Antiqua" w:eastAsia="Book Antiqua"/>
        <w:position w:val="0"/>
      </w:rPr>
    </w:lvl>
    <w:lvl w:ilvl="8">
      <w:start w:val="1"/>
      <w:numFmt w:val="bullet"/>
      <w:suff w:val="tab"/>
      <w:lvlText w:val="•"/>
      <w:lvlJc w:val="left"/>
      <w:pPr/>
      <w:rPr>
        <w:rFonts w:ascii="Book Antiqua" w:cs="Book Antiqua" w:hAnsi="Book Antiqua" w:eastAsia="Book Antiqua"/>
        <w:position w:val="0"/>
      </w:rPr>
    </w:lvl>
  </w:abstractNum>
  <w:abstractNum w:abstractNumId="105">
    <w:multiLevelType w:val="multilevel"/>
    <w:lvl w:ilvl="0">
      <w:start w:val="1"/>
      <w:numFmt w:val="decimal"/>
      <w:suff w:val="tab"/>
      <w:lvlText w:val="%1."/>
      <w:lvlJc w:val="left"/>
      <w:pPr>
        <w:tabs>
          <w:tab w:val="num" w:pos="780"/>
          <w:tab w:val="clear" w:pos="0"/>
        </w:tabs>
        <w:ind w:left="780" w:hanging="420"/>
      </w:pPr>
      <w:rPr>
        <w:rFonts w:ascii="Book Antiqua" w:cs="Book Antiqua" w:hAnsi="Book Antiqua" w:eastAsia="Book Antiqua"/>
        <w:position w:val="0"/>
        <w:sz w:val="28"/>
        <w:szCs w:val="28"/>
      </w:rPr>
    </w:lvl>
    <w:lvl w:ilvl="1">
      <w:start w:val="1"/>
      <w:numFmt w:val="decimal"/>
      <w:suff w:val="tab"/>
      <w:lvlText w:val="%1.%2."/>
      <w:lvlJc w:val="left"/>
      <w:pPr>
        <w:tabs>
          <w:tab w:val="num" w:pos="1303"/>
          <w:tab w:val="clear" w:pos="0"/>
        </w:tabs>
        <w:ind w:left="1303" w:hanging="840"/>
      </w:pPr>
      <w:rPr>
        <w:rFonts w:ascii="Book Antiqua" w:cs="Book Antiqua" w:hAnsi="Book Antiqua" w:eastAsia="Book Antiqua"/>
        <w:position w:val="0"/>
        <w:sz w:val="28"/>
        <w:szCs w:val="28"/>
      </w:rPr>
    </w:lvl>
    <w:lvl w:ilvl="2">
      <w:start w:val="1"/>
      <w:numFmt w:val="decimal"/>
      <w:suff w:val="tab"/>
      <w:lvlText w:val="%1.%2.%3."/>
      <w:lvlJc w:val="left"/>
      <w:pPr>
        <w:tabs>
          <w:tab w:val="num" w:pos="567"/>
          <w:tab w:val="clear" w:pos="0"/>
        </w:tabs>
        <w:ind w:left="567" w:hanging="141"/>
      </w:pPr>
      <w:rPr>
        <w:rFonts w:ascii="Book Antiqua" w:cs="Book Antiqua" w:hAnsi="Book Antiqua" w:eastAsia="Book Antiqua"/>
        <w:position w:val="0"/>
        <w:sz w:val="28"/>
        <w:szCs w:val="28"/>
      </w:rPr>
    </w:lvl>
    <w:lvl w:ilvl="3">
      <w:start w:val="1"/>
      <w:numFmt w:val="decimal"/>
      <w:suff w:val="tab"/>
      <w:lvlText w:val="%1.%2.%3.%4."/>
      <w:lvlJc w:val="left"/>
      <w:pPr>
        <w:tabs>
          <w:tab w:val="num" w:pos="1929"/>
          <w:tab w:val="clear" w:pos="0"/>
        </w:tabs>
        <w:ind w:left="1929" w:hanging="1260"/>
      </w:pPr>
      <w:rPr>
        <w:rFonts w:ascii="Book Antiqua" w:cs="Book Antiqua" w:hAnsi="Book Antiqua" w:eastAsia="Book Antiqua"/>
        <w:position w:val="0"/>
        <w:sz w:val="28"/>
        <w:szCs w:val="28"/>
      </w:rPr>
    </w:lvl>
    <w:lvl w:ilvl="4">
      <w:start w:val="1"/>
      <w:numFmt w:val="decimal"/>
      <w:suff w:val="tab"/>
      <w:lvlText w:val="%1.%2.%3.%4.%5."/>
      <w:lvlJc w:val="left"/>
      <w:pPr>
        <w:tabs>
          <w:tab w:val="num" w:pos="2452"/>
          <w:tab w:val="clear" w:pos="0"/>
        </w:tabs>
        <w:ind w:left="2452" w:hanging="1680"/>
      </w:pPr>
      <w:rPr>
        <w:rFonts w:ascii="Book Antiqua" w:cs="Book Antiqua" w:hAnsi="Book Antiqua" w:eastAsia="Book Antiqua"/>
        <w:position w:val="0"/>
        <w:sz w:val="28"/>
        <w:szCs w:val="28"/>
      </w:rPr>
    </w:lvl>
    <w:lvl w:ilvl="5">
      <w:start w:val="1"/>
      <w:numFmt w:val="decimal"/>
      <w:suff w:val="tab"/>
      <w:lvlText w:val="%1.%2.%3.%4.%5.%6."/>
      <w:lvlJc w:val="left"/>
      <w:pPr>
        <w:tabs>
          <w:tab w:val="num" w:pos="2555"/>
          <w:tab w:val="clear" w:pos="0"/>
        </w:tabs>
        <w:ind w:left="2555" w:hanging="1680"/>
      </w:pPr>
      <w:rPr>
        <w:rFonts w:ascii="Book Antiqua" w:cs="Book Antiqua" w:hAnsi="Book Antiqua" w:eastAsia="Book Antiqua"/>
        <w:position w:val="0"/>
        <w:sz w:val="28"/>
        <w:szCs w:val="28"/>
      </w:rPr>
    </w:lvl>
    <w:lvl w:ilvl="6">
      <w:start w:val="1"/>
      <w:numFmt w:val="decimal"/>
      <w:suff w:val="tab"/>
      <w:lvlText w:val="%1.%2.%3.%4.%5.%6.%7."/>
      <w:lvlJc w:val="left"/>
      <w:pPr>
        <w:tabs>
          <w:tab w:val="num" w:pos="3078"/>
          <w:tab w:val="clear" w:pos="0"/>
        </w:tabs>
        <w:ind w:left="3078" w:hanging="2100"/>
      </w:pPr>
      <w:rPr>
        <w:rFonts w:ascii="Book Antiqua" w:cs="Book Antiqua" w:hAnsi="Book Antiqua" w:eastAsia="Book Antiqua"/>
        <w:position w:val="0"/>
        <w:sz w:val="28"/>
        <w:szCs w:val="28"/>
      </w:rPr>
    </w:lvl>
    <w:lvl w:ilvl="7">
      <w:start w:val="1"/>
      <w:numFmt w:val="decimal"/>
      <w:suff w:val="tab"/>
      <w:lvlText w:val="%1.%2.%3.%4.%5.%6.%7.%8."/>
      <w:lvlJc w:val="left"/>
      <w:pPr>
        <w:tabs>
          <w:tab w:val="num" w:pos="3601"/>
          <w:tab w:val="clear" w:pos="0"/>
        </w:tabs>
        <w:ind w:left="3601" w:hanging="2520"/>
      </w:pPr>
      <w:rPr>
        <w:rFonts w:ascii="Book Antiqua" w:cs="Book Antiqua" w:hAnsi="Book Antiqua" w:eastAsia="Book Antiqua"/>
        <w:position w:val="0"/>
        <w:sz w:val="28"/>
        <w:szCs w:val="28"/>
      </w:rPr>
    </w:lvl>
    <w:lvl w:ilvl="8">
      <w:start w:val="1"/>
      <w:numFmt w:val="decimal"/>
      <w:suff w:val="tab"/>
      <w:lvlText w:val="%1.%2.%3.%4.%5.%6.%7.%8.%9."/>
      <w:lvlJc w:val="left"/>
      <w:pPr>
        <w:tabs>
          <w:tab w:val="num" w:pos="3704"/>
          <w:tab w:val="clear" w:pos="0"/>
        </w:tabs>
        <w:ind w:left="3704" w:hanging="2520"/>
      </w:pPr>
      <w:rPr>
        <w:rFonts w:ascii="Book Antiqua" w:cs="Book Antiqua" w:hAnsi="Book Antiqua" w:eastAsia="Book Antiqua"/>
        <w:position w:val="0"/>
        <w:sz w:val="28"/>
        <w:szCs w:val="28"/>
      </w:rPr>
    </w:lvl>
  </w:abstractNum>
  <w:abstractNum w:abstractNumId="106">
    <w:multiLevelType w:val="multilevel"/>
    <w:styleLink w:val="List 21"/>
    <w:lvl w:ilvl="0">
      <w:start w:val="1"/>
      <w:numFmt w:val="decimal"/>
      <w:suff w:val="tab"/>
      <w:lvlText w:val="%1."/>
      <w:lvlJc w:val="left"/>
      <w:pPr>
        <w:tabs>
          <w:tab w:val="num" w:pos="780"/>
          <w:tab w:val="clear" w:pos="0"/>
        </w:tabs>
        <w:ind w:left="780" w:hanging="420"/>
      </w:pPr>
      <w:rPr>
        <w:rFonts w:ascii="Book Antiqua" w:cs="Book Antiqua" w:hAnsi="Book Antiqua" w:eastAsia="Book Antiqua"/>
        <w:position w:val="0"/>
        <w:sz w:val="28"/>
        <w:szCs w:val="28"/>
      </w:rPr>
    </w:lvl>
    <w:lvl w:ilvl="1">
      <w:start w:val="1"/>
      <w:numFmt w:val="decimal"/>
      <w:suff w:val="tab"/>
      <w:lvlText w:val="%1.%2."/>
      <w:lvlJc w:val="left"/>
      <w:pPr>
        <w:tabs>
          <w:tab w:val="num" w:pos="1303"/>
          <w:tab w:val="clear" w:pos="0"/>
        </w:tabs>
        <w:ind w:left="1303" w:hanging="840"/>
      </w:pPr>
      <w:rPr>
        <w:rFonts w:ascii="Book Antiqua" w:cs="Book Antiqua" w:hAnsi="Book Antiqua" w:eastAsia="Book Antiqua"/>
        <w:position w:val="0"/>
        <w:sz w:val="28"/>
        <w:szCs w:val="28"/>
      </w:rPr>
    </w:lvl>
    <w:lvl w:ilvl="2">
      <w:start w:val="7"/>
      <w:numFmt w:val="decimal"/>
      <w:suff w:val="tab"/>
      <w:lvlText w:val="%1.%2.%3."/>
      <w:lvlJc w:val="left"/>
      <w:pPr>
        <w:tabs>
          <w:tab w:val="num" w:pos="567"/>
          <w:tab w:val="clear" w:pos="0"/>
        </w:tabs>
        <w:ind w:left="567" w:hanging="141"/>
      </w:pPr>
      <w:rPr>
        <w:rFonts w:ascii="Book Antiqua" w:cs="Book Antiqua" w:hAnsi="Book Antiqua" w:eastAsia="Book Antiqua"/>
        <w:position w:val="0"/>
        <w:sz w:val="28"/>
        <w:szCs w:val="28"/>
      </w:rPr>
    </w:lvl>
    <w:lvl w:ilvl="3">
      <w:start w:val="1"/>
      <w:numFmt w:val="decimal"/>
      <w:suff w:val="tab"/>
      <w:lvlText w:val="%1.%2.%3.%4."/>
      <w:lvlJc w:val="left"/>
      <w:pPr>
        <w:tabs>
          <w:tab w:val="num" w:pos="1929"/>
          <w:tab w:val="clear" w:pos="0"/>
        </w:tabs>
        <w:ind w:left="1929" w:hanging="1260"/>
      </w:pPr>
      <w:rPr>
        <w:rFonts w:ascii="Book Antiqua" w:cs="Book Antiqua" w:hAnsi="Book Antiqua" w:eastAsia="Book Antiqua"/>
        <w:position w:val="0"/>
        <w:sz w:val="28"/>
        <w:szCs w:val="28"/>
      </w:rPr>
    </w:lvl>
    <w:lvl w:ilvl="4">
      <w:start w:val="1"/>
      <w:numFmt w:val="decimal"/>
      <w:suff w:val="tab"/>
      <w:lvlText w:val="%1.%2.%3.%4.%5."/>
      <w:lvlJc w:val="left"/>
      <w:pPr>
        <w:tabs>
          <w:tab w:val="num" w:pos="2452"/>
          <w:tab w:val="clear" w:pos="0"/>
        </w:tabs>
        <w:ind w:left="2452" w:hanging="1680"/>
      </w:pPr>
      <w:rPr>
        <w:rFonts w:ascii="Book Antiqua" w:cs="Book Antiqua" w:hAnsi="Book Antiqua" w:eastAsia="Book Antiqua"/>
        <w:position w:val="0"/>
        <w:sz w:val="28"/>
        <w:szCs w:val="28"/>
      </w:rPr>
    </w:lvl>
    <w:lvl w:ilvl="5">
      <w:start w:val="1"/>
      <w:numFmt w:val="decimal"/>
      <w:suff w:val="tab"/>
      <w:lvlText w:val="%1.%2.%3.%4.%5.%6."/>
      <w:lvlJc w:val="left"/>
      <w:pPr>
        <w:tabs>
          <w:tab w:val="num" w:pos="2555"/>
          <w:tab w:val="clear" w:pos="0"/>
        </w:tabs>
        <w:ind w:left="2555" w:hanging="1680"/>
      </w:pPr>
      <w:rPr>
        <w:rFonts w:ascii="Book Antiqua" w:cs="Book Antiqua" w:hAnsi="Book Antiqua" w:eastAsia="Book Antiqua"/>
        <w:position w:val="0"/>
        <w:sz w:val="28"/>
        <w:szCs w:val="28"/>
      </w:rPr>
    </w:lvl>
    <w:lvl w:ilvl="6">
      <w:start w:val="1"/>
      <w:numFmt w:val="decimal"/>
      <w:suff w:val="tab"/>
      <w:lvlText w:val="%1.%2.%3.%4.%5.%6.%7."/>
      <w:lvlJc w:val="left"/>
      <w:pPr>
        <w:tabs>
          <w:tab w:val="num" w:pos="3078"/>
          <w:tab w:val="clear" w:pos="0"/>
        </w:tabs>
        <w:ind w:left="3078" w:hanging="2100"/>
      </w:pPr>
      <w:rPr>
        <w:rFonts w:ascii="Book Antiqua" w:cs="Book Antiqua" w:hAnsi="Book Antiqua" w:eastAsia="Book Antiqua"/>
        <w:position w:val="0"/>
        <w:sz w:val="28"/>
        <w:szCs w:val="28"/>
      </w:rPr>
    </w:lvl>
    <w:lvl w:ilvl="7">
      <w:start w:val="1"/>
      <w:numFmt w:val="decimal"/>
      <w:suff w:val="tab"/>
      <w:lvlText w:val="%1.%2.%3.%4.%5.%6.%7.%8."/>
      <w:lvlJc w:val="left"/>
      <w:pPr>
        <w:tabs>
          <w:tab w:val="num" w:pos="3601"/>
          <w:tab w:val="clear" w:pos="0"/>
        </w:tabs>
        <w:ind w:left="3601" w:hanging="2520"/>
      </w:pPr>
      <w:rPr>
        <w:rFonts w:ascii="Book Antiqua" w:cs="Book Antiqua" w:hAnsi="Book Antiqua" w:eastAsia="Book Antiqua"/>
        <w:position w:val="0"/>
        <w:sz w:val="28"/>
        <w:szCs w:val="28"/>
      </w:rPr>
    </w:lvl>
    <w:lvl w:ilvl="8">
      <w:start w:val="1"/>
      <w:numFmt w:val="decimal"/>
      <w:suff w:val="tab"/>
      <w:lvlText w:val="%1.%2.%3.%4.%5.%6.%7.%8.%9."/>
      <w:lvlJc w:val="left"/>
      <w:pPr>
        <w:tabs>
          <w:tab w:val="num" w:pos="3704"/>
          <w:tab w:val="clear" w:pos="0"/>
        </w:tabs>
        <w:ind w:left="3704" w:hanging="2520"/>
      </w:pPr>
      <w:rPr>
        <w:rFonts w:ascii="Book Antiqua" w:cs="Book Antiqua" w:hAnsi="Book Antiqua" w:eastAsia="Book Antiqua"/>
        <w:position w:val="0"/>
        <w:sz w:val="28"/>
        <w:szCs w:val="28"/>
      </w:rPr>
    </w:lvl>
  </w:abstractNum>
  <w:abstractNum w:abstractNumId="107">
    <w:multiLevelType w:val="multilevel"/>
    <w:lvl w:ilvl="0">
      <w:start w:val="1"/>
      <w:numFmt w:val="bullet"/>
      <w:suff w:val="tab"/>
      <w:lvlText w:val="•"/>
      <w:lvlJc w:val="left"/>
      <w:pPr/>
      <w:rPr>
        <w:rFonts w:ascii="Book Antiqua" w:cs="Book Antiqua" w:hAnsi="Book Antiqua" w:eastAsia="Book Antiqua"/>
        <w:position w:val="0"/>
      </w:rPr>
    </w:lvl>
    <w:lvl w:ilvl="1">
      <w:start w:val="1"/>
      <w:numFmt w:val="bullet"/>
      <w:suff w:val="tab"/>
      <w:lvlText w:val="o"/>
      <w:lvlJc w:val="left"/>
      <w:pPr/>
      <w:rPr>
        <w:rFonts w:ascii="Book Antiqua" w:cs="Book Antiqua" w:hAnsi="Book Antiqua" w:eastAsia="Book Antiqua"/>
        <w:position w:val="0"/>
      </w:rPr>
    </w:lvl>
    <w:lvl w:ilvl="2">
      <w:start w:val="1"/>
      <w:numFmt w:val="bullet"/>
      <w:suff w:val="tab"/>
      <w:lvlText w:val="▪"/>
      <w:lvlJc w:val="left"/>
      <w:pPr/>
      <w:rPr>
        <w:rFonts w:ascii="Book Antiqua" w:cs="Book Antiqua" w:hAnsi="Book Antiqua" w:eastAsia="Book Antiqua"/>
        <w:position w:val="0"/>
      </w:rPr>
    </w:lvl>
    <w:lvl w:ilvl="3">
      <w:start w:val="1"/>
      <w:numFmt w:val="bullet"/>
      <w:suff w:val="tab"/>
      <w:lvlText w:val="•"/>
      <w:lvlJc w:val="left"/>
      <w:pPr/>
      <w:rPr>
        <w:rFonts w:ascii="Book Antiqua" w:cs="Book Antiqua" w:hAnsi="Book Antiqua" w:eastAsia="Book Antiqua"/>
        <w:position w:val="0"/>
      </w:rPr>
    </w:lvl>
    <w:lvl w:ilvl="4">
      <w:start w:val="1"/>
      <w:numFmt w:val="bullet"/>
      <w:suff w:val="tab"/>
      <w:lvlText w:val="o"/>
      <w:lvlJc w:val="left"/>
      <w:pPr/>
      <w:rPr>
        <w:rFonts w:ascii="Book Antiqua" w:cs="Book Antiqua" w:hAnsi="Book Antiqua" w:eastAsia="Book Antiqua"/>
        <w:position w:val="0"/>
      </w:rPr>
    </w:lvl>
    <w:lvl w:ilvl="5">
      <w:start w:val="1"/>
      <w:numFmt w:val="bullet"/>
      <w:suff w:val="tab"/>
      <w:lvlText w:val="▪"/>
      <w:lvlJc w:val="left"/>
      <w:pPr/>
      <w:rPr>
        <w:rFonts w:ascii="Book Antiqua" w:cs="Book Antiqua" w:hAnsi="Book Antiqua" w:eastAsia="Book Antiqua"/>
        <w:position w:val="0"/>
      </w:rPr>
    </w:lvl>
    <w:lvl w:ilvl="6">
      <w:start w:val="1"/>
      <w:numFmt w:val="bullet"/>
      <w:suff w:val="tab"/>
      <w:lvlText w:val="•"/>
      <w:lvlJc w:val="left"/>
      <w:pPr/>
      <w:rPr>
        <w:rFonts w:ascii="Book Antiqua" w:cs="Book Antiqua" w:hAnsi="Book Antiqua" w:eastAsia="Book Antiqua"/>
        <w:position w:val="0"/>
      </w:rPr>
    </w:lvl>
    <w:lvl w:ilvl="7">
      <w:start w:val="1"/>
      <w:numFmt w:val="bullet"/>
      <w:suff w:val="tab"/>
      <w:lvlText w:val="o"/>
      <w:lvlJc w:val="left"/>
      <w:pPr/>
      <w:rPr>
        <w:rFonts w:ascii="Book Antiqua" w:cs="Book Antiqua" w:hAnsi="Book Antiqua" w:eastAsia="Book Antiqua"/>
        <w:position w:val="0"/>
      </w:rPr>
    </w:lvl>
    <w:lvl w:ilvl="8">
      <w:start w:val="1"/>
      <w:numFmt w:val="bullet"/>
      <w:suff w:val="tab"/>
      <w:lvlText w:val="▪"/>
      <w:lvlJc w:val="left"/>
      <w:pPr/>
      <w:rPr>
        <w:rFonts w:ascii="Book Antiqua" w:cs="Book Antiqua" w:hAnsi="Book Antiqua" w:eastAsia="Book Antiqua"/>
        <w:position w:val="0"/>
      </w:rPr>
    </w:lvl>
  </w:abstractNum>
  <w:abstractNum w:abstractNumId="108">
    <w:multiLevelType w:val="multilevel"/>
    <w:lvl w:ilvl="0">
      <w:start w:val="1"/>
      <w:numFmt w:val="bullet"/>
      <w:suff w:val="tab"/>
      <w:lvlText w:val="•"/>
      <w:lvlJc w:val="left"/>
      <w:pPr/>
      <w:rPr>
        <w:position w:val="0"/>
      </w:rPr>
    </w:lvl>
    <w:lvl w:ilvl="1">
      <w:start w:val="1"/>
      <w:numFmt w:val="bullet"/>
      <w:suff w:val="tab"/>
      <w:lvlText w:val="o"/>
      <w:lvlJc w:val="left"/>
      <w:pPr/>
      <w:rPr>
        <w:position w:val="0"/>
      </w:rPr>
    </w:lvl>
    <w:lvl w:ilvl="2">
      <w:start w:val="1"/>
      <w:numFmt w:val="bullet"/>
      <w:suff w:val="tab"/>
      <w:lvlText w:val="▪"/>
      <w:lvlJc w:val="left"/>
      <w:pPr/>
      <w:rPr>
        <w:position w:val="0"/>
      </w:rPr>
    </w:lvl>
    <w:lvl w:ilvl="3">
      <w:start w:val="1"/>
      <w:numFmt w:val="bullet"/>
      <w:suff w:val="tab"/>
      <w:lvlText w:val="•"/>
      <w:lvlJc w:val="left"/>
      <w:pPr/>
      <w:rPr>
        <w:position w:val="0"/>
      </w:rPr>
    </w:lvl>
    <w:lvl w:ilvl="4">
      <w:start w:val="1"/>
      <w:numFmt w:val="bullet"/>
      <w:suff w:val="tab"/>
      <w:lvlText w:val="o"/>
      <w:lvlJc w:val="left"/>
      <w:pPr/>
      <w:rPr>
        <w:position w:val="0"/>
      </w:rPr>
    </w:lvl>
    <w:lvl w:ilvl="5">
      <w:start w:val="1"/>
      <w:numFmt w:val="bullet"/>
      <w:suff w:val="tab"/>
      <w:lvlText w:val="▪"/>
      <w:lvlJc w:val="left"/>
      <w:pPr/>
      <w:rPr>
        <w:position w:val="0"/>
      </w:rPr>
    </w:lvl>
    <w:lvl w:ilvl="6">
      <w:start w:val="1"/>
      <w:numFmt w:val="bullet"/>
      <w:suff w:val="tab"/>
      <w:lvlText w:val="•"/>
      <w:lvlJc w:val="left"/>
      <w:pPr/>
      <w:rPr>
        <w:position w:val="0"/>
      </w:rPr>
    </w:lvl>
    <w:lvl w:ilvl="7">
      <w:start w:val="1"/>
      <w:numFmt w:val="bullet"/>
      <w:suff w:val="tab"/>
      <w:lvlText w:val="o"/>
      <w:lvlJc w:val="left"/>
      <w:pPr/>
      <w:rPr>
        <w:position w:val="0"/>
      </w:rPr>
    </w:lvl>
    <w:lvl w:ilvl="8">
      <w:start w:val="1"/>
      <w:numFmt w:val="bullet"/>
      <w:suff w:val="tab"/>
      <w:lvlText w:val="▪"/>
      <w:lvlJc w:val="left"/>
      <w:pPr/>
      <w:rPr>
        <w:position w:val="0"/>
      </w:rPr>
    </w:lvl>
  </w:abstractNum>
  <w:abstractNum w:abstractNumId="109">
    <w:multiLevelType w:val="multilevel"/>
    <w:styleLink w:val="List 22"/>
    <w:lvl w:ilvl="0">
      <w:start w:val="0"/>
      <w:numFmt w:val="bullet"/>
      <w:suff w:val="tab"/>
      <w:lvlText w:val="•"/>
      <w:lvlJc w:val="left"/>
      <w:pPr/>
      <w:rPr>
        <w:rFonts w:ascii="Book Antiqua" w:cs="Book Antiqua" w:hAnsi="Book Antiqua" w:eastAsia="Book Antiqua"/>
        <w:position w:val="0"/>
      </w:rPr>
    </w:lvl>
    <w:lvl w:ilvl="1">
      <w:start w:val="1"/>
      <w:numFmt w:val="bullet"/>
      <w:suff w:val="tab"/>
      <w:lvlText w:val="o"/>
      <w:lvlJc w:val="left"/>
      <w:pPr/>
      <w:rPr>
        <w:rFonts w:ascii="Book Antiqua" w:cs="Book Antiqua" w:hAnsi="Book Antiqua" w:eastAsia="Book Antiqua"/>
        <w:position w:val="0"/>
      </w:rPr>
    </w:lvl>
    <w:lvl w:ilvl="2">
      <w:start w:val="1"/>
      <w:numFmt w:val="bullet"/>
      <w:suff w:val="tab"/>
      <w:lvlText w:val="▪"/>
      <w:lvlJc w:val="left"/>
      <w:pPr/>
      <w:rPr>
        <w:rFonts w:ascii="Book Antiqua" w:cs="Book Antiqua" w:hAnsi="Book Antiqua" w:eastAsia="Book Antiqua"/>
        <w:position w:val="0"/>
      </w:rPr>
    </w:lvl>
    <w:lvl w:ilvl="3">
      <w:start w:val="1"/>
      <w:numFmt w:val="bullet"/>
      <w:suff w:val="tab"/>
      <w:lvlText w:val="•"/>
      <w:lvlJc w:val="left"/>
      <w:pPr/>
      <w:rPr>
        <w:rFonts w:ascii="Book Antiqua" w:cs="Book Antiqua" w:hAnsi="Book Antiqua" w:eastAsia="Book Antiqua"/>
        <w:position w:val="0"/>
      </w:rPr>
    </w:lvl>
    <w:lvl w:ilvl="4">
      <w:start w:val="1"/>
      <w:numFmt w:val="bullet"/>
      <w:suff w:val="tab"/>
      <w:lvlText w:val="o"/>
      <w:lvlJc w:val="left"/>
      <w:pPr/>
      <w:rPr>
        <w:rFonts w:ascii="Book Antiqua" w:cs="Book Antiqua" w:hAnsi="Book Antiqua" w:eastAsia="Book Antiqua"/>
        <w:position w:val="0"/>
      </w:rPr>
    </w:lvl>
    <w:lvl w:ilvl="5">
      <w:start w:val="1"/>
      <w:numFmt w:val="bullet"/>
      <w:suff w:val="tab"/>
      <w:lvlText w:val="▪"/>
      <w:lvlJc w:val="left"/>
      <w:pPr/>
      <w:rPr>
        <w:rFonts w:ascii="Book Antiqua" w:cs="Book Antiqua" w:hAnsi="Book Antiqua" w:eastAsia="Book Antiqua"/>
        <w:position w:val="0"/>
      </w:rPr>
    </w:lvl>
    <w:lvl w:ilvl="6">
      <w:start w:val="1"/>
      <w:numFmt w:val="bullet"/>
      <w:suff w:val="tab"/>
      <w:lvlText w:val="•"/>
      <w:lvlJc w:val="left"/>
      <w:pPr/>
      <w:rPr>
        <w:rFonts w:ascii="Book Antiqua" w:cs="Book Antiqua" w:hAnsi="Book Antiqua" w:eastAsia="Book Antiqua"/>
        <w:position w:val="0"/>
      </w:rPr>
    </w:lvl>
    <w:lvl w:ilvl="7">
      <w:start w:val="1"/>
      <w:numFmt w:val="bullet"/>
      <w:suff w:val="tab"/>
      <w:lvlText w:val="o"/>
      <w:lvlJc w:val="left"/>
      <w:pPr/>
      <w:rPr>
        <w:rFonts w:ascii="Book Antiqua" w:cs="Book Antiqua" w:hAnsi="Book Antiqua" w:eastAsia="Book Antiqua"/>
        <w:position w:val="0"/>
      </w:rPr>
    </w:lvl>
    <w:lvl w:ilvl="8">
      <w:start w:val="1"/>
      <w:numFmt w:val="bullet"/>
      <w:suff w:val="tab"/>
      <w:lvlText w:val="▪"/>
      <w:lvlJc w:val="left"/>
      <w:pPr/>
      <w:rPr>
        <w:rFonts w:ascii="Book Antiqua" w:cs="Book Antiqua" w:hAnsi="Book Antiqua" w:eastAsia="Book Antiqua"/>
        <w:position w:val="0"/>
      </w:rPr>
    </w:lvl>
  </w:abstractNum>
  <w:abstractNum w:abstractNumId="110">
    <w:multiLevelType w:val="multilevel"/>
    <w:styleLink w:val="List 22"/>
    <w:lvl w:ilvl="0">
      <w:start w:val="0"/>
      <w:numFmt w:val="bullet"/>
      <w:suff w:val="tab"/>
      <w:lvlText w:val="•"/>
      <w:lvlJc w:val="left"/>
      <w:pPr/>
      <w:rPr>
        <w:rFonts w:ascii="Book Antiqua" w:cs="Book Antiqua" w:hAnsi="Book Antiqua" w:eastAsia="Book Antiqua"/>
        <w:position w:val="0"/>
      </w:rPr>
    </w:lvl>
    <w:lvl w:ilvl="1">
      <w:start w:val="1"/>
      <w:numFmt w:val="bullet"/>
      <w:suff w:val="tab"/>
      <w:lvlText w:val="o"/>
      <w:lvlJc w:val="left"/>
      <w:pPr/>
      <w:rPr>
        <w:rFonts w:ascii="Book Antiqua" w:cs="Book Antiqua" w:hAnsi="Book Antiqua" w:eastAsia="Book Antiqua"/>
        <w:position w:val="0"/>
      </w:rPr>
    </w:lvl>
    <w:lvl w:ilvl="2">
      <w:start w:val="1"/>
      <w:numFmt w:val="bullet"/>
      <w:suff w:val="tab"/>
      <w:lvlText w:val="▪"/>
      <w:lvlJc w:val="left"/>
      <w:pPr/>
      <w:rPr>
        <w:rFonts w:ascii="Book Antiqua" w:cs="Book Antiqua" w:hAnsi="Book Antiqua" w:eastAsia="Book Antiqua"/>
        <w:position w:val="0"/>
      </w:rPr>
    </w:lvl>
    <w:lvl w:ilvl="3">
      <w:start w:val="1"/>
      <w:numFmt w:val="bullet"/>
      <w:suff w:val="tab"/>
      <w:lvlText w:val="•"/>
      <w:lvlJc w:val="left"/>
      <w:pPr/>
      <w:rPr>
        <w:rFonts w:ascii="Book Antiqua" w:cs="Book Antiqua" w:hAnsi="Book Antiqua" w:eastAsia="Book Antiqua"/>
        <w:position w:val="0"/>
      </w:rPr>
    </w:lvl>
    <w:lvl w:ilvl="4">
      <w:start w:val="1"/>
      <w:numFmt w:val="bullet"/>
      <w:suff w:val="tab"/>
      <w:lvlText w:val="o"/>
      <w:lvlJc w:val="left"/>
      <w:pPr/>
      <w:rPr>
        <w:rFonts w:ascii="Book Antiqua" w:cs="Book Antiqua" w:hAnsi="Book Antiqua" w:eastAsia="Book Antiqua"/>
        <w:position w:val="0"/>
      </w:rPr>
    </w:lvl>
    <w:lvl w:ilvl="5">
      <w:start w:val="1"/>
      <w:numFmt w:val="bullet"/>
      <w:suff w:val="tab"/>
      <w:lvlText w:val="▪"/>
      <w:lvlJc w:val="left"/>
      <w:pPr/>
      <w:rPr>
        <w:rFonts w:ascii="Book Antiqua" w:cs="Book Antiqua" w:hAnsi="Book Antiqua" w:eastAsia="Book Antiqua"/>
        <w:position w:val="0"/>
      </w:rPr>
    </w:lvl>
    <w:lvl w:ilvl="6">
      <w:start w:val="1"/>
      <w:numFmt w:val="bullet"/>
      <w:suff w:val="tab"/>
      <w:lvlText w:val="•"/>
      <w:lvlJc w:val="left"/>
      <w:pPr/>
      <w:rPr>
        <w:rFonts w:ascii="Book Antiqua" w:cs="Book Antiqua" w:hAnsi="Book Antiqua" w:eastAsia="Book Antiqua"/>
        <w:position w:val="0"/>
      </w:rPr>
    </w:lvl>
    <w:lvl w:ilvl="7">
      <w:start w:val="1"/>
      <w:numFmt w:val="bullet"/>
      <w:suff w:val="tab"/>
      <w:lvlText w:val="o"/>
      <w:lvlJc w:val="left"/>
      <w:pPr/>
      <w:rPr>
        <w:rFonts w:ascii="Book Antiqua" w:cs="Book Antiqua" w:hAnsi="Book Antiqua" w:eastAsia="Book Antiqua"/>
        <w:position w:val="0"/>
      </w:rPr>
    </w:lvl>
    <w:lvl w:ilvl="8">
      <w:start w:val="1"/>
      <w:numFmt w:val="bullet"/>
      <w:suff w:val="tab"/>
      <w:lvlText w:val="▪"/>
      <w:lvlJc w:val="left"/>
      <w:pPr/>
      <w:rPr>
        <w:rFonts w:ascii="Book Antiqua" w:cs="Book Antiqua" w:hAnsi="Book Antiqua" w:eastAsia="Book Antiqua"/>
        <w:position w:val="0"/>
      </w:rPr>
    </w:lvl>
  </w:abstractNum>
  <w:abstractNum w:abstractNumId="111">
    <w:multiLevelType w:val="multilevel"/>
    <w:styleLink w:val="List 22"/>
    <w:lvl w:ilvl="0">
      <w:start w:val="0"/>
      <w:numFmt w:val="bullet"/>
      <w:suff w:val="tab"/>
      <w:lvlText w:val="•"/>
      <w:lvlJc w:val="left"/>
      <w:pPr/>
      <w:rPr>
        <w:rFonts w:ascii="Book Antiqua" w:cs="Book Antiqua" w:hAnsi="Book Antiqua" w:eastAsia="Book Antiqua"/>
        <w:position w:val="0"/>
      </w:rPr>
    </w:lvl>
    <w:lvl w:ilvl="1">
      <w:start w:val="1"/>
      <w:numFmt w:val="bullet"/>
      <w:suff w:val="tab"/>
      <w:lvlText w:val="o"/>
      <w:lvlJc w:val="left"/>
      <w:pPr/>
      <w:rPr>
        <w:rFonts w:ascii="Book Antiqua" w:cs="Book Antiqua" w:hAnsi="Book Antiqua" w:eastAsia="Book Antiqua"/>
        <w:position w:val="0"/>
      </w:rPr>
    </w:lvl>
    <w:lvl w:ilvl="2">
      <w:start w:val="1"/>
      <w:numFmt w:val="bullet"/>
      <w:suff w:val="tab"/>
      <w:lvlText w:val="▪"/>
      <w:lvlJc w:val="left"/>
      <w:pPr/>
      <w:rPr>
        <w:rFonts w:ascii="Book Antiqua" w:cs="Book Antiqua" w:hAnsi="Book Antiqua" w:eastAsia="Book Antiqua"/>
        <w:position w:val="0"/>
      </w:rPr>
    </w:lvl>
    <w:lvl w:ilvl="3">
      <w:start w:val="1"/>
      <w:numFmt w:val="bullet"/>
      <w:suff w:val="tab"/>
      <w:lvlText w:val="•"/>
      <w:lvlJc w:val="left"/>
      <w:pPr/>
      <w:rPr>
        <w:rFonts w:ascii="Book Antiqua" w:cs="Book Antiqua" w:hAnsi="Book Antiqua" w:eastAsia="Book Antiqua"/>
        <w:position w:val="0"/>
      </w:rPr>
    </w:lvl>
    <w:lvl w:ilvl="4">
      <w:start w:val="1"/>
      <w:numFmt w:val="bullet"/>
      <w:suff w:val="tab"/>
      <w:lvlText w:val="o"/>
      <w:lvlJc w:val="left"/>
      <w:pPr/>
      <w:rPr>
        <w:rFonts w:ascii="Book Antiqua" w:cs="Book Antiqua" w:hAnsi="Book Antiqua" w:eastAsia="Book Antiqua"/>
        <w:position w:val="0"/>
      </w:rPr>
    </w:lvl>
    <w:lvl w:ilvl="5">
      <w:start w:val="1"/>
      <w:numFmt w:val="bullet"/>
      <w:suff w:val="tab"/>
      <w:lvlText w:val="▪"/>
      <w:lvlJc w:val="left"/>
      <w:pPr/>
      <w:rPr>
        <w:rFonts w:ascii="Book Antiqua" w:cs="Book Antiqua" w:hAnsi="Book Antiqua" w:eastAsia="Book Antiqua"/>
        <w:position w:val="0"/>
      </w:rPr>
    </w:lvl>
    <w:lvl w:ilvl="6">
      <w:start w:val="1"/>
      <w:numFmt w:val="bullet"/>
      <w:suff w:val="tab"/>
      <w:lvlText w:val="•"/>
      <w:lvlJc w:val="left"/>
      <w:pPr/>
      <w:rPr>
        <w:rFonts w:ascii="Book Antiqua" w:cs="Book Antiqua" w:hAnsi="Book Antiqua" w:eastAsia="Book Antiqua"/>
        <w:position w:val="0"/>
      </w:rPr>
    </w:lvl>
    <w:lvl w:ilvl="7">
      <w:start w:val="1"/>
      <w:numFmt w:val="bullet"/>
      <w:suff w:val="tab"/>
      <w:lvlText w:val="o"/>
      <w:lvlJc w:val="left"/>
      <w:pPr/>
      <w:rPr>
        <w:rFonts w:ascii="Book Antiqua" w:cs="Book Antiqua" w:hAnsi="Book Antiqua" w:eastAsia="Book Antiqua"/>
        <w:position w:val="0"/>
      </w:rPr>
    </w:lvl>
    <w:lvl w:ilvl="8">
      <w:start w:val="1"/>
      <w:numFmt w:val="bullet"/>
      <w:suff w:val="tab"/>
      <w:lvlText w:val="▪"/>
      <w:lvlJc w:val="left"/>
      <w:pPr/>
      <w:rPr>
        <w:rFonts w:ascii="Book Antiqua" w:cs="Book Antiqua" w:hAnsi="Book Antiqua" w:eastAsia="Book Antiqua"/>
        <w:position w:val="0"/>
      </w:rPr>
    </w:lvl>
  </w:abstractNum>
  <w:abstractNum w:abstractNumId="112">
    <w:multiLevelType w:val="multilevel"/>
    <w:lvl w:ilvl="0">
      <w:start w:val="1"/>
      <w:numFmt w:val="decimal"/>
      <w:suff w:val="tab"/>
      <w:lvlText w:val="%1)"/>
      <w:lvlJc w:val="left"/>
      <w:pPr>
        <w:tabs>
          <w:tab w:val="num" w:pos="567"/>
          <w:tab w:val="clear" w:pos="0"/>
        </w:tabs>
        <w:ind w:left="567" w:hanging="360"/>
      </w:pPr>
      <w:rPr>
        <w:rFonts w:ascii="Book Antiqua" w:cs="Book Antiqua" w:hAnsi="Book Antiqua" w:eastAsia="Book Antiqua"/>
        <w:color w:val="000000"/>
        <w:position w:val="0"/>
        <w:sz w:val="24"/>
        <w:szCs w:val="24"/>
        <w:u w:color="000000"/>
      </w:rPr>
    </w:lvl>
    <w:lvl w:ilvl="1">
      <w:start w:val="1"/>
      <w:numFmt w:val="lowerLetter"/>
      <w:suff w:val="tab"/>
      <w:lvlText w:val="%2."/>
      <w:lvlJc w:val="left"/>
      <w:pPr>
        <w:tabs>
          <w:tab w:val="num" w:pos="1440"/>
          <w:tab w:val="clear" w:pos="0"/>
        </w:tabs>
        <w:ind w:left="1440" w:hanging="360"/>
      </w:pPr>
      <w:rPr>
        <w:rFonts w:ascii="Book Antiqua" w:cs="Book Antiqua" w:hAnsi="Book Antiqua" w:eastAsia="Book Antiqua"/>
        <w:color w:val="000000"/>
        <w:position w:val="0"/>
        <w:sz w:val="24"/>
        <w:szCs w:val="24"/>
        <w:u w:color="000000"/>
      </w:rPr>
    </w:lvl>
    <w:lvl w:ilvl="2">
      <w:start w:val="1"/>
      <w:numFmt w:val="lowerRoman"/>
      <w:suff w:val="tab"/>
      <w:lvlText w:val="%3."/>
      <w:lvlJc w:val="left"/>
      <w:pPr>
        <w:tabs>
          <w:tab w:val="num" w:pos="2160"/>
          <w:tab w:val="clear" w:pos="0"/>
        </w:tabs>
        <w:ind w:left="2160" w:hanging="296"/>
      </w:pPr>
      <w:rPr>
        <w:rFonts w:ascii="Book Antiqua" w:cs="Book Antiqua" w:hAnsi="Book Antiqua" w:eastAsia="Book Antiqua"/>
        <w:color w:val="000000"/>
        <w:position w:val="0"/>
        <w:sz w:val="24"/>
        <w:szCs w:val="24"/>
        <w:u w:color="000000"/>
      </w:rPr>
    </w:lvl>
    <w:lvl w:ilvl="3">
      <w:start w:val="1"/>
      <w:numFmt w:val="decimal"/>
      <w:suff w:val="tab"/>
      <w:lvlText w:val="%4."/>
      <w:lvlJc w:val="left"/>
      <w:pPr>
        <w:tabs>
          <w:tab w:val="num" w:pos="2880"/>
          <w:tab w:val="clear" w:pos="0"/>
        </w:tabs>
        <w:ind w:left="2880" w:hanging="360"/>
      </w:pPr>
      <w:rPr>
        <w:rFonts w:ascii="Book Antiqua" w:cs="Book Antiqua" w:hAnsi="Book Antiqua" w:eastAsia="Book Antiqua"/>
        <w:color w:val="000000"/>
        <w:position w:val="0"/>
        <w:sz w:val="24"/>
        <w:szCs w:val="24"/>
        <w:u w:color="000000"/>
      </w:rPr>
    </w:lvl>
    <w:lvl w:ilvl="4">
      <w:start w:val="1"/>
      <w:numFmt w:val="lowerLetter"/>
      <w:suff w:val="tab"/>
      <w:lvlText w:val="%5."/>
      <w:lvlJc w:val="left"/>
      <w:pPr>
        <w:tabs>
          <w:tab w:val="num" w:pos="3600"/>
          <w:tab w:val="clear" w:pos="0"/>
        </w:tabs>
        <w:ind w:left="3600" w:hanging="360"/>
      </w:pPr>
      <w:rPr>
        <w:rFonts w:ascii="Book Antiqua" w:cs="Book Antiqua" w:hAnsi="Book Antiqua" w:eastAsia="Book Antiqua"/>
        <w:color w:val="000000"/>
        <w:position w:val="0"/>
        <w:sz w:val="24"/>
        <w:szCs w:val="24"/>
        <w:u w:color="000000"/>
      </w:rPr>
    </w:lvl>
    <w:lvl w:ilvl="5">
      <w:start w:val="1"/>
      <w:numFmt w:val="lowerRoman"/>
      <w:suff w:val="tab"/>
      <w:lvlText w:val="%6."/>
      <w:lvlJc w:val="left"/>
      <w:pPr>
        <w:tabs>
          <w:tab w:val="num" w:pos="4320"/>
          <w:tab w:val="clear" w:pos="0"/>
        </w:tabs>
        <w:ind w:left="4320" w:hanging="296"/>
      </w:pPr>
      <w:rPr>
        <w:rFonts w:ascii="Book Antiqua" w:cs="Book Antiqua" w:hAnsi="Book Antiqua" w:eastAsia="Book Antiqua"/>
        <w:color w:val="000000"/>
        <w:position w:val="0"/>
        <w:sz w:val="24"/>
        <w:szCs w:val="24"/>
        <w:u w:color="000000"/>
      </w:rPr>
    </w:lvl>
    <w:lvl w:ilvl="6">
      <w:start w:val="1"/>
      <w:numFmt w:val="decimal"/>
      <w:suff w:val="tab"/>
      <w:lvlText w:val="%7."/>
      <w:lvlJc w:val="left"/>
      <w:pPr>
        <w:tabs>
          <w:tab w:val="num" w:pos="5040"/>
          <w:tab w:val="clear" w:pos="0"/>
        </w:tabs>
        <w:ind w:left="5040" w:hanging="360"/>
      </w:pPr>
      <w:rPr>
        <w:rFonts w:ascii="Book Antiqua" w:cs="Book Antiqua" w:hAnsi="Book Antiqua" w:eastAsia="Book Antiqua"/>
        <w:color w:val="000000"/>
        <w:position w:val="0"/>
        <w:sz w:val="24"/>
        <w:szCs w:val="24"/>
        <w:u w:color="000000"/>
      </w:rPr>
    </w:lvl>
    <w:lvl w:ilvl="7">
      <w:start w:val="1"/>
      <w:numFmt w:val="lowerLetter"/>
      <w:suff w:val="tab"/>
      <w:lvlText w:val="%8."/>
      <w:lvlJc w:val="left"/>
      <w:pPr>
        <w:tabs>
          <w:tab w:val="num" w:pos="5760"/>
          <w:tab w:val="clear" w:pos="0"/>
        </w:tabs>
        <w:ind w:left="5760" w:hanging="360"/>
      </w:pPr>
      <w:rPr>
        <w:rFonts w:ascii="Book Antiqua" w:cs="Book Antiqua" w:hAnsi="Book Antiqua" w:eastAsia="Book Antiqua"/>
        <w:color w:val="000000"/>
        <w:position w:val="0"/>
        <w:sz w:val="24"/>
        <w:szCs w:val="24"/>
        <w:u w:color="000000"/>
      </w:rPr>
    </w:lvl>
    <w:lvl w:ilvl="8">
      <w:start w:val="1"/>
      <w:numFmt w:val="lowerRoman"/>
      <w:suff w:val="tab"/>
      <w:lvlText w:val="%9."/>
      <w:lvlJc w:val="left"/>
      <w:pPr>
        <w:tabs>
          <w:tab w:val="num" w:pos="6480"/>
          <w:tab w:val="clear" w:pos="0"/>
        </w:tabs>
        <w:ind w:left="6480" w:hanging="296"/>
      </w:pPr>
      <w:rPr>
        <w:rFonts w:ascii="Book Antiqua" w:cs="Book Antiqua" w:hAnsi="Book Antiqua" w:eastAsia="Book Antiqua"/>
        <w:color w:val="000000"/>
        <w:position w:val="0"/>
        <w:sz w:val="24"/>
        <w:szCs w:val="24"/>
        <w:u w:color="000000"/>
      </w:rPr>
    </w:lvl>
  </w:abstractNum>
  <w:abstractNum w:abstractNumId="113">
    <w:multiLevelType w:val="multilevel"/>
    <w:lvl w:ilvl="0">
      <w:start w:val="1"/>
      <w:numFmt w:val="decimal"/>
      <w:suff w:val="tab"/>
      <w:lvlText w:val="%1)"/>
      <w:lvlJc w:val="left"/>
      <w:pPr/>
      <w:rPr>
        <w:position w:val="0"/>
      </w:rPr>
    </w:lvl>
    <w:lvl w:ilvl="1">
      <w:start w:val="1"/>
      <w:numFmt w:val="lowerLetter"/>
      <w:suff w:val="tab"/>
      <w:lvlText w:val="%2."/>
      <w:lvlJc w:val="left"/>
      <w:pPr/>
      <w:rPr>
        <w:position w:val="0"/>
      </w:rPr>
    </w:lvl>
    <w:lvl w:ilvl="2">
      <w:start w:val="1"/>
      <w:numFmt w:val="lowerRoman"/>
      <w:suff w:val="tab"/>
      <w:lvlText w:val="%3."/>
      <w:lvlJc w:val="left"/>
      <w:pPr/>
      <w:rPr>
        <w:position w:val="0"/>
      </w:rPr>
    </w:lvl>
    <w:lvl w:ilvl="3">
      <w:start w:val="1"/>
      <w:numFmt w:val="decimal"/>
      <w:suff w:val="tab"/>
      <w:lvlText w:val="%4."/>
      <w:lvlJc w:val="left"/>
      <w:pPr/>
      <w:rPr>
        <w:position w:val="0"/>
      </w:rPr>
    </w:lvl>
    <w:lvl w:ilvl="4">
      <w:start w:val="1"/>
      <w:numFmt w:val="lowerLetter"/>
      <w:suff w:val="tab"/>
      <w:lvlText w:val="%5."/>
      <w:lvlJc w:val="left"/>
      <w:pPr/>
      <w:rPr>
        <w:position w:val="0"/>
      </w:rPr>
    </w:lvl>
    <w:lvl w:ilvl="5">
      <w:start w:val="1"/>
      <w:numFmt w:val="lowerRoman"/>
      <w:suff w:val="tab"/>
      <w:lvlText w:val="%6."/>
      <w:lvlJc w:val="left"/>
      <w:pPr/>
      <w:rPr>
        <w:position w:val="0"/>
      </w:rPr>
    </w:lvl>
    <w:lvl w:ilvl="6">
      <w:start w:val="1"/>
      <w:numFmt w:val="decimal"/>
      <w:suff w:val="tab"/>
      <w:lvlText w:val="%7."/>
      <w:lvlJc w:val="left"/>
      <w:pPr/>
      <w:rPr>
        <w:position w:val="0"/>
      </w:rPr>
    </w:lvl>
    <w:lvl w:ilvl="7">
      <w:start w:val="1"/>
      <w:numFmt w:val="lowerLetter"/>
      <w:suff w:val="tab"/>
      <w:lvlText w:val="%8."/>
      <w:lvlJc w:val="left"/>
      <w:pPr/>
      <w:rPr>
        <w:position w:val="0"/>
      </w:rPr>
    </w:lvl>
    <w:lvl w:ilvl="8">
      <w:start w:val="1"/>
      <w:numFmt w:val="lowerRoman"/>
      <w:suff w:val="tab"/>
      <w:lvlText w:val="%9."/>
      <w:lvlJc w:val="left"/>
      <w:pPr/>
      <w:rPr>
        <w:position w:val="0"/>
      </w:rPr>
    </w:lvl>
  </w:abstractNum>
  <w:abstractNum w:abstractNumId="114">
    <w:multiLevelType w:val="multilevel"/>
    <w:styleLink w:val="List 23"/>
    <w:lvl w:ilvl="0">
      <w:start w:val="1"/>
      <w:numFmt w:val="decimal"/>
      <w:suff w:val="tab"/>
      <w:lvlText w:val="%1)"/>
      <w:lvlJc w:val="left"/>
      <w:pPr>
        <w:tabs>
          <w:tab w:val="num" w:pos="567"/>
          <w:tab w:val="clear" w:pos="0"/>
        </w:tabs>
        <w:ind w:left="567" w:hanging="360"/>
      </w:pPr>
      <w:rPr>
        <w:rFonts w:ascii="Book Antiqua" w:cs="Book Antiqua" w:hAnsi="Book Antiqua" w:eastAsia="Book Antiqua"/>
        <w:color w:val="000000"/>
        <w:position w:val="0"/>
        <w:sz w:val="24"/>
        <w:szCs w:val="24"/>
        <w:u w:color="000000"/>
      </w:rPr>
    </w:lvl>
    <w:lvl w:ilvl="1">
      <w:start w:val="1"/>
      <w:numFmt w:val="lowerLetter"/>
      <w:suff w:val="tab"/>
      <w:lvlText w:val="%2."/>
      <w:lvlJc w:val="left"/>
      <w:pPr>
        <w:tabs>
          <w:tab w:val="num" w:pos="1440"/>
          <w:tab w:val="clear" w:pos="0"/>
        </w:tabs>
        <w:ind w:left="1440" w:hanging="360"/>
      </w:pPr>
      <w:rPr>
        <w:rFonts w:ascii="Book Antiqua" w:cs="Book Antiqua" w:hAnsi="Book Antiqua" w:eastAsia="Book Antiqua"/>
        <w:color w:val="000000"/>
        <w:position w:val="0"/>
        <w:sz w:val="24"/>
        <w:szCs w:val="24"/>
        <w:u w:color="000000"/>
      </w:rPr>
    </w:lvl>
    <w:lvl w:ilvl="2">
      <w:start w:val="1"/>
      <w:numFmt w:val="lowerRoman"/>
      <w:suff w:val="tab"/>
      <w:lvlText w:val="%3."/>
      <w:lvlJc w:val="left"/>
      <w:pPr>
        <w:tabs>
          <w:tab w:val="num" w:pos="2160"/>
          <w:tab w:val="clear" w:pos="0"/>
        </w:tabs>
        <w:ind w:left="2160" w:hanging="296"/>
      </w:pPr>
      <w:rPr>
        <w:rFonts w:ascii="Book Antiqua" w:cs="Book Antiqua" w:hAnsi="Book Antiqua" w:eastAsia="Book Antiqua"/>
        <w:color w:val="000000"/>
        <w:position w:val="0"/>
        <w:sz w:val="24"/>
        <w:szCs w:val="24"/>
        <w:u w:color="000000"/>
      </w:rPr>
    </w:lvl>
    <w:lvl w:ilvl="3">
      <w:start w:val="1"/>
      <w:numFmt w:val="decimal"/>
      <w:suff w:val="tab"/>
      <w:lvlText w:val="%4."/>
      <w:lvlJc w:val="left"/>
      <w:pPr>
        <w:tabs>
          <w:tab w:val="num" w:pos="2880"/>
          <w:tab w:val="clear" w:pos="0"/>
        </w:tabs>
        <w:ind w:left="2880" w:hanging="360"/>
      </w:pPr>
      <w:rPr>
        <w:rFonts w:ascii="Book Antiqua" w:cs="Book Antiqua" w:hAnsi="Book Antiqua" w:eastAsia="Book Antiqua"/>
        <w:color w:val="000000"/>
        <w:position w:val="0"/>
        <w:sz w:val="24"/>
        <w:szCs w:val="24"/>
        <w:u w:color="000000"/>
      </w:rPr>
    </w:lvl>
    <w:lvl w:ilvl="4">
      <w:start w:val="1"/>
      <w:numFmt w:val="lowerLetter"/>
      <w:suff w:val="tab"/>
      <w:lvlText w:val="%5."/>
      <w:lvlJc w:val="left"/>
      <w:pPr>
        <w:tabs>
          <w:tab w:val="num" w:pos="3600"/>
          <w:tab w:val="clear" w:pos="0"/>
        </w:tabs>
        <w:ind w:left="3600" w:hanging="360"/>
      </w:pPr>
      <w:rPr>
        <w:rFonts w:ascii="Book Antiqua" w:cs="Book Antiqua" w:hAnsi="Book Antiqua" w:eastAsia="Book Antiqua"/>
        <w:color w:val="000000"/>
        <w:position w:val="0"/>
        <w:sz w:val="24"/>
        <w:szCs w:val="24"/>
        <w:u w:color="000000"/>
      </w:rPr>
    </w:lvl>
    <w:lvl w:ilvl="5">
      <w:start w:val="1"/>
      <w:numFmt w:val="lowerRoman"/>
      <w:suff w:val="tab"/>
      <w:lvlText w:val="%6."/>
      <w:lvlJc w:val="left"/>
      <w:pPr>
        <w:tabs>
          <w:tab w:val="num" w:pos="4320"/>
          <w:tab w:val="clear" w:pos="0"/>
        </w:tabs>
        <w:ind w:left="4320" w:hanging="296"/>
      </w:pPr>
      <w:rPr>
        <w:rFonts w:ascii="Book Antiqua" w:cs="Book Antiqua" w:hAnsi="Book Antiqua" w:eastAsia="Book Antiqua"/>
        <w:color w:val="000000"/>
        <w:position w:val="0"/>
        <w:sz w:val="24"/>
        <w:szCs w:val="24"/>
        <w:u w:color="000000"/>
      </w:rPr>
    </w:lvl>
    <w:lvl w:ilvl="6">
      <w:start w:val="1"/>
      <w:numFmt w:val="decimal"/>
      <w:suff w:val="tab"/>
      <w:lvlText w:val="%7."/>
      <w:lvlJc w:val="left"/>
      <w:pPr>
        <w:tabs>
          <w:tab w:val="num" w:pos="5040"/>
          <w:tab w:val="clear" w:pos="0"/>
        </w:tabs>
        <w:ind w:left="5040" w:hanging="360"/>
      </w:pPr>
      <w:rPr>
        <w:rFonts w:ascii="Book Antiqua" w:cs="Book Antiqua" w:hAnsi="Book Antiqua" w:eastAsia="Book Antiqua"/>
        <w:color w:val="000000"/>
        <w:position w:val="0"/>
        <w:sz w:val="24"/>
        <w:szCs w:val="24"/>
        <w:u w:color="000000"/>
      </w:rPr>
    </w:lvl>
    <w:lvl w:ilvl="7">
      <w:start w:val="1"/>
      <w:numFmt w:val="lowerLetter"/>
      <w:suff w:val="tab"/>
      <w:lvlText w:val="%8."/>
      <w:lvlJc w:val="left"/>
      <w:pPr>
        <w:tabs>
          <w:tab w:val="num" w:pos="5760"/>
          <w:tab w:val="clear" w:pos="0"/>
        </w:tabs>
        <w:ind w:left="5760" w:hanging="360"/>
      </w:pPr>
      <w:rPr>
        <w:rFonts w:ascii="Book Antiqua" w:cs="Book Antiqua" w:hAnsi="Book Antiqua" w:eastAsia="Book Antiqua"/>
        <w:color w:val="000000"/>
        <w:position w:val="0"/>
        <w:sz w:val="24"/>
        <w:szCs w:val="24"/>
        <w:u w:color="000000"/>
      </w:rPr>
    </w:lvl>
    <w:lvl w:ilvl="8">
      <w:start w:val="1"/>
      <w:numFmt w:val="lowerRoman"/>
      <w:suff w:val="tab"/>
      <w:lvlText w:val="%9."/>
      <w:lvlJc w:val="left"/>
      <w:pPr>
        <w:tabs>
          <w:tab w:val="num" w:pos="6480"/>
          <w:tab w:val="clear" w:pos="0"/>
        </w:tabs>
        <w:ind w:left="6480" w:hanging="296"/>
      </w:pPr>
      <w:rPr>
        <w:rFonts w:ascii="Book Antiqua" w:cs="Book Antiqua" w:hAnsi="Book Antiqua" w:eastAsia="Book Antiqua"/>
        <w:color w:val="000000"/>
        <w:position w:val="0"/>
        <w:sz w:val="24"/>
        <w:szCs w:val="24"/>
        <w:u w:color="000000"/>
      </w:rPr>
    </w:lvl>
  </w:abstractNum>
  <w:abstractNum w:abstractNumId="115">
    <w:multiLevelType w:val="multilevel"/>
    <w:lvl w:ilvl="0">
      <w:start w:val="1"/>
      <w:numFmt w:val="lowerLetter"/>
      <w:suff w:val="tab"/>
      <w:lvlText w:val="%1)"/>
      <w:lvlJc w:val="left"/>
      <w:pPr>
        <w:tabs>
          <w:tab w:val="num" w:pos="1418"/>
          <w:tab w:val="clear" w:pos="0"/>
        </w:tabs>
        <w:ind w:left="1418" w:hanging="360"/>
      </w:pPr>
      <w:rPr>
        <w:rFonts w:ascii="Book Antiqua" w:cs="Book Antiqua" w:hAnsi="Book Antiqua" w:eastAsia="Book Antiqua"/>
        <w:position w:val="0"/>
        <w:sz w:val="24"/>
        <w:szCs w:val="24"/>
      </w:rPr>
    </w:lvl>
    <w:lvl w:ilvl="1">
      <w:start w:val="1"/>
      <w:numFmt w:val="lowerLetter"/>
      <w:suff w:val="tab"/>
      <w:lvlText w:val="%2."/>
      <w:lvlJc w:val="left"/>
      <w:pPr>
        <w:tabs>
          <w:tab w:val="num" w:pos="1800"/>
          <w:tab w:val="clear" w:pos="0"/>
        </w:tabs>
        <w:ind w:left="1800" w:hanging="360"/>
      </w:pPr>
      <w:rPr>
        <w:rFonts w:ascii="Book Antiqua" w:cs="Book Antiqua" w:hAnsi="Book Antiqua" w:eastAsia="Book Antiqua"/>
        <w:position w:val="0"/>
        <w:sz w:val="24"/>
        <w:szCs w:val="24"/>
      </w:rPr>
    </w:lvl>
    <w:lvl w:ilvl="2">
      <w:start w:val="1"/>
      <w:numFmt w:val="lowerRoman"/>
      <w:suff w:val="tab"/>
      <w:lvlText w:val="%3."/>
      <w:lvlJc w:val="left"/>
      <w:pPr>
        <w:tabs>
          <w:tab w:val="num" w:pos="2520"/>
          <w:tab w:val="clear" w:pos="0"/>
        </w:tabs>
        <w:ind w:left="2520" w:hanging="296"/>
      </w:pPr>
      <w:rPr>
        <w:rFonts w:ascii="Book Antiqua" w:cs="Book Antiqua" w:hAnsi="Book Antiqua" w:eastAsia="Book Antiqua"/>
        <w:position w:val="0"/>
        <w:sz w:val="24"/>
        <w:szCs w:val="24"/>
      </w:rPr>
    </w:lvl>
    <w:lvl w:ilvl="3">
      <w:start w:val="1"/>
      <w:numFmt w:val="decimal"/>
      <w:suff w:val="tab"/>
      <w:lvlText w:val="%4."/>
      <w:lvlJc w:val="left"/>
      <w:pPr>
        <w:tabs>
          <w:tab w:val="num" w:pos="3240"/>
          <w:tab w:val="clear" w:pos="0"/>
        </w:tabs>
        <w:ind w:left="3240" w:hanging="360"/>
      </w:pPr>
      <w:rPr>
        <w:rFonts w:ascii="Book Antiqua" w:cs="Book Antiqua" w:hAnsi="Book Antiqua" w:eastAsia="Book Antiqua"/>
        <w:position w:val="0"/>
        <w:sz w:val="24"/>
        <w:szCs w:val="24"/>
      </w:rPr>
    </w:lvl>
    <w:lvl w:ilvl="4">
      <w:start w:val="1"/>
      <w:numFmt w:val="lowerLetter"/>
      <w:suff w:val="tab"/>
      <w:lvlText w:val="%5."/>
      <w:lvlJc w:val="left"/>
      <w:pPr>
        <w:tabs>
          <w:tab w:val="num" w:pos="3960"/>
          <w:tab w:val="clear" w:pos="0"/>
        </w:tabs>
        <w:ind w:left="3960" w:hanging="360"/>
      </w:pPr>
      <w:rPr>
        <w:rFonts w:ascii="Book Antiqua" w:cs="Book Antiqua" w:hAnsi="Book Antiqua" w:eastAsia="Book Antiqua"/>
        <w:position w:val="0"/>
        <w:sz w:val="24"/>
        <w:szCs w:val="24"/>
      </w:rPr>
    </w:lvl>
    <w:lvl w:ilvl="5">
      <w:start w:val="1"/>
      <w:numFmt w:val="lowerRoman"/>
      <w:suff w:val="tab"/>
      <w:lvlText w:val="%6."/>
      <w:lvlJc w:val="left"/>
      <w:pPr>
        <w:tabs>
          <w:tab w:val="num" w:pos="4680"/>
          <w:tab w:val="clear" w:pos="0"/>
        </w:tabs>
        <w:ind w:left="4680" w:hanging="296"/>
      </w:pPr>
      <w:rPr>
        <w:rFonts w:ascii="Book Antiqua" w:cs="Book Antiqua" w:hAnsi="Book Antiqua" w:eastAsia="Book Antiqua"/>
        <w:position w:val="0"/>
        <w:sz w:val="24"/>
        <w:szCs w:val="24"/>
      </w:rPr>
    </w:lvl>
    <w:lvl w:ilvl="6">
      <w:start w:val="1"/>
      <w:numFmt w:val="decimal"/>
      <w:suff w:val="tab"/>
      <w:lvlText w:val="%7."/>
      <w:lvlJc w:val="left"/>
      <w:pPr>
        <w:tabs>
          <w:tab w:val="num" w:pos="5400"/>
          <w:tab w:val="clear" w:pos="0"/>
        </w:tabs>
        <w:ind w:left="5400" w:hanging="360"/>
      </w:pPr>
      <w:rPr>
        <w:rFonts w:ascii="Book Antiqua" w:cs="Book Antiqua" w:hAnsi="Book Antiqua" w:eastAsia="Book Antiqua"/>
        <w:position w:val="0"/>
        <w:sz w:val="24"/>
        <w:szCs w:val="24"/>
      </w:rPr>
    </w:lvl>
    <w:lvl w:ilvl="7">
      <w:start w:val="1"/>
      <w:numFmt w:val="lowerLetter"/>
      <w:suff w:val="tab"/>
      <w:lvlText w:val="%8."/>
      <w:lvlJc w:val="left"/>
      <w:pPr>
        <w:tabs>
          <w:tab w:val="num" w:pos="6120"/>
          <w:tab w:val="clear" w:pos="0"/>
        </w:tabs>
        <w:ind w:left="6120" w:hanging="360"/>
      </w:pPr>
      <w:rPr>
        <w:rFonts w:ascii="Book Antiqua" w:cs="Book Antiqua" w:hAnsi="Book Antiqua" w:eastAsia="Book Antiqua"/>
        <w:position w:val="0"/>
        <w:sz w:val="24"/>
        <w:szCs w:val="24"/>
      </w:rPr>
    </w:lvl>
    <w:lvl w:ilvl="8">
      <w:start w:val="1"/>
      <w:numFmt w:val="lowerRoman"/>
      <w:suff w:val="tab"/>
      <w:lvlText w:val="%9."/>
      <w:lvlJc w:val="left"/>
      <w:pPr>
        <w:tabs>
          <w:tab w:val="num" w:pos="6840"/>
          <w:tab w:val="clear" w:pos="0"/>
        </w:tabs>
        <w:ind w:left="6840" w:hanging="296"/>
      </w:pPr>
      <w:rPr>
        <w:rFonts w:ascii="Book Antiqua" w:cs="Book Antiqua" w:hAnsi="Book Antiqua" w:eastAsia="Book Antiqua"/>
        <w:position w:val="0"/>
        <w:sz w:val="24"/>
        <w:szCs w:val="24"/>
      </w:rPr>
    </w:lvl>
  </w:abstractNum>
  <w:abstractNum w:abstractNumId="116">
    <w:multiLevelType w:val="multilevel"/>
    <w:lvl w:ilvl="0">
      <w:start w:val="1"/>
      <w:numFmt w:val="lowerLetter"/>
      <w:suff w:val="tab"/>
      <w:lvlText w:val="%1)"/>
      <w:lvlJc w:val="left"/>
      <w:pPr/>
      <w:rPr>
        <w:position w:val="0"/>
      </w:rPr>
    </w:lvl>
    <w:lvl w:ilvl="1">
      <w:start w:val="1"/>
      <w:numFmt w:val="lowerLetter"/>
      <w:suff w:val="tab"/>
      <w:lvlText w:val="%2."/>
      <w:lvlJc w:val="left"/>
      <w:pPr/>
      <w:rPr>
        <w:position w:val="0"/>
      </w:rPr>
    </w:lvl>
    <w:lvl w:ilvl="2">
      <w:start w:val="1"/>
      <w:numFmt w:val="lowerRoman"/>
      <w:suff w:val="tab"/>
      <w:lvlText w:val="%3."/>
      <w:lvlJc w:val="left"/>
      <w:pPr/>
      <w:rPr>
        <w:position w:val="0"/>
      </w:rPr>
    </w:lvl>
    <w:lvl w:ilvl="3">
      <w:start w:val="1"/>
      <w:numFmt w:val="decimal"/>
      <w:suff w:val="tab"/>
      <w:lvlText w:val="%4."/>
      <w:lvlJc w:val="left"/>
      <w:pPr/>
      <w:rPr>
        <w:position w:val="0"/>
      </w:rPr>
    </w:lvl>
    <w:lvl w:ilvl="4">
      <w:start w:val="1"/>
      <w:numFmt w:val="lowerLetter"/>
      <w:suff w:val="tab"/>
      <w:lvlText w:val="%5."/>
      <w:lvlJc w:val="left"/>
      <w:pPr/>
      <w:rPr>
        <w:position w:val="0"/>
      </w:rPr>
    </w:lvl>
    <w:lvl w:ilvl="5">
      <w:start w:val="1"/>
      <w:numFmt w:val="lowerRoman"/>
      <w:suff w:val="tab"/>
      <w:lvlText w:val="%6."/>
      <w:lvlJc w:val="left"/>
      <w:pPr/>
      <w:rPr>
        <w:position w:val="0"/>
      </w:rPr>
    </w:lvl>
    <w:lvl w:ilvl="6">
      <w:start w:val="1"/>
      <w:numFmt w:val="decimal"/>
      <w:suff w:val="tab"/>
      <w:lvlText w:val="%7."/>
      <w:lvlJc w:val="left"/>
      <w:pPr/>
      <w:rPr>
        <w:position w:val="0"/>
      </w:rPr>
    </w:lvl>
    <w:lvl w:ilvl="7">
      <w:start w:val="1"/>
      <w:numFmt w:val="lowerLetter"/>
      <w:suff w:val="tab"/>
      <w:lvlText w:val="%8."/>
      <w:lvlJc w:val="left"/>
      <w:pPr/>
      <w:rPr>
        <w:position w:val="0"/>
      </w:rPr>
    </w:lvl>
    <w:lvl w:ilvl="8">
      <w:start w:val="1"/>
      <w:numFmt w:val="lowerRoman"/>
      <w:suff w:val="tab"/>
      <w:lvlText w:val="%9."/>
      <w:lvlJc w:val="left"/>
      <w:pPr/>
      <w:rPr>
        <w:position w:val="0"/>
      </w:rPr>
    </w:lvl>
  </w:abstractNum>
  <w:abstractNum w:abstractNumId="117">
    <w:multiLevelType w:val="multilevel"/>
    <w:styleLink w:val="List 24"/>
    <w:lvl w:ilvl="0">
      <w:start w:val="1"/>
      <w:numFmt w:val="lowerLetter"/>
      <w:suff w:val="tab"/>
      <w:lvlText w:val="%1)"/>
      <w:lvlJc w:val="left"/>
      <w:pPr>
        <w:tabs>
          <w:tab w:val="num" w:pos="1418"/>
          <w:tab w:val="clear" w:pos="0"/>
        </w:tabs>
        <w:ind w:left="1418" w:hanging="360"/>
      </w:pPr>
      <w:rPr>
        <w:rFonts w:ascii="Book Antiqua" w:cs="Book Antiqua" w:hAnsi="Book Antiqua" w:eastAsia="Book Antiqua"/>
        <w:position w:val="0"/>
        <w:sz w:val="24"/>
        <w:szCs w:val="24"/>
      </w:rPr>
    </w:lvl>
    <w:lvl w:ilvl="1">
      <w:start w:val="1"/>
      <w:numFmt w:val="lowerLetter"/>
      <w:suff w:val="tab"/>
      <w:lvlText w:val="%2."/>
      <w:lvlJc w:val="left"/>
      <w:pPr>
        <w:tabs>
          <w:tab w:val="num" w:pos="1800"/>
          <w:tab w:val="clear" w:pos="0"/>
        </w:tabs>
        <w:ind w:left="1800" w:hanging="360"/>
      </w:pPr>
      <w:rPr>
        <w:rFonts w:ascii="Book Antiqua" w:cs="Book Antiqua" w:hAnsi="Book Antiqua" w:eastAsia="Book Antiqua"/>
        <w:position w:val="0"/>
        <w:sz w:val="24"/>
        <w:szCs w:val="24"/>
      </w:rPr>
    </w:lvl>
    <w:lvl w:ilvl="2">
      <w:start w:val="1"/>
      <w:numFmt w:val="lowerRoman"/>
      <w:suff w:val="tab"/>
      <w:lvlText w:val="%3."/>
      <w:lvlJc w:val="left"/>
      <w:pPr>
        <w:tabs>
          <w:tab w:val="num" w:pos="2520"/>
          <w:tab w:val="clear" w:pos="0"/>
        </w:tabs>
        <w:ind w:left="2520" w:hanging="296"/>
      </w:pPr>
      <w:rPr>
        <w:rFonts w:ascii="Book Antiqua" w:cs="Book Antiqua" w:hAnsi="Book Antiqua" w:eastAsia="Book Antiqua"/>
        <w:position w:val="0"/>
        <w:sz w:val="24"/>
        <w:szCs w:val="24"/>
      </w:rPr>
    </w:lvl>
    <w:lvl w:ilvl="3">
      <w:start w:val="1"/>
      <w:numFmt w:val="decimal"/>
      <w:suff w:val="tab"/>
      <w:lvlText w:val="%4."/>
      <w:lvlJc w:val="left"/>
      <w:pPr>
        <w:tabs>
          <w:tab w:val="num" w:pos="3240"/>
          <w:tab w:val="clear" w:pos="0"/>
        </w:tabs>
        <w:ind w:left="3240" w:hanging="360"/>
      </w:pPr>
      <w:rPr>
        <w:rFonts w:ascii="Book Antiqua" w:cs="Book Antiqua" w:hAnsi="Book Antiqua" w:eastAsia="Book Antiqua"/>
        <w:position w:val="0"/>
        <w:sz w:val="24"/>
        <w:szCs w:val="24"/>
      </w:rPr>
    </w:lvl>
    <w:lvl w:ilvl="4">
      <w:start w:val="1"/>
      <w:numFmt w:val="lowerLetter"/>
      <w:suff w:val="tab"/>
      <w:lvlText w:val="%5."/>
      <w:lvlJc w:val="left"/>
      <w:pPr>
        <w:tabs>
          <w:tab w:val="num" w:pos="3960"/>
          <w:tab w:val="clear" w:pos="0"/>
        </w:tabs>
        <w:ind w:left="3960" w:hanging="360"/>
      </w:pPr>
      <w:rPr>
        <w:rFonts w:ascii="Book Antiqua" w:cs="Book Antiqua" w:hAnsi="Book Antiqua" w:eastAsia="Book Antiqua"/>
        <w:position w:val="0"/>
        <w:sz w:val="24"/>
        <w:szCs w:val="24"/>
      </w:rPr>
    </w:lvl>
    <w:lvl w:ilvl="5">
      <w:start w:val="1"/>
      <w:numFmt w:val="lowerRoman"/>
      <w:suff w:val="tab"/>
      <w:lvlText w:val="%6."/>
      <w:lvlJc w:val="left"/>
      <w:pPr>
        <w:tabs>
          <w:tab w:val="num" w:pos="4680"/>
          <w:tab w:val="clear" w:pos="0"/>
        </w:tabs>
        <w:ind w:left="4680" w:hanging="296"/>
      </w:pPr>
      <w:rPr>
        <w:rFonts w:ascii="Book Antiqua" w:cs="Book Antiqua" w:hAnsi="Book Antiqua" w:eastAsia="Book Antiqua"/>
        <w:position w:val="0"/>
        <w:sz w:val="24"/>
        <w:szCs w:val="24"/>
      </w:rPr>
    </w:lvl>
    <w:lvl w:ilvl="6">
      <w:start w:val="1"/>
      <w:numFmt w:val="decimal"/>
      <w:suff w:val="tab"/>
      <w:lvlText w:val="%7."/>
      <w:lvlJc w:val="left"/>
      <w:pPr>
        <w:tabs>
          <w:tab w:val="num" w:pos="5400"/>
          <w:tab w:val="clear" w:pos="0"/>
        </w:tabs>
        <w:ind w:left="5400" w:hanging="360"/>
      </w:pPr>
      <w:rPr>
        <w:rFonts w:ascii="Book Antiqua" w:cs="Book Antiqua" w:hAnsi="Book Antiqua" w:eastAsia="Book Antiqua"/>
        <w:position w:val="0"/>
        <w:sz w:val="24"/>
        <w:szCs w:val="24"/>
      </w:rPr>
    </w:lvl>
    <w:lvl w:ilvl="7">
      <w:start w:val="1"/>
      <w:numFmt w:val="lowerLetter"/>
      <w:suff w:val="tab"/>
      <w:lvlText w:val="%8."/>
      <w:lvlJc w:val="left"/>
      <w:pPr>
        <w:tabs>
          <w:tab w:val="num" w:pos="6120"/>
          <w:tab w:val="clear" w:pos="0"/>
        </w:tabs>
        <w:ind w:left="6120" w:hanging="360"/>
      </w:pPr>
      <w:rPr>
        <w:rFonts w:ascii="Book Antiqua" w:cs="Book Antiqua" w:hAnsi="Book Antiqua" w:eastAsia="Book Antiqua"/>
        <w:position w:val="0"/>
        <w:sz w:val="24"/>
        <w:szCs w:val="24"/>
      </w:rPr>
    </w:lvl>
    <w:lvl w:ilvl="8">
      <w:start w:val="1"/>
      <w:numFmt w:val="lowerRoman"/>
      <w:suff w:val="tab"/>
      <w:lvlText w:val="%9."/>
      <w:lvlJc w:val="left"/>
      <w:pPr>
        <w:tabs>
          <w:tab w:val="num" w:pos="6840"/>
          <w:tab w:val="clear" w:pos="0"/>
        </w:tabs>
        <w:ind w:left="6840" w:hanging="296"/>
      </w:pPr>
      <w:rPr>
        <w:rFonts w:ascii="Book Antiqua" w:cs="Book Antiqua" w:hAnsi="Book Antiqua" w:eastAsia="Book Antiqua"/>
        <w:position w:val="0"/>
        <w:sz w:val="24"/>
        <w:szCs w:val="24"/>
      </w:rPr>
    </w:lvl>
  </w:abstractNum>
  <w:abstractNum w:abstractNumId="118">
    <w:multiLevelType w:val="multilevel"/>
    <w:lvl w:ilvl="0">
      <w:start w:val="1"/>
      <w:numFmt w:val="bullet"/>
      <w:suff w:val="tab"/>
      <w:lvlText w:val="-"/>
      <w:lvlJc w:val="left"/>
      <w:pPr/>
      <w:rPr>
        <w:rFonts w:ascii="Book Antiqua" w:cs="Book Antiqua" w:hAnsi="Book Antiqua" w:eastAsia="Book Antiqua"/>
        <w:position w:val="0"/>
      </w:rPr>
    </w:lvl>
    <w:lvl w:ilvl="1">
      <w:start w:val="1"/>
      <w:numFmt w:val="bullet"/>
      <w:suff w:val="tab"/>
      <w:lvlText w:val="o"/>
      <w:lvlJc w:val="left"/>
      <w:pPr/>
      <w:rPr>
        <w:rFonts w:ascii="Book Antiqua" w:cs="Book Antiqua" w:hAnsi="Book Antiqua" w:eastAsia="Book Antiqua"/>
        <w:position w:val="0"/>
      </w:rPr>
    </w:lvl>
    <w:lvl w:ilvl="2">
      <w:start w:val="1"/>
      <w:numFmt w:val="bullet"/>
      <w:suff w:val="tab"/>
      <w:lvlText w:val="▪"/>
      <w:lvlJc w:val="left"/>
      <w:pPr/>
      <w:rPr>
        <w:rFonts w:ascii="Book Antiqua" w:cs="Book Antiqua" w:hAnsi="Book Antiqua" w:eastAsia="Book Antiqua"/>
        <w:position w:val="0"/>
      </w:rPr>
    </w:lvl>
    <w:lvl w:ilvl="3">
      <w:start w:val="1"/>
      <w:numFmt w:val="bullet"/>
      <w:suff w:val="tab"/>
      <w:lvlText w:val="•"/>
      <w:lvlJc w:val="left"/>
      <w:pPr/>
      <w:rPr>
        <w:rFonts w:ascii="Book Antiqua" w:cs="Book Antiqua" w:hAnsi="Book Antiqua" w:eastAsia="Book Antiqua"/>
        <w:position w:val="0"/>
      </w:rPr>
    </w:lvl>
    <w:lvl w:ilvl="4">
      <w:start w:val="1"/>
      <w:numFmt w:val="bullet"/>
      <w:suff w:val="tab"/>
      <w:lvlText w:val="o"/>
      <w:lvlJc w:val="left"/>
      <w:pPr/>
      <w:rPr>
        <w:rFonts w:ascii="Book Antiqua" w:cs="Book Antiqua" w:hAnsi="Book Antiqua" w:eastAsia="Book Antiqua"/>
        <w:position w:val="0"/>
      </w:rPr>
    </w:lvl>
    <w:lvl w:ilvl="5">
      <w:start w:val="1"/>
      <w:numFmt w:val="bullet"/>
      <w:suff w:val="tab"/>
      <w:lvlText w:val="▪"/>
      <w:lvlJc w:val="left"/>
      <w:pPr/>
      <w:rPr>
        <w:rFonts w:ascii="Book Antiqua" w:cs="Book Antiqua" w:hAnsi="Book Antiqua" w:eastAsia="Book Antiqua"/>
        <w:position w:val="0"/>
      </w:rPr>
    </w:lvl>
    <w:lvl w:ilvl="6">
      <w:start w:val="1"/>
      <w:numFmt w:val="bullet"/>
      <w:suff w:val="tab"/>
      <w:lvlText w:val="•"/>
      <w:lvlJc w:val="left"/>
      <w:pPr/>
      <w:rPr>
        <w:rFonts w:ascii="Book Antiqua" w:cs="Book Antiqua" w:hAnsi="Book Antiqua" w:eastAsia="Book Antiqua"/>
        <w:position w:val="0"/>
      </w:rPr>
    </w:lvl>
    <w:lvl w:ilvl="7">
      <w:start w:val="1"/>
      <w:numFmt w:val="bullet"/>
      <w:suff w:val="tab"/>
      <w:lvlText w:val="o"/>
      <w:lvlJc w:val="left"/>
      <w:pPr/>
      <w:rPr>
        <w:rFonts w:ascii="Book Antiqua" w:cs="Book Antiqua" w:hAnsi="Book Antiqua" w:eastAsia="Book Antiqua"/>
        <w:position w:val="0"/>
      </w:rPr>
    </w:lvl>
    <w:lvl w:ilvl="8">
      <w:start w:val="1"/>
      <w:numFmt w:val="bullet"/>
      <w:suff w:val="tab"/>
      <w:lvlText w:val="▪"/>
      <w:lvlJc w:val="left"/>
      <w:pPr/>
      <w:rPr>
        <w:rFonts w:ascii="Book Antiqua" w:cs="Book Antiqua" w:hAnsi="Book Antiqua" w:eastAsia="Book Antiqua"/>
        <w:position w:val="0"/>
      </w:rPr>
    </w:lvl>
  </w:abstractNum>
  <w:abstractNum w:abstractNumId="119">
    <w:multiLevelType w:val="multilevel"/>
    <w:lvl w:ilvl="0">
      <w:start w:val="1"/>
      <w:numFmt w:val="bullet"/>
      <w:suff w:val="tab"/>
      <w:lvlText w:val="-"/>
      <w:lvlJc w:val="left"/>
      <w:pPr/>
      <w:rPr>
        <w:position w:val="0"/>
      </w:rPr>
    </w:lvl>
    <w:lvl w:ilvl="1">
      <w:start w:val="1"/>
      <w:numFmt w:val="bullet"/>
      <w:suff w:val="tab"/>
      <w:lvlText w:val="o"/>
      <w:lvlJc w:val="left"/>
      <w:pPr/>
      <w:rPr>
        <w:position w:val="0"/>
      </w:rPr>
    </w:lvl>
    <w:lvl w:ilvl="2">
      <w:start w:val="1"/>
      <w:numFmt w:val="bullet"/>
      <w:suff w:val="tab"/>
      <w:lvlText w:val="▪"/>
      <w:lvlJc w:val="left"/>
      <w:pPr/>
      <w:rPr>
        <w:position w:val="0"/>
      </w:rPr>
    </w:lvl>
    <w:lvl w:ilvl="3">
      <w:start w:val="1"/>
      <w:numFmt w:val="bullet"/>
      <w:suff w:val="tab"/>
      <w:lvlText w:val="•"/>
      <w:lvlJc w:val="left"/>
      <w:pPr/>
      <w:rPr>
        <w:position w:val="0"/>
      </w:rPr>
    </w:lvl>
    <w:lvl w:ilvl="4">
      <w:start w:val="1"/>
      <w:numFmt w:val="bullet"/>
      <w:suff w:val="tab"/>
      <w:lvlText w:val="o"/>
      <w:lvlJc w:val="left"/>
      <w:pPr/>
      <w:rPr>
        <w:position w:val="0"/>
      </w:rPr>
    </w:lvl>
    <w:lvl w:ilvl="5">
      <w:start w:val="1"/>
      <w:numFmt w:val="bullet"/>
      <w:suff w:val="tab"/>
      <w:lvlText w:val="▪"/>
      <w:lvlJc w:val="left"/>
      <w:pPr/>
      <w:rPr>
        <w:position w:val="0"/>
      </w:rPr>
    </w:lvl>
    <w:lvl w:ilvl="6">
      <w:start w:val="1"/>
      <w:numFmt w:val="bullet"/>
      <w:suff w:val="tab"/>
      <w:lvlText w:val="•"/>
      <w:lvlJc w:val="left"/>
      <w:pPr/>
      <w:rPr>
        <w:position w:val="0"/>
      </w:rPr>
    </w:lvl>
    <w:lvl w:ilvl="7">
      <w:start w:val="1"/>
      <w:numFmt w:val="bullet"/>
      <w:suff w:val="tab"/>
      <w:lvlText w:val="o"/>
      <w:lvlJc w:val="left"/>
      <w:pPr/>
      <w:rPr>
        <w:position w:val="0"/>
      </w:rPr>
    </w:lvl>
    <w:lvl w:ilvl="8">
      <w:start w:val="1"/>
      <w:numFmt w:val="bullet"/>
      <w:suff w:val="tab"/>
      <w:lvlText w:val="▪"/>
      <w:lvlJc w:val="left"/>
      <w:pPr/>
      <w:rPr>
        <w:position w:val="0"/>
      </w:rPr>
    </w:lvl>
  </w:abstractNum>
  <w:abstractNum w:abstractNumId="120">
    <w:multiLevelType w:val="multilevel"/>
    <w:styleLink w:val="List 25"/>
    <w:lvl w:ilvl="0">
      <w:start w:val="0"/>
      <w:numFmt w:val="bullet"/>
      <w:suff w:val="tab"/>
      <w:lvlText w:val="-"/>
      <w:lvlJc w:val="left"/>
      <w:pPr/>
      <w:rPr>
        <w:rFonts w:ascii="Book Antiqua" w:cs="Book Antiqua" w:hAnsi="Book Antiqua" w:eastAsia="Book Antiqua"/>
        <w:position w:val="0"/>
      </w:rPr>
    </w:lvl>
    <w:lvl w:ilvl="1">
      <w:start w:val="1"/>
      <w:numFmt w:val="bullet"/>
      <w:suff w:val="tab"/>
      <w:lvlText w:val="o"/>
      <w:lvlJc w:val="left"/>
      <w:pPr/>
      <w:rPr>
        <w:rFonts w:ascii="Book Antiqua" w:cs="Book Antiqua" w:hAnsi="Book Antiqua" w:eastAsia="Book Antiqua"/>
        <w:position w:val="0"/>
      </w:rPr>
    </w:lvl>
    <w:lvl w:ilvl="2">
      <w:start w:val="1"/>
      <w:numFmt w:val="bullet"/>
      <w:suff w:val="tab"/>
      <w:lvlText w:val="▪"/>
      <w:lvlJc w:val="left"/>
      <w:pPr/>
      <w:rPr>
        <w:rFonts w:ascii="Book Antiqua" w:cs="Book Antiqua" w:hAnsi="Book Antiqua" w:eastAsia="Book Antiqua"/>
        <w:position w:val="0"/>
      </w:rPr>
    </w:lvl>
    <w:lvl w:ilvl="3">
      <w:start w:val="1"/>
      <w:numFmt w:val="bullet"/>
      <w:suff w:val="tab"/>
      <w:lvlText w:val="•"/>
      <w:lvlJc w:val="left"/>
      <w:pPr/>
      <w:rPr>
        <w:rFonts w:ascii="Book Antiqua" w:cs="Book Antiqua" w:hAnsi="Book Antiqua" w:eastAsia="Book Antiqua"/>
        <w:position w:val="0"/>
      </w:rPr>
    </w:lvl>
    <w:lvl w:ilvl="4">
      <w:start w:val="1"/>
      <w:numFmt w:val="bullet"/>
      <w:suff w:val="tab"/>
      <w:lvlText w:val="o"/>
      <w:lvlJc w:val="left"/>
      <w:pPr/>
      <w:rPr>
        <w:rFonts w:ascii="Book Antiqua" w:cs="Book Antiqua" w:hAnsi="Book Antiqua" w:eastAsia="Book Antiqua"/>
        <w:position w:val="0"/>
      </w:rPr>
    </w:lvl>
    <w:lvl w:ilvl="5">
      <w:start w:val="1"/>
      <w:numFmt w:val="bullet"/>
      <w:suff w:val="tab"/>
      <w:lvlText w:val="▪"/>
      <w:lvlJc w:val="left"/>
      <w:pPr/>
      <w:rPr>
        <w:rFonts w:ascii="Book Antiqua" w:cs="Book Antiqua" w:hAnsi="Book Antiqua" w:eastAsia="Book Antiqua"/>
        <w:position w:val="0"/>
      </w:rPr>
    </w:lvl>
    <w:lvl w:ilvl="6">
      <w:start w:val="1"/>
      <w:numFmt w:val="bullet"/>
      <w:suff w:val="tab"/>
      <w:lvlText w:val="•"/>
      <w:lvlJc w:val="left"/>
      <w:pPr/>
      <w:rPr>
        <w:rFonts w:ascii="Book Antiqua" w:cs="Book Antiqua" w:hAnsi="Book Antiqua" w:eastAsia="Book Antiqua"/>
        <w:position w:val="0"/>
      </w:rPr>
    </w:lvl>
    <w:lvl w:ilvl="7">
      <w:start w:val="1"/>
      <w:numFmt w:val="bullet"/>
      <w:suff w:val="tab"/>
      <w:lvlText w:val="o"/>
      <w:lvlJc w:val="left"/>
      <w:pPr/>
      <w:rPr>
        <w:rFonts w:ascii="Book Antiqua" w:cs="Book Antiqua" w:hAnsi="Book Antiqua" w:eastAsia="Book Antiqua"/>
        <w:position w:val="0"/>
      </w:rPr>
    </w:lvl>
    <w:lvl w:ilvl="8">
      <w:start w:val="1"/>
      <w:numFmt w:val="bullet"/>
      <w:suff w:val="tab"/>
      <w:lvlText w:val="▪"/>
      <w:lvlJc w:val="left"/>
      <w:pPr/>
      <w:rPr>
        <w:rFonts w:ascii="Book Antiqua" w:cs="Book Antiqua" w:hAnsi="Book Antiqua" w:eastAsia="Book Antiqua"/>
        <w:position w:val="0"/>
      </w:rPr>
    </w:lvl>
  </w:abstractNum>
  <w:abstractNum w:abstractNumId="121">
    <w:multiLevelType w:val="multilevel"/>
    <w:styleLink w:val="List 25"/>
    <w:lvl w:ilvl="0">
      <w:start w:val="0"/>
      <w:numFmt w:val="bullet"/>
      <w:suff w:val="tab"/>
      <w:lvlText w:val="-"/>
      <w:lvlJc w:val="left"/>
      <w:pPr/>
      <w:rPr>
        <w:rFonts w:ascii="Book Antiqua" w:cs="Book Antiqua" w:hAnsi="Book Antiqua" w:eastAsia="Book Antiqua"/>
        <w:position w:val="0"/>
      </w:rPr>
    </w:lvl>
    <w:lvl w:ilvl="1">
      <w:start w:val="1"/>
      <w:numFmt w:val="bullet"/>
      <w:suff w:val="tab"/>
      <w:lvlText w:val="o"/>
      <w:lvlJc w:val="left"/>
      <w:pPr/>
      <w:rPr>
        <w:rFonts w:ascii="Book Antiqua" w:cs="Book Antiqua" w:hAnsi="Book Antiqua" w:eastAsia="Book Antiqua"/>
        <w:position w:val="0"/>
      </w:rPr>
    </w:lvl>
    <w:lvl w:ilvl="2">
      <w:start w:val="1"/>
      <w:numFmt w:val="bullet"/>
      <w:suff w:val="tab"/>
      <w:lvlText w:val="▪"/>
      <w:lvlJc w:val="left"/>
      <w:pPr/>
      <w:rPr>
        <w:rFonts w:ascii="Book Antiqua" w:cs="Book Antiqua" w:hAnsi="Book Antiqua" w:eastAsia="Book Antiqua"/>
        <w:position w:val="0"/>
      </w:rPr>
    </w:lvl>
    <w:lvl w:ilvl="3">
      <w:start w:val="1"/>
      <w:numFmt w:val="bullet"/>
      <w:suff w:val="tab"/>
      <w:lvlText w:val="•"/>
      <w:lvlJc w:val="left"/>
      <w:pPr/>
      <w:rPr>
        <w:rFonts w:ascii="Book Antiqua" w:cs="Book Antiqua" w:hAnsi="Book Antiqua" w:eastAsia="Book Antiqua"/>
        <w:position w:val="0"/>
      </w:rPr>
    </w:lvl>
    <w:lvl w:ilvl="4">
      <w:start w:val="1"/>
      <w:numFmt w:val="bullet"/>
      <w:suff w:val="tab"/>
      <w:lvlText w:val="o"/>
      <w:lvlJc w:val="left"/>
      <w:pPr/>
      <w:rPr>
        <w:rFonts w:ascii="Book Antiqua" w:cs="Book Antiqua" w:hAnsi="Book Antiqua" w:eastAsia="Book Antiqua"/>
        <w:position w:val="0"/>
      </w:rPr>
    </w:lvl>
    <w:lvl w:ilvl="5">
      <w:start w:val="1"/>
      <w:numFmt w:val="bullet"/>
      <w:suff w:val="tab"/>
      <w:lvlText w:val="▪"/>
      <w:lvlJc w:val="left"/>
      <w:pPr/>
      <w:rPr>
        <w:rFonts w:ascii="Book Antiqua" w:cs="Book Antiqua" w:hAnsi="Book Antiqua" w:eastAsia="Book Antiqua"/>
        <w:position w:val="0"/>
      </w:rPr>
    </w:lvl>
    <w:lvl w:ilvl="6">
      <w:start w:val="1"/>
      <w:numFmt w:val="bullet"/>
      <w:suff w:val="tab"/>
      <w:lvlText w:val="•"/>
      <w:lvlJc w:val="left"/>
      <w:pPr/>
      <w:rPr>
        <w:rFonts w:ascii="Book Antiqua" w:cs="Book Antiqua" w:hAnsi="Book Antiqua" w:eastAsia="Book Antiqua"/>
        <w:position w:val="0"/>
      </w:rPr>
    </w:lvl>
    <w:lvl w:ilvl="7">
      <w:start w:val="1"/>
      <w:numFmt w:val="bullet"/>
      <w:suff w:val="tab"/>
      <w:lvlText w:val="o"/>
      <w:lvlJc w:val="left"/>
      <w:pPr/>
      <w:rPr>
        <w:rFonts w:ascii="Book Antiqua" w:cs="Book Antiqua" w:hAnsi="Book Antiqua" w:eastAsia="Book Antiqua"/>
        <w:position w:val="0"/>
      </w:rPr>
    </w:lvl>
    <w:lvl w:ilvl="8">
      <w:start w:val="1"/>
      <w:numFmt w:val="bullet"/>
      <w:suff w:val="tab"/>
      <w:lvlText w:val="▪"/>
      <w:lvlJc w:val="left"/>
      <w:pPr/>
      <w:rPr>
        <w:rFonts w:ascii="Book Antiqua" w:cs="Book Antiqua" w:hAnsi="Book Antiqua" w:eastAsia="Book Antiqua"/>
        <w:position w:val="0"/>
      </w:rPr>
    </w:lvl>
  </w:abstractNum>
  <w:abstractNum w:abstractNumId="122">
    <w:multiLevelType w:val="multilevel"/>
    <w:styleLink w:val="List 25"/>
    <w:lvl w:ilvl="0">
      <w:start w:val="0"/>
      <w:numFmt w:val="bullet"/>
      <w:suff w:val="tab"/>
      <w:lvlText w:val="-"/>
      <w:lvlJc w:val="left"/>
      <w:pPr/>
      <w:rPr>
        <w:rFonts w:ascii="Book Antiqua" w:cs="Book Antiqua" w:hAnsi="Book Antiqua" w:eastAsia="Book Antiqua"/>
        <w:position w:val="0"/>
      </w:rPr>
    </w:lvl>
    <w:lvl w:ilvl="1">
      <w:start w:val="1"/>
      <w:numFmt w:val="bullet"/>
      <w:suff w:val="tab"/>
      <w:lvlText w:val="o"/>
      <w:lvlJc w:val="left"/>
      <w:pPr/>
      <w:rPr>
        <w:rFonts w:ascii="Book Antiqua" w:cs="Book Antiqua" w:hAnsi="Book Antiqua" w:eastAsia="Book Antiqua"/>
        <w:position w:val="0"/>
      </w:rPr>
    </w:lvl>
    <w:lvl w:ilvl="2">
      <w:start w:val="1"/>
      <w:numFmt w:val="bullet"/>
      <w:suff w:val="tab"/>
      <w:lvlText w:val="▪"/>
      <w:lvlJc w:val="left"/>
      <w:pPr/>
      <w:rPr>
        <w:rFonts w:ascii="Book Antiqua" w:cs="Book Antiqua" w:hAnsi="Book Antiqua" w:eastAsia="Book Antiqua"/>
        <w:position w:val="0"/>
      </w:rPr>
    </w:lvl>
    <w:lvl w:ilvl="3">
      <w:start w:val="1"/>
      <w:numFmt w:val="bullet"/>
      <w:suff w:val="tab"/>
      <w:lvlText w:val="•"/>
      <w:lvlJc w:val="left"/>
      <w:pPr/>
      <w:rPr>
        <w:rFonts w:ascii="Book Antiqua" w:cs="Book Antiqua" w:hAnsi="Book Antiqua" w:eastAsia="Book Antiqua"/>
        <w:position w:val="0"/>
      </w:rPr>
    </w:lvl>
    <w:lvl w:ilvl="4">
      <w:start w:val="1"/>
      <w:numFmt w:val="bullet"/>
      <w:suff w:val="tab"/>
      <w:lvlText w:val="o"/>
      <w:lvlJc w:val="left"/>
      <w:pPr/>
      <w:rPr>
        <w:rFonts w:ascii="Book Antiqua" w:cs="Book Antiqua" w:hAnsi="Book Antiqua" w:eastAsia="Book Antiqua"/>
        <w:position w:val="0"/>
      </w:rPr>
    </w:lvl>
    <w:lvl w:ilvl="5">
      <w:start w:val="1"/>
      <w:numFmt w:val="bullet"/>
      <w:suff w:val="tab"/>
      <w:lvlText w:val="▪"/>
      <w:lvlJc w:val="left"/>
      <w:pPr/>
      <w:rPr>
        <w:rFonts w:ascii="Book Antiqua" w:cs="Book Antiqua" w:hAnsi="Book Antiqua" w:eastAsia="Book Antiqua"/>
        <w:position w:val="0"/>
      </w:rPr>
    </w:lvl>
    <w:lvl w:ilvl="6">
      <w:start w:val="1"/>
      <w:numFmt w:val="bullet"/>
      <w:suff w:val="tab"/>
      <w:lvlText w:val="•"/>
      <w:lvlJc w:val="left"/>
      <w:pPr/>
      <w:rPr>
        <w:rFonts w:ascii="Book Antiqua" w:cs="Book Antiqua" w:hAnsi="Book Antiqua" w:eastAsia="Book Antiqua"/>
        <w:position w:val="0"/>
      </w:rPr>
    </w:lvl>
    <w:lvl w:ilvl="7">
      <w:start w:val="1"/>
      <w:numFmt w:val="bullet"/>
      <w:suff w:val="tab"/>
      <w:lvlText w:val="o"/>
      <w:lvlJc w:val="left"/>
      <w:pPr/>
      <w:rPr>
        <w:rFonts w:ascii="Book Antiqua" w:cs="Book Antiqua" w:hAnsi="Book Antiqua" w:eastAsia="Book Antiqua"/>
        <w:position w:val="0"/>
      </w:rPr>
    </w:lvl>
    <w:lvl w:ilvl="8">
      <w:start w:val="1"/>
      <w:numFmt w:val="bullet"/>
      <w:suff w:val="tab"/>
      <w:lvlText w:val="▪"/>
      <w:lvlJc w:val="left"/>
      <w:pPr/>
      <w:rPr>
        <w:rFonts w:ascii="Book Antiqua" w:cs="Book Antiqua" w:hAnsi="Book Antiqua" w:eastAsia="Book Antiqua"/>
        <w:position w:val="0"/>
      </w:rPr>
    </w:lvl>
  </w:abstractNum>
  <w:abstractNum w:abstractNumId="123">
    <w:multiLevelType w:val="multilevel"/>
    <w:styleLink w:val="List 25"/>
    <w:lvl w:ilvl="0">
      <w:start w:val="0"/>
      <w:numFmt w:val="bullet"/>
      <w:suff w:val="tab"/>
      <w:lvlText w:val="-"/>
      <w:lvlJc w:val="left"/>
      <w:pPr/>
      <w:rPr>
        <w:rFonts w:ascii="Book Antiqua" w:cs="Book Antiqua" w:hAnsi="Book Antiqua" w:eastAsia="Book Antiqua"/>
        <w:position w:val="0"/>
      </w:rPr>
    </w:lvl>
    <w:lvl w:ilvl="1">
      <w:start w:val="1"/>
      <w:numFmt w:val="bullet"/>
      <w:suff w:val="tab"/>
      <w:lvlText w:val="o"/>
      <w:lvlJc w:val="left"/>
      <w:pPr/>
      <w:rPr>
        <w:rFonts w:ascii="Book Antiqua" w:cs="Book Antiqua" w:hAnsi="Book Antiqua" w:eastAsia="Book Antiqua"/>
        <w:position w:val="0"/>
      </w:rPr>
    </w:lvl>
    <w:lvl w:ilvl="2">
      <w:start w:val="1"/>
      <w:numFmt w:val="bullet"/>
      <w:suff w:val="tab"/>
      <w:lvlText w:val="▪"/>
      <w:lvlJc w:val="left"/>
      <w:pPr/>
      <w:rPr>
        <w:rFonts w:ascii="Book Antiqua" w:cs="Book Antiqua" w:hAnsi="Book Antiqua" w:eastAsia="Book Antiqua"/>
        <w:position w:val="0"/>
      </w:rPr>
    </w:lvl>
    <w:lvl w:ilvl="3">
      <w:start w:val="1"/>
      <w:numFmt w:val="bullet"/>
      <w:suff w:val="tab"/>
      <w:lvlText w:val="•"/>
      <w:lvlJc w:val="left"/>
      <w:pPr/>
      <w:rPr>
        <w:rFonts w:ascii="Book Antiqua" w:cs="Book Antiqua" w:hAnsi="Book Antiqua" w:eastAsia="Book Antiqua"/>
        <w:position w:val="0"/>
      </w:rPr>
    </w:lvl>
    <w:lvl w:ilvl="4">
      <w:start w:val="1"/>
      <w:numFmt w:val="bullet"/>
      <w:suff w:val="tab"/>
      <w:lvlText w:val="o"/>
      <w:lvlJc w:val="left"/>
      <w:pPr/>
      <w:rPr>
        <w:rFonts w:ascii="Book Antiqua" w:cs="Book Antiqua" w:hAnsi="Book Antiqua" w:eastAsia="Book Antiqua"/>
        <w:position w:val="0"/>
      </w:rPr>
    </w:lvl>
    <w:lvl w:ilvl="5">
      <w:start w:val="1"/>
      <w:numFmt w:val="bullet"/>
      <w:suff w:val="tab"/>
      <w:lvlText w:val="▪"/>
      <w:lvlJc w:val="left"/>
      <w:pPr/>
      <w:rPr>
        <w:rFonts w:ascii="Book Antiqua" w:cs="Book Antiqua" w:hAnsi="Book Antiqua" w:eastAsia="Book Antiqua"/>
        <w:position w:val="0"/>
      </w:rPr>
    </w:lvl>
    <w:lvl w:ilvl="6">
      <w:start w:val="1"/>
      <w:numFmt w:val="bullet"/>
      <w:suff w:val="tab"/>
      <w:lvlText w:val="•"/>
      <w:lvlJc w:val="left"/>
      <w:pPr/>
      <w:rPr>
        <w:rFonts w:ascii="Book Antiqua" w:cs="Book Antiqua" w:hAnsi="Book Antiqua" w:eastAsia="Book Antiqua"/>
        <w:position w:val="0"/>
      </w:rPr>
    </w:lvl>
    <w:lvl w:ilvl="7">
      <w:start w:val="1"/>
      <w:numFmt w:val="bullet"/>
      <w:suff w:val="tab"/>
      <w:lvlText w:val="o"/>
      <w:lvlJc w:val="left"/>
      <w:pPr/>
      <w:rPr>
        <w:rFonts w:ascii="Book Antiqua" w:cs="Book Antiqua" w:hAnsi="Book Antiqua" w:eastAsia="Book Antiqua"/>
        <w:position w:val="0"/>
      </w:rPr>
    </w:lvl>
    <w:lvl w:ilvl="8">
      <w:start w:val="1"/>
      <w:numFmt w:val="bullet"/>
      <w:suff w:val="tab"/>
      <w:lvlText w:val="▪"/>
      <w:lvlJc w:val="left"/>
      <w:pPr/>
      <w:rPr>
        <w:rFonts w:ascii="Book Antiqua" w:cs="Book Antiqua" w:hAnsi="Book Antiqua" w:eastAsia="Book Antiqua"/>
        <w:position w:val="0"/>
      </w:rPr>
    </w:lvl>
  </w:abstractNum>
  <w:abstractNum w:abstractNumId="124">
    <w:multiLevelType w:val="multilevel"/>
    <w:styleLink w:val="List 25"/>
    <w:lvl w:ilvl="0">
      <w:start w:val="0"/>
      <w:numFmt w:val="bullet"/>
      <w:suff w:val="tab"/>
      <w:lvlText w:val="-"/>
      <w:lvlJc w:val="left"/>
      <w:pPr/>
      <w:rPr>
        <w:rFonts w:ascii="Book Antiqua" w:cs="Book Antiqua" w:hAnsi="Book Antiqua" w:eastAsia="Book Antiqua"/>
        <w:position w:val="0"/>
      </w:rPr>
    </w:lvl>
    <w:lvl w:ilvl="1">
      <w:start w:val="1"/>
      <w:numFmt w:val="bullet"/>
      <w:suff w:val="tab"/>
      <w:lvlText w:val="o"/>
      <w:lvlJc w:val="left"/>
      <w:pPr/>
      <w:rPr>
        <w:rFonts w:ascii="Book Antiqua" w:cs="Book Antiqua" w:hAnsi="Book Antiqua" w:eastAsia="Book Antiqua"/>
        <w:position w:val="0"/>
      </w:rPr>
    </w:lvl>
    <w:lvl w:ilvl="2">
      <w:start w:val="1"/>
      <w:numFmt w:val="bullet"/>
      <w:suff w:val="tab"/>
      <w:lvlText w:val="▪"/>
      <w:lvlJc w:val="left"/>
      <w:pPr/>
      <w:rPr>
        <w:rFonts w:ascii="Book Antiqua" w:cs="Book Antiqua" w:hAnsi="Book Antiqua" w:eastAsia="Book Antiqua"/>
        <w:position w:val="0"/>
      </w:rPr>
    </w:lvl>
    <w:lvl w:ilvl="3">
      <w:start w:val="1"/>
      <w:numFmt w:val="bullet"/>
      <w:suff w:val="tab"/>
      <w:lvlText w:val="•"/>
      <w:lvlJc w:val="left"/>
      <w:pPr/>
      <w:rPr>
        <w:rFonts w:ascii="Book Antiqua" w:cs="Book Antiqua" w:hAnsi="Book Antiqua" w:eastAsia="Book Antiqua"/>
        <w:position w:val="0"/>
      </w:rPr>
    </w:lvl>
    <w:lvl w:ilvl="4">
      <w:start w:val="1"/>
      <w:numFmt w:val="bullet"/>
      <w:suff w:val="tab"/>
      <w:lvlText w:val="o"/>
      <w:lvlJc w:val="left"/>
      <w:pPr/>
      <w:rPr>
        <w:rFonts w:ascii="Book Antiqua" w:cs="Book Antiqua" w:hAnsi="Book Antiqua" w:eastAsia="Book Antiqua"/>
        <w:position w:val="0"/>
      </w:rPr>
    </w:lvl>
    <w:lvl w:ilvl="5">
      <w:start w:val="1"/>
      <w:numFmt w:val="bullet"/>
      <w:suff w:val="tab"/>
      <w:lvlText w:val="▪"/>
      <w:lvlJc w:val="left"/>
      <w:pPr/>
      <w:rPr>
        <w:rFonts w:ascii="Book Antiqua" w:cs="Book Antiqua" w:hAnsi="Book Antiqua" w:eastAsia="Book Antiqua"/>
        <w:position w:val="0"/>
      </w:rPr>
    </w:lvl>
    <w:lvl w:ilvl="6">
      <w:start w:val="1"/>
      <w:numFmt w:val="bullet"/>
      <w:suff w:val="tab"/>
      <w:lvlText w:val="•"/>
      <w:lvlJc w:val="left"/>
      <w:pPr/>
      <w:rPr>
        <w:rFonts w:ascii="Book Antiqua" w:cs="Book Antiqua" w:hAnsi="Book Antiqua" w:eastAsia="Book Antiqua"/>
        <w:position w:val="0"/>
      </w:rPr>
    </w:lvl>
    <w:lvl w:ilvl="7">
      <w:start w:val="1"/>
      <w:numFmt w:val="bullet"/>
      <w:suff w:val="tab"/>
      <w:lvlText w:val="o"/>
      <w:lvlJc w:val="left"/>
      <w:pPr/>
      <w:rPr>
        <w:rFonts w:ascii="Book Antiqua" w:cs="Book Antiqua" w:hAnsi="Book Antiqua" w:eastAsia="Book Antiqua"/>
        <w:position w:val="0"/>
      </w:rPr>
    </w:lvl>
    <w:lvl w:ilvl="8">
      <w:start w:val="1"/>
      <w:numFmt w:val="bullet"/>
      <w:suff w:val="tab"/>
      <w:lvlText w:val="▪"/>
      <w:lvlJc w:val="left"/>
      <w:pPr/>
      <w:rPr>
        <w:rFonts w:ascii="Book Antiqua" w:cs="Book Antiqua" w:hAnsi="Book Antiqua" w:eastAsia="Book Antiqua"/>
        <w:position w:val="0"/>
      </w:rPr>
    </w:lvl>
  </w:abstractNum>
  <w:abstractNum w:abstractNumId="125">
    <w:multiLevelType w:val="multilevel"/>
    <w:styleLink w:val="List 25"/>
    <w:lvl w:ilvl="0">
      <w:start w:val="0"/>
      <w:numFmt w:val="bullet"/>
      <w:suff w:val="tab"/>
      <w:lvlText w:val="-"/>
      <w:lvlJc w:val="left"/>
      <w:pPr/>
      <w:rPr>
        <w:rFonts w:ascii="Book Antiqua" w:cs="Book Antiqua" w:hAnsi="Book Antiqua" w:eastAsia="Book Antiqua"/>
        <w:position w:val="0"/>
      </w:rPr>
    </w:lvl>
    <w:lvl w:ilvl="1">
      <w:start w:val="1"/>
      <w:numFmt w:val="bullet"/>
      <w:suff w:val="tab"/>
      <w:lvlText w:val="o"/>
      <w:lvlJc w:val="left"/>
      <w:pPr/>
      <w:rPr>
        <w:rFonts w:ascii="Book Antiqua" w:cs="Book Antiqua" w:hAnsi="Book Antiqua" w:eastAsia="Book Antiqua"/>
        <w:position w:val="0"/>
      </w:rPr>
    </w:lvl>
    <w:lvl w:ilvl="2">
      <w:start w:val="1"/>
      <w:numFmt w:val="bullet"/>
      <w:suff w:val="tab"/>
      <w:lvlText w:val="▪"/>
      <w:lvlJc w:val="left"/>
      <w:pPr/>
      <w:rPr>
        <w:rFonts w:ascii="Book Antiqua" w:cs="Book Antiqua" w:hAnsi="Book Antiqua" w:eastAsia="Book Antiqua"/>
        <w:position w:val="0"/>
      </w:rPr>
    </w:lvl>
    <w:lvl w:ilvl="3">
      <w:start w:val="1"/>
      <w:numFmt w:val="bullet"/>
      <w:suff w:val="tab"/>
      <w:lvlText w:val="•"/>
      <w:lvlJc w:val="left"/>
      <w:pPr/>
      <w:rPr>
        <w:rFonts w:ascii="Book Antiqua" w:cs="Book Antiqua" w:hAnsi="Book Antiqua" w:eastAsia="Book Antiqua"/>
        <w:position w:val="0"/>
      </w:rPr>
    </w:lvl>
    <w:lvl w:ilvl="4">
      <w:start w:val="1"/>
      <w:numFmt w:val="bullet"/>
      <w:suff w:val="tab"/>
      <w:lvlText w:val="o"/>
      <w:lvlJc w:val="left"/>
      <w:pPr/>
      <w:rPr>
        <w:rFonts w:ascii="Book Antiqua" w:cs="Book Antiqua" w:hAnsi="Book Antiqua" w:eastAsia="Book Antiqua"/>
        <w:position w:val="0"/>
      </w:rPr>
    </w:lvl>
    <w:lvl w:ilvl="5">
      <w:start w:val="1"/>
      <w:numFmt w:val="bullet"/>
      <w:suff w:val="tab"/>
      <w:lvlText w:val="▪"/>
      <w:lvlJc w:val="left"/>
      <w:pPr/>
      <w:rPr>
        <w:rFonts w:ascii="Book Antiqua" w:cs="Book Antiqua" w:hAnsi="Book Antiqua" w:eastAsia="Book Antiqua"/>
        <w:position w:val="0"/>
      </w:rPr>
    </w:lvl>
    <w:lvl w:ilvl="6">
      <w:start w:val="1"/>
      <w:numFmt w:val="bullet"/>
      <w:suff w:val="tab"/>
      <w:lvlText w:val="•"/>
      <w:lvlJc w:val="left"/>
      <w:pPr/>
      <w:rPr>
        <w:rFonts w:ascii="Book Antiqua" w:cs="Book Antiqua" w:hAnsi="Book Antiqua" w:eastAsia="Book Antiqua"/>
        <w:position w:val="0"/>
      </w:rPr>
    </w:lvl>
    <w:lvl w:ilvl="7">
      <w:start w:val="1"/>
      <w:numFmt w:val="bullet"/>
      <w:suff w:val="tab"/>
      <w:lvlText w:val="o"/>
      <w:lvlJc w:val="left"/>
      <w:pPr/>
      <w:rPr>
        <w:rFonts w:ascii="Book Antiqua" w:cs="Book Antiqua" w:hAnsi="Book Antiqua" w:eastAsia="Book Antiqua"/>
        <w:position w:val="0"/>
      </w:rPr>
    </w:lvl>
    <w:lvl w:ilvl="8">
      <w:start w:val="1"/>
      <w:numFmt w:val="bullet"/>
      <w:suff w:val="tab"/>
      <w:lvlText w:val="▪"/>
      <w:lvlJc w:val="left"/>
      <w:pPr/>
      <w:rPr>
        <w:rFonts w:ascii="Book Antiqua" w:cs="Book Antiqua" w:hAnsi="Book Antiqua" w:eastAsia="Book Antiqua"/>
        <w:position w:val="0"/>
      </w:rPr>
    </w:lvl>
  </w:abstractNum>
  <w:abstractNum w:abstractNumId="126">
    <w:multiLevelType w:val="multilevel"/>
    <w:styleLink w:val="List 25"/>
    <w:lvl w:ilvl="0">
      <w:start w:val="0"/>
      <w:numFmt w:val="bullet"/>
      <w:suff w:val="tab"/>
      <w:lvlText w:val="-"/>
      <w:lvlJc w:val="left"/>
      <w:pPr/>
      <w:rPr>
        <w:rFonts w:ascii="Book Antiqua" w:cs="Book Antiqua" w:hAnsi="Book Antiqua" w:eastAsia="Book Antiqua"/>
        <w:position w:val="0"/>
      </w:rPr>
    </w:lvl>
    <w:lvl w:ilvl="1">
      <w:start w:val="1"/>
      <w:numFmt w:val="bullet"/>
      <w:suff w:val="tab"/>
      <w:lvlText w:val="o"/>
      <w:lvlJc w:val="left"/>
      <w:pPr/>
      <w:rPr>
        <w:rFonts w:ascii="Book Antiqua" w:cs="Book Antiqua" w:hAnsi="Book Antiqua" w:eastAsia="Book Antiqua"/>
        <w:position w:val="0"/>
      </w:rPr>
    </w:lvl>
    <w:lvl w:ilvl="2">
      <w:start w:val="1"/>
      <w:numFmt w:val="bullet"/>
      <w:suff w:val="tab"/>
      <w:lvlText w:val="▪"/>
      <w:lvlJc w:val="left"/>
      <w:pPr/>
      <w:rPr>
        <w:rFonts w:ascii="Book Antiqua" w:cs="Book Antiqua" w:hAnsi="Book Antiqua" w:eastAsia="Book Antiqua"/>
        <w:position w:val="0"/>
      </w:rPr>
    </w:lvl>
    <w:lvl w:ilvl="3">
      <w:start w:val="1"/>
      <w:numFmt w:val="bullet"/>
      <w:suff w:val="tab"/>
      <w:lvlText w:val="•"/>
      <w:lvlJc w:val="left"/>
      <w:pPr/>
      <w:rPr>
        <w:rFonts w:ascii="Book Antiqua" w:cs="Book Antiqua" w:hAnsi="Book Antiqua" w:eastAsia="Book Antiqua"/>
        <w:position w:val="0"/>
      </w:rPr>
    </w:lvl>
    <w:lvl w:ilvl="4">
      <w:start w:val="1"/>
      <w:numFmt w:val="bullet"/>
      <w:suff w:val="tab"/>
      <w:lvlText w:val="o"/>
      <w:lvlJc w:val="left"/>
      <w:pPr/>
      <w:rPr>
        <w:rFonts w:ascii="Book Antiqua" w:cs="Book Antiqua" w:hAnsi="Book Antiqua" w:eastAsia="Book Antiqua"/>
        <w:position w:val="0"/>
      </w:rPr>
    </w:lvl>
    <w:lvl w:ilvl="5">
      <w:start w:val="1"/>
      <w:numFmt w:val="bullet"/>
      <w:suff w:val="tab"/>
      <w:lvlText w:val="▪"/>
      <w:lvlJc w:val="left"/>
      <w:pPr/>
      <w:rPr>
        <w:rFonts w:ascii="Book Antiqua" w:cs="Book Antiqua" w:hAnsi="Book Antiqua" w:eastAsia="Book Antiqua"/>
        <w:position w:val="0"/>
      </w:rPr>
    </w:lvl>
    <w:lvl w:ilvl="6">
      <w:start w:val="1"/>
      <w:numFmt w:val="bullet"/>
      <w:suff w:val="tab"/>
      <w:lvlText w:val="•"/>
      <w:lvlJc w:val="left"/>
      <w:pPr/>
      <w:rPr>
        <w:rFonts w:ascii="Book Antiqua" w:cs="Book Antiqua" w:hAnsi="Book Antiqua" w:eastAsia="Book Antiqua"/>
        <w:position w:val="0"/>
      </w:rPr>
    </w:lvl>
    <w:lvl w:ilvl="7">
      <w:start w:val="1"/>
      <w:numFmt w:val="bullet"/>
      <w:suff w:val="tab"/>
      <w:lvlText w:val="o"/>
      <w:lvlJc w:val="left"/>
      <w:pPr/>
      <w:rPr>
        <w:rFonts w:ascii="Book Antiqua" w:cs="Book Antiqua" w:hAnsi="Book Antiqua" w:eastAsia="Book Antiqua"/>
        <w:position w:val="0"/>
      </w:rPr>
    </w:lvl>
    <w:lvl w:ilvl="8">
      <w:start w:val="1"/>
      <w:numFmt w:val="bullet"/>
      <w:suff w:val="tab"/>
      <w:lvlText w:val="▪"/>
      <w:lvlJc w:val="left"/>
      <w:pPr/>
      <w:rPr>
        <w:rFonts w:ascii="Book Antiqua" w:cs="Book Antiqua" w:hAnsi="Book Antiqua" w:eastAsia="Book Antiqua"/>
        <w:position w:val="0"/>
      </w:rPr>
    </w:lvl>
  </w:abstractNum>
  <w:abstractNum w:abstractNumId="127">
    <w:multiLevelType w:val="multilevel"/>
    <w:styleLink w:val="List 25"/>
    <w:lvl w:ilvl="0">
      <w:start w:val="0"/>
      <w:numFmt w:val="bullet"/>
      <w:suff w:val="tab"/>
      <w:lvlText w:val="-"/>
      <w:lvlJc w:val="left"/>
      <w:pPr/>
      <w:rPr>
        <w:rFonts w:ascii="Book Antiqua" w:cs="Book Antiqua" w:hAnsi="Book Antiqua" w:eastAsia="Book Antiqua"/>
        <w:position w:val="0"/>
      </w:rPr>
    </w:lvl>
    <w:lvl w:ilvl="1">
      <w:start w:val="1"/>
      <w:numFmt w:val="bullet"/>
      <w:suff w:val="tab"/>
      <w:lvlText w:val="o"/>
      <w:lvlJc w:val="left"/>
      <w:pPr/>
      <w:rPr>
        <w:rFonts w:ascii="Book Antiqua" w:cs="Book Antiqua" w:hAnsi="Book Antiqua" w:eastAsia="Book Antiqua"/>
        <w:position w:val="0"/>
      </w:rPr>
    </w:lvl>
    <w:lvl w:ilvl="2">
      <w:start w:val="1"/>
      <w:numFmt w:val="bullet"/>
      <w:suff w:val="tab"/>
      <w:lvlText w:val="▪"/>
      <w:lvlJc w:val="left"/>
      <w:pPr/>
      <w:rPr>
        <w:rFonts w:ascii="Book Antiqua" w:cs="Book Antiqua" w:hAnsi="Book Antiqua" w:eastAsia="Book Antiqua"/>
        <w:position w:val="0"/>
      </w:rPr>
    </w:lvl>
    <w:lvl w:ilvl="3">
      <w:start w:val="1"/>
      <w:numFmt w:val="bullet"/>
      <w:suff w:val="tab"/>
      <w:lvlText w:val="•"/>
      <w:lvlJc w:val="left"/>
      <w:pPr/>
      <w:rPr>
        <w:rFonts w:ascii="Book Antiqua" w:cs="Book Antiqua" w:hAnsi="Book Antiqua" w:eastAsia="Book Antiqua"/>
        <w:position w:val="0"/>
      </w:rPr>
    </w:lvl>
    <w:lvl w:ilvl="4">
      <w:start w:val="1"/>
      <w:numFmt w:val="bullet"/>
      <w:suff w:val="tab"/>
      <w:lvlText w:val="o"/>
      <w:lvlJc w:val="left"/>
      <w:pPr/>
      <w:rPr>
        <w:rFonts w:ascii="Book Antiqua" w:cs="Book Antiqua" w:hAnsi="Book Antiqua" w:eastAsia="Book Antiqua"/>
        <w:position w:val="0"/>
      </w:rPr>
    </w:lvl>
    <w:lvl w:ilvl="5">
      <w:start w:val="1"/>
      <w:numFmt w:val="bullet"/>
      <w:suff w:val="tab"/>
      <w:lvlText w:val="▪"/>
      <w:lvlJc w:val="left"/>
      <w:pPr/>
      <w:rPr>
        <w:rFonts w:ascii="Book Antiqua" w:cs="Book Antiqua" w:hAnsi="Book Antiqua" w:eastAsia="Book Antiqua"/>
        <w:position w:val="0"/>
      </w:rPr>
    </w:lvl>
    <w:lvl w:ilvl="6">
      <w:start w:val="1"/>
      <w:numFmt w:val="bullet"/>
      <w:suff w:val="tab"/>
      <w:lvlText w:val="•"/>
      <w:lvlJc w:val="left"/>
      <w:pPr/>
      <w:rPr>
        <w:rFonts w:ascii="Book Antiqua" w:cs="Book Antiqua" w:hAnsi="Book Antiqua" w:eastAsia="Book Antiqua"/>
        <w:position w:val="0"/>
      </w:rPr>
    </w:lvl>
    <w:lvl w:ilvl="7">
      <w:start w:val="1"/>
      <w:numFmt w:val="bullet"/>
      <w:suff w:val="tab"/>
      <w:lvlText w:val="o"/>
      <w:lvlJc w:val="left"/>
      <w:pPr/>
      <w:rPr>
        <w:rFonts w:ascii="Book Antiqua" w:cs="Book Antiqua" w:hAnsi="Book Antiqua" w:eastAsia="Book Antiqua"/>
        <w:position w:val="0"/>
      </w:rPr>
    </w:lvl>
    <w:lvl w:ilvl="8">
      <w:start w:val="1"/>
      <w:numFmt w:val="bullet"/>
      <w:suff w:val="tab"/>
      <w:lvlText w:val="▪"/>
      <w:lvlJc w:val="left"/>
      <w:pPr/>
      <w:rPr>
        <w:rFonts w:ascii="Book Antiqua" w:cs="Book Antiqua" w:hAnsi="Book Antiqua" w:eastAsia="Book Antiqua"/>
        <w:position w:val="0"/>
      </w:rPr>
    </w:lvl>
  </w:abstractNum>
  <w:abstractNum w:abstractNumId="128">
    <w:multiLevelType w:val="multilevel"/>
    <w:styleLink w:val="List 25"/>
    <w:lvl w:ilvl="0">
      <w:start w:val="0"/>
      <w:numFmt w:val="bullet"/>
      <w:suff w:val="tab"/>
      <w:lvlText w:val="-"/>
      <w:lvlJc w:val="left"/>
      <w:pPr/>
      <w:rPr>
        <w:rFonts w:ascii="Book Antiqua" w:cs="Book Antiqua" w:hAnsi="Book Antiqua" w:eastAsia="Book Antiqua"/>
        <w:position w:val="0"/>
      </w:rPr>
    </w:lvl>
    <w:lvl w:ilvl="1">
      <w:start w:val="1"/>
      <w:numFmt w:val="bullet"/>
      <w:suff w:val="tab"/>
      <w:lvlText w:val="o"/>
      <w:lvlJc w:val="left"/>
      <w:pPr/>
      <w:rPr>
        <w:rFonts w:ascii="Book Antiqua" w:cs="Book Antiqua" w:hAnsi="Book Antiqua" w:eastAsia="Book Antiqua"/>
        <w:position w:val="0"/>
      </w:rPr>
    </w:lvl>
    <w:lvl w:ilvl="2">
      <w:start w:val="1"/>
      <w:numFmt w:val="bullet"/>
      <w:suff w:val="tab"/>
      <w:lvlText w:val="▪"/>
      <w:lvlJc w:val="left"/>
      <w:pPr/>
      <w:rPr>
        <w:rFonts w:ascii="Book Antiqua" w:cs="Book Antiqua" w:hAnsi="Book Antiqua" w:eastAsia="Book Antiqua"/>
        <w:position w:val="0"/>
      </w:rPr>
    </w:lvl>
    <w:lvl w:ilvl="3">
      <w:start w:val="1"/>
      <w:numFmt w:val="bullet"/>
      <w:suff w:val="tab"/>
      <w:lvlText w:val="•"/>
      <w:lvlJc w:val="left"/>
      <w:pPr/>
      <w:rPr>
        <w:rFonts w:ascii="Book Antiqua" w:cs="Book Antiqua" w:hAnsi="Book Antiqua" w:eastAsia="Book Antiqua"/>
        <w:position w:val="0"/>
      </w:rPr>
    </w:lvl>
    <w:lvl w:ilvl="4">
      <w:start w:val="1"/>
      <w:numFmt w:val="bullet"/>
      <w:suff w:val="tab"/>
      <w:lvlText w:val="o"/>
      <w:lvlJc w:val="left"/>
      <w:pPr/>
      <w:rPr>
        <w:rFonts w:ascii="Book Antiqua" w:cs="Book Antiqua" w:hAnsi="Book Antiqua" w:eastAsia="Book Antiqua"/>
        <w:position w:val="0"/>
      </w:rPr>
    </w:lvl>
    <w:lvl w:ilvl="5">
      <w:start w:val="1"/>
      <w:numFmt w:val="bullet"/>
      <w:suff w:val="tab"/>
      <w:lvlText w:val="▪"/>
      <w:lvlJc w:val="left"/>
      <w:pPr/>
      <w:rPr>
        <w:rFonts w:ascii="Book Antiqua" w:cs="Book Antiqua" w:hAnsi="Book Antiqua" w:eastAsia="Book Antiqua"/>
        <w:position w:val="0"/>
      </w:rPr>
    </w:lvl>
    <w:lvl w:ilvl="6">
      <w:start w:val="1"/>
      <w:numFmt w:val="bullet"/>
      <w:suff w:val="tab"/>
      <w:lvlText w:val="•"/>
      <w:lvlJc w:val="left"/>
      <w:pPr/>
      <w:rPr>
        <w:rFonts w:ascii="Book Antiqua" w:cs="Book Antiqua" w:hAnsi="Book Antiqua" w:eastAsia="Book Antiqua"/>
        <w:position w:val="0"/>
      </w:rPr>
    </w:lvl>
    <w:lvl w:ilvl="7">
      <w:start w:val="1"/>
      <w:numFmt w:val="bullet"/>
      <w:suff w:val="tab"/>
      <w:lvlText w:val="o"/>
      <w:lvlJc w:val="left"/>
      <w:pPr/>
      <w:rPr>
        <w:rFonts w:ascii="Book Antiqua" w:cs="Book Antiqua" w:hAnsi="Book Antiqua" w:eastAsia="Book Antiqua"/>
        <w:position w:val="0"/>
      </w:rPr>
    </w:lvl>
    <w:lvl w:ilvl="8">
      <w:start w:val="1"/>
      <w:numFmt w:val="bullet"/>
      <w:suff w:val="tab"/>
      <w:lvlText w:val="▪"/>
      <w:lvlJc w:val="left"/>
      <w:pPr/>
      <w:rPr>
        <w:rFonts w:ascii="Book Antiqua" w:cs="Book Antiqua" w:hAnsi="Book Antiqua" w:eastAsia="Book Antiqua"/>
        <w:position w:val="0"/>
      </w:rPr>
    </w:lvl>
  </w:abstractNum>
  <w:abstractNum w:abstractNumId="129">
    <w:multiLevelType w:val="multilevel"/>
    <w:lvl w:ilvl="0">
      <w:start w:val="1"/>
      <w:numFmt w:val="bullet"/>
      <w:suff w:val="tab"/>
      <w:lvlText w:val="-"/>
      <w:lvlJc w:val="left"/>
      <w:pPr/>
      <w:rPr>
        <w:rFonts w:ascii="Book Antiqua" w:cs="Book Antiqua" w:hAnsi="Book Antiqua" w:eastAsia="Book Antiqua"/>
        <w:position w:val="0"/>
      </w:rPr>
    </w:lvl>
    <w:lvl w:ilvl="1">
      <w:start w:val="1"/>
      <w:numFmt w:val="bullet"/>
      <w:suff w:val="tab"/>
      <w:lvlText w:val="o"/>
      <w:lvlJc w:val="left"/>
      <w:pPr/>
      <w:rPr>
        <w:rFonts w:ascii="Book Antiqua" w:cs="Book Antiqua" w:hAnsi="Book Antiqua" w:eastAsia="Book Antiqua"/>
        <w:position w:val="0"/>
      </w:rPr>
    </w:lvl>
    <w:lvl w:ilvl="2">
      <w:start w:val="1"/>
      <w:numFmt w:val="bullet"/>
      <w:suff w:val="tab"/>
      <w:lvlText w:val="▪"/>
      <w:lvlJc w:val="left"/>
      <w:pPr/>
      <w:rPr>
        <w:rFonts w:ascii="Book Antiqua" w:cs="Book Antiqua" w:hAnsi="Book Antiqua" w:eastAsia="Book Antiqua"/>
        <w:position w:val="0"/>
      </w:rPr>
    </w:lvl>
    <w:lvl w:ilvl="3">
      <w:start w:val="1"/>
      <w:numFmt w:val="bullet"/>
      <w:suff w:val="tab"/>
      <w:lvlText w:val="•"/>
      <w:lvlJc w:val="left"/>
      <w:pPr/>
      <w:rPr>
        <w:rFonts w:ascii="Book Antiqua" w:cs="Book Antiqua" w:hAnsi="Book Antiqua" w:eastAsia="Book Antiqua"/>
        <w:position w:val="0"/>
      </w:rPr>
    </w:lvl>
    <w:lvl w:ilvl="4">
      <w:start w:val="1"/>
      <w:numFmt w:val="bullet"/>
      <w:suff w:val="tab"/>
      <w:lvlText w:val="o"/>
      <w:lvlJc w:val="left"/>
      <w:pPr/>
      <w:rPr>
        <w:rFonts w:ascii="Book Antiqua" w:cs="Book Antiqua" w:hAnsi="Book Antiqua" w:eastAsia="Book Antiqua"/>
        <w:position w:val="0"/>
      </w:rPr>
    </w:lvl>
    <w:lvl w:ilvl="5">
      <w:start w:val="1"/>
      <w:numFmt w:val="bullet"/>
      <w:suff w:val="tab"/>
      <w:lvlText w:val="▪"/>
      <w:lvlJc w:val="left"/>
      <w:pPr/>
      <w:rPr>
        <w:rFonts w:ascii="Book Antiqua" w:cs="Book Antiqua" w:hAnsi="Book Antiqua" w:eastAsia="Book Antiqua"/>
        <w:position w:val="0"/>
      </w:rPr>
    </w:lvl>
    <w:lvl w:ilvl="6">
      <w:start w:val="1"/>
      <w:numFmt w:val="bullet"/>
      <w:suff w:val="tab"/>
      <w:lvlText w:val="•"/>
      <w:lvlJc w:val="left"/>
      <w:pPr/>
      <w:rPr>
        <w:rFonts w:ascii="Book Antiqua" w:cs="Book Antiqua" w:hAnsi="Book Antiqua" w:eastAsia="Book Antiqua"/>
        <w:position w:val="0"/>
      </w:rPr>
    </w:lvl>
    <w:lvl w:ilvl="7">
      <w:start w:val="1"/>
      <w:numFmt w:val="bullet"/>
      <w:suff w:val="tab"/>
      <w:lvlText w:val="o"/>
      <w:lvlJc w:val="left"/>
      <w:pPr/>
      <w:rPr>
        <w:rFonts w:ascii="Book Antiqua" w:cs="Book Antiqua" w:hAnsi="Book Antiqua" w:eastAsia="Book Antiqua"/>
        <w:position w:val="0"/>
      </w:rPr>
    </w:lvl>
    <w:lvl w:ilvl="8">
      <w:start w:val="1"/>
      <w:numFmt w:val="bullet"/>
      <w:suff w:val="tab"/>
      <w:lvlText w:val="▪"/>
      <w:lvlJc w:val="left"/>
      <w:pPr/>
      <w:rPr>
        <w:rFonts w:ascii="Book Antiqua" w:cs="Book Antiqua" w:hAnsi="Book Antiqua" w:eastAsia="Book Antiqua"/>
        <w:position w:val="0"/>
      </w:rPr>
    </w:lvl>
  </w:abstractNum>
  <w:abstractNum w:abstractNumId="130">
    <w:multiLevelType w:val="multilevel"/>
    <w:lvl w:ilvl="0">
      <w:start w:val="1"/>
      <w:numFmt w:val="bullet"/>
      <w:suff w:val="tab"/>
      <w:lvlText w:val="-"/>
      <w:lvlJc w:val="left"/>
      <w:pPr/>
      <w:rPr>
        <w:position w:val="0"/>
      </w:rPr>
    </w:lvl>
    <w:lvl w:ilvl="1">
      <w:start w:val="1"/>
      <w:numFmt w:val="bullet"/>
      <w:suff w:val="tab"/>
      <w:lvlText w:val="o"/>
      <w:lvlJc w:val="left"/>
      <w:pPr/>
      <w:rPr>
        <w:position w:val="0"/>
      </w:rPr>
    </w:lvl>
    <w:lvl w:ilvl="2">
      <w:start w:val="1"/>
      <w:numFmt w:val="bullet"/>
      <w:suff w:val="tab"/>
      <w:lvlText w:val="▪"/>
      <w:lvlJc w:val="left"/>
      <w:pPr/>
      <w:rPr>
        <w:position w:val="0"/>
      </w:rPr>
    </w:lvl>
    <w:lvl w:ilvl="3">
      <w:start w:val="1"/>
      <w:numFmt w:val="bullet"/>
      <w:suff w:val="tab"/>
      <w:lvlText w:val="•"/>
      <w:lvlJc w:val="left"/>
      <w:pPr/>
      <w:rPr>
        <w:position w:val="0"/>
      </w:rPr>
    </w:lvl>
    <w:lvl w:ilvl="4">
      <w:start w:val="1"/>
      <w:numFmt w:val="bullet"/>
      <w:suff w:val="tab"/>
      <w:lvlText w:val="o"/>
      <w:lvlJc w:val="left"/>
      <w:pPr/>
      <w:rPr>
        <w:position w:val="0"/>
      </w:rPr>
    </w:lvl>
    <w:lvl w:ilvl="5">
      <w:start w:val="1"/>
      <w:numFmt w:val="bullet"/>
      <w:suff w:val="tab"/>
      <w:lvlText w:val="▪"/>
      <w:lvlJc w:val="left"/>
      <w:pPr/>
      <w:rPr>
        <w:position w:val="0"/>
      </w:rPr>
    </w:lvl>
    <w:lvl w:ilvl="6">
      <w:start w:val="1"/>
      <w:numFmt w:val="bullet"/>
      <w:suff w:val="tab"/>
      <w:lvlText w:val="•"/>
      <w:lvlJc w:val="left"/>
      <w:pPr/>
      <w:rPr>
        <w:position w:val="0"/>
      </w:rPr>
    </w:lvl>
    <w:lvl w:ilvl="7">
      <w:start w:val="1"/>
      <w:numFmt w:val="bullet"/>
      <w:suff w:val="tab"/>
      <w:lvlText w:val="o"/>
      <w:lvlJc w:val="left"/>
      <w:pPr/>
      <w:rPr>
        <w:position w:val="0"/>
      </w:rPr>
    </w:lvl>
    <w:lvl w:ilvl="8">
      <w:start w:val="1"/>
      <w:numFmt w:val="bullet"/>
      <w:suff w:val="tab"/>
      <w:lvlText w:val="▪"/>
      <w:lvlJc w:val="left"/>
      <w:pPr/>
      <w:rPr>
        <w:position w:val="0"/>
      </w:rPr>
    </w:lvl>
  </w:abstractNum>
  <w:abstractNum w:abstractNumId="131">
    <w:multiLevelType w:val="multilevel"/>
    <w:styleLink w:val="List 26"/>
    <w:lvl w:ilvl="0">
      <w:start w:val="0"/>
      <w:numFmt w:val="bullet"/>
      <w:suff w:val="tab"/>
      <w:lvlText w:val="-"/>
      <w:lvlJc w:val="left"/>
      <w:pPr/>
      <w:rPr>
        <w:rFonts w:ascii="Book Antiqua" w:cs="Book Antiqua" w:hAnsi="Book Antiqua" w:eastAsia="Book Antiqua"/>
        <w:position w:val="0"/>
      </w:rPr>
    </w:lvl>
    <w:lvl w:ilvl="1">
      <w:start w:val="1"/>
      <w:numFmt w:val="bullet"/>
      <w:suff w:val="tab"/>
      <w:lvlText w:val="o"/>
      <w:lvlJc w:val="left"/>
      <w:pPr/>
      <w:rPr>
        <w:rFonts w:ascii="Book Antiqua" w:cs="Book Antiqua" w:hAnsi="Book Antiqua" w:eastAsia="Book Antiqua"/>
        <w:position w:val="0"/>
      </w:rPr>
    </w:lvl>
    <w:lvl w:ilvl="2">
      <w:start w:val="1"/>
      <w:numFmt w:val="bullet"/>
      <w:suff w:val="tab"/>
      <w:lvlText w:val="▪"/>
      <w:lvlJc w:val="left"/>
      <w:pPr/>
      <w:rPr>
        <w:rFonts w:ascii="Book Antiqua" w:cs="Book Antiqua" w:hAnsi="Book Antiqua" w:eastAsia="Book Antiqua"/>
        <w:position w:val="0"/>
      </w:rPr>
    </w:lvl>
    <w:lvl w:ilvl="3">
      <w:start w:val="1"/>
      <w:numFmt w:val="bullet"/>
      <w:suff w:val="tab"/>
      <w:lvlText w:val="•"/>
      <w:lvlJc w:val="left"/>
      <w:pPr/>
      <w:rPr>
        <w:rFonts w:ascii="Book Antiqua" w:cs="Book Antiqua" w:hAnsi="Book Antiqua" w:eastAsia="Book Antiqua"/>
        <w:position w:val="0"/>
      </w:rPr>
    </w:lvl>
    <w:lvl w:ilvl="4">
      <w:start w:val="1"/>
      <w:numFmt w:val="bullet"/>
      <w:suff w:val="tab"/>
      <w:lvlText w:val="o"/>
      <w:lvlJc w:val="left"/>
      <w:pPr/>
      <w:rPr>
        <w:rFonts w:ascii="Book Antiqua" w:cs="Book Antiqua" w:hAnsi="Book Antiqua" w:eastAsia="Book Antiqua"/>
        <w:position w:val="0"/>
      </w:rPr>
    </w:lvl>
    <w:lvl w:ilvl="5">
      <w:start w:val="1"/>
      <w:numFmt w:val="bullet"/>
      <w:suff w:val="tab"/>
      <w:lvlText w:val="▪"/>
      <w:lvlJc w:val="left"/>
      <w:pPr/>
      <w:rPr>
        <w:rFonts w:ascii="Book Antiqua" w:cs="Book Antiqua" w:hAnsi="Book Antiqua" w:eastAsia="Book Antiqua"/>
        <w:position w:val="0"/>
      </w:rPr>
    </w:lvl>
    <w:lvl w:ilvl="6">
      <w:start w:val="1"/>
      <w:numFmt w:val="bullet"/>
      <w:suff w:val="tab"/>
      <w:lvlText w:val="•"/>
      <w:lvlJc w:val="left"/>
      <w:pPr/>
      <w:rPr>
        <w:rFonts w:ascii="Book Antiqua" w:cs="Book Antiqua" w:hAnsi="Book Antiqua" w:eastAsia="Book Antiqua"/>
        <w:position w:val="0"/>
      </w:rPr>
    </w:lvl>
    <w:lvl w:ilvl="7">
      <w:start w:val="1"/>
      <w:numFmt w:val="bullet"/>
      <w:suff w:val="tab"/>
      <w:lvlText w:val="o"/>
      <w:lvlJc w:val="left"/>
      <w:pPr/>
      <w:rPr>
        <w:rFonts w:ascii="Book Antiqua" w:cs="Book Antiqua" w:hAnsi="Book Antiqua" w:eastAsia="Book Antiqua"/>
        <w:position w:val="0"/>
      </w:rPr>
    </w:lvl>
    <w:lvl w:ilvl="8">
      <w:start w:val="1"/>
      <w:numFmt w:val="bullet"/>
      <w:suff w:val="tab"/>
      <w:lvlText w:val="▪"/>
      <w:lvlJc w:val="left"/>
      <w:pPr/>
      <w:rPr>
        <w:rFonts w:ascii="Book Antiqua" w:cs="Book Antiqua" w:hAnsi="Book Antiqua" w:eastAsia="Book Antiqua"/>
        <w:position w:val="0"/>
      </w:rPr>
    </w:lvl>
  </w:abstractNum>
  <w:abstractNum w:abstractNumId="132">
    <w:multiLevelType w:val="multilevel"/>
    <w:styleLink w:val="List 26"/>
    <w:lvl w:ilvl="0">
      <w:start w:val="0"/>
      <w:numFmt w:val="bullet"/>
      <w:suff w:val="tab"/>
      <w:lvlText w:val="-"/>
      <w:lvlJc w:val="left"/>
      <w:pPr/>
      <w:rPr>
        <w:rFonts w:ascii="Book Antiqua" w:cs="Book Antiqua" w:hAnsi="Book Antiqua" w:eastAsia="Book Antiqua"/>
        <w:position w:val="0"/>
      </w:rPr>
    </w:lvl>
    <w:lvl w:ilvl="1">
      <w:start w:val="1"/>
      <w:numFmt w:val="bullet"/>
      <w:suff w:val="tab"/>
      <w:lvlText w:val="o"/>
      <w:lvlJc w:val="left"/>
      <w:pPr/>
      <w:rPr>
        <w:rFonts w:ascii="Book Antiqua" w:cs="Book Antiqua" w:hAnsi="Book Antiqua" w:eastAsia="Book Antiqua"/>
        <w:position w:val="0"/>
      </w:rPr>
    </w:lvl>
    <w:lvl w:ilvl="2">
      <w:start w:val="1"/>
      <w:numFmt w:val="bullet"/>
      <w:suff w:val="tab"/>
      <w:lvlText w:val="▪"/>
      <w:lvlJc w:val="left"/>
      <w:pPr/>
      <w:rPr>
        <w:rFonts w:ascii="Book Antiqua" w:cs="Book Antiqua" w:hAnsi="Book Antiqua" w:eastAsia="Book Antiqua"/>
        <w:position w:val="0"/>
      </w:rPr>
    </w:lvl>
    <w:lvl w:ilvl="3">
      <w:start w:val="1"/>
      <w:numFmt w:val="bullet"/>
      <w:suff w:val="tab"/>
      <w:lvlText w:val="•"/>
      <w:lvlJc w:val="left"/>
      <w:pPr/>
      <w:rPr>
        <w:rFonts w:ascii="Book Antiqua" w:cs="Book Antiqua" w:hAnsi="Book Antiqua" w:eastAsia="Book Antiqua"/>
        <w:position w:val="0"/>
      </w:rPr>
    </w:lvl>
    <w:lvl w:ilvl="4">
      <w:start w:val="1"/>
      <w:numFmt w:val="bullet"/>
      <w:suff w:val="tab"/>
      <w:lvlText w:val="o"/>
      <w:lvlJc w:val="left"/>
      <w:pPr/>
      <w:rPr>
        <w:rFonts w:ascii="Book Antiqua" w:cs="Book Antiqua" w:hAnsi="Book Antiqua" w:eastAsia="Book Antiqua"/>
        <w:position w:val="0"/>
      </w:rPr>
    </w:lvl>
    <w:lvl w:ilvl="5">
      <w:start w:val="1"/>
      <w:numFmt w:val="bullet"/>
      <w:suff w:val="tab"/>
      <w:lvlText w:val="▪"/>
      <w:lvlJc w:val="left"/>
      <w:pPr/>
      <w:rPr>
        <w:rFonts w:ascii="Book Antiqua" w:cs="Book Antiqua" w:hAnsi="Book Antiqua" w:eastAsia="Book Antiqua"/>
        <w:position w:val="0"/>
      </w:rPr>
    </w:lvl>
    <w:lvl w:ilvl="6">
      <w:start w:val="1"/>
      <w:numFmt w:val="bullet"/>
      <w:suff w:val="tab"/>
      <w:lvlText w:val="•"/>
      <w:lvlJc w:val="left"/>
      <w:pPr/>
      <w:rPr>
        <w:rFonts w:ascii="Book Antiqua" w:cs="Book Antiqua" w:hAnsi="Book Antiqua" w:eastAsia="Book Antiqua"/>
        <w:position w:val="0"/>
      </w:rPr>
    </w:lvl>
    <w:lvl w:ilvl="7">
      <w:start w:val="1"/>
      <w:numFmt w:val="bullet"/>
      <w:suff w:val="tab"/>
      <w:lvlText w:val="o"/>
      <w:lvlJc w:val="left"/>
      <w:pPr/>
      <w:rPr>
        <w:rFonts w:ascii="Book Antiqua" w:cs="Book Antiqua" w:hAnsi="Book Antiqua" w:eastAsia="Book Antiqua"/>
        <w:position w:val="0"/>
      </w:rPr>
    </w:lvl>
    <w:lvl w:ilvl="8">
      <w:start w:val="1"/>
      <w:numFmt w:val="bullet"/>
      <w:suff w:val="tab"/>
      <w:lvlText w:val="▪"/>
      <w:lvlJc w:val="left"/>
      <w:pPr/>
      <w:rPr>
        <w:rFonts w:ascii="Book Antiqua" w:cs="Book Antiqua" w:hAnsi="Book Antiqua" w:eastAsia="Book Antiqua"/>
        <w:position w:val="0"/>
      </w:rPr>
    </w:lvl>
  </w:abstractNum>
  <w:abstractNum w:abstractNumId="133">
    <w:multiLevelType w:val="multilevel"/>
    <w:styleLink w:val="List 26"/>
    <w:lvl w:ilvl="0">
      <w:start w:val="0"/>
      <w:numFmt w:val="bullet"/>
      <w:suff w:val="tab"/>
      <w:lvlText w:val="-"/>
      <w:lvlJc w:val="left"/>
      <w:pPr/>
      <w:rPr>
        <w:rFonts w:ascii="Book Antiqua" w:cs="Book Antiqua" w:hAnsi="Book Antiqua" w:eastAsia="Book Antiqua"/>
        <w:position w:val="0"/>
      </w:rPr>
    </w:lvl>
    <w:lvl w:ilvl="1">
      <w:start w:val="1"/>
      <w:numFmt w:val="bullet"/>
      <w:suff w:val="tab"/>
      <w:lvlText w:val="o"/>
      <w:lvlJc w:val="left"/>
      <w:pPr/>
      <w:rPr>
        <w:rFonts w:ascii="Book Antiqua" w:cs="Book Antiqua" w:hAnsi="Book Antiqua" w:eastAsia="Book Antiqua"/>
        <w:position w:val="0"/>
      </w:rPr>
    </w:lvl>
    <w:lvl w:ilvl="2">
      <w:start w:val="1"/>
      <w:numFmt w:val="bullet"/>
      <w:suff w:val="tab"/>
      <w:lvlText w:val="▪"/>
      <w:lvlJc w:val="left"/>
      <w:pPr/>
      <w:rPr>
        <w:rFonts w:ascii="Book Antiqua" w:cs="Book Antiqua" w:hAnsi="Book Antiqua" w:eastAsia="Book Antiqua"/>
        <w:position w:val="0"/>
      </w:rPr>
    </w:lvl>
    <w:lvl w:ilvl="3">
      <w:start w:val="1"/>
      <w:numFmt w:val="bullet"/>
      <w:suff w:val="tab"/>
      <w:lvlText w:val="•"/>
      <w:lvlJc w:val="left"/>
      <w:pPr/>
      <w:rPr>
        <w:rFonts w:ascii="Book Antiqua" w:cs="Book Antiqua" w:hAnsi="Book Antiqua" w:eastAsia="Book Antiqua"/>
        <w:position w:val="0"/>
      </w:rPr>
    </w:lvl>
    <w:lvl w:ilvl="4">
      <w:start w:val="1"/>
      <w:numFmt w:val="bullet"/>
      <w:suff w:val="tab"/>
      <w:lvlText w:val="o"/>
      <w:lvlJc w:val="left"/>
      <w:pPr/>
      <w:rPr>
        <w:rFonts w:ascii="Book Antiqua" w:cs="Book Antiqua" w:hAnsi="Book Antiqua" w:eastAsia="Book Antiqua"/>
        <w:position w:val="0"/>
      </w:rPr>
    </w:lvl>
    <w:lvl w:ilvl="5">
      <w:start w:val="1"/>
      <w:numFmt w:val="bullet"/>
      <w:suff w:val="tab"/>
      <w:lvlText w:val="▪"/>
      <w:lvlJc w:val="left"/>
      <w:pPr/>
      <w:rPr>
        <w:rFonts w:ascii="Book Antiqua" w:cs="Book Antiqua" w:hAnsi="Book Antiqua" w:eastAsia="Book Antiqua"/>
        <w:position w:val="0"/>
      </w:rPr>
    </w:lvl>
    <w:lvl w:ilvl="6">
      <w:start w:val="1"/>
      <w:numFmt w:val="bullet"/>
      <w:suff w:val="tab"/>
      <w:lvlText w:val="•"/>
      <w:lvlJc w:val="left"/>
      <w:pPr/>
      <w:rPr>
        <w:rFonts w:ascii="Book Antiqua" w:cs="Book Antiqua" w:hAnsi="Book Antiqua" w:eastAsia="Book Antiqua"/>
        <w:position w:val="0"/>
      </w:rPr>
    </w:lvl>
    <w:lvl w:ilvl="7">
      <w:start w:val="1"/>
      <w:numFmt w:val="bullet"/>
      <w:suff w:val="tab"/>
      <w:lvlText w:val="o"/>
      <w:lvlJc w:val="left"/>
      <w:pPr/>
      <w:rPr>
        <w:rFonts w:ascii="Book Antiqua" w:cs="Book Antiqua" w:hAnsi="Book Antiqua" w:eastAsia="Book Antiqua"/>
        <w:position w:val="0"/>
      </w:rPr>
    </w:lvl>
    <w:lvl w:ilvl="8">
      <w:start w:val="1"/>
      <w:numFmt w:val="bullet"/>
      <w:suff w:val="tab"/>
      <w:lvlText w:val="▪"/>
      <w:lvlJc w:val="left"/>
      <w:pPr/>
      <w:rPr>
        <w:rFonts w:ascii="Book Antiqua" w:cs="Book Antiqua" w:hAnsi="Book Antiqua" w:eastAsia="Book Antiqua"/>
        <w:position w:val="0"/>
      </w:rPr>
    </w:lvl>
  </w:abstractNum>
  <w:abstractNum w:abstractNumId="134">
    <w:multiLevelType w:val="multilevel"/>
    <w:styleLink w:val="List 26"/>
    <w:lvl w:ilvl="0">
      <w:start w:val="0"/>
      <w:numFmt w:val="bullet"/>
      <w:suff w:val="tab"/>
      <w:lvlText w:val="-"/>
      <w:lvlJc w:val="left"/>
      <w:pPr/>
      <w:rPr>
        <w:rFonts w:ascii="Book Antiqua" w:cs="Book Antiqua" w:hAnsi="Book Antiqua" w:eastAsia="Book Antiqua"/>
        <w:position w:val="0"/>
      </w:rPr>
    </w:lvl>
    <w:lvl w:ilvl="1">
      <w:start w:val="1"/>
      <w:numFmt w:val="bullet"/>
      <w:suff w:val="tab"/>
      <w:lvlText w:val="o"/>
      <w:lvlJc w:val="left"/>
      <w:pPr/>
      <w:rPr>
        <w:rFonts w:ascii="Book Antiqua" w:cs="Book Antiqua" w:hAnsi="Book Antiqua" w:eastAsia="Book Antiqua"/>
        <w:position w:val="0"/>
      </w:rPr>
    </w:lvl>
    <w:lvl w:ilvl="2">
      <w:start w:val="1"/>
      <w:numFmt w:val="bullet"/>
      <w:suff w:val="tab"/>
      <w:lvlText w:val="▪"/>
      <w:lvlJc w:val="left"/>
      <w:pPr/>
      <w:rPr>
        <w:rFonts w:ascii="Book Antiqua" w:cs="Book Antiqua" w:hAnsi="Book Antiqua" w:eastAsia="Book Antiqua"/>
        <w:position w:val="0"/>
      </w:rPr>
    </w:lvl>
    <w:lvl w:ilvl="3">
      <w:start w:val="1"/>
      <w:numFmt w:val="bullet"/>
      <w:suff w:val="tab"/>
      <w:lvlText w:val="•"/>
      <w:lvlJc w:val="left"/>
      <w:pPr/>
      <w:rPr>
        <w:rFonts w:ascii="Book Antiqua" w:cs="Book Antiqua" w:hAnsi="Book Antiqua" w:eastAsia="Book Antiqua"/>
        <w:position w:val="0"/>
      </w:rPr>
    </w:lvl>
    <w:lvl w:ilvl="4">
      <w:start w:val="1"/>
      <w:numFmt w:val="bullet"/>
      <w:suff w:val="tab"/>
      <w:lvlText w:val="o"/>
      <w:lvlJc w:val="left"/>
      <w:pPr/>
      <w:rPr>
        <w:rFonts w:ascii="Book Antiqua" w:cs="Book Antiqua" w:hAnsi="Book Antiqua" w:eastAsia="Book Antiqua"/>
        <w:position w:val="0"/>
      </w:rPr>
    </w:lvl>
    <w:lvl w:ilvl="5">
      <w:start w:val="1"/>
      <w:numFmt w:val="bullet"/>
      <w:suff w:val="tab"/>
      <w:lvlText w:val="▪"/>
      <w:lvlJc w:val="left"/>
      <w:pPr/>
      <w:rPr>
        <w:rFonts w:ascii="Book Antiqua" w:cs="Book Antiqua" w:hAnsi="Book Antiqua" w:eastAsia="Book Antiqua"/>
        <w:position w:val="0"/>
      </w:rPr>
    </w:lvl>
    <w:lvl w:ilvl="6">
      <w:start w:val="1"/>
      <w:numFmt w:val="bullet"/>
      <w:suff w:val="tab"/>
      <w:lvlText w:val="•"/>
      <w:lvlJc w:val="left"/>
      <w:pPr/>
      <w:rPr>
        <w:rFonts w:ascii="Book Antiqua" w:cs="Book Antiqua" w:hAnsi="Book Antiqua" w:eastAsia="Book Antiqua"/>
        <w:position w:val="0"/>
      </w:rPr>
    </w:lvl>
    <w:lvl w:ilvl="7">
      <w:start w:val="1"/>
      <w:numFmt w:val="bullet"/>
      <w:suff w:val="tab"/>
      <w:lvlText w:val="o"/>
      <w:lvlJc w:val="left"/>
      <w:pPr/>
      <w:rPr>
        <w:rFonts w:ascii="Book Antiqua" w:cs="Book Antiqua" w:hAnsi="Book Antiqua" w:eastAsia="Book Antiqua"/>
        <w:position w:val="0"/>
      </w:rPr>
    </w:lvl>
    <w:lvl w:ilvl="8">
      <w:start w:val="1"/>
      <w:numFmt w:val="bullet"/>
      <w:suff w:val="tab"/>
      <w:lvlText w:val="▪"/>
      <w:lvlJc w:val="left"/>
      <w:pPr/>
      <w:rPr>
        <w:rFonts w:ascii="Book Antiqua" w:cs="Book Antiqua" w:hAnsi="Book Antiqua" w:eastAsia="Book Antiqua"/>
        <w:position w:val="0"/>
      </w:rPr>
    </w:lvl>
  </w:abstractNum>
  <w:abstractNum w:abstractNumId="135">
    <w:multiLevelType w:val="multilevel"/>
    <w:styleLink w:val="List 26"/>
    <w:lvl w:ilvl="0">
      <w:start w:val="0"/>
      <w:numFmt w:val="bullet"/>
      <w:suff w:val="tab"/>
      <w:lvlText w:val="-"/>
      <w:lvlJc w:val="left"/>
      <w:pPr/>
      <w:rPr>
        <w:rFonts w:ascii="Book Antiqua" w:cs="Book Antiqua" w:hAnsi="Book Antiqua" w:eastAsia="Book Antiqua"/>
        <w:position w:val="0"/>
      </w:rPr>
    </w:lvl>
    <w:lvl w:ilvl="1">
      <w:start w:val="1"/>
      <w:numFmt w:val="bullet"/>
      <w:suff w:val="tab"/>
      <w:lvlText w:val="o"/>
      <w:lvlJc w:val="left"/>
      <w:pPr/>
      <w:rPr>
        <w:rFonts w:ascii="Book Antiqua" w:cs="Book Antiqua" w:hAnsi="Book Antiqua" w:eastAsia="Book Antiqua"/>
        <w:position w:val="0"/>
      </w:rPr>
    </w:lvl>
    <w:lvl w:ilvl="2">
      <w:start w:val="1"/>
      <w:numFmt w:val="bullet"/>
      <w:suff w:val="tab"/>
      <w:lvlText w:val="▪"/>
      <w:lvlJc w:val="left"/>
      <w:pPr/>
      <w:rPr>
        <w:rFonts w:ascii="Book Antiqua" w:cs="Book Antiqua" w:hAnsi="Book Antiqua" w:eastAsia="Book Antiqua"/>
        <w:position w:val="0"/>
      </w:rPr>
    </w:lvl>
    <w:lvl w:ilvl="3">
      <w:start w:val="1"/>
      <w:numFmt w:val="bullet"/>
      <w:suff w:val="tab"/>
      <w:lvlText w:val="•"/>
      <w:lvlJc w:val="left"/>
      <w:pPr/>
      <w:rPr>
        <w:rFonts w:ascii="Book Antiqua" w:cs="Book Antiqua" w:hAnsi="Book Antiqua" w:eastAsia="Book Antiqua"/>
        <w:position w:val="0"/>
      </w:rPr>
    </w:lvl>
    <w:lvl w:ilvl="4">
      <w:start w:val="1"/>
      <w:numFmt w:val="bullet"/>
      <w:suff w:val="tab"/>
      <w:lvlText w:val="o"/>
      <w:lvlJc w:val="left"/>
      <w:pPr/>
      <w:rPr>
        <w:rFonts w:ascii="Book Antiqua" w:cs="Book Antiqua" w:hAnsi="Book Antiqua" w:eastAsia="Book Antiqua"/>
        <w:position w:val="0"/>
      </w:rPr>
    </w:lvl>
    <w:lvl w:ilvl="5">
      <w:start w:val="1"/>
      <w:numFmt w:val="bullet"/>
      <w:suff w:val="tab"/>
      <w:lvlText w:val="▪"/>
      <w:lvlJc w:val="left"/>
      <w:pPr/>
      <w:rPr>
        <w:rFonts w:ascii="Book Antiqua" w:cs="Book Antiqua" w:hAnsi="Book Antiqua" w:eastAsia="Book Antiqua"/>
        <w:position w:val="0"/>
      </w:rPr>
    </w:lvl>
    <w:lvl w:ilvl="6">
      <w:start w:val="1"/>
      <w:numFmt w:val="bullet"/>
      <w:suff w:val="tab"/>
      <w:lvlText w:val="•"/>
      <w:lvlJc w:val="left"/>
      <w:pPr/>
      <w:rPr>
        <w:rFonts w:ascii="Book Antiqua" w:cs="Book Antiqua" w:hAnsi="Book Antiqua" w:eastAsia="Book Antiqua"/>
        <w:position w:val="0"/>
      </w:rPr>
    </w:lvl>
    <w:lvl w:ilvl="7">
      <w:start w:val="1"/>
      <w:numFmt w:val="bullet"/>
      <w:suff w:val="tab"/>
      <w:lvlText w:val="o"/>
      <w:lvlJc w:val="left"/>
      <w:pPr/>
      <w:rPr>
        <w:rFonts w:ascii="Book Antiqua" w:cs="Book Antiqua" w:hAnsi="Book Antiqua" w:eastAsia="Book Antiqua"/>
        <w:position w:val="0"/>
      </w:rPr>
    </w:lvl>
    <w:lvl w:ilvl="8">
      <w:start w:val="1"/>
      <w:numFmt w:val="bullet"/>
      <w:suff w:val="tab"/>
      <w:lvlText w:val="▪"/>
      <w:lvlJc w:val="left"/>
      <w:pPr/>
      <w:rPr>
        <w:rFonts w:ascii="Book Antiqua" w:cs="Book Antiqua" w:hAnsi="Book Antiqua" w:eastAsia="Book Antiqua"/>
        <w:position w:val="0"/>
      </w:rPr>
    </w:lvl>
  </w:abstractNum>
  <w:abstractNum w:abstractNumId="136">
    <w:multiLevelType w:val="multilevel"/>
    <w:styleLink w:val="List 26"/>
    <w:lvl w:ilvl="0">
      <w:start w:val="0"/>
      <w:numFmt w:val="bullet"/>
      <w:suff w:val="tab"/>
      <w:lvlText w:val="-"/>
      <w:lvlJc w:val="left"/>
      <w:pPr/>
      <w:rPr>
        <w:rFonts w:ascii="Book Antiqua" w:cs="Book Antiqua" w:hAnsi="Book Antiqua" w:eastAsia="Book Antiqua"/>
        <w:position w:val="0"/>
      </w:rPr>
    </w:lvl>
    <w:lvl w:ilvl="1">
      <w:start w:val="1"/>
      <w:numFmt w:val="bullet"/>
      <w:suff w:val="tab"/>
      <w:lvlText w:val="o"/>
      <w:lvlJc w:val="left"/>
      <w:pPr/>
      <w:rPr>
        <w:rFonts w:ascii="Book Antiqua" w:cs="Book Antiqua" w:hAnsi="Book Antiqua" w:eastAsia="Book Antiqua"/>
        <w:position w:val="0"/>
      </w:rPr>
    </w:lvl>
    <w:lvl w:ilvl="2">
      <w:start w:val="1"/>
      <w:numFmt w:val="bullet"/>
      <w:suff w:val="tab"/>
      <w:lvlText w:val="▪"/>
      <w:lvlJc w:val="left"/>
      <w:pPr/>
      <w:rPr>
        <w:rFonts w:ascii="Book Antiqua" w:cs="Book Antiqua" w:hAnsi="Book Antiqua" w:eastAsia="Book Antiqua"/>
        <w:position w:val="0"/>
      </w:rPr>
    </w:lvl>
    <w:lvl w:ilvl="3">
      <w:start w:val="1"/>
      <w:numFmt w:val="bullet"/>
      <w:suff w:val="tab"/>
      <w:lvlText w:val="•"/>
      <w:lvlJc w:val="left"/>
      <w:pPr/>
      <w:rPr>
        <w:rFonts w:ascii="Book Antiqua" w:cs="Book Antiqua" w:hAnsi="Book Antiqua" w:eastAsia="Book Antiqua"/>
        <w:position w:val="0"/>
      </w:rPr>
    </w:lvl>
    <w:lvl w:ilvl="4">
      <w:start w:val="1"/>
      <w:numFmt w:val="bullet"/>
      <w:suff w:val="tab"/>
      <w:lvlText w:val="o"/>
      <w:lvlJc w:val="left"/>
      <w:pPr/>
      <w:rPr>
        <w:rFonts w:ascii="Book Antiqua" w:cs="Book Antiqua" w:hAnsi="Book Antiqua" w:eastAsia="Book Antiqua"/>
        <w:position w:val="0"/>
      </w:rPr>
    </w:lvl>
    <w:lvl w:ilvl="5">
      <w:start w:val="1"/>
      <w:numFmt w:val="bullet"/>
      <w:suff w:val="tab"/>
      <w:lvlText w:val="▪"/>
      <w:lvlJc w:val="left"/>
      <w:pPr/>
      <w:rPr>
        <w:rFonts w:ascii="Book Antiqua" w:cs="Book Antiqua" w:hAnsi="Book Antiqua" w:eastAsia="Book Antiqua"/>
        <w:position w:val="0"/>
      </w:rPr>
    </w:lvl>
    <w:lvl w:ilvl="6">
      <w:start w:val="1"/>
      <w:numFmt w:val="bullet"/>
      <w:suff w:val="tab"/>
      <w:lvlText w:val="•"/>
      <w:lvlJc w:val="left"/>
      <w:pPr/>
      <w:rPr>
        <w:rFonts w:ascii="Book Antiqua" w:cs="Book Antiqua" w:hAnsi="Book Antiqua" w:eastAsia="Book Antiqua"/>
        <w:position w:val="0"/>
      </w:rPr>
    </w:lvl>
    <w:lvl w:ilvl="7">
      <w:start w:val="1"/>
      <w:numFmt w:val="bullet"/>
      <w:suff w:val="tab"/>
      <w:lvlText w:val="o"/>
      <w:lvlJc w:val="left"/>
      <w:pPr/>
      <w:rPr>
        <w:rFonts w:ascii="Book Antiqua" w:cs="Book Antiqua" w:hAnsi="Book Antiqua" w:eastAsia="Book Antiqua"/>
        <w:position w:val="0"/>
      </w:rPr>
    </w:lvl>
    <w:lvl w:ilvl="8">
      <w:start w:val="1"/>
      <w:numFmt w:val="bullet"/>
      <w:suff w:val="tab"/>
      <w:lvlText w:val="▪"/>
      <w:lvlJc w:val="left"/>
      <w:pPr/>
      <w:rPr>
        <w:rFonts w:ascii="Book Antiqua" w:cs="Book Antiqua" w:hAnsi="Book Antiqua" w:eastAsia="Book Antiqua"/>
        <w:position w:val="0"/>
      </w:rPr>
    </w:lvl>
  </w:abstractNum>
  <w:abstractNum w:abstractNumId="137">
    <w:multiLevelType w:val="multilevel"/>
    <w:styleLink w:val="List 26"/>
    <w:lvl w:ilvl="0">
      <w:start w:val="0"/>
      <w:numFmt w:val="bullet"/>
      <w:suff w:val="tab"/>
      <w:lvlText w:val="-"/>
      <w:lvlJc w:val="left"/>
      <w:pPr/>
      <w:rPr>
        <w:rFonts w:ascii="Book Antiqua" w:cs="Book Antiqua" w:hAnsi="Book Antiqua" w:eastAsia="Book Antiqua"/>
        <w:position w:val="0"/>
      </w:rPr>
    </w:lvl>
    <w:lvl w:ilvl="1">
      <w:start w:val="1"/>
      <w:numFmt w:val="bullet"/>
      <w:suff w:val="tab"/>
      <w:lvlText w:val="o"/>
      <w:lvlJc w:val="left"/>
      <w:pPr/>
      <w:rPr>
        <w:rFonts w:ascii="Book Antiqua" w:cs="Book Antiqua" w:hAnsi="Book Antiqua" w:eastAsia="Book Antiqua"/>
        <w:position w:val="0"/>
      </w:rPr>
    </w:lvl>
    <w:lvl w:ilvl="2">
      <w:start w:val="1"/>
      <w:numFmt w:val="bullet"/>
      <w:suff w:val="tab"/>
      <w:lvlText w:val="▪"/>
      <w:lvlJc w:val="left"/>
      <w:pPr/>
      <w:rPr>
        <w:rFonts w:ascii="Book Antiqua" w:cs="Book Antiqua" w:hAnsi="Book Antiqua" w:eastAsia="Book Antiqua"/>
        <w:position w:val="0"/>
      </w:rPr>
    </w:lvl>
    <w:lvl w:ilvl="3">
      <w:start w:val="1"/>
      <w:numFmt w:val="bullet"/>
      <w:suff w:val="tab"/>
      <w:lvlText w:val="•"/>
      <w:lvlJc w:val="left"/>
      <w:pPr/>
      <w:rPr>
        <w:rFonts w:ascii="Book Antiqua" w:cs="Book Antiqua" w:hAnsi="Book Antiqua" w:eastAsia="Book Antiqua"/>
        <w:position w:val="0"/>
      </w:rPr>
    </w:lvl>
    <w:lvl w:ilvl="4">
      <w:start w:val="1"/>
      <w:numFmt w:val="bullet"/>
      <w:suff w:val="tab"/>
      <w:lvlText w:val="o"/>
      <w:lvlJc w:val="left"/>
      <w:pPr/>
      <w:rPr>
        <w:rFonts w:ascii="Book Antiqua" w:cs="Book Antiqua" w:hAnsi="Book Antiqua" w:eastAsia="Book Antiqua"/>
        <w:position w:val="0"/>
      </w:rPr>
    </w:lvl>
    <w:lvl w:ilvl="5">
      <w:start w:val="1"/>
      <w:numFmt w:val="bullet"/>
      <w:suff w:val="tab"/>
      <w:lvlText w:val="▪"/>
      <w:lvlJc w:val="left"/>
      <w:pPr/>
      <w:rPr>
        <w:rFonts w:ascii="Book Antiqua" w:cs="Book Antiqua" w:hAnsi="Book Antiqua" w:eastAsia="Book Antiqua"/>
        <w:position w:val="0"/>
      </w:rPr>
    </w:lvl>
    <w:lvl w:ilvl="6">
      <w:start w:val="1"/>
      <w:numFmt w:val="bullet"/>
      <w:suff w:val="tab"/>
      <w:lvlText w:val="•"/>
      <w:lvlJc w:val="left"/>
      <w:pPr/>
      <w:rPr>
        <w:rFonts w:ascii="Book Antiqua" w:cs="Book Antiqua" w:hAnsi="Book Antiqua" w:eastAsia="Book Antiqua"/>
        <w:position w:val="0"/>
      </w:rPr>
    </w:lvl>
    <w:lvl w:ilvl="7">
      <w:start w:val="1"/>
      <w:numFmt w:val="bullet"/>
      <w:suff w:val="tab"/>
      <w:lvlText w:val="o"/>
      <w:lvlJc w:val="left"/>
      <w:pPr/>
      <w:rPr>
        <w:rFonts w:ascii="Book Antiqua" w:cs="Book Antiqua" w:hAnsi="Book Antiqua" w:eastAsia="Book Antiqua"/>
        <w:position w:val="0"/>
      </w:rPr>
    </w:lvl>
    <w:lvl w:ilvl="8">
      <w:start w:val="1"/>
      <w:numFmt w:val="bullet"/>
      <w:suff w:val="tab"/>
      <w:lvlText w:val="▪"/>
      <w:lvlJc w:val="left"/>
      <w:pPr/>
      <w:rPr>
        <w:rFonts w:ascii="Book Antiqua" w:cs="Book Antiqua" w:hAnsi="Book Antiqua" w:eastAsia="Book Antiqua"/>
        <w:position w:val="0"/>
      </w:rPr>
    </w:lvl>
  </w:abstractNum>
  <w:abstractNum w:abstractNumId="138">
    <w:multiLevelType w:val="multilevel"/>
    <w:lvl w:ilvl="0">
      <w:start w:val="1"/>
      <w:numFmt w:val="decimal"/>
      <w:suff w:val="tab"/>
      <w:lvlText w:val="%1)"/>
      <w:lvlJc w:val="left"/>
      <w:pPr/>
      <w:rPr>
        <w:rFonts w:ascii="Book Antiqua" w:cs="Book Antiqua" w:hAnsi="Book Antiqua" w:eastAsia="Book Antiqua"/>
        <w:position w:val="0"/>
      </w:rPr>
    </w:lvl>
    <w:lvl w:ilvl="1">
      <w:start w:val="1"/>
      <w:numFmt w:val="lowerLetter"/>
      <w:suff w:val="tab"/>
      <w:lvlText w:val="%2."/>
      <w:lvlJc w:val="left"/>
      <w:pPr/>
      <w:rPr>
        <w:rFonts w:ascii="Book Antiqua" w:cs="Book Antiqua" w:hAnsi="Book Antiqua" w:eastAsia="Book Antiqua"/>
        <w:position w:val="0"/>
      </w:rPr>
    </w:lvl>
    <w:lvl w:ilvl="2">
      <w:start w:val="1"/>
      <w:numFmt w:val="lowerRoman"/>
      <w:suff w:val="tab"/>
      <w:lvlText w:val="%3."/>
      <w:lvlJc w:val="left"/>
      <w:pPr/>
      <w:rPr>
        <w:rFonts w:ascii="Book Antiqua" w:cs="Book Antiqua" w:hAnsi="Book Antiqua" w:eastAsia="Book Antiqua"/>
        <w:position w:val="0"/>
      </w:rPr>
    </w:lvl>
    <w:lvl w:ilvl="3">
      <w:start w:val="1"/>
      <w:numFmt w:val="decimal"/>
      <w:suff w:val="tab"/>
      <w:lvlText w:val="%4."/>
      <w:lvlJc w:val="left"/>
      <w:pPr/>
      <w:rPr>
        <w:rFonts w:ascii="Book Antiqua" w:cs="Book Antiqua" w:hAnsi="Book Antiqua" w:eastAsia="Book Antiqua"/>
        <w:position w:val="0"/>
      </w:rPr>
    </w:lvl>
    <w:lvl w:ilvl="4">
      <w:start w:val="1"/>
      <w:numFmt w:val="lowerLetter"/>
      <w:suff w:val="tab"/>
      <w:lvlText w:val="%5."/>
      <w:lvlJc w:val="left"/>
      <w:pPr/>
      <w:rPr>
        <w:rFonts w:ascii="Book Antiqua" w:cs="Book Antiqua" w:hAnsi="Book Antiqua" w:eastAsia="Book Antiqua"/>
        <w:position w:val="0"/>
      </w:rPr>
    </w:lvl>
    <w:lvl w:ilvl="5">
      <w:start w:val="1"/>
      <w:numFmt w:val="lowerRoman"/>
      <w:suff w:val="tab"/>
      <w:lvlText w:val="%6."/>
      <w:lvlJc w:val="left"/>
      <w:pPr/>
      <w:rPr>
        <w:rFonts w:ascii="Book Antiqua" w:cs="Book Antiqua" w:hAnsi="Book Antiqua" w:eastAsia="Book Antiqua"/>
        <w:position w:val="0"/>
      </w:rPr>
    </w:lvl>
    <w:lvl w:ilvl="6">
      <w:start w:val="1"/>
      <w:numFmt w:val="decimal"/>
      <w:suff w:val="tab"/>
      <w:lvlText w:val="%7."/>
      <w:lvlJc w:val="left"/>
      <w:pPr/>
      <w:rPr>
        <w:rFonts w:ascii="Book Antiqua" w:cs="Book Antiqua" w:hAnsi="Book Antiqua" w:eastAsia="Book Antiqua"/>
        <w:position w:val="0"/>
      </w:rPr>
    </w:lvl>
    <w:lvl w:ilvl="7">
      <w:start w:val="1"/>
      <w:numFmt w:val="lowerLetter"/>
      <w:suff w:val="tab"/>
      <w:lvlText w:val="%8."/>
      <w:lvlJc w:val="left"/>
      <w:pPr/>
      <w:rPr>
        <w:rFonts w:ascii="Book Antiqua" w:cs="Book Antiqua" w:hAnsi="Book Antiqua" w:eastAsia="Book Antiqua"/>
        <w:position w:val="0"/>
      </w:rPr>
    </w:lvl>
    <w:lvl w:ilvl="8">
      <w:start w:val="1"/>
      <w:numFmt w:val="lowerRoman"/>
      <w:suff w:val="tab"/>
      <w:lvlText w:val="%9."/>
      <w:lvlJc w:val="left"/>
      <w:pPr/>
      <w:rPr>
        <w:rFonts w:ascii="Book Antiqua" w:cs="Book Antiqua" w:hAnsi="Book Antiqua" w:eastAsia="Book Antiqua"/>
        <w:position w:val="0"/>
      </w:rPr>
    </w:lvl>
  </w:abstractNum>
  <w:abstractNum w:abstractNumId="139">
    <w:multiLevelType w:val="multilevel"/>
    <w:lvl w:ilvl="0">
      <w:start w:val="1"/>
      <w:numFmt w:val="decimal"/>
      <w:suff w:val="tab"/>
      <w:lvlText w:val="%1)"/>
      <w:lvlJc w:val="left"/>
      <w:pPr/>
      <w:rPr>
        <w:position w:val="0"/>
      </w:rPr>
    </w:lvl>
    <w:lvl w:ilvl="1">
      <w:start w:val="1"/>
      <w:numFmt w:val="lowerLetter"/>
      <w:suff w:val="tab"/>
      <w:lvlText w:val="%2."/>
      <w:lvlJc w:val="left"/>
      <w:pPr/>
      <w:rPr>
        <w:position w:val="0"/>
      </w:rPr>
    </w:lvl>
    <w:lvl w:ilvl="2">
      <w:start w:val="1"/>
      <w:numFmt w:val="lowerRoman"/>
      <w:suff w:val="tab"/>
      <w:lvlText w:val="%3."/>
      <w:lvlJc w:val="left"/>
      <w:pPr/>
      <w:rPr>
        <w:position w:val="0"/>
      </w:rPr>
    </w:lvl>
    <w:lvl w:ilvl="3">
      <w:start w:val="1"/>
      <w:numFmt w:val="decimal"/>
      <w:suff w:val="tab"/>
      <w:lvlText w:val="%4."/>
      <w:lvlJc w:val="left"/>
      <w:pPr/>
      <w:rPr>
        <w:position w:val="0"/>
      </w:rPr>
    </w:lvl>
    <w:lvl w:ilvl="4">
      <w:start w:val="1"/>
      <w:numFmt w:val="lowerLetter"/>
      <w:suff w:val="tab"/>
      <w:lvlText w:val="%5."/>
      <w:lvlJc w:val="left"/>
      <w:pPr/>
      <w:rPr>
        <w:position w:val="0"/>
      </w:rPr>
    </w:lvl>
    <w:lvl w:ilvl="5">
      <w:start w:val="1"/>
      <w:numFmt w:val="lowerRoman"/>
      <w:suff w:val="tab"/>
      <w:lvlText w:val="%6."/>
      <w:lvlJc w:val="left"/>
      <w:pPr/>
      <w:rPr>
        <w:position w:val="0"/>
      </w:rPr>
    </w:lvl>
    <w:lvl w:ilvl="6">
      <w:start w:val="1"/>
      <w:numFmt w:val="decimal"/>
      <w:suff w:val="tab"/>
      <w:lvlText w:val="%7."/>
      <w:lvlJc w:val="left"/>
      <w:pPr/>
      <w:rPr>
        <w:position w:val="0"/>
      </w:rPr>
    </w:lvl>
    <w:lvl w:ilvl="7">
      <w:start w:val="1"/>
      <w:numFmt w:val="lowerLetter"/>
      <w:suff w:val="tab"/>
      <w:lvlText w:val="%8."/>
      <w:lvlJc w:val="left"/>
      <w:pPr/>
      <w:rPr>
        <w:position w:val="0"/>
      </w:rPr>
    </w:lvl>
    <w:lvl w:ilvl="8">
      <w:start w:val="1"/>
      <w:numFmt w:val="lowerRoman"/>
      <w:suff w:val="tab"/>
      <w:lvlText w:val="%9."/>
      <w:lvlJc w:val="left"/>
      <w:pPr/>
      <w:rPr>
        <w:position w:val="0"/>
      </w:rPr>
    </w:lvl>
  </w:abstractNum>
  <w:abstractNum w:abstractNumId="140">
    <w:multiLevelType w:val="multilevel"/>
    <w:styleLink w:val="List 27"/>
    <w:lvl w:ilvl="0">
      <w:start w:val="1"/>
      <w:numFmt w:val="decimal"/>
      <w:suff w:val="tab"/>
      <w:lvlText w:val="%1)"/>
      <w:lvlJc w:val="left"/>
      <w:pPr/>
      <w:rPr>
        <w:rFonts w:ascii="Book Antiqua" w:cs="Book Antiqua" w:hAnsi="Book Antiqua" w:eastAsia="Book Antiqua"/>
        <w:position w:val="0"/>
      </w:rPr>
    </w:lvl>
    <w:lvl w:ilvl="1">
      <w:start w:val="1"/>
      <w:numFmt w:val="lowerLetter"/>
      <w:suff w:val="tab"/>
      <w:lvlText w:val="%2."/>
      <w:lvlJc w:val="left"/>
      <w:pPr/>
      <w:rPr>
        <w:rFonts w:ascii="Book Antiqua" w:cs="Book Antiqua" w:hAnsi="Book Antiqua" w:eastAsia="Book Antiqua"/>
        <w:position w:val="0"/>
      </w:rPr>
    </w:lvl>
    <w:lvl w:ilvl="2">
      <w:start w:val="1"/>
      <w:numFmt w:val="lowerRoman"/>
      <w:suff w:val="tab"/>
      <w:lvlText w:val="%3."/>
      <w:lvlJc w:val="left"/>
      <w:pPr/>
      <w:rPr>
        <w:rFonts w:ascii="Book Antiqua" w:cs="Book Antiqua" w:hAnsi="Book Antiqua" w:eastAsia="Book Antiqua"/>
        <w:position w:val="0"/>
      </w:rPr>
    </w:lvl>
    <w:lvl w:ilvl="3">
      <w:start w:val="1"/>
      <w:numFmt w:val="decimal"/>
      <w:suff w:val="tab"/>
      <w:lvlText w:val="%4."/>
      <w:lvlJc w:val="left"/>
      <w:pPr/>
      <w:rPr>
        <w:rFonts w:ascii="Book Antiqua" w:cs="Book Antiqua" w:hAnsi="Book Antiqua" w:eastAsia="Book Antiqua"/>
        <w:position w:val="0"/>
      </w:rPr>
    </w:lvl>
    <w:lvl w:ilvl="4">
      <w:start w:val="1"/>
      <w:numFmt w:val="lowerLetter"/>
      <w:suff w:val="tab"/>
      <w:lvlText w:val="%5."/>
      <w:lvlJc w:val="left"/>
      <w:pPr/>
      <w:rPr>
        <w:rFonts w:ascii="Book Antiqua" w:cs="Book Antiqua" w:hAnsi="Book Antiqua" w:eastAsia="Book Antiqua"/>
        <w:position w:val="0"/>
      </w:rPr>
    </w:lvl>
    <w:lvl w:ilvl="5">
      <w:start w:val="1"/>
      <w:numFmt w:val="lowerRoman"/>
      <w:suff w:val="tab"/>
      <w:lvlText w:val="%6."/>
      <w:lvlJc w:val="left"/>
      <w:pPr/>
      <w:rPr>
        <w:rFonts w:ascii="Book Antiqua" w:cs="Book Antiqua" w:hAnsi="Book Antiqua" w:eastAsia="Book Antiqua"/>
        <w:position w:val="0"/>
      </w:rPr>
    </w:lvl>
    <w:lvl w:ilvl="6">
      <w:start w:val="1"/>
      <w:numFmt w:val="decimal"/>
      <w:suff w:val="tab"/>
      <w:lvlText w:val="%7."/>
      <w:lvlJc w:val="left"/>
      <w:pPr/>
      <w:rPr>
        <w:rFonts w:ascii="Book Antiqua" w:cs="Book Antiqua" w:hAnsi="Book Antiqua" w:eastAsia="Book Antiqua"/>
        <w:position w:val="0"/>
      </w:rPr>
    </w:lvl>
    <w:lvl w:ilvl="7">
      <w:start w:val="1"/>
      <w:numFmt w:val="lowerLetter"/>
      <w:suff w:val="tab"/>
      <w:lvlText w:val="%8."/>
      <w:lvlJc w:val="left"/>
      <w:pPr/>
      <w:rPr>
        <w:rFonts w:ascii="Book Antiqua" w:cs="Book Antiqua" w:hAnsi="Book Antiqua" w:eastAsia="Book Antiqua"/>
        <w:position w:val="0"/>
      </w:rPr>
    </w:lvl>
    <w:lvl w:ilvl="8">
      <w:start w:val="1"/>
      <w:numFmt w:val="lowerRoman"/>
      <w:suff w:val="tab"/>
      <w:lvlText w:val="%9."/>
      <w:lvlJc w:val="left"/>
      <w:pPr/>
      <w:rPr>
        <w:rFonts w:ascii="Book Antiqua" w:cs="Book Antiqua" w:hAnsi="Book Antiqua" w:eastAsia="Book Antiqua"/>
        <w:position w:val="0"/>
      </w:rPr>
    </w:lvl>
  </w:abstractNum>
  <w:abstractNum w:abstractNumId="141">
    <w:multiLevelType w:val="multilevel"/>
    <w:lvl w:ilvl="0">
      <w:start w:val="1"/>
      <w:numFmt w:val="decimal"/>
      <w:suff w:val="tab"/>
      <w:lvlText w:val="%1."/>
      <w:lvlJc w:val="left"/>
      <w:pPr>
        <w:tabs>
          <w:tab w:val="num" w:pos="1288"/>
          <w:tab w:val="clear" w:pos="0"/>
        </w:tabs>
        <w:ind w:left="1288" w:hanging="360"/>
      </w:pPr>
      <w:rPr>
        <w:rFonts w:ascii="Book Antiqua" w:cs="Book Antiqua" w:hAnsi="Book Antiqua" w:eastAsia="Book Antiqua"/>
        <w:position w:val="0"/>
        <w:sz w:val="32"/>
        <w:szCs w:val="32"/>
      </w:rPr>
    </w:lvl>
    <w:lvl w:ilvl="1">
      <w:start w:val="1"/>
      <w:numFmt w:val="lowerLetter"/>
      <w:suff w:val="tab"/>
      <w:lvlText w:val="%2."/>
      <w:lvlJc w:val="left"/>
      <w:pPr>
        <w:tabs>
          <w:tab w:val="num" w:pos="2128"/>
          <w:tab w:val="clear" w:pos="0"/>
        </w:tabs>
        <w:ind w:left="2128" w:hanging="480"/>
      </w:pPr>
      <w:rPr>
        <w:rFonts w:ascii="Book Antiqua" w:cs="Book Antiqua" w:hAnsi="Book Antiqua" w:eastAsia="Book Antiqua"/>
        <w:position w:val="0"/>
        <w:sz w:val="32"/>
        <w:szCs w:val="32"/>
      </w:rPr>
    </w:lvl>
    <w:lvl w:ilvl="2">
      <w:start w:val="1"/>
      <w:numFmt w:val="lowerRoman"/>
      <w:suff w:val="tab"/>
      <w:lvlText w:val="%3."/>
      <w:lvlJc w:val="left"/>
      <w:pPr>
        <w:tabs>
          <w:tab w:val="num" w:pos="2827"/>
          <w:tab w:val="clear" w:pos="0"/>
        </w:tabs>
        <w:ind w:left="2827" w:hanging="395"/>
      </w:pPr>
      <w:rPr>
        <w:rFonts w:ascii="Book Antiqua" w:cs="Book Antiqua" w:hAnsi="Book Antiqua" w:eastAsia="Book Antiqua"/>
        <w:position w:val="0"/>
        <w:sz w:val="32"/>
        <w:szCs w:val="32"/>
      </w:rPr>
    </w:lvl>
    <w:lvl w:ilvl="3">
      <w:start w:val="1"/>
      <w:numFmt w:val="decimal"/>
      <w:suff w:val="tab"/>
      <w:lvlText w:val="%4."/>
      <w:lvlJc w:val="left"/>
      <w:pPr>
        <w:tabs>
          <w:tab w:val="num" w:pos="3568"/>
          <w:tab w:val="clear" w:pos="0"/>
        </w:tabs>
        <w:ind w:left="3568" w:hanging="480"/>
      </w:pPr>
      <w:rPr>
        <w:rFonts w:ascii="Book Antiqua" w:cs="Book Antiqua" w:hAnsi="Book Antiqua" w:eastAsia="Book Antiqua"/>
        <w:position w:val="0"/>
        <w:sz w:val="32"/>
        <w:szCs w:val="32"/>
      </w:rPr>
    </w:lvl>
    <w:lvl w:ilvl="4">
      <w:start w:val="1"/>
      <w:numFmt w:val="lowerLetter"/>
      <w:suff w:val="tab"/>
      <w:lvlText w:val="%5."/>
      <w:lvlJc w:val="left"/>
      <w:pPr>
        <w:tabs>
          <w:tab w:val="num" w:pos="4288"/>
          <w:tab w:val="clear" w:pos="0"/>
        </w:tabs>
        <w:ind w:left="4288" w:hanging="480"/>
      </w:pPr>
      <w:rPr>
        <w:rFonts w:ascii="Book Antiqua" w:cs="Book Antiqua" w:hAnsi="Book Antiqua" w:eastAsia="Book Antiqua"/>
        <w:position w:val="0"/>
        <w:sz w:val="32"/>
        <w:szCs w:val="32"/>
      </w:rPr>
    </w:lvl>
    <w:lvl w:ilvl="5">
      <w:start w:val="1"/>
      <w:numFmt w:val="lowerRoman"/>
      <w:suff w:val="tab"/>
      <w:lvlText w:val="%6."/>
      <w:lvlJc w:val="left"/>
      <w:pPr>
        <w:tabs>
          <w:tab w:val="num" w:pos="4987"/>
          <w:tab w:val="clear" w:pos="0"/>
        </w:tabs>
        <w:ind w:left="4987" w:hanging="395"/>
      </w:pPr>
      <w:rPr>
        <w:rFonts w:ascii="Book Antiqua" w:cs="Book Antiqua" w:hAnsi="Book Antiqua" w:eastAsia="Book Antiqua"/>
        <w:position w:val="0"/>
        <w:sz w:val="32"/>
        <w:szCs w:val="32"/>
      </w:rPr>
    </w:lvl>
    <w:lvl w:ilvl="6">
      <w:start w:val="1"/>
      <w:numFmt w:val="decimal"/>
      <w:suff w:val="tab"/>
      <w:lvlText w:val="%7."/>
      <w:lvlJc w:val="left"/>
      <w:pPr>
        <w:tabs>
          <w:tab w:val="num" w:pos="5728"/>
          <w:tab w:val="clear" w:pos="0"/>
        </w:tabs>
        <w:ind w:left="5728" w:hanging="480"/>
      </w:pPr>
      <w:rPr>
        <w:rFonts w:ascii="Book Antiqua" w:cs="Book Antiqua" w:hAnsi="Book Antiqua" w:eastAsia="Book Antiqua"/>
        <w:position w:val="0"/>
        <w:sz w:val="32"/>
        <w:szCs w:val="32"/>
      </w:rPr>
    </w:lvl>
    <w:lvl w:ilvl="7">
      <w:start w:val="1"/>
      <w:numFmt w:val="lowerLetter"/>
      <w:suff w:val="tab"/>
      <w:lvlText w:val="%8."/>
      <w:lvlJc w:val="left"/>
      <w:pPr>
        <w:tabs>
          <w:tab w:val="num" w:pos="6448"/>
          <w:tab w:val="clear" w:pos="0"/>
        </w:tabs>
        <w:ind w:left="6448" w:hanging="480"/>
      </w:pPr>
      <w:rPr>
        <w:rFonts w:ascii="Book Antiqua" w:cs="Book Antiqua" w:hAnsi="Book Antiqua" w:eastAsia="Book Antiqua"/>
        <w:position w:val="0"/>
        <w:sz w:val="32"/>
        <w:szCs w:val="32"/>
      </w:rPr>
    </w:lvl>
    <w:lvl w:ilvl="8">
      <w:start w:val="1"/>
      <w:numFmt w:val="lowerRoman"/>
      <w:suff w:val="tab"/>
      <w:lvlText w:val="%9."/>
      <w:lvlJc w:val="left"/>
      <w:pPr>
        <w:tabs>
          <w:tab w:val="num" w:pos="7147"/>
          <w:tab w:val="clear" w:pos="0"/>
        </w:tabs>
        <w:ind w:left="7147" w:hanging="395"/>
      </w:pPr>
      <w:rPr>
        <w:rFonts w:ascii="Book Antiqua" w:cs="Book Antiqua" w:hAnsi="Book Antiqua" w:eastAsia="Book Antiqua"/>
        <w:position w:val="0"/>
        <w:sz w:val="32"/>
        <w:szCs w:val="32"/>
      </w:rPr>
    </w:lvl>
  </w:abstractNum>
  <w:abstractNum w:abstractNumId="142">
    <w:multiLevelType w:val="multilevel"/>
    <w:lvl w:ilvl="0">
      <w:start w:val="1"/>
      <w:numFmt w:val="decimal"/>
      <w:suff w:val="tab"/>
      <w:lvlText w:val="%1."/>
      <w:lvlJc w:val="left"/>
      <w:pPr/>
      <w:rPr>
        <w:position w:val="0"/>
      </w:rPr>
    </w:lvl>
    <w:lvl w:ilvl="1">
      <w:start w:val="1"/>
      <w:numFmt w:val="lowerLetter"/>
      <w:suff w:val="tab"/>
      <w:lvlText w:val="%2."/>
      <w:lvlJc w:val="left"/>
      <w:pPr/>
      <w:rPr>
        <w:position w:val="0"/>
      </w:rPr>
    </w:lvl>
    <w:lvl w:ilvl="2">
      <w:start w:val="1"/>
      <w:numFmt w:val="lowerRoman"/>
      <w:suff w:val="tab"/>
      <w:lvlText w:val="%3."/>
      <w:lvlJc w:val="left"/>
      <w:pPr/>
      <w:rPr>
        <w:position w:val="0"/>
      </w:rPr>
    </w:lvl>
    <w:lvl w:ilvl="3">
      <w:start w:val="1"/>
      <w:numFmt w:val="decimal"/>
      <w:suff w:val="tab"/>
      <w:lvlText w:val="%4."/>
      <w:lvlJc w:val="left"/>
      <w:pPr/>
      <w:rPr>
        <w:position w:val="0"/>
      </w:rPr>
    </w:lvl>
    <w:lvl w:ilvl="4">
      <w:start w:val="1"/>
      <w:numFmt w:val="lowerLetter"/>
      <w:suff w:val="tab"/>
      <w:lvlText w:val="%5."/>
      <w:lvlJc w:val="left"/>
      <w:pPr/>
      <w:rPr>
        <w:position w:val="0"/>
      </w:rPr>
    </w:lvl>
    <w:lvl w:ilvl="5">
      <w:start w:val="1"/>
      <w:numFmt w:val="lowerRoman"/>
      <w:suff w:val="tab"/>
      <w:lvlText w:val="%6."/>
      <w:lvlJc w:val="left"/>
      <w:pPr/>
      <w:rPr>
        <w:position w:val="0"/>
      </w:rPr>
    </w:lvl>
    <w:lvl w:ilvl="6">
      <w:start w:val="1"/>
      <w:numFmt w:val="decimal"/>
      <w:suff w:val="tab"/>
      <w:lvlText w:val="%7."/>
      <w:lvlJc w:val="left"/>
      <w:pPr/>
      <w:rPr>
        <w:position w:val="0"/>
      </w:rPr>
    </w:lvl>
    <w:lvl w:ilvl="7">
      <w:start w:val="1"/>
      <w:numFmt w:val="lowerLetter"/>
      <w:suff w:val="tab"/>
      <w:lvlText w:val="%8."/>
      <w:lvlJc w:val="left"/>
      <w:pPr/>
      <w:rPr>
        <w:position w:val="0"/>
      </w:rPr>
    </w:lvl>
    <w:lvl w:ilvl="8">
      <w:start w:val="1"/>
      <w:numFmt w:val="lowerRoman"/>
      <w:suff w:val="tab"/>
      <w:lvlText w:val="%9."/>
      <w:lvlJc w:val="left"/>
      <w:pPr/>
      <w:rPr>
        <w:position w:val="0"/>
      </w:rPr>
    </w:lvl>
  </w:abstractNum>
  <w:abstractNum w:abstractNumId="143">
    <w:multiLevelType w:val="multilevel"/>
    <w:styleLink w:val="List 28"/>
    <w:lvl w:ilvl="0">
      <w:start w:val="5"/>
      <w:numFmt w:val="decimal"/>
      <w:suff w:val="tab"/>
      <w:lvlText w:val="%1."/>
      <w:lvlJc w:val="left"/>
      <w:pPr>
        <w:tabs>
          <w:tab w:val="num" w:pos="1288"/>
          <w:tab w:val="clear" w:pos="0"/>
        </w:tabs>
        <w:ind w:left="1288" w:hanging="360"/>
      </w:pPr>
      <w:rPr>
        <w:rFonts w:ascii="Book Antiqua" w:cs="Book Antiqua" w:hAnsi="Book Antiqua" w:eastAsia="Book Antiqua"/>
        <w:position w:val="0"/>
        <w:sz w:val="32"/>
        <w:szCs w:val="32"/>
      </w:rPr>
    </w:lvl>
    <w:lvl w:ilvl="1">
      <w:start w:val="1"/>
      <w:numFmt w:val="lowerLetter"/>
      <w:suff w:val="tab"/>
      <w:lvlText w:val="%2."/>
      <w:lvlJc w:val="left"/>
      <w:pPr>
        <w:tabs>
          <w:tab w:val="num" w:pos="2128"/>
          <w:tab w:val="clear" w:pos="0"/>
        </w:tabs>
        <w:ind w:left="2128" w:hanging="480"/>
      </w:pPr>
      <w:rPr>
        <w:rFonts w:ascii="Book Antiqua" w:cs="Book Antiqua" w:hAnsi="Book Antiqua" w:eastAsia="Book Antiqua"/>
        <w:position w:val="0"/>
        <w:sz w:val="32"/>
        <w:szCs w:val="32"/>
      </w:rPr>
    </w:lvl>
    <w:lvl w:ilvl="2">
      <w:start w:val="1"/>
      <w:numFmt w:val="lowerRoman"/>
      <w:suff w:val="tab"/>
      <w:lvlText w:val="%3."/>
      <w:lvlJc w:val="left"/>
      <w:pPr>
        <w:tabs>
          <w:tab w:val="num" w:pos="2827"/>
          <w:tab w:val="clear" w:pos="0"/>
        </w:tabs>
        <w:ind w:left="2827" w:hanging="395"/>
      </w:pPr>
      <w:rPr>
        <w:rFonts w:ascii="Book Antiqua" w:cs="Book Antiqua" w:hAnsi="Book Antiqua" w:eastAsia="Book Antiqua"/>
        <w:position w:val="0"/>
        <w:sz w:val="32"/>
        <w:szCs w:val="32"/>
      </w:rPr>
    </w:lvl>
    <w:lvl w:ilvl="3">
      <w:start w:val="1"/>
      <w:numFmt w:val="decimal"/>
      <w:suff w:val="tab"/>
      <w:lvlText w:val="%4."/>
      <w:lvlJc w:val="left"/>
      <w:pPr>
        <w:tabs>
          <w:tab w:val="num" w:pos="3568"/>
          <w:tab w:val="clear" w:pos="0"/>
        </w:tabs>
        <w:ind w:left="3568" w:hanging="480"/>
      </w:pPr>
      <w:rPr>
        <w:rFonts w:ascii="Book Antiqua" w:cs="Book Antiqua" w:hAnsi="Book Antiqua" w:eastAsia="Book Antiqua"/>
        <w:position w:val="0"/>
        <w:sz w:val="32"/>
        <w:szCs w:val="32"/>
      </w:rPr>
    </w:lvl>
    <w:lvl w:ilvl="4">
      <w:start w:val="1"/>
      <w:numFmt w:val="lowerLetter"/>
      <w:suff w:val="tab"/>
      <w:lvlText w:val="%5."/>
      <w:lvlJc w:val="left"/>
      <w:pPr>
        <w:tabs>
          <w:tab w:val="num" w:pos="4288"/>
          <w:tab w:val="clear" w:pos="0"/>
        </w:tabs>
        <w:ind w:left="4288" w:hanging="480"/>
      </w:pPr>
      <w:rPr>
        <w:rFonts w:ascii="Book Antiqua" w:cs="Book Antiqua" w:hAnsi="Book Antiqua" w:eastAsia="Book Antiqua"/>
        <w:position w:val="0"/>
        <w:sz w:val="32"/>
        <w:szCs w:val="32"/>
      </w:rPr>
    </w:lvl>
    <w:lvl w:ilvl="5">
      <w:start w:val="1"/>
      <w:numFmt w:val="lowerRoman"/>
      <w:suff w:val="tab"/>
      <w:lvlText w:val="%6."/>
      <w:lvlJc w:val="left"/>
      <w:pPr>
        <w:tabs>
          <w:tab w:val="num" w:pos="4987"/>
          <w:tab w:val="clear" w:pos="0"/>
        </w:tabs>
        <w:ind w:left="4987" w:hanging="395"/>
      </w:pPr>
      <w:rPr>
        <w:rFonts w:ascii="Book Antiqua" w:cs="Book Antiqua" w:hAnsi="Book Antiqua" w:eastAsia="Book Antiqua"/>
        <w:position w:val="0"/>
        <w:sz w:val="32"/>
        <w:szCs w:val="32"/>
      </w:rPr>
    </w:lvl>
    <w:lvl w:ilvl="6">
      <w:start w:val="1"/>
      <w:numFmt w:val="decimal"/>
      <w:suff w:val="tab"/>
      <w:lvlText w:val="%7."/>
      <w:lvlJc w:val="left"/>
      <w:pPr>
        <w:tabs>
          <w:tab w:val="num" w:pos="5728"/>
          <w:tab w:val="clear" w:pos="0"/>
        </w:tabs>
        <w:ind w:left="5728" w:hanging="480"/>
      </w:pPr>
      <w:rPr>
        <w:rFonts w:ascii="Book Antiqua" w:cs="Book Antiqua" w:hAnsi="Book Antiqua" w:eastAsia="Book Antiqua"/>
        <w:position w:val="0"/>
        <w:sz w:val="32"/>
        <w:szCs w:val="32"/>
      </w:rPr>
    </w:lvl>
    <w:lvl w:ilvl="7">
      <w:start w:val="1"/>
      <w:numFmt w:val="lowerLetter"/>
      <w:suff w:val="tab"/>
      <w:lvlText w:val="%8."/>
      <w:lvlJc w:val="left"/>
      <w:pPr>
        <w:tabs>
          <w:tab w:val="num" w:pos="6448"/>
          <w:tab w:val="clear" w:pos="0"/>
        </w:tabs>
        <w:ind w:left="6448" w:hanging="480"/>
      </w:pPr>
      <w:rPr>
        <w:rFonts w:ascii="Book Antiqua" w:cs="Book Antiqua" w:hAnsi="Book Antiqua" w:eastAsia="Book Antiqua"/>
        <w:position w:val="0"/>
        <w:sz w:val="32"/>
        <w:szCs w:val="32"/>
      </w:rPr>
    </w:lvl>
    <w:lvl w:ilvl="8">
      <w:start w:val="1"/>
      <w:numFmt w:val="lowerRoman"/>
      <w:suff w:val="tab"/>
      <w:lvlText w:val="%9."/>
      <w:lvlJc w:val="left"/>
      <w:pPr>
        <w:tabs>
          <w:tab w:val="num" w:pos="7147"/>
          <w:tab w:val="clear" w:pos="0"/>
        </w:tabs>
        <w:ind w:left="7147" w:hanging="395"/>
      </w:pPr>
      <w:rPr>
        <w:rFonts w:ascii="Book Antiqua" w:cs="Book Antiqua" w:hAnsi="Book Antiqua" w:eastAsia="Book Antiqua"/>
        <w:position w:val="0"/>
        <w:sz w:val="32"/>
        <w:szCs w:val="32"/>
      </w:rPr>
    </w:lvl>
  </w:abstractNum>
  <w:abstractNum w:abstractNumId="144">
    <w:multiLevelType w:val="multilevel"/>
    <w:lvl w:ilvl="0">
      <w:start w:val="1"/>
      <w:numFmt w:val="decimal"/>
      <w:suff w:val="tab"/>
      <w:lvlText w:val="%1."/>
      <w:lvlJc w:val="left"/>
      <w:pPr>
        <w:tabs>
          <w:tab w:val="num" w:pos="438"/>
          <w:tab w:val="clear" w:pos="0"/>
        </w:tabs>
        <w:ind w:left="438" w:hanging="438"/>
      </w:pPr>
      <w:rPr>
        <w:rFonts w:ascii="Book Antiqua" w:cs="Book Antiqua" w:hAnsi="Book Antiqua" w:eastAsia="Book Antiqua"/>
        <w:position w:val="0"/>
        <w:sz w:val="28"/>
        <w:szCs w:val="28"/>
      </w:rPr>
    </w:lvl>
    <w:lvl w:ilvl="1">
      <w:start w:val="1"/>
      <w:numFmt w:val="decimal"/>
      <w:suff w:val="tab"/>
      <w:lvlText w:val="%1.%2."/>
      <w:lvlJc w:val="left"/>
      <w:pPr>
        <w:tabs>
          <w:tab w:val="num" w:pos="567"/>
          <w:tab w:val="clear" w:pos="0"/>
        </w:tabs>
        <w:ind w:left="567" w:hanging="141"/>
      </w:pPr>
      <w:rPr>
        <w:rFonts w:ascii="Book Antiqua" w:cs="Book Antiqua" w:hAnsi="Book Antiqua" w:eastAsia="Book Antiqua"/>
        <w:position w:val="0"/>
        <w:sz w:val="28"/>
        <w:szCs w:val="28"/>
      </w:rPr>
    </w:lvl>
    <w:lvl w:ilvl="2">
      <w:start w:val="1"/>
      <w:numFmt w:val="decimal"/>
      <w:suff w:val="tab"/>
      <w:lvlText w:val="%1.%2.%3."/>
      <w:lvlJc w:val="left"/>
      <w:pPr>
        <w:tabs>
          <w:tab w:val="num" w:pos="2541"/>
          <w:tab w:val="clear" w:pos="0"/>
        </w:tabs>
        <w:ind w:left="2541" w:hanging="840"/>
      </w:pPr>
      <w:rPr>
        <w:rFonts w:ascii="Book Antiqua" w:cs="Book Antiqua" w:hAnsi="Book Antiqua" w:eastAsia="Book Antiqua"/>
        <w:position w:val="0"/>
        <w:sz w:val="28"/>
        <w:szCs w:val="28"/>
      </w:rPr>
    </w:lvl>
    <w:lvl w:ilvl="3">
      <w:start w:val="1"/>
      <w:numFmt w:val="decimal"/>
      <w:suff w:val="tab"/>
      <w:lvlText w:val="%1.%2.%3.%4."/>
      <w:lvlJc w:val="left"/>
      <w:pPr>
        <w:tabs>
          <w:tab w:val="num" w:pos="1260"/>
          <w:tab w:val="clear" w:pos="0"/>
        </w:tabs>
        <w:ind w:left="1260" w:hanging="1260"/>
      </w:pPr>
      <w:rPr>
        <w:rFonts w:ascii="Book Antiqua" w:cs="Book Antiqua" w:hAnsi="Book Antiqua" w:eastAsia="Book Antiqua"/>
        <w:position w:val="0"/>
        <w:sz w:val="28"/>
        <w:szCs w:val="28"/>
      </w:rPr>
    </w:lvl>
    <w:lvl w:ilvl="4">
      <w:start w:val="1"/>
      <w:numFmt w:val="decimal"/>
      <w:suff w:val="tab"/>
      <w:lvlText w:val="%1.%2.%3.%4.%5."/>
      <w:lvlJc w:val="left"/>
      <w:pPr>
        <w:tabs>
          <w:tab w:val="num" w:pos="1680"/>
          <w:tab w:val="clear" w:pos="0"/>
        </w:tabs>
        <w:ind w:left="1680" w:hanging="1680"/>
      </w:pPr>
      <w:rPr>
        <w:rFonts w:ascii="Book Antiqua" w:cs="Book Antiqua" w:hAnsi="Book Antiqua" w:eastAsia="Book Antiqua"/>
        <w:position w:val="0"/>
        <w:sz w:val="28"/>
        <w:szCs w:val="28"/>
      </w:rPr>
    </w:lvl>
    <w:lvl w:ilvl="5">
      <w:start w:val="1"/>
      <w:numFmt w:val="decimal"/>
      <w:suff w:val="tab"/>
      <w:lvlText w:val="%1.%2.%3.%4.%5.%6."/>
      <w:lvlJc w:val="left"/>
      <w:pPr>
        <w:tabs>
          <w:tab w:val="num" w:pos="1680"/>
          <w:tab w:val="clear" w:pos="0"/>
        </w:tabs>
        <w:ind w:left="1680" w:hanging="1680"/>
      </w:pPr>
      <w:rPr>
        <w:rFonts w:ascii="Book Antiqua" w:cs="Book Antiqua" w:hAnsi="Book Antiqua" w:eastAsia="Book Antiqua"/>
        <w:position w:val="0"/>
        <w:sz w:val="28"/>
        <w:szCs w:val="28"/>
      </w:rPr>
    </w:lvl>
    <w:lvl w:ilvl="6">
      <w:start w:val="1"/>
      <w:numFmt w:val="decimal"/>
      <w:suff w:val="tab"/>
      <w:lvlText w:val="%1.%2.%3.%4.%5.%6.%7."/>
      <w:lvlJc w:val="left"/>
      <w:pPr>
        <w:tabs>
          <w:tab w:val="num" w:pos="2100"/>
          <w:tab w:val="clear" w:pos="0"/>
        </w:tabs>
        <w:ind w:left="2100" w:hanging="2100"/>
      </w:pPr>
      <w:rPr>
        <w:rFonts w:ascii="Book Antiqua" w:cs="Book Antiqua" w:hAnsi="Book Antiqua" w:eastAsia="Book Antiqua"/>
        <w:position w:val="0"/>
        <w:sz w:val="28"/>
        <w:szCs w:val="28"/>
      </w:rPr>
    </w:lvl>
    <w:lvl w:ilvl="7">
      <w:start w:val="1"/>
      <w:numFmt w:val="decimal"/>
      <w:suff w:val="tab"/>
      <w:lvlText w:val="%1.%2.%3.%4.%5.%6.%7.%8."/>
      <w:lvlJc w:val="left"/>
      <w:pPr>
        <w:tabs>
          <w:tab w:val="num" w:pos="2520"/>
          <w:tab w:val="clear" w:pos="0"/>
        </w:tabs>
        <w:ind w:left="2520" w:hanging="2520"/>
      </w:pPr>
      <w:rPr>
        <w:rFonts w:ascii="Book Antiqua" w:cs="Book Antiqua" w:hAnsi="Book Antiqua" w:eastAsia="Book Antiqua"/>
        <w:position w:val="0"/>
        <w:sz w:val="28"/>
        <w:szCs w:val="28"/>
      </w:rPr>
    </w:lvl>
    <w:lvl w:ilvl="8">
      <w:start w:val="1"/>
      <w:numFmt w:val="decimal"/>
      <w:suff w:val="tab"/>
      <w:lvlText w:val="%1.%2.%3.%4.%5.%6.%7.%8.%9."/>
      <w:lvlJc w:val="left"/>
      <w:pPr>
        <w:tabs>
          <w:tab w:val="num" w:pos="2520"/>
          <w:tab w:val="clear" w:pos="0"/>
        </w:tabs>
        <w:ind w:left="2520" w:hanging="2520"/>
      </w:pPr>
      <w:rPr>
        <w:rFonts w:ascii="Book Antiqua" w:cs="Book Antiqua" w:hAnsi="Book Antiqua" w:eastAsia="Book Antiqua"/>
        <w:position w:val="0"/>
        <w:sz w:val="28"/>
        <w:szCs w:val="28"/>
      </w:rPr>
    </w:lvl>
  </w:abstractNum>
  <w:abstractNum w:abstractNumId="145">
    <w:multiLevelType w:val="multilevel"/>
    <w:lvl w:ilvl="0">
      <w:start w:val="1"/>
      <w:numFmt w:val="decimal"/>
      <w:suff w:val="tab"/>
      <w:lvlText w:val="%1."/>
      <w:lvlJc w:val="left"/>
      <w:pPr/>
      <w:rPr>
        <w:position w:val="0"/>
      </w:rPr>
    </w:lvl>
    <w:lvl w:ilvl="1">
      <w:start w:val="1"/>
      <w:numFmt w:val="decimal"/>
      <w:suff w:val="tab"/>
      <w:lvlText w:val="%1.%2."/>
      <w:lvlJc w:val="left"/>
      <w:pPr/>
      <w:rPr>
        <w:position w:val="0"/>
      </w:rPr>
    </w:lvl>
    <w:lvl w:ilvl="2">
      <w:start w:val="1"/>
      <w:numFmt w:val="decimal"/>
      <w:suff w:val="tab"/>
      <w:lvlText w:val="%1.%2.%3."/>
      <w:lvlJc w:val="left"/>
      <w:pPr/>
      <w:rPr>
        <w:position w:val="0"/>
      </w:rPr>
    </w:lvl>
    <w:lvl w:ilvl="3">
      <w:start w:val="1"/>
      <w:numFmt w:val="decimal"/>
      <w:suff w:val="tab"/>
      <w:lvlText w:val="%1.%2.%3.%4."/>
      <w:lvlJc w:val="left"/>
      <w:pPr/>
      <w:rPr>
        <w:position w:val="0"/>
      </w:rPr>
    </w:lvl>
    <w:lvl w:ilvl="4">
      <w:start w:val="1"/>
      <w:numFmt w:val="decimal"/>
      <w:suff w:val="tab"/>
      <w:lvlText w:val="%1.%2.%3.%4.%5."/>
      <w:lvlJc w:val="left"/>
      <w:pPr/>
      <w:rPr>
        <w:position w:val="0"/>
      </w:rPr>
    </w:lvl>
    <w:lvl w:ilvl="5">
      <w:start w:val="1"/>
      <w:numFmt w:val="decimal"/>
      <w:suff w:val="tab"/>
      <w:lvlText w:val="%1.%2.%3.%4.%5.%6."/>
      <w:lvlJc w:val="left"/>
      <w:pPr/>
      <w:rPr>
        <w:position w:val="0"/>
      </w:rPr>
    </w:lvl>
    <w:lvl w:ilvl="6">
      <w:start w:val="1"/>
      <w:numFmt w:val="decimal"/>
      <w:suff w:val="tab"/>
      <w:lvlText w:val="%1.%2.%3.%4.%5.%6.%7."/>
      <w:lvlJc w:val="left"/>
      <w:pPr/>
      <w:rPr>
        <w:position w:val="0"/>
      </w:rPr>
    </w:lvl>
    <w:lvl w:ilvl="7">
      <w:start w:val="1"/>
      <w:numFmt w:val="decimal"/>
      <w:suff w:val="tab"/>
      <w:lvlText w:val="%1.%2.%3.%4.%5.%6.%7.%8."/>
      <w:lvlJc w:val="left"/>
      <w:pPr/>
      <w:rPr>
        <w:position w:val="0"/>
      </w:rPr>
    </w:lvl>
    <w:lvl w:ilvl="8">
      <w:start w:val="1"/>
      <w:numFmt w:val="decimal"/>
      <w:suff w:val="tab"/>
      <w:lvlText w:val="%1.%2.%3.%4.%5.%6.%7.%8.%9."/>
      <w:lvlJc w:val="left"/>
      <w:pPr/>
      <w:rPr>
        <w:position w:val="0"/>
      </w:rPr>
    </w:lvl>
  </w:abstractNum>
  <w:abstractNum w:abstractNumId="146">
    <w:multiLevelType w:val="multilevel"/>
    <w:styleLink w:val="List 29"/>
    <w:lvl w:ilvl="0">
      <w:start w:val="1"/>
      <w:numFmt w:val="decimal"/>
      <w:suff w:val="tab"/>
      <w:lvlText w:val="%1."/>
      <w:lvlJc w:val="left"/>
      <w:pPr>
        <w:tabs>
          <w:tab w:val="num" w:pos="438"/>
          <w:tab w:val="clear" w:pos="0"/>
        </w:tabs>
        <w:ind w:left="438" w:hanging="438"/>
      </w:pPr>
      <w:rPr>
        <w:rFonts w:ascii="Book Antiqua" w:cs="Book Antiqua" w:hAnsi="Book Antiqua" w:eastAsia="Book Antiqua"/>
        <w:position w:val="0"/>
        <w:sz w:val="28"/>
        <w:szCs w:val="28"/>
      </w:rPr>
    </w:lvl>
    <w:lvl w:ilvl="1">
      <w:start w:val="1"/>
      <w:numFmt w:val="decimal"/>
      <w:suff w:val="tab"/>
      <w:lvlText w:val="%1.%2."/>
      <w:lvlJc w:val="left"/>
      <w:pPr>
        <w:tabs>
          <w:tab w:val="num" w:pos="567"/>
          <w:tab w:val="clear" w:pos="0"/>
        </w:tabs>
        <w:ind w:left="567" w:hanging="141"/>
      </w:pPr>
      <w:rPr>
        <w:rFonts w:ascii="Book Antiqua" w:cs="Book Antiqua" w:hAnsi="Book Antiqua" w:eastAsia="Book Antiqua"/>
        <w:position w:val="0"/>
        <w:sz w:val="28"/>
        <w:szCs w:val="28"/>
      </w:rPr>
    </w:lvl>
    <w:lvl w:ilvl="2">
      <w:start w:val="1"/>
      <w:numFmt w:val="decimal"/>
      <w:suff w:val="tab"/>
      <w:lvlText w:val="%1.%2.%3."/>
      <w:lvlJc w:val="left"/>
      <w:pPr>
        <w:tabs>
          <w:tab w:val="num" w:pos="2541"/>
          <w:tab w:val="clear" w:pos="0"/>
        </w:tabs>
        <w:ind w:left="2541" w:hanging="840"/>
      </w:pPr>
      <w:rPr>
        <w:rFonts w:ascii="Book Antiqua" w:cs="Book Antiqua" w:hAnsi="Book Antiqua" w:eastAsia="Book Antiqua"/>
        <w:position w:val="0"/>
        <w:sz w:val="28"/>
        <w:szCs w:val="28"/>
      </w:rPr>
    </w:lvl>
    <w:lvl w:ilvl="3">
      <w:start w:val="1"/>
      <w:numFmt w:val="decimal"/>
      <w:suff w:val="tab"/>
      <w:lvlText w:val="%1.%2.%3.%4."/>
      <w:lvlJc w:val="left"/>
      <w:pPr>
        <w:tabs>
          <w:tab w:val="num" w:pos="1260"/>
          <w:tab w:val="clear" w:pos="0"/>
        </w:tabs>
        <w:ind w:left="1260" w:hanging="1260"/>
      </w:pPr>
      <w:rPr>
        <w:rFonts w:ascii="Book Antiqua" w:cs="Book Antiqua" w:hAnsi="Book Antiqua" w:eastAsia="Book Antiqua"/>
        <w:position w:val="0"/>
        <w:sz w:val="28"/>
        <w:szCs w:val="28"/>
      </w:rPr>
    </w:lvl>
    <w:lvl w:ilvl="4">
      <w:start w:val="1"/>
      <w:numFmt w:val="decimal"/>
      <w:suff w:val="tab"/>
      <w:lvlText w:val="%1.%2.%3.%4.%5."/>
      <w:lvlJc w:val="left"/>
      <w:pPr>
        <w:tabs>
          <w:tab w:val="num" w:pos="1680"/>
          <w:tab w:val="clear" w:pos="0"/>
        </w:tabs>
        <w:ind w:left="1680" w:hanging="1680"/>
      </w:pPr>
      <w:rPr>
        <w:rFonts w:ascii="Book Antiqua" w:cs="Book Antiqua" w:hAnsi="Book Antiqua" w:eastAsia="Book Antiqua"/>
        <w:position w:val="0"/>
        <w:sz w:val="28"/>
        <w:szCs w:val="28"/>
      </w:rPr>
    </w:lvl>
    <w:lvl w:ilvl="5">
      <w:start w:val="1"/>
      <w:numFmt w:val="decimal"/>
      <w:suff w:val="tab"/>
      <w:lvlText w:val="%1.%2.%3.%4.%5.%6."/>
      <w:lvlJc w:val="left"/>
      <w:pPr>
        <w:tabs>
          <w:tab w:val="num" w:pos="1680"/>
          <w:tab w:val="clear" w:pos="0"/>
        </w:tabs>
        <w:ind w:left="1680" w:hanging="1680"/>
      </w:pPr>
      <w:rPr>
        <w:rFonts w:ascii="Book Antiqua" w:cs="Book Antiqua" w:hAnsi="Book Antiqua" w:eastAsia="Book Antiqua"/>
        <w:position w:val="0"/>
        <w:sz w:val="28"/>
        <w:szCs w:val="28"/>
      </w:rPr>
    </w:lvl>
    <w:lvl w:ilvl="6">
      <w:start w:val="1"/>
      <w:numFmt w:val="decimal"/>
      <w:suff w:val="tab"/>
      <w:lvlText w:val="%1.%2.%3.%4.%5.%6.%7."/>
      <w:lvlJc w:val="left"/>
      <w:pPr>
        <w:tabs>
          <w:tab w:val="num" w:pos="2100"/>
          <w:tab w:val="clear" w:pos="0"/>
        </w:tabs>
        <w:ind w:left="2100" w:hanging="2100"/>
      </w:pPr>
      <w:rPr>
        <w:rFonts w:ascii="Book Antiqua" w:cs="Book Antiqua" w:hAnsi="Book Antiqua" w:eastAsia="Book Antiqua"/>
        <w:position w:val="0"/>
        <w:sz w:val="28"/>
        <w:szCs w:val="28"/>
      </w:rPr>
    </w:lvl>
    <w:lvl w:ilvl="7">
      <w:start w:val="1"/>
      <w:numFmt w:val="decimal"/>
      <w:suff w:val="tab"/>
      <w:lvlText w:val="%1.%2.%3.%4.%5.%6.%7.%8."/>
      <w:lvlJc w:val="left"/>
      <w:pPr>
        <w:tabs>
          <w:tab w:val="num" w:pos="2520"/>
          <w:tab w:val="clear" w:pos="0"/>
        </w:tabs>
        <w:ind w:left="2520" w:hanging="2520"/>
      </w:pPr>
      <w:rPr>
        <w:rFonts w:ascii="Book Antiqua" w:cs="Book Antiqua" w:hAnsi="Book Antiqua" w:eastAsia="Book Antiqua"/>
        <w:position w:val="0"/>
        <w:sz w:val="28"/>
        <w:szCs w:val="28"/>
      </w:rPr>
    </w:lvl>
    <w:lvl w:ilvl="8">
      <w:start w:val="1"/>
      <w:numFmt w:val="decimal"/>
      <w:suff w:val="tab"/>
      <w:lvlText w:val="%1.%2.%3.%4.%5.%6.%7.%8.%9."/>
      <w:lvlJc w:val="left"/>
      <w:pPr>
        <w:tabs>
          <w:tab w:val="num" w:pos="2520"/>
          <w:tab w:val="clear" w:pos="0"/>
        </w:tabs>
        <w:ind w:left="2520" w:hanging="2520"/>
      </w:pPr>
      <w:rPr>
        <w:rFonts w:ascii="Book Antiqua" w:cs="Book Antiqua" w:hAnsi="Book Antiqua" w:eastAsia="Book Antiqua"/>
        <w:position w:val="0"/>
        <w:sz w:val="28"/>
        <w:szCs w:val="28"/>
      </w:rPr>
    </w:lvl>
  </w:abstractNum>
  <w:abstractNum w:abstractNumId="147">
    <w:multiLevelType w:val="multilevel"/>
    <w:lvl w:ilvl="0">
      <w:start w:val="1"/>
      <w:numFmt w:val="decimal"/>
      <w:suff w:val="tab"/>
      <w:lvlText w:val="%1)"/>
      <w:lvlJc w:val="left"/>
      <w:pPr/>
      <w:rPr>
        <w:rFonts w:ascii="Book Antiqua" w:cs="Book Antiqua" w:hAnsi="Book Antiqua" w:eastAsia="Book Antiqua"/>
        <w:position w:val="0"/>
      </w:rPr>
    </w:lvl>
    <w:lvl w:ilvl="1">
      <w:start w:val="1"/>
      <w:numFmt w:val="lowerLetter"/>
      <w:suff w:val="tab"/>
      <w:lvlText w:val="%2."/>
      <w:lvlJc w:val="left"/>
      <w:pPr/>
      <w:rPr>
        <w:rFonts w:ascii="Book Antiqua" w:cs="Book Antiqua" w:hAnsi="Book Antiqua" w:eastAsia="Book Antiqua"/>
        <w:position w:val="0"/>
      </w:rPr>
    </w:lvl>
    <w:lvl w:ilvl="2">
      <w:start w:val="1"/>
      <w:numFmt w:val="lowerRoman"/>
      <w:suff w:val="tab"/>
      <w:lvlText w:val="%3."/>
      <w:lvlJc w:val="left"/>
      <w:pPr/>
      <w:rPr>
        <w:rFonts w:ascii="Book Antiqua" w:cs="Book Antiqua" w:hAnsi="Book Antiqua" w:eastAsia="Book Antiqua"/>
        <w:position w:val="0"/>
      </w:rPr>
    </w:lvl>
    <w:lvl w:ilvl="3">
      <w:start w:val="1"/>
      <w:numFmt w:val="decimal"/>
      <w:suff w:val="tab"/>
      <w:lvlText w:val="%4."/>
      <w:lvlJc w:val="left"/>
      <w:pPr/>
      <w:rPr>
        <w:rFonts w:ascii="Book Antiqua" w:cs="Book Antiqua" w:hAnsi="Book Antiqua" w:eastAsia="Book Antiqua"/>
        <w:position w:val="0"/>
      </w:rPr>
    </w:lvl>
    <w:lvl w:ilvl="4">
      <w:start w:val="1"/>
      <w:numFmt w:val="lowerLetter"/>
      <w:suff w:val="tab"/>
      <w:lvlText w:val="%5."/>
      <w:lvlJc w:val="left"/>
      <w:pPr/>
      <w:rPr>
        <w:rFonts w:ascii="Book Antiqua" w:cs="Book Antiqua" w:hAnsi="Book Antiqua" w:eastAsia="Book Antiqua"/>
        <w:position w:val="0"/>
      </w:rPr>
    </w:lvl>
    <w:lvl w:ilvl="5">
      <w:start w:val="1"/>
      <w:numFmt w:val="lowerRoman"/>
      <w:suff w:val="tab"/>
      <w:lvlText w:val="%6."/>
      <w:lvlJc w:val="left"/>
      <w:pPr/>
      <w:rPr>
        <w:rFonts w:ascii="Book Antiqua" w:cs="Book Antiqua" w:hAnsi="Book Antiqua" w:eastAsia="Book Antiqua"/>
        <w:position w:val="0"/>
      </w:rPr>
    </w:lvl>
    <w:lvl w:ilvl="6">
      <w:start w:val="1"/>
      <w:numFmt w:val="decimal"/>
      <w:suff w:val="tab"/>
      <w:lvlText w:val="%7."/>
      <w:lvlJc w:val="left"/>
      <w:pPr/>
      <w:rPr>
        <w:rFonts w:ascii="Book Antiqua" w:cs="Book Antiqua" w:hAnsi="Book Antiqua" w:eastAsia="Book Antiqua"/>
        <w:position w:val="0"/>
      </w:rPr>
    </w:lvl>
    <w:lvl w:ilvl="7">
      <w:start w:val="1"/>
      <w:numFmt w:val="lowerLetter"/>
      <w:suff w:val="tab"/>
      <w:lvlText w:val="%8."/>
      <w:lvlJc w:val="left"/>
      <w:pPr/>
      <w:rPr>
        <w:rFonts w:ascii="Book Antiqua" w:cs="Book Antiqua" w:hAnsi="Book Antiqua" w:eastAsia="Book Antiqua"/>
        <w:position w:val="0"/>
      </w:rPr>
    </w:lvl>
    <w:lvl w:ilvl="8">
      <w:start w:val="1"/>
      <w:numFmt w:val="lowerRoman"/>
      <w:suff w:val="tab"/>
      <w:lvlText w:val="%9."/>
      <w:lvlJc w:val="left"/>
      <w:pPr/>
      <w:rPr>
        <w:rFonts w:ascii="Book Antiqua" w:cs="Book Antiqua" w:hAnsi="Book Antiqua" w:eastAsia="Book Antiqua"/>
        <w:position w:val="0"/>
      </w:rPr>
    </w:lvl>
  </w:abstractNum>
  <w:abstractNum w:abstractNumId="148">
    <w:multiLevelType w:val="multilevel"/>
    <w:lvl w:ilvl="0">
      <w:start w:val="1"/>
      <w:numFmt w:val="decimal"/>
      <w:suff w:val="tab"/>
      <w:lvlText w:val="%1)"/>
      <w:lvlJc w:val="left"/>
      <w:pPr/>
      <w:rPr>
        <w:position w:val="0"/>
      </w:rPr>
    </w:lvl>
    <w:lvl w:ilvl="1">
      <w:start w:val="1"/>
      <w:numFmt w:val="lowerLetter"/>
      <w:suff w:val="tab"/>
      <w:lvlText w:val="%2."/>
      <w:lvlJc w:val="left"/>
      <w:pPr/>
      <w:rPr>
        <w:position w:val="0"/>
      </w:rPr>
    </w:lvl>
    <w:lvl w:ilvl="2">
      <w:start w:val="1"/>
      <w:numFmt w:val="lowerRoman"/>
      <w:suff w:val="tab"/>
      <w:lvlText w:val="%3."/>
      <w:lvlJc w:val="left"/>
      <w:pPr/>
      <w:rPr>
        <w:position w:val="0"/>
      </w:rPr>
    </w:lvl>
    <w:lvl w:ilvl="3">
      <w:start w:val="1"/>
      <w:numFmt w:val="decimal"/>
      <w:suff w:val="tab"/>
      <w:lvlText w:val="%4."/>
      <w:lvlJc w:val="left"/>
      <w:pPr/>
      <w:rPr>
        <w:position w:val="0"/>
      </w:rPr>
    </w:lvl>
    <w:lvl w:ilvl="4">
      <w:start w:val="1"/>
      <w:numFmt w:val="lowerLetter"/>
      <w:suff w:val="tab"/>
      <w:lvlText w:val="%5."/>
      <w:lvlJc w:val="left"/>
      <w:pPr/>
      <w:rPr>
        <w:position w:val="0"/>
      </w:rPr>
    </w:lvl>
    <w:lvl w:ilvl="5">
      <w:start w:val="1"/>
      <w:numFmt w:val="lowerRoman"/>
      <w:suff w:val="tab"/>
      <w:lvlText w:val="%6."/>
      <w:lvlJc w:val="left"/>
      <w:pPr/>
      <w:rPr>
        <w:position w:val="0"/>
      </w:rPr>
    </w:lvl>
    <w:lvl w:ilvl="6">
      <w:start w:val="1"/>
      <w:numFmt w:val="decimal"/>
      <w:suff w:val="tab"/>
      <w:lvlText w:val="%7."/>
      <w:lvlJc w:val="left"/>
      <w:pPr/>
      <w:rPr>
        <w:position w:val="0"/>
      </w:rPr>
    </w:lvl>
    <w:lvl w:ilvl="7">
      <w:start w:val="1"/>
      <w:numFmt w:val="lowerLetter"/>
      <w:suff w:val="tab"/>
      <w:lvlText w:val="%8."/>
      <w:lvlJc w:val="left"/>
      <w:pPr/>
      <w:rPr>
        <w:position w:val="0"/>
      </w:rPr>
    </w:lvl>
    <w:lvl w:ilvl="8">
      <w:start w:val="1"/>
      <w:numFmt w:val="lowerRoman"/>
      <w:suff w:val="tab"/>
      <w:lvlText w:val="%9."/>
      <w:lvlJc w:val="left"/>
      <w:pPr/>
      <w:rPr>
        <w:position w:val="0"/>
      </w:rPr>
    </w:lvl>
  </w:abstractNum>
  <w:abstractNum w:abstractNumId="149">
    <w:multiLevelType w:val="multilevel"/>
    <w:styleLink w:val="List 30"/>
    <w:lvl w:ilvl="0">
      <w:start w:val="1"/>
      <w:numFmt w:val="decimal"/>
      <w:suff w:val="tab"/>
      <w:lvlText w:val="%1)"/>
      <w:lvlJc w:val="left"/>
      <w:pPr/>
      <w:rPr>
        <w:rFonts w:ascii="Book Antiqua" w:cs="Book Antiqua" w:hAnsi="Book Antiqua" w:eastAsia="Book Antiqua"/>
        <w:position w:val="0"/>
      </w:rPr>
    </w:lvl>
    <w:lvl w:ilvl="1">
      <w:start w:val="1"/>
      <w:numFmt w:val="lowerLetter"/>
      <w:suff w:val="tab"/>
      <w:lvlText w:val="%2."/>
      <w:lvlJc w:val="left"/>
      <w:pPr/>
      <w:rPr>
        <w:rFonts w:ascii="Book Antiqua" w:cs="Book Antiqua" w:hAnsi="Book Antiqua" w:eastAsia="Book Antiqua"/>
        <w:position w:val="0"/>
      </w:rPr>
    </w:lvl>
    <w:lvl w:ilvl="2">
      <w:start w:val="1"/>
      <w:numFmt w:val="lowerRoman"/>
      <w:suff w:val="tab"/>
      <w:lvlText w:val="%3."/>
      <w:lvlJc w:val="left"/>
      <w:pPr/>
      <w:rPr>
        <w:rFonts w:ascii="Book Antiqua" w:cs="Book Antiqua" w:hAnsi="Book Antiqua" w:eastAsia="Book Antiqua"/>
        <w:position w:val="0"/>
      </w:rPr>
    </w:lvl>
    <w:lvl w:ilvl="3">
      <w:start w:val="1"/>
      <w:numFmt w:val="decimal"/>
      <w:suff w:val="tab"/>
      <w:lvlText w:val="%4."/>
      <w:lvlJc w:val="left"/>
      <w:pPr/>
      <w:rPr>
        <w:rFonts w:ascii="Book Antiqua" w:cs="Book Antiqua" w:hAnsi="Book Antiqua" w:eastAsia="Book Antiqua"/>
        <w:position w:val="0"/>
      </w:rPr>
    </w:lvl>
    <w:lvl w:ilvl="4">
      <w:start w:val="1"/>
      <w:numFmt w:val="lowerLetter"/>
      <w:suff w:val="tab"/>
      <w:lvlText w:val="%5."/>
      <w:lvlJc w:val="left"/>
      <w:pPr/>
      <w:rPr>
        <w:rFonts w:ascii="Book Antiqua" w:cs="Book Antiqua" w:hAnsi="Book Antiqua" w:eastAsia="Book Antiqua"/>
        <w:position w:val="0"/>
      </w:rPr>
    </w:lvl>
    <w:lvl w:ilvl="5">
      <w:start w:val="1"/>
      <w:numFmt w:val="lowerRoman"/>
      <w:suff w:val="tab"/>
      <w:lvlText w:val="%6."/>
      <w:lvlJc w:val="left"/>
      <w:pPr/>
      <w:rPr>
        <w:rFonts w:ascii="Book Antiqua" w:cs="Book Antiqua" w:hAnsi="Book Antiqua" w:eastAsia="Book Antiqua"/>
        <w:position w:val="0"/>
      </w:rPr>
    </w:lvl>
    <w:lvl w:ilvl="6">
      <w:start w:val="1"/>
      <w:numFmt w:val="decimal"/>
      <w:suff w:val="tab"/>
      <w:lvlText w:val="%7."/>
      <w:lvlJc w:val="left"/>
      <w:pPr/>
      <w:rPr>
        <w:rFonts w:ascii="Book Antiqua" w:cs="Book Antiqua" w:hAnsi="Book Antiqua" w:eastAsia="Book Antiqua"/>
        <w:position w:val="0"/>
      </w:rPr>
    </w:lvl>
    <w:lvl w:ilvl="7">
      <w:start w:val="1"/>
      <w:numFmt w:val="lowerLetter"/>
      <w:suff w:val="tab"/>
      <w:lvlText w:val="%8."/>
      <w:lvlJc w:val="left"/>
      <w:pPr/>
      <w:rPr>
        <w:rFonts w:ascii="Book Antiqua" w:cs="Book Antiqua" w:hAnsi="Book Antiqua" w:eastAsia="Book Antiqua"/>
        <w:position w:val="0"/>
      </w:rPr>
    </w:lvl>
    <w:lvl w:ilvl="8">
      <w:start w:val="1"/>
      <w:numFmt w:val="lowerRoman"/>
      <w:suff w:val="tab"/>
      <w:lvlText w:val="%9."/>
      <w:lvlJc w:val="left"/>
      <w:pPr/>
      <w:rPr>
        <w:rFonts w:ascii="Book Antiqua" w:cs="Book Antiqua" w:hAnsi="Book Antiqua" w:eastAsia="Book Antiqua"/>
        <w:position w:val="0"/>
      </w:rPr>
    </w:lvl>
  </w:abstractNum>
  <w:abstractNum w:abstractNumId="150">
    <w:multiLevelType w:val="multilevel"/>
    <w:lvl w:ilvl="0">
      <w:start w:val="1"/>
      <w:numFmt w:val="decimal"/>
      <w:suff w:val="tab"/>
      <w:lvlText w:val="%1."/>
      <w:lvlJc w:val="left"/>
      <w:pPr>
        <w:tabs>
          <w:tab w:val="num" w:pos="653"/>
          <w:tab w:val="clear" w:pos="0"/>
        </w:tabs>
        <w:ind w:left="653" w:hanging="653"/>
      </w:pPr>
      <w:rPr>
        <w:rFonts w:ascii="Book Antiqua" w:cs="Book Antiqua" w:hAnsi="Book Antiqua" w:eastAsia="Book Antiqua"/>
        <w:position w:val="0"/>
        <w:sz w:val="28"/>
        <w:szCs w:val="28"/>
      </w:rPr>
    </w:lvl>
    <w:lvl w:ilvl="1">
      <w:start w:val="1"/>
      <w:numFmt w:val="decimal"/>
      <w:suff w:val="tab"/>
      <w:lvlText w:val="%1.%2."/>
      <w:lvlJc w:val="left"/>
      <w:pPr>
        <w:tabs>
          <w:tab w:val="num" w:pos="1123"/>
          <w:tab w:val="clear" w:pos="0"/>
        </w:tabs>
        <w:ind w:left="1123" w:hanging="840"/>
      </w:pPr>
      <w:rPr>
        <w:rFonts w:ascii="Book Antiqua" w:cs="Book Antiqua" w:hAnsi="Book Antiqua" w:eastAsia="Book Antiqua"/>
        <w:position w:val="0"/>
        <w:sz w:val="28"/>
        <w:szCs w:val="28"/>
      </w:rPr>
    </w:lvl>
    <w:lvl w:ilvl="2">
      <w:start w:val="1"/>
      <w:numFmt w:val="decimal"/>
      <w:suff w:val="tab"/>
      <w:lvlText w:val="%1.%2.%3."/>
      <w:lvlJc w:val="left"/>
      <w:pPr>
        <w:tabs>
          <w:tab w:val="num" w:pos="1286"/>
          <w:tab w:val="clear" w:pos="0"/>
        </w:tabs>
        <w:ind w:left="1286" w:hanging="720"/>
      </w:pPr>
      <w:rPr>
        <w:rFonts w:ascii="Book Antiqua" w:cs="Book Antiqua" w:hAnsi="Book Antiqua" w:eastAsia="Book Antiqua"/>
        <w:position w:val="0"/>
        <w:sz w:val="28"/>
        <w:szCs w:val="28"/>
      </w:rPr>
    </w:lvl>
    <w:lvl w:ilvl="3">
      <w:start w:val="1"/>
      <w:numFmt w:val="decimal"/>
      <w:suff w:val="tab"/>
      <w:lvlText w:val="%1.%2.%3.%4."/>
      <w:lvlJc w:val="left"/>
      <w:pPr>
        <w:tabs>
          <w:tab w:val="num" w:pos="2109"/>
          <w:tab w:val="clear" w:pos="0"/>
        </w:tabs>
        <w:ind w:left="2109" w:hanging="1260"/>
      </w:pPr>
      <w:rPr>
        <w:rFonts w:ascii="Book Antiqua" w:cs="Book Antiqua" w:hAnsi="Book Antiqua" w:eastAsia="Book Antiqua"/>
        <w:position w:val="0"/>
        <w:sz w:val="28"/>
        <w:szCs w:val="28"/>
      </w:rPr>
    </w:lvl>
    <w:lvl w:ilvl="4">
      <w:start w:val="1"/>
      <w:numFmt w:val="decimal"/>
      <w:suff w:val="tab"/>
      <w:lvlText w:val="%1.%2.%3.%4.%5."/>
      <w:lvlJc w:val="left"/>
      <w:pPr>
        <w:tabs>
          <w:tab w:val="num" w:pos="2812"/>
          <w:tab w:val="clear" w:pos="0"/>
        </w:tabs>
        <w:ind w:left="2812" w:hanging="1680"/>
      </w:pPr>
      <w:rPr>
        <w:rFonts w:ascii="Book Antiqua" w:cs="Book Antiqua" w:hAnsi="Book Antiqua" w:eastAsia="Book Antiqua"/>
        <w:position w:val="0"/>
        <w:sz w:val="28"/>
        <w:szCs w:val="28"/>
      </w:rPr>
    </w:lvl>
    <w:lvl w:ilvl="5">
      <w:start w:val="1"/>
      <w:numFmt w:val="decimal"/>
      <w:suff w:val="tab"/>
      <w:lvlText w:val="%1.%2.%3.%4.%5.%6."/>
      <w:lvlJc w:val="left"/>
      <w:pPr>
        <w:tabs>
          <w:tab w:val="num" w:pos="3095"/>
          <w:tab w:val="clear" w:pos="0"/>
        </w:tabs>
        <w:ind w:left="3095" w:hanging="1680"/>
      </w:pPr>
      <w:rPr>
        <w:rFonts w:ascii="Book Antiqua" w:cs="Book Antiqua" w:hAnsi="Book Antiqua" w:eastAsia="Book Antiqua"/>
        <w:position w:val="0"/>
        <w:sz w:val="28"/>
        <w:szCs w:val="28"/>
      </w:rPr>
    </w:lvl>
    <w:lvl w:ilvl="6">
      <w:start w:val="1"/>
      <w:numFmt w:val="decimal"/>
      <w:suff w:val="tab"/>
      <w:lvlText w:val="%1.%2.%3.%4.%5.%6.%7."/>
      <w:lvlJc w:val="left"/>
      <w:pPr>
        <w:tabs>
          <w:tab w:val="num" w:pos="3798"/>
          <w:tab w:val="clear" w:pos="0"/>
        </w:tabs>
        <w:ind w:left="3798" w:hanging="2100"/>
      </w:pPr>
      <w:rPr>
        <w:rFonts w:ascii="Book Antiqua" w:cs="Book Antiqua" w:hAnsi="Book Antiqua" w:eastAsia="Book Antiqua"/>
        <w:position w:val="0"/>
        <w:sz w:val="28"/>
        <w:szCs w:val="28"/>
      </w:rPr>
    </w:lvl>
    <w:lvl w:ilvl="7">
      <w:start w:val="1"/>
      <w:numFmt w:val="decimal"/>
      <w:suff w:val="tab"/>
      <w:lvlText w:val="%1.%2.%3.%4.%5.%6.%7.%8."/>
      <w:lvlJc w:val="left"/>
      <w:pPr>
        <w:tabs>
          <w:tab w:val="num" w:pos="4501"/>
          <w:tab w:val="clear" w:pos="0"/>
        </w:tabs>
        <w:ind w:left="4501" w:hanging="2520"/>
      </w:pPr>
      <w:rPr>
        <w:rFonts w:ascii="Book Antiqua" w:cs="Book Antiqua" w:hAnsi="Book Antiqua" w:eastAsia="Book Antiqua"/>
        <w:position w:val="0"/>
        <w:sz w:val="28"/>
        <w:szCs w:val="28"/>
      </w:rPr>
    </w:lvl>
    <w:lvl w:ilvl="8">
      <w:start w:val="1"/>
      <w:numFmt w:val="decimal"/>
      <w:suff w:val="tab"/>
      <w:lvlText w:val="%1.%2.%3.%4.%5.%6.%7.%8.%9."/>
      <w:lvlJc w:val="left"/>
      <w:pPr>
        <w:tabs>
          <w:tab w:val="num" w:pos="4784"/>
          <w:tab w:val="clear" w:pos="0"/>
        </w:tabs>
        <w:ind w:left="4784" w:hanging="2520"/>
      </w:pPr>
      <w:rPr>
        <w:rFonts w:ascii="Book Antiqua" w:cs="Book Antiqua" w:hAnsi="Book Antiqua" w:eastAsia="Book Antiqua"/>
        <w:position w:val="0"/>
        <w:sz w:val="28"/>
        <w:szCs w:val="28"/>
      </w:rPr>
    </w:lvl>
  </w:abstractNum>
  <w:abstractNum w:abstractNumId="151">
    <w:multiLevelType w:val="multilevel"/>
    <w:lvl w:ilvl="0">
      <w:start w:val="1"/>
      <w:numFmt w:val="decimal"/>
      <w:suff w:val="tab"/>
      <w:lvlText w:val="%1."/>
      <w:lvlJc w:val="left"/>
      <w:pPr/>
      <w:rPr>
        <w:position w:val="0"/>
      </w:rPr>
    </w:lvl>
    <w:lvl w:ilvl="1">
      <w:start w:val="1"/>
      <w:numFmt w:val="decimal"/>
      <w:suff w:val="tab"/>
      <w:lvlText w:val="%1.%2."/>
      <w:lvlJc w:val="left"/>
      <w:pPr/>
      <w:rPr>
        <w:position w:val="0"/>
      </w:rPr>
    </w:lvl>
    <w:lvl w:ilvl="2">
      <w:start w:val="1"/>
      <w:numFmt w:val="decimal"/>
      <w:suff w:val="tab"/>
      <w:lvlText w:val="%1.%2.%3."/>
      <w:lvlJc w:val="left"/>
      <w:pPr/>
      <w:rPr>
        <w:position w:val="0"/>
      </w:rPr>
    </w:lvl>
    <w:lvl w:ilvl="3">
      <w:start w:val="1"/>
      <w:numFmt w:val="decimal"/>
      <w:suff w:val="tab"/>
      <w:lvlText w:val="%1.%2.%3.%4."/>
      <w:lvlJc w:val="left"/>
      <w:pPr/>
      <w:rPr>
        <w:position w:val="0"/>
      </w:rPr>
    </w:lvl>
    <w:lvl w:ilvl="4">
      <w:start w:val="1"/>
      <w:numFmt w:val="decimal"/>
      <w:suff w:val="tab"/>
      <w:lvlText w:val="%1.%2.%3.%4.%5."/>
      <w:lvlJc w:val="left"/>
      <w:pPr/>
      <w:rPr>
        <w:position w:val="0"/>
      </w:rPr>
    </w:lvl>
    <w:lvl w:ilvl="5">
      <w:start w:val="1"/>
      <w:numFmt w:val="decimal"/>
      <w:suff w:val="tab"/>
      <w:lvlText w:val="%1.%2.%3.%4.%5.%6."/>
      <w:lvlJc w:val="left"/>
      <w:pPr/>
      <w:rPr>
        <w:position w:val="0"/>
      </w:rPr>
    </w:lvl>
    <w:lvl w:ilvl="6">
      <w:start w:val="1"/>
      <w:numFmt w:val="decimal"/>
      <w:suff w:val="tab"/>
      <w:lvlText w:val="%1.%2.%3.%4.%5.%6.%7."/>
      <w:lvlJc w:val="left"/>
      <w:pPr/>
      <w:rPr>
        <w:position w:val="0"/>
      </w:rPr>
    </w:lvl>
    <w:lvl w:ilvl="7">
      <w:start w:val="1"/>
      <w:numFmt w:val="decimal"/>
      <w:suff w:val="tab"/>
      <w:lvlText w:val="%1.%2.%3.%4.%5.%6.%7.%8."/>
      <w:lvlJc w:val="left"/>
      <w:pPr/>
      <w:rPr>
        <w:position w:val="0"/>
      </w:rPr>
    </w:lvl>
    <w:lvl w:ilvl="8">
      <w:start w:val="1"/>
      <w:numFmt w:val="decimal"/>
      <w:suff w:val="tab"/>
      <w:lvlText w:val="%1.%2.%3.%4.%5.%6.%7.%8.%9."/>
      <w:lvlJc w:val="left"/>
      <w:pPr/>
      <w:rPr>
        <w:position w:val="0"/>
      </w:rPr>
    </w:lvl>
  </w:abstractNum>
  <w:abstractNum w:abstractNumId="152">
    <w:multiLevelType w:val="multilevel"/>
    <w:styleLink w:val="List 31"/>
    <w:lvl w:ilvl="0">
      <w:start w:val="1"/>
      <w:numFmt w:val="decimal"/>
      <w:suff w:val="tab"/>
      <w:lvlText w:val="%1."/>
      <w:lvlJc w:val="left"/>
      <w:pPr>
        <w:tabs>
          <w:tab w:val="num" w:pos="653"/>
          <w:tab w:val="clear" w:pos="0"/>
        </w:tabs>
        <w:ind w:left="653" w:hanging="653"/>
      </w:pPr>
      <w:rPr>
        <w:rFonts w:ascii="Book Antiqua" w:cs="Book Antiqua" w:hAnsi="Book Antiqua" w:eastAsia="Book Antiqua"/>
        <w:position w:val="0"/>
        <w:sz w:val="28"/>
        <w:szCs w:val="28"/>
      </w:rPr>
    </w:lvl>
    <w:lvl w:ilvl="1">
      <w:start w:val="1"/>
      <w:numFmt w:val="decimal"/>
      <w:suff w:val="tab"/>
      <w:lvlText w:val="%1.%2."/>
      <w:lvlJc w:val="left"/>
      <w:pPr>
        <w:tabs>
          <w:tab w:val="num" w:pos="1123"/>
          <w:tab w:val="clear" w:pos="0"/>
        </w:tabs>
        <w:ind w:left="1123" w:hanging="840"/>
      </w:pPr>
      <w:rPr>
        <w:rFonts w:ascii="Book Antiqua" w:cs="Book Antiqua" w:hAnsi="Book Antiqua" w:eastAsia="Book Antiqua"/>
        <w:position w:val="0"/>
        <w:sz w:val="28"/>
        <w:szCs w:val="28"/>
      </w:rPr>
    </w:lvl>
    <w:lvl w:ilvl="2">
      <w:start w:val="2"/>
      <w:numFmt w:val="decimal"/>
      <w:suff w:val="tab"/>
      <w:lvlText w:val="%1.%2.%3."/>
      <w:lvlJc w:val="left"/>
      <w:pPr>
        <w:tabs>
          <w:tab w:val="num" w:pos="1286"/>
          <w:tab w:val="clear" w:pos="0"/>
        </w:tabs>
        <w:ind w:left="1286" w:hanging="720"/>
      </w:pPr>
      <w:rPr>
        <w:rFonts w:ascii="Book Antiqua" w:cs="Book Antiqua" w:hAnsi="Book Antiqua" w:eastAsia="Book Antiqua"/>
        <w:position w:val="0"/>
        <w:sz w:val="28"/>
        <w:szCs w:val="28"/>
      </w:rPr>
    </w:lvl>
    <w:lvl w:ilvl="3">
      <w:start w:val="1"/>
      <w:numFmt w:val="decimal"/>
      <w:suff w:val="tab"/>
      <w:lvlText w:val="%1.%2.%3.%4."/>
      <w:lvlJc w:val="left"/>
      <w:pPr>
        <w:tabs>
          <w:tab w:val="num" w:pos="2109"/>
          <w:tab w:val="clear" w:pos="0"/>
        </w:tabs>
        <w:ind w:left="2109" w:hanging="1260"/>
      </w:pPr>
      <w:rPr>
        <w:rFonts w:ascii="Book Antiqua" w:cs="Book Antiqua" w:hAnsi="Book Antiqua" w:eastAsia="Book Antiqua"/>
        <w:position w:val="0"/>
        <w:sz w:val="28"/>
        <w:szCs w:val="28"/>
      </w:rPr>
    </w:lvl>
    <w:lvl w:ilvl="4">
      <w:start w:val="1"/>
      <w:numFmt w:val="decimal"/>
      <w:suff w:val="tab"/>
      <w:lvlText w:val="%1.%2.%3.%4.%5."/>
      <w:lvlJc w:val="left"/>
      <w:pPr>
        <w:tabs>
          <w:tab w:val="num" w:pos="2812"/>
          <w:tab w:val="clear" w:pos="0"/>
        </w:tabs>
        <w:ind w:left="2812" w:hanging="1680"/>
      </w:pPr>
      <w:rPr>
        <w:rFonts w:ascii="Book Antiqua" w:cs="Book Antiqua" w:hAnsi="Book Antiqua" w:eastAsia="Book Antiqua"/>
        <w:position w:val="0"/>
        <w:sz w:val="28"/>
        <w:szCs w:val="28"/>
      </w:rPr>
    </w:lvl>
    <w:lvl w:ilvl="5">
      <w:start w:val="1"/>
      <w:numFmt w:val="decimal"/>
      <w:suff w:val="tab"/>
      <w:lvlText w:val="%1.%2.%3.%4.%5.%6."/>
      <w:lvlJc w:val="left"/>
      <w:pPr>
        <w:tabs>
          <w:tab w:val="num" w:pos="3095"/>
          <w:tab w:val="clear" w:pos="0"/>
        </w:tabs>
        <w:ind w:left="3095" w:hanging="1680"/>
      </w:pPr>
      <w:rPr>
        <w:rFonts w:ascii="Book Antiqua" w:cs="Book Antiqua" w:hAnsi="Book Antiqua" w:eastAsia="Book Antiqua"/>
        <w:position w:val="0"/>
        <w:sz w:val="28"/>
        <w:szCs w:val="28"/>
      </w:rPr>
    </w:lvl>
    <w:lvl w:ilvl="6">
      <w:start w:val="1"/>
      <w:numFmt w:val="decimal"/>
      <w:suff w:val="tab"/>
      <w:lvlText w:val="%1.%2.%3.%4.%5.%6.%7."/>
      <w:lvlJc w:val="left"/>
      <w:pPr>
        <w:tabs>
          <w:tab w:val="num" w:pos="3798"/>
          <w:tab w:val="clear" w:pos="0"/>
        </w:tabs>
        <w:ind w:left="3798" w:hanging="2100"/>
      </w:pPr>
      <w:rPr>
        <w:rFonts w:ascii="Book Antiqua" w:cs="Book Antiqua" w:hAnsi="Book Antiqua" w:eastAsia="Book Antiqua"/>
        <w:position w:val="0"/>
        <w:sz w:val="28"/>
        <w:szCs w:val="28"/>
      </w:rPr>
    </w:lvl>
    <w:lvl w:ilvl="7">
      <w:start w:val="1"/>
      <w:numFmt w:val="decimal"/>
      <w:suff w:val="tab"/>
      <w:lvlText w:val="%1.%2.%3.%4.%5.%6.%7.%8."/>
      <w:lvlJc w:val="left"/>
      <w:pPr>
        <w:tabs>
          <w:tab w:val="num" w:pos="4501"/>
          <w:tab w:val="clear" w:pos="0"/>
        </w:tabs>
        <w:ind w:left="4501" w:hanging="2520"/>
      </w:pPr>
      <w:rPr>
        <w:rFonts w:ascii="Book Antiqua" w:cs="Book Antiqua" w:hAnsi="Book Antiqua" w:eastAsia="Book Antiqua"/>
        <w:position w:val="0"/>
        <w:sz w:val="28"/>
        <w:szCs w:val="28"/>
      </w:rPr>
    </w:lvl>
    <w:lvl w:ilvl="8">
      <w:start w:val="1"/>
      <w:numFmt w:val="decimal"/>
      <w:suff w:val="tab"/>
      <w:lvlText w:val="%1.%2.%3.%4.%5.%6.%7.%8.%9."/>
      <w:lvlJc w:val="left"/>
      <w:pPr>
        <w:tabs>
          <w:tab w:val="num" w:pos="4784"/>
          <w:tab w:val="clear" w:pos="0"/>
        </w:tabs>
        <w:ind w:left="4784" w:hanging="2520"/>
      </w:pPr>
      <w:rPr>
        <w:rFonts w:ascii="Book Antiqua" w:cs="Book Antiqua" w:hAnsi="Book Antiqua" w:eastAsia="Book Antiqua"/>
        <w:position w:val="0"/>
        <w:sz w:val="28"/>
        <w:szCs w:val="28"/>
      </w:rPr>
    </w:lvl>
  </w:abstractNum>
  <w:abstractNum w:abstractNumId="153">
    <w:multiLevelType w:val="multilevel"/>
    <w:lvl w:ilvl="0">
      <w:start w:val="1"/>
      <w:numFmt w:val="decimal"/>
      <w:suff w:val="tab"/>
      <w:lvlText w:val="%1."/>
      <w:lvlJc w:val="left"/>
      <w:pPr>
        <w:tabs>
          <w:tab w:val="num" w:pos="420"/>
          <w:tab w:val="clear" w:pos="0"/>
        </w:tabs>
        <w:ind w:left="420" w:hanging="420"/>
      </w:pPr>
      <w:rPr>
        <w:rFonts w:ascii="Book Antiqua" w:cs="Book Antiqua" w:hAnsi="Book Antiqua" w:eastAsia="Book Antiqua"/>
        <w:position w:val="0"/>
        <w:sz w:val="28"/>
        <w:szCs w:val="28"/>
      </w:rPr>
    </w:lvl>
    <w:lvl w:ilvl="1">
      <w:start w:val="1"/>
      <w:numFmt w:val="decimal"/>
      <w:suff w:val="tab"/>
      <w:lvlText w:val="%1.%2."/>
      <w:lvlJc w:val="left"/>
      <w:pPr>
        <w:tabs>
          <w:tab w:val="num" w:pos="567"/>
          <w:tab w:val="clear" w:pos="0"/>
        </w:tabs>
        <w:ind w:left="567" w:hanging="141"/>
      </w:pPr>
      <w:rPr>
        <w:rFonts w:ascii="Book Antiqua" w:cs="Book Antiqua" w:hAnsi="Book Antiqua" w:eastAsia="Book Antiqua"/>
        <w:position w:val="0"/>
        <w:sz w:val="28"/>
        <w:szCs w:val="28"/>
      </w:rPr>
    </w:lvl>
    <w:lvl w:ilvl="2">
      <w:start w:val="1"/>
      <w:numFmt w:val="decimal"/>
      <w:suff w:val="tab"/>
      <w:lvlText w:val="%1.%2.%3."/>
      <w:lvlJc w:val="left"/>
      <w:pPr>
        <w:tabs>
          <w:tab w:val="num" w:pos="1974"/>
          <w:tab w:val="clear" w:pos="0"/>
        </w:tabs>
        <w:ind w:left="1974" w:hanging="840"/>
      </w:pPr>
      <w:rPr>
        <w:rFonts w:ascii="Book Antiqua" w:cs="Book Antiqua" w:hAnsi="Book Antiqua" w:eastAsia="Book Antiqua"/>
        <w:position w:val="0"/>
        <w:sz w:val="28"/>
        <w:szCs w:val="28"/>
      </w:rPr>
    </w:lvl>
    <w:lvl w:ilvl="3">
      <w:start w:val="1"/>
      <w:numFmt w:val="decimal"/>
      <w:suff w:val="tab"/>
      <w:lvlText w:val="%1.%2.%3.%4."/>
      <w:lvlJc w:val="left"/>
      <w:pPr>
        <w:tabs>
          <w:tab w:val="num" w:pos="2961"/>
          <w:tab w:val="clear" w:pos="0"/>
        </w:tabs>
        <w:ind w:left="2961" w:hanging="1260"/>
      </w:pPr>
      <w:rPr>
        <w:rFonts w:ascii="Book Antiqua" w:cs="Book Antiqua" w:hAnsi="Book Antiqua" w:eastAsia="Book Antiqua"/>
        <w:position w:val="0"/>
        <w:sz w:val="28"/>
        <w:szCs w:val="28"/>
      </w:rPr>
    </w:lvl>
    <w:lvl w:ilvl="4">
      <w:start w:val="1"/>
      <w:numFmt w:val="decimal"/>
      <w:suff w:val="tab"/>
      <w:lvlText w:val="%1.%2.%3.%4.%5."/>
      <w:lvlJc w:val="left"/>
      <w:pPr>
        <w:tabs>
          <w:tab w:val="num" w:pos="3948"/>
          <w:tab w:val="clear" w:pos="0"/>
        </w:tabs>
        <w:ind w:left="3948" w:hanging="1680"/>
      </w:pPr>
      <w:rPr>
        <w:rFonts w:ascii="Book Antiqua" w:cs="Book Antiqua" w:hAnsi="Book Antiqua" w:eastAsia="Book Antiqua"/>
        <w:position w:val="0"/>
        <w:sz w:val="28"/>
        <w:szCs w:val="28"/>
      </w:rPr>
    </w:lvl>
    <w:lvl w:ilvl="5">
      <w:start w:val="1"/>
      <w:numFmt w:val="decimal"/>
      <w:suff w:val="tab"/>
      <w:lvlText w:val="%1.%2.%3.%4.%5.%6."/>
      <w:lvlJc w:val="left"/>
      <w:pPr>
        <w:tabs>
          <w:tab w:val="num" w:pos="4515"/>
          <w:tab w:val="clear" w:pos="0"/>
        </w:tabs>
        <w:ind w:left="4515" w:hanging="1680"/>
      </w:pPr>
      <w:rPr>
        <w:rFonts w:ascii="Book Antiqua" w:cs="Book Antiqua" w:hAnsi="Book Antiqua" w:eastAsia="Book Antiqua"/>
        <w:position w:val="0"/>
        <w:sz w:val="28"/>
        <w:szCs w:val="28"/>
      </w:rPr>
    </w:lvl>
    <w:lvl w:ilvl="6">
      <w:start w:val="1"/>
      <w:numFmt w:val="decimal"/>
      <w:suff w:val="tab"/>
      <w:lvlText w:val="%1.%2.%3.%4.%5.%6.%7."/>
      <w:lvlJc w:val="left"/>
      <w:pPr>
        <w:tabs>
          <w:tab w:val="num" w:pos="5502"/>
          <w:tab w:val="clear" w:pos="0"/>
        </w:tabs>
        <w:ind w:left="5502" w:hanging="2100"/>
      </w:pPr>
      <w:rPr>
        <w:rFonts w:ascii="Book Antiqua" w:cs="Book Antiqua" w:hAnsi="Book Antiqua" w:eastAsia="Book Antiqua"/>
        <w:position w:val="0"/>
        <w:sz w:val="28"/>
        <w:szCs w:val="28"/>
      </w:rPr>
    </w:lvl>
    <w:lvl w:ilvl="7">
      <w:start w:val="1"/>
      <w:numFmt w:val="decimal"/>
      <w:suff w:val="tab"/>
      <w:lvlText w:val="%1.%2.%3.%4.%5.%6.%7.%8."/>
      <w:lvlJc w:val="left"/>
      <w:pPr>
        <w:tabs>
          <w:tab w:val="num" w:pos="6489"/>
          <w:tab w:val="clear" w:pos="0"/>
        </w:tabs>
        <w:ind w:left="6489" w:hanging="2520"/>
      </w:pPr>
      <w:rPr>
        <w:rFonts w:ascii="Book Antiqua" w:cs="Book Antiqua" w:hAnsi="Book Antiqua" w:eastAsia="Book Antiqua"/>
        <w:position w:val="0"/>
        <w:sz w:val="28"/>
        <w:szCs w:val="28"/>
      </w:rPr>
    </w:lvl>
    <w:lvl w:ilvl="8">
      <w:start w:val="1"/>
      <w:numFmt w:val="decimal"/>
      <w:suff w:val="tab"/>
      <w:lvlText w:val="%1.%2.%3.%4.%5.%6.%7.%8.%9."/>
      <w:lvlJc w:val="left"/>
      <w:pPr>
        <w:tabs>
          <w:tab w:val="num" w:pos="7056"/>
          <w:tab w:val="clear" w:pos="0"/>
        </w:tabs>
        <w:ind w:left="7056" w:hanging="2520"/>
      </w:pPr>
      <w:rPr>
        <w:rFonts w:ascii="Book Antiqua" w:cs="Book Antiqua" w:hAnsi="Book Antiqua" w:eastAsia="Book Antiqua"/>
        <w:position w:val="0"/>
        <w:sz w:val="28"/>
        <w:szCs w:val="28"/>
      </w:rPr>
    </w:lvl>
  </w:abstractNum>
  <w:abstractNum w:abstractNumId="154">
    <w:multiLevelType w:val="multilevel"/>
    <w:lvl w:ilvl="0">
      <w:start w:val="1"/>
      <w:numFmt w:val="decimal"/>
      <w:suff w:val="tab"/>
      <w:lvlText w:val="%1."/>
      <w:lvlJc w:val="left"/>
      <w:pPr/>
      <w:rPr>
        <w:position w:val="0"/>
      </w:rPr>
    </w:lvl>
    <w:lvl w:ilvl="1">
      <w:start w:val="1"/>
      <w:numFmt w:val="decimal"/>
      <w:suff w:val="tab"/>
      <w:lvlText w:val="%1.%2."/>
      <w:lvlJc w:val="left"/>
      <w:pPr/>
      <w:rPr>
        <w:position w:val="0"/>
      </w:rPr>
    </w:lvl>
    <w:lvl w:ilvl="2">
      <w:start w:val="1"/>
      <w:numFmt w:val="decimal"/>
      <w:suff w:val="tab"/>
      <w:lvlText w:val="%1.%2.%3."/>
      <w:lvlJc w:val="left"/>
      <w:pPr/>
      <w:rPr>
        <w:position w:val="0"/>
      </w:rPr>
    </w:lvl>
    <w:lvl w:ilvl="3">
      <w:start w:val="1"/>
      <w:numFmt w:val="decimal"/>
      <w:suff w:val="tab"/>
      <w:lvlText w:val="%1.%2.%3.%4."/>
      <w:lvlJc w:val="left"/>
      <w:pPr/>
      <w:rPr>
        <w:position w:val="0"/>
      </w:rPr>
    </w:lvl>
    <w:lvl w:ilvl="4">
      <w:start w:val="1"/>
      <w:numFmt w:val="decimal"/>
      <w:suff w:val="tab"/>
      <w:lvlText w:val="%1.%2.%3.%4.%5."/>
      <w:lvlJc w:val="left"/>
      <w:pPr/>
      <w:rPr>
        <w:position w:val="0"/>
      </w:rPr>
    </w:lvl>
    <w:lvl w:ilvl="5">
      <w:start w:val="1"/>
      <w:numFmt w:val="decimal"/>
      <w:suff w:val="tab"/>
      <w:lvlText w:val="%1.%2.%3.%4.%5.%6."/>
      <w:lvlJc w:val="left"/>
      <w:pPr/>
      <w:rPr>
        <w:position w:val="0"/>
      </w:rPr>
    </w:lvl>
    <w:lvl w:ilvl="6">
      <w:start w:val="1"/>
      <w:numFmt w:val="decimal"/>
      <w:suff w:val="tab"/>
      <w:lvlText w:val="%1.%2.%3.%4.%5.%6.%7."/>
      <w:lvlJc w:val="left"/>
      <w:pPr/>
      <w:rPr>
        <w:position w:val="0"/>
      </w:rPr>
    </w:lvl>
    <w:lvl w:ilvl="7">
      <w:start w:val="1"/>
      <w:numFmt w:val="decimal"/>
      <w:suff w:val="tab"/>
      <w:lvlText w:val="%1.%2.%3.%4.%5.%6.%7.%8."/>
      <w:lvlJc w:val="left"/>
      <w:pPr/>
      <w:rPr>
        <w:position w:val="0"/>
      </w:rPr>
    </w:lvl>
    <w:lvl w:ilvl="8">
      <w:start w:val="1"/>
      <w:numFmt w:val="decimal"/>
      <w:suff w:val="tab"/>
      <w:lvlText w:val="%1.%2.%3.%4.%5.%6.%7.%8.%9."/>
      <w:lvlJc w:val="left"/>
      <w:pPr/>
      <w:rPr>
        <w:position w:val="0"/>
      </w:rPr>
    </w:lvl>
  </w:abstractNum>
  <w:abstractNum w:abstractNumId="155">
    <w:multiLevelType w:val="multilevel"/>
    <w:styleLink w:val="List 32"/>
    <w:lvl w:ilvl="0">
      <w:start w:val="1"/>
      <w:numFmt w:val="decimal"/>
      <w:suff w:val="tab"/>
      <w:lvlText w:val="%1."/>
      <w:lvlJc w:val="left"/>
      <w:pPr>
        <w:tabs>
          <w:tab w:val="num" w:pos="420"/>
          <w:tab w:val="clear" w:pos="0"/>
        </w:tabs>
        <w:ind w:left="420" w:hanging="420"/>
      </w:pPr>
      <w:rPr>
        <w:rFonts w:ascii="Book Antiqua" w:cs="Book Antiqua" w:hAnsi="Book Antiqua" w:eastAsia="Book Antiqua"/>
        <w:position w:val="0"/>
        <w:sz w:val="28"/>
        <w:szCs w:val="28"/>
      </w:rPr>
    </w:lvl>
    <w:lvl w:ilvl="1">
      <w:start w:val="2"/>
      <w:numFmt w:val="decimal"/>
      <w:suff w:val="tab"/>
      <w:lvlText w:val="%1.%2."/>
      <w:lvlJc w:val="left"/>
      <w:pPr>
        <w:tabs>
          <w:tab w:val="num" w:pos="567"/>
          <w:tab w:val="clear" w:pos="0"/>
        </w:tabs>
        <w:ind w:left="567" w:hanging="141"/>
      </w:pPr>
      <w:rPr>
        <w:rFonts w:ascii="Book Antiqua" w:cs="Book Antiqua" w:hAnsi="Book Antiqua" w:eastAsia="Book Antiqua"/>
        <w:position w:val="0"/>
        <w:sz w:val="28"/>
        <w:szCs w:val="28"/>
      </w:rPr>
    </w:lvl>
    <w:lvl w:ilvl="2">
      <w:start w:val="1"/>
      <w:numFmt w:val="decimal"/>
      <w:suff w:val="tab"/>
      <w:lvlText w:val="%1.%2.%3."/>
      <w:lvlJc w:val="left"/>
      <w:pPr>
        <w:tabs>
          <w:tab w:val="num" w:pos="1974"/>
          <w:tab w:val="clear" w:pos="0"/>
        </w:tabs>
        <w:ind w:left="1974" w:hanging="840"/>
      </w:pPr>
      <w:rPr>
        <w:rFonts w:ascii="Book Antiqua" w:cs="Book Antiqua" w:hAnsi="Book Antiqua" w:eastAsia="Book Antiqua"/>
        <w:position w:val="0"/>
        <w:sz w:val="28"/>
        <w:szCs w:val="28"/>
      </w:rPr>
    </w:lvl>
    <w:lvl w:ilvl="3">
      <w:start w:val="1"/>
      <w:numFmt w:val="decimal"/>
      <w:suff w:val="tab"/>
      <w:lvlText w:val="%1.%2.%3.%4."/>
      <w:lvlJc w:val="left"/>
      <w:pPr>
        <w:tabs>
          <w:tab w:val="num" w:pos="2961"/>
          <w:tab w:val="clear" w:pos="0"/>
        </w:tabs>
        <w:ind w:left="2961" w:hanging="1260"/>
      </w:pPr>
      <w:rPr>
        <w:rFonts w:ascii="Book Antiqua" w:cs="Book Antiqua" w:hAnsi="Book Antiqua" w:eastAsia="Book Antiqua"/>
        <w:position w:val="0"/>
        <w:sz w:val="28"/>
        <w:szCs w:val="28"/>
      </w:rPr>
    </w:lvl>
    <w:lvl w:ilvl="4">
      <w:start w:val="1"/>
      <w:numFmt w:val="decimal"/>
      <w:suff w:val="tab"/>
      <w:lvlText w:val="%1.%2.%3.%4.%5."/>
      <w:lvlJc w:val="left"/>
      <w:pPr>
        <w:tabs>
          <w:tab w:val="num" w:pos="3948"/>
          <w:tab w:val="clear" w:pos="0"/>
        </w:tabs>
        <w:ind w:left="3948" w:hanging="1680"/>
      </w:pPr>
      <w:rPr>
        <w:rFonts w:ascii="Book Antiqua" w:cs="Book Antiqua" w:hAnsi="Book Antiqua" w:eastAsia="Book Antiqua"/>
        <w:position w:val="0"/>
        <w:sz w:val="28"/>
        <w:szCs w:val="28"/>
      </w:rPr>
    </w:lvl>
    <w:lvl w:ilvl="5">
      <w:start w:val="1"/>
      <w:numFmt w:val="decimal"/>
      <w:suff w:val="tab"/>
      <w:lvlText w:val="%1.%2.%3.%4.%5.%6."/>
      <w:lvlJc w:val="left"/>
      <w:pPr>
        <w:tabs>
          <w:tab w:val="num" w:pos="4515"/>
          <w:tab w:val="clear" w:pos="0"/>
        </w:tabs>
        <w:ind w:left="4515" w:hanging="1680"/>
      </w:pPr>
      <w:rPr>
        <w:rFonts w:ascii="Book Antiqua" w:cs="Book Antiqua" w:hAnsi="Book Antiqua" w:eastAsia="Book Antiqua"/>
        <w:position w:val="0"/>
        <w:sz w:val="28"/>
        <w:szCs w:val="28"/>
      </w:rPr>
    </w:lvl>
    <w:lvl w:ilvl="6">
      <w:start w:val="1"/>
      <w:numFmt w:val="decimal"/>
      <w:suff w:val="tab"/>
      <w:lvlText w:val="%1.%2.%3.%4.%5.%6.%7."/>
      <w:lvlJc w:val="left"/>
      <w:pPr>
        <w:tabs>
          <w:tab w:val="num" w:pos="5502"/>
          <w:tab w:val="clear" w:pos="0"/>
        </w:tabs>
        <w:ind w:left="5502" w:hanging="2100"/>
      </w:pPr>
      <w:rPr>
        <w:rFonts w:ascii="Book Antiqua" w:cs="Book Antiqua" w:hAnsi="Book Antiqua" w:eastAsia="Book Antiqua"/>
        <w:position w:val="0"/>
        <w:sz w:val="28"/>
        <w:szCs w:val="28"/>
      </w:rPr>
    </w:lvl>
    <w:lvl w:ilvl="7">
      <w:start w:val="1"/>
      <w:numFmt w:val="decimal"/>
      <w:suff w:val="tab"/>
      <w:lvlText w:val="%1.%2.%3.%4.%5.%6.%7.%8."/>
      <w:lvlJc w:val="left"/>
      <w:pPr>
        <w:tabs>
          <w:tab w:val="num" w:pos="6489"/>
          <w:tab w:val="clear" w:pos="0"/>
        </w:tabs>
        <w:ind w:left="6489" w:hanging="2520"/>
      </w:pPr>
      <w:rPr>
        <w:rFonts w:ascii="Book Antiqua" w:cs="Book Antiqua" w:hAnsi="Book Antiqua" w:eastAsia="Book Antiqua"/>
        <w:position w:val="0"/>
        <w:sz w:val="28"/>
        <w:szCs w:val="28"/>
      </w:rPr>
    </w:lvl>
    <w:lvl w:ilvl="8">
      <w:start w:val="1"/>
      <w:numFmt w:val="decimal"/>
      <w:suff w:val="tab"/>
      <w:lvlText w:val="%1.%2.%3.%4.%5.%6.%7.%8.%9."/>
      <w:lvlJc w:val="left"/>
      <w:pPr>
        <w:tabs>
          <w:tab w:val="num" w:pos="7056"/>
          <w:tab w:val="clear" w:pos="0"/>
        </w:tabs>
        <w:ind w:left="7056" w:hanging="2520"/>
      </w:pPr>
      <w:rPr>
        <w:rFonts w:ascii="Book Antiqua" w:cs="Book Antiqua" w:hAnsi="Book Antiqua" w:eastAsia="Book Antiqua"/>
        <w:position w:val="0"/>
        <w:sz w:val="28"/>
        <w:szCs w:val="28"/>
      </w:rPr>
    </w:lvl>
  </w:abstractNum>
  <w:abstractNum w:abstractNumId="156">
    <w:multiLevelType w:val="multilevel"/>
    <w:lvl w:ilvl="0">
      <w:start w:val="1"/>
      <w:numFmt w:val="decimal"/>
      <w:suff w:val="tab"/>
      <w:lvlText w:val="%1."/>
      <w:lvlJc w:val="left"/>
      <w:pPr>
        <w:tabs>
          <w:tab w:val="num" w:pos="927"/>
          <w:tab w:val="clear" w:pos="0"/>
        </w:tabs>
        <w:ind w:left="927" w:hanging="360"/>
      </w:pPr>
      <w:rPr>
        <w:rFonts w:ascii="Book Antiqua" w:cs="Book Antiqua" w:hAnsi="Book Antiqua" w:eastAsia="Book Antiqua"/>
        <w:position w:val="0"/>
        <w:sz w:val="20"/>
        <w:szCs w:val="20"/>
      </w:rPr>
    </w:lvl>
    <w:lvl w:ilvl="1">
      <w:start w:val="1"/>
      <w:numFmt w:val="lowerLetter"/>
      <w:suff w:val="tab"/>
      <w:lvlText w:val="%2."/>
      <w:lvlJc w:val="left"/>
      <w:pPr>
        <w:tabs>
          <w:tab w:val="num" w:pos="1587"/>
          <w:tab w:val="clear" w:pos="0"/>
        </w:tabs>
        <w:ind w:left="1587" w:hanging="300"/>
      </w:pPr>
      <w:rPr>
        <w:rFonts w:ascii="Book Antiqua" w:cs="Book Antiqua" w:hAnsi="Book Antiqua" w:eastAsia="Book Antiqua"/>
        <w:position w:val="0"/>
        <w:sz w:val="20"/>
        <w:szCs w:val="20"/>
      </w:rPr>
    </w:lvl>
    <w:lvl w:ilvl="2">
      <w:start w:val="1"/>
      <w:numFmt w:val="lowerRoman"/>
      <w:suff w:val="tab"/>
      <w:lvlText w:val="%3."/>
      <w:lvlJc w:val="left"/>
      <w:pPr>
        <w:tabs>
          <w:tab w:val="num" w:pos="2318"/>
          <w:tab w:val="clear" w:pos="0"/>
        </w:tabs>
        <w:ind w:left="2318" w:hanging="247"/>
      </w:pPr>
      <w:rPr>
        <w:rFonts w:ascii="Book Antiqua" w:cs="Book Antiqua" w:hAnsi="Book Antiqua" w:eastAsia="Book Antiqua"/>
        <w:position w:val="0"/>
        <w:sz w:val="20"/>
        <w:szCs w:val="20"/>
      </w:rPr>
    </w:lvl>
    <w:lvl w:ilvl="3">
      <w:start w:val="1"/>
      <w:numFmt w:val="decimal"/>
      <w:suff w:val="tab"/>
      <w:lvlText w:val="%4."/>
      <w:lvlJc w:val="left"/>
      <w:pPr>
        <w:tabs>
          <w:tab w:val="num" w:pos="3027"/>
          <w:tab w:val="clear" w:pos="0"/>
        </w:tabs>
        <w:ind w:left="3027" w:hanging="300"/>
      </w:pPr>
      <w:rPr>
        <w:rFonts w:ascii="Book Antiqua" w:cs="Book Antiqua" w:hAnsi="Book Antiqua" w:eastAsia="Book Antiqua"/>
        <w:position w:val="0"/>
        <w:sz w:val="20"/>
        <w:szCs w:val="20"/>
      </w:rPr>
    </w:lvl>
    <w:lvl w:ilvl="4">
      <w:start w:val="1"/>
      <w:numFmt w:val="lowerLetter"/>
      <w:suff w:val="tab"/>
      <w:lvlText w:val="%5."/>
      <w:lvlJc w:val="left"/>
      <w:pPr>
        <w:tabs>
          <w:tab w:val="num" w:pos="3747"/>
          <w:tab w:val="clear" w:pos="0"/>
        </w:tabs>
        <w:ind w:left="3747" w:hanging="300"/>
      </w:pPr>
      <w:rPr>
        <w:rFonts w:ascii="Book Antiqua" w:cs="Book Antiqua" w:hAnsi="Book Antiqua" w:eastAsia="Book Antiqua"/>
        <w:position w:val="0"/>
        <w:sz w:val="20"/>
        <w:szCs w:val="20"/>
      </w:rPr>
    </w:lvl>
    <w:lvl w:ilvl="5">
      <w:start w:val="1"/>
      <w:numFmt w:val="lowerRoman"/>
      <w:suff w:val="tab"/>
      <w:lvlText w:val="%6."/>
      <w:lvlJc w:val="left"/>
      <w:pPr>
        <w:tabs>
          <w:tab w:val="num" w:pos="4478"/>
          <w:tab w:val="clear" w:pos="0"/>
        </w:tabs>
        <w:ind w:left="4478" w:hanging="247"/>
      </w:pPr>
      <w:rPr>
        <w:rFonts w:ascii="Book Antiqua" w:cs="Book Antiqua" w:hAnsi="Book Antiqua" w:eastAsia="Book Antiqua"/>
        <w:position w:val="0"/>
        <w:sz w:val="20"/>
        <w:szCs w:val="20"/>
      </w:rPr>
    </w:lvl>
    <w:lvl w:ilvl="6">
      <w:start w:val="1"/>
      <w:numFmt w:val="decimal"/>
      <w:suff w:val="tab"/>
      <w:lvlText w:val="%7."/>
      <w:lvlJc w:val="left"/>
      <w:pPr>
        <w:tabs>
          <w:tab w:val="num" w:pos="5187"/>
          <w:tab w:val="clear" w:pos="0"/>
        </w:tabs>
        <w:ind w:left="5187" w:hanging="300"/>
      </w:pPr>
      <w:rPr>
        <w:rFonts w:ascii="Book Antiqua" w:cs="Book Antiqua" w:hAnsi="Book Antiqua" w:eastAsia="Book Antiqua"/>
        <w:position w:val="0"/>
        <w:sz w:val="20"/>
        <w:szCs w:val="20"/>
      </w:rPr>
    </w:lvl>
    <w:lvl w:ilvl="7">
      <w:start w:val="1"/>
      <w:numFmt w:val="lowerLetter"/>
      <w:suff w:val="tab"/>
      <w:lvlText w:val="%8."/>
      <w:lvlJc w:val="left"/>
      <w:pPr>
        <w:tabs>
          <w:tab w:val="num" w:pos="5907"/>
          <w:tab w:val="clear" w:pos="0"/>
        </w:tabs>
        <w:ind w:left="5907" w:hanging="300"/>
      </w:pPr>
      <w:rPr>
        <w:rFonts w:ascii="Book Antiqua" w:cs="Book Antiqua" w:hAnsi="Book Antiqua" w:eastAsia="Book Antiqua"/>
        <w:position w:val="0"/>
        <w:sz w:val="20"/>
        <w:szCs w:val="20"/>
      </w:rPr>
    </w:lvl>
    <w:lvl w:ilvl="8">
      <w:start w:val="1"/>
      <w:numFmt w:val="lowerRoman"/>
      <w:suff w:val="tab"/>
      <w:lvlText w:val="%9."/>
      <w:lvlJc w:val="left"/>
      <w:pPr>
        <w:tabs>
          <w:tab w:val="num" w:pos="6638"/>
          <w:tab w:val="clear" w:pos="0"/>
        </w:tabs>
        <w:ind w:left="6638" w:hanging="247"/>
      </w:pPr>
      <w:rPr>
        <w:rFonts w:ascii="Book Antiqua" w:cs="Book Antiqua" w:hAnsi="Book Antiqua" w:eastAsia="Book Antiqua"/>
        <w:position w:val="0"/>
        <w:sz w:val="20"/>
        <w:szCs w:val="20"/>
      </w:rPr>
    </w:lvl>
  </w:abstractNum>
  <w:abstractNum w:abstractNumId="157">
    <w:multiLevelType w:val="multilevel"/>
    <w:lvl w:ilvl="0">
      <w:start w:val="1"/>
      <w:numFmt w:val="decimal"/>
      <w:suff w:val="tab"/>
      <w:lvlText w:val="%1."/>
      <w:lvlJc w:val="left"/>
      <w:pPr/>
      <w:rPr>
        <w:position w:val="0"/>
      </w:rPr>
    </w:lvl>
    <w:lvl w:ilvl="1">
      <w:start w:val="1"/>
      <w:numFmt w:val="lowerLetter"/>
      <w:suff w:val="tab"/>
      <w:lvlText w:val="%2."/>
      <w:lvlJc w:val="left"/>
      <w:pPr/>
      <w:rPr>
        <w:position w:val="0"/>
      </w:rPr>
    </w:lvl>
    <w:lvl w:ilvl="2">
      <w:start w:val="1"/>
      <w:numFmt w:val="lowerRoman"/>
      <w:suff w:val="tab"/>
      <w:lvlText w:val="%3."/>
      <w:lvlJc w:val="left"/>
      <w:pPr/>
      <w:rPr>
        <w:position w:val="0"/>
      </w:rPr>
    </w:lvl>
    <w:lvl w:ilvl="3">
      <w:start w:val="1"/>
      <w:numFmt w:val="decimal"/>
      <w:suff w:val="tab"/>
      <w:lvlText w:val="%4."/>
      <w:lvlJc w:val="left"/>
      <w:pPr/>
      <w:rPr>
        <w:position w:val="0"/>
      </w:rPr>
    </w:lvl>
    <w:lvl w:ilvl="4">
      <w:start w:val="1"/>
      <w:numFmt w:val="lowerLetter"/>
      <w:suff w:val="tab"/>
      <w:lvlText w:val="%5."/>
      <w:lvlJc w:val="left"/>
      <w:pPr/>
      <w:rPr>
        <w:position w:val="0"/>
      </w:rPr>
    </w:lvl>
    <w:lvl w:ilvl="5">
      <w:start w:val="1"/>
      <w:numFmt w:val="lowerRoman"/>
      <w:suff w:val="tab"/>
      <w:lvlText w:val="%6."/>
      <w:lvlJc w:val="left"/>
      <w:pPr/>
      <w:rPr>
        <w:position w:val="0"/>
      </w:rPr>
    </w:lvl>
    <w:lvl w:ilvl="6">
      <w:start w:val="1"/>
      <w:numFmt w:val="decimal"/>
      <w:suff w:val="tab"/>
      <w:lvlText w:val="%7."/>
      <w:lvlJc w:val="left"/>
      <w:pPr/>
      <w:rPr>
        <w:position w:val="0"/>
      </w:rPr>
    </w:lvl>
    <w:lvl w:ilvl="7">
      <w:start w:val="1"/>
      <w:numFmt w:val="lowerLetter"/>
      <w:suff w:val="tab"/>
      <w:lvlText w:val="%8."/>
      <w:lvlJc w:val="left"/>
      <w:pPr/>
      <w:rPr>
        <w:position w:val="0"/>
      </w:rPr>
    </w:lvl>
    <w:lvl w:ilvl="8">
      <w:start w:val="1"/>
      <w:numFmt w:val="lowerRoman"/>
      <w:suff w:val="tab"/>
      <w:lvlText w:val="%9."/>
      <w:lvlJc w:val="left"/>
      <w:pPr/>
      <w:rPr>
        <w:position w:val="0"/>
      </w:rPr>
    </w:lvl>
  </w:abstractNum>
  <w:abstractNum w:abstractNumId="158">
    <w:multiLevelType w:val="multilevel"/>
    <w:styleLink w:val="List 33"/>
    <w:lvl w:ilvl="0">
      <w:start w:val="1"/>
      <w:numFmt w:val="decimal"/>
      <w:suff w:val="tab"/>
      <w:lvlText w:val="%1."/>
      <w:lvlJc w:val="left"/>
      <w:pPr>
        <w:tabs>
          <w:tab w:val="num" w:pos="927"/>
          <w:tab w:val="clear" w:pos="0"/>
        </w:tabs>
        <w:ind w:left="927" w:hanging="360"/>
      </w:pPr>
      <w:rPr>
        <w:rFonts w:ascii="Book Antiqua" w:cs="Book Antiqua" w:hAnsi="Book Antiqua" w:eastAsia="Book Antiqua"/>
        <w:position w:val="0"/>
        <w:sz w:val="20"/>
        <w:szCs w:val="20"/>
      </w:rPr>
    </w:lvl>
    <w:lvl w:ilvl="1">
      <w:start w:val="1"/>
      <w:numFmt w:val="lowerLetter"/>
      <w:suff w:val="tab"/>
      <w:lvlText w:val="%2."/>
      <w:lvlJc w:val="left"/>
      <w:pPr>
        <w:tabs>
          <w:tab w:val="num" w:pos="1587"/>
          <w:tab w:val="clear" w:pos="0"/>
        </w:tabs>
        <w:ind w:left="1587" w:hanging="300"/>
      </w:pPr>
      <w:rPr>
        <w:rFonts w:ascii="Book Antiqua" w:cs="Book Antiqua" w:hAnsi="Book Antiqua" w:eastAsia="Book Antiqua"/>
        <w:position w:val="0"/>
        <w:sz w:val="20"/>
        <w:szCs w:val="20"/>
      </w:rPr>
    </w:lvl>
    <w:lvl w:ilvl="2">
      <w:start w:val="1"/>
      <w:numFmt w:val="lowerRoman"/>
      <w:suff w:val="tab"/>
      <w:lvlText w:val="%3."/>
      <w:lvlJc w:val="left"/>
      <w:pPr>
        <w:tabs>
          <w:tab w:val="num" w:pos="2318"/>
          <w:tab w:val="clear" w:pos="0"/>
        </w:tabs>
        <w:ind w:left="2318" w:hanging="247"/>
      </w:pPr>
      <w:rPr>
        <w:rFonts w:ascii="Book Antiqua" w:cs="Book Antiqua" w:hAnsi="Book Antiqua" w:eastAsia="Book Antiqua"/>
        <w:position w:val="0"/>
        <w:sz w:val="20"/>
        <w:szCs w:val="20"/>
      </w:rPr>
    </w:lvl>
    <w:lvl w:ilvl="3">
      <w:start w:val="1"/>
      <w:numFmt w:val="decimal"/>
      <w:suff w:val="tab"/>
      <w:lvlText w:val="%4."/>
      <w:lvlJc w:val="left"/>
      <w:pPr>
        <w:tabs>
          <w:tab w:val="num" w:pos="3027"/>
          <w:tab w:val="clear" w:pos="0"/>
        </w:tabs>
        <w:ind w:left="3027" w:hanging="300"/>
      </w:pPr>
      <w:rPr>
        <w:rFonts w:ascii="Book Antiqua" w:cs="Book Antiqua" w:hAnsi="Book Antiqua" w:eastAsia="Book Antiqua"/>
        <w:position w:val="0"/>
        <w:sz w:val="20"/>
        <w:szCs w:val="20"/>
      </w:rPr>
    </w:lvl>
    <w:lvl w:ilvl="4">
      <w:start w:val="1"/>
      <w:numFmt w:val="lowerLetter"/>
      <w:suff w:val="tab"/>
      <w:lvlText w:val="%5."/>
      <w:lvlJc w:val="left"/>
      <w:pPr>
        <w:tabs>
          <w:tab w:val="num" w:pos="3747"/>
          <w:tab w:val="clear" w:pos="0"/>
        </w:tabs>
        <w:ind w:left="3747" w:hanging="300"/>
      </w:pPr>
      <w:rPr>
        <w:rFonts w:ascii="Book Antiqua" w:cs="Book Antiqua" w:hAnsi="Book Antiqua" w:eastAsia="Book Antiqua"/>
        <w:position w:val="0"/>
        <w:sz w:val="20"/>
        <w:szCs w:val="20"/>
      </w:rPr>
    </w:lvl>
    <w:lvl w:ilvl="5">
      <w:start w:val="1"/>
      <w:numFmt w:val="lowerRoman"/>
      <w:suff w:val="tab"/>
      <w:lvlText w:val="%6."/>
      <w:lvlJc w:val="left"/>
      <w:pPr>
        <w:tabs>
          <w:tab w:val="num" w:pos="4478"/>
          <w:tab w:val="clear" w:pos="0"/>
        </w:tabs>
        <w:ind w:left="4478" w:hanging="247"/>
      </w:pPr>
      <w:rPr>
        <w:rFonts w:ascii="Book Antiqua" w:cs="Book Antiqua" w:hAnsi="Book Antiqua" w:eastAsia="Book Antiqua"/>
        <w:position w:val="0"/>
        <w:sz w:val="20"/>
        <w:szCs w:val="20"/>
      </w:rPr>
    </w:lvl>
    <w:lvl w:ilvl="6">
      <w:start w:val="1"/>
      <w:numFmt w:val="decimal"/>
      <w:suff w:val="tab"/>
      <w:lvlText w:val="%7."/>
      <w:lvlJc w:val="left"/>
      <w:pPr>
        <w:tabs>
          <w:tab w:val="num" w:pos="5187"/>
          <w:tab w:val="clear" w:pos="0"/>
        </w:tabs>
        <w:ind w:left="5187" w:hanging="300"/>
      </w:pPr>
      <w:rPr>
        <w:rFonts w:ascii="Book Antiqua" w:cs="Book Antiqua" w:hAnsi="Book Antiqua" w:eastAsia="Book Antiqua"/>
        <w:position w:val="0"/>
        <w:sz w:val="20"/>
        <w:szCs w:val="20"/>
      </w:rPr>
    </w:lvl>
    <w:lvl w:ilvl="7">
      <w:start w:val="1"/>
      <w:numFmt w:val="lowerLetter"/>
      <w:suff w:val="tab"/>
      <w:lvlText w:val="%8."/>
      <w:lvlJc w:val="left"/>
      <w:pPr>
        <w:tabs>
          <w:tab w:val="num" w:pos="5907"/>
          <w:tab w:val="clear" w:pos="0"/>
        </w:tabs>
        <w:ind w:left="5907" w:hanging="300"/>
      </w:pPr>
      <w:rPr>
        <w:rFonts w:ascii="Book Antiqua" w:cs="Book Antiqua" w:hAnsi="Book Antiqua" w:eastAsia="Book Antiqua"/>
        <w:position w:val="0"/>
        <w:sz w:val="20"/>
        <w:szCs w:val="20"/>
      </w:rPr>
    </w:lvl>
    <w:lvl w:ilvl="8">
      <w:start w:val="1"/>
      <w:numFmt w:val="lowerRoman"/>
      <w:suff w:val="tab"/>
      <w:lvlText w:val="%9."/>
      <w:lvlJc w:val="left"/>
      <w:pPr>
        <w:tabs>
          <w:tab w:val="num" w:pos="6638"/>
          <w:tab w:val="clear" w:pos="0"/>
        </w:tabs>
        <w:ind w:left="6638" w:hanging="247"/>
      </w:pPr>
      <w:rPr>
        <w:rFonts w:ascii="Book Antiqua" w:cs="Book Antiqua" w:hAnsi="Book Antiqua" w:eastAsia="Book Antiqua"/>
        <w:position w:val="0"/>
        <w:sz w:val="20"/>
        <w:szCs w:val="20"/>
      </w:rPr>
    </w:lvl>
  </w:abstractNum>
  <w:abstractNum w:abstractNumId="159">
    <w:multiLevelType w:val="multilevel"/>
    <w:lvl w:ilvl="0">
      <w:start w:val="1"/>
      <w:numFmt w:val="decimal"/>
      <w:suff w:val="tab"/>
      <w:lvlText w:val="%1."/>
      <w:lvlJc w:val="left"/>
      <w:pPr>
        <w:tabs>
          <w:tab w:val="num" w:pos="420"/>
          <w:tab w:val="clear" w:pos="0"/>
        </w:tabs>
        <w:ind w:left="420" w:hanging="420"/>
      </w:pPr>
      <w:rPr>
        <w:rFonts w:ascii="Book Antiqua" w:cs="Book Antiqua" w:hAnsi="Book Antiqua" w:eastAsia="Book Antiqua"/>
        <w:position w:val="0"/>
        <w:sz w:val="28"/>
        <w:szCs w:val="28"/>
      </w:rPr>
    </w:lvl>
    <w:lvl w:ilvl="1">
      <w:start w:val="1"/>
      <w:numFmt w:val="decimal"/>
      <w:suff w:val="tab"/>
      <w:lvlText w:val="%1.%2."/>
      <w:lvlJc w:val="left"/>
      <w:pPr>
        <w:tabs>
          <w:tab w:val="num" w:pos="1287"/>
          <w:tab w:val="clear" w:pos="0"/>
        </w:tabs>
        <w:ind w:left="1287" w:hanging="720"/>
      </w:pPr>
      <w:rPr>
        <w:rFonts w:ascii="Book Antiqua" w:cs="Book Antiqua" w:hAnsi="Book Antiqua" w:eastAsia="Book Antiqua"/>
        <w:position w:val="0"/>
        <w:sz w:val="28"/>
        <w:szCs w:val="28"/>
      </w:rPr>
    </w:lvl>
    <w:lvl w:ilvl="2">
      <w:start w:val="1"/>
      <w:numFmt w:val="decimal"/>
      <w:suff w:val="tab"/>
      <w:lvlText w:val="%1.%2.%3."/>
      <w:lvlJc w:val="left"/>
      <w:pPr>
        <w:tabs>
          <w:tab w:val="num" w:pos="1974"/>
          <w:tab w:val="clear" w:pos="0"/>
        </w:tabs>
        <w:ind w:left="1974" w:hanging="840"/>
      </w:pPr>
      <w:rPr>
        <w:rFonts w:ascii="Book Antiqua" w:cs="Book Antiqua" w:hAnsi="Book Antiqua" w:eastAsia="Book Antiqua"/>
        <w:position w:val="0"/>
        <w:sz w:val="28"/>
        <w:szCs w:val="28"/>
      </w:rPr>
    </w:lvl>
    <w:lvl w:ilvl="3">
      <w:start w:val="1"/>
      <w:numFmt w:val="decimal"/>
      <w:suff w:val="tab"/>
      <w:lvlText w:val="%1.%2.%3.%4."/>
      <w:lvlJc w:val="left"/>
      <w:pPr>
        <w:tabs>
          <w:tab w:val="num" w:pos="2961"/>
          <w:tab w:val="clear" w:pos="0"/>
        </w:tabs>
        <w:ind w:left="2961" w:hanging="1260"/>
      </w:pPr>
      <w:rPr>
        <w:rFonts w:ascii="Book Antiqua" w:cs="Book Antiqua" w:hAnsi="Book Antiqua" w:eastAsia="Book Antiqua"/>
        <w:position w:val="0"/>
        <w:sz w:val="28"/>
        <w:szCs w:val="28"/>
      </w:rPr>
    </w:lvl>
    <w:lvl w:ilvl="4">
      <w:start w:val="1"/>
      <w:numFmt w:val="decimal"/>
      <w:suff w:val="tab"/>
      <w:lvlText w:val="%1.%2.%3.%4.%5."/>
      <w:lvlJc w:val="left"/>
      <w:pPr>
        <w:tabs>
          <w:tab w:val="num" w:pos="3948"/>
          <w:tab w:val="clear" w:pos="0"/>
        </w:tabs>
        <w:ind w:left="3948" w:hanging="1680"/>
      </w:pPr>
      <w:rPr>
        <w:rFonts w:ascii="Book Antiqua" w:cs="Book Antiqua" w:hAnsi="Book Antiqua" w:eastAsia="Book Antiqua"/>
        <w:position w:val="0"/>
        <w:sz w:val="28"/>
        <w:szCs w:val="28"/>
      </w:rPr>
    </w:lvl>
    <w:lvl w:ilvl="5">
      <w:start w:val="1"/>
      <w:numFmt w:val="decimal"/>
      <w:suff w:val="tab"/>
      <w:lvlText w:val="%1.%2.%3.%4.%5.%6."/>
      <w:lvlJc w:val="left"/>
      <w:pPr>
        <w:tabs>
          <w:tab w:val="num" w:pos="4515"/>
          <w:tab w:val="clear" w:pos="0"/>
        </w:tabs>
        <w:ind w:left="4515" w:hanging="1680"/>
      </w:pPr>
      <w:rPr>
        <w:rFonts w:ascii="Book Antiqua" w:cs="Book Antiqua" w:hAnsi="Book Antiqua" w:eastAsia="Book Antiqua"/>
        <w:position w:val="0"/>
        <w:sz w:val="28"/>
        <w:szCs w:val="28"/>
      </w:rPr>
    </w:lvl>
    <w:lvl w:ilvl="6">
      <w:start w:val="1"/>
      <w:numFmt w:val="decimal"/>
      <w:suff w:val="tab"/>
      <w:lvlText w:val="%1.%2.%3.%4.%5.%6.%7."/>
      <w:lvlJc w:val="left"/>
      <w:pPr>
        <w:tabs>
          <w:tab w:val="num" w:pos="5502"/>
          <w:tab w:val="clear" w:pos="0"/>
        </w:tabs>
        <w:ind w:left="5502" w:hanging="2100"/>
      </w:pPr>
      <w:rPr>
        <w:rFonts w:ascii="Book Antiqua" w:cs="Book Antiqua" w:hAnsi="Book Antiqua" w:eastAsia="Book Antiqua"/>
        <w:position w:val="0"/>
        <w:sz w:val="28"/>
        <w:szCs w:val="28"/>
      </w:rPr>
    </w:lvl>
    <w:lvl w:ilvl="7">
      <w:start w:val="1"/>
      <w:numFmt w:val="decimal"/>
      <w:suff w:val="tab"/>
      <w:lvlText w:val="%1.%2.%3.%4.%5.%6.%7.%8."/>
      <w:lvlJc w:val="left"/>
      <w:pPr>
        <w:tabs>
          <w:tab w:val="num" w:pos="6489"/>
          <w:tab w:val="clear" w:pos="0"/>
        </w:tabs>
        <w:ind w:left="6489" w:hanging="2520"/>
      </w:pPr>
      <w:rPr>
        <w:rFonts w:ascii="Book Antiqua" w:cs="Book Antiqua" w:hAnsi="Book Antiqua" w:eastAsia="Book Antiqua"/>
        <w:position w:val="0"/>
        <w:sz w:val="28"/>
        <w:szCs w:val="28"/>
      </w:rPr>
    </w:lvl>
    <w:lvl w:ilvl="8">
      <w:start w:val="1"/>
      <w:numFmt w:val="decimal"/>
      <w:suff w:val="tab"/>
      <w:lvlText w:val="%1.%2.%3.%4.%5.%6.%7.%8.%9."/>
      <w:lvlJc w:val="left"/>
      <w:pPr>
        <w:tabs>
          <w:tab w:val="num" w:pos="7056"/>
          <w:tab w:val="clear" w:pos="0"/>
        </w:tabs>
        <w:ind w:left="7056" w:hanging="2520"/>
      </w:pPr>
      <w:rPr>
        <w:rFonts w:ascii="Book Antiqua" w:cs="Book Antiqua" w:hAnsi="Book Antiqua" w:eastAsia="Book Antiqua"/>
        <w:position w:val="0"/>
        <w:sz w:val="28"/>
        <w:szCs w:val="28"/>
      </w:rPr>
    </w:lvl>
  </w:abstractNum>
  <w:abstractNum w:abstractNumId="160">
    <w:multiLevelType w:val="multilevel"/>
    <w:styleLink w:val="List 34"/>
    <w:lvl w:ilvl="0">
      <w:start w:val="1"/>
      <w:numFmt w:val="decimal"/>
      <w:suff w:val="tab"/>
      <w:lvlText w:val="%1."/>
      <w:lvlJc w:val="left"/>
      <w:pPr>
        <w:tabs>
          <w:tab w:val="num" w:pos="420"/>
          <w:tab w:val="clear" w:pos="0"/>
        </w:tabs>
        <w:ind w:left="420" w:hanging="420"/>
      </w:pPr>
      <w:rPr>
        <w:rFonts w:ascii="Book Antiqua" w:cs="Book Antiqua" w:hAnsi="Book Antiqua" w:eastAsia="Book Antiqua"/>
        <w:position w:val="0"/>
        <w:sz w:val="28"/>
        <w:szCs w:val="28"/>
      </w:rPr>
    </w:lvl>
    <w:lvl w:ilvl="1">
      <w:start w:val="4"/>
      <w:numFmt w:val="decimal"/>
      <w:suff w:val="tab"/>
      <w:lvlText w:val="%1.%2."/>
      <w:lvlJc w:val="left"/>
      <w:pPr>
        <w:tabs>
          <w:tab w:val="num" w:pos="1287"/>
          <w:tab w:val="clear" w:pos="0"/>
        </w:tabs>
        <w:ind w:left="1287" w:hanging="720"/>
      </w:pPr>
      <w:rPr>
        <w:rFonts w:ascii="Book Antiqua" w:cs="Book Antiqua" w:hAnsi="Book Antiqua" w:eastAsia="Book Antiqua"/>
        <w:position w:val="0"/>
        <w:sz w:val="28"/>
        <w:szCs w:val="28"/>
      </w:rPr>
    </w:lvl>
    <w:lvl w:ilvl="2">
      <w:start w:val="1"/>
      <w:numFmt w:val="decimal"/>
      <w:suff w:val="tab"/>
      <w:lvlText w:val="%1.%2.%3."/>
      <w:lvlJc w:val="left"/>
      <w:pPr>
        <w:tabs>
          <w:tab w:val="num" w:pos="1974"/>
          <w:tab w:val="clear" w:pos="0"/>
        </w:tabs>
        <w:ind w:left="1974" w:hanging="840"/>
      </w:pPr>
      <w:rPr>
        <w:rFonts w:ascii="Book Antiqua" w:cs="Book Antiqua" w:hAnsi="Book Antiqua" w:eastAsia="Book Antiqua"/>
        <w:position w:val="0"/>
        <w:sz w:val="28"/>
        <w:szCs w:val="28"/>
      </w:rPr>
    </w:lvl>
    <w:lvl w:ilvl="3">
      <w:start w:val="1"/>
      <w:numFmt w:val="decimal"/>
      <w:suff w:val="tab"/>
      <w:lvlText w:val="%1.%2.%3.%4."/>
      <w:lvlJc w:val="left"/>
      <w:pPr>
        <w:tabs>
          <w:tab w:val="num" w:pos="2961"/>
          <w:tab w:val="clear" w:pos="0"/>
        </w:tabs>
        <w:ind w:left="2961" w:hanging="1260"/>
      </w:pPr>
      <w:rPr>
        <w:rFonts w:ascii="Book Antiqua" w:cs="Book Antiqua" w:hAnsi="Book Antiqua" w:eastAsia="Book Antiqua"/>
        <w:position w:val="0"/>
        <w:sz w:val="28"/>
        <w:szCs w:val="28"/>
      </w:rPr>
    </w:lvl>
    <w:lvl w:ilvl="4">
      <w:start w:val="1"/>
      <w:numFmt w:val="decimal"/>
      <w:suff w:val="tab"/>
      <w:lvlText w:val="%1.%2.%3.%4.%5."/>
      <w:lvlJc w:val="left"/>
      <w:pPr>
        <w:tabs>
          <w:tab w:val="num" w:pos="3948"/>
          <w:tab w:val="clear" w:pos="0"/>
        </w:tabs>
        <w:ind w:left="3948" w:hanging="1680"/>
      </w:pPr>
      <w:rPr>
        <w:rFonts w:ascii="Book Antiqua" w:cs="Book Antiqua" w:hAnsi="Book Antiqua" w:eastAsia="Book Antiqua"/>
        <w:position w:val="0"/>
        <w:sz w:val="28"/>
        <w:szCs w:val="28"/>
      </w:rPr>
    </w:lvl>
    <w:lvl w:ilvl="5">
      <w:start w:val="1"/>
      <w:numFmt w:val="decimal"/>
      <w:suff w:val="tab"/>
      <w:lvlText w:val="%1.%2.%3.%4.%5.%6."/>
      <w:lvlJc w:val="left"/>
      <w:pPr>
        <w:tabs>
          <w:tab w:val="num" w:pos="4515"/>
          <w:tab w:val="clear" w:pos="0"/>
        </w:tabs>
        <w:ind w:left="4515" w:hanging="1680"/>
      </w:pPr>
      <w:rPr>
        <w:rFonts w:ascii="Book Antiqua" w:cs="Book Antiqua" w:hAnsi="Book Antiqua" w:eastAsia="Book Antiqua"/>
        <w:position w:val="0"/>
        <w:sz w:val="28"/>
        <w:szCs w:val="28"/>
      </w:rPr>
    </w:lvl>
    <w:lvl w:ilvl="6">
      <w:start w:val="1"/>
      <w:numFmt w:val="decimal"/>
      <w:suff w:val="tab"/>
      <w:lvlText w:val="%1.%2.%3.%4.%5.%6.%7."/>
      <w:lvlJc w:val="left"/>
      <w:pPr>
        <w:tabs>
          <w:tab w:val="num" w:pos="5502"/>
          <w:tab w:val="clear" w:pos="0"/>
        </w:tabs>
        <w:ind w:left="5502" w:hanging="2100"/>
      </w:pPr>
      <w:rPr>
        <w:rFonts w:ascii="Book Antiqua" w:cs="Book Antiqua" w:hAnsi="Book Antiqua" w:eastAsia="Book Antiqua"/>
        <w:position w:val="0"/>
        <w:sz w:val="28"/>
        <w:szCs w:val="28"/>
      </w:rPr>
    </w:lvl>
    <w:lvl w:ilvl="7">
      <w:start w:val="1"/>
      <w:numFmt w:val="decimal"/>
      <w:suff w:val="tab"/>
      <w:lvlText w:val="%1.%2.%3.%4.%5.%6.%7.%8."/>
      <w:lvlJc w:val="left"/>
      <w:pPr>
        <w:tabs>
          <w:tab w:val="num" w:pos="6489"/>
          <w:tab w:val="clear" w:pos="0"/>
        </w:tabs>
        <w:ind w:left="6489" w:hanging="2520"/>
      </w:pPr>
      <w:rPr>
        <w:rFonts w:ascii="Book Antiqua" w:cs="Book Antiqua" w:hAnsi="Book Antiqua" w:eastAsia="Book Antiqua"/>
        <w:position w:val="0"/>
        <w:sz w:val="28"/>
        <w:szCs w:val="28"/>
      </w:rPr>
    </w:lvl>
    <w:lvl w:ilvl="8">
      <w:start w:val="1"/>
      <w:numFmt w:val="decimal"/>
      <w:suff w:val="tab"/>
      <w:lvlText w:val="%1.%2.%3.%4.%5.%6.%7.%8.%9."/>
      <w:lvlJc w:val="left"/>
      <w:pPr>
        <w:tabs>
          <w:tab w:val="num" w:pos="7056"/>
          <w:tab w:val="clear" w:pos="0"/>
        </w:tabs>
        <w:ind w:left="7056" w:hanging="2520"/>
      </w:pPr>
      <w:rPr>
        <w:rFonts w:ascii="Book Antiqua" w:cs="Book Antiqua" w:hAnsi="Book Antiqua" w:eastAsia="Book Antiqua"/>
        <w:position w:val="0"/>
        <w:sz w:val="28"/>
        <w:szCs w:val="28"/>
      </w:rPr>
    </w:lvl>
  </w:abstractNum>
  <w:abstractNum w:abstractNumId="161">
    <w:multiLevelType w:val="multilevel"/>
    <w:lvl w:ilvl="0">
      <w:start w:val="1"/>
      <w:numFmt w:val="bullet"/>
      <w:suff w:val="tab"/>
      <w:lvlText w:val="-"/>
      <w:lvlJc w:val="left"/>
      <w:pPr/>
      <w:rPr>
        <w:rFonts w:ascii="Book Antiqua" w:cs="Book Antiqua" w:hAnsi="Book Antiqua" w:eastAsia="Book Antiqua"/>
        <w:position w:val="0"/>
      </w:rPr>
    </w:lvl>
    <w:lvl w:ilvl="1">
      <w:start w:val="1"/>
      <w:numFmt w:val="bullet"/>
      <w:suff w:val="tab"/>
      <w:lvlText w:val="o"/>
      <w:lvlJc w:val="left"/>
      <w:pPr/>
      <w:rPr>
        <w:rFonts w:ascii="Book Antiqua" w:cs="Book Antiqua" w:hAnsi="Book Antiqua" w:eastAsia="Book Antiqua"/>
        <w:position w:val="0"/>
      </w:rPr>
    </w:lvl>
    <w:lvl w:ilvl="2">
      <w:start w:val="1"/>
      <w:numFmt w:val="bullet"/>
      <w:suff w:val="tab"/>
      <w:lvlText w:val="▪"/>
      <w:lvlJc w:val="left"/>
      <w:pPr/>
      <w:rPr>
        <w:rFonts w:ascii="Book Antiqua" w:cs="Book Antiqua" w:hAnsi="Book Antiqua" w:eastAsia="Book Antiqua"/>
        <w:position w:val="0"/>
      </w:rPr>
    </w:lvl>
    <w:lvl w:ilvl="3">
      <w:start w:val="1"/>
      <w:numFmt w:val="bullet"/>
      <w:suff w:val="tab"/>
      <w:lvlText w:val="•"/>
      <w:lvlJc w:val="left"/>
      <w:pPr/>
      <w:rPr>
        <w:rFonts w:ascii="Book Antiqua" w:cs="Book Antiqua" w:hAnsi="Book Antiqua" w:eastAsia="Book Antiqua"/>
        <w:position w:val="0"/>
      </w:rPr>
    </w:lvl>
    <w:lvl w:ilvl="4">
      <w:start w:val="1"/>
      <w:numFmt w:val="bullet"/>
      <w:suff w:val="tab"/>
      <w:lvlText w:val="o"/>
      <w:lvlJc w:val="left"/>
      <w:pPr/>
      <w:rPr>
        <w:rFonts w:ascii="Book Antiqua" w:cs="Book Antiqua" w:hAnsi="Book Antiqua" w:eastAsia="Book Antiqua"/>
        <w:position w:val="0"/>
      </w:rPr>
    </w:lvl>
    <w:lvl w:ilvl="5">
      <w:start w:val="1"/>
      <w:numFmt w:val="bullet"/>
      <w:suff w:val="tab"/>
      <w:lvlText w:val="▪"/>
      <w:lvlJc w:val="left"/>
      <w:pPr/>
      <w:rPr>
        <w:rFonts w:ascii="Book Antiqua" w:cs="Book Antiqua" w:hAnsi="Book Antiqua" w:eastAsia="Book Antiqua"/>
        <w:position w:val="0"/>
      </w:rPr>
    </w:lvl>
    <w:lvl w:ilvl="6">
      <w:start w:val="1"/>
      <w:numFmt w:val="bullet"/>
      <w:suff w:val="tab"/>
      <w:lvlText w:val="•"/>
      <w:lvlJc w:val="left"/>
      <w:pPr/>
      <w:rPr>
        <w:rFonts w:ascii="Book Antiqua" w:cs="Book Antiqua" w:hAnsi="Book Antiqua" w:eastAsia="Book Antiqua"/>
        <w:position w:val="0"/>
      </w:rPr>
    </w:lvl>
    <w:lvl w:ilvl="7">
      <w:start w:val="1"/>
      <w:numFmt w:val="bullet"/>
      <w:suff w:val="tab"/>
      <w:lvlText w:val="o"/>
      <w:lvlJc w:val="left"/>
      <w:pPr/>
      <w:rPr>
        <w:rFonts w:ascii="Book Antiqua" w:cs="Book Antiqua" w:hAnsi="Book Antiqua" w:eastAsia="Book Antiqua"/>
        <w:position w:val="0"/>
      </w:rPr>
    </w:lvl>
    <w:lvl w:ilvl="8">
      <w:start w:val="1"/>
      <w:numFmt w:val="bullet"/>
      <w:suff w:val="tab"/>
      <w:lvlText w:val="▪"/>
      <w:lvlJc w:val="left"/>
      <w:pPr/>
      <w:rPr>
        <w:rFonts w:ascii="Book Antiqua" w:cs="Book Antiqua" w:hAnsi="Book Antiqua" w:eastAsia="Book Antiqua"/>
        <w:position w:val="0"/>
      </w:rPr>
    </w:lvl>
  </w:abstractNum>
  <w:abstractNum w:abstractNumId="162">
    <w:multiLevelType w:val="multilevel"/>
    <w:styleLink w:val="List 35"/>
    <w:lvl w:ilvl="0">
      <w:start w:val="0"/>
      <w:numFmt w:val="bullet"/>
      <w:suff w:val="tab"/>
      <w:lvlText w:val="-"/>
      <w:lvlJc w:val="left"/>
      <w:pPr/>
      <w:rPr>
        <w:rFonts w:ascii="Book Antiqua" w:cs="Book Antiqua" w:hAnsi="Book Antiqua" w:eastAsia="Book Antiqua"/>
        <w:position w:val="0"/>
      </w:rPr>
    </w:lvl>
    <w:lvl w:ilvl="1">
      <w:start w:val="1"/>
      <w:numFmt w:val="bullet"/>
      <w:suff w:val="tab"/>
      <w:lvlText w:val="o"/>
      <w:lvlJc w:val="left"/>
      <w:pPr/>
      <w:rPr>
        <w:rFonts w:ascii="Book Antiqua" w:cs="Book Antiqua" w:hAnsi="Book Antiqua" w:eastAsia="Book Antiqua"/>
        <w:position w:val="0"/>
      </w:rPr>
    </w:lvl>
    <w:lvl w:ilvl="2">
      <w:start w:val="1"/>
      <w:numFmt w:val="bullet"/>
      <w:suff w:val="tab"/>
      <w:lvlText w:val="▪"/>
      <w:lvlJc w:val="left"/>
      <w:pPr/>
      <w:rPr>
        <w:rFonts w:ascii="Book Antiqua" w:cs="Book Antiqua" w:hAnsi="Book Antiqua" w:eastAsia="Book Antiqua"/>
        <w:position w:val="0"/>
      </w:rPr>
    </w:lvl>
    <w:lvl w:ilvl="3">
      <w:start w:val="1"/>
      <w:numFmt w:val="bullet"/>
      <w:suff w:val="tab"/>
      <w:lvlText w:val="•"/>
      <w:lvlJc w:val="left"/>
      <w:pPr/>
      <w:rPr>
        <w:rFonts w:ascii="Book Antiqua" w:cs="Book Antiqua" w:hAnsi="Book Antiqua" w:eastAsia="Book Antiqua"/>
        <w:position w:val="0"/>
      </w:rPr>
    </w:lvl>
    <w:lvl w:ilvl="4">
      <w:start w:val="1"/>
      <w:numFmt w:val="bullet"/>
      <w:suff w:val="tab"/>
      <w:lvlText w:val="o"/>
      <w:lvlJc w:val="left"/>
      <w:pPr/>
      <w:rPr>
        <w:rFonts w:ascii="Book Antiqua" w:cs="Book Antiqua" w:hAnsi="Book Antiqua" w:eastAsia="Book Antiqua"/>
        <w:position w:val="0"/>
      </w:rPr>
    </w:lvl>
    <w:lvl w:ilvl="5">
      <w:start w:val="1"/>
      <w:numFmt w:val="bullet"/>
      <w:suff w:val="tab"/>
      <w:lvlText w:val="▪"/>
      <w:lvlJc w:val="left"/>
      <w:pPr/>
      <w:rPr>
        <w:rFonts w:ascii="Book Antiqua" w:cs="Book Antiqua" w:hAnsi="Book Antiqua" w:eastAsia="Book Antiqua"/>
        <w:position w:val="0"/>
      </w:rPr>
    </w:lvl>
    <w:lvl w:ilvl="6">
      <w:start w:val="1"/>
      <w:numFmt w:val="bullet"/>
      <w:suff w:val="tab"/>
      <w:lvlText w:val="•"/>
      <w:lvlJc w:val="left"/>
      <w:pPr/>
      <w:rPr>
        <w:rFonts w:ascii="Book Antiqua" w:cs="Book Antiqua" w:hAnsi="Book Antiqua" w:eastAsia="Book Antiqua"/>
        <w:position w:val="0"/>
      </w:rPr>
    </w:lvl>
    <w:lvl w:ilvl="7">
      <w:start w:val="1"/>
      <w:numFmt w:val="bullet"/>
      <w:suff w:val="tab"/>
      <w:lvlText w:val="o"/>
      <w:lvlJc w:val="left"/>
      <w:pPr/>
      <w:rPr>
        <w:rFonts w:ascii="Book Antiqua" w:cs="Book Antiqua" w:hAnsi="Book Antiqua" w:eastAsia="Book Antiqua"/>
        <w:position w:val="0"/>
      </w:rPr>
    </w:lvl>
    <w:lvl w:ilvl="8">
      <w:start w:val="1"/>
      <w:numFmt w:val="bullet"/>
      <w:suff w:val="tab"/>
      <w:lvlText w:val="▪"/>
      <w:lvlJc w:val="left"/>
      <w:pPr/>
      <w:rPr>
        <w:rFonts w:ascii="Book Antiqua" w:cs="Book Antiqua" w:hAnsi="Book Antiqua" w:eastAsia="Book Antiqua"/>
        <w:position w:val="0"/>
      </w:rPr>
    </w:lvl>
  </w:abstractNum>
  <w:abstractNum w:abstractNumId="163">
    <w:multiLevelType w:val="multilevel"/>
    <w:styleLink w:val="List 35"/>
    <w:lvl w:ilvl="0">
      <w:start w:val="0"/>
      <w:numFmt w:val="bullet"/>
      <w:suff w:val="tab"/>
      <w:lvlText w:val="-"/>
      <w:lvlJc w:val="left"/>
      <w:pPr/>
      <w:rPr>
        <w:rFonts w:ascii="Book Antiqua" w:cs="Book Antiqua" w:hAnsi="Book Antiqua" w:eastAsia="Book Antiqua"/>
        <w:position w:val="0"/>
      </w:rPr>
    </w:lvl>
    <w:lvl w:ilvl="1">
      <w:start w:val="1"/>
      <w:numFmt w:val="bullet"/>
      <w:suff w:val="tab"/>
      <w:lvlText w:val="o"/>
      <w:lvlJc w:val="left"/>
      <w:pPr/>
      <w:rPr>
        <w:rFonts w:ascii="Book Antiqua" w:cs="Book Antiqua" w:hAnsi="Book Antiqua" w:eastAsia="Book Antiqua"/>
        <w:position w:val="0"/>
      </w:rPr>
    </w:lvl>
    <w:lvl w:ilvl="2">
      <w:start w:val="1"/>
      <w:numFmt w:val="bullet"/>
      <w:suff w:val="tab"/>
      <w:lvlText w:val="▪"/>
      <w:lvlJc w:val="left"/>
      <w:pPr/>
      <w:rPr>
        <w:rFonts w:ascii="Book Antiqua" w:cs="Book Antiqua" w:hAnsi="Book Antiqua" w:eastAsia="Book Antiqua"/>
        <w:position w:val="0"/>
      </w:rPr>
    </w:lvl>
    <w:lvl w:ilvl="3">
      <w:start w:val="1"/>
      <w:numFmt w:val="bullet"/>
      <w:suff w:val="tab"/>
      <w:lvlText w:val="•"/>
      <w:lvlJc w:val="left"/>
      <w:pPr/>
      <w:rPr>
        <w:rFonts w:ascii="Book Antiqua" w:cs="Book Antiqua" w:hAnsi="Book Antiqua" w:eastAsia="Book Antiqua"/>
        <w:position w:val="0"/>
      </w:rPr>
    </w:lvl>
    <w:lvl w:ilvl="4">
      <w:start w:val="1"/>
      <w:numFmt w:val="bullet"/>
      <w:suff w:val="tab"/>
      <w:lvlText w:val="o"/>
      <w:lvlJc w:val="left"/>
      <w:pPr/>
      <w:rPr>
        <w:rFonts w:ascii="Book Antiqua" w:cs="Book Antiqua" w:hAnsi="Book Antiqua" w:eastAsia="Book Antiqua"/>
        <w:position w:val="0"/>
      </w:rPr>
    </w:lvl>
    <w:lvl w:ilvl="5">
      <w:start w:val="1"/>
      <w:numFmt w:val="bullet"/>
      <w:suff w:val="tab"/>
      <w:lvlText w:val="▪"/>
      <w:lvlJc w:val="left"/>
      <w:pPr/>
      <w:rPr>
        <w:rFonts w:ascii="Book Antiqua" w:cs="Book Antiqua" w:hAnsi="Book Antiqua" w:eastAsia="Book Antiqua"/>
        <w:position w:val="0"/>
      </w:rPr>
    </w:lvl>
    <w:lvl w:ilvl="6">
      <w:start w:val="1"/>
      <w:numFmt w:val="bullet"/>
      <w:suff w:val="tab"/>
      <w:lvlText w:val="•"/>
      <w:lvlJc w:val="left"/>
      <w:pPr/>
      <w:rPr>
        <w:rFonts w:ascii="Book Antiqua" w:cs="Book Antiqua" w:hAnsi="Book Antiqua" w:eastAsia="Book Antiqua"/>
        <w:position w:val="0"/>
      </w:rPr>
    </w:lvl>
    <w:lvl w:ilvl="7">
      <w:start w:val="1"/>
      <w:numFmt w:val="bullet"/>
      <w:suff w:val="tab"/>
      <w:lvlText w:val="o"/>
      <w:lvlJc w:val="left"/>
      <w:pPr/>
      <w:rPr>
        <w:rFonts w:ascii="Book Antiqua" w:cs="Book Antiqua" w:hAnsi="Book Antiqua" w:eastAsia="Book Antiqua"/>
        <w:position w:val="0"/>
      </w:rPr>
    </w:lvl>
    <w:lvl w:ilvl="8">
      <w:start w:val="1"/>
      <w:numFmt w:val="bullet"/>
      <w:suff w:val="tab"/>
      <w:lvlText w:val="▪"/>
      <w:lvlJc w:val="left"/>
      <w:pPr/>
      <w:rPr>
        <w:rFonts w:ascii="Book Antiqua" w:cs="Book Antiqua" w:hAnsi="Book Antiqua" w:eastAsia="Book Antiqua"/>
        <w:position w:val="0"/>
      </w:rPr>
    </w:lvl>
  </w:abstractNum>
  <w:abstractNum w:abstractNumId="164">
    <w:multiLevelType w:val="multilevel"/>
    <w:lvl w:ilvl="0">
      <w:start w:val="1"/>
      <w:numFmt w:val="bullet"/>
      <w:suff w:val="tab"/>
      <w:lvlText w:val="-"/>
      <w:lvlJc w:val="left"/>
      <w:pPr/>
      <w:rPr>
        <w:rFonts w:ascii="Book Antiqua" w:cs="Book Antiqua" w:hAnsi="Book Antiqua" w:eastAsia="Book Antiqua"/>
        <w:position w:val="0"/>
      </w:rPr>
    </w:lvl>
    <w:lvl w:ilvl="1">
      <w:start w:val="1"/>
      <w:numFmt w:val="bullet"/>
      <w:suff w:val="tab"/>
      <w:lvlText w:val="o"/>
      <w:lvlJc w:val="left"/>
      <w:pPr/>
      <w:rPr>
        <w:rFonts w:ascii="Book Antiqua" w:cs="Book Antiqua" w:hAnsi="Book Antiqua" w:eastAsia="Book Antiqua"/>
        <w:position w:val="0"/>
      </w:rPr>
    </w:lvl>
    <w:lvl w:ilvl="2">
      <w:start w:val="1"/>
      <w:numFmt w:val="bullet"/>
      <w:suff w:val="tab"/>
      <w:lvlText w:val="▪"/>
      <w:lvlJc w:val="left"/>
      <w:pPr/>
      <w:rPr>
        <w:rFonts w:ascii="Book Antiqua" w:cs="Book Antiqua" w:hAnsi="Book Antiqua" w:eastAsia="Book Antiqua"/>
        <w:position w:val="0"/>
      </w:rPr>
    </w:lvl>
    <w:lvl w:ilvl="3">
      <w:start w:val="1"/>
      <w:numFmt w:val="bullet"/>
      <w:suff w:val="tab"/>
      <w:lvlText w:val="•"/>
      <w:lvlJc w:val="left"/>
      <w:pPr/>
      <w:rPr>
        <w:rFonts w:ascii="Book Antiqua" w:cs="Book Antiqua" w:hAnsi="Book Antiqua" w:eastAsia="Book Antiqua"/>
        <w:position w:val="0"/>
      </w:rPr>
    </w:lvl>
    <w:lvl w:ilvl="4">
      <w:start w:val="1"/>
      <w:numFmt w:val="bullet"/>
      <w:suff w:val="tab"/>
      <w:lvlText w:val="o"/>
      <w:lvlJc w:val="left"/>
      <w:pPr/>
      <w:rPr>
        <w:rFonts w:ascii="Book Antiqua" w:cs="Book Antiqua" w:hAnsi="Book Antiqua" w:eastAsia="Book Antiqua"/>
        <w:position w:val="0"/>
      </w:rPr>
    </w:lvl>
    <w:lvl w:ilvl="5">
      <w:start w:val="1"/>
      <w:numFmt w:val="bullet"/>
      <w:suff w:val="tab"/>
      <w:lvlText w:val="▪"/>
      <w:lvlJc w:val="left"/>
      <w:pPr/>
      <w:rPr>
        <w:rFonts w:ascii="Book Antiqua" w:cs="Book Antiqua" w:hAnsi="Book Antiqua" w:eastAsia="Book Antiqua"/>
        <w:position w:val="0"/>
      </w:rPr>
    </w:lvl>
    <w:lvl w:ilvl="6">
      <w:start w:val="1"/>
      <w:numFmt w:val="bullet"/>
      <w:suff w:val="tab"/>
      <w:lvlText w:val="•"/>
      <w:lvlJc w:val="left"/>
      <w:pPr/>
      <w:rPr>
        <w:rFonts w:ascii="Book Antiqua" w:cs="Book Antiqua" w:hAnsi="Book Antiqua" w:eastAsia="Book Antiqua"/>
        <w:position w:val="0"/>
      </w:rPr>
    </w:lvl>
    <w:lvl w:ilvl="7">
      <w:start w:val="1"/>
      <w:numFmt w:val="bullet"/>
      <w:suff w:val="tab"/>
      <w:lvlText w:val="o"/>
      <w:lvlJc w:val="left"/>
      <w:pPr/>
      <w:rPr>
        <w:rFonts w:ascii="Book Antiqua" w:cs="Book Antiqua" w:hAnsi="Book Antiqua" w:eastAsia="Book Antiqua"/>
        <w:position w:val="0"/>
      </w:rPr>
    </w:lvl>
    <w:lvl w:ilvl="8">
      <w:start w:val="1"/>
      <w:numFmt w:val="bullet"/>
      <w:suff w:val="tab"/>
      <w:lvlText w:val="▪"/>
      <w:lvlJc w:val="left"/>
      <w:pPr/>
      <w:rPr>
        <w:rFonts w:ascii="Book Antiqua" w:cs="Book Antiqua" w:hAnsi="Book Antiqua" w:eastAsia="Book Antiqua"/>
        <w:position w:val="0"/>
      </w:rPr>
    </w:lvl>
  </w:abstractNum>
  <w:abstractNum w:abstractNumId="165">
    <w:multiLevelType w:val="multilevel"/>
    <w:styleLink w:val="List 36"/>
    <w:lvl w:ilvl="0">
      <w:start w:val="0"/>
      <w:numFmt w:val="bullet"/>
      <w:suff w:val="tab"/>
      <w:lvlText w:val="-"/>
      <w:lvlJc w:val="left"/>
      <w:pPr/>
      <w:rPr>
        <w:rFonts w:ascii="Book Antiqua" w:cs="Book Antiqua" w:hAnsi="Book Antiqua" w:eastAsia="Book Antiqua"/>
        <w:position w:val="0"/>
      </w:rPr>
    </w:lvl>
    <w:lvl w:ilvl="1">
      <w:start w:val="1"/>
      <w:numFmt w:val="bullet"/>
      <w:suff w:val="tab"/>
      <w:lvlText w:val="o"/>
      <w:lvlJc w:val="left"/>
      <w:pPr/>
      <w:rPr>
        <w:rFonts w:ascii="Book Antiqua" w:cs="Book Antiqua" w:hAnsi="Book Antiqua" w:eastAsia="Book Antiqua"/>
        <w:position w:val="0"/>
      </w:rPr>
    </w:lvl>
    <w:lvl w:ilvl="2">
      <w:start w:val="1"/>
      <w:numFmt w:val="bullet"/>
      <w:suff w:val="tab"/>
      <w:lvlText w:val="▪"/>
      <w:lvlJc w:val="left"/>
      <w:pPr/>
      <w:rPr>
        <w:rFonts w:ascii="Book Antiqua" w:cs="Book Antiqua" w:hAnsi="Book Antiqua" w:eastAsia="Book Antiqua"/>
        <w:position w:val="0"/>
      </w:rPr>
    </w:lvl>
    <w:lvl w:ilvl="3">
      <w:start w:val="1"/>
      <w:numFmt w:val="bullet"/>
      <w:suff w:val="tab"/>
      <w:lvlText w:val="•"/>
      <w:lvlJc w:val="left"/>
      <w:pPr/>
      <w:rPr>
        <w:rFonts w:ascii="Book Antiqua" w:cs="Book Antiqua" w:hAnsi="Book Antiqua" w:eastAsia="Book Antiqua"/>
        <w:position w:val="0"/>
      </w:rPr>
    </w:lvl>
    <w:lvl w:ilvl="4">
      <w:start w:val="1"/>
      <w:numFmt w:val="bullet"/>
      <w:suff w:val="tab"/>
      <w:lvlText w:val="o"/>
      <w:lvlJc w:val="left"/>
      <w:pPr/>
      <w:rPr>
        <w:rFonts w:ascii="Book Antiqua" w:cs="Book Antiqua" w:hAnsi="Book Antiqua" w:eastAsia="Book Antiqua"/>
        <w:position w:val="0"/>
      </w:rPr>
    </w:lvl>
    <w:lvl w:ilvl="5">
      <w:start w:val="1"/>
      <w:numFmt w:val="bullet"/>
      <w:suff w:val="tab"/>
      <w:lvlText w:val="▪"/>
      <w:lvlJc w:val="left"/>
      <w:pPr/>
      <w:rPr>
        <w:rFonts w:ascii="Book Antiqua" w:cs="Book Antiqua" w:hAnsi="Book Antiqua" w:eastAsia="Book Antiqua"/>
        <w:position w:val="0"/>
      </w:rPr>
    </w:lvl>
    <w:lvl w:ilvl="6">
      <w:start w:val="1"/>
      <w:numFmt w:val="bullet"/>
      <w:suff w:val="tab"/>
      <w:lvlText w:val="•"/>
      <w:lvlJc w:val="left"/>
      <w:pPr/>
      <w:rPr>
        <w:rFonts w:ascii="Book Antiqua" w:cs="Book Antiqua" w:hAnsi="Book Antiqua" w:eastAsia="Book Antiqua"/>
        <w:position w:val="0"/>
      </w:rPr>
    </w:lvl>
    <w:lvl w:ilvl="7">
      <w:start w:val="1"/>
      <w:numFmt w:val="bullet"/>
      <w:suff w:val="tab"/>
      <w:lvlText w:val="o"/>
      <w:lvlJc w:val="left"/>
      <w:pPr/>
      <w:rPr>
        <w:rFonts w:ascii="Book Antiqua" w:cs="Book Antiqua" w:hAnsi="Book Antiqua" w:eastAsia="Book Antiqua"/>
        <w:position w:val="0"/>
      </w:rPr>
    </w:lvl>
    <w:lvl w:ilvl="8">
      <w:start w:val="1"/>
      <w:numFmt w:val="bullet"/>
      <w:suff w:val="tab"/>
      <w:lvlText w:val="▪"/>
      <w:lvlJc w:val="left"/>
      <w:pPr/>
      <w:rPr>
        <w:rFonts w:ascii="Book Antiqua" w:cs="Book Antiqua" w:hAnsi="Book Antiqua" w:eastAsia="Book Antiqua"/>
        <w:position w:val="0"/>
      </w:rPr>
    </w:lvl>
  </w:abstractNum>
  <w:abstractNum w:abstractNumId="166">
    <w:multiLevelType w:val="multilevel"/>
    <w:lvl w:ilvl="0">
      <w:start w:val="1"/>
      <w:numFmt w:val="decimal"/>
      <w:suff w:val="tab"/>
      <w:lvlText w:val="%1."/>
      <w:lvlJc w:val="left"/>
      <w:pPr>
        <w:tabs>
          <w:tab w:val="num" w:pos="849"/>
          <w:tab w:val="clear" w:pos="0"/>
        </w:tabs>
        <w:ind w:left="849" w:hanging="849"/>
      </w:pPr>
      <w:rPr>
        <w:rFonts w:ascii="Book Antiqua" w:cs="Book Antiqua" w:hAnsi="Book Antiqua" w:eastAsia="Book Antiqua"/>
        <w:kern w:val="1"/>
        <w:position w:val="0"/>
        <w:sz w:val="32"/>
        <w:szCs w:val="32"/>
      </w:rPr>
    </w:lvl>
    <w:lvl w:ilvl="1">
      <w:start w:val="1"/>
      <w:numFmt w:val="lowerLetter"/>
      <w:suff w:val="tab"/>
      <w:lvlText w:val="%2."/>
      <w:lvlJc w:val="left"/>
      <w:pPr>
        <w:tabs>
          <w:tab w:val="num" w:pos="2488"/>
          <w:tab w:val="clear" w:pos="0"/>
        </w:tabs>
        <w:ind w:left="2488" w:hanging="480"/>
      </w:pPr>
      <w:rPr>
        <w:rFonts w:ascii="Book Antiqua" w:cs="Book Antiqua" w:hAnsi="Book Antiqua" w:eastAsia="Book Antiqua"/>
        <w:kern w:val="1"/>
        <w:position w:val="0"/>
        <w:sz w:val="32"/>
        <w:szCs w:val="32"/>
      </w:rPr>
    </w:lvl>
    <w:lvl w:ilvl="2">
      <w:start w:val="1"/>
      <w:numFmt w:val="lowerRoman"/>
      <w:suff w:val="tab"/>
      <w:lvlText w:val="%3."/>
      <w:lvlJc w:val="left"/>
      <w:pPr>
        <w:tabs>
          <w:tab w:val="num" w:pos="3187"/>
          <w:tab w:val="clear" w:pos="0"/>
        </w:tabs>
        <w:ind w:left="3187" w:hanging="395"/>
      </w:pPr>
      <w:rPr>
        <w:rFonts w:ascii="Book Antiqua" w:cs="Book Antiqua" w:hAnsi="Book Antiqua" w:eastAsia="Book Antiqua"/>
        <w:kern w:val="1"/>
        <w:position w:val="0"/>
        <w:sz w:val="32"/>
        <w:szCs w:val="32"/>
      </w:rPr>
    </w:lvl>
    <w:lvl w:ilvl="3">
      <w:start w:val="1"/>
      <w:numFmt w:val="decimal"/>
      <w:suff w:val="tab"/>
      <w:lvlText w:val="%4."/>
      <w:lvlJc w:val="left"/>
      <w:pPr>
        <w:tabs>
          <w:tab w:val="num" w:pos="3928"/>
          <w:tab w:val="clear" w:pos="0"/>
        </w:tabs>
        <w:ind w:left="3928" w:hanging="480"/>
      </w:pPr>
      <w:rPr>
        <w:rFonts w:ascii="Book Antiqua" w:cs="Book Antiqua" w:hAnsi="Book Antiqua" w:eastAsia="Book Antiqua"/>
        <w:kern w:val="1"/>
        <w:position w:val="0"/>
        <w:sz w:val="32"/>
        <w:szCs w:val="32"/>
      </w:rPr>
    </w:lvl>
    <w:lvl w:ilvl="4">
      <w:start w:val="1"/>
      <w:numFmt w:val="lowerLetter"/>
      <w:suff w:val="tab"/>
      <w:lvlText w:val="%5."/>
      <w:lvlJc w:val="left"/>
      <w:pPr>
        <w:tabs>
          <w:tab w:val="num" w:pos="4648"/>
          <w:tab w:val="clear" w:pos="0"/>
        </w:tabs>
        <w:ind w:left="4648" w:hanging="480"/>
      </w:pPr>
      <w:rPr>
        <w:rFonts w:ascii="Book Antiqua" w:cs="Book Antiqua" w:hAnsi="Book Antiqua" w:eastAsia="Book Antiqua"/>
        <w:kern w:val="1"/>
        <w:position w:val="0"/>
        <w:sz w:val="32"/>
        <w:szCs w:val="32"/>
      </w:rPr>
    </w:lvl>
    <w:lvl w:ilvl="5">
      <w:start w:val="1"/>
      <w:numFmt w:val="lowerRoman"/>
      <w:suff w:val="tab"/>
      <w:lvlText w:val="%6."/>
      <w:lvlJc w:val="left"/>
      <w:pPr>
        <w:tabs>
          <w:tab w:val="num" w:pos="5347"/>
          <w:tab w:val="clear" w:pos="0"/>
        </w:tabs>
        <w:ind w:left="5347" w:hanging="395"/>
      </w:pPr>
      <w:rPr>
        <w:rFonts w:ascii="Book Antiqua" w:cs="Book Antiqua" w:hAnsi="Book Antiqua" w:eastAsia="Book Antiqua"/>
        <w:kern w:val="1"/>
        <w:position w:val="0"/>
        <w:sz w:val="32"/>
        <w:szCs w:val="32"/>
      </w:rPr>
    </w:lvl>
    <w:lvl w:ilvl="6">
      <w:start w:val="1"/>
      <w:numFmt w:val="decimal"/>
      <w:suff w:val="tab"/>
      <w:lvlText w:val="%7."/>
      <w:lvlJc w:val="left"/>
      <w:pPr>
        <w:tabs>
          <w:tab w:val="num" w:pos="6088"/>
          <w:tab w:val="clear" w:pos="0"/>
        </w:tabs>
        <w:ind w:left="6088" w:hanging="480"/>
      </w:pPr>
      <w:rPr>
        <w:rFonts w:ascii="Book Antiqua" w:cs="Book Antiqua" w:hAnsi="Book Antiqua" w:eastAsia="Book Antiqua"/>
        <w:kern w:val="1"/>
        <w:position w:val="0"/>
        <w:sz w:val="32"/>
        <w:szCs w:val="32"/>
      </w:rPr>
    </w:lvl>
    <w:lvl w:ilvl="7">
      <w:start w:val="1"/>
      <w:numFmt w:val="lowerLetter"/>
      <w:suff w:val="tab"/>
      <w:lvlText w:val="%8."/>
      <w:lvlJc w:val="left"/>
      <w:pPr>
        <w:tabs>
          <w:tab w:val="num" w:pos="6808"/>
          <w:tab w:val="clear" w:pos="0"/>
        </w:tabs>
        <w:ind w:left="6808" w:hanging="480"/>
      </w:pPr>
      <w:rPr>
        <w:rFonts w:ascii="Book Antiqua" w:cs="Book Antiqua" w:hAnsi="Book Antiqua" w:eastAsia="Book Antiqua"/>
        <w:kern w:val="1"/>
        <w:position w:val="0"/>
        <w:sz w:val="32"/>
        <w:szCs w:val="32"/>
      </w:rPr>
    </w:lvl>
    <w:lvl w:ilvl="8">
      <w:start w:val="1"/>
      <w:numFmt w:val="lowerRoman"/>
      <w:suff w:val="tab"/>
      <w:lvlText w:val="%9."/>
      <w:lvlJc w:val="left"/>
      <w:pPr>
        <w:tabs>
          <w:tab w:val="num" w:pos="7507"/>
          <w:tab w:val="clear" w:pos="0"/>
        </w:tabs>
        <w:ind w:left="7507" w:hanging="395"/>
      </w:pPr>
      <w:rPr>
        <w:rFonts w:ascii="Book Antiqua" w:cs="Book Antiqua" w:hAnsi="Book Antiqua" w:eastAsia="Book Antiqua"/>
        <w:kern w:val="1"/>
        <w:position w:val="0"/>
        <w:sz w:val="32"/>
        <w:szCs w:val="32"/>
      </w:rPr>
    </w:lvl>
  </w:abstractNum>
  <w:abstractNum w:abstractNumId="167">
    <w:multiLevelType w:val="multilevel"/>
    <w:lvl w:ilvl="0">
      <w:start w:val="1"/>
      <w:numFmt w:val="decimal"/>
      <w:suff w:val="tab"/>
      <w:lvlText w:val="%1."/>
      <w:lvlJc w:val="left"/>
      <w:pPr/>
      <w:rPr>
        <w:position w:val="0"/>
      </w:rPr>
    </w:lvl>
    <w:lvl w:ilvl="1">
      <w:start w:val="1"/>
      <w:numFmt w:val="lowerLetter"/>
      <w:suff w:val="tab"/>
      <w:lvlText w:val="%2."/>
      <w:lvlJc w:val="left"/>
      <w:pPr/>
      <w:rPr>
        <w:position w:val="0"/>
      </w:rPr>
    </w:lvl>
    <w:lvl w:ilvl="2">
      <w:start w:val="1"/>
      <w:numFmt w:val="lowerRoman"/>
      <w:suff w:val="tab"/>
      <w:lvlText w:val="%3."/>
      <w:lvlJc w:val="left"/>
      <w:pPr/>
      <w:rPr>
        <w:position w:val="0"/>
      </w:rPr>
    </w:lvl>
    <w:lvl w:ilvl="3">
      <w:start w:val="1"/>
      <w:numFmt w:val="decimal"/>
      <w:suff w:val="tab"/>
      <w:lvlText w:val="%4."/>
      <w:lvlJc w:val="left"/>
      <w:pPr/>
      <w:rPr>
        <w:position w:val="0"/>
      </w:rPr>
    </w:lvl>
    <w:lvl w:ilvl="4">
      <w:start w:val="1"/>
      <w:numFmt w:val="lowerLetter"/>
      <w:suff w:val="tab"/>
      <w:lvlText w:val="%5."/>
      <w:lvlJc w:val="left"/>
      <w:pPr/>
      <w:rPr>
        <w:position w:val="0"/>
      </w:rPr>
    </w:lvl>
    <w:lvl w:ilvl="5">
      <w:start w:val="1"/>
      <w:numFmt w:val="lowerRoman"/>
      <w:suff w:val="tab"/>
      <w:lvlText w:val="%6."/>
      <w:lvlJc w:val="left"/>
      <w:pPr/>
      <w:rPr>
        <w:position w:val="0"/>
      </w:rPr>
    </w:lvl>
    <w:lvl w:ilvl="6">
      <w:start w:val="1"/>
      <w:numFmt w:val="decimal"/>
      <w:suff w:val="tab"/>
      <w:lvlText w:val="%7."/>
      <w:lvlJc w:val="left"/>
      <w:pPr/>
      <w:rPr>
        <w:position w:val="0"/>
      </w:rPr>
    </w:lvl>
    <w:lvl w:ilvl="7">
      <w:start w:val="1"/>
      <w:numFmt w:val="lowerLetter"/>
      <w:suff w:val="tab"/>
      <w:lvlText w:val="%8."/>
      <w:lvlJc w:val="left"/>
      <w:pPr/>
      <w:rPr>
        <w:position w:val="0"/>
      </w:rPr>
    </w:lvl>
    <w:lvl w:ilvl="8">
      <w:start w:val="1"/>
      <w:numFmt w:val="lowerRoman"/>
      <w:suff w:val="tab"/>
      <w:lvlText w:val="%9."/>
      <w:lvlJc w:val="left"/>
      <w:pPr/>
      <w:rPr>
        <w:position w:val="0"/>
      </w:rPr>
    </w:lvl>
  </w:abstractNum>
  <w:abstractNum w:abstractNumId="168">
    <w:multiLevelType w:val="multilevel"/>
    <w:styleLink w:val="List 37"/>
    <w:lvl w:ilvl="0">
      <w:start w:val="7"/>
      <w:numFmt w:val="decimal"/>
      <w:suff w:val="tab"/>
      <w:lvlText w:val="%1."/>
      <w:lvlJc w:val="left"/>
      <w:pPr>
        <w:tabs>
          <w:tab w:val="num" w:pos="849"/>
          <w:tab w:val="clear" w:pos="0"/>
        </w:tabs>
        <w:ind w:left="849" w:hanging="849"/>
      </w:pPr>
      <w:rPr>
        <w:rFonts w:ascii="Book Antiqua" w:cs="Book Antiqua" w:hAnsi="Book Antiqua" w:eastAsia="Book Antiqua"/>
        <w:kern w:val="1"/>
        <w:position w:val="0"/>
        <w:sz w:val="32"/>
        <w:szCs w:val="32"/>
      </w:rPr>
    </w:lvl>
    <w:lvl w:ilvl="1">
      <w:start w:val="1"/>
      <w:numFmt w:val="lowerLetter"/>
      <w:suff w:val="tab"/>
      <w:lvlText w:val="%2."/>
      <w:lvlJc w:val="left"/>
      <w:pPr>
        <w:tabs>
          <w:tab w:val="num" w:pos="2488"/>
          <w:tab w:val="clear" w:pos="0"/>
        </w:tabs>
        <w:ind w:left="2488" w:hanging="480"/>
      </w:pPr>
      <w:rPr>
        <w:rFonts w:ascii="Book Antiqua" w:cs="Book Antiqua" w:hAnsi="Book Antiqua" w:eastAsia="Book Antiqua"/>
        <w:kern w:val="1"/>
        <w:position w:val="0"/>
        <w:sz w:val="32"/>
        <w:szCs w:val="32"/>
      </w:rPr>
    </w:lvl>
    <w:lvl w:ilvl="2">
      <w:start w:val="1"/>
      <w:numFmt w:val="lowerRoman"/>
      <w:suff w:val="tab"/>
      <w:lvlText w:val="%3."/>
      <w:lvlJc w:val="left"/>
      <w:pPr>
        <w:tabs>
          <w:tab w:val="num" w:pos="3187"/>
          <w:tab w:val="clear" w:pos="0"/>
        </w:tabs>
        <w:ind w:left="3187" w:hanging="395"/>
      </w:pPr>
      <w:rPr>
        <w:rFonts w:ascii="Book Antiqua" w:cs="Book Antiqua" w:hAnsi="Book Antiqua" w:eastAsia="Book Antiqua"/>
        <w:kern w:val="1"/>
        <w:position w:val="0"/>
        <w:sz w:val="32"/>
        <w:szCs w:val="32"/>
      </w:rPr>
    </w:lvl>
    <w:lvl w:ilvl="3">
      <w:start w:val="1"/>
      <w:numFmt w:val="decimal"/>
      <w:suff w:val="tab"/>
      <w:lvlText w:val="%4."/>
      <w:lvlJc w:val="left"/>
      <w:pPr>
        <w:tabs>
          <w:tab w:val="num" w:pos="3928"/>
          <w:tab w:val="clear" w:pos="0"/>
        </w:tabs>
        <w:ind w:left="3928" w:hanging="480"/>
      </w:pPr>
      <w:rPr>
        <w:rFonts w:ascii="Book Antiqua" w:cs="Book Antiqua" w:hAnsi="Book Antiqua" w:eastAsia="Book Antiqua"/>
        <w:kern w:val="1"/>
        <w:position w:val="0"/>
        <w:sz w:val="32"/>
        <w:szCs w:val="32"/>
      </w:rPr>
    </w:lvl>
    <w:lvl w:ilvl="4">
      <w:start w:val="1"/>
      <w:numFmt w:val="lowerLetter"/>
      <w:suff w:val="tab"/>
      <w:lvlText w:val="%5."/>
      <w:lvlJc w:val="left"/>
      <w:pPr>
        <w:tabs>
          <w:tab w:val="num" w:pos="4648"/>
          <w:tab w:val="clear" w:pos="0"/>
        </w:tabs>
        <w:ind w:left="4648" w:hanging="480"/>
      </w:pPr>
      <w:rPr>
        <w:rFonts w:ascii="Book Antiqua" w:cs="Book Antiqua" w:hAnsi="Book Antiqua" w:eastAsia="Book Antiqua"/>
        <w:kern w:val="1"/>
        <w:position w:val="0"/>
        <w:sz w:val="32"/>
        <w:szCs w:val="32"/>
      </w:rPr>
    </w:lvl>
    <w:lvl w:ilvl="5">
      <w:start w:val="1"/>
      <w:numFmt w:val="lowerRoman"/>
      <w:suff w:val="tab"/>
      <w:lvlText w:val="%6."/>
      <w:lvlJc w:val="left"/>
      <w:pPr>
        <w:tabs>
          <w:tab w:val="num" w:pos="5347"/>
          <w:tab w:val="clear" w:pos="0"/>
        </w:tabs>
        <w:ind w:left="5347" w:hanging="395"/>
      </w:pPr>
      <w:rPr>
        <w:rFonts w:ascii="Book Antiqua" w:cs="Book Antiqua" w:hAnsi="Book Antiqua" w:eastAsia="Book Antiqua"/>
        <w:kern w:val="1"/>
        <w:position w:val="0"/>
        <w:sz w:val="32"/>
        <w:szCs w:val="32"/>
      </w:rPr>
    </w:lvl>
    <w:lvl w:ilvl="6">
      <w:start w:val="1"/>
      <w:numFmt w:val="decimal"/>
      <w:suff w:val="tab"/>
      <w:lvlText w:val="%7."/>
      <w:lvlJc w:val="left"/>
      <w:pPr>
        <w:tabs>
          <w:tab w:val="num" w:pos="6088"/>
          <w:tab w:val="clear" w:pos="0"/>
        </w:tabs>
        <w:ind w:left="6088" w:hanging="480"/>
      </w:pPr>
      <w:rPr>
        <w:rFonts w:ascii="Book Antiqua" w:cs="Book Antiqua" w:hAnsi="Book Antiqua" w:eastAsia="Book Antiqua"/>
        <w:kern w:val="1"/>
        <w:position w:val="0"/>
        <w:sz w:val="32"/>
        <w:szCs w:val="32"/>
      </w:rPr>
    </w:lvl>
    <w:lvl w:ilvl="7">
      <w:start w:val="1"/>
      <w:numFmt w:val="lowerLetter"/>
      <w:suff w:val="tab"/>
      <w:lvlText w:val="%8."/>
      <w:lvlJc w:val="left"/>
      <w:pPr>
        <w:tabs>
          <w:tab w:val="num" w:pos="6808"/>
          <w:tab w:val="clear" w:pos="0"/>
        </w:tabs>
        <w:ind w:left="6808" w:hanging="480"/>
      </w:pPr>
      <w:rPr>
        <w:rFonts w:ascii="Book Antiqua" w:cs="Book Antiqua" w:hAnsi="Book Antiqua" w:eastAsia="Book Antiqua"/>
        <w:kern w:val="1"/>
        <w:position w:val="0"/>
        <w:sz w:val="32"/>
        <w:szCs w:val="32"/>
      </w:rPr>
    </w:lvl>
    <w:lvl w:ilvl="8">
      <w:start w:val="1"/>
      <w:numFmt w:val="lowerRoman"/>
      <w:suff w:val="tab"/>
      <w:lvlText w:val="%9."/>
      <w:lvlJc w:val="left"/>
      <w:pPr>
        <w:tabs>
          <w:tab w:val="num" w:pos="7507"/>
          <w:tab w:val="clear" w:pos="0"/>
        </w:tabs>
        <w:ind w:left="7507" w:hanging="395"/>
      </w:pPr>
      <w:rPr>
        <w:rFonts w:ascii="Book Antiqua" w:cs="Book Antiqua" w:hAnsi="Book Antiqua" w:eastAsia="Book Antiqua"/>
        <w:kern w:val="1"/>
        <w:position w:val="0"/>
        <w:sz w:val="32"/>
        <w:szCs w:val="32"/>
      </w:rPr>
    </w:lvl>
  </w:abstractNum>
  <w:abstractNum w:abstractNumId="169">
    <w:multiLevelType w:val="multilevel"/>
    <w:lvl w:ilvl="0">
      <w:start w:val="1"/>
      <w:numFmt w:val="decimal"/>
      <w:suff w:val="tab"/>
      <w:lvlText w:val="%1."/>
      <w:lvlJc w:val="left"/>
      <w:pPr>
        <w:tabs>
          <w:tab w:val="num" w:pos="987"/>
          <w:tab w:val="clear" w:pos="0"/>
        </w:tabs>
        <w:ind w:left="987" w:hanging="420"/>
      </w:pPr>
      <w:rPr>
        <w:rFonts w:ascii="Book Antiqua" w:cs="Book Antiqua" w:hAnsi="Book Antiqua" w:eastAsia="Book Antiqua"/>
        <w:position w:val="0"/>
        <w:sz w:val="28"/>
        <w:szCs w:val="28"/>
      </w:rPr>
    </w:lvl>
    <w:lvl w:ilvl="1">
      <w:start w:val="1"/>
      <w:numFmt w:val="decimal"/>
      <w:suff w:val="tab"/>
      <w:lvlText w:val="%1.%2."/>
      <w:lvlJc w:val="left"/>
      <w:pPr>
        <w:tabs>
          <w:tab w:val="num" w:pos="567"/>
          <w:tab w:val="clear" w:pos="0"/>
        </w:tabs>
        <w:ind w:left="567" w:hanging="141"/>
      </w:pPr>
      <w:rPr>
        <w:rFonts w:ascii="Book Antiqua" w:cs="Book Antiqua" w:hAnsi="Book Antiqua" w:eastAsia="Book Antiqua"/>
        <w:position w:val="0"/>
        <w:sz w:val="28"/>
        <w:szCs w:val="28"/>
      </w:rPr>
    </w:lvl>
    <w:lvl w:ilvl="2">
      <w:start w:val="1"/>
      <w:numFmt w:val="decimal"/>
      <w:suff w:val="tab"/>
      <w:lvlText w:val="%1.%2.%3."/>
      <w:lvlJc w:val="left"/>
      <w:pPr>
        <w:tabs>
          <w:tab w:val="num" w:pos="1407"/>
          <w:tab w:val="clear" w:pos="0"/>
        </w:tabs>
        <w:ind w:left="1407" w:hanging="840"/>
      </w:pPr>
      <w:rPr>
        <w:rFonts w:ascii="Book Antiqua" w:cs="Book Antiqua" w:hAnsi="Book Antiqua" w:eastAsia="Book Antiqua"/>
        <w:position w:val="0"/>
        <w:sz w:val="28"/>
        <w:szCs w:val="28"/>
      </w:rPr>
    </w:lvl>
    <w:lvl w:ilvl="3">
      <w:start w:val="1"/>
      <w:numFmt w:val="decimal"/>
      <w:suff w:val="tab"/>
      <w:lvlText w:val="%1.%2.%3.%4."/>
      <w:lvlJc w:val="left"/>
      <w:pPr>
        <w:tabs>
          <w:tab w:val="num" w:pos="1827"/>
          <w:tab w:val="clear" w:pos="0"/>
        </w:tabs>
        <w:ind w:left="1827" w:hanging="1260"/>
      </w:pPr>
      <w:rPr>
        <w:rFonts w:ascii="Book Antiqua" w:cs="Book Antiqua" w:hAnsi="Book Antiqua" w:eastAsia="Book Antiqua"/>
        <w:position w:val="0"/>
        <w:sz w:val="28"/>
        <w:szCs w:val="28"/>
      </w:rPr>
    </w:lvl>
    <w:lvl w:ilvl="4">
      <w:start w:val="1"/>
      <w:numFmt w:val="decimal"/>
      <w:suff w:val="tab"/>
      <w:lvlText w:val="%1.%2.%3.%4.%5."/>
      <w:lvlJc w:val="left"/>
      <w:pPr>
        <w:tabs>
          <w:tab w:val="num" w:pos="2247"/>
          <w:tab w:val="clear" w:pos="0"/>
        </w:tabs>
        <w:ind w:left="2247" w:hanging="1680"/>
      </w:pPr>
      <w:rPr>
        <w:rFonts w:ascii="Book Antiqua" w:cs="Book Antiqua" w:hAnsi="Book Antiqua" w:eastAsia="Book Antiqua"/>
        <w:position w:val="0"/>
        <w:sz w:val="28"/>
        <w:szCs w:val="28"/>
      </w:rPr>
    </w:lvl>
    <w:lvl w:ilvl="5">
      <w:start w:val="1"/>
      <w:numFmt w:val="decimal"/>
      <w:suff w:val="tab"/>
      <w:lvlText w:val="%1.%2.%3.%4.%5.%6."/>
      <w:lvlJc w:val="left"/>
      <w:pPr>
        <w:tabs>
          <w:tab w:val="num" w:pos="2247"/>
          <w:tab w:val="clear" w:pos="0"/>
        </w:tabs>
        <w:ind w:left="2247" w:hanging="1680"/>
      </w:pPr>
      <w:rPr>
        <w:rFonts w:ascii="Book Antiqua" w:cs="Book Antiqua" w:hAnsi="Book Antiqua" w:eastAsia="Book Antiqua"/>
        <w:position w:val="0"/>
        <w:sz w:val="28"/>
        <w:szCs w:val="28"/>
      </w:rPr>
    </w:lvl>
    <w:lvl w:ilvl="6">
      <w:start w:val="1"/>
      <w:numFmt w:val="decimal"/>
      <w:suff w:val="tab"/>
      <w:lvlText w:val="%1.%2.%3.%4.%5.%6.%7."/>
      <w:lvlJc w:val="left"/>
      <w:pPr>
        <w:tabs>
          <w:tab w:val="num" w:pos="2667"/>
          <w:tab w:val="clear" w:pos="0"/>
        </w:tabs>
        <w:ind w:left="2667" w:hanging="2100"/>
      </w:pPr>
      <w:rPr>
        <w:rFonts w:ascii="Book Antiqua" w:cs="Book Antiqua" w:hAnsi="Book Antiqua" w:eastAsia="Book Antiqua"/>
        <w:position w:val="0"/>
        <w:sz w:val="28"/>
        <w:szCs w:val="28"/>
      </w:rPr>
    </w:lvl>
    <w:lvl w:ilvl="7">
      <w:start w:val="1"/>
      <w:numFmt w:val="decimal"/>
      <w:suff w:val="tab"/>
      <w:lvlText w:val="%1.%2.%3.%4.%5.%6.%7.%8."/>
      <w:lvlJc w:val="left"/>
      <w:pPr>
        <w:tabs>
          <w:tab w:val="num" w:pos="3087"/>
          <w:tab w:val="clear" w:pos="0"/>
        </w:tabs>
        <w:ind w:left="3087" w:hanging="2520"/>
      </w:pPr>
      <w:rPr>
        <w:rFonts w:ascii="Book Antiqua" w:cs="Book Antiqua" w:hAnsi="Book Antiqua" w:eastAsia="Book Antiqua"/>
        <w:position w:val="0"/>
        <w:sz w:val="28"/>
        <w:szCs w:val="28"/>
      </w:rPr>
    </w:lvl>
    <w:lvl w:ilvl="8">
      <w:start w:val="1"/>
      <w:numFmt w:val="decimal"/>
      <w:suff w:val="tab"/>
      <w:lvlText w:val="%1.%2.%3.%4.%5.%6.%7.%8.%9."/>
      <w:lvlJc w:val="left"/>
      <w:pPr>
        <w:tabs>
          <w:tab w:val="num" w:pos="3087"/>
          <w:tab w:val="clear" w:pos="0"/>
        </w:tabs>
        <w:ind w:left="3087" w:hanging="2520"/>
      </w:pPr>
      <w:rPr>
        <w:rFonts w:ascii="Book Antiqua" w:cs="Book Antiqua" w:hAnsi="Book Antiqua" w:eastAsia="Book Antiqua"/>
        <w:position w:val="0"/>
        <w:sz w:val="28"/>
        <w:szCs w:val="28"/>
      </w:rPr>
    </w:lvl>
  </w:abstractNum>
  <w:abstractNum w:abstractNumId="170">
    <w:multiLevelType w:val="multilevel"/>
    <w:lvl w:ilvl="0">
      <w:start w:val="1"/>
      <w:numFmt w:val="decimal"/>
      <w:suff w:val="tab"/>
      <w:lvlText w:val="%1."/>
      <w:lvlJc w:val="left"/>
      <w:pPr/>
      <w:rPr>
        <w:position w:val="0"/>
      </w:rPr>
    </w:lvl>
    <w:lvl w:ilvl="1">
      <w:start w:val="1"/>
      <w:numFmt w:val="decimal"/>
      <w:suff w:val="tab"/>
      <w:lvlText w:val="%1.%2."/>
      <w:lvlJc w:val="left"/>
      <w:pPr/>
      <w:rPr>
        <w:position w:val="0"/>
      </w:rPr>
    </w:lvl>
    <w:lvl w:ilvl="2">
      <w:start w:val="1"/>
      <w:numFmt w:val="decimal"/>
      <w:suff w:val="tab"/>
      <w:lvlText w:val="%1.%2.%3."/>
      <w:lvlJc w:val="left"/>
      <w:pPr/>
      <w:rPr>
        <w:position w:val="0"/>
      </w:rPr>
    </w:lvl>
    <w:lvl w:ilvl="3">
      <w:start w:val="1"/>
      <w:numFmt w:val="decimal"/>
      <w:suff w:val="tab"/>
      <w:lvlText w:val="%1.%2.%3.%4."/>
      <w:lvlJc w:val="left"/>
      <w:pPr/>
      <w:rPr>
        <w:position w:val="0"/>
      </w:rPr>
    </w:lvl>
    <w:lvl w:ilvl="4">
      <w:start w:val="1"/>
      <w:numFmt w:val="decimal"/>
      <w:suff w:val="tab"/>
      <w:lvlText w:val="%1.%2.%3.%4.%5."/>
      <w:lvlJc w:val="left"/>
      <w:pPr/>
      <w:rPr>
        <w:position w:val="0"/>
      </w:rPr>
    </w:lvl>
    <w:lvl w:ilvl="5">
      <w:start w:val="1"/>
      <w:numFmt w:val="decimal"/>
      <w:suff w:val="tab"/>
      <w:lvlText w:val="%1.%2.%3.%4.%5.%6."/>
      <w:lvlJc w:val="left"/>
      <w:pPr/>
      <w:rPr>
        <w:position w:val="0"/>
      </w:rPr>
    </w:lvl>
    <w:lvl w:ilvl="6">
      <w:start w:val="1"/>
      <w:numFmt w:val="decimal"/>
      <w:suff w:val="tab"/>
      <w:lvlText w:val="%1.%2.%3.%4.%5.%6.%7."/>
      <w:lvlJc w:val="left"/>
      <w:pPr/>
      <w:rPr>
        <w:position w:val="0"/>
      </w:rPr>
    </w:lvl>
    <w:lvl w:ilvl="7">
      <w:start w:val="1"/>
      <w:numFmt w:val="decimal"/>
      <w:suff w:val="tab"/>
      <w:lvlText w:val="%1.%2.%3.%4.%5.%6.%7.%8."/>
      <w:lvlJc w:val="left"/>
      <w:pPr/>
      <w:rPr>
        <w:position w:val="0"/>
      </w:rPr>
    </w:lvl>
    <w:lvl w:ilvl="8">
      <w:start w:val="1"/>
      <w:numFmt w:val="decimal"/>
      <w:suff w:val="tab"/>
      <w:lvlText w:val="%1.%2.%3.%4.%5.%6.%7.%8.%9."/>
      <w:lvlJc w:val="left"/>
      <w:pPr/>
      <w:rPr>
        <w:position w:val="0"/>
      </w:rPr>
    </w:lvl>
  </w:abstractNum>
  <w:abstractNum w:abstractNumId="171">
    <w:multiLevelType w:val="multilevel"/>
    <w:styleLink w:val="List 38"/>
    <w:lvl w:ilvl="0">
      <w:start w:val="1"/>
      <w:numFmt w:val="decimal"/>
      <w:suff w:val="tab"/>
      <w:lvlText w:val="%1."/>
      <w:lvlJc w:val="left"/>
      <w:pPr>
        <w:tabs>
          <w:tab w:val="num" w:pos="987"/>
          <w:tab w:val="clear" w:pos="0"/>
        </w:tabs>
        <w:ind w:left="987" w:hanging="420"/>
      </w:pPr>
      <w:rPr>
        <w:rFonts w:ascii="Book Antiqua" w:cs="Book Antiqua" w:hAnsi="Book Antiqua" w:eastAsia="Book Antiqua"/>
        <w:position w:val="0"/>
        <w:sz w:val="28"/>
        <w:szCs w:val="28"/>
      </w:rPr>
    </w:lvl>
    <w:lvl w:ilvl="1">
      <w:start w:val="2"/>
      <w:numFmt w:val="decimal"/>
      <w:suff w:val="tab"/>
      <w:lvlText w:val="%1.%2."/>
      <w:lvlJc w:val="left"/>
      <w:pPr>
        <w:tabs>
          <w:tab w:val="num" w:pos="567"/>
          <w:tab w:val="clear" w:pos="0"/>
        </w:tabs>
        <w:ind w:left="567" w:hanging="141"/>
      </w:pPr>
      <w:rPr>
        <w:rFonts w:ascii="Book Antiqua" w:cs="Book Antiqua" w:hAnsi="Book Antiqua" w:eastAsia="Book Antiqua"/>
        <w:position w:val="0"/>
        <w:sz w:val="28"/>
        <w:szCs w:val="28"/>
      </w:rPr>
    </w:lvl>
    <w:lvl w:ilvl="2">
      <w:start w:val="1"/>
      <w:numFmt w:val="decimal"/>
      <w:suff w:val="tab"/>
      <w:lvlText w:val="%1.%2.%3."/>
      <w:lvlJc w:val="left"/>
      <w:pPr>
        <w:tabs>
          <w:tab w:val="num" w:pos="1407"/>
          <w:tab w:val="clear" w:pos="0"/>
        </w:tabs>
        <w:ind w:left="1407" w:hanging="840"/>
      </w:pPr>
      <w:rPr>
        <w:rFonts w:ascii="Book Antiqua" w:cs="Book Antiqua" w:hAnsi="Book Antiqua" w:eastAsia="Book Antiqua"/>
        <w:position w:val="0"/>
        <w:sz w:val="28"/>
        <w:szCs w:val="28"/>
      </w:rPr>
    </w:lvl>
    <w:lvl w:ilvl="3">
      <w:start w:val="1"/>
      <w:numFmt w:val="decimal"/>
      <w:suff w:val="tab"/>
      <w:lvlText w:val="%1.%2.%3.%4."/>
      <w:lvlJc w:val="left"/>
      <w:pPr>
        <w:tabs>
          <w:tab w:val="num" w:pos="1827"/>
          <w:tab w:val="clear" w:pos="0"/>
        </w:tabs>
        <w:ind w:left="1827" w:hanging="1260"/>
      </w:pPr>
      <w:rPr>
        <w:rFonts w:ascii="Book Antiqua" w:cs="Book Antiqua" w:hAnsi="Book Antiqua" w:eastAsia="Book Antiqua"/>
        <w:position w:val="0"/>
        <w:sz w:val="28"/>
        <w:szCs w:val="28"/>
      </w:rPr>
    </w:lvl>
    <w:lvl w:ilvl="4">
      <w:start w:val="1"/>
      <w:numFmt w:val="decimal"/>
      <w:suff w:val="tab"/>
      <w:lvlText w:val="%1.%2.%3.%4.%5."/>
      <w:lvlJc w:val="left"/>
      <w:pPr>
        <w:tabs>
          <w:tab w:val="num" w:pos="2247"/>
          <w:tab w:val="clear" w:pos="0"/>
        </w:tabs>
        <w:ind w:left="2247" w:hanging="1680"/>
      </w:pPr>
      <w:rPr>
        <w:rFonts w:ascii="Book Antiqua" w:cs="Book Antiqua" w:hAnsi="Book Antiqua" w:eastAsia="Book Antiqua"/>
        <w:position w:val="0"/>
        <w:sz w:val="28"/>
        <w:szCs w:val="28"/>
      </w:rPr>
    </w:lvl>
    <w:lvl w:ilvl="5">
      <w:start w:val="1"/>
      <w:numFmt w:val="decimal"/>
      <w:suff w:val="tab"/>
      <w:lvlText w:val="%1.%2.%3.%4.%5.%6."/>
      <w:lvlJc w:val="left"/>
      <w:pPr>
        <w:tabs>
          <w:tab w:val="num" w:pos="2247"/>
          <w:tab w:val="clear" w:pos="0"/>
        </w:tabs>
        <w:ind w:left="2247" w:hanging="1680"/>
      </w:pPr>
      <w:rPr>
        <w:rFonts w:ascii="Book Antiqua" w:cs="Book Antiqua" w:hAnsi="Book Antiqua" w:eastAsia="Book Antiqua"/>
        <w:position w:val="0"/>
        <w:sz w:val="28"/>
        <w:szCs w:val="28"/>
      </w:rPr>
    </w:lvl>
    <w:lvl w:ilvl="6">
      <w:start w:val="1"/>
      <w:numFmt w:val="decimal"/>
      <w:suff w:val="tab"/>
      <w:lvlText w:val="%1.%2.%3.%4.%5.%6.%7."/>
      <w:lvlJc w:val="left"/>
      <w:pPr>
        <w:tabs>
          <w:tab w:val="num" w:pos="2667"/>
          <w:tab w:val="clear" w:pos="0"/>
        </w:tabs>
        <w:ind w:left="2667" w:hanging="2100"/>
      </w:pPr>
      <w:rPr>
        <w:rFonts w:ascii="Book Antiqua" w:cs="Book Antiqua" w:hAnsi="Book Antiqua" w:eastAsia="Book Antiqua"/>
        <w:position w:val="0"/>
        <w:sz w:val="28"/>
        <w:szCs w:val="28"/>
      </w:rPr>
    </w:lvl>
    <w:lvl w:ilvl="7">
      <w:start w:val="1"/>
      <w:numFmt w:val="decimal"/>
      <w:suff w:val="tab"/>
      <w:lvlText w:val="%1.%2.%3.%4.%5.%6.%7.%8."/>
      <w:lvlJc w:val="left"/>
      <w:pPr>
        <w:tabs>
          <w:tab w:val="num" w:pos="3087"/>
          <w:tab w:val="clear" w:pos="0"/>
        </w:tabs>
        <w:ind w:left="3087" w:hanging="2520"/>
      </w:pPr>
      <w:rPr>
        <w:rFonts w:ascii="Book Antiqua" w:cs="Book Antiqua" w:hAnsi="Book Antiqua" w:eastAsia="Book Antiqua"/>
        <w:position w:val="0"/>
        <w:sz w:val="28"/>
        <w:szCs w:val="28"/>
      </w:rPr>
    </w:lvl>
    <w:lvl w:ilvl="8">
      <w:start w:val="1"/>
      <w:numFmt w:val="decimal"/>
      <w:suff w:val="tab"/>
      <w:lvlText w:val="%1.%2.%3.%4.%5.%6.%7.%8.%9."/>
      <w:lvlJc w:val="left"/>
      <w:pPr>
        <w:tabs>
          <w:tab w:val="num" w:pos="3087"/>
          <w:tab w:val="clear" w:pos="0"/>
        </w:tabs>
        <w:ind w:left="3087" w:hanging="2520"/>
      </w:pPr>
      <w:rPr>
        <w:rFonts w:ascii="Book Antiqua" w:cs="Book Antiqua" w:hAnsi="Book Antiqua" w:eastAsia="Book Antiqua"/>
        <w:position w:val="0"/>
        <w:sz w:val="28"/>
        <w:szCs w:val="28"/>
      </w:rPr>
    </w:lvl>
  </w:abstractNum>
  <w:abstractNum w:abstractNumId="172">
    <w:multiLevelType w:val="multilevel"/>
    <w:lvl w:ilvl="0">
      <w:start w:val="1"/>
      <w:numFmt w:val="bullet"/>
      <w:suff w:val="tab"/>
      <w:lvlText w:val="•"/>
      <w:lvlJc w:val="left"/>
      <w:pPr>
        <w:tabs>
          <w:tab w:val="num" w:pos="567"/>
          <w:tab w:val="clear" w:pos="0"/>
        </w:tabs>
        <w:ind w:left="567" w:hanging="153"/>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lvl w:ilvl="1">
      <w:start w:val="1"/>
      <w:numFmt w:val="bullet"/>
      <w:suff w:val="tab"/>
      <w:lvlText w:val="◦"/>
      <w:lvlJc w:val="left"/>
      <w:pPr>
        <w:tabs>
          <w:tab w:val="num" w:pos="1020"/>
          <w:tab w:val="clear" w:pos="0"/>
        </w:tabs>
        <w:ind w:left="102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lvl w:ilvl="2">
      <w:start w:val="1"/>
      <w:numFmt w:val="bullet"/>
      <w:suff w:val="tab"/>
      <w:lvlText w:val="▪"/>
      <w:lvlJc w:val="left"/>
      <w:pPr>
        <w:tabs>
          <w:tab w:val="num" w:pos="1380"/>
          <w:tab w:val="clear" w:pos="0"/>
        </w:tabs>
        <w:ind w:left="138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lvl w:ilvl="3">
      <w:start w:val="1"/>
      <w:numFmt w:val="bullet"/>
      <w:suff w:val="tab"/>
      <w:lvlText w:val="•"/>
      <w:lvlJc w:val="left"/>
      <w:pPr>
        <w:tabs>
          <w:tab w:val="num" w:pos="1740"/>
          <w:tab w:val="clear" w:pos="0"/>
        </w:tabs>
        <w:ind w:left="174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lvl w:ilvl="4">
      <w:start w:val="1"/>
      <w:numFmt w:val="bullet"/>
      <w:suff w:val="tab"/>
      <w:lvlText w:val="◦"/>
      <w:lvlJc w:val="left"/>
      <w:pPr>
        <w:tabs>
          <w:tab w:val="num" w:pos="2100"/>
          <w:tab w:val="clear" w:pos="0"/>
        </w:tabs>
        <w:ind w:left="210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lvl w:ilvl="5">
      <w:start w:val="1"/>
      <w:numFmt w:val="bullet"/>
      <w:suff w:val="tab"/>
      <w:lvlText w:val="▪"/>
      <w:lvlJc w:val="left"/>
      <w:pPr>
        <w:tabs>
          <w:tab w:val="num" w:pos="2460"/>
          <w:tab w:val="clear" w:pos="0"/>
        </w:tabs>
        <w:ind w:left="246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lvl w:ilvl="6">
      <w:start w:val="1"/>
      <w:numFmt w:val="bullet"/>
      <w:suff w:val="tab"/>
      <w:lvlText w:val="•"/>
      <w:lvlJc w:val="left"/>
      <w:pPr>
        <w:tabs>
          <w:tab w:val="num" w:pos="2820"/>
          <w:tab w:val="clear" w:pos="0"/>
        </w:tabs>
        <w:ind w:left="282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lvl w:ilvl="7">
      <w:start w:val="1"/>
      <w:numFmt w:val="bullet"/>
      <w:suff w:val="tab"/>
      <w:lvlText w:val="◦"/>
      <w:lvlJc w:val="left"/>
      <w:pPr>
        <w:tabs>
          <w:tab w:val="num" w:pos="3180"/>
          <w:tab w:val="clear" w:pos="0"/>
        </w:tabs>
        <w:ind w:left="318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lvl w:ilvl="8">
      <w:start w:val="1"/>
      <w:numFmt w:val="bullet"/>
      <w:suff w:val="tab"/>
      <w:lvlText w:val="▪"/>
      <w:lvlJc w:val="left"/>
      <w:pPr>
        <w:tabs>
          <w:tab w:val="num" w:pos="3540"/>
          <w:tab w:val="clear" w:pos="0"/>
        </w:tabs>
        <w:ind w:left="354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abstractNum>
  <w:abstractNum w:abstractNumId="173">
    <w:multiLevelType w:val="multilevel"/>
    <w:lvl w:ilvl="0">
      <w:start w:val="1"/>
      <w:numFmt w:val="bullet"/>
      <w:suff w:val="tab"/>
      <w:lvlText w:val="•"/>
      <w:lvlJc w:val="left"/>
      <w:pPr/>
      <w:rPr>
        <w:position w:val="0"/>
      </w:rPr>
    </w:lvl>
    <w:lvl w:ilvl="1">
      <w:start w:val="1"/>
      <w:numFmt w:val="bullet"/>
      <w:suff w:val="tab"/>
      <w:lvlText w:val="◦"/>
      <w:lvlJc w:val="left"/>
      <w:pPr/>
      <w:rPr>
        <w:position w:val="0"/>
      </w:rPr>
    </w:lvl>
    <w:lvl w:ilvl="2">
      <w:start w:val="1"/>
      <w:numFmt w:val="bullet"/>
      <w:suff w:val="tab"/>
      <w:lvlText w:val="▪"/>
      <w:lvlJc w:val="left"/>
      <w:pPr/>
      <w:rPr>
        <w:position w:val="0"/>
      </w:rPr>
    </w:lvl>
    <w:lvl w:ilvl="3">
      <w:start w:val="1"/>
      <w:numFmt w:val="bullet"/>
      <w:suff w:val="tab"/>
      <w:lvlText w:val="•"/>
      <w:lvlJc w:val="left"/>
      <w:pPr/>
      <w:rPr>
        <w:position w:val="0"/>
      </w:rPr>
    </w:lvl>
    <w:lvl w:ilvl="4">
      <w:start w:val="1"/>
      <w:numFmt w:val="bullet"/>
      <w:suff w:val="tab"/>
      <w:lvlText w:val="◦"/>
      <w:lvlJc w:val="left"/>
      <w:pPr/>
      <w:rPr>
        <w:position w:val="0"/>
      </w:rPr>
    </w:lvl>
    <w:lvl w:ilvl="5">
      <w:start w:val="1"/>
      <w:numFmt w:val="bullet"/>
      <w:suff w:val="tab"/>
      <w:lvlText w:val="▪"/>
      <w:lvlJc w:val="left"/>
      <w:pPr/>
      <w:rPr>
        <w:position w:val="0"/>
      </w:rPr>
    </w:lvl>
    <w:lvl w:ilvl="6">
      <w:start w:val="1"/>
      <w:numFmt w:val="bullet"/>
      <w:suff w:val="tab"/>
      <w:lvlText w:val="•"/>
      <w:lvlJc w:val="left"/>
      <w:pPr/>
      <w:rPr>
        <w:position w:val="0"/>
      </w:rPr>
    </w:lvl>
    <w:lvl w:ilvl="7">
      <w:start w:val="1"/>
      <w:numFmt w:val="bullet"/>
      <w:suff w:val="tab"/>
      <w:lvlText w:val="◦"/>
      <w:lvlJc w:val="left"/>
      <w:pPr/>
      <w:rPr>
        <w:position w:val="0"/>
      </w:rPr>
    </w:lvl>
    <w:lvl w:ilvl="8">
      <w:start w:val="1"/>
      <w:numFmt w:val="bullet"/>
      <w:suff w:val="tab"/>
      <w:lvlText w:val="▪"/>
      <w:lvlJc w:val="left"/>
      <w:pPr/>
      <w:rPr>
        <w:position w:val="0"/>
      </w:rPr>
    </w:lvl>
  </w:abstractNum>
  <w:abstractNum w:abstractNumId="174">
    <w:multiLevelType w:val="multilevel"/>
    <w:styleLink w:val="List 39"/>
    <w:lvl w:ilvl="0">
      <w:start w:val="0"/>
      <w:numFmt w:val="bullet"/>
      <w:suff w:val="tab"/>
      <w:lvlText w:val="•"/>
      <w:lvlJc w:val="left"/>
      <w:pPr>
        <w:tabs>
          <w:tab w:val="num" w:pos="567"/>
          <w:tab w:val="clear" w:pos="0"/>
        </w:tabs>
        <w:ind w:left="567" w:hanging="153"/>
      </w:pPr>
      <w:rPr>
        <w:rFonts w:ascii="Book Antiqua" w:cs="Book Antiqua" w:hAnsi="Book Antiqua" w:eastAsia="Book Antiqua"/>
        <w:caps w:val="0"/>
        <w:smallCaps w:val="0"/>
        <w:strike w:val="0"/>
        <w:dstrike w:val="0"/>
        <w:outline w:val="0"/>
        <w:color w:val="000000"/>
        <w:spacing w:val="0"/>
        <w:kern w:val="0"/>
        <w:position w:val="0"/>
        <w:sz w:val="24"/>
        <w:szCs w:val="24"/>
        <w:u w:val="none" w:color="000000"/>
        <w:vertAlign w:val="baseline"/>
        <w:lang w:val="it-IT"/>
      </w:rPr>
    </w:lvl>
    <w:lvl w:ilvl="1">
      <w:start w:val="1"/>
      <w:numFmt w:val="bullet"/>
      <w:suff w:val="tab"/>
      <w:lvlText w:val="◦"/>
      <w:lvlJc w:val="left"/>
      <w:pPr>
        <w:tabs>
          <w:tab w:val="num" w:pos="1020"/>
          <w:tab w:val="clear" w:pos="0"/>
        </w:tabs>
        <w:ind w:left="102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lvl w:ilvl="2">
      <w:start w:val="1"/>
      <w:numFmt w:val="bullet"/>
      <w:suff w:val="tab"/>
      <w:lvlText w:val="▪"/>
      <w:lvlJc w:val="left"/>
      <w:pPr>
        <w:tabs>
          <w:tab w:val="num" w:pos="1380"/>
          <w:tab w:val="clear" w:pos="0"/>
        </w:tabs>
        <w:ind w:left="138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lvl w:ilvl="3">
      <w:start w:val="1"/>
      <w:numFmt w:val="bullet"/>
      <w:suff w:val="tab"/>
      <w:lvlText w:val="•"/>
      <w:lvlJc w:val="left"/>
      <w:pPr>
        <w:tabs>
          <w:tab w:val="num" w:pos="1740"/>
          <w:tab w:val="clear" w:pos="0"/>
        </w:tabs>
        <w:ind w:left="174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lvl w:ilvl="4">
      <w:start w:val="1"/>
      <w:numFmt w:val="bullet"/>
      <w:suff w:val="tab"/>
      <w:lvlText w:val="◦"/>
      <w:lvlJc w:val="left"/>
      <w:pPr>
        <w:tabs>
          <w:tab w:val="num" w:pos="2100"/>
          <w:tab w:val="clear" w:pos="0"/>
        </w:tabs>
        <w:ind w:left="210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lvl w:ilvl="5">
      <w:start w:val="1"/>
      <w:numFmt w:val="bullet"/>
      <w:suff w:val="tab"/>
      <w:lvlText w:val="▪"/>
      <w:lvlJc w:val="left"/>
      <w:pPr>
        <w:tabs>
          <w:tab w:val="num" w:pos="2460"/>
          <w:tab w:val="clear" w:pos="0"/>
        </w:tabs>
        <w:ind w:left="246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lvl w:ilvl="6">
      <w:start w:val="1"/>
      <w:numFmt w:val="bullet"/>
      <w:suff w:val="tab"/>
      <w:lvlText w:val="•"/>
      <w:lvlJc w:val="left"/>
      <w:pPr>
        <w:tabs>
          <w:tab w:val="num" w:pos="2820"/>
          <w:tab w:val="clear" w:pos="0"/>
        </w:tabs>
        <w:ind w:left="282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lvl w:ilvl="7">
      <w:start w:val="1"/>
      <w:numFmt w:val="bullet"/>
      <w:suff w:val="tab"/>
      <w:lvlText w:val="◦"/>
      <w:lvlJc w:val="left"/>
      <w:pPr>
        <w:tabs>
          <w:tab w:val="num" w:pos="3180"/>
          <w:tab w:val="clear" w:pos="0"/>
        </w:tabs>
        <w:ind w:left="318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lvl w:ilvl="8">
      <w:start w:val="1"/>
      <w:numFmt w:val="bullet"/>
      <w:suff w:val="tab"/>
      <w:lvlText w:val="▪"/>
      <w:lvlJc w:val="left"/>
      <w:pPr>
        <w:tabs>
          <w:tab w:val="num" w:pos="3540"/>
          <w:tab w:val="clear" w:pos="0"/>
        </w:tabs>
        <w:ind w:left="354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abstractNum>
  <w:abstractNum w:abstractNumId="175">
    <w:multiLevelType w:val="multilevel"/>
    <w:styleLink w:val="List 39"/>
    <w:lvl w:ilvl="0">
      <w:start w:val="0"/>
      <w:numFmt w:val="bullet"/>
      <w:suff w:val="tab"/>
      <w:lvlText w:val="•"/>
      <w:lvlJc w:val="left"/>
      <w:pPr>
        <w:tabs>
          <w:tab w:val="num" w:pos="567"/>
          <w:tab w:val="clear" w:pos="0"/>
        </w:tabs>
        <w:ind w:left="567" w:hanging="153"/>
      </w:pPr>
      <w:rPr>
        <w:rFonts w:ascii="Book Antiqua" w:cs="Book Antiqua" w:hAnsi="Book Antiqua" w:eastAsia="Book Antiqua"/>
        <w:caps w:val="0"/>
        <w:smallCaps w:val="0"/>
        <w:strike w:val="0"/>
        <w:dstrike w:val="0"/>
        <w:outline w:val="0"/>
        <w:color w:val="000000"/>
        <w:spacing w:val="0"/>
        <w:kern w:val="0"/>
        <w:position w:val="0"/>
        <w:sz w:val="24"/>
        <w:szCs w:val="24"/>
        <w:u w:val="none" w:color="000000"/>
        <w:vertAlign w:val="baseline"/>
        <w:lang w:val="it-IT"/>
      </w:rPr>
    </w:lvl>
    <w:lvl w:ilvl="1">
      <w:start w:val="1"/>
      <w:numFmt w:val="bullet"/>
      <w:suff w:val="tab"/>
      <w:lvlText w:val="◦"/>
      <w:lvlJc w:val="left"/>
      <w:pPr>
        <w:tabs>
          <w:tab w:val="num" w:pos="1020"/>
          <w:tab w:val="clear" w:pos="0"/>
        </w:tabs>
        <w:ind w:left="102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lvl w:ilvl="2">
      <w:start w:val="1"/>
      <w:numFmt w:val="bullet"/>
      <w:suff w:val="tab"/>
      <w:lvlText w:val="▪"/>
      <w:lvlJc w:val="left"/>
      <w:pPr>
        <w:tabs>
          <w:tab w:val="num" w:pos="1380"/>
          <w:tab w:val="clear" w:pos="0"/>
        </w:tabs>
        <w:ind w:left="138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lvl w:ilvl="3">
      <w:start w:val="1"/>
      <w:numFmt w:val="bullet"/>
      <w:suff w:val="tab"/>
      <w:lvlText w:val="•"/>
      <w:lvlJc w:val="left"/>
      <w:pPr>
        <w:tabs>
          <w:tab w:val="num" w:pos="1740"/>
          <w:tab w:val="clear" w:pos="0"/>
        </w:tabs>
        <w:ind w:left="174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lvl w:ilvl="4">
      <w:start w:val="1"/>
      <w:numFmt w:val="bullet"/>
      <w:suff w:val="tab"/>
      <w:lvlText w:val="◦"/>
      <w:lvlJc w:val="left"/>
      <w:pPr>
        <w:tabs>
          <w:tab w:val="num" w:pos="2100"/>
          <w:tab w:val="clear" w:pos="0"/>
        </w:tabs>
        <w:ind w:left="210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lvl w:ilvl="5">
      <w:start w:val="1"/>
      <w:numFmt w:val="bullet"/>
      <w:suff w:val="tab"/>
      <w:lvlText w:val="▪"/>
      <w:lvlJc w:val="left"/>
      <w:pPr>
        <w:tabs>
          <w:tab w:val="num" w:pos="2460"/>
          <w:tab w:val="clear" w:pos="0"/>
        </w:tabs>
        <w:ind w:left="246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lvl w:ilvl="6">
      <w:start w:val="1"/>
      <w:numFmt w:val="bullet"/>
      <w:suff w:val="tab"/>
      <w:lvlText w:val="•"/>
      <w:lvlJc w:val="left"/>
      <w:pPr>
        <w:tabs>
          <w:tab w:val="num" w:pos="2820"/>
          <w:tab w:val="clear" w:pos="0"/>
        </w:tabs>
        <w:ind w:left="282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lvl w:ilvl="7">
      <w:start w:val="1"/>
      <w:numFmt w:val="bullet"/>
      <w:suff w:val="tab"/>
      <w:lvlText w:val="◦"/>
      <w:lvlJc w:val="left"/>
      <w:pPr>
        <w:tabs>
          <w:tab w:val="num" w:pos="3180"/>
          <w:tab w:val="clear" w:pos="0"/>
        </w:tabs>
        <w:ind w:left="318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lvl w:ilvl="8">
      <w:start w:val="1"/>
      <w:numFmt w:val="bullet"/>
      <w:suff w:val="tab"/>
      <w:lvlText w:val="▪"/>
      <w:lvlJc w:val="left"/>
      <w:pPr>
        <w:tabs>
          <w:tab w:val="num" w:pos="3540"/>
          <w:tab w:val="clear" w:pos="0"/>
        </w:tabs>
        <w:ind w:left="354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abstractNum>
  <w:abstractNum w:abstractNumId="176">
    <w:multiLevelType w:val="multilevel"/>
    <w:styleLink w:val="List 39"/>
    <w:lvl w:ilvl="0">
      <w:start w:val="0"/>
      <w:numFmt w:val="bullet"/>
      <w:suff w:val="tab"/>
      <w:lvlText w:val="•"/>
      <w:lvlJc w:val="left"/>
      <w:pPr>
        <w:tabs>
          <w:tab w:val="num" w:pos="567"/>
          <w:tab w:val="clear" w:pos="0"/>
        </w:tabs>
        <w:ind w:left="567" w:hanging="153"/>
      </w:pPr>
      <w:rPr>
        <w:rFonts w:ascii="Book Antiqua" w:cs="Book Antiqua" w:hAnsi="Book Antiqua" w:eastAsia="Book Antiqua"/>
        <w:caps w:val="0"/>
        <w:smallCaps w:val="0"/>
        <w:strike w:val="0"/>
        <w:dstrike w:val="0"/>
        <w:outline w:val="0"/>
        <w:color w:val="000000"/>
        <w:spacing w:val="0"/>
        <w:kern w:val="0"/>
        <w:position w:val="0"/>
        <w:sz w:val="24"/>
        <w:szCs w:val="24"/>
        <w:u w:val="none" w:color="000000"/>
        <w:vertAlign w:val="baseline"/>
        <w:lang w:val="it-IT"/>
      </w:rPr>
    </w:lvl>
    <w:lvl w:ilvl="1">
      <w:start w:val="1"/>
      <w:numFmt w:val="bullet"/>
      <w:suff w:val="tab"/>
      <w:lvlText w:val="◦"/>
      <w:lvlJc w:val="left"/>
      <w:pPr>
        <w:tabs>
          <w:tab w:val="num" w:pos="1020"/>
          <w:tab w:val="clear" w:pos="0"/>
        </w:tabs>
        <w:ind w:left="102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lvl w:ilvl="2">
      <w:start w:val="1"/>
      <w:numFmt w:val="bullet"/>
      <w:suff w:val="tab"/>
      <w:lvlText w:val="▪"/>
      <w:lvlJc w:val="left"/>
      <w:pPr>
        <w:tabs>
          <w:tab w:val="num" w:pos="1380"/>
          <w:tab w:val="clear" w:pos="0"/>
        </w:tabs>
        <w:ind w:left="138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lvl w:ilvl="3">
      <w:start w:val="1"/>
      <w:numFmt w:val="bullet"/>
      <w:suff w:val="tab"/>
      <w:lvlText w:val="•"/>
      <w:lvlJc w:val="left"/>
      <w:pPr>
        <w:tabs>
          <w:tab w:val="num" w:pos="1740"/>
          <w:tab w:val="clear" w:pos="0"/>
        </w:tabs>
        <w:ind w:left="174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lvl w:ilvl="4">
      <w:start w:val="1"/>
      <w:numFmt w:val="bullet"/>
      <w:suff w:val="tab"/>
      <w:lvlText w:val="◦"/>
      <w:lvlJc w:val="left"/>
      <w:pPr>
        <w:tabs>
          <w:tab w:val="num" w:pos="2100"/>
          <w:tab w:val="clear" w:pos="0"/>
        </w:tabs>
        <w:ind w:left="210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lvl w:ilvl="5">
      <w:start w:val="1"/>
      <w:numFmt w:val="bullet"/>
      <w:suff w:val="tab"/>
      <w:lvlText w:val="▪"/>
      <w:lvlJc w:val="left"/>
      <w:pPr>
        <w:tabs>
          <w:tab w:val="num" w:pos="2460"/>
          <w:tab w:val="clear" w:pos="0"/>
        </w:tabs>
        <w:ind w:left="246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lvl w:ilvl="6">
      <w:start w:val="1"/>
      <w:numFmt w:val="bullet"/>
      <w:suff w:val="tab"/>
      <w:lvlText w:val="•"/>
      <w:lvlJc w:val="left"/>
      <w:pPr>
        <w:tabs>
          <w:tab w:val="num" w:pos="2820"/>
          <w:tab w:val="clear" w:pos="0"/>
        </w:tabs>
        <w:ind w:left="282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lvl w:ilvl="7">
      <w:start w:val="1"/>
      <w:numFmt w:val="bullet"/>
      <w:suff w:val="tab"/>
      <w:lvlText w:val="◦"/>
      <w:lvlJc w:val="left"/>
      <w:pPr>
        <w:tabs>
          <w:tab w:val="num" w:pos="3180"/>
          <w:tab w:val="clear" w:pos="0"/>
        </w:tabs>
        <w:ind w:left="318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lvl w:ilvl="8">
      <w:start w:val="1"/>
      <w:numFmt w:val="bullet"/>
      <w:suff w:val="tab"/>
      <w:lvlText w:val="▪"/>
      <w:lvlJc w:val="left"/>
      <w:pPr>
        <w:tabs>
          <w:tab w:val="num" w:pos="3540"/>
          <w:tab w:val="clear" w:pos="0"/>
        </w:tabs>
        <w:ind w:left="354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abstractNum>
  <w:abstractNum w:abstractNumId="177">
    <w:multiLevelType w:val="multilevel"/>
    <w:styleLink w:val="List 39"/>
    <w:lvl w:ilvl="0">
      <w:start w:val="0"/>
      <w:numFmt w:val="bullet"/>
      <w:suff w:val="tab"/>
      <w:lvlText w:val="•"/>
      <w:lvlJc w:val="left"/>
      <w:pPr>
        <w:tabs>
          <w:tab w:val="num" w:pos="567"/>
          <w:tab w:val="clear" w:pos="0"/>
        </w:tabs>
        <w:ind w:left="567" w:hanging="153"/>
      </w:pPr>
      <w:rPr>
        <w:rFonts w:ascii="Book Antiqua" w:cs="Book Antiqua" w:hAnsi="Book Antiqua" w:eastAsia="Book Antiqua"/>
        <w:caps w:val="0"/>
        <w:smallCaps w:val="0"/>
        <w:strike w:val="0"/>
        <w:dstrike w:val="0"/>
        <w:outline w:val="0"/>
        <w:color w:val="000000"/>
        <w:spacing w:val="0"/>
        <w:kern w:val="0"/>
        <w:position w:val="0"/>
        <w:sz w:val="24"/>
        <w:szCs w:val="24"/>
        <w:u w:val="none" w:color="000000"/>
        <w:vertAlign w:val="baseline"/>
        <w:lang w:val="it-IT"/>
      </w:rPr>
    </w:lvl>
    <w:lvl w:ilvl="1">
      <w:start w:val="1"/>
      <w:numFmt w:val="bullet"/>
      <w:suff w:val="tab"/>
      <w:lvlText w:val="◦"/>
      <w:lvlJc w:val="left"/>
      <w:pPr>
        <w:tabs>
          <w:tab w:val="num" w:pos="1020"/>
          <w:tab w:val="clear" w:pos="0"/>
        </w:tabs>
        <w:ind w:left="102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lvl w:ilvl="2">
      <w:start w:val="1"/>
      <w:numFmt w:val="bullet"/>
      <w:suff w:val="tab"/>
      <w:lvlText w:val="▪"/>
      <w:lvlJc w:val="left"/>
      <w:pPr>
        <w:tabs>
          <w:tab w:val="num" w:pos="1380"/>
          <w:tab w:val="clear" w:pos="0"/>
        </w:tabs>
        <w:ind w:left="138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lvl w:ilvl="3">
      <w:start w:val="1"/>
      <w:numFmt w:val="bullet"/>
      <w:suff w:val="tab"/>
      <w:lvlText w:val="•"/>
      <w:lvlJc w:val="left"/>
      <w:pPr>
        <w:tabs>
          <w:tab w:val="num" w:pos="1740"/>
          <w:tab w:val="clear" w:pos="0"/>
        </w:tabs>
        <w:ind w:left="174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lvl w:ilvl="4">
      <w:start w:val="1"/>
      <w:numFmt w:val="bullet"/>
      <w:suff w:val="tab"/>
      <w:lvlText w:val="◦"/>
      <w:lvlJc w:val="left"/>
      <w:pPr>
        <w:tabs>
          <w:tab w:val="num" w:pos="2100"/>
          <w:tab w:val="clear" w:pos="0"/>
        </w:tabs>
        <w:ind w:left="210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lvl w:ilvl="5">
      <w:start w:val="1"/>
      <w:numFmt w:val="bullet"/>
      <w:suff w:val="tab"/>
      <w:lvlText w:val="▪"/>
      <w:lvlJc w:val="left"/>
      <w:pPr>
        <w:tabs>
          <w:tab w:val="num" w:pos="2460"/>
          <w:tab w:val="clear" w:pos="0"/>
        </w:tabs>
        <w:ind w:left="246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lvl w:ilvl="6">
      <w:start w:val="1"/>
      <w:numFmt w:val="bullet"/>
      <w:suff w:val="tab"/>
      <w:lvlText w:val="•"/>
      <w:lvlJc w:val="left"/>
      <w:pPr>
        <w:tabs>
          <w:tab w:val="num" w:pos="2820"/>
          <w:tab w:val="clear" w:pos="0"/>
        </w:tabs>
        <w:ind w:left="282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lvl w:ilvl="7">
      <w:start w:val="1"/>
      <w:numFmt w:val="bullet"/>
      <w:suff w:val="tab"/>
      <w:lvlText w:val="◦"/>
      <w:lvlJc w:val="left"/>
      <w:pPr>
        <w:tabs>
          <w:tab w:val="num" w:pos="3180"/>
          <w:tab w:val="clear" w:pos="0"/>
        </w:tabs>
        <w:ind w:left="318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lvl w:ilvl="8">
      <w:start w:val="1"/>
      <w:numFmt w:val="bullet"/>
      <w:suff w:val="tab"/>
      <w:lvlText w:val="▪"/>
      <w:lvlJc w:val="left"/>
      <w:pPr>
        <w:tabs>
          <w:tab w:val="num" w:pos="3540"/>
          <w:tab w:val="clear" w:pos="0"/>
        </w:tabs>
        <w:ind w:left="354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abstractNum>
  <w:abstractNum w:abstractNumId="178">
    <w:multiLevelType w:val="multilevel"/>
    <w:styleLink w:val="List 39"/>
    <w:lvl w:ilvl="0">
      <w:start w:val="0"/>
      <w:numFmt w:val="bullet"/>
      <w:suff w:val="tab"/>
      <w:lvlText w:val="•"/>
      <w:lvlJc w:val="left"/>
      <w:pPr>
        <w:tabs>
          <w:tab w:val="num" w:pos="567"/>
          <w:tab w:val="clear" w:pos="0"/>
        </w:tabs>
        <w:ind w:left="567" w:hanging="153"/>
      </w:pPr>
      <w:rPr>
        <w:rFonts w:ascii="Book Antiqua" w:cs="Book Antiqua" w:hAnsi="Book Antiqua" w:eastAsia="Book Antiqua"/>
        <w:caps w:val="0"/>
        <w:smallCaps w:val="0"/>
        <w:strike w:val="0"/>
        <w:dstrike w:val="0"/>
        <w:outline w:val="0"/>
        <w:color w:val="000000"/>
        <w:spacing w:val="0"/>
        <w:kern w:val="0"/>
        <w:position w:val="0"/>
        <w:sz w:val="24"/>
        <w:szCs w:val="24"/>
        <w:u w:val="none" w:color="000000"/>
        <w:vertAlign w:val="baseline"/>
        <w:lang w:val="it-IT"/>
      </w:rPr>
    </w:lvl>
    <w:lvl w:ilvl="1">
      <w:start w:val="1"/>
      <w:numFmt w:val="bullet"/>
      <w:suff w:val="tab"/>
      <w:lvlText w:val="◦"/>
      <w:lvlJc w:val="left"/>
      <w:pPr>
        <w:tabs>
          <w:tab w:val="num" w:pos="1020"/>
          <w:tab w:val="clear" w:pos="0"/>
        </w:tabs>
        <w:ind w:left="102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lvl w:ilvl="2">
      <w:start w:val="1"/>
      <w:numFmt w:val="bullet"/>
      <w:suff w:val="tab"/>
      <w:lvlText w:val="▪"/>
      <w:lvlJc w:val="left"/>
      <w:pPr>
        <w:tabs>
          <w:tab w:val="num" w:pos="1380"/>
          <w:tab w:val="clear" w:pos="0"/>
        </w:tabs>
        <w:ind w:left="138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lvl w:ilvl="3">
      <w:start w:val="1"/>
      <w:numFmt w:val="bullet"/>
      <w:suff w:val="tab"/>
      <w:lvlText w:val="•"/>
      <w:lvlJc w:val="left"/>
      <w:pPr>
        <w:tabs>
          <w:tab w:val="num" w:pos="1740"/>
          <w:tab w:val="clear" w:pos="0"/>
        </w:tabs>
        <w:ind w:left="174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lvl w:ilvl="4">
      <w:start w:val="1"/>
      <w:numFmt w:val="bullet"/>
      <w:suff w:val="tab"/>
      <w:lvlText w:val="◦"/>
      <w:lvlJc w:val="left"/>
      <w:pPr>
        <w:tabs>
          <w:tab w:val="num" w:pos="2100"/>
          <w:tab w:val="clear" w:pos="0"/>
        </w:tabs>
        <w:ind w:left="210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lvl w:ilvl="5">
      <w:start w:val="1"/>
      <w:numFmt w:val="bullet"/>
      <w:suff w:val="tab"/>
      <w:lvlText w:val="▪"/>
      <w:lvlJc w:val="left"/>
      <w:pPr>
        <w:tabs>
          <w:tab w:val="num" w:pos="2460"/>
          <w:tab w:val="clear" w:pos="0"/>
        </w:tabs>
        <w:ind w:left="246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lvl w:ilvl="6">
      <w:start w:val="1"/>
      <w:numFmt w:val="bullet"/>
      <w:suff w:val="tab"/>
      <w:lvlText w:val="•"/>
      <w:lvlJc w:val="left"/>
      <w:pPr>
        <w:tabs>
          <w:tab w:val="num" w:pos="2820"/>
          <w:tab w:val="clear" w:pos="0"/>
        </w:tabs>
        <w:ind w:left="282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lvl w:ilvl="7">
      <w:start w:val="1"/>
      <w:numFmt w:val="bullet"/>
      <w:suff w:val="tab"/>
      <w:lvlText w:val="◦"/>
      <w:lvlJc w:val="left"/>
      <w:pPr>
        <w:tabs>
          <w:tab w:val="num" w:pos="3180"/>
          <w:tab w:val="clear" w:pos="0"/>
        </w:tabs>
        <w:ind w:left="318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lvl w:ilvl="8">
      <w:start w:val="1"/>
      <w:numFmt w:val="bullet"/>
      <w:suff w:val="tab"/>
      <w:lvlText w:val="▪"/>
      <w:lvlJc w:val="left"/>
      <w:pPr>
        <w:tabs>
          <w:tab w:val="num" w:pos="3540"/>
          <w:tab w:val="clear" w:pos="0"/>
        </w:tabs>
        <w:ind w:left="354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abstractNum>
  <w:abstractNum w:abstractNumId="179">
    <w:multiLevelType w:val="multilevel"/>
    <w:styleLink w:val="List 39"/>
    <w:lvl w:ilvl="0">
      <w:start w:val="0"/>
      <w:numFmt w:val="bullet"/>
      <w:suff w:val="tab"/>
      <w:lvlText w:val="•"/>
      <w:lvlJc w:val="left"/>
      <w:pPr>
        <w:tabs>
          <w:tab w:val="num" w:pos="567"/>
          <w:tab w:val="clear" w:pos="0"/>
        </w:tabs>
        <w:ind w:left="567" w:hanging="153"/>
      </w:pPr>
      <w:rPr>
        <w:rFonts w:ascii="Book Antiqua" w:cs="Book Antiqua" w:hAnsi="Book Antiqua" w:eastAsia="Book Antiqua"/>
        <w:caps w:val="0"/>
        <w:smallCaps w:val="0"/>
        <w:strike w:val="0"/>
        <w:dstrike w:val="0"/>
        <w:outline w:val="0"/>
        <w:color w:val="000000"/>
        <w:spacing w:val="0"/>
        <w:kern w:val="0"/>
        <w:position w:val="0"/>
        <w:sz w:val="24"/>
        <w:szCs w:val="24"/>
        <w:u w:val="none" w:color="000000"/>
        <w:vertAlign w:val="baseline"/>
        <w:lang w:val="it-IT"/>
      </w:rPr>
    </w:lvl>
    <w:lvl w:ilvl="1">
      <w:start w:val="1"/>
      <w:numFmt w:val="bullet"/>
      <w:suff w:val="tab"/>
      <w:lvlText w:val="◦"/>
      <w:lvlJc w:val="left"/>
      <w:pPr>
        <w:tabs>
          <w:tab w:val="num" w:pos="1020"/>
          <w:tab w:val="clear" w:pos="0"/>
        </w:tabs>
        <w:ind w:left="102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lvl w:ilvl="2">
      <w:start w:val="1"/>
      <w:numFmt w:val="bullet"/>
      <w:suff w:val="tab"/>
      <w:lvlText w:val="▪"/>
      <w:lvlJc w:val="left"/>
      <w:pPr>
        <w:tabs>
          <w:tab w:val="num" w:pos="1380"/>
          <w:tab w:val="clear" w:pos="0"/>
        </w:tabs>
        <w:ind w:left="138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lvl w:ilvl="3">
      <w:start w:val="1"/>
      <w:numFmt w:val="bullet"/>
      <w:suff w:val="tab"/>
      <w:lvlText w:val="•"/>
      <w:lvlJc w:val="left"/>
      <w:pPr>
        <w:tabs>
          <w:tab w:val="num" w:pos="1740"/>
          <w:tab w:val="clear" w:pos="0"/>
        </w:tabs>
        <w:ind w:left="174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lvl w:ilvl="4">
      <w:start w:val="1"/>
      <w:numFmt w:val="bullet"/>
      <w:suff w:val="tab"/>
      <w:lvlText w:val="◦"/>
      <w:lvlJc w:val="left"/>
      <w:pPr>
        <w:tabs>
          <w:tab w:val="num" w:pos="2100"/>
          <w:tab w:val="clear" w:pos="0"/>
        </w:tabs>
        <w:ind w:left="210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lvl w:ilvl="5">
      <w:start w:val="1"/>
      <w:numFmt w:val="bullet"/>
      <w:suff w:val="tab"/>
      <w:lvlText w:val="▪"/>
      <w:lvlJc w:val="left"/>
      <w:pPr>
        <w:tabs>
          <w:tab w:val="num" w:pos="2460"/>
          <w:tab w:val="clear" w:pos="0"/>
        </w:tabs>
        <w:ind w:left="246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lvl w:ilvl="6">
      <w:start w:val="1"/>
      <w:numFmt w:val="bullet"/>
      <w:suff w:val="tab"/>
      <w:lvlText w:val="•"/>
      <w:lvlJc w:val="left"/>
      <w:pPr>
        <w:tabs>
          <w:tab w:val="num" w:pos="2820"/>
          <w:tab w:val="clear" w:pos="0"/>
        </w:tabs>
        <w:ind w:left="282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lvl w:ilvl="7">
      <w:start w:val="1"/>
      <w:numFmt w:val="bullet"/>
      <w:suff w:val="tab"/>
      <w:lvlText w:val="◦"/>
      <w:lvlJc w:val="left"/>
      <w:pPr>
        <w:tabs>
          <w:tab w:val="num" w:pos="3180"/>
          <w:tab w:val="clear" w:pos="0"/>
        </w:tabs>
        <w:ind w:left="318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lvl w:ilvl="8">
      <w:start w:val="1"/>
      <w:numFmt w:val="bullet"/>
      <w:suff w:val="tab"/>
      <w:lvlText w:val="▪"/>
      <w:lvlJc w:val="left"/>
      <w:pPr>
        <w:tabs>
          <w:tab w:val="num" w:pos="3540"/>
          <w:tab w:val="clear" w:pos="0"/>
        </w:tabs>
        <w:ind w:left="354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abstractNum>
  <w:abstractNum w:abstractNumId="180">
    <w:multiLevelType w:val="multilevel"/>
    <w:styleLink w:val="List 39"/>
    <w:lvl w:ilvl="0">
      <w:start w:val="0"/>
      <w:numFmt w:val="bullet"/>
      <w:suff w:val="tab"/>
      <w:lvlText w:val="•"/>
      <w:lvlJc w:val="left"/>
      <w:pPr>
        <w:tabs>
          <w:tab w:val="num" w:pos="567"/>
          <w:tab w:val="clear" w:pos="0"/>
        </w:tabs>
        <w:ind w:left="567" w:hanging="153"/>
      </w:pPr>
      <w:rPr>
        <w:rFonts w:ascii="Book Antiqua" w:cs="Book Antiqua" w:hAnsi="Book Antiqua" w:eastAsia="Book Antiqua"/>
        <w:caps w:val="0"/>
        <w:smallCaps w:val="0"/>
        <w:strike w:val="0"/>
        <w:dstrike w:val="0"/>
        <w:outline w:val="0"/>
        <w:color w:val="000000"/>
        <w:spacing w:val="0"/>
        <w:kern w:val="0"/>
        <w:position w:val="0"/>
        <w:sz w:val="24"/>
        <w:szCs w:val="24"/>
        <w:u w:val="none" w:color="000000"/>
        <w:vertAlign w:val="baseline"/>
        <w:lang w:val="it-IT"/>
      </w:rPr>
    </w:lvl>
    <w:lvl w:ilvl="1">
      <w:start w:val="1"/>
      <w:numFmt w:val="bullet"/>
      <w:suff w:val="tab"/>
      <w:lvlText w:val="◦"/>
      <w:lvlJc w:val="left"/>
      <w:pPr>
        <w:tabs>
          <w:tab w:val="num" w:pos="1020"/>
          <w:tab w:val="clear" w:pos="0"/>
        </w:tabs>
        <w:ind w:left="102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lvl w:ilvl="2">
      <w:start w:val="1"/>
      <w:numFmt w:val="bullet"/>
      <w:suff w:val="tab"/>
      <w:lvlText w:val="▪"/>
      <w:lvlJc w:val="left"/>
      <w:pPr>
        <w:tabs>
          <w:tab w:val="num" w:pos="1380"/>
          <w:tab w:val="clear" w:pos="0"/>
        </w:tabs>
        <w:ind w:left="138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lvl w:ilvl="3">
      <w:start w:val="1"/>
      <w:numFmt w:val="bullet"/>
      <w:suff w:val="tab"/>
      <w:lvlText w:val="•"/>
      <w:lvlJc w:val="left"/>
      <w:pPr>
        <w:tabs>
          <w:tab w:val="num" w:pos="1740"/>
          <w:tab w:val="clear" w:pos="0"/>
        </w:tabs>
        <w:ind w:left="174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lvl w:ilvl="4">
      <w:start w:val="1"/>
      <w:numFmt w:val="bullet"/>
      <w:suff w:val="tab"/>
      <w:lvlText w:val="◦"/>
      <w:lvlJc w:val="left"/>
      <w:pPr>
        <w:tabs>
          <w:tab w:val="num" w:pos="2100"/>
          <w:tab w:val="clear" w:pos="0"/>
        </w:tabs>
        <w:ind w:left="210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lvl w:ilvl="5">
      <w:start w:val="1"/>
      <w:numFmt w:val="bullet"/>
      <w:suff w:val="tab"/>
      <w:lvlText w:val="▪"/>
      <w:lvlJc w:val="left"/>
      <w:pPr>
        <w:tabs>
          <w:tab w:val="num" w:pos="2460"/>
          <w:tab w:val="clear" w:pos="0"/>
        </w:tabs>
        <w:ind w:left="246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lvl w:ilvl="6">
      <w:start w:val="1"/>
      <w:numFmt w:val="bullet"/>
      <w:suff w:val="tab"/>
      <w:lvlText w:val="•"/>
      <w:lvlJc w:val="left"/>
      <w:pPr>
        <w:tabs>
          <w:tab w:val="num" w:pos="2820"/>
          <w:tab w:val="clear" w:pos="0"/>
        </w:tabs>
        <w:ind w:left="282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lvl w:ilvl="7">
      <w:start w:val="1"/>
      <w:numFmt w:val="bullet"/>
      <w:suff w:val="tab"/>
      <w:lvlText w:val="◦"/>
      <w:lvlJc w:val="left"/>
      <w:pPr>
        <w:tabs>
          <w:tab w:val="num" w:pos="3180"/>
          <w:tab w:val="clear" w:pos="0"/>
        </w:tabs>
        <w:ind w:left="318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lvl w:ilvl="8">
      <w:start w:val="1"/>
      <w:numFmt w:val="bullet"/>
      <w:suff w:val="tab"/>
      <w:lvlText w:val="▪"/>
      <w:lvlJc w:val="left"/>
      <w:pPr>
        <w:tabs>
          <w:tab w:val="num" w:pos="3540"/>
          <w:tab w:val="clear" w:pos="0"/>
        </w:tabs>
        <w:ind w:left="354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abstractNum>
  <w:abstractNum w:abstractNumId="181">
    <w:multiLevelType w:val="multilevel"/>
    <w:styleLink w:val="List 39"/>
    <w:lvl w:ilvl="0">
      <w:start w:val="0"/>
      <w:numFmt w:val="bullet"/>
      <w:suff w:val="tab"/>
      <w:lvlText w:val="•"/>
      <w:lvlJc w:val="left"/>
      <w:pPr>
        <w:tabs>
          <w:tab w:val="num" w:pos="567"/>
          <w:tab w:val="clear" w:pos="0"/>
        </w:tabs>
        <w:ind w:left="567" w:hanging="153"/>
      </w:pPr>
      <w:rPr>
        <w:rFonts w:ascii="Book Antiqua" w:cs="Book Antiqua" w:hAnsi="Book Antiqua" w:eastAsia="Book Antiqua"/>
        <w:caps w:val="0"/>
        <w:smallCaps w:val="0"/>
        <w:strike w:val="0"/>
        <w:dstrike w:val="0"/>
        <w:outline w:val="0"/>
        <w:color w:val="000000"/>
        <w:spacing w:val="0"/>
        <w:kern w:val="0"/>
        <w:position w:val="0"/>
        <w:sz w:val="24"/>
        <w:szCs w:val="24"/>
        <w:u w:val="none" w:color="000000"/>
        <w:vertAlign w:val="baseline"/>
        <w:lang w:val="it-IT"/>
      </w:rPr>
    </w:lvl>
    <w:lvl w:ilvl="1">
      <w:start w:val="1"/>
      <w:numFmt w:val="bullet"/>
      <w:suff w:val="tab"/>
      <w:lvlText w:val="◦"/>
      <w:lvlJc w:val="left"/>
      <w:pPr>
        <w:tabs>
          <w:tab w:val="num" w:pos="1020"/>
          <w:tab w:val="clear" w:pos="0"/>
        </w:tabs>
        <w:ind w:left="102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lvl w:ilvl="2">
      <w:start w:val="1"/>
      <w:numFmt w:val="bullet"/>
      <w:suff w:val="tab"/>
      <w:lvlText w:val="▪"/>
      <w:lvlJc w:val="left"/>
      <w:pPr>
        <w:tabs>
          <w:tab w:val="num" w:pos="1380"/>
          <w:tab w:val="clear" w:pos="0"/>
        </w:tabs>
        <w:ind w:left="138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lvl w:ilvl="3">
      <w:start w:val="1"/>
      <w:numFmt w:val="bullet"/>
      <w:suff w:val="tab"/>
      <w:lvlText w:val="•"/>
      <w:lvlJc w:val="left"/>
      <w:pPr>
        <w:tabs>
          <w:tab w:val="num" w:pos="1740"/>
          <w:tab w:val="clear" w:pos="0"/>
        </w:tabs>
        <w:ind w:left="174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lvl w:ilvl="4">
      <w:start w:val="1"/>
      <w:numFmt w:val="bullet"/>
      <w:suff w:val="tab"/>
      <w:lvlText w:val="◦"/>
      <w:lvlJc w:val="left"/>
      <w:pPr>
        <w:tabs>
          <w:tab w:val="num" w:pos="2100"/>
          <w:tab w:val="clear" w:pos="0"/>
        </w:tabs>
        <w:ind w:left="210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lvl w:ilvl="5">
      <w:start w:val="1"/>
      <w:numFmt w:val="bullet"/>
      <w:suff w:val="tab"/>
      <w:lvlText w:val="▪"/>
      <w:lvlJc w:val="left"/>
      <w:pPr>
        <w:tabs>
          <w:tab w:val="num" w:pos="2460"/>
          <w:tab w:val="clear" w:pos="0"/>
        </w:tabs>
        <w:ind w:left="246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lvl w:ilvl="6">
      <w:start w:val="1"/>
      <w:numFmt w:val="bullet"/>
      <w:suff w:val="tab"/>
      <w:lvlText w:val="•"/>
      <w:lvlJc w:val="left"/>
      <w:pPr>
        <w:tabs>
          <w:tab w:val="num" w:pos="2820"/>
          <w:tab w:val="clear" w:pos="0"/>
        </w:tabs>
        <w:ind w:left="282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lvl w:ilvl="7">
      <w:start w:val="1"/>
      <w:numFmt w:val="bullet"/>
      <w:suff w:val="tab"/>
      <w:lvlText w:val="◦"/>
      <w:lvlJc w:val="left"/>
      <w:pPr>
        <w:tabs>
          <w:tab w:val="num" w:pos="3180"/>
          <w:tab w:val="clear" w:pos="0"/>
        </w:tabs>
        <w:ind w:left="318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lvl w:ilvl="8">
      <w:start w:val="1"/>
      <w:numFmt w:val="bullet"/>
      <w:suff w:val="tab"/>
      <w:lvlText w:val="▪"/>
      <w:lvlJc w:val="left"/>
      <w:pPr>
        <w:tabs>
          <w:tab w:val="num" w:pos="3540"/>
          <w:tab w:val="clear" w:pos="0"/>
        </w:tabs>
        <w:ind w:left="354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abstractNum>
  <w:abstractNum w:abstractNumId="182">
    <w:multiLevelType w:val="multilevel"/>
    <w:styleLink w:val="List 39"/>
    <w:lvl w:ilvl="0">
      <w:start w:val="0"/>
      <w:numFmt w:val="bullet"/>
      <w:suff w:val="tab"/>
      <w:lvlText w:val="•"/>
      <w:lvlJc w:val="left"/>
      <w:pPr>
        <w:tabs>
          <w:tab w:val="num" w:pos="567"/>
          <w:tab w:val="clear" w:pos="0"/>
        </w:tabs>
        <w:ind w:left="567" w:hanging="153"/>
      </w:pPr>
      <w:rPr>
        <w:rFonts w:ascii="Book Antiqua" w:cs="Book Antiqua" w:hAnsi="Book Antiqua" w:eastAsia="Book Antiqua"/>
        <w:caps w:val="0"/>
        <w:smallCaps w:val="0"/>
        <w:strike w:val="0"/>
        <w:dstrike w:val="0"/>
        <w:outline w:val="0"/>
        <w:color w:val="000000"/>
        <w:spacing w:val="0"/>
        <w:kern w:val="0"/>
        <w:position w:val="0"/>
        <w:sz w:val="24"/>
        <w:szCs w:val="24"/>
        <w:u w:val="none" w:color="000000"/>
        <w:vertAlign w:val="baseline"/>
        <w:lang w:val="it-IT"/>
      </w:rPr>
    </w:lvl>
    <w:lvl w:ilvl="1">
      <w:start w:val="1"/>
      <w:numFmt w:val="bullet"/>
      <w:suff w:val="tab"/>
      <w:lvlText w:val="◦"/>
      <w:lvlJc w:val="left"/>
      <w:pPr>
        <w:tabs>
          <w:tab w:val="num" w:pos="1020"/>
          <w:tab w:val="clear" w:pos="0"/>
        </w:tabs>
        <w:ind w:left="102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lvl w:ilvl="2">
      <w:start w:val="1"/>
      <w:numFmt w:val="bullet"/>
      <w:suff w:val="tab"/>
      <w:lvlText w:val="▪"/>
      <w:lvlJc w:val="left"/>
      <w:pPr>
        <w:tabs>
          <w:tab w:val="num" w:pos="1380"/>
          <w:tab w:val="clear" w:pos="0"/>
        </w:tabs>
        <w:ind w:left="138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lvl w:ilvl="3">
      <w:start w:val="1"/>
      <w:numFmt w:val="bullet"/>
      <w:suff w:val="tab"/>
      <w:lvlText w:val="•"/>
      <w:lvlJc w:val="left"/>
      <w:pPr>
        <w:tabs>
          <w:tab w:val="num" w:pos="1740"/>
          <w:tab w:val="clear" w:pos="0"/>
        </w:tabs>
        <w:ind w:left="174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lvl w:ilvl="4">
      <w:start w:val="1"/>
      <w:numFmt w:val="bullet"/>
      <w:suff w:val="tab"/>
      <w:lvlText w:val="◦"/>
      <w:lvlJc w:val="left"/>
      <w:pPr>
        <w:tabs>
          <w:tab w:val="num" w:pos="2100"/>
          <w:tab w:val="clear" w:pos="0"/>
        </w:tabs>
        <w:ind w:left="210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lvl w:ilvl="5">
      <w:start w:val="1"/>
      <w:numFmt w:val="bullet"/>
      <w:suff w:val="tab"/>
      <w:lvlText w:val="▪"/>
      <w:lvlJc w:val="left"/>
      <w:pPr>
        <w:tabs>
          <w:tab w:val="num" w:pos="2460"/>
          <w:tab w:val="clear" w:pos="0"/>
        </w:tabs>
        <w:ind w:left="246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lvl w:ilvl="6">
      <w:start w:val="1"/>
      <w:numFmt w:val="bullet"/>
      <w:suff w:val="tab"/>
      <w:lvlText w:val="•"/>
      <w:lvlJc w:val="left"/>
      <w:pPr>
        <w:tabs>
          <w:tab w:val="num" w:pos="2820"/>
          <w:tab w:val="clear" w:pos="0"/>
        </w:tabs>
        <w:ind w:left="282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lvl w:ilvl="7">
      <w:start w:val="1"/>
      <w:numFmt w:val="bullet"/>
      <w:suff w:val="tab"/>
      <w:lvlText w:val="◦"/>
      <w:lvlJc w:val="left"/>
      <w:pPr>
        <w:tabs>
          <w:tab w:val="num" w:pos="3180"/>
          <w:tab w:val="clear" w:pos="0"/>
        </w:tabs>
        <w:ind w:left="318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lvl w:ilvl="8">
      <w:start w:val="1"/>
      <w:numFmt w:val="bullet"/>
      <w:suff w:val="tab"/>
      <w:lvlText w:val="▪"/>
      <w:lvlJc w:val="left"/>
      <w:pPr>
        <w:tabs>
          <w:tab w:val="num" w:pos="3540"/>
          <w:tab w:val="clear" w:pos="0"/>
        </w:tabs>
        <w:ind w:left="354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abstractNum>
  <w:abstractNum w:abstractNumId="183">
    <w:multiLevelType w:val="multilevel"/>
    <w:styleLink w:val="List 39"/>
    <w:lvl w:ilvl="0">
      <w:start w:val="0"/>
      <w:numFmt w:val="bullet"/>
      <w:suff w:val="tab"/>
      <w:lvlText w:val="•"/>
      <w:lvlJc w:val="left"/>
      <w:pPr>
        <w:tabs>
          <w:tab w:val="num" w:pos="567"/>
          <w:tab w:val="clear" w:pos="0"/>
        </w:tabs>
        <w:ind w:left="567" w:hanging="153"/>
      </w:pPr>
      <w:rPr>
        <w:rFonts w:ascii="Book Antiqua" w:cs="Book Antiqua" w:hAnsi="Book Antiqua" w:eastAsia="Book Antiqua"/>
        <w:caps w:val="0"/>
        <w:smallCaps w:val="0"/>
        <w:strike w:val="0"/>
        <w:dstrike w:val="0"/>
        <w:outline w:val="0"/>
        <w:color w:val="000000"/>
        <w:spacing w:val="0"/>
        <w:kern w:val="0"/>
        <w:position w:val="0"/>
        <w:sz w:val="24"/>
        <w:szCs w:val="24"/>
        <w:u w:val="none" w:color="000000"/>
        <w:vertAlign w:val="baseline"/>
        <w:lang w:val="it-IT"/>
      </w:rPr>
    </w:lvl>
    <w:lvl w:ilvl="1">
      <w:start w:val="1"/>
      <w:numFmt w:val="bullet"/>
      <w:suff w:val="tab"/>
      <w:lvlText w:val="◦"/>
      <w:lvlJc w:val="left"/>
      <w:pPr>
        <w:tabs>
          <w:tab w:val="num" w:pos="1020"/>
          <w:tab w:val="clear" w:pos="0"/>
        </w:tabs>
        <w:ind w:left="102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lvl w:ilvl="2">
      <w:start w:val="1"/>
      <w:numFmt w:val="bullet"/>
      <w:suff w:val="tab"/>
      <w:lvlText w:val="▪"/>
      <w:lvlJc w:val="left"/>
      <w:pPr>
        <w:tabs>
          <w:tab w:val="num" w:pos="1380"/>
          <w:tab w:val="clear" w:pos="0"/>
        </w:tabs>
        <w:ind w:left="138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lvl w:ilvl="3">
      <w:start w:val="1"/>
      <w:numFmt w:val="bullet"/>
      <w:suff w:val="tab"/>
      <w:lvlText w:val="•"/>
      <w:lvlJc w:val="left"/>
      <w:pPr>
        <w:tabs>
          <w:tab w:val="num" w:pos="1740"/>
          <w:tab w:val="clear" w:pos="0"/>
        </w:tabs>
        <w:ind w:left="174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lvl w:ilvl="4">
      <w:start w:val="1"/>
      <w:numFmt w:val="bullet"/>
      <w:suff w:val="tab"/>
      <w:lvlText w:val="◦"/>
      <w:lvlJc w:val="left"/>
      <w:pPr>
        <w:tabs>
          <w:tab w:val="num" w:pos="2100"/>
          <w:tab w:val="clear" w:pos="0"/>
        </w:tabs>
        <w:ind w:left="210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lvl w:ilvl="5">
      <w:start w:val="1"/>
      <w:numFmt w:val="bullet"/>
      <w:suff w:val="tab"/>
      <w:lvlText w:val="▪"/>
      <w:lvlJc w:val="left"/>
      <w:pPr>
        <w:tabs>
          <w:tab w:val="num" w:pos="2460"/>
          <w:tab w:val="clear" w:pos="0"/>
        </w:tabs>
        <w:ind w:left="246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lvl w:ilvl="6">
      <w:start w:val="1"/>
      <w:numFmt w:val="bullet"/>
      <w:suff w:val="tab"/>
      <w:lvlText w:val="•"/>
      <w:lvlJc w:val="left"/>
      <w:pPr>
        <w:tabs>
          <w:tab w:val="num" w:pos="2820"/>
          <w:tab w:val="clear" w:pos="0"/>
        </w:tabs>
        <w:ind w:left="282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lvl w:ilvl="7">
      <w:start w:val="1"/>
      <w:numFmt w:val="bullet"/>
      <w:suff w:val="tab"/>
      <w:lvlText w:val="◦"/>
      <w:lvlJc w:val="left"/>
      <w:pPr>
        <w:tabs>
          <w:tab w:val="num" w:pos="3180"/>
          <w:tab w:val="clear" w:pos="0"/>
        </w:tabs>
        <w:ind w:left="318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lvl w:ilvl="8">
      <w:start w:val="1"/>
      <w:numFmt w:val="bullet"/>
      <w:suff w:val="tab"/>
      <w:lvlText w:val="▪"/>
      <w:lvlJc w:val="left"/>
      <w:pPr>
        <w:tabs>
          <w:tab w:val="num" w:pos="3540"/>
          <w:tab w:val="clear" w:pos="0"/>
        </w:tabs>
        <w:ind w:left="354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abstractNum>
  <w:abstractNum w:abstractNumId="184">
    <w:multiLevelType w:val="multilevel"/>
    <w:styleLink w:val="List 39"/>
    <w:lvl w:ilvl="0">
      <w:start w:val="0"/>
      <w:numFmt w:val="bullet"/>
      <w:suff w:val="tab"/>
      <w:lvlText w:val="•"/>
      <w:lvlJc w:val="left"/>
      <w:pPr>
        <w:tabs>
          <w:tab w:val="num" w:pos="567"/>
          <w:tab w:val="clear" w:pos="0"/>
        </w:tabs>
        <w:ind w:left="567" w:hanging="153"/>
      </w:pPr>
      <w:rPr>
        <w:rFonts w:ascii="Book Antiqua" w:cs="Book Antiqua" w:hAnsi="Book Antiqua" w:eastAsia="Book Antiqua"/>
        <w:caps w:val="0"/>
        <w:smallCaps w:val="0"/>
        <w:strike w:val="0"/>
        <w:dstrike w:val="0"/>
        <w:outline w:val="0"/>
        <w:color w:val="000000"/>
        <w:spacing w:val="0"/>
        <w:kern w:val="0"/>
        <w:position w:val="0"/>
        <w:sz w:val="24"/>
        <w:szCs w:val="24"/>
        <w:u w:val="none" w:color="000000"/>
        <w:vertAlign w:val="baseline"/>
        <w:lang w:val="it-IT"/>
      </w:rPr>
    </w:lvl>
    <w:lvl w:ilvl="1">
      <w:start w:val="1"/>
      <w:numFmt w:val="bullet"/>
      <w:suff w:val="tab"/>
      <w:lvlText w:val="◦"/>
      <w:lvlJc w:val="left"/>
      <w:pPr>
        <w:tabs>
          <w:tab w:val="num" w:pos="1020"/>
          <w:tab w:val="clear" w:pos="0"/>
        </w:tabs>
        <w:ind w:left="102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lvl w:ilvl="2">
      <w:start w:val="1"/>
      <w:numFmt w:val="bullet"/>
      <w:suff w:val="tab"/>
      <w:lvlText w:val="▪"/>
      <w:lvlJc w:val="left"/>
      <w:pPr>
        <w:tabs>
          <w:tab w:val="num" w:pos="1380"/>
          <w:tab w:val="clear" w:pos="0"/>
        </w:tabs>
        <w:ind w:left="138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lvl w:ilvl="3">
      <w:start w:val="1"/>
      <w:numFmt w:val="bullet"/>
      <w:suff w:val="tab"/>
      <w:lvlText w:val="•"/>
      <w:lvlJc w:val="left"/>
      <w:pPr>
        <w:tabs>
          <w:tab w:val="num" w:pos="1740"/>
          <w:tab w:val="clear" w:pos="0"/>
        </w:tabs>
        <w:ind w:left="174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lvl w:ilvl="4">
      <w:start w:val="1"/>
      <w:numFmt w:val="bullet"/>
      <w:suff w:val="tab"/>
      <w:lvlText w:val="◦"/>
      <w:lvlJc w:val="left"/>
      <w:pPr>
        <w:tabs>
          <w:tab w:val="num" w:pos="2100"/>
          <w:tab w:val="clear" w:pos="0"/>
        </w:tabs>
        <w:ind w:left="210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lvl w:ilvl="5">
      <w:start w:val="1"/>
      <w:numFmt w:val="bullet"/>
      <w:suff w:val="tab"/>
      <w:lvlText w:val="▪"/>
      <w:lvlJc w:val="left"/>
      <w:pPr>
        <w:tabs>
          <w:tab w:val="num" w:pos="2460"/>
          <w:tab w:val="clear" w:pos="0"/>
        </w:tabs>
        <w:ind w:left="246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lvl w:ilvl="6">
      <w:start w:val="1"/>
      <w:numFmt w:val="bullet"/>
      <w:suff w:val="tab"/>
      <w:lvlText w:val="•"/>
      <w:lvlJc w:val="left"/>
      <w:pPr>
        <w:tabs>
          <w:tab w:val="num" w:pos="2820"/>
          <w:tab w:val="clear" w:pos="0"/>
        </w:tabs>
        <w:ind w:left="282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lvl w:ilvl="7">
      <w:start w:val="1"/>
      <w:numFmt w:val="bullet"/>
      <w:suff w:val="tab"/>
      <w:lvlText w:val="◦"/>
      <w:lvlJc w:val="left"/>
      <w:pPr>
        <w:tabs>
          <w:tab w:val="num" w:pos="3180"/>
          <w:tab w:val="clear" w:pos="0"/>
        </w:tabs>
        <w:ind w:left="318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lvl w:ilvl="8">
      <w:start w:val="1"/>
      <w:numFmt w:val="bullet"/>
      <w:suff w:val="tab"/>
      <w:lvlText w:val="▪"/>
      <w:lvlJc w:val="left"/>
      <w:pPr>
        <w:tabs>
          <w:tab w:val="num" w:pos="3540"/>
          <w:tab w:val="clear" w:pos="0"/>
        </w:tabs>
        <w:ind w:left="354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abstractNum>
  <w:abstractNum w:abstractNumId="185">
    <w:multiLevelType w:val="multilevel"/>
    <w:styleLink w:val="List 39"/>
    <w:lvl w:ilvl="0">
      <w:start w:val="0"/>
      <w:numFmt w:val="bullet"/>
      <w:suff w:val="tab"/>
      <w:lvlText w:val="•"/>
      <w:lvlJc w:val="left"/>
      <w:pPr>
        <w:tabs>
          <w:tab w:val="num" w:pos="567"/>
          <w:tab w:val="clear" w:pos="0"/>
        </w:tabs>
        <w:ind w:left="567" w:hanging="153"/>
      </w:pPr>
      <w:rPr>
        <w:rFonts w:ascii="Book Antiqua" w:cs="Book Antiqua" w:hAnsi="Book Antiqua" w:eastAsia="Book Antiqua"/>
        <w:caps w:val="0"/>
        <w:smallCaps w:val="0"/>
        <w:strike w:val="0"/>
        <w:dstrike w:val="0"/>
        <w:outline w:val="0"/>
        <w:color w:val="000000"/>
        <w:spacing w:val="0"/>
        <w:kern w:val="0"/>
        <w:position w:val="0"/>
        <w:sz w:val="24"/>
        <w:szCs w:val="24"/>
        <w:u w:val="none" w:color="000000"/>
        <w:vertAlign w:val="baseline"/>
        <w:lang w:val="it-IT"/>
      </w:rPr>
    </w:lvl>
    <w:lvl w:ilvl="1">
      <w:start w:val="1"/>
      <w:numFmt w:val="bullet"/>
      <w:suff w:val="tab"/>
      <w:lvlText w:val="◦"/>
      <w:lvlJc w:val="left"/>
      <w:pPr>
        <w:tabs>
          <w:tab w:val="num" w:pos="1020"/>
          <w:tab w:val="clear" w:pos="0"/>
        </w:tabs>
        <w:ind w:left="102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lvl w:ilvl="2">
      <w:start w:val="1"/>
      <w:numFmt w:val="bullet"/>
      <w:suff w:val="tab"/>
      <w:lvlText w:val="▪"/>
      <w:lvlJc w:val="left"/>
      <w:pPr>
        <w:tabs>
          <w:tab w:val="num" w:pos="1380"/>
          <w:tab w:val="clear" w:pos="0"/>
        </w:tabs>
        <w:ind w:left="138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lvl w:ilvl="3">
      <w:start w:val="1"/>
      <w:numFmt w:val="bullet"/>
      <w:suff w:val="tab"/>
      <w:lvlText w:val="•"/>
      <w:lvlJc w:val="left"/>
      <w:pPr>
        <w:tabs>
          <w:tab w:val="num" w:pos="1740"/>
          <w:tab w:val="clear" w:pos="0"/>
        </w:tabs>
        <w:ind w:left="174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lvl w:ilvl="4">
      <w:start w:val="1"/>
      <w:numFmt w:val="bullet"/>
      <w:suff w:val="tab"/>
      <w:lvlText w:val="◦"/>
      <w:lvlJc w:val="left"/>
      <w:pPr>
        <w:tabs>
          <w:tab w:val="num" w:pos="2100"/>
          <w:tab w:val="clear" w:pos="0"/>
        </w:tabs>
        <w:ind w:left="210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lvl w:ilvl="5">
      <w:start w:val="1"/>
      <w:numFmt w:val="bullet"/>
      <w:suff w:val="tab"/>
      <w:lvlText w:val="▪"/>
      <w:lvlJc w:val="left"/>
      <w:pPr>
        <w:tabs>
          <w:tab w:val="num" w:pos="2460"/>
          <w:tab w:val="clear" w:pos="0"/>
        </w:tabs>
        <w:ind w:left="246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lvl w:ilvl="6">
      <w:start w:val="1"/>
      <w:numFmt w:val="bullet"/>
      <w:suff w:val="tab"/>
      <w:lvlText w:val="•"/>
      <w:lvlJc w:val="left"/>
      <w:pPr>
        <w:tabs>
          <w:tab w:val="num" w:pos="2820"/>
          <w:tab w:val="clear" w:pos="0"/>
        </w:tabs>
        <w:ind w:left="282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lvl w:ilvl="7">
      <w:start w:val="1"/>
      <w:numFmt w:val="bullet"/>
      <w:suff w:val="tab"/>
      <w:lvlText w:val="◦"/>
      <w:lvlJc w:val="left"/>
      <w:pPr>
        <w:tabs>
          <w:tab w:val="num" w:pos="3180"/>
          <w:tab w:val="clear" w:pos="0"/>
        </w:tabs>
        <w:ind w:left="318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lvl w:ilvl="8">
      <w:start w:val="1"/>
      <w:numFmt w:val="bullet"/>
      <w:suff w:val="tab"/>
      <w:lvlText w:val="▪"/>
      <w:lvlJc w:val="left"/>
      <w:pPr>
        <w:tabs>
          <w:tab w:val="num" w:pos="3540"/>
          <w:tab w:val="clear" w:pos="0"/>
        </w:tabs>
        <w:ind w:left="354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abstractNum>
  <w:abstractNum w:abstractNumId="186">
    <w:multiLevelType w:val="multilevel"/>
    <w:styleLink w:val="List 39"/>
    <w:lvl w:ilvl="0">
      <w:start w:val="0"/>
      <w:numFmt w:val="bullet"/>
      <w:suff w:val="tab"/>
      <w:lvlText w:val="•"/>
      <w:lvlJc w:val="left"/>
      <w:pPr>
        <w:tabs>
          <w:tab w:val="num" w:pos="567"/>
          <w:tab w:val="clear" w:pos="0"/>
        </w:tabs>
        <w:ind w:left="567" w:hanging="153"/>
      </w:pPr>
      <w:rPr>
        <w:rFonts w:ascii="Book Antiqua" w:cs="Book Antiqua" w:hAnsi="Book Antiqua" w:eastAsia="Book Antiqua"/>
        <w:caps w:val="0"/>
        <w:smallCaps w:val="0"/>
        <w:strike w:val="0"/>
        <w:dstrike w:val="0"/>
        <w:outline w:val="0"/>
        <w:color w:val="000000"/>
        <w:spacing w:val="0"/>
        <w:kern w:val="0"/>
        <w:position w:val="0"/>
        <w:sz w:val="24"/>
        <w:szCs w:val="24"/>
        <w:u w:val="none" w:color="000000"/>
        <w:vertAlign w:val="baseline"/>
        <w:lang w:val="it-IT"/>
      </w:rPr>
    </w:lvl>
    <w:lvl w:ilvl="1">
      <w:start w:val="1"/>
      <w:numFmt w:val="bullet"/>
      <w:suff w:val="tab"/>
      <w:lvlText w:val="◦"/>
      <w:lvlJc w:val="left"/>
      <w:pPr>
        <w:tabs>
          <w:tab w:val="num" w:pos="1020"/>
          <w:tab w:val="clear" w:pos="0"/>
        </w:tabs>
        <w:ind w:left="102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lvl w:ilvl="2">
      <w:start w:val="1"/>
      <w:numFmt w:val="bullet"/>
      <w:suff w:val="tab"/>
      <w:lvlText w:val="▪"/>
      <w:lvlJc w:val="left"/>
      <w:pPr>
        <w:tabs>
          <w:tab w:val="num" w:pos="1380"/>
          <w:tab w:val="clear" w:pos="0"/>
        </w:tabs>
        <w:ind w:left="138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lvl w:ilvl="3">
      <w:start w:val="1"/>
      <w:numFmt w:val="bullet"/>
      <w:suff w:val="tab"/>
      <w:lvlText w:val="•"/>
      <w:lvlJc w:val="left"/>
      <w:pPr>
        <w:tabs>
          <w:tab w:val="num" w:pos="1740"/>
          <w:tab w:val="clear" w:pos="0"/>
        </w:tabs>
        <w:ind w:left="174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lvl w:ilvl="4">
      <w:start w:val="1"/>
      <w:numFmt w:val="bullet"/>
      <w:suff w:val="tab"/>
      <w:lvlText w:val="◦"/>
      <w:lvlJc w:val="left"/>
      <w:pPr>
        <w:tabs>
          <w:tab w:val="num" w:pos="2100"/>
          <w:tab w:val="clear" w:pos="0"/>
        </w:tabs>
        <w:ind w:left="210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lvl w:ilvl="5">
      <w:start w:val="1"/>
      <w:numFmt w:val="bullet"/>
      <w:suff w:val="tab"/>
      <w:lvlText w:val="▪"/>
      <w:lvlJc w:val="left"/>
      <w:pPr>
        <w:tabs>
          <w:tab w:val="num" w:pos="2460"/>
          <w:tab w:val="clear" w:pos="0"/>
        </w:tabs>
        <w:ind w:left="246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lvl w:ilvl="6">
      <w:start w:val="1"/>
      <w:numFmt w:val="bullet"/>
      <w:suff w:val="tab"/>
      <w:lvlText w:val="•"/>
      <w:lvlJc w:val="left"/>
      <w:pPr>
        <w:tabs>
          <w:tab w:val="num" w:pos="2820"/>
          <w:tab w:val="clear" w:pos="0"/>
        </w:tabs>
        <w:ind w:left="282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lvl w:ilvl="7">
      <w:start w:val="1"/>
      <w:numFmt w:val="bullet"/>
      <w:suff w:val="tab"/>
      <w:lvlText w:val="◦"/>
      <w:lvlJc w:val="left"/>
      <w:pPr>
        <w:tabs>
          <w:tab w:val="num" w:pos="3180"/>
          <w:tab w:val="clear" w:pos="0"/>
        </w:tabs>
        <w:ind w:left="318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lvl w:ilvl="8">
      <w:start w:val="1"/>
      <w:numFmt w:val="bullet"/>
      <w:suff w:val="tab"/>
      <w:lvlText w:val="▪"/>
      <w:lvlJc w:val="left"/>
      <w:pPr>
        <w:tabs>
          <w:tab w:val="num" w:pos="3540"/>
          <w:tab w:val="clear" w:pos="0"/>
        </w:tabs>
        <w:ind w:left="354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abstractNum>
  <w:abstractNum w:abstractNumId="187">
    <w:multiLevelType w:val="multilevel"/>
    <w:styleLink w:val="List 39"/>
    <w:lvl w:ilvl="0">
      <w:start w:val="0"/>
      <w:numFmt w:val="bullet"/>
      <w:suff w:val="tab"/>
      <w:lvlText w:val="•"/>
      <w:lvlJc w:val="left"/>
      <w:pPr>
        <w:tabs>
          <w:tab w:val="num" w:pos="567"/>
          <w:tab w:val="clear" w:pos="0"/>
        </w:tabs>
        <w:ind w:left="567" w:hanging="153"/>
      </w:pPr>
      <w:rPr>
        <w:rFonts w:ascii="Book Antiqua" w:cs="Book Antiqua" w:hAnsi="Book Antiqua" w:eastAsia="Book Antiqua"/>
        <w:caps w:val="0"/>
        <w:smallCaps w:val="0"/>
        <w:strike w:val="0"/>
        <w:dstrike w:val="0"/>
        <w:outline w:val="0"/>
        <w:color w:val="000000"/>
        <w:spacing w:val="0"/>
        <w:kern w:val="0"/>
        <w:position w:val="0"/>
        <w:sz w:val="24"/>
        <w:szCs w:val="24"/>
        <w:u w:val="none" w:color="000000"/>
        <w:vertAlign w:val="baseline"/>
        <w:lang w:val="it-IT"/>
      </w:rPr>
    </w:lvl>
    <w:lvl w:ilvl="1">
      <w:start w:val="1"/>
      <w:numFmt w:val="bullet"/>
      <w:suff w:val="tab"/>
      <w:lvlText w:val="◦"/>
      <w:lvlJc w:val="left"/>
      <w:pPr>
        <w:tabs>
          <w:tab w:val="num" w:pos="1020"/>
          <w:tab w:val="clear" w:pos="0"/>
        </w:tabs>
        <w:ind w:left="102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lvl w:ilvl="2">
      <w:start w:val="1"/>
      <w:numFmt w:val="bullet"/>
      <w:suff w:val="tab"/>
      <w:lvlText w:val="▪"/>
      <w:lvlJc w:val="left"/>
      <w:pPr>
        <w:tabs>
          <w:tab w:val="num" w:pos="1380"/>
          <w:tab w:val="clear" w:pos="0"/>
        </w:tabs>
        <w:ind w:left="138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lvl w:ilvl="3">
      <w:start w:val="1"/>
      <w:numFmt w:val="bullet"/>
      <w:suff w:val="tab"/>
      <w:lvlText w:val="•"/>
      <w:lvlJc w:val="left"/>
      <w:pPr>
        <w:tabs>
          <w:tab w:val="num" w:pos="1740"/>
          <w:tab w:val="clear" w:pos="0"/>
        </w:tabs>
        <w:ind w:left="174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lvl w:ilvl="4">
      <w:start w:val="1"/>
      <w:numFmt w:val="bullet"/>
      <w:suff w:val="tab"/>
      <w:lvlText w:val="◦"/>
      <w:lvlJc w:val="left"/>
      <w:pPr>
        <w:tabs>
          <w:tab w:val="num" w:pos="2100"/>
          <w:tab w:val="clear" w:pos="0"/>
        </w:tabs>
        <w:ind w:left="210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lvl w:ilvl="5">
      <w:start w:val="1"/>
      <w:numFmt w:val="bullet"/>
      <w:suff w:val="tab"/>
      <w:lvlText w:val="▪"/>
      <w:lvlJc w:val="left"/>
      <w:pPr>
        <w:tabs>
          <w:tab w:val="num" w:pos="2460"/>
          <w:tab w:val="clear" w:pos="0"/>
        </w:tabs>
        <w:ind w:left="246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lvl w:ilvl="6">
      <w:start w:val="1"/>
      <w:numFmt w:val="bullet"/>
      <w:suff w:val="tab"/>
      <w:lvlText w:val="•"/>
      <w:lvlJc w:val="left"/>
      <w:pPr>
        <w:tabs>
          <w:tab w:val="num" w:pos="2820"/>
          <w:tab w:val="clear" w:pos="0"/>
        </w:tabs>
        <w:ind w:left="282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lvl w:ilvl="7">
      <w:start w:val="1"/>
      <w:numFmt w:val="bullet"/>
      <w:suff w:val="tab"/>
      <w:lvlText w:val="◦"/>
      <w:lvlJc w:val="left"/>
      <w:pPr>
        <w:tabs>
          <w:tab w:val="num" w:pos="3180"/>
          <w:tab w:val="clear" w:pos="0"/>
        </w:tabs>
        <w:ind w:left="318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lvl w:ilvl="8">
      <w:start w:val="1"/>
      <w:numFmt w:val="bullet"/>
      <w:suff w:val="tab"/>
      <w:lvlText w:val="▪"/>
      <w:lvlJc w:val="left"/>
      <w:pPr>
        <w:tabs>
          <w:tab w:val="num" w:pos="3540"/>
          <w:tab w:val="clear" w:pos="0"/>
        </w:tabs>
        <w:ind w:left="354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abstractNum>
  <w:abstractNum w:abstractNumId="188">
    <w:multiLevelType w:val="multilevel"/>
    <w:styleLink w:val="List 39"/>
    <w:lvl w:ilvl="0">
      <w:start w:val="0"/>
      <w:numFmt w:val="bullet"/>
      <w:suff w:val="tab"/>
      <w:lvlText w:val="•"/>
      <w:lvlJc w:val="left"/>
      <w:pPr>
        <w:tabs>
          <w:tab w:val="num" w:pos="567"/>
          <w:tab w:val="clear" w:pos="0"/>
        </w:tabs>
        <w:ind w:left="567" w:hanging="153"/>
      </w:pPr>
      <w:rPr>
        <w:rFonts w:ascii="Book Antiqua" w:cs="Book Antiqua" w:hAnsi="Book Antiqua" w:eastAsia="Book Antiqua"/>
        <w:caps w:val="0"/>
        <w:smallCaps w:val="0"/>
        <w:strike w:val="0"/>
        <w:dstrike w:val="0"/>
        <w:outline w:val="0"/>
        <w:color w:val="000000"/>
        <w:spacing w:val="0"/>
        <w:kern w:val="0"/>
        <w:position w:val="0"/>
        <w:sz w:val="24"/>
        <w:szCs w:val="24"/>
        <w:u w:val="none" w:color="404040"/>
        <w:vertAlign w:val="baseline"/>
        <w:lang w:val="it-IT"/>
      </w:rPr>
    </w:lvl>
    <w:lvl w:ilvl="1">
      <w:start w:val="1"/>
      <w:numFmt w:val="bullet"/>
      <w:suff w:val="tab"/>
      <w:lvlText w:val="◦"/>
      <w:lvlJc w:val="left"/>
      <w:pPr>
        <w:tabs>
          <w:tab w:val="num" w:pos="1020"/>
          <w:tab w:val="clear" w:pos="0"/>
        </w:tabs>
        <w:ind w:left="102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lvl w:ilvl="2">
      <w:start w:val="1"/>
      <w:numFmt w:val="bullet"/>
      <w:suff w:val="tab"/>
      <w:lvlText w:val="▪"/>
      <w:lvlJc w:val="left"/>
      <w:pPr>
        <w:tabs>
          <w:tab w:val="num" w:pos="1380"/>
          <w:tab w:val="clear" w:pos="0"/>
        </w:tabs>
        <w:ind w:left="138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lvl w:ilvl="3">
      <w:start w:val="1"/>
      <w:numFmt w:val="bullet"/>
      <w:suff w:val="tab"/>
      <w:lvlText w:val="•"/>
      <w:lvlJc w:val="left"/>
      <w:pPr>
        <w:tabs>
          <w:tab w:val="num" w:pos="1740"/>
          <w:tab w:val="clear" w:pos="0"/>
        </w:tabs>
        <w:ind w:left="174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lvl w:ilvl="4">
      <w:start w:val="1"/>
      <w:numFmt w:val="bullet"/>
      <w:suff w:val="tab"/>
      <w:lvlText w:val="◦"/>
      <w:lvlJc w:val="left"/>
      <w:pPr>
        <w:tabs>
          <w:tab w:val="num" w:pos="2100"/>
          <w:tab w:val="clear" w:pos="0"/>
        </w:tabs>
        <w:ind w:left="210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lvl w:ilvl="5">
      <w:start w:val="1"/>
      <w:numFmt w:val="bullet"/>
      <w:suff w:val="tab"/>
      <w:lvlText w:val="▪"/>
      <w:lvlJc w:val="left"/>
      <w:pPr>
        <w:tabs>
          <w:tab w:val="num" w:pos="2460"/>
          <w:tab w:val="clear" w:pos="0"/>
        </w:tabs>
        <w:ind w:left="246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lvl w:ilvl="6">
      <w:start w:val="1"/>
      <w:numFmt w:val="bullet"/>
      <w:suff w:val="tab"/>
      <w:lvlText w:val="•"/>
      <w:lvlJc w:val="left"/>
      <w:pPr>
        <w:tabs>
          <w:tab w:val="num" w:pos="2820"/>
          <w:tab w:val="clear" w:pos="0"/>
        </w:tabs>
        <w:ind w:left="282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lvl w:ilvl="7">
      <w:start w:val="1"/>
      <w:numFmt w:val="bullet"/>
      <w:suff w:val="tab"/>
      <w:lvlText w:val="◦"/>
      <w:lvlJc w:val="left"/>
      <w:pPr>
        <w:tabs>
          <w:tab w:val="num" w:pos="3180"/>
          <w:tab w:val="clear" w:pos="0"/>
        </w:tabs>
        <w:ind w:left="318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lvl w:ilvl="8">
      <w:start w:val="1"/>
      <w:numFmt w:val="bullet"/>
      <w:suff w:val="tab"/>
      <w:lvlText w:val="▪"/>
      <w:lvlJc w:val="left"/>
      <w:pPr>
        <w:tabs>
          <w:tab w:val="num" w:pos="3540"/>
          <w:tab w:val="clear" w:pos="0"/>
        </w:tabs>
        <w:ind w:left="354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abstractNum>
  <w:abstractNum w:abstractNumId="189">
    <w:multiLevelType w:val="multilevel"/>
    <w:styleLink w:val="List 39"/>
    <w:lvl w:ilvl="0">
      <w:start w:val="0"/>
      <w:numFmt w:val="bullet"/>
      <w:suff w:val="tab"/>
      <w:lvlText w:val="•"/>
      <w:lvlJc w:val="left"/>
      <w:pPr>
        <w:tabs>
          <w:tab w:val="num" w:pos="567"/>
          <w:tab w:val="clear" w:pos="0"/>
        </w:tabs>
        <w:ind w:left="567" w:hanging="153"/>
      </w:pPr>
      <w:rPr>
        <w:rFonts w:ascii="Book Antiqua" w:cs="Book Antiqua" w:hAnsi="Book Antiqua" w:eastAsia="Book Antiqua"/>
        <w:caps w:val="0"/>
        <w:smallCaps w:val="0"/>
        <w:strike w:val="0"/>
        <w:dstrike w:val="0"/>
        <w:outline w:val="0"/>
        <w:color w:val="000000"/>
        <w:spacing w:val="0"/>
        <w:kern w:val="0"/>
        <w:position w:val="0"/>
        <w:sz w:val="24"/>
        <w:szCs w:val="24"/>
        <w:u w:val="none" w:color="000000"/>
        <w:vertAlign w:val="baseline"/>
        <w:lang w:val="it-IT"/>
      </w:rPr>
    </w:lvl>
    <w:lvl w:ilvl="1">
      <w:start w:val="1"/>
      <w:numFmt w:val="bullet"/>
      <w:suff w:val="tab"/>
      <w:lvlText w:val="◦"/>
      <w:lvlJc w:val="left"/>
      <w:pPr>
        <w:tabs>
          <w:tab w:val="num" w:pos="1020"/>
          <w:tab w:val="clear" w:pos="0"/>
        </w:tabs>
        <w:ind w:left="102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lvl w:ilvl="2">
      <w:start w:val="1"/>
      <w:numFmt w:val="bullet"/>
      <w:suff w:val="tab"/>
      <w:lvlText w:val="▪"/>
      <w:lvlJc w:val="left"/>
      <w:pPr>
        <w:tabs>
          <w:tab w:val="num" w:pos="1380"/>
          <w:tab w:val="clear" w:pos="0"/>
        </w:tabs>
        <w:ind w:left="138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lvl w:ilvl="3">
      <w:start w:val="1"/>
      <w:numFmt w:val="bullet"/>
      <w:suff w:val="tab"/>
      <w:lvlText w:val="•"/>
      <w:lvlJc w:val="left"/>
      <w:pPr>
        <w:tabs>
          <w:tab w:val="num" w:pos="1740"/>
          <w:tab w:val="clear" w:pos="0"/>
        </w:tabs>
        <w:ind w:left="174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lvl w:ilvl="4">
      <w:start w:val="1"/>
      <w:numFmt w:val="bullet"/>
      <w:suff w:val="tab"/>
      <w:lvlText w:val="◦"/>
      <w:lvlJc w:val="left"/>
      <w:pPr>
        <w:tabs>
          <w:tab w:val="num" w:pos="2100"/>
          <w:tab w:val="clear" w:pos="0"/>
        </w:tabs>
        <w:ind w:left="210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lvl w:ilvl="5">
      <w:start w:val="1"/>
      <w:numFmt w:val="bullet"/>
      <w:suff w:val="tab"/>
      <w:lvlText w:val="▪"/>
      <w:lvlJc w:val="left"/>
      <w:pPr>
        <w:tabs>
          <w:tab w:val="num" w:pos="2460"/>
          <w:tab w:val="clear" w:pos="0"/>
        </w:tabs>
        <w:ind w:left="246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lvl w:ilvl="6">
      <w:start w:val="1"/>
      <w:numFmt w:val="bullet"/>
      <w:suff w:val="tab"/>
      <w:lvlText w:val="•"/>
      <w:lvlJc w:val="left"/>
      <w:pPr>
        <w:tabs>
          <w:tab w:val="num" w:pos="2820"/>
          <w:tab w:val="clear" w:pos="0"/>
        </w:tabs>
        <w:ind w:left="282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lvl w:ilvl="7">
      <w:start w:val="1"/>
      <w:numFmt w:val="bullet"/>
      <w:suff w:val="tab"/>
      <w:lvlText w:val="◦"/>
      <w:lvlJc w:val="left"/>
      <w:pPr>
        <w:tabs>
          <w:tab w:val="num" w:pos="3180"/>
          <w:tab w:val="clear" w:pos="0"/>
        </w:tabs>
        <w:ind w:left="318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lvl w:ilvl="8">
      <w:start w:val="1"/>
      <w:numFmt w:val="bullet"/>
      <w:suff w:val="tab"/>
      <w:lvlText w:val="▪"/>
      <w:lvlJc w:val="left"/>
      <w:pPr>
        <w:tabs>
          <w:tab w:val="num" w:pos="3540"/>
          <w:tab w:val="clear" w:pos="0"/>
        </w:tabs>
        <w:ind w:left="354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abstractNum>
  <w:abstractNum w:abstractNumId="190">
    <w:multiLevelType w:val="multilevel"/>
    <w:styleLink w:val="List 39"/>
    <w:lvl w:ilvl="0">
      <w:start w:val="0"/>
      <w:numFmt w:val="bullet"/>
      <w:suff w:val="tab"/>
      <w:lvlText w:val="•"/>
      <w:lvlJc w:val="left"/>
      <w:pPr>
        <w:tabs>
          <w:tab w:val="num" w:pos="567"/>
          <w:tab w:val="clear" w:pos="0"/>
        </w:tabs>
        <w:ind w:left="567" w:hanging="153"/>
      </w:pPr>
      <w:rPr>
        <w:rFonts w:ascii="Book Antiqua" w:cs="Book Antiqua" w:hAnsi="Book Antiqua" w:eastAsia="Book Antiqua"/>
        <w:caps w:val="0"/>
        <w:smallCaps w:val="0"/>
        <w:strike w:val="0"/>
        <w:dstrike w:val="0"/>
        <w:outline w:val="0"/>
        <w:color w:val="000000"/>
        <w:spacing w:val="0"/>
        <w:kern w:val="0"/>
        <w:position w:val="0"/>
        <w:sz w:val="24"/>
        <w:szCs w:val="24"/>
        <w:u w:val="none" w:color="000000"/>
        <w:vertAlign w:val="baseline"/>
        <w:lang w:val="it-IT"/>
      </w:rPr>
    </w:lvl>
    <w:lvl w:ilvl="1">
      <w:start w:val="1"/>
      <w:numFmt w:val="bullet"/>
      <w:suff w:val="tab"/>
      <w:lvlText w:val="◦"/>
      <w:lvlJc w:val="left"/>
      <w:pPr>
        <w:tabs>
          <w:tab w:val="num" w:pos="1020"/>
          <w:tab w:val="clear" w:pos="0"/>
        </w:tabs>
        <w:ind w:left="102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lvl w:ilvl="2">
      <w:start w:val="1"/>
      <w:numFmt w:val="bullet"/>
      <w:suff w:val="tab"/>
      <w:lvlText w:val="▪"/>
      <w:lvlJc w:val="left"/>
      <w:pPr>
        <w:tabs>
          <w:tab w:val="num" w:pos="1380"/>
          <w:tab w:val="clear" w:pos="0"/>
        </w:tabs>
        <w:ind w:left="138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lvl w:ilvl="3">
      <w:start w:val="1"/>
      <w:numFmt w:val="bullet"/>
      <w:suff w:val="tab"/>
      <w:lvlText w:val="•"/>
      <w:lvlJc w:val="left"/>
      <w:pPr>
        <w:tabs>
          <w:tab w:val="num" w:pos="1740"/>
          <w:tab w:val="clear" w:pos="0"/>
        </w:tabs>
        <w:ind w:left="174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lvl w:ilvl="4">
      <w:start w:val="1"/>
      <w:numFmt w:val="bullet"/>
      <w:suff w:val="tab"/>
      <w:lvlText w:val="◦"/>
      <w:lvlJc w:val="left"/>
      <w:pPr>
        <w:tabs>
          <w:tab w:val="num" w:pos="2100"/>
          <w:tab w:val="clear" w:pos="0"/>
        </w:tabs>
        <w:ind w:left="210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lvl w:ilvl="5">
      <w:start w:val="1"/>
      <w:numFmt w:val="bullet"/>
      <w:suff w:val="tab"/>
      <w:lvlText w:val="▪"/>
      <w:lvlJc w:val="left"/>
      <w:pPr>
        <w:tabs>
          <w:tab w:val="num" w:pos="2460"/>
          <w:tab w:val="clear" w:pos="0"/>
        </w:tabs>
        <w:ind w:left="246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lvl w:ilvl="6">
      <w:start w:val="1"/>
      <w:numFmt w:val="bullet"/>
      <w:suff w:val="tab"/>
      <w:lvlText w:val="•"/>
      <w:lvlJc w:val="left"/>
      <w:pPr>
        <w:tabs>
          <w:tab w:val="num" w:pos="2820"/>
          <w:tab w:val="clear" w:pos="0"/>
        </w:tabs>
        <w:ind w:left="282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lvl w:ilvl="7">
      <w:start w:val="1"/>
      <w:numFmt w:val="bullet"/>
      <w:suff w:val="tab"/>
      <w:lvlText w:val="◦"/>
      <w:lvlJc w:val="left"/>
      <w:pPr>
        <w:tabs>
          <w:tab w:val="num" w:pos="3180"/>
          <w:tab w:val="clear" w:pos="0"/>
        </w:tabs>
        <w:ind w:left="318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lvl w:ilvl="8">
      <w:start w:val="1"/>
      <w:numFmt w:val="bullet"/>
      <w:suff w:val="tab"/>
      <w:lvlText w:val="▪"/>
      <w:lvlJc w:val="left"/>
      <w:pPr>
        <w:tabs>
          <w:tab w:val="num" w:pos="3540"/>
          <w:tab w:val="clear" w:pos="0"/>
        </w:tabs>
        <w:ind w:left="354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abstractNum>
  <w:abstractNum w:abstractNumId="191">
    <w:multiLevelType w:val="multilevel"/>
    <w:styleLink w:val="List 39"/>
    <w:lvl w:ilvl="0">
      <w:start w:val="0"/>
      <w:numFmt w:val="bullet"/>
      <w:suff w:val="tab"/>
      <w:lvlText w:val="•"/>
      <w:lvlJc w:val="left"/>
      <w:pPr>
        <w:tabs>
          <w:tab w:val="num" w:pos="567"/>
          <w:tab w:val="clear" w:pos="0"/>
        </w:tabs>
        <w:ind w:left="567" w:hanging="153"/>
      </w:pPr>
      <w:rPr>
        <w:rFonts w:ascii="Book Antiqua" w:cs="Book Antiqua" w:hAnsi="Book Antiqua" w:eastAsia="Book Antiqua"/>
        <w:caps w:val="0"/>
        <w:smallCaps w:val="0"/>
        <w:strike w:val="0"/>
        <w:dstrike w:val="0"/>
        <w:outline w:val="0"/>
        <w:color w:val="000000"/>
        <w:spacing w:val="0"/>
        <w:kern w:val="0"/>
        <w:position w:val="0"/>
        <w:sz w:val="24"/>
        <w:szCs w:val="24"/>
        <w:u w:val="none" w:color="000000"/>
        <w:vertAlign w:val="baseline"/>
        <w:lang w:val="it-IT"/>
      </w:rPr>
    </w:lvl>
    <w:lvl w:ilvl="1">
      <w:start w:val="1"/>
      <w:numFmt w:val="bullet"/>
      <w:suff w:val="tab"/>
      <w:lvlText w:val="◦"/>
      <w:lvlJc w:val="left"/>
      <w:pPr>
        <w:tabs>
          <w:tab w:val="num" w:pos="1020"/>
          <w:tab w:val="clear" w:pos="0"/>
        </w:tabs>
        <w:ind w:left="102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lvl w:ilvl="2">
      <w:start w:val="1"/>
      <w:numFmt w:val="bullet"/>
      <w:suff w:val="tab"/>
      <w:lvlText w:val="▪"/>
      <w:lvlJc w:val="left"/>
      <w:pPr>
        <w:tabs>
          <w:tab w:val="num" w:pos="1380"/>
          <w:tab w:val="clear" w:pos="0"/>
        </w:tabs>
        <w:ind w:left="138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lvl w:ilvl="3">
      <w:start w:val="1"/>
      <w:numFmt w:val="bullet"/>
      <w:suff w:val="tab"/>
      <w:lvlText w:val="•"/>
      <w:lvlJc w:val="left"/>
      <w:pPr>
        <w:tabs>
          <w:tab w:val="num" w:pos="1740"/>
          <w:tab w:val="clear" w:pos="0"/>
        </w:tabs>
        <w:ind w:left="174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lvl w:ilvl="4">
      <w:start w:val="1"/>
      <w:numFmt w:val="bullet"/>
      <w:suff w:val="tab"/>
      <w:lvlText w:val="◦"/>
      <w:lvlJc w:val="left"/>
      <w:pPr>
        <w:tabs>
          <w:tab w:val="num" w:pos="2100"/>
          <w:tab w:val="clear" w:pos="0"/>
        </w:tabs>
        <w:ind w:left="210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lvl w:ilvl="5">
      <w:start w:val="1"/>
      <w:numFmt w:val="bullet"/>
      <w:suff w:val="tab"/>
      <w:lvlText w:val="▪"/>
      <w:lvlJc w:val="left"/>
      <w:pPr>
        <w:tabs>
          <w:tab w:val="num" w:pos="2460"/>
          <w:tab w:val="clear" w:pos="0"/>
        </w:tabs>
        <w:ind w:left="246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lvl w:ilvl="6">
      <w:start w:val="1"/>
      <w:numFmt w:val="bullet"/>
      <w:suff w:val="tab"/>
      <w:lvlText w:val="•"/>
      <w:lvlJc w:val="left"/>
      <w:pPr>
        <w:tabs>
          <w:tab w:val="num" w:pos="2820"/>
          <w:tab w:val="clear" w:pos="0"/>
        </w:tabs>
        <w:ind w:left="282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lvl w:ilvl="7">
      <w:start w:val="1"/>
      <w:numFmt w:val="bullet"/>
      <w:suff w:val="tab"/>
      <w:lvlText w:val="◦"/>
      <w:lvlJc w:val="left"/>
      <w:pPr>
        <w:tabs>
          <w:tab w:val="num" w:pos="3180"/>
          <w:tab w:val="clear" w:pos="0"/>
        </w:tabs>
        <w:ind w:left="318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lvl w:ilvl="8">
      <w:start w:val="1"/>
      <w:numFmt w:val="bullet"/>
      <w:suff w:val="tab"/>
      <w:lvlText w:val="▪"/>
      <w:lvlJc w:val="left"/>
      <w:pPr>
        <w:tabs>
          <w:tab w:val="num" w:pos="3540"/>
          <w:tab w:val="clear" w:pos="0"/>
        </w:tabs>
        <w:ind w:left="354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abstractNum>
  <w:abstractNum w:abstractNumId="192">
    <w:multiLevelType w:val="multilevel"/>
    <w:styleLink w:val="List 39"/>
    <w:lvl w:ilvl="0">
      <w:start w:val="0"/>
      <w:numFmt w:val="bullet"/>
      <w:suff w:val="tab"/>
      <w:lvlText w:val="•"/>
      <w:lvlJc w:val="left"/>
      <w:pPr>
        <w:tabs>
          <w:tab w:val="num" w:pos="567"/>
          <w:tab w:val="clear" w:pos="0"/>
        </w:tabs>
        <w:ind w:left="567" w:hanging="153"/>
      </w:pPr>
      <w:rPr>
        <w:rFonts w:ascii="Book Antiqua" w:cs="Book Antiqua" w:hAnsi="Book Antiqua" w:eastAsia="Book Antiqua"/>
        <w:caps w:val="0"/>
        <w:smallCaps w:val="0"/>
        <w:strike w:val="0"/>
        <w:dstrike w:val="0"/>
        <w:outline w:val="0"/>
        <w:color w:val="000000"/>
        <w:spacing w:val="0"/>
        <w:kern w:val="0"/>
        <w:position w:val="0"/>
        <w:sz w:val="24"/>
        <w:szCs w:val="24"/>
        <w:u w:val="none" w:color="000000"/>
        <w:vertAlign w:val="baseline"/>
        <w:lang w:val="it-IT"/>
      </w:rPr>
    </w:lvl>
    <w:lvl w:ilvl="1">
      <w:start w:val="1"/>
      <w:numFmt w:val="bullet"/>
      <w:suff w:val="tab"/>
      <w:lvlText w:val="◦"/>
      <w:lvlJc w:val="left"/>
      <w:pPr>
        <w:tabs>
          <w:tab w:val="num" w:pos="1020"/>
          <w:tab w:val="clear" w:pos="0"/>
        </w:tabs>
        <w:ind w:left="102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lvl w:ilvl="2">
      <w:start w:val="1"/>
      <w:numFmt w:val="bullet"/>
      <w:suff w:val="tab"/>
      <w:lvlText w:val="▪"/>
      <w:lvlJc w:val="left"/>
      <w:pPr>
        <w:tabs>
          <w:tab w:val="num" w:pos="1380"/>
          <w:tab w:val="clear" w:pos="0"/>
        </w:tabs>
        <w:ind w:left="138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lvl w:ilvl="3">
      <w:start w:val="1"/>
      <w:numFmt w:val="bullet"/>
      <w:suff w:val="tab"/>
      <w:lvlText w:val="•"/>
      <w:lvlJc w:val="left"/>
      <w:pPr>
        <w:tabs>
          <w:tab w:val="num" w:pos="1740"/>
          <w:tab w:val="clear" w:pos="0"/>
        </w:tabs>
        <w:ind w:left="174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lvl w:ilvl="4">
      <w:start w:val="1"/>
      <w:numFmt w:val="bullet"/>
      <w:suff w:val="tab"/>
      <w:lvlText w:val="◦"/>
      <w:lvlJc w:val="left"/>
      <w:pPr>
        <w:tabs>
          <w:tab w:val="num" w:pos="2100"/>
          <w:tab w:val="clear" w:pos="0"/>
        </w:tabs>
        <w:ind w:left="210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lvl w:ilvl="5">
      <w:start w:val="1"/>
      <w:numFmt w:val="bullet"/>
      <w:suff w:val="tab"/>
      <w:lvlText w:val="▪"/>
      <w:lvlJc w:val="left"/>
      <w:pPr>
        <w:tabs>
          <w:tab w:val="num" w:pos="2460"/>
          <w:tab w:val="clear" w:pos="0"/>
        </w:tabs>
        <w:ind w:left="246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lvl w:ilvl="6">
      <w:start w:val="1"/>
      <w:numFmt w:val="bullet"/>
      <w:suff w:val="tab"/>
      <w:lvlText w:val="•"/>
      <w:lvlJc w:val="left"/>
      <w:pPr>
        <w:tabs>
          <w:tab w:val="num" w:pos="2820"/>
          <w:tab w:val="clear" w:pos="0"/>
        </w:tabs>
        <w:ind w:left="282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lvl w:ilvl="7">
      <w:start w:val="1"/>
      <w:numFmt w:val="bullet"/>
      <w:suff w:val="tab"/>
      <w:lvlText w:val="◦"/>
      <w:lvlJc w:val="left"/>
      <w:pPr>
        <w:tabs>
          <w:tab w:val="num" w:pos="3180"/>
          <w:tab w:val="clear" w:pos="0"/>
        </w:tabs>
        <w:ind w:left="318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lvl w:ilvl="8">
      <w:start w:val="1"/>
      <w:numFmt w:val="bullet"/>
      <w:suff w:val="tab"/>
      <w:lvlText w:val="▪"/>
      <w:lvlJc w:val="left"/>
      <w:pPr>
        <w:tabs>
          <w:tab w:val="num" w:pos="3540"/>
          <w:tab w:val="clear" w:pos="0"/>
        </w:tabs>
        <w:ind w:left="3540" w:hanging="300"/>
      </w:pPr>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1"/>
  </w:num>
  <w:num w:numId="13">
    <w:abstractNumId w:val="12"/>
  </w:num>
  <w:num w:numId="14">
    <w:abstractNumId w:val="13"/>
  </w:num>
  <w:num w:numId="15">
    <w:abstractNumId w:val="14"/>
  </w:num>
  <w:num w:numId="16">
    <w:abstractNumId w:val="15"/>
  </w:num>
  <w:num w:numId="17">
    <w:abstractNumId w:val="16"/>
  </w:num>
  <w:num w:numId="18">
    <w:abstractNumId w:val="17"/>
  </w:num>
  <w:num w:numId="19">
    <w:abstractNumId w:val="18"/>
  </w:num>
  <w:num w:numId="20">
    <w:abstractNumId w:val="19"/>
  </w:num>
  <w:num w:numId="21">
    <w:abstractNumId w:val="20"/>
  </w:num>
  <w:num w:numId="22">
    <w:abstractNumId w:val="21"/>
  </w:num>
  <w:num w:numId="23">
    <w:abstractNumId w:val="22"/>
  </w:num>
  <w:num w:numId="24">
    <w:abstractNumId w:val="23"/>
  </w:num>
  <w:num w:numId="25">
    <w:abstractNumId w:val="24"/>
  </w:num>
  <w:num w:numId="26">
    <w:abstractNumId w:val="25"/>
  </w:num>
  <w:num w:numId="27">
    <w:abstractNumId w:val="26"/>
  </w:num>
  <w:num w:numId="28">
    <w:abstractNumId w:val="27"/>
  </w:num>
  <w:num w:numId="29">
    <w:abstractNumId w:val="28"/>
  </w:num>
  <w:num w:numId="30">
    <w:abstractNumId w:val="29"/>
  </w:num>
  <w:num w:numId="31">
    <w:abstractNumId w:val="30"/>
  </w:num>
  <w:num w:numId="32">
    <w:abstractNumId w:val="31"/>
  </w:num>
  <w:num w:numId="33">
    <w:abstractNumId w:val="32"/>
  </w:num>
  <w:num w:numId="34">
    <w:abstractNumId w:val="33"/>
  </w:num>
  <w:num w:numId="35">
    <w:abstractNumId w:val="34"/>
  </w:num>
  <w:num w:numId="36">
    <w:abstractNumId w:val="35"/>
  </w:num>
  <w:num w:numId="37">
    <w:abstractNumId w:val="36"/>
  </w:num>
  <w:num w:numId="38">
    <w:abstractNumId w:val="37"/>
  </w:num>
  <w:num w:numId="39">
    <w:abstractNumId w:val="38"/>
  </w:num>
  <w:num w:numId="40">
    <w:abstractNumId w:val="39"/>
  </w:num>
  <w:num w:numId="41">
    <w:abstractNumId w:val="40"/>
  </w:num>
  <w:num w:numId="42">
    <w:abstractNumId w:val="41"/>
  </w:num>
  <w:num w:numId="43">
    <w:abstractNumId w:val="42"/>
  </w:num>
  <w:num w:numId="44">
    <w:abstractNumId w:val="43"/>
  </w:num>
  <w:num w:numId="45">
    <w:abstractNumId w:val="44"/>
  </w:num>
  <w:num w:numId="46">
    <w:abstractNumId w:val="45"/>
  </w:num>
  <w:num w:numId="47">
    <w:abstractNumId w:val="46"/>
  </w:num>
  <w:num w:numId="48">
    <w:abstractNumId w:val="47"/>
  </w:num>
  <w:num w:numId="49">
    <w:abstractNumId w:val="48"/>
  </w:num>
  <w:num w:numId="50">
    <w:abstractNumId w:val="49"/>
  </w:num>
  <w:num w:numId="51">
    <w:abstractNumId w:val="50"/>
  </w:num>
  <w:num w:numId="52">
    <w:abstractNumId w:val="51"/>
  </w:num>
  <w:num w:numId="53">
    <w:abstractNumId w:val="52"/>
  </w:num>
  <w:num w:numId="54">
    <w:abstractNumId w:val="53"/>
  </w:num>
  <w:num w:numId="55">
    <w:abstractNumId w:val="54"/>
  </w:num>
  <w:num w:numId="56">
    <w:abstractNumId w:val="55"/>
  </w:num>
  <w:num w:numId="57">
    <w:abstractNumId w:val="56"/>
  </w:num>
  <w:num w:numId="58">
    <w:abstractNumId w:val="57"/>
  </w:num>
  <w:num w:numId="59">
    <w:abstractNumId w:val="58"/>
  </w:num>
  <w:num w:numId="60">
    <w:abstractNumId w:val="59"/>
  </w:num>
  <w:num w:numId="61">
    <w:abstractNumId w:val="60"/>
  </w:num>
  <w:num w:numId="62">
    <w:abstractNumId w:val="61"/>
  </w:num>
  <w:num w:numId="63">
    <w:abstractNumId w:val="62"/>
  </w:num>
  <w:num w:numId="64">
    <w:abstractNumId w:val="63"/>
  </w:num>
  <w:num w:numId="65">
    <w:abstractNumId w:val="64"/>
  </w:num>
  <w:num w:numId="66">
    <w:abstractNumId w:val="65"/>
  </w:num>
  <w:num w:numId="67">
    <w:abstractNumId w:val="66"/>
  </w:num>
  <w:num w:numId="68">
    <w:abstractNumId w:val="67"/>
  </w:num>
  <w:num w:numId="69">
    <w:abstractNumId w:val="68"/>
  </w:num>
  <w:num w:numId="70">
    <w:abstractNumId w:val="69"/>
  </w:num>
  <w:num w:numId="71">
    <w:abstractNumId w:val="70"/>
  </w:num>
  <w:num w:numId="72">
    <w:abstractNumId w:val="71"/>
  </w:num>
  <w:num w:numId="73">
    <w:abstractNumId w:val="72"/>
  </w:num>
  <w:num w:numId="74">
    <w:abstractNumId w:val="73"/>
  </w:num>
  <w:num w:numId="75">
    <w:abstractNumId w:val="74"/>
  </w:num>
  <w:num w:numId="76">
    <w:abstractNumId w:val="75"/>
  </w:num>
  <w:num w:numId="77">
    <w:abstractNumId w:val="76"/>
  </w:num>
  <w:num w:numId="78">
    <w:abstractNumId w:val="77"/>
  </w:num>
  <w:num w:numId="79">
    <w:abstractNumId w:val="78"/>
  </w:num>
  <w:num w:numId="80">
    <w:abstractNumId w:val="79"/>
  </w:num>
  <w:num w:numId="81">
    <w:abstractNumId w:val="80"/>
  </w:num>
  <w:num w:numId="82">
    <w:abstractNumId w:val="81"/>
  </w:num>
  <w:num w:numId="83">
    <w:abstractNumId w:val="82"/>
  </w:num>
  <w:num w:numId="84">
    <w:abstractNumId w:val="83"/>
  </w:num>
  <w:num w:numId="85">
    <w:abstractNumId w:val="84"/>
  </w:num>
  <w:num w:numId="86">
    <w:abstractNumId w:val="85"/>
  </w:num>
  <w:num w:numId="87">
    <w:abstractNumId w:val="86"/>
  </w:num>
  <w:num w:numId="88">
    <w:abstractNumId w:val="87"/>
  </w:num>
  <w:num w:numId="89">
    <w:abstractNumId w:val="88"/>
  </w:num>
  <w:num w:numId="90">
    <w:abstractNumId w:val="89"/>
  </w:num>
  <w:num w:numId="91">
    <w:abstractNumId w:val="90"/>
  </w:num>
  <w:num w:numId="92">
    <w:abstractNumId w:val="91"/>
  </w:num>
  <w:num w:numId="93">
    <w:abstractNumId w:val="92"/>
  </w:num>
  <w:num w:numId="94">
    <w:abstractNumId w:val="93"/>
  </w:num>
  <w:num w:numId="95">
    <w:abstractNumId w:val="94"/>
  </w:num>
  <w:num w:numId="96">
    <w:abstractNumId w:val="95"/>
  </w:num>
  <w:num w:numId="97">
    <w:abstractNumId w:val="96"/>
  </w:num>
  <w:num w:numId="98">
    <w:abstractNumId w:val="97"/>
  </w:num>
  <w:num w:numId="99">
    <w:abstractNumId w:val="98"/>
  </w:num>
  <w:num w:numId="100">
    <w:abstractNumId w:val="99"/>
  </w:num>
  <w:num w:numId="101">
    <w:abstractNumId w:val="100"/>
  </w:num>
  <w:num w:numId="102">
    <w:abstractNumId w:val="101"/>
  </w:num>
  <w:num w:numId="103">
    <w:abstractNumId w:val="102"/>
  </w:num>
  <w:num w:numId="104">
    <w:abstractNumId w:val="103"/>
  </w:num>
  <w:num w:numId="105">
    <w:abstractNumId w:val="104"/>
  </w:num>
  <w:num w:numId="106">
    <w:abstractNumId w:val="105"/>
  </w:num>
  <w:num w:numId="107">
    <w:abstractNumId w:val="106"/>
  </w:num>
  <w:num w:numId="108">
    <w:abstractNumId w:val="107"/>
  </w:num>
  <w:num w:numId="109">
    <w:abstractNumId w:val="108"/>
  </w:num>
  <w:num w:numId="110">
    <w:abstractNumId w:val="109"/>
  </w:num>
  <w:num w:numId="111">
    <w:abstractNumId w:val="110"/>
  </w:num>
  <w:num w:numId="112">
    <w:abstractNumId w:val="111"/>
  </w:num>
  <w:num w:numId="113">
    <w:abstractNumId w:val="112"/>
  </w:num>
  <w:num w:numId="114">
    <w:abstractNumId w:val="113"/>
  </w:num>
  <w:num w:numId="115">
    <w:abstractNumId w:val="114"/>
  </w:num>
  <w:num w:numId="116">
    <w:abstractNumId w:val="115"/>
  </w:num>
  <w:num w:numId="117">
    <w:abstractNumId w:val="116"/>
  </w:num>
  <w:num w:numId="118">
    <w:abstractNumId w:val="117"/>
  </w:num>
  <w:num w:numId="119">
    <w:abstractNumId w:val="118"/>
  </w:num>
  <w:num w:numId="120">
    <w:abstractNumId w:val="119"/>
  </w:num>
  <w:num w:numId="121">
    <w:abstractNumId w:val="120"/>
  </w:num>
  <w:num w:numId="122">
    <w:abstractNumId w:val="121"/>
  </w:num>
  <w:num w:numId="123">
    <w:abstractNumId w:val="122"/>
  </w:num>
  <w:num w:numId="124">
    <w:abstractNumId w:val="123"/>
  </w:num>
  <w:num w:numId="125">
    <w:abstractNumId w:val="124"/>
  </w:num>
  <w:num w:numId="126">
    <w:abstractNumId w:val="125"/>
  </w:num>
  <w:num w:numId="127">
    <w:abstractNumId w:val="126"/>
  </w:num>
  <w:num w:numId="128">
    <w:abstractNumId w:val="127"/>
  </w:num>
  <w:num w:numId="129">
    <w:abstractNumId w:val="128"/>
  </w:num>
  <w:num w:numId="130">
    <w:abstractNumId w:val="129"/>
  </w:num>
  <w:num w:numId="131">
    <w:abstractNumId w:val="130"/>
  </w:num>
  <w:num w:numId="132">
    <w:abstractNumId w:val="131"/>
  </w:num>
  <w:num w:numId="133">
    <w:abstractNumId w:val="132"/>
  </w:num>
  <w:num w:numId="134">
    <w:abstractNumId w:val="133"/>
  </w:num>
  <w:num w:numId="135">
    <w:abstractNumId w:val="134"/>
  </w:num>
  <w:num w:numId="136">
    <w:abstractNumId w:val="135"/>
  </w:num>
  <w:num w:numId="137">
    <w:abstractNumId w:val="136"/>
  </w:num>
  <w:num w:numId="138">
    <w:abstractNumId w:val="137"/>
  </w:num>
  <w:num w:numId="139">
    <w:abstractNumId w:val="138"/>
  </w:num>
  <w:num w:numId="140">
    <w:abstractNumId w:val="139"/>
  </w:num>
  <w:num w:numId="141">
    <w:abstractNumId w:val="140"/>
  </w:num>
  <w:num w:numId="142">
    <w:abstractNumId w:val="141"/>
  </w:num>
  <w:num w:numId="143">
    <w:abstractNumId w:val="142"/>
  </w:num>
  <w:num w:numId="144">
    <w:abstractNumId w:val="143"/>
  </w:num>
  <w:num w:numId="145">
    <w:abstractNumId w:val="144"/>
  </w:num>
  <w:num w:numId="146">
    <w:abstractNumId w:val="145"/>
  </w:num>
  <w:num w:numId="147">
    <w:abstractNumId w:val="146"/>
  </w:num>
  <w:num w:numId="148">
    <w:abstractNumId w:val="147"/>
  </w:num>
  <w:num w:numId="149">
    <w:abstractNumId w:val="148"/>
  </w:num>
  <w:num w:numId="150">
    <w:abstractNumId w:val="149"/>
  </w:num>
  <w:num w:numId="151">
    <w:abstractNumId w:val="150"/>
  </w:num>
  <w:num w:numId="152">
    <w:abstractNumId w:val="151"/>
  </w:num>
  <w:num w:numId="153">
    <w:abstractNumId w:val="152"/>
  </w:num>
  <w:num w:numId="154">
    <w:abstractNumId w:val="153"/>
  </w:num>
  <w:num w:numId="155">
    <w:abstractNumId w:val="154"/>
  </w:num>
  <w:num w:numId="156">
    <w:abstractNumId w:val="155"/>
  </w:num>
  <w:num w:numId="157">
    <w:abstractNumId w:val="156"/>
  </w:num>
  <w:num w:numId="158">
    <w:abstractNumId w:val="157"/>
  </w:num>
  <w:num w:numId="159">
    <w:abstractNumId w:val="158"/>
  </w:num>
  <w:num w:numId="160">
    <w:abstractNumId w:val="159"/>
  </w:num>
  <w:num w:numId="161">
    <w:abstractNumId w:val="160"/>
  </w:num>
  <w:num w:numId="162">
    <w:abstractNumId w:val="161"/>
  </w:num>
  <w:num w:numId="163">
    <w:abstractNumId w:val="162"/>
  </w:num>
  <w:num w:numId="164">
    <w:abstractNumId w:val="163"/>
  </w:num>
  <w:num w:numId="165">
    <w:abstractNumId w:val="164"/>
  </w:num>
  <w:num w:numId="166">
    <w:abstractNumId w:val="165"/>
  </w:num>
  <w:num w:numId="167">
    <w:abstractNumId w:val="166"/>
  </w:num>
  <w:num w:numId="168">
    <w:abstractNumId w:val="167"/>
  </w:num>
  <w:num w:numId="169">
    <w:abstractNumId w:val="168"/>
  </w:num>
  <w:num w:numId="170">
    <w:abstractNumId w:val="169"/>
  </w:num>
  <w:num w:numId="171">
    <w:abstractNumId w:val="170"/>
  </w:num>
  <w:num w:numId="172">
    <w:abstractNumId w:val="171"/>
  </w:num>
  <w:num w:numId="173">
    <w:abstractNumId w:val="172"/>
  </w:num>
  <w:num w:numId="174">
    <w:abstractNumId w:val="173"/>
  </w:num>
  <w:num w:numId="175">
    <w:abstractNumId w:val="174"/>
  </w:num>
  <w:num w:numId="176">
    <w:abstractNumId w:val="175"/>
  </w:num>
  <w:num w:numId="177">
    <w:abstractNumId w:val="176"/>
  </w:num>
  <w:num w:numId="178">
    <w:abstractNumId w:val="177"/>
  </w:num>
  <w:num w:numId="179">
    <w:abstractNumId w:val="178"/>
  </w:num>
  <w:num w:numId="180">
    <w:abstractNumId w:val="179"/>
  </w:num>
  <w:num w:numId="181">
    <w:abstractNumId w:val="180"/>
  </w:num>
  <w:num w:numId="182">
    <w:abstractNumId w:val="181"/>
  </w:num>
  <w:num w:numId="183">
    <w:abstractNumId w:val="182"/>
  </w:num>
  <w:num w:numId="184">
    <w:abstractNumId w:val="183"/>
  </w:num>
  <w:num w:numId="185">
    <w:abstractNumId w:val="184"/>
  </w:num>
  <w:num w:numId="186">
    <w:abstractNumId w:val="185"/>
  </w:num>
  <w:num w:numId="187">
    <w:abstractNumId w:val="186"/>
  </w:num>
  <w:num w:numId="188">
    <w:abstractNumId w:val="187"/>
  </w:num>
  <w:num w:numId="189">
    <w:abstractNumId w:val="188"/>
  </w:num>
  <w:num w:numId="190">
    <w:abstractNumId w:val="189"/>
  </w:num>
  <w:num w:numId="191">
    <w:abstractNumId w:val="190"/>
  </w:num>
  <w:num w:numId="192">
    <w:abstractNumId w:val="191"/>
  </w:num>
  <w:num w:numId="193">
    <w:abstractNumId w:val="192"/>
  </w:num>
</w:numbering>
</file>

<file path=word/settings.xml><?xml version="1.0" encoding="utf-8"?>
<w:settings xmlns:w="http://schemas.openxmlformats.org/wordprocessingml/2006/main">
  <w:view w:val="print"/>
  <w:mirrorMargins w:val="0"/>
  <w:bordersDoNotSurroundHeader w:val="0"/>
  <w:bordersDoNotSurroundFooter w:val="0"/>
  <w:revisionView w:markup="1" w:comments="1" w:insDel="1" w:formatting="0"/>
  <w:defaultTabStop w:val="708"/>
  <w:autoHyphenation w:val="0"/>
  <w:evenAndOddHeaders w:val="0"/>
  <w:bookFoldPrinting w:val="0"/>
  <w:noLineBreaksAfter w:lang="" w:val="‘“(〔[{〈《「『【⦅〘〖«〝︵︷︹︻︽︿﹁﹃﹇﹙﹛﹝｢"/>
  <w:noLineBreaksBefore w:lang="" w:val="’”)〕]}〉"/>
  <w:footnotePr>
    <w:numFmt w:val="decimal"/>
    <w:numStart w:val="1"/>
    <w:numRestart w:val="continuous"/>
    <w:footnote w:id="-1"/>
    <w:footnote w:id="0"/>
    <w:footnote w:id="-2"/>
  </w:footnotePr>
  <w:compat>
    <w:compatSetting w:name="compatibilityMode" w:uri="http://schemas.microsoft.com/office/word" w:val="15"/>
  </w:compat>
</w:settings>
</file>

<file path=word/styles.xml><?xml version="1.0" encoding="utf-8"?>
<w:styles xmlns:w="http://schemas.openxmlformats.org/wordprocessingml/2006/main" xmlns:mc="http://schemas.openxmlformats.org/markup-compatibility/2006" xmlns:w14="http://schemas.microsoft.com/office/word/2010/wordml" mc:Ignorable="w14">
  <w:docDefaults>
    <w:rPrDefault>
      <w:rPr>
        <w:rFonts w:ascii="Times New Roman" w:cs="Times New Roman" w:hAnsi="Times New Roman" w:eastAsia="Arial Unicode MS"/>
        <w:b w:val="0"/>
        <w:bCs w:val="0"/>
        <w:i w:val="0"/>
        <w:iCs w:val="0"/>
        <w:caps w:val="0"/>
        <w:smallCaps w:val="0"/>
        <w:strike w:val="0"/>
        <w:dstrike w:val="0"/>
        <w:outline w:val="0"/>
        <w:emboss w:val="0"/>
        <w:imprint w:val="0"/>
        <w:vanish w:val="0"/>
        <w:color w:val="auto"/>
        <w:spacing w:val="0"/>
        <w:w w:val="100"/>
        <w:kern w:val="0"/>
        <w:position w:val="0"/>
        <w:sz w:val="20"/>
        <w:szCs w:val="20"/>
        <w:u w:val="none" w:color="auto"/>
        <w:bdr w:val="nil"/>
        <w:vertAlign w:val="baseline"/>
        <w:lang/>
      </w:rPr>
    </w:rPrDefault>
    <w:pPrDefault>
      <w:pPr>
        <w:pageBreakBefore w:val="0"/>
        <w:framePr w:anchorLock="0" w:w="0" w:h="0" w:vSpace="0" w:hSpace="0" w:xAlign="left" w:y="0" w:hRule="exact" w:vAnchor="margin"/>
        <w:widowControl w:val="1"/>
        <w:numPr>
          <w:ilvl w:val="0"/>
          <w:numId w:val="0"/>
        </w:numPr>
        <w:suppressLineNumbers w:val="0"/>
        <w:pBdr>
          <w:top w:val="nil"/>
          <w:left w:val="nil"/>
          <w:bottom w:val="nil"/>
          <w:right w:val="nil"/>
          <w:between w:val="nil"/>
          <w:bar w:val="nil"/>
        </w:pBdr>
        <w:suppressAutoHyphens w:val="0"/>
        <w:spacing w:before="0" w:beforeAutospacing="0" w:after="0" w:afterAutospacing="0" w:line="240" w:lineRule="auto"/>
        <w:ind w:left="0" w:right="0" w:firstLine="0"/>
        <w:jc w:val="left"/>
        <w:outlineLvl w:val="9"/>
      </w:pPr>
    </w:pPrDefault>
  </w:docDefaults>
  <w:style w:type="paragraph" w:default="1" w:styleId="Normal">
    <w:name w:val="Normal"/>
    <w:next w:val="Normal"/>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Times New Roman" w:cs="Arial Unicode MS" w:hAnsi="Arial Unicode MS" w:eastAsia="Arial Unicode MS"/>
      <w:b w:val="0"/>
      <w:bCs w:val="0"/>
      <w:i w:val="0"/>
      <w:iCs w:val="0"/>
      <w:caps w:val="0"/>
      <w:smallCaps w:val="0"/>
      <w:strike w:val="0"/>
      <w:dstrike w:val="0"/>
      <w:outline w:val="0"/>
      <w:color w:val="000000"/>
      <w:spacing w:val="0"/>
      <w:kern w:val="0"/>
      <w:position w:val="0"/>
      <w:sz w:val="24"/>
      <w:szCs w:val="24"/>
      <w:u w:val="none" w:color="000000"/>
      <w:vertAlign w:val="baseline"/>
      <w:lang w:val="it-IT" w:eastAsia="en-US" w:bidi="ar-SA"/>
    </w:rPr>
  </w:style>
  <w:style w:type="character" w:default="1" w:styleId="Default Paragraph Font">
    <w:name w:val="Default Paragraph Font"/>
    <w:next w:val="Default Paragraph Font"/>
  </w:style>
  <w:style w:type="character" w:styleId="Hyperlink">
    <w:name w:val="Hyperlink"/>
    <w:rPr>
      <w:u w:val="single"/>
    </w:rPr>
  </w:style>
  <w:style w:type="table" w:default="1" w:styleId="Table Normal">
    <w:name w:val="Table Normal"/>
    <w:next w:val="Table Normal"/>
    <w:pPr/>
    <w:tblPr>
      <w:tblInd w:w="0" w:type="dxa"/>
    </w:tblPr>
    <w:trPr/>
    <w:tcPr/>
    <w:tblStylePr w:type="firstRow"/>
    <w:tblStylePr w:type="lastRow"/>
    <w:tblStylePr w:type="firstCol"/>
    <w:tblStylePr w:type="lastCol"/>
    <w:tblStylePr w:type="band1Vert"/>
    <w:tblStylePr w:type="band2Vert"/>
    <w:tblStylePr w:type="band1Horz"/>
    <w:tblStylePr w:type="band2Horz"/>
    <w:tblStylePr w:type="neCell"/>
    <w:tblStylePr w:type="nwCell"/>
    <w:tblStylePr w:type="seCell"/>
    <w:tblStylePr w:type="swCell"/>
  </w:style>
  <w:style w:type="numbering" w:default="1" w:styleId="No List">
    <w:name w:val="No List"/>
    <w:next w:val="No List"/>
    <w:pPr/>
  </w:style>
  <w:style w:type="paragraph" w:styleId="Intestazione e piè di pagina">
    <w:name w:val="Intestazione e piè di pagina"/>
    <w:next w:val="Intestazione e piè di pagina"/>
    <w:pPr>
      <w:keepNext w:val="0"/>
      <w:keepLines w:val="0"/>
      <w:pageBreakBefore w:val="0"/>
      <w:widowControl w:val="1"/>
      <w:shd w:val="clear" w:color="auto" w:fill="auto"/>
      <w:tabs>
        <w:tab w:val="right" w:pos="9020"/>
      </w:tabs>
      <w:suppressAutoHyphens w:val="0"/>
      <w:bidi w:val="0"/>
      <w:spacing w:before="0" w:after="0" w:line="240" w:lineRule="auto"/>
      <w:ind w:left="0" w:right="0" w:firstLine="0"/>
      <w:jc w:val="left"/>
      <w:outlineLvl w:val="9"/>
    </w:pPr>
    <w:rPr>
      <w:rFonts w:ascii="Helvetica" w:cs="Arial Unicode MS" w:hAnsi="Arial Unicode MS" w:eastAsia="Arial Unicode MS"/>
      <w:b w:val="0"/>
      <w:bCs w:val="0"/>
      <w:i w:val="0"/>
      <w:iCs w:val="0"/>
      <w:caps w:val="0"/>
      <w:smallCaps w:val="0"/>
      <w:strike w:val="0"/>
      <w:dstrike w:val="0"/>
      <w:outline w:val="0"/>
      <w:color w:val="000000"/>
      <w:spacing w:val="0"/>
      <w:kern w:val="0"/>
      <w:position w:val="0"/>
      <w:sz w:val="24"/>
      <w:szCs w:val="24"/>
      <w:u w:val="none"/>
      <w:vertAlign w:val="baseline"/>
    </w:rPr>
  </w:style>
  <w:style w:type="paragraph" w:styleId="footer">
    <w:name w:val="footer"/>
    <w:next w:val="footer"/>
    <w:pPr>
      <w:keepNext w:val="0"/>
      <w:keepLines w:val="0"/>
      <w:pageBreakBefore w:val="0"/>
      <w:widowControl w:val="1"/>
      <w:shd w:val="clear" w:color="auto" w:fill="auto"/>
      <w:tabs>
        <w:tab w:val="center" w:pos="4819"/>
        <w:tab w:val="right" w:pos="9638"/>
      </w:tabs>
      <w:suppressAutoHyphens w:val="0"/>
      <w:bidi w:val="0"/>
      <w:spacing w:before="0" w:after="0" w:line="240" w:lineRule="auto"/>
      <w:ind w:left="0" w:right="0" w:firstLine="0"/>
      <w:jc w:val="left"/>
      <w:outlineLvl w:val="9"/>
    </w:pPr>
    <w:rPr>
      <w:rFonts w:ascii="Times New Roman" w:cs="Arial Unicode MS" w:hAnsi="Arial Unicode MS" w:eastAsia="Arial Unicode MS"/>
      <w:b w:val="0"/>
      <w:bCs w:val="0"/>
      <w:i w:val="0"/>
      <w:iCs w:val="0"/>
      <w:caps w:val="0"/>
      <w:smallCaps w:val="0"/>
      <w:strike w:val="0"/>
      <w:dstrike w:val="0"/>
      <w:outline w:val="0"/>
      <w:color w:val="000000"/>
      <w:spacing w:val="0"/>
      <w:kern w:val="0"/>
      <w:position w:val="0"/>
      <w:sz w:val="24"/>
      <w:szCs w:val="24"/>
      <w:u w:val="none" w:color="000000"/>
      <w:vertAlign w:val="baseline"/>
      <w:lang w:val="it-IT"/>
    </w:rPr>
  </w:style>
  <w:style w:type="paragraph" w:styleId="Corpo">
    <w:name w:val="Corpo"/>
    <w:next w:val="Corpo"/>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Helvetica" w:cs="Helvetica" w:hAnsi="Helvetica" w:eastAsia="Helvetica"/>
      <w:b w:val="0"/>
      <w:bCs w:val="0"/>
      <w:i w:val="0"/>
      <w:iCs w:val="0"/>
      <w:caps w:val="0"/>
      <w:smallCaps w:val="0"/>
      <w:strike w:val="0"/>
      <w:dstrike w:val="0"/>
      <w:outline w:val="0"/>
      <w:color w:val="000000"/>
      <w:spacing w:val="0"/>
      <w:kern w:val="0"/>
      <w:position w:val="0"/>
      <w:sz w:val="22"/>
      <w:szCs w:val="22"/>
      <w:u w:val="none"/>
      <w:vertAlign w:val="baseline"/>
    </w:rPr>
  </w:style>
  <w:style w:type="numbering" w:styleId="List 0">
    <w:name w:val="List 0"/>
    <w:basedOn w:val="Stile importato 2"/>
    <w:next w:val="List 0"/>
    <w:pPr>
      <w:numPr>
        <w:numId w:val="1"/>
      </w:numPr>
    </w:pPr>
  </w:style>
  <w:style w:type="numbering" w:styleId="Stile importato 2">
    <w:name w:val="Stile importato 2"/>
    <w:next w:val="Stile importato 2"/>
    <w:pPr>
      <w:numPr>
        <w:numId w:val="2"/>
      </w:numPr>
    </w:pPr>
  </w:style>
  <w:style w:type="numbering" w:styleId="List 1">
    <w:name w:val="List 1"/>
    <w:basedOn w:val="Stile importato 2"/>
    <w:next w:val="List 1"/>
    <w:pPr>
      <w:numPr>
        <w:numId w:val="4"/>
      </w:numPr>
    </w:pPr>
  </w:style>
  <w:style w:type="paragraph" w:styleId="Elenco a colori - Colore 11">
    <w:name w:val="Elenco a colori - Colore 11"/>
    <w:next w:val="Elenco a colori - Colore 11"/>
    <w:pPr>
      <w:keepNext w:val="0"/>
      <w:keepLines w:val="0"/>
      <w:pageBreakBefore w:val="0"/>
      <w:widowControl w:val="1"/>
      <w:shd w:val="clear" w:color="auto" w:fill="auto"/>
      <w:suppressAutoHyphens w:val="0"/>
      <w:bidi w:val="0"/>
      <w:spacing w:before="0" w:after="200" w:line="276" w:lineRule="auto"/>
      <w:ind w:left="720" w:right="0" w:firstLine="0"/>
      <w:jc w:val="left"/>
      <w:outlineLvl w:val="9"/>
    </w:pPr>
    <w:rPr>
      <w:rFonts w:ascii="Calibri" w:cs="Calibri" w:hAnsi="Calibri" w:eastAsia="Calibri"/>
      <w:b w:val="0"/>
      <w:bCs w:val="0"/>
      <w:i w:val="0"/>
      <w:iCs w:val="0"/>
      <w:caps w:val="0"/>
      <w:smallCaps w:val="0"/>
      <w:strike w:val="0"/>
      <w:dstrike w:val="0"/>
      <w:outline w:val="0"/>
      <w:color w:val="000000"/>
      <w:spacing w:val="0"/>
      <w:kern w:val="0"/>
      <w:position w:val="0"/>
      <w:sz w:val="22"/>
      <w:szCs w:val="22"/>
      <w:u w:val="none" w:color="000000"/>
      <w:vertAlign w:val="baseline"/>
      <w:lang w:val="it-IT"/>
    </w:rPr>
  </w:style>
  <w:style w:type="numbering" w:styleId="List 2">
    <w:name w:val="List 2"/>
    <w:basedOn w:val="Stile importato 3"/>
    <w:next w:val="List 2"/>
    <w:pPr>
      <w:numPr>
        <w:numId w:val="6"/>
      </w:numPr>
    </w:pPr>
  </w:style>
  <w:style w:type="numbering" w:styleId="Stile importato 3">
    <w:name w:val="Stile importato 3"/>
    <w:next w:val="Stile importato 3"/>
    <w:pPr>
      <w:numPr>
        <w:numId w:val="7"/>
      </w:numPr>
    </w:pPr>
  </w:style>
  <w:style w:type="numbering" w:styleId="List 3">
    <w:name w:val="List 3"/>
    <w:basedOn w:val="Stile importato 3"/>
    <w:next w:val="List 3"/>
    <w:pPr>
      <w:numPr>
        <w:numId w:val="9"/>
      </w:numPr>
    </w:pPr>
  </w:style>
  <w:style w:type="paragraph" w:styleId="List Paragraph">
    <w:name w:val="List Paragraph"/>
    <w:next w:val="List Paragraph"/>
    <w:pPr>
      <w:keepNext w:val="0"/>
      <w:keepLines w:val="0"/>
      <w:pageBreakBefore w:val="0"/>
      <w:widowControl w:val="1"/>
      <w:shd w:val="clear" w:color="auto" w:fill="auto"/>
      <w:suppressAutoHyphens w:val="0"/>
      <w:bidi w:val="0"/>
      <w:spacing w:before="0" w:after="0" w:line="240" w:lineRule="auto"/>
      <w:ind w:left="720" w:right="0" w:firstLine="0"/>
      <w:jc w:val="left"/>
      <w:outlineLvl w:val="9"/>
    </w:pPr>
    <w:rPr>
      <w:rFonts w:ascii="Times New Roman" w:cs="Arial Unicode MS" w:hAnsi="Arial Unicode MS" w:eastAsia="Arial Unicode MS"/>
      <w:b w:val="0"/>
      <w:bCs w:val="0"/>
      <w:i w:val="0"/>
      <w:iCs w:val="0"/>
      <w:caps w:val="0"/>
      <w:smallCaps w:val="0"/>
      <w:strike w:val="0"/>
      <w:dstrike w:val="0"/>
      <w:outline w:val="0"/>
      <w:color w:val="000000"/>
      <w:spacing w:val="0"/>
      <w:kern w:val="0"/>
      <w:position w:val="0"/>
      <w:sz w:val="24"/>
      <w:szCs w:val="24"/>
      <w:u w:val="none" w:color="000000"/>
      <w:vertAlign w:val="baseline"/>
      <w:lang w:val="it-IT"/>
    </w:rPr>
  </w:style>
  <w:style w:type="numbering" w:styleId="List 4">
    <w:name w:val="List 4"/>
    <w:basedOn w:val="Stile importato 3"/>
    <w:next w:val="List 4"/>
    <w:pPr>
      <w:numPr>
        <w:numId w:val="11"/>
      </w:numPr>
    </w:pPr>
  </w:style>
  <w:style w:type="paragraph" w:styleId="Corpo A">
    <w:name w:val="Corpo A"/>
    <w:next w:val="Corpo A"/>
    <w:pPr>
      <w:keepNext w:val="0"/>
      <w:keepLines w:val="0"/>
      <w:pageBreakBefore w:val="0"/>
      <w:widowControl w:val="1"/>
      <w:pBdr>
        <w:top w:val="nil"/>
        <w:left w:val="nil"/>
        <w:bottom w:val="nil"/>
        <w:right w:val="nil"/>
      </w:pBdr>
      <w:shd w:val="clear" w:color="auto" w:fill="auto"/>
      <w:suppressAutoHyphens w:val="0"/>
      <w:bidi w:val="0"/>
      <w:spacing w:before="0" w:after="0" w:line="240" w:lineRule="auto"/>
      <w:ind w:left="0" w:right="0" w:firstLine="0"/>
      <w:jc w:val="left"/>
      <w:outlineLvl w:val="9"/>
    </w:pPr>
    <w:rPr>
      <w:rFonts w:ascii="Helvetica" w:cs="Arial Unicode MS" w:hAnsi="Arial Unicode MS" w:eastAsia="Arial Unicode MS"/>
      <w:b w:val="0"/>
      <w:bCs w:val="0"/>
      <w:i w:val="0"/>
      <w:iCs w:val="0"/>
      <w:caps w:val="0"/>
      <w:smallCaps w:val="0"/>
      <w:strike w:val="0"/>
      <w:dstrike w:val="0"/>
      <w:outline w:val="0"/>
      <w:color w:val="000000"/>
      <w:spacing w:val="0"/>
      <w:kern w:val="0"/>
      <w:position w:val="0"/>
      <w:sz w:val="22"/>
      <w:szCs w:val="22"/>
      <w:u w:val="none" w:color="000000"/>
      <w:vertAlign w:val="baseline"/>
      <w:lang w:val="en-US"/>
    </w:rPr>
  </w:style>
  <w:style w:type="numbering" w:styleId="List 5">
    <w:name w:val="List 5"/>
    <w:basedOn w:val="Stile importato 4"/>
    <w:next w:val="List 5"/>
    <w:pPr>
      <w:numPr>
        <w:numId w:val="13"/>
      </w:numPr>
    </w:pPr>
  </w:style>
  <w:style w:type="numbering" w:styleId="Stile importato 4">
    <w:name w:val="Stile importato 4"/>
    <w:next w:val="Stile importato 4"/>
    <w:pPr>
      <w:numPr>
        <w:numId w:val="14"/>
      </w:numPr>
    </w:pPr>
  </w:style>
  <w:style w:type="numbering" w:styleId="List 6">
    <w:name w:val="List 6"/>
    <w:basedOn w:val="Stile importato 5"/>
    <w:next w:val="List 6"/>
    <w:pPr>
      <w:numPr>
        <w:numId w:val="16"/>
      </w:numPr>
    </w:pPr>
  </w:style>
  <w:style w:type="numbering" w:styleId="Stile importato 5">
    <w:name w:val="Stile importato 5"/>
    <w:next w:val="Stile importato 5"/>
    <w:pPr>
      <w:numPr>
        <w:numId w:val="17"/>
      </w:numPr>
    </w:pPr>
  </w:style>
  <w:style w:type="paragraph" w:styleId="footnote text">
    <w:name w:val="footnote text"/>
    <w:next w:val="footnote text"/>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Times New Roman" w:cs="Times New Roman" w:hAnsi="Times New Roman" w:eastAsia="Times New Roman"/>
      <w:b w:val="0"/>
      <w:bCs w:val="0"/>
      <w:i w:val="0"/>
      <w:iCs w:val="0"/>
      <w:caps w:val="0"/>
      <w:smallCaps w:val="0"/>
      <w:strike w:val="0"/>
      <w:dstrike w:val="0"/>
      <w:outline w:val="0"/>
      <w:color w:val="000000"/>
      <w:spacing w:val="0"/>
      <w:kern w:val="0"/>
      <w:position w:val="0"/>
      <w:sz w:val="24"/>
      <w:szCs w:val="24"/>
      <w:u w:val="none" w:color="000000"/>
      <w:vertAlign w:val="baseline"/>
      <w:lang w:val="it-IT"/>
    </w:rPr>
  </w:style>
  <w:style w:type="paragraph" w:styleId="Camera">
    <w:name w:val="Camera"/>
    <w:next w:val="Camera"/>
    <w:pPr>
      <w:keepNext w:val="0"/>
      <w:keepLines w:val="0"/>
      <w:pageBreakBefore w:val="0"/>
      <w:widowControl w:val="1"/>
      <w:shd w:val="clear" w:color="auto" w:fill="auto"/>
      <w:suppressAutoHyphens w:val="0"/>
      <w:bidi w:val="0"/>
      <w:spacing w:before="0" w:after="0" w:line="360" w:lineRule="auto"/>
      <w:ind w:left="0" w:right="0" w:firstLine="709"/>
      <w:jc w:val="both"/>
      <w:outlineLvl w:val="9"/>
    </w:pPr>
    <w:rPr>
      <w:rFonts w:ascii="Times New Roman" w:cs="Arial Unicode MS" w:hAnsi="Arial Unicode MS" w:eastAsia="Arial Unicode MS"/>
      <w:b w:val="0"/>
      <w:bCs w:val="0"/>
      <w:i w:val="0"/>
      <w:iCs w:val="0"/>
      <w:caps w:val="0"/>
      <w:smallCaps w:val="0"/>
      <w:strike w:val="0"/>
      <w:dstrike w:val="0"/>
      <w:outline w:val="0"/>
      <w:color w:val="000000"/>
      <w:spacing w:val="0"/>
      <w:kern w:val="0"/>
      <w:position w:val="0"/>
      <w:sz w:val="24"/>
      <w:szCs w:val="24"/>
      <w:u w:val="none" w:color="000000"/>
      <w:vertAlign w:val="baseline"/>
      <w:lang w:val="it-IT"/>
    </w:rPr>
  </w:style>
  <w:style w:type="paragraph" w:styleId="Plain Text">
    <w:name w:val="Plain Text"/>
    <w:next w:val="Plain Text"/>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Courier New" w:cs="Arial Unicode MS" w:hAnsi="Arial Unicode MS" w:eastAsia="Arial Unicode MS"/>
      <w:b w:val="0"/>
      <w:bCs w:val="0"/>
      <w:i w:val="0"/>
      <w:iCs w:val="0"/>
      <w:caps w:val="0"/>
      <w:smallCaps w:val="0"/>
      <w:strike w:val="0"/>
      <w:dstrike w:val="0"/>
      <w:outline w:val="0"/>
      <w:color w:val="000000"/>
      <w:spacing w:val="0"/>
      <w:kern w:val="0"/>
      <w:position w:val="0"/>
      <w:sz w:val="24"/>
      <w:szCs w:val="24"/>
      <w:u w:val="none" w:color="000000"/>
      <w:vertAlign w:val="baseline"/>
      <w:lang w:val="it-IT"/>
    </w:rPr>
  </w:style>
  <w:style w:type="numbering" w:styleId="List 7">
    <w:name w:val="List 7"/>
    <w:basedOn w:val="Stile importato 6"/>
    <w:next w:val="List 7"/>
    <w:pPr>
      <w:numPr>
        <w:numId w:val="19"/>
      </w:numPr>
    </w:pPr>
  </w:style>
  <w:style w:type="numbering" w:styleId="Stile importato 6">
    <w:name w:val="Stile importato 6"/>
    <w:next w:val="Stile importato 6"/>
    <w:pPr>
      <w:numPr>
        <w:numId w:val="20"/>
      </w:numPr>
    </w:pPr>
  </w:style>
  <w:style w:type="numbering" w:styleId="List 8">
    <w:name w:val="List 8"/>
    <w:basedOn w:val="Stile importato 7"/>
    <w:next w:val="List 8"/>
    <w:pPr>
      <w:numPr>
        <w:numId w:val="22"/>
      </w:numPr>
    </w:pPr>
  </w:style>
  <w:style w:type="numbering" w:styleId="Stile importato 7">
    <w:name w:val="Stile importato 7"/>
    <w:next w:val="Stile importato 7"/>
    <w:pPr>
      <w:numPr>
        <w:numId w:val="23"/>
      </w:numPr>
    </w:pPr>
  </w:style>
  <w:style w:type="character" w:styleId="Link">
    <w:name w:val="Link"/>
    <w:rPr>
      <w:color w:val="0000ff"/>
      <w:u w:val="single" w:color="0000ff"/>
    </w:rPr>
  </w:style>
  <w:style w:type="character" w:styleId="Hyperlink.0">
    <w:name w:val="Hyperlink.0"/>
    <w:basedOn w:val="Link"/>
    <w:next w:val="Hyperlink.0"/>
    <w:rPr>
      <w:rFonts w:ascii="Book Antiqua" w:cs="Book Antiqua" w:hAnsi="Book Antiqua" w:eastAsia="Book Antiqua"/>
    </w:rPr>
  </w:style>
  <w:style w:type="character" w:styleId="Hyperlink.1">
    <w:name w:val="Hyperlink.1"/>
    <w:basedOn w:val="Link"/>
    <w:next w:val="Hyperlink.1"/>
    <w:rPr>
      <w:rFonts w:ascii="Book Antiqua" w:cs="Book Antiqua" w:hAnsi="Book Antiqua" w:eastAsia="Book Antiqua"/>
      <w:color w:val="000000"/>
      <w:sz w:val="20"/>
      <w:szCs w:val="20"/>
      <w:u w:color="000000"/>
    </w:rPr>
  </w:style>
  <w:style w:type="character" w:styleId="Hyperlink.2">
    <w:name w:val="Hyperlink.2"/>
    <w:basedOn w:val="Link"/>
    <w:next w:val="Hyperlink.2"/>
    <w:rPr>
      <w:rFonts w:ascii="Book Antiqua" w:cs="Book Antiqua" w:hAnsi="Book Antiqua" w:eastAsia="Book Antiqua"/>
      <w:sz w:val="20"/>
      <w:szCs w:val="20"/>
    </w:rPr>
  </w:style>
  <w:style w:type="numbering" w:styleId="List 9">
    <w:name w:val="List 9"/>
    <w:basedOn w:val="Stile importato 8"/>
    <w:next w:val="List 9"/>
    <w:pPr>
      <w:numPr>
        <w:numId w:val="25"/>
      </w:numPr>
    </w:pPr>
  </w:style>
  <w:style w:type="numbering" w:styleId="Stile importato 8">
    <w:name w:val="Stile importato 8"/>
    <w:next w:val="Stile importato 8"/>
    <w:pPr>
      <w:numPr>
        <w:numId w:val="26"/>
      </w:numPr>
    </w:pPr>
  </w:style>
  <w:style w:type="numbering" w:styleId="List 10">
    <w:name w:val="List 10"/>
    <w:basedOn w:val="Stile importato 9"/>
    <w:next w:val="List 10"/>
    <w:pPr>
      <w:numPr>
        <w:numId w:val="36"/>
      </w:numPr>
    </w:pPr>
  </w:style>
  <w:style w:type="numbering" w:styleId="Stile importato 9">
    <w:name w:val="Stile importato 9"/>
    <w:next w:val="Stile importato 9"/>
    <w:pPr>
      <w:numPr>
        <w:numId w:val="37"/>
      </w:numPr>
    </w:pPr>
  </w:style>
  <w:style w:type="numbering" w:styleId="List 11">
    <w:name w:val="List 11"/>
    <w:basedOn w:val="Stile importato 10"/>
    <w:next w:val="List 11"/>
    <w:pPr>
      <w:numPr>
        <w:numId w:val="41"/>
      </w:numPr>
    </w:pPr>
  </w:style>
  <w:style w:type="numbering" w:styleId="Stile importato 10">
    <w:name w:val="Stile importato 10"/>
    <w:next w:val="Stile importato 10"/>
    <w:pPr>
      <w:numPr>
        <w:numId w:val="42"/>
      </w:numPr>
    </w:pPr>
  </w:style>
  <w:style w:type="paragraph" w:styleId="intervento">
    <w:name w:val="intervento"/>
    <w:next w:val="intervento"/>
    <w:pPr>
      <w:keepNext w:val="0"/>
      <w:keepLines w:val="0"/>
      <w:pageBreakBefore w:val="0"/>
      <w:widowControl w:val="1"/>
      <w:shd w:val="clear" w:color="auto" w:fill="auto"/>
      <w:suppressAutoHyphens w:val="0"/>
      <w:bidi w:val="0"/>
      <w:spacing w:before="100" w:after="100" w:line="240" w:lineRule="auto"/>
      <w:ind w:left="0" w:right="0" w:firstLine="0"/>
      <w:jc w:val="left"/>
      <w:outlineLvl w:val="9"/>
    </w:pPr>
    <w:rPr>
      <w:rFonts w:ascii="Arial Unicode MS" w:cs="Arial Unicode MS" w:hAnsi="Times New Roman" w:eastAsia="Arial Unicode MS" w:hint="default"/>
      <w:b w:val="0"/>
      <w:bCs w:val="0"/>
      <w:i w:val="0"/>
      <w:iCs w:val="0"/>
      <w:caps w:val="0"/>
      <w:smallCaps w:val="0"/>
      <w:strike w:val="0"/>
      <w:dstrike w:val="0"/>
      <w:outline w:val="0"/>
      <w:color w:val="000000"/>
      <w:spacing w:val="0"/>
      <w:kern w:val="0"/>
      <w:position w:val="0"/>
      <w:sz w:val="24"/>
      <w:szCs w:val="24"/>
      <w:u w:val="none" w:color="000000"/>
      <w:vertAlign w:val="baseline"/>
      <w:lang w:val="it-IT"/>
    </w:rPr>
  </w:style>
  <w:style w:type="numbering" w:styleId="List 12">
    <w:name w:val="List 12"/>
    <w:basedOn w:val="Stile importato 11"/>
    <w:next w:val="List 12"/>
    <w:pPr>
      <w:numPr>
        <w:numId w:val="50"/>
      </w:numPr>
    </w:pPr>
  </w:style>
  <w:style w:type="numbering" w:styleId="Stile importato 11">
    <w:name w:val="Stile importato 11"/>
    <w:next w:val="Stile importato 11"/>
    <w:pPr>
      <w:numPr>
        <w:numId w:val="51"/>
      </w:numPr>
    </w:pPr>
  </w:style>
  <w:style w:type="numbering" w:styleId="List 13">
    <w:name w:val="List 13"/>
    <w:basedOn w:val="Stile importato 12"/>
    <w:next w:val="List 13"/>
    <w:pPr>
      <w:numPr>
        <w:numId w:val="53"/>
      </w:numPr>
    </w:pPr>
  </w:style>
  <w:style w:type="numbering" w:styleId="Stile importato 12">
    <w:name w:val="Stile importato 12"/>
    <w:next w:val="Stile importato 12"/>
    <w:pPr>
      <w:numPr>
        <w:numId w:val="54"/>
      </w:numPr>
    </w:pPr>
  </w:style>
  <w:style w:type="numbering" w:styleId="List 14">
    <w:name w:val="List 14"/>
    <w:basedOn w:val="Stile importato 13"/>
    <w:next w:val="List 14"/>
    <w:pPr>
      <w:numPr>
        <w:numId w:val="68"/>
      </w:numPr>
    </w:pPr>
  </w:style>
  <w:style w:type="numbering" w:styleId="Stile importato 13">
    <w:name w:val="Stile importato 13"/>
    <w:next w:val="Stile importato 13"/>
    <w:pPr>
      <w:numPr>
        <w:numId w:val="69"/>
      </w:numPr>
    </w:pPr>
  </w:style>
  <w:style w:type="numbering" w:styleId="List 15">
    <w:name w:val="List 15"/>
    <w:basedOn w:val="Stile importato 14"/>
    <w:next w:val="List 15"/>
    <w:pPr>
      <w:numPr>
        <w:numId w:val="71"/>
      </w:numPr>
    </w:pPr>
  </w:style>
  <w:style w:type="numbering" w:styleId="Stile importato 14">
    <w:name w:val="Stile importato 14"/>
    <w:next w:val="Stile importato 14"/>
    <w:pPr>
      <w:numPr>
        <w:numId w:val="72"/>
      </w:numPr>
    </w:pPr>
  </w:style>
  <w:style w:type="numbering" w:styleId="List 16">
    <w:name w:val="List 16"/>
    <w:basedOn w:val="Stile importato 14"/>
    <w:next w:val="List 16"/>
    <w:pPr>
      <w:numPr>
        <w:numId w:val="74"/>
      </w:numPr>
    </w:pPr>
  </w:style>
  <w:style w:type="paragraph" w:styleId="grassetto1">
    <w:name w:val="grassetto1"/>
    <w:next w:val="grassetto1"/>
    <w:pPr>
      <w:keepNext w:val="0"/>
      <w:keepLines w:val="0"/>
      <w:pageBreakBefore w:val="0"/>
      <w:widowControl w:val="1"/>
      <w:shd w:val="clear" w:color="auto" w:fill="auto"/>
      <w:suppressAutoHyphens w:val="0"/>
      <w:bidi w:val="0"/>
      <w:spacing w:before="0" w:after="24" w:line="240" w:lineRule="auto"/>
      <w:ind w:left="0" w:right="0" w:firstLine="0"/>
      <w:jc w:val="left"/>
      <w:outlineLvl w:val="9"/>
    </w:pPr>
    <w:rPr>
      <w:rFonts w:ascii="Times New Roman Bold" w:cs="Times New Roman Bold" w:hAnsi="Times New Roman Bold" w:eastAsia="Times New Roman Bold"/>
      <w:b w:val="0"/>
      <w:bCs w:val="0"/>
      <w:i w:val="0"/>
      <w:iCs w:val="0"/>
      <w:caps w:val="0"/>
      <w:smallCaps w:val="0"/>
      <w:strike w:val="0"/>
      <w:dstrike w:val="0"/>
      <w:outline w:val="0"/>
      <w:color w:val="000000"/>
      <w:spacing w:val="0"/>
      <w:kern w:val="0"/>
      <w:position w:val="0"/>
      <w:sz w:val="24"/>
      <w:szCs w:val="24"/>
      <w:u w:val="none" w:color="000000"/>
      <w:vertAlign w:val="baseline"/>
      <w:lang w:val="it-IT"/>
    </w:rPr>
  </w:style>
  <w:style w:type="numbering" w:styleId="List 17">
    <w:name w:val="List 17"/>
    <w:basedOn w:val="Stile importato 15"/>
    <w:next w:val="List 17"/>
    <w:pPr>
      <w:numPr>
        <w:numId w:val="86"/>
      </w:numPr>
    </w:pPr>
  </w:style>
  <w:style w:type="numbering" w:styleId="Stile importato 15">
    <w:name w:val="Stile importato 15"/>
    <w:next w:val="Stile importato 15"/>
    <w:pPr>
      <w:numPr>
        <w:numId w:val="87"/>
      </w:numPr>
    </w:pPr>
  </w:style>
  <w:style w:type="numbering" w:styleId="List 18">
    <w:name w:val="List 18"/>
    <w:basedOn w:val="Stile importato 16"/>
    <w:next w:val="List 18"/>
    <w:pPr>
      <w:numPr>
        <w:numId w:val="89"/>
      </w:numPr>
    </w:pPr>
  </w:style>
  <w:style w:type="numbering" w:styleId="Stile importato 16">
    <w:name w:val="Stile importato 16"/>
    <w:next w:val="Stile importato 16"/>
    <w:pPr>
      <w:numPr>
        <w:numId w:val="90"/>
      </w:numPr>
    </w:pPr>
  </w:style>
  <w:style w:type="numbering" w:styleId="List 19">
    <w:name w:val="List 19"/>
    <w:basedOn w:val="Stile importato 17"/>
    <w:next w:val="List 19"/>
    <w:pPr>
      <w:numPr>
        <w:numId w:val="94"/>
      </w:numPr>
    </w:pPr>
  </w:style>
  <w:style w:type="numbering" w:styleId="Stile importato 17">
    <w:name w:val="Stile importato 17"/>
    <w:next w:val="Stile importato 17"/>
    <w:pPr>
      <w:numPr>
        <w:numId w:val="95"/>
      </w:numPr>
    </w:pPr>
  </w:style>
  <w:style w:type="numbering" w:styleId="List 20">
    <w:name w:val="List 20"/>
    <w:basedOn w:val="Stile importato 18"/>
    <w:next w:val="List 20"/>
    <w:pPr>
      <w:numPr>
        <w:numId w:val="98"/>
      </w:numPr>
    </w:pPr>
  </w:style>
  <w:style w:type="numbering" w:styleId="Stile importato 18">
    <w:name w:val="Stile importato 18"/>
    <w:next w:val="Stile importato 18"/>
    <w:pPr>
      <w:numPr>
        <w:numId w:val="99"/>
      </w:numPr>
    </w:pPr>
  </w:style>
  <w:style w:type="paragraph" w:styleId="Default">
    <w:name w:val="Default"/>
    <w:next w:val="Default"/>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Garamond" w:cs="Arial Unicode MS" w:hAnsi="Arial Unicode MS" w:eastAsia="Arial Unicode MS"/>
      <w:b w:val="0"/>
      <w:bCs w:val="0"/>
      <w:i w:val="0"/>
      <w:iCs w:val="0"/>
      <w:caps w:val="0"/>
      <w:smallCaps w:val="0"/>
      <w:strike w:val="0"/>
      <w:dstrike w:val="0"/>
      <w:outline w:val="0"/>
      <w:color w:val="000000"/>
      <w:spacing w:val="0"/>
      <w:kern w:val="0"/>
      <w:position w:val="0"/>
      <w:sz w:val="24"/>
      <w:szCs w:val="24"/>
      <w:u w:val="none" w:color="000000"/>
      <w:vertAlign w:val="baseline"/>
      <w:lang w:val="it-IT"/>
    </w:rPr>
  </w:style>
  <w:style w:type="paragraph" w:styleId="heading 1">
    <w:name w:val="heading 1"/>
    <w:next w:val="Normal"/>
    <w:pPr>
      <w:keepNext w:val="1"/>
      <w:keepLines w:val="0"/>
      <w:pageBreakBefore w:val="0"/>
      <w:widowControl w:val="1"/>
      <w:shd w:val="clear" w:color="auto" w:fill="auto"/>
      <w:suppressAutoHyphens w:val="0"/>
      <w:bidi w:val="0"/>
      <w:spacing w:before="240" w:after="60" w:line="240" w:lineRule="auto"/>
      <w:ind w:left="0" w:right="0" w:firstLine="0"/>
      <w:jc w:val="center"/>
      <w:outlineLvl w:val="0"/>
    </w:pPr>
    <w:rPr>
      <w:rFonts w:ascii="Times New Roman" w:cs="Arial Unicode MS" w:hAnsi="Arial Unicode MS" w:eastAsia="Arial Unicode MS"/>
      <w:b w:val="0"/>
      <w:bCs w:val="0"/>
      <w:i w:val="0"/>
      <w:iCs w:val="0"/>
      <w:caps w:val="1"/>
      <w:strike w:val="0"/>
      <w:dstrike w:val="0"/>
      <w:outline w:val="0"/>
      <w:color w:val="000000"/>
      <w:spacing w:val="0"/>
      <w:kern w:val="28"/>
      <w:position w:val="0"/>
      <w:sz w:val="24"/>
      <w:szCs w:val="24"/>
      <w:u w:val="none" w:color="000000"/>
      <w:vertAlign w:val="baseline"/>
      <w:lang w:val="it-IT"/>
    </w:rPr>
  </w:style>
  <w:style w:type="numbering" w:styleId="List 21">
    <w:name w:val="List 21"/>
    <w:basedOn w:val="Stile importato 15"/>
    <w:next w:val="List 21"/>
    <w:pPr>
      <w:numPr>
        <w:numId w:val="106"/>
      </w:numPr>
    </w:pPr>
  </w:style>
  <w:style w:type="numbering" w:styleId="List 22">
    <w:name w:val="List 22"/>
    <w:basedOn w:val="Stile importato 19"/>
    <w:next w:val="List 22"/>
    <w:pPr>
      <w:numPr>
        <w:numId w:val="108"/>
      </w:numPr>
    </w:pPr>
  </w:style>
  <w:style w:type="numbering" w:styleId="Stile importato 19">
    <w:name w:val="Stile importato 19"/>
    <w:next w:val="Stile importato 19"/>
    <w:pPr>
      <w:numPr>
        <w:numId w:val="109"/>
      </w:numPr>
    </w:pPr>
  </w:style>
  <w:style w:type="paragraph" w:styleId="Paragrafo elenco1">
    <w:name w:val="Paragrafo elenco1"/>
    <w:next w:val="Paragrafo elenco1"/>
    <w:pPr>
      <w:keepNext w:val="0"/>
      <w:keepLines w:val="0"/>
      <w:pageBreakBefore w:val="0"/>
      <w:widowControl w:val="1"/>
      <w:shd w:val="clear" w:color="auto" w:fill="auto"/>
      <w:suppressAutoHyphens w:val="0"/>
      <w:bidi w:val="0"/>
      <w:spacing w:before="0" w:after="200" w:line="276" w:lineRule="auto"/>
      <w:ind w:left="720" w:right="0" w:firstLine="0"/>
      <w:jc w:val="left"/>
      <w:outlineLvl w:val="9"/>
    </w:pPr>
    <w:rPr>
      <w:rFonts w:ascii="Calibri" w:cs="Calibri" w:hAnsi="Calibri" w:eastAsia="Calibri"/>
      <w:b w:val="0"/>
      <w:bCs w:val="0"/>
      <w:i w:val="0"/>
      <w:iCs w:val="0"/>
      <w:caps w:val="0"/>
      <w:smallCaps w:val="0"/>
      <w:strike w:val="0"/>
      <w:dstrike w:val="0"/>
      <w:outline w:val="0"/>
      <w:color w:val="000000"/>
      <w:spacing w:val="0"/>
      <w:kern w:val="0"/>
      <w:position w:val="0"/>
      <w:sz w:val="22"/>
      <w:szCs w:val="22"/>
      <w:u w:val="none" w:color="000000"/>
      <w:vertAlign w:val="baseline"/>
      <w:lang w:val="it-IT"/>
    </w:rPr>
  </w:style>
  <w:style w:type="numbering" w:styleId="List 23">
    <w:name w:val="List 23"/>
    <w:basedOn w:val="Stile importato 20"/>
    <w:next w:val="List 23"/>
    <w:pPr>
      <w:numPr>
        <w:numId w:val="113"/>
      </w:numPr>
    </w:pPr>
  </w:style>
  <w:style w:type="numbering" w:styleId="Stile importato 20">
    <w:name w:val="Stile importato 20"/>
    <w:next w:val="Stile importato 20"/>
    <w:pPr>
      <w:numPr>
        <w:numId w:val="114"/>
      </w:numPr>
    </w:pPr>
  </w:style>
  <w:style w:type="numbering" w:styleId="List 24">
    <w:name w:val="List 24"/>
    <w:basedOn w:val="Stile importato 21"/>
    <w:next w:val="List 24"/>
    <w:pPr>
      <w:numPr>
        <w:numId w:val="116"/>
      </w:numPr>
    </w:pPr>
  </w:style>
  <w:style w:type="numbering" w:styleId="Stile importato 21">
    <w:name w:val="Stile importato 21"/>
    <w:next w:val="Stile importato 21"/>
    <w:pPr>
      <w:numPr>
        <w:numId w:val="117"/>
      </w:numPr>
    </w:pPr>
  </w:style>
  <w:style w:type="paragraph" w:styleId="Normal (Web)">
    <w:name w:val="Normal (Web)"/>
    <w:next w:val="Normal (Web)"/>
    <w:pPr>
      <w:keepNext w:val="0"/>
      <w:keepLines w:val="0"/>
      <w:pageBreakBefore w:val="0"/>
      <w:widowControl w:val="1"/>
      <w:shd w:val="clear" w:color="auto" w:fill="auto"/>
      <w:suppressAutoHyphens w:val="0"/>
      <w:bidi w:val="0"/>
      <w:spacing w:before="100" w:after="100" w:line="240" w:lineRule="auto"/>
      <w:ind w:left="0" w:right="0" w:firstLine="0"/>
      <w:jc w:val="left"/>
      <w:outlineLvl w:val="9"/>
    </w:pPr>
    <w:rPr>
      <w:rFonts w:ascii="Times New Roman" w:cs="Times New Roman" w:hAnsi="Times New Roman" w:eastAsia="Times New Roman"/>
      <w:b w:val="0"/>
      <w:bCs w:val="0"/>
      <w:i w:val="0"/>
      <w:iCs w:val="0"/>
      <w:caps w:val="0"/>
      <w:smallCaps w:val="0"/>
      <w:strike w:val="0"/>
      <w:dstrike w:val="0"/>
      <w:outline w:val="0"/>
      <w:color w:val="000000"/>
      <w:spacing w:val="0"/>
      <w:kern w:val="0"/>
      <w:position w:val="0"/>
      <w:sz w:val="24"/>
      <w:szCs w:val="24"/>
      <w:u w:val="none" w:color="000000"/>
      <w:vertAlign w:val="baseline"/>
      <w:lang w:val="it-IT"/>
    </w:rPr>
  </w:style>
  <w:style w:type="numbering" w:styleId="List 25">
    <w:name w:val="List 25"/>
    <w:basedOn w:val="Stile importato 22"/>
    <w:next w:val="List 25"/>
    <w:pPr>
      <w:numPr>
        <w:numId w:val="119"/>
      </w:numPr>
    </w:pPr>
  </w:style>
  <w:style w:type="numbering" w:styleId="Stile importato 22">
    <w:name w:val="Stile importato 22"/>
    <w:next w:val="Stile importato 22"/>
    <w:pPr>
      <w:numPr>
        <w:numId w:val="120"/>
      </w:numPr>
    </w:pPr>
  </w:style>
  <w:style w:type="numbering" w:styleId="List 26">
    <w:name w:val="List 26"/>
    <w:basedOn w:val="Stile importato 23"/>
    <w:next w:val="List 26"/>
    <w:pPr>
      <w:numPr>
        <w:numId w:val="130"/>
      </w:numPr>
    </w:pPr>
  </w:style>
  <w:style w:type="numbering" w:styleId="Stile importato 23">
    <w:name w:val="Stile importato 23"/>
    <w:next w:val="Stile importato 23"/>
    <w:pPr>
      <w:numPr>
        <w:numId w:val="131"/>
      </w:numPr>
    </w:pPr>
  </w:style>
  <w:style w:type="numbering" w:styleId="List 27">
    <w:name w:val="List 27"/>
    <w:basedOn w:val="Stile importato 24"/>
    <w:next w:val="List 27"/>
    <w:pPr>
      <w:numPr>
        <w:numId w:val="139"/>
      </w:numPr>
    </w:pPr>
  </w:style>
  <w:style w:type="numbering" w:styleId="Stile importato 24">
    <w:name w:val="Stile importato 24"/>
    <w:next w:val="Stile importato 24"/>
    <w:pPr>
      <w:numPr>
        <w:numId w:val="140"/>
      </w:numPr>
    </w:pPr>
  </w:style>
  <w:style w:type="numbering" w:styleId="List 28">
    <w:name w:val="List 28"/>
    <w:basedOn w:val="Stile importato 25"/>
    <w:next w:val="List 28"/>
    <w:pPr>
      <w:numPr>
        <w:numId w:val="142"/>
      </w:numPr>
    </w:pPr>
  </w:style>
  <w:style w:type="numbering" w:styleId="Stile importato 25">
    <w:name w:val="Stile importato 25"/>
    <w:next w:val="Stile importato 25"/>
    <w:pPr>
      <w:numPr>
        <w:numId w:val="143"/>
      </w:numPr>
    </w:pPr>
  </w:style>
  <w:style w:type="numbering" w:styleId="List 29">
    <w:name w:val="List 29"/>
    <w:basedOn w:val="Stile importato 26"/>
    <w:next w:val="List 29"/>
    <w:pPr>
      <w:numPr>
        <w:numId w:val="145"/>
      </w:numPr>
    </w:pPr>
  </w:style>
  <w:style w:type="numbering" w:styleId="Stile importato 26">
    <w:name w:val="Stile importato 26"/>
    <w:next w:val="Stile importato 26"/>
    <w:pPr>
      <w:numPr>
        <w:numId w:val="146"/>
      </w:numPr>
    </w:pPr>
  </w:style>
  <w:style w:type="numbering" w:styleId="List 30">
    <w:name w:val="List 30"/>
    <w:basedOn w:val="Stile importato 27"/>
    <w:next w:val="List 30"/>
    <w:pPr>
      <w:numPr>
        <w:numId w:val="148"/>
      </w:numPr>
    </w:pPr>
  </w:style>
  <w:style w:type="numbering" w:styleId="Stile importato 27">
    <w:name w:val="Stile importato 27"/>
    <w:next w:val="Stile importato 27"/>
    <w:pPr>
      <w:numPr>
        <w:numId w:val="149"/>
      </w:numPr>
    </w:pPr>
  </w:style>
  <w:style w:type="numbering" w:styleId="List 31">
    <w:name w:val="List 31"/>
    <w:basedOn w:val="Stile importato 28"/>
    <w:next w:val="List 31"/>
    <w:pPr>
      <w:numPr>
        <w:numId w:val="151"/>
      </w:numPr>
    </w:pPr>
  </w:style>
  <w:style w:type="numbering" w:styleId="Stile importato 28">
    <w:name w:val="Stile importato 28"/>
    <w:next w:val="Stile importato 28"/>
    <w:pPr>
      <w:numPr>
        <w:numId w:val="152"/>
      </w:numPr>
    </w:pPr>
  </w:style>
  <w:style w:type="numbering" w:styleId="List 32">
    <w:name w:val="List 32"/>
    <w:basedOn w:val="Stile importato 29"/>
    <w:next w:val="List 32"/>
    <w:pPr>
      <w:numPr>
        <w:numId w:val="154"/>
      </w:numPr>
    </w:pPr>
  </w:style>
  <w:style w:type="numbering" w:styleId="Stile importato 29">
    <w:name w:val="Stile importato 29"/>
    <w:next w:val="Stile importato 29"/>
    <w:pPr>
      <w:numPr>
        <w:numId w:val="155"/>
      </w:numPr>
    </w:pPr>
  </w:style>
  <w:style w:type="paragraph" w:styleId="Title">
    <w:name w:val="Title"/>
    <w:next w:val="Normal"/>
    <w:pPr>
      <w:keepNext w:val="0"/>
      <w:keepLines w:val="0"/>
      <w:pageBreakBefore w:val="0"/>
      <w:widowControl w:val="1"/>
      <w:shd w:val="clear" w:color="auto" w:fill="auto"/>
      <w:suppressAutoHyphens w:val="0"/>
      <w:bidi w:val="0"/>
      <w:spacing w:before="240" w:after="60" w:line="240" w:lineRule="auto"/>
      <w:ind w:left="0" w:right="0" w:firstLine="0"/>
      <w:jc w:val="left"/>
      <w:outlineLvl w:val="0"/>
    </w:pPr>
    <w:rPr>
      <w:rFonts w:ascii="Times New Roman Bold" w:cs="Arial Unicode MS" w:hAnsi="Arial Unicode MS" w:eastAsia="Arial Unicode MS"/>
      <w:b w:val="0"/>
      <w:bCs w:val="0"/>
      <w:i w:val="0"/>
      <w:iCs w:val="0"/>
      <w:caps w:val="0"/>
      <w:smallCaps w:val="0"/>
      <w:strike w:val="0"/>
      <w:dstrike w:val="0"/>
      <w:outline w:val="0"/>
      <w:color w:val="000000"/>
      <w:spacing w:val="0"/>
      <w:kern w:val="28"/>
      <w:position w:val="0"/>
      <w:sz w:val="24"/>
      <w:szCs w:val="24"/>
      <w:u w:val="none" w:color="000000"/>
      <w:vertAlign w:val="baseline"/>
      <w:lang w:val="it-IT"/>
    </w:rPr>
  </w:style>
  <w:style w:type="paragraph" w:styleId="Subtitle">
    <w:name w:val="Subtitle"/>
    <w:next w:val="Subtitle"/>
    <w:pPr>
      <w:keepNext w:val="0"/>
      <w:keepLines w:val="0"/>
      <w:pageBreakBefore w:val="0"/>
      <w:widowControl w:val="1"/>
      <w:shd w:val="clear" w:color="auto" w:fill="auto"/>
      <w:suppressAutoHyphens w:val="0"/>
      <w:bidi w:val="0"/>
      <w:spacing w:before="0" w:after="0" w:line="240" w:lineRule="auto"/>
      <w:ind w:left="0" w:right="0" w:firstLine="0"/>
      <w:jc w:val="center"/>
      <w:outlineLvl w:val="9"/>
    </w:pPr>
    <w:rPr>
      <w:rFonts w:ascii="Times New Roman Bold" w:cs="Times New Roman Bold" w:hAnsi="Times New Roman Bold" w:eastAsia="Times New Roman Bold"/>
      <w:b w:val="0"/>
      <w:bCs w:val="0"/>
      <w:i w:val="0"/>
      <w:iCs w:val="0"/>
      <w:caps w:val="0"/>
      <w:smallCaps w:val="0"/>
      <w:strike w:val="0"/>
      <w:dstrike w:val="0"/>
      <w:outline w:val="0"/>
      <w:color w:val="000000"/>
      <w:spacing w:val="0"/>
      <w:kern w:val="0"/>
      <w:position w:val="0"/>
      <w:sz w:val="24"/>
      <w:szCs w:val="24"/>
      <w:u w:val="none" w:color="000000"/>
      <w:vertAlign w:val="baseline"/>
      <w:lang w:val="it-IT"/>
    </w:rPr>
  </w:style>
  <w:style w:type="numbering" w:styleId="List 33">
    <w:name w:val="List 33"/>
    <w:basedOn w:val="Stile importato 30"/>
    <w:next w:val="List 33"/>
    <w:pPr>
      <w:numPr>
        <w:numId w:val="157"/>
      </w:numPr>
    </w:pPr>
  </w:style>
  <w:style w:type="numbering" w:styleId="Stile importato 30">
    <w:name w:val="Stile importato 30"/>
    <w:next w:val="Stile importato 30"/>
    <w:pPr>
      <w:numPr>
        <w:numId w:val="158"/>
      </w:numPr>
    </w:pPr>
  </w:style>
  <w:style w:type="paragraph" w:styleId="HTML Preformatted">
    <w:name w:val="HTML Preformatted"/>
    <w:next w:val="HTML Preformatted"/>
    <w:pPr>
      <w:keepNext w:val="0"/>
      <w:keepLines w:val="0"/>
      <w:pageBreakBefore w:val="0"/>
      <w:widowControl w:val="1"/>
      <w:shd w:val="clear" w:color="auto" w:fill="auto"/>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bidi w:val="0"/>
      <w:spacing w:before="0" w:after="0" w:line="240" w:lineRule="auto"/>
      <w:ind w:left="0" w:right="0" w:firstLine="0"/>
      <w:jc w:val="left"/>
      <w:outlineLvl w:val="9"/>
    </w:pPr>
    <w:rPr>
      <w:rFonts w:ascii="Courier New" w:cs="Arial Unicode MS" w:hAnsi="Arial Unicode MS" w:eastAsia="Arial Unicode MS"/>
      <w:b w:val="0"/>
      <w:bCs w:val="0"/>
      <w:i w:val="0"/>
      <w:iCs w:val="0"/>
      <w:caps w:val="0"/>
      <w:smallCaps w:val="0"/>
      <w:strike w:val="0"/>
      <w:dstrike w:val="0"/>
      <w:outline w:val="0"/>
      <w:color w:val="000000"/>
      <w:spacing w:val="0"/>
      <w:kern w:val="0"/>
      <w:position w:val="0"/>
      <w:sz w:val="20"/>
      <w:szCs w:val="20"/>
      <w:u w:val="none" w:color="000000"/>
      <w:vertAlign w:val="baseline"/>
      <w:lang w:val="it-IT"/>
    </w:rPr>
  </w:style>
  <w:style w:type="numbering" w:styleId="List 34">
    <w:name w:val="List 34"/>
    <w:basedOn w:val="Stile importato 29"/>
    <w:next w:val="List 34"/>
    <w:pPr>
      <w:numPr>
        <w:numId w:val="160"/>
      </w:numPr>
    </w:pPr>
  </w:style>
  <w:style w:type="numbering" w:styleId="List 35">
    <w:name w:val="List 35"/>
    <w:basedOn w:val="Stile importato 23"/>
    <w:next w:val="List 35"/>
    <w:pPr>
      <w:numPr>
        <w:numId w:val="162"/>
      </w:numPr>
    </w:pPr>
  </w:style>
  <w:style w:type="numbering" w:styleId="List 36">
    <w:name w:val="List 36"/>
    <w:basedOn w:val="Stile importato 23"/>
    <w:next w:val="List 36"/>
    <w:pPr>
      <w:numPr>
        <w:numId w:val="165"/>
      </w:numPr>
    </w:pPr>
  </w:style>
  <w:style w:type="numbering" w:styleId="List 37">
    <w:name w:val="List 37"/>
    <w:basedOn w:val="Stile importato 31"/>
    <w:next w:val="List 37"/>
    <w:pPr>
      <w:numPr>
        <w:numId w:val="167"/>
      </w:numPr>
    </w:pPr>
  </w:style>
  <w:style w:type="numbering" w:styleId="Stile importato 31">
    <w:name w:val="Stile importato 31"/>
    <w:next w:val="Stile importato 31"/>
    <w:pPr>
      <w:numPr>
        <w:numId w:val="168"/>
      </w:numPr>
    </w:pPr>
  </w:style>
  <w:style w:type="paragraph" w:styleId="Titolo 21">
    <w:name w:val="Titolo 21"/>
    <w:next w:val="Titolo 21"/>
    <w:pPr>
      <w:keepNext w:val="0"/>
      <w:keepLines w:val="0"/>
      <w:pageBreakBefore w:val="0"/>
      <w:widowControl w:val="1"/>
      <w:shd w:val="clear" w:color="auto" w:fill="auto"/>
      <w:suppressAutoHyphens w:val="0"/>
      <w:bidi w:val="0"/>
      <w:spacing w:before="200" w:after="120" w:line="240" w:lineRule="auto"/>
      <w:ind w:left="576" w:right="0" w:hanging="576"/>
      <w:jc w:val="left"/>
      <w:outlineLvl w:val="1"/>
    </w:pPr>
    <w:rPr>
      <w:rFonts w:ascii="Liberation Serif" w:cs="Liberation Serif" w:hAnsi="Liberation Serif" w:eastAsia="Liberation Serif"/>
      <w:b w:val="0"/>
      <w:bCs w:val="0"/>
      <w:i w:val="0"/>
      <w:iCs w:val="0"/>
      <w:caps w:val="0"/>
      <w:smallCaps w:val="0"/>
      <w:strike w:val="0"/>
      <w:dstrike w:val="0"/>
      <w:outline w:val="0"/>
      <w:color w:val="000000"/>
      <w:spacing w:val="0"/>
      <w:kern w:val="0"/>
      <w:position w:val="0"/>
      <w:sz w:val="32"/>
      <w:szCs w:val="32"/>
      <w:u w:val="none" w:color="000000"/>
      <w:vertAlign w:val="baseline"/>
      <w:lang w:val="it-IT"/>
    </w:rPr>
  </w:style>
  <w:style w:type="paragraph" w:styleId="Testo nota a piè di pagina1">
    <w:name w:val="Testo nota a piè di pagina1"/>
    <w:next w:val="Testo nota a piè di pagina1"/>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Helvetica" w:cs="Helvetica" w:hAnsi="Helvetica" w:eastAsia="Helvetica"/>
      <w:b w:val="0"/>
      <w:bCs w:val="0"/>
      <w:i w:val="0"/>
      <w:iCs w:val="0"/>
      <w:caps w:val="0"/>
      <w:smallCaps w:val="0"/>
      <w:strike w:val="0"/>
      <w:dstrike w:val="0"/>
      <w:outline w:val="0"/>
      <w:color w:val="000000"/>
      <w:spacing w:val="0"/>
      <w:kern w:val="0"/>
      <w:position w:val="0"/>
      <w:sz w:val="20"/>
      <w:szCs w:val="20"/>
      <w:u w:val="none" w:color="000000"/>
      <w:vertAlign w:val="baseline"/>
      <w:lang w:val="it-IT"/>
    </w:rPr>
  </w:style>
  <w:style w:type="numbering" w:styleId="List 38">
    <w:name w:val="List 38"/>
    <w:basedOn w:val="Stile importato 33"/>
    <w:next w:val="List 38"/>
    <w:pPr>
      <w:numPr>
        <w:numId w:val="170"/>
      </w:numPr>
    </w:pPr>
  </w:style>
  <w:style w:type="numbering" w:styleId="Stile importato 33">
    <w:name w:val="Stile importato 33"/>
    <w:next w:val="Stile importato 33"/>
    <w:pPr>
      <w:numPr>
        <w:numId w:val="171"/>
      </w:numPr>
    </w:pPr>
  </w:style>
  <w:style w:type="paragraph" w:styleId="Titolo 31">
    <w:name w:val="Titolo 31"/>
    <w:next w:val="Titolo 31"/>
    <w:pPr>
      <w:keepNext w:val="0"/>
      <w:keepLines w:val="0"/>
      <w:pageBreakBefore w:val="0"/>
      <w:widowControl w:val="1"/>
      <w:shd w:val="clear" w:color="auto" w:fill="auto"/>
      <w:suppressAutoHyphens w:val="0"/>
      <w:bidi w:val="0"/>
      <w:spacing w:before="140" w:after="120" w:line="240" w:lineRule="auto"/>
      <w:ind w:left="0" w:right="0" w:firstLine="0"/>
      <w:jc w:val="left"/>
      <w:outlineLvl w:val="2"/>
    </w:pPr>
    <w:rPr>
      <w:rFonts w:ascii="Liberation Serif" w:cs="Liberation Serif" w:hAnsi="Liberation Serif" w:eastAsia="Liberation Serif"/>
      <w:b w:val="0"/>
      <w:bCs w:val="0"/>
      <w:i w:val="0"/>
      <w:iCs w:val="0"/>
      <w:caps w:val="0"/>
      <w:smallCaps w:val="0"/>
      <w:strike w:val="0"/>
      <w:dstrike w:val="0"/>
      <w:outline w:val="0"/>
      <w:color w:val="808080"/>
      <w:spacing w:val="0"/>
      <w:kern w:val="0"/>
      <w:position w:val="0"/>
      <w:sz w:val="28"/>
      <w:szCs w:val="28"/>
      <w:u w:val="none" w:color="808080"/>
      <w:vertAlign w:val="baseline"/>
      <w:lang w:val="it-IT"/>
    </w:rPr>
  </w:style>
  <w:style w:type="character" w:styleId="dataseduta">
    <w:name w:val="dataseduta"/>
  </w:style>
  <w:style w:type="character" w:styleId="Hyperlink.3">
    <w:name w:val="Hyperlink.3"/>
    <w:basedOn w:val="dataseduta"/>
    <w:next w:val="Hyperlink.3"/>
    <w:rPr>
      <w:rFonts w:ascii="Book Antiqua" w:cs="Book Antiqua" w:hAnsi="Book Antiqua" w:eastAsia="Book Antiqua"/>
      <w:sz w:val="24"/>
      <w:szCs w:val="24"/>
      <w:lang w:val="it-IT"/>
    </w:rPr>
  </w:style>
  <w:style w:type="paragraph" w:styleId="Contenuto tabella">
    <w:name w:val="Contenuto tabella"/>
    <w:next w:val="Contenuto tabella"/>
    <w:pPr>
      <w:keepNext w:val="0"/>
      <w:keepLines w:val="0"/>
      <w:pageBreakBefore w:val="0"/>
      <w:widowControl w:val="1"/>
      <w:shd w:val="clear" w:color="auto" w:fill="auto"/>
      <w:suppressAutoHyphens w:val="0"/>
      <w:bidi w:val="0"/>
      <w:spacing w:before="0" w:after="0" w:line="240" w:lineRule="auto"/>
      <w:ind w:left="0" w:right="0" w:firstLine="0"/>
      <w:jc w:val="both"/>
      <w:outlineLvl w:val="9"/>
    </w:pPr>
    <w:rPr>
      <w:rFonts w:ascii="Liberation Serif" w:cs="Liberation Serif" w:hAnsi="Liberation Serif" w:eastAsia="Liberation Serif"/>
      <w:b w:val="0"/>
      <w:bCs w:val="0"/>
      <w:i w:val="0"/>
      <w:iCs w:val="0"/>
      <w:caps w:val="0"/>
      <w:smallCaps w:val="0"/>
      <w:strike w:val="0"/>
      <w:dstrike w:val="0"/>
      <w:outline w:val="0"/>
      <w:color w:val="00000a"/>
      <w:spacing w:val="0"/>
      <w:kern w:val="0"/>
      <w:position w:val="0"/>
      <w:sz w:val="24"/>
      <w:szCs w:val="24"/>
      <w:u w:val="none" w:color="00000a"/>
      <w:vertAlign w:val="baseline"/>
      <w:lang w:val="it-IT"/>
    </w:rPr>
  </w:style>
  <w:style w:type="character" w:styleId="Hyperlink.4">
    <w:name w:val="Hyperlink.4"/>
    <w:basedOn w:val="dataseduta"/>
    <w:next w:val="Hyperlink.4"/>
    <w:rPr>
      <w:rFonts w:ascii="Book Antiqua" w:cs="Book Antiqua" w:hAnsi="Book Antiqua" w:eastAsia="Book Antiqua"/>
      <w:color w:val="000080"/>
      <w:u w:val="single" w:color="000080"/>
    </w:rPr>
  </w:style>
  <w:style w:type="character" w:styleId="Hyperlink.5">
    <w:name w:val="Hyperlink.5"/>
    <w:basedOn w:val="dataseduta"/>
    <w:next w:val="Hyperlink.5"/>
    <w:rPr>
      <w:rFonts w:ascii="Book Antiqua" w:cs="Book Antiqua" w:hAnsi="Book Antiqua" w:eastAsia="Book Antiqua"/>
      <w:caps w:val="0"/>
      <w:smallCaps w:val="0"/>
      <w:strike w:val="0"/>
      <w:dstrike w:val="0"/>
      <w:outline w:val="0"/>
      <w:color w:val="000000"/>
      <w:spacing w:val="0"/>
      <w:kern w:val="0"/>
      <w:position w:val="0"/>
      <w:sz w:val="20"/>
      <w:szCs w:val="20"/>
      <w:u w:val="none" w:color="000000"/>
      <w:vertAlign w:val="baseline"/>
      <w:lang w:val="it-IT"/>
    </w:rPr>
  </w:style>
  <w:style w:type="numbering" w:styleId="List 39">
    <w:name w:val="List 39"/>
    <w:basedOn w:val="Stile importato 34"/>
    <w:next w:val="List 39"/>
    <w:pPr>
      <w:numPr>
        <w:numId w:val="173"/>
      </w:numPr>
    </w:pPr>
  </w:style>
  <w:style w:type="numbering" w:styleId="Stile importato 34">
    <w:name w:val="Stile importato 34"/>
    <w:next w:val="Stile importato 34"/>
    <w:pPr>
      <w:numPr>
        <w:numId w:val="174"/>
      </w:numPr>
    </w:pPr>
  </w:style>
</w:styles>
</file>

<file path=word/_rels/document.xml.rels><?xml version="1.0" encoding="UTF-8" standalone="yes"?><Relationships xmlns="http://schemas.openxmlformats.org/package/2006/relationships"><Relationship Id="rId1" Type="http://schemas.openxmlformats.org/officeDocument/2006/relationships/settings" Target="settings.xml"/><Relationship Id="rId2" Type="http://schemas.openxmlformats.org/officeDocument/2006/relationships/fontTable" Target="fontTable.xml"/><Relationship Id="rId3" Type="http://schemas.openxmlformats.org/officeDocument/2006/relationships/styles" Target="styles.xml"/><Relationship Id="rId4" Type="http://schemas.openxmlformats.org/officeDocument/2006/relationships/hyperlink" Target="http://parlamento17.camera.it/159" TargetMode="Externa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image" Target="media/image4.png"/><Relationship Id="rId9" Type="http://schemas.openxmlformats.org/officeDocument/2006/relationships/image" Target="media/image5.png"/><Relationship Id="rId10" Type="http://schemas.openxmlformats.org/officeDocument/2006/relationships/image" Target="media/image6.png"/><Relationship Id="rId11" Type="http://schemas.openxmlformats.org/officeDocument/2006/relationships/image" Target="media/image7.png"/><Relationship Id="rId12" Type="http://schemas.openxmlformats.org/officeDocument/2006/relationships/image" Target="media/image8.png"/><Relationship Id="rId13" Type="http://schemas.openxmlformats.org/officeDocument/2006/relationships/header" Target="header1.xml"/><Relationship Id="rId14" Type="http://schemas.openxmlformats.org/officeDocument/2006/relationships/footer" Target="footer1.xml"/><Relationship Id="rId15" Type="http://schemas.openxmlformats.org/officeDocument/2006/relationships/image" Target="media/image9.png"/><Relationship Id="rId16" Type="http://schemas.openxmlformats.org/officeDocument/2006/relationships/header" Target="header2.xml"/><Relationship Id="rId17" Type="http://schemas.openxmlformats.org/officeDocument/2006/relationships/footer" Target="footer2.xml"/><Relationship Id="rId18" Type="http://schemas.openxmlformats.org/officeDocument/2006/relationships/image" Target="media/image10.png"/><Relationship Id="rId19" Type="http://schemas.openxmlformats.org/officeDocument/2006/relationships/image" Target="media/image1.jpeg"/><Relationship Id="rId20" Type="http://schemas.openxmlformats.org/officeDocument/2006/relationships/image" Target="media/image2.jpeg"/><Relationship Id="rId21" Type="http://schemas.openxmlformats.org/officeDocument/2006/relationships/image" Target="media/image3.jpeg"/><Relationship Id="rId22" Type="http://schemas.openxmlformats.org/officeDocument/2006/relationships/image" Target="media/image4.jpeg"/><Relationship Id="rId23" Type="http://schemas.openxmlformats.org/officeDocument/2006/relationships/image" Target="media/image11.png"/><Relationship Id="rId24" Type="http://schemas.openxmlformats.org/officeDocument/2006/relationships/image" Target="media/image12.png"/><Relationship Id="rId25" Type="http://schemas.openxmlformats.org/officeDocument/2006/relationships/image" Target="media/image5.jpeg"/><Relationship Id="rId26" Type="http://schemas.openxmlformats.org/officeDocument/2006/relationships/image" Target="media/image6.jpeg"/><Relationship Id="rId27" Type="http://schemas.openxmlformats.org/officeDocument/2006/relationships/image" Target="media/image7.jpeg"/><Relationship Id="rId28" Type="http://schemas.openxmlformats.org/officeDocument/2006/relationships/image" Target="media/image8.jpeg"/><Relationship Id="rId29" Type="http://schemas.openxmlformats.org/officeDocument/2006/relationships/image" Target="media/image9.jpeg"/><Relationship Id="rId30" Type="http://schemas.openxmlformats.org/officeDocument/2006/relationships/image" Target="media/image10.jpeg"/><Relationship Id="rId31" Type="http://schemas.openxmlformats.org/officeDocument/2006/relationships/image" Target="media/image11.jpeg"/><Relationship Id="rId32" Type="http://schemas.openxmlformats.org/officeDocument/2006/relationships/image" Target="media/image13.png"/><Relationship Id="rId33" Type="http://schemas.openxmlformats.org/officeDocument/2006/relationships/image" Target="media/image14.png"/><Relationship Id="rId34" Type="http://schemas.openxmlformats.org/officeDocument/2006/relationships/image" Target="media/image15.png"/><Relationship Id="rId35" Type="http://schemas.openxmlformats.org/officeDocument/2006/relationships/image" Target="media/image16.png"/><Relationship Id="rId36" Type="http://schemas.openxmlformats.org/officeDocument/2006/relationships/image" Target="media/image17.png"/><Relationship Id="rId37" Type="http://schemas.openxmlformats.org/officeDocument/2006/relationships/image" Target="media/image18.png"/><Relationship Id="rId38" Type="http://schemas.openxmlformats.org/officeDocument/2006/relationships/image" Target="media/image19.png"/><Relationship Id="rId39" Type="http://schemas.openxmlformats.org/officeDocument/2006/relationships/image" Target="media/image20.png"/><Relationship Id="rId40" Type="http://schemas.openxmlformats.org/officeDocument/2006/relationships/image" Target="media/image21.png"/><Relationship Id="rId41" Type="http://schemas.openxmlformats.org/officeDocument/2006/relationships/image" Target="media/image22.png"/><Relationship Id="rId42" Type="http://schemas.openxmlformats.org/officeDocument/2006/relationships/image" Target="media/image23.png"/><Relationship Id="rId43" Type="http://schemas.openxmlformats.org/officeDocument/2006/relationships/image" Target="media/image24.png"/><Relationship Id="rId44" Type="http://schemas.openxmlformats.org/officeDocument/2006/relationships/image" Target="media/image25.png"/><Relationship Id="rId45" Type="http://schemas.openxmlformats.org/officeDocument/2006/relationships/image" Target="media/image26.png"/><Relationship Id="rId46" Type="http://schemas.openxmlformats.org/officeDocument/2006/relationships/image" Target="media/image27.png"/><Relationship Id="rId47" Type="http://schemas.openxmlformats.org/officeDocument/2006/relationships/image" Target="media/image28.png"/><Relationship Id="rId48" Type="http://schemas.openxmlformats.org/officeDocument/2006/relationships/image" Target="media/image29.png"/><Relationship Id="rId49" Type="http://schemas.openxmlformats.org/officeDocument/2006/relationships/image" Target="media/image30.png"/><Relationship Id="rId50" Type="http://schemas.openxmlformats.org/officeDocument/2006/relationships/image" Target="media/image31.png"/><Relationship Id="rId51" Type="http://schemas.openxmlformats.org/officeDocument/2006/relationships/image" Target="media/image32.png"/><Relationship Id="rId52" Type="http://schemas.openxmlformats.org/officeDocument/2006/relationships/image" Target="media/image33.png"/><Relationship Id="rId53" Type="http://schemas.openxmlformats.org/officeDocument/2006/relationships/image" Target="media/image12.jpeg"/><Relationship Id="rId54" Type="http://schemas.openxmlformats.org/officeDocument/2006/relationships/image" Target="media/image13.jpeg"/><Relationship Id="rId55" Type="http://schemas.openxmlformats.org/officeDocument/2006/relationships/image" Target="media/image14.jpeg"/><Relationship Id="rId56" Type="http://schemas.openxmlformats.org/officeDocument/2006/relationships/image" Target="media/image34.png"/><Relationship Id="rId57" Type="http://schemas.openxmlformats.org/officeDocument/2006/relationships/image" Target="media/image35.png"/><Relationship Id="rId58" Type="http://schemas.openxmlformats.org/officeDocument/2006/relationships/image" Target="media/image36.png"/><Relationship Id="rId59" Type="http://schemas.openxmlformats.org/officeDocument/2006/relationships/image" Target="media/image37.png"/><Relationship Id="rId60" Type="http://schemas.openxmlformats.org/officeDocument/2006/relationships/image" Target="media/image15.jpeg"/><Relationship Id="rId61" Type="http://schemas.openxmlformats.org/officeDocument/2006/relationships/image" Target="media/image38.png"/><Relationship Id="rId62" Type="http://schemas.openxmlformats.org/officeDocument/2006/relationships/hyperlink" Target="http://1.ma/" TargetMode="External"/><Relationship Id="rId63" Type="http://schemas.openxmlformats.org/officeDocument/2006/relationships/image" Target="media/image39.png"/><Relationship Id="rId64" Type="http://schemas.openxmlformats.org/officeDocument/2006/relationships/image" Target="media/image40.png"/><Relationship Id="rId65" Type="http://schemas.openxmlformats.org/officeDocument/2006/relationships/image" Target="media/image41.png"/><Relationship Id="rId66" Type="http://schemas.openxmlformats.org/officeDocument/2006/relationships/image" Target="media/image42.png"/><Relationship Id="rId67" Type="http://schemas.openxmlformats.org/officeDocument/2006/relationships/hyperlink" Target="http://parlamento17.camera.it/application/xmanager/projects/parlamento17/attachments/auditi_pdf/pdfs/000/000/228/Rif_M_20150716_001_Associazioni.pdf" TargetMode="External"/><Relationship Id="rId68" Type="http://schemas.openxmlformats.org/officeDocument/2006/relationships/hyperlink" Target="http://parlamento17.camera.it/application/xmanager/projects/parlamento17/attachments/auditi_pdf/pdfs/000/000/229/Rif_M_20150716_002_Prov_FR.pdf" TargetMode="External"/><Relationship Id="rId69" Type="http://schemas.openxmlformats.org/officeDocument/2006/relationships/hyperlink" Target="http://parlamento17.camera.it/application/xmanager/projects/parlamento17/attachments/auditi_pdf/pdfs/000/000/230/Rif_M_20150716_003_Arpa_Lazio.pdf" TargetMode="External"/><Relationship Id="rId70" Type="http://schemas.openxmlformats.org/officeDocument/2006/relationships/hyperlink" Target="http://parlamento17.camera.it/application/xmanager/projects/parlamento17/attachments/auditi_pdf/pdfs/000/000/231/Rif_M_20150716_004_Ass_ambiente.pdf" TargetMode="External"/><Relationship Id="rId71" Type="http://schemas.openxmlformats.org/officeDocument/2006/relationships/hyperlink" Target="http://parlamento17.camera.it/application/xmanager/projects/parlamento17/attachments/auditi_pdf/pdfs/000/000/232/Rif_M_20150722_001_Prefetto.pdf" TargetMode="External"/><Relationship Id="rId72" Type="http://schemas.openxmlformats.org/officeDocument/2006/relationships/hyperlink" Target="http://parlamento17.camera.it/application/xmanager/projects/parlamento17/attachments/auditi_pdf/pdfs/000/000/233/Rif_M_20150722_002_Noe.pdf" TargetMode="External"/><Relationship Id="rId73" Type="http://schemas.openxmlformats.org/officeDocument/2006/relationships/hyperlink" Target="http://parlamento17.camera.it/application/xmanager/projects/parlamento17/attachments/auditi_pdf/pdfs/000/000/234/Rif_M_20150722_003_CFS_RM.pdf" TargetMode="External"/><Relationship Id="rId74" Type="http://schemas.openxmlformats.org/officeDocument/2006/relationships/hyperlink" Target="http://parlamento17.camera.it/application/xmanager/projects/parlamento17/attachments/auditi_pdf/pdfs/000/000/235/Rif_M_20150722_004_GdF_RM.pdf" TargetMode="External"/><Relationship Id="rId75" Type="http://schemas.openxmlformats.org/officeDocument/2006/relationships/hyperlink" Target="http://parlamento17.camera.it/application/xmanager/projects/parlamento17/attachments/auditi_pdf/pdfs/000/000/236/Rif_M_20150722_005_Procura_RM.pdf" TargetMode="External"/><Relationship Id="rId76" Type="http://schemas.openxmlformats.org/officeDocument/2006/relationships/hyperlink" Target="http://parlamento17.camera.it/application/xmanager/projects/parlamento17/attachments/auditi_pdf/pdfs/000/000/237/Rif_M_20150722_006_AMA.pdf" TargetMode="External"/><Relationship Id="rId77" Type="http://schemas.openxmlformats.org/officeDocument/2006/relationships/hyperlink" Target="http://parlamento17.camera.it/application/xmanager/projects/parlamento17/attachments/auditi_pdf/pdfs/000/000/238/Rif_M_20150722_007_Comune.pdf" TargetMode="External"/><Relationship Id="rId78" Type="http://schemas.openxmlformats.org/officeDocument/2006/relationships/hyperlink" Target="http://parlamento17.camera.it/application/xmanager/projects/parlamento17/attachments/auditi_pdf/pdfs/000/000/239/Rif_M_20150722_008_CC_RM.pdf" TargetMode="External"/><Relationship Id="rId79" Type="http://schemas.openxmlformats.org/officeDocument/2006/relationships/hyperlink" Target="http://parlamento17.camera.it/application/xmanager/projects/parlamento17/attachments/auditi_pdf/pdfs/000/000/240/Rif_M_20150722_009_Frosinone.pdf" TargetMode="External"/><Relationship Id="rId80" Type="http://schemas.openxmlformats.org/officeDocument/2006/relationships/hyperlink" Target="http://parlamento17.camera.it/application/xmanager/projects/parlamento17/attachments/auditi_pdf/pdfs/000/000/413/Rif_M_20170221_001_ARPA.pdf" TargetMode="External"/><Relationship Id="rId81" Type="http://schemas.openxmlformats.org/officeDocument/2006/relationships/hyperlink" Target="http://parlamento17.camera.it/application/xmanager/projects/parlamento17/attachments/auditi_pdf/pdfs/000/000/414/Rif_M_20170221_002_Procura_Latina.pdf" TargetMode="External"/><Relationship Id="rId82" Type="http://schemas.openxmlformats.org/officeDocument/2006/relationships/hyperlink" Target="http://parlamento17.camera.it/application/xmanager/projects/parlamento17/attachments/auditi_pdf/pdfs/000/000/415/Rif_M_20170221_003_Procura_Viterbo.pdf" TargetMode="External"/><Relationship Id="rId83" Type="http://schemas.openxmlformats.org/officeDocument/2006/relationships/hyperlink" Target="http://parlamento17.camera.it/application/xmanager/projects/parlamento17/attachments/auditi_pdf/pdfs/000/000/416/Rif_M_20170221_004_Procura_Frosinone.pdf" TargetMode="External"/><Relationship Id="rId84" Type="http://schemas.openxmlformats.org/officeDocument/2006/relationships/hyperlink" Target="http://parlamento17.camera.it/application/xmanager/projects/parlamento17/attachments/auditi_pdf/pdfs/000/000/417/Rif_M_20170221_005_Sindaco_Frosinone.pdf" TargetMode="External"/><Relationship Id="rId85" Type="http://schemas.openxmlformats.org/officeDocument/2006/relationships/hyperlink" Target="http://parlamento17.camera.it/application/xmanager/projects/parlamento17/attachments/auditi_pdf/pdfs/000/000/418/Rif_M_20170221_006_Sindaco_Viterbo.pdf" TargetMode="External"/><Relationship Id="rId86" Type="http://schemas.openxmlformats.org/officeDocument/2006/relationships/image" Target="media/image16.jpeg"/><Relationship Id="rId87" Type="http://schemas.openxmlformats.org/officeDocument/2006/relationships/header" Target="header3.xml"/><Relationship Id="rId88" Type="http://schemas.openxmlformats.org/officeDocument/2006/relationships/footer" Target="footer3.xml"/><Relationship Id="rId89" Type="http://schemas.openxmlformats.org/officeDocument/2006/relationships/footnotes" Target="footnotes.xml"/><Relationship Id="rId90" Type="http://schemas.openxmlformats.org/officeDocument/2006/relationships/numbering" Target="numbering.xml"/><Relationship Id="rId91" Type="http://schemas.openxmlformats.org/officeDocument/2006/relationships/theme" Target="theme/theme1.xml"/></Relationships>

</file>

<file path=word/_rels/footnotes.xml.rels><?xml version="1.0" encoding="UTF-8" standalone="yes"?><Relationships xmlns="http://schemas.openxmlformats.org/package/2006/relationships"><Relationship Id="rId1" Type="http://schemas.openxmlformats.org/officeDocument/2006/relationships/hyperlink" Target="http://pubblicazioni.agenzia.roma.it/schede-164-la_raccolta_differenziata" TargetMode="External"/><Relationship Id="rId2" Type="http://schemas.openxmlformats.org/officeDocument/2006/relationships/hyperlink" Target="http://pubblicazioni.agenzia.roma.it/schede-831-costo_e_percentuale_di_raccolta_differenziata_qualita_erogata_e_percepita" TargetMode="External"/><Relationship Id="rId3" Type="http://schemas.openxmlformats.org/officeDocument/2006/relationships/hyperlink" Target="http://pubblicazioni.agenzia.roma.it/schede-830-costo_della_pulizia_qualita_erogata_e_percepita" TargetMode="External"/><Relationship Id="rId4" Type="http://schemas.openxmlformats.org/officeDocument/2006/relationships/hyperlink" Target="http://pubblicazioni.agenzia.roma.it/schede-939-ambiente_e_igiene_urbana" TargetMode="External"/><Relationship Id="rId5" Type="http://schemas.openxmlformats.org/officeDocument/2006/relationships/hyperlink" Target="http://pubblicazioni.agenzia.roma.it/schede-850%2520investimenti_in_impianti_trattamento_ama_costi_e_ricavi_unitari" TargetMode="External"/><Relationship Id="rId6" Type="http://schemas.openxmlformats.org/officeDocument/2006/relationships/hyperlink" Target="http://pubblicazioni.agenzia.roma.it/schede-829-costi_unitari_dei_servizi_a_roma_andamento" TargetMode="External"/><Relationship Id="rId7" Type="http://schemas.openxmlformats.org/officeDocument/2006/relationships/hyperlink" Target="http://pubblicazioni.agenzia.roma.it/schede-133-impianti_ama" TargetMode="External"/><Relationship Id="rId8" Type="http://schemas.openxmlformats.org/officeDocument/2006/relationships/hyperlink" Target="http://pubblicazioni.agenzia.roma.it/schede-843-evoluzione_dell_impiantistica_ama" TargetMode="External"/><Relationship Id="rId9" Type="http://schemas.openxmlformats.org/officeDocument/2006/relationships/hyperlink" Target="http://pubblicazioni.agenzia.roma.it/schede-857-impianti_di_valorizzazione_della_frazione_multimateriale" TargetMode="External"/><Relationship Id="rId10" Type="http://schemas.openxmlformats.org/officeDocument/2006/relationships/hyperlink" Target="http://pubblicazioni.agenzia.roma.it/schede-855-impianto_di_compostaggio_a_maccarese" TargetMode="External"/><Relationship Id="rId11" Type="http://schemas.openxmlformats.org/officeDocument/2006/relationships/hyperlink" Target="http://pubblicazioni.agenzia.roma.it/schede-859%2520la_spedizione_fuori_dal_territorio_di_roma_capitale" TargetMode="External"/><Relationship Id="rId12" Type="http://schemas.openxmlformats.org/officeDocument/2006/relationships/hyperlink" Target="http://www.catasto-rifiuti.isprambiente.it" TargetMode="External"/><Relationship Id="rId13" Type="http://schemas.openxmlformats.org/officeDocument/2006/relationships/hyperlink" Target="http://pubblicazioni.agenzia.roma.it/schede-124-il_servizio_di_igiene_urbana_a_roma" TargetMode="External"/><Relationship Id="rId14" Type="http://schemas.openxmlformats.org/officeDocument/2006/relationships/hyperlink" Target="http://www.amaroma.it" TargetMode="External"/><Relationship Id="rId15" Type="http://schemas.openxmlformats.org/officeDocument/2006/relationships/hyperlink" Target="http://pubblicazioni.agenzia.roma.it/schede-143-principali_dati_di_bilancio" TargetMode="External"/><Relationship Id="rId16" Type="http://schemas.openxmlformats.org/officeDocument/2006/relationships/hyperlink" Target="http://pubblicazioni.agenzia.roma.it/schede-144-ricavi_per_aree_di_attivita" TargetMode="External"/><Relationship Id="rId17" Type="http://schemas.openxmlformats.org/officeDocument/2006/relationships/hyperlink" Target="http://pubblicazioni.agenzia.roma.it/schede-145-ricavi_e_contributi_da_roma_capitale" TargetMode="External"/><Relationship Id="rId18" Type="http://schemas.openxmlformats.org/officeDocument/2006/relationships/hyperlink" Target="http://pubblicazioni.agenzia.roma.it/schede-146-corrispettivi_e_contributi_ama" TargetMode="External"/><Relationship Id="rId19" Type="http://schemas.openxmlformats.org/officeDocument/2006/relationships/hyperlink" Target="http://pubblicazioni.agenzia.roma.it/schede-101-il_nuovo_affidamento" TargetMode="External"/><Relationship Id="rId20" Type="http://schemas.openxmlformats.org/officeDocument/2006/relationships/hyperlink" Target="http://pubblicazioni.agenzia.roma.it/schede-126-il_contratto_di_servizio_per_l_igiene_urbana" TargetMode="External"/><Relationship Id="rId21" Type="http://schemas.openxmlformats.org/officeDocument/2006/relationships/hyperlink" Target="http://pubblicazioni.agenzia.roma.it/schede-482-criticita_del_nuovo_contratto" TargetMode="External"/><Relationship Id="rId22" Type="http://schemas.openxmlformats.org/officeDocument/2006/relationships/hyperlink" Target="http://pubblicazioni.agenzia.roma.it/schede-820-affidamento_e_contratto_stato_di_attuazione_degli_adempimenti" TargetMode="External"/><Relationship Id="rId23" Type="http://schemas.openxmlformats.org/officeDocument/2006/relationships/hyperlink" Target="http://pubblicazioni.agenzia.roma.it/schede-153-piani_finanziari_per_la_determinazione_della_tariffa" TargetMode="External"/><Relationship Id="rId24" Type="http://schemas.openxmlformats.org/officeDocument/2006/relationships/hyperlink" Target="http://pubblicazioni.agenzia.roma.it/schede-150-andamento_dei_costi_del_servizio_e_delle_tariffe_rifiuti" TargetMode="External"/><Relationship Id="rId25" Type="http://schemas.openxmlformats.org/officeDocument/2006/relationships/hyperlink" Target="http://pubblicazioni.agenzia.roma.it/schede-152-costi_dei_servizi_nel_periodo_tariffario_e_proiezioni_per_il_nuovo_affidamento" TargetMode="External"/><Relationship Id="rId26" Type="http://schemas.openxmlformats.org/officeDocument/2006/relationships/hyperlink" Target="http://pubblicazioni.agenzia.roma.it/schede-480-gestione_2015_2016_e_pef_di_affidamento" TargetMode="External"/><Relationship Id="rId27" Type="http://schemas.openxmlformats.org/officeDocument/2006/relationships/hyperlink" Target="http://pubblicazioni.agenzia.roma.it/schede-873-focus_sui_costi_comuni_ama_e_confronto_con_le_medie_nazional" TargetMode="External"/><Relationship Id="rId28" Type="http://schemas.openxmlformats.org/officeDocument/2006/relationships/hyperlink" Target="http://pubblicazioni.agenzia.roma.it/schede-846-investimenti_programmati_e_realizzati" TargetMode="External"/><Relationship Id="rId29" Type="http://schemas.openxmlformats.org/officeDocument/2006/relationships/hyperlink" Target="http://pubblicazioni.agenzia.roma.it/schede-850-investimenti_in_impianti_trattamento_ama_costi_e_ricavi_unitari" TargetMode="External"/><Relationship Id="rId30" Type="http://schemas.openxmlformats.org/officeDocument/2006/relationships/hyperlink" Target="http://pubblicazioni.agenzia.roma.it/schede-829-costi_unitari_dei_servizi_a_roma_andamento" TargetMode="External"/><Relationship Id="rId31" Type="http://schemas.openxmlformats.org/officeDocument/2006/relationships/hyperlink" Target="http://pubblicazioni.agenzia.roma.it/schede-831-costo_e_percentuale_di_raccolta_differenziata_qualita_erogata_e_percepita" TargetMode="External"/><Relationship Id="rId32" Type="http://schemas.openxmlformats.org/officeDocument/2006/relationships/hyperlink" Target="http://www.amaroma.it/media/news/3910-nella-scuola-del-infanzia-la-gabbianella-di-ostia-inaugurata-la-prima-domus-ecologica-di-roma.html" TargetMode="External"/><Relationship Id="rId33" Type="http://schemas.openxmlformats.org/officeDocument/2006/relationships/hyperlink" Target="https://www.comune.roma.it/pcr/it/rag_gen_stat_terr_mun_vi.page" TargetMode="External"/><Relationship Id="rId34" Type="http://schemas.openxmlformats.org/officeDocument/2006/relationships/hyperlink" Target="http://www.regione.lazio.it/binary/rl_main/tbl_documenti/RIF_DD_G10586_21_09_2016.pdf" TargetMode="External"/><Relationship Id="rId35" Type="http://schemas.openxmlformats.org/officeDocument/2006/relationships/hyperlink" Target="http://www.regione.lazio.it/binary/rl_main/tbl_documenti/RIF_DD_G14973_14_12_2016.pdf" TargetMode="External"/><Relationship Id="rId36" Type="http://schemas.openxmlformats.org/officeDocument/2006/relationships/hyperlink" Target="http://www.camera.it/temiap/t/news/post-OCD15-51552" TargetMode="External"/><Relationship Id="rId37" Type="http://schemas.openxmlformats.org/officeDocument/2006/relationships/hyperlink" Target="http://www.regione.lazio.it/binary/rl_main/tbl_documenti/RIF_DGR_199_24_04_2016.pdf" TargetMode="External"/><Relationship Id="rId38" Type="http://schemas.openxmlformats.org/officeDocument/2006/relationships/hyperlink" Target="http://www.regione.lazio.it/binary/rl_main/tbl_documenti/RIF_DGR_199_24_04_2016_ALL1.pdf" TargetMode="External"/><Relationship Id="rId39" Type="http://schemas.openxmlformats.org/officeDocument/2006/relationships/hyperlink" Target="http://pubblicazioni.agenzia.roma.it/schede-856-termovalorizzatore_di_ponte_malnome" TargetMode="External"/><Relationship Id="rId40" Type="http://schemas.openxmlformats.org/officeDocument/2006/relationships/hyperlink" Target="http://storia.camera.it/documenti/indirizzo-e-controllo/19930217-interrogazione-risposta-scritta-4-10973" TargetMode="External"/></Relationships>

</file>

<file path=word/theme/_rels/theme1.xml.rels><?xml version="1.0" encoding="UTF-8" standalone="yes"?><Relationships xmlns="http://schemas.openxmlformats.org/package/2006/relationships"><Relationship Id="rId1" Type="http://schemas.openxmlformats.org/officeDocument/2006/relationships/image" Target="../media/image43.png"/></Relationships>

</file>

<file path=word/theme/theme1.xml><?xml version="1.0" encoding="utf-8"?>
<a:theme xmlns:a="http://schemas.openxmlformats.org/drawingml/2006/main" xmlns:r="http://schemas.openxmlformats.org/officeDocument/2006/relationships" name="Blank">
  <a:themeElements>
    <a:clrScheme name="Blank">
      <a:dk1>
        <a:srgbClr val="000000"/>
      </a:dk1>
      <a:lt1>
        <a:srgbClr val="FFFFFF"/>
      </a:lt1>
      <a:dk2>
        <a:srgbClr val="404040"/>
      </a:dk2>
      <a:lt2>
        <a:srgbClr val="BFBFBF"/>
      </a:lt2>
      <a:accent1>
        <a:srgbClr val="499BC9"/>
      </a:accent1>
      <a:accent2>
        <a:srgbClr val="6EC038"/>
      </a:accent2>
      <a:accent3>
        <a:srgbClr val="F1D130"/>
      </a:accent3>
      <a:accent4>
        <a:srgbClr val="FFA93A"/>
      </a:accent4>
      <a:accent5>
        <a:srgbClr val="FF2D21"/>
      </a:accent5>
      <a:accent6>
        <a:srgbClr val="6C2085"/>
      </a:accent6>
      <a:hlink>
        <a:srgbClr val="0000FF"/>
      </a:hlink>
      <a:folHlink>
        <a:srgbClr val="FF00FF"/>
      </a:folHlink>
    </a:clrScheme>
    <a:fontScheme name="Blank">
      <a:majorFont>
        <a:latin typeface="Times New Roman Bold"/>
        <a:ea typeface="Times New Roman Bold"/>
        <a:cs typeface="Times New Roman Bold"/>
      </a:majorFont>
      <a:minorFont>
        <a:latin typeface="Times New Roman Bold"/>
        <a:ea typeface="Times New Roman Bold"/>
        <a:cs typeface="Times New Roman Bold"/>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sx="100000" sy="100000" kx="0" ky="0" algn="b" rotWithShape="0" blurRad="38100" dist="25400" dir="5400000">
              <a:srgbClr val="000000">
                <a:alpha val="50000"/>
              </a:srgbClr>
            </a:outerShdw>
          </a:effectLst>
        </a:effectStyle>
        <a:effectStyle>
          <a:effectLst>
            <a:outerShdw sx="100000" sy="100000" kx="0" ky="0" algn="b" rotWithShape="0" blurRad="38100" dist="25400" dir="5400000">
              <a:srgbClr val="000000">
                <a:alpha val="50000"/>
              </a:srgbClr>
            </a:outerShdw>
          </a:effectLst>
        </a:effectStyle>
        <a:effectStyle>
          <a:effectLst>
            <a:outerShdw sx="100000" sy="100000" kx="0" ky="0" algn="b" rotWithShape="0" blurRad="38100" dist="25400" dir="5400000">
              <a:srgbClr val="000000">
                <a:alpha val="50000"/>
              </a:srgbClr>
            </a:outerShdw>
          </a:effectLst>
        </a:effectStyle>
        <a:effectStyle>
          <a:effectLst>
            <a:outerShdw sx="100000" sy="100000" kx="0" ky="0" algn="b" rotWithShape="0" blurRad="40000" dist="20000" dir="5400000">
              <a:srgbClr val="000000">
                <a:alpha val="38000"/>
              </a:srgbClr>
            </a:outerShdw>
          </a:effectLst>
        </a:effectStyle>
        <a:effectStyle>
          <a:effectLst>
            <a:outerShdw sx="100000" sy="100000" kx="0" ky="0" algn="b" rotWithShape="0" blurRad="40000" dist="23000" dir="5400000">
              <a:srgbClr val="000000">
                <a:alpha val="35000"/>
              </a:srgbClr>
            </a:outerShdw>
          </a:effectLst>
        </a:effectStyle>
        <a:effectStyle>
          <a:effectLst>
            <a:outerShdw sx="100000" sy="100000" kx="0" ky="0" algn="b" rotWithShape="0" blurRad="40000" dist="23000" dir="5400000">
              <a:srgbClr val="000000">
                <a:alpha val="35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lipFill rotWithShape="1">
          <a:blip r:embed="rId1"/>
          <a:srcRect l="0" t="0" r="0" b="0"/>
          <a:tile tx="0" ty="0" sx="100000" sy="100000" flip="none" algn="tl"/>
        </a:blipFill>
        <a:ln w="12700" cap="flat">
          <a:noFill/>
          <a:miter lim="400000"/>
        </a:ln>
        <a:effectLst>
          <a:outerShdw sx="100000" sy="100000" kx="0" ky="0" algn="b" rotWithShape="0" blurRad="38100" dist="25400" dir="5400000">
            <a:srgbClr val="000000">
              <a:alpha val="50000"/>
            </a:srgbClr>
          </a:outerShdw>
        </a:effectLst>
      </a:spPr>
      <a:bodyPr rot="0" spcFirstLastPara="1" vertOverflow="overflow" horzOverflow="overflow" vert="horz" wrap="square" lIns="50800" tIns="50800" rIns="50800" bIns="50800" numCol="1" spcCol="38100" rtlCol="0" anchor="ctr" upright="0">
        <a:spAutoFit/>
      </a:bodyPr>
      <a:lstStyle>
        <a:defPPr marL="0" marR="0" indent="0" algn="ctr" defTabSz="457200" rtl="0" fontAlgn="auto" latinLnBrk="1" hangingPunct="0">
          <a:lnSpc>
            <a:spcPct val="100000"/>
          </a:lnSpc>
          <a:spcBef>
            <a:spcPts val="0"/>
          </a:spcBef>
          <a:spcAft>
            <a:spcPts val="0"/>
          </a:spcAft>
          <a:buClrTx/>
          <a:buSzTx/>
          <a:buFontTx/>
          <a:buNone/>
          <a:tabLst/>
          <a:defRPr b="0" baseline="0" cap="none" i="0" spc="0" strike="noStrike" sz="1200" u="none" kumimoji="0" normalizeH="0">
            <a:ln>
              <a:noFill/>
            </a:ln>
            <a:solidFill>
              <a:srgbClr val="FFFFFF"/>
            </a:solidFill>
            <a:effectLst>
              <a:outerShdw sx="100000" sy="100000" kx="0" ky="0" algn="b" rotWithShape="0" blurRad="25400" dist="23998" dir="2700000">
                <a:srgbClr val="000000">
                  <a:alpha val="31034"/>
                </a:srgbClr>
              </a:outerShdw>
            </a:effectLst>
            <a:uFillTx/>
            <a:latin typeface="Helvetica"/>
            <a:ea typeface="Helvetica"/>
            <a:cs typeface="Helvetica"/>
            <a:sym typeface="Helvetica"/>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spDef>
    <a:lnDef>
      <a:spPr>
        <a:noFill/>
        <a:ln w="6350" cap="flat">
          <a:solidFill>
            <a:srgbClr val="000000"/>
          </a:solidFill>
          <a:prstDash val="solid"/>
          <a:miter lim="400000"/>
        </a:ln>
        <a:effectLst/>
      </a:spPr>
      <a:bodyPr rot="0" spcFirstLastPara="1" vertOverflow="overflow" horzOverflow="overflow" vert="horz" wrap="square" lIns="91439" tIns="45719" rIns="91439" bIns="45719" numCol="1" spcCol="38100" rtlCol="0" anchor="t" upright="0">
        <a:noAutofit/>
      </a:bodyPr>
      <a:lstStyle>
        <a:def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lnDef>
    <a:txDef>
      <a:spPr>
        <a:noFill/>
        <a:ln w="12700" cap="flat">
          <a:noFill/>
          <a:miter lim="400000"/>
        </a:ln>
        <a:effectLst/>
      </a:spPr>
      <a:bodyPr rot="0" spcFirstLastPara="1" vertOverflow="overflow" horzOverflow="overflow" vert="horz" wrap="square" lIns="50800" tIns="50800" rIns="50800" bIns="50800" numCol="1" spcCol="38100" rtlCol="0" anchor="t" upright="0">
        <a:spAutoFit/>
      </a:bodyPr>
      <a:lstStyle>
        <a:defPPr marL="0" marR="0" indent="0" algn="l" defTabSz="457200" rtl="0" fontAlgn="auto" latinLnBrk="1" hangingPunct="0">
          <a:lnSpc>
            <a:spcPct val="100000"/>
          </a:lnSpc>
          <a:spcBef>
            <a:spcPts val="0"/>
          </a:spcBef>
          <a:spcAft>
            <a:spcPts val="0"/>
          </a:spcAft>
          <a:buClrTx/>
          <a:buSzTx/>
          <a:buFontTx/>
          <a:buNone/>
          <a:tabLst/>
          <a:defRPr b="0" baseline="0" cap="none" i="0" spc="0" strike="noStrike" sz="1100" u="none" kumimoji="0" normalizeH="0">
            <a:ln>
              <a:noFill/>
            </a:ln>
            <a:solidFill>
              <a:srgbClr val="000000"/>
            </a:solidFill>
            <a:effectLst/>
            <a:uFillTx/>
            <a:latin typeface="Helvetica"/>
            <a:ea typeface="Helvetica"/>
            <a:cs typeface="Helvetica"/>
            <a:sym typeface="Helvetica"/>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txDef>
  </a:objectDefaults>
</a:theme>
</file>

<file path=docProps/app.xml><?xml version="1.0" encoding="utf-8"?>
<Properties xmln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http://purl.org/dc/elements/1.1/" xmlns:dcterms="http://purl.org/dc/terms/" xmlns:xsi="http://www.w3.org/2001/XMLSchema-instance"/>
</file>